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C965A" w14:textId="77777777" w:rsidR="00490C23" w:rsidRPr="00796736" w:rsidRDefault="00490C23" w:rsidP="00A802A5">
      <w:pPr>
        <w:spacing w:line="360" w:lineRule="auto"/>
        <w:jc w:val="center"/>
        <w:rPr>
          <w:rFonts w:ascii="Times New Roman" w:eastAsia="Calibri" w:hAnsi="Times New Roman" w:cs="Times New Roman"/>
          <w:b/>
          <w:sz w:val="24"/>
          <w:szCs w:val="24"/>
        </w:rPr>
      </w:pPr>
      <w:bookmarkStart w:id="0" w:name="_Hlk221285249"/>
      <w:r w:rsidRPr="00796736">
        <w:rPr>
          <w:rFonts w:ascii="Times New Roman" w:eastAsia="Calibri" w:hAnsi="Times New Roman" w:cs="Times New Roman"/>
          <w:b/>
          <w:sz w:val="24"/>
          <w:szCs w:val="24"/>
        </w:rPr>
        <w:t>Forslag</w:t>
      </w:r>
    </w:p>
    <w:p w14:paraId="28A0D1C4" w14:textId="77777777" w:rsidR="00490C23" w:rsidRPr="00796736" w:rsidRDefault="00490C23" w:rsidP="00A802A5">
      <w:pPr>
        <w:spacing w:line="360" w:lineRule="auto"/>
        <w:ind w:firstLine="238"/>
        <w:jc w:val="center"/>
        <w:rPr>
          <w:rFonts w:ascii="Times New Roman" w:eastAsia="Calibri" w:hAnsi="Times New Roman" w:cs="Times New Roman"/>
          <w:b/>
          <w:sz w:val="24"/>
          <w:szCs w:val="24"/>
        </w:rPr>
      </w:pPr>
      <w:r w:rsidRPr="00796736">
        <w:rPr>
          <w:rFonts w:ascii="Times New Roman" w:eastAsia="Calibri" w:hAnsi="Times New Roman" w:cs="Times New Roman"/>
          <w:sz w:val="24"/>
          <w:szCs w:val="24"/>
        </w:rPr>
        <w:t>til</w:t>
      </w:r>
    </w:p>
    <w:p w14:paraId="480E437C" w14:textId="57EFFB26" w:rsidR="00490C23" w:rsidRPr="00796736" w:rsidRDefault="00490C23" w:rsidP="00214D5C">
      <w:pPr>
        <w:spacing w:line="360" w:lineRule="auto"/>
        <w:ind w:firstLine="238"/>
        <w:jc w:val="center"/>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Lov om forebyggende foranstaltninger mod </w:t>
      </w:r>
      <w:r w:rsidR="0058400D" w:rsidRPr="00796736">
        <w:rPr>
          <w:rFonts w:ascii="Times New Roman" w:eastAsia="Calibri" w:hAnsi="Times New Roman" w:cs="Times New Roman"/>
          <w:sz w:val="24"/>
          <w:szCs w:val="24"/>
        </w:rPr>
        <w:t>hvidvask</w:t>
      </w:r>
      <w:r w:rsidRPr="00796736">
        <w:rPr>
          <w:rFonts w:ascii="Times New Roman" w:eastAsia="Calibri" w:hAnsi="Times New Roman" w:cs="Times New Roman"/>
          <w:sz w:val="24"/>
          <w:szCs w:val="24"/>
        </w:rPr>
        <w:t xml:space="preserve"> og finansiering af terrorisme</w:t>
      </w:r>
      <w:r w:rsidR="00214D5C">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w:t>
      </w:r>
      <w:r w:rsidR="00B34845" w:rsidRPr="00796736">
        <w:rPr>
          <w:rFonts w:ascii="Times New Roman" w:eastAsia="Calibri" w:hAnsi="Times New Roman" w:cs="Times New Roman"/>
          <w:sz w:val="24"/>
          <w:szCs w:val="24"/>
        </w:rPr>
        <w:t>hvidvaskloven</w:t>
      </w:r>
      <w:r w:rsidRPr="00796736">
        <w:rPr>
          <w:rFonts w:ascii="Times New Roman" w:eastAsia="Calibri" w:hAnsi="Times New Roman" w:cs="Times New Roman"/>
          <w:sz w:val="24"/>
          <w:szCs w:val="24"/>
        </w:rPr>
        <w:t>)</w:t>
      </w:r>
      <w:r w:rsidRPr="00796736">
        <w:rPr>
          <w:rStyle w:val="Fodnotehenvisning"/>
          <w:rFonts w:ascii="Times New Roman" w:hAnsi="Times New Roman" w:cs="Times New Roman"/>
          <w:sz w:val="24"/>
          <w:szCs w:val="24"/>
        </w:rPr>
        <w:t xml:space="preserve"> </w:t>
      </w:r>
      <w:r w:rsidRPr="00796736">
        <w:rPr>
          <w:rStyle w:val="Fodnotehenvisning"/>
          <w:rFonts w:ascii="Times New Roman" w:hAnsi="Times New Roman" w:cs="Times New Roman"/>
          <w:sz w:val="24"/>
          <w:szCs w:val="24"/>
        </w:rPr>
        <w:footnoteReference w:id="1"/>
      </w:r>
    </w:p>
    <w:p w14:paraId="3985D0E5" w14:textId="77777777" w:rsidR="00490C23" w:rsidRPr="00796736" w:rsidRDefault="00490C23" w:rsidP="00A802A5">
      <w:pPr>
        <w:spacing w:line="360" w:lineRule="auto"/>
        <w:ind w:firstLine="238"/>
        <w:jc w:val="center"/>
        <w:rPr>
          <w:rFonts w:ascii="Times New Roman" w:eastAsia="Calibri" w:hAnsi="Times New Roman" w:cs="Times New Roman"/>
          <w:sz w:val="24"/>
          <w:szCs w:val="24"/>
        </w:rPr>
      </w:pPr>
    </w:p>
    <w:p w14:paraId="5DABA84C" w14:textId="77777777" w:rsidR="00490C23" w:rsidRPr="00796736" w:rsidRDefault="00490C23" w:rsidP="00A802A5">
      <w:pPr>
        <w:spacing w:line="360" w:lineRule="auto"/>
        <w:jc w:val="center"/>
        <w:rPr>
          <w:rFonts w:ascii="Times New Roman" w:hAnsi="Times New Roman" w:cs="Times New Roman"/>
          <w:sz w:val="24"/>
          <w:szCs w:val="24"/>
        </w:rPr>
      </w:pPr>
    </w:p>
    <w:p w14:paraId="1D6453E9" w14:textId="77777777" w:rsidR="00490C23" w:rsidRPr="00796736" w:rsidRDefault="00490C23" w:rsidP="00A802A5">
      <w:pPr>
        <w:spacing w:line="360" w:lineRule="auto"/>
        <w:jc w:val="center"/>
        <w:rPr>
          <w:rFonts w:ascii="Times New Roman" w:hAnsi="Times New Roman" w:cs="Times New Roman"/>
          <w:sz w:val="24"/>
          <w:szCs w:val="24"/>
        </w:rPr>
      </w:pPr>
      <w:r w:rsidRPr="00796736">
        <w:rPr>
          <w:rFonts w:ascii="Times New Roman" w:hAnsi="Times New Roman" w:cs="Times New Roman"/>
          <w:sz w:val="24"/>
          <w:szCs w:val="24"/>
        </w:rPr>
        <w:t>Kapitel 1</w:t>
      </w:r>
    </w:p>
    <w:p w14:paraId="0644C65D" w14:textId="11136CCC" w:rsidR="000809B1" w:rsidRPr="00796736" w:rsidRDefault="00490C23" w:rsidP="00A802A5">
      <w:pPr>
        <w:spacing w:line="360" w:lineRule="auto"/>
        <w:jc w:val="center"/>
        <w:rPr>
          <w:rFonts w:ascii="Times New Roman" w:hAnsi="Times New Roman" w:cs="Times New Roman"/>
          <w:i/>
          <w:iCs/>
          <w:sz w:val="24"/>
          <w:szCs w:val="24"/>
        </w:rPr>
      </w:pPr>
      <w:r w:rsidRPr="00796736">
        <w:rPr>
          <w:rFonts w:ascii="Times New Roman" w:hAnsi="Times New Roman" w:cs="Times New Roman"/>
          <w:i/>
          <w:iCs/>
          <w:sz w:val="24"/>
          <w:szCs w:val="24"/>
        </w:rPr>
        <w:t>Formål, anvendelsesområde og definitioner</w:t>
      </w:r>
      <w:bookmarkStart w:id="1" w:name="_Hlk221523375"/>
    </w:p>
    <w:bookmarkEnd w:id="0"/>
    <w:bookmarkEnd w:id="1"/>
    <w:p w14:paraId="5B7C5968" w14:textId="77777777" w:rsidR="00690A2E" w:rsidRPr="00796736" w:rsidRDefault="00690A2E" w:rsidP="00A802A5">
      <w:pPr>
        <w:spacing w:line="360" w:lineRule="auto"/>
        <w:rPr>
          <w:rFonts w:ascii="Times New Roman" w:eastAsia="Calibri" w:hAnsi="Times New Roman" w:cs="Times New Roman"/>
          <w:sz w:val="24"/>
          <w:szCs w:val="24"/>
        </w:rPr>
      </w:pPr>
    </w:p>
    <w:p w14:paraId="0E30296B" w14:textId="77777777" w:rsidR="009D0701" w:rsidRDefault="00690A2E" w:rsidP="00385CFF">
      <w:pPr>
        <w:pStyle w:val="Typografi1"/>
        <w:ind w:left="0" w:firstLine="238"/>
        <w:contextualSpacing w:val="0"/>
        <w:rPr>
          <w:rFonts w:ascii="Times New Roman" w:hAnsi="Times New Roman" w:cs="Times New Roman"/>
          <w:sz w:val="24"/>
          <w:szCs w:val="24"/>
          <w:lang w:eastAsia="da-DK"/>
        </w:rPr>
      </w:pPr>
      <w:bookmarkStart w:id="2" w:name="_Ref232583170"/>
      <w:bookmarkStart w:id="3" w:name="_Ref232592991"/>
      <w:bookmarkStart w:id="4" w:name="_Toc244878984"/>
      <w:bookmarkStart w:id="5" w:name="_Toc244880508"/>
      <w:r w:rsidRPr="00796736">
        <w:rPr>
          <w:rFonts w:ascii="Times New Roman" w:hAnsi="Times New Roman" w:cs="Times New Roman"/>
          <w:sz w:val="24"/>
          <w:szCs w:val="24"/>
          <w:lang w:eastAsia="da-DK"/>
        </w:rPr>
        <w:t>Denne lov finder anvendelse på virksomheder og personer</w:t>
      </w:r>
      <w:r w:rsidR="00E679EA" w:rsidRPr="00796736">
        <w:rPr>
          <w:rFonts w:ascii="Times New Roman" w:hAnsi="Times New Roman" w:cs="Times New Roman"/>
          <w:sz w:val="24"/>
          <w:szCs w:val="24"/>
          <w:lang w:eastAsia="da-DK"/>
        </w:rPr>
        <w:t xml:space="preserve"> her i landet,</w:t>
      </w:r>
      <w:r w:rsidRPr="00796736">
        <w:rPr>
          <w:rFonts w:ascii="Times New Roman" w:hAnsi="Times New Roman" w:cs="Times New Roman"/>
          <w:sz w:val="24"/>
          <w:szCs w:val="24"/>
          <w:lang w:eastAsia="da-DK"/>
        </w:rPr>
        <w:t xml:space="preserve"> der er omfattet af artikel 3 i Europa-Parlamentets og Rådets forordning</w:t>
      </w:r>
      <w:r w:rsidR="001E53A7"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(EU) 2024/1624</w:t>
      </w:r>
      <w:r w:rsidR="0026772C" w:rsidRPr="00796736">
        <w:rPr>
          <w:rFonts w:ascii="Times New Roman" w:hAnsi="Times New Roman" w:cs="Times New Roman"/>
          <w:sz w:val="24"/>
          <w:szCs w:val="24"/>
          <w:lang w:eastAsia="da-DK"/>
        </w:rPr>
        <w:t xml:space="preserve"> af 31. maj 2024 om forebyggende foranstaltninger mod anvendelse af det finansielle system til hvidvask af penge eller finansiering af terrorisme med senere ændringer (hvidvaskforordningen)</w:t>
      </w:r>
      <w:r w:rsidRPr="00796736">
        <w:rPr>
          <w:rFonts w:ascii="Times New Roman" w:hAnsi="Times New Roman" w:cs="Times New Roman"/>
          <w:sz w:val="24"/>
          <w:szCs w:val="24"/>
          <w:lang w:eastAsia="da-DK"/>
        </w:rPr>
        <w:t>.</w:t>
      </w:r>
      <w:bookmarkEnd w:id="2"/>
      <w:bookmarkEnd w:id="3"/>
      <w:bookmarkEnd w:id="4"/>
      <w:bookmarkEnd w:id="5"/>
    </w:p>
    <w:p w14:paraId="5FE13B02" w14:textId="6071F0CF" w:rsidR="00D234C9" w:rsidRPr="009D0701" w:rsidRDefault="00D234C9" w:rsidP="00385CFF">
      <w:pPr>
        <w:ind w:firstLine="238"/>
        <w:rPr>
          <w:rFonts w:ascii="Times New Roman" w:hAnsi="Times New Roman" w:cs="Times New Roman"/>
          <w:sz w:val="24"/>
          <w:szCs w:val="24"/>
          <w:lang w:eastAsia="da-DK"/>
        </w:rPr>
      </w:pPr>
      <w:r w:rsidRPr="009D0701">
        <w:rPr>
          <w:rFonts w:ascii="Times New Roman" w:hAnsi="Times New Roman" w:cs="Times New Roman"/>
          <w:i/>
          <w:iCs/>
          <w:sz w:val="24"/>
          <w:szCs w:val="24"/>
          <w:lang w:eastAsia="da-DK"/>
        </w:rPr>
        <w:t>Stk. 2</w:t>
      </w:r>
      <w:r w:rsidRPr="009D0701">
        <w:rPr>
          <w:rFonts w:ascii="Times New Roman" w:hAnsi="Times New Roman" w:cs="Times New Roman"/>
          <w:sz w:val="24"/>
          <w:szCs w:val="24"/>
          <w:lang w:eastAsia="da-DK"/>
        </w:rPr>
        <w:t>. Loven finder endvidere anvendelse på:</w:t>
      </w:r>
    </w:p>
    <w:p w14:paraId="5EA1A4D9" w14:textId="627FC829" w:rsidR="00D234C9" w:rsidRPr="009D0701" w:rsidRDefault="00D234C9">
      <w:pPr>
        <w:pStyle w:val="Listeafsnit"/>
        <w:numPr>
          <w:ilvl w:val="0"/>
          <w:numId w:val="63"/>
        </w:numPr>
        <w:spacing w:line="360" w:lineRule="auto"/>
        <w:ind w:left="961"/>
        <w:contextualSpacing w:val="0"/>
        <w:rPr>
          <w:rFonts w:ascii="Times New Roman" w:eastAsia="Times New Roman" w:hAnsi="Times New Roman" w:cs="Times New Roman"/>
          <w:sz w:val="24"/>
          <w:szCs w:val="24"/>
          <w:lang w:eastAsia="da-DK"/>
        </w:rPr>
      </w:pPr>
      <w:r w:rsidRPr="009D0701">
        <w:rPr>
          <w:rFonts w:ascii="Times New Roman" w:eastAsia="Times New Roman" w:hAnsi="Times New Roman" w:cs="Times New Roman"/>
          <w:sz w:val="24"/>
          <w:szCs w:val="24"/>
          <w:lang w:eastAsia="da-DK"/>
        </w:rPr>
        <w:t>Virksomheder og personer, der udbyder leasingaftaler af motorkøretøjer som defineret i § 2, nr. 1, i lov om visse leasingvirksomheder.</w:t>
      </w:r>
    </w:p>
    <w:p w14:paraId="7A3E12F6" w14:textId="77777777" w:rsidR="00D234C9" w:rsidRPr="00796736" w:rsidRDefault="00D234C9">
      <w:pPr>
        <w:pStyle w:val="Listeafsnit"/>
        <w:numPr>
          <w:ilvl w:val="0"/>
          <w:numId w:val="63"/>
        </w:numPr>
        <w:spacing w:line="360" w:lineRule="auto"/>
        <w:ind w:left="961"/>
        <w:contextualSpacing w:val="0"/>
        <w:rPr>
          <w:rFonts w:ascii="Times New Roman" w:eastAsia="Times New Roman" w:hAnsi="Times New Roman" w:cs="Times New Roman"/>
          <w:sz w:val="24"/>
          <w:szCs w:val="24"/>
          <w:lang w:eastAsia="da-DK"/>
        </w:rPr>
      </w:pPr>
      <w:r w:rsidRPr="009D0701">
        <w:rPr>
          <w:rFonts w:ascii="Times New Roman" w:eastAsia="Times New Roman" w:hAnsi="Times New Roman" w:cs="Times New Roman"/>
          <w:sz w:val="24"/>
          <w:szCs w:val="24"/>
          <w:lang w:eastAsia="da-DK"/>
        </w:rPr>
        <w:t>Operatører af et reguleret marked, der har fået tilladelse her i landet til at være auktionsplatform</w:t>
      </w:r>
      <w:r w:rsidRPr="00796736">
        <w:rPr>
          <w:rFonts w:ascii="Times New Roman" w:eastAsia="Times New Roman" w:hAnsi="Times New Roman" w:cs="Times New Roman"/>
          <w:sz w:val="24"/>
          <w:szCs w:val="24"/>
          <w:lang w:eastAsia="da-DK"/>
        </w:rPr>
        <w:t xml:space="preserve"> i henhold til Kommissionens </w:t>
      </w:r>
      <w:r w:rsidRPr="00796736">
        <w:rPr>
          <w:rFonts w:ascii="Times New Roman" w:eastAsia="Times New Roman" w:hAnsi="Times New Roman" w:cs="Times New Roman"/>
          <w:sz w:val="24"/>
          <w:szCs w:val="24"/>
          <w:lang w:eastAsia="da-DK"/>
        </w:rPr>
        <w:lastRenderedPageBreak/>
        <w:t>delegerede forordning (EU) 2023/2830 af 17. oktober 2023 om det tidsmæssige og administrative forløb af auktioner over kvoter for drivhusgasemissioner og andre aspekter i forbindelse med sådanne auktioner i medfør af Europa-Parlamentets og Rådets direktiv 2003/87/EF om en ordning for handel med kvoter for drivhusgasemissioner i Fællesskabet.</w:t>
      </w:r>
    </w:p>
    <w:p w14:paraId="3A6A6A6B" w14:textId="5BAFF010" w:rsidR="00D234C9" w:rsidRPr="00796736" w:rsidRDefault="00D234C9">
      <w:pPr>
        <w:pStyle w:val="Listeafsnit"/>
        <w:numPr>
          <w:ilvl w:val="0"/>
          <w:numId w:val="63"/>
        </w:numPr>
        <w:spacing w:line="360" w:lineRule="auto"/>
        <w:ind w:left="961"/>
        <w:contextualSpacing w:val="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Aktører, som har tilladelse til at byde direkte på auktioner, der er omfattet af Kommissionens delegerede forordning (EU) 2023/2830 af 17. oktober 2023 om det tidsmæssige og administrative forløb af auktioner over kvoter for drivhusgasemissioner og andre aspekter i forbindelse med sådanne auktioner i medfør af Europa-Parlamentets og Rådets direktiv 2003/87/EF om en ordning for handel med kvoter for drivhusgasemissioner i Fællesskabet, og som ikke allerede er omfattet efter </w:t>
      </w:r>
      <w:r w:rsidR="00240322" w:rsidRPr="00796736">
        <w:rPr>
          <w:rFonts w:ascii="Times New Roman" w:eastAsia="Times New Roman" w:hAnsi="Times New Roman" w:cs="Times New Roman"/>
          <w:sz w:val="24"/>
          <w:szCs w:val="24"/>
          <w:lang w:eastAsia="da-DK"/>
        </w:rPr>
        <w:t xml:space="preserve">§ 2, </w:t>
      </w:r>
      <w:r w:rsidRPr="00796736">
        <w:rPr>
          <w:rFonts w:ascii="Times New Roman" w:eastAsia="Times New Roman" w:hAnsi="Times New Roman" w:cs="Times New Roman"/>
          <w:sz w:val="24"/>
          <w:szCs w:val="24"/>
          <w:lang w:eastAsia="da-DK"/>
        </w:rPr>
        <w:t xml:space="preserve">nr. 1 og </w:t>
      </w:r>
      <w:r w:rsidR="002B24E3" w:rsidRPr="00796736">
        <w:rPr>
          <w:rFonts w:ascii="Times New Roman" w:eastAsia="Times New Roman" w:hAnsi="Times New Roman" w:cs="Times New Roman"/>
          <w:sz w:val="24"/>
          <w:szCs w:val="24"/>
          <w:lang w:eastAsia="da-DK"/>
        </w:rPr>
        <w:t>4</w:t>
      </w:r>
      <w:r w:rsidRPr="00796736">
        <w:rPr>
          <w:rFonts w:ascii="Times New Roman" w:eastAsia="Times New Roman" w:hAnsi="Times New Roman" w:cs="Times New Roman"/>
          <w:sz w:val="24"/>
          <w:szCs w:val="24"/>
          <w:lang w:eastAsia="da-DK"/>
        </w:rPr>
        <w:t>.</w:t>
      </w:r>
    </w:p>
    <w:p w14:paraId="671493DC" w14:textId="79DCFA80" w:rsidR="00B34845" w:rsidRPr="00796736" w:rsidRDefault="00EF6B3F"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3.</w:t>
      </w:r>
      <w:r w:rsidRPr="00796736">
        <w:rPr>
          <w:rFonts w:ascii="Times New Roman" w:eastAsia="Times New Roman" w:hAnsi="Times New Roman" w:cs="Times New Roman"/>
          <w:sz w:val="24"/>
          <w:szCs w:val="24"/>
          <w:lang w:eastAsia="da-DK"/>
        </w:rPr>
        <w:t> </w:t>
      </w:r>
      <w:r w:rsidR="009439BC" w:rsidRPr="00796736">
        <w:rPr>
          <w:rFonts w:ascii="Times New Roman" w:eastAsia="Times New Roman" w:hAnsi="Times New Roman" w:cs="Times New Roman"/>
          <w:sz w:val="24"/>
          <w:szCs w:val="24"/>
          <w:lang w:eastAsia="da-DK"/>
        </w:rPr>
        <w:fldChar w:fldCharType="begin"/>
      </w:r>
      <w:r w:rsidR="009439BC" w:rsidRPr="00796736">
        <w:rPr>
          <w:rFonts w:ascii="Times New Roman" w:eastAsia="Times New Roman" w:hAnsi="Times New Roman" w:cs="Times New Roman"/>
          <w:sz w:val="24"/>
          <w:szCs w:val="24"/>
          <w:lang w:eastAsia="da-DK"/>
        </w:rPr>
        <w:instrText xml:space="preserve"> REF _Ref232593034 \r \h  \* MERGEFORMAT </w:instrText>
      </w:r>
      <w:r w:rsidR="009439BC" w:rsidRPr="00796736">
        <w:rPr>
          <w:rFonts w:ascii="Times New Roman" w:eastAsia="Times New Roman" w:hAnsi="Times New Roman" w:cs="Times New Roman"/>
          <w:sz w:val="24"/>
          <w:szCs w:val="24"/>
          <w:lang w:eastAsia="da-DK"/>
        </w:rPr>
      </w:r>
      <w:r w:rsidR="009439B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w:t>
      </w:r>
      <w:r w:rsidR="009439BC" w:rsidRPr="00796736">
        <w:rPr>
          <w:rFonts w:ascii="Times New Roman" w:eastAsia="Times New Roman" w:hAnsi="Times New Roman" w:cs="Times New Roman"/>
          <w:sz w:val="24"/>
          <w:szCs w:val="24"/>
          <w:lang w:eastAsia="da-DK"/>
        </w:rPr>
        <w:fldChar w:fldCharType="end"/>
      </w:r>
      <w:r w:rsidR="009439BC" w:rsidRPr="00796736">
        <w:rPr>
          <w:rFonts w:ascii="Times New Roman" w:eastAsia="Times New Roman" w:hAnsi="Times New Roman" w:cs="Times New Roman"/>
          <w:sz w:val="24"/>
          <w:szCs w:val="24"/>
          <w:lang w:eastAsia="da-DK"/>
        </w:rPr>
        <w:t xml:space="preserve"> finder anvendelse på virksomheder og personer, der som led i deres virksomhed deltager i håndtering og udlevering af pengesedler og mønter til offentligheden, herunder personer og virksomheder, hvis aktivitet består i at veksle pengesedler og mønter i forskellige valutaer.</w:t>
      </w:r>
      <w:r w:rsidR="00B34845" w:rsidRPr="00796736">
        <w:rPr>
          <w:rFonts w:ascii="Times New Roman" w:eastAsia="Times New Roman" w:hAnsi="Times New Roman" w:cs="Times New Roman"/>
          <w:sz w:val="24"/>
          <w:szCs w:val="24"/>
          <w:lang w:eastAsia="da-DK"/>
        </w:rPr>
        <w:t xml:space="preserve"> og skadesforsikringsselskaber m.v. og filialer her i landet af sådanne udenlandske virksomheder. </w:t>
      </w:r>
    </w:p>
    <w:p w14:paraId="1B795623" w14:textId="15BECB24" w:rsidR="00B34845" w:rsidRPr="00796736" w:rsidRDefault="00B34845"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4.</w:t>
      </w:r>
      <w:r w:rsidRPr="00796736">
        <w:rPr>
          <w:rFonts w:ascii="Times New Roman" w:eastAsia="Times New Roman" w:hAnsi="Times New Roman" w:cs="Times New Roman"/>
          <w:sz w:val="24"/>
          <w:szCs w:val="24"/>
          <w:lang w:eastAsia="da-DK"/>
        </w:rPr>
        <w:t> </w:t>
      </w:r>
      <w:r w:rsidR="009439BC" w:rsidRPr="00796736">
        <w:rPr>
          <w:rFonts w:ascii="Times New Roman" w:eastAsia="Times New Roman" w:hAnsi="Times New Roman" w:cs="Times New Roman"/>
          <w:sz w:val="24"/>
          <w:szCs w:val="24"/>
          <w:lang w:eastAsia="da-DK"/>
        </w:rPr>
        <w:fldChar w:fldCharType="begin"/>
      </w:r>
      <w:r w:rsidR="009439BC" w:rsidRPr="00796736">
        <w:rPr>
          <w:rFonts w:ascii="Times New Roman" w:eastAsia="Times New Roman" w:hAnsi="Times New Roman" w:cs="Times New Roman"/>
          <w:sz w:val="24"/>
          <w:szCs w:val="24"/>
          <w:lang w:eastAsia="da-DK"/>
        </w:rPr>
        <w:instrText xml:space="preserve"> REF _Ref232595404 \r \h  \* MERGEFORMAT </w:instrText>
      </w:r>
      <w:r w:rsidR="009439BC" w:rsidRPr="00796736">
        <w:rPr>
          <w:rFonts w:ascii="Times New Roman" w:eastAsia="Times New Roman" w:hAnsi="Times New Roman" w:cs="Times New Roman"/>
          <w:sz w:val="24"/>
          <w:szCs w:val="24"/>
          <w:lang w:eastAsia="da-DK"/>
        </w:rPr>
      </w:r>
      <w:r w:rsidR="009439B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w:t>
      </w:r>
      <w:r w:rsidR="009439BC" w:rsidRPr="00796736">
        <w:rPr>
          <w:rFonts w:ascii="Times New Roman" w:eastAsia="Times New Roman" w:hAnsi="Times New Roman" w:cs="Times New Roman"/>
          <w:sz w:val="24"/>
          <w:szCs w:val="24"/>
          <w:lang w:eastAsia="da-DK"/>
        </w:rPr>
        <w:fldChar w:fldCharType="end"/>
      </w:r>
      <w:r w:rsidR="009439BC" w:rsidRPr="00796736">
        <w:rPr>
          <w:rFonts w:ascii="Times New Roman" w:eastAsia="Times New Roman" w:hAnsi="Times New Roman" w:cs="Times New Roman"/>
          <w:sz w:val="24"/>
          <w:szCs w:val="24"/>
          <w:lang w:eastAsia="da-DK"/>
        </w:rPr>
        <w:t xml:space="preserve"> finder anvendelse på alle juridiske og fysiske personer her i landet.</w:t>
      </w:r>
    </w:p>
    <w:p w14:paraId="18EA2FD2" w14:textId="2BFB8854" w:rsidR="00B34845" w:rsidRPr="00796736" w:rsidRDefault="00B34845"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5.</w:t>
      </w:r>
      <w:r w:rsidRPr="00796736">
        <w:rPr>
          <w:rFonts w:ascii="Times New Roman" w:eastAsia="Times New Roman" w:hAnsi="Times New Roman" w:cs="Times New Roman"/>
          <w:sz w:val="24"/>
          <w:szCs w:val="24"/>
          <w:lang w:eastAsia="da-DK"/>
        </w:rPr>
        <w:t> </w:t>
      </w:r>
      <w:r w:rsidR="009439BC" w:rsidRPr="00796736">
        <w:rPr>
          <w:rFonts w:ascii="Times New Roman" w:eastAsia="Times New Roman" w:hAnsi="Times New Roman" w:cs="Times New Roman"/>
          <w:sz w:val="24"/>
          <w:szCs w:val="24"/>
          <w:lang w:eastAsia="da-DK"/>
        </w:rPr>
        <w:fldChar w:fldCharType="begin"/>
      </w:r>
      <w:r w:rsidR="009439BC" w:rsidRPr="00796736">
        <w:rPr>
          <w:rFonts w:ascii="Times New Roman" w:eastAsia="Times New Roman" w:hAnsi="Times New Roman" w:cs="Times New Roman"/>
          <w:sz w:val="24"/>
          <w:szCs w:val="24"/>
          <w:lang w:eastAsia="da-DK"/>
        </w:rPr>
        <w:instrText xml:space="preserve"> REF _Ref232596358 \r \h  \* MERGEFORMAT </w:instrText>
      </w:r>
      <w:r w:rsidR="009439BC" w:rsidRPr="00796736">
        <w:rPr>
          <w:rFonts w:ascii="Times New Roman" w:eastAsia="Times New Roman" w:hAnsi="Times New Roman" w:cs="Times New Roman"/>
          <w:sz w:val="24"/>
          <w:szCs w:val="24"/>
          <w:lang w:eastAsia="da-DK"/>
        </w:rPr>
      </w:r>
      <w:r w:rsidR="009439B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35</w:t>
      </w:r>
      <w:r w:rsidR="009439BC" w:rsidRPr="00796736">
        <w:rPr>
          <w:rFonts w:ascii="Times New Roman" w:eastAsia="Times New Roman" w:hAnsi="Times New Roman" w:cs="Times New Roman"/>
          <w:sz w:val="24"/>
          <w:szCs w:val="24"/>
          <w:lang w:eastAsia="da-DK"/>
        </w:rPr>
        <w:fldChar w:fldCharType="end"/>
      </w:r>
      <w:r w:rsidR="009439BC" w:rsidRPr="00796736">
        <w:rPr>
          <w:rFonts w:ascii="Times New Roman" w:eastAsia="Times New Roman" w:hAnsi="Times New Roman" w:cs="Times New Roman"/>
          <w:sz w:val="24"/>
          <w:szCs w:val="24"/>
          <w:lang w:eastAsia="da-DK"/>
        </w:rPr>
        <w:t xml:space="preserve"> finder anvendelse på danske virksomheders udenlandske filialer.</w:t>
      </w:r>
    </w:p>
    <w:p w14:paraId="6B393A1E" w14:textId="3D7F025A" w:rsidR="00B34845" w:rsidRPr="00796736" w:rsidRDefault="00B34845"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6.</w:t>
      </w:r>
      <w:r w:rsidRPr="00796736">
        <w:rPr>
          <w:rFonts w:ascii="Times New Roman" w:eastAsia="Times New Roman" w:hAnsi="Times New Roman" w:cs="Times New Roman"/>
          <w:sz w:val="24"/>
          <w:szCs w:val="24"/>
          <w:lang w:eastAsia="da-DK"/>
        </w:rPr>
        <w:t> </w:t>
      </w:r>
      <w:r w:rsidR="009439BC" w:rsidRPr="00796736">
        <w:rPr>
          <w:rFonts w:ascii="Times New Roman" w:eastAsia="Times New Roman" w:hAnsi="Times New Roman" w:cs="Times New Roman"/>
          <w:sz w:val="24"/>
          <w:szCs w:val="24"/>
          <w:lang w:eastAsia="da-DK"/>
        </w:rPr>
        <w:fldChar w:fldCharType="begin"/>
      </w:r>
      <w:r w:rsidR="009439BC" w:rsidRPr="00796736">
        <w:rPr>
          <w:rFonts w:ascii="Times New Roman" w:eastAsia="Times New Roman" w:hAnsi="Times New Roman" w:cs="Times New Roman"/>
          <w:sz w:val="24"/>
          <w:szCs w:val="24"/>
          <w:lang w:eastAsia="da-DK"/>
        </w:rPr>
        <w:instrText xml:space="preserve"> REF _Ref232597060 \r \h  \* MERGEFORMAT </w:instrText>
      </w:r>
      <w:r w:rsidR="009439BC" w:rsidRPr="00796736">
        <w:rPr>
          <w:rFonts w:ascii="Times New Roman" w:eastAsia="Times New Roman" w:hAnsi="Times New Roman" w:cs="Times New Roman"/>
          <w:sz w:val="24"/>
          <w:szCs w:val="24"/>
          <w:lang w:eastAsia="da-DK"/>
        </w:rPr>
      </w:r>
      <w:r w:rsidR="009439B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55</w:t>
      </w:r>
      <w:r w:rsidR="009439BC" w:rsidRPr="00796736">
        <w:rPr>
          <w:rFonts w:ascii="Times New Roman" w:eastAsia="Times New Roman" w:hAnsi="Times New Roman" w:cs="Times New Roman"/>
          <w:sz w:val="24"/>
          <w:szCs w:val="24"/>
          <w:lang w:eastAsia="da-DK"/>
        </w:rPr>
        <w:fldChar w:fldCharType="end"/>
      </w:r>
      <w:r w:rsidR="009439BC" w:rsidRPr="00796736">
        <w:rPr>
          <w:rFonts w:ascii="Times New Roman" w:eastAsia="Times New Roman" w:hAnsi="Times New Roman" w:cs="Times New Roman"/>
          <w:sz w:val="24"/>
          <w:szCs w:val="24"/>
          <w:lang w:eastAsia="da-DK"/>
        </w:rPr>
        <w:t xml:space="preserve"> finder anvendelse for skadesforsikringsselskaber som defineret i § 9, stk. 1, nr. 1, litra a, i lov om forsikringsvirksomhed i tværgående pensionskasser, livsforsikringsselskaber</w:t>
      </w:r>
      <w:r w:rsidR="009B2F99" w:rsidRPr="00796736">
        <w:rPr>
          <w:rFonts w:ascii="Times New Roman" w:eastAsia="Times New Roman" w:hAnsi="Times New Roman" w:cs="Times New Roman"/>
          <w:sz w:val="24"/>
          <w:szCs w:val="24"/>
          <w:lang w:eastAsia="da-DK"/>
        </w:rPr>
        <w:t>.</w:t>
      </w:r>
    </w:p>
    <w:p w14:paraId="0D777EE6" w14:textId="125D20EC" w:rsidR="00B34845" w:rsidRPr="00796736" w:rsidRDefault="00B34845"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 xml:space="preserve">Stk. 7. </w:t>
      </w:r>
      <w:r w:rsidR="00CB389F" w:rsidRPr="00796736">
        <w:rPr>
          <w:rFonts w:ascii="Times New Roman" w:eastAsia="Times New Roman" w:hAnsi="Times New Roman" w:cs="Times New Roman"/>
          <w:sz w:val="24"/>
          <w:szCs w:val="24"/>
          <w:lang w:eastAsia="da-DK"/>
        </w:rPr>
        <w:t xml:space="preserve">Finanstilsynet kan fastsætte nærmere regler om, at juridiske eller fysiske personer som lejlighedsvist eller i et meget begrænset omfang udøver en økonomisk aktivitet, som anført i bilag I, punkt 2-12, 14 og 15, til direktiv 2013/36/EU af 26. juni 2013 om adgang til at udøve virksomhed som kreditinstitut og om tilsyn med kreditinstitutter og investeringsselskaber, hvor der kun er begrænset risiko for hvidvask eller </w:t>
      </w:r>
      <w:r w:rsidR="00CB389F">
        <w:rPr>
          <w:rFonts w:ascii="Times New Roman" w:eastAsia="Times New Roman" w:hAnsi="Times New Roman" w:cs="Times New Roman"/>
          <w:sz w:val="24"/>
          <w:szCs w:val="24"/>
          <w:lang w:eastAsia="da-DK"/>
        </w:rPr>
        <w:t>terror</w:t>
      </w:r>
      <w:r w:rsidR="00CB389F" w:rsidRPr="00796736">
        <w:rPr>
          <w:rFonts w:ascii="Times New Roman" w:eastAsia="Times New Roman" w:hAnsi="Times New Roman" w:cs="Times New Roman"/>
          <w:sz w:val="24"/>
          <w:szCs w:val="24"/>
          <w:lang w:eastAsia="da-DK"/>
        </w:rPr>
        <w:t xml:space="preserve">finansiering, undtages helt eller delvist fra </w:t>
      </w:r>
      <w:r w:rsidR="00CB389F">
        <w:rPr>
          <w:rFonts w:ascii="Times New Roman" w:eastAsia="Times New Roman" w:hAnsi="Times New Roman" w:cs="Times New Roman"/>
          <w:sz w:val="24"/>
          <w:szCs w:val="24"/>
          <w:lang w:eastAsia="da-DK"/>
        </w:rPr>
        <w:t>hvidvaskforordningen</w:t>
      </w:r>
      <w:r w:rsidR="00CB389F" w:rsidRPr="00796736">
        <w:rPr>
          <w:rFonts w:ascii="Times New Roman" w:eastAsia="Times New Roman" w:hAnsi="Times New Roman" w:cs="Times New Roman"/>
          <w:sz w:val="24"/>
          <w:szCs w:val="24"/>
          <w:lang w:eastAsia="da-DK"/>
        </w:rPr>
        <w:t>.</w:t>
      </w:r>
    </w:p>
    <w:p w14:paraId="3C4BE38B" w14:textId="68A05E51" w:rsidR="00B34845" w:rsidRPr="00796736" w:rsidRDefault="00B34845"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8</w:t>
      </w:r>
      <w:r w:rsidR="00CB389F" w:rsidRPr="00CB389F">
        <w:rPr>
          <w:rFonts w:ascii="Times New Roman" w:eastAsia="Times New Roman" w:hAnsi="Times New Roman" w:cs="Times New Roman"/>
          <w:sz w:val="24"/>
          <w:szCs w:val="24"/>
          <w:lang w:eastAsia="da-DK"/>
        </w:rPr>
        <w:t xml:space="preserve"> </w:t>
      </w:r>
      <w:r w:rsidR="00CB389F" w:rsidRPr="00796736">
        <w:rPr>
          <w:rFonts w:ascii="Times New Roman" w:eastAsia="Times New Roman" w:hAnsi="Times New Roman" w:cs="Times New Roman"/>
          <w:sz w:val="24"/>
          <w:szCs w:val="24"/>
          <w:lang w:eastAsia="da-DK"/>
        </w:rPr>
        <w:t xml:space="preserve">Skatte- og vækstministeren kan, når det på baggrund af en risikovurdering vurderes nødvendigt for at forebygge hvidvask eller </w:t>
      </w:r>
      <w:r w:rsidR="00CB389F">
        <w:rPr>
          <w:rFonts w:ascii="Times New Roman" w:eastAsia="Times New Roman" w:hAnsi="Times New Roman" w:cs="Times New Roman"/>
          <w:sz w:val="24"/>
          <w:szCs w:val="24"/>
          <w:lang w:eastAsia="da-DK"/>
        </w:rPr>
        <w:t>terror</w:t>
      </w:r>
      <w:r w:rsidR="00CB389F" w:rsidRPr="00796736">
        <w:rPr>
          <w:rFonts w:ascii="Times New Roman" w:eastAsia="Times New Roman" w:hAnsi="Times New Roman" w:cs="Times New Roman"/>
          <w:sz w:val="24"/>
          <w:szCs w:val="24"/>
          <w:lang w:eastAsia="da-DK"/>
        </w:rPr>
        <w:t xml:space="preserve">finansiering, fastsætte regler om, at hele eller dele af </w:t>
      </w:r>
      <w:r w:rsidR="00CB389F">
        <w:rPr>
          <w:rFonts w:ascii="Times New Roman" w:eastAsia="Times New Roman" w:hAnsi="Times New Roman" w:cs="Times New Roman"/>
          <w:sz w:val="24"/>
          <w:szCs w:val="24"/>
          <w:lang w:eastAsia="da-DK"/>
        </w:rPr>
        <w:t>hvidvaskforordningen</w:t>
      </w:r>
      <w:r w:rsidR="00CB389F" w:rsidRPr="00796736">
        <w:rPr>
          <w:rFonts w:ascii="Times New Roman" w:eastAsia="Times New Roman" w:hAnsi="Times New Roman" w:cs="Times New Roman"/>
          <w:sz w:val="24"/>
          <w:szCs w:val="24"/>
          <w:lang w:eastAsia="da-DK"/>
        </w:rPr>
        <w:t xml:space="preserve"> finder anvendelse for virksomheder eller personer, som ikke er omfattet af stk. 1 eller lovens </w:t>
      </w:r>
      <w:r w:rsidR="00CB389F" w:rsidRPr="00796736">
        <w:rPr>
          <w:rFonts w:ascii="Times New Roman" w:eastAsia="Times New Roman" w:hAnsi="Times New Roman" w:cs="Times New Roman"/>
          <w:sz w:val="24"/>
          <w:szCs w:val="24"/>
          <w:lang w:eastAsia="da-DK"/>
        </w:rPr>
        <w:fldChar w:fldCharType="begin"/>
      </w:r>
      <w:r w:rsidR="00CB389F" w:rsidRPr="00796736">
        <w:rPr>
          <w:rFonts w:ascii="Times New Roman" w:eastAsia="Times New Roman" w:hAnsi="Times New Roman" w:cs="Times New Roman"/>
          <w:sz w:val="24"/>
          <w:szCs w:val="24"/>
          <w:lang w:eastAsia="da-DK"/>
        </w:rPr>
        <w:instrText xml:space="preserve"> REF _Ref232592818 \r \h  \* MERGEFORMAT </w:instrText>
      </w:r>
      <w:r w:rsidR="00CB389F" w:rsidRPr="00796736">
        <w:rPr>
          <w:rFonts w:ascii="Times New Roman" w:eastAsia="Times New Roman" w:hAnsi="Times New Roman" w:cs="Times New Roman"/>
          <w:sz w:val="24"/>
          <w:szCs w:val="24"/>
          <w:lang w:eastAsia="da-DK"/>
        </w:rPr>
      </w:r>
      <w:r w:rsidR="00CB389F"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w:t>
      </w:r>
      <w:r w:rsidR="00CB389F" w:rsidRPr="00796736">
        <w:rPr>
          <w:rFonts w:ascii="Times New Roman" w:eastAsia="Times New Roman" w:hAnsi="Times New Roman" w:cs="Times New Roman"/>
          <w:sz w:val="24"/>
          <w:szCs w:val="24"/>
          <w:lang w:eastAsia="da-DK"/>
        </w:rPr>
        <w:fldChar w:fldCharType="end"/>
      </w:r>
      <w:r w:rsidR="00CB389F" w:rsidRPr="00796736">
        <w:rPr>
          <w:rFonts w:ascii="Times New Roman" w:eastAsia="Times New Roman" w:hAnsi="Times New Roman" w:cs="Times New Roman"/>
          <w:sz w:val="24"/>
          <w:szCs w:val="24"/>
          <w:lang w:eastAsia="da-DK"/>
        </w:rPr>
        <w:t>. Regler fastsat i medfør af 1. pkt. fastsættes i overensstemmelse med artikel 3 i Europa-Parlamentets og Rådets direktiv (EU) 2024/1640</w:t>
      </w:r>
      <w:r w:rsidR="00CB389F">
        <w:rPr>
          <w:rFonts w:ascii="Times New Roman" w:eastAsia="Times New Roman" w:hAnsi="Times New Roman" w:cs="Times New Roman"/>
          <w:sz w:val="24"/>
          <w:szCs w:val="24"/>
          <w:lang w:eastAsia="da-DK"/>
        </w:rPr>
        <w:t xml:space="preserve"> (6. hvidvaskdirektiv)</w:t>
      </w:r>
      <w:r w:rsidR="00CB389F" w:rsidRPr="00796736">
        <w:rPr>
          <w:rFonts w:ascii="Times New Roman" w:eastAsia="Times New Roman" w:hAnsi="Times New Roman" w:cs="Times New Roman"/>
          <w:sz w:val="24"/>
          <w:szCs w:val="24"/>
          <w:lang w:eastAsia="da-DK"/>
        </w:rPr>
        <w:t>.</w:t>
      </w:r>
    </w:p>
    <w:p w14:paraId="707D3A95" w14:textId="236771B2" w:rsidR="00BC2982" w:rsidRPr="00796736" w:rsidRDefault="00BC2982"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9</w:t>
      </w:r>
      <w:r w:rsidRPr="00796736">
        <w:rPr>
          <w:rFonts w:ascii="Times New Roman" w:eastAsia="Times New Roman" w:hAnsi="Times New Roman" w:cs="Times New Roman"/>
          <w:sz w:val="24"/>
          <w:szCs w:val="24"/>
          <w:lang w:eastAsia="da-DK"/>
        </w:rPr>
        <w:t xml:space="preserve">. </w:t>
      </w:r>
      <w:r w:rsidR="00CD23C3" w:rsidRPr="00796736">
        <w:rPr>
          <w:rFonts w:ascii="Times New Roman" w:eastAsia="Times New Roman" w:hAnsi="Times New Roman" w:cs="Times New Roman"/>
          <w:sz w:val="24"/>
          <w:szCs w:val="24"/>
          <w:lang w:eastAsia="da-DK"/>
        </w:rPr>
        <w:t xml:space="preserve">Skatte- og vækstministeren </w:t>
      </w:r>
      <w:r w:rsidRPr="00796736">
        <w:rPr>
          <w:rFonts w:ascii="Times New Roman" w:eastAsia="Times New Roman" w:hAnsi="Times New Roman" w:cs="Times New Roman"/>
          <w:sz w:val="24"/>
          <w:szCs w:val="24"/>
          <w:lang w:eastAsia="da-DK"/>
        </w:rPr>
        <w:t>kan fastsætte regler om, at hvidvaskforordningen og denne lov helt eller delvis</w:t>
      </w:r>
      <w:r w:rsidR="00E679EA" w:rsidRPr="00796736">
        <w:rPr>
          <w:rFonts w:ascii="Times New Roman" w:eastAsia="Times New Roman" w:hAnsi="Times New Roman" w:cs="Times New Roman"/>
          <w:sz w:val="24"/>
          <w:szCs w:val="24"/>
          <w:lang w:eastAsia="da-DK"/>
        </w:rPr>
        <w:t>t</w:t>
      </w:r>
      <w:r w:rsidRPr="00796736">
        <w:rPr>
          <w:rFonts w:ascii="Times New Roman" w:eastAsia="Times New Roman" w:hAnsi="Times New Roman" w:cs="Times New Roman"/>
          <w:sz w:val="24"/>
          <w:szCs w:val="24"/>
          <w:lang w:eastAsia="da-DK"/>
        </w:rPr>
        <w:t xml:space="preserve"> ikke finder anvendelse for udbydere af spil, der udbyder spil på et område, der har en dokumenteret lav risiko for hvidvask og finansiering af terrorisme, jf. dog stk. 10.</w:t>
      </w:r>
    </w:p>
    <w:p w14:paraId="33FD21FE" w14:textId="16B1A496" w:rsidR="00BC2982" w:rsidRPr="00796736" w:rsidRDefault="00BC2982"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10.</w:t>
      </w:r>
      <w:r w:rsidRPr="00796736">
        <w:rPr>
          <w:rFonts w:ascii="Times New Roman" w:eastAsia="Times New Roman" w:hAnsi="Times New Roman" w:cs="Times New Roman"/>
          <w:sz w:val="24"/>
          <w:szCs w:val="24"/>
          <w:lang w:eastAsia="da-DK"/>
        </w:rPr>
        <w:t xml:space="preserve"> Kasinoer og udbydere af spil, hvis hovedaktivitet er at udbyde sportsvæddemål eller onlinespil, kan ikke undtages, medmindre der er tale om et statsligt udbud af online lotteri.</w:t>
      </w:r>
    </w:p>
    <w:p w14:paraId="466528DB" w14:textId="77777777" w:rsidR="00B34845" w:rsidRPr="00796736" w:rsidRDefault="00B34845" w:rsidP="00A802A5">
      <w:pPr>
        <w:spacing w:line="360" w:lineRule="auto"/>
        <w:jc w:val="left"/>
        <w:rPr>
          <w:rFonts w:ascii="Times New Roman" w:eastAsia="Times New Roman" w:hAnsi="Times New Roman" w:cs="Times New Roman"/>
          <w:sz w:val="24"/>
          <w:szCs w:val="24"/>
          <w:lang w:eastAsia="da-DK"/>
        </w:rPr>
      </w:pPr>
    </w:p>
    <w:p w14:paraId="3996504D" w14:textId="2A13039C" w:rsidR="00E34EDA" w:rsidRPr="00796736" w:rsidRDefault="00E34EDA" w:rsidP="00385CFF">
      <w:pPr>
        <w:pStyle w:val="Typografi1"/>
        <w:ind w:left="0" w:firstLine="284"/>
        <w:rPr>
          <w:rFonts w:ascii="Times New Roman" w:hAnsi="Times New Roman" w:cs="Times New Roman"/>
          <w:sz w:val="24"/>
          <w:szCs w:val="24"/>
        </w:rPr>
      </w:pPr>
      <w:bookmarkStart w:id="6" w:name="_Ref232592818"/>
      <w:bookmarkStart w:id="7" w:name="_Toc244878985"/>
      <w:bookmarkStart w:id="8" w:name="_Toc244880509"/>
      <w:r w:rsidRPr="00796736">
        <w:rPr>
          <w:rFonts w:ascii="Times New Roman" w:hAnsi="Times New Roman" w:cs="Times New Roman"/>
          <w:sz w:val="24"/>
          <w:szCs w:val="24"/>
        </w:rPr>
        <w:t>I denne lov forstås ved:</w:t>
      </w:r>
      <w:bookmarkEnd w:id="6"/>
      <w:bookmarkEnd w:id="7"/>
      <w:bookmarkEnd w:id="8"/>
    </w:p>
    <w:p w14:paraId="5693699F" w14:textId="77777777"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Pengeinstitut: Et kreditinstitut omfattet af artikel 3, nr. 1, og artikel 2, stk. 1, nr. 5, i forordning 2024/1624, samt filialer af pengeinstitutter som defineret i artikel 4, stk. 1, nr. 17, i forordning (EU) nr. 575/2013, beliggende i Unionen, uanset om hovedsædet er beliggende i en medlemsstat eller i et tredjeland.</w:t>
      </w:r>
    </w:p>
    <w:p w14:paraId="7047D5D2" w14:textId="2C2859ED"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Realkreditinstitut: Et kreditinstitut omfattet af artikel 3, nr. 1, og artikel 2, stk. 1, nr. 5, i </w:t>
      </w:r>
      <w:r w:rsidR="00CB389F">
        <w:rPr>
          <w:rFonts w:ascii="Times New Roman" w:eastAsia="Times New Roman" w:hAnsi="Times New Roman" w:cs="Times New Roman"/>
          <w:sz w:val="24"/>
          <w:szCs w:val="24"/>
          <w:lang w:eastAsia="da-DK"/>
        </w:rPr>
        <w:t xml:space="preserve">hvidvaskforordningen. </w:t>
      </w:r>
    </w:p>
    <w:p w14:paraId="0EE2CA0F" w14:textId="67A9586B"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Sparevirksomhed: Et kreditinstitut omfattet af artikel 3, nr. 1, og artikel 2, stk. 1, nr. 5,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2D6E632A" w14:textId="507C45A6"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Fondsmæglerselskab: Et finansieringsinstitut omfattet af artikel 3, nr. 2, og artikel 2, stk. 1, nr. 6, litra d,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7EDF0132" w14:textId="0010B7A6"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Livsforsikringsselskab og tværgående pensionskasse: Et finansieringsinstitut omfattet af artikel 3, nr. 2, og artikel 2, stk. 1, nr. 6, litra b,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4C3DCB2E" w14:textId="400B5699"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Udsteder af elektroniske penge og udbyder af betalingstjenester: Et finansieringsinstitut omfattet af artikel 3, nr. 2, og artikel 2, stk. 1, nr. 6, litra a,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r w:rsidRPr="00796736">
        <w:rPr>
          <w:rFonts w:ascii="Times New Roman" w:eastAsia="Times New Roman" w:hAnsi="Times New Roman" w:cs="Times New Roman"/>
          <w:sz w:val="24"/>
          <w:szCs w:val="24"/>
          <w:lang w:eastAsia="da-DK"/>
        </w:rPr>
        <w:t>, herunder også disses agenter, distributører eller anden infrastruktur.</w:t>
      </w:r>
    </w:p>
    <w:p w14:paraId="79A892D4" w14:textId="23252D8D"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Forsikringsformidler: Et finansieringsinstitut omfattet af artikel 3, nr. 2,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r w:rsidRPr="00796736">
        <w:rPr>
          <w:rFonts w:ascii="Times New Roman" w:eastAsia="Times New Roman" w:hAnsi="Times New Roman" w:cs="Times New Roman"/>
          <w:sz w:val="24"/>
          <w:szCs w:val="24"/>
          <w:lang w:eastAsia="da-DK"/>
        </w:rPr>
        <w:t>, og artikel 2, stk. 1, nr. 6, litra c, i det omfang de udøver formidling af livsforsikringsprodukter eller andre investeringsrelaterede forsikringstjenester, med undtagelse af forsikringsformidlere, der hverken opkræver eller besidder præmier eller beløb fra kunder, og som udelukkende handler på vegne af et eller flere forsikringsselskaber eller en eller flere forsikringsformidlere for så vidt angår deres respektive produkter.</w:t>
      </w:r>
    </w:p>
    <w:p w14:paraId="5315B72A" w14:textId="01A76255"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Øvrige virksomheder og personer, der erhvervsmæssigt udøver en eller flere af aktiviteterne oplistet i bilag 1: Et finansieringsinstitut omfattet af artikel 3, nr. 2,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r w:rsidRPr="00796736">
        <w:rPr>
          <w:rFonts w:ascii="Times New Roman" w:eastAsia="Times New Roman" w:hAnsi="Times New Roman" w:cs="Times New Roman"/>
          <w:sz w:val="24"/>
          <w:szCs w:val="24"/>
          <w:lang w:eastAsia="da-DK"/>
        </w:rPr>
        <w:t>, der erhvervsmæssigt udøver en eller flere af aktiviteterne oplistet i bilag 1, jf. dog § 1, stk. 7.</w:t>
      </w:r>
    </w:p>
    <w:p w14:paraId="0320B2AF" w14:textId="367F0516"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Investeringsforvaltningsselskab og forvalter af alternative investeringsfonde: Et finansieringsinstitut omfattet af artikel 3, nr. 2, og artikel 2, stk. 1, nr. 6, litra e,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187390AF" w14:textId="222BFCFC" w:rsidR="00E34EDA" w:rsidRPr="00796736" w:rsidRDefault="004605B1">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 </w:t>
      </w:r>
      <w:r w:rsidR="00E34EDA" w:rsidRPr="00796736">
        <w:rPr>
          <w:rFonts w:ascii="Times New Roman" w:eastAsia="Times New Roman" w:hAnsi="Times New Roman" w:cs="Times New Roman"/>
          <w:sz w:val="24"/>
          <w:szCs w:val="24"/>
          <w:lang w:eastAsia="da-DK"/>
        </w:rPr>
        <w:t xml:space="preserve">Dansk UCITS og alternativ investeringsfond: Et finansieringsinstitut omfattet af artikel 3, nr. 2, og artikel 2, stk. 1, nr. 6, litra e,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24824A64" w14:textId="03A4A508" w:rsidR="00E34EDA" w:rsidRPr="00796736" w:rsidRDefault="004605B1">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 </w:t>
      </w:r>
      <w:r w:rsidR="00E34EDA" w:rsidRPr="00796736">
        <w:rPr>
          <w:rFonts w:ascii="Times New Roman" w:eastAsia="Times New Roman" w:hAnsi="Times New Roman" w:cs="Times New Roman"/>
          <w:sz w:val="24"/>
          <w:szCs w:val="24"/>
          <w:lang w:eastAsia="da-DK"/>
        </w:rPr>
        <w:t xml:space="preserve">Valutavekslingsvirksomhed: Et finansieringsinstitut omfattet af artikel 3, nr. 2, og artikel 2, stk. 1, nr. 6, litra a,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r w:rsidR="00E34EDA" w:rsidRPr="00796736">
        <w:rPr>
          <w:rFonts w:ascii="Times New Roman" w:eastAsia="Times New Roman" w:hAnsi="Times New Roman" w:cs="Times New Roman"/>
          <w:sz w:val="24"/>
          <w:szCs w:val="24"/>
          <w:lang w:eastAsia="da-DK"/>
        </w:rPr>
        <w:t>, jf. dog § 1, stk. 7.</w:t>
      </w:r>
    </w:p>
    <w:p w14:paraId="0D0FF36B" w14:textId="172491F6" w:rsidR="008416CB" w:rsidRPr="00796736" w:rsidRDefault="008416CB">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Udbyder af kryptoaktivtjenester: Et finansieringsinstitut omfattet af artikel 3, nr. 2, og artikel 2, stk. 1, nr. 9,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r w:rsidRPr="00796736">
        <w:rPr>
          <w:rFonts w:ascii="Times New Roman" w:eastAsia="Times New Roman" w:hAnsi="Times New Roman" w:cs="Times New Roman"/>
          <w:sz w:val="24"/>
          <w:szCs w:val="24"/>
          <w:lang w:eastAsia="da-DK"/>
        </w:rPr>
        <w:t>, herunder også disses agenter, distributører eller anden infrastruktur.</w:t>
      </w:r>
    </w:p>
    <w:p w14:paraId="25442DEB" w14:textId="32B0095D"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Crowdfundingtjenesteudbyder: En virksomhed omfattet af artikel 3, nr. 3, litra h, og artikel 2, stk. 1, nr. 15,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43A25561" w14:textId="66E5698E"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Crowdfundingformidler: En virksomhed omfattet af artikel 3, nr. 3, litra h, og artikel 2, stk. 1, nr. 16,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45B24F3E" w14:textId="098BB890"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Kreditformidler: En virksomhed omfattet af artikel 3, nr. 3, litra k, og artikel 2, stk. 1, nr. 6, litra h,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6496D1AA" w14:textId="7B8350BD"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Værdipapircentral: Et finansieringsinstitut omfattet af artikel 3, nr. 2, og artikel 2, stk. 1, nr. 6, litra f,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08F6664A" w14:textId="6619082F"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Finansielt holdingselskab: </w:t>
      </w:r>
      <w:r w:rsidR="008416CB" w:rsidRPr="00796736">
        <w:rPr>
          <w:rFonts w:ascii="Times New Roman" w:eastAsia="Times New Roman" w:hAnsi="Times New Roman" w:cs="Times New Roman"/>
          <w:sz w:val="24"/>
          <w:szCs w:val="24"/>
          <w:lang w:eastAsia="da-DK"/>
        </w:rPr>
        <w:t xml:space="preserve">Et finansieringsinstitut omfattet af artikel 3, nr. 2, og artikel 2, nr. 6, litra a,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 xml:space="preserve">hvidvaskforordningen </w:t>
      </w:r>
      <w:r w:rsidR="008416CB" w:rsidRPr="00796736">
        <w:rPr>
          <w:rFonts w:ascii="Times New Roman" w:eastAsia="Times New Roman" w:hAnsi="Times New Roman" w:cs="Times New Roman"/>
          <w:sz w:val="24"/>
          <w:szCs w:val="24"/>
          <w:lang w:eastAsia="da-DK"/>
        </w:rPr>
        <w:t>samt</w:t>
      </w:r>
      <w:r w:rsidRPr="00796736">
        <w:rPr>
          <w:rFonts w:ascii="Times New Roman" w:eastAsia="Times New Roman" w:hAnsi="Times New Roman" w:cs="Times New Roman"/>
          <w:sz w:val="24"/>
          <w:szCs w:val="24"/>
          <w:lang w:eastAsia="da-DK"/>
        </w:rPr>
        <w:t xml:space="preserve"> artikel 4, stk. 1, nr. 20, i forordning (EU) nr. 575/2013.</w:t>
      </w:r>
    </w:p>
    <w:p w14:paraId="6FBEDE33" w14:textId="4B943B1C"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Blandet finansielt holdingselskab: Et finansieringsinstitut omfattet af artikel 3, nr. 2, og </w:t>
      </w:r>
      <w:r w:rsidR="008416CB" w:rsidRPr="00796736">
        <w:rPr>
          <w:rFonts w:ascii="Times New Roman" w:eastAsia="Times New Roman" w:hAnsi="Times New Roman" w:cs="Times New Roman"/>
          <w:sz w:val="24"/>
          <w:szCs w:val="24"/>
          <w:lang w:eastAsia="da-DK"/>
        </w:rPr>
        <w:t xml:space="preserve">artikel 2, nr. 6, litra a,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 xml:space="preserve">hvidvaskforordningen </w:t>
      </w:r>
      <w:r w:rsidR="008416CB" w:rsidRPr="00796736">
        <w:rPr>
          <w:rFonts w:ascii="Times New Roman" w:eastAsia="Times New Roman" w:hAnsi="Times New Roman" w:cs="Times New Roman"/>
          <w:sz w:val="24"/>
          <w:szCs w:val="24"/>
          <w:lang w:eastAsia="da-DK"/>
        </w:rPr>
        <w:t xml:space="preserve">samt </w:t>
      </w:r>
      <w:r w:rsidRPr="00796736">
        <w:rPr>
          <w:rFonts w:ascii="Times New Roman" w:eastAsia="Times New Roman" w:hAnsi="Times New Roman" w:cs="Times New Roman"/>
          <w:sz w:val="24"/>
          <w:szCs w:val="24"/>
          <w:lang w:eastAsia="da-DK"/>
        </w:rPr>
        <w:t>artikel 2, nr. 15, i direktiv 2002/87/EF.</w:t>
      </w:r>
    </w:p>
    <w:p w14:paraId="085F4903" w14:textId="453FA505" w:rsidR="00E34EDA" w:rsidRPr="00796736" w:rsidRDefault="00E34EDA">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Finansielt holdingselskab med blandet aktivitet: Et finansieringsinstitut omfattet af artikel 3, nr. 2, og artikel 2, stk. 1, nr. 10, </w:t>
      </w:r>
      <w:r w:rsidR="00CB389F" w:rsidRPr="00796736">
        <w:rPr>
          <w:rFonts w:ascii="Times New Roman" w:eastAsia="Times New Roman" w:hAnsi="Times New Roman" w:cs="Times New Roman"/>
          <w:sz w:val="24"/>
          <w:szCs w:val="24"/>
          <w:lang w:eastAsia="da-DK"/>
        </w:rPr>
        <w:t xml:space="preserve">i </w:t>
      </w:r>
      <w:r w:rsidR="00CB389F">
        <w:rPr>
          <w:rFonts w:ascii="Times New Roman" w:eastAsia="Times New Roman" w:hAnsi="Times New Roman" w:cs="Times New Roman"/>
          <w:sz w:val="24"/>
          <w:szCs w:val="24"/>
          <w:lang w:eastAsia="da-DK"/>
        </w:rPr>
        <w:t>hvidvaskforordningen.</w:t>
      </w:r>
    </w:p>
    <w:p w14:paraId="472D902F" w14:textId="77777777"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Revisorer: Revisorer omfattet af hvidvaskforordningens artikel 3, nr. 3, litra a, herunder revisorer og revisionsvirksomheder godkendt i henhold til revisorloven.</w:t>
      </w:r>
    </w:p>
    <w:p w14:paraId="3A013D88" w14:textId="77777777"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Eksterne regnskabskyndige: Eksterne regnskabskyndige omfattet af hvidvaskforordningens artikel 3, nr. 3, litra a, herunder eksterne bogholdere og revisorer, som ikke er godkendt i henhold til revisorloven.</w:t>
      </w:r>
    </w:p>
    <w:p w14:paraId="5CA257CE" w14:textId="77777777"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Skatterådgivere: Skatterådgivere og enhver anden fysisk eller juridisk person omfattet af hvidvaskforordningens artikel 3, nr. 3, litra a.</w:t>
      </w:r>
    </w:p>
    <w:p w14:paraId="5B0F6C06" w14:textId="77777777"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Andre selvstændige retlige aktører: Andre selvstændige retlige aktører omfattet af henholdsvis hvidvaskforordningens artikel 3, nr. 3, litra a, og artikel 3, nr. 3, litra b, for så vidt at disse ikke er enten notarer eller advokater.</w:t>
      </w:r>
    </w:p>
    <w:p w14:paraId="79B01B7C" w14:textId="77777777"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Ejendomsmæglere og andre professionelle i forbindelse med fast ejendom: Ejendomsmæglere og andre professionelle i forbindelse med fast ejendom omfattet af hvidvaskforordningens artikel 3, nr. 3, litra d.</w:t>
      </w:r>
    </w:p>
    <w:p w14:paraId="741B672B" w14:textId="77777777"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Forhandlere af ædelmetaller og ædelsten: Fysiske eller juridiske personer omfattet af hvidvaskforordningens artikel 3, nr. 3, litra e, der som regelmæssig eller vigtigste erhvervsmæssige virksomhed handler med ædelmetaller og ædelsten, som oplistet i bilag V til hvidvaskforordningen.</w:t>
      </w:r>
    </w:p>
    <w:p w14:paraId="5A51D807" w14:textId="77777777"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Forhandlere af højværdivarer: Fysiske eller juridiske personer omfattet af hvidvaskforordningens artikel 3, nr. 3, litra f, der som regelmæssig eller vigtigste erhvervsmæssige virksomhed handler med varer af høj værdi, som oplistet i bilag IV til hvidvaskforordningen.</w:t>
      </w:r>
    </w:p>
    <w:p w14:paraId="10D964AE" w14:textId="47F6FDF4" w:rsidR="0028002B" w:rsidRPr="00796736" w:rsidRDefault="004605B1">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 </w:t>
      </w:r>
      <w:r w:rsidR="0028002B" w:rsidRPr="00796736">
        <w:rPr>
          <w:rFonts w:ascii="Times New Roman" w:hAnsi="Times New Roman" w:cs="Times New Roman"/>
          <w:sz w:val="24"/>
          <w:szCs w:val="24"/>
          <w:lang w:eastAsia="da-DK"/>
        </w:rPr>
        <w:t>Forhandlere af kulturgoder: Fysiske eller juridiske personer omfattet af hvidvaskforordningens artikel 3, nr. 3, litra i, som handler med eller formidler handel med kulturgoder, som nærmere defineret i hvidvaskforordningens artikel 2, stk. 1, nr. 56, herunder når dette udføres af kunstgallerier og auktionshuse, hvor værdien af transaktionen eller indbyrdes forbundne transaktioner beløber sig til mindst 10 000 EUR eller et tilsvarende beløb i national valuta.</w:t>
      </w:r>
    </w:p>
    <w:p w14:paraId="7EF81C68" w14:textId="77777777"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Forhandlere og formidlere af højværdivarer og kulturgoder inden for frizoner og toldoplag: Fysiske eller juridiske personer omfattet af hvidvaskforordningens artikel 3, nr. 3, litra j, som opbevarer, handler med eller formidler handel med kulturgoder, som nærmere defineret i hvidvaskforordningens artikel 2, stk. 1, nr. 56, og varer af høj værdi, som oplistet i bilag IV til hvidvaskforordningen, når dette udføres inden for frizoner og toldoplag, hvor værdien af transaktionen eller indbyrdes forbundne transaktioner beløber sig til mindst 10 000 EUR eller et tilsvarende beløb i national valuta.</w:t>
      </w:r>
    </w:p>
    <w:p w14:paraId="2BC61925" w14:textId="218AD6F9" w:rsidR="0028002B" w:rsidRPr="00796736" w:rsidRDefault="0028002B">
      <w:pPr>
        <w:pStyle w:val="Listeafsnit"/>
        <w:numPr>
          <w:ilvl w:val="0"/>
          <w:numId w:val="19"/>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Udbydere af tjenester til truster eller virksomheder: Udbydere af tjenester til truster eller virksomheder, som omfattet af hvidvaskforordningens artikel 3, nr. 3, litra c og som nærmere defineret i hvidvaskforordningens artikel 2, stk. 1, nr. 11.</w:t>
      </w:r>
    </w:p>
    <w:p w14:paraId="222BF94D" w14:textId="73541F22" w:rsidR="00F57272" w:rsidRPr="00796736" w:rsidRDefault="00E67671">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rPr>
        <w:t xml:space="preserve">Udbydere af spil: </w:t>
      </w:r>
      <w:r w:rsidR="00DF1D0A" w:rsidRPr="00796736">
        <w:rPr>
          <w:rFonts w:ascii="Times New Roman" w:eastAsia="Times New Roman" w:hAnsi="Times New Roman" w:cs="Times New Roman"/>
          <w:sz w:val="24"/>
          <w:szCs w:val="24"/>
        </w:rPr>
        <w:t>U</w:t>
      </w:r>
      <w:r w:rsidRPr="00796736">
        <w:rPr>
          <w:rFonts w:ascii="Times New Roman" w:eastAsia="Times New Roman" w:hAnsi="Times New Roman" w:cs="Times New Roman"/>
          <w:sz w:val="24"/>
          <w:szCs w:val="24"/>
        </w:rPr>
        <w:t xml:space="preserve">dbydere af spiltjenester </w:t>
      </w:r>
      <w:r w:rsidR="00282A85" w:rsidRPr="00796736">
        <w:rPr>
          <w:rFonts w:ascii="Times New Roman" w:eastAsia="Times New Roman" w:hAnsi="Times New Roman" w:cs="Times New Roman"/>
          <w:sz w:val="24"/>
          <w:szCs w:val="24"/>
        </w:rPr>
        <w:t>omfattet af</w:t>
      </w:r>
      <w:r w:rsidR="00DF1D0A" w:rsidRPr="00796736">
        <w:rPr>
          <w:rFonts w:ascii="Times New Roman" w:eastAsia="Times New Roman" w:hAnsi="Times New Roman" w:cs="Times New Roman"/>
          <w:sz w:val="24"/>
          <w:szCs w:val="24"/>
        </w:rPr>
        <w:t xml:space="preserve"> hvidvaskforordningens</w:t>
      </w:r>
      <w:r w:rsidRPr="00796736">
        <w:rPr>
          <w:rFonts w:ascii="Times New Roman" w:eastAsia="Times New Roman" w:hAnsi="Times New Roman" w:cs="Times New Roman"/>
          <w:sz w:val="24"/>
          <w:szCs w:val="24"/>
        </w:rPr>
        <w:t xml:space="preserve"> artikel 3, nr. 3, litra g,</w:t>
      </w:r>
      <w:r w:rsidR="00282A85"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rPr>
        <w:t>og som defineret i lov om spil.</w:t>
      </w:r>
    </w:p>
    <w:p w14:paraId="279A8E00" w14:textId="7A2EFD3D" w:rsidR="0058400D" w:rsidRPr="00796736" w:rsidRDefault="0058400D">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rPr>
        <w:t>Advokater: Advokater, fællesskaber af advokater og advokatselskaber</w:t>
      </w:r>
      <w:r w:rsidR="002128F7">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omfattet af hvidvaskforordningens artikel 3, nr. 3, litra a og b. </w:t>
      </w:r>
    </w:p>
    <w:p w14:paraId="153E5DCD" w14:textId="35DC50F2" w:rsidR="0028002B" w:rsidRPr="00796736" w:rsidRDefault="0028002B">
      <w:pPr>
        <w:numPr>
          <w:ilvl w:val="0"/>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Ikkefinansielt holdingselskab med blandet aktivitet: En virksomhed omfattet af artikel 3, nr. 3, litra m, som nærmere defineret i </w:t>
      </w:r>
      <w:r w:rsidR="00DF1D0A" w:rsidRPr="00796736">
        <w:rPr>
          <w:rFonts w:ascii="Times New Roman" w:eastAsia="Times New Roman" w:hAnsi="Times New Roman" w:cs="Times New Roman"/>
          <w:sz w:val="24"/>
          <w:szCs w:val="24"/>
          <w:lang w:eastAsia="da-DK"/>
        </w:rPr>
        <w:t xml:space="preserve">hvidvaskforordningens </w:t>
      </w:r>
      <w:r w:rsidRPr="00796736">
        <w:rPr>
          <w:rFonts w:ascii="Times New Roman" w:eastAsia="Times New Roman" w:hAnsi="Times New Roman" w:cs="Times New Roman"/>
          <w:sz w:val="24"/>
          <w:szCs w:val="24"/>
          <w:lang w:eastAsia="da-DK"/>
        </w:rPr>
        <w:t xml:space="preserve">artikel 2, stk. 1, nr. 13, </w:t>
      </w:r>
      <w:r w:rsidR="00EB6FE4" w:rsidRPr="00796736">
        <w:rPr>
          <w:rFonts w:ascii="Times New Roman" w:eastAsia="Times New Roman" w:hAnsi="Times New Roman" w:cs="Times New Roman"/>
          <w:sz w:val="24"/>
          <w:szCs w:val="24"/>
          <w:lang w:eastAsia="da-DK"/>
        </w:rPr>
        <w:t>hvor mindst ét</w:t>
      </w:r>
      <w:r w:rsidRPr="00796736">
        <w:rPr>
          <w:rFonts w:ascii="Times New Roman" w:eastAsia="Times New Roman" w:hAnsi="Times New Roman" w:cs="Times New Roman"/>
          <w:sz w:val="24"/>
          <w:szCs w:val="24"/>
          <w:lang w:eastAsia="da-DK"/>
        </w:rPr>
        <w:t xml:space="preserve"> datterselskab</w:t>
      </w:r>
      <w:r w:rsidR="00DF1D0A" w:rsidRPr="00796736">
        <w:rPr>
          <w:rFonts w:ascii="Times New Roman" w:eastAsia="Times New Roman" w:hAnsi="Times New Roman" w:cs="Times New Roman"/>
          <w:sz w:val="24"/>
          <w:szCs w:val="24"/>
          <w:lang w:eastAsia="da-DK"/>
        </w:rPr>
        <w:t>:</w:t>
      </w:r>
    </w:p>
    <w:p w14:paraId="14A135DA" w14:textId="033E61F4" w:rsidR="0028002B" w:rsidRPr="00796736" w:rsidRDefault="00DF1D0A">
      <w:pPr>
        <w:numPr>
          <w:ilvl w:val="1"/>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U</w:t>
      </w:r>
      <w:r w:rsidR="00EB6FE4" w:rsidRPr="00796736">
        <w:rPr>
          <w:rFonts w:ascii="Times New Roman" w:eastAsia="Times New Roman" w:hAnsi="Times New Roman" w:cs="Times New Roman"/>
          <w:sz w:val="24"/>
          <w:szCs w:val="24"/>
          <w:lang w:eastAsia="da-DK"/>
        </w:rPr>
        <w:t>dgør en af de i nr. 13-15 oplistede typer af virksomheder og personer</w:t>
      </w:r>
      <w:r w:rsidR="0028002B" w:rsidRPr="00796736">
        <w:rPr>
          <w:rFonts w:ascii="Times New Roman" w:eastAsia="Times New Roman" w:hAnsi="Times New Roman" w:cs="Times New Roman"/>
          <w:sz w:val="24"/>
          <w:szCs w:val="24"/>
          <w:lang w:eastAsia="da-DK"/>
        </w:rPr>
        <w:t>.</w:t>
      </w:r>
    </w:p>
    <w:p w14:paraId="09E0C3C4" w14:textId="634A03CC" w:rsidR="0028002B" w:rsidRPr="00796736" w:rsidRDefault="00DF1D0A">
      <w:pPr>
        <w:numPr>
          <w:ilvl w:val="1"/>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U</w:t>
      </w:r>
      <w:r w:rsidR="0028002B" w:rsidRPr="00796736">
        <w:rPr>
          <w:rFonts w:ascii="Times New Roman" w:eastAsia="Times New Roman" w:hAnsi="Times New Roman" w:cs="Times New Roman"/>
          <w:sz w:val="24"/>
          <w:szCs w:val="24"/>
          <w:lang w:eastAsia="da-DK"/>
        </w:rPr>
        <w:t xml:space="preserve">dgør en af de </w:t>
      </w:r>
      <w:r w:rsidR="00EB6FE4" w:rsidRPr="00796736">
        <w:rPr>
          <w:rFonts w:ascii="Times New Roman" w:eastAsia="Times New Roman" w:hAnsi="Times New Roman" w:cs="Times New Roman"/>
          <w:sz w:val="24"/>
          <w:szCs w:val="24"/>
          <w:lang w:eastAsia="da-DK"/>
        </w:rPr>
        <w:t xml:space="preserve">i </w:t>
      </w:r>
      <w:r w:rsidR="0028002B" w:rsidRPr="00796736">
        <w:rPr>
          <w:rFonts w:ascii="Times New Roman" w:eastAsia="Times New Roman" w:hAnsi="Times New Roman" w:cs="Times New Roman"/>
          <w:sz w:val="24"/>
          <w:szCs w:val="24"/>
          <w:lang w:eastAsia="da-DK"/>
        </w:rPr>
        <w:t>nr. 20-29 oplistede typer af virksomheder og personer.</w:t>
      </w:r>
    </w:p>
    <w:p w14:paraId="7221C98F" w14:textId="710D6C07" w:rsidR="0028002B" w:rsidRPr="00796736" w:rsidRDefault="00DF1D0A">
      <w:pPr>
        <w:numPr>
          <w:ilvl w:val="1"/>
          <w:numId w:val="19"/>
        </w:numPr>
        <w:tabs>
          <w:tab w:val="num" w:pos="720"/>
        </w:tabs>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U</w:t>
      </w:r>
      <w:r w:rsidR="00EB6FE4" w:rsidRPr="00796736">
        <w:rPr>
          <w:rFonts w:ascii="Times New Roman" w:eastAsia="Times New Roman" w:hAnsi="Times New Roman" w:cs="Times New Roman"/>
          <w:sz w:val="24"/>
          <w:szCs w:val="24"/>
          <w:lang w:eastAsia="da-DK"/>
        </w:rPr>
        <w:t xml:space="preserve">dgør </w:t>
      </w:r>
      <w:r w:rsidR="0028002B" w:rsidRPr="00796736">
        <w:rPr>
          <w:rFonts w:ascii="Times New Roman" w:eastAsia="Times New Roman" w:hAnsi="Times New Roman" w:cs="Times New Roman"/>
          <w:sz w:val="24"/>
          <w:szCs w:val="24"/>
          <w:lang w:eastAsia="da-DK"/>
        </w:rPr>
        <w:t xml:space="preserve">udbyder af spil, som </w:t>
      </w:r>
      <w:r w:rsidR="00EB6FE4" w:rsidRPr="00796736">
        <w:rPr>
          <w:rFonts w:ascii="Times New Roman" w:eastAsia="Times New Roman" w:hAnsi="Times New Roman" w:cs="Times New Roman"/>
          <w:sz w:val="24"/>
          <w:szCs w:val="24"/>
          <w:lang w:eastAsia="da-DK"/>
        </w:rPr>
        <w:t>oplistet</w:t>
      </w:r>
      <w:r w:rsidR="0028002B" w:rsidRPr="00796736">
        <w:rPr>
          <w:rFonts w:ascii="Times New Roman" w:eastAsia="Times New Roman" w:hAnsi="Times New Roman" w:cs="Times New Roman"/>
          <w:sz w:val="24"/>
          <w:szCs w:val="24"/>
          <w:lang w:eastAsia="da-DK"/>
        </w:rPr>
        <w:t xml:space="preserve"> i nr. 30.</w:t>
      </w:r>
    </w:p>
    <w:p w14:paraId="25997D04" w14:textId="77777777" w:rsidR="00881C13" w:rsidRDefault="00881C13" w:rsidP="00385CFF">
      <w:pPr>
        <w:spacing w:line="360" w:lineRule="auto"/>
        <w:rPr>
          <w:rFonts w:ascii="Times New Roman" w:hAnsi="Times New Roman" w:cs="Times New Roman"/>
          <w:sz w:val="24"/>
          <w:szCs w:val="24"/>
        </w:rPr>
      </w:pPr>
    </w:p>
    <w:p w14:paraId="5183D4C6" w14:textId="77777777" w:rsidR="00385CFF" w:rsidRPr="00796736" w:rsidRDefault="00385CFF" w:rsidP="00385CFF">
      <w:pPr>
        <w:spacing w:line="360" w:lineRule="auto"/>
        <w:rPr>
          <w:rFonts w:ascii="Times New Roman" w:hAnsi="Times New Roman" w:cs="Times New Roman"/>
          <w:sz w:val="24"/>
          <w:szCs w:val="24"/>
        </w:rPr>
      </w:pPr>
    </w:p>
    <w:p w14:paraId="14029771" w14:textId="779B0EAF" w:rsidR="00881C13" w:rsidRPr="00796736" w:rsidRDefault="00EC3AAE" w:rsidP="009D0701">
      <w:pPr>
        <w:spacing w:line="360" w:lineRule="auto"/>
        <w:ind w:firstLine="238"/>
        <w:jc w:val="center"/>
        <w:rPr>
          <w:rFonts w:ascii="Times New Roman" w:hAnsi="Times New Roman" w:cs="Times New Roman"/>
          <w:i/>
          <w:iCs/>
          <w:sz w:val="24"/>
          <w:szCs w:val="24"/>
          <w:lang w:eastAsia="da-DK"/>
        </w:rPr>
      </w:pPr>
      <w:r w:rsidRPr="00796736">
        <w:rPr>
          <w:rFonts w:ascii="Times New Roman" w:hAnsi="Times New Roman" w:cs="Times New Roman"/>
          <w:i/>
          <w:iCs/>
          <w:sz w:val="24"/>
          <w:szCs w:val="24"/>
          <w:lang w:eastAsia="da-DK"/>
        </w:rPr>
        <w:t>Forbud mod og begrænsning af kontantbetalinger</w:t>
      </w:r>
    </w:p>
    <w:p w14:paraId="34B1F8CC" w14:textId="5A5887B6" w:rsidR="00BC2982" w:rsidRPr="00796736" w:rsidRDefault="00BC2982" w:rsidP="00385CFF">
      <w:pPr>
        <w:pStyle w:val="Typografi1"/>
        <w:ind w:left="0" w:firstLine="238"/>
        <w:rPr>
          <w:rFonts w:ascii="Times New Roman" w:eastAsia="Calibri" w:hAnsi="Times New Roman" w:cs="Times New Roman"/>
          <w:sz w:val="24"/>
          <w:szCs w:val="24"/>
        </w:rPr>
      </w:pPr>
      <w:bookmarkStart w:id="9" w:name="_Ref232592944"/>
      <w:bookmarkStart w:id="10" w:name="_Toc244878986"/>
      <w:bookmarkStart w:id="11" w:name="_Toc244880510"/>
      <w:r w:rsidRPr="00796736">
        <w:rPr>
          <w:rFonts w:ascii="Times New Roman" w:eastAsia="Calibri" w:hAnsi="Times New Roman" w:cs="Times New Roman"/>
          <w:sz w:val="24"/>
          <w:szCs w:val="24"/>
        </w:rPr>
        <w:t xml:space="preserve">Virksomheder og personer </w:t>
      </w:r>
      <w:r w:rsidR="00E72BFF" w:rsidRPr="00796736">
        <w:rPr>
          <w:rFonts w:ascii="Times New Roman" w:eastAsia="Calibri" w:hAnsi="Times New Roman" w:cs="Times New Roman"/>
          <w:sz w:val="24"/>
          <w:szCs w:val="24"/>
        </w:rPr>
        <w:t>nævnt i</w:t>
      </w:r>
      <w:r w:rsidRPr="00796736">
        <w:rPr>
          <w:rFonts w:ascii="Times New Roman" w:eastAsia="Calibri" w:hAnsi="Times New Roman" w:cs="Times New Roman"/>
          <w:sz w:val="24"/>
          <w:szCs w:val="24"/>
        </w:rPr>
        <w:t xml:space="preserve"> </w:t>
      </w:r>
      <w:r w:rsidR="009523E7" w:rsidRPr="00796736">
        <w:rPr>
          <w:rFonts w:ascii="Times New Roman" w:eastAsia="Calibri" w:hAnsi="Times New Roman" w:cs="Times New Roman"/>
          <w:sz w:val="24"/>
          <w:szCs w:val="24"/>
        </w:rPr>
        <w:t>§ 1, stk. 2</w:t>
      </w:r>
      <w:r w:rsidR="002B4BDE">
        <w:rPr>
          <w:rFonts w:ascii="Times New Roman" w:eastAsia="Calibri" w:hAnsi="Times New Roman" w:cs="Times New Roman"/>
          <w:sz w:val="24"/>
          <w:szCs w:val="24"/>
        </w:rPr>
        <w:t>, nr. 1-3</w:t>
      </w:r>
      <w:r w:rsidR="009523E7" w:rsidRPr="00796736">
        <w:rPr>
          <w:rFonts w:ascii="Times New Roman" w:eastAsia="Calibri" w:hAnsi="Times New Roman" w:cs="Times New Roman"/>
          <w:sz w:val="24"/>
          <w:szCs w:val="24"/>
        </w:rPr>
        <w:t xml:space="preserve">, </w:t>
      </w:r>
      <w:r w:rsidR="002B4BDE">
        <w:rPr>
          <w:rFonts w:ascii="Times New Roman" w:eastAsia="Calibri" w:hAnsi="Times New Roman" w:cs="Times New Roman"/>
          <w:sz w:val="24"/>
          <w:szCs w:val="24"/>
        </w:rPr>
        <w:t>samt</w:t>
      </w:r>
      <w:r w:rsidR="009523E7" w:rsidRPr="00796736">
        <w:rPr>
          <w:rFonts w:ascii="Times New Roman" w:eastAsia="Calibri" w:hAnsi="Times New Roman" w:cs="Times New Roman"/>
          <w:sz w:val="24"/>
          <w:szCs w:val="24"/>
        </w:rPr>
        <w:t xml:space="preserve"> </w:t>
      </w:r>
      <w:r w:rsidR="00D95732" w:rsidRPr="00796736">
        <w:rPr>
          <w:rFonts w:ascii="Times New Roman" w:eastAsia="Calibri" w:hAnsi="Times New Roman" w:cs="Times New Roman"/>
          <w:sz w:val="24"/>
          <w:szCs w:val="24"/>
        </w:rPr>
        <w:fldChar w:fldCharType="begin"/>
      </w:r>
      <w:r w:rsidR="00D95732" w:rsidRPr="00796736">
        <w:rPr>
          <w:rFonts w:ascii="Times New Roman" w:eastAsia="Calibri" w:hAnsi="Times New Roman" w:cs="Times New Roman"/>
          <w:sz w:val="24"/>
          <w:szCs w:val="24"/>
        </w:rPr>
        <w:instrText xml:space="preserve"> REF _Ref232592818 \r \h </w:instrText>
      </w:r>
      <w:r w:rsidR="00967618" w:rsidRPr="00796736">
        <w:rPr>
          <w:rFonts w:ascii="Times New Roman" w:eastAsia="Calibri" w:hAnsi="Times New Roman" w:cs="Times New Roman"/>
          <w:sz w:val="24"/>
          <w:szCs w:val="24"/>
        </w:rPr>
        <w:instrText xml:space="preserve"> \* MERGEFORMAT </w:instrText>
      </w:r>
      <w:r w:rsidR="00D95732" w:rsidRPr="00796736">
        <w:rPr>
          <w:rFonts w:ascii="Times New Roman" w:eastAsia="Calibri" w:hAnsi="Times New Roman" w:cs="Times New Roman"/>
          <w:sz w:val="24"/>
          <w:szCs w:val="24"/>
        </w:rPr>
      </w:r>
      <w:r w:rsidR="00D9573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D95732" w:rsidRPr="00796736">
        <w:rPr>
          <w:rFonts w:ascii="Times New Roman" w:eastAsia="Calibri" w:hAnsi="Times New Roman" w:cs="Times New Roman"/>
          <w:sz w:val="24"/>
          <w:szCs w:val="24"/>
        </w:rPr>
        <w:fldChar w:fldCharType="end"/>
      </w:r>
      <w:r w:rsidR="00E67671" w:rsidRPr="00796736">
        <w:rPr>
          <w:rFonts w:ascii="Times New Roman" w:eastAsia="Calibri" w:hAnsi="Times New Roman" w:cs="Times New Roman"/>
          <w:sz w:val="24"/>
          <w:szCs w:val="24"/>
        </w:rPr>
        <w:t xml:space="preserve">, nr. </w:t>
      </w:r>
      <w:r w:rsidR="008E7C8E" w:rsidRPr="00796736">
        <w:rPr>
          <w:rFonts w:ascii="Times New Roman" w:eastAsia="Calibri" w:hAnsi="Times New Roman" w:cs="Times New Roman"/>
          <w:sz w:val="24"/>
          <w:szCs w:val="24"/>
        </w:rPr>
        <w:t>4-5</w:t>
      </w:r>
      <w:r w:rsidR="00BB61EE" w:rsidRPr="00796736">
        <w:rPr>
          <w:rFonts w:ascii="Times New Roman" w:eastAsia="Calibri" w:hAnsi="Times New Roman" w:cs="Times New Roman"/>
          <w:sz w:val="24"/>
          <w:szCs w:val="24"/>
        </w:rPr>
        <w:t>, 7-11</w:t>
      </w:r>
      <w:r w:rsidR="008E7C8E" w:rsidRPr="00796736">
        <w:rPr>
          <w:rFonts w:ascii="Times New Roman" w:eastAsia="Calibri" w:hAnsi="Times New Roman" w:cs="Times New Roman"/>
          <w:sz w:val="24"/>
          <w:szCs w:val="24"/>
        </w:rPr>
        <w:t xml:space="preserve"> </w:t>
      </w:r>
      <w:r w:rsidR="002B4BDE">
        <w:rPr>
          <w:rFonts w:ascii="Times New Roman" w:eastAsia="Calibri" w:hAnsi="Times New Roman" w:cs="Times New Roman"/>
          <w:sz w:val="24"/>
          <w:szCs w:val="24"/>
        </w:rPr>
        <w:t>og</w:t>
      </w:r>
      <w:r w:rsidR="008E7C8E" w:rsidRPr="00796736">
        <w:rPr>
          <w:rFonts w:ascii="Times New Roman" w:eastAsia="Calibri" w:hAnsi="Times New Roman" w:cs="Times New Roman"/>
          <w:sz w:val="24"/>
          <w:szCs w:val="24"/>
        </w:rPr>
        <w:t xml:space="preserve"> </w:t>
      </w:r>
      <w:r w:rsidR="00BB61EE" w:rsidRPr="00796736">
        <w:rPr>
          <w:rFonts w:ascii="Times New Roman" w:eastAsia="Calibri" w:hAnsi="Times New Roman" w:cs="Times New Roman"/>
          <w:sz w:val="24"/>
          <w:szCs w:val="24"/>
        </w:rPr>
        <w:t>nr. 13-</w:t>
      </w:r>
      <w:r w:rsidR="00BA5A56" w:rsidRPr="00796736">
        <w:rPr>
          <w:rFonts w:ascii="Times New Roman" w:eastAsia="Calibri" w:hAnsi="Times New Roman" w:cs="Times New Roman"/>
          <w:sz w:val="24"/>
          <w:szCs w:val="24"/>
        </w:rPr>
        <w:t>32, litra a-c</w:t>
      </w:r>
      <w:r w:rsidR="00E67671" w:rsidRPr="00796736">
        <w:rPr>
          <w:rFonts w:ascii="Times New Roman" w:eastAsia="Calibri" w:hAnsi="Times New Roman" w:cs="Times New Roman"/>
          <w:sz w:val="24"/>
          <w:szCs w:val="24"/>
        </w:rPr>
        <w:t>,</w:t>
      </w:r>
      <w:r w:rsidR="0006551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der erhvervsmæssigt handler med varer eller leverer tjenesteydelser, må kun acceptere eller foretage kontantbetalinger på højest 10.000 EUR eller et tilsvarende beløb i anden valuta, uanset om betalingen gennemføres på én gang eller som flere betalinger, der er eller ser ud til at være indbyrdes forbundet, jf. artikel 80 i </w:t>
      </w:r>
      <w:r w:rsidR="009523E7"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bookmarkEnd w:id="9"/>
      <w:bookmarkEnd w:id="10"/>
      <w:bookmarkEnd w:id="11"/>
    </w:p>
    <w:p w14:paraId="2AA28659" w14:textId="58A84CF0" w:rsidR="00BC2982" w:rsidRPr="00796736" w:rsidRDefault="00BC2982" w:rsidP="00A802A5">
      <w:pPr>
        <w:spacing w:line="360" w:lineRule="auto"/>
        <w:ind w:firstLine="238"/>
        <w:rPr>
          <w:rFonts w:ascii="Times New Roman" w:eastAsia="Calibri" w:hAnsi="Times New Roman" w:cs="Times New Roman"/>
          <w:sz w:val="24"/>
          <w:szCs w:val="24"/>
        </w:rPr>
      </w:pPr>
      <w:r w:rsidRPr="00796736">
        <w:rPr>
          <w:rFonts w:ascii="Times New Roman" w:eastAsia="Calibri" w:hAnsi="Times New Roman" w:cs="Times New Roman"/>
          <w:i/>
          <w:iCs/>
          <w:sz w:val="24"/>
          <w:szCs w:val="24"/>
        </w:rPr>
        <w:t xml:space="preserve">Stk. 2. </w:t>
      </w:r>
      <w:r w:rsidRPr="00796736">
        <w:rPr>
          <w:rFonts w:ascii="Times New Roman" w:eastAsia="Calibri" w:hAnsi="Times New Roman" w:cs="Times New Roman"/>
          <w:sz w:val="24"/>
          <w:szCs w:val="24"/>
        </w:rPr>
        <w:t xml:space="preserve">Virksomheder og personer, der erhvervsmæssigt handler med varer eller leverer tjenesteydelser, og som ikke er omfattet af </w:t>
      </w:r>
      <w:r w:rsidR="00361C95" w:rsidRPr="00796736">
        <w:rPr>
          <w:rFonts w:ascii="Times New Roman" w:eastAsia="Calibri" w:hAnsi="Times New Roman" w:cs="Times New Roman"/>
          <w:sz w:val="24"/>
          <w:szCs w:val="24"/>
        </w:rPr>
        <w:t>stk. 1</w:t>
      </w:r>
      <w:r w:rsidRPr="00796736">
        <w:rPr>
          <w:rFonts w:ascii="Times New Roman" w:eastAsia="Calibri" w:hAnsi="Times New Roman" w:cs="Times New Roman"/>
          <w:sz w:val="24"/>
          <w:szCs w:val="24"/>
        </w:rPr>
        <w:t>, må kun acceptere eller foretage en betaling på højst 14.999 kr. i danske kroner eller et tilsvarende beløb i udenlandsk valuta, uanset om betalingen gennemføres på én gang eller som flere betalinger, der er eller ser ud til at være indbyrdes forbundet.</w:t>
      </w:r>
    </w:p>
    <w:p w14:paraId="730364C8" w14:textId="0BE6895B" w:rsidR="00925FB6" w:rsidRDefault="00BC2982" w:rsidP="00A802A5">
      <w:pPr>
        <w:spacing w:line="360" w:lineRule="auto"/>
        <w:ind w:firstLine="238"/>
        <w:rPr>
          <w:rFonts w:ascii="Times New Roman" w:eastAsia="Calibri" w:hAnsi="Times New Roman" w:cs="Times New Roman"/>
          <w:sz w:val="24"/>
          <w:szCs w:val="24"/>
        </w:rPr>
      </w:pPr>
      <w:r w:rsidRPr="00796736">
        <w:rPr>
          <w:rFonts w:ascii="Times New Roman" w:eastAsia="Calibri" w:hAnsi="Times New Roman" w:cs="Times New Roman"/>
          <w:i/>
          <w:iCs/>
          <w:sz w:val="24"/>
          <w:szCs w:val="24"/>
        </w:rPr>
        <w:t xml:space="preserve">Stk. 3. </w:t>
      </w:r>
      <w:r w:rsidRPr="00796736">
        <w:rPr>
          <w:rFonts w:ascii="Times New Roman" w:eastAsia="Calibri" w:hAnsi="Times New Roman" w:cs="Times New Roman"/>
          <w:sz w:val="24"/>
          <w:szCs w:val="24"/>
        </w:rPr>
        <w:t xml:space="preserve">Skatte- og </w:t>
      </w:r>
      <w:r w:rsidR="00C2489F"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ækstministeren</w:t>
      </w:r>
      <w:r w:rsidR="00C2489F" w:rsidRPr="00796736">
        <w:rPr>
          <w:rFonts w:ascii="Times New Roman" w:eastAsia="Calibri" w:hAnsi="Times New Roman" w:cs="Times New Roman"/>
          <w:sz w:val="24"/>
          <w:szCs w:val="24"/>
        </w:rPr>
        <w:t xml:space="preserve"> og</w:t>
      </w:r>
      <w:r w:rsidR="00D81D3C" w:rsidRPr="00796736">
        <w:rPr>
          <w:rFonts w:ascii="Times New Roman" w:eastAsia="Calibri" w:hAnsi="Times New Roman" w:cs="Times New Roman"/>
          <w:sz w:val="24"/>
          <w:szCs w:val="24"/>
        </w:rPr>
        <w:t xml:space="preserve"> e</w:t>
      </w:r>
      <w:r w:rsidR="00C2489F" w:rsidRPr="00796736">
        <w:rPr>
          <w:rFonts w:ascii="Times New Roman" w:eastAsia="Calibri" w:hAnsi="Times New Roman" w:cs="Times New Roman"/>
          <w:sz w:val="24"/>
          <w:szCs w:val="24"/>
        </w:rPr>
        <w:t xml:space="preserve">rhvervs- og konkurrencekraftsministeren, </w:t>
      </w:r>
      <w:r w:rsidRPr="00796736">
        <w:rPr>
          <w:rFonts w:ascii="Times New Roman" w:eastAsia="Calibri" w:hAnsi="Times New Roman" w:cs="Times New Roman"/>
          <w:sz w:val="24"/>
          <w:szCs w:val="24"/>
        </w:rPr>
        <w:t>eller den, som minist</w:t>
      </w:r>
      <w:r w:rsidR="00C2489F" w:rsidRPr="00796736">
        <w:rPr>
          <w:rFonts w:ascii="Times New Roman" w:eastAsia="Calibri" w:hAnsi="Times New Roman" w:cs="Times New Roman"/>
          <w:sz w:val="24"/>
          <w:szCs w:val="24"/>
        </w:rPr>
        <w:t>r</w:t>
      </w:r>
      <w:r w:rsidRPr="00796736">
        <w:rPr>
          <w:rFonts w:ascii="Times New Roman" w:eastAsia="Calibri" w:hAnsi="Times New Roman" w:cs="Times New Roman"/>
          <w:sz w:val="24"/>
          <w:szCs w:val="24"/>
        </w:rPr>
        <w:t>e</w:t>
      </w:r>
      <w:r w:rsidR="00C2489F" w:rsidRPr="00796736">
        <w:rPr>
          <w:rFonts w:ascii="Times New Roman" w:eastAsia="Calibri" w:hAnsi="Times New Roman" w:cs="Times New Roman"/>
          <w:sz w:val="24"/>
          <w:szCs w:val="24"/>
        </w:rPr>
        <w:t>n</w:t>
      </w:r>
      <w:r w:rsidRPr="00796736">
        <w:rPr>
          <w:rFonts w:ascii="Times New Roman" w:eastAsia="Calibri" w:hAnsi="Times New Roman" w:cs="Times New Roman"/>
          <w:sz w:val="24"/>
          <w:szCs w:val="24"/>
        </w:rPr>
        <w:t>e bemyndiger dertil, kan i særlige tilfælde træffe afgørelse om, at stk. 1 og 2 ikke finder anvendelse.</w:t>
      </w:r>
    </w:p>
    <w:p w14:paraId="04CDFDF8" w14:textId="77777777" w:rsidR="00881C13" w:rsidRDefault="00881C13" w:rsidP="00A802A5">
      <w:pPr>
        <w:spacing w:line="360" w:lineRule="auto"/>
        <w:ind w:firstLine="238"/>
        <w:rPr>
          <w:rFonts w:ascii="Times New Roman" w:hAnsi="Times New Roman" w:cs="Times New Roman"/>
          <w:sz w:val="24"/>
          <w:szCs w:val="24"/>
        </w:rPr>
      </w:pPr>
    </w:p>
    <w:p w14:paraId="21D81D6E" w14:textId="77777777" w:rsidR="00385CFF" w:rsidRPr="00796736" w:rsidRDefault="00385CFF" w:rsidP="00A802A5">
      <w:pPr>
        <w:spacing w:line="360" w:lineRule="auto"/>
        <w:ind w:firstLine="238"/>
        <w:rPr>
          <w:rFonts w:ascii="Times New Roman" w:hAnsi="Times New Roman" w:cs="Times New Roman"/>
          <w:sz w:val="24"/>
          <w:szCs w:val="24"/>
        </w:rPr>
      </w:pPr>
    </w:p>
    <w:p w14:paraId="00253A1F" w14:textId="6B44DB9C" w:rsidR="00881C13" w:rsidRPr="00796736" w:rsidRDefault="00925FB6" w:rsidP="00385CFF">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Falske penge</w:t>
      </w:r>
    </w:p>
    <w:p w14:paraId="2F169E2B" w14:textId="49F3F0FD" w:rsidR="00C65644" w:rsidRPr="00796736" w:rsidRDefault="00925FB6" w:rsidP="009D0701">
      <w:pPr>
        <w:pStyle w:val="Typografi1"/>
        <w:ind w:left="0" w:firstLine="238"/>
        <w:rPr>
          <w:rFonts w:ascii="Times New Roman" w:hAnsi="Times New Roman" w:cs="Times New Roman"/>
          <w:sz w:val="24"/>
          <w:szCs w:val="24"/>
        </w:rPr>
      </w:pPr>
      <w:bookmarkStart w:id="12" w:name="_Ref232593034"/>
      <w:bookmarkStart w:id="13" w:name="_Toc244878987"/>
      <w:bookmarkStart w:id="14" w:name="_Toc244880511"/>
      <w:r w:rsidRPr="00796736">
        <w:rPr>
          <w:rFonts w:ascii="Times New Roman" w:hAnsi="Times New Roman" w:cs="Times New Roman"/>
          <w:sz w:val="24"/>
          <w:szCs w:val="24"/>
        </w:rPr>
        <w:t>Virksomheder og personer, der som led i deres virksomhed deltager i håndtering og udlevering af pengesedler og mønter til offentligheden, herunder personer og virksomheder, hvis aktivitet består i at veksle pengesedler og mønter i forskellig valuta, har pligt til at tage alle sedler og mønter, som de ved eller har grund til at tro er falske, ud af omløb. Sedler og mønter, der er taget ud af omløb i overensstemmelse med 1. pkt., skal straks overgives til politiet.</w:t>
      </w:r>
      <w:bookmarkEnd w:id="12"/>
      <w:bookmarkEnd w:id="13"/>
      <w:bookmarkEnd w:id="14"/>
    </w:p>
    <w:p w14:paraId="339464B8" w14:textId="77777777" w:rsidR="009439BC" w:rsidRPr="00796736" w:rsidRDefault="009439BC" w:rsidP="00303E15">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Bestemmelsen i stk. 1 finder ikke anvendelse på sedler og mønter i euro, der i stedet er reguleret i artikel 6, stk. 1, i Rådets forordning 2001/1338/EF om fastlæggelse af de foranstaltninger, der er nødvendige for at beskytte euroen mod falskmøntneri med senere ændringer.</w:t>
      </w:r>
    </w:p>
    <w:p w14:paraId="6849A682" w14:textId="77777777" w:rsidR="000809B1" w:rsidRPr="00796736" w:rsidRDefault="000809B1" w:rsidP="00A802A5">
      <w:pPr>
        <w:spacing w:line="360" w:lineRule="auto"/>
        <w:ind w:firstLine="238"/>
        <w:rPr>
          <w:rFonts w:ascii="Times New Roman" w:hAnsi="Times New Roman" w:cs="Times New Roman"/>
          <w:sz w:val="24"/>
          <w:szCs w:val="24"/>
        </w:rPr>
      </w:pPr>
    </w:p>
    <w:p w14:paraId="4EF0E9D4" w14:textId="77777777" w:rsidR="00A46CE6" w:rsidRPr="00796736" w:rsidRDefault="00A46CE6" w:rsidP="00A802A5">
      <w:pPr>
        <w:spacing w:line="360" w:lineRule="auto"/>
        <w:ind w:firstLine="238"/>
        <w:rPr>
          <w:rFonts w:ascii="Times New Roman" w:hAnsi="Times New Roman" w:cs="Times New Roman"/>
          <w:sz w:val="24"/>
          <w:szCs w:val="24"/>
        </w:rPr>
      </w:pPr>
    </w:p>
    <w:p w14:paraId="65719302" w14:textId="5BD09083" w:rsidR="00E67671" w:rsidRPr="00385CFF" w:rsidRDefault="00E67671" w:rsidP="00385CFF">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Forbud mod brug af 500-eurosedler</w:t>
      </w:r>
    </w:p>
    <w:p w14:paraId="1784350A" w14:textId="77777777" w:rsidR="0058400D" w:rsidRPr="00796736" w:rsidRDefault="0058400D" w:rsidP="00385CFF">
      <w:pPr>
        <w:pStyle w:val="Typografi1"/>
        <w:ind w:left="0" w:firstLine="238"/>
        <w:rPr>
          <w:rFonts w:ascii="Times New Roman" w:hAnsi="Times New Roman" w:cs="Times New Roman"/>
          <w:sz w:val="24"/>
          <w:szCs w:val="24"/>
        </w:rPr>
      </w:pPr>
      <w:bookmarkStart w:id="15" w:name="_Ref232595404"/>
      <w:bookmarkStart w:id="16" w:name="_Toc244878988"/>
      <w:bookmarkStart w:id="17" w:name="_Toc244880512"/>
      <w:r w:rsidRPr="00796736">
        <w:rPr>
          <w:rFonts w:ascii="Times New Roman" w:hAnsi="Times New Roman" w:cs="Times New Roman"/>
          <w:sz w:val="24"/>
          <w:szCs w:val="24"/>
        </w:rPr>
        <w:t>500-eurosedler må ikke anvendes, herunder udleveres, indleveres, veksles, bruges som betalingsmiddel eller overdrages, i Danmark, jf. dog stk. 2.</w:t>
      </w:r>
      <w:bookmarkEnd w:id="15"/>
      <w:bookmarkEnd w:id="16"/>
      <w:bookmarkEnd w:id="17"/>
    </w:p>
    <w:p w14:paraId="45F38CFC" w14:textId="3D0AB21E" w:rsidR="0058400D" w:rsidRPr="00796736" w:rsidRDefault="0058400D"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EF75A5" w:rsidRPr="00796736">
        <w:rPr>
          <w:rFonts w:ascii="Times New Roman" w:hAnsi="Times New Roman" w:cs="Times New Roman"/>
          <w:sz w:val="24"/>
          <w:szCs w:val="24"/>
        </w:rPr>
        <w:t xml:space="preserve">Forbuddet i stk. 1 gælder ikke for politiets, anklagemyndighedens og told- og skatteforvaltningens anvendelse af 500-eurosedler som led i deres myndighedsudøvelse. Forbuddet gælder heller ikke for anvendelsen hos det pengeinstitut eller værdihåndteringsselskab eller den valutavekslingsvirksomhed eller lignende, der som led i myndighedernes håndtering af 500-eurosedlerne kommer i besiddelse heraf.  </w:t>
      </w:r>
    </w:p>
    <w:p w14:paraId="779A30D1" w14:textId="77777777" w:rsidR="00E679EA" w:rsidRPr="00796736" w:rsidRDefault="00E679EA" w:rsidP="00A802A5">
      <w:pPr>
        <w:spacing w:line="360" w:lineRule="auto"/>
        <w:ind w:firstLine="238"/>
        <w:rPr>
          <w:rFonts w:ascii="Times New Roman" w:hAnsi="Times New Roman" w:cs="Times New Roman"/>
          <w:sz w:val="24"/>
          <w:szCs w:val="24"/>
        </w:rPr>
      </w:pPr>
    </w:p>
    <w:p w14:paraId="0D69DC2B" w14:textId="52BF4FED" w:rsidR="000809B1" w:rsidRPr="00796736" w:rsidRDefault="000809B1" w:rsidP="00A802A5">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Kapitel 2</w:t>
      </w:r>
    </w:p>
    <w:p w14:paraId="6EDEAEE1" w14:textId="2320BCBA" w:rsidR="009F2D60" w:rsidRPr="00796736" w:rsidRDefault="00D65356" w:rsidP="00A802A5">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Særlige krav, undtagelser og modforanstaltninger ved risikovurdering, kundekendskab og offentlige hverv</w:t>
      </w:r>
    </w:p>
    <w:p w14:paraId="0498E474" w14:textId="77777777" w:rsidR="00D65356" w:rsidRPr="00796736" w:rsidRDefault="00D65356" w:rsidP="00A802A5">
      <w:pPr>
        <w:spacing w:line="360" w:lineRule="auto"/>
        <w:ind w:firstLine="238"/>
        <w:rPr>
          <w:rFonts w:ascii="Times New Roman" w:hAnsi="Times New Roman" w:cs="Times New Roman"/>
          <w:sz w:val="24"/>
          <w:szCs w:val="24"/>
        </w:rPr>
      </w:pPr>
    </w:p>
    <w:p w14:paraId="7A92A3ED" w14:textId="7E3E3176" w:rsidR="00483FBE" w:rsidRPr="00796736" w:rsidRDefault="00F0231C" w:rsidP="00385CFF">
      <w:pPr>
        <w:pStyle w:val="Typografi1"/>
        <w:ind w:left="0" w:firstLine="238"/>
        <w:rPr>
          <w:rFonts w:ascii="Times New Roman" w:eastAsia="Calibri" w:hAnsi="Times New Roman" w:cs="Times New Roman"/>
          <w:sz w:val="24"/>
          <w:szCs w:val="24"/>
        </w:rPr>
      </w:pPr>
      <w:bookmarkStart w:id="18" w:name="_Ref232595428"/>
      <w:bookmarkStart w:id="19" w:name="_Toc244878989"/>
      <w:bookmarkStart w:id="20" w:name="_Toc244880513"/>
      <w:r w:rsidRPr="00796736">
        <w:rPr>
          <w:rFonts w:ascii="Times New Roman" w:hAnsi="Times New Roman" w:cs="Times New Roman"/>
          <w:sz w:val="24"/>
          <w:szCs w:val="24"/>
        </w:rPr>
        <w:t xml:space="preserve">Skatte- og </w:t>
      </w:r>
      <w:r w:rsidR="00C2489F" w:rsidRPr="00796736">
        <w:rPr>
          <w:rFonts w:ascii="Times New Roman" w:hAnsi="Times New Roman" w:cs="Times New Roman"/>
          <w:sz w:val="24"/>
          <w:szCs w:val="24"/>
        </w:rPr>
        <w:t>v</w:t>
      </w:r>
      <w:r w:rsidRPr="00796736">
        <w:rPr>
          <w:rFonts w:ascii="Times New Roman" w:hAnsi="Times New Roman" w:cs="Times New Roman"/>
          <w:sz w:val="24"/>
          <w:szCs w:val="24"/>
        </w:rPr>
        <w:t>ækstministeren</w:t>
      </w:r>
      <w:r w:rsidR="00C2489F" w:rsidRPr="00796736">
        <w:rPr>
          <w:rFonts w:ascii="Times New Roman" w:hAnsi="Times New Roman" w:cs="Times New Roman"/>
          <w:sz w:val="24"/>
          <w:szCs w:val="24"/>
        </w:rPr>
        <w:t xml:space="preserve"> og </w:t>
      </w:r>
      <w:r w:rsidR="00D81D3C" w:rsidRPr="00796736">
        <w:rPr>
          <w:rFonts w:ascii="Times New Roman" w:eastAsia="Calibri" w:hAnsi="Times New Roman" w:cs="Times New Roman"/>
          <w:sz w:val="24"/>
          <w:szCs w:val="24"/>
        </w:rPr>
        <w:t>e</w:t>
      </w:r>
      <w:r w:rsidR="00C2489F" w:rsidRPr="00796736">
        <w:rPr>
          <w:rFonts w:ascii="Times New Roman" w:eastAsia="Calibri" w:hAnsi="Times New Roman" w:cs="Times New Roman"/>
          <w:sz w:val="24"/>
          <w:szCs w:val="24"/>
        </w:rPr>
        <w:t>rhvervs- og konkurrencekraftsministeren</w:t>
      </w:r>
      <w:r w:rsidRPr="00796736">
        <w:rPr>
          <w:rFonts w:ascii="Times New Roman" w:hAnsi="Times New Roman" w:cs="Times New Roman"/>
          <w:sz w:val="24"/>
          <w:szCs w:val="24"/>
        </w:rPr>
        <w:t xml:space="preserve"> </w:t>
      </w:r>
      <w:r w:rsidRPr="00796736">
        <w:rPr>
          <w:rFonts w:ascii="Times New Roman" w:eastAsia="Calibri" w:hAnsi="Times New Roman" w:cs="Times New Roman"/>
          <w:bCs/>
          <w:sz w:val="24"/>
          <w:szCs w:val="24"/>
        </w:rPr>
        <w:t xml:space="preserve">kan </w:t>
      </w:r>
      <w:r w:rsidR="00C2489F" w:rsidRPr="00796736">
        <w:rPr>
          <w:rFonts w:ascii="Times New Roman" w:eastAsia="Calibri" w:hAnsi="Times New Roman" w:cs="Times New Roman"/>
          <w:bCs/>
          <w:sz w:val="24"/>
          <w:szCs w:val="24"/>
        </w:rPr>
        <w:t xml:space="preserve">inden for deres respektive ressortområder </w:t>
      </w:r>
      <w:r w:rsidRPr="00796736">
        <w:rPr>
          <w:rFonts w:ascii="Times New Roman" w:eastAsia="Calibri" w:hAnsi="Times New Roman" w:cs="Times New Roman"/>
          <w:bCs/>
          <w:sz w:val="24"/>
          <w:szCs w:val="24"/>
        </w:rPr>
        <w:t xml:space="preserve">fastsætte regler om, at virksomheder og personer skal anvende skærpede kundekendskabsprocedurer på de sektorer eller </w:t>
      </w:r>
      <w:r w:rsidRPr="00796736">
        <w:rPr>
          <w:rFonts w:ascii="Times New Roman" w:eastAsia="Calibri" w:hAnsi="Times New Roman" w:cs="Times New Roman"/>
          <w:sz w:val="24"/>
          <w:szCs w:val="24"/>
        </w:rPr>
        <w:t xml:space="preserve">områder, hvor </w:t>
      </w:r>
      <w:r w:rsidR="009559B6" w:rsidRPr="00796736">
        <w:rPr>
          <w:rFonts w:ascii="Times New Roman" w:eastAsia="Calibri" w:hAnsi="Times New Roman" w:cs="Times New Roman"/>
          <w:bCs/>
          <w:sz w:val="24"/>
          <w:szCs w:val="24"/>
        </w:rPr>
        <w:t>den relevante minister</w:t>
      </w:r>
      <w:r w:rsidRPr="00796736">
        <w:rPr>
          <w:rFonts w:ascii="Times New Roman" w:eastAsia="Calibri" w:hAnsi="Times New Roman" w:cs="Times New Roman"/>
          <w:bCs/>
          <w:sz w:val="24"/>
          <w:szCs w:val="24"/>
        </w:rPr>
        <w:t xml:space="preserve"> identificerer</w:t>
      </w:r>
      <w:r w:rsidRPr="00796736">
        <w:rPr>
          <w:rFonts w:ascii="Times New Roman" w:eastAsia="Calibri" w:hAnsi="Times New Roman" w:cs="Times New Roman"/>
          <w:sz w:val="24"/>
          <w:szCs w:val="24"/>
        </w:rPr>
        <w:t xml:space="preserve"> højere risici. </w:t>
      </w:r>
      <w:r w:rsidRPr="00796736">
        <w:rPr>
          <w:rFonts w:ascii="Times New Roman" w:hAnsi="Times New Roman" w:cs="Times New Roman"/>
          <w:sz w:val="24"/>
          <w:szCs w:val="24"/>
        </w:rPr>
        <w:t xml:space="preserve">Skatte- og </w:t>
      </w:r>
      <w:r w:rsidR="00C2489F" w:rsidRPr="00796736">
        <w:rPr>
          <w:rFonts w:ascii="Times New Roman" w:hAnsi="Times New Roman" w:cs="Times New Roman"/>
          <w:sz w:val="24"/>
          <w:szCs w:val="24"/>
        </w:rPr>
        <w:t>v</w:t>
      </w:r>
      <w:r w:rsidRPr="00796736">
        <w:rPr>
          <w:rFonts w:ascii="Times New Roman" w:hAnsi="Times New Roman" w:cs="Times New Roman"/>
          <w:sz w:val="24"/>
          <w:szCs w:val="24"/>
        </w:rPr>
        <w:t>ækstministeren</w:t>
      </w:r>
      <w:r w:rsidR="00C2489F" w:rsidRPr="00796736">
        <w:rPr>
          <w:rFonts w:ascii="Times New Roman" w:hAnsi="Times New Roman" w:cs="Times New Roman"/>
          <w:sz w:val="24"/>
          <w:szCs w:val="24"/>
        </w:rPr>
        <w:t xml:space="preserve"> og </w:t>
      </w:r>
      <w:r w:rsidR="00D81D3C" w:rsidRPr="00796736">
        <w:rPr>
          <w:rFonts w:ascii="Times New Roman" w:eastAsia="Calibri" w:hAnsi="Times New Roman" w:cs="Times New Roman"/>
          <w:sz w:val="24"/>
          <w:szCs w:val="24"/>
        </w:rPr>
        <w:t>e</w:t>
      </w:r>
      <w:r w:rsidR="00C2489F" w:rsidRPr="00796736">
        <w:rPr>
          <w:rFonts w:ascii="Times New Roman" w:eastAsia="Calibri" w:hAnsi="Times New Roman" w:cs="Times New Roman"/>
          <w:sz w:val="24"/>
          <w:szCs w:val="24"/>
        </w:rPr>
        <w:t>rhvervs- og konkurrencekraftsministeren</w:t>
      </w:r>
      <w:r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kan herunder fastsætte nærmere regler om, at virksomheder og personer skal have tilstrækkelige skriftlige politikker, forretningsgange til effektiv forebyggelse, begrænsning og styring af risici for hvidvask og finansiering af terrorisme for de identificerede sektorer eller områder.</w:t>
      </w:r>
      <w:bookmarkEnd w:id="18"/>
      <w:bookmarkEnd w:id="19"/>
      <w:bookmarkEnd w:id="20"/>
    </w:p>
    <w:p w14:paraId="349C1384" w14:textId="77777777" w:rsidR="009028C0" w:rsidRPr="00796736" w:rsidRDefault="009028C0" w:rsidP="00385CFF">
      <w:pPr>
        <w:spacing w:line="360" w:lineRule="auto"/>
        <w:ind w:firstLine="238"/>
        <w:rPr>
          <w:rFonts w:ascii="Times New Roman" w:hAnsi="Times New Roman" w:cs="Times New Roman"/>
          <w:sz w:val="24"/>
          <w:szCs w:val="24"/>
        </w:rPr>
      </w:pPr>
    </w:p>
    <w:p w14:paraId="144A5D9F" w14:textId="0ACE7B9E" w:rsidR="009028C0" w:rsidRPr="00796736" w:rsidRDefault="009028C0" w:rsidP="00385CFF">
      <w:pPr>
        <w:pStyle w:val="Typografi1"/>
        <w:ind w:left="0" w:firstLine="238"/>
        <w:rPr>
          <w:rFonts w:ascii="Times New Roman" w:hAnsi="Times New Roman" w:cs="Times New Roman"/>
          <w:sz w:val="24"/>
          <w:szCs w:val="24"/>
        </w:rPr>
      </w:pPr>
      <w:bookmarkStart w:id="21" w:name="_Ref232595459"/>
      <w:bookmarkStart w:id="22" w:name="_Toc244878990"/>
      <w:bookmarkStart w:id="23" w:name="_Toc244880514"/>
      <w:r w:rsidRPr="00796736">
        <w:rPr>
          <w:rFonts w:ascii="Times New Roman" w:hAnsi="Times New Roman" w:cs="Times New Roman"/>
          <w:sz w:val="24"/>
          <w:szCs w:val="24"/>
        </w:rPr>
        <w:t xml:space="preserve">Finanstilsynet kan fastsætte regler om, at visse krav i kundekendskabsproceduren i henhold til artikel 20, stk. 1, litra a-c, i </w:t>
      </w:r>
      <w:r w:rsidR="00E72BFF"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helt eller delvist ikke finder anvendelse, for så vidt angår elektroniske penge på områder, hvor der vurderes at være en begrænset risiko for hvidvask og finansiering af terrorisme.</w:t>
      </w:r>
      <w:bookmarkEnd w:id="21"/>
      <w:bookmarkEnd w:id="22"/>
      <w:bookmarkEnd w:id="23"/>
    </w:p>
    <w:p w14:paraId="4A9E582B" w14:textId="77777777" w:rsidR="00483FBE" w:rsidRPr="00796736" w:rsidRDefault="00483FBE" w:rsidP="00385CFF">
      <w:pPr>
        <w:spacing w:line="360" w:lineRule="auto"/>
        <w:ind w:firstLine="238"/>
        <w:rPr>
          <w:rFonts w:ascii="Times New Roman" w:hAnsi="Times New Roman" w:cs="Times New Roman"/>
          <w:sz w:val="24"/>
          <w:szCs w:val="24"/>
        </w:rPr>
      </w:pPr>
    </w:p>
    <w:p w14:paraId="66FC35C7" w14:textId="7BE7D4A7" w:rsidR="009B17F4" w:rsidRPr="00796736" w:rsidRDefault="00ED0C47" w:rsidP="00385CFF">
      <w:pPr>
        <w:pStyle w:val="Typografi1"/>
        <w:ind w:left="0" w:firstLine="238"/>
        <w:rPr>
          <w:rFonts w:ascii="Times New Roman" w:hAnsi="Times New Roman" w:cs="Times New Roman"/>
          <w:sz w:val="24"/>
          <w:szCs w:val="24"/>
        </w:rPr>
      </w:pPr>
      <w:bookmarkStart w:id="24" w:name="_Ref232595479"/>
      <w:bookmarkStart w:id="25" w:name="_Toc244878991"/>
      <w:bookmarkStart w:id="26" w:name="_Toc244880515"/>
      <w:r w:rsidRPr="00796736">
        <w:rPr>
          <w:rFonts w:ascii="Times New Roman" w:hAnsi="Times New Roman" w:cs="Times New Roman"/>
          <w:sz w:val="24"/>
          <w:szCs w:val="24"/>
        </w:rPr>
        <w:t xml:space="preserve">Skatte- og </w:t>
      </w:r>
      <w:r w:rsidR="00C2489F"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ækstministeren </w:t>
      </w:r>
      <w:r w:rsidR="009B17F4" w:rsidRPr="00796736">
        <w:rPr>
          <w:rFonts w:ascii="Times New Roman" w:hAnsi="Times New Roman" w:cs="Times New Roman"/>
          <w:sz w:val="24"/>
          <w:szCs w:val="24"/>
        </w:rPr>
        <w:t xml:space="preserve">fører og offentliggør en liste med navne, fødselsdatoer og stillingsbetegnelser på de personer, som </w:t>
      </w:r>
      <w:r w:rsidR="009439BC" w:rsidRPr="00796736">
        <w:rPr>
          <w:rFonts w:ascii="Times New Roman" w:hAnsi="Times New Roman" w:cs="Times New Roman"/>
          <w:sz w:val="24"/>
          <w:szCs w:val="24"/>
        </w:rPr>
        <w:t>besidder</w:t>
      </w:r>
      <w:r w:rsidR="009B17F4" w:rsidRPr="00796736">
        <w:rPr>
          <w:rFonts w:ascii="Times New Roman" w:hAnsi="Times New Roman" w:cs="Times New Roman"/>
          <w:sz w:val="24"/>
          <w:szCs w:val="24"/>
        </w:rPr>
        <w:t xml:space="preserve"> højerestående offentlige hverv i henhold til artikel 2, stk. 1, nr. 34, i </w:t>
      </w:r>
      <w:r w:rsidR="004A2563" w:rsidRPr="00796736">
        <w:rPr>
          <w:rFonts w:ascii="Times New Roman" w:hAnsi="Times New Roman" w:cs="Times New Roman"/>
          <w:sz w:val="24"/>
          <w:szCs w:val="24"/>
        </w:rPr>
        <w:t>hvidvaskforordningen</w:t>
      </w:r>
      <w:r w:rsidR="009B17F4" w:rsidRPr="00796736">
        <w:rPr>
          <w:rFonts w:ascii="Times New Roman" w:hAnsi="Times New Roman" w:cs="Times New Roman"/>
          <w:sz w:val="24"/>
          <w:szCs w:val="24"/>
        </w:rPr>
        <w:t xml:space="preserve"> samt af Kommissionen vedtaget delegerede retsakter, som supplerer listen. </w:t>
      </w:r>
      <w:r w:rsidRPr="00796736">
        <w:rPr>
          <w:rFonts w:ascii="Times New Roman" w:hAnsi="Times New Roman" w:cs="Times New Roman"/>
          <w:sz w:val="24"/>
          <w:szCs w:val="24"/>
        </w:rPr>
        <w:t xml:space="preserve">Skatte- og </w:t>
      </w:r>
      <w:r w:rsidR="00C2489F"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ækstministeren </w:t>
      </w:r>
      <w:r w:rsidR="009B17F4" w:rsidRPr="00796736">
        <w:rPr>
          <w:rFonts w:ascii="Times New Roman" w:hAnsi="Times New Roman" w:cs="Times New Roman"/>
          <w:sz w:val="24"/>
          <w:szCs w:val="24"/>
        </w:rPr>
        <w:t>sender denne liste til Europa-Kommissionen.</w:t>
      </w:r>
      <w:bookmarkEnd w:id="24"/>
      <w:bookmarkEnd w:id="25"/>
      <w:bookmarkEnd w:id="26"/>
      <w:r w:rsidR="009B17F4" w:rsidRPr="00796736">
        <w:rPr>
          <w:rFonts w:ascii="Times New Roman" w:hAnsi="Times New Roman" w:cs="Times New Roman"/>
          <w:sz w:val="24"/>
          <w:szCs w:val="24"/>
        </w:rPr>
        <w:t xml:space="preserve"> </w:t>
      </w:r>
    </w:p>
    <w:p w14:paraId="144B5DEB" w14:textId="07D5F96A" w:rsidR="009B17F4" w:rsidRPr="00796736" w:rsidRDefault="009B17F4"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Internationale organisationer, der er akkrediteret af Danmark, skal udarbejde og ajourføre en liste over højerestående offentlige hverv inden for den pågældende international organisation i henhold til artikel 2, stk. 1, nr. 34, i </w:t>
      </w:r>
      <w:r w:rsidR="009439BC"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De internationale organisationer skal sende deres liste til </w:t>
      </w:r>
      <w:r w:rsidR="00ED0C47" w:rsidRPr="00796736">
        <w:rPr>
          <w:rFonts w:ascii="Times New Roman" w:hAnsi="Times New Roman" w:cs="Times New Roman"/>
          <w:sz w:val="24"/>
          <w:szCs w:val="24"/>
        </w:rPr>
        <w:t>skatte- og vækstministeren</w:t>
      </w:r>
      <w:r w:rsidRPr="00796736">
        <w:rPr>
          <w:rFonts w:ascii="Times New Roman" w:hAnsi="Times New Roman" w:cs="Times New Roman"/>
          <w:sz w:val="24"/>
          <w:szCs w:val="24"/>
        </w:rPr>
        <w:t>.</w:t>
      </w:r>
    </w:p>
    <w:p w14:paraId="7E6665EA" w14:textId="2C547C1F" w:rsidR="00394C07" w:rsidRPr="00796736" w:rsidRDefault="009B17F4"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ED0C47" w:rsidRPr="00796736">
        <w:rPr>
          <w:rFonts w:ascii="Times New Roman" w:hAnsi="Times New Roman" w:cs="Times New Roman"/>
          <w:sz w:val="24"/>
          <w:szCs w:val="24"/>
        </w:rPr>
        <w:t xml:space="preserve">Skatte- og </w:t>
      </w:r>
      <w:r w:rsidR="00C2489F" w:rsidRPr="00796736">
        <w:rPr>
          <w:rFonts w:ascii="Times New Roman" w:hAnsi="Times New Roman" w:cs="Times New Roman"/>
          <w:sz w:val="24"/>
          <w:szCs w:val="24"/>
        </w:rPr>
        <w:t>v</w:t>
      </w:r>
      <w:r w:rsidR="00ED0C47" w:rsidRPr="00796736">
        <w:rPr>
          <w:rFonts w:ascii="Times New Roman" w:hAnsi="Times New Roman" w:cs="Times New Roman"/>
          <w:sz w:val="24"/>
          <w:szCs w:val="24"/>
        </w:rPr>
        <w:t xml:space="preserve">ækstministeren </w:t>
      </w:r>
      <w:r w:rsidRPr="00796736">
        <w:rPr>
          <w:rFonts w:ascii="Times New Roman" w:hAnsi="Times New Roman" w:cs="Times New Roman"/>
          <w:sz w:val="24"/>
          <w:szCs w:val="24"/>
        </w:rPr>
        <w:t>kan fastsætte nærmere regler om de i stk. 1 og 2 omhandlede lister, herunder personkredsen, regler om indberetning, offentliggørelse m.v.</w:t>
      </w:r>
    </w:p>
    <w:p w14:paraId="43634AAB" w14:textId="77777777" w:rsidR="004E155B" w:rsidRPr="00796736" w:rsidRDefault="004E155B" w:rsidP="00385CFF">
      <w:pPr>
        <w:spacing w:line="360" w:lineRule="auto"/>
        <w:ind w:firstLine="238"/>
        <w:rPr>
          <w:rFonts w:ascii="Times New Roman" w:hAnsi="Times New Roman" w:cs="Times New Roman"/>
          <w:sz w:val="24"/>
          <w:szCs w:val="24"/>
        </w:rPr>
      </w:pPr>
    </w:p>
    <w:p w14:paraId="77029353" w14:textId="56B23D31" w:rsidR="004E155B" w:rsidRPr="00796736" w:rsidRDefault="007D7B01" w:rsidP="00385CFF">
      <w:pPr>
        <w:pStyle w:val="Typografi1"/>
        <w:ind w:left="0" w:firstLine="238"/>
        <w:rPr>
          <w:rFonts w:ascii="Times New Roman" w:eastAsia="Times New Roman" w:hAnsi="Times New Roman" w:cs="Times New Roman"/>
          <w:sz w:val="24"/>
          <w:szCs w:val="24"/>
          <w:lang w:eastAsia="da-DK"/>
        </w:rPr>
      </w:pPr>
      <w:bookmarkStart w:id="27" w:name="_Ref232595515"/>
      <w:bookmarkStart w:id="28" w:name="_Hlk216887628"/>
      <w:bookmarkStart w:id="29" w:name="_Toc244878992"/>
      <w:bookmarkStart w:id="30" w:name="_Toc244880516"/>
      <w:r w:rsidRPr="00796736">
        <w:rPr>
          <w:rFonts w:ascii="Times New Roman" w:eastAsia="Times New Roman" w:hAnsi="Times New Roman" w:cs="Times New Roman"/>
          <w:sz w:val="24"/>
          <w:szCs w:val="24"/>
          <w:lang w:eastAsia="da-DK"/>
        </w:rPr>
        <w:t xml:space="preserve">Finanstilsynet kan fastsætte regler om, at udbydere af betalingstjenester, udstedere af elektroniske penge og udbydere af kryptoaktivtjenester, der er registreret i et EU- eller EØS-land, og som er etableret her i landet på anden måde end ved et datterselskab eller en filial, har pligt til at udpege en person med ansvar for at sikre, at virksomheden eller personen overholder reglerne i hvidvaskforordningen, pengeoverførselsforordningen, loven og regler fastsat i medfør heraf </w:t>
      </w:r>
      <w:r w:rsidRPr="00796736">
        <w:rPr>
          <w:rFonts w:ascii="Times New Roman" w:hAnsi="Times New Roman" w:cs="Times New Roman"/>
          <w:color w:val="212529"/>
          <w:sz w:val="24"/>
          <w:szCs w:val="24"/>
          <w:shd w:val="clear" w:color="auto" w:fill="F9F9FB"/>
        </w:rPr>
        <w:t xml:space="preserve"> </w:t>
      </w:r>
      <w:r w:rsidRPr="00796736">
        <w:rPr>
          <w:rFonts w:ascii="Times New Roman" w:eastAsia="Times New Roman" w:hAnsi="Times New Roman" w:cs="Times New Roman"/>
          <w:sz w:val="24"/>
          <w:szCs w:val="24"/>
          <w:lang w:eastAsia="da-DK"/>
        </w:rPr>
        <w:t>og love og forordninger indeholdende regler om finansielle sanktioner mod lande, personer, grupper, juridiske enheder eller organer</w:t>
      </w:r>
      <w:r w:rsidR="009028C0" w:rsidRPr="00796736">
        <w:rPr>
          <w:rFonts w:ascii="Times New Roman" w:eastAsia="Times New Roman" w:hAnsi="Times New Roman" w:cs="Times New Roman"/>
          <w:sz w:val="24"/>
          <w:szCs w:val="24"/>
          <w:lang w:eastAsia="da-DK"/>
        </w:rPr>
        <w:t xml:space="preserve">. </w:t>
      </w:r>
      <w:bookmarkEnd w:id="27"/>
      <w:r w:rsidRPr="00796736">
        <w:rPr>
          <w:rFonts w:ascii="Times New Roman" w:eastAsia="Times New Roman" w:hAnsi="Times New Roman" w:cs="Times New Roman"/>
          <w:sz w:val="24"/>
          <w:szCs w:val="24"/>
          <w:lang w:eastAsia="da-DK"/>
        </w:rPr>
        <w:t>Finanstilsynet kan endvidere fastsætte regler om, at personen skal have tilstedeværelse her i landet, og hvilke funktioner den pågældende person skal udføre på vegne af virksomheden.</w:t>
      </w:r>
      <w:bookmarkEnd w:id="29"/>
      <w:bookmarkEnd w:id="30"/>
    </w:p>
    <w:p w14:paraId="0C0C0812" w14:textId="77777777" w:rsidR="00023130" w:rsidRPr="00796736" w:rsidRDefault="00023130" w:rsidP="00385CFF">
      <w:pPr>
        <w:spacing w:line="360" w:lineRule="auto"/>
        <w:ind w:firstLine="238"/>
        <w:rPr>
          <w:rFonts w:ascii="Times New Roman" w:hAnsi="Times New Roman" w:cs="Times New Roman"/>
          <w:sz w:val="24"/>
          <w:szCs w:val="24"/>
        </w:rPr>
      </w:pPr>
    </w:p>
    <w:p w14:paraId="449E610C" w14:textId="2E6900D1" w:rsidR="00023130" w:rsidRPr="00796736" w:rsidRDefault="0018667D" w:rsidP="00385CFF">
      <w:pPr>
        <w:pStyle w:val="Typografi1"/>
        <w:ind w:left="0" w:firstLine="238"/>
        <w:rPr>
          <w:rFonts w:ascii="Times New Roman" w:eastAsia="Calibri" w:hAnsi="Times New Roman" w:cs="Times New Roman"/>
          <w:sz w:val="24"/>
          <w:szCs w:val="24"/>
        </w:rPr>
      </w:pPr>
      <w:bookmarkStart w:id="31" w:name="_Ref232595541"/>
      <w:bookmarkStart w:id="32" w:name="_Toc244878993"/>
      <w:bookmarkStart w:id="33" w:name="_Toc244880517"/>
      <w:r w:rsidRPr="00796736">
        <w:rPr>
          <w:rFonts w:ascii="Times New Roman" w:eastAsia="Calibri" w:hAnsi="Times New Roman" w:cs="Times New Roman"/>
          <w:sz w:val="24"/>
          <w:szCs w:val="24"/>
        </w:rPr>
        <w:t xml:space="preserve">Skatte- og </w:t>
      </w:r>
      <w:r w:rsidR="00C2489F"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ækstministeren</w:t>
      </w:r>
      <w:r w:rsidR="002C1881" w:rsidRPr="00796736">
        <w:rPr>
          <w:rFonts w:ascii="Times New Roman" w:eastAsia="Calibri" w:hAnsi="Times New Roman" w:cs="Times New Roman"/>
          <w:sz w:val="24"/>
          <w:szCs w:val="24"/>
        </w:rPr>
        <w:t xml:space="preserve"> og </w:t>
      </w:r>
      <w:r w:rsidR="00D81D3C" w:rsidRPr="00796736">
        <w:rPr>
          <w:rFonts w:ascii="Times New Roman" w:eastAsia="Calibri" w:hAnsi="Times New Roman" w:cs="Times New Roman"/>
          <w:sz w:val="24"/>
          <w:szCs w:val="24"/>
        </w:rPr>
        <w:t>e</w:t>
      </w:r>
      <w:r w:rsidR="002C1881" w:rsidRPr="00796736">
        <w:rPr>
          <w:rFonts w:ascii="Times New Roman" w:eastAsia="Calibri" w:hAnsi="Times New Roman" w:cs="Times New Roman"/>
          <w:sz w:val="24"/>
          <w:szCs w:val="24"/>
        </w:rPr>
        <w:t xml:space="preserve">rhvervs- og </w:t>
      </w:r>
      <w:r w:rsidR="00C2489F" w:rsidRPr="00796736">
        <w:rPr>
          <w:rFonts w:ascii="Times New Roman" w:eastAsia="Calibri" w:hAnsi="Times New Roman" w:cs="Times New Roman"/>
          <w:sz w:val="24"/>
          <w:szCs w:val="24"/>
        </w:rPr>
        <w:t>k</w:t>
      </w:r>
      <w:r w:rsidR="002C1881" w:rsidRPr="00796736">
        <w:rPr>
          <w:rFonts w:ascii="Times New Roman" w:eastAsia="Calibri" w:hAnsi="Times New Roman" w:cs="Times New Roman"/>
          <w:sz w:val="24"/>
          <w:szCs w:val="24"/>
        </w:rPr>
        <w:t>onkurrencekraft</w:t>
      </w:r>
      <w:r w:rsidR="00C2489F" w:rsidRPr="00796736">
        <w:rPr>
          <w:rFonts w:ascii="Times New Roman" w:eastAsia="Calibri" w:hAnsi="Times New Roman" w:cs="Times New Roman"/>
          <w:sz w:val="24"/>
          <w:szCs w:val="24"/>
        </w:rPr>
        <w:t>s</w:t>
      </w:r>
      <w:r w:rsidR="002C1881" w:rsidRPr="00796736">
        <w:rPr>
          <w:rFonts w:ascii="Times New Roman" w:eastAsia="Calibri" w:hAnsi="Times New Roman" w:cs="Times New Roman"/>
          <w:sz w:val="24"/>
          <w:szCs w:val="24"/>
        </w:rPr>
        <w:t>ministeren</w:t>
      </w:r>
      <w:r w:rsidRPr="00796736">
        <w:rPr>
          <w:rFonts w:ascii="Times New Roman" w:eastAsia="Calibri" w:hAnsi="Times New Roman" w:cs="Times New Roman"/>
          <w:sz w:val="24"/>
          <w:szCs w:val="24"/>
        </w:rPr>
        <w:t xml:space="preserve"> </w:t>
      </w:r>
      <w:r w:rsidR="00023130" w:rsidRPr="00796736">
        <w:rPr>
          <w:rFonts w:ascii="Times New Roman" w:eastAsia="Calibri" w:hAnsi="Times New Roman" w:cs="Times New Roman"/>
          <w:sz w:val="24"/>
          <w:szCs w:val="24"/>
        </w:rPr>
        <w:t>kan</w:t>
      </w:r>
      <w:r w:rsidR="002C1881" w:rsidRPr="00796736">
        <w:rPr>
          <w:rFonts w:ascii="Times New Roman" w:eastAsia="Calibri" w:hAnsi="Times New Roman" w:cs="Times New Roman"/>
          <w:sz w:val="24"/>
          <w:szCs w:val="24"/>
        </w:rPr>
        <w:t>,</w:t>
      </w:r>
      <w:r w:rsidR="00023130" w:rsidRPr="00796736">
        <w:rPr>
          <w:rFonts w:ascii="Times New Roman" w:eastAsia="Calibri" w:hAnsi="Times New Roman" w:cs="Times New Roman"/>
          <w:sz w:val="24"/>
          <w:szCs w:val="24"/>
        </w:rPr>
        <w:t xml:space="preserve"> i medfør af hvidvaskforordningens artikel 10, stk. 3</w:t>
      </w:r>
      <w:r w:rsidR="002C1881" w:rsidRPr="00796736">
        <w:rPr>
          <w:rFonts w:ascii="Times New Roman" w:eastAsia="Calibri" w:hAnsi="Times New Roman" w:cs="Times New Roman"/>
          <w:sz w:val="24"/>
          <w:szCs w:val="24"/>
        </w:rPr>
        <w:t>,</w:t>
      </w:r>
      <w:r w:rsidR="00023130" w:rsidRPr="00796736">
        <w:rPr>
          <w:rFonts w:ascii="Times New Roman" w:eastAsia="Calibri" w:hAnsi="Times New Roman" w:cs="Times New Roman"/>
          <w:sz w:val="24"/>
          <w:szCs w:val="24"/>
        </w:rPr>
        <w:t xml:space="preserve"> inden for deres respektive ressortområder</w:t>
      </w:r>
      <w:r w:rsidR="002C1881" w:rsidRPr="00796736">
        <w:rPr>
          <w:rFonts w:ascii="Times New Roman" w:eastAsia="Calibri" w:hAnsi="Times New Roman" w:cs="Times New Roman"/>
          <w:sz w:val="24"/>
          <w:szCs w:val="24"/>
        </w:rPr>
        <w:t>,</w:t>
      </w:r>
      <w:r w:rsidR="00023130" w:rsidRPr="00796736">
        <w:rPr>
          <w:rFonts w:ascii="Times New Roman" w:eastAsia="Calibri" w:hAnsi="Times New Roman" w:cs="Times New Roman"/>
          <w:sz w:val="24"/>
          <w:szCs w:val="24"/>
        </w:rPr>
        <w:t xml:space="preserve"> fastsætte regler om undtagelser fra kravene i hvidvaskforordningens artikel 10, </w:t>
      </w:r>
      <w:r w:rsidR="009439BC" w:rsidRPr="00796736">
        <w:rPr>
          <w:rFonts w:ascii="Times New Roman" w:eastAsia="Calibri" w:hAnsi="Times New Roman" w:cs="Times New Roman"/>
          <w:sz w:val="24"/>
          <w:szCs w:val="24"/>
        </w:rPr>
        <w:t xml:space="preserve">hvis </w:t>
      </w:r>
      <w:r w:rsidR="00023130" w:rsidRPr="00796736">
        <w:rPr>
          <w:rFonts w:ascii="Times New Roman" w:eastAsia="Calibri" w:hAnsi="Times New Roman" w:cs="Times New Roman"/>
          <w:sz w:val="24"/>
          <w:szCs w:val="24"/>
        </w:rPr>
        <w:t>de individuelle risikovurderinger på virksomhedsplan ikke er påkrævet, idet de specifikke risici i forbindelse med en sektor er klare og forståelige.</w:t>
      </w:r>
      <w:bookmarkEnd w:id="31"/>
      <w:bookmarkEnd w:id="32"/>
      <w:bookmarkEnd w:id="33"/>
    </w:p>
    <w:p w14:paraId="1D3B752F" w14:textId="77777777" w:rsidR="00023130" w:rsidRPr="00796736" w:rsidRDefault="00023130" w:rsidP="00385CFF">
      <w:pPr>
        <w:spacing w:line="360" w:lineRule="auto"/>
        <w:ind w:firstLine="238"/>
        <w:rPr>
          <w:rFonts w:ascii="Times New Roman" w:eastAsia="Calibri" w:hAnsi="Times New Roman" w:cs="Times New Roman"/>
          <w:sz w:val="24"/>
          <w:szCs w:val="24"/>
        </w:rPr>
      </w:pPr>
    </w:p>
    <w:p w14:paraId="11634BBE" w14:textId="61E3BE47" w:rsidR="00B2244A" w:rsidRPr="00796736" w:rsidRDefault="00023130" w:rsidP="00385CFF">
      <w:pPr>
        <w:pStyle w:val="Typografi1"/>
        <w:ind w:left="0" w:firstLine="238"/>
        <w:rPr>
          <w:rFonts w:ascii="Times New Roman" w:hAnsi="Times New Roman" w:cs="Times New Roman"/>
          <w:sz w:val="24"/>
          <w:szCs w:val="24"/>
        </w:rPr>
      </w:pPr>
      <w:bookmarkStart w:id="34" w:name="_Ref232595563"/>
      <w:bookmarkStart w:id="35" w:name="_Toc244878994"/>
      <w:bookmarkStart w:id="36" w:name="_Toc244880518"/>
      <w:r w:rsidRPr="00796736">
        <w:rPr>
          <w:rFonts w:ascii="Times New Roman" w:hAnsi="Times New Roman" w:cs="Times New Roman"/>
          <w:sz w:val="24"/>
          <w:szCs w:val="24"/>
        </w:rPr>
        <w:t>Finanstilsynet</w:t>
      </w:r>
      <w:r w:rsidR="00B2244A" w:rsidRPr="00796736">
        <w:rPr>
          <w:rFonts w:ascii="Times New Roman" w:hAnsi="Times New Roman" w:cs="Times New Roman"/>
          <w:sz w:val="24"/>
          <w:szCs w:val="24"/>
        </w:rPr>
        <w:t xml:space="preserve">, Erhvervsstyrelsen og </w:t>
      </w:r>
      <w:r w:rsidR="00DF1D0A" w:rsidRPr="00796736">
        <w:rPr>
          <w:rFonts w:ascii="Times New Roman" w:hAnsi="Times New Roman" w:cs="Times New Roman"/>
          <w:sz w:val="24"/>
          <w:szCs w:val="24"/>
        </w:rPr>
        <w:t>s</w:t>
      </w:r>
      <w:r w:rsidR="00B2244A" w:rsidRPr="00796736">
        <w:rPr>
          <w:rFonts w:ascii="Times New Roman" w:hAnsi="Times New Roman" w:cs="Times New Roman"/>
          <w:sz w:val="24"/>
          <w:szCs w:val="24"/>
        </w:rPr>
        <w:t>pillemyndigheden kan, inden for deres respektive områder,</w:t>
      </w:r>
      <w:r w:rsidRPr="00796736">
        <w:rPr>
          <w:rFonts w:ascii="Times New Roman" w:hAnsi="Times New Roman" w:cs="Times New Roman"/>
          <w:sz w:val="24"/>
          <w:szCs w:val="24"/>
        </w:rPr>
        <w:t xml:space="preserve"> fastsætte nærmere regler om specifikke supplerende modforanstaltninger, som virksomheder og personer skal anvende, hvis der er identificeret specifikke risici for hvidvask eller terrorfinansiering, som hidrører fra et højrisikotredjeland.</w:t>
      </w:r>
      <w:bookmarkEnd w:id="34"/>
      <w:bookmarkEnd w:id="35"/>
      <w:bookmarkEnd w:id="36"/>
      <w:r w:rsidRPr="00796736">
        <w:rPr>
          <w:rFonts w:ascii="Times New Roman" w:hAnsi="Times New Roman" w:cs="Times New Roman"/>
          <w:sz w:val="24"/>
          <w:szCs w:val="24"/>
        </w:rPr>
        <w:t xml:space="preserve"> </w:t>
      </w:r>
    </w:p>
    <w:p w14:paraId="056380F3" w14:textId="6D5C7B51" w:rsidR="00023130" w:rsidRPr="00796736" w:rsidRDefault="00023130" w:rsidP="00385CFF">
      <w:pPr>
        <w:spacing w:line="360" w:lineRule="auto"/>
        <w:ind w:firstLine="238"/>
        <w:rPr>
          <w:rFonts w:ascii="Times New Roman" w:eastAsia="Calibri" w:hAnsi="Times New Roman" w:cs="Times New Roman"/>
          <w:i/>
          <w:iCs/>
          <w:sz w:val="24"/>
          <w:szCs w:val="24"/>
        </w:rPr>
      </w:pPr>
      <w:r w:rsidRPr="00796736">
        <w:rPr>
          <w:rFonts w:ascii="Times New Roman" w:eastAsia="Calibri" w:hAnsi="Times New Roman" w:cs="Times New Roman"/>
          <w:i/>
          <w:iCs/>
          <w:sz w:val="24"/>
          <w:szCs w:val="24"/>
        </w:rPr>
        <w:t xml:space="preserve">Stk. 2. </w:t>
      </w:r>
      <w:r w:rsidRPr="00796736">
        <w:rPr>
          <w:rFonts w:ascii="Times New Roman" w:eastAsia="Calibri" w:hAnsi="Times New Roman" w:cs="Times New Roman"/>
          <w:sz w:val="24"/>
          <w:szCs w:val="24"/>
        </w:rPr>
        <w:t>Finanstilsynet</w:t>
      </w:r>
      <w:r w:rsidR="00C2489F" w:rsidRPr="00796736">
        <w:rPr>
          <w:rFonts w:ascii="Times New Roman" w:hAnsi="Times New Roman" w:cs="Times New Roman"/>
          <w:sz w:val="24"/>
          <w:szCs w:val="24"/>
        </w:rPr>
        <w:t xml:space="preserve">, Erhvervsstyrelsen og </w:t>
      </w:r>
      <w:r w:rsidR="00DF1D0A" w:rsidRPr="00796736">
        <w:rPr>
          <w:rFonts w:ascii="Times New Roman" w:hAnsi="Times New Roman" w:cs="Times New Roman"/>
          <w:sz w:val="24"/>
          <w:szCs w:val="24"/>
        </w:rPr>
        <w:t>s</w:t>
      </w:r>
      <w:r w:rsidR="00C2489F" w:rsidRPr="00796736">
        <w:rPr>
          <w:rFonts w:ascii="Times New Roman" w:hAnsi="Times New Roman" w:cs="Times New Roman"/>
          <w:sz w:val="24"/>
          <w:szCs w:val="24"/>
        </w:rPr>
        <w:t>pillemyndigheden kan, inden for deres respektive områder,</w:t>
      </w:r>
      <w:r w:rsidRPr="00796736">
        <w:rPr>
          <w:rFonts w:ascii="Times New Roman" w:eastAsia="Calibri" w:hAnsi="Times New Roman" w:cs="Times New Roman"/>
          <w:sz w:val="24"/>
          <w:szCs w:val="24"/>
        </w:rPr>
        <w:t xml:space="preserve"> fastsætte regler om, at virksomheder og personer, der har hjemsted i et land, der er opført på Europa-Kommissionens liste over højrisikotredjelande, kun kan etablere et datterselskab, en filial eller et repræsentationskontor i Danmark, hvis særlige betingelser er opfyldt.</w:t>
      </w:r>
    </w:p>
    <w:p w14:paraId="1D5C3FA6" w14:textId="6C5BAF15" w:rsidR="004E155B" w:rsidRPr="00796736" w:rsidRDefault="00023130" w:rsidP="00385CFF">
      <w:pPr>
        <w:spacing w:line="360" w:lineRule="auto"/>
        <w:ind w:firstLine="238"/>
        <w:rPr>
          <w:rFonts w:ascii="Times New Roman" w:eastAsia="Calibri" w:hAnsi="Times New Roman" w:cs="Times New Roman"/>
          <w:sz w:val="24"/>
          <w:szCs w:val="24"/>
        </w:rPr>
      </w:pPr>
      <w:r w:rsidRPr="00796736">
        <w:rPr>
          <w:rFonts w:ascii="Times New Roman" w:eastAsia="Calibri" w:hAnsi="Times New Roman" w:cs="Times New Roman"/>
          <w:i/>
          <w:iCs/>
          <w:sz w:val="24"/>
          <w:szCs w:val="24"/>
        </w:rPr>
        <w:t xml:space="preserve">Stk. 3. </w:t>
      </w:r>
      <w:r w:rsidRPr="00796736">
        <w:rPr>
          <w:rFonts w:ascii="Times New Roman" w:eastAsia="Calibri" w:hAnsi="Times New Roman" w:cs="Times New Roman"/>
          <w:sz w:val="24"/>
          <w:szCs w:val="24"/>
        </w:rPr>
        <w:t>Finanstilsynet</w:t>
      </w:r>
      <w:r w:rsidR="00C2489F" w:rsidRPr="00796736">
        <w:rPr>
          <w:rFonts w:ascii="Times New Roman" w:hAnsi="Times New Roman" w:cs="Times New Roman"/>
          <w:sz w:val="24"/>
          <w:szCs w:val="24"/>
        </w:rPr>
        <w:t xml:space="preserve">, Erhvervsstyrelsen og </w:t>
      </w:r>
      <w:r w:rsidR="00DF1D0A" w:rsidRPr="00796736">
        <w:rPr>
          <w:rFonts w:ascii="Times New Roman" w:hAnsi="Times New Roman" w:cs="Times New Roman"/>
          <w:sz w:val="24"/>
          <w:szCs w:val="24"/>
        </w:rPr>
        <w:t>s</w:t>
      </w:r>
      <w:r w:rsidR="00C2489F" w:rsidRPr="00796736">
        <w:rPr>
          <w:rFonts w:ascii="Times New Roman" w:hAnsi="Times New Roman" w:cs="Times New Roman"/>
          <w:sz w:val="24"/>
          <w:szCs w:val="24"/>
        </w:rPr>
        <w:t>pillemyndigheden kan, inden for deres respektive områder,</w:t>
      </w:r>
      <w:r w:rsidRPr="00796736">
        <w:rPr>
          <w:rFonts w:ascii="Times New Roman" w:eastAsia="Calibri" w:hAnsi="Times New Roman" w:cs="Times New Roman"/>
          <w:sz w:val="24"/>
          <w:szCs w:val="24"/>
        </w:rPr>
        <w:t xml:space="preserve"> fastsætte regler om, at virksomheder eller personer, der etablerer en filial eller et repræsentationskontor, skal iværksætte nærmere foranstaltninger, hvis den pågældende filial eller det pågældende repræsentationskontor placeres i et højrisikotredjeland.</w:t>
      </w:r>
      <w:bookmarkEnd w:id="28"/>
    </w:p>
    <w:p w14:paraId="03834A85" w14:textId="77777777" w:rsidR="009F4D53" w:rsidRPr="00796736" w:rsidRDefault="009F4D53" w:rsidP="00385CFF">
      <w:pPr>
        <w:spacing w:line="360" w:lineRule="auto"/>
        <w:ind w:firstLine="238"/>
        <w:rPr>
          <w:rFonts w:ascii="Times New Roman" w:eastAsia="Calibri" w:hAnsi="Times New Roman" w:cs="Times New Roman"/>
          <w:sz w:val="24"/>
          <w:szCs w:val="24"/>
        </w:rPr>
      </w:pPr>
    </w:p>
    <w:p w14:paraId="087AD9EF" w14:textId="15BA3187" w:rsidR="0058400D" w:rsidRPr="00796736" w:rsidRDefault="0058400D" w:rsidP="00385CFF">
      <w:pPr>
        <w:pStyle w:val="Typografi1"/>
        <w:ind w:left="0" w:firstLine="238"/>
        <w:rPr>
          <w:rFonts w:ascii="Times New Roman" w:hAnsi="Times New Roman" w:cs="Times New Roman"/>
          <w:sz w:val="24"/>
          <w:szCs w:val="24"/>
        </w:rPr>
      </w:pPr>
      <w:bookmarkStart w:id="37" w:name="_Ref242815842"/>
      <w:bookmarkStart w:id="38" w:name="_Toc244878995"/>
      <w:bookmarkStart w:id="39" w:name="_Toc244880519"/>
      <w:r w:rsidRPr="00796736">
        <w:rPr>
          <w:rFonts w:ascii="Times New Roman" w:hAnsi="Times New Roman" w:cs="Times New Roman"/>
          <w:sz w:val="24"/>
          <w:szCs w:val="24"/>
        </w:rPr>
        <w:t xml:space="preserve">Efter hvidvaskforordningens artikel 77, stk. 3, kan Finanstilsynet, Erhvervsstyrelsen, </w:t>
      </w:r>
      <w:r w:rsidR="007B7BA4">
        <w:rPr>
          <w:rFonts w:ascii="Times New Roman" w:hAnsi="Times New Roman" w:cs="Times New Roman"/>
          <w:sz w:val="24"/>
          <w:szCs w:val="24"/>
        </w:rPr>
        <w:t>s</w:t>
      </w:r>
      <w:r w:rsidRPr="00796736">
        <w:rPr>
          <w:rFonts w:ascii="Times New Roman" w:hAnsi="Times New Roman" w:cs="Times New Roman"/>
          <w:sz w:val="24"/>
          <w:szCs w:val="24"/>
        </w:rPr>
        <w:t>pillemyndigheden og Advokatrådet i det enkelte tilfælde kræve yderligere opbevaring af oplysninger nævnt i hvidvaskforordningens artikel 77, stk. 1 og 2, forudsat at en sådan opbevaring er nødvendig for at forebygge, opdage, efterforske eller retsforfølge hvidvask og terrorfinansiering. Den yderligere opbevaring må ikke overstige en periode på 5 år.</w:t>
      </w:r>
      <w:bookmarkEnd w:id="37"/>
      <w:bookmarkEnd w:id="38"/>
      <w:bookmarkEnd w:id="39"/>
      <w:r w:rsidRPr="00796736">
        <w:rPr>
          <w:rFonts w:ascii="Times New Roman" w:hAnsi="Times New Roman" w:cs="Times New Roman"/>
          <w:sz w:val="24"/>
          <w:szCs w:val="24"/>
        </w:rPr>
        <w:t xml:space="preserve"> </w:t>
      </w:r>
    </w:p>
    <w:p w14:paraId="39E19631" w14:textId="77777777" w:rsidR="00A43B0D" w:rsidRPr="00796736" w:rsidRDefault="00A43B0D" w:rsidP="00385CFF">
      <w:pPr>
        <w:spacing w:line="360" w:lineRule="auto"/>
        <w:ind w:firstLine="238"/>
        <w:rPr>
          <w:rFonts w:ascii="Times New Roman" w:eastAsia="Calibri" w:hAnsi="Times New Roman" w:cs="Times New Roman"/>
          <w:sz w:val="24"/>
          <w:szCs w:val="24"/>
        </w:rPr>
      </w:pPr>
    </w:p>
    <w:p w14:paraId="55B0AA25" w14:textId="1684B513" w:rsidR="00A43B0D" w:rsidRPr="00796736" w:rsidRDefault="00B3600D" w:rsidP="00385CFF">
      <w:pPr>
        <w:pStyle w:val="Typografi1"/>
        <w:ind w:left="0" w:firstLine="238"/>
        <w:rPr>
          <w:rFonts w:ascii="Times New Roman" w:hAnsi="Times New Roman" w:cs="Times New Roman"/>
          <w:sz w:val="24"/>
          <w:szCs w:val="24"/>
        </w:rPr>
      </w:pPr>
      <w:bookmarkStart w:id="40" w:name="_Ref232610117"/>
      <w:bookmarkStart w:id="41" w:name="_Toc244878996"/>
      <w:bookmarkStart w:id="42" w:name="_Toc244880520"/>
      <w:r w:rsidRPr="00796736">
        <w:rPr>
          <w:rFonts w:ascii="Times New Roman" w:eastAsia="Calibri" w:hAnsi="Times New Roman" w:cs="Times New Roman"/>
          <w:sz w:val="24"/>
          <w:szCs w:val="24"/>
        </w:rPr>
        <w:t xml:space="preserve">Erhvervs- og konkurrencekraftsministeren </w:t>
      </w:r>
      <w:r w:rsidR="00A43B0D" w:rsidRPr="00796736">
        <w:rPr>
          <w:rFonts w:ascii="Times New Roman" w:hAnsi="Times New Roman" w:cs="Times New Roman"/>
          <w:sz w:val="24"/>
          <w:szCs w:val="24"/>
          <w:lang w:eastAsia="da-DK"/>
        </w:rPr>
        <w:t>kan udpege en myndighed, som er ansvarlig for at offentliggøre navne på fysiske eller juridiske personer, grupper eller enheder, der er opført på FN’s sanktionslister. Navnene offentliggøres på myndighedens hjemmeside.</w:t>
      </w:r>
      <w:bookmarkEnd w:id="40"/>
      <w:bookmarkEnd w:id="41"/>
      <w:bookmarkEnd w:id="42"/>
    </w:p>
    <w:p w14:paraId="757C3F2E" w14:textId="77777777" w:rsidR="00A43B0D" w:rsidRPr="00796736" w:rsidRDefault="00A43B0D"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sz w:val="24"/>
          <w:szCs w:val="24"/>
          <w:lang w:eastAsia="da-DK"/>
        </w:rPr>
        <w:t>Stk. 2.</w:t>
      </w:r>
      <w:r w:rsidRPr="00796736">
        <w:rPr>
          <w:rFonts w:ascii="Times New Roman" w:eastAsia="Times New Roman" w:hAnsi="Times New Roman" w:cs="Times New Roman"/>
          <w:sz w:val="24"/>
          <w:szCs w:val="24"/>
          <w:lang w:eastAsia="da-DK"/>
        </w:rPr>
        <w:t xml:space="preserve"> Et navn, som er offentliggjort, jf. stk. 1, fjernes fra den danske myndigheds hjemmeside, hvis navnet optages på en retsakt udstedt af Den Europæiske Union, som er offentliggjort i EU-Tidende, hvis det besluttes, at navnet ikke skal optages på en sådan EU-retsakt, eller hvis navnet fjernes fra FN’s sanktionslister.</w:t>
      </w:r>
    </w:p>
    <w:p w14:paraId="02EE273D" w14:textId="5B57E885" w:rsidR="00E679EA" w:rsidRPr="00796736" w:rsidRDefault="00A43B0D"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sz w:val="24"/>
          <w:szCs w:val="24"/>
          <w:lang w:eastAsia="da-DK"/>
        </w:rPr>
        <w:t>Stk. 3.</w:t>
      </w:r>
      <w:r w:rsidRPr="00796736">
        <w:rPr>
          <w:rFonts w:ascii="Times New Roman" w:eastAsia="Times New Roman" w:hAnsi="Times New Roman" w:cs="Times New Roman"/>
          <w:sz w:val="24"/>
          <w:szCs w:val="24"/>
          <w:lang w:eastAsia="da-DK"/>
        </w:rPr>
        <w:t xml:space="preserve"> </w:t>
      </w:r>
      <w:r w:rsidR="00EE4163" w:rsidRPr="00D253F0">
        <w:rPr>
          <w:rFonts w:ascii="Times New Roman" w:eastAsia="Times New Roman" w:hAnsi="Times New Roman" w:cs="Times New Roman"/>
          <w:sz w:val="24"/>
          <w:szCs w:val="24"/>
          <w:lang w:eastAsia="da-DK"/>
        </w:rPr>
        <w:t>Virksomheder og personer omfattet af denne lov er forpligtet til uden ugrundet ophold at indefryse midler, som ejes</w:t>
      </w:r>
      <w:r w:rsidR="00EE4163">
        <w:rPr>
          <w:rFonts w:ascii="Times New Roman" w:eastAsia="Times New Roman" w:hAnsi="Times New Roman" w:cs="Times New Roman"/>
          <w:sz w:val="24"/>
          <w:szCs w:val="24"/>
          <w:lang w:eastAsia="da-DK"/>
        </w:rPr>
        <w:t>,</w:t>
      </w:r>
      <w:r w:rsidR="00EE4163" w:rsidRPr="00D253F0">
        <w:rPr>
          <w:rFonts w:ascii="Times New Roman" w:eastAsia="Times New Roman" w:hAnsi="Times New Roman" w:cs="Times New Roman"/>
          <w:sz w:val="24"/>
          <w:szCs w:val="24"/>
          <w:lang w:eastAsia="da-DK"/>
        </w:rPr>
        <w:t xml:space="preserve"> besiddes </w:t>
      </w:r>
      <w:r w:rsidR="00EE4163">
        <w:rPr>
          <w:rFonts w:ascii="Times New Roman" w:eastAsia="Times New Roman" w:hAnsi="Times New Roman" w:cs="Times New Roman"/>
          <w:sz w:val="24"/>
          <w:szCs w:val="24"/>
          <w:lang w:eastAsia="da-DK"/>
        </w:rPr>
        <w:t xml:space="preserve">eller kontrolleres </w:t>
      </w:r>
      <w:r w:rsidR="00EE4163" w:rsidRPr="00D253F0">
        <w:rPr>
          <w:rFonts w:ascii="Times New Roman" w:eastAsia="Times New Roman" w:hAnsi="Times New Roman" w:cs="Times New Roman"/>
          <w:sz w:val="24"/>
          <w:szCs w:val="24"/>
          <w:lang w:eastAsia="da-DK"/>
        </w:rPr>
        <w:t>af fysiske eller juridiske personer, grupper eller enheder, hvis navne er offentliggjort på den danske myndigheds hjemmeside, jf. stk. 1.</w:t>
      </w:r>
    </w:p>
    <w:p w14:paraId="051344E8" w14:textId="77777777" w:rsidR="009559B6" w:rsidRPr="00796736" w:rsidRDefault="009559B6"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sz w:val="24"/>
          <w:szCs w:val="24"/>
          <w:lang w:eastAsia="da-DK"/>
        </w:rPr>
        <w:t>Stk. 4.</w:t>
      </w:r>
      <w:r w:rsidRPr="00796736">
        <w:rPr>
          <w:rFonts w:ascii="Times New Roman" w:eastAsia="Times New Roman" w:hAnsi="Times New Roman" w:cs="Times New Roman"/>
          <w:sz w:val="24"/>
          <w:szCs w:val="24"/>
          <w:lang w:eastAsia="da-DK"/>
        </w:rPr>
        <w:t xml:space="preserve"> Virksomheder og personer omfattet af denne lov er ligeledes forpligtet til at indefryse midler eller andre aktiver uden ugrundet ophold, hvis midlerne eller aktiverne ejes, besiddes eller kontrolleres af nogen, der handler på vegne af eller under instruktion fra fysiske eller juridiske personer, grupper eller enheder, hvis navne er offentliggjort på den danske myndigheds hjemmeside, jf. stk. 1.</w:t>
      </w:r>
    </w:p>
    <w:p w14:paraId="4F473A71" w14:textId="77777777" w:rsidR="009559B6" w:rsidRPr="00796736" w:rsidRDefault="009559B6" w:rsidP="00385CFF">
      <w:pPr>
        <w:spacing w:line="360" w:lineRule="auto"/>
        <w:ind w:firstLine="238"/>
        <w:rPr>
          <w:rFonts w:ascii="Times New Roman" w:eastAsia="Calibri" w:hAnsi="Times New Roman" w:cs="Times New Roman"/>
          <w:sz w:val="24"/>
          <w:szCs w:val="24"/>
        </w:rPr>
      </w:pPr>
      <w:r w:rsidRPr="00796736">
        <w:rPr>
          <w:rFonts w:ascii="Times New Roman" w:eastAsia="Times New Roman" w:hAnsi="Times New Roman" w:cs="Times New Roman"/>
          <w:i/>
          <w:sz w:val="24"/>
          <w:szCs w:val="24"/>
          <w:lang w:eastAsia="da-DK"/>
        </w:rPr>
        <w:t>Stk. 5.</w:t>
      </w:r>
      <w:r w:rsidRPr="00796736">
        <w:rPr>
          <w:rFonts w:ascii="Times New Roman" w:eastAsia="Times New Roman" w:hAnsi="Times New Roman" w:cs="Times New Roman"/>
          <w:sz w:val="24"/>
          <w:szCs w:val="24"/>
          <w:lang w:eastAsia="da-DK"/>
        </w:rPr>
        <w:t xml:space="preserve"> Forpligtelsen til at indefryse midler bortfalder, hvis den fysiske eller juridiske person, gruppe eller enhed fjernes fra hjemmesiden.</w:t>
      </w:r>
    </w:p>
    <w:p w14:paraId="30995309" w14:textId="77777777" w:rsidR="009559B6" w:rsidRPr="00796736" w:rsidRDefault="009559B6" w:rsidP="00A802A5">
      <w:pPr>
        <w:spacing w:line="360" w:lineRule="auto"/>
        <w:ind w:firstLine="238"/>
        <w:rPr>
          <w:rFonts w:ascii="Times New Roman" w:eastAsia="Times New Roman" w:hAnsi="Times New Roman" w:cs="Times New Roman"/>
          <w:sz w:val="24"/>
          <w:szCs w:val="24"/>
          <w:lang w:eastAsia="da-DK"/>
        </w:rPr>
      </w:pPr>
    </w:p>
    <w:p w14:paraId="14DBA50F" w14:textId="77777777" w:rsidR="00B2244A" w:rsidRPr="00796736" w:rsidRDefault="00B2244A" w:rsidP="00A802A5">
      <w:pPr>
        <w:spacing w:line="360" w:lineRule="auto"/>
        <w:rPr>
          <w:rFonts w:ascii="Times New Roman" w:eastAsia="Calibri" w:hAnsi="Times New Roman" w:cs="Times New Roman"/>
          <w:sz w:val="24"/>
          <w:szCs w:val="24"/>
        </w:rPr>
      </w:pPr>
    </w:p>
    <w:p w14:paraId="5D47A11E" w14:textId="7A2D2AD7" w:rsidR="000809B1" w:rsidRPr="00796736" w:rsidRDefault="000809B1" w:rsidP="00A802A5">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Kapitel 3</w:t>
      </w:r>
    </w:p>
    <w:p w14:paraId="340EBEF9" w14:textId="5594884C" w:rsidR="009F2D60" w:rsidRPr="00796736" w:rsidRDefault="009F2D60" w:rsidP="00A802A5">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Den finansielle efterretningsenhed</w:t>
      </w:r>
      <w:r w:rsidR="00BF6F69" w:rsidRPr="00796736">
        <w:rPr>
          <w:rFonts w:ascii="Times New Roman" w:hAnsi="Times New Roman" w:cs="Times New Roman"/>
          <w:i/>
          <w:iCs/>
          <w:sz w:val="24"/>
          <w:szCs w:val="24"/>
        </w:rPr>
        <w:br/>
      </w:r>
    </w:p>
    <w:p w14:paraId="7808041D" w14:textId="0CC846B2" w:rsidR="009F6ECD" w:rsidRPr="00796736" w:rsidRDefault="009F6ECD" w:rsidP="00385CFF">
      <w:pPr>
        <w:pStyle w:val="Typografi1"/>
        <w:ind w:left="0" w:firstLine="238"/>
        <w:rPr>
          <w:rFonts w:ascii="Times New Roman" w:eastAsia="Times New Roman" w:hAnsi="Times New Roman" w:cs="Times New Roman"/>
          <w:sz w:val="24"/>
          <w:szCs w:val="24"/>
          <w:lang w:eastAsia="da-DK"/>
        </w:rPr>
      </w:pPr>
      <w:bookmarkStart w:id="43" w:name="_Ref232595580"/>
      <w:bookmarkStart w:id="44" w:name="_Ref239689279"/>
      <w:bookmarkStart w:id="45" w:name="_Toc244878997"/>
      <w:bookmarkStart w:id="46" w:name="_Toc244880521"/>
      <w:r w:rsidRPr="00796736">
        <w:rPr>
          <w:rFonts w:ascii="Times New Roman" w:eastAsia="Times New Roman" w:hAnsi="Times New Roman" w:cs="Times New Roman"/>
          <w:sz w:val="24"/>
          <w:szCs w:val="24"/>
          <w:lang w:eastAsia="da-DK"/>
        </w:rPr>
        <w:t>Den danske finansielle efterretningsenhed er Hvidvasksekretariatet hos National enhed for Særlig Kriminalitet. Hvidvasksekretariatet har til opgave at forebygge, opdage og effektivt bekæmpe hvidvask</w:t>
      </w:r>
      <w:r w:rsidR="0026772C"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 xml:space="preserve">og </w:t>
      </w:r>
      <w:r w:rsidR="0026772C" w:rsidRPr="00796736">
        <w:rPr>
          <w:rFonts w:ascii="Times New Roman" w:eastAsia="Times New Roman" w:hAnsi="Times New Roman" w:cs="Times New Roman"/>
          <w:sz w:val="24"/>
          <w:szCs w:val="24"/>
          <w:lang w:eastAsia="da-DK"/>
        </w:rPr>
        <w:t>terror</w:t>
      </w:r>
      <w:r w:rsidRPr="00796736">
        <w:rPr>
          <w:rFonts w:ascii="Times New Roman" w:eastAsia="Times New Roman" w:hAnsi="Times New Roman" w:cs="Times New Roman"/>
          <w:sz w:val="24"/>
          <w:szCs w:val="24"/>
          <w:lang w:eastAsia="da-DK"/>
        </w:rPr>
        <w:t>finansie</w:t>
      </w:r>
      <w:bookmarkEnd w:id="43"/>
      <w:r w:rsidR="0026772C" w:rsidRPr="00796736">
        <w:rPr>
          <w:rFonts w:ascii="Times New Roman" w:eastAsia="Times New Roman" w:hAnsi="Times New Roman" w:cs="Times New Roman"/>
          <w:sz w:val="24"/>
          <w:szCs w:val="24"/>
          <w:lang w:eastAsia="da-DK"/>
        </w:rPr>
        <w:t>ring.</w:t>
      </w:r>
      <w:bookmarkEnd w:id="44"/>
      <w:bookmarkEnd w:id="45"/>
      <w:bookmarkEnd w:id="46"/>
    </w:p>
    <w:p w14:paraId="6692D102" w14:textId="5698CDFF" w:rsidR="009F6ECD" w:rsidRPr="00796736" w:rsidRDefault="009F6ECD"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xml:space="preserve"> Hvidvasksekretariatet er som fælles central national enhed ansvarlig for</w:t>
      </w:r>
      <w:r w:rsidR="0026772C" w:rsidRPr="00796736">
        <w:rPr>
          <w:rFonts w:ascii="Times New Roman" w:eastAsia="Times New Roman" w:hAnsi="Times New Roman" w:cs="Times New Roman"/>
          <w:sz w:val="24"/>
          <w:szCs w:val="24"/>
          <w:lang w:eastAsia="da-DK"/>
        </w:rPr>
        <w:t xml:space="preserve"> følgende</w:t>
      </w:r>
      <w:r w:rsidRPr="00796736">
        <w:rPr>
          <w:rFonts w:ascii="Times New Roman" w:eastAsia="Times New Roman" w:hAnsi="Times New Roman" w:cs="Times New Roman"/>
          <w:sz w:val="24"/>
          <w:szCs w:val="24"/>
          <w:lang w:eastAsia="da-DK"/>
        </w:rPr>
        <w:t>:</w:t>
      </w:r>
    </w:p>
    <w:p w14:paraId="5A545EDA" w14:textId="04823DB1" w:rsidR="0026772C" w:rsidRPr="00CB389F" w:rsidRDefault="00CB389F">
      <w:pPr>
        <w:pStyle w:val="Listeafsnit"/>
        <w:numPr>
          <w:ilvl w:val="0"/>
          <w:numId w:val="92"/>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At modtage og analysere underretninger, der indgives af virksomheder og personer </w:t>
      </w:r>
      <w:r>
        <w:rPr>
          <w:rFonts w:ascii="Times New Roman" w:eastAsia="Times New Roman" w:hAnsi="Times New Roman" w:cs="Times New Roman"/>
          <w:sz w:val="24"/>
          <w:szCs w:val="24"/>
          <w:lang w:eastAsia="da-DK"/>
        </w:rPr>
        <w:t xml:space="preserve">omfattet af loven </w:t>
      </w:r>
      <w:r w:rsidRPr="00796736">
        <w:rPr>
          <w:rFonts w:ascii="Times New Roman" w:eastAsia="Times New Roman" w:hAnsi="Times New Roman" w:cs="Times New Roman"/>
          <w:sz w:val="24"/>
          <w:szCs w:val="24"/>
          <w:lang w:eastAsia="da-DK"/>
        </w:rPr>
        <w:t xml:space="preserve">i overensstemmelse med artikel 69 i hvidvaskforordningen, underretninger, der indgives af </w:t>
      </w:r>
      <w:r>
        <w:rPr>
          <w:rFonts w:ascii="Times New Roman" w:eastAsia="Times New Roman" w:hAnsi="Times New Roman" w:cs="Times New Roman"/>
          <w:sz w:val="24"/>
          <w:szCs w:val="24"/>
          <w:lang w:eastAsia="da-DK"/>
        </w:rPr>
        <w:t xml:space="preserve">virksomheder og personer </w:t>
      </w:r>
      <w:r w:rsidRPr="00796736">
        <w:rPr>
          <w:rFonts w:ascii="Times New Roman" w:eastAsia="Times New Roman" w:hAnsi="Times New Roman" w:cs="Times New Roman"/>
          <w:sz w:val="24"/>
          <w:szCs w:val="24"/>
          <w:lang w:eastAsia="da-DK"/>
        </w:rPr>
        <w:t>i overensstemmelse med hvidvaskforordningens artikel 74 og artikel 80, stk. 4, litra b, og alle andre oplysninger, der er relevante for hvidvask, de underliggende lovovertrædelser eller terrorfinansiering, herunder oplysninger, der fremsendes af told- og skatteforvaltningen, samt oplysninger og underretninger indgivet af tilsynsmyndigheder eller andre myndigheder.</w:t>
      </w:r>
    </w:p>
    <w:p w14:paraId="27F002FD" w14:textId="77E3EADE" w:rsidR="002128F7" w:rsidRPr="00CB389F" w:rsidRDefault="00CB389F">
      <w:pPr>
        <w:pStyle w:val="Listeafsnit"/>
        <w:numPr>
          <w:ilvl w:val="0"/>
          <w:numId w:val="92"/>
        </w:numPr>
        <w:spacing w:line="360" w:lineRule="auto"/>
        <w:rPr>
          <w:rFonts w:ascii="Times New Roman" w:eastAsia="Times New Roman" w:hAnsi="Times New Roman" w:cs="Times New Roman"/>
          <w:sz w:val="24"/>
          <w:szCs w:val="24"/>
          <w:lang w:eastAsia="da-DK"/>
        </w:rPr>
      </w:pPr>
      <w:r w:rsidRPr="00D253F0">
        <w:rPr>
          <w:rFonts w:ascii="Times New Roman" w:eastAsia="Times New Roman" w:hAnsi="Times New Roman" w:cs="Times New Roman"/>
          <w:sz w:val="24"/>
          <w:szCs w:val="24"/>
          <w:lang w:eastAsia="da-DK"/>
        </w:rPr>
        <w:t>At formidle resultaterne af sine analyser og alle yderligere oplysninger til relevante kompetente myndigheder</w:t>
      </w:r>
      <w:r>
        <w:rPr>
          <w:rFonts w:ascii="Times New Roman" w:eastAsia="Times New Roman" w:hAnsi="Times New Roman" w:cs="Times New Roman"/>
          <w:sz w:val="24"/>
          <w:szCs w:val="24"/>
          <w:lang w:eastAsia="da-DK"/>
        </w:rPr>
        <w:t xml:space="preserve"> og tilsynsorganer,</w:t>
      </w:r>
      <w:r w:rsidRPr="00D253F0">
        <w:rPr>
          <w:rFonts w:ascii="Times New Roman" w:eastAsia="Times New Roman" w:hAnsi="Times New Roman" w:cs="Times New Roman"/>
          <w:sz w:val="24"/>
          <w:szCs w:val="24"/>
          <w:lang w:eastAsia="da-DK"/>
        </w:rPr>
        <w:t xml:space="preserve"> når der er mistanke om hvidvask, de underliggende lovovertrædelser eller </w:t>
      </w:r>
      <w:r>
        <w:rPr>
          <w:rFonts w:ascii="Times New Roman" w:eastAsia="Times New Roman" w:hAnsi="Times New Roman" w:cs="Times New Roman"/>
          <w:sz w:val="24"/>
          <w:szCs w:val="24"/>
          <w:lang w:eastAsia="da-DK"/>
        </w:rPr>
        <w:t>terror</w:t>
      </w:r>
      <w:r w:rsidRPr="00D253F0">
        <w:rPr>
          <w:rFonts w:ascii="Times New Roman" w:eastAsia="Times New Roman" w:hAnsi="Times New Roman" w:cs="Times New Roman"/>
          <w:sz w:val="24"/>
          <w:szCs w:val="24"/>
          <w:lang w:eastAsia="da-DK"/>
        </w:rPr>
        <w:t xml:space="preserve">finansiering. Hvidvasksekretariatet kan indhente yderligere oplysninger hos </w:t>
      </w:r>
      <w:r>
        <w:rPr>
          <w:rFonts w:ascii="Times New Roman" w:eastAsia="Times New Roman" w:hAnsi="Times New Roman" w:cs="Times New Roman"/>
          <w:sz w:val="24"/>
          <w:szCs w:val="24"/>
          <w:lang w:eastAsia="da-DK"/>
        </w:rPr>
        <w:t>virksomheder og personer omfattet af loven</w:t>
      </w:r>
      <w:r w:rsidRPr="00D253F0">
        <w:rPr>
          <w:rFonts w:ascii="Times New Roman" w:eastAsia="Times New Roman" w:hAnsi="Times New Roman" w:cs="Times New Roman"/>
          <w:sz w:val="24"/>
          <w:szCs w:val="24"/>
          <w:lang w:eastAsia="da-DK"/>
        </w:rPr>
        <w:t xml:space="preserve"> til brug for sit arbejde efter denne bestemmelse.  </w:t>
      </w:r>
    </w:p>
    <w:p w14:paraId="5EC3BED9" w14:textId="5F0D2433" w:rsidR="009F6ECD" w:rsidRPr="00796736" w:rsidRDefault="009F6ECD"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3.</w:t>
      </w:r>
      <w:r w:rsidRPr="00796736">
        <w:rPr>
          <w:rFonts w:ascii="Times New Roman" w:eastAsia="Times New Roman" w:hAnsi="Times New Roman" w:cs="Times New Roman"/>
          <w:sz w:val="24"/>
          <w:szCs w:val="24"/>
          <w:lang w:eastAsia="da-DK"/>
        </w:rPr>
        <w:t xml:space="preserve"> </w:t>
      </w:r>
      <w:r w:rsidR="008828D2" w:rsidRPr="00796736">
        <w:rPr>
          <w:rFonts w:ascii="Times New Roman" w:eastAsia="Times New Roman" w:hAnsi="Times New Roman" w:cs="Times New Roman"/>
          <w:sz w:val="24"/>
          <w:szCs w:val="24"/>
          <w:lang w:eastAsia="da-DK"/>
        </w:rPr>
        <w:t>Hvidvasksekretariatet er operationelt uafhængig og selvstændig, hvorved forstås, at sekretariatet har kompetence og kapacitet til at udføre sine opgaver frit og kan træffe selvstændige beslutninger om at analysere, anmode om og, i overensstemmelse med stk. 2, formidle specifikke oplysninger. Hvidvasksekretariatet skal være fri for utilbørlig politisk eller statslig påvirkning eller indblanding eller påvirkning eller indblanding fra erhvervslivet. Hvidvasksekretariatets centrale funktioner skal være uafhængige og operationelt adskilt fra National enhed for Særlig Kriminalitets øvrige funktioner.</w:t>
      </w:r>
    </w:p>
    <w:p w14:paraId="44338FFF" w14:textId="2CF30259" w:rsidR="00F375BF" w:rsidRPr="00796736" w:rsidRDefault="009F6ECD"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9B2F99" w:rsidRPr="00796736">
        <w:rPr>
          <w:rFonts w:ascii="Times New Roman" w:hAnsi="Times New Roman" w:cs="Times New Roman"/>
          <w:i/>
          <w:iCs/>
          <w:sz w:val="24"/>
          <w:szCs w:val="24"/>
        </w:rPr>
        <w:t>4</w:t>
      </w:r>
      <w:r w:rsidRPr="00796736">
        <w:rPr>
          <w:rFonts w:ascii="Times New Roman" w:hAnsi="Times New Roman" w:cs="Times New Roman"/>
          <w:sz w:val="24"/>
          <w:szCs w:val="24"/>
        </w:rPr>
        <w:t xml:space="preserve">. </w:t>
      </w:r>
      <w:r w:rsidR="00180BB8" w:rsidRPr="00796736">
        <w:rPr>
          <w:rFonts w:ascii="Times New Roman" w:hAnsi="Times New Roman" w:cs="Times New Roman"/>
          <w:sz w:val="24"/>
          <w:szCs w:val="24"/>
        </w:rPr>
        <w:t>Justits</w:t>
      </w:r>
      <w:r w:rsidR="00B517C4" w:rsidRPr="00796736">
        <w:rPr>
          <w:rFonts w:ascii="Times New Roman" w:hAnsi="Times New Roman" w:cs="Times New Roman"/>
          <w:sz w:val="24"/>
          <w:szCs w:val="24"/>
        </w:rPr>
        <w:t>ministeren</w:t>
      </w:r>
      <w:r w:rsidR="0026772C" w:rsidRPr="00796736">
        <w:rPr>
          <w:rFonts w:ascii="Times New Roman" w:hAnsi="Times New Roman" w:cs="Times New Roman"/>
          <w:sz w:val="24"/>
          <w:szCs w:val="24"/>
        </w:rPr>
        <w:t xml:space="preserve"> kan</w:t>
      </w:r>
      <w:r w:rsidR="00B517C4"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fastsætte regler, som er nødvendige af hensyn til at gennemføre, anvende eller håndhæve retsakter </w:t>
      </w:r>
      <w:r w:rsidR="0026772C" w:rsidRPr="00796736">
        <w:rPr>
          <w:rFonts w:ascii="Times New Roman" w:hAnsi="Times New Roman" w:cs="Times New Roman"/>
          <w:sz w:val="24"/>
          <w:szCs w:val="24"/>
        </w:rPr>
        <w:t xml:space="preserve">og retningslinjer udstedt af AMLA om følgende forhold: </w:t>
      </w:r>
    </w:p>
    <w:p w14:paraId="1FA55951" w14:textId="77777777" w:rsidR="0058400D" w:rsidRPr="00796736" w:rsidRDefault="0058400D">
      <w:pPr>
        <w:pStyle w:val="Listeafsnit"/>
        <w:numPr>
          <w:ilvl w:val="0"/>
          <w:numId w:val="91"/>
        </w:numPr>
        <w:spacing w:line="360" w:lineRule="auto"/>
        <w:rPr>
          <w:rFonts w:ascii="Times New Roman" w:hAnsi="Times New Roman" w:cs="Times New Roman"/>
          <w:sz w:val="24"/>
          <w:szCs w:val="24"/>
        </w:rPr>
      </w:pPr>
      <w:r w:rsidRPr="00796736">
        <w:rPr>
          <w:rFonts w:ascii="Times New Roman" w:hAnsi="Times New Roman" w:cs="Times New Roman"/>
          <w:sz w:val="24"/>
          <w:szCs w:val="24"/>
        </w:rPr>
        <w:t>De foranstaltninger, der skal indføres for at bevare FIU’ens operationelle selvstændighed og uafhængighed, herunder foranstaltninger til at forhindre, at interessekonflikter påvirker dens operationelle selvstændighed og uafhængigheden.</w:t>
      </w:r>
    </w:p>
    <w:p w14:paraId="08FE153C" w14:textId="77777777" w:rsidR="00F375BF" w:rsidRPr="00796736" w:rsidRDefault="009F6ECD">
      <w:pPr>
        <w:pStyle w:val="Listeafsnit"/>
        <w:numPr>
          <w:ilvl w:val="0"/>
          <w:numId w:val="91"/>
        </w:numPr>
        <w:spacing w:line="360" w:lineRule="auto"/>
        <w:rPr>
          <w:rFonts w:ascii="Times New Roman" w:hAnsi="Times New Roman" w:cs="Times New Roman"/>
          <w:sz w:val="24"/>
          <w:szCs w:val="24"/>
        </w:rPr>
      </w:pPr>
      <w:r w:rsidRPr="00796736">
        <w:rPr>
          <w:rFonts w:ascii="Times New Roman" w:hAnsi="Times New Roman" w:cs="Times New Roman"/>
          <w:sz w:val="24"/>
          <w:szCs w:val="24"/>
        </w:rPr>
        <w:t>Arten af, elementerne i og målene for den operationelle og strategiske analyse.</w:t>
      </w:r>
    </w:p>
    <w:p w14:paraId="3BCF86B7" w14:textId="77777777" w:rsidR="00F375BF" w:rsidRPr="00796736" w:rsidRDefault="009F6ECD">
      <w:pPr>
        <w:pStyle w:val="Listeafsnit"/>
        <w:numPr>
          <w:ilvl w:val="0"/>
          <w:numId w:val="91"/>
        </w:numPr>
        <w:spacing w:line="360" w:lineRule="auto"/>
        <w:rPr>
          <w:rFonts w:ascii="Times New Roman" w:hAnsi="Times New Roman" w:cs="Times New Roman"/>
          <w:sz w:val="24"/>
          <w:szCs w:val="24"/>
        </w:rPr>
      </w:pPr>
      <w:r w:rsidRPr="00796736">
        <w:rPr>
          <w:rFonts w:ascii="Times New Roman" w:hAnsi="Times New Roman" w:cs="Times New Roman"/>
          <w:sz w:val="24"/>
          <w:szCs w:val="24"/>
        </w:rPr>
        <w:t>Værktøjer og metoder til brug og krydstjek af finansielle oplysninger, administrative oplysninger og oplysninger om retshåndhævelse, som FIU’erne har adgang til.</w:t>
      </w:r>
    </w:p>
    <w:p w14:paraId="61D7FCC0" w14:textId="121B4916" w:rsidR="009F6ECD" w:rsidRDefault="009F6ECD">
      <w:pPr>
        <w:pStyle w:val="Listeafsnit"/>
        <w:numPr>
          <w:ilvl w:val="0"/>
          <w:numId w:val="91"/>
        </w:numPr>
        <w:spacing w:line="360" w:lineRule="auto"/>
        <w:rPr>
          <w:rFonts w:ascii="Times New Roman" w:hAnsi="Times New Roman" w:cs="Times New Roman"/>
          <w:sz w:val="24"/>
          <w:szCs w:val="24"/>
        </w:rPr>
      </w:pPr>
      <w:r w:rsidRPr="00796736">
        <w:rPr>
          <w:rFonts w:ascii="Times New Roman" w:hAnsi="Times New Roman" w:cs="Times New Roman"/>
          <w:sz w:val="24"/>
          <w:szCs w:val="24"/>
        </w:rPr>
        <w:t>Praksis og procedurer for udøvelse af suspension eller tilbageholdelse af godkendelse af en transaktion og suspension eller overvågning af en konto eller forretningsforbindelse i henhold til artikel 24 og 25 i hvidvaskdirektivet.</w:t>
      </w:r>
    </w:p>
    <w:p w14:paraId="5DB43343" w14:textId="77777777" w:rsidR="00966C02" w:rsidRPr="00966C02" w:rsidRDefault="00966C02" w:rsidP="00966C02">
      <w:pPr>
        <w:spacing w:line="360" w:lineRule="auto"/>
        <w:ind w:firstLine="238"/>
        <w:rPr>
          <w:rFonts w:ascii="Times New Roman" w:hAnsi="Times New Roman" w:cs="Times New Roman"/>
          <w:sz w:val="24"/>
          <w:szCs w:val="24"/>
        </w:rPr>
      </w:pPr>
      <w:r w:rsidRPr="00966C02">
        <w:rPr>
          <w:rFonts w:ascii="Times New Roman" w:hAnsi="Times New Roman" w:cs="Times New Roman"/>
          <w:i/>
          <w:iCs/>
          <w:sz w:val="24"/>
          <w:szCs w:val="24"/>
        </w:rPr>
        <w:t>Stk. 5.</w:t>
      </w:r>
      <w:r w:rsidRPr="00966C02">
        <w:rPr>
          <w:rFonts w:ascii="Times New Roman" w:hAnsi="Times New Roman" w:cs="Times New Roman"/>
          <w:sz w:val="24"/>
          <w:szCs w:val="24"/>
        </w:rPr>
        <w:t xml:space="preserve"> Virksomheder og personer omfattet af underretningsforpligtelsen i hvidvaskforordningens artikel 69 skal registrere sig i det til enhver tid gældende system til underretninger. Justitsministeren fastsætter nærmere regler om den tekniske opfyldelse af registreringspligten efter stk. 1.</w:t>
      </w:r>
    </w:p>
    <w:p w14:paraId="0B5465F9" w14:textId="77777777" w:rsidR="00EB224C" w:rsidRPr="00EB224C" w:rsidRDefault="00EB224C" w:rsidP="00EB224C">
      <w:pPr>
        <w:spacing w:line="360" w:lineRule="auto"/>
        <w:ind w:left="360"/>
        <w:rPr>
          <w:rFonts w:ascii="Times New Roman" w:hAnsi="Times New Roman" w:cs="Times New Roman"/>
          <w:sz w:val="24"/>
          <w:szCs w:val="24"/>
        </w:rPr>
      </w:pPr>
    </w:p>
    <w:p w14:paraId="42416EBA" w14:textId="77777777" w:rsidR="00047476" w:rsidRPr="00796736" w:rsidRDefault="00047476" w:rsidP="00385CFF">
      <w:pPr>
        <w:spacing w:line="360" w:lineRule="auto"/>
        <w:ind w:firstLine="238"/>
        <w:rPr>
          <w:rFonts w:ascii="Times New Roman" w:hAnsi="Times New Roman" w:cs="Times New Roman"/>
          <w:sz w:val="24"/>
          <w:szCs w:val="24"/>
        </w:rPr>
      </w:pPr>
    </w:p>
    <w:p w14:paraId="4C94D6C3" w14:textId="40E9F6DF" w:rsidR="009F2D60" w:rsidRPr="00796736" w:rsidRDefault="009F2D60" w:rsidP="00385CFF">
      <w:pPr>
        <w:pStyle w:val="Typografi1"/>
        <w:ind w:left="0" w:firstLine="238"/>
        <w:rPr>
          <w:rFonts w:ascii="Times New Roman" w:hAnsi="Times New Roman" w:cs="Times New Roman"/>
          <w:sz w:val="24"/>
          <w:szCs w:val="24"/>
        </w:rPr>
      </w:pPr>
      <w:bookmarkStart w:id="47" w:name="_Ref232595629"/>
      <w:bookmarkStart w:id="48" w:name="_Toc244878998"/>
      <w:bookmarkStart w:id="49" w:name="_Toc244880522"/>
      <w:r w:rsidRPr="00796736">
        <w:rPr>
          <w:rFonts w:ascii="Times New Roman" w:hAnsi="Times New Roman" w:cs="Times New Roman"/>
          <w:sz w:val="24"/>
          <w:szCs w:val="24"/>
        </w:rPr>
        <w:t>Hvidvasksekretariatet udpeger en ansvarlig for grundlæggende rettigheder.</w:t>
      </w:r>
      <w:bookmarkEnd w:id="47"/>
      <w:bookmarkEnd w:id="48"/>
      <w:bookmarkEnd w:id="49"/>
      <w:r w:rsidRPr="00796736">
        <w:rPr>
          <w:rFonts w:ascii="Times New Roman" w:hAnsi="Times New Roman" w:cs="Times New Roman"/>
          <w:sz w:val="24"/>
          <w:szCs w:val="24"/>
        </w:rPr>
        <w:t xml:space="preserve"> </w:t>
      </w:r>
    </w:p>
    <w:p w14:paraId="04FFE4B0" w14:textId="77777777" w:rsidR="009F2D60" w:rsidRPr="00796736" w:rsidRDefault="009F2D6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Den ansvarlige for grundlæggende rettigheder udfører følgende opgaver: </w:t>
      </w:r>
    </w:p>
    <w:p w14:paraId="67F4F25A" w14:textId="77777777" w:rsidR="009F2D60" w:rsidRPr="00796736" w:rsidRDefault="009F2D60">
      <w:pPr>
        <w:pStyle w:val="Listeafsnit"/>
        <w:numPr>
          <w:ilvl w:val="0"/>
          <w:numId w:val="90"/>
        </w:numPr>
        <w:spacing w:line="360" w:lineRule="auto"/>
        <w:ind w:left="723"/>
        <w:rPr>
          <w:rFonts w:ascii="Times New Roman" w:hAnsi="Times New Roman" w:cs="Times New Roman"/>
          <w:sz w:val="24"/>
          <w:szCs w:val="24"/>
        </w:rPr>
      </w:pPr>
      <w:r w:rsidRPr="00796736">
        <w:rPr>
          <w:rFonts w:ascii="Times New Roman" w:hAnsi="Times New Roman" w:cs="Times New Roman"/>
          <w:sz w:val="24"/>
          <w:szCs w:val="24"/>
        </w:rPr>
        <w:t>Rådgiver Hvidvasksekretariatets personale om enhver aktivitet, der udføres af sekretariatet, hvis den ansvarlige for grundlæggende rettigheder finder det nødvendigt, eller hvis personalet anmoder herom, uden at de pågældende aktiviteter hindres eller forsinkes.</w:t>
      </w:r>
    </w:p>
    <w:p w14:paraId="3B024C4C" w14:textId="77777777" w:rsidR="009F2D60" w:rsidRPr="00796736" w:rsidRDefault="009F2D60">
      <w:pPr>
        <w:pStyle w:val="Listeafsnit"/>
        <w:numPr>
          <w:ilvl w:val="0"/>
          <w:numId w:val="90"/>
        </w:numPr>
        <w:spacing w:line="360" w:lineRule="auto"/>
        <w:ind w:left="723"/>
        <w:rPr>
          <w:rFonts w:ascii="Times New Roman" w:hAnsi="Times New Roman" w:cs="Times New Roman"/>
          <w:sz w:val="24"/>
          <w:szCs w:val="24"/>
        </w:rPr>
      </w:pPr>
      <w:r w:rsidRPr="00796736">
        <w:rPr>
          <w:rFonts w:ascii="Times New Roman" w:hAnsi="Times New Roman" w:cs="Times New Roman"/>
          <w:sz w:val="24"/>
          <w:szCs w:val="24"/>
        </w:rPr>
        <w:t>Fremmer og overvåger Hvidvasksekretariatets overholdelse af grundlæggende rettigheder.</w:t>
      </w:r>
    </w:p>
    <w:p w14:paraId="6235E523" w14:textId="77777777" w:rsidR="009F2D60" w:rsidRPr="00796736" w:rsidRDefault="009F2D60">
      <w:pPr>
        <w:pStyle w:val="Listeafsnit"/>
        <w:numPr>
          <w:ilvl w:val="0"/>
          <w:numId w:val="90"/>
        </w:numPr>
        <w:spacing w:line="360" w:lineRule="auto"/>
        <w:ind w:left="723"/>
        <w:rPr>
          <w:rFonts w:ascii="Times New Roman" w:hAnsi="Times New Roman" w:cs="Times New Roman"/>
          <w:sz w:val="24"/>
          <w:szCs w:val="24"/>
        </w:rPr>
      </w:pPr>
      <w:r w:rsidRPr="00796736">
        <w:rPr>
          <w:rFonts w:ascii="Times New Roman" w:hAnsi="Times New Roman" w:cs="Times New Roman"/>
          <w:sz w:val="24"/>
          <w:szCs w:val="24"/>
        </w:rPr>
        <w:t>Afgiver ikke-bindende udtalelser om Hvidvasksekretariatets aktiviteters overensstemmelse med grundlæggende rettigheder.</w:t>
      </w:r>
    </w:p>
    <w:p w14:paraId="48A44E46" w14:textId="77777777" w:rsidR="009F2D60" w:rsidRPr="00796736" w:rsidRDefault="009F2D60">
      <w:pPr>
        <w:pStyle w:val="Listeafsnit"/>
        <w:numPr>
          <w:ilvl w:val="0"/>
          <w:numId w:val="90"/>
        </w:numPr>
        <w:spacing w:line="360" w:lineRule="auto"/>
        <w:ind w:left="723"/>
        <w:rPr>
          <w:rFonts w:ascii="Times New Roman" w:hAnsi="Times New Roman" w:cs="Times New Roman"/>
          <w:sz w:val="24"/>
          <w:szCs w:val="24"/>
        </w:rPr>
      </w:pPr>
      <w:r w:rsidRPr="00796736">
        <w:rPr>
          <w:rFonts w:ascii="Times New Roman" w:hAnsi="Times New Roman" w:cs="Times New Roman"/>
          <w:sz w:val="24"/>
          <w:szCs w:val="24"/>
        </w:rPr>
        <w:t>Informerer lederen af Hvidvasksekretariatet om mulige krænkelser af grundlæggende rettigheder i forbindelse med sekretariatets aktiviteter.</w:t>
      </w:r>
    </w:p>
    <w:p w14:paraId="625BB61C" w14:textId="77777777" w:rsidR="009F2D60" w:rsidRPr="00796736" w:rsidRDefault="009F2D6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Den ansvarlige for grundlæggende rettigheder må ikke modtage instrukser vedrørende udførelsen af dennes opgaver.</w:t>
      </w:r>
    </w:p>
    <w:p w14:paraId="7366327A" w14:textId="77777777" w:rsidR="009F2D60" w:rsidRPr="00796736" w:rsidRDefault="009F2D60" w:rsidP="00385CFF">
      <w:pPr>
        <w:spacing w:line="360" w:lineRule="auto"/>
        <w:ind w:firstLine="238"/>
        <w:rPr>
          <w:rFonts w:ascii="Times New Roman" w:hAnsi="Times New Roman" w:cs="Times New Roman"/>
          <w:sz w:val="24"/>
          <w:szCs w:val="24"/>
        </w:rPr>
      </w:pPr>
    </w:p>
    <w:p w14:paraId="73493283" w14:textId="0DE1AD50" w:rsidR="0026772C" w:rsidRPr="00796736" w:rsidRDefault="0058400D" w:rsidP="00385CFF">
      <w:pPr>
        <w:pStyle w:val="Typografi1"/>
        <w:ind w:left="0" w:firstLine="238"/>
        <w:rPr>
          <w:rFonts w:ascii="Times New Roman" w:hAnsi="Times New Roman" w:cs="Times New Roman"/>
          <w:sz w:val="24"/>
          <w:szCs w:val="24"/>
        </w:rPr>
      </w:pPr>
      <w:bookmarkStart w:id="50" w:name="_Ref232595704"/>
      <w:bookmarkStart w:id="51" w:name="_Ref238544108"/>
      <w:bookmarkStart w:id="52" w:name="_Ref244802049"/>
      <w:bookmarkStart w:id="53" w:name="_Toc244878999"/>
      <w:bookmarkStart w:id="54" w:name="_Toc244880523"/>
      <w:r w:rsidRPr="00796736">
        <w:rPr>
          <w:rFonts w:ascii="Times New Roman" w:hAnsi="Times New Roman" w:cs="Times New Roman"/>
          <w:sz w:val="24"/>
          <w:szCs w:val="24"/>
        </w:rPr>
        <w:t xml:space="preserve">Hvidvasksekretariatet </w:t>
      </w:r>
      <w:r w:rsidR="0026772C" w:rsidRPr="00796736">
        <w:rPr>
          <w:rFonts w:ascii="Times New Roman" w:hAnsi="Times New Roman" w:cs="Times New Roman"/>
          <w:sz w:val="24"/>
          <w:szCs w:val="24"/>
        </w:rPr>
        <w:t xml:space="preserve">har adgang til de oplysninger, som sekretariatet skal bruge for at kunne udføre sine opgaver, </w:t>
      </w:r>
      <w:bookmarkEnd w:id="50"/>
      <w:r w:rsidR="0026772C" w:rsidRPr="00796736">
        <w:rPr>
          <w:rFonts w:ascii="Times New Roman" w:hAnsi="Times New Roman" w:cs="Times New Roman"/>
          <w:sz w:val="24"/>
          <w:szCs w:val="24"/>
        </w:rPr>
        <w:t>herunder ved at indehaverne af oplysningerne deler dem med Hvidvasksekretariatet, jf. stk. 4.</w:t>
      </w:r>
      <w:bookmarkEnd w:id="51"/>
      <w:r w:rsidR="0026772C" w:rsidRPr="00796736">
        <w:rPr>
          <w:rFonts w:ascii="Times New Roman" w:hAnsi="Times New Roman" w:cs="Times New Roman"/>
          <w:sz w:val="24"/>
          <w:szCs w:val="24"/>
        </w:rPr>
        <w:t xml:space="preserve"> </w:t>
      </w:r>
      <w:r w:rsidR="002128F7">
        <w:rPr>
          <w:rFonts w:ascii="Times New Roman" w:hAnsi="Times New Roman" w:cs="Times New Roman"/>
          <w:sz w:val="24"/>
          <w:szCs w:val="24"/>
        </w:rPr>
        <w:t>Forvaltningslovens § 31, stk. 2, gælder ikke for Hvidvasksekretariatets anmodninger om at dele oplysninger efter stk. 1.</w:t>
      </w:r>
      <w:bookmarkEnd w:id="52"/>
      <w:bookmarkEnd w:id="53"/>
      <w:bookmarkEnd w:id="54"/>
    </w:p>
    <w:p w14:paraId="566C9541" w14:textId="45591132" w:rsidR="004C6198" w:rsidRPr="00796736" w:rsidRDefault="004C6198"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Hvidvasksekretariatet har</w:t>
      </w:r>
      <w:r w:rsidR="0026772C" w:rsidRPr="00796736">
        <w:rPr>
          <w:rFonts w:ascii="Times New Roman" w:hAnsi="Times New Roman" w:cs="Times New Roman"/>
          <w:sz w:val="24"/>
          <w:szCs w:val="24"/>
        </w:rPr>
        <w:t xml:space="preserve"> som minimum</w:t>
      </w:r>
      <w:r w:rsidRPr="00796736">
        <w:rPr>
          <w:rFonts w:ascii="Times New Roman" w:hAnsi="Times New Roman" w:cs="Times New Roman"/>
          <w:sz w:val="24"/>
          <w:szCs w:val="24"/>
        </w:rPr>
        <w:t xml:space="preserve">: </w:t>
      </w:r>
    </w:p>
    <w:p w14:paraId="1EA6BBE7" w14:textId="77777777" w:rsidR="004C6198" w:rsidRPr="006F4F24" w:rsidRDefault="004C6198">
      <w:pPr>
        <w:pStyle w:val="Listeafsnit"/>
        <w:numPr>
          <w:ilvl w:val="0"/>
          <w:numId w:val="69"/>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Umiddelbar og direkte adgang til følgende finansielle oplysninger:</w:t>
      </w:r>
    </w:p>
    <w:p w14:paraId="7D8345DC" w14:textId="75D01987" w:rsidR="004C6198" w:rsidRPr="006F4F24" w:rsidRDefault="004C6198">
      <w:pPr>
        <w:pStyle w:val="Listeafsnit"/>
        <w:numPr>
          <w:ilvl w:val="0"/>
          <w:numId w:val="68"/>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 xml:space="preserve">Oplysninger i den centrale automatiske mekanisme etableret i henhold til </w:t>
      </w:r>
      <w:r w:rsidR="0026772C" w:rsidRPr="006F4F24">
        <w:rPr>
          <w:rFonts w:ascii="Times New Roman" w:eastAsia="Times New Roman" w:hAnsi="Times New Roman" w:cs="Times New Roman"/>
          <w:sz w:val="24"/>
          <w:szCs w:val="24"/>
          <w:lang w:eastAsia="da-DK"/>
        </w:rPr>
        <w:fldChar w:fldCharType="begin"/>
      </w:r>
      <w:r w:rsidR="0026772C" w:rsidRPr="006F4F24">
        <w:rPr>
          <w:rFonts w:ascii="Times New Roman" w:eastAsia="Times New Roman" w:hAnsi="Times New Roman" w:cs="Times New Roman"/>
          <w:sz w:val="24"/>
          <w:szCs w:val="24"/>
          <w:lang w:eastAsia="da-DK"/>
        </w:rPr>
        <w:instrText xml:space="preserve"> REF _Ref232596233 \r \h </w:instrText>
      </w:r>
      <w:r w:rsidR="00F375BF" w:rsidRPr="006F4F24">
        <w:rPr>
          <w:rFonts w:ascii="Times New Roman" w:eastAsia="Times New Roman" w:hAnsi="Times New Roman" w:cs="Times New Roman"/>
          <w:sz w:val="24"/>
          <w:szCs w:val="24"/>
          <w:lang w:eastAsia="da-DK"/>
        </w:rPr>
        <w:instrText xml:space="preserve"> \* MERGEFORMAT </w:instrText>
      </w:r>
      <w:r w:rsidR="0026772C" w:rsidRPr="006F4F24">
        <w:rPr>
          <w:rFonts w:ascii="Times New Roman" w:eastAsia="Times New Roman" w:hAnsi="Times New Roman" w:cs="Times New Roman"/>
          <w:sz w:val="24"/>
          <w:szCs w:val="24"/>
          <w:lang w:eastAsia="da-DK"/>
        </w:rPr>
      </w:r>
      <w:r w:rsidR="0026772C" w:rsidRPr="006F4F24">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32</w:t>
      </w:r>
      <w:r w:rsidR="0026772C" w:rsidRPr="006F4F24">
        <w:rPr>
          <w:rFonts w:ascii="Times New Roman" w:eastAsia="Times New Roman" w:hAnsi="Times New Roman" w:cs="Times New Roman"/>
          <w:sz w:val="24"/>
          <w:szCs w:val="24"/>
          <w:lang w:eastAsia="da-DK"/>
        </w:rPr>
        <w:fldChar w:fldCharType="end"/>
      </w:r>
      <w:r w:rsidRPr="006F4F24">
        <w:rPr>
          <w:rFonts w:ascii="Times New Roman" w:eastAsia="Times New Roman" w:hAnsi="Times New Roman" w:cs="Times New Roman"/>
          <w:sz w:val="24"/>
          <w:szCs w:val="24"/>
          <w:lang w:eastAsia="da-DK"/>
        </w:rPr>
        <w:t>.</w:t>
      </w:r>
    </w:p>
    <w:p w14:paraId="301C0AEC" w14:textId="2C6F6E2B" w:rsidR="004C6198" w:rsidRPr="006F4F24" w:rsidRDefault="00E37EC8">
      <w:pPr>
        <w:pStyle w:val="Listeafsnit"/>
        <w:numPr>
          <w:ilvl w:val="0"/>
          <w:numId w:val="6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Oplysninger fra </w:t>
      </w:r>
      <w:r>
        <w:rPr>
          <w:rFonts w:ascii="Times New Roman" w:eastAsia="Times New Roman" w:hAnsi="Times New Roman" w:cs="Times New Roman"/>
          <w:sz w:val="24"/>
          <w:szCs w:val="24"/>
          <w:lang w:eastAsia="da-DK"/>
        </w:rPr>
        <w:t>virksomheder og personer omfattet af loven</w:t>
      </w:r>
      <w:r w:rsidR="004C6198" w:rsidRPr="006F4F24">
        <w:rPr>
          <w:rFonts w:ascii="Times New Roman" w:eastAsia="Times New Roman" w:hAnsi="Times New Roman" w:cs="Times New Roman"/>
          <w:sz w:val="24"/>
          <w:szCs w:val="24"/>
          <w:lang w:eastAsia="da-DK"/>
        </w:rPr>
        <w:t>, herunder oplysninger om pengeoverførsler som defineret i artikel 3, nr. 9), i forordning (EU) nr. 2023/1113 af 31. maj 2023 om oplysninger, der skal medsendes ved pengeoverførsler og ved overførsler af visse kryptoaktiver og overførsler af kryptoaktiver som defineret i nævnte forordnings artikel 3, nr. 10).</w:t>
      </w:r>
    </w:p>
    <w:p w14:paraId="3EDBDF45" w14:textId="2FBA8783" w:rsidR="004C6198" w:rsidRPr="006F4F24" w:rsidRDefault="004C6198">
      <w:pPr>
        <w:pStyle w:val="Listeafsnit"/>
        <w:numPr>
          <w:ilvl w:val="0"/>
          <w:numId w:val="68"/>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om realkreditlån og lån</w:t>
      </w:r>
      <w:r w:rsidR="0026772C" w:rsidRPr="006F4F24">
        <w:rPr>
          <w:rFonts w:ascii="Times New Roman" w:eastAsia="Times New Roman" w:hAnsi="Times New Roman" w:cs="Times New Roman"/>
          <w:sz w:val="24"/>
          <w:szCs w:val="24"/>
          <w:lang w:eastAsia="da-DK"/>
        </w:rPr>
        <w:t xml:space="preserve">, jf. </w:t>
      </w:r>
      <w:r w:rsidR="0026772C" w:rsidRPr="006F4F24">
        <w:rPr>
          <w:rFonts w:ascii="Times New Roman" w:eastAsia="Times New Roman" w:hAnsi="Times New Roman" w:cs="Times New Roman"/>
          <w:sz w:val="24"/>
          <w:szCs w:val="24"/>
          <w:lang w:eastAsia="da-DK"/>
        </w:rPr>
        <w:fldChar w:fldCharType="begin"/>
      </w:r>
      <w:r w:rsidR="0026772C" w:rsidRPr="006F4F24">
        <w:rPr>
          <w:rFonts w:ascii="Times New Roman" w:eastAsia="Times New Roman" w:hAnsi="Times New Roman" w:cs="Times New Roman"/>
          <w:sz w:val="24"/>
          <w:szCs w:val="24"/>
          <w:lang w:eastAsia="da-DK"/>
        </w:rPr>
        <w:instrText xml:space="preserve"> REF _Ref232596271 \r \h </w:instrText>
      </w:r>
      <w:r w:rsidR="00F375BF" w:rsidRPr="006F4F24">
        <w:rPr>
          <w:rFonts w:ascii="Times New Roman" w:eastAsia="Times New Roman" w:hAnsi="Times New Roman" w:cs="Times New Roman"/>
          <w:sz w:val="24"/>
          <w:szCs w:val="24"/>
          <w:lang w:eastAsia="da-DK"/>
        </w:rPr>
        <w:instrText xml:space="preserve"> \* MERGEFORMAT </w:instrText>
      </w:r>
      <w:r w:rsidR="0026772C" w:rsidRPr="006F4F24">
        <w:rPr>
          <w:rFonts w:ascii="Times New Roman" w:eastAsia="Times New Roman" w:hAnsi="Times New Roman" w:cs="Times New Roman"/>
          <w:sz w:val="24"/>
          <w:szCs w:val="24"/>
          <w:lang w:eastAsia="da-DK"/>
        </w:rPr>
      </w:r>
      <w:r w:rsidR="0026772C" w:rsidRPr="006F4F24">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33</w:t>
      </w:r>
      <w:r w:rsidR="0026772C" w:rsidRPr="006F4F24">
        <w:rPr>
          <w:rFonts w:ascii="Times New Roman" w:eastAsia="Times New Roman" w:hAnsi="Times New Roman" w:cs="Times New Roman"/>
          <w:sz w:val="24"/>
          <w:szCs w:val="24"/>
          <w:lang w:eastAsia="da-DK"/>
        </w:rPr>
        <w:fldChar w:fldCharType="end"/>
      </w:r>
      <w:r w:rsidRPr="006F4F24">
        <w:rPr>
          <w:rFonts w:ascii="Times New Roman" w:eastAsia="Times New Roman" w:hAnsi="Times New Roman" w:cs="Times New Roman"/>
          <w:sz w:val="24"/>
          <w:szCs w:val="24"/>
          <w:lang w:eastAsia="da-DK"/>
        </w:rPr>
        <w:t>.</w:t>
      </w:r>
    </w:p>
    <w:p w14:paraId="14112440" w14:textId="129EBA36" w:rsidR="004C6198" w:rsidRPr="006F4F24" w:rsidRDefault="004C6198">
      <w:pPr>
        <w:pStyle w:val="Listeafsnit"/>
        <w:numPr>
          <w:ilvl w:val="0"/>
          <w:numId w:val="68"/>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i de nationale databaser over valuta og valutaveksling</w:t>
      </w:r>
      <w:r w:rsidR="0058400D" w:rsidRPr="006F4F24">
        <w:rPr>
          <w:rFonts w:ascii="Times New Roman" w:eastAsia="Times New Roman" w:hAnsi="Times New Roman" w:cs="Times New Roman"/>
          <w:sz w:val="24"/>
          <w:szCs w:val="24"/>
          <w:lang w:eastAsia="da-DK"/>
        </w:rPr>
        <w:t xml:space="preserve">. </w:t>
      </w:r>
    </w:p>
    <w:p w14:paraId="0966CC40" w14:textId="77777777" w:rsidR="006F4F24" w:rsidRDefault="004C6198">
      <w:pPr>
        <w:pStyle w:val="Listeafsnit"/>
        <w:numPr>
          <w:ilvl w:val="0"/>
          <w:numId w:val="68"/>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om værdipapirer.</w:t>
      </w:r>
    </w:p>
    <w:p w14:paraId="054422E3" w14:textId="08D5B3FE" w:rsidR="004C6198" w:rsidRPr="006F4F24" w:rsidRDefault="004C6198">
      <w:pPr>
        <w:pStyle w:val="Listeafsnit"/>
        <w:numPr>
          <w:ilvl w:val="0"/>
          <w:numId w:val="69"/>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Umiddelbar og direkte adgang til følgende administrative oplysninger:</w:t>
      </w:r>
    </w:p>
    <w:p w14:paraId="21FB04C1"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 xml:space="preserve">Skatteoplysninger, herunder oplysninger, som opbevares af skattemyndighederne, samt oplysninger, der er indhentet i henhold til artikel 8, stk. 3a, i Rådets direktiv nr. 2011/16/EU af 11. februar 2011 om administrativt samarbejde på beskatningsområdet. </w:t>
      </w:r>
    </w:p>
    <w:p w14:paraId="35F232FC"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om udbudsprocedurer vedrørende varer, tjenesteydelser eller koncessioner.</w:t>
      </w:r>
    </w:p>
    <w:p w14:paraId="279AC357" w14:textId="2FE66029"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 xml:space="preserve">Oplysninger fra bankkontoregistrets sammenkoblingssystem i henhold til </w:t>
      </w:r>
      <w:r w:rsidR="006D066A" w:rsidRPr="006F4F24">
        <w:rPr>
          <w:rFonts w:ascii="Times New Roman" w:eastAsia="Times New Roman" w:hAnsi="Times New Roman" w:cs="Times New Roman"/>
          <w:sz w:val="24"/>
          <w:szCs w:val="24"/>
          <w:lang w:eastAsia="da-DK"/>
        </w:rPr>
        <w:fldChar w:fldCharType="begin"/>
      </w:r>
      <w:r w:rsidR="006D066A" w:rsidRPr="006F4F24">
        <w:rPr>
          <w:rFonts w:ascii="Times New Roman" w:eastAsia="Times New Roman" w:hAnsi="Times New Roman" w:cs="Times New Roman"/>
          <w:sz w:val="24"/>
          <w:szCs w:val="24"/>
          <w:lang w:eastAsia="da-DK"/>
        </w:rPr>
        <w:instrText xml:space="preserve"> REF _Ref232596233 \r \h </w:instrText>
      </w:r>
      <w:r w:rsidR="00F375BF" w:rsidRPr="006F4F24">
        <w:rPr>
          <w:rFonts w:ascii="Times New Roman" w:eastAsia="Times New Roman" w:hAnsi="Times New Roman" w:cs="Times New Roman"/>
          <w:sz w:val="24"/>
          <w:szCs w:val="24"/>
          <w:lang w:eastAsia="da-DK"/>
        </w:rPr>
        <w:instrText xml:space="preserve"> \* MERGEFORMAT </w:instrText>
      </w:r>
      <w:r w:rsidR="006D066A" w:rsidRPr="006F4F24">
        <w:rPr>
          <w:rFonts w:ascii="Times New Roman" w:eastAsia="Times New Roman" w:hAnsi="Times New Roman" w:cs="Times New Roman"/>
          <w:sz w:val="24"/>
          <w:szCs w:val="24"/>
          <w:lang w:eastAsia="da-DK"/>
        </w:rPr>
      </w:r>
      <w:r w:rsidR="006D066A" w:rsidRPr="006F4F24">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32</w:t>
      </w:r>
      <w:r w:rsidR="006D066A" w:rsidRPr="006F4F24">
        <w:rPr>
          <w:rFonts w:ascii="Times New Roman" w:eastAsia="Times New Roman" w:hAnsi="Times New Roman" w:cs="Times New Roman"/>
          <w:sz w:val="24"/>
          <w:szCs w:val="24"/>
          <w:lang w:eastAsia="da-DK"/>
        </w:rPr>
        <w:fldChar w:fldCharType="end"/>
      </w:r>
      <w:r w:rsidR="006D066A" w:rsidRPr="006F4F24">
        <w:rPr>
          <w:rFonts w:ascii="Times New Roman" w:eastAsia="Times New Roman" w:hAnsi="Times New Roman" w:cs="Times New Roman"/>
          <w:sz w:val="24"/>
          <w:szCs w:val="24"/>
          <w:lang w:eastAsia="da-DK"/>
        </w:rPr>
        <w:t xml:space="preserve"> </w:t>
      </w:r>
      <w:r w:rsidRPr="006F4F24">
        <w:rPr>
          <w:rFonts w:ascii="Times New Roman" w:eastAsia="Times New Roman" w:hAnsi="Times New Roman" w:cs="Times New Roman"/>
          <w:sz w:val="24"/>
          <w:szCs w:val="24"/>
          <w:lang w:eastAsia="da-DK"/>
        </w:rPr>
        <w:t>samt fra nationale ejendomsregistre eller elektroniske systemer til dataudtræk og matrikelregistre.</w:t>
      </w:r>
    </w:p>
    <w:p w14:paraId="7744B99E"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 xml:space="preserve">Oplysninger </w:t>
      </w:r>
      <w:r w:rsidRPr="006F4F24">
        <w:rPr>
          <w:rFonts w:ascii="Times New Roman" w:hAnsi="Times New Roman" w:cs="Times New Roman"/>
          <w:sz w:val="24"/>
          <w:szCs w:val="24"/>
        </w:rPr>
        <w:t>i</w:t>
      </w:r>
      <w:r w:rsidRPr="006F4F24">
        <w:rPr>
          <w:rFonts w:ascii="Times New Roman" w:eastAsia="Times New Roman" w:hAnsi="Times New Roman" w:cs="Times New Roman"/>
          <w:sz w:val="24"/>
          <w:szCs w:val="24"/>
          <w:lang w:eastAsia="da-DK"/>
        </w:rPr>
        <w:t xml:space="preserve"> Det Centrale Personregister (CPR).</w:t>
      </w:r>
    </w:p>
    <w:p w14:paraId="2291DA83"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i nationale pas- og visumregistre.</w:t>
      </w:r>
    </w:p>
    <w:p w14:paraId="50788DA9"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i databaser over rejser på tværs af grænserne.</w:t>
      </w:r>
    </w:p>
    <w:p w14:paraId="3BDF5D78" w14:textId="2ADD775E"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i Det Centrale Virksomhedsregister (CVR) og oplysninger på listen over politisk eksponerede personer (PEP-listen)</w:t>
      </w:r>
      <w:r w:rsidR="006D066A" w:rsidRPr="006F4F24">
        <w:rPr>
          <w:rFonts w:ascii="Times New Roman" w:eastAsia="Times New Roman" w:hAnsi="Times New Roman" w:cs="Times New Roman"/>
          <w:sz w:val="24"/>
          <w:szCs w:val="24"/>
          <w:lang w:eastAsia="da-DK"/>
        </w:rPr>
        <w:t>.</w:t>
      </w:r>
    </w:p>
    <w:p w14:paraId="03118C9B"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 xml:space="preserve">Oplysninger i nationale registre over motorkøretøjer, luftfartøjer og fartøjer. </w:t>
      </w:r>
    </w:p>
    <w:p w14:paraId="534BB8C6"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i nationale socialsikringsregistre.</w:t>
      </w:r>
    </w:p>
    <w:p w14:paraId="1AFC730E"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Tolddata, herunder grænseoverskridende fysiske overførsler af kontanter.</w:t>
      </w:r>
    </w:p>
    <w:p w14:paraId="31BF95C9" w14:textId="77777777" w:rsidR="006D066A" w:rsidRPr="006F4F24" w:rsidRDefault="006D066A">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w:t>
      </w:r>
      <w:r w:rsidRPr="006F4F24">
        <w:rPr>
          <w:rFonts w:ascii="Times New Roman" w:hAnsi="Times New Roman" w:cs="Times New Roman"/>
          <w:sz w:val="24"/>
          <w:szCs w:val="24"/>
        </w:rPr>
        <w:t>plysninger i nationale registre over våbentilladelse.</w:t>
      </w:r>
    </w:p>
    <w:p w14:paraId="7FBF8ECB"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i nationale registre over reelt ejerskab.</w:t>
      </w:r>
    </w:p>
    <w:p w14:paraId="05D96FAD" w14:textId="77777777" w:rsidR="0058400D" w:rsidRPr="006F4F24" w:rsidRDefault="0058400D">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 xml:space="preserve">Oplysninger om reelt ejerskab, der er tilgængelige via sammenkoblingen af centrale registre herom.  </w:t>
      </w:r>
    </w:p>
    <w:p w14:paraId="142A3AA7"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vedrørende nonprofitorganisationer i Det Centrale Virksomhedsregister (CVR).</w:t>
      </w:r>
    </w:p>
    <w:p w14:paraId="3318D00B"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som opbevares af nationale finansielle tilsynsorganer og regulerende myndigheder, i overensstemmelse med artikel 61 og artikel 67, stk. 2 i hvidvaskdirektivet.</w:t>
      </w:r>
    </w:p>
    <w:p w14:paraId="59F1F263" w14:textId="1C85D16A"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Databaser til lagring af data om handel med CO2-emissioner</w:t>
      </w:r>
      <w:r w:rsidR="006D066A" w:rsidRPr="006F4F24">
        <w:rPr>
          <w:rFonts w:ascii="Times New Roman" w:eastAsia="Times New Roman" w:hAnsi="Times New Roman" w:cs="Times New Roman"/>
          <w:sz w:val="24"/>
          <w:szCs w:val="24"/>
          <w:lang w:eastAsia="da-DK"/>
        </w:rPr>
        <w:t>.</w:t>
      </w:r>
    </w:p>
    <w:p w14:paraId="31ECA93E"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om virksomheders årsregnskaber.</w:t>
      </w:r>
    </w:p>
    <w:p w14:paraId="5F256ADD"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Nationale migrations- og immigrationsregistre.</w:t>
      </w:r>
    </w:p>
    <w:p w14:paraId="39819B18"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som opbevares af handelsretter.</w:t>
      </w:r>
    </w:p>
    <w:p w14:paraId="3C27B665" w14:textId="77777777" w:rsidR="004C6198"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som findes i insolvensdatabaser, og som insolvensbehandlere er i besiddelse af.</w:t>
      </w:r>
    </w:p>
    <w:p w14:paraId="6F69FB30" w14:textId="391DB69B" w:rsidR="006F4F24" w:rsidRPr="006F4F24" w:rsidRDefault="004C6198">
      <w:pPr>
        <w:pStyle w:val="Listeafsnit"/>
        <w:numPr>
          <w:ilvl w:val="0"/>
          <w:numId w:val="70"/>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Oplysninger om pengemidler eller andre aktiver, der er indefrosset eller immobiliseret i henhold til målrettede finansielle sanktioner.</w:t>
      </w:r>
    </w:p>
    <w:p w14:paraId="70A77771" w14:textId="15A17DF6" w:rsidR="004C6198" w:rsidRPr="006F4F24" w:rsidRDefault="004C6198">
      <w:pPr>
        <w:pStyle w:val="Listeafsnit"/>
        <w:numPr>
          <w:ilvl w:val="0"/>
          <w:numId w:val="69"/>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Direkte eller indirekte adgang til følgende retshåndhævelsesoplysninger, jf. dog stk. 3:</w:t>
      </w:r>
    </w:p>
    <w:p w14:paraId="0AF1956B" w14:textId="77777777" w:rsidR="006D066A" w:rsidRPr="006F4F24" w:rsidRDefault="006D066A">
      <w:pPr>
        <w:pStyle w:val="Listeafsnit"/>
        <w:numPr>
          <w:ilvl w:val="0"/>
          <w:numId w:val="71"/>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Enhver form for oplysninger eller data, som allerede opbevares af de kompetente myndigheder i forbindelse med forebyggelse, afsløring, efterforskning eller retsforfølgning af strafbare handlinger.</w:t>
      </w:r>
    </w:p>
    <w:p w14:paraId="48341483" w14:textId="77777777" w:rsidR="006D066A" w:rsidRPr="006F4F24" w:rsidRDefault="006D066A">
      <w:pPr>
        <w:pStyle w:val="Listeafsnit"/>
        <w:numPr>
          <w:ilvl w:val="0"/>
          <w:numId w:val="71"/>
        </w:numPr>
        <w:spacing w:line="360" w:lineRule="auto"/>
        <w:rPr>
          <w:rFonts w:ascii="Times New Roman" w:eastAsia="Times New Roman" w:hAnsi="Times New Roman" w:cs="Times New Roman"/>
          <w:sz w:val="24"/>
          <w:szCs w:val="24"/>
          <w:lang w:eastAsia="da-DK"/>
        </w:rPr>
      </w:pPr>
      <w:r w:rsidRPr="006F4F24">
        <w:rPr>
          <w:rFonts w:ascii="Times New Roman" w:eastAsia="Times New Roman" w:hAnsi="Times New Roman" w:cs="Times New Roman"/>
          <w:sz w:val="24"/>
          <w:szCs w:val="24"/>
          <w:lang w:eastAsia="da-DK"/>
        </w:rPr>
        <w:t>Enhver form for oplysninger eller data, som opbevares af offentlige myndigheder eller private enheder i forbindelse med forebyggelse, afsløring, efterforskning eller retsforfølgning af strafbare handlinger, og som er til rådighed for de kompetente myndigheder uden at foretage tvangsindgreb.</w:t>
      </w:r>
    </w:p>
    <w:p w14:paraId="01895B8D" w14:textId="440E65C7" w:rsidR="004C6198" w:rsidRPr="00796736" w:rsidRDefault="004C6198"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bookmarkStart w:id="55" w:name="_Hlk222499689"/>
      <w:r w:rsidR="006D066A"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 xml:space="preserve">Adgangen til oplysninger omfattet af stk. 2, nr. 3, kan begrænses ud fra en konkret vurdering fra </w:t>
      </w:r>
      <w:r w:rsidR="006D066A" w:rsidRPr="00796736">
        <w:rPr>
          <w:rFonts w:ascii="Times New Roman" w:hAnsi="Times New Roman" w:cs="Times New Roman"/>
          <w:sz w:val="24"/>
          <w:szCs w:val="24"/>
        </w:rPr>
        <w:t>den enkelte</w:t>
      </w:r>
      <w:r w:rsidRPr="00796736">
        <w:rPr>
          <w:rFonts w:ascii="Times New Roman" w:hAnsi="Times New Roman" w:cs="Times New Roman"/>
          <w:sz w:val="24"/>
          <w:szCs w:val="24"/>
        </w:rPr>
        <w:t xml:space="preserve"> sag, hvis videregivelsen af sådanne oplysninger sandsynligvis vil bringe en igangværende efterforskning i fare. Hvidvasksekretariatet skal så vidt muligt have adgang til disse oplysninger direkte. Såfremt Hvidvaskdirektivet har adgang til disse oplysninger indirekte, giver den enhed eller myndighed, der er i besiddelse af de ønskede oplysninger, disse oplysninger rettidigt.</w:t>
      </w:r>
      <w:bookmarkEnd w:id="55"/>
    </w:p>
    <w:p w14:paraId="2776B217" w14:textId="648C9DA9" w:rsidR="004C6198" w:rsidRPr="00796736" w:rsidRDefault="004C6198"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Med direkte og umiddelbar adgang menes i denne bestemmelse, at oplysningerne enten skal være indeholdt i en IT-database, et register eller et system til dataudtræk, hvorfra Hvidvasksekretariatet kan hente oplysningerne uden mellemliggende skridt, eller hvor følgende betingelser er opfyldt: </w:t>
      </w:r>
    </w:p>
    <w:p w14:paraId="0F9AD9E0" w14:textId="77777777" w:rsidR="004C6198" w:rsidRPr="00796736" w:rsidRDefault="004C6198">
      <w:pPr>
        <w:pStyle w:val="Listeafsnit"/>
        <w:numPr>
          <w:ilvl w:val="0"/>
          <w:numId w:val="67"/>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enheder eller myndigheder, der er i besiddelse af oplysningerne, indsender dem hurtigt til Hvidvasksekretariatet. </w:t>
      </w:r>
    </w:p>
    <w:p w14:paraId="6E1EEAE6" w14:textId="77777777" w:rsidR="004C6198" w:rsidRPr="00796736" w:rsidRDefault="004C6198">
      <w:pPr>
        <w:pStyle w:val="Listeafsnit"/>
        <w:numPr>
          <w:ilvl w:val="0"/>
          <w:numId w:val="67"/>
        </w:numPr>
        <w:spacing w:line="360" w:lineRule="auto"/>
        <w:rPr>
          <w:rFonts w:ascii="Times New Roman" w:hAnsi="Times New Roman" w:cs="Times New Roman"/>
          <w:sz w:val="24"/>
          <w:szCs w:val="24"/>
        </w:rPr>
      </w:pPr>
      <w:r w:rsidRPr="00796736">
        <w:rPr>
          <w:rFonts w:ascii="Times New Roman" w:hAnsi="Times New Roman" w:cs="Times New Roman"/>
          <w:sz w:val="24"/>
          <w:szCs w:val="24"/>
        </w:rPr>
        <w:t>Ingen enhed, myndighed eller tredjepart er i stand til at gribe ind for så vidt angår de anmodede data eller de oplysninger, der skal gives.</w:t>
      </w:r>
    </w:p>
    <w:p w14:paraId="3A74E51C" w14:textId="1211D4A8" w:rsidR="009F2D60" w:rsidRPr="00796736" w:rsidRDefault="004C6198" w:rsidP="00385CFF">
      <w:pPr>
        <w:spacing w:line="360" w:lineRule="auto"/>
        <w:ind w:firstLine="238"/>
        <w:rPr>
          <w:rFonts w:ascii="Times New Roman" w:hAnsi="Times New Roman" w:cs="Times New Roman"/>
          <w:sz w:val="24"/>
          <w:szCs w:val="24"/>
        </w:rPr>
      </w:pPr>
      <w:r w:rsidRPr="00796736">
        <w:rPr>
          <w:rFonts w:ascii="Times New Roman" w:eastAsia="Times New Roman" w:hAnsi="Times New Roman" w:cs="Times New Roman"/>
          <w:i/>
          <w:iCs/>
          <w:sz w:val="24"/>
          <w:szCs w:val="24"/>
          <w:lang w:eastAsia="da-DK"/>
        </w:rPr>
        <w:t xml:space="preserve">Stk. 5. </w:t>
      </w:r>
      <w:r w:rsidR="0058400D" w:rsidRPr="00796736">
        <w:rPr>
          <w:rFonts w:ascii="Times New Roman" w:eastAsia="Times New Roman" w:hAnsi="Times New Roman" w:cs="Times New Roman"/>
          <w:sz w:val="24"/>
          <w:szCs w:val="24"/>
          <w:lang w:eastAsia="da-DK"/>
        </w:rPr>
        <w:t xml:space="preserve">Hvidvasksekretariatet anmode om, indhente og anvende oplysninger fra enhver virksomhed eller person med henblik på at udføre sine opgaver i henhold til denne lovs </w:t>
      </w:r>
      <w:r w:rsidR="0058400D" w:rsidRPr="00796736">
        <w:rPr>
          <w:rFonts w:ascii="Times New Roman" w:eastAsia="Times New Roman" w:hAnsi="Times New Roman" w:cs="Times New Roman"/>
          <w:sz w:val="24"/>
          <w:szCs w:val="24"/>
          <w:lang w:eastAsia="da-DK"/>
        </w:rPr>
        <w:fldChar w:fldCharType="begin"/>
      </w:r>
      <w:r w:rsidR="0058400D" w:rsidRPr="00796736">
        <w:rPr>
          <w:rFonts w:ascii="Times New Roman" w:eastAsia="Times New Roman" w:hAnsi="Times New Roman" w:cs="Times New Roman"/>
          <w:sz w:val="24"/>
          <w:szCs w:val="24"/>
          <w:lang w:eastAsia="da-DK"/>
        </w:rPr>
        <w:instrText xml:space="preserve"> REF _Ref232595580 \r \h  \* MERGEFORMAT </w:instrText>
      </w:r>
      <w:r w:rsidR="0058400D" w:rsidRPr="00796736">
        <w:rPr>
          <w:rFonts w:ascii="Times New Roman" w:eastAsia="Times New Roman" w:hAnsi="Times New Roman" w:cs="Times New Roman"/>
          <w:sz w:val="24"/>
          <w:szCs w:val="24"/>
          <w:lang w:eastAsia="da-DK"/>
        </w:rPr>
      </w:r>
      <w:r w:rsidR="0058400D"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0058400D" w:rsidRPr="00796736">
        <w:rPr>
          <w:rFonts w:ascii="Times New Roman" w:eastAsia="Times New Roman" w:hAnsi="Times New Roman" w:cs="Times New Roman"/>
          <w:sz w:val="24"/>
          <w:szCs w:val="24"/>
          <w:lang w:eastAsia="da-DK"/>
        </w:rPr>
        <w:fldChar w:fldCharType="end"/>
      </w:r>
      <w:r w:rsidR="0058400D" w:rsidRPr="00796736">
        <w:rPr>
          <w:rFonts w:ascii="Times New Roman" w:eastAsia="Times New Roman" w:hAnsi="Times New Roman" w:cs="Times New Roman"/>
          <w:sz w:val="24"/>
          <w:szCs w:val="24"/>
          <w:lang w:eastAsia="da-DK"/>
        </w:rPr>
        <w:t>, stk. 2, selv om der ikke er indgivet en forudgående underretning i henhold til hvidvaskforordningens artikel 69, stk. 1, første afsnit, litra a, eller artikel 70, stk. 1. Advokater er ikke forpligtet til at efterkomme anmodninger om oplysninger i henhold til 1.pkt., når de vedrører oplysninger, der er indhentet i de situationer, der er omhandlet i nævnte forordnings artikel 70, stk. 2.</w:t>
      </w:r>
    </w:p>
    <w:p w14:paraId="2E99C2C7" w14:textId="157D0965" w:rsidR="00591AB4" w:rsidRPr="00796736" w:rsidRDefault="00591AB4" w:rsidP="00385CFF">
      <w:pPr>
        <w:spacing w:line="360" w:lineRule="auto"/>
        <w:ind w:firstLine="238"/>
        <w:rPr>
          <w:rFonts w:ascii="Times New Roman" w:hAnsi="Times New Roman" w:cs="Times New Roman"/>
          <w:sz w:val="24"/>
          <w:szCs w:val="24"/>
        </w:rPr>
      </w:pPr>
    </w:p>
    <w:p w14:paraId="11A6ED57" w14:textId="58812F02" w:rsidR="00BF3BC5" w:rsidRPr="00796736" w:rsidRDefault="00BF3BC5" w:rsidP="00385CFF">
      <w:pPr>
        <w:pStyle w:val="Typografi1"/>
        <w:ind w:left="0" w:firstLine="238"/>
        <w:rPr>
          <w:rFonts w:ascii="Times New Roman" w:eastAsia="Times New Roman" w:hAnsi="Times New Roman" w:cs="Times New Roman"/>
          <w:sz w:val="24"/>
          <w:szCs w:val="24"/>
          <w:lang w:eastAsia="da-DK"/>
        </w:rPr>
      </w:pPr>
      <w:bookmarkStart w:id="56" w:name="_Ref232595727"/>
      <w:bookmarkStart w:id="57" w:name="_Ref243942719"/>
      <w:bookmarkStart w:id="58" w:name="_Toc244879000"/>
      <w:bookmarkStart w:id="59" w:name="_Toc244880524"/>
      <w:r w:rsidRPr="00796736">
        <w:rPr>
          <w:rFonts w:ascii="Times New Roman" w:eastAsia="Times New Roman" w:hAnsi="Times New Roman" w:cs="Times New Roman"/>
          <w:sz w:val="24"/>
          <w:szCs w:val="24"/>
          <w:lang w:eastAsia="da-DK"/>
        </w:rPr>
        <w:t>Hvidvasksekretariatet skal rettidigt besvare begrundede anmodninger om oplysninger, som er</w:t>
      </w:r>
      <w:r w:rsidR="006D066A" w:rsidRPr="00796736">
        <w:rPr>
          <w:rFonts w:ascii="Times New Roman" w:eastAsia="Times New Roman" w:hAnsi="Times New Roman" w:cs="Times New Roman"/>
          <w:sz w:val="24"/>
          <w:szCs w:val="24"/>
          <w:lang w:eastAsia="da-DK"/>
        </w:rPr>
        <w:t xml:space="preserve"> affødt</w:t>
      </w:r>
      <w:r w:rsidRPr="00796736">
        <w:rPr>
          <w:rFonts w:ascii="Times New Roman" w:eastAsia="Times New Roman" w:hAnsi="Times New Roman" w:cs="Times New Roman"/>
          <w:sz w:val="24"/>
          <w:szCs w:val="24"/>
          <w:lang w:eastAsia="da-DK"/>
        </w:rPr>
        <w:t xml:space="preserve"> af bekymringer vedrørende hvidvask, de underliggende lovovertrædelser eller </w:t>
      </w:r>
      <w:r w:rsidR="006D066A" w:rsidRPr="00796736">
        <w:rPr>
          <w:rFonts w:ascii="Times New Roman" w:eastAsia="Times New Roman" w:hAnsi="Times New Roman" w:cs="Times New Roman"/>
          <w:sz w:val="24"/>
          <w:szCs w:val="24"/>
          <w:lang w:eastAsia="da-DK"/>
        </w:rPr>
        <w:t>terror</w:t>
      </w:r>
      <w:r w:rsidRPr="00796736">
        <w:rPr>
          <w:rFonts w:ascii="Times New Roman" w:eastAsia="Times New Roman" w:hAnsi="Times New Roman" w:cs="Times New Roman"/>
          <w:sz w:val="24"/>
          <w:szCs w:val="24"/>
          <w:lang w:eastAsia="da-DK"/>
        </w:rPr>
        <w:t xml:space="preserve">finansiering, fra de kompetente myndigheder, </w:t>
      </w:r>
      <w:r w:rsidR="006D066A" w:rsidRPr="00796736">
        <w:rPr>
          <w:rFonts w:ascii="Times New Roman" w:eastAsia="Times New Roman" w:hAnsi="Times New Roman" w:cs="Times New Roman"/>
          <w:sz w:val="24"/>
          <w:szCs w:val="24"/>
          <w:lang w:eastAsia="da-DK"/>
        </w:rPr>
        <w:t xml:space="preserve">omfattet af hvidvaskforordningens </w:t>
      </w:r>
      <w:r w:rsidRPr="00796736">
        <w:rPr>
          <w:rFonts w:ascii="Times New Roman" w:eastAsia="Times New Roman" w:hAnsi="Times New Roman" w:cs="Times New Roman"/>
          <w:sz w:val="24"/>
          <w:szCs w:val="24"/>
          <w:lang w:eastAsia="da-DK"/>
        </w:rPr>
        <w:t xml:space="preserve">artikel 2, stk. 1, nr. 44, litra c og d, hvor de pågældende oplysninger allerede besiddes af Hvidvasksekretariatet og er nødvendige i det enkelte tilfælde, jf. dog stk. 2. </w:t>
      </w:r>
      <w:bookmarkEnd w:id="56"/>
      <w:r w:rsidR="0058400D" w:rsidRPr="00796736">
        <w:rPr>
          <w:rFonts w:ascii="Times New Roman" w:eastAsia="Times New Roman" w:hAnsi="Times New Roman" w:cs="Times New Roman"/>
          <w:sz w:val="24"/>
          <w:szCs w:val="24"/>
          <w:lang w:eastAsia="da-DK"/>
        </w:rPr>
        <w:t>Beslutningen om at formidle oplysninger træffes af Hvidvasksekretariatet.</w:t>
      </w:r>
      <w:bookmarkEnd w:id="57"/>
      <w:bookmarkEnd w:id="58"/>
      <w:bookmarkEnd w:id="59"/>
    </w:p>
    <w:p w14:paraId="4BEBE584" w14:textId="77777777" w:rsidR="00BF3BC5" w:rsidRPr="00796736" w:rsidRDefault="00BF3BC5"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Er der faktuelle årsager til at antage, at videregivelse af oplysninger efter stk. 1 vil få en negativ indvirkning på igangværende efterforskninger eller analyser, eller i særlige tilfælde, hvor videregivelse af oplysningerne vil stå i klart misforhold til en fysisk eller juridisk persons legitime interesser eller være irrelevant i forhold til formålet med anmodningen, er Hvidvasksekretariatet ikke forpligtet til at imødekomme anmodningen om oplysninger. I sådanne tilfælde giver Hvidvasksekretariatet den anmodende myndighed en skriftlig begrundelse herfor.</w:t>
      </w:r>
    </w:p>
    <w:p w14:paraId="30EB7944" w14:textId="1BC30B1E" w:rsidR="009F2D60" w:rsidRPr="00796736" w:rsidRDefault="00BF3BC5" w:rsidP="00385CFF">
      <w:pPr>
        <w:spacing w:line="360" w:lineRule="auto"/>
        <w:ind w:firstLine="238"/>
        <w:rPr>
          <w:rFonts w:ascii="Times New Roman" w:hAnsi="Times New Roman" w:cs="Times New Roman"/>
          <w:sz w:val="24"/>
          <w:szCs w:val="24"/>
        </w:rPr>
      </w:pPr>
      <w:r w:rsidRPr="00796736">
        <w:rPr>
          <w:rFonts w:ascii="Times New Roman" w:eastAsia="Times New Roman" w:hAnsi="Times New Roman" w:cs="Times New Roman"/>
          <w:i/>
          <w:iCs/>
          <w:sz w:val="24"/>
          <w:szCs w:val="24"/>
          <w:lang w:eastAsia="da-DK"/>
        </w:rPr>
        <w:t>Stk. 3.</w:t>
      </w:r>
      <w:r w:rsidRPr="00796736">
        <w:rPr>
          <w:rFonts w:ascii="Times New Roman" w:eastAsia="Times New Roman" w:hAnsi="Times New Roman" w:cs="Times New Roman"/>
          <w:sz w:val="24"/>
          <w:szCs w:val="24"/>
          <w:lang w:eastAsia="da-DK"/>
        </w:rPr>
        <w:t xml:space="preserve"> De kompetente myndigheder</w:t>
      </w:r>
      <w:r w:rsidR="006D066A" w:rsidRPr="00796736">
        <w:rPr>
          <w:rFonts w:ascii="Times New Roman" w:eastAsia="Times New Roman" w:hAnsi="Times New Roman" w:cs="Times New Roman"/>
          <w:sz w:val="24"/>
          <w:szCs w:val="24"/>
          <w:lang w:eastAsia="da-DK"/>
        </w:rPr>
        <w:t xml:space="preserve"> nævnt i stk. 1</w:t>
      </w:r>
      <w:r w:rsidRPr="00796736">
        <w:rPr>
          <w:rFonts w:ascii="Times New Roman" w:eastAsia="Times New Roman" w:hAnsi="Times New Roman" w:cs="Times New Roman"/>
          <w:sz w:val="24"/>
          <w:szCs w:val="24"/>
          <w:lang w:eastAsia="da-DK"/>
        </w:rPr>
        <w:t xml:space="preserve"> giver Hvidvasksekretariatet feedback om anvendelsen og nytteværdien af de oplysninger, der er videregivet i overensstemmelse med </w:t>
      </w:r>
      <w:r w:rsidR="006D066A" w:rsidRPr="00796736">
        <w:rPr>
          <w:rFonts w:ascii="Times New Roman" w:eastAsia="Times New Roman" w:hAnsi="Times New Roman" w:cs="Times New Roman"/>
          <w:sz w:val="24"/>
          <w:szCs w:val="24"/>
          <w:lang w:eastAsia="da-DK"/>
        </w:rPr>
        <w:t>stk. 1 og 2</w:t>
      </w:r>
      <w:r w:rsidRPr="00796736">
        <w:rPr>
          <w:rFonts w:ascii="Times New Roman" w:eastAsia="Times New Roman" w:hAnsi="Times New Roman" w:cs="Times New Roman"/>
          <w:sz w:val="24"/>
          <w:szCs w:val="24"/>
          <w:lang w:eastAsia="da-DK"/>
        </w:rPr>
        <w:t xml:space="preserve"> </w:t>
      </w:r>
      <w:r w:rsidR="006D066A" w:rsidRPr="00796736">
        <w:rPr>
          <w:rFonts w:ascii="Times New Roman" w:eastAsia="Times New Roman" w:hAnsi="Times New Roman" w:cs="Times New Roman"/>
          <w:sz w:val="24"/>
          <w:szCs w:val="24"/>
          <w:lang w:eastAsia="da-DK"/>
        </w:rPr>
        <w:t>samt</w:t>
      </w:r>
      <w:r w:rsidRPr="00796736">
        <w:rPr>
          <w:rFonts w:ascii="Times New Roman" w:eastAsia="Times New Roman" w:hAnsi="Times New Roman" w:cs="Times New Roman"/>
          <w:sz w:val="24"/>
          <w:szCs w:val="24"/>
          <w:lang w:eastAsia="da-DK"/>
        </w:rPr>
        <w:t xml:space="preserve"> </w:t>
      </w:r>
      <w:r w:rsidR="00872495" w:rsidRPr="00796736">
        <w:rPr>
          <w:rFonts w:ascii="Times New Roman" w:eastAsia="Times New Roman" w:hAnsi="Times New Roman" w:cs="Times New Roman"/>
          <w:sz w:val="24"/>
          <w:szCs w:val="24"/>
          <w:lang w:eastAsia="da-DK"/>
        </w:rPr>
        <w:fldChar w:fldCharType="begin"/>
      </w:r>
      <w:r w:rsidR="00872495" w:rsidRPr="00796736">
        <w:rPr>
          <w:rFonts w:ascii="Times New Roman" w:eastAsia="Times New Roman" w:hAnsi="Times New Roman" w:cs="Times New Roman"/>
          <w:sz w:val="24"/>
          <w:szCs w:val="24"/>
          <w:lang w:eastAsia="da-DK"/>
        </w:rPr>
        <w:instrText xml:space="preserve"> REF _Ref232595580 \r \h </w:instrText>
      </w:r>
      <w:r w:rsidR="00967618" w:rsidRPr="00796736">
        <w:rPr>
          <w:rFonts w:ascii="Times New Roman" w:eastAsia="Times New Roman" w:hAnsi="Times New Roman" w:cs="Times New Roman"/>
          <w:sz w:val="24"/>
          <w:szCs w:val="24"/>
          <w:lang w:eastAsia="da-DK"/>
        </w:rPr>
        <w:instrText xml:space="preserve"> \* MERGEFORMAT </w:instrText>
      </w:r>
      <w:r w:rsidR="00872495" w:rsidRPr="00796736">
        <w:rPr>
          <w:rFonts w:ascii="Times New Roman" w:eastAsia="Times New Roman" w:hAnsi="Times New Roman" w:cs="Times New Roman"/>
          <w:sz w:val="24"/>
          <w:szCs w:val="24"/>
          <w:lang w:eastAsia="da-DK"/>
        </w:rPr>
      </w:r>
      <w:r w:rsidR="00872495"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00872495"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2,</w:t>
      </w:r>
      <w:r w:rsidR="006D066A"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om resultatet af de foranstaltninger, der er truffet, og</w:t>
      </w:r>
      <w:r w:rsidR="006D066A" w:rsidRPr="00796736">
        <w:rPr>
          <w:rFonts w:ascii="Times New Roman" w:eastAsia="Times New Roman" w:hAnsi="Times New Roman" w:cs="Times New Roman"/>
          <w:sz w:val="24"/>
          <w:szCs w:val="24"/>
          <w:lang w:eastAsia="da-DK"/>
        </w:rPr>
        <w:t xml:space="preserve"> om</w:t>
      </w:r>
      <w:r w:rsidRPr="00796736">
        <w:rPr>
          <w:rFonts w:ascii="Times New Roman" w:eastAsia="Times New Roman" w:hAnsi="Times New Roman" w:cs="Times New Roman"/>
          <w:sz w:val="24"/>
          <w:szCs w:val="24"/>
          <w:lang w:eastAsia="da-DK"/>
        </w:rPr>
        <w:t xml:space="preserve"> de efterforskninger, der er udført på grundlag af de pågældende oplysninger. En sådan feedback gives så hurtigt som muligt og under alle omstændigheder mindst én gang om året i sammenfattet form på en sådan måde, at Hvidvasksekretariatet kan forbedre sin operationelle analysefunktion</w:t>
      </w:r>
      <w:r w:rsidR="009F2D60" w:rsidRPr="00796736">
        <w:rPr>
          <w:rFonts w:ascii="Times New Roman" w:hAnsi="Times New Roman" w:cs="Times New Roman"/>
          <w:sz w:val="24"/>
          <w:szCs w:val="24"/>
        </w:rPr>
        <w:t>.</w:t>
      </w:r>
    </w:p>
    <w:p w14:paraId="5497F940" w14:textId="77777777" w:rsidR="009F2D60" w:rsidRPr="00796736" w:rsidRDefault="009F2D60" w:rsidP="00385CFF">
      <w:pPr>
        <w:spacing w:line="360" w:lineRule="auto"/>
        <w:ind w:firstLine="238"/>
        <w:rPr>
          <w:rFonts w:ascii="Times New Roman" w:hAnsi="Times New Roman" w:cs="Times New Roman"/>
          <w:sz w:val="24"/>
          <w:szCs w:val="24"/>
        </w:rPr>
      </w:pPr>
    </w:p>
    <w:p w14:paraId="18B5AD78" w14:textId="6C0882E5" w:rsidR="009F2D60" w:rsidRPr="00796736" w:rsidRDefault="009F2D60" w:rsidP="00385CFF">
      <w:pPr>
        <w:pStyle w:val="Typografi1"/>
        <w:ind w:left="0" w:firstLine="238"/>
        <w:rPr>
          <w:rFonts w:ascii="Times New Roman" w:hAnsi="Times New Roman" w:cs="Times New Roman"/>
          <w:sz w:val="24"/>
          <w:szCs w:val="24"/>
        </w:rPr>
      </w:pPr>
      <w:bookmarkStart w:id="60" w:name="_Ref232595750"/>
      <w:bookmarkStart w:id="61" w:name="_Toc244879001"/>
      <w:bookmarkStart w:id="62" w:name="_Toc244880525"/>
      <w:r w:rsidRPr="00796736">
        <w:rPr>
          <w:rFonts w:ascii="Times New Roman" w:hAnsi="Times New Roman" w:cs="Times New Roman"/>
          <w:sz w:val="24"/>
          <w:szCs w:val="24"/>
        </w:rPr>
        <w:t>Hvidvasksekretariatet giver uopfordret eller efter anmodning tilsynsorganerne oplysninger, der kan være relevante med henblik på tilsyn efter</w:t>
      </w:r>
      <w:r w:rsidR="0058400D" w:rsidRPr="00796736">
        <w:rPr>
          <w:rFonts w:ascii="Times New Roman" w:hAnsi="Times New Roman" w:cs="Times New Roman"/>
          <w:sz w:val="24"/>
          <w:szCs w:val="24"/>
        </w:rPr>
        <w:t xml:space="preserve"> denne</w:t>
      </w:r>
      <w:r w:rsidRPr="00796736">
        <w:rPr>
          <w:rFonts w:ascii="Times New Roman" w:hAnsi="Times New Roman" w:cs="Times New Roman"/>
          <w:sz w:val="24"/>
          <w:szCs w:val="24"/>
        </w:rPr>
        <w:t xml:space="preserve"> lov, herunder mindst oplysninger om</w:t>
      </w:r>
      <w:r w:rsidR="006D066A" w:rsidRPr="00796736">
        <w:rPr>
          <w:rFonts w:ascii="Times New Roman" w:hAnsi="Times New Roman" w:cs="Times New Roman"/>
          <w:sz w:val="24"/>
          <w:szCs w:val="24"/>
        </w:rPr>
        <w:t xml:space="preserve"> følgende</w:t>
      </w:r>
      <w:r w:rsidRPr="00796736">
        <w:rPr>
          <w:rFonts w:ascii="Times New Roman" w:hAnsi="Times New Roman" w:cs="Times New Roman"/>
          <w:sz w:val="24"/>
          <w:szCs w:val="24"/>
        </w:rPr>
        <w:t>:</w:t>
      </w:r>
      <w:bookmarkEnd w:id="60"/>
      <w:bookmarkEnd w:id="61"/>
      <w:bookmarkEnd w:id="62"/>
    </w:p>
    <w:p w14:paraId="0CCC8779" w14:textId="77777777" w:rsidR="009F2D60" w:rsidRPr="00796736" w:rsidRDefault="009F2D60">
      <w:pPr>
        <w:pStyle w:val="Listeafsnit"/>
        <w:numPr>
          <w:ilvl w:val="0"/>
          <w:numId w:val="66"/>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Kvaliteten og kvantiteten af rapporter om mistænkelige transaktioner indgivet af forpligtede enheder. </w:t>
      </w:r>
    </w:p>
    <w:p w14:paraId="28D54CCA" w14:textId="77777777" w:rsidR="00BA7D44" w:rsidRPr="00796736" w:rsidRDefault="00BA7D44">
      <w:pPr>
        <w:pStyle w:val="Listeafsnit"/>
        <w:numPr>
          <w:ilvl w:val="0"/>
          <w:numId w:val="66"/>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Kvaliteten og rettidigheden af </w:t>
      </w:r>
      <w:r>
        <w:rPr>
          <w:rFonts w:ascii="Times New Roman" w:hAnsi="Times New Roman" w:cs="Times New Roman"/>
          <w:sz w:val="24"/>
          <w:szCs w:val="24"/>
        </w:rPr>
        <w:t>virksomheder og personers</w:t>
      </w:r>
      <w:r w:rsidRPr="00796736">
        <w:rPr>
          <w:rFonts w:ascii="Times New Roman" w:hAnsi="Times New Roman" w:cs="Times New Roman"/>
          <w:sz w:val="24"/>
          <w:szCs w:val="24"/>
        </w:rPr>
        <w:t xml:space="preserve"> svar på anmodninger fra Hvidvasksekretariatet i henhold til hvidvaskforordningens artikel 69, stk. 1, første afsnit, litra b.</w:t>
      </w:r>
    </w:p>
    <w:p w14:paraId="5F87D559" w14:textId="00C38220" w:rsidR="006E42AB" w:rsidRPr="00796736" w:rsidRDefault="006E42AB">
      <w:pPr>
        <w:pStyle w:val="Listeafsnit"/>
        <w:numPr>
          <w:ilvl w:val="0"/>
          <w:numId w:val="66"/>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Relevante resultater af strategiske analyser, der er foretaget i henhold til lovens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_Ref232595580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2, samt alle relevante oplysninger om tendenser og metoder for hvidvask, de underliggende lovovertrædelser og </w:t>
      </w:r>
      <w:r>
        <w:rPr>
          <w:rFonts w:ascii="Times New Roman" w:hAnsi="Times New Roman" w:cs="Times New Roman"/>
          <w:sz w:val="24"/>
          <w:szCs w:val="24"/>
        </w:rPr>
        <w:t>terror</w:t>
      </w:r>
      <w:r w:rsidRPr="00796736">
        <w:rPr>
          <w:rFonts w:ascii="Times New Roman" w:hAnsi="Times New Roman" w:cs="Times New Roman"/>
          <w:sz w:val="24"/>
          <w:szCs w:val="24"/>
        </w:rPr>
        <w:t xml:space="preserve">finansiering, herunder geografiske, grænseoverskridende og nye risici. </w:t>
      </w:r>
    </w:p>
    <w:p w14:paraId="44ED7254" w14:textId="5B2EC9B9" w:rsidR="009F2D60" w:rsidRPr="00796736" w:rsidRDefault="009F2D6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6849ED" w:rsidRPr="006849ED">
        <w:rPr>
          <w:rFonts w:ascii="Times New Roman" w:hAnsi="Times New Roman" w:cs="Times New Roman"/>
          <w:sz w:val="24"/>
          <w:szCs w:val="24"/>
        </w:rPr>
        <w:t>Hvidvasksekretariatet underretter tilsynsorganerne, når der i de oplysninger, de er i besiddelse af, er tegn på, at virksomheder og personer muligvis har overtrådt hvidvaskforordningen og forordning (EU) 2023/1113 om oplysninger, der skal medsendes ved pengeoverførsler og ved overførsler af visse kryptoaktiver med senere ændringer.</w:t>
      </w:r>
    </w:p>
    <w:p w14:paraId="6447E870" w14:textId="6E2D54B1" w:rsidR="009F2D60" w:rsidRPr="00796736" w:rsidRDefault="009F2D6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6D066A" w:rsidRPr="00796736">
        <w:rPr>
          <w:rFonts w:ascii="Times New Roman" w:hAnsi="Times New Roman" w:cs="Times New Roman"/>
          <w:sz w:val="24"/>
          <w:szCs w:val="24"/>
        </w:rPr>
        <w:t>Underretninger efter stk. 2 må ikke indeholde oplysninger om specifikke fysiske eller juridiske personer eller sager, som omfatter fysiske eller juridiske personer, der er genstand for en igangværende analyse eller efterforskning, eller som kan føre til identifikation af fysiske eller juridiske personer, medmindre det er strengt nødvendigt af hensyn til underretningen efter stk. 2.</w:t>
      </w:r>
    </w:p>
    <w:p w14:paraId="60CD2E45" w14:textId="77777777" w:rsidR="009F2D60" w:rsidRPr="00796736" w:rsidRDefault="009F2D60" w:rsidP="00385CFF">
      <w:pPr>
        <w:spacing w:line="360" w:lineRule="auto"/>
        <w:ind w:firstLine="238"/>
        <w:rPr>
          <w:rFonts w:ascii="Times New Roman" w:hAnsi="Times New Roman" w:cs="Times New Roman"/>
          <w:sz w:val="24"/>
          <w:szCs w:val="24"/>
        </w:rPr>
      </w:pPr>
    </w:p>
    <w:p w14:paraId="5D0F9621" w14:textId="7B1FEC76" w:rsidR="002128F7" w:rsidRPr="00D253F0" w:rsidRDefault="002128F7" w:rsidP="00385CFF">
      <w:pPr>
        <w:pStyle w:val="Typografi1"/>
        <w:ind w:left="0" w:firstLine="238"/>
        <w:rPr>
          <w:rFonts w:ascii="Times New Roman" w:hAnsi="Times New Roman" w:cs="Times New Roman"/>
          <w:sz w:val="24"/>
          <w:szCs w:val="24"/>
        </w:rPr>
      </w:pPr>
      <w:bookmarkStart w:id="63" w:name="_Ref232595777"/>
      <w:bookmarkStart w:id="64" w:name="_Toc244879002"/>
      <w:bookmarkStart w:id="65" w:name="_Toc244880526"/>
      <w:r w:rsidRPr="00D253F0">
        <w:rPr>
          <w:rFonts w:ascii="Times New Roman" w:hAnsi="Times New Roman" w:cs="Times New Roman"/>
          <w:sz w:val="24"/>
          <w:szCs w:val="24"/>
        </w:rPr>
        <w:t>Hvidvasksekretariatet kan</w:t>
      </w:r>
      <w:r>
        <w:rPr>
          <w:rFonts w:ascii="Times New Roman" w:hAnsi="Times New Roman" w:cs="Times New Roman"/>
          <w:sz w:val="24"/>
          <w:szCs w:val="24"/>
        </w:rPr>
        <w:t xml:space="preserve"> tage hastende tiltag ved at</w:t>
      </w:r>
      <w:r w:rsidRPr="00D253F0">
        <w:rPr>
          <w:rFonts w:ascii="Times New Roman" w:hAnsi="Times New Roman" w:cs="Times New Roman"/>
          <w:sz w:val="24"/>
          <w:szCs w:val="24"/>
        </w:rPr>
        <w:t xml:space="preserve"> påbyde virksomheder og personer omfattet af loven </w:t>
      </w:r>
      <w:r>
        <w:rPr>
          <w:rFonts w:ascii="Times New Roman" w:hAnsi="Times New Roman" w:cs="Times New Roman"/>
          <w:sz w:val="24"/>
          <w:szCs w:val="24"/>
        </w:rPr>
        <w:t>at</w:t>
      </w:r>
      <w:r w:rsidRPr="00D253F0">
        <w:rPr>
          <w:rFonts w:ascii="Times New Roman" w:hAnsi="Times New Roman" w:cs="Times New Roman"/>
          <w:sz w:val="24"/>
          <w:szCs w:val="24"/>
        </w:rPr>
        <w:t xml:space="preserve"> suspendere gennemførelsen af en transaktion eller tilbageholde godkendelsen heraf, når der er mistanke om, at en transaktion er forbundet med hvidvask, de underliggende lovovertrædelser eller </w:t>
      </w:r>
      <w:r>
        <w:rPr>
          <w:rFonts w:ascii="Times New Roman" w:hAnsi="Times New Roman" w:cs="Times New Roman"/>
          <w:sz w:val="24"/>
          <w:szCs w:val="24"/>
        </w:rPr>
        <w:t>terror</w:t>
      </w:r>
      <w:r w:rsidRPr="00D253F0">
        <w:rPr>
          <w:rFonts w:ascii="Times New Roman" w:hAnsi="Times New Roman" w:cs="Times New Roman"/>
          <w:sz w:val="24"/>
          <w:szCs w:val="24"/>
        </w:rPr>
        <w:t>finansiering med henblik på</w:t>
      </w:r>
      <w:r>
        <w:rPr>
          <w:rFonts w:ascii="Times New Roman" w:hAnsi="Times New Roman" w:cs="Times New Roman"/>
          <w:sz w:val="24"/>
          <w:szCs w:val="24"/>
        </w:rPr>
        <w:t>,</w:t>
      </w:r>
      <w:r w:rsidRPr="00D253F0">
        <w:rPr>
          <w:rFonts w:ascii="Times New Roman" w:hAnsi="Times New Roman" w:cs="Times New Roman"/>
          <w:sz w:val="24"/>
          <w:szCs w:val="24"/>
        </w:rPr>
        <w:t xml:space="preserve"> at</w:t>
      </w:r>
      <w:r>
        <w:rPr>
          <w:rFonts w:ascii="Times New Roman" w:hAnsi="Times New Roman" w:cs="Times New Roman"/>
          <w:sz w:val="24"/>
          <w:szCs w:val="24"/>
        </w:rPr>
        <w:t xml:space="preserve"> midlerne</w:t>
      </w:r>
      <w:r w:rsidRPr="00D253F0">
        <w:rPr>
          <w:rFonts w:ascii="Times New Roman" w:hAnsi="Times New Roman" w:cs="Times New Roman"/>
          <w:sz w:val="24"/>
          <w:szCs w:val="24"/>
        </w:rPr>
        <w:t xml:space="preserve"> bevare</w:t>
      </w:r>
      <w:r>
        <w:rPr>
          <w:rFonts w:ascii="Times New Roman" w:hAnsi="Times New Roman" w:cs="Times New Roman"/>
          <w:sz w:val="24"/>
          <w:szCs w:val="24"/>
        </w:rPr>
        <w:t>s</w:t>
      </w:r>
      <w:r w:rsidRPr="00D253F0">
        <w:rPr>
          <w:rFonts w:ascii="Times New Roman" w:hAnsi="Times New Roman" w:cs="Times New Roman"/>
          <w:sz w:val="24"/>
          <w:szCs w:val="24"/>
        </w:rPr>
        <w:t>, foretage sine analyser, herunder analyse af transaktionen, og vurdere, om mistanken kan bekræftes. Vurderer Hvidvasksekretariatet, at mistanken kan bekræftes, formidler Hvidvasksekretariatet resultaterne af analyserne til de relevante kompetente myndigheder,</w:t>
      </w:r>
      <w:r w:rsidR="00094DC6">
        <w:rPr>
          <w:rFonts w:ascii="Times New Roman" w:hAnsi="Times New Roman" w:cs="Times New Roman"/>
          <w:sz w:val="24"/>
          <w:szCs w:val="24"/>
        </w:rPr>
        <w:t xml:space="preserve"> og</w:t>
      </w:r>
      <w:r w:rsidR="003F3858">
        <w:rPr>
          <w:rFonts w:ascii="Times New Roman" w:hAnsi="Times New Roman" w:cs="Times New Roman"/>
          <w:sz w:val="24"/>
          <w:szCs w:val="24"/>
        </w:rPr>
        <w:t xml:space="preserve"> tilsynsorganer</w:t>
      </w:r>
      <w:r w:rsidR="000745B2">
        <w:rPr>
          <w:rFonts w:ascii="Times New Roman" w:hAnsi="Times New Roman" w:cs="Times New Roman"/>
          <w:sz w:val="24"/>
          <w:szCs w:val="24"/>
        </w:rPr>
        <w:t>,</w:t>
      </w:r>
      <w:r w:rsidRPr="00D253F0">
        <w:rPr>
          <w:rFonts w:ascii="Times New Roman" w:hAnsi="Times New Roman" w:cs="Times New Roman"/>
          <w:sz w:val="24"/>
          <w:szCs w:val="24"/>
        </w:rPr>
        <w:t xml:space="preserve"> således at der kan træffes passende foranstaltninger.</w:t>
      </w:r>
      <w:bookmarkEnd w:id="63"/>
      <w:bookmarkEnd w:id="64"/>
      <w:bookmarkEnd w:id="65"/>
      <w:r w:rsidRPr="00D253F0">
        <w:rPr>
          <w:rFonts w:ascii="Times New Roman" w:hAnsi="Times New Roman" w:cs="Times New Roman"/>
          <w:sz w:val="24"/>
          <w:szCs w:val="24"/>
        </w:rPr>
        <w:t xml:space="preserve"> </w:t>
      </w:r>
    </w:p>
    <w:p w14:paraId="3D109FE7" w14:textId="771753BF" w:rsidR="001D0A32" w:rsidRPr="00796736" w:rsidRDefault="0058400D"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2128F7" w:rsidRPr="00D253F0">
        <w:rPr>
          <w:rFonts w:ascii="Times New Roman" w:hAnsi="Times New Roman" w:cs="Times New Roman"/>
          <w:sz w:val="24"/>
          <w:szCs w:val="24"/>
        </w:rPr>
        <w:t>E</w:t>
      </w:r>
      <w:r w:rsidR="002128F7">
        <w:rPr>
          <w:rFonts w:ascii="Times New Roman" w:hAnsi="Times New Roman" w:cs="Times New Roman"/>
          <w:sz w:val="24"/>
          <w:szCs w:val="24"/>
        </w:rPr>
        <w:t xml:space="preserve">n suspension eller en tilbageholdelse af godkendelse </w:t>
      </w:r>
      <w:r w:rsidR="002128F7" w:rsidRPr="00D253F0">
        <w:rPr>
          <w:rFonts w:ascii="Times New Roman" w:hAnsi="Times New Roman" w:cs="Times New Roman"/>
          <w:sz w:val="24"/>
          <w:szCs w:val="24"/>
        </w:rPr>
        <w:t>efter stk. 1, som sker på grundlag af en mistanke, der er underrettet efter hvidvaskforordningens artikel 69</w:t>
      </w:r>
      <w:r w:rsidR="00C97C59">
        <w:rPr>
          <w:rFonts w:ascii="Times New Roman" w:hAnsi="Times New Roman" w:cs="Times New Roman"/>
          <w:sz w:val="24"/>
          <w:szCs w:val="24"/>
        </w:rPr>
        <w:t xml:space="preserve"> eller </w:t>
      </w:r>
      <w:r w:rsidR="00C97C59">
        <w:rPr>
          <w:rFonts w:ascii="Times New Roman" w:hAnsi="Times New Roman" w:cs="Times New Roman"/>
          <w:sz w:val="24"/>
          <w:szCs w:val="24"/>
        </w:rPr>
        <w:fldChar w:fldCharType="begin"/>
      </w:r>
      <w:r w:rsidR="00C97C59">
        <w:rPr>
          <w:rFonts w:ascii="Times New Roman" w:hAnsi="Times New Roman" w:cs="Times New Roman"/>
          <w:sz w:val="24"/>
          <w:szCs w:val="24"/>
        </w:rPr>
        <w:instrText xml:space="preserve"> REF _Ref232609412 \r \h </w:instrText>
      </w:r>
      <w:r w:rsidR="00C97C59">
        <w:rPr>
          <w:rFonts w:ascii="Times New Roman" w:hAnsi="Times New Roman" w:cs="Times New Roman"/>
          <w:sz w:val="24"/>
          <w:szCs w:val="24"/>
        </w:rPr>
      </w:r>
      <w:r w:rsidR="00C97C59">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00C97C59">
        <w:rPr>
          <w:rFonts w:ascii="Times New Roman" w:hAnsi="Times New Roman" w:cs="Times New Roman"/>
          <w:sz w:val="24"/>
          <w:szCs w:val="24"/>
        </w:rPr>
        <w:fldChar w:fldCharType="end"/>
      </w:r>
      <w:r w:rsidR="00C97C59">
        <w:rPr>
          <w:rFonts w:ascii="Times New Roman" w:hAnsi="Times New Roman" w:cs="Times New Roman"/>
          <w:sz w:val="24"/>
          <w:szCs w:val="24"/>
        </w:rPr>
        <w:t>, stk. 1</w:t>
      </w:r>
      <w:r w:rsidR="002128F7" w:rsidRPr="00D253F0">
        <w:rPr>
          <w:rFonts w:ascii="Times New Roman" w:hAnsi="Times New Roman" w:cs="Times New Roman"/>
          <w:sz w:val="24"/>
          <w:szCs w:val="24"/>
        </w:rPr>
        <w:t xml:space="preserve">, skal meddeles den forpligtede enhed senest 3 arbejdsdage efter indgivelsen af underretningen. Er behovet for at suspendere en transaktion </w:t>
      </w:r>
      <w:r w:rsidR="002128F7">
        <w:rPr>
          <w:rFonts w:ascii="Times New Roman" w:hAnsi="Times New Roman" w:cs="Times New Roman"/>
          <w:sz w:val="24"/>
          <w:szCs w:val="24"/>
        </w:rPr>
        <w:t xml:space="preserve">eller tilbageholde godkendelsen </w:t>
      </w:r>
      <w:r w:rsidR="002128F7" w:rsidRPr="00D253F0">
        <w:rPr>
          <w:rFonts w:ascii="Times New Roman" w:hAnsi="Times New Roman" w:cs="Times New Roman"/>
          <w:sz w:val="24"/>
          <w:szCs w:val="24"/>
        </w:rPr>
        <w:t>baseret på Hvidvasksekretariatets analytiske arbejde, uanset om den forpligtede enhed har indgivet en forudgående underretning, meddeler sekretariatet et påbud så hurtigt som muligt.</w:t>
      </w:r>
    </w:p>
    <w:p w14:paraId="41D32A93" w14:textId="2CFDAF93" w:rsidR="001D0A32" w:rsidRPr="00796736" w:rsidRDefault="001D0A32"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2128F7" w:rsidRPr="00D253F0">
        <w:rPr>
          <w:rFonts w:ascii="Times New Roman" w:hAnsi="Times New Roman" w:cs="Times New Roman"/>
          <w:sz w:val="24"/>
          <w:szCs w:val="24"/>
        </w:rPr>
        <w:t>Varigheden af e</w:t>
      </w:r>
      <w:r w:rsidR="002128F7">
        <w:rPr>
          <w:rFonts w:ascii="Times New Roman" w:hAnsi="Times New Roman" w:cs="Times New Roman"/>
          <w:sz w:val="24"/>
          <w:szCs w:val="24"/>
        </w:rPr>
        <w:t>n suspension</w:t>
      </w:r>
      <w:r w:rsidR="00C15C37">
        <w:rPr>
          <w:rFonts w:ascii="Times New Roman" w:hAnsi="Times New Roman" w:cs="Times New Roman"/>
          <w:sz w:val="24"/>
          <w:szCs w:val="24"/>
        </w:rPr>
        <w:t xml:space="preserve"> </w:t>
      </w:r>
      <w:r w:rsidR="002128F7">
        <w:rPr>
          <w:rFonts w:ascii="Times New Roman" w:hAnsi="Times New Roman" w:cs="Times New Roman"/>
          <w:sz w:val="24"/>
          <w:szCs w:val="24"/>
        </w:rPr>
        <w:t xml:space="preserve">eller </w:t>
      </w:r>
      <w:r w:rsidR="00C15C37">
        <w:rPr>
          <w:rFonts w:ascii="Times New Roman" w:hAnsi="Times New Roman" w:cs="Times New Roman"/>
          <w:sz w:val="24"/>
          <w:szCs w:val="24"/>
        </w:rPr>
        <w:t xml:space="preserve">en </w:t>
      </w:r>
      <w:r w:rsidR="002128F7">
        <w:rPr>
          <w:rFonts w:ascii="Times New Roman" w:hAnsi="Times New Roman" w:cs="Times New Roman"/>
          <w:sz w:val="24"/>
          <w:szCs w:val="24"/>
        </w:rPr>
        <w:t>tilbageholdels</w:t>
      </w:r>
      <w:r w:rsidR="00DB7BC1">
        <w:rPr>
          <w:rFonts w:ascii="Times New Roman" w:hAnsi="Times New Roman" w:cs="Times New Roman"/>
          <w:sz w:val="24"/>
          <w:szCs w:val="24"/>
        </w:rPr>
        <w:t>e</w:t>
      </w:r>
      <w:r w:rsidR="002128F7">
        <w:rPr>
          <w:rFonts w:ascii="Times New Roman" w:hAnsi="Times New Roman" w:cs="Times New Roman"/>
          <w:sz w:val="24"/>
          <w:szCs w:val="24"/>
        </w:rPr>
        <w:t xml:space="preserve"> af en godkendelse af en transaktion </w:t>
      </w:r>
      <w:r w:rsidR="002128F7" w:rsidRPr="00D253F0">
        <w:rPr>
          <w:rFonts w:ascii="Times New Roman" w:hAnsi="Times New Roman" w:cs="Times New Roman"/>
          <w:sz w:val="24"/>
          <w:szCs w:val="24"/>
        </w:rPr>
        <w:t xml:space="preserve">efter stk. 1, som er begrundet i Hvidvasksekretariatets analytiske arbejde, kan ikke overstige 10 arbejdsdage. Er </w:t>
      </w:r>
      <w:r w:rsidR="002128F7">
        <w:rPr>
          <w:rFonts w:ascii="Times New Roman" w:hAnsi="Times New Roman" w:cs="Times New Roman"/>
          <w:sz w:val="24"/>
          <w:szCs w:val="24"/>
        </w:rPr>
        <w:t>suspensionen</w:t>
      </w:r>
      <w:r w:rsidR="002128F7" w:rsidRPr="00D253F0">
        <w:rPr>
          <w:rFonts w:ascii="Times New Roman" w:hAnsi="Times New Roman" w:cs="Times New Roman"/>
          <w:sz w:val="24"/>
          <w:szCs w:val="24"/>
        </w:rPr>
        <w:t xml:space="preserve"> </w:t>
      </w:r>
      <w:r w:rsidR="002128F7">
        <w:rPr>
          <w:rFonts w:ascii="Times New Roman" w:hAnsi="Times New Roman" w:cs="Times New Roman"/>
          <w:sz w:val="24"/>
          <w:szCs w:val="24"/>
        </w:rPr>
        <w:t xml:space="preserve">eller tilbageholdelsen </w:t>
      </w:r>
      <w:r w:rsidR="002128F7" w:rsidRPr="00D253F0">
        <w:rPr>
          <w:rFonts w:ascii="Times New Roman" w:hAnsi="Times New Roman" w:cs="Times New Roman"/>
          <w:sz w:val="24"/>
          <w:szCs w:val="24"/>
        </w:rPr>
        <w:t>begrundet i Hvidvasksekretariatets eller politiets opgave med at spore, beslaglægge, indefryse eller konfiskere kriminelle aktiver, kan Hvidvasksekretariatet dog fastsætte en længere frist.</w:t>
      </w:r>
    </w:p>
    <w:p w14:paraId="3287BA37" w14:textId="2F454040" w:rsidR="0058400D" w:rsidRPr="00796736" w:rsidRDefault="001D0A32"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w:t>
      </w:r>
      <w:r w:rsidR="00911D01" w:rsidRPr="00D253F0">
        <w:rPr>
          <w:rFonts w:ascii="Times New Roman" w:hAnsi="Times New Roman" w:cs="Times New Roman"/>
          <w:sz w:val="24"/>
          <w:szCs w:val="24"/>
        </w:rPr>
        <w:t>Hvidvasksekretariatet kan</w:t>
      </w:r>
      <w:r w:rsidR="00911D01">
        <w:rPr>
          <w:rFonts w:ascii="Times New Roman" w:hAnsi="Times New Roman" w:cs="Times New Roman"/>
          <w:sz w:val="24"/>
          <w:szCs w:val="24"/>
        </w:rPr>
        <w:t xml:space="preserve"> tage hastende tiltag ved at</w:t>
      </w:r>
      <w:r w:rsidR="00911D01" w:rsidRPr="00D253F0">
        <w:rPr>
          <w:rFonts w:ascii="Times New Roman" w:hAnsi="Times New Roman" w:cs="Times New Roman"/>
          <w:sz w:val="24"/>
          <w:szCs w:val="24"/>
        </w:rPr>
        <w:t xml:space="preserve"> påbyde </w:t>
      </w:r>
      <w:r w:rsidR="00911D01">
        <w:rPr>
          <w:rFonts w:ascii="Times New Roman" w:hAnsi="Times New Roman" w:cs="Times New Roman"/>
          <w:sz w:val="24"/>
          <w:szCs w:val="24"/>
        </w:rPr>
        <w:t>virksomheder og personer omfattet af loven at</w:t>
      </w:r>
      <w:r w:rsidR="00911D01" w:rsidRPr="00D253F0">
        <w:rPr>
          <w:rFonts w:ascii="Times New Roman" w:hAnsi="Times New Roman" w:cs="Times New Roman"/>
          <w:sz w:val="24"/>
          <w:szCs w:val="24"/>
        </w:rPr>
        <w:t xml:space="preserve"> suspendere anvendelsen af en konto eller suspendere en forretningsforbindelse, når der er mistanke om, at en bankkonto eller betalingskonto, en kryptoaktivkonto eller en forretningsforbindelse er forbundet med hvidvask eller finansiering af terrorisme, med henblik på</w:t>
      </w:r>
      <w:r w:rsidR="00911D01">
        <w:rPr>
          <w:rFonts w:ascii="Times New Roman" w:hAnsi="Times New Roman" w:cs="Times New Roman"/>
          <w:sz w:val="24"/>
          <w:szCs w:val="24"/>
        </w:rPr>
        <w:t>,</w:t>
      </w:r>
      <w:r w:rsidR="00911D01" w:rsidRPr="00D253F0">
        <w:rPr>
          <w:rFonts w:ascii="Times New Roman" w:hAnsi="Times New Roman" w:cs="Times New Roman"/>
          <w:sz w:val="24"/>
          <w:szCs w:val="24"/>
        </w:rPr>
        <w:t xml:space="preserve"> at </w:t>
      </w:r>
      <w:r w:rsidR="00911D01">
        <w:rPr>
          <w:rFonts w:ascii="Times New Roman" w:hAnsi="Times New Roman" w:cs="Times New Roman"/>
          <w:sz w:val="24"/>
          <w:szCs w:val="24"/>
        </w:rPr>
        <w:t xml:space="preserve">midlerne </w:t>
      </w:r>
      <w:r w:rsidR="00911D01" w:rsidRPr="00D253F0">
        <w:rPr>
          <w:rFonts w:ascii="Times New Roman" w:hAnsi="Times New Roman" w:cs="Times New Roman"/>
          <w:sz w:val="24"/>
          <w:szCs w:val="24"/>
        </w:rPr>
        <w:t>bevare</w:t>
      </w:r>
      <w:r w:rsidR="00911D01">
        <w:rPr>
          <w:rFonts w:ascii="Times New Roman" w:hAnsi="Times New Roman" w:cs="Times New Roman"/>
          <w:sz w:val="24"/>
          <w:szCs w:val="24"/>
        </w:rPr>
        <w:t>s</w:t>
      </w:r>
      <w:r w:rsidR="00911D01" w:rsidRPr="00D253F0">
        <w:rPr>
          <w:rFonts w:ascii="Times New Roman" w:hAnsi="Times New Roman" w:cs="Times New Roman"/>
          <w:sz w:val="24"/>
          <w:szCs w:val="24"/>
        </w:rPr>
        <w:t>, foretage sine analyser</w:t>
      </w:r>
      <w:r w:rsidR="00911D01" w:rsidRPr="00D253F0">
        <w:rPr>
          <w:rStyle w:val="Kommentarhenvisning"/>
          <w:rFonts w:ascii="Times New Roman" w:hAnsi="Times New Roman" w:cs="Times New Roman"/>
          <w:sz w:val="24"/>
          <w:szCs w:val="24"/>
        </w:rPr>
        <w:t/>
      </w:r>
      <w:r w:rsidR="00911D01" w:rsidRPr="00D253F0">
        <w:rPr>
          <w:rFonts w:ascii="Times New Roman" w:hAnsi="Times New Roman" w:cs="Times New Roman"/>
          <w:sz w:val="24"/>
          <w:szCs w:val="24"/>
        </w:rPr>
        <w:t xml:space="preserve"> og vurdere, om mistanken kan bekræftes. Vurderer Hvidvasksekretariatet, at mistanken kan bekræftes, formidler Hvidvasksekretariatet resultaterne af analyserne til de relevante kompetente myndigheder</w:t>
      </w:r>
      <w:r w:rsidR="00911D01">
        <w:rPr>
          <w:rFonts w:ascii="Times New Roman" w:hAnsi="Times New Roman" w:cs="Times New Roman"/>
          <w:sz w:val="24"/>
          <w:szCs w:val="24"/>
        </w:rPr>
        <w:t xml:space="preserve"> og tilsynsorganer</w:t>
      </w:r>
      <w:r w:rsidR="00911D01" w:rsidRPr="00D253F0">
        <w:rPr>
          <w:rFonts w:ascii="Times New Roman" w:hAnsi="Times New Roman" w:cs="Times New Roman"/>
          <w:sz w:val="24"/>
          <w:szCs w:val="24"/>
        </w:rPr>
        <w:t>, således at der kan træffes passende foranstaltninger.</w:t>
      </w:r>
    </w:p>
    <w:p w14:paraId="0C6390D0" w14:textId="78B77EC8" w:rsidR="001D0A32" w:rsidRPr="00796736" w:rsidRDefault="001D0A32"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w:t>
      </w:r>
      <w:r w:rsidR="006D066A" w:rsidRPr="00796736">
        <w:rPr>
          <w:rFonts w:ascii="Times New Roman" w:hAnsi="Times New Roman" w:cs="Times New Roman"/>
          <w:sz w:val="24"/>
          <w:szCs w:val="24"/>
        </w:rPr>
        <w:t>Påbud efter stk. 4, som er begrundet i Hvidvasksekretariatets analytiske arbejde, kan ikke overstige 5 arbejdsdage. Er påbuddet begrundet i Hvidvasksekretariatets eller politiets opgave med at spore, beslaglægge, indefryse eller konfiskere kriminelle aktiver, kan Hvidvasksekretariatet dog fastsætte en længere frist.</w:t>
      </w:r>
    </w:p>
    <w:p w14:paraId="2BF59D61" w14:textId="4F365BD4" w:rsidR="001D0A32" w:rsidRPr="00796736" w:rsidDel="000B3613" w:rsidRDefault="006D066A" w:rsidP="00385CFF">
      <w:pPr>
        <w:spacing w:line="360" w:lineRule="auto"/>
        <w:ind w:firstLine="238"/>
        <w:rPr>
          <w:rFonts w:ascii="Times New Roman" w:hAnsi="Times New Roman" w:cs="Times New Roman"/>
          <w:sz w:val="24"/>
          <w:szCs w:val="24"/>
        </w:rPr>
      </w:pPr>
      <w:r w:rsidRPr="00796736" w:rsidDel="000B3613">
        <w:rPr>
          <w:rFonts w:ascii="Times New Roman" w:hAnsi="Times New Roman" w:cs="Times New Roman"/>
          <w:i/>
          <w:iCs/>
          <w:sz w:val="24"/>
          <w:szCs w:val="24"/>
        </w:rPr>
        <w:t>Stk.</w:t>
      </w:r>
      <w:r w:rsidRPr="00796736">
        <w:rPr>
          <w:rFonts w:ascii="Times New Roman" w:hAnsi="Times New Roman" w:cs="Times New Roman"/>
          <w:i/>
          <w:iCs/>
          <w:sz w:val="24"/>
          <w:szCs w:val="24"/>
        </w:rPr>
        <w:t xml:space="preserve"> 6.</w:t>
      </w:r>
      <w:r w:rsidR="001D0A32" w:rsidRPr="00796736" w:rsidDel="000B3613">
        <w:rPr>
          <w:rFonts w:ascii="Times New Roman" w:hAnsi="Times New Roman" w:cs="Times New Roman"/>
          <w:sz w:val="24"/>
          <w:szCs w:val="24"/>
        </w:rPr>
        <w:t xml:space="preserve"> </w:t>
      </w:r>
      <w:r w:rsidR="00455145" w:rsidRPr="00796736">
        <w:rPr>
          <w:rFonts w:ascii="Times New Roman" w:hAnsi="Times New Roman" w:cs="Times New Roman"/>
          <w:sz w:val="24"/>
          <w:szCs w:val="24"/>
        </w:rPr>
        <w:t xml:space="preserve">Hvidvasksekretariatet kan på anmodning fra en FIU fra en anden medlemsstat meddele påbud </w:t>
      </w:r>
      <w:r w:rsidR="00455145">
        <w:rPr>
          <w:rFonts w:ascii="Times New Roman" w:hAnsi="Times New Roman" w:cs="Times New Roman"/>
          <w:sz w:val="24"/>
          <w:szCs w:val="24"/>
        </w:rPr>
        <w:t xml:space="preserve">eller tilbageholde godkendelse </w:t>
      </w:r>
      <w:r w:rsidR="00455145" w:rsidRPr="00796736">
        <w:rPr>
          <w:rFonts w:ascii="Times New Roman" w:hAnsi="Times New Roman" w:cs="Times New Roman"/>
          <w:sz w:val="24"/>
          <w:szCs w:val="24"/>
        </w:rPr>
        <w:t>efter stk. 1 og 4.</w:t>
      </w:r>
      <w:r w:rsidR="00455145">
        <w:rPr>
          <w:rFonts w:ascii="Times New Roman" w:hAnsi="Times New Roman" w:cs="Times New Roman"/>
          <w:sz w:val="24"/>
          <w:szCs w:val="24"/>
        </w:rPr>
        <w:t xml:space="preserve"> Hvidvasksekretariatet kan endvidere anmode en FIU i en anden medlemsstat at tage hastende tiltag, som svarer til dem i stk. 1 og 4.</w:t>
      </w:r>
    </w:p>
    <w:p w14:paraId="08A35ED2" w14:textId="5B035994" w:rsidR="001D0A32" w:rsidRPr="00796736" w:rsidRDefault="001D0A32"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6D066A" w:rsidRPr="00796736">
        <w:rPr>
          <w:rFonts w:ascii="Times New Roman" w:hAnsi="Times New Roman" w:cs="Times New Roman"/>
          <w:i/>
          <w:iCs/>
          <w:sz w:val="24"/>
          <w:szCs w:val="24"/>
        </w:rPr>
        <w:t>7</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w:t>
      </w:r>
      <w:r w:rsidR="004A0EA3" w:rsidRPr="00796736">
        <w:rPr>
          <w:rFonts w:ascii="Times New Roman" w:hAnsi="Times New Roman" w:cs="Times New Roman"/>
          <w:sz w:val="24"/>
          <w:szCs w:val="24"/>
        </w:rPr>
        <w:t xml:space="preserve">Hvidvasksekretariatet, dets ledelse og øvrige ansatte kan ikke pålægges ansvar for påbud </w:t>
      </w:r>
      <w:r w:rsidR="004A0EA3">
        <w:rPr>
          <w:rFonts w:ascii="Times New Roman" w:hAnsi="Times New Roman" w:cs="Times New Roman"/>
          <w:sz w:val="24"/>
          <w:szCs w:val="24"/>
        </w:rPr>
        <w:t xml:space="preserve">eller tilbageholdelser </w:t>
      </w:r>
      <w:r w:rsidR="004A0EA3" w:rsidRPr="00796736">
        <w:rPr>
          <w:rFonts w:ascii="Times New Roman" w:hAnsi="Times New Roman" w:cs="Times New Roman"/>
          <w:sz w:val="24"/>
          <w:szCs w:val="24"/>
        </w:rPr>
        <w:t xml:space="preserve">meddelt efter </w:t>
      </w:r>
      <w:r w:rsidR="004A0EA3">
        <w:rPr>
          <w:rFonts w:ascii="Times New Roman" w:hAnsi="Times New Roman" w:cs="Times New Roman"/>
          <w:sz w:val="24"/>
          <w:szCs w:val="24"/>
        </w:rPr>
        <w:t>reglerne i stk. 1-6</w:t>
      </w:r>
      <w:r w:rsidR="004A0EA3" w:rsidRPr="00796736">
        <w:rPr>
          <w:rFonts w:ascii="Times New Roman" w:hAnsi="Times New Roman" w:cs="Times New Roman"/>
          <w:sz w:val="24"/>
          <w:szCs w:val="24"/>
        </w:rPr>
        <w:t>.</w:t>
      </w:r>
    </w:p>
    <w:p w14:paraId="1711F0DD" w14:textId="7E7943D3" w:rsidR="009F2D60" w:rsidRPr="00796736" w:rsidRDefault="009F2D60" w:rsidP="00385CFF">
      <w:pPr>
        <w:spacing w:line="360" w:lineRule="auto"/>
        <w:ind w:firstLine="238"/>
        <w:rPr>
          <w:rFonts w:ascii="Times New Roman" w:hAnsi="Times New Roman" w:cs="Times New Roman"/>
          <w:sz w:val="24"/>
          <w:szCs w:val="24"/>
        </w:rPr>
      </w:pPr>
    </w:p>
    <w:p w14:paraId="702C5FF3" w14:textId="72492E4A" w:rsidR="0058400D" w:rsidRPr="00796736" w:rsidRDefault="0058400D" w:rsidP="00385CFF">
      <w:pPr>
        <w:pStyle w:val="Typografi1"/>
        <w:ind w:left="0" w:firstLine="238"/>
        <w:rPr>
          <w:rFonts w:ascii="Times New Roman" w:hAnsi="Times New Roman" w:cs="Times New Roman"/>
          <w:sz w:val="24"/>
          <w:szCs w:val="24"/>
        </w:rPr>
      </w:pPr>
      <w:bookmarkStart w:id="66" w:name="_Ref232595829"/>
      <w:bookmarkStart w:id="67" w:name="_Toc244879003"/>
      <w:bookmarkStart w:id="68" w:name="_Toc244880527"/>
      <w:r w:rsidRPr="00796736">
        <w:rPr>
          <w:rFonts w:ascii="Times New Roman" w:hAnsi="Times New Roman" w:cs="Times New Roman"/>
          <w:sz w:val="24"/>
          <w:szCs w:val="24"/>
        </w:rPr>
        <w:t xml:space="preserve">Hvidvasksekretariatet </w:t>
      </w:r>
      <w:bookmarkEnd w:id="66"/>
      <w:r w:rsidR="00DB0A94" w:rsidRPr="00796736">
        <w:rPr>
          <w:rFonts w:ascii="Times New Roman" w:hAnsi="Times New Roman" w:cs="Times New Roman"/>
          <w:sz w:val="24"/>
          <w:szCs w:val="24"/>
        </w:rPr>
        <w:t xml:space="preserve">kan påbyde </w:t>
      </w:r>
      <w:r w:rsidR="00DB0A94">
        <w:rPr>
          <w:rFonts w:ascii="Times New Roman" w:hAnsi="Times New Roman" w:cs="Times New Roman"/>
          <w:sz w:val="24"/>
          <w:szCs w:val="24"/>
        </w:rPr>
        <w:t>virksomheder og personer omfattet af loven</w:t>
      </w:r>
      <w:r w:rsidR="00DB0A94" w:rsidRPr="00796736">
        <w:rPr>
          <w:rFonts w:ascii="Times New Roman" w:hAnsi="Times New Roman" w:cs="Times New Roman"/>
          <w:sz w:val="24"/>
          <w:szCs w:val="24"/>
        </w:rPr>
        <w:t xml:space="preserve"> i en periode at overvåge de transaktioner eller aktiviteter, som gennemføres via en eller flere bankkonti eller betalingskonti eller kryptoakti</w:t>
      </w:r>
      <w:r w:rsidR="00DB0A94">
        <w:rPr>
          <w:rFonts w:ascii="Times New Roman" w:hAnsi="Times New Roman" w:cs="Times New Roman"/>
          <w:sz w:val="24"/>
          <w:szCs w:val="24"/>
        </w:rPr>
        <w:t>v</w:t>
      </w:r>
      <w:r w:rsidR="00DB0A94" w:rsidRPr="00796736">
        <w:rPr>
          <w:rFonts w:ascii="Times New Roman" w:hAnsi="Times New Roman" w:cs="Times New Roman"/>
          <w:sz w:val="24"/>
          <w:szCs w:val="24"/>
        </w:rPr>
        <w:t xml:space="preserve">konti eller andre forretningsforbindelser, der forvaltes af </w:t>
      </w:r>
      <w:r w:rsidR="00DB0A94">
        <w:rPr>
          <w:rFonts w:ascii="Times New Roman" w:hAnsi="Times New Roman" w:cs="Times New Roman"/>
          <w:sz w:val="24"/>
          <w:szCs w:val="24"/>
        </w:rPr>
        <w:t>pågældende</w:t>
      </w:r>
      <w:r w:rsidR="00DB0A94" w:rsidRPr="00796736">
        <w:rPr>
          <w:rFonts w:ascii="Times New Roman" w:hAnsi="Times New Roman" w:cs="Times New Roman"/>
          <w:sz w:val="24"/>
          <w:szCs w:val="24"/>
        </w:rPr>
        <w:t>, for personer, der udgør en betydelig risiko for hvidvask, de underliggende lovovertrædelser eller terrorfinansiering.</w:t>
      </w:r>
      <w:bookmarkEnd w:id="67"/>
      <w:bookmarkEnd w:id="68"/>
    </w:p>
    <w:p w14:paraId="0F3ED58E" w14:textId="1E5C73B6" w:rsidR="007B4C73" w:rsidRPr="00796736" w:rsidRDefault="007B4C73"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6D066A" w:rsidRPr="00796736">
        <w:rPr>
          <w:rFonts w:ascii="Times New Roman" w:hAnsi="Times New Roman" w:cs="Times New Roman"/>
          <w:sz w:val="24"/>
          <w:szCs w:val="24"/>
        </w:rPr>
        <w:t xml:space="preserve">Hvidvasksekretariatet kan i forbindelse med påbud efter stk. 1 påbyde </w:t>
      </w:r>
      <w:r w:rsidR="001E67FC">
        <w:rPr>
          <w:rFonts w:ascii="Times New Roman" w:hAnsi="Times New Roman" w:cs="Times New Roman"/>
          <w:sz w:val="24"/>
          <w:szCs w:val="24"/>
        </w:rPr>
        <w:t>virksomheden eller personen</w:t>
      </w:r>
      <w:r w:rsidR="001E67FC" w:rsidRPr="00796736">
        <w:rPr>
          <w:rFonts w:ascii="Times New Roman" w:hAnsi="Times New Roman" w:cs="Times New Roman"/>
          <w:sz w:val="24"/>
          <w:szCs w:val="24"/>
        </w:rPr>
        <w:t xml:space="preserve"> </w:t>
      </w:r>
      <w:r w:rsidR="006D066A" w:rsidRPr="00796736">
        <w:rPr>
          <w:rFonts w:ascii="Times New Roman" w:hAnsi="Times New Roman" w:cs="Times New Roman"/>
          <w:sz w:val="24"/>
          <w:szCs w:val="24"/>
        </w:rPr>
        <w:t>at rapportere om resultaterne af overvågningen.</w:t>
      </w:r>
    </w:p>
    <w:p w14:paraId="6F36EB84" w14:textId="5CE13180" w:rsidR="0058400D" w:rsidRPr="00796736" w:rsidRDefault="0058400D"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Hvidvasksekretariatet kan efter anmodning fra en FIU fra en anden medlemsstat påbyde overvågningsforanstaltninger efter stk. 1 og 2.</w:t>
      </w:r>
      <w:r w:rsidR="002128F7">
        <w:rPr>
          <w:rFonts w:ascii="Times New Roman" w:hAnsi="Times New Roman" w:cs="Times New Roman"/>
          <w:sz w:val="24"/>
          <w:szCs w:val="24"/>
        </w:rPr>
        <w:t xml:space="preserve"> Hvidvasksekretariatet kan endvidere anmode en FIU i en anden medlemsstat at iværksætte overvågningsforanstaltninger, som svarer til dem i stk. 1 og 2.</w:t>
      </w:r>
    </w:p>
    <w:p w14:paraId="4A94D6BC" w14:textId="479EAABA" w:rsidR="00EC3AAE" w:rsidRPr="00796736" w:rsidRDefault="00EC3AAE" w:rsidP="00385CFF">
      <w:pPr>
        <w:spacing w:line="360" w:lineRule="auto"/>
        <w:ind w:firstLine="238"/>
        <w:rPr>
          <w:rFonts w:ascii="Times New Roman" w:hAnsi="Times New Roman" w:cs="Times New Roman"/>
          <w:sz w:val="24"/>
          <w:szCs w:val="24"/>
        </w:rPr>
      </w:pPr>
    </w:p>
    <w:p w14:paraId="089D27BE" w14:textId="4BACFED1" w:rsidR="00395A5C" w:rsidRPr="002128F7" w:rsidRDefault="002128F7" w:rsidP="007C3A7A">
      <w:pPr>
        <w:pStyle w:val="Typografi1"/>
        <w:ind w:left="0" w:firstLine="238"/>
        <w:rPr>
          <w:rFonts w:ascii="Times New Roman" w:hAnsi="Times New Roman" w:cs="Times New Roman"/>
          <w:sz w:val="24"/>
          <w:szCs w:val="24"/>
        </w:rPr>
      </w:pPr>
      <w:bookmarkStart w:id="69" w:name="_Ref243864504"/>
      <w:bookmarkStart w:id="70" w:name="_Hlk226826005"/>
      <w:bookmarkStart w:id="71" w:name="_Toc244879004"/>
      <w:bookmarkStart w:id="72" w:name="_Toc244880528"/>
      <w:r w:rsidRPr="00D253F0">
        <w:rPr>
          <w:rFonts w:ascii="Times New Roman" w:hAnsi="Times New Roman" w:cs="Times New Roman"/>
          <w:sz w:val="24"/>
          <w:szCs w:val="24"/>
        </w:rPr>
        <w:t xml:space="preserve">Hvidvasksekretariatet kan varsle </w:t>
      </w:r>
      <w:r w:rsidR="00BC7D38">
        <w:rPr>
          <w:rFonts w:ascii="Times New Roman" w:hAnsi="Times New Roman" w:cs="Times New Roman"/>
          <w:sz w:val="24"/>
          <w:szCs w:val="24"/>
        </w:rPr>
        <w:t>virksomheder og personer</w:t>
      </w:r>
      <w:r w:rsidR="00BC7D38" w:rsidRPr="00D253F0">
        <w:rPr>
          <w:rFonts w:ascii="Times New Roman" w:hAnsi="Times New Roman" w:cs="Times New Roman"/>
          <w:sz w:val="24"/>
          <w:szCs w:val="24"/>
        </w:rPr>
        <w:t xml:space="preserve"> </w:t>
      </w:r>
      <w:r w:rsidR="00BC7D38">
        <w:rPr>
          <w:rFonts w:ascii="Times New Roman" w:hAnsi="Times New Roman" w:cs="Times New Roman"/>
          <w:sz w:val="24"/>
          <w:szCs w:val="24"/>
        </w:rPr>
        <w:t xml:space="preserve">omfattet af loven </w:t>
      </w:r>
      <w:r w:rsidRPr="00D253F0">
        <w:rPr>
          <w:rFonts w:ascii="Times New Roman" w:hAnsi="Times New Roman" w:cs="Times New Roman"/>
          <w:sz w:val="24"/>
          <w:szCs w:val="24"/>
        </w:rPr>
        <w:t>om oplysninger, der er relevante for gennemførelsen af kundekendskabsprocedurer i henhold til kapitel III i hvidvaskforordningen. Varslinger efter 1. pkt. kan gælde i en periode på op til 6 måneder og omfatter følgende</w:t>
      </w:r>
      <w:r>
        <w:rPr>
          <w:rFonts w:ascii="Times New Roman" w:hAnsi="Times New Roman" w:cs="Times New Roman"/>
          <w:sz w:val="24"/>
          <w:szCs w:val="24"/>
        </w:rPr>
        <w:t xml:space="preserve"> oplysninger</w:t>
      </w:r>
      <w:r w:rsidRPr="00D253F0">
        <w:rPr>
          <w:rFonts w:ascii="Times New Roman" w:hAnsi="Times New Roman" w:cs="Times New Roman"/>
          <w:sz w:val="24"/>
          <w:szCs w:val="24"/>
        </w:rPr>
        <w:t>:</w:t>
      </w:r>
      <w:bookmarkEnd w:id="69"/>
      <w:bookmarkEnd w:id="71"/>
      <w:bookmarkEnd w:id="72"/>
      <w:r w:rsidRPr="00D253F0">
        <w:rPr>
          <w:rFonts w:ascii="Times New Roman" w:hAnsi="Times New Roman" w:cs="Times New Roman"/>
          <w:sz w:val="24"/>
          <w:szCs w:val="24"/>
        </w:rPr>
        <w:t xml:space="preserve"> </w:t>
      </w:r>
    </w:p>
    <w:p w14:paraId="0A005B22" w14:textId="77777777" w:rsidR="0046554C" w:rsidRPr="0046554C" w:rsidRDefault="0046554C">
      <w:pPr>
        <w:pStyle w:val="Listeafsnit"/>
        <w:numPr>
          <w:ilvl w:val="0"/>
          <w:numId w:val="101"/>
        </w:numPr>
        <w:spacing w:line="360" w:lineRule="auto"/>
        <w:ind w:left="833" w:hanging="238"/>
        <w:rPr>
          <w:rFonts w:ascii="Times New Roman" w:hAnsi="Times New Roman" w:cs="Times New Roman"/>
          <w:sz w:val="24"/>
          <w:szCs w:val="24"/>
        </w:rPr>
      </w:pPr>
      <w:r w:rsidRPr="0046554C">
        <w:rPr>
          <w:rFonts w:ascii="Times New Roman" w:hAnsi="Times New Roman" w:cs="Times New Roman"/>
          <w:sz w:val="24"/>
          <w:szCs w:val="24"/>
        </w:rPr>
        <w:t xml:space="preserve">Typer af transaktioner eller aktiviteter, der udgør en betydelig risiko for hvidvask, de underliggende lovovertrædelser og terrorfinansiering. </w:t>
      </w:r>
    </w:p>
    <w:p w14:paraId="75AF1222" w14:textId="77777777" w:rsidR="007B07FF" w:rsidRDefault="001D6EF3">
      <w:pPr>
        <w:pStyle w:val="Listeafsnit"/>
        <w:numPr>
          <w:ilvl w:val="0"/>
          <w:numId w:val="101"/>
        </w:numPr>
        <w:spacing w:line="360" w:lineRule="auto"/>
        <w:ind w:left="833" w:hanging="238"/>
        <w:rPr>
          <w:rFonts w:ascii="Times New Roman" w:hAnsi="Times New Roman" w:cs="Times New Roman"/>
          <w:sz w:val="24"/>
          <w:szCs w:val="24"/>
        </w:rPr>
      </w:pPr>
      <w:r w:rsidRPr="001D6EF3">
        <w:rPr>
          <w:rFonts w:ascii="Times New Roman" w:hAnsi="Times New Roman" w:cs="Times New Roman"/>
          <w:sz w:val="24"/>
          <w:szCs w:val="24"/>
        </w:rPr>
        <w:t xml:space="preserve">Bestemte personer, der udgør en betydelig risiko for hvidvask, de underliggende lovovertrædelser og terrorfinansiering. </w:t>
      </w:r>
    </w:p>
    <w:p w14:paraId="2CEF4DA0" w14:textId="71DAE5CE" w:rsidR="007B07FF" w:rsidRPr="007B07FF" w:rsidRDefault="007B07FF">
      <w:pPr>
        <w:pStyle w:val="Listeafsnit"/>
        <w:numPr>
          <w:ilvl w:val="0"/>
          <w:numId w:val="101"/>
        </w:numPr>
        <w:spacing w:line="360" w:lineRule="auto"/>
        <w:ind w:left="833" w:hanging="238"/>
        <w:rPr>
          <w:rFonts w:ascii="Times New Roman" w:hAnsi="Times New Roman" w:cs="Times New Roman"/>
          <w:sz w:val="24"/>
          <w:szCs w:val="24"/>
        </w:rPr>
      </w:pPr>
      <w:r w:rsidRPr="007B07FF">
        <w:rPr>
          <w:rFonts w:ascii="Times New Roman" w:hAnsi="Times New Roman" w:cs="Times New Roman"/>
          <w:sz w:val="24"/>
          <w:szCs w:val="24"/>
        </w:rPr>
        <w:t xml:space="preserve">Bestemte geografiske områder, der udgør en betydelig risiko for hvidvask, de underliggende lovovertrædelser og terrorfinansiering. </w:t>
      </w:r>
    </w:p>
    <w:p w14:paraId="45730FF5" w14:textId="6918A58D" w:rsidR="00395A5C" w:rsidRPr="00796736" w:rsidRDefault="00395A5C" w:rsidP="007C3A7A">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3B2E59" w:rsidRPr="003B2E59">
        <w:rPr>
          <w:rFonts w:ascii="Times New Roman" w:hAnsi="Times New Roman" w:cs="Times New Roman"/>
          <w:sz w:val="24"/>
          <w:szCs w:val="24"/>
        </w:rPr>
        <w:t>Hvidvasksekretariatet giver hvert år forpligtede enheder strategiske oplysninger inden for hvidvask og terrorfinansiering.</w:t>
      </w:r>
    </w:p>
    <w:bookmarkEnd w:id="70"/>
    <w:p w14:paraId="46172A87" w14:textId="77777777" w:rsidR="00395A5C" w:rsidRPr="00796736" w:rsidRDefault="00395A5C" w:rsidP="00385CFF">
      <w:pPr>
        <w:spacing w:line="360" w:lineRule="auto"/>
        <w:ind w:firstLine="238"/>
        <w:rPr>
          <w:rFonts w:ascii="Times New Roman" w:hAnsi="Times New Roman" w:cs="Times New Roman"/>
          <w:sz w:val="24"/>
          <w:szCs w:val="24"/>
        </w:rPr>
      </w:pPr>
    </w:p>
    <w:p w14:paraId="0953A0E3" w14:textId="0BF8487E" w:rsidR="00240DBE" w:rsidRPr="00796736" w:rsidRDefault="00240DBE" w:rsidP="00385CFF">
      <w:pPr>
        <w:pStyle w:val="Typografi1"/>
        <w:ind w:left="0" w:firstLine="238"/>
        <w:rPr>
          <w:rFonts w:ascii="Times New Roman" w:hAnsi="Times New Roman" w:cs="Times New Roman"/>
          <w:sz w:val="24"/>
          <w:szCs w:val="24"/>
        </w:rPr>
      </w:pPr>
      <w:bookmarkStart w:id="73" w:name="udfafd__"/>
      <w:bookmarkStart w:id="74" w:name="_Ref232595975"/>
      <w:bookmarkStart w:id="75" w:name="_Toc244879005"/>
      <w:bookmarkStart w:id="76" w:name="_Toc244880529"/>
      <w:bookmarkEnd w:id="73"/>
      <w:r w:rsidRPr="00796736">
        <w:rPr>
          <w:rFonts w:ascii="Times New Roman" w:hAnsi="Times New Roman" w:cs="Times New Roman"/>
          <w:sz w:val="24"/>
          <w:szCs w:val="24"/>
        </w:rPr>
        <w:t xml:space="preserve">Hvidvasksekretariatet skal årligt offentliggøre en rapport om sine aktiviteter. Rapporten skal indeholde oplysninger om de tendenser og typologier, der er identificeret i de </w:t>
      </w:r>
      <w:r w:rsidR="00210FFA" w:rsidRPr="00796736">
        <w:rPr>
          <w:rFonts w:ascii="Times New Roman" w:hAnsi="Times New Roman" w:cs="Times New Roman"/>
          <w:sz w:val="24"/>
          <w:szCs w:val="24"/>
        </w:rPr>
        <w:t>efterretninger</w:t>
      </w:r>
      <w:r w:rsidRPr="00796736">
        <w:rPr>
          <w:rFonts w:ascii="Times New Roman" w:hAnsi="Times New Roman" w:cs="Times New Roman"/>
          <w:sz w:val="24"/>
          <w:szCs w:val="24"/>
        </w:rPr>
        <w:t>, som formidles til andre kompetente myndigheder, samt statistikker over:</w:t>
      </w:r>
      <w:bookmarkEnd w:id="74"/>
      <w:bookmarkEnd w:id="75"/>
      <w:bookmarkEnd w:id="76"/>
      <w:r w:rsidRPr="00796736">
        <w:rPr>
          <w:rFonts w:ascii="Times New Roman" w:hAnsi="Times New Roman" w:cs="Times New Roman"/>
          <w:sz w:val="24"/>
          <w:szCs w:val="24"/>
        </w:rPr>
        <w:t xml:space="preserve"> </w:t>
      </w:r>
    </w:p>
    <w:p w14:paraId="05A20C54" w14:textId="77777777" w:rsidR="00091A0E" w:rsidRDefault="00210FFA">
      <w:pPr>
        <w:pStyle w:val="Listeafsnit"/>
        <w:numPr>
          <w:ilvl w:val="0"/>
          <w:numId w:val="65"/>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Hvidvasksekretariatets opfølgning på underretninger, herunder rapporter, om mistænkelige transaktioner og aktiviteter, som sekretariatet har modtaget. </w:t>
      </w:r>
    </w:p>
    <w:p w14:paraId="2E26B636" w14:textId="7ABED298" w:rsidR="00091A0E" w:rsidRPr="00091A0E" w:rsidRDefault="00091A0E">
      <w:pPr>
        <w:pStyle w:val="Listeafsnit"/>
        <w:numPr>
          <w:ilvl w:val="0"/>
          <w:numId w:val="65"/>
        </w:numPr>
        <w:spacing w:line="360" w:lineRule="auto"/>
        <w:rPr>
          <w:rFonts w:ascii="Times New Roman" w:hAnsi="Times New Roman" w:cs="Times New Roman"/>
          <w:sz w:val="24"/>
          <w:szCs w:val="24"/>
        </w:rPr>
      </w:pPr>
      <w:r w:rsidRPr="00091A0E">
        <w:rPr>
          <w:rFonts w:ascii="Times New Roman" w:hAnsi="Times New Roman" w:cs="Times New Roman"/>
          <w:sz w:val="24"/>
          <w:szCs w:val="24"/>
        </w:rPr>
        <w:t xml:space="preserve">Rapporter om mistænkelige transaktioner indgivet af virksomheder og personer omfattet af loven. </w:t>
      </w:r>
    </w:p>
    <w:p w14:paraId="3A18E7E0" w14:textId="77777777" w:rsidR="00240DBE" w:rsidRPr="00796736" w:rsidRDefault="00240DBE">
      <w:pPr>
        <w:pStyle w:val="Listeafsnit"/>
        <w:numPr>
          <w:ilvl w:val="0"/>
          <w:numId w:val="65"/>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Videregivelse af oplysninger fra tilsynsorganer og centrale registre. </w:t>
      </w:r>
    </w:p>
    <w:p w14:paraId="688441C2" w14:textId="77777777" w:rsidR="00240DBE" w:rsidRPr="00796736" w:rsidRDefault="00240DBE">
      <w:pPr>
        <w:pStyle w:val="Listeafsnit"/>
        <w:numPr>
          <w:ilvl w:val="0"/>
          <w:numId w:val="65"/>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Formidlinger til kompetente myndigheder og den videre behandling af disse formidlinger. </w:t>
      </w:r>
    </w:p>
    <w:p w14:paraId="34DB90F6" w14:textId="77777777" w:rsidR="00240DBE" w:rsidRPr="00796736" w:rsidRDefault="00240DBE">
      <w:pPr>
        <w:pStyle w:val="Listeafsnit"/>
        <w:numPr>
          <w:ilvl w:val="0"/>
          <w:numId w:val="65"/>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Anmodninger indgivet til og modtaget fra andre FIU'er. </w:t>
      </w:r>
    </w:p>
    <w:p w14:paraId="6654ECE8" w14:textId="77777777" w:rsidR="00240DBE" w:rsidRPr="00796736" w:rsidRDefault="00240DBE">
      <w:pPr>
        <w:pStyle w:val="Listeafsnit"/>
        <w:numPr>
          <w:ilvl w:val="0"/>
          <w:numId w:val="65"/>
        </w:numPr>
        <w:spacing w:line="360" w:lineRule="auto"/>
        <w:rPr>
          <w:rFonts w:ascii="Times New Roman" w:hAnsi="Times New Roman" w:cs="Times New Roman"/>
          <w:sz w:val="24"/>
          <w:szCs w:val="24"/>
        </w:rPr>
      </w:pPr>
      <w:r w:rsidRPr="00796736">
        <w:rPr>
          <w:rFonts w:ascii="Times New Roman" w:hAnsi="Times New Roman" w:cs="Times New Roman"/>
          <w:sz w:val="24"/>
          <w:szCs w:val="24"/>
        </w:rPr>
        <w:t>Anmodninger, der er indgivet til og modtaget fra kompetente myndigheder omhandlet i artikel 2, stk. 1, nr. 44, litra c, i hvidvaskforordningen.</w:t>
      </w:r>
    </w:p>
    <w:p w14:paraId="63115B51" w14:textId="6CF2DF68" w:rsidR="00240DBE" w:rsidRPr="00796736" w:rsidRDefault="00240DBE">
      <w:pPr>
        <w:pStyle w:val="Listeafsnit"/>
        <w:numPr>
          <w:ilvl w:val="0"/>
          <w:numId w:val="65"/>
        </w:numPr>
        <w:spacing w:line="360" w:lineRule="auto"/>
        <w:rPr>
          <w:rFonts w:ascii="Times New Roman" w:hAnsi="Times New Roman" w:cs="Times New Roman"/>
          <w:sz w:val="24"/>
          <w:szCs w:val="24"/>
        </w:rPr>
      </w:pPr>
      <w:r w:rsidRPr="00796736">
        <w:rPr>
          <w:rFonts w:ascii="Times New Roman" w:hAnsi="Times New Roman" w:cs="Times New Roman"/>
          <w:sz w:val="24"/>
          <w:szCs w:val="24"/>
        </w:rPr>
        <w:t>Allokerede årsværk</w:t>
      </w:r>
      <w:r w:rsidR="00775F64">
        <w:rPr>
          <w:rFonts w:ascii="Times New Roman" w:hAnsi="Times New Roman" w:cs="Times New Roman"/>
          <w:sz w:val="24"/>
          <w:szCs w:val="24"/>
        </w:rPr>
        <w:t xml:space="preserve"> i Hvidvasksekretariatet</w:t>
      </w:r>
      <w:r w:rsidR="00775F64" w:rsidRPr="00796736">
        <w:rPr>
          <w:rFonts w:ascii="Times New Roman" w:hAnsi="Times New Roman" w:cs="Times New Roman"/>
          <w:sz w:val="24"/>
          <w:szCs w:val="24"/>
        </w:rPr>
        <w:t>.</w:t>
      </w:r>
    </w:p>
    <w:p w14:paraId="5F8F0F04" w14:textId="77777777" w:rsidR="00210FFA" w:rsidRPr="00796736" w:rsidRDefault="00210FFA">
      <w:pPr>
        <w:pStyle w:val="Listeafsnit"/>
        <w:numPr>
          <w:ilvl w:val="0"/>
          <w:numId w:val="65"/>
        </w:num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Oplysninger om grænseoverskridende fysiske overførsler af kontanter fremsendt af told- og skatteforvaltningen i henhold til artikel 9 i forordning (EU) 2018/1672 om kontrol med likvide midler, der føres ind i eller ud af Unionen. </w:t>
      </w:r>
    </w:p>
    <w:p w14:paraId="2938F7AC" w14:textId="2A84D077" w:rsidR="00395A5C" w:rsidRPr="00796736" w:rsidRDefault="00240DBE" w:rsidP="00385CFF">
      <w:pPr>
        <w:spacing w:line="360" w:lineRule="auto"/>
        <w:ind w:firstLine="238"/>
        <w:rPr>
          <w:rFonts w:ascii="Times New Roman" w:hAnsi="Times New Roman" w:cs="Times New Roman"/>
          <w:sz w:val="24"/>
          <w:szCs w:val="24"/>
        </w:rPr>
      </w:pPr>
      <w:r w:rsidRPr="00796736">
        <w:rPr>
          <w:rFonts w:ascii="Times New Roman" w:eastAsia="Times New Roman" w:hAnsi="Times New Roman" w:cs="Times New Roman"/>
          <w:i/>
          <w:iCs/>
          <w:sz w:val="24"/>
          <w:szCs w:val="24"/>
          <w:lang w:eastAsia="da-DK"/>
        </w:rPr>
        <w:t xml:space="preserve">Stk. 2. </w:t>
      </w:r>
      <w:r w:rsidRPr="00796736">
        <w:rPr>
          <w:rFonts w:ascii="Times New Roman" w:eastAsia="Times New Roman" w:hAnsi="Times New Roman" w:cs="Times New Roman"/>
          <w:sz w:val="24"/>
          <w:szCs w:val="24"/>
          <w:lang w:eastAsia="da-DK"/>
        </w:rPr>
        <w:t>Oplysningerne i rapporten efter stk. 1 må ikke gøre det muligt at identificere nogen fysisk eller juridisk person.</w:t>
      </w:r>
      <w:r w:rsidR="00395A5C" w:rsidRPr="00796736">
        <w:rPr>
          <w:rFonts w:ascii="Times New Roman" w:hAnsi="Times New Roman" w:cs="Times New Roman"/>
          <w:sz w:val="24"/>
          <w:szCs w:val="24"/>
        </w:rPr>
        <w:t xml:space="preserve"> </w:t>
      </w:r>
    </w:p>
    <w:p w14:paraId="29A1FA97" w14:textId="77777777" w:rsidR="00395A5C" w:rsidRPr="00796736" w:rsidRDefault="00395A5C" w:rsidP="00385CFF">
      <w:pPr>
        <w:spacing w:line="360" w:lineRule="auto"/>
        <w:ind w:firstLine="238"/>
        <w:rPr>
          <w:rFonts w:ascii="Times New Roman" w:hAnsi="Times New Roman" w:cs="Times New Roman"/>
          <w:sz w:val="24"/>
          <w:szCs w:val="24"/>
        </w:rPr>
      </w:pPr>
    </w:p>
    <w:p w14:paraId="0B3BB1D1" w14:textId="77777777" w:rsidR="00EA684B" w:rsidRPr="00796736" w:rsidRDefault="00EA684B" w:rsidP="00EA684B">
      <w:pPr>
        <w:pStyle w:val="Typografi1"/>
        <w:ind w:left="0" w:firstLine="238"/>
        <w:rPr>
          <w:rFonts w:ascii="Times New Roman" w:hAnsi="Times New Roman" w:cs="Times New Roman"/>
          <w:sz w:val="24"/>
          <w:szCs w:val="24"/>
        </w:rPr>
      </w:pPr>
      <w:bookmarkStart w:id="77" w:name="_Ref232596008"/>
      <w:bookmarkStart w:id="78" w:name="_Toc244879006"/>
      <w:bookmarkStart w:id="79" w:name="_Toc244880530"/>
      <w:r w:rsidRPr="00796736">
        <w:rPr>
          <w:rFonts w:ascii="Times New Roman" w:hAnsi="Times New Roman" w:cs="Times New Roman"/>
          <w:sz w:val="24"/>
          <w:szCs w:val="24"/>
        </w:rPr>
        <w:t xml:space="preserve">Hvidvasksekretariatet skal i relevant omfang, dog minimum én gang årligt, give </w:t>
      </w:r>
      <w:r>
        <w:rPr>
          <w:rFonts w:ascii="Times New Roman" w:hAnsi="Times New Roman" w:cs="Times New Roman"/>
          <w:sz w:val="24"/>
          <w:szCs w:val="24"/>
        </w:rPr>
        <w:t>virksomheder og personer omfattet af loven</w:t>
      </w:r>
      <w:r w:rsidRPr="00796736">
        <w:rPr>
          <w:rFonts w:ascii="Times New Roman" w:hAnsi="Times New Roman" w:cs="Times New Roman"/>
          <w:sz w:val="24"/>
          <w:szCs w:val="24"/>
        </w:rPr>
        <w:t xml:space="preserve"> feedback om underretning af mistanke i henhold til artikel 69 i hvidvaskforordningen, jf. dog stk. 5. Feedbacken gives til den enkelte </w:t>
      </w:r>
      <w:r>
        <w:rPr>
          <w:rFonts w:ascii="Times New Roman" w:hAnsi="Times New Roman" w:cs="Times New Roman"/>
          <w:sz w:val="24"/>
          <w:szCs w:val="24"/>
        </w:rPr>
        <w:t>virksomhed eller person</w:t>
      </w:r>
      <w:r w:rsidRPr="00796736">
        <w:rPr>
          <w:rFonts w:ascii="Times New Roman" w:hAnsi="Times New Roman" w:cs="Times New Roman"/>
          <w:sz w:val="24"/>
          <w:szCs w:val="24"/>
        </w:rPr>
        <w:t xml:space="preserve"> eller til koncerner eller kategorier af </w:t>
      </w:r>
      <w:r>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under hensyntagen til det samlede antal mistænkelige transaktioner, som underrettes af de </w:t>
      </w:r>
      <w:r>
        <w:rPr>
          <w:rFonts w:ascii="Times New Roman" w:hAnsi="Times New Roman" w:cs="Times New Roman"/>
          <w:sz w:val="24"/>
          <w:szCs w:val="24"/>
        </w:rPr>
        <w:t>pågældende</w:t>
      </w:r>
      <w:r w:rsidRPr="00796736">
        <w:rPr>
          <w:rFonts w:ascii="Times New Roman" w:hAnsi="Times New Roman" w:cs="Times New Roman"/>
          <w:sz w:val="24"/>
          <w:szCs w:val="24"/>
        </w:rPr>
        <w:t>.</w:t>
      </w:r>
      <w:bookmarkEnd w:id="77"/>
      <w:bookmarkEnd w:id="78"/>
      <w:bookmarkEnd w:id="79"/>
    </w:p>
    <w:p w14:paraId="1AC00576" w14:textId="2DFE8AE7" w:rsidR="00240DBE" w:rsidRPr="00796736" w:rsidRDefault="00240DBE"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Feedbacken efter stk. 1 skal som minimum omfatte kvaliteten af de oplysninger, der gives, </w:t>
      </w:r>
      <w:r w:rsidR="00210FFA" w:rsidRPr="00796736">
        <w:rPr>
          <w:rFonts w:ascii="Times New Roman" w:hAnsi="Times New Roman" w:cs="Times New Roman"/>
          <w:sz w:val="24"/>
          <w:szCs w:val="24"/>
        </w:rPr>
        <w:t>underretningens</w:t>
      </w:r>
      <w:r w:rsidRPr="00796736">
        <w:rPr>
          <w:rFonts w:ascii="Times New Roman" w:hAnsi="Times New Roman" w:cs="Times New Roman"/>
          <w:sz w:val="24"/>
          <w:szCs w:val="24"/>
        </w:rPr>
        <w:t xml:space="preserve"> rettidighed, beskrivelsen af mistanken og den dokumentation, der er fremlagt i indgivelsesfasen. </w:t>
      </w:r>
    </w:p>
    <w:p w14:paraId="539E3870" w14:textId="7354F2AC" w:rsidR="00240DBE" w:rsidRPr="00796736" w:rsidRDefault="00240DBE"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58400D" w:rsidRPr="00796736">
        <w:rPr>
          <w:rFonts w:ascii="Times New Roman" w:hAnsi="Times New Roman" w:cs="Times New Roman"/>
          <w:sz w:val="24"/>
          <w:szCs w:val="24"/>
        </w:rPr>
        <w:t>Hvidvasksekretariatet stiller også feedbacken efter stk. 1 til rådighed for tilsynsorganerne, så de kan udføre risikobaseret tilsyn i overensstemmelse med denne lov.</w:t>
      </w:r>
    </w:p>
    <w:p w14:paraId="77E7FFD8" w14:textId="37AA74DC" w:rsidR="00240DBE" w:rsidRPr="00796736" w:rsidRDefault="00240DBE"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w:t>
      </w:r>
      <w:r w:rsidR="00E45AE0" w:rsidRPr="00796736">
        <w:rPr>
          <w:rFonts w:ascii="Times New Roman" w:hAnsi="Times New Roman" w:cs="Times New Roman"/>
          <w:sz w:val="24"/>
          <w:szCs w:val="24"/>
        </w:rPr>
        <w:t xml:space="preserve">Hvidvasksekretariatet rapporterer årligt til AMLA om den feedback, sekretariatet har givet til </w:t>
      </w:r>
      <w:r w:rsidR="00E45AE0">
        <w:rPr>
          <w:rFonts w:ascii="Times New Roman" w:hAnsi="Times New Roman" w:cs="Times New Roman"/>
          <w:sz w:val="24"/>
          <w:szCs w:val="24"/>
        </w:rPr>
        <w:t>virksomheder og personer</w:t>
      </w:r>
      <w:r w:rsidR="00E45AE0" w:rsidRPr="00796736">
        <w:rPr>
          <w:rFonts w:ascii="Times New Roman" w:hAnsi="Times New Roman" w:cs="Times New Roman"/>
          <w:sz w:val="24"/>
          <w:szCs w:val="24"/>
        </w:rPr>
        <w:t xml:space="preserve"> i henhold til denne bestemmelse. Hvidvasksekretariatet forelægger også årligt statistikker over antallet af rapporter af mistænkelige transaktioner indgivet af kategorierne af </w:t>
      </w:r>
      <w:r w:rsidR="00E45AE0">
        <w:rPr>
          <w:rFonts w:ascii="Times New Roman" w:hAnsi="Times New Roman" w:cs="Times New Roman"/>
          <w:sz w:val="24"/>
          <w:szCs w:val="24"/>
        </w:rPr>
        <w:t>virksomheder og personer</w:t>
      </w:r>
      <w:r w:rsidR="00E45AE0" w:rsidRPr="00796736">
        <w:rPr>
          <w:rFonts w:ascii="Times New Roman" w:hAnsi="Times New Roman" w:cs="Times New Roman"/>
          <w:sz w:val="24"/>
          <w:szCs w:val="24"/>
        </w:rPr>
        <w:t>.</w:t>
      </w:r>
    </w:p>
    <w:p w14:paraId="1A4EF589" w14:textId="77777777" w:rsidR="00240DBE" w:rsidRPr="00796736" w:rsidRDefault="00240DBE"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Hvidvasksekretariatets forpligtelse til at give feedback efter stk. 1 må ikke bringe det igangværende analytiske arbejde, der udføres af sekretariatet, eller eventuelle efterforskninger eller administrative foranstaltninger, der er foretaget efter Hvidvasksekretariatets formidling, i fare. </w:t>
      </w:r>
      <w:bookmarkStart w:id="80" w:name="_Hlk227256226"/>
      <w:r w:rsidRPr="00796736">
        <w:rPr>
          <w:rFonts w:ascii="Times New Roman" w:hAnsi="Times New Roman" w:cs="Times New Roman"/>
          <w:sz w:val="24"/>
          <w:szCs w:val="24"/>
        </w:rPr>
        <w:t xml:space="preserve">Sekretariatet skal sikre, at feedbacken gives </w:t>
      </w:r>
      <w:bookmarkEnd w:id="80"/>
      <w:r w:rsidRPr="00796736">
        <w:rPr>
          <w:rFonts w:ascii="Times New Roman" w:hAnsi="Times New Roman" w:cs="Times New Roman"/>
          <w:sz w:val="24"/>
          <w:szCs w:val="24"/>
        </w:rPr>
        <w:t xml:space="preserve">i overensstemmelse med databeskyttelsesreglerne og regler om fortrolighed. </w:t>
      </w:r>
    </w:p>
    <w:p w14:paraId="622E4A2E" w14:textId="5ED67F48" w:rsidR="00240DBE" w:rsidRPr="00796736" w:rsidRDefault="00240DBE"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6</w:t>
      </w:r>
      <w:r w:rsidRPr="00796736">
        <w:rPr>
          <w:rFonts w:ascii="Times New Roman" w:hAnsi="Times New Roman" w:cs="Times New Roman"/>
          <w:sz w:val="24"/>
          <w:szCs w:val="24"/>
        </w:rPr>
        <w:t xml:space="preserve">. </w:t>
      </w:r>
      <w:r w:rsidR="00AA064F">
        <w:rPr>
          <w:rFonts w:ascii="Times New Roman" w:hAnsi="Times New Roman" w:cs="Times New Roman"/>
          <w:sz w:val="24"/>
          <w:szCs w:val="24"/>
        </w:rPr>
        <w:t>Virksomheder og personer</w:t>
      </w:r>
      <w:r w:rsidR="00AA064F" w:rsidRPr="00796736">
        <w:rPr>
          <w:rFonts w:ascii="Times New Roman" w:hAnsi="Times New Roman" w:cs="Times New Roman"/>
          <w:sz w:val="24"/>
          <w:szCs w:val="24"/>
        </w:rPr>
        <w:t xml:space="preserve"> må ikke videregive modtagne meddelelser som nævnt i stk. 1 og 3 til uvedkommende.</w:t>
      </w:r>
    </w:p>
    <w:p w14:paraId="24E0B682" w14:textId="18479748" w:rsidR="00240DBE" w:rsidRPr="00796736" w:rsidRDefault="00240DBE"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7.</w:t>
      </w:r>
      <w:r w:rsidRPr="00796736">
        <w:rPr>
          <w:rFonts w:ascii="Times New Roman" w:hAnsi="Times New Roman" w:cs="Times New Roman"/>
          <w:sz w:val="24"/>
          <w:szCs w:val="24"/>
        </w:rPr>
        <w:t xml:space="preserve"> </w:t>
      </w:r>
      <w:r w:rsidR="00210FFA" w:rsidRPr="00796736">
        <w:rPr>
          <w:rFonts w:ascii="Times New Roman" w:hAnsi="Times New Roman" w:cs="Times New Roman"/>
          <w:sz w:val="24"/>
          <w:szCs w:val="24"/>
        </w:rPr>
        <w:t>Hvidvasksekretariatet skal årligt give told- og skatteforvaltningen feedback om effektiviteten og opfølgningen af de oplysninger, der er fremsendt i henhold til artikel 9 i forordning (EU) nr. 2018/1672 af 23. oktober 2018 om kontrol med likvide midler, der føres ind i eller ud af Unionen.</w:t>
      </w:r>
    </w:p>
    <w:p w14:paraId="19B3CB99" w14:textId="77777777" w:rsidR="003F430D" w:rsidRPr="00796736" w:rsidRDefault="003F430D" w:rsidP="003F430D">
      <w:pPr>
        <w:spacing w:line="360" w:lineRule="auto"/>
        <w:ind w:firstLine="340"/>
        <w:rPr>
          <w:rFonts w:ascii="Times New Roman" w:hAnsi="Times New Roman" w:cs="Times New Roman"/>
          <w:sz w:val="24"/>
          <w:szCs w:val="24"/>
        </w:rPr>
      </w:pPr>
      <w:r w:rsidRPr="00796736">
        <w:rPr>
          <w:rFonts w:ascii="Times New Roman" w:hAnsi="Times New Roman" w:cs="Times New Roman"/>
          <w:i/>
          <w:iCs/>
          <w:sz w:val="24"/>
          <w:szCs w:val="24"/>
        </w:rPr>
        <w:t>Stk. 8.</w:t>
      </w:r>
      <w:r w:rsidRPr="00796736">
        <w:rPr>
          <w:rFonts w:ascii="Times New Roman" w:hAnsi="Times New Roman" w:cs="Times New Roman"/>
          <w:sz w:val="24"/>
          <w:szCs w:val="24"/>
        </w:rPr>
        <w:t xml:space="preserve"> Justitsministeren fastsætter regler, som er nødvendige af hensyn til at gennemføre, anvende eller håndhæve retsakter vedtaget af EU’s institutioner om forhold vedrørende bedste praksis og tilgange til at give feedback, herunder om typen og hyppigheden af feedback.</w:t>
      </w:r>
    </w:p>
    <w:p w14:paraId="747EB64B" w14:textId="77777777" w:rsidR="00240DBE" w:rsidRPr="00796736" w:rsidRDefault="00240DBE" w:rsidP="00385CFF">
      <w:pPr>
        <w:spacing w:line="360" w:lineRule="auto"/>
        <w:ind w:firstLine="238"/>
        <w:rPr>
          <w:rFonts w:ascii="Times New Roman" w:hAnsi="Times New Roman" w:cs="Times New Roman"/>
          <w:sz w:val="24"/>
          <w:szCs w:val="24"/>
        </w:rPr>
      </w:pPr>
    </w:p>
    <w:p w14:paraId="411B8C9A" w14:textId="09C8F6A8" w:rsidR="00EA1B80" w:rsidRPr="00796736" w:rsidRDefault="00EA1B80" w:rsidP="00385CFF">
      <w:pPr>
        <w:pStyle w:val="Typografi1"/>
        <w:ind w:left="0" w:firstLine="238"/>
        <w:rPr>
          <w:rFonts w:ascii="Times New Roman" w:hAnsi="Times New Roman" w:cs="Times New Roman"/>
          <w:sz w:val="24"/>
          <w:szCs w:val="24"/>
        </w:rPr>
      </w:pPr>
      <w:bookmarkStart w:id="81" w:name="_Ref232596031"/>
      <w:bookmarkStart w:id="82" w:name="_Toc244879007"/>
      <w:bookmarkStart w:id="83" w:name="_Toc244880531"/>
      <w:r w:rsidRPr="00796736">
        <w:rPr>
          <w:rFonts w:ascii="Times New Roman" w:hAnsi="Times New Roman" w:cs="Times New Roman"/>
          <w:sz w:val="24"/>
          <w:szCs w:val="24"/>
        </w:rPr>
        <w:t xml:space="preserve">Hvidvasksekretariatet anvender FIU.net til udveksling af oplysninger med andre FIU’er og AMLA med henblik på fælles analyser i henhold til </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872495" w:rsidRPr="00796736">
        <w:rPr>
          <w:rFonts w:ascii="Times New Roman" w:hAnsi="Times New Roman" w:cs="Times New Roman"/>
          <w:sz w:val="24"/>
          <w:szCs w:val="24"/>
        </w:rPr>
        <w:fldChar w:fldCharType="end"/>
      </w:r>
      <w:r w:rsidR="00872495" w:rsidRPr="00796736">
        <w:rPr>
          <w:rFonts w:ascii="Times New Roman" w:hAnsi="Times New Roman" w:cs="Times New Roman"/>
          <w:sz w:val="24"/>
          <w:szCs w:val="24"/>
        </w:rPr>
        <w:t xml:space="preserve"> </w:t>
      </w:r>
      <w:r w:rsidRPr="00796736">
        <w:rPr>
          <w:rFonts w:ascii="Times New Roman" w:hAnsi="Times New Roman" w:cs="Times New Roman"/>
          <w:sz w:val="24"/>
          <w:szCs w:val="24"/>
        </w:rPr>
        <w:t>og artikel 40 i AMLA-forordningen. Hvidvasksekretariatet udveksler endvidere oplysninger med andre FIU’er i henhold til §</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87249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xml:space="preserve"> 26</w:t>
      </w:r>
      <w:r w:rsidR="0087249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via FIU.net.</w:t>
      </w:r>
      <w:bookmarkEnd w:id="81"/>
      <w:bookmarkEnd w:id="82"/>
      <w:bookmarkEnd w:id="83"/>
      <w:r w:rsidRPr="00796736">
        <w:rPr>
          <w:rFonts w:ascii="Times New Roman" w:hAnsi="Times New Roman" w:cs="Times New Roman"/>
          <w:sz w:val="24"/>
          <w:szCs w:val="24"/>
        </w:rPr>
        <w:t xml:space="preserve"> </w:t>
      </w:r>
    </w:p>
    <w:p w14:paraId="63FBE304" w14:textId="77777777" w:rsidR="00B517C4" w:rsidRPr="00796736" w:rsidRDefault="00B517C4"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I tilfælde af tekniske fejl i FIU.net fremsendes oplysningerne efter stk. 1 på anden hensigtsmæssig måde, der sikrer et højt niveau af datasikkerhed og databeskyttelse.</w:t>
      </w:r>
    </w:p>
    <w:p w14:paraId="341E244E" w14:textId="77777777"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Hvidvasksekretariatet kan anvende FIU.net til kommunikation med FIU’er i tredjelande og med andre myndigheder og med EU-organer, -kontorer og -agenturer. Udveksling af oplysninger mellem Hvidvasksekretariatet og FIU’er i tredjelande, der ikke er forbundet med FIU.net, skal finde sted via beskyttede kommunikationskanaler.</w:t>
      </w:r>
    </w:p>
    <w:p w14:paraId="0363A30D" w14:textId="77777777"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Hvidvasksekretariatet skal i videst muligt omfang samarbejde med andre FIU’er om at anvende de mest avancerede teknologier i overensstemmelse med dansk ret med henblik på at varetage sekretariatets opgaver i henhold til hvidvaskdirektivet samt om anvendelse af løsninger, der er udviklet og forvaltes af AMLA i overensstemmelse med artikel 5, stk. 5, litra i, artikel 45, stk. 1, litra d, og artikel 47, i AMLA-forordningen.</w:t>
      </w:r>
    </w:p>
    <w:p w14:paraId="2072CD9E" w14:textId="4E211ACB"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5. </w:t>
      </w:r>
      <w:r w:rsidR="00210FFA" w:rsidRPr="00796736">
        <w:rPr>
          <w:rFonts w:ascii="Times New Roman" w:hAnsi="Times New Roman" w:cs="Times New Roman"/>
          <w:sz w:val="24"/>
          <w:szCs w:val="24"/>
        </w:rPr>
        <w:t>Hvidvasksekretariatet kan anvende FIU.nets funktioner til at krydstjekke de data, som Hvidvasksekretariatet stiller til rådighed på FIU.net, med de data, som FIU’er eller modparter i tredjelande eller EU-organer, -kontorer og -agenturer gør tilgængelige i dette system.</w:t>
      </w:r>
    </w:p>
    <w:p w14:paraId="4FB00A00" w14:textId="6F46DA19" w:rsidR="00395A5C" w:rsidRPr="00796736" w:rsidRDefault="00395A5C" w:rsidP="00385CFF">
      <w:pPr>
        <w:spacing w:line="360" w:lineRule="auto"/>
        <w:ind w:firstLine="238"/>
        <w:rPr>
          <w:rFonts w:ascii="Times New Roman" w:hAnsi="Times New Roman" w:cs="Times New Roman"/>
          <w:sz w:val="24"/>
          <w:szCs w:val="24"/>
        </w:rPr>
      </w:pPr>
    </w:p>
    <w:p w14:paraId="4804DA14" w14:textId="61060D8C" w:rsidR="00EA1B80" w:rsidRPr="00796736" w:rsidRDefault="00EA1B80" w:rsidP="00385CFF">
      <w:pPr>
        <w:pStyle w:val="Typografi1"/>
        <w:ind w:left="0" w:firstLine="238"/>
        <w:rPr>
          <w:rFonts w:ascii="Times New Roman" w:hAnsi="Times New Roman" w:cs="Times New Roman"/>
          <w:sz w:val="24"/>
          <w:szCs w:val="24"/>
        </w:rPr>
      </w:pPr>
      <w:bookmarkStart w:id="84" w:name="_Ref232596055"/>
      <w:bookmarkStart w:id="85" w:name="_Hlk227262647"/>
      <w:bookmarkStart w:id="86" w:name="_Toc244879008"/>
      <w:bookmarkStart w:id="87" w:name="_Toc244880532"/>
      <w:r w:rsidRPr="00796736">
        <w:rPr>
          <w:rFonts w:ascii="Times New Roman" w:hAnsi="Times New Roman" w:cs="Times New Roman"/>
          <w:sz w:val="24"/>
          <w:szCs w:val="24"/>
        </w:rPr>
        <w:t xml:space="preserve">Hvidvasksekretariatet skal samarbejde med FIU’er i andre </w:t>
      </w:r>
      <w:r w:rsidR="00210FFA" w:rsidRPr="00796736">
        <w:rPr>
          <w:rFonts w:ascii="Times New Roman" w:hAnsi="Times New Roman" w:cs="Times New Roman"/>
          <w:sz w:val="24"/>
          <w:szCs w:val="24"/>
        </w:rPr>
        <w:t>EU-</w:t>
      </w:r>
      <w:r w:rsidRPr="00796736">
        <w:rPr>
          <w:rFonts w:ascii="Times New Roman" w:hAnsi="Times New Roman" w:cs="Times New Roman"/>
          <w:sz w:val="24"/>
          <w:szCs w:val="24"/>
        </w:rPr>
        <w:t>medlemsstater i videst muligt omfang, uanset FIU’ernes organisatoriske status.</w:t>
      </w:r>
      <w:bookmarkEnd w:id="84"/>
      <w:bookmarkEnd w:id="86"/>
      <w:bookmarkEnd w:id="87"/>
    </w:p>
    <w:p w14:paraId="7D2F16A4" w14:textId="6A0360A1"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b/>
          <w:bCs/>
          <w:sz w:val="24"/>
          <w:szCs w:val="24"/>
        </w:rPr>
        <w:t xml:space="preserve"> </w:t>
      </w:r>
      <w:r w:rsidRPr="00796736">
        <w:rPr>
          <w:rFonts w:ascii="Times New Roman" w:hAnsi="Times New Roman" w:cs="Times New Roman"/>
          <w:sz w:val="24"/>
          <w:szCs w:val="24"/>
        </w:rPr>
        <w:t xml:space="preserve"> </w:t>
      </w:r>
      <w:r w:rsidR="00210FFA" w:rsidRPr="00796736">
        <w:rPr>
          <w:rFonts w:ascii="Times New Roman" w:hAnsi="Times New Roman" w:cs="Times New Roman"/>
          <w:sz w:val="24"/>
          <w:szCs w:val="24"/>
        </w:rPr>
        <w:t xml:space="preserve">Hvidvasksekretariatet videregiver af egen drift eller efter anmodning alle oplysninger, som måtte være relevante for FIU’ernes behandling eller analyse af oplysninger om hvidvask, de underliggende lovovertrædelser eller </w:t>
      </w:r>
      <w:r w:rsidR="00501E19">
        <w:rPr>
          <w:rFonts w:ascii="Times New Roman" w:hAnsi="Times New Roman" w:cs="Times New Roman"/>
          <w:sz w:val="24"/>
          <w:szCs w:val="24"/>
        </w:rPr>
        <w:t>terror</w:t>
      </w:r>
      <w:r w:rsidR="00210FFA" w:rsidRPr="00796736">
        <w:rPr>
          <w:rFonts w:ascii="Times New Roman" w:hAnsi="Times New Roman" w:cs="Times New Roman"/>
          <w:sz w:val="24"/>
          <w:szCs w:val="24"/>
        </w:rPr>
        <w:t>finansiering og de fysiske eller juridiske personer, der er involveret.</w:t>
      </w:r>
    </w:p>
    <w:p w14:paraId="7E45167D" w14:textId="1E98A385" w:rsidR="00210FFA" w:rsidRPr="00796736" w:rsidRDefault="00210FFA" w:rsidP="00385CFF">
      <w:pPr>
        <w:spacing w:line="360" w:lineRule="auto"/>
        <w:ind w:firstLine="238"/>
        <w:rPr>
          <w:rFonts w:ascii="Times New Roman" w:hAnsi="Times New Roman" w:cs="Times New Roman"/>
          <w:i/>
          <w:iCs/>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58400D" w:rsidRPr="00796736">
        <w:rPr>
          <w:rFonts w:ascii="Times New Roman" w:hAnsi="Times New Roman" w:cs="Times New Roman"/>
          <w:sz w:val="24"/>
          <w:szCs w:val="24"/>
        </w:rPr>
        <w:t>Hvidvasksekretariatet kan anmode en anden FIU om at modtage alle oplysninger, som måtte være relevante for Hvidvasksekretariatets behandling eller analyse af oplysninger om hvidvask, de underliggende lovovertrædelser eller terrorfinansiering og de fysiske eller juridiske personer, der er involveret.</w:t>
      </w:r>
    </w:p>
    <w:p w14:paraId="5898E467" w14:textId="777C7FF0" w:rsidR="00210FFA" w:rsidRPr="00796736" w:rsidRDefault="00210FFA"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4. </w:t>
      </w:r>
      <w:r w:rsidRPr="00796736">
        <w:rPr>
          <w:rFonts w:ascii="Times New Roman" w:hAnsi="Times New Roman" w:cs="Times New Roman"/>
          <w:sz w:val="24"/>
          <w:szCs w:val="24"/>
        </w:rPr>
        <w:t>Videregivelser efter stk. 2 og anmodninger efter stk. 3 kan foretages, uanset hvilken type underliggende lovovertrædelse det måtte dreje sig om, og selv hvis det på tidspunktet for udvekslingen ikke er konstateret, hvilken type underliggende lovovertrædelse der eventuelt er tale om.</w:t>
      </w:r>
    </w:p>
    <w:p w14:paraId="12848891" w14:textId="0187FECB"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210FFA" w:rsidRPr="00796736">
        <w:rPr>
          <w:rFonts w:ascii="Times New Roman" w:hAnsi="Times New Roman" w:cs="Times New Roman"/>
          <w:i/>
          <w:iCs/>
          <w:sz w:val="24"/>
          <w:szCs w:val="24"/>
        </w:rPr>
        <w:t>5</w:t>
      </w:r>
      <w:r w:rsidRPr="00796736">
        <w:rPr>
          <w:rFonts w:ascii="Times New Roman" w:hAnsi="Times New Roman" w:cs="Times New Roman"/>
          <w:i/>
          <w:iCs/>
          <w:sz w:val="24"/>
          <w:szCs w:val="24"/>
        </w:rPr>
        <w:t xml:space="preserve">. </w:t>
      </w:r>
      <w:r w:rsidR="00210FFA" w:rsidRPr="00796736">
        <w:rPr>
          <w:rFonts w:ascii="Times New Roman" w:hAnsi="Times New Roman" w:cs="Times New Roman"/>
          <w:sz w:val="24"/>
          <w:szCs w:val="24"/>
        </w:rPr>
        <w:t>Hvidvasksekretariatets anmodninger efter stk. 3 skal indeholde de relevante kendsgerninger, baggrundsoplysninger, en begrundelse for anmodningen, oplysningernes forbindelse til det land, hvor den anmodede FIU er hjemmehørende, og en beskrivelse af, hvordan de ønskede oplysninger vil blive brugt.</w:t>
      </w:r>
    </w:p>
    <w:p w14:paraId="0177E73D" w14:textId="796F00EE"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210FFA" w:rsidRPr="00796736">
        <w:rPr>
          <w:rFonts w:ascii="Times New Roman" w:hAnsi="Times New Roman" w:cs="Times New Roman"/>
          <w:i/>
          <w:iCs/>
          <w:sz w:val="24"/>
          <w:szCs w:val="24"/>
        </w:rPr>
        <w:t>6</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w:t>
      </w:r>
      <w:r w:rsidR="00210FFA" w:rsidRPr="00796736">
        <w:rPr>
          <w:rFonts w:ascii="Times New Roman" w:hAnsi="Times New Roman" w:cs="Times New Roman"/>
          <w:sz w:val="24"/>
          <w:szCs w:val="24"/>
        </w:rPr>
        <w:t>Modtager Hvidvasksekretariatet en underretning efter hvidvaskforordningens artikel 69, stk. 1, 1. afsnit, litra a, der vedrører en anden medlemsstat, fremsender Hvidvasksekretariatet omgående underretningen eller alle relevante oplysninger fra underretningen, til FIU’en i den pågældende medlemsstat.</w:t>
      </w:r>
    </w:p>
    <w:p w14:paraId="6FEECA5A" w14:textId="5F5190A7"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210FFA" w:rsidRPr="00796736">
        <w:rPr>
          <w:rFonts w:ascii="Times New Roman" w:hAnsi="Times New Roman" w:cs="Times New Roman"/>
          <w:i/>
          <w:iCs/>
          <w:sz w:val="24"/>
          <w:szCs w:val="24"/>
        </w:rPr>
        <w:t>7</w:t>
      </w:r>
      <w:r w:rsidRPr="00796736">
        <w:rPr>
          <w:rFonts w:ascii="Times New Roman" w:hAnsi="Times New Roman" w:cs="Times New Roman"/>
          <w:i/>
          <w:iCs/>
          <w:sz w:val="24"/>
          <w:szCs w:val="24"/>
        </w:rPr>
        <w:t xml:space="preserve">. </w:t>
      </w:r>
      <w:r w:rsidR="00210FFA" w:rsidRPr="00796736">
        <w:rPr>
          <w:rFonts w:ascii="Times New Roman" w:hAnsi="Times New Roman" w:cs="Times New Roman"/>
          <w:sz w:val="24"/>
          <w:szCs w:val="24"/>
        </w:rPr>
        <w:t>Hvidvasksekretariatet anvender alle de eksisterende beføjelser, som sekretariatet normalt ville gøre brug af til at modtage og analysere oplysninger, når sekretariatet besvarer en anmodning om videregivelse fra en anden EU-medlemsstats FIU efter stk. 2.</w:t>
      </w:r>
    </w:p>
    <w:p w14:paraId="36D5CB91" w14:textId="58EBE4A8"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210FFA" w:rsidRPr="00796736">
        <w:rPr>
          <w:rFonts w:ascii="Times New Roman" w:hAnsi="Times New Roman" w:cs="Times New Roman"/>
          <w:i/>
          <w:iCs/>
          <w:sz w:val="24"/>
          <w:szCs w:val="24"/>
        </w:rPr>
        <w:t>8</w:t>
      </w:r>
      <w:r w:rsidRPr="00796736">
        <w:rPr>
          <w:rFonts w:ascii="Times New Roman" w:hAnsi="Times New Roman" w:cs="Times New Roman"/>
          <w:i/>
          <w:iCs/>
          <w:sz w:val="24"/>
          <w:szCs w:val="24"/>
        </w:rPr>
        <w:t xml:space="preserve">. </w:t>
      </w:r>
      <w:r w:rsidR="003F4FAC" w:rsidRPr="00796736">
        <w:rPr>
          <w:rFonts w:ascii="Times New Roman" w:hAnsi="Times New Roman" w:cs="Times New Roman"/>
          <w:sz w:val="24"/>
          <w:szCs w:val="24"/>
        </w:rPr>
        <w:t xml:space="preserve">Når Hvidvasksekretariatet søger at indhente yderligere oplysninger hos en </w:t>
      </w:r>
      <w:r w:rsidR="003F4FAC">
        <w:rPr>
          <w:rFonts w:ascii="Times New Roman" w:hAnsi="Times New Roman" w:cs="Times New Roman"/>
          <w:sz w:val="24"/>
          <w:szCs w:val="24"/>
        </w:rPr>
        <w:t>virksomhed eller person omfattet af loven</w:t>
      </w:r>
      <w:r w:rsidR="003F4FAC" w:rsidRPr="00796736">
        <w:rPr>
          <w:rFonts w:ascii="Times New Roman" w:hAnsi="Times New Roman" w:cs="Times New Roman"/>
          <w:sz w:val="24"/>
          <w:szCs w:val="24"/>
        </w:rPr>
        <w:t xml:space="preserve">, der er etableret i en anden medlemsstat, og som driver virksomhed i Danmark, skal anmodningen rettes til FIU’en i den medlemsstat, på hvis område den </w:t>
      </w:r>
      <w:r w:rsidR="003F4FAC">
        <w:rPr>
          <w:rFonts w:ascii="Times New Roman" w:hAnsi="Times New Roman" w:cs="Times New Roman"/>
          <w:sz w:val="24"/>
          <w:szCs w:val="24"/>
        </w:rPr>
        <w:t>pågældende virksomhed eller person</w:t>
      </w:r>
      <w:r w:rsidR="003F4FAC" w:rsidRPr="00796736">
        <w:rPr>
          <w:rFonts w:ascii="Times New Roman" w:hAnsi="Times New Roman" w:cs="Times New Roman"/>
          <w:sz w:val="24"/>
          <w:szCs w:val="24"/>
        </w:rPr>
        <w:t xml:space="preserve"> er etableret. Modtager Hvidvasksekretariatet en anmodning som beskrevet i 1. pkt. om en i Danmark etableret </w:t>
      </w:r>
      <w:r w:rsidR="003F4FAC">
        <w:rPr>
          <w:rFonts w:ascii="Times New Roman" w:hAnsi="Times New Roman" w:cs="Times New Roman"/>
          <w:sz w:val="24"/>
          <w:szCs w:val="24"/>
        </w:rPr>
        <w:t>virksomhed eller person</w:t>
      </w:r>
      <w:r w:rsidR="003F4FAC" w:rsidRPr="00796736">
        <w:rPr>
          <w:rFonts w:ascii="Times New Roman" w:hAnsi="Times New Roman" w:cs="Times New Roman"/>
          <w:sz w:val="24"/>
          <w:szCs w:val="24"/>
        </w:rPr>
        <w:t xml:space="preserve"> fra en anden FIU, indhenter Hvidvasksekretariatet oplysningerne i overensstemmelse med hvidvaskforordningens artikel 69, stk. 1, og videregiver de indhentede oplysninger omgående.</w:t>
      </w:r>
    </w:p>
    <w:p w14:paraId="42EF5C35" w14:textId="006E2C1F"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210FFA" w:rsidRPr="00796736">
        <w:rPr>
          <w:rFonts w:ascii="Times New Roman" w:hAnsi="Times New Roman" w:cs="Times New Roman"/>
          <w:i/>
          <w:iCs/>
          <w:sz w:val="24"/>
          <w:szCs w:val="24"/>
        </w:rPr>
        <w:t>9</w:t>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 xml:space="preserve">Hvidvasksekretariatet skal besvare en anmodning i henhold til stk. 2 hurtigst muligt og senest 5 arbejdsdage efter modtagelsen af anmodningen, hvis sekretariatet enten er i besiddelse af de ønskede oplysninger, eller de ønskede oplysninger opbevares i en database eller et register, som Hvidvasksekretariatet har direkte adgang til. Fristen kan forlænges til højst 10 arbejdsdage i ekstraordinære, behørigt begrundede tilfælde. Er Hvidvasksekretariatet ikke i stand til at indhente de ønskede oplysninger, skal sekretariatet underrette den anmodende FIU herom. </w:t>
      </w:r>
    </w:p>
    <w:p w14:paraId="73B1319F" w14:textId="177A32D1"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210FFA" w:rsidRPr="00796736">
        <w:rPr>
          <w:rFonts w:ascii="Times New Roman" w:hAnsi="Times New Roman" w:cs="Times New Roman"/>
          <w:i/>
          <w:iCs/>
          <w:sz w:val="24"/>
          <w:szCs w:val="24"/>
        </w:rPr>
        <w:t>10</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Uanset stk. </w:t>
      </w:r>
      <w:r w:rsidR="00210FFA" w:rsidRPr="00796736">
        <w:rPr>
          <w:rFonts w:ascii="Times New Roman" w:hAnsi="Times New Roman" w:cs="Times New Roman"/>
          <w:sz w:val="24"/>
          <w:szCs w:val="24"/>
        </w:rPr>
        <w:t>9</w:t>
      </w:r>
      <w:r w:rsidRPr="00796736">
        <w:rPr>
          <w:rFonts w:ascii="Times New Roman" w:hAnsi="Times New Roman" w:cs="Times New Roman"/>
          <w:sz w:val="24"/>
          <w:szCs w:val="24"/>
        </w:rPr>
        <w:t xml:space="preserve"> skal Hvidvasksekretariatet i ekstraordinære, behørigt begrundede og hastende tilfælde give oplysningerne, der er anmodet om efter stk. 2, senest 1 arbejdsdag efter modtagelsen af anmodningen, hvis oplysningerne enten opbevares i en database eller et register, som Hvidvasksekretariatet har direkte adgang til, eller oplysningerne allerede er i </w:t>
      </w:r>
      <w:r w:rsidR="00210FFA" w:rsidRPr="00796736">
        <w:rPr>
          <w:rFonts w:ascii="Times New Roman" w:hAnsi="Times New Roman" w:cs="Times New Roman"/>
          <w:sz w:val="24"/>
          <w:szCs w:val="24"/>
        </w:rPr>
        <w:t>Hvidvask</w:t>
      </w:r>
      <w:r w:rsidRPr="00796736">
        <w:rPr>
          <w:rFonts w:ascii="Times New Roman" w:hAnsi="Times New Roman" w:cs="Times New Roman"/>
          <w:sz w:val="24"/>
          <w:szCs w:val="24"/>
        </w:rPr>
        <w:t>sekretariatets besiddelse. Hvidvasksekretariatet skal give en begrundelse, hvis</w:t>
      </w:r>
      <w:r w:rsidR="00210FFA" w:rsidRPr="00796736">
        <w:rPr>
          <w:rFonts w:ascii="Times New Roman" w:hAnsi="Times New Roman" w:cs="Times New Roman"/>
          <w:sz w:val="24"/>
          <w:szCs w:val="24"/>
        </w:rPr>
        <w:t xml:space="preserve"> det</w:t>
      </w:r>
      <w:r w:rsidRPr="00796736">
        <w:rPr>
          <w:rFonts w:ascii="Times New Roman" w:hAnsi="Times New Roman" w:cs="Times New Roman"/>
          <w:sz w:val="24"/>
          <w:szCs w:val="24"/>
        </w:rPr>
        <w:t xml:space="preserve"> ikke er i stand til at svare inden for 1 arbejdsdag eller ikke kan få direkte adgang til oplysningerne. Hvidvasksekretariatet kan forlænge fristen for besvarelse af en anmodning om oplysninger til højst 3 arbejdsdage, hvis fremlæggelsen af de ønskede oplysninger inden for 1 arbejdsdag vil pålægge Hvidvasksekretariatet en uforholdsmæssig stor byrde. Hvidvasksekretariatet underretter straks den anmodende FIU om udsættelsen. </w:t>
      </w:r>
    </w:p>
    <w:p w14:paraId="6FC98ED4" w14:textId="5CABAA44" w:rsidR="00EA1B80" w:rsidRPr="00796736" w:rsidRDefault="00EA1B80"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210FFA" w:rsidRPr="00796736">
        <w:rPr>
          <w:rFonts w:ascii="Times New Roman" w:hAnsi="Times New Roman" w:cs="Times New Roman"/>
          <w:i/>
          <w:iCs/>
          <w:sz w:val="24"/>
          <w:szCs w:val="24"/>
        </w:rPr>
        <w:t>11</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w:t>
      </w:r>
      <w:r w:rsidR="00210FFA" w:rsidRPr="00796736">
        <w:rPr>
          <w:rFonts w:ascii="Times New Roman" w:hAnsi="Times New Roman" w:cs="Times New Roman"/>
          <w:sz w:val="24"/>
          <w:szCs w:val="24"/>
        </w:rPr>
        <w:t xml:space="preserve">Hvidvasksekretariatet kan kun nægte at videregive oplysninger efter stk. </w:t>
      </w:r>
      <w:r w:rsidR="002128F7">
        <w:rPr>
          <w:rFonts w:ascii="Times New Roman" w:hAnsi="Times New Roman" w:cs="Times New Roman"/>
          <w:sz w:val="24"/>
          <w:szCs w:val="24"/>
        </w:rPr>
        <w:t>2</w:t>
      </w:r>
      <w:r w:rsidR="00210FFA" w:rsidRPr="00796736">
        <w:rPr>
          <w:rFonts w:ascii="Times New Roman" w:hAnsi="Times New Roman" w:cs="Times New Roman"/>
          <w:sz w:val="24"/>
          <w:szCs w:val="24"/>
        </w:rPr>
        <w:t xml:space="preserve"> og 6 og stk. 8, 2. pkt., under ekstraordinære omstændigheder, hvor der er bestemte grunde til at antage, at udvekslingen vil kunne vanskeliggøre forebyggelse, afsløring eller efterforskning af strafbare handlinger eller fuldbyrdelse af strafferetlige sanktioner, eller at udvekslingen på anden måde ikke vil være i overensstemmelse med grundlæggende principper i dansk ret.</w:t>
      </w:r>
    </w:p>
    <w:p w14:paraId="6D496F62" w14:textId="77777777" w:rsidR="009D4E62" w:rsidRPr="00796736" w:rsidRDefault="009D4E62" w:rsidP="009D4E62">
      <w:pPr>
        <w:spacing w:line="360" w:lineRule="auto"/>
        <w:ind w:firstLine="340"/>
        <w:rPr>
          <w:rFonts w:ascii="Times New Roman" w:hAnsi="Times New Roman" w:cs="Times New Roman"/>
          <w:sz w:val="24"/>
          <w:szCs w:val="24"/>
        </w:rPr>
      </w:pPr>
      <w:r w:rsidRPr="00796736">
        <w:rPr>
          <w:rFonts w:ascii="Times New Roman" w:hAnsi="Times New Roman" w:cs="Times New Roman"/>
          <w:i/>
          <w:iCs/>
          <w:sz w:val="24"/>
          <w:szCs w:val="24"/>
        </w:rPr>
        <w:t>Stk. 12.</w:t>
      </w:r>
      <w:r w:rsidRPr="00796736">
        <w:rPr>
          <w:rFonts w:ascii="Times New Roman" w:hAnsi="Times New Roman" w:cs="Times New Roman"/>
          <w:sz w:val="24"/>
          <w:szCs w:val="24"/>
        </w:rPr>
        <w:t xml:space="preserve"> Justitsministeren fastsætter regler, som er nødvendige af hensyn til at gennemføre, anvende eller håndhæve retsakter vedtaget af EU’s institutioner om forhold vedrørende udveksling af oplysninger mellem FIU’er, herunder om det format, der anvendes til udveksling af oplysninger efter stk. 2, om relevansen og udvælgelseskriterierne ved afgørelsen af, om en indberetning indgivet i henhold til artikel 69, stk. 1, første afsnit, litra a, i hvidvaskforordningen vedrører en anden medlemsstat, jf. stk. 4, og procedurer ved fremsendelse og modtagelse af en sådan indberetning og opfølgning på indberetningen. </w:t>
      </w:r>
    </w:p>
    <w:p w14:paraId="4879EF89" w14:textId="23B61037" w:rsidR="00EC3AAE" w:rsidRPr="00796736" w:rsidRDefault="00EC3AAE" w:rsidP="00385CFF">
      <w:pPr>
        <w:spacing w:line="360" w:lineRule="auto"/>
        <w:ind w:firstLine="238"/>
        <w:rPr>
          <w:rFonts w:ascii="Times New Roman" w:hAnsi="Times New Roman" w:cs="Times New Roman"/>
          <w:sz w:val="24"/>
          <w:szCs w:val="24"/>
        </w:rPr>
      </w:pPr>
    </w:p>
    <w:p w14:paraId="166ECBF8" w14:textId="77777777" w:rsidR="00210FFA" w:rsidRPr="00796736" w:rsidRDefault="00210FFA" w:rsidP="00385CFF">
      <w:pPr>
        <w:pStyle w:val="Typografi1"/>
        <w:ind w:left="0" w:firstLine="238"/>
        <w:rPr>
          <w:rFonts w:ascii="Times New Roman" w:hAnsi="Times New Roman" w:cs="Times New Roman"/>
          <w:sz w:val="24"/>
          <w:szCs w:val="24"/>
        </w:rPr>
      </w:pPr>
      <w:bookmarkStart w:id="88" w:name="_Ref232596098"/>
      <w:bookmarkStart w:id="89" w:name="_Ref238720188"/>
      <w:bookmarkStart w:id="90" w:name="_Toc244879009"/>
      <w:bookmarkStart w:id="91" w:name="_Toc244880533"/>
      <w:r w:rsidRPr="00796736">
        <w:rPr>
          <w:rFonts w:ascii="Times New Roman" w:hAnsi="Times New Roman" w:cs="Times New Roman"/>
          <w:sz w:val="24"/>
          <w:szCs w:val="24"/>
        </w:rPr>
        <w:t>Hvidvasksekretariatet kan deltage i eller oprette fælles analysehold med andre EU-medlemsstaters FIU’er til et specifikt formål og i en begrænset periode at foretage operationelle analyser af mistænkelige transaktioner eller aktiviteter, der involverer en eller flere af de FIU'er, som opretter holdet.</w:t>
      </w:r>
      <w:bookmarkEnd w:id="88"/>
      <w:r w:rsidRPr="00796736">
        <w:rPr>
          <w:rFonts w:ascii="Times New Roman" w:hAnsi="Times New Roman" w:cs="Times New Roman"/>
          <w:sz w:val="24"/>
          <w:szCs w:val="24"/>
        </w:rPr>
        <w:t xml:space="preserve"> Perioden kan forlænges efter fælles overenskomst.</w:t>
      </w:r>
      <w:bookmarkEnd w:id="89"/>
      <w:bookmarkEnd w:id="90"/>
      <w:bookmarkEnd w:id="91"/>
      <w:r w:rsidRPr="00796736">
        <w:rPr>
          <w:rFonts w:ascii="Times New Roman" w:hAnsi="Times New Roman" w:cs="Times New Roman"/>
          <w:sz w:val="24"/>
          <w:szCs w:val="24"/>
        </w:rPr>
        <w:t xml:space="preserve"> </w:t>
      </w:r>
    </w:p>
    <w:p w14:paraId="61D1BF4C" w14:textId="69B414F4" w:rsidR="004F342F" w:rsidRPr="00796736" w:rsidRDefault="004F342F"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2. </w:t>
      </w:r>
      <w:r w:rsidRPr="00796736">
        <w:rPr>
          <w:rFonts w:ascii="Times New Roman" w:hAnsi="Times New Roman" w:cs="Times New Roman"/>
          <w:sz w:val="24"/>
          <w:szCs w:val="24"/>
        </w:rPr>
        <w:t xml:space="preserve"> </w:t>
      </w:r>
      <w:r w:rsidR="00210FFA" w:rsidRPr="00796736">
        <w:rPr>
          <w:rFonts w:ascii="Times New Roman" w:hAnsi="Times New Roman" w:cs="Times New Roman"/>
          <w:sz w:val="24"/>
          <w:szCs w:val="24"/>
        </w:rPr>
        <w:t>Hvidvasksekretariatet kan anmode om oprettelsen af et fælles analysehold, når</w:t>
      </w:r>
    </w:p>
    <w:p w14:paraId="2E04304E" w14:textId="77777777" w:rsidR="00210FFA" w:rsidRPr="00796736" w:rsidRDefault="00210FFA">
      <w:pPr>
        <w:pStyle w:val="Listeafsnit"/>
        <w:numPr>
          <w:ilvl w:val="0"/>
          <w:numId w:val="64"/>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operationelle analyser kræver vanskelige og krævende analyser med tilknytning til andre medlemsstater eller </w:t>
      </w:r>
    </w:p>
    <w:p w14:paraId="347E2F85" w14:textId="1ECC7023" w:rsidR="004F342F" w:rsidRPr="00796736" w:rsidRDefault="00210FFA">
      <w:pPr>
        <w:pStyle w:val="Listeafsnit"/>
        <w:numPr>
          <w:ilvl w:val="0"/>
          <w:numId w:val="64"/>
        </w:numPr>
        <w:spacing w:line="360" w:lineRule="auto"/>
        <w:rPr>
          <w:rFonts w:ascii="Times New Roman" w:hAnsi="Times New Roman" w:cs="Times New Roman"/>
          <w:sz w:val="24"/>
          <w:szCs w:val="24"/>
        </w:rPr>
      </w:pPr>
      <w:r w:rsidRPr="00796736">
        <w:rPr>
          <w:rFonts w:ascii="Times New Roman" w:hAnsi="Times New Roman" w:cs="Times New Roman"/>
          <w:sz w:val="24"/>
          <w:szCs w:val="24"/>
        </w:rPr>
        <w:t>e</w:t>
      </w:r>
      <w:r w:rsidR="004F342F" w:rsidRPr="00796736">
        <w:rPr>
          <w:rFonts w:ascii="Times New Roman" w:hAnsi="Times New Roman" w:cs="Times New Roman"/>
          <w:sz w:val="24"/>
          <w:szCs w:val="24"/>
        </w:rPr>
        <w:t xml:space="preserve">n række FIU’er er i gang med at foretage operationelle analyser, hvor sagens omstændigheder berettiger en samordnet indsats i de involverede medlemsstater. </w:t>
      </w:r>
    </w:p>
    <w:p w14:paraId="67F1CFEA" w14:textId="1ACBB498" w:rsidR="004F342F" w:rsidRPr="00796736" w:rsidRDefault="004F342F"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3. </w:t>
      </w:r>
      <w:r w:rsidR="0058400D" w:rsidRPr="00796736">
        <w:rPr>
          <w:rFonts w:ascii="Times New Roman" w:hAnsi="Times New Roman" w:cs="Times New Roman"/>
          <w:sz w:val="24"/>
          <w:szCs w:val="24"/>
        </w:rPr>
        <w:t>Hvidvasksekretariatet kan deltage i et fælles analysehold under tilsvarende betingelser som dem nævnt i stk. 2, herunder ved at udveksle oplysninger med analyseholdet og fremsætte anmodninger til andre FIU’er om at slutte sig til analyseholdet eller fremsende finansielle efterretninger og finansielle oplysninger til det fælles analysehold.</w:t>
      </w:r>
    </w:p>
    <w:p w14:paraId="22B72102" w14:textId="267E31BE" w:rsidR="004F342F" w:rsidRPr="00796736" w:rsidRDefault="004F342F"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w:t>
      </w:r>
      <w:r w:rsidR="00210FFA" w:rsidRPr="00796736">
        <w:rPr>
          <w:rFonts w:ascii="Times New Roman" w:hAnsi="Times New Roman" w:cs="Times New Roman"/>
          <w:sz w:val="24"/>
          <w:szCs w:val="24"/>
        </w:rPr>
        <w:t>Hvidvasksekretariatet kan fremsende finansielle efterretninger og finansielle oplysninger til et fælles analysehold, som Hvidvasksekretariatet ikke deltager i, hvis analyseholdet har brug for pågældende oplysninger.</w:t>
      </w:r>
    </w:p>
    <w:p w14:paraId="667A0511" w14:textId="24F6A5CD" w:rsidR="004F342F" w:rsidRPr="00796736" w:rsidRDefault="004F342F"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210FFA" w:rsidRPr="00796736">
        <w:rPr>
          <w:rFonts w:ascii="Times New Roman" w:hAnsi="Times New Roman" w:cs="Times New Roman"/>
          <w:i/>
          <w:iCs/>
          <w:sz w:val="24"/>
          <w:szCs w:val="24"/>
        </w:rPr>
        <w:t>5</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w:t>
      </w:r>
      <w:r w:rsidR="00210FFA" w:rsidRPr="00796736">
        <w:rPr>
          <w:rFonts w:ascii="Times New Roman" w:hAnsi="Times New Roman" w:cs="Times New Roman"/>
          <w:sz w:val="24"/>
          <w:szCs w:val="24"/>
        </w:rPr>
        <w:t>Hvidvasksekretariatet kan indbyde tredjeparter, herunder EU-organer, -kontorer og -agenturer, til at deltage i de fælles analyser, hvis det er relevant i denne forbindelse, og hvis en sådan deltagelse falder ind under disse tredjeparters respektive mandater. Hvidvasksekretariatet fastsætter i den forbindelse betingelserne for tredjeparternes deltagelse og indfører foranstaltninger, der garanterer de udvekslede oplysningers fortrolighed og sikkerhed, samt at oplysningerne udelukkende anvendes til de formål, hvortil den fælles analyse blev iværksat.</w:t>
      </w:r>
    </w:p>
    <w:p w14:paraId="6B7392EC" w14:textId="722157FB" w:rsidR="00EC3AAE" w:rsidRPr="00796736" w:rsidRDefault="00EC3AAE" w:rsidP="00385CFF">
      <w:pPr>
        <w:spacing w:line="360" w:lineRule="auto"/>
        <w:ind w:firstLine="238"/>
        <w:rPr>
          <w:rFonts w:ascii="Times New Roman" w:hAnsi="Times New Roman" w:cs="Times New Roman"/>
          <w:sz w:val="24"/>
          <w:szCs w:val="24"/>
        </w:rPr>
      </w:pPr>
    </w:p>
    <w:p w14:paraId="0C169583" w14:textId="4BCD7EED" w:rsidR="0042556A" w:rsidRPr="00796736" w:rsidRDefault="00395A5C" w:rsidP="00385CFF">
      <w:pPr>
        <w:pStyle w:val="Typografi1"/>
        <w:ind w:left="0" w:firstLine="238"/>
        <w:rPr>
          <w:rFonts w:ascii="Times New Roman" w:hAnsi="Times New Roman" w:cs="Times New Roman"/>
          <w:sz w:val="24"/>
          <w:szCs w:val="24"/>
        </w:rPr>
      </w:pPr>
      <w:bookmarkStart w:id="92" w:name="_Ref232596117"/>
      <w:bookmarkStart w:id="93" w:name="_Toc244879010"/>
      <w:bookmarkStart w:id="94" w:name="_Toc244880534"/>
      <w:r w:rsidRPr="00796736">
        <w:rPr>
          <w:rFonts w:ascii="Times New Roman" w:hAnsi="Times New Roman" w:cs="Times New Roman"/>
          <w:sz w:val="24"/>
          <w:szCs w:val="24"/>
        </w:rPr>
        <w:t xml:space="preserve">Hvidvasksekretariatet anvender oplysninger og dokumenter, som modtages i medfør af </w:t>
      </w:r>
      <w:r w:rsidR="00872495" w:rsidRPr="00796736">
        <w:rPr>
          <w:rFonts w:ascii="Times New Roman" w:hAnsi="Times New Roman" w:cs="Times New Roman"/>
          <w:sz w:val="24"/>
          <w:szCs w:val="24"/>
        </w:rPr>
        <w:t>§</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872495" w:rsidRPr="00796736">
        <w:rPr>
          <w:rFonts w:ascii="Times New Roman" w:hAnsi="Times New Roman" w:cs="Times New Roman"/>
          <w:sz w:val="24"/>
          <w:szCs w:val="24"/>
        </w:rPr>
        <w:fldChar w:fldCharType="end"/>
      </w:r>
      <w:r w:rsidR="00872495" w:rsidRPr="00796736">
        <w:rPr>
          <w:rFonts w:ascii="Times New Roman" w:hAnsi="Times New Roman" w:cs="Times New Roman"/>
          <w:sz w:val="24"/>
          <w:szCs w:val="24"/>
        </w:rPr>
        <w:t xml:space="preserve"> og</w:t>
      </w:r>
      <w:r w:rsidR="001D4824" w:rsidRPr="00796736">
        <w:rPr>
          <w:rFonts w:ascii="Times New Roman" w:hAnsi="Times New Roman" w:cs="Times New Roman"/>
          <w:sz w:val="24"/>
          <w:szCs w:val="24"/>
        </w:rPr>
        <w:t xml:space="preserve"> </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872495" w:rsidRPr="00796736">
        <w:rPr>
          <w:rFonts w:ascii="Times New Roman" w:hAnsi="Times New Roman" w:cs="Times New Roman"/>
          <w:sz w:val="24"/>
          <w:szCs w:val="24"/>
        </w:rPr>
        <w:fldChar w:fldCharType="end"/>
      </w:r>
      <w:r w:rsidR="00872495" w:rsidRPr="00796736">
        <w:rPr>
          <w:rFonts w:ascii="Times New Roman" w:hAnsi="Times New Roman" w:cs="Times New Roman"/>
          <w:sz w:val="24"/>
          <w:szCs w:val="24"/>
        </w:rPr>
        <w:t>,</w:t>
      </w:r>
      <w:r w:rsidRPr="00796736">
        <w:rPr>
          <w:rFonts w:ascii="Times New Roman" w:hAnsi="Times New Roman" w:cs="Times New Roman"/>
          <w:sz w:val="24"/>
          <w:szCs w:val="24"/>
        </w:rPr>
        <w:t xml:space="preserve"> til varetagelse af Hvidvasksekretariatets opgaver som omhandlet i denne lov</w:t>
      </w:r>
      <w:r w:rsidR="00210FFA" w:rsidRPr="00796736">
        <w:rPr>
          <w:rFonts w:ascii="Times New Roman" w:hAnsi="Times New Roman" w:cs="Times New Roman"/>
          <w:sz w:val="24"/>
          <w:szCs w:val="24"/>
        </w:rPr>
        <w:t xml:space="preserve"> og regler udstedt i medfør af eller i tilknytning til denne lov.</w:t>
      </w:r>
      <w:bookmarkEnd w:id="93"/>
      <w:bookmarkEnd w:id="94"/>
      <w:r w:rsidRPr="00796736">
        <w:rPr>
          <w:rFonts w:ascii="Times New Roman" w:hAnsi="Times New Roman" w:cs="Times New Roman"/>
          <w:sz w:val="24"/>
          <w:szCs w:val="24"/>
        </w:rPr>
        <w:t xml:space="preserve"> </w:t>
      </w:r>
      <w:bookmarkEnd w:id="92"/>
    </w:p>
    <w:p w14:paraId="6C14751B" w14:textId="6533A843" w:rsidR="0058400D" w:rsidRPr="00796736" w:rsidRDefault="0058400D"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2. </w:t>
      </w:r>
      <w:r w:rsidRPr="00796736">
        <w:rPr>
          <w:rFonts w:ascii="Times New Roman" w:hAnsi="Times New Roman" w:cs="Times New Roman"/>
          <w:sz w:val="24"/>
          <w:szCs w:val="24"/>
        </w:rPr>
        <w:t xml:space="preserve">Hvidvasksekretariatet kan ved videregivelse af oplysninger og dokumenter til andre FIU’er i medfør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_Ref232596055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fastsætte begrænsninger og betingelser for anvendelsen af de pågældende oplysninger, jf. dog stk. 3. </w:t>
      </w:r>
    </w:p>
    <w:p w14:paraId="40494EA8" w14:textId="436F94F0" w:rsidR="0058400D" w:rsidRPr="00796736" w:rsidRDefault="0058400D"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Hvidvasksekretariatet kan ikke pålægge begrænsninger og betingelser for anvendelsen, når videregivelsen udgøres af en underretning fra en virksomhed eller person</w:t>
      </w:r>
      <w:r w:rsidR="00D925A0">
        <w:rPr>
          <w:rFonts w:ascii="Times New Roman" w:hAnsi="Times New Roman" w:cs="Times New Roman"/>
          <w:sz w:val="24"/>
          <w:szCs w:val="24"/>
        </w:rPr>
        <w:t xml:space="preserve"> omfattet af loven</w:t>
      </w:r>
      <w:r w:rsidRPr="00796736">
        <w:rPr>
          <w:rFonts w:ascii="Times New Roman" w:hAnsi="Times New Roman" w:cs="Times New Roman"/>
          <w:sz w:val="24"/>
          <w:szCs w:val="24"/>
        </w:rPr>
        <w:t xml:space="preserve"> i henhold til hvidvaskforordningens artikel 69, stk. 1, eller oplysninger derfra, som vedrører en anden medlemsstat, hvor den pågældende driver virksomhed i henhold til reglerne om fri udveksling af tjenesteydelser, og som ikke indeholder nogen forbindelse til Danmark.</w:t>
      </w:r>
    </w:p>
    <w:p w14:paraId="69607351" w14:textId="77777777" w:rsidR="00395A5C" w:rsidRPr="00796736" w:rsidRDefault="00395A5C"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4. </w:t>
      </w:r>
      <w:r w:rsidRPr="00796736">
        <w:rPr>
          <w:rFonts w:ascii="Times New Roman" w:hAnsi="Times New Roman" w:cs="Times New Roman"/>
          <w:sz w:val="24"/>
          <w:szCs w:val="24"/>
        </w:rPr>
        <w:t xml:space="preserve">Hvidvasksekretariatet skal overholde eventuelle fastsatte begrænsninger og betingelser for anvendelsen af oplysninger, som sekretariatet modtager fra en anden FIU. </w:t>
      </w:r>
    </w:p>
    <w:p w14:paraId="58BD6130" w14:textId="77777777" w:rsidR="00395A5C" w:rsidRPr="00796736" w:rsidRDefault="00395A5C" w:rsidP="00385CFF">
      <w:pPr>
        <w:spacing w:line="360" w:lineRule="auto"/>
        <w:ind w:firstLine="238"/>
        <w:rPr>
          <w:rFonts w:ascii="Times New Roman" w:hAnsi="Times New Roman" w:cs="Times New Roman"/>
          <w:sz w:val="24"/>
          <w:szCs w:val="24"/>
        </w:rPr>
      </w:pPr>
    </w:p>
    <w:p w14:paraId="53ACB78B" w14:textId="30BA2E2C" w:rsidR="0058400D" w:rsidRPr="00796736" w:rsidRDefault="0058400D" w:rsidP="00385CFF">
      <w:pPr>
        <w:pStyle w:val="Typografi1"/>
        <w:ind w:left="0" w:firstLine="238"/>
        <w:rPr>
          <w:rFonts w:ascii="Times New Roman" w:hAnsi="Times New Roman" w:cs="Times New Roman"/>
          <w:sz w:val="24"/>
          <w:szCs w:val="24"/>
        </w:rPr>
      </w:pPr>
      <w:bookmarkStart w:id="95" w:name="_Ref232596141"/>
      <w:bookmarkStart w:id="96" w:name="_Toc244879011"/>
      <w:bookmarkStart w:id="97" w:name="_Toc244880535"/>
      <w:r w:rsidRPr="00796736">
        <w:rPr>
          <w:rFonts w:ascii="Times New Roman" w:hAnsi="Times New Roman" w:cs="Times New Roman"/>
          <w:sz w:val="24"/>
          <w:szCs w:val="24"/>
        </w:rPr>
        <w:t>Hvidvasksekretariatet må kun anvende oplysninger, sekretariatet modtager fra andre EU-medlemsstaters FIU’er i medfør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_Ref232596055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_Ref232596098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26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til det formål, hvortil oplysningerne er indhentet eller er blevet udleveret. Hvidvasksekretariatets videregivelse af disse oplysninger til andre myndigheder, organer eller instanser i henhold til reglerne i denne eller anden lov eller anvendelse af disse oplysninger til andre formål er betinget af en forhåndsgodkendelse fra den FIU, som udleverede oplysningerne.</w:t>
      </w:r>
      <w:bookmarkEnd w:id="95"/>
      <w:bookmarkEnd w:id="96"/>
      <w:bookmarkEnd w:id="97"/>
    </w:p>
    <w:p w14:paraId="0B40D221" w14:textId="22BA9C91" w:rsidR="007C7FB7" w:rsidRPr="00796736" w:rsidRDefault="007C7FB7"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2. </w:t>
      </w:r>
      <w:r w:rsidR="00D203CB" w:rsidRPr="00796736">
        <w:rPr>
          <w:rFonts w:ascii="Times New Roman" w:hAnsi="Times New Roman" w:cs="Times New Roman"/>
          <w:sz w:val="24"/>
          <w:szCs w:val="24"/>
        </w:rPr>
        <w:t xml:space="preserve">Kravene i stk. 1 gælder ikke, hvis der er tale om en underretning indgivet af en </w:t>
      </w:r>
      <w:r w:rsidR="00D203CB">
        <w:rPr>
          <w:rFonts w:ascii="Times New Roman" w:hAnsi="Times New Roman" w:cs="Times New Roman"/>
          <w:sz w:val="24"/>
          <w:szCs w:val="24"/>
        </w:rPr>
        <w:t>virksomhed eller person omfattet af loven</w:t>
      </w:r>
      <w:r w:rsidR="00D203CB" w:rsidRPr="00796736">
        <w:rPr>
          <w:rFonts w:ascii="Times New Roman" w:hAnsi="Times New Roman" w:cs="Times New Roman"/>
          <w:sz w:val="24"/>
          <w:szCs w:val="24"/>
        </w:rPr>
        <w:t xml:space="preserve"> i henhold til hvidvaskforordningens artikel 69, stk. 1, eller oplysninger derfra, der vedrører en anden medlemsstat, hvor den forpligtede enhed driver virksomhed i henhold til reglerne om fri udveksling af tjenesteydelser, og som ikke indeholder nogen forbindelse til medlemsstaten for den FIU, der videregav indberetningen.</w:t>
      </w:r>
    </w:p>
    <w:p w14:paraId="50C9E220" w14:textId="19C9EB60" w:rsidR="007C7FB7" w:rsidRPr="00796736" w:rsidRDefault="007C7FB7"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3. </w:t>
      </w:r>
      <w:r w:rsidRPr="00796736">
        <w:rPr>
          <w:rFonts w:ascii="Times New Roman" w:hAnsi="Times New Roman" w:cs="Times New Roman"/>
          <w:sz w:val="24"/>
          <w:szCs w:val="24"/>
        </w:rPr>
        <w:t>Hvidvasksekretariatet skal omgående besvare og i videst muligt omfang imødekomme en anmodning fra en anden</w:t>
      </w:r>
      <w:r w:rsidR="002128F7">
        <w:rPr>
          <w:rFonts w:ascii="Times New Roman" w:hAnsi="Times New Roman" w:cs="Times New Roman"/>
          <w:sz w:val="24"/>
          <w:szCs w:val="24"/>
        </w:rPr>
        <w:t xml:space="preserve"> medlemsstats</w:t>
      </w:r>
      <w:r w:rsidRPr="00796736">
        <w:rPr>
          <w:rFonts w:ascii="Times New Roman" w:hAnsi="Times New Roman" w:cs="Times New Roman"/>
          <w:sz w:val="24"/>
          <w:szCs w:val="24"/>
        </w:rPr>
        <w:t xml:space="preserve"> FIU om forhåndsgodkendelse til at videregive oplysninger til kompetente myndigheder, som den pågældende FIU har modtaget fra Hvidvasksekretariatet, uanset typen af den underliggende lovovertrædelse, og uanset om den underliggende lovovertrædelse er blevet identificeret. </w:t>
      </w:r>
    </w:p>
    <w:p w14:paraId="6BF4D0EC" w14:textId="77777777" w:rsidR="007C7FB7" w:rsidRPr="00796736" w:rsidRDefault="007C7FB7" w:rsidP="00385CF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Hvidvasksekretariatet kan kun nægte at imødekomme en anmodning efter stk. 3, hvis formålet med den anmodende FIU’s videregivelse falder uden for anvendelsesområdet for bestemmelserne om bekæmpelse af hvidvask af penge og finansiering af terrorisme i denne lov og hvidvaskforordningen, der er bestemte grunde til at antage, at videregivelsen vil kunne vanskeliggøre forebyggelse, afsløring eller efterforskning af strafbare handlinger eller fuldbyrdelse af strafferetlige sanktioner, eller at videregivelsen på anden måde ikke vil være i overensstemmelse med grundlæggende principper i dansk ret. Afslag på anmodninger efter stk. 3 skal begrundes behørigt.</w:t>
      </w:r>
    </w:p>
    <w:p w14:paraId="583EC7C2" w14:textId="29FFCBC5" w:rsidR="00395A5C" w:rsidRPr="00796736" w:rsidRDefault="00395A5C" w:rsidP="00385CFF">
      <w:pPr>
        <w:spacing w:line="360" w:lineRule="auto"/>
        <w:ind w:firstLine="238"/>
        <w:rPr>
          <w:rFonts w:ascii="Times New Roman" w:hAnsi="Times New Roman" w:cs="Times New Roman"/>
          <w:sz w:val="24"/>
          <w:szCs w:val="24"/>
        </w:rPr>
      </w:pPr>
    </w:p>
    <w:p w14:paraId="1BAAB5E0" w14:textId="592FBD77" w:rsidR="00395A5C" w:rsidRPr="00796736" w:rsidRDefault="001819DC" w:rsidP="00385CFF">
      <w:pPr>
        <w:pStyle w:val="Typografi1"/>
        <w:ind w:left="0" w:firstLine="238"/>
        <w:rPr>
          <w:rFonts w:ascii="Times New Roman" w:hAnsi="Times New Roman" w:cs="Times New Roman"/>
          <w:sz w:val="24"/>
          <w:szCs w:val="24"/>
        </w:rPr>
      </w:pPr>
      <w:bookmarkStart w:id="98" w:name="_Ref232596168"/>
      <w:bookmarkStart w:id="99" w:name="_Toc244879012"/>
      <w:bookmarkStart w:id="100" w:name="_Toc244880536"/>
      <w:r w:rsidRPr="00796736">
        <w:rPr>
          <w:rFonts w:ascii="Times New Roman" w:eastAsia="Times New Roman" w:hAnsi="Times New Roman" w:cs="Times New Roman"/>
          <w:sz w:val="24"/>
          <w:szCs w:val="24"/>
          <w:lang w:eastAsia="da-DK"/>
        </w:rPr>
        <w:t>Hvidvasksekretariatet skal yde bistand til andre</w:t>
      </w:r>
      <w:r w:rsidR="00210FFA" w:rsidRPr="00796736">
        <w:rPr>
          <w:rFonts w:ascii="Times New Roman" w:eastAsia="Times New Roman" w:hAnsi="Times New Roman" w:cs="Times New Roman"/>
          <w:sz w:val="24"/>
          <w:szCs w:val="24"/>
          <w:lang w:eastAsia="da-DK"/>
        </w:rPr>
        <w:t xml:space="preserve"> EU-medlemsstaters</w:t>
      </w:r>
      <w:r w:rsidRPr="00796736">
        <w:rPr>
          <w:rFonts w:ascii="Times New Roman" w:eastAsia="Times New Roman" w:hAnsi="Times New Roman" w:cs="Times New Roman"/>
          <w:sz w:val="24"/>
          <w:szCs w:val="24"/>
          <w:lang w:eastAsia="da-DK"/>
        </w:rPr>
        <w:t xml:space="preserve"> FIU’er og udveksle, formidle og anvende oplysninger efter §</w:t>
      </w:r>
      <w:r w:rsidR="00872495" w:rsidRPr="00796736">
        <w:rPr>
          <w:rFonts w:ascii="Times New Roman" w:eastAsia="Times New Roman" w:hAnsi="Times New Roman" w:cs="Times New Roman"/>
          <w:sz w:val="24"/>
          <w:szCs w:val="24"/>
          <w:lang w:eastAsia="da-DK"/>
        </w:rPr>
        <w:fldChar w:fldCharType="begin"/>
      </w:r>
      <w:r w:rsidR="00872495" w:rsidRPr="00796736">
        <w:rPr>
          <w:rFonts w:ascii="Times New Roman" w:eastAsia="Times New Roman" w:hAnsi="Times New Roman" w:cs="Times New Roman"/>
          <w:sz w:val="24"/>
          <w:szCs w:val="24"/>
          <w:lang w:eastAsia="da-DK"/>
        </w:rPr>
        <w:instrText xml:space="preserve"> REF _Ref232596055 \r \h </w:instrText>
      </w:r>
      <w:r w:rsidR="00967618" w:rsidRPr="00796736">
        <w:rPr>
          <w:rFonts w:ascii="Times New Roman" w:eastAsia="Times New Roman" w:hAnsi="Times New Roman" w:cs="Times New Roman"/>
          <w:sz w:val="24"/>
          <w:szCs w:val="24"/>
          <w:lang w:eastAsia="da-DK"/>
        </w:rPr>
        <w:instrText xml:space="preserve"> \* MERGEFORMAT </w:instrText>
      </w:r>
      <w:r w:rsidR="00872495" w:rsidRPr="00796736">
        <w:rPr>
          <w:rFonts w:ascii="Times New Roman" w:eastAsia="Times New Roman" w:hAnsi="Times New Roman" w:cs="Times New Roman"/>
          <w:sz w:val="24"/>
          <w:szCs w:val="24"/>
          <w:lang w:eastAsia="da-DK"/>
        </w:rPr>
      </w:r>
      <w:r w:rsidR="00872495"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25</w:t>
      </w:r>
      <w:r w:rsidR="00872495"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w:t>
      </w:r>
      <w:r w:rsidR="00872495" w:rsidRPr="00796736">
        <w:rPr>
          <w:rFonts w:ascii="Times New Roman" w:eastAsia="Times New Roman" w:hAnsi="Times New Roman" w:cs="Times New Roman"/>
          <w:sz w:val="24"/>
          <w:szCs w:val="24"/>
          <w:lang w:eastAsia="da-DK"/>
        </w:rPr>
        <w:fldChar w:fldCharType="begin"/>
      </w:r>
      <w:r w:rsidR="00872495" w:rsidRPr="00796736">
        <w:rPr>
          <w:rFonts w:ascii="Times New Roman" w:eastAsia="Times New Roman" w:hAnsi="Times New Roman" w:cs="Times New Roman"/>
          <w:sz w:val="24"/>
          <w:szCs w:val="24"/>
          <w:lang w:eastAsia="da-DK"/>
        </w:rPr>
        <w:instrText xml:space="preserve"> REF _Ref232596141 \r \h </w:instrText>
      </w:r>
      <w:r w:rsidR="00967618" w:rsidRPr="00796736">
        <w:rPr>
          <w:rFonts w:ascii="Times New Roman" w:eastAsia="Times New Roman" w:hAnsi="Times New Roman" w:cs="Times New Roman"/>
          <w:sz w:val="24"/>
          <w:szCs w:val="24"/>
          <w:lang w:eastAsia="da-DK"/>
        </w:rPr>
        <w:instrText xml:space="preserve"> \* MERGEFORMAT </w:instrText>
      </w:r>
      <w:r w:rsidR="00872495" w:rsidRPr="00796736">
        <w:rPr>
          <w:rFonts w:ascii="Times New Roman" w:eastAsia="Times New Roman" w:hAnsi="Times New Roman" w:cs="Times New Roman"/>
          <w:sz w:val="24"/>
          <w:szCs w:val="24"/>
          <w:lang w:eastAsia="da-DK"/>
        </w:rPr>
      </w:r>
      <w:r w:rsidR="00872495"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28</w:t>
      </w:r>
      <w:r w:rsidR="00872495"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uanset eventuelle forskelle</w:t>
      </w:r>
      <w:r w:rsidRPr="00796736">
        <w:rPr>
          <w:rFonts w:ascii="Times New Roman" w:hAnsi="Times New Roman" w:cs="Times New Roman"/>
          <w:sz w:val="24"/>
          <w:szCs w:val="24"/>
        </w:rPr>
        <w:t xml:space="preserve"> i nationale retlige definitioner af </w:t>
      </w:r>
      <w:r w:rsidRPr="00796736">
        <w:rPr>
          <w:rFonts w:ascii="Times New Roman" w:eastAsia="Times New Roman" w:hAnsi="Times New Roman" w:cs="Times New Roman"/>
          <w:sz w:val="24"/>
          <w:szCs w:val="24"/>
          <w:lang w:eastAsia="da-DK"/>
        </w:rPr>
        <w:t>underliggende lovovertrædelser.</w:t>
      </w:r>
      <w:bookmarkEnd w:id="98"/>
      <w:bookmarkEnd w:id="99"/>
      <w:bookmarkEnd w:id="100"/>
    </w:p>
    <w:p w14:paraId="11AECB88" w14:textId="77777777" w:rsidR="00395A5C" w:rsidRPr="00796736" w:rsidRDefault="00395A5C" w:rsidP="00385CFF">
      <w:pPr>
        <w:spacing w:line="360" w:lineRule="auto"/>
        <w:ind w:firstLine="238"/>
        <w:rPr>
          <w:rFonts w:ascii="Times New Roman" w:hAnsi="Times New Roman" w:cs="Times New Roman"/>
          <w:sz w:val="24"/>
          <w:szCs w:val="24"/>
        </w:rPr>
      </w:pPr>
    </w:p>
    <w:p w14:paraId="6A9CC729" w14:textId="20B69EAF" w:rsidR="00017525" w:rsidRPr="00796736" w:rsidRDefault="00017525" w:rsidP="00017525">
      <w:pPr>
        <w:pStyle w:val="Typografi1"/>
        <w:ind w:left="0" w:firstLine="238"/>
        <w:rPr>
          <w:rFonts w:ascii="Times New Roman" w:hAnsi="Times New Roman" w:cs="Times New Roman"/>
          <w:sz w:val="24"/>
          <w:szCs w:val="24"/>
        </w:rPr>
      </w:pPr>
      <w:bookmarkStart w:id="101" w:name="_Ref232596193"/>
      <w:bookmarkStart w:id="102" w:name="_Hlk228867526"/>
      <w:bookmarkStart w:id="103" w:name="_Ref239689115"/>
      <w:bookmarkStart w:id="104" w:name="_Toc244879013"/>
      <w:bookmarkStart w:id="105" w:name="_Toc244880537"/>
      <w:bookmarkEnd w:id="85"/>
      <w:r w:rsidRPr="00796736">
        <w:rPr>
          <w:rFonts w:ascii="Times New Roman" w:hAnsi="Times New Roman" w:cs="Times New Roman"/>
          <w:sz w:val="24"/>
          <w:szCs w:val="24"/>
        </w:rPr>
        <w:t xml:space="preserve">Hvidvasksekretariatet beskytter identiteten af de virksomheder og personer </w:t>
      </w:r>
      <w:r>
        <w:rPr>
          <w:rFonts w:ascii="Times New Roman" w:hAnsi="Times New Roman" w:cs="Times New Roman"/>
          <w:sz w:val="24"/>
          <w:szCs w:val="24"/>
        </w:rPr>
        <w:t xml:space="preserve">omfattet af loven </w:t>
      </w:r>
      <w:r w:rsidRPr="00796736">
        <w:rPr>
          <w:rFonts w:ascii="Times New Roman" w:hAnsi="Times New Roman" w:cs="Times New Roman"/>
          <w:sz w:val="24"/>
          <w:szCs w:val="24"/>
        </w:rPr>
        <w:t xml:space="preserve">samt deres ansatte eller personer i tilsvarende stillinger, herunder agenter og distributører, som foretager underretning om mistanke efter hvidvaskforordningens artikel 69, stk. 1, første afsnit, litra a, herunder ved ikke at oplyse kilden til den pågældende underretning, når Hvidvasksekretariatet besvarer anmodninger om oplysninger fra kompetente myndigheder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_Ref232595727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eller når sekretariatet formidler resultaterne af deres analyser i henhold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_Ref232595580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bookmarkEnd w:id="101"/>
      <w:r w:rsidRPr="00796736">
        <w:rPr>
          <w:rFonts w:ascii="Times New Roman" w:hAnsi="Times New Roman" w:cs="Times New Roman"/>
          <w:sz w:val="24"/>
          <w:szCs w:val="24"/>
        </w:rPr>
        <w:t xml:space="preserve"> </w:t>
      </w:r>
      <w:bookmarkEnd w:id="102"/>
      <w:r w:rsidRPr="00796736">
        <w:rPr>
          <w:rFonts w:ascii="Times New Roman" w:hAnsi="Times New Roman" w:cs="Times New Roman"/>
          <w:sz w:val="24"/>
          <w:szCs w:val="24"/>
        </w:rPr>
        <w:t xml:space="preserve">1. pkt. finder ikke anvendelse for videregivelser af oplysninger mv. </w:t>
      </w:r>
      <w:r>
        <w:rPr>
          <w:rFonts w:ascii="Times New Roman" w:hAnsi="Times New Roman" w:cs="Times New Roman"/>
          <w:sz w:val="24"/>
          <w:szCs w:val="24"/>
        </w:rPr>
        <w:t>til retshåndhævende myndigheder</w:t>
      </w:r>
      <w:r w:rsidRPr="00796736">
        <w:rPr>
          <w:rFonts w:ascii="Times New Roman" w:hAnsi="Times New Roman" w:cs="Times New Roman"/>
          <w:sz w:val="24"/>
          <w:szCs w:val="24"/>
        </w:rPr>
        <w:t>.</w:t>
      </w:r>
      <w:bookmarkEnd w:id="103"/>
      <w:bookmarkEnd w:id="104"/>
      <w:bookmarkEnd w:id="105"/>
    </w:p>
    <w:p w14:paraId="54012105" w14:textId="77777777" w:rsidR="00264C38" w:rsidRPr="00796736" w:rsidRDefault="00264C38" w:rsidP="00385CFF">
      <w:pPr>
        <w:spacing w:line="360" w:lineRule="auto"/>
        <w:ind w:firstLine="238"/>
        <w:rPr>
          <w:rFonts w:ascii="Times New Roman" w:hAnsi="Times New Roman" w:cs="Times New Roman"/>
          <w:sz w:val="24"/>
          <w:szCs w:val="24"/>
        </w:rPr>
      </w:pPr>
    </w:p>
    <w:p w14:paraId="3640B816" w14:textId="77777777" w:rsidR="00210FFA" w:rsidRPr="00796736" w:rsidRDefault="00210FFA" w:rsidP="00385CFF">
      <w:pPr>
        <w:pStyle w:val="Typografi1"/>
        <w:ind w:left="0" w:firstLine="238"/>
        <w:rPr>
          <w:rFonts w:ascii="Times New Roman" w:eastAsia="Times New Roman" w:hAnsi="Times New Roman" w:cs="Times New Roman"/>
          <w:sz w:val="24"/>
          <w:szCs w:val="24"/>
          <w:lang w:eastAsia="da-DK"/>
        </w:rPr>
      </w:pPr>
      <w:bookmarkStart w:id="106" w:name="_Ref232596210"/>
      <w:bookmarkStart w:id="107" w:name="_Toc244879014"/>
      <w:bookmarkStart w:id="108" w:name="_Toc244880538"/>
      <w:r w:rsidRPr="00796736">
        <w:rPr>
          <w:rFonts w:ascii="Times New Roman" w:eastAsia="Times New Roman" w:hAnsi="Times New Roman" w:cs="Times New Roman"/>
          <w:sz w:val="24"/>
          <w:szCs w:val="24"/>
          <w:lang w:eastAsia="da-DK"/>
        </w:rPr>
        <w:t>Hvidvasksekretariatet og Politiets Efterretningstjeneste har ansvaret for under passende deltagelse af andre kompetente myndigheder og relevante interessenter at udarbejde, opdatere og offentliggøre nationale risikovurderinger med henblik på at identificere, vurdere, forstå og begrænse de risici for henholdsvis hvidvask af penge, finansiering af terrorisme og for manglende gennemførelse og omgåelse af målrettede finansielle sanktioner, der påvirker Danmark.</w:t>
      </w:r>
      <w:bookmarkEnd w:id="106"/>
      <w:bookmarkEnd w:id="107"/>
      <w:bookmarkEnd w:id="108"/>
      <w:r w:rsidRPr="00796736">
        <w:rPr>
          <w:rFonts w:ascii="Times New Roman" w:eastAsia="Times New Roman" w:hAnsi="Times New Roman" w:cs="Times New Roman"/>
          <w:sz w:val="24"/>
          <w:szCs w:val="24"/>
          <w:lang w:eastAsia="da-DK"/>
        </w:rPr>
        <w:t xml:space="preserve"> </w:t>
      </w:r>
    </w:p>
    <w:p w14:paraId="25E45170" w14:textId="77777777" w:rsidR="00210FFA" w:rsidRPr="00796736" w:rsidRDefault="00264C38"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xml:space="preserve"> </w:t>
      </w:r>
      <w:r w:rsidR="00210FFA" w:rsidRPr="00796736">
        <w:rPr>
          <w:rFonts w:ascii="Times New Roman" w:eastAsia="Times New Roman" w:hAnsi="Times New Roman" w:cs="Times New Roman"/>
          <w:sz w:val="24"/>
          <w:szCs w:val="24"/>
          <w:lang w:eastAsia="da-DK"/>
        </w:rPr>
        <w:t xml:space="preserve">Risikovurderingerne ajourføres og revideres mindst hvert fjerde år.  </w:t>
      </w:r>
    </w:p>
    <w:p w14:paraId="5F3463DF" w14:textId="248AD6C9" w:rsidR="00264C38" w:rsidRPr="00796736" w:rsidRDefault="00264C38" w:rsidP="00385CFF">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3.</w:t>
      </w:r>
      <w:r w:rsidRPr="00796736">
        <w:rPr>
          <w:rFonts w:ascii="Times New Roman" w:eastAsia="Times New Roman" w:hAnsi="Times New Roman" w:cs="Times New Roman"/>
          <w:sz w:val="24"/>
          <w:szCs w:val="24"/>
          <w:lang w:eastAsia="da-DK"/>
        </w:rPr>
        <w:t xml:space="preserve"> </w:t>
      </w:r>
      <w:r w:rsidR="0042556A" w:rsidRPr="00796736">
        <w:rPr>
          <w:rFonts w:ascii="Times New Roman" w:eastAsia="Times New Roman" w:hAnsi="Times New Roman" w:cs="Times New Roman"/>
          <w:sz w:val="24"/>
          <w:szCs w:val="24"/>
          <w:lang w:eastAsia="da-DK"/>
        </w:rPr>
        <w:t>Hvidvasksekretariatet</w:t>
      </w:r>
      <w:r w:rsidR="002C25ED">
        <w:rPr>
          <w:rFonts w:ascii="Times New Roman" w:eastAsia="Times New Roman" w:hAnsi="Times New Roman" w:cs="Times New Roman"/>
          <w:sz w:val="24"/>
          <w:szCs w:val="24"/>
          <w:lang w:eastAsia="da-DK"/>
        </w:rPr>
        <w:t xml:space="preserve"> </w:t>
      </w:r>
      <w:r w:rsidR="0042556A" w:rsidRPr="00796736">
        <w:rPr>
          <w:rFonts w:ascii="Times New Roman" w:eastAsia="Times New Roman" w:hAnsi="Times New Roman" w:cs="Times New Roman"/>
          <w:sz w:val="24"/>
          <w:szCs w:val="24"/>
          <w:lang w:eastAsia="da-DK"/>
        </w:rPr>
        <w:t xml:space="preserve">fører i samarbejde med andre kompetente myndigheder og organer statistikker over forhold, som er relevante for effektiviteten af rammerne for bekæmpelse af hvidvask og finansiering af terrorisme, for at kontrollere, hvor effektive rammerne er.  </w:t>
      </w:r>
    </w:p>
    <w:p w14:paraId="787FC5E2" w14:textId="77777777" w:rsidR="00AB41E6" w:rsidRDefault="00AB41E6" w:rsidP="00385CFF">
      <w:pPr>
        <w:spacing w:line="360" w:lineRule="auto"/>
        <w:ind w:firstLine="238"/>
        <w:rPr>
          <w:rFonts w:ascii="Times New Roman" w:hAnsi="Times New Roman" w:cs="Times New Roman"/>
          <w:sz w:val="24"/>
          <w:szCs w:val="24"/>
        </w:rPr>
      </w:pPr>
    </w:p>
    <w:p w14:paraId="1AF98495" w14:textId="77777777" w:rsidR="0053178C" w:rsidRPr="00796736" w:rsidRDefault="0053178C" w:rsidP="00385CFF">
      <w:pPr>
        <w:spacing w:line="360" w:lineRule="auto"/>
        <w:ind w:firstLine="238"/>
        <w:rPr>
          <w:rFonts w:ascii="Times New Roman" w:hAnsi="Times New Roman" w:cs="Times New Roman"/>
          <w:sz w:val="24"/>
          <w:szCs w:val="24"/>
        </w:rPr>
      </w:pPr>
    </w:p>
    <w:p w14:paraId="6FED53E9" w14:textId="57789AC8" w:rsidR="00B667D8" w:rsidRPr="00796736" w:rsidRDefault="00B667D8" w:rsidP="00A802A5">
      <w:pPr>
        <w:spacing w:line="360" w:lineRule="auto"/>
        <w:ind w:firstLine="238"/>
        <w:jc w:val="center"/>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Kapitel </w:t>
      </w:r>
      <w:r w:rsidR="00C779DC" w:rsidRPr="00796736">
        <w:rPr>
          <w:rFonts w:ascii="Times New Roman" w:eastAsia="Calibri" w:hAnsi="Times New Roman" w:cs="Times New Roman"/>
          <w:sz w:val="24"/>
          <w:szCs w:val="24"/>
        </w:rPr>
        <w:t>4</w:t>
      </w:r>
    </w:p>
    <w:p w14:paraId="1881F689" w14:textId="4CD0125A" w:rsidR="00B667D8" w:rsidRDefault="0042556A" w:rsidP="0053178C">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Centrale automatiske mekanismer og registre</w:t>
      </w:r>
    </w:p>
    <w:p w14:paraId="36E954B1" w14:textId="77777777" w:rsidR="0053178C" w:rsidRPr="0053178C" w:rsidRDefault="0053178C" w:rsidP="0053178C">
      <w:pPr>
        <w:spacing w:line="360" w:lineRule="auto"/>
        <w:ind w:firstLine="238"/>
        <w:jc w:val="center"/>
        <w:rPr>
          <w:rFonts w:ascii="Times New Roman" w:eastAsia="Calibri" w:hAnsi="Times New Roman" w:cs="Times New Roman"/>
          <w:i/>
          <w:sz w:val="24"/>
          <w:szCs w:val="24"/>
        </w:rPr>
      </w:pPr>
    </w:p>
    <w:p w14:paraId="5D7D0C44" w14:textId="77777777" w:rsidR="002C25ED" w:rsidRPr="002C25ED" w:rsidRDefault="004607D5" w:rsidP="0053178C">
      <w:pPr>
        <w:pStyle w:val="Typografi1"/>
        <w:ind w:left="0" w:firstLine="238"/>
        <w:rPr>
          <w:rFonts w:ascii="Times New Roman" w:hAnsi="Times New Roman" w:cs="Times New Roman"/>
          <w:sz w:val="24"/>
          <w:szCs w:val="24"/>
          <w:lang w:eastAsia="da-DK"/>
        </w:rPr>
      </w:pPr>
      <w:bookmarkStart w:id="109" w:name="_Ref232596233"/>
      <w:bookmarkStart w:id="110" w:name="_Toc244879015"/>
      <w:bookmarkStart w:id="111" w:name="_Toc244880539"/>
      <w:r w:rsidRPr="00796736">
        <w:rPr>
          <w:rFonts w:ascii="Times New Roman" w:hAnsi="Times New Roman" w:cs="Times New Roman"/>
          <w:sz w:val="24"/>
          <w:szCs w:val="24"/>
          <w:lang w:eastAsia="da-DK"/>
        </w:rPr>
        <w:t xml:space="preserve">Skatte- og vækstministeren </w:t>
      </w:r>
      <w:r w:rsidRPr="00796736">
        <w:rPr>
          <w:rFonts w:ascii="Times New Roman" w:hAnsi="Times New Roman" w:cs="Times New Roman"/>
          <w:sz w:val="24"/>
          <w:szCs w:val="24"/>
        </w:rPr>
        <w:t>kan fastsætte nærmere regler om centrale automatiske mekanisme</w:t>
      </w:r>
      <w:r>
        <w:rPr>
          <w:rFonts w:ascii="Times New Roman" w:hAnsi="Times New Roman" w:cs="Times New Roman"/>
          <w:sz w:val="24"/>
          <w:szCs w:val="24"/>
        </w:rPr>
        <w:t xml:space="preserve">r, </w:t>
      </w:r>
      <w:r w:rsidRPr="00DF7610">
        <w:rPr>
          <w:rFonts w:ascii="Times New Roman" w:hAnsi="Times New Roman" w:cs="Times New Roman"/>
          <w:sz w:val="24"/>
          <w:szCs w:val="24"/>
          <w:lang w:eastAsia="da-DK"/>
        </w:rPr>
        <w:t>som muliggør rettidig identifikation af alle fysiske og juridiske personer, som har eller kontrollerer betalingskonti eller bankkonti, der identificeres ved IBAN, herunder virtuelle IBAN-numre, værdipapirkonti, kryptoaktivkonti og deponeringsbokse</w:t>
      </w:r>
      <w:r>
        <w:rPr>
          <w:rFonts w:ascii="Times New Roman" w:hAnsi="Times New Roman" w:cs="Times New Roman"/>
          <w:sz w:val="24"/>
          <w:szCs w:val="24"/>
          <w:lang w:eastAsia="da-DK"/>
        </w:rPr>
        <w:t>, som indehaves af et kredit- eller finansieringsinstitut med hjemsted i Danmark.</w:t>
      </w:r>
      <w:r>
        <w:rPr>
          <w:rFonts w:ascii="Times New Roman" w:hAnsi="Times New Roman" w:cs="Times New Roman"/>
          <w:sz w:val="24"/>
          <w:szCs w:val="24"/>
        </w:rPr>
        <w:t xml:space="preserve"> </w:t>
      </w:r>
      <w:r w:rsidRPr="004607D5">
        <w:rPr>
          <w:rFonts w:ascii="Times New Roman" w:hAnsi="Times New Roman" w:cs="Times New Roman"/>
          <w:sz w:val="24"/>
          <w:szCs w:val="24"/>
        </w:rPr>
        <w:t xml:space="preserve">Ministeren kan herunder fastsætte nærmere regler om, at de centrale automatiske mekanismer kan føres i offentligt eller privat regi, samt hvilke oplysninger der skal være </w:t>
      </w:r>
      <w:r w:rsidRPr="002C25ED">
        <w:rPr>
          <w:rFonts w:ascii="Times New Roman" w:hAnsi="Times New Roman" w:cs="Times New Roman"/>
          <w:sz w:val="24"/>
          <w:szCs w:val="24"/>
        </w:rPr>
        <w:t>tilgængelige og søgbare gennem den centrale automatiske mekanisme.</w:t>
      </w:r>
      <w:bookmarkEnd w:id="110"/>
      <w:bookmarkEnd w:id="111"/>
    </w:p>
    <w:p w14:paraId="4D7170EE" w14:textId="46DA0056" w:rsidR="005D152A" w:rsidRPr="002C25ED" w:rsidRDefault="002C25ED" w:rsidP="0053178C">
      <w:pPr>
        <w:spacing w:line="360" w:lineRule="auto"/>
        <w:ind w:firstLine="238"/>
        <w:rPr>
          <w:rFonts w:ascii="Times New Roman" w:hAnsi="Times New Roman" w:cs="Times New Roman"/>
          <w:sz w:val="24"/>
          <w:szCs w:val="24"/>
          <w:lang w:eastAsia="da-DK"/>
        </w:rPr>
      </w:pPr>
      <w:r w:rsidRPr="002C25ED">
        <w:rPr>
          <w:rFonts w:ascii="Times New Roman" w:hAnsi="Times New Roman" w:cs="Times New Roman"/>
          <w:i/>
          <w:iCs/>
          <w:sz w:val="24"/>
          <w:szCs w:val="24"/>
        </w:rPr>
        <w:t>Stk. 2</w:t>
      </w:r>
      <w:r w:rsidRPr="002C25ED">
        <w:rPr>
          <w:rFonts w:ascii="Times New Roman" w:hAnsi="Times New Roman" w:cs="Times New Roman"/>
          <w:sz w:val="24"/>
          <w:szCs w:val="24"/>
        </w:rPr>
        <w:t xml:space="preserve">. </w:t>
      </w:r>
      <w:r w:rsidR="00A71CD0" w:rsidRPr="002C25ED">
        <w:rPr>
          <w:rFonts w:ascii="Times New Roman" w:hAnsi="Times New Roman" w:cs="Times New Roman"/>
          <w:sz w:val="24"/>
          <w:szCs w:val="24"/>
          <w:lang w:eastAsia="da-DK"/>
        </w:rPr>
        <w:t>Skatte- og vækstministeren</w:t>
      </w:r>
      <w:r w:rsidR="00A71CD0" w:rsidRPr="002C25ED">
        <w:rPr>
          <w:rFonts w:ascii="Times New Roman" w:hAnsi="Times New Roman" w:cs="Times New Roman"/>
          <w:sz w:val="24"/>
          <w:szCs w:val="24"/>
        </w:rPr>
        <w:t xml:space="preserve"> kan</w:t>
      </w:r>
      <w:r w:rsidR="00134172" w:rsidRPr="002C25ED">
        <w:rPr>
          <w:rFonts w:ascii="Times New Roman" w:hAnsi="Times New Roman" w:cs="Times New Roman"/>
          <w:sz w:val="24"/>
          <w:szCs w:val="24"/>
          <w:lang w:eastAsia="da-DK"/>
        </w:rPr>
        <w:t xml:space="preserve"> </w:t>
      </w:r>
      <w:r w:rsidR="00A71CD0" w:rsidRPr="002C25ED">
        <w:rPr>
          <w:rFonts w:ascii="Times New Roman" w:hAnsi="Times New Roman" w:cs="Times New Roman"/>
          <w:sz w:val="24"/>
          <w:szCs w:val="24"/>
        </w:rPr>
        <w:t xml:space="preserve">fastsætte regler om andre myndigheders rettidige adgang til at indhente oplysninger til opfyldelse af deres forpligtelser efter loven samt om, at andre oplysninger skal gøres tilgængelige og søgbare for Hvidvasksekretariatet, AMLA eller tilsynsmyndighedernes opgavevaretagelse. </w:t>
      </w:r>
      <w:bookmarkEnd w:id="109"/>
      <w:r w:rsidR="00B667D8" w:rsidRPr="002C25ED">
        <w:rPr>
          <w:rFonts w:ascii="Times New Roman" w:hAnsi="Times New Roman" w:cs="Times New Roman"/>
          <w:sz w:val="24"/>
          <w:szCs w:val="24"/>
          <w:lang w:eastAsia="da-DK"/>
        </w:rPr>
        <w:t xml:space="preserve"> </w:t>
      </w:r>
    </w:p>
    <w:p w14:paraId="327C1796" w14:textId="0EA232B3" w:rsidR="00EB1AD3" w:rsidRPr="00796736" w:rsidRDefault="00EB1AD3" w:rsidP="0053178C">
      <w:pPr>
        <w:spacing w:line="360" w:lineRule="auto"/>
        <w:ind w:firstLine="238"/>
        <w:rPr>
          <w:rFonts w:ascii="Times New Roman" w:hAnsi="Times New Roman" w:cs="Times New Roman"/>
          <w:sz w:val="24"/>
          <w:szCs w:val="24"/>
        </w:rPr>
      </w:pPr>
      <w:r w:rsidRPr="002C25ED">
        <w:rPr>
          <w:rFonts w:ascii="Times New Roman" w:hAnsi="Times New Roman" w:cs="Times New Roman"/>
          <w:i/>
          <w:iCs/>
          <w:sz w:val="24"/>
          <w:szCs w:val="24"/>
        </w:rPr>
        <w:t xml:space="preserve">Stk. </w:t>
      </w:r>
      <w:r w:rsidR="002C25ED">
        <w:rPr>
          <w:rFonts w:ascii="Times New Roman" w:hAnsi="Times New Roman" w:cs="Times New Roman"/>
          <w:i/>
          <w:iCs/>
          <w:sz w:val="24"/>
          <w:szCs w:val="24"/>
        </w:rPr>
        <w:t>3</w:t>
      </w:r>
      <w:r w:rsidRPr="002C25ED">
        <w:rPr>
          <w:rFonts w:ascii="Times New Roman" w:hAnsi="Times New Roman" w:cs="Times New Roman"/>
          <w:i/>
          <w:iCs/>
          <w:sz w:val="24"/>
          <w:szCs w:val="24"/>
        </w:rPr>
        <w:t xml:space="preserve">. </w:t>
      </w:r>
      <w:r w:rsidRPr="002C25ED">
        <w:rPr>
          <w:rFonts w:ascii="Times New Roman" w:hAnsi="Times New Roman" w:cs="Times New Roman"/>
          <w:sz w:val="24"/>
          <w:szCs w:val="24"/>
          <w:lang w:eastAsia="da-DK"/>
        </w:rPr>
        <w:t>Skatte- og vækstministeren</w:t>
      </w:r>
      <w:r w:rsidR="006C2232" w:rsidRPr="002C25ED">
        <w:rPr>
          <w:rFonts w:ascii="Times New Roman" w:hAnsi="Times New Roman" w:cs="Times New Roman"/>
          <w:sz w:val="24"/>
          <w:szCs w:val="24"/>
          <w:lang w:eastAsia="da-DK"/>
        </w:rPr>
        <w:t xml:space="preserve"> kan</w:t>
      </w:r>
      <w:r w:rsidRPr="002C25ED">
        <w:rPr>
          <w:rFonts w:ascii="Times New Roman" w:hAnsi="Times New Roman" w:cs="Times New Roman"/>
          <w:sz w:val="24"/>
          <w:szCs w:val="24"/>
          <w:lang w:eastAsia="da-DK"/>
        </w:rPr>
        <w:t xml:space="preserve"> </w:t>
      </w:r>
      <w:r w:rsidRPr="002C25ED">
        <w:rPr>
          <w:rFonts w:ascii="Times New Roman" w:eastAsia="Times New Roman" w:hAnsi="Times New Roman" w:cs="Times New Roman"/>
          <w:sz w:val="24"/>
          <w:szCs w:val="24"/>
          <w:lang w:eastAsia="da-DK"/>
        </w:rPr>
        <w:t>fastsætte regler, som er nødvendige af hensyn til at gennemføre, anvende eller håndhæve retsakter vedtaget af EU’s institutioner om forhold vedrørende den centrale automatiske mekanisme og oplysningerne heri og om bankkontoregistrets sammenkoblingssystem, herunder om at oplysninger</w:t>
      </w:r>
      <w:r w:rsidRPr="00796736">
        <w:rPr>
          <w:rFonts w:ascii="Times New Roman" w:eastAsia="Times New Roman" w:hAnsi="Times New Roman" w:cs="Times New Roman"/>
          <w:sz w:val="24"/>
          <w:szCs w:val="24"/>
          <w:lang w:eastAsia="da-DK"/>
        </w:rPr>
        <w:t xml:space="preserve"> i den centrale automatiske mekanisme efter stk. 1 er tilgængelige via bankkontoregistrets sammenkoblingssystem og om</w:t>
      </w:r>
      <w:r w:rsidR="00811D4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at der træffes tekniske og organisatoriske foranstaltninger for at datasikkerheden opfylder høje teknologiske standarder.</w:t>
      </w:r>
    </w:p>
    <w:p w14:paraId="5F7BEEEA" w14:textId="2FE1AE1A" w:rsidR="00860F65" w:rsidRPr="00796736" w:rsidRDefault="00860F65" w:rsidP="0053178C">
      <w:pPr>
        <w:spacing w:line="360" w:lineRule="auto"/>
        <w:ind w:firstLine="238"/>
        <w:rPr>
          <w:rFonts w:ascii="Times New Roman" w:eastAsia="Times New Roman" w:hAnsi="Times New Roman" w:cs="Times New Roman"/>
          <w:sz w:val="24"/>
          <w:szCs w:val="24"/>
          <w:lang w:eastAsia="da-DK"/>
        </w:rPr>
      </w:pPr>
    </w:p>
    <w:p w14:paraId="3D22E81B" w14:textId="746D9496" w:rsidR="00B667D8" w:rsidRPr="00796736" w:rsidRDefault="00B667D8" w:rsidP="0053178C">
      <w:pPr>
        <w:spacing w:line="360" w:lineRule="auto"/>
        <w:ind w:firstLine="238"/>
        <w:jc w:val="center"/>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Kapitel </w:t>
      </w:r>
      <w:r w:rsidR="00C779DC" w:rsidRPr="00796736">
        <w:rPr>
          <w:rFonts w:ascii="Times New Roman" w:eastAsia="Calibri" w:hAnsi="Times New Roman" w:cs="Times New Roman"/>
          <w:sz w:val="24"/>
          <w:szCs w:val="24"/>
        </w:rPr>
        <w:t>5</w:t>
      </w:r>
    </w:p>
    <w:p w14:paraId="7F2F1777" w14:textId="77777777" w:rsidR="00B667D8" w:rsidRPr="00796736" w:rsidRDefault="00B667D8" w:rsidP="0053178C">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Fælles adgangspunkt om fast ejendom</w:t>
      </w:r>
    </w:p>
    <w:p w14:paraId="4CA43142" w14:textId="77777777" w:rsidR="00B667D8" w:rsidRPr="00796736" w:rsidRDefault="00B667D8" w:rsidP="0053178C">
      <w:pPr>
        <w:spacing w:line="360" w:lineRule="auto"/>
        <w:ind w:firstLine="238"/>
        <w:rPr>
          <w:rFonts w:ascii="Times New Roman" w:eastAsia="Times New Roman" w:hAnsi="Times New Roman" w:cs="Times New Roman"/>
          <w:sz w:val="24"/>
          <w:szCs w:val="24"/>
          <w:lang w:eastAsia="da-DK"/>
        </w:rPr>
      </w:pPr>
    </w:p>
    <w:p w14:paraId="520282B9" w14:textId="2ADBC249" w:rsidR="00B667D8" w:rsidRPr="00796736" w:rsidRDefault="00B667D8" w:rsidP="0053178C">
      <w:pPr>
        <w:pStyle w:val="Typografi1"/>
        <w:ind w:left="0" w:firstLine="238"/>
        <w:rPr>
          <w:rFonts w:ascii="Times New Roman" w:hAnsi="Times New Roman" w:cs="Times New Roman"/>
          <w:sz w:val="24"/>
          <w:szCs w:val="24"/>
          <w:lang w:eastAsia="da-DK"/>
        </w:rPr>
      </w:pPr>
      <w:bookmarkStart w:id="112" w:name="_Ref232596271"/>
      <w:bookmarkStart w:id="113" w:name="_Toc244879016"/>
      <w:bookmarkStart w:id="114" w:name="_Toc244880540"/>
      <w:r w:rsidRPr="00796736">
        <w:rPr>
          <w:rFonts w:ascii="Times New Roman" w:hAnsi="Times New Roman" w:cs="Times New Roman"/>
          <w:sz w:val="24"/>
          <w:szCs w:val="24"/>
          <w:lang w:eastAsia="da-DK"/>
        </w:rPr>
        <w:t xml:space="preserve">Kompetente myndigheder i henhold til hvidvaskforordningen, denne lov eller regler udstedt i medfør af denne lov, har gennem ét fælles adgangspunkt en umiddelbar, </w:t>
      </w:r>
      <w:r w:rsidR="0042556A" w:rsidRPr="00796736">
        <w:rPr>
          <w:rFonts w:ascii="Times New Roman" w:hAnsi="Times New Roman" w:cs="Times New Roman"/>
          <w:sz w:val="24"/>
          <w:szCs w:val="24"/>
          <w:lang w:eastAsia="da-DK"/>
        </w:rPr>
        <w:t>direkte og vederlagsfri adgang til oplysninger</w:t>
      </w:r>
      <w:r w:rsidRPr="00796736">
        <w:rPr>
          <w:rFonts w:ascii="Times New Roman" w:hAnsi="Times New Roman" w:cs="Times New Roman"/>
          <w:sz w:val="24"/>
          <w:szCs w:val="24"/>
          <w:lang w:eastAsia="da-DK"/>
        </w:rPr>
        <w:t>, som muliggør rettidig identifikation af fast ejendom, af de fysiske eller juridiske personer m.v., der ejer fast ejendom, og til oplysninger</w:t>
      </w:r>
      <w:r w:rsidR="00A76DBC" w:rsidRPr="00796736">
        <w:rPr>
          <w:rFonts w:ascii="Times New Roman" w:hAnsi="Times New Roman" w:cs="Times New Roman"/>
          <w:sz w:val="24"/>
          <w:szCs w:val="24"/>
          <w:lang w:eastAsia="da-DK"/>
        </w:rPr>
        <w:t>, der muliggør identifikation og analyse af</w:t>
      </w:r>
      <w:r w:rsidRPr="00796736">
        <w:rPr>
          <w:rFonts w:ascii="Times New Roman" w:hAnsi="Times New Roman" w:cs="Times New Roman"/>
          <w:sz w:val="24"/>
          <w:szCs w:val="24"/>
          <w:lang w:eastAsia="da-DK"/>
        </w:rPr>
        <w:t xml:space="preserve"> transaktioner vedrørende fast ejendom.</w:t>
      </w:r>
      <w:bookmarkEnd w:id="112"/>
      <w:bookmarkEnd w:id="113"/>
      <w:bookmarkEnd w:id="114"/>
      <w:r w:rsidRPr="00796736">
        <w:rPr>
          <w:rFonts w:ascii="Times New Roman" w:hAnsi="Times New Roman" w:cs="Times New Roman"/>
          <w:sz w:val="24"/>
          <w:szCs w:val="24"/>
          <w:lang w:eastAsia="da-DK"/>
        </w:rPr>
        <w:t xml:space="preserve"> </w:t>
      </w:r>
    </w:p>
    <w:p w14:paraId="455DD391" w14:textId="7DB4D90D" w:rsidR="00B667D8" w:rsidRPr="00796736" w:rsidRDefault="00B667D8" w:rsidP="0053178C">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 xml:space="preserve">Stk. 2. </w:t>
      </w:r>
      <w:r w:rsidRPr="00796736">
        <w:rPr>
          <w:rFonts w:ascii="Times New Roman" w:eastAsia="Times New Roman" w:hAnsi="Times New Roman" w:cs="Times New Roman"/>
          <w:sz w:val="24"/>
          <w:szCs w:val="24"/>
          <w:lang w:eastAsia="da-DK"/>
        </w:rPr>
        <w:t xml:space="preserve">Justitsministeren fastsætter nærmere regler om adgangspunktet efter stk. 1, herunder om, hvilke oplysninger som skal gøres tilgængelige i det fælles adgangspunkt, om betingelserne for opslag i det fælles adgangspunkt og om, at andre myndigheder </w:t>
      </w:r>
      <w:r w:rsidR="00C95839">
        <w:rPr>
          <w:rFonts w:ascii="Times New Roman" w:eastAsia="Times New Roman" w:hAnsi="Times New Roman" w:cs="Times New Roman"/>
          <w:sz w:val="24"/>
          <w:szCs w:val="24"/>
          <w:lang w:eastAsia="da-DK"/>
        </w:rPr>
        <w:t xml:space="preserve">eller organer </w:t>
      </w:r>
      <w:r w:rsidRPr="00796736">
        <w:rPr>
          <w:rFonts w:ascii="Times New Roman" w:eastAsia="Times New Roman" w:hAnsi="Times New Roman" w:cs="Times New Roman"/>
          <w:sz w:val="24"/>
          <w:szCs w:val="24"/>
          <w:lang w:eastAsia="da-DK"/>
        </w:rPr>
        <w:t>tillægges adgang.</w:t>
      </w:r>
    </w:p>
    <w:p w14:paraId="18FC17BC" w14:textId="77777777" w:rsidR="00D81D3C" w:rsidRPr="00796736" w:rsidRDefault="00D81D3C" w:rsidP="0053178C">
      <w:pPr>
        <w:spacing w:line="360" w:lineRule="auto"/>
        <w:ind w:firstLine="238"/>
        <w:rPr>
          <w:rFonts w:ascii="Times New Roman" w:eastAsia="Times New Roman" w:hAnsi="Times New Roman" w:cs="Times New Roman"/>
          <w:sz w:val="24"/>
          <w:szCs w:val="24"/>
          <w:lang w:eastAsia="da-DK"/>
        </w:rPr>
      </w:pPr>
    </w:p>
    <w:p w14:paraId="59605154" w14:textId="77777777" w:rsidR="00AB41E6" w:rsidRPr="00796736" w:rsidRDefault="00AB41E6" w:rsidP="0053178C">
      <w:pPr>
        <w:spacing w:line="360" w:lineRule="auto"/>
        <w:ind w:firstLine="238"/>
        <w:rPr>
          <w:rFonts w:ascii="Times New Roman" w:hAnsi="Times New Roman" w:cs="Times New Roman"/>
          <w:sz w:val="24"/>
          <w:szCs w:val="24"/>
        </w:rPr>
      </w:pPr>
    </w:p>
    <w:p w14:paraId="5EA29D41" w14:textId="3576142B" w:rsidR="000809B1" w:rsidRPr="00796736" w:rsidRDefault="000809B1" w:rsidP="0053178C">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 xml:space="preserve">Kapitel </w:t>
      </w:r>
      <w:r w:rsidR="00B61E4E" w:rsidRPr="00796736">
        <w:rPr>
          <w:rFonts w:ascii="Times New Roman" w:hAnsi="Times New Roman" w:cs="Times New Roman"/>
          <w:sz w:val="24"/>
          <w:szCs w:val="24"/>
        </w:rPr>
        <w:t>6</w:t>
      </w:r>
    </w:p>
    <w:p w14:paraId="38969DF9" w14:textId="30B01EA7" w:rsidR="00A76DBC" w:rsidRPr="00796736" w:rsidRDefault="00B25E99"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Rapportering fra ansatte og nøglepersoner</w:t>
      </w:r>
    </w:p>
    <w:p w14:paraId="37E9ADE9" w14:textId="77777777" w:rsidR="00525A3D" w:rsidRPr="00796736" w:rsidRDefault="00525A3D" w:rsidP="0053178C">
      <w:pPr>
        <w:spacing w:line="360" w:lineRule="auto"/>
        <w:ind w:firstLine="238"/>
        <w:jc w:val="center"/>
        <w:rPr>
          <w:rFonts w:ascii="Times New Roman" w:hAnsi="Times New Roman" w:cs="Times New Roman"/>
          <w:i/>
          <w:iCs/>
          <w:sz w:val="24"/>
          <w:szCs w:val="24"/>
        </w:rPr>
      </w:pPr>
    </w:p>
    <w:p w14:paraId="77D165B6" w14:textId="77777777" w:rsidR="000C7906" w:rsidRPr="00796736" w:rsidRDefault="000C7906" w:rsidP="000C7906">
      <w:pPr>
        <w:pStyle w:val="Typografi1"/>
        <w:ind w:left="0" w:firstLine="238"/>
        <w:rPr>
          <w:rFonts w:ascii="Times New Roman" w:hAnsi="Times New Roman" w:cs="Times New Roman"/>
          <w:sz w:val="24"/>
          <w:szCs w:val="24"/>
        </w:rPr>
      </w:pPr>
      <w:bookmarkStart w:id="115" w:name="_Ref239690743"/>
      <w:bookmarkStart w:id="116" w:name="_Ref232596389"/>
      <w:bookmarkStart w:id="117" w:name="_Ref239163822"/>
      <w:bookmarkStart w:id="118" w:name="_Toc244879017"/>
      <w:bookmarkStart w:id="119" w:name="_Toc244880541"/>
      <w:r w:rsidRPr="00796736">
        <w:rPr>
          <w:rFonts w:ascii="Times New Roman" w:hAnsi="Times New Roman" w:cs="Times New Roman"/>
          <w:sz w:val="24"/>
          <w:szCs w:val="24"/>
        </w:rPr>
        <w:t>Lov om beskyttelse af whistleblowere finder tilsvarende anvendelse for virksomheder eller personer omfattet af hvidvaskforordningen og denne lov samt regler udstedt i medfør heraf, samt for ansatte og tidligere ansatte hos sådanne virksomheder eller personer, hvis aktiviteten hos den pågældende virksomhed eller person udføres af mere end én fysisk person</w:t>
      </w:r>
      <w:r>
        <w:rPr>
          <w:rFonts w:ascii="Times New Roman" w:hAnsi="Times New Roman" w:cs="Times New Roman"/>
          <w:sz w:val="24"/>
          <w:szCs w:val="24"/>
        </w:rPr>
        <w:t>,</w:t>
      </w:r>
      <w:r w:rsidRPr="00796736">
        <w:rPr>
          <w:rFonts w:ascii="Times New Roman" w:hAnsi="Times New Roman" w:cs="Times New Roman"/>
          <w:sz w:val="24"/>
          <w:szCs w:val="24"/>
        </w:rPr>
        <w:t xml:space="preserve"> for indberetninger om overtrædelser af hvidvaskforordningen, forordning (EU) 2023/1113 og regler udstedt i medfør heraf</w:t>
      </w:r>
      <w:r>
        <w:rPr>
          <w:rFonts w:ascii="Times New Roman" w:hAnsi="Times New Roman" w:cs="Times New Roman"/>
          <w:sz w:val="24"/>
          <w:szCs w:val="24"/>
        </w:rPr>
        <w:t>, jf. dog § 2 i lov om beskyttelse af whistleblowere</w:t>
      </w:r>
      <w:r w:rsidRPr="00796736">
        <w:rPr>
          <w:rFonts w:ascii="Times New Roman" w:hAnsi="Times New Roman" w:cs="Times New Roman"/>
          <w:sz w:val="24"/>
          <w:szCs w:val="24"/>
        </w:rPr>
        <w:t xml:space="preserve">. Finanstilsynet, Erhvervsstyrelsen, </w:t>
      </w:r>
      <w:r>
        <w:rPr>
          <w:rFonts w:ascii="Times New Roman" w:hAnsi="Times New Roman" w:cs="Times New Roman"/>
          <w:sz w:val="24"/>
          <w:szCs w:val="24"/>
        </w:rPr>
        <w:t>S</w:t>
      </w:r>
      <w:r w:rsidRPr="00796736">
        <w:rPr>
          <w:rFonts w:ascii="Times New Roman" w:hAnsi="Times New Roman" w:cs="Times New Roman"/>
          <w:sz w:val="24"/>
          <w:szCs w:val="24"/>
        </w:rPr>
        <w:t xml:space="preserve">pillemyndigheden eller </w:t>
      </w:r>
      <w:r>
        <w:rPr>
          <w:rFonts w:ascii="Times New Roman" w:hAnsi="Times New Roman" w:cs="Times New Roman"/>
          <w:sz w:val="24"/>
          <w:szCs w:val="24"/>
        </w:rPr>
        <w:t>Hvidvaskenheden</w:t>
      </w:r>
      <w:r w:rsidRPr="00796736">
        <w:rPr>
          <w:rFonts w:ascii="Times New Roman" w:hAnsi="Times New Roman" w:cs="Times New Roman"/>
          <w:sz w:val="24"/>
          <w:szCs w:val="24"/>
        </w:rPr>
        <w:t xml:space="preserve"> kan etablere eksterne indberetningskanaler og følge op på indberetninger efter reglerne i lov om beskyttelse af whistleblowere.</w:t>
      </w:r>
      <w:bookmarkEnd w:id="115"/>
      <w:bookmarkEnd w:id="118"/>
      <w:bookmarkEnd w:id="119"/>
      <w:r w:rsidRPr="00796736">
        <w:rPr>
          <w:rFonts w:ascii="Times New Roman" w:hAnsi="Times New Roman" w:cs="Times New Roman"/>
          <w:sz w:val="24"/>
          <w:szCs w:val="24"/>
        </w:rPr>
        <w:t xml:space="preserve"> </w:t>
      </w:r>
      <w:bookmarkEnd w:id="116"/>
      <w:bookmarkEnd w:id="117"/>
    </w:p>
    <w:p w14:paraId="41857B43" w14:textId="77777777" w:rsidR="00AA0B7E" w:rsidRPr="00796736" w:rsidRDefault="00AA0B7E" w:rsidP="0053178C">
      <w:pPr>
        <w:spacing w:line="360" w:lineRule="auto"/>
        <w:ind w:firstLine="238"/>
        <w:rPr>
          <w:rFonts w:ascii="Times New Roman" w:hAnsi="Times New Roman" w:cs="Times New Roman"/>
          <w:sz w:val="24"/>
          <w:szCs w:val="24"/>
        </w:rPr>
      </w:pPr>
    </w:p>
    <w:p w14:paraId="7A4AB446" w14:textId="6920A303" w:rsidR="00E24B20" w:rsidRPr="00796736" w:rsidRDefault="00E24B20" w:rsidP="0053178C">
      <w:pPr>
        <w:pStyle w:val="Typografi1"/>
        <w:ind w:left="0" w:firstLine="238"/>
        <w:rPr>
          <w:rFonts w:ascii="Times New Roman" w:hAnsi="Times New Roman" w:cs="Times New Roman"/>
          <w:sz w:val="24"/>
          <w:szCs w:val="24"/>
        </w:rPr>
      </w:pPr>
      <w:bookmarkStart w:id="120" w:name="_Ref232596358"/>
      <w:bookmarkStart w:id="121" w:name="_Toc244879018"/>
      <w:bookmarkStart w:id="122" w:name="_Toc244880542"/>
      <w:r w:rsidRPr="00796736">
        <w:rPr>
          <w:rFonts w:ascii="Times New Roman" w:hAnsi="Times New Roman" w:cs="Times New Roman"/>
          <w:sz w:val="24"/>
          <w:szCs w:val="24"/>
        </w:rPr>
        <w:t>Den daglige ledelse i virksomheder nævnt i</w:t>
      </w:r>
      <w:r w:rsidR="00B67442" w:rsidRPr="00796736">
        <w:rPr>
          <w:rFonts w:ascii="Times New Roman" w:hAnsi="Times New Roman" w:cs="Times New Roman"/>
          <w:sz w:val="24"/>
          <w:szCs w:val="24"/>
        </w:rPr>
        <w:t xml:space="preserve"> </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_Ref232583170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0087249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w:t>
      </w:r>
      <w:r w:rsidR="00B67442" w:rsidRPr="00796736">
        <w:rPr>
          <w:rFonts w:ascii="Times New Roman" w:hAnsi="Times New Roman" w:cs="Times New Roman"/>
          <w:sz w:val="24"/>
          <w:szCs w:val="24"/>
        </w:rPr>
        <w:t>2</w:t>
      </w:r>
      <w:r w:rsidR="002B4BDE">
        <w:rPr>
          <w:rFonts w:ascii="Times New Roman" w:hAnsi="Times New Roman" w:cs="Times New Roman"/>
          <w:sz w:val="24"/>
          <w:szCs w:val="24"/>
        </w:rPr>
        <w:t>, nr. 1-3</w:t>
      </w:r>
      <w:r w:rsidR="00B67442" w:rsidRPr="00796736">
        <w:rPr>
          <w:rFonts w:ascii="Times New Roman" w:hAnsi="Times New Roman" w:cs="Times New Roman"/>
          <w:sz w:val="24"/>
          <w:szCs w:val="24"/>
        </w:rPr>
        <w:t xml:space="preserve">, samt </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_Ref232592818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872495" w:rsidRPr="00796736">
        <w:rPr>
          <w:rFonts w:ascii="Times New Roman" w:hAnsi="Times New Roman" w:cs="Times New Roman"/>
          <w:sz w:val="24"/>
          <w:szCs w:val="24"/>
        </w:rPr>
        <w:fldChar w:fldCharType="end"/>
      </w:r>
      <w:r w:rsidR="00B67442" w:rsidRPr="00796736">
        <w:rPr>
          <w:rFonts w:ascii="Times New Roman" w:hAnsi="Times New Roman" w:cs="Times New Roman"/>
          <w:sz w:val="24"/>
          <w:szCs w:val="24"/>
        </w:rPr>
        <w:t xml:space="preserve">, nr. </w:t>
      </w:r>
      <w:r w:rsidR="00857220" w:rsidRPr="00796736">
        <w:rPr>
          <w:rFonts w:ascii="Times New Roman" w:hAnsi="Times New Roman" w:cs="Times New Roman"/>
          <w:sz w:val="24"/>
          <w:szCs w:val="24"/>
        </w:rPr>
        <w:t>1</w:t>
      </w:r>
      <w:r w:rsidR="00B67442" w:rsidRPr="00796736">
        <w:rPr>
          <w:rFonts w:ascii="Times New Roman" w:hAnsi="Times New Roman" w:cs="Times New Roman"/>
          <w:sz w:val="24"/>
          <w:szCs w:val="24"/>
        </w:rPr>
        <w:t>-</w:t>
      </w:r>
      <w:r w:rsidR="00DC1FC5" w:rsidRPr="00796736">
        <w:rPr>
          <w:rFonts w:ascii="Times New Roman" w:hAnsi="Times New Roman" w:cs="Times New Roman"/>
          <w:sz w:val="24"/>
          <w:szCs w:val="24"/>
        </w:rPr>
        <w:t>32, litra a-c</w:t>
      </w:r>
      <w:r w:rsidRPr="00796736">
        <w:rPr>
          <w:rFonts w:ascii="Times New Roman" w:hAnsi="Times New Roman" w:cs="Times New Roman"/>
          <w:sz w:val="24"/>
          <w:szCs w:val="24"/>
        </w:rPr>
        <w:t>, skal til virksomhedens øverste ledelsesorgan uden unødigt ophold rapportere om advarsler om hvidvask eller terrorfinansiering modtaget fra andre, herunder fra udenlandske myndigheder, eksterne revisorer og konsulenter samt whistleblowere.</w:t>
      </w:r>
      <w:bookmarkEnd w:id="120"/>
      <w:bookmarkEnd w:id="121"/>
      <w:bookmarkEnd w:id="122"/>
    </w:p>
    <w:p w14:paraId="5960629A" w14:textId="412842E9" w:rsidR="00E24B20" w:rsidRPr="00796736" w:rsidRDefault="00E24B20"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Tilsvarende skal nøglepersoner i virksomheder nævnt i </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_Ref232583170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00872495" w:rsidRPr="00796736">
        <w:rPr>
          <w:rFonts w:ascii="Times New Roman" w:hAnsi="Times New Roman" w:cs="Times New Roman"/>
          <w:sz w:val="24"/>
          <w:szCs w:val="24"/>
        </w:rPr>
        <w:fldChar w:fldCharType="end"/>
      </w:r>
      <w:r w:rsidR="00872495"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stk. </w:t>
      </w:r>
      <w:r w:rsidR="00B67442" w:rsidRPr="00796736">
        <w:rPr>
          <w:rFonts w:ascii="Times New Roman" w:hAnsi="Times New Roman" w:cs="Times New Roman"/>
          <w:sz w:val="24"/>
          <w:szCs w:val="24"/>
        </w:rPr>
        <w:t>2</w:t>
      </w:r>
      <w:r w:rsidR="002B4BDE">
        <w:rPr>
          <w:rFonts w:ascii="Times New Roman" w:hAnsi="Times New Roman" w:cs="Times New Roman"/>
          <w:sz w:val="24"/>
          <w:szCs w:val="24"/>
        </w:rPr>
        <w:t>, nr. 1-3</w:t>
      </w:r>
      <w:r w:rsidR="00B67442" w:rsidRPr="00796736">
        <w:rPr>
          <w:rFonts w:ascii="Times New Roman" w:hAnsi="Times New Roman" w:cs="Times New Roman"/>
          <w:sz w:val="24"/>
          <w:szCs w:val="24"/>
        </w:rPr>
        <w:t xml:space="preserve">, samt </w:t>
      </w:r>
      <w:r w:rsidR="00872495" w:rsidRPr="00796736">
        <w:rPr>
          <w:rFonts w:ascii="Times New Roman" w:hAnsi="Times New Roman" w:cs="Times New Roman"/>
          <w:sz w:val="24"/>
          <w:szCs w:val="24"/>
        </w:rPr>
        <w:fldChar w:fldCharType="begin"/>
      </w:r>
      <w:r w:rsidR="00872495" w:rsidRPr="00796736">
        <w:rPr>
          <w:rFonts w:ascii="Times New Roman" w:hAnsi="Times New Roman" w:cs="Times New Roman"/>
          <w:sz w:val="24"/>
          <w:szCs w:val="24"/>
        </w:rPr>
        <w:instrText xml:space="preserve"> REF _Ref232592818 \r \h </w:instrText>
      </w:r>
      <w:r w:rsidR="00967618" w:rsidRPr="00796736">
        <w:rPr>
          <w:rFonts w:ascii="Times New Roman" w:hAnsi="Times New Roman" w:cs="Times New Roman"/>
          <w:sz w:val="24"/>
          <w:szCs w:val="24"/>
        </w:rPr>
        <w:instrText xml:space="preserve"> \* MERGEFORMAT </w:instrText>
      </w:r>
      <w:r w:rsidR="00872495" w:rsidRPr="00796736">
        <w:rPr>
          <w:rFonts w:ascii="Times New Roman" w:hAnsi="Times New Roman" w:cs="Times New Roman"/>
          <w:sz w:val="24"/>
          <w:szCs w:val="24"/>
        </w:rPr>
      </w:r>
      <w:r w:rsidR="0087249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872495" w:rsidRPr="00796736">
        <w:rPr>
          <w:rFonts w:ascii="Times New Roman" w:hAnsi="Times New Roman" w:cs="Times New Roman"/>
          <w:sz w:val="24"/>
          <w:szCs w:val="24"/>
        </w:rPr>
        <w:fldChar w:fldCharType="end"/>
      </w:r>
      <w:r w:rsidR="00872495" w:rsidRPr="00796736">
        <w:rPr>
          <w:rFonts w:ascii="Times New Roman" w:hAnsi="Times New Roman" w:cs="Times New Roman"/>
          <w:sz w:val="24"/>
          <w:szCs w:val="24"/>
        </w:rPr>
        <w:t xml:space="preserve">, </w:t>
      </w:r>
      <w:r w:rsidR="00B67442" w:rsidRPr="00796736">
        <w:rPr>
          <w:rFonts w:ascii="Times New Roman" w:hAnsi="Times New Roman" w:cs="Times New Roman"/>
          <w:sz w:val="24"/>
          <w:szCs w:val="24"/>
        </w:rPr>
        <w:t xml:space="preserve">nr. </w:t>
      </w:r>
      <w:r w:rsidR="00C90CBA" w:rsidRPr="00796736">
        <w:rPr>
          <w:rFonts w:ascii="Times New Roman" w:hAnsi="Times New Roman" w:cs="Times New Roman"/>
          <w:sz w:val="24"/>
          <w:szCs w:val="24"/>
        </w:rPr>
        <w:t>1</w:t>
      </w:r>
      <w:r w:rsidR="00B67442" w:rsidRPr="00796736">
        <w:rPr>
          <w:rFonts w:ascii="Times New Roman" w:hAnsi="Times New Roman" w:cs="Times New Roman"/>
          <w:sz w:val="24"/>
          <w:szCs w:val="24"/>
        </w:rPr>
        <w:t>-</w:t>
      </w:r>
      <w:r w:rsidR="00DC1FC5" w:rsidRPr="00796736">
        <w:rPr>
          <w:rFonts w:ascii="Times New Roman" w:hAnsi="Times New Roman" w:cs="Times New Roman"/>
          <w:sz w:val="24"/>
          <w:szCs w:val="24"/>
        </w:rPr>
        <w:t>32, litra a-c</w:t>
      </w:r>
      <w:r w:rsidRPr="00796736">
        <w:rPr>
          <w:rFonts w:ascii="Times New Roman" w:hAnsi="Times New Roman" w:cs="Times New Roman"/>
          <w:sz w:val="24"/>
          <w:szCs w:val="24"/>
        </w:rPr>
        <w:t>, uden unødigt ophold rapportere til den daglige ledelse eller virksomhedens øverste ledelsesorgan om advarsler om hvidvask eller terrorfinansiering modtaget fra andre, herunder fra udenlandske myndigheder, eksterne revisorer og konsulenter samt whistleblowere. Modtager den daglige ledelse en rapportering om en modtaget advarsel fra medarbejdere, skal den daglige ledelse vidererapportere advarslen til virksomhedens øverste ledelsesorgan.</w:t>
      </w:r>
    </w:p>
    <w:p w14:paraId="63544EE9" w14:textId="77777777" w:rsidR="00EC3AAE" w:rsidRPr="00796736" w:rsidRDefault="00EC3AAE" w:rsidP="0053178C">
      <w:pPr>
        <w:spacing w:line="360" w:lineRule="auto"/>
        <w:ind w:firstLine="238"/>
        <w:rPr>
          <w:rFonts w:ascii="Times New Roman" w:hAnsi="Times New Roman" w:cs="Times New Roman"/>
          <w:sz w:val="24"/>
          <w:szCs w:val="24"/>
        </w:rPr>
      </w:pPr>
    </w:p>
    <w:p w14:paraId="6D6EE184" w14:textId="77777777" w:rsidR="000809B1" w:rsidRPr="00796736" w:rsidRDefault="000809B1" w:rsidP="0053178C">
      <w:pPr>
        <w:spacing w:line="360" w:lineRule="auto"/>
        <w:ind w:firstLine="238"/>
        <w:rPr>
          <w:rFonts w:ascii="Times New Roman" w:hAnsi="Times New Roman" w:cs="Times New Roman"/>
          <w:sz w:val="24"/>
          <w:szCs w:val="24"/>
        </w:rPr>
      </w:pPr>
    </w:p>
    <w:p w14:paraId="787BA461" w14:textId="2ECCB310" w:rsidR="00EC3AAE" w:rsidRPr="00796736" w:rsidRDefault="00EC3AAE" w:rsidP="0053178C">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 xml:space="preserve">Kapitel </w:t>
      </w:r>
      <w:r w:rsidR="00B61E4E" w:rsidRPr="00796736">
        <w:rPr>
          <w:rFonts w:ascii="Times New Roman" w:hAnsi="Times New Roman" w:cs="Times New Roman"/>
          <w:sz w:val="24"/>
          <w:szCs w:val="24"/>
        </w:rPr>
        <w:t>7</w:t>
      </w:r>
    </w:p>
    <w:p w14:paraId="51E14DDD" w14:textId="77777777" w:rsidR="0042556A" w:rsidRPr="00796736" w:rsidRDefault="0042556A"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 xml:space="preserve">Pengeinstitutternes behandling af advokaters samleklientkonti </w:t>
      </w:r>
    </w:p>
    <w:p w14:paraId="493FF6EA" w14:textId="77777777" w:rsidR="00EC3AAE" w:rsidRPr="00796736" w:rsidRDefault="00EC3AAE" w:rsidP="0053178C">
      <w:pPr>
        <w:spacing w:line="360" w:lineRule="auto"/>
        <w:ind w:firstLine="238"/>
        <w:rPr>
          <w:rFonts w:ascii="Times New Roman" w:hAnsi="Times New Roman" w:cs="Times New Roman"/>
          <w:sz w:val="24"/>
          <w:szCs w:val="24"/>
        </w:rPr>
      </w:pPr>
    </w:p>
    <w:p w14:paraId="2A02988E" w14:textId="77777777" w:rsidR="00B50E1B" w:rsidRPr="00A4589A" w:rsidRDefault="00B50E1B" w:rsidP="00B50E1B">
      <w:pPr>
        <w:pStyle w:val="Typografi1"/>
        <w:ind w:left="0" w:firstLine="238"/>
        <w:rPr>
          <w:rFonts w:ascii="Times New Roman" w:hAnsi="Times New Roman" w:cs="Times New Roman"/>
          <w:sz w:val="24"/>
          <w:szCs w:val="24"/>
        </w:rPr>
      </w:pPr>
      <w:bookmarkStart w:id="123" w:name="_Ref236655813"/>
      <w:bookmarkStart w:id="124" w:name="_Toc244879019"/>
      <w:bookmarkStart w:id="125" w:name="_Toc244880543"/>
      <w:r w:rsidRPr="00A4589A">
        <w:rPr>
          <w:rFonts w:ascii="Times New Roman" w:hAnsi="Times New Roman" w:cs="Times New Roman"/>
          <w:sz w:val="24"/>
          <w:szCs w:val="24"/>
        </w:rPr>
        <w:t>Advokater, fællesskaber af advokater og advokatselskaber skal ved behandling af betroede midler på en samleklientbankkonto indhente identitetsoplysninger på den eller de reelle ejere af midlerne, uanset om der ydes bistand m.v. omfattet af hvidvaskforordningens artikel 3, stk. 3, litra a eller b.</w:t>
      </w:r>
      <w:bookmarkEnd w:id="123"/>
      <w:bookmarkEnd w:id="124"/>
      <w:bookmarkEnd w:id="125"/>
      <w:r w:rsidRPr="00A4589A">
        <w:rPr>
          <w:rFonts w:ascii="Times New Roman" w:hAnsi="Times New Roman" w:cs="Times New Roman"/>
          <w:sz w:val="24"/>
          <w:szCs w:val="24"/>
        </w:rPr>
        <w:t xml:space="preserve"> </w:t>
      </w:r>
    </w:p>
    <w:p w14:paraId="40A35B4C" w14:textId="77777777" w:rsidR="00B50E1B" w:rsidRPr="00A4589A" w:rsidRDefault="00B50E1B" w:rsidP="00B50E1B">
      <w:pPr>
        <w:spacing w:line="360" w:lineRule="auto"/>
        <w:ind w:firstLine="238"/>
        <w:rPr>
          <w:rFonts w:ascii="Times New Roman" w:hAnsi="Times New Roman" w:cs="Times New Roman"/>
          <w:sz w:val="24"/>
          <w:szCs w:val="24"/>
        </w:rPr>
      </w:pPr>
      <w:r w:rsidRPr="00A4589A">
        <w:rPr>
          <w:rFonts w:ascii="Times New Roman" w:hAnsi="Times New Roman" w:cs="Times New Roman"/>
          <w:i/>
          <w:iCs/>
          <w:sz w:val="24"/>
          <w:szCs w:val="24"/>
        </w:rPr>
        <w:t>Stk. 2.</w:t>
      </w:r>
      <w:r w:rsidRPr="00A4589A">
        <w:rPr>
          <w:rFonts w:ascii="Times New Roman" w:hAnsi="Times New Roman" w:cs="Times New Roman"/>
          <w:sz w:val="24"/>
          <w:szCs w:val="24"/>
        </w:rPr>
        <w:t xml:space="preserve"> Advokater, fællesskaber af advokater og advokatselskaber skal endvidere ved behandling efter stk. 1 gennemføre rimelige foranstaltninger for at kontrollere den eller de reelle ejeres identitet, således at advokaten m.v. med sikkerhed ved, hvem den eller de reelle ejere af midlerne er, uanset om der ydes bistand m.v. omfattet af hvidvaskforordningens artikel 3, stk. 3, litra a eller b. </w:t>
      </w:r>
    </w:p>
    <w:p w14:paraId="55F25909" w14:textId="77777777" w:rsidR="00B50E1B" w:rsidRPr="00A4589A" w:rsidRDefault="00B50E1B" w:rsidP="00B50E1B">
      <w:pPr>
        <w:spacing w:line="360" w:lineRule="auto"/>
        <w:ind w:firstLine="238"/>
        <w:rPr>
          <w:rFonts w:ascii="Times New Roman" w:hAnsi="Times New Roman" w:cs="Times New Roman"/>
          <w:sz w:val="24"/>
          <w:szCs w:val="24"/>
        </w:rPr>
      </w:pPr>
      <w:r w:rsidRPr="00A4589A">
        <w:rPr>
          <w:rFonts w:ascii="Times New Roman" w:hAnsi="Times New Roman" w:cs="Times New Roman"/>
          <w:i/>
          <w:iCs/>
          <w:sz w:val="24"/>
          <w:szCs w:val="24"/>
        </w:rPr>
        <w:t>Stk. 3.</w:t>
      </w:r>
      <w:r w:rsidRPr="00A4589A">
        <w:rPr>
          <w:rFonts w:ascii="Times New Roman" w:hAnsi="Times New Roman" w:cs="Times New Roman"/>
          <w:sz w:val="24"/>
          <w:szCs w:val="24"/>
        </w:rPr>
        <w:t xml:space="preserve"> Advokater, fællesskaber af advokater og advokatselskaber skal ved behandling efter stk. 1 uden ugrundet ophold efter indbetalingen stille identitetsoplysninger og kopi af dokumenter, data eller oplysninger efter stk. 2 til rådighed for det pengeinstitut, hvori samleklientbankkontoen føres. I særlige tilfælde kan advokaten m.v. stille oplysninger efter 1. pkt. til rådighed for pengeinstituttet inden for rimelig tid efter indbetalingen, forudsat at advokaten m.v. uden ugrundet ophold giver pengeinstituttet skriftlig meddelelse med angivelse af forhold, der ligger til grund herfor. </w:t>
      </w:r>
    </w:p>
    <w:p w14:paraId="4D4E93B9" w14:textId="77777777" w:rsidR="00B50E1B" w:rsidRPr="00A4589A" w:rsidRDefault="00B50E1B" w:rsidP="00B50E1B">
      <w:pPr>
        <w:spacing w:line="360" w:lineRule="auto"/>
        <w:ind w:firstLine="238"/>
        <w:rPr>
          <w:rFonts w:ascii="Times New Roman" w:hAnsi="Times New Roman" w:cs="Times New Roman"/>
          <w:i/>
          <w:iCs/>
          <w:sz w:val="24"/>
          <w:szCs w:val="24"/>
        </w:rPr>
      </w:pPr>
      <w:r w:rsidRPr="00A4589A">
        <w:rPr>
          <w:rFonts w:ascii="Times New Roman" w:hAnsi="Times New Roman" w:cs="Times New Roman"/>
          <w:i/>
          <w:iCs/>
          <w:sz w:val="24"/>
          <w:szCs w:val="24"/>
        </w:rPr>
        <w:t xml:space="preserve">Stk. 4. </w:t>
      </w:r>
      <w:r w:rsidRPr="00A4589A">
        <w:rPr>
          <w:rFonts w:ascii="Times New Roman" w:hAnsi="Times New Roman" w:cs="Times New Roman"/>
          <w:sz w:val="24"/>
          <w:szCs w:val="24"/>
        </w:rPr>
        <w:t>Advokater, fællesskaber af advokater og advokatselskaber skal over for Advokatrådet kunne godtgøre overholdelse af stk. 1-3.</w:t>
      </w:r>
      <w:r w:rsidRPr="00A4589A">
        <w:rPr>
          <w:rFonts w:ascii="Times New Roman" w:hAnsi="Times New Roman" w:cs="Times New Roman"/>
          <w:i/>
          <w:iCs/>
          <w:sz w:val="24"/>
          <w:szCs w:val="24"/>
        </w:rPr>
        <w:t xml:space="preserve"> </w:t>
      </w:r>
    </w:p>
    <w:p w14:paraId="4A46B579" w14:textId="77777777" w:rsidR="00EC3AAE" w:rsidRPr="00796736" w:rsidRDefault="00EC3AAE" w:rsidP="0053178C">
      <w:pPr>
        <w:spacing w:line="360" w:lineRule="auto"/>
        <w:ind w:firstLine="238"/>
        <w:rPr>
          <w:rFonts w:ascii="Times New Roman" w:hAnsi="Times New Roman" w:cs="Times New Roman"/>
          <w:sz w:val="24"/>
          <w:szCs w:val="24"/>
        </w:rPr>
      </w:pPr>
    </w:p>
    <w:p w14:paraId="2BD3D413" w14:textId="77777777" w:rsidR="00EC3AAE" w:rsidRPr="00796736" w:rsidRDefault="00EC3AAE" w:rsidP="0053178C">
      <w:pPr>
        <w:spacing w:line="360" w:lineRule="auto"/>
        <w:ind w:firstLine="238"/>
        <w:rPr>
          <w:rFonts w:ascii="Times New Roman" w:hAnsi="Times New Roman" w:cs="Times New Roman"/>
          <w:sz w:val="24"/>
          <w:szCs w:val="24"/>
        </w:rPr>
      </w:pPr>
    </w:p>
    <w:p w14:paraId="52448566" w14:textId="1C04873A" w:rsidR="000809B1" w:rsidRPr="00796736" w:rsidRDefault="000809B1" w:rsidP="0053178C">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 xml:space="preserve">Kapitel </w:t>
      </w:r>
      <w:r w:rsidR="00B61E4E" w:rsidRPr="00796736">
        <w:rPr>
          <w:rFonts w:ascii="Times New Roman" w:hAnsi="Times New Roman" w:cs="Times New Roman"/>
          <w:sz w:val="24"/>
          <w:szCs w:val="24"/>
        </w:rPr>
        <w:t>8</w:t>
      </w:r>
    </w:p>
    <w:p w14:paraId="1903A649" w14:textId="35B67293" w:rsidR="00CF1017" w:rsidRPr="00796736" w:rsidRDefault="003569C9"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Undtagelse fra forordning om oplysninger ved pengeoverførsler</w:t>
      </w:r>
    </w:p>
    <w:p w14:paraId="0CE8455C" w14:textId="77777777" w:rsidR="003569C9" w:rsidRPr="00796736" w:rsidRDefault="003569C9" w:rsidP="0053178C">
      <w:pPr>
        <w:spacing w:line="360" w:lineRule="auto"/>
        <w:ind w:firstLine="238"/>
        <w:rPr>
          <w:rFonts w:ascii="Times New Roman" w:hAnsi="Times New Roman" w:cs="Times New Roman"/>
          <w:sz w:val="24"/>
          <w:szCs w:val="24"/>
        </w:rPr>
      </w:pPr>
    </w:p>
    <w:p w14:paraId="2108FB53" w14:textId="26061C97" w:rsidR="00AD3196" w:rsidRPr="00796736" w:rsidRDefault="00AD3196" w:rsidP="0053178C">
      <w:pPr>
        <w:pStyle w:val="Typografi1"/>
        <w:ind w:left="0" w:firstLine="238"/>
        <w:rPr>
          <w:rFonts w:ascii="Times New Roman" w:hAnsi="Times New Roman" w:cs="Times New Roman"/>
          <w:sz w:val="24"/>
          <w:szCs w:val="24"/>
        </w:rPr>
      </w:pPr>
      <w:bookmarkStart w:id="126" w:name="_Ref232596454"/>
      <w:bookmarkStart w:id="127" w:name="_Toc244879020"/>
      <w:bookmarkStart w:id="128" w:name="_Toc244880544"/>
      <w:r w:rsidRPr="00796736">
        <w:rPr>
          <w:rFonts w:ascii="Times New Roman" w:hAnsi="Times New Roman" w:cs="Times New Roman"/>
          <w:sz w:val="24"/>
          <w:szCs w:val="24"/>
        </w:rPr>
        <w:t>Europa-Parlamentets og Rådets forordning om oplysninger, der skal medsendes ved pengeoverførsler og ved overførsler af visse kryptoaktiver, finder ikke anvendelse på pengeoverførsler inden for Danmark eller til og fra Færøerne og Grønland i forbindelse med køb af varer og tjenesteydelser, når</w:t>
      </w:r>
      <w:bookmarkEnd w:id="126"/>
      <w:bookmarkEnd w:id="127"/>
      <w:bookmarkEnd w:id="128"/>
    </w:p>
    <w:p w14:paraId="709E559F" w14:textId="02F4D4C5" w:rsidR="00AD3196" w:rsidRPr="00796736" w:rsidRDefault="00AD3196">
      <w:pPr>
        <w:pStyle w:val="Listeafsnit"/>
        <w:numPr>
          <w:ilvl w:val="0"/>
          <w:numId w:val="72"/>
        </w:numPr>
        <w:spacing w:line="360" w:lineRule="auto"/>
        <w:rPr>
          <w:rFonts w:ascii="Times New Roman" w:hAnsi="Times New Roman" w:cs="Times New Roman"/>
          <w:sz w:val="24"/>
          <w:szCs w:val="24"/>
        </w:rPr>
      </w:pPr>
      <w:r w:rsidRPr="00796736">
        <w:rPr>
          <w:rFonts w:ascii="Times New Roman" w:hAnsi="Times New Roman" w:cs="Times New Roman"/>
          <w:sz w:val="24"/>
          <w:szCs w:val="24"/>
        </w:rPr>
        <w:t>beløbet ikke overstiger et beløb, der modsvarer værdien af 1.000 euro,</w:t>
      </w:r>
    </w:p>
    <w:p w14:paraId="0547B6FE" w14:textId="78631F3F" w:rsidR="00AD3196" w:rsidRPr="00796736" w:rsidRDefault="00AD3196">
      <w:pPr>
        <w:pStyle w:val="Listeafsnit"/>
        <w:numPr>
          <w:ilvl w:val="0"/>
          <w:numId w:val="72"/>
        </w:numPr>
        <w:spacing w:line="360" w:lineRule="auto"/>
        <w:rPr>
          <w:rFonts w:ascii="Times New Roman" w:hAnsi="Times New Roman" w:cs="Times New Roman"/>
          <w:sz w:val="24"/>
          <w:szCs w:val="24"/>
        </w:rPr>
      </w:pPr>
      <w:r w:rsidRPr="00796736">
        <w:rPr>
          <w:rFonts w:ascii="Times New Roman" w:hAnsi="Times New Roman" w:cs="Times New Roman"/>
          <w:sz w:val="24"/>
          <w:szCs w:val="24"/>
        </w:rPr>
        <w:t>modtagerens betalingstjenesteudbyder er omfattet af Europa-Parlamentets og Rådets forordning om forbyggende foranstaltninger mod anvendelse af det finansielle system til hvidvask af penge eller finansiering af terrorisme eller tilsvarende regler for Færøerne eller Grønland og</w:t>
      </w:r>
    </w:p>
    <w:p w14:paraId="2B43D610" w14:textId="337879AC" w:rsidR="00AD3196" w:rsidRPr="00796736" w:rsidRDefault="00AD3196">
      <w:pPr>
        <w:pStyle w:val="Listeafsnit"/>
        <w:numPr>
          <w:ilvl w:val="0"/>
          <w:numId w:val="72"/>
        </w:numPr>
        <w:spacing w:line="360" w:lineRule="auto"/>
        <w:rPr>
          <w:rFonts w:ascii="Times New Roman" w:hAnsi="Times New Roman" w:cs="Times New Roman"/>
          <w:sz w:val="24"/>
          <w:szCs w:val="24"/>
        </w:rPr>
      </w:pPr>
      <w:r w:rsidRPr="00796736">
        <w:rPr>
          <w:rFonts w:ascii="Times New Roman" w:hAnsi="Times New Roman" w:cs="Times New Roman"/>
          <w:sz w:val="24"/>
          <w:szCs w:val="24"/>
        </w:rPr>
        <w:t>modtagerens betalingstjenesteudbyder ved hjælp af et entydigt referencenummer kan finde frem til den juridiske eller fysiske person, som betalingsmodtageren har aftale med om levering af varer eller tjenesteydelser.</w:t>
      </w:r>
    </w:p>
    <w:p w14:paraId="6477E898" w14:textId="77777777" w:rsidR="00AD3196" w:rsidRPr="00796736" w:rsidRDefault="00AD3196"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De regler, der gælder for pengeoverførsler inden for Danmark ifølge Europa-Parlamentets og Rådets forordning om oplysninger, der skal medsendes ved pengeoverførsler og ved overførsler af visse kryptoaktiver, finder tilsvarende anvendelse ved pengeoverførsler til eller fra Færøerne og Grønland.</w:t>
      </w:r>
    </w:p>
    <w:p w14:paraId="7F3D0453" w14:textId="77777777" w:rsidR="000809B1" w:rsidRPr="00796736" w:rsidRDefault="000809B1" w:rsidP="0053178C">
      <w:pPr>
        <w:spacing w:line="360" w:lineRule="auto"/>
        <w:ind w:firstLine="238"/>
        <w:rPr>
          <w:rFonts w:ascii="Times New Roman" w:hAnsi="Times New Roman" w:cs="Times New Roman"/>
          <w:sz w:val="24"/>
          <w:szCs w:val="24"/>
        </w:rPr>
      </w:pPr>
    </w:p>
    <w:p w14:paraId="32B80862" w14:textId="77777777" w:rsidR="004E155B" w:rsidRPr="00796736" w:rsidRDefault="004E155B" w:rsidP="0053178C">
      <w:pPr>
        <w:spacing w:line="360" w:lineRule="auto"/>
        <w:ind w:firstLine="238"/>
        <w:rPr>
          <w:rFonts w:ascii="Times New Roman" w:hAnsi="Times New Roman" w:cs="Times New Roman"/>
          <w:sz w:val="24"/>
          <w:szCs w:val="24"/>
        </w:rPr>
      </w:pPr>
    </w:p>
    <w:p w14:paraId="59266A2C" w14:textId="480257FA" w:rsidR="004E155B" w:rsidRPr="00796736" w:rsidRDefault="004E155B" w:rsidP="0053178C">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 xml:space="preserve">Kapitel </w:t>
      </w:r>
      <w:r w:rsidR="00B61E4E" w:rsidRPr="00796736">
        <w:rPr>
          <w:rFonts w:ascii="Times New Roman" w:hAnsi="Times New Roman" w:cs="Times New Roman"/>
          <w:sz w:val="24"/>
          <w:szCs w:val="24"/>
        </w:rPr>
        <w:t>9</w:t>
      </w:r>
    </w:p>
    <w:p w14:paraId="4CED704D" w14:textId="5D6DED64" w:rsidR="004E155B" w:rsidRPr="00796736" w:rsidRDefault="004E155B"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lang w:eastAsia="da-DK"/>
        </w:rPr>
        <w:t>Underretnings- og tavshedspligt for myndigheder ved mistanke om hvidvask eller terrorfinansiering</w:t>
      </w:r>
    </w:p>
    <w:p w14:paraId="6ECB78CE" w14:textId="77777777" w:rsidR="004E155B" w:rsidRPr="00796736" w:rsidRDefault="004E155B" w:rsidP="0053178C">
      <w:pPr>
        <w:spacing w:line="360" w:lineRule="auto"/>
        <w:ind w:firstLine="238"/>
        <w:rPr>
          <w:rFonts w:ascii="Times New Roman" w:hAnsi="Times New Roman" w:cs="Times New Roman"/>
          <w:sz w:val="24"/>
          <w:szCs w:val="24"/>
        </w:rPr>
      </w:pPr>
    </w:p>
    <w:p w14:paraId="7B2B269D" w14:textId="313254DE" w:rsidR="00A76DBC" w:rsidRPr="00796736" w:rsidRDefault="00A76DBC" w:rsidP="0053178C">
      <w:pPr>
        <w:pStyle w:val="Typografi1"/>
        <w:ind w:left="0" w:firstLine="238"/>
        <w:rPr>
          <w:rFonts w:ascii="Times New Roman" w:eastAsia="Times New Roman" w:hAnsi="Times New Roman" w:cs="Times New Roman"/>
          <w:sz w:val="24"/>
          <w:szCs w:val="24"/>
          <w:lang w:eastAsia="da-DK"/>
        </w:rPr>
      </w:pPr>
      <w:bookmarkStart w:id="129" w:name="_Ref232596476"/>
      <w:bookmarkStart w:id="130" w:name="_Ref237004540"/>
      <w:bookmarkStart w:id="131" w:name="_Ref238570120"/>
      <w:bookmarkStart w:id="132" w:name="_Ref239689412"/>
      <w:bookmarkStart w:id="133" w:name="_Toc244879021"/>
      <w:bookmarkStart w:id="134" w:name="_Toc244880545"/>
      <w:r w:rsidRPr="00796736">
        <w:rPr>
          <w:rFonts w:ascii="Times New Roman" w:eastAsia="Times New Roman" w:hAnsi="Times New Roman" w:cs="Times New Roman"/>
          <w:sz w:val="24"/>
          <w:szCs w:val="24"/>
          <w:lang w:eastAsia="da-DK"/>
        </w:rPr>
        <w:t xml:space="preserve">Personer, der virker inden for den offentlige forvaltning, er under ansvar efter straffelovens </w:t>
      </w:r>
      <w:bookmarkStart w:id="135" w:name="_Hlk231404003"/>
      <w:bookmarkEnd w:id="129"/>
      <w:r w:rsidRPr="00796736">
        <w:rPr>
          <w:rFonts w:ascii="Times New Roman" w:eastAsia="Times New Roman" w:hAnsi="Times New Roman" w:cs="Times New Roman"/>
          <w:sz w:val="24"/>
          <w:szCs w:val="24"/>
          <w:lang w:eastAsia="da-DK"/>
        </w:rPr>
        <w:t xml:space="preserve">§ 152-152 f </w:t>
      </w:r>
      <w:bookmarkEnd w:id="135"/>
      <w:r w:rsidRPr="00796736">
        <w:rPr>
          <w:rFonts w:ascii="Times New Roman" w:eastAsia="Times New Roman" w:hAnsi="Times New Roman" w:cs="Times New Roman"/>
          <w:sz w:val="24"/>
          <w:szCs w:val="24"/>
          <w:lang w:eastAsia="da-DK"/>
        </w:rPr>
        <w:t>forpligtet til at hemmeligholde oplysninger, som hidrører fra en underretning efter hvidvaskforordningens artikel 69, stk. 1, første afsnit, litra a eller denne lovs</w:t>
      </w:r>
      <w:r w:rsidR="0092113C" w:rsidRPr="00796736">
        <w:rPr>
          <w:rFonts w:ascii="Times New Roman" w:eastAsia="Times New Roman" w:hAnsi="Times New Roman" w:cs="Times New Roman"/>
          <w:sz w:val="24"/>
          <w:szCs w:val="24"/>
          <w:lang w:eastAsia="da-DK"/>
        </w:rPr>
        <w:t xml:space="preserve"> </w:t>
      </w:r>
      <w:r w:rsidR="0092113C" w:rsidRPr="00796736">
        <w:rPr>
          <w:rFonts w:ascii="Times New Roman" w:eastAsia="Times New Roman" w:hAnsi="Times New Roman" w:cs="Times New Roman"/>
          <w:sz w:val="24"/>
          <w:szCs w:val="24"/>
          <w:lang w:eastAsia="da-DK"/>
        </w:rPr>
        <w:fldChar w:fldCharType="begin"/>
      </w:r>
      <w:r w:rsidR="0092113C" w:rsidRPr="00796736">
        <w:rPr>
          <w:rFonts w:ascii="Times New Roman" w:eastAsia="Times New Roman" w:hAnsi="Times New Roman" w:cs="Times New Roman"/>
          <w:sz w:val="24"/>
          <w:szCs w:val="24"/>
          <w:lang w:eastAsia="da-DK"/>
        </w:rPr>
        <w:instrText xml:space="preserve"> REF _Ref238570475 \r \h </w:instrText>
      </w:r>
      <w:r w:rsidR="00AB17CC" w:rsidRPr="00796736">
        <w:rPr>
          <w:rFonts w:ascii="Times New Roman" w:eastAsia="Times New Roman" w:hAnsi="Times New Roman" w:cs="Times New Roman"/>
          <w:sz w:val="24"/>
          <w:szCs w:val="24"/>
          <w:lang w:eastAsia="da-DK"/>
        </w:rPr>
        <w:instrText xml:space="preserve"> \* MERGEFORMAT </w:instrText>
      </w:r>
      <w:r w:rsidR="0092113C" w:rsidRPr="00796736">
        <w:rPr>
          <w:rFonts w:ascii="Times New Roman" w:eastAsia="Times New Roman" w:hAnsi="Times New Roman" w:cs="Times New Roman"/>
          <w:sz w:val="24"/>
          <w:szCs w:val="24"/>
          <w:lang w:eastAsia="da-DK"/>
        </w:rPr>
      </w:r>
      <w:r w:rsidR="0092113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39</w:t>
      </w:r>
      <w:r w:rsidR="0092113C"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w:t>
      </w:r>
      <w:bookmarkEnd w:id="130"/>
      <w:r w:rsidRPr="00796736">
        <w:rPr>
          <w:rFonts w:ascii="Times New Roman" w:eastAsia="Times New Roman" w:hAnsi="Times New Roman" w:cs="Times New Roman"/>
          <w:sz w:val="24"/>
          <w:szCs w:val="24"/>
          <w:lang w:eastAsia="da-DK"/>
        </w:rPr>
        <w:t xml:space="preserve"> </w:t>
      </w:r>
      <w:bookmarkEnd w:id="131"/>
      <w:bookmarkEnd w:id="132"/>
      <w:r w:rsidR="002128F7">
        <w:rPr>
          <w:rFonts w:ascii="Times New Roman" w:eastAsia="Times New Roman" w:hAnsi="Times New Roman" w:cs="Times New Roman"/>
          <w:sz w:val="24"/>
          <w:szCs w:val="24"/>
          <w:lang w:eastAsia="da-DK"/>
        </w:rPr>
        <w:t>1. pkt. er ikke til hinder for videregivelse af oplysninger efter reglerne i denne lov.</w:t>
      </w:r>
      <w:bookmarkEnd w:id="133"/>
      <w:bookmarkEnd w:id="134"/>
      <w:r w:rsidR="002128F7" w:rsidRPr="00D253F0">
        <w:rPr>
          <w:rFonts w:ascii="Times New Roman" w:eastAsia="Times New Roman" w:hAnsi="Times New Roman" w:cs="Times New Roman"/>
          <w:sz w:val="24"/>
          <w:szCs w:val="24"/>
          <w:lang w:eastAsia="da-DK"/>
        </w:rPr>
        <w:t xml:space="preserve">  </w:t>
      </w:r>
    </w:p>
    <w:p w14:paraId="41755131" w14:textId="77777777" w:rsidR="00A76DBC" w:rsidRPr="00796736" w:rsidRDefault="00A76DBC" w:rsidP="0053178C">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xml:space="preserve"> Forvaltningslovens § 9 om partsaktindsigt, § 19 om partshøring, § 24 om begrundelsespligt samt §§ 28 og 31 om videregivelse af oplysninger mellem forvaltningsmyndigheder finder ikke anvendelse på de oplysninger, der er nævnt i stk. 1.</w:t>
      </w:r>
    </w:p>
    <w:p w14:paraId="5685E553" w14:textId="77777777" w:rsidR="004E155B" w:rsidRPr="00796736" w:rsidRDefault="004E155B" w:rsidP="0053178C">
      <w:pPr>
        <w:spacing w:line="360" w:lineRule="auto"/>
        <w:ind w:firstLine="238"/>
        <w:rPr>
          <w:rFonts w:ascii="Times New Roman" w:hAnsi="Times New Roman" w:cs="Times New Roman"/>
          <w:sz w:val="24"/>
          <w:szCs w:val="24"/>
        </w:rPr>
      </w:pPr>
    </w:p>
    <w:p w14:paraId="3D10F1AE" w14:textId="6C556FE1" w:rsidR="002128F7" w:rsidRPr="00D253F0" w:rsidRDefault="002128F7" w:rsidP="0053178C">
      <w:pPr>
        <w:pStyle w:val="Typografi1"/>
        <w:ind w:left="0" w:firstLine="238"/>
        <w:rPr>
          <w:rFonts w:ascii="Times New Roman" w:hAnsi="Times New Roman" w:cs="Times New Roman"/>
          <w:sz w:val="24"/>
          <w:szCs w:val="24"/>
        </w:rPr>
      </w:pPr>
      <w:bookmarkStart w:id="136" w:name="_Ref238570475"/>
      <w:bookmarkStart w:id="137" w:name="_Ref240556942"/>
      <w:bookmarkStart w:id="138" w:name="_Toc244879022"/>
      <w:bookmarkStart w:id="139" w:name="_Toc244880546"/>
      <w:r w:rsidRPr="00D253F0">
        <w:rPr>
          <w:rFonts w:ascii="Times New Roman" w:hAnsi="Times New Roman" w:cs="Times New Roman"/>
          <w:sz w:val="24"/>
          <w:szCs w:val="24"/>
        </w:rPr>
        <w:t>Får en tilsynsmyndighed</w:t>
      </w:r>
      <w:r w:rsidR="00C95839">
        <w:rPr>
          <w:rFonts w:ascii="Times New Roman" w:hAnsi="Times New Roman" w:cs="Times New Roman"/>
          <w:sz w:val="24"/>
          <w:szCs w:val="24"/>
        </w:rPr>
        <w:t xml:space="preserve"> eller et tilsynsorgan</w:t>
      </w:r>
      <w:r>
        <w:rPr>
          <w:rFonts w:ascii="Times New Roman" w:hAnsi="Times New Roman" w:cs="Times New Roman"/>
          <w:sz w:val="24"/>
          <w:szCs w:val="24"/>
        </w:rPr>
        <w:t xml:space="preserve"> </w:t>
      </w:r>
      <w:r w:rsidRPr="00D253F0">
        <w:rPr>
          <w:rFonts w:ascii="Times New Roman" w:hAnsi="Times New Roman" w:cs="Times New Roman"/>
          <w:sz w:val="24"/>
          <w:szCs w:val="24"/>
        </w:rPr>
        <w:t>efter denne lov eller andre myndigheder kendskab til forhold, der giver grund til at tro, at disse kan have tilknytning til hvidvask, terror</w:t>
      </w:r>
      <w:r>
        <w:rPr>
          <w:rFonts w:ascii="Times New Roman" w:hAnsi="Times New Roman" w:cs="Times New Roman"/>
          <w:sz w:val="24"/>
          <w:szCs w:val="24"/>
        </w:rPr>
        <w:t>finansiering</w:t>
      </w:r>
      <w:r w:rsidRPr="00D253F0">
        <w:rPr>
          <w:rFonts w:ascii="Times New Roman" w:hAnsi="Times New Roman" w:cs="Times New Roman"/>
          <w:sz w:val="24"/>
          <w:szCs w:val="24"/>
        </w:rPr>
        <w:t xml:space="preserve"> eller de underliggende lovovertrædelser, skal tilsynsorganet eller myndigheden underrette Hvidvasksekretariatet herom, jf. dog stk. 2</w:t>
      </w:r>
      <w:r>
        <w:rPr>
          <w:rFonts w:ascii="Times New Roman" w:hAnsi="Times New Roman" w:cs="Times New Roman"/>
          <w:sz w:val="24"/>
          <w:szCs w:val="24"/>
        </w:rPr>
        <w:t xml:space="preserve"> og 3</w:t>
      </w:r>
      <w:r w:rsidRPr="00D253F0">
        <w:rPr>
          <w:rFonts w:ascii="Times New Roman" w:hAnsi="Times New Roman" w:cs="Times New Roman"/>
          <w:sz w:val="24"/>
          <w:szCs w:val="24"/>
        </w:rPr>
        <w:t>.</w:t>
      </w:r>
      <w:bookmarkEnd w:id="136"/>
      <w:bookmarkEnd w:id="137"/>
      <w:bookmarkEnd w:id="138"/>
      <w:bookmarkEnd w:id="139"/>
    </w:p>
    <w:p w14:paraId="6B7462DC" w14:textId="4675173F" w:rsidR="0042556A" w:rsidRDefault="0042556A"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Underretningspligten efter stk. 1 finder ikke anvendelse for oplysninger, som er modtaget før, under eller efter retssager eller i forbindelse med advokaters m.v. vurdering af en kundes retsstilling, medmindre oplysningerne er omfattet af hvidvaskforordningens artikel 70, stk. 2, 2. afsnit, regler udstedt i medfør af </w:t>
      </w:r>
      <w:r w:rsidRPr="00C95839">
        <w:rPr>
          <w:rFonts w:ascii="Times New Roman" w:hAnsi="Times New Roman" w:cs="Times New Roman"/>
          <w:sz w:val="24"/>
          <w:szCs w:val="24"/>
        </w:rPr>
        <w:fldChar w:fldCharType="begin"/>
      </w:r>
      <w:r w:rsidRPr="00C95839">
        <w:rPr>
          <w:rFonts w:ascii="Times New Roman" w:hAnsi="Times New Roman" w:cs="Times New Roman"/>
          <w:sz w:val="24"/>
          <w:szCs w:val="24"/>
        </w:rPr>
        <w:instrText xml:space="preserve"> REF _Ref232609412 \r \h </w:instrText>
      </w:r>
      <w:r w:rsidR="00AB17CC" w:rsidRPr="00C95839">
        <w:rPr>
          <w:rFonts w:ascii="Times New Roman" w:hAnsi="Times New Roman" w:cs="Times New Roman"/>
          <w:sz w:val="24"/>
          <w:szCs w:val="24"/>
        </w:rPr>
        <w:instrText xml:space="preserve"> \* MERGEFORMAT </w:instrText>
      </w:r>
      <w:r w:rsidRPr="00C95839">
        <w:rPr>
          <w:rFonts w:ascii="Times New Roman" w:hAnsi="Times New Roman" w:cs="Times New Roman"/>
          <w:sz w:val="24"/>
          <w:szCs w:val="24"/>
        </w:rPr>
      </w:r>
      <w:r w:rsidRPr="00C95839">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Pr="00C95839">
        <w:rPr>
          <w:rFonts w:ascii="Times New Roman" w:hAnsi="Times New Roman" w:cs="Times New Roman"/>
          <w:sz w:val="24"/>
          <w:szCs w:val="24"/>
        </w:rPr>
        <w:fldChar w:fldCharType="end"/>
      </w:r>
      <w:r w:rsidRPr="00C95839">
        <w:rPr>
          <w:rFonts w:ascii="Times New Roman" w:hAnsi="Times New Roman" w:cs="Times New Roman"/>
          <w:sz w:val="24"/>
          <w:szCs w:val="24"/>
        </w:rPr>
        <w:t>, stk. 2,</w:t>
      </w:r>
      <w:r w:rsidRPr="00796736">
        <w:rPr>
          <w:rFonts w:ascii="Times New Roman" w:hAnsi="Times New Roman" w:cs="Times New Roman"/>
          <w:sz w:val="24"/>
          <w:szCs w:val="24"/>
        </w:rPr>
        <w:t xml:space="preserve"> eller der i øvrigt er grundlag for alligevel at foretage underretning efter hvidvaskforordningen.</w:t>
      </w:r>
    </w:p>
    <w:p w14:paraId="7D6338F9" w14:textId="6A03B6AC" w:rsidR="002128F7" w:rsidRPr="002128F7" w:rsidRDefault="002128F7" w:rsidP="0053178C">
      <w:pPr>
        <w:spacing w:line="360" w:lineRule="auto"/>
        <w:ind w:firstLine="238"/>
        <w:rPr>
          <w:rFonts w:ascii="Times New Roman" w:hAnsi="Times New Roman" w:cs="Times New Roman"/>
          <w:i/>
          <w:iCs/>
          <w:sz w:val="24"/>
          <w:szCs w:val="24"/>
        </w:rPr>
      </w:pPr>
      <w:r w:rsidRPr="002128F7">
        <w:rPr>
          <w:rFonts w:ascii="Times New Roman" w:hAnsi="Times New Roman" w:cs="Times New Roman"/>
          <w:i/>
          <w:iCs/>
          <w:sz w:val="24"/>
          <w:szCs w:val="24"/>
        </w:rPr>
        <w:t>Stk. 3.</w:t>
      </w:r>
      <w:r>
        <w:rPr>
          <w:rFonts w:ascii="Times New Roman" w:hAnsi="Times New Roman" w:cs="Times New Roman"/>
          <w:i/>
          <w:iCs/>
          <w:sz w:val="24"/>
          <w:szCs w:val="24"/>
        </w:rPr>
        <w:t xml:space="preserve"> </w:t>
      </w:r>
      <w:r>
        <w:rPr>
          <w:rFonts w:ascii="Times New Roman" w:hAnsi="Times New Roman" w:cs="Times New Roman"/>
          <w:sz w:val="24"/>
          <w:szCs w:val="24"/>
        </w:rPr>
        <w:t>Underretningspligten efter stk. 1 finder endvidere ikke anvendelse for oplysninger, som politiet får kendskab til som led i sin virksomhed.</w:t>
      </w:r>
    </w:p>
    <w:p w14:paraId="26A0E228" w14:textId="77777777" w:rsidR="000809B1" w:rsidRPr="00796736" w:rsidRDefault="000809B1" w:rsidP="00A802A5">
      <w:pPr>
        <w:spacing w:line="360" w:lineRule="auto"/>
        <w:rPr>
          <w:rFonts w:ascii="Times New Roman" w:hAnsi="Times New Roman" w:cs="Times New Roman"/>
          <w:sz w:val="24"/>
          <w:szCs w:val="24"/>
        </w:rPr>
      </w:pPr>
    </w:p>
    <w:p w14:paraId="3C2C3F3C" w14:textId="6BDBCD60" w:rsidR="000809B1" w:rsidRPr="00796736" w:rsidRDefault="000809B1" w:rsidP="00A802A5">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 xml:space="preserve">Kapitel </w:t>
      </w:r>
      <w:r w:rsidR="001E3060" w:rsidRPr="00796736">
        <w:rPr>
          <w:rFonts w:ascii="Times New Roman" w:hAnsi="Times New Roman" w:cs="Times New Roman"/>
          <w:sz w:val="24"/>
          <w:szCs w:val="24"/>
        </w:rPr>
        <w:t>1</w:t>
      </w:r>
      <w:r w:rsidR="00B61E4E" w:rsidRPr="00796736">
        <w:rPr>
          <w:rFonts w:ascii="Times New Roman" w:hAnsi="Times New Roman" w:cs="Times New Roman"/>
          <w:sz w:val="24"/>
          <w:szCs w:val="24"/>
        </w:rPr>
        <w:t>0</w:t>
      </w:r>
    </w:p>
    <w:p w14:paraId="0882A50F" w14:textId="78B95607" w:rsidR="000809B1" w:rsidRPr="00796736" w:rsidRDefault="000809B1" w:rsidP="00A802A5">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Tilladelse</w:t>
      </w:r>
      <w:r w:rsidR="00AD6592" w:rsidRPr="00796736">
        <w:rPr>
          <w:rFonts w:ascii="Times New Roman" w:hAnsi="Times New Roman" w:cs="Times New Roman"/>
          <w:i/>
          <w:iCs/>
          <w:sz w:val="24"/>
          <w:szCs w:val="24"/>
        </w:rPr>
        <w:t xml:space="preserve"> til at udøve valutavekslingsvirksomhed</w:t>
      </w:r>
    </w:p>
    <w:p w14:paraId="71B9CB86" w14:textId="77777777" w:rsidR="000809B1" w:rsidRPr="00796736" w:rsidRDefault="000809B1" w:rsidP="0053178C">
      <w:pPr>
        <w:spacing w:line="360" w:lineRule="auto"/>
        <w:ind w:firstLine="238"/>
        <w:rPr>
          <w:rFonts w:ascii="Times New Roman" w:hAnsi="Times New Roman" w:cs="Times New Roman"/>
          <w:sz w:val="24"/>
          <w:szCs w:val="24"/>
        </w:rPr>
      </w:pPr>
    </w:p>
    <w:p w14:paraId="5E59835E" w14:textId="301DC875" w:rsidR="00AD3196" w:rsidRPr="00796736" w:rsidRDefault="00025E07" w:rsidP="0053178C">
      <w:pPr>
        <w:pStyle w:val="Typografi1"/>
        <w:ind w:left="0" w:firstLine="238"/>
        <w:rPr>
          <w:rFonts w:ascii="Times New Roman" w:hAnsi="Times New Roman" w:cs="Times New Roman"/>
          <w:sz w:val="24"/>
          <w:szCs w:val="24"/>
        </w:rPr>
      </w:pPr>
      <w:bookmarkStart w:id="140" w:name="_Ref232596532"/>
      <w:bookmarkStart w:id="141" w:name="_Toc40267892"/>
      <w:bookmarkStart w:id="142" w:name="_Toc49209175"/>
      <w:bookmarkStart w:id="143" w:name="_Toc49209409"/>
      <w:bookmarkStart w:id="144" w:name="_Toc244879023"/>
      <w:bookmarkStart w:id="145" w:name="_Toc244880547"/>
      <w:r w:rsidRPr="00796736">
        <w:rPr>
          <w:rFonts w:ascii="Times New Roman" w:hAnsi="Times New Roman" w:cs="Times New Roman"/>
          <w:sz w:val="24"/>
          <w:szCs w:val="24"/>
        </w:rPr>
        <w:t>Valutavekslingsvirksomhed må kun udøves her i landet af virksomheder, der har tilladelse som valutavekslingsvirksomhed, eller af pengeinstitutter, Danmarks Nationalbank og offentlige myndigheder.</w:t>
      </w:r>
      <w:bookmarkEnd w:id="140"/>
      <w:bookmarkEnd w:id="144"/>
      <w:bookmarkEnd w:id="145"/>
    </w:p>
    <w:bookmarkEnd w:id="141"/>
    <w:bookmarkEnd w:id="142"/>
    <w:bookmarkEnd w:id="143"/>
    <w:p w14:paraId="2B1190A8" w14:textId="77777777" w:rsidR="00AD3196" w:rsidRPr="00796736" w:rsidRDefault="00AD3196" w:rsidP="0053178C">
      <w:pPr>
        <w:spacing w:line="360" w:lineRule="auto"/>
        <w:ind w:firstLine="238"/>
        <w:rPr>
          <w:rFonts w:ascii="Times New Roman" w:hAnsi="Times New Roman" w:cs="Times New Roman"/>
          <w:sz w:val="24"/>
          <w:szCs w:val="24"/>
        </w:rPr>
      </w:pPr>
    </w:p>
    <w:p w14:paraId="6977CBB9" w14:textId="308EC691" w:rsidR="00025E07" w:rsidRPr="00796736" w:rsidRDefault="0042556A" w:rsidP="0053178C">
      <w:pPr>
        <w:pStyle w:val="Typografi1"/>
        <w:ind w:left="0" w:firstLine="238"/>
        <w:rPr>
          <w:rFonts w:ascii="Times New Roman" w:eastAsia="Calibri" w:hAnsi="Times New Roman" w:cs="Times New Roman"/>
          <w:sz w:val="24"/>
          <w:szCs w:val="24"/>
        </w:rPr>
      </w:pPr>
      <w:bookmarkStart w:id="146" w:name="_Ref232596553"/>
      <w:bookmarkStart w:id="147" w:name="_Toc244879024"/>
      <w:bookmarkStart w:id="148" w:name="_Toc244880548"/>
      <w:r w:rsidRPr="00796736">
        <w:rPr>
          <w:rFonts w:ascii="Times New Roman" w:eastAsia="Calibri" w:hAnsi="Times New Roman" w:cs="Times New Roman"/>
          <w:sz w:val="24"/>
          <w:szCs w:val="24"/>
        </w:rPr>
        <w:t>Finanstilsynet kan give tilladelse til valutavekslingsvirksomhed</w:t>
      </w:r>
      <w:r w:rsidR="00025E07" w:rsidRPr="00796736">
        <w:rPr>
          <w:rFonts w:ascii="Times New Roman" w:eastAsia="Calibri" w:hAnsi="Times New Roman" w:cs="Times New Roman"/>
          <w:sz w:val="24"/>
          <w:szCs w:val="24"/>
        </w:rPr>
        <w:t xml:space="preserve">, jf. </w:t>
      </w:r>
      <w:r w:rsidR="00C115BA" w:rsidRPr="00796736">
        <w:rPr>
          <w:rFonts w:ascii="Times New Roman" w:eastAsia="Calibri" w:hAnsi="Times New Roman" w:cs="Times New Roman"/>
          <w:sz w:val="24"/>
          <w:szCs w:val="24"/>
        </w:rPr>
        <w:fldChar w:fldCharType="begin"/>
      </w:r>
      <w:r w:rsidR="00C115BA" w:rsidRPr="00796736">
        <w:rPr>
          <w:rFonts w:ascii="Times New Roman" w:eastAsia="Calibri" w:hAnsi="Times New Roman" w:cs="Times New Roman"/>
          <w:sz w:val="24"/>
          <w:szCs w:val="24"/>
        </w:rPr>
        <w:instrText xml:space="preserve"> REF _Ref232592818 \r \h </w:instrText>
      </w:r>
      <w:r w:rsidR="00967618" w:rsidRPr="00796736">
        <w:rPr>
          <w:rFonts w:ascii="Times New Roman" w:eastAsia="Calibri" w:hAnsi="Times New Roman" w:cs="Times New Roman"/>
          <w:sz w:val="24"/>
          <w:szCs w:val="24"/>
        </w:rPr>
        <w:instrText xml:space="preserve"> \* MERGEFORMAT </w:instrText>
      </w:r>
      <w:r w:rsidR="00C115BA" w:rsidRPr="00796736">
        <w:rPr>
          <w:rFonts w:ascii="Times New Roman" w:eastAsia="Calibri" w:hAnsi="Times New Roman" w:cs="Times New Roman"/>
          <w:sz w:val="24"/>
          <w:szCs w:val="24"/>
        </w:rPr>
      </w:r>
      <w:r w:rsidR="00C115B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C115BA" w:rsidRPr="00796736">
        <w:rPr>
          <w:rFonts w:ascii="Times New Roman" w:eastAsia="Calibri" w:hAnsi="Times New Roman" w:cs="Times New Roman"/>
          <w:sz w:val="24"/>
          <w:szCs w:val="24"/>
        </w:rPr>
        <w:fldChar w:fldCharType="end"/>
      </w:r>
      <w:r w:rsidR="00025E07" w:rsidRPr="00796736">
        <w:rPr>
          <w:rFonts w:ascii="Times New Roman" w:eastAsia="Calibri" w:hAnsi="Times New Roman" w:cs="Times New Roman"/>
          <w:sz w:val="24"/>
          <w:szCs w:val="24"/>
        </w:rPr>
        <w:t>,</w:t>
      </w:r>
      <w:r w:rsidR="006F7353" w:rsidRPr="00796736">
        <w:rPr>
          <w:rFonts w:ascii="Times New Roman" w:eastAsia="Calibri" w:hAnsi="Times New Roman" w:cs="Times New Roman"/>
          <w:sz w:val="24"/>
          <w:szCs w:val="24"/>
        </w:rPr>
        <w:t xml:space="preserve"> </w:t>
      </w:r>
      <w:r w:rsidR="00025E07" w:rsidRPr="00796736">
        <w:rPr>
          <w:rFonts w:ascii="Times New Roman" w:eastAsia="Calibri" w:hAnsi="Times New Roman" w:cs="Times New Roman"/>
          <w:sz w:val="24"/>
          <w:szCs w:val="24"/>
        </w:rPr>
        <w:t>nr. 1</w:t>
      </w:r>
      <w:r w:rsidR="006F7353" w:rsidRPr="00796736">
        <w:rPr>
          <w:rFonts w:ascii="Times New Roman" w:eastAsia="Calibri" w:hAnsi="Times New Roman" w:cs="Times New Roman"/>
          <w:sz w:val="24"/>
          <w:szCs w:val="24"/>
        </w:rPr>
        <w:t>1</w:t>
      </w:r>
      <w:r w:rsidR="00025E07" w:rsidRPr="00796736">
        <w:rPr>
          <w:rFonts w:ascii="Times New Roman" w:eastAsia="Calibri" w:hAnsi="Times New Roman" w:cs="Times New Roman"/>
          <w:sz w:val="24"/>
          <w:szCs w:val="24"/>
        </w:rPr>
        <w:t xml:space="preserve">, </w:t>
      </w:r>
      <w:r w:rsidR="003E7020" w:rsidRPr="00796736">
        <w:rPr>
          <w:rFonts w:ascii="Times New Roman" w:eastAsia="Calibri" w:hAnsi="Times New Roman" w:cs="Times New Roman"/>
          <w:sz w:val="24"/>
          <w:szCs w:val="24"/>
        </w:rPr>
        <w:t>hvis</w:t>
      </w:r>
      <w:bookmarkEnd w:id="146"/>
      <w:r w:rsidR="00D5194A" w:rsidRPr="00796736">
        <w:rPr>
          <w:rFonts w:ascii="Times New Roman" w:eastAsia="Calibri" w:hAnsi="Times New Roman" w:cs="Times New Roman"/>
          <w:sz w:val="24"/>
          <w:szCs w:val="24"/>
        </w:rPr>
        <w:t>:</w:t>
      </w:r>
      <w:bookmarkEnd w:id="147"/>
      <w:bookmarkEnd w:id="148"/>
    </w:p>
    <w:p w14:paraId="33CF7736" w14:textId="30EE52CF" w:rsidR="00025E07" w:rsidRPr="00796736" w:rsidRDefault="00025E07">
      <w:pPr>
        <w:pStyle w:val="Listeafsnit"/>
        <w:numPr>
          <w:ilvl w:val="0"/>
          <w:numId w:val="73"/>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virksomheden har hovedkontor og hjemsted i Danmark, </w:t>
      </w:r>
    </w:p>
    <w:p w14:paraId="391D27E3" w14:textId="5AEFD3A0" w:rsidR="00025E07" w:rsidRPr="00796736" w:rsidRDefault="00025E07">
      <w:pPr>
        <w:pStyle w:val="Listeafsnit"/>
        <w:numPr>
          <w:ilvl w:val="0"/>
          <w:numId w:val="73"/>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medlemmerne af virksomhedens bestyrelse og direktion eller, hvor valutaveksling udøves af en enkeltmandsvirksomhed, indehaveren eller, hvor virksomheden drives som juridisk person uden bestyrelse og direktion, den eller de for virksomheden ledelsesansvarlige og valutavirksomhedens ejere af kvalificerede andele, jf. § 5, stk. 3, i lov om finansiel virksomhed, opfylder kravene i </w:t>
      </w:r>
      <w:r w:rsidR="00C115BA" w:rsidRPr="00796736">
        <w:rPr>
          <w:rFonts w:ascii="Times New Roman" w:eastAsia="Calibri" w:hAnsi="Times New Roman" w:cs="Times New Roman"/>
          <w:sz w:val="24"/>
          <w:szCs w:val="24"/>
        </w:rPr>
        <w:fldChar w:fldCharType="begin"/>
      </w:r>
      <w:r w:rsidR="00C115BA" w:rsidRPr="00796736">
        <w:rPr>
          <w:rFonts w:ascii="Times New Roman" w:eastAsia="Calibri" w:hAnsi="Times New Roman" w:cs="Times New Roman"/>
          <w:sz w:val="24"/>
          <w:szCs w:val="24"/>
        </w:rPr>
        <w:instrText xml:space="preserve"> REF _Ref232596808 \r \h </w:instrText>
      </w:r>
      <w:r w:rsidR="00967618" w:rsidRPr="00796736">
        <w:rPr>
          <w:rFonts w:ascii="Times New Roman" w:eastAsia="Calibri" w:hAnsi="Times New Roman" w:cs="Times New Roman"/>
          <w:sz w:val="24"/>
          <w:szCs w:val="24"/>
        </w:rPr>
        <w:instrText xml:space="preserve"> \* MERGEFORMAT </w:instrText>
      </w:r>
      <w:r w:rsidR="00C115BA" w:rsidRPr="00796736">
        <w:rPr>
          <w:rFonts w:ascii="Times New Roman" w:eastAsia="Calibri" w:hAnsi="Times New Roman" w:cs="Times New Roman"/>
          <w:sz w:val="24"/>
          <w:szCs w:val="24"/>
        </w:rPr>
      </w:r>
      <w:r w:rsidR="00C115B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45</w:t>
      </w:r>
      <w:r w:rsidR="00C115BA"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w:t>
      </w:r>
    </w:p>
    <w:p w14:paraId="2E8FFE11" w14:textId="56C0B510" w:rsidR="00025E07" w:rsidRPr="00796736" w:rsidRDefault="00025E07">
      <w:pPr>
        <w:pStyle w:val="Listeafsnit"/>
        <w:numPr>
          <w:ilvl w:val="0"/>
          <w:numId w:val="73"/>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virksomhedens ejere af kvalificerede andele, jf. § 5, stk. 3, i lov om finansiel virksomhed, ikke skønnes at ville modvirke en fornuftig og forsvarlig forvaltning af virksomheden,</w:t>
      </w:r>
    </w:p>
    <w:p w14:paraId="65129A68" w14:textId="79BB4BEE" w:rsidR="00025E07" w:rsidRPr="00796736" w:rsidRDefault="00025E07">
      <w:pPr>
        <w:pStyle w:val="Listeafsnit"/>
        <w:numPr>
          <w:ilvl w:val="0"/>
          <w:numId w:val="73"/>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virksomheden på alle væsentlige områder har tilstrækkelige kontrolforanstaltninger og procedurer, herunder om forebyggelse af hvidvask og terrorfinansiering i overensstemmelse med kravene i artikel 9 i </w:t>
      </w:r>
      <w:r w:rsidR="003E7020"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w:t>
      </w:r>
    </w:p>
    <w:p w14:paraId="15BA6585" w14:textId="00156D65" w:rsidR="00025E07" w:rsidRPr="00796736" w:rsidRDefault="00025E07">
      <w:pPr>
        <w:pStyle w:val="Listeafsnit"/>
        <w:numPr>
          <w:ilvl w:val="0"/>
          <w:numId w:val="73"/>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virksomheden ikke tidligere har været pålagt strafansvar for overtrædelse </w:t>
      </w:r>
      <w:r w:rsidRPr="00796736">
        <w:rPr>
          <w:rFonts w:ascii="Times New Roman" w:eastAsia="Times New Roman" w:hAnsi="Times New Roman" w:cs="Times New Roman"/>
          <w:sz w:val="24"/>
          <w:szCs w:val="24"/>
          <w:lang w:eastAsia="da-DK"/>
        </w:rPr>
        <w:t>af straffeloven, den finansielle lovgivning eller anden relevant lovgivning</w:t>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og overtrædelsen indebærer risiko for, at virksomheden misbruger registreringen.</w:t>
      </w:r>
    </w:p>
    <w:p w14:paraId="216E763E" w14:textId="2AD55BB6" w:rsidR="00AD3196" w:rsidRPr="00796736" w:rsidRDefault="00AD3196" w:rsidP="0053178C">
      <w:pPr>
        <w:spacing w:line="360" w:lineRule="auto"/>
        <w:ind w:firstLine="238"/>
        <w:rPr>
          <w:rFonts w:ascii="Times New Roman" w:hAnsi="Times New Roman" w:cs="Times New Roman"/>
          <w:sz w:val="24"/>
          <w:szCs w:val="24"/>
        </w:rPr>
      </w:pPr>
    </w:p>
    <w:p w14:paraId="2EFB2632" w14:textId="50ECA7EB" w:rsidR="00025E07" w:rsidRPr="00796736" w:rsidRDefault="00025E07" w:rsidP="0053178C">
      <w:pPr>
        <w:pStyle w:val="Typografi1"/>
        <w:ind w:left="0" w:firstLine="238"/>
        <w:rPr>
          <w:rFonts w:ascii="Times New Roman" w:eastAsia="Calibri" w:hAnsi="Times New Roman" w:cs="Times New Roman"/>
          <w:sz w:val="24"/>
          <w:szCs w:val="24"/>
        </w:rPr>
      </w:pPr>
      <w:bookmarkStart w:id="149" w:name="_Ref232596584"/>
      <w:bookmarkStart w:id="150" w:name="_Toc244879025"/>
      <w:bookmarkStart w:id="151" w:name="_Toc244880549"/>
      <w:r w:rsidRPr="00796736">
        <w:rPr>
          <w:rFonts w:ascii="Times New Roman" w:eastAsia="Calibri" w:hAnsi="Times New Roman" w:cs="Times New Roman"/>
          <w:sz w:val="24"/>
          <w:szCs w:val="24"/>
        </w:rPr>
        <w:t xml:space="preserve">En ansøgning om tilladelse til valutavekslingsvirksomhed skal indeholde de oplysninger, der er nødvendige til brug for Finanstilsynets vurdering af, om betingelserne i </w:t>
      </w:r>
      <w:r w:rsidR="00C115BA" w:rsidRPr="00796736">
        <w:rPr>
          <w:rFonts w:ascii="Times New Roman" w:eastAsia="Calibri" w:hAnsi="Times New Roman" w:cs="Times New Roman"/>
          <w:sz w:val="24"/>
          <w:szCs w:val="24"/>
        </w:rPr>
        <w:fldChar w:fldCharType="begin"/>
      </w:r>
      <w:r w:rsidR="00C115BA" w:rsidRPr="00796736">
        <w:rPr>
          <w:rFonts w:ascii="Times New Roman" w:eastAsia="Calibri" w:hAnsi="Times New Roman" w:cs="Times New Roman"/>
          <w:sz w:val="24"/>
          <w:szCs w:val="24"/>
        </w:rPr>
        <w:instrText xml:space="preserve"> REF _Ref232596553 \r \h </w:instrText>
      </w:r>
      <w:r w:rsidR="00967618" w:rsidRPr="00796736">
        <w:rPr>
          <w:rFonts w:ascii="Times New Roman" w:eastAsia="Calibri" w:hAnsi="Times New Roman" w:cs="Times New Roman"/>
          <w:sz w:val="24"/>
          <w:szCs w:val="24"/>
        </w:rPr>
        <w:instrText xml:space="preserve"> \* MERGEFORMAT </w:instrText>
      </w:r>
      <w:r w:rsidR="00C115BA" w:rsidRPr="00796736">
        <w:rPr>
          <w:rFonts w:ascii="Times New Roman" w:eastAsia="Calibri" w:hAnsi="Times New Roman" w:cs="Times New Roman"/>
          <w:sz w:val="24"/>
          <w:szCs w:val="24"/>
        </w:rPr>
      </w:r>
      <w:r w:rsidR="00C115B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41</w:t>
      </w:r>
      <w:r w:rsidR="00C115BA" w:rsidRPr="00796736">
        <w:rPr>
          <w:rFonts w:ascii="Times New Roman" w:eastAsia="Calibri" w:hAnsi="Times New Roman" w:cs="Times New Roman"/>
          <w:sz w:val="24"/>
          <w:szCs w:val="24"/>
        </w:rPr>
        <w:fldChar w:fldCharType="end"/>
      </w:r>
      <w:r w:rsidR="00C115B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er opfyldt. Ansøgningen skal som minimum indeholde følgende:</w:t>
      </w:r>
      <w:bookmarkEnd w:id="149"/>
      <w:bookmarkEnd w:id="150"/>
      <w:bookmarkEnd w:id="151"/>
    </w:p>
    <w:p w14:paraId="73F50D93" w14:textId="46F9A539" w:rsidR="00025E07" w:rsidRPr="00796736" w:rsidRDefault="00025E07">
      <w:pPr>
        <w:pStyle w:val="Listeafsnit"/>
        <w:numPr>
          <w:ilvl w:val="0"/>
          <w:numId w:val="74"/>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Oplysning om virksomhedens juridiske struktur med kopi af stiftelsesdokument og vedtægter, hvor udarbejdelsen af disse dokumenter er påkrævet i medfør af lovgivningen. </w:t>
      </w:r>
    </w:p>
    <w:p w14:paraId="1B16B033" w14:textId="2DA8A7AF" w:rsidR="00025E07" w:rsidRPr="00796736" w:rsidRDefault="00025E07">
      <w:pPr>
        <w:pStyle w:val="Listeafsnit"/>
        <w:numPr>
          <w:ilvl w:val="0"/>
          <w:numId w:val="74"/>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Adressen på virksomhedens hovedkontor. </w:t>
      </w:r>
    </w:p>
    <w:p w14:paraId="5072484D" w14:textId="6973E9A5" w:rsidR="00025E07" w:rsidRPr="00796736" w:rsidRDefault="00025E07">
      <w:pPr>
        <w:pStyle w:val="Listeafsnit"/>
        <w:numPr>
          <w:ilvl w:val="0"/>
          <w:numId w:val="74"/>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 beskrivelse af virksomhedens forretningsmodel. </w:t>
      </w:r>
    </w:p>
    <w:p w14:paraId="4B4C9F84" w14:textId="25537CF2" w:rsidR="00025E07" w:rsidRPr="00796736" w:rsidRDefault="00025E07">
      <w:pPr>
        <w:pStyle w:val="Listeafsnit"/>
        <w:numPr>
          <w:ilvl w:val="0"/>
          <w:numId w:val="74"/>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 budgetprognose for de tre kommende regnskabsår fra ansøgningstidspunktet og seneste reviderede årsregnskab, </w:t>
      </w:r>
      <w:r w:rsidR="00D5194A" w:rsidRPr="00796736">
        <w:rPr>
          <w:rFonts w:ascii="Times New Roman" w:eastAsia="Calibri" w:hAnsi="Times New Roman" w:cs="Times New Roman"/>
          <w:sz w:val="24"/>
          <w:szCs w:val="24"/>
        </w:rPr>
        <w:t>hvis</w:t>
      </w:r>
      <w:r w:rsidRPr="00796736">
        <w:rPr>
          <w:rFonts w:ascii="Times New Roman" w:eastAsia="Calibri" w:hAnsi="Times New Roman" w:cs="Times New Roman"/>
          <w:sz w:val="24"/>
          <w:szCs w:val="24"/>
        </w:rPr>
        <w:t xml:space="preserve"> et </w:t>
      </w:r>
      <w:r w:rsidR="00D5194A" w:rsidRPr="00796736">
        <w:rPr>
          <w:rFonts w:ascii="Times New Roman" w:eastAsia="Calibri" w:hAnsi="Times New Roman" w:cs="Times New Roman"/>
          <w:sz w:val="24"/>
          <w:szCs w:val="24"/>
        </w:rPr>
        <w:t>sådant er udarbejdet.</w:t>
      </w:r>
    </w:p>
    <w:p w14:paraId="55907A38" w14:textId="7A92599C" w:rsidR="00025E07" w:rsidRPr="00796736" w:rsidRDefault="00025E07">
      <w:pPr>
        <w:pStyle w:val="Listeafsnit"/>
        <w:numPr>
          <w:ilvl w:val="0"/>
          <w:numId w:val="74"/>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Oplysninger om medlemmer af virksomhedens bestyrelse og direktion eller, hvor valutaveksling udøves af en enkeltmandsvirksomhed, indehaveren eller, hvor virksomheden drives som juridisk person uden bestyrelse og direktion, den eller de ledelsesansvarlige for virksomheden og virksomhedens ejere af kvalificerede andele, jf. § 5, stk. 3, i lov om finansiel virksomhed, der dokumenterer, at kravene i henhold til </w:t>
      </w:r>
      <w:r w:rsidR="00C115BA" w:rsidRPr="00796736">
        <w:rPr>
          <w:rFonts w:ascii="Times New Roman" w:eastAsia="Calibri" w:hAnsi="Times New Roman" w:cs="Times New Roman"/>
          <w:sz w:val="24"/>
          <w:szCs w:val="24"/>
        </w:rPr>
        <w:fldChar w:fldCharType="begin"/>
      </w:r>
      <w:r w:rsidR="00C115BA" w:rsidRPr="00796736">
        <w:rPr>
          <w:rFonts w:ascii="Times New Roman" w:eastAsia="Calibri" w:hAnsi="Times New Roman" w:cs="Times New Roman"/>
          <w:sz w:val="24"/>
          <w:szCs w:val="24"/>
        </w:rPr>
        <w:instrText xml:space="preserve"> REF _Ref232596808 \r \h </w:instrText>
      </w:r>
      <w:r w:rsidR="00967618" w:rsidRPr="00796736">
        <w:rPr>
          <w:rFonts w:ascii="Times New Roman" w:eastAsia="Calibri" w:hAnsi="Times New Roman" w:cs="Times New Roman"/>
          <w:sz w:val="24"/>
          <w:szCs w:val="24"/>
        </w:rPr>
        <w:instrText xml:space="preserve"> \* MERGEFORMAT </w:instrText>
      </w:r>
      <w:r w:rsidR="00C115BA" w:rsidRPr="00796736">
        <w:rPr>
          <w:rFonts w:ascii="Times New Roman" w:eastAsia="Calibri" w:hAnsi="Times New Roman" w:cs="Times New Roman"/>
          <w:sz w:val="24"/>
          <w:szCs w:val="24"/>
        </w:rPr>
      </w:r>
      <w:r w:rsidR="00C115B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45</w:t>
      </w:r>
      <w:r w:rsidR="00C115BA" w:rsidRPr="00796736">
        <w:rPr>
          <w:rFonts w:ascii="Times New Roman" w:eastAsia="Calibri" w:hAnsi="Times New Roman" w:cs="Times New Roman"/>
          <w:sz w:val="24"/>
          <w:szCs w:val="24"/>
        </w:rPr>
        <w:fldChar w:fldCharType="end"/>
      </w:r>
      <w:r w:rsidR="00C115B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er opfyldt.</w:t>
      </w:r>
    </w:p>
    <w:p w14:paraId="22ADAC6F" w14:textId="5143D2CE" w:rsidR="00025E07" w:rsidRPr="00796736" w:rsidRDefault="00025E07">
      <w:pPr>
        <w:pStyle w:val="Listeafsnit"/>
        <w:numPr>
          <w:ilvl w:val="0"/>
          <w:numId w:val="74"/>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Oplysninger om ejere af kvalificerede andele i virksomheden, jf. § 5, stk. 3, i lov om finansiel virksomhed, eller, hvor valutaveksling udøves af en enkeltmandsvirksomhed, indehaveren og størrelsen af disses andele.</w:t>
      </w:r>
    </w:p>
    <w:p w14:paraId="7BBCDBFD" w14:textId="7C727D60" w:rsidR="00025E07" w:rsidRPr="00796736" w:rsidRDefault="00025E07">
      <w:pPr>
        <w:pStyle w:val="Listeafsnit"/>
        <w:numPr>
          <w:ilvl w:val="0"/>
          <w:numId w:val="74"/>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Oplysninger om virksomhedens forretningsgange og interne kontrolmekanismer, herunder administrative, risikostyringsmæssige og regnskabsmæssige forretningsgange, omfattende, men ikke begrænset til:</w:t>
      </w:r>
    </w:p>
    <w:p w14:paraId="1750658F" w14:textId="31B2E41A" w:rsidR="00025E07" w:rsidRPr="0053178C" w:rsidRDefault="00025E07">
      <w:pPr>
        <w:pStyle w:val="Listeafsnit"/>
        <w:numPr>
          <w:ilvl w:val="0"/>
          <w:numId w:val="75"/>
        </w:numPr>
        <w:suppressAutoHyphens/>
        <w:spacing w:line="360" w:lineRule="auto"/>
        <w:rPr>
          <w:rFonts w:ascii="Times New Roman" w:eastAsia="Calibri" w:hAnsi="Times New Roman" w:cs="Times New Roman"/>
          <w:sz w:val="24"/>
          <w:szCs w:val="24"/>
        </w:rPr>
      </w:pPr>
      <w:r w:rsidRPr="0053178C">
        <w:rPr>
          <w:rFonts w:ascii="Times New Roman" w:eastAsia="Calibri" w:hAnsi="Times New Roman" w:cs="Times New Roman"/>
          <w:sz w:val="24"/>
          <w:szCs w:val="24"/>
        </w:rPr>
        <w:t>Virksomhedens it-sikkerhedspolitik, herunder en detaljeret risikovurdering af de planlagte aktiviteter, og en beskrivelse af de forebyggende foranstaltninger, som virksomheden har foretaget for at imødegå de identificerede risici, herunder svig og misbrug af følsomme personoplysninger. </w:t>
      </w:r>
    </w:p>
    <w:p w14:paraId="0254E11D" w14:textId="78647A4B" w:rsidR="00025E07" w:rsidRPr="0053178C" w:rsidRDefault="00025E07">
      <w:pPr>
        <w:pStyle w:val="Listeafsnit"/>
        <w:numPr>
          <w:ilvl w:val="0"/>
          <w:numId w:val="75"/>
        </w:numPr>
        <w:suppressAutoHyphens/>
        <w:spacing w:line="360" w:lineRule="auto"/>
        <w:rPr>
          <w:rFonts w:ascii="Times New Roman" w:eastAsia="Calibri" w:hAnsi="Times New Roman" w:cs="Times New Roman"/>
          <w:sz w:val="24"/>
          <w:szCs w:val="24"/>
        </w:rPr>
      </w:pPr>
      <w:r w:rsidRPr="0053178C">
        <w:rPr>
          <w:rFonts w:ascii="Times New Roman" w:eastAsia="Calibri" w:hAnsi="Times New Roman" w:cs="Times New Roman"/>
          <w:sz w:val="24"/>
          <w:szCs w:val="24"/>
        </w:rPr>
        <w:t>Virksomhedens procedurer for forebyggelse af hvidvask og finansiering af terrorisme, herunder en detaljeret risikovurdering af de planlagte aktiviteter, og de forebyggende foranstaltninger, som virksomheden vil foretage for at imødegå de identificerede risici. </w:t>
      </w:r>
    </w:p>
    <w:p w14:paraId="6F81E362" w14:textId="58045007" w:rsidR="00AD3196" w:rsidRPr="00796736" w:rsidRDefault="00AD3196" w:rsidP="0053178C">
      <w:pPr>
        <w:spacing w:line="360" w:lineRule="auto"/>
        <w:ind w:firstLine="238"/>
        <w:rPr>
          <w:rFonts w:ascii="Times New Roman" w:hAnsi="Times New Roman" w:cs="Times New Roman"/>
          <w:sz w:val="24"/>
          <w:szCs w:val="24"/>
        </w:rPr>
      </w:pPr>
    </w:p>
    <w:p w14:paraId="64FD2C1F" w14:textId="1D023AC7" w:rsidR="00AD3196" w:rsidRPr="00796736" w:rsidRDefault="00025E07" w:rsidP="0053178C">
      <w:pPr>
        <w:pStyle w:val="Typografi1"/>
        <w:ind w:left="0" w:firstLine="238"/>
        <w:rPr>
          <w:rFonts w:ascii="Times New Roman" w:hAnsi="Times New Roman" w:cs="Times New Roman"/>
          <w:sz w:val="24"/>
          <w:szCs w:val="24"/>
        </w:rPr>
      </w:pPr>
      <w:bookmarkStart w:id="152" w:name="_Ref232596750"/>
      <w:bookmarkStart w:id="153" w:name="_Toc244879026"/>
      <w:bookmarkStart w:id="154" w:name="_Toc244880550"/>
      <w:r w:rsidRPr="00796736">
        <w:rPr>
          <w:rFonts w:ascii="Times New Roman" w:hAnsi="Times New Roman" w:cs="Times New Roman"/>
          <w:sz w:val="24"/>
          <w:szCs w:val="24"/>
        </w:rPr>
        <w:t>Virksomheder med tilladelse til valutavekslingsvirksomhed skal underrette Finanstilsynet, hvis der indtræder ændringer i forhold til de oplysninger, som Finanstilsynet har modtaget og lagt til grund ved meddelelse af tilladelse. Underretningen skal foretages senest 2 uger efter ændringen.</w:t>
      </w:r>
      <w:bookmarkEnd w:id="152"/>
      <w:bookmarkEnd w:id="153"/>
      <w:bookmarkEnd w:id="154"/>
    </w:p>
    <w:p w14:paraId="5F929579" w14:textId="77777777" w:rsidR="00AD3196" w:rsidRPr="00796736" w:rsidRDefault="00AD3196" w:rsidP="0053178C">
      <w:pPr>
        <w:spacing w:line="360" w:lineRule="auto"/>
        <w:ind w:firstLine="238"/>
        <w:rPr>
          <w:rFonts w:ascii="Times New Roman" w:hAnsi="Times New Roman" w:cs="Times New Roman"/>
          <w:sz w:val="24"/>
          <w:szCs w:val="24"/>
        </w:rPr>
      </w:pPr>
    </w:p>
    <w:p w14:paraId="157D3899" w14:textId="6ECE014D" w:rsidR="00AD3196" w:rsidRPr="00796736" w:rsidRDefault="00025E07" w:rsidP="0053178C">
      <w:pPr>
        <w:pStyle w:val="Typografi1"/>
        <w:ind w:left="0" w:firstLine="238"/>
        <w:rPr>
          <w:rFonts w:ascii="Times New Roman" w:hAnsi="Times New Roman" w:cs="Times New Roman"/>
          <w:sz w:val="24"/>
          <w:szCs w:val="24"/>
        </w:rPr>
      </w:pPr>
      <w:bookmarkStart w:id="155" w:name="_Ref232596786"/>
      <w:bookmarkStart w:id="156" w:name="_Toc244879027"/>
      <w:bookmarkStart w:id="157" w:name="_Toc244880551"/>
      <w:r w:rsidRPr="00796736">
        <w:rPr>
          <w:rFonts w:ascii="Times New Roman" w:hAnsi="Times New Roman" w:cs="Times New Roman"/>
          <w:sz w:val="24"/>
          <w:szCs w:val="24"/>
        </w:rPr>
        <w:t>Virksomheder med tilladelse til valutavekslingsvirksomhed skal senest den 1. april hvert år indsende en erklæring om, at virksomheden opfylder betingelserne for at opnå tilladelse efter</w:t>
      </w:r>
      <w:r w:rsidR="007645AE">
        <w:rPr>
          <w:rFonts w:ascii="Times New Roman" w:hAnsi="Times New Roman" w:cs="Times New Roman"/>
          <w:sz w:val="24"/>
          <w:szCs w:val="24"/>
        </w:rPr>
        <w:t xml:space="preserve"> §§ 40 og 41</w:t>
      </w:r>
      <w:r w:rsidRPr="00796736">
        <w:rPr>
          <w:rFonts w:ascii="Times New Roman" w:hAnsi="Times New Roman" w:cs="Times New Roman"/>
          <w:sz w:val="24"/>
          <w:szCs w:val="24"/>
        </w:rPr>
        <w:t>, og en oversigt over virksomhedens ledelse og eventuelle ejere af kvalificerede andele, jf. § 5, stk. 3, i lov om finansiel virksomhed. Erklæringen skal være underskrevet af virksomhedens bestyrelse og direktion. Drives virksomheden som juridisk person uden bestyrelse og direktion, skal erklæringen underskrives af den eller de ledelsesansvarlige for virksomheden eller af indehaveren, hvis valutaveksling udøves af en enkeltmandsvirksomhed.</w:t>
      </w:r>
      <w:bookmarkEnd w:id="155"/>
      <w:bookmarkEnd w:id="156"/>
      <w:bookmarkEnd w:id="157"/>
    </w:p>
    <w:p w14:paraId="7FF0FFCC" w14:textId="77777777" w:rsidR="00AD3196" w:rsidRPr="00796736" w:rsidRDefault="00AD3196" w:rsidP="0053178C">
      <w:pPr>
        <w:spacing w:line="360" w:lineRule="auto"/>
        <w:ind w:firstLine="238"/>
        <w:rPr>
          <w:rFonts w:ascii="Times New Roman" w:hAnsi="Times New Roman" w:cs="Times New Roman"/>
          <w:sz w:val="24"/>
          <w:szCs w:val="24"/>
        </w:rPr>
      </w:pPr>
    </w:p>
    <w:p w14:paraId="55E50C27" w14:textId="419D4323" w:rsidR="00025E07" w:rsidRPr="00796736" w:rsidRDefault="00025E07" w:rsidP="0053178C">
      <w:pPr>
        <w:pStyle w:val="Typografi1"/>
        <w:ind w:left="0" w:firstLine="238"/>
        <w:rPr>
          <w:rFonts w:ascii="Times New Roman" w:hAnsi="Times New Roman" w:cs="Times New Roman"/>
          <w:sz w:val="24"/>
          <w:szCs w:val="24"/>
        </w:rPr>
      </w:pPr>
      <w:bookmarkStart w:id="158" w:name="_Ref232596808"/>
      <w:bookmarkStart w:id="159" w:name="_Toc244879028"/>
      <w:bookmarkStart w:id="160" w:name="_Toc244880552"/>
      <w:r w:rsidRPr="00796736">
        <w:rPr>
          <w:rFonts w:ascii="Times New Roman" w:hAnsi="Times New Roman" w:cs="Times New Roman"/>
          <w:sz w:val="24"/>
          <w:szCs w:val="24"/>
        </w:rPr>
        <w:t>Et medlem</w:t>
      </w:r>
      <w:r w:rsidR="00E448A9" w:rsidRPr="00796736">
        <w:rPr>
          <w:rFonts w:ascii="Times New Roman" w:hAnsi="Times New Roman" w:cs="Times New Roman"/>
          <w:sz w:val="24"/>
          <w:szCs w:val="24"/>
        </w:rPr>
        <w:t xml:space="preserve"> af</w:t>
      </w:r>
      <w:r w:rsidRPr="00796736">
        <w:rPr>
          <w:rFonts w:ascii="Times New Roman" w:hAnsi="Times New Roman" w:cs="Times New Roman"/>
          <w:sz w:val="24"/>
          <w:szCs w:val="24"/>
        </w:rPr>
        <w:t xml:space="preserve"> den øverste ledelse, herunder bestyrelsen eller direktionen i en valutavekslingsvirksomhed eller, hvor valutaveksling udøves af en enkeltmandsvirksomhed, indehaveren eller, hvor valutavekslingsvirksomheden drives som juridisk person uden bestyrelse eller direktion, den eller de ledelsesansvarlige,</w:t>
      </w:r>
      <w:bookmarkEnd w:id="158"/>
      <w:bookmarkEnd w:id="159"/>
      <w:bookmarkEnd w:id="160"/>
      <w:r w:rsidRPr="00796736">
        <w:rPr>
          <w:rFonts w:ascii="Times New Roman" w:hAnsi="Times New Roman" w:cs="Times New Roman"/>
          <w:sz w:val="24"/>
          <w:szCs w:val="24"/>
        </w:rPr>
        <w:t xml:space="preserve"> </w:t>
      </w:r>
    </w:p>
    <w:p w14:paraId="4F1016A0" w14:textId="05E3C05A" w:rsidR="00025E07" w:rsidRPr="00796736" w:rsidRDefault="00025E07">
      <w:pPr>
        <w:pStyle w:val="Listeafsnit"/>
        <w:numPr>
          <w:ilvl w:val="0"/>
          <w:numId w:val="76"/>
        </w:numPr>
        <w:spacing w:line="360" w:lineRule="auto"/>
        <w:rPr>
          <w:rFonts w:ascii="Times New Roman" w:hAnsi="Times New Roman" w:cs="Times New Roman"/>
          <w:sz w:val="24"/>
          <w:szCs w:val="24"/>
        </w:rPr>
      </w:pPr>
      <w:r w:rsidRPr="00796736">
        <w:rPr>
          <w:rFonts w:ascii="Times New Roman" w:hAnsi="Times New Roman" w:cs="Times New Roman"/>
          <w:sz w:val="24"/>
          <w:szCs w:val="24"/>
        </w:rPr>
        <w:t>skal have tilstrækkelig viden, faglig kompetence og erfaring til at kunne varetage hvervet eller stillingen,</w:t>
      </w:r>
    </w:p>
    <w:p w14:paraId="3740C587" w14:textId="3A260DD4" w:rsidR="00025E07" w:rsidRPr="00796736" w:rsidRDefault="00025E07">
      <w:pPr>
        <w:pStyle w:val="Listeafsnit"/>
        <w:numPr>
          <w:ilvl w:val="0"/>
          <w:numId w:val="76"/>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skal have et tilstrækkelig godt omdømme og kunne udvise hæderlighed, integritet og tilstrækkelig uafhængighed ved varetagelsen af hvervet eller stillingen, </w:t>
      </w:r>
    </w:p>
    <w:p w14:paraId="4AE697DF" w14:textId="02260F5C" w:rsidR="00025E07" w:rsidRPr="00796736" w:rsidRDefault="00025E07">
      <w:pPr>
        <w:pStyle w:val="Listeafsnit"/>
        <w:numPr>
          <w:ilvl w:val="0"/>
          <w:numId w:val="76"/>
        </w:numPr>
        <w:spacing w:line="360" w:lineRule="auto"/>
        <w:rPr>
          <w:rFonts w:ascii="Times New Roman" w:hAnsi="Times New Roman" w:cs="Times New Roman"/>
          <w:sz w:val="24"/>
          <w:szCs w:val="24"/>
        </w:rPr>
      </w:pPr>
      <w:r w:rsidRPr="00796736">
        <w:rPr>
          <w:rFonts w:ascii="Times New Roman" w:hAnsi="Times New Roman" w:cs="Times New Roman"/>
          <w:sz w:val="24"/>
          <w:szCs w:val="24"/>
        </w:rPr>
        <w:t>må ikke være pålagt strafansvar for overtrædelse af straffeloven, den finansielle lovgivning eller anden relevant lovgivning, hvis overtrædelsen indebærer risiko for, at vedkommende ikke kan varetage sit hverv eller sin stilling på betryggende måde,</w:t>
      </w:r>
    </w:p>
    <w:p w14:paraId="0B5D18F6" w14:textId="2F748098" w:rsidR="00025E07" w:rsidRPr="00796736" w:rsidRDefault="00025E07">
      <w:pPr>
        <w:pStyle w:val="Listeafsnit"/>
        <w:numPr>
          <w:ilvl w:val="0"/>
          <w:numId w:val="76"/>
        </w:numPr>
        <w:spacing w:line="360" w:lineRule="auto"/>
        <w:rPr>
          <w:rFonts w:ascii="Times New Roman" w:hAnsi="Times New Roman" w:cs="Times New Roman"/>
          <w:sz w:val="24"/>
          <w:szCs w:val="24"/>
        </w:rPr>
      </w:pPr>
      <w:r w:rsidRPr="00796736">
        <w:rPr>
          <w:rFonts w:ascii="Times New Roman" w:hAnsi="Times New Roman" w:cs="Times New Roman"/>
          <w:sz w:val="24"/>
          <w:szCs w:val="24"/>
        </w:rPr>
        <w:t>må ikke have indgivet begæring om eller være under rekonstruktionsbehandling, konkurs eller gældssanering, og</w:t>
      </w:r>
    </w:p>
    <w:p w14:paraId="19225835" w14:textId="42F08753" w:rsidR="00025E07" w:rsidRPr="00796736" w:rsidRDefault="00025E07">
      <w:pPr>
        <w:pStyle w:val="Listeafsnit"/>
        <w:numPr>
          <w:ilvl w:val="0"/>
          <w:numId w:val="76"/>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må ikke have udvist en sådan adfærd, at der er grund til at antage, at vedkommende ikke vil varetage hvervet eller stillingen på forsvarlig måde. </w:t>
      </w:r>
    </w:p>
    <w:p w14:paraId="2E9BD8AA" w14:textId="24718C88" w:rsidR="00AD3196" w:rsidRPr="00796736" w:rsidRDefault="00AD3196"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00760B78" w:rsidRPr="00796736">
        <w:rPr>
          <w:rFonts w:ascii="Times New Roman" w:hAnsi="Times New Roman" w:cs="Times New Roman"/>
          <w:i/>
          <w:iCs/>
          <w:sz w:val="24"/>
          <w:szCs w:val="24"/>
        </w:rPr>
        <w:t>.</w:t>
      </w:r>
      <w:r w:rsidR="00025E07" w:rsidRPr="00796736">
        <w:rPr>
          <w:rFonts w:ascii="Times New Roman" w:eastAsia="Calibri" w:hAnsi="Times New Roman" w:cs="Times New Roman"/>
          <w:sz w:val="24"/>
          <w:szCs w:val="24"/>
        </w:rPr>
        <w:t xml:space="preserve"> Stk. 1, nr. 2-5 finder tilsvarende anvendelse for</w:t>
      </w:r>
      <w:r w:rsidR="00D5194A" w:rsidRPr="00796736">
        <w:rPr>
          <w:rFonts w:ascii="Times New Roman" w:eastAsia="Calibri" w:hAnsi="Times New Roman" w:cs="Times New Roman"/>
          <w:sz w:val="24"/>
          <w:szCs w:val="24"/>
        </w:rPr>
        <w:t xml:space="preserve"> valutavekslingsvirksomheders</w:t>
      </w:r>
      <w:r w:rsidR="00025E07" w:rsidRPr="00796736">
        <w:rPr>
          <w:rFonts w:ascii="Times New Roman" w:eastAsia="Calibri" w:hAnsi="Times New Roman" w:cs="Times New Roman"/>
          <w:sz w:val="24"/>
          <w:szCs w:val="24"/>
        </w:rPr>
        <w:t xml:space="preserve"> ejere af kvalificerede andele, jf. § 5, stk. 3, i lov om finansiel virksomhed</w:t>
      </w:r>
      <w:r w:rsidRPr="00796736">
        <w:rPr>
          <w:rFonts w:ascii="Times New Roman" w:hAnsi="Times New Roman" w:cs="Times New Roman"/>
          <w:sz w:val="24"/>
          <w:szCs w:val="24"/>
        </w:rPr>
        <w:t xml:space="preserve">. </w:t>
      </w:r>
    </w:p>
    <w:p w14:paraId="272CD4C8" w14:textId="6FB5BA18" w:rsidR="00025E07" w:rsidRPr="00796736" w:rsidRDefault="00025E07" w:rsidP="0053178C">
      <w:pPr>
        <w:suppressAutoHyphens/>
        <w:spacing w:line="360" w:lineRule="auto"/>
        <w:ind w:firstLine="238"/>
        <w:rPr>
          <w:rFonts w:ascii="Times New Roman" w:eastAsia="Calibri" w:hAnsi="Times New Roman" w:cs="Times New Roman"/>
          <w:sz w:val="24"/>
          <w:szCs w:val="24"/>
        </w:rPr>
      </w:pPr>
      <w:r w:rsidRPr="00796736">
        <w:rPr>
          <w:rFonts w:ascii="Times New Roman" w:eastAsia="Calibri" w:hAnsi="Times New Roman" w:cs="Times New Roman"/>
          <w:i/>
          <w:iCs/>
          <w:sz w:val="24"/>
          <w:szCs w:val="24"/>
        </w:rPr>
        <w:t>Stk. 3. </w:t>
      </w:r>
      <w:r w:rsidRPr="00796736">
        <w:rPr>
          <w:rFonts w:ascii="Times New Roman" w:eastAsia="Calibri" w:hAnsi="Times New Roman" w:cs="Times New Roman"/>
          <w:sz w:val="24"/>
          <w:szCs w:val="24"/>
        </w:rPr>
        <w:t xml:space="preserve"> Når en person tiltræder et hverv som bestyrelsesmedlem eller en stilling som direktør i en valutavekslingsvirksomhed, påser Finanstilsynet, at personen opfylder egnetheds- og hæderlighedskravene i stk. 1. </w:t>
      </w:r>
      <w:r w:rsidR="0042556A" w:rsidRPr="00796736">
        <w:rPr>
          <w:rFonts w:ascii="Times New Roman" w:eastAsia="Calibri" w:hAnsi="Times New Roman" w:cs="Times New Roman"/>
          <w:sz w:val="24"/>
          <w:szCs w:val="24"/>
        </w:rPr>
        <w:t>Finanstilsynet træffer afgørelse om</w:t>
      </w:r>
      <w:r w:rsidRPr="00796736">
        <w:rPr>
          <w:rFonts w:ascii="Times New Roman" w:eastAsia="Calibri" w:hAnsi="Times New Roman" w:cs="Times New Roman"/>
          <w:sz w:val="24"/>
          <w:szCs w:val="24"/>
        </w:rPr>
        <w:t>, hvorvidt personen kan bestride hvervet eller stillingen i den pågældende virksomhed. 1. og 2. pkt. finder tilsvarende anvendelse for indehaveren af en valutavekslingsvirksomhed, der er en enkeltmandsvirksomhed, ledelsesansvarlige i en valutavekslingsvirksomhed, der drives uden direktion og bestyrelse, og ejere af kvalificerede andele i en valutavekslingsvirksomhed, jf. § 5, stk. 3, i lov om finansiel virksomhed.</w:t>
      </w:r>
    </w:p>
    <w:p w14:paraId="56EAA45A" w14:textId="2B443663" w:rsidR="00025E07" w:rsidRPr="00796736" w:rsidRDefault="00025E07" w:rsidP="0053178C">
      <w:pPr>
        <w:suppressAutoHyphens/>
        <w:spacing w:line="360" w:lineRule="auto"/>
        <w:ind w:firstLine="238"/>
        <w:rPr>
          <w:rFonts w:ascii="Times New Roman" w:eastAsia="Calibri" w:hAnsi="Times New Roman" w:cs="Times New Roman"/>
          <w:sz w:val="24"/>
          <w:szCs w:val="24"/>
        </w:rPr>
      </w:pPr>
      <w:r w:rsidRPr="00796736">
        <w:rPr>
          <w:rFonts w:ascii="Times New Roman" w:eastAsia="Calibri" w:hAnsi="Times New Roman" w:cs="Times New Roman"/>
          <w:i/>
          <w:iCs/>
          <w:sz w:val="24"/>
          <w:szCs w:val="24"/>
        </w:rPr>
        <w:t>Stk. 4. </w:t>
      </w:r>
      <w:r w:rsidRPr="00796736">
        <w:rPr>
          <w:rFonts w:ascii="Times New Roman" w:eastAsia="Calibri" w:hAnsi="Times New Roman" w:cs="Times New Roman"/>
          <w:sz w:val="24"/>
          <w:szCs w:val="24"/>
        </w:rPr>
        <w:t> Vurderer Finanstilsynet, at personen ikke opfylder kravene i stk. 1, nr. 2-5, skal afgørelsens varighed fremgå af afgørelsen.</w:t>
      </w:r>
    </w:p>
    <w:p w14:paraId="3312CC71" w14:textId="1AB34D05" w:rsidR="00025E07" w:rsidRPr="00796736" w:rsidRDefault="00025E07" w:rsidP="0053178C">
      <w:pPr>
        <w:suppressAutoHyphens/>
        <w:spacing w:line="360" w:lineRule="auto"/>
        <w:ind w:firstLine="238"/>
        <w:rPr>
          <w:rFonts w:ascii="Times New Roman" w:eastAsia="Calibri" w:hAnsi="Times New Roman" w:cs="Times New Roman"/>
          <w:sz w:val="24"/>
          <w:szCs w:val="24"/>
        </w:rPr>
      </w:pPr>
      <w:r w:rsidRPr="00796736">
        <w:rPr>
          <w:rFonts w:ascii="Times New Roman" w:eastAsia="Calibri" w:hAnsi="Times New Roman" w:cs="Times New Roman"/>
          <w:i/>
          <w:iCs/>
          <w:sz w:val="24"/>
          <w:szCs w:val="24"/>
        </w:rPr>
        <w:t>Stk. 5. </w:t>
      </w:r>
      <w:r w:rsidRPr="00796736">
        <w:rPr>
          <w:rFonts w:ascii="Times New Roman" w:eastAsia="Calibri" w:hAnsi="Times New Roman" w:cs="Times New Roman"/>
          <w:sz w:val="24"/>
          <w:szCs w:val="24"/>
        </w:rPr>
        <w:t xml:space="preserve"> Finanstilsynet kan i særlige tilfælde, hvor Finanstilsynet vurderer, at en person ikke har tilstrækkelige faglige forudsætninger eller erfaring i forhold til den stilling som medlem af direktionen, som den pågældende vurderes til, </w:t>
      </w:r>
      <w:r w:rsidR="0042556A" w:rsidRPr="00796736">
        <w:rPr>
          <w:rFonts w:ascii="Times New Roman" w:eastAsia="Calibri" w:hAnsi="Times New Roman" w:cs="Times New Roman"/>
          <w:sz w:val="24"/>
          <w:szCs w:val="24"/>
        </w:rPr>
        <w:t>træffe afgørelse om</w:t>
      </w:r>
      <w:r w:rsidRPr="00796736">
        <w:rPr>
          <w:rFonts w:ascii="Times New Roman" w:eastAsia="Calibri" w:hAnsi="Times New Roman" w:cs="Times New Roman"/>
          <w:sz w:val="24"/>
          <w:szCs w:val="24"/>
        </w:rPr>
        <w:t>, at personen kan bestride stillingen under nærmere fastsatte betingelser.</w:t>
      </w:r>
    </w:p>
    <w:p w14:paraId="7339D2C2" w14:textId="0D422420" w:rsidR="00025E07" w:rsidRPr="00796736" w:rsidRDefault="00025E07" w:rsidP="0053178C">
      <w:pPr>
        <w:suppressAutoHyphens/>
        <w:spacing w:line="360" w:lineRule="auto"/>
        <w:ind w:firstLine="238"/>
        <w:rPr>
          <w:rFonts w:ascii="Times New Roman" w:eastAsia="Calibri" w:hAnsi="Times New Roman" w:cs="Times New Roman"/>
          <w:sz w:val="24"/>
          <w:szCs w:val="24"/>
        </w:rPr>
      </w:pPr>
      <w:r w:rsidRPr="00796736">
        <w:rPr>
          <w:rFonts w:ascii="Times New Roman" w:eastAsia="Calibri" w:hAnsi="Times New Roman" w:cs="Times New Roman"/>
          <w:i/>
          <w:iCs/>
          <w:sz w:val="24"/>
          <w:szCs w:val="24"/>
        </w:rPr>
        <w:t xml:space="preserve">Stk. 6. </w:t>
      </w:r>
      <w:r w:rsidRPr="00796736">
        <w:rPr>
          <w:rFonts w:ascii="Times New Roman" w:eastAsia="Calibri" w:hAnsi="Times New Roman" w:cs="Times New Roman"/>
          <w:sz w:val="24"/>
          <w:szCs w:val="24"/>
        </w:rPr>
        <w:t xml:space="preserve">Et medlem </w:t>
      </w:r>
      <w:r w:rsidR="00D5194A" w:rsidRPr="00796736">
        <w:rPr>
          <w:rFonts w:ascii="Times New Roman" w:eastAsia="Calibri" w:hAnsi="Times New Roman" w:cs="Times New Roman"/>
          <w:sz w:val="24"/>
          <w:szCs w:val="24"/>
        </w:rPr>
        <w:t xml:space="preserve">af </w:t>
      </w:r>
      <w:r w:rsidRPr="00796736">
        <w:rPr>
          <w:rFonts w:ascii="Times New Roman" w:eastAsia="Calibri" w:hAnsi="Times New Roman" w:cs="Times New Roman"/>
          <w:sz w:val="24"/>
          <w:szCs w:val="24"/>
        </w:rPr>
        <w:t xml:space="preserve">den øverste ledelse, herunder bestyrelsen eller direktionen i en valutavekslingsvirksomhed eller, hvor valutaveksling udøves af en enkeltmandsvirksomhed, indehaveren eller, hvor valutavekslingsvirksomheden drives som juridisk person uden bestyrelse eller direktion, den eller de ledelsesansvarlige og valutavekslingsvirksomhedens ejere af kvalificerede andele, jf. § 5, stk. 3, i lov om finansiel virksomhed, skal </w:t>
      </w:r>
      <w:r w:rsidR="0042556A" w:rsidRPr="00796736">
        <w:rPr>
          <w:rFonts w:ascii="Times New Roman" w:eastAsia="Calibri" w:hAnsi="Times New Roman" w:cs="Times New Roman"/>
          <w:sz w:val="24"/>
          <w:szCs w:val="24"/>
        </w:rPr>
        <w:t xml:space="preserve">meddele Finanstilsynet oplysninger </w:t>
      </w:r>
      <w:r w:rsidRPr="00796736">
        <w:rPr>
          <w:rFonts w:ascii="Times New Roman" w:eastAsia="Calibri" w:hAnsi="Times New Roman" w:cs="Times New Roman"/>
          <w:sz w:val="24"/>
          <w:szCs w:val="24"/>
        </w:rPr>
        <w:t xml:space="preserve">om forhold som nævnt i stk. 1 i forbindelse med indtræden i virksomhedens ledelse, indtræden som ejer af kvalificerede andele eller, hvor valutaveksling udøves af en enkeltmandsvirksomhed, i forbindelse med ansøgning om tilladelse, jf. </w:t>
      </w:r>
      <w:r w:rsidR="00C115BA" w:rsidRPr="00796736">
        <w:rPr>
          <w:rFonts w:ascii="Times New Roman" w:eastAsia="Calibri" w:hAnsi="Times New Roman" w:cs="Times New Roman"/>
          <w:sz w:val="24"/>
          <w:szCs w:val="24"/>
        </w:rPr>
        <w:fldChar w:fldCharType="begin"/>
      </w:r>
      <w:r w:rsidR="00C115BA" w:rsidRPr="00796736">
        <w:rPr>
          <w:rFonts w:ascii="Times New Roman" w:eastAsia="Calibri" w:hAnsi="Times New Roman" w:cs="Times New Roman"/>
          <w:sz w:val="24"/>
          <w:szCs w:val="24"/>
        </w:rPr>
        <w:instrText xml:space="preserve"> REF _Ref232596553 \r \h </w:instrText>
      </w:r>
      <w:r w:rsidR="00967618" w:rsidRPr="00796736">
        <w:rPr>
          <w:rFonts w:ascii="Times New Roman" w:eastAsia="Calibri" w:hAnsi="Times New Roman" w:cs="Times New Roman"/>
          <w:sz w:val="24"/>
          <w:szCs w:val="24"/>
        </w:rPr>
        <w:instrText xml:space="preserve"> \* MERGEFORMAT </w:instrText>
      </w:r>
      <w:r w:rsidR="00C115BA" w:rsidRPr="00796736">
        <w:rPr>
          <w:rFonts w:ascii="Times New Roman" w:eastAsia="Calibri" w:hAnsi="Times New Roman" w:cs="Times New Roman"/>
          <w:sz w:val="24"/>
          <w:szCs w:val="24"/>
        </w:rPr>
      </w:r>
      <w:r w:rsidR="00C115B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41</w:t>
      </w:r>
      <w:r w:rsidR="00C115BA"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w:t>
      </w:r>
      <w:r w:rsidR="00D5194A" w:rsidRPr="00796736">
        <w:rPr>
          <w:rFonts w:ascii="Times New Roman" w:eastAsia="Calibri" w:hAnsi="Times New Roman" w:cs="Times New Roman"/>
          <w:sz w:val="24"/>
          <w:szCs w:val="24"/>
        </w:rPr>
        <w:t xml:space="preserve">De i 1. pkt. nævnte personer </w:t>
      </w:r>
      <w:r w:rsidRPr="00796736">
        <w:rPr>
          <w:rFonts w:ascii="Times New Roman" w:eastAsia="Calibri" w:hAnsi="Times New Roman" w:cs="Times New Roman"/>
          <w:sz w:val="24"/>
          <w:szCs w:val="24"/>
        </w:rPr>
        <w:t>skal endvidere meddeles Finanstilsynet oplysninger om forhold som nævnt i stk. 1, nr. 2-5, hvis forholdene efterfølgende ændrer sig. Meddelelsen skal ske senest 2 uger efter ændringen.</w:t>
      </w:r>
    </w:p>
    <w:p w14:paraId="0C5746CE" w14:textId="77777777" w:rsidR="00025E07" w:rsidRPr="00796736" w:rsidRDefault="00025E07" w:rsidP="0053178C">
      <w:pPr>
        <w:suppressAutoHyphens/>
        <w:spacing w:line="360" w:lineRule="auto"/>
        <w:ind w:firstLine="238"/>
        <w:rPr>
          <w:rFonts w:ascii="Times New Roman" w:eastAsia="Calibri" w:hAnsi="Times New Roman" w:cs="Times New Roman"/>
          <w:sz w:val="24"/>
          <w:szCs w:val="24"/>
        </w:rPr>
      </w:pPr>
    </w:p>
    <w:p w14:paraId="4F71EF0F" w14:textId="77777777" w:rsidR="0042556A" w:rsidRPr="00796736" w:rsidRDefault="0042556A" w:rsidP="0053178C">
      <w:pPr>
        <w:pStyle w:val="Typografi1"/>
        <w:ind w:left="0" w:firstLine="238"/>
        <w:rPr>
          <w:rFonts w:ascii="Times New Roman" w:hAnsi="Times New Roman" w:cs="Times New Roman"/>
          <w:sz w:val="24"/>
          <w:szCs w:val="24"/>
        </w:rPr>
      </w:pPr>
      <w:bookmarkStart w:id="161" w:name="_Ref232596829"/>
      <w:bookmarkStart w:id="162" w:name="_Ref239165562"/>
      <w:bookmarkStart w:id="163" w:name="_Toc244879029"/>
      <w:bookmarkStart w:id="164" w:name="_Toc244880553"/>
      <w:r w:rsidRPr="00796736">
        <w:rPr>
          <w:rFonts w:ascii="Times New Roman" w:hAnsi="Times New Roman" w:cs="Times New Roman"/>
          <w:sz w:val="24"/>
          <w:szCs w:val="24"/>
        </w:rPr>
        <w:t>Finanstilsynet kan inddrage en virksomheds tilladelse til valutavekslingsvirksomhed, hvis</w:t>
      </w:r>
      <w:bookmarkEnd w:id="161"/>
      <w:r w:rsidRPr="00796736">
        <w:rPr>
          <w:rFonts w:ascii="Times New Roman" w:hAnsi="Times New Roman" w:cs="Times New Roman"/>
          <w:sz w:val="24"/>
          <w:szCs w:val="24"/>
        </w:rPr>
        <w:t xml:space="preserve"> virksomheden</w:t>
      </w:r>
      <w:bookmarkEnd w:id="162"/>
      <w:bookmarkEnd w:id="163"/>
      <w:bookmarkEnd w:id="164"/>
    </w:p>
    <w:p w14:paraId="495CDF4A" w14:textId="05A1BBB0" w:rsidR="00025E07" w:rsidRPr="00796736" w:rsidRDefault="00025E07">
      <w:pPr>
        <w:pStyle w:val="Listeafsnit"/>
        <w:numPr>
          <w:ilvl w:val="0"/>
          <w:numId w:val="77"/>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anmoder herom,</w:t>
      </w:r>
    </w:p>
    <w:p w14:paraId="0AEEE9AF" w14:textId="2DD2DE66" w:rsidR="00025E07" w:rsidRPr="00796736" w:rsidRDefault="00025E07">
      <w:pPr>
        <w:pStyle w:val="Listeafsnit"/>
        <w:numPr>
          <w:ilvl w:val="0"/>
          <w:numId w:val="77"/>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ikke har brugt tilladelsen inden for en frist af 12 måneder fra tilladelsen er meddelt,</w:t>
      </w:r>
    </w:p>
    <w:p w14:paraId="0A87A336" w14:textId="37198F1F" w:rsidR="00025E07" w:rsidRPr="00796736" w:rsidRDefault="00025E07">
      <w:pPr>
        <w:pStyle w:val="Listeafsnit"/>
        <w:numPr>
          <w:ilvl w:val="0"/>
          <w:numId w:val="77"/>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ikke har udøvet valutavekslingsvirksomhed i en periode på over 6 måneder,</w:t>
      </w:r>
    </w:p>
    <w:p w14:paraId="108D10C8" w14:textId="385DBEA2" w:rsidR="00025E07" w:rsidRPr="00796736" w:rsidRDefault="00025E07">
      <w:pPr>
        <w:pStyle w:val="Listeafsnit"/>
        <w:numPr>
          <w:ilvl w:val="0"/>
          <w:numId w:val="77"/>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har opnået tilladelsen på baggrund af urigtige eller vildledende oplysninger eller på anden uretmæssig vis, </w:t>
      </w:r>
    </w:p>
    <w:p w14:paraId="0EC98B0C" w14:textId="3D933D98" w:rsidR="00025E07" w:rsidRPr="00796736" w:rsidRDefault="00025E07">
      <w:pPr>
        <w:pStyle w:val="Listeafsnit"/>
        <w:numPr>
          <w:ilvl w:val="0"/>
          <w:numId w:val="77"/>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ikke længere opfylder betingelserne for meddelelse af tilladelse,</w:t>
      </w:r>
    </w:p>
    <w:p w14:paraId="64E7FC49" w14:textId="568AF919" w:rsidR="00025E07" w:rsidRPr="00796736" w:rsidRDefault="00025E07">
      <w:pPr>
        <w:pStyle w:val="Listeafsnit"/>
        <w:numPr>
          <w:ilvl w:val="0"/>
          <w:numId w:val="77"/>
        </w:num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er registreret som ophørt i Det Centrale Virksomhedsregister, eller</w:t>
      </w:r>
    </w:p>
    <w:p w14:paraId="32C66DD0" w14:textId="68CC46EE" w:rsidR="00025E07" w:rsidRPr="00796736" w:rsidRDefault="00025E07">
      <w:pPr>
        <w:pStyle w:val="Listeafsnit"/>
        <w:numPr>
          <w:ilvl w:val="0"/>
          <w:numId w:val="77"/>
        </w:num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ikke overholder bestemmelserne </w:t>
      </w:r>
      <w:r w:rsidR="00AF770E" w:rsidRPr="00796736">
        <w:rPr>
          <w:rFonts w:ascii="Times New Roman" w:hAnsi="Times New Roman" w:cs="Times New Roman"/>
          <w:sz w:val="24"/>
          <w:szCs w:val="24"/>
        </w:rPr>
        <w:t xml:space="preserve">i hvidvaskforordningen, denne lov, pengeoverførselsforordningen eller </w:t>
      </w:r>
      <w:r w:rsidR="00AF770E"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r w:rsidR="00AF770E" w:rsidRPr="00796736">
        <w:rPr>
          <w:rFonts w:ascii="Times New Roman" w:hAnsi="Times New Roman" w:cs="Times New Roman"/>
          <w:sz w:val="24"/>
          <w:szCs w:val="24"/>
        </w:rPr>
        <w:t>.</w:t>
      </w:r>
    </w:p>
    <w:p w14:paraId="4ED67470" w14:textId="77777777" w:rsidR="008C3613" w:rsidRPr="00796736" w:rsidRDefault="008C3613" w:rsidP="0053178C">
      <w:pPr>
        <w:spacing w:line="360" w:lineRule="auto"/>
        <w:ind w:firstLine="238"/>
        <w:rPr>
          <w:rFonts w:ascii="Times New Roman" w:hAnsi="Times New Roman" w:cs="Times New Roman"/>
          <w:sz w:val="24"/>
          <w:szCs w:val="24"/>
        </w:rPr>
      </w:pPr>
    </w:p>
    <w:p w14:paraId="248C266E" w14:textId="77777777" w:rsidR="00A63B39" w:rsidRPr="00796736" w:rsidRDefault="00A63B39" w:rsidP="0053178C">
      <w:pPr>
        <w:spacing w:line="360" w:lineRule="auto"/>
        <w:ind w:firstLine="238"/>
        <w:rPr>
          <w:rFonts w:ascii="Times New Roman" w:hAnsi="Times New Roman" w:cs="Times New Roman"/>
          <w:sz w:val="24"/>
          <w:szCs w:val="24"/>
        </w:rPr>
      </w:pPr>
    </w:p>
    <w:p w14:paraId="1C7AFA9D" w14:textId="4C9B18B3" w:rsidR="00AD6592" w:rsidRPr="00796736" w:rsidRDefault="00AD6592" w:rsidP="0053178C">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 xml:space="preserve">Kapitel </w:t>
      </w:r>
      <w:r w:rsidR="00C06317" w:rsidRPr="00796736">
        <w:rPr>
          <w:rFonts w:ascii="Times New Roman" w:hAnsi="Times New Roman" w:cs="Times New Roman"/>
          <w:sz w:val="24"/>
          <w:szCs w:val="24"/>
        </w:rPr>
        <w:t>1</w:t>
      </w:r>
      <w:r w:rsidR="00B61E4E" w:rsidRPr="00796736">
        <w:rPr>
          <w:rFonts w:ascii="Times New Roman" w:hAnsi="Times New Roman" w:cs="Times New Roman"/>
          <w:sz w:val="24"/>
          <w:szCs w:val="24"/>
        </w:rPr>
        <w:t>1</w:t>
      </w:r>
    </w:p>
    <w:p w14:paraId="57957A20" w14:textId="1AA8CAFA" w:rsidR="00AD6592" w:rsidRPr="00796736" w:rsidRDefault="00AD6592"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Registrering hos Finanstilsynet</w:t>
      </w:r>
    </w:p>
    <w:p w14:paraId="5CEAF7AD" w14:textId="77777777" w:rsidR="00AD6592" w:rsidRPr="00796736" w:rsidRDefault="00AD6592" w:rsidP="0053178C">
      <w:pPr>
        <w:spacing w:line="360" w:lineRule="auto"/>
        <w:ind w:firstLine="238"/>
        <w:rPr>
          <w:rFonts w:ascii="Times New Roman" w:hAnsi="Times New Roman" w:cs="Times New Roman"/>
          <w:sz w:val="24"/>
          <w:szCs w:val="24"/>
        </w:rPr>
      </w:pPr>
    </w:p>
    <w:p w14:paraId="1058235B" w14:textId="23AF3F60" w:rsidR="00B71C89" w:rsidRPr="00796736" w:rsidRDefault="001C4E85" w:rsidP="0053178C">
      <w:pPr>
        <w:pStyle w:val="Typografi1"/>
        <w:ind w:left="0" w:firstLine="238"/>
        <w:rPr>
          <w:rFonts w:ascii="Times New Roman" w:hAnsi="Times New Roman" w:cs="Times New Roman"/>
          <w:sz w:val="24"/>
          <w:szCs w:val="24"/>
        </w:rPr>
      </w:pPr>
      <w:bookmarkStart w:id="165" w:name="_Ref232596860"/>
      <w:bookmarkStart w:id="166" w:name="_Ref243467920"/>
      <w:bookmarkStart w:id="167" w:name="_Toc244879030"/>
      <w:bookmarkStart w:id="168" w:name="_Toc244880554"/>
      <w:r w:rsidRPr="00796736">
        <w:rPr>
          <w:rFonts w:ascii="Times New Roman" w:hAnsi="Times New Roman" w:cs="Times New Roman"/>
          <w:sz w:val="24"/>
          <w:szCs w:val="24"/>
        </w:rPr>
        <w:t xml:space="preserve">Virksomheder og personer, der er </w:t>
      </w:r>
      <w:r w:rsidR="00AF770E" w:rsidRPr="00796736">
        <w:rPr>
          <w:rFonts w:ascii="Times New Roman" w:hAnsi="Times New Roman" w:cs="Times New Roman"/>
          <w:sz w:val="24"/>
          <w:szCs w:val="24"/>
        </w:rPr>
        <w:t>omfattet af</w:t>
      </w:r>
      <w:r w:rsidRPr="00796736">
        <w:rPr>
          <w:rFonts w:ascii="Times New Roman" w:hAnsi="Times New Roman" w:cs="Times New Roman"/>
          <w:sz w:val="24"/>
          <w:szCs w:val="24"/>
        </w:rPr>
        <w:t xml:space="preserve">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_Ref232592818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C115BA" w:rsidRPr="00796736">
        <w:rPr>
          <w:rFonts w:ascii="Times New Roman" w:hAnsi="Times New Roman" w:cs="Times New Roman"/>
          <w:sz w:val="24"/>
          <w:szCs w:val="24"/>
        </w:rPr>
        <w:fldChar w:fldCharType="end"/>
      </w:r>
      <w:r w:rsidR="006F7353" w:rsidRPr="00796736">
        <w:rPr>
          <w:rFonts w:ascii="Times New Roman" w:hAnsi="Times New Roman" w:cs="Times New Roman"/>
          <w:sz w:val="24"/>
          <w:szCs w:val="24"/>
        </w:rPr>
        <w:t xml:space="preserve">, </w:t>
      </w:r>
      <w:r w:rsidRPr="00796736">
        <w:rPr>
          <w:rFonts w:ascii="Times New Roman" w:hAnsi="Times New Roman" w:cs="Times New Roman"/>
          <w:sz w:val="24"/>
          <w:szCs w:val="24"/>
        </w:rPr>
        <w:t>nr. 8, crowdfundingformidlere</w:t>
      </w:r>
      <w:r w:rsidR="00D5194A" w:rsidRPr="00796736">
        <w:rPr>
          <w:rFonts w:ascii="Times New Roman" w:hAnsi="Times New Roman" w:cs="Times New Roman"/>
          <w:sz w:val="24"/>
          <w:szCs w:val="24"/>
        </w:rPr>
        <w:t xml:space="preserve">, jf.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_Ref232592818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C115BA" w:rsidRPr="00796736">
        <w:rPr>
          <w:rFonts w:ascii="Times New Roman" w:hAnsi="Times New Roman" w:cs="Times New Roman"/>
          <w:sz w:val="24"/>
          <w:szCs w:val="24"/>
        </w:rPr>
        <w:fldChar w:fldCharType="end"/>
      </w:r>
      <w:r w:rsidR="006F7353" w:rsidRPr="00796736">
        <w:rPr>
          <w:rFonts w:ascii="Times New Roman" w:hAnsi="Times New Roman" w:cs="Times New Roman"/>
          <w:sz w:val="24"/>
          <w:szCs w:val="24"/>
        </w:rPr>
        <w:t xml:space="preserve">, </w:t>
      </w:r>
      <w:r w:rsidRPr="00796736">
        <w:rPr>
          <w:rFonts w:ascii="Times New Roman" w:hAnsi="Times New Roman" w:cs="Times New Roman"/>
          <w:sz w:val="24"/>
          <w:szCs w:val="24"/>
        </w:rPr>
        <w:t>nr. 1</w:t>
      </w:r>
      <w:r w:rsidR="006F7353" w:rsidRPr="00796736">
        <w:rPr>
          <w:rFonts w:ascii="Times New Roman" w:hAnsi="Times New Roman" w:cs="Times New Roman"/>
          <w:sz w:val="24"/>
          <w:szCs w:val="24"/>
        </w:rPr>
        <w:t>4</w:t>
      </w:r>
      <w:r w:rsidRPr="00796736">
        <w:rPr>
          <w:rFonts w:ascii="Times New Roman" w:hAnsi="Times New Roman" w:cs="Times New Roman"/>
          <w:sz w:val="24"/>
          <w:szCs w:val="24"/>
        </w:rPr>
        <w:t xml:space="preserve">, samt </w:t>
      </w:r>
      <w:r w:rsidR="009339FC" w:rsidRPr="00796736">
        <w:rPr>
          <w:rFonts w:ascii="Times New Roman" w:hAnsi="Times New Roman" w:cs="Times New Roman"/>
          <w:sz w:val="24"/>
          <w:szCs w:val="24"/>
        </w:rPr>
        <w:t>ikke</w:t>
      </w:r>
      <w:r w:rsidRPr="00796736">
        <w:rPr>
          <w:rFonts w:ascii="Times New Roman" w:hAnsi="Times New Roman" w:cs="Times New Roman"/>
          <w:sz w:val="24"/>
          <w:szCs w:val="24"/>
        </w:rPr>
        <w:t>finansielle holdingselskaber med blandet aktivitet</w:t>
      </w:r>
      <w:r w:rsidR="00D5194A" w:rsidRPr="00796736">
        <w:rPr>
          <w:rFonts w:ascii="Times New Roman" w:hAnsi="Times New Roman" w:cs="Times New Roman"/>
          <w:sz w:val="24"/>
          <w:szCs w:val="24"/>
        </w:rPr>
        <w:t xml:space="preserve">, jf.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_Ref232592818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w:t>
      </w:r>
      <w:r w:rsidR="009339FC" w:rsidRPr="00796736">
        <w:rPr>
          <w:rFonts w:ascii="Times New Roman" w:hAnsi="Times New Roman" w:cs="Times New Roman"/>
          <w:sz w:val="24"/>
          <w:szCs w:val="24"/>
        </w:rPr>
        <w:t>32, litra a</w:t>
      </w:r>
      <w:r w:rsidRPr="00796736">
        <w:rPr>
          <w:rFonts w:ascii="Times New Roman" w:hAnsi="Times New Roman" w:cs="Times New Roman"/>
          <w:sz w:val="24"/>
          <w:szCs w:val="24"/>
        </w:rPr>
        <w:t xml:space="preserve">, </w:t>
      </w:r>
      <w:r w:rsidR="0042556A" w:rsidRPr="00796736">
        <w:rPr>
          <w:rFonts w:ascii="Times New Roman" w:hAnsi="Times New Roman" w:cs="Times New Roman"/>
          <w:sz w:val="24"/>
          <w:szCs w:val="24"/>
        </w:rPr>
        <w:t>skal registreres hos Finanstilsynet</w:t>
      </w:r>
      <w:r w:rsidRPr="00796736">
        <w:rPr>
          <w:rFonts w:ascii="Times New Roman" w:hAnsi="Times New Roman" w:cs="Times New Roman"/>
          <w:sz w:val="24"/>
          <w:szCs w:val="24"/>
        </w:rPr>
        <w:t xml:space="preserve">, før de kan udøve aktiviteter, der er nævnt i bilag 1, udøve crowdfundingformidling eller drive virksomhed som </w:t>
      </w:r>
      <w:r w:rsidR="009339FC" w:rsidRPr="00796736">
        <w:rPr>
          <w:rFonts w:ascii="Times New Roman" w:hAnsi="Times New Roman" w:cs="Times New Roman"/>
          <w:sz w:val="24"/>
          <w:szCs w:val="24"/>
        </w:rPr>
        <w:t>ikke</w:t>
      </w:r>
      <w:r w:rsidRPr="00796736">
        <w:rPr>
          <w:rFonts w:ascii="Times New Roman" w:hAnsi="Times New Roman" w:cs="Times New Roman"/>
          <w:sz w:val="24"/>
          <w:szCs w:val="24"/>
        </w:rPr>
        <w:t>finansielt holdingselskab med blandet aktivitet</w:t>
      </w:r>
      <w:r w:rsidR="009339FC" w:rsidRPr="00796736">
        <w:rPr>
          <w:rFonts w:ascii="Times New Roman" w:hAnsi="Times New Roman" w:cs="Times New Roman"/>
          <w:sz w:val="24"/>
          <w:szCs w:val="24"/>
        </w:rPr>
        <w:t xml:space="preserve">, </w:t>
      </w:r>
      <w:bookmarkEnd w:id="165"/>
      <w:r w:rsidR="009339FC" w:rsidRPr="00796736">
        <w:rPr>
          <w:rFonts w:ascii="Times New Roman" w:hAnsi="Times New Roman" w:cs="Times New Roman"/>
          <w:sz w:val="24"/>
          <w:szCs w:val="24"/>
        </w:rPr>
        <w:t xml:space="preserve">når </w:t>
      </w:r>
      <w:r w:rsidR="00111B25" w:rsidRPr="00796736">
        <w:rPr>
          <w:rFonts w:ascii="Times New Roman" w:hAnsi="Times New Roman" w:cs="Times New Roman"/>
          <w:sz w:val="24"/>
          <w:szCs w:val="24"/>
        </w:rPr>
        <w:t>holding</w:t>
      </w:r>
      <w:r w:rsidR="009339FC" w:rsidRPr="00796736">
        <w:rPr>
          <w:rFonts w:ascii="Times New Roman" w:hAnsi="Times New Roman" w:cs="Times New Roman"/>
          <w:sz w:val="24"/>
          <w:szCs w:val="24"/>
        </w:rPr>
        <w:t>selskabet har et datterselskab, der udøver virksomhed som crowdfundingtjenesteudbyder eller crowdfundingformidler som defineret i artikel 3, nr. 3, litra h, eller som kreditformidler, som defineret i artikel 3, nr. 3, litra k, i hvidvaskforordningen, og når holdingselskabet udøver virksomhed i Danmark.</w:t>
      </w:r>
      <w:bookmarkEnd w:id="166"/>
      <w:bookmarkEnd w:id="167"/>
      <w:bookmarkEnd w:id="168"/>
    </w:p>
    <w:p w14:paraId="7977354E" w14:textId="6316C36C" w:rsidR="001C4E85" w:rsidRPr="00796736" w:rsidRDefault="001C4E85"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Et finansielt holdingselskab med blandet aktivitet, </w:t>
      </w:r>
      <w:r w:rsidR="003F667B" w:rsidRPr="00796736">
        <w:rPr>
          <w:rFonts w:ascii="Times New Roman" w:hAnsi="Times New Roman" w:cs="Times New Roman"/>
          <w:sz w:val="24"/>
          <w:szCs w:val="24"/>
        </w:rPr>
        <w:t xml:space="preserve">jf. § 2, nr. </w:t>
      </w:r>
      <w:r w:rsidR="00F46F83" w:rsidRPr="00796736">
        <w:rPr>
          <w:rFonts w:ascii="Times New Roman" w:hAnsi="Times New Roman" w:cs="Times New Roman"/>
          <w:sz w:val="24"/>
          <w:szCs w:val="24"/>
        </w:rPr>
        <w:t>19</w:t>
      </w:r>
      <w:r w:rsidRPr="00796736">
        <w:rPr>
          <w:rFonts w:ascii="Times New Roman" w:hAnsi="Times New Roman" w:cs="Times New Roman"/>
          <w:sz w:val="24"/>
          <w:szCs w:val="24"/>
        </w:rPr>
        <w:t xml:space="preserve">, </w:t>
      </w:r>
      <w:r w:rsidR="0042556A" w:rsidRPr="00796736">
        <w:rPr>
          <w:rFonts w:ascii="Times New Roman" w:hAnsi="Times New Roman" w:cs="Times New Roman"/>
          <w:sz w:val="24"/>
          <w:szCs w:val="24"/>
        </w:rPr>
        <w:t xml:space="preserve">skal registreres </w:t>
      </w:r>
      <w:r w:rsidRPr="00796736">
        <w:rPr>
          <w:rFonts w:ascii="Times New Roman" w:hAnsi="Times New Roman" w:cs="Times New Roman"/>
          <w:sz w:val="24"/>
          <w:szCs w:val="24"/>
        </w:rPr>
        <w:t xml:space="preserve">hos Finanstilsynet, </w:t>
      </w:r>
      <w:r w:rsidR="00F46F83" w:rsidRPr="00796736">
        <w:rPr>
          <w:rFonts w:ascii="Times New Roman" w:hAnsi="Times New Roman" w:cs="Times New Roman"/>
          <w:sz w:val="24"/>
          <w:szCs w:val="24"/>
        </w:rPr>
        <w:t xml:space="preserve">når </w:t>
      </w:r>
      <w:r w:rsidR="00111B25" w:rsidRPr="00796736">
        <w:rPr>
          <w:rFonts w:ascii="Times New Roman" w:hAnsi="Times New Roman" w:cs="Times New Roman"/>
          <w:sz w:val="24"/>
          <w:szCs w:val="24"/>
        </w:rPr>
        <w:t>holdingselskabet udøver virksomhed i Danmark.</w:t>
      </w:r>
    </w:p>
    <w:p w14:paraId="6D44F788" w14:textId="77777777" w:rsidR="001C4E85" w:rsidRPr="00796736" w:rsidRDefault="001C4E85" w:rsidP="0053178C">
      <w:pPr>
        <w:spacing w:line="360" w:lineRule="auto"/>
        <w:ind w:firstLine="238"/>
        <w:rPr>
          <w:rFonts w:ascii="Times New Roman" w:hAnsi="Times New Roman" w:cs="Times New Roman"/>
          <w:sz w:val="24"/>
          <w:szCs w:val="24"/>
        </w:rPr>
      </w:pPr>
    </w:p>
    <w:p w14:paraId="09D9028A" w14:textId="5E31590D" w:rsidR="001C4E85" w:rsidRPr="00796736" w:rsidRDefault="0042556A" w:rsidP="0053178C">
      <w:pPr>
        <w:pStyle w:val="Typografi1"/>
        <w:ind w:left="0" w:firstLine="238"/>
        <w:rPr>
          <w:rFonts w:ascii="Times New Roman" w:hAnsi="Times New Roman" w:cs="Times New Roman"/>
          <w:sz w:val="24"/>
          <w:szCs w:val="24"/>
        </w:rPr>
      </w:pPr>
      <w:bookmarkStart w:id="169" w:name="_Ref232596888"/>
      <w:bookmarkStart w:id="170" w:name="_Toc244879031"/>
      <w:bookmarkStart w:id="171" w:name="_Toc244880555"/>
      <w:r w:rsidRPr="00796736">
        <w:rPr>
          <w:rFonts w:ascii="Times New Roman" w:hAnsi="Times New Roman" w:cs="Times New Roman"/>
          <w:sz w:val="24"/>
          <w:szCs w:val="24"/>
        </w:rPr>
        <w:t>Finanstilsynet kan registrere virksomheder og personer</w:t>
      </w:r>
      <w:r w:rsidR="001C4E85" w:rsidRPr="00796736">
        <w:rPr>
          <w:rFonts w:ascii="Times New Roman" w:hAnsi="Times New Roman" w:cs="Times New Roman"/>
          <w:sz w:val="24"/>
          <w:szCs w:val="24"/>
        </w:rPr>
        <w:t xml:space="preserve">, der er omfattet af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001C4E85" w:rsidRPr="00796736">
        <w:rPr>
          <w:rFonts w:ascii="Times New Roman" w:hAnsi="Times New Roman" w:cs="Times New Roman"/>
          <w:sz w:val="24"/>
          <w:szCs w:val="24"/>
        </w:rPr>
        <w:t>, stk. 1 og 2, hvis</w:t>
      </w:r>
      <w:bookmarkEnd w:id="169"/>
      <w:bookmarkEnd w:id="170"/>
      <w:bookmarkEnd w:id="171"/>
    </w:p>
    <w:p w14:paraId="65430B6C" w14:textId="5F680770" w:rsidR="001C4E85" w:rsidRPr="00796736" w:rsidRDefault="001C4E85">
      <w:pPr>
        <w:pStyle w:val="Listeafsnit"/>
        <w:numPr>
          <w:ilvl w:val="0"/>
          <w:numId w:val="78"/>
        </w:numPr>
        <w:spacing w:line="360" w:lineRule="auto"/>
        <w:rPr>
          <w:rFonts w:ascii="Times New Roman" w:hAnsi="Times New Roman" w:cs="Times New Roman"/>
          <w:sz w:val="24"/>
          <w:szCs w:val="24"/>
        </w:rPr>
      </w:pPr>
      <w:r w:rsidRPr="00796736">
        <w:rPr>
          <w:rFonts w:ascii="Times New Roman" w:hAnsi="Times New Roman" w:cs="Times New Roman"/>
          <w:sz w:val="24"/>
          <w:szCs w:val="24"/>
        </w:rPr>
        <w:t>virksomheden har hovedkontor og hjemsted i Danmark,</w:t>
      </w:r>
    </w:p>
    <w:p w14:paraId="581A1D47" w14:textId="47EF3F96" w:rsidR="001C4E85" w:rsidRPr="00796736" w:rsidRDefault="00AF770E">
      <w:pPr>
        <w:pStyle w:val="Listeafsnit"/>
        <w:numPr>
          <w:ilvl w:val="0"/>
          <w:numId w:val="78"/>
        </w:numPr>
        <w:spacing w:line="360" w:lineRule="auto"/>
        <w:rPr>
          <w:rFonts w:ascii="Times New Roman" w:hAnsi="Times New Roman" w:cs="Times New Roman"/>
          <w:sz w:val="24"/>
          <w:szCs w:val="24"/>
        </w:rPr>
      </w:pPr>
      <w:r w:rsidRPr="00796736">
        <w:rPr>
          <w:rFonts w:ascii="Times New Roman" w:hAnsi="Times New Roman" w:cs="Times New Roman"/>
          <w:sz w:val="24"/>
          <w:szCs w:val="24"/>
        </w:rPr>
        <w:t>medlemmerne af virksomhedens</w:t>
      </w:r>
      <w:r w:rsidR="000C23F9" w:rsidRPr="00796736">
        <w:rPr>
          <w:rFonts w:ascii="Times New Roman" w:hAnsi="Times New Roman" w:cs="Times New Roman"/>
          <w:sz w:val="24"/>
          <w:szCs w:val="24"/>
        </w:rPr>
        <w:t xml:space="preserve"> øverste ledelse, herunder</w:t>
      </w:r>
      <w:r w:rsidRPr="00796736">
        <w:rPr>
          <w:rFonts w:ascii="Times New Roman" w:hAnsi="Times New Roman" w:cs="Times New Roman"/>
          <w:sz w:val="24"/>
          <w:szCs w:val="24"/>
        </w:rPr>
        <w:t xml:space="preserve"> bestyrelse og direktion, indehaveren, hvor virksomheden drives som enkeltmandsvirksomhed, eller den eller de for virksomheden ledelsesansvarlige, hvor virksomheden drives som juridisk person uden bestyrelse og direktion, opfylder kravene i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_Ref232596960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C115BA" w:rsidRPr="00796736">
        <w:rPr>
          <w:rFonts w:ascii="Times New Roman" w:hAnsi="Times New Roman" w:cs="Times New Roman"/>
          <w:sz w:val="24"/>
          <w:szCs w:val="24"/>
        </w:rPr>
        <w:fldChar w:fldCharType="end"/>
      </w:r>
      <w:r w:rsidR="00810633" w:rsidRPr="00796736">
        <w:rPr>
          <w:rFonts w:ascii="Times New Roman" w:hAnsi="Times New Roman" w:cs="Times New Roman"/>
          <w:sz w:val="24"/>
          <w:szCs w:val="24"/>
        </w:rPr>
        <w:t>,</w:t>
      </w:r>
      <w:r w:rsidR="00B163BF" w:rsidRPr="00796736">
        <w:rPr>
          <w:rFonts w:ascii="Times New Roman" w:hAnsi="Times New Roman" w:cs="Times New Roman"/>
          <w:sz w:val="24"/>
          <w:szCs w:val="24"/>
        </w:rPr>
        <w:t xml:space="preserve"> </w:t>
      </w:r>
      <w:r w:rsidR="000808CE">
        <w:rPr>
          <w:rFonts w:ascii="Times New Roman" w:hAnsi="Times New Roman" w:cs="Times New Roman"/>
          <w:sz w:val="24"/>
          <w:szCs w:val="24"/>
        </w:rPr>
        <w:t>og</w:t>
      </w:r>
    </w:p>
    <w:p w14:paraId="7CE20DF9" w14:textId="3282DEAE" w:rsidR="001C4E85" w:rsidRPr="00796736" w:rsidRDefault="001C4E85">
      <w:pPr>
        <w:pStyle w:val="Listeafsnit"/>
        <w:numPr>
          <w:ilvl w:val="0"/>
          <w:numId w:val="78"/>
        </w:numPr>
        <w:spacing w:line="360" w:lineRule="auto"/>
        <w:rPr>
          <w:rFonts w:ascii="Times New Roman" w:hAnsi="Times New Roman" w:cs="Times New Roman"/>
          <w:sz w:val="24"/>
          <w:szCs w:val="24"/>
        </w:rPr>
      </w:pPr>
      <w:r w:rsidRPr="00796736">
        <w:rPr>
          <w:rFonts w:ascii="Times New Roman" w:hAnsi="Times New Roman" w:cs="Times New Roman"/>
          <w:sz w:val="24"/>
          <w:szCs w:val="24"/>
        </w:rPr>
        <w:t>virksomheden ikke tidligere har været pålagt strafansvar for overtrædelse af straffeloven, den finansielle lovgivning eller anden relevant lovgivning</w:t>
      </w:r>
      <w:r w:rsidR="00565814" w:rsidRPr="00796736">
        <w:rPr>
          <w:rFonts w:ascii="Times New Roman" w:hAnsi="Times New Roman" w:cs="Times New Roman"/>
          <w:sz w:val="24"/>
          <w:szCs w:val="24"/>
        </w:rPr>
        <w:t xml:space="preserve">, hvor </w:t>
      </w:r>
      <w:r w:rsidRPr="00796736">
        <w:rPr>
          <w:rFonts w:ascii="Times New Roman" w:hAnsi="Times New Roman" w:cs="Times New Roman"/>
          <w:sz w:val="24"/>
          <w:szCs w:val="24"/>
        </w:rPr>
        <w:t>overtrædelsen indebærer risiko for, at virksomheden misbruger registreringen.</w:t>
      </w:r>
    </w:p>
    <w:p w14:paraId="073EF9DA" w14:textId="77777777" w:rsidR="001C4E85" w:rsidRPr="00796736" w:rsidRDefault="001C4E85" w:rsidP="0053178C">
      <w:pPr>
        <w:spacing w:line="360" w:lineRule="auto"/>
        <w:ind w:firstLine="238"/>
        <w:rPr>
          <w:rFonts w:ascii="Times New Roman" w:hAnsi="Times New Roman" w:cs="Times New Roman"/>
          <w:sz w:val="24"/>
          <w:szCs w:val="24"/>
        </w:rPr>
      </w:pPr>
    </w:p>
    <w:p w14:paraId="1603E55B" w14:textId="7C1A5B14" w:rsidR="001C4E85" w:rsidRPr="00796736" w:rsidRDefault="001C4E85" w:rsidP="0053178C">
      <w:pPr>
        <w:pStyle w:val="Typografi1"/>
        <w:ind w:left="0" w:firstLine="238"/>
        <w:rPr>
          <w:rFonts w:ascii="Times New Roman" w:hAnsi="Times New Roman" w:cs="Times New Roman"/>
          <w:sz w:val="24"/>
          <w:szCs w:val="24"/>
        </w:rPr>
      </w:pPr>
      <w:bookmarkStart w:id="172" w:name="_Ref232596904"/>
      <w:bookmarkStart w:id="173" w:name="_Toc244879032"/>
      <w:bookmarkStart w:id="174" w:name="_Toc244880556"/>
      <w:r w:rsidRPr="00796736">
        <w:rPr>
          <w:rFonts w:ascii="Times New Roman" w:hAnsi="Times New Roman" w:cs="Times New Roman"/>
          <w:sz w:val="24"/>
          <w:szCs w:val="24"/>
        </w:rPr>
        <w:t xml:space="preserve">Virksomheder, der registreres i henhold til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2, </w:t>
      </w:r>
      <w:r w:rsidR="6F4E2C32" w:rsidRPr="10F92E68">
        <w:rPr>
          <w:rFonts w:ascii="Times New Roman" w:hAnsi="Times New Roman" w:cs="Times New Roman"/>
          <w:sz w:val="24"/>
          <w:szCs w:val="24"/>
        </w:rPr>
        <w:t xml:space="preserve">med undtagelse af virksomheder og personer omfattet af </w:t>
      </w:r>
      <w:r w:rsidRPr="10F92E68">
        <w:rPr>
          <w:rFonts w:ascii="Times New Roman" w:hAnsi="Times New Roman" w:cs="Times New Roman"/>
          <w:sz w:val="24"/>
          <w:szCs w:val="24"/>
        </w:rPr>
        <w:fldChar w:fldCharType="begin"/>
      </w:r>
      <w:r w:rsidRPr="10F92E68">
        <w:rPr>
          <w:rFonts w:ascii="Times New Roman" w:hAnsi="Times New Roman" w:cs="Times New Roman"/>
          <w:sz w:val="24"/>
          <w:szCs w:val="24"/>
        </w:rPr>
        <w:instrText xml:space="preserve"> REF _Ref232592818 \r \h  \* MERGEFORMAT </w:instrText>
      </w:r>
      <w:r w:rsidRPr="10F92E68">
        <w:rPr>
          <w:rFonts w:ascii="Times New Roman" w:hAnsi="Times New Roman" w:cs="Times New Roman"/>
          <w:sz w:val="24"/>
          <w:szCs w:val="24"/>
        </w:rPr>
      </w:r>
      <w:r w:rsidRPr="10F92E68">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10F92E68">
        <w:rPr>
          <w:rFonts w:ascii="Times New Roman" w:hAnsi="Times New Roman" w:cs="Times New Roman"/>
          <w:sz w:val="24"/>
          <w:szCs w:val="24"/>
        </w:rPr>
        <w:fldChar w:fldCharType="end"/>
      </w:r>
      <w:r w:rsidR="6F4E2C32" w:rsidRPr="10F92E68">
        <w:rPr>
          <w:rFonts w:ascii="Times New Roman" w:hAnsi="Times New Roman" w:cs="Times New Roman"/>
          <w:sz w:val="24"/>
          <w:szCs w:val="24"/>
        </w:rPr>
        <w:t xml:space="preserve">, nr. 8, </w:t>
      </w:r>
      <w:r w:rsidR="0042556A" w:rsidRPr="10F92E68">
        <w:rPr>
          <w:rFonts w:ascii="Times New Roman" w:hAnsi="Times New Roman" w:cs="Times New Roman"/>
          <w:sz w:val="24"/>
          <w:szCs w:val="24"/>
        </w:rPr>
        <w:t xml:space="preserve">skal underrette </w:t>
      </w:r>
      <w:r w:rsidRPr="10F92E68">
        <w:rPr>
          <w:rFonts w:ascii="Times New Roman" w:hAnsi="Times New Roman" w:cs="Times New Roman"/>
          <w:sz w:val="24"/>
          <w:szCs w:val="24"/>
        </w:rPr>
        <w:t>Finanstilsynet, hvis der indtræder ændringer i forhold til de oplysninger, som Finanstilsynet har modtaget og lagt til grund ved registreringen. Underretningen skal foretages senest 2 uger efter ændringen.</w:t>
      </w:r>
      <w:bookmarkEnd w:id="172"/>
      <w:bookmarkEnd w:id="173"/>
      <w:bookmarkEnd w:id="174"/>
    </w:p>
    <w:p w14:paraId="2E82A0A3" w14:textId="77777777" w:rsidR="001C4E85" w:rsidRPr="00796736" w:rsidRDefault="001C4E85" w:rsidP="0053178C">
      <w:pPr>
        <w:spacing w:line="360" w:lineRule="auto"/>
        <w:ind w:firstLine="238"/>
        <w:rPr>
          <w:rFonts w:ascii="Times New Roman" w:hAnsi="Times New Roman" w:cs="Times New Roman"/>
          <w:sz w:val="24"/>
          <w:szCs w:val="24"/>
        </w:rPr>
      </w:pPr>
    </w:p>
    <w:p w14:paraId="6459591E" w14:textId="118CDE29" w:rsidR="001C4E85" w:rsidRPr="00094262" w:rsidRDefault="001C4E85" w:rsidP="0053178C">
      <w:pPr>
        <w:pStyle w:val="Typografi1"/>
        <w:ind w:left="0" w:firstLine="238"/>
        <w:rPr>
          <w:rFonts w:ascii="Times New Roman" w:hAnsi="Times New Roman" w:cs="Times New Roman"/>
          <w:sz w:val="24"/>
          <w:szCs w:val="24"/>
        </w:rPr>
      </w:pPr>
      <w:bookmarkStart w:id="175" w:name="_Ref232596931"/>
      <w:bookmarkStart w:id="176" w:name="_Toc244879033"/>
      <w:bookmarkStart w:id="177" w:name="_Toc244880557"/>
      <w:r w:rsidRPr="00094262">
        <w:rPr>
          <w:rFonts w:ascii="Times New Roman" w:hAnsi="Times New Roman" w:cs="Times New Roman"/>
          <w:sz w:val="24"/>
          <w:szCs w:val="24"/>
        </w:rPr>
        <w:t xml:space="preserve">Virksomheder, der er registreret hos Finanstilsynet i henhold til </w:t>
      </w:r>
      <w:r w:rsidR="00C115BA" w:rsidRPr="00094262">
        <w:rPr>
          <w:rFonts w:ascii="Times New Roman" w:hAnsi="Times New Roman" w:cs="Times New Roman"/>
          <w:sz w:val="24"/>
          <w:szCs w:val="24"/>
        </w:rPr>
        <w:fldChar w:fldCharType="begin"/>
      </w:r>
      <w:r w:rsidR="00C115BA" w:rsidRPr="00094262">
        <w:rPr>
          <w:rFonts w:ascii="Times New Roman" w:hAnsi="Times New Roman" w:cs="Times New Roman"/>
          <w:sz w:val="24"/>
          <w:szCs w:val="24"/>
        </w:rPr>
        <w:instrText xml:space="preserve"> REF _Ref232596860 \r \h </w:instrText>
      </w:r>
      <w:r w:rsidR="00967618" w:rsidRPr="00094262">
        <w:rPr>
          <w:rFonts w:ascii="Times New Roman" w:hAnsi="Times New Roman" w:cs="Times New Roman"/>
          <w:sz w:val="24"/>
          <w:szCs w:val="24"/>
        </w:rPr>
        <w:instrText xml:space="preserve"> \* MERGEFORMAT </w:instrText>
      </w:r>
      <w:r w:rsidR="00C115BA" w:rsidRPr="00094262">
        <w:rPr>
          <w:rFonts w:ascii="Times New Roman" w:hAnsi="Times New Roman" w:cs="Times New Roman"/>
          <w:sz w:val="24"/>
          <w:szCs w:val="24"/>
        </w:rPr>
      </w:r>
      <w:r w:rsidR="00C115BA" w:rsidRPr="00094262">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094262">
        <w:rPr>
          <w:rFonts w:ascii="Times New Roman" w:hAnsi="Times New Roman" w:cs="Times New Roman"/>
          <w:sz w:val="24"/>
          <w:szCs w:val="24"/>
        </w:rPr>
        <w:fldChar w:fldCharType="end"/>
      </w:r>
      <w:r w:rsidR="00C115BA" w:rsidRPr="00094262">
        <w:rPr>
          <w:rFonts w:ascii="Times New Roman" w:hAnsi="Times New Roman" w:cs="Times New Roman"/>
          <w:sz w:val="24"/>
          <w:szCs w:val="24"/>
        </w:rPr>
        <w:t xml:space="preserve">, </w:t>
      </w:r>
      <w:r w:rsidRPr="00094262">
        <w:rPr>
          <w:rFonts w:ascii="Times New Roman" w:hAnsi="Times New Roman" w:cs="Times New Roman"/>
          <w:sz w:val="24"/>
          <w:szCs w:val="24"/>
        </w:rPr>
        <w:t xml:space="preserve">stk. 1 og 2, med undtagelse af virksomheder og personer omfattet af </w:t>
      </w:r>
      <w:r w:rsidR="00C115BA" w:rsidRPr="00094262">
        <w:rPr>
          <w:rFonts w:ascii="Times New Roman" w:hAnsi="Times New Roman" w:cs="Times New Roman"/>
          <w:sz w:val="24"/>
          <w:szCs w:val="24"/>
        </w:rPr>
        <w:fldChar w:fldCharType="begin"/>
      </w:r>
      <w:r w:rsidR="00C115BA" w:rsidRPr="00094262">
        <w:rPr>
          <w:rFonts w:ascii="Times New Roman" w:hAnsi="Times New Roman" w:cs="Times New Roman"/>
          <w:sz w:val="24"/>
          <w:szCs w:val="24"/>
        </w:rPr>
        <w:instrText xml:space="preserve"> REF _Ref232592818 \r \h </w:instrText>
      </w:r>
      <w:r w:rsidR="00967618" w:rsidRPr="00094262">
        <w:rPr>
          <w:rFonts w:ascii="Times New Roman" w:hAnsi="Times New Roman" w:cs="Times New Roman"/>
          <w:sz w:val="24"/>
          <w:szCs w:val="24"/>
        </w:rPr>
        <w:instrText xml:space="preserve"> \* MERGEFORMAT </w:instrText>
      </w:r>
      <w:r w:rsidR="00C115BA" w:rsidRPr="00094262">
        <w:rPr>
          <w:rFonts w:ascii="Times New Roman" w:hAnsi="Times New Roman" w:cs="Times New Roman"/>
          <w:sz w:val="24"/>
          <w:szCs w:val="24"/>
        </w:rPr>
      </w:r>
      <w:r w:rsidR="00C115BA" w:rsidRPr="00094262">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C115BA" w:rsidRPr="00094262">
        <w:rPr>
          <w:rFonts w:ascii="Times New Roman" w:hAnsi="Times New Roman" w:cs="Times New Roman"/>
          <w:sz w:val="24"/>
          <w:szCs w:val="24"/>
        </w:rPr>
        <w:fldChar w:fldCharType="end"/>
      </w:r>
      <w:r w:rsidRPr="00094262">
        <w:rPr>
          <w:rFonts w:ascii="Times New Roman" w:hAnsi="Times New Roman" w:cs="Times New Roman"/>
          <w:sz w:val="24"/>
          <w:szCs w:val="24"/>
        </w:rPr>
        <w:t xml:space="preserve">, nr. 8, </w:t>
      </w:r>
      <w:r w:rsidR="00094262" w:rsidRPr="00094262">
        <w:rPr>
          <w:rFonts w:ascii="Times New Roman" w:eastAsia="Calibri" w:hAnsi="Times New Roman" w:cs="Times New Roman"/>
          <w:iCs/>
          <w:sz w:val="24"/>
          <w:szCs w:val="24"/>
        </w:rPr>
        <w:t>skal senest den 1. april hvert år til Finanstilsynet indsende en oversigt over virksomhedens ledelse og reelle ejere samt en erklæring om, at virksomhedens ledelse ikke er pålagt strafansvar for overtrædelse af straffeloven, den finansielle lovgivning eller anden relevant lovgivning, og at de reelle ejere ikke er pålagt strafansvar for overtrædelse af straffeloven, den finansielle lovgivning eller anden relevant lovgivning. Erklæringen skal være underskrevet af virksomhedens bestyrelse og direktion. Drives virksomheden som juridisk person uden bestyrelse og direktion, skal erklæringen underskrives af den eller de ledelsesansvarlige for virksomheden</w:t>
      </w:r>
      <w:r w:rsidRPr="00094262">
        <w:rPr>
          <w:rFonts w:ascii="Times New Roman" w:hAnsi="Times New Roman" w:cs="Times New Roman"/>
          <w:sz w:val="24"/>
          <w:szCs w:val="24"/>
        </w:rPr>
        <w:t>.</w:t>
      </w:r>
      <w:bookmarkEnd w:id="175"/>
      <w:bookmarkEnd w:id="176"/>
      <w:bookmarkEnd w:id="177"/>
    </w:p>
    <w:p w14:paraId="52BCADD0" w14:textId="77777777" w:rsidR="001C4E85" w:rsidRPr="00796736" w:rsidRDefault="001C4E85" w:rsidP="0053178C">
      <w:pPr>
        <w:spacing w:line="360" w:lineRule="auto"/>
        <w:ind w:firstLine="238"/>
        <w:rPr>
          <w:rFonts w:ascii="Times New Roman" w:hAnsi="Times New Roman" w:cs="Times New Roman"/>
          <w:sz w:val="24"/>
          <w:szCs w:val="24"/>
        </w:rPr>
      </w:pPr>
    </w:p>
    <w:p w14:paraId="01AB7A84" w14:textId="6D2458A3" w:rsidR="00111B25" w:rsidRPr="00796736" w:rsidRDefault="00DC63A6" w:rsidP="0053178C">
      <w:pPr>
        <w:pStyle w:val="Typografi1"/>
        <w:ind w:left="0" w:firstLine="238"/>
        <w:rPr>
          <w:rFonts w:ascii="Times New Roman" w:hAnsi="Times New Roman" w:cs="Times New Roman"/>
          <w:sz w:val="24"/>
          <w:szCs w:val="24"/>
        </w:rPr>
      </w:pPr>
      <w:bookmarkStart w:id="178" w:name="_Ref243927795"/>
      <w:bookmarkStart w:id="179" w:name="_Ref232596960"/>
      <w:bookmarkStart w:id="180" w:name="_Toc244879034"/>
      <w:bookmarkStart w:id="181" w:name="_Toc244880558"/>
      <w:r w:rsidRPr="00796736">
        <w:rPr>
          <w:rFonts w:ascii="Times New Roman" w:hAnsi="Times New Roman" w:cs="Times New Roman"/>
          <w:sz w:val="24"/>
          <w:szCs w:val="24"/>
        </w:rPr>
        <w:t xml:space="preserve">Et medlem af øverste eller daglige ledelse, herunder bestyrelsen eller direktionen, i en virksomhed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_Ref232596860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eller, hvor virksomheden udøves af en enkeltmandsvirksomhed, indehaveren eller, hvor virksomheden drives som juridisk person uden øverste eller daglige ledelse, den eller de ledelsesansvarlige, må ikke være pålagt strafansvar for overtrædelse af straffeloven, den finansielle lovgivning eller anden relevant lovgivning, hvis overtrædelsen indebærer en risiko for, at vedkommende ikke kan varetage sit hverv eller sin stilling på en betryggende måde.</w:t>
      </w:r>
      <w:bookmarkEnd w:id="178"/>
      <w:bookmarkEnd w:id="180"/>
      <w:bookmarkEnd w:id="181"/>
      <w:r w:rsidRPr="00796736">
        <w:rPr>
          <w:rFonts w:ascii="Times New Roman" w:hAnsi="Times New Roman" w:cs="Times New Roman"/>
          <w:sz w:val="24"/>
          <w:szCs w:val="24"/>
        </w:rPr>
        <w:t xml:space="preserve">  </w:t>
      </w:r>
    </w:p>
    <w:p w14:paraId="5517784C" w14:textId="30E973B6" w:rsidR="00111B25" w:rsidRPr="00796736" w:rsidRDefault="00111B25" w:rsidP="00303E15">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71376D" w:rsidRPr="00796736">
        <w:rPr>
          <w:rFonts w:ascii="Times New Roman" w:hAnsi="Times New Roman" w:cs="Times New Roman"/>
          <w:sz w:val="24"/>
          <w:szCs w:val="24"/>
        </w:rPr>
        <w:t xml:space="preserve">Virksomheden, der er omfattet af </w:t>
      </w:r>
      <w:r w:rsidR="0071376D" w:rsidRPr="00796736">
        <w:rPr>
          <w:rFonts w:ascii="Times New Roman" w:hAnsi="Times New Roman" w:cs="Times New Roman"/>
          <w:sz w:val="24"/>
          <w:szCs w:val="24"/>
        </w:rPr>
        <w:fldChar w:fldCharType="begin"/>
      </w:r>
      <w:r w:rsidR="0071376D" w:rsidRPr="00796736">
        <w:rPr>
          <w:rFonts w:ascii="Times New Roman" w:hAnsi="Times New Roman" w:cs="Times New Roman"/>
          <w:sz w:val="24"/>
          <w:szCs w:val="24"/>
        </w:rPr>
        <w:instrText xml:space="preserve"> REF _Ref232596860 \r \h  \* MERGEFORMAT </w:instrText>
      </w:r>
      <w:r w:rsidR="0071376D" w:rsidRPr="00796736">
        <w:rPr>
          <w:rFonts w:ascii="Times New Roman" w:hAnsi="Times New Roman" w:cs="Times New Roman"/>
          <w:sz w:val="24"/>
          <w:szCs w:val="24"/>
        </w:rPr>
      </w:r>
      <w:r w:rsidR="0071376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1376D" w:rsidRPr="00796736">
        <w:rPr>
          <w:rFonts w:ascii="Times New Roman" w:hAnsi="Times New Roman" w:cs="Times New Roman"/>
          <w:sz w:val="24"/>
          <w:szCs w:val="24"/>
        </w:rPr>
        <w:fldChar w:fldCharType="end"/>
      </w:r>
      <w:r w:rsidR="0071376D" w:rsidRPr="00796736">
        <w:rPr>
          <w:rFonts w:ascii="Times New Roman" w:hAnsi="Times New Roman" w:cs="Times New Roman"/>
          <w:sz w:val="24"/>
          <w:szCs w:val="24"/>
        </w:rPr>
        <w:t xml:space="preserve">, stk. 1, eller virksomhedens reelle ejere må ikke være pålagt strafansvar for overtrædelse af straffeloven, den finansielle lovgivning eller anden relevant lovgivning, hvis overtrædelsen indebærer risiko for, at virksomheden misbruger registreringen, eller at den reelle ejer misbruger sin kontrollerende indflydelse. </w:t>
      </w:r>
    </w:p>
    <w:p w14:paraId="2B64DD34" w14:textId="788619B8" w:rsidR="001C4E85" w:rsidRPr="00796736" w:rsidRDefault="00111B25" w:rsidP="00303E15">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71376D" w:rsidRPr="00796736">
        <w:rPr>
          <w:rFonts w:ascii="Times New Roman" w:hAnsi="Times New Roman" w:cs="Times New Roman"/>
          <w:sz w:val="24"/>
          <w:szCs w:val="24"/>
        </w:rPr>
        <w:t>Et medlem af øverste ledelse, herunder bestyrelsen eller direktionen, i en virksomhed omfattet af</w:t>
      </w:r>
      <w:r w:rsidR="00810633" w:rsidRPr="00796736">
        <w:rPr>
          <w:rFonts w:ascii="Times New Roman" w:hAnsi="Times New Roman" w:cs="Times New Roman"/>
          <w:sz w:val="24"/>
          <w:szCs w:val="24"/>
        </w:rPr>
        <w:t xml:space="preserve"> </w:t>
      </w:r>
      <w:r w:rsidR="007B7AF6" w:rsidRPr="00796736">
        <w:rPr>
          <w:rFonts w:ascii="Times New Roman" w:hAnsi="Times New Roman" w:cs="Times New Roman"/>
          <w:sz w:val="24"/>
          <w:szCs w:val="24"/>
        </w:rPr>
        <w:fldChar w:fldCharType="begin"/>
      </w:r>
      <w:r w:rsidR="007B7AF6" w:rsidRPr="00796736">
        <w:rPr>
          <w:rFonts w:ascii="Times New Roman" w:hAnsi="Times New Roman" w:cs="Times New Roman"/>
          <w:sz w:val="24"/>
          <w:szCs w:val="24"/>
        </w:rPr>
        <w:instrText xml:space="preserve"> REF _Ref232596860 \r \h  \* MERGEFORMAT </w:instrText>
      </w:r>
      <w:r w:rsidR="007B7AF6" w:rsidRPr="00796736">
        <w:rPr>
          <w:rFonts w:ascii="Times New Roman" w:hAnsi="Times New Roman" w:cs="Times New Roman"/>
          <w:sz w:val="24"/>
          <w:szCs w:val="24"/>
        </w:rPr>
      </w:r>
      <w:r w:rsidR="007B7AF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B7AF6" w:rsidRPr="00796736">
        <w:rPr>
          <w:rFonts w:ascii="Times New Roman" w:hAnsi="Times New Roman" w:cs="Times New Roman"/>
          <w:sz w:val="24"/>
          <w:szCs w:val="24"/>
        </w:rPr>
        <w:fldChar w:fldCharType="end"/>
      </w:r>
      <w:r w:rsidR="00810633" w:rsidRPr="00796736">
        <w:rPr>
          <w:rFonts w:ascii="Times New Roman" w:hAnsi="Times New Roman" w:cs="Times New Roman"/>
          <w:sz w:val="24"/>
          <w:szCs w:val="24"/>
        </w:rPr>
        <w:t>, stk. 2</w:t>
      </w:r>
      <w:r w:rsidR="0071376D" w:rsidRPr="00796736">
        <w:rPr>
          <w:rFonts w:ascii="Times New Roman" w:hAnsi="Times New Roman" w:cs="Times New Roman"/>
          <w:sz w:val="24"/>
          <w:szCs w:val="24"/>
        </w:rPr>
        <w:t>, eller, hvor virksomheden udøves som enkeltmandsvirksomhed, indehaveren, eller, hvor virksomheden drives som juridisk person uden øverste ledelse, den eller de ledelsesansvarlige, samt virksomhedens reelle ejere</w:t>
      </w:r>
      <w:r w:rsidR="001C4E85" w:rsidRPr="00796736">
        <w:rPr>
          <w:rFonts w:ascii="Times New Roman" w:hAnsi="Times New Roman" w:cs="Times New Roman"/>
          <w:sz w:val="24"/>
          <w:szCs w:val="24"/>
        </w:rPr>
        <w:t>,</w:t>
      </w:r>
      <w:bookmarkEnd w:id="179"/>
    </w:p>
    <w:p w14:paraId="5786E928" w14:textId="2A8F7E65" w:rsidR="001C4E85" w:rsidRPr="00796736" w:rsidRDefault="001C4E85">
      <w:pPr>
        <w:pStyle w:val="Listeafsnit"/>
        <w:numPr>
          <w:ilvl w:val="0"/>
          <w:numId w:val="79"/>
        </w:numPr>
        <w:spacing w:line="360" w:lineRule="auto"/>
        <w:rPr>
          <w:rFonts w:ascii="Times New Roman" w:hAnsi="Times New Roman" w:cs="Times New Roman"/>
          <w:sz w:val="24"/>
          <w:szCs w:val="24"/>
        </w:rPr>
      </w:pPr>
      <w:r w:rsidRPr="00796736">
        <w:rPr>
          <w:rFonts w:ascii="Times New Roman" w:hAnsi="Times New Roman" w:cs="Times New Roman"/>
          <w:sz w:val="24"/>
          <w:szCs w:val="24"/>
        </w:rPr>
        <w:t>skal have et tilstrækkelig godt omdømme og kunne udvise hæderlighed, integritet og tilstrækkelig uafhængighed ved varetagelsen af hvervet eller stillingen, </w:t>
      </w:r>
    </w:p>
    <w:p w14:paraId="6DAB987E" w14:textId="43D5B35D" w:rsidR="001C4E85" w:rsidRPr="00796736" w:rsidRDefault="001C4E85">
      <w:pPr>
        <w:pStyle w:val="Listeafsnit"/>
        <w:numPr>
          <w:ilvl w:val="0"/>
          <w:numId w:val="79"/>
        </w:numPr>
        <w:spacing w:line="360" w:lineRule="auto"/>
        <w:rPr>
          <w:rFonts w:ascii="Times New Roman" w:hAnsi="Times New Roman" w:cs="Times New Roman"/>
          <w:sz w:val="24"/>
          <w:szCs w:val="24"/>
        </w:rPr>
      </w:pPr>
      <w:r w:rsidRPr="00796736">
        <w:rPr>
          <w:rFonts w:ascii="Times New Roman" w:hAnsi="Times New Roman" w:cs="Times New Roman"/>
          <w:sz w:val="24"/>
          <w:szCs w:val="24"/>
        </w:rPr>
        <w:t>må ikke være pålagt strafansvar for overtrædelse af straffeloven, den finansielle lovgivning eller anden relevant lovgivning, hvis overtrædelsen indebærer risiko for, at vedkommende ikke kan varetage sit hverv eller sin stilling på betryggende måde,</w:t>
      </w:r>
    </w:p>
    <w:p w14:paraId="16E50DE3" w14:textId="2CD0494B" w:rsidR="001C4E85" w:rsidRPr="00796736" w:rsidRDefault="001C4E85">
      <w:pPr>
        <w:pStyle w:val="Listeafsnit"/>
        <w:numPr>
          <w:ilvl w:val="0"/>
          <w:numId w:val="79"/>
        </w:numPr>
        <w:spacing w:line="360" w:lineRule="auto"/>
        <w:rPr>
          <w:rFonts w:ascii="Times New Roman" w:hAnsi="Times New Roman" w:cs="Times New Roman"/>
          <w:sz w:val="24"/>
          <w:szCs w:val="24"/>
        </w:rPr>
      </w:pPr>
      <w:r w:rsidRPr="00796736">
        <w:rPr>
          <w:rFonts w:ascii="Times New Roman" w:hAnsi="Times New Roman" w:cs="Times New Roman"/>
          <w:sz w:val="24"/>
          <w:szCs w:val="24"/>
        </w:rPr>
        <w:t>må ikke have indgivet begæring om eller være under rekonstruktionsbehandling, konkurs eller gældssanering</w:t>
      </w:r>
      <w:r w:rsidR="00054F7B">
        <w:rPr>
          <w:rFonts w:ascii="Times New Roman" w:hAnsi="Times New Roman" w:cs="Times New Roman"/>
          <w:sz w:val="24"/>
          <w:szCs w:val="24"/>
        </w:rPr>
        <w:t>,</w:t>
      </w:r>
      <w:r w:rsidRPr="00796736">
        <w:rPr>
          <w:rFonts w:ascii="Times New Roman" w:hAnsi="Times New Roman" w:cs="Times New Roman"/>
          <w:sz w:val="24"/>
          <w:szCs w:val="24"/>
        </w:rPr>
        <w:t xml:space="preserve"> og</w:t>
      </w:r>
    </w:p>
    <w:p w14:paraId="617BDBE2" w14:textId="4FE75903" w:rsidR="001C4E85" w:rsidRPr="00796736" w:rsidRDefault="001C4E85">
      <w:pPr>
        <w:pStyle w:val="Listeafsnit"/>
        <w:numPr>
          <w:ilvl w:val="0"/>
          <w:numId w:val="79"/>
        </w:numPr>
        <w:spacing w:line="360" w:lineRule="auto"/>
        <w:rPr>
          <w:rFonts w:ascii="Times New Roman" w:hAnsi="Times New Roman" w:cs="Times New Roman"/>
          <w:sz w:val="24"/>
          <w:szCs w:val="24"/>
        </w:rPr>
      </w:pPr>
      <w:r w:rsidRPr="00796736">
        <w:rPr>
          <w:rFonts w:ascii="Times New Roman" w:hAnsi="Times New Roman" w:cs="Times New Roman"/>
          <w:sz w:val="24"/>
          <w:szCs w:val="24"/>
        </w:rPr>
        <w:t>må ikke have udvist en sådan adfærd, at der er grund til at antage, at vedkommende ikke vil varetage hvervet eller stillingen på forsvarlig måde.</w:t>
      </w:r>
    </w:p>
    <w:p w14:paraId="1171D835" w14:textId="5E65CC71" w:rsidR="001C4E85" w:rsidRPr="00796736" w:rsidRDefault="001C4E85"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810633" w:rsidRPr="00796736">
        <w:rPr>
          <w:rFonts w:ascii="Times New Roman" w:hAnsi="Times New Roman" w:cs="Times New Roman"/>
          <w:i/>
          <w:iCs/>
          <w:sz w:val="24"/>
          <w:szCs w:val="24"/>
        </w:rPr>
        <w:t>4</w:t>
      </w:r>
      <w:r w:rsidRPr="00796736">
        <w:rPr>
          <w:rFonts w:ascii="Times New Roman" w:hAnsi="Times New Roman" w:cs="Times New Roman"/>
          <w:sz w:val="24"/>
          <w:szCs w:val="24"/>
        </w:rPr>
        <w:t>. Et medlem af</w:t>
      </w:r>
      <w:r w:rsidR="003F667B" w:rsidRPr="00796736">
        <w:rPr>
          <w:rFonts w:ascii="Times New Roman" w:hAnsi="Times New Roman" w:cs="Times New Roman"/>
          <w:sz w:val="24"/>
          <w:szCs w:val="24"/>
        </w:rPr>
        <w:t xml:space="preserve"> øverste ledelse, herunder</w:t>
      </w:r>
      <w:r w:rsidRPr="00796736">
        <w:rPr>
          <w:rFonts w:ascii="Times New Roman" w:hAnsi="Times New Roman" w:cs="Times New Roman"/>
          <w:sz w:val="24"/>
          <w:szCs w:val="24"/>
        </w:rPr>
        <w:t xml:space="preserve"> bestyrelsen eller direktionen i et finansielt holdingselskab med blandet aktivitet omfattet af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w:t>
      </w:r>
      <w:r w:rsidR="00810633" w:rsidRPr="00796736">
        <w:rPr>
          <w:rFonts w:ascii="Times New Roman" w:hAnsi="Times New Roman" w:cs="Times New Roman"/>
          <w:sz w:val="24"/>
          <w:szCs w:val="24"/>
        </w:rPr>
        <w:t>2</w:t>
      </w:r>
      <w:r w:rsidRPr="00796736">
        <w:rPr>
          <w:rFonts w:ascii="Times New Roman" w:hAnsi="Times New Roman" w:cs="Times New Roman"/>
          <w:sz w:val="24"/>
          <w:szCs w:val="24"/>
        </w:rPr>
        <w:t>, eller, hvor selskabet drives uden bestyrelse eller direktion, den eller de ledelsesansvarlige, skal have tilstrækkelig viden, faglig kompetence og erfaring til at kunne varetage hvervet eller stillingen.</w:t>
      </w:r>
    </w:p>
    <w:p w14:paraId="37B02514" w14:textId="2AD9A701" w:rsidR="001C4E85" w:rsidRPr="00796736" w:rsidRDefault="001C4E85"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810633" w:rsidRPr="00796736">
        <w:rPr>
          <w:rFonts w:ascii="Times New Roman" w:hAnsi="Times New Roman" w:cs="Times New Roman"/>
          <w:i/>
          <w:iCs/>
          <w:sz w:val="24"/>
          <w:szCs w:val="24"/>
        </w:rPr>
        <w:t>5</w:t>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Personer, der har handlet i fællesskab med en person, der er pålagt strafansvar for overtrædelse af straffeloven, den finansielle lovgivning eller anden relevant lovgivning, om de pågældende lovovertrædelser, kan ikke registreres til at udøve erhverv</w:t>
      </w:r>
      <w:r w:rsidR="000E03BA" w:rsidRPr="00796736">
        <w:rPr>
          <w:rFonts w:ascii="Times New Roman" w:hAnsi="Times New Roman" w:cs="Times New Roman"/>
          <w:sz w:val="24"/>
          <w:szCs w:val="24"/>
        </w:rPr>
        <w:t xml:space="preserve"> eller</w:t>
      </w:r>
      <w:r w:rsidRPr="00796736">
        <w:rPr>
          <w:rFonts w:ascii="Times New Roman" w:hAnsi="Times New Roman" w:cs="Times New Roman"/>
          <w:sz w:val="24"/>
          <w:szCs w:val="24"/>
        </w:rPr>
        <w:t xml:space="preserve"> varetage en funktion i den øverste</w:t>
      </w:r>
      <w:r w:rsidR="00875E6A" w:rsidRPr="00796736">
        <w:rPr>
          <w:rFonts w:ascii="Times New Roman" w:hAnsi="Times New Roman" w:cs="Times New Roman"/>
          <w:sz w:val="24"/>
          <w:szCs w:val="24"/>
        </w:rPr>
        <w:t xml:space="preserve"> eller daglige</w:t>
      </w:r>
      <w:r w:rsidRPr="00796736">
        <w:rPr>
          <w:rFonts w:ascii="Times New Roman" w:hAnsi="Times New Roman" w:cs="Times New Roman"/>
          <w:sz w:val="24"/>
          <w:szCs w:val="24"/>
        </w:rPr>
        <w:t xml:space="preserve"> ledelse i virksomheder, der er registreringspligtige efter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2.</w:t>
      </w:r>
    </w:p>
    <w:p w14:paraId="79A3CFF9" w14:textId="129BCDC0" w:rsidR="001C4E85" w:rsidRPr="00796736" w:rsidRDefault="001C4E85"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810633" w:rsidRPr="00796736">
        <w:rPr>
          <w:rFonts w:ascii="Times New Roman" w:hAnsi="Times New Roman" w:cs="Times New Roman"/>
          <w:i/>
          <w:iCs/>
          <w:sz w:val="24"/>
          <w:szCs w:val="24"/>
        </w:rPr>
        <w:t>6</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Når en person tiltræder et hverv som bestyrelsesmedlem eller en stilling som direktør i en virksomhed, der er registreret efter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2, påser Finanstilsynet, at personen opfylder egnetheds- og hæderlighedskravene i stk. 1</w:t>
      </w:r>
      <w:r w:rsidR="00810633" w:rsidRPr="00796736">
        <w:rPr>
          <w:rFonts w:ascii="Times New Roman" w:hAnsi="Times New Roman" w:cs="Times New Roman"/>
          <w:sz w:val="24"/>
          <w:szCs w:val="24"/>
        </w:rPr>
        <w:t>,</w:t>
      </w:r>
      <w:r w:rsidRPr="00796736">
        <w:rPr>
          <w:rFonts w:ascii="Times New Roman" w:hAnsi="Times New Roman" w:cs="Times New Roman"/>
          <w:sz w:val="24"/>
          <w:szCs w:val="24"/>
        </w:rPr>
        <w:t xml:space="preserve"> </w:t>
      </w:r>
      <w:r w:rsidR="00810633" w:rsidRPr="00796736">
        <w:rPr>
          <w:rFonts w:ascii="Times New Roman" w:hAnsi="Times New Roman" w:cs="Times New Roman"/>
          <w:sz w:val="24"/>
          <w:szCs w:val="24"/>
        </w:rPr>
        <w:t>3 og 4</w:t>
      </w:r>
      <w:r w:rsidRPr="00796736">
        <w:rPr>
          <w:rFonts w:ascii="Times New Roman" w:hAnsi="Times New Roman" w:cs="Times New Roman"/>
          <w:sz w:val="24"/>
          <w:szCs w:val="24"/>
        </w:rPr>
        <w:t xml:space="preserve">. </w:t>
      </w:r>
      <w:r w:rsidR="0042556A" w:rsidRPr="00796736">
        <w:rPr>
          <w:rFonts w:ascii="Times New Roman" w:hAnsi="Times New Roman" w:cs="Times New Roman"/>
          <w:sz w:val="24"/>
          <w:szCs w:val="24"/>
        </w:rPr>
        <w:t>Finanstilsynet træffer afgørelse om</w:t>
      </w:r>
      <w:r w:rsidRPr="00796736">
        <w:rPr>
          <w:rFonts w:ascii="Times New Roman" w:hAnsi="Times New Roman" w:cs="Times New Roman"/>
          <w:sz w:val="24"/>
          <w:szCs w:val="24"/>
        </w:rPr>
        <w:t xml:space="preserve">, hvorvidt personen kan bestride hvervet eller stillingen i den pågældende virksomhed. 1. og 2. pkt. finder tilsvarende anvendelse for indehaveren af en virksomhed, der er registreret efter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2, hvis der er tale om en enkeltmandsvirksomhed, for ledelsesansvarlige i virksomheder omfattet af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2, som drives uden direktion og bestyrelse, samt for </w:t>
      </w:r>
      <w:r w:rsidR="00810633" w:rsidRPr="00796736">
        <w:rPr>
          <w:rFonts w:ascii="Times New Roman" w:hAnsi="Times New Roman" w:cs="Times New Roman"/>
          <w:sz w:val="24"/>
          <w:szCs w:val="24"/>
        </w:rPr>
        <w:t>den eller de reelle ejere i virksomheden</w:t>
      </w:r>
      <w:r w:rsidRPr="00796736">
        <w:rPr>
          <w:rFonts w:ascii="Times New Roman" w:hAnsi="Times New Roman" w:cs="Times New Roman"/>
          <w:sz w:val="24"/>
          <w:szCs w:val="24"/>
        </w:rPr>
        <w:t>.</w:t>
      </w:r>
    </w:p>
    <w:p w14:paraId="55FD24BB" w14:textId="2D72BADD" w:rsidR="001C4E85" w:rsidRPr="00796736" w:rsidRDefault="002177B8" w:rsidP="0053178C">
      <w:pPr>
        <w:spacing w:line="360" w:lineRule="auto"/>
        <w:ind w:firstLine="238"/>
        <w:rPr>
          <w:rFonts w:ascii="Times New Roman" w:hAnsi="Times New Roman" w:cs="Times New Roman"/>
          <w:sz w:val="24"/>
          <w:szCs w:val="24"/>
        </w:rPr>
      </w:pPr>
      <w:r w:rsidRPr="00796736">
        <w:rPr>
          <w:rFonts w:ascii="Times New Roman" w:eastAsia="Times New Roman" w:hAnsi="Times New Roman" w:cs="Times New Roman"/>
          <w:i/>
          <w:iCs/>
          <w:sz w:val="24"/>
          <w:szCs w:val="24"/>
          <w:lang w:eastAsia="da-DK"/>
        </w:rPr>
        <w:t xml:space="preserve">Stk. </w:t>
      </w:r>
      <w:r w:rsidR="00810633" w:rsidRPr="00796736">
        <w:rPr>
          <w:rFonts w:ascii="Times New Roman" w:eastAsia="Times New Roman" w:hAnsi="Times New Roman" w:cs="Times New Roman"/>
          <w:i/>
          <w:iCs/>
          <w:sz w:val="24"/>
          <w:szCs w:val="24"/>
          <w:lang w:eastAsia="da-DK"/>
        </w:rPr>
        <w:t>7</w:t>
      </w:r>
      <w:r w:rsidRPr="00796736">
        <w:rPr>
          <w:rFonts w:ascii="Times New Roman" w:eastAsia="Times New Roman" w:hAnsi="Times New Roman" w:cs="Times New Roman"/>
          <w:sz w:val="24"/>
          <w:szCs w:val="24"/>
          <w:lang w:eastAsia="da-DK"/>
        </w:rPr>
        <w:t xml:space="preserve">. </w:t>
      </w:r>
      <w:r w:rsidR="001C4E85" w:rsidRPr="00796736">
        <w:rPr>
          <w:rFonts w:ascii="Times New Roman" w:hAnsi="Times New Roman" w:cs="Times New Roman"/>
          <w:sz w:val="24"/>
          <w:szCs w:val="24"/>
        </w:rPr>
        <w:t>Vurderer Finanstilsynet, at personen ikke opfylder kravene i stk. 1</w:t>
      </w:r>
      <w:r w:rsidR="0062599E" w:rsidRPr="00796736">
        <w:rPr>
          <w:rFonts w:ascii="Times New Roman" w:hAnsi="Times New Roman" w:cs="Times New Roman"/>
          <w:sz w:val="24"/>
          <w:szCs w:val="24"/>
        </w:rPr>
        <w:t>-4</w:t>
      </w:r>
      <w:r w:rsidR="001C4E85" w:rsidRPr="00796736">
        <w:rPr>
          <w:rFonts w:ascii="Times New Roman" w:hAnsi="Times New Roman" w:cs="Times New Roman"/>
          <w:sz w:val="24"/>
          <w:szCs w:val="24"/>
        </w:rPr>
        <w:t>, skal afgørelsens varighed fremgå af afgørelsen.</w:t>
      </w:r>
    </w:p>
    <w:p w14:paraId="4E83D851" w14:textId="25777AD7" w:rsidR="001C4E85" w:rsidRPr="00796736" w:rsidRDefault="001C4E85"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810633" w:rsidRPr="00796736">
        <w:rPr>
          <w:rFonts w:ascii="Times New Roman" w:hAnsi="Times New Roman" w:cs="Times New Roman"/>
          <w:i/>
          <w:iCs/>
          <w:sz w:val="24"/>
          <w:szCs w:val="24"/>
        </w:rPr>
        <w:t>8</w:t>
      </w:r>
      <w:r w:rsidRPr="00796736">
        <w:rPr>
          <w:rFonts w:ascii="Times New Roman" w:hAnsi="Times New Roman" w:cs="Times New Roman"/>
          <w:sz w:val="24"/>
          <w:szCs w:val="24"/>
        </w:rPr>
        <w:t xml:space="preserve">. Finanstilsynet kan i særlige tilfælde, hvor Finanstilsynet vurderer, at et medlem af bestyrelsen eller direktionen i et finansielt holdingselskab med blandet aktivitet, eller hvor selskabet drives uden bestyrelse eller direktion, den eller de ledelsesansvarlige, ikke har tilstrækkelige faglige forudsætninger eller erfaring i forhold til den pågældende stilling, </w:t>
      </w:r>
      <w:r w:rsidR="0042556A" w:rsidRPr="00796736">
        <w:rPr>
          <w:rFonts w:ascii="Times New Roman" w:hAnsi="Times New Roman" w:cs="Times New Roman"/>
          <w:sz w:val="24"/>
          <w:szCs w:val="24"/>
        </w:rPr>
        <w:t>træffe afgørelse om, at personen kan varetage stillingen under nærmere fastsatte betingelser.</w:t>
      </w:r>
    </w:p>
    <w:p w14:paraId="330E6D06" w14:textId="77777777" w:rsidR="001C4E85" w:rsidRPr="00796736" w:rsidRDefault="001C4E85" w:rsidP="0053178C">
      <w:pPr>
        <w:spacing w:line="360" w:lineRule="auto"/>
        <w:ind w:firstLine="238"/>
        <w:rPr>
          <w:rFonts w:ascii="Times New Roman" w:hAnsi="Times New Roman" w:cs="Times New Roman"/>
          <w:sz w:val="24"/>
          <w:szCs w:val="24"/>
        </w:rPr>
      </w:pPr>
    </w:p>
    <w:p w14:paraId="4B79519A" w14:textId="0BB34EE0" w:rsidR="001C4E85" w:rsidRPr="00796736" w:rsidRDefault="001C4E85" w:rsidP="0053178C">
      <w:pPr>
        <w:pStyle w:val="Typografi1"/>
        <w:ind w:left="0" w:firstLine="238"/>
        <w:rPr>
          <w:rFonts w:ascii="Times New Roman" w:hAnsi="Times New Roman" w:cs="Times New Roman"/>
          <w:sz w:val="24"/>
          <w:szCs w:val="24"/>
        </w:rPr>
      </w:pPr>
      <w:bookmarkStart w:id="182" w:name="_Ref232596992"/>
      <w:bookmarkStart w:id="183" w:name="_Ref244852380"/>
      <w:bookmarkStart w:id="184" w:name="_Toc244879035"/>
      <w:bookmarkStart w:id="185" w:name="_Toc244880559"/>
      <w:r w:rsidRPr="00796736">
        <w:rPr>
          <w:rFonts w:ascii="Times New Roman" w:hAnsi="Times New Roman" w:cs="Times New Roman"/>
          <w:sz w:val="24"/>
          <w:szCs w:val="24"/>
        </w:rPr>
        <w:t>Fin</w:t>
      </w:r>
      <w:r w:rsidR="0042556A" w:rsidRPr="00796736">
        <w:rPr>
          <w:rFonts w:ascii="Times New Roman" w:hAnsi="Times New Roman" w:cs="Times New Roman"/>
          <w:sz w:val="24"/>
          <w:szCs w:val="24"/>
        </w:rPr>
        <w:t xml:space="preserve"> Finanstilsynet kan inddrage </w:t>
      </w:r>
      <w:r w:rsidRPr="00796736">
        <w:rPr>
          <w:rFonts w:ascii="Times New Roman" w:hAnsi="Times New Roman" w:cs="Times New Roman"/>
          <w:sz w:val="24"/>
          <w:szCs w:val="24"/>
        </w:rPr>
        <w:t xml:space="preserve">registrering af en virksomhed, der er registreret hos Finanstilsynet i henhold til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2, når</w:t>
      </w:r>
      <w:bookmarkEnd w:id="182"/>
      <w:r w:rsidR="00D5194A" w:rsidRPr="00796736">
        <w:rPr>
          <w:rFonts w:ascii="Times New Roman" w:hAnsi="Times New Roman" w:cs="Times New Roman"/>
          <w:sz w:val="24"/>
          <w:szCs w:val="24"/>
        </w:rPr>
        <w:t xml:space="preserve"> virksomheden</w:t>
      </w:r>
      <w:bookmarkEnd w:id="183"/>
      <w:bookmarkEnd w:id="184"/>
      <w:bookmarkEnd w:id="185"/>
      <w:r w:rsidR="00D5194A" w:rsidRPr="00796736">
        <w:rPr>
          <w:rFonts w:ascii="Times New Roman" w:hAnsi="Times New Roman" w:cs="Times New Roman"/>
          <w:sz w:val="24"/>
          <w:szCs w:val="24"/>
        </w:rPr>
        <w:t xml:space="preserve"> </w:t>
      </w:r>
    </w:p>
    <w:p w14:paraId="083C534C" w14:textId="34622CB7" w:rsidR="001C4E85" w:rsidRPr="00796736" w:rsidRDefault="001C4E85">
      <w:pPr>
        <w:pStyle w:val="Listeafsnit"/>
        <w:numPr>
          <w:ilvl w:val="0"/>
          <w:numId w:val="80"/>
        </w:numPr>
        <w:spacing w:line="360" w:lineRule="auto"/>
        <w:rPr>
          <w:rFonts w:ascii="Times New Roman" w:hAnsi="Times New Roman" w:cs="Times New Roman"/>
          <w:sz w:val="24"/>
          <w:szCs w:val="24"/>
        </w:rPr>
      </w:pPr>
      <w:r w:rsidRPr="00796736">
        <w:rPr>
          <w:rFonts w:ascii="Times New Roman" w:hAnsi="Times New Roman" w:cs="Times New Roman"/>
          <w:sz w:val="24"/>
          <w:szCs w:val="24"/>
        </w:rPr>
        <w:t>anmoder herom,</w:t>
      </w:r>
    </w:p>
    <w:p w14:paraId="0D542FA1" w14:textId="260DC617" w:rsidR="001C4E85" w:rsidRPr="00796736" w:rsidRDefault="001C4E85">
      <w:pPr>
        <w:pStyle w:val="Listeafsnit"/>
        <w:numPr>
          <w:ilvl w:val="0"/>
          <w:numId w:val="80"/>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har udøvet den relevante aktivitet senest 12 måneder efter registreringen,</w:t>
      </w:r>
    </w:p>
    <w:p w14:paraId="71B3DC9F" w14:textId="779401F0" w:rsidR="001C4E85" w:rsidRPr="00796736" w:rsidRDefault="001C4E85">
      <w:pPr>
        <w:pStyle w:val="Listeafsnit"/>
        <w:numPr>
          <w:ilvl w:val="0"/>
          <w:numId w:val="80"/>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har udøvet den relevante aktivitet i en samlet periode på over 6 måneder,</w:t>
      </w:r>
    </w:p>
    <w:p w14:paraId="1C23B540" w14:textId="5B67326D" w:rsidR="001C4E85" w:rsidRPr="00796736" w:rsidRDefault="001C4E85">
      <w:pPr>
        <w:pStyle w:val="Listeafsnit"/>
        <w:numPr>
          <w:ilvl w:val="0"/>
          <w:numId w:val="80"/>
        </w:numPr>
        <w:spacing w:line="360" w:lineRule="auto"/>
        <w:rPr>
          <w:rFonts w:ascii="Times New Roman" w:hAnsi="Times New Roman" w:cs="Times New Roman"/>
          <w:sz w:val="24"/>
          <w:szCs w:val="24"/>
        </w:rPr>
      </w:pPr>
      <w:r w:rsidRPr="00796736">
        <w:rPr>
          <w:rFonts w:ascii="Times New Roman" w:hAnsi="Times New Roman" w:cs="Times New Roman"/>
          <w:sz w:val="24"/>
          <w:szCs w:val="24"/>
        </w:rPr>
        <w:t>er registreret på baggrund af urigtige eller vildledende oplysninger eller på anden uretmæssig vis,</w:t>
      </w:r>
    </w:p>
    <w:p w14:paraId="20ED2AE6" w14:textId="32AB033A" w:rsidR="001C4E85" w:rsidRPr="00796736" w:rsidRDefault="001C4E85">
      <w:pPr>
        <w:pStyle w:val="Listeafsnit"/>
        <w:numPr>
          <w:ilvl w:val="0"/>
          <w:numId w:val="80"/>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længere opfylder betingelserne for registrering,</w:t>
      </w:r>
    </w:p>
    <w:p w14:paraId="45937A71" w14:textId="717914C7" w:rsidR="001C4E85" w:rsidRPr="00796736" w:rsidRDefault="001C4E85">
      <w:pPr>
        <w:pStyle w:val="Listeafsnit"/>
        <w:numPr>
          <w:ilvl w:val="0"/>
          <w:numId w:val="80"/>
        </w:numPr>
        <w:spacing w:line="360" w:lineRule="auto"/>
        <w:rPr>
          <w:rFonts w:ascii="Times New Roman" w:hAnsi="Times New Roman" w:cs="Times New Roman"/>
          <w:sz w:val="24"/>
          <w:szCs w:val="24"/>
        </w:rPr>
      </w:pPr>
      <w:r w:rsidRPr="00796736">
        <w:rPr>
          <w:rFonts w:ascii="Times New Roman" w:hAnsi="Times New Roman" w:cs="Times New Roman"/>
          <w:sz w:val="24"/>
          <w:szCs w:val="24"/>
        </w:rPr>
        <w:t>er registreret som ophørt i Det Centrale Virksomhedsregister, eller</w:t>
      </w:r>
    </w:p>
    <w:p w14:paraId="45CD266E" w14:textId="4F91EF27" w:rsidR="001C4E85" w:rsidRPr="00796736" w:rsidRDefault="001C4E85">
      <w:pPr>
        <w:pStyle w:val="Listeafsnit"/>
        <w:numPr>
          <w:ilvl w:val="0"/>
          <w:numId w:val="80"/>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overholder bestemmelserne i</w:t>
      </w:r>
      <w:r w:rsidR="00704ECC" w:rsidRPr="00796736">
        <w:rPr>
          <w:rFonts w:ascii="Times New Roman" w:hAnsi="Times New Roman" w:cs="Times New Roman"/>
          <w:sz w:val="24"/>
          <w:szCs w:val="24"/>
        </w:rPr>
        <w:t xml:space="preserve"> hvidvaskforordningen,</w:t>
      </w:r>
      <w:r w:rsidRPr="00796736">
        <w:rPr>
          <w:rFonts w:ascii="Times New Roman" w:hAnsi="Times New Roman" w:cs="Times New Roman"/>
          <w:sz w:val="24"/>
          <w:szCs w:val="24"/>
        </w:rPr>
        <w:t xml:space="preserve"> denne lov</w:t>
      </w:r>
      <w:r w:rsidR="00704ECC" w:rsidRPr="00796736">
        <w:rPr>
          <w:rFonts w:ascii="Times New Roman" w:hAnsi="Times New Roman" w:cs="Times New Roman"/>
          <w:sz w:val="24"/>
          <w:szCs w:val="24"/>
        </w:rPr>
        <w:t xml:space="preserve">, pengeoverførselsforordningen eller </w:t>
      </w:r>
      <w:r w:rsidR="00704ECC"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r w:rsidRPr="00796736">
        <w:rPr>
          <w:rFonts w:ascii="Times New Roman" w:hAnsi="Times New Roman" w:cs="Times New Roman"/>
          <w:sz w:val="24"/>
          <w:szCs w:val="24"/>
        </w:rPr>
        <w:t xml:space="preserve">. </w:t>
      </w:r>
    </w:p>
    <w:p w14:paraId="6B30B10D" w14:textId="77777777" w:rsidR="001C4E85" w:rsidRPr="00796736" w:rsidRDefault="001C4E85" w:rsidP="0053178C">
      <w:pPr>
        <w:spacing w:line="360" w:lineRule="auto"/>
        <w:ind w:firstLine="238"/>
        <w:rPr>
          <w:rFonts w:ascii="Times New Roman" w:hAnsi="Times New Roman" w:cs="Times New Roman"/>
          <w:sz w:val="24"/>
          <w:szCs w:val="24"/>
        </w:rPr>
      </w:pPr>
    </w:p>
    <w:p w14:paraId="5366D4F5" w14:textId="1BFC68A9" w:rsidR="00892A99" w:rsidRPr="00796736" w:rsidRDefault="001C4E85" w:rsidP="0053178C">
      <w:pPr>
        <w:pStyle w:val="Typografi1"/>
        <w:ind w:left="0" w:firstLine="238"/>
        <w:rPr>
          <w:rFonts w:ascii="Times New Roman" w:hAnsi="Times New Roman" w:cs="Times New Roman"/>
          <w:sz w:val="24"/>
          <w:szCs w:val="24"/>
        </w:rPr>
      </w:pPr>
      <w:bookmarkStart w:id="186" w:name="_Ref232597016"/>
      <w:bookmarkStart w:id="187" w:name="_Toc244879036"/>
      <w:bookmarkStart w:id="188" w:name="_Toc244880560"/>
      <w:r w:rsidRPr="00796736">
        <w:rPr>
          <w:rFonts w:ascii="Times New Roman" w:hAnsi="Times New Roman" w:cs="Times New Roman"/>
          <w:sz w:val="24"/>
          <w:szCs w:val="24"/>
        </w:rPr>
        <w:t xml:space="preserve">Finanstilsynet kan for virksomheder og personer, der er omfattet af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2, fastsætte nærmere regler om anmeldelse, registrering og offentliggørelse</w:t>
      </w:r>
      <w:r w:rsidR="002735BF" w:rsidRPr="002735BF">
        <w:rPr>
          <w:rFonts w:ascii="Times New Roman" w:hAnsi="Times New Roman" w:cs="Times New Roman"/>
          <w:sz w:val="24"/>
          <w:szCs w:val="24"/>
        </w:rPr>
        <w:t xml:space="preserve">. </w:t>
      </w:r>
      <w:r w:rsidRPr="00796736">
        <w:rPr>
          <w:rFonts w:ascii="Times New Roman" w:hAnsi="Times New Roman" w:cs="Times New Roman"/>
          <w:sz w:val="24"/>
          <w:szCs w:val="24"/>
        </w:rPr>
        <w:t>Dette omfatter blandt andet regler om, hvilke oplysninger der skal registreres, hvilke forhold anmeldere eller andre kan indsende og registrere elektronisk i Finanstilsynets it-system ved brug af digital eller tilsvarende elektronisk signatur, samt om anvendelsen af dette system.</w:t>
      </w:r>
      <w:bookmarkEnd w:id="186"/>
      <w:bookmarkEnd w:id="187"/>
      <w:bookmarkEnd w:id="188"/>
    </w:p>
    <w:p w14:paraId="6DE824EF" w14:textId="77777777" w:rsidR="00892A99" w:rsidRPr="00796736" w:rsidRDefault="00892A99" w:rsidP="0053178C">
      <w:pPr>
        <w:spacing w:line="360" w:lineRule="auto"/>
        <w:ind w:firstLine="238"/>
        <w:jc w:val="center"/>
        <w:rPr>
          <w:rFonts w:ascii="Times New Roman" w:hAnsi="Times New Roman" w:cs="Times New Roman"/>
          <w:sz w:val="24"/>
          <w:szCs w:val="24"/>
        </w:rPr>
      </w:pPr>
    </w:p>
    <w:p w14:paraId="3408BDFA" w14:textId="77777777" w:rsidR="00705040" w:rsidRPr="00796736" w:rsidRDefault="00705040" w:rsidP="00A802A5">
      <w:pPr>
        <w:spacing w:line="360" w:lineRule="auto"/>
        <w:rPr>
          <w:rFonts w:ascii="Times New Roman" w:hAnsi="Times New Roman" w:cs="Times New Roman"/>
          <w:sz w:val="24"/>
          <w:szCs w:val="24"/>
        </w:rPr>
      </w:pPr>
    </w:p>
    <w:p w14:paraId="1927E68F" w14:textId="2F7DE3F6" w:rsidR="006D245B" w:rsidRPr="00796736" w:rsidRDefault="006D245B" w:rsidP="00A802A5">
      <w:pPr>
        <w:spacing w:line="360" w:lineRule="auto"/>
        <w:ind w:firstLine="238"/>
        <w:jc w:val="center"/>
        <w:rPr>
          <w:rFonts w:ascii="Times New Roman" w:hAnsi="Times New Roman" w:cs="Times New Roman"/>
          <w:sz w:val="24"/>
          <w:szCs w:val="24"/>
        </w:rPr>
      </w:pPr>
      <w:r w:rsidRPr="00796736">
        <w:rPr>
          <w:rFonts w:ascii="Times New Roman" w:hAnsi="Times New Roman" w:cs="Times New Roman"/>
          <w:sz w:val="24"/>
          <w:szCs w:val="24"/>
        </w:rPr>
        <w:t>Kapitel 1</w:t>
      </w:r>
      <w:r w:rsidR="00B61E4E" w:rsidRPr="00796736">
        <w:rPr>
          <w:rFonts w:ascii="Times New Roman" w:hAnsi="Times New Roman" w:cs="Times New Roman"/>
          <w:sz w:val="24"/>
          <w:szCs w:val="24"/>
        </w:rPr>
        <w:t>2</w:t>
      </w:r>
    </w:p>
    <w:p w14:paraId="1019A564" w14:textId="290BA05F" w:rsidR="008C3613" w:rsidRPr="0053178C" w:rsidRDefault="006D245B"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Tilsyn m.v.</w:t>
      </w:r>
    </w:p>
    <w:p w14:paraId="30E84E58" w14:textId="255152D0" w:rsidR="00C06317" w:rsidRPr="00796736" w:rsidRDefault="00D33CAA" w:rsidP="00A802A5">
      <w:pPr>
        <w:spacing w:line="360" w:lineRule="auto"/>
        <w:jc w:val="center"/>
        <w:rPr>
          <w:rFonts w:ascii="Times New Roman" w:hAnsi="Times New Roman" w:cs="Times New Roman"/>
          <w:i/>
          <w:iCs/>
          <w:sz w:val="24"/>
          <w:szCs w:val="24"/>
        </w:rPr>
      </w:pPr>
      <w:r w:rsidRPr="00796736">
        <w:rPr>
          <w:rFonts w:ascii="Times New Roman" w:hAnsi="Times New Roman" w:cs="Times New Roman"/>
          <w:i/>
          <w:iCs/>
          <w:sz w:val="24"/>
          <w:szCs w:val="24"/>
        </w:rPr>
        <w:t>Finanstilsynets tilsyn</w:t>
      </w:r>
    </w:p>
    <w:p w14:paraId="1881FB33" w14:textId="36027B70" w:rsidR="00D33CAA" w:rsidRPr="00796736" w:rsidRDefault="00D33CAA" w:rsidP="0053178C">
      <w:pPr>
        <w:pStyle w:val="Typografi1"/>
        <w:ind w:left="0" w:firstLine="238"/>
        <w:rPr>
          <w:rFonts w:ascii="Times New Roman" w:hAnsi="Times New Roman" w:cs="Times New Roman"/>
          <w:sz w:val="24"/>
          <w:szCs w:val="24"/>
          <w:lang w:eastAsia="da-DK"/>
        </w:rPr>
      </w:pPr>
      <w:bookmarkStart w:id="189" w:name="_Ref240026750"/>
      <w:bookmarkStart w:id="190" w:name="_Ref232597035"/>
      <w:bookmarkStart w:id="191" w:name="_Toc244879037"/>
      <w:bookmarkStart w:id="192" w:name="_Toc244880561"/>
      <w:r w:rsidRPr="00796736">
        <w:rPr>
          <w:rFonts w:ascii="Times New Roman" w:hAnsi="Times New Roman" w:cs="Times New Roman"/>
          <w:sz w:val="24"/>
          <w:szCs w:val="24"/>
          <w:lang w:eastAsia="da-DK"/>
        </w:rPr>
        <w:t xml:space="preserve">Finanstilsynet påser, </w:t>
      </w:r>
      <w:bookmarkStart w:id="193" w:name="_Hlk216337655"/>
      <w:r w:rsidRPr="00796736">
        <w:rPr>
          <w:rFonts w:ascii="Times New Roman" w:hAnsi="Times New Roman" w:cs="Times New Roman"/>
          <w:sz w:val="24"/>
          <w:szCs w:val="24"/>
          <w:lang w:eastAsia="da-DK"/>
        </w:rPr>
        <w:t xml:space="preserve">at virksomheder og personer som nævnt i § 1, stk. </w:t>
      </w:r>
      <w:r w:rsidR="00366798" w:rsidRPr="00796736">
        <w:rPr>
          <w:rFonts w:ascii="Times New Roman" w:hAnsi="Times New Roman" w:cs="Times New Roman"/>
          <w:sz w:val="24"/>
          <w:szCs w:val="24"/>
          <w:lang w:eastAsia="da-DK"/>
        </w:rPr>
        <w:t>2, nr. 1-3</w:t>
      </w:r>
      <w:r w:rsidR="006E2B08">
        <w:rPr>
          <w:rFonts w:ascii="Times New Roman" w:hAnsi="Times New Roman" w:cs="Times New Roman"/>
          <w:sz w:val="24"/>
          <w:szCs w:val="24"/>
          <w:lang w:eastAsia="da-DK"/>
        </w:rPr>
        <w:t>,</w:t>
      </w:r>
      <w:r w:rsidR="00366798" w:rsidRPr="00796736">
        <w:rPr>
          <w:rFonts w:ascii="Times New Roman" w:hAnsi="Times New Roman" w:cs="Times New Roman"/>
          <w:sz w:val="24"/>
          <w:szCs w:val="24"/>
          <w:lang w:eastAsia="da-DK"/>
        </w:rPr>
        <w:t xml:space="preserve"> </w:t>
      </w:r>
      <w:r w:rsidR="002B4BDE">
        <w:rPr>
          <w:rFonts w:ascii="Times New Roman" w:hAnsi="Times New Roman" w:cs="Times New Roman"/>
          <w:sz w:val="24"/>
          <w:szCs w:val="24"/>
          <w:lang w:eastAsia="da-DK"/>
        </w:rPr>
        <w:t>samt</w:t>
      </w:r>
      <w:r w:rsidR="00366798" w:rsidRPr="00796736">
        <w:rPr>
          <w:rFonts w:ascii="Times New Roman" w:hAnsi="Times New Roman" w:cs="Times New Roman"/>
          <w:sz w:val="24"/>
          <w:szCs w:val="24"/>
          <w:lang w:eastAsia="da-DK"/>
        </w:rPr>
        <w:t xml:space="preserve"> § 2, nr. 1-19 </w:t>
      </w:r>
      <w:r w:rsidR="002B4BDE">
        <w:rPr>
          <w:rFonts w:ascii="Times New Roman" w:hAnsi="Times New Roman" w:cs="Times New Roman"/>
          <w:sz w:val="24"/>
          <w:szCs w:val="24"/>
          <w:lang w:eastAsia="da-DK"/>
        </w:rPr>
        <w:t>og</w:t>
      </w:r>
      <w:r w:rsidR="00366798" w:rsidRPr="00796736">
        <w:rPr>
          <w:rFonts w:ascii="Times New Roman" w:hAnsi="Times New Roman" w:cs="Times New Roman"/>
          <w:sz w:val="24"/>
          <w:szCs w:val="24"/>
          <w:lang w:eastAsia="da-DK"/>
        </w:rPr>
        <w:t xml:space="preserve"> 32, litra a,</w:t>
      </w:r>
      <w:r w:rsidRPr="00796736">
        <w:rPr>
          <w:rFonts w:ascii="Times New Roman" w:hAnsi="Times New Roman" w:cs="Times New Roman"/>
          <w:sz w:val="24"/>
          <w:szCs w:val="24"/>
          <w:lang w:eastAsia="da-DK"/>
        </w:rPr>
        <w:t xml:space="preserve"> og filialer, distributører og agenter her i landet af sådanne udenlandske virksomheder og personer</w:t>
      </w:r>
      <w:r w:rsidR="008634ED">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t xml:space="preserve"> overholder</w:t>
      </w:r>
      <w:bookmarkEnd w:id="193"/>
      <w:r w:rsidRPr="00796736">
        <w:rPr>
          <w:rFonts w:ascii="Times New Roman" w:hAnsi="Times New Roman" w:cs="Times New Roman"/>
          <w:sz w:val="24"/>
          <w:szCs w:val="24"/>
          <w:lang w:eastAsia="da-DK"/>
        </w:rPr>
        <w:t xml:space="preserve"> hvidvaskforordningen</w:t>
      </w:r>
      <w:bookmarkStart w:id="194" w:name="_Hlk216337376"/>
      <w:bookmarkStart w:id="195" w:name="_Hlk216337489"/>
      <w:r w:rsidRPr="00796736">
        <w:rPr>
          <w:rFonts w:ascii="Times New Roman" w:hAnsi="Times New Roman" w:cs="Times New Roman"/>
          <w:sz w:val="24"/>
          <w:szCs w:val="24"/>
          <w:lang w:eastAsia="da-DK"/>
        </w:rPr>
        <w:t xml:space="preserve">, denne lov og </w:t>
      </w:r>
      <w:bookmarkStart w:id="196" w:name="_Hlk216881959"/>
      <w:r w:rsidRPr="00796736">
        <w:rPr>
          <w:rFonts w:ascii="Times New Roman" w:hAnsi="Times New Roman" w:cs="Times New Roman"/>
          <w:sz w:val="24"/>
          <w:szCs w:val="24"/>
          <w:lang w:eastAsia="da-DK"/>
        </w:rPr>
        <w:t>regler udstedt i medfør heraf</w:t>
      </w:r>
      <w:bookmarkEnd w:id="194"/>
      <w:bookmarkEnd w:id="196"/>
      <w:r w:rsidRPr="00796736">
        <w:rPr>
          <w:rFonts w:ascii="Times New Roman" w:hAnsi="Times New Roman" w:cs="Times New Roman"/>
          <w:sz w:val="24"/>
          <w:szCs w:val="24"/>
          <w:lang w:eastAsia="da-DK"/>
        </w:rPr>
        <w:t>, jf. dog</w:t>
      </w:r>
      <w:r w:rsidR="00D937C3" w:rsidRPr="00796736">
        <w:rPr>
          <w:rFonts w:ascii="Times New Roman" w:hAnsi="Times New Roman" w:cs="Times New Roman"/>
          <w:sz w:val="24"/>
          <w:szCs w:val="24"/>
          <w:lang w:eastAsia="da-DK"/>
        </w:rPr>
        <w:t xml:space="preserve"> </w:t>
      </w:r>
      <w:r w:rsidR="006D780F" w:rsidRPr="00796736">
        <w:rPr>
          <w:rFonts w:ascii="Times New Roman" w:hAnsi="Times New Roman" w:cs="Times New Roman"/>
          <w:sz w:val="24"/>
          <w:szCs w:val="24"/>
          <w:lang w:eastAsia="da-DK"/>
        </w:rPr>
        <w:fldChar w:fldCharType="begin"/>
      </w:r>
      <w:r w:rsidR="006D780F" w:rsidRPr="00796736">
        <w:rPr>
          <w:rFonts w:ascii="Times New Roman" w:hAnsi="Times New Roman" w:cs="Times New Roman"/>
          <w:sz w:val="24"/>
          <w:szCs w:val="24"/>
          <w:lang w:eastAsia="da-DK"/>
        </w:rPr>
        <w:instrText xml:space="preserve"> REF _Ref240026750 \r \h </w:instrText>
      </w:r>
      <w:r w:rsidR="00796736">
        <w:rPr>
          <w:rFonts w:ascii="Times New Roman" w:hAnsi="Times New Roman" w:cs="Times New Roman"/>
          <w:sz w:val="24"/>
          <w:szCs w:val="24"/>
          <w:lang w:eastAsia="da-DK"/>
        </w:rPr>
        <w:instrText xml:space="preserve"> \* MERGEFORMAT </w:instrText>
      </w:r>
      <w:r w:rsidR="006D780F" w:rsidRPr="00796736">
        <w:rPr>
          <w:rFonts w:ascii="Times New Roman" w:hAnsi="Times New Roman" w:cs="Times New Roman"/>
          <w:sz w:val="24"/>
          <w:szCs w:val="24"/>
          <w:lang w:eastAsia="da-DK"/>
        </w:rPr>
      </w:r>
      <w:r w:rsidR="006D780F"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54</w:t>
      </w:r>
      <w:r w:rsidR="006D780F" w:rsidRPr="00796736">
        <w:rPr>
          <w:rFonts w:ascii="Times New Roman" w:hAnsi="Times New Roman" w:cs="Times New Roman"/>
          <w:sz w:val="24"/>
          <w:szCs w:val="24"/>
          <w:lang w:eastAsia="da-DK"/>
        </w:rPr>
        <w:fldChar w:fldCharType="end"/>
      </w:r>
      <w:r w:rsidR="006D780F" w:rsidRPr="00796736">
        <w:rPr>
          <w:rFonts w:ascii="Times New Roman" w:hAnsi="Times New Roman" w:cs="Times New Roman"/>
          <w:sz w:val="24"/>
          <w:szCs w:val="24"/>
          <w:lang w:eastAsia="da-DK"/>
        </w:rPr>
        <w:t>, stk. 3 og 6</w:t>
      </w:r>
      <w:r w:rsidR="00D937C3" w:rsidRPr="00796736">
        <w:rPr>
          <w:rFonts w:ascii="Times New Roman" w:hAnsi="Times New Roman" w:cs="Times New Roman"/>
          <w:sz w:val="24"/>
          <w:szCs w:val="24"/>
          <w:lang w:eastAsia="da-DK"/>
        </w:rPr>
        <w:t>.</w:t>
      </w:r>
      <w:bookmarkEnd w:id="189"/>
      <w:bookmarkEnd w:id="191"/>
      <w:bookmarkEnd w:id="192"/>
      <w:bookmarkEnd w:id="195"/>
      <w:r w:rsidRPr="00796736">
        <w:rPr>
          <w:rFonts w:ascii="Times New Roman" w:hAnsi="Times New Roman" w:cs="Times New Roman"/>
          <w:sz w:val="24"/>
          <w:szCs w:val="24"/>
          <w:lang w:eastAsia="da-DK"/>
        </w:rPr>
        <w:t xml:space="preserve"> </w:t>
      </w:r>
      <w:bookmarkEnd w:id="190"/>
    </w:p>
    <w:p w14:paraId="4D8E8834" w14:textId="77777777" w:rsidR="00D33CAA" w:rsidRPr="00796736" w:rsidRDefault="00D33CAA" w:rsidP="0053178C">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Finanstilsynet påser endvidere overholdelsen af:</w:t>
      </w:r>
    </w:p>
    <w:p w14:paraId="700C00F7" w14:textId="77777777" w:rsidR="00D33CAA" w:rsidRPr="00796736" w:rsidRDefault="00D33CAA">
      <w:pPr>
        <w:pStyle w:val="Listeafsnit"/>
        <w:numPr>
          <w:ilvl w:val="0"/>
          <w:numId w:val="81"/>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Pengeoverførselsforordningen,</w:t>
      </w:r>
    </w:p>
    <w:p w14:paraId="178DE7EA" w14:textId="77777777" w:rsidR="00D33CAA" w:rsidRPr="00796736" w:rsidRDefault="00D33CAA">
      <w:pPr>
        <w:pStyle w:val="Listeafsnit"/>
        <w:numPr>
          <w:ilvl w:val="0"/>
          <w:numId w:val="81"/>
        </w:numPr>
        <w:spacing w:line="360" w:lineRule="auto"/>
        <w:rPr>
          <w:rFonts w:ascii="Times New Roman" w:eastAsia="Times New Roman" w:hAnsi="Times New Roman" w:cs="Times New Roman"/>
          <w:sz w:val="24"/>
          <w:szCs w:val="24"/>
          <w:lang w:eastAsia="da-DK"/>
        </w:rPr>
      </w:pPr>
      <w:bookmarkStart w:id="197" w:name="_Hlk216366358"/>
      <w:r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p>
    <w:bookmarkEnd w:id="197"/>
    <w:p w14:paraId="2CB2434A" w14:textId="6BB22C9C" w:rsidR="00D33CAA" w:rsidRPr="00796736" w:rsidRDefault="00D33CAA" w:rsidP="0053178C">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 xml:space="preserve">Stk. </w:t>
      </w:r>
      <w:r w:rsidR="00496541" w:rsidRPr="00796736">
        <w:rPr>
          <w:rFonts w:ascii="Times New Roman" w:eastAsia="Times New Roman" w:hAnsi="Times New Roman" w:cs="Times New Roman"/>
          <w:i/>
          <w:iCs/>
          <w:sz w:val="24"/>
          <w:szCs w:val="24"/>
          <w:lang w:eastAsia="da-DK"/>
        </w:rPr>
        <w:t>3</w:t>
      </w:r>
      <w:r w:rsidRPr="00796736">
        <w:rPr>
          <w:rFonts w:ascii="Times New Roman" w:eastAsia="Times New Roman" w:hAnsi="Times New Roman" w:cs="Times New Roman"/>
          <w:i/>
          <w:iCs/>
          <w:sz w:val="24"/>
          <w:szCs w:val="24"/>
          <w:lang w:eastAsia="da-DK"/>
        </w:rPr>
        <w:t>.</w:t>
      </w:r>
      <w:r w:rsidRPr="00796736">
        <w:rPr>
          <w:rFonts w:ascii="Times New Roman" w:eastAsia="Times New Roman" w:hAnsi="Times New Roman" w:cs="Times New Roman"/>
          <w:b/>
          <w:bCs/>
          <w:sz w:val="24"/>
          <w:szCs w:val="24"/>
          <w:lang w:eastAsia="da-DK"/>
        </w:rPr>
        <w:t xml:space="preserve"> </w:t>
      </w:r>
      <w:r w:rsidRPr="00796736">
        <w:rPr>
          <w:rFonts w:ascii="Times New Roman" w:eastAsia="Times New Roman" w:hAnsi="Times New Roman" w:cs="Times New Roman"/>
          <w:sz w:val="24"/>
          <w:szCs w:val="24"/>
          <w:lang w:eastAsia="da-DK"/>
        </w:rPr>
        <w:t>Uanset stk. 1 og 2 påser</w:t>
      </w:r>
      <w:r w:rsidRPr="00796736">
        <w:rPr>
          <w:rFonts w:ascii="Times New Roman" w:eastAsia="Times New Roman" w:hAnsi="Times New Roman" w:cs="Times New Roman"/>
          <w:b/>
          <w:bCs/>
          <w:sz w:val="24"/>
          <w:szCs w:val="24"/>
          <w:lang w:eastAsia="da-DK"/>
        </w:rPr>
        <w:t xml:space="preserve"> </w:t>
      </w:r>
      <w:r w:rsidRPr="00796736">
        <w:rPr>
          <w:rFonts w:ascii="Times New Roman" w:eastAsia="Times New Roman" w:hAnsi="Times New Roman" w:cs="Times New Roman"/>
          <w:sz w:val="24"/>
          <w:szCs w:val="24"/>
          <w:lang w:eastAsia="da-DK"/>
        </w:rPr>
        <w:t>tilsynsmyndighederne i et EU- eller EØS-land, at de her i landet beliggende distributører og agenter eller andre typer infrastruktur, af udenlandske virksomheder og personer, som nævnt i §</w:t>
      </w:r>
      <w:r w:rsidR="000E5287" w:rsidRPr="00796736">
        <w:rPr>
          <w:rFonts w:ascii="Times New Roman" w:eastAsia="Times New Roman" w:hAnsi="Times New Roman" w:cs="Times New Roman"/>
          <w:sz w:val="24"/>
          <w:szCs w:val="24"/>
          <w:lang w:eastAsia="da-DK"/>
        </w:rPr>
        <w:t xml:space="preserve"> 2, nr. 6 og 12,</w:t>
      </w:r>
      <w:r w:rsidRPr="00796736">
        <w:rPr>
          <w:rFonts w:ascii="Times New Roman" w:eastAsia="Times New Roman" w:hAnsi="Times New Roman" w:cs="Times New Roman"/>
          <w:sz w:val="24"/>
          <w:szCs w:val="24"/>
          <w:lang w:eastAsia="da-DK"/>
        </w:rPr>
        <w:t xml:space="preserve"> med hjemsted i det pågældende land, overholder hvidvaskforordningen, pengeoverførselsforordningen, denne lov og regler udstedt i medfør heraf samt love og forordninger indeholdende regler om finansielle sanktioner mod lande, personer, grupper, juridiske enheder eller organer, når</w:t>
      </w:r>
    </w:p>
    <w:p w14:paraId="4DCC4553" w14:textId="77777777" w:rsidR="00D33CAA" w:rsidRPr="00796736" w:rsidRDefault="00D33CAA">
      <w:pPr>
        <w:pStyle w:val="Listeafsnit"/>
        <w:numPr>
          <w:ilvl w:val="0"/>
          <w:numId w:val="82"/>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kriterierne i den reguleringsmæssige tekniske standard, der er omhandlet i artikel 41, stk. 2, i hvidvaskdirektivet ikke er opfyldt, og </w:t>
      </w:r>
    </w:p>
    <w:p w14:paraId="308C5A05" w14:textId="77777777" w:rsidR="00D33CAA" w:rsidRPr="00796736" w:rsidRDefault="00D33CAA">
      <w:pPr>
        <w:pStyle w:val="Listeafsnit"/>
        <w:numPr>
          <w:ilvl w:val="0"/>
          <w:numId w:val="82"/>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Finanstilsynet giver meddelelse til tilsynsmyndigheden i det EU- eller EØS-land, hvor den udenlandske virksomhed eller person har sit hjemsted om, at tilsynet her i landet, i betragtning af agentens, distributørens eller andre typer infrastrukturs begrænsede aktiviteter, skal udføres af tilsynsmyndigheden i den medlemsstat, hvor virksomheden eller personen har hjemsted. </w:t>
      </w:r>
    </w:p>
    <w:p w14:paraId="136635A1" w14:textId="7C3611AF" w:rsidR="00D33CAA" w:rsidRPr="00796736" w:rsidRDefault="00D33CAA" w:rsidP="0053178C">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 xml:space="preserve">Stk. </w:t>
      </w:r>
      <w:r w:rsidR="00496541" w:rsidRPr="00796736">
        <w:rPr>
          <w:rFonts w:ascii="Times New Roman" w:eastAsia="Times New Roman" w:hAnsi="Times New Roman" w:cs="Times New Roman"/>
          <w:i/>
          <w:iCs/>
          <w:sz w:val="24"/>
          <w:szCs w:val="24"/>
          <w:lang w:eastAsia="da-DK"/>
        </w:rPr>
        <w:t>4</w:t>
      </w:r>
      <w:r w:rsidRPr="00796736">
        <w:rPr>
          <w:rFonts w:ascii="Times New Roman" w:eastAsia="Times New Roman" w:hAnsi="Times New Roman" w:cs="Times New Roman"/>
          <w:i/>
          <w:iCs/>
          <w:sz w:val="24"/>
          <w:szCs w:val="24"/>
          <w:lang w:eastAsia="da-DK"/>
        </w:rPr>
        <w:t>.</w:t>
      </w:r>
      <w:r w:rsidRPr="00796736">
        <w:rPr>
          <w:rFonts w:ascii="Times New Roman" w:eastAsia="Times New Roman" w:hAnsi="Times New Roman" w:cs="Times New Roman"/>
          <w:sz w:val="24"/>
          <w:szCs w:val="24"/>
          <w:lang w:eastAsia="da-DK"/>
        </w:rPr>
        <w:t xml:space="preserve"> Finanstilsynet påser, at de i et andet </w:t>
      </w:r>
      <w:r w:rsidRPr="00796736">
        <w:rPr>
          <w:rFonts w:ascii="Times New Roman" w:eastAsia="Times New Roman" w:hAnsi="Times New Roman" w:cs="Times New Roman"/>
          <w:iCs/>
          <w:sz w:val="24"/>
          <w:szCs w:val="24"/>
          <w:lang w:eastAsia="da-DK"/>
        </w:rPr>
        <w:t>EU- eller EØS-land</w:t>
      </w:r>
      <w:r w:rsidRPr="00796736">
        <w:rPr>
          <w:rFonts w:ascii="Times New Roman" w:eastAsia="Times New Roman" w:hAnsi="Times New Roman" w:cs="Times New Roman"/>
          <w:sz w:val="24"/>
          <w:szCs w:val="24"/>
          <w:lang w:eastAsia="da-DK"/>
        </w:rPr>
        <w:t xml:space="preserve"> beliggende distributører, agenter eller andre typer infrastruktur, af virksomheder og personer som nævnt i § </w:t>
      </w:r>
      <w:r w:rsidR="000E5287" w:rsidRPr="00796736">
        <w:rPr>
          <w:rFonts w:ascii="Times New Roman" w:eastAsia="Times New Roman" w:hAnsi="Times New Roman" w:cs="Times New Roman"/>
          <w:sz w:val="24"/>
          <w:szCs w:val="24"/>
          <w:lang w:eastAsia="da-DK"/>
        </w:rPr>
        <w:t>2, nr. 6 og 12,</w:t>
      </w:r>
      <w:r w:rsidRPr="00796736">
        <w:rPr>
          <w:rFonts w:ascii="Times New Roman" w:eastAsia="Times New Roman" w:hAnsi="Times New Roman" w:cs="Times New Roman"/>
          <w:sz w:val="24"/>
          <w:szCs w:val="24"/>
          <w:lang w:eastAsia="da-DK"/>
        </w:rPr>
        <w:t xml:space="preserve"> med hjemsted i Danmark, overholder hvidvaskforordningen, pengeoverførselsforordningen, denne lov og regler udstedt i medfør heraf samt love og forordninger indeholdende regler om finansielle sanktioner mod lande, personer, grupper, juridiske enheder eller organer, når</w:t>
      </w:r>
    </w:p>
    <w:p w14:paraId="532423B9" w14:textId="77777777" w:rsidR="00D33CAA" w:rsidRPr="00796736" w:rsidRDefault="00D33CAA">
      <w:pPr>
        <w:pStyle w:val="Listeafsnit"/>
        <w:numPr>
          <w:ilvl w:val="0"/>
          <w:numId w:val="83"/>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kriterierne i den reguleringsmæssige tekniske standard, der er omhandlet i artikel 41, stk. 2, i hvidvaskdirektivet ikke er opfyldt, og </w:t>
      </w:r>
    </w:p>
    <w:p w14:paraId="2C7B5FED" w14:textId="7952734B" w:rsidR="00D33CAA" w:rsidRPr="00796736" w:rsidRDefault="00446638">
      <w:pPr>
        <w:pStyle w:val="Listeafsnit"/>
        <w:numPr>
          <w:ilvl w:val="0"/>
          <w:numId w:val="83"/>
        </w:numPr>
        <w:spacing w:line="36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t</w:t>
      </w:r>
      <w:r w:rsidR="00D33CAA" w:rsidRPr="00796736">
        <w:rPr>
          <w:rFonts w:ascii="Times New Roman" w:eastAsia="Times New Roman" w:hAnsi="Times New Roman" w:cs="Times New Roman"/>
          <w:sz w:val="24"/>
          <w:szCs w:val="24"/>
          <w:lang w:eastAsia="da-DK"/>
        </w:rPr>
        <w:t>ilsynsmyndigheden i det land, hvor agenten, distributøren eller andre typer infrastruktur driver virksomhed, har givet meddelelse til Finanstilsynet om, at tilsynet, i betragtning af agentens eller distributørens eller andre typer infrastrukturs begrænsede aktiviteter i landet, skal udføres af tilsynsmyndigheden i den medlemsstat, hvor virksomheden eller personen har sit hjemsted.</w:t>
      </w:r>
    </w:p>
    <w:p w14:paraId="141BDA45" w14:textId="72C21E4F" w:rsidR="00D33CAA" w:rsidRPr="00796736" w:rsidRDefault="00D33CAA" w:rsidP="0053178C">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 xml:space="preserve">Stk. </w:t>
      </w:r>
      <w:r w:rsidR="00496541" w:rsidRPr="00796736">
        <w:rPr>
          <w:rFonts w:ascii="Times New Roman" w:eastAsia="Times New Roman" w:hAnsi="Times New Roman" w:cs="Times New Roman"/>
          <w:i/>
          <w:iCs/>
          <w:sz w:val="24"/>
          <w:szCs w:val="24"/>
          <w:lang w:eastAsia="da-DK"/>
        </w:rPr>
        <w:t>5</w:t>
      </w:r>
      <w:r w:rsidRPr="00796736">
        <w:rPr>
          <w:rFonts w:ascii="Times New Roman" w:eastAsia="Times New Roman" w:hAnsi="Times New Roman" w:cs="Times New Roman"/>
          <w:sz w:val="24"/>
          <w:szCs w:val="24"/>
          <w:lang w:eastAsia="da-DK"/>
        </w:rPr>
        <w:t xml:space="preserve">. Finanstilsynet underretter inden for to uger efter modtagelsen af en meddelelse i henhold til stk. </w:t>
      </w:r>
      <w:r w:rsidR="00496541" w:rsidRPr="00796736">
        <w:rPr>
          <w:rFonts w:ascii="Times New Roman" w:eastAsia="Times New Roman" w:hAnsi="Times New Roman" w:cs="Times New Roman"/>
          <w:sz w:val="24"/>
          <w:szCs w:val="24"/>
          <w:lang w:eastAsia="da-DK"/>
        </w:rPr>
        <w:t>4</w:t>
      </w:r>
      <w:r w:rsidRPr="00796736">
        <w:rPr>
          <w:rFonts w:ascii="Times New Roman" w:eastAsia="Times New Roman" w:hAnsi="Times New Roman" w:cs="Times New Roman"/>
          <w:sz w:val="24"/>
          <w:szCs w:val="24"/>
          <w:lang w:eastAsia="da-DK"/>
        </w:rPr>
        <w:t>, den virksomhed eller person som meddelelsen vedrører om Finanstilsynets tilsyn samt om enhver efterfølgende ændring heri.</w:t>
      </w:r>
    </w:p>
    <w:p w14:paraId="0B91545F" w14:textId="4AD6DC7A" w:rsidR="00D33CAA" w:rsidRPr="00796736" w:rsidRDefault="00D33CAA" w:rsidP="0053178C">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 xml:space="preserve">Stk. </w:t>
      </w:r>
      <w:r w:rsidR="006D780F" w:rsidRPr="00796736">
        <w:rPr>
          <w:rFonts w:ascii="Times New Roman" w:eastAsia="Times New Roman" w:hAnsi="Times New Roman" w:cs="Times New Roman"/>
          <w:i/>
          <w:iCs/>
          <w:sz w:val="24"/>
          <w:szCs w:val="24"/>
          <w:lang w:eastAsia="da-DK"/>
        </w:rPr>
        <w:t>6</w:t>
      </w:r>
      <w:r w:rsidRPr="00796736">
        <w:rPr>
          <w:rFonts w:ascii="Times New Roman" w:eastAsia="Times New Roman" w:hAnsi="Times New Roman" w:cs="Times New Roman"/>
          <w:sz w:val="24"/>
          <w:szCs w:val="24"/>
          <w:lang w:eastAsia="da-DK"/>
        </w:rPr>
        <w:t>. Stk. 1-</w:t>
      </w:r>
      <w:r w:rsidR="00496541" w:rsidRPr="00796736">
        <w:rPr>
          <w:rFonts w:ascii="Times New Roman" w:eastAsia="Times New Roman" w:hAnsi="Times New Roman" w:cs="Times New Roman"/>
          <w:sz w:val="24"/>
          <w:szCs w:val="24"/>
          <w:lang w:eastAsia="da-DK"/>
        </w:rPr>
        <w:t>4</w:t>
      </w:r>
      <w:r w:rsidRPr="00796736">
        <w:rPr>
          <w:rFonts w:ascii="Times New Roman" w:eastAsia="Times New Roman" w:hAnsi="Times New Roman" w:cs="Times New Roman"/>
          <w:sz w:val="24"/>
          <w:szCs w:val="24"/>
          <w:lang w:eastAsia="da-DK"/>
        </w:rPr>
        <w:t xml:space="preserve"> finder ikke anvendelse når </w:t>
      </w:r>
      <w:r w:rsidR="00496541" w:rsidRPr="00796736">
        <w:rPr>
          <w:rFonts w:ascii="Times New Roman" w:eastAsia="Times New Roman" w:hAnsi="Times New Roman" w:cs="Times New Roman"/>
          <w:sz w:val="24"/>
          <w:szCs w:val="24"/>
          <w:lang w:eastAsia="da-DK"/>
        </w:rPr>
        <w:t>AMLA</w:t>
      </w:r>
      <w:r w:rsidRPr="00796736">
        <w:rPr>
          <w:rFonts w:ascii="Times New Roman" w:eastAsia="Times New Roman" w:hAnsi="Times New Roman" w:cs="Times New Roman"/>
          <w:sz w:val="24"/>
          <w:szCs w:val="24"/>
          <w:lang w:eastAsia="da-DK"/>
        </w:rPr>
        <w:t xml:space="preserve"> i henhold til hvidvaskforordningen fungerer som tilsynsorgan </w:t>
      </w:r>
      <w:bookmarkStart w:id="198" w:name="_Hlk227923528"/>
      <w:r w:rsidRPr="00796736">
        <w:rPr>
          <w:rFonts w:ascii="Times New Roman" w:eastAsia="Times New Roman" w:hAnsi="Times New Roman" w:cs="Times New Roman"/>
          <w:sz w:val="24"/>
          <w:szCs w:val="24"/>
          <w:lang w:eastAsia="da-DK"/>
        </w:rPr>
        <w:t xml:space="preserve">for udvalgte </w:t>
      </w:r>
      <w:bookmarkEnd w:id="198"/>
      <w:r w:rsidR="006D780F" w:rsidRPr="00796736">
        <w:rPr>
          <w:rFonts w:ascii="Times New Roman" w:eastAsia="Times New Roman" w:hAnsi="Times New Roman" w:cs="Times New Roman"/>
          <w:sz w:val="24"/>
          <w:szCs w:val="24"/>
          <w:lang w:eastAsia="da-DK"/>
        </w:rPr>
        <w:t>virksomheder.</w:t>
      </w:r>
    </w:p>
    <w:p w14:paraId="50662B9D" w14:textId="77777777" w:rsidR="004E155B" w:rsidRPr="00796736" w:rsidRDefault="004E155B" w:rsidP="0053178C">
      <w:pPr>
        <w:spacing w:line="360" w:lineRule="auto"/>
        <w:ind w:firstLine="238"/>
        <w:rPr>
          <w:rFonts w:ascii="Times New Roman" w:hAnsi="Times New Roman" w:cs="Times New Roman"/>
          <w:sz w:val="24"/>
          <w:szCs w:val="24"/>
        </w:rPr>
      </w:pPr>
    </w:p>
    <w:p w14:paraId="03DDA08C" w14:textId="2DF5FDB1" w:rsidR="004E155B" w:rsidRPr="00796736" w:rsidRDefault="004E155B" w:rsidP="0053178C">
      <w:pPr>
        <w:pStyle w:val="Typografi1"/>
        <w:ind w:left="0" w:firstLine="238"/>
        <w:rPr>
          <w:rFonts w:ascii="Times New Roman" w:hAnsi="Times New Roman" w:cs="Times New Roman"/>
          <w:sz w:val="24"/>
          <w:szCs w:val="24"/>
        </w:rPr>
      </w:pPr>
      <w:bookmarkStart w:id="199" w:name="_Ref232597060"/>
      <w:bookmarkStart w:id="200" w:name="_Toc244879038"/>
      <w:bookmarkStart w:id="201" w:name="_Toc244880562"/>
      <w:r w:rsidRPr="00796736">
        <w:rPr>
          <w:rFonts w:ascii="Times New Roman" w:hAnsi="Times New Roman" w:cs="Times New Roman"/>
          <w:sz w:val="24"/>
          <w:szCs w:val="24"/>
        </w:rPr>
        <w:t xml:space="preserve">Finanstilsynet påser, at virksomheder omfattet af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_Ref232583170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w:t>
      </w:r>
      <w:r w:rsidR="00344547" w:rsidRPr="00796736">
        <w:rPr>
          <w:rFonts w:ascii="Times New Roman" w:hAnsi="Times New Roman" w:cs="Times New Roman"/>
          <w:sz w:val="24"/>
          <w:szCs w:val="24"/>
        </w:rPr>
        <w:t>6</w:t>
      </w:r>
      <w:r w:rsidRPr="00796736">
        <w:rPr>
          <w:rFonts w:ascii="Times New Roman" w:hAnsi="Times New Roman" w:cs="Times New Roman"/>
          <w:sz w:val="24"/>
          <w:szCs w:val="24"/>
        </w:rPr>
        <w:t xml:space="preserve">, overholder forordninger indeholdende regler om finansielle sanktioner mod lande, personer, grupper, juridiske enheder eller organer med den kompetence, som Finanstilsynet er tillagt i medfør af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2</w:t>
      </w:r>
      <w:r w:rsidR="00344547" w:rsidRPr="00796736">
        <w:rPr>
          <w:rFonts w:ascii="Times New Roman" w:hAnsi="Times New Roman" w:cs="Times New Roman"/>
          <w:sz w:val="24"/>
          <w:szCs w:val="24"/>
        </w:rPr>
        <w:t>,</w:t>
      </w:r>
      <w:r w:rsidR="00027E6C" w:rsidRPr="00796736">
        <w:rPr>
          <w:rFonts w:ascii="Times New Roman" w:hAnsi="Times New Roman" w:cs="Times New Roman"/>
          <w:sz w:val="24"/>
          <w:szCs w:val="24"/>
        </w:rPr>
        <w:t xml:space="preserve"> samt </w:t>
      </w:r>
      <w:r w:rsidR="00C115BA" w:rsidRPr="00796736">
        <w:rPr>
          <w:rFonts w:ascii="Times New Roman" w:hAnsi="Times New Roman" w:cs="Times New Roman"/>
          <w:sz w:val="24"/>
          <w:szCs w:val="24"/>
        </w:rPr>
        <w:fldChar w:fldCharType="begin"/>
      </w:r>
      <w:r w:rsidR="00C115BA" w:rsidRPr="00796736">
        <w:rPr>
          <w:rFonts w:ascii="Times New Roman" w:hAnsi="Times New Roman" w:cs="Times New Roman"/>
          <w:sz w:val="24"/>
          <w:szCs w:val="24"/>
        </w:rPr>
        <w:instrText xml:space="preserve"> REF _Ref232597084 \r \h </w:instrText>
      </w:r>
      <w:r w:rsidR="00967618" w:rsidRPr="00796736">
        <w:rPr>
          <w:rFonts w:ascii="Times New Roman" w:hAnsi="Times New Roman" w:cs="Times New Roman"/>
          <w:sz w:val="24"/>
          <w:szCs w:val="24"/>
        </w:rPr>
        <w:instrText xml:space="preserve"> \* MERGEFORMAT </w:instrText>
      </w:r>
      <w:r w:rsidR="00C115BA" w:rsidRPr="00796736">
        <w:rPr>
          <w:rFonts w:ascii="Times New Roman" w:hAnsi="Times New Roman" w:cs="Times New Roman"/>
          <w:sz w:val="24"/>
          <w:szCs w:val="24"/>
        </w:rPr>
      </w:r>
      <w:r w:rsidR="00C115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00C115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bookmarkEnd w:id="199"/>
      <w:bookmarkEnd w:id="200"/>
      <w:bookmarkEnd w:id="201"/>
    </w:p>
    <w:p w14:paraId="34FC5043" w14:textId="03D9B4A2" w:rsidR="004E155B" w:rsidRPr="00796736" w:rsidRDefault="004E155B"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w:t>
      </w:r>
      <w:r w:rsidR="007645AE">
        <w:rPr>
          <w:rFonts w:ascii="Times New Roman" w:hAnsi="Times New Roman" w:cs="Times New Roman"/>
          <w:sz w:val="24"/>
          <w:szCs w:val="24"/>
        </w:rPr>
        <w:t xml:space="preserve"> §</w:t>
      </w:r>
      <w:r w:rsidR="00D569FF">
        <w:rPr>
          <w:rFonts w:ascii="Times New Roman" w:hAnsi="Times New Roman" w:cs="Times New Roman"/>
          <w:sz w:val="24"/>
          <w:szCs w:val="24"/>
        </w:rPr>
        <w:fldChar w:fldCharType="begin"/>
      </w:r>
      <w:r w:rsidR="00D569FF">
        <w:rPr>
          <w:rFonts w:ascii="Times New Roman" w:hAnsi="Times New Roman" w:cs="Times New Roman"/>
          <w:sz w:val="24"/>
          <w:szCs w:val="24"/>
        </w:rPr>
        <w:instrText xml:space="preserve"> REF _Ref232597109 \r \h </w:instrText>
      </w:r>
      <w:r w:rsidR="00D569FF">
        <w:rPr>
          <w:rFonts w:ascii="Times New Roman" w:hAnsi="Times New Roman" w:cs="Times New Roman"/>
          <w:sz w:val="24"/>
          <w:szCs w:val="24"/>
        </w:rPr>
      </w:r>
      <w:r w:rsidR="00D569FF">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D569FF">
        <w:rPr>
          <w:rFonts w:ascii="Times New Roman" w:hAnsi="Times New Roman" w:cs="Times New Roman"/>
          <w:sz w:val="24"/>
          <w:szCs w:val="24"/>
        </w:rPr>
        <w:fldChar w:fldCharType="end"/>
      </w:r>
      <w:r w:rsidR="008C2B6A">
        <w:rPr>
          <w:rFonts w:ascii="Times New Roman" w:hAnsi="Times New Roman" w:cs="Times New Roman"/>
          <w:sz w:val="24"/>
          <w:szCs w:val="24"/>
        </w:rPr>
        <w:t>,</w:t>
      </w:r>
      <w:r w:rsidR="007645AE">
        <w:rPr>
          <w:rFonts w:ascii="Times New Roman" w:hAnsi="Times New Roman" w:cs="Times New Roman"/>
          <w:sz w:val="24"/>
          <w:szCs w:val="24"/>
        </w:rPr>
        <w:t xml:space="preserve"> </w:t>
      </w:r>
      <w:r w:rsidR="00D569FF">
        <w:rPr>
          <w:rFonts w:ascii="Times New Roman" w:hAnsi="Times New Roman" w:cs="Times New Roman"/>
          <w:sz w:val="24"/>
          <w:szCs w:val="24"/>
        </w:rPr>
        <w:fldChar w:fldCharType="begin"/>
      </w:r>
      <w:r w:rsidR="00D569FF">
        <w:rPr>
          <w:rFonts w:ascii="Times New Roman" w:hAnsi="Times New Roman" w:cs="Times New Roman"/>
          <w:sz w:val="24"/>
          <w:szCs w:val="24"/>
        </w:rPr>
        <w:instrText xml:space="preserve"> REF _Ref232597126 \r \h </w:instrText>
      </w:r>
      <w:r w:rsidR="00D569FF">
        <w:rPr>
          <w:rFonts w:ascii="Times New Roman" w:hAnsi="Times New Roman" w:cs="Times New Roman"/>
          <w:sz w:val="24"/>
          <w:szCs w:val="24"/>
        </w:rPr>
      </w:r>
      <w:r w:rsidR="00D569FF">
        <w:rPr>
          <w:rFonts w:ascii="Times New Roman" w:hAnsi="Times New Roman" w:cs="Times New Roman"/>
          <w:sz w:val="24"/>
          <w:szCs w:val="24"/>
        </w:rPr>
        <w:fldChar w:fldCharType="separate"/>
      </w:r>
      <w:r w:rsidR="008F29E5">
        <w:rPr>
          <w:rFonts w:ascii="Times New Roman" w:hAnsi="Times New Roman" w:cs="Times New Roman"/>
          <w:sz w:val="24"/>
          <w:szCs w:val="24"/>
        </w:rPr>
        <w:t>59</w:t>
      </w:r>
      <w:r w:rsidR="00D569FF">
        <w:rPr>
          <w:rFonts w:ascii="Times New Roman" w:hAnsi="Times New Roman" w:cs="Times New Roman"/>
          <w:sz w:val="24"/>
          <w:szCs w:val="24"/>
        </w:rPr>
        <w:fldChar w:fldCharType="end"/>
      </w:r>
      <w:r w:rsidR="008C2B6A">
        <w:rPr>
          <w:rFonts w:ascii="Times New Roman" w:hAnsi="Times New Roman" w:cs="Times New Roman"/>
          <w:sz w:val="24"/>
          <w:szCs w:val="24"/>
        </w:rPr>
        <w:t>, 63</w:t>
      </w:r>
      <w:r w:rsidR="00D569FF">
        <w:rPr>
          <w:rFonts w:ascii="Times New Roman" w:hAnsi="Times New Roman" w:cs="Times New Roman"/>
          <w:sz w:val="24"/>
          <w:szCs w:val="24"/>
        </w:rPr>
        <w:t xml:space="preserve"> </w:t>
      </w:r>
      <w:r w:rsidR="007645AE">
        <w:rPr>
          <w:rFonts w:ascii="Times New Roman" w:hAnsi="Times New Roman" w:cs="Times New Roman"/>
          <w:sz w:val="24"/>
          <w:szCs w:val="24"/>
        </w:rPr>
        <w:t>og</w:t>
      </w:r>
      <w:r w:rsidR="00D569FF">
        <w:rPr>
          <w:rFonts w:ascii="Times New Roman" w:hAnsi="Times New Roman" w:cs="Times New Roman"/>
          <w:sz w:val="24"/>
          <w:szCs w:val="24"/>
        </w:rPr>
        <w:fldChar w:fldCharType="begin"/>
      </w:r>
      <w:r w:rsidR="00D569FF">
        <w:rPr>
          <w:rFonts w:ascii="Times New Roman" w:hAnsi="Times New Roman" w:cs="Times New Roman"/>
          <w:sz w:val="24"/>
          <w:szCs w:val="24"/>
        </w:rPr>
        <w:instrText xml:space="preserve"> REF _Ref239790980 \r \h </w:instrText>
      </w:r>
      <w:r w:rsidR="00D569FF">
        <w:rPr>
          <w:rFonts w:ascii="Times New Roman" w:hAnsi="Times New Roman" w:cs="Times New Roman"/>
          <w:sz w:val="24"/>
          <w:szCs w:val="24"/>
        </w:rPr>
      </w:r>
      <w:r w:rsidR="00D569FF">
        <w:rPr>
          <w:rFonts w:ascii="Times New Roman" w:hAnsi="Times New Roman" w:cs="Times New Roman"/>
          <w:sz w:val="24"/>
          <w:szCs w:val="24"/>
        </w:rPr>
        <w:fldChar w:fldCharType="separate"/>
      </w:r>
      <w:r w:rsidR="008F29E5">
        <w:rPr>
          <w:rFonts w:ascii="Times New Roman" w:hAnsi="Times New Roman" w:cs="Times New Roman"/>
          <w:sz w:val="24"/>
          <w:szCs w:val="24"/>
        </w:rPr>
        <w:t xml:space="preserve"> 69</w:t>
      </w:r>
      <w:r w:rsidR="00D569FF">
        <w:rPr>
          <w:rFonts w:ascii="Times New Roman" w:hAnsi="Times New Roman" w:cs="Times New Roman"/>
          <w:sz w:val="24"/>
          <w:szCs w:val="24"/>
        </w:rPr>
        <w:fldChar w:fldCharType="end"/>
      </w:r>
      <w:r w:rsidR="008E134E" w:rsidRPr="00796736">
        <w:rPr>
          <w:rFonts w:ascii="Times New Roman" w:hAnsi="Times New Roman" w:cs="Times New Roman"/>
          <w:sz w:val="24"/>
          <w:szCs w:val="24"/>
        </w:rPr>
        <w:t xml:space="preserve"> </w:t>
      </w:r>
      <w:r w:rsidRPr="00796736">
        <w:rPr>
          <w:rFonts w:ascii="Times New Roman" w:hAnsi="Times New Roman" w:cs="Times New Roman"/>
          <w:sz w:val="24"/>
          <w:szCs w:val="24"/>
        </w:rPr>
        <w:t>finder tilsvarende anvendelse på skadesforsikringsselskabers overholdelse af forordninger indeholdende regler om finansielle sanktioner mod lande, personer, grupper, juridiske enheder eller organer.</w:t>
      </w:r>
    </w:p>
    <w:p w14:paraId="298CB54A" w14:textId="77777777" w:rsidR="00AD6592" w:rsidRPr="00796736" w:rsidRDefault="00AD6592" w:rsidP="00A802A5">
      <w:pPr>
        <w:spacing w:line="360" w:lineRule="auto"/>
        <w:rPr>
          <w:rFonts w:ascii="Times New Roman" w:hAnsi="Times New Roman" w:cs="Times New Roman"/>
          <w:sz w:val="24"/>
          <w:szCs w:val="24"/>
        </w:rPr>
      </w:pPr>
    </w:p>
    <w:p w14:paraId="36F71768" w14:textId="6E6FFC83" w:rsidR="00EA1243" w:rsidRPr="00796736" w:rsidRDefault="00AD6592"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Finanstilsynets bestyrelse</w:t>
      </w:r>
    </w:p>
    <w:p w14:paraId="64706B05" w14:textId="001756DA" w:rsidR="00AD6592" w:rsidRPr="00796736" w:rsidRDefault="00EA1243" w:rsidP="0053178C">
      <w:pPr>
        <w:pStyle w:val="Typografi1"/>
        <w:ind w:left="0" w:firstLine="238"/>
        <w:rPr>
          <w:rFonts w:ascii="Times New Roman" w:hAnsi="Times New Roman" w:cs="Times New Roman"/>
          <w:sz w:val="24"/>
          <w:szCs w:val="24"/>
        </w:rPr>
      </w:pPr>
      <w:bookmarkStart w:id="202" w:name="_Ref232597084"/>
      <w:bookmarkStart w:id="203" w:name="_Toc244879039"/>
      <w:bookmarkStart w:id="204" w:name="_Toc244880563"/>
      <w:r w:rsidRPr="00796736">
        <w:rPr>
          <w:rFonts w:ascii="Times New Roman" w:eastAsia="Times New Roman" w:hAnsi="Times New Roman" w:cs="Times New Roman"/>
          <w:sz w:val="24"/>
          <w:szCs w:val="24"/>
          <w:lang w:eastAsia="da-DK"/>
        </w:rPr>
        <w:t>Finanstilsynets bestyrelse indgår i tilsynet efter</w:t>
      </w:r>
      <w:r w:rsidR="003D4CDB" w:rsidRPr="00796736">
        <w:rPr>
          <w:rFonts w:ascii="Times New Roman" w:eastAsia="Times New Roman" w:hAnsi="Times New Roman" w:cs="Times New Roman"/>
          <w:sz w:val="24"/>
          <w:szCs w:val="24"/>
          <w:lang w:eastAsia="da-DK"/>
        </w:rPr>
        <w:t xml:space="preserve"> </w:t>
      </w:r>
      <w:r w:rsidR="003D4CDB" w:rsidRPr="00796736">
        <w:rPr>
          <w:rFonts w:ascii="Times New Roman" w:hAnsi="Times New Roman" w:cs="Times New Roman"/>
          <w:sz w:val="24"/>
          <w:szCs w:val="24"/>
        </w:rPr>
        <w:fldChar w:fldCharType="begin"/>
      </w:r>
      <w:r w:rsidR="003D4CDB"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3D4CDB" w:rsidRPr="00796736">
        <w:rPr>
          <w:rFonts w:ascii="Times New Roman" w:hAnsi="Times New Roman" w:cs="Times New Roman"/>
          <w:sz w:val="24"/>
          <w:szCs w:val="24"/>
        </w:rPr>
      </w:r>
      <w:r w:rsidR="003D4CD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D4CDB" w:rsidRPr="00796736">
        <w:rPr>
          <w:rFonts w:ascii="Times New Roman" w:hAnsi="Times New Roman" w:cs="Times New Roman"/>
          <w:sz w:val="24"/>
          <w:szCs w:val="24"/>
        </w:rPr>
        <w:fldChar w:fldCharType="end"/>
      </w:r>
      <w:r w:rsidR="003D4CDB"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stk. 1 og 2, med den kompetence, som bestyrelsen er tillagt i medfør af § 345 i lov om finansiel virksomhed.</w:t>
      </w:r>
      <w:bookmarkEnd w:id="202"/>
      <w:bookmarkEnd w:id="203"/>
      <w:bookmarkEnd w:id="204"/>
    </w:p>
    <w:p w14:paraId="173A9B31" w14:textId="77777777" w:rsidR="00AD6592" w:rsidRPr="00796736" w:rsidRDefault="00AD6592" w:rsidP="0053178C">
      <w:pPr>
        <w:spacing w:line="360" w:lineRule="auto"/>
        <w:ind w:firstLine="238"/>
        <w:rPr>
          <w:rFonts w:ascii="Times New Roman" w:hAnsi="Times New Roman" w:cs="Times New Roman"/>
          <w:sz w:val="24"/>
          <w:szCs w:val="24"/>
        </w:rPr>
      </w:pPr>
    </w:p>
    <w:p w14:paraId="66CD0B83" w14:textId="30152A0D" w:rsidR="00EA1243" w:rsidRPr="00796736" w:rsidRDefault="00AD6592"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Indhentelse af oplysninger</w:t>
      </w:r>
    </w:p>
    <w:p w14:paraId="73921617" w14:textId="6B8EC27F" w:rsidR="00F83081" w:rsidRPr="00796736" w:rsidRDefault="0042556A" w:rsidP="0053178C">
      <w:pPr>
        <w:pStyle w:val="Typografi1"/>
        <w:ind w:left="0" w:firstLine="238"/>
        <w:rPr>
          <w:rFonts w:ascii="Times New Roman" w:hAnsi="Times New Roman" w:cs="Times New Roman"/>
          <w:sz w:val="24"/>
          <w:szCs w:val="24"/>
        </w:rPr>
      </w:pPr>
      <w:bookmarkStart w:id="205" w:name="_Ref232597109"/>
      <w:bookmarkStart w:id="206" w:name="_Toc244879040"/>
      <w:bookmarkStart w:id="207" w:name="_Toc244880564"/>
      <w:r w:rsidRPr="00796736">
        <w:rPr>
          <w:rFonts w:ascii="Times New Roman" w:hAnsi="Times New Roman" w:cs="Times New Roman"/>
          <w:sz w:val="24"/>
          <w:szCs w:val="24"/>
        </w:rPr>
        <w:t>Virksomheder og personer som nævnt i</w:t>
      </w:r>
      <w:r w:rsidR="00D61BCE" w:rsidRPr="00796736">
        <w:rPr>
          <w:rFonts w:ascii="Times New Roman" w:hAnsi="Times New Roman" w:cs="Times New Roman"/>
          <w:sz w:val="24"/>
          <w:szCs w:val="24"/>
          <w:lang w:eastAsia="da-DK"/>
        </w:rPr>
        <w:t xml:space="preserve"> § 1, stk. 2, nr. 1-3</w:t>
      </w:r>
      <w:r w:rsidR="005F48B0">
        <w:rPr>
          <w:rFonts w:ascii="Times New Roman" w:hAnsi="Times New Roman" w:cs="Times New Roman"/>
          <w:sz w:val="24"/>
          <w:szCs w:val="24"/>
          <w:lang w:eastAsia="da-DK"/>
        </w:rPr>
        <w:t>,</w:t>
      </w:r>
      <w:r w:rsidR="00D61BCE" w:rsidRPr="00796736">
        <w:rPr>
          <w:rFonts w:ascii="Times New Roman" w:hAnsi="Times New Roman" w:cs="Times New Roman"/>
          <w:sz w:val="24"/>
          <w:szCs w:val="24"/>
          <w:lang w:eastAsia="da-DK"/>
        </w:rPr>
        <w:t xml:space="preserve"> </w:t>
      </w:r>
      <w:r w:rsidR="002B4BDE">
        <w:rPr>
          <w:rFonts w:ascii="Times New Roman" w:hAnsi="Times New Roman" w:cs="Times New Roman"/>
          <w:sz w:val="24"/>
          <w:szCs w:val="24"/>
          <w:lang w:eastAsia="da-DK"/>
        </w:rPr>
        <w:t>samt</w:t>
      </w:r>
      <w:r w:rsidR="00D61BCE" w:rsidRPr="00796736">
        <w:rPr>
          <w:rFonts w:ascii="Times New Roman" w:hAnsi="Times New Roman" w:cs="Times New Roman"/>
          <w:sz w:val="24"/>
          <w:szCs w:val="24"/>
          <w:lang w:eastAsia="da-DK"/>
        </w:rPr>
        <w:t xml:space="preserve"> § 2, nr. 1-19 </w:t>
      </w:r>
      <w:r w:rsidR="002B4BDE">
        <w:rPr>
          <w:rFonts w:ascii="Times New Roman" w:hAnsi="Times New Roman" w:cs="Times New Roman"/>
          <w:sz w:val="24"/>
          <w:szCs w:val="24"/>
          <w:lang w:eastAsia="da-DK"/>
        </w:rPr>
        <w:t>og</w:t>
      </w:r>
      <w:r w:rsidR="00D61BCE" w:rsidRPr="00796736">
        <w:rPr>
          <w:rFonts w:ascii="Times New Roman" w:hAnsi="Times New Roman" w:cs="Times New Roman"/>
          <w:sz w:val="24"/>
          <w:szCs w:val="24"/>
          <w:lang w:eastAsia="da-DK"/>
        </w:rPr>
        <w:t xml:space="preserve"> 32, litra a</w:t>
      </w:r>
      <w:r w:rsidRPr="00796736">
        <w:rPr>
          <w:rFonts w:ascii="Times New Roman" w:hAnsi="Times New Roman" w:cs="Times New Roman"/>
          <w:sz w:val="24"/>
          <w:szCs w:val="24"/>
        </w:rPr>
        <w:t xml:space="preserve">, samt leverandører og underleverandører til disse skal give Finanstilsynet de oplysninger, der er nødvendige for tilsynets virksomhed. </w:t>
      </w:r>
      <w:r w:rsidR="00F83081" w:rsidRPr="00796736">
        <w:rPr>
          <w:rFonts w:ascii="Times New Roman" w:hAnsi="Times New Roman" w:cs="Times New Roman"/>
          <w:sz w:val="24"/>
          <w:szCs w:val="24"/>
        </w:rPr>
        <w:t>Oplysninger, der er af væsentlig betydning for Finanstilsynets tilsyn, skal gives af egen drift og hurtigst muligt.</w:t>
      </w:r>
      <w:bookmarkEnd w:id="205"/>
      <w:bookmarkEnd w:id="206"/>
      <w:bookmarkEnd w:id="207"/>
    </w:p>
    <w:p w14:paraId="466677AD" w14:textId="5E1F7413" w:rsidR="00F83081" w:rsidRPr="00796736" w:rsidRDefault="00F83081"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Oplysninger afgivet efter stk. 1, skal hurtigst muligt berigtiges over for Finanstilsynet, hvis virksomheden eller personen efterfølgende konstaterer</w:t>
      </w:r>
      <w:r w:rsidR="00446638">
        <w:rPr>
          <w:rFonts w:ascii="Times New Roman" w:hAnsi="Times New Roman" w:cs="Times New Roman"/>
          <w:sz w:val="24"/>
          <w:szCs w:val="24"/>
        </w:rPr>
        <w:t>,</w:t>
      </w:r>
      <w:r w:rsidRPr="00796736">
        <w:rPr>
          <w:rFonts w:ascii="Times New Roman" w:hAnsi="Times New Roman" w:cs="Times New Roman"/>
          <w:sz w:val="24"/>
          <w:szCs w:val="24"/>
        </w:rPr>
        <w:t xml:space="preserve"> </w:t>
      </w:r>
      <w:r w:rsidR="00446638">
        <w:rPr>
          <w:rFonts w:ascii="Times New Roman" w:hAnsi="Times New Roman" w:cs="Times New Roman"/>
          <w:sz w:val="24"/>
          <w:szCs w:val="24"/>
        </w:rPr>
        <w:t>at</w:t>
      </w:r>
      <w:r w:rsidRPr="00796736">
        <w:rPr>
          <w:rFonts w:ascii="Times New Roman" w:hAnsi="Times New Roman" w:cs="Times New Roman"/>
          <w:sz w:val="24"/>
          <w:szCs w:val="24"/>
        </w:rPr>
        <w:t>:</w:t>
      </w:r>
    </w:p>
    <w:p w14:paraId="640A037C" w14:textId="26A13089" w:rsidR="00F83081" w:rsidRPr="00796736" w:rsidRDefault="00F83081" w:rsidP="0053178C">
      <w:pPr>
        <w:spacing w:line="360" w:lineRule="auto"/>
        <w:ind w:firstLine="238"/>
        <w:rPr>
          <w:rFonts w:ascii="Times New Roman" w:hAnsi="Times New Roman" w:cs="Times New Roman"/>
          <w:sz w:val="24"/>
          <w:szCs w:val="24"/>
        </w:rPr>
      </w:pPr>
      <w:r w:rsidRPr="00796736">
        <w:rPr>
          <w:rFonts w:ascii="Times New Roman" w:hAnsi="Times New Roman" w:cs="Times New Roman"/>
          <w:sz w:val="24"/>
          <w:szCs w:val="24"/>
        </w:rPr>
        <w:t>1) </w:t>
      </w:r>
      <w:r w:rsidR="00446638">
        <w:rPr>
          <w:rFonts w:ascii="Times New Roman" w:hAnsi="Times New Roman" w:cs="Times New Roman"/>
          <w:sz w:val="24"/>
          <w:szCs w:val="24"/>
        </w:rPr>
        <w:t>o</w:t>
      </w:r>
      <w:r w:rsidRPr="00796736">
        <w:rPr>
          <w:rFonts w:ascii="Times New Roman" w:hAnsi="Times New Roman" w:cs="Times New Roman"/>
          <w:sz w:val="24"/>
          <w:szCs w:val="24"/>
        </w:rPr>
        <w:t>plysningerne ikke har været korrekte på tidspunktet for afgivelsen.</w:t>
      </w:r>
    </w:p>
    <w:p w14:paraId="6F348B81" w14:textId="0F0DE655" w:rsidR="00F83081" w:rsidRPr="00796736" w:rsidRDefault="00F83081" w:rsidP="0053178C">
      <w:pPr>
        <w:spacing w:line="360" w:lineRule="auto"/>
        <w:ind w:firstLine="238"/>
        <w:rPr>
          <w:rFonts w:ascii="Times New Roman" w:hAnsi="Times New Roman" w:cs="Times New Roman"/>
          <w:sz w:val="24"/>
          <w:szCs w:val="24"/>
        </w:rPr>
      </w:pPr>
      <w:r w:rsidRPr="00796736">
        <w:rPr>
          <w:rFonts w:ascii="Times New Roman" w:hAnsi="Times New Roman" w:cs="Times New Roman"/>
          <w:sz w:val="24"/>
          <w:szCs w:val="24"/>
        </w:rPr>
        <w:t>2) </w:t>
      </w:r>
      <w:r w:rsidR="00446638">
        <w:rPr>
          <w:rFonts w:ascii="Times New Roman" w:hAnsi="Times New Roman" w:cs="Times New Roman"/>
          <w:sz w:val="24"/>
          <w:szCs w:val="24"/>
        </w:rPr>
        <w:t>o</w:t>
      </w:r>
      <w:r w:rsidRPr="00796736">
        <w:rPr>
          <w:rFonts w:ascii="Times New Roman" w:hAnsi="Times New Roman" w:cs="Times New Roman"/>
          <w:sz w:val="24"/>
          <w:szCs w:val="24"/>
        </w:rPr>
        <w:t>plysningerne på et senere tidspunkt er blevet misvisende.</w:t>
      </w:r>
    </w:p>
    <w:p w14:paraId="3033FBCD" w14:textId="77777777" w:rsidR="00D521CF" w:rsidRPr="00796736" w:rsidRDefault="00D521CF" w:rsidP="0053178C">
      <w:pPr>
        <w:spacing w:line="360" w:lineRule="auto"/>
        <w:ind w:firstLine="238"/>
        <w:rPr>
          <w:rFonts w:ascii="Times New Roman" w:hAnsi="Times New Roman" w:cs="Times New Roman"/>
          <w:sz w:val="24"/>
          <w:szCs w:val="24"/>
        </w:rPr>
      </w:pPr>
    </w:p>
    <w:p w14:paraId="4DD8BD70" w14:textId="10D6B602" w:rsidR="00F83081" w:rsidRPr="00796736" w:rsidRDefault="001D088C" w:rsidP="0053178C">
      <w:pPr>
        <w:pStyle w:val="Typografi1"/>
        <w:ind w:left="0" w:firstLine="238"/>
        <w:rPr>
          <w:rFonts w:ascii="Times New Roman" w:hAnsi="Times New Roman" w:cs="Times New Roman"/>
          <w:sz w:val="24"/>
          <w:szCs w:val="24"/>
        </w:rPr>
      </w:pPr>
      <w:bookmarkStart w:id="208" w:name="_Ref241759387"/>
      <w:bookmarkStart w:id="209" w:name="_Ref244803987"/>
      <w:bookmarkStart w:id="210" w:name="_Toc244879041"/>
      <w:bookmarkStart w:id="211" w:name="_Toc244880565"/>
      <w:r w:rsidRPr="00796736">
        <w:rPr>
          <w:rFonts w:ascii="Times New Roman" w:hAnsi="Times New Roman" w:cs="Times New Roman"/>
          <w:sz w:val="24"/>
          <w:szCs w:val="24"/>
        </w:rPr>
        <w:t xml:space="preserve">Finanstilsynet kan fastsætte nærmere regler om indberetning af oplysninger, der er nødvendige til brug for Finanstilsynets risikovurdering af virksomheder og personer omfattet af </w:t>
      </w:r>
      <w:bookmarkEnd w:id="208"/>
      <w:r w:rsidR="00D61BCE" w:rsidRPr="00796736">
        <w:rPr>
          <w:rFonts w:ascii="Times New Roman" w:hAnsi="Times New Roman" w:cs="Times New Roman"/>
          <w:sz w:val="24"/>
          <w:szCs w:val="24"/>
          <w:lang w:eastAsia="da-DK"/>
        </w:rPr>
        <w:t>§ 1, stk. 2, nr. 1-3</w:t>
      </w:r>
      <w:r w:rsidR="006E2B08">
        <w:rPr>
          <w:rFonts w:ascii="Times New Roman" w:hAnsi="Times New Roman" w:cs="Times New Roman"/>
          <w:sz w:val="24"/>
          <w:szCs w:val="24"/>
          <w:lang w:eastAsia="da-DK"/>
        </w:rPr>
        <w:t>,</w:t>
      </w:r>
      <w:r w:rsidR="00D61BCE" w:rsidRPr="00796736">
        <w:rPr>
          <w:rFonts w:ascii="Times New Roman" w:hAnsi="Times New Roman" w:cs="Times New Roman"/>
          <w:sz w:val="24"/>
          <w:szCs w:val="24"/>
          <w:lang w:eastAsia="da-DK"/>
        </w:rPr>
        <w:t xml:space="preserve"> </w:t>
      </w:r>
      <w:r w:rsidR="00E727AD">
        <w:rPr>
          <w:rFonts w:ascii="Times New Roman" w:hAnsi="Times New Roman" w:cs="Times New Roman"/>
          <w:sz w:val="24"/>
          <w:szCs w:val="24"/>
          <w:lang w:eastAsia="da-DK"/>
        </w:rPr>
        <w:t>samt</w:t>
      </w:r>
      <w:r w:rsidR="00D61BCE" w:rsidRPr="00796736">
        <w:rPr>
          <w:rFonts w:ascii="Times New Roman" w:hAnsi="Times New Roman" w:cs="Times New Roman"/>
          <w:sz w:val="24"/>
          <w:szCs w:val="24"/>
          <w:lang w:eastAsia="da-DK"/>
        </w:rPr>
        <w:t xml:space="preserve"> § 2, nr. 1-19 </w:t>
      </w:r>
      <w:r w:rsidR="002B4BDE">
        <w:rPr>
          <w:rFonts w:ascii="Times New Roman" w:hAnsi="Times New Roman" w:cs="Times New Roman"/>
          <w:sz w:val="24"/>
          <w:szCs w:val="24"/>
          <w:lang w:eastAsia="da-DK"/>
        </w:rPr>
        <w:t>og</w:t>
      </w:r>
      <w:r w:rsidR="00D61BCE" w:rsidRPr="00796736">
        <w:rPr>
          <w:rFonts w:ascii="Times New Roman" w:hAnsi="Times New Roman" w:cs="Times New Roman"/>
          <w:sz w:val="24"/>
          <w:szCs w:val="24"/>
          <w:lang w:eastAsia="da-DK"/>
        </w:rPr>
        <w:t xml:space="preserve"> 32, litra a.</w:t>
      </w:r>
      <w:bookmarkEnd w:id="209"/>
      <w:bookmarkEnd w:id="210"/>
      <w:bookmarkEnd w:id="211"/>
    </w:p>
    <w:p w14:paraId="7D5F5762" w14:textId="77777777" w:rsidR="00D61BCE" w:rsidRPr="00796736" w:rsidRDefault="00D61BCE" w:rsidP="0053178C">
      <w:pPr>
        <w:spacing w:line="360" w:lineRule="auto"/>
        <w:ind w:firstLine="238"/>
        <w:rPr>
          <w:rFonts w:ascii="Times New Roman" w:hAnsi="Times New Roman" w:cs="Times New Roman"/>
        </w:rPr>
      </w:pPr>
    </w:p>
    <w:p w14:paraId="0EE848FB" w14:textId="038476FC" w:rsidR="00F83081" w:rsidRPr="00796736" w:rsidRDefault="00F83081" w:rsidP="0053178C">
      <w:pPr>
        <w:pStyle w:val="Typografi1"/>
        <w:ind w:left="0" w:firstLine="238"/>
        <w:rPr>
          <w:rFonts w:ascii="Times New Roman" w:eastAsia="Times New Roman" w:hAnsi="Times New Roman" w:cs="Times New Roman"/>
          <w:sz w:val="24"/>
          <w:szCs w:val="24"/>
          <w:lang w:eastAsia="da-DK"/>
        </w:rPr>
      </w:pPr>
      <w:bookmarkStart w:id="212" w:name="_Ref232597126"/>
      <w:bookmarkStart w:id="213" w:name="_Toc244879042"/>
      <w:bookmarkStart w:id="214" w:name="_Toc244880566"/>
      <w:r w:rsidRPr="00796736">
        <w:rPr>
          <w:rFonts w:ascii="Times New Roman" w:eastAsia="Times New Roman" w:hAnsi="Times New Roman" w:cs="Times New Roman"/>
          <w:sz w:val="24"/>
          <w:szCs w:val="24"/>
          <w:lang w:eastAsia="da-DK"/>
        </w:rPr>
        <w:t xml:space="preserve">Finanstilsynet kan til enhver tid mod behørig legitimation uden retskendelse få adgang til virksomheder og personer omfattet af </w:t>
      </w:r>
      <w:r w:rsidR="003D4CDB" w:rsidRPr="00796736">
        <w:rPr>
          <w:rFonts w:ascii="Times New Roman" w:eastAsia="Times New Roman" w:hAnsi="Times New Roman" w:cs="Times New Roman"/>
          <w:sz w:val="24"/>
          <w:szCs w:val="24"/>
          <w:lang w:eastAsia="da-DK"/>
        </w:rPr>
        <w:fldChar w:fldCharType="begin"/>
      </w:r>
      <w:r w:rsidR="003D4CDB" w:rsidRPr="00796736">
        <w:rPr>
          <w:rFonts w:ascii="Times New Roman" w:eastAsia="Times New Roman" w:hAnsi="Times New Roman" w:cs="Times New Roman"/>
          <w:sz w:val="24"/>
          <w:szCs w:val="24"/>
          <w:lang w:eastAsia="da-DK"/>
        </w:rPr>
        <w:instrText xml:space="preserve"> REF _Ref232597109 \r \h </w:instrText>
      </w:r>
      <w:r w:rsidR="00967618" w:rsidRPr="00796736">
        <w:rPr>
          <w:rFonts w:ascii="Times New Roman" w:eastAsia="Times New Roman" w:hAnsi="Times New Roman" w:cs="Times New Roman"/>
          <w:sz w:val="24"/>
          <w:szCs w:val="24"/>
          <w:lang w:eastAsia="da-DK"/>
        </w:rPr>
        <w:instrText xml:space="preserve"> \* MERGEFORMAT </w:instrText>
      </w:r>
      <w:r w:rsidR="003D4CDB" w:rsidRPr="00796736">
        <w:rPr>
          <w:rFonts w:ascii="Times New Roman" w:eastAsia="Times New Roman" w:hAnsi="Times New Roman" w:cs="Times New Roman"/>
          <w:sz w:val="24"/>
          <w:szCs w:val="24"/>
          <w:lang w:eastAsia="da-DK"/>
        </w:rPr>
      </w:r>
      <w:r w:rsidR="003D4CDB"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57</w:t>
      </w:r>
      <w:r w:rsidR="003D4CDB"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1, med henblik på indhentelse af oplysninger, herunder ved inspektioner.</w:t>
      </w:r>
      <w:bookmarkEnd w:id="212"/>
      <w:bookmarkEnd w:id="213"/>
      <w:bookmarkEnd w:id="214"/>
    </w:p>
    <w:p w14:paraId="0044901E" w14:textId="77777777" w:rsidR="00F83081" w:rsidRPr="00796736" w:rsidRDefault="00F83081" w:rsidP="0053178C">
      <w:pPr>
        <w:spacing w:line="360" w:lineRule="auto"/>
        <w:ind w:firstLine="238"/>
        <w:jc w:val="left"/>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Finanstilsynet kan til enhver tid mod behørig legitimation uden retskendelse få adgang til en leverandør eller underleverandør med henblik på indhentelse af oplysninger om den outsourcede aktivitet. Finanstilsynets fysiske adgang til leverandørens lokaler skal indgå som et krav i den outsourcingkontrakt, som indgås mellem outsourcingvirksomheden og leverandøren. Hvis en outsourcingkontrakt ikke indeholder kravet om Finanstilsynets fysiske adgang til leverandørens virksomhed, kan Finanstilsynet kræve, at den outsourcede aktivitet fremover enten varetages af outsourcingvirksomheden selv eller outsources til en anden leverandør inden for en af Finanstilsynet nærmere fastsat frist.</w:t>
      </w:r>
    </w:p>
    <w:p w14:paraId="61597496" w14:textId="1D578786" w:rsidR="00F83081" w:rsidRPr="00796736" w:rsidRDefault="00F83081" w:rsidP="0053178C">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3.</w:t>
      </w:r>
      <w:r w:rsidRPr="00796736">
        <w:rPr>
          <w:rFonts w:ascii="Times New Roman" w:eastAsia="Times New Roman" w:hAnsi="Times New Roman" w:cs="Times New Roman"/>
          <w:sz w:val="24"/>
          <w:szCs w:val="24"/>
          <w:lang w:eastAsia="da-DK"/>
        </w:rPr>
        <w:t> Finanstilsynet kan kræve at få adgang til alle oplysninger, herunder regnskaber og regnskabsmateriale, udskrift af bøger, andre forretningspapirer og elektronisk lagrede data, som skønnes nødvendige for Finanstilsynets afgørelse af, om en person eller virksomhed er omfattet af</w:t>
      </w:r>
      <w:r w:rsidR="00D61BCE" w:rsidRPr="00796736">
        <w:rPr>
          <w:rFonts w:ascii="Times New Roman" w:eastAsia="Times New Roman" w:hAnsi="Times New Roman" w:cs="Times New Roman"/>
          <w:sz w:val="24"/>
          <w:szCs w:val="24"/>
          <w:lang w:eastAsia="da-DK"/>
        </w:rPr>
        <w:t xml:space="preserve"> hvidvaskforordningen og</w:t>
      </w:r>
      <w:r w:rsidRPr="00796736">
        <w:rPr>
          <w:rFonts w:ascii="Times New Roman" w:eastAsia="Times New Roman" w:hAnsi="Times New Roman" w:cs="Times New Roman"/>
          <w:sz w:val="24"/>
          <w:szCs w:val="24"/>
          <w:lang w:eastAsia="da-DK"/>
        </w:rPr>
        <w:t xml:space="preserve"> bestemmelserne i denne lov.</w:t>
      </w:r>
    </w:p>
    <w:p w14:paraId="3FDA8658" w14:textId="77777777" w:rsidR="00F83081" w:rsidRPr="00796736" w:rsidRDefault="00F83081" w:rsidP="0053178C">
      <w:pPr>
        <w:spacing w:line="360" w:lineRule="auto"/>
        <w:ind w:firstLine="238"/>
        <w:rPr>
          <w:rFonts w:ascii="Times New Roman" w:eastAsia="Times New Roman" w:hAnsi="Times New Roman" w:cs="Times New Roman"/>
          <w:sz w:val="24"/>
          <w:szCs w:val="24"/>
          <w:lang w:eastAsia="da-DK"/>
        </w:rPr>
      </w:pPr>
    </w:p>
    <w:p w14:paraId="3E159891" w14:textId="737CB244" w:rsidR="00AD6592" w:rsidRPr="00796736" w:rsidRDefault="00F83081" w:rsidP="0053178C">
      <w:pPr>
        <w:pStyle w:val="Typografi1"/>
        <w:ind w:left="0" w:firstLine="238"/>
        <w:rPr>
          <w:rFonts w:ascii="Times New Roman" w:eastAsia="Times New Roman" w:hAnsi="Times New Roman" w:cs="Times New Roman"/>
          <w:sz w:val="24"/>
          <w:szCs w:val="24"/>
          <w:lang w:eastAsia="da-DK"/>
        </w:rPr>
      </w:pPr>
      <w:bookmarkStart w:id="215" w:name="_Ref232597147"/>
      <w:bookmarkStart w:id="216" w:name="_Toc244879043"/>
      <w:bookmarkStart w:id="217" w:name="_Toc244880567"/>
      <w:r w:rsidRPr="00796736">
        <w:rPr>
          <w:rFonts w:ascii="Times New Roman" w:eastAsia="Times New Roman" w:hAnsi="Times New Roman" w:cs="Times New Roman"/>
          <w:sz w:val="24"/>
          <w:szCs w:val="24"/>
          <w:lang w:eastAsia="da-DK"/>
        </w:rPr>
        <w:t xml:space="preserve">Finanstilsynet kan indhente oplysninger efter </w:t>
      </w:r>
      <w:r w:rsidR="003D4CDB" w:rsidRPr="00796736">
        <w:rPr>
          <w:rFonts w:ascii="Times New Roman" w:eastAsia="Times New Roman" w:hAnsi="Times New Roman" w:cs="Times New Roman"/>
          <w:sz w:val="24"/>
          <w:szCs w:val="24"/>
          <w:lang w:eastAsia="da-DK"/>
        </w:rPr>
        <w:fldChar w:fldCharType="begin"/>
      </w:r>
      <w:r w:rsidR="003D4CDB" w:rsidRPr="00796736">
        <w:rPr>
          <w:rFonts w:ascii="Times New Roman" w:eastAsia="Times New Roman" w:hAnsi="Times New Roman" w:cs="Times New Roman"/>
          <w:sz w:val="24"/>
          <w:szCs w:val="24"/>
          <w:lang w:eastAsia="da-DK"/>
        </w:rPr>
        <w:instrText xml:space="preserve"> REF _Ref232597109 \r \h </w:instrText>
      </w:r>
      <w:r w:rsidR="00967618" w:rsidRPr="00796736">
        <w:rPr>
          <w:rFonts w:ascii="Times New Roman" w:eastAsia="Times New Roman" w:hAnsi="Times New Roman" w:cs="Times New Roman"/>
          <w:sz w:val="24"/>
          <w:szCs w:val="24"/>
          <w:lang w:eastAsia="da-DK"/>
        </w:rPr>
        <w:instrText xml:space="preserve"> \* MERGEFORMAT </w:instrText>
      </w:r>
      <w:r w:rsidR="003D4CDB" w:rsidRPr="00796736">
        <w:rPr>
          <w:rFonts w:ascii="Times New Roman" w:eastAsia="Times New Roman" w:hAnsi="Times New Roman" w:cs="Times New Roman"/>
          <w:sz w:val="24"/>
          <w:szCs w:val="24"/>
          <w:lang w:eastAsia="da-DK"/>
        </w:rPr>
      </w:r>
      <w:r w:rsidR="003D4CDB"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57</w:t>
      </w:r>
      <w:r w:rsidR="003D4CDB"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1</w:t>
      </w:r>
      <w:r w:rsidR="00D61BCE"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og </w:t>
      </w:r>
      <w:r w:rsidR="003D4CDB" w:rsidRPr="00796736">
        <w:rPr>
          <w:rFonts w:ascii="Times New Roman" w:eastAsia="Times New Roman" w:hAnsi="Times New Roman" w:cs="Times New Roman"/>
          <w:sz w:val="24"/>
          <w:szCs w:val="24"/>
          <w:lang w:eastAsia="da-DK"/>
        </w:rPr>
        <w:fldChar w:fldCharType="begin"/>
      </w:r>
      <w:r w:rsidR="003D4CDB" w:rsidRPr="00796736">
        <w:rPr>
          <w:rFonts w:ascii="Times New Roman" w:eastAsia="Times New Roman" w:hAnsi="Times New Roman" w:cs="Times New Roman"/>
          <w:sz w:val="24"/>
          <w:szCs w:val="24"/>
          <w:lang w:eastAsia="da-DK"/>
        </w:rPr>
        <w:instrText xml:space="preserve"> REF _Ref232597126 \r \h </w:instrText>
      </w:r>
      <w:r w:rsidR="00967618" w:rsidRPr="00796736">
        <w:rPr>
          <w:rFonts w:ascii="Times New Roman" w:eastAsia="Times New Roman" w:hAnsi="Times New Roman" w:cs="Times New Roman"/>
          <w:sz w:val="24"/>
          <w:szCs w:val="24"/>
          <w:lang w:eastAsia="da-DK"/>
        </w:rPr>
        <w:instrText xml:space="preserve"> \* MERGEFORMAT </w:instrText>
      </w:r>
      <w:r w:rsidR="003D4CDB" w:rsidRPr="00796736">
        <w:rPr>
          <w:rFonts w:ascii="Times New Roman" w:eastAsia="Times New Roman" w:hAnsi="Times New Roman" w:cs="Times New Roman"/>
          <w:sz w:val="24"/>
          <w:szCs w:val="24"/>
          <w:lang w:eastAsia="da-DK"/>
        </w:rPr>
      </w:r>
      <w:r w:rsidR="003D4CDB"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59</w:t>
      </w:r>
      <w:r w:rsidR="003D4CDB"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3</w:t>
      </w:r>
      <w:r w:rsidR="0081452E"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til brug for de udenlandske myndigheder og organer, der er nævnt i </w:t>
      </w:r>
      <w:r w:rsidR="003D4CDB" w:rsidRPr="00796736">
        <w:rPr>
          <w:rFonts w:ascii="Times New Roman" w:eastAsia="Times New Roman" w:hAnsi="Times New Roman" w:cs="Times New Roman"/>
          <w:sz w:val="24"/>
          <w:szCs w:val="24"/>
          <w:lang w:eastAsia="da-DK"/>
        </w:rPr>
        <w:fldChar w:fldCharType="begin"/>
      </w:r>
      <w:r w:rsidR="003D4CDB" w:rsidRPr="00796736">
        <w:rPr>
          <w:rFonts w:ascii="Times New Roman" w:eastAsia="Times New Roman" w:hAnsi="Times New Roman" w:cs="Times New Roman"/>
          <w:sz w:val="24"/>
          <w:szCs w:val="24"/>
          <w:lang w:eastAsia="da-DK"/>
        </w:rPr>
        <w:instrText xml:space="preserve"> REF _Ref232597634 \r \h </w:instrText>
      </w:r>
      <w:r w:rsidR="00967618" w:rsidRPr="00796736">
        <w:rPr>
          <w:rFonts w:ascii="Times New Roman" w:eastAsia="Times New Roman" w:hAnsi="Times New Roman" w:cs="Times New Roman"/>
          <w:sz w:val="24"/>
          <w:szCs w:val="24"/>
          <w:lang w:eastAsia="da-DK"/>
        </w:rPr>
        <w:instrText xml:space="preserve"> \* MERGEFORMAT </w:instrText>
      </w:r>
      <w:r w:rsidR="003D4CDB" w:rsidRPr="00796736">
        <w:rPr>
          <w:rFonts w:ascii="Times New Roman" w:eastAsia="Times New Roman" w:hAnsi="Times New Roman" w:cs="Times New Roman"/>
          <w:sz w:val="24"/>
          <w:szCs w:val="24"/>
          <w:lang w:eastAsia="da-DK"/>
        </w:rPr>
      </w:r>
      <w:r w:rsidR="003D4CDB"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77</w:t>
      </w:r>
      <w:r w:rsidR="003D4CDB" w:rsidRPr="00796736">
        <w:rPr>
          <w:rFonts w:ascii="Times New Roman" w:eastAsia="Times New Roman" w:hAnsi="Times New Roman" w:cs="Times New Roman"/>
          <w:sz w:val="24"/>
          <w:szCs w:val="24"/>
          <w:lang w:eastAsia="da-DK"/>
        </w:rPr>
        <w:fldChar w:fldCharType="end"/>
      </w:r>
      <w:r w:rsidR="00CA1D4E" w:rsidRPr="00796736">
        <w:rPr>
          <w:rFonts w:ascii="Times New Roman" w:eastAsia="Times New Roman" w:hAnsi="Times New Roman" w:cs="Times New Roman"/>
          <w:sz w:val="24"/>
          <w:szCs w:val="24"/>
          <w:lang w:eastAsia="da-DK"/>
        </w:rPr>
        <w:t>, stk. 1</w:t>
      </w:r>
      <w:r w:rsidRPr="00796736">
        <w:rPr>
          <w:rFonts w:ascii="Times New Roman" w:eastAsia="Times New Roman" w:hAnsi="Times New Roman" w:cs="Times New Roman"/>
          <w:sz w:val="24"/>
          <w:szCs w:val="24"/>
          <w:lang w:eastAsia="da-DK"/>
        </w:rPr>
        <w:t>.</w:t>
      </w:r>
      <w:bookmarkEnd w:id="215"/>
      <w:bookmarkEnd w:id="216"/>
      <w:bookmarkEnd w:id="217"/>
    </w:p>
    <w:p w14:paraId="51FEB941" w14:textId="77777777" w:rsidR="005F6312" w:rsidRPr="00796736" w:rsidRDefault="005F6312" w:rsidP="0053178C">
      <w:pPr>
        <w:spacing w:line="360" w:lineRule="auto"/>
        <w:ind w:firstLine="238"/>
        <w:rPr>
          <w:rFonts w:ascii="Times New Roman" w:hAnsi="Times New Roman" w:cs="Times New Roman"/>
          <w:sz w:val="24"/>
          <w:szCs w:val="24"/>
        </w:rPr>
      </w:pPr>
    </w:p>
    <w:p w14:paraId="6893D528" w14:textId="4F4DD43B" w:rsidR="00C06317" w:rsidRPr="00796736" w:rsidRDefault="00AD6592"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Tilsyn</w:t>
      </w:r>
      <w:r w:rsidR="00270A34" w:rsidRPr="00796736">
        <w:rPr>
          <w:rFonts w:ascii="Times New Roman" w:hAnsi="Times New Roman" w:cs="Times New Roman"/>
          <w:i/>
          <w:iCs/>
          <w:sz w:val="24"/>
          <w:szCs w:val="24"/>
        </w:rPr>
        <w:t xml:space="preserve">et med </w:t>
      </w:r>
      <w:r w:rsidR="006806C5" w:rsidRPr="00796736">
        <w:rPr>
          <w:rFonts w:ascii="Times New Roman" w:hAnsi="Times New Roman" w:cs="Times New Roman"/>
          <w:i/>
          <w:iCs/>
          <w:sz w:val="24"/>
          <w:szCs w:val="24"/>
        </w:rPr>
        <w:t>grænseoverskridende aktiviteter og koncerntilsyn</w:t>
      </w:r>
    </w:p>
    <w:p w14:paraId="4D8A147D" w14:textId="60E24A87" w:rsidR="00AD6592" w:rsidRPr="00796736" w:rsidRDefault="0042556A" w:rsidP="0053178C">
      <w:pPr>
        <w:pStyle w:val="Typografi1"/>
        <w:ind w:left="0" w:firstLine="238"/>
        <w:rPr>
          <w:rFonts w:ascii="Times New Roman" w:hAnsi="Times New Roman" w:cs="Times New Roman"/>
          <w:sz w:val="24"/>
          <w:szCs w:val="24"/>
        </w:rPr>
      </w:pPr>
      <w:bookmarkStart w:id="218" w:name="_Ref232597202"/>
      <w:bookmarkStart w:id="219" w:name="_Toc244879044"/>
      <w:bookmarkStart w:id="220" w:name="_Toc244880568"/>
      <w:r w:rsidRPr="00796736">
        <w:rPr>
          <w:rFonts w:ascii="Times New Roman" w:hAnsi="Times New Roman" w:cs="Times New Roman"/>
          <w:sz w:val="24"/>
          <w:szCs w:val="24"/>
        </w:rPr>
        <w:t>Finanstilsynet skal samarbejde med de kompetente myndigheder i et land inden for Den Europæiske Union eller i et land, som Unionen har indgået aftale med på det finansielle område om at medvirke ved tilsynsaktiviteter, kontroller på stedet eller inspektioner her i landet, herunder ved udveksling af oplysninger,</w:t>
      </w:r>
      <w:r w:rsidR="00AD6592" w:rsidRPr="00796736">
        <w:rPr>
          <w:rFonts w:ascii="Times New Roman" w:hAnsi="Times New Roman" w:cs="Times New Roman"/>
          <w:sz w:val="24"/>
          <w:szCs w:val="24"/>
        </w:rPr>
        <w:t xml:space="preserve"> der fremkommer i forbindelse hermed, når det gælder virksomheder og personer </w:t>
      </w:r>
      <w:r w:rsidR="00221535" w:rsidRPr="00796736">
        <w:rPr>
          <w:rFonts w:ascii="Times New Roman" w:hAnsi="Times New Roman" w:cs="Times New Roman"/>
          <w:sz w:val="24"/>
          <w:szCs w:val="24"/>
        </w:rPr>
        <w:t xml:space="preserve">omfattet af § 1, stk. 2, nr. 1-3, </w:t>
      </w:r>
      <w:r w:rsidR="00E727AD">
        <w:rPr>
          <w:rFonts w:ascii="Times New Roman" w:hAnsi="Times New Roman" w:cs="Times New Roman"/>
          <w:sz w:val="24"/>
          <w:szCs w:val="24"/>
        </w:rPr>
        <w:t>samt</w:t>
      </w:r>
      <w:r w:rsidR="00221535" w:rsidRPr="00796736">
        <w:rPr>
          <w:rFonts w:ascii="Times New Roman" w:hAnsi="Times New Roman" w:cs="Times New Roman"/>
          <w:sz w:val="24"/>
          <w:szCs w:val="24"/>
        </w:rPr>
        <w:t xml:space="preserve"> § 2, nr. 1-19 </w:t>
      </w:r>
      <w:r w:rsidR="002B4BDE">
        <w:rPr>
          <w:rFonts w:ascii="Times New Roman" w:hAnsi="Times New Roman" w:cs="Times New Roman"/>
          <w:sz w:val="24"/>
          <w:szCs w:val="24"/>
        </w:rPr>
        <w:t>og</w:t>
      </w:r>
      <w:r w:rsidR="00E727AD" w:rsidRPr="00796736">
        <w:rPr>
          <w:rFonts w:ascii="Times New Roman" w:hAnsi="Times New Roman" w:cs="Times New Roman"/>
          <w:sz w:val="24"/>
          <w:szCs w:val="24"/>
        </w:rPr>
        <w:t xml:space="preserve"> </w:t>
      </w:r>
      <w:r w:rsidR="00221535" w:rsidRPr="00796736">
        <w:rPr>
          <w:rFonts w:ascii="Times New Roman" w:hAnsi="Times New Roman" w:cs="Times New Roman"/>
          <w:sz w:val="24"/>
          <w:szCs w:val="24"/>
        </w:rPr>
        <w:t>32, litra a</w:t>
      </w:r>
      <w:r w:rsidR="00AD6592" w:rsidRPr="00796736">
        <w:rPr>
          <w:rFonts w:ascii="Times New Roman" w:hAnsi="Times New Roman" w:cs="Times New Roman"/>
          <w:sz w:val="24"/>
          <w:szCs w:val="24"/>
        </w:rPr>
        <w:t>, der er under tilsyn i et andet land inden for Den Europæiske Union eller i et land, som Unionen har indgået aftale med på det finansielle område.</w:t>
      </w:r>
      <w:bookmarkEnd w:id="218"/>
      <w:bookmarkEnd w:id="219"/>
      <w:bookmarkEnd w:id="220"/>
    </w:p>
    <w:p w14:paraId="4540D07C" w14:textId="35384029" w:rsidR="00AD6592" w:rsidRPr="00796736" w:rsidRDefault="00AD6592"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42556A" w:rsidRPr="00796736">
        <w:rPr>
          <w:rFonts w:ascii="Times New Roman" w:hAnsi="Times New Roman" w:cs="Times New Roman"/>
          <w:sz w:val="24"/>
          <w:szCs w:val="24"/>
        </w:rPr>
        <w:t xml:space="preserve">Tilsynsmyndighederne i et land inden for Den Europæiske Union eller i et land, som Unionen har indgået aftale med på det finansielle område, kan efter forudgående aftale med Finanstilsynet foretage inspektion i de her i landet beliggende filialer, agenter og distributører omfattet af </w:t>
      </w:r>
      <w:r w:rsidR="00221535" w:rsidRPr="00796736">
        <w:rPr>
          <w:rFonts w:ascii="Times New Roman" w:hAnsi="Times New Roman" w:cs="Times New Roman"/>
          <w:sz w:val="24"/>
          <w:szCs w:val="24"/>
        </w:rPr>
        <w:t xml:space="preserve">§ 1, stk. 2, nr. 1-3, </w:t>
      </w:r>
      <w:r w:rsidR="00E727AD">
        <w:rPr>
          <w:rFonts w:ascii="Times New Roman" w:hAnsi="Times New Roman" w:cs="Times New Roman"/>
          <w:sz w:val="24"/>
          <w:szCs w:val="24"/>
        </w:rPr>
        <w:t>samt</w:t>
      </w:r>
      <w:r w:rsidR="00221535" w:rsidRPr="00796736">
        <w:rPr>
          <w:rFonts w:ascii="Times New Roman" w:hAnsi="Times New Roman" w:cs="Times New Roman"/>
          <w:sz w:val="24"/>
          <w:szCs w:val="24"/>
        </w:rPr>
        <w:t xml:space="preserve"> § 2, nr. 1-19 og 32, litra a</w:t>
      </w:r>
      <w:r w:rsidR="0042556A" w:rsidRPr="00796736">
        <w:rPr>
          <w:rFonts w:ascii="Times New Roman" w:hAnsi="Times New Roman" w:cs="Times New Roman"/>
          <w:sz w:val="24"/>
          <w:szCs w:val="24"/>
        </w:rPr>
        <w:t>, af udenlandske virksomheder med hjemsted i det pågældende land. Finanstilsynet kan deltage i inspektionen som nævnt i 1. pkt. Modsætter en virksomhed eller person som nævnt i 1. pkt. sig en kompetent udenlandsk myndigheds inspektion, kan undersøgelsen kun foretages med Finanstilsynets medvirken.</w:t>
      </w:r>
    </w:p>
    <w:p w14:paraId="0D034395" w14:textId="43DA8C46" w:rsidR="00AD6592" w:rsidRPr="00796736" w:rsidRDefault="00AD6592"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w:t>
      </w:r>
      <w:r w:rsidR="004E155B" w:rsidRPr="00796736">
        <w:rPr>
          <w:rFonts w:ascii="Times New Roman" w:hAnsi="Times New Roman" w:cs="Times New Roman"/>
          <w:i/>
          <w:iCs/>
          <w:sz w:val="24"/>
          <w:szCs w:val="24"/>
        </w:rPr>
        <w:t xml:space="preserve"> </w:t>
      </w:r>
      <w:r w:rsidRPr="00796736">
        <w:rPr>
          <w:rFonts w:ascii="Times New Roman" w:hAnsi="Times New Roman" w:cs="Times New Roman"/>
          <w:i/>
          <w:iCs/>
          <w:sz w:val="24"/>
          <w:szCs w:val="24"/>
        </w:rPr>
        <w:t>3</w:t>
      </w:r>
      <w:r w:rsidRPr="00796736">
        <w:rPr>
          <w:rFonts w:ascii="Times New Roman" w:hAnsi="Times New Roman" w:cs="Times New Roman"/>
          <w:sz w:val="24"/>
          <w:szCs w:val="24"/>
        </w:rPr>
        <w:t xml:space="preserve">. Finanstilsynet kan anmode de kompetente myndigheder i et andet land inden for Den Europæiske Union eller i et land, som Unionen har indgået aftale med på det finansielle område om at medvirke til at påse overholdelsen af loven og de regler, der er udstedt i medfør af loven, vedrørende virksomheder og personer omfattet af </w:t>
      </w:r>
      <w:r w:rsidR="00221535" w:rsidRPr="00796736">
        <w:rPr>
          <w:rFonts w:ascii="Times New Roman" w:hAnsi="Times New Roman" w:cs="Times New Roman"/>
          <w:sz w:val="24"/>
          <w:szCs w:val="24"/>
        </w:rPr>
        <w:t xml:space="preserve">§ 1, stk. 2, nr. 1-3, </w:t>
      </w:r>
      <w:r w:rsidR="00E727AD">
        <w:rPr>
          <w:rFonts w:ascii="Times New Roman" w:hAnsi="Times New Roman" w:cs="Times New Roman"/>
          <w:sz w:val="24"/>
          <w:szCs w:val="24"/>
        </w:rPr>
        <w:t>samt</w:t>
      </w:r>
      <w:r w:rsidR="00221535" w:rsidRPr="00796736">
        <w:rPr>
          <w:rFonts w:ascii="Times New Roman" w:hAnsi="Times New Roman" w:cs="Times New Roman"/>
          <w:sz w:val="24"/>
          <w:szCs w:val="24"/>
        </w:rPr>
        <w:t xml:space="preserve"> § 2, nr. 1-19 og 32, litra a</w:t>
      </w:r>
      <w:r w:rsidRPr="00796736">
        <w:rPr>
          <w:rFonts w:ascii="Times New Roman" w:hAnsi="Times New Roman" w:cs="Times New Roman"/>
          <w:sz w:val="24"/>
          <w:szCs w:val="24"/>
        </w:rPr>
        <w:t>, med hjemsted i et andet land inden for Den Europæiske Union eller i et land, som Unionen har indgået aftale med på det finansielle område, ved tilsynsaktioner, kontroller på stedet eller inspektioner på det pågældende lands område.</w:t>
      </w:r>
    </w:p>
    <w:p w14:paraId="28D53424" w14:textId="77777777" w:rsidR="00AD6592" w:rsidRPr="00796736" w:rsidRDefault="00AD6592" w:rsidP="0053178C">
      <w:pPr>
        <w:spacing w:line="360" w:lineRule="auto"/>
        <w:ind w:firstLine="238"/>
        <w:rPr>
          <w:rFonts w:ascii="Times New Roman" w:hAnsi="Times New Roman" w:cs="Times New Roman"/>
          <w:sz w:val="24"/>
          <w:szCs w:val="24"/>
        </w:rPr>
      </w:pPr>
    </w:p>
    <w:p w14:paraId="1E1D8B1F" w14:textId="77777777" w:rsidR="0042556A" w:rsidRPr="00796736" w:rsidRDefault="0042556A" w:rsidP="0053178C">
      <w:pPr>
        <w:spacing w:line="360" w:lineRule="auto"/>
        <w:ind w:firstLine="238"/>
        <w:jc w:val="center"/>
        <w:rPr>
          <w:rFonts w:ascii="Times New Roman" w:hAnsi="Times New Roman" w:cs="Times New Roman"/>
          <w:i/>
          <w:iCs/>
          <w:sz w:val="24"/>
          <w:szCs w:val="24"/>
        </w:rPr>
      </w:pPr>
      <w:bookmarkStart w:id="221" w:name="_Ref236657066"/>
      <w:r w:rsidRPr="00796736">
        <w:rPr>
          <w:rFonts w:ascii="Times New Roman" w:hAnsi="Times New Roman" w:cs="Times New Roman"/>
          <w:i/>
          <w:iCs/>
          <w:sz w:val="24"/>
          <w:szCs w:val="24"/>
        </w:rPr>
        <w:t>Finanstilsynets påbuds- og sanktionsbeføjelser</w:t>
      </w:r>
    </w:p>
    <w:p w14:paraId="59AB1809" w14:textId="0222DAEC" w:rsidR="00992507" w:rsidRPr="00796736" w:rsidRDefault="00992507" w:rsidP="0053178C">
      <w:pPr>
        <w:pStyle w:val="Typografi1"/>
        <w:ind w:left="0" w:firstLine="238"/>
        <w:rPr>
          <w:rFonts w:ascii="Times New Roman" w:hAnsi="Times New Roman" w:cs="Times New Roman"/>
          <w:sz w:val="24"/>
          <w:szCs w:val="24"/>
        </w:rPr>
      </w:pPr>
      <w:bookmarkStart w:id="222" w:name="_Ref242814430"/>
      <w:bookmarkStart w:id="223" w:name="_Toc244879045"/>
      <w:bookmarkStart w:id="224" w:name="_Toc244880569"/>
      <w:r w:rsidRPr="00796736">
        <w:rPr>
          <w:rFonts w:ascii="Times New Roman" w:hAnsi="Times New Roman" w:cs="Times New Roman"/>
          <w:sz w:val="24"/>
          <w:szCs w:val="24"/>
        </w:rPr>
        <w:t>Finanstilsynet kan træffe afgørelse efter</w:t>
      </w:r>
      <w:r w:rsidR="007645AE">
        <w:rPr>
          <w:rFonts w:ascii="Times New Roman" w:hAnsi="Times New Roman" w:cs="Times New Roman"/>
          <w:sz w:val="24"/>
          <w:szCs w:val="24"/>
        </w:rPr>
        <w:t xml:space="preserve"> §</w:t>
      </w:r>
      <w:r w:rsidR="00724146">
        <w:rPr>
          <w:rFonts w:ascii="Times New Roman" w:hAnsi="Times New Roman" w:cs="Times New Roman"/>
          <w:sz w:val="24"/>
          <w:szCs w:val="24"/>
        </w:rPr>
        <w:fldChar w:fldCharType="begin"/>
      </w:r>
      <w:r w:rsidR="00724146">
        <w:rPr>
          <w:rFonts w:ascii="Times New Roman" w:hAnsi="Times New Roman" w:cs="Times New Roman"/>
          <w:sz w:val="24"/>
          <w:szCs w:val="24"/>
        </w:rPr>
        <w:instrText xml:space="preserve"> REF _Ref239151441 \r \h </w:instrText>
      </w:r>
      <w:r w:rsidR="00724146">
        <w:rPr>
          <w:rFonts w:ascii="Times New Roman" w:hAnsi="Times New Roman" w:cs="Times New Roman"/>
          <w:sz w:val="24"/>
          <w:szCs w:val="24"/>
        </w:rPr>
      </w:r>
      <w:r w:rsidR="00724146">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00724146">
        <w:rPr>
          <w:rFonts w:ascii="Times New Roman" w:hAnsi="Times New Roman" w:cs="Times New Roman"/>
          <w:sz w:val="24"/>
          <w:szCs w:val="24"/>
        </w:rPr>
        <w:fldChar w:fldCharType="end"/>
      </w:r>
      <w:r w:rsidR="007645AE">
        <w:rPr>
          <w:rFonts w:ascii="Times New Roman" w:hAnsi="Times New Roman" w:cs="Times New Roman"/>
          <w:sz w:val="24"/>
          <w:szCs w:val="24"/>
        </w:rPr>
        <w:t>-</w:t>
      </w:r>
      <w:r w:rsidR="00B25D98">
        <w:rPr>
          <w:rFonts w:ascii="Times New Roman" w:hAnsi="Times New Roman" w:cs="Times New Roman"/>
          <w:sz w:val="24"/>
          <w:szCs w:val="24"/>
        </w:rPr>
        <w:fldChar w:fldCharType="begin"/>
      </w:r>
      <w:r w:rsidR="00B25D98">
        <w:rPr>
          <w:rFonts w:ascii="Times New Roman" w:hAnsi="Times New Roman" w:cs="Times New Roman"/>
          <w:sz w:val="24"/>
          <w:szCs w:val="24"/>
        </w:rPr>
        <w:instrText xml:space="preserve"> REF _Ref239151453 \r \h </w:instrText>
      </w:r>
      <w:r w:rsidR="00B25D98">
        <w:rPr>
          <w:rFonts w:ascii="Times New Roman" w:hAnsi="Times New Roman" w:cs="Times New Roman"/>
          <w:sz w:val="24"/>
          <w:szCs w:val="24"/>
        </w:rPr>
      </w:r>
      <w:r w:rsidR="00B25D98">
        <w:rPr>
          <w:rFonts w:ascii="Times New Roman" w:hAnsi="Times New Roman" w:cs="Times New Roman"/>
          <w:sz w:val="24"/>
          <w:szCs w:val="24"/>
        </w:rPr>
        <w:fldChar w:fldCharType="separate"/>
      </w:r>
      <w:r w:rsidR="008F29E5">
        <w:rPr>
          <w:rFonts w:ascii="Times New Roman" w:hAnsi="Times New Roman" w:cs="Times New Roman"/>
          <w:sz w:val="24"/>
          <w:szCs w:val="24"/>
        </w:rPr>
        <w:t>66</w:t>
      </w:r>
      <w:r w:rsidR="00B25D98">
        <w:rPr>
          <w:rFonts w:ascii="Times New Roman" w:hAnsi="Times New Roman" w:cs="Times New Roman"/>
          <w:sz w:val="24"/>
          <w:szCs w:val="24"/>
        </w:rPr>
        <w:fldChar w:fldCharType="end"/>
      </w:r>
      <w:r w:rsidRPr="00796736">
        <w:rPr>
          <w:rFonts w:ascii="Times New Roman" w:hAnsi="Times New Roman" w:cs="Times New Roman"/>
          <w:sz w:val="24"/>
          <w:szCs w:val="24"/>
        </w:rPr>
        <w:t>, hvis Finanstilsynet konstaterer</w:t>
      </w:r>
      <w:bookmarkEnd w:id="221"/>
      <w:bookmarkEnd w:id="222"/>
      <w:bookmarkEnd w:id="223"/>
      <w:bookmarkEnd w:id="224"/>
      <w:r w:rsidRPr="00796736">
        <w:rPr>
          <w:rFonts w:ascii="Times New Roman" w:hAnsi="Times New Roman" w:cs="Times New Roman"/>
          <w:sz w:val="24"/>
          <w:szCs w:val="24"/>
        </w:rPr>
        <w:t xml:space="preserve"> </w:t>
      </w:r>
    </w:p>
    <w:p w14:paraId="64C85AAE" w14:textId="799D0802" w:rsidR="00992507" w:rsidRPr="00796736" w:rsidRDefault="00992507">
      <w:pPr>
        <w:pStyle w:val="Listeafsnit"/>
        <w:numPr>
          <w:ilvl w:val="0"/>
          <w:numId w:val="87"/>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overtrædelse af bestemmelser i hvidvaskforordningen, denne lov, regler udstedt i medfør heraf, Europa-Parlamentets og Rådets forordninger indeholdende regler om finansielle sanktioner mod lande, personer, grupper, juridiske enheder eller organer</w:t>
      </w:r>
      <w:r w:rsidR="007165DA">
        <w:rPr>
          <w:rFonts w:ascii="Times New Roman" w:hAnsi="Times New Roman" w:cs="Times New Roman"/>
          <w:sz w:val="24"/>
          <w:szCs w:val="24"/>
          <w:lang w:eastAsia="da-DK"/>
        </w:rPr>
        <w:t xml:space="preserve">, eller </w:t>
      </w:r>
      <w:r w:rsidR="007165DA" w:rsidRPr="00796736">
        <w:rPr>
          <w:rFonts w:ascii="Times New Roman" w:hAnsi="Times New Roman" w:cs="Times New Roman"/>
          <w:sz w:val="24"/>
          <w:szCs w:val="24"/>
        </w:rPr>
        <w:t>Europa-Parlamentets og Rådets forordning om oplysninger, der skal medsendes ved pengeoverførsler og ved overførsler af visse kryptoaktiver</w:t>
      </w:r>
      <w:r w:rsidR="00D338BF">
        <w:rPr>
          <w:rFonts w:ascii="Times New Roman" w:hAnsi="Times New Roman" w:cs="Times New Roman"/>
          <w:sz w:val="24"/>
          <w:szCs w:val="24"/>
          <w:lang w:eastAsia="da-DK"/>
        </w:rPr>
        <w:t>,</w:t>
      </w:r>
    </w:p>
    <w:p w14:paraId="754BC243" w14:textId="687B5B1C" w:rsidR="00992507" w:rsidRPr="00796736" w:rsidRDefault="00992507">
      <w:pPr>
        <w:pStyle w:val="Listeafsnit"/>
        <w:numPr>
          <w:ilvl w:val="0"/>
          <w:numId w:val="87"/>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svagheder i interne politikker, procedurer og kontroller, som sandsynligvis vil </w:t>
      </w:r>
      <w:r w:rsidR="005F48B0">
        <w:rPr>
          <w:rFonts w:ascii="Times New Roman" w:hAnsi="Times New Roman" w:cs="Times New Roman"/>
          <w:sz w:val="24"/>
          <w:szCs w:val="24"/>
          <w:lang w:eastAsia="da-DK"/>
        </w:rPr>
        <w:t>føre</w:t>
      </w:r>
      <w:r w:rsidRPr="00796736">
        <w:rPr>
          <w:rFonts w:ascii="Times New Roman" w:hAnsi="Times New Roman" w:cs="Times New Roman"/>
          <w:sz w:val="24"/>
          <w:szCs w:val="24"/>
          <w:lang w:eastAsia="da-DK"/>
        </w:rPr>
        <w:t xml:space="preserve"> til en overtrædelse efter nr. 1, eller</w:t>
      </w:r>
    </w:p>
    <w:p w14:paraId="54E5B77D" w14:textId="4EE64DFF" w:rsidR="00992507" w:rsidRPr="00796736" w:rsidRDefault="00992507">
      <w:pPr>
        <w:pStyle w:val="Listeafsnit"/>
        <w:numPr>
          <w:ilvl w:val="0"/>
          <w:numId w:val="87"/>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at interne politikker, procedurer og kontroller ikke står i et rimeligt forhold til de risici for hvidvask, de underliggende lovovertrædelser eller finansiering af terrorisme, som virksomheden eller personen er eksponeret for.</w:t>
      </w:r>
    </w:p>
    <w:p w14:paraId="000A643A" w14:textId="77777777" w:rsidR="00992507" w:rsidRPr="00796736" w:rsidRDefault="00992507" w:rsidP="0053178C">
      <w:pPr>
        <w:pStyle w:val="Listeafsnit"/>
        <w:spacing w:line="360" w:lineRule="auto"/>
        <w:ind w:left="0" w:firstLine="238"/>
        <w:rPr>
          <w:rFonts w:ascii="Times New Roman" w:hAnsi="Times New Roman" w:cs="Times New Roman"/>
          <w:sz w:val="24"/>
          <w:szCs w:val="24"/>
          <w:lang w:eastAsia="da-DK"/>
        </w:rPr>
      </w:pPr>
    </w:p>
    <w:p w14:paraId="5E6E2496" w14:textId="6B8430CB" w:rsidR="00CA645B" w:rsidRPr="00796736" w:rsidRDefault="00876196" w:rsidP="0053178C">
      <w:pPr>
        <w:pStyle w:val="Typografi1"/>
        <w:ind w:left="0" w:firstLine="238"/>
        <w:rPr>
          <w:rFonts w:ascii="Times New Roman" w:hAnsi="Times New Roman" w:cs="Times New Roman"/>
          <w:sz w:val="24"/>
          <w:szCs w:val="24"/>
          <w:lang w:eastAsia="da-DK"/>
        </w:rPr>
      </w:pPr>
      <w:bookmarkStart w:id="225" w:name="_Ref232939317"/>
      <w:bookmarkStart w:id="226" w:name="_Ref239151441"/>
      <w:bookmarkStart w:id="227" w:name="_Ref232597226"/>
      <w:bookmarkStart w:id="228" w:name="_Toc244879046"/>
      <w:bookmarkStart w:id="229" w:name="_Toc244880570"/>
      <w:r w:rsidRPr="00796736">
        <w:rPr>
          <w:rFonts w:ascii="Times New Roman" w:hAnsi="Times New Roman" w:cs="Times New Roman"/>
          <w:sz w:val="24"/>
          <w:szCs w:val="24"/>
          <w:lang w:eastAsia="da-DK"/>
        </w:rPr>
        <w:t xml:space="preserve">Finanstilsynet kan </w:t>
      </w:r>
      <w:r w:rsidR="00F43C1A" w:rsidRPr="00796736">
        <w:rPr>
          <w:rFonts w:ascii="Times New Roman" w:hAnsi="Times New Roman" w:cs="Times New Roman"/>
          <w:sz w:val="24"/>
          <w:szCs w:val="24"/>
          <w:lang w:eastAsia="da-DK"/>
        </w:rPr>
        <w:t xml:space="preserve">i tilfælde, der er omfattet af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F43C1A"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inden for en af Finanstilsynet fastsat frist påbyde de virksomheder og personer, som er nævnt</w:t>
      </w:r>
      <w:r w:rsidR="00500C95" w:rsidRPr="00796736">
        <w:rPr>
          <w:rFonts w:ascii="Times New Roman" w:hAnsi="Times New Roman" w:cs="Times New Roman"/>
          <w:sz w:val="24"/>
          <w:szCs w:val="24"/>
          <w:lang w:eastAsia="da-DK"/>
        </w:rPr>
        <w:t xml:space="preserve"> § 1, stk. 2, nr. 1-3</w:t>
      </w:r>
      <w:r w:rsidR="004945EE">
        <w:rPr>
          <w:rFonts w:ascii="Times New Roman" w:hAnsi="Times New Roman" w:cs="Times New Roman"/>
          <w:sz w:val="24"/>
          <w:szCs w:val="24"/>
          <w:lang w:eastAsia="da-DK"/>
        </w:rPr>
        <w:t>,</w:t>
      </w:r>
      <w:r w:rsidR="00500C95" w:rsidRPr="00796736">
        <w:rPr>
          <w:rFonts w:ascii="Times New Roman" w:hAnsi="Times New Roman" w:cs="Times New Roman"/>
          <w:sz w:val="24"/>
          <w:szCs w:val="24"/>
          <w:lang w:eastAsia="da-DK"/>
        </w:rPr>
        <w:t xml:space="preserve"> </w:t>
      </w:r>
      <w:r w:rsidR="00E727AD">
        <w:rPr>
          <w:rFonts w:ascii="Times New Roman" w:hAnsi="Times New Roman" w:cs="Times New Roman"/>
          <w:sz w:val="24"/>
          <w:szCs w:val="24"/>
          <w:lang w:eastAsia="da-DK"/>
        </w:rPr>
        <w:t>samt</w:t>
      </w:r>
      <w:r w:rsidRPr="00796736">
        <w:rPr>
          <w:rFonts w:ascii="Times New Roman" w:hAnsi="Times New Roman" w:cs="Times New Roman"/>
          <w:sz w:val="24"/>
          <w:szCs w:val="24"/>
          <w:lang w:eastAsia="da-DK"/>
        </w:rPr>
        <w:t xml:space="preserve"> </w:t>
      </w:r>
      <w:r w:rsidR="003D4CDB" w:rsidRPr="00796736">
        <w:rPr>
          <w:rFonts w:ascii="Times New Roman" w:hAnsi="Times New Roman" w:cs="Times New Roman"/>
          <w:sz w:val="24"/>
          <w:szCs w:val="24"/>
          <w:lang w:eastAsia="da-DK"/>
        </w:rPr>
        <w:fldChar w:fldCharType="begin"/>
      </w:r>
      <w:r w:rsidR="003D4CDB" w:rsidRPr="00796736">
        <w:rPr>
          <w:rFonts w:ascii="Times New Roman" w:hAnsi="Times New Roman" w:cs="Times New Roman"/>
          <w:sz w:val="24"/>
          <w:szCs w:val="24"/>
          <w:lang w:eastAsia="da-DK"/>
        </w:rPr>
        <w:instrText xml:space="preserve"> REF _Ref232592818 \r \h </w:instrText>
      </w:r>
      <w:r w:rsidR="00967618" w:rsidRPr="00796736">
        <w:rPr>
          <w:rFonts w:ascii="Times New Roman" w:hAnsi="Times New Roman" w:cs="Times New Roman"/>
          <w:sz w:val="24"/>
          <w:szCs w:val="24"/>
          <w:lang w:eastAsia="da-DK"/>
        </w:rPr>
        <w:instrText xml:space="preserve"> \* MERGEFORMAT </w:instrText>
      </w:r>
      <w:r w:rsidR="003D4CDB" w:rsidRPr="00796736">
        <w:rPr>
          <w:rFonts w:ascii="Times New Roman" w:hAnsi="Times New Roman" w:cs="Times New Roman"/>
          <w:sz w:val="24"/>
          <w:szCs w:val="24"/>
          <w:lang w:eastAsia="da-DK"/>
        </w:rPr>
      </w:r>
      <w:r w:rsidR="003D4CDB"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3D4CDB"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w:t>
      </w:r>
      <w:r w:rsidR="00BA24BC" w:rsidRPr="00796736">
        <w:rPr>
          <w:rFonts w:ascii="Times New Roman" w:hAnsi="Times New Roman" w:cs="Times New Roman"/>
          <w:sz w:val="24"/>
          <w:szCs w:val="24"/>
          <w:lang w:eastAsia="da-DK"/>
        </w:rPr>
        <w:t>nr. 1-</w:t>
      </w:r>
      <w:r w:rsidR="006366FF" w:rsidRPr="00796736">
        <w:rPr>
          <w:rFonts w:ascii="Times New Roman" w:hAnsi="Times New Roman" w:cs="Times New Roman"/>
          <w:sz w:val="24"/>
          <w:szCs w:val="24"/>
          <w:lang w:eastAsia="da-DK"/>
        </w:rPr>
        <w:t>19</w:t>
      </w:r>
      <w:r w:rsidR="00E32EDF" w:rsidRPr="00796736">
        <w:rPr>
          <w:rFonts w:ascii="Times New Roman" w:hAnsi="Times New Roman" w:cs="Times New Roman"/>
          <w:sz w:val="24"/>
          <w:szCs w:val="24"/>
          <w:lang w:eastAsia="da-DK"/>
        </w:rPr>
        <w:t xml:space="preserve">, </w:t>
      </w:r>
      <w:r w:rsidR="00D04B2A" w:rsidRPr="00796736">
        <w:rPr>
          <w:rFonts w:ascii="Times New Roman" w:hAnsi="Times New Roman" w:cs="Times New Roman"/>
          <w:sz w:val="24"/>
          <w:szCs w:val="24"/>
          <w:lang w:eastAsia="da-DK"/>
        </w:rPr>
        <w:t>og</w:t>
      </w:r>
      <w:r w:rsidR="006366FF" w:rsidRPr="00796736">
        <w:rPr>
          <w:rFonts w:ascii="Times New Roman" w:hAnsi="Times New Roman" w:cs="Times New Roman"/>
          <w:sz w:val="24"/>
          <w:szCs w:val="24"/>
          <w:lang w:eastAsia="da-DK"/>
        </w:rPr>
        <w:t xml:space="preserve"> 32, </w:t>
      </w:r>
      <w:r w:rsidR="00E32EDF" w:rsidRPr="00796736">
        <w:rPr>
          <w:rFonts w:ascii="Times New Roman" w:hAnsi="Times New Roman" w:cs="Times New Roman"/>
          <w:sz w:val="24"/>
          <w:szCs w:val="24"/>
          <w:lang w:eastAsia="da-DK"/>
        </w:rPr>
        <w:t>litra a</w:t>
      </w:r>
      <w:r w:rsidR="00E4411E"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t xml:space="preserve"> at </w:t>
      </w:r>
      <w:r w:rsidR="00CC3D7A" w:rsidRPr="00796736">
        <w:rPr>
          <w:rFonts w:ascii="Times New Roman" w:hAnsi="Times New Roman" w:cs="Times New Roman"/>
          <w:sz w:val="24"/>
          <w:szCs w:val="24"/>
          <w:lang w:eastAsia="da-DK"/>
        </w:rPr>
        <w:t>foretage de</w:t>
      </w:r>
      <w:r w:rsidR="00977710"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nødvendige foranstaltninger</w:t>
      </w:r>
      <w:bookmarkEnd w:id="225"/>
      <w:r w:rsidR="00096BEA" w:rsidRPr="00796736">
        <w:rPr>
          <w:rFonts w:ascii="Times New Roman" w:hAnsi="Times New Roman" w:cs="Times New Roman"/>
          <w:sz w:val="24"/>
          <w:szCs w:val="24"/>
          <w:lang w:eastAsia="da-DK"/>
        </w:rPr>
        <w:t>.</w:t>
      </w:r>
      <w:bookmarkEnd w:id="226"/>
      <w:bookmarkEnd w:id="228"/>
      <w:bookmarkEnd w:id="229"/>
    </w:p>
    <w:bookmarkEnd w:id="227"/>
    <w:p w14:paraId="4F39F47B" w14:textId="310B035C" w:rsidR="00876196" w:rsidRPr="00796736" w:rsidRDefault="00876196" w:rsidP="0053178C">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Reaktioner givet efter stk. 1 træffes på grundlag af det materiale og de oplysninger, som foreligger </w:t>
      </w:r>
      <w:r w:rsidR="00F131B1" w:rsidRPr="00796736">
        <w:rPr>
          <w:rFonts w:ascii="Times New Roman" w:hAnsi="Times New Roman" w:cs="Times New Roman"/>
          <w:sz w:val="24"/>
          <w:szCs w:val="24"/>
          <w:lang w:eastAsia="da-DK"/>
        </w:rPr>
        <w:t xml:space="preserve">på </w:t>
      </w:r>
      <w:r w:rsidR="00A36314" w:rsidRPr="00796736">
        <w:rPr>
          <w:rFonts w:ascii="Times New Roman" w:hAnsi="Times New Roman" w:cs="Times New Roman"/>
          <w:sz w:val="24"/>
          <w:szCs w:val="24"/>
          <w:lang w:eastAsia="da-DK"/>
        </w:rPr>
        <w:t>undersøgelsestidspunktet.</w:t>
      </w:r>
      <w:r w:rsidRPr="00796736">
        <w:rPr>
          <w:rFonts w:ascii="Times New Roman" w:hAnsi="Times New Roman" w:cs="Times New Roman"/>
          <w:sz w:val="24"/>
          <w:szCs w:val="24"/>
          <w:lang w:eastAsia="da-DK"/>
        </w:rPr>
        <w:t xml:space="preserve"> Oplysninger og materiale fremlagt efter dette tidspunkt indgår ikke i grundlaget for afgørelsen, medmindre særlige forhold taler herfor.</w:t>
      </w:r>
    </w:p>
    <w:p w14:paraId="7FF55F4E" w14:textId="7330C463" w:rsidR="00094748" w:rsidRPr="00796736" w:rsidRDefault="00094748" w:rsidP="0053178C">
      <w:pPr>
        <w:spacing w:line="360" w:lineRule="auto"/>
        <w:ind w:firstLine="238"/>
        <w:rPr>
          <w:rFonts w:ascii="Times New Roman" w:hAnsi="Times New Roman" w:cs="Times New Roman"/>
          <w:sz w:val="24"/>
          <w:szCs w:val="24"/>
          <w:lang w:eastAsia="da-DK"/>
        </w:rPr>
      </w:pPr>
      <w:r w:rsidRPr="005F48B0">
        <w:rPr>
          <w:rFonts w:ascii="Times New Roman" w:hAnsi="Times New Roman" w:cs="Times New Roman"/>
          <w:i/>
          <w:iCs/>
          <w:sz w:val="24"/>
          <w:szCs w:val="24"/>
          <w:lang w:eastAsia="da-DK"/>
        </w:rPr>
        <w:t>Stk. 3</w:t>
      </w:r>
      <w:r w:rsidRPr="005F48B0">
        <w:rPr>
          <w:rFonts w:ascii="Times New Roman" w:hAnsi="Times New Roman" w:cs="Times New Roman"/>
          <w:sz w:val="24"/>
          <w:szCs w:val="24"/>
          <w:lang w:eastAsia="da-DK"/>
        </w:rPr>
        <w:t xml:space="preserve">. </w:t>
      </w:r>
      <w:r w:rsidR="009716F3" w:rsidRPr="005F48B0">
        <w:rPr>
          <w:rFonts w:ascii="Times New Roman" w:hAnsi="Times New Roman" w:cs="Times New Roman"/>
          <w:sz w:val="24"/>
          <w:szCs w:val="24"/>
        </w:rPr>
        <w:t>Finanstilsynet kan påbyde midlertidige foranstaltninger over for henholdsvis agenter for betalingsinstitutter og e-pengeinstitutter, herunder distributører med hjemsted i et andet EU- eller EØS-land, der ikke overholder hvidvaskforordningen, pengeoverførselsforordningen, denne lov og regler udstedt i medfør heraf samt love og forordninger indeholdende regler om finansielle sanktioner mod lande, personer, grupper, juridiske enheder eller organer.</w:t>
      </w:r>
    </w:p>
    <w:p w14:paraId="17DF3729" w14:textId="77777777" w:rsidR="00CC3D7A" w:rsidRPr="00796736" w:rsidRDefault="00CC3D7A" w:rsidP="0053178C">
      <w:pPr>
        <w:spacing w:line="360" w:lineRule="auto"/>
        <w:ind w:firstLine="238"/>
        <w:rPr>
          <w:rFonts w:ascii="Times New Roman" w:hAnsi="Times New Roman" w:cs="Times New Roman"/>
          <w:sz w:val="24"/>
          <w:szCs w:val="24"/>
          <w:lang w:eastAsia="da-DK"/>
        </w:rPr>
      </w:pPr>
    </w:p>
    <w:p w14:paraId="07C9DC25" w14:textId="4F9063C8" w:rsidR="00CC3D7A" w:rsidRPr="00796736" w:rsidRDefault="00CC3D7A" w:rsidP="0053178C">
      <w:pPr>
        <w:pStyle w:val="Typografi1"/>
        <w:ind w:left="0" w:firstLine="238"/>
        <w:rPr>
          <w:rFonts w:ascii="Times New Roman" w:hAnsi="Times New Roman" w:cs="Times New Roman"/>
          <w:sz w:val="24"/>
          <w:szCs w:val="24"/>
        </w:rPr>
      </w:pPr>
      <w:bookmarkStart w:id="230" w:name="_Ref243936799"/>
      <w:bookmarkStart w:id="231" w:name="_Ref232597270"/>
      <w:bookmarkStart w:id="232" w:name="_Toc244879047"/>
      <w:bookmarkStart w:id="233" w:name="_Toc244880571"/>
      <w:r w:rsidRPr="00796736">
        <w:rPr>
          <w:rFonts w:ascii="Times New Roman" w:hAnsi="Times New Roman" w:cs="Times New Roman"/>
          <w:sz w:val="24"/>
          <w:szCs w:val="24"/>
        </w:rPr>
        <w:t>Finanstilsynet kan</w:t>
      </w:r>
      <w:r w:rsidR="00F43C1A" w:rsidRPr="00796736">
        <w:rPr>
          <w:rFonts w:ascii="Times New Roman" w:hAnsi="Times New Roman" w:cs="Times New Roman"/>
          <w:sz w:val="24"/>
          <w:szCs w:val="24"/>
        </w:rPr>
        <w:t xml:space="preserve"> </w:t>
      </w:r>
      <w:r w:rsidR="00F43C1A" w:rsidRPr="00796736">
        <w:rPr>
          <w:rFonts w:ascii="Times New Roman" w:hAnsi="Times New Roman" w:cs="Times New Roman"/>
          <w:sz w:val="24"/>
          <w:szCs w:val="24"/>
          <w:lang w:eastAsia="da-DK"/>
        </w:rPr>
        <w:t>i tilfælde, der er omfattet af</w:t>
      </w:r>
      <w:r w:rsidR="009A3379" w:rsidRPr="00796736">
        <w:rPr>
          <w:rFonts w:ascii="Times New Roman" w:hAnsi="Times New Roman" w:cs="Times New Roman"/>
          <w:sz w:val="24"/>
          <w:szCs w:val="24"/>
          <w:lang w:eastAsia="da-DK"/>
        </w:rPr>
        <w:t xml:space="preserve">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F43C1A"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rPr>
        <w:t xml:space="preserve">påbyde </w:t>
      </w:r>
      <w:r w:rsidR="00F43C1A" w:rsidRPr="00796736">
        <w:rPr>
          <w:rFonts w:ascii="Times New Roman" w:hAnsi="Times New Roman" w:cs="Times New Roman"/>
          <w:sz w:val="24"/>
          <w:szCs w:val="24"/>
        </w:rPr>
        <w:t xml:space="preserve">de </w:t>
      </w:r>
      <w:r w:rsidRPr="00796736">
        <w:rPr>
          <w:rFonts w:ascii="Times New Roman" w:hAnsi="Times New Roman" w:cs="Times New Roman"/>
          <w:sz w:val="24"/>
          <w:szCs w:val="24"/>
        </w:rPr>
        <w:t>virksomheder og personer, som er nævnt i</w:t>
      </w:r>
      <w:r w:rsidR="00500C95" w:rsidRPr="00796736">
        <w:rPr>
          <w:rFonts w:ascii="Times New Roman" w:hAnsi="Times New Roman" w:cs="Times New Roman"/>
          <w:sz w:val="24"/>
          <w:szCs w:val="24"/>
        </w:rPr>
        <w:t xml:space="preserve"> </w:t>
      </w:r>
      <w:r w:rsidR="00500C95" w:rsidRPr="00796736">
        <w:rPr>
          <w:rFonts w:ascii="Times New Roman" w:hAnsi="Times New Roman" w:cs="Times New Roman"/>
          <w:sz w:val="24"/>
          <w:szCs w:val="24"/>
          <w:lang w:eastAsia="da-DK"/>
        </w:rPr>
        <w:t>§ 1, stk. 2, nr. 1-3</w:t>
      </w:r>
      <w:r w:rsidR="004945EE">
        <w:rPr>
          <w:rFonts w:ascii="Times New Roman" w:hAnsi="Times New Roman" w:cs="Times New Roman"/>
          <w:sz w:val="24"/>
          <w:szCs w:val="24"/>
          <w:lang w:eastAsia="da-DK"/>
        </w:rPr>
        <w:t>,</w:t>
      </w:r>
      <w:r w:rsidR="00500C95" w:rsidRPr="00796736">
        <w:rPr>
          <w:rFonts w:ascii="Times New Roman" w:hAnsi="Times New Roman" w:cs="Times New Roman"/>
          <w:sz w:val="24"/>
          <w:szCs w:val="24"/>
          <w:lang w:eastAsia="da-DK"/>
        </w:rPr>
        <w:t xml:space="preserve"> </w:t>
      </w:r>
      <w:r w:rsidR="00E727AD">
        <w:rPr>
          <w:rFonts w:ascii="Times New Roman" w:hAnsi="Times New Roman" w:cs="Times New Roman"/>
          <w:sz w:val="24"/>
          <w:szCs w:val="24"/>
          <w:lang w:eastAsia="da-DK"/>
        </w:rPr>
        <w:t>samt</w:t>
      </w:r>
      <w:r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1-19, </w:t>
      </w:r>
      <w:r w:rsidR="00D04B2A" w:rsidRPr="00796736">
        <w:rPr>
          <w:rFonts w:ascii="Times New Roman" w:hAnsi="Times New Roman" w:cs="Times New Roman"/>
          <w:sz w:val="24"/>
          <w:szCs w:val="24"/>
        </w:rPr>
        <w:t>og</w:t>
      </w:r>
      <w:r w:rsidRPr="00796736">
        <w:rPr>
          <w:rFonts w:ascii="Times New Roman" w:hAnsi="Times New Roman" w:cs="Times New Roman"/>
          <w:sz w:val="24"/>
          <w:szCs w:val="24"/>
        </w:rPr>
        <w:t xml:space="preserve"> 32, litra a, at virksomheden eller personen,</w:t>
      </w:r>
      <w:bookmarkEnd w:id="230"/>
      <w:bookmarkEnd w:id="232"/>
      <w:bookmarkEnd w:id="233"/>
      <w:r w:rsidRPr="00796736">
        <w:rPr>
          <w:rFonts w:ascii="Times New Roman" w:hAnsi="Times New Roman" w:cs="Times New Roman"/>
          <w:sz w:val="24"/>
          <w:szCs w:val="24"/>
        </w:rPr>
        <w:t xml:space="preserve"> </w:t>
      </w:r>
      <w:bookmarkEnd w:id="231"/>
    </w:p>
    <w:p w14:paraId="660F2C30" w14:textId="41C23B85" w:rsidR="00CC3D7A" w:rsidRPr="00796736" w:rsidRDefault="00CC3D7A">
      <w:pPr>
        <w:pStyle w:val="Listeafsnit"/>
        <w:numPr>
          <w:ilvl w:val="0"/>
          <w:numId w:val="86"/>
        </w:numPr>
        <w:spacing w:line="360" w:lineRule="auto"/>
        <w:rPr>
          <w:rFonts w:ascii="Times New Roman" w:hAnsi="Times New Roman" w:cs="Times New Roman"/>
          <w:sz w:val="24"/>
          <w:szCs w:val="24"/>
        </w:rPr>
      </w:pPr>
      <w:r w:rsidRPr="00796736">
        <w:rPr>
          <w:rFonts w:ascii="Times New Roman" w:hAnsi="Times New Roman" w:cs="Times New Roman"/>
          <w:sz w:val="24"/>
          <w:szCs w:val="24"/>
        </w:rPr>
        <w:t>midlertidigt ikke må udøve en af Finanstilsynets nærmere afgrænset forretningsaktivitet</w:t>
      </w:r>
      <w:r w:rsidR="004945EE">
        <w:rPr>
          <w:rFonts w:ascii="Times New Roman" w:hAnsi="Times New Roman" w:cs="Times New Roman"/>
          <w:sz w:val="24"/>
          <w:szCs w:val="24"/>
        </w:rPr>
        <w:t>,</w:t>
      </w:r>
    </w:p>
    <w:p w14:paraId="6F1F28D8" w14:textId="162DA7CE" w:rsidR="00CC3D7A" w:rsidRPr="00796736" w:rsidRDefault="00CC3D7A">
      <w:pPr>
        <w:pStyle w:val="Listeafsnit"/>
        <w:numPr>
          <w:ilvl w:val="0"/>
          <w:numId w:val="86"/>
        </w:numPr>
        <w:spacing w:line="360" w:lineRule="auto"/>
        <w:rPr>
          <w:rFonts w:ascii="Times New Roman" w:hAnsi="Times New Roman" w:cs="Times New Roman"/>
          <w:sz w:val="24"/>
          <w:szCs w:val="24"/>
        </w:rPr>
      </w:pPr>
      <w:r w:rsidRPr="00796736">
        <w:rPr>
          <w:rFonts w:ascii="Times New Roman" w:hAnsi="Times New Roman" w:cs="Times New Roman"/>
          <w:sz w:val="24"/>
          <w:szCs w:val="24"/>
        </w:rPr>
        <w:t>midlertidigt ikke må gennemføre en af Finanstilsynets nærmere afgrænset type af transaktioner</w:t>
      </w:r>
      <w:r w:rsidR="004945EE">
        <w:rPr>
          <w:rFonts w:ascii="Times New Roman" w:hAnsi="Times New Roman" w:cs="Times New Roman"/>
          <w:sz w:val="24"/>
          <w:szCs w:val="24"/>
        </w:rPr>
        <w:t>,</w:t>
      </w:r>
    </w:p>
    <w:p w14:paraId="196EC688" w14:textId="18A8B193" w:rsidR="00CC3D7A" w:rsidRPr="00796736" w:rsidRDefault="00CC3D7A">
      <w:pPr>
        <w:pStyle w:val="Listeafsnit"/>
        <w:numPr>
          <w:ilvl w:val="0"/>
          <w:numId w:val="86"/>
        </w:numPr>
        <w:spacing w:line="360" w:lineRule="auto"/>
        <w:rPr>
          <w:rFonts w:ascii="Times New Roman" w:hAnsi="Times New Roman" w:cs="Times New Roman"/>
          <w:sz w:val="24"/>
          <w:szCs w:val="24"/>
        </w:rPr>
      </w:pPr>
      <w:r w:rsidRPr="00796736">
        <w:rPr>
          <w:rFonts w:ascii="Times New Roman" w:hAnsi="Times New Roman" w:cs="Times New Roman"/>
          <w:sz w:val="24"/>
          <w:szCs w:val="24"/>
        </w:rPr>
        <w:t>midlertidigt ikke må deltage i netværk af institutter, som nærmere afgrænses af Finanstilsynet</w:t>
      </w:r>
      <w:r w:rsidR="004945EE">
        <w:rPr>
          <w:rFonts w:ascii="Times New Roman" w:hAnsi="Times New Roman" w:cs="Times New Roman"/>
          <w:sz w:val="24"/>
          <w:szCs w:val="24"/>
        </w:rPr>
        <w:t xml:space="preserve"> eller</w:t>
      </w:r>
      <w:r w:rsidRPr="00796736">
        <w:rPr>
          <w:rFonts w:ascii="Times New Roman" w:hAnsi="Times New Roman" w:cs="Times New Roman"/>
          <w:sz w:val="24"/>
          <w:szCs w:val="24"/>
        </w:rPr>
        <w:t xml:space="preserve"> </w:t>
      </w:r>
    </w:p>
    <w:p w14:paraId="49C2FDC9" w14:textId="77777777" w:rsidR="00CC3D7A" w:rsidRPr="00796736" w:rsidRDefault="00CC3D7A">
      <w:pPr>
        <w:pStyle w:val="Listeafsnit"/>
        <w:numPr>
          <w:ilvl w:val="0"/>
          <w:numId w:val="86"/>
        </w:numPr>
        <w:spacing w:line="360" w:lineRule="auto"/>
        <w:rPr>
          <w:rFonts w:ascii="Times New Roman" w:hAnsi="Times New Roman" w:cs="Times New Roman"/>
          <w:sz w:val="24"/>
          <w:szCs w:val="24"/>
        </w:rPr>
      </w:pPr>
      <w:r w:rsidRPr="00796736">
        <w:rPr>
          <w:rFonts w:ascii="Times New Roman" w:hAnsi="Times New Roman" w:cs="Times New Roman"/>
          <w:sz w:val="24"/>
          <w:szCs w:val="24"/>
        </w:rPr>
        <w:t>skal afhænde aktiviteter.</w:t>
      </w:r>
    </w:p>
    <w:p w14:paraId="588EF291" w14:textId="77777777" w:rsidR="00CC3D7A" w:rsidRPr="00796736" w:rsidRDefault="00CC3D7A"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Er overtrædelsen omfattet af stk. 1 foregået helt eller delvist i en virksomheds udenlandske filial, kan påbuddet udstrækkes til at omfatte filialen.</w:t>
      </w:r>
    </w:p>
    <w:p w14:paraId="0719F696" w14:textId="77777777" w:rsidR="00357E11" w:rsidRPr="00796736" w:rsidRDefault="00357E11" w:rsidP="0053178C">
      <w:pPr>
        <w:spacing w:line="360" w:lineRule="auto"/>
        <w:ind w:firstLine="238"/>
        <w:rPr>
          <w:rFonts w:ascii="Times New Roman" w:eastAsia="Calibri" w:hAnsi="Times New Roman" w:cs="Times New Roman"/>
          <w:sz w:val="24"/>
          <w:szCs w:val="24"/>
        </w:rPr>
      </w:pPr>
    </w:p>
    <w:p w14:paraId="777F3C93" w14:textId="3D8BB0BD" w:rsidR="00357E11" w:rsidRPr="00796736" w:rsidRDefault="00357E11" w:rsidP="0053178C">
      <w:pPr>
        <w:pStyle w:val="Typografi1"/>
        <w:ind w:left="0" w:firstLine="238"/>
        <w:rPr>
          <w:rFonts w:ascii="Times New Roman" w:hAnsi="Times New Roman" w:cs="Times New Roman"/>
          <w:iCs/>
          <w:sz w:val="24"/>
          <w:szCs w:val="24"/>
        </w:rPr>
      </w:pPr>
      <w:bookmarkStart w:id="234" w:name="_Ref232597247"/>
      <w:bookmarkStart w:id="235" w:name="_Ref237008164"/>
      <w:bookmarkStart w:id="236" w:name="_Toc244879048"/>
      <w:bookmarkStart w:id="237" w:name="_Toc244880572"/>
      <w:r w:rsidRPr="00796736">
        <w:rPr>
          <w:rFonts w:ascii="Times New Roman" w:hAnsi="Times New Roman" w:cs="Times New Roman"/>
          <w:iCs/>
          <w:sz w:val="24"/>
          <w:szCs w:val="24"/>
        </w:rPr>
        <w:t>Finanstilsynet kan</w:t>
      </w:r>
      <w:r w:rsidR="00F43C1A" w:rsidRPr="00796736">
        <w:rPr>
          <w:rFonts w:ascii="Times New Roman" w:hAnsi="Times New Roman" w:cs="Times New Roman"/>
          <w:iCs/>
          <w:sz w:val="24"/>
          <w:szCs w:val="24"/>
        </w:rPr>
        <w:t xml:space="preserve"> </w:t>
      </w:r>
      <w:r w:rsidR="00F43C1A" w:rsidRPr="00796736">
        <w:rPr>
          <w:rFonts w:ascii="Times New Roman" w:hAnsi="Times New Roman" w:cs="Times New Roman"/>
          <w:sz w:val="24"/>
          <w:szCs w:val="24"/>
          <w:lang w:eastAsia="da-DK"/>
        </w:rPr>
        <w:t>i tilfælde, der er omfattet</w:t>
      </w:r>
      <w:r w:rsidR="009A3379" w:rsidRPr="00796736">
        <w:rPr>
          <w:rFonts w:ascii="Times New Roman" w:hAnsi="Times New Roman" w:cs="Times New Roman"/>
          <w:sz w:val="24"/>
          <w:szCs w:val="24"/>
          <w:lang w:eastAsia="da-DK"/>
        </w:rPr>
        <w:t xml:space="preserve"> af</w:t>
      </w:r>
      <w:r w:rsidR="00F43C1A" w:rsidRPr="00796736">
        <w:rPr>
          <w:rFonts w:ascii="Times New Roman" w:hAnsi="Times New Roman" w:cs="Times New Roman"/>
          <w:sz w:val="24"/>
          <w:szCs w:val="24"/>
          <w:lang w:eastAsia="da-DK"/>
        </w:rPr>
        <w:t xml:space="preserve">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F43C1A" w:rsidRPr="00796736">
        <w:rPr>
          <w:rFonts w:ascii="Times New Roman" w:hAnsi="Times New Roman" w:cs="Times New Roman"/>
          <w:sz w:val="24"/>
          <w:szCs w:val="24"/>
          <w:lang w:eastAsia="da-DK"/>
        </w:rPr>
        <w:t xml:space="preserve">, </w:t>
      </w:r>
      <w:r w:rsidRPr="00796736">
        <w:rPr>
          <w:rFonts w:ascii="Times New Roman" w:hAnsi="Times New Roman" w:cs="Times New Roman"/>
          <w:iCs/>
          <w:sz w:val="24"/>
          <w:szCs w:val="24"/>
        </w:rPr>
        <w:t xml:space="preserve">påbyde virksomheder og personer, som nævnt </w:t>
      </w:r>
      <w:bookmarkStart w:id="238" w:name="_Hlk219418821"/>
      <w:r w:rsidRPr="00796736">
        <w:rPr>
          <w:rFonts w:ascii="Times New Roman" w:hAnsi="Times New Roman" w:cs="Times New Roman"/>
          <w:iCs/>
          <w:sz w:val="24"/>
          <w:szCs w:val="24"/>
        </w:rPr>
        <w:t xml:space="preserve">i </w:t>
      </w:r>
      <w:r w:rsidR="003D4CDB" w:rsidRPr="00796736">
        <w:rPr>
          <w:rFonts w:ascii="Times New Roman" w:hAnsi="Times New Roman" w:cs="Times New Roman"/>
          <w:iCs/>
          <w:sz w:val="24"/>
          <w:szCs w:val="24"/>
        </w:rPr>
        <w:fldChar w:fldCharType="begin"/>
      </w:r>
      <w:r w:rsidR="003D4CDB" w:rsidRPr="00796736">
        <w:rPr>
          <w:rFonts w:ascii="Times New Roman" w:hAnsi="Times New Roman" w:cs="Times New Roman"/>
          <w:iCs/>
          <w:sz w:val="24"/>
          <w:szCs w:val="24"/>
        </w:rPr>
        <w:instrText xml:space="preserve"> REF _Ref232592818 \r \h </w:instrText>
      </w:r>
      <w:r w:rsidR="00967618" w:rsidRPr="00796736">
        <w:rPr>
          <w:rFonts w:ascii="Times New Roman" w:hAnsi="Times New Roman" w:cs="Times New Roman"/>
          <w:iCs/>
          <w:sz w:val="24"/>
          <w:szCs w:val="24"/>
        </w:rPr>
        <w:instrText xml:space="preserve"> \* MERGEFORMAT </w:instrText>
      </w:r>
      <w:r w:rsidR="003D4CDB" w:rsidRPr="00796736">
        <w:rPr>
          <w:rFonts w:ascii="Times New Roman" w:hAnsi="Times New Roman" w:cs="Times New Roman"/>
          <w:iCs/>
          <w:sz w:val="24"/>
          <w:szCs w:val="24"/>
        </w:rPr>
      </w:r>
      <w:r w:rsidR="003D4CDB"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2</w:t>
      </w:r>
      <w:r w:rsidR="003D4CDB" w:rsidRPr="00796736">
        <w:rPr>
          <w:rFonts w:ascii="Times New Roman" w:hAnsi="Times New Roman" w:cs="Times New Roman"/>
          <w:iCs/>
          <w:sz w:val="24"/>
          <w:szCs w:val="24"/>
        </w:rPr>
        <w:fldChar w:fldCharType="end"/>
      </w:r>
      <w:r w:rsidR="00BA24BC" w:rsidRPr="00796736">
        <w:rPr>
          <w:rFonts w:ascii="Times New Roman" w:hAnsi="Times New Roman" w:cs="Times New Roman"/>
          <w:iCs/>
          <w:sz w:val="24"/>
          <w:szCs w:val="24"/>
        </w:rPr>
        <w:t xml:space="preserve">, </w:t>
      </w:r>
      <w:r w:rsidRPr="00796736">
        <w:rPr>
          <w:rFonts w:ascii="Times New Roman" w:hAnsi="Times New Roman" w:cs="Times New Roman"/>
          <w:iCs/>
          <w:sz w:val="24"/>
          <w:szCs w:val="24"/>
        </w:rPr>
        <w:t xml:space="preserve">nr. </w:t>
      </w:r>
      <w:r w:rsidR="009B0005" w:rsidRPr="00796736">
        <w:rPr>
          <w:rFonts w:ascii="Times New Roman" w:hAnsi="Times New Roman" w:cs="Times New Roman"/>
          <w:iCs/>
          <w:sz w:val="24"/>
          <w:szCs w:val="24"/>
        </w:rPr>
        <w:t xml:space="preserve">11, </w:t>
      </w:r>
      <w:r w:rsidR="00B63956" w:rsidRPr="00796736">
        <w:rPr>
          <w:rFonts w:ascii="Times New Roman" w:hAnsi="Times New Roman" w:cs="Times New Roman"/>
          <w:iCs/>
          <w:sz w:val="24"/>
          <w:szCs w:val="24"/>
        </w:rPr>
        <w:t>14</w:t>
      </w:r>
      <w:r w:rsidR="002B4BDE">
        <w:rPr>
          <w:rFonts w:ascii="Times New Roman" w:hAnsi="Times New Roman" w:cs="Times New Roman"/>
          <w:iCs/>
          <w:sz w:val="24"/>
          <w:szCs w:val="24"/>
        </w:rPr>
        <w:t xml:space="preserve">, </w:t>
      </w:r>
      <w:r w:rsidR="009B0005" w:rsidRPr="00796736">
        <w:rPr>
          <w:rFonts w:ascii="Times New Roman" w:hAnsi="Times New Roman" w:cs="Times New Roman"/>
          <w:iCs/>
          <w:sz w:val="24"/>
          <w:szCs w:val="24"/>
        </w:rPr>
        <w:t>19</w:t>
      </w:r>
      <w:r w:rsidR="00E97F5D" w:rsidRPr="00796736">
        <w:rPr>
          <w:rFonts w:ascii="Times New Roman" w:hAnsi="Times New Roman" w:cs="Times New Roman"/>
          <w:iCs/>
          <w:sz w:val="24"/>
          <w:szCs w:val="24"/>
        </w:rPr>
        <w:t xml:space="preserve"> og</w:t>
      </w:r>
      <w:r w:rsidR="006366FF" w:rsidRPr="00796736">
        <w:rPr>
          <w:rFonts w:ascii="Times New Roman" w:hAnsi="Times New Roman" w:cs="Times New Roman"/>
          <w:iCs/>
          <w:sz w:val="24"/>
          <w:szCs w:val="24"/>
        </w:rPr>
        <w:t xml:space="preserve"> 32</w:t>
      </w:r>
      <w:r w:rsidR="00365DE6" w:rsidRPr="00796736">
        <w:rPr>
          <w:rFonts w:ascii="Times New Roman" w:hAnsi="Times New Roman" w:cs="Times New Roman"/>
          <w:iCs/>
          <w:sz w:val="24"/>
          <w:szCs w:val="24"/>
        </w:rPr>
        <w:t>, litra a</w:t>
      </w:r>
      <w:r w:rsidRPr="00796736">
        <w:rPr>
          <w:rFonts w:ascii="Times New Roman" w:hAnsi="Times New Roman" w:cs="Times New Roman"/>
          <w:iCs/>
          <w:sz w:val="24"/>
          <w:szCs w:val="24"/>
        </w:rPr>
        <w:t>, at</w:t>
      </w:r>
      <w:bookmarkEnd w:id="238"/>
      <w:r w:rsidRPr="00796736">
        <w:rPr>
          <w:rFonts w:ascii="Times New Roman" w:hAnsi="Times New Roman" w:cs="Times New Roman"/>
          <w:iCs/>
          <w:sz w:val="24"/>
          <w:szCs w:val="24"/>
        </w:rPr>
        <w:t xml:space="preserve"> afsætte en person fra den øverste ledelse inden for en af Finanstilsynet fastsat frist, hvis denne efter </w:t>
      </w:r>
      <w:r w:rsidR="003D4CDB" w:rsidRPr="00796736">
        <w:rPr>
          <w:rFonts w:ascii="Times New Roman" w:hAnsi="Times New Roman" w:cs="Times New Roman"/>
          <w:iCs/>
          <w:sz w:val="24"/>
          <w:szCs w:val="24"/>
        </w:rPr>
        <w:fldChar w:fldCharType="begin"/>
      </w:r>
      <w:r w:rsidR="003D4CDB" w:rsidRPr="00796736">
        <w:rPr>
          <w:rFonts w:ascii="Times New Roman" w:hAnsi="Times New Roman" w:cs="Times New Roman"/>
          <w:iCs/>
          <w:sz w:val="24"/>
          <w:szCs w:val="24"/>
        </w:rPr>
        <w:instrText xml:space="preserve"> REF _Ref232596808 \r \h </w:instrText>
      </w:r>
      <w:r w:rsidR="00967618" w:rsidRPr="00796736">
        <w:rPr>
          <w:rFonts w:ascii="Times New Roman" w:hAnsi="Times New Roman" w:cs="Times New Roman"/>
          <w:iCs/>
          <w:sz w:val="24"/>
          <w:szCs w:val="24"/>
        </w:rPr>
        <w:instrText xml:space="preserve"> \* MERGEFORMAT </w:instrText>
      </w:r>
      <w:r w:rsidR="003D4CDB" w:rsidRPr="00796736">
        <w:rPr>
          <w:rFonts w:ascii="Times New Roman" w:hAnsi="Times New Roman" w:cs="Times New Roman"/>
          <w:iCs/>
          <w:sz w:val="24"/>
          <w:szCs w:val="24"/>
        </w:rPr>
      </w:r>
      <w:r w:rsidR="003D4CDB"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45</w:t>
      </w:r>
      <w:r w:rsidR="003D4CDB"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1, og </w:t>
      </w:r>
      <w:r w:rsidR="003D4CDB" w:rsidRPr="00796736">
        <w:rPr>
          <w:rFonts w:ascii="Times New Roman" w:hAnsi="Times New Roman" w:cs="Times New Roman"/>
          <w:iCs/>
          <w:sz w:val="24"/>
          <w:szCs w:val="24"/>
        </w:rPr>
        <w:fldChar w:fldCharType="begin"/>
      </w:r>
      <w:r w:rsidR="003D4CDB" w:rsidRPr="00796736">
        <w:rPr>
          <w:rFonts w:ascii="Times New Roman" w:hAnsi="Times New Roman" w:cs="Times New Roman"/>
          <w:iCs/>
          <w:sz w:val="24"/>
          <w:szCs w:val="24"/>
        </w:rPr>
        <w:instrText xml:space="preserve"> REF _Ref232596960 \r \h </w:instrText>
      </w:r>
      <w:r w:rsidR="00967618" w:rsidRPr="00796736">
        <w:rPr>
          <w:rFonts w:ascii="Times New Roman" w:hAnsi="Times New Roman" w:cs="Times New Roman"/>
          <w:iCs/>
          <w:sz w:val="24"/>
          <w:szCs w:val="24"/>
        </w:rPr>
        <w:instrText xml:space="preserve"> \* MERGEFORMAT </w:instrText>
      </w:r>
      <w:r w:rsidR="003D4CDB" w:rsidRPr="00796736">
        <w:rPr>
          <w:rFonts w:ascii="Times New Roman" w:hAnsi="Times New Roman" w:cs="Times New Roman"/>
          <w:iCs/>
          <w:sz w:val="24"/>
          <w:szCs w:val="24"/>
        </w:rPr>
      </w:r>
      <w:r w:rsidR="003D4CDB"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51</w:t>
      </w:r>
      <w:r w:rsidR="003D4CDB"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w:t>
      </w:r>
      <w:r w:rsidR="00D9452F" w:rsidRPr="00796736">
        <w:rPr>
          <w:rFonts w:ascii="Times New Roman" w:hAnsi="Times New Roman" w:cs="Times New Roman"/>
          <w:iCs/>
          <w:sz w:val="24"/>
          <w:szCs w:val="24"/>
        </w:rPr>
        <w:t xml:space="preserve"> og </w:t>
      </w:r>
      <w:r w:rsidR="003A1EBF" w:rsidRPr="00796736">
        <w:rPr>
          <w:rFonts w:ascii="Times New Roman" w:hAnsi="Times New Roman" w:cs="Times New Roman"/>
          <w:iCs/>
          <w:sz w:val="24"/>
          <w:szCs w:val="24"/>
        </w:rPr>
        <w:t>3</w:t>
      </w:r>
      <w:r w:rsidRPr="00796736">
        <w:rPr>
          <w:rFonts w:ascii="Times New Roman" w:hAnsi="Times New Roman" w:cs="Times New Roman"/>
          <w:iCs/>
          <w:sz w:val="24"/>
          <w:szCs w:val="24"/>
        </w:rPr>
        <w:t xml:space="preserve">, ikke kan bestride stillingen. </w:t>
      </w:r>
      <w:r w:rsidRPr="00796736">
        <w:rPr>
          <w:rFonts w:ascii="Times New Roman" w:hAnsi="Times New Roman" w:cs="Times New Roman"/>
          <w:sz w:val="24"/>
          <w:szCs w:val="24"/>
        </w:rPr>
        <w:t>Finanstilsynet kan under samme betingelser som i 1. pkt. påbyde et medlem af bestyrelsen i en sådan virksomhed at nedlægge sit hverv inden for en af Finanstilsynet fastsat frist</w:t>
      </w:r>
      <w:bookmarkEnd w:id="234"/>
      <w:r w:rsidR="00FD7A88" w:rsidRPr="00796736">
        <w:rPr>
          <w:rFonts w:ascii="Times New Roman" w:hAnsi="Times New Roman" w:cs="Times New Roman"/>
          <w:sz w:val="24"/>
          <w:szCs w:val="24"/>
        </w:rPr>
        <w:t>.</w:t>
      </w:r>
      <w:bookmarkEnd w:id="235"/>
      <w:bookmarkEnd w:id="236"/>
      <w:bookmarkEnd w:id="237"/>
    </w:p>
    <w:p w14:paraId="2D2E54AE" w14:textId="50AF4C86" w:rsidR="00357E11" w:rsidRPr="00796736" w:rsidRDefault="00357E11" w:rsidP="0053178C">
      <w:pPr>
        <w:spacing w:line="360" w:lineRule="auto"/>
        <w:ind w:firstLine="238"/>
        <w:rPr>
          <w:rFonts w:ascii="Times New Roman" w:eastAsia="Calibri" w:hAnsi="Times New Roman" w:cs="Times New Roman"/>
          <w:iCs/>
          <w:sz w:val="24"/>
          <w:szCs w:val="24"/>
        </w:rPr>
      </w:pPr>
      <w:r w:rsidRPr="00796736">
        <w:rPr>
          <w:rFonts w:ascii="Times New Roman" w:hAnsi="Times New Roman" w:cs="Times New Roman"/>
          <w:i/>
          <w:iCs/>
          <w:sz w:val="24"/>
          <w:szCs w:val="24"/>
          <w:lang w:eastAsia="da-DK"/>
        </w:rPr>
        <w:t xml:space="preserve">Stk. 2. </w:t>
      </w:r>
      <w:r w:rsidRPr="00796736">
        <w:rPr>
          <w:rFonts w:ascii="Times New Roman" w:eastAsia="Calibri" w:hAnsi="Times New Roman" w:cs="Times New Roman"/>
          <w:iCs/>
          <w:sz w:val="24"/>
          <w:szCs w:val="24"/>
        </w:rPr>
        <w:t xml:space="preserve">Finanstilsynet </w:t>
      </w:r>
      <w:r w:rsidR="00F43C1A" w:rsidRPr="00796736">
        <w:rPr>
          <w:rFonts w:ascii="Times New Roman" w:hAnsi="Times New Roman" w:cs="Times New Roman"/>
          <w:sz w:val="24"/>
          <w:szCs w:val="24"/>
          <w:lang w:eastAsia="da-DK"/>
        </w:rPr>
        <w:t xml:space="preserve">kan i tilfælde, der er omfattet </w:t>
      </w:r>
      <w:r w:rsidR="009A3379" w:rsidRPr="00796736">
        <w:rPr>
          <w:rFonts w:ascii="Times New Roman" w:hAnsi="Times New Roman" w:cs="Times New Roman"/>
          <w:sz w:val="24"/>
          <w:szCs w:val="24"/>
          <w:lang w:eastAsia="da-DK"/>
        </w:rPr>
        <w:t xml:space="preserve">af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F43C1A" w:rsidRPr="00796736">
        <w:rPr>
          <w:rFonts w:ascii="Times New Roman" w:hAnsi="Times New Roman" w:cs="Times New Roman"/>
          <w:sz w:val="24"/>
          <w:szCs w:val="24"/>
          <w:lang w:eastAsia="da-DK"/>
        </w:rPr>
        <w:t xml:space="preserve">, </w:t>
      </w:r>
      <w:r w:rsidRPr="00796736">
        <w:rPr>
          <w:rFonts w:ascii="Times New Roman" w:eastAsia="Calibri" w:hAnsi="Times New Roman" w:cs="Times New Roman"/>
          <w:iCs/>
          <w:sz w:val="24"/>
          <w:szCs w:val="24"/>
        </w:rPr>
        <w:t>påbyde en virksomhed</w:t>
      </w:r>
      <w:r w:rsidR="00FD7A88" w:rsidRPr="00796736">
        <w:rPr>
          <w:rFonts w:ascii="Times New Roman" w:eastAsia="Calibri" w:hAnsi="Times New Roman" w:cs="Times New Roman"/>
          <w:iCs/>
          <w:sz w:val="24"/>
          <w:szCs w:val="24"/>
        </w:rPr>
        <w:t xml:space="preserve"> og personer</w:t>
      </w:r>
      <w:r w:rsidRPr="00796736">
        <w:rPr>
          <w:rFonts w:ascii="Times New Roman" w:eastAsia="Calibri" w:hAnsi="Times New Roman" w:cs="Times New Roman"/>
          <w:iCs/>
          <w:sz w:val="24"/>
          <w:szCs w:val="24"/>
        </w:rPr>
        <w:t xml:space="preserve">, som nævnt i </w:t>
      </w:r>
      <w:r w:rsidR="003D4CDB" w:rsidRPr="00796736">
        <w:rPr>
          <w:rFonts w:ascii="Times New Roman" w:eastAsia="Calibri" w:hAnsi="Times New Roman" w:cs="Times New Roman"/>
          <w:iCs/>
          <w:sz w:val="24"/>
          <w:szCs w:val="24"/>
        </w:rPr>
        <w:fldChar w:fldCharType="begin"/>
      </w:r>
      <w:r w:rsidR="003D4CDB" w:rsidRPr="00796736">
        <w:rPr>
          <w:rFonts w:ascii="Times New Roman" w:eastAsia="Calibri" w:hAnsi="Times New Roman" w:cs="Times New Roman"/>
          <w:iCs/>
          <w:sz w:val="24"/>
          <w:szCs w:val="24"/>
        </w:rPr>
        <w:instrText xml:space="preserve"> REF _Ref232592818 \r \h </w:instrText>
      </w:r>
      <w:r w:rsidR="00967618" w:rsidRPr="00796736">
        <w:rPr>
          <w:rFonts w:ascii="Times New Roman" w:eastAsia="Calibri" w:hAnsi="Times New Roman" w:cs="Times New Roman"/>
          <w:iCs/>
          <w:sz w:val="24"/>
          <w:szCs w:val="24"/>
        </w:rPr>
        <w:instrText xml:space="preserve"> \* MERGEFORMAT </w:instrText>
      </w:r>
      <w:r w:rsidR="003D4CDB" w:rsidRPr="00796736">
        <w:rPr>
          <w:rFonts w:ascii="Times New Roman" w:eastAsia="Calibri" w:hAnsi="Times New Roman" w:cs="Times New Roman"/>
          <w:iCs/>
          <w:sz w:val="24"/>
          <w:szCs w:val="24"/>
        </w:rPr>
      </w:r>
      <w:r w:rsidR="003D4CDB"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2</w:t>
      </w:r>
      <w:r w:rsidR="003D4CDB"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nr. </w:t>
      </w:r>
      <w:r w:rsidR="00883504" w:rsidRPr="00796736">
        <w:rPr>
          <w:rFonts w:ascii="Times New Roman" w:eastAsia="Calibri" w:hAnsi="Times New Roman" w:cs="Times New Roman"/>
          <w:iCs/>
          <w:sz w:val="24"/>
          <w:szCs w:val="24"/>
        </w:rPr>
        <w:t xml:space="preserve">11 og </w:t>
      </w:r>
      <w:r w:rsidRPr="00796736">
        <w:rPr>
          <w:rFonts w:ascii="Times New Roman" w:eastAsia="Calibri" w:hAnsi="Times New Roman" w:cs="Times New Roman"/>
          <w:iCs/>
          <w:sz w:val="24"/>
          <w:szCs w:val="24"/>
        </w:rPr>
        <w:t>1</w:t>
      </w:r>
      <w:r w:rsidR="00883504" w:rsidRPr="00796736">
        <w:rPr>
          <w:rFonts w:ascii="Times New Roman" w:eastAsia="Calibri" w:hAnsi="Times New Roman" w:cs="Times New Roman"/>
          <w:iCs/>
          <w:sz w:val="24"/>
          <w:szCs w:val="24"/>
        </w:rPr>
        <w:t>9,</w:t>
      </w:r>
      <w:r w:rsidRPr="00796736">
        <w:rPr>
          <w:rFonts w:ascii="Times New Roman" w:eastAsia="Calibri" w:hAnsi="Times New Roman" w:cs="Times New Roman"/>
          <w:iCs/>
          <w:sz w:val="24"/>
          <w:szCs w:val="24"/>
        </w:rPr>
        <w:t xml:space="preserve"> at midlertidigt at afsætte en person fra den øverste ledelse, når der er rejst tiltale mod den pågældende i en straffesag om overtrædelse af straffeloven, den finansielle lovgivning eller anden relevant lovgivning, indtil straffesagen er afgjort, hvis domfældelse vil indebære, at personen fra den øverste ledelse, herunder direktør eller medlem af bestyrelsen, ikke opfylder kravene i </w:t>
      </w:r>
      <w:r w:rsidR="003D4CDB" w:rsidRPr="00796736">
        <w:rPr>
          <w:rFonts w:ascii="Times New Roman" w:hAnsi="Times New Roman" w:cs="Times New Roman"/>
          <w:iCs/>
          <w:sz w:val="24"/>
          <w:szCs w:val="24"/>
        </w:rPr>
        <w:fldChar w:fldCharType="begin"/>
      </w:r>
      <w:r w:rsidR="003D4CDB" w:rsidRPr="00796736">
        <w:rPr>
          <w:rFonts w:ascii="Times New Roman" w:hAnsi="Times New Roman" w:cs="Times New Roman"/>
          <w:iCs/>
          <w:sz w:val="24"/>
          <w:szCs w:val="24"/>
        </w:rPr>
        <w:instrText xml:space="preserve"> REF _Ref232596808 \r \h </w:instrText>
      </w:r>
      <w:r w:rsidR="00967618" w:rsidRPr="00796736">
        <w:rPr>
          <w:rFonts w:ascii="Times New Roman" w:hAnsi="Times New Roman" w:cs="Times New Roman"/>
          <w:iCs/>
          <w:sz w:val="24"/>
          <w:szCs w:val="24"/>
        </w:rPr>
        <w:instrText xml:space="preserve"> \* MERGEFORMAT </w:instrText>
      </w:r>
      <w:r w:rsidR="003D4CDB" w:rsidRPr="00796736">
        <w:rPr>
          <w:rFonts w:ascii="Times New Roman" w:hAnsi="Times New Roman" w:cs="Times New Roman"/>
          <w:iCs/>
          <w:sz w:val="24"/>
          <w:szCs w:val="24"/>
        </w:rPr>
      </w:r>
      <w:r w:rsidR="003D4CDB"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45</w:t>
      </w:r>
      <w:r w:rsidR="003D4CDB" w:rsidRPr="00796736">
        <w:rPr>
          <w:rFonts w:ascii="Times New Roman" w:hAnsi="Times New Roman" w:cs="Times New Roman"/>
          <w:iCs/>
          <w:sz w:val="24"/>
          <w:szCs w:val="24"/>
        </w:rPr>
        <w:fldChar w:fldCharType="end"/>
      </w:r>
      <w:r w:rsidR="003D4CDB" w:rsidRPr="00796736">
        <w:rPr>
          <w:rFonts w:ascii="Times New Roman" w:hAnsi="Times New Roman" w:cs="Times New Roman"/>
          <w:iCs/>
          <w:sz w:val="24"/>
          <w:szCs w:val="24"/>
        </w:rPr>
        <w:t>,</w:t>
      </w:r>
      <w:r w:rsidRPr="00796736">
        <w:rPr>
          <w:rFonts w:ascii="Times New Roman" w:eastAsia="Calibri" w:hAnsi="Times New Roman" w:cs="Times New Roman"/>
          <w:iCs/>
          <w:sz w:val="24"/>
          <w:szCs w:val="24"/>
        </w:rPr>
        <w:t xml:space="preserve"> stk. 1, nr. </w:t>
      </w:r>
      <w:r w:rsidR="000071E9" w:rsidRPr="00796736">
        <w:rPr>
          <w:rFonts w:ascii="Times New Roman" w:eastAsia="Calibri" w:hAnsi="Times New Roman" w:cs="Times New Roman"/>
          <w:iCs/>
          <w:sz w:val="24"/>
          <w:szCs w:val="24"/>
        </w:rPr>
        <w:t>3</w:t>
      </w:r>
      <w:r w:rsidR="00E97F5D" w:rsidRPr="00796736">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t xml:space="preserve"> samt </w:t>
      </w:r>
      <w:r w:rsidR="003D4CDB" w:rsidRPr="00796736">
        <w:rPr>
          <w:rFonts w:ascii="Times New Roman" w:hAnsi="Times New Roman" w:cs="Times New Roman"/>
          <w:iCs/>
          <w:sz w:val="24"/>
          <w:szCs w:val="24"/>
        </w:rPr>
        <w:fldChar w:fldCharType="begin"/>
      </w:r>
      <w:r w:rsidR="003D4CDB" w:rsidRPr="00796736">
        <w:rPr>
          <w:rFonts w:ascii="Times New Roman" w:hAnsi="Times New Roman" w:cs="Times New Roman"/>
          <w:iCs/>
          <w:sz w:val="24"/>
          <w:szCs w:val="24"/>
        </w:rPr>
        <w:instrText xml:space="preserve"> REF _Ref232596960 \r \h </w:instrText>
      </w:r>
      <w:r w:rsidR="00967618" w:rsidRPr="00796736">
        <w:rPr>
          <w:rFonts w:ascii="Times New Roman" w:hAnsi="Times New Roman" w:cs="Times New Roman"/>
          <w:iCs/>
          <w:sz w:val="24"/>
          <w:szCs w:val="24"/>
        </w:rPr>
        <w:instrText xml:space="preserve"> \* MERGEFORMAT </w:instrText>
      </w:r>
      <w:r w:rsidR="003D4CDB" w:rsidRPr="00796736">
        <w:rPr>
          <w:rFonts w:ascii="Times New Roman" w:hAnsi="Times New Roman" w:cs="Times New Roman"/>
          <w:iCs/>
          <w:sz w:val="24"/>
          <w:szCs w:val="24"/>
        </w:rPr>
      </w:r>
      <w:r w:rsidR="003D4CDB"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51</w:t>
      </w:r>
      <w:r w:rsidR="003D4CDB" w:rsidRPr="00796736">
        <w:rPr>
          <w:rFonts w:ascii="Times New Roman" w:hAnsi="Times New Roman" w:cs="Times New Roman"/>
          <w:iCs/>
          <w:sz w:val="24"/>
          <w:szCs w:val="24"/>
        </w:rPr>
        <w:fldChar w:fldCharType="end"/>
      </w:r>
      <w:r w:rsidRPr="00796736">
        <w:rPr>
          <w:rFonts w:ascii="Times New Roman" w:eastAsia="Calibri" w:hAnsi="Times New Roman" w:cs="Times New Roman"/>
          <w:iCs/>
          <w:sz w:val="24"/>
          <w:szCs w:val="24"/>
        </w:rPr>
        <w:t>, stk. 1</w:t>
      </w:r>
      <w:r w:rsidR="003A1EBF" w:rsidRPr="00796736">
        <w:rPr>
          <w:rFonts w:ascii="Times New Roman" w:eastAsia="Calibri" w:hAnsi="Times New Roman" w:cs="Times New Roman"/>
          <w:iCs/>
          <w:sz w:val="24"/>
          <w:szCs w:val="24"/>
        </w:rPr>
        <w:t xml:space="preserve"> </w:t>
      </w:r>
      <w:r w:rsidR="004945EE">
        <w:rPr>
          <w:rFonts w:ascii="Times New Roman" w:eastAsia="Calibri" w:hAnsi="Times New Roman" w:cs="Times New Roman"/>
          <w:iCs/>
          <w:sz w:val="24"/>
          <w:szCs w:val="24"/>
        </w:rPr>
        <w:t>og</w:t>
      </w:r>
      <w:r w:rsidR="003A1EBF" w:rsidRPr="00796736">
        <w:rPr>
          <w:rFonts w:ascii="Times New Roman" w:eastAsia="Calibri" w:hAnsi="Times New Roman" w:cs="Times New Roman"/>
          <w:iCs/>
          <w:sz w:val="24"/>
          <w:szCs w:val="24"/>
        </w:rPr>
        <w:t xml:space="preserve"> stk. 3</w:t>
      </w:r>
      <w:r w:rsidRPr="00796736">
        <w:rPr>
          <w:rFonts w:ascii="Times New Roman" w:eastAsia="Calibri" w:hAnsi="Times New Roman" w:cs="Times New Roman"/>
          <w:iCs/>
          <w:sz w:val="24"/>
          <w:szCs w:val="24"/>
        </w:rPr>
        <w:t xml:space="preserve">, nr. </w:t>
      </w:r>
      <w:r w:rsidR="000071E9" w:rsidRPr="00796736">
        <w:rPr>
          <w:rFonts w:ascii="Times New Roman" w:eastAsia="Calibri" w:hAnsi="Times New Roman" w:cs="Times New Roman"/>
          <w:iCs/>
          <w:sz w:val="24"/>
          <w:szCs w:val="24"/>
        </w:rPr>
        <w:t>2</w:t>
      </w:r>
      <w:r w:rsidRPr="00796736">
        <w:rPr>
          <w:rFonts w:ascii="Times New Roman" w:eastAsia="Calibri" w:hAnsi="Times New Roman" w:cs="Times New Roman"/>
          <w:iCs/>
          <w:sz w:val="24"/>
          <w:szCs w:val="24"/>
        </w:rPr>
        <w:t xml:space="preserve">. </w:t>
      </w:r>
      <w:r w:rsidRPr="00796736">
        <w:rPr>
          <w:rFonts w:ascii="Times New Roman" w:hAnsi="Times New Roman" w:cs="Times New Roman"/>
          <w:sz w:val="24"/>
          <w:szCs w:val="24"/>
        </w:rPr>
        <w:t>Finanstilsynet kan under</w:t>
      </w:r>
      <w:r w:rsidR="00FD7A88" w:rsidRPr="00796736">
        <w:rPr>
          <w:rFonts w:ascii="Times New Roman" w:hAnsi="Times New Roman" w:cs="Times New Roman"/>
          <w:sz w:val="24"/>
          <w:szCs w:val="24"/>
        </w:rPr>
        <w:t xml:space="preserve"> de</w:t>
      </w:r>
      <w:r w:rsidRPr="00796736">
        <w:rPr>
          <w:rFonts w:ascii="Times New Roman" w:hAnsi="Times New Roman" w:cs="Times New Roman"/>
          <w:sz w:val="24"/>
          <w:szCs w:val="24"/>
        </w:rPr>
        <w:t xml:space="preserve"> samme betingelser som i 1. pkt.</w:t>
      </w:r>
      <w:r w:rsidR="00BC65DB" w:rsidRPr="00796736">
        <w:rPr>
          <w:rFonts w:ascii="Times New Roman" w:hAnsi="Times New Roman" w:cs="Times New Roman"/>
          <w:sz w:val="24"/>
          <w:szCs w:val="24"/>
        </w:rPr>
        <w:t xml:space="preserve"> midlertidigt</w:t>
      </w:r>
      <w:r w:rsidRPr="00796736">
        <w:rPr>
          <w:rFonts w:ascii="Times New Roman" w:hAnsi="Times New Roman" w:cs="Times New Roman"/>
          <w:sz w:val="24"/>
          <w:szCs w:val="24"/>
        </w:rPr>
        <w:t xml:space="preserve"> påbyde et medlem af bestyrelsen i en sådan virksomhed at nedlægge sit hverv inden for en af Finanstilsynet fastsat frist. Finanstilsynet fastsætter en frist for efterlevelse af påbuddet</w:t>
      </w:r>
      <w:r w:rsidRPr="00796736">
        <w:rPr>
          <w:rFonts w:ascii="Times New Roman" w:eastAsia="Calibri" w:hAnsi="Times New Roman" w:cs="Times New Roman"/>
          <w:iCs/>
          <w:sz w:val="24"/>
          <w:szCs w:val="24"/>
        </w:rPr>
        <w:t xml:space="preserve">. </w:t>
      </w:r>
    </w:p>
    <w:p w14:paraId="19576ACD" w14:textId="2D922E10" w:rsidR="00357E11" w:rsidRPr="00796736" w:rsidRDefault="00357E11" w:rsidP="0053178C">
      <w:pPr>
        <w:spacing w:line="360" w:lineRule="auto"/>
        <w:ind w:firstLine="238"/>
        <w:rPr>
          <w:rFonts w:ascii="Times New Roman" w:eastAsia="Calibri" w:hAnsi="Times New Roman" w:cs="Times New Roman"/>
          <w:iCs/>
          <w:sz w:val="24"/>
          <w:szCs w:val="24"/>
        </w:rPr>
      </w:pPr>
      <w:r w:rsidRPr="00796736">
        <w:rPr>
          <w:rFonts w:ascii="Times New Roman" w:eastAsia="Calibri" w:hAnsi="Times New Roman" w:cs="Times New Roman"/>
          <w:i/>
          <w:sz w:val="24"/>
          <w:szCs w:val="24"/>
        </w:rPr>
        <w:t>Stk. 3.</w:t>
      </w:r>
      <w:r w:rsidRPr="00796736">
        <w:rPr>
          <w:rFonts w:ascii="Times New Roman" w:eastAsia="Calibri" w:hAnsi="Times New Roman" w:cs="Times New Roman"/>
          <w:iCs/>
          <w:sz w:val="24"/>
          <w:szCs w:val="24"/>
        </w:rPr>
        <w:t xml:space="preserve"> Finanstilsynet </w:t>
      </w:r>
      <w:r w:rsidR="00F43C1A" w:rsidRPr="00796736">
        <w:rPr>
          <w:rFonts w:ascii="Times New Roman" w:hAnsi="Times New Roman" w:cs="Times New Roman"/>
          <w:sz w:val="24"/>
          <w:szCs w:val="24"/>
          <w:lang w:eastAsia="da-DK"/>
        </w:rPr>
        <w:t xml:space="preserve">kan i tilfælde, </w:t>
      </w:r>
      <w:r w:rsidR="005F48B0" w:rsidRPr="00796736">
        <w:rPr>
          <w:rFonts w:ascii="Times New Roman" w:hAnsi="Times New Roman" w:cs="Times New Roman"/>
          <w:sz w:val="24"/>
          <w:szCs w:val="24"/>
          <w:lang w:eastAsia="da-DK"/>
        </w:rPr>
        <w:t xml:space="preserve">der er omfattet af </w:t>
      </w:r>
      <w:r w:rsidR="005F48B0" w:rsidRPr="00796736">
        <w:rPr>
          <w:rFonts w:ascii="Times New Roman" w:hAnsi="Times New Roman" w:cs="Times New Roman"/>
          <w:sz w:val="24"/>
          <w:szCs w:val="24"/>
          <w:lang w:eastAsia="da-DK"/>
        </w:rPr>
        <w:fldChar w:fldCharType="begin"/>
      </w:r>
      <w:r w:rsidR="005F48B0" w:rsidRPr="00796736">
        <w:rPr>
          <w:rFonts w:ascii="Times New Roman" w:hAnsi="Times New Roman" w:cs="Times New Roman"/>
          <w:sz w:val="24"/>
          <w:szCs w:val="24"/>
          <w:lang w:eastAsia="da-DK"/>
        </w:rPr>
        <w:instrText xml:space="preserve"> REF _Ref242814430 \r \h  \* MERGEFORMAT </w:instrText>
      </w:r>
      <w:r w:rsidR="005F48B0" w:rsidRPr="00796736">
        <w:rPr>
          <w:rFonts w:ascii="Times New Roman" w:hAnsi="Times New Roman" w:cs="Times New Roman"/>
          <w:sz w:val="24"/>
          <w:szCs w:val="24"/>
          <w:lang w:eastAsia="da-DK"/>
        </w:rPr>
      </w:r>
      <w:r w:rsidR="005F48B0"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5F48B0" w:rsidRPr="00796736">
        <w:rPr>
          <w:rFonts w:ascii="Times New Roman" w:hAnsi="Times New Roman" w:cs="Times New Roman"/>
          <w:sz w:val="24"/>
          <w:szCs w:val="24"/>
          <w:lang w:eastAsia="da-DK"/>
        </w:rPr>
        <w:fldChar w:fldCharType="end"/>
      </w:r>
      <w:r w:rsidR="00F43C1A" w:rsidRPr="00796736">
        <w:rPr>
          <w:rFonts w:ascii="Times New Roman" w:hAnsi="Times New Roman" w:cs="Times New Roman"/>
          <w:sz w:val="24"/>
          <w:szCs w:val="24"/>
          <w:lang w:eastAsia="da-DK"/>
        </w:rPr>
        <w:t xml:space="preserve">, </w:t>
      </w:r>
      <w:r w:rsidRPr="00796736">
        <w:rPr>
          <w:rFonts w:ascii="Times New Roman" w:eastAsia="Calibri" w:hAnsi="Times New Roman" w:cs="Times New Roman"/>
          <w:iCs/>
          <w:sz w:val="24"/>
          <w:szCs w:val="24"/>
        </w:rPr>
        <w:t xml:space="preserve">påbyde en virksomhed, som nævnt i </w:t>
      </w:r>
      <w:r w:rsidR="003D4CDB" w:rsidRPr="00796736">
        <w:rPr>
          <w:rFonts w:ascii="Times New Roman" w:eastAsia="Calibri" w:hAnsi="Times New Roman" w:cs="Times New Roman"/>
          <w:iCs/>
          <w:sz w:val="24"/>
          <w:szCs w:val="24"/>
        </w:rPr>
        <w:fldChar w:fldCharType="begin"/>
      </w:r>
      <w:r w:rsidR="003D4CDB" w:rsidRPr="00796736">
        <w:rPr>
          <w:rFonts w:ascii="Times New Roman" w:eastAsia="Calibri" w:hAnsi="Times New Roman" w:cs="Times New Roman"/>
          <w:iCs/>
          <w:sz w:val="24"/>
          <w:szCs w:val="24"/>
        </w:rPr>
        <w:instrText xml:space="preserve"> REF _Ref232592818 \r \h </w:instrText>
      </w:r>
      <w:r w:rsidR="00967618" w:rsidRPr="00796736">
        <w:rPr>
          <w:rFonts w:ascii="Times New Roman" w:eastAsia="Calibri" w:hAnsi="Times New Roman" w:cs="Times New Roman"/>
          <w:iCs/>
          <w:sz w:val="24"/>
          <w:szCs w:val="24"/>
        </w:rPr>
        <w:instrText xml:space="preserve"> \* MERGEFORMAT </w:instrText>
      </w:r>
      <w:r w:rsidR="003D4CDB" w:rsidRPr="00796736">
        <w:rPr>
          <w:rFonts w:ascii="Times New Roman" w:eastAsia="Calibri" w:hAnsi="Times New Roman" w:cs="Times New Roman"/>
          <w:iCs/>
          <w:sz w:val="24"/>
          <w:szCs w:val="24"/>
        </w:rPr>
      </w:r>
      <w:r w:rsidR="003D4CDB"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2</w:t>
      </w:r>
      <w:r w:rsidR="003D4CDB"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nr. 1</w:t>
      </w:r>
      <w:r w:rsidR="00D312F7" w:rsidRPr="00796736">
        <w:rPr>
          <w:rFonts w:ascii="Times New Roman" w:eastAsia="Calibri" w:hAnsi="Times New Roman" w:cs="Times New Roman"/>
          <w:iCs/>
          <w:sz w:val="24"/>
          <w:szCs w:val="24"/>
        </w:rPr>
        <w:t>1</w:t>
      </w:r>
      <w:r w:rsidRPr="00796736">
        <w:rPr>
          <w:rFonts w:ascii="Times New Roman" w:eastAsia="Calibri" w:hAnsi="Times New Roman" w:cs="Times New Roman"/>
          <w:iCs/>
          <w:sz w:val="24"/>
          <w:szCs w:val="24"/>
        </w:rPr>
        <w:t xml:space="preserve"> og </w:t>
      </w:r>
      <w:r w:rsidR="00D312F7" w:rsidRPr="00796736">
        <w:rPr>
          <w:rFonts w:ascii="Times New Roman" w:eastAsia="Calibri" w:hAnsi="Times New Roman" w:cs="Times New Roman"/>
          <w:iCs/>
          <w:sz w:val="24"/>
          <w:szCs w:val="24"/>
        </w:rPr>
        <w:t>19</w:t>
      </w:r>
      <w:r w:rsidRPr="00796736">
        <w:rPr>
          <w:rFonts w:ascii="Times New Roman" w:eastAsia="Calibri" w:hAnsi="Times New Roman" w:cs="Times New Roman"/>
          <w:iCs/>
          <w:sz w:val="24"/>
          <w:szCs w:val="24"/>
        </w:rPr>
        <w:t xml:space="preserve">, at midlertidigt afsætte en person fra den øverste ledelse, </w:t>
      </w:r>
      <w:r w:rsidR="00D5194A" w:rsidRPr="00796736">
        <w:rPr>
          <w:rFonts w:ascii="Times New Roman" w:eastAsia="Calibri" w:hAnsi="Times New Roman" w:cs="Times New Roman"/>
          <w:iCs/>
          <w:sz w:val="24"/>
          <w:szCs w:val="24"/>
        </w:rPr>
        <w:t xml:space="preserve">hvis </w:t>
      </w:r>
      <w:r w:rsidRPr="00796736">
        <w:rPr>
          <w:rFonts w:ascii="Times New Roman" w:eastAsia="Calibri" w:hAnsi="Times New Roman" w:cs="Times New Roman"/>
          <w:iCs/>
          <w:sz w:val="24"/>
          <w:szCs w:val="24"/>
        </w:rPr>
        <w:t xml:space="preserve">vedkommende ikke besidder den viden og ekspertise, der er nødvendig for at bestride stillingen. </w:t>
      </w:r>
      <w:r w:rsidRPr="00796736">
        <w:rPr>
          <w:rFonts w:ascii="Times New Roman" w:hAnsi="Times New Roman" w:cs="Times New Roman"/>
          <w:sz w:val="24"/>
          <w:szCs w:val="24"/>
        </w:rPr>
        <w:t xml:space="preserve">Finanstilsynet kan under samme betingelser som i 1. pkt. </w:t>
      </w:r>
      <w:r w:rsidR="000060C3" w:rsidRPr="00796736">
        <w:rPr>
          <w:rFonts w:ascii="Times New Roman" w:eastAsia="Calibri" w:hAnsi="Times New Roman" w:cs="Times New Roman"/>
          <w:iCs/>
          <w:sz w:val="24"/>
          <w:szCs w:val="24"/>
        </w:rPr>
        <w:t xml:space="preserve">midlertidigt </w:t>
      </w:r>
      <w:r w:rsidRPr="00796736">
        <w:rPr>
          <w:rFonts w:ascii="Times New Roman" w:hAnsi="Times New Roman" w:cs="Times New Roman"/>
          <w:sz w:val="24"/>
          <w:szCs w:val="24"/>
        </w:rPr>
        <w:t>påbyde et medlem af bestyrelsen i en sådan virksomhed at nedlægge sit hverv inden for en af Finanstilsynet fastsat frist</w:t>
      </w:r>
      <w:r w:rsidRPr="00796736">
        <w:rPr>
          <w:rFonts w:ascii="Times New Roman" w:eastAsia="Calibri" w:hAnsi="Times New Roman" w:cs="Times New Roman"/>
          <w:iCs/>
          <w:sz w:val="24"/>
          <w:szCs w:val="24"/>
        </w:rPr>
        <w:t>. Finanstilsynet fastsætter en frist for efterlevelse af påbuddet.</w:t>
      </w:r>
    </w:p>
    <w:p w14:paraId="73AB9331" w14:textId="344DCCD0" w:rsidR="00357E11" w:rsidRPr="00796736" w:rsidRDefault="00357E11" w:rsidP="0053178C">
      <w:pPr>
        <w:spacing w:line="360" w:lineRule="auto"/>
        <w:ind w:firstLine="238"/>
        <w:rPr>
          <w:rFonts w:ascii="Times New Roman" w:eastAsia="Calibri" w:hAnsi="Times New Roman" w:cs="Times New Roman"/>
          <w:iCs/>
          <w:sz w:val="24"/>
          <w:szCs w:val="24"/>
        </w:rPr>
      </w:pPr>
      <w:r w:rsidRPr="00796736">
        <w:rPr>
          <w:rFonts w:ascii="Times New Roman" w:eastAsia="Calibri" w:hAnsi="Times New Roman" w:cs="Times New Roman"/>
          <w:i/>
          <w:sz w:val="24"/>
          <w:szCs w:val="24"/>
        </w:rPr>
        <w:t>Stk. 4</w:t>
      </w:r>
      <w:r w:rsidRPr="00796736">
        <w:rPr>
          <w:rFonts w:ascii="Times New Roman" w:eastAsia="Calibri" w:hAnsi="Times New Roman" w:cs="Times New Roman"/>
          <w:iCs/>
          <w:sz w:val="24"/>
          <w:szCs w:val="24"/>
        </w:rPr>
        <w:t xml:space="preserve">. Finanstilsynet </w:t>
      </w:r>
      <w:r w:rsidR="00F43C1A" w:rsidRPr="00796736">
        <w:rPr>
          <w:rFonts w:ascii="Times New Roman" w:hAnsi="Times New Roman" w:cs="Times New Roman"/>
          <w:sz w:val="24"/>
          <w:szCs w:val="24"/>
          <w:lang w:eastAsia="da-DK"/>
        </w:rPr>
        <w:t xml:space="preserve">kan i tilfælde, der er omfattet </w:t>
      </w:r>
      <w:r w:rsidR="009A3379" w:rsidRPr="00796736">
        <w:rPr>
          <w:rFonts w:ascii="Times New Roman" w:hAnsi="Times New Roman" w:cs="Times New Roman"/>
          <w:sz w:val="24"/>
          <w:szCs w:val="24"/>
          <w:lang w:eastAsia="da-DK"/>
        </w:rPr>
        <w:t xml:space="preserve">af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F43C1A" w:rsidRPr="00796736">
        <w:rPr>
          <w:rFonts w:ascii="Times New Roman" w:hAnsi="Times New Roman" w:cs="Times New Roman"/>
          <w:sz w:val="24"/>
          <w:szCs w:val="24"/>
          <w:lang w:eastAsia="da-DK"/>
        </w:rPr>
        <w:t xml:space="preserve">, </w:t>
      </w:r>
      <w:r w:rsidRPr="00796736">
        <w:rPr>
          <w:rFonts w:ascii="Times New Roman" w:eastAsia="Calibri" w:hAnsi="Times New Roman" w:cs="Times New Roman"/>
          <w:iCs/>
          <w:sz w:val="24"/>
          <w:szCs w:val="24"/>
        </w:rPr>
        <w:t xml:space="preserve">påbyde virksomheder og personer, der er nævnt i § 2, </w:t>
      </w:r>
      <w:r w:rsidR="00D312F7" w:rsidRPr="00796736">
        <w:rPr>
          <w:rFonts w:ascii="Times New Roman" w:eastAsia="Calibri" w:hAnsi="Times New Roman" w:cs="Times New Roman"/>
          <w:iCs/>
          <w:sz w:val="24"/>
          <w:szCs w:val="24"/>
        </w:rPr>
        <w:t>nr.</w:t>
      </w:r>
      <w:r w:rsidRPr="00796736">
        <w:rPr>
          <w:rFonts w:ascii="Times New Roman" w:eastAsia="Calibri" w:hAnsi="Times New Roman" w:cs="Times New Roman"/>
          <w:iCs/>
          <w:sz w:val="24"/>
          <w:szCs w:val="24"/>
        </w:rPr>
        <w:t xml:space="preserve"> </w:t>
      </w:r>
      <w:r w:rsidR="00D312F7" w:rsidRPr="00796736">
        <w:rPr>
          <w:rFonts w:ascii="Times New Roman" w:eastAsia="Calibri" w:hAnsi="Times New Roman" w:cs="Times New Roman"/>
          <w:iCs/>
          <w:sz w:val="24"/>
          <w:szCs w:val="24"/>
        </w:rPr>
        <w:t>1-</w:t>
      </w:r>
      <w:r w:rsidR="006366FF" w:rsidRPr="00796736">
        <w:rPr>
          <w:rFonts w:ascii="Times New Roman" w:eastAsia="Calibri" w:hAnsi="Times New Roman" w:cs="Times New Roman"/>
          <w:iCs/>
          <w:sz w:val="24"/>
          <w:szCs w:val="24"/>
        </w:rPr>
        <w:t>19</w:t>
      </w:r>
      <w:r w:rsidR="00235BD0" w:rsidRPr="00796736">
        <w:rPr>
          <w:rFonts w:ascii="Times New Roman" w:eastAsia="Calibri" w:hAnsi="Times New Roman" w:cs="Times New Roman"/>
          <w:iCs/>
          <w:sz w:val="24"/>
          <w:szCs w:val="24"/>
        </w:rPr>
        <w:t xml:space="preserve"> </w:t>
      </w:r>
      <w:r w:rsidR="002B4BDE">
        <w:rPr>
          <w:rFonts w:ascii="Times New Roman" w:eastAsia="Calibri" w:hAnsi="Times New Roman" w:cs="Times New Roman"/>
          <w:iCs/>
          <w:sz w:val="24"/>
          <w:szCs w:val="24"/>
        </w:rPr>
        <w:t>og</w:t>
      </w:r>
      <w:r w:rsidR="004945EE" w:rsidRPr="00796736">
        <w:rPr>
          <w:rFonts w:ascii="Times New Roman" w:eastAsia="Calibri" w:hAnsi="Times New Roman" w:cs="Times New Roman"/>
          <w:iCs/>
          <w:sz w:val="24"/>
          <w:szCs w:val="24"/>
        </w:rPr>
        <w:t xml:space="preserve"> </w:t>
      </w:r>
      <w:r w:rsidR="006366FF" w:rsidRPr="00796736">
        <w:rPr>
          <w:rFonts w:ascii="Times New Roman" w:eastAsia="Calibri" w:hAnsi="Times New Roman" w:cs="Times New Roman"/>
          <w:iCs/>
          <w:sz w:val="24"/>
          <w:szCs w:val="24"/>
        </w:rPr>
        <w:t xml:space="preserve">32, </w:t>
      </w:r>
      <w:r w:rsidR="00235BD0" w:rsidRPr="00796736">
        <w:rPr>
          <w:rFonts w:ascii="Times New Roman" w:eastAsia="Calibri" w:hAnsi="Times New Roman" w:cs="Times New Roman"/>
          <w:iCs/>
          <w:sz w:val="24"/>
          <w:szCs w:val="24"/>
        </w:rPr>
        <w:t>litra a</w:t>
      </w:r>
      <w:r w:rsidRPr="00796736">
        <w:rPr>
          <w:rFonts w:ascii="Times New Roman" w:eastAsia="Calibri" w:hAnsi="Times New Roman" w:cs="Times New Roman"/>
          <w:iCs/>
          <w:sz w:val="24"/>
          <w:szCs w:val="24"/>
        </w:rPr>
        <w:t xml:space="preserve">, at afsætte den person, der er udpeget i henhold til artikel 11, stk. 2, i </w:t>
      </w:r>
      <w:r w:rsidR="006723A1">
        <w:rPr>
          <w:rFonts w:ascii="Times New Roman" w:eastAsia="Calibri" w:hAnsi="Times New Roman" w:cs="Times New Roman"/>
          <w:iCs/>
          <w:sz w:val="24"/>
          <w:szCs w:val="24"/>
        </w:rPr>
        <w:t>hvidvaskforordningen</w:t>
      </w:r>
      <w:r w:rsidRPr="00796736">
        <w:rPr>
          <w:rFonts w:ascii="Times New Roman" w:eastAsia="Calibri" w:hAnsi="Times New Roman" w:cs="Times New Roman"/>
          <w:iCs/>
          <w:sz w:val="24"/>
          <w:szCs w:val="24"/>
        </w:rPr>
        <w:t>,</w:t>
      </w:r>
      <w:r w:rsidR="00BC65DB" w:rsidRPr="00796736">
        <w:rPr>
          <w:rFonts w:ascii="Times New Roman" w:eastAsia="Calibri" w:hAnsi="Times New Roman" w:cs="Times New Roman"/>
          <w:iCs/>
          <w:sz w:val="24"/>
          <w:szCs w:val="24"/>
        </w:rPr>
        <w:t xml:space="preserve"> og som ikke er omfattet af stk. 1,</w:t>
      </w:r>
      <w:r w:rsidRPr="00796736">
        <w:rPr>
          <w:rFonts w:ascii="Times New Roman" w:eastAsia="Calibri" w:hAnsi="Times New Roman" w:cs="Times New Roman"/>
          <w:iCs/>
          <w:sz w:val="24"/>
          <w:szCs w:val="24"/>
        </w:rPr>
        <w:t xml:space="preserve"> inden for en frist fastsat af Finanstilsynet, hvis personen efter artikel 11, stk. 2, ikke kan bestride stillingen.</w:t>
      </w:r>
    </w:p>
    <w:p w14:paraId="20767E6C" w14:textId="5E3DC0BC" w:rsidR="00357E11" w:rsidRPr="00796736" w:rsidRDefault="00357E11" w:rsidP="0053178C">
      <w:pPr>
        <w:spacing w:line="360" w:lineRule="auto"/>
        <w:ind w:firstLine="238"/>
        <w:rPr>
          <w:rFonts w:ascii="Times New Roman" w:eastAsia="Calibri" w:hAnsi="Times New Roman" w:cs="Times New Roman"/>
          <w:iCs/>
          <w:sz w:val="24"/>
          <w:szCs w:val="24"/>
        </w:rPr>
      </w:pPr>
      <w:r w:rsidRPr="00796736">
        <w:rPr>
          <w:rFonts w:ascii="Times New Roman" w:hAnsi="Times New Roman" w:cs="Times New Roman"/>
          <w:i/>
          <w:iCs/>
          <w:sz w:val="24"/>
          <w:szCs w:val="24"/>
          <w:lang w:eastAsia="da-DK"/>
        </w:rPr>
        <w:t xml:space="preserve">Stk. 5. </w:t>
      </w:r>
      <w:r w:rsidRPr="00796736">
        <w:rPr>
          <w:rFonts w:ascii="Times New Roman" w:eastAsia="Calibri" w:hAnsi="Times New Roman" w:cs="Times New Roman"/>
          <w:iCs/>
          <w:sz w:val="24"/>
          <w:szCs w:val="24"/>
        </w:rPr>
        <w:t xml:space="preserve">Varigheden af påbud meddelt efter stk. </w:t>
      </w:r>
      <w:r w:rsidR="00FD7A88" w:rsidRPr="00796736">
        <w:rPr>
          <w:rFonts w:ascii="Times New Roman" w:eastAsia="Calibri" w:hAnsi="Times New Roman" w:cs="Times New Roman"/>
          <w:iCs/>
          <w:sz w:val="24"/>
          <w:szCs w:val="24"/>
        </w:rPr>
        <w:t>stk. 1-</w:t>
      </w:r>
      <w:r w:rsidR="00E727AD">
        <w:rPr>
          <w:rFonts w:ascii="Times New Roman" w:eastAsia="Calibri" w:hAnsi="Times New Roman" w:cs="Times New Roman"/>
          <w:iCs/>
          <w:sz w:val="24"/>
          <w:szCs w:val="24"/>
        </w:rPr>
        <w:t>3</w:t>
      </w:r>
      <w:r w:rsidRPr="00796736">
        <w:rPr>
          <w:rFonts w:ascii="Times New Roman" w:eastAsia="Calibri" w:hAnsi="Times New Roman" w:cs="Times New Roman"/>
          <w:iCs/>
          <w:sz w:val="24"/>
          <w:szCs w:val="24"/>
        </w:rPr>
        <w:t xml:space="preserve"> skal fremgå af påbuddet.</w:t>
      </w:r>
    </w:p>
    <w:p w14:paraId="3877BD55" w14:textId="6654D0CD" w:rsidR="00357E11" w:rsidRPr="00796736" w:rsidRDefault="00357E11" w:rsidP="0053178C">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6. </w:t>
      </w:r>
      <w:r w:rsidRPr="00796736">
        <w:rPr>
          <w:rFonts w:ascii="Times New Roman" w:hAnsi="Times New Roman" w:cs="Times New Roman"/>
          <w:sz w:val="24"/>
          <w:szCs w:val="24"/>
          <w:lang w:eastAsia="da-DK"/>
        </w:rPr>
        <w:t xml:space="preserve">Påbud meddelt efter stk. 1-4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w:t>
      </w:r>
      <w:r w:rsidR="006025D0" w:rsidRPr="00796736">
        <w:rPr>
          <w:rFonts w:ascii="Times New Roman" w:hAnsi="Times New Roman" w:cs="Times New Roman"/>
          <w:sz w:val="24"/>
          <w:szCs w:val="24"/>
          <w:lang w:eastAsia="da-DK"/>
        </w:rPr>
        <w:t>den person, som påbuddet vedrører,</w:t>
      </w:r>
      <w:r w:rsidRPr="00796736">
        <w:rPr>
          <w:rFonts w:ascii="Times New Roman" w:hAnsi="Times New Roman" w:cs="Times New Roman"/>
          <w:sz w:val="24"/>
          <w:szCs w:val="24"/>
          <w:lang w:eastAsia="da-DK"/>
        </w:rPr>
        <w:t xml:space="preserve"> under sagens </w:t>
      </w:r>
      <w:r w:rsidR="006025D0" w:rsidRPr="00796736">
        <w:rPr>
          <w:rFonts w:ascii="Times New Roman" w:hAnsi="Times New Roman" w:cs="Times New Roman"/>
          <w:sz w:val="24"/>
          <w:szCs w:val="24"/>
          <w:lang w:eastAsia="da-DK"/>
        </w:rPr>
        <w:t>behandling</w:t>
      </w:r>
      <w:r w:rsidRPr="00796736">
        <w:rPr>
          <w:rFonts w:ascii="Times New Roman" w:hAnsi="Times New Roman" w:cs="Times New Roman"/>
          <w:sz w:val="24"/>
          <w:szCs w:val="24"/>
          <w:lang w:eastAsia="da-DK"/>
        </w:rPr>
        <w:t xml:space="preserve"> kan opretholde sit hverv eller sin stilling. Finanstilsynet indbringer sagen for domstolene inden 4 uger efter modtagelse af anmodning herom. Sagen anlægges i den borgerlige retsplejes former. </w:t>
      </w:r>
    </w:p>
    <w:p w14:paraId="7EF98AE0" w14:textId="5764FFD8" w:rsidR="00357E11" w:rsidRPr="00796736" w:rsidRDefault="00357E11" w:rsidP="0053178C">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rPr>
        <w:t>Stk. 7.</w:t>
      </w:r>
      <w:r w:rsidRPr="00796736">
        <w:rPr>
          <w:rFonts w:ascii="Times New Roman" w:hAnsi="Times New Roman" w:cs="Times New Roman"/>
          <w:sz w:val="24"/>
          <w:szCs w:val="24"/>
        </w:rPr>
        <w:t xml:space="preserve"> Afgørelser i sager efter </w:t>
      </w:r>
      <w:r w:rsidR="003D4CDB" w:rsidRPr="00796736">
        <w:rPr>
          <w:rFonts w:ascii="Times New Roman" w:hAnsi="Times New Roman" w:cs="Times New Roman"/>
          <w:sz w:val="24"/>
          <w:szCs w:val="24"/>
        </w:rPr>
        <w:fldChar w:fldCharType="begin"/>
      </w:r>
      <w:r w:rsidR="003D4CDB"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3D4CDB" w:rsidRPr="00796736">
        <w:rPr>
          <w:rFonts w:ascii="Times New Roman" w:hAnsi="Times New Roman" w:cs="Times New Roman"/>
          <w:sz w:val="24"/>
          <w:szCs w:val="24"/>
        </w:rPr>
      </w:r>
      <w:r w:rsidR="003D4CD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3D4CD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som træffes efter </w:t>
      </w:r>
      <w:r w:rsidR="003D4CDB" w:rsidRPr="00796736">
        <w:rPr>
          <w:rFonts w:ascii="Times New Roman" w:hAnsi="Times New Roman" w:cs="Times New Roman"/>
          <w:sz w:val="24"/>
          <w:szCs w:val="24"/>
        </w:rPr>
        <w:fldChar w:fldCharType="begin"/>
      </w:r>
      <w:r w:rsidR="003D4CDB"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3D4CDB" w:rsidRPr="00796736">
        <w:rPr>
          <w:rFonts w:ascii="Times New Roman" w:hAnsi="Times New Roman" w:cs="Times New Roman"/>
          <w:sz w:val="24"/>
          <w:szCs w:val="24"/>
        </w:rPr>
      </w:r>
      <w:r w:rsidR="003D4CD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3D4CD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w:t>
      </w:r>
      <w:r w:rsidR="00063BCB" w:rsidRPr="00796736">
        <w:rPr>
          <w:rFonts w:ascii="Times New Roman" w:hAnsi="Times New Roman" w:cs="Times New Roman"/>
          <w:sz w:val="24"/>
          <w:szCs w:val="24"/>
        </w:rPr>
        <w:t>3</w:t>
      </w:r>
      <w:r w:rsidRPr="00796736">
        <w:rPr>
          <w:rFonts w:ascii="Times New Roman" w:hAnsi="Times New Roman" w:cs="Times New Roman"/>
          <w:sz w:val="24"/>
          <w:szCs w:val="24"/>
        </w:rPr>
        <w:t>, kan af virksomheden og af den person, som afgørelsen vedrører, forlanges indbragt for domstolene. Anmodning herom skal indgives til Finanstilsynet, inden 4 uger efter at afgørelsen er meddelt den pågældende. Anmodningen har ikke opsættende virkning for afgørelsen, men retten kan ved kendelse bestemme, at personen under sagens behandling kan indtræde i det hverv eller den stilling, som personen har søgt om godkendelse til. Finanstilsynet indbringer sagen for domstolene inden 4 uger efter modtagelse af anmodning herom. Sagen anlægges i den borgerlige retsplejes former.</w:t>
      </w:r>
    </w:p>
    <w:p w14:paraId="462114FF" w14:textId="0309135E" w:rsidR="00357E11" w:rsidRPr="00796736" w:rsidRDefault="00357E11" w:rsidP="0053178C">
      <w:pPr>
        <w:spacing w:line="360" w:lineRule="auto"/>
        <w:ind w:firstLine="238"/>
        <w:rPr>
          <w:rFonts w:ascii="Times New Roman" w:hAnsi="Times New Roman" w:cs="Times New Roman"/>
          <w:i/>
          <w:iCs/>
          <w:sz w:val="24"/>
          <w:szCs w:val="24"/>
          <w:lang w:eastAsia="da-DK"/>
        </w:rPr>
      </w:pPr>
      <w:r w:rsidRPr="00796736">
        <w:rPr>
          <w:rFonts w:ascii="Times New Roman" w:hAnsi="Times New Roman" w:cs="Times New Roman"/>
          <w:i/>
          <w:iCs/>
          <w:sz w:val="24"/>
          <w:szCs w:val="24"/>
          <w:lang w:eastAsia="da-DK"/>
        </w:rPr>
        <w:t>Stk. 8.</w:t>
      </w:r>
      <w:r w:rsidRPr="00796736">
        <w:rPr>
          <w:rFonts w:ascii="Times New Roman" w:hAnsi="Times New Roman" w:cs="Times New Roman"/>
          <w:sz w:val="24"/>
          <w:szCs w:val="24"/>
          <w:lang w:eastAsia="da-DK"/>
        </w:rPr>
        <w:t xml:space="preserve"> Finanstilsynet kan af egen drift eller efter ansøgning tilbagekalde et påbud meddelt efter stk. 1-4.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79F0B0AB" w14:textId="43BBAE19" w:rsidR="00357E11" w:rsidRPr="00796736" w:rsidRDefault="00FD7A88" w:rsidP="0053178C">
      <w:pPr>
        <w:spacing w:line="360" w:lineRule="auto"/>
        <w:ind w:firstLine="238"/>
        <w:rPr>
          <w:rFonts w:ascii="Times New Roman" w:eastAsia="Calibri" w:hAnsi="Times New Roman" w:cs="Times New Roman"/>
          <w:iCs/>
          <w:sz w:val="24"/>
          <w:szCs w:val="24"/>
        </w:rPr>
      </w:pPr>
      <w:r w:rsidRPr="00796736">
        <w:rPr>
          <w:rFonts w:ascii="Times New Roman" w:eastAsia="Times New Roman" w:hAnsi="Times New Roman" w:cs="Times New Roman"/>
          <w:i/>
          <w:iCs/>
          <w:sz w:val="24"/>
          <w:szCs w:val="24"/>
          <w:lang w:eastAsia="da-DK"/>
        </w:rPr>
        <w:t>Stk. 9.</w:t>
      </w:r>
      <w:r w:rsidRPr="00796736">
        <w:rPr>
          <w:rFonts w:ascii="Times New Roman" w:eastAsia="Times New Roman" w:hAnsi="Times New Roman" w:cs="Times New Roman"/>
          <w:sz w:val="24"/>
          <w:szCs w:val="24"/>
          <w:lang w:eastAsia="da-DK"/>
        </w:rPr>
        <w:t xml:space="preserve"> </w:t>
      </w:r>
      <w:r w:rsidR="00357E11" w:rsidRPr="00796736">
        <w:rPr>
          <w:rFonts w:ascii="Times New Roman" w:eastAsia="Calibri" w:hAnsi="Times New Roman" w:cs="Times New Roman"/>
          <w:iCs/>
          <w:sz w:val="24"/>
          <w:szCs w:val="24"/>
        </w:rPr>
        <w:t xml:space="preserve">Hvis virksomheden og den person, som påbuddet vedrører, ikke har afsat den pågældende person fra den øverste ledelse inden for den fastsatte frist, kan Finanstilsynet </w:t>
      </w:r>
      <w:r w:rsidR="0042556A" w:rsidRPr="00796736">
        <w:rPr>
          <w:rFonts w:ascii="Times New Roman" w:eastAsia="Calibri" w:hAnsi="Times New Roman" w:cs="Times New Roman"/>
          <w:iCs/>
          <w:sz w:val="24"/>
          <w:szCs w:val="24"/>
        </w:rPr>
        <w:t xml:space="preserve">inddrage virksomhedens tilladelse </w:t>
      </w:r>
      <w:r w:rsidR="002D0A78" w:rsidRPr="00796736">
        <w:rPr>
          <w:rFonts w:ascii="Times New Roman" w:eastAsia="Calibri" w:hAnsi="Times New Roman" w:cs="Times New Roman"/>
          <w:iCs/>
          <w:sz w:val="24"/>
          <w:szCs w:val="24"/>
        </w:rPr>
        <w:t xml:space="preserve">efter </w:t>
      </w:r>
      <w:r w:rsidR="002D0A78" w:rsidRPr="00796736">
        <w:rPr>
          <w:rFonts w:ascii="Times New Roman" w:eastAsia="Calibri" w:hAnsi="Times New Roman" w:cs="Times New Roman"/>
          <w:iCs/>
          <w:sz w:val="24"/>
          <w:szCs w:val="24"/>
        </w:rPr>
        <w:fldChar w:fldCharType="begin"/>
      </w:r>
      <w:r w:rsidR="002D0A78" w:rsidRPr="00796736">
        <w:rPr>
          <w:rFonts w:ascii="Times New Roman" w:eastAsia="Calibri" w:hAnsi="Times New Roman" w:cs="Times New Roman"/>
          <w:iCs/>
          <w:sz w:val="24"/>
          <w:szCs w:val="24"/>
        </w:rPr>
        <w:instrText xml:space="preserve"> REF _Ref232596829 \r \h  \* MERGEFORMAT </w:instrText>
      </w:r>
      <w:r w:rsidR="002D0A78" w:rsidRPr="00796736">
        <w:rPr>
          <w:rFonts w:ascii="Times New Roman" w:eastAsia="Calibri" w:hAnsi="Times New Roman" w:cs="Times New Roman"/>
          <w:iCs/>
          <w:sz w:val="24"/>
          <w:szCs w:val="24"/>
        </w:rPr>
      </w:r>
      <w:r w:rsidR="002D0A78"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46</w:t>
      </w:r>
      <w:r w:rsidR="002D0A78" w:rsidRPr="00796736">
        <w:rPr>
          <w:rFonts w:ascii="Times New Roman" w:eastAsia="Calibri" w:hAnsi="Times New Roman" w:cs="Times New Roman"/>
          <w:iCs/>
          <w:sz w:val="24"/>
          <w:szCs w:val="24"/>
        </w:rPr>
        <w:fldChar w:fldCharType="end"/>
      </w:r>
      <w:r w:rsidR="002D0A78" w:rsidRPr="00796736">
        <w:rPr>
          <w:rFonts w:ascii="Times New Roman" w:eastAsia="Calibri" w:hAnsi="Times New Roman" w:cs="Times New Roman"/>
          <w:iCs/>
          <w:sz w:val="24"/>
          <w:szCs w:val="24"/>
        </w:rPr>
        <w:t xml:space="preserve"> eller </w:t>
      </w:r>
      <w:r w:rsidR="00357E11" w:rsidRPr="00796736">
        <w:rPr>
          <w:rFonts w:ascii="Times New Roman" w:eastAsia="Calibri" w:hAnsi="Times New Roman" w:cs="Times New Roman"/>
          <w:iCs/>
          <w:sz w:val="24"/>
          <w:szCs w:val="24"/>
        </w:rPr>
        <w:t xml:space="preserve">virksomhedens registrering efter </w:t>
      </w:r>
      <w:r w:rsidR="00705F5F" w:rsidRPr="00796736">
        <w:rPr>
          <w:rFonts w:ascii="Times New Roman" w:eastAsia="Calibri" w:hAnsi="Times New Roman" w:cs="Times New Roman"/>
          <w:iCs/>
          <w:sz w:val="24"/>
          <w:szCs w:val="24"/>
        </w:rPr>
        <w:fldChar w:fldCharType="begin"/>
      </w:r>
      <w:r w:rsidR="00705F5F" w:rsidRPr="00796736">
        <w:rPr>
          <w:rFonts w:ascii="Times New Roman" w:eastAsia="Calibri" w:hAnsi="Times New Roman" w:cs="Times New Roman"/>
          <w:iCs/>
          <w:sz w:val="24"/>
          <w:szCs w:val="24"/>
        </w:rPr>
        <w:instrText xml:space="preserve"> REF _Ref232596992 \r \h  \* MERGEFORMAT </w:instrText>
      </w:r>
      <w:r w:rsidR="00705F5F" w:rsidRPr="00796736">
        <w:rPr>
          <w:rFonts w:ascii="Times New Roman" w:eastAsia="Calibri" w:hAnsi="Times New Roman" w:cs="Times New Roman"/>
          <w:iCs/>
          <w:sz w:val="24"/>
          <w:szCs w:val="24"/>
        </w:rPr>
      </w:r>
      <w:r w:rsidR="00705F5F"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52</w:t>
      </w:r>
      <w:r w:rsidR="00705F5F" w:rsidRPr="00796736">
        <w:rPr>
          <w:rFonts w:ascii="Times New Roman" w:eastAsia="Calibri" w:hAnsi="Times New Roman" w:cs="Times New Roman"/>
          <w:iCs/>
          <w:sz w:val="24"/>
          <w:szCs w:val="24"/>
        </w:rPr>
        <w:fldChar w:fldCharType="end"/>
      </w:r>
      <w:r w:rsidR="00357E11" w:rsidRPr="00796736">
        <w:rPr>
          <w:rFonts w:ascii="Times New Roman" w:eastAsia="Calibri" w:hAnsi="Times New Roman" w:cs="Times New Roman"/>
          <w:iCs/>
          <w:sz w:val="24"/>
          <w:szCs w:val="24"/>
        </w:rPr>
        <w:t xml:space="preserve">. Finanstilsynet kan endvidere inddrage virksomhedens registrering, jf. </w:t>
      </w:r>
      <w:r w:rsidR="002D0A78" w:rsidRPr="00796736">
        <w:rPr>
          <w:rFonts w:ascii="Times New Roman" w:eastAsia="Calibri" w:hAnsi="Times New Roman" w:cs="Times New Roman"/>
          <w:iCs/>
          <w:sz w:val="24"/>
          <w:szCs w:val="24"/>
        </w:rPr>
        <w:t xml:space="preserve">virksomhedens tilladelse, jf. </w:t>
      </w:r>
      <w:r w:rsidR="002D0A78" w:rsidRPr="00796736">
        <w:rPr>
          <w:rFonts w:ascii="Times New Roman" w:eastAsia="Calibri" w:hAnsi="Times New Roman" w:cs="Times New Roman"/>
          <w:iCs/>
          <w:sz w:val="24"/>
          <w:szCs w:val="24"/>
        </w:rPr>
        <w:fldChar w:fldCharType="begin"/>
      </w:r>
      <w:r w:rsidR="002D0A78" w:rsidRPr="00796736">
        <w:rPr>
          <w:rFonts w:ascii="Times New Roman" w:eastAsia="Calibri" w:hAnsi="Times New Roman" w:cs="Times New Roman"/>
          <w:iCs/>
          <w:sz w:val="24"/>
          <w:szCs w:val="24"/>
        </w:rPr>
        <w:instrText xml:space="preserve"> REF _Ref232596829 \r \h  \* MERGEFORMAT </w:instrText>
      </w:r>
      <w:r w:rsidR="002D0A78" w:rsidRPr="00796736">
        <w:rPr>
          <w:rFonts w:ascii="Times New Roman" w:eastAsia="Calibri" w:hAnsi="Times New Roman" w:cs="Times New Roman"/>
          <w:iCs/>
          <w:sz w:val="24"/>
          <w:szCs w:val="24"/>
        </w:rPr>
      </w:r>
      <w:r w:rsidR="002D0A78"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46</w:t>
      </w:r>
      <w:r w:rsidR="002D0A78" w:rsidRPr="00796736">
        <w:rPr>
          <w:rFonts w:ascii="Times New Roman" w:eastAsia="Calibri" w:hAnsi="Times New Roman" w:cs="Times New Roman"/>
          <w:iCs/>
          <w:sz w:val="24"/>
          <w:szCs w:val="24"/>
        </w:rPr>
        <w:fldChar w:fldCharType="end"/>
      </w:r>
      <w:r w:rsidR="002D0A78" w:rsidRPr="00796736">
        <w:rPr>
          <w:rFonts w:ascii="Times New Roman" w:eastAsia="Calibri" w:hAnsi="Times New Roman" w:cs="Times New Roman"/>
          <w:iCs/>
          <w:sz w:val="24"/>
          <w:szCs w:val="24"/>
        </w:rPr>
        <w:t xml:space="preserve">, nr. </w:t>
      </w:r>
      <w:r w:rsidR="00016C01" w:rsidRPr="00796736">
        <w:rPr>
          <w:rFonts w:ascii="Times New Roman" w:eastAsia="Calibri" w:hAnsi="Times New Roman" w:cs="Times New Roman"/>
          <w:iCs/>
          <w:sz w:val="24"/>
          <w:szCs w:val="24"/>
        </w:rPr>
        <w:t>5</w:t>
      </w:r>
      <w:r w:rsidR="00D5194A" w:rsidRPr="00796736">
        <w:rPr>
          <w:rFonts w:ascii="Times New Roman" w:eastAsia="Calibri" w:hAnsi="Times New Roman" w:cs="Times New Roman"/>
          <w:iCs/>
          <w:sz w:val="24"/>
          <w:szCs w:val="24"/>
        </w:rPr>
        <w:t>,</w:t>
      </w:r>
      <w:r w:rsidR="002D0A78" w:rsidRPr="00796736">
        <w:rPr>
          <w:rFonts w:ascii="Times New Roman" w:eastAsia="Calibri" w:hAnsi="Times New Roman" w:cs="Times New Roman"/>
          <w:iCs/>
          <w:sz w:val="24"/>
          <w:szCs w:val="24"/>
        </w:rPr>
        <w:t xml:space="preserve"> eller </w:t>
      </w:r>
      <w:r w:rsidR="00111B84" w:rsidRPr="00796736">
        <w:rPr>
          <w:rFonts w:ascii="Times New Roman" w:eastAsia="Calibri" w:hAnsi="Times New Roman" w:cs="Times New Roman"/>
          <w:iCs/>
          <w:sz w:val="24"/>
          <w:szCs w:val="24"/>
        </w:rPr>
        <w:fldChar w:fldCharType="begin"/>
      </w:r>
      <w:r w:rsidR="00111B84" w:rsidRPr="00796736">
        <w:rPr>
          <w:rFonts w:ascii="Times New Roman" w:eastAsia="Calibri" w:hAnsi="Times New Roman" w:cs="Times New Roman"/>
          <w:iCs/>
          <w:sz w:val="24"/>
          <w:szCs w:val="24"/>
        </w:rPr>
        <w:instrText xml:space="preserve"> REF _Ref232596992 \r \h </w:instrText>
      </w:r>
      <w:r w:rsidR="00967618" w:rsidRPr="00796736">
        <w:rPr>
          <w:rFonts w:ascii="Times New Roman" w:eastAsia="Calibri" w:hAnsi="Times New Roman" w:cs="Times New Roman"/>
          <w:iCs/>
          <w:sz w:val="24"/>
          <w:szCs w:val="24"/>
        </w:rPr>
        <w:instrText xml:space="preserve"> \* MERGEFORMAT </w:instrText>
      </w:r>
      <w:r w:rsidR="00111B84" w:rsidRPr="00796736">
        <w:rPr>
          <w:rFonts w:ascii="Times New Roman" w:eastAsia="Calibri" w:hAnsi="Times New Roman" w:cs="Times New Roman"/>
          <w:iCs/>
          <w:sz w:val="24"/>
          <w:szCs w:val="24"/>
        </w:rPr>
      </w:r>
      <w:r w:rsidR="00111B84"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52</w:t>
      </w:r>
      <w:r w:rsidR="00111B84" w:rsidRPr="00796736">
        <w:rPr>
          <w:rFonts w:ascii="Times New Roman" w:eastAsia="Calibri" w:hAnsi="Times New Roman" w:cs="Times New Roman"/>
          <w:iCs/>
          <w:sz w:val="24"/>
          <w:szCs w:val="24"/>
        </w:rPr>
        <w:fldChar w:fldCharType="end"/>
      </w:r>
      <w:r w:rsidR="00E723EE" w:rsidRPr="00796736">
        <w:rPr>
          <w:rFonts w:ascii="Times New Roman" w:eastAsia="Calibri" w:hAnsi="Times New Roman" w:cs="Times New Roman"/>
          <w:iCs/>
          <w:sz w:val="24"/>
          <w:szCs w:val="24"/>
        </w:rPr>
        <w:t xml:space="preserve">, </w:t>
      </w:r>
      <w:r w:rsidR="00783CCC" w:rsidRPr="00796736">
        <w:rPr>
          <w:rFonts w:ascii="Times New Roman" w:eastAsia="Calibri" w:hAnsi="Times New Roman" w:cs="Times New Roman"/>
          <w:iCs/>
          <w:sz w:val="24"/>
          <w:szCs w:val="24"/>
        </w:rPr>
        <w:t>nr. 5</w:t>
      </w:r>
      <w:r w:rsidR="00357E11" w:rsidRPr="00796736">
        <w:rPr>
          <w:rFonts w:ascii="Times New Roman" w:eastAsia="Calibri" w:hAnsi="Times New Roman" w:cs="Times New Roman"/>
          <w:iCs/>
          <w:sz w:val="24"/>
          <w:szCs w:val="24"/>
        </w:rPr>
        <w:t>, hvis et bestyrelsesmedlem ikke efterkommer et påbud meddelt i medfør af stk. 1-3.</w:t>
      </w:r>
    </w:p>
    <w:p w14:paraId="21B68D7A" w14:textId="3B9975A6" w:rsidR="00357E11" w:rsidRPr="00796736" w:rsidRDefault="00357E11"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10.</w:t>
      </w:r>
      <w:r w:rsidRPr="00796736">
        <w:rPr>
          <w:rFonts w:ascii="Times New Roman" w:hAnsi="Times New Roman" w:cs="Times New Roman"/>
          <w:sz w:val="24"/>
          <w:szCs w:val="24"/>
        </w:rPr>
        <w:t xml:space="preserve"> Stk. 1-9 finder tilsvarende anvendelse på den eller de for virksomheden ledelsesansvarlige, når en virksomhed drives som en juridisk person uden bestyrelse eller direktion.</w:t>
      </w:r>
    </w:p>
    <w:p w14:paraId="1ED82EA3" w14:textId="77777777" w:rsidR="000C075E" w:rsidRPr="00796736" w:rsidRDefault="000C075E" w:rsidP="0053178C">
      <w:pPr>
        <w:spacing w:line="360" w:lineRule="auto"/>
        <w:ind w:firstLine="238"/>
        <w:rPr>
          <w:rFonts w:ascii="Times New Roman" w:hAnsi="Times New Roman" w:cs="Times New Roman"/>
          <w:sz w:val="24"/>
          <w:szCs w:val="24"/>
        </w:rPr>
      </w:pPr>
    </w:p>
    <w:p w14:paraId="7FF239A9" w14:textId="555D13EB" w:rsidR="00851AB4" w:rsidRPr="00796736" w:rsidRDefault="00851AB4" w:rsidP="0053178C">
      <w:pPr>
        <w:pStyle w:val="Typografi1"/>
        <w:ind w:left="0" w:firstLine="238"/>
        <w:rPr>
          <w:rFonts w:ascii="Times New Roman" w:hAnsi="Times New Roman" w:cs="Times New Roman"/>
          <w:sz w:val="24"/>
          <w:szCs w:val="24"/>
        </w:rPr>
      </w:pPr>
      <w:bookmarkStart w:id="239" w:name="_Ref232597310"/>
      <w:bookmarkStart w:id="240" w:name="_Ref237350349"/>
      <w:bookmarkStart w:id="241" w:name="_Ref239151453"/>
      <w:bookmarkStart w:id="242" w:name="_Toc244879049"/>
      <w:bookmarkStart w:id="243" w:name="_Toc244880573"/>
      <w:r w:rsidRPr="00796736">
        <w:rPr>
          <w:rFonts w:ascii="Times New Roman" w:hAnsi="Times New Roman" w:cs="Times New Roman"/>
          <w:sz w:val="24"/>
          <w:szCs w:val="24"/>
        </w:rPr>
        <w:t xml:space="preserve">Finanstilsynet kan </w:t>
      </w:r>
      <w:r w:rsidR="007803FE" w:rsidRPr="00796736">
        <w:rPr>
          <w:rFonts w:ascii="Times New Roman" w:hAnsi="Times New Roman" w:cs="Times New Roman"/>
          <w:sz w:val="24"/>
          <w:szCs w:val="24"/>
        </w:rPr>
        <w:t xml:space="preserve">påbyde </w:t>
      </w:r>
      <w:r w:rsidR="003A1EBF" w:rsidRPr="00796736">
        <w:rPr>
          <w:rFonts w:ascii="Times New Roman" w:eastAsia="Calibri" w:hAnsi="Times New Roman" w:cs="Times New Roman"/>
          <w:sz w:val="24"/>
          <w:szCs w:val="24"/>
        </w:rPr>
        <w:t>kan påbyde en fysisk person, der direkte eller indirekte ejer eller kontrollerer minimum 25 pct. af kapitalandelen, ejerandelen, stemmerettighederne eller andre ejerskabsbeføjelser</w:t>
      </w:r>
      <w:r w:rsidR="003A1EBF" w:rsidRPr="00796736" w:rsidDel="003A1EBF">
        <w:rPr>
          <w:rFonts w:ascii="Times New Roman" w:hAnsi="Times New Roman" w:cs="Times New Roman"/>
          <w:sz w:val="24"/>
          <w:szCs w:val="24"/>
        </w:rPr>
        <w:t xml:space="preserve"> </w:t>
      </w:r>
      <w:r w:rsidR="007803FE" w:rsidRPr="00796736">
        <w:rPr>
          <w:rFonts w:ascii="Times New Roman" w:hAnsi="Times New Roman" w:cs="Times New Roman"/>
          <w:sz w:val="24"/>
          <w:szCs w:val="24"/>
        </w:rPr>
        <w:t xml:space="preserve">i en virksomhed nævnt i  </w:t>
      </w:r>
      <w:r w:rsidR="00111B84" w:rsidRPr="00796736">
        <w:rPr>
          <w:rFonts w:ascii="Times New Roman" w:hAnsi="Times New Roman" w:cs="Times New Roman"/>
          <w:sz w:val="24"/>
          <w:szCs w:val="24"/>
        </w:rPr>
        <w:fldChar w:fldCharType="begin"/>
      </w:r>
      <w:r w:rsidR="00111B84" w:rsidRPr="00796736">
        <w:rPr>
          <w:rFonts w:ascii="Times New Roman" w:hAnsi="Times New Roman" w:cs="Times New Roman"/>
          <w:sz w:val="24"/>
          <w:szCs w:val="24"/>
        </w:rPr>
        <w:instrText xml:space="preserve"> REF _Ref232592818 \r \h </w:instrText>
      </w:r>
      <w:r w:rsidR="00967618" w:rsidRPr="00796736">
        <w:rPr>
          <w:rFonts w:ascii="Times New Roman" w:hAnsi="Times New Roman" w:cs="Times New Roman"/>
          <w:sz w:val="24"/>
          <w:szCs w:val="24"/>
        </w:rPr>
        <w:instrText xml:space="preserve"> \* MERGEFORMAT </w:instrText>
      </w:r>
      <w:r w:rsidR="00111B84" w:rsidRPr="00796736">
        <w:rPr>
          <w:rFonts w:ascii="Times New Roman" w:hAnsi="Times New Roman" w:cs="Times New Roman"/>
          <w:sz w:val="24"/>
          <w:szCs w:val="24"/>
        </w:rPr>
      </w:r>
      <w:r w:rsidR="00111B8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111B84" w:rsidRPr="00796736">
        <w:rPr>
          <w:rFonts w:ascii="Times New Roman" w:hAnsi="Times New Roman" w:cs="Times New Roman"/>
          <w:sz w:val="24"/>
          <w:szCs w:val="24"/>
        </w:rPr>
        <w:fldChar w:fldCharType="end"/>
      </w:r>
      <w:r w:rsidR="00270497" w:rsidRPr="00796736">
        <w:rPr>
          <w:rFonts w:ascii="Times New Roman" w:hAnsi="Times New Roman" w:cs="Times New Roman"/>
          <w:sz w:val="24"/>
          <w:szCs w:val="24"/>
        </w:rPr>
        <w:t>, nr. 11, 14</w:t>
      </w:r>
      <w:r w:rsidR="002B4BDE">
        <w:rPr>
          <w:rFonts w:ascii="Times New Roman" w:hAnsi="Times New Roman" w:cs="Times New Roman"/>
          <w:sz w:val="24"/>
          <w:szCs w:val="24"/>
        </w:rPr>
        <w:t xml:space="preserve">, </w:t>
      </w:r>
      <w:r w:rsidR="00270497" w:rsidRPr="00796736">
        <w:rPr>
          <w:rFonts w:ascii="Times New Roman" w:hAnsi="Times New Roman" w:cs="Times New Roman"/>
          <w:sz w:val="24"/>
          <w:szCs w:val="24"/>
        </w:rPr>
        <w:t>19</w:t>
      </w:r>
      <w:r w:rsidR="006A34AC" w:rsidRPr="00796736">
        <w:rPr>
          <w:rFonts w:ascii="Times New Roman" w:hAnsi="Times New Roman" w:cs="Times New Roman"/>
          <w:sz w:val="24"/>
          <w:szCs w:val="24"/>
        </w:rPr>
        <w:t xml:space="preserve"> </w:t>
      </w:r>
      <w:r w:rsidR="004945EE">
        <w:rPr>
          <w:rFonts w:ascii="Times New Roman" w:hAnsi="Times New Roman" w:cs="Times New Roman"/>
          <w:sz w:val="24"/>
          <w:szCs w:val="24"/>
        </w:rPr>
        <w:t>og</w:t>
      </w:r>
      <w:r w:rsidR="005553D0">
        <w:rPr>
          <w:rFonts w:ascii="Times New Roman" w:hAnsi="Times New Roman" w:cs="Times New Roman"/>
          <w:sz w:val="24"/>
          <w:szCs w:val="24"/>
        </w:rPr>
        <w:t xml:space="preserve"> </w:t>
      </w:r>
      <w:r w:rsidR="00552C8F" w:rsidRPr="00796736">
        <w:rPr>
          <w:rFonts w:ascii="Times New Roman" w:hAnsi="Times New Roman" w:cs="Times New Roman"/>
          <w:sz w:val="24"/>
          <w:szCs w:val="24"/>
        </w:rPr>
        <w:t>3</w:t>
      </w:r>
      <w:r w:rsidR="00270497" w:rsidRPr="00796736">
        <w:rPr>
          <w:rFonts w:ascii="Times New Roman" w:hAnsi="Times New Roman" w:cs="Times New Roman"/>
          <w:sz w:val="24"/>
          <w:szCs w:val="24"/>
        </w:rPr>
        <w:t>2</w:t>
      </w:r>
      <w:r w:rsidR="006A34AC" w:rsidRPr="00796736">
        <w:rPr>
          <w:rFonts w:ascii="Times New Roman" w:hAnsi="Times New Roman" w:cs="Times New Roman"/>
          <w:sz w:val="24"/>
          <w:szCs w:val="24"/>
        </w:rPr>
        <w:t>, litra a</w:t>
      </w:r>
      <w:r w:rsidRPr="00796736">
        <w:rPr>
          <w:rFonts w:ascii="Times New Roman" w:hAnsi="Times New Roman" w:cs="Times New Roman"/>
          <w:sz w:val="24"/>
          <w:szCs w:val="24"/>
        </w:rPr>
        <w:t xml:space="preserve">, </w:t>
      </w:r>
      <w:bookmarkEnd w:id="239"/>
      <w:r w:rsidR="007803FE" w:rsidRPr="00796736">
        <w:rPr>
          <w:rFonts w:ascii="Times New Roman" w:hAnsi="Times New Roman" w:cs="Times New Roman"/>
          <w:sz w:val="24"/>
          <w:szCs w:val="24"/>
        </w:rPr>
        <w:t xml:space="preserve">at </w:t>
      </w:r>
      <w:r w:rsidR="002F1A03" w:rsidRPr="00796736">
        <w:rPr>
          <w:rFonts w:ascii="Times New Roman" w:hAnsi="Times New Roman" w:cs="Times New Roman"/>
          <w:sz w:val="24"/>
          <w:szCs w:val="24"/>
        </w:rPr>
        <w:t xml:space="preserve">ophøre med at udøve kontrol, herunder </w:t>
      </w:r>
      <w:r w:rsidR="007803FE" w:rsidRPr="00796736">
        <w:rPr>
          <w:rFonts w:ascii="Times New Roman" w:hAnsi="Times New Roman" w:cs="Times New Roman"/>
          <w:sz w:val="24"/>
          <w:szCs w:val="24"/>
        </w:rPr>
        <w:t>afhænde sine ejerandele</w:t>
      </w:r>
      <w:r w:rsidR="002F1A03" w:rsidRPr="00796736">
        <w:rPr>
          <w:rFonts w:ascii="Times New Roman" w:hAnsi="Times New Roman" w:cs="Times New Roman"/>
          <w:sz w:val="24"/>
          <w:szCs w:val="24"/>
        </w:rPr>
        <w:t xml:space="preserve"> helt eller delvist</w:t>
      </w:r>
      <w:r w:rsidR="007803FE" w:rsidRPr="00796736">
        <w:rPr>
          <w:rFonts w:ascii="Times New Roman" w:hAnsi="Times New Roman" w:cs="Times New Roman"/>
          <w:sz w:val="24"/>
          <w:szCs w:val="24"/>
        </w:rPr>
        <w:t xml:space="preserve"> inden for en af Finanstilsynet fastsat frist, såfremt den pågældende </w:t>
      </w:r>
      <w:r w:rsidR="0069567A" w:rsidRPr="00796736">
        <w:rPr>
          <w:rFonts w:ascii="Times New Roman" w:hAnsi="Times New Roman" w:cs="Times New Roman"/>
          <w:sz w:val="24"/>
          <w:szCs w:val="24"/>
        </w:rPr>
        <w:t>ikke opfylder betingelserne i</w:t>
      </w:r>
      <w:r w:rsidR="007803FE" w:rsidRPr="00796736">
        <w:rPr>
          <w:rFonts w:ascii="Times New Roman" w:hAnsi="Times New Roman" w:cs="Times New Roman"/>
          <w:sz w:val="24"/>
          <w:szCs w:val="24"/>
        </w:rPr>
        <w:t xml:space="preserve"> </w:t>
      </w:r>
      <w:r w:rsidR="007803FE" w:rsidRPr="00796736">
        <w:rPr>
          <w:rFonts w:ascii="Times New Roman" w:hAnsi="Times New Roman" w:cs="Times New Roman"/>
          <w:sz w:val="24"/>
          <w:szCs w:val="24"/>
        </w:rPr>
        <w:fldChar w:fldCharType="begin"/>
      </w:r>
      <w:r w:rsidR="007803FE" w:rsidRPr="00796736">
        <w:rPr>
          <w:rFonts w:ascii="Times New Roman" w:hAnsi="Times New Roman" w:cs="Times New Roman"/>
          <w:sz w:val="24"/>
          <w:szCs w:val="24"/>
        </w:rPr>
        <w:instrText xml:space="preserve"> REF _Ref232596808 \r \h </w:instrText>
      </w:r>
      <w:r w:rsidR="007C1691" w:rsidRPr="00796736">
        <w:rPr>
          <w:rFonts w:ascii="Times New Roman" w:hAnsi="Times New Roman" w:cs="Times New Roman"/>
          <w:sz w:val="24"/>
          <w:szCs w:val="24"/>
        </w:rPr>
        <w:instrText xml:space="preserve"> \* MERGEFORMAT </w:instrText>
      </w:r>
      <w:r w:rsidR="007803FE" w:rsidRPr="00796736">
        <w:rPr>
          <w:rFonts w:ascii="Times New Roman" w:hAnsi="Times New Roman" w:cs="Times New Roman"/>
          <w:sz w:val="24"/>
          <w:szCs w:val="24"/>
        </w:rPr>
      </w:r>
      <w:r w:rsidR="007803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7803FE" w:rsidRPr="00796736">
        <w:rPr>
          <w:rFonts w:ascii="Times New Roman" w:hAnsi="Times New Roman" w:cs="Times New Roman"/>
          <w:sz w:val="24"/>
          <w:szCs w:val="24"/>
        </w:rPr>
        <w:fldChar w:fldCharType="end"/>
      </w:r>
      <w:r w:rsidR="007803FE" w:rsidRPr="00796736">
        <w:rPr>
          <w:rFonts w:ascii="Times New Roman" w:hAnsi="Times New Roman" w:cs="Times New Roman"/>
          <w:sz w:val="24"/>
          <w:szCs w:val="24"/>
        </w:rPr>
        <w:t xml:space="preserve">, stk. 1, og </w:t>
      </w:r>
      <w:r w:rsidR="007803FE" w:rsidRPr="00796736">
        <w:rPr>
          <w:rFonts w:ascii="Times New Roman" w:hAnsi="Times New Roman" w:cs="Times New Roman"/>
          <w:sz w:val="24"/>
          <w:szCs w:val="24"/>
        </w:rPr>
        <w:fldChar w:fldCharType="begin"/>
      </w:r>
      <w:r w:rsidR="007803FE" w:rsidRPr="00796736">
        <w:rPr>
          <w:rFonts w:ascii="Times New Roman" w:hAnsi="Times New Roman" w:cs="Times New Roman"/>
          <w:sz w:val="24"/>
          <w:szCs w:val="24"/>
        </w:rPr>
        <w:instrText xml:space="preserve"> REF _Ref232596960 \r \h </w:instrText>
      </w:r>
      <w:r w:rsidR="007C1691" w:rsidRPr="00796736">
        <w:rPr>
          <w:rFonts w:ascii="Times New Roman" w:hAnsi="Times New Roman" w:cs="Times New Roman"/>
          <w:sz w:val="24"/>
          <w:szCs w:val="24"/>
        </w:rPr>
        <w:instrText xml:space="preserve"> \* MERGEFORMAT </w:instrText>
      </w:r>
      <w:r w:rsidR="007803FE" w:rsidRPr="00796736">
        <w:rPr>
          <w:rFonts w:ascii="Times New Roman" w:hAnsi="Times New Roman" w:cs="Times New Roman"/>
          <w:sz w:val="24"/>
          <w:szCs w:val="24"/>
        </w:rPr>
      </w:r>
      <w:r w:rsidR="007803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7803FE" w:rsidRPr="00796736">
        <w:rPr>
          <w:rFonts w:ascii="Times New Roman" w:hAnsi="Times New Roman" w:cs="Times New Roman"/>
          <w:sz w:val="24"/>
          <w:szCs w:val="24"/>
        </w:rPr>
        <w:fldChar w:fldCharType="end"/>
      </w:r>
      <w:r w:rsidR="007803FE" w:rsidRPr="00796736">
        <w:rPr>
          <w:rFonts w:ascii="Times New Roman" w:hAnsi="Times New Roman" w:cs="Times New Roman"/>
          <w:sz w:val="24"/>
          <w:szCs w:val="24"/>
        </w:rPr>
        <w:t>, stk. 1</w:t>
      </w:r>
      <w:bookmarkEnd w:id="240"/>
      <w:r w:rsidR="00D9452F" w:rsidRPr="00796736">
        <w:rPr>
          <w:rFonts w:ascii="Times New Roman" w:hAnsi="Times New Roman" w:cs="Times New Roman"/>
          <w:sz w:val="24"/>
          <w:szCs w:val="24"/>
        </w:rPr>
        <w:t xml:space="preserve"> og </w:t>
      </w:r>
      <w:r w:rsidR="003A1EBF" w:rsidRPr="00796736">
        <w:rPr>
          <w:rFonts w:ascii="Times New Roman" w:hAnsi="Times New Roman" w:cs="Times New Roman"/>
          <w:sz w:val="24"/>
          <w:szCs w:val="24"/>
        </w:rPr>
        <w:t>3</w:t>
      </w:r>
      <w:r w:rsidR="0069567A" w:rsidRPr="00796736">
        <w:rPr>
          <w:rFonts w:ascii="Times New Roman" w:hAnsi="Times New Roman" w:cs="Times New Roman"/>
          <w:sz w:val="24"/>
          <w:szCs w:val="24"/>
        </w:rPr>
        <w:t>.</w:t>
      </w:r>
      <w:bookmarkEnd w:id="241"/>
      <w:bookmarkEnd w:id="242"/>
      <w:bookmarkEnd w:id="243"/>
    </w:p>
    <w:p w14:paraId="2D0148F2" w14:textId="0E7E38FD" w:rsidR="00FC432B" w:rsidRPr="00796736" w:rsidRDefault="00851AB4"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sz w:val="24"/>
          <w:szCs w:val="24"/>
        </w:rPr>
        <w:t>Stk. 2.</w:t>
      </w:r>
      <w:r w:rsidRPr="00796736">
        <w:rPr>
          <w:rFonts w:ascii="Times New Roman" w:hAnsi="Times New Roman" w:cs="Times New Roman"/>
          <w:sz w:val="24"/>
          <w:szCs w:val="24"/>
        </w:rPr>
        <w:t> </w:t>
      </w:r>
      <w:r w:rsidR="007803FE" w:rsidRPr="00796736">
        <w:rPr>
          <w:rFonts w:ascii="Times New Roman" w:hAnsi="Times New Roman" w:cs="Times New Roman"/>
          <w:sz w:val="24"/>
          <w:szCs w:val="24"/>
        </w:rPr>
        <w:t>Finanstilsynet kan ophæve stemmeretten for</w:t>
      </w:r>
      <w:r w:rsidR="00793B8C">
        <w:rPr>
          <w:rFonts w:ascii="Times New Roman" w:hAnsi="Times New Roman" w:cs="Times New Roman"/>
          <w:sz w:val="24"/>
          <w:szCs w:val="24"/>
        </w:rPr>
        <w:t xml:space="preserve"> </w:t>
      </w:r>
      <w:r w:rsidR="00793B8C" w:rsidRPr="00796736">
        <w:rPr>
          <w:rFonts w:ascii="Times New Roman" w:eastAsia="Calibri" w:hAnsi="Times New Roman" w:cs="Times New Roman"/>
          <w:sz w:val="24"/>
          <w:szCs w:val="24"/>
        </w:rPr>
        <w:t>en fysisk person, der direkte eller indirekte ejer eller kontrollerer minimum 25 pct. af kapitalandelen, ejerandelen, stemmerettighederne eller andre ejerskabsbeføjelser</w:t>
      </w:r>
      <w:r w:rsidR="007803FE" w:rsidRPr="00796736">
        <w:rPr>
          <w:rFonts w:ascii="Times New Roman" w:hAnsi="Times New Roman" w:cs="Times New Roman"/>
          <w:sz w:val="24"/>
          <w:szCs w:val="24"/>
        </w:rPr>
        <w:t xml:space="preserve"> i virksomheder nævnt </w:t>
      </w:r>
      <w:r w:rsidRPr="00796736">
        <w:rPr>
          <w:rFonts w:ascii="Times New Roman" w:hAnsi="Times New Roman" w:cs="Times New Roman"/>
          <w:sz w:val="24"/>
          <w:szCs w:val="24"/>
        </w:rPr>
        <w:t xml:space="preserve">i </w:t>
      </w:r>
      <w:r w:rsidR="00111B84" w:rsidRPr="00796736">
        <w:rPr>
          <w:rFonts w:ascii="Times New Roman" w:eastAsia="Calibri" w:hAnsi="Times New Roman" w:cs="Times New Roman"/>
          <w:iCs/>
          <w:sz w:val="24"/>
          <w:szCs w:val="24"/>
        </w:rPr>
        <w:fldChar w:fldCharType="begin"/>
      </w:r>
      <w:r w:rsidR="00111B84" w:rsidRPr="00796736">
        <w:rPr>
          <w:rFonts w:ascii="Times New Roman" w:hAnsi="Times New Roman" w:cs="Times New Roman"/>
          <w:sz w:val="24"/>
          <w:szCs w:val="24"/>
        </w:rPr>
        <w:instrText xml:space="preserve"> REF _Ref232592818 \r \h </w:instrText>
      </w:r>
      <w:r w:rsidR="00967618" w:rsidRPr="00796736">
        <w:rPr>
          <w:rFonts w:ascii="Times New Roman" w:eastAsia="Calibri" w:hAnsi="Times New Roman" w:cs="Times New Roman"/>
          <w:iCs/>
          <w:sz w:val="24"/>
          <w:szCs w:val="24"/>
        </w:rPr>
        <w:instrText xml:space="preserve"> \* MERGEFORMAT </w:instrText>
      </w:r>
      <w:r w:rsidR="00111B84" w:rsidRPr="00796736">
        <w:rPr>
          <w:rFonts w:ascii="Times New Roman" w:eastAsia="Calibri" w:hAnsi="Times New Roman" w:cs="Times New Roman"/>
          <w:iCs/>
          <w:sz w:val="24"/>
          <w:szCs w:val="24"/>
        </w:rPr>
      </w:r>
      <w:r w:rsidR="00111B84" w:rsidRPr="00796736">
        <w:rPr>
          <w:rFonts w:ascii="Times New Roman" w:eastAsia="Calibri" w:hAnsi="Times New Roman" w:cs="Times New Roman"/>
          <w:iCs/>
          <w:sz w:val="24"/>
          <w:szCs w:val="24"/>
        </w:rPr>
        <w:fldChar w:fldCharType="separate"/>
      </w:r>
      <w:r w:rsidR="008F29E5">
        <w:rPr>
          <w:rFonts w:ascii="Times New Roman" w:hAnsi="Times New Roman" w:cs="Times New Roman"/>
          <w:sz w:val="24"/>
          <w:szCs w:val="24"/>
        </w:rPr>
        <w:t>§ 2</w:t>
      </w:r>
      <w:r w:rsidR="00111B84" w:rsidRPr="00796736">
        <w:rPr>
          <w:rFonts w:ascii="Times New Roman" w:eastAsia="Calibri" w:hAnsi="Times New Roman" w:cs="Times New Roman"/>
          <w:iCs/>
          <w:sz w:val="24"/>
          <w:szCs w:val="24"/>
        </w:rPr>
        <w:fldChar w:fldCharType="end"/>
      </w:r>
      <w:r w:rsidR="00270497" w:rsidRPr="00796736">
        <w:rPr>
          <w:rFonts w:ascii="Times New Roman" w:eastAsia="Calibri" w:hAnsi="Times New Roman" w:cs="Times New Roman"/>
          <w:iCs/>
          <w:sz w:val="24"/>
          <w:szCs w:val="24"/>
        </w:rPr>
        <w:t>, nr</w:t>
      </w:r>
      <w:r w:rsidR="006A34AC" w:rsidRPr="00796736">
        <w:rPr>
          <w:rFonts w:ascii="Times New Roman" w:eastAsia="Calibri" w:hAnsi="Times New Roman" w:cs="Times New Roman"/>
          <w:iCs/>
          <w:sz w:val="24"/>
          <w:szCs w:val="24"/>
        </w:rPr>
        <w:t>.</w:t>
      </w:r>
      <w:r w:rsidR="00270497" w:rsidRPr="00796736">
        <w:rPr>
          <w:rFonts w:ascii="Times New Roman" w:eastAsia="Calibri" w:hAnsi="Times New Roman" w:cs="Times New Roman"/>
          <w:iCs/>
          <w:sz w:val="24"/>
          <w:szCs w:val="24"/>
        </w:rPr>
        <w:t xml:space="preserve"> 11, 14</w:t>
      </w:r>
      <w:r w:rsidR="006A34AC" w:rsidRPr="00796736">
        <w:rPr>
          <w:rFonts w:ascii="Times New Roman" w:eastAsia="Calibri" w:hAnsi="Times New Roman" w:cs="Times New Roman"/>
          <w:iCs/>
          <w:sz w:val="24"/>
          <w:szCs w:val="24"/>
        </w:rPr>
        <w:t xml:space="preserve"> og</w:t>
      </w:r>
      <w:r w:rsidR="00270497" w:rsidRPr="00796736">
        <w:rPr>
          <w:rFonts w:ascii="Times New Roman" w:eastAsia="Calibri" w:hAnsi="Times New Roman" w:cs="Times New Roman"/>
          <w:iCs/>
          <w:sz w:val="24"/>
          <w:szCs w:val="24"/>
        </w:rPr>
        <w:t xml:space="preserve"> 19</w:t>
      </w:r>
      <w:r w:rsidRPr="00796736">
        <w:rPr>
          <w:rFonts w:ascii="Times New Roman" w:hAnsi="Times New Roman" w:cs="Times New Roman"/>
          <w:sz w:val="24"/>
          <w:szCs w:val="24"/>
        </w:rPr>
        <w:t xml:space="preserve">, </w:t>
      </w:r>
      <w:r w:rsidR="007803FE" w:rsidRPr="00796736">
        <w:rPr>
          <w:rFonts w:ascii="Times New Roman" w:hAnsi="Times New Roman" w:cs="Times New Roman"/>
          <w:sz w:val="24"/>
          <w:szCs w:val="24"/>
        </w:rPr>
        <w:t xml:space="preserve">hvis kapitalejeren ikke opfylder kravene i </w:t>
      </w:r>
      <w:r w:rsidR="007803FE" w:rsidRPr="00796736">
        <w:rPr>
          <w:rFonts w:ascii="Times New Roman" w:eastAsia="Calibri" w:hAnsi="Times New Roman" w:cs="Times New Roman"/>
          <w:iCs/>
          <w:sz w:val="24"/>
          <w:szCs w:val="24"/>
        </w:rPr>
        <w:fldChar w:fldCharType="begin"/>
      </w:r>
      <w:r w:rsidR="007803FE" w:rsidRPr="00796736">
        <w:rPr>
          <w:rFonts w:ascii="Times New Roman" w:eastAsia="Calibri" w:hAnsi="Times New Roman" w:cs="Times New Roman"/>
          <w:iCs/>
          <w:sz w:val="24"/>
          <w:szCs w:val="24"/>
        </w:rPr>
        <w:instrText xml:space="preserve"> REF _Ref232596808 \r \h </w:instrText>
      </w:r>
      <w:r w:rsidR="007C1691" w:rsidRPr="00796736">
        <w:rPr>
          <w:rFonts w:ascii="Times New Roman" w:eastAsia="Calibri" w:hAnsi="Times New Roman" w:cs="Times New Roman"/>
          <w:iCs/>
          <w:sz w:val="24"/>
          <w:szCs w:val="24"/>
        </w:rPr>
        <w:instrText xml:space="preserve"> \* MERGEFORMAT </w:instrText>
      </w:r>
      <w:r w:rsidR="007803FE" w:rsidRPr="00796736">
        <w:rPr>
          <w:rFonts w:ascii="Times New Roman" w:eastAsia="Calibri" w:hAnsi="Times New Roman" w:cs="Times New Roman"/>
          <w:iCs/>
          <w:sz w:val="24"/>
          <w:szCs w:val="24"/>
        </w:rPr>
      </w:r>
      <w:r w:rsidR="007803FE"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45</w:t>
      </w:r>
      <w:r w:rsidR="007803FE" w:rsidRPr="00796736">
        <w:rPr>
          <w:rFonts w:ascii="Times New Roman" w:eastAsia="Calibri" w:hAnsi="Times New Roman" w:cs="Times New Roman"/>
          <w:iCs/>
          <w:sz w:val="24"/>
          <w:szCs w:val="24"/>
        </w:rPr>
        <w:fldChar w:fldCharType="end"/>
      </w:r>
      <w:r w:rsidR="007803FE" w:rsidRPr="00796736">
        <w:rPr>
          <w:rFonts w:ascii="Times New Roman" w:eastAsia="Calibri" w:hAnsi="Times New Roman" w:cs="Times New Roman"/>
          <w:iCs/>
          <w:sz w:val="24"/>
          <w:szCs w:val="24"/>
        </w:rPr>
        <w:t xml:space="preserve">, stk. 1, og </w:t>
      </w:r>
      <w:r w:rsidR="007803FE" w:rsidRPr="00796736">
        <w:rPr>
          <w:rFonts w:ascii="Times New Roman" w:eastAsia="Calibri" w:hAnsi="Times New Roman" w:cs="Times New Roman"/>
          <w:iCs/>
          <w:sz w:val="24"/>
          <w:szCs w:val="24"/>
        </w:rPr>
        <w:fldChar w:fldCharType="begin"/>
      </w:r>
      <w:r w:rsidR="007803FE" w:rsidRPr="00796736">
        <w:rPr>
          <w:rFonts w:ascii="Times New Roman" w:eastAsia="Calibri" w:hAnsi="Times New Roman" w:cs="Times New Roman"/>
          <w:iCs/>
          <w:sz w:val="24"/>
          <w:szCs w:val="24"/>
        </w:rPr>
        <w:instrText xml:space="preserve"> REF _Ref232596960 \r \h </w:instrText>
      </w:r>
      <w:r w:rsidR="007C1691" w:rsidRPr="00796736">
        <w:rPr>
          <w:rFonts w:ascii="Times New Roman" w:eastAsia="Calibri" w:hAnsi="Times New Roman" w:cs="Times New Roman"/>
          <w:iCs/>
          <w:sz w:val="24"/>
          <w:szCs w:val="24"/>
        </w:rPr>
        <w:instrText xml:space="preserve"> \* MERGEFORMAT </w:instrText>
      </w:r>
      <w:r w:rsidR="007803FE" w:rsidRPr="00796736">
        <w:rPr>
          <w:rFonts w:ascii="Times New Roman" w:eastAsia="Calibri" w:hAnsi="Times New Roman" w:cs="Times New Roman"/>
          <w:iCs/>
          <w:sz w:val="24"/>
          <w:szCs w:val="24"/>
        </w:rPr>
      </w:r>
      <w:r w:rsidR="007803FE"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007803FE" w:rsidRPr="00796736">
        <w:rPr>
          <w:rFonts w:ascii="Times New Roman" w:eastAsia="Calibri" w:hAnsi="Times New Roman" w:cs="Times New Roman"/>
          <w:iCs/>
          <w:sz w:val="24"/>
          <w:szCs w:val="24"/>
        </w:rPr>
        <w:fldChar w:fldCharType="end"/>
      </w:r>
      <w:r w:rsidR="007803FE" w:rsidRPr="00796736">
        <w:rPr>
          <w:rFonts w:ascii="Times New Roman" w:eastAsia="Calibri" w:hAnsi="Times New Roman" w:cs="Times New Roman"/>
          <w:iCs/>
          <w:sz w:val="24"/>
          <w:szCs w:val="24"/>
        </w:rPr>
        <w:t>, stk. 1</w:t>
      </w:r>
      <w:r w:rsidR="00D9452F" w:rsidRPr="00796736">
        <w:rPr>
          <w:rFonts w:ascii="Times New Roman" w:eastAsia="Calibri" w:hAnsi="Times New Roman" w:cs="Times New Roman"/>
          <w:iCs/>
          <w:sz w:val="24"/>
          <w:szCs w:val="24"/>
        </w:rPr>
        <w:t xml:space="preserve"> og </w:t>
      </w:r>
      <w:r w:rsidR="003A1EBF" w:rsidRPr="00796736">
        <w:rPr>
          <w:rFonts w:ascii="Times New Roman" w:eastAsia="Calibri" w:hAnsi="Times New Roman" w:cs="Times New Roman"/>
          <w:iCs/>
          <w:sz w:val="24"/>
          <w:szCs w:val="24"/>
        </w:rPr>
        <w:t>3</w:t>
      </w:r>
      <w:r w:rsidR="007803FE" w:rsidRPr="00796736">
        <w:rPr>
          <w:rFonts w:ascii="Times New Roman" w:hAnsi="Times New Roman" w:cs="Times New Roman"/>
          <w:sz w:val="24"/>
          <w:szCs w:val="24"/>
        </w:rPr>
        <w:t>. Finanstilsynet kan også påbyde virksomheden at følge bestemte retningslinjer.</w:t>
      </w:r>
    </w:p>
    <w:p w14:paraId="7433FDFE" w14:textId="197827C1" w:rsidR="007803FE" w:rsidRPr="00796736" w:rsidRDefault="00FC432B"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sz w:val="24"/>
          <w:szCs w:val="24"/>
        </w:rPr>
        <w:t>Stk. 3. </w:t>
      </w:r>
      <w:r w:rsidRPr="00796736">
        <w:rPr>
          <w:rFonts w:ascii="Times New Roman" w:hAnsi="Times New Roman" w:cs="Times New Roman"/>
          <w:sz w:val="24"/>
          <w:szCs w:val="24"/>
        </w:rPr>
        <w:t>Har Finanstilsynet ophævet stemmeretten i medfør af stk. 2, kan kapitalandelen ikke indgå i opgørelsen af den på en generalforsamling repræsenterede stemmeberettigede kapital.</w:t>
      </w:r>
      <w:r w:rsidR="007803FE" w:rsidRPr="00796736">
        <w:rPr>
          <w:rFonts w:ascii="Times New Roman" w:hAnsi="Times New Roman" w:cs="Times New Roman"/>
          <w:sz w:val="24"/>
          <w:szCs w:val="24"/>
        </w:rPr>
        <w:t xml:space="preserve"> </w:t>
      </w:r>
    </w:p>
    <w:p w14:paraId="30695549" w14:textId="5FD094A5" w:rsidR="00851AB4" w:rsidRPr="00796736" w:rsidRDefault="00851AB4" w:rsidP="0053178C">
      <w:pPr>
        <w:spacing w:line="360" w:lineRule="auto"/>
        <w:ind w:firstLine="238"/>
        <w:rPr>
          <w:rFonts w:ascii="Times New Roman" w:hAnsi="Times New Roman" w:cs="Times New Roman"/>
          <w:sz w:val="24"/>
          <w:szCs w:val="24"/>
        </w:rPr>
      </w:pPr>
      <w:r w:rsidRPr="00796736">
        <w:rPr>
          <w:rFonts w:ascii="Times New Roman" w:eastAsia="Times New Roman" w:hAnsi="Times New Roman" w:cs="Times New Roman"/>
          <w:i/>
          <w:sz w:val="24"/>
          <w:szCs w:val="24"/>
          <w:lang w:eastAsia="da-DK"/>
        </w:rPr>
        <w:t xml:space="preserve">Stk. </w:t>
      </w:r>
      <w:r w:rsidR="00FC432B" w:rsidRPr="00796736">
        <w:rPr>
          <w:rFonts w:ascii="Times New Roman" w:eastAsia="Times New Roman" w:hAnsi="Times New Roman" w:cs="Times New Roman"/>
          <w:i/>
          <w:sz w:val="24"/>
          <w:szCs w:val="24"/>
          <w:lang w:eastAsia="da-DK"/>
        </w:rPr>
        <w:t>4</w:t>
      </w:r>
      <w:r w:rsidRPr="00796736">
        <w:rPr>
          <w:rFonts w:ascii="Times New Roman" w:eastAsia="Times New Roman" w:hAnsi="Times New Roman" w:cs="Times New Roman"/>
          <w:i/>
          <w:sz w:val="24"/>
          <w:szCs w:val="24"/>
          <w:lang w:eastAsia="da-DK"/>
        </w:rPr>
        <w:t xml:space="preserve">. </w:t>
      </w:r>
      <w:r w:rsidRPr="00796736">
        <w:rPr>
          <w:rFonts w:ascii="Times New Roman" w:hAnsi="Times New Roman" w:cs="Times New Roman"/>
          <w:sz w:val="24"/>
          <w:szCs w:val="24"/>
        </w:rPr>
        <w:t>Varigheden af påbud meddelt efter stk. 1 skal fremgå</w:t>
      </w:r>
      <w:r w:rsidR="00DA43B2" w:rsidRPr="00796736">
        <w:rPr>
          <w:rFonts w:ascii="Times New Roman" w:hAnsi="Times New Roman" w:cs="Times New Roman"/>
          <w:sz w:val="24"/>
          <w:szCs w:val="24"/>
        </w:rPr>
        <w:t xml:space="preserve"> af påbuddet</w:t>
      </w:r>
      <w:r w:rsidRPr="00796736">
        <w:rPr>
          <w:rFonts w:ascii="Times New Roman" w:hAnsi="Times New Roman" w:cs="Times New Roman"/>
          <w:sz w:val="24"/>
          <w:szCs w:val="24"/>
        </w:rPr>
        <w:t>.</w:t>
      </w:r>
    </w:p>
    <w:p w14:paraId="6BECDC51" w14:textId="4011EAC9" w:rsidR="00A419CD" w:rsidRPr="00796736" w:rsidRDefault="00851AB4" w:rsidP="0053178C">
      <w:pPr>
        <w:spacing w:line="360" w:lineRule="auto"/>
        <w:ind w:firstLine="238"/>
        <w:rPr>
          <w:rFonts w:ascii="Times New Roman" w:hAnsi="Times New Roman" w:cs="Times New Roman"/>
          <w:sz w:val="24"/>
          <w:szCs w:val="24"/>
        </w:rPr>
      </w:pPr>
      <w:r w:rsidRPr="00796736">
        <w:rPr>
          <w:rFonts w:ascii="Times New Roman" w:eastAsia="Times New Roman" w:hAnsi="Times New Roman" w:cs="Times New Roman"/>
          <w:i/>
          <w:sz w:val="24"/>
          <w:szCs w:val="24"/>
          <w:lang w:eastAsia="da-DK"/>
        </w:rPr>
        <w:t xml:space="preserve">Stk. </w:t>
      </w:r>
      <w:r w:rsidR="00FC432B" w:rsidRPr="00796736">
        <w:rPr>
          <w:rFonts w:ascii="Times New Roman" w:eastAsia="Times New Roman" w:hAnsi="Times New Roman" w:cs="Times New Roman"/>
          <w:i/>
          <w:sz w:val="24"/>
          <w:szCs w:val="24"/>
          <w:lang w:eastAsia="da-DK"/>
        </w:rPr>
        <w:t>5</w:t>
      </w:r>
      <w:r w:rsidRPr="00796736">
        <w:rPr>
          <w:rFonts w:ascii="Times New Roman" w:eastAsia="Times New Roman" w:hAnsi="Times New Roman" w:cs="Times New Roman"/>
          <w:i/>
          <w:sz w:val="24"/>
          <w:szCs w:val="24"/>
          <w:lang w:eastAsia="da-DK"/>
        </w:rPr>
        <w:t xml:space="preserve">. </w:t>
      </w:r>
      <w:r w:rsidR="00A419CD" w:rsidRPr="00A419CD">
        <w:rPr>
          <w:rFonts w:ascii="Times New Roman" w:hAnsi="Times New Roman" w:cs="Times New Roman"/>
          <w:sz w:val="24"/>
          <w:szCs w:val="24"/>
        </w:rPr>
        <w:t>Påbud meddelt efter stk. 1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afgørelsen skal have opsættende virkning. Finanstilsynet indbringer sagen for domstolene inden 4 uger efter modtagelse af anmodning herom. Sagen anlægges i den borgerlige retsplejes former</w:t>
      </w:r>
    </w:p>
    <w:p w14:paraId="77DE4D3B" w14:textId="32A94C3A" w:rsidR="00E32DBA" w:rsidRPr="00796736" w:rsidRDefault="00851AB4" w:rsidP="0053178C">
      <w:pPr>
        <w:spacing w:line="360" w:lineRule="auto"/>
        <w:ind w:firstLine="238"/>
        <w:rPr>
          <w:rFonts w:ascii="Times New Roman" w:hAnsi="Times New Roman" w:cs="Times New Roman"/>
          <w:sz w:val="24"/>
          <w:szCs w:val="24"/>
        </w:rPr>
      </w:pPr>
      <w:r w:rsidRPr="00796736">
        <w:rPr>
          <w:rFonts w:ascii="Times New Roman" w:eastAsia="Times New Roman" w:hAnsi="Times New Roman" w:cs="Times New Roman"/>
          <w:i/>
          <w:sz w:val="24"/>
          <w:szCs w:val="24"/>
          <w:lang w:eastAsia="da-DK"/>
        </w:rPr>
        <w:t xml:space="preserve">Stk. </w:t>
      </w:r>
      <w:r w:rsidR="00FC432B" w:rsidRPr="00796736">
        <w:rPr>
          <w:rFonts w:ascii="Times New Roman" w:eastAsia="Times New Roman" w:hAnsi="Times New Roman" w:cs="Times New Roman"/>
          <w:i/>
          <w:sz w:val="24"/>
          <w:szCs w:val="24"/>
          <w:lang w:eastAsia="da-DK"/>
        </w:rPr>
        <w:t>6</w:t>
      </w:r>
      <w:r w:rsidRPr="00796736">
        <w:rPr>
          <w:rFonts w:ascii="Times New Roman" w:eastAsia="Times New Roman" w:hAnsi="Times New Roman" w:cs="Times New Roman"/>
          <w:i/>
          <w:sz w:val="24"/>
          <w:szCs w:val="24"/>
          <w:lang w:eastAsia="da-DK"/>
        </w:rPr>
        <w:t>.</w:t>
      </w:r>
      <w:r w:rsidRPr="00796736">
        <w:rPr>
          <w:rFonts w:ascii="Times New Roman" w:eastAsia="Times New Roman" w:hAnsi="Times New Roman" w:cs="Times New Roman"/>
          <w:sz w:val="24"/>
          <w:szCs w:val="24"/>
          <w:lang w:eastAsia="da-DK"/>
        </w:rPr>
        <w:t xml:space="preserve"> Finanstilsynet kan af egen drift eller efter ansøgning tilbagekalde et påbud meddelt efter stk. 1. Afslår Finanstilsynet en ansøgning om tilbagekaldelse, kan ansøgeren forlange afslaget indbragt for domstolene.</w:t>
      </w:r>
      <w:r w:rsidR="002B6672" w:rsidRPr="00796736">
        <w:rPr>
          <w:rFonts w:ascii="Times New Roman" w:eastAsia="Times New Roman" w:hAnsi="Times New Roman" w:cs="Times New Roman"/>
          <w:sz w:val="24"/>
          <w:szCs w:val="24"/>
          <w:lang w:eastAsia="da-DK"/>
        </w:rPr>
        <w:t xml:space="preserv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r w:rsidRPr="00796736">
        <w:rPr>
          <w:rFonts w:ascii="Times New Roman" w:eastAsia="Times New Roman" w:hAnsi="Times New Roman" w:cs="Times New Roman"/>
          <w:sz w:val="24"/>
          <w:szCs w:val="24"/>
          <w:lang w:eastAsia="da-DK"/>
        </w:rPr>
        <w:t>.</w:t>
      </w:r>
    </w:p>
    <w:p w14:paraId="1F58077E" w14:textId="77777777" w:rsidR="000C075E" w:rsidRPr="00796736" w:rsidRDefault="000C075E" w:rsidP="0053178C">
      <w:pPr>
        <w:spacing w:line="360" w:lineRule="auto"/>
        <w:ind w:firstLine="238"/>
        <w:rPr>
          <w:rFonts w:ascii="Times New Roman" w:hAnsi="Times New Roman" w:cs="Times New Roman"/>
          <w:sz w:val="24"/>
          <w:szCs w:val="24"/>
        </w:rPr>
      </w:pPr>
    </w:p>
    <w:p w14:paraId="782D8156" w14:textId="77777777" w:rsidR="0042556A" w:rsidRPr="00796736" w:rsidRDefault="008E6D69" w:rsidP="0053178C">
      <w:pPr>
        <w:pStyle w:val="Typografi1"/>
        <w:ind w:left="0" w:firstLine="238"/>
        <w:rPr>
          <w:rFonts w:ascii="Times New Roman" w:hAnsi="Times New Roman" w:cs="Times New Roman"/>
          <w:sz w:val="24"/>
          <w:szCs w:val="24"/>
        </w:rPr>
      </w:pPr>
      <w:bookmarkStart w:id="244" w:name="_Ref232597333"/>
      <w:bookmarkStart w:id="245" w:name="_Toc244879050"/>
      <w:bookmarkStart w:id="246" w:name="_Toc244880574"/>
      <w:r w:rsidRPr="00796736">
        <w:rPr>
          <w:rFonts w:ascii="Times New Roman" w:hAnsi="Times New Roman" w:cs="Times New Roman"/>
          <w:sz w:val="24"/>
          <w:szCs w:val="24"/>
        </w:rPr>
        <w:t>Finanstilsynet kan påbyde virksomheder og personer, der deltager i et partnerskab med henblik på udveksling af oplysninger i henhold til hvidvaskforordningens artikel 75, at få foretaget en uafhængig revision af, hvordan partnerskabet fungerer.</w:t>
      </w:r>
      <w:bookmarkEnd w:id="244"/>
      <w:bookmarkEnd w:id="245"/>
      <w:bookmarkEnd w:id="246"/>
      <w:r w:rsidRPr="00796736">
        <w:rPr>
          <w:rFonts w:ascii="Times New Roman" w:hAnsi="Times New Roman" w:cs="Times New Roman"/>
          <w:sz w:val="24"/>
          <w:szCs w:val="24"/>
        </w:rPr>
        <w:t xml:space="preserve"> </w:t>
      </w:r>
    </w:p>
    <w:p w14:paraId="513CB384" w14:textId="44FA2ECE" w:rsidR="0042556A" w:rsidRPr="00796736" w:rsidRDefault="0042556A"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   Stk. 2. </w:t>
      </w:r>
      <w:r w:rsidRPr="00796736">
        <w:rPr>
          <w:rFonts w:ascii="Times New Roman" w:hAnsi="Times New Roman" w:cs="Times New Roman"/>
          <w:sz w:val="24"/>
          <w:szCs w:val="24"/>
        </w:rPr>
        <w:t>Finanstilsynet kan påbyde, at</w:t>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resultatet af den uafhængige revision udveksles med Finanstilsynet.</w:t>
      </w:r>
    </w:p>
    <w:p w14:paraId="52530E5B" w14:textId="77777777" w:rsidR="00DA43B2" w:rsidRPr="00796736" w:rsidRDefault="00DA43B2" w:rsidP="0053178C">
      <w:pPr>
        <w:spacing w:line="360" w:lineRule="auto"/>
        <w:ind w:firstLine="238"/>
        <w:rPr>
          <w:rFonts w:ascii="Times New Roman" w:hAnsi="Times New Roman" w:cs="Times New Roman"/>
          <w:sz w:val="24"/>
          <w:szCs w:val="24"/>
        </w:rPr>
      </w:pPr>
    </w:p>
    <w:p w14:paraId="23549AAF" w14:textId="515F8DD0" w:rsidR="005712F1" w:rsidRPr="00796736" w:rsidRDefault="005712F1"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Finanstilsynets offentliggørelse af bøder, administrative foranstaltninger og tvangsbøder</w:t>
      </w:r>
    </w:p>
    <w:p w14:paraId="7C984E67" w14:textId="5750135F" w:rsidR="005712F1" w:rsidRPr="00796736" w:rsidRDefault="003B4D26" w:rsidP="0053178C">
      <w:pPr>
        <w:pStyle w:val="Typografi1"/>
        <w:ind w:left="0" w:firstLine="238"/>
        <w:rPr>
          <w:rFonts w:ascii="Times New Roman" w:hAnsi="Times New Roman" w:cs="Times New Roman"/>
          <w:sz w:val="24"/>
          <w:szCs w:val="24"/>
        </w:rPr>
      </w:pPr>
      <w:bookmarkStart w:id="247" w:name="_Ref239790471"/>
      <w:bookmarkStart w:id="248" w:name="_Ref232597356"/>
      <w:bookmarkStart w:id="249" w:name="_Ref244855727"/>
      <w:bookmarkStart w:id="250" w:name="_Toc244879051"/>
      <w:bookmarkStart w:id="251" w:name="_Toc244880575"/>
      <w:r w:rsidRPr="00796736">
        <w:rPr>
          <w:rFonts w:ascii="Times New Roman" w:hAnsi="Times New Roman" w:cs="Times New Roman"/>
          <w:sz w:val="24"/>
          <w:szCs w:val="24"/>
        </w:rPr>
        <w:t>Skatte-</w:t>
      </w:r>
      <w:r w:rsidR="008D723F" w:rsidRPr="00796736">
        <w:rPr>
          <w:rFonts w:ascii="Times New Roman" w:hAnsi="Times New Roman" w:cs="Times New Roman"/>
          <w:sz w:val="24"/>
          <w:szCs w:val="24"/>
        </w:rPr>
        <w:t xml:space="preserve"> og vækstministeren kan for virksomheder nævnt i </w:t>
      </w:r>
      <w:r w:rsidR="008D723F" w:rsidRPr="00796736">
        <w:rPr>
          <w:rFonts w:ascii="Times New Roman" w:hAnsi="Times New Roman" w:cs="Times New Roman"/>
          <w:sz w:val="24"/>
          <w:szCs w:val="24"/>
        </w:rPr>
        <w:fldChar w:fldCharType="begin"/>
      </w:r>
      <w:r w:rsidR="008D723F" w:rsidRPr="00796736">
        <w:rPr>
          <w:rFonts w:ascii="Times New Roman" w:hAnsi="Times New Roman" w:cs="Times New Roman"/>
          <w:sz w:val="24"/>
          <w:szCs w:val="24"/>
        </w:rPr>
        <w:instrText xml:space="preserve"> REF _Ref232583170 \r \h </w:instrText>
      </w:r>
      <w:r w:rsidR="00F375BF" w:rsidRPr="00796736">
        <w:rPr>
          <w:rFonts w:ascii="Times New Roman" w:hAnsi="Times New Roman" w:cs="Times New Roman"/>
          <w:sz w:val="24"/>
          <w:szCs w:val="24"/>
        </w:rPr>
        <w:instrText xml:space="preserve"> \* MERGEFORMAT </w:instrText>
      </w:r>
      <w:r w:rsidR="008D723F" w:rsidRPr="00796736">
        <w:rPr>
          <w:rFonts w:ascii="Times New Roman" w:hAnsi="Times New Roman" w:cs="Times New Roman"/>
          <w:sz w:val="24"/>
          <w:szCs w:val="24"/>
        </w:rPr>
      </w:r>
      <w:r w:rsidR="008D723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008D723F" w:rsidRPr="00796736">
        <w:rPr>
          <w:rFonts w:ascii="Times New Roman" w:hAnsi="Times New Roman" w:cs="Times New Roman"/>
          <w:sz w:val="24"/>
          <w:szCs w:val="24"/>
        </w:rPr>
        <w:fldChar w:fldCharType="end"/>
      </w:r>
      <w:r w:rsidR="008D723F" w:rsidRPr="00796736">
        <w:rPr>
          <w:rFonts w:ascii="Times New Roman" w:hAnsi="Times New Roman" w:cs="Times New Roman"/>
          <w:sz w:val="24"/>
          <w:szCs w:val="24"/>
        </w:rPr>
        <w:t xml:space="preserve">, stk. 2, og § 2, nr. 1-19 og 32, litra a, fastsætte regler </w:t>
      </w:r>
      <w:r w:rsidR="0042556A" w:rsidRPr="00796736">
        <w:rPr>
          <w:rFonts w:ascii="Times New Roman" w:hAnsi="Times New Roman" w:cs="Times New Roman"/>
          <w:sz w:val="24"/>
          <w:szCs w:val="24"/>
        </w:rPr>
        <w:t>om disse virksomheders pligt til at offentliggøre oplysninger</w:t>
      </w:r>
      <w:r w:rsidR="008D723F" w:rsidRPr="00796736">
        <w:rPr>
          <w:rFonts w:ascii="Times New Roman" w:hAnsi="Times New Roman" w:cs="Times New Roman"/>
          <w:sz w:val="24"/>
          <w:szCs w:val="24"/>
        </w:rPr>
        <w:t xml:space="preserve"> om Finanstilsynets vurdering af virksomheden og om, at Finanstilsynet har mulighed for at offentliggøre oplysningerne før virksomheden.</w:t>
      </w:r>
      <w:bookmarkEnd w:id="247"/>
      <w:r w:rsidRPr="00796736">
        <w:rPr>
          <w:rFonts w:ascii="Times New Roman" w:hAnsi="Times New Roman" w:cs="Times New Roman"/>
          <w:sz w:val="24"/>
          <w:szCs w:val="24"/>
        </w:rPr>
        <w:t xml:space="preserve"> </w:t>
      </w:r>
      <w:bookmarkEnd w:id="248"/>
      <w:r w:rsidR="00957CE4" w:rsidRPr="00957CE4">
        <w:rPr>
          <w:rFonts w:ascii="Times New Roman" w:hAnsi="Times New Roman" w:cs="Times New Roman"/>
          <w:sz w:val="24"/>
          <w:szCs w:val="24"/>
        </w:rPr>
        <w:t>1. pkt. finder tillige anvendelse for personer ved alvorlige, gentagne eller systematiske overtrædelser af hvidvaskforordningen eller denne lov.</w:t>
      </w:r>
      <w:bookmarkEnd w:id="249"/>
      <w:bookmarkEnd w:id="250"/>
      <w:bookmarkEnd w:id="251"/>
    </w:p>
    <w:p w14:paraId="7A04BEE0" w14:textId="77777777" w:rsidR="005712F1" w:rsidRPr="00796736" w:rsidRDefault="005712F1" w:rsidP="0053178C">
      <w:pPr>
        <w:spacing w:line="360" w:lineRule="auto"/>
        <w:ind w:firstLine="238"/>
        <w:rPr>
          <w:rFonts w:ascii="Times New Roman" w:hAnsi="Times New Roman" w:cs="Times New Roman"/>
          <w:sz w:val="24"/>
          <w:szCs w:val="24"/>
        </w:rPr>
      </w:pPr>
    </w:p>
    <w:p w14:paraId="231B8226" w14:textId="1F3C931F" w:rsidR="005712F1" w:rsidRPr="00796736" w:rsidRDefault="005712F1"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Finanstilsynets offentliggørelse</w:t>
      </w:r>
      <w:r w:rsidR="00793B8C">
        <w:rPr>
          <w:rFonts w:ascii="Times New Roman" w:hAnsi="Times New Roman" w:cs="Times New Roman"/>
          <w:i/>
          <w:iCs/>
          <w:sz w:val="24"/>
          <w:szCs w:val="24"/>
        </w:rPr>
        <w:t xml:space="preserve"> af reaktioner m.v.</w:t>
      </w:r>
    </w:p>
    <w:p w14:paraId="43BF0387" w14:textId="0CFF6221" w:rsidR="008D723F" w:rsidRPr="00796736" w:rsidRDefault="008D723F" w:rsidP="0053178C">
      <w:pPr>
        <w:pStyle w:val="Typografi1"/>
        <w:ind w:left="0" w:firstLine="238"/>
        <w:rPr>
          <w:rFonts w:ascii="Times New Roman" w:hAnsi="Times New Roman" w:cs="Times New Roman"/>
          <w:sz w:val="24"/>
          <w:szCs w:val="24"/>
        </w:rPr>
      </w:pPr>
      <w:bookmarkStart w:id="252" w:name="_Ref239790980"/>
      <w:bookmarkStart w:id="253" w:name="_Toc244879052"/>
      <w:bookmarkStart w:id="254" w:name="_Toc244880576"/>
      <w:r w:rsidRPr="00796736">
        <w:rPr>
          <w:rFonts w:ascii="Times New Roman" w:hAnsi="Times New Roman" w:cs="Times New Roman"/>
          <w:sz w:val="24"/>
          <w:szCs w:val="24"/>
        </w:rPr>
        <w:t xml:space="preserve">Finanstilsynet skal med angivelse af virksomhedens eller personens navn offentliggøre følgende på Finanstilsynets hjemmeside, jf. dog </w:t>
      </w:r>
      <w:r w:rsidR="008C2B6A">
        <w:rPr>
          <w:rFonts w:ascii="Times New Roman" w:hAnsi="Times New Roman" w:cs="Times New Roman"/>
          <w:sz w:val="24"/>
          <w:szCs w:val="24"/>
        </w:rPr>
        <w:t>§</w:t>
      </w:r>
      <w:r w:rsidRPr="00796736">
        <w:rPr>
          <w:rFonts w:ascii="Times New Roman" w:hAnsi="Times New Roman" w:cs="Times New Roman"/>
          <w:sz w:val="24"/>
          <w:szCs w:val="24"/>
        </w:rPr>
        <w:t>§</w:t>
      </w:r>
      <w:r w:rsidR="00327FF0" w:rsidRPr="00796736">
        <w:rPr>
          <w:rFonts w:ascii="Times New Roman" w:hAnsi="Times New Roman" w:cs="Times New Roman"/>
          <w:sz w:val="24"/>
          <w:szCs w:val="24"/>
        </w:rPr>
        <w:fldChar w:fldCharType="begin"/>
      </w:r>
      <w:r w:rsidR="00327FF0" w:rsidRPr="00796736">
        <w:rPr>
          <w:rFonts w:ascii="Times New Roman" w:hAnsi="Times New Roman" w:cs="Times New Roman"/>
          <w:sz w:val="24"/>
          <w:szCs w:val="24"/>
        </w:rPr>
        <w:instrText xml:space="preserve"> REF _Ref232597480 \r \h </w:instrText>
      </w:r>
      <w:r w:rsidR="00F375BF" w:rsidRPr="00796736">
        <w:rPr>
          <w:rFonts w:ascii="Times New Roman" w:hAnsi="Times New Roman" w:cs="Times New Roman"/>
          <w:sz w:val="24"/>
          <w:szCs w:val="24"/>
        </w:rPr>
        <w:instrText xml:space="preserve"> \* MERGEFORMAT </w:instrText>
      </w:r>
      <w:r w:rsidR="00327FF0" w:rsidRPr="00796736">
        <w:rPr>
          <w:rFonts w:ascii="Times New Roman" w:hAnsi="Times New Roman" w:cs="Times New Roman"/>
          <w:sz w:val="24"/>
          <w:szCs w:val="24"/>
        </w:rPr>
      </w:r>
      <w:r w:rsidR="00327FF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xml:space="preserve"> 72</w:t>
      </w:r>
      <w:r w:rsidR="00327FF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00327FF0" w:rsidRPr="00796736">
        <w:rPr>
          <w:rFonts w:ascii="Times New Roman" w:hAnsi="Times New Roman" w:cs="Times New Roman"/>
          <w:sz w:val="24"/>
          <w:szCs w:val="24"/>
        </w:rPr>
        <w:fldChar w:fldCharType="begin"/>
      </w:r>
      <w:r w:rsidR="00327FF0" w:rsidRPr="00796736">
        <w:rPr>
          <w:rFonts w:ascii="Times New Roman"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327FF0" w:rsidRPr="00796736">
        <w:rPr>
          <w:rFonts w:ascii="Times New Roman" w:hAnsi="Times New Roman" w:cs="Times New Roman"/>
          <w:sz w:val="24"/>
          <w:szCs w:val="24"/>
        </w:rPr>
      </w:r>
      <w:r w:rsidR="00327FF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327FF0"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bookmarkEnd w:id="252"/>
      <w:bookmarkEnd w:id="253"/>
      <w:bookmarkEnd w:id="254"/>
    </w:p>
    <w:p w14:paraId="0DB9CAAB" w14:textId="67D7FD69" w:rsidR="002044F0" w:rsidRDefault="00495BF0">
      <w:pPr>
        <w:pStyle w:val="Listeafsnit"/>
        <w:numPr>
          <w:ilvl w:val="0"/>
          <w:numId w:val="117"/>
        </w:numPr>
        <w:spacing w:line="360" w:lineRule="auto"/>
        <w:rPr>
          <w:rFonts w:ascii="Times New Roman" w:hAnsi="Times New Roman" w:cs="Times New Roman"/>
          <w:sz w:val="24"/>
          <w:szCs w:val="24"/>
        </w:rPr>
      </w:pPr>
      <w:r w:rsidRPr="00A9036D">
        <w:rPr>
          <w:rFonts w:ascii="Times New Roman" w:hAnsi="Times New Roman" w:cs="Times New Roman"/>
          <w:sz w:val="24"/>
          <w:szCs w:val="24"/>
        </w:rPr>
        <w:t>Reaktioner givet 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_Ref239151441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63</w:t>
      </w:r>
      <w:r>
        <w:rPr>
          <w:rFonts w:ascii="Times New Roman" w:hAnsi="Times New Roman" w:cs="Times New Roman"/>
          <w:sz w:val="24"/>
          <w:szCs w:val="24"/>
        </w:rPr>
        <w:fldChar w:fldCharType="end"/>
      </w:r>
      <w:r w:rsidRPr="00A9036D">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_Ref232597333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xml:space="preserve"> 67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A9036D">
        <w:rPr>
          <w:rFonts w:ascii="Times New Roman" w:hAnsi="Times New Roman" w:cs="Times New Roman"/>
          <w:sz w:val="24"/>
          <w:szCs w:val="24"/>
        </w:rPr>
        <w:t>jf.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_Ref240026750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54</w:t>
      </w:r>
      <w:r>
        <w:rPr>
          <w:rFonts w:ascii="Times New Roman" w:hAnsi="Times New Roman" w:cs="Times New Roman"/>
          <w:sz w:val="24"/>
          <w:szCs w:val="24"/>
        </w:rPr>
        <w:fldChar w:fldCharType="end"/>
      </w:r>
      <w:r w:rsidRPr="00A9036D">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_Ref232597084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56</w:t>
      </w:r>
      <w:r>
        <w:rPr>
          <w:rFonts w:ascii="Times New Roman" w:hAnsi="Times New Roman" w:cs="Times New Roman"/>
          <w:sz w:val="24"/>
          <w:szCs w:val="24"/>
        </w:rPr>
        <w:fldChar w:fldCharType="end"/>
      </w:r>
      <w:r w:rsidRPr="00A9036D">
        <w:rPr>
          <w:rFonts w:ascii="Times New Roman" w:hAnsi="Times New Roman" w:cs="Times New Roman"/>
          <w:sz w:val="24"/>
          <w:szCs w:val="24"/>
        </w:rPr>
        <w:t xml:space="preserve"> i denne lov, jf. § 345, stk. 12, nr. 4, i lov om finansiel virksomhed, eller af Finanstilsynet efter delegation fra Finanstilsynets bestyrelse til en virksomhed eller person under tilsyn.</w:t>
      </w:r>
    </w:p>
    <w:p w14:paraId="3C604A65" w14:textId="2FF2FD7E" w:rsidR="005857A0" w:rsidRPr="00A9036D" w:rsidRDefault="005857A0">
      <w:pPr>
        <w:pStyle w:val="Listeafsnit"/>
        <w:numPr>
          <w:ilvl w:val="0"/>
          <w:numId w:val="117"/>
        </w:numPr>
        <w:spacing w:line="360" w:lineRule="auto"/>
        <w:rPr>
          <w:rFonts w:ascii="Times New Roman" w:hAnsi="Times New Roman" w:cs="Times New Roman"/>
          <w:sz w:val="24"/>
          <w:szCs w:val="24"/>
        </w:rPr>
      </w:pPr>
      <w:r w:rsidRPr="00A9036D">
        <w:rPr>
          <w:rFonts w:ascii="Times New Roman" w:hAnsi="Times New Roman" w:cs="Times New Roman"/>
          <w:sz w:val="24"/>
          <w:szCs w:val="24"/>
        </w:rPr>
        <w:t>Reaktioner givet 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_Ref239151441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63</w:t>
      </w:r>
      <w:r>
        <w:rPr>
          <w:rFonts w:ascii="Times New Roman" w:hAnsi="Times New Roman" w:cs="Times New Roman"/>
          <w:sz w:val="24"/>
          <w:szCs w:val="24"/>
        </w:rPr>
        <w:fldChar w:fldCharType="end"/>
      </w:r>
      <w:r w:rsidRPr="00A9036D">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_Ref232597333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67</w:t>
      </w:r>
      <w:r>
        <w:rPr>
          <w:rFonts w:ascii="Times New Roman" w:hAnsi="Times New Roman" w:cs="Times New Roman"/>
          <w:sz w:val="24"/>
          <w:szCs w:val="24"/>
        </w:rPr>
        <w:fldChar w:fldCharType="end"/>
      </w:r>
      <w:r w:rsidRPr="00A9036D">
        <w:rPr>
          <w:rFonts w:ascii="Times New Roman" w:hAnsi="Times New Roman" w:cs="Times New Roman"/>
          <w:sz w:val="24"/>
          <w:szCs w:val="24"/>
        </w:rPr>
        <w:t>, jf.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_Ref240026750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54</w:t>
      </w:r>
      <w:r>
        <w:rPr>
          <w:rFonts w:ascii="Times New Roman" w:hAnsi="Times New Roman" w:cs="Times New Roman"/>
          <w:sz w:val="24"/>
          <w:szCs w:val="24"/>
        </w:rPr>
        <w:fldChar w:fldCharType="end"/>
      </w:r>
      <w:r w:rsidRPr="00A9036D">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_Ref232597084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56</w:t>
      </w:r>
      <w:r>
        <w:rPr>
          <w:rFonts w:ascii="Times New Roman" w:hAnsi="Times New Roman" w:cs="Times New Roman"/>
          <w:sz w:val="24"/>
          <w:szCs w:val="24"/>
        </w:rPr>
        <w:fldChar w:fldCharType="end"/>
      </w:r>
      <w:r w:rsidR="00D94F1A">
        <w:rPr>
          <w:rFonts w:ascii="Times New Roman" w:hAnsi="Times New Roman" w:cs="Times New Roman"/>
          <w:sz w:val="24"/>
          <w:szCs w:val="24"/>
        </w:rPr>
        <w:t xml:space="preserve"> </w:t>
      </w:r>
      <w:r w:rsidRPr="00A9036D">
        <w:rPr>
          <w:rFonts w:ascii="Times New Roman" w:hAnsi="Times New Roman" w:cs="Times New Roman"/>
          <w:sz w:val="24"/>
          <w:szCs w:val="24"/>
        </w:rPr>
        <w:t>i denne lov, jf. § 345, stk. 12, nr. 4, i lov om finansiel virksomhed, eller af Finanstilsynet efter delegation fra Finanstilsynets bestyrelse til en virksomhed eller person, der ikke er under tilsyn.</w:t>
      </w:r>
    </w:p>
    <w:p w14:paraId="0A652572" w14:textId="77777777" w:rsidR="0073359C" w:rsidRPr="00A9036D" w:rsidRDefault="0073359C">
      <w:pPr>
        <w:pStyle w:val="Listeafsnit"/>
        <w:numPr>
          <w:ilvl w:val="0"/>
          <w:numId w:val="117"/>
        </w:numPr>
        <w:spacing w:line="360" w:lineRule="auto"/>
        <w:rPr>
          <w:rFonts w:ascii="Times New Roman" w:hAnsi="Times New Roman" w:cs="Times New Roman"/>
          <w:sz w:val="24"/>
          <w:szCs w:val="24"/>
        </w:rPr>
      </w:pPr>
      <w:r w:rsidRPr="00A9036D">
        <w:rPr>
          <w:rFonts w:ascii="Times New Roman" w:hAnsi="Times New Roman" w:cs="Times New Roman"/>
          <w:sz w:val="24"/>
          <w:szCs w:val="24"/>
        </w:rPr>
        <w:t>Beslutninger om at overgive sager til politimæssig efterforskning og sager afgjort med vedtagelse af administrativt bødeforelæg med angivelse af bødens størrelse.</w:t>
      </w:r>
    </w:p>
    <w:p w14:paraId="769A5BDD" w14:textId="76B48716" w:rsidR="00407C23" w:rsidRPr="00A9036D" w:rsidRDefault="00407C23">
      <w:pPr>
        <w:pStyle w:val="Listeafsnit"/>
        <w:numPr>
          <w:ilvl w:val="0"/>
          <w:numId w:val="117"/>
        </w:num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Inddragelse af tilladelse efter </w:t>
      </w:r>
      <w:r w:rsidR="00605AF9">
        <w:rPr>
          <w:rFonts w:ascii="Times New Roman" w:hAnsi="Times New Roman" w:cs="Times New Roman"/>
          <w:sz w:val="24"/>
          <w:szCs w:val="24"/>
        </w:rPr>
        <w:fldChar w:fldCharType="begin"/>
      </w:r>
      <w:r w:rsidR="00605AF9">
        <w:rPr>
          <w:rFonts w:ascii="Times New Roman" w:hAnsi="Times New Roman" w:cs="Times New Roman"/>
          <w:sz w:val="24"/>
          <w:szCs w:val="24"/>
        </w:rPr>
        <w:instrText xml:space="preserve"> REF _Ref239165562 \r \h </w:instrText>
      </w:r>
      <w:r w:rsidR="00605AF9">
        <w:rPr>
          <w:rFonts w:ascii="Times New Roman" w:hAnsi="Times New Roman" w:cs="Times New Roman"/>
          <w:sz w:val="24"/>
          <w:szCs w:val="24"/>
        </w:rPr>
      </w:r>
      <w:r w:rsidR="00605AF9">
        <w:rPr>
          <w:rFonts w:ascii="Times New Roman" w:hAnsi="Times New Roman" w:cs="Times New Roman"/>
          <w:sz w:val="24"/>
          <w:szCs w:val="24"/>
        </w:rPr>
        <w:fldChar w:fldCharType="separate"/>
      </w:r>
      <w:r w:rsidR="008F29E5">
        <w:rPr>
          <w:rFonts w:ascii="Times New Roman" w:hAnsi="Times New Roman" w:cs="Times New Roman"/>
          <w:sz w:val="24"/>
          <w:szCs w:val="24"/>
        </w:rPr>
        <w:t>§ 46</w:t>
      </w:r>
      <w:r w:rsidR="00605AF9">
        <w:rPr>
          <w:rFonts w:ascii="Times New Roman" w:hAnsi="Times New Roman" w:cs="Times New Roman"/>
          <w:sz w:val="24"/>
          <w:szCs w:val="24"/>
        </w:rPr>
        <w:fldChar w:fldCharType="end"/>
      </w:r>
      <w:r w:rsidRPr="00A9036D">
        <w:rPr>
          <w:rFonts w:ascii="Times New Roman" w:hAnsi="Times New Roman" w:cs="Times New Roman"/>
          <w:sz w:val="24"/>
          <w:szCs w:val="24"/>
        </w:rPr>
        <w:t xml:space="preserve">, nr. 4, 5 eller 7, og registrering efter </w:t>
      </w:r>
      <w:r w:rsidR="00605AF9">
        <w:rPr>
          <w:rFonts w:ascii="Times New Roman" w:hAnsi="Times New Roman" w:cs="Times New Roman"/>
          <w:sz w:val="24"/>
          <w:szCs w:val="24"/>
        </w:rPr>
        <w:fldChar w:fldCharType="begin"/>
      </w:r>
      <w:r w:rsidR="00605AF9">
        <w:rPr>
          <w:rFonts w:ascii="Times New Roman" w:hAnsi="Times New Roman" w:cs="Times New Roman"/>
          <w:sz w:val="24"/>
          <w:szCs w:val="24"/>
        </w:rPr>
        <w:instrText xml:space="preserve"> REF _Ref244852380 \r \h </w:instrText>
      </w:r>
      <w:r w:rsidR="00605AF9">
        <w:rPr>
          <w:rFonts w:ascii="Times New Roman" w:hAnsi="Times New Roman" w:cs="Times New Roman"/>
          <w:sz w:val="24"/>
          <w:szCs w:val="24"/>
        </w:rPr>
      </w:r>
      <w:r w:rsidR="00605AF9">
        <w:rPr>
          <w:rFonts w:ascii="Times New Roman" w:hAnsi="Times New Roman" w:cs="Times New Roman"/>
          <w:sz w:val="24"/>
          <w:szCs w:val="24"/>
        </w:rPr>
        <w:fldChar w:fldCharType="separate"/>
      </w:r>
      <w:r w:rsidR="008F29E5">
        <w:rPr>
          <w:rFonts w:ascii="Times New Roman" w:hAnsi="Times New Roman" w:cs="Times New Roman"/>
          <w:sz w:val="24"/>
          <w:szCs w:val="24"/>
        </w:rPr>
        <w:t>§ 52</w:t>
      </w:r>
      <w:r w:rsidR="00605AF9">
        <w:rPr>
          <w:rFonts w:ascii="Times New Roman" w:hAnsi="Times New Roman" w:cs="Times New Roman"/>
          <w:sz w:val="24"/>
          <w:szCs w:val="24"/>
        </w:rPr>
        <w:fldChar w:fldCharType="end"/>
      </w:r>
      <w:r w:rsidRPr="00A9036D">
        <w:rPr>
          <w:rFonts w:ascii="Times New Roman" w:hAnsi="Times New Roman" w:cs="Times New Roman"/>
          <w:sz w:val="24"/>
          <w:szCs w:val="24"/>
        </w:rPr>
        <w:t>, nr. 4, 5 eller 7, samt overtrædelser af forbuddet mod at udøve virksomhed uden tilladelse eller registrering, jf. §</w:t>
      </w:r>
      <w:r w:rsidR="00605AF9">
        <w:rPr>
          <w:rFonts w:ascii="Times New Roman" w:hAnsi="Times New Roman" w:cs="Times New Roman"/>
          <w:sz w:val="24"/>
          <w:szCs w:val="24"/>
        </w:rPr>
        <w:fldChar w:fldCharType="begin"/>
      </w:r>
      <w:r w:rsidR="00605AF9">
        <w:rPr>
          <w:rFonts w:ascii="Times New Roman" w:hAnsi="Times New Roman" w:cs="Times New Roman"/>
          <w:sz w:val="24"/>
          <w:szCs w:val="24"/>
        </w:rPr>
        <w:instrText xml:space="preserve"> REF _Ref232596532 \r \h </w:instrText>
      </w:r>
      <w:r w:rsidR="00605AF9">
        <w:rPr>
          <w:rFonts w:ascii="Times New Roman" w:hAnsi="Times New Roman" w:cs="Times New Roman"/>
          <w:sz w:val="24"/>
          <w:szCs w:val="24"/>
        </w:rPr>
      </w:r>
      <w:r w:rsidR="00605AF9">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00605AF9">
        <w:rPr>
          <w:rFonts w:ascii="Times New Roman" w:hAnsi="Times New Roman" w:cs="Times New Roman"/>
          <w:sz w:val="24"/>
          <w:szCs w:val="24"/>
        </w:rPr>
        <w:fldChar w:fldCharType="end"/>
      </w:r>
      <w:r w:rsidR="00605AF9">
        <w:rPr>
          <w:rFonts w:ascii="Times New Roman" w:hAnsi="Times New Roman" w:cs="Times New Roman"/>
          <w:sz w:val="24"/>
          <w:szCs w:val="24"/>
        </w:rPr>
        <w:t xml:space="preserve"> </w:t>
      </w:r>
      <w:r w:rsidRPr="00A9036D">
        <w:rPr>
          <w:rFonts w:ascii="Times New Roman" w:hAnsi="Times New Roman" w:cs="Times New Roman"/>
          <w:sz w:val="24"/>
          <w:szCs w:val="24"/>
        </w:rPr>
        <w:t xml:space="preserve">og </w:t>
      </w:r>
      <w:r w:rsidR="00605AF9">
        <w:rPr>
          <w:rFonts w:ascii="Times New Roman" w:hAnsi="Times New Roman" w:cs="Times New Roman"/>
          <w:sz w:val="24"/>
          <w:szCs w:val="24"/>
        </w:rPr>
        <w:fldChar w:fldCharType="begin"/>
      </w:r>
      <w:r w:rsidR="00605AF9">
        <w:rPr>
          <w:rFonts w:ascii="Times New Roman" w:hAnsi="Times New Roman" w:cs="Times New Roman"/>
          <w:sz w:val="24"/>
          <w:szCs w:val="24"/>
        </w:rPr>
        <w:instrText xml:space="preserve"> REF _Ref243467920 \r \h </w:instrText>
      </w:r>
      <w:r w:rsidR="00605AF9">
        <w:rPr>
          <w:rFonts w:ascii="Times New Roman" w:hAnsi="Times New Roman" w:cs="Times New Roman"/>
          <w:sz w:val="24"/>
          <w:szCs w:val="24"/>
        </w:rPr>
      </w:r>
      <w:r w:rsidR="00605AF9">
        <w:rPr>
          <w:rFonts w:ascii="Times New Roman" w:hAnsi="Times New Roman" w:cs="Times New Roman"/>
          <w:sz w:val="24"/>
          <w:szCs w:val="24"/>
        </w:rPr>
        <w:fldChar w:fldCharType="separate"/>
      </w:r>
      <w:r w:rsidR="008F29E5">
        <w:rPr>
          <w:rFonts w:ascii="Times New Roman" w:hAnsi="Times New Roman" w:cs="Times New Roman"/>
          <w:sz w:val="24"/>
          <w:szCs w:val="24"/>
        </w:rPr>
        <w:t>47</w:t>
      </w:r>
      <w:r w:rsidR="00605AF9">
        <w:rPr>
          <w:rFonts w:ascii="Times New Roman" w:hAnsi="Times New Roman" w:cs="Times New Roman"/>
          <w:sz w:val="24"/>
          <w:szCs w:val="24"/>
        </w:rPr>
        <w:fldChar w:fldCharType="end"/>
      </w:r>
      <w:r w:rsidR="00C04F53">
        <w:rPr>
          <w:rFonts w:ascii="Times New Roman" w:hAnsi="Times New Roman" w:cs="Times New Roman"/>
          <w:sz w:val="24"/>
          <w:szCs w:val="24"/>
        </w:rPr>
        <w:t>.</w:t>
      </w:r>
    </w:p>
    <w:p w14:paraId="74AC884A" w14:textId="0B85EEC3" w:rsidR="00605AF9" w:rsidRPr="00A9036D" w:rsidRDefault="00605AF9">
      <w:pPr>
        <w:pStyle w:val="Listeafsnit"/>
        <w:numPr>
          <w:ilvl w:val="0"/>
          <w:numId w:val="117"/>
        </w:num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Tvangsbøder meddelt i henhold til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_Ref244804875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135</w:t>
      </w:r>
      <w:r>
        <w:rPr>
          <w:rFonts w:ascii="Times New Roman" w:hAnsi="Times New Roman" w:cs="Times New Roman"/>
          <w:sz w:val="24"/>
          <w:szCs w:val="24"/>
        </w:rPr>
        <w:fldChar w:fldCharType="end"/>
      </w:r>
      <w:r w:rsidR="00464142">
        <w:rPr>
          <w:rFonts w:ascii="Times New Roman" w:hAnsi="Times New Roman" w:cs="Times New Roman"/>
          <w:sz w:val="24"/>
          <w:szCs w:val="24"/>
        </w:rPr>
        <w:t xml:space="preserve"> </w:t>
      </w:r>
      <w:r w:rsidRPr="00A9036D">
        <w:rPr>
          <w:rFonts w:ascii="Times New Roman" w:hAnsi="Times New Roman" w:cs="Times New Roman"/>
          <w:sz w:val="24"/>
          <w:szCs w:val="24"/>
        </w:rPr>
        <w:t>og tvangsbødens størrelse.</w:t>
      </w:r>
    </w:p>
    <w:p w14:paraId="641EAFB7" w14:textId="555F76F3"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001148AB">
        <w:rPr>
          <w:rFonts w:ascii="Times New Roman" w:hAnsi="Times New Roman" w:cs="Times New Roman"/>
          <w:i/>
          <w:iCs/>
          <w:sz w:val="24"/>
          <w:szCs w:val="24"/>
        </w:rPr>
        <w:t xml:space="preserve"> </w:t>
      </w:r>
      <w:r w:rsidR="001148AB" w:rsidRPr="00A9036D">
        <w:rPr>
          <w:rFonts w:ascii="Times New Roman" w:hAnsi="Times New Roman" w:cs="Times New Roman"/>
          <w:sz w:val="24"/>
          <w:szCs w:val="24"/>
        </w:rPr>
        <w:t>Finanstilsynet kan beslutte, at offentliggørelse efter stk. 1, nr. 2-5, skal ske i form af et resumé.</w:t>
      </w:r>
    </w:p>
    <w:p w14:paraId="0847EE3A" w14:textId="01C83650"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9B26C5" w:rsidRPr="00A9036D">
        <w:rPr>
          <w:rFonts w:ascii="Times New Roman" w:hAnsi="Times New Roman" w:cs="Times New Roman"/>
          <w:sz w:val="24"/>
          <w:szCs w:val="24"/>
        </w:rPr>
        <w:t>Finanstilsynet skal i sager, som ikke er omfattet af stk. 1, med angivelse af virksomhedens eller personens navn offentliggøre reaktioner efter §</w:t>
      </w:r>
      <w:r w:rsidR="00FC3AEF">
        <w:rPr>
          <w:rFonts w:ascii="Times New Roman" w:hAnsi="Times New Roman" w:cs="Times New Roman"/>
          <w:sz w:val="24"/>
          <w:szCs w:val="24"/>
        </w:rPr>
        <w:fldChar w:fldCharType="begin"/>
      </w:r>
      <w:r w:rsidR="00FC3AEF">
        <w:rPr>
          <w:rFonts w:ascii="Times New Roman" w:hAnsi="Times New Roman" w:cs="Times New Roman"/>
          <w:sz w:val="24"/>
          <w:szCs w:val="24"/>
        </w:rPr>
        <w:instrText xml:space="preserve"> REF _Ref232596584 \r \h </w:instrText>
      </w:r>
      <w:r w:rsidR="00FC3AEF">
        <w:rPr>
          <w:rFonts w:ascii="Times New Roman" w:hAnsi="Times New Roman" w:cs="Times New Roman"/>
          <w:sz w:val="24"/>
          <w:szCs w:val="24"/>
        </w:rPr>
      </w:r>
      <w:r w:rsidR="00FC3AEF">
        <w:rPr>
          <w:rFonts w:ascii="Times New Roman" w:hAnsi="Times New Roman" w:cs="Times New Roman"/>
          <w:sz w:val="24"/>
          <w:szCs w:val="24"/>
        </w:rPr>
        <w:fldChar w:fldCharType="separate"/>
      </w:r>
      <w:r w:rsidR="008F29E5">
        <w:rPr>
          <w:rFonts w:ascii="Times New Roman" w:hAnsi="Times New Roman" w:cs="Times New Roman"/>
          <w:sz w:val="24"/>
          <w:szCs w:val="24"/>
        </w:rPr>
        <w:t>§ 42</w:t>
      </w:r>
      <w:r w:rsidR="00FC3AEF">
        <w:rPr>
          <w:rFonts w:ascii="Times New Roman" w:hAnsi="Times New Roman" w:cs="Times New Roman"/>
          <w:sz w:val="24"/>
          <w:szCs w:val="24"/>
        </w:rPr>
        <w:fldChar w:fldCharType="end"/>
      </w:r>
      <w:r w:rsidR="009B26C5" w:rsidRPr="00A9036D">
        <w:rPr>
          <w:rFonts w:ascii="Times New Roman" w:hAnsi="Times New Roman" w:cs="Times New Roman"/>
          <w:sz w:val="24"/>
          <w:szCs w:val="24"/>
        </w:rPr>
        <w:t xml:space="preserve">, </w:t>
      </w:r>
      <w:r w:rsidR="00FC3AEF">
        <w:rPr>
          <w:rFonts w:ascii="Times New Roman" w:hAnsi="Times New Roman" w:cs="Times New Roman"/>
          <w:sz w:val="24"/>
          <w:szCs w:val="24"/>
        </w:rPr>
        <w:fldChar w:fldCharType="begin"/>
      </w:r>
      <w:r w:rsidR="00FC3AEF">
        <w:rPr>
          <w:rFonts w:ascii="Times New Roman" w:hAnsi="Times New Roman" w:cs="Times New Roman"/>
          <w:sz w:val="24"/>
          <w:szCs w:val="24"/>
        </w:rPr>
        <w:instrText xml:space="preserve"> REF _Ref244852380 \r \h </w:instrText>
      </w:r>
      <w:r w:rsidR="00FC3AEF">
        <w:rPr>
          <w:rFonts w:ascii="Times New Roman" w:hAnsi="Times New Roman" w:cs="Times New Roman"/>
          <w:sz w:val="24"/>
          <w:szCs w:val="24"/>
        </w:rPr>
      </w:r>
      <w:r w:rsidR="00FC3AEF">
        <w:rPr>
          <w:rFonts w:ascii="Times New Roman" w:hAnsi="Times New Roman" w:cs="Times New Roman"/>
          <w:sz w:val="24"/>
          <w:szCs w:val="24"/>
        </w:rPr>
        <w:fldChar w:fldCharType="separate"/>
      </w:r>
      <w:r w:rsidR="008F29E5">
        <w:rPr>
          <w:rFonts w:ascii="Times New Roman" w:hAnsi="Times New Roman" w:cs="Times New Roman"/>
          <w:sz w:val="24"/>
          <w:szCs w:val="24"/>
        </w:rPr>
        <w:t>52</w:t>
      </w:r>
      <w:r w:rsidR="00FC3AEF">
        <w:rPr>
          <w:rFonts w:ascii="Times New Roman" w:hAnsi="Times New Roman" w:cs="Times New Roman"/>
          <w:sz w:val="24"/>
          <w:szCs w:val="24"/>
        </w:rPr>
        <w:fldChar w:fldCharType="end"/>
      </w:r>
      <w:r w:rsidR="009B26C5" w:rsidRPr="00A9036D">
        <w:rPr>
          <w:rFonts w:ascii="Times New Roman" w:hAnsi="Times New Roman" w:cs="Times New Roman"/>
          <w:sz w:val="24"/>
          <w:szCs w:val="24"/>
        </w:rPr>
        <w:t xml:space="preserve"> og </w:t>
      </w:r>
      <w:r w:rsidR="009B26C5">
        <w:rPr>
          <w:rFonts w:ascii="Times New Roman" w:hAnsi="Times New Roman" w:cs="Times New Roman"/>
          <w:sz w:val="24"/>
          <w:szCs w:val="24"/>
        </w:rPr>
        <w:fldChar w:fldCharType="begin"/>
      </w:r>
      <w:r w:rsidR="009B26C5">
        <w:rPr>
          <w:rFonts w:ascii="Times New Roman" w:hAnsi="Times New Roman" w:cs="Times New Roman"/>
          <w:sz w:val="24"/>
          <w:szCs w:val="24"/>
        </w:rPr>
        <w:instrText xml:space="preserve"> REF _Ref239151441 \r \h </w:instrText>
      </w:r>
      <w:r w:rsidR="009B26C5">
        <w:rPr>
          <w:rFonts w:ascii="Times New Roman" w:hAnsi="Times New Roman" w:cs="Times New Roman"/>
          <w:sz w:val="24"/>
          <w:szCs w:val="24"/>
        </w:rPr>
      </w:r>
      <w:r w:rsidR="009B26C5">
        <w:rPr>
          <w:rFonts w:ascii="Times New Roman" w:hAnsi="Times New Roman" w:cs="Times New Roman"/>
          <w:sz w:val="24"/>
          <w:szCs w:val="24"/>
        </w:rPr>
        <w:fldChar w:fldCharType="separate"/>
      </w:r>
      <w:r w:rsidR="008F29E5">
        <w:rPr>
          <w:rFonts w:ascii="Times New Roman" w:hAnsi="Times New Roman" w:cs="Times New Roman"/>
          <w:sz w:val="24"/>
          <w:szCs w:val="24"/>
        </w:rPr>
        <w:t>63</w:t>
      </w:r>
      <w:r w:rsidR="009B26C5">
        <w:rPr>
          <w:rFonts w:ascii="Times New Roman" w:hAnsi="Times New Roman" w:cs="Times New Roman"/>
          <w:sz w:val="24"/>
          <w:szCs w:val="24"/>
        </w:rPr>
        <w:fldChar w:fldCharType="end"/>
      </w:r>
      <w:r w:rsidR="009B26C5" w:rsidRPr="00A9036D">
        <w:rPr>
          <w:rFonts w:ascii="Times New Roman" w:hAnsi="Times New Roman" w:cs="Times New Roman"/>
          <w:sz w:val="24"/>
          <w:szCs w:val="24"/>
        </w:rPr>
        <w:t>-</w:t>
      </w:r>
      <w:r w:rsidR="009B26C5">
        <w:rPr>
          <w:rFonts w:ascii="Times New Roman" w:hAnsi="Times New Roman" w:cs="Times New Roman"/>
          <w:sz w:val="24"/>
          <w:szCs w:val="24"/>
        </w:rPr>
        <w:fldChar w:fldCharType="begin"/>
      </w:r>
      <w:r w:rsidR="009B26C5">
        <w:rPr>
          <w:rFonts w:ascii="Times New Roman" w:hAnsi="Times New Roman" w:cs="Times New Roman"/>
          <w:sz w:val="24"/>
          <w:szCs w:val="24"/>
        </w:rPr>
        <w:instrText xml:space="preserve"> REF _Ref232597333 \r \h </w:instrText>
      </w:r>
      <w:r w:rsidR="009B26C5">
        <w:rPr>
          <w:rFonts w:ascii="Times New Roman" w:hAnsi="Times New Roman" w:cs="Times New Roman"/>
          <w:sz w:val="24"/>
          <w:szCs w:val="24"/>
        </w:rPr>
      </w:r>
      <w:r w:rsidR="009B26C5">
        <w:rPr>
          <w:rFonts w:ascii="Times New Roman" w:hAnsi="Times New Roman" w:cs="Times New Roman"/>
          <w:sz w:val="24"/>
          <w:szCs w:val="24"/>
        </w:rPr>
        <w:fldChar w:fldCharType="separate"/>
      </w:r>
      <w:r w:rsidR="008F29E5">
        <w:rPr>
          <w:rFonts w:ascii="Times New Roman" w:hAnsi="Times New Roman" w:cs="Times New Roman"/>
          <w:sz w:val="24"/>
          <w:szCs w:val="24"/>
        </w:rPr>
        <w:t>67</w:t>
      </w:r>
      <w:r w:rsidR="009B26C5">
        <w:rPr>
          <w:rFonts w:ascii="Times New Roman" w:hAnsi="Times New Roman" w:cs="Times New Roman"/>
          <w:sz w:val="24"/>
          <w:szCs w:val="24"/>
        </w:rPr>
        <w:fldChar w:fldCharType="end"/>
      </w:r>
      <w:r w:rsidR="009B26C5" w:rsidRPr="00A9036D">
        <w:rPr>
          <w:rFonts w:ascii="Times New Roman" w:hAnsi="Times New Roman" w:cs="Times New Roman"/>
          <w:sz w:val="24"/>
          <w:szCs w:val="24"/>
        </w:rPr>
        <w:t>, jf. §</w:t>
      </w:r>
      <w:r w:rsidR="009B26C5">
        <w:rPr>
          <w:rFonts w:ascii="Times New Roman" w:hAnsi="Times New Roman" w:cs="Times New Roman"/>
          <w:sz w:val="24"/>
          <w:szCs w:val="24"/>
        </w:rPr>
        <w:fldChar w:fldCharType="begin"/>
      </w:r>
      <w:r w:rsidR="009B26C5">
        <w:rPr>
          <w:rFonts w:ascii="Times New Roman" w:hAnsi="Times New Roman" w:cs="Times New Roman"/>
          <w:sz w:val="24"/>
          <w:szCs w:val="24"/>
        </w:rPr>
        <w:instrText xml:space="preserve"> REF _Ref240026750 \r \h </w:instrText>
      </w:r>
      <w:r w:rsidR="009B26C5">
        <w:rPr>
          <w:rFonts w:ascii="Times New Roman" w:hAnsi="Times New Roman" w:cs="Times New Roman"/>
          <w:sz w:val="24"/>
          <w:szCs w:val="24"/>
        </w:rPr>
      </w:r>
      <w:r w:rsidR="009B26C5">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9B26C5">
        <w:rPr>
          <w:rFonts w:ascii="Times New Roman" w:hAnsi="Times New Roman" w:cs="Times New Roman"/>
          <w:sz w:val="24"/>
          <w:szCs w:val="24"/>
        </w:rPr>
        <w:fldChar w:fldCharType="end"/>
      </w:r>
      <w:r w:rsidR="009B26C5" w:rsidRPr="00A9036D">
        <w:rPr>
          <w:rFonts w:ascii="Times New Roman" w:hAnsi="Times New Roman" w:cs="Times New Roman"/>
          <w:sz w:val="24"/>
          <w:szCs w:val="24"/>
        </w:rPr>
        <w:t>-</w:t>
      </w:r>
      <w:r w:rsidR="009B26C5">
        <w:rPr>
          <w:rFonts w:ascii="Times New Roman" w:hAnsi="Times New Roman" w:cs="Times New Roman"/>
          <w:sz w:val="24"/>
          <w:szCs w:val="24"/>
        </w:rPr>
        <w:fldChar w:fldCharType="begin"/>
      </w:r>
      <w:r w:rsidR="009B26C5">
        <w:rPr>
          <w:rFonts w:ascii="Times New Roman" w:hAnsi="Times New Roman" w:cs="Times New Roman"/>
          <w:sz w:val="24"/>
          <w:szCs w:val="24"/>
        </w:rPr>
        <w:instrText xml:space="preserve"> REF _Ref232597084 \r \h </w:instrText>
      </w:r>
      <w:r w:rsidR="009B26C5">
        <w:rPr>
          <w:rFonts w:ascii="Times New Roman" w:hAnsi="Times New Roman" w:cs="Times New Roman"/>
          <w:sz w:val="24"/>
          <w:szCs w:val="24"/>
        </w:rPr>
      </w:r>
      <w:r w:rsidR="009B26C5">
        <w:rPr>
          <w:rFonts w:ascii="Times New Roman" w:hAnsi="Times New Roman" w:cs="Times New Roman"/>
          <w:sz w:val="24"/>
          <w:szCs w:val="24"/>
        </w:rPr>
        <w:fldChar w:fldCharType="separate"/>
      </w:r>
      <w:r w:rsidR="008F29E5">
        <w:rPr>
          <w:rFonts w:ascii="Times New Roman" w:hAnsi="Times New Roman" w:cs="Times New Roman"/>
          <w:sz w:val="24"/>
          <w:szCs w:val="24"/>
        </w:rPr>
        <w:t xml:space="preserve"> 56</w:t>
      </w:r>
      <w:r w:rsidR="009B26C5">
        <w:rPr>
          <w:rFonts w:ascii="Times New Roman" w:hAnsi="Times New Roman" w:cs="Times New Roman"/>
          <w:sz w:val="24"/>
          <w:szCs w:val="24"/>
        </w:rPr>
        <w:fldChar w:fldCharType="end"/>
      </w:r>
      <w:r w:rsidR="009B26C5" w:rsidRPr="00A9036D">
        <w:rPr>
          <w:rFonts w:ascii="Times New Roman" w:hAnsi="Times New Roman" w:cs="Times New Roman"/>
          <w:sz w:val="24"/>
          <w:szCs w:val="24"/>
        </w:rPr>
        <w:t>, jf. dog §</w:t>
      </w:r>
      <w:r w:rsidR="00BC2490">
        <w:rPr>
          <w:rFonts w:ascii="Times New Roman" w:hAnsi="Times New Roman" w:cs="Times New Roman"/>
          <w:sz w:val="24"/>
          <w:szCs w:val="24"/>
        </w:rPr>
        <w:fldChar w:fldCharType="begin"/>
      </w:r>
      <w:r w:rsidR="00BC2490">
        <w:rPr>
          <w:rFonts w:ascii="Times New Roman" w:hAnsi="Times New Roman" w:cs="Times New Roman"/>
          <w:sz w:val="24"/>
          <w:szCs w:val="24"/>
        </w:rPr>
        <w:instrText xml:space="preserve"> REF _Ref232597480 \r \h </w:instrText>
      </w:r>
      <w:r w:rsidR="00BC2490">
        <w:rPr>
          <w:rFonts w:ascii="Times New Roman" w:hAnsi="Times New Roman" w:cs="Times New Roman"/>
          <w:sz w:val="24"/>
          <w:szCs w:val="24"/>
        </w:rPr>
      </w:r>
      <w:r w:rsidR="00BC2490">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BC2490">
        <w:rPr>
          <w:rFonts w:ascii="Times New Roman" w:hAnsi="Times New Roman" w:cs="Times New Roman"/>
          <w:sz w:val="24"/>
          <w:szCs w:val="24"/>
        </w:rPr>
        <w:fldChar w:fldCharType="end"/>
      </w:r>
      <w:r w:rsidR="00BC2490">
        <w:rPr>
          <w:rFonts w:ascii="Times New Roman" w:hAnsi="Times New Roman" w:cs="Times New Roman"/>
          <w:sz w:val="24"/>
          <w:szCs w:val="24"/>
        </w:rPr>
        <w:t xml:space="preserve"> </w:t>
      </w:r>
      <w:r w:rsidR="009B26C5" w:rsidRPr="00A9036D">
        <w:rPr>
          <w:rFonts w:ascii="Times New Roman" w:hAnsi="Times New Roman" w:cs="Times New Roman"/>
          <w:sz w:val="24"/>
          <w:szCs w:val="24"/>
        </w:rPr>
        <w:t xml:space="preserve">og </w:t>
      </w:r>
      <w:r w:rsidR="00BC2490">
        <w:rPr>
          <w:rFonts w:ascii="Times New Roman" w:hAnsi="Times New Roman" w:cs="Times New Roman"/>
          <w:sz w:val="24"/>
          <w:szCs w:val="24"/>
        </w:rPr>
        <w:fldChar w:fldCharType="begin"/>
      </w:r>
      <w:r w:rsidR="00BC2490">
        <w:rPr>
          <w:rFonts w:ascii="Times New Roman" w:hAnsi="Times New Roman" w:cs="Times New Roman"/>
          <w:sz w:val="24"/>
          <w:szCs w:val="24"/>
        </w:rPr>
        <w:instrText xml:space="preserve"> REF _Ref232597505 \r \h </w:instrText>
      </w:r>
      <w:r w:rsidR="00BC2490">
        <w:rPr>
          <w:rFonts w:ascii="Times New Roman" w:hAnsi="Times New Roman" w:cs="Times New Roman"/>
          <w:sz w:val="24"/>
          <w:szCs w:val="24"/>
        </w:rPr>
      </w:r>
      <w:r w:rsidR="00BC2490">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BC2490">
        <w:rPr>
          <w:rFonts w:ascii="Times New Roman" w:hAnsi="Times New Roman" w:cs="Times New Roman"/>
          <w:sz w:val="24"/>
          <w:szCs w:val="24"/>
        </w:rPr>
        <w:fldChar w:fldCharType="end"/>
      </w:r>
      <w:r w:rsidR="009B26C5" w:rsidRPr="00A9036D">
        <w:rPr>
          <w:rFonts w:ascii="Times New Roman" w:hAnsi="Times New Roman" w:cs="Times New Roman"/>
          <w:sz w:val="24"/>
          <w:szCs w:val="24"/>
        </w:rPr>
        <w:t>.</w:t>
      </w:r>
    </w:p>
    <w:p w14:paraId="4A8AEC61" w14:textId="7658E444"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4. </w:t>
      </w:r>
      <w:r w:rsidRPr="00796736">
        <w:rPr>
          <w:rFonts w:ascii="Times New Roman" w:hAnsi="Times New Roman" w:cs="Times New Roman"/>
          <w:sz w:val="24"/>
          <w:szCs w:val="24"/>
        </w:rPr>
        <w:t xml:space="preserve">Finanstilsynet kan offentliggøre en redegørelse om Finanstilsynets praksis efter </w:t>
      </w:r>
      <w:r w:rsidR="007E6C0B" w:rsidRPr="00796736">
        <w:rPr>
          <w:rFonts w:ascii="Times New Roman" w:hAnsi="Times New Roman" w:cs="Times New Roman"/>
          <w:sz w:val="24"/>
          <w:szCs w:val="24"/>
        </w:rPr>
        <w:fldChar w:fldCharType="begin"/>
      </w:r>
      <w:r w:rsidR="007E6C0B" w:rsidRPr="00796736">
        <w:rPr>
          <w:rFonts w:ascii="Times New Roman" w:hAnsi="Times New Roman" w:cs="Times New Roman"/>
          <w:sz w:val="24"/>
          <w:szCs w:val="24"/>
        </w:rPr>
        <w:instrText xml:space="preserve"> REF _Ref232596808 \r \h </w:instrText>
      </w:r>
      <w:r w:rsidR="00F375BF" w:rsidRPr="00796736">
        <w:rPr>
          <w:rFonts w:ascii="Times New Roman" w:hAnsi="Times New Roman" w:cs="Times New Roman"/>
          <w:sz w:val="24"/>
          <w:szCs w:val="24"/>
        </w:rPr>
        <w:instrText xml:space="preserve"> \* MERGEFORMAT </w:instrText>
      </w:r>
      <w:r w:rsidR="007E6C0B" w:rsidRPr="00796736">
        <w:rPr>
          <w:rFonts w:ascii="Times New Roman" w:hAnsi="Times New Roman" w:cs="Times New Roman"/>
          <w:sz w:val="24"/>
          <w:szCs w:val="24"/>
        </w:rPr>
      </w:r>
      <w:r w:rsidR="007E6C0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7E6C0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w:t>
      </w:r>
      <w:r w:rsidR="007E6C0B" w:rsidRPr="00796736">
        <w:rPr>
          <w:rFonts w:ascii="Times New Roman" w:hAnsi="Times New Roman" w:cs="Times New Roman"/>
          <w:sz w:val="24"/>
          <w:szCs w:val="24"/>
        </w:rPr>
        <w:fldChar w:fldCharType="begin"/>
      </w:r>
      <w:r w:rsidR="007E6C0B" w:rsidRPr="00796736">
        <w:rPr>
          <w:rFonts w:ascii="Times New Roman" w:hAnsi="Times New Roman" w:cs="Times New Roman"/>
          <w:sz w:val="24"/>
          <w:szCs w:val="24"/>
        </w:rPr>
        <w:instrText xml:space="preserve"> REF _Ref232596960 \r \h </w:instrText>
      </w:r>
      <w:r w:rsidR="00F375BF" w:rsidRPr="00796736">
        <w:rPr>
          <w:rFonts w:ascii="Times New Roman" w:hAnsi="Times New Roman" w:cs="Times New Roman"/>
          <w:sz w:val="24"/>
          <w:szCs w:val="24"/>
        </w:rPr>
        <w:instrText xml:space="preserve"> \* MERGEFORMAT </w:instrText>
      </w:r>
      <w:r w:rsidR="007E6C0B" w:rsidRPr="00796736">
        <w:rPr>
          <w:rFonts w:ascii="Times New Roman" w:hAnsi="Times New Roman" w:cs="Times New Roman"/>
          <w:sz w:val="24"/>
          <w:szCs w:val="24"/>
        </w:rPr>
      </w:r>
      <w:r w:rsidR="007E6C0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7E6C0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i det omfang der er sager, som er relevante for at øge transparensen om Finanstilsynets praksis ved egnethedsvurderinger.</w:t>
      </w:r>
    </w:p>
    <w:p w14:paraId="4338767A" w14:textId="77777777" w:rsidR="00327FF0" w:rsidRPr="00796736" w:rsidRDefault="00327FF0" w:rsidP="0053178C">
      <w:pPr>
        <w:spacing w:line="360" w:lineRule="auto"/>
        <w:ind w:firstLine="238"/>
        <w:rPr>
          <w:rFonts w:ascii="Times New Roman" w:hAnsi="Times New Roman" w:cs="Times New Roman"/>
          <w:sz w:val="24"/>
          <w:szCs w:val="24"/>
        </w:rPr>
      </w:pPr>
    </w:p>
    <w:p w14:paraId="071FF85A" w14:textId="20B1761B" w:rsidR="00327FF0" w:rsidRPr="00796736" w:rsidRDefault="00327FF0" w:rsidP="0053178C">
      <w:pPr>
        <w:pStyle w:val="Typografi1"/>
        <w:ind w:left="0" w:firstLine="238"/>
        <w:rPr>
          <w:rFonts w:ascii="Times New Roman" w:hAnsi="Times New Roman" w:cs="Times New Roman"/>
          <w:sz w:val="24"/>
          <w:szCs w:val="24"/>
        </w:rPr>
      </w:pPr>
      <w:bookmarkStart w:id="255" w:name="_Ref239793719"/>
      <w:bookmarkStart w:id="256" w:name="_Toc244879053"/>
      <w:bookmarkStart w:id="257" w:name="_Toc244880577"/>
      <w:r w:rsidRPr="00796736">
        <w:rPr>
          <w:rFonts w:ascii="Times New Roman" w:hAnsi="Times New Roman" w:cs="Times New Roman"/>
          <w:sz w:val="24"/>
          <w:szCs w:val="24"/>
        </w:rPr>
        <w:t xml:space="preserve">Indbringes en reaktion m.v., der offentliggøres i henhold til </w:t>
      </w:r>
      <w:r w:rsidR="007E6C0B" w:rsidRPr="00796736">
        <w:rPr>
          <w:rFonts w:ascii="Times New Roman" w:hAnsi="Times New Roman" w:cs="Times New Roman"/>
          <w:sz w:val="24"/>
          <w:szCs w:val="24"/>
        </w:rPr>
        <w:fldChar w:fldCharType="begin"/>
      </w:r>
      <w:r w:rsidR="007E6C0B" w:rsidRPr="00796736">
        <w:rPr>
          <w:rFonts w:ascii="Times New Roman" w:hAnsi="Times New Roman" w:cs="Times New Roman"/>
          <w:sz w:val="24"/>
          <w:szCs w:val="24"/>
        </w:rPr>
        <w:instrText xml:space="preserve"> REF _Ref239790471 \r \h </w:instrText>
      </w:r>
      <w:r w:rsidR="00F375BF" w:rsidRPr="00796736">
        <w:rPr>
          <w:rFonts w:ascii="Times New Roman" w:hAnsi="Times New Roman" w:cs="Times New Roman"/>
          <w:sz w:val="24"/>
          <w:szCs w:val="24"/>
        </w:rPr>
        <w:instrText xml:space="preserve"> \* MERGEFORMAT </w:instrText>
      </w:r>
      <w:r w:rsidR="007E6C0B" w:rsidRPr="00796736">
        <w:rPr>
          <w:rFonts w:ascii="Times New Roman" w:hAnsi="Times New Roman" w:cs="Times New Roman"/>
          <w:sz w:val="24"/>
          <w:szCs w:val="24"/>
        </w:rPr>
      </w:r>
      <w:r w:rsidR="007E6C0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68</w:t>
      </w:r>
      <w:r w:rsidR="007E6C0B" w:rsidRPr="00796736">
        <w:rPr>
          <w:rFonts w:ascii="Times New Roman" w:hAnsi="Times New Roman" w:cs="Times New Roman"/>
          <w:sz w:val="24"/>
          <w:szCs w:val="24"/>
        </w:rPr>
        <w:fldChar w:fldCharType="end"/>
      </w:r>
      <w:r w:rsidR="000914ED">
        <w:rPr>
          <w:rFonts w:ascii="Times New Roman" w:hAnsi="Times New Roman" w:cs="Times New Roman"/>
          <w:sz w:val="24"/>
          <w:szCs w:val="24"/>
        </w:rPr>
        <w:t>,</w:t>
      </w:r>
      <w:r w:rsidRPr="00796736">
        <w:rPr>
          <w:rFonts w:ascii="Times New Roman" w:hAnsi="Times New Roman" w:cs="Times New Roman"/>
          <w:sz w:val="24"/>
          <w:szCs w:val="24"/>
        </w:rPr>
        <w:t xml:space="preserve"> regler udstedt i medfør heraf </w:t>
      </w:r>
      <w:r w:rsidR="0094735F">
        <w:rPr>
          <w:rFonts w:ascii="Times New Roman" w:hAnsi="Times New Roman" w:cs="Times New Roman"/>
          <w:sz w:val="24"/>
          <w:szCs w:val="24"/>
        </w:rPr>
        <w:t>eller</w:t>
      </w:r>
      <w:r w:rsidRPr="00796736">
        <w:rPr>
          <w:rFonts w:ascii="Times New Roman" w:hAnsi="Times New Roman" w:cs="Times New Roman"/>
          <w:sz w:val="24"/>
          <w:szCs w:val="24"/>
        </w:rPr>
        <w:t xml:space="preserve"> </w:t>
      </w:r>
      <w:r w:rsidR="00F93E25" w:rsidRPr="00796736">
        <w:rPr>
          <w:rFonts w:ascii="Times New Roman" w:hAnsi="Times New Roman" w:cs="Times New Roman"/>
          <w:sz w:val="24"/>
          <w:szCs w:val="24"/>
        </w:rPr>
        <w:fldChar w:fldCharType="begin"/>
      </w:r>
      <w:r w:rsidR="00F93E25"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F93E25" w:rsidRPr="00796736">
        <w:rPr>
          <w:rFonts w:ascii="Times New Roman" w:hAnsi="Times New Roman" w:cs="Times New Roman"/>
          <w:sz w:val="24"/>
          <w:szCs w:val="24"/>
        </w:rPr>
      </w:r>
      <w:r w:rsidR="00F93E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93E25" w:rsidRPr="00796736">
        <w:rPr>
          <w:rFonts w:ascii="Times New Roman" w:hAnsi="Times New Roman" w:cs="Times New Roman"/>
          <w:sz w:val="24"/>
          <w:szCs w:val="24"/>
        </w:rPr>
        <w:fldChar w:fldCharType="end"/>
      </w:r>
      <w:r w:rsidR="00F93E25" w:rsidRPr="00796736">
        <w:rPr>
          <w:rFonts w:ascii="Times New Roman" w:hAnsi="Times New Roman" w:cs="Times New Roman"/>
          <w:sz w:val="24"/>
          <w:szCs w:val="24"/>
        </w:rPr>
        <w:t xml:space="preserve"> </w:t>
      </w:r>
      <w:r w:rsidRPr="00796736">
        <w:rPr>
          <w:rFonts w:ascii="Times New Roman" w:hAnsi="Times New Roman" w:cs="Times New Roman"/>
          <w:sz w:val="24"/>
          <w:szCs w:val="24"/>
        </w:rPr>
        <w:t>for Erhvervsankenævnet eller domstolene, skal dette fremgå af offentliggørelsen. Status og det efterfølgende resultat af Erhvervsankenævnets eller domstolenes afgørelse skal ligeledes offentliggøres på Finanstilsynets hjemmeside hurtigst muligt.</w:t>
      </w:r>
      <w:bookmarkEnd w:id="255"/>
      <w:bookmarkEnd w:id="256"/>
      <w:bookmarkEnd w:id="257"/>
    </w:p>
    <w:p w14:paraId="70874073" w14:textId="77777777" w:rsidR="00327FF0" w:rsidRPr="00796736" w:rsidRDefault="00327FF0" w:rsidP="0053178C">
      <w:pPr>
        <w:spacing w:line="360" w:lineRule="auto"/>
        <w:ind w:firstLine="238"/>
        <w:rPr>
          <w:rFonts w:ascii="Times New Roman" w:hAnsi="Times New Roman" w:cs="Times New Roman"/>
          <w:sz w:val="24"/>
          <w:szCs w:val="24"/>
        </w:rPr>
      </w:pPr>
    </w:p>
    <w:p w14:paraId="0FC07EFB" w14:textId="28AF8C07" w:rsidR="00327FF0" w:rsidRPr="00796736" w:rsidRDefault="00327FF0" w:rsidP="0053178C">
      <w:pPr>
        <w:pStyle w:val="Typografi1"/>
        <w:ind w:left="0" w:firstLine="238"/>
        <w:rPr>
          <w:rFonts w:ascii="Times New Roman" w:hAnsi="Times New Roman" w:cs="Times New Roman"/>
          <w:sz w:val="24"/>
          <w:szCs w:val="24"/>
        </w:rPr>
      </w:pPr>
      <w:bookmarkStart w:id="258" w:name="_Ref232597455"/>
      <w:bookmarkStart w:id="259" w:name="_Toc244879054"/>
      <w:bookmarkStart w:id="260" w:name="_Toc244880578"/>
      <w:r w:rsidRPr="00796736">
        <w:rPr>
          <w:rFonts w:ascii="Times New Roman" w:hAnsi="Times New Roman" w:cs="Times New Roman"/>
          <w:sz w:val="24"/>
          <w:szCs w:val="24"/>
        </w:rPr>
        <w:t xml:space="preserve">Er en sag overgivet til politimæssig efterforskning, og er der faldet helt eller delvis fældende dom eller vedtaget bøde, eller er en sag afgjort med vedtagelse af administrativt bødeforelæg, skal der ske offentliggørelse af dommen, bødevedtagelsen eller et resumé heraf, jf. dog </w:t>
      </w:r>
      <w:r w:rsidR="00F5243C">
        <w:rPr>
          <w:rFonts w:ascii="Times New Roman" w:hAnsi="Times New Roman" w:cs="Times New Roman"/>
          <w:sz w:val="24"/>
          <w:szCs w:val="24"/>
        </w:rPr>
        <w:fldChar w:fldCharType="begin"/>
      </w:r>
      <w:r w:rsidR="00F5243C">
        <w:rPr>
          <w:rFonts w:ascii="Times New Roman" w:hAnsi="Times New Roman" w:cs="Times New Roman"/>
          <w:sz w:val="24"/>
          <w:szCs w:val="24"/>
        </w:rPr>
        <w:instrText xml:space="preserve"> REF _Ref232597480 \r \h </w:instrText>
      </w:r>
      <w:r w:rsidR="00F5243C">
        <w:rPr>
          <w:rFonts w:ascii="Times New Roman" w:hAnsi="Times New Roman" w:cs="Times New Roman"/>
          <w:sz w:val="24"/>
          <w:szCs w:val="24"/>
        </w:rPr>
      </w:r>
      <w:r w:rsidR="00F5243C">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F5243C">
        <w:rPr>
          <w:rFonts w:ascii="Times New Roman" w:hAnsi="Times New Roman" w:cs="Times New Roman"/>
          <w:sz w:val="24"/>
          <w:szCs w:val="24"/>
        </w:rPr>
        <w:fldChar w:fldCharType="end"/>
      </w:r>
      <w:r w:rsidRPr="00796736">
        <w:rPr>
          <w:rFonts w:ascii="Times New Roman" w:hAnsi="Times New Roman" w:cs="Times New Roman"/>
          <w:sz w:val="24"/>
          <w:szCs w:val="24"/>
        </w:rPr>
        <w:t>. Er dommen ikke endelig, eller er den anket eller påklaget, skal dette fremgå af offentliggørelsen.</w:t>
      </w:r>
      <w:bookmarkEnd w:id="258"/>
      <w:bookmarkEnd w:id="259"/>
      <w:bookmarkEnd w:id="260"/>
    </w:p>
    <w:p w14:paraId="66D418C1" w14:textId="7A4FD6E4" w:rsidR="00327FF0" w:rsidRPr="00796736" w:rsidRDefault="00327FF0"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I sager, hvor Finanstilsynet har offentliggjort en beslutning om at overgive en sag til politimæssig efterforskning efter </w:t>
      </w:r>
      <w:r w:rsidR="00CE3797" w:rsidRPr="00796736">
        <w:rPr>
          <w:rFonts w:ascii="Times New Roman" w:hAnsi="Times New Roman" w:cs="Times New Roman"/>
          <w:sz w:val="24"/>
          <w:szCs w:val="24"/>
        </w:rPr>
        <w:fldChar w:fldCharType="begin"/>
      </w:r>
      <w:r w:rsidR="00CE3797" w:rsidRPr="00796736">
        <w:rPr>
          <w:rFonts w:ascii="Times New Roman" w:hAnsi="Times New Roman" w:cs="Times New Roman"/>
          <w:sz w:val="24"/>
          <w:szCs w:val="24"/>
        </w:rPr>
        <w:instrText xml:space="preserve"> REF _Ref239790980 \r \h </w:instrText>
      </w:r>
      <w:r w:rsidR="00AB17CC" w:rsidRPr="00796736">
        <w:rPr>
          <w:rFonts w:ascii="Times New Roman" w:hAnsi="Times New Roman" w:cs="Times New Roman"/>
          <w:sz w:val="24"/>
          <w:szCs w:val="24"/>
        </w:rPr>
        <w:instrText xml:space="preserve"> \* MERGEFORMAT </w:instrText>
      </w:r>
      <w:r w:rsidR="00CE3797" w:rsidRPr="00796736">
        <w:rPr>
          <w:rFonts w:ascii="Times New Roman" w:hAnsi="Times New Roman" w:cs="Times New Roman"/>
          <w:sz w:val="24"/>
          <w:szCs w:val="24"/>
        </w:rPr>
      </w:r>
      <w:r w:rsidR="00CE379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CE379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3, og der træffes afgørelse om påtaleopgivelse eller tiltalefrafald eller afsiges frifindende dom, skal Finanstilsynet efter anmodning fra den virksomhed eller person, som sagen vedrører, offentliggøre oplysninger herom. Virksomheden eller personen skal indsende en kopi af afgørelsen om påtaleopgivelse eller tiltalefrafald eller en kopi af dommen til Finanstilsynet samtidig med anmodning om offentliggørelse. Er påtaleopgivelsen, tiltalefrafaldet eller dommen ikke endelig, skal det fremgå af offentliggørelsen. Modtager Finanstilsynet dokumentation for, at sagen er afsluttet ved endelig påtaleopgivelse eller endeligt tiltalefrafald eller afsigelse af endelig frifindende dom, skal Finanstilsynet fjerne alle oplysninger om beslutningen om at overgive sagen til politimæssig efterforskning og eventuelle efterfølgende domme i sagen fra Finanstilsynets hjemmeside.</w:t>
      </w:r>
    </w:p>
    <w:p w14:paraId="26A20065" w14:textId="77777777" w:rsidR="00F867D8" w:rsidRPr="00796736" w:rsidRDefault="00F867D8" w:rsidP="0053178C">
      <w:pPr>
        <w:spacing w:line="360" w:lineRule="auto"/>
        <w:ind w:firstLine="238"/>
        <w:rPr>
          <w:rFonts w:ascii="Times New Roman" w:hAnsi="Times New Roman" w:cs="Times New Roman"/>
          <w:sz w:val="24"/>
          <w:szCs w:val="24"/>
        </w:rPr>
      </w:pPr>
    </w:p>
    <w:p w14:paraId="0C3662F3" w14:textId="78B4C3DF" w:rsidR="008D723F" w:rsidRPr="00796736" w:rsidRDefault="008D723F"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Begrænsninger for Finanstilsynets offentliggørelse</w:t>
      </w:r>
      <w:r w:rsidR="00793B8C">
        <w:rPr>
          <w:rFonts w:ascii="Times New Roman" w:hAnsi="Times New Roman" w:cs="Times New Roman"/>
          <w:i/>
          <w:iCs/>
          <w:sz w:val="24"/>
          <w:szCs w:val="24"/>
        </w:rPr>
        <w:t xml:space="preserve"> af reaktioner m.v.</w:t>
      </w:r>
    </w:p>
    <w:p w14:paraId="1D7EBAAD" w14:textId="175DAFAA" w:rsidR="008D723F" w:rsidRPr="00796736" w:rsidRDefault="008D723F" w:rsidP="0053178C">
      <w:pPr>
        <w:pStyle w:val="Typografi1"/>
        <w:ind w:left="0" w:firstLine="238"/>
        <w:rPr>
          <w:rFonts w:ascii="Times New Roman" w:hAnsi="Times New Roman" w:cs="Times New Roman"/>
          <w:sz w:val="24"/>
          <w:szCs w:val="24"/>
        </w:rPr>
      </w:pPr>
      <w:bookmarkStart w:id="261" w:name="_Ref232597480"/>
      <w:bookmarkStart w:id="262" w:name="_Toc244879055"/>
      <w:bookmarkStart w:id="263" w:name="_Toc244880579"/>
      <w:r w:rsidRPr="00796736">
        <w:rPr>
          <w:rFonts w:ascii="Times New Roman" w:hAnsi="Times New Roman" w:cs="Times New Roman"/>
          <w:sz w:val="24"/>
          <w:szCs w:val="24"/>
        </w:rPr>
        <w:t xml:space="preserve">Offentliggørelse efter </w:t>
      </w:r>
      <w:r w:rsidR="00F93E25" w:rsidRPr="00796736">
        <w:rPr>
          <w:rFonts w:ascii="Times New Roman" w:hAnsi="Times New Roman" w:cs="Times New Roman"/>
          <w:sz w:val="24"/>
          <w:szCs w:val="24"/>
        </w:rPr>
        <w:fldChar w:fldCharType="begin"/>
      </w:r>
      <w:r w:rsidR="00F93E25"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F93E25" w:rsidRPr="00796736">
        <w:rPr>
          <w:rFonts w:ascii="Times New Roman" w:hAnsi="Times New Roman" w:cs="Times New Roman"/>
          <w:sz w:val="24"/>
          <w:szCs w:val="24"/>
        </w:rPr>
      </w:r>
      <w:r w:rsidR="00F93E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93E25" w:rsidRPr="00796736">
        <w:rPr>
          <w:rFonts w:ascii="Times New Roman" w:hAnsi="Times New Roman" w:cs="Times New Roman"/>
          <w:sz w:val="24"/>
          <w:szCs w:val="24"/>
        </w:rPr>
        <w:fldChar w:fldCharType="end"/>
      </w:r>
      <w:r w:rsidR="00350BDB">
        <w:rPr>
          <w:rFonts w:ascii="Times New Roman" w:hAnsi="Times New Roman" w:cs="Times New Roman"/>
          <w:sz w:val="24"/>
          <w:szCs w:val="24"/>
        </w:rPr>
        <w:t xml:space="preserve"> og </w:t>
      </w:r>
      <w:r w:rsidR="00350BDB">
        <w:rPr>
          <w:rFonts w:ascii="Times New Roman" w:hAnsi="Times New Roman" w:cs="Times New Roman"/>
          <w:sz w:val="24"/>
          <w:szCs w:val="24"/>
        </w:rPr>
        <w:fldChar w:fldCharType="begin"/>
      </w:r>
      <w:r w:rsidR="00350BDB">
        <w:rPr>
          <w:rFonts w:ascii="Times New Roman" w:hAnsi="Times New Roman" w:cs="Times New Roman"/>
          <w:sz w:val="24"/>
          <w:szCs w:val="24"/>
        </w:rPr>
        <w:instrText xml:space="preserve"> REF _Ref232597455 \r \h </w:instrText>
      </w:r>
      <w:r w:rsidR="00350BDB">
        <w:rPr>
          <w:rFonts w:ascii="Times New Roman" w:hAnsi="Times New Roman" w:cs="Times New Roman"/>
          <w:sz w:val="24"/>
          <w:szCs w:val="24"/>
        </w:rPr>
      </w:r>
      <w:r w:rsidR="00350BDB">
        <w:rPr>
          <w:rFonts w:ascii="Times New Roman" w:hAnsi="Times New Roman" w:cs="Times New Roman"/>
          <w:sz w:val="24"/>
          <w:szCs w:val="24"/>
        </w:rPr>
        <w:fldChar w:fldCharType="separate"/>
      </w:r>
      <w:r w:rsidR="008F29E5">
        <w:rPr>
          <w:rFonts w:ascii="Times New Roman" w:hAnsi="Times New Roman" w:cs="Times New Roman"/>
          <w:sz w:val="24"/>
          <w:szCs w:val="24"/>
        </w:rPr>
        <w:t>§ 71</w:t>
      </w:r>
      <w:r w:rsidR="00350BDB">
        <w:rPr>
          <w:rFonts w:ascii="Times New Roman" w:hAnsi="Times New Roman" w:cs="Times New Roman"/>
          <w:sz w:val="24"/>
          <w:szCs w:val="24"/>
        </w:rPr>
        <w:fldChar w:fldCharType="end"/>
      </w:r>
      <w:r w:rsidR="00F93E25" w:rsidRPr="00796736">
        <w:rPr>
          <w:rFonts w:ascii="Times New Roman" w:hAnsi="Times New Roman" w:cs="Times New Roman"/>
          <w:sz w:val="24"/>
          <w:szCs w:val="24"/>
        </w:rPr>
        <w:t xml:space="preserve"> </w:t>
      </w:r>
      <w:r w:rsidRPr="00796736">
        <w:rPr>
          <w:rFonts w:ascii="Times New Roman" w:hAnsi="Times New Roman" w:cs="Times New Roman"/>
          <w:sz w:val="24"/>
          <w:szCs w:val="24"/>
        </w:rPr>
        <w:t>kan ikke ske, hvis</w:t>
      </w:r>
      <w:bookmarkEnd w:id="261"/>
      <w:bookmarkEnd w:id="262"/>
      <w:bookmarkEnd w:id="263"/>
    </w:p>
    <w:p w14:paraId="21CC53BE" w14:textId="77777777" w:rsidR="008D723F" w:rsidRPr="00796736" w:rsidRDefault="008D723F">
      <w:pPr>
        <w:pStyle w:val="Listeafsnit"/>
        <w:numPr>
          <w:ilvl w:val="0"/>
          <w:numId w:val="89"/>
        </w:numPr>
        <w:spacing w:line="360" w:lineRule="auto"/>
        <w:rPr>
          <w:rFonts w:ascii="Times New Roman" w:hAnsi="Times New Roman" w:cs="Times New Roman"/>
          <w:sz w:val="24"/>
          <w:szCs w:val="24"/>
        </w:rPr>
      </w:pPr>
      <w:r w:rsidRPr="00796736">
        <w:rPr>
          <w:rFonts w:ascii="Times New Roman" w:hAnsi="Times New Roman" w:cs="Times New Roman"/>
          <w:sz w:val="24"/>
          <w:szCs w:val="24"/>
        </w:rPr>
        <w:t>det vil medføre uforholdsmæssig stor skade for virksomheden,</w:t>
      </w:r>
    </w:p>
    <w:p w14:paraId="36B57225" w14:textId="77777777" w:rsidR="008D723F" w:rsidRPr="00796736" w:rsidRDefault="008D723F">
      <w:pPr>
        <w:pStyle w:val="Listeafsnit"/>
        <w:numPr>
          <w:ilvl w:val="0"/>
          <w:numId w:val="89"/>
        </w:numPr>
        <w:spacing w:line="360" w:lineRule="auto"/>
        <w:rPr>
          <w:rFonts w:ascii="Times New Roman" w:hAnsi="Times New Roman" w:cs="Times New Roman"/>
          <w:sz w:val="24"/>
          <w:szCs w:val="24"/>
        </w:rPr>
      </w:pPr>
      <w:r w:rsidRPr="00796736">
        <w:rPr>
          <w:rFonts w:ascii="Times New Roman" w:hAnsi="Times New Roman" w:cs="Times New Roman"/>
          <w:sz w:val="24"/>
          <w:szCs w:val="24"/>
        </w:rPr>
        <w:t>det vil bringe de finansielle markeders stabilitet i fare eller</w:t>
      </w:r>
    </w:p>
    <w:p w14:paraId="69E8D246" w14:textId="77777777" w:rsidR="008D723F" w:rsidRPr="00796736" w:rsidRDefault="008D723F">
      <w:pPr>
        <w:pStyle w:val="Listeafsnit"/>
        <w:numPr>
          <w:ilvl w:val="0"/>
          <w:numId w:val="89"/>
        </w:numPr>
        <w:spacing w:line="360" w:lineRule="auto"/>
        <w:rPr>
          <w:rFonts w:ascii="Times New Roman" w:hAnsi="Times New Roman" w:cs="Times New Roman"/>
          <w:sz w:val="24"/>
          <w:szCs w:val="24"/>
        </w:rPr>
      </w:pPr>
      <w:r w:rsidRPr="00796736">
        <w:rPr>
          <w:rFonts w:ascii="Times New Roman" w:hAnsi="Times New Roman" w:cs="Times New Roman"/>
          <w:sz w:val="24"/>
          <w:szCs w:val="24"/>
        </w:rPr>
        <w:t>efterforskningsmæssige hensyn taler imod offentliggørelse.</w:t>
      </w:r>
    </w:p>
    <w:p w14:paraId="23D7C9A8" w14:textId="7F571FF4"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Offentliggørelsen efter </w:t>
      </w:r>
      <w:r w:rsidR="00F93E25" w:rsidRPr="00796736">
        <w:rPr>
          <w:rFonts w:ascii="Times New Roman" w:hAnsi="Times New Roman" w:cs="Times New Roman"/>
          <w:sz w:val="24"/>
          <w:szCs w:val="24"/>
        </w:rPr>
        <w:fldChar w:fldCharType="begin"/>
      </w:r>
      <w:r w:rsidR="00F93E25"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F93E25" w:rsidRPr="00796736">
        <w:rPr>
          <w:rFonts w:ascii="Times New Roman" w:hAnsi="Times New Roman" w:cs="Times New Roman"/>
          <w:sz w:val="24"/>
          <w:szCs w:val="24"/>
        </w:rPr>
      </w:r>
      <w:r w:rsidR="00F93E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93E25" w:rsidRPr="00796736">
        <w:rPr>
          <w:rFonts w:ascii="Times New Roman" w:hAnsi="Times New Roman" w:cs="Times New Roman"/>
          <w:sz w:val="24"/>
          <w:szCs w:val="24"/>
        </w:rPr>
        <w:fldChar w:fldCharType="end"/>
      </w:r>
      <w:r w:rsidR="00350BDB">
        <w:rPr>
          <w:rFonts w:ascii="Times New Roman" w:hAnsi="Times New Roman" w:cs="Times New Roman"/>
          <w:sz w:val="24"/>
          <w:szCs w:val="24"/>
        </w:rPr>
        <w:t xml:space="preserve"> og </w:t>
      </w:r>
      <w:r w:rsidR="00350BDB">
        <w:rPr>
          <w:rFonts w:ascii="Times New Roman" w:hAnsi="Times New Roman" w:cs="Times New Roman"/>
          <w:sz w:val="24"/>
          <w:szCs w:val="24"/>
        </w:rPr>
        <w:fldChar w:fldCharType="begin"/>
      </w:r>
      <w:r w:rsidR="00350BDB">
        <w:rPr>
          <w:rFonts w:ascii="Times New Roman" w:hAnsi="Times New Roman" w:cs="Times New Roman"/>
          <w:sz w:val="24"/>
          <w:szCs w:val="24"/>
        </w:rPr>
        <w:instrText xml:space="preserve"> REF _Ref232597455 \r \h </w:instrText>
      </w:r>
      <w:r w:rsidR="00350BDB">
        <w:rPr>
          <w:rFonts w:ascii="Times New Roman" w:hAnsi="Times New Roman" w:cs="Times New Roman"/>
          <w:sz w:val="24"/>
          <w:szCs w:val="24"/>
        </w:rPr>
      </w:r>
      <w:r w:rsidR="00350BDB">
        <w:rPr>
          <w:rFonts w:ascii="Times New Roman" w:hAnsi="Times New Roman" w:cs="Times New Roman"/>
          <w:sz w:val="24"/>
          <w:szCs w:val="24"/>
        </w:rPr>
        <w:fldChar w:fldCharType="separate"/>
      </w:r>
      <w:r w:rsidR="008F29E5">
        <w:rPr>
          <w:rFonts w:ascii="Times New Roman" w:hAnsi="Times New Roman" w:cs="Times New Roman"/>
          <w:sz w:val="24"/>
          <w:szCs w:val="24"/>
        </w:rPr>
        <w:t>§ 71</w:t>
      </w:r>
      <w:r w:rsidR="00350BDB">
        <w:rPr>
          <w:rFonts w:ascii="Times New Roman" w:hAnsi="Times New Roman" w:cs="Times New Roman"/>
          <w:sz w:val="24"/>
          <w:szCs w:val="24"/>
        </w:rPr>
        <w:fldChar w:fldCharType="end"/>
      </w:r>
      <w:r w:rsidR="006723A1">
        <w:rPr>
          <w:rFonts w:ascii="Times New Roman" w:hAnsi="Times New Roman" w:cs="Times New Roman"/>
          <w:sz w:val="24"/>
          <w:szCs w:val="24"/>
        </w:rPr>
        <w:t xml:space="preserve"> </w:t>
      </w:r>
      <w:r w:rsidRPr="00796736">
        <w:rPr>
          <w:rFonts w:ascii="Times New Roman" w:hAnsi="Times New Roman" w:cs="Times New Roman"/>
          <w:sz w:val="24"/>
          <w:szCs w:val="24"/>
        </w:rPr>
        <w:t>må ikke indeholde</w:t>
      </w:r>
    </w:p>
    <w:p w14:paraId="144D2859" w14:textId="77777777" w:rsidR="0042556A" w:rsidRPr="00796736" w:rsidRDefault="0042556A">
      <w:pPr>
        <w:pStyle w:val="Listeafsnit"/>
        <w:numPr>
          <w:ilvl w:val="0"/>
          <w:numId w:val="88"/>
        </w:numPr>
        <w:spacing w:line="360" w:lineRule="auto"/>
        <w:rPr>
          <w:rFonts w:ascii="Times New Roman" w:hAnsi="Times New Roman" w:cs="Times New Roman"/>
          <w:sz w:val="24"/>
          <w:szCs w:val="24"/>
        </w:rPr>
      </w:pPr>
      <w:r w:rsidRPr="00796736">
        <w:rPr>
          <w:rFonts w:ascii="Times New Roman" w:hAnsi="Times New Roman" w:cs="Times New Roman"/>
          <w:sz w:val="24"/>
          <w:szCs w:val="24"/>
        </w:rPr>
        <w:t>fortrolige oplysninger om kundeforhold eller oplysninger omfattet af bestemmelser i lov om offentlighed i forvaltningen om undtagelse af oplysninger om private forhold og drifts- eller forretningsforhold m.v. eller</w:t>
      </w:r>
    </w:p>
    <w:p w14:paraId="05EE101F" w14:textId="77777777" w:rsidR="008D723F" w:rsidRPr="00796736" w:rsidRDefault="008D723F">
      <w:pPr>
        <w:pStyle w:val="Listeafsnit"/>
        <w:numPr>
          <w:ilvl w:val="0"/>
          <w:numId w:val="88"/>
        </w:numPr>
        <w:spacing w:line="360" w:lineRule="auto"/>
        <w:rPr>
          <w:rFonts w:ascii="Times New Roman" w:hAnsi="Times New Roman" w:cs="Times New Roman"/>
          <w:sz w:val="24"/>
          <w:szCs w:val="24"/>
        </w:rPr>
      </w:pPr>
      <w:r w:rsidRPr="00796736">
        <w:rPr>
          <w:rFonts w:ascii="Times New Roman" w:hAnsi="Times New Roman" w:cs="Times New Roman"/>
          <w:sz w:val="24"/>
          <w:szCs w:val="24"/>
        </w:rPr>
        <w:t>fortrolige oplysninger, der hidrører fra finansielle tilsynsmyndigheder i andre lande inden for eller uden for Den Europæiske Union, medmindre de myndigheder, der har afgivet oplysningerne, har givet deres udtrykkelige tilladelse.</w:t>
      </w:r>
    </w:p>
    <w:p w14:paraId="18ED273E" w14:textId="282E7839" w:rsidR="008D723F" w:rsidRPr="00796736" w:rsidRDefault="008D723F" w:rsidP="0053178C">
      <w:pPr>
        <w:spacing w:line="360" w:lineRule="auto"/>
        <w:ind w:firstLine="238"/>
        <w:rPr>
          <w:rFonts w:ascii="Times New Roman" w:hAnsi="Times New Roman" w:cs="Times New Roman"/>
          <w:i/>
          <w:iCs/>
          <w:sz w:val="24"/>
          <w:szCs w:val="24"/>
        </w:rPr>
      </w:pPr>
      <w:r w:rsidRPr="00796736">
        <w:rPr>
          <w:rFonts w:ascii="Times New Roman" w:hAnsi="Times New Roman" w:cs="Times New Roman"/>
          <w:i/>
          <w:iCs/>
          <w:sz w:val="24"/>
          <w:szCs w:val="24"/>
        </w:rPr>
        <w:t xml:space="preserve">Stk. 3. </w:t>
      </w:r>
      <w:r w:rsidRPr="00796736">
        <w:rPr>
          <w:rFonts w:ascii="Times New Roman" w:hAnsi="Times New Roman" w:cs="Times New Roman"/>
          <w:sz w:val="24"/>
          <w:szCs w:val="24"/>
        </w:rPr>
        <w:t xml:space="preserve">Offentliggørelse efter </w:t>
      </w:r>
      <w:r w:rsidR="00F93E25" w:rsidRPr="00796736">
        <w:rPr>
          <w:rFonts w:ascii="Times New Roman" w:hAnsi="Times New Roman" w:cs="Times New Roman"/>
          <w:sz w:val="24"/>
          <w:szCs w:val="24"/>
        </w:rPr>
        <w:fldChar w:fldCharType="begin"/>
      </w:r>
      <w:r w:rsidR="00F93E25"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F93E25" w:rsidRPr="00796736">
        <w:rPr>
          <w:rFonts w:ascii="Times New Roman" w:hAnsi="Times New Roman" w:cs="Times New Roman"/>
          <w:sz w:val="24"/>
          <w:szCs w:val="24"/>
        </w:rPr>
      </w:r>
      <w:r w:rsidR="00F93E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93E25" w:rsidRPr="00796736">
        <w:rPr>
          <w:rFonts w:ascii="Times New Roman" w:hAnsi="Times New Roman" w:cs="Times New Roman"/>
          <w:sz w:val="24"/>
          <w:szCs w:val="24"/>
        </w:rPr>
        <w:fldChar w:fldCharType="end"/>
      </w:r>
      <w:r w:rsidR="00350BDB">
        <w:rPr>
          <w:rFonts w:ascii="Times New Roman" w:hAnsi="Times New Roman" w:cs="Times New Roman"/>
          <w:sz w:val="24"/>
          <w:szCs w:val="24"/>
        </w:rPr>
        <w:t xml:space="preserve"> og </w:t>
      </w:r>
      <w:r w:rsidR="00350BDB">
        <w:rPr>
          <w:rFonts w:ascii="Times New Roman" w:hAnsi="Times New Roman" w:cs="Times New Roman"/>
          <w:sz w:val="24"/>
          <w:szCs w:val="24"/>
        </w:rPr>
        <w:fldChar w:fldCharType="begin"/>
      </w:r>
      <w:r w:rsidR="00350BDB">
        <w:rPr>
          <w:rFonts w:ascii="Times New Roman" w:hAnsi="Times New Roman" w:cs="Times New Roman"/>
          <w:sz w:val="24"/>
          <w:szCs w:val="24"/>
        </w:rPr>
        <w:instrText xml:space="preserve"> REF _Ref232597455 \r \h </w:instrText>
      </w:r>
      <w:r w:rsidR="00350BDB">
        <w:rPr>
          <w:rFonts w:ascii="Times New Roman" w:hAnsi="Times New Roman" w:cs="Times New Roman"/>
          <w:sz w:val="24"/>
          <w:szCs w:val="24"/>
        </w:rPr>
      </w:r>
      <w:r w:rsidR="00350BDB">
        <w:rPr>
          <w:rFonts w:ascii="Times New Roman" w:hAnsi="Times New Roman" w:cs="Times New Roman"/>
          <w:sz w:val="24"/>
          <w:szCs w:val="24"/>
        </w:rPr>
        <w:fldChar w:fldCharType="separate"/>
      </w:r>
      <w:r w:rsidR="008F29E5">
        <w:rPr>
          <w:rFonts w:ascii="Times New Roman" w:hAnsi="Times New Roman" w:cs="Times New Roman"/>
          <w:sz w:val="24"/>
          <w:szCs w:val="24"/>
        </w:rPr>
        <w:t>§ 71</w:t>
      </w:r>
      <w:r w:rsidR="00350BDB">
        <w:rPr>
          <w:rFonts w:ascii="Times New Roman" w:hAnsi="Times New Roman" w:cs="Times New Roman"/>
          <w:sz w:val="24"/>
          <w:szCs w:val="24"/>
        </w:rPr>
        <w:fldChar w:fldCharType="end"/>
      </w:r>
      <w:r w:rsidR="00F93E25"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der omfatter en persons navn, kan alene ske ved alvorlige, gentagne eller systematiske overtrædelser af hvidvaskforordningen eller denne lov. </w:t>
      </w:r>
    </w:p>
    <w:p w14:paraId="5D072EEB" w14:textId="1AA37455"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Er offentliggørelse undladt i henhold til stk. 1, skal der ske offentliggørelse efter </w:t>
      </w:r>
      <w:r w:rsidR="00350BDB">
        <w:rPr>
          <w:rFonts w:ascii="Times New Roman" w:hAnsi="Times New Roman" w:cs="Times New Roman"/>
          <w:sz w:val="24"/>
          <w:szCs w:val="24"/>
        </w:rPr>
        <w:t>§</w:t>
      </w:r>
      <w:r w:rsidR="00F93E25" w:rsidRPr="00796736">
        <w:rPr>
          <w:rFonts w:ascii="Times New Roman" w:hAnsi="Times New Roman" w:cs="Times New Roman"/>
          <w:sz w:val="24"/>
          <w:szCs w:val="24"/>
        </w:rPr>
        <w:fldChar w:fldCharType="begin"/>
      </w:r>
      <w:r w:rsidR="00F93E25"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F93E25" w:rsidRPr="00796736">
        <w:rPr>
          <w:rFonts w:ascii="Times New Roman" w:hAnsi="Times New Roman" w:cs="Times New Roman"/>
          <w:sz w:val="24"/>
          <w:szCs w:val="24"/>
        </w:rPr>
      </w:r>
      <w:r w:rsidR="00F93E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93E25" w:rsidRPr="00796736">
        <w:rPr>
          <w:rFonts w:ascii="Times New Roman" w:hAnsi="Times New Roman" w:cs="Times New Roman"/>
          <w:sz w:val="24"/>
          <w:szCs w:val="24"/>
        </w:rPr>
        <w:fldChar w:fldCharType="end"/>
      </w:r>
      <w:r w:rsidR="00350BDB">
        <w:rPr>
          <w:rFonts w:ascii="Times New Roman" w:hAnsi="Times New Roman" w:cs="Times New Roman"/>
          <w:sz w:val="24"/>
          <w:szCs w:val="24"/>
        </w:rPr>
        <w:t xml:space="preserve"> og </w:t>
      </w:r>
      <w:r w:rsidR="00350BDB">
        <w:rPr>
          <w:rFonts w:ascii="Times New Roman" w:hAnsi="Times New Roman" w:cs="Times New Roman"/>
          <w:sz w:val="24"/>
          <w:szCs w:val="24"/>
        </w:rPr>
        <w:fldChar w:fldCharType="begin"/>
      </w:r>
      <w:r w:rsidR="00350BDB">
        <w:rPr>
          <w:rFonts w:ascii="Times New Roman" w:hAnsi="Times New Roman" w:cs="Times New Roman"/>
          <w:sz w:val="24"/>
          <w:szCs w:val="24"/>
        </w:rPr>
        <w:instrText xml:space="preserve"> REF _Ref232597455 \r \h </w:instrText>
      </w:r>
      <w:r w:rsidR="00350BDB">
        <w:rPr>
          <w:rFonts w:ascii="Times New Roman" w:hAnsi="Times New Roman" w:cs="Times New Roman"/>
          <w:sz w:val="24"/>
          <w:szCs w:val="24"/>
        </w:rPr>
      </w:r>
      <w:r w:rsidR="00350BDB">
        <w:rPr>
          <w:rFonts w:ascii="Times New Roman" w:hAnsi="Times New Roman" w:cs="Times New Roman"/>
          <w:sz w:val="24"/>
          <w:szCs w:val="24"/>
        </w:rPr>
        <w:fldChar w:fldCharType="separate"/>
      </w:r>
      <w:r w:rsidR="008F29E5">
        <w:rPr>
          <w:rFonts w:ascii="Times New Roman" w:hAnsi="Times New Roman" w:cs="Times New Roman"/>
          <w:sz w:val="24"/>
          <w:szCs w:val="24"/>
        </w:rPr>
        <w:t>71</w:t>
      </w:r>
      <w:r w:rsidR="00350BDB">
        <w:rPr>
          <w:rFonts w:ascii="Times New Roman" w:hAnsi="Times New Roman" w:cs="Times New Roman"/>
          <w:sz w:val="24"/>
          <w:szCs w:val="24"/>
        </w:rPr>
        <w:fldChar w:fldCharType="end"/>
      </w:r>
      <w:r w:rsidR="00F93E25" w:rsidRPr="00796736">
        <w:rPr>
          <w:rFonts w:ascii="Times New Roman" w:hAnsi="Times New Roman" w:cs="Times New Roman"/>
          <w:sz w:val="24"/>
          <w:szCs w:val="24"/>
        </w:rPr>
        <w:t xml:space="preserve"> </w:t>
      </w:r>
      <w:r w:rsidRPr="00796736">
        <w:rPr>
          <w:rFonts w:ascii="Times New Roman" w:hAnsi="Times New Roman" w:cs="Times New Roman"/>
          <w:sz w:val="24"/>
          <w:szCs w:val="24"/>
        </w:rPr>
        <w:t>når de hensyn, der nødvendiggjorde undladelsen, ikke længere er gældende. Dette gælder dog kun i op til 2 år efter datoen for reaktionen. Der skal alene ske offentliggørelse, hvis der ikke er sket påtaleopgivelse eller tiltalefrafald efter retsplejelovens regler.</w:t>
      </w:r>
    </w:p>
    <w:p w14:paraId="779FCC74" w14:textId="04BA4DA2"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Der skal ikke ske offentliggørelse af reaktioner efter </w:t>
      </w:r>
      <w:r w:rsidR="00F93E25" w:rsidRPr="00796736">
        <w:rPr>
          <w:rFonts w:ascii="Times New Roman" w:hAnsi="Times New Roman" w:cs="Times New Roman"/>
          <w:sz w:val="24"/>
          <w:szCs w:val="24"/>
        </w:rPr>
        <w:fldChar w:fldCharType="begin"/>
      </w:r>
      <w:r w:rsidR="00F93E25"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F93E25" w:rsidRPr="00796736">
        <w:rPr>
          <w:rFonts w:ascii="Times New Roman" w:hAnsi="Times New Roman" w:cs="Times New Roman"/>
          <w:sz w:val="24"/>
          <w:szCs w:val="24"/>
        </w:rPr>
      </w:r>
      <w:r w:rsidR="00F93E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93E25" w:rsidRPr="00796736">
        <w:rPr>
          <w:rFonts w:ascii="Times New Roman" w:hAnsi="Times New Roman" w:cs="Times New Roman"/>
          <w:sz w:val="24"/>
          <w:szCs w:val="24"/>
        </w:rPr>
        <w:fldChar w:fldCharType="end"/>
      </w:r>
      <w:r w:rsidR="00F93E25"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om kravene i </w:t>
      </w:r>
      <w:r w:rsidR="00CE3797" w:rsidRPr="00796736">
        <w:rPr>
          <w:rFonts w:ascii="Times New Roman" w:hAnsi="Times New Roman" w:cs="Times New Roman"/>
          <w:sz w:val="24"/>
          <w:szCs w:val="24"/>
        </w:rPr>
        <w:fldChar w:fldCharType="begin"/>
      </w:r>
      <w:r w:rsidR="00CE3797" w:rsidRPr="00796736">
        <w:rPr>
          <w:rFonts w:ascii="Times New Roman" w:hAnsi="Times New Roman" w:cs="Times New Roman"/>
          <w:sz w:val="24"/>
          <w:szCs w:val="24"/>
        </w:rPr>
        <w:instrText xml:space="preserve"> REF _Ref232596808 \r \h </w:instrText>
      </w:r>
      <w:r w:rsidR="00AB17CC" w:rsidRPr="00796736">
        <w:rPr>
          <w:rFonts w:ascii="Times New Roman" w:hAnsi="Times New Roman" w:cs="Times New Roman"/>
          <w:sz w:val="24"/>
          <w:szCs w:val="24"/>
        </w:rPr>
        <w:instrText xml:space="preserve"> \* MERGEFORMAT </w:instrText>
      </w:r>
      <w:r w:rsidR="00CE3797" w:rsidRPr="00796736">
        <w:rPr>
          <w:rFonts w:ascii="Times New Roman" w:hAnsi="Times New Roman" w:cs="Times New Roman"/>
          <w:sz w:val="24"/>
          <w:szCs w:val="24"/>
        </w:rPr>
      </w:r>
      <w:r w:rsidR="00CE379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CE3797" w:rsidRPr="00796736">
        <w:rPr>
          <w:rFonts w:ascii="Times New Roman" w:hAnsi="Times New Roman" w:cs="Times New Roman"/>
          <w:sz w:val="24"/>
          <w:szCs w:val="24"/>
        </w:rPr>
        <w:fldChar w:fldCharType="end"/>
      </w:r>
      <w:r w:rsidR="00350BDB">
        <w:rPr>
          <w:rFonts w:ascii="Times New Roman" w:hAnsi="Times New Roman" w:cs="Times New Roman"/>
          <w:sz w:val="24"/>
          <w:szCs w:val="24"/>
        </w:rPr>
        <w:t xml:space="preserve"> og </w:t>
      </w:r>
      <w:r w:rsidR="00350BDB">
        <w:rPr>
          <w:rFonts w:ascii="Times New Roman" w:hAnsi="Times New Roman" w:cs="Times New Roman"/>
          <w:sz w:val="24"/>
          <w:szCs w:val="24"/>
        </w:rPr>
        <w:fldChar w:fldCharType="begin"/>
      </w:r>
      <w:r w:rsidR="00350BDB">
        <w:rPr>
          <w:rFonts w:ascii="Times New Roman" w:hAnsi="Times New Roman" w:cs="Times New Roman"/>
          <w:sz w:val="24"/>
          <w:szCs w:val="24"/>
        </w:rPr>
        <w:instrText xml:space="preserve"> REF _Ref243927795 \r \h </w:instrText>
      </w:r>
      <w:r w:rsidR="00350BDB">
        <w:rPr>
          <w:rFonts w:ascii="Times New Roman" w:hAnsi="Times New Roman" w:cs="Times New Roman"/>
          <w:sz w:val="24"/>
          <w:szCs w:val="24"/>
        </w:rPr>
      </w:r>
      <w:r w:rsidR="00350BDB">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350BDB">
        <w:rPr>
          <w:rFonts w:ascii="Times New Roman" w:hAnsi="Times New Roman" w:cs="Times New Roman"/>
          <w:sz w:val="24"/>
          <w:szCs w:val="24"/>
        </w:rPr>
        <w:fldChar w:fldCharType="end"/>
      </w:r>
      <w:r w:rsidRPr="00796736">
        <w:rPr>
          <w:rFonts w:ascii="Times New Roman" w:hAnsi="Times New Roman" w:cs="Times New Roman"/>
          <w:sz w:val="24"/>
          <w:szCs w:val="24"/>
        </w:rPr>
        <w:t>, medmindre der er tale om reaktioner i medfør af § 65 på en overtrædelse af kravene, jf. dog stk. 1, nr. 1-3</w:t>
      </w:r>
      <w:r w:rsidR="00350BDB">
        <w:rPr>
          <w:rFonts w:ascii="Times New Roman" w:hAnsi="Times New Roman" w:cs="Times New Roman"/>
          <w:sz w:val="24"/>
          <w:szCs w:val="24"/>
        </w:rPr>
        <w:t>,</w:t>
      </w:r>
      <w:r w:rsidRPr="00796736">
        <w:rPr>
          <w:rFonts w:ascii="Times New Roman" w:hAnsi="Times New Roman" w:cs="Times New Roman"/>
          <w:sz w:val="24"/>
          <w:szCs w:val="24"/>
        </w:rPr>
        <w:t xml:space="preserve"> og stk. 2, nr. 1</w:t>
      </w:r>
      <w:r w:rsidR="00350BDB">
        <w:rPr>
          <w:rFonts w:ascii="Times New Roman" w:hAnsi="Times New Roman" w:cs="Times New Roman"/>
          <w:sz w:val="24"/>
          <w:szCs w:val="24"/>
        </w:rPr>
        <w:t xml:space="preserve"> og </w:t>
      </w:r>
      <w:r w:rsidRPr="00796736">
        <w:rPr>
          <w:rFonts w:ascii="Times New Roman" w:hAnsi="Times New Roman" w:cs="Times New Roman"/>
          <w:sz w:val="24"/>
          <w:szCs w:val="24"/>
        </w:rPr>
        <w:t xml:space="preserve">2. </w:t>
      </w:r>
    </w:p>
    <w:p w14:paraId="48736B3C" w14:textId="77777777" w:rsidR="008D723F" w:rsidRPr="00796736" w:rsidRDefault="008D723F" w:rsidP="0053178C">
      <w:pPr>
        <w:spacing w:line="360" w:lineRule="auto"/>
        <w:ind w:firstLine="238"/>
        <w:rPr>
          <w:rFonts w:ascii="Times New Roman" w:hAnsi="Times New Roman" w:cs="Times New Roman"/>
          <w:sz w:val="24"/>
          <w:szCs w:val="24"/>
        </w:rPr>
      </w:pPr>
    </w:p>
    <w:p w14:paraId="0EE5C89F" w14:textId="620AE241" w:rsidR="008D723F" w:rsidRPr="00796736" w:rsidRDefault="008D723F" w:rsidP="0053178C">
      <w:pPr>
        <w:pStyle w:val="Typografi1"/>
        <w:ind w:left="0" w:firstLine="238"/>
        <w:rPr>
          <w:rFonts w:ascii="Times New Roman" w:hAnsi="Times New Roman" w:cs="Times New Roman"/>
          <w:sz w:val="24"/>
          <w:szCs w:val="24"/>
        </w:rPr>
      </w:pPr>
      <w:bookmarkStart w:id="264" w:name="_Ref232597505"/>
      <w:bookmarkStart w:id="265" w:name="_Toc244879056"/>
      <w:bookmarkStart w:id="266" w:name="_Toc244880580"/>
      <w:r w:rsidRPr="00796736">
        <w:rPr>
          <w:rFonts w:ascii="Times New Roman" w:hAnsi="Times New Roman" w:cs="Times New Roman"/>
          <w:sz w:val="24"/>
          <w:szCs w:val="24"/>
        </w:rPr>
        <w:t xml:space="preserve">Offentliggørelse efter </w:t>
      </w:r>
      <w:r w:rsidR="00F93E25" w:rsidRPr="00796736">
        <w:rPr>
          <w:rFonts w:ascii="Times New Roman" w:hAnsi="Times New Roman" w:cs="Times New Roman"/>
          <w:sz w:val="24"/>
          <w:szCs w:val="24"/>
        </w:rPr>
        <w:fldChar w:fldCharType="begin"/>
      </w:r>
      <w:r w:rsidR="00F93E25"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F93E25" w:rsidRPr="00796736">
        <w:rPr>
          <w:rFonts w:ascii="Times New Roman" w:hAnsi="Times New Roman" w:cs="Times New Roman"/>
          <w:sz w:val="24"/>
          <w:szCs w:val="24"/>
        </w:rPr>
      </w:r>
      <w:r w:rsidR="00F93E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93E25" w:rsidRPr="00796736">
        <w:rPr>
          <w:rFonts w:ascii="Times New Roman" w:hAnsi="Times New Roman" w:cs="Times New Roman"/>
          <w:sz w:val="24"/>
          <w:szCs w:val="24"/>
        </w:rPr>
        <w:fldChar w:fldCharType="end"/>
      </w:r>
      <w:r w:rsidR="00F93E25" w:rsidRPr="00796736">
        <w:rPr>
          <w:rFonts w:ascii="Times New Roman" w:hAnsi="Times New Roman" w:cs="Times New Roman"/>
          <w:sz w:val="24"/>
          <w:szCs w:val="24"/>
        </w:rPr>
        <w:t xml:space="preserve"> </w:t>
      </w:r>
      <w:r w:rsidRPr="00796736">
        <w:rPr>
          <w:rFonts w:ascii="Times New Roman" w:hAnsi="Times New Roman" w:cs="Times New Roman"/>
          <w:sz w:val="24"/>
          <w:szCs w:val="24"/>
        </w:rPr>
        <w:t>skal ske i anonymiseret form i følgende tilfælde:</w:t>
      </w:r>
      <w:bookmarkEnd w:id="264"/>
      <w:bookmarkEnd w:id="265"/>
      <w:bookmarkEnd w:id="266"/>
    </w:p>
    <w:p w14:paraId="204E3DDA" w14:textId="77777777" w:rsidR="008D723F" w:rsidRPr="00796736" w:rsidRDefault="008D723F">
      <w:pPr>
        <w:pStyle w:val="Listeafsnit"/>
        <w:numPr>
          <w:ilvl w:val="0"/>
          <w:numId w:val="85"/>
        </w:numPr>
        <w:spacing w:line="360" w:lineRule="auto"/>
        <w:rPr>
          <w:rFonts w:ascii="Times New Roman" w:hAnsi="Times New Roman" w:cs="Times New Roman"/>
          <w:sz w:val="24"/>
          <w:szCs w:val="24"/>
        </w:rPr>
      </w:pPr>
      <w:r w:rsidRPr="00796736">
        <w:rPr>
          <w:rFonts w:ascii="Times New Roman" w:hAnsi="Times New Roman" w:cs="Times New Roman"/>
          <w:sz w:val="24"/>
          <w:szCs w:val="24"/>
        </w:rPr>
        <w:t>Offentliggørelsen i ikkeanonymiseret form vil medføre uforholdsmæssig stor skade for virksomheden eller personen.</w:t>
      </w:r>
    </w:p>
    <w:p w14:paraId="74A78F9C" w14:textId="77777777" w:rsidR="008D723F" w:rsidRPr="00796736" w:rsidRDefault="008D723F">
      <w:pPr>
        <w:pStyle w:val="Listeafsnit"/>
        <w:numPr>
          <w:ilvl w:val="0"/>
          <w:numId w:val="85"/>
        </w:numPr>
        <w:spacing w:line="360" w:lineRule="auto"/>
        <w:rPr>
          <w:rFonts w:ascii="Times New Roman" w:hAnsi="Times New Roman" w:cs="Times New Roman"/>
          <w:sz w:val="24"/>
          <w:szCs w:val="24"/>
        </w:rPr>
      </w:pPr>
      <w:r w:rsidRPr="00796736">
        <w:rPr>
          <w:rFonts w:ascii="Times New Roman" w:hAnsi="Times New Roman" w:cs="Times New Roman"/>
          <w:sz w:val="24"/>
          <w:szCs w:val="24"/>
        </w:rPr>
        <w:t>Efterforskningsmæssige hensyn taler imod offentliggørelse i ikkeanonymiseret form.</w:t>
      </w:r>
    </w:p>
    <w:p w14:paraId="5B3D5572" w14:textId="77777777" w:rsidR="008D723F" w:rsidRPr="00796736" w:rsidRDefault="008D723F">
      <w:pPr>
        <w:pStyle w:val="Listeafsnit"/>
        <w:numPr>
          <w:ilvl w:val="0"/>
          <w:numId w:val="85"/>
        </w:numPr>
        <w:spacing w:line="360" w:lineRule="auto"/>
        <w:rPr>
          <w:rFonts w:ascii="Times New Roman" w:hAnsi="Times New Roman" w:cs="Times New Roman"/>
          <w:sz w:val="24"/>
          <w:szCs w:val="24"/>
        </w:rPr>
      </w:pPr>
      <w:r w:rsidRPr="00796736">
        <w:rPr>
          <w:rFonts w:ascii="Times New Roman" w:hAnsi="Times New Roman" w:cs="Times New Roman"/>
          <w:sz w:val="24"/>
          <w:szCs w:val="24"/>
        </w:rPr>
        <w:t>Offentliggørelsen i ikkeanonymiseret form vil bringe de finansielle markeders stabilitet i fare.</w:t>
      </w:r>
    </w:p>
    <w:p w14:paraId="5B03E754" w14:textId="77777777" w:rsidR="008D723F" w:rsidRPr="00796736" w:rsidRDefault="008D723F">
      <w:pPr>
        <w:pStyle w:val="Listeafsnit"/>
        <w:numPr>
          <w:ilvl w:val="0"/>
          <w:numId w:val="85"/>
        </w:numPr>
        <w:spacing w:line="360" w:lineRule="auto"/>
        <w:rPr>
          <w:rFonts w:ascii="Times New Roman" w:hAnsi="Times New Roman" w:cs="Times New Roman"/>
          <w:sz w:val="24"/>
          <w:szCs w:val="24"/>
        </w:rPr>
      </w:pPr>
      <w:r w:rsidRPr="00796736">
        <w:rPr>
          <w:rFonts w:ascii="Times New Roman" w:hAnsi="Times New Roman" w:cs="Times New Roman"/>
          <w:sz w:val="24"/>
          <w:szCs w:val="24"/>
        </w:rPr>
        <w:t>Samfundsmæssige hensyn til offentliggørelse af en persons navn må vurderes ikke at være proportionale med hensynet til personen.</w:t>
      </w:r>
    </w:p>
    <w:p w14:paraId="3FCE7774" w14:textId="77777777" w:rsidR="008D723F" w:rsidRPr="00796736" w:rsidRDefault="008D723F" w:rsidP="0053178C">
      <w:pPr>
        <w:spacing w:line="360" w:lineRule="auto"/>
        <w:ind w:firstLine="238"/>
        <w:jc w:val="center"/>
        <w:rPr>
          <w:rFonts w:ascii="Times New Roman" w:hAnsi="Times New Roman" w:cs="Times New Roman"/>
          <w:sz w:val="24"/>
          <w:szCs w:val="24"/>
        </w:rPr>
      </w:pPr>
    </w:p>
    <w:p w14:paraId="6EC9733B" w14:textId="6C5332CD" w:rsidR="008D723F" w:rsidRPr="00796736" w:rsidRDefault="008D723F"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Tidspunkt for og varigheden af Finanstilsynets offentliggørelse</w:t>
      </w:r>
      <w:r w:rsidR="00793B8C">
        <w:rPr>
          <w:rFonts w:ascii="Times New Roman" w:hAnsi="Times New Roman" w:cs="Times New Roman"/>
          <w:i/>
          <w:iCs/>
          <w:sz w:val="24"/>
          <w:szCs w:val="24"/>
        </w:rPr>
        <w:t xml:space="preserve"> af reaktioner m.v.</w:t>
      </w:r>
    </w:p>
    <w:p w14:paraId="41569352" w14:textId="44C5B06F" w:rsidR="008D723F" w:rsidRPr="00796736" w:rsidRDefault="008D723F" w:rsidP="0053178C">
      <w:pPr>
        <w:pStyle w:val="Typografi1"/>
        <w:ind w:left="0" w:firstLine="238"/>
        <w:rPr>
          <w:rFonts w:ascii="Times New Roman" w:hAnsi="Times New Roman" w:cs="Times New Roman"/>
          <w:sz w:val="24"/>
          <w:szCs w:val="24"/>
        </w:rPr>
      </w:pPr>
      <w:bookmarkStart w:id="267" w:name="_Ref232597521"/>
      <w:bookmarkStart w:id="268" w:name="_Ref243469681"/>
      <w:bookmarkStart w:id="269" w:name="_Toc244879057"/>
      <w:bookmarkStart w:id="270" w:name="_Toc244880581"/>
      <w:r w:rsidRPr="00796736">
        <w:rPr>
          <w:rFonts w:ascii="Times New Roman" w:hAnsi="Times New Roman" w:cs="Times New Roman"/>
          <w:sz w:val="24"/>
          <w:szCs w:val="24"/>
        </w:rPr>
        <w:t xml:space="preserve">Offentliggørelse efter dette kapitel skal ske hurtigst muligt efter at personen eller virksomheden er underrettet om reaktionen eller beslutningen. </w:t>
      </w:r>
      <w:bookmarkEnd w:id="267"/>
      <w:r w:rsidR="0042556A" w:rsidRPr="00796736">
        <w:rPr>
          <w:rFonts w:ascii="Times New Roman" w:hAnsi="Times New Roman" w:cs="Times New Roman"/>
          <w:sz w:val="24"/>
          <w:szCs w:val="24"/>
        </w:rPr>
        <w:t xml:space="preserve">Kan Finanstilsynet ikke underrette den pågældende, </w:t>
      </w:r>
      <w:r w:rsidR="0069105A">
        <w:rPr>
          <w:rFonts w:ascii="Times New Roman" w:hAnsi="Times New Roman" w:cs="Times New Roman"/>
          <w:sz w:val="24"/>
          <w:szCs w:val="24"/>
        </w:rPr>
        <w:t>kan</w:t>
      </w:r>
      <w:r w:rsidR="0042556A" w:rsidRPr="00796736">
        <w:rPr>
          <w:rFonts w:ascii="Times New Roman" w:hAnsi="Times New Roman" w:cs="Times New Roman"/>
          <w:sz w:val="24"/>
          <w:szCs w:val="24"/>
        </w:rPr>
        <w:t xml:space="preserve"> der alligevel ske offentliggørelse.</w:t>
      </w:r>
      <w:bookmarkEnd w:id="268"/>
      <w:bookmarkEnd w:id="269"/>
      <w:bookmarkEnd w:id="270"/>
    </w:p>
    <w:p w14:paraId="315E986B" w14:textId="77777777" w:rsidR="008D723F"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Det offentliggjorte skal fremgå af Finanstilsynets hjemmeside i mindst 5 år fra offentliggørelsen. Offentliggørelse, som indeholder personoplysninger, skal dog kun fremgå af Finanstilsynets hjemmeside, så længe oplysningerne anses for nødvendige i forhold til de samfundsmæssige hensyn bag offentliggørelsen, og offentliggørelsen forsat er i overensstemmelse med de gældende databeskyttelsesregler. Personoplysninger skal slettes 5 år efter offentliggørelse. </w:t>
      </w:r>
    </w:p>
    <w:p w14:paraId="7361FDA7" w14:textId="77777777" w:rsidR="002A034F" w:rsidRPr="00796736" w:rsidRDefault="002A034F" w:rsidP="0053178C">
      <w:pPr>
        <w:spacing w:line="360" w:lineRule="auto"/>
        <w:ind w:firstLine="238"/>
        <w:rPr>
          <w:rFonts w:ascii="Times New Roman" w:hAnsi="Times New Roman" w:cs="Times New Roman"/>
          <w:sz w:val="24"/>
          <w:szCs w:val="24"/>
        </w:rPr>
      </w:pPr>
    </w:p>
    <w:p w14:paraId="1509FC5E" w14:textId="2A37022C" w:rsidR="008D723F" w:rsidRPr="00796736" w:rsidRDefault="008D723F" w:rsidP="0053178C">
      <w:pPr>
        <w:spacing w:line="360" w:lineRule="auto"/>
        <w:ind w:firstLine="238"/>
        <w:jc w:val="center"/>
        <w:rPr>
          <w:rFonts w:ascii="Times New Roman" w:hAnsi="Times New Roman" w:cs="Times New Roman"/>
          <w:sz w:val="24"/>
          <w:szCs w:val="24"/>
        </w:rPr>
      </w:pPr>
      <w:r w:rsidRPr="00796736">
        <w:rPr>
          <w:rFonts w:ascii="Times New Roman" w:hAnsi="Times New Roman" w:cs="Times New Roman"/>
          <w:i/>
          <w:iCs/>
          <w:sz w:val="24"/>
          <w:szCs w:val="24"/>
        </w:rPr>
        <w:t>Virksomheders offentliggørelse</w:t>
      </w:r>
      <w:r w:rsidR="00793B8C">
        <w:rPr>
          <w:rFonts w:ascii="Times New Roman" w:hAnsi="Times New Roman" w:cs="Times New Roman"/>
          <w:i/>
          <w:iCs/>
          <w:sz w:val="24"/>
          <w:szCs w:val="24"/>
        </w:rPr>
        <w:t xml:space="preserve"> af reaktioner m.v.</w:t>
      </w:r>
    </w:p>
    <w:p w14:paraId="3B235E2B" w14:textId="3449374D" w:rsidR="008D723F" w:rsidRPr="00796736" w:rsidRDefault="008D723F" w:rsidP="0053178C">
      <w:pPr>
        <w:pStyle w:val="Typografi1"/>
        <w:ind w:left="0" w:firstLine="238"/>
        <w:rPr>
          <w:rFonts w:ascii="Times New Roman" w:hAnsi="Times New Roman" w:cs="Times New Roman"/>
          <w:sz w:val="24"/>
          <w:szCs w:val="24"/>
        </w:rPr>
      </w:pPr>
      <w:bookmarkStart w:id="271" w:name="_Ref232597550"/>
      <w:bookmarkStart w:id="272" w:name="_Toc244879058"/>
      <w:bookmarkStart w:id="273" w:name="_Toc244880582"/>
      <w:r w:rsidRPr="00796736">
        <w:rPr>
          <w:rFonts w:ascii="Times New Roman" w:hAnsi="Times New Roman" w:cs="Times New Roman"/>
          <w:sz w:val="24"/>
          <w:szCs w:val="24"/>
        </w:rPr>
        <w:t xml:space="preserve">Er en reaktion m.v. rettet mod en virksomhed under tilsyn offentliggjort i medfør af </w:t>
      </w:r>
      <w:r w:rsidR="00F93E25" w:rsidRPr="00796736">
        <w:rPr>
          <w:rFonts w:ascii="Times New Roman" w:hAnsi="Times New Roman" w:cs="Times New Roman"/>
          <w:sz w:val="24"/>
          <w:szCs w:val="24"/>
        </w:rPr>
        <w:fldChar w:fldCharType="begin"/>
      </w:r>
      <w:r w:rsidR="00F93E25"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F93E25" w:rsidRPr="00796736">
        <w:rPr>
          <w:rFonts w:ascii="Times New Roman" w:hAnsi="Times New Roman" w:cs="Times New Roman"/>
          <w:sz w:val="24"/>
          <w:szCs w:val="24"/>
        </w:rPr>
      </w:r>
      <w:r w:rsidR="00F93E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93E25" w:rsidRPr="00796736">
        <w:rPr>
          <w:rFonts w:ascii="Times New Roman" w:hAnsi="Times New Roman" w:cs="Times New Roman"/>
          <w:sz w:val="24"/>
          <w:szCs w:val="24"/>
        </w:rPr>
        <w:fldChar w:fldCharType="end"/>
      </w:r>
      <w:r w:rsidR="0069105A">
        <w:rPr>
          <w:rFonts w:ascii="Times New Roman" w:hAnsi="Times New Roman" w:cs="Times New Roman"/>
          <w:sz w:val="24"/>
          <w:szCs w:val="24"/>
        </w:rPr>
        <w:t>,</w:t>
      </w:r>
      <w:r w:rsidR="00F93E25"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eller er en dom eller bødevedtagelse rettet mod eller vedtaget af en virksomhed under tilsyn offentliggjort i medfør af </w:t>
      </w:r>
      <w:r w:rsidR="0069105A">
        <w:rPr>
          <w:rFonts w:ascii="Times New Roman" w:hAnsi="Times New Roman" w:cs="Times New Roman"/>
          <w:sz w:val="24"/>
          <w:szCs w:val="24"/>
        </w:rPr>
        <w:fldChar w:fldCharType="begin"/>
      </w:r>
      <w:r w:rsidR="0069105A">
        <w:rPr>
          <w:rFonts w:ascii="Times New Roman" w:hAnsi="Times New Roman" w:cs="Times New Roman"/>
          <w:sz w:val="24"/>
          <w:szCs w:val="24"/>
        </w:rPr>
        <w:instrText xml:space="preserve"> REF _Ref232597455 \r \h </w:instrText>
      </w:r>
      <w:r w:rsidR="0069105A">
        <w:rPr>
          <w:rFonts w:ascii="Times New Roman" w:hAnsi="Times New Roman" w:cs="Times New Roman"/>
          <w:sz w:val="24"/>
          <w:szCs w:val="24"/>
        </w:rPr>
      </w:r>
      <w:r w:rsidR="0069105A">
        <w:rPr>
          <w:rFonts w:ascii="Times New Roman" w:hAnsi="Times New Roman" w:cs="Times New Roman"/>
          <w:sz w:val="24"/>
          <w:szCs w:val="24"/>
        </w:rPr>
        <w:fldChar w:fldCharType="separate"/>
      </w:r>
      <w:r w:rsidR="008F29E5">
        <w:rPr>
          <w:rFonts w:ascii="Times New Roman" w:hAnsi="Times New Roman" w:cs="Times New Roman"/>
          <w:sz w:val="24"/>
          <w:szCs w:val="24"/>
        </w:rPr>
        <w:t>§ 71</w:t>
      </w:r>
      <w:r w:rsidR="0069105A">
        <w:rPr>
          <w:rFonts w:ascii="Times New Roman" w:hAnsi="Times New Roman" w:cs="Times New Roman"/>
          <w:sz w:val="24"/>
          <w:szCs w:val="24"/>
        </w:rPr>
        <w:fldChar w:fldCharType="end"/>
      </w:r>
      <w:r w:rsidRPr="00796736">
        <w:rPr>
          <w:rFonts w:ascii="Times New Roman" w:hAnsi="Times New Roman" w:cs="Times New Roman"/>
          <w:sz w:val="24"/>
          <w:szCs w:val="24"/>
        </w:rPr>
        <w:t>, skal virksomheden offentliggøre den pågældende reaktion m.v., dom eller bødevedtagelse på sin hjemmeside på et sted, hvor det naturligt hører hjemme. Offentliggørelse, som vedrører virksomheder, der ikke er under tilsyn, skal alene ske på Finanstilsynets hjemmeside.</w:t>
      </w:r>
      <w:bookmarkEnd w:id="271"/>
      <w:bookmarkEnd w:id="272"/>
      <w:bookmarkEnd w:id="273"/>
    </w:p>
    <w:p w14:paraId="56E05E0D" w14:textId="045AD5E3"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Virksomheden skal offentliggøre en reaktion m.v. som nævnt i stk. 1 hurtigst muligt, og senest </w:t>
      </w:r>
      <w:r w:rsidR="00B51821">
        <w:rPr>
          <w:rFonts w:ascii="Times New Roman" w:hAnsi="Times New Roman" w:cs="Times New Roman"/>
          <w:sz w:val="24"/>
          <w:szCs w:val="24"/>
        </w:rPr>
        <w:t>tre</w:t>
      </w:r>
      <w:r w:rsidRPr="00796736">
        <w:rPr>
          <w:rFonts w:ascii="Times New Roman" w:hAnsi="Times New Roman" w:cs="Times New Roman"/>
          <w:sz w:val="24"/>
          <w:szCs w:val="24"/>
        </w:rPr>
        <w:t xml:space="preserve"> hverdage efter at virksomheden har modtaget reaktionen m.v., eller senest på tidspunktet for offentliggørelse påkrævet efter lov om kapitalmarkeder.</w:t>
      </w:r>
    </w:p>
    <w:p w14:paraId="78850F08" w14:textId="77777777"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Virksomheden skal offentliggøre en dom eller bødevedtagelse som nævnt i stk. 1 hurtigst muligt, og senest 10 hverdage efter at der er faldet dom eller vedtaget bøde, eller senest på tidspunktet for offentliggørelse påkrævet efter lov om kapitalmarkeder.</w:t>
      </w:r>
    </w:p>
    <w:p w14:paraId="239E9ED8" w14:textId="1066C93B"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Samtidig med virksomhedens offentliggørelse efter stk. 1-3 skal virksomheden indsætte et link, som giver direkte adgang til reaktionen m.v., dommen, bødevedtagelsen eller resuméet, på forsiden af virksomhedens hjemmeside på en synlig måde. Det skal af linket og en eventuel tilknyttet tekst tydeligt fremgå, at der er tale om en reaktion fra Finanstilsynet, en dom eller en bødevedtagelse. Fjernelse af informationerne fra virksomhedens hjemmeside skal finde sted efter samme principper, som virksomheden anvender for øvrige meddelelser, dog tidligst når linket og informationerne har ligget på hjemmesiden i </w:t>
      </w:r>
      <w:r w:rsidR="00B51821">
        <w:rPr>
          <w:rFonts w:ascii="Times New Roman" w:hAnsi="Times New Roman" w:cs="Times New Roman"/>
          <w:sz w:val="24"/>
          <w:szCs w:val="24"/>
        </w:rPr>
        <w:t>tre</w:t>
      </w:r>
      <w:r w:rsidRPr="00796736">
        <w:rPr>
          <w:rFonts w:ascii="Times New Roman" w:hAnsi="Times New Roman" w:cs="Times New Roman"/>
          <w:sz w:val="24"/>
          <w:szCs w:val="24"/>
        </w:rPr>
        <w:t xml:space="preserve"> måneder, og tidligst efter førstkommende generalforsamling eller repræsentantskabsmøde.</w:t>
      </w:r>
    </w:p>
    <w:p w14:paraId="17407E8A" w14:textId="77777777"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5.</w:t>
      </w:r>
      <w:r w:rsidRPr="00796736">
        <w:rPr>
          <w:rFonts w:ascii="Times New Roman" w:hAnsi="Times New Roman" w:cs="Times New Roman"/>
          <w:sz w:val="24"/>
          <w:szCs w:val="24"/>
        </w:rPr>
        <w:t> Kommenterer virksomheden reaktionen m.v., dommen, bødevedtagelsen eller resuméet efter stk. 1-3, skal dette ske i forlængelse heraf, og kommentarerne skal være klart adskilt fra reaktionen m.v., dommen, bødevedtagelsen eller resuméet.</w:t>
      </w:r>
    </w:p>
    <w:p w14:paraId="20434535" w14:textId="77777777" w:rsidR="008D723F" w:rsidRPr="00796736" w:rsidRDefault="008D723F"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6.</w:t>
      </w:r>
      <w:r w:rsidRPr="00796736">
        <w:rPr>
          <w:rFonts w:ascii="Times New Roman" w:hAnsi="Times New Roman" w:cs="Times New Roman"/>
          <w:sz w:val="24"/>
          <w:szCs w:val="24"/>
        </w:rPr>
        <w:t> Virksomheden skal give meddelelse til Finanstilsynet om offentliggørelsen efter stk. 1, hvis en sag er overgivet til politimæssig efterforskning og der er faldet helt eller delvis fældende dom eller vedtaget bøde, eller hvis en sag er afgjort med vedtagelse af administrativt bødeforelæg, herunder fremsende en kopi af dommen eller bødevedtagelsen. Finanstilsynet skal herefter offentliggøre dommen, bødevedtagelsen eller et resumé heraf på sin hjemmeside.</w:t>
      </w:r>
    </w:p>
    <w:p w14:paraId="32E7B789" w14:textId="77777777" w:rsidR="00F07C81" w:rsidRPr="00796736" w:rsidRDefault="00F07C81" w:rsidP="0053178C">
      <w:pPr>
        <w:spacing w:line="360" w:lineRule="auto"/>
        <w:ind w:firstLine="238"/>
        <w:rPr>
          <w:rFonts w:ascii="Times New Roman" w:hAnsi="Times New Roman" w:cs="Times New Roman"/>
          <w:sz w:val="24"/>
          <w:szCs w:val="24"/>
        </w:rPr>
      </w:pPr>
    </w:p>
    <w:p w14:paraId="2131F40D" w14:textId="112CC9D5" w:rsidR="00BF06B8" w:rsidRPr="00796736" w:rsidRDefault="00F07C81" w:rsidP="0053178C">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Tavshedspligt, fortrolighed og videregivelse af oplysninger i Finanstilsynet</w:t>
      </w:r>
    </w:p>
    <w:p w14:paraId="4B103178" w14:textId="409955BA" w:rsidR="00F07C81" w:rsidRPr="00796736" w:rsidRDefault="00F07C81" w:rsidP="0053178C">
      <w:pPr>
        <w:pStyle w:val="Typografi1"/>
        <w:ind w:left="0" w:firstLine="238"/>
        <w:rPr>
          <w:rFonts w:ascii="Times New Roman" w:hAnsi="Times New Roman" w:cs="Times New Roman"/>
          <w:sz w:val="24"/>
          <w:szCs w:val="24"/>
          <w:lang w:eastAsia="da-DK"/>
        </w:rPr>
      </w:pPr>
      <w:bookmarkStart w:id="274" w:name="_Ref232597582"/>
      <w:bookmarkStart w:id="275" w:name="_Toc244879059"/>
      <w:bookmarkStart w:id="276" w:name="_Toc244880583"/>
      <w:r w:rsidRPr="00796736">
        <w:rPr>
          <w:rFonts w:ascii="Times New Roman" w:hAnsi="Times New Roman" w:cs="Times New Roman"/>
          <w:sz w:val="24"/>
          <w:szCs w:val="24"/>
          <w:lang w:eastAsia="da-DK"/>
        </w:rPr>
        <w:t>Finanstilsynets ansatte er under ansvar efter straffelovens §§ 152-152 e forpligtet til at hemmeligholde fortrolige oplysninger, som de får kendskab til gennem tilsynsvirksomheden. Det samme gælder personer, der udfører serviceopgaver som led i Finanstilsynets drift, og eksperter, der handler på Finanstilsynets vegne. Dette gælder også efter ansættelses- eller kontraktforholdets ophør.</w:t>
      </w:r>
      <w:bookmarkEnd w:id="274"/>
      <w:bookmarkEnd w:id="275"/>
      <w:bookmarkEnd w:id="276"/>
      <w:r w:rsidRPr="00796736">
        <w:rPr>
          <w:rFonts w:ascii="Times New Roman" w:hAnsi="Times New Roman" w:cs="Times New Roman"/>
          <w:sz w:val="24"/>
          <w:szCs w:val="24"/>
          <w:lang w:eastAsia="da-DK"/>
        </w:rPr>
        <w:t xml:space="preserve"> </w:t>
      </w:r>
    </w:p>
    <w:p w14:paraId="47469C37" w14:textId="77777777" w:rsidR="00F07C81" w:rsidRPr="00796736" w:rsidRDefault="00F07C81" w:rsidP="0053178C">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2. </w:t>
      </w:r>
      <w:r w:rsidRPr="00796736">
        <w:rPr>
          <w:rFonts w:ascii="Times New Roman" w:hAnsi="Times New Roman" w:cs="Times New Roman"/>
          <w:sz w:val="24"/>
          <w:szCs w:val="24"/>
          <w:lang w:eastAsia="da-DK"/>
        </w:rPr>
        <w:t>Samtykke fra den, som tavshedspligten tilsigter at beskytte, berettiger ikke personer som nævnt i stk. 1 til at videregive fortrolige oplysninger.</w:t>
      </w:r>
    </w:p>
    <w:p w14:paraId="7AE3B8BA" w14:textId="77777777" w:rsidR="00F07C81" w:rsidRPr="00796736" w:rsidRDefault="00F07C81" w:rsidP="0053178C">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3.</w:t>
      </w:r>
      <w:r w:rsidRPr="00796736">
        <w:rPr>
          <w:rFonts w:ascii="Times New Roman" w:hAnsi="Times New Roman" w:cs="Times New Roman"/>
          <w:sz w:val="24"/>
          <w:szCs w:val="24"/>
          <w:lang w:eastAsia="da-DK"/>
        </w:rPr>
        <w:t xml:space="preserve"> Stk. 1 er ikke til hinder for, at Finanstilsynet af egen drift videregiver fortrolige oplysninger i summarisk eller sammenfattende form, når hverken den enkelte virksomhed eller dens kunder kan identificeres.</w:t>
      </w:r>
    </w:p>
    <w:p w14:paraId="0D32B41B" w14:textId="77777777" w:rsidR="00F07C81" w:rsidRPr="00796736" w:rsidRDefault="00F07C81" w:rsidP="0053178C">
      <w:pPr>
        <w:spacing w:line="360" w:lineRule="auto"/>
        <w:ind w:firstLine="238"/>
        <w:rPr>
          <w:rFonts w:ascii="Times New Roman" w:hAnsi="Times New Roman" w:cs="Times New Roman"/>
          <w:b/>
          <w:bCs/>
          <w:sz w:val="24"/>
          <w:szCs w:val="24"/>
          <w:lang w:eastAsia="da-DK"/>
        </w:rPr>
      </w:pPr>
    </w:p>
    <w:bookmarkStart w:id="277" w:name="_Ref232597634"/>
    <w:p w14:paraId="6D341F16" w14:textId="12988CF3" w:rsidR="00F07C81" w:rsidRPr="00796736" w:rsidRDefault="00BB76E3" w:rsidP="0053178C">
      <w:pPr>
        <w:pStyle w:val="Typografi1"/>
        <w:ind w:left="0" w:firstLine="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_Ref232597582 \r \h </w:instrText>
      </w:r>
      <w:r w:rsidR="00967618"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bookmarkStart w:id="278" w:name="_Toc244879060"/>
      <w:bookmarkStart w:id="279" w:name="_Toc244880584"/>
      <w:r w:rsidR="008F29E5">
        <w:rPr>
          <w:rFonts w:ascii="Times New Roman" w:hAnsi="Times New Roman" w:cs="Times New Roman"/>
          <w:sz w:val="24"/>
          <w:szCs w:val="24"/>
          <w:lang w:eastAsia="da-DK"/>
        </w:rPr>
        <w:t>§ 76</w:t>
      </w:r>
      <w:r w:rsidRPr="00796736">
        <w:rPr>
          <w:rFonts w:ascii="Times New Roman" w:hAnsi="Times New Roman" w:cs="Times New Roman"/>
          <w:sz w:val="24"/>
          <w:szCs w:val="24"/>
          <w:lang w:eastAsia="da-DK"/>
        </w:rPr>
        <w:fldChar w:fldCharType="end"/>
      </w:r>
      <w:r w:rsidR="00F07C81" w:rsidRPr="00796736">
        <w:rPr>
          <w:rFonts w:ascii="Times New Roman" w:hAnsi="Times New Roman" w:cs="Times New Roman"/>
          <w:sz w:val="24"/>
          <w:szCs w:val="24"/>
          <w:lang w:eastAsia="da-DK"/>
        </w:rPr>
        <w:t>, stk. 1 er ikke til hinder for, at fortrolige oplysninger</w:t>
      </w:r>
      <w:r w:rsidR="00085DC3" w:rsidRPr="00796736">
        <w:rPr>
          <w:rFonts w:ascii="Times New Roman" w:hAnsi="Times New Roman" w:cs="Times New Roman"/>
          <w:sz w:val="24"/>
          <w:szCs w:val="24"/>
          <w:lang w:eastAsia="da-DK"/>
        </w:rPr>
        <w:t>, under hensyn til stk. 4,</w:t>
      </w:r>
      <w:r w:rsidR="00F07C81" w:rsidRPr="00796736">
        <w:rPr>
          <w:rFonts w:ascii="Times New Roman" w:hAnsi="Times New Roman" w:cs="Times New Roman"/>
          <w:sz w:val="24"/>
          <w:szCs w:val="24"/>
          <w:lang w:eastAsia="da-DK"/>
        </w:rPr>
        <w:t xml:space="preserve"> videregives til:</w:t>
      </w:r>
      <w:bookmarkEnd w:id="277"/>
      <w:bookmarkEnd w:id="278"/>
      <w:bookmarkEnd w:id="279"/>
    </w:p>
    <w:p w14:paraId="03998070" w14:textId="3EC78B9B"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Tilsynsmyndigheder i henhold til denne lov.</w:t>
      </w:r>
    </w:p>
    <w:p w14:paraId="32E0FC77" w14:textId="35A8E50C"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Medlemmer af </w:t>
      </w:r>
      <w:r w:rsidR="00102255" w:rsidRPr="00796736">
        <w:rPr>
          <w:rFonts w:ascii="Times New Roman" w:eastAsia="Calibri" w:hAnsi="Times New Roman" w:cs="Times New Roman"/>
          <w:iCs/>
          <w:sz w:val="24"/>
          <w:szCs w:val="24"/>
        </w:rPr>
        <w:t xml:space="preserve">HvidvaskForum, </w:t>
      </w:r>
      <w:r w:rsidRPr="00796736">
        <w:rPr>
          <w:rFonts w:ascii="Times New Roman" w:eastAsia="Calibri" w:hAnsi="Times New Roman" w:cs="Times New Roman"/>
          <w:iCs/>
          <w:sz w:val="24"/>
          <w:szCs w:val="24"/>
        </w:rPr>
        <w:t xml:space="preserve">jf. </w:t>
      </w:r>
      <w:r w:rsidR="00BB76E3" w:rsidRPr="00796736">
        <w:rPr>
          <w:rFonts w:ascii="Times New Roman" w:eastAsia="Calibri" w:hAnsi="Times New Roman" w:cs="Times New Roman"/>
          <w:iCs/>
          <w:sz w:val="24"/>
          <w:szCs w:val="24"/>
        </w:rPr>
        <w:fldChar w:fldCharType="begin"/>
      </w:r>
      <w:r w:rsidR="00BB76E3" w:rsidRPr="00796736">
        <w:rPr>
          <w:rFonts w:ascii="Times New Roman" w:eastAsia="Calibri" w:hAnsi="Times New Roman" w:cs="Times New Roman"/>
          <w:iCs/>
          <w:sz w:val="24"/>
          <w:szCs w:val="24"/>
        </w:rPr>
        <w:instrText xml:space="preserve"> REF _Ref232620750 \r \h </w:instrText>
      </w:r>
      <w:r w:rsidR="00967618" w:rsidRPr="00796736">
        <w:rPr>
          <w:rFonts w:ascii="Times New Roman" w:eastAsia="Calibri" w:hAnsi="Times New Roman" w:cs="Times New Roman"/>
          <w:iCs/>
          <w:sz w:val="24"/>
          <w:szCs w:val="24"/>
        </w:rPr>
        <w:instrText xml:space="preserve"> \* MERGEFORMAT </w:instrText>
      </w:r>
      <w:r w:rsidR="00BB76E3" w:rsidRPr="00796736">
        <w:rPr>
          <w:rFonts w:ascii="Times New Roman" w:eastAsia="Calibri" w:hAnsi="Times New Roman" w:cs="Times New Roman"/>
          <w:iCs/>
          <w:sz w:val="24"/>
          <w:szCs w:val="24"/>
        </w:rPr>
      </w:r>
      <w:r w:rsidR="00BB76E3"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129</w:t>
      </w:r>
      <w:r w:rsidR="00BB76E3"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w:t>
      </w:r>
    </w:p>
    <w:p w14:paraId="7C422869"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Andre offentlige myndigheder, herunder anklagemyndigheden og politiet, i forbindelse med efterforskning og retsforfølgning af mulige strafbare forhold omfattet af straffeloven eller tilsynslovgivningen.</w:t>
      </w:r>
    </w:p>
    <w:p w14:paraId="1115336B" w14:textId="207FCC5D"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Skatteforvaltningen.</w:t>
      </w:r>
    </w:p>
    <w:p w14:paraId="7562394E"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Vedkommende minister som led i dennes overordnede tilsyn.</w:t>
      </w:r>
    </w:p>
    <w:p w14:paraId="543D5055"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Administrative myndigheder og domstole, som behandler afgørelser, der er truffet af Finanstilsynet.</w:t>
      </w:r>
    </w:p>
    <w:p w14:paraId="4F3FB567"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Folketingets Ombudsmand.</w:t>
      </w:r>
    </w:p>
    <w:p w14:paraId="5A1F192B" w14:textId="61CFC45B"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En parlamentarisk kommission nedsat af Folketinget. </w:t>
      </w:r>
    </w:p>
    <w:p w14:paraId="76155DE9" w14:textId="7AACB63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bookmarkStart w:id="280" w:name="_Ref241680720"/>
      <w:r w:rsidRPr="00796736">
        <w:rPr>
          <w:rFonts w:ascii="Times New Roman" w:eastAsia="Calibri" w:hAnsi="Times New Roman" w:cs="Times New Roman"/>
          <w:iCs/>
          <w:sz w:val="24"/>
          <w:szCs w:val="24"/>
        </w:rPr>
        <w:t>Undersøgelseskommissioner nedsat ved lov eller i henhold til lov om undersøgelseskommissioner.</w:t>
      </w:r>
      <w:bookmarkEnd w:id="280"/>
    </w:p>
    <w:p w14:paraId="2CC0A4F0"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Statsrevisorerne og Rigsrevisionen.</w:t>
      </w:r>
    </w:p>
    <w:p w14:paraId="7584573D" w14:textId="4ED7500B"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Skifteretten</w:t>
      </w:r>
      <w:r w:rsidR="00085DC3" w:rsidRPr="00796736">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t xml:space="preserve"> andre myndigheder, der medvirker ved en af denne lov omfattet virksomheds likvidation, konkursbehandling eller lignende procedurer, under forudsætning af at modtagerne af oplysningerne har behov herfor til varetagelse af deres opgaver.</w:t>
      </w:r>
    </w:p>
    <w:p w14:paraId="7113A702"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Finansiel Stabilitet, under forudsætning af at Finansiel Stabilitet har behov herfor til varetagelse af sine opgaver.</w:t>
      </w:r>
    </w:p>
    <w:p w14:paraId="19FAEEA4" w14:textId="167E7BB3"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Udvalg og grupper m.v. nedsat af </w:t>
      </w:r>
      <w:r w:rsidR="00B23324" w:rsidRPr="00796736">
        <w:rPr>
          <w:rFonts w:ascii="Times New Roman" w:eastAsia="Calibri" w:hAnsi="Times New Roman" w:cs="Times New Roman"/>
          <w:iCs/>
          <w:sz w:val="24"/>
          <w:szCs w:val="24"/>
        </w:rPr>
        <w:t>skatte- og vækstministeren</w:t>
      </w:r>
      <w:r w:rsidRPr="00796736">
        <w:rPr>
          <w:rFonts w:ascii="Times New Roman" w:eastAsia="Calibri" w:hAnsi="Times New Roman" w:cs="Times New Roman"/>
          <w:iCs/>
          <w:sz w:val="24"/>
          <w:szCs w:val="24"/>
        </w:rPr>
        <w:t>, der har til formål at drøfte og koordinere indsatsen for at sikre den finansielle stabilitet.</w:t>
      </w:r>
    </w:p>
    <w:p w14:paraId="4AA1C73E" w14:textId="5CEF4FF6"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 i sin egenskab af tilsynsmyndighed for efterlevelse af selskabslovgivningen, når videregivelse sker med henblik på at styrke det finansielle systems stabilitet og integritet, jf. dog stk. 4, Erhvervsstyrelsen, Revisortilsynet og Revisornævnet i deres egenskab af tilsynsmyndighed for den lovpligtige revision af et pengeinstituts, realkreditinstituts, fondsmæglerselskabs, investeringsforvaltningsselskabs eller forsikringsselskabs regnskaber, jf. dog stk. 4, og Erhvervsstyrelsen, når oplysningerne vedrører en fond eller forening omfattet af §§ 207, 214, 214 a eller 222 i lov om finansiel virksomhed. Videregivelse efter 1. pkt. kan kun ske, under forudsætning af at modtageren har behov herfor til varetagelsen af sine opgaver.</w:t>
      </w:r>
    </w:p>
    <w:p w14:paraId="3B65822C"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færøske landsstyremand for finansanliggender som led i ansvaret for den økonomiske stabilitet på Færøerne og til brug for krisehåndtering af pengeinstitutter, realkreditinstitutter, fondsmæglerselskaber,</w:t>
      </w:r>
      <w:r w:rsidRPr="00796736">
        <w:rPr>
          <w:rFonts w:ascii="Times New Roman" w:hAnsi="Times New Roman" w:cs="Times New Roman"/>
          <w:iCs/>
          <w:color w:val="212529"/>
          <w:sz w:val="24"/>
          <w:szCs w:val="24"/>
          <w:shd w:val="clear" w:color="auto" w:fill="F9F9FB"/>
        </w:rPr>
        <w:t xml:space="preserve"> </w:t>
      </w:r>
      <w:r w:rsidRPr="00796736">
        <w:rPr>
          <w:rFonts w:ascii="Times New Roman" w:eastAsia="Calibri" w:hAnsi="Times New Roman" w:cs="Times New Roman"/>
          <w:iCs/>
          <w:sz w:val="24"/>
          <w:szCs w:val="24"/>
        </w:rPr>
        <w:t>investeringsforvaltningsselskaber eller forsikringsselskaber på Færøerne.</w:t>
      </w:r>
    </w:p>
    <w:p w14:paraId="403F93FF"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grønlandske landsstyremedlem for finanser som led i ansvaret for den økonomiske stabilitet i Grønland og til brug for krisehåndtering af pengeinstitutter, realkreditinstitutter, fondsmæglerselskaber, investeringsforvaltningsselskaber eller forsikringsselskaber i Grønland.</w:t>
      </w:r>
    </w:p>
    <w:p w14:paraId="621D7873" w14:textId="35269DC6"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Færøske tilsynsmyndigheder på det finansielle område, under forudsætning af at modtagerne er underlagt en lovbestemt tavshedspligt, der mindst svarer til tavshedspligten i medfør af stk. 1, og at modtagerne har behov for oplysningerne til varetagelse af deres opgaver. </w:t>
      </w:r>
    </w:p>
    <w:p w14:paraId="1FA2B350" w14:textId="257F7E5D"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bookmarkStart w:id="281" w:name="_Hlk220394211"/>
      <w:r w:rsidRPr="00796736">
        <w:rPr>
          <w:rFonts w:ascii="Times New Roman" w:eastAsia="Calibri" w:hAnsi="Times New Roman" w:cs="Times New Roman"/>
          <w:iCs/>
          <w:sz w:val="24"/>
          <w:szCs w:val="24"/>
        </w:rPr>
        <w:t>Datatilsynet som uafhængig tilsynsmyndighed for efterlevelse af databeskyttelsesreglerne, under forudsætning af at Datatilsynet har behov for oplysningerne til varetagelsen af sine opgaver.</w:t>
      </w:r>
    </w:p>
    <w:p w14:paraId="3FC5CE3E" w14:textId="794FAA18"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Tilsynsmyndigheder i et land indenfor den Europæiske Union eller et land, som Unionen har indgået aftale med på det finansielle område, der har ansvaret for tilsyn med personers og virksomheders overholdelse af </w:t>
      </w:r>
      <w:r w:rsidR="002B4BDE">
        <w:rPr>
          <w:rFonts w:ascii="Times New Roman" w:eastAsia="Calibri" w:hAnsi="Times New Roman" w:cs="Times New Roman"/>
          <w:iCs/>
          <w:sz w:val="24"/>
          <w:szCs w:val="24"/>
        </w:rPr>
        <w:t>hvidvaskforordningen</w:t>
      </w:r>
      <w:r w:rsidRPr="00796736">
        <w:rPr>
          <w:rFonts w:ascii="Times New Roman" w:eastAsia="Calibri" w:hAnsi="Times New Roman" w:cs="Times New Roman"/>
          <w:iCs/>
          <w:sz w:val="24"/>
          <w:szCs w:val="24"/>
        </w:rPr>
        <w:t>, Europa-Parlamentets og Rådets forordning om oplysninger, der skal medsendes ved pengeoverførsler og ved overførsler af visse kryptoaktiver, og forordninger indeholdende regler om finansielle sanktioner mod lande, personer, grupper, juridiske enheder eller organer, under forudsætning af at modtagerne af oplysninger har et behov herfor til varetagelsen af deres opgaver.</w:t>
      </w:r>
    </w:p>
    <w:p w14:paraId="2285F39F" w14:textId="7B21807E"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Finansielle tilsynsmyndigheder i lande uden for et land udenfor den Europæiske Union eller et land, som Unionen ikke har indgået aftale med på det finansielle område, der har ansvaret for tilsyn med personers og virksomheders overholdelse af lovgivning om forebyggende foranstaltninger mod hvidvask af udbytte og finansiering af terrorisme.</w:t>
      </w:r>
    </w:p>
    <w:p w14:paraId="07DFDF1A" w14:textId="77777777" w:rsidR="00F07C81" w:rsidRPr="00796736" w:rsidRDefault="00F07C81">
      <w:pPr>
        <w:pStyle w:val="Listeafsnit"/>
        <w:numPr>
          <w:ilvl w:val="0"/>
          <w:numId w:val="84"/>
        </w:numPr>
        <w:spacing w:line="360" w:lineRule="auto"/>
        <w:rPr>
          <w:rFonts w:ascii="Times New Roman" w:eastAsia="Calibri" w:hAnsi="Times New Roman" w:cs="Times New Roman"/>
          <w:iCs/>
          <w:color w:val="FF0000"/>
          <w:sz w:val="24"/>
          <w:szCs w:val="24"/>
        </w:rPr>
      </w:pPr>
      <w:r w:rsidRPr="00796736">
        <w:rPr>
          <w:rFonts w:ascii="Times New Roman" w:eastAsia="Calibri" w:hAnsi="Times New Roman" w:cs="Times New Roman"/>
          <w:iCs/>
          <w:sz w:val="24"/>
          <w:szCs w:val="24"/>
        </w:rPr>
        <w:t xml:space="preserve">Finansielle efterretningsenheder (FIU) i et land indenfor den Europæiske Union eller et land, som Unionen har indgået aftale med på det finansielle område, i det omfang videregivelsen er nødvendig for, at disse enheder kan varetage deres opgaver i henhold til regler om forebyggelse og bekæmpelse af hvidvask og finansiering af terrorisme. </w:t>
      </w:r>
    </w:p>
    <w:p w14:paraId="327E8EBC" w14:textId="77777777"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Europæiske Centralbank, når den handler i medfør af Rådets forordning 1024/2013/EU af 15. oktober 2013 om overdragelse af specifikke opgaver til Den Europæiske Centralbank i forbindelse med politikker vedrørende tilsyn med kreditinstitutter.</w:t>
      </w:r>
    </w:p>
    <w:p w14:paraId="3C36952B" w14:textId="6F43A1F5" w:rsidR="00F07C81" w:rsidRPr="00796736" w:rsidRDefault="00F07C81">
      <w:pPr>
        <w:pStyle w:val="Listeafsnit"/>
        <w:numPr>
          <w:ilvl w:val="0"/>
          <w:numId w:val="84"/>
        </w:num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Europæiske Banktilsynsmyndighed, Det Europæiske Råd for Systemiske Risici, Den Europæiske Tilsynsmyndighed for Forsikrings- og Arbejdsmarkedspensionsordninger og Den Europæiske Værdipapir- og Markedstilsynsmyndighed og organer etableret af disse, når modtagerne af oplysningerne har behov herfor til varetagelsen af deres opgaver.</w:t>
      </w:r>
    </w:p>
    <w:p w14:paraId="2B663C4B" w14:textId="16FF1B62" w:rsidR="000E0DF1" w:rsidRPr="00796736" w:rsidRDefault="000E0DF1">
      <w:pPr>
        <w:pStyle w:val="Listeafsnit"/>
        <w:numPr>
          <w:ilvl w:val="0"/>
          <w:numId w:val="84"/>
        </w:numPr>
        <w:spacing w:line="360" w:lineRule="auto"/>
        <w:rPr>
          <w:rFonts w:ascii="Times New Roman" w:eastAsia="Calibri" w:hAnsi="Times New Roman" w:cs="Times New Roman"/>
          <w:iCs/>
          <w:color w:val="000000" w:themeColor="text1"/>
          <w:sz w:val="24"/>
          <w:szCs w:val="24"/>
        </w:rPr>
      </w:pPr>
      <w:r w:rsidRPr="00796736">
        <w:rPr>
          <w:rFonts w:ascii="Times New Roman" w:eastAsia="Calibri" w:hAnsi="Times New Roman" w:cs="Times New Roman"/>
          <w:iCs/>
          <w:color w:val="000000" w:themeColor="text1"/>
          <w:sz w:val="24"/>
          <w:szCs w:val="24"/>
        </w:rPr>
        <w:t>Myndigheden for Bekæmpelse af Hvidvask af Penge og Finansiering af Terrorisme (AMLA), under forudsætningen af, at AMLA har behov for oplysningerne til varetagelse af sine opgaver.</w:t>
      </w:r>
    </w:p>
    <w:p w14:paraId="1505686B" w14:textId="77777777" w:rsidR="00F07C81" w:rsidRPr="00796736" w:rsidRDefault="00F07C81">
      <w:pPr>
        <w:pStyle w:val="Listeafsnit"/>
        <w:numPr>
          <w:ilvl w:val="0"/>
          <w:numId w:val="84"/>
        </w:numPr>
        <w:spacing w:line="360" w:lineRule="auto"/>
        <w:rPr>
          <w:rFonts w:ascii="Times New Roman" w:hAnsi="Times New Roman" w:cs="Times New Roman"/>
          <w:sz w:val="24"/>
          <w:szCs w:val="24"/>
        </w:rPr>
      </w:pPr>
      <w:r w:rsidRPr="00796736">
        <w:rPr>
          <w:rFonts w:ascii="Times New Roman" w:hAnsi="Times New Roman" w:cs="Times New Roman"/>
          <w:sz w:val="24"/>
          <w:szCs w:val="24"/>
        </w:rPr>
        <w:t>Den Internationale Valutafond (IMF) og Verdensbanken med henblik på vurderinger som led i programmet til vurdering af den finansielle sektor, efter udtrykkelig anmodning og under forudsætning af, at de har behov for oplysningerne til varetagelsen af deres opgaver.</w:t>
      </w:r>
    </w:p>
    <w:p w14:paraId="0B838387" w14:textId="77777777" w:rsidR="00F07C81" w:rsidRPr="00796736" w:rsidRDefault="00F07C81">
      <w:pPr>
        <w:pStyle w:val="Listeafsnit"/>
        <w:numPr>
          <w:ilvl w:val="0"/>
          <w:numId w:val="84"/>
        </w:numPr>
        <w:spacing w:line="360" w:lineRule="auto"/>
        <w:rPr>
          <w:rFonts w:ascii="Times New Roman" w:hAnsi="Times New Roman" w:cs="Times New Roman"/>
          <w:sz w:val="24"/>
          <w:szCs w:val="24"/>
        </w:rPr>
      </w:pPr>
      <w:r w:rsidRPr="00796736">
        <w:rPr>
          <w:rFonts w:ascii="Times New Roman" w:hAnsi="Times New Roman" w:cs="Times New Roman"/>
          <w:sz w:val="24"/>
          <w:szCs w:val="24"/>
        </w:rPr>
        <w:t>Rådet for Finansiel Stabilitet (FSB) med henblik på dets tilsynsfunktion, efter udtrykkelig anmodning og under forudsætning af, at FSB har behov for oplysningerne til varetagelsen af sine opgaver.</w:t>
      </w:r>
    </w:p>
    <w:p w14:paraId="4F597D6D" w14:textId="77777777" w:rsidR="00F07C81" w:rsidRPr="00796736" w:rsidRDefault="00F07C81">
      <w:pPr>
        <w:pStyle w:val="Listeafsnit"/>
        <w:numPr>
          <w:ilvl w:val="0"/>
          <w:numId w:val="84"/>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Midlertidige undersøgelsesudvalg nedsat af Europa-Parlamentet i henhold til artikel 226 i traktaten om Den Europæiske Unions funktionsmåde, hvis videregivelsen er nødvendig for udførelsen af disse udvalgs aktiviteter. </w:t>
      </w:r>
    </w:p>
    <w:p w14:paraId="372D9EF5" w14:textId="46CC32D3" w:rsidR="00F07C81" w:rsidRPr="00796736" w:rsidRDefault="00F07C81" w:rsidP="0053178C">
      <w:pPr>
        <w:spacing w:line="360" w:lineRule="auto"/>
        <w:ind w:firstLine="238"/>
        <w:rPr>
          <w:rFonts w:ascii="Times New Roman" w:hAnsi="Times New Roman" w:cs="Times New Roman"/>
          <w:sz w:val="24"/>
          <w:szCs w:val="24"/>
        </w:rPr>
      </w:pPr>
      <w:bookmarkStart w:id="282" w:name="_Hlk221267804"/>
      <w:bookmarkEnd w:id="281"/>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Videregivelse i henhold til stk. 1, nr. 20, kan alene ske på baggrund af en international samarbejdsaftale, og under forudsætningen af at modtagerne mindst er underlagt en lovbestemt tavshedspligt, der svarer til tavshedspligten i medfør af </w:t>
      </w:r>
      <w:r w:rsidR="00BB76E3" w:rsidRPr="00796736">
        <w:rPr>
          <w:rFonts w:ascii="Times New Roman" w:hAnsi="Times New Roman" w:cs="Times New Roman"/>
          <w:sz w:val="24"/>
          <w:szCs w:val="24"/>
        </w:rPr>
        <w:fldChar w:fldCharType="begin"/>
      </w:r>
      <w:r w:rsidR="00BB76E3"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BB76E3" w:rsidRPr="00796736">
        <w:rPr>
          <w:rFonts w:ascii="Times New Roman" w:hAnsi="Times New Roman" w:cs="Times New Roman"/>
          <w:sz w:val="24"/>
          <w:szCs w:val="24"/>
        </w:rPr>
      </w:r>
      <w:r w:rsidR="00BB76E3"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BB76E3"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har et væsentligt behov for oplysningerne til varetagelsen af deres opgaver. </w:t>
      </w:r>
    </w:p>
    <w:p w14:paraId="6C37E71B" w14:textId="38DBD2E1" w:rsidR="00F07C81" w:rsidRPr="00796736" w:rsidRDefault="00F07C81" w:rsidP="0053178C">
      <w:pPr>
        <w:spacing w:line="360" w:lineRule="auto"/>
        <w:ind w:firstLine="238"/>
        <w:rPr>
          <w:rFonts w:ascii="Times New Roman" w:hAnsi="Times New Roman" w:cs="Times New Roman"/>
          <w:sz w:val="24"/>
          <w:szCs w:val="24"/>
        </w:rPr>
      </w:pPr>
      <w:r w:rsidRPr="00796736">
        <w:rPr>
          <w:rFonts w:ascii="Times New Roman" w:eastAsia="Calibri" w:hAnsi="Times New Roman" w:cs="Times New Roman"/>
          <w:i/>
          <w:iCs/>
          <w:sz w:val="24"/>
          <w:szCs w:val="24"/>
        </w:rPr>
        <w:t xml:space="preserve">Stk. 3. </w:t>
      </w:r>
      <w:r w:rsidRPr="00796736">
        <w:rPr>
          <w:rFonts w:ascii="Times New Roman" w:hAnsi="Times New Roman" w:cs="Times New Roman"/>
          <w:sz w:val="24"/>
          <w:szCs w:val="24"/>
        </w:rPr>
        <w:t>Alle, der i henhold til</w:t>
      </w:r>
      <w:r w:rsidR="00E91B65" w:rsidRPr="00796736">
        <w:rPr>
          <w:rFonts w:ascii="Times New Roman" w:hAnsi="Times New Roman" w:cs="Times New Roman"/>
          <w:sz w:val="24"/>
          <w:szCs w:val="24"/>
        </w:rPr>
        <w:t xml:space="preserve"> </w:t>
      </w:r>
      <w:r w:rsidRPr="00796736">
        <w:rPr>
          <w:rFonts w:ascii="Times New Roman" w:hAnsi="Times New Roman" w:cs="Times New Roman"/>
          <w:sz w:val="24"/>
          <w:szCs w:val="24"/>
        </w:rPr>
        <w:t>stk. 1, modtager fortrolige oplysninger fra Finanstilsynet, er med hensyn til disse oplysninger undergivet den</w:t>
      </w:r>
      <w:r w:rsidR="00BB76E3" w:rsidRPr="00796736">
        <w:rPr>
          <w:rFonts w:ascii="Times New Roman" w:hAnsi="Times New Roman" w:cs="Times New Roman"/>
          <w:sz w:val="24"/>
          <w:szCs w:val="24"/>
        </w:rPr>
        <w:t xml:space="preserve"> i </w:t>
      </w:r>
      <w:r w:rsidR="0091147A" w:rsidRPr="00796736">
        <w:rPr>
          <w:rFonts w:ascii="Times New Roman" w:hAnsi="Times New Roman" w:cs="Times New Roman"/>
          <w:sz w:val="24"/>
          <w:szCs w:val="24"/>
        </w:rPr>
        <w:fldChar w:fldCharType="begin"/>
      </w:r>
      <w:r w:rsidR="0091147A" w:rsidRPr="00796736">
        <w:rPr>
          <w:rFonts w:ascii="Times New Roman" w:hAnsi="Times New Roman" w:cs="Times New Roman"/>
          <w:sz w:val="24"/>
          <w:szCs w:val="24"/>
        </w:rPr>
        <w:instrText xml:space="preserve"> REF _Ref232597582 \r \h  \* MERGEFORMAT </w:instrText>
      </w:r>
      <w:r w:rsidR="0091147A" w:rsidRPr="00796736">
        <w:rPr>
          <w:rFonts w:ascii="Times New Roman" w:hAnsi="Times New Roman" w:cs="Times New Roman"/>
          <w:sz w:val="24"/>
          <w:szCs w:val="24"/>
        </w:rPr>
      </w:r>
      <w:r w:rsidR="009114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91147A" w:rsidRPr="00796736">
        <w:rPr>
          <w:rFonts w:ascii="Times New Roman" w:hAnsi="Times New Roman" w:cs="Times New Roman"/>
          <w:sz w:val="24"/>
          <w:szCs w:val="24"/>
        </w:rPr>
        <w:fldChar w:fldCharType="end"/>
      </w:r>
      <w:r w:rsidR="0091147A" w:rsidRPr="00796736">
        <w:rPr>
          <w:rFonts w:ascii="Times New Roman" w:hAnsi="Times New Roman" w:cs="Times New Roman"/>
          <w:sz w:val="24"/>
          <w:szCs w:val="24"/>
        </w:rPr>
        <w:t xml:space="preserve">, </w:t>
      </w:r>
      <w:r w:rsidRPr="00796736">
        <w:rPr>
          <w:rFonts w:ascii="Times New Roman" w:hAnsi="Times New Roman" w:cs="Times New Roman"/>
          <w:sz w:val="24"/>
          <w:szCs w:val="24"/>
        </w:rPr>
        <w:t>stk. 1, omhandlende tavshedspligt.</w:t>
      </w:r>
    </w:p>
    <w:p w14:paraId="37A9E94D" w14:textId="313B81D4" w:rsidR="00F07C81" w:rsidRPr="00796736" w:rsidRDefault="00F07C81"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Videregivelse i henhold til stk. 1, nr. 1, 2, 4, 8, 9, 11, 14 samt nr. 17-21, af fortrolige oplysninger, der hidrører fra lande inden for Den Europæiske Union eller lande, som Unionen har indgået aftale med på det finansielle område, kan alene ske, </w:t>
      </w:r>
      <w:r w:rsidR="00085DC3" w:rsidRPr="00796736">
        <w:rPr>
          <w:rFonts w:ascii="Times New Roman" w:hAnsi="Times New Roman" w:cs="Times New Roman"/>
          <w:sz w:val="24"/>
          <w:szCs w:val="24"/>
        </w:rPr>
        <w:t xml:space="preserve">hvis </w:t>
      </w:r>
      <w:r w:rsidRPr="00796736">
        <w:rPr>
          <w:rFonts w:ascii="Times New Roman" w:hAnsi="Times New Roman" w:cs="Times New Roman"/>
          <w:sz w:val="24"/>
          <w:szCs w:val="24"/>
        </w:rPr>
        <w:t>de myndigheder, som har afgivet oplysningerne, har givet deres udtrykkelige tilladelse, og må udelukkende benyttes til det formål, som tilladelsen vedrører.</w:t>
      </w:r>
    </w:p>
    <w:p w14:paraId="7D32C429" w14:textId="2F0A6E03" w:rsidR="00F07C81" w:rsidRPr="00796736" w:rsidRDefault="00F07C81" w:rsidP="0053178C">
      <w:pPr>
        <w:spacing w:line="360" w:lineRule="auto"/>
        <w:ind w:firstLine="238"/>
        <w:rPr>
          <w:rFonts w:ascii="Times New Roman" w:hAnsi="Times New Roman" w:cs="Times New Roman"/>
          <w:sz w:val="24"/>
          <w:szCs w:val="24"/>
        </w:rPr>
      </w:pPr>
      <w:r w:rsidRPr="00796736">
        <w:rPr>
          <w:rFonts w:ascii="Times New Roman" w:eastAsia="Calibri" w:hAnsi="Times New Roman" w:cs="Times New Roman"/>
          <w:i/>
          <w:iCs/>
          <w:sz w:val="24"/>
          <w:szCs w:val="24"/>
        </w:rPr>
        <w:t xml:space="preserve">Stk. 5. </w:t>
      </w:r>
      <w:r w:rsidRPr="00796736">
        <w:rPr>
          <w:rFonts w:ascii="Times New Roman" w:hAnsi="Times New Roman" w:cs="Times New Roman"/>
          <w:sz w:val="24"/>
          <w:szCs w:val="24"/>
        </w:rPr>
        <w:t>Fortrolige oplysninger, som Finanstilsynet modtager, må kun anvendes i forbindelse med tilsynshvervet, herunder pålæggelse af sanktioner, eller hvis tilsynsmyndighedens afgørelse påklages til højere administrativ myndighed eller indbringes for domstolene.</w:t>
      </w:r>
      <w:bookmarkEnd w:id="282"/>
    </w:p>
    <w:p w14:paraId="5A792FD2" w14:textId="77777777" w:rsidR="005B04D4" w:rsidRPr="00796736" w:rsidRDefault="005B04D4" w:rsidP="0053178C">
      <w:pPr>
        <w:spacing w:line="360" w:lineRule="auto"/>
        <w:ind w:firstLine="238"/>
        <w:rPr>
          <w:rFonts w:ascii="Times New Roman" w:hAnsi="Times New Roman" w:cs="Times New Roman"/>
          <w:sz w:val="24"/>
          <w:szCs w:val="24"/>
        </w:rPr>
      </w:pPr>
    </w:p>
    <w:p w14:paraId="4268FD1B" w14:textId="7E55AF8B" w:rsidR="005B04D4" w:rsidRPr="00796736" w:rsidRDefault="005B04D4" w:rsidP="0053178C">
      <w:pPr>
        <w:pStyle w:val="Typografi1"/>
        <w:ind w:left="0" w:firstLine="238"/>
        <w:rPr>
          <w:rFonts w:ascii="Times New Roman" w:hAnsi="Times New Roman" w:cs="Times New Roman"/>
          <w:sz w:val="24"/>
          <w:szCs w:val="24"/>
        </w:rPr>
      </w:pPr>
      <w:bookmarkStart w:id="283" w:name="_Ref238213843"/>
      <w:bookmarkStart w:id="284" w:name="_Toc244879061"/>
      <w:bookmarkStart w:id="285" w:name="_Toc244880585"/>
      <w:r w:rsidRPr="00796736">
        <w:rPr>
          <w:rFonts w:ascii="Times New Roman" w:hAnsi="Times New Roman" w:cs="Times New Roman"/>
          <w:sz w:val="24"/>
          <w:szCs w:val="24"/>
        </w:rPr>
        <w:t xml:space="preserve">Finanstilsynets ansatte må ikke videregive oplysninger om en person, når vedkommende har indberettet en virksomhed eller en person til Finanstilsynet </w:t>
      </w:r>
      <w:r w:rsidRPr="00796736">
        <w:rPr>
          <w:rFonts w:ascii="Times New Roman" w:hAnsi="Times New Roman" w:cs="Times New Roman"/>
          <w:sz w:val="24"/>
          <w:szCs w:val="24"/>
          <w:lang w:eastAsia="da-DK"/>
        </w:rPr>
        <w:t xml:space="preserve">for overtrædelse eller potentiel overtrædelse af hvidvaskforordningen, denne lov, regler udstedt i medfør heraf eller bestemmelser indeholdt i forordninger nævnt </w:t>
      </w:r>
      <w:r w:rsidRPr="00796736">
        <w:rPr>
          <w:rFonts w:ascii="Times New Roman" w:hAnsi="Times New Roman" w:cs="Times New Roman"/>
          <w:sz w:val="24"/>
          <w:szCs w:val="24"/>
        </w:rPr>
        <w:t>i</w:t>
      </w:r>
      <w:r w:rsidR="000537C9" w:rsidRPr="00796736">
        <w:rPr>
          <w:rFonts w:ascii="Times New Roman" w:hAnsi="Times New Roman" w:cs="Times New Roman"/>
          <w:sz w:val="24"/>
          <w:szCs w:val="24"/>
        </w:rPr>
        <w:t xml:space="preserve"> </w:t>
      </w:r>
      <w:r w:rsidR="000537C9" w:rsidRPr="00796736">
        <w:rPr>
          <w:rFonts w:ascii="Times New Roman" w:hAnsi="Times New Roman" w:cs="Times New Roman"/>
          <w:sz w:val="24"/>
          <w:szCs w:val="24"/>
        </w:rPr>
        <w:fldChar w:fldCharType="begin"/>
      </w:r>
      <w:r w:rsidR="000537C9" w:rsidRPr="00796736">
        <w:rPr>
          <w:rFonts w:ascii="Times New Roman" w:hAnsi="Times New Roman" w:cs="Times New Roman"/>
          <w:sz w:val="24"/>
          <w:szCs w:val="24"/>
        </w:rPr>
        <w:instrText xml:space="preserve"> REF _Ref232597035 \r \h </w:instrText>
      </w:r>
      <w:r w:rsidR="0075395A" w:rsidRPr="00796736">
        <w:rPr>
          <w:rFonts w:ascii="Times New Roman" w:hAnsi="Times New Roman" w:cs="Times New Roman"/>
          <w:sz w:val="24"/>
          <w:szCs w:val="24"/>
        </w:rPr>
        <w:instrText xml:space="preserve"> \* MERGEFORMAT </w:instrText>
      </w:r>
      <w:r w:rsidR="000537C9" w:rsidRPr="00796736">
        <w:rPr>
          <w:rFonts w:ascii="Times New Roman" w:hAnsi="Times New Roman" w:cs="Times New Roman"/>
          <w:sz w:val="24"/>
          <w:szCs w:val="24"/>
        </w:rPr>
      </w:r>
      <w:r w:rsidR="000537C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0537C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w:t>
      </w:r>
      <w:r w:rsidR="000537C9" w:rsidRPr="00796736">
        <w:rPr>
          <w:rFonts w:ascii="Times New Roman" w:hAnsi="Times New Roman" w:cs="Times New Roman"/>
          <w:sz w:val="24"/>
          <w:szCs w:val="24"/>
        </w:rPr>
        <w:t xml:space="preserve"> og 2</w:t>
      </w:r>
      <w:r w:rsidRPr="00796736">
        <w:rPr>
          <w:rFonts w:ascii="Times New Roman" w:hAnsi="Times New Roman" w:cs="Times New Roman"/>
          <w:sz w:val="24"/>
          <w:szCs w:val="24"/>
        </w:rPr>
        <w:t>, for de områder af loven, som Finanstilsynet fører tilsyn med, jf. dog stk. 2</w:t>
      </w:r>
      <w:bookmarkEnd w:id="283"/>
      <w:r w:rsidR="0042556A" w:rsidRPr="00796736">
        <w:rPr>
          <w:rFonts w:ascii="Times New Roman" w:hAnsi="Times New Roman" w:cs="Times New Roman"/>
          <w:sz w:val="24"/>
          <w:szCs w:val="24"/>
        </w:rPr>
        <w:t>.</w:t>
      </w:r>
      <w:bookmarkEnd w:id="284"/>
      <w:bookmarkEnd w:id="285"/>
    </w:p>
    <w:p w14:paraId="06A75386" w14:textId="7D71F1A7" w:rsidR="005B04D4" w:rsidRPr="00796736" w:rsidRDefault="005B04D4"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00990F7C" w:rsidRPr="00796736">
        <w:rPr>
          <w:rFonts w:ascii="Times New Roman" w:hAnsi="Times New Roman" w:cs="Times New Roman"/>
          <w:color w:val="2F2F2B"/>
          <w:spacing w:val="2"/>
          <w:sz w:val="24"/>
          <w:szCs w:val="24"/>
          <w:shd w:val="clear" w:color="auto" w:fill="FFFFFF"/>
        </w:rPr>
        <w:t xml:space="preserve">. </w:t>
      </w:r>
      <w:r w:rsidR="0075019B" w:rsidRPr="00796736">
        <w:rPr>
          <w:rFonts w:ascii="Times New Roman" w:hAnsi="Times New Roman" w:cs="Times New Roman"/>
          <w:sz w:val="24"/>
          <w:szCs w:val="24"/>
        </w:rPr>
        <w:t>S</w:t>
      </w:r>
      <w:r w:rsidR="00990F7C" w:rsidRPr="00796736">
        <w:rPr>
          <w:rFonts w:ascii="Times New Roman" w:hAnsi="Times New Roman" w:cs="Times New Roman"/>
          <w:sz w:val="24"/>
          <w:szCs w:val="24"/>
        </w:rPr>
        <w:t xml:space="preserve">tk. 1 er ikke til hinder for, at personoplysninger videregives i medfør af </w:t>
      </w:r>
      <w:r w:rsidR="000537C9" w:rsidRPr="00796736">
        <w:rPr>
          <w:rFonts w:ascii="Times New Roman" w:hAnsi="Times New Roman" w:cs="Times New Roman"/>
          <w:sz w:val="24"/>
          <w:szCs w:val="24"/>
        </w:rPr>
        <w:fldChar w:fldCharType="begin"/>
      </w:r>
      <w:r w:rsidR="000537C9" w:rsidRPr="00796736">
        <w:rPr>
          <w:rFonts w:ascii="Times New Roman" w:hAnsi="Times New Roman" w:cs="Times New Roman"/>
          <w:sz w:val="24"/>
          <w:szCs w:val="24"/>
        </w:rPr>
        <w:instrText xml:space="preserve"> REF _Ref232597634 \r \h </w:instrText>
      </w:r>
      <w:r w:rsidR="0075395A" w:rsidRPr="00796736">
        <w:rPr>
          <w:rFonts w:ascii="Times New Roman" w:hAnsi="Times New Roman" w:cs="Times New Roman"/>
          <w:sz w:val="24"/>
          <w:szCs w:val="24"/>
        </w:rPr>
        <w:instrText xml:space="preserve"> \* MERGEFORMAT </w:instrText>
      </w:r>
      <w:r w:rsidR="000537C9" w:rsidRPr="00796736">
        <w:rPr>
          <w:rFonts w:ascii="Times New Roman" w:hAnsi="Times New Roman" w:cs="Times New Roman"/>
          <w:sz w:val="24"/>
          <w:szCs w:val="24"/>
        </w:rPr>
      </w:r>
      <w:r w:rsidR="000537C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0537C9" w:rsidRPr="00796736">
        <w:rPr>
          <w:rFonts w:ascii="Times New Roman" w:hAnsi="Times New Roman" w:cs="Times New Roman"/>
          <w:sz w:val="24"/>
          <w:szCs w:val="24"/>
        </w:rPr>
        <w:fldChar w:fldCharType="end"/>
      </w:r>
      <w:r w:rsidR="009A0902" w:rsidRPr="00796736">
        <w:rPr>
          <w:rFonts w:ascii="Times New Roman" w:hAnsi="Times New Roman" w:cs="Times New Roman"/>
          <w:sz w:val="24"/>
          <w:szCs w:val="24"/>
        </w:rPr>
        <w:t>, stk. 1</w:t>
      </w:r>
      <w:r w:rsidR="00990F7C" w:rsidRPr="00796736">
        <w:rPr>
          <w:rFonts w:ascii="Times New Roman" w:hAnsi="Times New Roman" w:cs="Times New Roman"/>
          <w:sz w:val="24"/>
          <w:szCs w:val="24"/>
        </w:rPr>
        <w:t>. </w:t>
      </w:r>
    </w:p>
    <w:p w14:paraId="20AD496C" w14:textId="0B146EDE" w:rsidR="005B04D4" w:rsidRPr="00796736" w:rsidRDefault="005B04D4" w:rsidP="0053178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990F7C" w:rsidRPr="00796736">
        <w:rPr>
          <w:rFonts w:ascii="Times New Roman" w:hAnsi="Times New Roman" w:cs="Times New Roman"/>
          <w:sz w:val="24"/>
          <w:szCs w:val="24"/>
        </w:rPr>
        <w:t xml:space="preserve">Alle, der i henhold til stk. 2 modtager personoplysninger, jf. dog </w:t>
      </w:r>
      <w:r w:rsidR="000537C9" w:rsidRPr="00796736">
        <w:rPr>
          <w:rFonts w:ascii="Times New Roman" w:hAnsi="Times New Roman" w:cs="Times New Roman"/>
          <w:sz w:val="24"/>
          <w:szCs w:val="24"/>
        </w:rPr>
        <w:fldChar w:fldCharType="begin"/>
      </w:r>
      <w:r w:rsidR="000537C9" w:rsidRPr="00796736">
        <w:rPr>
          <w:rFonts w:ascii="Times New Roman" w:hAnsi="Times New Roman" w:cs="Times New Roman"/>
          <w:sz w:val="24"/>
          <w:szCs w:val="24"/>
        </w:rPr>
        <w:instrText xml:space="preserve"> REF _Ref232597634 \r \h </w:instrText>
      </w:r>
      <w:r w:rsidR="0075395A" w:rsidRPr="00796736">
        <w:rPr>
          <w:rFonts w:ascii="Times New Roman" w:hAnsi="Times New Roman" w:cs="Times New Roman"/>
          <w:sz w:val="24"/>
          <w:szCs w:val="24"/>
        </w:rPr>
        <w:instrText xml:space="preserve"> \* MERGEFORMAT </w:instrText>
      </w:r>
      <w:r w:rsidR="000537C9" w:rsidRPr="00796736">
        <w:rPr>
          <w:rFonts w:ascii="Times New Roman" w:hAnsi="Times New Roman" w:cs="Times New Roman"/>
          <w:sz w:val="24"/>
          <w:szCs w:val="24"/>
        </w:rPr>
      </w:r>
      <w:r w:rsidR="000537C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0537C9" w:rsidRPr="00796736">
        <w:rPr>
          <w:rFonts w:ascii="Times New Roman" w:hAnsi="Times New Roman" w:cs="Times New Roman"/>
          <w:sz w:val="24"/>
          <w:szCs w:val="24"/>
        </w:rPr>
        <w:fldChar w:fldCharType="end"/>
      </w:r>
      <w:r w:rsidR="00990F7C" w:rsidRPr="00796736">
        <w:rPr>
          <w:rFonts w:ascii="Times New Roman" w:hAnsi="Times New Roman" w:cs="Times New Roman"/>
          <w:sz w:val="24"/>
          <w:szCs w:val="24"/>
        </w:rPr>
        <w:t xml:space="preserve">, stk. </w:t>
      </w:r>
      <w:r w:rsidR="000537C9" w:rsidRPr="00796736">
        <w:rPr>
          <w:rFonts w:ascii="Times New Roman" w:hAnsi="Times New Roman" w:cs="Times New Roman"/>
          <w:sz w:val="24"/>
          <w:szCs w:val="24"/>
        </w:rPr>
        <w:t>3</w:t>
      </w:r>
      <w:r w:rsidR="00990F7C" w:rsidRPr="00796736">
        <w:rPr>
          <w:rFonts w:ascii="Times New Roman" w:hAnsi="Times New Roman" w:cs="Times New Roman"/>
          <w:sz w:val="24"/>
          <w:szCs w:val="24"/>
        </w:rPr>
        <w:t>, er med hensyn til disse oplysninger undergivet den i stk. 1 omhandlede tavshedspligt.</w:t>
      </w:r>
    </w:p>
    <w:p w14:paraId="689C8BE1" w14:textId="77777777" w:rsidR="00AD6592" w:rsidRPr="00796736" w:rsidRDefault="00AD6592" w:rsidP="0053178C">
      <w:pPr>
        <w:spacing w:line="360" w:lineRule="auto"/>
        <w:ind w:firstLine="238"/>
        <w:rPr>
          <w:rFonts w:ascii="Times New Roman" w:hAnsi="Times New Roman" w:cs="Times New Roman"/>
          <w:sz w:val="24"/>
          <w:szCs w:val="24"/>
        </w:rPr>
      </w:pPr>
    </w:p>
    <w:p w14:paraId="19CB61D9" w14:textId="2B358023" w:rsidR="00F07904" w:rsidRPr="00796736" w:rsidRDefault="001F1D24" w:rsidP="00A802A5">
      <w:pPr>
        <w:spacing w:line="360" w:lineRule="auto"/>
        <w:jc w:val="center"/>
        <w:rPr>
          <w:rFonts w:ascii="Times New Roman" w:hAnsi="Times New Roman" w:cs="Times New Roman"/>
          <w:i/>
          <w:iCs/>
          <w:sz w:val="24"/>
          <w:szCs w:val="24"/>
        </w:rPr>
      </w:pPr>
      <w:r w:rsidRPr="00796736">
        <w:rPr>
          <w:rFonts w:ascii="Times New Roman" w:hAnsi="Times New Roman" w:cs="Times New Roman"/>
          <w:i/>
          <w:iCs/>
          <w:sz w:val="24"/>
          <w:szCs w:val="24"/>
        </w:rPr>
        <w:t>Erhvervsstyrelsens tilsyn</w:t>
      </w:r>
    </w:p>
    <w:p w14:paraId="442FA3C9" w14:textId="77777777" w:rsidR="009559B6" w:rsidRPr="00796736" w:rsidRDefault="009559B6" w:rsidP="007D070D">
      <w:pPr>
        <w:pStyle w:val="Typografi1"/>
        <w:ind w:left="0" w:firstLine="238"/>
        <w:rPr>
          <w:rFonts w:ascii="Times New Roman" w:hAnsi="Times New Roman" w:cs="Times New Roman"/>
          <w:sz w:val="24"/>
          <w:szCs w:val="24"/>
          <w:lang w:eastAsia="da-DK"/>
        </w:rPr>
      </w:pPr>
      <w:bookmarkStart w:id="286" w:name="_Ref232597665"/>
      <w:bookmarkStart w:id="287" w:name="_Ref236730892"/>
      <w:bookmarkStart w:id="288" w:name="_Toc244879062"/>
      <w:bookmarkStart w:id="289" w:name="_Toc244880586"/>
      <w:r w:rsidRPr="00796736">
        <w:rPr>
          <w:rFonts w:ascii="Times New Roman" w:hAnsi="Times New Roman" w:cs="Times New Roman"/>
          <w:sz w:val="24"/>
          <w:szCs w:val="24"/>
          <w:lang w:eastAsia="da-DK"/>
        </w:rPr>
        <w:t>Erhvervsstyrelsen påser, at følgende virksomheder og personer,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w:t>
      </w:r>
      <w:bookmarkEnd w:id="286"/>
      <w:r w:rsidRPr="00796736">
        <w:rPr>
          <w:rFonts w:ascii="Times New Roman" w:hAnsi="Times New Roman" w:cs="Times New Roman"/>
          <w:sz w:val="24"/>
          <w:szCs w:val="24"/>
          <w:lang w:eastAsia="da-DK"/>
        </w:rPr>
        <w:t>:</w:t>
      </w:r>
      <w:bookmarkEnd w:id="287"/>
      <w:bookmarkEnd w:id="288"/>
      <w:bookmarkEnd w:id="289"/>
    </w:p>
    <w:p w14:paraId="72AB34BA" w14:textId="486EB264" w:rsidR="009559B6" w:rsidRPr="00B37E36"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Revisorer omfattet af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_Ref232583170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xml:space="preserve">,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20.</w:t>
      </w:r>
    </w:p>
    <w:p w14:paraId="2D12B430" w14:textId="5E53891A" w:rsidR="009559B6" w:rsidRPr="00B37E36"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Eksterne regnskabskyndige omfattet af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_Ref232583170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xml:space="preserve">,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21.</w:t>
      </w:r>
    </w:p>
    <w:p w14:paraId="41976F94" w14:textId="37067F2A" w:rsidR="009559B6" w:rsidRPr="00B37E36"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Skatterådgivere omfattet af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_Ref232583170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xml:space="preserve">,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22.</w:t>
      </w:r>
    </w:p>
    <w:p w14:paraId="69A047F2" w14:textId="0A14D09C" w:rsidR="009559B6" w:rsidRPr="00B37E36"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Andre selvstændige retlige aktører omfattet af § 1,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23.</w:t>
      </w:r>
    </w:p>
    <w:p w14:paraId="44F4FE2F" w14:textId="004E8742" w:rsidR="009559B6" w:rsidRPr="00B37E36"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Ejendomsmæglere og andre professionelle i forbindelse med fast ejendom omfattet af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_Ref232583170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xml:space="preserve">,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24.</w:t>
      </w:r>
    </w:p>
    <w:p w14:paraId="05C820CD" w14:textId="39C79A01" w:rsidR="009559B6" w:rsidRPr="00B37E36"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Forhandlere af ædelmetaller og ædelsten omfattet af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_Ref232583170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xml:space="preserve">,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25.</w:t>
      </w:r>
    </w:p>
    <w:p w14:paraId="699F1623" w14:textId="0AF5A203" w:rsidR="009559B6" w:rsidRPr="00B37E36"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Forhandlere af højværdivarer omfattet af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_Ref232583170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xml:space="preserve">,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26.</w:t>
      </w:r>
    </w:p>
    <w:p w14:paraId="1721295D" w14:textId="6BEB08E2" w:rsidR="009559B6" w:rsidRPr="00B37E36"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Forhandlere af kulturgoder omfattet af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_Ref232583170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xml:space="preserve">,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27.</w:t>
      </w:r>
    </w:p>
    <w:p w14:paraId="0DAEA831" w14:textId="24B54416" w:rsidR="007D070D"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B37E36">
        <w:rPr>
          <w:rFonts w:ascii="Times New Roman" w:hAnsi="Times New Roman" w:cs="Times New Roman"/>
          <w:sz w:val="24"/>
          <w:szCs w:val="24"/>
          <w:lang w:eastAsia="da-DK"/>
        </w:rPr>
        <w:t xml:space="preserve">Forhandlere og formidlere af højværdivarer og kulturgoder inden for frizoner og toldoplag omfattet af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_Ref232583170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xml:space="preserve">, stk. 1, og som defineret i </w:t>
      </w:r>
      <w:r w:rsidRPr="00B37E36">
        <w:rPr>
          <w:rFonts w:ascii="Times New Roman" w:hAnsi="Times New Roman" w:cs="Times New Roman"/>
          <w:sz w:val="24"/>
          <w:szCs w:val="24"/>
          <w:lang w:eastAsia="da-DK"/>
        </w:rPr>
        <w:fldChar w:fldCharType="begin"/>
      </w:r>
      <w:r w:rsidRPr="00B37E36">
        <w:rPr>
          <w:rFonts w:ascii="Times New Roman" w:hAnsi="Times New Roman" w:cs="Times New Roman"/>
          <w:sz w:val="24"/>
          <w:szCs w:val="24"/>
          <w:lang w:eastAsia="da-DK"/>
        </w:rPr>
        <w:instrText xml:space="preserve"> REF _Ref232592818 \r \h </w:instrText>
      </w:r>
      <w:r w:rsidR="001A2696" w:rsidRPr="00B37E36">
        <w:rPr>
          <w:rFonts w:ascii="Times New Roman" w:hAnsi="Times New Roman" w:cs="Times New Roman"/>
          <w:sz w:val="24"/>
          <w:szCs w:val="24"/>
          <w:lang w:eastAsia="da-DK"/>
        </w:rPr>
        <w:instrText xml:space="preserve"> \* MERGEFORMAT </w:instrText>
      </w:r>
      <w:r w:rsidRPr="00B37E36">
        <w:rPr>
          <w:rFonts w:ascii="Times New Roman" w:hAnsi="Times New Roman" w:cs="Times New Roman"/>
          <w:sz w:val="24"/>
          <w:szCs w:val="24"/>
          <w:lang w:eastAsia="da-DK"/>
        </w:rPr>
      </w:r>
      <w:r w:rsidRPr="00B37E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B37E36">
        <w:rPr>
          <w:rFonts w:ascii="Times New Roman" w:hAnsi="Times New Roman" w:cs="Times New Roman"/>
          <w:sz w:val="24"/>
          <w:szCs w:val="24"/>
          <w:lang w:eastAsia="da-DK"/>
        </w:rPr>
        <w:fldChar w:fldCharType="end"/>
      </w:r>
      <w:r w:rsidRPr="00B37E36">
        <w:rPr>
          <w:rFonts w:ascii="Times New Roman" w:hAnsi="Times New Roman" w:cs="Times New Roman"/>
          <w:sz w:val="24"/>
          <w:szCs w:val="24"/>
          <w:lang w:eastAsia="da-DK"/>
        </w:rPr>
        <w:t>, nr. 28.</w:t>
      </w:r>
    </w:p>
    <w:p w14:paraId="5A87272F" w14:textId="6A83C37C" w:rsidR="007D070D"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7D070D">
        <w:rPr>
          <w:rFonts w:ascii="Times New Roman" w:hAnsi="Times New Roman" w:cs="Times New Roman"/>
          <w:sz w:val="24"/>
          <w:szCs w:val="24"/>
          <w:lang w:eastAsia="da-DK"/>
        </w:rPr>
        <w:t xml:space="preserve">Udbydere af tjenester til truster eller virksomheder omfattet af </w:t>
      </w:r>
      <w:r w:rsidRPr="007D070D">
        <w:rPr>
          <w:rFonts w:ascii="Times New Roman" w:hAnsi="Times New Roman" w:cs="Times New Roman"/>
          <w:sz w:val="24"/>
          <w:szCs w:val="24"/>
          <w:lang w:eastAsia="da-DK"/>
        </w:rPr>
        <w:fldChar w:fldCharType="begin"/>
      </w:r>
      <w:r w:rsidRPr="007D070D">
        <w:rPr>
          <w:rFonts w:ascii="Times New Roman" w:hAnsi="Times New Roman" w:cs="Times New Roman"/>
          <w:sz w:val="24"/>
          <w:szCs w:val="24"/>
          <w:lang w:eastAsia="da-DK"/>
        </w:rPr>
        <w:instrText xml:space="preserve"> REF _Ref232583170 \r \h </w:instrText>
      </w:r>
      <w:r w:rsidR="001A2696" w:rsidRPr="007D070D">
        <w:rPr>
          <w:rFonts w:ascii="Times New Roman" w:hAnsi="Times New Roman" w:cs="Times New Roman"/>
          <w:sz w:val="24"/>
          <w:szCs w:val="24"/>
          <w:lang w:eastAsia="da-DK"/>
        </w:rPr>
        <w:instrText xml:space="preserve"> \* MERGEFORMAT </w:instrText>
      </w:r>
      <w:r w:rsidRPr="007D070D">
        <w:rPr>
          <w:rFonts w:ascii="Times New Roman" w:hAnsi="Times New Roman" w:cs="Times New Roman"/>
          <w:sz w:val="24"/>
          <w:szCs w:val="24"/>
          <w:lang w:eastAsia="da-DK"/>
        </w:rPr>
      </w:r>
      <w:r w:rsidRPr="007D070D">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7D070D">
        <w:rPr>
          <w:rFonts w:ascii="Times New Roman" w:hAnsi="Times New Roman" w:cs="Times New Roman"/>
          <w:sz w:val="24"/>
          <w:szCs w:val="24"/>
          <w:lang w:eastAsia="da-DK"/>
        </w:rPr>
        <w:fldChar w:fldCharType="end"/>
      </w:r>
      <w:r w:rsidRPr="007D070D">
        <w:rPr>
          <w:rFonts w:ascii="Times New Roman" w:hAnsi="Times New Roman" w:cs="Times New Roman"/>
          <w:sz w:val="24"/>
          <w:szCs w:val="24"/>
          <w:lang w:eastAsia="da-DK"/>
        </w:rPr>
        <w:t xml:space="preserve">, stk. 1, og som defineret i </w:t>
      </w:r>
      <w:r w:rsidRPr="007D070D">
        <w:rPr>
          <w:rFonts w:ascii="Times New Roman" w:hAnsi="Times New Roman" w:cs="Times New Roman"/>
          <w:sz w:val="24"/>
          <w:szCs w:val="24"/>
          <w:lang w:eastAsia="da-DK"/>
        </w:rPr>
        <w:fldChar w:fldCharType="begin"/>
      </w:r>
      <w:r w:rsidRPr="007D070D">
        <w:rPr>
          <w:rFonts w:ascii="Times New Roman" w:hAnsi="Times New Roman" w:cs="Times New Roman"/>
          <w:sz w:val="24"/>
          <w:szCs w:val="24"/>
          <w:lang w:eastAsia="da-DK"/>
        </w:rPr>
        <w:instrText xml:space="preserve"> REF _Ref232592818 \r \h </w:instrText>
      </w:r>
      <w:r w:rsidR="001A2696" w:rsidRPr="007D070D">
        <w:rPr>
          <w:rFonts w:ascii="Times New Roman" w:hAnsi="Times New Roman" w:cs="Times New Roman"/>
          <w:sz w:val="24"/>
          <w:szCs w:val="24"/>
          <w:lang w:eastAsia="da-DK"/>
        </w:rPr>
        <w:instrText xml:space="preserve"> \* MERGEFORMAT </w:instrText>
      </w:r>
      <w:r w:rsidRPr="007D070D">
        <w:rPr>
          <w:rFonts w:ascii="Times New Roman" w:hAnsi="Times New Roman" w:cs="Times New Roman"/>
          <w:sz w:val="24"/>
          <w:szCs w:val="24"/>
          <w:lang w:eastAsia="da-DK"/>
        </w:rPr>
      </w:r>
      <w:r w:rsidRPr="007D070D">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7D070D">
        <w:rPr>
          <w:rFonts w:ascii="Times New Roman" w:hAnsi="Times New Roman" w:cs="Times New Roman"/>
          <w:sz w:val="24"/>
          <w:szCs w:val="24"/>
          <w:lang w:eastAsia="da-DK"/>
        </w:rPr>
        <w:fldChar w:fldCharType="end"/>
      </w:r>
      <w:r w:rsidRPr="007D070D">
        <w:rPr>
          <w:rFonts w:ascii="Times New Roman" w:hAnsi="Times New Roman" w:cs="Times New Roman"/>
          <w:sz w:val="24"/>
          <w:szCs w:val="24"/>
          <w:lang w:eastAsia="da-DK"/>
        </w:rPr>
        <w:t>, nr. 29.</w:t>
      </w:r>
    </w:p>
    <w:p w14:paraId="1E4E3F45" w14:textId="00EEA292" w:rsidR="009559B6" w:rsidRPr="007D070D" w:rsidRDefault="009559B6">
      <w:pPr>
        <w:pStyle w:val="Listeafsnit"/>
        <w:numPr>
          <w:ilvl w:val="0"/>
          <w:numId w:val="94"/>
        </w:numPr>
        <w:spacing w:line="360" w:lineRule="auto"/>
        <w:ind w:left="601" w:hanging="238"/>
        <w:rPr>
          <w:rFonts w:ascii="Times New Roman" w:hAnsi="Times New Roman" w:cs="Times New Roman"/>
          <w:sz w:val="24"/>
          <w:szCs w:val="24"/>
          <w:lang w:eastAsia="da-DK"/>
        </w:rPr>
      </w:pPr>
      <w:r w:rsidRPr="007D070D">
        <w:rPr>
          <w:rFonts w:ascii="Times New Roman" w:hAnsi="Times New Roman" w:cs="Times New Roman"/>
          <w:sz w:val="24"/>
          <w:szCs w:val="24"/>
          <w:lang w:eastAsia="da-DK"/>
        </w:rPr>
        <w:t xml:space="preserve">Ikke-finansielle holdingselskaber med blandet aktivitet som omfattet af </w:t>
      </w:r>
      <w:r w:rsidRPr="007D070D">
        <w:rPr>
          <w:rFonts w:ascii="Times New Roman" w:hAnsi="Times New Roman" w:cs="Times New Roman"/>
          <w:sz w:val="24"/>
          <w:szCs w:val="24"/>
          <w:lang w:eastAsia="da-DK"/>
        </w:rPr>
        <w:fldChar w:fldCharType="begin"/>
      </w:r>
      <w:r w:rsidRPr="007D070D">
        <w:rPr>
          <w:rFonts w:ascii="Times New Roman" w:hAnsi="Times New Roman" w:cs="Times New Roman"/>
          <w:sz w:val="24"/>
          <w:szCs w:val="24"/>
          <w:lang w:eastAsia="da-DK"/>
        </w:rPr>
        <w:instrText xml:space="preserve"> REF _Ref232583170 \r \h </w:instrText>
      </w:r>
      <w:r w:rsidR="001A2696" w:rsidRPr="007D070D">
        <w:rPr>
          <w:rFonts w:ascii="Times New Roman" w:hAnsi="Times New Roman" w:cs="Times New Roman"/>
          <w:sz w:val="24"/>
          <w:szCs w:val="24"/>
          <w:lang w:eastAsia="da-DK"/>
        </w:rPr>
        <w:instrText xml:space="preserve"> \* MERGEFORMAT </w:instrText>
      </w:r>
      <w:r w:rsidRPr="007D070D">
        <w:rPr>
          <w:rFonts w:ascii="Times New Roman" w:hAnsi="Times New Roman" w:cs="Times New Roman"/>
          <w:sz w:val="24"/>
          <w:szCs w:val="24"/>
          <w:lang w:eastAsia="da-DK"/>
        </w:rPr>
      </w:r>
      <w:r w:rsidRPr="007D070D">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w:t>
      </w:r>
      <w:r w:rsidRPr="007D070D">
        <w:rPr>
          <w:rFonts w:ascii="Times New Roman" w:hAnsi="Times New Roman" w:cs="Times New Roman"/>
          <w:sz w:val="24"/>
          <w:szCs w:val="24"/>
          <w:lang w:eastAsia="da-DK"/>
        </w:rPr>
        <w:fldChar w:fldCharType="end"/>
      </w:r>
      <w:r w:rsidRPr="007D070D">
        <w:rPr>
          <w:rFonts w:ascii="Times New Roman" w:hAnsi="Times New Roman" w:cs="Times New Roman"/>
          <w:sz w:val="24"/>
          <w:szCs w:val="24"/>
          <w:lang w:eastAsia="da-DK"/>
        </w:rPr>
        <w:t xml:space="preserve">, stk. 1, og som defineret i </w:t>
      </w:r>
      <w:r w:rsidRPr="007D070D">
        <w:rPr>
          <w:rFonts w:ascii="Times New Roman" w:hAnsi="Times New Roman" w:cs="Times New Roman"/>
          <w:sz w:val="24"/>
          <w:szCs w:val="24"/>
          <w:lang w:eastAsia="da-DK"/>
        </w:rPr>
        <w:fldChar w:fldCharType="begin"/>
      </w:r>
      <w:r w:rsidRPr="007D070D">
        <w:rPr>
          <w:rFonts w:ascii="Times New Roman" w:hAnsi="Times New Roman" w:cs="Times New Roman"/>
          <w:sz w:val="24"/>
          <w:szCs w:val="24"/>
          <w:lang w:eastAsia="da-DK"/>
        </w:rPr>
        <w:instrText xml:space="preserve"> REF _Ref232592818 \r \h </w:instrText>
      </w:r>
      <w:r w:rsidR="001A2696" w:rsidRPr="007D070D">
        <w:rPr>
          <w:rFonts w:ascii="Times New Roman" w:hAnsi="Times New Roman" w:cs="Times New Roman"/>
          <w:sz w:val="24"/>
          <w:szCs w:val="24"/>
          <w:lang w:eastAsia="da-DK"/>
        </w:rPr>
        <w:instrText xml:space="preserve"> \* MERGEFORMAT </w:instrText>
      </w:r>
      <w:r w:rsidRPr="007D070D">
        <w:rPr>
          <w:rFonts w:ascii="Times New Roman" w:hAnsi="Times New Roman" w:cs="Times New Roman"/>
          <w:sz w:val="24"/>
          <w:szCs w:val="24"/>
          <w:lang w:eastAsia="da-DK"/>
        </w:rPr>
      </w:r>
      <w:r w:rsidRPr="007D070D">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Pr="007D070D">
        <w:rPr>
          <w:rFonts w:ascii="Times New Roman" w:hAnsi="Times New Roman" w:cs="Times New Roman"/>
          <w:sz w:val="24"/>
          <w:szCs w:val="24"/>
          <w:lang w:eastAsia="da-DK"/>
        </w:rPr>
        <w:fldChar w:fldCharType="end"/>
      </w:r>
      <w:r w:rsidRPr="007D070D">
        <w:rPr>
          <w:rFonts w:ascii="Times New Roman" w:hAnsi="Times New Roman" w:cs="Times New Roman"/>
          <w:sz w:val="24"/>
          <w:szCs w:val="24"/>
          <w:lang w:eastAsia="da-DK"/>
        </w:rPr>
        <w:t>, 32, litra b</w:t>
      </w:r>
      <w:r w:rsidR="00EE4163" w:rsidRPr="007D070D">
        <w:rPr>
          <w:rFonts w:ascii="Times New Roman" w:hAnsi="Times New Roman" w:cs="Times New Roman"/>
          <w:sz w:val="24"/>
          <w:szCs w:val="24"/>
          <w:lang w:eastAsia="da-DK"/>
        </w:rPr>
        <w:t>.</w:t>
      </w:r>
    </w:p>
    <w:p w14:paraId="05EBFF3A" w14:textId="77777777" w:rsidR="00D81D3C" w:rsidRPr="00796736" w:rsidRDefault="00D81D3C" w:rsidP="00A802A5">
      <w:pPr>
        <w:spacing w:line="360" w:lineRule="auto"/>
        <w:rPr>
          <w:rFonts w:ascii="Times New Roman" w:hAnsi="Times New Roman" w:cs="Times New Roman"/>
          <w:sz w:val="24"/>
          <w:szCs w:val="24"/>
          <w:lang w:eastAsia="da-DK"/>
        </w:rPr>
      </w:pPr>
    </w:p>
    <w:p w14:paraId="1605159A" w14:textId="73A5C5CE" w:rsidR="00D81D3C" w:rsidRPr="00796736" w:rsidRDefault="00D81D3C" w:rsidP="00A802A5">
      <w:pPr>
        <w:spacing w:line="360" w:lineRule="auto"/>
        <w:ind w:firstLine="238"/>
        <w:jc w:val="center"/>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Tilsyn med grænseoverskridende aktiviteter</w:t>
      </w:r>
    </w:p>
    <w:p w14:paraId="4FD75DF5" w14:textId="1519FA75" w:rsidR="00D81D3C" w:rsidRPr="00796736" w:rsidRDefault="0042556A" w:rsidP="007D070D">
      <w:pPr>
        <w:pStyle w:val="Typografi1"/>
        <w:ind w:left="0" w:firstLine="238"/>
        <w:rPr>
          <w:rFonts w:ascii="Times New Roman" w:hAnsi="Times New Roman" w:cs="Times New Roman"/>
          <w:sz w:val="24"/>
          <w:szCs w:val="24"/>
          <w:lang w:eastAsia="da-DK"/>
        </w:rPr>
      </w:pPr>
      <w:bookmarkStart w:id="290" w:name="_Ref236649051"/>
      <w:bookmarkStart w:id="291" w:name="_Ref241667034"/>
      <w:bookmarkStart w:id="292" w:name="_Toc244879063"/>
      <w:bookmarkStart w:id="293" w:name="_Toc244880587"/>
      <w:r w:rsidRPr="00796736">
        <w:rPr>
          <w:rFonts w:ascii="Times New Roman" w:hAnsi="Times New Roman" w:cs="Times New Roman"/>
          <w:sz w:val="24"/>
          <w:szCs w:val="24"/>
          <w:lang w:eastAsia="da-DK"/>
        </w:rPr>
        <w:t xml:space="preserve">Erhvervsstyrelsen skal samarbejde med de kompetente myndigheder i EU- eller EØS-lande om at medvirke ved tilsynsaktiviteter, kontroller på stedet eller inspektioner her i landet, </w:t>
      </w:r>
      <w:r w:rsidR="00D81D3C" w:rsidRPr="00796736">
        <w:rPr>
          <w:rFonts w:ascii="Times New Roman" w:hAnsi="Times New Roman" w:cs="Times New Roman"/>
          <w:sz w:val="24"/>
          <w:szCs w:val="24"/>
          <w:lang w:eastAsia="da-DK"/>
        </w:rPr>
        <w:t xml:space="preserve">når virksomheder og personer, der udøver de typer virksomhed, som er nævnt </w:t>
      </w:r>
      <w:r w:rsidR="0028002B" w:rsidRPr="00796736">
        <w:rPr>
          <w:rFonts w:ascii="Times New Roman" w:hAnsi="Times New Roman" w:cs="Times New Roman"/>
          <w:sz w:val="24"/>
          <w:szCs w:val="24"/>
          <w:lang w:eastAsia="da-DK"/>
        </w:rPr>
        <w:t>i</w:t>
      </w:r>
      <w:r w:rsidR="009559B6" w:rsidRPr="00796736">
        <w:rPr>
          <w:rFonts w:ascii="Times New Roman" w:hAnsi="Times New Roman" w:cs="Times New Roman"/>
          <w:sz w:val="24"/>
          <w:szCs w:val="24"/>
          <w:lang w:eastAsia="da-DK"/>
        </w:rPr>
        <w:t xml:space="preserve"> </w:t>
      </w:r>
      <w:r w:rsidR="009559B6" w:rsidRPr="00796736">
        <w:rPr>
          <w:rFonts w:ascii="Times New Roman" w:hAnsi="Times New Roman" w:cs="Times New Roman"/>
          <w:sz w:val="24"/>
          <w:szCs w:val="24"/>
          <w:lang w:eastAsia="da-DK"/>
        </w:rPr>
        <w:fldChar w:fldCharType="begin"/>
      </w:r>
      <w:r w:rsidR="009559B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9559B6" w:rsidRPr="00796736">
        <w:rPr>
          <w:rFonts w:ascii="Times New Roman" w:hAnsi="Times New Roman" w:cs="Times New Roman"/>
          <w:sz w:val="24"/>
          <w:szCs w:val="24"/>
          <w:lang w:eastAsia="da-DK"/>
        </w:rPr>
      </w:r>
      <w:r w:rsidR="009559B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796736">
        <w:rPr>
          <w:rFonts w:ascii="Times New Roman" w:hAnsi="Times New Roman" w:cs="Times New Roman"/>
          <w:sz w:val="24"/>
          <w:szCs w:val="24"/>
          <w:lang w:eastAsia="da-DK"/>
        </w:rPr>
        <w:fldChar w:fldCharType="end"/>
      </w:r>
      <w:r w:rsidR="00D81D3C" w:rsidRPr="00796736">
        <w:rPr>
          <w:rFonts w:ascii="Times New Roman" w:hAnsi="Times New Roman" w:cs="Times New Roman"/>
          <w:sz w:val="24"/>
          <w:szCs w:val="24"/>
          <w:lang w:eastAsia="da-DK"/>
        </w:rPr>
        <w:t>, der er under tilsyn i et andet EU- eller EØS-land, udøver disse aktiviteter her i landet, eller når virksomheder og personer, som er</w:t>
      </w:r>
      <w:r w:rsidR="009559B6" w:rsidRPr="00796736">
        <w:rPr>
          <w:rFonts w:ascii="Times New Roman" w:hAnsi="Times New Roman" w:cs="Times New Roman"/>
          <w:sz w:val="24"/>
          <w:szCs w:val="24"/>
          <w:lang w:eastAsia="da-DK"/>
        </w:rPr>
        <w:t xml:space="preserve"> nævnt i </w:t>
      </w:r>
      <w:r w:rsidR="009559B6" w:rsidRPr="00796736">
        <w:rPr>
          <w:rFonts w:ascii="Times New Roman" w:hAnsi="Times New Roman" w:cs="Times New Roman"/>
          <w:sz w:val="24"/>
          <w:szCs w:val="24"/>
          <w:lang w:eastAsia="da-DK"/>
        </w:rPr>
        <w:fldChar w:fldCharType="begin"/>
      </w:r>
      <w:r w:rsidR="009559B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9559B6" w:rsidRPr="00796736">
        <w:rPr>
          <w:rFonts w:ascii="Times New Roman" w:hAnsi="Times New Roman" w:cs="Times New Roman"/>
          <w:sz w:val="24"/>
          <w:szCs w:val="24"/>
          <w:lang w:eastAsia="da-DK"/>
        </w:rPr>
      </w:r>
      <w:r w:rsidR="009559B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796736">
        <w:rPr>
          <w:rFonts w:ascii="Times New Roman" w:hAnsi="Times New Roman" w:cs="Times New Roman"/>
          <w:sz w:val="24"/>
          <w:szCs w:val="24"/>
          <w:lang w:eastAsia="da-DK"/>
        </w:rPr>
        <w:fldChar w:fldCharType="end"/>
      </w:r>
      <w:r w:rsidR="00D81D3C" w:rsidRPr="00796736">
        <w:rPr>
          <w:rFonts w:ascii="Times New Roman" w:hAnsi="Times New Roman" w:cs="Times New Roman"/>
          <w:sz w:val="24"/>
          <w:szCs w:val="24"/>
          <w:lang w:eastAsia="da-DK"/>
        </w:rPr>
        <w:t xml:space="preserve">, </w:t>
      </w:r>
      <w:bookmarkEnd w:id="290"/>
      <w:r w:rsidR="009559B6" w:rsidRPr="00796736">
        <w:rPr>
          <w:rFonts w:ascii="Times New Roman" w:hAnsi="Times New Roman" w:cs="Times New Roman"/>
          <w:sz w:val="24"/>
          <w:szCs w:val="24"/>
          <w:lang w:eastAsia="da-DK"/>
        </w:rPr>
        <w:t>der er underlagt tilsyn her i landet, men opererer i andre EU- eller EØS-lande.</w:t>
      </w:r>
      <w:bookmarkEnd w:id="291"/>
      <w:bookmarkEnd w:id="292"/>
      <w:bookmarkEnd w:id="293"/>
    </w:p>
    <w:p w14:paraId="143C5B32" w14:textId="3A737EFD" w:rsidR="00D81D3C" w:rsidRPr="00796736" w:rsidRDefault="00D81D3C" w:rsidP="002873E3">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Tilsynsmyndighederne i et andet EU- eller EØS-land kan efter forudgående aftale med Erhvervsstyrelsen foretage tilsyn hos de her i landet beliggende virksomheder og personer, der udøver den type virksomhed, som er nævnt i</w:t>
      </w:r>
      <w:r w:rsidR="009559B6" w:rsidRPr="00796736">
        <w:rPr>
          <w:rFonts w:ascii="Times New Roman" w:hAnsi="Times New Roman" w:cs="Times New Roman"/>
          <w:sz w:val="24"/>
          <w:szCs w:val="24"/>
          <w:lang w:eastAsia="da-DK"/>
        </w:rPr>
        <w:t xml:space="preserve"> </w:t>
      </w:r>
      <w:r w:rsidR="009559B6" w:rsidRPr="00796736">
        <w:rPr>
          <w:rFonts w:ascii="Times New Roman" w:hAnsi="Times New Roman" w:cs="Times New Roman"/>
          <w:sz w:val="24"/>
          <w:szCs w:val="24"/>
          <w:lang w:eastAsia="da-DK"/>
        </w:rPr>
        <w:fldChar w:fldCharType="begin"/>
      </w:r>
      <w:r w:rsidR="009559B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9559B6" w:rsidRPr="00796736">
        <w:rPr>
          <w:rFonts w:ascii="Times New Roman" w:hAnsi="Times New Roman" w:cs="Times New Roman"/>
          <w:sz w:val="24"/>
          <w:szCs w:val="24"/>
          <w:lang w:eastAsia="da-DK"/>
        </w:rPr>
      </w:r>
      <w:r w:rsidR="009559B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796736">
        <w:rPr>
          <w:rFonts w:ascii="Times New Roman" w:hAnsi="Times New Roman" w:cs="Times New Roman"/>
          <w:sz w:val="24"/>
          <w:szCs w:val="24"/>
          <w:lang w:eastAsia="da-DK"/>
        </w:rPr>
        <w:fldChar w:fldCharType="end"/>
      </w:r>
      <w:r w:rsidR="0028002B"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med hjemsted i det pågældende land.  Erhvervsstyrelsen kan deltage i tilsynet som nævnt i 1. pkt. Modsætter en virksomhed eller person som nævnt i 1. pkt. sig en kompetent udenlandsk myndigheds tilsyn, kan undersøgelsen kun foretages med Erhvervsstyrelsens medvirken.</w:t>
      </w:r>
    </w:p>
    <w:p w14:paraId="32101578" w14:textId="307F9994" w:rsidR="00D81D3C" w:rsidRPr="00796736" w:rsidRDefault="00D81D3C" w:rsidP="002873E3">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3.</w:t>
      </w:r>
      <w:r w:rsidRPr="00796736">
        <w:rPr>
          <w:rFonts w:ascii="Times New Roman" w:hAnsi="Times New Roman" w:cs="Times New Roman"/>
          <w:sz w:val="24"/>
          <w:szCs w:val="24"/>
          <w:lang w:eastAsia="da-DK"/>
        </w:rPr>
        <w:t xml:space="preserve"> Erhvervsstyrelsen kan anmode de kompetente myndigheder i et EU- eller EØS-land om at medvirke til at påse overholdensen af hvidvaskforordningen, denne lov og regler, der er udstedt i medfør af loven, vedrørende virksomheder og personer, der udøver den type af virksomhed, som er nævnt i</w:t>
      </w:r>
      <w:r w:rsidR="009559B6" w:rsidRPr="00796736">
        <w:rPr>
          <w:rFonts w:ascii="Times New Roman" w:hAnsi="Times New Roman" w:cs="Times New Roman"/>
          <w:sz w:val="24"/>
          <w:szCs w:val="24"/>
          <w:lang w:eastAsia="da-DK"/>
        </w:rPr>
        <w:t xml:space="preserve"> </w:t>
      </w:r>
      <w:r w:rsidR="009559B6" w:rsidRPr="00796736">
        <w:rPr>
          <w:rFonts w:ascii="Times New Roman" w:hAnsi="Times New Roman" w:cs="Times New Roman"/>
          <w:sz w:val="24"/>
          <w:szCs w:val="24"/>
          <w:lang w:eastAsia="da-DK"/>
        </w:rPr>
        <w:fldChar w:fldCharType="begin"/>
      </w:r>
      <w:r w:rsidR="009559B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9559B6" w:rsidRPr="00796736">
        <w:rPr>
          <w:rFonts w:ascii="Times New Roman" w:hAnsi="Times New Roman" w:cs="Times New Roman"/>
          <w:sz w:val="24"/>
          <w:szCs w:val="24"/>
          <w:lang w:eastAsia="da-DK"/>
        </w:rPr>
      </w:r>
      <w:r w:rsidR="009559B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med hjemsted i et andet EU- eller EØS-land ved tilsynsaktioner, kontroller på steder eller inspektioner på et andet EU- eller EØS-lands område.</w:t>
      </w:r>
    </w:p>
    <w:p w14:paraId="4C4A5AF8" w14:textId="77777777" w:rsidR="006B74B5" w:rsidRPr="00796736" w:rsidRDefault="006B74B5" w:rsidP="00A802A5">
      <w:pPr>
        <w:spacing w:line="360" w:lineRule="auto"/>
        <w:ind w:firstLine="238"/>
        <w:rPr>
          <w:rFonts w:ascii="Times New Roman" w:eastAsia="Calibri" w:hAnsi="Times New Roman" w:cs="Times New Roman"/>
          <w:sz w:val="24"/>
          <w:szCs w:val="24"/>
        </w:rPr>
      </w:pPr>
    </w:p>
    <w:p w14:paraId="4F775C1D" w14:textId="4A9F8A8E" w:rsidR="005A7A26" w:rsidRPr="00796736" w:rsidRDefault="005A7A26" w:rsidP="00A802A5">
      <w:pPr>
        <w:spacing w:line="360" w:lineRule="auto"/>
        <w:jc w:val="center"/>
        <w:rPr>
          <w:rFonts w:ascii="Times New Roman" w:hAnsi="Times New Roman" w:cs="Times New Roman"/>
          <w:i/>
          <w:iCs/>
          <w:sz w:val="24"/>
          <w:szCs w:val="24"/>
          <w:lang w:eastAsia="da-DK"/>
        </w:rPr>
      </w:pPr>
      <w:r w:rsidRPr="00796736">
        <w:rPr>
          <w:rFonts w:ascii="Times New Roman" w:hAnsi="Times New Roman" w:cs="Times New Roman"/>
          <w:i/>
          <w:iCs/>
          <w:sz w:val="24"/>
          <w:szCs w:val="24"/>
          <w:lang w:eastAsia="da-DK"/>
        </w:rPr>
        <w:t>Indhent</w:t>
      </w:r>
      <w:r w:rsidR="00006A1E" w:rsidRPr="00796736">
        <w:rPr>
          <w:rFonts w:ascii="Times New Roman" w:hAnsi="Times New Roman" w:cs="Times New Roman"/>
          <w:i/>
          <w:iCs/>
          <w:sz w:val="24"/>
          <w:szCs w:val="24"/>
          <w:lang w:eastAsia="da-DK"/>
        </w:rPr>
        <w:t xml:space="preserve">ning </w:t>
      </w:r>
      <w:r w:rsidRPr="00796736">
        <w:rPr>
          <w:rFonts w:ascii="Times New Roman" w:hAnsi="Times New Roman" w:cs="Times New Roman"/>
          <w:i/>
          <w:iCs/>
          <w:sz w:val="24"/>
          <w:szCs w:val="24"/>
          <w:lang w:eastAsia="da-DK"/>
        </w:rPr>
        <w:t>af oplysninger</w:t>
      </w:r>
    </w:p>
    <w:p w14:paraId="329760C3" w14:textId="16E3D0D0" w:rsidR="005A7A26" w:rsidRPr="00796736" w:rsidRDefault="006B74B5" w:rsidP="007D070D">
      <w:pPr>
        <w:pStyle w:val="Typografi1"/>
        <w:ind w:left="0" w:firstLine="238"/>
        <w:rPr>
          <w:rFonts w:ascii="Times New Roman" w:hAnsi="Times New Roman" w:cs="Times New Roman"/>
          <w:sz w:val="24"/>
          <w:szCs w:val="24"/>
          <w:lang w:eastAsia="da-DK"/>
        </w:rPr>
      </w:pPr>
      <w:bookmarkStart w:id="294" w:name="_Hlk215566342"/>
      <w:bookmarkStart w:id="295" w:name="_Toc244879064"/>
      <w:bookmarkStart w:id="296" w:name="_Toc244880588"/>
      <w:r w:rsidRPr="00796736">
        <w:rPr>
          <w:rFonts w:ascii="Times New Roman" w:hAnsi="Times New Roman" w:cs="Times New Roman"/>
          <w:sz w:val="24"/>
          <w:szCs w:val="24"/>
          <w:lang w:eastAsia="da-DK"/>
        </w:rPr>
        <w:t xml:space="preserve">Virksomheder og personer </w:t>
      </w:r>
      <w:r w:rsidR="009559B6" w:rsidRPr="00796736">
        <w:rPr>
          <w:rFonts w:ascii="Times New Roman" w:hAnsi="Times New Roman" w:cs="Times New Roman"/>
          <w:sz w:val="24"/>
          <w:szCs w:val="24"/>
          <w:lang w:eastAsia="da-DK"/>
        </w:rPr>
        <w:t>omfattet af</w:t>
      </w:r>
      <w:r w:rsidR="0028002B" w:rsidRPr="00796736">
        <w:rPr>
          <w:rFonts w:ascii="Times New Roman" w:hAnsi="Times New Roman" w:cs="Times New Roman"/>
          <w:sz w:val="24"/>
          <w:szCs w:val="24"/>
          <w:lang w:eastAsia="da-DK"/>
        </w:rPr>
        <w:t xml:space="preserve"> </w:t>
      </w:r>
      <w:r w:rsidR="009559B6" w:rsidRPr="00796736">
        <w:rPr>
          <w:rFonts w:ascii="Times New Roman" w:hAnsi="Times New Roman" w:cs="Times New Roman"/>
          <w:sz w:val="24"/>
          <w:szCs w:val="24"/>
          <w:lang w:eastAsia="da-DK"/>
        </w:rPr>
        <w:fldChar w:fldCharType="begin"/>
      </w:r>
      <w:r w:rsidR="009559B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9559B6" w:rsidRPr="00796736">
        <w:rPr>
          <w:rFonts w:ascii="Times New Roman" w:hAnsi="Times New Roman" w:cs="Times New Roman"/>
          <w:sz w:val="24"/>
          <w:szCs w:val="24"/>
          <w:lang w:eastAsia="da-DK"/>
        </w:rPr>
      </w:r>
      <w:r w:rsidR="009559B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samt leverandører og underleverandører til disse, skal give Erhvervsstyrelsen de oplysninger, der er nødvendige for styrelsens virksomhed.</w:t>
      </w:r>
      <w:bookmarkEnd w:id="294"/>
      <w:bookmarkEnd w:id="295"/>
      <w:bookmarkEnd w:id="296"/>
    </w:p>
    <w:p w14:paraId="2CF2EFB2" w14:textId="5A0D3BB2" w:rsidR="00D81D3C" w:rsidRPr="00796736" w:rsidRDefault="006B74B5" w:rsidP="002873E3">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w:t>
      </w:r>
      <w:r w:rsidR="00D81D3C" w:rsidRPr="00796736">
        <w:rPr>
          <w:rFonts w:ascii="Times New Roman" w:hAnsi="Times New Roman" w:cs="Times New Roman"/>
          <w:i/>
          <w:iCs/>
          <w:sz w:val="24"/>
          <w:szCs w:val="24"/>
          <w:lang w:eastAsia="da-DK"/>
        </w:rPr>
        <w:t>2</w:t>
      </w:r>
      <w:r w:rsidRPr="00796736">
        <w:rPr>
          <w:rFonts w:ascii="Times New Roman" w:hAnsi="Times New Roman" w:cs="Times New Roman"/>
          <w:i/>
          <w:iCs/>
          <w:sz w:val="24"/>
          <w:szCs w:val="24"/>
          <w:lang w:eastAsia="da-DK"/>
        </w:rPr>
        <w:t>.</w:t>
      </w:r>
      <w:r w:rsidRPr="00796736">
        <w:rPr>
          <w:rFonts w:ascii="Times New Roman" w:hAnsi="Times New Roman" w:cs="Times New Roman"/>
          <w:sz w:val="24"/>
          <w:szCs w:val="24"/>
          <w:lang w:eastAsia="da-DK"/>
        </w:rPr>
        <w:t xml:space="preserve"> Erhvervsstyrelsen kan, hvis formålet tilsiger det, til enhver tid mod behørig legitimation uden retskendelse få adgang til virksomheder og personer omfattet af </w:t>
      </w:r>
      <w:r w:rsidR="006F01E9" w:rsidRPr="00796736">
        <w:rPr>
          <w:rFonts w:ascii="Times New Roman" w:hAnsi="Times New Roman" w:cs="Times New Roman"/>
          <w:sz w:val="24"/>
          <w:szCs w:val="24"/>
          <w:lang w:eastAsia="da-DK"/>
        </w:rPr>
        <w:fldChar w:fldCharType="begin"/>
      </w:r>
      <w:r w:rsidR="006F01E9" w:rsidRPr="00796736">
        <w:rPr>
          <w:rFonts w:ascii="Times New Roman" w:hAnsi="Times New Roman" w:cs="Times New Roman"/>
          <w:sz w:val="24"/>
          <w:szCs w:val="24"/>
          <w:lang w:eastAsia="da-DK"/>
        </w:rPr>
        <w:instrText xml:space="preserve"> REF _Ref232597665 \r \h </w:instrText>
      </w:r>
      <w:r w:rsidR="00967618" w:rsidRPr="00796736">
        <w:rPr>
          <w:rFonts w:ascii="Times New Roman" w:hAnsi="Times New Roman" w:cs="Times New Roman"/>
          <w:sz w:val="24"/>
          <w:szCs w:val="24"/>
          <w:lang w:eastAsia="da-DK"/>
        </w:rPr>
        <w:instrText xml:space="preserve"> \* MERGEFORMAT </w:instrText>
      </w:r>
      <w:r w:rsidR="006F01E9" w:rsidRPr="00796736">
        <w:rPr>
          <w:rFonts w:ascii="Times New Roman" w:hAnsi="Times New Roman" w:cs="Times New Roman"/>
          <w:sz w:val="24"/>
          <w:szCs w:val="24"/>
          <w:lang w:eastAsia="da-DK"/>
        </w:rPr>
      </w:r>
      <w:r w:rsidR="006F01E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6F01E9" w:rsidRPr="00796736">
        <w:rPr>
          <w:rFonts w:ascii="Times New Roman" w:hAnsi="Times New Roman" w:cs="Times New Roman"/>
          <w:sz w:val="24"/>
          <w:szCs w:val="24"/>
          <w:lang w:eastAsia="da-DK"/>
        </w:rPr>
        <w:fldChar w:fldCharType="end"/>
      </w:r>
      <w:r w:rsidR="005A7A26"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stk. 1</w:t>
      </w:r>
      <w:r w:rsidR="00D81D3C"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t xml:space="preserve"> med henblik på indhentelse af oplysninger, herunder ved </w:t>
      </w:r>
      <w:r w:rsidR="00D81D3C" w:rsidRPr="00796736">
        <w:rPr>
          <w:rFonts w:ascii="Times New Roman" w:hAnsi="Times New Roman" w:cs="Times New Roman"/>
          <w:sz w:val="24"/>
          <w:szCs w:val="24"/>
          <w:lang w:eastAsia="da-DK"/>
        </w:rPr>
        <w:t>tilsynsbesøg</w:t>
      </w:r>
      <w:r w:rsidRPr="00796736">
        <w:rPr>
          <w:rFonts w:ascii="Times New Roman" w:hAnsi="Times New Roman" w:cs="Times New Roman"/>
          <w:sz w:val="24"/>
          <w:szCs w:val="24"/>
          <w:lang w:eastAsia="da-DK"/>
        </w:rPr>
        <w:t>.</w:t>
      </w:r>
      <w:bookmarkStart w:id="297" w:name="_Ref233056781"/>
    </w:p>
    <w:bookmarkEnd w:id="297"/>
    <w:p w14:paraId="3F84A7E1" w14:textId="77777777" w:rsidR="00D81D3C" w:rsidRPr="00796736" w:rsidRDefault="00D81D3C" w:rsidP="00A802A5">
      <w:pPr>
        <w:spacing w:line="360" w:lineRule="auto"/>
        <w:rPr>
          <w:rFonts w:ascii="Times New Roman" w:hAnsi="Times New Roman" w:cs="Times New Roman"/>
          <w:sz w:val="24"/>
          <w:szCs w:val="24"/>
          <w:lang w:eastAsia="da-DK"/>
        </w:rPr>
      </w:pPr>
    </w:p>
    <w:p w14:paraId="606176AE" w14:textId="77777777" w:rsidR="00D81D3C" w:rsidRPr="00796736" w:rsidRDefault="00D81D3C" w:rsidP="00A802A5">
      <w:pPr>
        <w:spacing w:line="360" w:lineRule="auto"/>
        <w:ind w:firstLine="238"/>
        <w:jc w:val="center"/>
        <w:rPr>
          <w:rFonts w:ascii="Times New Roman" w:hAnsi="Times New Roman" w:cs="Times New Roman"/>
          <w:i/>
          <w:iCs/>
          <w:sz w:val="24"/>
          <w:szCs w:val="24"/>
          <w:lang w:eastAsia="da-DK"/>
        </w:rPr>
      </w:pPr>
      <w:r w:rsidRPr="00796736">
        <w:rPr>
          <w:rFonts w:ascii="Times New Roman" w:hAnsi="Times New Roman" w:cs="Times New Roman"/>
          <w:i/>
          <w:iCs/>
          <w:sz w:val="24"/>
          <w:szCs w:val="24"/>
          <w:lang w:eastAsia="da-DK"/>
        </w:rPr>
        <w:t>Registrering hos Erhvervsstyrelsen og vurdering af hæderlighed og egnethed</w:t>
      </w:r>
      <w:bookmarkStart w:id="298" w:name="_Ref235002305"/>
    </w:p>
    <w:p w14:paraId="36CD7E8E" w14:textId="55CD9677" w:rsidR="005A265F" w:rsidRPr="002C194F" w:rsidRDefault="00D81D3C" w:rsidP="007D070D">
      <w:pPr>
        <w:pStyle w:val="Typografi1"/>
        <w:ind w:left="0" w:firstLine="238"/>
        <w:rPr>
          <w:rFonts w:ascii="Times New Roman" w:hAnsi="Times New Roman" w:cs="Times New Roman"/>
          <w:sz w:val="24"/>
          <w:szCs w:val="24"/>
          <w:lang w:eastAsia="da-DK"/>
        </w:rPr>
      </w:pPr>
      <w:bookmarkStart w:id="299" w:name="_Ref236728924"/>
      <w:bookmarkStart w:id="300" w:name="_Ref243927832"/>
      <w:bookmarkStart w:id="301" w:name="_Toc244879065"/>
      <w:bookmarkStart w:id="302" w:name="_Toc244880589"/>
      <w:r w:rsidRPr="002C194F">
        <w:rPr>
          <w:rFonts w:ascii="Times New Roman" w:hAnsi="Times New Roman" w:cs="Times New Roman"/>
          <w:sz w:val="24"/>
          <w:szCs w:val="24"/>
          <w:lang w:eastAsia="da-DK"/>
        </w:rPr>
        <w:t xml:space="preserve">Virksomheder og personer, der er underlagt Erhvervsstyrelsens tilsyn efter </w:t>
      </w:r>
      <w:r w:rsidRPr="002C194F">
        <w:rPr>
          <w:rFonts w:ascii="Times New Roman" w:hAnsi="Times New Roman" w:cs="Times New Roman"/>
          <w:sz w:val="24"/>
          <w:szCs w:val="24"/>
          <w:lang w:eastAsia="da-DK"/>
        </w:rPr>
        <w:fldChar w:fldCharType="begin"/>
      </w:r>
      <w:r w:rsidRPr="002C194F">
        <w:rPr>
          <w:rFonts w:ascii="Times New Roman" w:hAnsi="Times New Roman" w:cs="Times New Roman"/>
          <w:sz w:val="24"/>
          <w:szCs w:val="24"/>
          <w:lang w:eastAsia="da-DK"/>
        </w:rPr>
        <w:instrText xml:space="preserve"> REF _Ref232597665 \r \h  \* MERGEFORMAT </w:instrText>
      </w:r>
      <w:r w:rsidRPr="002C194F">
        <w:rPr>
          <w:rFonts w:ascii="Times New Roman" w:hAnsi="Times New Roman" w:cs="Times New Roman"/>
          <w:sz w:val="24"/>
          <w:szCs w:val="24"/>
          <w:lang w:eastAsia="da-DK"/>
        </w:rPr>
      </w:r>
      <w:r w:rsidRPr="002C194F">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2C194F">
        <w:rPr>
          <w:rFonts w:ascii="Times New Roman" w:hAnsi="Times New Roman" w:cs="Times New Roman"/>
          <w:sz w:val="24"/>
          <w:szCs w:val="24"/>
          <w:lang w:eastAsia="da-DK"/>
        </w:rPr>
        <w:fldChar w:fldCharType="end"/>
      </w:r>
      <w:r w:rsidRPr="002C194F">
        <w:rPr>
          <w:rFonts w:ascii="Times New Roman" w:hAnsi="Times New Roman" w:cs="Times New Roman"/>
          <w:sz w:val="24"/>
          <w:szCs w:val="24"/>
          <w:lang w:eastAsia="da-DK"/>
        </w:rPr>
        <w:t xml:space="preserve">, </w:t>
      </w:r>
      <w:bookmarkEnd w:id="298"/>
      <w:bookmarkEnd w:id="299"/>
      <w:r w:rsidR="0042556A" w:rsidRPr="002C194F">
        <w:rPr>
          <w:rFonts w:ascii="Times New Roman" w:hAnsi="Times New Roman" w:cs="Times New Roman"/>
          <w:sz w:val="24"/>
          <w:szCs w:val="24"/>
          <w:lang w:eastAsia="da-DK"/>
        </w:rPr>
        <w:t>skal registreres hos Erhvervsstyrelsen, jf. dog stk. 2.</w:t>
      </w:r>
      <w:bookmarkEnd w:id="301"/>
      <w:bookmarkEnd w:id="302"/>
    </w:p>
    <w:p w14:paraId="72D9E014" w14:textId="5CA4BC02" w:rsidR="00D81D3C" w:rsidRPr="002C194F" w:rsidRDefault="005A265F" w:rsidP="002873E3">
      <w:pPr>
        <w:spacing w:line="360" w:lineRule="auto"/>
        <w:ind w:firstLine="238"/>
        <w:rPr>
          <w:rFonts w:ascii="Times New Roman" w:hAnsi="Times New Roman" w:cs="Times New Roman"/>
          <w:sz w:val="24"/>
          <w:szCs w:val="24"/>
          <w:lang w:eastAsia="da-DK"/>
        </w:rPr>
      </w:pPr>
      <w:r w:rsidRPr="002C194F">
        <w:rPr>
          <w:rFonts w:ascii="Times New Roman" w:hAnsi="Times New Roman" w:cs="Times New Roman"/>
          <w:i/>
          <w:iCs/>
          <w:sz w:val="24"/>
          <w:szCs w:val="24"/>
          <w:lang w:eastAsia="da-DK"/>
        </w:rPr>
        <w:t>Stk. 2</w:t>
      </w:r>
      <w:r w:rsidRPr="002C194F">
        <w:rPr>
          <w:rFonts w:ascii="Times New Roman" w:hAnsi="Times New Roman" w:cs="Times New Roman"/>
          <w:sz w:val="24"/>
          <w:szCs w:val="24"/>
          <w:lang w:eastAsia="da-DK"/>
        </w:rPr>
        <w:t xml:space="preserve">. </w:t>
      </w:r>
      <w:r w:rsidR="00D81D3C" w:rsidRPr="002C194F">
        <w:rPr>
          <w:rFonts w:ascii="Times New Roman" w:hAnsi="Times New Roman" w:cs="Times New Roman"/>
          <w:sz w:val="24"/>
          <w:szCs w:val="24"/>
          <w:lang w:eastAsia="da-DK"/>
        </w:rPr>
        <w:t>Registreringspligten efter stk. 1 finder ikke anvendelse for følgend</w:t>
      </w:r>
      <w:r w:rsidR="009559B6" w:rsidRPr="002C194F">
        <w:rPr>
          <w:rFonts w:ascii="Times New Roman" w:hAnsi="Times New Roman" w:cs="Times New Roman"/>
          <w:sz w:val="24"/>
          <w:szCs w:val="24"/>
          <w:lang w:eastAsia="da-DK"/>
        </w:rPr>
        <w:t>e omfattede virksomheder og personer</w:t>
      </w:r>
      <w:r w:rsidR="00D81D3C" w:rsidRPr="002C194F">
        <w:rPr>
          <w:rFonts w:ascii="Times New Roman" w:hAnsi="Times New Roman" w:cs="Times New Roman"/>
          <w:sz w:val="24"/>
          <w:szCs w:val="24"/>
          <w:lang w:eastAsia="da-DK"/>
        </w:rPr>
        <w:t>, der er underlagt registreringspligt hos Erhvervsstyrelsen efter anden ordning:</w:t>
      </w:r>
      <w:bookmarkEnd w:id="300"/>
    </w:p>
    <w:p w14:paraId="2B765A60" w14:textId="33650994" w:rsidR="00D81D3C" w:rsidRPr="002C194F" w:rsidRDefault="00D81D3C">
      <w:pPr>
        <w:pStyle w:val="Listeafsnit"/>
        <w:numPr>
          <w:ilvl w:val="0"/>
          <w:numId w:val="95"/>
        </w:numPr>
        <w:spacing w:line="360" w:lineRule="auto"/>
        <w:ind w:left="601" w:hanging="238"/>
        <w:rPr>
          <w:rFonts w:ascii="Times New Roman" w:hAnsi="Times New Roman" w:cs="Times New Roman"/>
          <w:sz w:val="24"/>
          <w:szCs w:val="24"/>
          <w:lang w:eastAsia="da-DK"/>
        </w:rPr>
      </w:pPr>
      <w:r w:rsidRPr="002C194F">
        <w:rPr>
          <w:rFonts w:ascii="Times New Roman" w:hAnsi="Times New Roman" w:cs="Times New Roman"/>
          <w:sz w:val="24"/>
          <w:szCs w:val="24"/>
          <w:lang w:eastAsia="da-DK"/>
        </w:rPr>
        <w:t>Virksomheder og personer omfattet af</w:t>
      </w:r>
      <w:r w:rsidR="009559B6" w:rsidRPr="002C194F">
        <w:rPr>
          <w:rFonts w:ascii="Times New Roman" w:hAnsi="Times New Roman" w:cs="Times New Roman"/>
          <w:sz w:val="24"/>
          <w:szCs w:val="24"/>
          <w:lang w:eastAsia="da-DK"/>
        </w:rPr>
        <w:t xml:space="preserve"> </w:t>
      </w:r>
      <w:r w:rsidR="009559B6" w:rsidRPr="002C194F">
        <w:rPr>
          <w:rFonts w:ascii="Times New Roman" w:hAnsi="Times New Roman" w:cs="Times New Roman"/>
          <w:sz w:val="24"/>
          <w:szCs w:val="24"/>
          <w:lang w:eastAsia="da-DK"/>
        </w:rPr>
        <w:fldChar w:fldCharType="begin"/>
      </w:r>
      <w:r w:rsidR="009559B6" w:rsidRPr="002C194F">
        <w:rPr>
          <w:rFonts w:ascii="Times New Roman" w:hAnsi="Times New Roman" w:cs="Times New Roman"/>
          <w:sz w:val="24"/>
          <w:szCs w:val="24"/>
          <w:lang w:eastAsia="da-DK"/>
        </w:rPr>
        <w:instrText xml:space="preserve"> REF _Ref236730892 \r \h </w:instrText>
      </w:r>
      <w:r w:rsidR="001A2696" w:rsidRPr="002C194F">
        <w:rPr>
          <w:rFonts w:ascii="Times New Roman" w:hAnsi="Times New Roman" w:cs="Times New Roman"/>
          <w:sz w:val="24"/>
          <w:szCs w:val="24"/>
          <w:lang w:eastAsia="da-DK"/>
        </w:rPr>
        <w:instrText xml:space="preserve"> \* MERGEFORMAT </w:instrText>
      </w:r>
      <w:r w:rsidR="009559B6" w:rsidRPr="002C194F">
        <w:rPr>
          <w:rFonts w:ascii="Times New Roman" w:hAnsi="Times New Roman" w:cs="Times New Roman"/>
          <w:sz w:val="24"/>
          <w:szCs w:val="24"/>
          <w:lang w:eastAsia="da-DK"/>
        </w:rPr>
      </w:r>
      <w:r w:rsidR="009559B6" w:rsidRPr="002C194F">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2C194F">
        <w:rPr>
          <w:rFonts w:ascii="Times New Roman" w:hAnsi="Times New Roman" w:cs="Times New Roman"/>
          <w:sz w:val="24"/>
          <w:szCs w:val="24"/>
          <w:lang w:eastAsia="da-DK"/>
        </w:rPr>
        <w:fldChar w:fldCharType="end"/>
      </w:r>
      <w:r w:rsidR="009559B6" w:rsidRPr="002C194F">
        <w:rPr>
          <w:rFonts w:ascii="Times New Roman" w:hAnsi="Times New Roman" w:cs="Times New Roman"/>
          <w:sz w:val="24"/>
          <w:szCs w:val="24"/>
          <w:lang w:eastAsia="da-DK"/>
        </w:rPr>
        <w:t>, nr. 10</w:t>
      </w:r>
      <w:r w:rsidRPr="002C194F">
        <w:rPr>
          <w:rFonts w:ascii="Times New Roman" w:hAnsi="Times New Roman" w:cs="Times New Roman"/>
          <w:sz w:val="24"/>
          <w:szCs w:val="24"/>
          <w:lang w:eastAsia="da-DK"/>
        </w:rPr>
        <w:t>, der er registreret i Erhvervsstyrelsen register over udbydere af tjenester til truster og virksomheder efter denne lovs</w:t>
      </w:r>
      <w:r w:rsidR="0028002B" w:rsidRPr="002C194F">
        <w:rPr>
          <w:rFonts w:ascii="Times New Roman" w:hAnsi="Times New Roman" w:cs="Times New Roman"/>
          <w:sz w:val="24"/>
          <w:szCs w:val="24"/>
          <w:lang w:eastAsia="da-DK"/>
        </w:rPr>
        <w:t xml:space="preserve"> </w:t>
      </w:r>
      <w:r w:rsidR="0028002B" w:rsidRPr="002C194F">
        <w:rPr>
          <w:rFonts w:ascii="Times New Roman" w:hAnsi="Times New Roman" w:cs="Times New Roman"/>
          <w:sz w:val="24"/>
          <w:szCs w:val="24"/>
          <w:lang w:eastAsia="da-DK"/>
        </w:rPr>
        <w:fldChar w:fldCharType="begin"/>
      </w:r>
      <w:r w:rsidR="0028002B" w:rsidRPr="002C194F">
        <w:rPr>
          <w:rFonts w:ascii="Times New Roman" w:hAnsi="Times New Roman" w:cs="Times New Roman"/>
          <w:sz w:val="24"/>
          <w:szCs w:val="24"/>
          <w:lang w:eastAsia="da-DK"/>
        </w:rPr>
        <w:instrText xml:space="preserve"> REF _Ref233022553 \r \h </w:instrText>
      </w:r>
      <w:r w:rsidR="00940B1D" w:rsidRPr="002C194F">
        <w:rPr>
          <w:rFonts w:ascii="Times New Roman" w:hAnsi="Times New Roman" w:cs="Times New Roman"/>
          <w:sz w:val="24"/>
          <w:szCs w:val="24"/>
          <w:lang w:eastAsia="da-DK"/>
        </w:rPr>
        <w:instrText xml:space="preserve"> \* MERGEFORMAT </w:instrText>
      </w:r>
      <w:r w:rsidR="0028002B" w:rsidRPr="002C194F">
        <w:rPr>
          <w:rFonts w:ascii="Times New Roman" w:hAnsi="Times New Roman" w:cs="Times New Roman"/>
          <w:sz w:val="24"/>
          <w:szCs w:val="24"/>
          <w:lang w:eastAsia="da-DK"/>
        </w:rPr>
      </w:r>
      <w:r w:rsidR="0028002B" w:rsidRPr="002C194F">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0028002B" w:rsidRPr="002C194F">
        <w:rPr>
          <w:rFonts w:ascii="Times New Roman" w:hAnsi="Times New Roman" w:cs="Times New Roman"/>
          <w:sz w:val="24"/>
          <w:szCs w:val="24"/>
          <w:lang w:eastAsia="da-DK"/>
        </w:rPr>
        <w:fldChar w:fldCharType="end"/>
      </w:r>
      <w:r w:rsidR="0028002B" w:rsidRPr="002C194F">
        <w:rPr>
          <w:rFonts w:ascii="Times New Roman" w:hAnsi="Times New Roman" w:cs="Times New Roman"/>
          <w:sz w:val="24"/>
          <w:szCs w:val="24"/>
          <w:lang w:eastAsia="da-DK"/>
        </w:rPr>
        <w:t xml:space="preserve">. </w:t>
      </w:r>
    </w:p>
    <w:p w14:paraId="7675D922" w14:textId="0669663B" w:rsidR="00D81D3C" w:rsidRPr="002C194F" w:rsidRDefault="009559B6">
      <w:pPr>
        <w:pStyle w:val="Listeafsnit"/>
        <w:numPr>
          <w:ilvl w:val="0"/>
          <w:numId w:val="95"/>
        </w:numPr>
        <w:spacing w:line="360" w:lineRule="auto"/>
        <w:ind w:left="601" w:hanging="238"/>
        <w:rPr>
          <w:rFonts w:ascii="Times New Roman" w:hAnsi="Times New Roman" w:cs="Times New Roman"/>
          <w:sz w:val="24"/>
          <w:szCs w:val="24"/>
          <w:lang w:eastAsia="da-DK"/>
        </w:rPr>
      </w:pPr>
      <w:r w:rsidRPr="002C194F">
        <w:rPr>
          <w:rFonts w:ascii="Times New Roman" w:hAnsi="Times New Roman" w:cs="Times New Roman"/>
          <w:sz w:val="24"/>
          <w:szCs w:val="24"/>
          <w:lang w:eastAsia="da-DK"/>
        </w:rPr>
        <w:t>Virksomheder og personer</w:t>
      </w:r>
      <w:r w:rsidR="00D81D3C" w:rsidRPr="002C194F">
        <w:rPr>
          <w:rFonts w:ascii="Times New Roman" w:hAnsi="Times New Roman" w:cs="Times New Roman"/>
          <w:sz w:val="24"/>
          <w:szCs w:val="24"/>
          <w:lang w:eastAsia="da-DK"/>
        </w:rPr>
        <w:t>, der er registreret i det offentlige register over godkendte revisorer og revisionsvirksomheder efter lov om godkendte revisorer og revisionsvirksomheder.</w:t>
      </w:r>
    </w:p>
    <w:p w14:paraId="7670F24B" w14:textId="77777777" w:rsidR="009559B6" w:rsidRPr="00796736" w:rsidRDefault="009559B6">
      <w:pPr>
        <w:pStyle w:val="Listeafsnit"/>
        <w:numPr>
          <w:ilvl w:val="0"/>
          <w:numId w:val="95"/>
        </w:numPr>
        <w:spacing w:line="360" w:lineRule="auto"/>
        <w:ind w:left="601" w:hanging="238"/>
        <w:rPr>
          <w:rFonts w:ascii="Times New Roman" w:hAnsi="Times New Roman" w:cs="Times New Roman"/>
          <w:sz w:val="24"/>
          <w:szCs w:val="24"/>
          <w:lang w:eastAsia="da-DK"/>
        </w:rPr>
      </w:pPr>
      <w:r w:rsidRPr="002C194F">
        <w:rPr>
          <w:rFonts w:ascii="Times New Roman" w:hAnsi="Times New Roman" w:cs="Times New Roman"/>
          <w:sz w:val="24"/>
          <w:szCs w:val="24"/>
          <w:lang w:eastAsia="da-DK"/>
        </w:rPr>
        <w:t>Personer, der er registreret i det offentlige register over godkendte ejendomsmæglere m.v. efter lov om formidling af fast ejendom m.v. Hvor en godkendt ejendomsmægler</w:t>
      </w:r>
      <w:r w:rsidRPr="00796736">
        <w:rPr>
          <w:rFonts w:ascii="Times New Roman" w:hAnsi="Times New Roman" w:cs="Times New Roman"/>
          <w:sz w:val="24"/>
          <w:szCs w:val="24"/>
          <w:lang w:eastAsia="da-DK"/>
        </w:rPr>
        <w:t xml:space="preserve"> indgår i en ejendomsmæglervirksomhed, vil selve virksomheden skulle registreres i Erhvervsstyrelsens hvidvaskregister i henhold til stk. 1. </w:t>
      </w:r>
    </w:p>
    <w:p w14:paraId="3F55E150" w14:textId="53EEDBD3" w:rsidR="009559B6" w:rsidRPr="00796736" w:rsidRDefault="00D81D3C" w:rsidP="002873E3">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3.</w:t>
      </w:r>
      <w:r w:rsidRPr="00796736">
        <w:rPr>
          <w:rFonts w:ascii="Times New Roman" w:hAnsi="Times New Roman" w:cs="Times New Roman"/>
          <w:sz w:val="24"/>
          <w:szCs w:val="24"/>
          <w:lang w:eastAsia="da-DK"/>
        </w:rPr>
        <w:t xml:space="preserve"> </w:t>
      </w:r>
      <w:r w:rsidR="009559B6" w:rsidRPr="00796736">
        <w:rPr>
          <w:rFonts w:ascii="Times New Roman" w:hAnsi="Times New Roman" w:cs="Times New Roman"/>
          <w:sz w:val="24"/>
          <w:szCs w:val="24"/>
          <w:lang w:eastAsia="da-DK"/>
        </w:rPr>
        <w:t xml:space="preserve">Erhvervsstyrelsen kan </w:t>
      </w:r>
      <w:r w:rsidR="0042556A" w:rsidRPr="00796736">
        <w:rPr>
          <w:rFonts w:ascii="Times New Roman" w:hAnsi="Times New Roman" w:cs="Times New Roman"/>
          <w:sz w:val="24"/>
          <w:szCs w:val="24"/>
          <w:lang w:eastAsia="da-DK"/>
        </w:rPr>
        <w:t xml:space="preserve">inddrage registrering </w:t>
      </w:r>
      <w:r w:rsidR="009559B6" w:rsidRPr="00796736">
        <w:rPr>
          <w:rFonts w:ascii="Times New Roman" w:hAnsi="Times New Roman" w:cs="Times New Roman"/>
          <w:sz w:val="24"/>
          <w:szCs w:val="24"/>
          <w:lang w:eastAsia="da-DK"/>
        </w:rPr>
        <w:t xml:space="preserve">af en virksomhed eller person, der er registreret hos Erhvervsstyrelsen efter stk. 1, hvis virksomheden eller personen ikke vurderes ikke at falde under Erhvervsstyrelsens tilsyn efter </w:t>
      </w:r>
      <w:r w:rsidR="009559B6" w:rsidRPr="00796736">
        <w:rPr>
          <w:rFonts w:ascii="Times New Roman" w:hAnsi="Times New Roman" w:cs="Times New Roman"/>
          <w:sz w:val="24"/>
          <w:szCs w:val="24"/>
          <w:lang w:eastAsia="da-DK"/>
        </w:rPr>
        <w:fldChar w:fldCharType="begin"/>
      </w:r>
      <w:r w:rsidR="009559B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9559B6" w:rsidRPr="00796736">
        <w:rPr>
          <w:rFonts w:ascii="Times New Roman" w:hAnsi="Times New Roman" w:cs="Times New Roman"/>
          <w:sz w:val="24"/>
          <w:szCs w:val="24"/>
          <w:lang w:eastAsia="da-DK"/>
        </w:rPr>
      </w:r>
      <w:r w:rsidR="009559B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796736">
        <w:rPr>
          <w:rFonts w:ascii="Times New Roman" w:hAnsi="Times New Roman" w:cs="Times New Roman"/>
          <w:sz w:val="24"/>
          <w:szCs w:val="24"/>
          <w:lang w:eastAsia="da-DK"/>
        </w:rPr>
        <w:fldChar w:fldCharType="end"/>
      </w:r>
      <w:r w:rsidR="009559B6" w:rsidRPr="00796736">
        <w:rPr>
          <w:rFonts w:ascii="Times New Roman" w:hAnsi="Times New Roman" w:cs="Times New Roman"/>
          <w:sz w:val="24"/>
          <w:szCs w:val="24"/>
          <w:lang w:eastAsia="da-DK"/>
        </w:rPr>
        <w:t>. Registreringen efter stk. 1 bortfalder, hvis enheden registreres som ophørt i Det Centrale Virksomhedsregister.</w:t>
      </w:r>
    </w:p>
    <w:p w14:paraId="2BB75A7E" w14:textId="77777777" w:rsidR="009559B6" w:rsidRPr="00796736" w:rsidRDefault="009559B6" w:rsidP="00A802A5">
      <w:pPr>
        <w:spacing w:line="360" w:lineRule="auto"/>
        <w:ind w:firstLine="284"/>
        <w:rPr>
          <w:rFonts w:ascii="Times New Roman" w:hAnsi="Times New Roman" w:cs="Times New Roman"/>
          <w:sz w:val="24"/>
          <w:szCs w:val="24"/>
          <w:lang w:eastAsia="da-DK"/>
        </w:rPr>
      </w:pPr>
    </w:p>
    <w:p w14:paraId="660FE457" w14:textId="3B5D7915" w:rsidR="00D81D3C" w:rsidRPr="00796736" w:rsidRDefault="00D81D3C" w:rsidP="007D070D">
      <w:pPr>
        <w:pStyle w:val="Typografi1"/>
        <w:ind w:left="0" w:firstLine="238"/>
        <w:rPr>
          <w:rFonts w:ascii="Times New Roman" w:hAnsi="Times New Roman" w:cs="Times New Roman"/>
          <w:sz w:val="24"/>
          <w:szCs w:val="24"/>
          <w:lang w:eastAsia="da-DK"/>
        </w:rPr>
      </w:pPr>
      <w:bookmarkStart w:id="303" w:name="_Ref232609012"/>
      <w:bookmarkStart w:id="304" w:name="_Ref233022553"/>
      <w:bookmarkStart w:id="305" w:name="_Toc244879066"/>
      <w:bookmarkStart w:id="306" w:name="_Toc244880590"/>
      <w:r w:rsidRPr="00796736">
        <w:rPr>
          <w:rFonts w:ascii="Times New Roman" w:hAnsi="Times New Roman" w:cs="Times New Roman"/>
          <w:sz w:val="24"/>
          <w:szCs w:val="24"/>
          <w:lang w:eastAsia="da-DK"/>
        </w:rPr>
        <w:t xml:space="preserve">Virksomheder og personer omfattet af </w:t>
      </w:r>
      <w:r w:rsidR="009559B6" w:rsidRPr="00796736">
        <w:rPr>
          <w:rFonts w:ascii="Times New Roman" w:hAnsi="Times New Roman" w:cs="Times New Roman"/>
          <w:sz w:val="24"/>
          <w:szCs w:val="24"/>
          <w:lang w:eastAsia="da-DK"/>
        </w:rPr>
        <w:fldChar w:fldCharType="begin"/>
      </w:r>
      <w:r w:rsidR="009559B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9559B6" w:rsidRPr="00796736">
        <w:rPr>
          <w:rFonts w:ascii="Times New Roman" w:hAnsi="Times New Roman" w:cs="Times New Roman"/>
          <w:sz w:val="24"/>
          <w:szCs w:val="24"/>
          <w:lang w:eastAsia="da-DK"/>
        </w:rPr>
      </w:r>
      <w:r w:rsidR="009559B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796736">
        <w:rPr>
          <w:rFonts w:ascii="Times New Roman" w:hAnsi="Times New Roman" w:cs="Times New Roman"/>
          <w:sz w:val="24"/>
          <w:szCs w:val="24"/>
          <w:lang w:eastAsia="da-DK"/>
        </w:rPr>
        <w:fldChar w:fldCharType="end"/>
      </w:r>
      <w:r w:rsidR="009559B6" w:rsidRPr="00796736">
        <w:rPr>
          <w:rFonts w:ascii="Times New Roman" w:hAnsi="Times New Roman" w:cs="Times New Roman"/>
          <w:sz w:val="24"/>
          <w:szCs w:val="24"/>
          <w:lang w:eastAsia="da-DK"/>
        </w:rPr>
        <w:t>, nr. 10</w:t>
      </w:r>
      <w:r w:rsidRPr="00796736">
        <w:rPr>
          <w:rFonts w:ascii="Times New Roman" w:hAnsi="Times New Roman" w:cs="Times New Roman"/>
          <w:sz w:val="24"/>
          <w:szCs w:val="24"/>
          <w:lang w:eastAsia="da-DK"/>
        </w:rPr>
        <w:t>, skal registreres hos Erhvervsstyrelsen for at kunne udøve denne virksomhed.</w:t>
      </w:r>
      <w:bookmarkEnd w:id="303"/>
      <w:bookmarkEnd w:id="304"/>
      <w:bookmarkEnd w:id="305"/>
      <w:bookmarkEnd w:id="306"/>
    </w:p>
    <w:p w14:paraId="0AB7D1BF" w14:textId="77777777" w:rsidR="00D81D3C" w:rsidRPr="00796736" w:rsidRDefault="00D81D3C"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2.</w:t>
      </w:r>
      <w:r w:rsidRPr="00796736">
        <w:rPr>
          <w:rFonts w:ascii="Times New Roman" w:hAnsi="Times New Roman" w:cs="Times New Roman"/>
          <w:sz w:val="24"/>
          <w:szCs w:val="24"/>
          <w:lang w:eastAsia="da-DK"/>
        </w:rPr>
        <w:t xml:space="preserve"> Erhvervsstyrelsen skal undlade at foretage registrering efter stk. 1, hvis </w:t>
      </w:r>
    </w:p>
    <w:p w14:paraId="4DF82786" w14:textId="77777777" w:rsidR="009559B6" w:rsidRPr="00796736" w:rsidRDefault="009559B6">
      <w:pPr>
        <w:pStyle w:val="Listeafsnit"/>
        <w:numPr>
          <w:ilvl w:val="0"/>
          <w:numId w:val="31"/>
        </w:numPr>
        <w:spacing w:line="360" w:lineRule="auto"/>
        <w:ind w:left="476" w:hanging="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virksomheden, personen, et medlem af virksomhedens øverste ledelse eller en reel ejer er dømt for hvidvask, de underliggende lovovertrædelser eller terrorfinansiering, </w:t>
      </w:r>
    </w:p>
    <w:p w14:paraId="2D1BEF02" w14:textId="6D65B4D4" w:rsidR="00D81D3C" w:rsidRPr="00796736" w:rsidRDefault="00D81D3C">
      <w:pPr>
        <w:pStyle w:val="Listeafsnit"/>
        <w:numPr>
          <w:ilvl w:val="0"/>
          <w:numId w:val="31"/>
        </w:numPr>
        <w:spacing w:line="360" w:lineRule="auto"/>
        <w:ind w:left="476" w:hanging="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virksomheden, personen, et medlem af virksomhedens øverste ledelse eller en reel ejer har indgivet begæring om rekonstruktionsbehandling, konkurs eller gældssanering eller er under rekonstruktionsbehandling, konkursbehandling eller gældssanering, </w:t>
      </w:r>
    </w:p>
    <w:p w14:paraId="23ACD800" w14:textId="71D72D1D" w:rsidR="00D81D3C" w:rsidRPr="00796736" w:rsidRDefault="00D81D3C">
      <w:pPr>
        <w:pStyle w:val="Listeafsnit"/>
        <w:numPr>
          <w:ilvl w:val="0"/>
          <w:numId w:val="31"/>
        </w:numPr>
        <w:spacing w:line="360" w:lineRule="auto"/>
        <w:ind w:left="476" w:hanging="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personen, et medlem af virksomhedens øverste ledelse eller en reel ejer ikke har et godt omdømme eller ikke anses for at handle med hæderlighed og integrite</w:t>
      </w:r>
      <w:r w:rsidR="00006A1E" w:rsidRPr="00796736">
        <w:rPr>
          <w:rFonts w:ascii="Times New Roman" w:hAnsi="Times New Roman" w:cs="Times New Roman"/>
          <w:sz w:val="24"/>
          <w:szCs w:val="24"/>
          <w:lang w:eastAsia="da-DK"/>
        </w:rPr>
        <w:t>t, eller</w:t>
      </w:r>
      <w:r w:rsidRPr="00796736">
        <w:rPr>
          <w:rFonts w:ascii="Times New Roman" w:hAnsi="Times New Roman" w:cs="Times New Roman"/>
          <w:sz w:val="24"/>
          <w:szCs w:val="24"/>
          <w:lang w:eastAsia="da-DK"/>
        </w:rPr>
        <w:t xml:space="preserve"> </w:t>
      </w:r>
    </w:p>
    <w:p w14:paraId="38E73B49" w14:textId="66EA945D" w:rsidR="00D81D3C" w:rsidRPr="00796736" w:rsidRDefault="00D81D3C">
      <w:pPr>
        <w:pStyle w:val="Listeafsnit"/>
        <w:numPr>
          <w:ilvl w:val="0"/>
          <w:numId w:val="31"/>
        </w:numPr>
        <w:spacing w:line="360" w:lineRule="auto"/>
        <w:ind w:left="476" w:hanging="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personen eller et medlem af virksomhedens øverste ledelse ikke har den viden og ekspertise, der er nødvendig for at udføre opgaverne.</w:t>
      </w:r>
    </w:p>
    <w:p w14:paraId="19DA3DB5" w14:textId="77777777" w:rsidR="00D81D3C" w:rsidRPr="00796736" w:rsidRDefault="00D81D3C"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3.</w:t>
      </w:r>
      <w:r w:rsidRPr="00796736">
        <w:rPr>
          <w:rFonts w:ascii="Times New Roman" w:hAnsi="Times New Roman" w:cs="Times New Roman"/>
          <w:sz w:val="24"/>
          <w:szCs w:val="24"/>
          <w:lang w:eastAsia="da-DK"/>
        </w:rPr>
        <w:t xml:space="preserve"> Ved Erhvervsstyrelsens vurdering i henhold til stk. 2, nr. 1, finder straffelovens § 78, stk. 3, tilsvarende anvendelse.</w:t>
      </w:r>
    </w:p>
    <w:p w14:paraId="647E0897" w14:textId="504AA41A" w:rsidR="00D81D3C" w:rsidRPr="00796736" w:rsidRDefault="00D81D3C"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4.</w:t>
      </w:r>
      <w:r w:rsidRPr="00796736">
        <w:rPr>
          <w:rFonts w:ascii="Times New Roman" w:hAnsi="Times New Roman" w:cs="Times New Roman"/>
          <w:sz w:val="24"/>
          <w:szCs w:val="24"/>
          <w:lang w:eastAsia="da-DK"/>
        </w:rPr>
        <w:t xml:space="preserve"> Erhvervsstyrelsen kan inddrage registreringen af en virksomhed eller en person efter stk. 1, hvis nye medlemmer af en virksomheds øverste ledelse eller nye reelle ejere ikke giver Erhvervsstyrelsen de oplysninger, der er nødvendige for at Erhvervsstyrelsen kan vurdere, om disse er omfattet af stk. 2. </w:t>
      </w:r>
    </w:p>
    <w:p w14:paraId="521C7FC4" w14:textId="5A865DFF" w:rsidR="00D81D3C" w:rsidRPr="00796736" w:rsidRDefault="00D81D3C"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5.</w:t>
      </w:r>
      <w:r w:rsidRPr="00796736">
        <w:rPr>
          <w:rFonts w:ascii="Times New Roman" w:hAnsi="Times New Roman" w:cs="Times New Roman"/>
          <w:sz w:val="24"/>
          <w:szCs w:val="24"/>
          <w:lang w:eastAsia="da-DK"/>
        </w:rPr>
        <w:t xml:space="preserve"> Erhvervsstyrelsen kan inddrage registreringen af en virksomhed eller person efter stk. 1, hvis et medlem af virksomhedens øverste ledelse eller personen efterfølgende omfattes stk. 2, nr. 1-</w:t>
      </w:r>
      <w:r w:rsidR="00006A1E" w:rsidRPr="00796736">
        <w:rPr>
          <w:rFonts w:ascii="Times New Roman" w:hAnsi="Times New Roman" w:cs="Times New Roman"/>
          <w:sz w:val="24"/>
          <w:szCs w:val="24"/>
          <w:lang w:eastAsia="da-DK"/>
        </w:rPr>
        <w:t>4</w:t>
      </w:r>
      <w:r w:rsidRPr="00796736">
        <w:rPr>
          <w:rFonts w:ascii="Times New Roman" w:hAnsi="Times New Roman" w:cs="Times New Roman"/>
          <w:sz w:val="24"/>
          <w:szCs w:val="24"/>
          <w:lang w:eastAsia="da-DK"/>
        </w:rPr>
        <w:t xml:space="preserve">, hvis virksomheden efterfølgende omfattes af stk. 2, nr. 1-2, </w:t>
      </w:r>
      <w:r w:rsidR="00006A1E" w:rsidRPr="00796736">
        <w:rPr>
          <w:rFonts w:ascii="Times New Roman" w:hAnsi="Times New Roman" w:cs="Times New Roman"/>
          <w:sz w:val="24"/>
          <w:szCs w:val="24"/>
          <w:lang w:eastAsia="da-DK"/>
        </w:rPr>
        <w:t xml:space="preserve">eller </w:t>
      </w:r>
      <w:r w:rsidRPr="00796736">
        <w:rPr>
          <w:rFonts w:ascii="Times New Roman" w:hAnsi="Times New Roman" w:cs="Times New Roman"/>
          <w:sz w:val="24"/>
          <w:szCs w:val="24"/>
          <w:lang w:eastAsia="da-DK"/>
        </w:rPr>
        <w:t>hvis en reel ejer efterfølgende omfattes af stk. 2, nr. 1-3.</w:t>
      </w:r>
    </w:p>
    <w:p w14:paraId="2A5E6629" w14:textId="77777777" w:rsidR="00D81D3C" w:rsidRPr="00796736" w:rsidRDefault="00D81D3C"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6.</w:t>
      </w:r>
      <w:r w:rsidRPr="00796736">
        <w:rPr>
          <w:rFonts w:ascii="Times New Roman" w:hAnsi="Times New Roman" w:cs="Times New Roman"/>
          <w:sz w:val="24"/>
          <w:szCs w:val="24"/>
          <w:lang w:eastAsia="da-DK"/>
        </w:rPr>
        <w:t xml:space="preserve"> Erhvervsstyrelsen kan inddrage registreringen af en virksomhed eller en person efter stk. 1, hvis virksomheden eller personen gør sig skyldig i grove eller gentagne overtrædelser af hvidvaskforordningen, denne lov eller regler udstedt i medfør heraf. </w:t>
      </w:r>
    </w:p>
    <w:p w14:paraId="52C2CEDC" w14:textId="36AF45B0" w:rsidR="00006A1E" w:rsidRPr="00796736" w:rsidRDefault="00006A1E"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7. </w:t>
      </w:r>
      <w:r w:rsidR="009559B6" w:rsidRPr="00796736">
        <w:rPr>
          <w:rFonts w:ascii="Times New Roman" w:hAnsi="Times New Roman" w:cs="Times New Roman"/>
          <w:sz w:val="24"/>
          <w:szCs w:val="24"/>
          <w:lang w:eastAsia="da-DK"/>
        </w:rPr>
        <w:t xml:space="preserve">Erhvervsstyrelsen kan inddrage registreringen af en virksomhed eller person efter stk. 1, hvis registreringen er foretaget på baggrund af urigtige eller vildledende oplysninger eller på anden uretmæssig vis, eller hvis virksomheden eller personen ikke er eller ophører med at være omfattet af </w:t>
      </w:r>
      <w:r w:rsidR="009559B6" w:rsidRPr="00796736">
        <w:rPr>
          <w:rFonts w:ascii="Times New Roman" w:hAnsi="Times New Roman" w:cs="Times New Roman"/>
          <w:sz w:val="24"/>
          <w:szCs w:val="24"/>
          <w:lang w:eastAsia="da-DK"/>
        </w:rPr>
        <w:fldChar w:fldCharType="begin"/>
      </w:r>
      <w:r w:rsidR="009559B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9559B6" w:rsidRPr="00796736">
        <w:rPr>
          <w:rFonts w:ascii="Times New Roman" w:hAnsi="Times New Roman" w:cs="Times New Roman"/>
          <w:sz w:val="24"/>
          <w:szCs w:val="24"/>
          <w:lang w:eastAsia="da-DK"/>
        </w:rPr>
      </w:r>
      <w:r w:rsidR="009559B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9559B6" w:rsidRPr="00796736">
        <w:rPr>
          <w:rFonts w:ascii="Times New Roman" w:hAnsi="Times New Roman" w:cs="Times New Roman"/>
          <w:sz w:val="24"/>
          <w:szCs w:val="24"/>
          <w:lang w:eastAsia="da-DK"/>
        </w:rPr>
        <w:fldChar w:fldCharType="end"/>
      </w:r>
      <w:r w:rsidR="009559B6" w:rsidRPr="00796736">
        <w:rPr>
          <w:rFonts w:ascii="Times New Roman" w:hAnsi="Times New Roman" w:cs="Times New Roman"/>
          <w:sz w:val="24"/>
          <w:szCs w:val="24"/>
          <w:lang w:eastAsia="da-DK"/>
        </w:rPr>
        <w:t>, nr. 10. Registreringen efter stk. 1 bortfalder, hvis enheden registreres som ophørt i Det Centrale Virksomhedsregister.</w:t>
      </w:r>
    </w:p>
    <w:p w14:paraId="0281F237" w14:textId="1B7445B5" w:rsidR="00D81D3C" w:rsidRPr="00796736" w:rsidRDefault="00D81D3C"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 xml:space="preserve">Stk. </w:t>
      </w:r>
      <w:r w:rsidR="00006A1E" w:rsidRPr="00796736">
        <w:rPr>
          <w:rFonts w:ascii="Times New Roman" w:hAnsi="Times New Roman" w:cs="Times New Roman"/>
          <w:i/>
          <w:sz w:val="24"/>
          <w:szCs w:val="24"/>
          <w:lang w:eastAsia="da-DK"/>
        </w:rPr>
        <w:t>8</w:t>
      </w:r>
      <w:r w:rsidRPr="00796736">
        <w:rPr>
          <w:rFonts w:ascii="Times New Roman" w:hAnsi="Times New Roman" w:cs="Times New Roman"/>
          <w:i/>
          <w:sz w:val="24"/>
          <w:szCs w:val="24"/>
          <w:lang w:eastAsia="da-DK"/>
        </w:rPr>
        <w:t>.</w:t>
      </w:r>
      <w:r w:rsidRPr="00796736">
        <w:rPr>
          <w:rFonts w:ascii="Times New Roman" w:hAnsi="Times New Roman" w:cs="Times New Roman"/>
          <w:sz w:val="24"/>
          <w:szCs w:val="24"/>
          <w:lang w:eastAsia="da-DK"/>
        </w:rPr>
        <w:t xml:space="preserve"> </w:t>
      </w:r>
      <w:r w:rsidR="00EE4163" w:rsidRPr="00D253F0">
        <w:rPr>
          <w:rFonts w:ascii="Times New Roman" w:hAnsi="Times New Roman" w:cs="Times New Roman"/>
          <w:sz w:val="24"/>
          <w:szCs w:val="24"/>
          <w:lang w:eastAsia="da-DK"/>
        </w:rPr>
        <w:t>Virksomheder og personer</w:t>
      </w:r>
      <w:r w:rsidR="00EE4163">
        <w:rPr>
          <w:rFonts w:ascii="Times New Roman" w:hAnsi="Times New Roman" w:cs="Times New Roman"/>
          <w:sz w:val="24"/>
          <w:szCs w:val="24"/>
          <w:lang w:eastAsia="da-DK"/>
        </w:rPr>
        <w:t xml:space="preserve"> omfattet af </w:t>
      </w:r>
      <w:r w:rsidR="00EE4163">
        <w:rPr>
          <w:rFonts w:ascii="Times New Roman" w:hAnsi="Times New Roman" w:cs="Times New Roman"/>
          <w:sz w:val="24"/>
          <w:szCs w:val="24"/>
          <w:lang w:eastAsia="da-DK"/>
        </w:rPr>
        <w:fldChar w:fldCharType="begin"/>
      </w:r>
      <w:r w:rsidR="00EE4163">
        <w:rPr>
          <w:rFonts w:ascii="Times New Roman" w:hAnsi="Times New Roman" w:cs="Times New Roman"/>
          <w:sz w:val="24"/>
          <w:szCs w:val="24"/>
          <w:lang w:eastAsia="da-DK"/>
        </w:rPr>
        <w:instrText xml:space="preserve"> REF _Ref236730892 \r \h </w:instrText>
      </w:r>
      <w:r w:rsidR="00CB248D">
        <w:rPr>
          <w:rFonts w:ascii="Times New Roman" w:hAnsi="Times New Roman" w:cs="Times New Roman"/>
          <w:sz w:val="24"/>
          <w:szCs w:val="24"/>
          <w:lang w:eastAsia="da-DK"/>
        </w:rPr>
        <w:instrText xml:space="preserve"> \* MERGEFORMAT </w:instrText>
      </w:r>
      <w:r w:rsidR="00EE4163">
        <w:rPr>
          <w:rFonts w:ascii="Times New Roman" w:hAnsi="Times New Roman" w:cs="Times New Roman"/>
          <w:sz w:val="24"/>
          <w:szCs w:val="24"/>
          <w:lang w:eastAsia="da-DK"/>
        </w:rPr>
      </w:r>
      <w:r w:rsidR="00EE4163">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EE4163">
        <w:rPr>
          <w:rFonts w:ascii="Times New Roman" w:hAnsi="Times New Roman" w:cs="Times New Roman"/>
          <w:sz w:val="24"/>
          <w:szCs w:val="24"/>
          <w:lang w:eastAsia="da-DK"/>
        </w:rPr>
        <w:fldChar w:fldCharType="end"/>
      </w:r>
      <w:r w:rsidR="00EE4163" w:rsidRPr="00D253F0">
        <w:rPr>
          <w:rFonts w:ascii="Times New Roman" w:hAnsi="Times New Roman" w:cs="Times New Roman"/>
          <w:sz w:val="24"/>
          <w:szCs w:val="24"/>
          <w:lang w:eastAsia="da-DK"/>
        </w:rPr>
        <w:t xml:space="preserve">, nr. 10, et medlem af </w:t>
      </w:r>
      <w:r w:rsidR="00EE4163">
        <w:rPr>
          <w:rFonts w:ascii="Times New Roman" w:hAnsi="Times New Roman" w:cs="Times New Roman"/>
          <w:sz w:val="24"/>
          <w:szCs w:val="24"/>
          <w:lang w:eastAsia="da-DK"/>
        </w:rPr>
        <w:t>virksomhedens</w:t>
      </w:r>
      <w:r w:rsidR="00EE4163" w:rsidRPr="00D253F0">
        <w:rPr>
          <w:rFonts w:ascii="Times New Roman" w:hAnsi="Times New Roman" w:cs="Times New Roman"/>
          <w:sz w:val="24"/>
          <w:szCs w:val="24"/>
          <w:lang w:eastAsia="da-DK"/>
        </w:rPr>
        <w:t xml:space="preserve"> øverste ledelse samt en reel ejer af virksomhed</w:t>
      </w:r>
      <w:r w:rsidR="00EE4163">
        <w:rPr>
          <w:rFonts w:ascii="Times New Roman" w:hAnsi="Times New Roman" w:cs="Times New Roman"/>
          <w:sz w:val="24"/>
          <w:szCs w:val="24"/>
          <w:lang w:eastAsia="da-DK"/>
        </w:rPr>
        <w:t>en</w:t>
      </w:r>
      <w:r w:rsidR="00EE4163" w:rsidRPr="00D253F0">
        <w:rPr>
          <w:rFonts w:ascii="Times New Roman" w:hAnsi="Times New Roman" w:cs="Times New Roman"/>
          <w:sz w:val="24"/>
          <w:szCs w:val="24"/>
          <w:lang w:eastAsia="da-DK"/>
        </w:rPr>
        <w:t xml:space="preserve"> skal meddele Erhvervsstyrelsen oplysninger om efterfølgende ændringer af forhold som nævnt i stk. 2 senest 2 uger efter ændringen.</w:t>
      </w:r>
    </w:p>
    <w:p w14:paraId="7889A6F2" w14:textId="79702B0F" w:rsidR="00D81D3C" w:rsidRPr="00796736" w:rsidRDefault="00D81D3C"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w:t>
      </w:r>
      <w:r w:rsidR="00006A1E" w:rsidRPr="00796736">
        <w:rPr>
          <w:rFonts w:ascii="Times New Roman" w:hAnsi="Times New Roman" w:cs="Times New Roman"/>
          <w:i/>
          <w:iCs/>
          <w:sz w:val="24"/>
          <w:szCs w:val="24"/>
          <w:lang w:eastAsia="da-DK"/>
        </w:rPr>
        <w:t>9</w:t>
      </w:r>
      <w:r w:rsidRPr="00796736">
        <w:rPr>
          <w:rFonts w:ascii="Times New Roman" w:hAnsi="Times New Roman" w:cs="Times New Roman"/>
          <w:i/>
          <w:iCs/>
          <w:sz w:val="24"/>
          <w:szCs w:val="24"/>
          <w:lang w:eastAsia="da-DK"/>
        </w:rPr>
        <w:t xml:space="preserve">. </w:t>
      </w:r>
      <w:r w:rsidRPr="00796736">
        <w:rPr>
          <w:rFonts w:ascii="Times New Roman" w:hAnsi="Times New Roman" w:cs="Times New Roman"/>
          <w:sz w:val="24"/>
          <w:szCs w:val="24"/>
          <w:lang w:eastAsia="da-DK"/>
        </w:rPr>
        <w:t xml:space="preserve">Erhvervsstyrelsen kan i særlige tilfælde, hvor Erhvervsstyrelsen vurderer, at et medlem af virksomhedens øverste ledelse eller personen ikke har den fornødne viden og ekspertise efter stk. 2, nr. 4, </w:t>
      </w:r>
      <w:r w:rsidR="0042556A" w:rsidRPr="00796736">
        <w:rPr>
          <w:rFonts w:ascii="Times New Roman" w:hAnsi="Times New Roman" w:cs="Times New Roman"/>
          <w:sz w:val="24"/>
          <w:szCs w:val="24"/>
          <w:lang w:eastAsia="da-DK"/>
        </w:rPr>
        <w:t xml:space="preserve">træffe afgørelse om, </w:t>
      </w:r>
      <w:r w:rsidRPr="00796736">
        <w:rPr>
          <w:rFonts w:ascii="Times New Roman" w:hAnsi="Times New Roman" w:cs="Times New Roman"/>
          <w:sz w:val="24"/>
          <w:szCs w:val="24"/>
          <w:lang w:eastAsia="da-DK"/>
        </w:rPr>
        <w:t>at personen kan varetage stillingen under nærmere fastsatte betingelser.</w:t>
      </w:r>
    </w:p>
    <w:p w14:paraId="21D6A8CB" w14:textId="77777777" w:rsidR="00D81D3C" w:rsidRPr="00796736" w:rsidRDefault="00D81D3C" w:rsidP="00A802A5">
      <w:pPr>
        <w:spacing w:line="360" w:lineRule="auto"/>
        <w:ind w:firstLine="238"/>
        <w:rPr>
          <w:rFonts w:ascii="Times New Roman" w:hAnsi="Times New Roman" w:cs="Times New Roman"/>
          <w:sz w:val="24"/>
          <w:szCs w:val="24"/>
          <w:lang w:eastAsia="da-DK"/>
        </w:rPr>
      </w:pPr>
    </w:p>
    <w:p w14:paraId="43163083" w14:textId="4456D90C" w:rsidR="00D81D3C" w:rsidRPr="00796736" w:rsidRDefault="00D81D3C" w:rsidP="008026E2">
      <w:pPr>
        <w:pStyle w:val="Typografi1"/>
        <w:ind w:left="0" w:firstLine="238"/>
        <w:rPr>
          <w:rFonts w:ascii="Times New Roman" w:hAnsi="Times New Roman" w:cs="Times New Roman"/>
          <w:sz w:val="24"/>
          <w:szCs w:val="24"/>
          <w:lang w:eastAsia="da-DK"/>
        </w:rPr>
      </w:pPr>
      <w:bookmarkStart w:id="307" w:name="_Ref232609038"/>
      <w:bookmarkStart w:id="308" w:name="_Toc244879067"/>
      <w:bookmarkStart w:id="309" w:name="_Toc244880591"/>
      <w:r w:rsidRPr="00796736">
        <w:rPr>
          <w:rFonts w:ascii="Times New Roman" w:hAnsi="Times New Roman" w:cs="Times New Roman"/>
          <w:sz w:val="24"/>
          <w:szCs w:val="24"/>
          <w:lang w:eastAsia="da-DK"/>
        </w:rPr>
        <w:t xml:space="preserve">Erhvervsstyrelsen kan for virksomheder og personer, der er omfattet af </w:t>
      </w:r>
      <w:r w:rsidR="0028002B" w:rsidRPr="00796736">
        <w:rPr>
          <w:rFonts w:ascii="Times New Roman" w:hAnsi="Times New Roman" w:cs="Times New Roman"/>
          <w:sz w:val="24"/>
          <w:szCs w:val="24"/>
          <w:lang w:eastAsia="da-DK"/>
        </w:rPr>
        <w:fldChar w:fldCharType="begin"/>
      </w:r>
      <w:r w:rsidR="0028002B" w:rsidRPr="00796736">
        <w:rPr>
          <w:rFonts w:ascii="Times New Roman" w:hAnsi="Times New Roman" w:cs="Times New Roman"/>
          <w:sz w:val="24"/>
          <w:szCs w:val="24"/>
          <w:lang w:eastAsia="da-DK"/>
        </w:rPr>
        <w:instrText xml:space="preserve"> REF _Ref236728924 \r \h </w:instrText>
      </w:r>
      <w:r w:rsidR="00940B1D" w:rsidRPr="00796736">
        <w:rPr>
          <w:rFonts w:ascii="Times New Roman" w:hAnsi="Times New Roman" w:cs="Times New Roman"/>
          <w:sz w:val="24"/>
          <w:szCs w:val="24"/>
          <w:lang w:eastAsia="da-DK"/>
        </w:rPr>
        <w:instrText xml:space="preserve"> \* MERGEFORMAT </w:instrText>
      </w:r>
      <w:r w:rsidR="0028002B" w:rsidRPr="00796736">
        <w:rPr>
          <w:rFonts w:ascii="Times New Roman" w:hAnsi="Times New Roman" w:cs="Times New Roman"/>
          <w:sz w:val="24"/>
          <w:szCs w:val="24"/>
          <w:lang w:eastAsia="da-DK"/>
        </w:rPr>
      </w:r>
      <w:r w:rsidR="0028002B"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82</w:t>
      </w:r>
      <w:r w:rsidR="0028002B" w:rsidRPr="00796736">
        <w:rPr>
          <w:rFonts w:ascii="Times New Roman" w:hAnsi="Times New Roman" w:cs="Times New Roman"/>
          <w:sz w:val="24"/>
          <w:szCs w:val="24"/>
          <w:lang w:eastAsia="da-DK"/>
        </w:rPr>
        <w:fldChar w:fldCharType="end"/>
      </w:r>
      <w:r w:rsidR="0028002B" w:rsidRPr="00796736">
        <w:rPr>
          <w:rFonts w:ascii="Times New Roman" w:hAnsi="Times New Roman" w:cs="Times New Roman"/>
          <w:sz w:val="24"/>
          <w:szCs w:val="24"/>
          <w:lang w:eastAsia="da-DK"/>
        </w:rPr>
        <w:t xml:space="preserve"> og </w:t>
      </w:r>
      <w:r w:rsidR="0028002B" w:rsidRPr="00796736">
        <w:rPr>
          <w:rFonts w:ascii="Times New Roman" w:hAnsi="Times New Roman" w:cs="Times New Roman"/>
          <w:sz w:val="24"/>
          <w:szCs w:val="24"/>
          <w:lang w:eastAsia="da-DK"/>
        </w:rPr>
        <w:fldChar w:fldCharType="begin"/>
      </w:r>
      <w:r w:rsidR="0028002B" w:rsidRPr="00796736">
        <w:rPr>
          <w:rFonts w:ascii="Times New Roman" w:hAnsi="Times New Roman" w:cs="Times New Roman"/>
          <w:sz w:val="24"/>
          <w:szCs w:val="24"/>
          <w:lang w:eastAsia="da-DK"/>
        </w:rPr>
        <w:instrText xml:space="preserve"> REF _Ref233022553 \r \h </w:instrText>
      </w:r>
      <w:r w:rsidR="00940B1D" w:rsidRPr="00796736">
        <w:rPr>
          <w:rFonts w:ascii="Times New Roman" w:hAnsi="Times New Roman" w:cs="Times New Roman"/>
          <w:sz w:val="24"/>
          <w:szCs w:val="24"/>
          <w:lang w:eastAsia="da-DK"/>
        </w:rPr>
        <w:instrText xml:space="preserve"> \* MERGEFORMAT </w:instrText>
      </w:r>
      <w:r w:rsidR="0028002B" w:rsidRPr="00796736">
        <w:rPr>
          <w:rFonts w:ascii="Times New Roman" w:hAnsi="Times New Roman" w:cs="Times New Roman"/>
          <w:sz w:val="24"/>
          <w:szCs w:val="24"/>
          <w:lang w:eastAsia="da-DK"/>
        </w:rPr>
      </w:r>
      <w:r w:rsidR="0028002B"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0028002B" w:rsidRPr="00796736">
        <w:rPr>
          <w:rFonts w:ascii="Times New Roman" w:hAnsi="Times New Roman" w:cs="Times New Roman"/>
          <w:sz w:val="24"/>
          <w:szCs w:val="24"/>
          <w:lang w:eastAsia="da-DK"/>
        </w:rPr>
        <w:fldChar w:fldCharType="end"/>
      </w:r>
      <w:r w:rsidR="0028002B"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t xml:space="preserve"> fastsætte nærmere </w:t>
      </w:r>
      <w:r w:rsidR="0042556A" w:rsidRPr="00796736">
        <w:rPr>
          <w:rFonts w:ascii="Times New Roman" w:hAnsi="Times New Roman" w:cs="Times New Roman"/>
          <w:sz w:val="24"/>
          <w:szCs w:val="24"/>
          <w:lang w:eastAsia="da-DK"/>
        </w:rPr>
        <w:t xml:space="preserve">regler om anmeldelse, registrering og offentliggørelse. </w:t>
      </w:r>
      <w:r w:rsidRPr="00796736">
        <w:rPr>
          <w:rFonts w:ascii="Times New Roman" w:hAnsi="Times New Roman" w:cs="Times New Roman"/>
          <w:sz w:val="24"/>
          <w:szCs w:val="24"/>
          <w:lang w:eastAsia="da-DK"/>
        </w:rPr>
        <w:t>Dette omfatter blandt andet regler om, hvilke oplysninger der skal registreres, og hvilke forhold anmeldere eller andre kan indsende og registrere elektronisk i styrelsens it-systemer ved at benytte digital eller tilsvarende elektronisk signatur, og om brugen af disse systemer.</w:t>
      </w:r>
      <w:bookmarkEnd w:id="307"/>
      <w:bookmarkEnd w:id="308"/>
      <w:bookmarkEnd w:id="309"/>
    </w:p>
    <w:p w14:paraId="454FF758" w14:textId="77777777" w:rsidR="00D81D3C" w:rsidRPr="00796736" w:rsidRDefault="00D81D3C" w:rsidP="00A802A5">
      <w:pPr>
        <w:spacing w:line="360" w:lineRule="auto"/>
        <w:ind w:firstLine="238"/>
        <w:rPr>
          <w:rFonts w:ascii="Times New Roman" w:hAnsi="Times New Roman" w:cs="Times New Roman"/>
          <w:sz w:val="24"/>
          <w:szCs w:val="24"/>
          <w:lang w:eastAsia="da-DK"/>
        </w:rPr>
      </w:pPr>
    </w:p>
    <w:p w14:paraId="2C61AD3C" w14:textId="667A98CB" w:rsidR="009559B6" w:rsidRPr="00796736" w:rsidRDefault="009559B6" w:rsidP="007D070D">
      <w:pPr>
        <w:pStyle w:val="Typografi1"/>
        <w:ind w:left="0" w:firstLine="238"/>
        <w:rPr>
          <w:rFonts w:ascii="Times New Roman" w:hAnsi="Times New Roman" w:cs="Times New Roman"/>
          <w:sz w:val="24"/>
          <w:szCs w:val="24"/>
          <w:lang w:eastAsia="da-DK"/>
        </w:rPr>
      </w:pPr>
      <w:bookmarkStart w:id="310" w:name="_Ref232609060"/>
      <w:bookmarkStart w:id="311" w:name="_Ref240548500"/>
      <w:bookmarkStart w:id="312" w:name="_Ref243927848"/>
      <w:bookmarkStart w:id="313" w:name="_Toc244879068"/>
      <w:bookmarkStart w:id="314" w:name="_Toc244880592"/>
      <w:r w:rsidRPr="00796736">
        <w:rPr>
          <w:rFonts w:ascii="Times New Roman" w:hAnsi="Times New Roman" w:cs="Times New Roman"/>
          <w:sz w:val="24"/>
          <w:szCs w:val="24"/>
          <w:lang w:eastAsia="da-DK"/>
        </w:rPr>
        <w:t xml:space="preserve">Medlemmer af den øverste ledelse og reelle ejere af virksomheder samt personer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nr. 1-9 samt nr. 11 må ikke være dømt for hvidvask, de underliggende lovovertrædelser eller terrorfinansiering.</w:t>
      </w:r>
      <w:bookmarkEnd w:id="310"/>
      <w:bookmarkEnd w:id="311"/>
      <w:r w:rsidR="00EE4163">
        <w:rPr>
          <w:rFonts w:ascii="Times New Roman" w:hAnsi="Times New Roman" w:cs="Times New Roman"/>
          <w:sz w:val="24"/>
          <w:szCs w:val="24"/>
          <w:lang w:eastAsia="da-DK"/>
        </w:rPr>
        <w:t xml:space="preserve"> For virksomheder og personer omfattet af </w:t>
      </w:r>
      <w:r w:rsidR="00EE4163" w:rsidRPr="00796736">
        <w:rPr>
          <w:rFonts w:ascii="Times New Roman" w:hAnsi="Times New Roman" w:cs="Times New Roman"/>
          <w:sz w:val="24"/>
          <w:szCs w:val="24"/>
          <w:lang w:eastAsia="da-DK"/>
        </w:rPr>
        <w:fldChar w:fldCharType="begin"/>
      </w:r>
      <w:r w:rsidR="00EE4163" w:rsidRPr="00796736">
        <w:rPr>
          <w:rFonts w:ascii="Times New Roman" w:hAnsi="Times New Roman" w:cs="Times New Roman"/>
          <w:sz w:val="24"/>
          <w:szCs w:val="24"/>
          <w:lang w:eastAsia="da-DK"/>
        </w:rPr>
        <w:instrText xml:space="preserve"> REF _Ref236730892 \r \h  \* MERGEFORMAT </w:instrText>
      </w:r>
      <w:r w:rsidR="00EE4163" w:rsidRPr="00796736">
        <w:rPr>
          <w:rFonts w:ascii="Times New Roman" w:hAnsi="Times New Roman" w:cs="Times New Roman"/>
          <w:sz w:val="24"/>
          <w:szCs w:val="24"/>
          <w:lang w:eastAsia="da-DK"/>
        </w:rPr>
      </w:r>
      <w:r w:rsidR="00EE416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EE4163" w:rsidRPr="00796736">
        <w:rPr>
          <w:rFonts w:ascii="Times New Roman" w:hAnsi="Times New Roman" w:cs="Times New Roman"/>
          <w:sz w:val="24"/>
          <w:szCs w:val="24"/>
          <w:lang w:eastAsia="da-DK"/>
        </w:rPr>
        <w:fldChar w:fldCharType="end"/>
      </w:r>
      <w:r w:rsidR="00EE4163">
        <w:rPr>
          <w:rFonts w:ascii="Times New Roman" w:hAnsi="Times New Roman" w:cs="Times New Roman"/>
          <w:sz w:val="24"/>
          <w:szCs w:val="24"/>
          <w:lang w:eastAsia="da-DK"/>
        </w:rPr>
        <w:t>, nr. 1 og 5 finder 1. pkt. alene anvendelse, hvor medlemmet af den øverste ledelse eller den reelle ejer ikke er godkendt efter revisorloven eller lov om formidling af fast ejendom m.v.</w:t>
      </w:r>
      <w:bookmarkEnd w:id="312"/>
      <w:bookmarkEnd w:id="313"/>
      <w:bookmarkEnd w:id="314"/>
      <w:r w:rsidR="00EE4163">
        <w:rPr>
          <w:rFonts w:ascii="Times New Roman" w:hAnsi="Times New Roman" w:cs="Times New Roman"/>
          <w:sz w:val="24"/>
          <w:szCs w:val="24"/>
          <w:lang w:eastAsia="da-DK"/>
        </w:rPr>
        <w:t xml:space="preserve">  </w:t>
      </w:r>
    </w:p>
    <w:p w14:paraId="0D3260DC" w14:textId="48F419BF" w:rsidR="00D81D3C" w:rsidRPr="00796736" w:rsidRDefault="00D81D3C"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2.</w:t>
      </w:r>
      <w:r w:rsidRPr="00796736">
        <w:rPr>
          <w:rFonts w:ascii="Times New Roman" w:hAnsi="Times New Roman" w:cs="Times New Roman"/>
          <w:sz w:val="24"/>
          <w:szCs w:val="24"/>
          <w:lang w:eastAsia="da-DK"/>
        </w:rPr>
        <w:t xml:space="preserve"> </w:t>
      </w:r>
      <w:r w:rsidR="00EE4163" w:rsidRPr="00D253F0">
        <w:rPr>
          <w:rFonts w:ascii="Times New Roman" w:hAnsi="Times New Roman" w:cs="Times New Roman"/>
          <w:sz w:val="24"/>
          <w:szCs w:val="24"/>
          <w:lang w:eastAsia="da-DK"/>
        </w:rPr>
        <w:t>Virksomhede</w:t>
      </w:r>
      <w:r w:rsidR="00EE4163">
        <w:rPr>
          <w:rFonts w:ascii="Times New Roman" w:hAnsi="Times New Roman" w:cs="Times New Roman"/>
          <w:sz w:val="24"/>
          <w:szCs w:val="24"/>
          <w:lang w:eastAsia="da-DK"/>
        </w:rPr>
        <w:t xml:space="preserve">r og personer omfattet af </w:t>
      </w:r>
      <w:r w:rsidR="00EE4163" w:rsidRPr="00796736">
        <w:rPr>
          <w:rFonts w:ascii="Times New Roman" w:hAnsi="Times New Roman" w:cs="Times New Roman"/>
          <w:sz w:val="24"/>
          <w:szCs w:val="24"/>
          <w:lang w:eastAsia="da-DK"/>
        </w:rPr>
        <w:fldChar w:fldCharType="begin"/>
      </w:r>
      <w:r w:rsidR="00EE4163" w:rsidRPr="00796736">
        <w:rPr>
          <w:rFonts w:ascii="Times New Roman" w:hAnsi="Times New Roman" w:cs="Times New Roman"/>
          <w:sz w:val="24"/>
          <w:szCs w:val="24"/>
          <w:lang w:eastAsia="da-DK"/>
        </w:rPr>
        <w:instrText xml:space="preserve"> REF _Ref236730892 \r \h  \* MERGEFORMAT </w:instrText>
      </w:r>
      <w:r w:rsidR="00EE4163" w:rsidRPr="00796736">
        <w:rPr>
          <w:rFonts w:ascii="Times New Roman" w:hAnsi="Times New Roman" w:cs="Times New Roman"/>
          <w:sz w:val="24"/>
          <w:szCs w:val="24"/>
          <w:lang w:eastAsia="da-DK"/>
        </w:rPr>
      </w:r>
      <w:r w:rsidR="00EE416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EE4163" w:rsidRPr="00796736">
        <w:rPr>
          <w:rFonts w:ascii="Times New Roman" w:hAnsi="Times New Roman" w:cs="Times New Roman"/>
          <w:sz w:val="24"/>
          <w:szCs w:val="24"/>
          <w:lang w:eastAsia="da-DK"/>
        </w:rPr>
        <w:fldChar w:fldCharType="end"/>
      </w:r>
      <w:r w:rsidR="00EE4163">
        <w:rPr>
          <w:rFonts w:ascii="Times New Roman" w:hAnsi="Times New Roman" w:cs="Times New Roman"/>
          <w:sz w:val="24"/>
          <w:szCs w:val="24"/>
          <w:lang w:eastAsia="da-DK"/>
        </w:rPr>
        <w:t>, nr. 1-9 samt nr. 11</w:t>
      </w:r>
      <w:r w:rsidR="00EE4163" w:rsidRPr="00D253F0">
        <w:rPr>
          <w:rFonts w:ascii="Times New Roman" w:hAnsi="Times New Roman" w:cs="Times New Roman"/>
          <w:sz w:val="24"/>
          <w:szCs w:val="24"/>
          <w:lang w:eastAsia="da-DK"/>
        </w:rPr>
        <w:t xml:space="preserve"> har pligt til at sikre, at medlemmer af den øverste ledelse og reelle ejere af virksomheden ikke er dømt for et forhold som omtalt i stk. 1.</w:t>
      </w:r>
    </w:p>
    <w:p w14:paraId="1C0B07D7" w14:textId="47754A84" w:rsidR="00006A1E" w:rsidRPr="00796736" w:rsidRDefault="00006A1E" w:rsidP="007D070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3.</w:t>
      </w:r>
      <w:r w:rsidRPr="00796736">
        <w:rPr>
          <w:rFonts w:ascii="Times New Roman" w:hAnsi="Times New Roman" w:cs="Times New Roman"/>
          <w:sz w:val="24"/>
          <w:szCs w:val="24"/>
          <w:lang w:eastAsia="da-DK"/>
        </w:rPr>
        <w:t xml:space="preserve"> </w:t>
      </w:r>
      <w:r w:rsidR="00EE4163" w:rsidRPr="00D253F0">
        <w:rPr>
          <w:rFonts w:ascii="Times New Roman" w:hAnsi="Times New Roman" w:cs="Times New Roman"/>
          <w:sz w:val="24"/>
          <w:szCs w:val="24"/>
          <w:lang w:eastAsia="da-DK"/>
        </w:rPr>
        <w:t>Virksomheder og personer</w:t>
      </w:r>
      <w:r w:rsidR="00EE4163">
        <w:rPr>
          <w:rFonts w:ascii="Times New Roman" w:hAnsi="Times New Roman" w:cs="Times New Roman"/>
          <w:sz w:val="24"/>
          <w:szCs w:val="24"/>
          <w:lang w:eastAsia="da-DK"/>
        </w:rPr>
        <w:t xml:space="preserve"> omfattet af </w:t>
      </w:r>
      <w:r w:rsidR="00EE4163" w:rsidRPr="00796736">
        <w:rPr>
          <w:rFonts w:ascii="Times New Roman" w:hAnsi="Times New Roman" w:cs="Times New Roman"/>
          <w:sz w:val="24"/>
          <w:szCs w:val="24"/>
          <w:lang w:eastAsia="da-DK"/>
        </w:rPr>
        <w:fldChar w:fldCharType="begin"/>
      </w:r>
      <w:r w:rsidR="00EE4163" w:rsidRPr="00796736">
        <w:rPr>
          <w:rFonts w:ascii="Times New Roman" w:hAnsi="Times New Roman" w:cs="Times New Roman"/>
          <w:sz w:val="24"/>
          <w:szCs w:val="24"/>
          <w:lang w:eastAsia="da-DK"/>
        </w:rPr>
        <w:instrText xml:space="preserve"> REF _Ref236730892 \r \h  \* MERGEFORMAT </w:instrText>
      </w:r>
      <w:r w:rsidR="00EE4163" w:rsidRPr="00796736">
        <w:rPr>
          <w:rFonts w:ascii="Times New Roman" w:hAnsi="Times New Roman" w:cs="Times New Roman"/>
          <w:sz w:val="24"/>
          <w:szCs w:val="24"/>
          <w:lang w:eastAsia="da-DK"/>
        </w:rPr>
      </w:r>
      <w:r w:rsidR="00EE416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EE4163" w:rsidRPr="00796736">
        <w:rPr>
          <w:rFonts w:ascii="Times New Roman" w:hAnsi="Times New Roman" w:cs="Times New Roman"/>
          <w:sz w:val="24"/>
          <w:szCs w:val="24"/>
          <w:lang w:eastAsia="da-DK"/>
        </w:rPr>
        <w:fldChar w:fldCharType="end"/>
      </w:r>
      <w:r w:rsidR="00EE4163">
        <w:rPr>
          <w:rFonts w:ascii="Times New Roman" w:hAnsi="Times New Roman" w:cs="Times New Roman"/>
          <w:sz w:val="24"/>
          <w:szCs w:val="24"/>
          <w:lang w:eastAsia="da-DK"/>
        </w:rPr>
        <w:t>, nr. 1-9 samt nr. 11 og</w:t>
      </w:r>
      <w:r w:rsidR="00EE4163" w:rsidRPr="00D253F0">
        <w:rPr>
          <w:rFonts w:ascii="Times New Roman" w:hAnsi="Times New Roman" w:cs="Times New Roman"/>
          <w:sz w:val="24"/>
          <w:szCs w:val="24"/>
          <w:lang w:eastAsia="da-DK"/>
        </w:rPr>
        <w:t xml:space="preserve"> </w:t>
      </w:r>
      <w:r w:rsidR="00EE4163">
        <w:rPr>
          <w:rFonts w:ascii="Times New Roman" w:hAnsi="Times New Roman" w:cs="Times New Roman"/>
          <w:sz w:val="24"/>
          <w:szCs w:val="24"/>
          <w:lang w:eastAsia="da-DK"/>
        </w:rPr>
        <w:t>medlemmer af</w:t>
      </w:r>
      <w:r w:rsidR="00EE4163" w:rsidRPr="00D253F0">
        <w:rPr>
          <w:rFonts w:ascii="Times New Roman" w:hAnsi="Times New Roman" w:cs="Times New Roman"/>
          <w:sz w:val="24"/>
          <w:szCs w:val="24"/>
          <w:lang w:eastAsia="da-DK"/>
        </w:rPr>
        <w:t xml:space="preserve"> </w:t>
      </w:r>
      <w:r w:rsidR="00EE4163">
        <w:rPr>
          <w:rFonts w:ascii="Times New Roman" w:hAnsi="Times New Roman" w:cs="Times New Roman"/>
          <w:sz w:val="24"/>
          <w:szCs w:val="24"/>
          <w:lang w:eastAsia="da-DK"/>
        </w:rPr>
        <w:t xml:space="preserve">den </w:t>
      </w:r>
      <w:r w:rsidR="00EE4163" w:rsidRPr="00D253F0">
        <w:rPr>
          <w:rFonts w:ascii="Times New Roman" w:hAnsi="Times New Roman" w:cs="Times New Roman"/>
          <w:sz w:val="24"/>
          <w:szCs w:val="24"/>
          <w:lang w:eastAsia="da-DK"/>
        </w:rPr>
        <w:t xml:space="preserve">øverste ledelse </w:t>
      </w:r>
      <w:r w:rsidR="00EE4163">
        <w:rPr>
          <w:rFonts w:ascii="Times New Roman" w:hAnsi="Times New Roman" w:cs="Times New Roman"/>
          <w:sz w:val="24"/>
          <w:szCs w:val="24"/>
          <w:lang w:eastAsia="da-DK"/>
        </w:rPr>
        <w:t>og</w:t>
      </w:r>
      <w:r w:rsidR="00EE4163" w:rsidRPr="00D253F0">
        <w:rPr>
          <w:rFonts w:ascii="Times New Roman" w:hAnsi="Times New Roman" w:cs="Times New Roman"/>
          <w:sz w:val="24"/>
          <w:szCs w:val="24"/>
          <w:lang w:eastAsia="da-DK"/>
        </w:rPr>
        <w:t xml:space="preserve"> </w:t>
      </w:r>
      <w:r w:rsidR="00EE4163">
        <w:rPr>
          <w:rFonts w:ascii="Times New Roman" w:hAnsi="Times New Roman" w:cs="Times New Roman"/>
          <w:sz w:val="24"/>
          <w:szCs w:val="24"/>
          <w:lang w:eastAsia="da-DK"/>
        </w:rPr>
        <w:t>reelle ejere af en sådan virksomhed</w:t>
      </w:r>
      <w:r w:rsidR="00EE4163" w:rsidRPr="00D253F0">
        <w:rPr>
          <w:rFonts w:ascii="Times New Roman" w:hAnsi="Times New Roman" w:cs="Times New Roman"/>
          <w:sz w:val="24"/>
          <w:szCs w:val="24"/>
          <w:lang w:eastAsia="da-DK"/>
        </w:rPr>
        <w:t xml:space="preserve"> skal af egen drift orientere Erhvervsstyrelsen om forhold omfattet af stk. 1.  Orientering skal ske hurtigst muligt og senest to uger efter, at virksomheden, personen, et medlem af </w:t>
      </w:r>
      <w:r w:rsidR="00EE4163">
        <w:rPr>
          <w:rFonts w:ascii="Times New Roman" w:hAnsi="Times New Roman" w:cs="Times New Roman"/>
          <w:sz w:val="24"/>
          <w:szCs w:val="24"/>
          <w:lang w:eastAsia="da-DK"/>
        </w:rPr>
        <w:t>virksomhedens</w:t>
      </w:r>
      <w:r w:rsidR="00EE4163" w:rsidRPr="00D253F0">
        <w:rPr>
          <w:rFonts w:ascii="Times New Roman" w:hAnsi="Times New Roman" w:cs="Times New Roman"/>
          <w:sz w:val="24"/>
          <w:szCs w:val="24"/>
          <w:lang w:eastAsia="da-DK"/>
        </w:rPr>
        <w:t xml:space="preserve"> øverste ledelse </w:t>
      </w:r>
      <w:r w:rsidR="00EE4163">
        <w:rPr>
          <w:rFonts w:ascii="Times New Roman" w:hAnsi="Times New Roman" w:cs="Times New Roman"/>
          <w:sz w:val="24"/>
          <w:szCs w:val="24"/>
          <w:lang w:eastAsia="da-DK"/>
        </w:rPr>
        <w:t>eller</w:t>
      </w:r>
      <w:r w:rsidR="00EE4163" w:rsidRPr="00D253F0">
        <w:rPr>
          <w:rFonts w:ascii="Times New Roman" w:hAnsi="Times New Roman" w:cs="Times New Roman"/>
          <w:sz w:val="24"/>
          <w:szCs w:val="24"/>
          <w:lang w:eastAsia="da-DK"/>
        </w:rPr>
        <w:t xml:space="preserve"> en reel ejer virksomhed</w:t>
      </w:r>
      <w:r w:rsidR="00EE4163">
        <w:rPr>
          <w:rFonts w:ascii="Times New Roman" w:hAnsi="Times New Roman" w:cs="Times New Roman"/>
          <w:sz w:val="24"/>
          <w:szCs w:val="24"/>
          <w:lang w:eastAsia="da-DK"/>
        </w:rPr>
        <w:t>en</w:t>
      </w:r>
      <w:r w:rsidR="00EE4163" w:rsidRPr="00D253F0">
        <w:rPr>
          <w:rFonts w:ascii="Times New Roman" w:hAnsi="Times New Roman" w:cs="Times New Roman"/>
          <w:sz w:val="24"/>
          <w:szCs w:val="24"/>
          <w:lang w:eastAsia="da-DK"/>
        </w:rPr>
        <w:t xml:space="preserve"> får kendskab til forholdet.</w:t>
      </w:r>
    </w:p>
    <w:p w14:paraId="35B84253" w14:textId="77777777" w:rsidR="00D81D3C" w:rsidRPr="00796736" w:rsidRDefault="00D81D3C" w:rsidP="00A802A5">
      <w:pPr>
        <w:spacing w:line="360" w:lineRule="auto"/>
        <w:ind w:firstLine="238"/>
        <w:rPr>
          <w:rFonts w:ascii="Times New Roman" w:hAnsi="Times New Roman" w:cs="Times New Roman"/>
          <w:sz w:val="24"/>
          <w:szCs w:val="24"/>
          <w:lang w:eastAsia="da-DK"/>
        </w:rPr>
      </w:pPr>
    </w:p>
    <w:p w14:paraId="234CD497" w14:textId="387AFDED" w:rsidR="006F01E9" w:rsidRPr="00796736" w:rsidRDefault="006F01E9" w:rsidP="00A802A5">
      <w:pPr>
        <w:spacing w:line="360" w:lineRule="auto"/>
        <w:ind w:firstLine="238"/>
        <w:jc w:val="center"/>
        <w:rPr>
          <w:rFonts w:ascii="Times New Roman" w:hAnsi="Times New Roman" w:cs="Times New Roman"/>
          <w:i/>
          <w:iCs/>
          <w:sz w:val="24"/>
          <w:szCs w:val="24"/>
          <w:lang w:eastAsia="da-DK"/>
        </w:rPr>
      </w:pPr>
      <w:r w:rsidRPr="00796736">
        <w:rPr>
          <w:rFonts w:ascii="Times New Roman" w:hAnsi="Times New Roman" w:cs="Times New Roman"/>
          <w:i/>
          <w:iCs/>
          <w:sz w:val="24"/>
          <w:szCs w:val="24"/>
          <w:lang w:eastAsia="da-DK"/>
        </w:rPr>
        <w:t>Erhvervsstyrelsens påbuds- og sanktionsbeføjelser</w:t>
      </w:r>
    </w:p>
    <w:p w14:paraId="15EE643D" w14:textId="5C9BFC9C" w:rsidR="00E559E9" w:rsidRPr="00796736" w:rsidRDefault="00E559E9" w:rsidP="008026E2">
      <w:pPr>
        <w:pStyle w:val="Typografi1"/>
        <w:ind w:left="0" w:firstLine="238"/>
        <w:rPr>
          <w:rFonts w:ascii="Times New Roman" w:hAnsi="Times New Roman" w:cs="Times New Roman"/>
          <w:sz w:val="24"/>
          <w:szCs w:val="24"/>
          <w:lang w:eastAsia="da-DK"/>
        </w:rPr>
      </w:pPr>
      <w:bookmarkStart w:id="315" w:name="_Ref236734482"/>
      <w:bookmarkStart w:id="316" w:name="_Toc244879069"/>
      <w:bookmarkStart w:id="317" w:name="_Toc244880593"/>
      <w:r w:rsidRPr="00796736">
        <w:rPr>
          <w:rFonts w:ascii="Times New Roman" w:hAnsi="Times New Roman" w:cs="Times New Roman"/>
          <w:sz w:val="24"/>
          <w:szCs w:val="24"/>
          <w:lang w:eastAsia="da-DK"/>
        </w:rPr>
        <w:t>Erhvervsstyrelsen kan træffe afgørelse eft</w:t>
      </w:r>
      <w:r w:rsidR="0028002B" w:rsidRPr="00796736">
        <w:rPr>
          <w:rFonts w:ascii="Times New Roman" w:hAnsi="Times New Roman" w:cs="Times New Roman"/>
          <w:sz w:val="24"/>
          <w:szCs w:val="24"/>
          <w:lang w:eastAsia="da-DK"/>
        </w:rPr>
        <w:t>er §</w:t>
      </w:r>
      <w:r w:rsidR="0028002B" w:rsidRPr="00796736">
        <w:rPr>
          <w:rFonts w:ascii="Times New Roman" w:hAnsi="Times New Roman" w:cs="Times New Roman"/>
          <w:sz w:val="24"/>
          <w:szCs w:val="24"/>
          <w:lang w:eastAsia="da-DK"/>
        </w:rPr>
        <w:fldChar w:fldCharType="begin"/>
      </w:r>
      <w:r w:rsidR="0028002B" w:rsidRPr="00796736">
        <w:rPr>
          <w:rFonts w:ascii="Times New Roman" w:hAnsi="Times New Roman" w:cs="Times New Roman"/>
          <w:sz w:val="24"/>
          <w:szCs w:val="24"/>
          <w:lang w:eastAsia="da-DK"/>
        </w:rPr>
        <w:instrText xml:space="preserve"> REF _Ref232597715 \r \h </w:instrText>
      </w:r>
      <w:r w:rsidR="00940B1D" w:rsidRPr="00796736">
        <w:rPr>
          <w:rFonts w:ascii="Times New Roman" w:hAnsi="Times New Roman" w:cs="Times New Roman"/>
          <w:sz w:val="24"/>
          <w:szCs w:val="24"/>
          <w:lang w:eastAsia="da-DK"/>
        </w:rPr>
        <w:instrText xml:space="preserve"> \* MERGEFORMAT </w:instrText>
      </w:r>
      <w:r w:rsidR="0028002B" w:rsidRPr="00796736">
        <w:rPr>
          <w:rFonts w:ascii="Times New Roman" w:hAnsi="Times New Roman" w:cs="Times New Roman"/>
          <w:sz w:val="24"/>
          <w:szCs w:val="24"/>
          <w:lang w:eastAsia="da-DK"/>
        </w:rPr>
      </w:r>
      <w:r w:rsidR="0028002B"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87</w:t>
      </w:r>
      <w:r w:rsidR="0028002B" w:rsidRPr="00796736">
        <w:rPr>
          <w:rFonts w:ascii="Times New Roman" w:hAnsi="Times New Roman" w:cs="Times New Roman"/>
          <w:sz w:val="24"/>
          <w:szCs w:val="24"/>
          <w:lang w:eastAsia="da-DK"/>
        </w:rPr>
        <w:fldChar w:fldCharType="end"/>
      </w:r>
      <w:r w:rsidR="0028002B" w:rsidRPr="00796736">
        <w:rPr>
          <w:rFonts w:ascii="Times New Roman" w:hAnsi="Times New Roman" w:cs="Times New Roman"/>
          <w:sz w:val="24"/>
          <w:szCs w:val="24"/>
          <w:lang w:eastAsia="da-DK"/>
        </w:rPr>
        <w:t>-</w:t>
      </w:r>
      <w:r w:rsidR="0028002B" w:rsidRPr="00796736">
        <w:rPr>
          <w:rFonts w:ascii="Times New Roman" w:hAnsi="Times New Roman" w:cs="Times New Roman"/>
          <w:sz w:val="24"/>
          <w:szCs w:val="24"/>
          <w:lang w:eastAsia="da-DK"/>
        </w:rPr>
        <w:fldChar w:fldCharType="begin"/>
      </w:r>
      <w:r w:rsidR="0028002B" w:rsidRPr="00796736">
        <w:rPr>
          <w:rFonts w:ascii="Times New Roman" w:hAnsi="Times New Roman" w:cs="Times New Roman"/>
          <w:sz w:val="24"/>
          <w:szCs w:val="24"/>
          <w:lang w:eastAsia="da-DK"/>
        </w:rPr>
        <w:instrText xml:space="preserve"> REF _Ref232608940 \r \h </w:instrText>
      </w:r>
      <w:r w:rsidR="00940B1D" w:rsidRPr="00796736">
        <w:rPr>
          <w:rFonts w:ascii="Times New Roman" w:hAnsi="Times New Roman" w:cs="Times New Roman"/>
          <w:sz w:val="24"/>
          <w:szCs w:val="24"/>
          <w:lang w:eastAsia="da-DK"/>
        </w:rPr>
        <w:instrText xml:space="preserve"> \* MERGEFORMAT </w:instrText>
      </w:r>
      <w:r w:rsidR="0028002B" w:rsidRPr="00796736">
        <w:rPr>
          <w:rFonts w:ascii="Times New Roman" w:hAnsi="Times New Roman" w:cs="Times New Roman"/>
          <w:sz w:val="24"/>
          <w:szCs w:val="24"/>
          <w:lang w:eastAsia="da-DK"/>
        </w:rPr>
      </w:r>
      <w:r w:rsidR="0028002B"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91</w:t>
      </w:r>
      <w:r w:rsidR="0028002B" w:rsidRPr="00796736">
        <w:rPr>
          <w:rFonts w:ascii="Times New Roman" w:hAnsi="Times New Roman" w:cs="Times New Roman"/>
          <w:sz w:val="24"/>
          <w:szCs w:val="24"/>
          <w:lang w:eastAsia="da-DK"/>
        </w:rPr>
        <w:fldChar w:fldCharType="end"/>
      </w:r>
      <w:r w:rsidR="0028002B"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hvis Erhvervsstyrelsen konstaterer:</w:t>
      </w:r>
      <w:bookmarkEnd w:id="315"/>
      <w:bookmarkEnd w:id="316"/>
      <w:bookmarkEnd w:id="317"/>
    </w:p>
    <w:p w14:paraId="75883A18" w14:textId="77777777" w:rsidR="00E559E9" w:rsidRPr="00796736" w:rsidRDefault="00E559E9">
      <w:pPr>
        <w:pStyle w:val="Listeafsnit"/>
        <w:numPr>
          <w:ilvl w:val="0"/>
          <w:numId w:val="96"/>
        </w:num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 xml:space="preserve">overtrædelse af bestemmelser i hvidvaskforordningen, denne lov, regler udstedt i medfør heraf, eller Europa-Parlamentets og Rådets forordninger indeholdende regler om finansielle sanktioner mod lande, personer, grupper, juridiske enheder eller organer. </w:t>
      </w:r>
    </w:p>
    <w:p w14:paraId="0629A4EE" w14:textId="68FFA64D" w:rsidR="00E559E9" w:rsidRPr="00796736" w:rsidRDefault="00E559E9">
      <w:pPr>
        <w:pStyle w:val="Listeafsnit"/>
        <w:numPr>
          <w:ilvl w:val="0"/>
          <w:numId w:val="96"/>
        </w:num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 xml:space="preserve">svagheder i interne politikker, procedurer og kontroller, som sandsynligvis vil </w:t>
      </w:r>
      <w:r w:rsidR="00006A1E" w:rsidRPr="00796736">
        <w:rPr>
          <w:rFonts w:ascii="Times New Roman" w:hAnsi="Times New Roman" w:cs="Times New Roman"/>
          <w:iCs/>
          <w:sz w:val="24"/>
          <w:szCs w:val="24"/>
          <w:lang w:eastAsia="da-DK"/>
        </w:rPr>
        <w:t>f</w:t>
      </w:r>
      <w:r w:rsidRPr="00796736">
        <w:rPr>
          <w:rFonts w:ascii="Times New Roman" w:hAnsi="Times New Roman" w:cs="Times New Roman"/>
          <w:iCs/>
          <w:sz w:val="24"/>
          <w:szCs w:val="24"/>
          <w:lang w:eastAsia="da-DK"/>
        </w:rPr>
        <w:t>øre til en overtrædelse efter nr. 1, eller</w:t>
      </w:r>
    </w:p>
    <w:p w14:paraId="095DFE69" w14:textId="4B007271" w:rsidR="00E559E9" w:rsidRPr="00796736" w:rsidRDefault="00E559E9">
      <w:pPr>
        <w:pStyle w:val="Listeafsnit"/>
        <w:numPr>
          <w:ilvl w:val="0"/>
          <w:numId w:val="96"/>
        </w:num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at interne politikker, procedurer og kontroller ikke står i et rimeligt forhold til de risici for hvidvask, de underliggende lovovertrædelser eller finansiering af terrorisme, som virksomheden eller personen er eksponeret for.</w:t>
      </w:r>
    </w:p>
    <w:p w14:paraId="27D213E1" w14:textId="77777777" w:rsidR="00E559E9" w:rsidRPr="00796736" w:rsidRDefault="00E559E9" w:rsidP="00A802A5">
      <w:pPr>
        <w:pStyle w:val="Listeafsnit"/>
        <w:spacing w:line="360" w:lineRule="auto"/>
        <w:ind w:left="598"/>
        <w:rPr>
          <w:rFonts w:ascii="Times New Roman" w:hAnsi="Times New Roman" w:cs="Times New Roman"/>
          <w:iCs/>
          <w:sz w:val="24"/>
          <w:szCs w:val="24"/>
          <w:lang w:eastAsia="da-DK"/>
        </w:rPr>
      </w:pPr>
    </w:p>
    <w:p w14:paraId="27D165AE" w14:textId="79B8CD8F" w:rsidR="00426554" w:rsidRPr="00796736" w:rsidRDefault="00426554" w:rsidP="008026E2">
      <w:pPr>
        <w:pStyle w:val="Typografi1"/>
        <w:ind w:left="0" w:firstLine="238"/>
        <w:rPr>
          <w:rFonts w:ascii="Times New Roman" w:hAnsi="Times New Roman" w:cs="Times New Roman"/>
          <w:sz w:val="24"/>
          <w:szCs w:val="24"/>
          <w:lang w:eastAsia="da-DK"/>
        </w:rPr>
      </w:pPr>
      <w:bookmarkStart w:id="318" w:name="_Ref232597715"/>
      <w:bookmarkStart w:id="319" w:name="_Toc244879070"/>
      <w:bookmarkStart w:id="320" w:name="_Toc244880594"/>
      <w:r w:rsidRPr="00796736">
        <w:rPr>
          <w:rFonts w:ascii="Times New Roman" w:hAnsi="Times New Roman" w:cs="Times New Roman"/>
          <w:sz w:val="24"/>
          <w:szCs w:val="24"/>
          <w:lang w:eastAsia="da-DK"/>
        </w:rPr>
        <w:t xml:space="preserve">Erhvervsstyrelsen kan i tilfælde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_Ref236734482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inden for en af Erhvervsstyrelsen fastsat frist påbyde de virksomheder og personer, som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at foretage de nødvendige foranstaltninger.</w:t>
      </w:r>
      <w:bookmarkEnd w:id="318"/>
      <w:bookmarkEnd w:id="319"/>
      <w:bookmarkEnd w:id="320"/>
      <w:r w:rsidRPr="00796736">
        <w:rPr>
          <w:rFonts w:ascii="Times New Roman" w:hAnsi="Times New Roman" w:cs="Times New Roman"/>
          <w:sz w:val="24"/>
          <w:szCs w:val="24"/>
          <w:lang w:eastAsia="da-DK"/>
        </w:rPr>
        <w:t xml:space="preserve"> </w:t>
      </w:r>
    </w:p>
    <w:p w14:paraId="1CCF4B7F" w14:textId="38F7B46A" w:rsidR="006B74B5" w:rsidRPr="00796736" w:rsidRDefault="006B74B5" w:rsidP="008026E2">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Reaktioner givet efter stk. 1 træffes på grundlag af det materiale og de oplysninger, som foreligger på tidspunktet for tilsynets afslutning. Oplysninger og materiale fremlagt efter dette tidspunkt indgår ikke i grundlaget for afgørelsen, medmindre særlige forhold taler herfor.</w:t>
      </w:r>
    </w:p>
    <w:p w14:paraId="57900CE5" w14:textId="77777777" w:rsidR="006B74B5" w:rsidRPr="00796736" w:rsidRDefault="006B74B5" w:rsidP="00A802A5">
      <w:pPr>
        <w:spacing w:line="360" w:lineRule="auto"/>
        <w:ind w:firstLine="238"/>
        <w:rPr>
          <w:rFonts w:ascii="Times New Roman" w:hAnsi="Times New Roman" w:cs="Times New Roman"/>
          <w:sz w:val="24"/>
          <w:szCs w:val="24"/>
          <w:lang w:eastAsia="da-DK"/>
        </w:rPr>
      </w:pPr>
    </w:p>
    <w:p w14:paraId="30ED218E" w14:textId="170EF8B4" w:rsidR="00426554" w:rsidRPr="00796736" w:rsidRDefault="00426554" w:rsidP="008026E2">
      <w:pPr>
        <w:pStyle w:val="Typografi1"/>
        <w:ind w:left="0" w:firstLine="238"/>
        <w:rPr>
          <w:rFonts w:ascii="Times New Roman" w:hAnsi="Times New Roman" w:cs="Times New Roman"/>
          <w:sz w:val="24"/>
          <w:szCs w:val="24"/>
        </w:rPr>
      </w:pPr>
      <w:bookmarkStart w:id="321" w:name="_Ref239162999"/>
      <w:bookmarkStart w:id="322" w:name="_Toc244879071"/>
      <w:bookmarkStart w:id="323" w:name="_Toc244880595"/>
      <w:r w:rsidRPr="00796736">
        <w:rPr>
          <w:rFonts w:ascii="Times New Roman" w:hAnsi="Times New Roman" w:cs="Times New Roman"/>
          <w:sz w:val="24"/>
          <w:szCs w:val="24"/>
        </w:rPr>
        <w:t xml:space="preserve">Erhvervsstyrelsen kan </w:t>
      </w:r>
      <w:r w:rsidRPr="00796736">
        <w:rPr>
          <w:rFonts w:ascii="Times New Roman" w:hAnsi="Times New Roman" w:cs="Times New Roman"/>
          <w:sz w:val="24"/>
          <w:szCs w:val="24"/>
          <w:lang w:eastAsia="da-DK"/>
        </w:rPr>
        <w:t xml:space="preserve">i tilfælde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_Ref236734482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rPr>
        <w:t xml:space="preserve">påbyde de virksomheder og personer, som er nævnt i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rPr>
        <w:t>at virksomheden eller personen,</w:t>
      </w:r>
      <w:bookmarkEnd w:id="321"/>
      <w:bookmarkEnd w:id="322"/>
      <w:bookmarkEnd w:id="323"/>
    </w:p>
    <w:p w14:paraId="142D113E" w14:textId="77777777" w:rsidR="00426554" w:rsidRPr="00796736" w:rsidRDefault="00426554">
      <w:pPr>
        <w:pStyle w:val="Listeafsnit"/>
        <w:numPr>
          <w:ilvl w:val="0"/>
          <w:numId w:val="97"/>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midlertidigt ikke må udøve en af Erhvervsstyrelsen nærmere afgrænset forretningsaktivitet. </w:t>
      </w:r>
    </w:p>
    <w:p w14:paraId="1FFB2408" w14:textId="77777777" w:rsidR="00426554" w:rsidRPr="00796736" w:rsidRDefault="00426554">
      <w:pPr>
        <w:pStyle w:val="Listeafsnit"/>
        <w:numPr>
          <w:ilvl w:val="0"/>
          <w:numId w:val="97"/>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midlertidigt ikke må gennemføre en af Erhvervsstyrelsen nærmere afgrænset type af transaktioner.</w:t>
      </w:r>
    </w:p>
    <w:p w14:paraId="00A21CB4" w14:textId="77777777" w:rsidR="00426554" w:rsidRPr="00796736" w:rsidRDefault="00426554">
      <w:pPr>
        <w:pStyle w:val="Listeafsnit"/>
        <w:numPr>
          <w:ilvl w:val="0"/>
          <w:numId w:val="97"/>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skal afhænde aktiviteter.</w:t>
      </w:r>
    </w:p>
    <w:p w14:paraId="3BF7528C" w14:textId="04B3A926" w:rsidR="00E559E9" w:rsidRPr="00796736" w:rsidRDefault="006B74B5" w:rsidP="008026E2">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2</w:t>
      </w:r>
      <w:r w:rsidRPr="00796736">
        <w:rPr>
          <w:rFonts w:ascii="Times New Roman" w:hAnsi="Times New Roman" w:cs="Times New Roman"/>
          <w:i/>
          <w:iCs/>
          <w:color w:val="212529"/>
          <w:sz w:val="24"/>
          <w:szCs w:val="24"/>
          <w:shd w:val="clear" w:color="auto" w:fill="F9F9FB"/>
        </w:rPr>
        <w:t xml:space="preserve">. </w:t>
      </w:r>
      <w:r w:rsidR="00426554" w:rsidRPr="00796736">
        <w:rPr>
          <w:rFonts w:ascii="Times New Roman" w:hAnsi="Times New Roman" w:cs="Times New Roman"/>
          <w:sz w:val="24"/>
          <w:szCs w:val="24"/>
          <w:lang w:eastAsia="da-DK"/>
        </w:rPr>
        <w:t>Afgørelser efter stk. 1 kan finde anvendelse indtil årsagen til påbuddet er udbedret og ellers i et tidsrum fra 6 måneder til 5 år eller indtil videre.</w:t>
      </w:r>
    </w:p>
    <w:p w14:paraId="75870085" w14:textId="77777777" w:rsidR="006B74B5" w:rsidRPr="00796736" w:rsidRDefault="006B74B5" w:rsidP="00A802A5">
      <w:pPr>
        <w:spacing w:line="360" w:lineRule="auto"/>
        <w:ind w:firstLine="238"/>
        <w:rPr>
          <w:rFonts w:ascii="Times New Roman" w:hAnsi="Times New Roman" w:cs="Times New Roman"/>
          <w:sz w:val="24"/>
          <w:szCs w:val="24"/>
          <w:lang w:eastAsia="da-DK"/>
        </w:rPr>
      </w:pPr>
    </w:p>
    <w:p w14:paraId="66337C52" w14:textId="1C47D424" w:rsidR="00426554" w:rsidRPr="00796736" w:rsidRDefault="00426554" w:rsidP="00E25C5F">
      <w:pPr>
        <w:pStyle w:val="Typografi1"/>
        <w:ind w:left="0" w:firstLine="238"/>
        <w:rPr>
          <w:rFonts w:ascii="Times New Roman" w:hAnsi="Times New Roman" w:cs="Times New Roman"/>
          <w:sz w:val="24"/>
          <w:szCs w:val="24"/>
          <w:lang w:eastAsia="da-DK"/>
        </w:rPr>
      </w:pPr>
      <w:bookmarkStart w:id="324" w:name="_Ref232608896"/>
      <w:bookmarkStart w:id="325" w:name="_Ref239336670"/>
      <w:bookmarkStart w:id="326" w:name="_Ref239163046"/>
      <w:bookmarkStart w:id="327" w:name="_Toc244879072"/>
      <w:bookmarkStart w:id="328" w:name="_Toc244880596"/>
      <w:r w:rsidRPr="00796736">
        <w:rPr>
          <w:rFonts w:ascii="Times New Roman" w:hAnsi="Times New Roman" w:cs="Times New Roman"/>
          <w:sz w:val="24"/>
          <w:szCs w:val="24"/>
          <w:lang w:eastAsia="da-DK"/>
        </w:rPr>
        <w:t xml:space="preserve">Erhvervsstyrelsen kan i tilfælde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_Ref236734482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inden for en af Erhvervsstyrelsen fastsat frist påbyde de virksomheder og personer, som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at foretage ændringer i ledelsesstrukturen, herunder at visse personer midlertidigt ikke kan varetage ledelsesfunktioner i den pågældende virksomhed.</w:t>
      </w:r>
      <w:bookmarkEnd w:id="324"/>
      <w:bookmarkEnd w:id="325"/>
      <w:bookmarkEnd w:id="326"/>
      <w:bookmarkEnd w:id="327"/>
      <w:bookmarkEnd w:id="328"/>
    </w:p>
    <w:p w14:paraId="01B78103" w14:textId="0B4A8170" w:rsidR="00426554"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2. </w:t>
      </w:r>
      <w:r w:rsidR="00426554" w:rsidRPr="00796736">
        <w:rPr>
          <w:rFonts w:ascii="Times New Roman" w:hAnsi="Times New Roman" w:cs="Times New Roman"/>
          <w:sz w:val="24"/>
          <w:szCs w:val="24"/>
          <w:lang w:eastAsia="da-DK"/>
        </w:rPr>
        <w:t xml:space="preserve">Erhvervsstyrelsen kan påbyde de virksomheder og personer, som er omfattet af </w:t>
      </w:r>
      <w:r w:rsidR="00426554" w:rsidRPr="00796736">
        <w:rPr>
          <w:rFonts w:ascii="Times New Roman" w:hAnsi="Times New Roman" w:cs="Times New Roman"/>
          <w:sz w:val="24"/>
          <w:szCs w:val="24"/>
          <w:lang w:eastAsia="da-DK"/>
        </w:rPr>
        <w:fldChar w:fldCharType="begin"/>
      </w:r>
      <w:r w:rsidR="00426554"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426554" w:rsidRPr="00796736">
        <w:rPr>
          <w:rFonts w:ascii="Times New Roman" w:hAnsi="Times New Roman" w:cs="Times New Roman"/>
          <w:sz w:val="24"/>
          <w:szCs w:val="24"/>
          <w:lang w:eastAsia="da-DK"/>
        </w:rPr>
      </w:r>
      <w:r w:rsidR="00426554"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426554" w:rsidRPr="00796736">
        <w:rPr>
          <w:rFonts w:ascii="Times New Roman" w:hAnsi="Times New Roman" w:cs="Times New Roman"/>
          <w:sz w:val="24"/>
          <w:szCs w:val="24"/>
          <w:lang w:eastAsia="da-DK"/>
        </w:rPr>
        <w:fldChar w:fldCharType="end"/>
      </w:r>
      <w:r w:rsidR="00426554" w:rsidRPr="00796736">
        <w:rPr>
          <w:rFonts w:ascii="Times New Roman" w:hAnsi="Times New Roman" w:cs="Times New Roman"/>
          <w:sz w:val="24"/>
          <w:szCs w:val="24"/>
          <w:lang w:eastAsia="da-DK"/>
        </w:rPr>
        <w:t>, at afsætte et medlem af virksomhedens øverste ledelse inden for en af Erhvervsstyrelsen fastsat frist, såfremt personen er dømt for hvidvask af penge, de underliggende lovovertrædelser eller finansiering af terrorisme. Hvor den pågældende person er et medlem bestyrelsen i en sådan virksomhed, kan Erhvervsstyrelsen under samme betingelser som i 1. pkt. påbyde vedkommende at nedlægge sit hverv inden for en af Erhvervsstyrelsen fastsat frist.</w:t>
      </w:r>
    </w:p>
    <w:p w14:paraId="77DCF0E8" w14:textId="0F93118E" w:rsidR="00426554" w:rsidRPr="00796736" w:rsidRDefault="00426554"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3. </w:t>
      </w:r>
      <w:r w:rsidRPr="00796736">
        <w:rPr>
          <w:rFonts w:ascii="Times New Roman" w:hAnsi="Times New Roman" w:cs="Times New Roman"/>
          <w:sz w:val="24"/>
          <w:szCs w:val="24"/>
          <w:lang w:eastAsia="da-DK"/>
        </w:rPr>
        <w:t xml:space="preserve">Erhvervsstyrelsen kan påbyde de virksomheder og personer, som er nævnt i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nr. 10, at afsætte et medlem af virksomhedens øverste ledelse inden for en af Erhvervsstyrelsen fastsat frist, såfremt personen ikke kan bestride stillingen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_Ref232609060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85</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2, nr. 2-4. Hvor den pågældende person er et medlem bestyrelsen i en sådan virksomhed, kan Erhvervsstyrelsen under samme betingelser som i 1. pkt. påbyde vedkommende at nedlægge sit hverv inden for en af Erhvervsstyrelsen fastsat frist.</w:t>
      </w:r>
    </w:p>
    <w:p w14:paraId="7212E38D" w14:textId="1DABF459" w:rsidR="00426554" w:rsidRPr="00796736" w:rsidRDefault="00EE4163" w:rsidP="00E25C5F">
      <w:pPr>
        <w:spacing w:line="360" w:lineRule="auto"/>
        <w:ind w:firstLine="238"/>
        <w:rPr>
          <w:rFonts w:ascii="Times New Roman" w:hAnsi="Times New Roman" w:cs="Times New Roman"/>
          <w:sz w:val="24"/>
          <w:szCs w:val="24"/>
          <w:lang w:eastAsia="da-DK"/>
        </w:rPr>
      </w:pPr>
      <w:r>
        <w:rPr>
          <w:rFonts w:ascii="Times New Roman" w:hAnsi="Times New Roman" w:cs="Times New Roman"/>
          <w:i/>
          <w:iCs/>
          <w:sz w:val="24"/>
          <w:szCs w:val="24"/>
          <w:lang w:eastAsia="da-DK"/>
        </w:rPr>
        <w:t xml:space="preserve">Stk. </w:t>
      </w:r>
      <w:r w:rsidR="00426554" w:rsidRPr="00796736">
        <w:rPr>
          <w:rFonts w:ascii="Times New Roman" w:hAnsi="Times New Roman" w:cs="Times New Roman"/>
          <w:i/>
          <w:iCs/>
          <w:sz w:val="24"/>
          <w:szCs w:val="24"/>
          <w:lang w:eastAsia="da-DK"/>
        </w:rPr>
        <w:t xml:space="preserve">4. </w:t>
      </w:r>
      <w:r w:rsidR="00426554" w:rsidRPr="00796736" w:rsidDel="00914508">
        <w:rPr>
          <w:rFonts w:ascii="Times New Roman" w:hAnsi="Times New Roman" w:cs="Times New Roman"/>
          <w:sz w:val="24"/>
          <w:szCs w:val="24"/>
          <w:lang w:eastAsia="da-DK"/>
        </w:rPr>
        <w:t xml:space="preserve">Varigheden af påbud meddelt efter stk. </w:t>
      </w:r>
      <w:r w:rsidR="00426554" w:rsidRPr="00796736">
        <w:rPr>
          <w:rFonts w:ascii="Times New Roman" w:hAnsi="Times New Roman" w:cs="Times New Roman"/>
          <w:sz w:val="24"/>
          <w:szCs w:val="24"/>
          <w:lang w:eastAsia="da-DK"/>
        </w:rPr>
        <w:t>1-3</w:t>
      </w:r>
      <w:r w:rsidR="00426554" w:rsidRPr="00796736" w:rsidDel="00914508">
        <w:rPr>
          <w:rFonts w:ascii="Times New Roman" w:hAnsi="Times New Roman" w:cs="Times New Roman"/>
          <w:sz w:val="24"/>
          <w:szCs w:val="24"/>
          <w:lang w:eastAsia="da-DK"/>
        </w:rPr>
        <w:t xml:space="preserve"> skal fremgå af påbuddet.</w:t>
      </w:r>
    </w:p>
    <w:p w14:paraId="59B07EF3" w14:textId="77777777" w:rsidR="00426554" w:rsidRPr="00796736" w:rsidRDefault="00426554" w:rsidP="00E25C5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lang w:eastAsia="da-DK"/>
        </w:rPr>
        <w:t>Stk. 5.</w:t>
      </w:r>
      <w:r w:rsidRPr="00796736">
        <w:rPr>
          <w:rFonts w:ascii="Times New Roman" w:hAnsi="Times New Roman" w:cs="Times New Roman"/>
          <w:sz w:val="24"/>
          <w:szCs w:val="24"/>
        </w:rPr>
        <w:t xml:space="preserve"> </w:t>
      </w:r>
      <w:r w:rsidRPr="00796736" w:rsidDel="0030304A">
        <w:rPr>
          <w:rFonts w:ascii="Times New Roman" w:hAnsi="Times New Roman" w:cs="Times New Roman"/>
          <w:sz w:val="24"/>
          <w:szCs w:val="24"/>
        </w:rPr>
        <w:t xml:space="preserve">Erhvervsstyrelsen kan afregistrere </w:t>
      </w:r>
      <w:r w:rsidRPr="00796736">
        <w:rPr>
          <w:rFonts w:ascii="Times New Roman" w:hAnsi="Times New Roman" w:cs="Times New Roman"/>
          <w:sz w:val="24"/>
          <w:szCs w:val="24"/>
        </w:rPr>
        <w:t>den person, som</w:t>
      </w:r>
      <w:r w:rsidRPr="00796736" w:rsidDel="0030304A">
        <w:rPr>
          <w:rFonts w:ascii="Times New Roman" w:hAnsi="Times New Roman" w:cs="Times New Roman"/>
          <w:sz w:val="24"/>
          <w:szCs w:val="24"/>
        </w:rPr>
        <w:t xml:space="preserve"> </w:t>
      </w:r>
      <w:r w:rsidRPr="00796736">
        <w:rPr>
          <w:rFonts w:ascii="Times New Roman" w:hAnsi="Times New Roman" w:cs="Times New Roman"/>
          <w:sz w:val="24"/>
          <w:szCs w:val="24"/>
        </w:rPr>
        <w:t>et påbud efter stk. 2 eller stk. 3 vedrører</w:t>
      </w:r>
      <w:r w:rsidRPr="00796736" w:rsidDel="0030304A">
        <w:rPr>
          <w:rFonts w:ascii="Times New Roman" w:hAnsi="Times New Roman" w:cs="Times New Roman"/>
          <w:sz w:val="24"/>
          <w:szCs w:val="24"/>
        </w:rPr>
        <w:t>, fra Det Centrale Virksomhedsregister.</w:t>
      </w:r>
    </w:p>
    <w:p w14:paraId="63030B50" w14:textId="77777777" w:rsidR="00426554" w:rsidRPr="00796736" w:rsidRDefault="00426554"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6.</w:t>
      </w:r>
      <w:r w:rsidRPr="00796736">
        <w:rPr>
          <w:rFonts w:ascii="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Påbud meddelt efter stk. 2 og stk. 3 kan af virksomheden og den person, som påbuddet vedrører, forlanges indbragt for domstolene. Anmodning herom skal indgives til Erhvervsstyrelsen, inden 4 uger efter at påbuddet er meddelt den pågældende. Anmodningen har ikke opsættende virkning for påbuddet, men retten kan ved kendelse bestemme, at det pågældende medlem af den øverste ledelse under sagens behandling kan opretholde sin stilling eller sit hverv. Erhvervsstyrelsen indbringer sagen for domstolene inden 4 uger efter modtagelse af anmodning herom. Sagen anlægges i den borgerlige retsplejes former</w:t>
      </w:r>
      <w:r w:rsidRPr="00796736">
        <w:rPr>
          <w:rFonts w:ascii="Times New Roman" w:hAnsi="Times New Roman" w:cs="Times New Roman"/>
          <w:sz w:val="24"/>
          <w:szCs w:val="24"/>
          <w:lang w:eastAsia="da-DK"/>
        </w:rPr>
        <w:t xml:space="preserve">. </w:t>
      </w:r>
    </w:p>
    <w:p w14:paraId="06D5F081" w14:textId="77777777" w:rsidR="00426554" w:rsidRPr="00796736" w:rsidRDefault="00426554" w:rsidP="00E25C5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lang w:eastAsia="da-DK"/>
        </w:rPr>
        <w:t xml:space="preserve">Stk. 7. </w:t>
      </w:r>
      <w:r w:rsidRPr="00796736">
        <w:rPr>
          <w:rFonts w:ascii="Times New Roman" w:eastAsia="Times New Roman" w:hAnsi="Times New Roman" w:cs="Times New Roman"/>
          <w:sz w:val="24"/>
          <w:szCs w:val="24"/>
          <w:lang w:eastAsia="da-DK"/>
        </w:rPr>
        <w:t>Erhvervsstyrelsen kan af egen drift eller efter ansøgning tilbagekalde et påbud meddelt efter stk. 2 eller stk. 3. Afslår Erhvervsstyrelsen en ansøgning om tilbagekaldelse, kan ansøgeren forlange afslaget indbragt for domstolene. Anmodning herom skal indgives til Erhvervsstyrelsen, inden 4 uger efter at afslaget er meddelt den pågældende. Anmodning om domstolsprøvelse kan dog kun fremsættes, hvis påbuddet ikke er tidsbegrænset, og der er forløbet mindst 5 år fra datoen for udstedelsen af påbuddet, eller mindst 2 år efter at Erhvervsstyrelsens afslag på tilbagekaldelse er stadfæstet ved dom</w:t>
      </w:r>
      <w:r w:rsidRPr="00796736">
        <w:rPr>
          <w:rFonts w:ascii="Times New Roman" w:hAnsi="Times New Roman" w:cs="Times New Roman"/>
          <w:sz w:val="24"/>
          <w:szCs w:val="24"/>
          <w:lang w:eastAsia="da-DK"/>
        </w:rPr>
        <w:t>.</w:t>
      </w:r>
    </w:p>
    <w:p w14:paraId="17D8CE59" w14:textId="77777777" w:rsidR="006B74B5" w:rsidRPr="00796736" w:rsidRDefault="006B74B5" w:rsidP="00A802A5">
      <w:pPr>
        <w:spacing w:line="360" w:lineRule="auto"/>
        <w:ind w:firstLine="238"/>
        <w:rPr>
          <w:rFonts w:ascii="Times New Roman" w:hAnsi="Times New Roman" w:cs="Times New Roman"/>
          <w:sz w:val="24"/>
          <w:szCs w:val="24"/>
          <w:lang w:eastAsia="da-DK"/>
        </w:rPr>
      </w:pPr>
    </w:p>
    <w:p w14:paraId="26DE5B8B" w14:textId="2450B827" w:rsidR="00426554" w:rsidRPr="00796736" w:rsidRDefault="00426554" w:rsidP="00E25C5F">
      <w:pPr>
        <w:pStyle w:val="Typografi1"/>
        <w:ind w:left="0" w:firstLine="238"/>
        <w:rPr>
          <w:rFonts w:ascii="Times New Roman" w:hAnsi="Times New Roman" w:cs="Times New Roman"/>
          <w:sz w:val="24"/>
          <w:szCs w:val="24"/>
          <w:lang w:eastAsia="da-DK"/>
        </w:rPr>
      </w:pPr>
      <w:bookmarkStart w:id="329" w:name="_Ref232608920"/>
      <w:bookmarkStart w:id="330" w:name="_Toc244879073"/>
      <w:bookmarkStart w:id="331" w:name="_Toc244880597"/>
      <w:r w:rsidRPr="00796736">
        <w:rPr>
          <w:rFonts w:ascii="Times New Roman" w:hAnsi="Times New Roman" w:cs="Times New Roman"/>
          <w:sz w:val="24"/>
          <w:szCs w:val="24"/>
          <w:lang w:eastAsia="da-DK"/>
        </w:rPr>
        <w:t xml:space="preserve">Erhvervsstyrelsen kan </w:t>
      </w:r>
      <w:r w:rsidRPr="00796736">
        <w:rPr>
          <w:rFonts w:ascii="Times New Roman" w:hAnsi="Times New Roman" w:cs="Times New Roman"/>
          <w:sz w:val="24"/>
          <w:szCs w:val="24"/>
        </w:rPr>
        <w:t xml:space="preserve">påbyde en reel ejer af en virksomhed, som 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at ophøre med at udøve kontrol med den pågældende virksomhed, herunder afhænde sine ejerandele helt eller delvist inden for en frist fastsat af Erhvervsstyrelsen, såfremt den pågældende er dømt for hvidvask af penge, de underliggende lovovertrædelser eller finansiering af terrorisme.</w:t>
      </w:r>
      <w:bookmarkEnd w:id="329"/>
      <w:bookmarkEnd w:id="330"/>
      <w:bookmarkEnd w:id="331"/>
    </w:p>
    <w:p w14:paraId="3B6AB8C4" w14:textId="77777777" w:rsidR="00426554" w:rsidRPr="00796736" w:rsidRDefault="00426554"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2.</w:t>
      </w:r>
      <w:r w:rsidRPr="00796736">
        <w:rPr>
          <w:rFonts w:ascii="Times New Roman" w:hAnsi="Times New Roman" w:cs="Times New Roman"/>
          <w:sz w:val="24"/>
          <w:szCs w:val="24"/>
          <w:lang w:eastAsia="da-DK"/>
        </w:rPr>
        <w:t xml:space="preserve"> Varigheden af påbuddet meddelt efter stk. 1, skal fremgå af afgørelsen.</w:t>
      </w:r>
    </w:p>
    <w:p w14:paraId="083F05CE" w14:textId="77777777" w:rsidR="00426554" w:rsidRPr="00796736" w:rsidRDefault="00426554"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3.</w:t>
      </w:r>
      <w:r w:rsidRPr="00796736">
        <w:rPr>
          <w:rFonts w:ascii="Times New Roman" w:hAnsi="Times New Roman" w:cs="Times New Roman"/>
          <w:sz w:val="24"/>
          <w:szCs w:val="24"/>
          <w:lang w:eastAsia="da-DK"/>
        </w:rPr>
        <w:t xml:space="preserve"> Når Erhvervsstyrelsen har meddelt påbuddet efter stk. 1, suspenderes de forvaltningsmæssige og økonomiske beføjelser, der kan henføres til modtageren af påbuddet efter stk. 1, i den pågældende virksomhed.</w:t>
      </w:r>
    </w:p>
    <w:p w14:paraId="74CE7810" w14:textId="77777777" w:rsidR="00426554" w:rsidRPr="00796736" w:rsidRDefault="00426554"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4.</w:t>
      </w:r>
      <w:r w:rsidRPr="00796736">
        <w:rPr>
          <w:rFonts w:ascii="Times New Roman" w:hAnsi="Times New Roman" w:cs="Times New Roman"/>
          <w:sz w:val="24"/>
          <w:szCs w:val="24"/>
          <w:lang w:eastAsia="da-DK"/>
        </w:rPr>
        <w:t xml:space="preserve"> Giver kapitalandele eller ejerandele omfattet af stk. 1 ret til udbytte eller andre udbetalinger, skal den forpligtede enheds ledelse deponere udbyttet efter meddelelse af påbud efter stk. 1 og indtil påbuddet efterkommes. Udbyttet udbetales til personen, når personen har dokumenteret overfor den forpligtede enheds ledelse, at påbuddet er efterkommet.</w:t>
      </w:r>
    </w:p>
    <w:p w14:paraId="2FE101EA" w14:textId="77777777" w:rsidR="00426554" w:rsidRPr="00796736" w:rsidRDefault="00426554"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sz w:val="24"/>
          <w:szCs w:val="24"/>
          <w:lang w:eastAsia="da-DK"/>
        </w:rPr>
        <w:t>Stk. 5.</w:t>
      </w:r>
      <w:r w:rsidRPr="00796736">
        <w:rPr>
          <w:rFonts w:ascii="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Påbud meddelt efter stk. 1 kan af virksomheden og den person, som påbuddet vedrører, forlanges indbragt for domstolene. Anmodning herom skal indgives til Erhvervsstyrelsen, inden 4 uger efter at påbuddet er meddelt den pågældende. Anmodningen har ikke opsættende virkning for påbuddet, men retten kan ved kendelse bestemme, at afgørelsen skal have opsættende virkning. Erhvervsstyrelsen indbringer sagen for domstolene inden 4 uger efter modtagelse af anmodning herom. Sagen anlægges i den borgerlige retsplejes former</w:t>
      </w:r>
      <w:r w:rsidRPr="00796736">
        <w:rPr>
          <w:rFonts w:ascii="Times New Roman" w:hAnsi="Times New Roman" w:cs="Times New Roman"/>
          <w:sz w:val="24"/>
          <w:szCs w:val="24"/>
          <w:lang w:eastAsia="da-DK"/>
        </w:rPr>
        <w:t xml:space="preserve">. </w:t>
      </w:r>
    </w:p>
    <w:p w14:paraId="66132A79" w14:textId="77777777" w:rsidR="00426554" w:rsidRPr="00796736" w:rsidRDefault="00426554" w:rsidP="00E25C5F">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lang w:eastAsia="da-DK"/>
        </w:rPr>
        <w:t xml:space="preserve">Stk. 6. </w:t>
      </w:r>
      <w:r w:rsidRPr="00796736">
        <w:rPr>
          <w:rFonts w:ascii="Times New Roman" w:eastAsia="Times New Roman" w:hAnsi="Times New Roman" w:cs="Times New Roman"/>
          <w:sz w:val="24"/>
          <w:szCs w:val="24"/>
          <w:lang w:eastAsia="da-DK"/>
        </w:rPr>
        <w:t>Erhvervsstyrelsen kan af egen drift eller efter ansøgning tilbagekalde et påbud meddelt efter stk. 1. Afslår Erhvervsstyrelsen en ansøgning om tilbagekaldelse, kan ansøgeren forlange afslaget indbragt for domstolene. Anmodning herom skal indgives til Erhvervsstyrelsen, inden 4 uger efter at afslaget er meddelt den pågældende. Anmodning om domstolsprøvelse kan dog kun fremsættes, hvis påbuddet ikke er tidsbegrænset, og der er forløbet mindst 5 år fra datoen for udstedelsen af påbuddet, eller mindst 2 år efter at Erhvervsstyrelsens afslag på tilbagekaldelse er stadfæstet ved dom</w:t>
      </w:r>
      <w:r w:rsidRPr="00796736">
        <w:rPr>
          <w:rFonts w:ascii="Times New Roman" w:hAnsi="Times New Roman" w:cs="Times New Roman"/>
          <w:sz w:val="24"/>
          <w:szCs w:val="24"/>
          <w:lang w:eastAsia="da-DK"/>
        </w:rPr>
        <w:t>.</w:t>
      </w:r>
    </w:p>
    <w:p w14:paraId="21BD046A" w14:textId="77777777" w:rsidR="006B74B5" w:rsidRPr="00796736" w:rsidRDefault="006B74B5" w:rsidP="00A802A5">
      <w:pPr>
        <w:spacing w:line="360" w:lineRule="auto"/>
        <w:ind w:firstLine="238"/>
        <w:rPr>
          <w:rFonts w:ascii="Times New Roman" w:eastAsia="Calibri" w:hAnsi="Times New Roman" w:cs="Times New Roman"/>
          <w:sz w:val="24"/>
          <w:szCs w:val="24"/>
        </w:rPr>
      </w:pPr>
    </w:p>
    <w:p w14:paraId="6B5F2481" w14:textId="16B0AC1D" w:rsidR="006B74B5" w:rsidRPr="00796736" w:rsidRDefault="006B74B5" w:rsidP="00E25C5F">
      <w:pPr>
        <w:pStyle w:val="Typografi1"/>
        <w:ind w:left="0" w:firstLine="238"/>
        <w:rPr>
          <w:rFonts w:ascii="Times New Roman" w:hAnsi="Times New Roman" w:cs="Times New Roman"/>
          <w:sz w:val="24"/>
          <w:szCs w:val="24"/>
          <w:lang w:eastAsia="da-DK"/>
        </w:rPr>
      </w:pPr>
      <w:bookmarkStart w:id="332" w:name="_Ref232608940"/>
      <w:bookmarkStart w:id="333" w:name="_Ref243927859"/>
      <w:bookmarkStart w:id="334" w:name="_Toc244879074"/>
      <w:bookmarkStart w:id="335" w:name="_Toc244880598"/>
      <w:r w:rsidRPr="00796736">
        <w:rPr>
          <w:rFonts w:ascii="Times New Roman" w:hAnsi="Times New Roman" w:cs="Times New Roman"/>
          <w:sz w:val="24"/>
          <w:szCs w:val="24"/>
          <w:lang w:eastAsia="da-DK"/>
        </w:rPr>
        <w:t xml:space="preserve">Umiddelbart efter afgivelse af påbud efter </w:t>
      </w:r>
      <w:r w:rsidR="00BB76E3" w:rsidRPr="00796736">
        <w:rPr>
          <w:rFonts w:ascii="Times New Roman" w:hAnsi="Times New Roman" w:cs="Times New Roman"/>
          <w:sz w:val="24"/>
          <w:szCs w:val="24"/>
          <w:lang w:eastAsia="da-DK"/>
        </w:rPr>
        <w:fldChar w:fldCharType="begin"/>
      </w:r>
      <w:r w:rsidR="00BB76E3" w:rsidRPr="00796736">
        <w:rPr>
          <w:rFonts w:ascii="Times New Roman" w:hAnsi="Times New Roman" w:cs="Times New Roman"/>
          <w:sz w:val="24"/>
          <w:szCs w:val="24"/>
          <w:lang w:eastAsia="da-DK"/>
        </w:rPr>
        <w:instrText xml:space="preserve"> REF _Ref232608920 \r \h </w:instrText>
      </w:r>
      <w:r w:rsidR="00967618" w:rsidRPr="00796736">
        <w:rPr>
          <w:rFonts w:ascii="Times New Roman" w:hAnsi="Times New Roman" w:cs="Times New Roman"/>
          <w:sz w:val="24"/>
          <w:szCs w:val="24"/>
          <w:lang w:eastAsia="da-DK"/>
        </w:rPr>
        <w:instrText xml:space="preserve"> \* MERGEFORMAT </w:instrText>
      </w:r>
      <w:r w:rsidR="00BB76E3" w:rsidRPr="00796736">
        <w:rPr>
          <w:rFonts w:ascii="Times New Roman" w:hAnsi="Times New Roman" w:cs="Times New Roman"/>
          <w:sz w:val="24"/>
          <w:szCs w:val="24"/>
          <w:lang w:eastAsia="da-DK"/>
        </w:rPr>
      </w:r>
      <w:r w:rsidR="00BB76E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90</w:t>
      </w:r>
      <w:r w:rsidR="00BB76E3"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w:t>
      </w:r>
      <w:bookmarkEnd w:id="332"/>
      <w:r w:rsidR="00426554" w:rsidRPr="00796736">
        <w:rPr>
          <w:rFonts w:ascii="Times New Roman" w:hAnsi="Times New Roman" w:cs="Times New Roman"/>
          <w:sz w:val="24"/>
          <w:szCs w:val="24"/>
          <w:lang w:eastAsia="da-DK"/>
        </w:rPr>
        <w:t>meddeler Erhvervsstyrelsen virksomheden, at den pågældende person er blevet påbudt at ophøre med at udøve kontrol af den pågældende virksomhed, og at personens forvaltningsmæssige og økonomiske beføjelser i virksomheden er suspenderet.</w:t>
      </w:r>
      <w:bookmarkEnd w:id="333"/>
      <w:bookmarkEnd w:id="334"/>
      <w:bookmarkEnd w:id="335"/>
    </w:p>
    <w:p w14:paraId="3C086C70" w14:textId="5F706879"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 </w:t>
      </w:r>
      <w:r w:rsidRPr="00796736">
        <w:rPr>
          <w:rFonts w:ascii="Times New Roman" w:hAnsi="Times New Roman" w:cs="Times New Roman"/>
          <w:i/>
          <w:sz w:val="24"/>
          <w:szCs w:val="24"/>
          <w:lang w:eastAsia="da-DK"/>
        </w:rPr>
        <w:t>Stk. 2.</w:t>
      </w:r>
      <w:r w:rsidRPr="00796736">
        <w:rPr>
          <w:rFonts w:ascii="Times New Roman" w:hAnsi="Times New Roman" w:cs="Times New Roman"/>
          <w:sz w:val="24"/>
          <w:szCs w:val="24"/>
          <w:lang w:eastAsia="da-DK"/>
        </w:rPr>
        <w:t xml:space="preserve"> </w:t>
      </w:r>
      <w:r w:rsidR="00426554" w:rsidRPr="00796736">
        <w:rPr>
          <w:rFonts w:ascii="Times New Roman" w:hAnsi="Times New Roman" w:cs="Times New Roman"/>
          <w:sz w:val="24"/>
          <w:szCs w:val="24"/>
          <w:lang w:eastAsia="da-DK"/>
        </w:rPr>
        <w:t>De øvrige ejeres andel af stemmerettighederne, der er noteret i virksomhedens ejerbog eller tilsvarende fortegnelse, forhøjes forholdsmæssigt med den påbudte persons stemmerettigheder i perioden fra meddelelse af påbuddet og indtil påbuddet efterkommes.</w:t>
      </w:r>
    </w:p>
    <w:p w14:paraId="2A34DD08" w14:textId="77777777"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eastAsia="Calibri" w:hAnsi="Times New Roman" w:cs="Times New Roman"/>
          <w:i/>
          <w:sz w:val="24"/>
          <w:szCs w:val="24"/>
        </w:rPr>
        <w:t xml:space="preserve">Stk. 3. </w:t>
      </w:r>
      <w:r w:rsidRPr="00796736">
        <w:rPr>
          <w:rFonts w:ascii="Times New Roman" w:eastAsia="Calibri" w:hAnsi="Times New Roman" w:cs="Times New Roman"/>
          <w:sz w:val="24"/>
          <w:szCs w:val="24"/>
        </w:rPr>
        <w:t xml:space="preserve">Virksomheden, dens øverste ledelse og eventuelle øvrige reelle ejere er efter meddelelse i stk. 1 forpligtet til at sikre, at personen ikke kan udnytte sine forvaltningsmæssige og økonomiske </w:t>
      </w:r>
      <w:r w:rsidRPr="00796736">
        <w:rPr>
          <w:rFonts w:ascii="Times New Roman" w:hAnsi="Times New Roman" w:cs="Times New Roman"/>
          <w:sz w:val="24"/>
          <w:szCs w:val="24"/>
          <w:lang w:eastAsia="da-DK"/>
        </w:rPr>
        <w:t>beføjelser.</w:t>
      </w:r>
    </w:p>
    <w:p w14:paraId="4910354D" w14:textId="370907D1" w:rsidR="006B74B5" w:rsidRPr="00796736" w:rsidRDefault="006B74B5" w:rsidP="00E25C5F">
      <w:pPr>
        <w:spacing w:line="360" w:lineRule="auto"/>
        <w:ind w:firstLine="238"/>
        <w:rPr>
          <w:rFonts w:ascii="Times New Roman" w:hAnsi="Times New Roman" w:cs="Times New Roman"/>
          <w:i/>
          <w:sz w:val="24"/>
          <w:szCs w:val="24"/>
          <w:lang w:eastAsia="da-DK"/>
        </w:rPr>
      </w:pPr>
      <w:r w:rsidRPr="00796736">
        <w:rPr>
          <w:rFonts w:ascii="Times New Roman" w:hAnsi="Times New Roman" w:cs="Times New Roman"/>
          <w:i/>
          <w:sz w:val="24"/>
          <w:szCs w:val="24"/>
          <w:lang w:eastAsia="da-DK"/>
        </w:rPr>
        <w:t>Stk. 4.</w:t>
      </w:r>
      <w:r w:rsidRPr="00796736">
        <w:rPr>
          <w:rFonts w:ascii="Times New Roman" w:hAnsi="Times New Roman" w:cs="Times New Roman"/>
          <w:sz w:val="24"/>
          <w:szCs w:val="24"/>
          <w:lang w:eastAsia="da-DK"/>
        </w:rPr>
        <w:t xml:space="preserve"> </w:t>
      </w:r>
      <w:r w:rsidR="00426554" w:rsidRPr="00796736">
        <w:rPr>
          <w:rFonts w:ascii="Times New Roman" w:hAnsi="Times New Roman" w:cs="Times New Roman"/>
          <w:sz w:val="24"/>
          <w:szCs w:val="24"/>
          <w:lang w:eastAsia="da-DK"/>
        </w:rPr>
        <w:t>Erhvervsstyrelsen kan påbyde virksomheden at indføre specifikke nødvendige foranstaltninger for at afskære den pågældende reelle ejer fra at udøve kontrol med virksomheden.</w:t>
      </w:r>
    </w:p>
    <w:p w14:paraId="0DD9AA0F" w14:textId="77777777" w:rsidR="006B74B5" w:rsidRPr="00796736" w:rsidRDefault="006B74B5" w:rsidP="00A802A5">
      <w:pPr>
        <w:spacing w:line="360" w:lineRule="auto"/>
        <w:ind w:firstLine="238"/>
        <w:rPr>
          <w:rFonts w:ascii="Times New Roman" w:eastAsia="Calibri" w:hAnsi="Times New Roman" w:cs="Times New Roman"/>
          <w:sz w:val="24"/>
          <w:szCs w:val="24"/>
        </w:rPr>
      </w:pPr>
    </w:p>
    <w:p w14:paraId="725DC82E" w14:textId="48EBA757" w:rsidR="006B74B5" w:rsidRPr="00796736" w:rsidRDefault="006B74B5" w:rsidP="00E25C5F">
      <w:pPr>
        <w:pStyle w:val="Typografi1"/>
        <w:ind w:left="0" w:firstLine="238"/>
        <w:rPr>
          <w:rFonts w:ascii="Times New Roman" w:hAnsi="Times New Roman" w:cs="Times New Roman"/>
          <w:sz w:val="24"/>
          <w:szCs w:val="24"/>
          <w:lang w:eastAsia="da-DK"/>
        </w:rPr>
      </w:pPr>
      <w:bookmarkStart w:id="336" w:name="_Ref232608991"/>
      <w:bookmarkStart w:id="337" w:name="_Toc244879075"/>
      <w:bookmarkStart w:id="338" w:name="_Toc244880599"/>
      <w:r w:rsidRPr="00796736">
        <w:rPr>
          <w:rFonts w:ascii="Times New Roman" w:hAnsi="Times New Roman" w:cs="Times New Roman"/>
          <w:sz w:val="24"/>
          <w:szCs w:val="24"/>
          <w:lang w:eastAsia="da-DK"/>
        </w:rPr>
        <w:t>Erhvervsstyrelsen kan anmode skifteretten om at opløse en virksomhed i overensstemmelse med den lovgivning, som er gældende for virksomheden, hvis</w:t>
      </w:r>
      <w:bookmarkEnd w:id="336"/>
      <w:bookmarkEnd w:id="337"/>
      <w:bookmarkEnd w:id="338"/>
    </w:p>
    <w:p w14:paraId="1C9B7D93" w14:textId="7D0272C0" w:rsidR="00426554" w:rsidRPr="00796736" w:rsidRDefault="00426554">
      <w:pPr>
        <w:pStyle w:val="Listeafsnit"/>
        <w:numPr>
          <w:ilvl w:val="0"/>
          <w:numId w:val="32"/>
        </w:numPr>
        <w:spacing w:line="360" w:lineRule="auto"/>
        <w:ind w:left="0" w:firstLine="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reelle ejer undlader at efterkomme et påbud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_Ref232608920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90</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inden for den fastsatte frist og </w:t>
      </w:r>
    </w:p>
    <w:p w14:paraId="227DE1EF" w14:textId="2FA8D5B4" w:rsidR="006B74B5" w:rsidRPr="00796736" w:rsidRDefault="006B74B5">
      <w:pPr>
        <w:pStyle w:val="Listeafsnit"/>
        <w:numPr>
          <w:ilvl w:val="0"/>
          <w:numId w:val="32"/>
        </w:numPr>
        <w:spacing w:line="360" w:lineRule="auto"/>
        <w:ind w:left="0" w:firstLine="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virksomheden undlader at efterkomme et påbud efter </w:t>
      </w:r>
      <w:r w:rsidR="00BB76E3" w:rsidRPr="00796736">
        <w:rPr>
          <w:rFonts w:ascii="Times New Roman" w:hAnsi="Times New Roman" w:cs="Times New Roman"/>
          <w:sz w:val="24"/>
          <w:szCs w:val="24"/>
          <w:lang w:eastAsia="da-DK"/>
        </w:rPr>
        <w:fldChar w:fldCharType="begin"/>
      </w:r>
      <w:r w:rsidR="00BB76E3" w:rsidRPr="00796736">
        <w:rPr>
          <w:rFonts w:ascii="Times New Roman" w:hAnsi="Times New Roman" w:cs="Times New Roman"/>
          <w:sz w:val="24"/>
          <w:szCs w:val="24"/>
          <w:lang w:eastAsia="da-DK"/>
        </w:rPr>
        <w:instrText xml:space="preserve"> REF _Ref232608940 \r \h </w:instrText>
      </w:r>
      <w:r w:rsidR="00967618" w:rsidRPr="00796736">
        <w:rPr>
          <w:rFonts w:ascii="Times New Roman" w:hAnsi="Times New Roman" w:cs="Times New Roman"/>
          <w:sz w:val="24"/>
          <w:szCs w:val="24"/>
          <w:lang w:eastAsia="da-DK"/>
        </w:rPr>
        <w:instrText xml:space="preserve"> \* MERGEFORMAT </w:instrText>
      </w:r>
      <w:r w:rsidR="00BB76E3" w:rsidRPr="00796736">
        <w:rPr>
          <w:rFonts w:ascii="Times New Roman" w:hAnsi="Times New Roman" w:cs="Times New Roman"/>
          <w:sz w:val="24"/>
          <w:szCs w:val="24"/>
          <w:lang w:eastAsia="da-DK"/>
        </w:rPr>
      </w:r>
      <w:r w:rsidR="00BB76E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91</w:t>
      </w:r>
      <w:r w:rsidR="00BB76E3"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4, inden for den fastsatte frist.</w:t>
      </w:r>
    </w:p>
    <w:p w14:paraId="52515036" w14:textId="77777777"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2. </w:t>
      </w:r>
      <w:r w:rsidRPr="00796736">
        <w:rPr>
          <w:rFonts w:ascii="Times New Roman" w:hAnsi="Times New Roman" w:cs="Times New Roman"/>
          <w:sz w:val="24"/>
          <w:szCs w:val="24"/>
          <w:lang w:eastAsia="da-DK"/>
        </w:rPr>
        <w:t xml:space="preserve">Erhvervsstyrelsen kan slette en filial af en udenlandsk virksomhed fra styrelsens it-system i de i stk. 1 nævnte situationer. Vedrører de i stk. 1 nævnte situationer et interessentskab eller kommanditselskab, kan styrelsen slette registreringen af interessentskabet eller kommanditselskabet i styrelsens register. </w:t>
      </w:r>
    </w:p>
    <w:p w14:paraId="7E5F90D4" w14:textId="77777777" w:rsidR="006F01E9" w:rsidRPr="00796736" w:rsidRDefault="006F01E9" w:rsidP="00A802A5">
      <w:pPr>
        <w:spacing w:line="360" w:lineRule="auto"/>
        <w:ind w:firstLine="238"/>
        <w:rPr>
          <w:rFonts w:ascii="Times New Roman" w:hAnsi="Times New Roman" w:cs="Times New Roman"/>
          <w:sz w:val="24"/>
          <w:szCs w:val="24"/>
          <w:lang w:eastAsia="da-DK"/>
        </w:rPr>
      </w:pPr>
    </w:p>
    <w:p w14:paraId="2006E635" w14:textId="77777777" w:rsidR="0042556A" w:rsidRPr="00796736" w:rsidRDefault="006F01E9" w:rsidP="00A802A5">
      <w:pPr>
        <w:pStyle w:val="Typografi1"/>
        <w:rPr>
          <w:rFonts w:ascii="Times New Roman" w:hAnsi="Times New Roman" w:cs="Times New Roman"/>
          <w:sz w:val="24"/>
          <w:szCs w:val="24"/>
        </w:rPr>
      </w:pPr>
      <w:bookmarkStart w:id="339" w:name="_Ref233056803"/>
      <w:bookmarkStart w:id="340" w:name="_Toc244879076"/>
      <w:bookmarkStart w:id="341" w:name="_Toc244880600"/>
      <w:r w:rsidRPr="00796736">
        <w:rPr>
          <w:rFonts w:ascii="Times New Roman" w:hAnsi="Times New Roman" w:cs="Times New Roman"/>
          <w:sz w:val="24"/>
          <w:szCs w:val="24"/>
        </w:rPr>
        <w:t>Erhvervsstyrelsen kan påbyde virksomheder og personer, der deltager i et partnerskab med henblik på udveksling af oplysninger i henhold til hvidvaskforordningens artikel 75, at få foretaget en uafhængig revision af, hvordan partnerskabet fungerer.</w:t>
      </w:r>
      <w:bookmarkEnd w:id="339"/>
      <w:bookmarkEnd w:id="340"/>
      <w:bookmarkEnd w:id="341"/>
    </w:p>
    <w:p w14:paraId="7ACAC38B" w14:textId="2CD91BA9" w:rsidR="0042556A" w:rsidRPr="00796736" w:rsidRDefault="0042556A" w:rsidP="00A802A5">
      <w:pPr>
        <w:spacing w:line="360" w:lineRule="auto"/>
        <w:rPr>
          <w:rFonts w:ascii="Times New Roman" w:hAnsi="Times New Roman" w:cs="Times New Roman"/>
          <w:sz w:val="24"/>
          <w:szCs w:val="24"/>
        </w:rPr>
      </w:pP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Erhvervsstyrelsen kan påbyde, at resultatet af den uafhængige revision udveksles med Erhvervsstyrelsen.</w:t>
      </w:r>
    </w:p>
    <w:p w14:paraId="5764B8EC" w14:textId="77777777" w:rsidR="006B74B5" w:rsidRPr="00796736" w:rsidRDefault="006B74B5" w:rsidP="00A802A5">
      <w:pPr>
        <w:spacing w:line="360" w:lineRule="auto"/>
        <w:rPr>
          <w:rFonts w:ascii="Times New Roman" w:hAnsi="Times New Roman" w:cs="Times New Roman"/>
          <w:sz w:val="24"/>
          <w:szCs w:val="24"/>
          <w:lang w:eastAsia="da-DK"/>
        </w:rPr>
      </w:pPr>
    </w:p>
    <w:p w14:paraId="1D4325E6" w14:textId="7874BEEB" w:rsidR="006F01E9" w:rsidRPr="00796736" w:rsidRDefault="006F01E9" w:rsidP="00A802A5">
      <w:pPr>
        <w:spacing w:line="360" w:lineRule="auto"/>
        <w:ind w:firstLine="238"/>
        <w:jc w:val="center"/>
        <w:rPr>
          <w:rFonts w:ascii="Times New Roman" w:hAnsi="Times New Roman" w:cs="Times New Roman"/>
          <w:i/>
          <w:iCs/>
          <w:sz w:val="24"/>
          <w:szCs w:val="24"/>
          <w:lang w:eastAsia="da-DK"/>
        </w:rPr>
      </w:pPr>
      <w:r w:rsidRPr="00796736">
        <w:rPr>
          <w:rFonts w:ascii="Times New Roman" w:hAnsi="Times New Roman" w:cs="Times New Roman"/>
          <w:i/>
          <w:iCs/>
          <w:sz w:val="24"/>
          <w:szCs w:val="24"/>
          <w:lang w:eastAsia="da-DK"/>
        </w:rPr>
        <w:t>Erhvervsstyrelsens offentliggørelse</w:t>
      </w:r>
    </w:p>
    <w:p w14:paraId="4E171E2F" w14:textId="161DFFBC" w:rsidR="006B74B5" w:rsidRPr="00796736" w:rsidRDefault="006B74B5" w:rsidP="00E25C5F">
      <w:pPr>
        <w:pStyle w:val="Typografi1"/>
        <w:ind w:left="0" w:firstLine="238"/>
        <w:rPr>
          <w:rFonts w:ascii="Times New Roman" w:hAnsi="Times New Roman" w:cs="Times New Roman"/>
          <w:sz w:val="24"/>
          <w:szCs w:val="24"/>
          <w:lang w:eastAsia="da-DK"/>
        </w:rPr>
      </w:pPr>
      <w:bookmarkStart w:id="342" w:name="_Ref232609108"/>
      <w:bookmarkStart w:id="343" w:name="_Ref239774326"/>
      <w:bookmarkStart w:id="344" w:name="_Toc244879077"/>
      <w:bookmarkStart w:id="345" w:name="_Toc244880601"/>
      <w:r w:rsidRPr="00796736">
        <w:rPr>
          <w:rFonts w:ascii="Times New Roman" w:hAnsi="Times New Roman" w:cs="Times New Roman"/>
          <w:sz w:val="24"/>
          <w:szCs w:val="24"/>
          <w:lang w:eastAsia="da-DK"/>
        </w:rPr>
        <w:t xml:space="preserve">Reaktioner givet efter </w:t>
      </w:r>
      <w:r w:rsidR="00BB76E3" w:rsidRPr="00796736">
        <w:rPr>
          <w:rFonts w:ascii="Times New Roman" w:hAnsi="Times New Roman" w:cs="Times New Roman"/>
          <w:sz w:val="24"/>
          <w:szCs w:val="24"/>
          <w:lang w:eastAsia="da-DK"/>
        </w:rPr>
        <w:fldChar w:fldCharType="begin"/>
      </w:r>
      <w:r w:rsidR="00BB76E3" w:rsidRPr="00796736">
        <w:rPr>
          <w:rFonts w:ascii="Times New Roman" w:hAnsi="Times New Roman" w:cs="Times New Roman"/>
          <w:sz w:val="24"/>
          <w:szCs w:val="24"/>
          <w:lang w:eastAsia="da-DK"/>
        </w:rPr>
        <w:instrText xml:space="preserve"> REF _Ref232597665 \r \h </w:instrText>
      </w:r>
      <w:r w:rsidR="00967618" w:rsidRPr="00796736">
        <w:rPr>
          <w:rFonts w:ascii="Times New Roman" w:hAnsi="Times New Roman" w:cs="Times New Roman"/>
          <w:sz w:val="24"/>
          <w:szCs w:val="24"/>
          <w:lang w:eastAsia="da-DK"/>
        </w:rPr>
        <w:instrText xml:space="preserve"> \* MERGEFORMAT </w:instrText>
      </w:r>
      <w:r w:rsidR="00BB76E3" w:rsidRPr="00796736">
        <w:rPr>
          <w:rFonts w:ascii="Times New Roman" w:hAnsi="Times New Roman" w:cs="Times New Roman"/>
          <w:sz w:val="24"/>
          <w:szCs w:val="24"/>
          <w:lang w:eastAsia="da-DK"/>
        </w:rPr>
      </w:r>
      <w:r w:rsidR="00BB76E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BB76E3"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w:t>
      </w:r>
      <w:r w:rsidR="00E9791D" w:rsidRPr="00796736">
        <w:rPr>
          <w:rFonts w:ascii="Times New Roman" w:hAnsi="Times New Roman" w:cs="Times New Roman"/>
          <w:sz w:val="24"/>
          <w:szCs w:val="24"/>
          <w:lang w:eastAsia="da-DK"/>
        </w:rPr>
        <w:fldChar w:fldCharType="begin"/>
      </w:r>
      <w:r w:rsidR="00E9791D" w:rsidRPr="00796736">
        <w:rPr>
          <w:rFonts w:ascii="Times New Roman" w:hAnsi="Times New Roman" w:cs="Times New Roman"/>
          <w:sz w:val="24"/>
          <w:szCs w:val="24"/>
          <w:lang w:eastAsia="da-DK"/>
        </w:rPr>
        <w:instrText xml:space="preserve"> REF _Ref232597715 \r \h </w:instrText>
      </w:r>
      <w:r w:rsidR="00967618" w:rsidRPr="00796736">
        <w:rPr>
          <w:rFonts w:ascii="Times New Roman" w:hAnsi="Times New Roman" w:cs="Times New Roman"/>
          <w:sz w:val="24"/>
          <w:szCs w:val="24"/>
          <w:lang w:eastAsia="da-DK"/>
        </w:rPr>
        <w:instrText xml:space="preserve"> \* MERGEFORMAT </w:instrText>
      </w:r>
      <w:r w:rsidR="00E9791D" w:rsidRPr="00796736">
        <w:rPr>
          <w:rFonts w:ascii="Times New Roman" w:hAnsi="Times New Roman" w:cs="Times New Roman"/>
          <w:sz w:val="24"/>
          <w:szCs w:val="24"/>
          <w:lang w:eastAsia="da-DK"/>
        </w:rPr>
      </w:r>
      <w:r w:rsidR="00E9791D"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87</w:t>
      </w:r>
      <w:r w:rsidR="00E9791D"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1,</w:t>
      </w:r>
      <w:r w:rsidR="004A72D6" w:rsidRPr="00796736">
        <w:rPr>
          <w:rFonts w:ascii="Times New Roman" w:hAnsi="Times New Roman" w:cs="Times New Roman"/>
          <w:sz w:val="24"/>
          <w:szCs w:val="24"/>
          <w:lang w:eastAsia="da-DK"/>
        </w:rPr>
        <w:t xml:space="preserve"> </w:t>
      </w:r>
      <w:r w:rsidR="004A72D6" w:rsidRPr="00796736">
        <w:rPr>
          <w:rFonts w:ascii="Times New Roman" w:hAnsi="Times New Roman" w:cs="Times New Roman"/>
          <w:sz w:val="24"/>
          <w:szCs w:val="24"/>
          <w:lang w:eastAsia="da-DK"/>
        </w:rPr>
        <w:fldChar w:fldCharType="begin"/>
      </w:r>
      <w:r w:rsidR="004A72D6" w:rsidRPr="00796736">
        <w:rPr>
          <w:rFonts w:ascii="Times New Roman" w:hAnsi="Times New Roman" w:cs="Times New Roman"/>
          <w:sz w:val="24"/>
          <w:szCs w:val="24"/>
          <w:lang w:eastAsia="da-DK"/>
        </w:rPr>
        <w:instrText xml:space="preserve"> REF _Ref239162999 \r \h </w:instrText>
      </w:r>
      <w:r w:rsidR="001A2696" w:rsidRPr="00796736">
        <w:rPr>
          <w:rFonts w:ascii="Times New Roman" w:hAnsi="Times New Roman" w:cs="Times New Roman"/>
          <w:sz w:val="24"/>
          <w:szCs w:val="24"/>
          <w:lang w:eastAsia="da-DK"/>
        </w:rPr>
        <w:instrText xml:space="preserve"> \* MERGEFORMAT </w:instrText>
      </w:r>
      <w:r w:rsidR="004A72D6" w:rsidRPr="00796736">
        <w:rPr>
          <w:rFonts w:ascii="Times New Roman" w:hAnsi="Times New Roman" w:cs="Times New Roman"/>
          <w:sz w:val="24"/>
          <w:szCs w:val="24"/>
          <w:lang w:eastAsia="da-DK"/>
        </w:rPr>
      </w:r>
      <w:r w:rsidR="004A72D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88</w:t>
      </w:r>
      <w:r w:rsidR="004A72D6"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og </w:t>
      </w:r>
      <w:r w:rsidR="00E9791D" w:rsidRPr="00796736">
        <w:rPr>
          <w:rFonts w:ascii="Times New Roman" w:hAnsi="Times New Roman" w:cs="Times New Roman"/>
          <w:sz w:val="24"/>
          <w:szCs w:val="24"/>
          <w:lang w:eastAsia="da-DK"/>
        </w:rPr>
        <w:fldChar w:fldCharType="begin"/>
      </w:r>
      <w:r w:rsidR="00E9791D" w:rsidRPr="00796736">
        <w:rPr>
          <w:rFonts w:ascii="Times New Roman" w:hAnsi="Times New Roman" w:cs="Times New Roman"/>
          <w:sz w:val="24"/>
          <w:szCs w:val="24"/>
          <w:lang w:eastAsia="da-DK"/>
        </w:rPr>
        <w:instrText xml:space="preserve"> REF _Ref232608896 \r \h </w:instrText>
      </w:r>
      <w:r w:rsidR="00967618" w:rsidRPr="00796736">
        <w:rPr>
          <w:rFonts w:ascii="Times New Roman" w:hAnsi="Times New Roman" w:cs="Times New Roman"/>
          <w:sz w:val="24"/>
          <w:szCs w:val="24"/>
          <w:lang w:eastAsia="da-DK"/>
        </w:rPr>
        <w:instrText xml:space="preserve"> \* MERGEFORMAT </w:instrText>
      </w:r>
      <w:r w:rsidR="00E9791D" w:rsidRPr="00796736">
        <w:rPr>
          <w:rFonts w:ascii="Times New Roman" w:hAnsi="Times New Roman" w:cs="Times New Roman"/>
          <w:sz w:val="24"/>
          <w:szCs w:val="24"/>
          <w:lang w:eastAsia="da-DK"/>
        </w:rPr>
      </w:r>
      <w:r w:rsidR="00E9791D"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89</w:t>
      </w:r>
      <w:r w:rsidR="00E9791D"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samt tvangsbøder pålagt efter </w:t>
      </w:r>
      <w:r w:rsidR="00E9791D" w:rsidRPr="00796736">
        <w:rPr>
          <w:rFonts w:ascii="Times New Roman" w:hAnsi="Times New Roman" w:cs="Times New Roman"/>
          <w:sz w:val="24"/>
          <w:szCs w:val="24"/>
          <w:lang w:eastAsia="da-DK"/>
        </w:rPr>
        <w:fldChar w:fldCharType="begin"/>
      </w:r>
      <w:r w:rsidR="00E9791D" w:rsidRPr="00796736">
        <w:rPr>
          <w:rFonts w:ascii="Times New Roman" w:hAnsi="Times New Roman" w:cs="Times New Roman"/>
          <w:sz w:val="24"/>
          <w:szCs w:val="24"/>
          <w:lang w:eastAsia="da-DK"/>
        </w:rPr>
        <w:instrText xml:space="preserve"> REF _Ref232610061 \r \h </w:instrText>
      </w:r>
      <w:r w:rsidR="00967618" w:rsidRPr="00796736">
        <w:rPr>
          <w:rFonts w:ascii="Times New Roman" w:hAnsi="Times New Roman" w:cs="Times New Roman"/>
          <w:sz w:val="24"/>
          <w:szCs w:val="24"/>
          <w:lang w:eastAsia="da-DK"/>
        </w:rPr>
        <w:instrText xml:space="preserve"> \* MERGEFORMAT </w:instrText>
      </w:r>
      <w:r w:rsidR="00E9791D" w:rsidRPr="00796736">
        <w:rPr>
          <w:rFonts w:ascii="Times New Roman" w:hAnsi="Times New Roman" w:cs="Times New Roman"/>
          <w:sz w:val="24"/>
          <w:szCs w:val="24"/>
          <w:lang w:eastAsia="da-DK"/>
        </w:rPr>
      </w:r>
      <w:r w:rsidR="00E9791D"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136</w:t>
      </w:r>
      <w:r w:rsidR="00E9791D"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skal offentliggøres af Erhvervsstyrelsen på Erhvervsstyrelsens hjemmeside, jf. dog stk. 7. Beslutninger om at overgive sager til politimæssig efterforskning offentliggøres som resumé, jf. dog stk. 7. Offentliggørelsen skal omfatte den juridiske eller fysiske persons navn, jf. dog, stk. 4.</w:t>
      </w:r>
      <w:bookmarkEnd w:id="342"/>
      <w:bookmarkEnd w:id="343"/>
      <w:bookmarkEnd w:id="344"/>
      <w:bookmarkEnd w:id="345"/>
    </w:p>
    <w:p w14:paraId="67EDD2DB" w14:textId="5D008861"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Offentliggørelse skal ske </w:t>
      </w:r>
      <w:r w:rsidR="006F01E9" w:rsidRPr="00796736">
        <w:rPr>
          <w:rFonts w:ascii="Times New Roman" w:hAnsi="Times New Roman" w:cs="Times New Roman"/>
          <w:sz w:val="24"/>
          <w:szCs w:val="24"/>
          <w:lang w:eastAsia="da-DK"/>
        </w:rPr>
        <w:t xml:space="preserve">umiddelbart </w:t>
      </w:r>
      <w:r w:rsidRPr="00796736">
        <w:rPr>
          <w:rFonts w:ascii="Times New Roman" w:hAnsi="Times New Roman" w:cs="Times New Roman"/>
          <w:sz w:val="24"/>
          <w:szCs w:val="24"/>
          <w:lang w:eastAsia="da-DK"/>
        </w:rPr>
        <w:t>efter at den, reaktionen er rettet imod, er blevet underrettet herom.</w:t>
      </w:r>
    </w:p>
    <w:p w14:paraId="29BEF6F9" w14:textId="77777777"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3.</w:t>
      </w:r>
      <w:r w:rsidRPr="00796736">
        <w:rPr>
          <w:rFonts w:ascii="Times New Roman" w:hAnsi="Times New Roman" w:cs="Times New Roman"/>
          <w:i/>
          <w:sz w:val="24"/>
          <w:szCs w:val="24"/>
          <w:lang w:eastAsia="da-DK"/>
        </w:rPr>
        <w:t xml:space="preserve"> </w:t>
      </w:r>
      <w:r w:rsidRPr="00796736">
        <w:rPr>
          <w:rFonts w:ascii="Times New Roman" w:hAnsi="Times New Roman" w:cs="Times New Roman"/>
          <w:sz w:val="24"/>
          <w:szCs w:val="24"/>
          <w:lang w:eastAsia="da-DK"/>
        </w:rPr>
        <w:t>Offentliggjorte reaktioner forbliver på Erhvervsstyrelsens hjemmeside i 5 år efter offentliggørelse. Personoplysninger indeholdt i offentliggørelsen må dog kun forblive på Erhvervsstyrelsens hjemmeside i det nødvendige tidsrum.</w:t>
      </w:r>
    </w:p>
    <w:p w14:paraId="1E157903" w14:textId="77777777"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4.</w:t>
      </w:r>
      <w:r w:rsidRPr="00796736">
        <w:rPr>
          <w:rFonts w:ascii="Times New Roman" w:hAnsi="Times New Roman" w:cs="Times New Roman"/>
          <w:sz w:val="24"/>
          <w:szCs w:val="24"/>
          <w:lang w:eastAsia="da-DK"/>
        </w:rPr>
        <w:t xml:space="preserve"> Offentliggørelse efter stk. 1, der omfatter en fysisk persons navn, kan kun ske, hvis Erhvervsstyrelsen ikke anser offentliggørelsen af identiteten af den fysiske person for at være uforholdsmæssig efter en individuel vurdering. </w:t>
      </w:r>
    </w:p>
    <w:p w14:paraId="38D037AA" w14:textId="77777777"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5.</w:t>
      </w:r>
      <w:r w:rsidRPr="00796736">
        <w:rPr>
          <w:rFonts w:ascii="Times New Roman" w:hAnsi="Times New Roman" w:cs="Times New Roman"/>
          <w:sz w:val="24"/>
          <w:szCs w:val="24"/>
          <w:lang w:eastAsia="da-DK"/>
        </w:rPr>
        <w:t xml:space="preserve"> Indbringes reaktionen, der offentliggøres i henhold til stk. 1, 1. pkt., for Erhvervsankenævnet eller domstolene, skal dette fremgå af Erhvervsstyrelsens offentliggørelse, og det efterfølgende resultat af Erhvervsankenævnets eller domstolenes afgørelse skal ligeledes offentliggøres på Erhvervsstyrelsens hjemmeside hurtigst muligt. </w:t>
      </w:r>
    </w:p>
    <w:p w14:paraId="26F44ADA" w14:textId="6EB07DB7"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6.</w:t>
      </w:r>
      <w:r w:rsidRPr="00796736">
        <w:rPr>
          <w:rFonts w:ascii="Times New Roman" w:hAnsi="Times New Roman" w:cs="Times New Roman"/>
          <w:sz w:val="24"/>
          <w:szCs w:val="24"/>
          <w:lang w:eastAsia="da-DK"/>
        </w:rPr>
        <w:t xml:space="preserve"> Har Erhvervsstyrelsen overgivet en sag til politimæssig efterforskning, og er der afsagt fældende dom eller vedtaget bøde, skal Erhvervsstyrelsen offentliggøre dommen, bødevedtagelsen eller et resumé heraf, jf. dog stk. </w:t>
      </w:r>
      <w:r w:rsidR="00426554" w:rsidRPr="00796736">
        <w:rPr>
          <w:rFonts w:ascii="Times New Roman" w:hAnsi="Times New Roman" w:cs="Times New Roman"/>
          <w:sz w:val="24"/>
          <w:szCs w:val="24"/>
          <w:lang w:eastAsia="da-DK"/>
        </w:rPr>
        <w:t>7</w:t>
      </w:r>
      <w:r w:rsidRPr="00796736">
        <w:rPr>
          <w:rFonts w:ascii="Times New Roman" w:hAnsi="Times New Roman" w:cs="Times New Roman"/>
          <w:sz w:val="24"/>
          <w:szCs w:val="24"/>
          <w:lang w:eastAsia="da-DK"/>
        </w:rPr>
        <w:t xml:space="preserve">. Er dommen ikke endelig, eller er den anket eller genoptaget, skal dette fremgå af offentliggørelsen. </w:t>
      </w:r>
    </w:p>
    <w:p w14:paraId="04E85BB9" w14:textId="77777777"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7.</w:t>
      </w:r>
      <w:r w:rsidRPr="00796736">
        <w:rPr>
          <w:rFonts w:ascii="Times New Roman" w:hAnsi="Times New Roman" w:cs="Times New Roman"/>
          <w:sz w:val="24"/>
          <w:szCs w:val="24"/>
          <w:lang w:eastAsia="da-DK"/>
        </w:rPr>
        <w:t xml:space="preserve"> Offentliggørelse efter stk. 1-6 kan dog ikke ske, hvis det vil være uforholdsmæssigt efter en individuel vurdering, efterforskningsmæssige hensyn taler imod offentliggørelse eller offentliggørelsen ikke står i rimeligt forhold til overtrædelsens karakter. Offentliggørelsen må ikke indeholde fortrolige oplysninger om kundeforhold eller oplysninger omfattet af bestemmelser i lov om offentlighed i forvaltningen om undtagelse af oplysninger om private forhold og drifts- eller forretningsforhold m.v. Offentliggørelsen må ikke indeholde fortrolige oplysninger, der hidrører fra et EU eller EØS-land, medmindre de myndigheder, som har afgivet oplysningerne, har givet deres udtrykkelige tilladelse. </w:t>
      </w:r>
    </w:p>
    <w:p w14:paraId="61138978" w14:textId="6CE2588C"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8.</w:t>
      </w:r>
      <w:r w:rsidRPr="00796736">
        <w:rPr>
          <w:rFonts w:ascii="Times New Roman" w:hAnsi="Times New Roman" w:cs="Times New Roman"/>
          <w:sz w:val="24"/>
          <w:szCs w:val="24"/>
          <w:lang w:eastAsia="da-DK"/>
        </w:rPr>
        <w:t xml:space="preserve"> Er offentliggørelse undladt i henhold til stk. </w:t>
      </w:r>
      <w:r w:rsidR="006F01E9" w:rsidRPr="00796736">
        <w:rPr>
          <w:rFonts w:ascii="Times New Roman" w:hAnsi="Times New Roman" w:cs="Times New Roman"/>
          <w:sz w:val="24"/>
          <w:szCs w:val="24"/>
          <w:lang w:eastAsia="da-DK"/>
        </w:rPr>
        <w:t>7</w:t>
      </w:r>
      <w:r w:rsidRPr="00796736">
        <w:rPr>
          <w:rFonts w:ascii="Times New Roman" w:hAnsi="Times New Roman" w:cs="Times New Roman"/>
          <w:sz w:val="24"/>
          <w:szCs w:val="24"/>
          <w:lang w:eastAsia="da-DK"/>
        </w:rPr>
        <w:t>, 1. pkt., skal der ske offentliggørelse efter stk. 1-</w:t>
      </w:r>
      <w:r w:rsidR="00426554" w:rsidRPr="00796736">
        <w:rPr>
          <w:rFonts w:ascii="Times New Roman" w:hAnsi="Times New Roman" w:cs="Times New Roman"/>
          <w:sz w:val="24"/>
          <w:szCs w:val="24"/>
          <w:lang w:eastAsia="da-DK"/>
        </w:rPr>
        <w:t>6</w:t>
      </w:r>
      <w:r w:rsidRPr="00796736">
        <w:rPr>
          <w:rFonts w:ascii="Times New Roman" w:hAnsi="Times New Roman" w:cs="Times New Roman"/>
          <w:sz w:val="24"/>
          <w:szCs w:val="24"/>
          <w:lang w:eastAsia="da-DK"/>
        </w:rPr>
        <w:t>, når de hensyn, der nødvendiggjorde undladelsen, ikke længere er gældende. Efter 2 år fra datoen fra reaktionen eller beslutningen om at overgive sagen til politimæssig efterforskning skal der dog ikke ske offentliggørelse uanset 1. pkt. Der skal alene ske offentliggørelse, hvis der ikke er sket påtaleopgivelse eller tiltalefrafald efter retsplejelovens regler.</w:t>
      </w:r>
    </w:p>
    <w:p w14:paraId="458DA273" w14:textId="735AC161" w:rsidR="006B74B5" w:rsidRPr="00796736" w:rsidRDefault="006B74B5" w:rsidP="00E25C5F">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9.</w:t>
      </w:r>
      <w:r w:rsidRPr="00796736">
        <w:rPr>
          <w:rFonts w:ascii="Times New Roman" w:hAnsi="Times New Roman" w:cs="Times New Roman"/>
          <w:sz w:val="24"/>
          <w:szCs w:val="24"/>
          <w:lang w:eastAsia="da-DK"/>
        </w:rPr>
        <w:t xml:space="preserve"> </w:t>
      </w:r>
      <w:r w:rsidR="00426554" w:rsidRPr="00796736">
        <w:rPr>
          <w:rFonts w:ascii="Times New Roman" w:hAnsi="Times New Roman" w:cs="Times New Roman"/>
          <w:sz w:val="24"/>
          <w:szCs w:val="24"/>
          <w:lang w:eastAsia="da-DK"/>
        </w:rPr>
        <w:t>I sager, hvor Erhvervsstyrelsen har offentliggjort en beslutning om at overgive en sag til politimæssig efterforskning efter stk. 1, 2. pkt., og der træffes afgørelse om påtaleopgivelse eller tiltalefrafald eller afsiges frifindende dom, skal Erhvervsstyrelsen, hvis styrelsen bliver bekendt hermed, offentliggøre oplysninger herom. Den fysiske eller juridiske person, som sagen vedrører, skal indsende en kopi af afgørelsen om påtaleopgivelse eller tiltalefrafald eller en kopi af dommen til Erhvervsstyrelsen. Er påtaleopgivelsen, tiltalefrafaldet eller dommen ikke endelig, skal det fremgå af offentliggørelsen. Modtager Erhvervsstyrelsen dokumentation for, at sagen er afsluttet ved endelig påtaleopgivelse eller tiltalefrafald eller afsigelse af endelig frifindende dom, skal Erhvervsstyrelsen opdatere offentliggørelsen i overensstemmelse hermed. Dette gælder tilsvarende, hvis der er tale om en anke- eller genoptagelsessag.</w:t>
      </w:r>
    </w:p>
    <w:p w14:paraId="659DF828" w14:textId="77777777" w:rsidR="006B74B5" w:rsidRPr="00796736" w:rsidRDefault="006B74B5" w:rsidP="00A802A5">
      <w:pPr>
        <w:spacing w:line="360" w:lineRule="auto"/>
        <w:ind w:firstLine="238"/>
        <w:rPr>
          <w:rFonts w:ascii="Times New Roman" w:hAnsi="Times New Roman" w:cs="Times New Roman"/>
          <w:sz w:val="24"/>
          <w:szCs w:val="24"/>
          <w:lang w:eastAsia="da-DK"/>
        </w:rPr>
      </w:pPr>
    </w:p>
    <w:p w14:paraId="4D718BA3" w14:textId="2DCF724F" w:rsidR="006F01E9" w:rsidRPr="00796736" w:rsidRDefault="006F01E9" w:rsidP="00A802A5">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Tavshedspligt, fortrolighed og videregivelse af oplysninger</w:t>
      </w:r>
    </w:p>
    <w:p w14:paraId="78460353" w14:textId="61173CC4" w:rsidR="006B74B5" w:rsidRPr="00796736" w:rsidRDefault="006B74B5" w:rsidP="00F67C7E">
      <w:pPr>
        <w:pStyle w:val="Typografi1"/>
        <w:ind w:left="0" w:firstLine="238"/>
        <w:rPr>
          <w:rFonts w:ascii="Times New Roman" w:hAnsi="Times New Roman" w:cs="Times New Roman"/>
          <w:sz w:val="24"/>
          <w:szCs w:val="24"/>
          <w:lang w:eastAsia="da-DK"/>
        </w:rPr>
      </w:pPr>
      <w:bookmarkStart w:id="346" w:name="_Ref232609141"/>
      <w:bookmarkStart w:id="347" w:name="_Ref239329161"/>
      <w:bookmarkStart w:id="348" w:name="_Toc244879078"/>
      <w:bookmarkStart w:id="349" w:name="_Toc244880602"/>
      <w:r w:rsidRPr="00796736">
        <w:rPr>
          <w:rFonts w:ascii="Times New Roman" w:hAnsi="Times New Roman" w:cs="Times New Roman"/>
          <w:sz w:val="24"/>
          <w:szCs w:val="24"/>
          <w:lang w:eastAsia="da-DK"/>
        </w:rPr>
        <w:t>Erhvervsstyrelsens ansatte er under ansvar efter straffelovens §§ 152-152 e forpligtet til at hemmeligholde fortrolige oplysninger, som de får kendskab til gennem tilsynsvirksomheden. Det samme gælder personer, der udfører serviceopgaver som led i tilsynets drift, og eksperter, der handler på Erhvervsstyrelsens vegne. Dette gælder også efter ansættelses- eller kontraktforholdets ophør.</w:t>
      </w:r>
      <w:bookmarkEnd w:id="346"/>
      <w:bookmarkEnd w:id="347"/>
      <w:bookmarkEnd w:id="348"/>
      <w:bookmarkEnd w:id="349"/>
    </w:p>
    <w:p w14:paraId="30FA7D77" w14:textId="77777777" w:rsidR="006B74B5" w:rsidRPr="00796736" w:rsidRDefault="006B74B5" w:rsidP="00F67C7E">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Samtykke fra den, som tavshedspligten tilsigter at beskytte, berettiger ikke personer som nævnt i stk. 1 til at videre give fortrolige oplysninger. </w:t>
      </w:r>
    </w:p>
    <w:p w14:paraId="04586E85" w14:textId="6A609AA4" w:rsidR="00426554" w:rsidRPr="00796736" w:rsidRDefault="00426554" w:rsidP="00F67C7E">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3.</w:t>
      </w:r>
      <w:r w:rsidRPr="00796736">
        <w:rPr>
          <w:rFonts w:ascii="Times New Roman" w:hAnsi="Times New Roman" w:cs="Times New Roman"/>
          <w:sz w:val="24"/>
          <w:szCs w:val="24"/>
          <w:lang w:eastAsia="da-DK"/>
        </w:rPr>
        <w:t xml:space="preserve"> Stk. 1 er ikke til hinder for, at Erhvervsstyrelsen videregiver fortrolige oplysninger i summarisk eller sammenfattende form, når hverken den enkelte virksomhed eller dens kunder kan identificeres.</w:t>
      </w:r>
    </w:p>
    <w:p w14:paraId="14AC10E1" w14:textId="48E07ED2" w:rsidR="006B74B5" w:rsidRPr="00796736" w:rsidRDefault="006B74B5" w:rsidP="00F67C7E">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w:t>
      </w:r>
      <w:r w:rsidR="00426554" w:rsidRPr="00796736">
        <w:rPr>
          <w:rFonts w:ascii="Times New Roman" w:hAnsi="Times New Roman" w:cs="Times New Roman"/>
          <w:i/>
          <w:iCs/>
          <w:sz w:val="24"/>
          <w:szCs w:val="24"/>
          <w:lang w:eastAsia="da-DK"/>
        </w:rPr>
        <w:t>4</w:t>
      </w:r>
      <w:r w:rsidRPr="00796736">
        <w:rPr>
          <w:rFonts w:ascii="Times New Roman" w:hAnsi="Times New Roman" w:cs="Times New Roman"/>
          <w:i/>
          <w:iCs/>
          <w:sz w:val="24"/>
          <w:szCs w:val="24"/>
          <w:lang w:eastAsia="da-DK"/>
        </w:rPr>
        <w:t>.</w:t>
      </w:r>
      <w:r w:rsidRPr="00796736">
        <w:rPr>
          <w:rFonts w:ascii="Times New Roman" w:hAnsi="Times New Roman" w:cs="Times New Roman"/>
          <w:sz w:val="24"/>
          <w:szCs w:val="24"/>
          <w:lang w:eastAsia="da-DK"/>
        </w:rPr>
        <w:t xml:space="preserve"> Stk. 1 er ikke til hinder for, at fortrolige oplysninger videregives til:</w:t>
      </w:r>
    </w:p>
    <w:p w14:paraId="281048A1" w14:textId="0815ED27"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Tilsynsmyndigheder i henhold til denne lov.</w:t>
      </w:r>
    </w:p>
    <w:p w14:paraId="13BF0782" w14:textId="4D4F9EB7" w:rsidR="006B74B5"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Medlemmer af </w:t>
      </w:r>
      <w:r w:rsidR="00426554" w:rsidRPr="00796736">
        <w:rPr>
          <w:rFonts w:ascii="Times New Roman" w:hAnsi="Times New Roman" w:cs="Times New Roman"/>
          <w:sz w:val="24"/>
          <w:szCs w:val="24"/>
          <w:lang w:eastAsia="da-DK"/>
        </w:rPr>
        <w:t>HvidvaskForum</w:t>
      </w:r>
      <w:r w:rsidRPr="00796736">
        <w:rPr>
          <w:rFonts w:ascii="Times New Roman" w:hAnsi="Times New Roman" w:cs="Times New Roman"/>
          <w:sz w:val="24"/>
          <w:szCs w:val="24"/>
          <w:lang w:eastAsia="da-DK"/>
        </w:rPr>
        <w:t xml:space="preserve">, jf. </w:t>
      </w:r>
      <w:r w:rsidR="00E9791D" w:rsidRPr="00796736">
        <w:rPr>
          <w:rFonts w:ascii="Times New Roman" w:hAnsi="Times New Roman" w:cs="Times New Roman"/>
          <w:sz w:val="24"/>
          <w:szCs w:val="24"/>
          <w:lang w:eastAsia="da-DK"/>
        </w:rPr>
        <w:fldChar w:fldCharType="begin"/>
      </w:r>
      <w:r w:rsidR="00E9791D" w:rsidRPr="00796736">
        <w:rPr>
          <w:rFonts w:ascii="Times New Roman" w:hAnsi="Times New Roman" w:cs="Times New Roman"/>
          <w:sz w:val="24"/>
          <w:szCs w:val="24"/>
          <w:lang w:eastAsia="da-DK"/>
        </w:rPr>
        <w:instrText xml:space="preserve"> REF _Ref232620750 \r \h </w:instrText>
      </w:r>
      <w:r w:rsidR="00967618" w:rsidRPr="00796736">
        <w:rPr>
          <w:rFonts w:ascii="Times New Roman" w:hAnsi="Times New Roman" w:cs="Times New Roman"/>
          <w:sz w:val="24"/>
          <w:szCs w:val="24"/>
          <w:lang w:eastAsia="da-DK"/>
        </w:rPr>
        <w:instrText xml:space="preserve"> \* MERGEFORMAT </w:instrText>
      </w:r>
      <w:r w:rsidR="00E9791D" w:rsidRPr="00796736">
        <w:rPr>
          <w:rFonts w:ascii="Times New Roman" w:hAnsi="Times New Roman" w:cs="Times New Roman"/>
          <w:sz w:val="24"/>
          <w:szCs w:val="24"/>
          <w:lang w:eastAsia="da-DK"/>
        </w:rPr>
      </w:r>
      <w:r w:rsidR="00E9791D"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129</w:t>
      </w:r>
      <w:r w:rsidR="00E9791D"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p>
    <w:p w14:paraId="483782D4" w14:textId="37C123ED" w:rsidR="002128F7" w:rsidRPr="002128F7" w:rsidRDefault="002128F7">
      <w:pPr>
        <w:pStyle w:val="Listeafsnit"/>
        <w:numPr>
          <w:ilvl w:val="0"/>
          <w:numId w:val="98"/>
        </w:numPr>
        <w:spacing w:line="360" w:lineRule="auto"/>
        <w:rPr>
          <w:rFonts w:ascii="Times New Roman" w:hAnsi="Times New Roman" w:cs="Times New Roman"/>
          <w:sz w:val="24"/>
          <w:szCs w:val="24"/>
          <w:lang w:eastAsia="da-DK"/>
        </w:rPr>
      </w:pPr>
      <w:r w:rsidRPr="002128F7">
        <w:rPr>
          <w:rFonts w:ascii="Times New Roman" w:hAnsi="Times New Roman" w:cs="Times New Roman"/>
          <w:sz w:val="24"/>
          <w:szCs w:val="24"/>
          <w:lang w:eastAsia="da-DK"/>
        </w:rPr>
        <w:t>Hvidvasksekretariatet.</w:t>
      </w:r>
    </w:p>
    <w:p w14:paraId="228FB07D" w14:textId="03FE6799"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Andre offentlige myndigheder,</w:t>
      </w:r>
      <w:r w:rsidR="002128F7">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anklagemyndigheden og politiet, i forbindelse med efterforskning og retsforfølgning af mulige strafbare forhold omfattet af straffeloven, hvidvaskforordningen, denne lov eller anden tilsynslovgivning.</w:t>
      </w:r>
    </w:p>
    <w:p w14:paraId="7D726FF7" w14:textId="72A767D7"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Skatteforvaltningen, når videregivelse sker til brug for dennes undersøgelse af mulige overtrædelser af told-, skatte- og afgiftslovgivningen.</w:t>
      </w:r>
    </w:p>
    <w:p w14:paraId="2A3E5EA7" w14:textId="66067CD1"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Vedkommende minister som led i dennes overordnede tilsyn.</w:t>
      </w:r>
    </w:p>
    <w:p w14:paraId="35C1F354" w14:textId="18F4E10E"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Administrative myndigheder og domstole, som behandler afgørelser, der er truffet af Erhvervsstyrelsen.</w:t>
      </w:r>
    </w:p>
    <w:p w14:paraId="6CA09C01" w14:textId="0891E128"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Folketingets Ombudsmand.</w:t>
      </w:r>
    </w:p>
    <w:p w14:paraId="688DBEEF" w14:textId="427BED4E"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En parlamentarisk kommission nedsat af Folketinget.</w:t>
      </w:r>
    </w:p>
    <w:p w14:paraId="45A017A3" w14:textId="77777777" w:rsidR="00426554" w:rsidRPr="00796736" w:rsidRDefault="00426554">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Undersøgelseskommissioner nedsat ved lov eller i henhold til lov om undersøgelseskommissioner og granskningskommissioner.</w:t>
      </w:r>
    </w:p>
    <w:p w14:paraId="34C56E3D" w14:textId="42919242"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Statsrevisorerne og Rigsrevisionen.</w:t>
      </w:r>
    </w:p>
    <w:p w14:paraId="1522F533" w14:textId="1141F370"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Skifteretten, andre myndigheder eller personer, der medvirker ved en af denne lov </w:t>
      </w:r>
      <w:r w:rsidRPr="00796736" w:rsidDel="0014143D">
        <w:rPr>
          <w:rFonts w:ascii="Times New Roman" w:hAnsi="Times New Roman" w:cs="Times New Roman"/>
          <w:sz w:val="24"/>
          <w:szCs w:val="24"/>
          <w:lang w:eastAsia="da-DK"/>
        </w:rPr>
        <w:t>omfattet</w:t>
      </w:r>
      <w:r w:rsidRPr="00796736">
        <w:rPr>
          <w:rFonts w:ascii="Times New Roman" w:hAnsi="Times New Roman" w:cs="Times New Roman"/>
          <w:sz w:val="24"/>
          <w:szCs w:val="24"/>
          <w:lang w:eastAsia="da-DK"/>
        </w:rPr>
        <w:t xml:space="preserve"> virksomheds likvidation, konkursbehandling eller lignende procedurer, under forudsætning af at modtagerne af oplysninger har behov herfor til varetagelse af deres opgaver.</w:t>
      </w:r>
    </w:p>
    <w:p w14:paraId="79257399" w14:textId="11FD44BA"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Udvalg og grupper m.v. nedsat af erhvervsministeren, der har til formål at drøfte og koordinere indsatsen til forebyggelse af hvidvask og finansiering af terrorisme.</w:t>
      </w:r>
    </w:p>
    <w:p w14:paraId="2CD0BF20" w14:textId="3AB4DBD8"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Færøske og grønlandske tilsynsmyndigheder på området for forebyggelse af hvidvask og finansiering af terrorisme, under forudsætning af at modtagerne er underlagt en lovbestemt tavshedspligt, der mindst svarer til tavshedspligten i medfør af stk. 1, og at modtagerne har behov for oplysningerne til varetagelse af deres opgaver.</w:t>
      </w:r>
    </w:p>
    <w:p w14:paraId="5F4102EB" w14:textId="59869048"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Tilsynsmyndigheder i et EU- eller EØS-land, der har ansvaret for tilsyn med personers og virksomheders overholdelse af hvidvaskforordningen og øvrig lovgivning om forebyggende foranstaltninger mod hvidvask af udbytte og finansiering af terrorisme, og forordninger indeholdende regler om finansielle sanktioner mod lande, personer, grupper, juridiske enheder eller organer, under forudsætning af at modtagerne af oplysningerne har et behov herfor til varetagelse af deres opgaver.</w:t>
      </w:r>
    </w:p>
    <w:p w14:paraId="5C19D879" w14:textId="035AA461" w:rsidR="006B74B5" w:rsidRPr="00796736" w:rsidRDefault="00257777">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Myndigheden for Bekæmpelse af Hvidvask af Penge og Finansiering af Terrorisme (</w:t>
      </w:r>
      <w:r w:rsidR="006B74B5" w:rsidRPr="00796736">
        <w:rPr>
          <w:rFonts w:ascii="Times New Roman" w:hAnsi="Times New Roman" w:cs="Times New Roman"/>
          <w:sz w:val="24"/>
          <w:szCs w:val="24"/>
          <w:lang w:eastAsia="da-DK"/>
        </w:rPr>
        <w:t>AMLA</w:t>
      </w:r>
      <w:r w:rsidRPr="00796736">
        <w:rPr>
          <w:rFonts w:ascii="Times New Roman" w:hAnsi="Times New Roman" w:cs="Times New Roman"/>
          <w:sz w:val="24"/>
          <w:szCs w:val="24"/>
          <w:lang w:eastAsia="da-DK"/>
        </w:rPr>
        <w:t>)</w:t>
      </w:r>
      <w:r w:rsidR="006B74B5" w:rsidRPr="00796736">
        <w:rPr>
          <w:rFonts w:ascii="Times New Roman" w:hAnsi="Times New Roman" w:cs="Times New Roman"/>
          <w:sz w:val="24"/>
          <w:szCs w:val="24"/>
          <w:lang w:eastAsia="da-DK"/>
        </w:rPr>
        <w:t>.</w:t>
      </w:r>
    </w:p>
    <w:p w14:paraId="66927165" w14:textId="593A69C4"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Midlertidige undersøgelsesudvalg nedsat af Europa-Parlamentet, hvis videregivelsen er nødvendig for udførelsen af disse udvalgs aktiviteter.</w:t>
      </w:r>
    </w:p>
    <w:p w14:paraId="1B152EEC" w14:textId="2072BF1D" w:rsidR="006B74B5" w:rsidRPr="00796736" w:rsidRDefault="006B74B5">
      <w:pPr>
        <w:pStyle w:val="Listeafsnit"/>
        <w:numPr>
          <w:ilvl w:val="0"/>
          <w:numId w:val="98"/>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Tilsynsmyndigheder i lande uden for EU eller EØS, der har ansvaret for tilsyn med personers og virksomheders overholdelse af lovgivning om forebyggende foranstaltninger mod hvidvask af udbytte og finansiering af terrorisme. </w:t>
      </w:r>
    </w:p>
    <w:p w14:paraId="16B5D78C" w14:textId="3EEECD3B" w:rsidR="006B74B5" w:rsidRPr="00796736" w:rsidRDefault="006B74B5" w:rsidP="00F67C7E">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w:t>
      </w:r>
      <w:r w:rsidR="00426554" w:rsidRPr="00796736">
        <w:rPr>
          <w:rFonts w:ascii="Times New Roman" w:hAnsi="Times New Roman" w:cs="Times New Roman"/>
          <w:i/>
          <w:iCs/>
          <w:sz w:val="24"/>
          <w:szCs w:val="24"/>
          <w:lang w:eastAsia="da-DK"/>
        </w:rPr>
        <w:t>5</w:t>
      </w:r>
      <w:r w:rsidRPr="00796736">
        <w:rPr>
          <w:rFonts w:ascii="Times New Roman" w:hAnsi="Times New Roman" w:cs="Times New Roman"/>
          <w:i/>
          <w:iCs/>
          <w:sz w:val="24"/>
          <w:szCs w:val="24"/>
          <w:lang w:eastAsia="da-DK"/>
        </w:rPr>
        <w:t>.</w:t>
      </w:r>
      <w:r w:rsidRPr="00796736">
        <w:rPr>
          <w:rFonts w:ascii="Times New Roman" w:hAnsi="Times New Roman" w:cs="Times New Roman"/>
          <w:sz w:val="24"/>
          <w:szCs w:val="24"/>
          <w:lang w:eastAsia="da-DK"/>
        </w:rPr>
        <w:t xml:space="preserve"> Videregivelse i henhold til stk. </w:t>
      </w:r>
      <w:r w:rsidR="00426554" w:rsidRPr="00796736">
        <w:rPr>
          <w:rFonts w:ascii="Times New Roman" w:hAnsi="Times New Roman" w:cs="Times New Roman"/>
          <w:sz w:val="24"/>
          <w:szCs w:val="24"/>
          <w:lang w:eastAsia="da-DK"/>
        </w:rPr>
        <w:t>4</w:t>
      </w:r>
      <w:r w:rsidRPr="00796736">
        <w:rPr>
          <w:rFonts w:ascii="Times New Roman" w:hAnsi="Times New Roman" w:cs="Times New Roman"/>
          <w:sz w:val="24"/>
          <w:szCs w:val="24"/>
          <w:lang w:eastAsia="da-DK"/>
        </w:rPr>
        <w:t>, nr. 1</w:t>
      </w:r>
      <w:r w:rsidR="005A265F">
        <w:rPr>
          <w:rFonts w:ascii="Times New Roman" w:hAnsi="Times New Roman" w:cs="Times New Roman"/>
          <w:sz w:val="24"/>
          <w:szCs w:val="24"/>
          <w:lang w:eastAsia="da-DK"/>
        </w:rPr>
        <w:t>8</w:t>
      </w:r>
      <w:r w:rsidRPr="00796736">
        <w:rPr>
          <w:rFonts w:ascii="Times New Roman" w:hAnsi="Times New Roman" w:cs="Times New Roman"/>
          <w:sz w:val="24"/>
          <w:szCs w:val="24"/>
          <w:lang w:eastAsia="da-DK"/>
        </w:rPr>
        <w:t>, kan alene ske på baggrund af en international samarbejdsaftale, og under forudsætning af at modtagerne mindst er underlagt en lovbestemt tavshedspligt, der svarer til tavshedspligten i medfør af stk. 1, og har et væsentligt behov for oplysningerne til varetagelse af deres opgaver.</w:t>
      </w:r>
    </w:p>
    <w:p w14:paraId="591AD818" w14:textId="523C4671" w:rsidR="006B74B5" w:rsidRPr="00796736" w:rsidRDefault="006B74B5" w:rsidP="00F67C7E">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w:t>
      </w:r>
      <w:r w:rsidR="00426554" w:rsidRPr="00796736">
        <w:rPr>
          <w:rFonts w:ascii="Times New Roman" w:hAnsi="Times New Roman" w:cs="Times New Roman"/>
          <w:i/>
          <w:iCs/>
          <w:sz w:val="24"/>
          <w:szCs w:val="24"/>
          <w:lang w:eastAsia="da-DK"/>
        </w:rPr>
        <w:t>6</w:t>
      </w:r>
      <w:r w:rsidRPr="00796736">
        <w:rPr>
          <w:rFonts w:ascii="Times New Roman" w:hAnsi="Times New Roman" w:cs="Times New Roman"/>
          <w:i/>
          <w:iCs/>
          <w:sz w:val="24"/>
          <w:szCs w:val="24"/>
          <w:lang w:eastAsia="da-DK"/>
        </w:rPr>
        <w:t>.</w:t>
      </w:r>
      <w:r w:rsidRPr="00796736">
        <w:rPr>
          <w:rFonts w:ascii="Times New Roman" w:hAnsi="Times New Roman" w:cs="Times New Roman"/>
          <w:sz w:val="24"/>
          <w:szCs w:val="24"/>
          <w:lang w:eastAsia="da-DK"/>
        </w:rPr>
        <w:t xml:space="preserve"> Alle, der i henhold til stk. </w:t>
      </w:r>
      <w:r w:rsidR="00426554" w:rsidRPr="00796736">
        <w:rPr>
          <w:rFonts w:ascii="Times New Roman" w:hAnsi="Times New Roman" w:cs="Times New Roman"/>
          <w:sz w:val="24"/>
          <w:szCs w:val="24"/>
          <w:lang w:eastAsia="da-DK"/>
        </w:rPr>
        <w:t>4</w:t>
      </w:r>
      <w:r w:rsidRPr="00796736">
        <w:rPr>
          <w:rFonts w:ascii="Times New Roman" w:hAnsi="Times New Roman" w:cs="Times New Roman"/>
          <w:sz w:val="24"/>
          <w:szCs w:val="24"/>
          <w:lang w:eastAsia="da-DK"/>
        </w:rPr>
        <w:t>, nr. 1-1</w:t>
      </w:r>
      <w:r w:rsidR="005A265F">
        <w:rPr>
          <w:rFonts w:ascii="Times New Roman" w:hAnsi="Times New Roman" w:cs="Times New Roman"/>
          <w:sz w:val="24"/>
          <w:szCs w:val="24"/>
          <w:lang w:eastAsia="da-DK"/>
        </w:rPr>
        <w:t>4</w:t>
      </w:r>
      <w:r w:rsidRPr="00796736">
        <w:rPr>
          <w:rFonts w:ascii="Times New Roman" w:hAnsi="Times New Roman" w:cs="Times New Roman"/>
          <w:sz w:val="24"/>
          <w:szCs w:val="24"/>
          <w:lang w:eastAsia="da-DK"/>
        </w:rPr>
        <w:t>, modtager fortrolige oplysninger fra Erhvervsstyrelsen, er med hensyn til disse oplysninger undergivet den i stk. 1 omhandlede tavshedspligt.</w:t>
      </w:r>
    </w:p>
    <w:p w14:paraId="75E1006F" w14:textId="26E752D2" w:rsidR="006B74B5" w:rsidRPr="00796736" w:rsidRDefault="006B74B5" w:rsidP="00F67C7E">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w:t>
      </w:r>
      <w:r w:rsidR="00426554" w:rsidRPr="00796736">
        <w:rPr>
          <w:rFonts w:ascii="Times New Roman" w:hAnsi="Times New Roman" w:cs="Times New Roman"/>
          <w:i/>
          <w:iCs/>
          <w:sz w:val="24"/>
          <w:szCs w:val="24"/>
          <w:lang w:eastAsia="da-DK"/>
        </w:rPr>
        <w:t>7</w:t>
      </w:r>
      <w:r w:rsidRPr="00796736">
        <w:rPr>
          <w:rFonts w:ascii="Times New Roman" w:hAnsi="Times New Roman" w:cs="Times New Roman"/>
          <w:i/>
          <w:iCs/>
          <w:sz w:val="24"/>
          <w:szCs w:val="24"/>
          <w:lang w:eastAsia="da-DK"/>
        </w:rPr>
        <w:t>.</w:t>
      </w:r>
      <w:r w:rsidRPr="00796736">
        <w:rPr>
          <w:rFonts w:ascii="Times New Roman" w:hAnsi="Times New Roman" w:cs="Times New Roman"/>
          <w:sz w:val="24"/>
          <w:szCs w:val="24"/>
          <w:lang w:eastAsia="da-DK"/>
        </w:rPr>
        <w:t xml:space="preserve"> </w:t>
      </w:r>
      <w:r w:rsidR="005A265F" w:rsidRPr="00796736">
        <w:rPr>
          <w:rFonts w:ascii="Times New Roman" w:hAnsi="Times New Roman" w:cs="Times New Roman"/>
          <w:sz w:val="24"/>
          <w:szCs w:val="24"/>
          <w:lang w:eastAsia="da-DK"/>
        </w:rPr>
        <w:t xml:space="preserve">Videregivelse i henhold til stk. 4, nr. 1, 2, 9, </w:t>
      </w:r>
      <w:r w:rsidR="005A265F">
        <w:rPr>
          <w:rFonts w:ascii="Times New Roman" w:hAnsi="Times New Roman" w:cs="Times New Roman"/>
          <w:sz w:val="24"/>
          <w:szCs w:val="24"/>
          <w:lang w:eastAsia="da-DK"/>
        </w:rPr>
        <w:t>10, 12</w:t>
      </w:r>
      <w:r w:rsidR="005A265F" w:rsidRPr="00796736">
        <w:rPr>
          <w:rFonts w:ascii="Times New Roman" w:hAnsi="Times New Roman" w:cs="Times New Roman"/>
          <w:sz w:val="24"/>
          <w:szCs w:val="24"/>
          <w:lang w:eastAsia="da-DK"/>
        </w:rPr>
        <w:t xml:space="preserve"> og </w:t>
      </w:r>
      <w:r w:rsidR="005A265F">
        <w:rPr>
          <w:rFonts w:ascii="Times New Roman" w:hAnsi="Times New Roman" w:cs="Times New Roman"/>
          <w:sz w:val="24"/>
          <w:szCs w:val="24"/>
          <w:lang w:eastAsia="da-DK"/>
        </w:rPr>
        <w:t>14</w:t>
      </w:r>
      <w:r w:rsidR="005A265F" w:rsidRPr="00796736">
        <w:rPr>
          <w:rFonts w:ascii="Times New Roman" w:hAnsi="Times New Roman" w:cs="Times New Roman"/>
          <w:sz w:val="24"/>
          <w:szCs w:val="24"/>
          <w:lang w:eastAsia="da-DK"/>
        </w:rPr>
        <w:t>-</w:t>
      </w:r>
      <w:r w:rsidR="005A265F">
        <w:rPr>
          <w:rFonts w:ascii="Times New Roman" w:hAnsi="Times New Roman" w:cs="Times New Roman"/>
          <w:sz w:val="24"/>
          <w:szCs w:val="24"/>
          <w:lang w:eastAsia="da-DK"/>
        </w:rPr>
        <w:t>18</w:t>
      </w:r>
      <w:r w:rsidR="005A265F" w:rsidRPr="00796736">
        <w:rPr>
          <w:rFonts w:ascii="Times New Roman" w:hAnsi="Times New Roman" w:cs="Times New Roman"/>
          <w:sz w:val="24"/>
          <w:szCs w:val="24"/>
          <w:lang w:eastAsia="da-DK"/>
        </w:rPr>
        <w:t>, af fortrolige oplysninger, der hidrører fra et EU- eller EØS-land eller tilsynsmyndigheder i lande uden for EU eller EØS, kan endvidere alene ske, såfremt de myndigheder, som har afgivet oplysningerne, har givet deres udtrykkelige tilladelse, og må udelukkende benyttes til det formål, som tilladelsen vedrører.</w:t>
      </w:r>
    </w:p>
    <w:p w14:paraId="53DA9BDB" w14:textId="5097D165" w:rsidR="006B74B5" w:rsidRPr="00796736" w:rsidRDefault="006B74B5" w:rsidP="00F67C7E">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w:t>
      </w:r>
      <w:r w:rsidR="00426554" w:rsidRPr="00796736">
        <w:rPr>
          <w:rFonts w:ascii="Times New Roman" w:hAnsi="Times New Roman" w:cs="Times New Roman"/>
          <w:i/>
          <w:iCs/>
          <w:sz w:val="24"/>
          <w:szCs w:val="24"/>
          <w:lang w:eastAsia="da-DK"/>
        </w:rPr>
        <w:t>8</w:t>
      </w:r>
      <w:r w:rsidRPr="00796736">
        <w:rPr>
          <w:rFonts w:ascii="Times New Roman" w:hAnsi="Times New Roman" w:cs="Times New Roman"/>
          <w:i/>
          <w:iCs/>
          <w:sz w:val="24"/>
          <w:szCs w:val="24"/>
          <w:lang w:eastAsia="da-DK"/>
        </w:rPr>
        <w:t>.</w:t>
      </w:r>
      <w:r w:rsidRPr="00796736">
        <w:rPr>
          <w:rFonts w:ascii="Times New Roman" w:hAnsi="Times New Roman" w:cs="Times New Roman"/>
          <w:sz w:val="24"/>
          <w:szCs w:val="24"/>
          <w:lang w:eastAsia="da-DK"/>
        </w:rPr>
        <w:t xml:space="preserve"> Fortrolige oplysninger, som Erhvervsstyrelsen modtager, må kun anvendes i forbindelse med tilsynshvervet</w:t>
      </w:r>
      <w:r w:rsidR="005A265F">
        <w:rPr>
          <w:rFonts w:ascii="Times New Roman" w:hAnsi="Times New Roman" w:cs="Times New Roman"/>
          <w:sz w:val="24"/>
          <w:szCs w:val="24"/>
          <w:lang w:eastAsia="da-DK"/>
        </w:rPr>
        <w:t>, herunder</w:t>
      </w:r>
      <w:r w:rsidRPr="00796736">
        <w:rPr>
          <w:rFonts w:ascii="Times New Roman" w:hAnsi="Times New Roman" w:cs="Times New Roman"/>
          <w:sz w:val="24"/>
          <w:szCs w:val="24"/>
          <w:lang w:eastAsia="da-DK"/>
        </w:rPr>
        <w:t xml:space="preserve"> til at pålægge sanktioner, eller hvis tilsynsmyndighedernes afgørelse påklages til højere administrativ myndighed eller indbringes for domstolene. </w:t>
      </w:r>
    </w:p>
    <w:p w14:paraId="049A1261" w14:textId="77777777" w:rsidR="006B74B5" w:rsidRPr="00796736" w:rsidRDefault="006B74B5" w:rsidP="00A802A5">
      <w:pPr>
        <w:spacing w:line="360" w:lineRule="auto"/>
        <w:ind w:firstLine="238"/>
        <w:rPr>
          <w:rFonts w:ascii="Times New Roman" w:eastAsia="Calibri" w:hAnsi="Times New Roman" w:cs="Times New Roman"/>
          <w:sz w:val="24"/>
          <w:szCs w:val="24"/>
        </w:rPr>
      </w:pPr>
    </w:p>
    <w:p w14:paraId="25BFC358" w14:textId="4FAF3E51" w:rsidR="006B74B5" w:rsidRPr="00796736" w:rsidRDefault="006B74B5" w:rsidP="002440F0">
      <w:pPr>
        <w:pStyle w:val="Typografi1"/>
        <w:ind w:left="0" w:firstLine="238"/>
        <w:rPr>
          <w:rFonts w:ascii="Times New Roman" w:hAnsi="Times New Roman" w:cs="Times New Roman"/>
          <w:sz w:val="24"/>
          <w:szCs w:val="24"/>
          <w:lang w:eastAsia="da-DK"/>
        </w:rPr>
      </w:pPr>
      <w:bookmarkStart w:id="350" w:name="_Ref232609164"/>
      <w:bookmarkStart w:id="351" w:name="_Toc244879079"/>
      <w:bookmarkStart w:id="352" w:name="_Toc244880603"/>
      <w:r w:rsidRPr="00796736">
        <w:rPr>
          <w:rFonts w:ascii="Times New Roman" w:hAnsi="Times New Roman" w:cs="Times New Roman"/>
          <w:sz w:val="24"/>
          <w:szCs w:val="24"/>
          <w:lang w:eastAsia="da-DK"/>
        </w:rPr>
        <w:t xml:space="preserve">Erhvervsstyrelsens ansatte må ikke videregive oplysninger om en person, når vedkommende har indberettet en virksomhed eller en person til Erhvervsstyrelsen for overtrædelse eller potentiel overtrædelse af hvidvaskforordningen, denne lov, regler udstedt i medfør heraf eller bestemmelser indeholdt i forordninger nævnt i </w:t>
      </w:r>
      <w:r w:rsidR="00E9791D" w:rsidRPr="00796736">
        <w:rPr>
          <w:rFonts w:ascii="Times New Roman" w:hAnsi="Times New Roman" w:cs="Times New Roman"/>
          <w:sz w:val="24"/>
          <w:szCs w:val="24"/>
          <w:lang w:eastAsia="da-DK"/>
        </w:rPr>
        <w:fldChar w:fldCharType="begin"/>
      </w:r>
      <w:r w:rsidR="00E9791D" w:rsidRPr="00796736">
        <w:rPr>
          <w:rFonts w:ascii="Times New Roman" w:hAnsi="Times New Roman" w:cs="Times New Roman"/>
          <w:sz w:val="24"/>
          <w:szCs w:val="24"/>
          <w:lang w:eastAsia="da-DK"/>
        </w:rPr>
        <w:instrText xml:space="preserve"> REF _Ref232597665 \r \h </w:instrText>
      </w:r>
      <w:r w:rsidR="00967618" w:rsidRPr="00796736">
        <w:rPr>
          <w:rFonts w:ascii="Times New Roman" w:hAnsi="Times New Roman" w:cs="Times New Roman"/>
          <w:sz w:val="24"/>
          <w:szCs w:val="24"/>
          <w:lang w:eastAsia="da-DK"/>
        </w:rPr>
        <w:instrText xml:space="preserve"> \* MERGEFORMAT </w:instrText>
      </w:r>
      <w:r w:rsidR="00E9791D" w:rsidRPr="00796736">
        <w:rPr>
          <w:rFonts w:ascii="Times New Roman" w:hAnsi="Times New Roman" w:cs="Times New Roman"/>
          <w:sz w:val="24"/>
          <w:szCs w:val="24"/>
          <w:lang w:eastAsia="da-DK"/>
        </w:rPr>
      </w:r>
      <w:r w:rsidR="00E9791D"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E9791D"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for de områder som Erhvervsstyrelsen fører tilsyn med, jf. dog stk. 2.</w:t>
      </w:r>
      <w:bookmarkEnd w:id="350"/>
      <w:bookmarkEnd w:id="351"/>
      <w:bookmarkEnd w:id="352"/>
    </w:p>
    <w:p w14:paraId="48B5D1F9" w14:textId="5A422575" w:rsidR="006B74B5" w:rsidRPr="00796736" w:rsidRDefault="006B74B5" w:rsidP="002440F0">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rPr>
        <w:t xml:space="preserve">Bestemmelsen i stk. 1 er ikke til hinder for, at personoplysninger videregives i medfør af </w:t>
      </w:r>
      <w:r w:rsidR="00E9791D" w:rsidRPr="00796736">
        <w:rPr>
          <w:rFonts w:ascii="Times New Roman" w:hAnsi="Times New Roman" w:cs="Times New Roman"/>
          <w:sz w:val="24"/>
          <w:szCs w:val="24"/>
        </w:rPr>
        <w:fldChar w:fldCharType="begin"/>
      </w:r>
      <w:r w:rsidR="00E9791D" w:rsidRPr="00796736">
        <w:rPr>
          <w:rFonts w:ascii="Times New Roman" w:hAnsi="Times New Roman" w:cs="Times New Roman"/>
          <w:sz w:val="24"/>
          <w:szCs w:val="24"/>
        </w:rPr>
        <w:instrText xml:space="preserve"> REF _Ref232609141 \r \h </w:instrText>
      </w:r>
      <w:r w:rsidR="00967618" w:rsidRPr="00796736">
        <w:rPr>
          <w:rFonts w:ascii="Times New Roman" w:hAnsi="Times New Roman" w:cs="Times New Roman"/>
          <w:sz w:val="24"/>
          <w:szCs w:val="24"/>
        </w:rPr>
        <w:instrText xml:space="preserve"> \* MERGEFORMAT </w:instrText>
      </w:r>
      <w:r w:rsidR="00E9791D" w:rsidRPr="00796736">
        <w:rPr>
          <w:rFonts w:ascii="Times New Roman" w:hAnsi="Times New Roman" w:cs="Times New Roman"/>
          <w:sz w:val="24"/>
          <w:szCs w:val="24"/>
        </w:rPr>
      </w:r>
      <w:r w:rsidR="00E9791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95</w:t>
      </w:r>
      <w:r w:rsidR="00E9791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3.</w:t>
      </w:r>
    </w:p>
    <w:p w14:paraId="3AB51A02" w14:textId="4770D750" w:rsidR="00E559E9" w:rsidRPr="00796736" w:rsidRDefault="006B74B5" w:rsidP="002440F0">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Alle, der i henhold til stk. 2 modtager personoplysninger, jf. dog </w:t>
      </w:r>
      <w:r w:rsidR="00E9791D" w:rsidRPr="00796736">
        <w:rPr>
          <w:rFonts w:ascii="Times New Roman" w:hAnsi="Times New Roman" w:cs="Times New Roman"/>
          <w:sz w:val="24"/>
          <w:szCs w:val="24"/>
        </w:rPr>
        <w:fldChar w:fldCharType="begin"/>
      </w:r>
      <w:r w:rsidR="00E9791D" w:rsidRPr="00796736">
        <w:rPr>
          <w:rFonts w:ascii="Times New Roman" w:hAnsi="Times New Roman" w:cs="Times New Roman"/>
          <w:sz w:val="24"/>
          <w:szCs w:val="24"/>
        </w:rPr>
        <w:instrText xml:space="preserve"> REF _Ref232609141 \r \h </w:instrText>
      </w:r>
      <w:r w:rsidR="00967618" w:rsidRPr="00796736">
        <w:rPr>
          <w:rFonts w:ascii="Times New Roman" w:hAnsi="Times New Roman" w:cs="Times New Roman"/>
          <w:sz w:val="24"/>
          <w:szCs w:val="24"/>
        </w:rPr>
        <w:instrText xml:space="preserve"> \* MERGEFORMAT </w:instrText>
      </w:r>
      <w:r w:rsidR="00E9791D" w:rsidRPr="00796736">
        <w:rPr>
          <w:rFonts w:ascii="Times New Roman" w:hAnsi="Times New Roman" w:cs="Times New Roman"/>
          <w:sz w:val="24"/>
          <w:szCs w:val="24"/>
        </w:rPr>
      </w:r>
      <w:r w:rsidR="00E9791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95</w:t>
      </w:r>
      <w:r w:rsidR="00E9791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5, er med hensyn til disse oplysninger undergivet den i stk. 1 omhandlede tavshedspligt. </w:t>
      </w:r>
    </w:p>
    <w:p w14:paraId="630B21AD" w14:textId="77777777" w:rsidR="00F67ED2" w:rsidRPr="00796736" w:rsidRDefault="00F67ED2" w:rsidP="00A802A5">
      <w:pPr>
        <w:spacing w:line="360" w:lineRule="auto"/>
        <w:rPr>
          <w:rFonts w:ascii="Times New Roman" w:hAnsi="Times New Roman" w:cs="Times New Roman"/>
          <w:sz w:val="24"/>
          <w:szCs w:val="24"/>
        </w:rPr>
      </w:pPr>
    </w:p>
    <w:p w14:paraId="541EB569" w14:textId="720A118A" w:rsidR="007751BD" w:rsidRPr="00796736" w:rsidRDefault="007751BD" w:rsidP="00A802A5">
      <w:pPr>
        <w:spacing w:line="360" w:lineRule="auto"/>
        <w:jc w:val="center"/>
        <w:rPr>
          <w:rFonts w:ascii="Times New Roman" w:hAnsi="Times New Roman" w:cs="Times New Roman"/>
          <w:i/>
          <w:iCs/>
          <w:sz w:val="24"/>
          <w:szCs w:val="24"/>
        </w:rPr>
      </w:pPr>
      <w:r w:rsidRPr="00796736">
        <w:rPr>
          <w:rFonts w:ascii="Times New Roman" w:hAnsi="Times New Roman" w:cs="Times New Roman"/>
          <w:i/>
          <w:iCs/>
          <w:sz w:val="24"/>
          <w:szCs w:val="24"/>
        </w:rPr>
        <w:t>Advokatrådets tilsyn</w:t>
      </w:r>
    </w:p>
    <w:p w14:paraId="457F1CBB" w14:textId="77777777" w:rsidR="003715A2" w:rsidRPr="00796736" w:rsidRDefault="003715A2" w:rsidP="00A802A5">
      <w:pPr>
        <w:spacing w:line="360" w:lineRule="auto"/>
        <w:ind w:firstLine="238"/>
        <w:jc w:val="center"/>
        <w:rPr>
          <w:rFonts w:ascii="Times New Roman" w:eastAsia="Times New Roman" w:hAnsi="Times New Roman" w:cs="Times New Roman"/>
          <w:i/>
          <w:sz w:val="24"/>
          <w:szCs w:val="24"/>
          <w:lang w:eastAsia="da-DK"/>
        </w:rPr>
      </w:pPr>
      <w:r w:rsidRPr="00796736">
        <w:rPr>
          <w:rFonts w:ascii="Times New Roman" w:eastAsia="Times New Roman" w:hAnsi="Times New Roman" w:cs="Times New Roman"/>
          <w:i/>
          <w:sz w:val="24"/>
          <w:szCs w:val="24"/>
          <w:lang w:eastAsia="da-DK"/>
        </w:rPr>
        <w:t>Advokatrådets tilsynsforpligtelse</w:t>
      </w:r>
    </w:p>
    <w:p w14:paraId="2CB4CB0F" w14:textId="3B62168B" w:rsidR="0042556A" w:rsidRPr="00796736" w:rsidRDefault="0042556A" w:rsidP="002440F0">
      <w:pPr>
        <w:pStyle w:val="Typografi1"/>
        <w:ind w:left="0" w:firstLine="238"/>
        <w:rPr>
          <w:rFonts w:ascii="Times New Roman" w:hAnsi="Times New Roman" w:cs="Times New Roman"/>
          <w:sz w:val="24"/>
          <w:szCs w:val="24"/>
          <w:lang w:eastAsia="da-DK"/>
        </w:rPr>
      </w:pPr>
      <w:bookmarkStart w:id="353" w:name="_Ref232609193"/>
      <w:bookmarkStart w:id="354" w:name="_Toc244879080"/>
      <w:bookmarkStart w:id="355" w:name="_Toc244880604"/>
      <w:r w:rsidRPr="00796736">
        <w:rPr>
          <w:rFonts w:ascii="Times New Roman" w:hAnsi="Times New Roman" w:cs="Times New Roman"/>
          <w:sz w:val="24"/>
          <w:szCs w:val="24"/>
          <w:lang w:eastAsia="da-DK"/>
        </w:rPr>
        <w:t>Advokatrådet fører på risikobaseret grundlag tilsyn med, at advokater, herunder advokater, der er etableret i en anden EU-medlemsstat, i et EØS-land eller i Schweiz, og som udøver advokatvirksomhed her i landet, overholder hvidvaskforordningen, denne lov og regler udstedt i medfør heraf samt love og forordninger, som indeholder regler om målrettede finansielle sanktioner.</w:t>
      </w:r>
      <w:bookmarkEnd w:id="353"/>
      <w:bookmarkEnd w:id="354"/>
      <w:bookmarkEnd w:id="355"/>
    </w:p>
    <w:p w14:paraId="586827A6" w14:textId="7626AD7D" w:rsidR="003715A2" w:rsidRPr="00796736" w:rsidRDefault="003715A2" w:rsidP="002440F0">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Stk. 2.</w:t>
      </w:r>
      <w:r w:rsidRPr="00796736">
        <w:rPr>
          <w:rFonts w:ascii="Times New Roman" w:eastAsia="Times New Roman" w:hAnsi="Times New Roman" w:cs="Times New Roman"/>
          <w:iCs/>
          <w:sz w:val="24"/>
          <w:szCs w:val="24"/>
          <w:lang w:eastAsia="da-DK"/>
        </w:rPr>
        <w:t xml:space="preserve"> Advokatrådet udfører som minimum følgende opgaver som led i sit tilsyn efter stk. 1:</w:t>
      </w:r>
    </w:p>
    <w:p w14:paraId="0B760ABE" w14:textId="77777777" w:rsidR="0042556A" w:rsidRPr="00796736" w:rsidRDefault="0042556A">
      <w:pPr>
        <w:pStyle w:val="Listeafsnit"/>
        <w:numPr>
          <w:ilvl w:val="0"/>
          <w:numId w:val="99"/>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Kontrollerer tilstrækkeligheden og gennemførelsen af advokaternes interne politikker, procedurer og kontroller i henhold til hvidvaskforordningens kapitel II og af de menneskelige ressourcer, der er afsat til udførelsen af de opgaver, der kræves efter forordningen. </w:t>
      </w:r>
    </w:p>
    <w:p w14:paraId="0624F21D" w14:textId="77777777" w:rsidR="0042556A" w:rsidRPr="00796736" w:rsidRDefault="0042556A">
      <w:pPr>
        <w:pStyle w:val="Listeafsnit"/>
        <w:numPr>
          <w:ilvl w:val="0"/>
          <w:numId w:val="99"/>
        </w:num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Vurderer og overvåger regelmæssigt de risici </w:t>
      </w:r>
      <w:r w:rsidRPr="00796736">
        <w:rPr>
          <w:rFonts w:ascii="Times New Roman" w:hAnsi="Times New Roman" w:cs="Times New Roman"/>
          <w:sz w:val="24"/>
          <w:szCs w:val="24"/>
        </w:rPr>
        <w:t>for hvidvask af penge og finansiering af terrorisme samt de risici for manglende gennemførelse og omgåelse af målrettede finansielle sanktioner, som advokaterne er udsat for.</w:t>
      </w:r>
    </w:p>
    <w:p w14:paraId="1380DF20" w14:textId="5A10D1F4" w:rsidR="003715A2" w:rsidRPr="00796736" w:rsidRDefault="003715A2">
      <w:pPr>
        <w:pStyle w:val="Listeafsnit"/>
        <w:numPr>
          <w:ilvl w:val="0"/>
          <w:numId w:val="99"/>
        </w:numPr>
        <w:spacing w:line="360" w:lineRule="auto"/>
        <w:rPr>
          <w:rFonts w:ascii="Times New Roman" w:hAnsi="Times New Roman" w:cs="Times New Roman"/>
          <w:sz w:val="24"/>
          <w:szCs w:val="24"/>
        </w:rPr>
      </w:pPr>
      <w:r w:rsidRPr="00796736">
        <w:rPr>
          <w:rFonts w:ascii="Times New Roman" w:hAnsi="Times New Roman" w:cs="Times New Roman"/>
          <w:sz w:val="24"/>
          <w:szCs w:val="24"/>
        </w:rPr>
        <w:t>Udarbejder et årligt tilsynsprogram, som skal tage hensyn til den tidsplan og de ressourcer, der er nødvendige for omgående at kunne reagere i tilfælde af objektive og betydelige tegn på tilsidesættelse af hvidvaskforordningen.</w:t>
      </w:r>
    </w:p>
    <w:p w14:paraId="51FC9A3A" w14:textId="2FD49E4A" w:rsidR="003715A2" w:rsidRPr="00796736" w:rsidRDefault="003715A2" w:rsidP="002440F0">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3. </w:t>
      </w:r>
      <w:r w:rsidR="002128F7" w:rsidRPr="00D253F0">
        <w:rPr>
          <w:rFonts w:ascii="Times New Roman" w:eastAsia="Times New Roman" w:hAnsi="Times New Roman" w:cs="Times New Roman"/>
          <w:iCs/>
          <w:sz w:val="24"/>
          <w:szCs w:val="24"/>
          <w:lang w:eastAsia="da-DK"/>
        </w:rPr>
        <w:t>Advokatrådet kan</w:t>
      </w:r>
      <w:r w:rsidR="002128F7">
        <w:rPr>
          <w:rFonts w:ascii="Times New Roman" w:eastAsia="Times New Roman" w:hAnsi="Times New Roman" w:cs="Times New Roman"/>
          <w:iCs/>
          <w:sz w:val="24"/>
          <w:szCs w:val="24"/>
          <w:lang w:eastAsia="da-DK"/>
        </w:rPr>
        <w:t xml:space="preserve"> kræve alle oplysninger af</w:t>
      </w:r>
      <w:r w:rsidR="002128F7" w:rsidRPr="00D253F0">
        <w:rPr>
          <w:rFonts w:ascii="Times New Roman" w:eastAsia="Times New Roman" w:hAnsi="Times New Roman" w:cs="Times New Roman"/>
          <w:iCs/>
          <w:sz w:val="24"/>
          <w:szCs w:val="24"/>
          <w:lang w:eastAsia="da-DK"/>
        </w:rPr>
        <w:t xml:space="preserve"> advokater omfattet af stk. 1, herunder arbejdspapirer, korrespondance og andre dokumenter, som er relevante for tilsyn efter stk. 1. 1. pkt. finder tilsvarende anvendelse for tjenesteydere, som advokater har uddelegeret en del af deres opgaver til for at opfylde kravene i reglerne nævnt i stk. 1.</w:t>
      </w:r>
    </w:p>
    <w:p w14:paraId="62B58779" w14:textId="66D703EC" w:rsidR="003715A2" w:rsidRPr="00796736" w:rsidRDefault="003715A2" w:rsidP="002440F0">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4. </w:t>
      </w:r>
      <w:r w:rsidR="0042556A" w:rsidRPr="00796736">
        <w:rPr>
          <w:rFonts w:ascii="Times New Roman" w:eastAsia="Times New Roman" w:hAnsi="Times New Roman" w:cs="Times New Roman"/>
          <w:iCs/>
          <w:sz w:val="24"/>
          <w:szCs w:val="24"/>
          <w:lang w:eastAsia="da-DK"/>
        </w:rPr>
        <w:t>Advokatrådet kan mod behørig legitimation uden retskendelse få adgang til de lokaliteter, hvorfra advokaterne udøver virksomhed, når det er nødvendigt af hensyn til at føre tilsyn efter stk. 1. Rådet kan som led i kontrolbesøget foretage nærmere undersøgelser af materiale hos advokaterne, herunder tage kopi af optegnelser og arbejdspapirer samt dokumentation for overholdelse af reglerne. Politiet yder om nødvendigt bistand til gennemførelse af kontrol efter 1. og 2. pkt. Bestemmelserne i 1.-3. pkt. finder tilsvarende anvendelse for tjenesteydere, som advokater har uddelegeret en del af deres opgaver til for at opfylde kravene i reglerne nævnt i stk. 1.</w:t>
      </w:r>
    </w:p>
    <w:p w14:paraId="691B1614" w14:textId="221AC2DD" w:rsidR="003715A2" w:rsidRPr="00796736" w:rsidRDefault="003715A2" w:rsidP="002440F0">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5. </w:t>
      </w:r>
      <w:r w:rsidR="0042556A" w:rsidRPr="00796736">
        <w:rPr>
          <w:rFonts w:ascii="Times New Roman" w:eastAsia="Times New Roman" w:hAnsi="Times New Roman" w:cs="Times New Roman"/>
          <w:iCs/>
          <w:sz w:val="24"/>
          <w:szCs w:val="24"/>
          <w:lang w:eastAsia="da-DK"/>
        </w:rPr>
        <w:t>Advokatrådet udarbejder en årlig aktivitetsrapport, hvoraf en sammenfatning offentliggøres. Sammenfatningen må ikke indeholde fortrolige oplysninger og skal indeholde oplysning om antallet af advokater under tilsyn, en beskrivelse af rådets opgaver og beføjelser og en oversigt over udførte tilsynsaktiviteter.</w:t>
      </w:r>
    </w:p>
    <w:p w14:paraId="0B96010F" w14:textId="570EA94F" w:rsidR="00A76DBC" w:rsidRPr="00796736" w:rsidRDefault="003715A2" w:rsidP="002440F0">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6. </w:t>
      </w:r>
      <w:bookmarkStart w:id="356" w:name="_Ref232609222"/>
      <w:r w:rsidR="0042556A" w:rsidRPr="00796736">
        <w:rPr>
          <w:rFonts w:ascii="Times New Roman" w:eastAsia="Times New Roman" w:hAnsi="Times New Roman" w:cs="Times New Roman"/>
          <w:iCs/>
          <w:sz w:val="24"/>
          <w:szCs w:val="24"/>
          <w:lang w:eastAsia="da-DK"/>
        </w:rPr>
        <w:t>Kapitel 2-4, bortset fra § 3, i lov om retssikkerhed ved forvaltningens anvendelse af tvangsindgreb og oplysningspligter finder tilsvarende anvendelse for Advokatrådets varetagelse af opgaver efter stk. 3 og 4.</w:t>
      </w:r>
    </w:p>
    <w:p w14:paraId="3F4F154B" w14:textId="77777777" w:rsidR="00A76DBC" w:rsidRPr="00796736" w:rsidRDefault="00A76DBC" w:rsidP="00A802A5">
      <w:pPr>
        <w:spacing w:line="360" w:lineRule="auto"/>
        <w:ind w:firstLine="238"/>
        <w:rPr>
          <w:rFonts w:ascii="Times New Roman" w:eastAsia="Times New Roman" w:hAnsi="Times New Roman" w:cs="Times New Roman"/>
          <w:iCs/>
          <w:sz w:val="24"/>
          <w:szCs w:val="24"/>
          <w:lang w:eastAsia="da-DK"/>
        </w:rPr>
      </w:pPr>
    </w:p>
    <w:p w14:paraId="236294EF" w14:textId="77777777" w:rsidR="0042556A" w:rsidRPr="00796736" w:rsidRDefault="0042556A" w:rsidP="00504952">
      <w:pPr>
        <w:pStyle w:val="Typografi1"/>
        <w:ind w:left="0" w:firstLine="238"/>
        <w:rPr>
          <w:rFonts w:ascii="Times New Roman" w:hAnsi="Times New Roman" w:cs="Times New Roman"/>
          <w:sz w:val="24"/>
          <w:szCs w:val="24"/>
          <w:lang w:eastAsia="da-DK"/>
        </w:rPr>
      </w:pPr>
      <w:bookmarkStart w:id="357" w:name="_Ref239435286"/>
      <w:bookmarkStart w:id="358" w:name="_Toc244879081"/>
      <w:bookmarkStart w:id="359" w:name="_Toc244880605"/>
      <w:bookmarkEnd w:id="356"/>
      <w:r w:rsidRPr="00796736">
        <w:rPr>
          <w:rFonts w:ascii="Times New Roman" w:hAnsi="Times New Roman" w:cs="Times New Roman"/>
          <w:sz w:val="24"/>
          <w:szCs w:val="24"/>
          <w:lang w:eastAsia="da-DK"/>
        </w:rPr>
        <w:t>Advokatrådet stiller oplysninger om hvidvask af penge og finansiering af terrorisme, herunder risikovurderinger, retningslinjer og rapporter m.v., til rådighed for advokater under sit tilsyn. Rådet stiller omgående oplysninger om personer eller enheder, der er udpeget i forbindelse med målrettede finansielle sanktioner eller FN’s finansielle sanktioner til rådighed for advokater under sit tilsyn.</w:t>
      </w:r>
      <w:bookmarkEnd w:id="357"/>
      <w:bookmarkEnd w:id="358"/>
      <w:bookmarkEnd w:id="359"/>
      <w:r w:rsidRPr="00796736">
        <w:rPr>
          <w:rFonts w:ascii="Times New Roman" w:hAnsi="Times New Roman" w:cs="Times New Roman"/>
          <w:sz w:val="24"/>
          <w:szCs w:val="24"/>
          <w:lang w:eastAsia="da-DK"/>
        </w:rPr>
        <w:t xml:space="preserve"> </w:t>
      </w:r>
    </w:p>
    <w:p w14:paraId="76CC8E84" w14:textId="3F1C7EB7" w:rsidR="003715A2" w:rsidRDefault="003715A2" w:rsidP="00504952">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Stk. 2.</w:t>
      </w:r>
      <w:r w:rsidRPr="00796736">
        <w:rPr>
          <w:rFonts w:ascii="Times New Roman" w:eastAsia="Times New Roman" w:hAnsi="Times New Roman" w:cs="Times New Roman"/>
          <w:iCs/>
          <w:sz w:val="24"/>
          <w:szCs w:val="24"/>
          <w:lang w:eastAsia="da-DK"/>
        </w:rPr>
        <w:t xml:space="preserve"> </w:t>
      </w:r>
      <w:r w:rsidR="0042556A" w:rsidRPr="00796736">
        <w:rPr>
          <w:rFonts w:ascii="Times New Roman" w:eastAsia="Times New Roman" w:hAnsi="Times New Roman" w:cs="Times New Roman"/>
          <w:iCs/>
          <w:sz w:val="24"/>
          <w:szCs w:val="24"/>
          <w:lang w:eastAsia="da-DK"/>
        </w:rPr>
        <w:t>Advokatrådet orienterer advokater om deres forpligtelser, herunder gennem offentlige kampagneaktiviteter i det omfang det er hensigtsmæssigt.</w:t>
      </w:r>
    </w:p>
    <w:p w14:paraId="0EBA9DB9" w14:textId="6FF7177D" w:rsidR="00383834" w:rsidRPr="00383834" w:rsidRDefault="00383834" w:rsidP="00504952">
      <w:pPr>
        <w:spacing w:line="360" w:lineRule="auto"/>
        <w:ind w:firstLine="238"/>
        <w:rPr>
          <w:rFonts w:ascii="Times New Roman" w:eastAsia="Times New Roman" w:hAnsi="Times New Roman" w:cs="Times New Roman"/>
          <w:i/>
          <w:sz w:val="24"/>
          <w:szCs w:val="24"/>
          <w:lang w:eastAsia="da-DK"/>
        </w:rPr>
      </w:pPr>
      <w:r w:rsidRPr="00383834">
        <w:rPr>
          <w:rFonts w:ascii="Times New Roman" w:eastAsia="Times New Roman" w:hAnsi="Times New Roman" w:cs="Times New Roman"/>
          <w:i/>
          <w:sz w:val="24"/>
          <w:szCs w:val="24"/>
          <w:lang w:eastAsia="da-DK"/>
        </w:rPr>
        <w:t xml:space="preserve">Stk. 3. </w:t>
      </w:r>
      <w:r w:rsidR="00B41232">
        <w:rPr>
          <w:rFonts w:ascii="Times New Roman" w:eastAsia="Times New Roman" w:hAnsi="Times New Roman" w:cs="Times New Roman"/>
          <w:iCs/>
          <w:sz w:val="24"/>
          <w:szCs w:val="24"/>
          <w:lang w:eastAsia="da-DK"/>
        </w:rPr>
        <w:t xml:space="preserve">Advokatrådet underretter Hvidvasksekretariatet om listen over etableringssteder, hvorfra der drives advokatvirksomhed her i landet, eventuelle relevante konstateringer, der tyder på alvorlige svagheder i advokaternes indberetningssystemer og resultaterne af de risikovurderinger, der er foretaget i henhold til </w:t>
      </w:r>
      <w:r w:rsidR="00B41232">
        <w:rPr>
          <w:rFonts w:ascii="Times New Roman" w:eastAsia="Times New Roman" w:hAnsi="Times New Roman" w:cs="Times New Roman"/>
          <w:iCs/>
          <w:sz w:val="24"/>
          <w:szCs w:val="24"/>
          <w:lang w:eastAsia="da-DK"/>
        </w:rPr>
        <w:fldChar w:fldCharType="begin"/>
      </w:r>
      <w:r w:rsidR="00B41232">
        <w:rPr>
          <w:rFonts w:ascii="Times New Roman" w:eastAsia="Times New Roman" w:hAnsi="Times New Roman" w:cs="Times New Roman"/>
          <w:iCs/>
          <w:sz w:val="24"/>
          <w:szCs w:val="24"/>
          <w:lang w:eastAsia="da-DK"/>
        </w:rPr>
        <w:instrText xml:space="preserve"> REF _Ref232609193 \r \h  \* MERGEFORMAT </w:instrText>
      </w:r>
      <w:r w:rsidR="00B41232">
        <w:rPr>
          <w:rFonts w:ascii="Times New Roman" w:eastAsia="Times New Roman" w:hAnsi="Times New Roman" w:cs="Times New Roman"/>
          <w:iCs/>
          <w:sz w:val="24"/>
          <w:szCs w:val="24"/>
          <w:lang w:eastAsia="da-DK"/>
        </w:rPr>
      </w:r>
      <w:r w:rsidR="00B41232">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00B41232">
        <w:rPr>
          <w:rFonts w:ascii="Times New Roman" w:eastAsia="Times New Roman" w:hAnsi="Times New Roman" w:cs="Times New Roman"/>
          <w:iCs/>
          <w:sz w:val="24"/>
          <w:szCs w:val="24"/>
          <w:lang w:eastAsia="da-DK"/>
        </w:rPr>
        <w:fldChar w:fldCharType="end"/>
      </w:r>
      <w:r w:rsidR="00B41232">
        <w:rPr>
          <w:rFonts w:ascii="Times New Roman" w:eastAsia="Times New Roman" w:hAnsi="Times New Roman" w:cs="Times New Roman"/>
          <w:iCs/>
          <w:sz w:val="24"/>
          <w:szCs w:val="24"/>
          <w:lang w:eastAsia="da-DK"/>
        </w:rPr>
        <w:t>, stk. 1, i sammenfattet form.</w:t>
      </w:r>
    </w:p>
    <w:p w14:paraId="208460C8" w14:textId="77777777" w:rsidR="003715A2" w:rsidRPr="00796736" w:rsidRDefault="003715A2" w:rsidP="00A802A5">
      <w:pPr>
        <w:spacing w:line="360" w:lineRule="auto"/>
        <w:ind w:firstLine="238"/>
        <w:rPr>
          <w:rFonts w:ascii="Times New Roman" w:eastAsia="Times New Roman" w:hAnsi="Times New Roman" w:cs="Times New Roman"/>
          <w:iCs/>
          <w:sz w:val="24"/>
          <w:szCs w:val="24"/>
          <w:lang w:eastAsia="da-DK"/>
        </w:rPr>
      </w:pPr>
    </w:p>
    <w:p w14:paraId="118191D4" w14:textId="77777777" w:rsidR="003715A2" w:rsidRPr="00796736" w:rsidRDefault="003715A2" w:rsidP="00A802A5">
      <w:pPr>
        <w:spacing w:line="360" w:lineRule="auto"/>
        <w:ind w:firstLine="238"/>
        <w:rPr>
          <w:rFonts w:ascii="Times New Roman" w:eastAsia="Times New Roman" w:hAnsi="Times New Roman" w:cs="Times New Roman"/>
          <w:iCs/>
          <w:sz w:val="24"/>
          <w:szCs w:val="24"/>
          <w:lang w:eastAsia="da-DK"/>
        </w:rPr>
      </w:pPr>
    </w:p>
    <w:p w14:paraId="32C43C32" w14:textId="77777777" w:rsidR="003715A2" w:rsidRPr="00796736" w:rsidRDefault="003715A2" w:rsidP="00A802A5">
      <w:pPr>
        <w:spacing w:line="360" w:lineRule="auto"/>
        <w:ind w:firstLine="238"/>
        <w:jc w:val="center"/>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Advokatrådets tilsynsforpligtelse med grænseoverskridende advokatvirksomhed</w:t>
      </w:r>
    </w:p>
    <w:p w14:paraId="556D32E0" w14:textId="36DAB6F9" w:rsidR="0042556A" w:rsidRPr="00796736" w:rsidRDefault="0042556A" w:rsidP="00504952">
      <w:pPr>
        <w:pStyle w:val="Typografi1"/>
        <w:ind w:left="0" w:firstLine="238"/>
        <w:rPr>
          <w:rFonts w:ascii="Times New Roman" w:eastAsia="Times New Roman" w:hAnsi="Times New Roman" w:cs="Times New Roman"/>
          <w:iCs/>
          <w:sz w:val="24"/>
          <w:szCs w:val="24"/>
          <w:lang w:eastAsia="da-DK"/>
        </w:rPr>
      </w:pPr>
      <w:bookmarkStart w:id="360" w:name="_Ref242807846"/>
      <w:bookmarkStart w:id="361" w:name="_Ref232609241"/>
      <w:bookmarkStart w:id="362" w:name="_Hlk222835937"/>
      <w:bookmarkStart w:id="363" w:name="_Toc244879082"/>
      <w:bookmarkStart w:id="364" w:name="_Toc244880606"/>
      <w:r w:rsidRPr="00796736">
        <w:rPr>
          <w:rFonts w:ascii="Times New Roman" w:hAnsi="Times New Roman" w:cs="Times New Roman"/>
          <w:sz w:val="24"/>
          <w:szCs w:val="24"/>
          <w:lang w:eastAsia="da-DK"/>
        </w:rPr>
        <w:t xml:space="preserve">Advokatrådet skal samarbejde med tilsynsorganerne i EU-medlemsstater, EØS-lande og Schweiz om udførelsen af tilsyn, når advokater under tilsyn i disse lande udøver advokatvirksomhed her i landet, eller når en dansk advokat, </w:t>
      </w:r>
      <w:bookmarkEnd w:id="360"/>
      <w:bookmarkEnd w:id="361"/>
      <w:bookmarkEnd w:id="362"/>
      <w:r w:rsidR="002128F7" w:rsidRPr="00D253F0">
        <w:rPr>
          <w:rFonts w:ascii="Times New Roman" w:hAnsi="Times New Roman" w:cs="Times New Roman"/>
          <w:sz w:val="24"/>
          <w:szCs w:val="24"/>
          <w:lang w:eastAsia="da-DK"/>
        </w:rPr>
        <w:t xml:space="preserve">der er underlagt dansk tilsyn, udøver advokatvirksomhed </w:t>
      </w:r>
      <w:r w:rsidR="002128F7">
        <w:rPr>
          <w:rFonts w:ascii="Times New Roman" w:hAnsi="Times New Roman" w:cs="Times New Roman"/>
          <w:sz w:val="24"/>
          <w:szCs w:val="24"/>
          <w:lang w:eastAsia="da-DK"/>
        </w:rPr>
        <w:t>i et sådant land.</w:t>
      </w:r>
      <w:bookmarkEnd w:id="363"/>
      <w:bookmarkEnd w:id="364"/>
      <w:r w:rsidR="002128F7" w:rsidRPr="00D253F0">
        <w:rPr>
          <w:rFonts w:ascii="Times New Roman" w:hAnsi="Times New Roman" w:cs="Times New Roman"/>
          <w:sz w:val="24"/>
          <w:szCs w:val="24"/>
          <w:lang w:eastAsia="da-DK"/>
        </w:rPr>
        <w:t xml:space="preserve"> </w:t>
      </w:r>
      <w:r w:rsidR="002128F7" w:rsidRPr="00D253F0">
        <w:rPr>
          <w:rFonts w:ascii="Times New Roman" w:eastAsia="Times New Roman" w:hAnsi="Times New Roman" w:cs="Times New Roman"/>
          <w:iCs/>
          <w:sz w:val="24"/>
          <w:szCs w:val="24"/>
          <w:lang w:eastAsia="da-DK"/>
        </w:rPr>
        <w:t xml:space="preserve"> </w:t>
      </w:r>
    </w:p>
    <w:p w14:paraId="75DD57AC" w14:textId="51DB6298" w:rsidR="003715A2" w:rsidRPr="00796736" w:rsidRDefault="003715A2" w:rsidP="00504952">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2. </w:t>
      </w:r>
      <w:r w:rsidR="00DD54CF" w:rsidRPr="00796736">
        <w:rPr>
          <w:rFonts w:ascii="Times New Roman" w:eastAsia="Times New Roman" w:hAnsi="Times New Roman" w:cs="Times New Roman"/>
          <w:iCs/>
          <w:sz w:val="24"/>
          <w:szCs w:val="24"/>
          <w:lang w:eastAsia="da-DK"/>
        </w:rPr>
        <w:t xml:space="preserve">Som led i samarbejdet efter stk. 1 giver Advokatrådet efter anmodning eller på eget initiativ tilsynsorganer i andre EU-medlemsstater, EØS-lande eller Schweiz alle oplysninger om advokater under rådets tilsyn, der er nødvendige for udførelsen af deres tilsynsopgaver. Advokatrådet underretter endvidere disse tilsynsorganer om enhver negativ udvikling hos advokaten, </w:t>
      </w:r>
      <w:r w:rsidR="00DD54CF" w:rsidRPr="00D253F0">
        <w:rPr>
          <w:rFonts w:ascii="Times New Roman" w:eastAsia="Times New Roman" w:hAnsi="Times New Roman" w:cs="Times New Roman"/>
          <w:iCs/>
          <w:sz w:val="24"/>
          <w:szCs w:val="24"/>
          <w:lang w:eastAsia="da-DK"/>
        </w:rPr>
        <w:t xml:space="preserve">der i alvorlig grad kan påvirke dennes overholdelse af gældende krav, og om foranstaltninger, som rådet agter </w:t>
      </w:r>
      <w:r w:rsidR="00DD54CF">
        <w:rPr>
          <w:rFonts w:ascii="Times New Roman" w:eastAsia="Times New Roman" w:hAnsi="Times New Roman" w:cs="Times New Roman"/>
          <w:iCs/>
          <w:sz w:val="24"/>
          <w:szCs w:val="24"/>
          <w:lang w:eastAsia="da-DK"/>
        </w:rPr>
        <w:t>at tage initiativ til</w:t>
      </w:r>
      <w:r w:rsidR="00DD54CF" w:rsidRPr="00D253F0">
        <w:rPr>
          <w:rFonts w:ascii="Times New Roman" w:eastAsia="Times New Roman" w:hAnsi="Times New Roman" w:cs="Times New Roman"/>
          <w:iCs/>
          <w:sz w:val="24"/>
          <w:szCs w:val="24"/>
          <w:lang w:eastAsia="da-DK"/>
        </w:rPr>
        <w:t xml:space="preserve"> efter</w:t>
      </w:r>
      <w:r w:rsidR="00DD54CF" w:rsidRPr="00796736">
        <w:rPr>
          <w:rFonts w:ascii="Times New Roman" w:eastAsia="Times New Roman" w:hAnsi="Times New Roman" w:cs="Times New Roman"/>
          <w:iCs/>
          <w:sz w:val="24"/>
          <w:szCs w:val="24"/>
          <w:lang w:eastAsia="da-DK"/>
        </w:rPr>
        <w:t xml:space="preserve"> </w:t>
      </w:r>
      <w:r w:rsidR="003B1AAA">
        <w:rPr>
          <w:rFonts w:ascii="Times New Roman" w:eastAsia="Times New Roman" w:hAnsi="Times New Roman" w:cs="Times New Roman"/>
          <w:iCs/>
          <w:sz w:val="24"/>
          <w:szCs w:val="24"/>
          <w:lang w:eastAsia="da-DK"/>
        </w:rPr>
        <w:fldChar w:fldCharType="begin"/>
      </w:r>
      <w:r w:rsidR="003B1AAA">
        <w:rPr>
          <w:rFonts w:ascii="Times New Roman" w:eastAsia="Times New Roman" w:hAnsi="Times New Roman" w:cs="Times New Roman"/>
          <w:iCs/>
          <w:sz w:val="24"/>
          <w:szCs w:val="24"/>
          <w:lang w:eastAsia="da-DK"/>
        </w:rPr>
        <w:instrText xml:space="preserve"> REF _Ref244787564 \r \h </w:instrText>
      </w:r>
      <w:r w:rsidR="003B1AAA">
        <w:rPr>
          <w:rFonts w:ascii="Times New Roman" w:eastAsia="Times New Roman" w:hAnsi="Times New Roman" w:cs="Times New Roman"/>
          <w:iCs/>
          <w:sz w:val="24"/>
          <w:szCs w:val="24"/>
          <w:lang w:eastAsia="da-DK"/>
        </w:rPr>
      </w:r>
      <w:r w:rsidR="003B1AAA">
        <w:rPr>
          <w:rFonts w:ascii="Times New Roman" w:eastAsia="Times New Roman" w:hAnsi="Times New Roman" w:cs="Times New Roman"/>
          <w:iCs/>
          <w:sz w:val="24"/>
          <w:szCs w:val="24"/>
          <w:lang w:eastAsia="da-DK"/>
        </w:rPr>
        <w:fldChar w:fldCharType="separate"/>
      </w:r>
      <w:r w:rsidR="003B1AAA">
        <w:rPr>
          <w:rFonts w:ascii="Times New Roman" w:eastAsia="Times New Roman" w:hAnsi="Times New Roman" w:cs="Times New Roman"/>
          <w:iCs/>
          <w:sz w:val="24"/>
          <w:szCs w:val="24"/>
          <w:lang w:eastAsia="da-DK"/>
        </w:rPr>
        <w:t>§ 102</w:t>
      </w:r>
      <w:r w:rsidR="003B1AAA">
        <w:rPr>
          <w:rFonts w:ascii="Times New Roman" w:eastAsia="Times New Roman" w:hAnsi="Times New Roman" w:cs="Times New Roman"/>
          <w:iCs/>
          <w:sz w:val="24"/>
          <w:szCs w:val="24"/>
          <w:lang w:eastAsia="da-DK"/>
        </w:rPr>
        <w:fldChar w:fldCharType="end"/>
      </w:r>
      <w:r w:rsidR="00DD54CF" w:rsidRPr="00796736">
        <w:rPr>
          <w:rFonts w:ascii="Times New Roman" w:eastAsia="Times New Roman" w:hAnsi="Times New Roman" w:cs="Times New Roman"/>
          <w:iCs/>
          <w:sz w:val="24"/>
          <w:szCs w:val="24"/>
          <w:lang w:eastAsia="da-DK"/>
        </w:rPr>
        <w:t>-</w:t>
      </w:r>
      <w:r w:rsidR="00DD54CF" w:rsidRPr="00796736">
        <w:rPr>
          <w:rFonts w:ascii="Times New Roman" w:eastAsia="Times New Roman" w:hAnsi="Times New Roman" w:cs="Times New Roman"/>
          <w:iCs/>
          <w:sz w:val="24"/>
          <w:szCs w:val="24"/>
          <w:lang w:eastAsia="da-DK"/>
        </w:rPr>
        <w:fldChar w:fldCharType="begin"/>
      </w:r>
      <w:r w:rsidR="00DD54CF" w:rsidRPr="00796736">
        <w:rPr>
          <w:rFonts w:ascii="Times New Roman" w:eastAsia="Times New Roman" w:hAnsi="Times New Roman" w:cs="Times New Roman"/>
          <w:iCs/>
          <w:sz w:val="24"/>
          <w:szCs w:val="24"/>
          <w:lang w:eastAsia="da-DK"/>
        </w:rPr>
        <w:instrText xml:space="preserve"> REF _Ref239435504 \r \h  \* MERGEFORMAT </w:instrText>
      </w:r>
      <w:r w:rsidR="00DD54CF" w:rsidRPr="00796736">
        <w:rPr>
          <w:rFonts w:ascii="Times New Roman" w:eastAsia="Times New Roman" w:hAnsi="Times New Roman" w:cs="Times New Roman"/>
          <w:iCs/>
          <w:sz w:val="24"/>
          <w:szCs w:val="24"/>
          <w:lang w:eastAsia="da-DK"/>
        </w:rPr>
      </w:r>
      <w:r w:rsidR="00DD54CF"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107</w:t>
      </w:r>
      <w:r w:rsidR="00DD54CF" w:rsidRPr="00796736">
        <w:rPr>
          <w:rFonts w:ascii="Times New Roman" w:eastAsia="Times New Roman" w:hAnsi="Times New Roman" w:cs="Times New Roman"/>
          <w:iCs/>
          <w:sz w:val="24"/>
          <w:szCs w:val="24"/>
          <w:lang w:eastAsia="da-DK"/>
        </w:rPr>
        <w:fldChar w:fldCharType="end"/>
      </w:r>
      <w:r w:rsidR="00DD54CF" w:rsidRPr="00796736">
        <w:rPr>
          <w:rFonts w:ascii="Times New Roman" w:eastAsia="Times New Roman" w:hAnsi="Times New Roman" w:cs="Times New Roman"/>
          <w:iCs/>
          <w:sz w:val="24"/>
          <w:szCs w:val="24"/>
          <w:lang w:eastAsia="da-DK"/>
        </w:rPr>
        <w:t>.</w:t>
      </w:r>
    </w:p>
    <w:p w14:paraId="38F77BB3" w14:textId="1A3B8261" w:rsidR="0042556A" w:rsidRPr="00796736" w:rsidRDefault="0042556A" w:rsidP="00504952">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Stk. 3.</w:t>
      </w:r>
      <w:r w:rsidRPr="00796736">
        <w:rPr>
          <w:rFonts w:ascii="Times New Roman" w:eastAsia="Times New Roman" w:hAnsi="Times New Roman" w:cs="Times New Roman"/>
          <w:iCs/>
          <w:sz w:val="24"/>
          <w:szCs w:val="24"/>
          <w:lang w:eastAsia="da-DK"/>
        </w:rPr>
        <w:t xml:space="preserve"> Som led i samarbejdet efter stk. 1 kan Advokatrådet foretage undersøgelser efter reglerne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på vegne af tilsynsorganer i andre EU-medlemsstater, EØS-lande og Schweiz og videregive oplysninger, der indhentes gennem sådanne undersøgelser, til det pågældende tilsynsorgan.</w:t>
      </w:r>
      <w:r w:rsidRPr="00796736" w:rsidDel="000F05A6">
        <w:rPr>
          <w:rFonts w:ascii="Times New Roman" w:eastAsia="Times New Roman" w:hAnsi="Times New Roman" w:cs="Times New Roman"/>
          <w:iCs/>
          <w:sz w:val="24"/>
          <w:szCs w:val="24"/>
          <w:lang w:eastAsia="da-DK"/>
        </w:rPr>
        <w:t xml:space="preserve"> </w:t>
      </w:r>
    </w:p>
    <w:p w14:paraId="09515234" w14:textId="0806755C" w:rsidR="0042556A" w:rsidRPr="00796736" w:rsidRDefault="0042556A" w:rsidP="00504952">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4. </w:t>
      </w:r>
      <w:r w:rsidRPr="00796736">
        <w:rPr>
          <w:rFonts w:ascii="Times New Roman" w:eastAsia="Times New Roman" w:hAnsi="Times New Roman" w:cs="Times New Roman"/>
          <w:iCs/>
          <w:sz w:val="24"/>
          <w:szCs w:val="24"/>
          <w:lang w:eastAsia="da-DK"/>
        </w:rPr>
        <w:t xml:space="preserve"> Som led i samarbejdet efter stk. 1 kan tilsynsorganer i andre EU-medlemsstater, EØS-lande og Schweiz efter forudgående aftale med Advokatrådet få adgang til de her i landet beliggende lokaliteter, hvorfra advokater med hjemsted i det pågældende land driver virksomhed. Advokatrådet kan deltage i kontrolbesøg som nævnt i 1. pkt. Modsætter en advokat som nævnt i 1. pkt. sig e</w:t>
      </w:r>
      <w:r w:rsidR="001222B8">
        <w:rPr>
          <w:rFonts w:ascii="Times New Roman" w:eastAsia="Times New Roman" w:hAnsi="Times New Roman" w:cs="Times New Roman"/>
          <w:iCs/>
          <w:sz w:val="24"/>
          <w:szCs w:val="24"/>
          <w:lang w:eastAsia="da-DK"/>
        </w:rPr>
        <w:t>t</w:t>
      </w:r>
      <w:r w:rsidRPr="00796736">
        <w:rPr>
          <w:rFonts w:ascii="Times New Roman" w:eastAsia="Times New Roman" w:hAnsi="Times New Roman" w:cs="Times New Roman"/>
          <w:iCs/>
          <w:sz w:val="24"/>
          <w:szCs w:val="24"/>
          <w:lang w:eastAsia="da-DK"/>
        </w:rPr>
        <w:t xml:space="preserve"> tilsynsorgans kontrolbesøg, kan undersøgelsen kun foretages med Advokatrådets medvirken efter reglerne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r w:rsidRPr="00796736" w:rsidDel="000F05A6">
        <w:rPr>
          <w:rFonts w:ascii="Times New Roman" w:eastAsia="Times New Roman" w:hAnsi="Times New Roman" w:cs="Times New Roman"/>
          <w:iCs/>
          <w:sz w:val="24"/>
          <w:szCs w:val="24"/>
          <w:lang w:eastAsia="da-DK"/>
        </w:rPr>
        <w:t xml:space="preserve"> </w:t>
      </w:r>
    </w:p>
    <w:p w14:paraId="0FCB5602" w14:textId="074A9B46" w:rsidR="0042556A" w:rsidRPr="00796736" w:rsidRDefault="0042556A" w:rsidP="00504952">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5. </w:t>
      </w:r>
      <w:r w:rsidRPr="00796736">
        <w:rPr>
          <w:rFonts w:ascii="Times New Roman" w:eastAsia="Times New Roman" w:hAnsi="Times New Roman" w:cs="Times New Roman"/>
          <w:iCs/>
          <w:sz w:val="24"/>
          <w:szCs w:val="24"/>
          <w:lang w:eastAsia="da-DK"/>
        </w:rPr>
        <w:t xml:space="preserve"> Som led i samarbejdet efter stk. 1 kan Advokatrådet anmode tilsynsorganer i andre EU-medlemsstater, EØS-lande og Schweiz om alle oplysninger, der er nødvendige for udførelsen af Advokatrådets tilsynsopgaver. Advokatrådet kan endvidere anmode disse tilsynsorganer om at foretage undersøgelser i det pågældende land og videregive oplysninger, der indhentes gennem sådanne undersøgelser, til Advokatrådet samt om at medvirke til, at Advokatrådet får adgang til de lokaliteter, hvorfra advokaten driver virksomhed i det pågældende land.</w:t>
      </w:r>
      <w:r w:rsidRPr="00796736" w:rsidDel="000F05A6">
        <w:rPr>
          <w:rFonts w:ascii="Times New Roman" w:eastAsia="Times New Roman" w:hAnsi="Times New Roman" w:cs="Times New Roman"/>
          <w:iCs/>
          <w:sz w:val="24"/>
          <w:szCs w:val="24"/>
          <w:lang w:eastAsia="da-DK"/>
        </w:rPr>
        <w:t xml:space="preserve"> </w:t>
      </w:r>
    </w:p>
    <w:p w14:paraId="2D79E8D6" w14:textId="77777777" w:rsidR="0042556A" w:rsidRPr="00796736" w:rsidRDefault="0042556A" w:rsidP="00504952">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6. </w:t>
      </w:r>
      <w:r w:rsidRPr="00796736">
        <w:rPr>
          <w:rFonts w:ascii="Times New Roman" w:eastAsia="Times New Roman" w:hAnsi="Times New Roman" w:cs="Times New Roman"/>
          <w:iCs/>
          <w:sz w:val="24"/>
          <w:szCs w:val="24"/>
          <w:lang w:eastAsia="da-DK"/>
        </w:rPr>
        <w:t>Advokatrådet kan indbringe spørgsmål om andre landes tilsynsorganers manglende efterlevelse af organernes samarbejdsforpligtelser efter hvidvaskdirektivet for AMLA.</w:t>
      </w:r>
    </w:p>
    <w:p w14:paraId="14585E89" w14:textId="77777777" w:rsidR="003715A2" w:rsidRPr="00796736" w:rsidRDefault="003715A2" w:rsidP="00A802A5">
      <w:pPr>
        <w:spacing w:line="360" w:lineRule="auto"/>
        <w:rPr>
          <w:rFonts w:ascii="Times New Roman" w:eastAsia="Times New Roman" w:hAnsi="Times New Roman" w:cs="Times New Roman"/>
          <w:iCs/>
          <w:sz w:val="24"/>
          <w:szCs w:val="24"/>
          <w:lang w:eastAsia="da-DK"/>
        </w:rPr>
      </w:pPr>
    </w:p>
    <w:p w14:paraId="209D8325" w14:textId="3D5041BF" w:rsidR="0042556A" w:rsidRPr="00796736" w:rsidRDefault="0042556A" w:rsidP="00007FAC">
      <w:pPr>
        <w:pStyle w:val="Typografi1"/>
        <w:ind w:left="0" w:firstLine="238"/>
        <w:rPr>
          <w:rFonts w:ascii="Times New Roman" w:hAnsi="Times New Roman" w:cs="Times New Roman"/>
          <w:sz w:val="24"/>
          <w:szCs w:val="24"/>
          <w:lang w:eastAsia="da-DK"/>
        </w:rPr>
      </w:pPr>
      <w:bookmarkStart w:id="365" w:name="_Ref232941264"/>
      <w:bookmarkStart w:id="366" w:name="_Ref232609280"/>
      <w:bookmarkStart w:id="367" w:name="_Ref240718367"/>
      <w:bookmarkStart w:id="368" w:name="_Toc244879083"/>
      <w:bookmarkStart w:id="369" w:name="_Toc244880607"/>
      <w:r w:rsidRPr="00796736">
        <w:rPr>
          <w:rFonts w:ascii="Times New Roman" w:hAnsi="Times New Roman" w:cs="Times New Roman"/>
          <w:sz w:val="24"/>
          <w:szCs w:val="24"/>
          <w:lang w:eastAsia="da-DK"/>
        </w:rPr>
        <w:t xml:space="preserve">Advokatrådet kan indgå aftaler om samarbejde og udveksling af fortrolige oplysninger med </w:t>
      </w:r>
      <w:r w:rsidR="002128F7">
        <w:rPr>
          <w:rFonts w:ascii="Times New Roman" w:hAnsi="Times New Roman" w:cs="Times New Roman"/>
          <w:sz w:val="24"/>
          <w:szCs w:val="24"/>
          <w:lang w:eastAsia="da-DK"/>
        </w:rPr>
        <w:t xml:space="preserve">sine </w:t>
      </w:r>
      <w:r w:rsidRPr="00796736">
        <w:rPr>
          <w:rFonts w:ascii="Times New Roman" w:hAnsi="Times New Roman" w:cs="Times New Roman"/>
          <w:sz w:val="24"/>
          <w:szCs w:val="24"/>
          <w:lang w:eastAsia="da-DK"/>
        </w:rPr>
        <w:t xml:space="preserve">modparter i lande uden for EU, EØS og Schweiz. Aftaler efter 1. pkt. skal være gensidige og underlagt garanti om tavshedspligt, som svarer til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_Ref232609366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110</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bookmarkEnd w:id="365"/>
      <w:bookmarkEnd w:id="368"/>
      <w:bookmarkEnd w:id="369"/>
      <w:r w:rsidRPr="00796736">
        <w:rPr>
          <w:rFonts w:ascii="Times New Roman" w:hAnsi="Times New Roman" w:cs="Times New Roman"/>
          <w:sz w:val="24"/>
          <w:szCs w:val="24"/>
          <w:lang w:eastAsia="da-DK"/>
        </w:rPr>
        <w:t xml:space="preserve"> </w:t>
      </w:r>
      <w:bookmarkEnd w:id="366"/>
      <w:bookmarkEnd w:id="367"/>
    </w:p>
    <w:p w14:paraId="55BCE055" w14:textId="77777777" w:rsidR="0042556A" w:rsidRPr="00796736" w:rsidRDefault="0042556A" w:rsidP="00007FAC">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Stk. 2.</w:t>
      </w:r>
      <w:r w:rsidRPr="00796736">
        <w:rPr>
          <w:rFonts w:ascii="Times New Roman" w:eastAsia="Times New Roman" w:hAnsi="Times New Roman" w:cs="Times New Roman"/>
          <w:iCs/>
          <w:sz w:val="24"/>
          <w:szCs w:val="24"/>
          <w:lang w:eastAsia="da-DK"/>
        </w:rPr>
        <w:t xml:space="preserve"> Udveksling af fortrolige oplysninger efter aftaler efter stk. 1 må kun ske med henblik på Advokatrådets og dets modparts udførelse af tilsynsopgaver. Oplysninger, som Advokatrådet har modtaget fra et tilsynsorgan i en anden EU-medlemsstat, EØS-land eller Schweiz, må kun videregives med dette tilsynsorgans udtrykkelige samtykke og kun til formål omfattet af dette samtykke. </w:t>
      </w:r>
    </w:p>
    <w:p w14:paraId="49F6F811" w14:textId="77777777" w:rsidR="0042556A" w:rsidRPr="00796736" w:rsidRDefault="0042556A" w:rsidP="00007FAC">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3. </w:t>
      </w:r>
      <w:r w:rsidRPr="00796736">
        <w:rPr>
          <w:rFonts w:ascii="Times New Roman" w:eastAsia="Times New Roman" w:hAnsi="Times New Roman" w:cs="Times New Roman"/>
          <w:iCs/>
          <w:sz w:val="24"/>
          <w:szCs w:val="24"/>
          <w:lang w:eastAsia="da-DK"/>
        </w:rPr>
        <w:t xml:space="preserve">Advokatrådet underretter senest 1 måned efter undertegnelsen AMLA om enhver aftale efter stk. 1. </w:t>
      </w:r>
    </w:p>
    <w:p w14:paraId="0FEEA135" w14:textId="77777777" w:rsidR="003715A2" w:rsidRPr="00796736" w:rsidRDefault="003715A2" w:rsidP="00A802A5">
      <w:pPr>
        <w:spacing w:line="360" w:lineRule="auto"/>
        <w:ind w:firstLine="238"/>
        <w:rPr>
          <w:rFonts w:ascii="Times New Roman" w:eastAsia="Times New Roman" w:hAnsi="Times New Roman" w:cs="Times New Roman"/>
          <w:iCs/>
          <w:sz w:val="24"/>
          <w:szCs w:val="24"/>
          <w:lang w:eastAsia="da-DK"/>
        </w:rPr>
      </w:pPr>
    </w:p>
    <w:p w14:paraId="50AB2E04" w14:textId="7873DD2D" w:rsidR="003715A2" w:rsidRPr="00796736" w:rsidRDefault="003715A2" w:rsidP="00A802A5">
      <w:pPr>
        <w:spacing w:line="360" w:lineRule="auto"/>
        <w:ind w:firstLine="238"/>
        <w:jc w:val="center"/>
        <w:rPr>
          <w:rFonts w:ascii="Times New Roman" w:eastAsia="Times New Roman" w:hAnsi="Times New Roman" w:cs="Times New Roman"/>
          <w:i/>
          <w:sz w:val="24"/>
          <w:szCs w:val="24"/>
          <w:lang w:eastAsia="da-DK"/>
        </w:rPr>
      </w:pPr>
      <w:r w:rsidRPr="00796736">
        <w:rPr>
          <w:rFonts w:ascii="Times New Roman" w:eastAsia="Times New Roman" w:hAnsi="Times New Roman" w:cs="Times New Roman"/>
          <w:i/>
          <w:sz w:val="24"/>
          <w:szCs w:val="24"/>
          <w:lang w:eastAsia="da-DK"/>
        </w:rPr>
        <w:t>Administrative foranstaltninger</w:t>
      </w:r>
    </w:p>
    <w:p w14:paraId="7A4A61BC" w14:textId="1AB8FE40" w:rsidR="0007131A" w:rsidRPr="00796736" w:rsidRDefault="0042556A" w:rsidP="00007FAC">
      <w:pPr>
        <w:pStyle w:val="Typografi1"/>
        <w:ind w:left="0" w:firstLine="238"/>
        <w:rPr>
          <w:rFonts w:ascii="Times New Roman" w:hAnsi="Times New Roman" w:cs="Times New Roman"/>
          <w:sz w:val="24"/>
          <w:szCs w:val="24"/>
          <w:lang w:eastAsia="da-DK"/>
        </w:rPr>
      </w:pPr>
      <w:bookmarkStart w:id="370" w:name="_Ref232609304"/>
      <w:bookmarkStart w:id="371" w:name="_Ref242893180"/>
      <w:bookmarkStart w:id="372" w:name="_Toc244879084"/>
      <w:bookmarkStart w:id="373" w:name="_Toc244880608"/>
      <w:r w:rsidRPr="00796736">
        <w:rPr>
          <w:rFonts w:ascii="Times New Roman" w:hAnsi="Times New Roman" w:cs="Times New Roman"/>
          <w:sz w:val="24"/>
          <w:szCs w:val="24"/>
          <w:lang w:eastAsia="da-DK"/>
        </w:rPr>
        <w:t xml:space="preserve">Advokatrådet kan iværksætte og indstille til iværksættelse af foranstaltninger efter </w:t>
      </w:r>
      <w:r w:rsidR="007C1691" w:rsidRPr="00796736">
        <w:rPr>
          <w:rFonts w:ascii="Times New Roman" w:hAnsi="Times New Roman" w:cs="Times New Roman"/>
          <w:sz w:val="24"/>
          <w:szCs w:val="24"/>
          <w:lang w:eastAsia="da-DK"/>
        </w:rPr>
        <w:t>§</w:t>
      </w:r>
      <w:r w:rsidR="00FF249A">
        <w:rPr>
          <w:rFonts w:ascii="Times New Roman" w:hAnsi="Times New Roman" w:cs="Times New Roman"/>
          <w:sz w:val="24"/>
          <w:szCs w:val="24"/>
          <w:lang w:eastAsia="da-DK"/>
        </w:rPr>
        <w:fldChar w:fldCharType="begin"/>
      </w:r>
      <w:r w:rsidR="00FF249A">
        <w:rPr>
          <w:rFonts w:ascii="Times New Roman" w:hAnsi="Times New Roman" w:cs="Times New Roman"/>
          <w:sz w:val="24"/>
          <w:szCs w:val="24"/>
          <w:lang w:eastAsia="da-DK"/>
        </w:rPr>
        <w:instrText xml:space="preserve"> REF _Ref244787564 \r \h </w:instrText>
      </w:r>
      <w:r w:rsidR="00FF249A">
        <w:rPr>
          <w:rFonts w:ascii="Times New Roman" w:hAnsi="Times New Roman" w:cs="Times New Roman"/>
          <w:sz w:val="24"/>
          <w:szCs w:val="24"/>
          <w:lang w:eastAsia="da-DK"/>
        </w:rPr>
      </w:r>
      <w:r w:rsidR="00FF249A">
        <w:rPr>
          <w:rFonts w:ascii="Times New Roman" w:hAnsi="Times New Roman" w:cs="Times New Roman"/>
          <w:sz w:val="24"/>
          <w:szCs w:val="24"/>
          <w:lang w:eastAsia="da-DK"/>
        </w:rPr>
        <w:fldChar w:fldCharType="separate"/>
      </w:r>
      <w:r w:rsidR="00FF249A">
        <w:rPr>
          <w:rFonts w:ascii="Times New Roman" w:hAnsi="Times New Roman" w:cs="Times New Roman"/>
          <w:sz w:val="24"/>
          <w:szCs w:val="24"/>
          <w:lang w:eastAsia="da-DK"/>
        </w:rPr>
        <w:t>§ 102</w:t>
      </w:r>
      <w:r w:rsidR="00FF249A">
        <w:rPr>
          <w:rFonts w:ascii="Times New Roman" w:hAnsi="Times New Roman" w:cs="Times New Roman"/>
          <w:sz w:val="24"/>
          <w:szCs w:val="24"/>
          <w:lang w:eastAsia="da-DK"/>
        </w:rPr>
        <w:fldChar w:fldCharType="end"/>
      </w:r>
      <w:r w:rsidR="00BA2036" w:rsidRPr="00796736">
        <w:rPr>
          <w:rFonts w:ascii="Times New Roman" w:hAnsi="Times New Roman" w:cs="Times New Roman"/>
          <w:sz w:val="24"/>
          <w:szCs w:val="24"/>
          <w:lang w:eastAsia="da-DK"/>
        </w:rPr>
        <w:t>-</w:t>
      </w:r>
      <w:r w:rsidR="00BA2036" w:rsidRPr="00796736">
        <w:rPr>
          <w:rFonts w:ascii="Times New Roman" w:hAnsi="Times New Roman" w:cs="Times New Roman"/>
          <w:sz w:val="24"/>
          <w:szCs w:val="24"/>
          <w:lang w:eastAsia="da-DK"/>
        </w:rPr>
        <w:fldChar w:fldCharType="begin"/>
      </w:r>
      <w:r w:rsidR="00BA2036" w:rsidRPr="00796736">
        <w:rPr>
          <w:rFonts w:ascii="Times New Roman" w:hAnsi="Times New Roman" w:cs="Times New Roman"/>
          <w:sz w:val="24"/>
          <w:szCs w:val="24"/>
          <w:lang w:eastAsia="da-DK"/>
        </w:rPr>
        <w:instrText xml:space="preserve"> REF _Ref236987494 \r \h </w:instrText>
      </w:r>
      <w:r w:rsidR="00F375BF" w:rsidRPr="00796736">
        <w:rPr>
          <w:rFonts w:ascii="Times New Roman" w:hAnsi="Times New Roman" w:cs="Times New Roman"/>
          <w:sz w:val="24"/>
          <w:szCs w:val="24"/>
          <w:lang w:eastAsia="da-DK"/>
        </w:rPr>
        <w:instrText xml:space="preserve"> \* MERGEFORMAT </w:instrText>
      </w:r>
      <w:r w:rsidR="00BA2036" w:rsidRPr="00796736">
        <w:rPr>
          <w:rFonts w:ascii="Times New Roman" w:hAnsi="Times New Roman" w:cs="Times New Roman"/>
          <w:sz w:val="24"/>
          <w:szCs w:val="24"/>
          <w:lang w:eastAsia="da-DK"/>
        </w:rPr>
      </w:r>
      <w:r w:rsidR="00BA203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00BA2036" w:rsidRPr="00796736">
        <w:rPr>
          <w:rFonts w:ascii="Times New Roman" w:hAnsi="Times New Roman" w:cs="Times New Roman"/>
          <w:sz w:val="24"/>
          <w:szCs w:val="24"/>
          <w:lang w:eastAsia="da-DK"/>
        </w:rPr>
        <w:fldChar w:fldCharType="end"/>
      </w:r>
      <w:r w:rsidR="00BA2036" w:rsidRPr="00796736">
        <w:rPr>
          <w:rFonts w:ascii="Times New Roman" w:hAnsi="Times New Roman" w:cs="Times New Roman"/>
          <w:sz w:val="24"/>
          <w:szCs w:val="24"/>
          <w:lang w:eastAsia="da-DK"/>
        </w:rPr>
        <w:t xml:space="preserve"> </w:t>
      </w:r>
      <w:bookmarkEnd w:id="370"/>
      <w:r w:rsidRPr="00796736">
        <w:rPr>
          <w:rFonts w:ascii="Times New Roman" w:hAnsi="Times New Roman" w:cs="Times New Roman"/>
          <w:sz w:val="24"/>
          <w:szCs w:val="24"/>
          <w:lang w:eastAsia="da-DK"/>
        </w:rPr>
        <w:t>overfor advokater, hvis rådet konstaterer</w:t>
      </w:r>
      <w:bookmarkEnd w:id="371"/>
      <w:bookmarkEnd w:id="372"/>
      <w:bookmarkEnd w:id="373"/>
    </w:p>
    <w:p w14:paraId="1B17D2BD" w14:textId="03700881" w:rsidR="0042556A" w:rsidRPr="00796736" w:rsidRDefault="0042556A">
      <w:pPr>
        <w:pStyle w:val="Listeafsnit"/>
        <w:numPr>
          <w:ilvl w:val="0"/>
          <w:numId w:val="100"/>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overtrædelser af de regler, der er nævnt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p>
    <w:p w14:paraId="5B92BFED" w14:textId="1A492E92" w:rsidR="0042556A" w:rsidRPr="00796736" w:rsidRDefault="0042556A">
      <w:pPr>
        <w:pStyle w:val="Listeafsnit"/>
        <w:numPr>
          <w:ilvl w:val="0"/>
          <w:numId w:val="100"/>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svagheder i interne politikker, procedurer og kontroller, som sandsynligvis vil medføre en overtrædelse af de regler, der er nævnt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og administrative foranstaltninger kan forhindre forekomsten af sådanne overtrædelser eller mindske risikoen herfor, eller </w:t>
      </w:r>
    </w:p>
    <w:p w14:paraId="1E6907BE" w14:textId="77777777" w:rsidR="002128F7" w:rsidRPr="00D253F0" w:rsidRDefault="002128F7">
      <w:pPr>
        <w:pStyle w:val="Listeafsnit"/>
        <w:numPr>
          <w:ilvl w:val="0"/>
          <w:numId w:val="100"/>
        </w:num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at advokaten</w:t>
      </w:r>
      <w:r>
        <w:rPr>
          <w:rFonts w:ascii="Times New Roman" w:eastAsia="Times New Roman" w:hAnsi="Times New Roman" w:cs="Times New Roman"/>
          <w:iCs/>
          <w:sz w:val="24"/>
          <w:szCs w:val="24"/>
          <w:lang w:eastAsia="da-DK"/>
        </w:rPr>
        <w:t>s</w:t>
      </w:r>
      <w:r w:rsidRPr="00D253F0">
        <w:rPr>
          <w:rFonts w:ascii="Times New Roman" w:eastAsia="Times New Roman" w:hAnsi="Times New Roman" w:cs="Times New Roman"/>
          <w:iCs/>
          <w:sz w:val="24"/>
          <w:szCs w:val="24"/>
          <w:lang w:eastAsia="da-DK"/>
        </w:rPr>
        <w:t xml:space="preserve"> interne politikker, procedurer og kontroller ikke står i rimeligt forhold til de risici for hvidvask, underliggende lovovertrædelser, </w:t>
      </w:r>
      <w:r>
        <w:rPr>
          <w:rFonts w:ascii="Times New Roman" w:eastAsia="Times New Roman" w:hAnsi="Times New Roman" w:cs="Times New Roman"/>
          <w:iCs/>
          <w:sz w:val="24"/>
          <w:szCs w:val="24"/>
          <w:lang w:eastAsia="da-DK"/>
        </w:rPr>
        <w:t>terrorfinansiering</w:t>
      </w:r>
      <w:r w:rsidRPr="00D253F0">
        <w:rPr>
          <w:rFonts w:ascii="Times New Roman" w:eastAsia="Times New Roman" w:hAnsi="Times New Roman" w:cs="Times New Roman"/>
          <w:iCs/>
          <w:sz w:val="24"/>
          <w:szCs w:val="24"/>
          <w:lang w:eastAsia="da-DK"/>
        </w:rPr>
        <w:t xml:space="preserve"> eller overtrædelse af regler om finansielle sanktioner, som advokaten er eksponeret for.</w:t>
      </w:r>
    </w:p>
    <w:p w14:paraId="64474700" w14:textId="5CDB7184" w:rsidR="00033788" w:rsidRPr="00796736" w:rsidRDefault="00033788" w:rsidP="00007FAC">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2. </w:t>
      </w:r>
      <w:r w:rsidR="0042556A" w:rsidRPr="00796736">
        <w:rPr>
          <w:rFonts w:ascii="Times New Roman" w:eastAsia="Times New Roman" w:hAnsi="Times New Roman" w:cs="Times New Roman"/>
          <w:iCs/>
          <w:sz w:val="24"/>
          <w:szCs w:val="24"/>
          <w:lang w:eastAsia="da-DK"/>
        </w:rPr>
        <w:t>Advokatrådet skal ved vurderingen af, hvilke administrative foranstaltninger, der skal iværksættes efter</w:t>
      </w:r>
      <w:r w:rsidRPr="00796736">
        <w:rPr>
          <w:rFonts w:ascii="Times New Roman" w:eastAsia="Times New Roman" w:hAnsi="Times New Roman" w:cs="Times New Roman"/>
          <w:iCs/>
          <w:sz w:val="24"/>
          <w:szCs w:val="24"/>
          <w:lang w:eastAsia="da-DK"/>
        </w:rPr>
        <w:t xml:space="preserve"> </w:t>
      </w:r>
      <w:r w:rsidR="008B03D7">
        <w:rPr>
          <w:rFonts w:ascii="Times New Roman" w:hAnsi="Times New Roman" w:cs="Times New Roman"/>
          <w:sz w:val="24"/>
          <w:szCs w:val="24"/>
          <w:lang w:eastAsia="da-DK"/>
        </w:rPr>
        <w:fldChar w:fldCharType="begin"/>
      </w:r>
      <w:r w:rsidR="008B03D7">
        <w:rPr>
          <w:rFonts w:ascii="Times New Roman" w:eastAsia="Times New Roman" w:hAnsi="Times New Roman" w:cs="Times New Roman"/>
          <w:iCs/>
          <w:sz w:val="24"/>
          <w:szCs w:val="24"/>
          <w:lang w:eastAsia="da-DK"/>
        </w:rPr>
        <w:instrText xml:space="preserve"> REF _Ref244787564 \r \h </w:instrText>
      </w:r>
      <w:r w:rsidR="008B03D7">
        <w:rPr>
          <w:rFonts w:ascii="Times New Roman" w:hAnsi="Times New Roman" w:cs="Times New Roman"/>
          <w:sz w:val="24"/>
          <w:szCs w:val="24"/>
          <w:lang w:eastAsia="da-DK"/>
        </w:rPr>
      </w:r>
      <w:r w:rsidR="008B03D7">
        <w:rPr>
          <w:rFonts w:ascii="Times New Roman" w:hAnsi="Times New Roman" w:cs="Times New Roman"/>
          <w:sz w:val="24"/>
          <w:szCs w:val="24"/>
          <w:lang w:eastAsia="da-DK"/>
        </w:rPr>
        <w:fldChar w:fldCharType="separate"/>
      </w:r>
      <w:r w:rsidR="008B03D7">
        <w:rPr>
          <w:rFonts w:ascii="Times New Roman" w:eastAsia="Times New Roman" w:hAnsi="Times New Roman" w:cs="Times New Roman"/>
          <w:iCs/>
          <w:sz w:val="24"/>
          <w:szCs w:val="24"/>
          <w:lang w:eastAsia="da-DK"/>
        </w:rPr>
        <w:t>§ 102</w:t>
      </w:r>
      <w:r w:rsidR="008B03D7">
        <w:rPr>
          <w:rFonts w:ascii="Times New Roman" w:hAnsi="Times New Roman" w:cs="Times New Roman"/>
          <w:sz w:val="24"/>
          <w:szCs w:val="24"/>
          <w:lang w:eastAsia="da-DK"/>
        </w:rPr>
        <w:fldChar w:fldCharType="end"/>
      </w:r>
      <w:r w:rsidR="007C1691" w:rsidRPr="00796736">
        <w:rPr>
          <w:rFonts w:ascii="Times New Roman" w:hAnsi="Times New Roman" w:cs="Times New Roman"/>
          <w:sz w:val="24"/>
          <w:szCs w:val="24"/>
          <w:lang w:eastAsia="da-DK"/>
        </w:rPr>
        <w:t>-</w:t>
      </w:r>
      <w:r w:rsidR="00BA2036" w:rsidRPr="00796736">
        <w:rPr>
          <w:rFonts w:ascii="Times New Roman" w:hAnsi="Times New Roman" w:cs="Times New Roman"/>
          <w:sz w:val="24"/>
          <w:szCs w:val="24"/>
          <w:lang w:eastAsia="da-DK"/>
        </w:rPr>
        <w:fldChar w:fldCharType="begin"/>
      </w:r>
      <w:r w:rsidR="00BA2036" w:rsidRPr="00796736">
        <w:rPr>
          <w:rFonts w:ascii="Times New Roman" w:hAnsi="Times New Roman" w:cs="Times New Roman"/>
          <w:sz w:val="24"/>
          <w:szCs w:val="24"/>
          <w:lang w:eastAsia="da-DK"/>
        </w:rPr>
        <w:instrText xml:space="preserve"> REF _Ref236987494 \r \h </w:instrText>
      </w:r>
      <w:r w:rsidR="00F375BF" w:rsidRPr="00796736">
        <w:rPr>
          <w:rFonts w:ascii="Times New Roman" w:hAnsi="Times New Roman" w:cs="Times New Roman"/>
          <w:sz w:val="24"/>
          <w:szCs w:val="24"/>
          <w:lang w:eastAsia="da-DK"/>
        </w:rPr>
        <w:instrText xml:space="preserve"> \* MERGEFORMAT </w:instrText>
      </w:r>
      <w:r w:rsidR="00BA2036" w:rsidRPr="00796736">
        <w:rPr>
          <w:rFonts w:ascii="Times New Roman" w:hAnsi="Times New Roman" w:cs="Times New Roman"/>
          <w:sz w:val="24"/>
          <w:szCs w:val="24"/>
          <w:lang w:eastAsia="da-DK"/>
        </w:rPr>
      </w:r>
      <w:r w:rsidR="00BA203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00BA2036" w:rsidRPr="00796736">
        <w:rPr>
          <w:rFonts w:ascii="Times New Roman" w:hAnsi="Times New Roman" w:cs="Times New Roman"/>
          <w:sz w:val="24"/>
          <w:szCs w:val="24"/>
          <w:lang w:eastAsia="da-DK"/>
        </w:rPr>
        <w:fldChar w:fldCharType="end"/>
      </w:r>
      <w:r w:rsidR="007C1691" w:rsidRPr="00796736">
        <w:rPr>
          <w:rFonts w:ascii="Times New Roman" w:eastAsia="Times New Roman" w:hAnsi="Times New Roman" w:cs="Times New Roman"/>
          <w:iCs/>
          <w:sz w:val="24"/>
          <w:szCs w:val="24"/>
          <w:lang w:eastAsia="da-DK"/>
        </w:rPr>
        <w:t xml:space="preserve"> </w:t>
      </w:r>
      <w:r w:rsidR="0042556A" w:rsidRPr="00796736">
        <w:rPr>
          <w:rFonts w:ascii="Times New Roman" w:eastAsia="Times New Roman" w:hAnsi="Times New Roman" w:cs="Times New Roman"/>
          <w:iCs/>
          <w:sz w:val="24"/>
          <w:szCs w:val="24"/>
          <w:lang w:eastAsia="da-DK"/>
        </w:rPr>
        <w:t xml:space="preserve">blandt andet inddrage regler udstedt i medfør af AMLA-forordningens artikel 49, jf. hvidvaskdirektivets artikel 53, stk. 10. 1. pkt. finder tilsvarende anvendelse for Advokatrådets vurdering af, om der skal pålægges tvangsbøder efter </w:t>
      </w:r>
      <w:r w:rsidR="0042556A" w:rsidRPr="00796736">
        <w:rPr>
          <w:rFonts w:ascii="Times New Roman" w:eastAsia="Times New Roman" w:hAnsi="Times New Roman" w:cs="Times New Roman"/>
          <w:iCs/>
          <w:sz w:val="24"/>
          <w:szCs w:val="24"/>
          <w:lang w:eastAsia="da-DK"/>
        </w:rPr>
        <w:fldChar w:fldCharType="begin"/>
      </w:r>
      <w:r w:rsidR="0042556A" w:rsidRPr="00796736">
        <w:rPr>
          <w:rFonts w:ascii="Times New Roman" w:eastAsia="Times New Roman" w:hAnsi="Times New Roman" w:cs="Times New Roman"/>
          <w:iCs/>
          <w:sz w:val="24"/>
          <w:szCs w:val="24"/>
          <w:lang w:eastAsia="da-DK"/>
        </w:rPr>
        <w:instrText xml:space="preserve"> REF _Ref239757742 \r \h </w:instrText>
      </w:r>
      <w:r w:rsidR="00AB17CC" w:rsidRPr="00796736">
        <w:rPr>
          <w:rFonts w:ascii="Times New Roman" w:eastAsia="Times New Roman" w:hAnsi="Times New Roman" w:cs="Times New Roman"/>
          <w:iCs/>
          <w:sz w:val="24"/>
          <w:szCs w:val="24"/>
          <w:lang w:eastAsia="da-DK"/>
        </w:rPr>
        <w:instrText xml:space="preserve"> \* MERGEFORMAT </w:instrText>
      </w:r>
      <w:r w:rsidR="0042556A" w:rsidRPr="00796736">
        <w:rPr>
          <w:rFonts w:ascii="Times New Roman" w:eastAsia="Times New Roman" w:hAnsi="Times New Roman" w:cs="Times New Roman"/>
          <w:iCs/>
          <w:sz w:val="24"/>
          <w:szCs w:val="24"/>
          <w:lang w:eastAsia="da-DK"/>
        </w:rPr>
      </w:r>
      <w:r w:rsidR="0042556A"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138</w:t>
      </w:r>
      <w:r w:rsidR="0042556A" w:rsidRPr="00796736">
        <w:rPr>
          <w:rFonts w:ascii="Times New Roman" w:eastAsia="Times New Roman" w:hAnsi="Times New Roman" w:cs="Times New Roman"/>
          <w:iCs/>
          <w:sz w:val="24"/>
          <w:szCs w:val="24"/>
          <w:lang w:eastAsia="da-DK"/>
        </w:rPr>
        <w:fldChar w:fldCharType="end"/>
      </w:r>
      <w:r w:rsidR="00E45232">
        <w:rPr>
          <w:rFonts w:ascii="Times New Roman" w:eastAsia="Times New Roman" w:hAnsi="Times New Roman" w:cs="Times New Roman"/>
          <w:iCs/>
          <w:sz w:val="24"/>
          <w:szCs w:val="24"/>
          <w:lang w:eastAsia="da-DK"/>
        </w:rPr>
        <w:t xml:space="preserve">, </w:t>
      </w:r>
      <w:r w:rsidR="0042556A" w:rsidRPr="00796736">
        <w:rPr>
          <w:rFonts w:ascii="Times New Roman" w:eastAsia="Times New Roman" w:hAnsi="Times New Roman" w:cs="Times New Roman"/>
          <w:iCs/>
          <w:sz w:val="24"/>
          <w:szCs w:val="24"/>
          <w:lang w:eastAsia="da-DK"/>
        </w:rPr>
        <w:t xml:space="preserve">1. pkt. </w:t>
      </w:r>
      <w:r w:rsidR="00E06046" w:rsidRPr="00796736">
        <w:rPr>
          <w:rFonts w:ascii="Times New Roman" w:eastAsia="Times New Roman" w:hAnsi="Times New Roman" w:cs="Times New Roman"/>
          <w:iCs/>
          <w:sz w:val="24"/>
          <w:szCs w:val="24"/>
          <w:lang w:eastAsia="da-DK"/>
        </w:rPr>
        <w:t xml:space="preserve">finder tilsvarende </w:t>
      </w:r>
      <w:r w:rsidR="00E06046">
        <w:rPr>
          <w:rFonts w:ascii="Times New Roman" w:eastAsia="Times New Roman" w:hAnsi="Times New Roman" w:cs="Times New Roman"/>
          <w:iCs/>
          <w:sz w:val="24"/>
          <w:szCs w:val="24"/>
          <w:lang w:eastAsia="da-DK"/>
        </w:rPr>
        <w:t xml:space="preserve">anvendelse for </w:t>
      </w:r>
      <w:r w:rsidR="00E06046" w:rsidRPr="00796736">
        <w:rPr>
          <w:rFonts w:ascii="Times New Roman" w:eastAsia="Times New Roman" w:hAnsi="Times New Roman" w:cs="Times New Roman"/>
          <w:iCs/>
          <w:sz w:val="24"/>
          <w:szCs w:val="24"/>
          <w:lang w:eastAsia="da-DK"/>
        </w:rPr>
        <w:t xml:space="preserve">Advokatnævnets vurdering af sagen.  </w:t>
      </w:r>
    </w:p>
    <w:p w14:paraId="1D7BC775" w14:textId="00A28B70" w:rsidR="00033788" w:rsidRPr="00796736" w:rsidRDefault="00033788" w:rsidP="00007FAC">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3. </w:t>
      </w:r>
      <w:r w:rsidR="0042556A" w:rsidRPr="00796736">
        <w:rPr>
          <w:rFonts w:ascii="Times New Roman" w:eastAsia="Times New Roman" w:hAnsi="Times New Roman" w:cs="Times New Roman"/>
          <w:iCs/>
          <w:sz w:val="24"/>
          <w:szCs w:val="24"/>
          <w:lang w:eastAsia="da-DK"/>
        </w:rPr>
        <w:t xml:space="preserve">Afgørelse om foranstaltninger efter </w:t>
      </w:r>
      <w:r w:rsidR="00FF249A">
        <w:rPr>
          <w:rFonts w:ascii="Times New Roman" w:eastAsia="Times New Roman" w:hAnsi="Times New Roman" w:cs="Times New Roman"/>
          <w:iCs/>
          <w:sz w:val="24"/>
          <w:szCs w:val="24"/>
          <w:lang w:eastAsia="da-DK"/>
        </w:rPr>
        <w:fldChar w:fldCharType="begin"/>
      </w:r>
      <w:r w:rsidR="00FF249A">
        <w:rPr>
          <w:rFonts w:ascii="Times New Roman" w:eastAsia="Times New Roman" w:hAnsi="Times New Roman" w:cs="Times New Roman"/>
          <w:iCs/>
          <w:sz w:val="24"/>
          <w:szCs w:val="24"/>
          <w:lang w:eastAsia="da-DK"/>
        </w:rPr>
        <w:instrText xml:space="preserve"> REF _Ref244787574 \r \h </w:instrText>
      </w:r>
      <w:r w:rsidR="00FF249A">
        <w:rPr>
          <w:rFonts w:ascii="Times New Roman" w:eastAsia="Times New Roman" w:hAnsi="Times New Roman" w:cs="Times New Roman"/>
          <w:iCs/>
          <w:sz w:val="24"/>
          <w:szCs w:val="24"/>
          <w:lang w:eastAsia="da-DK"/>
        </w:rPr>
      </w:r>
      <w:r w:rsidR="00FF249A">
        <w:rPr>
          <w:rFonts w:ascii="Times New Roman" w:eastAsia="Times New Roman" w:hAnsi="Times New Roman" w:cs="Times New Roman"/>
          <w:iCs/>
          <w:sz w:val="24"/>
          <w:szCs w:val="24"/>
          <w:lang w:eastAsia="da-DK"/>
        </w:rPr>
        <w:fldChar w:fldCharType="separate"/>
      </w:r>
      <w:r w:rsidR="00FF249A">
        <w:rPr>
          <w:rFonts w:ascii="Times New Roman" w:eastAsia="Times New Roman" w:hAnsi="Times New Roman" w:cs="Times New Roman"/>
          <w:iCs/>
          <w:sz w:val="24"/>
          <w:szCs w:val="24"/>
          <w:lang w:eastAsia="da-DK"/>
        </w:rPr>
        <w:t>§ 103</w:t>
      </w:r>
      <w:r w:rsidR="00FF249A">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r w:rsidR="002E6903">
        <w:rPr>
          <w:rFonts w:ascii="Times New Roman" w:hAnsi="Times New Roman" w:cs="Times New Roman"/>
          <w:sz w:val="24"/>
          <w:szCs w:val="24"/>
          <w:lang w:eastAsia="da-DK"/>
        </w:rPr>
        <w:fldChar w:fldCharType="begin"/>
      </w:r>
      <w:r w:rsidR="002E6903">
        <w:rPr>
          <w:rFonts w:ascii="Times New Roman" w:eastAsia="Times New Roman" w:hAnsi="Times New Roman" w:cs="Times New Roman"/>
          <w:iCs/>
          <w:sz w:val="24"/>
          <w:szCs w:val="24"/>
          <w:lang w:eastAsia="da-DK"/>
        </w:rPr>
        <w:instrText xml:space="preserve"> REF _Ref239435504 \r \h </w:instrText>
      </w:r>
      <w:r w:rsidR="002E6903">
        <w:rPr>
          <w:rFonts w:ascii="Times New Roman" w:hAnsi="Times New Roman" w:cs="Times New Roman"/>
          <w:sz w:val="24"/>
          <w:szCs w:val="24"/>
          <w:lang w:eastAsia="da-DK"/>
        </w:rPr>
      </w:r>
      <w:r w:rsidR="002E6903">
        <w:rPr>
          <w:rFonts w:ascii="Times New Roman" w:hAnsi="Times New Roman" w:cs="Times New Roman"/>
          <w:sz w:val="24"/>
          <w:szCs w:val="24"/>
          <w:lang w:eastAsia="da-DK"/>
        </w:rPr>
        <w:fldChar w:fldCharType="separate"/>
      </w:r>
      <w:r w:rsidR="008F29E5">
        <w:rPr>
          <w:rFonts w:ascii="Times New Roman" w:eastAsia="Times New Roman" w:hAnsi="Times New Roman" w:cs="Times New Roman"/>
          <w:iCs/>
          <w:sz w:val="24"/>
          <w:szCs w:val="24"/>
          <w:lang w:eastAsia="da-DK"/>
        </w:rPr>
        <w:t>§ 107</w:t>
      </w:r>
      <w:r w:rsidR="002E6903">
        <w:rPr>
          <w:rFonts w:ascii="Times New Roman" w:hAnsi="Times New Roman" w:cs="Times New Roman"/>
          <w:sz w:val="24"/>
          <w:szCs w:val="24"/>
          <w:lang w:eastAsia="da-DK"/>
        </w:rPr>
        <w:fldChar w:fldCharType="end"/>
      </w:r>
      <w:r w:rsidRPr="00796736">
        <w:rPr>
          <w:rFonts w:ascii="Times New Roman" w:eastAsia="Times New Roman" w:hAnsi="Times New Roman" w:cs="Times New Roman"/>
          <w:iCs/>
          <w:sz w:val="24"/>
          <w:szCs w:val="24"/>
          <w:lang w:eastAsia="da-DK"/>
        </w:rPr>
        <w:t xml:space="preserve">, </w:t>
      </w:r>
      <w:r w:rsidR="0042556A" w:rsidRPr="00796736">
        <w:rPr>
          <w:rFonts w:ascii="Times New Roman" w:hAnsi="Times New Roman" w:cs="Times New Roman"/>
          <w:sz w:val="24"/>
          <w:szCs w:val="24"/>
          <w:lang w:eastAsia="da-DK"/>
        </w:rPr>
        <w:t>samt</w:t>
      </w:r>
      <w:r w:rsidR="002128F7">
        <w:rPr>
          <w:rFonts w:ascii="Times New Roman" w:hAnsi="Times New Roman" w:cs="Times New Roman"/>
          <w:sz w:val="24"/>
          <w:szCs w:val="24"/>
          <w:lang w:eastAsia="da-DK"/>
        </w:rPr>
        <w:t xml:space="preserve"> om</w:t>
      </w:r>
      <w:r w:rsidR="0042556A" w:rsidRPr="00796736">
        <w:rPr>
          <w:rFonts w:ascii="Times New Roman" w:hAnsi="Times New Roman" w:cs="Times New Roman"/>
          <w:sz w:val="24"/>
          <w:szCs w:val="24"/>
          <w:lang w:eastAsia="da-DK"/>
        </w:rPr>
        <w:t xml:space="preserve"> tvangsbøder efter </w:t>
      </w:r>
      <w:r w:rsidR="0042556A" w:rsidRPr="00796736">
        <w:rPr>
          <w:rFonts w:ascii="Times New Roman" w:hAnsi="Times New Roman" w:cs="Times New Roman"/>
          <w:sz w:val="24"/>
          <w:szCs w:val="24"/>
          <w:lang w:eastAsia="da-DK"/>
        </w:rPr>
        <w:fldChar w:fldCharType="begin"/>
      </w:r>
      <w:r w:rsidR="0042556A" w:rsidRPr="00796736">
        <w:rPr>
          <w:rFonts w:ascii="Times New Roman" w:hAnsi="Times New Roman" w:cs="Times New Roman"/>
          <w:sz w:val="24"/>
          <w:szCs w:val="24"/>
          <w:lang w:eastAsia="da-DK"/>
        </w:rPr>
        <w:instrText xml:space="preserve"> REF _Ref239757742 \r \h </w:instrText>
      </w:r>
      <w:r w:rsidR="00AB17CC" w:rsidRPr="00796736">
        <w:rPr>
          <w:rFonts w:ascii="Times New Roman" w:hAnsi="Times New Roman" w:cs="Times New Roman"/>
          <w:sz w:val="24"/>
          <w:szCs w:val="24"/>
          <w:lang w:eastAsia="da-DK"/>
        </w:rPr>
        <w:instrText xml:space="preserve"> \* MERGEFORMAT </w:instrText>
      </w:r>
      <w:r w:rsidR="0042556A" w:rsidRPr="00796736">
        <w:rPr>
          <w:rFonts w:ascii="Times New Roman" w:hAnsi="Times New Roman" w:cs="Times New Roman"/>
          <w:sz w:val="24"/>
          <w:szCs w:val="24"/>
          <w:lang w:eastAsia="da-DK"/>
        </w:rPr>
      </w:r>
      <w:r w:rsidR="0042556A"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138</w:t>
      </w:r>
      <w:r w:rsidR="0042556A" w:rsidRPr="00796736">
        <w:rPr>
          <w:rFonts w:ascii="Times New Roman" w:hAnsi="Times New Roman" w:cs="Times New Roman"/>
          <w:sz w:val="24"/>
          <w:szCs w:val="24"/>
          <w:lang w:eastAsia="da-DK"/>
        </w:rPr>
        <w:fldChar w:fldCharType="end"/>
      </w:r>
      <w:r w:rsidR="0042556A" w:rsidRPr="00796736">
        <w:rPr>
          <w:rFonts w:ascii="Times New Roman" w:hAnsi="Times New Roman" w:cs="Times New Roman"/>
          <w:sz w:val="24"/>
          <w:szCs w:val="24"/>
          <w:lang w:eastAsia="da-DK"/>
        </w:rPr>
        <w:t xml:space="preserve"> </w:t>
      </w:r>
      <w:r w:rsidR="002128F7" w:rsidRPr="00D253F0">
        <w:rPr>
          <w:rFonts w:ascii="Times New Roman" w:eastAsia="Times New Roman" w:hAnsi="Times New Roman" w:cs="Times New Roman"/>
          <w:iCs/>
          <w:sz w:val="24"/>
          <w:szCs w:val="24"/>
          <w:lang w:eastAsia="da-DK"/>
        </w:rPr>
        <w:t xml:space="preserve">træffes af Advokatnævnet efter indstilling fra Advokatrådet. Retsplejelovens </w:t>
      </w:r>
      <w:r w:rsidR="002128F7">
        <w:rPr>
          <w:rFonts w:ascii="Times New Roman" w:eastAsia="Times New Roman" w:hAnsi="Times New Roman" w:cs="Times New Roman"/>
          <w:iCs/>
          <w:sz w:val="24"/>
          <w:szCs w:val="24"/>
          <w:lang w:eastAsia="da-DK"/>
        </w:rPr>
        <w:t>§ 147 b, stk. 4-6, § 147 c, stk. 10 og 11, 1. pkt., og §§ 147 d-147 g</w:t>
      </w:r>
      <w:r w:rsidR="002128F7" w:rsidRPr="00D253F0">
        <w:rPr>
          <w:rFonts w:ascii="Times New Roman" w:eastAsia="Times New Roman" w:hAnsi="Times New Roman" w:cs="Times New Roman"/>
          <w:iCs/>
          <w:sz w:val="24"/>
          <w:szCs w:val="24"/>
          <w:lang w:eastAsia="da-DK"/>
        </w:rPr>
        <w:t xml:space="preserve"> </w:t>
      </w:r>
      <w:r w:rsidR="007D6A5A" w:rsidRPr="00D253F0">
        <w:rPr>
          <w:rFonts w:ascii="Times New Roman" w:eastAsia="Times New Roman" w:hAnsi="Times New Roman" w:cs="Times New Roman"/>
          <w:iCs/>
          <w:sz w:val="24"/>
          <w:szCs w:val="24"/>
          <w:lang w:eastAsia="da-DK"/>
        </w:rPr>
        <w:t>finder tilsvarende anvendelse for Advokatnævnets behandling af sådanne sager</w:t>
      </w:r>
      <w:r w:rsidR="007D6A5A">
        <w:rPr>
          <w:rFonts w:ascii="Times New Roman" w:eastAsia="Times New Roman" w:hAnsi="Times New Roman" w:cs="Times New Roman"/>
          <w:iCs/>
          <w:sz w:val="24"/>
          <w:szCs w:val="24"/>
          <w:lang w:eastAsia="da-DK"/>
        </w:rPr>
        <w:t xml:space="preserve"> og sager efter </w:t>
      </w:r>
      <w:r w:rsidR="00FF249A">
        <w:rPr>
          <w:rFonts w:ascii="Times New Roman" w:eastAsia="Times New Roman" w:hAnsi="Times New Roman" w:cs="Times New Roman"/>
          <w:iCs/>
          <w:sz w:val="24"/>
          <w:szCs w:val="24"/>
          <w:lang w:eastAsia="da-DK"/>
        </w:rPr>
        <w:fldChar w:fldCharType="begin"/>
      </w:r>
      <w:r w:rsidR="00FF249A">
        <w:rPr>
          <w:rFonts w:ascii="Times New Roman" w:eastAsia="Times New Roman" w:hAnsi="Times New Roman" w:cs="Times New Roman"/>
          <w:iCs/>
          <w:sz w:val="24"/>
          <w:szCs w:val="24"/>
          <w:lang w:eastAsia="da-DK"/>
        </w:rPr>
        <w:instrText xml:space="preserve"> REF _Ref244787564 \r \h </w:instrText>
      </w:r>
      <w:r w:rsidR="00FF249A">
        <w:rPr>
          <w:rFonts w:ascii="Times New Roman" w:eastAsia="Times New Roman" w:hAnsi="Times New Roman" w:cs="Times New Roman"/>
          <w:iCs/>
          <w:sz w:val="24"/>
          <w:szCs w:val="24"/>
          <w:lang w:eastAsia="da-DK"/>
        </w:rPr>
      </w:r>
      <w:r w:rsidR="00FF249A">
        <w:rPr>
          <w:rFonts w:ascii="Times New Roman" w:eastAsia="Times New Roman" w:hAnsi="Times New Roman" w:cs="Times New Roman"/>
          <w:iCs/>
          <w:sz w:val="24"/>
          <w:szCs w:val="24"/>
          <w:lang w:eastAsia="da-DK"/>
        </w:rPr>
        <w:fldChar w:fldCharType="separate"/>
      </w:r>
      <w:r w:rsidR="00FF249A">
        <w:rPr>
          <w:rFonts w:ascii="Times New Roman" w:eastAsia="Times New Roman" w:hAnsi="Times New Roman" w:cs="Times New Roman"/>
          <w:iCs/>
          <w:sz w:val="24"/>
          <w:szCs w:val="24"/>
          <w:lang w:eastAsia="da-DK"/>
        </w:rPr>
        <w:t>§ 102</w:t>
      </w:r>
      <w:r w:rsidR="00FF249A">
        <w:rPr>
          <w:rFonts w:ascii="Times New Roman" w:eastAsia="Times New Roman" w:hAnsi="Times New Roman" w:cs="Times New Roman"/>
          <w:iCs/>
          <w:sz w:val="24"/>
          <w:szCs w:val="24"/>
          <w:lang w:eastAsia="da-DK"/>
        </w:rPr>
        <w:fldChar w:fldCharType="end"/>
      </w:r>
      <w:r w:rsidR="007D6A5A">
        <w:rPr>
          <w:rFonts w:ascii="Times New Roman" w:eastAsia="Times New Roman" w:hAnsi="Times New Roman" w:cs="Times New Roman"/>
          <w:iCs/>
          <w:sz w:val="24"/>
          <w:szCs w:val="24"/>
          <w:lang w:eastAsia="da-DK"/>
        </w:rPr>
        <w:t>, stk. 2</w:t>
      </w:r>
      <w:r w:rsidR="007D6A5A" w:rsidRPr="00D253F0">
        <w:rPr>
          <w:rFonts w:ascii="Times New Roman" w:eastAsia="Times New Roman" w:hAnsi="Times New Roman" w:cs="Times New Roman"/>
          <w:iCs/>
          <w:sz w:val="24"/>
          <w:szCs w:val="24"/>
          <w:lang w:eastAsia="da-DK"/>
        </w:rPr>
        <w:t>.</w:t>
      </w:r>
    </w:p>
    <w:p w14:paraId="54B3AC2A" w14:textId="3C9E082C" w:rsidR="0042556A" w:rsidRDefault="0042556A" w:rsidP="00007FAC">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4. </w:t>
      </w:r>
      <w:r w:rsidR="002128F7">
        <w:rPr>
          <w:rFonts w:ascii="Times New Roman" w:eastAsia="Times New Roman" w:hAnsi="Times New Roman" w:cs="Times New Roman"/>
          <w:iCs/>
          <w:sz w:val="24"/>
          <w:szCs w:val="24"/>
          <w:lang w:eastAsia="da-DK"/>
        </w:rPr>
        <w:t xml:space="preserve">Afgørelser efter </w:t>
      </w:r>
      <w:r w:rsidR="00FF249A">
        <w:rPr>
          <w:rFonts w:ascii="Times New Roman" w:eastAsia="Times New Roman" w:hAnsi="Times New Roman" w:cs="Times New Roman"/>
          <w:iCs/>
          <w:sz w:val="24"/>
          <w:szCs w:val="24"/>
          <w:lang w:eastAsia="da-DK"/>
        </w:rPr>
        <w:fldChar w:fldCharType="begin"/>
      </w:r>
      <w:r w:rsidR="00FF249A">
        <w:rPr>
          <w:rFonts w:ascii="Times New Roman" w:eastAsia="Times New Roman" w:hAnsi="Times New Roman" w:cs="Times New Roman"/>
          <w:iCs/>
          <w:sz w:val="24"/>
          <w:szCs w:val="24"/>
          <w:lang w:eastAsia="da-DK"/>
        </w:rPr>
        <w:instrText xml:space="preserve"> REF _Ref244787574 \r \h </w:instrText>
      </w:r>
      <w:r w:rsidR="00FF249A">
        <w:rPr>
          <w:rFonts w:ascii="Times New Roman" w:eastAsia="Times New Roman" w:hAnsi="Times New Roman" w:cs="Times New Roman"/>
          <w:iCs/>
          <w:sz w:val="24"/>
          <w:szCs w:val="24"/>
          <w:lang w:eastAsia="da-DK"/>
        </w:rPr>
      </w:r>
      <w:r w:rsidR="00FF249A">
        <w:rPr>
          <w:rFonts w:ascii="Times New Roman" w:eastAsia="Times New Roman" w:hAnsi="Times New Roman" w:cs="Times New Roman"/>
          <w:iCs/>
          <w:sz w:val="24"/>
          <w:szCs w:val="24"/>
          <w:lang w:eastAsia="da-DK"/>
        </w:rPr>
        <w:fldChar w:fldCharType="separate"/>
      </w:r>
      <w:r w:rsidR="00FF249A">
        <w:rPr>
          <w:rFonts w:ascii="Times New Roman" w:eastAsia="Times New Roman" w:hAnsi="Times New Roman" w:cs="Times New Roman"/>
          <w:iCs/>
          <w:sz w:val="24"/>
          <w:szCs w:val="24"/>
          <w:lang w:eastAsia="da-DK"/>
        </w:rPr>
        <w:t>§ 103</w:t>
      </w:r>
      <w:r w:rsidR="00FF249A">
        <w:rPr>
          <w:rFonts w:ascii="Times New Roman" w:eastAsia="Times New Roman" w:hAnsi="Times New Roman" w:cs="Times New Roman"/>
          <w:iCs/>
          <w:sz w:val="24"/>
          <w:szCs w:val="24"/>
          <w:lang w:eastAsia="da-DK"/>
        </w:rPr>
        <w:fldChar w:fldCharType="end"/>
      </w:r>
      <w:r w:rsidR="00FF249A">
        <w:rPr>
          <w:rFonts w:ascii="Times New Roman" w:eastAsia="Times New Roman" w:hAnsi="Times New Roman" w:cs="Times New Roman"/>
          <w:iCs/>
          <w:sz w:val="24"/>
          <w:szCs w:val="24"/>
          <w:lang w:eastAsia="da-DK"/>
        </w:rPr>
        <w:t xml:space="preserve">, </w:t>
      </w:r>
      <w:r w:rsidR="002128F7">
        <w:rPr>
          <w:rFonts w:ascii="Times New Roman" w:eastAsia="Times New Roman" w:hAnsi="Times New Roman" w:cs="Times New Roman"/>
          <w:iCs/>
          <w:sz w:val="24"/>
          <w:szCs w:val="24"/>
          <w:lang w:eastAsia="da-DK"/>
        </w:rPr>
        <w:t xml:space="preserve">stk. 1, nr. 2, </w:t>
      </w:r>
      <w:r w:rsidR="002128F7">
        <w:rPr>
          <w:rFonts w:ascii="Times New Roman" w:eastAsia="Times New Roman" w:hAnsi="Times New Roman" w:cs="Times New Roman"/>
          <w:iCs/>
          <w:sz w:val="24"/>
          <w:szCs w:val="24"/>
          <w:lang w:eastAsia="da-DK"/>
        </w:rPr>
        <w:fldChar w:fldCharType="begin"/>
      </w:r>
      <w:r w:rsidR="002128F7">
        <w:rPr>
          <w:rFonts w:ascii="Times New Roman" w:eastAsia="Times New Roman" w:hAnsi="Times New Roman" w:cs="Times New Roman"/>
          <w:iCs/>
          <w:sz w:val="24"/>
          <w:szCs w:val="24"/>
          <w:lang w:eastAsia="da-DK"/>
        </w:rPr>
        <w:instrText xml:space="preserve"> REF _Ref242808596 \r \h </w:instrText>
      </w:r>
      <w:r w:rsidR="00CB248D">
        <w:rPr>
          <w:rFonts w:ascii="Times New Roman" w:eastAsia="Times New Roman" w:hAnsi="Times New Roman" w:cs="Times New Roman"/>
          <w:iCs/>
          <w:sz w:val="24"/>
          <w:szCs w:val="24"/>
          <w:lang w:eastAsia="da-DK"/>
        </w:rPr>
        <w:instrText xml:space="preserve"> \* MERGEFORMAT </w:instrText>
      </w:r>
      <w:r w:rsidR="002128F7">
        <w:rPr>
          <w:rFonts w:ascii="Times New Roman" w:eastAsia="Times New Roman" w:hAnsi="Times New Roman" w:cs="Times New Roman"/>
          <w:iCs/>
          <w:sz w:val="24"/>
          <w:szCs w:val="24"/>
          <w:lang w:eastAsia="da-DK"/>
        </w:rPr>
      </w:r>
      <w:r w:rsidR="002128F7">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104</w:t>
      </w:r>
      <w:r w:rsidR="002128F7">
        <w:rPr>
          <w:rFonts w:ascii="Times New Roman" w:eastAsia="Times New Roman" w:hAnsi="Times New Roman" w:cs="Times New Roman"/>
          <w:iCs/>
          <w:sz w:val="24"/>
          <w:szCs w:val="24"/>
          <w:lang w:eastAsia="da-DK"/>
        </w:rPr>
        <w:fldChar w:fldCharType="end"/>
      </w:r>
      <w:r w:rsidR="002128F7">
        <w:rPr>
          <w:rFonts w:ascii="Times New Roman" w:eastAsia="Times New Roman" w:hAnsi="Times New Roman" w:cs="Times New Roman"/>
          <w:iCs/>
          <w:sz w:val="24"/>
          <w:szCs w:val="24"/>
          <w:lang w:eastAsia="da-DK"/>
        </w:rPr>
        <w:t xml:space="preserve"> og </w:t>
      </w:r>
      <w:r w:rsidR="002128F7">
        <w:rPr>
          <w:rFonts w:ascii="Times New Roman" w:eastAsia="Times New Roman" w:hAnsi="Times New Roman" w:cs="Times New Roman"/>
          <w:iCs/>
          <w:sz w:val="24"/>
          <w:szCs w:val="24"/>
          <w:lang w:eastAsia="da-DK"/>
        </w:rPr>
        <w:fldChar w:fldCharType="begin"/>
      </w:r>
      <w:r w:rsidR="002128F7">
        <w:rPr>
          <w:rFonts w:ascii="Times New Roman" w:eastAsia="Times New Roman" w:hAnsi="Times New Roman" w:cs="Times New Roman"/>
          <w:iCs/>
          <w:sz w:val="24"/>
          <w:szCs w:val="24"/>
          <w:lang w:eastAsia="da-DK"/>
        </w:rPr>
        <w:instrText xml:space="preserve"> REF _Ref236998239 \r \h </w:instrText>
      </w:r>
      <w:r w:rsidR="00CB248D">
        <w:rPr>
          <w:rFonts w:ascii="Times New Roman" w:eastAsia="Times New Roman" w:hAnsi="Times New Roman" w:cs="Times New Roman"/>
          <w:iCs/>
          <w:sz w:val="24"/>
          <w:szCs w:val="24"/>
          <w:lang w:eastAsia="da-DK"/>
        </w:rPr>
        <w:instrText xml:space="preserve"> \* MERGEFORMAT </w:instrText>
      </w:r>
      <w:r w:rsidR="002128F7">
        <w:rPr>
          <w:rFonts w:ascii="Times New Roman" w:eastAsia="Times New Roman" w:hAnsi="Times New Roman" w:cs="Times New Roman"/>
          <w:iCs/>
          <w:sz w:val="24"/>
          <w:szCs w:val="24"/>
          <w:lang w:eastAsia="da-DK"/>
        </w:rPr>
      </w:r>
      <w:r w:rsidR="002128F7">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105</w:t>
      </w:r>
      <w:r w:rsidR="002128F7">
        <w:rPr>
          <w:rFonts w:ascii="Times New Roman" w:eastAsia="Times New Roman" w:hAnsi="Times New Roman" w:cs="Times New Roman"/>
          <w:iCs/>
          <w:sz w:val="24"/>
          <w:szCs w:val="24"/>
          <w:lang w:eastAsia="da-DK"/>
        </w:rPr>
        <w:fldChar w:fldCharType="end"/>
      </w:r>
      <w:r w:rsidR="002128F7">
        <w:rPr>
          <w:rFonts w:ascii="Times New Roman" w:eastAsia="Times New Roman" w:hAnsi="Times New Roman" w:cs="Times New Roman"/>
          <w:iCs/>
          <w:sz w:val="24"/>
          <w:szCs w:val="24"/>
          <w:lang w:eastAsia="da-DK"/>
        </w:rPr>
        <w:t xml:space="preserve">, stk. 1, kan gøres betingede på vilkår af, at advokaten i en prøvetid på 5 år regnet fra Advokatnævnets afgørelse ikke omfattes af de tilfælde, der er nævnt i </w:t>
      </w:r>
      <w:r w:rsidR="002128F7">
        <w:rPr>
          <w:rFonts w:ascii="Times New Roman" w:eastAsia="Times New Roman" w:hAnsi="Times New Roman" w:cs="Times New Roman"/>
          <w:iCs/>
          <w:sz w:val="24"/>
          <w:szCs w:val="24"/>
          <w:lang w:eastAsia="da-DK"/>
        </w:rPr>
        <w:fldChar w:fldCharType="begin"/>
      </w:r>
      <w:r w:rsidR="002128F7">
        <w:rPr>
          <w:rFonts w:ascii="Times New Roman" w:eastAsia="Times New Roman" w:hAnsi="Times New Roman" w:cs="Times New Roman"/>
          <w:iCs/>
          <w:sz w:val="24"/>
          <w:szCs w:val="24"/>
          <w:lang w:eastAsia="da-DK"/>
        </w:rPr>
        <w:instrText xml:space="preserve"> REF _Ref242893180 \r \h </w:instrText>
      </w:r>
      <w:r w:rsidR="00CB248D">
        <w:rPr>
          <w:rFonts w:ascii="Times New Roman" w:eastAsia="Times New Roman" w:hAnsi="Times New Roman" w:cs="Times New Roman"/>
          <w:iCs/>
          <w:sz w:val="24"/>
          <w:szCs w:val="24"/>
          <w:lang w:eastAsia="da-DK"/>
        </w:rPr>
        <w:instrText xml:space="preserve"> \* MERGEFORMAT </w:instrText>
      </w:r>
      <w:r w:rsidR="002128F7">
        <w:rPr>
          <w:rFonts w:ascii="Times New Roman" w:eastAsia="Times New Roman" w:hAnsi="Times New Roman" w:cs="Times New Roman"/>
          <w:iCs/>
          <w:sz w:val="24"/>
          <w:szCs w:val="24"/>
          <w:lang w:eastAsia="da-DK"/>
        </w:rPr>
      </w:r>
      <w:r w:rsidR="002128F7">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002128F7">
        <w:rPr>
          <w:rFonts w:ascii="Times New Roman" w:eastAsia="Times New Roman" w:hAnsi="Times New Roman" w:cs="Times New Roman"/>
          <w:iCs/>
          <w:sz w:val="24"/>
          <w:szCs w:val="24"/>
          <w:lang w:eastAsia="da-DK"/>
        </w:rPr>
        <w:fldChar w:fldCharType="end"/>
      </w:r>
      <w:r w:rsidR="002128F7">
        <w:rPr>
          <w:rFonts w:ascii="Times New Roman" w:eastAsia="Times New Roman" w:hAnsi="Times New Roman" w:cs="Times New Roman"/>
          <w:iCs/>
          <w:sz w:val="24"/>
          <w:szCs w:val="24"/>
          <w:lang w:eastAsia="da-DK"/>
        </w:rPr>
        <w:t>, stk. 1, under sådanne omstændigheder, at der efter en samlet bedømmelse skal træffes en ubetinget afgørelse efter</w:t>
      </w:r>
      <w:r w:rsidR="00FF249A">
        <w:rPr>
          <w:rFonts w:ascii="Times New Roman" w:eastAsia="Times New Roman" w:hAnsi="Times New Roman" w:cs="Times New Roman"/>
          <w:iCs/>
          <w:sz w:val="24"/>
          <w:szCs w:val="24"/>
          <w:lang w:eastAsia="da-DK"/>
        </w:rPr>
        <w:t xml:space="preserve"> </w:t>
      </w:r>
      <w:r w:rsidR="00FF249A">
        <w:rPr>
          <w:rFonts w:ascii="Times New Roman" w:eastAsia="Times New Roman" w:hAnsi="Times New Roman" w:cs="Times New Roman"/>
          <w:iCs/>
          <w:sz w:val="24"/>
          <w:szCs w:val="24"/>
          <w:lang w:eastAsia="da-DK"/>
        </w:rPr>
        <w:fldChar w:fldCharType="begin"/>
      </w:r>
      <w:r w:rsidR="00FF249A">
        <w:rPr>
          <w:rFonts w:ascii="Times New Roman" w:eastAsia="Times New Roman" w:hAnsi="Times New Roman" w:cs="Times New Roman"/>
          <w:iCs/>
          <w:sz w:val="24"/>
          <w:szCs w:val="24"/>
          <w:lang w:eastAsia="da-DK"/>
        </w:rPr>
        <w:instrText xml:space="preserve"> REF _Ref244787574 \r \h </w:instrText>
      </w:r>
      <w:r w:rsidR="00FF249A">
        <w:rPr>
          <w:rFonts w:ascii="Times New Roman" w:eastAsia="Times New Roman" w:hAnsi="Times New Roman" w:cs="Times New Roman"/>
          <w:iCs/>
          <w:sz w:val="24"/>
          <w:szCs w:val="24"/>
          <w:lang w:eastAsia="da-DK"/>
        </w:rPr>
      </w:r>
      <w:r w:rsidR="00FF249A">
        <w:rPr>
          <w:rFonts w:ascii="Times New Roman" w:eastAsia="Times New Roman" w:hAnsi="Times New Roman" w:cs="Times New Roman"/>
          <w:iCs/>
          <w:sz w:val="24"/>
          <w:szCs w:val="24"/>
          <w:lang w:eastAsia="da-DK"/>
        </w:rPr>
        <w:fldChar w:fldCharType="separate"/>
      </w:r>
      <w:r w:rsidR="00FF249A">
        <w:rPr>
          <w:rFonts w:ascii="Times New Roman" w:eastAsia="Times New Roman" w:hAnsi="Times New Roman" w:cs="Times New Roman"/>
          <w:iCs/>
          <w:sz w:val="24"/>
          <w:szCs w:val="24"/>
          <w:lang w:eastAsia="da-DK"/>
        </w:rPr>
        <w:t>§ 103</w:t>
      </w:r>
      <w:r w:rsidR="00FF249A">
        <w:rPr>
          <w:rFonts w:ascii="Times New Roman" w:eastAsia="Times New Roman" w:hAnsi="Times New Roman" w:cs="Times New Roman"/>
          <w:iCs/>
          <w:sz w:val="24"/>
          <w:szCs w:val="24"/>
          <w:lang w:eastAsia="da-DK"/>
        </w:rPr>
        <w:fldChar w:fldCharType="end"/>
      </w:r>
      <w:r w:rsidR="002128F7">
        <w:rPr>
          <w:rFonts w:ascii="Times New Roman" w:eastAsia="Times New Roman" w:hAnsi="Times New Roman" w:cs="Times New Roman"/>
          <w:iCs/>
          <w:sz w:val="24"/>
          <w:szCs w:val="24"/>
          <w:lang w:eastAsia="da-DK"/>
        </w:rPr>
        <w:t xml:space="preserve">, stk. 1, nr. 2, </w:t>
      </w:r>
      <w:r w:rsidR="002128F7">
        <w:rPr>
          <w:rFonts w:ascii="Times New Roman" w:eastAsia="Times New Roman" w:hAnsi="Times New Roman" w:cs="Times New Roman"/>
          <w:iCs/>
          <w:sz w:val="24"/>
          <w:szCs w:val="24"/>
          <w:lang w:eastAsia="da-DK"/>
        </w:rPr>
        <w:fldChar w:fldCharType="begin"/>
      </w:r>
      <w:r w:rsidR="002128F7">
        <w:rPr>
          <w:rFonts w:ascii="Times New Roman" w:eastAsia="Times New Roman" w:hAnsi="Times New Roman" w:cs="Times New Roman"/>
          <w:iCs/>
          <w:sz w:val="24"/>
          <w:szCs w:val="24"/>
          <w:lang w:eastAsia="da-DK"/>
        </w:rPr>
        <w:instrText xml:space="preserve"> REF _Ref242808596 \r \h </w:instrText>
      </w:r>
      <w:r w:rsidR="00CB248D">
        <w:rPr>
          <w:rFonts w:ascii="Times New Roman" w:eastAsia="Times New Roman" w:hAnsi="Times New Roman" w:cs="Times New Roman"/>
          <w:iCs/>
          <w:sz w:val="24"/>
          <w:szCs w:val="24"/>
          <w:lang w:eastAsia="da-DK"/>
        </w:rPr>
        <w:instrText xml:space="preserve"> \* MERGEFORMAT </w:instrText>
      </w:r>
      <w:r w:rsidR="002128F7">
        <w:rPr>
          <w:rFonts w:ascii="Times New Roman" w:eastAsia="Times New Roman" w:hAnsi="Times New Roman" w:cs="Times New Roman"/>
          <w:iCs/>
          <w:sz w:val="24"/>
          <w:szCs w:val="24"/>
          <w:lang w:eastAsia="da-DK"/>
        </w:rPr>
      </w:r>
      <w:r w:rsidR="002128F7">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104</w:t>
      </w:r>
      <w:r w:rsidR="002128F7">
        <w:rPr>
          <w:rFonts w:ascii="Times New Roman" w:eastAsia="Times New Roman" w:hAnsi="Times New Roman" w:cs="Times New Roman"/>
          <w:iCs/>
          <w:sz w:val="24"/>
          <w:szCs w:val="24"/>
          <w:lang w:eastAsia="da-DK"/>
        </w:rPr>
        <w:fldChar w:fldCharType="end"/>
      </w:r>
      <w:r w:rsidR="002128F7">
        <w:rPr>
          <w:rFonts w:ascii="Times New Roman" w:eastAsia="Times New Roman" w:hAnsi="Times New Roman" w:cs="Times New Roman"/>
          <w:iCs/>
          <w:sz w:val="24"/>
          <w:szCs w:val="24"/>
          <w:lang w:eastAsia="da-DK"/>
        </w:rPr>
        <w:t xml:space="preserve"> og </w:t>
      </w:r>
      <w:r w:rsidR="002128F7">
        <w:rPr>
          <w:rFonts w:ascii="Times New Roman" w:eastAsia="Times New Roman" w:hAnsi="Times New Roman" w:cs="Times New Roman"/>
          <w:iCs/>
          <w:sz w:val="24"/>
          <w:szCs w:val="24"/>
          <w:lang w:eastAsia="da-DK"/>
        </w:rPr>
        <w:fldChar w:fldCharType="begin"/>
      </w:r>
      <w:r w:rsidR="002128F7">
        <w:rPr>
          <w:rFonts w:ascii="Times New Roman" w:eastAsia="Times New Roman" w:hAnsi="Times New Roman" w:cs="Times New Roman"/>
          <w:iCs/>
          <w:sz w:val="24"/>
          <w:szCs w:val="24"/>
          <w:lang w:eastAsia="da-DK"/>
        </w:rPr>
        <w:instrText xml:space="preserve"> REF _Ref236998239 \r \h </w:instrText>
      </w:r>
      <w:r w:rsidR="00CB248D">
        <w:rPr>
          <w:rFonts w:ascii="Times New Roman" w:eastAsia="Times New Roman" w:hAnsi="Times New Roman" w:cs="Times New Roman"/>
          <w:iCs/>
          <w:sz w:val="24"/>
          <w:szCs w:val="24"/>
          <w:lang w:eastAsia="da-DK"/>
        </w:rPr>
        <w:instrText xml:space="preserve"> \* MERGEFORMAT </w:instrText>
      </w:r>
      <w:r w:rsidR="002128F7">
        <w:rPr>
          <w:rFonts w:ascii="Times New Roman" w:eastAsia="Times New Roman" w:hAnsi="Times New Roman" w:cs="Times New Roman"/>
          <w:iCs/>
          <w:sz w:val="24"/>
          <w:szCs w:val="24"/>
          <w:lang w:eastAsia="da-DK"/>
        </w:rPr>
      </w:r>
      <w:r w:rsidR="002128F7">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105</w:t>
      </w:r>
      <w:r w:rsidR="002128F7">
        <w:rPr>
          <w:rFonts w:ascii="Times New Roman" w:eastAsia="Times New Roman" w:hAnsi="Times New Roman" w:cs="Times New Roman"/>
          <w:iCs/>
          <w:sz w:val="24"/>
          <w:szCs w:val="24"/>
          <w:lang w:eastAsia="da-DK"/>
        </w:rPr>
        <w:fldChar w:fldCharType="end"/>
      </w:r>
      <w:r w:rsidR="002128F7">
        <w:rPr>
          <w:rFonts w:ascii="Times New Roman" w:eastAsia="Times New Roman" w:hAnsi="Times New Roman" w:cs="Times New Roman"/>
          <w:iCs/>
          <w:sz w:val="24"/>
          <w:szCs w:val="24"/>
          <w:lang w:eastAsia="da-DK"/>
        </w:rPr>
        <w:t>, stk. 1. Retsplejelovens § 147 c, stk. 3, 3.-5. pkt. finder tilsvarende anvendelse for betingede afgørelser efter 1. pkt.</w:t>
      </w:r>
    </w:p>
    <w:p w14:paraId="185C9422" w14:textId="77777777" w:rsidR="00612217" w:rsidRDefault="00DC51EA" w:rsidP="00007FAC">
      <w:pPr>
        <w:spacing w:line="360" w:lineRule="auto"/>
        <w:ind w:firstLine="238"/>
        <w:rPr>
          <w:rFonts w:ascii="Times New Roman" w:eastAsia="Times New Roman" w:hAnsi="Times New Roman" w:cs="Times New Roman"/>
          <w:iCs/>
          <w:sz w:val="24"/>
          <w:szCs w:val="24"/>
          <w:lang w:eastAsia="da-DK"/>
        </w:rPr>
      </w:pPr>
      <w:r>
        <w:rPr>
          <w:rFonts w:ascii="Times New Roman" w:eastAsia="Times New Roman" w:hAnsi="Times New Roman" w:cs="Times New Roman"/>
          <w:i/>
          <w:sz w:val="24"/>
          <w:szCs w:val="24"/>
          <w:lang w:eastAsia="da-DK"/>
        </w:rPr>
        <w:t xml:space="preserve">Stk. 5. </w:t>
      </w:r>
      <w:r>
        <w:rPr>
          <w:rFonts w:ascii="Times New Roman" w:eastAsia="Times New Roman" w:hAnsi="Times New Roman" w:cs="Times New Roman"/>
          <w:iCs/>
          <w:sz w:val="24"/>
          <w:szCs w:val="24"/>
          <w:lang w:eastAsia="da-DK"/>
        </w:rPr>
        <w:t>Justitsministeren kan fastsætte nærmere regler for Advokatnævnets behandling af sager omfattet af stk. 3 og 4, herunder om fravigelse af forvaltningslovens § 8, stk. 1, og § 21, stk. 1, og det forvaltningsretlige officialprincip.</w:t>
      </w:r>
      <w:bookmarkStart w:id="374" w:name="_Ref236987632"/>
      <w:bookmarkStart w:id="375" w:name="_Ref240468855"/>
      <w:bookmarkStart w:id="376" w:name="_Ref241670553"/>
      <w:bookmarkStart w:id="377" w:name="_Ref243869143"/>
    </w:p>
    <w:p w14:paraId="7EF2590F" w14:textId="77777777" w:rsidR="00612217" w:rsidRDefault="00612217" w:rsidP="00612217">
      <w:pPr>
        <w:spacing w:line="360" w:lineRule="auto"/>
        <w:ind w:firstLine="340"/>
        <w:rPr>
          <w:rFonts w:ascii="Times New Roman" w:eastAsia="Times New Roman" w:hAnsi="Times New Roman" w:cs="Times New Roman"/>
          <w:iCs/>
          <w:sz w:val="24"/>
          <w:szCs w:val="24"/>
          <w:lang w:eastAsia="da-DK"/>
        </w:rPr>
      </w:pPr>
    </w:p>
    <w:p w14:paraId="0979040D" w14:textId="25924303" w:rsidR="002128F7" w:rsidRPr="00612217" w:rsidRDefault="0042556A" w:rsidP="00D94DED">
      <w:pPr>
        <w:pStyle w:val="Typografi1"/>
        <w:ind w:left="0" w:firstLine="238"/>
        <w:rPr>
          <w:rFonts w:ascii="Times New Roman" w:eastAsia="Times New Roman" w:hAnsi="Times New Roman" w:cs="Times New Roman"/>
          <w:iCs/>
          <w:sz w:val="24"/>
          <w:szCs w:val="24"/>
          <w:lang w:eastAsia="da-DK"/>
        </w:rPr>
      </w:pPr>
      <w:bookmarkStart w:id="378" w:name="_Ref244787564"/>
      <w:bookmarkStart w:id="379" w:name="_Toc244879085"/>
      <w:bookmarkStart w:id="380" w:name="_Toc244880609"/>
      <w:r w:rsidRPr="00612217">
        <w:rPr>
          <w:rFonts w:ascii="Times New Roman" w:hAnsi="Times New Roman" w:cs="Times New Roman"/>
          <w:sz w:val="24"/>
          <w:szCs w:val="24"/>
          <w:lang w:eastAsia="da-DK"/>
        </w:rPr>
        <w:t xml:space="preserve">Advokatrådet kan i de tilfælde, er er nævnt i </w:t>
      </w:r>
      <w:r w:rsidR="007A02EB" w:rsidRPr="00612217">
        <w:rPr>
          <w:rFonts w:ascii="Times New Roman" w:hAnsi="Times New Roman" w:cs="Times New Roman"/>
          <w:sz w:val="24"/>
          <w:szCs w:val="24"/>
          <w:lang w:eastAsia="da-DK"/>
        </w:rPr>
        <w:fldChar w:fldCharType="begin"/>
      </w:r>
      <w:r w:rsidR="007A02EB" w:rsidRPr="00612217">
        <w:rPr>
          <w:rFonts w:ascii="Times New Roman" w:hAnsi="Times New Roman" w:cs="Times New Roman"/>
          <w:sz w:val="24"/>
          <w:szCs w:val="24"/>
          <w:lang w:eastAsia="da-DK"/>
        </w:rPr>
        <w:instrText xml:space="preserve"> REF _Ref242893180 \r \h </w:instrText>
      </w:r>
      <w:r w:rsidR="00CB248D" w:rsidRPr="00612217">
        <w:rPr>
          <w:rFonts w:ascii="Times New Roman" w:hAnsi="Times New Roman" w:cs="Times New Roman"/>
          <w:sz w:val="24"/>
          <w:szCs w:val="24"/>
          <w:lang w:eastAsia="da-DK"/>
        </w:rPr>
        <w:instrText xml:space="preserve"> \* MERGEFORMAT </w:instrText>
      </w:r>
      <w:r w:rsidR="007A02EB" w:rsidRPr="00612217">
        <w:rPr>
          <w:rFonts w:ascii="Times New Roman" w:hAnsi="Times New Roman" w:cs="Times New Roman"/>
          <w:sz w:val="24"/>
          <w:szCs w:val="24"/>
          <w:lang w:eastAsia="da-DK"/>
        </w:rPr>
      </w:r>
      <w:r w:rsidR="007A02EB" w:rsidRPr="00612217">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007A02EB" w:rsidRPr="00612217">
        <w:rPr>
          <w:rFonts w:ascii="Times New Roman" w:hAnsi="Times New Roman" w:cs="Times New Roman"/>
          <w:sz w:val="24"/>
          <w:szCs w:val="24"/>
          <w:lang w:eastAsia="da-DK"/>
        </w:rPr>
        <w:fldChar w:fldCharType="end"/>
      </w:r>
      <w:r w:rsidRPr="00612217">
        <w:rPr>
          <w:rFonts w:ascii="Times New Roman" w:hAnsi="Times New Roman" w:cs="Times New Roman"/>
          <w:sz w:val="24"/>
          <w:szCs w:val="24"/>
          <w:lang w:eastAsia="da-DK"/>
        </w:rPr>
        <w:t xml:space="preserve">, stk. 1, </w:t>
      </w:r>
      <w:bookmarkEnd w:id="374"/>
      <w:bookmarkEnd w:id="375"/>
      <w:bookmarkEnd w:id="376"/>
      <w:r w:rsidR="002128F7" w:rsidRPr="00612217">
        <w:rPr>
          <w:rFonts w:ascii="Times New Roman" w:hAnsi="Times New Roman" w:cs="Times New Roman"/>
          <w:sz w:val="24"/>
          <w:szCs w:val="24"/>
          <w:lang w:eastAsia="da-DK"/>
        </w:rPr>
        <w:t>udstede henstillinger og påbyde advokater at foretage nødvendige foranstaltninger. Advokatrådet kan endvidere påbyde advokaten at bringe den udviste adfærd til ophør og undlade at gentage en sådan.</w:t>
      </w:r>
      <w:bookmarkEnd w:id="377"/>
      <w:bookmarkEnd w:id="378"/>
      <w:bookmarkEnd w:id="379"/>
      <w:bookmarkEnd w:id="380"/>
    </w:p>
    <w:p w14:paraId="15AD7A1D" w14:textId="77777777" w:rsidR="00612217" w:rsidRDefault="00745EC6" w:rsidP="00D94DED">
      <w:pPr>
        <w:pStyle w:val="Typografi1"/>
        <w:numPr>
          <w:ilvl w:val="0"/>
          <w:numId w:val="0"/>
        </w:numPr>
        <w:ind w:firstLine="238"/>
        <w:rPr>
          <w:rFonts w:ascii="Times New Roman" w:hAnsi="Times New Roman" w:cs="Times New Roman"/>
          <w:sz w:val="24"/>
          <w:szCs w:val="24"/>
          <w:lang w:eastAsia="da-DK"/>
        </w:rPr>
      </w:pPr>
      <w:bookmarkStart w:id="381" w:name="_Toc244879086"/>
      <w:bookmarkStart w:id="382" w:name="_Toc244880610"/>
      <w:r w:rsidRPr="00730213">
        <w:rPr>
          <w:rFonts w:ascii="Times New Roman" w:hAnsi="Times New Roman" w:cs="Times New Roman"/>
          <w:i/>
          <w:iCs/>
          <w:sz w:val="24"/>
          <w:szCs w:val="24"/>
          <w:lang w:eastAsia="da-DK"/>
        </w:rPr>
        <w:t>Stk. 2.</w:t>
      </w:r>
      <w:r w:rsidRPr="00730213">
        <w:rPr>
          <w:rFonts w:ascii="Times New Roman" w:hAnsi="Times New Roman" w:cs="Times New Roman"/>
          <w:sz w:val="24"/>
          <w:szCs w:val="24"/>
          <w:lang w:eastAsia="da-DK"/>
        </w:rPr>
        <w:t xml:space="preserve"> </w:t>
      </w:r>
      <w:r w:rsidR="00730213" w:rsidRPr="00730213">
        <w:rPr>
          <w:rFonts w:ascii="Times New Roman" w:hAnsi="Times New Roman" w:cs="Times New Roman"/>
          <w:sz w:val="24"/>
          <w:szCs w:val="24"/>
          <w:lang w:eastAsia="da-DK"/>
        </w:rPr>
        <w:t>Modtagere af påbud efter stk. 1 kan senest 4 uger fra påbuddets meddelelse indbringe påbuddet for Advokatnævnet.</w:t>
      </w:r>
      <w:bookmarkStart w:id="383" w:name="_Ref241670591"/>
      <w:bookmarkStart w:id="384" w:name="_Ref236987484"/>
      <w:bookmarkStart w:id="385" w:name="_Ref241148825"/>
      <w:bookmarkEnd w:id="381"/>
      <w:bookmarkEnd w:id="382"/>
    </w:p>
    <w:p w14:paraId="1505B982" w14:textId="77777777" w:rsidR="00612217" w:rsidRDefault="00612217" w:rsidP="003C05E9">
      <w:pPr>
        <w:rPr>
          <w:lang w:eastAsia="da-DK"/>
        </w:rPr>
      </w:pPr>
    </w:p>
    <w:p w14:paraId="0096B2BA" w14:textId="1977FF78" w:rsidR="0042556A" w:rsidRPr="00612217" w:rsidRDefault="0042556A" w:rsidP="00D94DED">
      <w:pPr>
        <w:pStyle w:val="Typografi1"/>
        <w:ind w:left="0" w:firstLine="238"/>
        <w:rPr>
          <w:rFonts w:ascii="Times New Roman" w:hAnsi="Times New Roman" w:cs="Times New Roman"/>
          <w:sz w:val="24"/>
          <w:szCs w:val="24"/>
          <w:lang w:eastAsia="da-DK"/>
        </w:rPr>
      </w:pPr>
      <w:bookmarkStart w:id="386" w:name="_Ref244787574"/>
      <w:bookmarkStart w:id="387" w:name="_Toc244879087"/>
      <w:bookmarkStart w:id="388" w:name="_Toc244880611"/>
      <w:r w:rsidRPr="00612217">
        <w:rPr>
          <w:rFonts w:ascii="Times New Roman" w:hAnsi="Times New Roman" w:cs="Times New Roman"/>
          <w:sz w:val="24"/>
          <w:szCs w:val="24"/>
          <w:lang w:eastAsia="da-DK"/>
        </w:rPr>
        <w:t xml:space="preserve">Advokatnævnet kan efter indstilling fra Advokatrådet i de tilfælde, der er nævnt i </w:t>
      </w:r>
      <w:r w:rsidR="007A02EB" w:rsidRPr="00612217">
        <w:rPr>
          <w:rFonts w:ascii="Times New Roman" w:hAnsi="Times New Roman" w:cs="Times New Roman"/>
          <w:sz w:val="24"/>
          <w:szCs w:val="24"/>
          <w:lang w:eastAsia="da-DK"/>
        </w:rPr>
        <w:fldChar w:fldCharType="begin"/>
      </w:r>
      <w:r w:rsidR="007A02EB" w:rsidRPr="00612217">
        <w:rPr>
          <w:rFonts w:ascii="Times New Roman" w:hAnsi="Times New Roman" w:cs="Times New Roman"/>
          <w:sz w:val="24"/>
          <w:szCs w:val="24"/>
          <w:lang w:eastAsia="da-DK"/>
        </w:rPr>
        <w:instrText xml:space="preserve"> REF _Ref242893180 \r \h </w:instrText>
      </w:r>
      <w:r w:rsidR="00CB248D" w:rsidRPr="00612217">
        <w:rPr>
          <w:rFonts w:ascii="Times New Roman" w:hAnsi="Times New Roman" w:cs="Times New Roman"/>
          <w:sz w:val="24"/>
          <w:szCs w:val="24"/>
          <w:lang w:eastAsia="da-DK"/>
        </w:rPr>
        <w:instrText xml:space="preserve"> \* MERGEFORMAT </w:instrText>
      </w:r>
      <w:r w:rsidR="007A02EB" w:rsidRPr="00612217">
        <w:rPr>
          <w:rFonts w:ascii="Times New Roman" w:hAnsi="Times New Roman" w:cs="Times New Roman"/>
          <w:sz w:val="24"/>
          <w:szCs w:val="24"/>
          <w:lang w:eastAsia="da-DK"/>
        </w:rPr>
      </w:r>
      <w:r w:rsidR="007A02EB" w:rsidRPr="00612217">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007A02EB" w:rsidRPr="00612217">
        <w:rPr>
          <w:rFonts w:ascii="Times New Roman" w:hAnsi="Times New Roman" w:cs="Times New Roman"/>
          <w:sz w:val="24"/>
          <w:szCs w:val="24"/>
          <w:lang w:eastAsia="da-DK"/>
        </w:rPr>
        <w:fldChar w:fldCharType="end"/>
      </w:r>
      <w:r w:rsidRPr="00612217">
        <w:rPr>
          <w:rFonts w:ascii="Times New Roman" w:hAnsi="Times New Roman" w:cs="Times New Roman"/>
          <w:sz w:val="24"/>
          <w:szCs w:val="24"/>
          <w:lang w:eastAsia="da-DK"/>
        </w:rPr>
        <w:t>, stk. 1,</w:t>
      </w:r>
      <w:bookmarkEnd w:id="383"/>
      <w:bookmarkEnd w:id="384"/>
      <w:bookmarkEnd w:id="385"/>
      <w:bookmarkEnd w:id="386"/>
      <w:bookmarkEnd w:id="387"/>
      <w:bookmarkEnd w:id="388"/>
      <w:r w:rsidRPr="00612217">
        <w:rPr>
          <w:rFonts w:ascii="Times New Roman" w:hAnsi="Times New Roman" w:cs="Times New Roman"/>
          <w:sz w:val="24"/>
          <w:szCs w:val="24"/>
          <w:lang w:eastAsia="da-DK"/>
        </w:rPr>
        <w:t xml:space="preserve"> </w:t>
      </w:r>
    </w:p>
    <w:p w14:paraId="30532F43" w14:textId="07645680" w:rsidR="0042556A" w:rsidRPr="00796736" w:rsidRDefault="002128F7">
      <w:pPr>
        <w:pStyle w:val="Listeafsnit"/>
        <w:numPr>
          <w:ilvl w:val="0"/>
          <w:numId w:val="93"/>
        </w:numPr>
        <w:spacing w:line="360" w:lineRule="auto"/>
        <w:ind w:left="476" w:hanging="238"/>
        <w:rPr>
          <w:rFonts w:ascii="Times New Roman" w:hAnsi="Times New Roman" w:cs="Times New Roman"/>
          <w:sz w:val="24"/>
          <w:szCs w:val="24"/>
          <w:lang w:eastAsia="da-DK"/>
        </w:rPr>
      </w:pPr>
      <w:r>
        <w:rPr>
          <w:rFonts w:ascii="Times New Roman" w:hAnsi="Times New Roman" w:cs="Times New Roman"/>
          <w:sz w:val="24"/>
          <w:szCs w:val="24"/>
          <w:lang w:eastAsia="da-DK"/>
        </w:rPr>
        <w:t>f</w:t>
      </w:r>
      <w:r w:rsidR="0042556A" w:rsidRPr="00796736">
        <w:rPr>
          <w:rFonts w:ascii="Times New Roman" w:hAnsi="Times New Roman" w:cs="Times New Roman"/>
          <w:sz w:val="24"/>
          <w:szCs w:val="24"/>
          <w:lang w:eastAsia="da-DK"/>
        </w:rPr>
        <w:t>ratage advokaten en eller flere sager og lade en anden af klienten godkendt advokat færdiggøre sagen eller sagerne</w:t>
      </w:r>
      <w:r>
        <w:rPr>
          <w:rFonts w:ascii="Times New Roman" w:hAnsi="Times New Roman" w:cs="Times New Roman"/>
          <w:sz w:val="24"/>
          <w:szCs w:val="24"/>
          <w:lang w:eastAsia="da-DK"/>
        </w:rPr>
        <w:t xml:space="preserve"> eller</w:t>
      </w:r>
    </w:p>
    <w:p w14:paraId="0248DED5" w14:textId="7B630A91" w:rsidR="0042556A" w:rsidRPr="00796736" w:rsidRDefault="002128F7">
      <w:pPr>
        <w:pStyle w:val="Listeafsnit"/>
        <w:numPr>
          <w:ilvl w:val="0"/>
          <w:numId w:val="93"/>
        </w:numPr>
        <w:spacing w:line="360" w:lineRule="auto"/>
        <w:ind w:left="476" w:hanging="238"/>
        <w:rPr>
          <w:rFonts w:ascii="Times New Roman" w:hAnsi="Times New Roman" w:cs="Times New Roman"/>
          <w:sz w:val="24"/>
          <w:szCs w:val="24"/>
          <w:lang w:eastAsia="da-DK"/>
        </w:rPr>
      </w:pPr>
      <w:r>
        <w:rPr>
          <w:rFonts w:ascii="Times New Roman" w:hAnsi="Times New Roman" w:cs="Times New Roman"/>
          <w:sz w:val="24"/>
          <w:szCs w:val="24"/>
          <w:lang w:eastAsia="da-DK"/>
        </w:rPr>
        <w:t>f</w:t>
      </w:r>
      <w:r w:rsidR="0042556A" w:rsidRPr="00796736">
        <w:rPr>
          <w:rFonts w:ascii="Times New Roman" w:hAnsi="Times New Roman" w:cs="Times New Roman"/>
          <w:sz w:val="24"/>
          <w:szCs w:val="24"/>
          <w:lang w:eastAsia="da-DK"/>
        </w:rPr>
        <w:t>rakende advokaten retten til at udføre forretninger, herunder gennemføre transaktioner eller optage bestemte klientforhold, eller sager af en nærmere angivet karakter.</w:t>
      </w:r>
    </w:p>
    <w:p w14:paraId="48E2F83D" w14:textId="3D8C06EF" w:rsidR="007C1691" w:rsidRPr="00796736" w:rsidRDefault="007C1691" w:rsidP="00D94DED">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2. </w:t>
      </w:r>
      <w:r w:rsidR="002128F7">
        <w:rPr>
          <w:rFonts w:ascii="Times New Roman" w:hAnsi="Times New Roman" w:cs="Times New Roman"/>
          <w:sz w:val="24"/>
          <w:szCs w:val="24"/>
          <w:lang w:eastAsia="da-DK"/>
        </w:rPr>
        <w:t>Frakendelse</w:t>
      </w:r>
      <w:r w:rsidR="002128F7" w:rsidRPr="00D253F0">
        <w:rPr>
          <w:rFonts w:ascii="Times New Roman" w:hAnsi="Times New Roman" w:cs="Times New Roman"/>
          <w:sz w:val="24"/>
          <w:szCs w:val="24"/>
          <w:lang w:eastAsia="da-DK"/>
        </w:rPr>
        <w:t xml:space="preserve"> efter stk. 1</w:t>
      </w:r>
      <w:r w:rsidR="002128F7">
        <w:rPr>
          <w:rFonts w:ascii="Times New Roman" w:hAnsi="Times New Roman" w:cs="Times New Roman"/>
          <w:sz w:val="24"/>
          <w:szCs w:val="24"/>
          <w:lang w:eastAsia="da-DK"/>
        </w:rPr>
        <w:t>, nr. 2,</w:t>
      </w:r>
      <w:r w:rsidR="002128F7" w:rsidRPr="00D253F0">
        <w:rPr>
          <w:rFonts w:ascii="Times New Roman" w:hAnsi="Times New Roman" w:cs="Times New Roman"/>
          <w:sz w:val="24"/>
          <w:szCs w:val="24"/>
          <w:lang w:eastAsia="da-DK"/>
        </w:rPr>
        <w:t xml:space="preserve"> kan</w:t>
      </w:r>
      <w:r w:rsidR="002128F7">
        <w:rPr>
          <w:rFonts w:ascii="Times New Roman" w:hAnsi="Times New Roman" w:cs="Times New Roman"/>
          <w:sz w:val="24"/>
          <w:szCs w:val="24"/>
          <w:lang w:eastAsia="da-DK"/>
        </w:rPr>
        <w:t xml:space="preserve"> ske</w:t>
      </w:r>
      <w:r w:rsidR="002128F7" w:rsidRPr="00D253F0">
        <w:rPr>
          <w:rFonts w:ascii="Times New Roman" w:hAnsi="Times New Roman" w:cs="Times New Roman"/>
          <w:sz w:val="24"/>
          <w:szCs w:val="24"/>
          <w:lang w:eastAsia="da-DK"/>
        </w:rPr>
        <w:t xml:space="preserve"> i et tidsrum fra 6 måneder til 5 år eller indtil videre. </w:t>
      </w:r>
    </w:p>
    <w:p w14:paraId="4AB002E1" w14:textId="77777777" w:rsidR="00BA2036" w:rsidRPr="00796736" w:rsidRDefault="00BA2036" w:rsidP="00A802A5">
      <w:pPr>
        <w:spacing w:line="360" w:lineRule="auto"/>
        <w:rPr>
          <w:rFonts w:ascii="Times New Roman" w:eastAsia="Times New Roman" w:hAnsi="Times New Roman" w:cs="Times New Roman"/>
          <w:iCs/>
          <w:sz w:val="24"/>
          <w:szCs w:val="24"/>
          <w:lang w:eastAsia="da-DK"/>
        </w:rPr>
      </w:pPr>
    </w:p>
    <w:p w14:paraId="1FBBA2F9" w14:textId="56FF3273" w:rsidR="0042556A" w:rsidRPr="00796736" w:rsidRDefault="0042556A" w:rsidP="00AF3002">
      <w:pPr>
        <w:pStyle w:val="Typografi1"/>
        <w:ind w:left="0" w:firstLine="238"/>
        <w:rPr>
          <w:rFonts w:ascii="Times New Roman" w:hAnsi="Times New Roman" w:cs="Times New Roman"/>
          <w:sz w:val="24"/>
          <w:szCs w:val="24"/>
          <w:lang w:eastAsia="da-DK"/>
        </w:rPr>
      </w:pPr>
      <w:bookmarkStart w:id="389" w:name="_Ref243868282"/>
      <w:bookmarkStart w:id="390" w:name="_Ref242808596"/>
      <w:bookmarkStart w:id="391" w:name="_Toc244879088"/>
      <w:bookmarkStart w:id="392" w:name="_Toc244880612"/>
      <w:r w:rsidRPr="00796736">
        <w:rPr>
          <w:rFonts w:ascii="Times New Roman" w:hAnsi="Times New Roman" w:cs="Times New Roman"/>
          <w:sz w:val="24"/>
          <w:szCs w:val="24"/>
          <w:lang w:eastAsia="da-DK"/>
        </w:rPr>
        <w:t xml:space="preserve">Advokatnævnet kan efter indstilling fra Advokatrådet i de tilfælde, der er nævnt i </w:t>
      </w:r>
      <w:r w:rsidR="007A02EB">
        <w:rPr>
          <w:rFonts w:ascii="Times New Roman" w:hAnsi="Times New Roman" w:cs="Times New Roman"/>
          <w:sz w:val="24"/>
          <w:szCs w:val="24"/>
          <w:lang w:eastAsia="da-DK"/>
        </w:rPr>
        <w:fldChar w:fldCharType="begin"/>
      </w:r>
      <w:r w:rsidR="007A02EB">
        <w:rPr>
          <w:rFonts w:ascii="Times New Roman" w:hAnsi="Times New Roman" w:cs="Times New Roman"/>
          <w:sz w:val="24"/>
          <w:szCs w:val="24"/>
          <w:lang w:eastAsia="da-DK"/>
        </w:rPr>
        <w:instrText xml:space="preserve"> REF _Ref242893180 \r \h </w:instrText>
      </w:r>
      <w:r w:rsidR="00CB248D">
        <w:rPr>
          <w:rFonts w:ascii="Times New Roman" w:hAnsi="Times New Roman" w:cs="Times New Roman"/>
          <w:sz w:val="24"/>
          <w:szCs w:val="24"/>
          <w:lang w:eastAsia="da-DK"/>
        </w:rPr>
        <w:instrText xml:space="preserve"> \* MERGEFORMAT </w:instrText>
      </w:r>
      <w:r w:rsidR="007A02EB">
        <w:rPr>
          <w:rFonts w:ascii="Times New Roman" w:hAnsi="Times New Roman" w:cs="Times New Roman"/>
          <w:sz w:val="24"/>
          <w:szCs w:val="24"/>
          <w:lang w:eastAsia="da-DK"/>
        </w:rPr>
      </w:r>
      <w:r w:rsidR="007A02EB">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007A02EB">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1, frakende advokater retten til at udøve advokatvirksomhed. Frakendelsen kan ske i et tidsrum fra 6 måneder til 5 år eller indtil videre.</w:t>
      </w:r>
      <w:bookmarkEnd w:id="389"/>
      <w:bookmarkEnd w:id="391"/>
      <w:bookmarkEnd w:id="392"/>
      <w:r w:rsidRPr="00796736">
        <w:rPr>
          <w:rFonts w:ascii="Times New Roman" w:hAnsi="Times New Roman" w:cs="Times New Roman"/>
          <w:sz w:val="24"/>
          <w:szCs w:val="24"/>
          <w:lang w:eastAsia="da-DK"/>
        </w:rPr>
        <w:t xml:space="preserve"> </w:t>
      </w:r>
      <w:bookmarkEnd w:id="390"/>
    </w:p>
    <w:p w14:paraId="010669F7" w14:textId="77777777" w:rsidR="007C1691" w:rsidRPr="00796736" w:rsidRDefault="007C1691" w:rsidP="00A802A5">
      <w:pPr>
        <w:spacing w:line="360" w:lineRule="auto"/>
        <w:rPr>
          <w:rFonts w:ascii="Times New Roman" w:hAnsi="Times New Roman" w:cs="Times New Roman"/>
          <w:sz w:val="24"/>
          <w:szCs w:val="24"/>
          <w:lang w:eastAsia="da-DK"/>
        </w:rPr>
      </w:pPr>
    </w:p>
    <w:p w14:paraId="3380EC7C" w14:textId="2A2D9384" w:rsidR="0042556A" w:rsidRPr="00796736" w:rsidRDefault="0042556A" w:rsidP="00AF3002">
      <w:pPr>
        <w:pStyle w:val="Typografi1"/>
        <w:ind w:left="0" w:firstLine="238"/>
        <w:rPr>
          <w:rFonts w:ascii="Times New Roman" w:hAnsi="Times New Roman" w:cs="Times New Roman"/>
          <w:sz w:val="24"/>
          <w:szCs w:val="24"/>
          <w:lang w:eastAsia="da-DK"/>
        </w:rPr>
      </w:pPr>
      <w:bookmarkStart w:id="393" w:name="_Ref236998239"/>
      <w:bookmarkStart w:id="394" w:name="_Toc244879089"/>
      <w:bookmarkStart w:id="395" w:name="_Toc244880613"/>
      <w:r w:rsidRPr="00796736">
        <w:rPr>
          <w:rFonts w:ascii="Times New Roman" w:hAnsi="Times New Roman" w:cs="Times New Roman"/>
          <w:sz w:val="24"/>
          <w:szCs w:val="24"/>
          <w:lang w:eastAsia="da-DK"/>
        </w:rPr>
        <w:t xml:space="preserve">Advokatnævnet kan efter indstilling fra Advokatrådet i de tilfælde, der er nævnt i </w:t>
      </w:r>
      <w:r w:rsidR="007A02EB">
        <w:rPr>
          <w:rFonts w:ascii="Times New Roman" w:hAnsi="Times New Roman" w:cs="Times New Roman"/>
          <w:sz w:val="24"/>
          <w:szCs w:val="24"/>
          <w:lang w:eastAsia="da-DK"/>
        </w:rPr>
        <w:fldChar w:fldCharType="begin"/>
      </w:r>
      <w:r w:rsidR="007A02EB">
        <w:rPr>
          <w:rFonts w:ascii="Times New Roman" w:hAnsi="Times New Roman" w:cs="Times New Roman"/>
          <w:sz w:val="24"/>
          <w:szCs w:val="24"/>
          <w:lang w:eastAsia="da-DK"/>
        </w:rPr>
        <w:instrText xml:space="preserve"> REF _Ref242893180 \r \h </w:instrText>
      </w:r>
      <w:r w:rsidR="00CB248D">
        <w:rPr>
          <w:rFonts w:ascii="Times New Roman" w:hAnsi="Times New Roman" w:cs="Times New Roman"/>
          <w:sz w:val="24"/>
          <w:szCs w:val="24"/>
          <w:lang w:eastAsia="da-DK"/>
        </w:rPr>
        <w:instrText xml:space="preserve"> \* MERGEFORMAT </w:instrText>
      </w:r>
      <w:r w:rsidR="007A02EB">
        <w:rPr>
          <w:rFonts w:ascii="Times New Roman" w:hAnsi="Times New Roman" w:cs="Times New Roman"/>
          <w:sz w:val="24"/>
          <w:szCs w:val="24"/>
          <w:lang w:eastAsia="da-DK"/>
        </w:rPr>
      </w:r>
      <w:r w:rsidR="007A02EB">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007A02EB">
        <w:rPr>
          <w:rFonts w:ascii="Times New Roman" w:hAnsi="Times New Roman" w:cs="Times New Roman"/>
          <w:sz w:val="24"/>
          <w:szCs w:val="24"/>
          <w:lang w:eastAsia="da-DK"/>
        </w:rPr>
        <w:fldChar w:fldCharType="end"/>
      </w:r>
      <w:r w:rsidR="007A02EB"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stk. 1</w:t>
      </w:r>
      <w:r w:rsidR="002128F7">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t xml:space="preserve"> påbyde et fællesskab af advokater eller et advokatselskab at foretage ændringer i ledelsesstrukturen, herunder ved overtrædelser efter </w:t>
      </w:r>
      <w:r w:rsidR="007A02EB">
        <w:rPr>
          <w:rFonts w:ascii="Times New Roman" w:hAnsi="Times New Roman" w:cs="Times New Roman"/>
          <w:sz w:val="24"/>
          <w:szCs w:val="24"/>
          <w:lang w:eastAsia="da-DK"/>
        </w:rPr>
        <w:fldChar w:fldCharType="begin"/>
      </w:r>
      <w:r w:rsidR="007A02EB">
        <w:rPr>
          <w:rFonts w:ascii="Times New Roman" w:hAnsi="Times New Roman" w:cs="Times New Roman"/>
          <w:sz w:val="24"/>
          <w:szCs w:val="24"/>
          <w:lang w:eastAsia="da-DK"/>
        </w:rPr>
        <w:instrText xml:space="preserve"> REF _Ref242893180 \r \h </w:instrText>
      </w:r>
      <w:r w:rsidR="00CB248D">
        <w:rPr>
          <w:rFonts w:ascii="Times New Roman" w:hAnsi="Times New Roman" w:cs="Times New Roman"/>
          <w:sz w:val="24"/>
          <w:szCs w:val="24"/>
          <w:lang w:eastAsia="da-DK"/>
        </w:rPr>
        <w:instrText xml:space="preserve"> \* MERGEFORMAT </w:instrText>
      </w:r>
      <w:r w:rsidR="007A02EB">
        <w:rPr>
          <w:rFonts w:ascii="Times New Roman" w:hAnsi="Times New Roman" w:cs="Times New Roman"/>
          <w:sz w:val="24"/>
          <w:szCs w:val="24"/>
          <w:lang w:eastAsia="da-DK"/>
        </w:rPr>
      </w:r>
      <w:r w:rsidR="007A02EB">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007A02EB">
        <w:rPr>
          <w:rFonts w:ascii="Times New Roman" w:hAnsi="Times New Roman" w:cs="Times New Roman"/>
          <w:sz w:val="24"/>
          <w:szCs w:val="24"/>
          <w:lang w:eastAsia="da-DK"/>
        </w:rPr>
        <w:fldChar w:fldCharType="end"/>
      </w:r>
      <w:r w:rsidR="007A02EB"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t xml:space="preserve"> stk. 1, nr. 1, et forbud mod, at visse personer varetager ledelsesfunktioner.</w:t>
      </w:r>
      <w:bookmarkEnd w:id="393"/>
      <w:bookmarkEnd w:id="394"/>
      <w:bookmarkEnd w:id="395"/>
    </w:p>
    <w:p w14:paraId="73FD13E1" w14:textId="4D738694" w:rsidR="0042556A" w:rsidRPr="00796736" w:rsidRDefault="0042556A" w:rsidP="00AF3002">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2. </w:t>
      </w:r>
      <w:r w:rsidRPr="00796736">
        <w:rPr>
          <w:rFonts w:ascii="Times New Roman" w:hAnsi="Times New Roman" w:cs="Times New Roman"/>
          <w:sz w:val="24"/>
          <w:szCs w:val="24"/>
          <w:lang w:eastAsia="da-DK"/>
        </w:rPr>
        <w:t>Advokatnævnet kan endvidere efter indstilling fra Advokatrådet</w:t>
      </w:r>
      <w:r w:rsidRPr="00796736">
        <w:rPr>
          <w:rFonts w:ascii="Times New Roman" w:eastAsia="Times New Roman" w:hAnsi="Times New Roman" w:cs="Times New Roman"/>
          <w:iCs/>
          <w:sz w:val="24"/>
          <w:szCs w:val="24"/>
          <w:lang w:eastAsia="da-DK"/>
        </w:rPr>
        <w:t xml:space="preserve"> påbyde et fællesskab af advokater eller et advokatselskab at foretage ændringer i ledelsesstrukturen ved at forbyde,</w:t>
      </w:r>
    </w:p>
    <w:p w14:paraId="4EF09FD7" w14:textId="3A6F7B7A" w:rsidR="0042556A" w:rsidRPr="00B975A4" w:rsidRDefault="0042556A">
      <w:pPr>
        <w:pStyle w:val="Listeafsnit"/>
        <w:numPr>
          <w:ilvl w:val="2"/>
          <w:numId w:val="102"/>
        </w:numPr>
        <w:spacing w:line="360" w:lineRule="auto"/>
        <w:ind w:left="598"/>
        <w:rPr>
          <w:rFonts w:ascii="Times New Roman" w:eastAsia="Times New Roman" w:hAnsi="Times New Roman" w:cs="Times New Roman"/>
          <w:iCs/>
          <w:sz w:val="24"/>
          <w:szCs w:val="24"/>
          <w:lang w:eastAsia="da-DK"/>
        </w:rPr>
      </w:pPr>
      <w:r w:rsidRPr="00B975A4">
        <w:rPr>
          <w:rFonts w:ascii="Times New Roman" w:eastAsia="Times New Roman" w:hAnsi="Times New Roman" w:cs="Times New Roman"/>
          <w:iCs/>
          <w:sz w:val="24"/>
          <w:szCs w:val="24"/>
          <w:lang w:eastAsia="da-DK"/>
        </w:rPr>
        <w:t>at personer, som er dømt for overtrædelse af straffeloven §§ 114 b, 290 eller 290 a eller de forudgående lovovertrædelser, deltager i virksomhedens øverste ledelse, og</w:t>
      </w:r>
    </w:p>
    <w:p w14:paraId="0030D3C0" w14:textId="4FDBABFE" w:rsidR="0042556A" w:rsidRPr="00B975A4" w:rsidRDefault="0042556A">
      <w:pPr>
        <w:pStyle w:val="Listeafsnit"/>
        <w:numPr>
          <w:ilvl w:val="2"/>
          <w:numId w:val="102"/>
        </w:numPr>
        <w:spacing w:line="360" w:lineRule="auto"/>
        <w:ind w:left="598"/>
        <w:rPr>
          <w:rFonts w:ascii="Times New Roman" w:eastAsia="Times New Roman" w:hAnsi="Times New Roman" w:cs="Times New Roman"/>
          <w:iCs/>
          <w:sz w:val="24"/>
          <w:szCs w:val="24"/>
          <w:lang w:eastAsia="da-DK"/>
        </w:rPr>
      </w:pPr>
      <w:r w:rsidRPr="00B975A4">
        <w:rPr>
          <w:rFonts w:ascii="Times New Roman" w:eastAsia="Times New Roman" w:hAnsi="Times New Roman" w:cs="Times New Roman"/>
          <w:iCs/>
          <w:sz w:val="24"/>
          <w:szCs w:val="24"/>
          <w:lang w:eastAsia="da-DK"/>
        </w:rPr>
        <w:t xml:space="preserve">at personer, som er tiltalt for overtrædelse af straffelovens §§ 114 b, 290 eller 290 a eller de forudgående lovovertrædelser, deltager i virksomhedens øverste ledelse, indtil straffesagen er afgjort.  </w:t>
      </w:r>
    </w:p>
    <w:p w14:paraId="6C381BA7" w14:textId="7089CFB9" w:rsidR="0042556A" w:rsidRPr="00796736" w:rsidRDefault="0042556A" w:rsidP="00AF3002">
      <w:pPr>
        <w:spacing w:line="360" w:lineRule="auto"/>
        <w:ind w:firstLine="238"/>
        <w:jc w:val="left"/>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Stk. 3.</w:t>
      </w:r>
      <w:r w:rsidR="002128F7" w:rsidRPr="00D253F0">
        <w:rPr>
          <w:rFonts w:ascii="Times New Roman" w:eastAsia="Times New Roman" w:hAnsi="Times New Roman" w:cs="Times New Roman"/>
          <w:i/>
          <w:sz w:val="24"/>
          <w:szCs w:val="24"/>
          <w:lang w:eastAsia="da-DK"/>
        </w:rPr>
        <w:t xml:space="preserve"> </w:t>
      </w:r>
      <w:r w:rsidR="002128F7" w:rsidRPr="00D253F0">
        <w:rPr>
          <w:rFonts w:ascii="Times New Roman" w:eastAsia="Times New Roman" w:hAnsi="Times New Roman" w:cs="Times New Roman"/>
          <w:iCs/>
          <w:sz w:val="24"/>
          <w:szCs w:val="24"/>
          <w:lang w:eastAsia="da-DK"/>
        </w:rPr>
        <w:t xml:space="preserve">Påbud efter stk. 1, nr. 1, </w:t>
      </w:r>
      <w:r w:rsidR="002128F7">
        <w:rPr>
          <w:rFonts w:ascii="Times New Roman" w:eastAsia="Times New Roman" w:hAnsi="Times New Roman" w:cs="Times New Roman"/>
          <w:iCs/>
          <w:sz w:val="24"/>
          <w:szCs w:val="24"/>
          <w:lang w:eastAsia="da-DK"/>
        </w:rPr>
        <w:t>gives for</w:t>
      </w:r>
      <w:r w:rsidR="002128F7" w:rsidRPr="00D253F0">
        <w:rPr>
          <w:rFonts w:ascii="Times New Roman" w:eastAsia="Times New Roman" w:hAnsi="Times New Roman" w:cs="Times New Roman"/>
          <w:iCs/>
          <w:sz w:val="24"/>
          <w:szCs w:val="24"/>
          <w:lang w:eastAsia="da-DK"/>
        </w:rPr>
        <w:t xml:space="preserve"> et tidsrum fra 1 måned til 5 år eller indtil videre.</w:t>
      </w:r>
    </w:p>
    <w:p w14:paraId="3093ACBE" w14:textId="77777777" w:rsidR="007C1691" w:rsidRPr="00796736" w:rsidRDefault="007C1691" w:rsidP="00A802A5">
      <w:pPr>
        <w:spacing w:line="360" w:lineRule="auto"/>
        <w:ind w:firstLine="238"/>
        <w:jc w:val="left"/>
        <w:rPr>
          <w:rFonts w:ascii="Times New Roman" w:eastAsia="Times New Roman" w:hAnsi="Times New Roman" w:cs="Times New Roman"/>
          <w:iCs/>
          <w:sz w:val="24"/>
          <w:szCs w:val="24"/>
          <w:lang w:eastAsia="da-DK"/>
        </w:rPr>
      </w:pPr>
    </w:p>
    <w:p w14:paraId="77A1D173" w14:textId="651804AC" w:rsidR="0042556A" w:rsidRPr="002128F7" w:rsidRDefault="0042556A" w:rsidP="00370497">
      <w:pPr>
        <w:pStyle w:val="Typografi1"/>
        <w:ind w:left="0" w:firstLine="238"/>
        <w:rPr>
          <w:rFonts w:ascii="Times New Roman" w:hAnsi="Times New Roman" w:cs="Times New Roman"/>
          <w:sz w:val="24"/>
          <w:szCs w:val="24"/>
          <w:lang w:eastAsia="da-DK"/>
        </w:rPr>
      </w:pPr>
      <w:bookmarkStart w:id="396" w:name="_Ref236987494"/>
      <w:bookmarkStart w:id="397" w:name="_Ref244787908"/>
      <w:bookmarkStart w:id="398" w:name="_Toc244879090"/>
      <w:bookmarkStart w:id="399" w:name="_Toc244880614"/>
      <w:r w:rsidRPr="00796736">
        <w:rPr>
          <w:rFonts w:ascii="Times New Roman" w:hAnsi="Times New Roman" w:cs="Times New Roman"/>
          <w:sz w:val="24"/>
          <w:szCs w:val="24"/>
          <w:lang w:eastAsia="da-DK"/>
        </w:rPr>
        <w:t>A</w:t>
      </w:r>
      <w:bookmarkEnd w:id="396"/>
      <w:r w:rsidR="002128F7" w:rsidRPr="00D253F0">
        <w:rPr>
          <w:rFonts w:ascii="Times New Roman" w:hAnsi="Times New Roman" w:cs="Times New Roman"/>
          <w:sz w:val="24"/>
          <w:szCs w:val="24"/>
          <w:lang w:eastAsia="da-DK"/>
        </w:rPr>
        <w:t xml:space="preserve">dvokatnævnet kan efter indstilling fra Advokatrådet påbyde personer, som er dømt for </w:t>
      </w:r>
      <w:r w:rsidR="002128F7" w:rsidRPr="00D253F0">
        <w:rPr>
          <w:rFonts w:ascii="Times New Roman" w:eastAsia="Times New Roman" w:hAnsi="Times New Roman" w:cs="Times New Roman"/>
          <w:iCs/>
          <w:sz w:val="24"/>
          <w:szCs w:val="24"/>
          <w:lang w:eastAsia="da-DK"/>
        </w:rPr>
        <w:t xml:space="preserve">overtrædelse af straffeloven §§ 114 b, 290 og 290 a eller de forudgående </w:t>
      </w:r>
      <w:r w:rsidR="002128F7" w:rsidRPr="00D253F0">
        <w:rPr>
          <w:rFonts w:ascii="Times New Roman" w:hAnsi="Times New Roman" w:cs="Times New Roman"/>
          <w:sz w:val="24"/>
          <w:szCs w:val="24"/>
        </w:rPr>
        <w:t>lovovertrædelser, og som er reel ejer i et fællesskab af advokater eller et advokatselskab,</w:t>
      </w:r>
      <w:r w:rsidR="002128F7">
        <w:rPr>
          <w:rFonts w:ascii="Times New Roman" w:hAnsi="Times New Roman" w:cs="Times New Roman"/>
          <w:sz w:val="24"/>
          <w:szCs w:val="24"/>
        </w:rPr>
        <w:t xml:space="preserve"> at ophøre med at være reel ejer, herunder ved om nødvendigt at </w:t>
      </w:r>
      <w:r w:rsidR="002128F7" w:rsidRPr="00D253F0">
        <w:rPr>
          <w:rFonts w:ascii="Times New Roman" w:hAnsi="Times New Roman" w:cs="Times New Roman"/>
          <w:sz w:val="24"/>
          <w:szCs w:val="24"/>
        </w:rPr>
        <w:t>afhænde ejerandele eller kapitalandele i det det pågældende fællesskab eller selskab.</w:t>
      </w:r>
      <w:bookmarkEnd w:id="397"/>
      <w:bookmarkEnd w:id="398"/>
      <w:bookmarkEnd w:id="399"/>
      <w:r w:rsidR="002128F7" w:rsidRPr="00D253F0">
        <w:rPr>
          <w:rFonts w:ascii="Times New Roman" w:hAnsi="Times New Roman" w:cs="Times New Roman"/>
          <w:sz w:val="24"/>
          <w:szCs w:val="24"/>
          <w:lang w:eastAsia="da-DK"/>
        </w:rPr>
        <w:t xml:space="preserve"> </w:t>
      </w:r>
    </w:p>
    <w:p w14:paraId="4E9A45F2" w14:textId="77777777" w:rsidR="00033788" w:rsidRPr="00796736" w:rsidRDefault="00033788" w:rsidP="00A802A5">
      <w:pPr>
        <w:spacing w:line="360" w:lineRule="auto"/>
        <w:rPr>
          <w:rFonts w:ascii="Times New Roman" w:eastAsia="Times New Roman" w:hAnsi="Times New Roman" w:cs="Times New Roman"/>
          <w:iCs/>
          <w:sz w:val="24"/>
          <w:szCs w:val="24"/>
          <w:lang w:eastAsia="da-DK"/>
        </w:rPr>
      </w:pPr>
    </w:p>
    <w:p w14:paraId="5634D01E" w14:textId="54174585" w:rsidR="007C1691" w:rsidRPr="00796736" w:rsidRDefault="007C1691" w:rsidP="00370497">
      <w:pPr>
        <w:pStyle w:val="Typografi1"/>
        <w:ind w:left="0" w:firstLine="238"/>
        <w:rPr>
          <w:rFonts w:ascii="Times New Roman" w:hAnsi="Times New Roman" w:cs="Times New Roman"/>
          <w:sz w:val="24"/>
          <w:szCs w:val="24"/>
          <w:lang w:eastAsia="da-DK"/>
        </w:rPr>
      </w:pPr>
      <w:bookmarkStart w:id="400" w:name="_Ref236998578"/>
      <w:bookmarkStart w:id="401" w:name="_Ref239435504"/>
      <w:bookmarkStart w:id="402" w:name="_Toc244879091"/>
      <w:bookmarkStart w:id="403" w:name="_Toc244880615"/>
      <w:r w:rsidRPr="00796736">
        <w:rPr>
          <w:rFonts w:ascii="Times New Roman" w:hAnsi="Times New Roman" w:cs="Times New Roman"/>
          <w:sz w:val="24"/>
          <w:szCs w:val="24"/>
          <w:lang w:eastAsia="da-DK"/>
        </w:rPr>
        <w:t>Advoka</w:t>
      </w:r>
      <w:r w:rsidR="002128F7">
        <w:rPr>
          <w:rFonts w:ascii="Times New Roman" w:hAnsi="Times New Roman" w:cs="Times New Roman"/>
          <w:sz w:val="24"/>
          <w:szCs w:val="24"/>
          <w:lang w:eastAsia="da-DK"/>
        </w:rPr>
        <w:t>tnævnet</w:t>
      </w:r>
      <w:r w:rsidRPr="00796736">
        <w:rPr>
          <w:rFonts w:ascii="Times New Roman" w:hAnsi="Times New Roman" w:cs="Times New Roman"/>
          <w:sz w:val="24"/>
          <w:szCs w:val="24"/>
          <w:lang w:eastAsia="da-DK"/>
        </w:rPr>
        <w:t xml:space="preserve"> kan </w:t>
      </w:r>
      <w:bookmarkStart w:id="404" w:name="_Hlk236921676"/>
      <w:r w:rsidRPr="00796736">
        <w:rPr>
          <w:rFonts w:ascii="Times New Roman" w:hAnsi="Times New Roman" w:cs="Times New Roman"/>
          <w:sz w:val="24"/>
          <w:szCs w:val="24"/>
          <w:lang w:eastAsia="da-DK"/>
        </w:rPr>
        <w:t>under</w:t>
      </w:r>
      <w:r w:rsidR="002128F7">
        <w:rPr>
          <w:rFonts w:ascii="Times New Roman" w:hAnsi="Times New Roman" w:cs="Times New Roman"/>
          <w:sz w:val="24"/>
          <w:szCs w:val="24"/>
          <w:lang w:eastAsia="da-DK"/>
        </w:rPr>
        <w:t xml:space="preserve"> </w:t>
      </w:r>
      <w:r w:rsidR="0042556A" w:rsidRPr="00796736">
        <w:rPr>
          <w:rFonts w:ascii="Times New Roman" w:hAnsi="Times New Roman" w:cs="Times New Roman"/>
          <w:sz w:val="24"/>
          <w:szCs w:val="24"/>
          <w:lang w:eastAsia="da-DK"/>
        </w:rPr>
        <w:t>nævnets</w:t>
      </w:r>
      <w:r w:rsidRPr="00796736">
        <w:rPr>
          <w:rFonts w:ascii="Times New Roman" w:hAnsi="Times New Roman" w:cs="Times New Roman"/>
          <w:sz w:val="24"/>
          <w:szCs w:val="24"/>
          <w:lang w:eastAsia="da-DK"/>
        </w:rPr>
        <w:t xml:space="preserve"> behandling af en sag efter §</w:t>
      </w:r>
      <w:r w:rsidR="00BA2036" w:rsidRPr="00796736">
        <w:rPr>
          <w:rFonts w:ascii="Times New Roman" w:hAnsi="Times New Roman" w:cs="Times New Roman"/>
          <w:sz w:val="24"/>
          <w:szCs w:val="24"/>
          <w:lang w:eastAsia="da-DK"/>
        </w:rPr>
        <w:fldChar w:fldCharType="begin"/>
      </w:r>
      <w:r w:rsidR="00BA2036" w:rsidRPr="00796736">
        <w:rPr>
          <w:rFonts w:ascii="Times New Roman" w:hAnsi="Times New Roman" w:cs="Times New Roman"/>
          <w:sz w:val="24"/>
          <w:szCs w:val="24"/>
          <w:lang w:eastAsia="da-DK"/>
        </w:rPr>
        <w:instrText xml:space="preserve"> REF _Ref236987484 \r \h </w:instrText>
      </w:r>
      <w:r w:rsidR="00F375BF" w:rsidRPr="00796736">
        <w:rPr>
          <w:rFonts w:ascii="Times New Roman" w:hAnsi="Times New Roman" w:cs="Times New Roman"/>
          <w:sz w:val="24"/>
          <w:szCs w:val="24"/>
          <w:lang w:eastAsia="da-DK"/>
        </w:rPr>
        <w:instrText xml:space="preserve"> \* MERGEFORMAT </w:instrText>
      </w:r>
      <w:r w:rsidR="00BA2036" w:rsidRPr="00796736">
        <w:rPr>
          <w:rFonts w:ascii="Times New Roman" w:hAnsi="Times New Roman" w:cs="Times New Roman"/>
          <w:sz w:val="24"/>
          <w:szCs w:val="24"/>
          <w:lang w:eastAsia="da-DK"/>
        </w:rPr>
      </w:r>
      <w:r w:rsidR="00BA203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0</w:t>
      </w:r>
      <w:r w:rsidR="00BA2036"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_Ref236987494 \r \h </w:instrText>
      </w:r>
      <w:r w:rsidR="00193A5F"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meddele advokaten et midlertidigt påbud, hvis rådet skønner, at der er en begrundet mistanke om, at betingelserne for meddelelse af påbud</w:t>
      </w:r>
      <w:r w:rsidR="00A76DBC" w:rsidRPr="00796736">
        <w:rPr>
          <w:rFonts w:ascii="Times New Roman" w:hAnsi="Times New Roman" w:cs="Times New Roman"/>
          <w:sz w:val="24"/>
          <w:szCs w:val="24"/>
          <w:lang w:eastAsia="da-DK"/>
        </w:rPr>
        <w:t xml:space="preserve"> efter</w:t>
      </w:r>
      <w:r w:rsidRPr="00796736">
        <w:rPr>
          <w:rFonts w:ascii="Times New Roman" w:hAnsi="Times New Roman" w:cs="Times New Roman"/>
          <w:sz w:val="24"/>
          <w:szCs w:val="24"/>
          <w:lang w:eastAsia="da-DK"/>
        </w:rPr>
        <w:t xml:space="preserve"> én af bestemmelserne er opfyldt, og hvis der er overhængende fare for, at advokaten under sagens behandling</w:t>
      </w:r>
      <w:r w:rsidR="00BA2036"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 xml:space="preserve">groft eller oftere gentagent vil foretage overtrædelser omfattet af </w:t>
      </w:r>
      <w:r w:rsidR="00BA2036" w:rsidRPr="00796736">
        <w:rPr>
          <w:rFonts w:ascii="Times New Roman" w:hAnsi="Times New Roman" w:cs="Times New Roman"/>
          <w:sz w:val="24"/>
          <w:szCs w:val="24"/>
          <w:lang w:eastAsia="da-DK"/>
        </w:rPr>
        <w:fldChar w:fldCharType="begin"/>
      </w:r>
      <w:r w:rsidR="00BA2036" w:rsidRPr="00796736">
        <w:rPr>
          <w:rFonts w:ascii="Times New Roman" w:hAnsi="Times New Roman" w:cs="Times New Roman"/>
          <w:sz w:val="24"/>
          <w:szCs w:val="24"/>
          <w:lang w:eastAsia="da-DK"/>
        </w:rPr>
        <w:instrText xml:space="preserve"> REF _Ref232609304 \r \h </w:instrText>
      </w:r>
      <w:r w:rsidR="00F375BF" w:rsidRPr="00796736">
        <w:rPr>
          <w:rFonts w:ascii="Times New Roman" w:hAnsi="Times New Roman" w:cs="Times New Roman"/>
          <w:sz w:val="24"/>
          <w:szCs w:val="24"/>
          <w:lang w:eastAsia="da-DK"/>
        </w:rPr>
        <w:instrText xml:space="preserve"> \* MERGEFORMAT </w:instrText>
      </w:r>
      <w:r w:rsidR="00BA2036" w:rsidRPr="00796736">
        <w:rPr>
          <w:rFonts w:ascii="Times New Roman" w:hAnsi="Times New Roman" w:cs="Times New Roman"/>
          <w:sz w:val="24"/>
          <w:szCs w:val="24"/>
          <w:lang w:eastAsia="da-DK"/>
        </w:rPr>
      </w:r>
      <w:r w:rsidR="00BA203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00BA2036"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1, nr. 1.</w:t>
      </w:r>
      <w:bookmarkEnd w:id="400"/>
      <w:bookmarkEnd w:id="404"/>
      <w:r w:rsidR="00A76DBC" w:rsidRPr="00796736">
        <w:rPr>
          <w:rFonts w:ascii="Times New Roman" w:hAnsi="Times New Roman" w:cs="Times New Roman"/>
          <w:sz w:val="24"/>
          <w:szCs w:val="24"/>
          <w:lang w:eastAsia="da-DK"/>
        </w:rPr>
        <w:t xml:space="preserve"> Advokat</w:t>
      </w:r>
      <w:r w:rsidR="0042556A" w:rsidRPr="00796736">
        <w:rPr>
          <w:rFonts w:ascii="Times New Roman" w:hAnsi="Times New Roman" w:cs="Times New Roman"/>
          <w:sz w:val="24"/>
          <w:szCs w:val="24"/>
          <w:lang w:eastAsia="da-DK"/>
        </w:rPr>
        <w:t>nævnets</w:t>
      </w:r>
      <w:r w:rsidR="00A76DBC" w:rsidRPr="00796736">
        <w:rPr>
          <w:rFonts w:ascii="Times New Roman" w:hAnsi="Times New Roman" w:cs="Times New Roman"/>
          <w:sz w:val="24"/>
          <w:szCs w:val="24"/>
          <w:lang w:eastAsia="da-DK"/>
        </w:rPr>
        <w:t xml:space="preserve"> afgørelse efter 1. pkt. varer, indtil Advokat</w:t>
      </w:r>
      <w:r w:rsidR="002128F7">
        <w:rPr>
          <w:rFonts w:ascii="Times New Roman" w:hAnsi="Times New Roman" w:cs="Times New Roman"/>
          <w:sz w:val="24"/>
          <w:szCs w:val="24"/>
          <w:lang w:eastAsia="da-DK"/>
        </w:rPr>
        <w:t>nævnets</w:t>
      </w:r>
      <w:r w:rsidR="00A76DBC" w:rsidRPr="00796736">
        <w:rPr>
          <w:rFonts w:ascii="Times New Roman" w:hAnsi="Times New Roman" w:cs="Times New Roman"/>
          <w:sz w:val="24"/>
          <w:szCs w:val="24"/>
          <w:lang w:eastAsia="da-DK"/>
        </w:rPr>
        <w:t xml:space="preserve"> afgørelse i sagen efter §</w:t>
      </w:r>
      <w:r w:rsidR="00BA2036" w:rsidRPr="00796736">
        <w:rPr>
          <w:rFonts w:ascii="Times New Roman" w:hAnsi="Times New Roman" w:cs="Times New Roman"/>
          <w:sz w:val="24"/>
          <w:szCs w:val="24"/>
          <w:lang w:eastAsia="da-DK"/>
        </w:rPr>
        <w:fldChar w:fldCharType="begin"/>
      </w:r>
      <w:r w:rsidR="00BA2036" w:rsidRPr="00796736">
        <w:rPr>
          <w:rFonts w:ascii="Times New Roman" w:hAnsi="Times New Roman" w:cs="Times New Roman"/>
          <w:sz w:val="24"/>
          <w:szCs w:val="24"/>
          <w:lang w:eastAsia="da-DK"/>
        </w:rPr>
        <w:instrText xml:space="preserve"> REF _Ref236987484 \r \h </w:instrText>
      </w:r>
      <w:r w:rsidR="00F375BF" w:rsidRPr="00796736">
        <w:rPr>
          <w:rFonts w:ascii="Times New Roman" w:hAnsi="Times New Roman" w:cs="Times New Roman"/>
          <w:sz w:val="24"/>
          <w:szCs w:val="24"/>
          <w:lang w:eastAsia="da-DK"/>
        </w:rPr>
        <w:instrText xml:space="preserve"> \* MERGEFORMAT </w:instrText>
      </w:r>
      <w:r w:rsidR="00BA2036" w:rsidRPr="00796736">
        <w:rPr>
          <w:rFonts w:ascii="Times New Roman" w:hAnsi="Times New Roman" w:cs="Times New Roman"/>
          <w:sz w:val="24"/>
          <w:szCs w:val="24"/>
          <w:lang w:eastAsia="da-DK"/>
        </w:rPr>
      </w:r>
      <w:r w:rsidR="00BA203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0</w:t>
      </w:r>
      <w:r w:rsidR="00BA2036" w:rsidRPr="00796736">
        <w:rPr>
          <w:rFonts w:ascii="Times New Roman" w:hAnsi="Times New Roman" w:cs="Times New Roman"/>
          <w:sz w:val="24"/>
          <w:szCs w:val="24"/>
          <w:lang w:eastAsia="da-DK"/>
        </w:rPr>
        <w:fldChar w:fldCharType="end"/>
      </w:r>
      <w:r w:rsidR="00A76DBC" w:rsidRPr="00796736">
        <w:rPr>
          <w:rFonts w:ascii="Times New Roman" w:hAnsi="Times New Roman" w:cs="Times New Roman"/>
          <w:sz w:val="24"/>
          <w:szCs w:val="24"/>
          <w:lang w:eastAsia="da-DK"/>
        </w:rPr>
        <w:t>-</w:t>
      </w:r>
      <w:r w:rsidR="00A76DBC" w:rsidRPr="00796736">
        <w:rPr>
          <w:rFonts w:ascii="Times New Roman" w:hAnsi="Times New Roman" w:cs="Times New Roman"/>
          <w:sz w:val="24"/>
          <w:szCs w:val="24"/>
          <w:lang w:eastAsia="da-DK"/>
        </w:rPr>
        <w:fldChar w:fldCharType="begin"/>
      </w:r>
      <w:r w:rsidR="00A76DBC" w:rsidRPr="00796736">
        <w:rPr>
          <w:rFonts w:ascii="Times New Roman" w:hAnsi="Times New Roman" w:cs="Times New Roman"/>
          <w:sz w:val="24"/>
          <w:szCs w:val="24"/>
          <w:lang w:eastAsia="da-DK"/>
        </w:rPr>
        <w:instrText xml:space="preserve"> REF _Ref236987494 \r \h </w:instrText>
      </w:r>
      <w:r w:rsidR="00F375BF" w:rsidRPr="00796736">
        <w:rPr>
          <w:rFonts w:ascii="Times New Roman" w:hAnsi="Times New Roman" w:cs="Times New Roman"/>
          <w:sz w:val="24"/>
          <w:szCs w:val="24"/>
          <w:lang w:eastAsia="da-DK"/>
        </w:rPr>
        <w:instrText xml:space="preserve"> \* MERGEFORMAT </w:instrText>
      </w:r>
      <w:r w:rsidR="00A76DBC" w:rsidRPr="00796736">
        <w:rPr>
          <w:rFonts w:ascii="Times New Roman" w:hAnsi="Times New Roman" w:cs="Times New Roman"/>
          <w:sz w:val="24"/>
          <w:szCs w:val="24"/>
          <w:lang w:eastAsia="da-DK"/>
        </w:rPr>
      </w:r>
      <w:r w:rsidR="00A76DBC"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00A76DBC" w:rsidRPr="00796736">
        <w:rPr>
          <w:rFonts w:ascii="Times New Roman" w:hAnsi="Times New Roman" w:cs="Times New Roman"/>
          <w:sz w:val="24"/>
          <w:szCs w:val="24"/>
          <w:lang w:eastAsia="da-DK"/>
        </w:rPr>
        <w:fldChar w:fldCharType="end"/>
      </w:r>
      <w:r w:rsidR="00A76DBC" w:rsidRPr="00796736">
        <w:rPr>
          <w:rFonts w:ascii="Times New Roman" w:hAnsi="Times New Roman" w:cs="Times New Roman"/>
          <w:sz w:val="24"/>
          <w:szCs w:val="24"/>
          <w:lang w:eastAsia="da-DK"/>
        </w:rPr>
        <w:t xml:space="preserve"> er endelig, eller indtil Advokatnævnet har truffet afgørelse i medfør af </w:t>
      </w:r>
      <w:r w:rsidR="00A76DBC" w:rsidRPr="00796736">
        <w:rPr>
          <w:rFonts w:ascii="Times New Roman" w:hAnsi="Times New Roman" w:cs="Times New Roman"/>
          <w:sz w:val="24"/>
          <w:szCs w:val="24"/>
          <w:lang w:eastAsia="da-DK"/>
        </w:rPr>
        <w:fldChar w:fldCharType="begin"/>
      </w:r>
      <w:r w:rsidR="00A76DBC" w:rsidRPr="00796736">
        <w:rPr>
          <w:rFonts w:ascii="Times New Roman" w:hAnsi="Times New Roman" w:cs="Times New Roman"/>
          <w:sz w:val="24"/>
          <w:szCs w:val="24"/>
          <w:lang w:eastAsia="da-DK"/>
        </w:rPr>
        <w:instrText xml:space="preserve"> REF _Ref239435286 \r \h </w:instrText>
      </w:r>
      <w:r w:rsidR="00F375BF" w:rsidRPr="00796736">
        <w:rPr>
          <w:rFonts w:ascii="Times New Roman" w:hAnsi="Times New Roman" w:cs="Times New Roman"/>
          <w:sz w:val="24"/>
          <w:szCs w:val="24"/>
          <w:lang w:eastAsia="da-DK"/>
        </w:rPr>
        <w:instrText xml:space="preserve"> \* MERGEFORMAT </w:instrText>
      </w:r>
      <w:r w:rsidR="00A76DBC" w:rsidRPr="00796736">
        <w:rPr>
          <w:rFonts w:ascii="Times New Roman" w:hAnsi="Times New Roman" w:cs="Times New Roman"/>
          <w:sz w:val="24"/>
          <w:szCs w:val="24"/>
          <w:lang w:eastAsia="da-DK"/>
        </w:rPr>
      </w:r>
      <w:r w:rsidR="00A76DBC"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98</w:t>
      </w:r>
      <w:r w:rsidR="00A76DBC" w:rsidRPr="00796736">
        <w:rPr>
          <w:rFonts w:ascii="Times New Roman" w:hAnsi="Times New Roman" w:cs="Times New Roman"/>
          <w:sz w:val="24"/>
          <w:szCs w:val="24"/>
          <w:lang w:eastAsia="da-DK"/>
        </w:rPr>
        <w:fldChar w:fldCharType="end"/>
      </w:r>
      <w:r w:rsidR="00A76DBC" w:rsidRPr="00796736">
        <w:rPr>
          <w:rFonts w:ascii="Times New Roman" w:hAnsi="Times New Roman" w:cs="Times New Roman"/>
          <w:sz w:val="24"/>
          <w:szCs w:val="24"/>
          <w:lang w:eastAsia="da-DK"/>
        </w:rPr>
        <w:t xml:space="preserve">, stk. </w:t>
      </w:r>
      <w:r w:rsidR="0042556A" w:rsidRPr="00796736">
        <w:rPr>
          <w:rFonts w:ascii="Times New Roman" w:hAnsi="Times New Roman" w:cs="Times New Roman"/>
          <w:sz w:val="24"/>
          <w:szCs w:val="24"/>
          <w:lang w:eastAsia="da-DK"/>
        </w:rPr>
        <w:t>4</w:t>
      </w:r>
      <w:r w:rsidR="00A76DBC" w:rsidRPr="00796736">
        <w:rPr>
          <w:rFonts w:ascii="Times New Roman" w:hAnsi="Times New Roman" w:cs="Times New Roman"/>
          <w:sz w:val="24"/>
          <w:szCs w:val="24"/>
          <w:lang w:eastAsia="da-DK"/>
        </w:rPr>
        <w:t>.</w:t>
      </w:r>
      <w:bookmarkEnd w:id="401"/>
      <w:bookmarkEnd w:id="402"/>
      <w:bookmarkEnd w:id="403"/>
      <w:r w:rsidR="00A76DBC" w:rsidRPr="00796736">
        <w:rPr>
          <w:rFonts w:ascii="Times New Roman" w:hAnsi="Times New Roman" w:cs="Times New Roman"/>
          <w:sz w:val="24"/>
          <w:szCs w:val="24"/>
          <w:lang w:eastAsia="da-DK"/>
        </w:rPr>
        <w:t xml:space="preserve"> </w:t>
      </w:r>
    </w:p>
    <w:p w14:paraId="205D7543" w14:textId="77777777" w:rsidR="003715A2" w:rsidRPr="00796736" w:rsidRDefault="003715A2" w:rsidP="00A802A5">
      <w:pPr>
        <w:spacing w:line="360" w:lineRule="auto"/>
        <w:rPr>
          <w:rFonts w:ascii="Times New Roman" w:eastAsia="Times New Roman" w:hAnsi="Times New Roman" w:cs="Times New Roman"/>
          <w:iCs/>
          <w:sz w:val="24"/>
          <w:szCs w:val="24"/>
          <w:lang w:eastAsia="da-DK"/>
        </w:rPr>
      </w:pPr>
    </w:p>
    <w:p w14:paraId="58CF630A" w14:textId="44130E2F" w:rsidR="007D5593" w:rsidRPr="00796736" w:rsidRDefault="007D5593" w:rsidP="007D5593">
      <w:pPr>
        <w:pStyle w:val="Typografi1"/>
        <w:ind w:left="0" w:firstLine="238"/>
        <w:rPr>
          <w:rFonts w:ascii="Times New Roman" w:hAnsi="Times New Roman" w:cs="Times New Roman"/>
          <w:sz w:val="24"/>
          <w:szCs w:val="24"/>
          <w:lang w:eastAsia="da-DK"/>
        </w:rPr>
      </w:pPr>
      <w:bookmarkStart w:id="405" w:name="_Ref232609331"/>
      <w:bookmarkStart w:id="406" w:name="_Toc244879092"/>
      <w:bookmarkStart w:id="407" w:name="_Toc244880616"/>
      <w:r w:rsidRPr="00796736">
        <w:rPr>
          <w:rFonts w:ascii="Times New Roman" w:hAnsi="Times New Roman" w:cs="Times New Roman"/>
          <w:sz w:val="24"/>
          <w:szCs w:val="24"/>
          <w:lang w:eastAsia="da-DK"/>
        </w:rPr>
        <w:t xml:space="preserve">Administrative foranstaltninger efter </w:t>
      </w:r>
      <w:r w:rsidR="00C94446">
        <w:rPr>
          <w:rFonts w:ascii="Times New Roman" w:hAnsi="Times New Roman" w:cs="Times New Roman"/>
          <w:sz w:val="24"/>
          <w:szCs w:val="24"/>
          <w:lang w:eastAsia="da-DK"/>
        </w:rPr>
        <w:fldChar w:fldCharType="begin"/>
      </w:r>
      <w:r w:rsidR="00C94446">
        <w:rPr>
          <w:rFonts w:ascii="Times New Roman" w:hAnsi="Times New Roman" w:cs="Times New Roman"/>
          <w:sz w:val="24"/>
          <w:szCs w:val="24"/>
          <w:lang w:eastAsia="da-DK"/>
        </w:rPr>
        <w:instrText xml:space="preserve"> REF _Ref244787564 \r \h </w:instrText>
      </w:r>
      <w:r w:rsidR="00C94446">
        <w:rPr>
          <w:rFonts w:ascii="Times New Roman" w:hAnsi="Times New Roman" w:cs="Times New Roman"/>
          <w:sz w:val="24"/>
          <w:szCs w:val="24"/>
          <w:lang w:eastAsia="da-DK"/>
        </w:rPr>
      </w:r>
      <w:r w:rsidR="00C9444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102</w:t>
      </w:r>
      <w:r w:rsidR="00C9444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pkt., </w:t>
      </w:r>
      <w:r w:rsidR="00C94446">
        <w:rPr>
          <w:rFonts w:ascii="Times New Roman" w:hAnsi="Times New Roman" w:cs="Times New Roman"/>
          <w:sz w:val="24"/>
          <w:szCs w:val="24"/>
          <w:lang w:eastAsia="da-DK"/>
        </w:rPr>
        <w:fldChar w:fldCharType="begin"/>
      </w:r>
      <w:r w:rsidR="00C94446">
        <w:rPr>
          <w:rFonts w:ascii="Times New Roman" w:hAnsi="Times New Roman" w:cs="Times New Roman"/>
          <w:sz w:val="24"/>
          <w:szCs w:val="24"/>
          <w:lang w:eastAsia="da-DK"/>
        </w:rPr>
        <w:instrText xml:space="preserve"> REF _Ref244787574 \r \h </w:instrText>
      </w:r>
      <w:r w:rsidR="00C94446">
        <w:rPr>
          <w:rFonts w:ascii="Times New Roman" w:hAnsi="Times New Roman" w:cs="Times New Roman"/>
          <w:sz w:val="24"/>
          <w:szCs w:val="24"/>
          <w:lang w:eastAsia="da-DK"/>
        </w:rPr>
      </w:r>
      <w:r w:rsidR="00C9444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103</w:t>
      </w:r>
      <w:r w:rsidR="00C9444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00C94446">
        <w:rPr>
          <w:rFonts w:ascii="Times New Roman" w:hAnsi="Times New Roman" w:cs="Times New Roman"/>
          <w:sz w:val="24"/>
          <w:szCs w:val="24"/>
          <w:lang w:eastAsia="da-DK"/>
        </w:rPr>
        <w:fldChar w:fldCharType="begin"/>
      </w:r>
      <w:r w:rsidR="00C94446">
        <w:rPr>
          <w:rFonts w:ascii="Times New Roman" w:hAnsi="Times New Roman" w:cs="Times New Roman"/>
          <w:sz w:val="24"/>
          <w:szCs w:val="24"/>
          <w:lang w:eastAsia="da-DK"/>
        </w:rPr>
        <w:instrText xml:space="preserve"> REF _Ref236998239 \r \h </w:instrText>
      </w:r>
      <w:r w:rsidR="00C94446">
        <w:rPr>
          <w:rFonts w:ascii="Times New Roman" w:hAnsi="Times New Roman" w:cs="Times New Roman"/>
          <w:sz w:val="24"/>
          <w:szCs w:val="24"/>
          <w:lang w:eastAsia="da-DK"/>
        </w:rPr>
      </w:r>
      <w:r w:rsidR="00C9444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105</w:t>
      </w:r>
      <w:r w:rsidR="00C94446">
        <w:rPr>
          <w:rFonts w:ascii="Times New Roman" w:hAnsi="Times New Roman" w:cs="Times New Roman"/>
          <w:sz w:val="24"/>
          <w:szCs w:val="24"/>
          <w:lang w:eastAsia="da-DK"/>
        </w:rPr>
        <w:fldChar w:fldCharType="end"/>
      </w:r>
      <w:r>
        <w:rPr>
          <w:rFonts w:ascii="Times New Roman" w:hAnsi="Times New Roman" w:cs="Times New Roman"/>
          <w:sz w:val="24"/>
          <w:szCs w:val="24"/>
          <w:lang w:eastAsia="da-DK"/>
        </w:rPr>
        <w:t>, stk. 1,</w:t>
      </w:r>
      <w:r w:rsidRPr="00796736">
        <w:rPr>
          <w:rFonts w:ascii="Times New Roman" w:hAnsi="Times New Roman" w:cs="Times New Roman"/>
          <w:sz w:val="24"/>
          <w:szCs w:val="24"/>
          <w:lang w:eastAsia="da-DK"/>
        </w:rPr>
        <w:t xml:space="preserve"> og </w:t>
      </w:r>
      <w:r w:rsidR="00C94446">
        <w:rPr>
          <w:rFonts w:ascii="Times New Roman" w:hAnsi="Times New Roman" w:cs="Times New Roman"/>
          <w:sz w:val="24"/>
          <w:szCs w:val="24"/>
          <w:lang w:eastAsia="da-DK"/>
        </w:rPr>
        <w:fldChar w:fldCharType="begin"/>
      </w:r>
      <w:r w:rsidR="00C94446">
        <w:rPr>
          <w:rFonts w:ascii="Times New Roman" w:hAnsi="Times New Roman" w:cs="Times New Roman"/>
          <w:sz w:val="24"/>
          <w:szCs w:val="24"/>
          <w:lang w:eastAsia="da-DK"/>
        </w:rPr>
        <w:instrText xml:space="preserve"> REF _Ref239435504 \r \h </w:instrText>
      </w:r>
      <w:r w:rsidR="00C94446">
        <w:rPr>
          <w:rFonts w:ascii="Times New Roman" w:hAnsi="Times New Roman" w:cs="Times New Roman"/>
          <w:sz w:val="24"/>
          <w:szCs w:val="24"/>
          <w:lang w:eastAsia="da-DK"/>
        </w:rPr>
      </w:r>
      <w:r w:rsidR="00C9444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107</w:t>
      </w:r>
      <w:r w:rsidR="00C94446">
        <w:rPr>
          <w:rFonts w:ascii="Times New Roman" w:hAnsi="Times New Roman" w:cs="Times New Roman"/>
          <w:sz w:val="24"/>
          <w:szCs w:val="24"/>
          <w:lang w:eastAsia="da-DK"/>
        </w:rPr>
        <w:fldChar w:fldCharType="end"/>
      </w:r>
      <w:r w:rsidR="00C9444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 xml:space="preserve">jf. </w:t>
      </w:r>
      <w:r w:rsidR="00C94446">
        <w:rPr>
          <w:rFonts w:ascii="Times New Roman" w:hAnsi="Times New Roman" w:cs="Times New Roman"/>
          <w:sz w:val="24"/>
          <w:szCs w:val="24"/>
          <w:lang w:eastAsia="da-DK"/>
        </w:rPr>
        <w:fldChar w:fldCharType="begin"/>
      </w:r>
      <w:r w:rsidR="00C94446">
        <w:rPr>
          <w:rFonts w:ascii="Times New Roman" w:hAnsi="Times New Roman" w:cs="Times New Roman"/>
          <w:sz w:val="24"/>
          <w:szCs w:val="24"/>
          <w:lang w:eastAsia="da-DK"/>
        </w:rPr>
        <w:instrText xml:space="preserve"> REF _Ref244787574 \r \h </w:instrText>
      </w:r>
      <w:r w:rsidR="00C94446">
        <w:rPr>
          <w:rFonts w:ascii="Times New Roman" w:hAnsi="Times New Roman" w:cs="Times New Roman"/>
          <w:sz w:val="24"/>
          <w:szCs w:val="24"/>
          <w:lang w:eastAsia="da-DK"/>
        </w:rPr>
      </w:r>
      <w:r w:rsidR="00C9444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103</w:t>
      </w:r>
      <w:r w:rsidR="00C9444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00C94446">
        <w:rPr>
          <w:rFonts w:ascii="Times New Roman" w:hAnsi="Times New Roman" w:cs="Times New Roman"/>
          <w:sz w:val="24"/>
          <w:szCs w:val="24"/>
          <w:lang w:eastAsia="da-DK"/>
        </w:rPr>
        <w:fldChar w:fldCharType="begin"/>
      </w:r>
      <w:r w:rsidR="00C94446">
        <w:rPr>
          <w:rFonts w:ascii="Times New Roman" w:hAnsi="Times New Roman" w:cs="Times New Roman"/>
          <w:sz w:val="24"/>
          <w:szCs w:val="24"/>
          <w:lang w:eastAsia="da-DK"/>
        </w:rPr>
        <w:instrText xml:space="preserve"> REF _Ref236998239 \r \h </w:instrText>
      </w:r>
      <w:r w:rsidR="00C94446">
        <w:rPr>
          <w:rFonts w:ascii="Times New Roman" w:hAnsi="Times New Roman" w:cs="Times New Roman"/>
          <w:sz w:val="24"/>
          <w:szCs w:val="24"/>
          <w:lang w:eastAsia="da-DK"/>
        </w:rPr>
      </w:r>
      <w:r w:rsidR="00C9444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105</w:t>
      </w:r>
      <w:r w:rsidR="00C9444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Pr>
          <w:rFonts w:ascii="Times New Roman" w:hAnsi="Times New Roman" w:cs="Times New Roman"/>
          <w:sz w:val="24"/>
          <w:szCs w:val="24"/>
          <w:lang w:eastAsia="da-DK"/>
        </w:rPr>
        <w:t xml:space="preserve"> stk. 1,</w:t>
      </w:r>
      <w:r w:rsidRPr="00796736">
        <w:rPr>
          <w:rFonts w:ascii="Times New Roman" w:hAnsi="Times New Roman" w:cs="Times New Roman"/>
          <w:sz w:val="24"/>
          <w:szCs w:val="24"/>
          <w:lang w:eastAsia="da-DK"/>
        </w:rPr>
        <w:t xml:space="preserve"> jf.</w:t>
      </w:r>
      <w:r>
        <w:rPr>
          <w:rFonts w:ascii="Times New Roman" w:hAnsi="Times New Roman" w:cs="Times New Roman"/>
          <w:sz w:val="24"/>
          <w:szCs w:val="24"/>
          <w:lang w:eastAsia="da-DK"/>
        </w:rPr>
        <w:t xml:space="preserve"> </w:t>
      </w:r>
      <w:r w:rsidR="00C94446">
        <w:rPr>
          <w:rFonts w:ascii="Times New Roman" w:hAnsi="Times New Roman" w:cs="Times New Roman"/>
          <w:sz w:val="24"/>
          <w:szCs w:val="24"/>
          <w:lang w:eastAsia="da-DK"/>
        </w:rPr>
        <w:fldChar w:fldCharType="begin"/>
      </w:r>
      <w:r w:rsidR="00C94446">
        <w:rPr>
          <w:rFonts w:ascii="Times New Roman" w:hAnsi="Times New Roman" w:cs="Times New Roman"/>
          <w:sz w:val="24"/>
          <w:szCs w:val="24"/>
          <w:lang w:eastAsia="da-DK"/>
        </w:rPr>
        <w:instrText xml:space="preserve"> REF _Ref242893180 \r \h </w:instrText>
      </w:r>
      <w:r w:rsidR="00C94446">
        <w:rPr>
          <w:rFonts w:ascii="Times New Roman" w:hAnsi="Times New Roman" w:cs="Times New Roman"/>
          <w:sz w:val="24"/>
          <w:szCs w:val="24"/>
          <w:lang w:eastAsia="da-DK"/>
        </w:rPr>
      </w:r>
      <w:r w:rsidR="00C9444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00C9444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nr. 1, samt tvangsbøder efter </w:t>
      </w:r>
      <w:r w:rsidR="00C94446">
        <w:rPr>
          <w:rFonts w:ascii="Times New Roman" w:hAnsi="Times New Roman" w:cs="Times New Roman"/>
          <w:sz w:val="24"/>
          <w:szCs w:val="24"/>
          <w:lang w:eastAsia="da-DK"/>
        </w:rPr>
        <w:fldChar w:fldCharType="begin"/>
      </w:r>
      <w:r w:rsidR="00C94446">
        <w:rPr>
          <w:rFonts w:ascii="Times New Roman" w:hAnsi="Times New Roman" w:cs="Times New Roman"/>
          <w:sz w:val="24"/>
          <w:szCs w:val="24"/>
          <w:lang w:eastAsia="da-DK"/>
        </w:rPr>
        <w:instrText xml:space="preserve"> REF _Ref239757742 \r \h </w:instrText>
      </w:r>
      <w:r w:rsidR="00C94446">
        <w:rPr>
          <w:rFonts w:ascii="Times New Roman" w:hAnsi="Times New Roman" w:cs="Times New Roman"/>
          <w:sz w:val="24"/>
          <w:szCs w:val="24"/>
          <w:lang w:eastAsia="da-DK"/>
        </w:rPr>
      </w:r>
      <w:r w:rsidR="00C9444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138</w:t>
      </w:r>
      <w:r w:rsidR="00C9444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og beslutninger om at overdrage en sag til politimæssig efterforskning skal offentliggøres af Advokatrådet på Advokatsamfundets hjemmeside, jf. dog stk. 4. Offentliggørelsen skal indeholde oplysninger om overtrædelsens type og art samt ved tvangsbøder deres beløb. Offentliggørelsen skal endvidere indeholde oplysning om advokatens navn, jf. dog stk. 3 og 4.</w:t>
      </w:r>
      <w:bookmarkEnd w:id="405"/>
      <w:bookmarkEnd w:id="406"/>
      <w:bookmarkEnd w:id="407"/>
      <w:r w:rsidRPr="00796736">
        <w:rPr>
          <w:rFonts w:ascii="Times New Roman" w:hAnsi="Times New Roman" w:cs="Times New Roman"/>
          <w:sz w:val="24"/>
          <w:szCs w:val="24"/>
          <w:lang w:eastAsia="da-DK"/>
        </w:rPr>
        <w:t xml:space="preserve"> </w:t>
      </w:r>
    </w:p>
    <w:p w14:paraId="08B42D47" w14:textId="4FE463CB" w:rsidR="003715A2" w:rsidRPr="00796736" w:rsidRDefault="003715A2" w:rsidP="00370497">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2. </w:t>
      </w:r>
      <w:r w:rsidR="0042556A" w:rsidRPr="00796736">
        <w:rPr>
          <w:rFonts w:ascii="Times New Roman" w:eastAsia="Times New Roman" w:hAnsi="Times New Roman" w:cs="Times New Roman"/>
          <w:iCs/>
          <w:sz w:val="24"/>
          <w:szCs w:val="24"/>
          <w:lang w:eastAsia="da-DK"/>
        </w:rPr>
        <w:t xml:space="preserve">Offentliggørelse efter stk. 1 skal ske umiddelbart efter, at de ansvarlige er underrettet herom, jf. dog stk. 5, og forbliver på Advokatsamfundets hjemmeside i 5 år efter offentliggørelsen. Personoplysninger indeholdt i offentliggørelsen må dog kun forblive på Advokatsamfundets hjemmeside i det nødvendige tidsrum.  </w:t>
      </w:r>
    </w:p>
    <w:p w14:paraId="0339C208" w14:textId="2F1B6098" w:rsidR="003715A2" w:rsidRPr="00796736" w:rsidRDefault="003715A2" w:rsidP="00370497">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3. </w:t>
      </w:r>
      <w:r w:rsidRPr="00796736">
        <w:rPr>
          <w:rFonts w:ascii="Times New Roman" w:eastAsia="Times New Roman" w:hAnsi="Times New Roman" w:cs="Times New Roman"/>
          <w:iCs/>
          <w:sz w:val="24"/>
          <w:szCs w:val="24"/>
          <w:lang w:eastAsia="da-DK"/>
        </w:rPr>
        <w:t>Advokatrådet kan undlade at lade offentliggørelse efter stk. 1 omfatte advokaten</w:t>
      </w:r>
      <w:r w:rsidR="00594C1C" w:rsidRPr="00796736">
        <w:rPr>
          <w:rFonts w:ascii="Times New Roman" w:eastAsia="Times New Roman" w:hAnsi="Times New Roman" w:cs="Times New Roman"/>
          <w:iCs/>
          <w:sz w:val="24"/>
          <w:szCs w:val="24"/>
          <w:lang w:eastAsia="da-DK"/>
        </w:rPr>
        <w:t xml:space="preserve">s </w:t>
      </w:r>
      <w:r w:rsidRPr="00796736">
        <w:rPr>
          <w:rFonts w:ascii="Times New Roman" w:eastAsia="Times New Roman" w:hAnsi="Times New Roman" w:cs="Times New Roman"/>
          <w:iCs/>
          <w:sz w:val="24"/>
          <w:szCs w:val="24"/>
          <w:lang w:eastAsia="da-DK"/>
        </w:rPr>
        <w:t>navn, når der er tale om foranstaltninger af efterforskningsmæssig karakter</w:t>
      </w:r>
      <w:r w:rsidR="00BA2036" w:rsidRPr="00796736">
        <w:rPr>
          <w:rFonts w:ascii="Times New Roman" w:eastAsia="Times New Roman" w:hAnsi="Times New Roman" w:cs="Times New Roman"/>
          <w:iCs/>
          <w:sz w:val="24"/>
          <w:szCs w:val="24"/>
          <w:lang w:eastAsia="da-DK"/>
        </w:rPr>
        <w:t xml:space="preserve">. </w:t>
      </w:r>
    </w:p>
    <w:p w14:paraId="59D55A16" w14:textId="01482AD2" w:rsidR="003715A2" w:rsidRPr="00796736" w:rsidRDefault="003715A2" w:rsidP="00370497">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4. </w:t>
      </w:r>
      <w:r w:rsidRPr="00796736">
        <w:rPr>
          <w:rFonts w:ascii="Times New Roman" w:eastAsia="Times New Roman" w:hAnsi="Times New Roman" w:cs="Times New Roman"/>
          <w:iCs/>
          <w:sz w:val="24"/>
          <w:szCs w:val="24"/>
          <w:lang w:eastAsia="da-DK"/>
        </w:rPr>
        <w:t>Offentliggørelse efter stk. 1 kan udsættes og undergives anonymisering eller helt undlades, hvis offentliggørelsen af den pågældende advokat</w:t>
      </w:r>
      <w:r w:rsidR="00594C1C" w:rsidRPr="00796736">
        <w:rPr>
          <w:rFonts w:ascii="Times New Roman" w:eastAsia="Times New Roman" w:hAnsi="Times New Roman" w:cs="Times New Roman"/>
          <w:iCs/>
          <w:sz w:val="24"/>
          <w:szCs w:val="24"/>
          <w:lang w:eastAsia="da-DK"/>
        </w:rPr>
        <w:t xml:space="preserve">s </w:t>
      </w:r>
      <w:r w:rsidRPr="00796736">
        <w:rPr>
          <w:rFonts w:ascii="Times New Roman" w:eastAsia="Times New Roman" w:hAnsi="Times New Roman" w:cs="Times New Roman"/>
          <w:iCs/>
          <w:sz w:val="24"/>
          <w:szCs w:val="24"/>
          <w:lang w:eastAsia="da-DK"/>
        </w:rPr>
        <w:t>identitet eller personoplysninger ud fra en konkret vurdering er uforholdsmæssig, efterforskningsmæssige hensyn taler imod offentliggørelse eller offentliggørelsen ikke står i rimeligt forhold til overtrædelsens karakter.</w:t>
      </w:r>
    </w:p>
    <w:p w14:paraId="68EDEC23" w14:textId="219FB992" w:rsidR="003715A2" w:rsidRPr="00796736" w:rsidRDefault="003715A2" w:rsidP="00370497">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Stk. 5.</w:t>
      </w:r>
      <w:r w:rsidRPr="00796736">
        <w:rPr>
          <w:rFonts w:ascii="Times New Roman" w:eastAsia="Times New Roman" w:hAnsi="Times New Roman" w:cs="Times New Roman"/>
          <w:iCs/>
          <w:sz w:val="24"/>
          <w:szCs w:val="24"/>
          <w:lang w:eastAsia="da-DK"/>
        </w:rPr>
        <w:t xml:space="preserve"> </w:t>
      </w:r>
      <w:r w:rsidR="0042556A" w:rsidRPr="00796736">
        <w:rPr>
          <w:rFonts w:ascii="Times New Roman" w:eastAsia="Times New Roman" w:hAnsi="Times New Roman" w:cs="Times New Roman"/>
          <w:iCs/>
          <w:sz w:val="24"/>
          <w:szCs w:val="24"/>
          <w:lang w:eastAsia="da-DK"/>
        </w:rPr>
        <w:t xml:space="preserve">Er Advokatrådets påbud indbragt for Advokatnævnet eller er en administrativ foranstaltning iværksat af Advokatnævnet indbragt for retten, og har påbuddet eller foranstaltningen ikke til formål at afværge alvorlige, gentagne eller systematiske overtrædelser, udsætter Advokatrådet offentliggørelsen indtil udløbet af fristen for at indbringe sagen for Advokatnævnet eller retten.  </w:t>
      </w:r>
    </w:p>
    <w:p w14:paraId="0A88EC03" w14:textId="77777777" w:rsidR="003715A2" w:rsidRPr="00796736" w:rsidRDefault="003715A2" w:rsidP="00370497">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6. </w:t>
      </w:r>
      <w:r w:rsidRPr="00796736">
        <w:rPr>
          <w:rFonts w:ascii="Times New Roman" w:eastAsia="Times New Roman" w:hAnsi="Times New Roman" w:cs="Times New Roman"/>
          <w:iCs/>
          <w:sz w:val="24"/>
          <w:szCs w:val="24"/>
          <w:lang w:eastAsia="da-DK"/>
        </w:rPr>
        <w:t>Har Advokatrådet overgivet en sag til politimæssig efterforskning, og er der afsagt fældende dom eller vedtaget bøde, skal rådet offentliggøre dommen, bødevedtagelsen eller et resumé heraf, jf. dog stk. 4 og 5. Er dommen ikke endelig, skal dette fremgå af offentliggørelsen.</w:t>
      </w:r>
    </w:p>
    <w:p w14:paraId="41D2D4C7" w14:textId="4B18B879" w:rsidR="003715A2" w:rsidRPr="00796736" w:rsidRDefault="003715A2" w:rsidP="00370497">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7. </w:t>
      </w:r>
      <w:r w:rsidR="0042556A" w:rsidRPr="00796736">
        <w:rPr>
          <w:rFonts w:ascii="Times New Roman" w:eastAsia="Times New Roman" w:hAnsi="Times New Roman" w:cs="Times New Roman"/>
          <w:iCs/>
          <w:sz w:val="24"/>
          <w:szCs w:val="24"/>
          <w:lang w:eastAsia="da-DK"/>
        </w:rPr>
        <w:t>I sager, hvor Advokatrådet har offentliggjort en beslutning om at overgive en sag til politimæssig efterforskning efter stk. 1, og der træffes afgørelse om påtaleopgivelse eller tiltalefrafald eller påbuddet omgøres i Advokatnævnet eller der afsiges frifindende dom ved domstolene, kan rådet, hvis det bliver bekendt hermed, offentliggøre oplysninger herom på Advokatsamfundets hjemmeside. Advokaten skal indsende en kopi af afgørelsen om påtaleopgivelse eller tiltalefrafald eller en kopi af frifindende afgørelse eller dom til rådet samtidig med anmodning om offentliggørelse. Er påtaleopgivelsen, tiltalefrafaldet, afgørelsen eller dommen ikke endelig, skal det fremgå af offentliggørelsen. Modtager rådet dokumentation for, at sagen er afsluttet ved endelig påtaleopgivelse, tiltalefrafald eller afsigelse af endelig frifindende afgørelse eller dom, skal rådet fjerne alle oplysninger om beslutningen om at overgive sagen til politimæssig efterforskning og eventuelle efterfølgende domme i sagen fra Advokatsamfundets hjemmeside.</w:t>
      </w:r>
    </w:p>
    <w:p w14:paraId="5039BE25" w14:textId="37533098" w:rsidR="003715A2" w:rsidRPr="00796736" w:rsidRDefault="003715A2" w:rsidP="00370497">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8. </w:t>
      </w:r>
      <w:r w:rsidR="0042556A" w:rsidRPr="00796736">
        <w:rPr>
          <w:rFonts w:ascii="Times New Roman" w:eastAsia="Times New Roman" w:hAnsi="Times New Roman" w:cs="Times New Roman"/>
          <w:iCs/>
          <w:sz w:val="24"/>
          <w:szCs w:val="24"/>
          <w:lang w:eastAsia="da-DK"/>
        </w:rPr>
        <w:t>Advokatrådet skal ved en advokat som er frifundet, offentliggøre resultatet af anken eller genoptagelsen, hvis rådet bliver bekendt hermed. Advokaten skal indsende kopi af dommen i ankesagen eller den genoptagne sag. Er resultatet af anken eller den genoptagne sag et andet end resultatet af dommen offentliggjort i medfør af stk. 6, 1. pkt., kan rådet beslutte at fjerne dommen fra Advokatsamfundets hjemmeside.</w:t>
      </w:r>
    </w:p>
    <w:p w14:paraId="0AF64B20" w14:textId="5923B07C" w:rsidR="003715A2" w:rsidRPr="00796736" w:rsidRDefault="003715A2" w:rsidP="00370497">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w:t>
      </w:r>
      <w:r w:rsidR="0042556A" w:rsidRPr="00796736">
        <w:rPr>
          <w:rFonts w:ascii="Times New Roman" w:eastAsia="Times New Roman" w:hAnsi="Times New Roman" w:cs="Times New Roman"/>
          <w:i/>
          <w:sz w:val="24"/>
          <w:szCs w:val="24"/>
          <w:lang w:eastAsia="da-DK"/>
        </w:rPr>
        <w:t>9</w:t>
      </w:r>
      <w:r w:rsidRPr="00796736">
        <w:rPr>
          <w:rFonts w:ascii="Times New Roman" w:eastAsia="Times New Roman" w:hAnsi="Times New Roman" w:cs="Times New Roman"/>
          <w:i/>
          <w:sz w:val="24"/>
          <w:szCs w:val="24"/>
          <w:lang w:eastAsia="da-DK"/>
        </w:rPr>
        <w:t xml:space="preserve">. </w:t>
      </w:r>
      <w:r w:rsidR="0042556A" w:rsidRPr="00796736">
        <w:rPr>
          <w:rFonts w:ascii="Times New Roman" w:eastAsia="Times New Roman" w:hAnsi="Times New Roman" w:cs="Times New Roman"/>
          <w:iCs/>
          <w:sz w:val="24"/>
          <w:szCs w:val="24"/>
          <w:lang w:eastAsia="da-DK"/>
        </w:rPr>
        <w:t xml:space="preserve">Advokatrådet underretter AMLA om administrative -foranstaltninger iværksat efter denne lov, herunder om klager i forbindelse hermed og resultatet af disse. I tilfælde omfattet af </w:t>
      </w:r>
      <w:r w:rsidR="0042556A" w:rsidRPr="00796736">
        <w:rPr>
          <w:rFonts w:ascii="Times New Roman" w:eastAsia="Times New Roman" w:hAnsi="Times New Roman" w:cs="Times New Roman"/>
          <w:iCs/>
          <w:sz w:val="24"/>
          <w:szCs w:val="24"/>
          <w:lang w:eastAsia="da-DK"/>
        </w:rPr>
        <w:fldChar w:fldCharType="begin"/>
      </w:r>
      <w:r w:rsidR="0042556A" w:rsidRPr="00796736">
        <w:rPr>
          <w:rFonts w:ascii="Times New Roman" w:eastAsia="Times New Roman" w:hAnsi="Times New Roman" w:cs="Times New Roman"/>
          <w:iCs/>
          <w:sz w:val="24"/>
          <w:szCs w:val="24"/>
          <w:lang w:eastAsia="da-DK"/>
        </w:rPr>
        <w:instrText xml:space="preserve"> REF _Ref242807846 \r \h </w:instrText>
      </w:r>
      <w:r w:rsidR="00AB17CC" w:rsidRPr="00796736">
        <w:rPr>
          <w:rFonts w:ascii="Times New Roman" w:eastAsia="Times New Roman" w:hAnsi="Times New Roman" w:cs="Times New Roman"/>
          <w:iCs/>
          <w:sz w:val="24"/>
          <w:szCs w:val="24"/>
          <w:lang w:eastAsia="da-DK"/>
        </w:rPr>
        <w:instrText xml:space="preserve"> \* MERGEFORMAT </w:instrText>
      </w:r>
      <w:r w:rsidR="0042556A" w:rsidRPr="00796736">
        <w:rPr>
          <w:rFonts w:ascii="Times New Roman" w:eastAsia="Times New Roman" w:hAnsi="Times New Roman" w:cs="Times New Roman"/>
          <w:iCs/>
          <w:sz w:val="24"/>
          <w:szCs w:val="24"/>
          <w:lang w:eastAsia="da-DK"/>
        </w:rPr>
      </w:r>
      <w:r w:rsidR="0042556A"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99</w:t>
      </w:r>
      <w:r w:rsidR="0042556A" w:rsidRPr="00796736">
        <w:rPr>
          <w:rFonts w:ascii="Times New Roman" w:eastAsia="Times New Roman" w:hAnsi="Times New Roman" w:cs="Times New Roman"/>
          <w:iCs/>
          <w:sz w:val="24"/>
          <w:szCs w:val="24"/>
          <w:lang w:eastAsia="da-DK"/>
        </w:rPr>
        <w:fldChar w:fldCharType="end"/>
      </w:r>
      <w:r w:rsidR="0042556A" w:rsidRPr="00796736">
        <w:rPr>
          <w:rFonts w:ascii="Times New Roman" w:eastAsia="Times New Roman" w:hAnsi="Times New Roman" w:cs="Times New Roman"/>
          <w:iCs/>
          <w:sz w:val="24"/>
          <w:szCs w:val="24"/>
          <w:lang w:eastAsia="da-DK"/>
        </w:rPr>
        <w:t xml:space="preserve">, stk. 1, underretter rådet endvidere tilsynsorganerne i de lande, hvor advokaten tillige driver virksomhed.  </w:t>
      </w:r>
    </w:p>
    <w:p w14:paraId="1A823CE3" w14:textId="77777777" w:rsidR="0042556A" w:rsidRPr="00796736" w:rsidRDefault="0042556A" w:rsidP="00A802A5">
      <w:pPr>
        <w:spacing w:line="360" w:lineRule="auto"/>
        <w:ind w:firstLine="238"/>
        <w:rPr>
          <w:rFonts w:ascii="Times New Roman" w:eastAsia="Times New Roman" w:hAnsi="Times New Roman" w:cs="Times New Roman"/>
          <w:iCs/>
          <w:sz w:val="24"/>
          <w:szCs w:val="24"/>
          <w:lang w:eastAsia="da-DK"/>
        </w:rPr>
      </w:pPr>
    </w:p>
    <w:p w14:paraId="1E987096" w14:textId="77777777" w:rsidR="0042556A" w:rsidRPr="00796736" w:rsidRDefault="0042556A" w:rsidP="00370497">
      <w:pPr>
        <w:pStyle w:val="Typografi1"/>
        <w:ind w:left="0" w:firstLine="238"/>
        <w:rPr>
          <w:rFonts w:ascii="Times New Roman" w:hAnsi="Times New Roman" w:cs="Times New Roman"/>
          <w:sz w:val="24"/>
          <w:szCs w:val="24"/>
          <w:lang w:eastAsia="da-DK"/>
        </w:rPr>
      </w:pPr>
      <w:bookmarkStart w:id="408" w:name="_Ref239246753"/>
      <w:bookmarkStart w:id="409" w:name="_Ref241063798"/>
      <w:bookmarkStart w:id="410" w:name="_Toc244879093"/>
      <w:bookmarkStart w:id="411" w:name="_Toc244880617"/>
      <w:r w:rsidRPr="00796736">
        <w:rPr>
          <w:rFonts w:ascii="Times New Roman" w:hAnsi="Times New Roman" w:cs="Times New Roman"/>
          <w:sz w:val="24"/>
          <w:szCs w:val="24"/>
          <w:lang w:eastAsia="da-DK"/>
        </w:rPr>
        <w:t>Straffelovens §§ 152 og 152 c-152 f finder tilsvarende anvendelse for Advokatrådets medlemmer, medlemmer af Advokatrådets udvalg, Advokatsamfundets ansatte og Advokatrådets kontaktpersoner, for så vidt angår oplysninger, som de får kendskab til gennem tilsynsvirksomheden efter denne lov. Det samme gælder for personer, der udfører serviceopgaver for de organisationer, der er nævnt i 1. pkt.</w:t>
      </w:r>
      <w:bookmarkEnd w:id="408"/>
      <w:bookmarkEnd w:id="410"/>
      <w:bookmarkEnd w:id="411"/>
      <w:r w:rsidRPr="00796736">
        <w:rPr>
          <w:rFonts w:ascii="Times New Roman" w:hAnsi="Times New Roman" w:cs="Times New Roman"/>
          <w:sz w:val="24"/>
          <w:szCs w:val="24"/>
          <w:lang w:eastAsia="da-DK"/>
        </w:rPr>
        <w:t xml:space="preserve"> </w:t>
      </w:r>
      <w:bookmarkEnd w:id="409"/>
    </w:p>
    <w:p w14:paraId="0B0D966D" w14:textId="75D32CB3" w:rsidR="00BA2036" w:rsidRPr="00796736" w:rsidRDefault="00BA2036" w:rsidP="00303E15">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ab/>
      </w: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w:t>
      </w:r>
      <w:r w:rsidR="0042556A" w:rsidRPr="00796736">
        <w:rPr>
          <w:rFonts w:ascii="Times New Roman" w:hAnsi="Times New Roman" w:cs="Times New Roman"/>
          <w:sz w:val="24"/>
          <w:szCs w:val="24"/>
          <w:lang w:eastAsia="da-DK"/>
        </w:rPr>
        <w:t xml:space="preserve">Fortrolige oplysninger, som de personer, der er nævnt i stk. 1, modtager som led i tilsynshvervet efter denne lov, må kun anvendes i forbindelse med tilsynshvervet.  </w:t>
      </w:r>
    </w:p>
    <w:p w14:paraId="235087C0" w14:textId="10E03FB7" w:rsidR="00BA2036" w:rsidRPr="00796736" w:rsidRDefault="00BA2036" w:rsidP="00303E15">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ab/>
      </w:r>
      <w:r w:rsidRPr="00796736">
        <w:rPr>
          <w:rFonts w:ascii="Times New Roman" w:hAnsi="Times New Roman" w:cs="Times New Roman"/>
          <w:i/>
          <w:iCs/>
          <w:sz w:val="24"/>
          <w:szCs w:val="24"/>
          <w:lang w:eastAsia="da-DK"/>
        </w:rPr>
        <w:t xml:space="preserve">Stk. 3. </w:t>
      </w:r>
      <w:r w:rsidR="0042556A" w:rsidRPr="00796736">
        <w:rPr>
          <w:rFonts w:ascii="Times New Roman" w:hAnsi="Times New Roman" w:cs="Times New Roman"/>
          <w:sz w:val="24"/>
          <w:szCs w:val="24"/>
          <w:lang w:eastAsia="da-DK"/>
        </w:rPr>
        <w:t>De personer, der er nævnt i stk. 1, kan indenfor rammerne af hvidvaskforordningens artikel 70, stk. 2, videregive oplysninger som nævnt i stk. 1 til følgende myndigheder, organer og instanser til varetagelse af deres opgaver på området for bekæmpelse af hvidvask og terrorfinansiering eller andet tilsyn efter deres lovgivning:</w:t>
      </w:r>
    </w:p>
    <w:p w14:paraId="1EAECFF3"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Tilsynsorganer og -myndigheder i henhold til denne lov eller i en anden EU-medlemsstat, EØS-land og Schweiz, samt AMLA.</w:t>
      </w:r>
    </w:p>
    <w:p w14:paraId="336C6FB3"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Færøske og grønlandske tilsynsmyndigheder på området for forebyggelse af hvidvask og terrorfinansiering, under forudsætning af, at modtagerne er underlagt en lovbestemt tavshedspligt, der mindst svarer til tavshedspligten i medfør af stk. 1.</w:t>
      </w:r>
    </w:p>
    <w:p w14:paraId="6205F85F" w14:textId="465E9693"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Medlemmer af Hvidvaskforum eller andre grupper mv. nedsat af skatte- og vækstministeren, jf.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_Ref232620750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129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under forudsætning af, at alle medlemmerne er underlagt en lovbestemt tavshedspligt, der mindst svarer til tavshedspligten i medfør af stk. 1.</w:t>
      </w:r>
    </w:p>
    <w:p w14:paraId="1A164641"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Hvidvasksekretariatet.</w:t>
      </w:r>
    </w:p>
    <w:p w14:paraId="6391FB1C"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Told- og Skatteforvaltningen.</w:t>
      </w:r>
    </w:p>
    <w:p w14:paraId="725B56A8"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Advokatnævnet og domstolene.</w:t>
      </w:r>
    </w:p>
    <w:p w14:paraId="3518640B"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Datatilsynet.</w:t>
      </w:r>
    </w:p>
    <w:p w14:paraId="03C2BAF7"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Myndigheder omfattet af hvidvaskforordningens artikel 2, stk. 1, nr. 44, litra c og d, herunder politiet, anklagemyndigheden og justitsministeren, samt andre myndigheder og personer, der har til formål at bekæmpe hvidvask og terrorfinansiering.</w:t>
      </w:r>
    </w:p>
    <w:p w14:paraId="608B3559"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Personer, der medvirker ved en af denne lov </w:t>
      </w:r>
      <w:r w:rsidRPr="00796736" w:rsidDel="0014143D">
        <w:rPr>
          <w:rFonts w:ascii="Times New Roman" w:hAnsi="Times New Roman" w:cs="Times New Roman"/>
          <w:sz w:val="24"/>
          <w:szCs w:val="24"/>
          <w:lang w:eastAsia="da-DK"/>
        </w:rPr>
        <w:t>omfattet</w:t>
      </w:r>
      <w:r w:rsidRPr="00796736">
        <w:rPr>
          <w:rFonts w:ascii="Times New Roman" w:hAnsi="Times New Roman" w:cs="Times New Roman"/>
          <w:sz w:val="24"/>
          <w:szCs w:val="24"/>
          <w:lang w:eastAsia="da-DK"/>
        </w:rPr>
        <w:t xml:space="preserve"> virksomheds likvidation, konkursbehandling eller lignende procedurer, under forudsætning af at modtagerne af oplysninger har behov herfor til varetagelse af deres opgaver.</w:t>
      </w:r>
    </w:p>
    <w:p w14:paraId="578A8A32" w14:textId="77777777" w:rsidR="0042556A" w:rsidRPr="00796736" w:rsidRDefault="0042556A">
      <w:pPr>
        <w:pStyle w:val="Listeafsnit"/>
        <w:numPr>
          <w:ilvl w:val="0"/>
          <w:numId w:val="103"/>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lang w:eastAsia="da-DK"/>
        </w:rPr>
        <w:t>Andre ministerier og offentlige myndigheder.</w:t>
      </w:r>
    </w:p>
    <w:p w14:paraId="4AE5EB0B" w14:textId="77777777" w:rsidR="0042556A" w:rsidRPr="00796736" w:rsidRDefault="0042556A" w:rsidP="00370497">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4. </w:t>
      </w:r>
      <w:r w:rsidRPr="00796736">
        <w:rPr>
          <w:rFonts w:ascii="Times New Roman" w:hAnsi="Times New Roman" w:cs="Times New Roman"/>
          <w:sz w:val="24"/>
          <w:szCs w:val="24"/>
          <w:lang w:eastAsia="da-DK"/>
        </w:rPr>
        <w:t>De personer, der er nævnt i stk. 1, kan endvidere videregive oplysninger som nævnt i stk. 1 til følgende organer, når det er strengt nødvendigt af hensyn til varetagelse af deres opgaver efter deres lovgivning og modtagerne er underlagt en lovbestemt tavshedspligt, der mindst svarer til tavshedspligten i medfør af stk. 1.</w:t>
      </w:r>
    </w:p>
    <w:p w14:paraId="4A22550D" w14:textId="77777777" w:rsidR="002128F7" w:rsidRPr="00D253F0" w:rsidRDefault="002128F7">
      <w:pPr>
        <w:pStyle w:val="Listeafsnit"/>
        <w:numPr>
          <w:ilvl w:val="0"/>
          <w:numId w:val="51"/>
        </w:numPr>
        <w:spacing w:line="360" w:lineRule="auto"/>
        <w:ind w:left="476" w:hanging="238"/>
        <w:rPr>
          <w:rFonts w:ascii="Times New Roman" w:hAnsi="Times New Roman" w:cs="Times New Roman"/>
          <w:sz w:val="24"/>
          <w:szCs w:val="24"/>
          <w:lang w:eastAsia="da-DK"/>
        </w:rPr>
      </w:pPr>
      <w:r w:rsidRPr="00D253F0">
        <w:rPr>
          <w:rFonts w:ascii="Times New Roman" w:hAnsi="Times New Roman" w:cs="Times New Roman"/>
          <w:sz w:val="24"/>
          <w:szCs w:val="24"/>
          <w:lang w:eastAsia="da-DK"/>
        </w:rPr>
        <w:t>Folketinget, herunder medlemmer af organer og udvalg under</w:t>
      </w:r>
      <w:r>
        <w:rPr>
          <w:rFonts w:ascii="Times New Roman" w:hAnsi="Times New Roman" w:cs="Times New Roman"/>
          <w:sz w:val="24"/>
          <w:szCs w:val="24"/>
          <w:lang w:eastAsia="da-DK"/>
        </w:rPr>
        <w:t xml:space="preserve"> eller </w:t>
      </w:r>
      <w:r w:rsidRPr="00D253F0">
        <w:rPr>
          <w:rFonts w:ascii="Times New Roman" w:hAnsi="Times New Roman" w:cs="Times New Roman"/>
          <w:sz w:val="24"/>
          <w:szCs w:val="24"/>
          <w:lang w:eastAsia="da-DK"/>
        </w:rPr>
        <w:t>nedsat af Folketinget.</w:t>
      </w:r>
    </w:p>
    <w:p w14:paraId="79F056A9" w14:textId="77777777" w:rsidR="0042556A" w:rsidRPr="00796736" w:rsidRDefault="0042556A">
      <w:pPr>
        <w:pStyle w:val="Listeafsnit"/>
        <w:numPr>
          <w:ilvl w:val="0"/>
          <w:numId w:val="51"/>
        </w:numPr>
        <w:spacing w:line="360" w:lineRule="auto"/>
        <w:ind w:left="476" w:hanging="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Folketingets Ombudsmand.</w:t>
      </w:r>
    </w:p>
    <w:p w14:paraId="14397B1F" w14:textId="77777777" w:rsidR="0042556A" w:rsidRPr="00796736" w:rsidRDefault="0042556A">
      <w:pPr>
        <w:pStyle w:val="Listeafsnit"/>
        <w:numPr>
          <w:ilvl w:val="0"/>
          <w:numId w:val="51"/>
        </w:numPr>
        <w:spacing w:line="360" w:lineRule="auto"/>
        <w:ind w:left="476" w:hanging="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Undersøgelseskommissioner og granskningskommissioner nedsat ved lov eller i henhold til lov om undersøgelseskommissioner og granskningskommissioner.</w:t>
      </w:r>
    </w:p>
    <w:p w14:paraId="7C351320" w14:textId="77777777" w:rsidR="0042556A" w:rsidRPr="00796736" w:rsidRDefault="0042556A">
      <w:pPr>
        <w:pStyle w:val="Listeafsnit"/>
        <w:numPr>
          <w:ilvl w:val="0"/>
          <w:numId w:val="51"/>
        </w:numPr>
        <w:spacing w:line="360" w:lineRule="auto"/>
        <w:ind w:left="476" w:hanging="238"/>
        <w:rPr>
          <w:rFonts w:ascii="Times New Roman" w:hAnsi="Times New Roman" w:cs="Times New Roman"/>
          <w:sz w:val="24"/>
          <w:szCs w:val="24"/>
          <w:lang w:eastAsia="da-DK"/>
        </w:rPr>
      </w:pPr>
      <w:r w:rsidRPr="00796736">
        <w:rPr>
          <w:rFonts w:ascii="Times New Roman" w:hAnsi="Times New Roman" w:cs="Times New Roman"/>
          <w:sz w:val="24"/>
          <w:szCs w:val="24"/>
          <w:lang w:eastAsia="da-DK"/>
        </w:rPr>
        <w:t>Midlertidige undersøgelsesudvalg nedsat af Europa-Parlamentet, hvis videregivelsen er nødvendig for udførelsen af disse udvalgs aktiviteter.</w:t>
      </w:r>
    </w:p>
    <w:p w14:paraId="1B2B9BAD" w14:textId="77777777" w:rsidR="0042556A" w:rsidRPr="00796736" w:rsidRDefault="0042556A" w:rsidP="00370497">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5.</w:t>
      </w:r>
      <w:r w:rsidRPr="00796736">
        <w:rPr>
          <w:rFonts w:ascii="Times New Roman" w:hAnsi="Times New Roman" w:cs="Times New Roman"/>
          <w:sz w:val="24"/>
          <w:szCs w:val="24"/>
          <w:lang w:eastAsia="da-DK"/>
        </w:rPr>
        <w:t xml:space="preserve"> Videregivelse i henhold til stk. 3 og 4 af fortrolige oplysninger, der hidrører fra kompetente myndigheder og tilsynsorganer m.v. i et EU-medlemsstat, EØS-land eller Schweiz kan alene ske, såfremt den, som har afgivet oplysningerne, har givet deres udtrykkelige tilladelse. Oplysningerne må udelukkende benyttes til det formål, som tilladelsen vedrører.</w:t>
      </w:r>
    </w:p>
    <w:p w14:paraId="3F9661E4" w14:textId="77777777" w:rsidR="00BA2036" w:rsidRPr="00796736" w:rsidRDefault="00BA2036" w:rsidP="00A802A5">
      <w:pPr>
        <w:spacing w:line="360" w:lineRule="auto"/>
        <w:ind w:firstLine="238"/>
        <w:rPr>
          <w:rFonts w:ascii="Times New Roman" w:hAnsi="Times New Roman" w:cs="Times New Roman"/>
          <w:sz w:val="24"/>
          <w:szCs w:val="24"/>
          <w:lang w:eastAsia="da-DK"/>
        </w:rPr>
      </w:pPr>
    </w:p>
    <w:p w14:paraId="72081A75" w14:textId="622FF186" w:rsidR="003715A2" w:rsidRPr="00796736" w:rsidRDefault="0042556A" w:rsidP="00A802A5">
      <w:pPr>
        <w:spacing w:line="360" w:lineRule="auto"/>
        <w:ind w:firstLine="238"/>
        <w:jc w:val="center"/>
        <w:rPr>
          <w:rFonts w:ascii="Times New Roman" w:eastAsia="Times New Roman" w:hAnsi="Times New Roman" w:cs="Times New Roman"/>
          <w:i/>
          <w:sz w:val="24"/>
          <w:szCs w:val="24"/>
          <w:lang w:eastAsia="da-DK"/>
        </w:rPr>
      </w:pPr>
      <w:r w:rsidRPr="00796736">
        <w:rPr>
          <w:rFonts w:ascii="Times New Roman" w:eastAsia="Times New Roman" w:hAnsi="Times New Roman" w:cs="Times New Roman"/>
          <w:i/>
          <w:sz w:val="24"/>
          <w:szCs w:val="24"/>
          <w:lang w:eastAsia="da-DK"/>
        </w:rPr>
        <w:t>T</w:t>
      </w:r>
      <w:r w:rsidR="003715A2" w:rsidRPr="00796736">
        <w:rPr>
          <w:rFonts w:ascii="Times New Roman" w:eastAsia="Times New Roman" w:hAnsi="Times New Roman" w:cs="Times New Roman"/>
          <w:i/>
          <w:sz w:val="24"/>
          <w:szCs w:val="24"/>
          <w:lang w:eastAsia="da-DK"/>
        </w:rPr>
        <w:t>ilsyn med Advokatrådet</w:t>
      </w:r>
      <w:r w:rsidR="00594C1C" w:rsidRPr="00796736">
        <w:rPr>
          <w:rFonts w:ascii="Times New Roman" w:eastAsia="Times New Roman" w:hAnsi="Times New Roman" w:cs="Times New Roman"/>
          <w:i/>
          <w:sz w:val="24"/>
          <w:szCs w:val="24"/>
          <w:lang w:eastAsia="da-DK"/>
        </w:rPr>
        <w:t>s hvidvasktilsyn]</w:t>
      </w:r>
    </w:p>
    <w:p w14:paraId="6CA82E27" w14:textId="77777777" w:rsidR="002128F7" w:rsidRPr="00D253F0" w:rsidRDefault="002128F7" w:rsidP="005056BD">
      <w:pPr>
        <w:pStyle w:val="Typografi1"/>
        <w:ind w:left="0" w:firstLine="238"/>
        <w:rPr>
          <w:rFonts w:ascii="Times New Roman" w:hAnsi="Times New Roman" w:cs="Times New Roman"/>
          <w:sz w:val="24"/>
          <w:szCs w:val="24"/>
          <w:lang w:eastAsia="da-DK"/>
        </w:rPr>
      </w:pPr>
      <w:bookmarkStart w:id="412" w:name="_Ref232609366"/>
      <w:bookmarkStart w:id="413" w:name="_Toc244879094"/>
      <w:bookmarkStart w:id="414" w:name="_Toc244880618"/>
      <w:r>
        <w:rPr>
          <w:rFonts w:ascii="Times New Roman" w:hAnsi="Times New Roman" w:cs="Times New Roman"/>
          <w:sz w:val="24"/>
          <w:szCs w:val="24"/>
          <w:lang w:eastAsia="da-DK"/>
        </w:rPr>
        <w:t xml:space="preserve">Der oprettes under </w:t>
      </w:r>
      <w:r w:rsidRPr="00D253F0">
        <w:rPr>
          <w:rFonts w:ascii="Times New Roman" w:hAnsi="Times New Roman" w:cs="Times New Roman"/>
          <w:sz w:val="24"/>
          <w:szCs w:val="24"/>
          <w:lang w:eastAsia="da-DK"/>
        </w:rPr>
        <w:t>Advokat</w:t>
      </w:r>
      <w:r>
        <w:rPr>
          <w:rFonts w:ascii="Times New Roman" w:hAnsi="Times New Roman" w:cs="Times New Roman"/>
          <w:sz w:val="24"/>
          <w:szCs w:val="24"/>
          <w:lang w:eastAsia="da-DK"/>
        </w:rPr>
        <w:t>samfundet en uafhængig Hvidvaskenhed, som</w:t>
      </w:r>
      <w:r w:rsidRPr="00D253F0">
        <w:rPr>
          <w:rFonts w:ascii="Times New Roman" w:hAnsi="Times New Roman" w:cs="Times New Roman"/>
          <w:sz w:val="24"/>
          <w:szCs w:val="24"/>
          <w:lang w:eastAsia="da-DK"/>
        </w:rPr>
        <w:t xml:space="preserve"> påser, at Advokatrådet fyldestgørende og effektivt varetager sine funktioner og overholder sine tilsynsforpligtelser efter hvidvaskforordningen, denne lov og regler udstedt i medfør heraf, herunder ved at udstikke retningslinjer for Advokatrådets udførelse af sine tilsynsopgaver.</w:t>
      </w:r>
      <w:bookmarkEnd w:id="412"/>
      <w:bookmarkEnd w:id="413"/>
      <w:bookmarkEnd w:id="414"/>
      <w:r w:rsidRPr="00D253F0">
        <w:rPr>
          <w:rFonts w:ascii="Times New Roman" w:hAnsi="Times New Roman" w:cs="Times New Roman"/>
          <w:sz w:val="24"/>
          <w:szCs w:val="24"/>
          <w:lang w:eastAsia="da-DK"/>
        </w:rPr>
        <w:t xml:space="preserve"> </w:t>
      </w:r>
    </w:p>
    <w:p w14:paraId="62633886" w14:textId="4B1B8E69" w:rsidR="003715A2" w:rsidRPr="00796736" w:rsidRDefault="003715A2" w:rsidP="005056BD">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Stk. 2.</w:t>
      </w:r>
      <w:r w:rsidR="002128F7">
        <w:rPr>
          <w:rFonts w:ascii="Times New Roman" w:eastAsia="Times New Roman" w:hAnsi="Times New Roman" w:cs="Times New Roman"/>
          <w:iCs/>
          <w:sz w:val="24"/>
          <w:szCs w:val="24"/>
          <w:lang w:eastAsia="da-DK"/>
        </w:rPr>
        <w:t xml:space="preserve"> Hvidvaskenheden</w:t>
      </w:r>
      <w:r w:rsidRPr="00796736">
        <w:rPr>
          <w:rFonts w:ascii="Times New Roman" w:eastAsia="Times New Roman" w:hAnsi="Times New Roman" w:cs="Times New Roman"/>
          <w:iCs/>
          <w:sz w:val="24"/>
          <w:szCs w:val="24"/>
          <w:lang w:eastAsia="da-DK"/>
        </w:rPr>
        <w:t xml:space="preserve"> kan i forbindelse med tilsyn efter stk. 1 påbyde Advokatrådet at fremlægge alle oplysninger, der er relevante for at overvåge overholdelsen af reglerne nævnt heri. Et påbud efter 1. pkt. kan omfatte oplysninger omfattet af hvidvaskforordningens artikel 21, stk. 2, eller artikel 70, stk. 2, efter betingelserne heri. </w:t>
      </w:r>
    </w:p>
    <w:p w14:paraId="137C4EB0" w14:textId="0B757A43" w:rsidR="003715A2" w:rsidRPr="00796736" w:rsidRDefault="003715A2" w:rsidP="005056BD">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3. </w:t>
      </w:r>
      <w:r w:rsidR="002128F7">
        <w:rPr>
          <w:rFonts w:ascii="Times New Roman" w:hAnsi="Times New Roman" w:cs="Times New Roman"/>
          <w:sz w:val="24"/>
          <w:szCs w:val="24"/>
          <w:lang w:eastAsia="da-DK"/>
        </w:rPr>
        <w:t>Hvidvaskenheden</w:t>
      </w:r>
      <w:r w:rsidR="002128F7" w:rsidRPr="00D253F0">
        <w:rPr>
          <w:rFonts w:ascii="Times New Roman" w:hAnsi="Times New Roman" w:cs="Times New Roman"/>
          <w:sz w:val="24"/>
          <w:szCs w:val="24"/>
          <w:lang w:eastAsia="da-DK"/>
        </w:rPr>
        <w:t xml:space="preserve"> </w:t>
      </w:r>
      <w:r w:rsidR="002128F7" w:rsidRPr="00D253F0">
        <w:rPr>
          <w:rFonts w:ascii="Times New Roman" w:eastAsia="Times New Roman" w:hAnsi="Times New Roman" w:cs="Times New Roman"/>
          <w:iCs/>
          <w:sz w:val="24"/>
          <w:szCs w:val="24"/>
          <w:lang w:eastAsia="da-DK"/>
        </w:rPr>
        <w:t xml:space="preserve">kan mod behørig legitimation uden retskendelse få adgang til de lokaliteter, hvorfra Advokatrådet udøver tilsynsvirksomhed, når det er nødvendigt for at føre tilsyn efter stk. 1. </w:t>
      </w:r>
      <w:r w:rsidR="002128F7">
        <w:rPr>
          <w:rFonts w:ascii="Times New Roman" w:hAnsi="Times New Roman" w:cs="Times New Roman"/>
          <w:sz w:val="24"/>
          <w:szCs w:val="24"/>
          <w:lang w:eastAsia="da-DK"/>
        </w:rPr>
        <w:t>Enheden</w:t>
      </w:r>
      <w:r w:rsidR="002128F7" w:rsidRPr="00D253F0">
        <w:rPr>
          <w:rFonts w:ascii="Times New Roman" w:hAnsi="Times New Roman" w:cs="Times New Roman"/>
          <w:sz w:val="24"/>
          <w:szCs w:val="24"/>
          <w:lang w:eastAsia="da-DK"/>
        </w:rPr>
        <w:t xml:space="preserve"> </w:t>
      </w:r>
      <w:r w:rsidR="002128F7" w:rsidRPr="00D253F0">
        <w:rPr>
          <w:rFonts w:ascii="Times New Roman" w:eastAsia="Times New Roman" w:hAnsi="Times New Roman" w:cs="Times New Roman"/>
          <w:iCs/>
          <w:sz w:val="24"/>
          <w:szCs w:val="24"/>
          <w:lang w:eastAsia="da-DK"/>
        </w:rPr>
        <w:t xml:space="preserve">kan som led i kontrolbesøg foretage nærmere undersøgelse af materiale hos Advokatrådet, herunder tage kopi af optegnelser og arbejdspapirer samt dokumentation for efterlevelse af tilsynsforpligtelserne. Kontrol efter 1. og 2. pkt. kan omfatte oplysninger omfattet af hvidvaskforordningens artikel 21, stk. 2, eller artikel 70, stk. 2, efter betingelserne heri. Politiet yder om fornødent bistand til gennemførelse af kontrol efter 1. pkt.  </w:t>
      </w:r>
    </w:p>
    <w:p w14:paraId="22E37FE5" w14:textId="2548E6C1" w:rsidR="003715A2" w:rsidRPr="00796736" w:rsidRDefault="003715A2" w:rsidP="005056BD">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Stk. 4.</w:t>
      </w:r>
      <w:r w:rsidRPr="00796736">
        <w:rPr>
          <w:rFonts w:ascii="Times New Roman" w:eastAsia="Times New Roman" w:hAnsi="Times New Roman" w:cs="Times New Roman"/>
          <w:iCs/>
          <w:sz w:val="24"/>
          <w:szCs w:val="24"/>
          <w:lang w:eastAsia="da-DK"/>
        </w:rPr>
        <w:t xml:space="preserve"> </w:t>
      </w:r>
      <w:r w:rsidR="002128F7">
        <w:rPr>
          <w:rFonts w:ascii="Times New Roman" w:hAnsi="Times New Roman" w:cs="Times New Roman"/>
          <w:sz w:val="24"/>
          <w:szCs w:val="24"/>
          <w:lang w:eastAsia="da-DK"/>
        </w:rPr>
        <w:t>Hvidvaskenheden</w:t>
      </w:r>
      <w:r w:rsidR="0042556A" w:rsidRPr="00796736">
        <w:rPr>
          <w:rFonts w:ascii="Times New Roman" w:hAnsi="Times New Roman" w:cs="Times New Roman"/>
          <w:sz w:val="24"/>
          <w:szCs w:val="24"/>
          <w:lang w:eastAsia="da-DK"/>
        </w:rPr>
        <w:t xml:space="preserve"> </w:t>
      </w:r>
      <w:r w:rsidRPr="00796736">
        <w:rPr>
          <w:rFonts w:ascii="Times New Roman" w:eastAsia="Times New Roman" w:hAnsi="Times New Roman" w:cs="Times New Roman"/>
          <w:iCs/>
          <w:sz w:val="24"/>
          <w:szCs w:val="24"/>
          <w:lang w:eastAsia="da-DK"/>
        </w:rPr>
        <w:t xml:space="preserve">kan i som led i tilsynet efter stk. 1 påbyde Advokatrådet at følge nærmere angivne instruktioner med henblik på at afhjælpe manglende efterlevelse af rådets funktioner og tilsynsforpligtelser efter </w:t>
      </w:r>
      <w:r w:rsidR="00AF6DEF" w:rsidRPr="00796736">
        <w:rPr>
          <w:rFonts w:ascii="Times New Roman" w:eastAsia="Times New Roman" w:hAnsi="Times New Roman" w:cs="Times New Roman"/>
          <w:iCs/>
          <w:sz w:val="24"/>
          <w:szCs w:val="24"/>
          <w:lang w:eastAsia="da-DK"/>
        </w:rPr>
        <w:fldChar w:fldCharType="begin"/>
      </w:r>
      <w:r w:rsidR="00AF6DEF" w:rsidRPr="00796736">
        <w:rPr>
          <w:rFonts w:ascii="Times New Roman" w:eastAsia="Times New Roman" w:hAnsi="Times New Roman" w:cs="Times New Roman"/>
          <w:iCs/>
          <w:sz w:val="24"/>
          <w:szCs w:val="24"/>
          <w:lang w:eastAsia="da-DK"/>
        </w:rPr>
        <w:instrText xml:space="preserve"> REF _Ref232609193 \r \h </w:instrText>
      </w:r>
      <w:r w:rsidR="00F375BF" w:rsidRPr="00796736">
        <w:rPr>
          <w:rFonts w:ascii="Times New Roman" w:eastAsia="Times New Roman" w:hAnsi="Times New Roman" w:cs="Times New Roman"/>
          <w:iCs/>
          <w:sz w:val="24"/>
          <w:szCs w:val="24"/>
          <w:lang w:eastAsia="da-DK"/>
        </w:rPr>
        <w:instrText xml:space="preserve"> \* MERGEFORMAT </w:instrText>
      </w:r>
      <w:r w:rsidR="00AF6DEF" w:rsidRPr="00796736">
        <w:rPr>
          <w:rFonts w:ascii="Times New Roman" w:eastAsia="Times New Roman" w:hAnsi="Times New Roman" w:cs="Times New Roman"/>
          <w:iCs/>
          <w:sz w:val="24"/>
          <w:szCs w:val="24"/>
          <w:lang w:eastAsia="da-DK"/>
        </w:rPr>
      </w:r>
      <w:r w:rsidR="00AF6DEF"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00AF6DEF"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eller for at forhindre sådanne mangler.</w:t>
      </w:r>
    </w:p>
    <w:p w14:paraId="7284320C" w14:textId="409E8EBC" w:rsidR="0042556A" w:rsidRPr="00796736" w:rsidRDefault="0042556A" w:rsidP="005056BD">
      <w:pPr>
        <w:spacing w:line="360" w:lineRule="auto"/>
        <w:ind w:firstLine="238"/>
        <w:rPr>
          <w:rFonts w:ascii="Times New Roman" w:eastAsia="Times New Roman" w:hAnsi="Times New Roman" w:cs="Times New Roman"/>
          <w:i/>
          <w:sz w:val="24"/>
          <w:szCs w:val="24"/>
          <w:lang w:eastAsia="da-DK"/>
        </w:rPr>
      </w:pPr>
      <w:r w:rsidRPr="00796736">
        <w:rPr>
          <w:rFonts w:ascii="Times New Roman" w:eastAsia="Times New Roman" w:hAnsi="Times New Roman" w:cs="Times New Roman"/>
          <w:i/>
          <w:sz w:val="24"/>
          <w:szCs w:val="24"/>
          <w:lang w:eastAsia="da-DK"/>
        </w:rPr>
        <w:t xml:space="preserve">Stk. 5. </w:t>
      </w:r>
      <w:r w:rsidR="002128F7">
        <w:rPr>
          <w:rFonts w:ascii="Times New Roman" w:hAnsi="Times New Roman" w:cs="Times New Roman"/>
          <w:sz w:val="24"/>
          <w:szCs w:val="24"/>
          <w:lang w:eastAsia="da-DK"/>
        </w:rPr>
        <w:t>Hvidvaskenheden</w:t>
      </w:r>
      <w:r w:rsidRPr="00796736">
        <w:rPr>
          <w:rFonts w:ascii="Times New Roman" w:hAnsi="Times New Roman" w:cs="Times New Roman"/>
          <w:sz w:val="24"/>
          <w:szCs w:val="24"/>
          <w:lang w:eastAsia="da-DK"/>
        </w:rPr>
        <w:t xml:space="preserve"> </w:t>
      </w:r>
      <w:r w:rsidRPr="00796736">
        <w:rPr>
          <w:rFonts w:ascii="Times New Roman" w:eastAsia="Times New Roman" w:hAnsi="Times New Roman" w:cs="Times New Roman"/>
          <w:iCs/>
          <w:sz w:val="24"/>
          <w:szCs w:val="24"/>
          <w:lang w:eastAsia="da-DK"/>
        </w:rPr>
        <w:t xml:space="preserve">underretter AMLA om foranstaltninger iværksat efter stk. 2 og 3, klager i forbindelse hermed og resultatet heraf. </w:t>
      </w:r>
      <w:r w:rsidRPr="00796736">
        <w:rPr>
          <w:rFonts w:ascii="Times New Roman" w:eastAsia="Times New Roman" w:hAnsi="Times New Roman" w:cs="Times New Roman"/>
          <w:i/>
          <w:sz w:val="24"/>
          <w:szCs w:val="24"/>
          <w:lang w:eastAsia="da-DK"/>
        </w:rPr>
        <w:t xml:space="preserve"> </w:t>
      </w:r>
    </w:p>
    <w:p w14:paraId="5480DFEF" w14:textId="068676F4" w:rsidR="0042556A" w:rsidRPr="00796736" w:rsidRDefault="0042556A" w:rsidP="005056BD">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6. </w:t>
      </w:r>
      <w:r w:rsidR="002128F7">
        <w:rPr>
          <w:rFonts w:ascii="Times New Roman" w:hAnsi="Times New Roman" w:cs="Times New Roman"/>
          <w:sz w:val="24"/>
          <w:szCs w:val="24"/>
          <w:lang w:eastAsia="da-DK"/>
        </w:rPr>
        <w:t>Hvidvaskenheden</w:t>
      </w:r>
      <w:r w:rsidRPr="00796736">
        <w:rPr>
          <w:rFonts w:ascii="Times New Roman" w:hAnsi="Times New Roman" w:cs="Times New Roman"/>
          <w:sz w:val="24"/>
          <w:szCs w:val="24"/>
          <w:lang w:eastAsia="da-DK"/>
        </w:rPr>
        <w:t xml:space="preserve"> </w:t>
      </w:r>
      <w:r w:rsidRPr="00796736">
        <w:rPr>
          <w:rFonts w:ascii="Times New Roman" w:eastAsia="Times New Roman" w:hAnsi="Times New Roman" w:cs="Times New Roman"/>
          <w:iCs/>
          <w:sz w:val="24"/>
          <w:szCs w:val="24"/>
          <w:lang w:eastAsia="da-DK"/>
        </w:rPr>
        <w:t xml:space="preserve">udarbejder og offentliggør en årsrapport om Advokatrådets hvidvasktilsyn. </w:t>
      </w:r>
    </w:p>
    <w:p w14:paraId="48B8CB70" w14:textId="77777777" w:rsidR="003715A2" w:rsidRPr="00796736" w:rsidRDefault="003715A2" w:rsidP="005A265F">
      <w:pPr>
        <w:spacing w:line="360" w:lineRule="auto"/>
        <w:rPr>
          <w:rFonts w:ascii="Times New Roman" w:eastAsia="Times New Roman" w:hAnsi="Times New Roman" w:cs="Times New Roman"/>
          <w:iCs/>
          <w:sz w:val="24"/>
          <w:szCs w:val="24"/>
          <w:lang w:eastAsia="da-DK"/>
        </w:rPr>
      </w:pPr>
    </w:p>
    <w:p w14:paraId="0FEF98EE" w14:textId="1FE2D2D1" w:rsidR="003715A2" w:rsidRPr="00796736" w:rsidRDefault="003715A2" w:rsidP="00A802A5">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Supplerende bestemmelser til hvidvaskforordningen</w:t>
      </w:r>
    </w:p>
    <w:p w14:paraId="2861AD2A" w14:textId="77777777" w:rsidR="0086473B" w:rsidRPr="00796736" w:rsidRDefault="0086473B" w:rsidP="0086473B">
      <w:pPr>
        <w:pStyle w:val="Typografi1"/>
        <w:ind w:left="0" w:firstLine="238"/>
        <w:rPr>
          <w:rFonts w:ascii="Times New Roman" w:hAnsi="Times New Roman" w:cs="Times New Roman"/>
          <w:i/>
          <w:sz w:val="24"/>
          <w:szCs w:val="24"/>
          <w:lang w:eastAsia="da-DK"/>
        </w:rPr>
      </w:pPr>
      <w:bookmarkStart w:id="415" w:name="_Ref232609412"/>
      <w:bookmarkStart w:id="416" w:name="_Toc244879095"/>
      <w:bookmarkStart w:id="417" w:name="_Toc244880619"/>
      <w:r w:rsidRPr="00796736">
        <w:rPr>
          <w:rFonts w:ascii="Times New Roman" w:hAnsi="Times New Roman" w:cs="Times New Roman"/>
          <w:sz w:val="24"/>
          <w:szCs w:val="24"/>
          <w:lang w:eastAsia="da-DK"/>
        </w:rPr>
        <w:t xml:space="preserve">Advokater og advokatselskaber kan foretage underretninger efter hvidvaskforordningens artikel 69, stk. 1, til Advokatrådet, der, såfremt oplysninger er omfattet af underretningspligten, omgående </w:t>
      </w:r>
      <w:r>
        <w:rPr>
          <w:rFonts w:ascii="Times New Roman" w:hAnsi="Times New Roman" w:cs="Times New Roman"/>
          <w:sz w:val="24"/>
          <w:szCs w:val="24"/>
          <w:lang w:eastAsia="da-DK"/>
        </w:rPr>
        <w:t xml:space="preserve">og ufiltreret </w:t>
      </w:r>
      <w:r w:rsidRPr="00796736">
        <w:rPr>
          <w:rFonts w:ascii="Times New Roman" w:hAnsi="Times New Roman" w:cs="Times New Roman"/>
          <w:sz w:val="24"/>
          <w:szCs w:val="24"/>
          <w:lang w:eastAsia="da-DK"/>
        </w:rPr>
        <w:t>fremsender oplysningerne til Hvidvasksekretariatet, jf. dog forordningens artikel 70, stk. 2.</w:t>
      </w:r>
      <w:bookmarkEnd w:id="415"/>
      <w:bookmarkEnd w:id="416"/>
      <w:bookmarkEnd w:id="417"/>
      <w:r w:rsidRPr="00796736">
        <w:rPr>
          <w:rFonts w:ascii="Times New Roman" w:hAnsi="Times New Roman" w:cs="Times New Roman"/>
          <w:sz w:val="24"/>
          <w:szCs w:val="24"/>
          <w:lang w:eastAsia="da-DK"/>
        </w:rPr>
        <w:t xml:space="preserve"> </w:t>
      </w:r>
    </w:p>
    <w:p w14:paraId="5F120B4C" w14:textId="7CA11A3A" w:rsidR="003715A2" w:rsidRPr="00796736" w:rsidRDefault="003715A2" w:rsidP="005056BD">
      <w:pPr>
        <w:spacing w:line="360" w:lineRule="auto"/>
        <w:ind w:firstLine="238"/>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
          <w:sz w:val="24"/>
          <w:szCs w:val="24"/>
          <w:lang w:eastAsia="da-DK"/>
        </w:rPr>
        <w:t xml:space="preserve">Stk. 2. </w:t>
      </w:r>
      <w:bookmarkStart w:id="418" w:name="_Hlk221269524"/>
      <w:r w:rsidRPr="00796736">
        <w:rPr>
          <w:rFonts w:ascii="Times New Roman" w:eastAsia="Times New Roman" w:hAnsi="Times New Roman" w:cs="Times New Roman"/>
          <w:iCs/>
          <w:sz w:val="24"/>
          <w:szCs w:val="24"/>
          <w:lang w:eastAsia="da-DK"/>
        </w:rPr>
        <w:t>Justitsministeren kan fastsætte regler om underretning efter stk. 1 i forhold til oplysninger vedrørende visse typer af transaktioner, uanset at sådanne oplysninger er modtaget fra eller indhentet om fra en kunde for at vurdere den pågældendes retsstilling eller for at forsvare eller repræsentere den pågældende under eller i forbindelse med en retssag og uanset om oplysningerne er indhentet før, under eller efter sådanne retssager, når underretning af sådanne oplysninger er berettiget af hensyn til en højere risiko for hvidvask af penge, de underliggende lovovertrædelser eller finansiering af terrorisme forbundet med disse typer af transaktioner.</w:t>
      </w:r>
      <w:bookmarkEnd w:id="418"/>
      <w:r w:rsidRPr="00796736">
        <w:rPr>
          <w:rFonts w:ascii="Times New Roman" w:eastAsia="Times New Roman" w:hAnsi="Times New Roman" w:cs="Times New Roman"/>
          <w:iCs/>
          <w:sz w:val="24"/>
          <w:szCs w:val="24"/>
          <w:lang w:eastAsia="da-DK"/>
        </w:rPr>
        <w:t xml:space="preserve"> Ministeren kan i den forbindelse fastsætte regler om, at advokater og advokatselskaber underlægges yderligere underretningsforpligtelser. </w:t>
      </w:r>
    </w:p>
    <w:p w14:paraId="21823A6B" w14:textId="10FBA620" w:rsidR="00BD54E3" w:rsidRPr="008438E0" w:rsidRDefault="0042556A" w:rsidP="005056BD">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Advokatrådet underretter Hvidvasksekretariatet om eventuelle relevante konstateringer, der tyder på alvorlige svagheder i advokaters m.v. indberetningssystemer og resultaterne af de risikovurderinger, der er foretaget som led i Advokatrådets tilsynsvirksomhed.  </w:t>
      </w:r>
    </w:p>
    <w:p w14:paraId="3B3AB74F" w14:textId="77777777" w:rsidR="003715A2" w:rsidRPr="00796736" w:rsidRDefault="003715A2" w:rsidP="00A802A5">
      <w:pPr>
        <w:spacing w:line="360" w:lineRule="auto"/>
        <w:ind w:firstLine="238"/>
        <w:rPr>
          <w:rFonts w:ascii="Times New Roman" w:eastAsia="Times New Roman" w:hAnsi="Times New Roman" w:cs="Times New Roman"/>
          <w:iCs/>
          <w:sz w:val="24"/>
          <w:szCs w:val="24"/>
          <w:lang w:eastAsia="da-DK"/>
        </w:rPr>
      </w:pPr>
    </w:p>
    <w:p w14:paraId="03940EDC" w14:textId="46355EEE" w:rsidR="003715A2" w:rsidRPr="00796736" w:rsidRDefault="003715A2" w:rsidP="00A802A5">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Spillemyndighedens tilsyn</w:t>
      </w:r>
    </w:p>
    <w:p w14:paraId="2A212A75" w14:textId="77777777" w:rsidR="008A6739" w:rsidRPr="00796736" w:rsidRDefault="00EA2088" w:rsidP="005056BD">
      <w:pPr>
        <w:pStyle w:val="Typografi1"/>
        <w:ind w:left="0" w:firstLine="238"/>
        <w:rPr>
          <w:rFonts w:ascii="Times New Roman" w:hAnsi="Times New Roman" w:cs="Times New Roman"/>
          <w:sz w:val="24"/>
          <w:szCs w:val="24"/>
        </w:rPr>
      </w:pPr>
      <w:bookmarkStart w:id="419" w:name="_Ref239189479"/>
      <w:bookmarkStart w:id="420" w:name="_Ref232609450"/>
      <w:bookmarkStart w:id="421" w:name="_Toc244879096"/>
      <w:bookmarkStart w:id="422" w:name="_Toc244880620"/>
      <w:r w:rsidRPr="00796736">
        <w:rPr>
          <w:rFonts w:ascii="Times New Roman" w:hAnsi="Times New Roman" w:cs="Times New Roman"/>
          <w:sz w:val="24"/>
          <w:szCs w:val="24"/>
        </w:rPr>
        <w:t>Spillemyndigheden påser,</w:t>
      </w:r>
      <w:r w:rsidR="008A6739" w:rsidRPr="00796736">
        <w:rPr>
          <w:rFonts w:ascii="Times New Roman" w:hAnsi="Times New Roman" w:cs="Times New Roman"/>
          <w:sz w:val="24"/>
          <w:szCs w:val="24"/>
        </w:rPr>
        <w:t xml:space="preserve"> at</w:t>
      </w:r>
      <w:bookmarkEnd w:id="419"/>
      <w:bookmarkEnd w:id="421"/>
      <w:bookmarkEnd w:id="422"/>
      <w:r w:rsidR="008A6739" w:rsidRPr="00796736">
        <w:rPr>
          <w:rFonts w:ascii="Times New Roman" w:hAnsi="Times New Roman" w:cs="Times New Roman"/>
          <w:sz w:val="24"/>
          <w:szCs w:val="24"/>
        </w:rPr>
        <w:t xml:space="preserve"> </w:t>
      </w:r>
    </w:p>
    <w:p w14:paraId="1656E430" w14:textId="4EBAA608" w:rsidR="008A6739" w:rsidRPr="00796736" w:rsidRDefault="008A6739">
      <w:pPr>
        <w:pStyle w:val="Listeafsnit"/>
        <w:numPr>
          <w:ilvl w:val="0"/>
          <w:numId w:val="104"/>
        </w:numPr>
        <w:spacing w:line="360" w:lineRule="auto"/>
        <w:ind w:left="598"/>
        <w:rPr>
          <w:rFonts w:ascii="Times New Roman" w:hAnsi="Times New Roman" w:cs="Times New Roman"/>
          <w:sz w:val="24"/>
          <w:szCs w:val="24"/>
        </w:rPr>
      </w:pPr>
      <w:r w:rsidRPr="00796736">
        <w:rPr>
          <w:rFonts w:ascii="Times New Roman" w:hAnsi="Times New Roman" w:cs="Times New Roman"/>
          <w:sz w:val="24"/>
          <w:szCs w:val="24"/>
        </w:rPr>
        <w:t>udbydere af spil, som er omfattet af § 1, stk. 1, og som nævnt i § 2, nr. 30, der er underlagt krav om tilladelse i Danmark for at kunne drive virksomhed i henhold til den frie udveksling af tjenesteydelser, overholder hvidvaskforordningen, denne lov og de regler</w:t>
      </w:r>
      <w:r w:rsidR="00DF1D0A" w:rsidRPr="00796736">
        <w:rPr>
          <w:rFonts w:ascii="Times New Roman" w:hAnsi="Times New Roman" w:cs="Times New Roman"/>
          <w:sz w:val="24"/>
          <w:szCs w:val="24"/>
        </w:rPr>
        <w:t>,</w:t>
      </w:r>
      <w:r w:rsidRPr="00796736">
        <w:rPr>
          <w:rFonts w:ascii="Times New Roman" w:hAnsi="Times New Roman" w:cs="Times New Roman"/>
          <w:sz w:val="24"/>
          <w:szCs w:val="24"/>
        </w:rPr>
        <w:t xml:space="preserve"> der er udstedt i medfør heraf, og forordninger indeholdende regler om finansielle sanktioner mod lande, personer, grupper, juridiske enheder eller organer, og </w:t>
      </w:r>
    </w:p>
    <w:p w14:paraId="3BF4743C" w14:textId="6DDC49A2" w:rsidR="0007131A" w:rsidRPr="00796736" w:rsidRDefault="008A6739">
      <w:pPr>
        <w:pStyle w:val="Listeafsnit"/>
        <w:numPr>
          <w:ilvl w:val="0"/>
          <w:numId w:val="104"/>
        </w:numPr>
        <w:spacing w:line="360" w:lineRule="auto"/>
        <w:ind w:left="598"/>
        <w:rPr>
          <w:rFonts w:ascii="Times New Roman" w:hAnsi="Times New Roman" w:cs="Times New Roman"/>
          <w:sz w:val="24"/>
          <w:szCs w:val="24"/>
        </w:rPr>
      </w:pPr>
      <w:r w:rsidRPr="00796736">
        <w:rPr>
          <w:rFonts w:ascii="Times New Roman" w:hAnsi="Times New Roman" w:cs="Times New Roman"/>
          <w:sz w:val="24"/>
          <w:szCs w:val="24"/>
        </w:rPr>
        <w:t>ikkefinansielle holdingselskaber med blandet aktivitet, som er omfattet af § 1, stk. 1, og som nævnt i § 2, nr. 32, litra c, der har et datterselskab omfattet af nr. 1, overholder hvidvaskforordningen, denne lov og de regler</w:t>
      </w:r>
      <w:r w:rsidR="00DF1D0A" w:rsidRPr="00796736">
        <w:rPr>
          <w:rFonts w:ascii="Times New Roman" w:hAnsi="Times New Roman" w:cs="Times New Roman"/>
          <w:sz w:val="24"/>
          <w:szCs w:val="24"/>
        </w:rPr>
        <w:t>,</w:t>
      </w:r>
      <w:r w:rsidRPr="00796736">
        <w:rPr>
          <w:rFonts w:ascii="Times New Roman" w:hAnsi="Times New Roman" w:cs="Times New Roman"/>
          <w:sz w:val="24"/>
          <w:szCs w:val="24"/>
        </w:rPr>
        <w:t xml:space="preserve"> der er udstedt i medfør heraf, og forordninger indeholdende regler om finansielle sanktioner mod lande, personer, grupper, juridiske enheder eller organer.</w:t>
      </w:r>
      <w:bookmarkEnd w:id="420"/>
    </w:p>
    <w:p w14:paraId="74A2AE28" w14:textId="657C381F" w:rsidR="0007131A" w:rsidRPr="00796736" w:rsidRDefault="0007131A" w:rsidP="005056BD">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sz w:val="24"/>
          <w:szCs w:val="24"/>
        </w:rPr>
        <w:t xml:space="preserve">Stk. </w:t>
      </w:r>
      <w:r w:rsidR="008142CD" w:rsidRPr="00796736">
        <w:rPr>
          <w:rFonts w:ascii="Times New Roman" w:eastAsia="Times New Roman" w:hAnsi="Times New Roman" w:cs="Times New Roman"/>
          <w:i/>
          <w:sz w:val="24"/>
          <w:szCs w:val="24"/>
        </w:rPr>
        <w:t>2</w:t>
      </w:r>
      <w:r w:rsidRPr="00796736">
        <w:rPr>
          <w:rFonts w:ascii="Times New Roman" w:eastAsia="Times New Roman" w:hAnsi="Times New Roman" w:cs="Times New Roman"/>
          <w:i/>
          <w:sz w:val="24"/>
          <w:szCs w:val="24"/>
        </w:rPr>
        <w:t>.</w:t>
      </w:r>
      <w:r w:rsidRPr="00796736">
        <w:rPr>
          <w:rFonts w:ascii="Times New Roman" w:eastAsia="Times New Roman" w:hAnsi="Times New Roman" w:cs="Times New Roman"/>
          <w:sz w:val="24"/>
          <w:szCs w:val="24"/>
        </w:rPr>
        <w:t xml:space="preserve"> Spillemyndigheden skal samarbejde med de kompetente tilsynsmyndigheder i et andet EU- eller EØS-land.</w:t>
      </w:r>
    </w:p>
    <w:p w14:paraId="72E17FBF" w14:textId="77777777" w:rsidR="008142CD" w:rsidRPr="00796736" w:rsidRDefault="008142CD" w:rsidP="00A802A5">
      <w:pPr>
        <w:spacing w:line="360" w:lineRule="auto"/>
        <w:ind w:firstLine="238"/>
        <w:rPr>
          <w:rFonts w:ascii="Times New Roman" w:eastAsia="Times New Roman" w:hAnsi="Times New Roman" w:cs="Times New Roman"/>
          <w:sz w:val="24"/>
          <w:szCs w:val="24"/>
        </w:rPr>
      </w:pPr>
    </w:p>
    <w:p w14:paraId="12F8F95C" w14:textId="5CD7BE22" w:rsidR="00DF1D0A" w:rsidRPr="00796736" w:rsidRDefault="008142CD" w:rsidP="00772BD2">
      <w:pPr>
        <w:pStyle w:val="Typografi1"/>
        <w:ind w:left="0" w:firstLine="238"/>
        <w:rPr>
          <w:rFonts w:ascii="Times New Roman" w:hAnsi="Times New Roman" w:cs="Times New Roman"/>
          <w:sz w:val="24"/>
          <w:szCs w:val="24"/>
        </w:rPr>
      </w:pPr>
      <w:bookmarkStart w:id="423" w:name="_Ref236334077"/>
      <w:bookmarkStart w:id="424" w:name="_Ref243859246"/>
      <w:bookmarkStart w:id="425" w:name="_Toc244879097"/>
      <w:bookmarkStart w:id="426" w:name="_Toc244880621"/>
      <w:r w:rsidRPr="00796736">
        <w:rPr>
          <w:rFonts w:ascii="Times New Roman" w:hAnsi="Times New Roman" w:cs="Times New Roman"/>
          <w:sz w:val="24"/>
          <w:szCs w:val="24"/>
        </w:rPr>
        <w:t xml:space="preserve">Skatte- og </w:t>
      </w:r>
      <w:r w:rsidR="008A6739"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ækstministeren </w:t>
      </w:r>
      <w:r w:rsidR="008A6739" w:rsidRPr="00796736">
        <w:rPr>
          <w:rFonts w:ascii="Times New Roman" w:hAnsi="Times New Roman" w:cs="Times New Roman"/>
          <w:sz w:val="24"/>
          <w:szCs w:val="24"/>
        </w:rPr>
        <w:t xml:space="preserve">kan for virksomheder og personer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w:t>
      </w:r>
      <w:r w:rsidRPr="00796736">
        <w:rPr>
          <w:rFonts w:ascii="Times New Roman" w:hAnsi="Times New Roman" w:cs="Times New Roman"/>
          <w:sz w:val="24"/>
          <w:szCs w:val="24"/>
        </w:rPr>
        <w:t xml:space="preserve"> </w:t>
      </w:r>
      <w:bookmarkEnd w:id="423"/>
      <w:r w:rsidR="00DF1D0A" w:rsidRPr="00796736">
        <w:rPr>
          <w:rFonts w:ascii="Times New Roman" w:hAnsi="Times New Roman" w:cs="Times New Roman"/>
          <w:sz w:val="24"/>
          <w:szCs w:val="24"/>
        </w:rPr>
        <w:t>fastsætte nærmere regler om registrering. Dette omfatter bl.a., hvilke oplysninger der skal registreres, og hvilke forhold virksomheder, personer eller andre kan indsende og registrere elektronisk i spillemyndighedens IT-system ved at benytte digital eller tilsvarende elektronisk signatur, og om brugen af dette system.</w:t>
      </w:r>
      <w:bookmarkEnd w:id="424"/>
      <w:bookmarkEnd w:id="425"/>
      <w:bookmarkEnd w:id="426"/>
    </w:p>
    <w:p w14:paraId="53F1ED24" w14:textId="77777777" w:rsidR="00DF1D0A" w:rsidRPr="00796736" w:rsidRDefault="00DF1D0A" w:rsidP="00303E15">
      <w:pPr>
        <w:spacing w:line="360" w:lineRule="auto"/>
        <w:rPr>
          <w:rFonts w:ascii="Times New Roman" w:hAnsi="Times New Roman" w:cs="Times New Roman"/>
          <w:sz w:val="24"/>
          <w:szCs w:val="24"/>
        </w:rPr>
      </w:pPr>
    </w:p>
    <w:p w14:paraId="3C7A95BA" w14:textId="7E676274" w:rsidR="003446D5" w:rsidRPr="00796736" w:rsidRDefault="00EA2088" w:rsidP="00772BD2">
      <w:pPr>
        <w:pStyle w:val="Typografi1"/>
        <w:ind w:left="0" w:firstLine="238"/>
        <w:rPr>
          <w:rFonts w:ascii="Times New Roman" w:hAnsi="Times New Roman" w:cs="Times New Roman"/>
          <w:sz w:val="24"/>
          <w:szCs w:val="24"/>
        </w:rPr>
      </w:pPr>
      <w:bookmarkStart w:id="427" w:name="_Ref236334226"/>
      <w:bookmarkStart w:id="428" w:name="_Toc244879098"/>
      <w:bookmarkStart w:id="429" w:name="_Toc244880622"/>
      <w:r w:rsidRPr="00796736">
        <w:rPr>
          <w:rFonts w:ascii="Times New Roman" w:hAnsi="Times New Roman" w:cs="Times New Roman"/>
          <w:sz w:val="24"/>
          <w:szCs w:val="24"/>
        </w:rPr>
        <w:t>S</w:t>
      </w:r>
      <w:r w:rsidR="00DF1D0A" w:rsidRPr="00796736">
        <w:rPr>
          <w:rFonts w:ascii="Times New Roman" w:hAnsi="Times New Roman" w:cs="Times New Roman"/>
          <w:sz w:val="24"/>
          <w:szCs w:val="24"/>
        </w:rPr>
        <w:t>katte- og vækstministeren</w:t>
      </w:r>
      <w:r w:rsidRPr="00796736">
        <w:rPr>
          <w:rFonts w:ascii="Times New Roman" w:hAnsi="Times New Roman" w:cs="Times New Roman"/>
          <w:sz w:val="24"/>
          <w:szCs w:val="24"/>
        </w:rPr>
        <w:t xml:space="preserve"> kan i en forretningsgang fastsætte forpligtelser, der retter sig mod spillemyndigheden i relation til forebyggelse og bekæmpelse af hvidvask af penge og finansiering af terrorisme.</w:t>
      </w:r>
      <w:bookmarkEnd w:id="427"/>
      <w:bookmarkEnd w:id="428"/>
      <w:bookmarkEnd w:id="429"/>
    </w:p>
    <w:p w14:paraId="53A71B4B" w14:textId="68BEA9BC" w:rsidR="008B6E02" w:rsidRPr="00796736" w:rsidRDefault="008B6E02" w:rsidP="00A802A5">
      <w:pPr>
        <w:spacing w:line="360" w:lineRule="auto"/>
        <w:rPr>
          <w:rFonts w:ascii="Times New Roman" w:hAnsi="Times New Roman" w:cs="Times New Roman"/>
          <w:sz w:val="24"/>
          <w:szCs w:val="24"/>
        </w:rPr>
      </w:pPr>
    </w:p>
    <w:p w14:paraId="203B18FA" w14:textId="77777777" w:rsidR="006D245B" w:rsidRPr="00796736" w:rsidRDefault="006D245B" w:rsidP="00A802A5">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Hæderligheds- og egnethedsvurdering</w:t>
      </w:r>
    </w:p>
    <w:p w14:paraId="46A3FB9D" w14:textId="0AD2EE98" w:rsidR="00EA2088" w:rsidRPr="00796736" w:rsidRDefault="00EA2088" w:rsidP="00772BD2">
      <w:pPr>
        <w:pStyle w:val="Typografi1"/>
        <w:ind w:left="0" w:firstLine="238"/>
        <w:rPr>
          <w:rFonts w:ascii="Times New Roman" w:hAnsi="Times New Roman" w:cs="Times New Roman"/>
          <w:sz w:val="24"/>
          <w:szCs w:val="24"/>
        </w:rPr>
      </w:pPr>
      <w:bookmarkStart w:id="430" w:name="_Ref236641619"/>
      <w:bookmarkStart w:id="431" w:name="_Toc244879099"/>
      <w:bookmarkStart w:id="432" w:name="_Toc244880623"/>
      <w:r w:rsidRPr="00796736">
        <w:rPr>
          <w:rFonts w:ascii="Times New Roman" w:hAnsi="Times New Roman" w:cs="Times New Roman"/>
          <w:sz w:val="24"/>
          <w:szCs w:val="24"/>
        </w:rPr>
        <w:t xml:space="preserve">Et medlem af den øverste ledelse hos en </w:t>
      </w:r>
      <w:r w:rsidR="008A6739" w:rsidRPr="00796736">
        <w:rPr>
          <w:rFonts w:ascii="Times New Roman" w:hAnsi="Times New Roman" w:cs="Times New Roman"/>
          <w:sz w:val="24"/>
          <w:szCs w:val="24"/>
        </w:rPr>
        <w:t xml:space="preserve">virksomhed eller person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Pr="00796736">
        <w:rPr>
          <w:rFonts w:ascii="Times New Roman" w:hAnsi="Times New Roman" w:cs="Times New Roman"/>
          <w:sz w:val="24"/>
          <w:szCs w:val="24"/>
        </w:rPr>
        <w:t>, skal</w:t>
      </w:r>
      <w:bookmarkEnd w:id="430"/>
      <w:bookmarkEnd w:id="431"/>
      <w:bookmarkEnd w:id="432"/>
      <w:r w:rsidRPr="00796736">
        <w:rPr>
          <w:rFonts w:ascii="Times New Roman" w:hAnsi="Times New Roman" w:cs="Times New Roman"/>
          <w:sz w:val="24"/>
          <w:szCs w:val="24"/>
        </w:rPr>
        <w:t xml:space="preserve"> </w:t>
      </w:r>
    </w:p>
    <w:p w14:paraId="1BF88D2E" w14:textId="75751631" w:rsidR="00EA2088" w:rsidRPr="00796736" w:rsidRDefault="00EA2088">
      <w:pPr>
        <w:pStyle w:val="Listeafsnit"/>
        <w:numPr>
          <w:ilvl w:val="0"/>
          <w:numId w:val="105"/>
        </w:numPr>
        <w:spacing w:line="360" w:lineRule="auto"/>
        <w:rPr>
          <w:rFonts w:ascii="Times New Roman" w:hAnsi="Times New Roman" w:cs="Times New Roman"/>
          <w:sz w:val="24"/>
          <w:szCs w:val="24"/>
        </w:rPr>
      </w:pPr>
      <w:r w:rsidRPr="00796736">
        <w:rPr>
          <w:rFonts w:ascii="Times New Roman" w:hAnsi="Times New Roman" w:cs="Times New Roman"/>
          <w:sz w:val="24"/>
          <w:szCs w:val="24"/>
        </w:rPr>
        <w:t>have et godt omdømme og handle med hæderlighed og integritet, o</w:t>
      </w:r>
      <w:r w:rsidR="00D81D3C" w:rsidRPr="00796736">
        <w:rPr>
          <w:rFonts w:ascii="Times New Roman" w:hAnsi="Times New Roman" w:cs="Times New Roman"/>
          <w:sz w:val="24"/>
          <w:szCs w:val="24"/>
        </w:rPr>
        <w:t>g</w:t>
      </w:r>
    </w:p>
    <w:p w14:paraId="294CDAB4" w14:textId="77777777" w:rsidR="00EA2088" w:rsidRPr="00796736" w:rsidRDefault="00EA2088">
      <w:pPr>
        <w:pStyle w:val="Listeafsnit"/>
        <w:numPr>
          <w:ilvl w:val="0"/>
          <w:numId w:val="105"/>
        </w:numPr>
        <w:spacing w:line="360" w:lineRule="auto"/>
        <w:rPr>
          <w:rFonts w:ascii="Times New Roman" w:hAnsi="Times New Roman" w:cs="Times New Roman"/>
          <w:sz w:val="24"/>
          <w:szCs w:val="24"/>
        </w:rPr>
      </w:pPr>
      <w:r w:rsidRPr="00796736">
        <w:rPr>
          <w:rFonts w:ascii="Times New Roman" w:hAnsi="Times New Roman" w:cs="Times New Roman"/>
          <w:sz w:val="24"/>
          <w:szCs w:val="24"/>
        </w:rPr>
        <w:t>besidde den viden og ekspertise, der er nødvendig for, at medlemmet kan udføre sine opgaver.</w:t>
      </w:r>
    </w:p>
    <w:p w14:paraId="046EFFB0" w14:textId="27E147B2" w:rsidR="00EA2088" w:rsidRPr="00796736" w:rsidRDefault="00EA2088" w:rsidP="00772BD2">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Stk. 1, nr. 1, finder tilsvarende anvendelse for reelle ejere</w:t>
      </w:r>
      <w:r w:rsidR="00D81D3C" w:rsidRPr="00796736">
        <w:rPr>
          <w:rFonts w:ascii="Times New Roman" w:hAnsi="Times New Roman" w:cs="Times New Roman"/>
          <w:sz w:val="24"/>
          <w:szCs w:val="24"/>
        </w:rPr>
        <w:t>.</w:t>
      </w:r>
    </w:p>
    <w:p w14:paraId="3153C3AD" w14:textId="083A1A2A" w:rsidR="00EA2088" w:rsidRPr="00796736" w:rsidRDefault="00EA2088" w:rsidP="00772BD2">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Betingelserne i stk. 1 og 2 skal</w:t>
      </w:r>
      <w:r w:rsidR="008A6739" w:rsidRPr="00796736">
        <w:rPr>
          <w:rFonts w:ascii="Times New Roman" w:hAnsi="Times New Roman" w:cs="Times New Roman"/>
          <w:sz w:val="24"/>
          <w:szCs w:val="24"/>
        </w:rPr>
        <w:t xml:space="preserve"> for virksomheder og personer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Pr="00796736">
        <w:rPr>
          <w:rFonts w:ascii="Times New Roman" w:hAnsi="Times New Roman" w:cs="Times New Roman"/>
          <w:sz w:val="24"/>
          <w:szCs w:val="24"/>
        </w:rPr>
        <w:t xml:space="preserve"> være opfyldt ved ansøgning om tilladelse til udbud af spil i medfør af lov om spil, og skal opretholdes i hele tilladelsesperioden.</w:t>
      </w:r>
    </w:p>
    <w:p w14:paraId="15A290A8" w14:textId="4A4154BC" w:rsidR="00EA2088" w:rsidRPr="00796736" w:rsidRDefault="00EA2088" w:rsidP="00772BD2">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Enhver ændring af de oplysninger, der er lagt til grund for opfyldelse af betingelserne i stk. 1, skal meddeles spillemyndigheden senest </w:t>
      </w:r>
      <w:r w:rsidR="00DF1D0A" w:rsidRPr="00796736">
        <w:rPr>
          <w:rFonts w:ascii="Times New Roman" w:hAnsi="Times New Roman" w:cs="Times New Roman"/>
          <w:sz w:val="24"/>
          <w:szCs w:val="24"/>
        </w:rPr>
        <w:t>2</w:t>
      </w:r>
      <w:r w:rsidRPr="00796736">
        <w:rPr>
          <w:rFonts w:ascii="Times New Roman" w:hAnsi="Times New Roman" w:cs="Times New Roman"/>
          <w:sz w:val="24"/>
          <w:szCs w:val="24"/>
        </w:rPr>
        <w:t xml:space="preserve"> uger efter ændringen. </w:t>
      </w:r>
    </w:p>
    <w:p w14:paraId="0C40E3FB" w14:textId="77777777" w:rsidR="00EA2088" w:rsidRPr="00796736" w:rsidRDefault="00EA2088" w:rsidP="00A802A5">
      <w:pPr>
        <w:spacing w:line="360" w:lineRule="auto"/>
        <w:ind w:firstLine="284"/>
        <w:rPr>
          <w:rFonts w:ascii="Times New Roman" w:hAnsi="Times New Roman" w:cs="Times New Roman"/>
          <w:sz w:val="24"/>
          <w:szCs w:val="24"/>
        </w:rPr>
      </w:pPr>
    </w:p>
    <w:p w14:paraId="25F7971D" w14:textId="234D112E" w:rsidR="006D245B" w:rsidRPr="00796736" w:rsidRDefault="006D245B" w:rsidP="00A802A5">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Indhent</w:t>
      </w:r>
      <w:r w:rsidR="008A6739" w:rsidRPr="00796736">
        <w:rPr>
          <w:rFonts w:ascii="Times New Roman" w:eastAsia="Calibri" w:hAnsi="Times New Roman" w:cs="Times New Roman"/>
          <w:i/>
          <w:sz w:val="24"/>
          <w:szCs w:val="24"/>
        </w:rPr>
        <w:t>ning</w:t>
      </w:r>
      <w:r w:rsidRPr="00796736">
        <w:rPr>
          <w:rFonts w:ascii="Times New Roman" w:eastAsia="Calibri" w:hAnsi="Times New Roman" w:cs="Times New Roman"/>
          <w:i/>
          <w:sz w:val="24"/>
          <w:szCs w:val="24"/>
        </w:rPr>
        <w:t xml:space="preserve"> af oplysninger</w:t>
      </w:r>
    </w:p>
    <w:p w14:paraId="5348DCA5" w14:textId="04E6DEB6" w:rsidR="001E05E6" w:rsidRPr="00796736" w:rsidRDefault="008A6739" w:rsidP="000B1AC2">
      <w:pPr>
        <w:pStyle w:val="Typografi1"/>
        <w:ind w:left="0" w:firstLine="238"/>
        <w:rPr>
          <w:rFonts w:ascii="Times New Roman" w:hAnsi="Times New Roman" w:cs="Times New Roman"/>
          <w:sz w:val="24"/>
          <w:szCs w:val="24"/>
        </w:rPr>
      </w:pPr>
      <w:bookmarkStart w:id="433" w:name="_Ref236144676"/>
      <w:bookmarkStart w:id="434" w:name="_Toc244879100"/>
      <w:bookmarkStart w:id="435" w:name="_Toc244880624"/>
      <w:r w:rsidRPr="00796736">
        <w:rPr>
          <w:rFonts w:ascii="Times New Roman" w:hAnsi="Times New Roman" w:cs="Times New Roman"/>
          <w:sz w:val="24"/>
          <w:szCs w:val="24"/>
        </w:rPr>
        <w:t xml:space="preserve">Virksomheder og personer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w:t>
      </w:r>
      <w:r w:rsidR="00EA2088" w:rsidRPr="00796736">
        <w:rPr>
          <w:rFonts w:ascii="Times New Roman" w:hAnsi="Times New Roman" w:cs="Times New Roman"/>
          <w:sz w:val="24"/>
          <w:szCs w:val="24"/>
        </w:rPr>
        <w:t>, samt leverandører og underleverandører til disse,</w:t>
      </w:r>
      <w:r w:rsidR="008B6E02" w:rsidRPr="00796736">
        <w:rPr>
          <w:rFonts w:ascii="Times New Roman" w:hAnsi="Times New Roman" w:cs="Times New Roman"/>
          <w:sz w:val="24"/>
          <w:szCs w:val="24"/>
        </w:rPr>
        <w:t xml:space="preserve"> skal give spillemyndigheden de oplysninger, der er nødvendige for spillemyndighedens virksomhed.</w:t>
      </w:r>
      <w:bookmarkEnd w:id="433"/>
      <w:bookmarkEnd w:id="434"/>
      <w:bookmarkEnd w:id="435"/>
    </w:p>
    <w:p w14:paraId="04F9F608" w14:textId="56954733" w:rsidR="008B6E02" w:rsidRPr="00796736" w:rsidRDefault="008B6E02" w:rsidP="000B1AC2">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t xml:space="preserve">Virksomheder og personer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xml:space="preserve">, stk. 1, </w:t>
      </w:r>
      <w:r w:rsidRPr="00796736">
        <w:rPr>
          <w:rFonts w:ascii="Times New Roman" w:hAnsi="Times New Roman" w:cs="Times New Roman"/>
          <w:sz w:val="24"/>
          <w:szCs w:val="24"/>
        </w:rPr>
        <w:t>skal give spillemyndigheden adgang til deres spilsystem ved hjælp af fjernadgang eller lignende, hvis spilsystemet ikke er placeret her i landet.</w:t>
      </w:r>
    </w:p>
    <w:p w14:paraId="04605279" w14:textId="24BB3A03" w:rsidR="008B6E02" w:rsidRPr="00796736" w:rsidRDefault="008B6E02" w:rsidP="000B1AC2">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Spillemyndigheden kan til enhver tid mod behørig legitimation uden retskendelse få adgang til </w:t>
      </w:r>
      <w:r w:rsidR="008A6739" w:rsidRPr="00796736">
        <w:rPr>
          <w:rFonts w:ascii="Times New Roman" w:hAnsi="Times New Roman" w:cs="Times New Roman"/>
          <w:sz w:val="24"/>
          <w:szCs w:val="24"/>
        </w:rPr>
        <w:t xml:space="preserve">virksomheder og personer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00EA2088"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med henblik på at indhente oplysninger, herunder ved </w:t>
      </w:r>
      <w:r w:rsidR="00EA2088" w:rsidRPr="00796736">
        <w:rPr>
          <w:rFonts w:ascii="Times New Roman" w:hAnsi="Times New Roman" w:cs="Times New Roman"/>
          <w:sz w:val="24"/>
          <w:szCs w:val="24"/>
        </w:rPr>
        <w:t>tilsyn</w:t>
      </w:r>
      <w:r w:rsidRPr="00796736">
        <w:rPr>
          <w:rFonts w:ascii="Times New Roman" w:hAnsi="Times New Roman" w:cs="Times New Roman"/>
          <w:sz w:val="24"/>
          <w:szCs w:val="24"/>
        </w:rPr>
        <w:t>.</w:t>
      </w:r>
    </w:p>
    <w:p w14:paraId="4412351B" w14:textId="77777777" w:rsidR="006D245B" w:rsidRPr="00796736" w:rsidRDefault="008B6E02" w:rsidP="000B1AC2">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4</w:t>
      </w:r>
      <w:r w:rsidRPr="00796736">
        <w:rPr>
          <w:rFonts w:ascii="Times New Roman" w:hAnsi="Times New Roman" w:cs="Times New Roman"/>
          <w:sz w:val="24"/>
          <w:szCs w:val="24"/>
        </w:rPr>
        <w:t>. Med henblik på opfyldelse af stk. 3 skal spillemyndigheden som minimum kunne:</w:t>
      </w:r>
    </w:p>
    <w:p w14:paraId="01485FBB" w14:textId="3ECF25C1" w:rsidR="006D245B" w:rsidRPr="00796736" w:rsidRDefault="008B6E02">
      <w:pPr>
        <w:pStyle w:val="Listeafsnit"/>
        <w:numPr>
          <w:ilvl w:val="0"/>
          <w:numId w:val="106"/>
        </w:numPr>
        <w:spacing w:line="360" w:lineRule="auto"/>
        <w:ind w:left="598"/>
        <w:rPr>
          <w:rFonts w:ascii="Times New Roman" w:hAnsi="Times New Roman" w:cs="Times New Roman"/>
          <w:sz w:val="24"/>
          <w:szCs w:val="24"/>
        </w:rPr>
      </w:pPr>
      <w:r w:rsidRPr="00796736">
        <w:rPr>
          <w:rFonts w:ascii="Times New Roman" w:hAnsi="Times New Roman" w:cs="Times New Roman"/>
          <w:sz w:val="24"/>
          <w:szCs w:val="24"/>
        </w:rPr>
        <w:t xml:space="preserve">undersøge regnskaber og registre tilhørende </w:t>
      </w:r>
      <w:r w:rsidR="008A6739" w:rsidRPr="00796736">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xml:space="preserve">, stk. 1, nr. 1, </w:t>
      </w:r>
      <w:r w:rsidRPr="00796736">
        <w:rPr>
          <w:rFonts w:ascii="Times New Roman" w:hAnsi="Times New Roman" w:cs="Times New Roman"/>
          <w:sz w:val="24"/>
          <w:szCs w:val="24"/>
        </w:rPr>
        <w:t>og tage kopier eller uddrag af sådanne regnskaber og registre,</w:t>
      </w:r>
    </w:p>
    <w:p w14:paraId="4CCECE29" w14:textId="068B4093" w:rsidR="006D245B" w:rsidRPr="00796736" w:rsidRDefault="008B6E02">
      <w:pPr>
        <w:pStyle w:val="Listeafsnit"/>
        <w:numPr>
          <w:ilvl w:val="0"/>
          <w:numId w:val="106"/>
        </w:numPr>
        <w:spacing w:line="360" w:lineRule="auto"/>
        <w:ind w:left="598"/>
        <w:rPr>
          <w:rFonts w:ascii="Times New Roman" w:hAnsi="Times New Roman" w:cs="Times New Roman"/>
          <w:sz w:val="24"/>
          <w:szCs w:val="24"/>
        </w:rPr>
      </w:pPr>
      <w:r w:rsidRPr="00796736">
        <w:rPr>
          <w:rFonts w:ascii="Times New Roman" w:hAnsi="Times New Roman" w:cs="Times New Roman"/>
          <w:sz w:val="24"/>
          <w:szCs w:val="24"/>
        </w:rPr>
        <w:t xml:space="preserve">få adgang til software, databaser, IT-værktøjer </w:t>
      </w:r>
      <w:r w:rsidR="00DF1D0A" w:rsidRPr="00796736">
        <w:rPr>
          <w:rFonts w:ascii="Times New Roman" w:hAnsi="Times New Roman" w:cs="Times New Roman"/>
          <w:sz w:val="24"/>
          <w:szCs w:val="24"/>
        </w:rPr>
        <w:t>eller</w:t>
      </w:r>
      <w:r w:rsidRPr="00796736">
        <w:rPr>
          <w:rFonts w:ascii="Times New Roman" w:hAnsi="Times New Roman" w:cs="Times New Roman"/>
          <w:sz w:val="24"/>
          <w:szCs w:val="24"/>
        </w:rPr>
        <w:t xml:space="preserve"> andre elektroniske midler til registrering af oplysninger, der anvendes af </w:t>
      </w:r>
      <w:r w:rsidR="008A6739" w:rsidRPr="00796736">
        <w:rPr>
          <w:rFonts w:ascii="Times New Roman" w:hAnsi="Times New Roman" w:cs="Times New Roman"/>
          <w:sz w:val="24"/>
          <w:szCs w:val="24"/>
        </w:rPr>
        <w:t xml:space="preserve">virksomheder og personer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Pr="00796736">
        <w:rPr>
          <w:rFonts w:ascii="Times New Roman" w:hAnsi="Times New Roman" w:cs="Times New Roman"/>
          <w:sz w:val="24"/>
          <w:szCs w:val="24"/>
        </w:rPr>
        <w:t>,</w:t>
      </w:r>
      <w:r w:rsidR="00DF1D0A" w:rsidRPr="00796736">
        <w:rPr>
          <w:rFonts w:ascii="Times New Roman" w:hAnsi="Times New Roman" w:cs="Times New Roman"/>
          <w:sz w:val="24"/>
          <w:szCs w:val="24"/>
        </w:rPr>
        <w:t xml:space="preserve"> og</w:t>
      </w:r>
    </w:p>
    <w:p w14:paraId="39D099F3" w14:textId="1CC2EA82" w:rsidR="008B6E02" w:rsidRPr="00796736" w:rsidRDefault="008B6E02">
      <w:pPr>
        <w:pStyle w:val="Listeafsnit"/>
        <w:numPr>
          <w:ilvl w:val="0"/>
          <w:numId w:val="106"/>
        </w:numPr>
        <w:spacing w:line="360" w:lineRule="auto"/>
        <w:ind w:left="598"/>
        <w:rPr>
          <w:rFonts w:ascii="Times New Roman" w:hAnsi="Times New Roman" w:cs="Times New Roman"/>
          <w:sz w:val="24"/>
          <w:szCs w:val="24"/>
        </w:rPr>
      </w:pPr>
      <w:r w:rsidRPr="00796736">
        <w:rPr>
          <w:rFonts w:ascii="Times New Roman" w:hAnsi="Times New Roman" w:cs="Times New Roman"/>
          <w:sz w:val="24"/>
          <w:szCs w:val="24"/>
        </w:rPr>
        <w:t>indhente skriftlige eller mundtlige oplysninger fra enhver person, der er ansvarlig for de interne politikker, procedurer og kontroller for bekæmpelse af hvidvask af penge og finansiering af terrorisme, eller deres repræsentanter eller personale, samt fra repræsentanter for eller personale i enheder, som den forpligtede enhed har outsourcet opgaver til i henhold til</w:t>
      </w:r>
      <w:r w:rsidR="00DF1D0A" w:rsidRPr="00796736">
        <w:rPr>
          <w:rFonts w:ascii="Times New Roman" w:hAnsi="Times New Roman" w:cs="Times New Roman"/>
          <w:sz w:val="24"/>
          <w:szCs w:val="24"/>
        </w:rPr>
        <w:t xml:space="preserve"> hvidvaskforordningens</w:t>
      </w:r>
      <w:r w:rsidRPr="00796736">
        <w:rPr>
          <w:rFonts w:ascii="Times New Roman" w:hAnsi="Times New Roman" w:cs="Times New Roman"/>
          <w:sz w:val="24"/>
          <w:szCs w:val="24"/>
        </w:rPr>
        <w:t xml:space="preserve"> artikel 18, og udspørge enhver anden person, der samtykker heri, med det formål at indhente oplysninger om genstanden for en efterforskning</w:t>
      </w:r>
      <w:r w:rsidR="006D245B" w:rsidRPr="00796736">
        <w:rPr>
          <w:rFonts w:ascii="Times New Roman" w:hAnsi="Times New Roman" w:cs="Times New Roman"/>
          <w:sz w:val="24"/>
          <w:szCs w:val="24"/>
        </w:rPr>
        <w:t>.</w:t>
      </w:r>
    </w:p>
    <w:p w14:paraId="48B18399" w14:textId="77777777" w:rsidR="008142CD" w:rsidRPr="00796736" w:rsidRDefault="008142CD" w:rsidP="00A802A5">
      <w:pPr>
        <w:spacing w:line="360" w:lineRule="auto"/>
        <w:rPr>
          <w:rFonts w:ascii="Times New Roman" w:hAnsi="Times New Roman" w:cs="Times New Roman"/>
          <w:sz w:val="24"/>
          <w:szCs w:val="24"/>
        </w:rPr>
      </w:pPr>
    </w:p>
    <w:p w14:paraId="2000320A" w14:textId="3C23DFEE" w:rsidR="0007131A" w:rsidRPr="00796736" w:rsidRDefault="008142CD" w:rsidP="00A802A5">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Spillemyndighedens påbuds- og sanktionsbeføjelser</w:t>
      </w:r>
    </w:p>
    <w:p w14:paraId="0DE4D694" w14:textId="256DFA6A" w:rsidR="00EA2088" w:rsidRPr="00796736" w:rsidRDefault="00EA2088" w:rsidP="006724B2">
      <w:pPr>
        <w:pStyle w:val="Typografi1"/>
        <w:ind w:left="0" w:firstLine="238"/>
        <w:rPr>
          <w:rFonts w:ascii="Times New Roman" w:hAnsi="Times New Roman" w:cs="Times New Roman"/>
          <w:sz w:val="24"/>
          <w:szCs w:val="24"/>
        </w:rPr>
      </w:pPr>
      <w:bookmarkStart w:id="436" w:name="_Ref236144985"/>
      <w:bookmarkStart w:id="437" w:name="_Ref232609477"/>
      <w:bookmarkStart w:id="438" w:name="_Toc244879101"/>
      <w:bookmarkStart w:id="439" w:name="_Toc244880625"/>
      <w:r w:rsidRPr="00796736">
        <w:rPr>
          <w:rFonts w:ascii="Times New Roman" w:hAnsi="Times New Roman" w:cs="Times New Roman"/>
          <w:sz w:val="24"/>
          <w:szCs w:val="24"/>
        </w:rPr>
        <w:t>Spillemyndigheden kan træffe afgørelse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_Ref236143955 \r \h </w:instrText>
      </w:r>
      <w:r w:rsidR="00F7751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002D41B0" w:rsidRPr="00796736">
        <w:rPr>
          <w:rFonts w:ascii="Times New Roman" w:hAnsi="Times New Roman" w:cs="Times New Roman"/>
          <w:sz w:val="24"/>
          <w:szCs w:val="24"/>
        </w:rPr>
        <w:fldChar w:fldCharType="begin"/>
      </w:r>
      <w:r w:rsidR="002D41B0" w:rsidRPr="00796736">
        <w:rPr>
          <w:rFonts w:ascii="Times New Roman" w:hAnsi="Times New Roman" w:cs="Times New Roman"/>
          <w:sz w:val="24"/>
          <w:szCs w:val="24"/>
        </w:rPr>
        <w:instrText xml:space="preserve"> REF _Ref236145057 \r \h </w:instrText>
      </w:r>
      <w:r w:rsidR="00F7751F" w:rsidRPr="00796736">
        <w:rPr>
          <w:rFonts w:ascii="Times New Roman" w:hAnsi="Times New Roman" w:cs="Times New Roman"/>
          <w:sz w:val="24"/>
          <w:szCs w:val="24"/>
        </w:rPr>
        <w:instrText xml:space="preserve"> \* MERGEFORMAT </w:instrText>
      </w:r>
      <w:r w:rsidR="002D41B0" w:rsidRPr="00796736">
        <w:rPr>
          <w:rFonts w:ascii="Times New Roman" w:hAnsi="Times New Roman" w:cs="Times New Roman"/>
          <w:sz w:val="24"/>
          <w:szCs w:val="24"/>
        </w:rPr>
      </w:r>
      <w:r w:rsidR="002D41B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121</w:t>
      </w:r>
      <w:r w:rsidR="002D41B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hvis </w:t>
      </w:r>
      <w:r w:rsidR="00DF1D0A" w:rsidRPr="00796736">
        <w:rPr>
          <w:rFonts w:ascii="Times New Roman" w:hAnsi="Times New Roman" w:cs="Times New Roman"/>
          <w:sz w:val="24"/>
          <w:szCs w:val="24"/>
        </w:rPr>
        <w:t>s</w:t>
      </w:r>
      <w:r w:rsidRPr="00796736">
        <w:rPr>
          <w:rFonts w:ascii="Times New Roman" w:hAnsi="Times New Roman" w:cs="Times New Roman"/>
          <w:sz w:val="24"/>
          <w:szCs w:val="24"/>
        </w:rPr>
        <w:t>pillemyndigheden konstaterer:</w:t>
      </w:r>
      <w:bookmarkEnd w:id="436"/>
      <w:bookmarkEnd w:id="438"/>
      <w:bookmarkEnd w:id="439"/>
    </w:p>
    <w:p w14:paraId="64BDD9BA" w14:textId="66DBD929" w:rsidR="00EA2088" w:rsidRPr="00796736" w:rsidRDefault="00EA2088">
      <w:pPr>
        <w:pStyle w:val="Listeafsnit"/>
        <w:numPr>
          <w:ilvl w:val="0"/>
          <w:numId w:val="107"/>
        </w:numPr>
        <w:spacing w:line="360" w:lineRule="auto"/>
        <w:ind w:left="598"/>
        <w:rPr>
          <w:rFonts w:ascii="Times New Roman" w:hAnsi="Times New Roman" w:cs="Times New Roman"/>
          <w:sz w:val="24"/>
          <w:szCs w:val="24"/>
        </w:rPr>
      </w:pPr>
      <w:r w:rsidRPr="00796736">
        <w:rPr>
          <w:rFonts w:ascii="Times New Roman" w:hAnsi="Times New Roman" w:cs="Times New Roman"/>
          <w:sz w:val="24"/>
          <w:szCs w:val="24"/>
        </w:rPr>
        <w:t>overtrædelse af bestemmelser i hvidvaskforordningen, denne lov og de regler</w:t>
      </w:r>
      <w:r w:rsidR="00DF1D0A" w:rsidRPr="00796736">
        <w:rPr>
          <w:rFonts w:ascii="Times New Roman" w:hAnsi="Times New Roman" w:cs="Times New Roman"/>
          <w:sz w:val="24"/>
          <w:szCs w:val="24"/>
        </w:rPr>
        <w:t>,</w:t>
      </w:r>
      <w:r w:rsidRPr="00796736">
        <w:rPr>
          <w:rFonts w:ascii="Times New Roman" w:hAnsi="Times New Roman" w:cs="Times New Roman"/>
          <w:sz w:val="24"/>
          <w:szCs w:val="24"/>
        </w:rPr>
        <w:t xml:space="preserve"> der er udstedt i medfør heraf eller Europa-Parlamentets og Rådets forordninger indeholdende regler om finansielle sanktioner mod lande, personer, grupper, juridiske enheder eller organer, </w:t>
      </w:r>
    </w:p>
    <w:p w14:paraId="745D3397" w14:textId="0B48929E" w:rsidR="00EA2088" w:rsidRPr="00796736" w:rsidRDefault="00EA2088">
      <w:pPr>
        <w:pStyle w:val="Listeafsnit"/>
        <w:numPr>
          <w:ilvl w:val="0"/>
          <w:numId w:val="107"/>
        </w:numPr>
        <w:spacing w:line="360" w:lineRule="auto"/>
        <w:ind w:left="598"/>
        <w:rPr>
          <w:rFonts w:ascii="Times New Roman" w:hAnsi="Times New Roman" w:cs="Times New Roman"/>
          <w:sz w:val="24"/>
          <w:szCs w:val="24"/>
        </w:rPr>
      </w:pPr>
      <w:r w:rsidRPr="00796736">
        <w:rPr>
          <w:rFonts w:ascii="Times New Roman" w:hAnsi="Times New Roman" w:cs="Times New Roman"/>
          <w:sz w:val="24"/>
          <w:szCs w:val="24"/>
        </w:rPr>
        <w:t>svagheder i interne politikker, procedurer og kontroller, som sandsynligvis vil føre til en overtrædelse af de krav, der fremgår af nr. 1,</w:t>
      </w:r>
      <w:r w:rsidR="00DF1D0A" w:rsidRPr="00796736">
        <w:rPr>
          <w:rFonts w:ascii="Times New Roman" w:hAnsi="Times New Roman" w:cs="Times New Roman"/>
          <w:sz w:val="24"/>
          <w:szCs w:val="24"/>
        </w:rPr>
        <w:t xml:space="preserve"> eller</w:t>
      </w:r>
    </w:p>
    <w:p w14:paraId="3B57DC47" w14:textId="14D2A194" w:rsidR="00D55072" w:rsidRPr="00796736" w:rsidRDefault="00D55072">
      <w:pPr>
        <w:pStyle w:val="Listeafsnit"/>
        <w:numPr>
          <w:ilvl w:val="0"/>
          <w:numId w:val="107"/>
        </w:numPr>
        <w:spacing w:line="360" w:lineRule="auto"/>
        <w:ind w:left="598"/>
        <w:rPr>
          <w:rFonts w:ascii="Times New Roman" w:hAnsi="Times New Roman" w:cs="Times New Roman"/>
          <w:sz w:val="24"/>
          <w:szCs w:val="24"/>
        </w:rPr>
      </w:pPr>
      <w:r w:rsidRPr="00796736">
        <w:rPr>
          <w:rFonts w:ascii="Times New Roman" w:hAnsi="Times New Roman" w:cs="Times New Roman"/>
          <w:sz w:val="24"/>
          <w:szCs w:val="24"/>
        </w:rPr>
        <w:t xml:space="preserve">at interne politikker, procedurer og kontroller ikke står i et rimeligt forhold til de risici for hvidvask, de underliggende lovovertrædelser eller finansiering af terrorisme, som virksomheder og personer, som 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_Ref239189479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er eksponeret for.</w:t>
      </w:r>
    </w:p>
    <w:p w14:paraId="1C4E4444" w14:textId="77777777" w:rsidR="00EA2088" w:rsidRPr="00796736" w:rsidRDefault="00EA2088" w:rsidP="00A802A5">
      <w:pPr>
        <w:spacing w:line="360" w:lineRule="auto"/>
        <w:rPr>
          <w:rFonts w:ascii="Times New Roman" w:hAnsi="Times New Roman" w:cs="Times New Roman"/>
          <w:sz w:val="24"/>
          <w:szCs w:val="24"/>
        </w:rPr>
      </w:pPr>
    </w:p>
    <w:p w14:paraId="7FE50719" w14:textId="449C7DFB" w:rsidR="0007131A" w:rsidRPr="00796736" w:rsidRDefault="0007131A" w:rsidP="00663CC3">
      <w:pPr>
        <w:pStyle w:val="Typografi1"/>
        <w:ind w:left="0" w:firstLine="238"/>
        <w:rPr>
          <w:rFonts w:ascii="Times New Roman" w:eastAsia="Times New Roman" w:hAnsi="Times New Roman" w:cs="Times New Roman"/>
          <w:sz w:val="24"/>
          <w:szCs w:val="24"/>
        </w:rPr>
      </w:pPr>
      <w:bookmarkStart w:id="440" w:name="_Ref236143955"/>
      <w:bookmarkStart w:id="441" w:name="_Ref236643746"/>
      <w:bookmarkStart w:id="442" w:name="_Toc244879102"/>
      <w:bookmarkStart w:id="443" w:name="_Toc244880626"/>
      <w:r w:rsidRPr="00796736">
        <w:rPr>
          <w:rFonts w:ascii="Times New Roman" w:hAnsi="Times New Roman" w:cs="Times New Roman"/>
          <w:sz w:val="24"/>
          <w:szCs w:val="24"/>
        </w:rPr>
        <w:t>Spillemyndigheden kan</w:t>
      </w:r>
      <w:r w:rsidR="00DF1D0A" w:rsidRPr="00796736">
        <w:rPr>
          <w:rFonts w:ascii="Times New Roman" w:hAnsi="Times New Roman" w:cs="Times New Roman"/>
          <w:sz w:val="24"/>
          <w:szCs w:val="24"/>
        </w:rPr>
        <w:t xml:space="preserve"> i tilfælde omfattet af </w:t>
      </w:r>
      <w:r w:rsidR="00DF1D0A" w:rsidRPr="00796736">
        <w:rPr>
          <w:rFonts w:ascii="Times New Roman" w:hAnsi="Times New Roman" w:cs="Times New Roman"/>
          <w:sz w:val="24"/>
          <w:szCs w:val="24"/>
        </w:rPr>
        <w:fldChar w:fldCharType="begin"/>
      </w:r>
      <w:r w:rsidR="00DF1D0A" w:rsidRPr="00796736">
        <w:rPr>
          <w:rFonts w:ascii="Times New Roman" w:hAnsi="Times New Roman" w:cs="Times New Roman"/>
          <w:sz w:val="24"/>
          <w:szCs w:val="24"/>
        </w:rPr>
        <w:instrText xml:space="preserve"> REF _Ref236144985 \r \h </w:instrText>
      </w:r>
      <w:r w:rsidR="007F4BB9" w:rsidRPr="00796736">
        <w:rPr>
          <w:rFonts w:ascii="Times New Roman" w:hAnsi="Times New Roman" w:cs="Times New Roman"/>
          <w:sz w:val="24"/>
          <w:szCs w:val="24"/>
        </w:rPr>
        <w:instrText xml:space="preserve"> \* MERGEFORMAT </w:instrText>
      </w:r>
      <w:r w:rsidR="00DF1D0A" w:rsidRPr="00796736">
        <w:rPr>
          <w:rFonts w:ascii="Times New Roman" w:hAnsi="Times New Roman" w:cs="Times New Roman"/>
          <w:sz w:val="24"/>
          <w:szCs w:val="24"/>
        </w:rPr>
      </w:r>
      <w:r w:rsidR="00DF1D0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117</w:t>
      </w:r>
      <w:r w:rsidR="00DF1D0A" w:rsidRPr="00796736">
        <w:rPr>
          <w:rFonts w:ascii="Times New Roman" w:hAnsi="Times New Roman" w:cs="Times New Roman"/>
          <w:sz w:val="24"/>
          <w:szCs w:val="24"/>
        </w:rPr>
        <w:fldChar w:fldCharType="end"/>
      </w:r>
      <w:r w:rsidR="00DF1D0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inden for en af spillemyndigheden fastsat frist påbyde </w:t>
      </w:r>
      <w:r w:rsidR="00994781" w:rsidRPr="00796736">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t xml:space="preserve">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w:t>
      </w:r>
      <w:r w:rsidR="00A956D8" w:rsidRPr="00796736">
        <w:rPr>
          <w:rFonts w:ascii="Times New Roman" w:hAnsi="Times New Roman" w:cs="Times New Roman"/>
          <w:sz w:val="24"/>
          <w:szCs w:val="24"/>
        </w:rPr>
        <w:t xml:space="preserve">, </w:t>
      </w:r>
      <w:r w:rsidRPr="00796736">
        <w:rPr>
          <w:rFonts w:ascii="Times New Roman" w:hAnsi="Times New Roman" w:cs="Times New Roman"/>
          <w:sz w:val="24"/>
          <w:szCs w:val="24"/>
        </w:rPr>
        <w:t>at foretage de nødvendige foranstaltninger</w:t>
      </w:r>
      <w:bookmarkEnd w:id="437"/>
      <w:bookmarkEnd w:id="440"/>
      <w:r w:rsidRPr="00796736">
        <w:rPr>
          <w:rFonts w:ascii="Times New Roman" w:eastAsia="Times New Roman" w:hAnsi="Times New Roman" w:cs="Times New Roman"/>
          <w:sz w:val="24"/>
          <w:szCs w:val="24"/>
        </w:rPr>
        <w:t>.</w:t>
      </w:r>
      <w:bookmarkEnd w:id="441"/>
      <w:bookmarkEnd w:id="442"/>
      <w:bookmarkEnd w:id="443"/>
    </w:p>
    <w:p w14:paraId="104E45CB" w14:textId="35072270" w:rsidR="0007131A" w:rsidRPr="00796736" w:rsidRDefault="0007131A" w:rsidP="00663CC3">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xml:space="preserve"> Reaktioner givet efter stk. 1 træffes på grundlag af det materiale og de oplysninger, som foreligger </w:t>
      </w:r>
      <w:r w:rsidR="008A6739" w:rsidRPr="00796736">
        <w:rPr>
          <w:rFonts w:ascii="Times New Roman" w:eastAsia="Times New Roman" w:hAnsi="Times New Roman" w:cs="Times New Roman"/>
          <w:sz w:val="24"/>
          <w:szCs w:val="24"/>
          <w:lang w:eastAsia="da-DK"/>
        </w:rPr>
        <w:t>senest på undersøgelses</w:t>
      </w:r>
      <w:r w:rsidRPr="00796736">
        <w:rPr>
          <w:rFonts w:ascii="Times New Roman" w:eastAsia="Times New Roman" w:hAnsi="Times New Roman" w:cs="Times New Roman"/>
          <w:sz w:val="24"/>
          <w:szCs w:val="24"/>
          <w:lang w:eastAsia="da-DK"/>
        </w:rPr>
        <w:t>tidspunktet. Oplysninger og materiale fremlagt efter dette tidspunkt indgår ikke i grundlaget for afgørelsen, medmindre særlige forhold taler herfor.</w:t>
      </w:r>
    </w:p>
    <w:p w14:paraId="25D82C07" w14:textId="77777777" w:rsidR="0007131A" w:rsidRPr="00796736" w:rsidRDefault="0007131A" w:rsidP="00A802A5">
      <w:pPr>
        <w:spacing w:line="360" w:lineRule="auto"/>
        <w:ind w:firstLine="238"/>
        <w:rPr>
          <w:rFonts w:ascii="Times New Roman" w:eastAsia="Times New Roman" w:hAnsi="Times New Roman" w:cs="Times New Roman"/>
          <w:sz w:val="24"/>
          <w:szCs w:val="24"/>
        </w:rPr>
      </w:pPr>
    </w:p>
    <w:p w14:paraId="711DD39E" w14:textId="77D28E2F" w:rsidR="0007131A" w:rsidRPr="00796736" w:rsidRDefault="0007131A" w:rsidP="00663CC3">
      <w:pPr>
        <w:pStyle w:val="Typografi1"/>
        <w:ind w:left="0" w:firstLine="238"/>
        <w:rPr>
          <w:rFonts w:ascii="Times New Roman" w:hAnsi="Times New Roman" w:cs="Times New Roman"/>
          <w:sz w:val="24"/>
          <w:szCs w:val="24"/>
        </w:rPr>
      </w:pPr>
      <w:bookmarkStart w:id="444" w:name="_Ref232609511"/>
      <w:bookmarkStart w:id="445" w:name="_Toc244879103"/>
      <w:bookmarkStart w:id="446" w:name="_Toc244880627"/>
      <w:r w:rsidRPr="00796736">
        <w:rPr>
          <w:rFonts w:ascii="Times New Roman" w:hAnsi="Times New Roman" w:cs="Times New Roman"/>
          <w:sz w:val="24"/>
          <w:szCs w:val="24"/>
        </w:rPr>
        <w:t>Spillemyndigheden kan</w:t>
      </w:r>
      <w:r w:rsidR="00DF1D0A" w:rsidRPr="00796736">
        <w:rPr>
          <w:rFonts w:ascii="Times New Roman" w:hAnsi="Times New Roman" w:cs="Times New Roman"/>
          <w:sz w:val="24"/>
          <w:szCs w:val="24"/>
        </w:rPr>
        <w:t xml:space="preserve"> i tilfælde omfattet af </w:t>
      </w:r>
      <w:r w:rsidR="00DF1D0A" w:rsidRPr="00796736">
        <w:rPr>
          <w:rFonts w:ascii="Times New Roman" w:hAnsi="Times New Roman" w:cs="Times New Roman"/>
          <w:sz w:val="24"/>
          <w:szCs w:val="24"/>
        </w:rPr>
        <w:fldChar w:fldCharType="begin"/>
      </w:r>
      <w:r w:rsidR="00DF1D0A" w:rsidRPr="00796736">
        <w:rPr>
          <w:rFonts w:ascii="Times New Roman" w:hAnsi="Times New Roman" w:cs="Times New Roman"/>
          <w:sz w:val="24"/>
          <w:szCs w:val="24"/>
        </w:rPr>
        <w:instrText xml:space="preserve"> REF _Ref236144985 \r \h </w:instrText>
      </w:r>
      <w:r w:rsidR="007F4BB9" w:rsidRPr="00796736">
        <w:rPr>
          <w:rFonts w:ascii="Times New Roman" w:hAnsi="Times New Roman" w:cs="Times New Roman"/>
          <w:sz w:val="24"/>
          <w:szCs w:val="24"/>
        </w:rPr>
        <w:instrText xml:space="preserve"> \* MERGEFORMAT </w:instrText>
      </w:r>
      <w:r w:rsidR="00DF1D0A" w:rsidRPr="00796736">
        <w:rPr>
          <w:rFonts w:ascii="Times New Roman" w:hAnsi="Times New Roman" w:cs="Times New Roman"/>
          <w:sz w:val="24"/>
          <w:szCs w:val="24"/>
        </w:rPr>
      </w:r>
      <w:r w:rsidR="00DF1D0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117</w:t>
      </w:r>
      <w:r w:rsidR="00DF1D0A" w:rsidRPr="00796736">
        <w:rPr>
          <w:rFonts w:ascii="Times New Roman" w:hAnsi="Times New Roman" w:cs="Times New Roman"/>
          <w:sz w:val="24"/>
          <w:szCs w:val="24"/>
        </w:rPr>
        <w:fldChar w:fldCharType="end"/>
      </w:r>
      <w:r w:rsidR="00DF1D0A" w:rsidRPr="00796736">
        <w:rPr>
          <w:rFonts w:ascii="Times New Roman" w:hAnsi="Times New Roman" w:cs="Times New Roman"/>
          <w:sz w:val="24"/>
          <w:szCs w:val="24"/>
        </w:rPr>
        <w:t xml:space="preserve"> </w:t>
      </w:r>
      <w:r w:rsidRPr="00796736">
        <w:rPr>
          <w:rFonts w:ascii="Times New Roman" w:hAnsi="Times New Roman" w:cs="Times New Roman"/>
          <w:sz w:val="24"/>
          <w:szCs w:val="24"/>
        </w:rPr>
        <w:t>påbyde</w:t>
      </w:r>
      <w:r w:rsidR="008A6739" w:rsidRPr="00796736">
        <w:rPr>
          <w:rFonts w:ascii="Times New Roman" w:hAnsi="Times New Roman" w:cs="Times New Roman"/>
          <w:sz w:val="24"/>
          <w:szCs w:val="24"/>
        </w:rPr>
        <w:t xml:space="preserve"> </w:t>
      </w:r>
      <w:r w:rsidR="002D41B0" w:rsidRPr="00796736">
        <w:rPr>
          <w:rFonts w:ascii="Times New Roman" w:hAnsi="Times New Roman" w:cs="Times New Roman"/>
          <w:sz w:val="24"/>
          <w:szCs w:val="24"/>
        </w:rPr>
        <w:t>virksomheder og personer</w:t>
      </w:r>
      <w:r w:rsidR="008A6739" w:rsidRPr="00796736">
        <w:rPr>
          <w:rFonts w:ascii="Times New Roman" w:hAnsi="Times New Roman" w:cs="Times New Roman"/>
          <w:sz w:val="24"/>
          <w:szCs w:val="24"/>
        </w:rPr>
        <w:t xml:space="preserve">, </w:t>
      </w:r>
      <w:r w:rsidR="00DF1D0A" w:rsidRPr="00796736">
        <w:rPr>
          <w:rFonts w:ascii="Times New Roman" w:hAnsi="Times New Roman" w:cs="Times New Roman"/>
          <w:sz w:val="24"/>
          <w:szCs w:val="24"/>
        </w:rPr>
        <w:t>omfattet af</w:t>
      </w:r>
      <w:r w:rsidR="008A6739"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xml:space="preserve">, stk. 1, </w:t>
      </w:r>
      <w:r w:rsidRPr="00796736">
        <w:rPr>
          <w:rFonts w:ascii="Times New Roman" w:hAnsi="Times New Roman" w:cs="Times New Roman"/>
          <w:sz w:val="24"/>
          <w:szCs w:val="24"/>
        </w:rPr>
        <w:t xml:space="preserve">at </w:t>
      </w:r>
      <w:r w:rsidR="002D41B0" w:rsidRPr="00796736">
        <w:rPr>
          <w:rFonts w:ascii="Times New Roman" w:hAnsi="Times New Roman" w:cs="Times New Roman"/>
          <w:sz w:val="24"/>
          <w:szCs w:val="24"/>
        </w:rPr>
        <w:t>virksomhede</w:t>
      </w:r>
      <w:r w:rsidR="008A6739" w:rsidRPr="00796736">
        <w:rPr>
          <w:rFonts w:ascii="Times New Roman" w:hAnsi="Times New Roman" w:cs="Times New Roman"/>
          <w:sz w:val="24"/>
          <w:szCs w:val="24"/>
        </w:rPr>
        <w:t>n</w:t>
      </w:r>
      <w:r w:rsidR="002D41B0"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t>eller</w:t>
      </w:r>
      <w:r w:rsidR="002D41B0" w:rsidRPr="00796736">
        <w:rPr>
          <w:rFonts w:ascii="Times New Roman" w:hAnsi="Times New Roman" w:cs="Times New Roman"/>
          <w:sz w:val="24"/>
          <w:szCs w:val="24"/>
        </w:rPr>
        <w:t xml:space="preserve"> persone</w:t>
      </w:r>
      <w:r w:rsidR="008A6739" w:rsidRPr="00796736">
        <w:rPr>
          <w:rFonts w:ascii="Times New Roman" w:hAnsi="Times New Roman" w:cs="Times New Roman"/>
          <w:sz w:val="24"/>
          <w:szCs w:val="24"/>
        </w:rPr>
        <w:t>n</w:t>
      </w:r>
      <w:r w:rsidRPr="00796736">
        <w:rPr>
          <w:rFonts w:ascii="Times New Roman" w:hAnsi="Times New Roman" w:cs="Times New Roman"/>
          <w:sz w:val="24"/>
          <w:szCs w:val="24"/>
        </w:rPr>
        <w:t>,</w:t>
      </w:r>
      <w:bookmarkEnd w:id="444"/>
      <w:bookmarkEnd w:id="445"/>
      <w:bookmarkEnd w:id="446"/>
    </w:p>
    <w:p w14:paraId="204C54C1" w14:textId="441C87A0" w:rsidR="0007131A" w:rsidRPr="00796736" w:rsidRDefault="0007131A">
      <w:pPr>
        <w:pStyle w:val="Listeafsnit"/>
        <w:numPr>
          <w:ilvl w:val="0"/>
          <w:numId w:val="108"/>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midlertidigt ikke må udøve en af spillemyndigheden nærmere afgrænset forretningsaktivitet</w:t>
      </w:r>
      <w:r w:rsidR="008A6739" w:rsidRPr="00796736">
        <w:rPr>
          <w:rFonts w:ascii="Times New Roman" w:eastAsia="Times New Roman" w:hAnsi="Times New Roman" w:cs="Times New Roman"/>
          <w:sz w:val="24"/>
          <w:szCs w:val="24"/>
        </w:rPr>
        <w:t>,</w:t>
      </w:r>
    </w:p>
    <w:p w14:paraId="2B5C296F" w14:textId="75305666" w:rsidR="0007131A" w:rsidRPr="00796736" w:rsidRDefault="0007131A">
      <w:pPr>
        <w:pStyle w:val="Listeafsnit"/>
        <w:numPr>
          <w:ilvl w:val="0"/>
          <w:numId w:val="108"/>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midlertidigt ikke må gennemføre en af spillemyndigheden nærmere afgrænset type af transaktioner</w:t>
      </w:r>
      <w:r w:rsidR="008A6739" w:rsidRPr="00796736">
        <w:rPr>
          <w:rFonts w:ascii="Times New Roman" w:eastAsia="Times New Roman" w:hAnsi="Times New Roman" w:cs="Times New Roman"/>
          <w:sz w:val="24"/>
          <w:szCs w:val="24"/>
        </w:rPr>
        <w:t>,</w:t>
      </w:r>
      <w:r w:rsidR="00DF1D0A" w:rsidRPr="00796736">
        <w:rPr>
          <w:rFonts w:ascii="Times New Roman" w:eastAsia="Times New Roman" w:hAnsi="Times New Roman" w:cs="Times New Roman"/>
          <w:sz w:val="24"/>
          <w:szCs w:val="24"/>
        </w:rPr>
        <w:t xml:space="preserve"> eller</w:t>
      </w:r>
    </w:p>
    <w:p w14:paraId="01903CE9" w14:textId="7255A928" w:rsidR="0007131A" w:rsidRPr="00796736" w:rsidRDefault="0007131A">
      <w:pPr>
        <w:pStyle w:val="Listeafsnit"/>
        <w:numPr>
          <w:ilvl w:val="0"/>
          <w:numId w:val="108"/>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skal afhænde aktiviteter</w:t>
      </w:r>
      <w:r w:rsidR="002D41B0" w:rsidRPr="00796736">
        <w:rPr>
          <w:rFonts w:ascii="Times New Roman" w:eastAsia="Times New Roman" w:hAnsi="Times New Roman" w:cs="Times New Roman"/>
          <w:sz w:val="24"/>
          <w:szCs w:val="24"/>
        </w:rPr>
        <w:t>.</w:t>
      </w:r>
    </w:p>
    <w:p w14:paraId="157D555E" w14:textId="1A05D5DD" w:rsidR="0007131A" w:rsidRPr="00796736" w:rsidRDefault="0007131A" w:rsidP="00663CC3">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 xml:space="preserve">Stk. 2. </w:t>
      </w:r>
      <w:r w:rsidR="008A6739" w:rsidRPr="00796736">
        <w:rPr>
          <w:rFonts w:ascii="Times New Roman" w:eastAsia="Times New Roman" w:hAnsi="Times New Roman" w:cs="Times New Roman"/>
          <w:sz w:val="24"/>
          <w:szCs w:val="24"/>
        </w:rPr>
        <w:t xml:space="preserve">Afgørelser efter stk. 1 kan finde anvendelse, indtil årsagen til påbuddet er udbedret og ellers i et tidsrum fra 6 måneder til 5 år eller indtil videre. </w:t>
      </w:r>
    </w:p>
    <w:p w14:paraId="0440BCC3" w14:textId="77777777" w:rsidR="0007131A" w:rsidRPr="00796736" w:rsidRDefault="0007131A" w:rsidP="00A802A5">
      <w:pPr>
        <w:spacing w:line="360" w:lineRule="auto"/>
        <w:ind w:firstLine="238"/>
        <w:jc w:val="center"/>
        <w:rPr>
          <w:rFonts w:ascii="Times New Roman" w:eastAsia="Times New Roman" w:hAnsi="Times New Roman" w:cs="Times New Roman"/>
          <w:i/>
          <w:sz w:val="24"/>
          <w:szCs w:val="24"/>
          <w:lang w:eastAsia="da-DK"/>
        </w:rPr>
      </w:pPr>
    </w:p>
    <w:p w14:paraId="42963A00" w14:textId="645130BA" w:rsidR="0007131A" w:rsidRPr="00796736" w:rsidRDefault="0007131A" w:rsidP="000F48CA">
      <w:pPr>
        <w:pStyle w:val="Typografi1"/>
        <w:ind w:left="0" w:firstLine="238"/>
        <w:rPr>
          <w:rFonts w:ascii="Times New Roman" w:hAnsi="Times New Roman" w:cs="Times New Roman"/>
          <w:sz w:val="24"/>
          <w:szCs w:val="24"/>
        </w:rPr>
      </w:pPr>
      <w:bookmarkStart w:id="447" w:name="_Ref232609546"/>
      <w:bookmarkStart w:id="448" w:name="_Toc244879104"/>
      <w:bookmarkStart w:id="449" w:name="_Toc244880628"/>
      <w:r w:rsidRPr="00796736">
        <w:rPr>
          <w:rFonts w:ascii="Times New Roman" w:hAnsi="Times New Roman" w:cs="Times New Roman"/>
          <w:sz w:val="24"/>
          <w:szCs w:val="24"/>
        </w:rPr>
        <w:t>Spillemyndigheden kan påbyde en reel ejer af en virksomhed</w:t>
      </w:r>
      <w:r w:rsidR="00DF1D0A"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t xml:space="preserve">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w:t>
      </w:r>
      <w:r w:rsidR="00E81070" w:rsidRPr="00796736">
        <w:rPr>
          <w:rFonts w:ascii="Times New Roman" w:hAnsi="Times New Roman" w:cs="Times New Roman"/>
          <w:sz w:val="24"/>
          <w:szCs w:val="24"/>
        </w:rPr>
        <w:t>,</w:t>
      </w:r>
      <w:r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t xml:space="preserve">at ophøre med at udøve kontrol med den pågældende virksomhed, herunder afhænde sine ejerandele helt eller delvist, inden for en af </w:t>
      </w:r>
      <w:r w:rsidR="00DF1D0A" w:rsidRPr="00796736">
        <w:rPr>
          <w:rFonts w:ascii="Times New Roman" w:hAnsi="Times New Roman" w:cs="Times New Roman"/>
          <w:sz w:val="24"/>
          <w:szCs w:val="24"/>
        </w:rPr>
        <w:t>s</w:t>
      </w:r>
      <w:r w:rsidR="008A6739" w:rsidRPr="00796736">
        <w:rPr>
          <w:rFonts w:ascii="Times New Roman" w:hAnsi="Times New Roman" w:cs="Times New Roman"/>
          <w:sz w:val="24"/>
          <w:szCs w:val="24"/>
        </w:rPr>
        <w:t>pillemyndigheden fastsat frist, såfremt den pågældende er dømt for hvidvask af penge, de relevante underliggende lovovertrædelser eller finansiering af terrorisme</w:t>
      </w:r>
      <w:r w:rsidRPr="00796736">
        <w:rPr>
          <w:rFonts w:ascii="Times New Roman" w:hAnsi="Times New Roman" w:cs="Times New Roman"/>
          <w:sz w:val="24"/>
          <w:szCs w:val="24"/>
        </w:rPr>
        <w:t>.</w:t>
      </w:r>
      <w:bookmarkEnd w:id="447"/>
      <w:bookmarkEnd w:id="448"/>
      <w:bookmarkEnd w:id="449"/>
    </w:p>
    <w:p w14:paraId="183BFA31" w14:textId="4E6AE098" w:rsidR="0007131A" w:rsidRPr="00796736" w:rsidRDefault="0007131A" w:rsidP="000F48CA">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2.</w:t>
      </w:r>
      <w:r w:rsidRPr="00796736">
        <w:rPr>
          <w:rFonts w:ascii="Times New Roman" w:eastAsia="Times New Roman" w:hAnsi="Times New Roman" w:cs="Times New Roman"/>
          <w:sz w:val="24"/>
          <w:szCs w:val="24"/>
        </w:rPr>
        <w:t xml:space="preserve"> Varigheden af påbud meddelt efter stk. 1 skal fremgå af afgørelsen.</w:t>
      </w:r>
    </w:p>
    <w:p w14:paraId="311D62E5" w14:textId="554F3DEF" w:rsidR="008A6739" w:rsidRPr="00796736" w:rsidRDefault="008A6739" w:rsidP="000F48CA">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 xml:space="preserve">Stk. </w:t>
      </w:r>
      <w:r w:rsidR="007B7BA4">
        <w:rPr>
          <w:rFonts w:ascii="Times New Roman" w:eastAsia="Times New Roman" w:hAnsi="Times New Roman" w:cs="Times New Roman"/>
          <w:i/>
          <w:iCs/>
          <w:sz w:val="24"/>
          <w:szCs w:val="24"/>
        </w:rPr>
        <w:t>3</w:t>
      </w:r>
      <w:r w:rsidRPr="00796736">
        <w:rPr>
          <w:rFonts w:ascii="Times New Roman" w:eastAsia="Times New Roman" w:hAnsi="Times New Roman" w:cs="Times New Roman"/>
          <w:sz w:val="24"/>
          <w:szCs w:val="24"/>
        </w:rPr>
        <w:t>. Spillemyndigheden kan påbyde virksomheden at indføre specifikke nødvendige foranstaltninger for at afskære den pågældende reelle ejer fra at udøve kontrol med virksomheden i en af spillemyndigheden fastsat periode.</w:t>
      </w:r>
    </w:p>
    <w:p w14:paraId="4FF9E00C" w14:textId="0C60A6B8" w:rsidR="0007131A" w:rsidRPr="00796736" w:rsidRDefault="0007131A" w:rsidP="000F48CA">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 xml:space="preserve">Stk. </w:t>
      </w:r>
      <w:r w:rsidR="007B7BA4">
        <w:rPr>
          <w:rFonts w:ascii="Times New Roman" w:eastAsia="Times New Roman" w:hAnsi="Times New Roman" w:cs="Times New Roman"/>
          <w:i/>
          <w:iCs/>
          <w:sz w:val="24"/>
          <w:szCs w:val="24"/>
        </w:rPr>
        <w:t>4</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w:t>
      </w:r>
      <w:r w:rsidR="008A6739" w:rsidRPr="00796736">
        <w:rPr>
          <w:rFonts w:ascii="Times New Roman" w:eastAsia="Times New Roman" w:hAnsi="Times New Roman" w:cs="Times New Roman"/>
          <w:sz w:val="24"/>
          <w:szCs w:val="24"/>
        </w:rPr>
        <w:t>Hvis en person, der</w:t>
      </w:r>
      <w:r w:rsidR="00DF1D0A" w:rsidRPr="00796736">
        <w:rPr>
          <w:rFonts w:ascii="Times New Roman" w:eastAsia="Times New Roman" w:hAnsi="Times New Roman" w:cs="Times New Roman"/>
          <w:sz w:val="24"/>
          <w:szCs w:val="24"/>
        </w:rPr>
        <w:t xml:space="preserve"> efter stk. 1,</w:t>
      </w:r>
      <w:r w:rsidR="008A6739" w:rsidRPr="00796736">
        <w:rPr>
          <w:rFonts w:ascii="Times New Roman" w:eastAsia="Times New Roman" w:hAnsi="Times New Roman" w:cs="Times New Roman"/>
          <w:sz w:val="24"/>
          <w:szCs w:val="24"/>
        </w:rPr>
        <w:t xml:space="preserve"> er påbudt at ophøre med at udøve kontrol, herunder afhænde sine ejerandele helt eller delvist, ikke har efterkommet påbuddet inden for den frist, som spillemyndigheden har fastsat, kan spillemyndigheden for så vidt angår virksomheder og personer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008A6739" w:rsidRPr="00796736">
        <w:rPr>
          <w:rFonts w:ascii="Times New Roman" w:eastAsia="Times New Roman" w:hAnsi="Times New Roman" w:cs="Times New Roman"/>
          <w:sz w:val="24"/>
          <w:szCs w:val="24"/>
        </w:rPr>
        <w:t xml:space="preserve">, tilbagekalde virksomhedens eller personens tilladelse til at udbyde spil i Danmark. </w:t>
      </w:r>
    </w:p>
    <w:p w14:paraId="401519AE" w14:textId="0CCA1FEF" w:rsidR="0007131A" w:rsidRPr="00796736" w:rsidRDefault="0007131A" w:rsidP="000F48CA">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 xml:space="preserve">Stk. </w:t>
      </w:r>
      <w:r w:rsidR="007B7BA4">
        <w:rPr>
          <w:rFonts w:ascii="Times New Roman" w:eastAsia="Times New Roman" w:hAnsi="Times New Roman" w:cs="Times New Roman"/>
          <w:i/>
          <w:iCs/>
          <w:sz w:val="24"/>
          <w:szCs w:val="24"/>
        </w:rPr>
        <w:t>5</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Påbud meddelt efter stk. 1 kan af virksomheden og den person, som påbuddet vedrører, forlanges indbragt for domstolene</w:t>
      </w:r>
      <w:r w:rsidR="008A6739" w:rsidRPr="00796736">
        <w:rPr>
          <w:rFonts w:ascii="Times New Roman" w:eastAsia="Times New Roman" w:hAnsi="Times New Roman" w:cs="Times New Roman"/>
          <w:sz w:val="24"/>
          <w:szCs w:val="24"/>
        </w:rPr>
        <w:t xml:space="preserve"> Anmodning herom skal indgives til spillemyndigheden inden 3 måneder efter, at påbuddet er meddelt den pågældende. Anmodningen har ikke opsættende virkning for påbuddet, men retten kan ved kendelse bestemme, at afgørelsen skal have opsættende virkning. Spillemyndigheden</w:t>
      </w:r>
      <w:r w:rsidR="00DF1D0A" w:rsidRPr="00796736">
        <w:rPr>
          <w:rFonts w:ascii="Times New Roman" w:eastAsia="Times New Roman" w:hAnsi="Times New Roman" w:cs="Times New Roman"/>
          <w:sz w:val="24"/>
          <w:szCs w:val="24"/>
        </w:rPr>
        <w:t xml:space="preserve"> skal</w:t>
      </w:r>
      <w:r w:rsidR="008A6739" w:rsidRPr="00796736">
        <w:rPr>
          <w:rFonts w:ascii="Times New Roman" w:eastAsia="Times New Roman" w:hAnsi="Times New Roman" w:cs="Times New Roman"/>
          <w:sz w:val="24"/>
          <w:szCs w:val="24"/>
        </w:rPr>
        <w:t xml:space="preserve"> indbringe sagen for domstolene inden 4 uger efter modtagelse af anmodning herom. Sagen anlægges i den borgerlige retsplejes former.</w:t>
      </w:r>
    </w:p>
    <w:p w14:paraId="04870294" w14:textId="01BFAB2C" w:rsidR="0007131A" w:rsidRPr="00796736" w:rsidRDefault="0007131A" w:rsidP="000F48CA">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 xml:space="preserve">Stk. </w:t>
      </w:r>
      <w:r w:rsidR="007B7BA4">
        <w:rPr>
          <w:rFonts w:ascii="Times New Roman" w:eastAsia="Times New Roman" w:hAnsi="Times New Roman" w:cs="Times New Roman"/>
          <w:i/>
          <w:iCs/>
          <w:sz w:val="24"/>
          <w:szCs w:val="24"/>
        </w:rPr>
        <w:t>6</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Spillemyndigheden kan af egen drift eller efter ansøgning tilbagekalde et påbud meddelt efter stk. 1. </w:t>
      </w:r>
      <w:r w:rsidR="008A6739" w:rsidRPr="00796736">
        <w:rPr>
          <w:rFonts w:ascii="Times New Roman" w:eastAsia="Times New Roman" w:hAnsi="Times New Roman" w:cs="Times New Roman"/>
          <w:sz w:val="24"/>
          <w:szCs w:val="24"/>
        </w:rPr>
        <w:t xml:space="preserve">Afslår spillemyndigheden en ansøgning om tilbagekaldelse, kan ansøgeren forlange afslaget indbragt for domstolene. Anmodning herom skal indgives til spillemyndigheden inden 3 måneder efter, at afslaget er meddelt den pågældende. Anmodning om domstolsprøvelse kan dog kun fremsættes, hvis påbuddet ikke er tidsbegrænset, og der er forløbet mindst 5 år fra datoen for udstedelsen af påbuddet, eller mindst 2 år efter at </w:t>
      </w:r>
      <w:r w:rsidR="00DF1D0A" w:rsidRPr="00796736">
        <w:rPr>
          <w:rFonts w:ascii="Times New Roman" w:eastAsia="Times New Roman" w:hAnsi="Times New Roman" w:cs="Times New Roman"/>
          <w:sz w:val="24"/>
          <w:szCs w:val="24"/>
        </w:rPr>
        <w:t>s</w:t>
      </w:r>
      <w:r w:rsidR="008A6739" w:rsidRPr="00796736">
        <w:rPr>
          <w:rFonts w:ascii="Times New Roman" w:eastAsia="Times New Roman" w:hAnsi="Times New Roman" w:cs="Times New Roman"/>
          <w:sz w:val="24"/>
          <w:szCs w:val="24"/>
        </w:rPr>
        <w:t>pillemyndighedens afslag på tilbagekaldelse er stadfæstet ved dom</w:t>
      </w:r>
      <w:r w:rsidR="00DF1D0A" w:rsidRPr="00796736">
        <w:rPr>
          <w:rFonts w:ascii="Times New Roman" w:eastAsia="Times New Roman" w:hAnsi="Times New Roman" w:cs="Times New Roman"/>
          <w:sz w:val="24"/>
          <w:szCs w:val="24"/>
        </w:rPr>
        <w:t>.</w:t>
      </w:r>
    </w:p>
    <w:p w14:paraId="04F524DE" w14:textId="77777777" w:rsidR="002D41B0" w:rsidRPr="00796736" w:rsidRDefault="002D41B0" w:rsidP="00A802A5">
      <w:pPr>
        <w:spacing w:line="360" w:lineRule="auto"/>
        <w:ind w:firstLine="238"/>
        <w:rPr>
          <w:rFonts w:ascii="Times New Roman" w:eastAsia="Times New Roman" w:hAnsi="Times New Roman" w:cs="Times New Roman"/>
          <w:sz w:val="24"/>
          <w:szCs w:val="24"/>
        </w:rPr>
      </w:pPr>
    </w:p>
    <w:p w14:paraId="41D4B0C5" w14:textId="3BBE662E" w:rsidR="00DF1D0A" w:rsidRPr="00796736" w:rsidRDefault="00DF1D0A" w:rsidP="0006670C">
      <w:pPr>
        <w:pStyle w:val="Typografi1"/>
        <w:ind w:left="0" w:firstLine="238"/>
        <w:rPr>
          <w:rFonts w:ascii="Times New Roman" w:hAnsi="Times New Roman" w:cs="Times New Roman"/>
          <w:sz w:val="24"/>
          <w:szCs w:val="24"/>
        </w:rPr>
      </w:pPr>
      <w:bookmarkStart w:id="450" w:name="_Ref241439504"/>
      <w:bookmarkStart w:id="451" w:name="_Ref236145057"/>
      <w:bookmarkStart w:id="452" w:name="_Toc244879105"/>
      <w:bookmarkStart w:id="453" w:name="_Toc244880629"/>
      <w:r w:rsidRPr="00796736">
        <w:rPr>
          <w:rFonts w:ascii="Times New Roman" w:hAnsi="Times New Roman" w:cs="Times New Roman"/>
          <w:sz w:val="24"/>
          <w:szCs w:val="24"/>
        </w:rPr>
        <w:t xml:space="preserve">Spillemyndigheden kan i tilfælde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_Ref236144985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inden for en af spillemyndigheden fastsat frist påbyde virksomheder og personer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_Ref239189479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at foretage visse ændringer i ledelsesstrukturen, herunder at visse personer midlertidigt ikke kan varetage ledelsesfunktioner i den pågældende virksomhed.</w:t>
      </w:r>
      <w:bookmarkEnd w:id="450"/>
      <w:bookmarkEnd w:id="452"/>
      <w:bookmarkEnd w:id="453"/>
      <w:r w:rsidRPr="00796736">
        <w:rPr>
          <w:rFonts w:ascii="Times New Roman" w:hAnsi="Times New Roman" w:cs="Times New Roman"/>
          <w:sz w:val="24"/>
          <w:szCs w:val="24"/>
        </w:rPr>
        <w:t xml:space="preserve">  </w:t>
      </w:r>
    </w:p>
    <w:p w14:paraId="65256427" w14:textId="71BBA0FF" w:rsidR="002D41B0" w:rsidRPr="00796736" w:rsidRDefault="00DF1D0A" w:rsidP="00303E15">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2D41B0" w:rsidRPr="00796736">
        <w:rPr>
          <w:rFonts w:ascii="Times New Roman" w:hAnsi="Times New Roman" w:cs="Times New Roman"/>
          <w:sz w:val="24"/>
          <w:szCs w:val="24"/>
        </w:rPr>
        <w:t xml:space="preserve">Spillemyndigheden kan påbyde </w:t>
      </w:r>
      <w:r w:rsidR="008A6739" w:rsidRPr="00796736">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t xml:space="preserve">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002D41B0" w:rsidRPr="00796736">
        <w:rPr>
          <w:rFonts w:ascii="Times New Roman" w:hAnsi="Times New Roman" w:cs="Times New Roman"/>
          <w:sz w:val="24"/>
          <w:szCs w:val="24"/>
        </w:rPr>
        <w:t>, at afsætte en person fra den øverste ledelse inden for en af spillemyndigheden fastsat frist, hvis personen:</w:t>
      </w:r>
      <w:bookmarkEnd w:id="451"/>
    </w:p>
    <w:p w14:paraId="668028EC" w14:textId="010AAB51" w:rsidR="002D41B0" w:rsidRPr="00796736" w:rsidRDefault="00DF1D0A">
      <w:pPr>
        <w:pStyle w:val="Listeafsnit"/>
        <w:numPr>
          <w:ilvl w:val="0"/>
          <w:numId w:val="42"/>
        </w:numPr>
        <w:spacing w:line="360" w:lineRule="auto"/>
        <w:ind w:left="476" w:hanging="238"/>
        <w:rPr>
          <w:rFonts w:ascii="Times New Roman" w:hAnsi="Times New Roman" w:cs="Times New Roman"/>
          <w:sz w:val="24"/>
          <w:szCs w:val="24"/>
        </w:rPr>
      </w:pPr>
      <w:r w:rsidRPr="00796736">
        <w:rPr>
          <w:rFonts w:ascii="Times New Roman" w:hAnsi="Times New Roman" w:cs="Times New Roman"/>
          <w:sz w:val="24"/>
          <w:szCs w:val="24"/>
        </w:rPr>
        <w:t xml:space="preserve">Er </w:t>
      </w:r>
      <w:r w:rsidR="002D41B0" w:rsidRPr="00796736">
        <w:rPr>
          <w:rFonts w:ascii="Times New Roman" w:hAnsi="Times New Roman" w:cs="Times New Roman"/>
          <w:sz w:val="24"/>
          <w:szCs w:val="24"/>
        </w:rPr>
        <w:t>dømt for hvidvask af penge, de relevante underliggende lovovertrædelser eller finansiering af terrorisme</w:t>
      </w:r>
    </w:p>
    <w:p w14:paraId="5DAED022" w14:textId="1C3AB288" w:rsidR="002D41B0" w:rsidRPr="00796736" w:rsidRDefault="00DF1D0A">
      <w:pPr>
        <w:pStyle w:val="Listeafsnit"/>
        <w:numPr>
          <w:ilvl w:val="0"/>
          <w:numId w:val="42"/>
        </w:numPr>
        <w:spacing w:line="360" w:lineRule="auto"/>
        <w:ind w:left="476" w:hanging="238"/>
        <w:rPr>
          <w:rFonts w:ascii="Times New Roman" w:hAnsi="Times New Roman" w:cs="Times New Roman"/>
          <w:sz w:val="24"/>
          <w:szCs w:val="24"/>
        </w:rPr>
      </w:pPr>
      <w:r w:rsidRPr="00796736">
        <w:rPr>
          <w:rFonts w:ascii="Times New Roman" w:hAnsi="Times New Roman" w:cs="Times New Roman"/>
          <w:sz w:val="24"/>
          <w:szCs w:val="24"/>
        </w:rPr>
        <w:t>I</w:t>
      </w:r>
      <w:r w:rsidR="002D41B0" w:rsidRPr="00796736">
        <w:rPr>
          <w:rFonts w:ascii="Times New Roman" w:hAnsi="Times New Roman" w:cs="Times New Roman"/>
          <w:sz w:val="24"/>
          <w:szCs w:val="24"/>
        </w:rPr>
        <w:t>kke opfylder betingelserne i</w:t>
      </w:r>
      <w:r w:rsidR="008A6739"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_Ref236641619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115</w:t>
      </w:r>
      <w:r w:rsidR="008A6739" w:rsidRPr="00796736">
        <w:rPr>
          <w:rFonts w:ascii="Times New Roman" w:hAnsi="Times New Roman" w:cs="Times New Roman"/>
          <w:sz w:val="24"/>
          <w:szCs w:val="24"/>
        </w:rPr>
        <w:fldChar w:fldCharType="end"/>
      </w:r>
      <w:r w:rsidR="002D41B0" w:rsidRPr="00796736">
        <w:rPr>
          <w:rFonts w:ascii="Times New Roman" w:hAnsi="Times New Roman" w:cs="Times New Roman"/>
          <w:sz w:val="24"/>
          <w:szCs w:val="24"/>
        </w:rPr>
        <w:t>, stk. 1, nr. 1 og 2, der er nødvendige for at bestride stillingen. Spillemyndigheden kan under samme betingelser som i 1. pkt. påbyde et medlem af bestyrelsen hos</w:t>
      </w:r>
      <w:r w:rsidR="008A6739" w:rsidRPr="00796736">
        <w:rPr>
          <w:rFonts w:ascii="Times New Roman" w:hAnsi="Times New Roman" w:cs="Times New Roman"/>
          <w:sz w:val="24"/>
          <w:szCs w:val="24"/>
        </w:rPr>
        <w:t xml:space="preserve"> en virksomhed som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002D41B0" w:rsidRPr="00796736">
        <w:rPr>
          <w:rFonts w:ascii="Times New Roman" w:hAnsi="Times New Roman" w:cs="Times New Roman"/>
          <w:sz w:val="24"/>
          <w:szCs w:val="24"/>
        </w:rPr>
        <w:t>, at nedlægge sit hverv inden for en a</w:t>
      </w:r>
      <w:r w:rsidR="008A6739" w:rsidRPr="00796736">
        <w:rPr>
          <w:rFonts w:ascii="Times New Roman" w:hAnsi="Times New Roman" w:cs="Times New Roman"/>
          <w:sz w:val="24"/>
          <w:szCs w:val="24"/>
        </w:rPr>
        <w:t>f</w:t>
      </w:r>
      <w:r w:rsidR="002D41B0" w:rsidRPr="00796736">
        <w:rPr>
          <w:rFonts w:ascii="Times New Roman" w:hAnsi="Times New Roman" w:cs="Times New Roman"/>
          <w:sz w:val="24"/>
          <w:szCs w:val="24"/>
        </w:rPr>
        <w:t xml:space="preserve"> spillemyndigheden fastsat frist. </w:t>
      </w:r>
    </w:p>
    <w:p w14:paraId="5A41A053" w14:textId="2EB8BE1C" w:rsidR="008A6739" w:rsidRPr="00796736" w:rsidRDefault="008A6739" w:rsidP="0006670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DF1D0A" w:rsidRPr="00796736">
        <w:rPr>
          <w:rFonts w:ascii="Times New Roman" w:hAnsi="Times New Roman" w:cs="Times New Roman"/>
          <w:i/>
          <w:iCs/>
          <w:sz w:val="24"/>
          <w:szCs w:val="24"/>
        </w:rPr>
        <w:t>3</w:t>
      </w:r>
      <w:r w:rsidRPr="00796736">
        <w:rPr>
          <w:rFonts w:ascii="Times New Roman" w:hAnsi="Times New Roman" w:cs="Times New Roman"/>
          <w:i/>
          <w:iCs/>
          <w:sz w:val="24"/>
          <w:szCs w:val="24"/>
        </w:rPr>
        <w:t>.</w:t>
      </w:r>
      <w:r w:rsidRPr="00796736">
        <w:rPr>
          <w:rFonts w:ascii="Times New Roman" w:hAnsi="Times New Roman" w:cs="Times New Roman"/>
          <w:i/>
          <w:sz w:val="24"/>
          <w:szCs w:val="24"/>
        </w:rPr>
        <w:t xml:space="preserve"> </w:t>
      </w:r>
      <w:r w:rsidRPr="00796736">
        <w:rPr>
          <w:rFonts w:ascii="Times New Roman" w:hAnsi="Times New Roman" w:cs="Times New Roman"/>
          <w:sz w:val="24"/>
          <w:szCs w:val="24"/>
        </w:rPr>
        <w:t xml:space="preserve">Spillemyndigheden kan påbyde virksomheder og personer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2, at afsætte en person fra den øverste ledelse inden for en af spillemyndigheden fastsat frist, hvis personen er dømt for hvidvask af penge, de underliggende lovovertrædelser eller finansiering af terrorisme.</w:t>
      </w:r>
    </w:p>
    <w:p w14:paraId="16737F7F" w14:textId="72369BE1" w:rsidR="002D41B0" w:rsidRPr="00796736" w:rsidRDefault="002D41B0" w:rsidP="0006670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DF1D0A" w:rsidRPr="00796736">
        <w:rPr>
          <w:rFonts w:ascii="Times New Roman" w:hAnsi="Times New Roman" w:cs="Times New Roman"/>
          <w:i/>
          <w:iCs/>
          <w:sz w:val="24"/>
          <w:szCs w:val="24"/>
        </w:rPr>
        <w:t>4</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Spillemyndigheden kan påbyde</w:t>
      </w:r>
      <w:r w:rsidR="008A6739" w:rsidRPr="00796736">
        <w:rPr>
          <w:rFonts w:ascii="Times New Roman" w:hAnsi="Times New Roman" w:cs="Times New Roman"/>
          <w:sz w:val="24"/>
          <w:szCs w:val="24"/>
        </w:rPr>
        <w:t xml:space="preserve"> virksomheder og personer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Pr="00796736">
        <w:rPr>
          <w:rFonts w:ascii="Times New Roman" w:hAnsi="Times New Roman" w:cs="Times New Roman"/>
          <w:sz w:val="24"/>
          <w:szCs w:val="24"/>
        </w:rPr>
        <w:t>, midlertidigt at afsætte en person fra den øverste ledelse, hvis personen ikke opfylder betingelserne i</w:t>
      </w:r>
      <w:r w:rsidR="008A6739" w:rsidRPr="00796736">
        <w:rPr>
          <w:rFonts w:ascii="Times New Roman" w:hAnsi="Times New Roman" w:cs="Times New Roman"/>
          <w:sz w:val="24"/>
          <w:szCs w:val="24"/>
        </w:rPr>
        <w:t xml:space="preserve">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_Ref236641619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115</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w:t>
      </w:r>
      <w:r w:rsidRPr="00796736">
        <w:rPr>
          <w:rFonts w:ascii="Times New Roman" w:hAnsi="Times New Roman" w:cs="Times New Roman"/>
          <w:sz w:val="24"/>
          <w:szCs w:val="24"/>
        </w:rPr>
        <w:t xml:space="preserve">, nr. 1 og 2, der er nødvendige for at bestride stillingen. Spillemyndigheden kan under de samme betingelser som i 1. pkt. påbyde et medlem af bestyrelsen hos </w:t>
      </w:r>
      <w:r w:rsidR="008A6739" w:rsidRPr="00796736">
        <w:rPr>
          <w:rFonts w:ascii="Times New Roman" w:hAnsi="Times New Roman" w:cs="Times New Roman"/>
          <w:sz w:val="24"/>
          <w:szCs w:val="24"/>
        </w:rPr>
        <w:t xml:space="preserve">en virksomhed som omfattet af </w:t>
      </w:r>
      <w:r w:rsidR="008A6739" w:rsidRPr="00796736">
        <w:rPr>
          <w:rFonts w:ascii="Times New Roman" w:hAnsi="Times New Roman" w:cs="Times New Roman"/>
          <w:sz w:val="24"/>
          <w:szCs w:val="24"/>
        </w:rPr>
        <w:fldChar w:fldCharType="begin"/>
      </w:r>
      <w:r w:rsidR="008A6739"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8A6739" w:rsidRPr="00796736">
        <w:rPr>
          <w:rFonts w:ascii="Times New Roman" w:hAnsi="Times New Roman" w:cs="Times New Roman"/>
          <w:sz w:val="24"/>
          <w:szCs w:val="24"/>
        </w:rPr>
      </w:r>
      <w:r w:rsidR="008A67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8A6739" w:rsidRPr="00796736">
        <w:rPr>
          <w:rFonts w:ascii="Times New Roman" w:hAnsi="Times New Roman" w:cs="Times New Roman"/>
          <w:sz w:val="24"/>
          <w:szCs w:val="24"/>
        </w:rPr>
        <w:fldChar w:fldCharType="end"/>
      </w:r>
      <w:r w:rsidR="008A6739" w:rsidRPr="00796736">
        <w:rPr>
          <w:rFonts w:ascii="Times New Roman" w:hAnsi="Times New Roman" w:cs="Times New Roman"/>
          <w:sz w:val="24"/>
          <w:szCs w:val="24"/>
        </w:rPr>
        <w:t>, stk. 1, nr. 1</w:t>
      </w:r>
      <w:r w:rsidRPr="00796736">
        <w:rPr>
          <w:rFonts w:ascii="Times New Roman" w:hAnsi="Times New Roman" w:cs="Times New Roman"/>
          <w:sz w:val="24"/>
          <w:szCs w:val="24"/>
        </w:rPr>
        <w:t>, midlertidigt at nedlægge sit hverv inden for en af spillemyndigheden fastsat frist.</w:t>
      </w:r>
    </w:p>
    <w:p w14:paraId="608BF5D7" w14:textId="274FC2C5" w:rsidR="008B6E02" w:rsidRPr="00796736" w:rsidRDefault="002D41B0" w:rsidP="0006670C">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DF1D0A" w:rsidRPr="00796736">
        <w:rPr>
          <w:rFonts w:ascii="Times New Roman" w:hAnsi="Times New Roman" w:cs="Times New Roman"/>
          <w:i/>
          <w:iCs/>
          <w:sz w:val="24"/>
          <w:szCs w:val="24"/>
        </w:rPr>
        <w:t>5</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Varigheden af påbud meddelt efter stk. 1</w:t>
      </w:r>
      <w:r w:rsidR="008A6739" w:rsidRPr="00796736">
        <w:rPr>
          <w:rFonts w:ascii="Times New Roman" w:hAnsi="Times New Roman" w:cs="Times New Roman"/>
          <w:sz w:val="24"/>
          <w:szCs w:val="24"/>
        </w:rPr>
        <w:t>-</w:t>
      </w:r>
      <w:r w:rsidR="00DF1D0A" w:rsidRPr="00796736">
        <w:rPr>
          <w:rFonts w:ascii="Times New Roman" w:hAnsi="Times New Roman" w:cs="Times New Roman"/>
          <w:sz w:val="24"/>
          <w:szCs w:val="24"/>
        </w:rPr>
        <w:t xml:space="preserve">4, </w:t>
      </w:r>
      <w:r w:rsidRPr="00796736">
        <w:rPr>
          <w:rFonts w:ascii="Times New Roman" w:hAnsi="Times New Roman" w:cs="Times New Roman"/>
          <w:sz w:val="24"/>
          <w:szCs w:val="24"/>
        </w:rPr>
        <w:t>skal fremgå af påbuddet.</w:t>
      </w:r>
    </w:p>
    <w:p w14:paraId="73651143" w14:textId="389912A2" w:rsidR="00DF1D0A" w:rsidRPr="00796736" w:rsidRDefault="00DF1D0A" w:rsidP="0006670C">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 xml:space="preserve">Stk. </w:t>
      </w:r>
      <w:r w:rsidR="007B7BA4">
        <w:rPr>
          <w:rFonts w:ascii="Times New Roman" w:hAnsi="Times New Roman" w:cs="Times New Roman"/>
          <w:i/>
          <w:iCs/>
          <w:sz w:val="24"/>
          <w:szCs w:val="24"/>
          <w:lang w:eastAsia="da-DK"/>
        </w:rPr>
        <w:t>6</w:t>
      </w:r>
      <w:r w:rsidRPr="00796736">
        <w:rPr>
          <w:rFonts w:ascii="Times New Roman" w:hAnsi="Times New Roman" w:cs="Times New Roman"/>
          <w:i/>
          <w:iCs/>
          <w:sz w:val="24"/>
          <w:szCs w:val="24"/>
          <w:lang w:eastAsia="da-DK"/>
        </w:rPr>
        <w:t xml:space="preserve">. </w:t>
      </w:r>
      <w:r w:rsidRPr="00796736">
        <w:rPr>
          <w:rFonts w:ascii="Times New Roman" w:hAnsi="Times New Roman" w:cs="Times New Roman"/>
          <w:sz w:val="24"/>
          <w:szCs w:val="24"/>
          <w:lang w:eastAsia="da-DK"/>
        </w:rPr>
        <w:t xml:space="preserve">Påbud meddelt efter stk. 1-4 kan af virksomheden og den person, som påbuddet vedrører, forlanges indbragt for domstolene. Anmodning herom skal indgives til spillemyndigheden, inden 3 måneder efter, at påbuddet er meddelt den pågældende. </w:t>
      </w:r>
      <w:r w:rsidRPr="00796736">
        <w:rPr>
          <w:rFonts w:ascii="Times New Roman" w:eastAsia="Times New Roman" w:hAnsi="Times New Roman" w:cs="Times New Roman"/>
          <w:sz w:val="24"/>
          <w:szCs w:val="24"/>
        </w:rPr>
        <w:t>Anmodningen har ikke opsættende virkning for påbuddet, men retten kan ved kendelse bestemme, at afgørelsen skal have opsættende virkning</w:t>
      </w:r>
      <w:r w:rsidRPr="00796736">
        <w:rPr>
          <w:rFonts w:ascii="Times New Roman" w:hAnsi="Times New Roman" w:cs="Times New Roman"/>
          <w:sz w:val="24"/>
          <w:szCs w:val="24"/>
          <w:lang w:eastAsia="da-DK"/>
        </w:rPr>
        <w:t xml:space="preserve">. Spillemyndigheden skal indbringe sagen for domstolene inden 4 uger efter modtagelse af anmodning herom. Sagen anlægges i den borgerlige retsplejes former. </w:t>
      </w:r>
    </w:p>
    <w:p w14:paraId="07541B5F" w14:textId="3A33F471" w:rsidR="00DF1D0A" w:rsidRPr="00796736" w:rsidRDefault="00DF1D0A" w:rsidP="0006670C">
      <w:pPr>
        <w:spacing w:line="360" w:lineRule="auto"/>
        <w:ind w:firstLine="238"/>
        <w:rPr>
          <w:rFonts w:ascii="Times New Roman" w:hAnsi="Times New Roman" w:cs="Times New Roman"/>
          <w:i/>
          <w:iCs/>
          <w:sz w:val="24"/>
          <w:szCs w:val="24"/>
          <w:lang w:eastAsia="da-DK"/>
        </w:rPr>
      </w:pPr>
      <w:r w:rsidRPr="00796736">
        <w:rPr>
          <w:rFonts w:ascii="Times New Roman" w:hAnsi="Times New Roman" w:cs="Times New Roman"/>
          <w:i/>
          <w:iCs/>
          <w:sz w:val="24"/>
          <w:szCs w:val="24"/>
          <w:lang w:eastAsia="da-DK"/>
        </w:rPr>
        <w:t xml:space="preserve">Stk. </w:t>
      </w:r>
      <w:r w:rsidR="007B7BA4">
        <w:rPr>
          <w:rFonts w:ascii="Times New Roman" w:hAnsi="Times New Roman" w:cs="Times New Roman"/>
          <w:i/>
          <w:iCs/>
          <w:sz w:val="24"/>
          <w:szCs w:val="24"/>
          <w:lang w:eastAsia="da-DK"/>
        </w:rPr>
        <w:t>7</w:t>
      </w:r>
      <w:r w:rsidRPr="00796736">
        <w:rPr>
          <w:rFonts w:ascii="Times New Roman" w:hAnsi="Times New Roman" w:cs="Times New Roman"/>
          <w:i/>
          <w:iCs/>
          <w:sz w:val="24"/>
          <w:szCs w:val="24"/>
          <w:lang w:eastAsia="da-DK"/>
        </w:rPr>
        <w:t>.</w:t>
      </w:r>
      <w:r w:rsidRPr="00796736">
        <w:rPr>
          <w:rFonts w:ascii="Times New Roman" w:hAnsi="Times New Roman" w:cs="Times New Roman"/>
          <w:sz w:val="24"/>
          <w:szCs w:val="24"/>
          <w:lang w:eastAsia="da-DK"/>
        </w:rPr>
        <w:t xml:space="preserve"> Spillemyndigheden kan af egen drift eller efter ansøgning tilbagekalde et påbud meddelt efter stk. 1-4. Afslår spillemyndigheden en ansøgning om tilbagekaldelse, kan ansøgeren forlange afslaget indbragt for domstolene. Anmodning herom skal indgives til spillemyndigheden, inden 3 måneder efter at afslaget er meddelt den pågældende. Anmodning om domstolsprøvelse kan dog kun fremsættes, hvis påbuddet ikke er tidsbegrænset, og der er forløbet mindst 5 år fra datoen for udstedelsen af påbuddet, eller mindst 2 år efter at spillemyndighedens afslag på tilbagekaldelse er stadfæstet ved dom.</w:t>
      </w:r>
    </w:p>
    <w:p w14:paraId="629DA9D9" w14:textId="77777777" w:rsidR="00DF1D0A" w:rsidRPr="00796736" w:rsidRDefault="00DF1D0A" w:rsidP="00A802A5">
      <w:pPr>
        <w:spacing w:line="360" w:lineRule="auto"/>
        <w:ind w:firstLine="238"/>
        <w:rPr>
          <w:rFonts w:ascii="Times New Roman" w:hAnsi="Times New Roman" w:cs="Times New Roman"/>
          <w:sz w:val="24"/>
          <w:szCs w:val="24"/>
        </w:rPr>
      </w:pPr>
    </w:p>
    <w:p w14:paraId="1836C916" w14:textId="08AB6B07" w:rsidR="002128F7" w:rsidRDefault="002D41B0" w:rsidP="0006670C">
      <w:pPr>
        <w:pStyle w:val="Typografi1"/>
        <w:ind w:left="0" w:firstLine="238"/>
        <w:rPr>
          <w:rFonts w:ascii="Times New Roman" w:hAnsi="Times New Roman" w:cs="Times New Roman"/>
          <w:sz w:val="24"/>
          <w:szCs w:val="24"/>
        </w:rPr>
      </w:pPr>
      <w:bookmarkStart w:id="454" w:name="_Ref236647910"/>
      <w:bookmarkStart w:id="455" w:name="_Ref239324511"/>
      <w:bookmarkStart w:id="456" w:name="_Toc244879106"/>
      <w:bookmarkStart w:id="457" w:name="_Toc244880630"/>
      <w:r w:rsidRPr="00796736">
        <w:rPr>
          <w:rFonts w:ascii="Times New Roman" w:hAnsi="Times New Roman" w:cs="Times New Roman"/>
          <w:sz w:val="24"/>
          <w:szCs w:val="24"/>
        </w:rPr>
        <w:t>Spillemyndigheden kan påbyde</w:t>
      </w:r>
      <w:r w:rsidR="00D51401" w:rsidRPr="00796736">
        <w:rPr>
          <w:rFonts w:ascii="Times New Roman" w:hAnsi="Times New Roman" w:cs="Times New Roman"/>
          <w:sz w:val="24"/>
          <w:szCs w:val="24"/>
        </w:rPr>
        <w:t xml:space="preserve"> virksomheder og personer omfattet af </w:t>
      </w:r>
      <w:r w:rsidR="00D51401" w:rsidRPr="00796736">
        <w:rPr>
          <w:rFonts w:ascii="Times New Roman" w:hAnsi="Times New Roman" w:cs="Times New Roman"/>
          <w:sz w:val="24"/>
          <w:szCs w:val="24"/>
        </w:rPr>
        <w:fldChar w:fldCharType="begin"/>
      </w:r>
      <w:r w:rsidR="00D51401" w:rsidRPr="00796736">
        <w:rPr>
          <w:rFonts w:ascii="Times New Roman" w:hAnsi="Times New Roman" w:cs="Times New Roman"/>
          <w:sz w:val="24"/>
          <w:szCs w:val="24"/>
        </w:rPr>
        <w:instrText xml:space="preserve"> REF _Ref239189479 \r \h </w:instrText>
      </w:r>
      <w:r w:rsidR="006A012C" w:rsidRPr="00796736">
        <w:rPr>
          <w:rFonts w:ascii="Times New Roman" w:hAnsi="Times New Roman" w:cs="Times New Roman"/>
          <w:sz w:val="24"/>
          <w:szCs w:val="24"/>
        </w:rPr>
        <w:instrText xml:space="preserve"> \* MERGEFORMAT </w:instrText>
      </w:r>
      <w:r w:rsidR="00D51401" w:rsidRPr="00796736">
        <w:rPr>
          <w:rFonts w:ascii="Times New Roman" w:hAnsi="Times New Roman" w:cs="Times New Roman"/>
          <w:sz w:val="24"/>
          <w:szCs w:val="24"/>
        </w:rPr>
      </w:r>
      <w:r w:rsidR="00D514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00D51401" w:rsidRPr="00796736">
        <w:rPr>
          <w:rFonts w:ascii="Times New Roman" w:hAnsi="Times New Roman" w:cs="Times New Roman"/>
          <w:sz w:val="24"/>
          <w:szCs w:val="24"/>
        </w:rPr>
        <w:fldChar w:fldCharType="end"/>
      </w:r>
      <w:r w:rsidR="00D51401" w:rsidRPr="00796736">
        <w:rPr>
          <w:rFonts w:ascii="Times New Roman" w:hAnsi="Times New Roman" w:cs="Times New Roman"/>
          <w:sz w:val="24"/>
          <w:szCs w:val="24"/>
        </w:rPr>
        <w:t>, stk. 1</w:t>
      </w:r>
      <w:r w:rsidRPr="00796736">
        <w:rPr>
          <w:rFonts w:ascii="Times New Roman" w:hAnsi="Times New Roman" w:cs="Times New Roman"/>
          <w:sz w:val="24"/>
          <w:szCs w:val="24"/>
        </w:rPr>
        <w:t>, der deltager i et partnerskab med henblik på udveksling af oplysninger i henhold til hvidvaskforordningens artikel 75, at få foretaget en uafhængig revision af, hvordan partnerskabet fungerer.</w:t>
      </w:r>
      <w:bookmarkEnd w:id="454"/>
      <w:bookmarkEnd w:id="456"/>
      <w:bookmarkEnd w:id="457"/>
      <w:r w:rsidR="00D51401" w:rsidRPr="00796736">
        <w:rPr>
          <w:rFonts w:ascii="Times New Roman" w:hAnsi="Times New Roman" w:cs="Times New Roman"/>
          <w:sz w:val="24"/>
          <w:szCs w:val="24"/>
        </w:rPr>
        <w:t xml:space="preserve"> </w:t>
      </w:r>
      <w:bookmarkEnd w:id="455"/>
    </w:p>
    <w:p w14:paraId="217D3ED1" w14:textId="10EFB484" w:rsidR="00D51401" w:rsidRPr="002128F7" w:rsidRDefault="007B7BA4" w:rsidP="0006670C">
      <w:pPr>
        <w:spacing w:line="360" w:lineRule="auto"/>
        <w:ind w:firstLine="238"/>
        <w:rPr>
          <w:rFonts w:ascii="Times New Roman" w:hAnsi="Times New Roman" w:cs="Times New Roman"/>
          <w:sz w:val="24"/>
          <w:szCs w:val="24"/>
        </w:rPr>
      </w:pPr>
      <w:r w:rsidRPr="002128F7">
        <w:rPr>
          <w:rFonts w:ascii="Times New Roman" w:eastAsia="Times New Roman" w:hAnsi="Times New Roman" w:cs="Times New Roman"/>
          <w:i/>
          <w:iCs/>
          <w:sz w:val="24"/>
          <w:szCs w:val="24"/>
        </w:rPr>
        <w:t>Stk. 2.</w:t>
      </w:r>
      <w:r w:rsidRPr="002128F7">
        <w:rPr>
          <w:rFonts w:ascii="Times New Roman" w:hAnsi="Times New Roman" w:cs="Times New Roman"/>
          <w:sz w:val="24"/>
          <w:szCs w:val="24"/>
        </w:rPr>
        <w:t xml:space="preserve"> </w:t>
      </w:r>
      <w:r w:rsidRPr="002128F7">
        <w:rPr>
          <w:rFonts w:ascii="Times New Roman" w:hAnsi="Times New Roman" w:cs="Times New Roman"/>
          <w:sz w:val="24"/>
          <w:szCs w:val="24"/>
          <w:lang w:eastAsia="da-DK"/>
        </w:rPr>
        <w:t>Spillemyndigheden kan påbyde, at resultatet af den uafhængige revision udveksles med spillemyndigheden.</w:t>
      </w:r>
    </w:p>
    <w:p w14:paraId="60C37016" w14:textId="77777777" w:rsidR="00BD54E3" w:rsidRPr="00796736" w:rsidRDefault="00BD54E3" w:rsidP="00A802A5">
      <w:pPr>
        <w:spacing w:line="360" w:lineRule="auto"/>
        <w:rPr>
          <w:rFonts w:ascii="Times New Roman" w:hAnsi="Times New Roman" w:cs="Times New Roman"/>
          <w:sz w:val="24"/>
          <w:szCs w:val="24"/>
        </w:rPr>
      </w:pPr>
    </w:p>
    <w:p w14:paraId="3B4E0C26" w14:textId="56893732" w:rsidR="006D245B" w:rsidRPr="00796736" w:rsidRDefault="006D245B" w:rsidP="00A802A5">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Spillemyndighedens offentliggørelse</w:t>
      </w:r>
    </w:p>
    <w:p w14:paraId="52E619E5" w14:textId="0B03CF81" w:rsidR="0007131A" w:rsidRPr="00796736" w:rsidRDefault="0007131A" w:rsidP="0006670C">
      <w:pPr>
        <w:pStyle w:val="Typografi1"/>
        <w:ind w:left="0" w:firstLine="238"/>
        <w:rPr>
          <w:rFonts w:ascii="Times New Roman" w:eastAsia="Times New Roman" w:hAnsi="Times New Roman" w:cs="Times New Roman"/>
          <w:sz w:val="24"/>
          <w:szCs w:val="24"/>
        </w:rPr>
      </w:pPr>
      <w:bookmarkStart w:id="458" w:name="_Ref232609592"/>
      <w:bookmarkStart w:id="459" w:name="_Toc244879107"/>
      <w:bookmarkStart w:id="460" w:name="_Toc244880631"/>
      <w:r w:rsidRPr="00796736">
        <w:rPr>
          <w:rFonts w:ascii="Times New Roman" w:eastAsia="Times New Roman" w:hAnsi="Times New Roman" w:cs="Times New Roman"/>
          <w:sz w:val="24"/>
          <w:szCs w:val="24"/>
        </w:rPr>
        <w:t xml:space="preserve">Reaktioner givet efter </w:t>
      </w:r>
      <w:r w:rsidR="00FF5D1F" w:rsidRPr="00796736">
        <w:rPr>
          <w:rFonts w:ascii="Times New Roman" w:eastAsia="Times New Roman" w:hAnsi="Times New Roman" w:cs="Times New Roman"/>
          <w:sz w:val="24"/>
          <w:szCs w:val="24"/>
        </w:rPr>
        <w:fldChar w:fldCharType="begin"/>
      </w:r>
      <w:r w:rsidR="00FF5D1F" w:rsidRPr="00796736">
        <w:rPr>
          <w:rFonts w:ascii="Times New Roman" w:eastAsia="Times New Roman" w:hAnsi="Times New Roman" w:cs="Times New Roman"/>
          <w:sz w:val="24"/>
          <w:szCs w:val="24"/>
        </w:rPr>
        <w:instrText xml:space="preserve"> REF _Ref232609450 \r \h </w:instrText>
      </w:r>
      <w:r w:rsidR="00967618" w:rsidRPr="00796736">
        <w:rPr>
          <w:rFonts w:ascii="Times New Roman" w:eastAsia="Times New Roman" w:hAnsi="Times New Roman" w:cs="Times New Roman"/>
          <w:sz w:val="24"/>
          <w:szCs w:val="24"/>
        </w:rPr>
        <w:instrText xml:space="preserve"> \* MERGEFORMAT </w:instrText>
      </w:r>
      <w:r w:rsidR="00FF5D1F" w:rsidRPr="00796736">
        <w:rPr>
          <w:rFonts w:ascii="Times New Roman" w:eastAsia="Times New Roman" w:hAnsi="Times New Roman" w:cs="Times New Roman"/>
          <w:sz w:val="24"/>
          <w:szCs w:val="24"/>
        </w:rPr>
      </w:r>
      <w:r w:rsidR="00FF5D1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FF5D1F"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w:t>
      </w:r>
      <w:r w:rsidR="006A012C" w:rsidRPr="00796736">
        <w:rPr>
          <w:rFonts w:ascii="Times New Roman" w:eastAsia="Times New Roman" w:hAnsi="Times New Roman" w:cs="Times New Roman"/>
          <w:sz w:val="24"/>
          <w:szCs w:val="24"/>
        </w:rPr>
        <w:fldChar w:fldCharType="begin"/>
      </w:r>
      <w:r w:rsidR="006A012C" w:rsidRPr="00796736">
        <w:rPr>
          <w:rFonts w:ascii="Times New Roman" w:eastAsia="Times New Roman" w:hAnsi="Times New Roman" w:cs="Times New Roman"/>
          <w:sz w:val="24"/>
          <w:szCs w:val="24"/>
        </w:rPr>
        <w:instrText xml:space="preserve"> REF _Ref236643746 \r \h </w:instrText>
      </w:r>
      <w:r w:rsidR="00F375BF" w:rsidRPr="00796736">
        <w:rPr>
          <w:rFonts w:ascii="Times New Roman" w:eastAsia="Times New Roman" w:hAnsi="Times New Roman" w:cs="Times New Roman"/>
          <w:sz w:val="24"/>
          <w:szCs w:val="24"/>
        </w:rPr>
        <w:instrText xml:space="preserve"> \* MERGEFORMAT </w:instrText>
      </w:r>
      <w:r w:rsidR="006A012C" w:rsidRPr="00796736">
        <w:rPr>
          <w:rFonts w:ascii="Times New Roman" w:eastAsia="Times New Roman" w:hAnsi="Times New Roman" w:cs="Times New Roman"/>
          <w:sz w:val="24"/>
          <w:szCs w:val="24"/>
        </w:rPr>
      </w:r>
      <w:r w:rsidR="006A012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118</w:t>
      </w:r>
      <w:r w:rsidR="006A012C"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w:t>
      </w:r>
      <w:r w:rsidR="006A012C" w:rsidRPr="00796736">
        <w:rPr>
          <w:rFonts w:ascii="Times New Roman" w:eastAsia="Times New Roman" w:hAnsi="Times New Roman" w:cs="Times New Roman"/>
          <w:sz w:val="24"/>
          <w:szCs w:val="24"/>
        </w:rPr>
        <w:fldChar w:fldCharType="begin"/>
      </w:r>
      <w:r w:rsidR="006A012C" w:rsidRPr="00796736">
        <w:rPr>
          <w:rFonts w:ascii="Times New Roman" w:eastAsia="Times New Roman" w:hAnsi="Times New Roman" w:cs="Times New Roman"/>
          <w:sz w:val="24"/>
          <w:szCs w:val="24"/>
        </w:rPr>
        <w:instrText xml:space="preserve"> REF _Ref232609511 \r \h </w:instrText>
      </w:r>
      <w:r w:rsidR="00F375BF" w:rsidRPr="00796736">
        <w:rPr>
          <w:rFonts w:ascii="Times New Roman" w:eastAsia="Times New Roman" w:hAnsi="Times New Roman" w:cs="Times New Roman"/>
          <w:sz w:val="24"/>
          <w:szCs w:val="24"/>
        </w:rPr>
        <w:instrText xml:space="preserve"> \* MERGEFORMAT </w:instrText>
      </w:r>
      <w:r w:rsidR="006A012C" w:rsidRPr="00796736">
        <w:rPr>
          <w:rFonts w:ascii="Times New Roman" w:eastAsia="Times New Roman" w:hAnsi="Times New Roman" w:cs="Times New Roman"/>
          <w:sz w:val="24"/>
          <w:szCs w:val="24"/>
        </w:rPr>
      </w:r>
      <w:r w:rsidR="006A012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119</w:t>
      </w:r>
      <w:r w:rsidR="006A012C" w:rsidRPr="00796736">
        <w:rPr>
          <w:rFonts w:ascii="Times New Roman" w:eastAsia="Times New Roman" w:hAnsi="Times New Roman" w:cs="Times New Roman"/>
          <w:sz w:val="24"/>
          <w:szCs w:val="24"/>
        </w:rPr>
        <w:fldChar w:fldCharType="end"/>
      </w:r>
      <w:r w:rsidR="006A012C"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stk. 1, </w:t>
      </w:r>
      <w:r w:rsidR="006A012C" w:rsidRPr="00796736">
        <w:rPr>
          <w:rFonts w:ascii="Times New Roman" w:eastAsia="Times New Roman" w:hAnsi="Times New Roman" w:cs="Times New Roman"/>
          <w:sz w:val="24"/>
          <w:szCs w:val="24"/>
        </w:rPr>
        <w:fldChar w:fldCharType="begin"/>
      </w:r>
      <w:r w:rsidR="006A012C" w:rsidRPr="00796736">
        <w:rPr>
          <w:rFonts w:ascii="Times New Roman" w:eastAsia="Times New Roman" w:hAnsi="Times New Roman" w:cs="Times New Roman"/>
          <w:sz w:val="24"/>
          <w:szCs w:val="24"/>
        </w:rPr>
        <w:instrText xml:space="preserve"> REF _Ref232609546 \r \h </w:instrText>
      </w:r>
      <w:r w:rsidR="00F375BF" w:rsidRPr="00796736">
        <w:rPr>
          <w:rFonts w:ascii="Times New Roman" w:eastAsia="Times New Roman" w:hAnsi="Times New Roman" w:cs="Times New Roman"/>
          <w:sz w:val="24"/>
          <w:szCs w:val="24"/>
        </w:rPr>
        <w:instrText xml:space="preserve"> \* MERGEFORMAT </w:instrText>
      </w:r>
      <w:r w:rsidR="006A012C" w:rsidRPr="00796736">
        <w:rPr>
          <w:rFonts w:ascii="Times New Roman" w:eastAsia="Times New Roman" w:hAnsi="Times New Roman" w:cs="Times New Roman"/>
          <w:sz w:val="24"/>
          <w:szCs w:val="24"/>
        </w:rPr>
      </w:r>
      <w:r w:rsidR="006A012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120</w:t>
      </w:r>
      <w:r w:rsidR="006A012C" w:rsidRPr="00796736">
        <w:rPr>
          <w:rFonts w:ascii="Times New Roman" w:eastAsia="Times New Roman" w:hAnsi="Times New Roman" w:cs="Times New Roman"/>
          <w:sz w:val="24"/>
          <w:szCs w:val="24"/>
        </w:rPr>
        <w:fldChar w:fldCharType="end"/>
      </w:r>
      <w:r w:rsidR="006A012C" w:rsidRPr="00796736">
        <w:rPr>
          <w:rFonts w:ascii="Times New Roman" w:eastAsia="Times New Roman" w:hAnsi="Times New Roman" w:cs="Times New Roman"/>
          <w:sz w:val="24"/>
          <w:szCs w:val="24"/>
        </w:rPr>
        <w:t xml:space="preserve">, stk. 1 og </w:t>
      </w:r>
      <w:r w:rsidR="006A012C" w:rsidRPr="00796736">
        <w:rPr>
          <w:rFonts w:ascii="Times New Roman" w:eastAsia="Times New Roman" w:hAnsi="Times New Roman" w:cs="Times New Roman"/>
          <w:sz w:val="24"/>
          <w:szCs w:val="24"/>
        </w:rPr>
        <w:fldChar w:fldCharType="begin"/>
      </w:r>
      <w:r w:rsidR="006A012C" w:rsidRPr="00796736">
        <w:rPr>
          <w:rFonts w:ascii="Times New Roman" w:eastAsia="Times New Roman" w:hAnsi="Times New Roman" w:cs="Times New Roman"/>
          <w:sz w:val="24"/>
          <w:szCs w:val="24"/>
        </w:rPr>
        <w:instrText xml:space="preserve"> REF _Ref236145057 \r \h </w:instrText>
      </w:r>
      <w:r w:rsidR="00F375BF" w:rsidRPr="00796736">
        <w:rPr>
          <w:rFonts w:ascii="Times New Roman" w:eastAsia="Times New Roman" w:hAnsi="Times New Roman" w:cs="Times New Roman"/>
          <w:sz w:val="24"/>
          <w:szCs w:val="24"/>
        </w:rPr>
        <w:instrText xml:space="preserve"> \* MERGEFORMAT </w:instrText>
      </w:r>
      <w:r w:rsidR="006A012C" w:rsidRPr="00796736">
        <w:rPr>
          <w:rFonts w:ascii="Times New Roman" w:eastAsia="Times New Roman" w:hAnsi="Times New Roman" w:cs="Times New Roman"/>
          <w:sz w:val="24"/>
          <w:szCs w:val="24"/>
        </w:rPr>
      </w:r>
      <w:r w:rsidR="006A012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121</w:t>
      </w:r>
      <w:r w:rsidR="006A012C" w:rsidRPr="00796736">
        <w:rPr>
          <w:rFonts w:ascii="Times New Roman" w:eastAsia="Times New Roman" w:hAnsi="Times New Roman" w:cs="Times New Roman"/>
          <w:sz w:val="24"/>
          <w:szCs w:val="24"/>
        </w:rPr>
        <w:fldChar w:fldCharType="end"/>
      </w:r>
      <w:r w:rsidR="006A012C" w:rsidRPr="00796736">
        <w:rPr>
          <w:rFonts w:ascii="Times New Roman" w:eastAsia="Times New Roman" w:hAnsi="Times New Roman" w:cs="Times New Roman"/>
          <w:sz w:val="24"/>
          <w:szCs w:val="24"/>
        </w:rPr>
        <w:t xml:space="preserve">, stk. 1, </w:t>
      </w:r>
      <w:r w:rsidRPr="00796736">
        <w:rPr>
          <w:rFonts w:ascii="Times New Roman" w:eastAsia="Times New Roman" w:hAnsi="Times New Roman" w:cs="Times New Roman"/>
          <w:sz w:val="24"/>
          <w:szCs w:val="24"/>
        </w:rPr>
        <w:t xml:space="preserve">samt pålagte tvangsbøder efter </w:t>
      </w:r>
      <w:r w:rsidR="00FF5D1F" w:rsidRPr="00796736">
        <w:rPr>
          <w:rFonts w:ascii="Times New Roman" w:eastAsia="Times New Roman" w:hAnsi="Times New Roman" w:cs="Times New Roman"/>
          <w:sz w:val="24"/>
          <w:szCs w:val="24"/>
        </w:rPr>
        <w:fldChar w:fldCharType="begin"/>
      </w:r>
      <w:r w:rsidR="00FF5D1F" w:rsidRPr="00796736">
        <w:rPr>
          <w:rFonts w:ascii="Times New Roman" w:eastAsia="Times New Roman" w:hAnsi="Times New Roman" w:cs="Times New Roman"/>
          <w:sz w:val="24"/>
          <w:szCs w:val="24"/>
        </w:rPr>
        <w:instrText xml:space="preserve"> REF _Ref232610091 \r \h </w:instrText>
      </w:r>
      <w:r w:rsidR="00967618" w:rsidRPr="00796736">
        <w:rPr>
          <w:rFonts w:ascii="Times New Roman" w:eastAsia="Times New Roman" w:hAnsi="Times New Roman" w:cs="Times New Roman"/>
          <w:sz w:val="24"/>
          <w:szCs w:val="24"/>
        </w:rPr>
        <w:instrText xml:space="preserve"> \* MERGEFORMAT </w:instrText>
      </w:r>
      <w:r w:rsidR="00FF5D1F" w:rsidRPr="00796736">
        <w:rPr>
          <w:rFonts w:ascii="Times New Roman" w:eastAsia="Times New Roman" w:hAnsi="Times New Roman" w:cs="Times New Roman"/>
          <w:sz w:val="24"/>
          <w:szCs w:val="24"/>
        </w:rPr>
      </w:r>
      <w:r w:rsidR="00FF5D1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137</w:t>
      </w:r>
      <w:r w:rsidR="00FF5D1F"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skal offentliggøres af spillemyndigheden på spillemyndighedens hjemmeside, jf. dog stk. 6 og 7. Beslutninger om at overgive sager til politimæssig efterforskning offentliggøres som resumé, jf. dog stk. 6 og 7. Offentliggørelsen skal omfatte den juridiske eller fysiske persons navn, jf. dog stk. 6.</w:t>
      </w:r>
      <w:bookmarkEnd w:id="458"/>
      <w:bookmarkEnd w:id="459"/>
      <w:bookmarkEnd w:id="460"/>
      <w:r w:rsidRPr="00796736">
        <w:rPr>
          <w:rFonts w:ascii="Times New Roman" w:eastAsia="Times New Roman" w:hAnsi="Times New Roman" w:cs="Times New Roman"/>
          <w:sz w:val="24"/>
          <w:szCs w:val="24"/>
        </w:rPr>
        <w:t xml:space="preserve"> </w:t>
      </w:r>
    </w:p>
    <w:p w14:paraId="607C3B62" w14:textId="77777777"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2.</w:t>
      </w:r>
      <w:r w:rsidRPr="00796736">
        <w:rPr>
          <w:rFonts w:ascii="Times New Roman" w:eastAsia="Times New Roman" w:hAnsi="Times New Roman" w:cs="Times New Roman"/>
          <w:sz w:val="24"/>
          <w:szCs w:val="24"/>
        </w:rPr>
        <w:t xml:space="preserve"> Offentliggørelse skal ske umiddelbart efter, at den, reaktionen er rettet imod, er blevet underrettet om reaktionen.</w:t>
      </w:r>
    </w:p>
    <w:p w14:paraId="18FF0C99" w14:textId="77777777"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3.</w:t>
      </w:r>
      <w:r w:rsidRPr="00796736">
        <w:rPr>
          <w:rFonts w:ascii="Times New Roman" w:eastAsia="Times New Roman" w:hAnsi="Times New Roman" w:cs="Times New Roman"/>
          <w:sz w:val="24"/>
          <w:szCs w:val="24"/>
        </w:rPr>
        <w:t xml:space="preserve"> Offentliggjorte reaktioner forbliver på spillemyndighedens hjemmeside i 5 år efter offentliggørelse. Personoplysninger indeholdt i offentliggørelsen må dog kun forblive på spillemyndighedens hjemmeside i det nødvendige tidsrum i overensstemmelse med de gældende databeskyttelsesregler.</w:t>
      </w:r>
    </w:p>
    <w:p w14:paraId="0B9315F0" w14:textId="77777777"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4.</w:t>
      </w:r>
      <w:r w:rsidRPr="00796736">
        <w:rPr>
          <w:rFonts w:ascii="Times New Roman" w:eastAsia="Times New Roman" w:hAnsi="Times New Roman" w:cs="Times New Roman"/>
          <w:sz w:val="24"/>
          <w:szCs w:val="24"/>
        </w:rPr>
        <w:t xml:space="preserve"> Indbringes reaktionen, der offentliggøres i henhold til stk. 1, 1. pkt., for Landsskatteretten eller domstolene, skal dette fremgå af spillemyndighedens offentliggørelse, og det efterfølgende resultat af Landsskatterettens eller domstolenes afgørelse skal ligeledes offentliggøres på spillemyndighedens hjemmeside hurtigst muligt.</w:t>
      </w:r>
    </w:p>
    <w:p w14:paraId="24BD4F30" w14:textId="77777777"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5.</w:t>
      </w:r>
      <w:r w:rsidRPr="00796736">
        <w:rPr>
          <w:rFonts w:ascii="Times New Roman" w:eastAsia="Times New Roman" w:hAnsi="Times New Roman" w:cs="Times New Roman"/>
          <w:sz w:val="24"/>
          <w:szCs w:val="24"/>
        </w:rPr>
        <w:t xml:space="preserve"> Har spillemyndigheden overgivet en sag til politimæssig efterforskning, og er der afsagt fældende dom eller vedtaget bøde, skal spillemyndigheden offentliggøre dommen, bødevedtagelsen eller et resumé heraf, jf. dog stk. 6 og 7. Er dommen ikke endelig, eller er den anket eller genoptaget, skal dette fremgå af offentliggørelsen.</w:t>
      </w:r>
    </w:p>
    <w:p w14:paraId="0D93A45B" w14:textId="6FBCCA38" w:rsidR="0007131A" w:rsidRPr="00796736" w:rsidRDefault="0007131A" w:rsidP="0006670C">
      <w:pPr>
        <w:spacing w:line="360" w:lineRule="auto"/>
        <w:ind w:firstLine="238"/>
        <w:rPr>
          <w:rFonts w:ascii="Times New Roman" w:eastAsia="Times New Roman" w:hAnsi="Times New Roman" w:cs="Times New Roman"/>
          <w:sz w:val="24"/>
          <w:szCs w:val="24"/>
          <w:highlight w:val="yellow"/>
        </w:rPr>
      </w:pPr>
      <w:r w:rsidRPr="00796736">
        <w:rPr>
          <w:rFonts w:ascii="Times New Roman" w:eastAsia="Times New Roman" w:hAnsi="Times New Roman" w:cs="Times New Roman"/>
          <w:i/>
          <w:iCs/>
          <w:sz w:val="24"/>
          <w:szCs w:val="24"/>
        </w:rPr>
        <w:t>Stk. 6.</w:t>
      </w:r>
      <w:r w:rsidRPr="00796736">
        <w:rPr>
          <w:rFonts w:ascii="Times New Roman" w:eastAsia="Times New Roman" w:hAnsi="Times New Roman" w:cs="Times New Roman"/>
          <w:sz w:val="24"/>
          <w:szCs w:val="24"/>
        </w:rPr>
        <w:t xml:space="preserve"> Offentliggørelse efter stk. 1, der omfatter en fysisk persons navn, kan kun ske, hvis spillemyndigheden efter en individuel vurdering ikke anser offentliggørelsen af identiteten af den fysiske person for at være uforholdsmæssig</w:t>
      </w:r>
      <w:r w:rsidR="00DF1D0A"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w:t>
      </w:r>
    </w:p>
    <w:p w14:paraId="7414E835" w14:textId="5C476EEE" w:rsidR="0007131A" w:rsidRPr="00796736" w:rsidRDefault="0007131A" w:rsidP="0006670C">
      <w:pPr>
        <w:spacing w:line="360" w:lineRule="auto"/>
        <w:ind w:firstLine="238"/>
        <w:rPr>
          <w:rFonts w:ascii="Times New Roman" w:eastAsia="Times New Roman" w:hAnsi="Times New Roman" w:cs="Times New Roman"/>
          <w:iCs/>
          <w:sz w:val="24"/>
          <w:szCs w:val="24"/>
        </w:rPr>
      </w:pPr>
      <w:r w:rsidRPr="00796736">
        <w:rPr>
          <w:rFonts w:ascii="Times New Roman" w:eastAsia="Times New Roman" w:hAnsi="Times New Roman" w:cs="Times New Roman"/>
          <w:i/>
          <w:iCs/>
          <w:sz w:val="24"/>
          <w:szCs w:val="24"/>
        </w:rPr>
        <w:t>Stk. 7.</w:t>
      </w:r>
      <w:r w:rsidRPr="00796736">
        <w:rPr>
          <w:rFonts w:ascii="Times New Roman" w:eastAsia="Times New Roman" w:hAnsi="Times New Roman" w:cs="Times New Roman"/>
          <w:sz w:val="24"/>
          <w:szCs w:val="24"/>
        </w:rPr>
        <w:t xml:space="preserve"> </w:t>
      </w:r>
      <w:r w:rsidR="00D55072" w:rsidRPr="00796736">
        <w:rPr>
          <w:rFonts w:ascii="Times New Roman" w:eastAsia="Times New Roman" w:hAnsi="Times New Roman" w:cs="Times New Roman"/>
          <w:sz w:val="24"/>
          <w:szCs w:val="24"/>
        </w:rPr>
        <w:t>Offentliggørelse efter stk. 1 og 4-6, kan dog ikke ske, hvis det vil medføre uforholdsmæssig stor skade </w:t>
      </w:r>
      <w:r w:rsidR="00D55072" w:rsidRPr="00796736">
        <w:rPr>
          <w:rFonts w:ascii="Times New Roman" w:hAnsi="Times New Roman" w:cs="Times New Roman"/>
          <w:sz w:val="24"/>
          <w:szCs w:val="24"/>
          <w:lang w:eastAsia="da-DK"/>
        </w:rPr>
        <w:t>efter en individuel vurdering</w:t>
      </w:r>
      <w:r w:rsidR="00D55072" w:rsidRPr="00796736">
        <w:rPr>
          <w:rFonts w:ascii="Times New Roman" w:eastAsia="Times New Roman" w:hAnsi="Times New Roman" w:cs="Times New Roman"/>
          <w:sz w:val="24"/>
          <w:szCs w:val="24"/>
        </w:rPr>
        <w:t>, efterforskningsmæssige hensyn taler imod offentliggørelse,</w:t>
      </w:r>
      <w:r w:rsidR="00D55072" w:rsidRPr="00796736">
        <w:rPr>
          <w:rFonts w:ascii="Times New Roman" w:hAnsi="Times New Roman" w:cs="Times New Roman"/>
          <w:sz w:val="24"/>
          <w:szCs w:val="24"/>
          <w:lang w:eastAsia="da-DK"/>
        </w:rPr>
        <w:t xml:space="preserve"> eller offentliggørelsen ikke står i rimeligt forhold til overtrædelsens karakter</w:t>
      </w:r>
      <w:r w:rsidR="00D55072" w:rsidRPr="00796736">
        <w:rPr>
          <w:rFonts w:ascii="Times New Roman" w:eastAsia="Times New Roman" w:hAnsi="Times New Roman" w:cs="Times New Roman"/>
          <w:sz w:val="24"/>
          <w:szCs w:val="24"/>
        </w:rPr>
        <w:t>. Offentliggørelsen må ikke indeholde fortrolige oplysninger om kundeforhold eller oplysninger omfattet af bestemmelser i lov om offentlighed i forvaltningen om undtagelse af oplysninger om private forhold og drifts- eller forretningsforhold m.v. Offentliggørelsen må ikke indeholde fortrolige oplysninger, der hidrører fra et EU- eller EØS-land, medmindre de myndigheder, som har afgivet oplysningerne, har givet deres udtrykkelige tilladelse.</w:t>
      </w:r>
    </w:p>
    <w:p w14:paraId="611D3F73" w14:textId="77777777"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8.</w:t>
      </w:r>
      <w:r w:rsidRPr="00796736">
        <w:rPr>
          <w:rFonts w:ascii="Times New Roman" w:eastAsia="Times New Roman" w:hAnsi="Times New Roman" w:cs="Times New Roman"/>
          <w:sz w:val="24"/>
          <w:szCs w:val="24"/>
        </w:rPr>
        <w:t xml:space="preserve"> Er offentliggørelse undladt i henhold til stk. 7, 1. pkt., skal der ske offentliggørelse efter stk. 1 og 4-6, når de hensyn, der nødvendiggjorde undladelsen, ikke længere er gældende. Efter 2 år fra datoen for reaktionen eller beslutningen om at overgive sagen til politimæssig efterforskning skal der dog ikke ske offentliggørelse uanset 1. pkt. Der skal alene ske offentliggørelse, hvis der ikke er sket påtaleopgivelse eller tiltalefrafald efter retsplejelovens regler.</w:t>
      </w:r>
    </w:p>
    <w:p w14:paraId="2B7218D0" w14:textId="2F8775CC" w:rsidR="008B6E02" w:rsidRPr="00796736" w:rsidRDefault="0007131A" w:rsidP="0006670C">
      <w:pPr>
        <w:spacing w:line="360" w:lineRule="auto"/>
        <w:ind w:firstLine="238"/>
        <w:rPr>
          <w:rFonts w:ascii="Times New Roman" w:eastAsia="Calibri" w:hAnsi="Times New Roman" w:cs="Times New Roman"/>
          <w:i/>
          <w:sz w:val="24"/>
          <w:szCs w:val="24"/>
        </w:rPr>
      </w:pPr>
      <w:r w:rsidRPr="00796736">
        <w:rPr>
          <w:rFonts w:ascii="Times New Roman" w:eastAsia="Times New Roman" w:hAnsi="Times New Roman" w:cs="Times New Roman"/>
          <w:i/>
          <w:iCs/>
          <w:sz w:val="24"/>
          <w:szCs w:val="24"/>
        </w:rPr>
        <w:t>Stk. 9.</w:t>
      </w:r>
      <w:r w:rsidRPr="00796736">
        <w:rPr>
          <w:rFonts w:ascii="Times New Roman" w:eastAsia="Times New Roman" w:hAnsi="Times New Roman" w:cs="Times New Roman"/>
          <w:sz w:val="24"/>
          <w:szCs w:val="24"/>
        </w:rPr>
        <w:t xml:space="preserve"> </w:t>
      </w:r>
      <w:r w:rsidR="007B7BA4" w:rsidRPr="00D500FD">
        <w:rPr>
          <w:rFonts w:ascii="Times New Roman" w:eastAsia="Times New Roman" w:hAnsi="Times New Roman" w:cs="Times New Roman"/>
          <w:sz w:val="24"/>
          <w:szCs w:val="24"/>
        </w:rPr>
        <w:t>I sager, hvor spillemyndigheden har offentliggjort en beslutning om at overgive en sag til politimæssig efterforskning efter stk. 1, 2. pkt., og der træffes afgørelse om påtaleopgivelse eller tiltalefrafald eller afsiges frifindende dom, skal spillemyndigheden offentliggøre oplysninger herom</w:t>
      </w:r>
      <w:r w:rsidR="007B7BA4">
        <w:rPr>
          <w:rFonts w:ascii="Times New Roman" w:eastAsia="Times New Roman" w:hAnsi="Times New Roman" w:cs="Times New Roman"/>
          <w:sz w:val="24"/>
          <w:szCs w:val="24"/>
        </w:rPr>
        <w:t>, hvis spillemyndigheden bliver bekendt hermed</w:t>
      </w:r>
      <w:r w:rsidR="007B7BA4" w:rsidRPr="00D500FD">
        <w:rPr>
          <w:rFonts w:ascii="Times New Roman" w:eastAsia="Times New Roman" w:hAnsi="Times New Roman" w:cs="Times New Roman"/>
          <w:sz w:val="24"/>
          <w:szCs w:val="24"/>
        </w:rPr>
        <w:t>. Den fysiske eller juridiske person skal indsende en kopi af afgørelsen om påtaleopgivelse eller tiltalefrafald eller en kopi af dommen til spillemyndigheden. Er påtaleopgivelsen, tiltalefrafaldet eller dommen ikke endelig, skal det fremgå af offentliggørelsen. Modtager spillemyndigheden dokumentation for, at sagen er afsluttet ved endelig påtaleopgivelse eller tiltalefrafald eller afsigelse af endelig frifindende dom, skal spillemyndigheden fjerne alle oplysninger om beslutningen om at overgive sagen til politimæssig efterforskning og eventuelle efterfølgende domme i sagen fra spillemyndighedens hjemmeside.</w:t>
      </w:r>
      <w:r w:rsidR="006D0E39">
        <w:rPr>
          <w:rFonts w:ascii="Times New Roman" w:eastAsia="Times New Roman" w:hAnsi="Times New Roman" w:cs="Times New Roman"/>
          <w:sz w:val="24"/>
          <w:szCs w:val="24"/>
        </w:rPr>
        <w:br/>
      </w:r>
    </w:p>
    <w:p w14:paraId="468101DC" w14:textId="78122FA5" w:rsidR="0007131A" w:rsidRPr="00796736" w:rsidRDefault="008B6E02" w:rsidP="00A802A5">
      <w:pPr>
        <w:spacing w:line="360" w:lineRule="auto"/>
        <w:ind w:firstLine="238"/>
        <w:jc w:val="center"/>
        <w:rPr>
          <w:rFonts w:ascii="Times New Roman" w:eastAsia="Calibri" w:hAnsi="Times New Roman" w:cs="Times New Roman"/>
          <w:i/>
          <w:sz w:val="24"/>
          <w:szCs w:val="24"/>
        </w:rPr>
      </w:pPr>
      <w:r w:rsidRPr="00796736">
        <w:rPr>
          <w:rFonts w:ascii="Times New Roman" w:eastAsia="Calibri" w:hAnsi="Times New Roman" w:cs="Times New Roman"/>
          <w:i/>
          <w:sz w:val="24"/>
          <w:szCs w:val="24"/>
        </w:rPr>
        <w:t>Tavshedspligt, fortrolighed og videregivelse af oplysninger</w:t>
      </w:r>
    </w:p>
    <w:p w14:paraId="5E313CFF" w14:textId="5E910304" w:rsidR="0007131A" w:rsidRPr="00796736" w:rsidRDefault="0007131A" w:rsidP="0006670C">
      <w:pPr>
        <w:pStyle w:val="Typografi1"/>
        <w:ind w:left="0" w:firstLine="238"/>
        <w:rPr>
          <w:rFonts w:ascii="Times New Roman" w:hAnsi="Times New Roman" w:cs="Times New Roman"/>
          <w:sz w:val="24"/>
          <w:szCs w:val="24"/>
        </w:rPr>
      </w:pPr>
      <w:bookmarkStart w:id="461" w:name="_Ref232609613"/>
      <w:bookmarkStart w:id="462" w:name="_Toc244879108"/>
      <w:bookmarkStart w:id="463" w:name="_Toc244880632"/>
      <w:r w:rsidRPr="00796736">
        <w:rPr>
          <w:rFonts w:ascii="Times New Roman" w:hAnsi="Times New Roman" w:cs="Times New Roman"/>
          <w:sz w:val="24"/>
          <w:szCs w:val="24"/>
        </w:rPr>
        <w:t>Spillemyndighedens ansatte er under ansvar efter </w:t>
      </w:r>
      <w:hyperlink r:id="rId13">
        <w:r w:rsidRPr="00796736">
          <w:rPr>
            <w:rStyle w:val="Hyperlink"/>
            <w:rFonts w:ascii="Times New Roman" w:eastAsia="Times New Roman" w:hAnsi="Times New Roman" w:cs="Times New Roman"/>
            <w:color w:val="auto"/>
            <w:sz w:val="24"/>
            <w:szCs w:val="24"/>
            <w:u w:val="none"/>
          </w:rPr>
          <w:t>straffelovens §§ 152</w:t>
        </w:r>
      </w:hyperlink>
      <w:r w:rsidRPr="00796736">
        <w:rPr>
          <w:rFonts w:ascii="Times New Roman" w:hAnsi="Times New Roman" w:cs="Times New Roman"/>
          <w:sz w:val="24"/>
          <w:szCs w:val="24"/>
        </w:rPr>
        <w:t>-</w:t>
      </w:r>
      <w:hyperlink r:id="rId14">
        <w:r w:rsidRPr="00796736">
          <w:rPr>
            <w:rStyle w:val="Hyperlink"/>
            <w:rFonts w:ascii="Times New Roman" w:eastAsia="Times New Roman" w:hAnsi="Times New Roman" w:cs="Times New Roman"/>
            <w:color w:val="auto"/>
            <w:sz w:val="24"/>
            <w:szCs w:val="24"/>
            <w:u w:val="none"/>
          </w:rPr>
          <w:t>152 e</w:t>
        </w:r>
      </w:hyperlink>
      <w:r w:rsidRPr="00796736">
        <w:rPr>
          <w:rFonts w:ascii="Times New Roman" w:hAnsi="Times New Roman" w:cs="Times New Roman"/>
          <w:sz w:val="24"/>
          <w:szCs w:val="24"/>
        </w:rPr>
        <w:t> forpligtet til at hemmeligholde fortrolige oplysninger, som de får kendskab til gennem tilsynsvirksomheden, jf. dog stk. 2. Det samme gælder personer, der udfører serviceopgaver som led i myndighedens drift, og eksperter, der handler på myndighedens vegne. Dette gælder også efter ansættelses- eller kontraktforholdets ophør.</w:t>
      </w:r>
      <w:bookmarkEnd w:id="461"/>
      <w:bookmarkEnd w:id="462"/>
      <w:bookmarkEnd w:id="463"/>
    </w:p>
    <w:p w14:paraId="21FDE7F1" w14:textId="77777777"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 xml:space="preserve">Stk. 2. </w:t>
      </w:r>
      <w:r w:rsidRPr="00796736">
        <w:rPr>
          <w:rFonts w:ascii="Times New Roman" w:eastAsia="Times New Roman" w:hAnsi="Times New Roman" w:cs="Times New Roman"/>
          <w:sz w:val="24"/>
          <w:szCs w:val="24"/>
        </w:rPr>
        <w:t>Samtykke fra den, som tavshedspligten tilsigter at beskytte, berettiger ikke personer som nævnt i stk. 1 til at videregive fortrolige oplysninger.</w:t>
      </w:r>
    </w:p>
    <w:p w14:paraId="2F36B349" w14:textId="3231AB9F" w:rsidR="009D4F0D" w:rsidRPr="00796736" w:rsidRDefault="009D4F0D"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3</w:t>
      </w:r>
      <w:r w:rsidRPr="00796736">
        <w:rPr>
          <w:rFonts w:ascii="Times New Roman" w:eastAsia="Times New Roman" w:hAnsi="Times New Roman" w:cs="Times New Roman"/>
          <w:sz w:val="24"/>
          <w:szCs w:val="24"/>
        </w:rPr>
        <w:t xml:space="preserve">. Stk. 1 er ikke til hinder for, at </w:t>
      </w:r>
      <w:r w:rsidR="00435151" w:rsidRPr="00796736">
        <w:rPr>
          <w:rFonts w:ascii="Times New Roman" w:eastAsia="Times New Roman" w:hAnsi="Times New Roman" w:cs="Times New Roman"/>
          <w:sz w:val="24"/>
          <w:szCs w:val="24"/>
        </w:rPr>
        <w:t>s</w:t>
      </w:r>
      <w:r w:rsidRPr="00796736">
        <w:rPr>
          <w:rFonts w:ascii="Times New Roman" w:eastAsia="Times New Roman" w:hAnsi="Times New Roman" w:cs="Times New Roman"/>
          <w:sz w:val="24"/>
          <w:szCs w:val="24"/>
        </w:rPr>
        <w:t>pillemyndigheden videregiver fortrolige oplysninger i summarisk eller sammenfattende form, når hverken den enkelte virksomhed eller dens kunder kan identificeres.</w:t>
      </w:r>
    </w:p>
    <w:p w14:paraId="24B7D235" w14:textId="073C0C02"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w:t>
      </w:r>
      <w:r w:rsidR="009D4F0D" w:rsidRPr="00796736">
        <w:rPr>
          <w:rFonts w:ascii="Times New Roman" w:eastAsia="Times New Roman" w:hAnsi="Times New Roman" w:cs="Times New Roman"/>
          <w:i/>
          <w:iCs/>
          <w:sz w:val="24"/>
          <w:szCs w:val="24"/>
        </w:rPr>
        <w:t>4</w:t>
      </w:r>
      <w:r w:rsidRPr="00796736">
        <w:rPr>
          <w:rFonts w:ascii="Times New Roman" w:eastAsia="Times New Roman" w:hAnsi="Times New Roman" w:cs="Times New Roman"/>
          <w:i/>
          <w:iCs/>
          <w:sz w:val="24"/>
          <w:szCs w:val="24"/>
        </w:rPr>
        <w:t xml:space="preserve">. </w:t>
      </w:r>
      <w:r w:rsidRPr="00796736">
        <w:rPr>
          <w:rFonts w:ascii="Times New Roman" w:eastAsia="Times New Roman" w:hAnsi="Times New Roman" w:cs="Times New Roman"/>
          <w:sz w:val="24"/>
          <w:szCs w:val="24"/>
        </w:rPr>
        <w:t>Stk. 1 er ikke til hinder for, at fortrolige oplysninger videregives til:</w:t>
      </w:r>
    </w:p>
    <w:p w14:paraId="3B0803EF" w14:textId="17AE09A4"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Tilsynsmyndigheder i henhold til denne lov.</w:t>
      </w:r>
    </w:p>
    <w:p w14:paraId="3D8BC902" w14:textId="211BA37B" w:rsidR="0007131A"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Medlemmer af </w:t>
      </w:r>
      <w:r w:rsidR="009D4F0D" w:rsidRPr="00796736">
        <w:rPr>
          <w:rFonts w:ascii="Times New Roman" w:eastAsia="Times New Roman" w:hAnsi="Times New Roman" w:cs="Times New Roman"/>
          <w:sz w:val="24"/>
          <w:szCs w:val="24"/>
        </w:rPr>
        <w:t>Hvidvaskforum</w:t>
      </w:r>
      <w:r w:rsidRPr="00796736">
        <w:rPr>
          <w:rFonts w:ascii="Times New Roman" w:eastAsia="Times New Roman" w:hAnsi="Times New Roman" w:cs="Times New Roman"/>
          <w:sz w:val="24"/>
          <w:szCs w:val="24"/>
        </w:rPr>
        <w:t xml:space="preserve">, jf. </w:t>
      </w:r>
      <w:r w:rsidR="00F0383A" w:rsidRPr="00796736">
        <w:rPr>
          <w:rFonts w:ascii="Times New Roman" w:eastAsia="Times New Roman" w:hAnsi="Times New Roman" w:cs="Times New Roman"/>
          <w:sz w:val="24"/>
          <w:szCs w:val="24"/>
        </w:rPr>
        <w:fldChar w:fldCharType="begin"/>
      </w:r>
      <w:r w:rsidR="00F0383A" w:rsidRPr="00796736">
        <w:rPr>
          <w:rFonts w:ascii="Times New Roman" w:eastAsia="Times New Roman" w:hAnsi="Times New Roman" w:cs="Times New Roman"/>
          <w:sz w:val="24"/>
          <w:szCs w:val="24"/>
        </w:rPr>
        <w:instrText xml:space="preserve"> REF _Ref232620750 \r \h </w:instrText>
      </w:r>
      <w:r w:rsidR="00967618" w:rsidRPr="00796736">
        <w:rPr>
          <w:rFonts w:ascii="Times New Roman" w:eastAsia="Times New Roman" w:hAnsi="Times New Roman" w:cs="Times New Roman"/>
          <w:sz w:val="24"/>
          <w:szCs w:val="24"/>
        </w:rPr>
        <w:instrText xml:space="preserve"> \* MERGEFORMAT </w:instrText>
      </w:r>
      <w:r w:rsidR="00F0383A" w:rsidRPr="00796736">
        <w:rPr>
          <w:rFonts w:ascii="Times New Roman" w:eastAsia="Times New Roman" w:hAnsi="Times New Roman" w:cs="Times New Roman"/>
          <w:sz w:val="24"/>
          <w:szCs w:val="24"/>
        </w:rPr>
      </w:r>
      <w:r w:rsidR="00F0383A"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129</w:t>
      </w:r>
      <w:r w:rsidR="00F0383A"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w:t>
      </w:r>
    </w:p>
    <w:p w14:paraId="020E5736" w14:textId="68245E7F" w:rsidR="006D0E39" w:rsidRPr="00796736" w:rsidRDefault="006D0E39">
      <w:pPr>
        <w:pStyle w:val="Listeafsnit"/>
        <w:numPr>
          <w:ilvl w:val="0"/>
          <w:numId w:val="109"/>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Hvidvasksekretariatet </w:t>
      </w:r>
    </w:p>
    <w:p w14:paraId="36AB1BC2" w14:textId="22766592"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Andre offentlige myndigheder,</w:t>
      </w:r>
      <w:r w:rsidR="006D0E39">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anklagemyndigheden og politiet, i forbindelse med efterforskning og retsforfølgning af mulige strafbare forhold omfattet af straffeloven, hvidvaskforordningen, denne lov eller regler udstedt i medfør heraf, eller anden tilsynslovgivning.</w:t>
      </w:r>
    </w:p>
    <w:p w14:paraId="5D54A6A2" w14:textId="4293F26A" w:rsidR="0007131A" w:rsidRPr="00796736" w:rsidRDefault="00435151">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Told- og s</w:t>
      </w:r>
      <w:r w:rsidR="0007131A" w:rsidRPr="00796736">
        <w:rPr>
          <w:rFonts w:ascii="Times New Roman" w:eastAsia="Times New Roman" w:hAnsi="Times New Roman" w:cs="Times New Roman"/>
          <w:sz w:val="24"/>
          <w:szCs w:val="24"/>
        </w:rPr>
        <w:t>katteforvaltningen, når videregivelse sker til brug for told- og skatteforvaltningens undersøgelse af mulige overtrædelser af skatte- og afgiftslovgivningen.</w:t>
      </w:r>
    </w:p>
    <w:p w14:paraId="138987CB" w14:textId="184444C1"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Vedkommende minister som led i dennes overordnede tilsyn.</w:t>
      </w:r>
    </w:p>
    <w:p w14:paraId="1E2B42A7" w14:textId="0A3AE4C4"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Administrative myndigheder og domstole, som behandler afgørelser, der er truffet af spillemyndigheden.</w:t>
      </w:r>
    </w:p>
    <w:p w14:paraId="7CA8B437" w14:textId="4E022D17"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Folketingets Ombudsmand.</w:t>
      </w:r>
    </w:p>
    <w:p w14:paraId="6F16A0FB" w14:textId="02368010"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En parlamentarisk kommission nedsat af Folketinget.</w:t>
      </w:r>
    </w:p>
    <w:p w14:paraId="7CEBBE89" w14:textId="77777777" w:rsidR="007B7BA4" w:rsidRPr="00D500FD" w:rsidRDefault="007B7BA4">
      <w:pPr>
        <w:pStyle w:val="Listeafsnit"/>
        <w:numPr>
          <w:ilvl w:val="0"/>
          <w:numId w:val="109"/>
        </w:numPr>
        <w:spacing w:line="360" w:lineRule="auto"/>
        <w:rPr>
          <w:rFonts w:ascii="Times New Roman" w:eastAsia="Times New Roman" w:hAnsi="Times New Roman" w:cs="Times New Roman"/>
          <w:sz w:val="24"/>
          <w:szCs w:val="24"/>
        </w:rPr>
      </w:pPr>
      <w:r w:rsidRPr="00D500FD">
        <w:rPr>
          <w:rFonts w:ascii="Times New Roman" w:eastAsia="Times New Roman" w:hAnsi="Times New Roman" w:cs="Times New Roman"/>
          <w:sz w:val="24"/>
          <w:szCs w:val="24"/>
        </w:rPr>
        <w:t xml:space="preserve">Undersøgelseskommissioner </w:t>
      </w:r>
      <w:r>
        <w:rPr>
          <w:rFonts w:ascii="Times New Roman" w:eastAsia="Times New Roman" w:hAnsi="Times New Roman" w:cs="Times New Roman"/>
          <w:sz w:val="24"/>
          <w:szCs w:val="24"/>
        </w:rPr>
        <w:t xml:space="preserve">og granskningskommissioner </w:t>
      </w:r>
      <w:r w:rsidRPr="00D500FD">
        <w:rPr>
          <w:rFonts w:ascii="Times New Roman" w:eastAsia="Times New Roman" w:hAnsi="Times New Roman" w:cs="Times New Roman"/>
          <w:sz w:val="24"/>
          <w:szCs w:val="24"/>
        </w:rPr>
        <w:t>nedsat ved lov eller i henhold til lov om undersøgelseskommissioner og granskningskommissioner.</w:t>
      </w:r>
    </w:p>
    <w:p w14:paraId="4C03D879" w14:textId="23C01E26"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Statsrevisorerne og Rigsrevisionen.</w:t>
      </w:r>
    </w:p>
    <w:p w14:paraId="7F74930C" w14:textId="77777777" w:rsidR="00435151" w:rsidRPr="00796736" w:rsidRDefault="00435151">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Skifteretten, andre myndigheder, der medvirker ved en af denne lovs omfattede virksomheds likvidation, konkursbehandling eller lignende procedurer, kurator og personer, der er ansvarlige for den lovpligtige revision af en udbyder af spil, under forudsætning af at modtagerne af oplysningerne har behov herfor til varetagelse af deres opgaver.</w:t>
      </w:r>
    </w:p>
    <w:p w14:paraId="39F4E442" w14:textId="2FC63FF7"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Udvalg og grupper m.v. nedsat af erhvervs</w:t>
      </w:r>
      <w:r w:rsidR="006A012C" w:rsidRPr="00796736">
        <w:rPr>
          <w:rFonts w:ascii="Times New Roman" w:eastAsia="Times New Roman" w:hAnsi="Times New Roman" w:cs="Times New Roman"/>
          <w:sz w:val="24"/>
          <w:szCs w:val="24"/>
        </w:rPr>
        <w:t>- og konkurrencekraftsministeren</w:t>
      </w:r>
      <w:r w:rsidRPr="00796736">
        <w:rPr>
          <w:rFonts w:ascii="Times New Roman" w:eastAsia="Times New Roman" w:hAnsi="Times New Roman" w:cs="Times New Roman"/>
          <w:sz w:val="24"/>
          <w:szCs w:val="24"/>
        </w:rPr>
        <w:t xml:space="preserve"> eller skatte</w:t>
      </w:r>
      <w:r w:rsidR="009D4F0D" w:rsidRPr="00796736">
        <w:rPr>
          <w:rFonts w:ascii="Times New Roman" w:eastAsia="Times New Roman" w:hAnsi="Times New Roman" w:cs="Times New Roman"/>
          <w:sz w:val="24"/>
          <w:szCs w:val="24"/>
        </w:rPr>
        <w:t>- og vækstministeren</w:t>
      </w:r>
      <w:r w:rsidRPr="00796736">
        <w:rPr>
          <w:rFonts w:ascii="Times New Roman" w:eastAsia="Times New Roman" w:hAnsi="Times New Roman" w:cs="Times New Roman"/>
          <w:sz w:val="24"/>
          <w:szCs w:val="24"/>
        </w:rPr>
        <w:t>, der har til formål at drøfte og koordinere indsatsen til forebyggelse af hvidvask og finansiering af terrorisme.</w:t>
      </w:r>
    </w:p>
    <w:p w14:paraId="626939FF" w14:textId="48085322" w:rsidR="009D4F0D" w:rsidRPr="00796736" w:rsidRDefault="009D4F0D">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Færøske og grønlandske tilsynsmyndigheder på området for forebyggelse af hvidvask og finansiering af terrorisme, under forudsætning af, at disse er underlagt en lovbestemt tavshedspligt, der mindst svarer til tavshedspligten i medfør af stk. 1, og at modtagerne har behov for oplysningerne til varetagelse af deres opgaver.</w:t>
      </w:r>
    </w:p>
    <w:p w14:paraId="02E59797" w14:textId="1BD95922"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Tilsynsmyndigheder i andre EU- eller EØS-lande, der har ansvaret for tilsyn med </w:t>
      </w:r>
      <w:r w:rsidR="006A012C" w:rsidRPr="00796736">
        <w:rPr>
          <w:rFonts w:ascii="Times New Roman" w:eastAsia="Times New Roman" w:hAnsi="Times New Roman" w:cs="Times New Roman"/>
          <w:sz w:val="24"/>
          <w:szCs w:val="24"/>
        </w:rPr>
        <w:t xml:space="preserve">de i  </w:t>
      </w:r>
      <w:r w:rsidR="006A012C" w:rsidRPr="00796736">
        <w:rPr>
          <w:rFonts w:ascii="Times New Roman" w:eastAsia="Times New Roman" w:hAnsi="Times New Roman" w:cs="Times New Roman"/>
          <w:sz w:val="24"/>
          <w:szCs w:val="24"/>
        </w:rPr>
        <w:fldChar w:fldCharType="begin"/>
      </w:r>
      <w:r w:rsidR="006A012C" w:rsidRPr="00796736">
        <w:rPr>
          <w:rFonts w:ascii="Times New Roman" w:eastAsia="Times New Roman" w:hAnsi="Times New Roman" w:cs="Times New Roman"/>
          <w:sz w:val="24"/>
          <w:szCs w:val="24"/>
        </w:rPr>
        <w:instrText xml:space="preserve"> REF _Ref232609450 \r \h  \* MERGEFORMAT </w:instrText>
      </w:r>
      <w:r w:rsidR="006A012C" w:rsidRPr="00796736">
        <w:rPr>
          <w:rFonts w:ascii="Times New Roman" w:eastAsia="Times New Roman" w:hAnsi="Times New Roman" w:cs="Times New Roman"/>
          <w:sz w:val="24"/>
          <w:szCs w:val="24"/>
        </w:rPr>
      </w:r>
      <w:r w:rsidR="006A012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6A012C" w:rsidRPr="00796736">
        <w:rPr>
          <w:rFonts w:ascii="Times New Roman" w:eastAsia="Times New Roman" w:hAnsi="Times New Roman" w:cs="Times New Roman"/>
          <w:sz w:val="24"/>
          <w:szCs w:val="24"/>
        </w:rPr>
        <w:fldChar w:fldCharType="end"/>
      </w:r>
      <w:r w:rsidR="006A012C" w:rsidRPr="00796736">
        <w:rPr>
          <w:rFonts w:ascii="Times New Roman" w:eastAsia="Times New Roman" w:hAnsi="Times New Roman" w:cs="Times New Roman"/>
          <w:sz w:val="24"/>
          <w:szCs w:val="24"/>
        </w:rPr>
        <w:t>, stk. 1, omfattede virksomheders og personers</w:t>
      </w:r>
      <w:r w:rsidRPr="00796736">
        <w:rPr>
          <w:rFonts w:ascii="Times New Roman" w:eastAsia="Times New Roman" w:hAnsi="Times New Roman" w:cs="Times New Roman"/>
          <w:sz w:val="24"/>
          <w:szCs w:val="24"/>
        </w:rPr>
        <w:t xml:space="preserve"> overholdelse af lovgivning om forebyggende foranstaltninger mod hvidvask og finansiering af terrorisme og forordninger indeholdende regler om finansielle sanktioner mod lande, personer, grupper, juridiske enheder eller organer, under forudsætning af at modtagerne af oplysninger har et væsentligt behov herfor til varetagelsen af deres opgaver.</w:t>
      </w:r>
    </w:p>
    <w:p w14:paraId="37CB934D" w14:textId="44A0FD63"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Myndigheden for bekæmpelse af hvidvask af penge og finansiering af terrorisme (herefter AMLA).</w:t>
      </w:r>
    </w:p>
    <w:p w14:paraId="17DEB10A" w14:textId="3BF8D8F3" w:rsidR="0007131A" w:rsidRPr="00796736" w:rsidRDefault="0007131A">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Midlertidige undersøgelsesudvalg nedsat af Europa-Parlamentet.  </w:t>
      </w:r>
    </w:p>
    <w:p w14:paraId="14D8EC58" w14:textId="50AB307B" w:rsidR="00F815DC" w:rsidRPr="00796736" w:rsidRDefault="00F815DC">
      <w:pPr>
        <w:pStyle w:val="Listeafsnit"/>
        <w:numPr>
          <w:ilvl w:val="0"/>
          <w:numId w:val="109"/>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Tilsynsmyndigheder i lande uden for EU eller EØS, der har ansvaret for tilsyn med</w:t>
      </w:r>
      <w:r w:rsidR="006A012C" w:rsidRPr="00796736">
        <w:rPr>
          <w:rFonts w:ascii="Times New Roman" w:eastAsia="Times New Roman" w:hAnsi="Times New Roman" w:cs="Times New Roman"/>
          <w:sz w:val="24"/>
          <w:szCs w:val="24"/>
        </w:rPr>
        <w:t xml:space="preserve"> de i</w:t>
      </w:r>
      <w:r w:rsidRPr="00796736">
        <w:rPr>
          <w:rFonts w:ascii="Times New Roman" w:eastAsia="Times New Roman" w:hAnsi="Times New Roman" w:cs="Times New Roman"/>
          <w:sz w:val="24"/>
          <w:szCs w:val="24"/>
        </w:rPr>
        <w:t xml:space="preserve"> </w:t>
      </w:r>
      <w:r w:rsidR="006A012C" w:rsidRPr="00796736">
        <w:rPr>
          <w:rFonts w:ascii="Times New Roman" w:eastAsia="Times New Roman" w:hAnsi="Times New Roman" w:cs="Times New Roman"/>
          <w:sz w:val="24"/>
          <w:szCs w:val="24"/>
        </w:rPr>
        <w:fldChar w:fldCharType="begin"/>
      </w:r>
      <w:r w:rsidR="006A012C" w:rsidRPr="00796736">
        <w:rPr>
          <w:rFonts w:ascii="Times New Roman" w:eastAsia="Times New Roman" w:hAnsi="Times New Roman" w:cs="Times New Roman"/>
          <w:sz w:val="24"/>
          <w:szCs w:val="24"/>
        </w:rPr>
        <w:instrText xml:space="preserve"> REF _Ref232609450 \r \h  \* MERGEFORMAT </w:instrText>
      </w:r>
      <w:r w:rsidR="006A012C" w:rsidRPr="00796736">
        <w:rPr>
          <w:rFonts w:ascii="Times New Roman" w:eastAsia="Times New Roman" w:hAnsi="Times New Roman" w:cs="Times New Roman"/>
          <w:sz w:val="24"/>
          <w:szCs w:val="24"/>
        </w:rPr>
      </w:r>
      <w:r w:rsidR="006A012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6A012C" w:rsidRPr="00796736">
        <w:rPr>
          <w:rFonts w:ascii="Times New Roman" w:eastAsia="Times New Roman" w:hAnsi="Times New Roman" w:cs="Times New Roman"/>
          <w:sz w:val="24"/>
          <w:szCs w:val="24"/>
        </w:rPr>
        <w:fldChar w:fldCharType="end"/>
      </w:r>
      <w:r w:rsidR="006A012C" w:rsidRPr="00796736">
        <w:rPr>
          <w:rFonts w:ascii="Times New Roman" w:eastAsia="Times New Roman" w:hAnsi="Times New Roman" w:cs="Times New Roman"/>
          <w:sz w:val="24"/>
          <w:szCs w:val="24"/>
        </w:rPr>
        <w:t>, stk. 1, omfattede virksomheders og personers</w:t>
      </w:r>
      <w:r w:rsidRPr="00796736">
        <w:rPr>
          <w:rFonts w:ascii="Times New Roman" w:eastAsia="Times New Roman" w:hAnsi="Times New Roman" w:cs="Times New Roman"/>
          <w:sz w:val="24"/>
          <w:szCs w:val="24"/>
        </w:rPr>
        <w:t xml:space="preserve"> overholdelse af lovgivning om forebyggende foranstaltninger mod hvidvask og finansiering af terrorisme.</w:t>
      </w:r>
    </w:p>
    <w:p w14:paraId="553A8BB9" w14:textId="6BF77C86"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w:t>
      </w:r>
      <w:r w:rsidR="00F815DC" w:rsidRPr="00796736">
        <w:rPr>
          <w:rFonts w:ascii="Times New Roman" w:eastAsia="Times New Roman" w:hAnsi="Times New Roman" w:cs="Times New Roman"/>
          <w:i/>
          <w:iCs/>
          <w:sz w:val="24"/>
          <w:szCs w:val="24"/>
        </w:rPr>
        <w:t>5</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Videregivelse i henhold til stk. </w:t>
      </w:r>
      <w:r w:rsidR="006D245B" w:rsidRPr="00796736">
        <w:rPr>
          <w:rFonts w:ascii="Times New Roman" w:eastAsia="Times New Roman" w:hAnsi="Times New Roman" w:cs="Times New Roman"/>
          <w:sz w:val="24"/>
          <w:szCs w:val="24"/>
        </w:rPr>
        <w:t>4</w:t>
      </w:r>
      <w:r w:rsidRPr="00796736">
        <w:rPr>
          <w:rFonts w:ascii="Times New Roman" w:eastAsia="Times New Roman" w:hAnsi="Times New Roman" w:cs="Times New Roman"/>
          <w:sz w:val="24"/>
          <w:szCs w:val="24"/>
        </w:rPr>
        <w:t>, nr. 1</w:t>
      </w:r>
      <w:r w:rsidR="005108A4">
        <w:rPr>
          <w:rFonts w:ascii="Times New Roman" w:eastAsia="Times New Roman" w:hAnsi="Times New Roman" w:cs="Times New Roman"/>
          <w:sz w:val="24"/>
          <w:szCs w:val="24"/>
        </w:rPr>
        <w:t>8</w:t>
      </w:r>
      <w:r w:rsidRPr="00796736">
        <w:rPr>
          <w:rFonts w:ascii="Times New Roman" w:eastAsia="Times New Roman" w:hAnsi="Times New Roman" w:cs="Times New Roman"/>
          <w:sz w:val="24"/>
          <w:szCs w:val="24"/>
        </w:rPr>
        <w:t>, kan alene ske på baggrund af en international samarbejdsaftale, og under forudsætning af at modtagerne mindst er underlagt en lovbestemt tavshedspligt, der svarer til tavshedspligten i medfør af stk. 1, og har et væsentligt behov for oplysningerne til varetagelse af deres opgaver.</w:t>
      </w:r>
    </w:p>
    <w:p w14:paraId="420F0FCC" w14:textId="23EF7428"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w:t>
      </w:r>
      <w:r w:rsidR="00F815DC" w:rsidRPr="00796736">
        <w:rPr>
          <w:rFonts w:ascii="Times New Roman" w:eastAsia="Times New Roman" w:hAnsi="Times New Roman" w:cs="Times New Roman"/>
          <w:i/>
          <w:iCs/>
          <w:sz w:val="24"/>
          <w:szCs w:val="24"/>
        </w:rPr>
        <w:t>6</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Alle, der i henhold til stk. </w:t>
      </w:r>
      <w:r w:rsidR="006D245B" w:rsidRPr="00796736">
        <w:rPr>
          <w:rFonts w:ascii="Times New Roman" w:eastAsia="Times New Roman" w:hAnsi="Times New Roman" w:cs="Times New Roman"/>
          <w:sz w:val="24"/>
          <w:szCs w:val="24"/>
        </w:rPr>
        <w:t>4</w:t>
      </w:r>
      <w:r w:rsidRPr="00796736">
        <w:rPr>
          <w:rFonts w:ascii="Times New Roman" w:eastAsia="Times New Roman" w:hAnsi="Times New Roman" w:cs="Times New Roman"/>
          <w:sz w:val="24"/>
          <w:szCs w:val="24"/>
        </w:rPr>
        <w:t>, nr. 1-1</w:t>
      </w:r>
      <w:r w:rsidR="006D245B" w:rsidRPr="00796736">
        <w:rPr>
          <w:rFonts w:ascii="Times New Roman" w:eastAsia="Times New Roman" w:hAnsi="Times New Roman" w:cs="Times New Roman"/>
          <w:sz w:val="24"/>
          <w:szCs w:val="24"/>
        </w:rPr>
        <w:t>3</w:t>
      </w:r>
      <w:r w:rsidRPr="00796736">
        <w:rPr>
          <w:rFonts w:ascii="Times New Roman" w:eastAsia="Times New Roman" w:hAnsi="Times New Roman" w:cs="Times New Roman"/>
          <w:sz w:val="24"/>
          <w:szCs w:val="24"/>
        </w:rPr>
        <w:t>, modtager fortrolige oplysninger fra spillemyndigheden, er med hensyn til disse oplysninger undergivet den i stk. 1 omhandlede tavshedspligt.</w:t>
      </w:r>
    </w:p>
    <w:p w14:paraId="56DDEBE9" w14:textId="32A83FA3"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w:t>
      </w:r>
      <w:r w:rsidR="00F815DC" w:rsidRPr="00796736">
        <w:rPr>
          <w:rFonts w:ascii="Times New Roman" w:eastAsia="Times New Roman" w:hAnsi="Times New Roman" w:cs="Times New Roman"/>
          <w:i/>
          <w:iCs/>
          <w:sz w:val="24"/>
          <w:szCs w:val="24"/>
        </w:rPr>
        <w:t>7</w:t>
      </w:r>
      <w:r w:rsidRPr="00796736">
        <w:rPr>
          <w:rFonts w:ascii="Times New Roman" w:eastAsia="Times New Roman" w:hAnsi="Times New Roman" w:cs="Times New Roman"/>
          <w:i/>
          <w:iCs/>
          <w:sz w:val="24"/>
          <w:szCs w:val="24"/>
        </w:rPr>
        <w:t>. </w:t>
      </w:r>
      <w:r w:rsidRPr="00796736">
        <w:rPr>
          <w:rFonts w:ascii="Times New Roman" w:eastAsia="Times New Roman" w:hAnsi="Times New Roman" w:cs="Times New Roman"/>
          <w:sz w:val="24"/>
          <w:szCs w:val="24"/>
        </w:rPr>
        <w:t xml:space="preserve">Videregivelse i henhold til stk. </w:t>
      </w:r>
      <w:r w:rsidR="006D245B" w:rsidRPr="00796736">
        <w:rPr>
          <w:rFonts w:ascii="Times New Roman" w:eastAsia="Times New Roman" w:hAnsi="Times New Roman" w:cs="Times New Roman"/>
          <w:sz w:val="24"/>
          <w:szCs w:val="24"/>
        </w:rPr>
        <w:t>4</w:t>
      </w:r>
      <w:r w:rsidRPr="00796736">
        <w:rPr>
          <w:rFonts w:ascii="Times New Roman" w:eastAsia="Times New Roman" w:hAnsi="Times New Roman" w:cs="Times New Roman"/>
          <w:sz w:val="24"/>
          <w:szCs w:val="24"/>
        </w:rPr>
        <w:t xml:space="preserve">, nr. 1, 2, </w:t>
      </w:r>
      <w:r w:rsidR="005108A4">
        <w:rPr>
          <w:rFonts w:ascii="Times New Roman" w:eastAsia="Times New Roman" w:hAnsi="Times New Roman" w:cs="Times New Roman"/>
          <w:sz w:val="24"/>
          <w:szCs w:val="24"/>
        </w:rPr>
        <w:t>9</w:t>
      </w:r>
      <w:r w:rsidRPr="00796736">
        <w:rPr>
          <w:rFonts w:ascii="Times New Roman" w:eastAsia="Times New Roman" w:hAnsi="Times New Roman" w:cs="Times New Roman"/>
          <w:sz w:val="24"/>
          <w:szCs w:val="24"/>
        </w:rPr>
        <w:t xml:space="preserve">, </w:t>
      </w:r>
      <w:r w:rsidR="005108A4">
        <w:rPr>
          <w:rFonts w:ascii="Times New Roman" w:eastAsia="Times New Roman" w:hAnsi="Times New Roman" w:cs="Times New Roman"/>
          <w:sz w:val="24"/>
          <w:szCs w:val="24"/>
        </w:rPr>
        <w:t>10</w:t>
      </w:r>
      <w:r w:rsidR="006D245B" w:rsidRPr="00796736">
        <w:rPr>
          <w:rFonts w:ascii="Times New Roman" w:eastAsia="Times New Roman" w:hAnsi="Times New Roman" w:cs="Times New Roman"/>
          <w:sz w:val="24"/>
          <w:szCs w:val="24"/>
        </w:rPr>
        <w:t>, 1</w:t>
      </w:r>
      <w:r w:rsidR="005108A4">
        <w:rPr>
          <w:rFonts w:ascii="Times New Roman" w:eastAsia="Times New Roman" w:hAnsi="Times New Roman" w:cs="Times New Roman"/>
          <w:sz w:val="24"/>
          <w:szCs w:val="24"/>
        </w:rPr>
        <w:t>2</w:t>
      </w:r>
      <w:r w:rsidRPr="00796736">
        <w:rPr>
          <w:rFonts w:ascii="Times New Roman" w:eastAsia="Times New Roman" w:hAnsi="Times New Roman" w:cs="Times New Roman"/>
          <w:sz w:val="24"/>
          <w:szCs w:val="24"/>
        </w:rPr>
        <w:t xml:space="preserve"> og 1</w:t>
      </w:r>
      <w:r w:rsidR="005108A4">
        <w:rPr>
          <w:rFonts w:ascii="Times New Roman" w:eastAsia="Times New Roman" w:hAnsi="Times New Roman" w:cs="Times New Roman"/>
          <w:sz w:val="24"/>
          <w:szCs w:val="24"/>
        </w:rPr>
        <w:t>4</w:t>
      </w: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8</w:t>
      </w:r>
      <w:r w:rsidRPr="00796736">
        <w:rPr>
          <w:rFonts w:ascii="Times New Roman" w:eastAsia="Times New Roman" w:hAnsi="Times New Roman" w:cs="Times New Roman"/>
          <w:sz w:val="24"/>
          <w:szCs w:val="24"/>
        </w:rPr>
        <w:t>, af fortrolige oplysninger, der hidrører fra et EU- eller EØS-land eller tilsynsmyndigheder i lande uden for EU eller EØS, kan endvidere alene ske, såfremt de myndigheder, som har afgivet oplysningerne, har givet deres udtrykkelige tilladelse, og oplysningerne må udelukkende benyttes til det formål, som tilladelsen vedrører.</w:t>
      </w:r>
    </w:p>
    <w:p w14:paraId="1AB02B94" w14:textId="321155D7" w:rsidR="0007131A" w:rsidRPr="00796736" w:rsidRDefault="0007131A" w:rsidP="0006670C">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Stk. </w:t>
      </w:r>
      <w:r w:rsidR="00F815DC" w:rsidRPr="00796736">
        <w:rPr>
          <w:rFonts w:ascii="Times New Roman" w:eastAsia="Times New Roman" w:hAnsi="Times New Roman" w:cs="Times New Roman"/>
          <w:i/>
          <w:iCs/>
          <w:sz w:val="24"/>
          <w:szCs w:val="24"/>
        </w:rPr>
        <w:t>8</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Fortrolige oplysninger, som spillemyndigheden modtager, må kun anvendes i forbindelse med tilsynshvervet, herunder til at pålægge sanktioner, eller hvis spillemyndighedens afgørelse påklages til højere administrativ myndighed eller indbringes for domstolene.</w:t>
      </w:r>
    </w:p>
    <w:p w14:paraId="1D28BC4F" w14:textId="77777777" w:rsidR="00BD54E3" w:rsidRPr="00796736" w:rsidRDefault="00BD54E3" w:rsidP="00A802A5">
      <w:pPr>
        <w:spacing w:line="360" w:lineRule="auto"/>
        <w:ind w:firstLine="238"/>
        <w:rPr>
          <w:rFonts w:ascii="Times New Roman" w:eastAsia="Times New Roman" w:hAnsi="Times New Roman" w:cs="Times New Roman"/>
          <w:sz w:val="24"/>
          <w:szCs w:val="24"/>
        </w:rPr>
      </w:pPr>
    </w:p>
    <w:p w14:paraId="2F50FEFC" w14:textId="22154938" w:rsidR="002D41B0" w:rsidRPr="00796736" w:rsidRDefault="002D41B0" w:rsidP="00EE5244">
      <w:pPr>
        <w:pStyle w:val="Typografi1"/>
        <w:ind w:left="0" w:firstLine="238"/>
        <w:rPr>
          <w:rFonts w:ascii="Times New Roman" w:hAnsi="Times New Roman" w:cs="Times New Roman"/>
          <w:sz w:val="24"/>
          <w:szCs w:val="24"/>
        </w:rPr>
      </w:pPr>
      <w:bookmarkStart w:id="464" w:name="_Ref236648779"/>
      <w:bookmarkStart w:id="465" w:name="_Toc244879109"/>
      <w:bookmarkStart w:id="466" w:name="_Toc244880633"/>
      <w:r w:rsidRPr="00796736">
        <w:rPr>
          <w:rFonts w:ascii="Times New Roman" w:hAnsi="Times New Roman" w:cs="Times New Roman"/>
          <w:sz w:val="24"/>
          <w:szCs w:val="24"/>
        </w:rPr>
        <w:t xml:space="preserve">Spillemyndighedens ansatte må ikke videregive oplysninger om en person, når vedkommende har indberettet en virksomhed eller en person til </w:t>
      </w:r>
      <w:r w:rsidR="006A012C" w:rsidRPr="00796736">
        <w:rPr>
          <w:rFonts w:ascii="Times New Roman" w:hAnsi="Times New Roman" w:cs="Times New Roman"/>
          <w:sz w:val="24"/>
          <w:szCs w:val="24"/>
        </w:rPr>
        <w:t>s</w:t>
      </w:r>
      <w:r w:rsidRPr="00796736">
        <w:rPr>
          <w:rFonts w:ascii="Times New Roman" w:hAnsi="Times New Roman" w:cs="Times New Roman"/>
          <w:sz w:val="24"/>
          <w:szCs w:val="24"/>
        </w:rPr>
        <w:t xml:space="preserve">pillemyndigheden for overtrædelse eller potentiel overtrædelse af hvidvaskforordningen, denne lov, regler udstedt i medfør heraf eller bestemmelser indeholdt i forordninger nævnt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_Ref236144985 \r \h </w:instrText>
      </w:r>
      <w:r w:rsidR="00F7751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for de områder</w:t>
      </w:r>
      <w:r w:rsidR="006A012C" w:rsidRPr="00796736">
        <w:rPr>
          <w:rFonts w:ascii="Times New Roman" w:hAnsi="Times New Roman" w:cs="Times New Roman"/>
          <w:sz w:val="24"/>
          <w:szCs w:val="24"/>
        </w:rPr>
        <w:t>,</w:t>
      </w:r>
      <w:r w:rsidRPr="00796736">
        <w:rPr>
          <w:rFonts w:ascii="Times New Roman" w:hAnsi="Times New Roman" w:cs="Times New Roman"/>
          <w:sz w:val="24"/>
          <w:szCs w:val="24"/>
        </w:rPr>
        <w:t xml:space="preserve"> som </w:t>
      </w:r>
      <w:r w:rsidR="006A012C" w:rsidRPr="00796736">
        <w:rPr>
          <w:rFonts w:ascii="Times New Roman" w:hAnsi="Times New Roman" w:cs="Times New Roman"/>
          <w:sz w:val="24"/>
          <w:szCs w:val="24"/>
        </w:rPr>
        <w:t>s</w:t>
      </w:r>
      <w:r w:rsidRPr="00796736">
        <w:rPr>
          <w:rFonts w:ascii="Times New Roman" w:hAnsi="Times New Roman" w:cs="Times New Roman"/>
          <w:sz w:val="24"/>
          <w:szCs w:val="24"/>
        </w:rPr>
        <w:t>pillemyndigheden fører tilsyn med, jf. dog stk. 2.</w:t>
      </w:r>
      <w:bookmarkEnd w:id="464"/>
      <w:bookmarkEnd w:id="465"/>
      <w:bookmarkEnd w:id="466"/>
    </w:p>
    <w:p w14:paraId="5152C6D7" w14:textId="03EC3530" w:rsidR="002D41B0" w:rsidRPr="00796736" w:rsidRDefault="002D41B0" w:rsidP="00EE5244">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Pr="00796736">
        <w:rPr>
          <w:rFonts w:ascii="Times New Roman" w:hAnsi="Times New Roman" w:cs="Times New Roman"/>
          <w:sz w:val="24"/>
          <w:szCs w:val="24"/>
          <w:lang w:eastAsia="da-DK"/>
        </w:rPr>
        <w:t xml:space="preserve">Bestemmelsen i stk. 1 er ikke til hinder for, at personoplysninger videregives i medfør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_Ref232609613 \r \h </w:instrText>
      </w:r>
      <w:r w:rsidR="00F7751F"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124</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4.</w:t>
      </w:r>
    </w:p>
    <w:p w14:paraId="78E9E1F5" w14:textId="69D23CEB" w:rsidR="00892A99" w:rsidRPr="00796736" w:rsidRDefault="002D41B0" w:rsidP="00EE5244">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Pr="00796736">
        <w:rPr>
          <w:rFonts w:ascii="Times New Roman" w:hAnsi="Times New Roman" w:cs="Times New Roman"/>
          <w:sz w:val="24"/>
          <w:szCs w:val="24"/>
          <w:lang w:eastAsia="da-DK"/>
        </w:rPr>
        <w:t xml:space="preserve">Alle, der i henhold til stk. 2 modtager personoplysninger, jf. dog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_Ref232609613 \r \h </w:instrText>
      </w:r>
      <w:r w:rsidR="00F7751F"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124</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6, er med hensyn til disse oplysninger undergivet den i stk. 1 omhandlede tavshedspligt.</w:t>
      </w:r>
    </w:p>
    <w:p w14:paraId="7BF80296" w14:textId="77777777" w:rsidR="00BD54E3" w:rsidRPr="00796736" w:rsidRDefault="00BD54E3" w:rsidP="00A802A5">
      <w:pPr>
        <w:spacing w:line="360" w:lineRule="auto"/>
        <w:ind w:firstLine="238"/>
        <w:rPr>
          <w:rFonts w:ascii="Times New Roman" w:hAnsi="Times New Roman" w:cs="Times New Roman"/>
          <w:sz w:val="24"/>
          <w:szCs w:val="24"/>
        </w:rPr>
      </w:pPr>
    </w:p>
    <w:p w14:paraId="29EA1E40" w14:textId="734972A6" w:rsidR="006D245B" w:rsidRPr="00796736" w:rsidRDefault="006D245B" w:rsidP="00A802A5">
      <w:pPr>
        <w:spacing w:line="360" w:lineRule="auto"/>
        <w:ind w:firstLine="238"/>
        <w:jc w:val="center"/>
        <w:rPr>
          <w:rFonts w:ascii="Times New Roman" w:hAnsi="Times New Roman" w:cs="Times New Roman"/>
          <w:sz w:val="24"/>
          <w:szCs w:val="24"/>
        </w:rPr>
      </w:pPr>
      <w:bookmarkStart w:id="467" w:name="_Toc229655872"/>
      <w:r w:rsidRPr="00796736">
        <w:rPr>
          <w:rFonts w:ascii="Times New Roman" w:hAnsi="Times New Roman" w:cs="Times New Roman"/>
          <w:sz w:val="24"/>
          <w:szCs w:val="24"/>
        </w:rPr>
        <w:t>Kapitel 1</w:t>
      </w:r>
      <w:r w:rsidR="00B61E4E" w:rsidRPr="00796736">
        <w:rPr>
          <w:rFonts w:ascii="Times New Roman" w:hAnsi="Times New Roman" w:cs="Times New Roman"/>
          <w:sz w:val="24"/>
          <w:szCs w:val="24"/>
        </w:rPr>
        <w:t>3</w:t>
      </w:r>
    </w:p>
    <w:p w14:paraId="579400FF" w14:textId="0C9746A9" w:rsidR="00892A99" w:rsidRPr="00796736" w:rsidRDefault="00892A99" w:rsidP="00A802A5">
      <w:pPr>
        <w:spacing w:line="360" w:lineRule="auto"/>
        <w:ind w:firstLine="238"/>
        <w:jc w:val="center"/>
        <w:rPr>
          <w:rFonts w:ascii="Times New Roman" w:hAnsi="Times New Roman" w:cs="Times New Roman"/>
          <w:i/>
          <w:iCs/>
          <w:sz w:val="24"/>
          <w:szCs w:val="24"/>
        </w:rPr>
      </w:pPr>
      <w:bookmarkStart w:id="468" w:name="_Toc229655873"/>
      <w:bookmarkEnd w:id="467"/>
      <w:r w:rsidRPr="00796736">
        <w:rPr>
          <w:rFonts w:ascii="Times New Roman" w:hAnsi="Times New Roman" w:cs="Times New Roman"/>
          <w:i/>
          <w:iCs/>
          <w:sz w:val="24"/>
          <w:szCs w:val="24"/>
        </w:rPr>
        <w:t>Kommunikation og samarbejdsforum</w:t>
      </w:r>
      <w:bookmarkEnd w:id="468"/>
    </w:p>
    <w:p w14:paraId="5962AD13" w14:textId="77777777" w:rsidR="004E155B" w:rsidRPr="00796736" w:rsidRDefault="004E155B" w:rsidP="00A802A5">
      <w:pPr>
        <w:spacing w:line="360" w:lineRule="auto"/>
        <w:ind w:firstLine="238"/>
        <w:rPr>
          <w:rFonts w:ascii="Times New Roman" w:hAnsi="Times New Roman" w:cs="Times New Roman"/>
          <w:sz w:val="24"/>
          <w:szCs w:val="24"/>
        </w:rPr>
      </w:pPr>
    </w:p>
    <w:p w14:paraId="44C12060" w14:textId="48B6D8A7" w:rsidR="000D70C3" w:rsidRPr="00796736" w:rsidRDefault="006D245B" w:rsidP="00EE5244">
      <w:pPr>
        <w:pStyle w:val="Typografi1"/>
        <w:ind w:left="0" w:firstLine="238"/>
        <w:rPr>
          <w:rFonts w:ascii="Times New Roman" w:hAnsi="Times New Roman" w:cs="Times New Roman"/>
          <w:sz w:val="24"/>
          <w:szCs w:val="24"/>
        </w:rPr>
      </w:pPr>
      <w:bookmarkStart w:id="469" w:name="_Ref232622220"/>
      <w:bookmarkStart w:id="470" w:name="_Toc244879110"/>
      <w:bookmarkStart w:id="471" w:name="_Toc244880634"/>
      <w:r w:rsidRPr="00796736">
        <w:rPr>
          <w:rFonts w:ascii="Times New Roman" w:hAnsi="Times New Roman" w:cs="Times New Roman"/>
          <w:sz w:val="24"/>
          <w:szCs w:val="24"/>
        </w:rPr>
        <w:t xml:space="preserve">Skatte- og vækstministeren og </w:t>
      </w:r>
      <w:r w:rsidR="00E559E9" w:rsidRPr="00796736">
        <w:rPr>
          <w:rFonts w:ascii="Times New Roman" w:hAnsi="Times New Roman" w:cs="Times New Roman"/>
          <w:sz w:val="24"/>
          <w:szCs w:val="24"/>
        </w:rPr>
        <w:t>e</w:t>
      </w:r>
      <w:r w:rsidR="000D70C3" w:rsidRPr="00796736">
        <w:rPr>
          <w:rFonts w:ascii="Times New Roman" w:hAnsi="Times New Roman" w:cs="Times New Roman"/>
          <w:sz w:val="24"/>
          <w:szCs w:val="24"/>
        </w:rPr>
        <w:t>rhvervs</w:t>
      </w:r>
      <w:r w:rsidRPr="00796736">
        <w:rPr>
          <w:rFonts w:ascii="Times New Roman" w:hAnsi="Times New Roman" w:cs="Times New Roman"/>
          <w:sz w:val="24"/>
          <w:szCs w:val="24"/>
        </w:rPr>
        <w:t>- og konkurrencekrafts</w:t>
      </w:r>
      <w:r w:rsidR="000D70C3" w:rsidRPr="00796736">
        <w:rPr>
          <w:rFonts w:ascii="Times New Roman" w:hAnsi="Times New Roman" w:cs="Times New Roman"/>
          <w:sz w:val="24"/>
          <w:szCs w:val="24"/>
        </w:rPr>
        <w:t xml:space="preserve">ministeren kan fastsætte regler om, at skriftlig kommunikation til og fra </w:t>
      </w:r>
      <w:r w:rsidRPr="00796736">
        <w:rPr>
          <w:rFonts w:ascii="Times New Roman" w:hAnsi="Times New Roman" w:cs="Times New Roman"/>
          <w:sz w:val="24"/>
          <w:szCs w:val="24"/>
        </w:rPr>
        <w:t xml:space="preserve">skatte- og vækstministeren og erhvervs- og konkurrencekraftsministeren, Finanstilsynet, </w:t>
      </w:r>
      <w:r w:rsidR="006A012C" w:rsidRPr="00796736">
        <w:rPr>
          <w:rFonts w:ascii="Times New Roman" w:hAnsi="Times New Roman" w:cs="Times New Roman"/>
          <w:sz w:val="24"/>
          <w:szCs w:val="24"/>
        </w:rPr>
        <w:t>s</w:t>
      </w:r>
      <w:r w:rsidRPr="00796736">
        <w:rPr>
          <w:rFonts w:ascii="Times New Roman" w:hAnsi="Times New Roman" w:cs="Times New Roman"/>
          <w:sz w:val="24"/>
          <w:szCs w:val="24"/>
        </w:rPr>
        <w:t xml:space="preserve">pillemyndigheden og Erhvervsstyrelsen </w:t>
      </w:r>
      <w:r w:rsidR="000D70C3" w:rsidRPr="00796736">
        <w:rPr>
          <w:rFonts w:ascii="Times New Roman" w:hAnsi="Times New Roman" w:cs="Times New Roman"/>
          <w:sz w:val="24"/>
          <w:szCs w:val="24"/>
        </w:rPr>
        <w:t xml:space="preserve">om forhold, </w:t>
      </w:r>
      <w:bookmarkEnd w:id="469"/>
      <w:r w:rsidR="0042556A" w:rsidRPr="00796736">
        <w:rPr>
          <w:rFonts w:ascii="Times New Roman" w:hAnsi="Times New Roman" w:cs="Times New Roman"/>
          <w:sz w:val="24"/>
          <w:szCs w:val="24"/>
        </w:rPr>
        <w:t>som er omfattet af denne lov eller regler udstedt i medfør af denne lov, skal foregå digitalt.</w:t>
      </w:r>
      <w:bookmarkEnd w:id="470"/>
      <w:bookmarkEnd w:id="471"/>
    </w:p>
    <w:p w14:paraId="4003E8C7" w14:textId="6B9BBF89" w:rsidR="000D70C3" w:rsidRPr="00796736" w:rsidRDefault="000D70C3" w:rsidP="00EE5244">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w:t>
      </w:r>
      <w:r w:rsidR="006D245B" w:rsidRPr="00796736">
        <w:rPr>
          <w:rFonts w:ascii="Times New Roman" w:hAnsi="Times New Roman" w:cs="Times New Roman"/>
          <w:sz w:val="24"/>
          <w:szCs w:val="24"/>
        </w:rPr>
        <w:t xml:space="preserve">Skatte- og vækstministeren og erhvervs- og konkurrencekraftsministeren </w:t>
      </w:r>
      <w:r w:rsidRPr="00796736">
        <w:rPr>
          <w:rFonts w:ascii="Times New Roman" w:hAnsi="Times New Roman" w:cs="Times New Roman"/>
          <w:sz w:val="24"/>
          <w:szCs w:val="24"/>
        </w:rPr>
        <w:t xml:space="preserve">kan fastsætte nærmere regler om digital kommunikation, herunder om anvendelse af bestemte </w:t>
      </w:r>
      <w:r w:rsidR="006A012C" w:rsidRPr="00796736">
        <w:rPr>
          <w:rFonts w:ascii="Times New Roman" w:hAnsi="Times New Roman" w:cs="Times New Roman"/>
          <w:sz w:val="24"/>
          <w:szCs w:val="24"/>
        </w:rPr>
        <w:t>IT</w:t>
      </w:r>
      <w:r w:rsidRPr="00796736">
        <w:rPr>
          <w:rFonts w:ascii="Times New Roman" w:hAnsi="Times New Roman" w:cs="Times New Roman"/>
          <w:sz w:val="24"/>
          <w:szCs w:val="24"/>
        </w:rPr>
        <w:t>-systemer, særlige digitale formater og digital signatur el.lign.</w:t>
      </w:r>
    </w:p>
    <w:p w14:paraId="3C40FBB3" w14:textId="77777777" w:rsidR="004E155B" w:rsidRPr="00796736" w:rsidRDefault="004E155B" w:rsidP="00A802A5">
      <w:pPr>
        <w:spacing w:line="360" w:lineRule="auto"/>
        <w:ind w:firstLine="238"/>
        <w:rPr>
          <w:rFonts w:ascii="Times New Roman" w:hAnsi="Times New Roman" w:cs="Times New Roman"/>
          <w:sz w:val="24"/>
          <w:szCs w:val="24"/>
        </w:rPr>
      </w:pPr>
    </w:p>
    <w:p w14:paraId="36D65340" w14:textId="5D047447" w:rsidR="000D70C3" w:rsidRPr="00796736" w:rsidRDefault="000D70C3" w:rsidP="00EE5244">
      <w:pPr>
        <w:pStyle w:val="Typografi1"/>
        <w:ind w:left="0" w:firstLine="238"/>
        <w:rPr>
          <w:rFonts w:ascii="Times New Roman" w:hAnsi="Times New Roman" w:cs="Times New Roman"/>
          <w:sz w:val="24"/>
          <w:szCs w:val="24"/>
        </w:rPr>
      </w:pPr>
      <w:bookmarkStart w:id="472" w:name="_Ref232609769"/>
      <w:bookmarkStart w:id="473" w:name="_Toc244879111"/>
      <w:bookmarkStart w:id="474" w:name="_Toc244880635"/>
      <w:r w:rsidRPr="00796736">
        <w:rPr>
          <w:rFonts w:ascii="Times New Roman" w:hAnsi="Times New Roman" w:cs="Times New Roman"/>
          <w:sz w:val="24"/>
          <w:szCs w:val="24"/>
        </w:rPr>
        <w:t>En digital meddelelse anses for at være kommet frem, når den er tilgængelig for adressaten for meddelelsen.</w:t>
      </w:r>
      <w:bookmarkEnd w:id="472"/>
      <w:bookmarkEnd w:id="473"/>
      <w:bookmarkEnd w:id="474"/>
    </w:p>
    <w:p w14:paraId="0B66FE99" w14:textId="77777777" w:rsidR="004E155B" w:rsidRPr="00796736" w:rsidRDefault="004E155B" w:rsidP="00A802A5">
      <w:pPr>
        <w:spacing w:line="360" w:lineRule="auto"/>
        <w:ind w:firstLine="238"/>
        <w:rPr>
          <w:rFonts w:ascii="Times New Roman" w:hAnsi="Times New Roman" w:cs="Times New Roman"/>
          <w:sz w:val="24"/>
          <w:szCs w:val="24"/>
        </w:rPr>
      </w:pPr>
    </w:p>
    <w:p w14:paraId="7D40BF63" w14:textId="2EE6ECDC" w:rsidR="000D70C3" w:rsidRPr="00796736" w:rsidRDefault="006D245B" w:rsidP="00EE5244">
      <w:pPr>
        <w:pStyle w:val="Typografi1"/>
        <w:ind w:left="0" w:firstLine="238"/>
        <w:rPr>
          <w:rFonts w:ascii="Times New Roman" w:hAnsi="Times New Roman" w:cs="Times New Roman"/>
          <w:sz w:val="24"/>
          <w:szCs w:val="24"/>
        </w:rPr>
      </w:pPr>
      <w:bookmarkStart w:id="475" w:name="_Ref232609793"/>
      <w:bookmarkStart w:id="476" w:name="_Toc244879112"/>
      <w:bookmarkStart w:id="477" w:name="_Toc244880636"/>
      <w:r w:rsidRPr="00796736">
        <w:rPr>
          <w:rFonts w:ascii="Times New Roman" w:hAnsi="Times New Roman" w:cs="Times New Roman"/>
          <w:sz w:val="24"/>
          <w:szCs w:val="24"/>
        </w:rPr>
        <w:t xml:space="preserve">Er det i hvidvaskforordningen, denne lov, </w:t>
      </w:r>
      <w:r w:rsidR="000D70C3" w:rsidRPr="00796736">
        <w:rPr>
          <w:rFonts w:ascii="Times New Roman" w:hAnsi="Times New Roman" w:cs="Times New Roman"/>
          <w:sz w:val="24"/>
          <w:szCs w:val="24"/>
        </w:rPr>
        <w:t xml:space="preserve">eller </w:t>
      </w:r>
      <w:r w:rsidRPr="00796736">
        <w:rPr>
          <w:rFonts w:ascii="Times New Roman" w:hAnsi="Times New Roman" w:cs="Times New Roman"/>
          <w:sz w:val="24"/>
          <w:szCs w:val="24"/>
        </w:rPr>
        <w:t>de</w:t>
      </w:r>
      <w:r w:rsidR="000D70C3" w:rsidRPr="00796736">
        <w:rPr>
          <w:rFonts w:ascii="Times New Roman" w:hAnsi="Times New Roman" w:cs="Times New Roman"/>
          <w:sz w:val="24"/>
          <w:szCs w:val="24"/>
        </w:rPr>
        <w:t xml:space="preserve"> regler</w:t>
      </w:r>
      <w:r w:rsidRPr="00796736">
        <w:rPr>
          <w:rFonts w:ascii="Times New Roman" w:hAnsi="Times New Roman" w:cs="Times New Roman"/>
          <w:sz w:val="24"/>
          <w:szCs w:val="24"/>
        </w:rPr>
        <w:t xml:space="preserve"> der er</w:t>
      </w:r>
      <w:r w:rsidR="000D70C3" w:rsidRPr="00796736">
        <w:rPr>
          <w:rFonts w:ascii="Times New Roman" w:hAnsi="Times New Roman" w:cs="Times New Roman"/>
          <w:sz w:val="24"/>
          <w:szCs w:val="24"/>
        </w:rPr>
        <w:t xml:space="preserve"> udstedt i medfør </w:t>
      </w:r>
      <w:r w:rsidRPr="00796736">
        <w:rPr>
          <w:rFonts w:ascii="Times New Roman" w:hAnsi="Times New Roman" w:cs="Times New Roman"/>
          <w:sz w:val="24"/>
          <w:szCs w:val="24"/>
        </w:rPr>
        <w:t>heraf, et krav om</w:t>
      </w:r>
      <w:r w:rsidR="000D70C3" w:rsidRPr="00796736">
        <w:rPr>
          <w:rFonts w:ascii="Times New Roman" w:hAnsi="Times New Roman" w:cs="Times New Roman"/>
          <w:sz w:val="24"/>
          <w:szCs w:val="24"/>
        </w:rPr>
        <w:t>, at et dokument, som er udstedt af andre end</w:t>
      </w:r>
      <w:r w:rsidR="00435151" w:rsidRPr="00796736">
        <w:rPr>
          <w:rFonts w:ascii="Times New Roman" w:hAnsi="Times New Roman" w:cs="Times New Roman"/>
          <w:sz w:val="24"/>
          <w:szCs w:val="24"/>
        </w:rPr>
        <w:t xml:space="preserve"> </w:t>
      </w:r>
      <w:r w:rsidR="000D70C3" w:rsidRPr="00796736">
        <w:rPr>
          <w:rFonts w:ascii="Times New Roman" w:hAnsi="Times New Roman" w:cs="Times New Roman"/>
          <w:sz w:val="24"/>
          <w:szCs w:val="24"/>
        </w:rPr>
        <w:t xml:space="preserve">en myndighed, jf. </w:t>
      </w:r>
      <w:r w:rsidR="00F0383A" w:rsidRPr="00796736">
        <w:rPr>
          <w:rFonts w:ascii="Times New Roman" w:hAnsi="Times New Roman" w:cs="Times New Roman"/>
          <w:sz w:val="24"/>
          <w:szCs w:val="24"/>
        </w:rPr>
        <w:fldChar w:fldCharType="begin"/>
      </w:r>
      <w:r w:rsidR="00F0383A" w:rsidRPr="00796736">
        <w:rPr>
          <w:rFonts w:ascii="Times New Roman" w:hAnsi="Times New Roman" w:cs="Times New Roman"/>
          <w:sz w:val="24"/>
          <w:szCs w:val="24"/>
        </w:rPr>
        <w:instrText xml:space="preserve"> REF _Ref232622220 \r \h </w:instrText>
      </w:r>
      <w:r w:rsidR="00967618" w:rsidRPr="00796736">
        <w:rPr>
          <w:rFonts w:ascii="Times New Roman" w:hAnsi="Times New Roman" w:cs="Times New Roman"/>
          <w:sz w:val="24"/>
          <w:szCs w:val="24"/>
        </w:rPr>
        <w:instrText xml:space="preserve"> \* MERGEFORMAT </w:instrText>
      </w:r>
      <w:r w:rsidR="00F0383A" w:rsidRPr="00796736">
        <w:rPr>
          <w:rFonts w:ascii="Times New Roman" w:hAnsi="Times New Roman" w:cs="Times New Roman"/>
          <w:sz w:val="24"/>
          <w:szCs w:val="24"/>
        </w:rPr>
      </w:r>
      <w:r w:rsidR="00F0383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126</w:t>
      </w:r>
      <w:r w:rsidR="00F0383A" w:rsidRPr="00796736">
        <w:rPr>
          <w:rFonts w:ascii="Times New Roman" w:hAnsi="Times New Roman" w:cs="Times New Roman"/>
          <w:sz w:val="24"/>
          <w:szCs w:val="24"/>
        </w:rPr>
        <w:fldChar w:fldCharType="end"/>
      </w:r>
      <w:r w:rsidR="00F0383A" w:rsidRPr="00796736">
        <w:rPr>
          <w:rFonts w:ascii="Times New Roman" w:hAnsi="Times New Roman" w:cs="Times New Roman"/>
          <w:sz w:val="24"/>
          <w:szCs w:val="24"/>
        </w:rPr>
        <w:t xml:space="preserve">, </w:t>
      </w:r>
      <w:r w:rsidR="000D70C3" w:rsidRPr="00796736">
        <w:rPr>
          <w:rFonts w:ascii="Times New Roman" w:hAnsi="Times New Roman" w:cs="Times New Roman"/>
          <w:sz w:val="24"/>
          <w:szCs w:val="24"/>
        </w:rPr>
        <w:t>stk. 1, skal være underskrevet, kan dette krav opfyldes ved anvendelse af en teknik, der sikrer entydig identifikation af den, som har udstedt dokumentet, jf. dog stk. 2. Sådanne dokumenter sidestilles med dokumenter med personlig underskrift.</w:t>
      </w:r>
      <w:bookmarkEnd w:id="475"/>
      <w:bookmarkEnd w:id="476"/>
      <w:bookmarkEnd w:id="477"/>
    </w:p>
    <w:p w14:paraId="37FB30C7" w14:textId="5F04C1DA" w:rsidR="000D70C3" w:rsidRPr="00796736" w:rsidRDefault="000D70C3" w:rsidP="00EE5244">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w:t>
      </w:r>
      <w:r w:rsidR="006D245B" w:rsidRPr="00796736">
        <w:rPr>
          <w:rFonts w:ascii="Times New Roman" w:hAnsi="Times New Roman" w:cs="Times New Roman"/>
          <w:sz w:val="24"/>
          <w:szCs w:val="24"/>
        </w:rPr>
        <w:t xml:space="preserve">Skatte- og vækstministeren og erhvervs- og konkurrencekraftsministeren </w:t>
      </w:r>
      <w:r w:rsidRPr="00796736">
        <w:rPr>
          <w:rFonts w:ascii="Times New Roman" w:hAnsi="Times New Roman" w:cs="Times New Roman"/>
          <w:sz w:val="24"/>
          <w:szCs w:val="24"/>
        </w:rPr>
        <w:t>kan fastsætte nærmere regler om fravigelse af underskriftskrav. Det kan herunder bestemmes, at krav om personlig underskrift ikke kan fraviges for visse typer af dokumenter.</w:t>
      </w:r>
    </w:p>
    <w:p w14:paraId="70CDDFA6" w14:textId="77777777" w:rsidR="00F138D0" w:rsidRPr="00796736" w:rsidRDefault="00F138D0" w:rsidP="00A802A5">
      <w:pPr>
        <w:spacing w:line="360" w:lineRule="auto"/>
        <w:ind w:firstLine="238"/>
        <w:rPr>
          <w:rFonts w:ascii="Times New Roman" w:hAnsi="Times New Roman" w:cs="Times New Roman"/>
          <w:sz w:val="24"/>
          <w:szCs w:val="24"/>
        </w:rPr>
      </w:pPr>
    </w:p>
    <w:p w14:paraId="667BFB88" w14:textId="3273F152" w:rsidR="00F138D0" w:rsidRPr="00796736" w:rsidRDefault="006D245B" w:rsidP="006C34D0">
      <w:pPr>
        <w:pStyle w:val="Typografi1"/>
        <w:ind w:left="0" w:firstLine="238"/>
        <w:rPr>
          <w:rFonts w:ascii="Times New Roman" w:hAnsi="Times New Roman" w:cs="Times New Roman"/>
          <w:sz w:val="24"/>
          <w:szCs w:val="24"/>
          <w:lang w:eastAsia="da-DK"/>
        </w:rPr>
      </w:pPr>
      <w:bookmarkStart w:id="478" w:name="_Ref232620750"/>
      <w:bookmarkStart w:id="479" w:name="_Toc244879113"/>
      <w:bookmarkStart w:id="480" w:name="_Toc244880637"/>
      <w:r w:rsidRPr="00796736">
        <w:rPr>
          <w:rFonts w:ascii="Times New Roman" w:hAnsi="Times New Roman" w:cs="Times New Roman"/>
          <w:sz w:val="24"/>
          <w:szCs w:val="24"/>
        </w:rPr>
        <w:t xml:space="preserve">Skatte- og vækstministeren </w:t>
      </w:r>
      <w:r w:rsidR="00F138D0" w:rsidRPr="00796736">
        <w:rPr>
          <w:rFonts w:ascii="Times New Roman" w:hAnsi="Times New Roman" w:cs="Times New Roman"/>
          <w:sz w:val="24"/>
          <w:szCs w:val="24"/>
          <w:lang w:eastAsia="da-DK"/>
        </w:rPr>
        <w:t>etablerer et forum med deltagelse af tilsynsmyndighederne i henhold til denne lov og Hvidvasksekretariatet. Dette forum skal koordinere myndighedernes risikovurderinger og generelle foranstaltninger mod hvidvask af udbytte og finansiering af terrorisme.</w:t>
      </w:r>
      <w:bookmarkEnd w:id="478"/>
      <w:bookmarkEnd w:id="479"/>
      <w:bookmarkEnd w:id="480"/>
    </w:p>
    <w:p w14:paraId="3D6D8991" w14:textId="01C02EE6" w:rsidR="00F138D0" w:rsidRPr="00796736" w:rsidRDefault="00F138D0" w:rsidP="006C34D0">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xml:space="preserve"> </w:t>
      </w:r>
      <w:r w:rsidR="006D245B" w:rsidRPr="00796736">
        <w:rPr>
          <w:rFonts w:ascii="Times New Roman" w:hAnsi="Times New Roman" w:cs="Times New Roman"/>
          <w:sz w:val="24"/>
          <w:szCs w:val="24"/>
        </w:rPr>
        <w:t xml:space="preserve">Skatte- og vækstministeren </w:t>
      </w:r>
      <w:r w:rsidRPr="00796736">
        <w:rPr>
          <w:rFonts w:ascii="Times New Roman" w:eastAsia="Times New Roman" w:hAnsi="Times New Roman" w:cs="Times New Roman"/>
          <w:sz w:val="24"/>
          <w:szCs w:val="24"/>
          <w:lang w:eastAsia="da-DK"/>
        </w:rPr>
        <w:t>kan beslutte at udvide kredsen med repræsentanter for andre myndigheder.</w:t>
      </w:r>
    </w:p>
    <w:p w14:paraId="5705ABD9" w14:textId="144EDA74" w:rsidR="00832A24" w:rsidRPr="00796736" w:rsidRDefault="00832A24" w:rsidP="00A802A5">
      <w:pPr>
        <w:spacing w:line="360" w:lineRule="auto"/>
        <w:rPr>
          <w:rFonts w:ascii="Times New Roman" w:eastAsia="Times New Roman" w:hAnsi="Times New Roman" w:cs="Times New Roman"/>
          <w:sz w:val="24"/>
          <w:szCs w:val="24"/>
          <w:lang w:eastAsia="da-DK"/>
        </w:rPr>
      </w:pPr>
    </w:p>
    <w:p w14:paraId="24672D34" w14:textId="004657F9" w:rsidR="006D245B" w:rsidRPr="00796736" w:rsidRDefault="006D245B" w:rsidP="00A802A5">
      <w:pPr>
        <w:spacing w:line="360" w:lineRule="auto"/>
        <w:ind w:firstLine="238"/>
        <w:jc w:val="center"/>
        <w:rPr>
          <w:rFonts w:ascii="Times New Roman" w:hAnsi="Times New Roman" w:cs="Times New Roman"/>
          <w:sz w:val="24"/>
          <w:szCs w:val="24"/>
        </w:rPr>
      </w:pPr>
      <w:bookmarkStart w:id="481" w:name="_Toc229655880"/>
      <w:r w:rsidRPr="00796736">
        <w:rPr>
          <w:rFonts w:ascii="Times New Roman" w:hAnsi="Times New Roman" w:cs="Times New Roman"/>
          <w:sz w:val="24"/>
          <w:szCs w:val="24"/>
        </w:rPr>
        <w:t>Kapitel 1</w:t>
      </w:r>
      <w:r w:rsidR="00B61E4E" w:rsidRPr="00796736">
        <w:rPr>
          <w:rFonts w:ascii="Times New Roman" w:hAnsi="Times New Roman" w:cs="Times New Roman"/>
          <w:sz w:val="24"/>
          <w:szCs w:val="24"/>
        </w:rPr>
        <w:t>4</w:t>
      </w:r>
    </w:p>
    <w:p w14:paraId="253DE96D" w14:textId="77777777" w:rsidR="006D245B" w:rsidRPr="00796736" w:rsidRDefault="006D245B" w:rsidP="00A802A5">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Parter og klagebestemmelser</w:t>
      </w:r>
    </w:p>
    <w:bookmarkEnd w:id="481"/>
    <w:p w14:paraId="0F65CEF7" w14:textId="77777777" w:rsidR="004E155B" w:rsidRPr="00796736" w:rsidRDefault="004E155B" w:rsidP="00A802A5">
      <w:pPr>
        <w:spacing w:line="360" w:lineRule="auto"/>
        <w:ind w:firstLine="238"/>
        <w:rPr>
          <w:rFonts w:ascii="Times New Roman" w:hAnsi="Times New Roman" w:cs="Times New Roman"/>
          <w:sz w:val="24"/>
          <w:szCs w:val="24"/>
          <w:lang w:eastAsia="da-DK"/>
        </w:rPr>
      </w:pPr>
    </w:p>
    <w:p w14:paraId="4E08C2DA" w14:textId="311FA080" w:rsidR="007F4CDA" w:rsidRPr="00796736" w:rsidRDefault="007F4CDA" w:rsidP="006C34D0">
      <w:pPr>
        <w:pStyle w:val="Typografi1"/>
        <w:ind w:left="0" w:firstLine="238"/>
        <w:rPr>
          <w:rFonts w:ascii="Times New Roman" w:hAnsi="Times New Roman" w:cs="Times New Roman"/>
          <w:sz w:val="24"/>
          <w:szCs w:val="24"/>
          <w:lang w:eastAsia="da-DK"/>
        </w:rPr>
      </w:pPr>
      <w:bookmarkStart w:id="482" w:name="_Ref232949113"/>
      <w:bookmarkStart w:id="483" w:name="_Toc244879114"/>
      <w:bookmarkStart w:id="484" w:name="_Toc244880638"/>
      <w:r w:rsidRPr="00796736">
        <w:rPr>
          <w:rFonts w:ascii="Times New Roman" w:hAnsi="Times New Roman" w:cs="Times New Roman"/>
          <w:sz w:val="24"/>
          <w:szCs w:val="24"/>
          <w:lang w:eastAsia="da-DK"/>
        </w:rPr>
        <w:t xml:space="preserve">Som part anses virksomheder eller personer omfattet af denne lov, som Finanstilsynet har truffet eller vil træffe afgørelse over for i medfør af denne lov eller forskrifter fastsat i medfør af denne lov, </w:t>
      </w:r>
      <w:r w:rsidR="0012225A" w:rsidRPr="00796736">
        <w:rPr>
          <w:rFonts w:ascii="Times New Roman" w:hAnsi="Times New Roman" w:cs="Times New Roman"/>
          <w:sz w:val="24"/>
          <w:szCs w:val="24"/>
          <w:lang w:eastAsia="da-DK"/>
        </w:rPr>
        <w:t>hvidvaskforordningen</w:t>
      </w:r>
      <w:r w:rsidRPr="00796736">
        <w:rPr>
          <w:rFonts w:ascii="Times New Roman" w:hAnsi="Times New Roman" w:cs="Times New Roman"/>
          <w:sz w:val="24"/>
          <w:szCs w:val="24"/>
          <w:lang w:eastAsia="da-DK"/>
        </w:rPr>
        <w:t>, Europa-Parlamentets og Rådets forordning om oplysninger, der skal medsendes ved pengeoverførsler og ved overførsler af visse kryptoaktiver, og forordninger indeholdende regler om finansielle sanktioner mod lande, personer, grupper, juridiske enheder eller organer retter sig mod</w:t>
      </w:r>
      <w:r w:rsidR="00916FAC" w:rsidRPr="00796736">
        <w:rPr>
          <w:rFonts w:ascii="Times New Roman" w:hAnsi="Times New Roman" w:cs="Times New Roman"/>
          <w:sz w:val="24"/>
          <w:szCs w:val="24"/>
          <w:lang w:eastAsia="da-DK"/>
        </w:rPr>
        <w:t xml:space="preserve"> og regler udstedt i medfør heraf</w:t>
      </w:r>
      <w:r w:rsidRPr="00796736">
        <w:rPr>
          <w:rFonts w:ascii="Times New Roman" w:hAnsi="Times New Roman" w:cs="Times New Roman"/>
          <w:sz w:val="24"/>
          <w:szCs w:val="24"/>
          <w:lang w:eastAsia="da-DK"/>
        </w:rPr>
        <w:t>, jf. dog stk. 2.</w:t>
      </w:r>
      <w:bookmarkEnd w:id="482"/>
      <w:bookmarkEnd w:id="483"/>
      <w:bookmarkEnd w:id="484"/>
      <w:r w:rsidRPr="00796736">
        <w:rPr>
          <w:rFonts w:ascii="Times New Roman" w:hAnsi="Times New Roman" w:cs="Times New Roman"/>
          <w:sz w:val="24"/>
          <w:szCs w:val="24"/>
          <w:lang w:eastAsia="da-DK"/>
        </w:rPr>
        <w:t xml:space="preserve"> </w:t>
      </w:r>
    </w:p>
    <w:p w14:paraId="41280DA5" w14:textId="6D2D8333" w:rsidR="007F4CDA" w:rsidRPr="00796736" w:rsidRDefault="007F4CDA" w:rsidP="006C34D0">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 xml:space="preserve">Stk. 2. </w:t>
      </w:r>
      <w:r w:rsidR="000E4FC7" w:rsidRPr="00796736">
        <w:rPr>
          <w:rFonts w:ascii="Times New Roman" w:eastAsia="Times New Roman" w:hAnsi="Times New Roman" w:cs="Times New Roman"/>
          <w:sz w:val="24"/>
          <w:szCs w:val="24"/>
          <w:lang w:eastAsia="da-DK"/>
        </w:rPr>
        <w:t>I nedennævnte tilfælde anses en anden end virksomheden tillige som</w:t>
      </w:r>
      <w:r w:rsidRPr="00796736">
        <w:rPr>
          <w:rFonts w:ascii="Times New Roman" w:eastAsia="Times New Roman" w:hAnsi="Times New Roman" w:cs="Times New Roman"/>
          <w:sz w:val="24"/>
          <w:szCs w:val="24"/>
          <w:lang w:eastAsia="da-DK"/>
        </w:rPr>
        <w:t xml:space="preserve"> part </w:t>
      </w:r>
      <w:r w:rsidR="00EB4C42" w:rsidRPr="00796736">
        <w:rPr>
          <w:rFonts w:ascii="Times New Roman" w:eastAsia="Times New Roman" w:hAnsi="Times New Roman" w:cs="Times New Roman"/>
          <w:sz w:val="24"/>
          <w:szCs w:val="24"/>
          <w:lang w:eastAsia="da-DK"/>
        </w:rPr>
        <w:t>i</w:t>
      </w:r>
      <w:r w:rsidRPr="00796736">
        <w:rPr>
          <w:rFonts w:ascii="Times New Roman" w:eastAsia="Times New Roman" w:hAnsi="Times New Roman" w:cs="Times New Roman"/>
          <w:sz w:val="24"/>
          <w:szCs w:val="24"/>
          <w:lang w:eastAsia="da-DK"/>
        </w:rPr>
        <w:t xml:space="preserve"> Finanstilsynet</w:t>
      </w:r>
      <w:r w:rsidR="000E4FC7" w:rsidRPr="00796736">
        <w:rPr>
          <w:rFonts w:ascii="Times New Roman" w:eastAsia="Times New Roman" w:hAnsi="Times New Roman" w:cs="Times New Roman"/>
          <w:sz w:val="24"/>
          <w:szCs w:val="24"/>
          <w:lang w:eastAsia="da-DK"/>
        </w:rPr>
        <w:t>s afgørelse</w:t>
      </w:r>
      <w:r w:rsidRPr="00796736">
        <w:rPr>
          <w:rFonts w:ascii="Times New Roman" w:eastAsia="Times New Roman" w:hAnsi="Times New Roman" w:cs="Times New Roman"/>
          <w:sz w:val="24"/>
          <w:szCs w:val="24"/>
          <w:lang w:eastAsia="da-DK"/>
        </w:rPr>
        <w:t>, for så vidt angår den del af sagen, som vedrører den pågældende:</w:t>
      </w:r>
    </w:p>
    <w:p w14:paraId="483225BC" w14:textId="285DE62C" w:rsidR="000E4FC7" w:rsidRPr="00796736" w:rsidRDefault="000E4FC7">
      <w:pPr>
        <w:pStyle w:val="Listeafsnit"/>
        <w:numPr>
          <w:ilvl w:val="0"/>
          <w:numId w:val="110"/>
        </w:numPr>
        <w:spacing w:line="360" w:lineRule="auto"/>
        <w:ind w:left="598"/>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En valutavekslingsvirksomhed som nævnt i § 2, nr. 11, når virksomheden udøver virksomhed uden tilladelse, jf.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_Ref232596532 \r \h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40</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w:t>
      </w:r>
    </w:p>
    <w:p w14:paraId="38A054B9" w14:textId="02AA1486" w:rsidR="007F4CDA" w:rsidRPr="00796736" w:rsidRDefault="00C416C2">
      <w:pPr>
        <w:pStyle w:val="Listeafsnit"/>
        <w:numPr>
          <w:ilvl w:val="0"/>
          <w:numId w:val="110"/>
        </w:numPr>
        <w:spacing w:line="360" w:lineRule="auto"/>
        <w:ind w:left="598"/>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En fysisk eller juridisk </w:t>
      </w:r>
      <w:r w:rsidR="007F4CDA" w:rsidRPr="00796736">
        <w:rPr>
          <w:rFonts w:ascii="Times New Roman" w:eastAsia="Times New Roman" w:hAnsi="Times New Roman" w:cs="Times New Roman"/>
          <w:sz w:val="24"/>
          <w:szCs w:val="24"/>
          <w:lang w:eastAsia="da-DK"/>
        </w:rPr>
        <w:t xml:space="preserve">person nævnt i </w:t>
      </w:r>
      <w:r w:rsidR="00F0383A" w:rsidRPr="00796736">
        <w:rPr>
          <w:rFonts w:ascii="Times New Roman" w:eastAsia="Times New Roman" w:hAnsi="Times New Roman" w:cs="Times New Roman"/>
          <w:sz w:val="24"/>
          <w:szCs w:val="24"/>
          <w:lang w:eastAsia="da-DK"/>
        </w:rPr>
        <w:fldChar w:fldCharType="begin"/>
      </w:r>
      <w:r w:rsidR="00F0383A" w:rsidRPr="00796736">
        <w:rPr>
          <w:rFonts w:ascii="Times New Roman" w:eastAsia="Times New Roman" w:hAnsi="Times New Roman" w:cs="Times New Roman"/>
          <w:sz w:val="24"/>
          <w:szCs w:val="24"/>
          <w:lang w:eastAsia="da-DK"/>
        </w:rPr>
        <w:instrText xml:space="preserve"> REF _Ref232592818 \r \h </w:instrText>
      </w:r>
      <w:r w:rsidR="00967618" w:rsidRPr="00796736">
        <w:rPr>
          <w:rFonts w:ascii="Times New Roman" w:eastAsia="Times New Roman" w:hAnsi="Times New Roman" w:cs="Times New Roman"/>
          <w:sz w:val="24"/>
          <w:szCs w:val="24"/>
          <w:lang w:eastAsia="da-DK"/>
        </w:rPr>
        <w:instrText xml:space="preserve"> \* MERGEFORMAT </w:instrText>
      </w:r>
      <w:r w:rsidR="00F0383A" w:rsidRPr="00796736">
        <w:rPr>
          <w:rFonts w:ascii="Times New Roman" w:eastAsia="Times New Roman" w:hAnsi="Times New Roman" w:cs="Times New Roman"/>
          <w:sz w:val="24"/>
          <w:szCs w:val="24"/>
          <w:lang w:eastAsia="da-DK"/>
        </w:rPr>
      </w:r>
      <w:r w:rsidR="00F0383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w:t>
      </w:r>
      <w:r w:rsidR="00F0383A" w:rsidRPr="00796736">
        <w:rPr>
          <w:rFonts w:ascii="Times New Roman" w:eastAsia="Times New Roman" w:hAnsi="Times New Roman" w:cs="Times New Roman"/>
          <w:sz w:val="24"/>
          <w:szCs w:val="24"/>
          <w:lang w:eastAsia="da-DK"/>
        </w:rPr>
        <w:fldChar w:fldCharType="end"/>
      </w:r>
      <w:r w:rsidR="007F4CDA" w:rsidRPr="00796736">
        <w:rPr>
          <w:rFonts w:ascii="Times New Roman" w:eastAsia="Times New Roman" w:hAnsi="Times New Roman" w:cs="Times New Roman"/>
          <w:sz w:val="24"/>
          <w:szCs w:val="24"/>
          <w:lang w:eastAsia="da-DK"/>
        </w:rPr>
        <w:t>, nr. 8, der udøver de aktiviteter,</w:t>
      </w:r>
      <w:r w:rsidR="000E4FC7" w:rsidRPr="00796736">
        <w:rPr>
          <w:rFonts w:ascii="Times New Roman" w:eastAsia="Times New Roman" w:hAnsi="Times New Roman" w:cs="Times New Roman"/>
          <w:sz w:val="24"/>
          <w:szCs w:val="24"/>
          <w:lang w:eastAsia="da-DK"/>
        </w:rPr>
        <w:t xml:space="preserve"> som er nævnt i bilag 1,</w:t>
      </w:r>
      <w:r w:rsidR="007F4CDA" w:rsidRPr="00796736">
        <w:rPr>
          <w:rFonts w:ascii="Times New Roman" w:eastAsia="Times New Roman" w:hAnsi="Times New Roman" w:cs="Times New Roman"/>
          <w:sz w:val="24"/>
          <w:szCs w:val="24"/>
          <w:lang w:eastAsia="da-DK"/>
        </w:rPr>
        <w:t xml:space="preserve"> en crowdfundingformidler nævnt i </w:t>
      </w:r>
      <w:r w:rsidR="00F0383A" w:rsidRPr="00796736">
        <w:rPr>
          <w:rFonts w:ascii="Times New Roman" w:eastAsia="Times New Roman" w:hAnsi="Times New Roman" w:cs="Times New Roman"/>
          <w:sz w:val="24"/>
          <w:szCs w:val="24"/>
          <w:lang w:eastAsia="da-DK"/>
        </w:rPr>
        <w:fldChar w:fldCharType="begin"/>
      </w:r>
      <w:r w:rsidR="00F0383A" w:rsidRPr="00796736">
        <w:rPr>
          <w:rFonts w:ascii="Times New Roman" w:eastAsia="Times New Roman" w:hAnsi="Times New Roman" w:cs="Times New Roman"/>
          <w:sz w:val="24"/>
          <w:szCs w:val="24"/>
          <w:lang w:eastAsia="da-DK"/>
        </w:rPr>
        <w:instrText xml:space="preserve"> REF _Ref232592818 \r \h </w:instrText>
      </w:r>
      <w:r w:rsidR="00967618" w:rsidRPr="00796736">
        <w:rPr>
          <w:rFonts w:ascii="Times New Roman" w:eastAsia="Times New Roman" w:hAnsi="Times New Roman" w:cs="Times New Roman"/>
          <w:sz w:val="24"/>
          <w:szCs w:val="24"/>
          <w:lang w:eastAsia="da-DK"/>
        </w:rPr>
        <w:instrText xml:space="preserve"> \* MERGEFORMAT </w:instrText>
      </w:r>
      <w:r w:rsidR="00F0383A" w:rsidRPr="00796736">
        <w:rPr>
          <w:rFonts w:ascii="Times New Roman" w:eastAsia="Times New Roman" w:hAnsi="Times New Roman" w:cs="Times New Roman"/>
          <w:sz w:val="24"/>
          <w:szCs w:val="24"/>
          <w:lang w:eastAsia="da-DK"/>
        </w:rPr>
      </w:r>
      <w:r w:rsidR="00F0383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w:t>
      </w:r>
      <w:r w:rsidR="00F0383A" w:rsidRPr="00796736">
        <w:rPr>
          <w:rFonts w:ascii="Times New Roman" w:eastAsia="Times New Roman" w:hAnsi="Times New Roman" w:cs="Times New Roman"/>
          <w:sz w:val="24"/>
          <w:szCs w:val="24"/>
          <w:lang w:eastAsia="da-DK"/>
        </w:rPr>
        <w:fldChar w:fldCharType="end"/>
      </w:r>
      <w:r w:rsidR="00F0383A" w:rsidRPr="00796736">
        <w:rPr>
          <w:rFonts w:ascii="Times New Roman" w:eastAsia="Times New Roman" w:hAnsi="Times New Roman" w:cs="Times New Roman"/>
          <w:sz w:val="24"/>
          <w:szCs w:val="24"/>
          <w:lang w:eastAsia="da-DK"/>
        </w:rPr>
        <w:t>,</w:t>
      </w:r>
      <w:r w:rsidR="007F4CDA" w:rsidRPr="00796736">
        <w:rPr>
          <w:rFonts w:ascii="Times New Roman" w:eastAsia="Times New Roman" w:hAnsi="Times New Roman" w:cs="Times New Roman"/>
          <w:sz w:val="24"/>
          <w:szCs w:val="24"/>
          <w:lang w:eastAsia="da-DK"/>
        </w:rPr>
        <w:t xml:space="preserve"> nr. 14,</w:t>
      </w:r>
      <w:r w:rsidR="000E4FC7" w:rsidRPr="00796736">
        <w:rPr>
          <w:rFonts w:ascii="Times New Roman" w:eastAsia="Times New Roman" w:hAnsi="Times New Roman" w:cs="Times New Roman"/>
          <w:sz w:val="24"/>
          <w:szCs w:val="24"/>
          <w:lang w:eastAsia="da-DK"/>
        </w:rPr>
        <w:t xml:space="preserve"> eller</w:t>
      </w:r>
      <w:r w:rsidR="007F4CDA" w:rsidRPr="00796736">
        <w:rPr>
          <w:rFonts w:ascii="Times New Roman" w:eastAsia="Times New Roman" w:hAnsi="Times New Roman" w:cs="Times New Roman"/>
          <w:sz w:val="24"/>
          <w:szCs w:val="24"/>
          <w:lang w:eastAsia="da-DK"/>
        </w:rPr>
        <w:t xml:space="preserve"> et </w:t>
      </w:r>
      <w:r w:rsidR="00C14723" w:rsidRPr="00796736">
        <w:rPr>
          <w:rFonts w:ascii="Times New Roman" w:eastAsia="Times New Roman" w:hAnsi="Times New Roman" w:cs="Times New Roman"/>
          <w:sz w:val="24"/>
          <w:szCs w:val="24"/>
          <w:lang w:eastAsia="da-DK"/>
        </w:rPr>
        <w:t>ikke</w:t>
      </w:r>
      <w:r w:rsidR="007F4CDA" w:rsidRPr="00796736">
        <w:rPr>
          <w:rFonts w:ascii="Times New Roman" w:eastAsia="Times New Roman" w:hAnsi="Times New Roman" w:cs="Times New Roman"/>
          <w:sz w:val="24"/>
          <w:szCs w:val="24"/>
          <w:lang w:eastAsia="da-DK"/>
        </w:rPr>
        <w:t xml:space="preserve">finansielt holdingselskab med blandet aktivitet nævnt i </w:t>
      </w:r>
      <w:r w:rsidR="00F0383A" w:rsidRPr="00796736">
        <w:rPr>
          <w:rFonts w:ascii="Times New Roman" w:eastAsia="Times New Roman" w:hAnsi="Times New Roman" w:cs="Times New Roman"/>
          <w:sz w:val="24"/>
          <w:szCs w:val="24"/>
          <w:lang w:eastAsia="da-DK"/>
        </w:rPr>
        <w:fldChar w:fldCharType="begin"/>
      </w:r>
      <w:r w:rsidR="00F0383A" w:rsidRPr="00796736">
        <w:rPr>
          <w:rFonts w:ascii="Times New Roman" w:eastAsia="Times New Roman" w:hAnsi="Times New Roman" w:cs="Times New Roman"/>
          <w:sz w:val="24"/>
          <w:szCs w:val="24"/>
          <w:lang w:eastAsia="da-DK"/>
        </w:rPr>
        <w:instrText xml:space="preserve"> REF _Ref232592818 \r \h </w:instrText>
      </w:r>
      <w:r w:rsidR="00967618" w:rsidRPr="00796736">
        <w:rPr>
          <w:rFonts w:ascii="Times New Roman" w:eastAsia="Times New Roman" w:hAnsi="Times New Roman" w:cs="Times New Roman"/>
          <w:sz w:val="24"/>
          <w:szCs w:val="24"/>
          <w:lang w:eastAsia="da-DK"/>
        </w:rPr>
        <w:instrText xml:space="preserve"> \* MERGEFORMAT </w:instrText>
      </w:r>
      <w:r w:rsidR="00F0383A" w:rsidRPr="00796736">
        <w:rPr>
          <w:rFonts w:ascii="Times New Roman" w:eastAsia="Times New Roman" w:hAnsi="Times New Roman" w:cs="Times New Roman"/>
          <w:sz w:val="24"/>
          <w:szCs w:val="24"/>
          <w:lang w:eastAsia="da-DK"/>
        </w:rPr>
      </w:r>
      <w:r w:rsidR="00F0383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w:t>
      </w:r>
      <w:r w:rsidR="00F0383A" w:rsidRPr="00796736">
        <w:rPr>
          <w:rFonts w:ascii="Times New Roman" w:eastAsia="Times New Roman" w:hAnsi="Times New Roman" w:cs="Times New Roman"/>
          <w:sz w:val="24"/>
          <w:szCs w:val="24"/>
          <w:lang w:eastAsia="da-DK"/>
        </w:rPr>
        <w:fldChar w:fldCharType="end"/>
      </w:r>
      <w:r w:rsidR="00F0383A" w:rsidRPr="00796736">
        <w:rPr>
          <w:rFonts w:ascii="Times New Roman" w:eastAsia="Times New Roman" w:hAnsi="Times New Roman" w:cs="Times New Roman"/>
          <w:sz w:val="24"/>
          <w:szCs w:val="24"/>
          <w:lang w:eastAsia="da-DK"/>
        </w:rPr>
        <w:t xml:space="preserve">, </w:t>
      </w:r>
      <w:r w:rsidR="007F4CDA" w:rsidRPr="00796736">
        <w:rPr>
          <w:rFonts w:ascii="Times New Roman" w:eastAsia="Times New Roman" w:hAnsi="Times New Roman" w:cs="Times New Roman"/>
          <w:sz w:val="24"/>
          <w:szCs w:val="24"/>
          <w:lang w:eastAsia="da-DK"/>
        </w:rPr>
        <w:t xml:space="preserve">nr. </w:t>
      </w:r>
      <w:r w:rsidR="00C14723" w:rsidRPr="00796736">
        <w:rPr>
          <w:rFonts w:ascii="Times New Roman" w:eastAsia="Times New Roman" w:hAnsi="Times New Roman" w:cs="Times New Roman"/>
          <w:sz w:val="24"/>
          <w:szCs w:val="24"/>
          <w:lang w:eastAsia="da-DK"/>
        </w:rPr>
        <w:t>32, litra a</w:t>
      </w:r>
      <w:r w:rsidR="007F4CDA" w:rsidRPr="00796736">
        <w:rPr>
          <w:rFonts w:ascii="Times New Roman" w:eastAsia="Times New Roman" w:hAnsi="Times New Roman" w:cs="Times New Roman"/>
          <w:sz w:val="24"/>
          <w:szCs w:val="24"/>
          <w:lang w:eastAsia="da-DK"/>
        </w:rPr>
        <w:t xml:space="preserve">, </w:t>
      </w:r>
      <w:r w:rsidR="000E4FC7" w:rsidRPr="00796736">
        <w:rPr>
          <w:rFonts w:ascii="Times New Roman" w:eastAsia="Times New Roman" w:hAnsi="Times New Roman" w:cs="Times New Roman"/>
          <w:sz w:val="24"/>
          <w:szCs w:val="24"/>
          <w:lang w:eastAsia="da-DK"/>
        </w:rPr>
        <w:t xml:space="preserve">når den pågældende udøver virksomhed uden registrering efter </w:t>
      </w:r>
      <w:r w:rsidR="000E4FC7" w:rsidRPr="00796736">
        <w:rPr>
          <w:rFonts w:ascii="Times New Roman" w:eastAsia="Times New Roman" w:hAnsi="Times New Roman" w:cs="Times New Roman"/>
          <w:sz w:val="24"/>
          <w:szCs w:val="24"/>
          <w:lang w:eastAsia="da-DK"/>
        </w:rPr>
        <w:fldChar w:fldCharType="begin"/>
      </w:r>
      <w:r w:rsidR="000E4FC7" w:rsidRPr="00796736">
        <w:rPr>
          <w:rFonts w:ascii="Times New Roman" w:eastAsia="Times New Roman" w:hAnsi="Times New Roman" w:cs="Times New Roman"/>
          <w:sz w:val="24"/>
          <w:szCs w:val="24"/>
          <w:lang w:eastAsia="da-DK"/>
        </w:rPr>
        <w:instrText xml:space="preserve"> REF _Ref232596860 \r \h  \* MERGEFORMAT </w:instrText>
      </w:r>
      <w:r w:rsidR="000E4FC7" w:rsidRPr="00796736">
        <w:rPr>
          <w:rFonts w:ascii="Times New Roman" w:eastAsia="Times New Roman" w:hAnsi="Times New Roman" w:cs="Times New Roman"/>
          <w:sz w:val="24"/>
          <w:szCs w:val="24"/>
          <w:lang w:eastAsia="da-DK"/>
        </w:rPr>
      </w:r>
      <w:r w:rsidR="000E4FC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47</w:t>
      </w:r>
      <w:r w:rsidR="000E4FC7" w:rsidRPr="00796736">
        <w:rPr>
          <w:rFonts w:ascii="Times New Roman" w:eastAsia="Times New Roman" w:hAnsi="Times New Roman" w:cs="Times New Roman"/>
          <w:sz w:val="24"/>
          <w:szCs w:val="24"/>
          <w:lang w:eastAsia="da-DK"/>
        </w:rPr>
        <w:fldChar w:fldCharType="end"/>
      </w:r>
      <w:r w:rsidR="000E4FC7" w:rsidRPr="00796736">
        <w:rPr>
          <w:rFonts w:ascii="Times New Roman" w:eastAsia="Times New Roman" w:hAnsi="Times New Roman" w:cs="Times New Roman"/>
          <w:sz w:val="24"/>
          <w:szCs w:val="24"/>
          <w:lang w:eastAsia="da-DK"/>
        </w:rPr>
        <w:t xml:space="preserve">, stk. 1, </w:t>
      </w:r>
      <w:r w:rsidR="007F4CDA" w:rsidRPr="00796736">
        <w:rPr>
          <w:rFonts w:ascii="Times New Roman" w:eastAsia="Times New Roman" w:hAnsi="Times New Roman" w:cs="Times New Roman"/>
          <w:sz w:val="24"/>
          <w:szCs w:val="24"/>
          <w:lang w:eastAsia="da-DK"/>
        </w:rPr>
        <w:t xml:space="preserve">eller et finansielt holdingselskab med blandet aktivitet nævnt i § 2, nr. </w:t>
      </w:r>
      <w:r w:rsidR="00C14723" w:rsidRPr="00796736">
        <w:rPr>
          <w:rFonts w:ascii="Times New Roman" w:eastAsia="Times New Roman" w:hAnsi="Times New Roman" w:cs="Times New Roman"/>
          <w:sz w:val="24"/>
          <w:szCs w:val="24"/>
          <w:lang w:eastAsia="da-DK"/>
        </w:rPr>
        <w:t>19</w:t>
      </w:r>
      <w:r w:rsidR="007F4CDA" w:rsidRPr="00796736">
        <w:rPr>
          <w:rFonts w:ascii="Times New Roman" w:eastAsia="Times New Roman" w:hAnsi="Times New Roman" w:cs="Times New Roman"/>
          <w:sz w:val="24"/>
          <w:szCs w:val="24"/>
          <w:lang w:eastAsia="da-DK"/>
        </w:rPr>
        <w:t xml:space="preserve">, </w:t>
      </w:r>
      <w:r w:rsidR="000E4FC7" w:rsidRPr="00796736">
        <w:rPr>
          <w:rFonts w:ascii="Times New Roman" w:eastAsia="Times New Roman" w:hAnsi="Times New Roman" w:cs="Times New Roman"/>
          <w:sz w:val="24"/>
          <w:szCs w:val="24"/>
          <w:lang w:eastAsia="da-DK"/>
        </w:rPr>
        <w:t xml:space="preserve">når denne udøver virksomhed </w:t>
      </w:r>
      <w:r w:rsidR="007F4CDA" w:rsidRPr="00796736">
        <w:rPr>
          <w:rFonts w:ascii="Times New Roman" w:eastAsia="Times New Roman" w:hAnsi="Times New Roman" w:cs="Times New Roman"/>
          <w:sz w:val="24"/>
          <w:szCs w:val="24"/>
          <w:lang w:eastAsia="da-DK"/>
        </w:rPr>
        <w:t xml:space="preserve">uden registrering, jf. </w:t>
      </w:r>
      <w:r w:rsidR="00F0383A" w:rsidRPr="00796736">
        <w:rPr>
          <w:rFonts w:ascii="Times New Roman" w:eastAsia="Times New Roman" w:hAnsi="Times New Roman" w:cs="Times New Roman"/>
          <w:sz w:val="24"/>
          <w:szCs w:val="24"/>
          <w:lang w:eastAsia="da-DK"/>
        </w:rPr>
        <w:fldChar w:fldCharType="begin"/>
      </w:r>
      <w:r w:rsidR="00F0383A" w:rsidRPr="00796736">
        <w:rPr>
          <w:rFonts w:ascii="Times New Roman" w:eastAsia="Times New Roman" w:hAnsi="Times New Roman" w:cs="Times New Roman"/>
          <w:sz w:val="24"/>
          <w:szCs w:val="24"/>
          <w:lang w:eastAsia="da-DK"/>
        </w:rPr>
        <w:instrText xml:space="preserve"> REF _Ref232596860 \r \h </w:instrText>
      </w:r>
      <w:r w:rsidR="00967618" w:rsidRPr="00796736">
        <w:rPr>
          <w:rFonts w:ascii="Times New Roman" w:eastAsia="Times New Roman" w:hAnsi="Times New Roman" w:cs="Times New Roman"/>
          <w:sz w:val="24"/>
          <w:szCs w:val="24"/>
          <w:lang w:eastAsia="da-DK"/>
        </w:rPr>
        <w:instrText xml:space="preserve"> \* MERGEFORMAT </w:instrText>
      </w:r>
      <w:r w:rsidR="00F0383A" w:rsidRPr="00796736">
        <w:rPr>
          <w:rFonts w:ascii="Times New Roman" w:eastAsia="Times New Roman" w:hAnsi="Times New Roman" w:cs="Times New Roman"/>
          <w:sz w:val="24"/>
          <w:szCs w:val="24"/>
          <w:lang w:eastAsia="da-DK"/>
        </w:rPr>
      </w:r>
      <w:r w:rsidR="00F0383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47</w:t>
      </w:r>
      <w:r w:rsidR="00F0383A" w:rsidRPr="00796736">
        <w:rPr>
          <w:rFonts w:ascii="Times New Roman" w:eastAsia="Times New Roman" w:hAnsi="Times New Roman" w:cs="Times New Roman"/>
          <w:sz w:val="24"/>
          <w:szCs w:val="24"/>
          <w:lang w:eastAsia="da-DK"/>
        </w:rPr>
        <w:fldChar w:fldCharType="end"/>
      </w:r>
      <w:r w:rsidR="00F0383A" w:rsidRPr="00796736">
        <w:rPr>
          <w:rFonts w:ascii="Times New Roman" w:eastAsia="Times New Roman" w:hAnsi="Times New Roman" w:cs="Times New Roman"/>
          <w:sz w:val="24"/>
          <w:szCs w:val="24"/>
          <w:lang w:eastAsia="da-DK"/>
        </w:rPr>
        <w:t>,</w:t>
      </w:r>
      <w:r w:rsidR="007F4CDA" w:rsidRPr="00796736">
        <w:rPr>
          <w:rFonts w:ascii="Times New Roman" w:eastAsia="Times New Roman" w:hAnsi="Times New Roman" w:cs="Times New Roman"/>
          <w:sz w:val="24"/>
          <w:szCs w:val="24"/>
          <w:lang w:eastAsia="da-DK"/>
        </w:rPr>
        <w:t xml:space="preserve"> stk. 2.</w:t>
      </w:r>
    </w:p>
    <w:p w14:paraId="36D6F0AC" w14:textId="52809FE3" w:rsidR="00705917" w:rsidRPr="00796736" w:rsidRDefault="00705917">
      <w:pPr>
        <w:pStyle w:val="Listeafsnit"/>
        <w:numPr>
          <w:ilvl w:val="0"/>
          <w:numId w:val="110"/>
        </w:numPr>
        <w:spacing w:line="360" w:lineRule="auto"/>
        <w:ind w:left="598"/>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En virksomhed, en person, den eller de ledelsesansvarlige eller den eller de personer i virksomheden, der </w:t>
      </w:r>
      <w:r w:rsidR="00C416C2" w:rsidRPr="00796736">
        <w:rPr>
          <w:rFonts w:ascii="Times New Roman" w:eastAsia="Times New Roman" w:hAnsi="Times New Roman" w:cs="Times New Roman"/>
          <w:sz w:val="24"/>
          <w:szCs w:val="24"/>
          <w:lang w:eastAsia="da-DK"/>
        </w:rPr>
        <w:t>erhverver eller besidder</w:t>
      </w:r>
      <w:r w:rsidRPr="00796736">
        <w:rPr>
          <w:rFonts w:ascii="Times New Roman" w:eastAsia="Times New Roman" w:hAnsi="Times New Roman" w:cs="Times New Roman"/>
          <w:sz w:val="24"/>
          <w:szCs w:val="24"/>
          <w:lang w:eastAsia="da-DK"/>
        </w:rPr>
        <w:t xml:space="preserve"> kvalificerede andele</w:t>
      </w:r>
      <w:r w:rsidR="00C14723" w:rsidRPr="00796736">
        <w:rPr>
          <w:rFonts w:ascii="Times New Roman" w:eastAsia="Times New Roman" w:hAnsi="Times New Roman" w:cs="Times New Roman"/>
          <w:sz w:val="24"/>
          <w:szCs w:val="24"/>
          <w:lang w:eastAsia="da-DK"/>
        </w:rPr>
        <w:t xml:space="preserve"> eller den eller de reelle ejere</w:t>
      </w:r>
      <w:r w:rsidRPr="00796736">
        <w:rPr>
          <w:rFonts w:ascii="Times New Roman" w:eastAsia="Times New Roman" w:hAnsi="Times New Roman" w:cs="Times New Roman"/>
          <w:sz w:val="24"/>
          <w:szCs w:val="24"/>
          <w:lang w:eastAsia="da-DK"/>
        </w:rPr>
        <w:t>, som omfattes af en afgørelse truffet af Finanstilsynet om personens egnethed eller hæderlighed i henhold til</w:t>
      </w:r>
      <w:r w:rsidR="007645AE">
        <w:rPr>
          <w:rFonts w:ascii="Times New Roman" w:eastAsia="Times New Roman" w:hAnsi="Times New Roman" w:cs="Times New Roman"/>
          <w:sz w:val="24"/>
          <w:szCs w:val="24"/>
          <w:lang w:eastAsia="da-DK"/>
        </w:rPr>
        <w:t xml:space="preserve"> §§ 45 og 51</w:t>
      </w:r>
      <w:r w:rsidRPr="00796736">
        <w:rPr>
          <w:rFonts w:ascii="Times New Roman" w:eastAsia="Times New Roman" w:hAnsi="Times New Roman" w:cs="Times New Roman"/>
          <w:sz w:val="24"/>
          <w:szCs w:val="24"/>
          <w:lang w:eastAsia="da-DK"/>
        </w:rPr>
        <w:t>.</w:t>
      </w:r>
    </w:p>
    <w:p w14:paraId="7EC05650" w14:textId="32A8E383" w:rsidR="007F4CDA" w:rsidRPr="00796736" w:rsidRDefault="007F4CDA">
      <w:pPr>
        <w:pStyle w:val="Listeafsnit"/>
        <w:numPr>
          <w:ilvl w:val="0"/>
          <w:numId w:val="110"/>
        </w:numPr>
        <w:spacing w:line="360" w:lineRule="auto"/>
        <w:ind w:left="598"/>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Et medlem af en virksomheds </w:t>
      </w:r>
      <w:r w:rsidR="003446D5" w:rsidRPr="00796736">
        <w:rPr>
          <w:rFonts w:ascii="Times New Roman" w:eastAsia="Times New Roman" w:hAnsi="Times New Roman" w:cs="Times New Roman"/>
          <w:sz w:val="24"/>
          <w:szCs w:val="24"/>
          <w:lang w:eastAsia="da-DK"/>
        </w:rPr>
        <w:t xml:space="preserve">øverste ledelse, herunder </w:t>
      </w:r>
      <w:r w:rsidRPr="00796736">
        <w:rPr>
          <w:rFonts w:ascii="Times New Roman" w:eastAsia="Times New Roman" w:hAnsi="Times New Roman" w:cs="Times New Roman"/>
          <w:sz w:val="24"/>
          <w:szCs w:val="24"/>
          <w:lang w:eastAsia="da-DK"/>
        </w:rPr>
        <w:t xml:space="preserve">bestyrelse eller direktion, </w:t>
      </w:r>
      <w:r w:rsidR="003446D5" w:rsidRPr="00796736">
        <w:rPr>
          <w:rFonts w:ascii="Times New Roman" w:eastAsia="Times New Roman" w:hAnsi="Times New Roman" w:cs="Times New Roman"/>
          <w:sz w:val="24"/>
          <w:szCs w:val="24"/>
          <w:lang w:eastAsia="da-DK"/>
        </w:rPr>
        <w:t>den eller d</w:t>
      </w:r>
      <w:r w:rsidRPr="00796736">
        <w:rPr>
          <w:rFonts w:ascii="Times New Roman" w:eastAsia="Times New Roman" w:hAnsi="Times New Roman" w:cs="Times New Roman"/>
          <w:sz w:val="24"/>
          <w:szCs w:val="24"/>
          <w:lang w:eastAsia="da-DK"/>
        </w:rPr>
        <w:t>e ledelsesansvarlig</w:t>
      </w:r>
      <w:r w:rsidR="003446D5" w:rsidRPr="00796736">
        <w:rPr>
          <w:rFonts w:ascii="Times New Roman" w:eastAsia="Times New Roman" w:hAnsi="Times New Roman" w:cs="Times New Roman"/>
          <w:sz w:val="24"/>
          <w:szCs w:val="24"/>
          <w:lang w:eastAsia="da-DK"/>
        </w:rPr>
        <w:t>e</w:t>
      </w:r>
      <w:r w:rsidRPr="00796736">
        <w:rPr>
          <w:rFonts w:ascii="Times New Roman" w:eastAsia="Times New Roman" w:hAnsi="Times New Roman" w:cs="Times New Roman"/>
          <w:sz w:val="24"/>
          <w:szCs w:val="24"/>
          <w:lang w:eastAsia="da-DK"/>
        </w:rPr>
        <w:t xml:space="preserve"> eller </w:t>
      </w:r>
      <w:r w:rsidR="003446D5" w:rsidRPr="00796736">
        <w:rPr>
          <w:rFonts w:ascii="Times New Roman" w:eastAsia="Times New Roman" w:hAnsi="Times New Roman" w:cs="Times New Roman"/>
          <w:sz w:val="24"/>
          <w:szCs w:val="24"/>
          <w:lang w:eastAsia="da-DK"/>
        </w:rPr>
        <w:t xml:space="preserve">den eller de personer i </w:t>
      </w:r>
      <w:r w:rsidRPr="00796736">
        <w:rPr>
          <w:rFonts w:ascii="Times New Roman" w:eastAsia="Times New Roman" w:hAnsi="Times New Roman" w:cs="Times New Roman"/>
          <w:sz w:val="24"/>
          <w:szCs w:val="24"/>
          <w:lang w:eastAsia="da-DK"/>
        </w:rPr>
        <w:t>virksomheden</w:t>
      </w:r>
      <w:r w:rsidR="003446D5" w:rsidRPr="00796736">
        <w:rPr>
          <w:rFonts w:ascii="Times New Roman" w:eastAsia="Times New Roman" w:hAnsi="Times New Roman" w:cs="Times New Roman"/>
          <w:sz w:val="24"/>
          <w:szCs w:val="24"/>
          <w:lang w:eastAsia="da-DK"/>
        </w:rPr>
        <w:t>, der</w:t>
      </w:r>
      <w:r w:rsidRPr="00796736">
        <w:rPr>
          <w:rFonts w:ascii="Times New Roman" w:eastAsia="Times New Roman" w:hAnsi="Times New Roman" w:cs="Times New Roman"/>
          <w:sz w:val="24"/>
          <w:szCs w:val="24"/>
          <w:lang w:eastAsia="da-DK"/>
        </w:rPr>
        <w:t xml:space="preserve"> </w:t>
      </w:r>
      <w:r w:rsidR="00CE43B9" w:rsidRPr="00796736">
        <w:rPr>
          <w:rFonts w:ascii="Times New Roman" w:eastAsia="Times New Roman" w:hAnsi="Times New Roman" w:cs="Times New Roman"/>
          <w:sz w:val="24"/>
          <w:szCs w:val="24"/>
          <w:lang w:eastAsia="da-DK"/>
        </w:rPr>
        <w:t xml:space="preserve">erhverver eller besidder </w:t>
      </w:r>
      <w:r w:rsidRPr="00796736">
        <w:rPr>
          <w:rFonts w:ascii="Times New Roman" w:eastAsia="Times New Roman" w:hAnsi="Times New Roman" w:cs="Times New Roman"/>
          <w:sz w:val="24"/>
          <w:szCs w:val="24"/>
          <w:lang w:eastAsia="da-DK"/>
        </w:rPr>
        <w:t>kvalificerede andele</w:t>
      </w:r>
      <w:r w:rsidR="00C14723" w:rsidRPr="00796736">
        <w:rPr>
          <w:rFonts w:ascii="Times New Roman" w:eastAsia="Times New Roman" w:hAnsi="Times New Roman" w:cs="Times New Roman"/>
          <w:sz w:val="24"/>
          <w:szCs w:val="24"/>
          <w:lang w:eastAsia="da-DK"/>
        </w:rPr>
        <w:t>, eller den eller de reelle ejere</w:t>
      </w:r>
      <w:r w:rsidRPr="00796736">
        <w:rPr>
          <w:rFonts w:ascii="Times New Roman" w:eastAsia="Times New Roman" w:hAnsi="Times New Roman" w:cs="Times New Roman"/>
          <w:sz w:val="24"/>
          <w:szCs w:val="24"/>
          <w:lang w:eastAsia="da-DK"/>
        </w:rPr>
        <w:t>, når Finanstilsynet</w:t>
      </w:r>
      <w:r w:rsidR="006A5B73" w:rsidRPr="00796736">
        <w:rPr>
          <w:rFonts w:ascii="Times New Roman" w:eastAsia="Times New Roman" w:hAnsi="Times New Roman" w:cs="Times New Roman"/>
          <w:sz w:val="24"/>
          <w:szCs w:val="24"/>
          <w:lang w:eastAsia="da-DK"/>
        </w:rPr>
        <w:t xml:space="preserve"> nægter eller</w:t>
      </w:r>
      <w:r w:rsidRPr="00796736">
        <w:rPr>
          <w:rFonts w:ascii="Times New Roman" w:eastAsia="Times New Roman" w:hAnsi="Times New Roman" w:cs="Times New Roman"/>
          <w:sz w:val="24"/>
          <w:szCs w:val="24"/>
          <w:lang w:eastAsia="da-DK"/>
        </w:rPr>
        <w:t xml:space="preserve"> </w:t>
      </w:r>
      <w:r w:rsidR="00705917" w:rsidRPr="00796736">
        <w:rPr>
          <w:rFonts w:ascii="Times New Roman" w:eastAsia="Times New Roman" w:hAnsi="Times New Roman" w:cs="Times New Roman"/>
          <w:sz w:val="24"/>
          <w:szCs w:val="24"/>
          <w:lang w:eastAsia="da-DK"/>
        </w:rPr>
        <w:t xml:space="preserve">inddrager </w:t>
      </w:r>
      <w:r w:rsidRPr="00796736">
        <w:rPr>
          <w:rFonts w:ascii="Times New Roman" w:eastAsia="Times New Roman" w:hAnsi="Times New Roman" w:cs="Times New Roman"/>
          <w:sz w:val="24"/>
          <w:szCs w:val="24"/>
          <w:lang w:eastAsia="da-DK"/>
        </w:rPr>
        <w:t xml:space="preserve">en tilladelse eller registrering, jf. </w:t>
      </w:r>
      <w:r w:rsidR="009775C4" w:rsidRPr="00796736">
        <w:rPr>
          <w:rFonts w:ascii="Times New Roman" w:eastAsia="Times New Roman" w:hAnsi="Times New Roman" w:cs="Times New Roman"/>
          <w:sz w:val="24"/>
          <w:szCs w:val="24"/>
          <w:lang w:eastAsia="da-DK"/>
        </w:rPr>
        <w:fldChar w:fldCharType="begin"/>
      </w:r>
      <w:r w:rsidR="009775C4" w:rsidRPr="00796736">
        <w:rPr>
          <w:rFonts w:ascii="Times New Roman" w:eastAsia="Times New Roman" w:hAnsi="Times New Roman" w:cs="Times New Roman"/>
          <w:sz w:val="24"/>
          <w:szCs w:val="24"/>
          <w:lang w:eastAsia="da-DK"/>
        </w:rPr>
        <w:instrText xml:space="preserve"> REF _Ref232596553 \r \h </w:instrText>
      </w:r>
      <w:r w:rsidR="006A012C" w:rsidRPr="00796736">
        <w:rPr>
          <w:rFonts w:ascii="Times New Roman" w:eastAsia="Times New Roman" w:hAnsi="Times New Roman" w:cs="Times New Roman"/>
          <w:sz w:val="24"/>
          <w:szCs w:val="24"/>
          <w:lang w:eastAsia="da-DK"/>
        </w:rPr>
        <w:instrText xml:space="preserve"> \* MERGEFORMAT </w:instrText>
      </w:r>
      <w:r w:rsidR="009775C4" w:rsidRPr="00796736">
        <w:rPr>
          <w:rFonts w:ascii="Times New Roman" w:eastAsia="Times New Roman" w:hAnsi="Times New Roman" w:cs="Times New Roman"/>
          <w:sz w:val="24"/>
          <w:szCs w:val="24"/>
          <w:lang w:eastAsia="da-DK"/>
        </w:rPr>
      </w:r>
      <w:r w:rsidR="009775C4"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41</w:t>
      </w:r>
      <w:r w:rsidR="009775C4" w:rsidRPr="00796736">
        <w:rPr>
          <w:rFonts w:ascii="Times New Roman" w:eastAsia="Times New Roman" w:hAnsi="Times New Roman" w:cs="Times New Roman"/>
          <w:sz w:val="24"/>
          <w:szCs w:val="24"/>
          <w:lang w:eastAsia="da-DK"/>
        </w:rPr>
        <w:fldChar w:fldCharType="end"/>
      </w:r>
      <w:r w:rsidR="009775C4" w:rsidRPr="00796736">
        <w:rPr>
          <w:rFonts w:ascii="Times New Roman" w:eastAsia="Times New Roman" w:hAnsi="Times New Roman" w:cs="Times New Roman"/>
          <w:sz w:val="24"/>
          <w:szCs w:val="24"/>
          <w:lang w:eastAsia="da-DK"/>
        </w:rPr>
        <w:t xml:space="preserve">, nr. 1-5, </w:t>
      </w:r>
      <w:r w:rsidR="00705917" w:rsidRPr="00796736">
        <w:rPr>
          <w:rFonts w:ascii="Times New Roman" w:eastAsia="Times New Roman" w:hAnsi="Times New Roman" w:cs="Times New Roman"/>
          <w:sz w:val="24"/>
          <w:szCs w:val="24"/>
          <w:lang w:eastAsia="da-DK"/>
        </w:rPr>
        <w:fldChar w:fldCharType="begin"/>
      </w:r>
      <w:r w:rsidR="00705917" w:rsidRPr="00796736">
        <w:rPr>
          <w:rFonts w:ascii="Times New Roman" w:eastAsia="Times New Roman" w:hAnsi="Times New Roman" w:cs="Times New Roman"/>
          <w:sz w:val="24"/>
          <w:szCs w:val="24"/>
          <w:lang w:eastAsia="da-DK"/>
        </w:rPr>
        <w:instrText xml:space="preserve"> REF _Ref232596829 \r \h </w:instrText>
      </w:r>
      <w:r w:rsidR="005D152A" w:rsidRPr="00796736">
        <w:rPr>
          <w:rFonts w:ascii="Times New Roman" w:eastAsia="Times New Roman" w:hAnsi="Times New Roman" w:cs="Times New Roman"/>
          <w:sz w:val="24"/>
          <w:szCs w:val="24"/>
          <w:lang w:eastAsia="da-DK"/>
        </w:rPr>
        <w:instrText xml:space="preserve"> \* MERGEFORMAT </w:instrText>
      </w:r>
      <w:r w:rsidR="00705917" w:rsidRPr="00796736">
        <w:rPr>
          <w:rFonts w:ascii="Times New Roman" w:eastAsia="Times New Roman" w:hAnsi="Times New Roman" w:cs="Times New Roman"/>
          <w:sz w:val="24"/>
          <w:szCs w:val="24"/>
          <w:lang w:eastAsia="da-DK"/>
        </w:rPr>
      </w:r>
      <w:r w:rsidR="0070591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46</w:t>
      </w:r>
      <w:r w:rsidR="00705917" w:rsidRPr="00796736">
        <w:rPr>
          <w:rFonts w:ascii="Times New Roman" w:eastAsia="Times New Roman" w:hAnsi="Times New Roman" w:cs="Times New Roman"/>
          <w:sz w:val="24"/>
          <w:szCs w:val="24"/>
          <w:lang w:eastAsia="da-DK"/>
        </w:rPr>
        <w:fldChar w:fldCharType="end"/>
      </w:r>
      <w:r w:rsidR="009775C4" w:rsidRPr="00796736">
        <w:rPr>
          <w:rFonts w:ascii="Times New Roman" w:eastAsia="Times New Roman" w:hAnsi="Times New Roman" w:cs="Times New Roman"/>
          <w:sz w:val="24"/>
          <w:szCs w:val="24"/>
          <w:lang w:eastAsia="da-DK"/>
        </w:rPr>
        <w:t xml:space="preserve">, nr. 1-7, </w:t>
      </w:r>
      <w:r w:rsidR="009775C4" w:rsidRPr="00796736">
        <w:rPr>
          <w:rFonts w:ascii="Times New Roman" w:eastAsia="Times New Roman" w:hAnsi="Times New Roman" w:cs="Times New Roman"/>
          <w:sz w:val="24"/>
          <w:szCs w:val="24"/>
          <w:lang w:eastAsia="da-DK"/>
        </w:rPr>
        <w:fldChar w:fldCharType="begin"/>
      </w:r>
      <w:r w:rsidR="009775C4" w:rsidRPr="00796736">
        <w:rPr>
          <w:rFonts w:ascii="Times New Roman" w:eastAsia="Times New Roman" w:hAnsi="Times New Roman" w:cs="Times New Roman"/>
          <w:sz w:val="24"/>
          <w:szCs w:val="24"/>
          <w:lang w:eastAsia="da-DK"/>
        </w:rPr>
        <w:instrText xml:space="preserve"> REF _Ref232596888 \r \h </w:instrText>
      </w:r>
      <w:r w:rsidR="006A012C" w:rsidRPr="00796736">
        <w:rPr>
          <w:rFonts w:ascii="Times New Roman" w:eastAsia="Times New Roman" w:hAnsi="Times New Roman" w:cs="Times New Roman"/>
          <w:sz w:val="24"/>
          <w:szCs w:val="24"/>
          <w:lang w:eastAsia="da-DK"/>
        </w:rPr>
        <w:instrText xml:space="preserve"> \* MERGEFORMAT </w:instrText>
      </w:r>
      <w:r w:rsidR="009775C4" w:rsidRPr="00796736">
        <w:rPr>
          <w:rFonts w:ascii="Times New Roman" w:eastAsia="Times New Roman" w:hAnsi="Times New Roman" w:cs="Times New Roman"/>
          <w:sz w:val="24"/>
          <w:szCs w:val="24"/>
          <w:lang w:eastAsia="da-DK"/>
        </w:rPr>
      </w:r>
      <w:r w:rsidR="009775C4"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48</w:t>
      </w:r>
      <w:r w:rsidR="009775C4" w:rsidRPr="00796736">
        <w:rPr>
          <w:rFonts w:ascii="Times New Roman" w:eastAsia="Times New Roman" w:hAnsi="Times New Roman" w:cs="Times New Roman"/>
          <w:sz w:val="24"/>
          <w:szCs w:val="24"/>
          <w:lang w:eastAsia="da-DK"/>
        </w:rPr>
        <w:fldChar w:fldCharType="end"/>
      </w:r>
      <w:r w:rsidR="009775C4" w:rsidRPr="00796736">
        <w:rPr>
          <w:rFonts w:ascii="Times New Roman" w:eastAsia="Times New Roman" w:hAnsi="Times New Roman" w:cs="Times New Roman"/>
          <w:sz w:val="24"/>
          <w:szCs w:val="24"/>
          <w:lang w:eastAsia="da-DK"/>
        </w:rPr>
        <w:t>, nr. 1-3</w:t>
      </w:r>
      <w:r w:rsidR="00D80E78" w:rsidRPr="00796736">
        <w:rPr>
          <w:rFonts w:ascii="Times New Roman" w:eastAsia="Times New Roman" w:hAnsi="Times New Roman" w:cs="Times New Roman"/>
          <w:sz w:val="24"/>
          <w:szCs w:val="24"/>
          <w:lang w:eastAsia="da-DK"/>
        </w:rPr>
        <w:t>,</w:t>
      </w:r>
      <w:r w:rsidR="009775C4" w:rsidRPr="00796736">
        <w:rPr>
          <w:rFonts w:ascii="Times New Roman" w:eastAsia="Times New Roman" w:hAnsi="Times New Roman" w:cs="Times New Roman"/>
          <w:sz w:val="24"/>
          <w:szCs w:val="24"/>
          <w:lang w:eastAsia="da-DK"/>
        </w:rPr>
        <w:t xml:space="preserve"> og </w:t>
      </w:r>
      <w:r w:rsidR="00705917" w:rsidRPr="00796736">
        <w:rPr>
          <w:rFonts w:ascii="Times New Roman" w:eastAsia="Times New Roman" w:hAnsi="Times New Roman" w:cs="Times New Roman"/>
          <w:sz w:val="24"/>
          <w:szCs w:val="24"/>
          <w:lang w:eastAsia="da-DK"/>
        </w:rPr>
        <w:fldChar w:fldCharType="begin"/>
      </w:r>
      <w:r w:rsidR="00705917" w:rsidRPr="00796736">
        <w:rPr>
          <w:rFonts w:ascii="Times New Roman" w:eastAsia="Times New Roman" w:hAnsi="Times New Roman" w:cs="Times New Roman"/>
          <w:sz w:val="24"/>
          <w:szCs w:val="24"/>
          <w:lang w:eastAsia="da-DK"/>
        </w:rPr>
        <w:instrText xml:space="preserve"> REF _Ref232596992 \r \h </w:instrText>
      </w:r>
      <w:r w:rsidR="005D152A" w:rsidRPr="00796736">
        <w:rPr>
          <w:rFonts w:ascii="Times New Roman" w:eastAsia="Times New Roman" w:hAnsi="Times New Roman" w:cs="Times New Roman"/>
          <w:sz w:val="24"/>
          <w:szCs w:val="24"/>
          <w:lang w:eastAsia="da-DK"/>
        </w:rPr>
        <w:instrText xml:space="preserve"> \* MERGEFORMAT </w:instrText>
      </w:r>
      <w:r w:rsidR="00705917" w:rsidRPr="00796736">
        <w:rPr>
          <w:rFonts w:ascii="Times New Roman" w:eastAsia="Times New Roman" w:hAnsi="Times New Roman" w:cs="Times New Roman"/>
          <w:sz w:val="24"/>
          <w:szCs w:val="24"/>
          <w:lang w:eastAsia="da-DK"/>
        </w:rPr>
      </w:r>
      <w:r w:rsidR="0070591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52</w:t>
      </w:r>
      <w:r w:rsidR="00705917" w:rsidRPr="00796736">
        <w:rPr>
          <w:rFonts w:ascii="Times New Roman" w:eastAsia="Times New Roman" w:hAnsi="Times New Roman" w:cs="Times New Roman"/>
          <w:sz w:val="24"/>
          <w:szCs w:val="24"/>
          <w:lang w:eastAsia="da-DK"/>
        </w:rPr>
        <w:fldChar w:fldCharType="end"/>
      </w:r>
      <w:r w:rsidR="009775C4" w:rsidRPr="00796736">
        <w:rPr>
          <w:rFonts w:ascii="Times New Roman" w:eastAsia="Times New Roman" w:hAnsi="Times New Roman" w:cs="Times New Roman"/>
          <w:sz w:val="24"/>
          <w:szCs w:val="24"/>
          <w:lang w:eastAsia="da-DK"/>
        </w:rPr>
        <w:t>, nr. 1-7.</w:t>
      </w:r>
    </w:p>
    <w:p w14:paraId="128A057A" w14:textId="18A2B710" w:rsidR="006A5B73" w:rsidRPr="00796736" w:rsidRDefault="00D0217C">
      <w:pPr>
        <w:pStyle w:val="Listeafsnit"/>
        <w:numPr>
          <w:ilvl w:val="0"/>
          <w:numId w:val="110"/>
        </w:numPr>
        <w:spacing w:line="360" w:lineRule="auto"/>
        <w:ind w:left="598"/>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En v</w:t>
      </w:r>
      <w:r w:rsidR="006A5B73" w:rsidRPr="00796736">
        <w:rPr>
          <w:rFonts w:ascii="Times New Roman" w:eastAsia="Times New Roman" w:hAnsi="Times New Roman" w:cs="Times New Roman"/>
          <w:sz w:val="24"/>
          <w:szCs w:val="24"/>
          <w:lang w:eastAsia="da-DK"/>
        </w:rPr>
        <w:t xml:space="preserve">irksomhed eller person, som Finanstilsynet kræver oplysninger </w:t>
      </w:r>
      <w:r w:rsidR="00645D1A" w:rsidRPr="00796736">
        <w:rPr>
          <w:rFonts w:ascii="Times New Roman" w:eastAsia="Times New Roman" w:hAnsi="Times New Roman" w:cs="Times New Roman"/>
          <w:sz w:val="24"/>
          <w:szCs w:val="24"/>
          <w:lang w:eastAsia="da-DK"/>
        </w:rPr>
        <w:t>af til afgørelse af,</w:t>
      </w:r>
      <w:r w:rsidR="006A5B73" w:rsidRPr="00796736">
        <w:rPr>
          <w:rFonts w:ascii="Times New Roman" w:eastAsia="Times New Roman" w:hAnsi="Times New Roman" w:cs="Times New Roman"/>
          <w:sz w:val="24"/>
          <w:szCs w:val="24"/>
          <w:lang w:eastAsia="da-DK"/>
        </w:rPr>
        <w:t xml:space="preserve"> om denne er omfattet af bestemmelserne i denne lov, jf. </w:t>
      </w:r>
      <w:r w:rsidR="009775C4" w:rsidRPr="00796736">
        <w:rPr>
          <w:rFonts w:ascii="Times New Roman" w:eastAsia="Times New Roman" w:hAnsi="Times New Roman" w:cs="Times New Roman"/>
          <w:sz w:val="24"/>
          <w:szCs w:val="24"/>
          <w:lang w:eastAsia="da-DK"/>
        </w:rPr>
        <w:fldChar w:fldCharType="begin"/>
      </w:r>
      <w:r w:rsidR="009775C4" w:rsidRPr="00796736">
        <w:rPr>
          <w:rFonts w:ascii="Times New Roman" w:eastAsia="Times New Roman" w:hAnsi="Times New Roman" w:cs="Times New Roman"/>
          <w:sz w:val="24"/>
          <w:szCs w:val="24"/>
          <w:lang w:eastAsia="da-DK"/>
        </w:rPr>
        <w:instrText xml:space="preserve"> REF _Ref232597126 \r \h </w:instrText>
      </w:r>
      <w:r w:rsidR="006A012C" w:rsidRPr="00796736">
        <w:rPr>
          <w:rFonts w:ascii="Times New Roman" w:eastAsia="Times New Roman" w:hAnsi="Times New Roman" w:cs="Times New Roman"/>
          <w:sz w:val="24"/>
          <w:szCs w:val="24"/>
          <w:lang w:eastAsia="da-DK"/>
        </w:rPr>
        <w:instrText xml:space="preserve"> \* MERGEFORMAT </w:instrText>
      </w:r>
      <w:r w:rsidR="009775C4" w:rsidRPr="00796736">
        <w:rPr>
          <w:rFonts w:ascii="Times New Roman" w:eastAsia="Times New Roman" w:hAnsi="Times New Roman" w:cs="Times New Roman"/>
          <w:sz w:val="24"/>
          <w:szCs w:val="24"/>
          <w:lang w:eastAsia="da-DK"/>
        </w:rPr>
      </w:r>
      <w:r w:rsidR="009775C4"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59</w:t>
      </w:r>
      <w:r w:rsidR="009775C4" w:rsidRPr="00796736">
        <w:rPr>
          <w:rFonts w:ascii="Times New Roman" w:eastAsia="Times New Roman" w:hAnsi="Times New Roman" w:cs="Times New Roman"/>
          <w:sz w:val="24"/>
          <w:szCs w:val="24"/>
          <w:lang w:eastAsia="da-DK"/>
        </w:rPr>
        <w:fldChar w:fldCharType="end"/>
      </w:r>
      <w:r w:rsidR="009775C4" w:rsidRPr="00796736">
        <w:rPr>
          <w:rFonts w:ascii="Times New Roman" w:eastAsia="Times New Roman" w:hAnsi="Times New Roman" w:cs="Times New Roman"/>
          <w:sz w:val="24"/>
          <w:szCs w:val="24"/>
          <w:lang w:eastAsia="da-DK"/>
        </w:rPr>
        <w:t xml:space="preserve">, stk. 3. </w:t>
      </w:r>
    </w:p>
    <w:p w14:paraId="03BFEBCA" w14:textId="4B869624" w:rsidR="00BB3E0D" w:rsidRPr="00796736" w:rsidRDefault="007645AE">
      <w:pPr>
        <w:pStyle w:val="Listeafsnit"/>
        <w:numPr>
          <w:ilvl w:val="0"/>
          <w:numId w:val="110"/>
        </w:numPr>
        <w:spacing w:line="360" w:lineRule="auto"/>
        <w:ind w:left="598"/>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En v</w:t>
      </w:r>
      <w:r w:rsidRPr="00796736">
        <w:rPr>
          <w:rFonts w:ascii="Times New Roman" w:eastAsia="Times New Roman" w:hAnsi="Times New Roman" w:cs="Times New Roman"/>
          <w:sz w:val="24"/>
          <w:szCs w:val="24"/>
          <w:lang w:eastAsia="da-DK"/>
        </w:rPr>
        <w:t>irksomhed</w:t>
      </w:r>
      <w:r w:rsidR="00BB3E0D" w:rsidRPr="00796736">
        <w:rPr>
          <w:rFonts w:ascii="Times New Roman" w:eastAsia="Times New Roman" w:hAnsi="Times New Roman" w:cs="Times New Roman"/>
          <w:sz w:val="24"/>
          <w:szCs w:val="24"/>
          <w:lang w:eastAsia="da-DK"/>
        </w:rPr>
        <w:t xml:space="preserve"> og det eller de medlemmer af virksomhedens øverste ledelse, herunder bestyrelsen eller direktionen, som afgørelsen vedrører, ved Finanstilsynets afgørelser efter</w:t>
      </w:r>
      <w:r>
        <w:rPr>
          <w:rFonts w:ascii="Times New Roman" w:eastAsia="Times New Roman" w:hAnsi="Times New Roman" w:cs="Times New Roman"/>
          <w:sz w:val="24"/>
          <w:szCs w:val="24"/>
          <w:lang w:eastAsia="da-DK"/>
        </w:rPr>
        <w:t xml:space="preserve"> §§ 65 og 66.</w:t>
      </w:r>
      <w:r w:rsidR="00BB3E0D" w:rsidRPr="00796736">
        <w:rPr>
          <w:rFonts w:ascii="Times New Roman" w:eastAsia="Times New Roman" w:hAnsi="Times New Roman" w:cs="Times New Roman"/>
          <w:sz w:val="24"/>
          <w:szCs w:val="24"/>
          <w:lang w:eastAsia="da-DK"/>
        </w:rPr>
        <w:t xml:space="preserve"> </w:t>
      </w:r>
    </w:p>
    <w:p w14:paraId="1B463E74" w14:textId="77777777" w:rsidR="004D1EC2" w:rsidRPr="00796736" w:rsidRDefault="004D1EC2" w:rsidP="00A802A5">
      <w:pPr>
        <w:spacing w:line="360" w:lineRule="auto"/>
        <w:rPr>
          <w:rFonts w:ascii="Times New Roman" w:eastAsia="Times New Roman" w:hAnsi="Times New Roman" w:cs="Times New Roman"/>
          <w:sz w:val="24"/>
          <w:szCs w:val="24"/>
          <w:lang w:eastAsia="da-DK"/>
        </w:rPr>
      </w:pPr>
    </w:p>
    <w:p w14:paraId="03EDE6FB" w14:textId="4FEFA796" w:rsidR="004D1EC2" w:rsidRPr="00796736" w:rsidRDefault="004D1EC2" w:rsidP="00146B65">
      <w:pPr>
        <w:pStyle w:val="Typografi1"/>
        <w:ind w:left="0" w:firstLine="238"/>
        <w:rPr>
          <w:rFonts w:ascii="Times New Roman" w:hAnsi="Times New Roman" w:cs="Times New Roman"/>
          <w:sz w:val="24"/>
          <w:szCs w:val="24"/>
        </w:rPr>
      </w:pPr>
      <w:bookmarkStart w:id="485" w:name="_Ref232609879"/>
      <w:bookmarkStart w:id="486" w:name="_Toc244879115"/>
      <w:bookmarkStart w:id="487" w:name="_Toc244880639"/>
      <w:r w:rsidRPr="00796736">
        <w:rPr>
          <w:rFonts w:ascii="Times New Roman" w:hAnsi="Times New Roman" w:cs="Times New Roman"/>
          <w:sz w:val="24"/>
          <w:szCs w:val="24"/>
        </w:rPr>
        <w:t xml:space="preserve">Som part anses den virksomhed eller person, som </w:t>
      </w:r>
      <w:r w:rsidR="00F815DC" w:rsidRPr="00796736">
        <w:rPr>
          <w:rFonts w:ascii="Times New Roman" w:eastAsia="Times New Roman" w:hAnsi="Times New Roman" w:cs="Times New Roman"/>
          <w:sz w:val="24"/>
          <w:szCs w:val="24"/>
        </w:rPr>
        <w:t xml:space="preserve">Erhvervsstyrelsens eller </w:t>
      </w:r>
      <w:r w:rsidR="002D41B0" w:rsidRPr="00796736">
        <w:rPr>
          <w:rFonts w:ascii="Times New Roman" w:eastAsia="Times New Roman" w:hAnsi="Times New Roman" w:cs="Times New Roman"/>
          <w:sz w:val="24"/>
          <w:szCs w:val="24"/>
        </w:rPr>
        <w:t>s</w:t>
      </w:r>
      <w:r w:rsidR="00F815DC" w:rsidRPr="00796736">
        <w:rPr>
          <w:rFonts w:ascii="Times New Roman" w:eastAsia="Times New Roman" w:hAnsi="Times New Roman" w:cs="Times New Roman"/>
          <w:sz w:val="24"/>
          <w:szCs w:val="24"/>
        </w:rPr>
        <w:t xml:space="preserve">pillemyndighedens afgørelse </w:t>
      </w:r>
      <w:r w:rsidRPr="00796736">
        <w:rPr>
          <w:rFonts w:ascii="Times New Roman" w:hAnsi="Times New Roman" w:cs="Times New Roman"/>
          <w:sz w:val="24"/>
          <w:szCs w:val="24"/>
        </w:rPr>
        <w:t>retter sig mod. Dette omfatter afgørelser truffet i medfør af hvidvaskforordningen, denne lov eller regler udstedt i medfør af denne lov og forordninger indeholdende regler om finansielle sanktioner mod lande, personer, grupper, juridiske enheder eller organer.</w:t>
      </w:r>
      <w:bookmarkEnd w:id="485"/>
      <w:bookmarkEnd w:id="486"/>
      <w:bookmarkEnd w:id="487"/>
    </w:p>
    <w:p w14:paraId="42C0D2D7" w14:textId="77777777" w:rsidR="004D1EC2" w:rsidRPr="00796736" w:rsidRDefault="004D1EC2" w:rsidP="00A802A5">
      <w:pPr>
        <w:spacing w:line="360" w:lineRule="auto"/>
        <w:ind w:left="360" w:firstLine="238"/>
        <w:rPr>
          <w:rFonts w:ascii="Times New Roman" w:eastAsia="Times New Roman" w:hAnsi="Times New Roman" w:cs="Times New Roman"/>
          <w:sz w:val="24"/>
          <w:szCs w:val="24"/>
          <w:lang w:eastAsia="da-DK"/>
        </w:rPr>
      </w:pPr>
    </w:p>
    <w:p w14:paraId="09103FCB" w14:textId="0BE60652" w:rsidR="007F4CDA" w:rsidRPr="00796736" w:rsidRDefault="00426554" w:rsidP="00146B65">
      <w:pPr>
        <w:pStyle w:val="Typografi1"/>
        <w:ind w:left="0" w:firstLine="238"/>
        <w:rPr>
          <w:rFonts w:ascii="Times New Roman" w:hAnsi="Times New Roman" w:cs="Times New Roman"/>
          <w:sz w:val="24"/>
          <w:szCs w:val="24"/>
          <w:lang w:eastAsia="da-DK"/>
        </w:rPr>
      </w:pPr>
      <w:bookmarkStart w:id="488" w:name="_Ref241677414"/>
      <w:bookmarkStart w:id="489" w:name="_Toc244879116"/>
      <w:bookmarkStart w:id="490" w:name="_Toc244880640"/>
      <w:r w:rsidRPr="00796736">
        <w:rPr>
          <w:rFonts w:ascii="Times New Roman" w:hAnsi="Times New Roman" w:cs="Times New Roman"/>
          <w:sz w:val="24"/>
          <w:szCs w:val="24"/>
          <w:lang w:eastAsia="da-DK"/>
        </w:rPr>
        <w:t>Afgørelser truffet af Finanstilsynet eller Erhvervsstyrelsen kan af den, som afgørelsen retter sig mod, indbringes for Erhvervsankenævnet, jf. dog stk. 2, senest 4 uger efter at afgørelsen er meddelt den pågældende i henhold til følgende:</w:t>
      </w:r>
      <w:bookmarkEnd w:id="488"/>
      <w:bookmarkEnd w:id="489"/>
      <w:bookmarkEnd w:id="490"/>
    </w:p>
    <w:p w14:paraId="4F6BF419" w14:textId="77777777" w:rsidR="007F4CDA" w:rsidRPr="00796736" w:rsidRDefault="007F4CDA">
      <w:pPr>
        <w:pStyle w:val="Listeafsnit"/>
        <w:numPr>
          <w:ilvl w:val="0"/>
          <w:numId w:val="111"/>
        </w:numPr>
        <w:spacing w:line="360" w:lineRule="auto"/>
        <w:ind w:left="598"/>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Denne lov og regler udstedt i medfør heraf.</w:t>
      </w:r>
    </w:p>
    <w:p w14:paraId="7B803EC1" w14:textId="77777777" w:rsidR="007F4CDA" w:rsidRPr="00796736" w:rsidRDefault="007F4CDA">
      <w:pPr>
        <w:pStyle w:val="Listeafsnit"/>
        <w:numPr>
          <w:ilvl w:val="0"/>
          <w:numId w:val="111"/>
        </w:numPr>
        <w:spacing w:line="360" w:lineRule="auto"/>
        <w:ind w:left="598"/>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Europa-Parlamentets og Rådets forordning om forbyggende foranstaltninger mod anvendelse af det finansielle system til hvidvask af penge eller finansiering af terrorisme.</w:t>
      </w:r>
    </w:p>
    <w:p w14:paraId="01F46834" w14:textId="77777777" w:rsidR="007F4CDA" w:rsidRPr="00796736" w:rsidRDefault="007F4CDA">
      <w:pPr>
        <w:pStyle w:val="Listeafsnit"/>
        <w:numPr>
          <w:ilvl w:val="0"/>
          <w:numId w:val="111"/>
        </w:numPr>
        <w:spacing w:line="360" w:lineRule="auto"/>
        <w:ind w:left="598"/>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Europa-Parlamentets og Rådets forordning om oplysninger, der skal medsendes ved pengeoverførsler og ved overførsler af visse kryptoaktiver.</w:t>
      </w:r>
    </w:p>
    <w:p w14:paraId="0E57B51F" w14:textId="77777777" w:rsidR="00426554" w:rsidRPr="00796736" w:rsidRDefault="007F4CDA">
      <w:pPr>
        <w:pStyle w:val="Listeafsnit"/>
        <w:numPr>
          <w:ilvl w:val="0"/>
          <w:numId w:val="111"/>
        </w:numPr>
        <w:spacing w:line="360" w:lineRule="auto"/>
        <w:ind w:left="598"/>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Forordninger indeholdende regler om finansielle sanktioner mod lande, personer, grupper, juridiske enheder eller organer.</w:t>
      </w:r>
    </w:p>
    <w:p w14:paraId="4A96DA56" w14:textId="2FADC67A" w:rsidR="00426554" w:rsidRPr="00146B65" w:rsidRDefault="00426554">
      <w:pPr>
        <w:pStyle w:val="Listeafsnit"/>
        <w:numPr>
          <w:ilvl w:val="0"/>
          <w:numId w:val="111"/>
        </w:numPr>
        <w:spacing w:line="360" w:lineRule="auto"/>
        <w:ind w:left="598"/>
        <w:rPr>
          <w:rFonts w:ascii="Times New Roman" w:eastAsia="Times New Roman" w:hAnsi="Times New Roman" w:cs="Times New Roman"/>
          <w:sz w:val="24"/>
          <w:szCs w:val="24"/>
          <w:lang w:eastAsia="da-DK"/>
        </w:rPr>
      </w:pPr>
      <w:r w:rsidRPr="00146B65">
        <w:rPr>
          <w:rFonts w:ascii="Times New Roman" w:eastAsia="Times New Roman" w:hAnsi="Times New Roman" w:cs="Times New Roman"/>
          <w:i/>
          <w:iCs/>
          <w:sz w:val="24"/>
          <w:szCs w:val="24"/>
          <w:lang w:eastAsia="da-DK"/>
        </w:rPr>
        <w:t>Stk. 2.</w:t>
      </w:r>
      <w:r w:rsidRPr="00146B65">
        <w:rPr>
          <w:rFonts w:ascii="Times New Roman" w:hAnsi="Times New Roman" w:cs="Times New Roman"/>
          <w:sz w:val="24"/>
          <w:szCs w:val="24"/>
        </w:rPr>
        <w:t xml:space="preserve"> </w:t>
      </w:r>
      <w:r w:rsidRPr="00146B65">
        <w:rPr>
          <w:rFonts w:ascii="Times New Roman" w:eastAsia="Times New Roman" w:hAnsi="Times New Roman" w:cs="Times New Roman"/>
          <w:sz w:val="24"/>
          <w:szCs w:val="24"/>
          <w:lang w:eastAsia="da-DK"/>
        </w:rPr>
        <w:t xml:space="preserve">Erhvervsstyrelsens afgørelser truffet efter </w:t>
      </w:r>
      <w:r w:rsidR="004A72D6" w:rsidRPr="00146B65">
        <w:rPr>
          <w:rFonts w:ascii="Times New Roman" w:eastAsia="Times New Roman" w:hAnsi="Times New Roman" w:cs="Times New Roman"/>
          <w:sz w:val="24"/>
          <w:szCs w:val="24"/>
          <w:lang w:eastAsia="da-DK"/>
        </w:rPr>
        <w:fldChar w:fldCharType="begin"/>
      </w:r>
      <w:r w:rsidR="004A72D6" w:rsidRPr="00146B65">
        <w:rPr>
          <w:rFonts w:ascii="Times New Roman" w:eastAsia="Times New Roman" w:hAnsi="Times New Roman" w:cs="Times New Roman"/>
          <w:sz w:val="24"/>
          <w:szCs w:val="24"/>
          <w:lang w:eastAsia="da-DK"/>
        </w:rPr>
        <w:instrText xml:space="preserve"> REF _Ref232608991 \r \h </w:instrText>
      </w:r>
      <w:r w:rsidR="001A2696" w:rsidRPr="00146B65">
        <w:rPr>
          <w:rFonts w:ascii="Times New Roman" w:eastAsia="Times New Roman" w:hAnsi="Times New Roman" w:cs="Times New Roman"/>
          <w:sz w:val="24"/>
          <w:szCs w:val="24"/>
          <w:lang w:eastAsia="da-DK"/>
        </w:rPr>
        <w:instrText xml:space="preserve"> \* MERGEFORMAT </w:instrText>
      </w:r>
      <w:r w:rsidR="004A72D6" w:rsidRPr="00146B65">
        <w:rPr>
          <w:rFonts w:ascii="Times New Roman" w:eastAsia="Times New Roman" w:hAnsi="Times New Roman" w:cs="Times New Roman"/>
          <w:sz w:val="24"/>
          <w:szCs w:val="24"/>
          <w:lang w:eastAsia="da-DK"/>
        </w:rPr>
      </w:r>
      <w:r w:rsidR="004A72D6" w:rsidRPr="00146B65">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92</w:t>
      </w:r>
      <w:r w:rsidR="004A72D6" w:rsidRPr="00146B65">
        <w:rPr>
          <w:rFonts w:ascii="Times New Roman" w:eastAsia="Times New Roman" w:hAnsi="Times New Roman" w:cs="Times New Roman"/>
          <w:sz w:val="24"/>
          <w:szCs w:val="24"/>
          <w:lang w:eastAsia="da-DK"/>
        </w:rPr>
        <w:fldChar w:fldCharType="end"/>
      </w:r>
      <w:r w:rsidR="004A72D6" w:rsidRPr="00146B65">
        <w:rPr>
          <w:rFonts w:ascii="Times New Roman" w:eastAsia="Times New Roman" w:hAnsi="Times New Roman" w:cs="Times New Roman"/>
          <w:sz w:val="24"/>
          <w:szCs w:val="24"/>
          <w:lang w:eastAsia="da-DK"/>
        </w:rPr>
        <w:t xml:space="preserve"> </w:t>
      </w:r>
      <w:r w:rsidRPr="00146B65">
        <w:rPr>
          <w:rFonts w:ascii="Times New Roman" w:eastAsia="Times New Roman" w:hAnsi="Times New Roman" w:cs="Times New Roman"/>
          <w:sz w:val="24"/>
          <w:szCs w:val="24"/>
          <w:lang w:eastAsia="da-DK"/>
        </w:rPr>
        <w:t>kan ikke indbringes for anden administrativ myndighed.</w:t>
      </w:r>
    </w:p>
    <w:p w14:paraId="0B77F6DE" w14:textId="77777777" w:rsidR="00892A99" w:rsidRPr="00796736" w:rsidRDefault="00892A99" w:rsidP="00A802A5">
      <w:pPr>
        <w:spacing w:line="360" w:lineRule="auto"/>
        <w:ind w:firstLine="238"/>
        <w:rPr>
          <w:rFonts w:ascii="Times New Roman" w:hAnsi="Times New Roman" w:cs="Times New Roman"/>
          <w:sz w:val="24"/>
          <w:szCs w:val="24"/>
        </w:rPr>
      </w:pPr>
    </w:p>
    <w:p w14:paraId="1456B90F" w14:textId="77777777" w:rsidR="002D41B0" w:rsidRPr="00796736" w:rsidRDefault="004D1EC2" w:rsidP="00146B65">
      <w:pPr>
        <w:pStyle w:val="Typografi1"/>
        <w:ind w:left="0" w:firstLine="238"/>
        <w:rPr>
          <w:rFonts w:ascii="Times New Roman" w:hAnsi="Times New Roman" w:cs="Times New Roman"/>
          <w:sz w:val="24"/>
          <w:szCs w:val="24"/>
          <w:lang w:eastAsia="da-DK"/>
        </w:rPr>
      </w:pPr>
      <w:bookmarkStart w:id="491" w:name="_Ref232609949"/>
      <w:bookmarkStart w:id="492" w:name="_Ref239251816"/>
      <w:bookmarkStart w:id="493" w:name="_Toc244879117"/>
      <w:bookmarkStart w:id="494" w:name="_Toc244880641"/>
      <w:r w:rsidRPr="00796736">
        <w:rPr>
          <w:rFonts w:ascii="Times New Roman" w:hAnsi="Times New Roman" w:cs="Times New Roman"/>
          <w:sz w:val="24"/>
          <w:szCs w:val="24"/>
        </w:rPr>
        <w:t>Afgørelser truffet af spillemyndigheden kan af den, som afgørelsen retter sig mod, indbringes for Landsskatteretten efter kapitel 10 i lov om spil. Kapitel 11 i lov om spil finder tilsvarende anvendelse.</w:t>
      </w:r>
      <w:bookmarkEnd w:id="491"/>
      <w:r w:rsidR="002D41B0" w:rsidRPr="00796736">
        <w:rPr>
          <w:rFonts w:ascii="Times New Roman" w:hAnsi="Times New Roman" w:cs="Times New Roman"/>
          <w:sz w:val="24"/>
          <w:szCs w:val="24"/>
        </w:rPr>
        <w:t xml:space="preserve"> Der kan klages over afgørelser truffet af spillemyndigheden i henhold til følgende:</w:t>
      </w:r>
      <w:bookmarkEnd w:id="492"/>
      <w:bookmarkEnd w:id="493"/>
      <w:bookmarkEnd w:id="494"/>
    </w:p>
    <w:p w14:paraId="54C88F72" w14:textId="77777777" w:rsidR="002D41B0" w:rsidRPr="00796736" w:rsidRDefault="002D41B0">
      <w:pPr>
        <w:pStyle w:val="Listeafsnit"/>
        <w:numPr>
          <w:ilvl w:val="0"/>
          <w:numId w:val="112"/>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rPr>
        <w:t>Denne lov og regler udstedt i medfør heraf.</w:t>
      </w:r>
    </w:p>
    <w:p w14:paraId="26503239" w14:textId="77777777" w:rsidR="002D41B0" w:rsidRPr="00796736" w:rsidRDefault="002D41B0">
      <w:pPr>
        <w:pStyle w:val="Listeafsnit"/>
        <w:numPr>
          <w:ilvl w:val="0"/>
          <w:numId w:val="112"/>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rPr>
        <w:t>Europa-Parlamentets og Rådets forordning om forebyggende foranstaltninger mod anvendelse af det finansielle system til hvidvask af penge eller finansiering af terrorisme.</w:t>
      </w:r>
    </w:p>
    <w:p w14:paraId="417B7203" w14:textId="22976D7E" w:rsidR="004D1EC2" w:rsidRPr="00796736" w:rsidRDefault="002D41B0">
      <w:pPr>
        <w:pStyle w:val="Listeafsnit"/>
        <w:numPr>
          <w:ilvl w:val="0"/>
          <w:numId w:val="112"/>
        </w:numPr>
        <w:spacing w:line="360" w:lineRule="auto"/>
        <w:ind w:left="598"/>
        <w:rPr>
          <w:rFonts w:ascii="Times New Roman" w:hAnsi="Times New Roman" w:cs="Times New Roman"/>
          <w:sz w:val="24"/>
          <w:szCs w:val="24"/>
          <w:lang w:eastAsia="da-DK"/>
        </w:rPr>
      </w:pPr>
      <w:r w:rsidRPr="00796736">
        <w:rPr>
          <w:rFonts w:ascii="Times New Roman" w:hAnsi="Times New Roman" w:cs="Times New Roman"/>
          <w:sz w:val="24"/>
          <w:szCs w:val="24"/>
        </w:rPr>
        <w:t>Forordninger indeholdelse regler om finansielle sanktioner mod lande, personer, grupper, juridiske enheder eller organer.</w:t>
      </w:r>
    </w:p>
    <w:p w14:paraId="473439E3" w14:textId="77777777" w:rsidR="003E4683" w:rsidRPr="00796736" w:rsidRDefault="003E4683" w:rsidP="00A802A5">
      <w:pPr>
        <w:spacing w:line="360" w:lineRule="auto"/>
        <w:rPr>
          <w:rFonts w:ascii="Times New Roman" w:hAnsi="Times New Roman" w:cs="Times New Roman"/>
          <w:sz w:val="24"/>
          <w:szCs w:val="24"/>
        </w:rPr>
      </w:pPr>
    </w:p>
    <w:p w14:paraId="5B265EE4" w14:textId="7C66F839" w:rsidR="003E4683" w:rsidRPr="00796736" w:rsidRDefault="003E4683" w:rsidP="00A802A5">
      <w:pPr>
        <w:spacing w:line="360" w:lineRule="auto"/>
        <w:jc w:val="center"/>
        <w:rPr>
          <w:rFonts w:ascii="Times New Roman" w:hAnsi="Times New Roman" w:cs="Times New Roman"/>
          <w:sz w:val="24"/>
          <w:szCs w:val="24"/>
        </w:rPr>
      </w:pPr>
      <w:r w:rsidRPr="00796736">
        <w:rPr>
          <w:rFonts w:ascii="Times New Roman" w:hAnsi="Times New Roman" w:cs="Times New Roman"/>
          <w:sz w:val="24"/>
          <w:szCs w:val="24"/>
        </w:rPr>
        <w:t>Kapitel 1</w:t>
      </w:r>
      <w:r w:rsidR="00B61E4E" w:rsidRPr="00796736">
        <w:rPr>
          <w:rFonts w:ascii="Times New Roman" w:hAnsi="Times New Roman" w:cs="Times New Roman"/>
          <w:sz w:val="24"/>
          <w:szCs w:val="24"/>
        </w:rPr>
        <w:t>5</w:t>
      </w:r>
    </w:p>
    <w:p w14:paraId="6A13257F" w14:textId="5AC80266" w:rsidR="003E4683" w:rsidRPr="00796736" w:rsidRDefault="00705917" w:rsidP="00A802A5">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Inddrivelse af gebyrer omfattet af AMLA-forordningens artikel 77</w:t>
      </w:r>
    </w:p>
    <w:p w14:paraId="478BB4D0" w14:textId="77777777" w:rsidR="003E4683" w:rsidRPr="00796736" w:rsidRDefault="003E4683" w:rsidP="00A802A5">
      <w:pPr>
        <w:spacing w:line="360" w:lineRule="auto"/>
        <w:ind w:firstLine="238"/>
        <w:rPr>
          <w:rFonts w:ascii="Times New Roman" w:hAnsi="Times New Roman" w:cs="Times New Roman"/>
          <w:sz w:val="24"/>
          <w:szCs w:val="24"/>
        </w:rPr>
      </w:pPr>
    </w:p>
    <w:p w14:paraId="70D07AF9" w14:textId="27A10B92" w:rsidR="00013DE2" w:rsidRPr="00796736" w:rsidRDefault="00705917" w:rsidP="005F127B">
      <w:pPr>
        <w:pStyle w:val="Typografi1"/>
        <w:ind w:left="0" w:firstLine="238"/>
        <w:rPr>
          <w:rFonts w:ascii="Times New Roman" w:hAnsi="Times New Roman" w:cs="Times New Roman"/>
          <w:sz w:val="24"/>
          <w:szCs w:val="24"/>
        </w:rPr>
      </w:pPr>
      <w:bookmarkStart w:id="495" w:name="_Ref238145589"/>
      <w:bookmarkStart w:id="496" w:name="_Toc244879118"/>
      <w:bookmarkStart w:id="497" w:name="_Toc244880642"/>
      <w:r w:rsidRPr="00796736">
        <w:rPr>
          <w:rFonts w:ascii="Times New Roman" w:hAnsi="Times New Roman" w:cs="Times New Roman"/>
          <w:sz w:val="24"/>
          <w:szCs w:val="24"/>
        </w:rPr>
        <w:t>Gebyrer omfattet af artikel 77 i Europa-Parlamentets og Rådets forordning (EU) 2024/1620 kan inddrives efter reglerne i lov om inddrivelse af gæld til det offentlige.</w:t>
      </w:r>
      <w:bookmarkEnd w:id="495"/>
      <w:bookmarkEnd w:id="496"/>
      <w:bookmarkEnd w:id="497"/>
      <w:r w:rsidRPr="00796736">
        <w:rPr>
          <w:rFonts w:ascii="Times New Roman" w:hAnsi="Times New Roman" w:cs="Times New Roman"/>
          <w:sz w:val="24"/>
          <w:szCs w:val="24"/>
        </w:rPr>
        <w:t xml:space="preserve">  </w:t>
      </w:r>
    </w:p>
    <w:p w14:paraId="78A5FC04" w14:textId="77777777" w:rsidR="007C0C7A" w:rsidRPr="00796736" w:rsidRDefault="007C0C7A" w:rsidP="00A802A5">
      <w:pPr>
        <w:spacing w:line="360" w:lineRule="auto"/>
        <w:rPr>
          <w:rFonts w:ascii="Times New Roman" w:hAnsi="Times New Roman" w:cs="Times New Roman"/>
          <w:sz w:val="24"/>
          <w:szCs w:val="24"/>
        </w:rPr>
      </w:pPr>
    </w:p>
    <w:p w14:paraId="52B63850" w14:textId="65F4C79E" w:rsidR="00013DE2" w:rsidRPr="00796736" w:rsidRDefault="00013DE2" w:rsidP="00A802A5">
      <w:pPr>
        <w:spacing w:line="360" w:lineRule="auto"/>
        <w:jc w:val="center"/>
        <w:rPr>
          <w:rFonts w:ascii="Times New Roman" w:hAnsi="Times New Roman" w:cs="Times New Roman"/>
          <w:sz w:val="24"/>
          <w:szCs w:val="24"/>
        </w:rPr>
      </w:pPr>
      <w:r w:rsidRPr="00796736">
        <w:rPr>
          <w:rFonts w:ascii="Times New Roman" w:hAnsi="Times New Roman" w:cs="Times New Roman"/>
          <w:sz w:val="24"/>
          <w:szCs w:val="24"/>
        </w:rPr>
        <w:t>Kapitel 1</w:t>
      </w:r>
      <w:r w:rsidR="00B61E4E" w:rsidRPr="00796736">
        <w:rPr>
          <w:rFonts w:ascii="Times New Roman" w:hAnsi="Times New Roman" w:cs="Times New Roman"/>
          <w:sz w:val="24"/>
          <w:szCs w:val="24"/>
        </w:rPr>
        <w:t>6</w:t>
      </w:r>
    </w:p>
    <w:p w14:paraId="1C9EB519" w14:textId="60209B55" w:rsidR="00013DE2" w:rsidRPr="00796736" w:rsidRDefault="00013DE2" w:rsidP="00A802A5">
      <w:pPr>
        <w:spacing w:line="360" w:lineRule="auto"/>
        <w:ind w:firstLine="238"/>
        <w:jc w:val="center"/>
        <w:rPr>
          <w:rFonts w:ascii="Times New Roman" w:hAnsi="Times New Roman" w:cs="Times New Roman"/>
          <w:i/>
          <w:iCs/>
          <w:sz w:val="24"/>
          <w:szCs w:val="24"/>
        </w:rPr>
      </w:pPr>
      <w:r w:rsidRPr="00796736">
        <w:rPr>
          <w:rFonts w:ascii="Times New Roman" w:hAnsi="Times New Roman" w:cs="Times New Roman"/>
          <w:i/>
          <w:iCs/>
          <w:sz w:val="24"/>
          <w:szCs w:val="24"/>
        </w:rPr>
        <w:t xml:space="preserve">Tvangsbøder </w:t>
      </w:r>
    </w:p>
    <w:p w14:paraId="2CD8D5C9" w14:textId="5BF92862" w:rsidR="002F72D8" w:rsidRPr="002F72D8" w:rsidRDefault="002F72D8" w:rsidP="002F72D8">
      <w:pPr>
        <w:pStyle w:val="Typografi1"/>
        <w:ind w:left="0" w:firstLine="238"/>
        <w:rPr>
          <w:rFonts w:ascii="Times New Roman" w:hAnsi="Times New Roman" w:cs="Times New Roman"/>
          <w:sz w:val="24"/>
          <w:szCs w:val="24"/>
          <w:lang w:eastAsia="da-DK"/>
        </w:rPr>
      </w:pPr>
      <w:bookmarkStart w:id="498" w:name="_Ref244804875"/>
      <w:bookmarkStart w:id="499" w:name="_Toc244879119"/>
      <w:bookmarkStart w:id="500" w:name="_Toc244880643"/>
      <w:r w:rsidRPr="002F72D8">
        <w:rPr>
          <w:rFonts w:ascii="Times New Roman" w:hAnsi="Times New Roman" w:cs="Times New Roman"/>
          <w:sz w:val="24"/>
          <w:szCs w:val="24"/>
        </w:rPr>
        <w:t xml:space="preserve">Finanstilsynet kan som tvangsmiddel pålægge personer eller virksomheder, som nævnt i </w:t>
      </w:r>
      <w:r w:rsidR="0057423A">
        <w:rPr>
          <w:rFonts w:ascii="Times New Roman" w:hAnsi="Times New Roman" w:cs="Times New Roman"/>
          <w:sz w:val="24"/>
          <w:szCs w:val="24"/>
          <w:lang w:eastAsia="da-DK"/>
        </w:rPr>
        <w:fldChar w:fldCharType="begin"/>
      </w:r>
      <w:r w:rsidR="0057423A">
        <w:rPr>
          <w:rFonts w:ascii="Times New Roman" w:hAnsi="Times New Roman" w:cs="Times New Roman"/>
          <w:sz w:val="24"/>
          <w:szCs w:val="24"/>
        </w:rPr>
        <w:instrText xml:space="preserve"> REF _Ref232583170 \n \h </w:instrText>
      </w:r>
      <w:r w:rsidR="0057423A">
        <w:rPr>
          <w:rFonts w:ascii="Times New Roman" w:hAnsi="Times New Roman" w:cs="Times New Roman"/>
          <w:sz w:val="24"/>
          <w:szCs w:val="24"/>
          <w:lang w:eastAsia="da-DK"/>
        </w:rPr>
      </w:r>
      <w:r w:rsidR="0057423A">
        <w:rPr>
          <w:rFonts w:ascii="Times New Roman" w:hAnsi="Times New Roman" w:cs="Times New Roman"/>
          <w:sz w:val="24"/>
          <w:szCs w:val="24"/>
          <w:lang w:eastAsia="da-DK"/>
        </w:rPr>
        <w:fldChar w:fldCharType="separate"/>
      </w:r>
      <w:r w:rsidR="008F29E5">
        <w:rPr>
          <w:rFonts w:ascii="Times New Roman" w:hAnsi="Times New Roman" w:cs="Times New Roman"/>
          <w:sz w:val="24"/>
          <w:szCs w:val="24"/>
        </w:rPr>
        <w:t>§ 1</w:t>
      </w:r>
      <w:r w:rsidR="0057423A">
        <w:rPr>
          <w:rFonts w:ascii="Times New Roman" w:hAnsi="Times New Roman" w:cs="Times New Roman"/>
          <w:sz w:val="24"/>
          <w:szCs w:val="24"/>
          <w:lang w:eastAsia="da-DK"/>
        </w:rPr>
        <w:fldChar w:fldCharType="end"/>
      </w:r>
      <w:r w:rsidRPr="002F72D8">
        <w:rPr>
          <w:rFonts w:ascii="Times New Roman" w:hAnsi="Times New Roman" w:cs="Times New Roman"/>
          <w:sz w:val="24"/>
          <w:szCs w:val="24"/>
          <w:lang w:eastAsia="da-DK"/>
        </w:rPr>
        <w:t xml:space="preserve">, stk. 2, nr. 1-3, samt </w:t>
      </w:r>
      <w:r w:rsidR="0057423A">
        <w:rPr>
          <w:rFonts w:ascii="Times New Roman" w:hAnsi="Times New Roman" w:cs="Times New Roman"/>
          <w:sz w:val="24"/>
          <w:szCs w:val="24"/>
          <w:lang w:eastAsia="da-DK"/>
        </w:rPr>
        <w:fldChar w:fldCharType="begin"/>
      </w:r>
      <w:r w:rsidR="0057423A">
        <w:rPr>
          <w:rFonts w:ascii="Times New Roman" w:hAnsi="Times New Roman" w:cs="Times New Roman"/>
          <w:sz w:val="24"/>
          <w:szCs w:val="24"/>
          <w:lang w:eastAsia="da-DK"/>
        </w:rPr>
        <w:instrText xml:space="preserve"> REF _Ref232592818 \n \h </w:instrText>
      </w:r>
      <w:r w:rsidR="0057423A">
        <w:rPr>
          <w:rFonts w:ascii="Times New Roman" w:hAnsi="Times New Roman" w:cs="Times New Roman"/>
          <w:sz w:val="24"/>
          <w:szCs w:val="24"/>
          <w:lang w:eastAsia="da-DK"/>
        </w:rPr>
      </w:r>
      <w:r w:rsidR="0057423A">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57423A">
        <w:rPr>
          <w:rFonts w:ascii="Times New Roman" w:hAnsi="Times New Roman" w:cs="Times New Roman"/>
          <w:sz w:val="24"/>
          <w:szCs w:val="24"/>
          <w:lang w:eastAsia="da-DK"/>
        </w:rPr>
        <w:fldChar w:fldCharType="end"/>
      </w:r>
      <w:r w:rsidRPr="002F72D8">
        <w:rPr>
          <w:rFonts w:ascii="Times New Roman" w:hAnsi="Times New Roman" w:cs="Times New Roman"/>
          <w:sz w:val="24"/>
          <w:szCs w:val="24"/>
          <w:lang w:eastAsia="da-DK"/>
        </w:rPr>
        <w:t xml:space="preserve">, nr. 1-19 og 32, litra a, </w:t>
      </w:r>
      <w:r w:rsidRPr="002F72D8">
        <w:rPr>
          <w:rFonts w:ascii="Times New Roman" w:hAnsi="Times New Roman" w:cs="Times New Roman"/>
          <w:sz w:val="24"/>
          <w:szCs w:val="24"/>
        </w:rPr>
        <w:t xml:space="preserve">eller de for virksomheden ansvarlige personer, daglige eller ugentlige tvangsbøder, hvis de ikke i rette tid efterkommer de pligter, der følger af </w:t>
      </w:r>
      <w:r w:rsidR="0057423A">
        <w:rPr>
          <w:rFonts w:ascii="Times New Roman" w:hAnsi="Times New Roman" w:cs="Times New Roman"/>
          <w:sz w:val="24"/>
          <w:szCs w:val="24"/>
        </w:rPr>
        <w:fldChar w:fldCharType="begin"/>
      </w:r>
      <w:r w:rsidR="0057423A">
        <w:rPr>
          <w:rFonts w:ascii="Times New Roman" w:hAnsi="Times New Roman" w:cs="Times New Roman"/>
          <w:sz w:val="24"/>
          <w:szCs w:val="24"/>
        </w:rPr>
        <w:instrText xml:space="preserve"> REF _Ref232597109 \n \h </w:instrText>
      </w:r>
      <w:r w:rsidR="0057423A">
        <w:rPr>
          <w:rFonts w:ascii="Times New Roman" w:hAnsi="Times New Roman" w:cs="Times New Roman"/>
          <w:sz w:val="24"/>
          <w:szCs w:val="24"/>
        </w:rPr>
      </w:r>
      <w:r w:rsidR="0057423A">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57423A">
        <w:rPr>
          <w:rFonts w:ascii="Times New Roman" w:hAnsi="Times New Roman" w:cs="Times New Roman"/>
          <w:sz w:val="24"/>
          <w:szCs w:val="24"/>
        </w:rPr>
        <w:fldChar w:fldCharType="end"/>
      </w:r>
      <w:r w:rsidR="0057423A">
        <w:rPr>
          <w:rFonts w:ascii="Times New Roman" w:hAnsi="Times New Roman" w:cs="Times New Roman"/>
          <w:sz w:val="24"/>
          <w:szCs w:val="24"/>
        </w:rPr>
        <w:t xml:space="preserve">, </w:t>
      </w:r>
      <w:r w:rsidRPr="002F72D8">
        <w:rPr>
          <w:rFonts w:ascii="Times New Roman" w:hAnsi="Times New Roman" w:cs="Times New Roman"/>
          <w:sz w:val="24"/>
          <w:szCs w:val="24"/>
        </w:rPr>
        <w:t xml:space="preserve">stk. 1 og </w:t>
      </w:r>
      <w:r w:rsidR="0057423A">
        <w:rPr>
          <w:rFonts w:ascii="Times New Roman" w:hAnsi="Times New Roman" w:cs="Times New Roman"/>
          <w:sz w:val="24"/>
          <w:szCs w:val="24"/>
        </w:rPr>
        <w:fldChar w:fldCharType="begin"/>
      </w:r>
      <w:r w:rsidR="0057423A">
        <w:rPr>
          <w:rFonts w:ascii="Times New Roman" w:hAnsi="Times New Roman" w:cs="Times New Roman"/>
          <w:sz w:val="24"/>
          <w:szCs w:val="24"/>
        </w:rPr>
        <w:instrText xml:space="preserve"> REF _Ref232597126 \n \h </w:instrText>
      </w:r>
      <w:r w:rsidR="0057423A">
        <w:rPr>
          <w:rFonts w:ascii="Times New Roman" w:hAnsi="Times New Roman" w:cs="Times New Roman"/>
          <w:sz w:val="24"/>
          <w:szCs w:val="24"/>
        </w:rPr>
      </w:r>
      <w:r w:rsidR="0057423A">
        <w:rPr>
          <w:rFonts w:ascii="Times New Roman" w:hAnsi="Times New Roman" w:cs="Times New Roman"/>
          <w:sz w:val="24"/>
          <w:szCs w:val="24"/>
        </w:rPr>
        <w:fldChar w:fldCharType="separate"/>
      </w:r>
      <w:r w:rsidR="008F29E5">
        <w:rPr>
          <w:rFonts w:ascii="Times New Roman" w:hAnsi="Times New Roman" w:cs="Times New Roman"/>
          <w:sz w:val="24"/>
          <w:szCs w:val="24"/>
        </w:rPr>
        <w:t>§ 59</w:t>
      </w:r>
      <w:r w:rsidR="0057423A">
        <w:rPr>
          <w:rFonts w:ascii="Times New Roman" w:hAnsi="Times New Roman" w:cs="Times New Roman"/>
          <w:sz w:val="24"/>
          <w:szCs w:val="24"/>
        </w:rPr>
        <w:fldChar w:fldCharType="end"/>
      </w:r>
      <w:r w:rsidRPr="002F72D8">
        <w:rPr>
          <w:rFonts w:ascii="Times New Roman" w:hAnsi="Times New Roman" w:cs="Times New Roman"/>
          <w:sz w:val="24"/>
          <w:szCs w:val="24"/>
        </w:rPr>
        <w:t>, stk. 3</w:t>
      </w:r>
      <w:r w:rsidRPr="002F72D8">
        <w:rPr>
          <w:rFonts w:ascii="Times New Roman" w:hAnsi="Times New Roman" w:cs="Times New Roman"/>
          <w:sz w:val="24"/>
          <w:szCs w:val="24"/>
          <w:lang w:eastAsia="da-DK"/>
        </w:rPr>
        <w:t xml:space="preserve">, eller regler udstedt i medfør af </w:t>
      </w:r>
      <w:r w:rsidR="0057423A">
        <w:rPr>
          <w:rFonts w:ascii="Times New Roman" w:hAnsi="Times New Roman" w:cs="Times New Roman"/>
          <w:sz w:val="24"/>
          <w:szCs w:val="24"/>
          <w:lang w:eastAsia="da-DK"/>
        </w:rPr>
        <w:fldChar w:fldCharType="begin"/>
      </w:r>
      <w:r w:rsidR="0057423A">
        <w:rPr>
          <w:rFonts w:ascii="Times New Roman" w:hAnsi="Times New Roman" w:cs="Times New Roman"/>
          <w:sz w:val="24"/>
          <w:szCs w:val="24"/>
          <w:lang w:eastAsia="da-DK"/>
        </w:rPr>
        <w:instrText xml:space="preserve"> REF _Ref244803987 \n \h </w:instrText>
      </w:r>
      <w:r w:rsidR="0057423A">
        <w:rPr>
          <w:rFonts w:ascii="Times New Roman" w:hAnsi="Times New Roman" w:cs="Times New Roman"/>
          <w:sz w:val="24"/>
          <w:szCs w:val="24"/>
          <w:lang w:eastAsia="da-DK"/>
        </w:rPr>
      </w:r>
      <w:r w:rsidR="0057423A">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58</w:t>
      </w:r>
      <w:r w:rsidR="0057423A">
        <w:rPr>
          <w:rFonts w:ascii="Times New Roman" w:hAnsi="Times New Roman" w:cs="Times New Roman"/>
          <w:sz w:val="24"/>
          <w:szCs w:val="24"/>
          <w:lang w:eastAsia="da-DK"/>
        </w:rPr>
        <w:fldChar w:fldCharType="end"/>
      </w:r>
      <w:r w:rsidRPr="002F72D8">
        <w:rPr>
          <w:rFonts w:ascii="Times New Roman" w:hAnsi="Times New Roman" w:cs="Times New Roman"/>
          <w:sz w:val="24"/>
          <w:szCs w:val="24"/>
          <w:lang w:eastAsia="da-DK"/>
        </w:rPr>
        <w:t>.</w:t>
      </w:r>
      <w:bookmarkEnd w:id="498"/>
      <w:bookmarkEnd w:id="499"/>
      <w:bookmarkEnd w:id="500"/>
      <w:r w:rsidRPr="002F72D8">
        <w:rPr>
          <w:rFonts w:ascii="Times New Roman" w:hAnsi="Times New Roman" w:cs="Times New Roman"/>
          <w:sz w:val="24"/>
          <w:szCs w:val="24"/>
          <w:lang w:eastAsia="da-DK"/>
        </w:rPr>
        <w:t xml:space="preserve"> </w:t>
      </w:r>
    </w:p>
    <w:p w14:paraId="158E524B" w14:textId="208EF140" w:rsidR="002F72D8" w:rsidRPr="002F72D8" w:rsidRDefault="002F72D8" w:rsidP="002F72D8">
      <w:pPr>
        <w:spacing w:line="360" w:lineRule="auto"/>
        <w:ind w:firstLine="238"/>
        <w:rPr>
          <w:rFonts w:ascii="Times New Roman" w:eastAsia="Calibri" w:hAnsi="Times New Roman" w:cs="Times New Roman"/>
          <w:sz w:val="24"/>
          <w:szCs w:val="24"/>
        </w:rPr>
      </w:pPr>
      <w:r w:rsidRPr="002F72D8">
        <w:rPr>
          <w:rFonts w:ascii="Times New Roman" w:eastAsia="Calibri" w:hAnsi="Times New Roman" w:cs="Times New Roman"/>
          <w:bCs/>
          <w:i/>
          <w:iCs/>
          <w:sz w:val="24"/>
          <w:szCs w:val="24"/>
        </w:rPr>
        <w:t>Stk. 2</w:t>
      </w:r>
      <w:r w:rsidRPr="002F72D8">
        <w:rPr>
          <w:rFonts w:ascii="Times New Roman" w:eastAsia="Calibri" w:hAnsi="Times New Roman" w:cs="Times New Roman"/>
          <w:bCs/>
          <w:sz w:val="24"/>
          <w:szCs w:val="24"/>
        </w:rPr>
        <w:t>. Finanstilsynet kan som tvangsmiddel pålægge personer eller virksomheder, som nævnt i</w:t>
      </w:r>
      <w:r w:rsidRPr="002F72D8">
        <w:rPr>
          <w:rFonts w:ascii="Times New Roman" w:eastAsia="Calibri" w:hAnsi="Times New Roman" w:cs="Times New Roman"/>
          <w:sz w:val="24"/>
          <w:szCs w:val="24"/>
        </w:rPr>
        <w:t xml:space="preserve"> </w:t>
      </w:r>
      <w:r w:rsidR="00280073">
        <w:rPr>
          <w:rFonts w:ascii="Times New Roman" w:hAnsi="Times New Roman" w:cs="Times New Roman"/>
          <w:sz w:val="24"/>
          <w:szCs w:val="24"/>
          <w:lang w:eastAsia="da-DK"/>
        </w:rPr>
        <w:fldChar w:fldCharType="begin"/>
      </w:r>
      <w:r w:rsidR="00280073">
        <w:rPr>
          <w:rFonts w:ascii="Times New Roman" w:hAnsi="Times New Roman" w:cs="Times New Roman"/>
          <w:sz w:val="24"/>
          <w:szCs w:val="24"/>
          <w:lang w:eastAsia="da-DK"/>
        </w:rPr>
        <w:instrText xml:space="preserve"> REF _Ref232592818 \n \h </w:instrText>
      </w:r>
      <w:r w:rsidR="00280073">
        <w:rPr>
          <w:rFonts w:ascii="Times New Roman" w:hAnsi="Times New Roman" w:cs="Times New Roman"/>
          <w:sz w:val="24"/>
          <w:szCs w:val="24"/>
          <w:lang w:eastAsia="da-DK"/>
        </w:rPr>
      </w:r>
      <w:r w:rsidR="00280073">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280073">
        <w:rPr>
          <w:rFonts w:ascii="Times New Roman" w:hAnsi="Times New Roman" w:cs="Times New Roman"/>
          <w:sz w:val="24"/>
          <w:szCs w:val="24"/>
          <w:lang w:eastAsia="da-DK"/>
        </w:rPr>
        <w:fldChar w:fldCharType="end"/>
      </w:r>
      <w:r w:rsidRPr="002F72D8">
        <w:rPr>
          <w:rFonts w:ascii="Times New Roman" w:eastAsia="Calibri" w:hAnsi="Times New Roman" w:cs="Times New Roman"/>
          <w:bCs/>
          <w:sz w:val="24"/>
          <w:szCs w:val="24"/>
        </w:rPr>
        <w:t xml:space="preserve">, nr. 1-10, 12, 13 og 15-18, daglige eller ugentlige tvangsbøder, hvis de ikke i rette tid efterkommer et påbud meddelt i medfør af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bCs/>
          <w:sz w:val="24"/>
          <w:szCs w:val="24"/>
        </w:rPr>
        <w:instrText xml:space="preserve"> REF _Ref239151441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bCs/>
          <w:sz w:val="24"/>
          <w:szCs w:val="24"/>
        </w:rPr>
        <w:t>§ 63</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1,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_Ref243936799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1, eller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_Ref237008164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4. </w:t>
      </w:r>
    </w:p>
    <w:p w14:paraId="0FF7CBA9" w14:textId="1F735E4D" w:rsidR="002F72D8" w:rsidRPr="002F72D8" w:rsidRDefault="002F72D8" w:rsidP="002F72D8">
      <w:pPr>
        <w:spacing w:line="360" w:lineRule="auto"/>
        <w:ind w:firstLine="238"/>
        <w:rPr>
          <w:rFonts w:ascii="Times New Roman" w:eastAsia="Calibri" w:hAnsi="Times New Roman" w:cs="Times New Roman"/>
          <w:sz w:val="24"/>
          <w:szCs w:val="24"/>
        </w:rPr>
      </w:pPr>
      <w:r w:rsidRPr="002F72D8">
        <w:rPr>
          <w:rFonts w:ascii="Times New Roman" w:eastAsia="Calibri" w:hAnsi="Times New Roman" w:cs="Times New Roman"/>
          <w:i/>
          <w:iCs/>
          <w:sz w:val="24"/>
          <w:szCs w:val="24"/>
        </w:rPr>
        <w:t xml:space="preserve">Stk. 3. </w:t>
      </w:r>
      <w:r w:rsidRPr="002F72D8">
        <w:rPr>
          <w:rFonts w:ascii="Times New Roman" w:eastAsia="Calibri" w:hAnsi="Times New Roman" w:cs="Times New Roman"/>
          <w:bCs/>
          <w:sz w:val="24"/>
          <w:szCs w:val="24"/>
        </w:rPr>
        <w:t>Finanstilsynet kan som tvangsmiddel pålægge personer eller virksomheder, som nævnt i</w:t>
      </w:r>
      <w:r w:rsidRPr="002F72D8">
        <w:rPr>
          <w:rFonts w:ascii="Times New Roman" w:eastAsia="Calibri" w:hAnsi="Times New Roman" w:cs="Times New Roman"/>
          <w:sz w:val="24"/>
          <w:szCs w:val="24"/>
        </w:rPr>
        <w:t xml:space="preserve"> </w:t>
      </w:r>
      <w:r w:rsidR="00280073">
        <w:rPr>
          <w:rFonts w:ascii="Times New Roman" w:hAnsi="Times New Roman" w:cs="Times New Roman"/>
          <w:sz w:val="24"/>
          <w:szCs w:val="24"/>
          <w:lang w:eastAsia="da-DK"/>
        </w:rPr>
        <w:fldChar w:fldCharType="begin"/>
      </w:r>
      <w:r w:rsidR="00280073">
        <w:rPr>
          <w:rFonts w:ascii="Times New Roman" w:hAnsi="Times New Roman" w:cs="Times New Roman"/>
          <w:sz w:val="24"/>
          <w:szCs w:val="24"/>
        </w:rPr>
        <w:instrText xml:space="preserve"> REF _Ref232583170 \n \h </w:instrText>
      </w:r>
      <w:r w:rsidR="00280073">
        <w:rPr>
          <w:rFonts w:ascii="Times New Roman" w:hAnsi="Times New Roman" w:cs="Times New Roman"/>
          <w:sz w:val="24"/>
          <w:szCs w:val="24"/>
          <w:lang w:eastAsia="da-DK"/>
        </w:rPr>
      </w:r>
      <w:r w:rsidR="00280073">
        <w:rPr>
          <w:rFonts w:ascii="Times New Roman" w:hAnsi="Times New Roman" w:cs="Times New Roman"/>
          <w:sz w:val="24"/>
          <w:szCs w:val="24"/>
          <w:lang w:eastAsia="da-DK"/>
        </w:rPr>
        <w:fldChar w:fldCharType="separate"/>
      </w:r>
      <w:r w:rsidR="008F29E5">
        <w:rPr>
          <w:rFonts w:ascii="Times New Roman" w:hAnsi="Times New Roman" w:cs="Times New Roman"/>
          <w:sz w:val="24"/>
          <w:szCs w:val="24"/>
        </w:rPr>
        <w:t>§ 1</w:t>
      </w:r>
      <w:r w:rsidR="00280073">
        <w:rPr>
          <w:rFonts w:ascii="Times New Roman" w:hAnsi="Times New Roman" w:cs="Times New Roman"/>
          <w:sz w:val="24"/>
          <w:szCs w:val="24"/>
          <w:lang w:eastAsia="da-DK"/>
        </w:rPr>
        <w:fldChar w:fldCharType="end"/>
      </w:r>
      <w:r w:rsidR="00280073">
        <w:rPr>
          <w:rFonts w:ascii="Times New Roman" w:hAnsi="Times New Roman" w:cs="Times New Roman"/>
          <w:sz w:val="24"/>
          <w:szCs w:val="24"/>
          <w:lang w:eastAsia="da-DK"/>
        </w:rPr>
        <w:t xml:space="preserve">, </w:t>
      </w:r>
      <w:r w:rsidRPr="002F72D8">
        <w:rPr>
          <w:rFonts w:ascii="Times New Roman" w:eastAsia="Calibri" w:hAnsi="Times New Roman" w:cs="Times New Roman"/>
          <w:sz w:val="24"/>
          <w:szCs w:val="24"/>
        </w:rPr>
        <w:t xml:space="preserve">stk. 2, nr. 1-3, </w:t>
      </w:r>
      <w:r w:rsidRPr="002F72D8">
        <w:rPr>
          <w:rFonts w:ascii="Times New Roman" w:eastAsia="Calibri" w:hAnsi="Times New Roman" w:cs="Times New Roman"/>
          <w:bCs/>
          <w:sz w:val="24"/>
          <w:szCs w:val="24"/>
        </w:rPr>
        <w:t xml:space="preserve">daglige eller ugentlige tvangsbøder, hvis de ikke i rette tid efterkommer et påbud meddelt i medfør af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bCs/>
          <w:sz w:val="24"/>
          <w:szCs w:val="24"/>
        </w:rPr>
        <w:instrText xml:space="preserve"> REF _Ref239151441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bCs/>
          <w:sz w:val="24"/>
          <w:szCs w:val="24"/>
        </w:rPr>
        <w:t>§ 63</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1, </w:t>
      </w:r>
      <w:r w:rsidRPr="002F72D8">
        <w:rPr>
          <w:rFonts w:ascii="Times New Roman" w:eastAsia="Calibri" w:hAnsi="Times New Roman" w:cs="Times New Roman"/>
          <w:bCs/>
          <w:sz w:val="24"/>
          <w:szCs w:val="24"/>
        </w:rPr>
        <w:t xml:space="preserve">eller </w:t>
      </w:r>
      <w:r w:rsidR="00280073">
        <w:rPr>
          <w:rFonts w:ascii="Times New Roman" w:eastAsia="Calibri" w:hAnsi="Times New Roman" w:cs="Times New Roman"/>
          <w:bCs/>
          <w:sz w:val="24"/>
          <w:szCs w:val="24"/>
        </w:rPr>
        <w:fldChar w:fldCharType="begin"/>
      </w:r>
      <w:r w:rsidR="00280073">
        <w:rPr>
          <w:rFonts w:ascii="Times New Roman" w:eastAsia="Calibri" w:hAnsi="Times New Roman" w:cs="Times New Roman"/>
          <w:bCs/>
          <w:sz w:val="24"/>
          <w:szCs w:val="24"/>
        </w:rPr>
        <w:instrText xml:space="preserve"> REF _Ref243936799 \n \h </w:instrText>
      </w:r>
      <w:r w:rsidR="00280073">
        <w:rPr>
          <w:rFonts w:ascii="Times New Roman" w:eastAsia="Calibri" w:hAnsi="Times New Roman" w:cs="Times New Roman"/>
          <w:bCs/>
          <w:sz w:val="24"/>
          <w:szCs w:val="24"/>
        </w:rPr>
      </w:r>
      <w:r w:rsidR="00280073">
        <w:rPr>
          <w:rFonts w:ascii="Times New Roman" w:eastAsia="Calibri" w:hAnsi="Times New Roman" w:cs="Times New Roman"/>
          <w:bCs/>
          <w:sz w:val="24"/>
          <w:szCs w:val="24"/>
        </w:rPr>
        <w:fldChar w:fldCharType="separate"/>
      </w:r>
      <w:r w:rsidR="008F29E5">
        <w:rPr>
          <w:rFonts w:ascii="Times New Roman" w:eastAsia="Calibri" w:hAnsi="Times New Roman" w:cs="Times New Roman"/>
          <w:bCs/>
          <w:sz w:val="24"/>
          <w:szCs w:val="24"/>
        </w:rPr>
        <w:t>§ 64</w:t>
      </w:r>
      <w:r w:rsidR="00280073">
        <w:rPr>
          <w:rFonts w:ascii="Times New Roman" w:eastAsia="Calibri" w:hAnsi="Times New Roman" w:cs="Times New Roman"/>
          <w:bCs/>
          <w:sz w:val="24"/>
          <w:szCs w:val="24"/>
        </w:rPr>
        <w:fldChar w:fldCharType="end"/>
      </w:r>
      <w:r w:rsidRPr="002F72D8">
        <w:rPr>
          <w:rFonts w:ascii="Times New Roman" w:eastAsia="Calibri" w:hAnsi="Times New Roman" w:cs="Times New Roman"/>
          <w:sz w:val="24"/>
          <w:szCs w:val="24"/>
        </w:rPr>
        <w:t xml:space="preserve">, stk. 1. </w:t>
      </w:r>
    </w:p>
    <w:p w14:paraId="304CBFA7" w14:textId="57490641" w:rsidR="002F72D8" w:rsidRPr="002F72D8" w:rsidRDefault="002F72D8" w:rsidP="002F72D8">
      <w:pPr>
        <w:spacing w:line="360" w:lineRule="auto"/>
        <w:ind w:firstLine="238"/>
        <w:rPr>
          <w:rFonts w:ascii="Times New Roman" w:eastAsia="Calibri" w:hAnsi="Times New Roman" w:cs="Times New Roman"/>
          <w:bCs/>
          <w:sz w:val="24"/>
          <w:szCs w:val="24"/>
        </w:rPr>
      </w:pPr>
      <w:r w:rsidRPr="002F72D8">
        <w:rPr>
          <w:rFonts w:ascii="Times New Roman" w:eastAsia="Calibri" w:hAnsi="Times New Roman" w:cs="Times New Roman"/>
          <w:bCs/>
          <w:i/>
          <w:iCs/>
          <w:sz w:val="24"/>
          <w:szCs w:val="24"/>
        </w:rPr>
        <w:t xml:space="preserve">Stk. 4. </w:t>
      </w:r>
      <w:r w:rsidRPr="002F72D8">
        <w:rPr>
          <w:rFonts w:ascii="Times New Roman" w:eastAsia="Calibri" w:hAnsi="Times New Roman" w:cs="Times New Roman"/>
          <w:bCs/>
          <w:sz w:val="24"/>
          <w:szCs w:val="24"/>
        </w:rPr>
        <w:t>Finanstilsynet kan som tvangsmiddel pålægge personer eller virksomheder, som nævnt i</w:t>
      </w:r>
      <w:r w:rsidRPr="002F72D8">
        <w:rPr>
          <w:rFonts w:ascii="Times New Roman" w:eastAsia="Calibri" w:hAnsi="Times New Roman" w:cs="Times New Roman"/>
          <w:sz w:val="24"/>
          <w:szCs w:val="24"/>
        </w:rPr>
        <w:t xml:space="preserve"> </w:t>
      </w:r>
      <w:r w:rsidR="00280073">
        <w:rPr>
          <w:rFonts w:ascii="Times New Roman" w:hAnsi="Times New Roman" w:cs="Times New Roman"/>
          <w:sz w:val="24"/>
          <w:szCs w:val="24"/>
          <w:lang w:eastAsia="da-DK"/>
        </w:rPr>
        <w:fldChar w:fldCharType="begin"/>
      </w:r>
      <w:r w:rsidR="00280073">
        <w:rPr>
          <w:rFonts w:ascii="Times New Roman" w:hAnsi="Times New Roman" w:cs="Times New Roman"/>
          <w:sz w:val="24"/>
          <w:szCs w:val="24"/>
          <w:lang w:eastAsia="da-DK"/>
        </w:rPr>
        <w:instrText xml:space="preserve"> REF _Ref232592818 \n \h </w:instrText>
      </w:r>
      <w:r w:rsidR="00280073">
        <w:rPr>
          <w:rFonts w:ascii="Times New Roman" w:hAnsi="Times New Roman" w:cs="Times New Roman"/>
          <w:sz w:val="24"/>
          <w:szCs w:val="24"/>
          <w:lang w:eastAsia="da-DK"/>
        </w:rPr>
      </w:r>
      <w:r w:rsidR="00280073">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280073">
        <w:rPr>
          <w:rFonts w:ascii="Times New Roman" w:hAnsi="Times New Roman" w:cs="Times New Roman"/>
          <w:sz w:val="24"/>
          <w:szCs w:val="24"/>
          <w:lang w:eastAsia="da-DK"/>
        </w:rPr>
        <w:fldChar w:fldCharType="end"/>
      </w:r>
      <w:r w:rsidRPr="002F72D8">
        <w:rPr>
          <w:rFonts w:ascii="Times New Roman" w:eastAsia="Calibri" w:hAnsi="Times New Roman" w:cs="Times New Roman"/>
          <w:sz w:val="24"/>
          <w:szCs w:val="24"/>
        </w:rPr>
        <w:t xml:space="preserve">, nr. 11, 14 og 19, </w:t>
      </w:r>
      <w:r w:rsidRPr="002F72D8">
        <w:rPr>
          <w:rFonts w:ascii="Times New Roman" w:eastAsia="Calibri" w:hAnsi="Times New Roman" w:cs="Times New Roman"/>
          <w:bCs/>
          <w:sz w:val="24"/>
          <w:szCs w:val="24"/>
        </w:rPr>
        <w:t xml:space="preserve">daglige eller ugentlige tvangsbøder, hvis de ikke i rette tid efterkommer et påbud meddelt i medfør af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bCs/>
          <w:sz w:val="24"/>
          <w:szCs w:val="24"/>
        </w:rPr>
        <w:instrText xml:space="preserve"> REF _Ref239151441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bCs/>
          <w:sz w:val="24"/>
          <w:szCs w:val="24"/>
        </w:rPr>
        <w:t>§ 63</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1,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_Ref243936799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1,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_Ref237008164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1, 1. pkt.,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_Ref237008164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4, eller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_Ref239151453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66</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stk. 2, 2. pkt.</w:t>
      </w:r>
      <w:r w:rsidRPr="002F72D8">
        <w:rPr>
          <w:rFonts w:ascii="Times New Roman" w:eastAsia="Calibri" w:hAnsi="Times New Roman" w:cs="Times New Roman"/>
          <w:bCs/>
          <w:sz w:val="24"/>
          <w:szCs w:val="24"/>
        </w:rPr>
        <w:t xml:space="preserve"> Finanstilsynet kan endvidere som tvangsmiddel pålægge personer eller virksomheder, som nævnt i</w:t>
      </w:r>
      <w:r w:rsidRPr="002F72D8">
        <w:rPr>
          <w:rFonts w:ascii="Times New Roman" w:eastAsia="Calibri" w:hAnsi="Times New Roman" w:cs="Times New Roman"/>
          <w:sz w:val="24"/>
          <w:szCs w:val="24"/>
        </w:rPr>
        <w:t xml:space="preserve"> </w:t>
      </w:r>
      <w:r w:rsidR="00280073">
        <w:rPr>
          <w:rFonts w:ascii="Times New Roman" w:hAnsi="Times New Roman" w:cs="Times New Roman"/>
          <w:sz w:val="24"/>
          <w:szCs w:val="24"/>
          <w:lang w:eastAsia="da-DK"/>
        </w:rPr>
        <w:fldChar w:fldCharType="begin"/>
      </w:r>
      <w:r w:rsidR="00280073">
        <w:rPr>
          <w:rFonts w:ascii="Times New Roman" w:hAnsi="Times New Roman" w:cs="Times New Roman"/>
          <w:sz w:val="24"/>
          <w:szCs w:val="24"/>
          <w:lang w:eastAsia="da-DK"/>
        </w:rPr>
        <w:instrText xml:space="preserve"> REF _Ref232592818 \n \h </w:instrText>
      </w:r>
      <w:r w:rsidR="00280073">
        <w:rPr>
          <w:rFonts w:ascii="Times New Roman" w:hAnsi="Times New Roman" w:cs="Times New Roman"/>
          <w:sz w:val="24"/>
          <w:szCs w:val="24"/>
          <w:lang w:eastAsia="da-DK"/>
        </w:rPr>
      </w:r>
      <w:r w:rsidR="00280073">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280073">
        <w:rPr>
          <w:rFonts w:ascii="Times New Roman" w:hAnsi="Times New Roman" w:cs="Times New Roman"/>
          <w:sz w:val="24"/>
          <w:szCs w:val="24"/>
          <w:lang w:eastAsia="da-DK"/>
        </w:rPr>
        <w:fldChar w:fldCharType="end"/>
      </w:r>
      <w:r w:rsidRPr="002F72D8">
        <w:rPr>
          <w:rFonts w:ascii="Times New Roman" w:eastAsia="Calibri" w:hAnsi="Times New Roman" w:cs="Times New Roman"/>
          <w:sz w:val="24"/>
          <w:szCs w:val="24"/>
        </w:rPr>
        <w:t>, nr. 11 og 19</w:t>
      </w:r>
      <w:r w:rsidRPr="002F72D8">
        <w:rPr>
          <w:rFonts w:ascii="Times New Roman" w:hAnsi="Times New Roman" w:cs="Times New Roman"/>
          <w:sz w:val="24"/>
          <w:szCs w:val="24"/>
        </w:rPr>
        <w:t xml:space="preserve">, </w:t>
      </w:r>
      <w:r w:rsidRPr="002F72D8">
        <w:rPr>
          <w:rFonts w:ascii="Times New Roman" w:eastAsia="Calibri" w:hAnsi="Times New Roman" w:cs="Times New Roman"/>
          <w:sz w:val="24"/>
          <w:szCs w:val="24"/>
        </w:rPr>
        <w:t xml:space="preserve">daglige eller ugentlige tvangsbøder, hvis de ikke i rette tid efterkommer et påbud meddelt i medfør af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_Ref237008164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stk. 2, 1. pkt., eller stk. 3, 1. pkt.</w:t>
      </w:r>
    </w:p>
    <w:p w14:paraId="0B61386C" w14:textId="5B64D213" w:rsidR="002F72D8" w:rsidRPr="002F72D8" w:rsidRDefault="002F72D8" w:rsidP="002F72D8">
      <w:pPr>
        <w:spacing w:line="360" w:lineRule="auto"/>
        <w:ind w:firstLine="238"/>
        <w:rPr>
          <w:rFonts w:ascii="Times New Roman" w:eastAsia="Calibri" w:hAnsi="Times New Roman" w:cs="Times New Roman"/>
          <w:sz w:val="24"/>
          <w:szCs w:val="24"/>
        </w:rPr>
      </w:pPr>
      <w:r w:rsidRPr="002F72D8">
        <w:rPr>
          <w:rFonts w:ascii="Times New Roman" w:eastAsia="Calibri" w:hAnsi="Times New Roman" w:cs="Times New Roman"/>
          <w:bCs/>
          <w:i/>
          <w:iCs/>
          <w:sz w:val="24"/>
          <w:szCs w:val="24"/>
        </w:rPr>
        <w:t xml:space="preserve">Stk. 5. </w:t>
      </w:r>
      <w:r w:rsidRPr="002F72D8">
        <w:rPr>
          <w:rFonts w:ascii="Times New Roman" w:eastAsia="Calibri" w:hAnsi="Times New Roman" w:cs="Times New Roman"/>
          <w:bCs/>
          <w:sz w:val="24"/>
          <w:szCs w:val="24"/>
        </w:rPr>
        <w:t>Finanstilsynet kan som tvangsmiddel pålægge personer eller virksomheder, som nævnt i</w:t>
      </w:r>
      <w:r w:rsidRPr="002F72D8">
        <w:rPr>
          <w:rFonts w:ascii="Times New Roman" w:eastAsia="Calibri" w:hAnsi="Times New Roman" w:cs="Times New Roman"/>
          <w:sz w:val="24"/>
          <w:szCs w:val="24"/>
        </w:rPr>
        <w:t xml:space="preserve"> </w:t>
      </w:r>
      <w:r w:rsidR="00280073">
        <w:rPr>
          <w:rFonts w:ascii="Times New Roman" w:hAnsi="Times New Roman" w:cs="Times New Roman"/>
          <w:sz w:val="24"/>
          <w:szCs w:val="24"/>
          <w:lang w:eastAsia="da-DK"/>
        </w:rPr>
        <w:fldChar w:fldCharType="begin"/>
      </w:r>
      <w:r w:rsidR="00280073">
        <w:rPr>
          <w:rFonts w:ascii="Times New Roman" w:hAnsi="Times New Roman" w:cs="Times New Roman"/>
          <w:sz w:val="24"/>
          <w:szCs w:val="24"/>
          <w:lang w:eastAsia="da-DK"/>
        </w:rPr>
        <w:instrText xml:space="preserve"> REF _Ref232592818 \n \h </w:instrText>
      </w:r>
      <w:r w:rsidR="00280073">
        <w:rPr>
          <w:rFonts w:ascii="Times New Roman" w:hAnsi="Times New Roman" w:cs="Times New Roman"/>
          <w:sz w:val="24"/>
          <w:szCs w:val="24"/>
          <w:lang w:eastAsia="da-DK"/>
        </w:rPr>
      </w:r>
      <w:r w:rsidR="00280073">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280073">
        <w:rPr>
          <w:rFonts w:ascii="Times New Roman" w:hAnsi="Times New Roman" w:cs="Times New Roman"/>
          <w:sz w:val="24"/>
          <w:szCs w:val="24"/>
          <w:lang w:eastAsia="da-DK"/>
        </w:rPr>
        <w:fldChar w:fldCharType="end"/>
      </w:r>
      <w:r w:rsidRPr="002F72D8">
        <w:rPr>
          <w:rFonts w:ascii="Times New Roman" w:eastAsia="Calibri" w:hAnsi="Times New Roman" w:cs="Times New Roman"/>
          <w:sz w:val="24"/>
          <w:szCs w:val="24"/>
        </w:rPr>
        <w:t xml:space="preserve">, nr. 32, litra a, </w:t>
      </w:r>
      <w:r w:rsidRPr="002F72D8">
        <w:rPr>
          <w:rFonts w:ascii="Times New Roman" w:eastAsia="Calibri" w:hAnsi="Times New Roman" w:cs="Times New Roman"/>
          <w:bCs/>
          <w:sz w:val="24"/>
          <w:szCs w:val="24"/>
        </w:rPr>
        <w:t xml:space="preserve">daglige eller ugentlige tvangsbøder, hvis de ikke i rette tid efterkommer et påbud meddelt i medfør af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bCs/>
          <w:sz w:val="24"/>
          <w:szCs w:val="24"/>
        </w:rPr>
        <w:instrText xml:space="preserve"> REF _Ref239151441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bCs/>
          <w:sz w:val="24"/>
          <w:szCs w:val="24"/>
        </w:rPr>
        <w:t>§ 63</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1,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_Ref243936799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280073">
        <w:rPr>
          <w:rFonts w:ascii="Times New Roman" w:eastAsia="Calibri" w:hAnsi="Times New Roman" w:cs="Times New Roman"/>
          <w:sz w:val="24"/>
          <w:szCs w:val="24"/>
        </w:rPr>
        <w:fldChar w:fldCharType="end"/>
      </w:r>
      <w:r w:rsidR="00280073">
        <w:rPr>
          <w:rFonts w:ascii="Times New Roman" w:eastAsia="Calibri" w:hAnsi="Times New Roman" w:cs="Times New Roman"/>
          <w:sz w:val="24"/>
          <w:szCs w:val="24"/>
        </w:rPr>
        <w:t xml:space="preserve">, </w:t>
      </w:r>
      <w:r w:rsidRPr="002F72D8">
        <w:rPr>
          <w:rFonts w:ascii="Times New Roman" w:eastAsia="Calibri" w:hAnsi="Times New Roman" w:cs="Times New Roman"/>
          <w:sz w:val="24"/>
          <w:szCs w:val="24"/>
        </w:rPr>
        <w:t xml:space="preserve">stk. 1,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_Ref237008164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stk. 1, 1. pkt., eller stk. 4.</w:t>
      </w:r>
    </w:p>
    <w:p w14:paraId="2BBE370A" w14:textId="0379967C" w:rsidR="002F72D8" w:rsidRPr="002F72D8" w:rsidRDefault="002F72D8" w:rsidP="002F72D8">
      <w:pPr>
        <w:spacing w:line="360" w:lineRule="auto"/>
        <w:ind w:firstLine="238"/>
        <w:rPr>
          <w:rFonts w:ascii="Times New Roman" w:eastAsia="Calibri" w:hAnsi="Times New Roman" w:cs="Times New Roman"/>
          <w:bCs/>
          <w:sz w:val="24"/>
          <w:szCs w:val="24"/>
        </w:rPr>
      </w:pPr>
      <w:r w:rsidRPr="002F72D8">
        <w:rPr>
          <w:rFonts w:ascii="Times New Roman" w:eastAsia="Calibri" w:hAnsi="Times New Roman" w:cs="Times New Roman"/>
          <w:bCs/>
          <w:i/>
          <w:iCs/>
          <w:sz w:val="24"/>
          <w:szCs w:val="24"/>
        </w:rPr>
        <w:t xml:space="preserve">Stk. 6. </w:t>
      </w:r>
      <w:r w:rsidRPr="002F72D8">
        <w:rPr>
          <w:rFonts w:ascii="Times New Roman" w:eastAsia="Calibri" w:hAnsi="Times New Roman" w:cs="Times New Roman"/>
          <w:bCs/>
          <w:sz w:val="24"/>
          <w:szCs w:val="24"/>
        </w:rPr>
        <w:t xml:space="preserve">Finanstilsynet kan som tvangsmiddel pålægge fysiske personer, daglige eller ugentlige tvangsbøder, hvis de ikke i rette tid efterkommer et påbud meddelt i medfør af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bCs/>
          <w:sz w:val="24"/>
          <w:szCs w:val="24"/>
        </w:rPr>
        <w:instrText xml:space="preserve"> REF _Ref237008164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bCs/>
          <w:sz w:val="24"/>
          <w:szCs w:val="24"/>
        </w:rPr>
        <w:t>§ 65</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xml:space="preserve">, stk. 1, 2. pkt., stk. 2, 2. pkt., stk. 3, 2. pkt., eller </w:t>
      </w:r>
      <w:r w:rsidR="00280073">
        <w:rPr>
          <w:rFonts w:ascii="Times New Roman" w:eastAsia="Calibri" w:hAnsi="Times New Roman" w:cs="Times New Roman"/>
          <w:sz w:val="24"/>
          <w:szCs w:val="24"/>
        </w:rPr>
        <w:fldChar w:fldCharType="begin"/>
      </w:r>
      <w:r w:rsidR="00280073">
        <w:rPr>
          <w:rFonts w:ascii="Times New Roman" w:eastAsia="Calibri" w:hAnsi="Times New Roman" w:cs="Times New Roman"/>
          <w:sz w:val="24"/>
          <w:szCs w:val="24"/>
        </w:rPr>
        <w:instrText xml:space="preserve"> REF _Ref239151453 \n \h </w:instrText>
      </w:r>
      <w:r w:rsidR="00280073">
        <w:rPr>
          <w:rFonts w:ascii="Times New Roman" w:eastAsia="Calibri" w:hAnsi="Times New Roman" w:cs="Times New Roman"/>
          <w:sz w:val="24"/>
          <w:szCs w:val="24"/>
        </w:rPr>
      </w:r>
      <w:r w:rsidR="0028007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66</w:t>
      </w:r>
      <w:r w:rsidR="00280073">
        <w:rPr>
          <w:rFonts w:ascii="Times New Roman" w:eastAsia="Calibri" w:hAnsi="Times New Roman" w:cs="Times New Roman"/>
          <w:sz w:val="24"/>
          <w:szCs w:val="24"/>
        </w:rPr>
        <w:fldChar w:fldCharType="end"/>
      </w:r>
      <w:r w:rsidRPr="002F72D8">
        <w:rPr>
          <w:rFonts w:ascii="Times New Roman" w:eastAsia="Calibri" w:hAnsi="Times New Roman" w:cs="Times New Roman"/>
          <w:sz w:val="24"/>
          <w:szCs w:val="24"/>
        </w:rPr>
        <w:t>, stk. 1.</w:t>
      </w:r>
    </w:p>
    <w:p w14:paraId="3B525020" w14:textId="77777777" w:rsidR="002F72D8" w:rsidRPr="002F72D8" w:rsidRDefault="002F72D8" w:rsidP="002F72D8">
      <w:pPr>
        <w:spacing w:line="360" w:lineRule="auto"/>
        <w:ind w:firstLine="238"/>
        <w:rPr>
          <w:rFonts w:ascii="Times New Roman" w:eastAsia="Calibri" w:hAnsi="Times New Roman" w:cs="Times New Roman"/>
          <w:bCs/>
          <w:sz w:val="24"/>
          <w:szCs w:val="24"/>
        </w:rPr>
      </w:pPr>
      <w:r w:rsidRPr="002F72D8">
        <w:rPr>
          <w:rFonts w:ascii="Times New Roman" w:eastAsia="Calibri" w:hAnsi="Times New Roman" w:cs="Times New Roman"/>
          <w:bCs/>
          <w:i/>
          <w:iCs/>
          <w:sz w:val="24"/>
          <w:szCs w:val="24"/>
        </w:rPr>
        <w:t>Stk. 7.</w:t>
      </w:r>
      <w:r w:rsidRPr="002F72D8">
        <w:rPr>
          <w:rFonts w:ascii="Times New Roman" w:eastAsia="Calibri" w:hAnsi="Times New Roman" w:cs="Times New Roman"/>
          <w:bCs/>
          <w:sz w:val="24"/>
          <w:szCs w:val="24"/>
        </w:rPr>
        <w:t xml:space="preserve"> </w:t>
      </w:r>
      <w:bookmarkStart w:id="501" w:name="_Hlk219725842"/>
      <w:r w:rsidRPr="002F72D8">
        <w:rPr>
          <w:rFonts w:ascii="Times New Roman" w:eastAsia="Calibri" w:hAnsi="Times New Roman" w:cs="Times New Roman"/>
          <w:bCs/>
          <w:sz w:val="24"/>
          <w:szCs w:val="24"/>
        </w:rPr>
        <w:t>Daglige tvangsbøder må for virksomheder ikke overstige 3 pct. af virksomhedens gennemsnitlige daglige omsætning i det foregående regnskabsår, og for personer 2 pct. af personens gennemsnitlige daglige indtægt i det foregående kalenderår.</w:t>
      </w:r>
      <w:bookmarkEnd w:id="501"/>
      <w:r w:rsidRPr="002F72D8">
        <w:rPr>
          <w:rFonts w:ascii="Times New Roman" w:eastAsia="Calibri" w:hAnsi="Times New Roman" w:cs="Times New Roman"/>
          <w:bCs/>
          <w:sz w:val="24"/>
          <w:szCs w:val="24"/>
        </w:rPr>
        <w:t xml:space="preserve"> </w:t>
      </w:r>
    </w:p>
    <w:p w14:paraId="5FD8BF21" w14:textId="77777777" w:rsidR="002F72D8" w:rsidRPr="002F72D8" w:rsidRDefault="002F72D8" w:rsidP="002F72D8">
      <w:pPr>
        <w:spacing w:line="360" w:lineRule="auto"/>
        <w:ind w:firstLine="238"/>
        <w:rPr>
          <w:rFonts w:ascii="Times New Roman" w:eastAsia="Calibri" w:hAnsi="Times New Roman" w:cs="Times New Roman"/>
          <w:bCs/>
          <w:sz w:val="24"/>
          <w:szCs w:val="24"/>
        </w:rPr>
      </w:pPr>
      <w:r w:rsidRPr="002F72D8">
        <w:rPr>
          <w:rFonts w:ascii="Times New Roman" w:eastAsia="Calibri" w:hAnsi="Times New Roman" w:cs="Times New Roman"/>
          <w:bCs/>
          <w:i/>
          <w:iCs/>
          <w:sz w:val="24"/>
          <w:szCs w:val="24"/>
        </w:rPr>
        <w:t>Stk. 8.</w:t>
      </w:r>
      <w:r w:rsidRPr="002F72D8">
        <w:rPr>
          <w:rFonts w:ascii="Times New Roman" w:eastAsia="Calibri" w:hAnsi="Times New Roman" w:cs="Times New Roman"/>
          <w:bCs/>
          <w:sz w:val="24"/>
          <w:szCs w:val="24"/>
        </w:rPr>
        <w:t xml:space="preserve"> De i stk. 1-6 nævnte daglige eller ugentlige tvangsbøder må kun pålægges i en periode på højst 6 måneder efter meddelelse af Finanstilsynets afgørelse om daglige eller ugentlige tvangsbøder, dog kan Finanstilsynet pålægge daglige eller ugentlige tvangsbøder i en yderligere periode på højst 6 måneder, hvis personen eller virksomheden ved udløbet af de første 6 måneder endnu ikke har efterkommet påbuddet.</w:t>
      </w:r>
    </w:p>
    <w:p w14:paraId="19293739" w14:textId="77777777" w:rsidR="002F72D8" w:rsidRPr="002F72D8" w:rsidRDefault="002F72D8" w:rsidP="002F72D8">
      <w:pPr>
        <w:spacing w:line="360" w:lineRule="auto"/>
        <w:ind w:firstLine="238"/>
        <w:rPr>
          <w:rFonts w:ascii="Times New Roman" w:eastAsia="Calibri" w:hAnsi="Times New Roman" w:cs="Times New Roman"/>
          <w:bCs/>
          <w:sz w:val="24"/>
          <w:szCs w:val="24"/>
        </w:rPr>
      </w:pPr>
      <w:r w:rsidRPr="002F72D8">
        <w:rPr>
          <w:rFonts w:ascii="Times New Roman" w:eastAsia="Calibri" w:hAnsi="Times New Roman" w:cs="Times New Roman"/>
          <w:bCs/>
          <w:i/>
          <w:iCs/>
          <w:sz w:val="24"/>
          <w:szCs w:val="24"/>
        </w:rPr>
        <w:t xml:space="preserve">Stk. 9. </w:t>
      </w:r>
      <w:r w:rsidRPr="002F72D8">
        <w:rPr>
          <w:rFonts w:ascii="Times New Roman" w:eastAsia="Calibri" w:hAnsi="Times New Roman" w:cs="Times New Roman"/>
          <w:bCs/>
          <w:sz w:val="24"/>
          <w:szCs w:val="24"/>
        </w:rPr>
        <w:t>Finanstilsynet skal ved vurderingen af, hvilket beløb der skal lægges til grund for beregningen af tvangsbøden tage hensyn til de faktorer, der er fastsat i regler udstedt i medfør af artikel 49 i AMLA-forordningen, jf. hvidvaskdirektivets artikel 53, stk. 10.</w:t>
      </w:r>
    </w:p>
    <w:p w14:paraId="5D383E34" w14:textId="0F2F0EB1" w:rsidR="002F72D8" w:rsidRPr="002F72D8" w:rsidRDefault="002F72D8" w:rsidP="002F72D8">
      <w:pPr>
        <w:spacing w:line="360" w:lineRule="auto"/>
        <w:ind w:firstLine="238"/>
        <w:rPr>
          <w:rFonts w:ascii="Times New Roman" w:eastAsia="Calibri" w:hAnsi="Times New Roman" w:cs="Times New Roman"/>
          <w:bCs/>
          <w:i/>
          <w:iCs/>
          <w:sz w:val="24"/>
          <w:szCs w:val="24"/>
        </w:rPr>
      </w:pPr>
      <w:r w:rsidRPr="002F72D8">
        <w:rPr>
          <w:rFonts w:ascii="Times New Roman" w:eastAsia="Calibri" w:hAnsi="Times New Roman" w:cs="Times New Roman"/>
          <w:bCs/>
          <w:i/>
          <w:iCs/>
          <w:sz w:val="24"/>
          <w:szCs w:val="24"/>
        </w:rPr>
        <w:t xml:space="preserve">Stk. 10. </w:t>
      </w:r>
      <w:r w:rsidRPr="002F72D8">
        <w:rPr>
          <w:rFonts w:ascii="Times New Roman" w:eastAsia="Calibri" w:hAnsi="Times New Roman" w:cs="Times New Roman"/>
          <w:bCs/>
          <w:sz w:val="24"/>
          <w:szCs w:val="24"/>
        </w:rPr>
        <w:t xml:space="preserve">Der kan i forbindelse med skatte- og vækstministerens udstedelse af regler efter </w:t>
      </w:r>
      <w:r w:rsidR="00280073">
        <w:rPr>
          <w:rFonts w:ascii="Times New Roman" w:eastAsia="Calibri" w:hAnsi="Times New Roman" w:cs="Times New Roman"/>
          <w:bCs/>
          <w:sz w:val="24"/>
          <w:szCs w:val="24"/>
        </w:rPr>
        <w:fldChar w:fldCharType="begin"/>
      </w:r>
      <w:r w:rsidR="00280073">
        <w:rPr>
          <w:rFonts w:ascii="Times New Roman" w:eastAsia="Calibri" w:hAnsi="Times New Roman" w:cs="Times New Roman"/>
          <w:bCs/>
          <w:sz w:val="24"/>
          <w:szCs w:val="24"/>
        </w:rPr>
        <w:instrText xml:space="preserve"> REF _Ref232595479 \n \h </w:instrText>
      </w:r>
      <w:r w:rsidR="00280073">
        <w:rPr>
          <w:rFonts w:ascii="Times New Roman" w:eastAsia="Calibri" w:hAnsi="Times New Roman" w:cs="Times New Roman"/>
          <w:bCs/>
          <w:sz w:val="24"/>
          <w:szCs w:val="24"/>
        </w:rPr>
      </w:r>
      <w:r w:rsidR="00280073">
        <w:rPr>
          <w:rFonts w:ascii="Times New Roman" w:eastAsia="Calibri" w:hAnsi="Times New Roman" w:cs="Times New Roman"/>
          <w:bCs/>
          <w:sz w:val="24"/>
          <w:szCs w:val="24"/>
        </w:rPr>
        <w:fldChar w:fldCharType="separate"/>
      </w:r>
      <w:r w:rsidR="008F29E5">
        <w:rPr>
          <w:rFonts w:ascii="Times New Roman" w:eastAsia="Calibri" w:hAnsi="Times New Roman" w:cs="Times New Roman"/>
          <w:bCs/>
          <w:sz w:val="24"/>
          <w:szCs w:val="24"/>
        </w:rPr>
        <w:t>§ 8</w:t>
      </w:r>
      <w:r w:rsidR="00280073">
        <w:rPr>
          <w:rFonts w:ascii="Times New Roman" w:eastAsia="Calibri" w:hAnsi="Times New Roman" w:cs="Times New Roman"/>
          <w:bCs/>
          <w:sz w:val="24"/>
          <w:szCs w:val="24"/>
        </w:rPr>
        <w:fldChar w:fldCharType="end"/>
      </w:r>
      <w:r w:rsidRPr="002F72D8">
        <w:rPr>
          <w:rFonts w:ascii="Times New Roman" w:eastAsia="Calibri" w:hAnsi="Times New Roman" w:cs="Times New Roman"/>
          <w:bCs/>
          <w:sz w:val="24"/>
          <w:szCs w:val="24"/>
        </w:rPr>
        <w:t xml:space="preserve">, stk. 3, om den i </w:t>
      </w:r>
      <w:r w:rsidR="00280073">
        <w:rPr>
          <w:rFonts w:ascii="Times New Roman" w:eastAsia="Calibri" w:hAnsi="Times New Roman" w:cs="Times New Roman"/>
          <w:bCs/>
          <w:sz w:val="24"/>
          <w:szCs w:val="24"/>
        </w:rPr>
        <w:fldChar w:fldCharType="begin"/>
      </w:r>
      <w:r w:rsidR="00280073">
        <w:rPr>
          <w:rFonts w:ascii="Times New Roman" w:eastAsia="Calibri" w:hAnsi="Times New Roman" w:cs="Times New Roman"/>
          <w:bCs/>
          <w:sz w:val="24"/>
          <w:szCs w:val="24"/>
        </w:rPr>
        <w:instrText xml:space="preserve"> REF _Ref232595479 \n \h </w:instrText>
      </w:r>
      <w:r w:rsidR="00280073">
        <w:rPr>
          <w:rFonts w:ascii="Times New Roman" w:eastAsia="Calibri" w:hAnsi="Times New Roman" w:cs="Times New Roman"/>
          <w:bCs/>
          <w:sz w:val="24"/>
          <w:szCs w:val="24"/>
        </w:rPr>
      </w:r>
      <w:r w:rsidR="00280073">
        <w:rPr>
          <w:rFonts w:ascii="Times New Roman" w:eastAsia="Calibri" w:hAnsi="Times New Roman" w:cs="Times New Roman"/>
          <w:bCs/>
          <w:sz w:val="24"/>
          <w:szCs w:val="24"/>
        </w:rPr>
        <w:fldChar w:fldCharType="separate"/>
      </w:r>
      <w:r w:rsidR="008F29E5">
        <w:rPr>
          <w:rFonts w:ascii="Times New Roman" w:eastAsia="Calibri" w:hAnsi="Times New Roman" w:cs="Times New Roman"/>
          <w:bCs/>
          <w:sz w:val="24"/>
          <w:szCs w:val="24"/>
        </w:rPr>
        <w:t>§ 8</w:t>
      </w:r>
      <w:r w:rsidR="00280073">
        <w:rPr>
          <w:rFonts w:ascii="Times New Roman" w:eastAsia="Calibri" w:hAnsi="Times New Roman" w:cs="Times New Roman"/>
          <w:bCs/>
          <w:sz w:val="24"/>
          <w:szCs w:val="24"/>
        </w:rPr>
        <w:fldChar w:fldCharType="end"/>
      </w:r>
      <w:r w:rsidRPr="002F72D8">
        <w:rPr>
          <w:rFonts w:ascii="Times New Roman" w:eastAsia="Calibri" w:hAnsi="Times New Roman" w:cs="Times New Roman"/>
          <w:bCs/>
          <w:sz w:val="24"/>
          <w:szCs w:val="24"/>
        </w:rPr>
        <w:t>, stk. 1, omhandlede liste, fastsættes bestemmelser om, at skatte- og vækstministeren som tvangsmiddel kan pålægge juridiske personer, organisationer m.v. daglige eller ugentlige bøder, hvis de undlader at opfylde de pligter om indberetning, som påhviler dem.</w:t>
      </w:r>
    </w:p>
    <w:p w14:paraId="10267B18" w14:textId="77777777" w:rsidR="00013DE2" w:rsidRPr="00796736" w:rsidRDefault="00013DE2" w:rsidP="00A802A5">
      <w:pPr>
        <w:spacing w:line="360" w:lineRule="auto"/>
        <w:rPr>
          <w:rFonts w:ascii="Times New Roman" w:hAnsi="Times New Roman" w:cs="Times New Roman"/>
          <w:sz w:val="24"/>
          <w:szCs w:val="24"/>
        </w:rPr>
      </w:pPr>
    </w:p>
    <w:p w14:paraId="682BBCC4" w14:textId="0AF21290" w:rsidR="00426554" w:rsidRPr="00796736" w:rsidRDefault="00426554" w:rsidP="005F127B">
      <w:pPr>
        <w:pStyle w:val="Typografi1"/>
        <w:ind w:left="0" w:firstLine="238"/>
        <w:rPr>
          <w:rFonts w:ascii="Times New Roman" w:hAnsi="Times New Roman" w:cs="Times New Roman"/>
          <w:sz w:val="24"/>
          <w:szCs w:val="24"/>
          <w:lang w:eastAsia="da-DK"/>
        </w:rPr>
      </w:pPr>
      <w:bookmarkStart w:id="502" w:name="_Ref232610061"/>
      <w:bookmarkStart w:id="503" w:name="_Toc244879120"/>
      <w:bookmarkStart w:id="504" w:name="_Toc244880644"/>
      <w:r w:rsidRPr="00796736">
        <w:rPr>
          <w:rFonts w:ascii="Times New Roman" w:hAnsi="Times New Roman" w:cs="Times New Roman"/>
          <w:sz w:val="24"/>
          <w:szCs w:val="24"/>
          <w:lang w:eastAsia="da-DK"/>
        </w:rPr>
        <w:t xml:space="preserve">Undlader en virksomhed eller en person, som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at efterkomme et påbud meddelt i medfør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_Ref232597715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_Ref232608896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89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_Ref232608940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4</w:t>
      </w:r>
      <w:r w:rsidR="00A714A0">
        <w:rPr>
          <w:rFonts w:ascii="Times New Roman" w:hAnsi="Times New Roman" w:cs="Times New Roman"/>
          <w:sz w:val="24"/>
          <w:szCs w:val="24"/>
        </w:rPr>
        <w:t>,</w:t>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_Ref233056803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lang w:eastAsia="da-DK"/>
        </w:rPr>
        <w:t xml:space="preserve"> kan Erhvervsstyrelsen som tvangsmiddel pålægge personen, virksomheden eller de for virksomheden ansvarlige personer daglige eller ugentlige bøder.</w:t>
      </w:r>
      <w:bookmarkEnd w:id="502"/>
      <w:bookmarkEnd w:id="503"/>
      <w:bookmarkEnd w:id="504"/>
    </w:p>
    <w:p w14:paraId="3636AB62" w14:textId="77777777" w:rsidR="00013DE2" w:rsidRPr="00796736" w:rsidRDefault="00013DE2" w:rsidP="005F127B">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Tvangsbøder kan tidligst pålægges efter udløbet af den af Erhvervsstyrelsen fastsatte frist for efterkommelse af det pågældende påbud. </w:t>
      </w:r>
    </w:p>
    <w:p w14:paraId="6A5991BC" w14:textId="77777777" w:rsidR="00013DE2" w:rsidRPr="00796736" w:rsidRDefault="00013DE2" w:rsidP="005F127B">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3.</w:t>
      </w:r>
      <w:r w:rsidRPr="00796736">
        <w:rPr>
          <w:rFonts w:ascii="Times New Roman" w:hAnsi="Times New Roman" w:cs="Times New Roman"/>
          <w:sz w:val="24"/>
          <w:szCs w:val="24"/>
          <w:lang w:eastAsia="da-DK"/>
        </w:rPr>
        <w:t xml:space="preserve"> Tvangsbøder kan pålægges, indtil virksomheden eller personen efterkommer påbuddet, jf. dog stk. 4.</w:t>
      </w:r>
    </w:p>
    <w:p w14:paraId="0938CFE9" w14:textId="77777777" w:rsidR="00013DE2" w:rsidRPr="00796736" w:rsidRDefault="00013DE2" w:rsidP="005F127B">
      <w:pPr>
        <w:spacing w:line="360" w:lineRule="auto"/>
        <w:ind w:firstLine="238"/>
        <w:rPr>
          <w:rFonts w:ascii="Times New Roman" w:hAnsi="Times New Roman" w:cs="Times New Roman"/>
          <w:sz w:val="24"/>
          <w:szCs w:val="24"/>
          <w:lang w:eastAsia="da-DK"/>
        </w:rPr>
      </w:pPr>
      <w:r w:rsidRPr="00796736">
        <w:rPr>
          <w:rFonts w:ascii="Times New Roman" w:hAnsi="Times New Roman" w:cs="Times New Roman"/>
          <w:i/>
          <w:iCs/>
          <w:sz w:val="24"/>
          <w:szCs w:val="24"/>
          <w:lang w:eastAsia="da-DK"/>
        </w:rPr>
        <w:t>Stk. 4.</w:t>
      </w:r>
      <w:r w:rsidRPr="00796736">
        <w:rPr>
          <w:rFonts w:ascii="Times New Roman" w:hAnsi="Times New Roman" w:cs="Times New Roman"/>
          <w:sz w:val="24"/>
          <w:szCs w:val="24"/>
          <w:lang w:eastAsia="da-DK"/>
        </w:rPr>
        <w:t xml:space="preserve"> Tvangsbøder må kun pålægges i en periode på højst 6 måneder efter meddelelse af Erhvervsstyrelsen afgørelse om pålæggelse af tvangsbøden, dog kan Erhvervsstyrelsen pålægge tvangsbøder i en yderligere periode på 6 måneder, hvis virksomheden eller personen ved udløbet af de første 6 måneder endnu ikke har efterkommet påbuddet.</w:t>
      </w:r>
    </w:p>
    <w:p w14:paraId="638CE5B9" w14:textId="77777777" w:rsidR="00013DE2" w:rsidRPr="00796736" w:rsidRDefault="00013DE2" w:rsidP="00A802A5">
      <w:pPr>
        <w:spacing w:line="360" w:lineRule="auto"/>
        <w:ind w:firstLine="238"/>
        <w:rPr>
          <w:rFonts w:ascii="Times New Roman" w:hAnsi="Times New Roman" w:cs="Times New Roman"/>
          <w:sz w:val="24"/>
          <w:szCs w:val="24"/>
          <w:lang w:eastAsia="da-DK"/>
        </w:rPr>
      </w:pPr>
    </w:p>
    <w:p w14:paraId="2F55E05F" w14:textId="31F26AC6" w:rsidR="00013DE2" w:rsidRPr="00796736" w:rsidRDefault="002D41B0" w:rsidP="00A802A5">
      <w:pPr>
        <w:pStyle w:val="Typografi1"/>
        <w:rPr>
          <w:rFonts w:ascii="Times New Roman" w:hAnsi="Times New Roman" w:cs="Times New Roman"/>
          <w:sz w:val="24"/>
          <w:szCs w:val="24"/>
        </w:rPr>
      </w:pPr>
      <w:bookmarkStart w:id="505" w:name="_Ref236647753"/>
      <w:bookmarkStart w:id="506" w:name="_Ref232610091"/>
      <w:bookmarkStart w:id="507" w:name="_Ref232971154"/>
      <w:bookmarkStart w:id="508" w:name="_Toc244879121"/>
      <w:bookmarkStart w:id="509" w:name="_Toc244880645"/>
      <w:r w:rsidRPr="00796736">
        <w:rPr>
          <w:rFonts w:ascii="Times New Roman" w:hAnsi="Times New Roman" w:cs="Times New Roman"/>
          <w:sz w:val="24"/>
          <w:szCs w:val="24"/>
        </w:rPr>
        <w:t>Undlader en virksomhed eller person som</w:t>
      </w:r>
      <w:r w:rsidR="00D55072" w:rsidRPr="00796736">
        <w:rPr>
          <w:rFonts w:ascii="Times New Roman" w:hAnsi="Times New Roman" w:cs="Times New Roman"/>
          <w:sz w:val="24"/>
          <w:szCs w:val="24"/>
        </w:rPr>
        <w:t xml:space="preserve"> er</w:t>
      </w:r>
      <w:r w:rsidRPr="00796736">
        <w:rPr>
          <w:rFonts w:ascii="Times New Roman" w:hAnsi="Times New Roman" w:cs="Times New Roman"/>
          <w:sz w:val="24"/>
          <w:szCs w:val="24"/>
        </w:rPr>
        <w:t xml:space="preserve"> </w:t>
      </w:r>
      <w:r w:rsidR="006A012C" w:rsidRPr="00796736">
        <w:rPr>
          <w:rFonts w:ascii="Times New Roman" w:hAnsi="Times New Roman" w:cs="Times New Roman"/>
          <w:sz w:val="24"/>
          <w:szCs w:val="24"/>
        </w:rPr>
        <w:t xml:space="preserve">omfattet af </w:t>
      </w:r>
      <w:r w:rsidR="006A012C" w:rsidRPr="00796736">
        <w:rPr>
          <w:rFonts w:ascii="Times New Roman" w:eastAsia="Times New Roman" w:hAnsi="Times New Roman" w:cs="Times New Roman"/>
          <w:sz w:val="24"/>
          <w:szCs w:val="24"/>
        </w:rPr>
        <w:fldChar w:fldCharType="begin"/>
      </w:r>
      <w:r w:rsidR="006A012C" w:rsidRPr="00796736">
        <w:rPr>
          <w:rFonts w:ascii="Times New Roman" w:eastAsia="Times New Roman" w:hAnsi="Times New Roman" w:cs="Times New Roman"/>
          <w:sz w:val="24"/>
          <w:szCs w:val="24"/>
        </w:rPr>
        <w:instrText xml:space="preserve"> REF _Ref232609450 \r \h  \* MERGEFORMAT </w:instrText>
      </w:r>
      <w:r w:rsidR="006A012C" w:rsidRPr="00796736">
        <w:rPr>
          <w:rFonts w:ascii="Times New Roman" w:eastAsia="Times New Roman" w:hAnsi="Times New Roman" w:cs="Times New Roman"/>
          <w:sz w:val="24"/>
          <w:szCs w:val="24"/>
        </w:rPr>
      </w:r>
      <w:r w:rsidR="006A012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6A012C" w:rsidRPr="00796736">
        <w:rPr>
          <w:rFonts w:ascii="Times New Roman" w:eastAsia="Times New Roman" w:hAnsi="Times New Roman" w:cs="Times New Roman"/>
          <w:sz w:val="24"/>
          <w:szCs w:val="24"/>
        </w:rPr>
        <w:fldChar w:fldCharType="end"/>
      </w:r>
      <w:r w:rsidR="006A012C" w:rsidRPr="00796736">
        <w:rPr>
          <w:rFonts w:ascii="Times New Roman" w:eastAsia="Times New Roman" w:hAnsi="Times New Roman" w:cs="Times New Roman"/>
          <w:sz w:val="24"/>
          <w:szCs w:val="24"/>
        </w:rPr>
        <w:t>, stk. 1</w:t>
      </w:r>
      <w:r w:rsidR="00013DE2" w:rsidRPr="00796736">
        <w:rPr>
          <w:rFonts w:ascii="Times New Roman" w:hAnsi="Times New Roman" w:cs="Times New Roman"/>
          <w:sz w:val="24"/>
          <w:szCs w:val="24"/>
        </w:rPr>
        <w:t xml:space="preserve">, at </w:t>
      </w:r>
      <w:r w:rsidR="00435151" w:rsidRPr="00796736">
        <w:rPr>
          <w:rFonts w:ascii="Times New Roman" w:hAnsi="Times New Roman" w:cs="Times New Roman"/>
          <w:sz w:val="24"/>
          <w:szCs w:val="24"/>
        </w:rPr>
        <w:t>efterkomme</w:t>
      </w:r>
      <w:r w:rsidR="00013DE2" w:rsidRPr="00796736">
        <w:rPr>
          <w:rFonts w:ascii="Times New Roman" w:hAnsi="Times New Roman" w:cs="Times New Roman"/>
          <w:sz w:val="24"/>
          <w:szCs w:val="24"/>
        </w:rPr>
        <w:t xml:space="preserve"> e</w:t>
      </w:r>
      <w:r w:rsidR="00435151" w:rsidRPr="00796736">
        <w:rPr>
          <w:rFonts w:ascii="Times New Roman" w:hAnsi="Times New Roman" w:cs="Times New Roman"/>
          <w:sz w:val="24"/>
          <w:szCs w:val="24"/>
        </w:rPr>
        <w:t>t</w:t>
      </w:r>
      <w:r w:rsidR="00013DE2" w:rsidRPr="00796736">
        <w:rPr>
          <w:rFonts w:ascii="Times New Roman" w:hAnsi="Times New Roman" w:cs="Times New Roman"/>
          <w:sz w:val="24"/>
          <w:szCs w:val="24"/>
        </w:rPr>
        <w:t xml:space="preserve"> </w:t>
      </w:r>
      <w:r w:rsidR="00435151" w:rsidRPr="00796736">
        <w:rPr>
          <w:rFonts w:ascii="Times New Roman" w:hAnsi="Times New Roman" w:cs="Times New Roman"/>
          <w:sz w:val="24"/>
          <w:szCs w:val="24"/>
        </w:rPr>
        <w:t>påbud</w:t>
      </w:r>
      <w:r w:rsidR="00013DE2" w:rsidRPr="00796736">
        <w:rPr>
          <w:rFonts w:ascii="Times New Roman" w:hAnsi="Times New Roman" w:cs="Times New Roman"/>
          <w:sz w:val="24"/>
          <w:szCs w:val="24"/>
        </w:rPr>
        <w:t xml:space="preserve">, som er givet i medfør af </w:t>
      </w:r>
      <w:r w:rsidR="00752259" w:rsidRPr="00796736">
        <w:rPr>
          <w:rFonts w:ascii="Times New Roman" w:hAnsi="Times New Roman" w:cs="Times New Roman"/>
          <w:sz w:val="24"/>
          <w:szCs w:val="24"/>
        </w:rPr>
        <w:fldChar w:fldCharType="begin"/>
      </w:r>
      <w:r w:rsidR="00752259" w:rsidRPr="00796736">
        <w:rPr>
          <w:rFonts w:ascii="Times New Roman" w:hAnsi="Times New Roman" w:cs="Times New Roman"/>
          <w:sz w:val="24"/>
          <w:szCs w:val="24"/>
        </w:rPr>
        <w:instrText xml:space="preserve"> REF _Ref236643746 \n \h </w:instrText>
      </w:r>
      <w:r w:rsidR="00A47042" w:rsidRPr="00796736">
        <w:rPr>
          <w:rFonts w:ascii="Times New Roman" w:hAnsi="Times New Roman" w:cs="Times New Roman"/>
          <w:sz w:val="24"/>
          <w:szCs w:val="24"/>
        </w:rPr>
        <w:instrText xml:space="preserve"> \* MERGEFORMAT </w:instrText>
      </w:r>
      <w:r w:rsidR="00752259" w:rsidRPr="00796736">
        <w:rPr>
          <w:rFonts w:ascii="Times New Roman" w:hAnsi="Times New Roman" w:cs="Times New Roman"/>
          <w:sz w:val="24"/>
          <w:szCs w:val="24"/>
        </w:rPr>
      </w:r>
      <w:r w:rsidR="0075225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00752259" w:rsidRPr="00796736">
        <w:rPr>
          <w:rFonts w:ascii="Times New Roman" w:hAnsi="Times New Roman" w:cs="Times New Roman"/>
          <w:sz w:val="24"/>
          <w:szCs w:val="24"/>
        </w:rPr>
        <w:fldChar w:fldCharType="end"/>
      </w:r>
      <w:r w:rsidR="00B119B6" w:rsidRPr="00796736">
        <w:rPr>
          <w:rFonts w:ascii="Times New Roman" w:hAnsi="Times New Roman" w:cs="Times New Roman"/>
          <w:sz w:val="24"/>
          <w:szCs w:val="24"/>
        </w:rPr>
        <w:t>,</w:t>
      </w:r>
      <w:r w:rsidR="00013DE2" w:rsidRPr="00796736">
        <w:rPr>
          <w:rFonts w:ascii="Times New Roman" w:hAnsi="Times New Roman" w:cs="Times New Roman"/>
          <w:sz w:val="24"/>
          <w:szCs w:val="24"/>
        </w:rPr>
        <w:t xml:space="preserve"> </w:t>
      </w:r>
      <w:r w:rsidR="00013DE2" w:rsidRPr="00796736">
        <w:rPr>
          <w:rFonts w:ascii="Times New Roman" w:hAnsi="Times New Roman" w:cs="Times New Roman"/>
          <w:sz w:val="24"/>
          <w:szCs w:val="24"/>
        </w:rPr>
        <w:fldChar w:fldCharType="begin"/>
      </w:r>
      <w:r w:rsidR="00013DE2" w:rsidRPr="00796736">
        <w:rPr>
          <w:rFonts w:ascii="Times New Roman" w:hAnsi="Times New Roman" w:cs="Times New Roman"/>
          <w:sz w:val="24"/>
          <w:szCs w:val="24"/>
        </w:rPr>
        <w:instrText xml:space="preserve"> REF _Ref232609511 \r \h  \* MERGEFORMAT </w:instrText>
      </w:r>
      <w:r w:rsidR="00013DE2" w:rsidRPr="00796736">
        <w:rPr>
          <w:rFonts w:ascii="Times New Roman" w:hAnsi="Times New Roman" w:cs="Times New Roman"/>
          <w:sz w:val="24"/>
          <w:szCs w:val="24"/>
        </w:rPr>
      </w:r>
      <w:r w:rsidR="00013DE2"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119</w:t>
      </w:r>
      <w:r w:rsidR="00013DE2" w:rsidRPr="00796736">
        <w:rPr>
          <w:rFonts w:ascii="Times New Roman" w:hAnsi="Times New Roman" w:cs="Times New Roman"/>
          <w:sz w:val="24"/>
          <w:szCs w:val="24"/>
        </w:rPr>
        <w:fldChar w:fldCharType="end"/>
      </w:r>
      <w:r w:rsidR="00435151" w:rsidRPr="00796736">
        <w:rPr>
          <w:rFonts w:ascii="Times New Roman" w:hAnsi="Times New Roman" w:cs="Times New Roman"/>
          <w:sz w:val="24"/>
          <w:szCs w:val="24"/>
        </w:rPr>
        <w:t xml:space="preserve">, </w:t>
      </w:r>
      <w:r w:rsidR="00435151" w:rsidRPr="00796736">
        <w:rPr>
          <w:rFonts w:ascii="Times New Roman" w:hAnsi="Times New Roman" w:cs="Times New Roman"/>
          <w:sz w:val="24"/>
          <w:szCs w:val="24"/>
        </w:rPr>
        <w:fldChar w:fldCharType="begin"/>
      </w:r>
      <w:r w:rsidR="00435151" w:rsidRPr="00796736">
        <w:rPr>
          <w:rFonts w:ascii="Times New Roman" w:hAnsi="Times New Roman" w:cs="Times New Roman"/>
          <w:sz w:val="24"/>
          <w:szCs w:val="24"/>
        </w:rPr>
        <w:instrText xml:space="preserve"> REF _Ref232609546 \r \h </w:instrText>
      </w:r>
      <w:r w:rsidR="007F4BB9" w:rsidRPr="00796736">
        <w:rPr>
          <w:rFonts w:ascii="Times New Roman" w:hAnsi="Times New Roman" w:cs="Times New Roman"/>
          <w:sz w:val="24"/>
          <w:szCs w:val="24"/>
        </w:rPr>
        <w:instrText xml:space="preserve"> \* MERGEFORMAT </w:instrText>
      </w:r>
      <w:r w:rsidR="00435151" w:rsidRPr="00796736">
        <w:rPr>
          <w:rFonts w:ascii="Times New Roman" w:hAnsi="Times New Roman" w:cs="Times New Roman"/>
          <w:sz w:val="24"/>
          <w:szCs w:val="24"/>
        </w:rPr>
      </w:r>
      <w:r w:rsidR="004351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120</w:t>
      </w:r>
      <w:r w:rsidR="00435151" w:rsidRPr="00796736">
        <w:rPr>
          <w:rFonts w:ascii="Times New Roman" w:hAnsi="Times New Roman" w:cs="Times New Roman"/>
          <w:sz w:val="24"/>
          <w:szCs w:val="24"/>
        </w:rPr>
        <w:fldChar w:fldCharType="end"/>
      </w:r>
      <w:r w:rsidR="00435151" w:rsidRPr="00796736">
        <w:rPr>
          <w:rFonts w:ascii="Times New Roman" w:hAnsi="Times New Roman" w:cs="Times New Roman"/>
          <w:sz w:val="24"/>
          <w:szCs w:val="24"/>
        </w:rPr>
        <w:t>, stk. 5,</w:t>
      </w:r>
      <w:r w:rsidR="00B119B6" w:rsidRPr="00796736">
        <w:rPr>
          <w:rFonts w:ascii="Times New Roman" w:hAnsi="Times New Roman" w:cs="Times New Roman"/>
          <w:sz w:val="24"/>
          <w:szCs w:val="24"/>
        </w:rPr>
        <w:t xml:space="preserve"> </w:t>
      </w:r>
      <w:r w:rsidR="00B119B6" w:rsidRPr="00796736">
        <w:rPr>
          <w:rFonts w:ascii="Times New Roman" w:hAnsi="Times New Roman" w:cs="Times New Roman"/>
          <w:sz w:val="24"/>
          <w:szCs w:val="24"/>
        </w:rPr>
        <w:fldChar w:fldCharType="begin"/>
      </w:r>
      <w:r w:rsidR="00B119B6" w:rsidRPr="00796736">
        <w:rPr>
          <w:rFonts w:ascii="Times New Roman" w:hAnsi="Times New Roman" w:cs="Times New Roman"/>
          <w:sz w:val="24"/>
          <w:szCs w:val="24"/>
        </w:rPr>
        <w:instrText xml:space="preserve"> REF _Ref236145057 \r \h </w:instrText>
      </w:r>
      <w:r w:rsidR="00F7751F" w:rsidRPr="00796736">
        <w:rPr>
          <w:rFonts w:ascii="Times New Roman" w:hAnsi="Times New Roman" w:cs="Times New Roman"/>
          <w:sz w:val="24"/>
          <w:szCs w:val="24"/>
        </w:rPr>
        <w:instrText xml:space="preserve"> \* MERGEFORMAT </w:instrText>
      </w:r>
      <w:r w:rsidR="00B119B6" w:rsidRPr="00796736">
        <w:rPr>
          <w:rFonts w:ascii="Times New Roman" w:hAnsi="Times New Roman" w:cs="Times New Roman"/>
          <w:sz w:val="24"/>
          <w:szCs w:val="24"/>
        </w:rPr>
      </w:r>
      <w:r w:rsidR="00B119B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121</w:t>
      </w:r>
      <w:r w:rsidR="00B119B6" w:rsidRPr="00796736">
        <w:rPr>
          <w:rFonts w:ascii="Times New Roman" w:hAnsi="Times New Roman" w:cs="Times New Roman"/>
          <w:sz w:val="24"/>
          <w:szCs w:val="24"/>
        </w:rPr>
        <w:fldChar w:fldCharType="end"/>
      </w:r>
      <w:r w:rsidR="00013DE2" w:rsidRPr="00796736">
        <w:rPr>
          <w:rFonts w:ascii="Times New Roman" w:hAnsi="Times New Roman" w:cs="Times New Roman"/>
          <w:sz w:val="24"/>
          <w:szCs w:val="24"/>
        </w:rPr>
        <w:t>,</w:t>
      </w:r>
      <w:r w:rsidR="00435151" w:rsidRPr="00796736">
        <w:rPr>
          <w:rFonts w:ascii="Times New Roman" w:hAnsi="Times New Roman" w:cs="Times New Roman"/>
          <w:sz w:val="24"/>
          <w:szCs w:val="24"/>
        </w:rPr>
        <w:t xml:space="preserve"> eller </w:t>
      </w:r>
      <w:r w:rsidR="00435151" w:rsidRPr="00796736">
        <w:rPr>
          <w:rFonts w:ascii="Times New Roman" w:hAnsi="Times New Roman" w:cs="Times New Roman"/>
          <w:sz w:val="24"/>
          <w:szCs w:val="24"/>
        </w:rPr>
        <w:fldChar w:fldCharType="begin"/>
      </w:r>
      <w:r w:rsidR="00435151" w:rsidRPr="00796736">
        <w:rPr>
          <w:rFonts w:ascii="Times New Roman" w:hAnsi="Times New Roman" w:cs="Times New Roman"/>
          <w:sz w:val="24"/>
          <w:szCs w:val="24"/>
        </w:rPr>
        <w:instrText xml:space="preserve"> REF _Ref239324511 \r \h </w:instrText>
      </w:r>
      <w:r w:rsidR="007F4BB9" w:rsidRPr="00796736">
        <w:rPr>
          <w:rFonts w:ascii="Times New Roman" w:hAnsi="Times New Roman" w:cs="Times New Roman"/>
          <w:sz w:val="24"/>
          <w:szCs w:val="24"/>
        </w:rPr>
        <w:instrText xml:space="preserve"> \* MERGEFORMAT </w:instrText>
      </w:r>
      <w:r w:rsidR="00435151" w:rsidRPr="00796736">
        <w:rPr>
          <w:rFonts w:ascii="Times New Roman" w:hAnsi="Times New Roman" w:cs="Times New Roman"/>
          <w:sz w:val="24"/>
          <w:szCs w:val="24"/>
        </w:rPr>
      </w:r>
      <w:r w:rsidR="004351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122</w:t>
      </w:r>
      <w:r w:rsidR="00435151" w:rsidRPr="00796736">
        <w:rPr>
          <w:rFonts w:ascii="Times New Roman" w:hAnsi="Times New Roman" w:cs="Times New Roman"/>
          <w:sz w:val="24"/>
          <w:szCs w:val="24"/>
        </w:rPr>
        <w:fldChar w:fldCharType="end"/>
      </w:r>
      <w:r w:rsidR="00435151" w:rsidRPr="00796736">
        <w:rPr>
          <w:rFonts w:ascii="Times New Roman" w:hAnsi="Times New Roman" w:cs="Times New Roman"/>
          <w:sz w:val="24"/>
          <w:szCs w:val="24"/>
        </w:rPr>
        <w:t>,</w:t>
      </w:r>
      <w:r w:rsidR="00013DE2" w:rsidRPr="00796736">
        <w:rPr>
          <w:rFonts w:ascii="Times New Roman" w:hAnsi="Times New Roman" w:cs="Times New Roman"/>
          <w:sz w:val="24"/>
          <w:szCs w:val="24"/>
        </w:rPr>
        <w:t xml:space="preserve"> kan spillemyndigheden</w:t>
      </w:r>
      <w:r w:rsidR="00B119B6" w:rsidRPr="00796736">
        <w:rPr>
          <w:rFonts w:ascii="Times New Roman" w:hAnsi="Times New Roman" w:cs="Times New Roman"/>
          <w:sz w:val="24"/>
          <w:szCs w:val="24"/>
        </w:rPr>
        <w:t xml:space="preserve"> som tvangsmiddel</w:t>
      </w:r>
      <w:r w:rsidR="00013DE2" w:rsidRPr="00796736">
        <w:rPr>
          <w:rFonts w:ascii="Times New Roman" w:hAnsi="Times New Roman" w:cs="Times New Roman"/>
          <w:sz w:val="24"/>
          <w:szCs w:val="24"/>
        </w:rPr>
        <w:t xml:space="preserve"> pålægge </w:t>
      </w:r>
      <w:r w:rsidR="00B119B6" w:rsidRPr="00796736">
        <w:rPr>
          <w:rFonts w:ascii="Times New Roman" w:hAnsi="Times New Roman" w:cs="Times New Roman"/>
          <w:sz w:val="24"/>
          <w:szCs w:val="24"/>
        </w:rPr>
        <w:t>personen, virksomheden eller de for virksomheden ansvarlige personer daglige eller ugentlige bøder.</w:t>
      </w:r>
      <w:bookmarkEnd w:id="505"/>
      <w:bookmarkEnd w:id="508"/>
      <w:bookmarkEnd w:id="509"/>
      <w:r w:rsidR="00B119B6" w:rsidRPr="00796736">
        <w:rPr>
          <w:rFonts w:ascii="Times New Roman" w:hAnsi="Times New Roman" w:cs="Times New Roman"/>
          <w:sz w:val="24"/>
          <w:szCs w:val="24"/>
        </w:rPr>
        <w:t xml:space="preserve"> </w:t>
      </w:r>
      <w:bookmarkEnd w:id="506"/>
      <w:bookmarkEnd w:id="507"/>
    </w:p>
    <w:p w14:paraId="0C8D6126" w14:textId="50FA3576" w:rsidR="00013DE2" w:rsidRPr="00796736" w:rsidRDefault="00013DE2" w:rsidP="00A802A5">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B119B6" w:rsidRPr="00796736">
        <w:rPr>
          <w:rFonts w:ascii="Times New Roman" w:hAnsi="Times New Roman" w:cs="Times New Roman"/>
          <w:sz w:val="24"/>
          <w:szCs w:val="24"/>
        </w:rPr>
        <w:t>Tvangsbøder kan tidligst pålægges efter udløbet af den af spillemyndigheden fastsatte frist for efterkommelse af det pågældende påbud</w:t>
      </w:r>
      <w:r w:rsidRPr="00796736">
        <w:rPr>
          <w:rFonts w:ascii="Times New Roman" w:hAnsi="Times New Roman" w:cs="Times New Roman"/>
          <w:sz w:val="24"/>
          <w:szCs w:val="24"/>
        </w:rPr>
        <w:t>.</w:t>
      </w:r>
    </w:p>
    <w:p w14:paraId="4895DC7B" w14:textId="43A37B5F" w:rsidR="00013DE2" w:rsidRPr="00796736" w:rsidRDefault="00013DE2" w:rsidP="00A802A5">
      <w:pPr>
        <w:spacing w:line="360" w:lineRule="auto"/>
        <w:ind w:firstLine="238"/>
        <w:rPr>
          <w:rFonts w:ascii="Times New Roman" w:hAnsi="Times New Roman" w:cs="Times New Roman"/>
          <w:sz w:val="24"/>
          <w:szCs w:val="24"/>
        </w:rPr>
      </w:pPr>
      <w:r w:rsidRPr="00796736">
        <w:rPr>
          <w:rFonts w:ascii="Times New Roman" w:hAnsi="Times New Roman" w:cs="Times New Roman"/>
          <w:i/>
          <w:sz w:val="24"/>
          <w:szCs w:val="24"/>
        </w:rPr>
        <w:t xml:space="preserve">Stk. </w:t>
      </w:r>
      <w:r w:rsidR="00B119B6" w:rsidRPr="00796736">
        <w:rPr>
          <w:rFonts w:ascii="Times New Roman" w:hAnsi="Times New Roman" w:cs="Times New Roman"/>
          <w:i/>
          <w:sz w:val="24"/>
          <w:szCs w:val="24"/>
        </w:rPr>
        <w:t>3</w:t>
      </w:r>
      <w:r w:rsidRPr="00796736">
        <w:rPr>
          <w:rFonts w:ascii="Times New Roman" w:hAnsi="Times New Roman" w:cs="Times New Roman"/>
          <w:i/>
          <w:sz w:val="24"/>
          <w:szCs w:val="24"/>
        </w:rPr>
        <w:t>.</w:t>
      </w:r>
      <w:r w:rsidRPr="00796736">
        <w:rPr>
          <w:rFonts w:ascii="Times New Roman" w:hAnsi="Times New Roman" w:cs="Times New Roman"/>
          <w:sz w:val="24"/>
          <w:szCs w:val="24"/>
        </w:rPr>
        <w:t xml:space="preserve"> Tvangsbøder kan pålægges, indtil </w:t>
      </w:r>
      <w:r w:rsidR="00B119B6" w:rsidRPr="00796736">
        <w:rPr>
          <w:rFonts w:ascii="Times New Roman" w:hAnsi="Times New Roman" w:cs="Times New Roman"/>
          <w:sz w:val="24"/>
          <w:szCs w:val="24"/>
        </w:rPr>
        <w:t>virksomheden eller personen</w:t>
      </w:r>
      <w:r w:rsidRPr="00796736">
        <w:rPr>
          <w:rFonts w:ascii="Times New Roman" w:hAnsi="Times New Roman" w:cs="Times New Roman"/>
          <w:sz w:val="24"/>
          <w:szCs w:val="24"/>
        </w:rPr>
        <w:t xml:space="preserve"> efter</w:t>
      </w:r>
      <w:r w:rsidR="00B119B6" w:rsidRPr="00796736">
        <w:rPr>
          <w:rFonts w:ascii="Times New Roman" w:hAnsi="Times New Roman" w:cs="Times New Roman"/>
          <w:sz w:val="24"/>
          <w:szCs w:val="24"/>
        </w:rPr>
        <w:t>kommer</w:t>
      </w:r>
      <w:r w:rsidRPr="00796736">
        <w:rPr>
          <w:rFonts w:ascii="Times New Roman" w:hAnsi="Times New Roman" w:cs="Times New Roman"/>
          <w:sz w:val="24"/>
          <w:szCs w:val="24"/>
        </w:rPr>
        <w:t xml:space="preserve"> </w:t>
      </w:r>
      <w:r w:rsidR="00B119B6" w:rsidRPr="00796736">
        <w:rPr>
          <w:rFonts w:ascii="Times New Roman" w:hAnsi="Times New Roman" w:cs="Times New Roman"/>
          <w:sz w:val="24"/>
          <w:szCs w:val="24"/>
        </w:rPr>
        <w:t>påbuddet</w:t>
      </w:r>
      <w:r w:rsidRPr="00796736">
        <w:rPr>
          <w:rFonts w:ascii="Times New Roman" w:hAnsi="Times New Roman" w:cs="Times New Roman"/>
          <w:sz w:val="24"/>
          <w:szCs w:val="24"/>
        </w:rPr>
        <w:t xml:space="preserve">, jf. dog stk. </w:t>
      </w:r>
      <w:r w:rsidR="00B119B6" w:rsidRPr="00796736">
        <w:rPr>
          <w:rFonts w:ascii="Times New Roman" w:hAnsi="Times New Roman" w:cs="Times New Roman"/>
          <w:sz w:val="24"/>
          <w:szCs w:val="24"/>
        </w:rPr>
        <w:t>4</w:t>
      </w:r>
      <w:r w:rsidRPr="00796736">
        <w:rPr>
          <w:rFonts w:ascii="Times New Roman" w:hAnsi="Times New Roman" w:cs="Times New Roman"/>
          <w:sz w:val="24"/>
          <w:szCs w:val="24"/>
        </w:rPr>
        <w:t>.</w:t>
      </w:r>
    </w:p>
    <w:p w14:paraId="383831FA" w14:textId="4112038C" w:rsidR="00013DE2" w:rsidRPr="00796736" w:rsidRDefault="00013DE2" w:rsidP="00A802A5">
      <w:pPr>
        <w:spacing w:line="360" w:lineRule="auto"/>
        <w:ind w:firstLine="238"/>
        <w:rPr>
          <w:rFonts w:ascii="Times New Roman" w:hAnsi="Times New Roman" w:cs="Times New Roman"/>
          <w:sz w:val="24"/>
          <w:szCs w:val="24"/>
        </w:rPr>
      </w:pPr>
      <w:r w:rsidRPr="00796736">
        <w:rPr>
          <w:rFonts w:ascii="Times New Roman" w:hAnsi="Times New Roman" w:cs="Times New Roman"/>
          <w:i/>
          <w:iCs/>
          <w:sz w:val="24"/>
          <w:szCs w:val="24"/>
        </w:rPr>
        <w:t xml:space="preserve">Stk. </w:t>
      </w:r>
      <w:r w:rsidR="00B119B6" w:rsidRPr="00796736">
        <w:rPr>
          <w:rFonts w:ascii="Times New Roman" w:hAnsi="Times New Roman" w:cs="Times New Roman"/>
          <w:i/>
          <w:iCs/>
          <w:sz w:val="24"/>
          <w:szCs w:val="24"/>
        </w:rPr>
        <w:t>4</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w:t>
      </w:r>
      <w:r w:rsidR="00B119B6" w:rsidRPr="00796736">
        <w:rPr>
          <w:rFonts w:ascii="Times New Roman" w:hAnsi="Times New Roman" w:cs="Times New Roman"/>
          <w:sz w:val="24"/>
          <w:szCs w:val="24"/>
        </w:rPr>
        <w:t>Tvangsbøder må kun pålægges i en periode på højst 6 måneder efter meddelelse af spillemyndighedens afgørelse om pålæggelse af tvangsbøden, dog kan spillemyndigheden pålægge tvangsbøder i en yderligere periode på 6 måneder, hvis virksomheden eller personen ved udløbet af de første 6 måneder endnu ikke har efterkommet påbuddet.</w:t>
      </w:r>
    </w:p>
    <w:p w14:paraId="28BADD6D" w14:textId="77777777" w:rsidR="0042556A" w:rsidRPr="00796736" w:rsidRDefault="0042556A" w:rsidP="00A802A5">
      <w:pPr>
        <w:spacing w:line="360" w:lineRule="auto"/>
        <w:ind w:firstLine="238"/>
        <w:rPr>
          <w:rFonts w:ascii="Times New Roman" w:hAnsi="Times New Roman" w:cs="Times New Roman"/>
          <w:sz w:val="24"/>
          <w:szCs w:val="24"/>
        </w:rPr>
      </w:pPr>
    </w:p>
    <w:p w14:paraId="03B4D267" w14:textId="712A3CD8" w:rsidR="003230E7" w:rsidRPr="00796736" w:rsidRDefault="003230E7" w:rsidP="003230E7">
      <w:pPr>
        <w:pStyle w:val="Typografi1"/>
        <w:ind w:left="0" w:firstLine="238"/>
        <w:rPr>
          <w:rFonts w:ascii="Times New Roman" w:hAnsi="Times New Roman" w:cs="Times New Roman"/>
          <w:sz w:val="24"/>
          <w:szCs w:val="24"/>
          <w:lang w:eastAsia="da-DK"/>
        </w:rPr>
      </w:pPr>
      <w:bookmarkStart w:id="510" w:name="_Ref239757742"/>
      <w:bookmarkStart w:id="511" w:name="_Toc244879122"/>
      <w:bookmarkStart w:id="512" w:name="_Toc244880646"/>
      <w:r w:rsidRPr="00796736">
        <w:rPr>
          <w:rFonts w:ascii="Times New Roman" w:hAnsi="Times New Roman" w:cs="Times New Roman"/>
          <w:sz w:val="24"/>
          <w:szCs w:val="24"/>
          <w:lang w:eastAsia="da-DK"/>
        </w:rPr>
        <w:t>Ved en advokats manglende efterlevelse af afgørelser efter</w:t>
      </w:r>
      <w:r w:rsidR="00000995">
        <w:rPr>
          <w:rFonts w:ascii="Times New Roman" w:hAnsi="Times New Roman" w:cs="Times New Roman"/>
          <w:sz w:val="24"/>
          <w:szCs w:val="24"/>
          <w:lang w:eastAsia="da-DK"/>
        </w:rPr>
        <w:t xml:space="preserve"> </w:t>
      </w:r>
      <w:r w:rsidR="00000995">
        <w:rPr>
          <w:rFonts w:ascii="Times New Roman" w:hAnsi="Times New Roman" w:cs="Times New Roman"/>
          <w:sz w:val="24"/>
          <w:szCs w:val="24"/>
          <w:lang w:eastAsia="da-DK"/>
        </w:rPr>
        <w:fldChar w:fldCharType="begin"/>
      </w:r>
      <w:r w:rsidR="00000995">
        <w:rPr>
          <w:rFonts w:ascii="Times New Roman" w:hAnsi="Times New Roman" w:cs="Times New Roman"/>
          <w:sz w:val="24"/>
          <w:szCs w:val="24"/>
          <w:lang w:eastAsia="da-DK"/>
        </w:rPr>
        <w:instrText xml:space="preserve"> REF _Ref244787564 \r \h </w:instrText>
      </w:r>
      <w:r w:rsidR="00000995">
        <w:rPr>
          <w:rFonts w:ascii="Times New Roman" w:hAnsi="Times New Roman" w:cs="Times New Roman"/>
          <w:sz w:val="24"/>
          <w:szCs w:val="24"/>
          <w:lang w:eastAsia="da-DK"/>
        </w:rPr>
      </w:r>
      <w:r w:rsidR="00000995">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102</w:t>
      </w:r>
      <w:r w:rsidR="00000995">
        <w:rPr>
          <w:rFonts w:ascii="Times New Roman" w:hAnsi="Times New Roman" w:cs="Times New Roman"/>
          <w:sz w:val="24"/>
          <w:szCs w:val="24"/>
          <w:lang w:eastAsia="da-DK"/>
        </w:rPr>
        <w:fldChar w:fldCharType="end"/>
      </w:r>
      <w:r>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t xml:space="preserve"> </w:t>
      </w:r>
      <w:r w:rsidR="00000995">
        <w:rPr>
          <w:rFonts w:ascii="Times New Roman" w:hAnsi="Times New Roman" w:cs="Times New Roman"/>
          <w:sz w:val="24"/>
          <w:szCs w:val="24"/>
          <w:lang w:eastAsia="da-DK"/>
        </w:rPr>
        <w:fldChar w:fldCharType="begin"/>
      </w:r>
      <w:r w:rsidR="00000995">
        <w:rPr>
          <w:rFonts w:ascii="Times New Roman" w:hAnsi="Times New Roman" w:cs="Times New Roman"/>
          <w:sz w:val="24"/>
          <w:szCs w:val="24"/>
          <w:lang w:eastAsia="da-DK"/>
        </w:rPr>
        <w:instrText xml:space="preserve"> REF _Ref244787574 \r \h </w:instrText>
      </w:r>
      <w:r w:rsidR="00000995">
        <w:rPr>
          <w:rFonts w:ascii="Times New Roman" w:hAnsi="Times New Roman" w:cs="Times New Roman"/>
          <w:sz w:val="24"/>
          <w:szCs w:val="24"/>
          <w:lang w:eastAsia="da-DK"/>
        </w:rPr>
      </w:r>
      <w:r w:rsidR="00000995">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103</w:t>
      </w:r>
      <w:r w:rsidR="00000995">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Pr>
          <w:rFonts w:ascii="Times New Roman" w:hAnsi="Times New Roman" w:cs="Times New Roman"/>
          <w:sz w:val="24"/>
          <w:szCs w:val="24"/>
          <w:lang w:eastAsia="da-DK"/>
        </w:rPr>
        <w:t xml:space="preserve"> stk. 1, nr. 2,</w:t>
      </w:r>
      <w:r w:rsidRPr="00796736">
        <w:rPr>
          <w:rFonts w:ascii="Times New Roman" w:hAnsi="Times New Roman" w:cs="Times New Roman"/>
          <w:sz w:val="24"/>
          <w:szCs w:val="24"/>
          <w:lang w:eastAsia="da-DK"/>
        </w:rPr>
        <w:t xml:space="preserve"> eller </w:t>
      </w:r>
      <w:r w:rsidR="00000995">
        <w:rPr>
          <w:rFonts w:ascii="Times New Roman" w:hAnsi="Times New Roman" w:cs="Times New Roman"/>
          <w:sz w:val="24"/>
          <w:szCs w:val="24"/>
          <w:lang w:eastAsia="da-DK"/>
        </w:rPr>
        <w:fldChar w:fldCharType="begin"/>
      </w:r>
      <w:r w:rsidR="00000995">
        <w:rPr>
          <w:rFonts w:ascii="Times New Roman" w:hAnsi="Times New Roman" w:cs="Times New Roman"/>
          <w:sz w:val="24"/>
          <w:szCs w:val="24"/>
          <w:lang w:eastAsia="da-DK"/>
        </w:rPr>
        <w:instrText xml:space="preserve"> REF _Ref244787908 \r \h </w:instrText>
      </w:r>
      <w:r w:rsidR="00000995">
        <w:rPr>
          <w:rFonts w:ascii="Times New Roman" w:hAnsi="Times New Roman" w:cs="Times New Roman"/>
          <w:sz w:val="24"/>
          <w:szCs w:val="24"/>
          <w:lang w:eastAsia="da-DK"/>
        </w:rPr>
      </w:r>
      <w:r w:rsidR="00000995">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00000995">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kan Advokatnævnet efter indstilling fra Advokatrådet pålægge daglige tvangsbøder. Tvangsbøder iværksat over for </w:t>
      </w:r>
      <w:r>
        <w:rPr>
          <w:rFonts w:ascii="Times New Roman" w:hAnsi="Times New Roman" w:cs="Times New Roman"/>
          <w:sz w:val="24"/>
          <w:szCs w:val="24"/>
          <w:lang w:eastAsia="da-DK"/>
        </w:rPr>
        <w:t>juridiske</w:t>
      </w:r>
      <w:r w:rsidRPr="00796736">
        <w:rPr>
          <w:rFonts w:ascii="Times New Roman" w:hAnsi="Times New Roman" w:cs="Times New Roman"/>
          <w:sz w:val="24"/>
          <w:szCs w:val="24"/>
          <w:lang w:eastAsia="da-DK"/>
        </w:rPr>
        <w:t xml:space="preserve"> og </w:t>
      </w:r>
      <w:r>
        <w:rPr>
          <w:rFonts w:ascii="Times New Roman" w:hAnsi="Times New Roman" w:cs="Times New Roman"/>
          <w:sz w:val="24"/>
          <w:szCs w:val="24"/>
          <w:lang w:eastAsia="da-DK"/>
        </w:rPr>
        <w:t>fysisiske</w:t>
      </w:r>
      <w:r w:rsidRPr="00796736">
        <w:rPr>
          <w:rFonts w:ascii="Times New Roman" w:hAnsi="Times New Roman" w:cs="Times New Roman"/>
          <w:sz w:val="24"/>
          <w:szCs w:val="24"/>
          <w:lang w:eastAsia="da-DK"/>
        </w:rPr>
        <w:t xml:space="preserve"> må ikke overstige henholdsvis 3 og 2 pct. af deres gennemsnitlige daglige omsætning eller indkomst i det foregående regnskabsår eller kalenderår. Tvangsbøderne må kun pålægges i en periode på højst 6 måneder, som kan forlænges i højst 6 yderligere måneder, hvis advokaten endnu ikke har efterkommet den administrative foranstaltning.</w:t>
      </w:r>
      <w:bookmarkEnd w:id="510"/>
      <w:bookmarkEnd w:id="511"/>
      <w:bookmarkEnd w:id="512"/>
      <w:r w:rsidRPr="00796736">
        <w:rPr>
          <w:rFonts w:ascii="Times New Roman" w:hAnsi="Times New Roman" w:cs="Times New Roman"/>
          <w:sz w:val="24"/>
          <w:szCs w:val="24"/>
          <w:lang w:eastAsia="da-DK"/>
        </w:rPr>
        <w:t xml:space="preserve"> </w:t>
      </w:r>
    </w:p>
    <w:p w14:paraId="7F6B3F7A" w14:textId="77777777" w:rsidR="0042556A" w:rsidRPr="00796736" w:rsidRDefault="0042556A" w:rsidP="00A802A5">
      <w:pPr>
        <w:spacing w:line="360" w:lineRule="auto"/>
        <w:rPr>
          <w:rFonts w:ascii="Times New Roman" w:hAnsi="Times New Roman" w:cs="Times New Roman"/>
          <w:sz w:val="24"/>
          <w:szCs w:val="24"/>
        </w:rPr>
      </w:pPr>
    </w:p>
    <w:p w14:paraId="3D7ECBF4" w14:textId="77777777" w:rsidR="007C0C7A" w:rsidRPr="00796736" w:rsidRDefault="007C0C7A" w:rsidP="00A802A5">
      <w:pPr>
        <w:spacing w:line="360" w:lineRule="auto"/>
        <w:rPr>
          <w:rFonts w:ascii="Times New Roman" w:hAnsi="Times New Roman" w:cs="Times New Roman"/>
          <w:sz w:val="24"/>
          <w:szCs w:val="24"/>
        </w:rPr>
      </w:pPr>
    </w:p>
    <w:p w14:paraId="682A670F" w14:textId="17AC5DF5" w:rsidR="006D245B" w:rsidRPr="00796736" w:rsidRDefault="006D245B" w:rsidP="00A802A5">
      <w:pPr>
        <w:spacing w:line="360" w:lineRule="auto"/>
        <w:jc w:val="center"/>
        <w:rPr>
          <w:rFonts w:ascii="Times New Roman" w:hAnsi="Times New Roman" w:cs="Times New Roman"/>
          <w:sz w:val="24"/>
          <w:szCs w:val="24"/>
        </w:rPr>
      </w:pPr>
      <w:bookmarkStart w:id="513" w:name="_Toc229655882"/>
      <w:r w:rsidRPr="00796736">
        <w:rPr>
          <w:rFonts w:ascii="Times New Roman" w:hAnsi="Times New Roman" w:cs="Times New Roman"/>
          <w:sz w:val="24"/>
          <w:szCs w:val="24"/>
        </w:rPr>
        <w:t>Kapitel 1</w:t>
      </w:r>
      <w:r w:rsidR="00B61E4E" w:rsidRPr="00796736">
        <w:rPr>
          <w:rFonts w:ascii="Times New Roman" w:hAnsi="Times New Roman" w:cs="Times New Roman"/>
          <w:sz w:val="24"/>
          <w:szCs w:val="24"/>
        </w:rPr>
        <w:t>7</w:t>
      </w:r>
    </w:p>
    <w:p w14:paraId="2BD62222" w14:textId="38D5114F" w:rsidR="00892A99" w:rsidRPr="00796736" w:rsidRDefault="00892A99" w:rsidP="00A802A5">
      <w:pPr>
        <w:spacing w:line="360" w:lineRule="auto"/>
        <w:jc w:val="center"/>
        <w:rPr>
          <w:rFonts w:ascii="Times New Roman" w:hAnsi="Times New Roman" w:cs="Times New Roman"/>
          <w:i/>
          <w:iCs/>
          <w:sz w:val="24"/>
          <w:szCs w:val="24"/>
        </w:rPr>
      </w:pPr>
      <w:bookmarkStart w:id="514" w:name="_Toc229655883"/>
      <w:bookmarkEnd w:id="513"/>
      <w:r w:rsidRPr="00796736">
        <w:rPr>
          <w:rFonts w:ascii="Times New Roman" w:hAnsi="Times New Roman" w:cs="Times New Roman"/>
          <w:i/>
          <w:iCs/>
          <w:sz w:val="24"/>
          <w:szCs w:val="24"/>
        </w:rPr>
        <w:t>Straf</w:t>
      </w:r>
      <w:bookmarkEnd w:id="514"/>
    </w:p>
    <w:p w14:paraId="3223F57B" w14:textId="77777777" w:rsidR="00AB17CC" w:rsidRPr="00796736" w:rsidRDefault="00AB17CC" w:rsidP="00A802A5">
      <w:pPr>
        <w:spacing w:line="360" w:lineRule="auto"/>
        <w:jc w:val="center"/>
        <w:rPr>
          <w:rFonts w:ascii="Times New Roman" w:hAnsi="Times New Roman" w:cs="Times New Roman"/>
          <w:sz w:val="24"/>
          <w:szCs w:val="24"/>
        </w:rPr>
      </w:pPr>
    </w:p>
    <w:p w14:paraId="54EE11DC" w14:textId="1425C87F" w:rsidR="008B62F8" w:rsidRPr="008B62F8" w:rsidRDefault="008B62F8" w:rsidP="008B62F8">
      <w:pPr>
        <w:pStyle w:val="Typografi1"/>
        <w:ind w:left="0" w:firstLine="238"/>
        <w:rPr>
          <w:rFonts w:ascii="Times New Roman" w:hAnsi="Times New Roman" w:cs="Times New Roman"/>
          <w:sz w:val="24"/>
          <w:szCs w:val="24"/>
        </w:rPr>
      </w:pPr>
      <w:bookmarkStart w:id="515" w:name="_Toc244879123"/>
      <w:bookmarkStart w:id="516" w:name="_Toc244880647"/>
      <w:r w:rsidRPr="008B62F8">
        <w:rPr>
          <w:rFonts w:ascii="Times New Roman" w:eastAsia="Times New Roman" w:hAnsi="Times New Roman" w:cs="Times New Roman"/>
          <w:sz w:val="24"/>
          <w:szCs w:val="24"/>
          <w:lang w:eastAsia="da-DK"/>
        </w:rPr>
        <w:t>Den, der uden, at forholdet er omfattet af stk. 4, begår alvorlige, gentagne eller systematiske overtrædelser af følgende bestemmelser straffes med bøde, medmindre højere straf er forskyldt efter straffelovens regler, jf. dog stk. 8:</w:t>
      </w:r>
      <w:bookmarkEnd w:id="515"/>
      <w:bookmarkEnd w:id="516"/>
      <w:r w:rsidRPr="008B62F8">
        <w:rPr>
          <w:rFonts w:ascii="Times New Roman" w:eastAsia="Times New Roman" w:hAnsi="Times New Roman" w:cs="Times New Roman"/>
          <w:sz w:val="24"/>
          <w:szCs w:val="24"/>
          <w:lang w:eastAsia="da-DK"/>
        </w:rPr>
        <w:t xml:space="preserve"> </w:t>
      </w:r>
    </w:p>
    <w:p w14:paraId="4C300B6C"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sz w:val="24"/>
          <w:szCs w:val="24"/>
          <w:lang w:eastAsia="da-DK"/>
        </w:rPr>
        <w:t>1) Hvidvaskforordningens bestemmelser om interne politikker, procedurer og kontroller i artikel 9, stk. 1-3, artikel 10, stk. 1 og 2, artikel 11, stk. 1, 1.-3. pkt., stk. 2, 1., 2., 5. og 6. pkt., stk. 3-6, og stk. 7, 1. og 3. pkt., artikel 12, artikel 13, stk. 1-3, artikel 14, stk. 2, artikel 15, artikel 16, stk. 1-3, artikel 17, stk. 1 og 2, artikel 18, stk. 1, 2. pkt., stk. 2, 3. pkt., stk. 3-6, og stk. 7, 2. pkt.</w:t>
      </w:r>
    </w:p>
    <w:p w14:paraId="6A331AA7"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sz w:val="24"/>
          <w:szCs w:val="24"/>
          <w:lang w:eastAsia="da-DK"/>
        </w:rPr>
        <w:t xml:space="preserve">2) Hvidvaskforordningens bestemmelser om kundekendskabsprocedurer i artikel 19, stk. 1-3, stk. 4, 1. pkt., og stk. 5, artikel 20, stk. 1, 2 og 4, artikel 21, stk. 1, 1. og 4. pkt., og stk. 3, 1. og 2. pkt., artikel 22, stk. 1-7, artikel 23, stk. 1, 1. og 3. pkt., stk. 2, 2. pkt., og stk. 4, artikel 24, stk. 1, 1. og 2. pkt., og stk. 3, artikel 25, artikel 26, stk. 1-3, og stk. 4, 1. og 2. pkt., artikel 27, stk. 1 og 2, artikel 29, stk. 4, artikel 33, stk. 1, 2. og 3. pkt., og stk. 2-5, artikel 34, stk. 1-4, og stk. 5, 1. pkt., artikel 36, artikel 37, stk. 1 og 2, artikel 38, stk. 1 og 7, artikel 39, stk. 1 og 2, artikel 40, stk. 1, artikel 41, artikel 42, stk. 1, artikel 44, artikel 45, stk. 1- 3, artikel 47, artikel 48, stk. 1, 2 og 4, og artikel 49, stk. 1-4. </w:t>
      </w:r>
    </w:p>
    <w:p w14:paraId="45927280"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sz w:val="24"/>
          <w:szCs w:val="24"/>
          <w:lang w:eastAsia="da-DK"/>
        </w:rPr>
        <w:t xml:space="preserve">3) Hvidvaskforordningens bestemmelser om indberetningsforpligtelser i artikel 69, stk. 1, 1.-3. pkt., stk. 2, 6 og 7, stk. 8, 2.-4. pkt., og stk. 9, artikel 70, stk. 1, 2. pkt., artikel 71, stk. 1 og 2, artikel 73, stk. 1, jf. stk. 2, og artikel 74, stk. 1-3. </w:t>
      </w:r>
    </w:p>
    <w:p w14:paraId="1E3F7FAE"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sz w:val="24"/>
          <w:szCs w:val="24"/>
          <w:lang w:eastAsia="da-DK"/>
        </w:rPr>
        <w:t>4) Hvidvaskforordningens artikel 77 om opbevaring af fortegnelser, artikel 79, stk. 1-3, om anonyme konti, ihændehaveraktier og tegningsoptioner til ihændehaveraktier og artikel 80, stk. 1, om tærskler for store kontantbetalinger til gengæld for varer eller tjenesteydelser.</w:t>
      </w:r>
    </w:p>
    <w:p w14:paraId="0511EE43"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sz w:val="24"/>
          <w:szCs w:val="24"/>
          <w:lang w:eastAsia="da-DK"/>
        </w:rPr>
        <w:t>5) § 3, stk. 2, §§ 4, 5, 35, 43, 44, § 45, stk. 6, § 47, stk. 1 og 2, §§ 49 og 50, § 51, stk. 1-5, § 57, stk. 1 og 2, § 81, stk. 1, § 82, stk. 1, § 83, stk. 1, § 85, stk. 1-3, og § 91, stk. 3, i denne lov.</w:t>
      </w:r>
    </w:p>
    <w:p w14:paraId="1BEE2EB9"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sz w:val="24"/>
          <w:szCs w:val="24"/>
          <w:lang w:eastAsia="da-DK"/>
        </w:rPr>
        <w:t xml:space="preserve">6) Artikel 4-8, 10-12, 14-17, 19-21 og 26 i Europa-Parlamentets og Rådets forordning om oplysninger, der skal medsendes ved pengeoverførsler og ved overførsler af visse kryptoaktiver. </w:t>
      </w:r>
    </w:p>
    <w:p w14:paraId="1B833365"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sz w:val="24"/>
          <w:szCs w:val="24"/>
          <w:lang w:eastAsia="da-DK"/>
        </w:rPr>
        <w:t>7) Artikel 6, stk. 1, i Rådets forordning 2001/1338/EF af 28. juni 2001 om fastlæggelse af de foranstaltninger, der er nødvendige for at beskytte euroen mod falskmøntneri, som ændret ved forordning 2009/44/EF, jf. Rådets forordning 2001/1339/EF af 28. juni 2001 om udvidelse af virkningerne af forordning 2001/1338/EF om fastlæggelse af de foranstaltninger, der er nødvendige for at beskytte euroen mod falskmøntneri, til også at omfatte de medlemsstater, der ikke har indført euroen som fælles valuta.</w:t>
      </w:r>
    </w:p>
    <w:p w14:paraId="13576869" w14:textId="77777777" w:rsidR="008B62F8" w:rsidRPr="008B62F8" w:rsidRDefault="008B62F8" w:rsidP="008B62F8">
      <w:pPr>
        <w:spacing w:line="360" w:lineRule="auto"/>
        <w:ind w:firstLine="238"/>
        <w:rPr>
          <w:rFonts w:ascii="Times New Roman" w:hAnsi="Times New Roman" w:cs="Times New Roman"/>
          <w:sz w:val="24"/>
          <w:szCs w:val="24"/>
        </w:rPr>
      </w:pPr>
      <w:r w:rsidRPr="008B62F8">
        <w:rPr>
          <w:rFonts w:ascii="Times New Roman" w:eastAsia="Times New Roman" w:hAnsi="Times New Roman" w:cs="Times New Roman"/>
          <w:i/>
          <w:iCs/>
          <w:sz w:val="24"/>
          <w:szCs w:val="24"/>
          <w:lang w:eastAsia="da-DK"/>
        </w:rPr>
        <w:t xml:space="preserve">Stk. 2. </w:t>
      </w:r>
      <w:r w:rsidRPr="008B62F8">
        <w:rPr>
          <w:rFonts w:ascii="Times New Roman" w:eastAsia="Times New Roman" w:hAnsi="Times New Roman" w:cs="Times New Roman"/>
          <w:sz w:val="24"/>
          <w:szCs w:val="24"/>
          <w:lang w:eastAsia="da-DK"/>
        </w:rPr>
        <w:t xml:space="preserve">Overtrædelse af § 75, stk. 1, 1. pkt., stk. 2-5 og stk. 6, 1. pkt., i denne lov straffes med bøde. </w:t>
      </w:r>
    </w:p>
    <w:p w14:paraId="1B4D38E6" w14:textId="77777777" w:rsidR="008B62F8" w:rsidRPr="008B62F8" w:rsidRDefault="008B62F8" w:rsidP="008B62F8">
      <w:pPr>
        <w:spacing w:line="360" w:lineRule="auto"/>
        <w:ind w:firstLine="238"/>
        <w:rPr>
          <w:rFonts w:ascii="Times New Roman" w:hAnsi="Times New Roman" w:cs="Times New Roman"/>
          <w:sz w:val="24"/>
          <w:szCs w:val="24"/>
        </w:rPr>
      </w:pPr>
      <w:r w:rsidRPr="008B62F8">
        <w:rPr>
          <w:rFonts w:ascii="Times New Roman" w:eastAsia="Times New Roman" w:hAnsi="Times New Roman" w:cs="Times New Roman"/>
          <w:i/>
          <w:iCs/>
          <w:sz w:val="24"/>
          <w:szCs w:val="24"/>
          <w:lang w:eastAsia="da-DK"/>
        </w:rPr>
        <w:t>Stk. 3.</w:t>
      </w:r>
      <w:r w:rsidRPr="008B62F8">
        <w:rPr>
          <w:rFonts w:ascii="Times New Roman" w:eastAsia="Times New Roman" w:hAnsi="Times New Roman" w:cs="Times New Roman"/>
          <w:sz w:val="24"/>
          <w:szCs w:val="24"/>
          <w:lang w:eastAsia="da-DK"/>
        </w:rPr>
        <w:t xml:space="preserve"> Med bøde straffes en virksomhed eller person, der ikke efterkommer et påbud, givet i medfør af §§ 62-67, §§ 86-91 samt § 93, §§ 102-104, § 105, stk. 1 og §§ 118-123.</w:t>
      </w:r>
    </w:p>
    <w:p w14:paraId="7C8C7E3B"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i/>
          <w:iCs/>
          <w:sz w:val="24"/>
          <w:szCs w:val="24"/>
          <w:lang w:eastAsia="da-DK"/>
        </w:rPr>
        <w:t>Stk. 4.</w:t>
      </w:r>
      <w:r w:rsidRPr="008B62F8">
        <w:rPr>
          <w:rFonts w:ascii="Times New Roman" w:eastAsia="Times New Roman" w:hAnsi="Times New Roman" w:cs="Times New Roman"/>
          <w:sz w:val="24"/>
          <w:szCs w:val="24"/>
          <w:lang w:eastAsia="da-DK"/>
        </w:rPr>
        <w:t xml:space="preserve"> Ved særligt grove eller omfattende forsætlige overtrædelser af artikel 16, stk. 1, artikel 17, stk. 1 og 2, artikel 19, stk. 1-3, stk. 4, 1. pkt., og stk. 5, artikel 20, stk. 1, 2 og 4, artikel 21, stk. 1-3, artikel 22, stk. 1-7, artikel 23, stk. 1, 1. og 3. pkt., stk. 2, 2. pkt., og stk. 4, artikel 25, stk. 1, artikel 26, stk. 1-3, og stk. 4, 1. og 2. pkt., artikel 29, stk. 4, artikel 33, stk. 1, 2. og 3. pkt., og stk. 2-5, artikel 34, stk. 1-4, artikel 36, artikel 37, stk. 1 og 2, artikel 39, stk. 1 og 2, artikel 42, stk. 1, artikel 44, artikel 45, stk. 1- 3, artikel 47, artikel 69, stk. 1, 1.-3. pkt., og stk. 2, artikel 71, stk. 1 og 2, artikel 77 i hvidvaskforordningen, §§ 3, stk. 2, 40 og 57, stk. 2, i denne lov, og artikel 4-8, 10-12, 14-17, 19-21 og 26 i Europa-Parlamentets og Rådets forordning om oplysninger, der skal medsendes ved pengeoverførsler og ved overførsler af visse kryptoaktiver, kan straffen stige til fængsel indtil 2 år, medmindre højere straf er forskyldt efter straffelovens regler.</w:t>
      </w:r>
    </w:p>
    <w:p w14:paraId="34D3A3DB" w14:textId="77777777" w:rsidR="008B62F8" w:rsidRPr="008B62F8" w:rsidRDefault="008B62F8" w:rsidP="008B62F8">
      <w:pPr>
        <w:spacing w:line="360" w:lineRule="auto"/>
        <w:ind w:firstLine="238"/>
        <w:rPr>
          <w:rFonts w:ascii="Times New Roman" w:hAnsi="Times New Roman" w:cs="Times New Roman"/>
          <w:sz w:val="24"/>
          <w:szCs w:val="24"/>
        </w:rPr>
      </w:pPr>
      <w:r w:rsidRPr="008B62F8">
        <w:rPr>
          <w:rFonts w:ascii="Times New Roman" w:eastAsia="Times New Roman" w:hAnsi="Times New Roman" w:cs="Times New Roman"/>
          <w:i/>
          <w:iCs/>
          <w:sz w:val="24"/>
          <w:szCs w:val="24"/>
          <w:lang w:eastAsia="da-DK"/>
        </w:rPr>
        <w:t>Stk. 5.</w:t>
      </w:r>
      <w:r w:rsidRPr="008B62F8">
        <w:rPr>
          <w:rFonts w:ascii="Times New Roman" w:eastAsia="Times New Roman" w:hAnsi="Times New Roman" w:cs="Times New Roman"/>
          <w:sz w:val="24"/>
          <w:szCs w:val="24"/>
          <w:lang w:eastAsia="da-DK"/>
        </w:rPr>
        <w:t xml:space="preserve"> Overtrædelse af bestemmelserne nævnt i stk. 1 straffes med bøde, uanset at overtrædelsen ikke er af alvorlig, gentagen eller systematisk karakter, medmindre højere straf er forskyldt efter anden lovgivning. </w:t>
      </w:r>
    </w:p>
    <w:p w14:paraId="3641DD4E" w14:textId="77777777" w:rsidR="008B62F8" w:rsidRPr="008B62F8" w:rsidRDefault="008B62F8" w:rsidP="008B62F8">
      <w:pPr>
        <w:spacing w:line="360" w:lineRule="auto"/>
        <w:ind w:firstLine="238"/>
        <w:rPr>
          <w:rFonts w:ascii="Times New Roman" w:hAnsi="Times New Roman" w:cs="Times New Roman"/>
          <w:sz w:val="24"/>
          <w:szCs w:val="24"/>
        </w:rPr>
      </w:pPr>
      <w:r w:rsidRPr="008B62F8">
        <w:rPr>
          <w:rFonts w:ascii="Times New Roman" w:eastAsia="Times New Roman" w:hAnsi="Times New Roman" w:cs="Times New Roman"/>
          <w:i/>
          <w:iCs/>
          <w:sz w:val="24"/>
          <w:szCs w:val="24"/>
          <w:lang w:eastAsia="da-DK"/>
        </w:rPr>
        <w:t>Stk. 6.</w:t>
      </w:r>
      <w:r w:rsidRPr="008B62F8">
        <w:rPr>
          <w:rFonts w:ascii="Times New Roman" w:eastAsia="Times New Roman" w:hAnsi="Times New Roman" w:cs="Times New Roman"/>
          <w:sz w:val="24"/>
          <w:szCs w:val="24"/>
          <w:lang w:eastAsia="da-DK"/>
        </w:rPr>
        <w:t xml:space="preserve"> Ved vurderingen af overtrædelsens grovhed skal der navnlig tages hensyn til de kriterier og indikatorer til klassificering af niveauet for overtrædelsen, som er fastsat i regler udstedt i medfør af AMLA-forordningens artikel 49, jf. hvidvaskdirektivets artikel 53, stk. 10.</w:t>
      </w:r>
    </w:p>
    <w:p w14:paraId="17D3BD86" w14:textId="77777777" w:rsidR="008B62F8" w:rsidRPr="008B62F8" w:rsidRDefault="008B62F8" w:rsidP="008B62F8">
      <w:pPr>
        <w:spacing w:line="360" w:lineRule="auto"/>
        <w:ind w:firstLine="238"/>
        <w:rPr>
          <w:rFonts w:ascii="Times New Roman" w:hAnsi="Times New Roman" w:cs="Times New Roman"/>
          <w:sz w:val="24"/>
          <w:szCs w:val="24"/>
        </w:rPr>
      </w:pPr>
      <w:r w:rsidRPr="008B62F8">
        <w:rPr>
          <w:rFonts w:ascii="Times New Roman" w:eastAsia="Times New Roman" w:hAnsi="Times New Roman" w:cs="Times New Roman"/>
          <w:i/>
          <w:iCs/>
          <w:sz w:val="24"/>
          <w:szCs w:val="24"/>
          <w:lang w:eastAsia="da-DK"/>
        </w:rPr>
        <w:t>Stk. 7.</w:t>
      </w:r>
      <w:r w:rsidRPr="008B62F8">
        <w:rPr>
          <w:rFonts w:ascii="Times New Roman" w:eastAsia="Times New Roman" w:hAnsi="Times New Roman" w:cs="Times New Roman"/>
          <w:sz w:val="24"/>
          <w:szCs w:val="24"/>
          <w:lang w:eastAsia="da-DK"/>
        </w:rPr>
        <w:t xml:space="preserve"> </w:t>
      </w:r>
      <w:r w:rsidRPr="008B62F8">
        <w:rPr>
          <w:rFonts w:ascii="Times New Roman" w:hAnsi="Times New Roman" w:cs="Times New Roman"/>
          <w:sz w:val="24"/>
          <w:szCs w:val="24"/>
        </w:rPr>
        <w:t>Ved udmålingen af bøder efter stk. 1- 5 skal der navnlig lægges vægt på, overtrædelsens grovhed, jf. stk. 6, grundbeløb for bøder i forhold til omsætning, opdelt efter type af overtrædelse og kategori af forpligtet enhed fastsat i medfør af hvidvaskdirektivets artikel 53, stk. 11, og gerningspersonens økonomiske forhold og for virksomheder nettoomsætning på gerningstidspunktet.</w:t>
      </w:r>
    </w:p>
    <w:p w14:paraId="311A7C65" w14:textId="77777777" w:rsidR="008B62F8" w:rsidRPr="008B62F8" w:rsidRDefault="008B62F8" w:rsidP="008B62F8">
      <w:pPr>
        <w:spacing w:line="360" w:lineRule="auto"/>
        <w:ind w:firstLine="238"/>
        <w:rPr>
          <w:rFonts w:ascii="Times New Roman" w:eastAsia="Times New Roman" w:hAnsi="Times New Roman" w:cs="Times New Roman"/>
          <w:sz w:val="24"/>
          <w:szCs w:val="24"/>
          <w:lang w:eastAsia="da-DK"/>
        </w:rPr>
      </w:pPr>
      <w:r w:rsidRPr="008B62F8">
        <w:rPr>
          <w:rFonts w:ascii="Times New Roman" w:eastAsia="Times New Roman" w:hAnsi="Times New Roman" w:cs="Times New Roman"/>
          <w:i/>
          <w:iCs/>
          <w:sz w:val="24"/>
          <w:szCs w:val="24"/>
          <w:lang w:eastAsia="da-DK"/>
        </w:rPr>
        <w:t>Stk. 8.</w:t>
      </w:r>
      <w:r w:rsidRPr="008B62F8">
        <w:rPr>
          <w:rFonts w:ascii="Times New Roman" w:eastAsia="Times New Roman" w:hAnsi="Times New Roman" w:cs="Times New Roman"/>
          <w:sz w:val="24"/>
          <w:szCs w:val="24"/>
          <w:lang w:eastAsia="da-DK"/>
        </w:rPr>
        <w:t xml:space="preserve"> Der kan pålægges selskaber m.v. (juridiske personer) strafansvar efter reglerne i straffelovens kapitel 5.</w:t>
      </w:r>
    </w:p>
    <w:p w14:paraId="17EAF73A" w14:textId="602309CD" w:rsidR="00736440" w:rsidRPr="00796736" w:rsidRDefault="00736440" w:rsidP="008B62F8">
      <w:pPr>
        <w:pStyle w:val="Typografi1"/>
        <w:numPr>
          <w:ilvl w:val="0"/>
          <w:numId w:val="0"/>
        </w:numPr>
        <w:rPr>
          <w:rFonts w:ascii="Times New Roman" w:hAnsi="Times New Roman" w:cs="Times New Roman"/>
          <w:sz w:val="24"/>
          <w:szCs w:val="24"/>
        </w:rPr>
      </w:pPr>
    </w:p>
    <w:p w14:paraId="49BC4712" w14:textId="78FF55CF" w:rsidR="00C44EF9" w:rsidRPr="00C44EF9" w:rsidRDefault="00C44EF9" w:rsidP="00C44EF9">
      <w:pPr>
        <w:pStyle w:val="Typografi1"/>
        <w:ind w:left="0" w:firstLine="238"/>
        <w:rPr>
          <w:rFonts w:ascii="Times New Roman" w:hAnsi="Times New Roman" w:cs="Times New Roman"/>
          <w:sz w:val="24"/>
          <w:szCs w:val="24"/>
        </w:rPr>
      </w:pPr>
      <w:bookmarkStart w:id="517" w:name="_Toc244879124"/>
      <w:bookmarkStart w:id="518" w:name="_Toc244880648"/>
      <w:r w:rsidRPr="00C44EF9">
        <w:rPr>
          <w:rFonts w:ascii="Times New Roman" w:eastAsia="Times New Roman" w:hAnsi="Times New Roman" w:cs="Times New Roman"/>
          <w:sz w:val="24"/>
          <w:szCs w:val="24"/>
          <w:lang w:eastAsia="da-DK"/>
        </w:rPr>
        <w:t xml:space="preserve">Skønnes en overtrædelse af </w:t>
      </w:r>
      <w:r w:rsidRPr="00C44EF9">
        <w:rPr>
          <w:rFonts w:ascii="Times New Roman" w:hAnsi="Times New Roman" w:cs="Times New Roman"/>
          <w:sz w:val="24"/>
          <w:szCs w:val="24"/>
        </w:rPr>
        <w:t>artikel 9, stk. 1-3, artikel 10, stk. 1 og 2, artikel 11, stk. 1, 1.-3. pkt., stk. 2, 1., 2., 5. og 6. pkt., stk. 3, 5 og 6, artikel 12, artikel 16, stk. 1-3, artikel 17, stk. 1 og 2, artikel 18, stk. 1, 2. pkt., stk. 2, 3. pkt., og stk. 3-6, artikel 19, stk. 1-3, stk. 4, 1. pkt., og stk. 5, artikel 20, stk. 1, 2 og 4, artikel 21, stk. 1, 1. og 4. pkt., og stk. 3, 1. og 2. pkt., artikel 22, stk. 1-7, artikel 23, stk. 1, 1. og 3. pkt., stk. 2, 2. pkt., og stk. 4, artikel 25, stk. 1, artikel 26, stk. 1-3, og stk. 4, 1. og 2. pkt., artikel 29, stk. 4, artikel 34, stk. 1-4, artikel 36, artikel 37, stk. 1 og 2, artikel 39</w:t>
      </w:r>
      <w:r w:rsidRPr="00C44EF9">
        <w:rPr>
          <w:rFonts w:ascii="Times New Roman" w:eastAsia="Times New Roman" w:hAnsi="Times New Roman" w:cs="Times New Roman"/>
          <w:sz w:val="24"/>
          <w:szCs w:val="24"/>
          <w:lang w:eastAsia="da-DK"/>
        </w:rPr>
        <w:t>, stk. 1 og 2</w:t>
      </w:r>
      <w:r w:rsidRPr="00C44EF9">
        <w:rPr>
          <w:rFonts w:ascii="Times New Roman" w:hAnsi="Times New Roman" w:cs="Times New Roman"/>
          <w:sz w:val="24"/>
          <w:szCs w:val="24"/>
        </w:rPr>
        <w:t xml:space="preserve">, artikel 42, stk. 1, artikel 44, </w:t>
      </w:r>
      <w:r w:rsidRPr="00C44EF9">
        <w:rPr>
          <w:rFonts w:ascii="Times New Roman" w:eastAsia="Times New Roman" w:hAnsi="Times New Roman" w:cs="Times New Roman"/>
          <w:sz w:val="24"/>
          <w:szCs w:val="24"/>
          <w:lang w:eastAsia="da-DK"/>
        </w:rPr>
        <w:t xml:space="preserve">artikel 45, stk. 1- 3, </w:t>
      </w:r>
      <w:r w:rsidRPr="00C44EF9">
        <w:rPr>
          <w:rFonts w:ascii="Times New Roman" w:hAnsi="Times New Roman" w:cs="Times New Roman"/>
          <w:sz w:val="24"/>
          <w:szCs w:val="24"/>
        </w:rPr>
        <w:t xml:space="preserve">artikel 47, artikel 48, stk. 1, 2 og 4, artikel 49, stk. 1-4, artikel 69, stk. 1, 1.-3. pkt., stk. 2 og 6, artikel 71, </w:t>
      </w:r>
      <w:r w:rsidRPr="00C44EF9">
        <w:rPr>
          <w:rFonts w:ascii="Times New Roman" w:eastAsia="Times New Roman" w:hAnsi="Times New Roman" w:cs="Times New Roman"/>
          <w:sz w:val="24"/>
          <w:szCs w:val="24"/>
          <w:lang w:eastAsia="da-DK"/>
        </w:rPr>
        <w:t>stk. 1 og 2,</w:t>
      </w:r>
      <w:r w:rsidRPr="00C44EF9">
        <w:rPr>
          <w:rFonts w:ascii="Times New Roman" w:hAnsi="Times New Roman" w:cs="Times New Roman"/>
          <w:sz w:val="24"/>
          <w:szCs w:val="24"/>
        </w:rPr>
        <w:t xml:space="preserve"> og artikel 77</w:t>
      </w:r>
      <w:r w:rsidRPr="00C44EF9">
        <w:rPr>
          <w:rFonts w:ascii="Times New Roman" w:eastAsia="Times New Roman" w:hAnsi="Times New Roman" w:cs="Times New Roman"/>
          <w:sz w:val="24"/>
          <w:szCs w:val="24"/>
          <w:lang w:eastAsia="da-DK"/>
        </w:rPr>
        <w:t xml:space="preserve"> i hvidvaskforordningen, samt §§ 40 og 43, § 47, stk. 1 og 2, og § 51, stk. 1-5, i denne lov ikke at ville medføre højere straf end bøde, kan Finanstilsynet i et bødeforelæg tilkendegive, at sagen kan afgøres uden retssag, hvis den fysiske eller juridiske person, der har begået overtrædelsen, erklærer sig skyldig i overtrædelsen og erklærer sig rede til inden en nærmere angiven frist at betale en bøde som angivet i bødeforelægget, jf. dog stk. 2.</w:t>
      </w:r>
      <w:bookmarkEnd w:id="517"/>
      <w:bookmarkEnd w:id="518"/>
    </w:p>
    <w:p w14:paraId="56FF66D0" w14:textId="77777777" w:rsidR="00C44EF9" w:rsidRPr="00C44EF9" w:rsidRDefault="00C44EF9" w:rsidP="00C44EF9">
      <w:pPr>
        <w:spacing w:line="360" w:lineRule="auto"/>
        <w:ind w:firstLine="238"/>
        <w:rPr>
          <w:rFonts w:ascii="Times New Roman" w:eastAsia="Times New Roman" w:hAnsi="Times New Roman" w:cs="Times New Roman"/>
          <w:sz w:val="24"/>
          <w:szCs w:val="24"/>
          <w:lang w:eastAsia="da-DK"/>
        </w:rPr>
      </w:pPr>
      <w:r w:rsidRPr="00C44EF9">
        <w:rPr>
          <w:rFonts w:ascii="Times New Roman" w:eastAsia="Times New Roman" w:hAnsi="Times New Roman" w:cs="Times New Roman"/>
          <w:i/>
          <w:iCs/>
          <w:sz w:val="24"/>
          <w:szCs w:val="24"/>
          <w:lang w:eastAsia="da-DK"/>
        </w:rPr>
        <w:t>Stk. 2.</w:t>
      </w:r>
      <w:r w:rsidRPr="00C44EF9">
        <w:rPr>
          <w:rFonts w:ascii="Times New Roman" w:eastAsia="Times New Roman" w:hAnsi="Times New Roman" w:cs="Times New Roman"/>
          <w:sz w:val="24"/>
          <w:szCs w:val="24"/>
          <w:lang w:eastAsia="da-DK"/>
        </w:rPr>
        <w:t xml:space="preserve"> Finanstilsynet skal forud for udstedelsen af et administrativt bødeforelæg indhente samtykke fra National enhed for Særlig Kriminalitet, hvis Finanstilsynet vurderer, at en overtrædelse giver anledning til en vis skønsmæssig vurdering, eller at udgangspunktet for bødeniveauet skal fraviges.</w:t>
      </w:r>
    </w:p>
    <w:p w14:paraId="1F181B45" w14:textId="77777777" w:rsidR="00C44EF9" w:rsidRPr="00C44EF9" w:rsidRDefault="00C44EF9" w:rsidP="00C44EF9">
      <w:pPr>
        <w:spacing w:line="360" w:lineRule="auto"/>
        <w:ind w:firstLine="238"/>
        <w:rPr>
          <w:rFonts w:ascii="Times New Roman" w:eastAsia="Times New Roman" w:hAnsi="Times New Roman" w:cs="Times New Roman"/>
          <w:sz w:val="24"/>
          <w:szCs w:val="24"/>
          <w:lang w:eastAsia="da-DK"/>
        </w:rPr>
      </w:pPr>
      <w:r w:rsidRPr="00C44EF9">
        <w:rPr>
          <w:rFonts w:ascii="Times New Roman" w:eastAsia="Times New Roman" w:hAnsi="Times New Roman" w:cs="Times New Roman"/>
          <w:i/>
          <w:iCs/>
          <w:sz w:val="24"/>
          <w:szCs w:val="24"/>
          <w:lang w:eastAsia="da-DK"/>
        </w:rPr>
        <w:t>Stk. 3.</w:t>
      </w:r>
      <w:r w:rsidRPr="00C44EF9">
        <w:rPr>
          <w:rFonts w:ascii="Times New Roman" w:eastAsia="Times New Roman" w:hAnsi="Times New Roman" w:cs="Times New Roman"/>
          <w:sz w:val="24"/>
          <w:szCs w:val="24"/>
          <w:lang w:eastAsia="da-DK"/>
        </w:rPr>
        <w:t xml:space="preserve"> Retsplejelovens regler om krav til indholdet af et anklageskrift og om, at en sigtet ikke er forpligtet til at udtale sig, finder tilsvarende anvendelse på bødeforelæg efter stk. 1.</w:t>
      </w:r>
    </w:p>
    <w:p w14:paraId="7ADAFA82" w14:textId="77777777" w:rsidR="00C44EF9" w:rsidRPr="00C44EF9" w:rsidRDefault="00C44EF9" w:rsidP="00C44EF9">
      <w:pPr>
        <w:spacing w:line="360" w:lineRule="auto"/>
        <w:ind w:firstLine="238"/>
        <w:rPr>
          <w:rFonts w:ascii="Times New Roman" w:eastAsia="Times New Roman" w:hAnsi="Times New Roman" w:cs="Times New Roman"/>
          <w:sz w:val="24"/>
          <w:szCs w:val="24"/>
          <w:lang w:eastAsia="da-DK"/>
        </w:rPr>
      </w:pPr>
      <w:r w:rsidRPr="00C44EF9">
        <w:rPr>
          <w:rFonts w:ascii="Times New Roman" w:eastAsia="Times New Roman" w:hAnsi="Times New Roman" w:cs="Times New Roman"/>
          <w:i/>
          <w:iCs/>
          <w:sz w:val="24"/>
          <w:szCs w:val="24"/>
          <w:lang w:eastAsia="da-DK"/>
        </w:rPr>
        <w:t>Stk. 4.</w:t>
      </w:r>
      <w:r w:rsidRPr="00C44EF9">
        <w:rPr>
          <w:rFonts w:ascii="Times New Roman" w:eastAsia="Times New Roman" w:hAnsi="Times New Roman" w:cs="Times New Roman"/>
          <w:sz w:val="24"/>
          <w:szCs w:val="24"/>
          <w:lang w:eastAsia="da-DK"/>
        </w:rPr>
        <w:t xml:space="preserve"> Vedtages et administrativt bødeforelæg, bortfalder videre forfølgning. Vedtagelsen har samme virkning som en dom.</w:t>
      </w:r>
    </w:p>
    <w:p w14:paraId="2319EBA3" w14:textId="3DC94244" w:rsidR="00875674" w:rsidRPr="00796736" w:rsidRDefault="00875674" w:rsidP="00A2014A">
      <w:pPr>
        <w:pStyle w:val="Typografi1"/>
        <w:numPr>
          <w:ilvl w:val="0"/>
          <w:numId w:val="0"/>
        </w:numPr>
        <w:ind w:left="238"/>
        <w:rPr>
          <w:rFonts w:ascii="Times New Roman" w:hAnsi="Times New Roman" w:cs="Times New Roman"/>
          <w:sz w:val="24"/>
          <w:szCs w:val="24"/>
        </w:rPr>
      </w:pPr>
    </w:p>
    <w:p w14:paraId="5E5F8334" w14:textId="329D96E1" w:rsidR="00FA038E" w:rsidRPr="00A2014A" w:rsidRDefault="00A2014A" w:rsidP="00A2014A">
      <w:pPr>
        <w:pStyle w:val="Typografi1"/>
        <w:ind w:left="0" w:firstLine="238"/>
        <w:rPr>
          <w:rFonts w:ascii="Times New Roman" w:hAnsi="Times New Roman" w:cs="Times New Roman"/>
          <w:sz w:val="24"/>
          <w:szCs w:val="24"/>
        </w:rPr>
      </w:pPr>
      <w:bookmarkStart w:id="519" w:name="_Toc244879125"/>
      <w:bookmarkStart w:id="520" w:name="_Toc244880649"/>
      <w:r w:rsidRPr="00A2014A">
        <w:rPr>
          <w:rFonts w:ascii="Times New Roman" w:eastAsia="Times New Roman" w:hAnsi="Times New Roman" w:cs="Times New Roman"/>
          <w:sz w:val="24"/>
          <w:szCs w:val="24"/>
          <w:lang w:eastAsia="da-DK"/>
        </w:rPr>
        <w:t xml:space="preserve">Forældelsesfristen for overtrædelse af bestemmelser i hvidvaskforordningen, denne lov eller regler udstedt i medfør af denne lov er 5 år. Forældelsesfristen er dog 10 år ved overtrædelse af </w:t>
      </w:r>
      <w:r w:rsidRPr="00A2014A">
        <w:rPr>
          <w:rFonts w:ascii="Times New Roman" w:hAnsi="Times New Roman" w:cs="Times New Roman"/>
          <w:sz w:val="24"/>
          <w:szCs w:val="24"/>
        </w:rPr>
        <w:t xml:space="preserve">artikel 10, stk. 1 og 2, artikel 11, stk. 1 og 2, artikel 16, stk. 1-3, artikel 17, stk. 1 og 2, artikel 18, stk. 1, 2. pkt., stk. 2, 3. pkt., og stk. 3-6, artikel 19, stk. 1-3, stk. 4, 1. pkt., og stk. 5, artikel 20, stk. 1, 2 og 4, artikel 21, stk. 1, 1. og 4. pkt., og stk. 3, 1. og 2. pkt., artikel 22, stk. 1-7, artikel 23, stk. 1, 1. og 3. pkt., stk. 2, 2. pkt., og stk. 4, artikel 25, artikel 26, stk. 1-3, og stk. 4, 1. og 2. pkt., artikel 29, stk. 4, artikel 34, stk. 1-4, artikel 36, artikel 37, stk. 1 og 2, artikel 39, stk. 1 og 2, artikel 42, stk. 1, artikel 44, </w:t>
      </w:r>
      <w:r w:rsidRPr="00A2014A">
        <w:rPr>
          <w:rFonts w:ascii="Times New Roman" w:eastAsia="Times New Roman" w:hAnsi="Times New Roman" w:cs="Times New Roman"/>
          <w:sz w:val="24"/>
          <w:szCs w:val="24"/>
          <w:lang w:eastAsia="da-DK"/>
        </w:rPr>
        <w:t xml:space="preserve">artikel 45, stk. 1- 3, </w:t>
      </w:r>
      <w:r w:rsidRPr="00A2014A">
        <w:rPr>
          <w:rFonts w:ascii="Times New Roman" w:hAnsi="Times New Roman" w:cs="Times New Roman"/>
          <w:sz w:val="24"/>
          <w:szCs w:val="24"/>
        </w:rPr>
        <w:t>artikel 47, artikel 48, stk. 1, 2 og 4, artikel 49, stk. 14, artikel 69, stk. 1, 1.-3. pkt., stk. 2 og 6, artikel 71, stk. 1 og 2, og artikel 77 </w:t>
      </w:r>
      <w:r w:rsidRPr="00A2014A">
        <w:rPr>
          <w:rFonts w:ascii="Times New Roman" w:eastAsia="Times New Roman" w:hAnsi="Times New Roman" w:cs="Times New Roman"/>
          <w:sz w:val="24"/>
          <w:szCs w:val="24"/>
          <w:lang w:eastAsia="da-DK"/>
        </w:rPr>
        <w:t>i hvidvaskforordningen og §§ 4, 5, 35 samt 57, stk. 1 og 2, i denne lov.</w:t>
      </w:r>
      <w:bookmarkEnd w:id="519"/>
      <w:bookmarkEnd w:id="520"/>
    </w:p>
    <w:p w14:paraId="175372CF" w14:textId="77777777" w:rsidR="00013DE2" w:rsidRPr="00796736" w:rsidRDefault="00013DE2" w:rsidP="00A802A5">
      <w:pPr>
        <w:spacing w:line="360" w:lineRule="auto"/>
        <w:rPr>
          <w:rFonts w:ascii="Times New Roman" w:hAnsi="Times New Roman" w:cs="Times New Roman"/>
          <w:sz w:val="24"/>
          <w:szCs w:val="24"/>
        </w:rPr>
      </w:pPr>
    </w:p>
    <w:p w14:paraId="13D03AD8" w14:textId="530DEE47" w:rsidR="00892A99" w:rsidRPr="00796736" w:rsidRDefault="00892A99" w:rsidP="00A802A5">
      <w:pPr>
        <w:spacing w:line="360" w:lineRule="auto"/>
        <w:jc w:val="center"/>
        <w:rPr>
          <w:rFonts w:ascii="Times New Roman" w:hAnsi="Times New Roman" w:cs="Times New Roman"/>
          <w:sz w:val="24"/>
          <w:szCs w:val="24"/>
        </w:rPr>
      </w:pPr>
      <w:bookmarkStart w:id="521" w:name="_Toc229655884"/>
      <w:r w:rsidRPr="00796736">
        <w:rPr>
          <w:rFonts w:ascii="Times New Roman" w:hAnsi="Times New Roman" w:cs="Times New Roman"/>
          <w:sz w:val="24"/>
          <w:szCs w:val="24"/>
        </w:rPr>
        <w:t xml:space="preserve">Kapitel </w:t>
      </w:r>
      <w:bookmarkEnd w:id="521"/>
      <w:r w:rsidR="009938D3" w:rsidRPr="00796736">
        <w:rPr>
          <w:rFonts w:ascii="Times New Roman" w:hAnsi="Times New Roman" w:cs="Times New Roman"/>
          <w:sz w:val="24"/>
          <w:szCs w:val="24"/>
        </w:rPr>
        <w:t>1</w:t>
      </w:r>
      <w:r w:rsidR="00B61E4E" w:rsidRPr="00796736">
        <w:rPr>
          <w:rFonts w:ascii="Times New Roman" w:hAnsi="Times New Roman" w:cs="Times New Roman"/>
          <w:sz w:val="24"/>
          <w:szCs w:val="24"/>
        </w:rPr>
        <w:t>8</w:t>
      </w:r>
    </w:p>
    <w:p w14:paraId="04F46776" w14:textId="3E70B58B" w:rsidR="004E155B" w:rsidRPr="007645AE" w:rsidRDefault="00892A99" w:rsidP="00A802A5">
      <w:pPr>
        <w:spacing w:line="360" w:lineRule="auto"/>
        <w:jc w:val="center"/>
        <w:rPr>
          <w:rFonts w:ascii="Times New Roman" w:hAnsi="Times New Roman" w:cs="Times New Roman"/>
          <w:i/>
          <w:iCs/>
          <w:sz w:val="24"/>
          <w:szCs w:val="24"/>
        </w:rPr>
      </w:pPr>
      <w:bookmarkStart w:id="522" w:name="_Toc229655885"/>
      <w:r w:rsidRPr="00796736">
        <w:rPr>
          <w:rFonts w:ascii="Times New Roman" w:hAnsi="Times New Roman" w:cs="Times New Roman"/>
          <w:i/>
          <w:iCs/>
          <w:sz w:val="24"/>
          <w:szCs w:val="24"/>
        </w:rPr>
        <w:t>Ikrafttræden, ændringer i anden lovgivning og territorial gyldighed</w:t>
      </w:r>
      <w:bookmarkEnd w:id="522"/>
    </w:p>
    <w:p w14:paraId="6F98D411" w14:textId="67B40BF4" w:rsidR="00974CC2" w:rsidRPr="00974CC2" w:rsidRDefault="00A8275F" w:rsidP="005F127B">
      <w:pPr>
        <w:pStyle w:val="Typografi1"/>
        <w:ind w:left="0" w:firstLine="238"/>
        <w:rPr>
          <w:rFonts w:ascii="Times New Roman" w:hAnsi="Times New Roman" w:cs="Times New Roman"/>
          <w:sz w:val="24"/>
          <w:szCs w:val="24"/>
        </w:rPr>
      </w:pPr>
      <w:bookmarkStart w:id="523" w:name="_Ref239330523"/>
      <w:bookmarkStart w:id="524" w:name="_Toc244879126"/>
      <w:bookmarkStart w:id="525" w:name="_Toc244880650"/>
      <w:r w:rsidRPr="00796736">
        <w:rPr>
          <w:rFonts w:ascii="Times New Roman" w:hAnsi="Times New Roman" w:cs="Times New Roman"/>
          <w:sz w:val="24"/>
          <w:szCs w:val="24"/>
        </w:rPr>
        <w:t>Loven træder i kraft den 10. juli 2027.</w:t>
      </w:r>
      <w:bookmarkEnd w:id="523"/>
      <w:bookmarkEnd w:id="524"/>
      <w:bookmarkEnd w:id="525"/>
    </w:p>
    <w:p w14:paraId="63B41287" w14:textId="23BA3ED0" w:rsidR="00974CC2" w:rsidRDefault="00A8275F" w:rsidP="00A802A5">
      <w:pPr>
        <w:spacing w:line="360" w:lineRule="auto"/>
        <w:ind w:firstLine="238"/>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 xml:space="preserve">Stk. 2. </w:t>
      </w:r>
      <w:r w:rsidR="00974CC2" w:rsidRPr="00974CC2">
        <w:rPr>
          <w:rFonts w:ascii="Times New Roman" w:eastAsia="Times New Roman" w:hAnsi="Times New Roman" w:cs="Times New Roman"/>
          <w:sz w:val="24"/>
          <w:szCs w:val="24"/>
        </w:rPr>
        <w:t xml:space="preserve">Regler udstedt i medfør af § 1, stk. 7, § 18, stk. 9, § 21, stk. 2, </w:t>
      </w:r>
      <w:r w:rsidR="00DC1372">
        <w:rPr>
          <w:rFonts w:ascii="Times New Roman" w:eastAsia="Times New Roman" w:hAnsi="Times New Roman" w:cs="Times New Roman"/>
          <w:sz w:val="24"/>
          <w:szCs w:val="24"/>
        </w:rPr>
        <w:t xml:space="preserve">§ 30 a, </w:t>
      </w:r>
      <w:r w:rsidR="00974CC2" w:rsidRPr="00974CC2">
        <w:rPr>
          <w:rFonts w:ascii="Times New Roman" w:eastAsia="Times New Roman" w:hAnsi="Times New Roman" w:cs="Times New Roman"/>
          <w:sz w:val="24"/>
          <w:szCs w:val="24"/>
        </w:rPr>
        <w:t>§ 31 a, stk. 2, § 31 b, stk. 3,</w:t>
      </w:r>
      <w:r w:rsidR="00DC1372">
        <w:rPr>
          <w:rFonts w:ascii="Times New Roman" w:eastAsia="Times New Roman" w:hAnsi="Times New Roman" w:cs="Times New Roman"/>
          <w:sz w:val="24"/>
          <w:szCs w:val="24"/>
        </w:rPr>
        <w:t xml:space="preserve"> § 49, stk. 7,</w:t>
      </w:r>
      <w:r w:rsidR="00974CC2" w:rsidRPr="00974CC2">
        <w:rPr>
          <w:rFonts w:ascii="Times New Roman" w:eastAsia="Times New Roman" w:hAnsi="Times New Roman" w:cs="Times New Roman"/>
          <w:sz w:val="24"/>
          <w:szCs w:val="24"/>
        </w:rPr>
        <w:t xml:space="preserve"> § 52 og § 53 i LBK nr. 433 af 17. april 2026 om forebyggende foranstaltninger mod hvidvask og finansiering af terrorisme forbliver i kraft, indtil de ophæves eller afløses af regler udstedt i medfør af </w:t>
      </w:r>
      <w:r w:rsidR="008A457C">
        <w:rPr>
          <w:rFonts w:ascii="Times New Roman" w:eastAsia="Times New Roman" w:hAnsi="Times New Roman" w:cs="Times New Roman"/>
          <w:sz w:val="24"/>
          <w:szCs w:val="24"/>
        </w:rPr>
        <w:t>§ 1, stk. 7, § 7, § 8, stk. 3, § 11, § 32, stk. 2, § 53, § 58 og § 68</w:t>
      </w:r>
      <w:r w:rsidR="00974CC2" w:rsidRPr="00974CC2">
        <w:rPr>
          <w:rFonts w:ascii="Times New Roman" w:eastAsia="Times New Roman" w:hAnsi="Times New Roman" w:cs="Times New Roman"/>
          <w:sz w:val="24"/>
          <w:szCs w:val="24"/>
        </w:rPr>
        <w:t>, i denne lov.</w:t>
      </w:r>
    </w:p>
    <w:p w14:paraId="35B2DCCA" w14:textId="520A8049" w:rsidR="00A8275F" w:rsidRPr="00796736" w:rsidRDefault="00974CC2" w:rsidP="00A802A5">
      <w:pPr>
        <w:spacing w:line="360" w:lineRule="auto"/>
        <w:ind w:firstLine="238"/>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Stk. 3. </w:t>
      </w:r>
      <w:r w:rsidR="00A8275F" w:rsidRPr="00796736">
        <w:rPr>
          <w:rFonts w:ascii="Times New Roman" w:eastAsia="Times New Roman" w:hAnsi="Times New Roman" w:cs="Times New Roman"/>
          <w:sz w:val="24"/>
          <w:szCs w:val="24"/>
        </w:rPr>
        <w:t>Lov om forebyggende foranstaltninger mod hvidvask og finansiering af terrorisme (hvidvaskloven), jf. lovbekendtgørelse nr.</w:t>
      </w:r>
      <w:r w:rsidR="00457845">
        <w:rPr>
          <w:rFonts w:ascii="Times New Roman" w:eastAsia="Times New Roman" w:hAnsi="Times New Roman" w:cs="Times New Roman"/>
          <w:sz w:val="24"/>
          <w:szCs w:val="24"/>
        </w:rPr>
        <w:t xml:space="preserve"> </w:t>
      </w:r>
      <w:r w:rsidR="00457845" w:rsidRPr="00457845">
        <w:rPr>
          <w:rFonts w:ascii="Times New Roman" w:eastAsia="Times New Roman" w:hAnsi="Times New Roman" w:cs="Times New Roman"/>
          <w:sz w:val="24"/>
          <w:szCs w:val="24"/>
        </w:rPr>
        <w:t>433 af 17/04/2026</w:t>
      </w:r>
      <w:r w:rsidR="00457845">
        <w:rPr>
          <w:rFonts w:ascii="Times New Roman" w:eastAsia="Times New Roman" w:hAnsi="Times New Roman" w:cs="Times New Roman"/>
          <w:sz w:val="24"/>
          <w:szCs w:val="24"/>
        </w:rPr>
        <w:t xml:space="preserve"> </w:t>
      </w:r>
      <w:r w:rsidR="00A8275F" w:rsidRPr="00796736">
        <w:rPr>
          <w:rFonts w:ascii="Times New Roman" w:eastAsia="Times New Roman" w:hAnsi="Times New Roman" w:cs="Times New Roman"/>
          <w:sz w:val="24"/>
          <w:szCs w:val="24"/>
        </w:rPr>
        <w:t>med senere ændringer, ophæves.</w:t>
      </w:r>
    </w:p>
    <w:p w14:paraId="17AE14CF" w14:textId="0E18A6D7" w:rsidR="00E559E9" w:rsidRPr="00796736" w:rsidRDefault="00E559E9" w:rsidP="00A802A5">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 xml:space="preserve">Stk. </w:t>
      </w:r>
      <w:r w:rsidR="00974CC2">
        <w:rPr>
          <w:rFonts w:ascii="Times New Roman" w:eastAsia="Times New Roman" w:hAnsi="Times New Roman" w:cs="Times New Roman"/>
          <w:i/>
          <w:iCs/>
          <w:sz w:val="24"/>
          <w:szCs w:val="24"/>
        </w:rPr>
        <w:t>4</w:t>
      </w:r>
      <w:r w:rsidRPr="00796736">
        <w:rPr>
          <w:rFonts w:ascii="Times New Roman" w:eastAsia="Times New Roman" w:hAnsi="Times New Roman" w:cs="Times New Roman"/>
          <w:i/>
          <w:iCs/>
          <w:sz w:val="24"/>
          <w:szCs w:val="24"/>
        </w:rPr>
        <w:t xml:space="preserve">. </w:t>
      </w:r>
      <w:r w:rsidRPr="00796736">
        <w:rPr>
          <w:rFonts w:ascii="Times New Roman" w:eastAsia="Times New Roman" w:hAnsi="Times New Roman" w:cs="Times New Roman"/>
          <w:sz w:val="24"/>
          <w:szCs w:val="24"/>
        </w:rPr>
        <w:t>Erhvervs- og konkurrencekraftsministeren fastsætter tidspunktet for ikrafttrædelse af</w:t>
      </w:r>
      <w:r w:rsidR="00113E46" w:rsidRPr="00796736">
        <w:rPr>
          <w:rFonts w:ascii="Times New Roman" w:eastAsia="Times New Roman" w:hAnsi="Times New Roman" w:cs="Times New Roman"/>
          <w:sz w:val="24"/>
          <w:szCs w:val="24"/>
        </w:rPr>
        <w:t xml:space="preserve"> </w:t>
      </w:r>
      <w:r w:rsidR="00113E46" w:rsidRPr="00796736">
        <w:rPr>
          <w:rFonts w:ascii="Times New Roman" w:eastAsia="Times New Roman" w:hAnsi="Times New Roman" w:cs="Times New Roman"/>
          <w:sz w:val="24"/>
          <w:szCs w:val="24"/>
        </w:rPr>
        <w:fldChar w:fldCharType="begin"/>
      </w:r>
      <w:r w:rsidR="00113E46" w:rsidRPr="00796736">
        <w:rPr>
          <w:rFonts w:ascii="Times New Roman" w:eastAsia="Times New Roman" w:hAnsi="Times New Roman" w:cs="Times New Roman"/>
          <w:sz w:val="24"/>
          <w:szCs w:val="24"/>
        </w:rPr>
        <w:instrText xml:space="preserve"> REF _Ref236728924 \r \h </w:instrText>
      </w:r>
      <w:r w:rsidR="00940B1D" w:rsidRPr="00796736">
        <w:rPr>
          <w:rFonts w:ascii="Times New Roman" w:eastAsia="Times New Roman" w:hAnsi="Times New Roman" w:cs="Times New Roman"/>
          <w:sz w:val="24"/>
          <w:szCs w:val="24"/>
        </w:rPr>
        <w:instrText xml:space="preserve"> \* MERGEFORMAT </w:instrText>
      </w:r>
      <w:r w:rsidR="00113E46" w:rsidRPr="00796736">
        <w:rPr>
          <w:rFonts w:ascii="Times New Roman" w:eastAsia="Times New Roman" w:hAnsi="Times New Roman" w:cs="Times New Roman"/>
          <w:sz w:val="24"/>
          <w:szCs w:val="24"/>
        </w:rPr>
      </w:r>
      <w:r w:rsidR="00113E46"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82</w:t>
      </w:r>
      <w:r w:rsidR="00113E46" w:rsidRPr="00796736">
        <w:rPr>
          <w:rFonts w:ascii="Times New Roman" w:eastAsia="Times New Roman" w:hAnsi="Times New Roman" w:cs="Times New Roman"/>
          <w:sz w:val="24"/>
          <w:szCs w:val="24"/>
        </w:rPr>
        <w:fldChar w:fldCharType="end"/>
      </w:r>
      <w:r w:rsidR="003D2A25">
        <w:rPr>
          <w:rFonts w:ascii="Times New Roman" w:eastAsia="Times New Roman" w:hAnsi="Times New Roman" w:cs="Times New Roman"/>
          <w:color w:val="FF0000"/>
          <w:sz w:val="24"/>
          <w:szCs w:val="24"/>
        </w:rPr>
        <w:t xml:space="preserve">. </w:t>
      </w:r>
    </w:p>
    <w:p w14:paraId="466D11C8" w14:textId="77B5B1A4" w:rsidR="00EF75A5" w:rsidRPr="00796736" w:rsidRDefault="00EF75A5" w:rsidP="00A802A5">
      <w:pPr>
        <w:spacing w:line="360" w:lineRule="auto"/>
        <w:ind w:firstLine="238"/>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 xml:space="preserve">Stk. </w:t>
      </w:r>
      <w:r w:rsidR="00974CC2">
        <w:rPr>
          <w:rFonts w:ascii="Times New Roman" w:eastAsia="Times New Roman" w:hAnsi="Times New Roman" w:cs="Times New Roman"/>
          <w:i/>
          <w:iCs/>
          <w:sz w:val="24"/>
          <w:szCs w:val="24"/>
        </w:rPr>
        <w:t>5</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 5, stk. 2, 1. pkt., finder også anvendelse på politiets, anklagemyndighedens og told- og skatteforvaltningens myndighedsudøvelse inden den 10. juli 2027.</w:t>
      </w:r>
    </w:p>
    <w:p w14:paraId="66824743" w14:textId="5D516CB1" w:rsidR="00AB17CC" w:rsidRDefault="00AB17CC" w:rsidP="00A802A5">
      <w:pPr>
        <w:spacing w:line="360" w:lineRule="auto"/>
        <w:ind w:firstLine="238"/>
        <w:rPr>
          <w:rFonts w:ascii="Times New Roman" w:eastAsia="Times New Roman" w:hAnsi="Times New Roman" w:cs="Times New Roman"/>
          <w:sz w:val="24"/>
          <w:szCs w:val="24"/>
          <w:lang w:eastAsia="da-DK"/>
        </w:rPr>
      </w:pPr>
      <w:r w:rsidRPr="00796736">
        <w:rPr>
          <w:rFonts w:ascii="Times New Roman" w:eastAsia="Times New Roman" w:hAnsi="Times New Roman" w:cs="Times New Roman"/>
          <w:i/>
          <w:iCs/>
          <w:sz w:val="24"/>
          <w:szCs w:val="24"/>
          <w:lang w:eastAsia="da-DK"/>
        </w:rPr>
        <w:t xml:space="preserve">Stk. </w:t>
      </w:r>
      <w:r w:rsidR="00974CC2">
        <w:rPr>
          <w:rFonts w:ascii="Times New Roman" w:eastAsia="Times New Roman" w:hAnsi="Times New Roman" w:cs="Times New Roman"/>
          <w:i/>
          <w:iCs/>
          <w:sz w:val="24"/>
          <w:szCs w:val="24"/>
          <w:lang w:eastAsia="da-DK"/>
        </w:rPr>
        <w:t>6</w:t>
      </w:r>
      <w:r w:rsidRPr="00796736">
        <w:rPr>
          <w:rFonts w:ascii="Times New Roman" w:eastAsia="Times New Roman" w:hAnsi="Times New Roman" w:cs="Times New Roman"/>
          <w:i/>
          <w:iCs/>
          <w:sz w:val="24"/>
          <w:szCs w:val="24"/>
          <w:lang w:eastAsia="da-DK"/>
        </w:rPr>
        <w:t>.</w:t>
      </w:r>
      <w:r w:rsidRPr="00796736">
        <w:rPr>
          <w:rFonts w:ascii="Times New Roman" w:eastAsia="Times New Roman" w:hAnsi="Times New Roman" w:cs="Times New Roman"/>
          <w:sz w:val="24"/>
          <w:szCs w:val="24"/>
          <w:lang w:eastAsia="da-DK"/>
        </w:rPr>
        <w:t xml:space="preserve"> Skatte- og Vækstministeren fastsætter tidspunktet for ikrafttrædelse af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_Ref242963797 \r \h </w:instrText>
      </w:r>
      <w:r w:rsidR="009C50B4"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139</w:t>
      </w:r>
      <w:r w:rsidRPr="00796736">
        <w:rPr>
          <w:rFonts w:ascii="Times New Roman" w:eastAsia="Times New Roman" w:hAnsi="Times New Roman" w:cs="Times New Roman"/>
          <w:sz w:val="24"/>
          <w:szCs w:val="24"/>
          <w:lang w:eastAsia="da-DK"/>
        </w:rPr>
        <w:fldChar w:fldCharType="end"/>
      </w:r>
      <w:r w:rsidR="003D2A25">
        <w:rPr>
          <w:rFonts w:ascii="Times New Roman" w:eastAsia="Times New Roman" w:hAnsi="Times New Roman" w:cs="Times New Roman"/>
          <w:sz w:val="24"/>
          <w:szCs w:val="24"/>
          <w:lang w:eastAsia="da-DK"/>
        </w:rPr>
        <w:t>-</w:t>
      </w:r>
      <w:r w:rsidR="003D2A25">
        <w:rPr>
          <w:rFonts w:ascii="Times New Roman" w:eastAsia="Times New Roman" w:hAnsi="Times New Roman" w:cs="Times New Roman"/>
          <w:sz w:val="24"/>
          <w:szCs w:val="24"/>
          <w:lang w:eastAsia="da-DK"/>
        </w:rPr>
        <w:fldChar w:fldCharType="begin"/>
      </w:r>
      <w:r w:rsidR="003D2A25">
        <w:rPr>
          <w:rFonts w:ascii="Times New Roman" w:eastAsia="Times New Roman" w:hAnsi="Times New Roman" w:cs="Times New Roman"/>
          <w:sz w:val="24"/>
          <w:szCs w:val="24"/>
          <w:lang w:eastAsia="da-DK"/>
        </w:rPr>
        <w:instrText xml:space="preserve"> REF _Ref242964851 \r \h </w:instrText>
      </w:r>
      <w:r w:rsidR="00CB248D">
        <w:rPr>
          <w:rFonts w:ascii="Times New Roman" w:eastAsia="Times New Roman" w:hAnsi="Times New Roman" w:cs="Times New Roman"/>
          <w:sz w:val="24"/>
          <w:szCs w:val="24"/>
          <w:lang w:eastAsia="da-DK"/>
        </w:rPr>
        <w:instrText xml:space="preserve"> \* MERGEFORMAT </w:instrText>
      </w:r>
      <w:r w:rsidR="003D2A25">
        <w:rPr>
          <w:rFonts w:ascii="Times New Roman" w:eastAsia="Times New Roman" w:hAnsi="Times New Roman" w:cs="Times New Roman"/>
          <w:sz w:val="24"/>
          <w:szCs w:val="24"/>
          <w:lang w:eastAsia="da-DK"/>
        </w:rPr>
      </w:r>
      <w:r w:rsidR="003D2A25">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141</w:t>
      </w:r>
      <w:r w:rsidR="003D2A25">
        <w:rPr>
          <w:rFonts w:ascii="Times New Roman" w:eastAsia="Times New Roman" w:hAnsi="Times New Roman" w:cs="Times New Roman"/>
          <w:sz w:val="24"/>
          <w:szCs w:val="24"/>
          <w:lang w:eastAsia="da-DK"/>
        </w:rPr>
        <w:fldChar w:fldCharType="end"/>
      </w:r>
      <w:r w:rsidR="003D2A25">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w:t>
      </w:r>
    </w:p>
    <w:p w14:paraId="4F44E668" w14:textId="77777777" w:rsidR="003B27B5" w:rsidRPr="00796736" w:rsidRDefault="003B27B5" w:rsidP="00A802A5">
      <w:pPr>
        <w:spacing w:line="360" w:lineRule="auto"/>
        <w:ind w:firstLine="238"/>
        <w:rPr>
          <w:rFonts w:ascii="Times New Roman" w:eastAsia="Times New Roman" w:hAnsi="Times New Roman" w:cs="Times New Roman"/>
          <w:sz w:val="24"/>
          <w:szCs w:val="24"/>
          <w:lang w:eastAsia="da-DK"/>
        </w:rPr>
      </w:pPr>
    </w:p>
    <w:p w14:paraId="1C56550D" w14:textId="77777777" w:rsidR="00C164BE" w:rsidRPr="00796736" w:rsidRDefault="00C164BE" w:rsidP="00A802A5">
      <w:pPr>
        <w:spacing w:line="360" w:lineRule="auto"/>
        <w:rPr>
          <w:rFonts w:ascii="Times New Roman" w:eastAsia="Times New Roman" w:hAnsi="Times New Roman" w:cs="Times New Roman"/>
          <w:sz w:val="24"/>
          <w:szCs w:val="24"/>
        </w:rPr>
      </w:pPr>
    </w:p>
    <w:p w14:paraId="41468859" w14:textId="70038606" w:rsidR="003B36B9" w:rsidRDefault="00A15CAD" w:rsidP="003B36B9">
      <w:pPr>
        <w:pStyle w:val="Typografi1"/>
        <w:ind w:left="0" w:firstLine="238"/>
        <w:rPr>
          <w:rFonts w:ascii="Times New Roman" w:hAnsi="Times New Roman" w:cs="Times New Roman"/>
          <w:sz w:val="24"/>
          <w:szCs w:val="24"/>
          <w:lang w:eastAsia="da-DK"/>
        </w:rPr>
      </w:pPr>
      <w:bookmarkStart w:id="526" w:name="_Ref244867061"/>
      <w:bookmarkStart w:id="527" w:name="_Toc244879127"/>
      <w:bookmarkStart w:id="528" w:name="_Toc244880651"/>
      <w:r w:rsidRPr="00521368">
        <w:rPr>
          <w:rFonts w:ascii="Times New Roman" w:hAnsi="Times New Roman" w:cs="Times New Roman"/>
          <w:sz w:val="24"/>
          <w:szCs w:val="24"/>
          <w:lang w:eastAsia="da-DK"/>
        </w:rPr>
        <w:t>I lov om finansiel virksomhed, jf. lovbekendtgørelse nr. 432 af 16. april 2026, som ændret ved § 1 i lov nr. 712 af 20. juni 2025, § 4 i lov nr. 1322 af 20. november 2025, § 2 i lov nr. 1638 af 16. december 2025, § 12 i lov nr. 729 af 1. september 2026 og § 2 i lov nr. 764 af 8. september 2026, foretages følgende ændringer:</w:t>
      </w:r>
      <w:bookmarkEnd w:id="526"/>
      <w:bookmarkEnd w:id="527"/>
      <w:bookmarkEnd w:id="528"/>
    </w:p>
    <w:p w14:paraId="7AE7ABEE" w14:textId="77777777" w:rsidR="003B36B9" w:rsidRDefault="003B36B9" w:rsidP="003B36B9">
      <w:pPr>
        <w:rPr>
          <w:lang w:eastAsia="da-DK"/>
        </w:rPr>
      </w:pPr>
    </w:p>
    <w:p w14:paraId="22FE1972" w14:textId="77777777" w:rsidR="00303A6E" w:rsidRPr="003D5D3B" w:rsidRDefault="00303A6E">
      <w:pPr>
        <w:pStyle w:val="Listeafsnit"/>
        <w:numPr>
          <w:ilvl w:val="0"/>
          <w:numId w:val="113"/>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udgår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xml:space="preserve"> »dele af Europa-Parlamentets og Rådets direktiv 2015/849/EU af 20. maj 2015 (4. hvidvaskdirektiv),«, og  »og dele af Europa-Parlamentets og Rådets direktiv (EU) 2024/1174 af 11. april 2024 om ændring af direktiv 2014/59/EU og forordning (EU) nr. 806/2014 for så vidt angår visse aspekter af minimumskravet til kapitalgrundlag og nedskrivningsrelevante passiver, EU-Tidende, L af 22. april 2024.« ændres til: »dele af Europa-Parlamentets og Rådets direktiv (EU) 2024/1174 af 11. april 2024 om ændring af direktiv 2014/59/EU og forordning (EU) nr. 806/2014 for så vidt angår visse aspekter af minimumskravet til kapitalgrundlag og nedskrivningsrelevante passiver, EU-Tidende, L af 22. april 2024 og dele af Europa-Parlamentets og Rådets direktiv (EU) 2024/1640 af 31. maj 2024 om de mekanismer, som medlemsstaterne skal indføre for at forebygge anvendelse af det finansielle system til hvidvask af penge eller finansiering af terrorisme (6. hvidvaskdirektiv).«.</w:t>
      </w:r>
      <w:r w:rsidRPr="003D5D3B">
        <w:rPr>
          <w:rFonts w:ascii="Times New Roman" w:hAnsi="Times New Roman" w:cs="Times New Roman"/>
          <w:sz w:val="24"/>
          <w:szCs w:val="24"/>
        </w:rPr>
        <w:br/>
      </w:r>
    </w:p>
    <w:p w14:paraId="0922F7E5" w14:textId="77777777" w:rsidR="00303A6E" w:rsidRPr="003D5D3B" w:rsidRDefault="00303A6E">
      <w:pPr>
        <w:pStyle w:val="Listeafsnit"/>
        <w:numPr>
          <w:ilvl w:val="0"/>
          <w:numId w:val="113"/>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indsættes i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xml:space="preserve">: »Europa-Parlamentets og Rådets forordning (EU) 2024/1624 af 31. maj 2024 om forebyggende foranstaltninger mod anvendelse af det finansielle system til hvidvask af penge eller finansiering af terrorisme.« og »Europa-Parlamentets og Rådets forordning (EU) 2023/1114 af 31. maj 2023 om markeder for kryptoaktiver.« ændres til: »Europa-Parlamentets og Rådets forordning (EU) 2023/1114 af 31. maj 2023 om markeder for kryptoaktiver og«. </w:t>
      </w:r>
    </w:p>
    <w:p w14:paraId="1D8CB8A0" w14:textId="77777777" w:rsidR="00303A6E" w:rsidRPr="003D5D3B" w:rsidRDefault="00303A6E" w:rsidP="00303A6E">
      <w:pPr>
        <w:pStyle w:val="Listeafsnit"/>
        <w:spacing w:line="360" w:lineRule="auto"/>
        <w:rPr>
          <w:rFonts w:ascii="Times New Roman" w:hAnsi="Times New Roman" w:cs="Times New Roman"/>
          <w:sz w:val="24"/>
          <w:szCs w:val="24"/>
        </w:rPr>
      </w:pPr>
    </w:p>
    <w:p w14:paraId="3A93A0F3" w14:textId="77777777" w:rsidR="00303A6E" w:rsidRPr="003D5D3B" w:rsidRDefault="00303A6E">
      <w:pPr>
        <w:pStyle w:val="Listeafsnit"/>
        <w:numPr>
          <w:ilvl w:val="0"/>
          <w:numId w:val="113"/>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61 a, stk. 1, nr. 5</w:t>
      </w:r>
      <w:r w:rsidRPr="003D5D3B">
        <w:rPr>
          <w:rFonts w:ascii="Times New Roman" w:hAnsi="Times New Roman" w:cs="Times New Roman"/>
          <w:sz w:val="24"/>
          <w:szCs w:val="24"/>
        </w:rPr>
        <w:t>, ændres »jf. §§ 3 og 4, i lov om forebyggende foranstaltninger mod hvidvask og finansiering af terrorisme,« til: »jf. artikel 2, nr. 1 og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4C92676A" w14:textId="77777777" w:rsidR="00303A6E" w:rsidRPr="003D5D3B" w:rsidRDefault="00303A6E">
      <w:pPr>
        <w:pStyle w:val="Listeafsnit"/>
        <w:numPr>
          <w:ilvl w:val="0"/>
          <w:numId w:val="113"/>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64 c, stk. 2, nr. 5, </w:t>
      </w:r>
      <w:r w:rsidRPr="003D5D3B">
        <w:rPr>
          <w:rFonts w:ascii="Times New Roman" w:hAnsi="Times New Roman" w:cs="Times New Roman"/>
          <w:sz w:val="24"/>
          <w:szCs w:val="24"/>
        </w:rPr>
        <w:t>ændres »jf. hvidvasklovens § 7, stk. 2,« til: »jf. artikel 11, stk.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54D8FA10" w14:textId="0F435455" w:rsidR="00303A6E" w:rsidRPr="009B2DB3" w:rsidRDefault="00303A6E">
      <w:pPr>
        <w:pStyle w:val="Listeafsnit"/>
        <w:numPr>
          <w:ilvl w:val="0"/>
          <w:numId w:val="113"/>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224, stk. 1, nr. 1, </w:t>
      </w:r>
      <w:r w:rsidRPr="003D5D3B">
        <w:rPr>
          <w:rFonts w:ascii="Times New Roman" w:hAnsi="Times New Roman" w:cs="Times New Roman"/>
          <w:sz w:val="24"/>
          <w:szCs w:val="24"/>
        </w:rPr>
        <w:t>indsættes efter »hvidvaskloven,«: », Europa-Parlamentets og Rådets forordning (EU) 2024/1624 af 31. maj 2024 om forebyggende foranstaltninger mod anvendelse af det finansielle system til hvidvask af penge eller finansiering af terrorisme,«.</w:t>
      </w:r>
    </w:p>
    <w:p w14:paraId="08639A40" w14:textId="74009174" w:rsidR="00E20247" w:rsidRDefault="006F0FB2">
      <w:pPr>
        <w:pStyle w:val="Typografi1"/>
        <w:numPr>
          <w:ilvl w:val="0"/>
          <w:numId w:val="113"/>
        </w:numPr>
        <w:rPr>
          <w:rFonts w:ascii="Times New Roman" w:hAnsi="Times New Roman" w:cs="Times New Roman"/>
          <w:sz w:val="24"/>
          <w:szCs w:val="24"/>
          <w:lang w:eastAsia="da-DK"/>
        </w:rPr>
      </w:pPr>
      <w:bookmarkStart w:id="529" w:name="_Toc244879128"/>
      <w:bookmarkStart w:id="530" w:name="_Toc244880652"/>
      <w:r w:rsidRPr="006F0FB2">
        <w:rPr>
          <w:rFonts w:ascii="Times New Roman" w:hAnsi="Times New Roman" w:cs="Times New Roman"/>
          <w:sz w:val="24"/>
          <w:szCs w:val="24"/>
          <w:lang w:eastAsia="da-DK"/>
        </w:rPr>
        <w:t xml:space="preserve">§ 343 c indsættes som </w:t>
      </w:r>
      <w:r w:rsidRPr="006F0FB2">
        <w:rPr>
          <w:rFonts w:ascii="Times New Roman" w:hAnsi="Times New Roman" w:cs="Times New Roman"/>
          <w:i/>
          <w:iCs/>
          <w:sz w:val="24"/>
          <w:szCs w:val="24"/>
          <w:lang w:eastAsia="da-DK"/>
        </w:rPr>
        <w:t>stk. 2</w:t>
      </w:r>
      <w:r w:rsidRPr="006F0FB2">
        <w:rPr>
          <w:rFonts w:ascii="Times New Roman" w:hAnsi="Times New Roman" w:cs="Times New Roman"/>
          <w:sz w:val="24"/>
          <w:szCs w:val="24"/>
          <w:lang w:eastAsia="da-DK"/>
        </w:rPr>
        <w:t>:</w:t>
      </w:r>
      <w:bookmarkEnd w:id="529"/>
      <w:bookmarkEnd w:id="530"/>
    </w:p>
    <w:p w14:paraId="78433D43" w14:textId="1C1262C3" w:rsidR="006F0FB2" w:rsidRPr="00E20247" w:rsidRDefault="006F0FB2" w:rsidP="00E20247">
      <w:pPr>
        <w:pStyle w:val="Typografi1"/>
        <w:numPr>
          <w:ilvl w:val="0"/>
          <w:numId w:val="0"/>
        </w:numPr>
        <w:ind w:left="700"/>
        <w:rPr>
          <w:rFonts w:ascii="Times New Roman" w:hAnsi="Times New Roman" w:cs="Times New Roman"/>
          <w:sz w:val="24"/>
          <w:szCs w:val="24"/>
          <w:lang w:eastAsia="da-DK"/>
        </w:rPr>
      </w:pPr>
      <w:bookmarkStart w:id="531" w:name="_Toc244879129"/>
      <w:bookmarkStart w:id="532" w:name="_Toc244880653"/>
      <w:r w:rsidRPr="00E20247">
        <w:rPr>
          <w:rFonts w:ascii="Times New Roman" w:eastAsia="Calibri" w:hAnsi="Times New Roman" w:cs="Times New Roman"/>
          <w:i/>
          <w:sz w:val="24"/>
          <w:szCs w:val="24"/>
        </w:rPr>
        <w:t>»Stk. 2.</w:t>
      </w:r>
      <w:r w:rsidRPr="00E20247">
        <w:rPr>
          <w:rFonts w:ascii="Times New Roman" w:eastAsia="Calibri" w:hAnsi="Times New Roman" w:cs="Times New Roman"/>
          <w:iCs/>
          <w:sz w:val="24"/>
          <w:szCs w:val="24"/>
        </w:rPr>
        <w:t xml:space="preserve"> En c</w:t>
      </w:r>
      <w:r w:rsidRPr="00E20247">
        <w:rPr>
          <w:rFonts w:ascii="Times New Roman" w:eastAsia="Calibri" w:hAnsi="Times New Roman" w:cs="Times New Roman"/>
          <w:sz w:val="24"/>
          <w:szCs w:val="24"/>
        </w:rPr>
        <w:t>rowdfundingtjenesteudbyder</w:t>
      </w:r>
      <w:r w:rsidRPr="00E20247">
        <w:rPr>
          <w:rFonts w:ascii="Times New Roman" w:eastAsia="Calibri" w:hAnsi="Times New Roman" w:cs="Times New Roman"/>
          <w:iCs/>
          <w:sz w:val="24"/>
          <w:szCs w:val="24"/>
        </w:rPr>
        <w:t xml:space="preserve"> skal senest den 1. april hvert år til Finanstilsynet indsende en oversigt over virksomhedens ledelse </w:t>
      </w:r>
      <w:r w:rsidRPr="00E20247">
        <w:rPr>
          <w:rFonts w:ascii="Times New Roman" w:eastAsia="Calibri" w:hAnsi="Times New Roman" w:cs="Times New Roman"/>
          <w:sz w:val="24"/>
          <w:szCs w:val="24"/>
        </w:rPr>
        <w:t>og personer, der er identificeret som en nøgleperson i medfør af § 64 c, idet vedkommende er en medarbejder eller ansat med tilstrækkeligt kendskab til virksomhedens risikoeksponering for hvidvask af penge og finansiering af terrorisme og med tilstrækkelig anciennitet til at træffe beslutninger med indvirkning på dets risikoeksponering, samt</w:t>
      </w:r>
      <w:r w:rsidRPr="00E20247">
        <w:rPr>
          <w:rFonts w:ascii="Times New Roman" w:eastAsia="Calibri" w:hAnsi="Times New Roman" w:cs="Times New Roman"/>
          <w:iCs/>
          <w:sz w:val="24"/>
          <w:szCs w:val="24"/>
        </w:rPr>
        <w:t xml:space="preserve"> reelle ejere. Crowdfundingtjenesteudbyderen skal tillige indsende en erklæring om, at den i 1. pkt. nævnte personkreds ikke er pålagt strafansvar for overtrædelse af straffeloven, den finansielle lovgivning eller anden relevant lovgivning. Erklæringen skal være underskrevet af virksomhedens bestyrelse og direktion. Drives virksomheden som juridisk person uden bestyrelse og direktion, skal erklæringen underskrives af den eller de ledelsesansvarlige for virksomheden.«</w:t>
      </w:r>
      <w:bookmarkEnd w:id="531"/>
      <w:bookmarkEnd w:id="532"/>
    </w:p>
    <w:p w14:paraId="7F124038" w14:textId="77777777" w:rsidR="006F0FB2" w:rsidRDefault="006F0FB2" w:rsidP="00E20247">
      <w:pPr>
        <w:rPr>
          <w:lang w:eastAsia="da-DK"/>
        </w:rPr>
      </w:pPr>
    </w:p>
    <w:p w14:paraId="6106F46A" w14:textId="77777777" w:rsidR="003B36B9" w:rsidRDefault="003B36B9" w:rsidP="003B36B9">
      <w:pPr>
        <w:rPr>
          <w:lang w:eastAsia="da-DK"/>
        </w:rPr>
      </w:pPr>
    </w:p>
    <w:p w14:paraId="0CC5708E" w14:textId="77777777" w:rsidR="00114942" w:rsidRPr="00114942" w:rsidRDefault="00114942">
      <w:pPr>
        <w:pStyle w:val="Typografi1"/>
        <w:numPr>
          <w:ilvl w:val="0"/>
          <w:numId w:val="113"/>
        </w:numPr>
        <w:rPr>
          <w:rFonts w:ascii="Times New Roman" w:hAnsi="Times New Roman" w:cs="Times New Roman"/>
          <w:sz w:val="24"/>
          <w:szCs w:val="24"/>
          <w:lang w:eastAsia="da-DK"/>
        </w:rPr>
      </w:pPr>
      <w:bookmarkStart w:id="533" w:name="_Toc244879130"/>
      <w:bookmarkStart w:id="534" w:name="_Toc244880654"/>
      <w:r w:rsidRPr="00114942">
        <w:rPr>
          <w:rFonts w:ascii="Times New Roman" w:eastAsia="Calibri" w:hAnsi="Times New Roman" w:cs="Times New Roman"/>
          <w:sz w:val="24"/>
          <w:szCs w:val="24"/>
        </w:rPr>
        <w:t xml:space="preserve">Efter § 343 f indsættes i </w:t>
      </w:r>
      <w:r w:rsidRPr="00114942">
        <w:rPr>
          <w:rFonts w:ascii="Times New Roman" w:eastAsia="Calibri" w:hAnsi="Times New Roman" w:cs="Times New Roman"/>
          <w:i/>
          <w:iCs/>
          <w:sz w:val="24"/>
          <w:szCs w:val="24"/>
        </w:rPr>
        <w:t>kapitel 20 a</w:t>
      </w:r>
      <w:r w:rsidRPr="00114942">
        <w:rPr>
          <w:rFonts w:ascii="Times New Roman" w:eastAsia="Calibri" w:hAnsi="Times New Roman" w:cs="Times New Roman"/>
          <w:sz w:val="24"/>
          <w:szCs w:val="24"/>
        </w:rPr>
        <w:t>:</w:t>
      </w:r>
      <w:bookmarkEnd w:id="533"/>
      <w:bookmarkEnd w:id="534"/>
      <w:r w:rsidRPr="00114942">
        <w:rPr>
          <w:rFonts w:ascii="Times New Roman" w:eastAsia="Calibri" w:hAnsi="Times New Roman" w:cs="Times New Roman"/>
          <w:sz w:val="24"/>
          <w:szCs w:val="24"/>
        </w:rPr>
        <w:t xml:space="preserve"> </w:t>
      </w:r>
    </w:p>
    <w:p w14:paraId="45324CA1" w14:textId="77777777" w:rsidR="00114942" w:rsidRDefault="00114942" w:rsidP="00114942">
      <w:pPr>
        <w:pStyle w:val="Typografi1"/>
        <w:numPr>
          <w:ilvl w:val="0"/>
          <w:numId w:val="0"/>
        </w:numPr>
        <w:ind w:left="700"/>
        <w:rPr>
          <w:rFonts w:ascii="Times New Roman" w:eastAsia="Calibri" w:hAnsi="Times New Roman" w:cs="Times New Roman"/>
          <w:sz w:val="24"/>
          <w:szCs w:val="24"/>
        </w:rPr>
      </w:pPr>
      <w:bookmarkStart w:id="535" w:name="_Toc244879131"/>
      <w:bookmarkStart w:id="536" w:name="_Toc244880655"/>
      <w:r w:rsidRPr="00114942">
        <w:rPr>
          <w:rFonts w:ascii="Times New Roman" w:hAnsi="Times New Roman" w:cs="Times New Roman"/>
          <w:b/>
          <w:bCs/>
          <w:sz w:val="24"/>
          <w:szCs w:val="24"/>
          <w:lang w:eastAsia="da-DK"/>
        </w:rPr>
        <w:t>»§ 343 g</w:t>
      </w:r>
      <w:r w:rsidRPr="00114942">
        <w:rPr>
          <w:rFonts w:ascii="Times New Roman" w:hAnsi="Times New Roman" w:cs="Times New Roman"/>
          <w:sz w:val="24"/>
          <w:szCs w:val="24"/>
          <w:lang w:eastAsia="da-DK"/>
        </w:rPr>
        <w:t>.</w:t>
      </w:r>
      <w:r w:rsidRPr="00114942">
        <w:rPr>
          <w:rFonts w:ascii="Times New Roman" w:eastAsia="Calibri" w:hAnsi="Times New Roman" w:cs="Times New Roman"/>
          <w:sz w:val="24"/>
          <w:szCs w:val="24"/>
        </w:rPr>
        <w:t xml:space="preserve"> Finanstilsynet kan påbyde en fysisk person, der direkte eller indirekte ejer eller kontrollerer minimum 25 pct. af kapitalandelen, ejerandelen, stemmerettighederne eller andre ejerskabsbeføjelser af en crowdfundingtjenesteudbyder at ophøre med at udøve kontrol, herunder afhænde sine ejerandele helt eller delvist inden for en af Finanstilsynet fastsat frist, såfremt den pågældende  er pålagt strafansvar for overtrædelse af straffeloven, den finansielle lovgivning eller anden relevant lovgivning.</w:t>
      </w:r>
      <w:bookmarkEnd w:id="535"/>
      <w:bookmarkEnd w:id="536"/>
    </w:p>
    <w:p w14:paraId="762574DC" w14:textId="77777777" w:rsidR="00114942" w:rsidRDefault="00114942" w:rsidP="00114942">
      <w:pPr>
        <w:pStyle w:val="Typografi1"/>
        <w:numPr>
          <w:ilvl w:val="0"/>
          <w:numId w:val="0"/>
        </w:numPr>
        <w:ind w:left="700"/>
        <w:rPr>
          <w:rFonts w:ascii="Times New Roman" w:eastAsia="Calibri" w:hAnsi="Times New Roman" w:cs="Times New Roman"/>
          <w:sz w:val="24"/>
          <w:szCs w:val="24"/>
        </w:rPr>
      </w:pPr>
      <w:bookmarkStart w:id="537" w:name="_Toc244879132"/>
      <w:bookmarkStart w:id="538" w:name="_Toc244880656"/>
      <w:r w:rsidRPr="00521368">
        <w:rPr>
          <w:rFonts w:ascii="Times New Roman" w:eastAsia="Calibri" w:hAnsi="Times New Roman" w:cs="Times New Roman"/>
          <w:i/>
          <w:sz w:val="24"/>
          <w:szCs w:val="24"/>
        </w:rPr>
        <w:t>Stk. 2.</w:t>
      </w:r>
      <w:r w:rsidRPr="00521368">
        <w:rPr>
          <w:rFonts w:ascii="Times New Roman" w:eastAsia="Calibri" w:hAnsi="Times New Roman" w:cs="Times New Roman"/>
          <w:sz w:val="24"/>
          <w:szCs w:val="24"/>
        </w:rPr>
        <w:t> Finanstilsynet kan ophæve stemmeretten for en fysisk person, der direkte eller indirekte ejer eller kontrollerer minimum 25 pct. af kapitalandelen, i en crowdfundingtjenesteudbyder, hvis kapitalejeren er pålagt strafansvar for overtrædelse af straffeloven, den finansielle lovgivning eller anden relevant lovgivning.</w:t>
      </w:r>
      <w:bookmarkEnd w:id="537"/>
      <w:bookmarkEnd w:id="538"/>
    </w:p>
    <w:p w14:paraId="5A4387DB" w14:textId="77777777" w:rsidR="00114942" w:rsidRDefault="00114942" w:rsidP="00114942">
      <w:pPr>
        <w:pStyle w:val="Typografi1"/>
        <w:numPr>
          <w:ilvl w:val="0"/>
          <w:numId w:val="0"/>
        </w:numPr>
        <w:ind w:left="700"/>
        <w:rPr>
          <w:rFonts w:ascii="Times New Roman" w:eastAsia="Calibri" w:hAnsi="Times New Roman" w:cs="Times New Roman"/>
          <w:sz w:val="24"/>
          <w:szCs w:val="24"/>
        </w:rPr>
      </w:pPr>
      <w:bookmarkStart w:id="539" w:name="_Toc244879133"/>
      <w:bookmarkStart w:id="540" w:name="_Toc244880657"/>
      <w:r w:rsidRPr="00521368">
        <w:rPr>
          <w:rFonts w:ascii="Times New Roman" w:eastAsia="Calibri" w:hAnsi="Times New Roman" w:cs="Times New Roman"/>
          <w:i/>
          <w:sz w:val="24"/>
          <w:szCs w:val="24"/>
        </w:rPr>
        <w:t>Stk. 3. </w:t>
      </w:r>
      <w:r w:rsidRPr="00521368">
        <w:rPr>
          <w:rFonts w:ascii="Times New Roman" w:eastAsia="Calibri" w:hAnsi="Times New Roman" w:cs="Times New Roman"/>
          <w:sz w:val="24"/>
          <w:szCs w:val="24"/>
        </w:rPr>
        <w:t>Har Finanstilsynet ophævet stemmeretten i medfør af stk. 2, kan kapitalandelen ikke indgå i opgørelsen af den på en generalforsamling repræsenterede stemmeberettigede kapital.</w:t>
      </w:r>
      <w:bookmarkEnd w:id="539"/>
      <w:bookmarkEnd w:id="540"/>
      <w:r w:rsidRPr="00521368">
        <w:rPr>
          <w:rFonts w:ascii="Times New Roman" w:eastAsia="Calibri" w:hAnsi="Times New Roman" w:cs="Times New Roman"/>
          <w:sz w:val="24"/>
          <w:szCs w:val="24"/>
        </w:rPr>
        <w:t xml:space="preserve"> </w:t>
      </w:r>
    </w:p>
    <w:p w14:paraId="33B455A3" w14:textId="77777777" w:rsidR="00114942" w:rsidRDefault="00114942" w:rsidP="00114942">
      <w:pPr>
        <w:pStyle w:val="Typografi1"/>
        <w:numPr>
          <w:ilvl w:val="0"/>
          <w:numId w:val="0"/>
        </w:numPr>
        <w:ind w:left="700"/>
        <w:rPr>
          <w:rFonts w:ascii="Times New Roman" w:eastAsia="Calibri" w:hAnsi="Times New Roman" w:cs="Times New Roman"/>
          <w:sz w:val="24"/>
          <w:szCs w:val="24"/>
        </w:rPr>
      </w:pPr>
      <w:bookmarkStart w:id="541" w:name="_Toc244879134"/>
      <w:bookmarkStart w:id="542" w:name="_Toc244880658"/>
      <w:r w:rsidRPr="00521368">
        <w:rPr>
          <w:rFonts w:ascii="Times New Roman" w:hAnsi="Times New Roman" w:cs="Times New Roman"/>
          <w:i/>
          <w:sz w:val="24"/>
          <w:szCs w:val="24"/>
          <w:lang w:eastAsia="da-DK"/>
        </w:rPr>
        <w:t xml:space="preserve">Stk. 4. </w:t>
      </w:r>
      <w:r w:rsidRPr="00521368">
        <w:rPr>
          <w:rFonts w:ascii="Times New Roman" w:eastAsia="Calibri" w:hAnsi="Times New Roman" w:cs="Times New Roman"/>
          <w:sz w:val="24"/>
          <w:szCs w:val="24"/>
        </w:rPr>
        <w:t>Varigheden af påbud meddelt efter stk. 1 skal fremgå af påbuddet.</w:t>
      </w:r>
      <w:bookmarkEnd w:id="541"/>
      <w:bookmarkEnd w:id="542"/>
    </w:p>
    <w:p w14:paraId="0EC53017" w14:textId="77777777" w:rsidR="00114942" w:rsidRDefault="00114942" w:rsidP="00114942">
      <w:pPr>
        <w:pStyle w:val="Typografi1"/>
        <w:numPr>
          <w:ilvl w:val="0"/>
          <w:numId w:val="0"/>
        </w:numPr>
        <w:ind w:left="700"/>
        <w:rPr>
          <w:rFonts w:ascii="Times New Roman" w:hAnsi="Times New Roman" w:cs="Times New Roman"/>
          <w:sz w:val="24"/>
          <w:szCs w:val="24"/>
          <w:lang w:eastAsia="da-DK"/>
        </w:rPr>
      </w:pPr>
      <w:bookmarkStart w:id="543" w:name="_Toc244879135"/>
      <w:bookmarkStart w:id="544" w:name="_Toc244880659"/>
      <w:r w:rsidRPr="00521368">
        <w:rPr>
          <w:rFonts w:ascii="Times New Roman" w:hAnsi="Times New Roman" w:cs="Times New Roman"/>
          <w:i/>
          <w:sz w:val="24"/>
          <w:szCs w:val="24"/>
          <w:lang w:eastAsia="da-DK"/>
        </w:rPr>
        <w:t xml:space="preserve">Stk. 5. </w:t>
      </w:r>
      <w:r w:rsidRPr="00521368">
        <w:rPr>
          <w:rFonts w:ascii="Times New Roman" w:hAnsi="Times New Roman" w:cs="Times New Roman"/>
          <w:sz w:val="24"/>
          <w:szCs w:val="24"/>
          <w:lang w:eastAsia="da-DK"/>
        </w:rPr>
        <w:t>Påbud meddelt efter stk. 1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afgørelsen skal have opsættende virkning. Finanstilsynet indbringer sagen for domstolene inden 4 uger efter modtagelse af anmodning herom. Sagen anlægges i den borgerlige retsplejes former.</w:t>
      </w:r>
      <w:bookmarkEnd w:id="543"/>
      <w:bookmarkEnd w:id="544"/>
      <w:r w:rsidRPr="00521368">
        <w:rPr>
          <w:rFonts w:ascii="Times New Roman" w:hAnsi="Times New Roman" w:cs="Times New Roman"/>
          <w:sz w:val="24"/>
          <w:szCs w:val="24"/>
          <w:lang w:eastAsia="da-DK"/>
        </w:rPr>
        <w:t> </w:t>
      </w:r>
    </w:p>
    <w:p w14:paraId="0D9FFAF7" w14:textId="681528A5" w:rsidR="00114942" w:rsidRPr="00521368" w:rsidRDefault="00114942" w:rsidP="00114942">
      <w:pPr>
        <w:pStyle w:val="Typografi1"/>
        <w:numPr>
          <w:ilvl w:val="0"/>
          <w:numId w:val="0"/>
        </w:numPr>
        <w:ind w:left="700"/>
        <w:rPr>
          <w:rFonts w:ascii="Times New Roman" w:hAnsi="Times New Roman" w:cs="Times New Roman"/>
          <w:sz w:val="24"/>
          <w:szCs w:val="24"/>
          <w:lang w:eastAsia="da-DK"/>
        </w:rPr>
      </w:pPr>
      <w:bookmarkStart w:id="545" w:name="_Toc244879136"/>
      <w:bookmarkStart w:id="546" w:name="_Toc244880660"/>
      <w:r w:rsidRPr="00521368">
        <w:rPr>
          <w:rFonts w:ascii="Times New Roman" w:hAnsi="Times New Roman" w:cs="Times New Roman"/>
          <w:i/>
          <w:iCs/>
          <w:sz w:val="24"/>
          <w:szCs w:val="24"/>
          <w:lang w:eastAsia="da-DK"/>
        </w:rPr>
        <w:t>Stk. 6</w:t>
      </w:r>
      <w:r w:rsidRPr="00521368">
        <w:rPr>
          <w:rFonts w:ascii="Times New Roman" w:hAnsi="Times New Roman" w:cs="Times New Roman"/>
          <w:sz w:val="24"/>
          <w:szCs w:val="24"/>
          <w:lang w:eastAsia="da-DK"/>
        </w:rPr>
        <w:t>. Finanstilsynet kan af egen drift eller efter ansøgning tilbagekalde et påbud meddelt efter stk. 1.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r w:rsidRPr="00521368">
        <w:rPr>
          <w:rFonts w:ascii="Times New Roman" w:eastAsia="Calibri" w:hAnsi="Times New Roman" w:cs="Times New Roman"/>
          <w:iCs/>
          <w:sz w:val="24"/>
          <w:szCs w:val="24"/>
        </w:rPr>
        <w:t>«</w:t>
      </w:r>
      <w:bookmarkEnd w:id="545"/>
      <w:bookmarkEnd w:id="546"/>
    </w:p>
    <w:p w14:paraId="084EF758" w14:textId="4D6B9C50" w:rsidR="003B36B9" w:rsidRDefault="003B36B9" w:rsidP="009D0149">
      <w:pPr>
        <w:rPr>
          <w:lang w:eastAsia="da-DK"/>
        </w:rPr>
      </w:pPr>
    </w:p>
    <w:p w14:paraId="3EDFA6CA" w14:textId="77777777" w:rsidR="003B36B9" w:rsidRDefault="00E64260">
      <w:pPr>
        <w:pStyle w:val="Listeafsnit"/>
        <w:numPr>
          <w:ilvl w:val="0"/>
          <w:numId w:val="113"/>
        </w:numPr>
        <w:spacing w:line="360" w:lineRule="auto"/>
        <w:jc w:val="left"/>
        <w:outlineLvl w:val="0"/>
        <w:rPr>
          <w:rFonts w:ascii="Times New Roman" w:hAnsi="Times New Roman" w:cs="Times New Roman"/>
          <w:sz w:val="24"/>
          <w:szCs w:val="24"/>
          <w:lang w:eastAsia="da-DK"/>
        </w:rPr>
      </w:pPr>
      <w:bookmarkStart w:id="547" w:name="_Toc244879137"/>
      <w:bookmarkStart w:id="548" w:name="_Toc244880661"/>
      <w:r w:rsidRPr="003B36B9">
        <w:rPr>
          <w:rFonts w:ascii="Times New Roman" w:eastAsia="Times New Roman" w:hAnsi="Times New Roman" w:cs="Times New Roman"/>
          <w:i/>
          <w:iCs/>
          <w:sz w:val="24"/>
          <w:szCs w:val="24"/>
          <w:lang w:eastAsia="da-DK"/>
        </w:rPr>
        <w:t>§ 361, stk. 6</w:t>
      </w:r>
      <w:r w:rsidRPr="003B36B9">
        <w:rPr>
          <w:rFonts w:ascii="Times New Roman" w:hAnsi="Times New Roman" w:cs="Times New Roman"/>
          <w:sz w:val="24"/>
          <w:szCs w:val="24"/>
          <w:lang w:eastAsia="da-DK"/>
        </w:rPr>
        <w:t>, affattes således:</w:t>
      </w:r>
      <w:bookmarkEnd w:id="547"/>
      <w:bookmarkEnd w:id="548"/>
      <w:r w:rsidRPr="003B36B9">
        <w:rPr>
          <w:rFonts w:ascii="Times New Roman" w:hAnsi="Times New Roman" w:cs="Times New Roman"/>
          <w:sz w:val="24"/>
          <w:szCs w:val="24"/>
          <w:lang w:eastAsia="da-DK"/>
        </w:rPr>
        <w:t xml:space="preserve"> </w:t>
      </w:r>
    </w:p>
    <w:p w14:paraId="389462CB" w14:textId="449262A8" w:rsidR="00E64260" w:rsidRPr="003B36B9" w:rsidRDefault="00E64260" w:rsidP="003B36B9">
      <w:pPr>
        <w:pStyle w:val="Listeafsnit"/>
        <w:spacing w:line="360" w:lineRule="auto"/>
        <w:ind w:left="700"/>
        <w:jc w:val="left"/>
        <w:outlineLvl w:val="0"/>
        <w:rPr>
          <w:rFonts w:ascii="Times New Roman" w:hAnsi="Times New Roman" w:cs="Times New Roman"/>
          <w:sz w:val="24"/>
          <w:szCs w:val="24"/>
          <w:lang w:eastAsia="da-DK"/>
        </w:rPr>
      </w:pPr>
      <w:bookmarkStart w:id="549" w:name="_Toc244879138"/>
      <w:bookmarkStart w:id="550" w:name="_Toc244880662"/>
      <w:r w:rsidRPr="003B36B9">
        <w:rPr>
          <w:rFonts w:ascii="Times New Roman" w:hAnsi="Times New Roman" w:cs="Times New Roman"/>
          <w:i/>
          <w:iCs/>
          <w:sz w:val="24"/>
          <w:szCs w:val="24"/>
          <w:lang w:eastAsia="da-DK"/>
        </w:rPr>
        <w:t>Stk. 6.</w:t>
      </w:r>
      <w:r w:rsidRPr="003B36B9">
        <w:rPr>
          <w:rFonts w:ascii="Times New Roman" w:hAnsi="Times New Roman" w:cs="Times New Roman"/>
          <w:sz w:val="24"/>
          <w:szCs w:val="24"/>
          <w:lang w:eastAsia="da-DK"/>
        </w:rPr>
        <w:t> Følgende fysiske og juridiske personer nævnt i hvidvaskloven betaler årligt et grundbeløb til Finanstilsynet:</w:t>
      </w:r>
      <w:bookmarkEnd w:id="549"/>
      <w:bookmarkEnd w:id="550"/>
    </w:p>
    <w:p w14:paraId="2F9EE4FB" w14:textId="5ABC6C68" w:rsidR="00E64260" w:rsidRPr="00E64260" w:rsidRDefault="00E64260">
      <w:pPr>
        <w:pStyle w:val="Listeafsnit"/>
        <w:numPr>
          <w:ilvl w:val="0"/>
          <w:numId w:val="59"/>
        </w:numPr>
        <w:spacing w:line="360" w:lineRule="auto"/>
        <w:rPr>
          <w:rFonts w:ascii="Times New Roman" w:hAnsi="Times New Roman" w:cs="Times New Roman"/>
          <w:sz w:val="24"/>
          <w:szCs w:val="24"/>
          <w:lang w:eastAsia="da-DK"/>
        </w:rPr>
      </w:pPr>
      <w:r w:rsidRPr="00E64260">
        <w:rPr>
          <w:rFonts w:ascii="Times New Roman" w:hAnsi="Times New Roman" w:cs="Times New Roman"/>
          <w:sz w:val="24"/>
          <w:szCs w:val="24"/>
          <w:lang w:eastAsia="da-DK"/>
        </w:rPr>
        <w:t>Virksomheder og personer nævnt i § 2, nr. 8, 1</w:t>
      </w:r>
      <w:r>
        <w:rPr>
          <w:rFonts w:ascii="Times New Roman" w:hAnsi="Times New Roman" w:cs="Times New Roman"/>
          <w:sz w:val="24"/>
          <w:szCs w:val="24"/>
          <w:lang w:eastAsia="da-DK"/>
        </w:rPr>
        <w:t>4</w:t>
      </w:r>
      <w:r w:rsidRPr="00E64260">
        <w:rPr>
          <w:rFonts w:ascii="Times New Roman" w:hAnsi="Times New Roman" w:cs="Times New Roman"/>
          <w:sz w:val="24"/>
          <w:szCs w:val="24"/>
          <w:lang w:eastAsia="da-DK"/>
        </w:rPr>
        <w:t>, 1</w:t>
      </w:r>
      <w:r>
        <w:rPr>
          <w:rFonts w:ascii="Times New Roman" w:hAnsi="Times New Roman" w:cs="Times New Roman"/>
          <w:sz w:val="24"/>
          <w:szCs w:val="24"/>
          <w:lang w:eastAsia="da-DK"/>
        </w:rPr>
        <w:t>9</w:t>
      </w:r>
      <w:r w:rsidRPr="00E64260">
        <w:rPr>
          <w:rFonts w:ascii="Times New Roman" w:hAnsi="Times New Roman" w:cs="Times New Roman"/>
          <w:sz w:val="24"/>
          <w:szCs w:val="24"/>
          <w:lang w:eastAsia="da-DK"/>
        </w:rPr>
        <w:t xml:space="preserve"> og </w:t>
      </w:r>
      <w:r>
        <w:rPr>
          <w:rFonts w:ascii="Times New Roman" w:hAnsi="Times New Roman" w:cs="Times New Roman"/>
          <w:sz w:val="24"/>
          <w:szCs w:val="24"/>
          <w:lang w:eastAsia="da-DK"/>
        </w:rPr>
        <w:t>32, litra a</w:t>
      </w:r>
      <w:r w:rsidRPr="00E64260">
        <w:rPr>
          <w:rFonts w:ascii="Times New Roman" w:hAnsi="Times New Roman" w:cs="Times New Roman"/>
          <w:sz w:val="24"/>
          <w:szCs w:val="24"/>
          <w:lang w:eastAsia="da-DK"/>
        </w:rPr>
        <w:t>, jf. § 1, i hvidvaskloven, betaler 4.400 kr.</w:t>
      </w:r>
    </w:p>
    <w:p w14:paraId="0AEE2FA5" w14:textId="77777777" w:rsidR="003B36B9" w:rsidRDefault="00E64260">
      <w:pPr>
        <w:pStyle w:val="Listeafsnit"/>
        <w:numPr>
          <w:ilvl w:val="0"/>
          <w:numId w:val="59"/>
        </w:numPr>
        <w:spacing w:line="360" w:lineRule="auto"/>
        <w:rPr>
          <w:rFonts w:ascii="Times New Roman" w:hAnsi="Times New Roman" w:cs="Times New Roman"/>
          <w:sz w:val="24"/>
          <w:szCs w:val="24"/>
          <w:lang w:eastAsia="da-DK"/>
        </w:rPr>
      </w:pPr>
      <w:r w:rsidRPr="00E64260">
        <w:rPr>
          <w:rFonts w:ascii="Times New Roman" w:hAnsi="Times New Roman" w:cs="Times New Roman"/>
          <w:sz w:val="24"/>
          <w:szCs w:val="24"/>
          <w:lang w:eastAsia="da-DK"/>
        </w:rPr>
        <w:t>Valutavekslingsvirksomheder, jf. § 2, nr. 11, jf. § 1, i hvidvaskloven, betaler 28.100 kr.</w:t>
      </w:r>
    </w:p>
    <w:p w14:paraId="3198206A" w14:textId="77777777" w:rsidR="00114942" w:rsidRDefault="00114942" w:rsidP="00114942">
      <w:pPr>
        <w:pStyle w:val="Listeafsnit"/>
        <w:spacing w:line="360" w:lineRule="auto"/>
        <w:ind w:left="1040"/>
        <w:rPr>
          <w:rFonts w:ascii="Times New Roman" w:hAnsi="Times New Roman" w:cs="Times New Roman"/>
          <w:sz w:val="24"/>
          <w:szCs w:val="24"/>
          <w:lang w:eastAsia="da-DK"/>
        </w:rPr>
      </w:pPr>
    </w:p>
    <w:p w14:paraId="281A4561" w14:textId="1B1FFA66" w:rsidR="00FA6C24" w:rsidRPr="001A0753" w:rsidRDefault="009B12CB">
      <w:pPr>
        <w:pStyle w:val="Listeafsnit"/>
        <w:numPr>
          <w:ilvl w:val="0"/>
          <w:numId w:val="113"/>
        </w:numPr>
        <w:spacing w:line="360" w:lineRule="auto"/>
        <w:rPr>
          <w:rFonts w:ascii="Times New Roman" w:hAnsi="Times New Roman" w:cs="Times New Roman"/>
          <w:sz w:val="24"/>
          <w:szCs w:val="24"/>
          <w:lang w:eastAsia="da-DK"/>
        </w:rPr>
      </w:pPr>
      <w:r w:rsidRPr="00521368">
        <w:rPr>
          <w:rFonts w:ascii="Times New Roman" w:hAnsi="Times New Roman" w:cs="Times New Roman"/>
          <w:sz w:val="24"/>
          <w:szCs w:val="24"/>
          <w:lang w:eastAsia="da-DK"/>
        </w:rPr>
        <w:t xml:space="preserve">I </w:t>
      </w:r>
      <w:r w:rsidRPr="00521368">
        <w:rPr>
          <w:rFonts w:ascii="Times New Roman" w:hAnsi="Times New Roman" w:cs="Times New Roman"/>
          <w:i/>
          <w:iCs/>
          <w:sz w:val="24"/>
          <w:szCs w:val="24"/>
          <w:lang w:eastAsia="da-DK"/>
        </w:rPr>
        <w:t>§ 373, stk. 2</w:t>
      </w:r>
      <w:r w:rsidRPr="00521368">
        <w:rPr>
          <w:rFonts w:ascii="Times New Roman" w:hAnsi="Times New Roman" w:cs="Times New Roman"/>
          <w:sz w:val="24"/>
          <w:szCs w:val="24"/>
          <w:lang w:eastAsia="da-DK"/>
        </w:rPr>
        <w:t>,</w:t>
      </w:r>
      <w:r w:rsidRPr="00521368">
        <w:rPr>
          <w:rFonts w:ascii="Times New Roman" w:hAnsi="Times New Roman" w:cs="Times New Roman"/>
          <w:i/>
          <w:iCs/>
          <w:sz w:val="24"/>
          <w:szCs w:val="24"/>
          <w:lang w:eastAsia="da-DK"/>
        </w:rPr>
        <w:t xml:space="preserve"> 1. pkt.,</w:t>
      </w:r>
      <w:r w:rsidRPr="00521368">
        <w:rPr>
          <w:rFonts w:ascii="Times New Roman" w:hAnsi="Times New Roman" w:cs="Times New Roman"/>
          <w:sz w:val="24"/>
          <w:szCs w:val="24"/>
          <w:lang w:eastAsia="da-DK"/>
        </w:rPr>
        <w:t xml:space="preserve"> indsættes efter </w:t>
      </w:r>
      <w:r w:rsidRPr="00521368">
        <w:rPr>
          <w:rFonts w:ascii="Times New Roman" w:eastAsia="Calibri" w:hAnsi="Times New Roman" w:cs="Times New Roman"/>
          <w:iCs/>
          <w:sz w:val="24"/>
          <w:szCs w:val="24"/>
        </w:rPr>
        <w:t>»§ 336 a, stk. 3, 5 og 6,«: »§ 343 c, stk. 2,«.</w:t>
      </w:r>
    </w:p>
    <w:p w14:paraId="1F98A38D" w14:textId="77777777" w:rsidR="001A0753" w:rsidRPr="001A0753" w:rsidRDefault="001A0753" w:rsidP="001A0753">
      <w:pPr>
        <w:rPr>
          <w:lang w:eastAsia="da-DK"/>
        </w:rPr>
      </w:pPr>
    </w:p>
    <w:p w14:paraId="079EF025" w14:textId="29873507" w:rsidR="001A0753" w:rsidRPr="00AD6069" w:rsidRDefault="00022ECE" w:rsidP="001A0753">
      <w:pPr>
        <w:pStyle w:val="Typografi1"/>
        <w:ind w:left="0" w:firstLine="238"/>
        <w:rPr>
          <w:lang w:eastAsia="da-DK"/>
        </w:rPr>
      </w:pPr>
      <w:bookmarkStart w:id="551" w:name="_Ref244871056"/>
      <w:bookmarkStart w:id="552" w:name="_Toc244879139"/>
      <w:bookmarkStart w:id="553" w:name="_Toc244880663"/>
      <w:r w:rsidRPr="003D5D3B">
        <w:rPr>
          <w:rFonts w:ascii="Times New Roman" w:hAnsi="Times New Roman" w:cs="Times New Roman"/>
          <w:sz w:val="24"/>
          <w:szCs w:val="24"/>
        </w:rPr>
        <w:t>I lov om kapitalmarkeder, jf. lovbekendtgørelse nr. 464 af 1. maj 2026, foretages følgende ændring:</w:t>
      </w:r>
      <w:bookmarkEnd w:id="551"/>
      <w:bookmarkEnd w:id="552"/>
      <w:bookmarkEnd w:id="553"/>
    </w:p>
    <w:p w14:paraId="5E834CF5" w14:textId="77777777" w:rsidR="00AD6069" w:rsidRPr="00A15B83" w:rsidRDefault="00AD6069" w:rsidP="00AD6069">
      <w:pPr>
        <w:rPr>
          <w:lang w:eastAsia="da-DK"/>
        </w:rPr>
      </w:pPr>
    </w:p>
    <w:p w14:paraId="0EE4E4B3" w14:textId="77777777" w:rsidR="00A15B83" w:rsidRDefault="00A15B83">
      <w:pPr>
        <w:pStyle w:val="Typografi1"/>
        <w:numPr>
          <w:ilvl w:val="0"/>
          <w:numId w:val="118"/>
        </w:numPr>
        <w:ind w:left="643"/>
        <w:rPr>
          <w:rFonts w:ascii="Times New Roman" w:hAnsi="Times New Roman" w:cs="Times New Roman"/>
          <w:sz w:val="24"/>
          <w:szCs w:val="24"/>
        </w:rPr>
      </w:pPr>
      <w:bookmarkStart w:id="554" w:name="_Toc244879140"/>
      <w:bookmarkStart w:id="555" w:name="_Toc244880664"/>
      <w:r w:rsidRPr="00A15B83">
        <w:rPr>
          <w:rFonts w:ascii="Times New Roman" w:hAnsi="Times New Roman" w:cs="Times New Roman"/>
          <w:sz w:val="24"/>
          <w:szCs w:val="24"/>
        </w:rPr>
        <w:t>I</w:t>
      </w:r>
      <w:r w:rsidRPr="00A15B83">
        <w:rPr>
          <w:rFonts w:ascii="Times New Roman" w:hAnsi="Times New Roman" w:cs="Times New Roman"/>
          <w:i/>
          <w:iCs/>
          <w:sz w:val="24"/>
          <w:szCs w:val="24"/>
        </w:rPr>
        <w:t xml:space="preserve"> § 51, stk. 2, nr. 5</w:t>
      </w:r>
      <w:r w:rsidRPr="00A15B83">
        <w:rPr>
          <w:rFonts w:ascii="Times New Roman" w:hAnsi="Times New Roman" w:cs="Times New Roman"/>
          <w:sz w:val="24"/>
          <w:szCs w:val="24"/>
        </w:rPr>
        <w:t>, ændres »jf. §§ 3 og 4 i lov om forebyggende foranstaltninger mod hvidvask af udbytte og finansiering af terrorisme« til: »jf. artikel 2, nr. 1 og 2, i Europa-Parlamentets og Rådets forordning (EU) 2024/1624 af 31. maj 2024 om forebyggende foranstaltninger mod anvendelse af det finansielle system til hvidvask af penge eller finansiering af terrorisme«.</w:t>
      </w:r>
      <w:bookmarkEnd w:id="554"/>
      <w:bookmarkEnd w:id="555"/>
    </w:p>
    <w:p w14:paraId="673C2931" w14:textId="77777777" w:rsidR="00C54B12" w:rsidRPr="00A15B83" w:rsidRDefault="00C54B12" w:rsidP="00C54B12"/>
    <w:p w14:paraId="059D8591" w14:textId="43D50220" w:rsidR="00C54B12" w:rsidRPr="00AD6069" w:rsidRDefault="00D5757D" w:rsidP="00C54B12">
      <w:pPr>
        <w:pStyle w:val="Typografi1"/>
        <w:ind w:left="0" w:firstLine="238"/>
        <w:rPr>
          <w:lang w:eastAsia="da-DK"/>
        </w:rPr>
      </w:pPr>
      <w:bookmarkStart w:id="556" w:name="_Ref244871072"/>
      <w:bookmarkStart w:id="557" w:name="_Toc244879141"/>
      <w:bookmarkStart w:id="558" w:name="_Toc244880665"/>
      <w:r w:rsidRPr="003D5D3B">
        <w:rPr>
          <w:rFonts w:ascii="Times New Roman" w:hAnsi="Times New Roman" w:cs="Times New Roman"/>
          <w:sz w:val="24"/>
          <w:szCs w:val="24"/>
        </w:rPr>
        <w:t>I lov om fondsmæglerselskaber og investeringsservice og -aktiviteter, jf. lovbekendtgørelse nr. 467 af 26. april 2026, foretages følgende ændringer:</w:t>
      </w:r>
      <w:bookmarkEnd w:id="556"/>
      <w:bookmarkEnd w:id="557"/>
      <w:bookmarkEnd w:id="558"/>
    </w:p>
    <w:p w14:paraId="27276617" w14:textId="77777777" w:rsidR="00AD6069" w:rsidRPr="0034128E" w:rsidRDefault="00AD6069" w:rsidP="00AD6069">
      <w:pPr>
        <w:rPr>
          <w:lang w:eastAsia="da-DK"/>
        </w:rPr>
      </w:pPr>
    </w:p>
    <w:p w14:paraId="55874386" w14:textId="61836625" w:rsidR="00F704AD" w:rsidRPr="00F704AD" w:rsidRDefault="00AD6069">
      <w:pPr>
        <w:pStyle w:val="Typografi1"/>
        <w:numPr>
          <w:ilvl w:val="0"/>
          <w:numId w:val="119"/>
        </w:numPr>
        <w:rPr>
          <w:lang w:eastAsia="da-DK"/>
        </w:rPr>
      </w:pPr>
      <w:bookmarkStart w:id="559" w:name="_Toc244879142"/>
      <w:bookmarkStart w:id="560" w:name="_Toc244880666"/>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udgår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xml:space="preserve"> »dele af Europa-Parlamentets og Rådets direktiv 2015/849/EU af 20. maj 2015 (4. hvidvaskdirektiv),«, og  »og dele af Europa-Parlamentets og Rådets direktiv 2019/878/EU af 20. maj 2019, EU-Tidende 2019, nr. L 150, side 253-293.« ændres til: »dele af Europa-Parlamentets og Rådets direktiv 2019/878/EU af 20. maj 2019, EU-Tidende 2019, nr. L 150, side 253-293 og dele af Europa-Parlamentets og Rådets direktiv (EU) 2024/1640 af 31. maj 2024 om de mekanismer, som medlemsstaterne skal indføre for at forebygge anvendelse af det finansielle system til hvidvask af penge eller finansiering af terrorisme (6. hvidvaskdirektiv).«.</w:t>
      </w:r>
      <w:bookmarkEnd w:id="559"/>
      <w:bookmarkEnd w:id="560"/>
    </w:p>
    <w:p w14:paraId="5876E03E" w14:textId="77777777" w:rsidR="00F704AD" w:rsidRPr="00F704AD" w:rsidRDefault="00F704AD" w:rsidP="00F704AD">
      <w:pPr>
        <w:rPr>
          <w:lang w:eastAsia="da-DK"/>
        </w:rPr>
      </w:pPr>
    </w:p>
    <w:p w14:paraId="5B82E090" w14:textId="72CC1005" w:rsidR="00F704AD" w:rsidRDefault="00F704AD">
      <w:pPr>
        <w:pStyle w:val="Listeafsnit"/>
        <w:numPr>
          <w:ilvl w:val="0"/>
          <w:numId w:val="119"/>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indsættes i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xml:space="preserve">: »Europa-Parlamentets og Rådets forordning (EU) 2024/1624 af 31. maj 2024 om forebyggende foranstaltninger mod anvendelse af det finansielle system til hvidvask af penge eller finansiering af terrorisme.« og »og Europa-Parlamentets og Rådets forordning 600/2014/EU af 15. maj 2014 (MiFIR), EU-Tidende 2014, nr. L 173, side 84.« ændres til: »Europa-Parlamentets og Rådets forordning 600/2014/EU af 15. maj 2014 (MiFIR), EU-Tidende 2014, nr. L 173, side 84 og Europa-Parlamentets og Rådets forordning (EU) 2024/1624 af 31. maj 2024 om forebyggende foranstaltninger mod anvendelse af det finansielle system til hvidvask af penge eller finansiering af terrorisme.«. </w:t>
      </w:r>
    </w:p>
    <w:p w14:paraId="33BA3FCF" w14:textId="77777777" w:rsidR="00F704AD" w:rsidRPr="00F704AD" w:rsidRDefault="00F704AD" w:rsidP="00F704AD"/>
    <w:p w14:paraId="46EDDB6A" w14:textId="77777777" w:rsidR="00F704AD" w:rsidRPr="003D5D3B" w:rsidRDefault="00F704AD">
      <w:pPr>
        <w:pStyle w:val="Listeafsnit"/>
        <w:numPr>
          <w:ilvl w:val="0"/>
          <w:numId w:val="119"/>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60, stk. 1, nr. 5</w:t>
      </w:r>
      <w:r w:rsidRPr="003D5D3B">
        <w:rPr>
          <w:rFonts w:ascii="Times New Roman" w:hAnsi="Times New Roman" w:cs="Times New Roman"/>
          <w:sz w:val="24"/>
          <w:szCs w:val="24"/>
        </w:rPr>
        <w:t>, ændres »jf. §§ 3 og 4 i hvidvaskloven« til: »jf. artikel 2, nr. 1 og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2E0748F3" w14:textId="77777777" w:rsidR="00F704AD" w:rsidRPr="003D5D3B" w:rsidRDefault="00F704AD">
      <w:pPr>
        <w:pStyle w:val="Listeafsnit"/>
        <w:numPr>
          <w:ilvl w:val="0"/>
          <w:numId w:val="119"/>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i/>
          <w:iCs/>
          <w:sz w:val="24"/>
          <w:szCs w:val="24"/>
        </w:rPr>
        <w:t>§ 164, stk. 1, nr. 1, litra e,</w:t>
      </w:r>
      <w:r w:rsidRPr="003D5D3B">
        <w:rPr>
          <w:rFonts w:ascii="Times New Roman" w:hAnsi="Times New Roman" w:cs="Times New Roman"/>
          <w:sz w:val="24"/>
          <w:szCs w:val="24"/>
        </w:rPr>
        <w:t xml:space="preserve"> affattes således: </w:t>
      </w:r>
      <w:r w:rsidRPr="003D5D3B">
        <w:rPr>
          <w:rFonts w:ascii="Times New Roman" w:hAnsi="Times New Roman" w:cs="Times New Roman"/>
          <w:sz w:val="24"/>
          <w:szCs w:val="24"/>
        </w:rPr>
        <w:br/>
        <w:t>»e) Europa-Parlamentets og Rådets forordning (EU) 2024/1624 af 31. maj 2024 om forebyggende foranstaltninger mod anvendelse af det finansielle system til hvidvask af penge eller finansiering af terrorisme og Europa-Parlamentet og Rådets direktiv (EU) 2024/1640 af 31. maj 2024 om de mekanismer, som medlemsstaterne skal indføre for at forebygge anvendelse af det finansielle system til hvidvask af penge eller finansiering af terrorisme, eller regler udstedt i medfør heraf, eller«.</w:t>
      </w:r>
    </w:p>
    <w:p w14:paraId="062033B0" w14:textId="77777777" w:rsidR="00A05A70" w:rsidRDefault="00A05A70" w:rsidP="00A05A70">
      <w:pPr>
        <w:pStyle w:val="Typografi1"/>
        <w:numPr>
          <w:ilvl w:val="0"/>
          <w:numId w:val="0"/>
        </w:numPr>
        <w:ind w:left="360" w:hanging="360"/>
        <w:rPr>
          <w:lang w:eastAsia="da-DK"/>
        </w:rPr>
      </w:pPr>
    </w:p>
    <w:p w14:paraId="664C2EF9" w14:textId="77777777" w:rsidR="00A05A70" w:rsidRPr="00A15B83" w:rsidRDefault="00A05A70" w:rsidP="00A05A70">
      <w:pPr>
        <w:pStyle w:val="Typografi1"/>
        <w:numPr>
          <w:ilvl w:val="0"/>
          <w:numId w:val="0"/>
        </w:numPr>
        <w:ind w:left="360" w:hanging="360"/>
        <w:rPr>
          <w:lang w:eastAsia="da-DK"/>
        </w:rPr>
      </w:pPr>
    </w:p>
    <w:p w14:paraId="5B901A0B" w14:textId="2B9F06F3" w:rsidR="00D94C7C" w:rsidRDefault="00D94C7C" w:rsidP="00D94C7C">
      <w:pPr>
        <w:pStyle w:val="Typografi1"/>
        <w:ind w:left="0" w:firstLine="238"/>
        <w:rPr>
          <w:rFonts w:ascii="Times New Roman" w:hAnsi="Times New Roman" w:cs="Times New Roman"/>
          <w:sz w:val="24"/>
          <w:szCs w:val="24"/>
          <w:lang w:eastAsia="da-DK"/>
        </w:rPr>
      </w:pPr>
      <w:bookmarkStart w:id="561" w:name="_Ref244871179"/>
      <w:bookmarkStart w:id="562" w:name="_Toc244879143"/>
      <w:bookmarkStart w:id="563" w:name="_Toc244880667"/>
      <w:r w:rsidRPr="00D94C7C">
        <w:rPr>
          <w:rFonts w:ascii="Times New Roman" w:hAnsi="Times New Roman" w:cs="Times New Roman"/>
          <w:sz w:val="24"/>
          <w:szCs w:val="24"/>
          <w:lang w:eastAsia="da-DK"/>
        </w:rPr>
        <w:t>I lov om betalinger, jf. lovbekendtgørelse nr. 463 af 26. april 2026, foretages følgende ændringer:</w:t>
      </w:r>
      <w:bookmarkEnd w:id="561"/>
      <w:bookmarkEnd w:id="562"/>
      <w:bookmarkEnd w:id="563"/>
    </w:p>
    <w:p w14:paraId="2116FD7F" w14:textId="77777777" w:rsidR="00EC115F" w:rsidRDefault="00EC115F" w:rsidP="00EC115F">
      <w:pPr>
        <w:pStyle w:val="Typografi1"/>
        <w:numPr>
          <w:ilvl w:val="0"/>
          <w:numId w:val="0"/>
        </w:numPr>
        <w:ind w:left="238"/>
        <w:rPr>
          <w:rFonts w:ascii="Times New Roman" w:hAnsi="Times New Roman" w:cs="Times New Roman"/>
          <w:sz w:val="24"/>
          <w:szCs w:val="24"/>
          <w:lang w:eastAsia="da-DK"/>
        </w:rPr>
      </w:pPr>
    </w:p>
    <w:p w14:paraId="687932B2" w14:textId="487D725D" w:rsidR="00D94C7C" w:rsidRDefault="009A3133">
      <w:pPr>
        <w:pStyle w:val="Typografi1"/>
        <w:numPr>
          <w:ilvl w:val="0"/>
          <w:numId w:val="120"/>
        </w:numPr>
        <w:rPr>
          <w:rFonts w:ascii="Times New Roman" w:hAnsi="Times New Roman" w:cs="Times New Roman"/>
          <w:sz w:val="24"/>
          <w:szCs w:val="24"/>
          <w:lang w:eastAsia="da-DK"/>
        </w:rPr>
      </w:pPr>
      <w:bookmarkStart w:id="564" w:name="_Toc244879144"/>
      <w:bookmarkStart w:id="565" w:name="_Toc244880668"/>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 10, stk. 1, nr. 4</w:t>
      </w:r>
      <w:r w:rsidRPr="003D5D3B">
        <w:rPr>
          <w:rFonts w:ascii="Times New Roman" w:hAnsi="Times New Roman" w:cs="Times New Roman"/>
          <w:sz w:val="24"/>
          <w:szCs w:val="24"/>
        </w:rPr>
        <w:t>, ændres »jf. hvidvasklovens § 7, stk. 2,« til: »jf. artikel 11, stk. 2, i Europa-Parlamentets og Rådets forordning (EU) 2024/1624 af 31. maj 2024 om forebyggende foranstaltninger mod anvendelse af det finansielle system til hvidvask af penge eller finansiering af terrorisme,«.</w:t>
      </w:r>
      <w:bookmarkEnd w:id="564"/>
      <w:bookmarkEnd w:id="565"/>
    </w:p>
    <w:p w14:paraId="074C98C4"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10, stk. 1, nr. 8</w:t>
      </w:r>
      <w:r w:rsidRPr="003D5D3B">
        <w:rPr>
          <w:rFonts w:ascii="Times New Roman" w:hAnsi="Times New Roman" w:cs="Times New Roman"/>
          <w:sz w:val="24"/>
          <w:szCs w:val="24"/>
        </w:rPr>
        <w:t>, ændres »i henhold til hvidvaskloven« til: »i henhold til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208D5116"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11, stk. 1, nr. 8</w:t>
      </w:r>
      <w:r w:rsidRPr="003D5D3B">
        <w:rPr>
          <w:rFonts w:ascii="Times New Roman" w:hAnsi="Times New Roman" w:cs="Times New Roman"/>
          <w:sz w:val="24"/>
          <w:szCs w:val="24"/>
        </w:rPr>
        <w:t>, ændres »jf. hvidvasklovens § 7, stk. 2,« til: »jf. artikel 11, stk.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686C8BD3"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11, stk. 1, nr. 13</w:t>
      </w:r>
      <w:r w:rsidRPr="003D5D3B">
        <w:rPr>
          <w:rFonts w:ascii="Times New Roman" w:hAnsi="Times New Roman" w:cs="Times New Roman"/>
          <w:sz w:val="24"/>
          <w:szCs w:val="24"/>
        </w:rPr>
        <w:t>, ændres »i henhold til hvidvaskloven« til: »i henhold til Europa-Parlamentets og Rådets forordning (EU) 2024/1624 af 31. maj 2024 om forebyggende foranstaltninger mod anvendelse af det finansielle system til hvidvask af penge eller finansiering af terrorisme«.</w:t>
      </w:r>
    </w:p>
    <w:p w14:paraId="273D0325" w14:textId="77777777" w:rsidR="009513F6" w:rsidRPr="003D5D3B" w:rsidRDefault="009513F6" w:rsidP="009513F6">
      <w:pPr>
        <w:pStyle w:val="Listeafsnit"/>
        <w:spacing w:line="360" w:lineRule="auto"/>
        <w:rPr>
          <w:rFonts w:ascii="Times New Roman" w:hAnsi="Times New Roman" w:cs="Times New Roman"/>
          <w:sz w:val="24"/>
          <w:szCs w:val="24"/>
        </w:rPr>
      </w:pPr>
    </w:p>
    <w:p w14:paraId="6AAE6A5F"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23, stk. 1, nr. 5</w:t>
      </w:r>
      <w:r w:rsidRPr="003D5D3B">
        <w:rPr>
          <w:rFonts w:ascii="Times New Roman" w:hAnsi="Times New Roman" w:cs="Times New Roman"/>
          <w:sz w:val="24"/>
          <w:szCs w:val="24"/>
        </w:rPr>
        <w:t>, ændres »jf. §§ 3 og 4 i hvidvaskloven« til: »jf. artikel 2, nr. 1 og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4033A6BD"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30, stk. 6, </w:t>
      </w:r>
      <w:r w:rsidRPr="003D5D3B">
        <w:rPr>
          <w:rFonts w:ascii="Times New Roman" w:hAnsi="Times New Roman" w:cs="Times New Roman"/>
          <w:sz w:val="24"/>
          <w:szCs w:val="24"/>
        </w:rPr>
        <w:t>ændres »jf. hvidvasklovens § 7, stk. 2,« til: »jf. artikel 11, stk.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18906D8A"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30, stk. 7, </w:t>
      </w:r>
      <w:r w:rsidRPr="003D5D3B">
        <w:rPr>
          <w:rFonts w:ascii="Times New Roman" w:hAnsi="Times New Roman" w:cs="Times New Roman"/>
          <w:sz w:val="24"/>
          <w:szCs w:val="24"/>
        </w:rPr>
        <w:t>ændres »jf. hvidvasklovens § 7, stk. 2,« til: »jf. artikel 11, stk.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77C7088B"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36, stk. 2, nr. 4, </w:t>
      </w:r>
      <w:r w:rsidRPr="003D5D3B">
        <w:rPr>
          <w:rFonts w:ascii="Times New Roman" w:hAnsi="Times New Roman" w:cs="Times New Roman"/>
          <w:sz w:val="24"/>
          <w:szCs w:val="24"/>
        </w:rPr>
        <w:t>ændres »i henhold til hvidvaskloven,« til: »i henhold til Europa-Parlamentets og Rådets forordning (EU) 2024/1624 af 31. maj 2024 om forebyggende foranstaltninger mod anvendelse af det finansielle system til hvidvask af penge eller finansiering af terrorisme,«.</w:t>
      </w:r>
    </w:p>
    <w:p w14:paraId="299FAC4A" w14:textId="77777777" w:rsidR="009513F6" w:rsidRPr="003D5D3B" w:rsidRDefault="009513F6" w:rsidP="009513F6">
      <w:pPr>
        <w:pStyle w:val="Listeafsnit"/>
        <w:spacing w:line="360" w:lineRule="auto"/>
        <w:rPr>
          <w:rFonts w:ascii="Times New Roman" w:hAnsi="Times New Roman" w:cs="Times New Roman"/>
          <w:sz w:val="24"/>
          <w:szCs w:val="24"/>
        </w:rPr>
      </w:pPr>
    </w:p>
    <w:p w14:paraId="6DA16D05"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46, stk. 2, </w:t>
      </w:r>
      <w:r w:rsidRPr="003D5D3B">
        <w:rPr>
          <w:rFonts w:ascii="Times New Roman" w:hAnsi="Times New Roman" w:cs="Times New Roman"/>
          <w:sz w:val="24"/>
          <w:szCs w:val="24"/>
        </w:rPr>
        <w:t>indsættes efter »hvidvaskloven«: », Europa-Parlamentets og Rådets forordning (EU) 2024/1624 af 31. maj 2024 om forebyggende foranstaltninger mod anvendelse af det finansielle system til hvidvask af penge eller finansiering af terrorisme,«.</w:t>
      </w:r>
    </w:p>
    <w:p w14:paraId="64E0465C" w14:textId="77777777" w:rsidR="009513F6" w:rsidRPr="003D5D3B" w:rsidRDefault="009513F6" w:rsidP="009513F6">
      <w:pPr>
        <w:pStyle w:val="Listeafsnit"/>
        <w:spacing w:line="360" w:lineRule="auto"/>
        <w:rPr>
          <w:rFonts w:ascii="Times New Roman" w:hAnsi="Times New Roman" w:cs="Times New Roman"/>
          <w:sz w:val="24"/>
          <w:szCs w:val="24"/>
        </w:rPr>
      </w:pPr>
    </w:p>
    <w:p w14:paraId="0AF826D8"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46, stk. 3, </w:t>
      </w:r>
      <w:r w:rsidRPr="003D5D3B">
        <w:rPr>
          <w:rFonts w:ascii="Times New Roman" w:hAnsi="Times New Roman" w:cs="Times New Roman"/>
          <w:sz w:val="24"/>
          <w:szCs w:val="24"/>
        </w:rPr>
        <w:t>indsættes efter »hvidvaskloven«: », Europa-Parlamentets og Rådets forordning (EU) 2024/1624 af 31. maj 2024 om forebyggende foranstaltninger mod anvendelse af det finansielle system til hvidvask af penge eller finansiering af terrorisme,«.</w:t>
      </w:r>
    </w:p>
    <w:p w14:paraId="6CF6E3C3" w14:textId="77777777" w:rsidR="009513F6" w:rsidRPr="003D5D3B" w:rsidRDefault="009513F6" w:rsidP="009513F6">
      <w:pPr>
        <w:pStyle w:val="Listeafsnit"/>
        <w:spacing w:line="360" w:lineRule="auto"/>
        <w:rPr>
          <w:rFonts w:ascii="Times New Roman" w:hAnsi="Times New Roman" w:cs="Times New Roman"/>
          <w:sz w:val="24"/>
          <w:szCs w:val="24"/>
        </w:rPr>
      </w:pPr>
    </w:p>
    <w:p w14:paraId="568CB1FD"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47, stk. 3, </w:t>
      </w:r>
      <w:r w:rsidRPr="003D5D3B">
        <w:rPr>
          <w:rFonts w:ascii="Times New Roman" w:hAnsi="Times New Roman" w:cs="Times New Roman"/>
          <w:sz w:val="24"/>
          <w:szCs w:val="24"/>
        </w:rPr>
        <w:t>indsættes efter »hvidvaskloven«: », Europa-Parlamentets og Rådets forordning (EU) 2024/1624 af 31. maj 2024 om forebyggende foranstaltninger mod anvendelse af det finansielle system til hvidvask af penge eller finansiering af terrorisme,«.</w:t>
      </w:r>
    </w:p>
    <w:p w14:paraId="6E952461" w14:textId="77777777" w:rsidR="009513F6" w:rsidRPr="003D5D3B" w:rsidRDefault="009513F6" w:rsidP="009513F6">
      <w:pPr>
        <w:pStyle w:val="Listeafsnit"/>
        <w:spacing w:line="360" w:lineRule="auto"/>
        <w:rPr>
          <w:rFonts w:ascii="Times New Roman" w:hAnsi="Times New Roman" w:cs="Times New Roman"/>
          <w:sz w:val="24"/>
          <w:szCs w:val="24"/>
        </w:rPr>
      </w:pPr>
    </w:p>
    <w:p w14:paraId="6AA18589"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47, stk. 4, </w:t>
      </w:r>
      <w:r w:rsidRPr="003D5D3B">
        <w:rPr>
          <w:rFonts w:ascii="Times New Roman" w:hAnsi="Times New Roman" w:cs="Times New Roman"/>
          <w:sz w:val="24"/>
          <w:szCs w:val="24"/>
        </w:rPr>
        <w:t>indsættes efter »hvidvaskloven«: », Europa-Parlamentets og Rådets forordning (EU) 2024/1624 af 31. maj 2024 om forebyggende foranstaltninger mod anvendelse af det finansielle system til hvidvask af penge eller finansiering af terrorisme,«.</w:t>
      </w:r>
    </w:p>
    <w:p w14:paraId="518CD2FA" w14:textId="77777777" w:rsidR="009513F6" w:rsidRPr="003D5D3B" w:rsidRDefault="009513F6" w:rsidP="009513F6">
      <w:pPr>
        <w:pStyle w:val="Listeafsnit"/>
        <w:spacing w:line="360" w:lineRule="auto"/>
        <w:rPr>
          <w:rFonts w:ascii="Times New Roman" w:hAnsi="Times New Roman" w:cs="Times New Roman"/>
          <w:sz w:val="24"/>
          <w:szCs w:val="24"/>
        </w:rPr>
      </w:pPr>
    </w:p>
    <w:p w14:paraId="2286A47A"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81, stk. 1, </w:t>
      </w:r>
      <w:r w:rsidRPr="003D5D3B">
        <w:rPr>
          <w:rFonts w:ascii="Times New Roman" w:hAnsi="Times New Roman" w:cs="Times New Roman"/>
          <w:sz w:val="24"/>
          <w:szCs w:val="24"/>
        </w:rPr>
        <w:t>ændres »jf. dog § 5« til: »jf. dog § 3, stk. 2,«.</w:t>
      </w:r>
    </w:p>
    <w:p w14:paraId="2260A620" w14:textId="77777777" w:rsidR="009513F6" w:rsidRPr="003D5D3B" w:rsidRDefault="009513F6" w:rsidP="009513F6">
      <w:pPr>
        <w:pStyle w:val="Listeafsnit"/>
        <w:spacing w:line="360" w:lineRule="auto"/>
        <w:rPr>
          <w:rFonts w:ascii="Times New Roman" w:hAnsi="Times New Roman" w:cs="Times New Roman"/>
          <w:sz w:val="24"/>
          <w:szCs w:val="24"/>
        </w:rPr>
      </w:pPr>
    </w:p>
    <w:p w14:paraId="70D1F03D"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90, stk. 2, </w:t>
      </w:r>
      <w:r w:rsidRPr="003D5D3B">
        <w:rPr>
          <w:rFonts w:ascii="Times New Roman" w:hAnsi="Times New Roman" w:cs="Times New Roman"/>
          <w:sz w:val="24"/>
          <w:szCs w:val="24"/>
        </w:rPr>
        <w:t>ændres »i henhold til hvidvaskloven,« til: »i henhold til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40FA5377"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 134, stk. 3,</w:t>
      </w:r>
      <w:r w:rsidRPr="003D5D3B">
        <w:rPr>
          <w:rFonts w:ascii="Times New Roman" w:hAnsi="Times New Roman" w:cs="Times New Roman"/>
          <w:sz w:val="24"/>
          <w:szCs w:val="24"/>
        </w:rPr>
        <w:t xml:space="preserve"> ændres »jf. hvidvasklovens § 7, stk. 2,« til: »jf. artikel 11, stk.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5E60C715"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 134, stk. 4,</w:t>
      </w:r>
      <w:r w:rsidRPr="003D5D3B">
        <w:rPr>
          <w:rFonts w:ascii="Times New Roman" w:hAnsi="Times New Roman" w:cs="Times New Roman"/>
          <w:sz w:val="24"/>
          <w:szCs w:val="24"/>
        </w:rPr>
        <w:t xml:space="preserve"> ændres »jf. hvidvasklovens § 7, stk. 2,« til: »jf. artikel 11, stk. 2, i Europa-Parlamentets og Rådets forordning (EU) 2024/1624 af 31. maj 2024 om forebyggende foranstaltninger mod anvendelse af det finansielle system til hvidvask af penge eller finansiering af terrorisme,«.</w:t>
      </w:r>
    </w:p>
    <w:p w14:paraId="41C25C14" w14:textId="77777777" w:rsidR="009513F6" w:rsidRPr="003D5D3B" w:rsidRDefault="009513F6" w:rsidP="009513F6">
      <w:pPr>
        <w:pStyle w:val="Listeafsnit"/>
        <w:spacing w:line="360" w:lineRule="auto"/>
        <w:rPr>
          <w:rFonts w:ascii="Times New Roman" w:hAnsi="Times New Roman" w:cs="Times New Roman"/>
          <w:sz w:val="24"/>
          <w:szCs w:val="24"/>
        </w:rPr>
      </w:pPr>
    </w:p>
    <w:p w14:paraId="585330DF" w14:textId="77777777" w:rsidR="009513F6" w:rsidRPr="003D5D3B"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 134, stk. 9,</w:t>
      </w:r>
      <w:r w:rsidRPr="003D5D3B">
        <w:rPr>
          <w:rFonts w:ascii="Times New Roman" w:hAnsi="Times New Roman" w:cs="Times New Roman"/>
          <w:sz w:val="24"/>
          <w:szCs w:val="24"/>
        </w:rPr>
        <w:t xml:space="preserve"> ændres »jf. hvidvasklovens § 7, stk. 2,« til: »jf. artikel 11, stk. 2, i Europa-Parlamentets og Rådets forordning (EU) 2024/1624 af 31. maj 2024 om forebyggende foranstaltninger mod anvendelse af det finansielle system til hvidvask af penge eller finansiering af terrorisme,«.</w:t>
      </w:r>
    </w:p>
    <w:p w14:paraId="0A86D167" w14:textId="77777777" w:rsidR="009513F6" w:rsidRPr="003D5D3B" w:rsidRDefault="009513F6" w:rsidP="009513F6">
      <w:pPr>
        <w:pStyle w:val="Listeafsnit"/>
        <w:spacing w:line="360" w:lineRule="auto"/>
        <w:rPr>
          <w:rFonts w:ascii="Times New Roman" w:hAnsi="Times New Roman" w:cs="Times New Roman"/>
          <w:sz w:val="24"/>
          <w:szCs w:val="24"/>
        </w:rPr>
      </w:pPr>
    </w:p>
    <w:p w14:paraId="28F2EE30" w14:textId="22EBF266" w:rsidR="00D94C7C" w:rsidRPr="009513F6" w:rsidRDefault="009513F6">
      <w:pPr>
        <w:pStyle w:val="Listeafsnit"/>
        <w:numPr>
          <w:ilvl w:val="0"/>
          <w:numId w:val="120"/>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135, stk. 1, nr. 7, </w:t>
      </w:r>
      <w:r w:rsidRPr="003D5D3B">
        <w:rPr>
          <w:rFonts w:ascii="Times New Roman" w:hAnsi="Times New Roman" w:cs="Times New Roman"/>
          <w:sz w:val="24"/>
          <w:szCs w:val="24"/>
        </w:rPr>
        <w:t>indsættes efter »hvidvaskloven«: », Europa-Parlamentets og Rådets forordning (EU) 2024/1624 af 31. maj 2024 om forebyggende foranstaltninger mod anvendelse af det finansielle system til hvidvask af penge eller finansiering af terrorisme,«.</w:t>
      </w:r>
    </w:p>
    <w:p w14:paraId="65ECDBC5" w14:textId="5D4C33EB" w:rsidR="002C1BD7" w:rsidRPr="00EC115F" w:rsidRDefault="002C1BD7" w:rsidP="002C1BD7">
      <w:pPr>
        <w:pStyle w:val="Typografi1"/>
        <w:ind w:left="0" w:firstLine="238"/>
        <w:rPr>
          <w:lang w:eastAsia="da-DK"/>
        </w:rPr>
      </w:pPr>
      <w:bookmarkStart w:id="566" w:name="_Ref244871122"/>
      <w:bookmarkStart w:id="567" w:name="_Toc244879145"/>
      <w:bookmarkStart w:id="568" w:name="_Toc244880669"/>
      <w:r w:rsidRPr="003D5D3B">
        <w:rPr>
          <w:rFonts w:ascii="Times New Roman" w:hAnsi="Times New Roman" w:cs="Times New Roman"/>
          <w:sz w:val="24"/>
          <w:szCs w:val="24"/>
        </w:rPr>
        <w:t>I lov om investeringsforeninger m.v., jf. lovbekendtgørelse nr. 445 af 17. april 2026, foretages følgende ændringer:</w:t>
      </w:r>
      <w:bookmarkEnd w:id="566"/>
      <w:bookmarkEnd w:id="567"/>
      <w:bookmarkEnd w:id="568"/>
    </w:p>
    <w:p w14:paraId="17C3935D" w14:textId="77777777" w:rsidR="00EC115F" w:rsidRDefault="00EC115F" w:rsidP="00EC115F">
      <w:pPr>
        <w:pStyle w:val="Typografi1"/>
        <w:numPr>
          <w:ilvl w:val="0"/>
          <w:numId w:val="0"/>
        </w:numPr>
        <w:ind w:left="238"/>
        <w:rPr>
          <w:lang w:eastAsia="da-DK"/>
        </w:rPr>
      </w:pPr>
    </w:p>
    <w:p w14:paraId="317FF3C4" w14:textId="7A53DBEB" w:rsidR="002C1BD7" w:rsidRPr="009513F6" w:rsidRDefault="004B6AE2">
      <w:pPr>
        <w:pStyle w:val="Typografi1"/>
        <w:numPr>
          <w:ilvl w:val="0"/>
          <w:numId w:val="121"/>
        </w:numPr>
        <w:rPr>
          <w:lang w:eastAsia="da-DK"/>
        </w:rPr>
      </w:pPr>
      <w:bookmarkStart w:id="569" w:name="_Toc244879146"/>
      <w:bookmarkStart w:id="570" w:name="_Toc244880670"/>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udgår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xml:space="preserve"> »dele af Europa-Parlamentets og Rådets direktiv 2015/849/EU af 20. maj 2015 om forebyggende foranstaltninger mod anvendelse af det finansielle system til hvidvask af penge eller finansiering af terrorisme, om ændring af Europa-Parlamentets og Rådets forordning 2012/648/EU og om ophævelse af Europa-Parlamentets og Rådets direktiv 2005/60/EF samt Kommissionens direktiv 2006/70/EF (4. hvidvaskdirektiv),«, og  »og dele af Europa-Parlamentets og Rådets direktiv (EU) 2024/927 af 13. marts 2024 om ændring af direktiv 2011/61/EU og 2009/65/EF for så vidt angår delegeringsaftaler, likviditetsrisikostyring, indberetning med henblik på tilsyn, levering af depositar- og opbevaringsydelser og alternative investeringsfondes lånudstedelse.« ændres til: »dele af Europa-Parlamentets og Rådets direktiv (EU) 2024/927 af 13. marts 2024 om ændring af direktiv 2011/61/EU og 2009/65/EF for så vidt angår delegeringsaftaler, likviditetsrisikostyring, indberetning med henblik på tilsyn, levering af depositar- og opbevaringsydelser og alternative investeringsfondes lånudstedelse og dele af Europa-Parlamentets og Rådets direktiv (EU) 2024/1640 af 31. maj 2024 om de mekanismer, som medlemsstaterne skal indføre for at forebygge anvendelse af det finansielle system til hvidvask af penge eller finansiering af terrorisme (6. hvidvaskdirektiv).«.</w:t>
      </w:r>
      <w:bookmarkEnd w:id="569"/>
      <w:bookmarkEnd w:id="570"/>
    </w:p>
    <w:p w14:paraId="382BD554" w14:textId="77777777" w:rsidR="001A65EE" w:rsidRPr="003D5D3B" w:rsidRDefault="001A65EE">
      <w:pPr>
        <w:pStyle w:val="Listeafsnit"/>
        <w:numPr>
          <w:ilvl w:val="0"/>
          <w:numId w:val="121"/>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indsættes i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»Europa-Parlamentets og Rådets forordning (EU) 2024/1624 af 31. maj 2024 om forebyggende foranstaltninger mod anvendelse af det finansielle system til hvidvask af penge eller finansiering af terrorisme.« og »og Europa-Parlamentets og Rådets forordning (EU) 2023/2869 af 13. december 2023 om ændring af visse forordninger for så vidt angår oprettelse af det fælles europæiske adgangspunkt og dets funktionsmåde, EU-Tidende, L af 20. december 2023.« ændres til: »</w:t>
      </w:r>
      <w:r w:rsidRPr="003D5D3B">
        <w:rPr>
          <w:rFonts w:ascii="Times New Roman" w:hAnsi="Times New Roman" w:cs="Times New Roman"/>
          <w:color w:val="212529"/>
          <w:sz w:val="24"/>
          <w:szCs w:val="24"/>
          <w:shd w:val="clear" w:color="auto" w:fill="F9F9FB"/>
        </w:rPr>
        <w:t xml:space="preserve"> </w:t>
      </w:r>
      <w:r w:rsidRPr="003D5D3B">
        <w:rPr>
          <w:rFonts w:ascii="Times New Roman" w:hAnsi="Times New Roman" w:cs="Times New Roman"/>
          <w:sz w:val="24"/>
          <w:szCs w:val="24"/>
        </w:rPr>
        <w:t xml:space="preserve">og Europa-Parlamentets og Rådets forordning (EU) 2023/2869 af 13. december 2023 om ændring af visse forordninger for så vidt angår oprettelse af det fælles europæiske adgangspunkt og dets funktionsmåde, EU-Tidende, L af 20. december 2023 og Europa-Parlamentets og Rådets forordning (EU) 2024/1624 af 31. maj 2024 om forebyggende foranstaltninger mod anvendelse af det finansielle system til hvidvask af penge eller finansiering af terrorisme.«. </w:t>
      </w:r>
    </w:p>
    <w:p w14:paraId="04A3C538" w14:textId="77777777" w:rsidR="001A65EE" w:rsidRPr="003D5D3B" w:rsidRDefault="001A65EE" w:rsidP="001A65EE">
      <w:pPr>
        <w:pStyle w:val="Listeafsnit"/>
        <w:spacing w:line="360" w:lineRule="auto"/>
        <w:rPr>
          <w:rFonts w:ascii="Times New Roman" w:hAnsi="Times New Roman" w:cs="Times New Roman"/>
          <w:sz w:val="24"/>
          <w:szCs w:val="24"/>
        </w:rPr>
      </w:pPr>
    </w:p>
    <w:p w14:paraId="391DDFF6" w14:textId="1335984E" w:rsidR="009513F6" w:rsidRPr="001A65EE" w:rsidRDefault="001A65EE">
      <w:pPr>
        <w:pStyle w:val="Listeafsnit"/>
        <w:numPr>
          <w:ilvl w:val="0"/>
          <w:numId w:val="121"/>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110, stk. 1, nr. 6, </w:t>
      </w:r>
      <w:r w:rsidRPr="003D5D3B">
        <w:rPr>
          <w:rFonts w:ascii="Times New Roman" w:hAnsi="Times New Roman" w:cs="Times New Roman"/>
          <w:sz w:val="24"/>
          <w:szCs w:val="24"/>
        </w:rPr>
        <w:t>indsættes efter »hvidvaskloven«: »eller Europa-Parlamentets og Rådets forordning (EU) 2024/1624 af 31. maj 2024 om forebyggende foranstaltninger mod anvendelse af det finansielle system til hvidvask af penge eller finansiering af terrorisme«.</w:t>
      </w:r>
    </w:p>
    <w:p w14:paraId="6E752FC3" w14:textId="7E1407E9" w:rsidR="00C54B12" w:rsidRPr="00EC115F" w:rsidRDefault="00DF5EFF" w:rsidP="00C54B12">
      <w:pPr>
        <w:pStyle w:val="Typografi1"/>
        <w:ind w:left="0" w:firstLine="238"/>
        <w:rPr>
          <w:lang w:eastAsia="da-DK"/>
        </w:rPr>
      </w:pPr>
      <w:bookmarkStart w:id="571" w:name="_Ref244871129"/>
      <w:bookmarkStart w:id="572" w:name="_Toc244879147"/>
      <w:bookmarkStart w:id="573" w:name="_Toc244880671"/>
      <w:r w:rsidRPr="003D5D3B">
        <w:rPr>
          <w:rFonts w:ascii="Times New Roman" w:hAnsi="Times New Roman" w:cs="Times New Roman"/>
          <w:sz w:val="24"/>
          <w:szCs w:val="24"/>
        </w:rPr>
        <w:t>I lov om forvaltere af alternative investeringsfonde m.v., jf. lovbekendtgørelse nr. 468 af 26. april 2026, foretages følgende ændringer:</w:t>
      </w:r>
      <w:bookmarkEnd w:id="571"/>
      <w:bookmarkEnd w:id="572"/>
      <w:bookmarkEnd w:id="573"/>
    </w:p>
    <w:p w14:paraId="36613D0C" w14:textId="77777777" w:rsidR="00EC115F" w:rsidRPr="001A65EE" w:rsidRDefault="00EC115F" w:rsidP="00EC115F">
      <w:pPr>
        <w:pStyle w:val="Typografi1"/>
        <w:numPr>
          <w:ilvl w:val="0"/>
          <w:numId w:val="0"/>
        </w:numPr>
        <w:ind w:left="238"/>
        <w:rPr>
          <w:lang w:eastAsia="da-DK"/>
        </w:rPr>
      </w:pPr>
    </w:p>
    <w:p w14:paraId="20CF832F" w14:textId="269AB8F7" w:rsidR="001A65EE" w:rsidRPr="00057215" w:rsidRDefault="00057215">
      <w:pPr>
        <w:pStyle w:val="Typografi1"/>
        <w:numPr>
          <w:ilvl w:val="0"/>
          <w:numId w:val="122"/>
        </w:numPr>
      </w:pPr>
      <w:bookmarkStart w:id="574" w:name="_Toc244879148"/>
      <w:bookmarkStart w:id="575" w:name="_Toc244880672"/>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udgår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xml:space="preserve"> »</w:t>
      </w:r>
      <w:r w:rsidRPr="003D5D3B">
        <w:rPr>
          <w:rFonts w:ascii="Times New Roman" w:hAnsi="Times New Roman" w:cs="Times New Roman"/>
          <w:color w:val="212529"/>
          <w:sz w:val="24"/>
          <w:szCs w:val="24"/>
          <w:shd w:val="clear" w:color="auto" w:fill="F9F9FB"/>
        </w:rPr>
        <w:t xml:space="preserve"> </w:t>
      </w:r>
      <w:r w:rsidRPr="003D5D3B">
        <w:rPr>
          <w:rFonts w:ascii="Times New Roman" w:hAnsi="Times New Roman" w:cs="Times New Roman"/>
          <w:sz w:val="24"/>
          <w:szCs w:val="24"/>
        </w:rPr>
        <w:t>dele af Europa-Parlamentets og Rådets direktiv 2015/849/EU af 20. maj 2015 om forebyggende foranstaltninger mod anvendelse af det finansielle system til hvidvask af penge eller finansiering af terrorisme, om ændring af Europa-Parlamentets og Rådets forordning (EU) nr. 648/2012 og om ophævelse af Europa-Parlamentets og Rådets direktiv 2005/60/EF samt Kommissionens direktiv 2006/70/EF (4. hvidvaskdirektiv),«, og »og dele af Europa-Parlamentets og Rådets direktiv (EU) 2024/927 af 13. marts 2024 om ændring af direktiv 2011/61/EU og 2009/65/EF for så vidt angår delegeringsaftaler, likviditetsrisikostyring, indberetning med henblik på tilsyn, levering af depositar- og opbevaringsydelser og alternative investeringsfondes lånudstedelse.« ændres til: »dele af Europa-Parlamentets og Rådets direktiv (EU) 2024/927 af 13. marts 2024 om ændring af direktiv 2011/61/EU og 2009/65/EF for så vidt angår delegeringsaftaler, likviditetsrisikostyring, indberetning med henblik på tilsyn, levering af depositar- og opbevaringsydelser og alternative investeringsfondes lånudstedelse og dele af Europa-Parlamentets og Rådets direktiv (EU) 2024/1640 af 31. maj 2024 om de mekanismer, som medlemsstaterne skal indføre for at forebygge anvendelse af det finansielle system til hvidvask af penge eller finansiering af terrorisme (6. hvidvaskdirektiv).«.</w:t>
      </w:r>
      <w:bookmarkEnd w:id="574"/>
      <w:bookmarkEnd w:id="575"/>
    </w:p>
    <w:p w14:paraId="592F666D"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indsættes i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»Europa-Parlamentets og Rådets forordning (EU) 2024/1624 af 31. maj 2024 om forebyggende foranstaltninger mod anvendelse af det finansielle system til hvidvask af penge eller finansiering af terrorisme.« og »</w:t>
      </w:r>
      <w:r w:rsidRPr="003D5D3B">
        <w:rPr>
          <w:rFonts w:ascii="Times New Roman" w:hAnsi="Times New Roman" w:cs="Times New Roman"/>
          <w:color w:val="212529"/>
          <w:sz w:val="24"/>
          <w:szCs w:val="24"/>
          <w:shd w:val="clear" w:color="auto" w:fill="F9F9FB"/>
        </w:rPr>
        <w:t xml:space="preserve"> </w:t>
      </w:r>
      <w:r w:rsidRPr="003D5D3B">
        <w:rPr>
          <w:rFonts w:ascii="Times New Roman" w:hAnsi="Times New Roman" w:cs="Times New Roman"/>
          <w:sz w:val="24"/>
          <w:szCs w:val="24"/>
        </w:rPr>
        <w:t>og Europa Parlamentets og Rådets forordning 2017/2402/EU af 12. december 2017 om en generel ramme for securitisering og om oprettelse af en specifik ramme for simpel, transparent og standardiseret securitisering og om ændring af direktiv 2009/65/EF, 2009/138/EF og 2011/61/EU og forordning 1060/2009/EF og 648/2012/EU, EU-Tidende 2017, nr. L 347, side 35.« ændres til: »</w:t>
      </w:r>
      <w:r w:rsidRPr="003D5D3B">
        <w:rPr>
          <w:rFonts w:ascii="Times New Roman" w:hAnsi="Times New Roman" w:cs="Times New Roman"/>
          <w:color w:val="212529"/>
          <w:sz w:val="24"/>
          <w:szCs w:val="24"/>
          <w:shd w:val="clear" w:color="auto" w:fill="F9F9FB"/>
        </w:rPr>
        <w:t xml:space="preserve"> </w:t>
      </w:r>
      <w:r w:rsidRPr="003D5D3B">
        <w:rPr>
          <w:rFonts w:ascii="Times New Roman" w:hAnsi="Times New Roman" w:cs="Times New Roman"/>
          <w:sz w:val="24"/>
          <w:szCs w:val="24"/>
        </w:rPr>
        <w:t xml:space="preserve">og Europa Parlamentets og Rådets forordning 2017/2402/EU af 12. december 2017 om en generel ramme for securitisering og om oprettelse af en specifik ramme for simpel, transparent og standardiseret securitisering og om ændring af direktiv 2009/65/EF, 2009/138/EF og 2011/61/EU og forordning 1060/2009/EF og 648/2012/EU, EU-Tidende 2017, nr. L 347, side 35 og Europa-Parlamentets og Rådets forordning (EU) 2024/1624 af 31. maj 2024 om forebyggende foranstaltninger mod anvendelse af det finansielle system til hvidvask af penge eller finansiering af terrorisme.«. </w:t>
      </w:r>
    </w:p>
    <w:p w14:paraId="0A795A83" w14:textId="77777777" w:rsidR="00327A5B" w:rsidRPr="003D5D3B" w:rsidRDefault="00327A5B" w:rsidP="00327A5B">
      <w:pPr>
        <w:pStyle w:val="Listeafsnit"/>
        <w:spacing w:line="360" w:lineRule="auto"/>
        <w:rPr>
          <w:rFonts w:ascii="Times New Roman" w:hAnsi="Times New Roman" w:cs="Times New Roman"/>
          <w:sz w:val="24"/>
          <w:szCs w:val="24"/>
        </w:rPr>
      </w:pPr>
    </w:p>
    <w:p w14:paraId="6C92112E"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17, stk. 1, nr. 8, </w:t>
      </w:r>
      <w:r w:rsidRPr="003D5D3B">
        <w:rPr>
          <w:rFonts w:ascii="Times New Roman" w:hAnsi="Times New Roman" w:cs="Times New Roman"/>
          <w:sz w:val="24"/>
          <w:szCs w:val="24"/>
        </w:rPr>
        <w:t>indsættes efter »hvidvaskloven«: »eller Europa-Parlamentets og Rådets forordning (EU) 2024/1624 af 31. maj 2024 om forebyggende foranstaltninger mod anvendelse af det finansielle system til hvidvask af penge eller finansiering af terrorisme, eller«.</w:t>
      </w:r>
    </w:p>
    <w:p w14:paraId="3AA9F764" w14:textId="77777777" w:rsidR="00327A5B" w:rsidRPr="003D5D3B" w:rsidRDefault="00327A5B" w:rsidP="00327A5B">
      <w:pPr>
        <w:pStyle w:val="Listeafsnit"/>
        <w:spacing w:line="360" w:lineRule="auto"/>
        <w:rPr>
          <w:rFonts w:ascii="Times New Roman" w:hAnsi="Times New Roman" w:cs="Times New Roman"/>
          <w:sz w:val="24"/>
          <w:szCs w:val="24"/>
        </w:rPr>
      </w:pPr>
    </w:p>
    <w:p w14:paraId="25847D8A"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49, stk. 1, nr. 4, </w:t>
      </w:r>
      <w:r w:rsidRPr="003D5D3B">
        <w:rPr>
          <w:rFonts w:ascii="Times New Roman" w:hAnsi="Times New Roman" w:cs="Times New Roman"/>
          <w:sz w:val="24"/>
          <w:szCs w:val="24"/>
        </w:rPr>
        <w:t>ændres »i henhold til artikel 9, stk. 2, i Europa-Parlamentets og Rådets direktiv om forebyggende foranstaltninger mod anvendelse af det finansielle system til hvidvask af penge eller finansiering af terrorisme.« til: »i henhold til artikel 29, stk. 1 og 2, i Europa-Parlamentets og Rådets forordning (EU) 2024/1624 af 31. maj 2024 om forebyggende foranstaltninger mod anvendelse af det finansielle system til hvidvask af penge eller finansiering af terrorisme«.</w:t>
      </w:r>
    </w:p>
    <w:p w14:paraId="66D0D22D" w14:textId="77777777" w:rsidR="00327A5B" w:rsidRPr="003D5D3B" w:rsidRDefault="00327A5B" w:rsidP="00327A5B">
      <w:pPr>
        <w:pStyle w:val="Listeafsnit"/>
        <w:spacing w:line="360" w:lineRule="auto"/>
        <w:rPr>
          <w:rFonts w:ascii="Times New Roman" w:hAnsi="Times New Roman" w:cs="Times New Roman"/>
          <w:sz w:val="24"/>
          <w:szCs w:val="24"/>
        </w:rPr>
      </w:pPr>
    </w:p>
    <w:p w14:paraId="741BE747"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49, stk. 2, </w:t>
      </w:r>
      <w:r w:rsidRPr="003D5D3B">
        <w:rPr>
          <w:rFonts w:ascii="Times New Roman" w:hAnsi="Times New Roman" w:cs="Times New Roman"/>
          <w:sz w:val="24"/>
          <w:szCs w:val="24"/>
        </w:rPr>
        <w:t>ændres »i henhold til artikel 9, stk. 2, i Europa-Parlamentets og Rådets direktiv om forebyggende foranstaltninger mod anvendelse af det finansielle system til hvidvask af penge eller finansiering af terrorisme,« til: »i henhold til artikel 29, stk. 1 og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6D849450"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109, stk. 1, nr. 4, </w:t>
      </w:r>
      <w:r w:rsidRPr="003D5D3B">
        <w:rPr>
          <w:rFonts w:ascii="Times New Roman" w:hAnsi="Times New Roman" w:cs="Times New Roman"/>
          <w:sz w:val="24"/>
          <w:szCs w:val="24"/>
        </w:rPr>
        <w:t>ændres »i henhold til artikel 9, stk. 2, i Europa-Parlamentets og Rådets direktiv om forebyggende foranstaltninger mod anvendelse af det finansielle system til hvidvask af penge eller finansiering af terrorisme.« til: »i henhold til artikel 29, stk. 1 og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123AB548"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130, stk. 4, </w:t>
      </w:r>
      <w:r w:rsidRPr="003D5D3B">
        <w:rPr>
          <w:rFonts w:ascii="Times New Roman" w:hAnsi="Times New Roman" w:cs="Times New Roman"/>
          <w:sz w:val="24"/>
          <w:szCs w:val="24"/>
        </w:rPr>
        <w:t>ændres »i henhold til artikel 9, stk. 2, i Europa-Parlamentets og Rådets direktiv om forebyggende foranstaltninger mod anvendelse af det finansielle system til hvidvask af penge eller finansiering af terrorisme.« til: »i henhold til artikel 29, stk. 1 og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71493424"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180, stk. 1, nr. 9, </w:t>
      </w:r>
      <w:r w:rsidRPr="003D5D3B">
        <w:rPr>
          <w:rFonts w:ascii="Times New Roman" w:hAnsi="Times New Roman" w:cs="Times New Roman"/>
          <w:sz w:val="24"/>
          <w:szCs w:val="24"/>
        </w:rPr>
        <w:t>ændres »i henhold til artikel 9, stk. 2, i Europa-Parlamentets og Rådets direktiv om forebyggende foranstaltninger mod anvendelse af det finansielle system til hvidvask af penge eller finansiering af terrorisme.« til: »i henhold til artikel 29, stk. 1 og 2, i Europa-Parlamentets og Rådets forordning (EU) 2024/1624 af 31. maj 2024 om forebyggende foranstaltninger mod anvendelse af det finansielle system til hvidvask af penge eller finansiering af terrorisme«.</w:t>
      </w:r>
    </w:p>
    <w:p w14:paraId="206230A2" w14:textId="77777777" w:rsidR="00327A5B" w:rsidRPr="003D5D3B" w:rsidRDefault="00327A5B" w:rsidP="00327A5B">
      <w:pPr>
        <w:pStyle w:val="Listeafsnit"/>
        <w:spacing w:line="360" w:lineRule="auto"/>
        <w:rPr>
          <w:rFonts w:ascii="Times New Roman" w:hAnsi="Times New Roman" w:cs="Times New Roman"/>
          <w:sz w:val="24"/>
          <w:szCs w:val="24"/>
        </w:rPr>
      </w:pPr>
    </w:p>
    <w:p w14:paraId="71F06B86"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180, stk. 1, nr. 10, </w:t>
      </w:r>
      <w:r w:rsidRPr="003D5D3B">
        <w:rPr>
          <w:rFonts w:ascii="Times New Roman" w:hAnsi="Times New Roman" w:cs="Times New Roman"/>
          <w:sz w:val="24"/>
          <w:szCs w:val="24"/>
        </w:rPr>
        <w:t>ændres »i henhold til artikel 9, stk. 2, i Europa-Parlamentets og Rådets direktiv om forebyggende foranstaltninger mod anvendelse af det finansielle system til hvidvask af penge eller finansiering af terrorisme.« til: »i henhold til artikel 29, stk. 1 og 2,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2F59E81F"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180, stk. 2, nr. 9, </w:t>
      </w:r>
      <w:r w:rsidRPr="003D5D3B">
        <w:rPr>
          <w:rFonts w:ascii="Times New Roman" w:hAnsi="Times New Roman" w:cs="Times New Roman"/>
          <w:sz w:val="24"/>
          <w:szCs w:val="24"/>
        </w:rPr>
        <w:t>ændres »i henhold til artikel 9, stk. 2, i Europa-Parlamentets og Rådets direktiv om forebyggende foranstaltninger mod anvendelse af det finansielle system til hvidvask af penge eller finansiering af terrorisme,« til: »i henhold til artikel 29, stk. 1 og 2, i Europa-Parlamentets og Rådets forordning (EU) 2024/1624 af 31. maj 2024 om forebyggende foranstaltninger mod anvendelse af det finansielle system til hvidvask af penge eller finansiering af terrorisme,«.</w:t>
      </w:r>
    </w:p>
    <w:p w14:paraId="272AAB3B" w14:textId="77777777" w:rsidR="00327A5B" w:rsidRPr="003D5D3B" w:rsidRDefault="00327A5B" w:rsidP="00327A5B">
      <w:pPr>
        <w:pStyle w:val="Listeafsnit"/>
        <w:spacing w:line="360" w:lineRule="auto"/>
        <w:rPr>
          <w:rFonts w:ascii="Times New Roman" w:hAnsi="Times New Roman" w:cs="Times New Roman"/>
          <w:sz w:val="24"/>
          <w:szCs w:val="24"/>
        </w:rPr>
      </w:pPr>
    </w:p>
    <w:p w14:paraId="2AF7B23A" w14:textId="77777777" w:rsidR="00327A5B" w:rsidRPr="003D5D3B" w:rsidRDefault="00327A5B">
      <w:pPr>
        <w:pStyle w:val="Listeafsnit"/>
        <w:numPr>
          <w:ilvl w:val="0"/>
          <w:numId w:val="122"/>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180, stk. 2, nr. 10, </w:t>
      </w:r>
      <w:r w:rsidRPr="003D5D3B">
        <w:rPr>
          <w:rFonts w:ascii="Times New Roman" w:hAnsi="Times New Roman" w:cs="Times New Roman"/>
          <w:sz w:val="24"/>
          <w:szCs w:val="24"/>
        </w:rPr>
        <w:t>ændres »i henhold til artikel 9, stk. 2, i Europa-Parlamentets og Rådets direktiv om forebyggende foranstaltninger mod anvendelse af det finansielle system til hvidvask af penge eller finansiering af terrorisme.« til: »i henhold til artikel 29, stk. 1 og 2, i Europa-Parlamentets og Rådets forordning (EU) 2024/1624 af 31. maj 2024 om forebyggende foranstaltninger mod anvendelse af det finansielle system til hvidvask af penge eller finansiering af terrorisme.«.</w:t>
      </w:r>
    </w:p>
    <w:p w14:paraId="2F922B10" w14:textId="77777777" w:rsidR="00057215" w:rsidRDefault="00057215" w:rsidP="00057215">
      <w:pPr>
        <w:pStyle w:val="Typografi1"/>
        <w:numPr>
          <w:ilvl w:val="0"/>
          <w:numId w:val="0"/>
        </w:numPr>
        <w:ind w:left="360"/>
      </w:pPr>
    </w:p>
    <w:p w14:paraId="15D8B4DC" w14:textId="77777777" w:rsidR="001A65EE" w:rsidRDefault="001A65EE" w:rsidP="001A65EE">
      <w:pPr>
        <w:pStyle w:val="Typografi1"/>
        <w:numPr>
          <w:ilvl w:val="0"/>
          <w:numId w:val="0"/>
        </w:numPr>
        <w:ind w:left="360" w:hanging="360"/>
        <w:rPr>
          <w:rFonts w:ascii="Times New Roman" w:hAnsi="Times New Roman" w:cs="Times New Roman"/>
          <w:sz w:val="24"/>
          <w:szCs w:val="24"/>
        </w:rPr>
      </w:pPr>
    </w:p>
    <w:p w14:paraId="334F4005" w14:textId="77777777" w:rsidR="001A65EE" w:rsidRPr="00A15B83" w:rsidRDefault="001A65EE" w:rsidP="001A65EE">
      <w:pPr>
        <w:pStyle w:val="Typografi1"/>
        <w:numPr>
          <w:ilvl w:val="0"/>
          <w:numId w:val="0"/>
        </w:numPr>
        <w:ind w:left="360" w:hanging="360"/>
        <w:rPr>
          <w:lang w:eastAsia="da-DK"/>
        </w:rPr>
      </w:pPr>
    </w:p>
    <w:p w14:paraId="6F1DF5FD" w14:textId="3694E411" w:rsidR="00775DAA" w:rsidRPr="00EC115F" w:rsidRDefault="00775DAA" w:rsidP="00775DAA">
      <w:pPr>
        <w:pStyle w:val="Typografi1"/>
        <w:ind w:left="0" w:firstLine="238"/>
        <w:rPr>
          <w:lang w:eastAsia="da-DK"/>
        </w:rPr>
      </w:pPr>
      <w:bookmarkStart w:id="576" w:name="_Ref244871141"/>
      <w:bookmarkStart w:id="577" w:name="_Toc244879149"/>
      <w:bookmarkStart w:id="578" w:name="_Toc244880673"/>
      <w:r w:rsidRPr="003D5D3B">
        <w:rPr>
          <w:rFonts w:ascii="Times New Roman" w:hAnsi="Times New Roman" w:cs="Times New Roman"/>
          <w:sz w:val="24"/>
          <w:szCs w:val="24"/>
        </w:rPr>
        <w:t>I lov om forsikringsvirksomhed i tværgående pensionskasser, livsforsikringsselskaber og skadesforsikringsselskaber m.v., jf. lovbekendtgørelse nr. 461 af 26. april 2026, foretages følgende ændringer:</w:t>
      </w:r>
      <w:bookmarkEnd w:id="576"/>
      <w:bookmarkEnd w:id="577"/>
      <w:bookmarkEnd w:id="578"/>
    </w:p>
    <w:p w14:paraId="0A7CC95C" w14:textId="77777777" w:rsidR="00EC115F" w:rsidRDefault="00EC115F" w:rsidP="00EC115F">
      <w:pPr>
        <w:pStyle w:val="Typografi1"/>
        <w:numPr>
          <w:ilvl w:val="0"/>
          <w:numId w:val="0"/>
        </w:numPr>
        <w:ind w:left="238"/>
        <w:rPr>
          <w:lang w:eastAsia="da-DK"/>
        </w:rPr>
      </w:pPr>
    </w:p>
    <w:p w14:paraId="1A04D426" w14:textId="00E64455" w:rsidR="00775DAA" w:rsidRPr="003106DA" w:rsidRDefault="006B22E8">
      <w:pPr>
        <w:pStyle w:val="Typografi1"/>
        <w:numPr>
          <w:ilvl w:val="0"/>
          <w:numId w:val="123"/>
        </w:numPr>
        <w:rPr>
          <w:lang w:eastAsia="da-DK"/>
        </w:rPr>
      </w:pPr>
      <w:bookmarkStart w:id="579" w:name="_Toc244879150"/>
      <w:bookmarkStart w:id="580" w:name="_Toc244880674"/>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udgår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xml:space="preserve"> »</w:t>
      </w:r>
      <w:r w:rsidRPr="003D5D3B">
        <w:rPr>
          <w:rFonts w:ascii="Times New Roman" w:hAnsi="Times New Roman" w:cs="Times New Roman"/>
          <w:color w:val="212529"/>
          <w:sz w:val="24"/>
          <w:szCs w:val="24"/>
          <w:shd w:val="clear" w:color="auto" w:fill="F9F9FB"/>
        </w:rPr>
        <w:t xml:space="preserve"> </w:t>
      </w:r>
      <w:r w:rsidRPr="003D5D3B">
        <w:rPr>
          <w:rFonts w:ascii="Times New Roman" w:hAnsi="Times New Roman" w:cs="Times New Roman"/>
          <w:sz w:val="24"/>
          <w:szCs w:val="24"/>
        </w:rPr>
        <w:t>dele af Europa-Parlamentets og Rådets direktiv 2015/849/EU af 20. maj 2015 om forebyggende foranstaltninger mod anvendelse af det finansielle system til hvidvask af penge eller finansiering af terrorisme,«, og »dele af Europa-Parlamentets og Rådets direktiv (EU) 2024/1640 af 31. maj 2024 om de mekanismer, som medlemsstaterne skal indføre for at forebygge anvendelse af det finansielle system til hvidvask af penge eller finansiering af terrorisme (6. hvidvaskdirektiv).« indsættes efter: »dele af Europa-Parlamentets og Rådets direktiv (EU) 2023/2864 af 13. december 2023 om ændring af visse direktiver for så vidt angår oprettelse af det fælles europæiske adgangspunkt og dets funktionsmåde, EU-Tidende, L af 20. december 2023,«.</w:t>
      </w:r>
      <w:bookmarkEnd w:id="579"/>
      <w:bookmarkEnd w:id="580"/>
    </w:p>
    <w:p w14:paraId="09B58908" w14:textId="77777777" w:rsidR="003106DA" w:rsidRPr="003D5D3B" w:rsidRDefault="003106DA">
      <w:pPr>
        <w:pStyle w:val="Listeafsnit"/>
        <w:numPr>
          <w:ilvl w:val="0"/>
          <w:numId w:val="123"/>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 xml:space="preserve">I </w:t>
      </w:r>
      <w:r w:rsidRPr="003D5D3B">
        <w:rPr>
          <w:rFonts w:ascii="Times New Roman" w:hAnsi="Times New Roman" w:cs="Times New Roman"/>
          <w:i/>
          <w:iCs/>
          <w:sz w:val="24"/>
          <w:szCs w:val="24"/>
        </w:rPr>
        <w:t>fodnoten</w:t>
      </w:r>
      <w:r w:rsidRPr="003D5D3B">
        <w:rPr>
          <w:rFonts w:ascii="Times New Roman" w:hAnsi="Times New Roman" w:cs="Times New Roman"/>
          <w:sz w:val="24"/>
          <w:szCs w:val="24"/>
        </w:rPr>
        <w:t xml:space="preserve"> til lovens titel indsættes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»I loven er der medtaget visse bestemmelser fra Europa-Parlamentets og Rådets forordning (EU) 2024/1624 af 31. maj 2024 2024/1624 af 31. maj 2024 om forebyggende foranstaltninger mod anvendelse af det finansielle system til hvidvask af penge eller finansiering af terrorisme.«.</w:t>
      </w:r>
    </w:p>
    <w:p w14:paraId="1456A05F" w14:textId="77777777" w:rsidR="003106DA" w:rsidRPr="003D5D3B" w:rsidRDefault="003106DA" w:rsidP="003106DA">
      <w:pPr>
        <w:pStyle w:val="Listeafsnit"/>
        <w:spacing w:line="360" w:lineRule="auto"/>
        <w:rPr>
          <w:rFonts w:ascii="Times New Roman" w:hAnsi="Times New Roman" w:cs="Times New Roman"/>
          <w:sz w:val="24"/>
          <w:szCs w:val="24"/>
        </w:rPr>
      </w:pPr>
    </w:p>
    <w:p w14:paraId="5A531348" w14:textId="77777777" w:rsidR="003106DA" w:rsidRPr="003D5D3B" w:rsidRDefault="003106DA">
      <w:pPr>
        <w:pStyle w:val="Listeafsnit"/>
        <w:numPr>
          <w:ilvl w:val="0"/>
          <w:numId w:val="123"/>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90, stk. 1, nr. 5</w:t>
      </w:r>
      <w:r w:rsidRPr="003D5D3B">
        <w:rPr>
          <w:rFonts w:ascii="Times New Roman" w:hAnsi="Times New Roman" w:cs="Times New Roman"/>
          <w:sz w:val="24"/>
          <w:szCs w:val="24"/>
        </w:rPr>
        <w:t>, ændres »jf. §§ 3 og 4 i hvidvaskloven« til: »jf. artikel 2, nr. 1 og 2, i Europa-Parlamentets og Rådets forordning (EU) 2024/1624 af 31. maj 2024 om forebyggende foranstaltninger mod anvendelse af det finansielle system til hvidvask af penge eller finansiering af terrorisme«.</w:t>
      </w:r>
    </w:p>
    <w:p w14:paraId="4017A8E4" w14:textId="77777777" w:rsidR="003106DA" w:rsidRPr="003D5D3B" w:rsidRDefault="003106DA" w:rsidP="003106DA">
      <w:pPr>
        <w:pStyle w:val="Listeafsnit"/>
        <w:spacing w:line="360" w:lineRule="auto"/>
        <w:rPr>
          <w:rFonts w:ascii="Times New Roman" w:hAnsi="Times New Roman" w:cs="Times New Roman"/>
          <w:sz w:val="24"/>
          <w:szCs w:val="24"/>
        </w:rPr>
      </w:pPr>
    </w:p>
    <w:p w14:paraId="56B3B996" w14:textId="4AA877A7" w:rsidR="00775DAA" w:rsidRPr="003106DA" w:rsidRDefault="003106DA">
      <w:pPr>
        <w:pStyle w:val="Listeafsnit"/>
        <w:numPr>
          <w:ilvl w:val="0"/>
          <w:numId w:val="123"/>
        </w:numPr>
        <w:spacing w:before="120" w:after="240" w:line="360" w:lineRule="auto"/>
        <w:jc w:val="left"/>
        <w:rPr>
          <w:rFonts w:ascii="Times New Roman" w:hAnsi="Times New Roman" w:cs="Times New Roman"/>
          <w:color w:val="FF0000"/>
          <w:sz w:val="24"/>
          <w:szCs w:val="24"/>
        </w:rPr>
      </w:pPr>
      <w:r w:rsidRPr="003106DA">
        <w:rPr>
          <w:rFonts w:ascii="Times New Roman" w:hAnsi="Times New Roman" w:cs="Times New Roman"/>
          <w:sz w:val="24"/>
          <w:szCs w:val="24"/>
        </w:rPr>
        <w:t xml:space="preserve">§ </w:t>
      </w:r>
      <w:r w:rsidRPr="003106DA">
        <w:rPr>
          <w:rFonts w:ascii="Times New Roman" w:hAnsi="Times New Roman" w:cs="Times New Roman"/>
          <w:i/>
          <w:iCs/>
          <w:sz w:val="24"/>
          <w:szCs w:val="24"/>
        </w:rPr>
        <w:t>199, stk. 1, nr. 1, litra d</w:t>
      </w:r>
      <w:r w:rsidRPr="003106DA">
        <w:rPr>
          <w:rFonts w:ascii="Times New Roman" w:hAnsi="Times New Roman" w:cs="Times New Roman"/>
          <w:sz w:val="24"/>
          <w:szCs w:val="24"/>
        </w:rPr>
        <w:t xml:space="preserve">, affattes således: </w:t>
      </w:r>
      <w:r w:rsidRPr="003D5D3B">
        <w:rPr>
          <w:rFonts w:ascii="Times New Roman" w:hAnsi="Times New Roman" w:cs="Times New Roman"/>
          <w:sz w:val="24"/>
          <w:szCs w:val="24"/>
        </w:rPr>
        <w:br/>
        <w:t>»d) Europa-Parlamentets og Rådets forordning (EU) 2024/1624 af 31. maj 2024 om forebyggende foranstaltninger mod anvendelse af det finansielle system til hvidvask af penge eller finansiering af terrorisme og Europa-Parlamentet og Rådets direktiv (EU) 2024/1640 af 31. maj 2024 om de mekanismer, som medlemsstaterne skal indføre for at forebygge anvendelse af det finansielle system til hvidvask af penge eller finansiering af terrorisme, eller regler udstedt i medfør heraf, eller«.</w:t>
      </w:r>
    </w:p>
    <w:p w14:paraId="696FE887" w14:textId="397497A3" w:rsidR="00775DAA" w:rsidRPr="00EC115F" w:rsidRDefault="00A95217" w:rsidP="00C54B12">
      <w:pPr>
        <w:pStyle w:val="Typografi1"/>
        <w:ind w:left="0" w:firstLine="238"/>
        <w:rPr>
          <w:lang w:eastAsia="da-DK"/>
        </w:rPr>
      </w:pPr>
      <w:bookmarkStart w:id="581" w:name="_Ref244871154"/>
      <w:bookmarkStart w:id="582" w:name="_Toc244879151"/>
      <w:bookmarkStart w:id="583" w:name="_Toc244880675"/>
      <w:r w:rsidRPr="003D5D3B">
        <w:rPr>
          <w:rFonts w:ascii="Times New Roman" w:hAnsi="Times New Roman" w:cs="Times New Roman"/>
          <w:sz w:val="24"/>
          <w:szCs w:val="24"/>
        </w:rPr>
        <w:t>I lov om forsikringsformidling, jf. lovbekendtgørelse nr. 1543 af 18. november 2025, foretages følgende ændringer:</w:t>
      </w:r>
      <w:bookmarkEnd w:id="581"/>
      <w:bookmarkEnd w:id="582"/>
      <w:bookmarkEnd w:id="583"/>
    </w:p>
    <w:p w14:paraId="7E52FAA5" w14:textId="77777777" w:rsidR="00EC115F" w:rsidRPr="00A95217" w:rsidRDefault="00EC115F" w:rsidP="00EC115F">
      <w:pPr>
        <w:pStyle w:val="Typografi1"/>
        <w:numPr>
          <w:ilvl w:val="0"/>
          <w:numId w:val="0"/>
        </w:numPr>
        <w:ind w:left="238"/>
        <w:rPr>
          <w:lang w:eastAsia="da-DK"/>
        </w:rPr>
      </w:pPr>
    </w:p>
    <w:p w14:paraId="68E093DB" w14:textId="2E9DB9DC" w:rsidR="003106DA" w:rsidRPr="00274599" w:rsidRDefault="00274599">
      <w:pPr>
        <w:pStyle w:val="Listeafsnit"/>
        <w:numPr>
          <w:ilvl w:val="0"/>
          <w:numId w:val="124"/>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29, stk. 1, nr. 9, </w:t>
      </w:r>
      <w:r w:rsidRPr="003D5D3B">
        <w:rPr>
          <w:rFonts w:ascii="Times New Roman" w:hAnsi="Times New Roman" w:cs="Times New Roman"/>
          <w:sz w:val="24"/>
          <w:szCs w:val="24"/>
        </w:rPr>
        <w:t>indsættes efter »hvidvaskloven.«: »eller Europa-Parlamentets og Rådets forordning (EU) 2024/1624 af 31. maj 2024 om forebyggende foranstaltninger mod anvendelse af det finansielle system til hvidvask af penge eller finansiering af terrorisme.«.</w:t>
      </w:r>
    </w:p>
    <w:p w14:paraId="651878D2" w14:textId="71DF93AF" w:rsidR="00C54B12" w:rsidRPr="00EC115F" w:rsidRDefault="00D91487" w:rsidP="00C54B12">
      <w:pPr>
        <w:pStyle w:val="Typografi1"/>
        <w:ind w:left="0" w:firstLine="238"/>
        <w:rPr>
          <w:lang w:eastAsia="da-DK"/>
        </w:rPr>
      </w:pPr>
      <w:bookmarkStart w:id="584" w:name="_Ref244871162"/>
      <w:bookmarkStart w:id="585" w:name="_Toc244879152"/>
      <w:bookmarkStart w:id="586" w:name="_Toc244880676"/>
      <w:r w:rsidRPr="003D5D3B">
        <w:rPr>
          <w:rFonts w:ascii="Times New Roman" w:hAnsi="Times New Roman" w:cs="Times New Roman"/>
          <w:sz w:val="24"/>
          <w:szCs w:val="24"/>
        </w:rPr>
        <w:t>I lov om betalingskonti og basale erhvervskonti, jf. lovbekendtgørelse nr. 1462 af 18. november 2025, foretages følgende ændringer:</w:t>
      </w:r>
      <w:bookmarkEnd w:id="584"/>
      <w:bookmarkEnd w:id="585"/>
      <w:bookmarkEnd w:id="586"/>
    </w:p>
    <w:p w14:paraId="6EB62975" w14:textId="77777777" w:rsidR="00EC115F" w:rsidRPr="00D91487" w:rsidRDefault="00EC115F" w:rsidP="00EC115F">
      <w:pPr>
        <w:pStyle w:val="Typografi1"/>
        <w:numPr>
          <w:ilvl w:val="0"/>
          <w:numId w:val="0"/>
        </w:numPr>
        <w:ind w:left="238"/>
        <w:rPr>
          <w:lang w:eastAsia="da-DK"/>
        </w:rPr>
      </w:pPr>
    </w:p>
    <w:p w14:paraId="41268A7F" w14:textId="47196E68" w:rsidR="004D7E3E" w:rsidRDefault="004D7E3E">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11, stk. 1, </w:t>
      </w:r>
      <w:r w:rsidRPr="003D5D3B">
        <w:rPr>
          <w:rFonts w:ascii="Times New Roman" w:hAnsi="Times New Roman" w:cs="Times New Roman"/>
          <w:sz w:val="24"/>
          <w:szCs w:val="24"/>
        </w:rPr>
        <w:t>ændres »overtrædelse af lov om forebyggende foranstaltninger mod hvidvask af udbytte og finansiering af terrorisme« til: »overtrædelse af Europa-Parlamentets og Rådets forordning (EU) 2024/1624 af 31. maj 2024 om forebyggende foranstaltninger mod anvendelse af det finansielle system til hvidvask af penge eller finansiering af terrorisme.«.</w:t>
      </w:r>
    </w:p>
    <w:p w14:paraId="6DF24A07" w14:textId="77777777" w:rsidR="00EC115F" w:rsidRPr="003D5D3B" w:rsidRDefault="00EC115F" w:rsidP="00EC115F">
      <w:pPr>
        <w:pStyle w:val="Listeafsnit"/>
        <w:spacing w:before="120" w:after="240" w:line="360" w:lineRule="auto"/>
        <w:jc w:val="left"/>
        <w:rPr>
          <w:rFonts w:ascii="Times New Roman" w:hAnsi="Times New Roman" w:cs="Times New Roman"/>
          <w:sz w:val="24"/>
          <w:szCs w:val="24"/>
        </w:rPr>
      </w:pPr>
    </w:p>
    <w:p w14:paraId="0EE78E69" w14:textId="77777777" w:rsidR="00EC115F" w:rsidRPr="003D5D3B" w:rsidRDefault="00EC115F">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11, stk. 4, </w:t>
      </w:r>
      <w:r w:rsidRPr="003D5D3B">
        <w:rPr>
          <w:rFonts w:ascii="Times New Roman" w:hAnsi="Times New Roman" w:cs="Times New Roman"/>
          <w:sz w:val="24"/>
          <w:szCs w:val="24"/>
        </w:rPr>
        <w:t>ændres »i henhold til lov om forebyggende foranstaltninger mod hvidvask af udbytte og finansiering af terrorisme.« til: »i henhold til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644F1175" w14:textId="77777777" w:rsidR="00EC115F" w:rsidRPr="003D5D3B" w:rsidRDefault="00EC115F">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 stk. 2, </w:t>
      </w:r>
      <w:r w:rsidRPr="003D5D3B">
        <w:rPr>
          <w:rFonts w:ascii="Times New Roman" w:hAnsi="Times New Roman" w:cs="Times New Roman"/>
          <w:sz w:val="24"/>
          <w:szCs w:val="24"/>
        </w:rPr>
        <w:t>ændres »i henhold til lov om forebyggende foranstaltninger mod hvidvask af udbytte og finansiering af terrorisme.« til: »i henhold til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485DA200" w14:textId="77777777" w:rsidR="00EC115F" w:rsidRPr="003D5D3B" w:rsidRDefault="00EC115F">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 c, stk. 3, nr. 1, </w:t>
      </w:r>
      <w:r w:rsidRPr="003D5D3B">
        <w:rPr>
          <w:rFonts w:ascii="Times New Roman" w:hAnsi="Times New Roman" w:cs="Times New Roman"/>
          <w:sz w:val="24"/>
          <w:szCs w:val="24"/>
        </w:rPr>
        <w:t>ændres »kapitel 3 i hvidvaskloven,« til: »kapitel III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4B1CB470" w14:textId="77777777" w:rsidR="00EC115F" w:rsidRPr="003D5D3B" w:rsidRDefault="00EC115F">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 c, stk. 3, nr. 2, </w:t>
      </w:r>
      <w:r w:rsidRPr="003D5D3B">
        <w:rPr>
          <w:rFonts w:ascii="Times New Roman" w:hAnsi="Times New Roman" w:cs="Times New Roman"/>
          <w:sz w:val="24"/>
          <w:szCs w:val="24"/>
        </w:rPr>
        <w:t>ændres »efter § 26, stk. 1, i hvidvaskloven« til: »efter artikel 69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27430FBF" w14:textId="77777777" w:rsidR="00EC115F" w:rsidRPr="003D5D3B" w:rsidRDefault="00EC115F">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 c, stk. 7, </w:t>
      </w:r>
      <w:r w:rsidRPr="003D5D3B">
        <w:rPr>
          <w:rFonts w:ascii="Times New Roman" w:hAnsi="Times New Roman" w:cs="Times New Roman"/>
          <w:sz w:val="24"/>
          <w:szCs w:val="24"/>
        </w:rPr>
        <w:t>ændres »i henhold til hvidvaskloven.« til: »i henhold til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52BFCACF" w14:textId="77777777" w:rsidR="00EC115F" w:rsidRPr="003D5D3B" w:rsidRDefault="00EC115F">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 e, stk. 1, nr. 9, </w:t>
      </w:r>
      <w:r w:rsidRPr="003D5D3B">
        <w:rPr>
          <w:rFonts w:ascii="Times New Roman" w:hAnsi="Times New Roman" w:cs="Times New Roman"/>
          <w:sz w:val="24"/>
          <w:szCs w:val="24"/>
        </w:rPr>
        <w:t>ændres »efter § 26, stk. 1, i hvidvaskloven« til: »efter artikel 69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22D4386C" w14:textId="77777777" w:rsidR="00EC115F" w:rsidRPr="003D5D3B" w:rsidRDefault="00EC115F">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 e, stk. 1, nr. 11, </w:t>
      </w:r>
      <w:r w:rsidRPr="003D5D3B">
        <w:rPr>
          <w:rFonts w:ascii="Times New Roman" w:hAnsi="Times New Roman" w:cs="Times New Roman"/>
          <w:sz w:val="24"/>
          <w:szCs w:val="24"/>
        </w:rPr>
        <w:t>ændres »efter § 14, stk. 5, 1. pkt., eller § 15 i hvidvaskloven« til: »efter artikel 21 stk. 1, i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29CD0DFF" w14:textId="2BC5FC2F" w:rsidR="00A8275F" w:rsidRPr="00EC115F" w:rsidRDefault="00EC115F">
      <w:pPr>
        <w:pStyle w:val="Listeafsnit"/>
        <w:numPr>
          <w:ilvl w:val="0"/>
          <w:numId w:val="125"/>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13 e, stk. 4, </w:t>
      </w:r>
      <w:r w:rsidRPr="003D5D3B">
        <w:rPr>
          <w:rFonts w:ascii="Times New Roman" w:hAnsi="Times New Roman" w:cs="Times New Roman"/>
          <w:sz w:val="24"/>
          <w:szCs w:val="24"/>
        </w:rPr>
        <w:t>ændres »i henhold til hvidvaskloven.« til: »i henhold til Europa-Parlamentets og Rådets forordning (EU) 2024/1624 af 31. maj 2024 om forebyggende foranstaltninger mod anvendelse af det finansielle system til hvidvask af penge eller finansiering af terrorisme.«.</w:t>
      </w:r>
      <w:r w:rsidRPr="003D5D3B">
        <w:rPr>
          <w:rFonts w:ascii="Times New Roman" w:hAnsi="Times New Roman" w:cs="Times New Roman"/>
          <w:sz w:val="24"/>
          <w:szCs w:val="24"/>
        </w:rPr>
        <w:br/>
      </w:r>
    </w:p>
    <w:p w14:paraId="4E73D16D" w14:textId="0A488536" w:rsidR="00F242C9" w:rsidRPr="00F242C9" w:rsidRDefault="00763B5C">
      <w:pPr>
        <w:pStyle w:val="Typografi1"/>
        <w:ind w:left="0" w:firstLine="238"/>
        <w:rPr>
          <w:rFonts w:ascii="Times New Roman" w:hAnsi="Times New Roman" w:cs="Times New Roman"/>
          <w:sz w:val="24"/>
          <w:szCs w:val="24"/>
        </w:rPr>
      </w:pPr>
      <w:bookmarkStart w:id="587" w:name="_Ref244867083"/>
      <w:bookmarkStart w:id="588" w:name="_Toc244879153"/>
      <w:bookmarkStart w:id="589" w:name="_Toc244880677"/>
      <w:r>
        <w:rPr>
          <w:rFonts w:ascii="Times New Roman" w:hAnsi="Times New Roman" w:cs="Times New Roman"/>
          <w:sz w:val="24"/>
          <w:szCs w:val="24"/>
        </w:rPr>
        <w:t xml:space="preserve">I </w:t>
      </w:r>
      <w:r w:rsidR="00F242C9" w:rsidRPr="00F242C9">
        <w:rPr>
          <w:rFonts w:ascii="Times New Roman" w:hAnsi="Times New Roman" w:cs="Times New Roman"/>
          <w:sz w:val="24"/>
          <w:szCs w:val="24"/>
        </w:rPr>
        <w:t>lov om forbrugslånsvirksomheder og registrering af kreditformidlere, jf. lovbekendtgørelse nr. 1545 af 4. december 2025, som ændret ved § 3 i lov nr. 1322 af 20. november 2025, § 2 i lov nr. 1638 af 16. december 2025 og § 8 i lov nr. 764 af 9. august 2026 foretages følgende ændringer:</w:t>
      </w:r>
      <w:bookmarkEnd w:id="587"/>
      <w:bookmarkEnd w:id="588"/>
      <w:bookmarkEnd w:id="589"/>
    </w:p>
    <w:p w14:paraId="3FB6661B" w14:textId="77777777" w:rsidR="00AB6CC2" w:rsidRPr="00796736" w:rsidRDefault="00AB6CC2" w:rsidP="00A802A5">
      <w:pPr>
        <w:spacing w:line="360" w:lineRule="auto"/>
        <w:rPr>
          <w:rFonts w:ascii="Times New Roman" w:eastAsia="Times New Roman" w:hAnsi="Times New Roman" w:cs="Times New Roman"/>
          <w:b/>
          <w:bCs/>
          <w:sz w:val="24"/>
          <w:szCs w:val="24"/>
          <w:lang w:eastAsia="da-DK"/>
        </w:rPr>
      </w:pPr>
    </w:p>
    <w:p w14:paraId="57E9D398" w14:textId="50EEC315" w:rsidR="00C45E4B" w:rsidRPr="00C45E4B" w:rsidRDefault="00C45E4B">
      <w:pPr>
        <w:pStyle w:val="Listeafsnit"/>
        <w:numPr>
          <w:ilvl w:val="0"/>
          <w:numId w:val="58"/>
        </w:numPr>
        <w:spacing w:line="360" w:lineRule="auto"/>
        <w:rPr>
          <w:rFonts w:ascii="Times New Roman" w:hAnsi="Times New Roman" w:cs="Times New Roman"/>
          <w:sz w:val="24"/>
          <w:szCs w:val="24"/>
        </w:rPr>
      </w:pPr>
      <w:r w:rsidRPr="00C45E4B">
        <w:rPr>
          <w:rFonts w:ascii="Times New Roman" w:eastAsia="Times New Roman" w:hAnsi="Times New Roman" w:cs="Times New Roman"/>
          <w:sz w:val="24"/>
          <w:szCs w:val="24"/>
          <w:lang w:eastAsia="da-DK"/>
        </w:rPr>
        <w:t>I </w:t>
      </w:r>
      <w:r w:rsidRPr="00C45E4B">
        <w:rPr>
          <w:rFonts w:ascii="Times New Roman" w:eastAsia="Times New Roman" w:hAnsi="Times New Roman" w:cs="Times New Roman"/>
          <w:i/>
          <w:sz w:val="24"/>
          <w:szCs w:val="24"/>
          <w:lang w:eastAsia="da-DK"/>
        </w:rPr>
        <w:t>fodnoten </w:t>
      </w:r>
      <w:r w:rsidRPr="00C45E4B">
        <w:rPr>
          <w:rFonts w:ascii="Times New Roman" w:eastAsia="Times New Roman" w:hAnsi="Times New Roman" w:cs="Times New Roman"/>
          <w:sz w:val="24"/>
          <w:szCs w:val="24"/>
          <w:lang w:eastAsia="da-DK"/>
        </w:rPr>
        <w:t>til lovens titel ændres »Europa-Parlamentets og Rådets direktiv (EU) 2023/2225 af 18. oktober 2023 om forbrugerkreditaftaler og om ophævelse af direktiv 2008/48/EF, EU-Tidende, L af 30. oktober 2023« til: »Europa-Parlamentets og Rådets direktiv (EU) 2023/2225 af 18. oktober 2023 om forbrugerkreditaftaler og om ophævelse af direktiv 2008/48/EF, EU-Tidende, L af 30. oktober 2023 og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p>
    <w:p w14:paraId="3911949B" w14:textId="74E2D049" w:rsidR="009E0BE7" w:rsidRPr="00796736" w:rsidRDefault="009E0BE7" w:rsidP="00A802A5">
      <w:pPr>
        <w:spacing w:line="360" w:lineRule="auto"/>
        <w:rPr>
          <w:rFonts w:ascii="Times New Roman" w:hAnsi="Times New Roman" w:cs="Times New Roman"/>
          <w:sz w:val="24"/>
          <w:szCs w:val="24"/>
          <w:lang w:eastAsia="da-DK"/>
        </w:rPr>
      </w:pPr>
    </w:p>
    <w:p w14:paraId="05ED5835" w14:textId="125C9D28" w:rsidR="000420AF" w:rsidRPr="000420AF" w:rsidRDefault="000420AF">
      <w:pPr>
        <w:pStyle w:val="Listeafsnit"/>
        <w:numPr>
          <w:ilvl w:val="0"/>
          <w:numId w:val="58"/>
        </w:numPr>
        <w:spacing w:line="360" w:lineRule="auto"/>
        <w:ind w:left="714" w:hanging="357"/>
        <w:outlineLvl w:val="0"/>
        <w:rPr>
          <w:rFonts w:ascii="Times New Roman" w:eastAsia="Calibri" w:hAnsi="Times New Roman" w:cs="Times New Roman"/>
          <w:iCs/>
          <w:sz w:val="24"/>
          <w:szCs w:val="24"/>
        </w:rPr>
      </w:pPr>
      <w:bookmarkStart w:id="590" w:name="_Toc244879154"/>
      <w:bookmarkStart w:id="591" w:name="_Toc244880678"/>
      <w:r w:rsidRPr="000420AF">
        <w:rPr>
          <w:rFonts w:ascii="Times New Roman" w:hAnsi="Times New Roman" w:cs="Times New Roman"/>
          <w:sz w:val="24"/>
          <w:szCs w:val="24"/>
        </w:rPr>
        <w:t xml:space="preserve">I </w:t>
      </w:r>
      <w:r w:rsidRPr="000420AF">
        <w:rPr>
          <w:rFonts w:ascii="Times New Roman" w:hAnsi="Times New Roman" w:cs="Times New Roman"/>
          <w:i/>
          <w:sz w:val="24"/>
          <w:szCs w:val="24"/>
        </w:rPr>
        <w:t>§ 2</w:t>
      </w:r>
      <w:r w:rsidRPr="000420AF">
        <w:rPr>
          <w:rFonts w:ascii="Times New Roman" w:hAnsi="Times New Roman" w:cs="Times New Roman"/>
          <w:sz w:val="24"/>
          <w:szCs w:val="24"/>
        </w:rPr>
        <w:t xml:space="preserve"> indsættes efter nr. 2 som nyt nr.:</w:t>
      </w:r>
      <w:bookmarkEnd w:id="590"/>
      <w:bookmarkEnd w:id="591"/>
    </w:p>
    <w:p w14:paraId="7D5DADCF" w14:textId="77777777" w:rsidR="000420AF" w:rsidRPr="000420AF" w:rsidRDefault="000420AF" w:rsidP="000420AF">
      <w:pPr>
        <w:pStyle w:val="Listeafsnit"/>
        <w:spacing w:line="360" w:lineRule="auto"/>
        <w:ind w:left="643"/>
        <w:rPr>
          <w:rFonts w:ascii="Times New Roman" w:hAnsi="Times New Roman" w:cs="Times New Roman"/>
          <w:sz w:val="24"/>
          <w:szCs w:val="24"/>
        </w:rPr>
      </w:pPr>
      <w:r w:rsidRPr="000420AF">
        <w:rPr>
          <w:rFonts w:ascii="Times New Roman" w:hAnsi="Times New Roman" w:cs="Times New Roman"/>
          <w:sz w:val="24"/>
          <w:szCs w:val="24"/>
        </w:rPr>
        <w:t xml:space="preserve">»3) Kreditformidler omfattet af </w:t>
      </w:r>
      <w:r w:rsidRPr="000420AF">
        <w:rPr>
          <w:rFonts w:ascii="Times New Roman" w:eastAsia="Times New Roman" w:hAnsi="Times New Roman" w:cs="Times New Roman"/>
          <w:sz w:val="24"/>
          <w:szCs w:val="24"/>
          <w:lang w:eastAsia="da-DK"/>
        </w:rPr>
        <w:t>Europa-Parlamentets og Rådets</w:t>
      </w:r>
      <w:r w:rsidRPr="000420AF">
        <w:rPr>
          <w:rFonts w:ascii="Times New Roman" w:hAnsi="Times New Roman" w:cs="Times New Roman"/>
          <w:sz w:val="24"/>
          <w:szCs w:val="24"/>
        </w:rPr>
        <w:t xml:space="preserve"> forordning (EU) 2024/1624: En virksomhed omfattet af artikel 3, nr. 3, litra k, og artikel 2, stk. 1, nr. 6, litra h, i forordning 2024/1624.«</w:t>
      </w:r>
    </w:p>
    <w:p w14:paraId="6CB5E483" w14:textId="77777777" w:rsidR="007555C8" w:rsidRDefault="000420AF" w:rsidP="007555C8">
      <w:pPr>
        <w:pStyle w:val="Listeafsnit"/>
        <w:spacing w:line="360" w:lineRule="auto"/>
        <w:ind w:left="643"/>
        <w:rPr>
          <w:rFonts w:ascii="Times New Roman" w:hAnsi="Times New Roman" w:cs="Times New Roman"/>
          <w:sz w:val="24"/>
          <w:szCs w:val="24"/>
        </w:rPr>
      </w:pPr>
      <w:r w:rsidRPr="000420AF">
        <w:rPr>
          <w:rFonts w:ascii="Times New Roman" w:hAnsi="Times New Roman" w:cs="Times New Roman"/>
          <w:sz w:val="24"/>
          <w:szCs w:val="24"/>
        </w:rPr>
        <w:t>Nr. 3-5 bliver herefter nr. 4-6.</w:t>
      </w:r>
    </w:p>
    <w:p w14:paraId="3D4CB235" w14:textId="77777777" w:rsidR="007555C8" w:rsidRDefault="007555C8" w:rsidP="007555C8">
      <w:pPr>
        <w:pStyle w:val="Listeafsnit"/>
        <w:spacing w:line="360" w:lineRule="auto"/>
        <w:ind w:left="643"/>
        <w:rPr>
          <w:rFonts w:ascii="Times New Roman" w:hAnsi="Times New Roman" w:cs="Times New Roman"/>
          <w:sz w:val="24"/>
          <w:szCs w:val="24"/>
        </w:rPr>
      </w:pPr>
    </w:p>
    <w:p w14:paraId="347A5CB1" w14:textId="275B1809" w:rsidR="007555C8" w:rsidRDefault="00B3743D">
      <w:pPr>
        <w:pStyle w:val="Listeafsnit"/>
        <w:numPr>
          <w:ilvl w:val="0"/>
          <w:numId w:val="58"/>
        </w:numPr>
        <w:spacing w:line="360" w:lineRule="auto"/>
        <w:rPr>
          <w:rFonts w:ascii="Times New Roman" w:hAnsi="Times New Roman" w:cs="Times New Roman"/>
          <w:sz w:val="24"/>
          <w:szCs w:val="24"/>
        </w:rPr>
      </w:pPr>
      <w:r w:rsidRPr="007555C8">
        <w:rPr>
          <w:rFonts w:ascii="Times New Roman" w:hAnsi="Times New Roman" w:cs="Times New Roman"/>
          <w:sz w:val="24"/>
          <w:szCs w:val="24"/>
        </w:rPr>
        <w:t>I </w:t>
      </w:r>
      <w:r w:rsidRPr="007555C8">
        <w:rPr>
          <w:rFonts w:ascii="Times New Roman" w:hAnsi="Times New Roman" w:cs="Times New Roman"/>
          <w:i/>
          <w:iCs/>
          <w:sz w:val="24"/>
          <w:szCs w:val="24"/>
        </w:rPr>
        <w:t>§ 3 a, stk. 1, </w:t>
      </w:r>
      <w:r w:rsidRPr="007555C8">
        <w:rPr>
          <w:rFonts w:ascii="Times New Roman" w:hAnsi="Times New Roman" w:cs="Times New Roman"/>
          <w:sz w:val="24"/>
          <w:szCs w:val="24"/>
        </w:rPr>
        <w:t>indsættes efter »</w:t>
      </w:r>
      <w:r w:rsidRPr="007555C8">
        <w:rPr>
          <w:rFonts w:ascii="Times New Roman" w:hAnsi="Times New Roman" w:cs="Times New Roman"/>
          <w:color w:val="212529"/>
          <w:sz w:val="24"/>
          <w:szCs w:val="24"/>
          <w:shd w:val="clear" w:color="auto" w:fill="F9F9FB"/>
        </w:rPr>
        <w:t xml:space="preserve"> </w:t>
      </w:r>
      <w:r w:rsidRPr="007555C8">
        <w:rPr>
          <w:rFonts w:ascii="Times New Roman" w:hAnsi="Times New Roman" w:cs="Times New Roman"/>
          <w:sz w:val="24"/>
          <w:szCs w:val="24"/>
        </w:rPr>
        <w:t>jf. § 2, nr. 2,«: » der ikke er omfattet af § 1, stk. 7,«</w:t>
      </w:r>
      <w:r w:rsidR="007555C8" w:rsidRPr="007555C8">
        <w:rPr>
          <w:rFonts w:ascii="Times New Roman" w:hAnsi="Times New Roman" w:cs="Times New Roman"/>
          <w:sz w:val="24"/>
          <w:szCs w:val="24"/>
        </w:rPr>
        <w:t xml:space="preserve"> I </w:t>
      </w:r>
      <w:r w:rsidR="007555C8" w:rsidRPr="007555C8">
        <w:rPr>
          <w:rFonts w:ascii="Times New Roman" w:hAnsi="Times New Roman" w:cs="Times New Roman"/>
          <w:i/>
          <w:sz w:val="24"/>
          <w:szCs w:val="24"/>
        </w:rPr>
        <w:t>§ 3 a, stk. 1,</w:t>
      </w:r>
      <w:r w:rsidR="007555C8" w:rsidRPr="007555C8">
        <w:rPr>
          <w:rFonts w:ascii="Times New Roman" w:hAnsi="Times New Roman" w:cs="Times New Roman"/>
          <w:sz w:val="24"/>
          <w:szCs w:val="24"/>
        </w:rPr>
        <w:t xml:space="preserve"> indsættes efter »§ 2, nr. 2«: »og en kreditformidler omfattet af forordning (EU) 2024/1624, jf. § 2, nr. 2 og 3«.</w:t>
      </w:r>
    </w:p>
    <w:p w14:paraId="7F90F978" w14:textId="77777777" w:rsidR="007555C8" w:rsidRPr="007555C8" w:rsidRDefault="007555C8" w:rsidP="007555C8">
      <w:pPr>
        <w:pStyle w:val="Listeafsnit"/>
        <w:spacing w:line="360" w:lineRule="auto"/>
        <w:ind w:left="643"/>
        <w:rPr>
          <w:rFonts w:ascii="Times New Roman" w:hAnsi="Times New Roman" w:cs="Times New Roman"/>
          <w:sz w:val="24"/>
          <w:szCs w:val="24"/>
        </w:rPr>
      </w:pPr>
    </w:p>
    <w:p w14:paraId="4FC13A35" w14:textId="77777777" w:rsidR="00747370" w:rsidRPr="00747370" w:rsidRDefault="00747370">
      <w:pPr>
        <w:pStyle w:val="Listeafsnit"/>
        <w:numPr>
          <w:ilvl w:val="0"/>
          <w:numId w:val="58"/>
        </w:numPr>
        <w:spacing w:line="360" w:lineRule="auto"/>
        <w:rPr>
          <w:rFonts w:ascii="Times New Roman" w:hAnsi="Times New Roman" w:cs="Times New Roman"/>
          <w:sz w:val="24"/>
          <w:szCs w:val="24"/>
        </w:rPr>
      </w:pPr>
      <w:r w:rsidRPr="00747370">
        <w:rPr>
          <w:rFonts w:ascii="Times New Roman" w:hAnsi="Times New Roman" w:cs="Times New Roman"/>
          <w:sz w:val="24"/>
          <w:szCs w:val="24"/>
        </w:rPr>
        <w:t xml:space="preserve">I </w:t>
      </w:r>
      <w:r w:rsidRPr="00747370">
        <w:rPr>
          <w:rFonts w:ascii="Times New Roman" w:hAnsi="Times New Roman" w:cs="Times New Roman"/>
          <w:i/>
          <w:sz w:val="24"/>
          <w:szCs w:val="24"/>
        </w:rPr>
        <w:t>§ 3 a</w:t>
      </w:r>
      <w:r w:rsidRPr="00747370">
        <w:rPr>
          <w:rFonts w:ascii="Times New Roman" w:hAnsi="Times New Roman" w:cs="Times New Roman"/>
          <w:sz w:val="24"/>
          <w:szCs w:val="24"/>
        </w:rPr>
        <w:t xml:space="preserve">, indsættes før stk. 3, som nyt stykke: </w:t>
      </w:r>
    </w:p>
    <w:p w14:paraId="42E2D081" w14:textId="77777777" w:rsidR="00747370" w:rsidRPr="00747370" w:rsidRDefault="00747370" w:rsidP="00747370">
      <w:pPr>
        <w:pStyle w:val="Listeafsnit"/>
        <w:spacing w:line="360" w:lineRule="auto"/>
        <w:ind w:left="643"/>
        <w:rPr>
          <w:rFonts w:ascii="Times New Roman" w:hAnsi="Times New Roman" w:cs="Times New Roman"/>
          <w:sz w:val="24"/>
          <w:szCs w:val="24"/>
        </w:rPr>
      </w:pPr>
      <w:r w:rsidRPr="00747370">
        <w:rPr>
          <w:rFonts w:ascii="Times New Roman" w:hAnsi="Times New Roman" w:cs="Times New Roman"/>
          <w:sz w:val="24"/>
          <w:szCs w:val="24"/>
        </w:rPr>
        <w:t>»</w:t>
      </w:r>
      <w:r w:rsidRPr="00747370">
        <w:rPr>
          <w:rFonts w:ascii="Times New Roman" w:hAnsi="Times New Roman" w:cs="Times New Roman"/>
          <w:i/>
          <w:sz w:val="24"/>
          <w:szCs w:val="24"/>
        </w:rPr>
        <w:t>Stk. 3.</w:t>
      </w:r>
      <w:r w:rsidRPr="00747370">
        <w:rPr>
          <w:rFonts w:ascii="Times New Roman" w:hAnsi="Times New Roman" w:cs="Times New Roman"/>
          <w:sz w:val="24"/>
          <w:szCs w:val="24"/>
        </w:rPr>
        <w:t> Finanstilsynet skal endvidere undlade at foretage registrering efter stk. 1, af en kreditformidler som nævnt i § 2, nr. 3, hvis</w:t>
      </w:r>
    </w:p>
    <w:p w14:paraId="1265C91F" w14:textId="77777777" w:rsidR="00747370" w:rsidRPr="00747370" w:rsidRDefault="00747370" w:rsidP="00747370">
      <w:pPr>
        <w:pStyle w:val="Listeafsnit"/>
        <w:spacing w:line="360" w:lineRule="auto"/>
        <w:ind w:left="643"/>
        <w:rPr>
          <w:rFonts w:ascii="Times New Roman" w:hAnsi="Times New Roman" w:cs="Times New Roman"/>
          <w:sz w:val="24"/>
          <w:szCs w:val="24"/>
        </w:rPr>
      </w:pPr>
      <w:r w:rsidRPr="00747370">
        <w:rPr>
          <w:rFonts w:ascii="Times New Roman" w:hAnsi="Times New Roman" w:cs="Times New Roman"/>
          <w:sz w:val="24"/>
          <w:szCs w:val="24"/>
        </w:rPr>
        <w:t>medlemmerne af virksomhedens øverste ledelse, herunder bestyrelse og direktion, indehaveren, hvor virksomheden drives som enkeltmandsvirksomhed, eller den eller de for virksomheden ledelsesansvarlige, hvor virksomheden drives som juridisk person uden bestyrelse og direktion, opfylder kravene i § 4 a, eller</w:t>
      </w:r>
    </w:p>
    <w:p w14:paraId="65E15F16" w14:textId="77777777" w:rsidR="00747370" w:rsidRPr="00747370" w:rsidRDefault="00747370" w:rsidP="00747370">
      <w:pPr>
        <w:pStyle w:val="Listeafsnit"/>
        <w:spacing w:line="360" w:lineRule="auto"/>
        <w:ind w:left="643"/>
        <w:rPr>
          <w:rFonts w:ascii="Times New Roman" w:hAnsi="Times New Roman" w:cs="Times New Roman"/>
          <w:sz w:val="24"/>
          <w:szCs w:val="24"/>
        </w:rPr>
      </w:pPr>
      <w:r w:rsidRPr="00747370">
        <w:rPr>
          <w:rFonts w:ascii="Times New Roman" w:hAnsi="Times New Roman" w:cs="Times New Roman"/>
          <w:sz w:val="24"/>
          <w:szCs w:val="24"/>
        </w:rPr>
        <w:t>virksomheden tidligere har været pålagt strafansvar for overtrædelse af straffeloven, den finansielle lovgivning eller anden relevant lovgivning, hvor overtrædelsen indebærer risiko for, at virksomheden misbruger registreringen. «</w:t>
      </w:r>
    </w:p>
    <w:p w14:paraId="1209AB02" w14:textId="77777777" w:rsidR="00747370" w:rsidRDefault="00747370" w:rsidP="00747370">
      <w:pPr>
        <w:pStyle w:val="Listeafsnit"/>
        <w:spacing w:line="360" w:lineRule="auto"/>
        <w:ind w:left="643"/>
        <w:rPr>
          <w:rFonts w:ascii="Times New Roman" w:hAnsi="Times New Roman" w:cs="Times New Roman"/>
          <w:sz w:val="24"/>
          <w:szCs w:val="24"/>
        </w:rPr>
      </w:pPr>
      <w:r w:rsidRPr="00747370">
        <w:rPr>
          <w:rFonts w:ascii="Times New Roman" w:hAnsi="Times New Roman" w:cs="Times New Roman"/>
          <w:sz w:val="24"/>
          <w:szCs w:val="24"/>
        </w:rPr>
        <w:t>Stk. 3-4 bliver herefter stk. 4-5</w:t>
      </w:r>
    </w:p>
    <w:p w14:paraId="6089C84B" w14:textId="77777777" w:rsidR="00B748D8" w:rsidRPr="00747370" w:rsidRDefault="00B748D8" w:rsidP="00747370">
      <w:pPr>
        <w:pStyle w:val="Listeafsnit"/>
        <w:spacing w:line="360" w:lineRule="auto"/>
        <w:ind w:left="643"/>
        <w:rPr>
          <w:rFonts w:ascii="Times New Roman" w:hAnsi="Times New Roman" w:cs="Times New Roman"/>
          <w:sz w:val="24"/>
          <w:szCs w:val="24"/>
        </w:rPr>
      </w:pPr>
    </w:p>
    <w:p w14:paraId="18B9A160" w14:textId="77777777" w:rsidR="00D46929" w:rsidRPr="00D46929" w:rsidRDefault="00D46929">
      <w:pPr>
        <w:pStyle w:val="Listeafsnit"/>
        <w:numPr>
          <w:ilvl w:val="0"/>
          <w:numId w:val="58"/>
        </w:numPr>
        <w:spacing w:line="360" w:lineRule="auto"/>
        <w:rPr>
          <w:rFonts w:ascii="Times New Roman" w:hAnsi="Times New Roman" w:cs="Times New Roman"/>
          <w:sz w:val="24"/>
          <w:szCs w:val="24"/>
        </w:rPr>
      </w:pPr>
      <w:r w:rsidRPr="00D46929">
        <w:rPr>
          <w:rFonts w:ascii="Times New Roman" w:hAnsi="Times New Roman" w:cs="Times New Roman"/>
          <w:sz w:val="24"/>
          <w:szCs w:val="24"/>
        </w:rPr>
        <w:t xml:space="preserve">I </w:t>
      </w:r>
      <w:r w:rsidRPr="00D46929">
        <w:rPr>
          <w:rFonts w:ascii="Times New Roman" w:hAnsi="Times New Roman" w:cs="Times New Roman"/>
          <w:i/>
          <w:sz w:val="24"/>
          <w:szCs w:val="24"/>
        </w:rPr>
        <w:t>§ 3 a</w:t>
      </w:r>
      <w:r w:rsidRPr="00D46929">
        <w:rPr>
          <w:rFonts w:ascii="Times New Roman" w:hAnsi="Times New Roman" w:cs="Times New Roman"/>
          <w:sz w:val="24"/>
          <w:szCs w:val="24"/>
        </w:rPr>
        <w:t xml:space="preserve">, indsættes som stk. 6-7: </w:t>
      </w:r>
    </w:p>
    <w:p w14:paraId="0F3164AF" w14:textId="77777777" w:rsidR="00B748D8" w:rsidRDefault="00D46929" w:rsidP="00B748D8">
      <w:pPr>
        <w:pStyle w:val="Listeafsnit"/>
        <w:spacing w:line="360" w:lineRule="auto"/>
        <w:ind w:left="643"/>
        <w:rPr>
          <w:rFonts w:ascii="Times New Roman" w:hAnsi="Times New Roman" w:cs="Times New Roman"/>
          <w:sz w:val="24"/>
          <w:szCs w:val="24"/>
        </w:rPr>
      </w:pPr>
      <w:r w:rsidRPr="00D46929">
        <w:rPr>
          <w:rFonts w:ascii="Times New Roman" w:eastAsia="Times New Roman" w:hAnsi="Times New Roman" w:cs="Times New Roman"/>
          <w:sz w:val="24"/>
          <w:szCs w:val="24"/>
          <w:lang w:eastAsia="da-DK"/>
        </w:rPr>
        <w:t>»</w:t>
      </w:r>
      <w:r w:rsidRPr="00D46929">
        <w:rPr>
          <w:rFonts w:ascii="Times New Roman" w:hAnsi="Times New Roman" w:cs="Times New Roman"/>
          <w:i/>
          <w:sz w:val="24"/>
          <w:szCs w:val="24"/>
        </w:rPr>
        <w:t>Stk. 6</w:t>
      </w:r>
      <w:r w:rsidRPr="00D46929">
        <w:rPr>
          <w:rFonts w:ascii="Times New Roman" w:hAnsi="Times New Roman" w:cs="Times New Roman"/>
          <w:sz w:val="24"/>
          <w:szCs w:val="24"/>
        </w:rPr>
        <w:t>. Kreditformidlere som nævnt i § 2, nr. 3, skal underrette Finanstilsynet, hvis der indtræder ændringer i forhold til de oplysninger, som Finanstilsynet har modtaget og lagt til grund ved registreringen. Underretningen skal foretages senest 2 uger efter ændringen.</w:t>
      </w:r>
    </w:p>
    <w:p w14:paraId="05C9CD98" w14:textId="403D6AA7" w:rsidR="00D46929" w:rsidRDefault="00D46929" w:rsidP="00B748D8">
      <w:pPr>
        <w:pStyle w:val="Listeafsnit"/>
        <w:spacing w:line="360" w:lineRule="auto"/>
        <w:ind w:left="643"/>
        <w:rPr>
          <w:rFonts w:ascii="Times New Roman" w:hAnsi="Times New Roman" w:cs="Times New Roman"/>
          <w:sz w:val="24"/>
          <w:szCs w:val="24"/>
        </w:rPr>
      </w:pPr>
      <w:r w:rsidRPr="00B748D8">
        <w:rPr>
          <w:rFonts w:ascii="Times New Roman" w:hAnsi="Times New Roman" w:cs="Times New Roman"/>
          <w:i/>
          <w:sz w:val="24"/>
          <w:szCs w:val="24"/>
        </w:rPr>
        <w:t>Stk. 7</w:t>
      </w:r>
      <w:r w:rsidRPr="00B748D8">
        <w:rPr>
          <w:rFonts w:ascii="Times New Roman" w:hAnsi="Times New Roman" w:cs="Times New Roman"/>
          <w:sz w:val="24"/>
          <w:szCs w:val="24"/>
        </w:rPr>
        <w:t>. Kreditformidlere som nævnt i § 2, nr. 3, skal senest den 1. april hvert år til Finanstilsynet indsende en oversigt over virksomhedens øverste eller daglige ledelse og reelle ejere. Kreditformidlere som nævnt i § 2, nr. 3, skal tillige indsende en erklæring om, at den i § 4 a, stk. 1 nævnte personkreds ikke er pålagt strafansvar for overtrædelse af straffeloven, den finansielle lovgivning eller anden relevant lovgivning. Erklæringen skal være underskrevet af virksomhedens bestyrelse og direktion. Drives virksomheden som juridisk person uden bestyrelse og direktion, skal erklæringen underskrives af den eller de ledelsesansvarlige for virksomheden eller af indehaveren, hvis virksomheden drives som enkeltmandsvirksomhed.«</w:t>
      </w:r>
    </w:p>
    <w:p w14:paraId="69EE6713" w14:textId="77777777" w:rsidR="00D03F3E" w:rsidRPr="00B748D8" w:rsidRDefault="00D03F3E" w:rsidP="00B748D8">
      <w:pPr>
        <w:pStyle w:val="Listeafsnit"/>
        <w:spacing w:line="360" w:lineRule="auto"/>
        <w:ind w:left="643"/>
        <w:rPr>
          <w:rFonts w:ascii="Times New Roman" w:hAnsi="Times New Roman" w:cs="Times New Roman"/>
          <w:sz w:val="24"/>
          <w:szCs w:val="24"/>
        </w:rPr>
      </w:pPr>
    </w:p>
    <w:p w14:paraId="7F60402B" w14:textId="77777777" w:rsidR="00D03F3E" w:rsidRPr="00D03F3E" w:rsidRDefault="00D03F3E">
      <w:pPr>
        <w:pStyle w:val="Listeafsnit"/>
        <w:numPr>
          <w:ilvl w:val="0"/>
          <w:numId w:val="58"/>
        </w:numPr>
        <w:spacing w:line="360" w:lineRule="auto"/>
        <w:rPr>
          <w:rFonts w:ascii="Times New Roman" w:hAnsi="Times New Roman" w:cs="Times New Roman"/>
          <w:sz w:val="24"/>
          <w:szCs w:val="24"/>
        </w:rPr>
      </w:pPr>
      <w:r w:rsidRPr="00D03F3E">
        <w:rPr>
          <w:rFonts w:ascii="Times New Roman" w:hAnsi="Times New Roman" w:cs="Times New Roman"/>
          <w:sz w:val="24"/>
          <w:szCs w:val="24"/>
        </w:rPr>
        <w:t>Efter § 4 indsættes før overskriften før § 5:</w:t>
      </w:r>
    </w:p>
    <w:p w14:paraId="2A8AB127" w14:textId="77777777" w:rsidR="00D03F3E" w:rsidRPr="00D03F3E" w:rsidRDefault="00D03F3E" w:rsidP="00D03F3E">
      <w:pPr>
        <w:pStyle w:val="Listeafsnit"/>
        <w:spacing w:line="360" w:lineRule="auto"/>
        <w:ind w:left="643"/>
        <w:rPr>
          <w:rFonts w:ascii="Times New Roman" w:hAnsi="Times New Roman" w:cs="Times New Roman"/>
          <w:sz w:val="24"/>
          <w:szCs w:val="24"/>
        </w:rPr>
      </w:pPr>
      <w:r w:rsidRPr="00D03F3E">
        <w:rPr>
          <w:rFonts w:ascii="Times New Roman" w:eastAsia="Times New Roman" w:hAnsi="Times New Roman" w:cs="Times New Roman"/>
          <w:i/>
          <w:sz w:val="24"/>
          <w:szCs w:val="24"/>
          <w:lang w:eastAsia="da-DK"/>
        </w:rPr>
        <w:t>»</w:t>
      </w:r>
      <w:r w:rsidRPr="00D03F3E">
        <w:rPr>
          <w:rFonts w:ascii="Times New Roman" w:hAnsi="Times New Roman" w:cs="Times New Roman"/>
          <w:i/>
          <w:sz w:val="24"/>
          <w:szCs w:val="24"/>
        </w:rPr>
        <w:t>§ 4 a.</w:t>
      </w:r>
      <w:r w:rsidRPr="00D03F3E">
        <w:rPr>
          <w:rFonts w:ascii="Times New Roman" w:hAnsi="Times New Roman" w:cs="Times New Roman"/>
          <w:b/>
          <w:bCs/>
          <w:sz w:val="24"/>
          <w:szCs w:val="24"/>
        </w:rPr>
        <w:t xml:space="preserve"> </w:t>
      </w:r>
      <w:r w:rsidRPr="00D03F3E">
        <w:rPr>
          <w:rFonts w:ascii="Times New Roman" w:hAnsi="Times New Roman" w:cs="Times New Roman"/>
          <w:sz w:val="24"/>
          <w:szCs w:val="24"/>
        </w:rPr>
        <w:t>Et medlem af øverste eller daglige ledelse, herunder bestyrelsen eller direktionen, i en kreditformidler  som nævnt i § 2, nr. 3, eller, hvor virksomheden udøves af en enkeltmandsvirksomhed, indehaveren eller, hvor kreditformidleren drives som juridisk person uden øverste eller daglige ledelse, den eller de ledelsesansvarlige, må ikke være pålagt strafansvar for overtrædelse af straffeloven, den finansielle lovgivning eller anden relevant lovgivning, hvis overtrædelsen indebærer en risiko for, at vedkommende ikke kan varetage sit hverv eller sin stilling på en betryggende måde. Dette gælder dog ikke kreditudbydere omfattet af § 1, stk. 5, nr. 2.</w:t>
      </w:r>
    </w:p>
    <w:p w14:paraId="25BADEA4" w14:textId="77777777" w:rsidR="00D03F3E" w:rsidRPr="00D03F3E" w:rsidRDefault="00D03F3E" w:rsidP="00D03F3E">
      <w:pPr>
        <w:pStyle w:val="Listeafsnit"/>
        <w:spacing w:line="360" w:lineRule="auto"/>
        <w:ind w:left="643"/>
        <w:rPr>
          <w:rFonts w:ascii="Times New Roman" w:hAnsi="Times New Roman" w:cs="Times New Roman"/>
          <w:sz w:val="24"/>
          <w:szCs w:val="24"/>
        </w:rPr>
      </w:pPr>
      <w:r w:rsidRPr="00D03F3E">
        <w:rPr>
          <w:rFonts w:ascii="Times New Roman" w:hAnsi="Times New Roman" w:cs="Times New Roman"/>
          <w:i/>
          <w:sz w:val="24"/>
          <w:szCs w:val="24"/>
        </w:rPr>
        <w:t>Stk. 2</w:t>
      </w:r>
      <w:r w:rsidRPr="00D03F3E">
        <w:rPr>
          <w:rFonts w:ascii="Times New Roman" w:hAnsi="Times New Roman" w:cs="Times New Roman"/>
          <w:sz w:val="24"/>
          <w:szCs w:val="24"/>
        </w:rPr>
        <w:t xml:space="preserve">. En kreditformidler som nævnt i § 2, nr. 3, eller kreditformidlerens reelle ejere må ikke være pålagt strafansvar for overtrædelse af straffeloven, den finansielle lovgivning eller anden relevant lovgivning, hvis overtrædelsen indebærer risiko for, at virksomheden misbruger registreringen, eller at den reelle ejer misbruger sin kontrollerende indflydelse. </w:t>
      </w:r>
    </w:p>
    <w:p w14:paraId="0CFBF945" w14:textId="77777777" w:rsidR="00D03F3E" w:rsidRPr="00D03F3E" w:rsidRDefault="00D03F3E" w:rsidP="00D03F3E">
      <w:pPr>
        <w:pStyle w:val="Listeafsnit"/>
        <w:spacing w:line="360" w:lineRule="auto"/>
        <w:ind w:left="643"/>
        <w:rPr>
          <w:rFonts w:ascii="Times New Roman" w:hAnsi="Times New Roman" w:cs="Times New Roman"/>
          <w:sz w:val="24"/>
          <w:szCs w:val="24"/>
        </w:rPr>
      </w:pPr>
      <w:r w:rsidRPr="00D03F3E">
        <w:rPr>
          <w:rFonts w:ascii="Times New Roman" w:hAnsi="Times New Roman" w:cs="Times New Roman"/>
          <w:i/>
          <w:sz w:val="24"/>
          <w:szCs w:val="24"/>
        </w:rPr>
        <w:t xml:space="preserve">Stk. 3. </w:t>
      </w:r>
      <w:r w:rsidRPr="00D03F3E">
        <w:rPr>
          <w:rFonts w:ascii="Times New Roman" w:hAnsi="Times New Roman" w:cs="Times New Roman"/>
          <w:sz w:val="24"/>
          <w:szCs w:val="24"/>
        </w:rPr>
        <w:t>Personer, der har handlet i fællesskab med en person, der er pålagt strafansvar for overtrædelse af straffeloven, den finansielle lovgivning eller anden relevant lovgivning, om de pågældende lovovertrædelser, kan ikke registreres til at udøve erhverv som kreditformidler eller varetage en funktion i den øverste eller daglige ledelse i en kreditformidler, som nævnt i § 2, nr. 3, der er registreringspligtige efter § 3 a, stk. 1.</w:t>
      </w:r>
    </w:p>
    <w:p w14:paraId="39968EAE" w14:textId="77777777" w:rsidR="00D03F3E" w:rsidRPr="00D03F3E" w:rsidRDefault="00D03F3E" w:rsidP="00D03F3E">
      <w:pPr>
        <w:pStyle w:val="Listeafsnit"/>
        <w:spacing w:line="360" w:lineRule="auto"/>
        <w:ind w:left="643"/>
        <w:rPr>
          <w:rFonts w:ascii="Times New Roman" w:hAnsi="Times New Roman" w:cs="Times New Roman"/>
          <w:sz w:val="24"/>
          <w:szCs w:val="24"/>
        </w:rPr>
      </w:pPr>
      <w:r w:rsidRPr="00D03F3E">
        <w:rPr>
          <w:rFonts w:ascii="Times New Roman" w:hAnsi="Times New Roman" w:cs="Times New Roman"/>
          <w:i/>
          <w:sz w:val="24"/>
          <w:szCs w:val="24"/>
        </w:rPr>
        <w:t>Stk. 4.</w:t>
      </w:r>
      <w:r w:rsidRPr="00D03F3E">
        <w:rPr>
          <w:rFonts w:ascii="Times New Roman" w:hAnsi="Times New Roman" w:cs="Times New Roman"/>
          <w:sz w:val="24"/>
          <w:szCs w:val="24"/>
        </w:rPr>
        <w:t xml:space="preserve"> Når en person tiltræder et hverv som bestyrelsesmedlem eller en stilling som direktør i en virksomhed som nævnt i § 2, nr. 3, der er registreret efter § 3 a, stk. 1, påser Finanstilsynet, at personen opfylder hæderlighedskravene i stk. 1. Finanstilsynet træffer afgørelse om, hvorvidt personen kan bestride hvervet eller stillingen i den pågældende virksomhed. 1. og 2. pkt. finder tilsvarende anvendelse for indehaveren af en virksomhed som nævnt i § 2, nr. 3, der er registreret efter § 3 a, stk. 1, hvis der er tale om en enkeltmandsvirksomhed, for ledelsesansvarlige i som nævnt i § 2, nr. 3, som drives uden direktion og bestyrelse, samt for den eller de reelle ejere i virksomheden.</w:t>
      </w:r>
    </w:p>
    <w:p w14:paraId="5FEC6F0B" w14:textId="77777777" w:rsidR="00D03F3E" w:rsidRDefault="00D03F3E" w:rsidP="00D03F3E">
      <w:pPr>
        <w:pStyle w:val="Listeafsnit"/>
        <w:spacing w:line="360" w:lineRule="auto"/>
        <w:ind w:left="643"/>
        <w:rPr>
          <w:rFonts w:ascii="Times New Roman" w:hAnsi="Times New Roman" w:cs="Times New Roman"/>
          <w:sz w:val="24"/>
          <w:szCs w:val="24"/>
        </w:rPr>
      </w:pPr>
      <w:r w:rsidRPr="00D03F3E">
        <w:rPr>
          <w:rFonts w:ascii="Times New Roman" w:eastAsia="Times New Roman" w:hAnsi="Times New Roman" w:cs="Times New Roman"/>
          <w:i/>
          <w:sz w:val="24"/>
          <w:szCs w:val="24"/>
          <w:lang w:eastAsia="da-DK"/>
        </w:rPr>
        <w:t>Stk. 5</w:t>
      </w:r>
      <w:r w:rsidRPr="00D03F3E">
        <w:rPr>
          <w:rFonts w:ascii="Times New Roman" w:eastAsia="Times New Roman" w:hAnsi="Times New Roman" w:cs="Times New Roman"/>
          <w:sz w:val="24"/>
          <w:szCs w:val="24"/>
          <w:lang w:eastAsia="da-DK"/>
        </w:rPr>
        <w:t xml:space="preserve">. </w:t>
      </w:r>
      <w:r w:rsidRPr="00D03F3E">
        <w:rPr>
          <w:rFonts w:ascii="Times New Roman" w:hAnsi="Times New Roman" w:cs="Times New Roman"/>
          <w:sz w:val="24"/>
          <w:szCs w:val="24"/>
        </w:rPr>
        <w:t>Vurderer Finanstilsynet, at personen ikke opfylder kravene i stk. 1 og 2, skal afgørelsens varighed fremgå af afgørelsen.«</w:t>
      </w:r>
    </w:p>
    <w:p w14:paraId="79F476BC" w14:textId="77777777" w:rsidR="003300EF" w:rsidRPr="00D03F3E" w:rsidRDefault="003300EF" w:rsidP="00D03F3E">
      <w:pPr>
        <w:pStyle w:val="Listeafsnit"/>
        <w:spacing w:line="360" w:lineRule="auto"/>
        <w:ind w:left="643"/>
        <w:rPr>
          <w:rFonts w:ascii="Times New Roman" w:hAnsi="Times New Roman" w:cs="Times New Roman"/>
          <w:sz w:val="24"/>
          <w:szCs w:val="24"/>
        </w:rPr>
      </w:pPr>
    </w:p>
    <w:p w14:paraId="05742E35" w14:textId="77777777" w:rsidR="003300EF" w:rsidRDefault="003300EF">
      <w:pPr>
        <w:pStyle w:val="Listeafsnit"/>
        <w:numPr>
          <w:ilvl w:val="0"/>
          <w:numId w:val="58"/>
        </w:numPr>
        <w:spacing w:line="360" w:lineRule="auto"/>
        <w:rPr>
          <w:rFonts w:ascii="Times New Roman" w:hAnsi="Times New Roman" w:cs="Times New Roman"/>
          <w:sz w:val="24"/>
          <w:szCs w:val="24"/>
        </w:rPr>
      </w:pPr>
      <w:r w:rsidRPr="003300EF">
        <w:rPr>
          <w:rFonts w:ascii="Times New Roman" w:hAnsi="Times New Roman" w:cs="Times New Roman"/>
          <w:sz w:val="24"/>
          <w:szCs w:val="24"/>
        </w:rPr>
        <w:t>I </w:t>
      </w:r>
      <w:r w:rsidRPr="003300EF">
        <w:rPr>
          <w:rFonts w:ascii="Times New Roman" w:hAnsi="Times New Roman" w:cs="Times New Roman"/>
          <w:i/>
          <w:sz w:val="24"/>
          <w:szCs w:val="24"/>
        </w:rPr>
        <w:t>§ 5, stk. 3, </w:t>
      </w:r>
      <w:r w:rsidRPr="003300EF">
        <w:rPr>
          <w:rFonts w:ascii="Times New Roman" w:hAnsi="Times New Roman" w:cs="Times New Roman"/>
          <w:sz w:val="24"/>
          <w:szCs w:val="24"/>
        </w:rPr>
        <w:t>indsættes efter »kreditformidlere«: », som nævnt i § 2, nr. 2«.</w:t>
      </w:r>
    </w:p>
    <w:p w14:paraId="6979FC29" w14:textId="77777777" w:rsidR="00D16444" w:rsidRPr="003300EF" w:rsidRDefault="00D16444" w:rsidP="00D16444">
      <w:pPr>
        <w:pStyle w:val="Listeafsnit"/>
        <w:spacing w:line="360" w:lineRule="auto"/>
        <w:ind w:left="643"/>
        <w:rPr>
          <w:rFonts w:ascii="Times New Roman" w:hAnsi="Times New Roman" w:cs="Times New Roman"/>
          <w:sz w:val="24"/>
          <w:szCs w:val="24"/>
        </w:rPr>
      </w:pPr>
    </w:p>
    <w:p w14:paraId="49D10F2E" w14:textId="77777777" w:rsidR="00D16444" w:rsidRPr="00D16444" w:rsidRDefault="00D16444">
      <w:pPr>
        <w:pStyle w:val="Listeafsnit"/>
        <w:numPr>
          <w:ilvl w:val="0"/>
          <w:numId w:val="58"/>
        </w:numPr>
        <w:spacing w:line="360" w:lineRule="auto"/>
        <w:rPr>
          <w:rFonts w:ascii="Times New Roman" w:hAnsi="Times New Roman" w:cs="Times New Roman"/>
          <w:sz w:val="24"/>
          <w:szCs w:val="24"/>
        </w:rPr>
      </w:pPr>
      <w:r w:rsidRPr="00D16444">
        <w:rPr>
          <w:rFonts w:ascii="Times New Roman" w:hAnsi="Times New Roman" w:cs="Times New Roman"/>
          <w:sz w:val="24"/>
          <w:szCs w:val="24"/>
        </w:rPr>
        <w:t>I </w:t>
      </w:r>
      <w:r w:rsidRPr="00D16444">
        <w:rPr>
          <w:rFonts w:ascii="Times New Roman" w:hAnsi="Times New Roman" w:cs="Times New Roman"/>
          <w:i/>
          <w:sz w:val="24"/>
          <w:szCs w:val="24"/>
        </w:rPr>
        <w:t>§ 5 </w:t>
      </w:r>
      <w:r w:rsidRPr="00D16444">
        <w:rPr>
          <w:rFonts w:ascii="Times New Roman" w:hAnsi="Times New Roman" w:cs="Times New Roman"/>
          <w:sz w:val="24"/>
          <w:szCs w:val="24"/>
        </w:rPr>
        <w:t>indsættes som </w:t>
      </w:r>
      <w:r w:rsidRPr="00D16444">
        <w:rPr>
          <w:rFonts w:ascii="Times New Roman" w:hAnsi="Times New Roman" w:cs="Times New Roman"/>
          <w:i/>
          <w:sz w:val="24"/>
          <w:szCs w:val="24"/>
        </w:rPr>
        <w:t>stk. 4:</w:t>
      </w:r>
    </w:p>
    <w:p w14:paraId="7440403C" w14:textId="77777777" w:rsidR="00D16444" w:rsidRPr="00D16444" w:rsidRDefault="00D16444" w:rsidP="00D16444">
      <w:pPr>
        <w:pStyle w:val="Listeafsnit"/>
        <w:spacing w:line="360" w:lineRule="auto"/>
        <w:ind w:left="643"/>
        <w:rPr>
          <w:rFonts w:ascii="Times New Roman" w:hAnsi="Times New Roman" w:cs="Times New Roman"/>
          <w:sz w:val="24"/>
          <w:szCs w:val="24"/>
        </w:rPr>
      </w:pPr>
      <w:r w:rsidRPr="00D16444">
        <w:rPr>
          <w:rFonts w:ascii="Times New Roman" w:hAnsi="Times New Roman" w:cs="Times New Roman"/>
          <w:i/>
          <w:sz w:val="24"/>
          <w:szCs w:val="24"/>
        </w:rPr>
        <w:t>»Stk. 4.</w:t>
      </w:r>
      <w:r w:rsidRPr="00D16444">
        <w:rPr>
          <w:rFonts w:ascii="Times New Roman" w:hAnsi="Times New Roman" w:cs="Times New Roman"/>
          <w:sz w:val="24"/>
          <w:szCs w:val="24"/>
        </w:rPr>
        <w:t> Registeret skal for kreditformidlere som nævnt i § 2, nr. 3, indeholde følgende oplysninger:</w:t>
      </w:r>
    </w:p>
    <w:p w14:paraId="5FED268C" w14:textId="77777777" w:rsidR="00D16444" w:rsidRPr="00D16444" w:rsidRDefault="00D16444" w:rsidP="00D16444">
      <w:pPr>
        <w:pStyle w:val="Listeafsnit"/>
        <w:spacing w:line="360" w:lineRule="auto"/>
        <w:ind w:left="643"/>
        <w:rPr>
          <w:rFonts w:ascii="Times New Roman" w:hAnsi="Times New Roman" w:cs="Times New Roman"/>
          <w:sz w:val="24"/>
          <w:szCs w:val="24"/>
        </w:rPr>
      </w:pPr>
      <w:r w:rsidRPr="00D16444">
        <w:rPr>
          <w:rFonts w:ascii="Times New Roman" w:hAnsi="Times New Roman" w:cs="Times New Roman"/>
          <w:sz w:val="24"/>
          <w:szCs w:val="24"/>
        </w:rPr>
        <w:t>Navn, adresse og cvr-nummer på kreditformidleren</w:t>
      </w:r>
    </w:p>
    <w:p w14:paraId="27ECA04D" w14:textId="77777777" w:rsidR="00D16444" w:rsidRDefault="00D16444" w:rsidP="00D16444">
      <w:pPr>
        <w:pStyle w:val="Listeafsnit"/>
        <w:spacing w:line="360" w:lineRule="auto"/>
        <w:ind w:left="643"/>
        <w:rPr>
          <w:rFonts w:ascii="Times New Roman" w:hAnsi="Times New Roman" w:cs="Times New Roman"/>
          <w:sz w:val="24"/>
          <w:szCs w:val="24"/>
        </w:rPr>
      </w:pPr>
      <w:r w:rsidRPr="00D16444">
        <w:rPr>
          <w:rFonts w:ascii="Times New Roman" w:hAnsi="Times New Roman" w:cs="Times New Roman"/>
          <w:sz w:val="24"/>
          <w:szCs w:val="24"/>
        </w:rPr>
        <w:t>Navne på medlemmerne af kreditformidlerens øverste ledelse, herunder medlemmer af bestyrelse og direktion, indehaveren, hvor virksomheden drives som enkeltmandsvirksomhed, eller den eller de for virksomheden ledelsesansvarlige, hvor virksomheden drives som juridisk person uden bestyrelse og direktion samt navne på kreditudbyderens reelle ejere.</w:t>
      </w:r>
    </w:p>
    <w:p w14:paraId="606EAE58" w14:textId="77777777" w:rsidR="0059682A" w:rsidRPr="00D16444" w:rsidRDefault="0059682A" w:rsidP="00D16444">
      <w:pPr>
        <w:pStyle w:val="Listeafsnit"/>
        <w:spacing w:line="360" w:lineRule="auto"/>
        <w:ind w:left="643"/>
        <w:rPr>
          <w:rFonts w:ascii="Times New Roman" w:hAnsi="Times New Roman" w:cs="Times New Roman"/>
          <w:sz w:val="24"/>
          <w:szCs w:val="24"/>
        </w:rPr>
      </w:pPr>
    </w:p>
    <w:p w14:paraId="3DD5E7BA" w14:textId="77777777" w:rsidR="00415E55" w:rsidRPr="00415E55" w:rsidRDefault="00415E55">
      <w:pPr>
        <w:pStyle w:val="Listeafsnit"/>
        <w:numPr>
          <w:ilvl w:val="0"/>
          <w:numId w:val="58"/>
        </w:numPr>
        <w:spacing w:line="360" w:lineRule="auto"/>
        <w:rPr>
          <w:rFonts w:ascii="Times New Roman" w:hAnsi="Times New Roman" w:cs="Times New Roman"/>
          <w:sz w:val="24"/>
          <w:szCs w:val="24"/>
        </w:rPr>
      </w:pPr>
      <w:r w:rsidRPr="00415E55">
        <w:rPr>
          <w:rFonts w:ascii="Times New Roman" w:hAnsi="Times New Roman" w:cs="Times New Roman"/>
          <w:sz w:val="24"/>
          <w:szCs w:val="24"/>
        </w:rPr>
        <w:t xml:space="preserve">Efter § 17 indsættes før overskriften før § 18: </w:t>
      </w:r>
    </w:p>
    <w:p w14:paraId="5227B019"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eastAsia="Times New Roman" w:hAnsi="Times New Roman" w:cs="Times New Roman"/>
          <w:b/>
          <w:bCs/>
          <w:sz w:val="24"/>
          <w:szCs w:val="24"/>
          <w:lang w:eastAsia="da-DK"/>
        </w:rPr>
        <w:t>»§ 17 a.</w:t>
      </w:r>
      <w:r w:rsidRPr="00415E55">
        <w:rPr>
          <w:rFonts w:ascii="Times New Roman" w:hAnsi="Times New Roman" w:cs="Times New Roman"/>
          <w:sz w:val="24"/>
          <w:szCs w:val="24"/>
        </w:rPr>
        <w:t xml:space="preserve"> Finanstilsynet kan</w:t>
      </w:r>
      <w:r w:rsidRPr="00415E55">
        <w:rPr>
          <w:rFonts w:ascii="Times New Roman" w:hAnsi="Times New Roman" w:cs="Times New Roman"/>
          <w:sz w:val="24"/>
          <w:szCs w:val="24"/>
          <w:lang w:eastAsia="da-DK"/>
        </w:rPr>
        <w:t xml:space="preserve"> </w:t>
      </w:r>
      <w:r w:rsidRPr="00415E55">
        <w:rPr>
          <w:rFonts w:ascii="Times New Roman" w:hAnsi="Times New Roman" w:cs="Times New Roman"/>
          <w:sz w:val="24"/>
          <w:szCs w:val="24"/>
        </w:rPr>
        <w:t>påbyde en kreditformidler, som nævnt i § 2, nr. 3, at afsætte en person fra den øverste ledelse inden for en af Finanstilsynet fastsat frist, hvis denne efter § 3 a, stk. 3, nr. 1 og § 4 a, stk. 1, ikke kan bestride sit hverv eller stillingen. Finanstilsynet kan under samme betingelser som i 1. pkt. påbyde et medlem af bestyrelsen i en sådan virksomhed at nedlægge sit hverv inden for en af Finanstilsynet fastsat frist. Finanstilsynet kan</w:t>
      </w:r>
      <w:r w:rsidRPr="00415E55">
        <w:rPr>
          <w:rFonts w:ascii="Times New Roman" w:hAnsi="Times New Roman" w:cs="Times New Roman"/>
          <w:sz w:val="24"/>
          <w:szCs w:val="24"/>
          <w:lang w:eastAsia="da-DK"/>
        </w:rPr>
        <w:t xml:space="preserve"> endvidere </w:t>
      </w:r>
      <w:r w:rsidRPr="00415E55">
        <w:rPr>
          <w:rFonts w:ascii="Times New Roman" w:hAnsi="Times New Roman" w:cs="Times New Roman"/>
          <w:sz w:val="24"/>
          <w:szCs w:val="24"/>
        </w:rPr>
        <w:t>påbyde en kreditformidler, der er omfattet af § 1, stk. 5, nr. 2, eller, hvor virksomheden udøves af en enkeltmandsvirksomhed, indehaveren eller, hvor kreditformidleren drives som juridisk person uden øverste eller daglige ledelse, den eller de ledelsesansvarlige, at afsætte en person fra den øverste ledelse inden for en af Finanstilsynet fastsat frist, hvis Finanstilsynet konstaterer, at denne er pålagt strafansvar for overtrædelse af straffeloven, den finansielle lovgivning eller anden relevant lovgivning, og overtrædelsen indebærer en risiko for, at vedkommende ikke kan varetage sit hverv eller sin stilling på en betryggende måde. Finanstilsynet kan under samme betingelser som i 3. pkt. påbyde et medlem af bestyrelsen i en sådan virksomhed at nedlægge sit hverv inden for en af Finanstilsynet fastsat frist.</w:t>
      </w:r>
    </w:p>
    <w:p w14:paraId="579B8DA4"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hAnsi="Times New Roman" w:cs="Times New Roman"/>
          <w:i/>
          <w:sz w:val="24"/>
          <w:szCs w:val="24"/>
          <w:lang w:eastAsia="da-DK"/>
        </w:rPr>
        <w:t xml:space="preserve">Stk. 2. </w:t>
      </w:r>
      <w:r w:rsidRPr="00415E55">
        <w:rPr>
          <w:rFonts w:ascii="Times New Roman" w:hAnsi="Times New Roman" w:cs="Times New Roman"/>
          <w:sz w:val="24"/>
          <w:szCs w:val="24"/>
        </w:rPr>
        <w:t>Varigheden af påbud meddelt efter stk. stk. 1, skal fremgå af påbuddet.</w:t>
      </w:r>
    </w:p>
    <w:p w14:paraId="0595AF43" w14:textId="77777777" w:rsidR="00415E55" w:rsidRPr="00415E55" w:rsidRDefault="00415E55" w:rsidP="0059682A">
      <w:pPr>
        <w:pStyle w:val="Listeafsnit"/>
        <w:spacing w:line="360" w:lineRule="auto"/>
        <w:ind w:left="643"/>
        <w:rPr>
          <w:rFonts w:ascii="Times New Roman" w:hAnsi="Times New Roman" w:cs="Times New Roman"/>
          <w:sz w:val="24"/>
          <w:szCs w:val="24"/>
          <w:lang w:eastAsia="da-DK"/>
        </w:rPr>
      </w:pPr>
      <w:r w:rsidRPr="00415E55">
        <w:rPr>
          <w:rFonts w:ascii="Times New Roman" w:hAnsi="Times New Roman" w:cs="Times New Roman"/>
          <w:i/>
          <w:sz w:val="24"/>
          <w:szCs w:val="24"/>
          <w:lang w:eastAsia="da-DK"/>
        </w:rPr>
        <w:t xml:space="preserve">Stk. 3. </w:t>
      </w:r>
      <w:r w:rsidRPr="00415E55">
        <w:rPr>
          <w:rFonts w:ascii="Times New Roman" w:hAnsi="Times New Roman" w:cs="Times New Roman"/>
          <w:sz w:val="24"/>
          <w:szCs w:val="24"/>
          <w:lang w:eastAsia="da-DK"/>
        </w:rPr>
        <w:t xml:space="preserve">Påbud meddelt efter stk. 1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den person, som påbuddet vedrører, under sagens behandling kan opretholde sit hverv eller sin stilling. Finanstilsynet indbringer sagen for domstolene inden 4 uger efter modtagelse af anmodning herom. Sagen anlægges i den borgerlige retsplejes former. </w:t>
      </w:r>
    </w:p>
    <w:p w14:paraId="5A715948" w14:textId="77777777" w:rsidR="00415E55" w:rsidRPr="00415E55" w:rsidRDefault="00415E55" w:rsidP="0059682A">
      <w:pPr>
        <w:pStyle w:val="Listeafsnit"/>
        <w:spacing w:line="360" w:lineRule="auto"/>
        <w:ind w:left="643"/>
        <w:rPr>
          <w:rFonts w:ascii="Times New Roman" w:hAnsi="Times New Roman" w:cs="Times New Roman"/>
          <w:sz w:val="24"/>
          <w:szCs w:val="24"/>
          <w:lang w:eastAsia="da-DK"/>
        </w:rPr>
      </w:pPr>
      <w:r w:rsidRPr="00415E55">
        <w:rPr>
          <w:rFonts w:ascii="Times New Roman" w:hAnsi="Times New Roman" w:cs="Times New Roman"/>
          <w:i/>
          <w:sz w:val="24"/>
          <w:szCs w:val="24"/>
        </w:rPr>
        <w:t>Stk. 4.</w:t>
      </w:r>
      <w:r w:rsidRPr="00415E55">
        <w:rPr>
          <w:rFonts w:ascii="Times New Roman" w:hAnsi="Times New Roman" w:cs="Times New Roman"/>
          <w:sz w:val="24"/>
          <w:szCs w:val="24"/>
        </w:rPr>
        <w:t xml:space="preserve"> Afgørelser i sager efter stk. 1 kan af kreditformidleren og af den person, som afgørelsen vedrører, forlanges indbragt for domstolene. Anmodning herom skal indgives til Finanstilsynet, inden 4 uger efter at afgørelsen er meddelt den pågældende. Anmodningen har ikke opsættende virkning for afgørelsen, men retten kan ved kendelse bestemme, at personen under sagens behandling kan indtræde i det hverv eller den stilling, som personen har søgt om godkendelse til. Finanstilsynet indbringer sagen for domstolene inden 4 uger efter modtagelse af anmodning herom. Sagen anlægges i den borgerlige retsplejes former.</w:t>
      </w:r>
    </w:p>
    <w:p w14:paraId="497B04FC"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hAnsi="Times New Roman" w:cs="Times New Roman"/>
          <w:i/>
          <w:sz w:val="24"/>
          <w:szCs w:val="24"/>
        </w:rPr>
        <w:t>Stk. 5.</w:t>
      </w:r>
      <w:r w:rsidRPr="00415E55">
        <w:rPr>
          <w:rFonts w:ascii="Times New Roman" w:hAnsi="Times New Roman" w:cs="Times New Roman"/>
          <w:sz w:val="24"/>
          <w:szCs w:val="24"/>
        </w:rPr>
        <w:t xml:space="preserve"> Finanstilsynet kan af egen drift eller efter ansøgning tilbagekalde et påbud meddelt efter stk. 1.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0F7B0B9F"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eastAsia="Times New Roman" w:hAnsi="Times New Roman" w:cs="Times New Roman"/>
          <w:i/>
          <w:sz w:val="24"/>
          <w:szCs w:val="24"/>
          <w:lang w:eastAsia="da-DK"/>
        </w:rPr>
        <w:t>Stk. 6.</w:t>
      </w:r>
      <w:r w:rsidRPr="00415E55">
        <w:rPr>
          <w:rFonts w:ascii="Times New Roman" w:eastAsia="Times New Roman" w:hAnsi="Times New Roman" w:cs="Times New Roman"/>
          <w:sz w:val="24"/>
          <w:szCs w:val="24"/>
          <w:lang w:eastAsia="da-DK"/>
        </w:rPr>
        <w:t xml:space="preserve"> </w:t>
      </w:r>
      <w:r w:rsidRPr="00415E55">
        <w:rPr>
          <w:rFonts w:ascii="Times New Roman" w:hAnsi="Times New Roman" w:cs="Times New Roman"/>
          <w:sz w:val="24"/>
          <w:szCs w:val="24"/>
        </w:rPr>
        <w:t>Hvis kreditformidleren og den person, som påbuddet vedrører, ikke har afsat den pågældende person fra den øverste ledelse inden for den fastsatte frist, kan Finanstilsynet inddrage virksomhedens registrering efter § 18 a. Finanstilsynet kan endvidere inddrage kreditformidlerens registrering, jf. § 18 a, stk. 1, nr. 5, hvis et bestyrelsesmedlem ikke efterkommer et påbud meddelt i medfør af stk. 1.</w:t>
      </w:r>
    </w:p>
    <w:p w14:paraId="7E797E97"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hAnsi="Times New Roman" w:cs="Times New Roman"/>
          <w:i/>
          <w:sz w:val="24"/>
          <w:szCs w:val="24"/>
        </w:rPr>
        <w:t>Stk. 7.</w:t>
      </w:r>
      <w:r w:rsidRPr="00415E55">
        <w:rPr>
          <w:rFonts w:ascii="Times New Roman" w:hAnsi="Times New Roman" w:cs="Times New Roman"/>
          <w:sz w:val="24"/>
          <w:szCs w:val="24"/>
        </w:rPr>
        <w:t xml:space="preserve"> Stk. 1-6 finder tilsvarende anvendelse på den eller de for virksomheden ledelsesansvarlige, når en kreditformidler drives som en juridisk person uden en bestyrelse eller direktion.</w:t>
      </w:r>
    </w:p>
    <w:p w14:paraId="15FA7107" w14:textId="77777777" w:rsidR="00415E55" w:rsidRPr="00415E55" w:rsidRDefault="00415E55" w:rsidP="0059682A">
      <w:pPr>
        <w:pStyle w:val="Listeafsnit"/>
        <w:spacing w:line="360" w:lineRule="auto"/>
        <w:ind w:left="643"/>
        <w:rPr>
          <w:rFonts w:ascii="Times New Roman" w:hAnsi="Times New Roman" w:cs="Times New Roman"/>
          <w:sz w:val="24"/>
          <w:szCs w:val="24"/>
        </w:rPr>
      </w:pPr>
    </w:p>
    <w:p w14:paraId="43CECAEC"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eastAsia="Times New Roman" w:hAnsi="Times New Roman" w:cs="Times New Roman"/>
          <w:b/>
          <w:bCs/>
          <w:sz w:val="24"/>
          <w:szCs w:val="24"/>
          <w:lang w:eastAsia="da-DK"/>
        </w:rPr>
        <w:t>§ 17 b</w:t>
      </w:r>
      <w:r w:rsidRPr="00415E55">
        <w:rPr>
          <w:rFonts w:ascii="Times New Roman" w:eastAsia="Times New Roman" w:hAnsi="Times New Roman" w:cs="Times New Roman"/>
          <w:sz w:val="24"/>
          <w:szCs w:val="24"/>
          <w:lang w:eastAsia="da-DK"/>
        </w:rPr>
        <w:t>.</w:t>
      </w:r>
      <w:r w:rsidRPr="00415E55">
        <w:rPr>
          <w:rFonts w:ascii="Times New Roman" w:hAnsi="Times New Roman" w:cs="Times New Roman"/>
          <w:sz w:val="24"/>
          <w:szCs w:val="24"/>
        </w:rPr>
        <w:t xml:space="preserve"> Finanstilsynet kan påbyde en fysisk person, der direkte eller indirekte ejer eller kontrollerer minimum 25 pct. af kapitalandelen, ejerandelen, stemmerettighederne eller andre ejerskabsbeføjelser af en kreditformidler,  som nævnt i § 2, nr. 3, at ophøre med at udøve kontrol, herunder afhænde sine ejerandele helt eller delvist inden for en af Finanstilsynet fastsat frist, såfremt den pågældende ikke opfylder betingelserne i § 4 a, stk. 1. Finanstilsynet kan</w:t>
      </w:r>
      <w:r w:rsidRPr="00415E55">
        <w:rPr>
          <w:rFonts w:ascii="Times New Roman" w:hAnsi="Times New Roman" w:cs="Times New Roman"/>
          <w:sz w:val="24"/>
          <w:szCs w:val="24"/>
          <w:lang w:eastAsia="da-DK"/>
        </w:rPr>
        <w:t xml:space="preserve"> endvidere </w:t>
      </w:r>
      <w:r w:rsidRPr="00415E55">
        <w:rPr>
          <w:rFonts w:ascii="Times New Roman" w:hAnsi="Times New Roman" w:cs="Times New Roman"/>
          <w:sz w:val="24"/>
          <w:szCs w:val="24"/>
        </w:rPr>
        <w:t>påbyde fysisk person, der direkte eller indirekte ejer eller kontrollerer minimum 25 pct. af kapitalandelen, ejerandelen, stemmerettighederne eller andre ejerskabsbeføjelser af en kreditformidler, der er omfattet af § 1, stk. 5, nr. 2, eller, hvor virksomheden udøves af en enkeltmandsvirksomhed, indehaveren eller, hvor kreditformidleren drives som juridisk person uden øverste eller daglige ledelse, den eller de ledelsesansvarlige, at ophøre med at udøve kontrol, herunder afhænde sine ejerandele helt eller delvist inden for en af Finanstilsynet fastsat frist, såfremt den pågældende er pålagt strafansvar for overtrædelse af straffeloven, den finansielle lovgivning eller anden relevant lovgivning, og overtrædelsen indebærer en risiko for, at den reelle ejer misbruger sin kontrollerende indflydelse.</w:t>
      </w:r>
    </w:p>
    <w:p w14:paraId="6F4B8E1B"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hAnsi="Times New Roman" w:cs="Times New Roman"/>
          <w:i/>
          <w:sz w:val="24"/>
          <w:szCs w:val="24"/>
        </w:rPr>
        <w:t>Stk. 2.</w:t>
      </w:r>
      <w:r w:rsidRPr="00415E55">
        <w:rPr>
          <w:rFonts w:ascii="Times New Roman" w:hAnsi="Times New Roman" w:cs="Times New Roman"/>
          <w:sz w:val="24"/>
          <w:szCs w:val="24"/>
        </w:rPr>
        <w:t> Finanstilsynet kan ophæve stemmeretten for en fysisk person, der direkte eller indirekte ejer eller kontrollerer minimum 25 pct. af kapitalandelen, i en kreditformidler, hvis kapitalejeren ikke opfylder kravene i § 4 a, stk. 1. Finanstilsynet kan også påbyde virksomheden at følge bestemte retningslinjer.</w:t>
      </w:r>
    </w:p>
    <w:p w14:paraId="4097A1DD"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hAnsi="Times New Roman" w:cs="Times New Roman"/>
          <w:i/>
          <w:sz w:val="24"/>
          <w:szCs w:val="24"/>
        </w:rPr>
        <w:t>Stk. 3. </w:t>
      </w:r>
      <w:r w:rsidRPr="00415E55">
        <w:rPr>
          <w:rFonts w:ascii="Times New Roman" w:hAnsi="Times New Roman" w:cs="Times New Roman"/>
          <w:sz w:val="24"/>
          <w:szCs w:val="24"/>
        </w:rPr>
        <w:t xml:space="preserve">Har Finanstilsynet ophævet stemmeretten i medfør af stk. 2, kan kapitalandelen ikke indgå i opgørelsen af den på en generalforsamling repræsenterede stemmeberettigede kapital. </w:t>
      </w:r>
    </w:p>
    <w:p w14:paraId="14295F19"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eastAsia="Times New Roman" w:hAnsi="Times New Roman" w:cs="Times New Roman"/>
          <w:i/>
          <w:sz w:val="24"/>
          <w:szCs w:val="24"/>
          <w:lang w:eastAsia="da-DK"/>
        </w:rPr>
        <w:t xml:space="preserve">Stk. 4. </w:t>
      </w:r>
      <w:r w:rsidRPr="00415E55">
        <w:rPr>
          <w:rFonts w:ascii="Times New Roman" w:hAnsi="Times New Roman" w:cs="Times New Roman"/>
          <w:sz w:val="24"/>
          <w:szCs w:val="24"/>
        </w:rPr>
        <w:t>Varigheden af påbud meddelt efter stk. 1 skal fremgå af påbuddet.</w:t>
      </w:r>
    </w:p>
    <w:p w14:paraId="12320452" w14:textId="77777777" w:rsidR="00415E55" w:rsidRPr="00415E55" w:rsidRDefault="00415E55" w:rsidP="0059682A">
      <w:pPr>
        <w:pStyle w:val="Listeafsnit"/>
        <w:spacing w:line="360" w:lineRule="auto"/>
        <w:ind w:left="643"/>
        <w:rPr>
          <w:rFonts w:ascii="Times New Roman" w:hAnsi="Times New Roman" w:cs="Times New Roman"/>
          <w:sz w:val="24"/>
          <w:szCs w:val="24"/>
        </w:rPr>
      </w:pPr>
      <w:r w:rsidRPr="00415E55">
        <w:rPr>
          <w:rFonts w:ascii="Times New Roman" w:eastAsia="Times New Roman" w:hAnsi="Times New Roman" w:cs="Times New Roman"/>
          <w:i/>
          <w:sz w:val="24"/>
          <w:szCs w:val="24"/>
          <w:lang w:eastAsia="da-DK"/>
        </w:rPr>
        <w:t xml:space="preserve">Stk. 5. </w:t>
      </w:r>
      <w:r w:rsidRPr="00415E55">
        <w:rPr>
          <w:rFonts w:ascii="Times New Roman" w:eastAsia="Times New Roman" w:hAnsi="Times New Roman" w:cs="Times New Roman"/>
          <w:sz w:val="24"/>
          <w:szCs w:val="24"/>
          <w:lang w:eastAsia="da-DK"/>
        </w:rPr>
        <w:t xml:space="preserve">Påbud meddelt efter stk. 1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den pågældende direktør eller det pågældende bestyrelsesmedlem under sagens behandling kan opretholde sit hverv eller sin stilling. Finanstilsynet indbringer sagen for domstolene inden 4 uger efter modtagelse af anmodning herom. Sagen anlægges i den borgerlige retsplejes former. </w:t>
      </w:r>
    </w:p>
    <w:p w14:paraId="3E86B7A4" w14:textId="0444120C" w:rsidR="00777DD1" w:rsidRPr="00777DD1" w:rsidRDefault="00415E55" w:rsidP="00777DD1">
      <w:pPr>
        <w:pStyle w:val="Listeafsnit"/>
        <w:spacing w:line="360" w:lineRule="auto"/>
        <w:ind w:left="643"/>
        <w:rPr>
          <w:rFonts w:ascii="Times New Roman" w:eastAsia="Times New Roman" w:hAnsi="Times New Roman" w:cs="Times New Roman"/>
          <w:sz w:val="24"/>
          <w:szCs w:val="24"/>
          <w:lang w:eastAsia="da-DK"/>
        </w:rPr>
      </w:pPr>
      <w:r w:rsidRPr="00415E55">
        <w:rPr>
          <w:rFonts w:ascii="Times New Roman" w:eastAsia="Times New Roman" w:hAnsi="Times New Roman" w:cs="Times New Roman"/>
          <w:i/>
          <w:sz w:val="24"/>
          <w:szCs w:val="24"/>
          <w:lang w:eastAsia="da-DK"/>
        </w:rPr>
        <w:t>Stk. 6</w:t>
      </w:r>
      <w:r w:rsidRPr="00415E55">
        <w:rPr>
          <w:rFonts w:ascii="Times New Roman" w:eastAsia="Times New Roman" w:hAnsi="Times New Roman" w:cs="Times New Roman"/>
          <w:sz w:val="24"/>
          <w:szCs w:val="24"/>
          <w:lang w:eastAsia="da-DK"/>
        </w:rPr>
        <w:t>. Finanstilsynet kan af egen drift eller efter ansøgning tilbagekalde et påbud meddelt efter stk. 1.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1F26C6FE" w14:textId="0CD836E1" w:rsidR="00777DD1" w:rsidRPr="002F7F9C" w:rsidRDefault="00777DD1" w:rsidP="002F7F9C"/>
    <w:p w14:paraId="6365EE7E" w14:textId="77777777" w:rsidR="002F7F9C" w:rsidRPr="003D5D3B" w:rsidRDefault="002F7F9C">
      <w:pPr>
        <w:pStyle w:val="Listeafsnit"/>
        <w:numPr>
          <w:ilvl w:val="0"/>
          <w:numId w:val="58"/>
        </w:numPr>
        <w:spacing w:before="120" w:after="240" w:line="360" w:lineRule="auto"/>
        <w:jc w:val="left"/>
        <w:rPr>
          <w:rFonts w:ascii="Times New Roman" w:hAnsi="Times New Roman" w:cs="Times New Roman"/>
          <w:sz w:val="24"/>
          <w:szCs w:val="24"/>
        </w:rPr>
      </w:pPr>
      <w:r w:rsidRPr="003D5D3B">
        <w:rPr>
          <w:rFonts w:ascii="Times New Roman" w:hAnsi="Times New Roman" w:cs="Times New Roman"/>
          <w:sz w:val="24"/>
          <w:szCs w:val="24"/>
        </w:rPr>
        <w:t>I</w:t>
      </w:r>
      <w:r w:rsidRPr="003D5D3B">
        <w:rPr>
          <w:rFonts w:ascii="Times New Roman" w:hAnsi="Times New Roman" w:cs="Times New Roman"/>
          <w:i/>
          <w:iCs/>
          <w:sz w:val="24"/>
          <w:szCs w:val="24"/>
        </w:rPr>
        <w:t xml:space="preserve"> § 18, stk. 1, nr. 6, </w:t>
      </w:r>
      <w:r w:rsidRPr="003D5D3B">
        <w:rPr>
          <w:rFonts w:ascii="Times New Roman" w:hAnsi="Times New Roman" w:cs="Times New Roman"/>
          <w:sz w:val="24"/>
          <w:szCs w:val="24"/>
        </w:rPr>
        <w:t>indsættes efter »hvidvaskloven«: », Europa-Parlamentets og Rådets forordning (EU) 2024/1624 af 31. maj 2024 om forebyggende foranstaltninger mod anvendelse af det finansielle system til hvidvask af penge eller finansiering af terrorisme,«.</w:t>
      </w:r>
    </w:p>
    <w:p w14:paraId="37737540" w14:textId="77777777" w:rsidR="002F7F9C" w:rsidRDefault="002F7F9C" w:rsidP="002F7F9C">
      <w:pPr>
        <w:pStyle w:val="Listeafsnit"/>
        <w:spacing w:line="360" w:lineRule="auto"/>
        <w:ind w:left="643"/>
        <w:rPr>
          <w:rFonts w:ascii="Times New Roman" w:hAnsi="Times New Roman" w:cs="Times New Roman"/>
          <w:sz w:val="24"/>
          <w:szCs w:val="24"/>
        </w:rPr>
      </w:pPr>
    </w:p>
    <w:p w14:paraId="54F64051" w14:textId="42750AA9" w:rsidR="00BD35A9" w:rsidRDefault="00BD35A9">
      <w:pPr>
        <w:pStyle w:val="Listeafsnit"/>
        <w:numPr>
          <w:ilvl w:val="0"/>
          <w:numId w:val="58"/>
        </w:numPr>
        <w:spacing w:line="360" w:lineRule="auto"/>
        <w:rPr>
          <w:rFonts w:ascii="Times New Roman" w:hAnsi="Times New Roman" w:cs="Times New Roman"/>
          <w:sz w:val="24"/>
          <w:szCs w:val="24"/>
        </w:rPr>
      </w:pPr>
      <w:r w:rsidRPr="00BD35A9">
        <w:rPr>
          <w:rFonts w:ascii="Times New Roman" w:hAnsi="Times New Roman" w:cs="Times New Roman"/>
          <w:sz w:val="24"/>
          <w:szCs w:val="24"/>
        </w:rPr>
        <w:t xml:space="preserve">I § </w:t>
      </w:r>
      <w:r w:rsidRPr="00BD35A9">
        <w:rPr>
          <w:rFonts w:ascii="Times New Roman" w:hAnsi="Times New Roman" w:cs="Times New Roman"/>
          <w:i/>
          <w:sz w:val="24"/>
          <w:szCs w:val="24"/>
        </w:rPr>
        <w:t xml:space="preserve">18 a, stk. 1, nr. 5, </w:t>
      </w:r>
      <w:r w:rsidRPr="00BD35A9">
        <w:rPr>
          <w:rFonts w:ascii="Times New Roman" w:hAnsi="Times New Roman" w:cs="Times New Roman"/>
          <w:sz w:val="24"/>
          <w:szCs w:val="24"/>
        </w:rPr>
        <w:t>ændres »§ 3 a, stk. 2,« til: »§ 3 a stk. 2-3«.</w:t>
      </w:r>
    </w:p>
    <w:p w14:paraId="45682E67" w14:textId="77777777" w:rsidR="004A33F3" w:rsidRDefault="004A33F3" w:rsidP="004A33F3">
      <w:pPr>
        <w:pStyle w:val="Listeafsnit"/>
        <w:spacing w:line="360" w:lineRule="auto"/>
        <w:ind w:left="643"/>
        <w:rPr>
          <w:rFonts w:ascii="Times New Roman" w:hAnsi="Times New Roman" w:cs="Times New Roman"/>
          <w:sz w:val="24"/>
          <w:szCs w:val="24"/>
        </w:rPr>
      </w:pPr>
    </w:p>
    <w:p w14:paraId="5B8C86B4" w14:textId="49CC09A1" w:rsidR="008C6B4E" w:rsidRPr="004A33F3" w:rsidRDefault="004A33F3">
      <w:pPr>
        <w:pStyle w:val="Listeafsnit"/>
        <w:numPr>
          <w:ilvl w:val="0"/>
          <w:numId w:val="58"/>
        </w:numPr>
        <w:spacing w:line="360" w:lineRule="auto"/>
        <w:rPr>
          <w:rFonts w:ascii="Times New Roman" w:hAnsi="Times New Roman" w:cs="Times New Roman"/>
          <w:sz w:val="24"/>
          <w:szCs w:val="24"/>
        </w:rPr>
      </w:pPr>
      <w:r w:rsidRPr="004A33F3">
        <w:rPr>
          <w:rFonts w:ascii="Times New Roman" w:hAnsi="Times New Roman" w:cs="Times New Roman"/>
          <w:sz w:val="24"/>
          <w:szCs w:val="24"/>
        </w:rPr>
        <w:t>I </w:t>
      </w:r>
      <w:r w:rsidRPr="004A33F3">
        <w:rPr>
          <w:rFonts w:ascii="Times New Roman" w:hAnsi="Times New Roman" w:cs="Times New Roman"/>
          <w:i/>
          <w:sz w:val="24"/>
          <w:szCs w:val="24"/>
        </w:rPr>
        <w:t>§ 24, stk. 2, nr. 5,</w:t>
      </w:r>
      <w:r w:rsidRPr="004A33F3">
        <w:rPr>
          <w:rFonts w:ascii="Times New Roman" w:hAnsi="Times New Roman" w:cs="Times New Roman"/>
          <w:sz w:val="24"/>
          <w:szCs w:val="24"/>
        </w:rPr>
        <w:t> ændres »§ 4« til: »§§ 4 og 4 a«.</w:t>
      </w:r>
    </w:p>
    <w:p w14:paraId="32160C17" w14:textId="77777777" w:rsidR="00050FA3" w:rsidRPr="00BD35A9" w:rsidRDefault="00050FA3" w:rsidP="00050FA3">
      <w:pPr>
        <w:pStyle w:val="Listeafsnit"/>
        <w:spacing w:line="360" w:lineRule="auto"/>
        <w:ind w:left="643"/>
        <w:rPr>
          <w:rFonts w:ascii="Times New Roman" w:hAnsi="Times New Roman" w:cs="Times New Roman"/>
          <w:sz w:val="24"/>
          <w:szCs w:val="24"/>
        </w:rPr>
      </w:pPr>
    </w:p>
    <w:p w14:paraId="4D1CB359" w14:textId="77777777" w:rsidR="003F2F18" w:rsidRDefault="003F2F18">
      <w:pPr>
        <w:pStyle w:val="Listeafsnit"/>
        <w:numPr>
          <w:ilvl w:val="0"/>
          <w:numId w:val="58"/>
        </w:numPr>
        <w:spacing w:line="360" w:lineRule="auto"/>
        <w:rPr>
          <w:rFonts w:ascii="Times New Roman" w:hAnsi="Times New Roman" w:cs="Times New Roman"/>
          <w:sz w:val="24"/>
          <w:szCs w:val="24"/>
        </w:rPr>
      </w:pPr>
      <w:r w:rsidRPr="003F2F18">
        <w:rPr>
          <w:rFonts w:ascii="Times New Roman" w:hAnsi="Times New Roman" w:cs="Times New Roman"/>
          <w:sz w:val="24"/>
          <w:szCs w:val="24"/>
        </w:rPr>
        <w:t>I </w:t>
      </w:r>
      <w:r w:rsidRPr="003F2F18">
        <w:rPr>
          <w:rFonts w:ascii="Times New Roman" w:hAnsi="Times New Roman" w:cs="Times New Roman"/>
          <w:i/>
          <w:sz w:val="24"/>
          <w:szCs w:val="24"/>
        </w:rPr>
        <w:t>§ 30, stk. 1,</w:t>
      </w:r>
      <w:r w:rsidRPr="003F2F18">
        <w:rPr>
          <w:rFonts w:ascii="Times New Roman" w:hAnsi="Times New Roman" w:cs="Times New Roman"/>
          <w:sz w:val="24"/>
          <w:szCs w:val="24"/>
        </w:rPr>
        <w:t> ændres »§ 3 a, stk. 1,«: til »§ 3 a, stk. 1og 6-7,« og der efter »§ 12, stk. 1,« indsættes: »§§ 17 a, stk. 1 og 17 b, stk. 1,«.</w:t>
      </w:r>
    </w:p>
    <w:p w14:paraId="66C1F38C" w14:textId="77777777" w:rsidR="003F2F18" w:rsidRPr="003F2F18" w:rsidRDefault="003F2F18" w:rsidP="003F2F18">
      <w:pPr>
        <w:pStyle w:val="Listeafsnit"/>
        <w:spacing w:line="360" w:lineRule="auto"/>
        <w:ind w:left="643"/>
        <w:rPr>
          <w:rFonts w:ascii="Times New Roman" w:hAnsi="Times New Roman" w:cs="Times New Roman"/>
          <w:sz w:val="24"/>
          <w:szCs w:val="24"/>
        </w:rPr>
      </w:pPr>
    </w:p>
    <w:p w14:paraId="68D60A7F" w14:textId="5B5654A7" w:rsidR="0042556A" w:rsidRPr="00C554D8" w:rsidRDefault="00C554D8">
      <w:pPr>
        <w:pStyle w:val="Listeafsnit"/>
        <w:numPr>
          <w:ilvl w:val="0"/>
          <w:numId w:val="58"/>
        </w:numPr>
        <w:spacing w:line="360" w:lineRule="auto"/>
        <w:rPr>
          <w:rFonts w:ascii="Times New Roman" w:hAnsi="Times New Roman" w:cs="Times New Roman"/>
          <w:sz w:val="24"/>
          <w:szCs w:val="24"/>
        </w:rPr>
      </w:pPr>
      <w:r w:rsidRPr="00C554D8">
        <w:rPr>
          <w:rFonts w:ascii="Times New Roman" w:hAnsi="Times New Roman" w:cs="Times New Roman"/>
          <w:sz w:val="24"/>
          <w:szCs w:val="24"/>
        </w:rPr>
        <w:t xml:space="preserve">I </w:t>
      </w:r>
      <w:r w:rsidRPr="00C554D8">
        <w:rPr>
          <w:rFonts w:ascii="Times New Roman" w:hAnsi="Times New Roman" w:cs="Times New Roman"/>
          <w:i/>
          <w:sz w:val="24"/>
          <w:szCs w:val="24"/>
        </w:rPr>
        <w:t xml:space="preserve">§ 30, stk. 4, </w:t>
      </w:r>
      <w:r w:rsidRPr="00C554D8">
        <w:rPr>
          <w:rFonts w:ascii="Times New Roman" w:hAnsi="Times New Roman" w:cs="Times New Roman"/>
          <w:sz w:val="24"/>
          <w:szCs w:val="24"/>
        </w:rPr>
        <w:t>indsættes efter »§ 17, stk. 6 og 7«: »§§ 17 a, stk. 1, og 17 b, stk. 1,«.</w:t>
      </w:r>
    </w:p>
    <w:p w14:paraId="784CA54B" w14:textId="77777777" w:rsidR="00AB6CC2" w:rsidRPr="00796736" w:rsidRDefault="00AB6CC2" w:rsidP="00A802A5">
      <w:pPr>
        <w:spacing w:line="360" w:lineRule="auto"/>
        <w:ind w:left="238"/>
        <w:rPr>
          <w:rFonts w:ascii="Times New Roman" w:eastAsia="Times New Roman" w:hAnsi="Times New Roman" w:cs="Times New Roman"/>
          <w:sz w:val="24"/>
          <w:szCs w:val="24"/>
          <w:lang w:eastAsia="da-DK"/>
        </w:rPr>
      </w:pPr>
    </w:p>
    <w:p w14:paraId="74A20433" w14:textId="737FBF42" w:rsidR="00A6033F" w:rsidRPr="00CE6C77" w:rsidRDefault="00073653" w:rsidP="00300348">
      <w:pPr>
        <w:pStyle w:val="Typografi1"/>
        <w:ind w:left="0" w:firstLine="238"/>
        <w:rPr>
          <w:rFonts w:ascii="Times New Roman" w:hAnsi="Times New Roman" w:cs="Times New Roman"/>
          <w:sz w:val="24"/>
          <w:szCs w:val="24"/>
        </w:rPr>
      </w:pPr>
      <w:bookmarkStart w:id="592" w:name="_Ref243053571"/>
      <w:bookmarkStart w:id="593" w:name="_Toc244879155"/>
      <w:bookmarkStart w:id="594" w:name="_Toc244880679"/>
      <w:r w:rsidRPr="009E1059">
        <w:rPr>
          <w:rFonts w:ascii="Times New Roman" w:eastAsia="Calibri" w:hAnsi="Times New Roman" w:cs="Times New Roman"/>
          <w:sz w:val="24"/>
          <w:szCs w:val="24"/>
        </w:rPr>
        <w:t>I lov om investeringsrådgivere og boligkreditformidlere, jf. lovbekendtgørelse nr. 1545 af 4. december 2025, som ændret ved § 12 i lov nr. 1638 af 16. december 2025 og § 10 i lov nr. 764 af 8. september 2026, foretages følgende ændringer:</w:t>
      </w:r>
      <w:bookmarkEnd w:id="592"/>
      <w:bookmarkEnd w:id="593"/>
      <w:bookmarkEnd w:id="594"/>
    </w:p>
    <w:p w14:paraId="0F2853E6" w14:textId="77777777" w:rsidR="00CE6C77" w:rsidRDefault="00CE6C77" w:rsidP="00CE6C77">
      <w:pPr>
        <w:pStyle w:val="Typografi1"/>
        <w:numPr>
          <w:ilvl w:val="0"/>
          <w:numId w:val="0"/>
        </w:numPr>
        <w:ind w:left="238"/>
        <w:rPr>
          <w:rFonts w:ascii="Times New Roman" w:hAnsi="Times New Roman" w:cs="Times New Roman"/>
          <w:sz w:val="24"/>
          <w:szCs w:val="24"/>
        </w:rPr>
      </w:pPr>
    </w:p>
    <w:p w14:paraId="036B49C0" w14:textId="77777777" w:rsidR="00B70E0C" w:rsidRPr="00CE6C77" w:rsidRDefault="00C93AC3">
      <w:pPr>
        <w:pStyle w:val="Listeafsnit"/>
        <w:numPr>
          <w:ilvl w:val="0"/>
          <w:numId w:val="116"/>
        </w:numPr>
        <w:spacing w:line="360" w:lineRule="auto"/>
        <w:ind w:left="0" w:firstLine="238"/>
        <w:outlineLvl w:val="0"/>
        <w:rPr>
          <w:rFonts w:ascii="Times New Roman" w:eastAsia="Calibri" w:hAnsi="Times New Roman" w:cs="Times New Roman"/>
          <w:sz w:val="24"/>
          <w:szCs w:val="24"/>
        </w:rPr>
      </w:pPr>
      <w:bookmarkStart w:id="595" w:name="_Toc244879156"/>
      <w:bookmarkStart w:id="596" w:name="_Toc244880680"/>
      <w:r w:rsidRPr="009E1059">
        <w:rPr>
          <w:rFonts w:ascii="Times New Roman" w:eastAsia="Times New Roman" w:hAnsi="Times New Roman" w:cs="Times New Roman"/>
          <w:sz w:val="24"/>
          <w:szCs w:val="24"/>
          <w:lang w:eastAsia="da-DK"/>
        </w:rPr>
        <w:t>I </w:t>
      </w:r>
      <w:r w:rsidRPr="009E1059">
        <w:rPr>
          <w:rFonts w:ascii="Times New Roman" w:eastAsia="Times New Roman" w:hAnsi="Times New Roman" w:cs="Times New Roman"/>
          <w:i/>
          <w:iCs/>
          <w:sz w:val="24"/>
          <w:szCs w:val="24"/>
          <w:lang w:eastAsia="da-DK"/>
        </w:rPr>
        <w:t>fodnoten </w:t>
      </w:r>
      <w:r w:rsidRPr="009E1059">
        <w:rPr>
          <w:rFonts w:ascii="Times New Roman" w:eastAsia="Times New Roman" w:hAnsi="Times New Roman" w:cs="Times New Roman"/>
          <w:sz w:val="24"/>
          <w:szCs w:val="24"/>
          <w:lang w:eastAsia="da-DK"/>
        </w:rPr>
        <w:t>til lovens titel ændres »Europa-Parlamentets og Rådets direktiv 2014/65/EU af 15. maj 2014 om markeder for finansielle instrumenter, EU-Tidende 2014, nr. L 173, side 349« til: »Europa-Parlamentets og Rådets direktiv 2014/65/EU af 15. maj 2014 om markeder for finansielle instrumenter, EU-Tidende 2014, nr. L 173, side 349 og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bookmarkEnd w:id="595"/>
      <w:bookmarkEnd w:id="596"/>
    </w:p>
    <w:p w14:paraId="4A4CDB19" w14:textId="77777777" w:rsidR="00CE6C77" w:rsidRPr="00B70E0C" w:rsidRDefault="00CE6C77" w:rsidP="00CE6C77"/>
    <w:p w14:paraId="04E3811F" w14:textId="77777777" w:rsidR="00B70E0C" w:rsidRPr="00B70E0C" w:rsidRDefault="00DA6666">
      <w:pPr>
        <w:pStyle w:val="Listeafsnit"/>
        <w:numPr>
          <w:ilvl w:val="0"/>
          <w:numId w:val="116"/>
        </w:numPr>
        <w:spacing w:line="360" w:lineRule="auto"/>
        <w:ind w:left="0" w:firstLine="238"/>
        <w:outlineLvl w:val="0"/>
        <w:rPr>
          <w:rFonts w:ascii="Times New Roman" w:eastAsia="Calibri" w:hAnsi="Times New Roman" w:cs="Times New Roman"/>
          <w:sz w:val="24"/>
          <w:szCs w:val="24"/>
        </w:rPr>
      </w:pPr>
      <w:bookmarkStart w:id="597" w:name="_Toc244879157"/>
      <w:bookmarkStart w:id="598" w:name="_Toc244880681"/>
      <w:r w:rsidRPr="00B70E0C">
        <w:rPr>
          <w:rFonts w:ascii="Times New Roman" w:hAnsi="Times New Roman" w:cs="Times New Roman"/>
          <w:sz w:val="24"/>
          <w:szCs w:val="24"/>
        </w:rPr>
        <w:t xml:space="preserve">I </w:t>
      </w:r>
      <w:r w:rsidRPr="00B70E0C">
        <w:rPr>
          <w:rFonts w:ascii="Times New Roman" w:hAnsi="Times New Roman" w:cs="Times New Roman"/>
          <w:i/>
          <w:iCs/>
          <w:sz w:val="24"/>
          <w:szCs w:val="24"/>
        </w:rPr>
        <w:t>§ 2</w:t>
      </w:r>
      <w:r w:rsidRPr="00B70E0C">
        <w:rPr>
          <w:rFonts w:ascii="Times New Roman" w:hAnsi="Times New Roman" w:cs="Times New Roman"/>
          <w:sz w:val="24"/>
          <w:szCs w:val="24"/>
        </w:rPr>
        <w:t xml:space="preserve"> indsættes efter nr. 1 som nyt nr.:</w:t>
      </w:r>
      <w:bookmarkEnd w:id="597"/>
      <w:bookmarkEnd w:id="598"/>
    </w:p>
    <w:p w14:paraId="333BEF66" w14:textId="77777777" w:rsidR="00B70E0C" w:rsidRDefault="00DA6666" w:rsidP="00CE6C77">
      <w:pPr>
        <w:pStyle w:val="Listeafsnit"/>
        <w:spacing w:line="360" w:lineRule="auto"/>
        <w:ind w:left="0" w:firstLine="238"/>
        <w:outlineLvl w:val="0"/>
        <w:rPr>
          <w:rFonts w:ascii="Times New Roman" w:hAnsi="Times New Roman" w:cs="Times New Roman"/>
          <w:sz w:val="24"/>
          <w:szCs w:val="24"/>
        </w:rPr>
      </w:pPr>
      <w:bookmarkStart w:id="599" w:name="_Toc244879158"/>
      <w:bookmarkStart w:id="600" w:name="_Toc244880682"/>
      <w:r w:rsidRPr="00B70E0C">
        <w:rPr>
          <w:rFonts w:ascii="Times New Roman" w:hAnsi="Times New Roman" w:cs="Times New Roman"/>
          <w:sz w:val="24"/>
          <w:szCs w:val="24"/>
        </w:rPr>
        <w:t>»2) Boligkreditformidler omfattet af forordning (EU) 2024/1624: En virksomhed omfattet af artikel 3, nr. 3, litra k, og artikel 2, stk. 1, nr. 6, litra h, i forordning 2024/1624. «</w:t>
      </w:r>
      <w:bookmarkEnd w:id="599"/>
      <w:bookmarkEnd w:id="600"/>
    </w:p>
    <w:p w14:paraId="01A86106" w14:textId="164A1608" w:rsidR="00DA6666" w:rsidRDefault="00DA6666" w:rsidP="00CE6C77">
      <w:pPr>
        <w:pStyle w:val="Listeafsnit"/>
        <w:spacing w:line="360" w:lineRule="auto"/>
        <w:ind w:left="0" w:firstLine="238"/>
        <w:outlineLvl w:val="0"/>
        <w:rPr>
          <w:rFonts w:ascii="Times New Roman" w:hAnsi="Times New Roman" w:cs="Times New Roman"/>
          <w:sz w:val="24"/>
          <w:szCs w:val="24"/>
        </w:rPr>
      </w:pPr>
      <w:bookmarkStart w:id="601" w:name="_Toc244879159"/>
      <w:bookmarkStart w:id="602" w:name="_Toc244880683"/>
      <w:r w:rsidRPr="00B70E0C">
        <w:rPr>
          <w:rFonts w:ascii="Times New Roman" w:hAnsi="Times New Roman" w:cs="Times New Roman"/>
          <w:sz w:val="24"/>
          <w:szCs w:val="24"/>
        </w:rPr>
        <w:t>Nr. 2-7 bliver herefter nr. 3-8.</w:t>
      </w:r>
      <w:bookmarkEnd w:id="601"/>
      <w:bookmarkEnd w:id="602"/>
    </w:p>
    <w:p w14:paraId="10028C10" w14:textId="77777777" w:rsidR="00CE6C77" w:rsidRPr="00B70E0C" w:rsidRDefault="00CE6C77" w:rsidP="00CE6C77"/>
    <w:p w14:paraId="6E4CCB8A" w14:textId="77777777" w:rsidR="007A236C" w:rsidRDefault="007A236C">
      <w:pPr>
        <w:pStyle w:val="Listeafsnit"/>
        <w:numPr>
          <w:ilvl w:val="0"/>
          <w:numId w:val="116"/>
        </w:numPr>
        <w:spacing w:line="360" w:lineRule="auto"/>
        <w:ind w:left="0" w:firstLine="238"/>
        <w:jc w:val="left"/>
        <w:outlineLvl w:val="0"/>
        <w:rPr>
          <w:rFonts w:ascii="Times New Roman" w:hAnsi="Times New Roman" w:cs="Times New Roman"/>
          <w:sz w:val="24"/>
          <w:szCs w:val="24"/>
        </w:rPr>
      </w:pPr>
      <w:bookmarkStart w:id="603" w:name="_Toc244879160"/>
      <w:bookmarkStart w:id="604" w:name="_Toc244880684"/>
      <w:r w:rsidRPr="009E1059">
        <w:rPr>
          <w:rFonts w:ascii="Times New Roman" w:hAnsi="Times New Roman" w:cs="Times New Roman"/>
          <w:sz w:val="24"/>
          <w:szCs w:val="24"/>
        </w:rPr>
        <w:t>I </w:t>
      </w:r>
      <w:r w:rsidRPr="009E1059">
        <w:rPr>
          <w:rFonts w:ascii="Times New Roman" w:hAnsi="Times New Roman" w:cs="Times New Roman"/>
          <w:i/>
          <w:iCs/>
          <w:sz w:val="24"/>
          <w:szCs w:val="24"/>
        </w:rPr>
        <w:t xml:space="preserve">§ 3, stk. 3, </w:t>
      </w:r>
      <w:r w:rsidRPr="009E1059">
        <w:rPr>
          <w:rFonts w:ascii="Times New Roman" w:hAnsi="Times New Roman" w:cs="Times New Roman"/>
          <w:sz w:val="24"/>
          <w:szCs w:val="24"/>
        </w:rPr>
        <w:t>indsættes som</w:t>
      </w:r>
      <w:r w:rsidRPr="009E1059">
        <w:rPr>
          <w:rFonts w:ascii="Times New Roman" w:hAnsi="Times New Roman" w:cs="Times New Roman"/>
          <w:i/>
          <w:iCs/>
          <w:sz w:val="24"/>
          <w:szCs w:val="24"/>
        </w:rPr>
        <w:t xml:space="preserve"> nr. 6</w:t>
      </w:r>
      <w:r w:rsidRPr="009E1059">
        <w:rPr>
          <w:rFonts w:ascii="Times New Roman" w:hAnsi="Times New Roman" w:cs="Times New Roman"/>
          <w:sz w:val="24"/>
          <w:szCs w:val="24"/>
        </w:rPr>
        <w:t>:</w:t>
      </w:r>
      <w:bookmarkEnd w:id="603"/>
      <w:bookmarkEnd w:id="604"/>
    </w:p>
    <w:p w14:paraId="13295B21" w14:textId="77777777" w:rsidR="007A236C" w:rsidRPr="00291C32" w:rsidRDefault="007A236C" w:rsidP="00CE6C77">
      <w:pPr>
        <w:pStyle w:val="Listeafsnit"/>
        <w:spacing w:line="360" w:lineRule="auto"/>
        <w:ind w:left="0" w:firstLine="238"/>
        <w:jc w:val="left"/>
        <w:outlineLvl w:val="0"/>
        <w:rPr>
          <w:rFonts w:ascii="Times New Roman" w:hAnsi="Times New Roman" w:cs="Times New Roman"/>
          <w:sz w:val="24"/>
          <w:szCs w:val="24"/>
        </w:rPr>
      </w:pPr>
      <w:bookmarkStart w:id="605" w:name="_Toc244879161"/>
      <w:bookmarkStart w:id="606" w:name="_Toc244880685"/>
      <w:r w:rsidRPr="00AF4A37">
        <w:rPr>
          <w:rFonts w:ascii="Times New Roman" w:hAnsi="Times New Roman" w:cs="Times New Roman"/>
          <w:sz w:val="24"/>
          <w:szCs w:val="24"/>
        </w:rPr>
        <w:t>»6) En reel ejer eller en medarbejder eller ansat i en boligkreditformidler, som nævnt i § 2, nr. 2, med tilstrækkeligt kendskab til den forpligtede enheds risikoeksponering for hvidvask af penge og finansiering af terrorisme og med tilstrækkelig anciennitet til at træffe beslutninger med indvirkning på dets risikoeksponering, opfylder kravene i § 4, stk. 1, nr. 3.«</w:t>
      </w:r>
      <w:bookmarkEnd w:id="605"/>
      <w:bookmarkEnd w:id="606"/>
    </w:p>
    <w:p w14:paraId="2B81102A" w14:textId="77777777" w:rsidR="00291C32" w:rsidRDefault="00291C32" w:rsidP="007A236C">
      <w:pPr>
        <w:pStyle w:val="Listeafsnit"/>
        <w:spacing w:line="360" w:lineRule="auto"/>
        <w:ind w:left="340"/>
        <w:jc w:val="left"/>
        <w:outlineLvl w:val="0"/>
        <w:rPr>
          <w:rFonts w:ascii="Times New Roman" w:hAnsi="Times New Roman" w:cs="Times New Roman"/>
          <w:sz w:val="24"/>
          <w:szCs w:val="24"/>
        </w:rPr>
      </w:pPr>
    </w:p>
    <w:p w14:paraId="7A70A9B7" w14:textId="77777777" w:rsidR="007A236C" w:rsidRDefault="00B37D52">
      <w:pPr>
        <w:pStyle w:val="Listeafsnit"/>
        <w:numPr>
          <w:ilvl w:val="0"/>
          <w:numId w:val="116"/>
        </w:numPr>
        <w:spacing w:line="360" w:lineRule="auto"/>
        <w:ind w:left="0" w:firstLine="238"/>
        <w:jc w:val="left"/>
        <w:outlineLvl w:val="0"/>
        <w:rPr>
          <w:rFonts w:ascii="Times New Roman" w:hAnsi="Times New Roman" w:cs="Times New Roman"/>
          <w:sz w:val="24"/>
          <w:szCs w:val="24"/>
        </w:rPr>
      </w:pPr>
      <w:bookmarkStart w:id="607" w:name="_Toc244879162"/>
      <w:bookmarkStart w:id="608" w:name="_Toc244880686"/>
      <w:r w:rsidRPr="00291C32">
        <w:rPr>
          <w:rFonts w:ascii="Times New Roman" w:hAnsi="Times New Roman" w:cs="Times New Roman"/>
          <w:sz w:val="24"/>
          <w:szCs w:val="24"/>
        </w:rPr>
        <w:t>I </w:t>
      </w:r>
      <w:r w:rsidRPr="00291C32">
        <w:rPr>
          <w:rFonts w:ascii="Times New Roman" w:hAnsi="Times New Roman" w:cs="Times New Roman"/>
          <w:i/>
          <w:iCs/>
          <w:sz w:val="24"/>
          <w:szCs w:val="24"/>
        </w:rPr>
        <w:t>§ 4 </w:t>
      </w:r>
      <w:r w:rsidRPr="00291C32">
        <w:rPr>
          <w:rFonts w:ascii="Times New Roman" w:hAnsi="Times New Roman" w:cs="Times New Roman"/>
          <w:sz w:val="24"/>
          <w:szCs w:val="24"/>
        </w:rPr>
        <w:t>indsættes som </w:t>
      </w:r>
      <w:r w:rsidRPr="00291C32">
        <w:rPr>
          <w:rFonts w:ascii="Times New Roman" w:hAnsi="Times New Roman" w:cs="Times New Roman"/>
          <w:i/>
          <w:iCs/>
          <w:sz w:val="24"/>
          <w:szCs w:val="24"/>
        </w:rPr>
        <w:t>stk. 7-9:</w:t>
      </w:r>
      <w:bookmarkEnd w:id="607"/>
      <w:bookmarkEnd w:id="608"/>
      <w:r w:rsidRPr="00291C32">
        <w:rPr>
          <w:rFonts w:ascii="Times New Roman" w:hAnsi="Times New Roman" w:cs="Times New Roman"/>
          <w:sz w:val="24"/>
          <w:szCs w:val="24"/>
        </w:rPr>
        <w:t xml:space="preserve"> </w:t>
      </w:r>
    </w:p>
    <w:p w14:paraId="439AA359" w14:textId="77777777" w:rsidR="007A236C" w:rsidRDefault="00B37D52" w:rsidP="00CE6C77">
      <w:pPr>
        <w:pStyle w:val="Listeafsnit"/>
        <w:spacing w:line="360" w:lineRule="auto"/>
        <w:ind w:left="0" w:firstLine="238"/>
        <w:jc w:val="left"/>
        <w:outlineLvl w:val="0"/>
        <w:rPr>
          <w:rFonts w:ascii="Times New Roman" w:hAnsi="Times New Roman" w:cs="Times New Roman"/>
          <w:sz w:val="24"/>
          <w:szCs w:val="24"/>
        </w:rPr>
      </w:pPr>
      <w:bookmarkStart w:id="609" w:name="_Toc244879163"/>
      <w:bookmarkStart w:id="610" w:name="_Toc244880687"/>
      <w:r w:rsidRPr="007A236C">
        <w:rPr>
          <w:rFonts w:ascii="Times New Roman" w:hAnsi="Times New Roman" w:cs="Times New Roman"/>
          <w:i/>
          <w:iCs/>
          <w:sz w:val="24"/>
          <w:szCs w:val="24"/>
        </w:rPr>
        <w:t>»Stk. 7.</w:t>
      </w:r>
      <w:r w:rsidRPr="007A236C">
        <w:rPr>
          <w:rFonts w:ascii="Times New Roman" w:hAnsi="Times New Roman" w:cs="Times New Roman"/>
          <w:sz w:val="24"/>
          <w:szCs w:val="24"/>
        </w:rPr>
        <w:t xml:space="preserve"> § 4, stk. 1, nr. 3, og stk. 2, 3 og 5, finder tilsvarende anvendelse på medarbejdere og ansatte i en boligkreditformidler som nævnt i § 2, nr. 2, med tilstrækkeligt kendskab til den forpligtede enheds risikoeksponering for hvidvask af penge og finansiering af terrorisme og med tilstrækkelig anciennitet til at træffe beslutninger med indvirkning på dets risikoeksponering.</w:t>
      </w:r>
      <w:bookmarkEnd w:id="609"/>
      <w:bookmarkEnd w:id="610"/>
    </w:p>
    <w:p w14:paraId="2618397D" w14:textId="77777777" w:rsidR="007A236C" w:rsidRDefault="007A236C" w:rsidP="00CE6C77">
      <w:pPr>
        <w:pStyle w:val="Listeafsnit"/>
        <w:spacing w:line="360" w:lineRule="auto"/>
        <w:ind w:left="0" w:firstLine="238"/>
        <w:jc w:val="left"/>
        <w:outlineLvl w:val="0"/>
        <w:rPr>
          <w:rFonts w:ascii="Times New Roman" w:hAnsi="Times New Roman" w:cs="Times New Roman"/>
          <w:i/>
          <w:iCs/>
          <w:sz w:val="24"/>
          <w:szCs w:val="24"/>
        </w:rPr>
      </w:pPr>
    </w:p>
    <w:p w14:paraId="3350C77A" w14:textId="77777777" w:rsidR="007A236C" w:rsidRDefault="00B37D52" w:rsidP="00CE6C77">
      <w:pPr>
        <w:pStyle w:val="Listeafsnit"/>
        <w:spacing w:line="360" w:lineRule="auto"/>
        <w:ind w:left="0" w:firstLine="238"/>
        <w:jc w:val="left"/>
        <w:outlineLvl w:val="0"/>
        <w:rPr>
          <w:rFonts w:ascii="Times New Roman" w:hAnsi="Times New Roman" w:cs="Times New Roman"/>
          <w:sz w:val="24"/>
          <w:szCs w:val="24"/>
        </w:rPr>
      </w:pPr>
      <w:bookmarkStart w:id="611" w:name="_Toc244879164"/>
      <w:bookmarkStart w:id="612" w:name="_Toc244880688"/>
      <w:r w:rsidRPr="007A236C">
        <w:rPr>
          <w:rFonts w:ascii="Times New Roman" w:hAnsi="Times New Roman" w:cs="Times New Roman"/>
          <w:i/>
          <w:iCs/>
          <w:sz w:val="24"/>
          <w:szCs w:val="24"/>
        </w:rPr>
        <w:t xml:space="preserve">Stk. 8. </w:t>
      </w:r>
      <w:r w:rsidRPr="007A236C">
        <w:rPr>
          <w:rFonts w:ascii="Times New Roman" w:hAnsi="Times New Roman" w:cs="Times New Roman"/>
          <w:sz w:val="24"/>
          <w:szCs w:val="24"/>
        </w:rPr>
        <w:t>En reel ejer af en boligkreditformidler, som nævnt i § 2, nr. 2, må ikke være pålagt strafansvar for overtrædelse af straffeloven, den finansielle lovgivning eller anden relevant lovgivning, hvis overtrædelsen begrunder en risiko for, at den reelle ejer misbruger sin kontrollerende indflydelse. Når en person indtræder som reel ejer af en boligkreditformidler, påser Finanstilsynet, at personen opfylder hæderlighedskravene i 1. pkt. og træffer afgørelse herom. Vurderer Finanstilsynet, at personen ikke opfylder hæderlighedskravet, skal afgørelsens varighed fremgå af afgørelsen. Personen skal i forbindelse med sin indtræden som reel ejer i en boligkreditformidler informere Finanstilsynet om forhold som nævnt i 1 pkt. samt, hvis disse forhold efterfølgende ændrer sig.</w:t>
      </w:r>
      <w:bookmarkEnd w:id="611"/>
      <w:bookmarkEnd w:id="612"/>
      <w:r w:rsidRPr="007A236C">
        <w:rPr>
          <w:rFonts w:ascii="Times New Roman" w:hAnsi="Times New Roman" w:cs="Times New Roman"/>
          <w:sz w:val="24"/>
          <w:szCs w:val="24"/>
        </w:rPr>
        <w:t> </w:t>
      </w:r>
    </w:p>
    <w:p w14:paraId="1ED31A95" w14:textId="77777777" w:rsidR="007A236C" w:rsidRDefault="007A236C" w:rsidP="00CE6C77">
      <w:pPr>
        <w:pStyle w:val="Listeafsnit"/>
        <w:spacing w:line="360" w:lineRule="auto"/>
        <w:ind w:left="0" w:firstLine="238"/>
        <w:jc w:val="left"/>
        <w:outlineLvl w:val="0"/>
        <w:rPr>
          <w:rFonts w:ascii="Times New Roman" w:hAnsi="Times New Roman" w:cs="Times New Roman"/>
          <w:i/>
          <w:iCs/>
          <w:sz w:val="24"/>
          <w:szCs w:val="24"/>
        </w:rPr>
      </w:pPr>
    </w:p>
    <w:p w14:paraId="3FFC647E" w14:textId="77777777" w:rsidR="007A236C" w:rsidRDefault="00B37D52" w:rsidP="00CE6C77">
      <w:pPr>
        <w:pStyle w:val="Listeafsnit"/>
        <w:spacing w:line="360" w:lineRule="auto"/>
        <w:ind w:left="0" w:firstLine="238"/>
        <w:jc w:val="left"/>
        <w:outlineLvl w:val="0"/>
        <w:rPr>
          <w:rFonts w:ascii="Times New Roman" w:hAnsi="Times New Roman" w:cs="Times New Roman"/>
          <w:sz w:val="24"/>
          <w:szCs w:val="24"/>
        </w:rPr>
      </w:pPr>
      <w:bookmarkStart w:id="613" w:name="_Toc244879165"/>
      <w:bookmarkStart w:id="614" w:name="_Toc244880689"/>
      <w:r w:rsidRPr="007A236C">
        <w:rPr>
          <w:rFonts w:ascii="Times New Roman" w:hAnsi="Times New Roman" w:cs="Times New Roman"/>
          <w:i/>
          <w:iCs/>
          <w:sz w:val="24"/>
          <w:szCs w:val="24"/>
        </w:rPr>
        <w:t>Stk. 9</w:t>
      </w:r>
      <w:r w:rsidRPr="007A236C">
        <w:rPr>
          <w:rFonts w:ascii="Times New Roman" w:hAnsi="Times New Roman" w:cs="Times New Roman"/>
          <w:sz w:val="24"/>
          <w:szCs w:val="24"/>
        </w:rPr>
        <w:t>. Den i stk. 1, 7 og 8, nævnte personkreds, der har handlet i fællesskab med en person, der er pålagt strafansvar for overtrædelse af straffeloven, den finansielle lovgivning eller anden relevant lovgivning, om de pågældende lovovertrædelser, kan ikke gives tilladelse til at udøve erhverv, varetage en funktion i ledelsen eller være reel ejer i boligkreditformidler, som nævnt i § 2, nr. 2, der skal have tilladelse efter § 3, stk. 1.«</w:t>
      </w:r>
      <w:bookmarkEnd w:id="613"/>
      <w:bookmarkEnd w:id="614"/>
    </w:p>
    <w:p w14:paraId="6E6C29C3" w14:textId="77777777" w:rsidR="007A236C" w:rsidRDefault="007A236C" w:rsidP="00CE6C77">
      <w:pPr>
        <w:pStyle w:val="Listeafsnit"/>
        <w:spacing w:line="360" w:lineRule="auto"/>
        <w:ind w:left="0" w:firstLine="238"/>
        <w:jc w:val="left"/>
        <w:outlineLvl w:val="0"/>
        <w:rPr>
          <w:rFonts w:ascii="Times New Roman" w:hAnsi="Times New Roman" w:cs="Times New Roman"/>
          <w:sz w:val="24"/>
          <w:szCs w:val="24"/>
        </w:rPr>
      </w:pPr>
    </w:p>
    <w:p w14:paraId="16EF5933" w14:textId="77777777" w:rsidR="007A236C" w:rsidRDefault="00B37D52" w:rsidP="00CE6C77">
      <w:pPr>
        <w:pStyle w:val="Listeafsnit"/>
        <w:spacing w:line="360" w:lineRule="auto"/>
        <w:ind w:left="0" w:firstLine="238"/>
        <w:jc w:val="left"/>
        <w:outlineLvl w:val="0"/>
        <w:rPr>
          <w:rFonts w:ascii="Times New Roman" w:hAnsi="Times New Roman" w:cs="Times New Roman"/>
          <w:sz w:val="24"/>
          <w:szCs w:val="24"/>
        </w:rPr>
      </w:pPr>
      <w:bookmarkStart w:id="615" w:name="_Toc244879166"/>
      <w:bookmarkStart w:id="616" w:name="_Toc244880690"/>
      <w:r w:rsidRPr="007A236C">
        <w:rPr>
          <w:rFonts w:ascii="Times New Roman" w:hAnsi="Times New Roman" w:cs="Times New Roman"/>
          <w:sz w:val="24"/>
          <w:szCs w:val="24"/>
        </w:rPr>
        <w:t>I § 5 indsættes efter stk. 1 som nyt stykke:</w:t>
      </w:r>
      <w:bookmarkEnd w:id="615"/>
      <w:bookmarkEnd w:id="616"/>
    </w:p>
    <w:p w14:paraId="78D8EAF4" w14:textId="77777777" w:rsidR="007A236C" w:rsidRDefault="00B37D52" w:rsidP="00CE6C77">
      <w:pPr>
        <w:pStyle w:val="Listeafsnit"/>
        <w:spacing w:line="360" w:lineRule="auto"/>
        <w:ind w:left="0" w:firstLine="238"/>
        <w:jc w:val="left"/>
        <w:outlineLvl w:val="0"/>
        <w:rPr>
          <w:rFonts w:ascii="Times New Roman" w:eastAsia="Calibri" w:hAnsi="Times New Roman" w:cs="Times New Roman"/>
          <w:iCs/>
          <w:sz w:val="24"/>
          <w:szCs w:val="24"/>
        </w:rPr>
      </w:pPr>
      <w:bookmarkStart w:id="617" w:name="_Toc244879167"/>
      <w:bookmarkStart w:id="618" w:name="_Toc244880691"/>
      <w:r w:rsidRPr="007A236C">
        <w:rPr>
          <w:rFonts w:ascii="Times New Roman" w:hAnsi="Times New Roman" w:cs="Times New Roman"/>
          <w:i/>
          <w:iCs/>
          <w:sz w:val="24"/>
          <w:szCs w:val="24"/>
        </w:rPr>
        <w:t>»Stk. 2</w:t>
      </w:r>
      <w:r w:rsidRPr="007A236C">
        <w:rPr>
          <w:rFonts w:ascii="Times New Roman" w:hAnsi="Times New Roman" w:cs="Times New Roman"/>
          <w:sz w:val="24"/>
          <w:szCs w:val="24"/>
        </w:rPr>
        <w:t xml:space="preserve">. Boligkreditformidlere, som nævnt i § 2, nr. 2, </w:t>
      </w:r>
      <w:r w:rsidRPr="007A236C">
        <w:rPr>
          <w:rFonts w:ascii="Times New Roman" w:eastAsia="Calibri" w:hAnsi="Times New Roman" w:cs="Times New Roman"/>
          <w:iCs/>
          <w:sz w:val="24"/>
          <w:szCs w:val="24"/>
        </w:rPr>
        <w:t xml:space="preserve">skal senest den 1. april hvert år til Finanstilsynet indsende en oversigt over virksomhedens ledelse og </w:t>
      </w:r>
      <w:r w:rsidRPr="007A236C">
        <w:rPr>
          <w:rFonts w:ascii="Times New Roman" w:hAnsi="Times New Roman" w:cs="Times New Roman"/>
          <w:sz w:val="24"/>
          <w:szCs w:val="24"/>
        </w:rPr>
        <w:t>medarbejdere eller ansatte i en boligkreditformidler med tilstrækkeligt kendskab til den forpligtede enheds risikoeksponering for hvidvask af penge og finansiering af terrorisme og med tilstrækkelig anciennitet til at træffe beslutninger med indvirkning på dets risikoeksponering, samt</w:t>
      </w:r>
      <w:r w:rsidRPr="007A236C">
        <w:rPr>
          <w:rFonts w:ascii="Times New Roman" w:eastAsia="Calibri" w:hAnsi="Times New Roman" w:cs="Times New Roman"/>
          <w:iCs/>
          <w:sz w:val="24"/>
          <w:szCs w:val="24"/>
        </w:rPr>
        <w:t xml:space="preserve"> reelle ejere. Boligkreditformidlere, </w:t>
      </w:r>
      <w:r w:rsidRPr="007A236C">
        <w:rPr>
          <w:rFonts w:ascii="Times New Roman" w:hAnsi="Times New Roman" w:cs="Times New Roman"/>
          <w:sz w:val="24"/>
          <w:szCs w:val="24"/>
        </w:rPr>
        <w:t>som nævnt i § 2, nr. 2,</w:t>
      </w:r>
      <w:r w:rsidRPr="007A236C">
        <w:rPr>
          <w:rFonts w:ascii="Times New Roman" w:eastAsia="Calibri" w:hAnsi="Times New Roman" w:cs="Times New Roman"/>
          <w:iCs/>
          <w:sz w:val="24"/>
          <w:szCs w:val="24"/>
        </w:rPr>
        <w:t xml:space="preserve"> skal tillige indsende en erklæring om, at den i 1. pkt. nævnte personkreds ikke er pålagt strafansvar for overtrædelse af straffeloven, den finansielle lovgivning eller anden relevant lovgivning. Erklæringen skal være underskrevet af virksomhedens bestyrelse og direktion. Drives virksomheden som juridisk person uden bestyrelse og direktion, skal erklæringen underskrives af den eller de ledelsesansvarlige for virksomheden.«</w:t>
      </w:r>
      <w:bookmarkEnd w:id="617"/>
      <w:bookmarkEnd w:id="618"/>
    </w:p>
    <w:p w14:paraId="4FB29444" w14:textId="57B293B2" w:rsidR="00B37D52" w:rsidRDefault="00B37D52" w:rsidP="00CE6C77">
      <w:pPr>
        <w:pStyle w:val="Listeafsnit"/>
        <w:spacing w:line="360" w:lineRule="auto"/>
        <w:ind w:left="0" w:firstLine="238"/>
        <w:jc w:val="left"/>
        <w:outlineLvl w:val="0"/>
        <w:rPr>
          <w:rFonts w:ascii="Times New Roman" w:hAnsi="Times New Roman" w:cs="Times New Roman"/>
          <w:sz w:val="24"/>
          <w:szCs w:val="24"/>
        </w:rPr>
      </w:pPr>
      <w:bookmarkStart w:id="619" w:name="_Toc244879168"/>
      <w:bookmarkStart w:id="620" w:name="_Toc244880692"/>
      <w:r w:rsidRPr="007A236C">
        <w:rPr>
          <w:rFonts w:ascii="Times New Roman" w:hAnsi="Times New Roman" w:cs="Times New Roman"/>
          <w:sz w:val="24"/>
          <w:szCs w:val="24"/>
        </w:rPr>
        <w:t>Stk. 2 og 3 bliver herefter stk. 3 og 4.</w:t>
      </w:r>
      <w:bookmarkEnd w:id="619"/>
      <w:bookmarkEnd w:id="620"/>
    </w:p>
    <w:p w14:paraId="4BC2BF9F" w14:textId="77777777" w:rsidR="00CE6C77" w:rsidRPr="007A236C" w:rsidRDefault="00CE6C77" w:rsidP="00CE6C77"/>
    <w:p w14:paraId="7DB55A5A" w14:textId="77777777" w:rsidR="00FE5937" w:rsidRDefault="00FE5937">
      <w:pPr>
        <w:pStyle w:val="Listeafsnit"/>
        <w:numPr>
          <w:ilvl w:val="0"/>
          <w:numId w:val="116"/>
        </w:numPr>
        <w:spacing w:line="360" w:lineRule="auto"/>
        <w:ind w:left="0" w:firstLine="238"/>
        <w:jc w:val="left"/>
        <w:outlineLvl w:val="0"/>
        <w:rPr>
          <w:rFonts w:ascii="Times New Roman" w:hAnsi="Times New Roman" w:cs="Times New Roman"/>
          <w:sz w:val="24"/>
          <w:szCs w:val="24"/>
        </w:rPr>
      </w:pPr>
      <w:bookmarkStart w:id="621" w:name="_Toc244879169"/>
      <w:bookmarkStart w:id="622" w:name="_Toc244880693"/>
      <w:r w:rsidRPr="009E1059">
        <w:rPr>
          <w:rFonts w:ascii="Times New Roman" w:hAnsi="Times New Roman" w:cs="Times New Roman"/>
          <w:sz w:val="24"/>
          <w:szCs w:val="24"/>
        </w:rPr>
        <w:t>I § 14 indsættes som stk. 10:</w:t>
      </w:r>
      <w:bookmarkEnd w:id="621"/>
      <w:bookmarkEnd w:id="622"/>
    </w:p>
    <w:p w14:paraId="6DA99580" w14:textId="334F2118" w:rsidR="00FE5937" w:rsidRDefault="00FE5937" w:rsidP="00CE6C77">
      <w:pPr>
        <w:pStyle w:val="Listeafsnit"/>
        <w:spacing w:line="360" w:lineRule="auto"/>
        <w:ind w:left="0" w:firstLine="238"/>
        <w:jc w:val="left"/>
        <w:outlineLvl w:val="0"/>
        <w:rPr>
          <w:rFonts w:ascii="Times New Roman" w:eastAsia="Calibri" w:hAnsi="Times New Roman" w:cs="Times New Roman"/>
          <w:iCs/>
          <w:sz w:val="24"/>
          <w:szCs w:val="24"/>
        </w:rPr>
      </w:pPr>
      <w:bookmarkStart w:id="623" w:name="_Toc244879170"/>
      <w:bookmarkStart w:id="624" w:name="_Toc244880694"/>
      <w:r w:rsidRPr="00FE5937">
        <w:rPr>
          <w:rFonts w:ascii="Times New Roman" w:hAnsi="Times New Roman" w:cs="Times New Roman"/>
          <w:i/>
          <w:iCs/>
          <w:sz w:val="24"/>
          <w:szCs w:val="24"/>
        </w:rPr>
        <w:t>»Stk. 10.</w:t>
      </w:r>
      <w:r w:rsidRPr="00FE5937">
        <w:rPr>
          <w:rFonts w:ascii="Times New Roman" w:hAnsi="Times New Roman" w:cs="Times New Roman"/>
          <w:sz w:val="24"/>
          <w:szCs w:val="24"/>
        </w:rPr>
        <w:t xml:space="preserve"> </w:t>
      </w:r>
      <w:r w:rsidRPr="00FE5937">
        <w:rPr>
          <w:rFonts w:ascii="Times New Roman" w:eastAsia="Calibri" w:hAnsi="Times New Roman" w:cs="Times New Roman"/>
          <w:iCs/>
          <w:sz w:val="24"/>
          <w:szCs w:val="24"/>
        </w:rPr>
        <w:t>Stk. 1-8 finder tilsvarende anvendelse for en medarbejder og ansat i en boligkreditformidler, som nævnt i § 2, nr. 2, med tilstrækkeligt kendskab til den forpligtede enheds risikoeksponering for hvidvask af penge og finansiering af terrorisme og med tilstrækkelig anciennitet til at træffe beslutninger med indvirkning på dets risikoeksponering, hvis den pågældende efter § 4, stk. 7, jf. § 4, stk. 1, nr. 3, ikke kan bestride stillingen eller når der er rejst tiltale mod den pågældende i en straffesag om overtrædelse af straffeloven, den finansielle lovgivning eller anden relevant lovgivning, indtil straffesagen er afgjort, hvis domfældelse vil indebære, at vedkommende ikke opfylder kravene i § 4, stk. 7, jf. § 4, stk. 1, nr. 3.«</w:t>
      </w:r>
      <w:bookmarkEnd w:id="623"/>
      <w:bookmarkEnd w:id="624"/>
      <w:r w:rsidRPr="00FE5937">
        <w:rPr>
          <w:rFonts w:ascii="Times New Roman" w:eastAsia="Calibri" w:hAnsi="Times New Roman" w:cs="Times New Roman"/>
          <w:iCs/>
          <w:sz w:val="24"/>
          <w:szCs w:val="24"/>
        </w:rPr>
        <w:t xml:space="preserve"> </w:t>
      </w:r>
    </w:p>
    <w:p w14:paraId="21CCE2D9" w14:textId="77777777" w:rsidR="00CE6C77" w:rsidRPr="00FE5937" w:rsidRDefault="00CE6C77" w:rsidP="00CE6C77"/>
    <w:p w14:paraId="301C1BFB" w14:textId="77777777" w:rsidR="002500C9" w:rsidRDefault="002500C9">
      <w:pPr>
        <w:pStyle w:val="Listeafsnit"/>
        <w:numPr>
          <w:ilvl w:val="0"/>
          <w:numId w:val="116"/>
        </w:numPr>
        <w:spacing w:line="360" w:lineRule="auto"/>
        <w:ind w:left="0" w:firstLine="238"/>
        <w:jc w:val="left"/>
        <w:outlineLvl w:val="0"/>
        <w:rPr>
          <w:rFonts w:ascii="Times New Roman" w:hAnsi="Times New Roman" w:cs="Times New Roman"/>
          <w:sz w:val="24"/>
          <w:szCs w:val="24"/>
        </w:rPr>
      </w:pPr>
      <w:bookmarkStart w:id="625" w:name="_Toc244879171"/>
      <w:bookmarkStart w:id="626" w:name="_Toc244880695"/>
      <w:r w:rsidRPr="009E1059">
        <w:rPr>
          <w:rFonts w:ascii="Times New Roman" w:hAnsi="Times New Roman" w:cs="Times New Roman"/>
          <w:sz w:val="24"/>
          <w:szCs w:val="24"/>
        </w:rPr>
        <w:t>5. Efter § 14 a indsættes:</w:t>
      </w:r>
      <w:bookmarkEnd w:id="625"/>
      <w:bookmarkEnd w:id="626"/>
      <w:r w:rsidRPr="009E1059">
        <w:rPr>
          <w:rFonts w:ascii="Times New Roman" w:hAnsi="Times New Roman" w:cs="Times New Roman"/>
          <w:sz w:val="24"/>
          <w:szCs w:val="24"/>
        </w:rPr>
        <w:t xml:space="preserve"> </w:t>
      </w:r>
    </w:p>
    <w:p w14:paraId="79EBE3A4" w14:textId="77777777" w:rsidR="002500C9" w:rsidRDefault="002500C9" w:rsidP="00CE6C77">
      <w:pPr>
        <w:pStyle w:val="Listeafsnit"/>
        <w:spacing w:line="360" w:lineRule="auto"/>
        <w:ind w:left="0" w:firstLine="238"/>
        <w:jc w:val="left"/>
        <w:outlineLvl w:val="0"/>
        <w:rPr>
          <w:rFonts w:ascii="Times New Roman" w:eastAsia="Calibri" w:hAnsi="Times New Roman" w:cs="Times New Roman"/>
          <w:sz w:val="24"/>
          <w:szCs w:val="24"/>
        </w:rPr>
      </w:pPr>
      <w:bookmarkStart w:id="627" w:name="_Toc244879172"/>
      <w:bookmarkStart w:id="628" w:name="_Toc244880696"/>
      <w:r w:rsidRPr="002500C9">
        <w:rPr>
          <w:rFonts w:ascii="Times New Roman" w:eastAsia="Times New Roman" w:hAnsi="Times New Roman" w:cs="Times New Roman"/>
          <w:b/>
          <w:bCs/>
          <w:sz w:val="24"/>
          <w:szCs w:val="24"/>
          <w:lang w:eastAsia="da-DK"/>
        </w:rPr>
        <w:t>»</w:t>
      </w:r>
      <w:r w:rsidRPr="002500C9">
        <w:rPr>
          <w:rFonts w:ascii="Times New Roman" w:hAnsi="Times New Roman" w:cs="Times New Roman"/>
          <w:b/>
          <w:bCs/>
          <w:sz w:val="24"/>
          <w:szCs w:val="24"/>
        </w:rPr>
        <w:t>§ 14 b.</w:t>
      </w:r>
      <w:r w:rsidRPr="002500C9">
        <w:rPr>
          <w:rFonts w:ascii="Times New Roman" w:hAnsi="Times New Roman" w:cs="Times New Roman"/>
          <w:sz w:val="24"/>
          <w:szCs w:val="24"/>
        </w:rPr>
        <w:t xml:space="preserve"> Finanstilsynet kan påbyde en fysisk person, der direkte eller indirekte ejer eller kontrollerer minimum 25 pct. af kapitalandelen, ejerandelen, stemmerettighederne eller andre ejerskabsbeføjelser af en boligkreditformidler, som nævnt i § 2, nr. 2, at ophøre med at udøve kontrol, herunder afhænde sine ejerandele helt eller delvist inden for en af Finanstilsynet fastsat frist, såfremt den pågældende ikke opfylder betingelserne i § 4, stk. 8, jf. § 4, stk. 1, nr. 3</w:t>
      </w:r>
      <w:r w:rsidRPr="002500C9">
        <w:rPr>
          <w:rFonts w:ascii="Times New Roman" w:eastAsia="Calibri" w:hAnsi="Times New Roman" w:cs="Times New Roman"/>
          <w:sz w:val="24"/>
          <w:szCs w:val="24"/>
        </w:rPr>
        <w:t>.</w:t>
      </w:r>
      <w:bookmarkEnd w:id="627"/>
      <w:bookmarkEnd w:id="628"/>
    </w:p>
    <w:p w14:paraId="768A1522" w14:textId="77777777" w:rsidR="002500C9" w:rsidRDefault="002500C9" w:rsidP="00CE6C77">
      <w:pPr>
        <w:pStyle w:val="Listeafsnit"/>
        <w:spacing w:line="360" w:lineRule="auto"/>
        <w:ind w:left="0" w:firstLine="238"/>
        <w:jc w:val="left"/>
        <w:outlineLvl w:val="0"/>
        <w:rPr>
          <w:rFonts w:ascii="Times New Roman" w:eastAsia="Calibri" w:hAnsi="Times New Roman" w:cs="Times New Roman"/>
          <w:sz w:val="24"/>
          <w:szCs w:val="24"/>
        </w:rPr>
      </w:pPr>
      <w:bookmarkStart w:id="629" w:name="_Toc244879173"/>
      <w:bookmarkStart w:id="630" w:name="_Toc244880697"/>
      <w:r w:rsidRPr="009E1059">
        <w:rPr>
          <w:rFonts w:ascii="Times New Roman" w:eastAsia="Calibri" w:hAnsi="Times New Roman" w:cs="Times New Roman"/>
          <w:i/>
          <w:sz w:val="24"/>
          <w:szCs w:val="24"/>
        </w:rPr>
        <w:t>Stk. 2.</w:t>
      </w:r>
      <w:r w:rsidRPr="009E1059">
        <w:rPr>
          <w:rFonts w:ascii="Times New Roman" w:eastAsia="Calibri" w:hAnsi="Times New Roman" w:cs="Times New Roman"/>
          <w:sz w:val="24"/>
          <w:szCs w:val="24"/>
        </w:rPr>
        <w:t xml:space="preserve"> Finanstilsynet kan ophæve stemmeretten for en fysisk person, der direkte eller indirekte ejer eller kontrollerer minimum 25 pct. af kapitalandelen, i en boligkreditformidler, </w:t>
      </w:r>
      <w:r w:rsidRPr="009E1059">
        <w:rPr>
          <w:rFonts w:ascii="Times New Roman" w:hAnsi="Times New Roman" w:cs="Times New Roman"/>
          <w:sz w:val="24"/>
          <w:szCs w:val="24"/>
        </w:rPr>
        <w:t>som nævnt i § 2, nr. 2</w:t>
      </w:r>
      <w:r w:rsidRPr="009E1059">
        <w:rPr>
          <w:rFonts w:ascii="Times New Roman" w:eastAsia="Calibri" w:hAnsi="Times New Roman" w:cs="Times New Roman"/>
          <w:sz w:val="24"/>
          <w:szCs w:val="24"/>
        </w:rPr>
        <w:t xml:space="preserve">, hvis kapitalejeren ikke opfylder kravene </w:t>
      </w:r>
      <w:r w:rsidRPr="009E1059">
        <w:rPr>
          <w:rFonts w:ascii="Times New Roman" w:hAnsi="Times New Roman" w:cs="Times New Roman"/>
          <w:sz w:val="24"/>
          <w:szCs w:val="24"/>
        </w:rPr>
        <w:t>§ 4, stk. 8, jf. § 4, stk. 1, nr. 3</w:t>
      </w:r>
      <w:r w:rsidRPr="009E1059">
        <w:rPr>
          <w:rFonts w:ascii="Times New Roman" w:eastAsia="Calibri" w:hAnsi="Times New Roman" w:cs="Times New Roman"/>
          <w:sz w:val="24"/>
          <w:szCs w:val="24"/>
        </w:rPr>
        <w:t>. Finanstilsynet kan også påbyde virksomheden at følge bestemte retningslinjer.</w:t>
      </w:r>
      <w:bookmarkEnd w:id="629"/>
      <w:bookmarkEnd w:id="630"/>
    </w:p>
    <w:p w14:paraId="5FD2D36C" w14:textId="3752977B" w:rsidR="002500C9" w:rsidRPr="002500C9" w:rsidRDefault="002500C9" w:rsidP="00CE6C77">
      <w:pPr>
        <w:pStyle w:val="Listeafsnit"/>
        <w:spacing w:line="360" w:lineRule="auto"/>
        <w:ind w:left="0" w:firstLine="238"/>
        <w:jc w:val="left"/>
        <w:outlineLvl w:val="0"/>
        <w:rPr>
          <w:rFonts w:ascii="Times New Roman" w:hAnsi="Times New Roman" w:cs="Times New Roman"/>
          <w:sz w:val="24"/>
          <w:szCs w:val="24"/>
        </w:rPr>
      </w:pPr>
      <w:bookmarkStart w:id="631" w:name="_Toc244879174"/>
      <w:bookmarkStart w:id="632" w:name="_Toc244880698"/>
      <w:r w:rsidRPr="009E1059">
        <w:rPr>
          <w:rFonts w:ascii="Times New Roman" w:eastAsia="Calibri" w:hAnsi="Times New Roman" w:cs="Times New Roman"/>
          <w:i/>
          <w:sz w:val="24"/>
          <w:szCs w:val="24"/>
        </w:rPr>
        <w:t>Stk. 3. </w:t>
      </w:r>
      <w:r w:rsidRPr="009E1059">
        <w:rPr>
          <w:rFonts w:ascii="Times New Roman" w:eastAsia="Calibri" w:hAnsi="Times New Roman" w:cs="Times New Roman"/>
          <w:sz w:val="24"/>
          <w:szCs w:val="24"/>
        </w:rPr>
        <w:t>Har Finanstilsynet ophævet stemmeretten i medfør af stk. 2, kan kapitalandelen ikke indgå i opgørelsen af den på en generalforsamling repræsenterede stemmeberettigede kapital.</w:t>
      </w:r>
      <w:bookmarkEnd w:id="631"/>
      <w:bookmarkEnd w:id="632"/>
      <w:r w:rsidRPr="009E1059">
        <w:rPr>
          <w:rFonts w:ascii="Times New Roman" w:eastAsia="Calibri" w:hAnsi="Times New Roman" w:cs="Times New Roman"/>
          <w:sz w:val="24"/>
          <w:szCs w:val="24"/>
        </w:rPr>
        <w:t xml:space="preserve"> </w:t>
      </w:r>
    </w:p>
    <w:p w14:paraId="7177EB69" w14:textId="77777777" w:rsidR="002500C9" w:rsidRDefault="002500C9" w:rsidP="00CE6C77">
      <w:pPr>
        <w:spacing w:line="360" w:lineRule="auto"/>
        <w:ind w:firstLine="238"/>
        <w:rPr>
          <w:rFonts w:ascii="Times New Roman" w:eastAsia="Calibri" w:hAnsi="Times New Roman" w:cs="Times New Roman"/>
          <w:sz w:val="24"/>
          <w:szCs w:val="24"/>
        </w:rPr>
      </w:pPr>
      <w:r w:rsidRPr="009E1059">
        <w:rPr>
          <w:rFonts w:ascii="Times New Roman" w:eastAsia="Times New Roman" w:hAnsi="Times New Roman" w:cs="Times New Roman"/>
          <w:i/>
          <w:sz w:val="24"/>
          <w:szCs w:val="24"/>
          <w:lang w:eastAsia="da-DK"/>
        </w:rPr>
        <w:t xml:space="preserve">Stk. 4. </w:t>
      </w:r>
      <w:r w:rsidRPr="009E1059">
        <w:rPr>
          <w:rFonts w:ascii="Times New Roman" w:eastAsia="Calibri" w:hAnsi="Times New Roman" w:cs="Times New Roman"/>
          <w:sz w:val="24"/>
          <w:szCs w:val="24"/>
        </w:rPr>
        <w:t>Varigheden af påbud meddelt efter stk. 1 skal fremgå af påbuddet.</w:t>
      </w:r>
    </w:p>
    <w:p w14:paraId="10B8E51A" w14:textId="77777777" w:rsidR="002500C9" w:rsidRDefault="002500C9" w:rsidP="00CE6C77">
      <w:pPr>
        <w:spacing w:line="360" w:lineRule="auto"/>
        <w:ind w:firstLine="238"/>
        <w:rPr>
          <w:rFonts w:ascii="Times New Roman" w:eastAsia="Calibri" w:hAnsi="Times New Roman" w:cs="Times New Roman"/>
          <w:sz w:val="24"/>
          <w:szCs w:val="24"/>
        </w:rPr>
      </w:pPr>
      <w:r w:rsidRPr="009E1059">
        <w:rPr>
          <w:rFonts w:ascii="Times New Roman" w:eastAsia="Times New Roman" w:hAnsi="Times New Roman" w:cs="Times New Roman"/>
          <w:i/>
          <w:sz w:val="24"/>
          <w:szCs w:val="24"/>
          <w:lang w:eastAsia="da-DK"/>
        </w:rPr>
        <w:t>Stk. 5 </w:t>
      </w:r>
      <w:r w:rsidRPr="009E1059">
        <w:rPr>
          <w:rFonts w:ascii="Times New Roman" w:eastAsia="Times New Roman" w:hAnsi="Times New Roman" w:cs="Times New Roman"/>
          <w:iCs/>
          <w:sz w:val="24"/>
          <w:szCs w:val="24"/>
          <w:lang w:eastAsia="da-DK"/>
        </w:rPr>
        <w:t xml:space="preserve">Påbud meddelt efter stk. 1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afgørelsen skal have opsættende virkning. Finanstilsynet indbringer sagen for domstolene inden 4 uger efter modtagelse af anmodning herom. Sagen anlægges i den borgerlige retsplejes former.  </w:t>
      </w:r>
    </w:p>
    <w:p w14:paraId="498DBEF1" w14:textId="199553B4" w:rsidR="002500C9" w:rsidRPr="002500C9" w:rsidRDefault="002500C9" w:rsidP="00CE6C77">
      <w:pPr>
        <w:spacing w:line="360" w:lineRule="auto"/>
        <w:ind w:firstLine="238"/>
        <w:rPr>
          <w:rFonts w:ascii="Times New Roman" w:eastAsia="Calibri" w:hAnsi="Times New Roman" w:cs="Times New Roman"/>
          <w:sz w:val="24"/>
          <w:szCs w:val="24"/>
        </w:rPr>
      </w:pPr>
      <w:r w:rsidRPr="009E1059">
        <w:rPr>
          <w:rFonts w:ascii="Times New Roman" w:eastAsia="Times New Roman" w:hAnsi="Times New Roman" w:cs="Times New Roman"/>
          <w:i/>
          <w:iCs/>
          <w:sz w:val="24"/>
          <w:szCs w:val="24"/>
          <w:lang w:eastAsia="da-DK"/>
        </w:rPr>
        <w:t>Stk. 6</w:t>
      </w:r>
      <w:r w:rsidRPr="009E1059">
        <w:rPr>
          <w:rFonts w:ascii="Times New Roman" w:eastAsia="Times New Roman" w:hAnsi="Times New Roman" w:cs="Times New Roman"/>
          <w:sz w:val="24"/>
          <w:szCs w:val="24"/>
          <w:lang w:eastAsia="da-DK"/>
        </w:rPr>
        <w:t>. Finanstilsynet kan af egen drift eller efter ansøgning tilbagekalde et påbud meddelt efter stk. 1.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5DE30B53" w14:textId="77777777" w:rsidR="002500C9" w:rsidRPr="009E1059" w:rsidRDefault="002500C9" w:rsidP="00CE6C77">
      <w:pPr>
        <w:rPr>
          <w:lang w:eastAsia="da-DK"/>
        </w:rPr>
      </w:pPr>
    </w:p>
    <w:p w14:paraId="6A365EF1" w14:textId="77777777" w:rsidR="002500C9" w:rsidRPr="009E1059" w:rsidRDefault="002500C9">
      <w:pPr>
        <w:pStyle w:val="Listeafsnit"/>
        <w:numPr>
          <w:ilvl w:val="0"/>
          <w:numId w:val="116"/>
        </w:numPr>
        <w:spacing w:line="360" w:lineRule="auto"/>
        <w:ind w:left="0" w:firstLine="238"/>
        <w:jc w:val="left"/>
        <w:outlineLvl w:val="0"/>
        <w:rPr>
          <w:rFonts w:ascii="Times New Roman" w:hAnsi="Times New Roman" w:cs="Times New Roman"/>
          <w:sz w:val="24"/>
          <w:szCs w:val="24"/>
        </w:rPr>
      </w:pPr>
      <w:bookmarkStart w:id="633" w:name="_Toc244879175"/>
      <w:bookmarkStart w:id="634" w:name="_Toc244880699"/>
      <w:r w:rsidRPr="009E1059">
        <w:rPr>
          <w:rFonts w:ascii="Times New Roman" w:hAnsi="Times New Roman" w:cs="Times New Roman"/>
          <w:sz w:val="24"/>
          <w:szCs w:val="24"/>
        </w:rPr>
        <w:t>I § 21, stk. 3, indsættes som 3. og 4. pkt.:</w:t>
      </w:r>
      <w:bookmarkEnd w:id="633"/>
      <w:bookmarkEnd w:id="634"/>
    </w:p>
    <w:p w14:paraId="42E5440E" w14:textId="77777777" w:rsidR="002500C9" w:rsidRDefault="002500C9" w:rsidP="003C6048">
      <w:pPr>
        <w:spacing w:line="360" w:lineRule="auto"/>
        <w:ind w:firstLine="238"/>
        <w:contextualSpacing/>
        <w:jc w:val="left"/>
        <w:outlineLvl w:val="0"/>
        <w:rPr>
          <w:rFonts w:ascii="Times New Roman" w:eastAsia="Times New Roman" w:hAnsi="Times New Roman" w:cs="Times New Roman"/>
          <w:sz w:val="24"/>
          <w:szCs w:val="24"/>
          <w:lang w:eastAsia="da-DK"/>
        </w:rPr>
      </w:pPr>
      <w:bookmarkStart w:id="635" w:name="_Toc244879176"/>
      <w:bookmarkStart w:id="636" w:name="_Toc244880700"/>
      <w:r w:rsidRPr="009E1059">
        <w:rPr>
          <w:rFonts w:ascii="Times New Roman" w:eastAsia="Times New Roman" w:hAnsi="Times New Roman" w:cs="Times New Roman"/>
          <w:sz w:val="24"/>
          <w:szCs w:val="24"/>
          <w:lang w:eastAsia="da-DK"/>
        </w:rPr>
        <w:t>»</w:t>
      </w:r>
      <w:r w:rsidRPr="009E1059">
        <w:rPr>
          <w:rFonts w:ascii="Times New Roman" w:hAnsi="Times New Roman" w:cs="Times New Roman"/>
          <w:sz w:val="24"/>
          <w:szCs w:val="24"/>
        </w:rPr>
        <w:t>Som part i Finanstilsynets afgørelser om hæderlighed i henhold til § 4, stk. 7, jf. § 4, stk. 1, nr. 3, og § 14, anses medarbejdere og ansatte i en boligkreditformidler, som nævnt i § 2, nr. 2, med tilstrækkeligt kendskab til den forpligtede enheds risikoeksponering for hvidvask af penge og finansiering af terrorisme og med tilstrækkelig anciennitet til at træffe beslutninger med indvirkning på dets risikoeksponering. Som part i Finanstilsynets afgørelser om hæderlighed i henhold § 4, stk. 8, jf. § 4, stk. 1, nr. 3, og afhændelse af ejerandele i § 14 b, anses en reel ejer af en boligkreditformidler.</w:t>
      </w:r>
      <w:r w:rsidRPr="009E1059">
        <w:rPr>
          <w:rFonts w:ascii="Times New Roman" w:eastAsia="Times New Roman" w:hAnsi="Times New Roman" w:cs="Times New Roman"/>
          <w:sz w:val="24"/>
          <w:szCs w:val="24"/>
          <w:lang w:eastAsia="da-DK"/>
        </w:rPr>
        <w:t>«</w:t>
      </w:r>
      <w:bookmarkEnd w:id="635"/>
      <w:bookmarkEnd w:id="636"/>
    </w:p>
    <w:p w14:paraId="7679A5AE" w14:textId="77777777" w:rsidR="00CE6C77" w:rsidRPr="009E1059" w:rsidRDefault="00CE6C77" w:rsidP="00CE6C77"/>
    <w:p w14:paraId="56C094A8" w14:textId="77777777" w:rsidR="00CE6C77" w:rsidRPr="009E1059" w:rsidRDefault="00CE6C77">
      <w:pPr>
        <w:pStyle w:val="Listeafsnit"/>
        <w:numPr>
          <w:ilvl w:val="0"/>
          <w:numId w:val="116"/>
        </w:numPr>
        <w:spacing w:line="360" w:lineRule="auto"/>
        <w:jc w:val="left"/>
        <w:outlineLvl w:val="0"/>
        <w:rPr>
          <w:rFonts w:ascii="Times New Roman" w:hAnsi="Times New Roman" w:cs="Times New Roman"/>
          <w:sz w:val="24"/>
          <w:szCs w:val="24"/>
        </w:rPr>
      </w:pPr>
      <w:bookmarkStart w:id="637" w:name="_Toc244879177"/>
      <w:bookmarkStart w:id="638" w:name="_Toc244880701"/>
      <w:r w:rsidRPr="009E1059">
        <w:rPr>
          <w:rFonts w:ascii="Times New Roman" w:hAnsi="Times New Roman" w:cs="Times New Roman"/>
          <w:sz w:val="24"/>
          <w:szCs w:val="24"/>
        </w:rPr>
        <w:t>I § 26, stk. 2, indsættes efter »Overtrædelse af«: »§ 5, stk.  2,«.</w:t>
      </w:r>
      <w:bookmarkEnd w:id="637"/>
      <w:bookmarkEnd w:id="638"/>
    </w:p>
    <w:p w14:paraId="0687FEBC" w14:textId="77777777" w:rsidR="00A6033F" w:rsidRPr="00796736" w:rsidRDefault="00A6033F" w:rsidP="00A802A5">
      <w:pPr>
        <w:spacing w:line="360" w:lineRule="auto"/>
        <w:jc w:val="left"/>
        <w:rPr>
          <w:rFonts w:ascii="Times New Roman" w:hAnsi="Times New Roman" w:cs="Times New Roman"/>
          <w:sz w:val="24"/>
          <w:szCs w:val="24"/>
        </w:rPr>
      </w:pPr>
    </w:p>
    <w:p w14:paraId="64B4D735" w14:textId="6510EF3D" w:rsidR="009E0BE7" w:rsidRPr="00796736" w:rsidRDefault="009E0BE7" w:rsidP="00A802A5">
      <w:pPr>
        <w:spacing w:line="360" w:lineRule="auto"/>
        <w:rPr>
          <w:rFonts w:ascii="Times New Roman" w:hAnsi="Times New Roman" w:cs="Times New Roman"/>
        </w:rPr>
      </w:pPr>
    </w:p>
    <w:p w14:paraId="3A9EB698" w14:textId="1846EBAC" w:rsidR="00A8275F" w:rsidRPr="00796736" w:rsidRDefault="00A8275F" w:rsidP="00300348">
      <w:pPr>
        <w:pStyle w:val="Typografi1"/>
        <w:ind w:left="0" w:firstLine="238"/>
        <w:rPr>
          <w:rFonts w:ascii="Times New Roman" w:hAnsi="Times New Roman" w:cs="Times New Roman"/>
          <w:sz w:val="24"/>
          <w:szCs w:val="24"/>
        </w:rPr>
      </w:pPr>
      <w:bookmarkStart w:id="639" w:name="_Ref233637850"/>
      <w:bookmarkStart w:id="640" w:name="_Toc244879178"/>
      <w:bookmarkStart w:id="641" w:name="_Toc244880702"/>
      <w:r w:rsidRPr="00796736">
        <w:rPr>
          <w:rFonts w:ascii="Times New Roman" w:hAnsi="Times New Roman" w:cs="Times New Roman"/>
          <w:sz w:val="24"/>
          <w:szCs w:val="24"/>
        </w:rPr>
        <w:t>I lov om spil, jf. lovbekendtgørelse nr. 1182 af 22. september 2025, som ændret ved lov nr. 1780 af 29. december 2025, foretages følgende ændringer:</w:t>
      </w:r>
      <w:bookmarkEnd w:id="639"/>
      <w:bookmarkEnd w:id="640"/>
      <w:bookmarkEnd w:id="641"/>
    </w:p>
    <w:p w14:paraId="75CFBF94" w14:textId="77777777" w:rsidR="00A8275F" w:rsidRPr="00796736" w:rsidRDefault="00A8275F" w:rsidP="00A802A5">
      <w:pPr>
        <w:spacing w:line="360" w:lineRule="auto"/>
        <w:ind w:firstLine="238"/>
        <w:rPr>
          <w:rFonts w:ascii="Times New Roman" w:eastAsia="Times New Roman" w:hAnsi="Times New Roman" w:cs="Times New Roman"/>
          <w:sz w:val="24"/>
          <w:szCs w:val="24"/>
        </w:rPr>
      </w:pPr>
    </w:p>
    <w:p w14:paraId="52C6648C" w14:textId="77777777" w:rsidR="00F815DC" w:rsidRPr="00796736" w:rsidRDefault="00F815DC" w:rsidP="00A802A5">
      <w:pPr>
        <w:spacing w:line="360" w:lineRule="auto"/>
        <w:ind w:firstLine="238"/>
        <w:jc w:val="left"/>
        <w:rPr>
          <w:rFonts w:ascii="Times New Roman" w:eastAsia="Times New Roman" w:hAnsi="Times New Roman" w:cs="Times New Roman"/>
          <w:sz w:val="24"/>
          <w:szCs w:val="24"/>
        </w:rPr>
      </w:pPr>
      <w:r w:rsidRPr="00796736">
        <w:rPr>
          <w:rFonts w:ascii="Times New Roman" w:eastAsia="Times New Roman" w:hAnsi="Times New Roman" w:cs="Times New Roman"/>
          <w:b/>
          <w:bCs/>
          <w:sz w:val="24"/>
          <w:szCs w:val="24"/>
        </w:rPr>
        <w:t>1.</w:t>
      </w:r>
      <w:r w:rsidRPr="00796736">
        <w:rPr>
          <w:rFonts w:ascii="Times New Roman" w:eastAsia="Times New Roman" w:hAnsi="Times New Roman" w:cs="Times New Roman"/>
          <w:sz w:val="24"/>
          <w:szCs w:val="24"/>
        </w:rPr>
        <w:t xml:space="preserve"> I </w:t>
      </w:r>
      <w:r w:rsidRPr="00796736">
        <w:rPr>
          <w:rFonts w:ascii="Times New Roman" w:eastAsia="Times New Roman" w:hAnsi="Times New Roman" w:cs="Times New Roman"/>
          <w:i/>
          <w:iCs/>
          <w:sz w:val="24"/>
          <w:szCs w:val="24"/>
        </w:rPr>
        <w:t>§ 29, stk. 1,</w:t>
      </w:r>
      <w:r w:rsidRPr="00796736">
        <w:rPr>
          <w:rFonts w:ascii="Times New Roman" w:eastAsia="Times New Roman" w:hAnsi="Times New Roman" w:cs="Times New Roman"/>
          <w:sz w:val="24"/>
          <w:szCs w:val="24"/>
        </w:rPr>
        <w:t xml:space="preserve"> ændres »der« til: »som«.</w:t>
      </w:r>
    </w:p>
    <w:p w14:paraId="200C33A4" w14:textId="77777777" w:rsidR="00F815DC" w:rsidRPr="00796736" w:rsidRDefault="00F815DC" w:rsidP="00A802A5">
      <w:pPr>
        <w:spacing w:line="360" w:lineRule="auto"/>
        <w:ind w:firstLine="238"/>
        <w:jc w:val="left"/>
        <w:rPr>
          <w:rFonts w:ascii="Times New Roman" w:eastAsia="Times New Roman" w:hAnsi="Times New Roman" w:cs="Times New Roman"/>
          <w:sz w:val="24"/>
          <w:szCs w:val="24"/>
        </w:rPr>
      </w:pPr>
    </w:p>
    <w:p w14:paraId="0F25D9D2" w14:textId="5AAC53E1" w:rsidR="00F815DC" w:rsidRPr="00796736" w:rsidRDefault="00F815DC" w:rsidP="00A802A5">
      <w:pPr>
        <w:spacing w:line="360" w:lineRule="auto"/>
        <w:ind w:firstLine="238"/>
        <w:jc w:val="left"/>
        <w:rPr>
          <w:rFonts w:ascii="Times New Roman" w:eastAsia="Times New Roman" w:hAnsi="Times New Roman" w:cs="Times New Roman"/>
          <w:sz w:val="24"/>
          <w:szCs w:val="24"/>
        </w:rPr>
      </w:pPr>
      <w:r w:rsidRPr="00796736">
        <w:rPr>
          <w:rFonts w:ascii="Times New Roman" w:eastAsia="Times New Roman" w:hAnsi="Times New Roman" w:cs="Times New Roman"/>
          <w:b/>
          <w:bCs/>
          <w:sz w:val="24"/>
          <w:szCs w:val="24"/>
        </w:rPr>
        <w:t>2.</w:t>
      </w:r>
      <w:r w:rsidRPr="00796736">
        <w:rPr>
          <w:rFonts w:ascii="Times New Roman" w:eastAsia="Times New Roman" w:hAnsi="Times New Roman" w:cs="Times New Roman"/>
          <w:sz w:val="24"/>
          <w:szCs w:val="24"/>
        </w:rPr>
        <w:t xml:space="preserve"> </w:t>
      </w:r>
      <w:r w:rsidR="00435151" w:rsidRPr="00796736">
        <w:rPr>
          <w:rFonts w:ascii="Times New Roman" w:eastAsia="Times New Roman" w:hAnsi="Times New Roman" w:cs="Times New Roman"/>
          <w:sz w:val="24"/>
          <w:szCs w:val="24"/>
        </w:rPr>
        <w:t xml:space="preserve">I </w:t>
      </w:r>
      <w:r w:rsidRPr="00796736">
        <w:rPr>
          <w:rFonts w:ascii="Times New Roman" w:eastAsia="Times New Roman" w:hAnsi="Times New Roman" w:cs="Times New Roman"/>
          <w:sz w:val="24"/>
          <w:szCs w:val="24"/>
        </w:rPr>
        <w:t>§ 29, stk. 2, ændres »der kan« til: »som kan«.</w:t>
      </w:r>
    </w:p>
    <w:p w14:paraId="3A220C74" w14:textId="77777777" w:rsidR="00F815DC" w:rsidRPr="00796736" w:rsidRDefault="00F815DC" w:rsidP="00A802A5">
      <w:pPr>
        <w:spacing w:line="360" w:lineRule="auto"/>
        <w:ind w:firstLine="238"/>
        <w:jc w:val="left"/>
        <w:rPr>
          <w:rFonts w:ascii="Times New Roman" w:eastAsia="Times New Roman" w:hAnsi="Times New Roman" w:cs="Times New Roman"/>
          <w:sz w:val="24"/>
          <w:szCs w:val="24"/>
        </w:rPr>
      </w:pPr>
    </w:p>
    <w:p w14:paraId="35F28328" w14:textId="77777777" w:rsidR="006A012C" w:rsidRPr="00796736" w:rsidRDefault="006A012C" w:rsidP="00A802A5">
      <w:pPr>
        <w:spacing w:line="360" w:lineRule="auto"/>
        <w:ind w:left="238"/>
        <w:jc w:val="left"/>
        <w:rPr>
          <w:rFonts w:ascii="Times New Roman" w:eastAsia="Times New Roman" w:hAnsi="Times New Roman" w:cs="Times New Roman"/>
          <w:sz w:val="24"/>
          <w:szCs w:val="24"/>
        </w:rPr>
      </w:pPr>
      <w:r w:rsidRPr="00796736">
        <w:rPr>
          <w:rFonts w:ascii="Times New Roman" w:eastAsia="Times New Roman" w:hAnsi="Times New Roman" w:cs="Times New Roman"/>
          <w:b/>
          <w:bCs/>
          <w:sz w:val="24"/>
          <w:szCs w:val="24"/>
        </w:rPr>
        <w:t>3.</w:t>
      </w:r>
      <w:r w:rsidRPr="00796736">
        <w:rPr>
          <w:rFonts w:ascii="Times New Roman" w:eastAsia="Times New Roman" w:hAnsi="Times New Roman" w:cs="Times New Roman"/>
          <w:sz w:val="24"/>
          <w:szCs w:val="24"/>
        </w:rPr>
        <w:t xml:space="preserve"> I </w:t>
      </w:r>
      <w:r w:rsidRPr="00796736">
        <w:rPr>
          <w:rFonts w:ascii="Times New Roman" w:eastAsia="Times New Roman" w:hAnsi="Times New Roman" w:cs="Times New Roman"/>
          <w:i/>
          <w:iCs/>
          <w:sz w:val="24"/>
          <w:szCs w:val="24"/>
        </w:rPr>
        <w:t>§ 44, stk. 1, nr. 9,</w:t>
      </w:r>
      <w:r w:rsidRPr="00796736">
        <w:rPr>
          <w:rFonts w:ascii="Times New Roman" w:eastAsia="Times New Roman" w:hAnsi="Times New Roman" w:cs="Times New Roman"/>
          <w:sz w:val="24"/>
          <w:szCs w:val="24"/>
        </w:rPr>
        <w:t xml:space="preserve"> ændres »spil, eller« til: »spil,«.</w:t>
      </w:r>
    </w:p>
    <w:p w14:paraId="2E3C61B6" w14:textId="77777777" w:rsidR="00F815DC" w:rsidRPr="00796736" w:rsidRDefault="00F815DC" w:rsidP="00A802A5">
      <w:pPr>
        <w:spacing w:line="360" w:lineRule="auto"/>
        <w:ind w:firstLine="238"/>
        <w:jc w:val="left"/>
        <w:rPr>
          <w:rFonts w:ascii="Times New Roman" w:eastAsia="Times New Roman" w:hAnsi="Times New Roman" w:cs="Times New Roman"/>
          <w:sz w:val="24"/>
          <w:szCs w:val="24"/>
        </w:rPr>
      </w:pPr>
    </w:p>
    <w:p w14:paraId="5D7D3F0F" w14:textId="66A574E8" w:rsidR="00F815DC" w:rsidRPr="00796736" w:rsidRDefault="00F815DC" w:rsidP="00A802A5">
      <w:pPr>
        <w:spacing w:line="360" w:lineRule="auto"/>
        <w:ind w:left="238"/>
        <w:jc w:val="left"/>
        <w:rPr>
          <w:rFonts w:ascii="Times New Roman" w:eastAsia="Times New Roman" w:hAnsi="Times New Roman" w:cs="Times New Roman"/>
          <w:sz w:val="24"/>
          <w:szCs w:val="24"/>
        </w:rPr>
      </w:pPr>
      <w:r w:rsidRPr="00796736">
        <w:rPr>
          <w:rFonts w:ascii="Times New Roman" w:eastAsia="Times New Roman" w:hAnsi="Times New Roman" w:cs="Times New Roman"/>
          <w:b/>
          <w:bCs/>
          <w:sz w:val="24"/>
          <w:szCs w:val="24"/>
        </w:rPr>
        <w:t>4.</w:t>
      </w:r>
      <w:r w:rsidRPr="00796736">
        <w:rPr>
          <w:rFonts w:ascii="Times New Roman" w:eastAsia="Times New Roman" w:hAnsi="Times New Roman" w:cs="Times New Roman"/>
          <w:sz w:val="24"/>
          <w:szCs w:val="24"/>
        </w:rPr>
        <w:t xml:space="preserve"> I</w:t>
      </w:r>
      <w:r w:rsidRPr="00796736">
        <w:rPr>
          <w:rFonts w:ascii="Times New Roman" w:eastAsia="Times New Roman" w:hAnsi="Times New Roman" w:cs="Times New Roman"/>
          <w:i/>
          <w:iCs/>
          <w:sz w:val="24"/>
          <w:szCs w:val="24"/>
        </w:rPr>
        <w:t xml:space="preserve"> § 44, stk. 1, nr. 10,</w:t>
      </w:r>
      <w:r w:rsidRPr="00796736">
        <w:rPr>
          <w:rFonts w:ascii="Times New Roman" w:eastAsia="Times New Roman" w:hAnsi="Times New Roman" w:cs="Times New Roman"/>
          <w:sz w:val="24"/>
          <w:szCs w:val="24"/>
        </w:rPr>
        <w:t xml:space="preserve"> ændres »§ 49 a.« til: »§ 49 a, eller«</w:t>
      </w:r>
      <w:r w:rsidR="00435151" w:rsidRPr="00796736">
        <w:rPr>
          <w:rFonts w:ascii="Times New Roman" w:eastAsia="Times New Roman" w:hAnsi="Times New Roman" w:cs="Times New Roman"/>
          <w:sz w:val="24"/>
          <w:szCs w:val="24"/>
        </w:rPr>
        <w:t>.</w:t>
      </w:r>
    </w:p>
    <w:p w14:paraId="28E90847" w14:textId="77777777" w:rsidR="00F815DC" w:rsidRPr="00796736" w:rsidRDefault="00F815DC" w:rsidP="00A802A5">
      <w:pPr>
        <w:spacing w:line="360" w:lineRule="auto"/>
        <w:jc w:val="left"/>
        <w:rPr>
          <w:rFonts w:ascii="Times New Roman" w:eastAsia="Times New Roman" w:hAnsi="Times New Roman" w:cs="Times New Roman"/>
          <w:sz w:val="24"/>
          <w:szCs w:val="24"/>
        </w:rPr>
      </w:pPr>
    </w:p>
    <w:p w14:paraId="0EEF5FDE" w14:textId="77777777" w:rsidR="00F815DC" w:rsidRPr="00796736" w:rsidRDefault="00F815DC" w:rsidP="00A802A5">
      <w:pPr>
        <w:spacing w:line="360" w:lineRule="auto"/>
        <w:ind w:left="238"/>
        <w:jc w:val="left"/>
        <w:rPr>
          <w:rFonts w:ascii="Times New Roman" w:eastAsia="Times New Roman" w:hAnsi="Times New Roman" w:cs="Times New Roman"/>
          <w:i/>
          <w:iCs/>
          <w:sz w:val="24"/>
          <w:szCs w:val="24"/>
        </w:rPr>
      </w:pPr>
      <w:r w:rsidRPr="00796736">
        <w:rPr>
          <w:rFonts w:ascii="Times New Roman" w:eastAsia="Times New Roman" w:hAnsi="Times New Roman" w:cs="Times New Roman"/>
          <w:b/>
          <w:bCs/>
          <w:sz w:val="24"/>
          <w:szCs w:val="24"/>
        </w:rPr>
        <w:t>5.</w:t>
      </w:r>
      <w:r w:rsidRPr="00796736">
        <w:rPr>
          <w:rFonts w:ascii="Times New Roman" w:eastAsia="Times New Roman" w:hAnsi="Times New Roman" w:cs="Times New Roman"/>
          <w:sz w:val="24"/>
          <w:szCs w:val="24"/>
        </w:rPr>
        <w:t xml:space="preserve"> I </w:t>
      </w:r>
      <w:r w:rsidRPr="00796736">
        <w:rPr>
          <w:rFonts w:ascii="Times New Roman" w:eastAsia="Times New Roman" w:hAnsi="Times New Roman" w:cs="Times New Roman"/>
          <w:i/>
          <w:iCs/>
          <w:sz w:val="24"/>
          <w:szCs w:val="24"/>
        </w:rPr>
        <w:t>§ 44, stk. 1,</w:t>
      </w:r>
      <w:r w:rsidRPr="00796736">
        <w:rPr>
          <w:rFonts w:ascii="Times New Roman" w:eastAsia="Times New Roman" w:hAnsi="Times New Roman" w:cs="Times New Roman"/>
          <w:sz w:val="24"/>
          <w:szCs w:val="24"/>
        </w:rPr>
        <w:t xml:space="preserve"> indsættes som </w:t>
      </w:r>
      <w:r w:rsidRPr="00796736">
        <w:rPr>
          <w:rFonts w:ascii="Times New Roman" w:eastAsia="Times New Roman" w:hAnsi="Times New Roman" w:cs="Times New Roman"/>
          <w:i/>
          <w:iCs/>
          <w:sz w:val="24"/>
          <w:szCs w:val="24"/>
        </w:rPr>
        <w:t>nr. 11:</w:t>
      </w:r>
    </w:p>
    <w:p w14:paraId="126CD94F" w14:textId="3C50794E" w:rsidR="006A012C" w:rsidRPr="00796736" w:rsidRDefault="006A012C" w:rsidP="00A802A5">
      <w:pPr>
        <w:spacing w:line="360" w:lineRule="auto"/>
        <w:ind w:left="238"/>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»11)</w:t>
      </w:r>
      <w:r w:rsidRPr="00796736">
        <w:rPr>
          <w:rFonts w:ascii="Times New Roman" w:eastAsia="Times New Roman" w:hAnsi="Times New Roman" w:cs="Times New Roman"/>
          <w:i/>
          <w:iCs/>
          <w:sz w:val="24"/>
          <w:szCs w:val="24"/>
        </w:rPr>
        <w:t xml:space="preserve"> </w:t>
      </w:r>
      <w:r w:rsidRPr="00796736">
        <w:rPr>
          <w:rFonts w:ascii="Times New Roman" w:eastAsia="Times New Roman" w:hAnsi="Times New Roman" w:cs="Times New Roman"/>
          <w:sz w:val="24"/>
          <w:szCs w:val="24"/>
        </w:rPr>
        <w:t>alvorlig</w:t>
      </w:r>
      <w:r w:rsidR="00435151" w:rsidRPr="00796736">
        <w:rPr>
          <w:rFonts w:ascii="Times New Roman" w:eastAsia="Times New Roman" w:hAnsi="Times New Roman" w:cs="Times New Roman"/>
          <w:sz w:val="24"/>
          <w:szCs w:val="24"/>
        </w:rPr>
        <w:t>t</w:t>
      </w:r>
      <w:r w:rsidRPr="00796736">
        <w:rPr>
          <w:rFonts w:ascii="Times New Roman" w:eastAsia="Times New Roman" w:hAnsi="Times New Roman" w:cs="Times New Roman"/>
          <w:sz w:val="24"/>
          <w:szCs w:val="24"/>
        </w:rPr>
        <w:t>, systematisk eller gentagne gange har overtrådt Europa-Parlamentets og Rådets forordning (EU) 2024/1624 (hvidvaskforordningen).«</w:t>
      </w:r>
    </w:p>
    <w:p w14:paraId="7A460FB7" w14:textId="77777777" w:rsidR="00A8275F" w:rsidRPr="00796736" w:rsidRDefault="00A8275F" w:rsidP="00A802A5">
      <w:pPr>
        <w:spacing w:line="360" w:lineRule="auto"/>
        <w:ind w:firstLine="238"/>
        <w:jc w:val="left"/>
        <w:rPr>
          <w:rFonts w:ascii="Times New Roman" w:eastAsia="Times New Roman" w:hAnsi="Times New Roman" w:cs="Times New Roman"/>
          <w:sz w:val="24"/>
          <w:szCs w:val="24"/>
        </w:rPr>
      </w:pPr>
    </w:p>
    <w:p w14:paraId="6CD5DE7B" w14:textId="2DAAEAEF" w:rsidR="00A8275F" w:rsidRPr="00796736" w:rsidRDefault="00F815DC" w:rsidP="00A802A5">
      <w:pPr>
        <w:spacing w:line="360" w:lineRule="auto"/>
        <w:ind w:firstLine="238"/>
        <w:jc w:val="left"/>
        <w:rPr>
          <w:rFonts w:ascii="Times New Roman" w:eastAsia="Times New Roman" w:hAnsi="Times New Roman" w:cs="Times New Roman"/>
          <w:sz w:val="24"/>
          <w:szCs w:val="24"/>
        </w:rPr>
      </w:pPr>
      <w:r w:rsidRPr="00796736">
        <w:rPr>
          <w:rFonts w:ascii="Times New Roman" w:eastAsia="Times New Roman" w:hAnsi="Times New Roman" w:cs="Times New Roman"/>
          <w:b/>
          <w:bCs/>
          <w:sz w:val="24"/>
          <w:szCs w:val="24"/>
        </w:rPr>
        <w:t>6</w:t>
      </w:r>
      <w:r w:rsidR="00A8275F" w:rsidRPr="00796736">
        <w:rPr>
          <w:rFonts w:ascii="Times New Roman" w:eastAsia="Times New Roman" w:hAnsi="Times New Roman" w:cs="Times New Roman"/>
          <w:b/>
          <w:bCs/>
          <w:sz w:val="24"/>
          <w:szCs w:val="24"/>
        </w:rPr>
        <w:t>.</w:t>
      </w:r>
      <w:r w:rsidR="00A8275F" w:rsidRPr="00796736">
        <w:rPr>
          <w:rFonts w:ascii="Times New Roman" w:eastAsia="Times New Roman" w:hAnsi="Times New Roman" w:cs="Times New Roman"/>
          <w:sz w:val="24"/>
          <w:szCs w:val="24"/>
        </w:rPr>
        <w:t xml:space="preserve"> I </w:t>
      </w:r>
      <w:r w:rsidR="00A8275F" w:rsidRPr="00796736">
        <w:rPr>
          <w:rFonts w:ascii="Times New Roman" w:eastAsia="Times New Roman" w:hAnsi="Times New Roman" w:cs="Times New Roman"/>
          <w:i/>
          <w:iCs/>
          <w:sz w:val="24"/>
          <w:szCs w:val="24"/>
        </w:rPr>
        <w:t>§ 44</w:t>
      </w:r>
      <w:r w:rsidR="00A8275F" w:rsidRPr="00796736">
        <w:rPr>
          <w:rFonts w:ascii="Times New Roman" w:eastAsia="Times New Roman" w:hAnsi="Times New Roman" w:cs="Times New Roman"/>
          <w:sz w:val="24"/>
          <w:szCs w:val="24"/>
        </w:rPr>
        <w:t xml:space="preserve"> indsættes som </w:t>
      </w:r>
      <w:r w:rsidR="00A8275F" w:rsidRPr="00796736">
        <w:rPr>
          <w:rFonts w:ascii="Times New Roman" w:eastAsia="Times New Roman" w:hAnsi="Times New Roman" w:cs="Times New Roman"/>
          <w:i/>
          <w:iCs/>
          <w:sz w:val="24"/>
          <w:szCs w:val="24"/>
        </w:rPr>
        <w:t>stk. 3</w:t>
      </w:r>
      <w:r w:rsidR="00A8275F" w:rsidRPr="00796736">
        <w:rPr>
          <w:rFonts w:ascii="Times New Roman" w:eastAsia="Times New Roman" w:hAnsi="Times New Roman" w:cs="Times New Roman"/>
          <w:sz w:val="24"/>
          <w:szCs w:val="24"/>
        </w:rPr>
        <w:t>:</w:t>
      </w:r>
    </w:p>
    <w:p w14:paraId="63C51063" w14:textId="6582FDBA" w:rsidR="00A8275F" w:rsidRPr="00796736" w:rsidRDefault="00A8275F" w:rsidP="00A802A5">
      <w:pPr>
        <w:spacing w:line="360" w:lineRule="auto"/>
        <w:ind w:firstLine="238"/>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w:t>
      </w:r>
      <w:r w:rsidRPr="00796736">
        <w:rPr>
          <w:rFonts w:ascii="Times New Roman" w:eastAsia="Times New Roman" w:hAnsi="Times New Roman" w:cs="Times New Roman"/>
          <w:i/>
          <w:iCs/>
          <w:sz w:val="24"/>
          <w:szCs w:val="24"/>
        </w:rPr>
        <w:t>Stk. 3.</w:t>
      </w:r>
      <w:r w:rsidRPr="00796736">
        <w:rPr>
          <w:rFonts w:ascii="Times New Roman" w:eastAsia="Times New Roman" w:hAnsi="Times New Roman" w:cs="Times New Roman"/>
          <w:sz w:val="24"/>
          <w:szCs w:val="24"/>
        </w:rPr>
        <w:t xml:space="preserve"> En tilladelse til udbud af spil kan også </w:t>
      </w:r>
      <w:r w:rsidR="0042556A" w:rsidRPr="00796736">
        <w:rPr>
          <w:rFonts w:ascii="Times New Roman" w:eastAsia="Times New Roman" w:hAnsi="Times New Roman" w:cs="Times New Roman"/>
          <w:sz w:val="24"/>
          <w:szCs w:val="24"/>
        </w:rPr>
        <w:t>tilbagekaldes,</w:t>
      </w:r>
      <w:r w:rsidRPr="00796736">
        <w:rPr>
          <w:rFonts w:ascii="Times New Roman" w:eastAsia="Times New Roman" w:hAnsi="Times New Roman" w:cs="Times New Roman"/>
          <w:sz w:val="24"/>
          <w:szCs w:val="24"/>
        </w:rPr>
        <w:t xml:space="preserve"> hvis</w:t>
      </w:r>
      <w:r w:rsidR="00435151" w:rsidRPr="00796736">
        <w:rPr>
          <w:rFonts w:ascii="Times New Roman" w:eastAsia="Times New Roman" w:hAnsi="Times New Roman" w:cs="Times New Roman"/>
          <w:sz w:val="24"/>
          <w:szCs w:val="24"/>
        </w:rPr>
        <w:t xml:space="preserve"> en af</w:t>
      </w:r>
      <w:r w:rsidRPr="00796736">
        <w:rPr>
          <w:rFonts w:ascii="Times New Roman" w:eastAsia="Times New Roman" w:hAnsi="Times New Roman" w:cs="Times New Roman"/>
          <w:sz w:val="24"/>
          <w:szCs w:val="24"/>
        </w:rPr>
        <w:t xml:space="preserve"> tilladelsesindehaverens reelle ejere bliver dømt for hvidvask af penge, de relevante underliggende lovovertrædelser eller finansiering af terrorisme.«</w:t>
      </w:r>
    </w:p>
    <w:p w14:paraId="1A12A1F9" w14:textId="77777777" w:rsidR="00A8275F" w:rsidRPr="00796736" w:rsidRDefault="00A8275F" w:rsidP="00A802A5">
      <w:pPr>
        <w:spacing w:line="360" w:lineRule="auto"/>
        <w:ind w:firstLine="238"/>
        <w:jc w:val="left"/>
        <w:rPr>
          <w:rFonts w:ascii="Times New Roman" w:eastAsia="Times New Roman" w:hAnsi="Times New Roman" w:cs="Times New Roman"/>
          <w:sz w:val="24"/>
          <w:szCs w:val="24"/>
        </w:rPr>
      </w:pPr>
    </w:p>
    <w:p w14:paraId="57DC9889" w14:textId="36A470E4" w:rsidR="00A8275F" w:rsidRPr="00796736" w:rsidRDefault="00F815DC" w:rsidP="00A802A5">
      <w:pPr>
        <w:spacing w:line="360" w:lineRule="auto"/>
        <w:ind w:firstLine="238"/>
        <w:jc w:val="left"/>
        <w:rPr>
          <w:rFonts w:ascii="Times New Roman" w:eastAsia="Times New Roman" w:hAnsi="Times New Roman" w:cs="Times New Roman"/>
          <w:sz w:val="24"/>
          <w:szCs w:val="24"/>
        </w:rPr>
      </w:pPr>
      <w:r w:rsidRPr="00796736">
        <w:rPr>
          <w:rFonts w:ascii="Times New Roman" w:eastAsia="Times New Roman" w:hAnsi="Times New Roman" w:cs="Times New Roman"/>
          <w:b/>
          <w:bCs/>
          <w:sz w:val="24"/>
          <w:szCs w:val="24"/>
        </w:rPr>
        <w:t>7</w:t>
      </w:r>
      <w:r w:rsidR="00A8275F" w:rsidRPr="00796736">
        <w:rPr>
          <w:rFonts w:ascii="Times New Roman" w:eastAsia="Times New Roman" w:hAnsi="Times New Roman" w:cs="Times New Roman"/>
          <w:b/>
          <w:bCs/>
          <w:sz w:val="24"/>
          <w:szCs w:val="24"/>
        </w:rPr>
        <w:t>.</w:t>
      </w:r>
      <w:r w:rsidR="00A8275F" w:rsidRPr="00796736">
        <w:rPr>
          <w:rFonts w:ascii="Times New Roman" w:eastAsia="Times New Roman" w:hAnsi="Times New Roman" w:cs="Times New Roman"/>
          <w:sz w:val="24"/>
          <w:szCs w:val="24"/>
        </w:rPr>
        <w:t xml:space="preserve"> </w:t>
      </w:r>
      <w:r w:rsidR="00435151" w:rsidRPr="00796736">
        <w:rPr>
          <w:rFonts w:ascii="Times New Roman" w:eastAsia="Times New Roman" w:hAnsi="Times New Roman" w:cs="Times New Roman"/>
          <w:sz w:val="24"/>
          <w:szCs w:val="24"/>
        </w:rPr>
        <w:t xml:space="preserve">I </w:t>
      </w:r>
      <w:r w:rsidR="00435151" w:rsidRPr="00796736">
        <w:rPr>
          <w:rFonts w:ascii="Times New Roman" w:eastAsia="Times New Roman" w:hAnsi="Times New Roman" w:cs="Times New Roman"/>
          <w:i/>
          <w:iCs/>
          <w:sz w:val="24"/>
          <w:szCs w:val="24"/>
        </w:rPr>
        <w:t>§ 51, stk. 1,</w:t>
      </w:r>
      <w:r w:rsidR="00435151" w:rsidRPr="00796736">
        <w:rPr>
          <w:rFonts w:ascii="Times New Roman" w:eastAsia="Times New Roman" w:hAnsi="Times New Roman" w:cs="Times New Roman"/>
          <w:sz w:val="24"/>
          <w:szCs w:val="24"/>
        </w:rPr>
        <w:t xml:space="preserve"> ændres »nr. 1-3,« til: »nr. 1-3 og 11, og stk. 3,«.</w:t>
      </w:r>
    </w:p>
    <w:p w14:paraId="31D9E9F3" w14:textId="77777777" w:rsidR="00AF6DEF" w:rsidRPr="00796736" w:rsidRDefault="00AF6DEF" w:rsidP="00A802A5">
      <w:pPr>
        <w:spacing w:line="360" w:lineRule="auto"/>
        <w:ind w:firstLine="238"/>
        <w:jc w:val="left"/>
        <w:rPr>
          <w:rFonts w:ascii="Times New Roman" w:eastAsia="Times New Roman" w:hAnsi="Times New Roman" w:cs="Times New Roman"/>
          <w:sz w:val="24"/>
          <w:szCs w:val="24"/>
        </w:rPr>
      </w:pPr>
    </w:p>
    <w:p w14:paraId="5907F84D" w14:textId="77777777" w:rsidR="001648A8" w:rsidRPr="00796736" w:rsidRDefault="001648A8" w:rsidP="001648A8">
      <w:pPr>
        <w:pStyle w:val="Typografi1"/>
        <w:ind w:left="0" w:firstLine="238"/>
        <w:rPr>
          <w:rFonts w:ascii="Times New Roman" w:hAnsi="Times New Roman" w:cs="Times New Roman"/>
          <w:sz w:val="24"/>
          <w:szCs w:val="24"/>
        </w:rPr>
      </w:pPr>
      <w:bookmarkStart w:id="642" w:name="_Ref239173704"/>
      <w:bookmarkStart w:id="643" w:name="_Toc244879179"/>
      <w:bookmarkStart w:id="644" w:name="_Toc244880703"/>
      <w:r w:rsidRPr="00796736">
        <w:rPr>
          <w:rFonts w:ascii="Times New Roman" w:hAnsi="Times New Roman" w:cs="Times New Roman"/>
          <w:iCs/>
          <w:sz w:val="24"/>
          <w:szCs w:val="24"/>
        </w:rPr>
        <w:t xml:space="preserve">I </w:t>
      </w:r>
      <w:r>
        <w:rPr>
          <w:rFonts w:ascii="Times New Roman" w:hAnsi="Times New Roman" w:cs="Times New Roman"/>
          <w:iCs/>
          <w:sz w:val="24"/>
          <w:szCs w:val="24"/>
        </w:rPr>
        <w:t>PNR-loven</w:t>
      </w:r>
      <w:r w:rsidRPr="00796736">
        <w:rPr>
          <w:rFonts w:ascii="Times New Roman" w:hAnsi="Times New Roman" w:cs="Times New Roman"/>
          <w:iCs/>
          <w:sz w:val="24"/>
          <w:szCs w:val="24"/>
        </w:rPr>
        <w:t>, lov</w:t>
      </w:r>
      <w:r>
        <w:rPr>
          <w:rFonts w:ascii="Times New Roman" w:hAnsi="Times New Roman" w:cs="Times New Roman"/>
          <w:iCs/>
          <w:sz w:val="24"/>
          <w:szCs w:val="24"/>
        </w:rPr>
        <w:t xml:space="preserve"> </w:t>
      </w:r>
      <w:r w:rsidRPr="00796736">
        <w:rPr>
          <w:rFonts w:ascii="Times New Roman" w:hAnsi="Times New Roman" w:cs="Times New Roman"/>
          <w:iCs/>
          <w:sz w:val="24"/>
          <w:szCs w:val="24"/>
        </w:rPr>
        <w:t xml:space="preserve">nr. </w:t>
      </w:r>
      <w:r>
        <w:rPr>
          <w:rFonts w:ascii="Times New Roman" w:hAnsi="Times New Roman" w:cs="Times New Roman"/>
          <w:iCs/>
          <w:sz w:val="24"/>
          <w:szCs w:val="24"/>
        </w:rPr>
        <w:t>1706 af 27. december 2018</w:t>
      </w:r>
      <w:r w:rsidRPr="00796736">
        <w:rPr>
          <w:rFonts w:ascii="Times New Roman" w:hAnsi="Times New Roman" w:cs="Times New Roman"/>
          <w:iCs/>
          <w:sz w:val="24"/>
          <w:szCs w:val="24"/>
        </w:rPr>
        <w:t>, som ændret ved § 1</w:t>
      </w:r>
      <w:r>
        <w:rPr>
          <w:rFonts w:ascii="Times New Roman" w:hAnsi="Times New Roman" w:cs="Times New Roman"/>
          <w:iCs/>
          <w:sz w:val="24"/>
          <w:szCs w:val="24"/>
        </w:rPr>
        <w:t>8</w:t>
      </w:r>
      <w:r w:rsidRPr="00796736">
        <w:rPr>
          <w:rFonts w:ascii="Times New Roman" w:hAnsi="Times New Roman" w:cs="Times New Roman"/>
          <w:iCs/>
          <w:sz w:val="24"/>
          <w:szCs w:val="24"/>
        </w:rPr>
        <w:t xml:space="preserve"> i lov nr. </w:t>
      </w:r>
      <w:r>
        <w:rPr>
          <w:rFonts w:ascii="Times New Roman" w:hAnsi="Times New Roman" w:cs="Times New Roman"/>
          <w:iCs/>
          <w:sz w:val="24"/>
          <w:szCs w:val="24"/>
        </w:rPr>
        <w:t>2601</w:t>
      </w:r>
      <w:r w:rsidRPr="00796736">
        <w:rPr>
          <w:rFonts w:ascii="Times New Roman" w:hAnsi="Times New Roman" w:cs="Times New Roman"/>
          <w:iCs/>
          <w:sz w:val="24"/>
          <w:szCs w:val="24"/>
        </w:rPr>
        <w:t xml:space="preserve"> af 2</w:t>
      </w:r>
      <w:r>
        <w:rPr>
          <w:rFonts w:ascii="Times New Roman" w:hAnsi="Times New Roman" w:cs="Times New Roman"/>
          <w:iCs/>
          <w:sz w:val="24"/>
          <w:szCs w:val="24"/>
        </w:rPr>
        <w:t>8</w:t>
      </w:r>
      <w:r w:rsidRPr="00796736">
        <w:rPr>
          <w:rFonts w:ascii="Times New Roman" w:hAnsi="Times New Roman" w:cs="Times New Roman"/>
          <w:iCs/>
          <w:sz w:val="24"/>
          <w:szCs w:val="24"/>
        </w:rPr>
        <w:t>. december 202</w:t>
      </w:r>
      <w:r>
        <w:rPr>
          <w:rFonts w:ascii="Times New Roman" w:hAnsi="Times New Roman" w:cs="Times New Roman"/>
          <w:iCs/>
          <w:sz w:val="24"/>
          <w:szCs w:val="24"/>
        </w:rPr>
        <w:t>1</w:t>
      </w:r>
      <w:r w:rsidRPr="00796736">
        <w:rPr>
          <w:rFonts w:ascii="Times New Roman" w:hAnsi="Times New Roman" w:cs="Times New Roman"/>
          <w:iCs/>
          <w:sz w:val="24"/>
          <w:szCs w:val="24"/>
        </w:rPr>
        <w:t xml:space="preserve"> og § </w:t>
      </w:r>
      <w:r>
        <w:rPr>
          <w:rFonts w:ascii="Times New Roman" w:hAnsi="Times New Roman" w:cs="Times New Roman"/>
          <w:iCs/>
          <w:sz w:val="24"/>
          <w:szCs w:val="24"/>
        </w:rPr>
        <w:t>1</w:t>
      </w:r>
      <w:r w:rsidRPr="00796736">
        <w:rPr>
          <w:rFonts w:ascii="Times New Roman" w:hAnsi="Times New Roman" w:cs="Times New Roman"/>
          <w:iCs/>
          <w:sz w:val="24"/>
          <w:szCs w:val="24"/>
        </w:rPr>
        <w:t xml:space="preserve"> i lov nr. </w:t>
      </w:r>
      <w:r>
        <w:rPr>
          <w:rFonts w:ascii="Times New Roman" w:hAnsi="Times New Roman" w:cs="Times New Roman"/>
          <w:iCs/>
          <w:sz w:val="24"/>
          <w:szCs w:val="24"/>
        </w:rPr>
        <w:t>xx</w:t>
      </w:r>
      <w:r w:rsidRPr="00796736">
        <w:rPr>
          <w:rFonts w:ascii="Times New Roman" w:hAnsi="Times New Roman" w:cs="Times New Roman"/>
          <w:iCs/>
          <w:sz w:val="24"/>
          <w:szCs w:val="24"/>
        </w:rPr>
        <w:t xml:space="preserve"> af </w:t>
      </w:r>
      <w:r>
        <w:rPr>
          <w:rFonts w:ascii="Times New Roman" w:hAnsi="Times New Roman" w:cs="Times New Roman"/>
          <w:iCs/>
          <w:sz w:val="24"/>
          <w:szCs w:val="24"/>
        </w:rPr>
        <w:t>xx</w:t>
      </w:r>
      <w:r w:rsidRPr="00796736">
        <w:rPr>
          <w:rFonts w:ascii="Times New Roman" w:hAnsi="Times New Roman" w:cs="Times New Roman"/>
          <w:iCs/>
          <w:sz w:val="24"/>
          <w:szCs w:val="24"/>
        </w:rPr>
        <w:t xml:space="preserve">. </w:t>
      </w:r>
      <w:r>
        <w:rPr>
          <w:rFonts w:ascii="Times New Roman" w:hAnsi="Times New Roman" w:cs="Times New Roman"/>
          <w:iCs/>
          <w:sz w:val="24"/>
          <w:szCs w:val="24"/>
        </w:rPr>
        <w:t>december</w:t>
      </w:r>
      <w:r w:rsidRPr="00796736">
        <w:rPr>
          <w:rFonts w:ascii="Times New Roman" w:hAnsi="Times New Roman" w:cs="Times New Roman"/>
          <w:iCs/>
          <w:sz w:val="24"/>
          <w:szCs w:val="24"/>
        </w:rPr>
        <w:t xml:space="preserve"> 2026, foretages følgende ændring:</w:t>
      </w:r>
      <w:bookmarkEnd w:id="642"/>
      <w:bookmarkEnd w:id="643"/>
      <w:bookmarkEnd w:id="644"/>
    </w:p>
    <w:p w14:paraId="21CD7CCA" w14:textId="77777777" w:rsidR="001648A8" w:rsidRPr="00796736" w:rsidRDefault="001648A8" w:rsidP="001648A8">
      <w:pPr>
        <w:spacing w:line="360" w:lineRule="auto"/>
        <w:ind w:firstLine="238"/>
        <w:rPr>
          <w:rFonts w:ascii="Times New Roman" w:hAnsi="Times New Roman" w:cs="Times New Roman"/>
          <w:sz w:val="24"/>
          <w:szCs w:val="24"/>
        </w:rPr>
      </w:pPr>
    </w:p>
    <w:p w14:paraId="3557B1C3" w14:textId="4E25FCB7" w:rsidR="003D2A25" w:rsidRPr="001648A8" w:rsidRDefault="001648A8">
      <w:pPr>
        <w:pStyle w:val="Listeafsnit"/>
        <w:numPr>
          <w:ilvl w:val="0"/>
          <w:numId w:val="114"/>
        </w:numPr>
        <w:spacing w:line="360" w:lineRule="auto"/>
        <w:jc w:val="left"/>
        <w:rPr>
          <w:rFonts w:ascii="Times New Roman" w:eastAsia="Times New Roman" w:hAnsi="Times New Roman" w:cs="Times New Roman"/>
          <w:sz w:val="24"/>
          <w:szCs w:val="24"/>
        </w:rPr>
      </w:pPr>
      <w:r w:rsidRPr="001648A8">
        <w:rPr>
          <w:rFonts w:ascii="Times New Roman" w:eastAsia="Times New Roman" w:hAnsi="Times New Roman" w:cs="Times New Roman"/>
          <w:sz w:val="24"/>
          <w:szCs w:val="24"/>
        </w:rPr>
        <w:t xml:space="preserve">I </w:t>
      </w:r>
      <w:r w:rsidRPr="001648A8">
        <w:rPr>
          <w:rFonts w:ascii="Times New Roman" w:eastAsia="Times New Roman" w:hAnsi="Times New Roman" w:cs="Times New Roman"/>
          <w:i/>
          <w:iCs/>
          <w:sz w:val="24"/>
          <w:szCs w:val="24"/>
        </w:rPr>
        <w:t xml:space="preserve">§ 14 a </w:t>
      </w:r>
      <w:r w:rsidRPr="001648A8">
        <w:rPr>
          <w:rFonts w:ascii="Times New Roman" w:eastAsia="Times New Roman" w:hAnsi="Times New Roman" w:cs="Times New Roman"/>
          <w:sz w:val="24"/>
          <w:szCs w:val="24"/>
        </w:rPr>
        <w:t>indsættes efter »heri«: », medmindre andet er fastsat ved lov«.</w:t>
      </w:r>
      <w:r w:rsidR="003D2A25" w:rsidRPr="001648A8">
        <w:rPr>
          <w:rFonts w:ascii="Times New Roman" w:eastAsia="Times New Roman" w:hAnsi="Times New Roman" w:cs="Times New Roman"/>
          <w:sz w:val="24"/>
          <w:szCs w:val="24"/>
        </w:rPr>
        <w:br/>
      </w:r>
    </w:p>
    <w:p w14:paraId="17C62BFE" w14:textId="2655D212" w:rsidR="002834E8" w:rsidRDefault="003D2A25" w:rsidP="00300348">
      <w:pPr>
        <w:pStyle w:val="Typografi1"/>
        <w:ind w:left="0" w:firstLine="238"/>
        <w:rPr>
          <w:rFonts w:ascii="Times New Roman" w:hAnsi="Times New Roman" w:cs="Times New Roman"/>
          <w:iCs/>
          <w:sz w:val="24"/>
          <w:szCs w:val="24"/>
        </w:rPr>
      </w:pPr>
      <w:bookmarkStart w:id="645" w:name="_Ref243939834"/>
      <w:bookmarkStart w:id="646" w:name="_Toc244879180"/>
      <w:bookmarkStart w:id="647" w:name="_Toc244880704"/>
      <w:r w:rsidRPr="005C57C2">
        <w:rPr>
          <w:rFonts w:ascii="Times New Roman" w:hAnsi="Times New Roman" w:cs="Times New Roman"/>
          <w:iCs/>
          <w:sz w:val="24"/>
          <w:szCs w:val="24"/>
        </w:rPr>
        <w:t>I revisorloven, jf. lovbekendtgørelse nr. 206 af 20. februar 2025, som ændret ved § 2 i lov nr. 480 af 22. maj 2024 og § 3 i lov nr. 729 af 1. september 2026, foretages følgende ændringer:</w:t>
      </w:r>
      <w:bookmarkEnd w:id="645"/>
      <w:bookmarkEnd w:id="646"/>
      <w:bookmarkEnd w:id="647"/>
    </w:p>
    <w:p w14:paraId="5E6E06A9" w14:textId="77777777" w:rsidR="005A265F" w:rsidRDefault="005A265F" w:rsidP="005A265F"/>
    <w:p w14:paraId="66BBE597" w14:textId="77777777" w:rsidR="002834E8" w:rsidRDefault="002834E8">
      <w:pPr>
        <w:pStyle w:val="Listeafsnit"/>
        <w:numPr>
          <w:ilvl w:val="0"/>
          <w:numId w:val="61"/>
        </w:numPr>
        <w:spacing w:line="360" w:lineRule="auto"/>
        <w:outlineLvl w:val="0"/>
        <w:rPr>
          <w:rFonts w:ascii="Times New Roman" w:hAnsi="Times New Roman" w:cs="Times New Roman"/>
          <w:sz w:val="24"/>
          <w:szCs w:val="24"/>
        </w:rPr>
      </w:pPr>
      <w:bookmarkStart w:id="648" w:name="_Toc244879181"/>
      <w:bookmarkStart w:id="649" w:name="_Toc244880705"/>
      <w:r w:rsidRPr="002834E8">
        <w:rPr>
          <w:rFonts w:ascii="Times New Roman" w:hAnsi="Times New Roman" w:cs="Times New Roman"/>
          <w:sz w:val="24"/>
          <w:szCs w:val="24"/>
        </w:rPr>
        <w:t>To steder i § 1, stk. 4, § 37, stk. 1, 3. pkt., § 43 a, stk. 1 og stk. 2, 1. pkt., indsættes efter »hvidvaskloven«: », Europa-Parlamentets og Rådets forordning (EU) 2024/1624 (hvidvaskforordningen) og retsakter udstedt i medfør heraf«.</w:t>
      </w:r>
      <w:bookmarkEnd w:id="648"/>
      <w:bookmarkEnd w:id="649"/>
    </w:p>
    <w:p w14:paraId="7E38DE86" w14:textId="77777777" w:rsidR="005A265F" w:rsidRPr="002834E8" w:rsidRDefault="005A265F" w:rsidP="005A265F"/>
    <w:p w14:paraId="08A674F2" w14:textId="3F45DD76" w:rsidR="005A265F" w:rsidRDefault="002834E8">
      <w:pPr>
        <w:pStyle w:val="Listeafsnit"/>
        <w:numPr>
          <w:ilvl w:val="0"/>
          <w:numId w:val="61"/>
        </w:numPr>
        <w:spacing w:line="360" w:lineRule="auto"/>
        <w:ind w:left="714" w:hanging="357"/>
        <w:outlineLvl w:val="0"/>
        <w:rPr>
          <w:rFonts w:ascii="Times New Roman" w:hAnsi="Times New Roman" w:cs="Times New Roman"/>
          <w:sz w:val="24"/>
          <w:szCs w:val="24"/>
        </w:rPr>
      </w:pPr>
      <w:bookmarkStart w:id="650" w:name="_Toc244879182"/>
      <w:bookmarkStart w:id="651" w:name="_Toc244880706"/>
      <w:r w:rsidRPr="002834E8">
        <w:rPr>
          <w:rFonts w:ascii="Times New Roman" w:hAnsi="Times New Roman" w:cs="Times New Roman"/>
          <w:sz w:val="24"/>
          <w:szCs w:val="24"/>
        </w:rPr>
        <w:t>I § 22, stk. 1, 4. pkt., ændres »reglerne i lov om forebyggende foranstaltninger mod hvidvask og finansiering af terrorisme (hvidvaskloven)« til: »hvidvaskloven, reglerne i Europa-Parlamentets og Rådets forordning (EU) 2024/1624 (hvidvaskforordningen) og retsakter udstedt i medfør heraf«.</w:t>
      </w:r>
      <w:bookmarkEnd w:id="650"/>
      <w:bookmarkEnd w:id="651"/>
    </w:p>
    <w:p w14:paraId="4957699A" w14:textId="77777777" w:rsidR="005A265F" w:rsidRDefault="005A265F" w:rsidP="005A265F">
      <w:pPr>
        <w:pStyle w:val="Typografi1"/>
        <w:ind w:left="0" w:firstLine="238"/>
        <w:rPr>
          <w:rFonts w:ascii="Times New Roman" w:hAnsi="Times New Roman" w:cs="Times New Roman"/>
          <w:iCs/>
          <w:sz w:val="24"/>
          <w:szCs w:val="24"/>
        </w:rPr>
      </w:pPr>
      <w:bookmarkStart w:id="652" w:name="_Ref244698794"/>
      <w:bookmarkStart w:id="653" w:name="_Toc244879183"/>
      <w:bookmarkStart w:id="654" w:name="_Toc244880707"/>
      <w:r w:rsidRPr="00665DDD">
        <w:rPr>
          <w:rFonts w:ascii="Times New Roman" w:hAnsi="Times New Roman" w:cs="Times New Roman"/>
          <w:iCs/>
          <w:sz w:val="24"/>
          <w:szCs w:val="24"/>
        </w:rPr>
        <w:t>I årsregnskabsloven, jf. lovbekendtgørelse nr. 402 af 23. marts 2026, som ændret ved § 68 i lov nr. 52 af 28. januar 2025</w:t>
      </w:r>
      <w:r>
        <w:rPr>
          <w:rFonts w:ascii="Times New Roman" w:hAnsi="Times New Roman" w:cs="Times New Roman"/>
          <w:iCs/>
          <w:sz w:val="24"/>
          <w:szCs w:val="24"/>
        </w:rPr>
        <w:t xml:space="preserve"> og § 2 i lov nr. 729 af 1. september 2026</w:t>
      </w:r>
      <w:r w:rsidRPr="00665DDD">
        <w:rPr>
          <w:rFonts w:ascii="Times New Roman" w:hAnsi="Times New Roman" w:cs="Times New Roman"/>
          <w:iCs/>
          <w:sz w:val="24"/>
          <w:szCs w:val="24"/>
        </w:rPr>
        <w:t>, foretages følgende ændringer:</w:t>
      </w:r>
      <w:bookmarkEnd w:id="652"/>
      <w:bookmarkEnd w:id="653"/>
      <w:bookmarkEnd w:id="654"/>
    </w:p>
    <w:p w14:paraId="3256F28D" w14:textId="77777777" w:rsidR="005A265F" w:rsidRDefault="005A265F" w:rsidP="005A265F"/>
    <w:p w14:paraId="25F09C54" w14:textId="7A96846E" w:rsidR="005A265F" w:rsidRPr="002834E8" w:rsidRDefault="005A265F">
      <w:pPr>
        <w:pStyle w:val="Listeafsnit"/>
        <w:numPr>
          <w:ilvl w:val="0"/>
          <w:numId w:val="62"/>
        </w:numPr>
        <w:spacing w:line="360" w:lineRule="auto"/>
        <w:outlineLvl w:val="0"/>
        <w:rPr>
          <w:rFonts w:ascii="Times New Roman" w:hAnsi="Times New Roman" w:cs="Times New Roman"/>
          <w:sz w:val="24"/>
          <w:szCs w:val="24"/>
        </w:rPr>
      </w:pPr>
      <w:bookmarkStart w:id="655" w:name="_Toc244879184"/>
      <w:bookmarkStart w:id="656" w:name="_Toc244880708"/>
      <w:r>
        <w:rPr>
          <w:rFonts w:ascii="Times New Roman" w:hAnsi="Times New Roman" w:cs="Times New Roman"/>
          <w:sz w:val="24"/>
          <w:szCs w:val="24"/>
        </w:rPr>
        <w:t>I</w:t>
      </w:r>
      <w:r w:rsidRPr="002834E8">
        <w:rPr>
          <w:rFonts w:ascii="Times New Roman" w:hAnsi="Times New Roman" w:cs="Times New Roman"/>
          <w:sz w:val="24"/>
          <w:szCs w:val="24"/>
        </w:rPr>
        <w:t xml:space="preserve"> § </w:t>
      </w:r>
      <w:r>
        <w:rPr>
          <w:rFonts w:ascii="Times New Roman" w:hAnsi="Times New Roman" w:cs="Times New Roman"/>
          <w:sz w:val="24"/>
          <w:szCs w:val="24"/>
        </w:rPr>
        <w:t>159 b, stk. 1</w:t>
      </w:r>
      <w:r w:rsidRPr="002834E8">
        <w:rPr>
          <w:rFonts w:ascii="Times New Roman" w:hAnsi="Times New Roman" w:cs="Times New Roman"/>
          <w:sz w:val="24"/>
          <w:szCs w:val="24"/>
        </w:rPr>
        <w:t xml:space="preserve">, </w:t>
      </w:r>
      <w:r>
        <w:rPr>
          <w:rFonts w:ascii="Times New Roman" w:hAnsi="Times New Roman" w:cs="Times New Roman"/>
          <w:sz w:val="24"/>
          <w:szCs w:val="24"/>
        </w:rPr>
        <w:t xml:space="preserve">nr. 4, </w:t>
      </w:r>
      <w:r w:rsidRPr="002834E8">
        <w:rPr>
          <w:rFonts w:ascii="Times New Roman" w:hAnsi="Times New Roman" w:cs="Times New Roman"/>
          <w:sz w:val="24"/>
          <w:szCs w:val="24"/>
        </w:rPr>
        <w:t>indsættes efter »hvidvaskloven«: », Europa-Parlamentets og Rådets forordning (EU) 2024/1624 (hvidvaskforordningen) og retsakter udstedt i medfør heraf«.</w:t>
      </w:r>
      <w:bookmarkEnd w:id="655"/>
      <w:bookmarkEnd w:id="656"/>
    </w:p>
    <w:p w14:paraId="1FC6BD35" w14:textId="1AAA1C6F" w:rsidR="005A265F" w:rsidRPr="005A265F" w:rsidRDefault="005A265F" w:rsidP="00300348"/>
    <w:p w14:paraId="1F4A5533" w14:textId="77777777" w:rsidR="00FA038E" w:rsidRPr="00796736" w:rsidRDefault="00FA038E" w:rsidP="00A802A5">
      <w:pPr>
        <w:spacing w:line="360" w:lineRule="auto"/>
        <w:jc w:val="left"/>
        <w:rPr>
          <w:rFonts w:ascii="Times New Roman" w:eastAsia="Times New Roman" w:hAnsi="Times New Roman" w:cs="Times New Roman"/>
          <w:sz w:val="24"/>
          <w:szCs w:val="24"/>
        </w:rPr>
      </w:pPr>
    </w:p>
    <w:p w14:paraId="57E0CB91" w14:textId="028EE195" w:rsidR="00AF285D" w:rsidRPr="00796736" w:rsidRDefault="00AF285D" w:rsidP="00A802A5">
      <w:pPr>
        <w:spacing w:line="360" w:lineRule="auto"/>
        <w:ind w:firstLine="238"/>
        <w:jc w:val="center"/>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Overgangsbestemmelser</w:t>
      </w:r>
    </w:p>
    <w:bookmarkStart w:id="657" w:name="_Ref237008665"/>
    <w:p w14:paraId="5745C9BD" w14:textId="11B67EA6" w:rsidR="004A72D6" w:rsidRPr="006A4FC6" w:rsidRDefault="00AF285D" w:rsidP="00300348">
      <w:pPr>
        <w:pStyle w:val="Typografi1"/>
        <w:ind w:left="0" w:firstLine="238"/>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_Ref232596553 \n \h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bookmarkStart w:id="658" w:name="_Toc244879185"/>
      <w:bookmarkStart w:id="659" w:name="_Toc244880709"/>
      <w:r w:rsidR="008F29E5">
        <w:rPr>
          <w:rFonts w:ascii="Times New Roman" w:eastAsia="Times New Roman" w:hAnsi="Times New Roman" w:cs="Times New Roman"/>
          <w:sz w:val="24"/>
          <w:szCs w:val="24"/>
          <w:lang w:eastAsia="da-DK"/>
        </w:rPr>
        <w:t>§ 41</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nr. 5, finder anvendelse for virksomheder, der ansøger om tilladelse til valutavekslingsvirksomhed efter den 10. juli 2027. </w:t>
      </w:r>
      <w:r w:rsidRPr="00796736">
        <w:rPr>
          <w:rFonts w:ascii="Times New Roman" w:eastAsia="Calibri" w:hAnsi="Times New Roman" w:cs="Times New Roman"/>
          <w:iCs/>
          <w:sz w:val="24"/>
          <w:szCs w:val="24"/>
        </w:rPr>
        <w:t xml:space="preserve">For virksomheder, der har opnået tilladelse inden denne dato, finder de hidtil gældende regler fortsat anvendelse, medmindre der sker ændringer i de forhold, der er omfattet af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_Ref232596553 \n \h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41</w:t>
      </w:r>
      <w:r w:rsidRPr="00796736">
        <w:rPr>
          <w:rFonts w:ascii="Times New Roman" w:eastAsia="Times New Roman" w:hAnsi="Times New Roman" w:cs="Times New Roman"/>
          <w:sz w:val="24"/>
          <w:szCs w:val="24"/>
          <w:lang w:eastAsia="da-DK"/>
        </w:rPr>
        <w:fldChar w:fldCharType="end"/>
      </w:r>
      <w:r w:rsidRPr="00796736">
        <w:rPr>
          <w:rFonts w:ascii="Times New Roman" w:eastAsia="Calibri" w:hAnsi="Times New Roman" w:cs="Times New Roman"/>
          <w:iCs/>
          <w:sz w:val="24"/>
          <w:szCs w:val="24"/>
        </w:rPr>
        <w:t>, nr.</w:t>
      </w:r>
      <w:r w:rsidR="004A72D6"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5.</w:t>
      </w:r>
      <w:bookmarkStart w:id="660" w:name="_Ref239342498"/>
      <w:bookmarkEnd w:id="657"/>
      <w:bookmarkEnd w:id="658"/>
      <w:bookmarkEnd w:id="659"/>
    </w:p>
    <w:p w14:paraId="54C93AB5" w14:textId="77777777" w:rsidR="006A4FC6" w:rsidRPr="006A4FC6" w:rsidRDefault="006A4FC6" w:rsidP="006A4FC6"/>
    <w:p w14:paraId="1E5DC9B3" w14:textId="6569784F" w:rsidR="002100A4" w:rsidRPr="002100A4" w:rsidRDefault="002100A4" w:rsidP="002100A4">
      <w:pPr>
        <w:pStyle w:val="Typografi1"/>
        <w:ind w:left="0" w:firstLine="238"/>
        <w:rPr>
          <w:rFonts w:ascii="Times New Roman" w:hAnsi="Times New Roman" w:cs="Times New Roman"/>
          <w:sz w:val="24"/>
          <w:szCs w:val="24"/>
        </w:rPr>
      </w:pPr>
      <w:bookmarkStart w:id="661" w:name="_Ref244880290"/>
      <w:bookmarkStart w:id="662" w:name="_Toc244880710"/>
      <w:r w:rsidRPr="002100A4">
        <w:rPr>
          <w:rFonts w:ascii="Times New Roman" w:hAnsi="Times New Roman" w:cs="Times New Roman"/>
          <w:sz w:val="24"/>
          <w:szCs w:val="24"/>
          <w:lang w:eastAsia="da-DK"/>
        </w:rPr>
        <w:t>§ 4, stk. 8, i lov om investeringsrådgivere og boligkreditformidlere, som affattet ved denne lovs § 153, nr. 4, og § 4 a, stk. 2, i lov om forbrugslånsvirksomheder og registrering af kreditformidlere, som affattet ved denne lovs § 152, nr. 6, finder ikke anvendelse for personer, der på ikrafttrædelsestidspunktet er reel ejer af henholdsvis en virksomhed, som har tilladelse af Finanstilsynet og er registreret hos Finanstilsynet, og som inden lovens ikrafttræden er pålagt strafansvar for overtrædelse af straffeloven, den finansielle lovgivning eller anden relevant lovgivning, og hvor overtrædelsen indebærer en risiko for, at vedkommende misbruger sin kontrollerende indflydelse. 1. pkt. finder ikke anvendelse, hvis den reelle ejer efter lovens ikrafttrædelse ønsker at øge sin ejerandel i den pågældende virksomhed eller ønsker at blive reel ejer af en anden virksomhed under Finanstilsynets tilsyn.</w:t>
      </w:r>
      <w:bookmarkEnd w:id="661"/>
      <w:bookmarkEnd w:id="662"/>
    </w:p>
    <w:p w14:paraId="1539E20A" w14:textId="5A63D9D5" w:rsidR="002100A4" w:rsidRPr="0048678E" w:rsidRDefault="002100A4" w:rsidP="002100A4">
      <w:pPr>
        <w:pStyle w:val="Typografi1"/>
        <w:numPr>
          <w:ilvl w:val="0"/>
          <w:numId w:val="0"/>
        </w:numPr>
        <w:ind w:firstLine="238"/>
        <w:contextualSpacing w:val="0"/>
        <w:rPr>
          <w:rFonts w:ascii="Times New Roman" w:hAnsi="Times New Roman" w:cs="Times New Roman"/>
          <w:sz w:val="24"/>
          <w:szCs w:val="24"/>
          <w:lang w:eastAsia="da-DK"/>
        </w:rPr>
      </w:pPr>
      <w:bookmarkStart w:id="663" w:name="_Toc244880711"/>
      <w:r>
        <w:rPr>
          <w:rFonts w:ascii="Times New Roman" w:hAnsi="Times New Roman" w:cs="Times New Roman"/>
          <w:i/>
          <w:iCs/>
          <w:sz w:val="24"/>
          <w:szCs w:val="24"/>
          <w:lang w:eastAsia="da-DK"/>
        </w:rPr>
        <w:t xml:space="preserve">Stk. 2. </w:t>
      </w:r>
      <w:r w:rsidRPr="00266C9B">
        <w:rPr>
          <w:rFonts w:ascii="Times New Roman" w:hAnsi="Times New Roman" w:cs="Times New Roman"/>
          <w:sz w:val="24"/>
          <w:szCs w:val="24"/>
          <w:lang w:eastAsia="da-DK"/>
        </w:rPr>
        <w:t>§</w:t>
      </w:r>
      <w:r>
        <w:rPr>
          <w:rFonts w:ascii="Times New Roman" w:hAnsi="Times New Roman" w:cs="Times New Roman"/>
          <w:sz w:val="24"/>
          <w:szCs w:val="24"/>
          <w:lang w:eastAsia="da-DK"/>
        </w:rPr>
        <w:t xml:space="preserve"> 48, jf. § 51, stk. 1 og 3,</w:t>
      </w:r>
      <w:r w:rsidRPr="00266C9B">
        <w:rPr>
          <w:rFonts w:ascii="Times New Roman" w:hAnsi="Times New Roman" w:cs="Times New Roman"/>
          <w:sz w:val="24"/>
          <w:szCs w:val="24"/>
          <w:lang w:eastAsia="da-DK"/>
        </w:rPr>
        <w:t xml:space="preserve"> i denne lov</w:t>
      </w:r>
      <w:r>
        <w:rPr>
          <w:rFonts w:ascii="Times New Roman" w:hAnsi="Times New Roman" w:cs="Times New Roman"/>
          <w:sz w:val="24"/>
          <w:szCs w:val="24"/>
          <w:lang w:eastAsia="da-DK"/>
        </w:rPr>
        <w:t>,</w:t>
      </w:r>
      <w:r w:rsidRPr="00266C9B">
        <w:rPr>
          <w:rFonts w:ascii="Times New Roman" w:hAnsi="Times New Roman" w:cs="Times New Roman"/>
          <w:sz w:val="24"/>
          <w:szCs w:val="24"/>
          <w:lang w:eastAsia="da-DK"/>
        </w:rPr>
        <w:t xml:space="preserve"> § </w:t>
      </w:r>
      <w:r>
        <w:rPr>
          <w:rFonts w:ascii="Times New Roman" w:hAnsi="Times New Roman" w:cs="Times New Roman"/>
          <w:sz w:val="24"/>
          <w:szCs w:val="24"/>
          <w:lang w:eastAsia="da-DK"/>
        </w:rPr>
        <w:t>4, stk. 7,</w:t>
      </w:r>
      <w:r w:rsidRPr="00266C9B">
        <w:rPr>
          <w:rFonts w:ascii="Times New Roman" w:hAnsi="Times New Roman" w:cs="Times New Roman"/>
          <w:sz w:val="24"/>
          <w:szCs w:val="24"/>
          <w:lang w:eastAsia="da-DK"/>
        </w:rPr>
        <w:t xml:space="preserve"> i lov om </w:t>
      </w:r>
      <w:r w:rsidRPr="00E04E8C">
        <w:rPr>
          <w:rFonts w:ascii="Times New Roman" w:hAnsi="Times New Roman" w:cs="Times New Roman"/>
          <w:sz w:val="24"/>
          <w:szCs w:val="24"/>
          <w:lang w:eastAsia="da-DK"/>
        </w:rPr>
        <w:t>investeringsrådgivere og boligkreditformidlere</w:t>
      </w:r>
      <w:r w:rsidRPr="00266C9B">
        <w:rPr>
          <w:rFonts w:ascii="Times New Roman" w:hAnsi="Times New Roman" w:cs="Times New Roman"/>
          <w:sz w:val="24"/>
          <w:szCs w:val="24"/>
          <w:lang w:eastAsia="da-DK"/>
        </w:rPr>
        <w:t xml:space="preserve">, som affattet ved denne lovs § </w:t>
      </w:r>
      <w:r>
        <w:rPr>
          <w:rFonts w:ascii="Times New Roman" w:hAnsi="Times New Roman" w:cs="Times New Roman"/>
          <w:sz w:val="24"/>
          <w:szCs w:val="24"/>
          <w:lang w:eastAsia="da-DK"/>
        </w:rPr>
        <w:t>153</w:t>
      </w:r>
      <w:r w:rsidRPr="00266C9B">
        <w:rPr>
          <w:rFonts w:ascii="Times New Roman" w:hAnsi="Times New Roman" w:cs="Times New Roman"/>
          <w:sz w:val="24"/>
          <w:szCs w:val="24"/>
          <w:lang w:eastAsia="da-DK"/>
        </w:rPr>
        <w:t xml:space="preserve">, nr. </w:t>
      </w:r>
      <w:r>
        <w:rPr>
          <w:rFonts w:ascii="Times New Roman" w:hAnsi="Times New Roman" w:cs="Times New Roman"/>
          <w:sz w:val="24"/>
          <w:szCs w:val="24"/>
          <w:lang w:eastAsia="da-DK"/>
        </w:rPr>
        <w:t>4</w:t>
      </w:r>
      <w:r w:rsidRPr="00266C9B">
        <w:rPr>
          <w:rFonts w:ascii="Times New Roman" w:hAnsi="Times New Roman" w:cs="Times New Roman"/>
          <w:sz w:val="24"/>
          <w:szCs w:val="24"/>
          <w:lang w:eastAsia="da-DK"/>
        </w:rPr>
        <w:t xml:space="preserve">, </w:t>
      </w:r>
      <w:r>
        <w:rPr>
          <w:rFonts w:ascii="Times New Roman" w:hAnsi="Times New Roman" w:cs="Times New Roman"/>
          <w:sz w:val="24"/>
          <w:szCs w:val="24"/>
          <w:lang w:eastAsia="da-DK"/>
        </w:rPr>
        <w:t xml:space="preserve">og § 4 a, stk. 1, i lov om forbrugslånsvirksomheder og registrering af kreditformidlere, som affattet ved denne lovs § 152, nr. 6, </w:t>
      </w:r>
      <w:r w:rsidRPr="00266C9B">
        <w:rPr>
          <w:rFonts w:ascii="Times New Roman" w:hAnsi="Times New Roman" w:cs="Times New Roman"/>
          <w:sz w:val="24"/>
          <w:szCs w:val="24"/>
          <w:lang w:eastAsia="da-DK"/>
        </w:rPr>
        <w:t xml:space="preserve">finder ikke anvendelse for personer, der på ikrafttrædelsestidspunktet er udpeget som en person som omhandlet i artikel 11, stk. 2, i hvidvaskforordningen i en virksomhed, som er registreret eller </w:t>
      </w:r>
      <w:r w:rsidRPr="00D41B95">
        <w:rPr>
          <w:rFonts w:ascii="Times New Roman" w:hAnsi="Times New Roman" w:cs="Times New Roman"/>
          <w:sz w:val="24"/>
          <w:szCs w:val="24"/>
          <w:lang w:eastAsia="da-DK"/>
        </w:rPr>
        <w:t>har tilladelse af</w:t>
      </w:r>
      <w:r w:rsidRPr="00266C9B">
        <w:rPr>
          <w:rFonts w:ascii="Times New Roman" w:hAnsi="Times New Roman" w:cs="Times New Roman"/>
          <w:sz w:val="24"/>
          <w:szCs w:val="24"/>
          <w:lang w:eastAsia="da-DK"/>
        </w:rPr>
        <w:t xml:space="preserve"> Finanstilsynet, og som inden lovens ikrafttræden er pålagt strafansvar for overtrædelse af straffeloven, den finansielle lovgivning eller anden relevant lovgivning, og hvor overtrædelsen indebærer en risiko for, at vedkommende misbruger sin stilling eller sit hverv.</w:t>
      </w:r>
      <w:r>
        <w:rPr>
          <w:rFonts w:ascii="Times New Roman" w:hAnsi="Times New Roman" w:cs="Times New Roman"/>
          <w:sz w:val="24"/>
          <w:szCs w:val="24"/>
          <w:lang w:eastAsia="da-DK"/>
        </w:rPr>
        <w:t xml:space="preserve"> </w:t>
      </w:r>
      <w:r w:rsidRPr="00266C9B">
        <w:rPr>
          <w:rFonts w:ascii="Times New Roman" w:hAnsi="Times New Roman" w:cs="Times New Roman"/>
          <w:sz w:val="24"/>
          <w:szCs w:val="24"/>
          <w:lang w:eastAsia="da-DK"/>
        </w:rPr>
        <w:t xml:space="preserve">1. pkt. finder ikke anvendelse, hvis den </w:t>
      </w:r>
      <w:r>
        <w:rPr>
          <w:rFonts w:ascii="Times New Roman" w:hAnsi="Times New Roman" w:cs="Times New Roman"/>
          <w:sz w:val="24"/>
          <w:szCs w:val="24"/>
          <w:lang w:eastAsia="da-DK"/>
        </w:rPr>
        <w:t>pågældende</w:t>
      </w:r>
      <w:r w:rsidRPr="00266C9B">
        <w:rPr>
          <w:rFonts w:ascii="Times New Roman" w:hAnsi="Times New Roman" w:cs="Times New Roman"/>
          <w:sz w:val="24"/>
          <w:szCs w:val="24"/>
          <w:lang w:eastAsia="da-DK"/>
        </w:rPr>
        <w:t xml:space="preserve"> efter lovens ikrafttrædelse </w:t>
      </w:r>
      <w:r>
        <w:rPr>
          <w:rFonts w:ascii="Times New Roman" w:hAnsi="Times New Roman" w:cs="Times New Roman"/>
          <w:sz w:val="24"/>
          <w:szCs w:val="24"/>
          <w:lang w:eastAsia="da-DK"/>
        </w:rPr>
        <w:t xml:space="preserve">ønsker at blive udpeget </w:t>
      </w:r>
      <w:r w:rsidRPr="00266C9B">
        <w:rPr>
          <w:rFonts w:ascii="Times New Roman" w:hAnsi="Times New Roman" w:cs="Times New Roman"/>
          <w:sz w:val="24"/>
          <w:szCs w:val="24"/>
          <w:lang w:eastAsia="da-DK"/>
        </w:rPr>
        <w:t xml:space="preserve">som en person som omhandlet i artikel 11, stk. 2, i hvidvaskforordningen </w:t>
      </w:r>
      <w:r>
        <w:rPr>
          <w:rFonts w:ascii="Times New Roman" w:hAnsi="Times New Roman" w:cs="Times New Roman"/>
          <w:sz w:val="24"/>
          <w:szCs w:val="24"/>
          <w:lang w:eastAsia="da-DK"/>
        </w:rPr>
        <w:t xml:space="preserve">i </w:t>
      </w:r>
      <w:r w:rsidRPr="00266C9B">
        <w:rPr>
          <w:rFonts w:ascii="Times New Roman" w:hAnsi="Times New Roman" w:cs="Times New Roman"/>
          <w:sz w:val="24"/>
          <w:szCs w:val="24"/>
          <w:lang w:eastAsia="da-DK"/>
        </w:rPr>
        <w:t>en anden virksomhed under Finanstilsynets tilsyn.</w:t>
      </w:r>
      <w:bookmarkEnd w:id="663"/>
      <w:r>
        <w:rPr>
          <w:rFonts w:ascii="Times New Roman" w:hAnsi="Times New Roman" w:cs="Times New Roman"/>
          <w:sz w:val="24"/>
          <w:szCs w:val="24"/>
          <w:lang w:eastAsia="da-DK"/>
        </w:rPr>
        <w:t xml:space="preserve"> </w:t>
      </w:r>
    </w:p>
    <w:p w14:paraId="7FD87286" w14:textId="38F736B9" w:rsidR="004A72D6" w:rsidRPr="00796736" w:rsidRDefault="004A72D6" w:rsidP="00A802A5">
      <w:pPr>
        <w:spacing w:line="360" w:lineRule="auto"/>
        <w:rPr>
          <w:rFonts w:ascii="Times New Roman" w:hAnsi="Times New Roman" w:cs="Times New Roman"/>
          <w:sz w:val="24"/>
          <w:szCs w:val="24"/>
        </w:rPr>
      </w:pPr>
    </w:p>
    <w:p w14:paraId="0DB381A1" w14:textId="71404D8D" w:rsidR="00BE5101" w:rsidRPr="00796736" w:rsidRDefault="004A72D6" w:rsidP="00300348">
      <w:pPr>
        <w:pStyle w:val="Typografi1"/>
        <w:ind w:left="0" w:firstLine="238"/>
        <w:rPr>
          <w:rFonts w:ascii="Times New Roman" w:hAnsi="Times New Roman" w:cs="Times New Roman"/>
          <w:sz w:val="24"/>
          <w:szCs w:val="24"/>
        </w:rPr>
      </w:pPr>
      <w:bookmarkStart w:id="664" w:name="_Ref241685000"/>
      <w:bookmarkStart w:id="665" w:name="_Toc244879187"/>
      <w:bookmarkStart w:id="666" w:name="_Toc244880712"/>
      <w:r w:rsidRPr="00796736">
        <w:rPr>
          <w:rFonts w:ascii="Times New Roman" w:eastAsia="Times New Roman" w:hAnsi="Times New Roman" w:cs="Times New Roman"/>
          <w:sz w:val="24"/>
          <w:szCs w:val="24"/>
        </w:rPr>
        <w:t xml:space="preserve">For virksomheder og personer, der 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_Ref233022553 \r \h </w:instrText>
      </w:r>
      <w:r w:rsidR="001A2696"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83</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og som registreres efter den 10. juli 2027, finder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_Ref233022553 \r \h </w:instrText>
      </w:r>
      <w:r w:rsidR="001A2696"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83</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2, nr. 3 og 4</w:t>
      </w:r>
      <w:r w:rsidRPr="00796736">
        <w:rPr>
          <w:rFonts w:ascii="Times New Roman" w:hAnsi="Times New Roman" w:cs="Times New Roman"/>
          <w:sz w:val="24"/>
          <w:szCs w:val="24"/>
        </w:rPr>
        <w:t>,</w:t>
      </w:r>
      <w:r w:rsidRPr="00796736">
        <w:rPr>
          <w:rFonts w:ascii="Times New Roman" w:eastAsia="Times New Roman" w:hAnsi="Times New Roman" w:cs="Times New Roman"/>
          <w:sz w:val="24"/>
          <w:szCs w:val="24"/>
        </w:rPr>
        <w:t xml:space="preserve"> anvendelse. For virksomheder og personer, der er registreret eller anmoder om registrering inden denne dato, finder de hidtil gældende regler anvendelse, indtil virksomheden eller personen foretager en ny registrering eller der sker ændring af de forhold, der 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_Ref233022553 \r \h </w:instrText>
      </w:r>
      <w:r w:rsidR="001A2696"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83</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2, nr. 3 og 4.</w:t>
      </w:r>
      <w:bookmarkEnd w:id="660"/>
      <w:bookmarkEnd w:id="664"/>
      <w:bookmarkEnd w:id="665"/>
      <w:bookmarkEnd w:id="666"/>
    </w:p>
    <w:p w14:paraId="5E2C8D2E" w14:textId="77777777" w:rsidR="00283EB1" w:rsidRPr="00796736" w:rsidRDefault="00283EB1" w:rsidP="00A802A5">
      <w:pPr>
        <w:spacing w:line="360" w:lineRule="auto"/>
        <w:rPr>
          <w:rFonts w:ascii="Times New Roman" w:hAnsi="Times New Roman" w:cs="Times New Roman"/>
          <w:sz w:val="24"/>
          <w:szCs w:val="24"/>
        </w:rPr>
      </w:pPr>
    </w:p>
    <w:p w14:paraId="7FAD09D9" w14:textId="77777777" w:rsidR="0042556A" w:rsidRPr="00796736" w:rsidRDefault="0042556A" w:rsidP="00300348">
      <w:pPr>
        <w:pStyle w:val="Typografi1"/>
        <w:ind w:left="0" w:firstLine="238"/>
        <w:rPr>
          <w:rFonts w:ascii="Times New Roman" w:eastAsia="Times New Roman" w:hAnsi="Times New Roman" w:cs="Times New Roman"/>
          <w:i/>
          <w:iCs/>
          <w:sz w:val="24"/>
          <w:szCs w:val="24"/>
        </w:rPr>
      </w:pPr>
      <w:bookmarkStart w:id="667" w:name="_Ref242816170"/>
      <w:bookmarkStart w:id="668" w:name="_Toc244879188"/>
      <w:bookmarkStart w:id="669" w:name="_Toc244880713"/>
      <w:r w:rsidRPr="00796736">
        <w:rPr>
          <w:rFonts w:ascii="Times New Roman" w:eastAsia="Times New Roman" w:hAnsi="Times New Roman" w:cs="Times New Roman"/>
          <w:sz w:val="24"/>
          <w:szCs w:val="24"/>
        </w:rPr>
        <w:t>Finanstilsynet, Erhvervsstyrelsen, Advokatrådet og Spillemyndigheden kan [efter indstilling fra anklagemyndigheden] påbyde virksomheder og personer at opbevare oplysninger eller dokumenter omfattet af hvidvaskforordningens artikel 77, stk. 1 og 2, i en periode på op til 10 år fra den 10. juli 2027, når oplysningerne vedrører en retssag om forebyggelse, opdagelse, efterforskning eller retsforfølgning af formodet hvidvask eller terrorfinansiering, hvori der ikke er afsagt dom inden den 10. juli 2027. Et påbud efter 1. pkt. kan kun meddeles, når en sådan yderligere opbevaring er nødvendig og forholdsmæssig med henblik på forebyggelse, opdagelse, efterforskning eller retsforfølgning af formodet hvidvask eller terrorfinansiering.</w:t>
      </w:r>
      <w:bookmarkEnd w:id="667"/>
      <w:bookmarkEnd w:id="668"/>
      <w:bookmarkEnd w:id="669"/>
      <w:r w:rsidRPr="00796736">
        <w:rPr>
          <w:rFonts w:ascii="Times New Roman" w:hAnsi="Times New Roman" w:cs="Times New Roman"/>
          <w:sz w:val="24"/>
          <w:szCs w:val="24"/>
        </w:rPr>
        <w:t xml:space="preserve"> </w:t>
      </w:r>
    </w:p>
    <w:p w14:paraId="263A0B33" w14:textId="77777777" w:rsidR="00283EB1" w:rsidRPr="00796736" w:rsidRDefault="00283EB1" w:rsidP="00A802A5">
      <w:pPr>
        <w:spacing w:line="360" w:lineRule="auto"/>
        <w:rPr>
          <w:rFonts w:ascii="Times New Roman" w:hAnsi="Times New Roman" w:cs="Times New Roman"/>
          <w:sz w:val="24"/>
          <w:szCs w:val="24"/>
        </w:rPr>
      </w:pPr>
    </w:p>
    <w:p w14:paraId="0F98D722" w14:textId="77777777" w:rsidR="00AF285D" w:rsidRPr="00796736" w:rsidRDefault="00AF285D" w:rsidP="00A802A5">
      <w:pPr>
        <w:spacing w:line="360" w:lineRule="auto"/>
        <w:jc w:val="left"/>
        <w:rPr>
          <w:rFonts w:ascii="Times New Roman" w:eastAsia="Times New Roman" w:hAnsi="Times New Roman" w:cs="Times New Roman"/>
          <w:sz w:val="24"/>
          <w:szCs w:val="24"/>
        </w:rPr>
      </w:pPr>
    </w:p>
    <w:p w14:paraId="0590476D" w14:textId="0D519DE2" w:rsidR="00AF285D" w:rsidRPr="00796736" w:rsidRDefault="00AF285D" w:rsidP="00A802A5">
      <w:pPr>
        <w:spacing w:line="360" w:lineRule="auto"/>
        <w:ind w:firstLine="238"/>
        <w:jc w:val="center"/>
        <w:rPr>
          <w:rFonts w:ascii="Times New Roman" w:eastAsia="Times New Roman" w:hAnsi="Times New Roman" w:cs="Times New Roman"/>
          <w:sz w:val="24"/>
          <w:szCs w:val="24"/>
        </w:rPr>
      </w:pPr>
      <w:r w:rsidRPr="00796736">
        <w:rPr>
          <w:rFonts w:ascii="Times New Roman" w:eastAsia="Times New Roman" w:hAnsi="Times New Roman" w:cs="Times New Roman"/>
          <w:i/>
          <w:iCs/>
          <w:sz w:val="24"/>
          <w:szCs w:val="24"/>
        </w:rPr>
        <w:t>Territorialbestemmelse</w:t>
      </w:r>
    </w:p>
    <w:p w14:paraId="4BD1403D" w14:textId="75FBC03C" w:rsidR="00A8275F" w:rsidRPr="00796736" w:rsidRDefault="00A8275F" w:rsidP="00300348">
      <w:pPr>
        <w:pStyle w:val="Typografi1"/>
        <w:ind w:left="0" w:firstLine="238"/>
        <w:rPr>
          <w:rFonts w:ascii="Times New Roman" w:hAnsi="Times New Roman" w:cs="Times New Roman"/>
          <w:sz w:val="24"/>
          <w:szCs w:val="24"/>
        </w:rPr>
      </w:pPr>
      <w:bookmarkStart w:id="670" w:name="_Toc244879189"/>
      <w:bookmarkStart w:id="671" w:name="_Toc244880714"/>
      <w:r w:rsidRPr="00796736">
        <w:rPr>
          <w:rFonts w:ascii="Times New Roman" w:hAnsi="Times New Roman" w:cs="Times New Roman"/>
          <w:sz w:val="24"/>
          <w:szCs w:val="24"/>
        </w:rPr>
        <w:t>Loven gælder ikke for Færøerne og Grønland, men kan ved kongelig anordning sættes helt eller delvist i kraft for Færøerne og Grønland med de ændringer, som de færøske og grønlandske forhold tilsiger.</w:t>
      </w:r>
      <w:bookmarkEnd w:id="670"/>
      <w:bookmarkEnd w:id="671"/>
    </w:p>
    <w:p w14:paraId="3791922C" w14:textId="77777777" w:rsidR="00892A99" w:rsidRPr="00796736" w:rsidRDefault="00892A99" w:rsidP="00A802A5">
      <w:pPr>
        <w:spacing w:line="360" w:lineRule="auto"/>
        <w:rPr>
          <w:rFonts w:ascii="Times New Roman" w:hAnsi="Times New Roman" w:cs="Times New Roman"/>
          <w:sz w:val="24"/>
          <w:szCs w:val="24"/>
        </w:rPr>
      </w:pPr>
    </w:p>
    <w:p w14:paraId="66A1783A" w14:textId="77777777" w:rsidR="00892A99" w:rsidRPr="00796736" w:rsidRDefault="00892A99" w:rsidP="00A802A5">
      <w:pPr>
        <w:spacing w:line="360" w:lineRule="auto"/>
        <w:rPr>
          <w:rFonts w:ascii="Times New Roman" w:eastAsia="Times New Roman" w:hAnsi="Times New Roman" w:cs="Times New Roman"/>
          <w:b/>
          <w:bCs/>
          <w:sz w:val="24"/>
          <w:szCs w:val="24"/>
          <w:lang w:eastAsia="da-DK"/>
        </w:rPr>
      </w:pPr>
    </w:p>
    <w:p w14:paraId="5E097897" w14:textId="5A01F48E" w:rsidR="004E155B" w:rsidRPr="00796736" w:rsidRDefault="00892A99" w:rsidP="00A802A5">
      <w:pPr>
        <w:spacing w:after="200" w:line="360" w:lineRule="auto"/>
        <w:jc w:val="right"/>
        <w:rPr>
          <w:rFonts w:ascii="Times New Roman" w:hAnsi="Times New Roman" w:cs="Times New Roman"/>
          <w:b/>
          <w:bCs/>
          <w:sz w:val="24"/>
          <w:szCs w:val="24"/>
        </w:rPr>
      </w:pPr>
      <w:r w:rsidRPr="00796736">
        <w:rPr>
          <w:rFonts w:ascii="Times New Roman" w:eastAsia="Times New Roman" w:hAnsi="Times New Roman" w:cs="Times New Roman"/>
          <w:sz w:val="24"/>
          <w:szCs w:val="24"/>
          <w:lang w:eastAsia="da-DK"/>
        </w:rPr>
        <w:br w:type="page"/>
      </w:r>
      <w:r w:rsidR="004E155B" w:rsidRPr="00796736">
        <w:rPr>
          <w:rFonts w:ascii="Times New Roman" w:hAnsi="Times New Roman" w:cs="Times New Roman"/>
          <w:b/>
          <w:bCs/>
          <w:sz w:val="24"/>
          <w:szCs w:val="24"/>
        </w:rPr>
        <w:t>Bilag 1</w:t>
      </w:r>
    </w:p>
    <w:p w14:paraId="2C6416A1" w14:textId="28BA25EC" w:rsidR="004E155B" w:rsidRPr="00796736" w:rsidRDefault="004E155B" w:rsidP="00A802A5">
      <w:pPr>
        <w:spacing w:line="360" w:lineRule="auto"/>
        <w:jc w:val="center"/>
        <w:rPr>
          <w:rFonts w:ascii="Times New Roman" w:hAnsi="Times New Roman" w:cs="Times New Roman"/>
          <w:i/>
          <w:iCs/>
          <w:sz w:val="24"/>
          <w:szCs w:val="24"/>
        </w:rPr>
      </w:pPr>
      <w:r w:rsidRPr="00796736">
        <w:rPr>
          <w:rFonts w:ascii="Times New Roman" w:hAnsi="Times New Roman" w:cs="Times New Roman"/>
          <w:i/>
          <w:iCs/>
          <w:sz w:val="24"/>
          <w:szCs w:val="24"/>
        </w:rPr>
        <w:t xml:space="preserve">Bilag 1, jf. § </w:t>
      </w:r>
      <w:r w:rsidR="003376CB" w:rsidRPr="00796736">
        <w:rPr>
          <w:rFonts w:ascii="Times New Roman" w:hAnsi="Times New Roman" w:cs="Times New Roman"/>
          <w:i/>
          <w:iCs/>
          <w:sz w:val="24"/>
          <w:szCs w:val="24"/>
        </w:rPr>
        <w:t>2</w:t>
      </w:r>
      <w:r w:rsidRPr="00796736">
        <w:rPr>
          <w:rFonts w:ascii="Times New Roman" w:hAnsi="Times New Roman" w:cs="Times New Roman"/>
          <w:i/>
          <w:iCs/>
          <w:sz w:val="24"/>
          <w:szCs w:val="24"/>
        </w:rPr>
        <w:t>, nr. 8</w:t>
      </w:r>
    </w:p>
    <w:p w14:paraId="16C4F183" w14:textId="77777777" w:rsidR="004E155B" w:rsidRPr="00796736" w:rsidRDefault="004E155B" w:rsidP="00A802A5">
      <w:pPr>
        <w:spacing w:line="360" w:lineRule="auto"/>
        <w:rPr>
          <w:rFonts w:ascii="Times New Roman" w:hAnsi="Times New Roman" w:cs="Times New Roman"/>
          <w:i/>
          <w:iCs/>
          <w:sz w:val="24"/>
          <w:szCs w:val="24"/>
        </w:rPr>
      </w:pPr>
    </w:p>
    <w:p w14:paraId="1C71EBF5"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1) Modtagelse af indlån og andre tilbagebetalingspligtige midler. </w:t>
      </w:r>
    </w:p>
    <w:p w14:paraId="5975E6C6"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2) Udlånsvirksomhed, herunder </w:t>
      </w:r>
    </w:p>
    <w:p w14:paraId="1B2332CB"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 forbrugerkreditter </w:t>
      </w:r>
    </w:p>
    <w:p w14:paraId="306048B3"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 realkreditlån </w:t>
      </w:r>
    </w:p>
    <w:p w14:paraId="78D1C248"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c) factoring og diskontering </w:t>
      </w:r>
    </w:p>
    <w:p w14:paraId="22173A65"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 handelskreditter (inkl. forfaitering) </w:t>
      </w:r>
    </w:p>
    <w:p w14:paraId="70280071"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3) Finansiel leasing. </w:t>
      </w:r>
    </w:p>
    <w:p w14:paraId="49A5E164"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4) Udstedelse og administration af andre betalingsmidler (for eksempel rejsechecks og bankveksler), i det omfang aktiviteten ikke er omfattet af lov om betalingstjenester og elektroniske penge. </w:t>
      </w:r>
    </w:p>
    <w:p w14:paraId="7BC49A5B"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5) Sikkerhedsstillelse og garantier. </w:t>
      </w:r>
    </w:p>
    <w:p w14:paraId="40629DE1"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6) Transaktioner for kunders regning vedrørende </w:t>
      </w:r>
    </w:p>
    <w:p w14:paraId="224F8E4B"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 pengemarkedsinstrumenter (checks, veksler, indskudsbeviser m.v.), </w:t>
      </w:r>
    </w:p>
    <w:p w14:paraId="611286A5"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 valutamarkedet, </w:t>
      </w:r>
    </w:p>
    <w:p w14:paraId="1EC45903"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c) finansielle futures og optioner, </w:t>
      </w:r>
    </w:p>
    <w:p w14:paraId="6D977F3C"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 valuta- og renteinstrumenter, </w:t>
      </w:r>
    </w:p>
    <w:p w14:paraId="67F91502"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 værdipapirer. </w:t>
      </w:r>
    </w:p>
    <w:p w14:paraId="59A7E370"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7) Medvirken ved emission af værdipapirer og tjenesteydelser i forbindelse hermed. </w:t>
      </w:r>
    </w:p>
    <w:p w14:paraId="18CD273E"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8) Rådgivning til virksomheder vedrørende kapitalstruktur, industristrategi og dermed beslægtede spørgsmål samt rådgivning og tjenesteydelser vedrørende sammenslutning og opkøb af virksomheder. </w:t>
      </w:r>
    </w:p>
    <w:p w14:paraId="11672A0D"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9) Pengeformidling (money broking). </w:t>
      </w:r>
    </w:p>
    <w:p w14:paraId="3DC4F4DD"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10) Porteføljeadministration og -rådgivning. </w:t>
      </w:r>
    </w:p>
    <w:p w14:paraId="47F28858"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11) Opbevaring og forvaltning af værdipapirer. </w:t>
      </w:r>
    </w:p>
    <w:p w14:paraId="3E656B70" w14:textId="77777777" w:rsidR="004E155B" w:rsidRPr="00796736" w:rsidRDefault="004E15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12) Boksudlejning.</w:t>
      </w:r>
    </w:p>
    <w:p w14:paraId="53D78EDD" w14:textId="77777777" w:rsidR="004E155B" w:rsidRPr="00796736" w:rsidRDefault="004E155B" w:rsidP="00A802A5">
      <w:pPr>
        <w:spacing w:after="200" w:line="360" w:lineRule="auto"/>
        <w:rPr>
          <w:rFonts w:ascii="Times New Roman" w:hAnsi="Times New Roman" w:cs="Times New Roman"/>
          <w:sz w:val="24"/>
          <w:szCs w:val="24"/>
        </w:rPr>
      </w:pPr>
    </w:p>
    <w:p w14:paraId="78EF18E5" w14:textId="77777777" w:rsidR="000809B1" w:rsidRPr="00796736" w:rsidRDefault="000809B1" w:rsidP="00A802A5">
      <w:pPr>
        <w:spacing w:line="360" w:lineRule="auto"/>
        <w:rPr>
          <w:rFonts w:ascii="Times New Roman" w:eastAsia="Times New Roman" w:hAnsi="Times New Roman" w:cs="Times New Roman"/>
          <w:sz w:val="24"/>
          <w:szCs w:val="24"/>
          <w:lang w:eastAsia="da-DK"/>
        </w:rPr>
        <w:sectPr w:rsidR="000809B1" w:rsidRPr="00796736" w:rsidSect="00E45B12">
          <w:headerReference w:type="even" r:id="rId15"/>
          <w:headerReference w:type="default" r:id="rId16"/>
          <w:footerReference w:type="default" r:id="rId17"/>
          <w:headerReference w:type="first" r:id="rId18"/>
          <w:pgSz w:w="11906" w:h="16838" w:code="9"/>
          <w:pgMar w:top="1418" w:right="3260" w:bottom="1134" w:left="1418" w:header="0" w:footer="709" w:gutter="0"/>
          <w:paperSrc w:first="15" w:other="15"/>
          <w:cols w:space="708"/>
          <w:titlePg/>
          <w:docGrid w:linePitch="360"/>
        </w:sectPr>
      </w:pPr>
    </w:p>
    <w:p w14:paraId="251C244E" w14:textId="2BE16A4C" w:rsidR="00A950E2" w:rsidRPr="00796736" w:rsidRDefault="005F7E66" w:rsidP="00A802A5">
      <w:pPr>
        <w:spacing w:line="360" w:lineRule="auto"/>
        <w:jc w:val="center"/>
        <w:rPr>
          <w:rFonts w:ascii="Times New Roman" w:hAnsi="Times New Roman" w:cs="Times New Roman"/>
          <w:i/>
          <w:iCs/>
          <w:sz w:val="24"/>
          <w:szCs w:val="24"/>
        </w:rPr>
      </w:pPr>
      <w:r w:rsidRPr="00796736">
        <w:rPr>
          <w:rFonts w:ascii="Times New Roman" w:hAnsi="Times New Roman" w:cs="Times New Roman"/>
          <w:i/>
          <w:iCs/>
          <w:sz w:val="24"/>
          <w:szCs w:val="24"/>
        </w:rPr>
        <w:t>Bemærkninger til lovforslaget</w:t>
      </w:r>
    </w:p>
    <w:p w14:paraId="6756B75F" w14:textId="04C59B3F" w:rsidR="00A950E2" w:rsidRPr="00796736" w:rsidRDefault="005F7E66" w:rsidP="00A802A5">
      <w:pPr>
        <w:spacing w:line="360" w:lineRule="auto"/>
        <w:jc w:val="center"/>
        <w:rPr>
          <w:rFonts w:ascii="Times New Roman" w:hAnsi="Times New Roman" w:cs="Times New Roman"/>
          <w:i/>
          <w:iCs/>
          <w:sz w:val="24"/>
          <w:szCs w:val="24"/>
        </w:rPr>
      </w:pPr>
      <w:r w:rsidRPr="00796736">
        <w:rPr>
          <w:rFonts w:ascii="Times New Roman" w:hAnsi="Times New Roman" w:cs="Times New Roman"/>
          <w:i/>
          <w:iCs/>
          <w:sz w:val="24"/>
          <w:szCs w:val="24"/>
        </w:rPr>
        <w:t>Almindelige bemærkninger</w:t>
      </w:r>
    </w:p>
    <w:p w14:paraId="001EBD21" w14:textId="77777777" w:rsidR="00A950E2" w:rsidRPr="00796736" w:rsidRDefault="00A950E2" w:rsidP="00A802A5">
      <w:pPr>
        <w:spacing w:line="360" w:lineRule="auto"/>
        <w:rPr>
          <w:rFonts w:ascii="Times New Roman" w:hAnsi="Times New Roman" w:cs="Times New Roman"/>
          <w:i/>
          <w:iCs/>
          <w:sz w:val="24"/>
          <w:szCs w:val="24"/>
        </w:rPr>
      </w:pPr>
    </w:p>
    <w:p w14:paraId="5B150DD0" w14:textId="1BB902B1" w:rsidR="00A950E2" w:rsidRPr="00796736" w:rsidRDefault="00A950E2" w:rsidP="00A802A5">
      <w:pPr>
        <w:spacing w:line="360" w:lineRule="auto"/>
        <w:jc w:val="center"/>
        <w:rPr>
          <w:rFonts w:ascii="Times New Roman" w:hAnsi="Times New Roman" w:cs="Times New Roman"/>
          <w:i/>
          <w:iCs/>
          <w:sz w:val="24"/>
          <w:szCs w:val="24"/>
        </w:rPr>
      </w:pPr>
      <w:r w:rsidRPr="00796736">
        <w:rPr>
          <w:rFonts w:ascii="Times New Roman" w:hAnsi="Times New Roman" w:cs="Times New Roman"/>
          <w:i/>
          <w:iCs/>
          <w:sz w:val="24"/>
          <w:szCs w:val="24"/>
        </w:rPr>
        <w:t>Indholdsfortegnelse</w:t>
      </w:r>
    </w:p>
    <w:sdt>
      <w:sdtPr>
        <w:id w:val="422080261"/>
        <w:docPartObj>
          <w:docPartGallery w:val="Table of Contents"/>
          <w:docPartUnique/>
        </w:docPartObj>
      </w:sdtPr>
      <w:sdtEndPr>
        <w:rPr>
          <w:rFonts w:ascii="Times New Roman" w:eastAsiaTheme="minorHAnsi" w:hAnsi="Times New Roman" w:cs="Times New Roman"/>
          <w:b/>
          <w:bCs/>
          <w:color w:val="auto"/>
          <w:sz w:val="24"/>
          <w:szCs w:val="24"/>
          <w:lang w:eastAsia="en-US"/>
        </w:rPr>
      </w:sdtEndPr>
      <w:sdtContent>
        <w:p w14:paraId="2A35A6B2" w14:textId="4D58D8EA" w:rsidR="006D778F" w:rsidRPr="00680657" w:rsidRDefault="006D778F" w:rsidP="00680657">
          <w:pPr>
            <w:pStyle w:val="Overskrift"/>
            <w:rPr>
              <w:rFonts w:ascii="Times New Roman" w:hAnsi="Times New Roman" w:cs="Times New Roman"/>
              <w:noProof/>
              <w:sz w:val="24"/>
              <w:szCs w:val="24"/>
            </w:rPr>
          </w:pPr>
          <w:r w:rsidRPr="00680657">
            <w:rPr>
              <w:rFonts w:ascii="Times New Roman" w:hAnsi="Times New Roman" w:cs="Times New Roman"/>
              <w:sz w:val="24"/>
              <w:szCs w:val="24"/>
            </w:rPr>
            <w:fldChar w:fldCharType="begin"/>
          </w:r>
          <w:r w:rsidRPr="00680657">
            <w:rPr>
              <w:rFonts w:ascii="Times New Roman" w:hAnsi="Times New Roman" w:cs="Times New Roman"/>
              <w:sz w:val="24"/>
              <w:szCs w:val="24"/>
            </w:rPr>
            <w:instrText xml:space="preserve"> TOC \o "1-3" \h \z \u </w:instrText>
          </w:r>
          <w:r w:rsidRPr="00680657">
            <w:rPr>
              <w:rFonts w:ascii="Times New Roman" w:hAnsi="Times New Roman" w:cs="Times New Roman"/>
              <w:sz w:val="24"/>
              <w:szCs w:val="24"/>
            </w:rPr>
            <w:fldChar w:fldCharType="separate"/>
          </w:r>
        </w:p>
        <w:p w14:paraId="76B65306" w14:textId="4C82BFD2" w:rsidR="006D778F" w:rsidRPr="00680657" w:rsidRDefault="006D778F">
          <w:pPr>
            <w:pStyle w:val="Indholdsfortegnelse1"/>
            <w:tabs>
              <w:tab w:val="left" w:pos="48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15" w:history="1">
            <w:r w:rsidRPr="00680657">
              <w:rPr>
                <w:rStyle w:val="Hyperlink"/>
                <w:rFonts w:ascii="Times New Roman" w:hAnsi="Times New Roman" w:cs="Times New Roman"/>
                <w:iCs/>
                <w:noProof/>
                <w:sz w:val="24"/>
                <w:szCs w:val="24"/>
              </w:rPr>
              <w:t>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iCs/>
                <w:noProof/>
                <w:sz w:val="24"/>
                <w:szCs w:val="24"/>
              </w:rPr>
              <w:t>Indledning</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_Toc244880715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139</w:t>
            </w:r>
            <w:r w:rsidRPr="00680657">
              <w:rPr>
                <w:rFonts w:ascii="Times New Roman" w:hAnsi="Times New Roman" w:cs="Times New Roman"/>
                <w:noProof/>
                <w:webHidden/>
                <w:sz w:val="24"/>
                <w:szCs w:val="24"/>
              </w:rPr>
              <w:fldChar w:fldCharType="end"/>
            </w:r>
          </w:hyperlink>
        </w:p>
        <w:p w14:paraId="4B9C042A" w14:textId="2B724899" w:rsidR="006D778F" w:rsidRPr="00680657" w:rsidRDefault="006D778F">
          <w:pPr>
            <w:pStyle w:val="Indholdsfortegnelse1"/>
            <w:tabs>
              <w:tab w:val="left" w:pos="48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16" w:history="1">
            <w:r w:rsidRPr="00680657">
              <w:rPr>
                <w:rStyle w:val="Hyperlink"/>
                <w:rFonts w:ascii="Times New Roman" w:hAnsi="Times New Roman" w:cs="Times New Roman"/>
                <w:iCs/>
                <w:noProof/>
                <w:sz w:val="24"/>
                <w:szCs w:val="24"/>
              </w:rPr>
              <w:t>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iCs/>
                <w:noProof/>
                <w:sz w:val="24"/>
                <w:szCs w:val="24"/>
              </w:rPr>
              <w:t>Baggrund</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_Toc244880716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141</w:t>
            </w:r>
            <w:r w:rsidRPr="00680657">
              <w:rPr>
                <w:rFonts w:ascii="Times New Roman" w:hAnsi="Times New Roman" w:cs="Times New Roman"/>
                <w:noProof/>
                <w:webHidden/>
                <w:sz w:val="24"/>
                <w:szCs w:val="24"/>
              </w:rPr>
              <w:fldChar w:fldCharType="end"/>
            </w:r>
          </w:hyperlink>
        </w:p>
        <w:p w14:paraId="3B58AA2E" w14:textId="78AE893E" w:rsidR="006D778F" w:rsidRPr="00680657" w:rsidRDefault="006D778F">
          <w:pPr>
            <w:pStyle w:val="Indholdsfortegnelse1"/>
            <w:tabs>
              <w:tab w:val="left" w:pos="48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17" w:history="1">
            <w:r w:rsidRPr="00680657">
              <w:rPr>
                <w:rStyle w:val="Hyperlink"/>
                <w:rFonts w:ascii="Times New Roman" w:hAnsi="Times New Roman" w:cs="Times New Roman"/>
                <w:iCs/>
                <w:noProof/>
                <w:sz w:val="24"/>
                <w:szCs w:val="24"/>
              </w:rPr>
              <w:t>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iCs/>
                <w:noProof/>
                <w:sz w:val="24"/>
                <w:szCs w:val="24"/>
              </w:rPr>
              <w:t>Lovforslagets hovedpunkter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_Toc244880717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144</w:t>
            </w:r>
            <w:r w:rsidRPr="00680657">
              <w:rPr>
                <w:rFonts w:ascii="Times New Roman" w:hAnsi="Times New Roman" w:cs="Times New Roman"/>
                <w:noProof/>
                <w:webHidden/>
                <w:sz w:val="24"/>
                <w:szCs w:val="24"/>
              </w:rPr>
              <w:fldChar w:fldCharType="end"/>
            </w:r>
          </w:hyperlink>
        </w:p>
        <w:p w14:paraId="53858844" w14:textId="12C59742"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18" w:history="1">
            <w:r w:rsidRPr="00680657">
              <w:rPr>
                <w:rStyle w:val="Hyperlink"/>
                <w:rFonts w:ascii="Times New Roman" w:hAnsi="Times New Roman" w:cs="Times New Roman"/>
                <w:noProof/>
                <w:sz w:val="24"/>
                <w:szCs w:val="24"/>
              </w:rPr>
              <w:t>3.1.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Lovens formål og anvendelsesområde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_Toc244880718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144</w:t>
            </w:r>
            <w:r w:rsidRPr="00680657">
              <w:rPr>
                <w:rFonts w:ascii="Times New Roman" w:hAnsi="Times New Roman" w:cs="Times New Roman"/>
                <w:noProof/>
                <w:webHidden/>
                <w:sz w:val="24"/>
                <w:szCs w:val="24"/>
              </w:rPr>
              <w:fldChar w:fldCharType="end"/>
            </w:r>
          </w:hyperlink>
        </w:p>
        <w:p w14:paraId="44C98593" w14:textId="1216CC6E"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19" w:history="1">
            <w:r w:rsidRPr="00680657">
              <w:rPr>
                <w:rStyle w:val="Hyperlink"/>
                <w:rFonts w:ascii="Times New Roman" w:hAnsi="Times New Roman" w:cs="Times New Roman"/>
                <w:noProof/>
                <w:sz w:val="24"/>
                <w:szCs w:val="24"/>
              </w:rPr>
              <w:t>3.2.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Definitionsbestemmels</w:t>
            </w:r>
            <w:r w:rsidRPr="00680657">
              <w:rPr>
                <w:rStyle w:val="Hyperlink"/>
                <w:rFonts w:ascii="Times New Roman" w:hAnsi="Times New Roman" w:cs="Times New Roman"/>
                <w:noProof/>
                <w:sz w:val="24"/>
                <w:szCs w:val="24"/>
              </w:rPr>
              <w:t>e</w:t>
            </w:r>
            <w:r w:rsidRPr="00680657">
              <w:rPr>
                <w:rStyle w:val="Hyperlink"/>
                <w:rFonts w:ascii="Times New Roman" w:hAnsi="Times New Roman" w:cs="Times New Roman"/>
                <w:noProof/>
                <w:sz w:val="24"/>
                <w:szCs w:val="24"/>
              </w:rPr>
              <w:t xml:space="preserve"> vedrørende de forpligtede enheder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_Toc244880719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161</w:t>
            </w:r>
            <w:r w:rsidRPr="00680657">
              <w:rPr>
                <w:rFonts w:ascii="Times New Roman" w:hAnsi="Times New Roman" w:cs="Times New Roman"/>
                <w:noProof/>
                <w:webHidden/>
                <w:sz w:val="24"/>
                <w:szCs w:val="24"/>
              </w:rPr>
              <w:fldChar w:fldCharType="end"/>
            </w:r>
          </w:hyperlink>
        </w:p>
        <w:p w14:paraId="02162F53" w14:textId="06EEB0F5"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0" w:history="1">
            <w:r w:rsidRPr="00680657">
              <w:rPr>
                <w:rStyle w:val="Hyperlink"/>
                <w:rFonts w:ascii="Times New Roman" w:hAnsi="Times New Roman" w:cs="Times New Roman"/>
                <w:noProof/>
                <w:sz w:val="24"/>
                <w:szCs w:val="24"/>
              </w:rPr>
              <w:t>3.3.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Forbud mod og begrænsning af kontantbetalinger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164</w:t>
            </w:r>
            <w:r w:rsidRPr="00680657">
              <w:rPr>
                <w:rFonts w:ascii="Times New Roman" w:hAnsi="Times New Roman" w:cs="Times New Roman"/>
                <w:noProof/>
                <w:webHidden/>
                <w:sz w:val="24"/>
                <w:szCs w:val="24"/>
              </w:rPr>
              <w:fldChar w:fldCharType="end"/>
            </w:r>
          </w:hyperlink>
        </w:p>
        <w:p w14:paraId="28222B3E" w14:textId="4B2F91F8"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1" w:history="1">
            <w:r w:rsidRPr="00680657">
              <w:rPr>
                <w:rStyle w:val="Hyperlink"/>
                <w:rFonts w:ascii="Times New Roman" w:hAnsi="Times New Roman" w:cs="Times New Roman"/>
                <w:noProof/>
                <w:sz w:val="24"/>
                <w:szCs w:val="24"/>
              </w:rPr>
              <w:t>3.4.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Falske penge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166</w:t>
            </w:r>
            <w:r w:rsidRPr="00680657">
              <w:rPr>
                <w:rFonts w:ascii="Times New Roman" w:hAnsi="Times New Roman" w:cs="Times New Roman"/>
                <w:noProof/>
                <w:webHidden/>
                <w:sz w:val="24"/>
                <w:szCs w:val="24"/>
              </w:rPr>
              <w:fldChar w:fldCharType="end"/>
            </w:r>
          </w:hyperlink>
        </w:p>
        <w:p w14:paraId="41E1A3D2" w14:textId="3C48089D"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2" w:history="1">
            <w:r w:rsidRPr="00680657">
              <w:rPr>
                <w:rStyle w:val="Hyperlink"/>
                <w:rFonts w:ascii="Times New Roman" w:hAnsi="Times New Roman" w:cs="Times New Roman"/>
                <w:noProof/>
                <w:sz w:val="24"/>
                <w:szCs w:val="24"/>
              </w:rPr>
              <w:t>3.5.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Forbud mod brug af 500-eurosedler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167</w:t>
            </w:r>
            <w:r w:rsidRPr="00680657">
              <w:rPr>
                <w:rFonts w:ascii="Times New Roman" w:hAnsi="Times New Roman" w:cs="Times New Roman"/>
                <w:noProof/>
                <w:webHidden/>
                <w:sz w:val="24"/>
                <w:szCs w:val="24"/>
              </w:rPr>
              <w:fldChar w:fldCharType="end"/>
            </w:r>
          </w:hyperlink>
        </w:p>
        <w:p w14:paraId="085685E9" w14:textId="546CB57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3" w:history="1">
            <w:r w:rsidRPr="00680657">
              <w:rPr>
                <w:rStyle w:val="Hyperlink"/>
                <w:rFonts w:ascii="Times New Roman" w:hAnsi="Times New Roman" w:cs="Times New Roman"/>
                <w:noProof/>
                <w:sz w:val="24"/>
                <w:szCs w:val="24"/>
              </w:rPr>
              <w:t>3.6.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Anvendelsesområde for skærpede kundekendskabsprocedurer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170</w:t>
            </w:r>
            <w:r w:rsidRPr="00680657">
              <w:rPr>
                <w:rFonts w:ascii="Times New Roman" w:hAnsi="Times New Roman" w:cs="Times New Roman"/>
                <w:noProof/>
                <w:webHidden/>
                <w:sz w:val="24"/>
                <w:szCs w:val="24"/>
              </w:rPr>
              <w:fldChar w:fldCharType="end"/>
            </w:r>
          </w:hyperlink>
        </w:p>
        <w:p w14:paraId="7A5BEE38" w14:textId="1A71E578"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4" w:history="1">
            <w:r w:rsidRPr="00680657">
              <w:rPr>
                <w:rStyle w:val="Hyperlink"/>
                <w:rFonts w:ascii="Times New Roman" w:hAnsi="Times New Roman" w:cs="Times New Roman"/>
                <w:noProof/>
                <w:sz w:val="24"/>
                <w:szCs w:val="24"/>
              </w:rPr>
              <w:t>3.7.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Anvendelse af lempede kundekendskabsprocedurer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173</w:t>
            </w:r>
            <w:r w:rsidRPr="00680657">
              <w:rPr>
                <w:rFonts w:ascii="Times New Roman" w:hAnsi="Times New Roman" w:cs="Times New Roman"/>
                <w:noProof/>
                <w:webHidden/>
                <w:sz w:val="24"/>
                <w:szCs w:val="24"/>
              </w:rPr>
              <w:fldChar w:fldCharType="end"/>
            </w:r>
          </w:hyperlink>
        </w:p>
        <w:p w14:paraId="33CECB7D" w14:textId="3BF13311"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5" w:history="1">
            <w:r w:rsidRPr="00680657">
              <w:rPr>
                <w:rStyle w:val="Hyperlink"/>
                <w:rFonts w:ascii="Times New Roman" w:hAnsi="Times New Roman" w:cs="Times New Roman"/>
                <w:noProof/>
                <w:sz w:val="24"/>
                <w:szCs w:val="24"/>
              </w:rPr>
              <w:t>3.8.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Liste over offentlige hverv/politisk eksponerede personer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176</w:t>
            </w:r>
            <w:r w:rsidRPr="00680657">
              <w:rPr>
                <w:rFonts w:ascii="Times New Roman" w:hAnsi="Times New Roman" w:cs="Times New Roman"/>
                <w:noProof/>
                <w:webHidden/>
                <w:sz w:val="24"/>
                <w:szCs w:val="24"/>
              </w:rPr>
              <w:fldChar w:fldCharType="end"/>
            </w:r>
          </w:hyperlink>
        </w:p>
        <w:p w14:paraId="1F6138AE" w14:textId="69C8B900"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6" w:history="1">
            <w:r w:rsidRPr="00680657">
              <w:rPr>
                <w:rStyle w:val="Hyperlink"/>
                <w:rFonts w:ascii="Times New Roman" w:hAnsi="Times New Roman" w:cs="Times New Roman"/>
                <w:noProof/>
                <w:sz w:val="24"/>
                <w:szCs w:val="24"/>
              </w:rPr>
              <w:t>3.9.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Fastsættelse af regler vedrørende risikovurdering på virksomhedsplan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179</w:t>
            </w:r>
            <w:r w:rsidRPr="00680657">
              <w:rPr>
                <w:rFonts w:ascii="Times New Roman" w:hAnsi="Times New Roman" w:cs="Times New Roman"/>
                <w:noProof/>
                <w:webHidden/>
                <w:sz w:val="24"/>
                <w:szCs w:val="24"/>
              </w:rPr>
              <w:fldChar w:fldCharType="end"/>
            </w:r>
          </w:hyperlink>
        </w:p>
        <w:p w14:paraId="6FC81C83" w14:textId="218BEE1E"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7" w:history="1">
            <w:r w:rsidRPr="00680657">
              <w:rPr>
                <w:rStyle w:val="Hyperlink"/>
                <w:rFonts w:ascii="Times New Roman" w:hAnsi="Times New Roman" w:cs="Times New Roman"/>
                <w:noProof/>
                <w:sz w:val="24"/>
                <w:szCs w:val="24"/>
              </w:rPr>
              <w:t>3.10.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Fastsættelse af regler om specifikke supplerende modforanstaltninger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181</w:t>
            </w:r>
            <w:r w:rsidRPr="00680657">
              <w:rPr>
                <w:rFonts w:ascii="Times New Roman" w:hAnsi="Times New Roman" w:cs="Times New Roman"/>
                <w:noProof/>
                <w:webHidden/>
                <w:sz w:val="24"/>
                <w:szCs w:val="24"/>
              </w:rPr>
              <w:fldChar w:fldCharType="end"/>
            </w:r>
          </w:hyperlink>
        </w:p>
        <w:p w14:paraId="6AFABB5C" w14:textId="3998CBAA"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8" w:history="1">
            <w:r w:rsidRPr="00680657">
              <w:rPr>
                <w:rStyle w:val="Hyperlink"/>
                <w:rFonts w:ascii="Times New Roman" w:hAnsi="Times New Roman" w:cs="Times New Roman"/>
                <w:noProof/>
                <w:sz w:val="24"/>
                <w:szCs w:val="24"/>
              </w:rPr>
              <w:t>3.11.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Opbevaring af oplysninger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185</w:t>
            </w:r>
            <w:r w:rsidRPr="00680657">
              <w:rPr>
                <w:rFonts w:ascii="Times New Roman" w:hAnsi="Times New Roman" w:cs="Times New Roman"/>
                <w:noProof/>
                <w:webHidden/>
                <w:sz w:val="24"/>
                <w:szCs w:val="24"/>
              </w:rPr>
              <w:fldChar w:fldCharType="end"/>
            </w:r>
          </w:hyperlink>
        </w:p>
        <w:p w14:paraId="2FF2964F" w14:textId="20ABF220"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29" w:history="1">
            <w:r w:rsidRPr="00680657">
              <w:rPr>
                <w:rStyle w:val="Hyperlink"/>
                <w:rFonts w:ascii="Times New Roman" w:hAnsi="Times New Roman" w:cs="Times New Roman"/>
                <w:noProof/>
                <w:sz w:val="24"/>
                <w:szCs w:val="24"/>
              </w:rPr>
              <w:t>3.12.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Indefrysning af midler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_Toc244880729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188</w:t>
            </w:r>
            <w:r w:rsidRPr="00680657">
              <w:rPr>
                <w:rFonts w:ascii="Times New Roman" w:hAnsi="Times New Roman" w:cs="Times New Roman"/>
                <w:noProof/>
                <w:webHidden/>
                <w:sz w:val="24"/>
                <w:szCs w:val="24"/>
              </w:rPr>
              <w:fldChar w:fldCharType="end"/>
            </w:r>
          </w:hyperlink>
        </w:p>
        <w:p w14:paraId="087D1F1B" w14:textId="2F8F2084"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0" w:history="1">
            <w:r w:rsidRPr="00680657">
              <w:rPr>
                <w:rStyle w:val="Hyperlink"/>
                <w:rFonts w:ascii="Times New Roman" w:hAnsi="Times New Roman" w:cs="Times New Roman"/>
                <w:noProof/>
                <w:sz w:val="24"/>
                <w:szCs w:val="24"/>
              </w:rPr>
              <w:t>3.13.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Hvidvasksekretariatet</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193</w:t>
            </w:r>
            <w:r w:rsidRPr="00680657">
              <w:rPr>
                <w:rFonts w:ascii="Times New Roman" w:hAnsi="Times New Roman" w:cs="Times New Roman"/>
                <w:noProof/>
                <w:webHidden/>
                <w:sz w:val="24"/>
                <w:szCs w:val="24"/>
              </w:rPr>
              <w:fldChar w:fldCharType="end"/>
            </w:r>
          </w:hyperlink>
        </w:p>
        <w:p w14:paraId="431F1072" w14:textId="2DDAF23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1" w:history="1">
            <w:r w:rsidRPr="00680657">
              <w:rPr>
                <w:rStyle w:val="Hyperlink"/>
                <w:rFonts w:ascii="Times New Roman" w:hAnsi="Times New Roman" w:cs="Times New Roman"/>
                <w:noProof/>
                <w:sz w:val="24"/>
                <w:szCs w:val="24"/>
              </w:rPr>
              <w:t>3.14.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Den ansvarlige for grundlæggende rettigheder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209</w:t>
            </w:r>
            <w:r w:rsidRPr="00680657">
              <w:rPr>
                <w:rFonts w:ascii="Times New Roman" w:hAnsi="Times New Roman" w:cs="Times New Roman"/>
                <w:noProof/>
                <w:webHidden/>
                <w:sz w:val="24"/>
                <w:szCs w:val="24"/>
              </w:rPr>
              <w:fldChar w:fldCharType="end"/>
            </w:r>
          </w:hyperlink>
        </w:p>
        <w:p w14:paraId="19C6C3C0" w14:textId="45677742"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2" w:history="1">
            <w:r w:rsidRPr="00680657">
              <w:rPr>
                <w:rStyle w:val="Hyperlink"/>
                <w:rFonts w:ascii="Times New Roman" w:hAnsi="Times New Roman" w:cs="Times New Roman"/>
                <w:noProof/>
                <w:sz w:val="24"/>
                <w:szCs w:val="24"/>
              </w:rPr>
              <w:t>3.15.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Adgang til oplysninger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211</w:t>
            </w:r>
            <w:r w:rsidRPr="00680657">
              <w:rPr>
                <w:rFonts w:ascii="Times New Roman" w:hAnsi="Times New Roman" w:cs="Times New Roman"/>
                <w:noProof/>
                <w:webHidden/>
                <w:sz w:val="24"/>
                <w:szCs w:val="24"/>
              </w:rPr>
              <w:fldChar w:fldCharType="end"/>
            </w:r>
          </w:hyperlink>
        </w:p>
        <w:p w14:paraId="79506A86" w14:textId="79D6DB2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3" w:history="1">
            <w:r w:rsidRPr="00680657">
              <w:rPr>
                <w:rStyle w:val="Hyperlink"/>
                <w:rFonts w:ascii="Times New Roman" w:hAnsi="Times New Roman" w:cs="Times New Roman"/>
                <w:noProof/>
                <w:sz w:val="24"/>
                <w:szCs w:val="24"/>
              </w:rPr>
              <w:t>3.16.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Svar på anmodning om oplysninger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222</w:t>
            </w:r>
            <w:r w:rsidRPr="00680657">
              <w:rPr>
                <w:rFonts w:ascii="Times New Roman" w:hAnsi="Times New Roman" w:cs="Times New Roman"/>
                <w:noProof/>
                <w:webHidden/>
                <w:sz w:val="24"/>
                <w:szCs w:val="24"/>
              </w:rPr>
              <w:fldChar w:fldCharType="end"/>
            </w:r>
          </w:hyperlink>
        </w:p>
        <w:p w14:paraId="1D13855A" w14:textId="66C9EE48"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4" w:history="1">
            <w:r w:rsidRPr="00680657">
              <w:rPr>
                <w:rStyle w:val="Hyperlink"/>
                <w:rFonts w:ascii="Times New Roman" w:hAnsi="Times New Roman" w:cs="Times New Roman"/>
                <w:noProof/>
                <w:sz w:val="24"/>
                <w:szCs w:val="24"/>
              </w:rPr>
              <w:t>3.17.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Fremlæggelse af oplysninger for tilsynsorganer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227</w:t>
            </w:r>
            <w:r w:rsidRPr="00680657">
              <w:rPr>
                <w:rFonts w:ascii="Times New Roman" w:hAnsi="Times New Roman" w:cs="Times New Roman"/>
                <w:noProof/>
                <w:webHidden/>
                <w:sz w:val="24"/>
                <w:szCs w:val="24"/>
              </w:rPr>
              <w:fldChar w:fldCharType="end"/>
            </w:r>
          </w:hyperlink>
        </w:p>
        <w:p w14:paraId="10EF8C1D" w14:textId="51766F3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5" w:history="1">
            <w:r w:rsidRPr="00680657">
              <w:rPr>
                <w:rStyle w:val="Hyperlink"/>
                <w:rFonts w:ascii="Times New Roman" w:hAnsi="Times New Roman" w:cs="Times New Roman"/>
                <w:noProof/>
                <w:sz w:val="24"/>
                <w:szCs w:val="24"/>
              </w:rPr>
              <w:t>3.18.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Påbud om suspension eller tilbageholdelse af godkendelse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232</w:t>
            </w:r>
            <w:r w:rsidRPr="00680657">
              <w:rPr>
                <w:rFonts w:ascii="Times New Roman" w:hAnsi="Times New Roman" w:cs="Times New Roman"/>
                <w:noProof/>
                <w:webHidden/>
                <w:sz w:val="24"/>
                <w:szCs w:val="24"/>
              </w:rPr>
              <w:fldChar w:fldCharType="end"/>
            </w:r>
          </w:hyperlink>
        </w:p>
        <w:p w14:paraId="50DEF3C6" w14:textId="460DFB8E"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6" w:history="1">
            <w:r w:rsidRPr="00680657">
              <w:rPr>
                <w:rStyle w:val="Hyperlink"/>
                <w:rFonts w:ascii="Times New Roman" w:hAnsi="Times New Roman" w:cs="Times New Roman"/>
                <w:noProof/>
                <w:sz w:val="24"/>
                <w:szCs w:val="24"/>
              </w:rPr>
              <w:t>3.19.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Instrukser om overvågning af transaktioner og aktiviteter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239</w:t>
            </w:r>
            <w:r w:rsidRPr="00680657">
              <w:rPr>
                <w:rFonts w:ascii="Times New Roman" w:hAnsi="Times New Roman" w:cs="Times New Roman"/>
                <w:noProof/>
                <w:webHidden/>
                <w:sz w:val="24"/>
                <w:szCs w:val="24"/>
              </w:rPr>
              <w:fldChar w:fldCharType="end"/>
            </w:r>
          </w:hyperlink>
        </w:p>
        <w:p w14:paraId="143AD876" w14:textId="1CEF171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7" w:history="1">
            <w:r w:rsidRPr="00680657">
              <w:rPr>
                <w:rStyle w:val="Hyperlink"/>
                <w:rFonts w:ascii="Times New Roman" w:hAnsi="Times New Roman" w:cs="Times New Roman"/>
                <w:noProof/>
                <w:sz w:val="24"/>
                <w:szCs w:val="24"/>
              </w:rPr>
              <w:t>3.20.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Varsler til forpligtede enheder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242</w:t>
            </w:r>
            <w:r w:rsidRPr="00680657">
              <w:rPr>
                <w:rFonts w:ascii="Times New Roman" w:hAnsi="Times New Roman" w:cs="Times New Roman"/>
                <w:noProof/>
                <w:webHidden/>
                <w:sz w:val="24"/>
                <w:szCs w:val="24"/>
              </w:rPr>
              <w:fldChar w:fldCharType="end"/>
            </w:r>
          </w:hyperlink>
        </w:p>
        <w:p w14:paraId="308EDF11" w14:textId="36DDE3D9"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8" w:history="1">
            <w:r w:rsidRPr="00680657">
              <w:rPr>
                <w:rStyle w:val="Hyperlink"/>
                <w:rFonts w:ascii="Times New Roman" w:hAnsi="Times New Roman" w:cs="Times New Roman"/>
                <w:noProof/>
                <w:sz w:val="24"/>
                <w:szCs w:val="24"/>
              </w:rPr>
              <w:t>3.21.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Årlig FIU-rapport</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245</w:t>
            </w:r>
            <w:r w:rsidRPr="00680657">
              <w:rPr>
                <w:rFonts w:ascii="Times New Roman" w:hAnsi="Times New Roman" w:cs="Times New Roman"/>
                <w:noProof/>
                <w:webHidden/>
                <w:sz w:val="24"/>
                <w:szCs w:val="24"/>
              </w:rPr>
              <w:fldChar w:fldCharType="end"/>
            </w:r>
          </w:hyperlink>
        </w:p>
        <w:p w14:paraId="74104B7D" w14:textId="79A02AED"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39" w:history="1">
            <w:r w:rsidRPr="00680657">
              <w:rPr>
                <w:rStyle w:val="Hyperlink"/>
                <w:rFonts w:ascii="Times New Roman" w:hAnsi="Times New Roman" w:cs="Times New Roman"/>
                <w:noProof/>
                <w:sz w:val="24"/>
                <w:szCs w:val="24"/>
              </w:rPr>
              <w:t>3.22.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Feedback fra FIU’er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_Toc244880739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247</w:t>
            </w:r>
            <w:r w:rsidRPr="00680657">
              <w:rPr>
                <w:rFonts w:ascii="Times New Roman" w:hAnsi="Times New Roman" w:cs="Times New Roman"/>
                <w:noProof/>
                <w:webHidden/>
                <w:sz w:val="24"/>
                <w:szCs w:val="24"/>
              </w:rPr>
              <w:fldChar w:fldCharType="end"/>
            </w:r>
          </w:hyperlink>
        </w:p>
        <w:p w14:paraId="302D0315" w14:textId="44103E5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0" w:history="1">
            <w:r w:rsidRPr="00680657">
              <w:rPr>
                <w:rStyle w:val="Hyperlink"/>
                <w:rFonts w:ascii="Times New Roman" w:hAnsi="Times New Roman" w:cs="Times New Roman"/>
                <w:noProof/>
                <w:sz w:val="24"/>
                <w:szCs w:val="24"/>
              </w:rPr>
              <w:t>3.23.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Udveksling af oplysninger mellem FIU’er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257</w:t>
            </w:r>
            <w:r w:rsidRPr="00680657">
              <w:rPr>
                <w:rFonts w:ascii="Times New Roman" w:hAnsi="Times New Roman" w:cs="Times New Roman"/>
                <w:noProof/>
                <w:webHidden/>
                <w:sz w:val="24"/>
                <w:szCs w:val="24"/>
              </w:rPr>
              <w:fldChar w:fldCharType="end"/>
            </w:r>
          </w:hyperlink>
        </w:p>
        <w:p w14:paraId="49DBFC18" w14:textId="7A1D3ED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1" w:history="1">
            <w:r w:rsidRPr="00680657">
              <w:rPr>
                <w:rStyle w:val="Hyperlink"/>
                <w:rFonts w:ascii="Times New Roman" w:hAnsi="Times New Roman" w:cs="Times New Roman"/>
                <w:noProof/>
                <w:sz w:val="24"/>
                <w:szCs w:val="24"/>
              </w:rPr>
              <w:t>3.24.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Beskyttede kommunikationskanaler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266</w:t>
            </w:r>
            <w:r w:rsidRPr="00680657">
              <w:rPr>
                <w:rFonts w:ascii="Times New Roman" w:hAnsi="Times New Roman" w:cs="Times New Roman"/>
                <w:noProof/>
                <w:webHidden/>
                <w:sz w:val="24"/>
                <w:szCs w:val="24"/>
              </w:rPr>
              <w:fldChar w:fldCharType="end"/>
            </w:r>
          </w:hyperlink>
        </w:p>
        <w:p w14:paraId="1762F8CB" w14:textId="6250ED6C"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2" w:history="1">
            <w:r w:rsidRPr="00680657">
              <w:rPr>
                <w:rStyle w:val="Hyperlink"/>
                <w:rFonts w:ascii="Times New Roman" w:hAnsi="Times New Roman" w:cs="Times New Roman"/>
                <w:noProof/>
                <w:sz w:val="24"/>
                <w:szCs w:val="24"/>
              </w:rPr>
              <w:t>3.25.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Fælles analyser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272</w:t>
            </w:r>
            <w:r w:rsidRPr="00680657">
              <w:rPr>
                <w:rFonts w:ascii="Times New Roman" w:hAnsi="Times New Roman" w:cs="Times New Roman"/>
                <w:noProof/>
                <w:webHidden/>
                <w:sz w:val="24"/>
                <w:szCs w:val="24"/>
              </w:rPr>
              <w:fldChar w:fldCharType="end"/>
            </w:r>
          </w:hyperlink>
        </w:p>
        <w:p w14:paraId="4AEF2F94" w14:textId="0CE1661D"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3" w:history="1">
            <w:r w:rsidRPr="00680657">
              <w:rPr>
                <w:rStyle w:val="Hyperlink"/>
                <w:rFonts w:ascii="Times New Roman" w:hAnsi="Times New Roman" w:cs="Times New Roman"/>
                <w:noProof/>
                <w:sz w:val="24"/>
                <w:szCs w:val="24"/>
              </w:rPr>
              <w:t>3.26.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FIU’ers brug af oplysninger, der udveksles mellem dem</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276</w:t>
            </w:r>
            <w:r w:rsidRPr="00680657">
              <w:rPr>
                <w:rFonts w:ascii="Times New Roman" w:hAnsi="Times New Roman" w:cs="Times New Roman"/>
                <w:noProof/>
                <w:webHidden/>
                <w:sz w:val="24"/>
                <w:szCs w:val="24"/>
              </w:rPr>
              <w:fldChar w:fldCharType="end"/>
            </w:r>
          </w:hyperlink>
        </w:p>
        <w:p w14:paraId="55012492" w14:textId="17E60FE9"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4" w:history="1">
            <w:r w:rsidRPr="00680657">
              <w:rPr>
                <w:rStyle w:val="Hyperlink"/>
                <w:rFonts w:ascii="Times New Roman" w:hAnsi="Times New Roman" w:cs="Times New Roman"/>
                <w:noProof/>
                <w:sz w:val="24"/>
                <w:szCs w:val="24"/>
              </w:rPr>
              <w:t>3.27.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Forhåndsgodkendelse til videregivelse af oplysninger, der udveksles mellem FIU’er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281</w:t>
            </w:r>
            <w:r w:rsidRPr="00680657">
              <w:rPr>
                <w:rFonts w:ascii="Times New Roman" w:hAnsi="Times New Roman" w:cs="Times New Roman"/>
                <w:noProof/>
                <w:webHidden/>
                <w:sz w:val="24"/>
                <w:szCs w:val="24"/>
              </w:rPr>
              <w:fldChar w:fldCharType="end"/>
            </w:r>
          </w:hyperlink>
        </w:p>
        <w:p w14:paraId="27E4CCC8" w14:textId="5C38B06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5" w:history="1">
            <w:r w:rsidRPr="00680657">
              <w:rPr>
                <w:rStyle w:val="Hyperlink"/>
                <w:rFonts w:ascii="Times New Roman" w:hAnsi="Times New Roman" w:cs="Times New Roman"/>
                <w:noProof/>
                <w:sz w:val="24"/>
                <w:szCs w:val="24"/>
              </w:rPr>
              <w:t>3.28.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Virkning af strafferetlige bestemmelser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288</w:t>
            </w:r>
            <w:r w:rsidRPr="00680657">
              <w:rPr>
                <w:rFonts w:ascii="Times New Roman" w:hAnsi="Times New Roman" w:cs="Times New Roman"/>
                <w:noProof/>
                <w:webHidden/>
                <w:sz w:val="24"/>
                <w:szCs w:val="24"/>
              </w:rPr>
              <w:fldChar w:fldCharType="end"/>
            </w:r>
          </w:hyperlink>
        </w:p>
        <w:p w14:paraId="0F90E309" w14:textId="3E11F7B2"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6" w:history="1">
            <w:r w:rsidRPr="00680657">
              <w:rPr>
                <w:rStyle w:val="Hyperlink"/>
                <w:rFonts w:ascii="Times New Roman" w:hAnsi="Times New Roman" w:cs="Times New Roman"/>
                <w:noProof/>
                <w:sz w:val="24"/>
                <w:szCs w:val="24"/>
              </w:rPr>
              <w:t>3.29.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Fortrolighed af kilden til underretning</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290</w:t>
            </w:r>
            <w:r w:rsidRPr="00680657">
              <w:rPr>
                <w:rFonts w:ascii="Times New Roman" w:hAnsi="Times New Roman" w:cs="Times New Roman"/>
                <w:noProof/>
                <w:webHidden/>
                <w:sz w:val="24"/>
                <w:szCs w:val="24"/>
              </w:rPr>
              <w:fldChar w:fldCharType="end"/>
            </w:r>
          </w:hyperlink>
        </w:p>
        <w:p w14:paraId="44628398" w14:textId="1CE759C8"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7" w:history="1">
            <w:r w:rsidRPr="00680657">
              <w:rPr>
                <w:rStyle w:val="Hyperlink"/>
                <w:rFonts w:ascii="Times New Roman" w:hAnsi="Times New Roman" w:cs="Times New Roman"/>
                <w:noProof/>
                <w:sz w:val="24"/>
                <w:szCs w:val="24"/>
              </w:rPr>
              <w:t>3.30.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National risikovurdering og statistik</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295</w:t>
            </w:r>
            <w:r w:rsidRPr="00680657">
              <w:rPr>
                <w:rFonts w:ascii="Times New Roman" w:hAnsi="Times New Roman" w:cs="Times New Roman"/>
                <w:noProof/>
                <w:webHidden/>
                <w:sz w:val="24"/>
                <w:szCs w:val="24"/>
              </w:rPr>
              <w:fldChar w:fldCharType="end"/>
            </w:r>
          </w:hyperlink>
        </w:p>
        <w:p w14:paraId="125F4852" w14:textId="3720683F"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8" w:history="1">
            <w:r w:rsidRPr="00680657">
              <w:rPr>
                <w:rStyle w:val="Hyperlink"/>
                <w:rFonts w:ascii="Times New Roman" w:hAnsi="Times New Roman" w:cs="Times New Roman"/>
                <w:noProof/>
                <w:sz w:val="24"/>
                <w:szCs w:val="24"/>
              </w:rPr>
              <w:t>3.31.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Den centrale automatiske mekanisme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304</w:t>
            </w:r>
            <w:r w:rsidRPr="00680657">
              <w:rPr>
                <w:rFonts w:ascii="Times New Roman" w:hAnsi="Times New Roman" w:cs="Times New Roman"/>
                <w:noProof/>
                <w:webHidden/>
                <w:sz w:val="24"/>
                <w:szCs w:val="24"/>
              </w:rPr>
              <w:fldChar w:fldCharType="end"/>
            </w:r>
          </w:hyperlink>
        </w:p>
        <w:p w14:paraId="6C662D0E" w14:textId="0B24618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49" w:history="1">
            <w:r w:rsidRPr="00680657">
              <w:rPr>
                <w:rStyle w:val="Hyperlink"/>
                <w:rFonts w:ascii="Times New Roman" w:hAnsi="Times New Roman" w:cs="Times New Roman"/>
                <w:noProof/>
                <w:sz w:val="24"/>
                <w:szCs w:val="24"/>
              </w:rPr>
              <w:t>3.32.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Fælles adgangspunkt om fast ejendom</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_Toc244880749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315</w:t>
            </w:r>
            <w:r w:rsidRPr="00680657">
              <w:rPr>
                <w:rFonts w:ascii="Times New Roman" w:hAnsi="Times New Roman" w:cs="Times New Roman"/>
                <w:noProof/>
                <w:webHidden/>
                <w:sz w:val="24"/>
                <w:szCs w:val="24"/>
              </w:rPr>
              <w:fldChar w:fldCharType="end"/>
            </w:r>
          </w:hyperlink>
        </w:p>
        <w:p w14:paraId="26DB65ED" w14:textId="5261ECF4"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0" w:history="1">
            <w:r w:rsidRPr="00680657">
              <w:rPr>
                <w:rStyle w:val="Hyperlink"/>
                <w:rFonts w:ascii="Times New Roman" w:hAnsi="Times New Roman" w:cs="Times New Roman"/>
                <w:noProof/>
                <w:sz w:val="24"/>
                <w:szCs w:val="24"/>
              </w:rPr>
              <w:t>3.33.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Whistleblowerordninger for forpligtede enheder omfattet af hvidvaskreguleringen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321</w:t>
            </w:r>
            <w:r w:rsidRPr="00680657">
              <w:rPr>
                <w:rFonts w:ascii="Times New Roman" w:hAnsi="Times New Roman" w:cs="Times New Roman"/>
                <w:noProof/>
                <w:webHidden/>
                <w:sz w:val="24"/>
                <w:szCs w:val="24"/>
              </w:rPr>
              <w:fldChar w:fldCharType="end"/>
            </w:r>
          </w:hyperlink>
        </w:p>
        <w:p w14:paraId="49E2080B" w14:textId="6351274C"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1" w:history="1">
            <w:r w:rsidRPr="00680657">
              <w:rPr>
                <w:rStyle w:val="Hyperlink"/>
                <w:rFonts w:ascii="Times New Roman" w:hAnsi="Times New Roman" w:cs="Times New Roman"/>
                <w:noProof/>
                <w:sz w:val="24"/>
                <w:szCs w:val="24"/>
              </w:rPr>
              <w:t>3.34.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Rapporteringspligt ved modtagelse af advarsler om hvidvask eller terrorfinansiering</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343</w:t>
            </w:r>
            <w:r w:rsidRPr="00680657">
              <w:rPr>
                <w:rFonts w:ascii="Times New Roman" w:hAnsi="Times New Roman" w:cs="Times New Roman"/>
                <w:noProof/>
                <w:webHidden/>
                <w:sz w:val="24"/>
                <w:szCs w:val="24"/>
              </w:rPr>
              <w:fldChar w:fldCharType="end"/>
            </w:r>
          </w:hyperlink>
        </w:p>
        <w:p w14:paraId="7F5B6AC1" w14:textId="0CA1B13E"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2" w:history="1">
            <w:r w:rsidRPr="00680657">
              <w:rPr>
                <w:rStyle w:val="Hyperlink"/>
                <w:rFonts w:ascii="Times New Roman" w:hAnsi="Times New Roman" w:cs="Times New Roman"/>
                <w:noProof/>
                <w:sz w:val="24"/>
                <w:szCs w:val="24"/>
              </w:rPr>
              <w:t>3.35.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Pengeinstitutters behandling af advokaters sameklientkonti</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344</w:t>
            </w:r>
            <w:r w:rsidRPr="00680657">
              <w:rPr>
                <w:rFonts w:ascii="Times New Roman" w:hAnsi="Times New Roman" w:cs="Times New Roman"/>
                <w:noProof/>
                <w:webHidden/>
                <w:sz w:val="24"/>
                <w:szCs w:val="24"/>
              </w:rPr>
              <w:fldChar w:fldCharType="end"/>
            </w:r>
          </w:hyperlink>
        </w:p>
        <w:p w14:paraId="711B695E" w14:textId="0EDAD6A0"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3" w:history="1">
            <w:r w:rsidRPr="00680657">
              <w:rPr>
                <w:rStyle w:val="Hyperlink"/>
                <w:rFonts w:ascii="Times New Roman" w:hAnsi="Times New Roman" w:cs="Times New Roman"/>
                <w:noProof/>
                <w:sz w:val="24"/>
                <w:szCs w:val="24"/>
              </w:rPr>
              <w:t>3.36.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Undtagelse fra forordning om oplysninger ved pengeoverførsler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369</w:t>
            </w:r>
            <w:r w:rsidRPr="00680657">
              <w:rPr>
                <w:rFonts w:ascii="Times New Roman" w:hAnsi="Times New Roman" w:cs="Times New Roman"/>
                <w:noProof/>
                <w:webHidden/>
                <w:sz w:val="24"/>
                <w:szCs w:val="24"/>
              </w:rPr>
              <w:fldChar w:fldCharType="end"/>
            </w:r>
          </w:hyperlink>
        </w:p>
        <w:p w14:paraId="43A633B5" w14:textId="4C8D494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4" w:history="1">
            <w:r w:rsidRPr="00680657">
              <w:rPr>
                <w:rStyle w:val="Hyperlink"/>
                <w:rFonts w:ascii="Times New Roman" w:hAnsi="Times New Roman" w:cs="Times New Roman"/>
                <w:noProof/>
                <w:sz w:val="24"/>
                <w:szCs w:val="24"/>
              </w:rPr>
              <w:t>3.37.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Tavshedspligt for myndigheder om oplysninger, som hidrører fra en underretning</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370</w:t>
            </w:r>
            <w:r w:rsidRPr="00680657">
              <w:rPr>
                <w:rFonts w:ascii="Times New Roman" w:hAnsi="Times New Roman" w:cs="Times New Roman"/>
                <w:noProof/>
                <w:webHidden/>
                <w:sz w:val="24"/>
                <w:szCs w:val="24"/>
              </w:rPr>
              <w:fldChar w:fldCharType="end"/>
            </w:r>
          </w:hyperlink>
        </w:p>
        <w:p w14:paraId="5A1A8AA2" w14:textId="49801E0D"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5" w:history="1">
            <w:r w:rsidRPr="00680657">
              <w:rPr>
                <w:rStyle w:val="Hyperlink"/>
                <w:rFonts w:ascii="Times New Roman" w:hAnsi="Times New Roman" w:cs="Times New Roman"/>
                <w:noProof/>
                <w:sz w:val="24"/>
                <w:szCs w:val="24"/>
              </w:rPr>
              <w:t>3.38.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Underretningspligt for myndigheder ved mistanke om hvidvask og terrorfinansiering</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378</w:t>
            </w:r>
            <w:r w:rsidRPr="00680657">
              <w:rPr>
                <w:rFonts w:ascii="Times New Roman" w:hAnsi="Times New Roman" w:cs="Times New Roman"/>
                <w:noProof/>
                <w:webHidden/>
                <w:sz w:val="24"/>
                <w:szCs w:val="24"/>
              </w:rPr>
              <w:fldChar w:fldCharType="end"/>
            </w:r>
          </w:hyperlink>
        </w:p>
        <w:p w14:paraId="47454790" w14:textId="4DEFE259"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6" w:history="1">
            <w:r w:rsidRPr="00680657">
              <w:rPr>
                <w:rStyle w:val="Hyperlink"/>
                <w:rFonts w:ascii="Times New Roman" w:hAnsi="Times New Roman" w:cs="Times New Roman"/>
                <w:noProof/>
                <w:sz w:val="24"/>
                <w:szCs w:val="24"/>
              </w:rPr>
              <w:t>3.39.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Krav om tilladelse til at udøve valutavekslingsvirksomhed</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384</w:t>
            </w:r>
            <w:r w:rsidRPr="00680657">
              <w:rPr>
                <w:rFonts w:ascii="Times New Roman" w:hAnsi="Times New Roman" w:cs="Times New Roman"/>
                <w:noProof/>
                <w:webHidden/>
                <w:sz w:val="24"/>
                <w:szCs w:val="24"/>
              </w:rPr>
              <w:fldChar w:fldCharType="end"/>
            </w:r>
          </w:hyperlink>
        </w:p>
        <w:p w14:paraId="47D72991" w14:textId="414DBB9F"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7" w:history="1">
            <w:r w:rsidRPr="00680657">
              <w:rPr>
                <w:rStyle w:val="Hyperlink"/>
                <w:rFonts w:ascii="Times New Roman" w:hAnsi="Times New Roman" w:cs="Times New Roman"/>
                <w:noProof/>
                <w:sz w:val="24"/>
                <w:szCs w:val="24"/>
              </w:rPr>
              <w:t>3.40.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Betingelser for tilladelse til valutavekslingsvirksomhed</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386</w:t>
            </w:r>
            <w:r w:rsidRPr="00680657">
              <w:rPr>
                <w:rFonts w:ascii="Times New Roman" w:hAnsi="Times New Roman" w:cs="Times New Roman"/>
                <w:noProof/>
                <w:webHidden/>
                <w:sz w:val="24"/>
                <w:szCs w:val="24"/>
              </w:rPr>
              <w:fldChar w:fldCharType="end"/>
            </w:r>
          </w:hyperlink>
        </w:p>
        <w:p w14:paraId="246279BE" w14:textId="1552E79B"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8" w:history="1">
            <w:r w:rsidRPr="00680657">
              <w:rPr>
                <w:rStyle w:val="Hyperlink"/>
                <w:rFonts w:ascii="Times New Roman" w:hAnsi="Times New Roman" w:cs="Times New Roman"/>
                <w:noProof/>
                <w:sz w:val="24"/>
                <w:szCs w:val="24"/>
              </w:rPr>
              <w:t>3.41.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Ansøgning om tilladelse til valutavekslingsvirksomhed</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387</w:t>
            </w:r>
            <w:r w:rsidRPr="00680657">
              <w:rPr>
                <w:rFonts w:ascii="Times New Roman" w:hAnsi="Times New Roman" w:cs="Times New Roman"/>
                <w:noProof/>
                <w:webHidden/>
                <w:sz w:val="24"/>
                <w:szCs w:val="24"/>
              </w:rPr>
              <w:fldChar w:fldCharType="end"/>
            </w:r>
          </w:hyperlink>
        </w:p>
        <w:p w14:paraId="70E52E3C" w14:textId="19785824"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59" w:history="1">
            <w:r w:rsidRPr="00680657">
              <w:rPr>
                <w:rStyle w:val="Hyperlink"/>
                <w:rFonts w:ascii="Times New Roman" w:hAnsi="Times New Roman" w:cs="Times New Roman"/>
                <w:noProof/>
                <w:sz w:val="24"/>
                <w:szCs w:val="24"/>
              </w:rPr>
              <w:t>3.42.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Underretning til Finanstilsynet ved ændringer i forhold til tilladelse til at udøve valutavekslingsvirksomhed</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_Toc244880759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388</w:t>
            </w:r>
            <w:r w:rsidRPr="00680657">
              <w:rPr>
                <w:rFonts w:ascii="Times New Roman" w:hAnsi="Times New Roman" w:cs="Times New Roman"/>
                <w:noProof/>
                <w:webHidden/>
                <w:sz w:val="24"/>
                <w:szCs w:val="24"/>
              </w:rPr>
              <w:fldChar w:fldCharType="end"/>
            </w:r>
          </w:hyperlink>
        </w:p>
        <w:p w14:paraId="232BA730" w14:textId="2218997B"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0" w:history="1">
            <w:r w:rsidRPr="00680657">
              <w:rPr>
                <w:rStyle w:val="Hyperlink"/>
                <w:rFonts w:ascii="Times New Roman" w:hAnsi="Times New Roman" w:cs="Times New Roman"/>
                <w:noProof/>
                <w:sz w:val="24"/>
                <w:szCs w:val="24"/>
              </w:rPr>
              <w:t>3.43.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Årlig erklæring om fortsat opfyldelse af betingelser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389</w:t>
            </w:r>
            <w:r w:rsidRPr="00680657">
              <w:rPr>
                <w:rFonts w:ascii="Times New Roman" w:hAnsi="Times New Roman" w:cs="Times New Roman"/>
                <w:noProof/>
                <w:webHidden/>
                <w:sz w:val="24"/>
                <w:szCs w:val="24"/>
              </w:rPr>
              <w:fldChar w:fldCharType="end"/>
            </w:r>
          </w:hyperlink>
        </w:p>
        <w:p w14:paraId="5CB9ABC9" w14:textId="2EC6B71D"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1" w:history="1">
            <w:r w:rsidRPr="00680657">
              <w:rPr>
                <w:rStyle w:val="Hyperlink"/>
                <w:rFonts w:ascii="Times New Roman" w:hAnsi="Times New Roman" w:cs="Times New Roman"/>
                <w:noProof/>
                <w:sz w:val="24"/>
                <w:szCs w:val="24"/>
              </w:rPr>
              <w:t>3.44.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Egnetheds- og hæderlighedskrav til ledelse og ejere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391</w:t>
            </w:r>
            <w:r w:rsidRPr="00680657">
              <w:rPr>
                <w:rFonts w:ascii="Times New Roman" w:hAnsi="Times New Roman" w:cs="Times New Roman"/>
                <w:noProof/>
                <w:webHidden/>
                <w:sz w:val="24"/>
                <w:szCs w:val="24"/>
              </w:rPr>
              <w:fldChar w:fldCharType="end"/>
            </w:r>
          </w:hyperlink>
        </w:p>
        <w:p w14:paraId="5A002592" w14:textId="72A5730C"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2" w:history="1">
            <w:r w:rsidRPr="00680657">
              <w:rPr>
                <w:rStyle w:val="Hyperlink"/>
                <w:rFonts w:ascii="Times New Roman" w:hAnsi="Times New Roman" w:cs="Times New Roman"/>
                <w:noProof/>
                <w:sz w:val="24"/>
                <w:szCs w:val="24"/>
              </w:rPr>
              <w:t>3.45.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Inddragelse af tilladelse til valutavekslingsvirksomhed</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393</w:t>
            </w:r>
            <w:r w:rsidRPr="00680657">
              <w:rPr>
                <w:rFonts w:ascii="Times New Roman" w:hAnsi="Times New Roman" w:cs="Times New Roman"/>
                <w:noProof/>
                <w:webHidden/>
                <w:sz w:val="24"/>
                <w:szCs w:val="24"/>
              </w:rPr>
              <w:fldChar w:fldCharType="end"/>
            </w:r>
          </w:hyperlink>
        </w:p>
        <w:p w14:paraId="52AE2CED" w14:textId="1967C3C0"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3" w:history="1">
            <w:r w:rsidRPr="00680657">
              <w:rPr>
                <w:rStyle w:val="Hyperlink"/>
                <w:rFonts w:ascii="Times New Roman" w:hAnsi="Times New Roman" w:cs="Times New Roman"/>
                <w:noProof/>
                <w:sz w:val="24"/>
                <w:szCs w:val="24"/>
              </w:rPr>
              <w:t>3.46.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Registreringspligt og betingelser for registrering hos Finanstilsynet samt Finanstilsynets mulighed for at inddrage en registrering</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394</w:t>
            </w:r>
            <w:r w:rsidRPr="00680657">
              <w:rPr>
                <w:rFonts w:ascii="Times New Roman" w:hAnsi="Times New Roman" w:cs="Times New Roman"/>
                <w:noProof/>
                <w:webHidden/>
                <w:sz w:val="24"/>
                <w:szCs w:val="24"/>
              </w:rPr>
              <w:fldChar w:fldCharType="end"/>
            </w:r>
          </w:hyperlink>
        </w:p>
        <w:p w14:paraId="7EFE6699" w14:textId="2E0C95E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4" w:history="1">
            <w:r w:rsidRPr="00680657">
              <w:rPr>
                <w:rStyle w:val="Hyperlink"/>
                <w:rFonts w:ascii="Times New Roman" w:hAnsi="Times New Roman" w:cs="Times New Roman"/>
                <w:noProof/>
                <w:sz w:val="24"/>
                <w:szCs w:val="24"/>
              </w:rPr>
              <w:t>3.47.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Underretning til Finanstilsynet ved ændringer i forhold ved registrering</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400</w:t>
            </w:r>
            <w:r w:rsidRPr="00680657">
              <w:rPr>
                <w:rFonts w:ascii="Times New Roman" w:hAnsi="Times New Roman" w:cs="Times New Roman"/>
                <w:noProof/>
                <w:webHidden/>
                <w:sz w:val="24"/>
                <w:szCs w:val="24"/>
              </w:rPr>
              <w:fldChar w:fldCharType="end"/>
            </w:r>
          </w:hyperlink>
        </w:p>
        <w:p w14:paraId="00B2E802" w14:textId="2424F9F4"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5" w:history="1">
            <w:r w:rsidRPr="00680657">
              <w:rPr>
                <w:rStyle w:val="Hyperlink"/>
                <w:rFonts w:ascii="Times New Roman" w:hAnsi="Times New Roman" w:cs="Times New Roman"/>
                <w:noProof/>
                <w:sz w:val="24"/>
                <w:szCs w:val="24"/>
              </w:rPr>
              <w:t>3.48.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Indsendelse af erklæring og egnethed- og hæderlighedskrav i relation til registrering hos Finanstilsynet</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401</w:t>
            </w:r>
            <w:r w:rsidRPr="00680657">
              <w:rPr>
                <w:rFonts w:ascii="Times New Roman" w:hAnsi="Times New Roman" w:cs="Times New Roman"/>
                <w:noProof/>
                <w:webHidden/>
                <w:sz w:val="24"/>
                <w:szCs w:val="24"/>
              </w:rPr>
              <w:fldChar w:fldCharType="end"/>
            </w:r>
          </w:hyperlink>
        </w:p>
        <w:p w14:paraId="6A7B41E8" w14:textId="40DA1AD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6" w:history="1">
            <w:r w:rsidRPr="00680657">
              <w:rPr>
                <w:rStyle w:val="Hyperlink"/>
                <w:rFonts w:ascii="Times New Roman" w:hAnsi="Times New Roman" w:cs="Times New Roman"/>
                <w:noProof/>
                <w:sz w:val="24"/>
                <w:szCs w:val="24"/>
              </w:rPr>
              <w:t>3.49.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tilsyn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404</w:t>
            </w:r>
            <w:r w:rsidRPr="00680657">
              <w:rPr>
                <w:rFonts w:ascii="Times New Roman" w:hAnsi="Times New Roman" w:cs="Times New Roman"/>
                <w:noProof/>
                <w:webHidden/>
                <w:sz w:val="24"/>
                <w:szCs w:val="24"/>
              </w:rPr>
              <w:fldChar w:fldCharType="end"/>
            </w:r>
          </w:hyperlink>
        </w:p>
        <w:p w14:paraId="159C4F6E" w14:textId="7C314A03"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7" w:history="1">
            <w:r w:rsidRPr="00680657">
              <w:rPr>
                <w:rStyle w:val="Hyperlink"/>
                <w:rFonts w:ascii="Times New Roman" w:hAnsi="Times New Roman" w:cs="Times New Roman"/>
                <w:noProof/>
                <w:sz w:val="24"/>
                <w:szCs w:val="24"/>
              </w:rPr>
              <w:t>3.50.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tilsyn med skadeforsikringsselskabers overholdelse af finansielle sanktioner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419</w:t>
            </w:r>
            <w:r w:rsidRPr="00680657">
              <w:rPr>
                <w:rFonts w:ascii="Times New Roman" w:hAnsi="Times New Roman" w:cs="Times New Roman"/>
                <w:noProof/>
                <w:webHidden/>
                <w:sz w:val="24"/>
                <w:szCs w:val="24"/>
              </w:rPr>
              <w:fldChar w:fldCharType="end"/>
            </w:r>
          </w:hyperlink>
        </w:p>
        <w:p w14:paraId="289FEE5A" w14:textId="0A760F2B"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8" w:history="1">
            <w:r w:rsidRPr="00680657">
              <w:rPr>
                <w:rStyle w:val="Hyperlink"/>
                <w:rFonts w:ascii="Times New Roman" w:hAnsi="Times New Roman" w:cs="Times New Roman"/>
                <w:noProof/>
                <w:sz w:val="24"/>
                <w:szCs w:val="24"/>
              </w:rPr>
              <w:t>3.51.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bestyrelse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421</w:t>
            </w:r>
            <w:r w:rsidRPr="00680657">
              <w:rPr>
                <w:rFonts w:ascii="Times New Roman" w:hAnsi="Times New Roman" w:cs="Times New Roman"/>
                <w:noProof/>
                <w:webHidden/>
                <w:sz w:val="24"/>
                <w:szCs w:val="24"/>
              </w:rPr>
              <w:fldChar w:fldCharType="end"/>
            </w:r>
          </w:hyperlink>
        </w:p>
        <w:p w14:paraId="1A87BFCD" w14:textId="56FA8344"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69" w:history="1">
            <w:r w:rsidRPr="00680657">
              <w:rPr>
                <w:rStyle w:val="Hyperlink"/>
                <w:rFonts w:ascii="Times New Roman" w:hAnsi="Times New Roman" w:cs="Times New Roman"/>
                <w:noProof/>
                <w:sz w:val="24"/>
                <w:szCs w:val="24"/>
              </w:rPr>
              <w:t>3.52.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Indhentelse af oplysninger til brug for Finanstilsynets tilsyn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_Toc244880769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422</w:t>
            </w:r>
            <w:r w:rsidRPr="00680657">
              <w:rPr>
                <w:rFonts w:ascii="Times New Roman" w:hAnsi="Times New Roman" w:cs="Times New Roman"/>
                <w:noProof/>
                <w:webHidden/>
                <w:sz w:val="24"/>
                <w:szCs w:val="24"/>
              </w:rPr>
              <w:fldChar w:fldCharType="end"/>
            </w:r>
          </w:hyperlink>
        </w:p>
        <w:p w14:paraId="64D5CB6D" w14:textId="58756264"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0" w:history="1">
            <w:r w:rsidRPr="00680657">
              <w:rPr>
                <w:rStyle w:val="Hyperlink"/>
                <w:rFonts w:ascii="Times New Roman" w:hAnsi="Times New Roman" w:cs="Times New Roman"/>
                <w:noProof/>
                <w:sz w:val="24"/>
                <w:szCs w:val="24"/>
              </w:rPr>
              <w:t>3.53.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Tilsynet med grænseoverskridende aktiviteter og koncerntilsyn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428</w:t>
            </w:r>
            <w:r w:rsidRPr="00680657">
              <w:rPr>
                <w:rFonts w:ascii="Times New Roman" w:hAnsi="Times New Roman" w:cs="Times New Roman"/>
                <w:noProof/>
                <w:webHidden/>
                <w:sz w:val="24"/>
                <w:szCs w:val="24"/>
              </w:rPr>
              <w:fldChar w:fldCharType="end"/>
            </w:r>
          </w:hyperlink>
        </w:p>
        <w:p w14:paraId="78E9F806" w14:textId="5371DC88"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1" w:history="1">
            <w:r w:rsidRPr="00680657">
              <w:rPr>
                <w:rStyle w:val="Hyperlink"/>
                <w:rFonts w:ascii="Times New Roman" w:hAnsi="Times New Roman" w:cs="Times New Roman"/>
                <w:noProof/>
                <w:sz w:val="24"/>
                <w:szCs w:val="24"/>
              </w:rPr>
              <w:t>3.54.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hjemmel til at udstede et påbud</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439</w:t>
            </w:r>
            <w:r w:rsidRPr="00680657">
              <w:rPr>
                <w:rFonts w:ascii="Times New Roman" w:hAnsi="Times New Roman" w:cs="Times New Roman"/>
                <w:noProof/>
                <w:webHidden/>
                <w:sz w:val="24"/>
                <w:szCs w:val="24"/>
              </w:rPr>
              <w:fldChar w:fldCharType="end"/>
            </w:r>
          </w:hyperlink>
        </w:p>
        <w:p w14:paraId="42DCFFCE" w14:textId="1D352821"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2" w:history="1">
            <w:r w:rsidRPr="00680657">
              <w:rPr>
                <w:rStyle w:val="Hyperlink"/>
                <w:rFonts w:ascii="Times New Roman" w:hAnsi="Times New Roman" w:cs="Times New Roman"/>
                <w:noProof/>
                <w:sz w:val="24"/>
                <w:szCs w:val="24"/>
              </w:rPr>
              <w:t>3.55.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hjemmel til at påbyde midlertidig begrænsning eller ophør af aktiviteter ved overtrædelser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444</w:t>
            </w:r>
            <w:r w:rsidRPr="00680657">
              <w:rPr>
                <w:rFonts w:ascii="Times New Roman" w:hAnsi="Times New Roman" w:cs="Times New Roman"/>
                <w:noProof/>
                <w:webHidden/>
                <w:sz w:val="24"/>
                <w:szCs w:val="24"/>
              </w:rPr>
              <w:fldChar w:fldCharType="end"/>
            </w:r>
          </w:hyperlink>
        </w:p>
        <w:p w14:paraId="334E64F8" w14:textId="1707605A"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3" w:history="1">
            <w:r w:rsidRPr="00680657">
              <w:rPr>
                <w:rStyle w:val="Hyperlink"/>
                <w:rFonts w:ascii="Times New Roman" w:hAnsi="Times New Roman" w:cs="Times New Roman"/>
                <w:noProof/>
                <w:sz w:val="24"/>
                <w:szCs w:val="24"/>
              </w:rPr>
              <w:t>3.56.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hjemmel til afsættelse af ledelsesmedlemmer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445</w:t>
            </w:r>
            <w:r w:rsidRPr="00680657">
              <w:rPr>
                <w:rFonts w:ascii="Times New Roman" w:hAnsi="Times New Roman" w:cs="Times New Roman"/>
                <w:noProof/>
                <w:webHidden/>
                <w:sz w:val="24"/>
                <w:szCs w:val="24"/>
              </w:rPr>
              <w:fldChar w:fldCharType="end"/>
            </w:r>
          </w:hyperlink>
        </w:p>
        <w:p w14:paraId="61843D7B" w14:textId="7C198865"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4" w:history="1">
            <w:r w:rsidRPr="00680657">
              <w:rPr>
                <w:rStyle w:val="Hyperlink"/>
                <w:rFonts w:ascii="Times New Roman" w:hAnsi="Times New Roman" w:cs="Times New Roman"/>
                <w:noProof/>
                <w:sz w:val="24"/>
                <w:szCs w:val="24"/>
              </w:rPr>
              <w:t>3.57.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hjemmel til at påbyde afhændelse af ejerandele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450</w:t>
            </w:r>
            <w:r w:rsidRPr="00680657">
              <w:rPr>
                <w:rFonts w:ascii="Times New Roman" w:hAnsi="Times New Roman" w:cs="Times New Roman"/>
                <w:noProof/>
                <w:webHidden/>
                <w:sz w:val="24"/>
                <w:szCs w:val="24"/>
              </w:rPr>
              <w:fldChar w:fldCharType="end"/>
            </w:r>
          </w:hyperlink>
        </w:p>
        <w:p w14:paraId="29378B26" w14:textId="6440356B"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5" w:history="1">
            <w:r w:rsidRPr="00680657">
              <w:rPr>
                <w:rStyle w:val="Hyperlink"/>
                <w:rFonts w:ascii="Times New Roman" w:hAnsi="Times New Roman" w:cs="Times New Roman"/>
                <w:noProof/>
                <w:sz w:val="24"/>
                <w:szCs w:val="24"/>
              </w:rPr>
              <w:t>3.58.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hjemmel til at påbyde i relation til partnerskaber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452</w:t>
            </w:r>
            <w:r w:rsidRPr="00680657">
              <w:rPr>
                <w:rFonts w:ascii="Times New Roman" w:hAnsi="Times New Roman" w:cs="Times New Roman"/>
                <w:noProof/>
                <w:webHidden/>
                <w:sz w:val="24"/>
                <w:szCs w:val="24"/>
              </w:rPr>
              <w:fldChar w:fldCharType="end"/>
            </w:r>
          </w:hyperlink>
        </w:p>
        <w:p w14:paraId="52E2071F" w14:textId="685ABC2A"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6" w:history="1">
            <w:r w:rsidRPr="00680657">
              <w:rPr>
                <w:rStyle w:val="Hyperlink"/>
                <w:rFonts w:ascii="Times New Roman" w:hAnsi="Times New Roman" w:cs="Times New Roman"/>
                <w:noProof/>
                <w:sz w:val="24"/>
                <w:szCs w:val="24"/>
              </w:rPr>
              <w:t>3.59.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offentliggørelse af bøder, administrative foranstaltninger og tvangsbøder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455</w:t>
            </w:r>
            <w:r w:rsidRPr="00680657">
              <w:rPr>
                <w:rFonts w:ascii="Times New Roman" w:hAnsi="Times New Roman" w:cs="Times New Roman"/>
                <w:noProof/>
                <w:webHidden/>
                <w:sz w:val="24"/>
                <w:szCs w:val="24"/>
              </w:rPr>
              <w:fldChar w:fldCharType="end"/>
            </w:r>
          </w:hyperlink>
        </w:p>
        <w:p w14:paraId="443813B1" w14:textId="7B893B5A"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7" w:history="1">
            <w:r w:rsidRPr="00680657">
              <w:rPr>
                <w:rStyle w:val="Hyperlink"/>
                <w:rFonts w:ascii="Times New Roman" w:hAnsi="Times New Roman" w:cs="Times New Roman"/>
                <w:noProof/>
                <w:sz w:val="24"/>
                <w:szCs w:val="24"/>
              </w:rPr>
              <w:t>3.60.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tavshedspligt</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458</w:t>
            </w:r>
            <w:r w:rsidRPr="00680657">
              <w:rPr>
                <w:rFonts w:ascii="Times New Roman" w:hAnsi="Times New Roman" w:cs="Times New Roman"/>
                <w:noProof/>
                <w:webHidden/>
                <w:sz w:val="24"/>
                <w:szCs w:val="24"/>
              </w:rPr>
              <w:fldChar w:fldCharType="end"/>
            </w:r>
          </w:hyperlink>
        </w:p>
        <w:p w14:paraId="36584890" w14:textId="33264F1A"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8" w:history="1">
            <w:r w:rsidRPr="00680657">
              <w:rPr>
                <w:rStyle w:val="Hyperlink"/>
                <w:rFonts w:ascii="Times New Roman" w:hAnsi="Times New Roman" w:cs="Times New Roman"/>
                <w:noProof/>
                <w:sz w:val="24"/>
                <w:szCs w:val="24"/>
              </w:rPr>
              <w:t>3.61.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Erhvervsstyrelsens tilsyn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463</w:t>
            </w:r>
            <w:r w:rsidRPr="00680657">
              <w:rPr>
                <w:rFonts w:ascii="Times New Roman" w:hAnsi="Times New Roman" w:cs="Times New Roman"/>
                <w:noProof/>
                <w:webHidden/>
                <w:sz w:val="24"/>
                <w:szCs w:val="24"/>
              </w:rPr>
              <w:fldChar w:fldCharType="end"/>
            </w:r>
          </w:hyperlink>
        </w:p>
        <w:p w14:paraId="73E49F4A" w14:textId="4B75F42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79" w:history="1">
            <w:r w:rsidRPr="00680657">
              <w:rPr>
                <w:rStyle w:val="Hyperlink"/>
                <w:rFonts w:ascii="Times New Roman" w:hAnsi="Times New Roman" w:cs="Times New Roman"/>
                <w:noProof/>
                <w:sz w:val="24"/>
                <w:szCs w:val="24"/>
              </w:rPr>
              <w:t>3.62.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Registrering hos Erhvervsstyrelsen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_Toc244880779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473</w:t>
            </w:r>
            <w:r w:rsidRPr="00680657">
              <w:rPr>
                <w:rFonts w:ascii="Times New Roman" w:hAnsi="Times New Roman" w:cs="Times New Roman"/>
                <w:noProof/>
                <w:webHidden/>
                <w:sz w:val="24"/>
                <w:szCs w:val="24"/>
              </w:rPr>
              <w:fldChar w:fldCharType="end"/>
            </w:r>
          </w:hyperlink>
        </w:p>
        <w:p w14:paraId="24BFD810" w14:textId="190FB060"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0" w:history="1">
            <w:r w:rsidRPr="00680657">
              <w:rPr>
                <w:rStyle w:val="Hyperlink"/>
                <w:rFonts w:ascii="Times New Roman" w:hAnsi="Times New Roman" w:cs="Times New Roman"/>
                <w:noProof/>
                <w:sz w:val="24"/>
                <w:szCs w:val="24"/>
              </w:rPr>
              <w:t>3.63.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Erhvervsstyrelsens nye tilsynsbeføjelser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482</w:t>
            </w:r>
            <w:r w:rsidRPr="00680657">
              <w:rPr>
                <w:rFonts w:ascii="Times New Roman" w:hAnsi="Times New Roman" w:cs="Times New Roman"/>
                <w:noProof/>
                <w:webHidden/>
                <w:sz w:val="24"/>
                <w:szCs w:val="24"/>
              </w:rPr>
              <w:fldChar w:fldCharType="end"/>
            </w:r>
          </w:hyperlink>
        </w:p>
        <w:p w14:paraId="6ED0B327" w14:textId="0B739C80"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1" w:history="1">
            <w:r w:rsidRPr="00680657">
              <w:rPr>
                <w:rStyle w:val="Hyperlink"/>
                <w:rFonts w:ascii="Times New Roman" w:hAnsi="Times New Roman" w:cs="Times New Roman"/>
                <w:noProof/>
                <w:sz w:val="24"/>
                <w:szCs w:val="24"/>
              </w:rPr>
              <w:t>3.64.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Offentliggørelse hos Erhvervsstyrelsen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495</w:t>
            </w:r>
            <w:r w:rsidRPr="00680657">
              <w:rPr>
                <w:rFonts w:ascii="Times New Roman" w:hAnsi="Times New Roman" w:cs="Times New Roman"/>
                <w:noProof/>
                <w:webHidden/>
                <w:sz w:val="24"/>
                <w:szCs w:val="24"/>
              </w:rPr>
              <w:fldChar w:fldCharType="end"/>
            </w:r>
          </w:hyperlink>
        </w:p>
        <w:p w14:paraId="5775DB19" w14:textId="6DAB5B2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2" w:history="1">
            <w:r w:rsidRPr="00680657">
              <w:rPr>
                <w:rStyle w:val="Hyperlink"/>
                <w:rFonts w:ascii="Times New Roman" w:hAnsi="Times New Roman" w:cs="Times New Roman"/>
                <w:noProof/>
                <w:sz w:val="24"/>
                <w:szCs w:val="24"/>
              </w:rPr>
              <w:t>3.65.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Samarbejde, tavshedspligt og udveksling af oplysninger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500</w:t>
            </w:r>
            <w:r w:rsidRPr="00680657">
              <w:rPr>
                <w:rFonts w:ascii="Times New Roman" w:hAnsi="Times New Roman" w:cs="Times New Roman"/>
                <w:noProof/>
                <w:webHidden/>
                <w:sz w:val="24"/>
                <w:szCs w:val="24"/>
              </w:rPr>
              <w:fldChar w:fldCharType="end"/>
            </w:r>
          </w:hyperlink>
        </w:p>
        <w:p w14:paraId="5F6338B4" w14:textId="3E2A8B5D"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3" w:history="1">
            <w:r w:rsidRPr="00680657">
              <w:rPr>
                <w:rStyle w:val="Hyperlink"/>
                <w:rFonts w:ascii="Times New Roman" w:hAnsi="Times New Roman" w:cs="Times New Roman"/>
                <w:noProof/>
                <w:sz w:val="24"/>
                <w:szCs w:val="24"/>
              </w:rPr>
              <w:t>3.66.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Advokatrådets tilsyn med advokater, deres autoriserede fuldmægtige, fællesskaber af advokater og advokatselskaber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512</w:t>
            </w:r>
            <w:r w:rsidRPr="00680657">
              <w:rPr>
                <w:rFonts w:ascii="Times New Roman" w:hAnsi="Times New Roman" w:cs="Times New Roman"/>
                <w:noProof/>
                <w:webHidden/>
                <w:sz w:val="24"/>
                <w:szCs w:val="24"/>
              </w:rPr>
              <w:fldChar w:fldCharType="end"/>
            </w:r>
          </w:hyperlink>
        </w:p>
        <w:p w14:paraId="7C833D6F" w14:textId="5BEF85F5"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4" w:history="1">
            <w:r w:rsidRPr="00680657">
              <w:rPr>
                <w:rStyle w:val="Hyperlink"/>
                <w:rFonts w:ascii="Times New Roman" w:hAnsi="Times New Roman" w:cs="Times New Roman"/>
                <w:noProof/>
                <w:sz w:val="24"/>
                <w:szCs w:val="24"/>
              </w:rPr>
              <w:t>3.67.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Tilsynet med grænseoverskridende advokatvirksomhed</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535</w:t>
            </w:r>
            <w:r w:rsidRPr="00680657">
              <w:rPr>
                <w:rFonts w:ascii="Times New Roman" w:hAnsi="Times New Roman" w:cs="Times New Roman"/>
                <w:noProof/>
                <w:webHidden/>
                <w:sz w:val="24"/>
                <w:szCs w:val="24"/>
              </w:rPr>
              <w:fldChar w:fldCharType="end"/>
            </w:r>
          </w:hyperlink>
        </w:p>
        <w:p w14:paraId="51D8C8AE" w14:textId="19A637E3"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5" w:history="1">
            <w:r w:rsidRPr="00680657">
              <w:rPr>
                <w:rStyle w:val="Hyperlink"/>
                <w:rFonts w:ascii="Times New Roman" w:hAnsi="Times New Roman" w:cs="Times New Roman"/>
                <w:noProof/>
                <w:sz w:val="24"/>
                <w:szCs w:val="24"/>
              </w:rPr>
              <w:t>3.68.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Samarbejde med tilsynsorganer i tredjelande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546</w:t>
            </w:r>
            <w:r w:rsidRPr="00680657">
              <w:rPr>
                <w:rFonts w:ascii="Times New Roman" w:hAnsi="Times New Roman" w:cs="Times New Roman"/>
                <w:noProof/>
                <w:webHidden/>
                <w:sz w:val="24"/>
                <w:szCs w:val="24"/>
              </w:rPr>
              <w:fldChar w:fldCharType="end"/>
            </w:r>
          </w:hyperlink>
        </w:p>
        <w:p w14:paraId="049790B5" w14:textId="50E4F164"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6" w:history="1">
            <w:r w:rsidRPr="00680657">
              <w:rPr>
                <w:rStyle w:val="Hyperlink"/>
                <w:rFonts w:ascii="Times New Roman" w:hAnsi="Times New Roman" w:cs="Times New Roman"/>
                <w:noProof/>
                <w:sz w:val="24"/>
                <w:szCs w:val="24"/>
              </w:rPr>
              <w:t>3.69.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Advokatrådets og Advokatnævnets administrative foranstaltninger og offentliggørelsen heraf</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550</w:t>
            </w:r>
            <w:r w:rsidRPr="00680657">
              <w:rPr>
                <w:rFonts w:ascii="Times New Roman" w:hAnsi="Times New Roman" w:cs="Times New Roman"/>
                <w:noProof/>
                <w:webHidden/>
                <w:sz w:val="24"/>
                <w:szCs w:val="24"/>
              </w:rPr>
              <w:fldChar w:fldCharType="end"/>
            </w:r>
          </w:hyperlink>
        </w:p>
        <w:p w14:paraId="45972CE5" w14:textId="6E1280C2"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7" w:history="1">
            <w:r w:rsidRPr="00680657">
              <w:rPr>
                <w:rStyle w:val="Hyperlink"/>
                <w:rFonts w:ascii="Times New Roman" w:hAnsi="Times New Roman" w:cs="Times New Roman"/>
                <w:noProof/>
                <w:sz w:val="24"/>
                <w:szCs w:val="24"/>
              </w:rPr>
              <w:t>3.70.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Tavshedspligt for Advokatrådet mv.</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579</w:t>
            </w:r>
            <w:r w:rsidRPr="00680657">
              <w:rPr>
                <w:rFonts w:ascii="Times New Roman" w:hAnsi="Times New Roman" w:cs="Times New Roman"/>
                <w:noProof/>
                <w:webHidden/>
                <w:sz w:val="24"/>
                <w:szCs w:val="24"/>
              </w:rPr>
              <w:fldChar w:fldCharType="end"/>
            </w:r>
          </w:hyperlink>
        </w:p>
        <w:p w14:paraId="53A22F6C" w14:textId="49731960"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8" w:history="1">
            <w:r w:rsidRPr="00680657">
              <w:rPr>
                <w:rStyle w:val="Hyperlink"/>
                <w:rFonts w:ascii="Times New Roman" w:hAnsi="Times New Roman" w:cs="Times New Roman"/>
                <w:noProof/>
                <w:sz w:val="24"/>
                <w:szCs w:val="24"/>
              </w:rPr>
              <w:t>3.71.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Indførelse af uafhængigt tilsyn med Advokatrådets tilsyn på hvidvaskområdet</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586</w:t>
            </w:r>
            <w:r w:rsidRPr="00680657">
              <w:rPr>
                <w:rFonts w:ascii="Times New Roman" w:hAnsi="Times New Roman" w:cs="Times New Roman"/>
                <w:noProof/>
                <w:webHidden/>
                <w:sz w:val="24"/>
                <w:szCs w:val="24"/>
              </w:rPr>
              <w:fldChar w:fldCharType="end"/>
            </w:r>
          </w:hyperlink>
        </w:p>
        <w:p w14:paraId="10022119" w14:textId="4D1BB062"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89" w:history="1">
            <w:r w:rsidRPr="00680657">
              <w:rPr>
                <w:rStyle w:val="Hyperlink"/>
                <w:rFonts w:ascii="Times New Roman" w:hAnsi="Times New Roman" w:cs="Times New Roman"/>
                <w:noProof/>
                <w:sz w:val="24"/>
                <w:szCs w:val="24"/>
              </w:rPr>
              <w:t>3.72.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Underretningsforpligtelser for advokater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_Toc244880789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597</w:t>
            </w:r>
            <w:r w:rsidRPr="00680657">
              <w:rPr>
                <w:rFonts w:ascii="Times New Roman" w:hAnsi="Times New Roman" w:cs="Times New Roman"/>
                <w:noProof/>
                <w:webHidden/>
                <w:sz w:val="24"/>
                <w:szCs w:val="24"/>
              </w:rPr>
              <w:fldChar w:fldCharType="end"/>
            </w:r>
          </w:hyperlink>
        </w:p>
        <w:p w14:paraId="3CBC6DE9" w14:textId="54B4A625"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0" w:history="1">
            <w:r w:rsidRPr="00680657">
              <w:rPr>
                <w:rStyle w:val="Hyperlink"/>
                <w:rFonts w:ascii="Times New Roman" w:hAnsi="Times New Roman" w:cs="Times New Roman"/>
                <w:noProof/>
                <w:sz w:val="24"/>
                <w:szCs w:val="24"/>
              </w:rPr>
              <w:t>3.73.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Spillemyndighedens tilsyn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606</w:t>
            </w:r>
            <w:r w:rsidRPr="00680657">
              <w:rPr>
                <w:rFonts w:ascii="Times New Roman" w:hAnsi="Times New Roman" w:cs="Times New Roman"/>
                <w:noProof/>
                <w:webHidden/>
                <w:sz w:val="24"/>
                <w:szCs w:val="24"/>
              </w:rPr>
              <w:fldChar w:fldCharType="end"/>
            </w:r>
          </w:hyperlink>
        </w:p>
        <w:p w14:paraId="23D15578" w14:textId="69C9190E"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1" w:history="1">
            <w:r w:rsidRPr="00680657">
              <w:rPr>
                <w:rStyle w:val="Hyperlink"/>
                <w:rFonts w:ascii="Times New Roman" w:hAnsi="Times New Roman" w:cs="Times New Roman"/>
                <w:noProof/>
                <w:sz w:val="24"/>
                <w:szCs w:val="24"/>
              </w:rPr>
              <w:t>3.74.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Bemyndigelse til fastsættelse af regler om anmeldelse og offentliggørelse for spiludbydere og ikkefinansielle holdingselskaber med blandet aktivitet</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616</w:t>
            </w:r>
            <w:r w:rsidRPr="00680657">
              <w:rPr>
                <w:rFonts w:ascii="Times New Roman" w:hAnsi="Times New Roman" w:cs="Times New Roman"/>
                <w:noProof/>
                <w:webHidden/>
                <w:sz w:val="24"/>
                <w:szCs w:val="24"/>
              </w:rPr>
              <w:fldChar w:fldCharType="end"/>
            </w:r>
          </w:hyperlink>
        </w:p>
        <w:p w14:paraId="30C89D8F" w14:textId="56902D80"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2" w:history="1">
            <w:r w:rsidRPr="00680657">
              <w:rPr>
                <w:rStyle w:val="Hyperlink"/>
                <w:rFonts w:ascii="Times New Roman" w:hAnsi="Times New Roman" w:cs="Times New Roman"/>
                <w:noProof/>
                <w:sz w:val="24"/>
                <w:szCs w:val="24"/>
              </w:rPr>
              <w:t>3.75.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Spillemyndighedens forretningsgange for forebyggelse af hvidvask og terrorfinansiering</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618</w:t>
            </w:r>
            <w:r w:rsidRPr="00680657">
              <w:rPr>
                <w:rFonts w:ascii="Times New Roman" w:hAnsi="Times New Roman" w:cs="Times New Roman"/>
                <w:noProof/>
                <w:webHidden/>
                <w:sz w:val="24"/>
                <w:szCs w:val="24"/>
              </w:rPr>
              <w:fldChar w:fldCharType="end"/>
            </w:r>
          </w:hyperlink>
        </w:p>
        <w:p w14:paraId="1B513CEF" w14:textId="323F3971"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3" w:history="1">
            <w:r w:rsidRPr="00680657">
              <w:rPr>
                <w:rStyle w:val="Hyperlink"/>
                <w:rFonts w:ascii="Times New Roman" w:hAnsi="Times New Roman" w:cs="Times New Roman"/>
                <w:noProof/>
                <w:sz w:val="24"/>
                <w:szCs w:val="24"/>
              </w:rPr>
              <w:t>3.76.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Krav til hæderlighed, egnethed og oplysningspligt for den øverste ledelse og reelle ejere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619</w:t>
            </w:r>
            <w:r w:rsidRPr="00680657">
              <w:rPr>
                <w:rFonts w:ascii="Times New Roman" w:hAnsi="Times New Roman" w:cs="Times New Roman"/>
                <w:noProof/>
                <w:webHidden/>
                <w:sz w:val="24"/>
                <w:szCs w:val="24"/>
              </w:rPr>
              <w:fldChar w:fldCharType="end"/>
            </w:r>
          </w:hyperlink>
        </w:p>
        <w:p w14:paraId="169B6954" w14:textId="082A2859"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4" w:history="1">
            <w:r w:rsidRPr="00680657">
              <w:rPr>
                <w:rStyle w:val="Hyperlink"/>
                <w:rFonts w:ascii="Times New Roman" w:hAnsi="Times New Roman" w:cs="Times New Roman"/>
                <w:noProof/>
                <w:sz w:val="24"/>
                <w:szCs w:val="24"/>
              </w:rPr>
              <w:t>3.77.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Indhentning af oplysninger til brug for Spillemyndighedens tilsyn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623</w:t>
            </w:r>
            <w:r w:rsidRPr="00680657">
              <w:rPr>
                <w:rFonts w:ascii="Times New Roman" w:hAnsi="Times New Roman" w:cs="Times New Roman"/>
                <w:noProof/>
                <w:webHidden/>
                <w:sz w:val="24"/>
                <w:szCs w:val="24"/>
              </w:rPr>
              <w:fldChar w:fldCharType="end"/>
            </w:r>
          </w:hyperlink>
        </w:p>
        <w:p w14:paraId="63248073" w14:textId="339DEC98"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5" w:history="1">
            <w:r w:rsidRPr="00680657">
              <w:rPr>
                <w:rStyle w:val="Hyperlink"/>
                <w:rFonts w:ascii="Times New Roman" w:hAnsi="Times New Roman" w:cs="Times New Roman"/>
                <w:noProof/>
                <w:sz w:val="24"/>
                <w:szCs w:val="24"/>
              </w:rPr>
              <w:t>3.78.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Spillemyndighedens påbuds- og sanktionsbeføjelser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626</w:t>
            </w:r>
            <w:r w:rsidRPr="00680657">
              <w:rPr>
                <w:rFonts w:ascii="Times New Roman" w:hAnsi="Times New Roman" w:cs="Times New Roman"/>
                <w:noProof/>
                <w:webHidden/>
                <w:sz w:val="24"/>
                <w:szCs w:val="24"/>
              </w:rPr>
              <w:fldChar w:fldCharType="end"/>
            </w:r>
          </w:hyperlink>
        </w:p>
        <w:p w14:paraId="0A6099D1" w14:textId="71213123"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6" w:history="1">
            <w:r w:rsidRPr="00680657">
              <w:rPr>
                <w:rStyle w:val="Hyperlink"/>
                <w:rFonts w:ascii="Times New Roman" w:hAnsi="Times New Roman" w:cs="Times New Roman"/>
                <w:noProof/>
                <w:sz w:val="24"/>
                <w:szCs w:val="24"/>
              </w:rPr>
              <w:t>3.79.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Spillemyndighedens hjemmel til at påbyde i relation til partnerskaber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643</w:t>
            </w:r>
            <w:r w:rsidRPr="00680657">
              <w:rPr>
                <w:rFonts w:ascii="Times New Roman" w:hAnsi="Times New Roman" w:cs="Times New Roman"/>
                <w:noProof/>
                <w:webHidden/>
                <w:sz w:val="24"/>
                <w:szCs w:val="24"/>
              </w:rPr>
              <w:fldChar w:fldCharType="end"/>
            </w:r>
          </w:hyperlink>
        </w:p>
        <w:p w14:paraId="36F998D4" w14:textId="09E200E1"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7" w:history="1">
            <w:r w:rsidRPr="00680657">
              <w:rPr>
                <w:rStyle w:val="Hyperlink"/>
                <w:rFonts w:ascii="Times New Roman" w:hAnsi="Times New Roman" w:cs="Times New Roman"/>
                <w:noProof/>
                <w:sz w:val="24"/>
                <w:szCs w:val="24"/>
              </w:rPr>
              <w:t>3.80.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Spillemyndighedens offentliggørelse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645</w:t>
            </w:r>
            <w:r w:rsidRPr="00680657">
              <w:rPr>
                <w:rFonts w:ascii="Times New Roman" w:hAnsi="Times New Roman" w:cs="Times New Roman"/>
                <w:noProof/>
                <w:webHidden/>
                <w:sz w:val="24"/>
                <w:szCs w:val="24"/>
              </w:rPr>
              <w:fldChar w:fldCharType="end"/>
            </w:r>
          </w:hyperlink>
        </w:p>
        <w:p w14:paraId="2068D5CF" w14:textId="7C29046F"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8" w:history="1">
            <w:r w:rsidRPr="00680657">
              <w:rPr>
                <w:rStyle w:val="Hyperlink"/>
                <w:rFonts w:ascii="Times New Roman" w:hAnsi="Times New Roman" w:cs="Times New Roman"/>
                <w:noProof/>
                <w:sz w:val="24"/>
                <w:szCs w:val="24"/>
              </w:rPr>
              <w:t>3.81.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Spillemyndighedens tavshedspligt</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650</w:t>
            </w:r>
            <w:r w:rsidRPr="00680657">
              <w:rPr>
                <w:rFonts w:ascii="Times New Roman" w:hAnsi="Times New Roman" w:cs="Times New Roman"/>
                <w:noProof/>
                <w:webHidden/>
                <w:sz w:val="24"/>
                <w:szCs w:val="24"/>
              </w:rPr>
              <w:fldChar w:fldCharType="end"/>
            </w:r>
          </w:hyperlink>
        </w:p>
        <w:p w14:paraId="70DF230A" w14:textId="183C0BB2"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799" w:history="1">
            <w:r w:rsidRPr="00680657">
              <w:rPr>
                <w:rStyle w:val="Hyperlink"/>
                <w:rFonts w:ascii="Times New Roman" w:hAnsi="Times New Roman" w:cs="Times New Roman"/>
                <w:noProof/>
                <w:sz w:val="24"/>
                <w:szCs w:val="24"/>
              </w:rPr>
              <w:t>3.82.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Spillemyndighedens tavshedspligt vedrørende oplysninger om indberettere af overtrædelser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_Toc244880799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654</w:t>
            </w:r>
            <w:r w:rsidRPr="00680657">
              <w:rPr>
                <w:rFonts w:ascii="Times New Roman" w:hAnsi="Times New Roman" w:cs="Times New Roman"/>
                <w:noProof/>
                <w:webHidden/>
                <w:sz w:val="24"/>
                <w:szCs w:val="24"/>
              </w:rPr>
              <w:fldChar w:fldCharType="end"/>
            </w:r>
          </w:hyperlink>
        </w:p>
        <w:p w14:paraId="3B50235B" w14:textId="63144088"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0" w:history="1">
            <w:r w:rsidRPr="00680657">
              <w:rPr>
                <w:rStyle w:val="Hyperlink"/>
                <w:rFonts w:ascii="Times New Roman" w:hAnsi="Times New Roman" w:cs="Times New Roman"/>
                <w:noProof/>
                <w:sz w:val="24"/>
                <w:szCs w:val="24"/>
              </w:rPr>
              <w:t>3.83.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Kommunikation og samarbejdsforum</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655</w:t>
            </w:r>
            <w:r w:rsidRPr="00680657">
              <w:rPr>
                <w:rFonts w:ascii="Times New Roman" w:hAnsi="Times New Roman" w:cs="Times New Roman"/>
                <w:noProof/>
                <w:webHidden/>
                <w:sz w:val="24"/>
                <w:szCs w:val="24"/>
              </w:rPr>
              <w:fldChar w:fldCharType="end"/>
            </w:r>
          </w:hyperlink>
        </w:p>
        <w:p w14:paraId="0C69231E" w14:textId="634D4ED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1" w:history="1">
            <w:r w:rsidRPr="00680657">
              <w:rPr>
                <w:rStyle w:val="Hyperlink"/>
                <w:rFonts w:ascii="Times New Roman" w:hAnsi="Times New Roman" w:cs="Times New Roman"/>
                <w:noProof/>
                <w:sz w:val="24"/>
                <w:szCs w:val="24"/>
              </w:rPr>
              <w:t>3.84.</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Partsstatus og klageadgang hos Finanstilsynet</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659</w:t>
            </w:r>
            <w:r w:rsidRPr="00680657">
              <w:rPr>
                <w:rFonts w:ascii="Times New Roman" w:hAnsi="Times New Roman" w:cs="Times New Roman"/>
                <w:noProof/>
                <w:webHidden/>
                <w:sz w:val="24"/>
                <w:szCs w:val="24"/>
              </w:rPr>
              <w:fldChar w:fldCharType="end"/>
            </w:r>
          </w:hyperlink>
        </w:p>
        <w:p w14:paraId="3874ED32" w14:textId="6B94701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2" w:history="1">
            <w:r w:rsidRPr="00680657">
              <w:rPr>
                <w:rStyle w:val="Hyperlink"/>
                <w:rFonts w:ascii="Times New Roman" w:hAnsi="Times New Roman" w:cs="Times New Roman"/>
                <w:noProof/>
                <w:sz w:val="24"/>
                <w:szCs w:val="24"/>
              </w:rPr>
              <w:t>3.85.</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Partsstatus og klageadgang hos Erhvervsstyrelsen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660</w:t>
            </w:r>
            <w:r w:rsidRPr="00680657">
              <w:rPr>
                <w:rFonts w:ascii="Times New Roman" w:hAnsi="Times New Roman" w:cs="Times New Roman"/>
                <w:noProof/>
                <w:webHidden/>
                <w:sz w:val="24"/>
                <w:szCs w:val="24"/>
              </w:rPr>
              <w:fldChar w:fldCharType="end"/>
            </w:r>
          </w:hyperlink>
        </w:p>
        <w:p w14:paraId="78BC72F3" w14:textId="77D1CF5C"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3" w:history="1">
            <w:r w:rsidRPr="00680657">
              <w:rPr>
                <w:rStyle w:val="Hyperlink"/>
                <w:rFonts w:ascii="Times New Roman" w:hAnsi="Times New Roman" w:cs="Times New Roman"/>
                <w:noProof/>
                <w:sz w:val="24"/>
                <w:szCs w:val="24"/>
              </w:rPr>
              <w:t>3.86.</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Partsstatus og klageadgang hos Spillemyndigheden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661</w:t>
            </w:r>
            <w:r w:rsidRPr="00680657">
              <w:rPr>
                <w:rFonts w:ascii="Times New Roman" w:hAnsi="Times New Roman" w:cs="Times New Roman"/>
                <w:noProof/>
                <w:webHidden/>
                <w:sz w:val="24"/>
                <w:szCs w:val="24"/>
              </w:rPr>
              <w:fldChar w:fldCharType="end"/>
            </w:r>
          </w:hyperlink>
        </w:p>
        <w:p w14:paraId="7092C1AC" w14:textId="5977EA1C"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4" w:history="1">
            <w:r w:rsidRPr="00680657">
              <w:rPr>
                <w:rStyle w:val="Hyperlink"/>
                <w:rFonts w:ascii="Times New Roman" w:hAnsi="Times New Roman" w:cs="Times New Roman"/>
                <w:noProof/>
                <w:sz w:val="24"/>
                <w:szCs w:val="24"/>
              </w:rPr>
              <w:t>3.87.</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Inddrivelse af gebyrer omfattet af AMLA-forordningen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663</w:t>
            </w:r>
            <w:r w:rsidRPr="00680657">
              <w:rPr>
                <w:rFonts w:ascii="Times New Roman" w:hAnsi="Times New Roman" w:cs="Times New Roman"/>
                <w:noProof/>
                <w:webHidden/>
                <w:sz w:val="24"/>
                <w:szCs w:val="24"/>
              </w:rPr>
              <w:fldChar w:fldCharType="end"/>
            </w:r>
          </w:hyperlink>
        </w:p>
        <w:p w14:paraId="491CC4D1" w14:textId="541D8434"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5" w:history="1">
            <w:r w:rsidRPr="00680657">
              <w:rPr>
                <w:rStyle w:val="Hyperlink"/>
                <w:rFonts w:ascii="Times New Roman" w:hAnsi="Times New Roman" w:cs="Times New Roman"/>
                <w:noProof/>
                <w:sz w:val="24"/>
                <w:szCs w:val="24"/>
              </w:rPr>
              <w:t>3.88.</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Finanstilsynets hjemmel til at pålægge tvangsbøder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664</w:t>
            </w:r>
            <w:r w:rsidRPr="00680657">
              <w:rPr>
                <w:rFonts w:ascii="Times New Roman" w:hAnsi="Times New Roman" w:cs="Times New Roman"/>
                <w:noProof/>
                <w:webHidden/>
                <w:sz w:val="24"/>
                <w:szCs w:val="24"/>
              </w:rPr>
              <w:fldChar w:fldCharType="end"/>
            </w:r>
          </w:hyperlink>
        </w:p>
        <w:p w14:paraId="6FB75DF7" w14:textId="52A6FADB"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6" w:history="1">
            <w:r w:rsidRPr="00680657">
              <w:rPr>
                <w:rStyle w:val="Hyperlink"/>
                <w:rFonts w:ascii="Times New Roman" w:hAnsi="Times New Roman" w:cs="Times New Roman"/>
                <w:noProof/>
                <w:sz w:val="24"/>
                <w:szCs w:val="24"/>
              </w:rPr>
              <w:t>3.89.</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Erhvervsstyrelsens hjemmel til at pålægge tvangsbøder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670</w:t>
            </w:r>
            <w:r w:rsidRPr="00680657">
              <w:rPr>
                <w:rFonts w:ascii="Times New Roman" w:hAnsi="Times New Roman" w:cs="Times New Roman"/>
                <w:noProof/>
                <w:webHidden/>
                <w:sz w:val="24"/>
                <w:szCs w:val="24"/>
              </w:rPr>
              <w:fldChar w:fldCharType="end"/>
            </w:r>
          </w:hyperlink>
        </w:p>
        <w:p w14:paraId="689CB6FA" w14:textId="75AD0D9C"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7" w:history="1">
            <w:r w:rsidRPr="00680657">
              <w:rPr>
                <w:rStyle w:val="Hyperlink"/>
                <w:rFonts w:ascii="Times New Roman" w:hAnsi="Times New Roman" w:cs="Times New Roman"/>
                <w:noProof/>
                <w:sz w:val="24"/>
                <w:szCs w:val="24"/>
              </w:rPr>
              <w:t>3.90.</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Spillemyndighedens hjemmel til at pålægge tvangsbøder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673</w:t>
            </w:r>
            <w:r w:rsidRPr="00680657">
              <w:rPr>
                <w:rFonts w:ascii="Times New Roman" w:hAnsi="Times New Roman" w:cs="Times New Roman"/>
                <w:noProof/>
                <w:webHidden/>
                <w:sz w:val="24"/>
                <w:szCs w:val="24"/>
              </w:rPr>
              <w:fldChar w:fldCharType="end"/>
            </w:r>
          </w:hyperlink>
        </w:p>
        <w:p w14:paraId="5F248489" w14:textId="35EFD13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8" w:history="1">
            <w:r w:rsidRPr="00680657">
              <w:rPr>
                <w:rStyle w:val="Hyperlink"/>
                <w:rFonts w:ascii="Times New Roman" w:hAnsi="Times New Roman" w:cs="Times New Roman"/>
                <w:noProof/>
                <w:sz w:val="24"/>
                <w:szCs w:val="24"/>
              </w:rPr>
              <w:t>3.91.</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Advokatnævnets hjemmel til at pålægge tvangsbøder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676</w:t>
            </w:r>
            <w:r w:rsidRPr="00680657">
              <w:rPr>
                <w:rFonts w:ascii="Times New Roman" w:hAnsi="Times New Roman" w:cs="Times New Roman"/>
                <w:noProof/>
                <w:webHidden/>
                <w:sz w:val="24"/>
                <w:szCs w:val="24"/>
              </w:rPr>
              <w:fldChar w:fldCharType="end"/>
            </w:r>
          </w:hyperlink>
        </w:p>
        <w:p w14:paraId="16FD754E" w14:textId="63265F87"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09" w:history="1">
            <w:r w:rsidRPr="00680657">
              <w:rPr>
                <w:rStyle w:val="Hyperlink"/>
                <w:rFonts w:ascii="Times New Roman" w:hAnsi="Times New Roman" w:cs="Times New Roman"/>
                <w:noProof/>
                <w:sz w:val="24"/>
                <w:szCs w:val="24"/>
              </w:rPr>
              <w:t>3.92.</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Bø</w:t>
            </w:r>
            <w:r w:rsidRPr="00680657">
              <w:rPr>
                <w:rStyle w:val="Hyperlink"/>
                <w:rFonts w:ascii="Times New Roman" w:hAnsi="Times New Roman" w:cs="Times New Roman"/>
                <w:noProof/>
                <w:sz w:val="24"/>
                <w:szCs w:val="24"/>
              </w:rPr>
              <w:t>d</w:t>
            </w:r>
            <w:r w:rsidRPr="00680657">
              <w:rPr>
                <w:rStyle w:val="Hyperlink"/>
                <w:rFonts w:ascii="Times New Roman" w:hAnsi="Times New Roman" w:cs="Times New Roman"/>
                <w:noProof/>
                <w:sz w:val="24"/>
                <w:szCs w:val="24"/>
              </w:rPr>
              <w:t>e</w:t>
            </w:r>
            <w:r w:rsidRPr="00680657">
              <w:rPr>
                <w:rStyle w:val="Hyperlink"/>
                <w:rFonts w:ascii="Times New Roman" w:hAnsi="Times New Roman" w:cs="Times New Roman"/>
                <w:noProof/>
                <w:sz w:val="24"/>
                <w:szCs w:val="24"/>
              </w:rPr>
              <w:t>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_Toc244880809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680</w:t>
            </w:r>
            <w:r w:rsidRPr="00680657">
              <w:rPr>
                <w:rFonts w:ascii="Times New Roman" w:hAnsi="Times New Roman" w:cs="Times New Roman"/>
                <w:noProof/>
                <w:webHidden/>
                <w:sz w:val="24"/>
                <w:szCs w:val="24"/>
              </w:rPr>
              <w:fldChar w:fldCharType="end"/>
            </w:r>
          </w:hyperlink>
        </w:p>
        <w:p w14:paraId="1489FCA4" w14:textId="70068CE6" w:rsidR="006D778F" w:rsidRPr="00680657" w:rsidRDefault="006D778F">
          <w:pPr>
            <w:pStyle w:val="Indholdsfortegnelse2"/>
            <w:tabs>
              <w:tab w:val="left" w:pos="960"/>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0" w:history="1">
            <w:r w:rsidRPr="00680657">
              <w:rPr>
                <w:rStyle w:val="Hyperlink"/>
                <w:rFonts w:ascii="Times New Roman" w:hAnsi="Times New Roman" w:cs="Times New Roman"/>
                <w:noProof/>
                <w:sz w:val="24"/>
                <w:szCs w:val="24"/>
              </w:rPr>
              <w:t>3.93.</w:t>
            </w:r>
            <w:r w:rsidRPr="00680657">
              <w:rPr>
                <w:rFonts w:ascii="Times New Roman" w:eastAsiaTheme="minorEastAsia" w:hAnsi="Times New Roman" w:cs="Times New Roman"/>
                <w:noProof/>
                <w:kern w:val="2"/>
                <w:sz w:val="24"/>
                <w:szCs w:val="24"/>
                <w:lang w:eastAsia="da-DK"/>
                <w14:ligatures w14:val="standardContextual"/>
              </w:rPr>
              <w:tab/>
            </w:r>
            <w:r w:rsidRPr="00680657">
              <w:rPr>
                <w:rStyle w:val="Hyperlink"/>
                <w:rFonts w:ascii="Times New Roman" w:hAnsi="Times New Roman" w:cs="Times New Roman"/>
                <w:noProof/>
                <w:sz w:val="24"/>
                <w:szCs w:val="24"/>
              </w:rPr>
              <w:t>Ændringer i lov om spil</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710</w:t>
            </w:r>
            <w:r w:rsidRPr="00680657">
              <w:rPr>
                <w:rFonts w:ascii="Times New Roman" w:hAnsi="Times New Roman" w:cs="Times New Roman"/>
                <w:noProof/>
                <w:webHidden/>
                <w:sz w:val="24"/>
                <w:szCs w:val="24"/>
              </w:rPr>
              <w:fldChar w:fldCharType="end"/>
            </w:r>
          </w:hyperlink>
        </w:p>
        <w:p w14:paraId="0CADE81D" w14:textId="40D221DB"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1" w:history="1">
            <w:r w:rsidRPr="00680657">
              <w:rPr>
                <w:rStyle w:val="Hyperlink"/>
                <w:rFonts w:ascii="Times New Roman" w:hAnsi="Times New Roman" w:cs="Times New Roman"/>
                <w:noProof/>
                <w:sz w:val="24"/>
                <w:szCs w:val="24"/>
              </w:rPr>
              <w:t>4. Forholdet til forvaltnings-, offentligheds-, og retssikkerhedsloven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_Toc244880811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712</w:t>
            </w:r>
            <w:r w:rsidRPr="00680657">
              <w:rPr>
                <w:rFonts w:ascii="Times New Roman" w:hAnsi="Times New Roman" w:cs="Times New Roman"/>
                <w:noProof/>
                <w:webHidden/>
                <w:sz w:val="24"/>
                <w:szCs w:val="24"/>
              </w:rPr>
              <w:fldChar w:fldCharType="end"/>
            </w:r>
          </w:hyperlink>
        </w:p>
        <w:p w14:paraId="06AE4D6C" w14:textId="6523E89E"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2" w:history="1">
            <w:r w:rsidRPr="00680657">
              <w:rPr>
                <w:rStyle w:val="Hyperlink"/>
                <w:rFonts w:ascii="Times New Roman" w:hAnsi="Times New Roman" w:cs="Times New Roman"/>
                <w:noProof/>
                <w:sz w:val="24"/>
                <w:szCs w:val="24"/>
              </w:rPr>
              <w:t>5. Forholdet til databeskyttelsesforordningen og databeskyttelsesloven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_Toc244880812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726</w:t>
            </w:r>
            <w:r w:rsidRPr="00680657">
              <w:rPr>
                <w:rFonts w:ascii="Times New Roman" w:hAnsi="Times New Roman" w:cs="Times New Roman"/>
                <w:noProof/>
                <w:webHidden/>
                <w:sz w:val="24"/>
                <w:szCs w:val="24"/>
              </w:rPr>
              <w:fldChar w:fldCharType="end"/>
            </w:r>
          </w:hyperlink>
        </w:p>
        <w:p w14:paraId="67DCD424" w14:textId="69876A2E"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3" w:history="1">
            <w:r w:rsidRPr="00680657">
              <w:rPr>
                <w:rStyle w:val="Hyperlink"/>
                <w:rFonts w:ascii="Times New Roman" w:hAnsi="Times New Roman" w:cs="Times New Roman"/>
                <w:noProof/>
                <w:sz w:val="24"/>
                <w:szCs w:val="24"/>
              </w:rPr>
              <w:t>6. Økonomiske konsekvenser og implementeringskonsekvenser for det offentlige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_Toc244880813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728</w:t>
            </w:r>
            <w:r w:rsidRPr="00680657">
              <w:rPr>
                <w:rFonts w:ascii="Times New Roman" w:hAnsi="Times New Roman" w:cs="Times New Roman"/>
                <w:noProof/>
                <w:webHidden/>
                <w:sz w:val="24"/>
                <w:szCs w:val="24"/>
              </w:rPr>
              <w:fldChar w:fldCharType="end"/>
            </w:r>
          </w:hyperlink>
        </w:p>
        <w:p w14:paraId="1DC353DA" w14:textId="4D212FD9"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4" w:history="1">
            <w:r w:rsidRPr="00680657">
              <w:rPr>
                <w:rStyle w:val="Hyperlink"/>
                <w:rFonts w:ascii="Times New Roman" w:hAnsi="Times New Roman" w:cs="Times New Roman"/>
                <w:noProof/>
                <w:sz w:val="24"/>
                <w:szCs w:val="24"/>
              </w:rPr>
              <w:t>7. Økonomiske og administrative konsekvenser for erhvervslivet m.v.</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_Toc244880814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729</w:t>
            </w:r>
            <w:r w:rsidRPr="00680657">
              <w:rPr>
                <w:rFonts w:ascii="Times New Roman" w:hAnsi="Times New Roman" w:cs="Times New Roman"/>
                <w:noProof/>
                <w:webHidden/>
                <w:sz w:val="24"/>
                <w:szCs w:val="24"/>
              </w:rPr>
              <w:fldChar w:fldCharType="end"/>
            </w:r>
          </w:hyperlink>
        </w:p>
        <w:p w14:paraId="6974A5D0" w14:textId="55A18D4E"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5" w:history="1">
            <w:r w:rsidRPr="00680657">
              <w:rPr>
                <w:rStyle w:val="Hyperlink"/>
                <w:rFonts w:ascii="Times New Roman" w:hAnsi="Times New Roman" w:cs="Times New Roman"/>
                <w:noProof/>
                <w:sz w:val="24"/>
                <w:szCs w:val="24"/>
              </w:rPr>
              <w:t>8. Administrative konsekvenser for borgerne</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_Toc244880815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729</w:t>
            </w:r>
            <w:r w:rsidRPr="00680657">
              <w:rPr>
                <w:rFonts w:ascii="Times New Roman" w:hAnsi="Times New Roman" w:cs="Times New Roman"/>
                <w:noProof/>
                <w:webHidden/>
                <w:sz w:val="24"/>
                <w:szCs w:val="24"/>
              </w:rPr>
              <w:fldChar w:fldCharType="end"/>
            </w:r>
          </w:hyperlink>
        </w:p>
        <w:p w14:paraId="3B0A11AD" w14:textId="4A03172F"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6" w:history="1">
            <w:r w:rsidRPr="00680657">
              <w:rPr>
                <w:rStyle w:val="Hyperlink"/>
                <w:rFonts w:ascii="Times New Roman" w:hAnsi="Times New Roman" w:cs="Times New Roman"/>
                <w:noProof/>
                <w:sz w:val="24"/>
                <w:szCs w:val="24"/>
              </w:rPr>
              <w:t>9. Klimamæssige konsekvenser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_Toc244880816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729</w:t>
            </w:r>
            <w:r w:rsidRPr="00680657">
              <w:rPr>
                <w:rFonts w:ascii="Times New Roman" w:hAnsi="Times New Roman" w:cs="Times New Roman"/>
                <w:noProof/>
                <w:webHidden/>
                <w:sz w:val="24"/>
                <w:szCs w:val="24"/>
              </w:rPr>
              <w:fldChar w:fldCharType="end"/>
            </w:r>
          </w:hyperlink>
        </w:p>
        <w:p w14:paraId="0C54F005" w14:textId="750E0A21"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7" w:history="1">
            <w:r w:rsidRPr="00680657">
              <w:rPr>
                <w:rStyle w:val="Hyperlink"/>
                <w:rFonts w:ascii="Times New Roman" w:hAnsi="Times New Roman" w:cs="Times New Roman"/>
                <w:noProof/>
                <w:sz w:val="24"/>
                <w:szCs w:val="24"/>
              </w:rPr>
              <w:t>10. Miljø- og naturmæssige konsekvenser</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_Toc244880817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729</w:t>
            </w:r>
            <w:r w:rsidRPr="00680657">
              <w:rPr>
                <w:rFonts w:ascii="Times New Roman" w:hAnsi="Times New Roman" w:cs="Times New Roman"/>
                <w:noProof/>
                <w:webHidden/>
                <w:sz w:val="24"/>
                <w:szCs w:val="24"/>
              </w:rPr>
              <w:fldChar w:fldCharType="end"/>
            </w:r>
          </w:hyperlink>
        </w:p>
        <w:p w14:paraId="31889EF3" w14:textId="568DE64E"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8" w:history="1">
            <w:r w:rsidRPr="00680657">
              <w:rPr>
                <w:rStyle w:val="Hyperlink"/>
                <w:rFonts w:ascii="Times New Roman" w:hAnsi="Times New Roman" w:cs="Times New Roman"/>
                <w:noProof/>
                <w:sz w:val="24"/>
                <w:szCs w:val="24"/>
              </w:rPr>
              <w:t>11. Forholdet til EU-retten</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_Toc244880818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730</w:t>
            </w:r>
            <w:r w:rsidRPr="00680657">
              <w:rPr>
                <w:rFonts w:ascii="Times New Roman" w:hAnsi="Times New Roman" w:cs="Times New Roman"/>
                <w:noProof/>
                <w:webHidden/>
                <w:sz w:val="24"/>
                <w:szCs w:val="24"/>
              </w:rPr>
              <w:fldChar w:fldCharType="end"/>
            </w:r>
          </w:hyperlink>
        </w:p>
        <w:p w14:paraId="61468D6B" w14:textId="6A945DCD"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19" w:history="1">
            <w:r w:rsidRPr="00680657">
              <w:rPr>
                <w:rStyle w:val="Hyperlink"/>
                <w:rFonts w:ascii="Times New Roman" w:hAnsi="Times New Roman" w:cs="Times New Roman"/>
                <w:noProof/>
                <w:sz w:val="24"/>
                <w:szCs w:val="24"/>
              </w:rPr>
              <w:t>12. Hørte myndigheder og organisationer m.v.</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_Toc244880819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731</w:t>
            </w:r>
            <w:r w:rsidRPr="00680657">
              <w:rPr>
                <w:rFonts w:ascii="Times New Roman" w:hAnsi="Times New Roman" w:cs="Times New Roman"/>
                <w:noProof/>
                <w:webHidden/>
                <w:sz w:val="24"/>
                <w:szCs w:val="24"/>
              </w:rPr>
              <w:fldChar w:fldCharType="end"/>
            </w:r>
          </w:hyperlink>
        </w:p>
        <w:p w14:paraId="6AAC241A" w14:textId="0EA19C80" w:rsidR="006D778F" w:rsidRPr="00680657" w:rsidRDefault="006D778F">
          <w:pPr>
            <w:pStyle w:val="Indholdsfortegnelse1"/>
            <w:tabs>
              <w:tab w:val="right" w:leader="dot" w:pos="7218"/>
            </w:tabs>
            <w:rPr>
              <w:rFonts w:ascii="Times New Roman" w:eastAsiaTheme="minorEastAsia" w:hAnsi="Times New Roman" w:cs="Times New Roman"/>
              <w:noProof/>
              <w:kern w:val="2"/>
              <w:sz w:val="24"/>
              <w:szCs w:val="24"/>
              <w:lang w:eastAsia="da-DK"/>
              <w14:ligatures w14:val="standardContextual"/>
            </w:rPr>
          </w:pPr>
          <w:hyperlink w:anchor="_Toc244880820" w:history="1">
            <w:r w:rsidRPr="00680657">
              <w:rPr>
                <w:rStyle w:val="Hyperlink"/>
                <w:rFonts w:ascii="Times New Roman" w:hAnsi="Times New Roman" w:cs="Times New Roman"/>
                <w:noProof/>
                <w:sz w:val="24"/>
                <w:szCs w:val="24"/>
              </w:rPr>
              <w:t>13. Sammenfattende skema</w:t>
            </w:r>
            <w:r w:rsidRPr="00680657">
              <w:rPr>
                <w:rFonts w:ascii="Times New Roman" w:hAnsi="Times New Roman" w:cs="Times New Roman"/>
                <w:noProof/>
                <w:webHidden/>
                <w:sz w:val="24"/>
                <w:szCs w:val="24"/>
              </w:rPr>
              <w:tab/>
            </w:r>
            <w:r w:rsidRPr="00680657">
              <w:rPr>
                <w:rFonts w:ascii="Times New Roman" w:hAnsi="Times New Roman" w:cs="Times New Roman"/>
                <w:noProof/>
                <w:webHidden/>
                <w:sz w:val="24"/>
                <w:szCs w:val="24"/>
              </w:rPr>
              <w:fldChar w:fldCharType="begin"/>
            </w:r>
            <w:r w:rsidRPr="00680657">
              <w:rPr>
                <w:rFonts w:ascii="Times New Roman" w:hAnsi="Times New Roman" w:cs="Times New Roman"/>
                <w:noProof/>
                <w:webHidden/>
                <w:sz w:val="24"/>
                <w:szCs w:val="24"/>
              </w:rPr>
              <w:instrText xml:space="preserve"> PAGEREF _Toc244880820 \h </w:instrText>
            </w:r>
            <w:r w:rsidRPr="00680657">
              <w:rPr>
                <w:rFonts w:ascii="Times New Roman" w:hAnsi="Times New Roman" w:cs="Times New Roman"/>
                <w:noProof/>
                <w:webHidden/>
                <w:sz w:val="24"/>
                <w:szCs w:val="24"/>
              </w:rPr>
            </w:r>
            <w:r w:rsidRPr="00680657">
              <w:rPr>
                <w:rFonts w:ascii="Times New Roman" w:hAnsi="Times New Roman" w:cs="Times New Roman"/>
                <w:noProof/>
                <w:webHidden/>
                <w:sz w:val="24"/>
                <w:szCs w:val="24"/>
              </w:rPr>
              <w:fldChar w:fldCharType="separate"/>
            </w:r>
            <w:r w:rsidR="00A76A89">
              <w:rPr>
                <w:rFonts w:ascii="Times New Roman" w:hAnsi="Times New Roman" w:cs="Times New Roman"/>
                <w:noProof/>
                <w:webHidden/>
                <w:sz w:val="24"/>
                <w:szCs w:val="24"/>
              </w:rPr>
              <w:t>733</w:t>
            </w:r>
            <w:r w:rsidRPr="00680657">
              <w:rPr>
                <w:rFonts w:ascii="Times New Roman" w:hAnsi="Times New Roman" w:cs="Times New Roman"/>
                <w:noProof/>
                <w:webHidden/>
                <w:sz w:val="24"/>
                <w:szCs w:val="24"/>
              </w:rPr>
              <w:fldChar w:fldCharType="end"/>
            </w:r>
          </w:hyperlink>
        </w:p>
        <w:p w14:paraId="19545810" w14:textId="29DFC3CF" w:rsidR="006D778F" w:rsidRPr="00680657" w:rsidRDefault="006D778F">
          <w:pPr>
            <w:rPr>
              <w:rFonts w:ascii="Times New Roman" w:hAnsi="Times New Roman" w:cs="Times New Roman"/>
              <w:sz w:val="24"/>
              <w:szCs w:val="24"/>
            </w:rPr>
          </w:pPr>
          <w:r w:rsidRPr="00680657">
            <w:rPr>
              <w:rFonts w:ascii="Times New Roman" w:hAnsi="Times New Roman" w:cs="Times New Roman"/>
              <w:b/>
              <w:bCs/>
              <w:sz w:val="24"/>
              <w:szCs w:val="24"/>
            </w:rPr>
            <w:fldChar w:fldCharType="end"/>
          </w:r>
        </w:p>
      </w:sdtContent>
    </w:sdt>
    <w:p w14:paraId="125439F9" w14:textId="77777777" w:rsidR="005D6DE4" w:rsidRPr="00B84023" w:rsidRDefault="005D6DE4" w:rsidP="00A802A5">
      <w:pPr>
        <w:spacing w:after="240" w:line="360" w:lineRule="auto"/>
        <w:rPr>
          <w:rFonts w:ascii="Times New Roman" w:eastAsia="Calibri" w:hAnsi="Times New Roman" w:cs="Times New Roman"/>
          <w:iCs/>
          <w:sz w:val="24"/>
          <w:szCs w:val="24"/>
          <w:highlight w:val="yellow"/>
        </w:rPr>
      </w:pPr>
    </w:p>
    <w:p w14:paraId="3E8AD604" w14:textId="77777777" w:rsidR="002C0712" w:rsidRPr="008E2C39" w:rsidRDefault="002C0712" w:rsidP="00A802A5">
      <w:pPr>
        <w:spacing w:after="240" w:line="360" w:lineRule="auto"/>
        <w:rPr>
          <w:rFonts w:ascii="Times New Roman" w:eastAsia="Calibri" w:hAnsi="Times New Roman" w:cs="Times New Roman"/>
          <w:iCs/>
          <w:sz w:val="24"/>
          <w:szCs w:val="24"/>
        </w:rPr>
      </w:pPr>
    </w:p>
    <w:p w14:paraId="4CFDDD8B" w14:textId="6250F52F" w:rsidR="005F7E66" w:rsidRPr="00796736" w:rsidRDefault="005F7E66">
      <w:pPr>
        <w:pStyle w:val="Overskrift1"/>
        <w:numPr>
          <w:ilvl w:val="2"/>
          <w:numId w:val="3"/>
        </w:numPr>
        <w:spacing w:line="360" w:lineRule="auto"/>
        <w:rPr>
          <w:rFonts w:ascii="Times New Roman" w:hAnsi="Times New Roman" w:cs="Times New Roman"/>
          <w:bCs w:val="0"/>
          <w:iCs/>
          <w:sz w:val="24"/>
          <w:szCs w:val="24"/>
        </w:rPr>
      </w:pPr>
      <w:bookmarkStart w:id="672" w:name="_Toc442277386"/>
      <w:bookmarkStart w:id="673" w:name="_Toc442281298"/>
      <w:bookmarkStart w:id="674" w:name="_Toc442281328"/>
      <w:bookmarkStart w:id="675" w:name="_Toc442777834"/>
      <w:bookmarkStart w:id="676" w:name="_Toc442787232"/>
      <w:bookmarkStart w:id="677" w:name="_Toc442787524"/>
      <w:bookmarkStart w:id="678" w:name="_Toc442953229"/>
      <w:bookmarkStart w:id="679" w:name="_Toc443047614"/>
      <w:bookmarkStart w:id="680" w:name="_Toc444095974"/>
      <w:bookmarkStart w:id="681" w:name="_Toc444244500"/>
      <w:bookmarkStart w:id="682" w:name="_Toc498557071"/>
      <w:bookmarkStart w:id="683" w:name="_Toc498557151"/>
      <w:bookmarkStart w:id="684" w:name="_Toc498557218"/>
      <w:bookmarkStart w:id="685" w:name="_Toc498557282"/>
      <w:bookmarkStart w:id="686" w:name="_Toc498590016"/>
      <w:bookmarkStart w:id="687" w:name="_Toc498681499"/>
      <w:bookmarkStart w:id="688" w:name="_Toc499152771"/>
      <w:bookmarkStart w:id="689" w:name="_Toc499158730"/>
      <w:bookmarkStart w:id="690" w:name="_Toc499648599"/>
      <w:bookmarkStart w:id="691" w:name="_Toc499728092"/>
      <w:bookmarkStart w:id="692" w:name="_Toc499732940"/>
      <w:bookmarkStart w:id="693" w:name="_Toc499736971"/>
      <w:bookmarkStart w:id="694" w:name="_Toc499812911"/>
      <w:bookmarkStart w:id="695" w:name="_Toc499813714"/>
      <w:bookmarkStart w:id="696" w:name="_Toc500921460"/>
      <w:bookmarkStart w:id="697" w:name="_Toc500921486"/>
      <w:bookmarkStart w:id="698" w:name="_Toc500921594"/>
      <w:bookmarkStart w:id="699" w:name="_Toc501019204"/>
      <w:bookmarkStart w:id="700" w:name="_Toc504483849"/>
      <w:bookmarkStart w:id="701" w:name="_Toc505180547"/>
      <w:bookmarkStart w:id="702" w:name="_Toc505690192"/>
      <w:bookmarkStart w:id="703" w:name="_Toc505701745"/>
      <w:bookmarkStart w:id="704" w:name="_Toc505759537"/>
      <w:bookmarkStart w:id="705" w:name="_Toc505759554"/>
      <w:bookmarkStart w:id="706" w:name="_Toc505762647"/>
      <w:bookmarkStart w:id="707" w:name="_Toc505785987"/>
      <w:bookmarkStart w:id="708" w:name="_Toc506799572"/>
      <w:bookmarkStart w:id="709" w:name="_Toc506799589"/>
      <w:bookmarkStart w:id="710" w:name="_Toc506894548"/>
      <w:bookmarkStart w:id="711" w:name="_Toc507486285"/>
      <w:bookmarkStart w:id="712" w:name="_Toc515271224"/>
      <w:bookmarkStart w:id="713" w:name="_Toc515271547"/>
      <w:bookmarkStart w:id="714" w:name="_Toc515271575"/>
      <w:bookmarkStart w:id="715" w:name="_Toc515280471"/>
      <w:bookmarkStart w:id="716" w:name="_Toc515280622"/>
      <w:bookmarkStart w:id="717" w:name="_Toc515352774"/>
      <w:bookmarkStart w:id="718" w:name="_Toc515540847"/>
      <w:bookmarkStart w:id="719" w:name="_Toc515543683"/>
      <w:bookmarkStart w:id="720" w:name="_Toc515543868"/>
      <w:bookmarkStart w:id="721" w:name="_Toc515551669"/>
      <w:bookmarkStart w:id="722" w:name="_Toc515627611"/>
      <w:bookmarkStart w:id="723" w:name="_Toc516039921"/>
      <w:bookmarkStart w:id="724" w:name="_Toc516155344"/>
      <w:bookmarkStart w:id="725" w:name="_Toc516490245"/>
      <w:bookmarkStart w:id="726" w:name="_Toc518037927"/>
      <w:bookmarkStart w:id="727" w:name="_Toc524599575"/>
      <w:bookmarkStart w:id="728" w:name="_Toc526154928"/>
      <w:bookmarkStart w:id="729" w:name="_Toc526155474"/>
      <w:bookmarkStart w:id="730" w:name="_Toc526155547"/>
      <w:bookmarkStart w:id="731" w:name="_Toc526253984"/>
      <w:bookmarkStart w:id="732" w:name="_Toc526348408"/>
      <w:bookmarkStart w:id="733" w:name="_Toc526374599"/>
      <w:bookmarkStart w:id="734" w:name="_Toc526374615"/>
      <w:bookmarkStart w:id="735" w:name="_Toc526406478"/>
      <w:bookmarkStart w:id="736" w:name="_Toc526409498"/>
      <w:bookmarkStart w:id="737" w:name="_Toc526491397"/>
      <w:bookmarkStart w:id="738" w:name="_Toc526505509"/>
      <w:bookmarkStart w:id="739" w:name="_Toc526756601"/>
      <w:bookmarkStart w:id="740" w:name="_Toc229739607"/>
      <w:bookmarkStart w:id="741" w:name="_Toc232108997"/>
      <w:bookmarkStart w:id="742" w:name="Indledning"/>
      <w:bookmarkStart w:id="743" w:name="_Toc244880715"/>
      <w:r w:rsidRPr="00796736">
        <w:rPr>
          <w:rFonts w:ascii="Times New Roman" w:hAnsi="Times New Roman" w:cs="Times New Roman"/>
          <w:bCs w:val="0"/>
          <w:iCs/>
          <w:sz w:val="24"/>
          <w:szCs w:val="24"/>
        </w:rPr>
        <w:t>Indledning</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3"/>
    </w:p>
    <w:bookmarkEnd w:id="742"/>
    <w:p w14:paraId="617791B7" w14:textId="2415FD98"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 af penge og finansiering af terrorisme udgør fortsat en alvorlig trussel mod samfundet, den finansielle stabilitet og tilliden til det finansielle system. Kriminelles mulighed for at skjule oprindelsen af udbytte fra strafbare handlinger og for at anvende både lovlige og ulovlige midler til finansiering af terrorisme skal begrænses mest muligt. </w:t>
      </w:r>
    </w:p>
    <w:p w14:paraId="1842FF45" w14:textId="77777777" w:rsidR="00F526C5" w:rsidRPr="00796736" w:rsidRDefault="00F526C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Indsatsen mod hvidvask og finansiering af terrorisme forudsætter ikke alene, at de omfattede virksomheder og personer gennemfører passende forebyggende foranstaltninger, men også at de ansvarlige myndigheder har klare opgaver, tilstrækkelige beføjelser og effektive rammer for tilsyn, analyse, håndhævelse og samarbejde. Kriminelle aktiviteter foregår ofte på tværs af landegrænser, sektorer og teknologiske platforme. Det stiller høje krav til myndighedernes mulighed for at føre et risikobaseret tilsyn, få adgang til relevante oplysninger, udveksle oplysninger med andre myndigheder og gribe rettidigt ind over for overtrædelser eller væsentlige risici.</w:t>
      </w:r>
    </w:p>
    <w:p w14:paraId="17D9960D" w14:textId="0C833891"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Lovforslagets overordnede formål er at gennemføre Europa-Parlamentets og Rådets direktiv (EU) 2024/1640 af 31. maj 2024 om de mekanismer, som medlemsstaterne skal indføre for at forebygge anvendelse af det finansielle system til hvidvask af penge eller finansiering af terrorisme m.v.</w:t>
      </w:r>
      <w:r w:rsidR="00C17BE4" w:rsidRPr="00796736">
        <w:rPr>
          <w:rFonts w:ascii="Times New Roman" w:eastAsia="Calibri" w:hAnsi="Times New Roman" w:cs="Times New Roman"/>
          <w:sz w:val="24"/>
          <w:szCs w:val="24"/>
        </w:rPr>
        <w:t xml:space="preserve"> (6. hvidvaskdirektiv).</w:t>
      </w:r>
      <w:r w:rsidRPr="00796736">
        <w:rPr>
          <w:rFonts w:ascii="Times New Roman" w:eastAsia="Calibri" w:hAnsi="Times New Roman" w:cs="Times New Roman"/>
          <w:sz w:val="24"/>
          <w:szCs w:val="24"/>
        </w:rPr>
        <w:t xml:space="preserve"> Lovforslaget indeholder endvidere supplerende nationale bestemmelser til Europa-Parlamentets og Rådets forordning (EU) 2024/1624 af 31. maj 2024 om forebyggende foranstaltninger mod anvendelse af det finansielle system til hvidvask af penge eller finansiering af terrorisme</w:t>
      </w:r>
      <w:r w:rsidR="00E751C7" w:rsidRPr="00796736">
        <w:rPr>
          <w:rFonts w:ascii="Times New Roman" w:eastAsia="Calibri" w:hAnsi="Times New Roman" w:cs="Times New Roman"/>
          <w:sz w:val="24"/>
          <w:szCs w:val="24"/>
        </w:rPr>
        <w:t xml:space="preserve"> (hvidvaskforordningen)</w:t>
      </w:r>
      <w:r w:rsidRPr="00796736">
        <w:rPr>
          <w:rFonts w:ascii="Times New Roman" w:eastAsia="Calibri" w:hAnsi="Times New Roman" w:cs="Times New Roman"/>
          <w:sz w:val="24"/>
          <w:szCs w:val="24"/>
        </w:rPr>
        <w:t>.</w:t>
      </w:r>
    </w:p>
    <w:p w14:paraId="6312B089" w14:textId="49434B69"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Lovforslaget skal ses i sammenhæng med den samlede hvidvaskpakke, der blev vedtaget i maj 2024. Pakken består bl.a. af hvidvaskforordningen, 6. hvidvaskdirektiv, forordningen om oprettelse af Myndigheden for Bekæmpelse af Hvidvask af Penge og Finansiering af Terrorisme (AMLA) og forordningen om oplysninger, der skal medsendes ved pengeoverførsler og ved overførsler af visse kryptoaktiver. Hvidvaskpakken har til formål at styrke og harmonisere EU’s samlede ramme for bekæmpelse af hvidvask og finansiering af terrorisme.</w:t>
      </w:r>
    </w:p>
    <w:p w14:paraId="384407EA" w14:textId="77777777" w:rsidR="00E751C7" w:rsidRPr="00796736" w:rsidRDefault="00E751C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Med den nye hvidvaskpakke ændres EU’s hvidvaskregulering grundlæggende. Hidtil har de centrale forpligtelser for virksomheder og personer i vidt omfang været fastsat i direktiver og gennemført i national ret. Fremover vil de materielle krav til de forpligtede enheder i høj grad følge direkte af hvidvaskforordningen, som gælder umiddelbart i Danmark. Lovforslaget har derfor navnlig til formål at fastlægge de nationale rammer for anvendelsen af, tilsynet med og håndhævelsen af forordningen samt at gennemføre de dele af 6. hvidvaskdirektiv, der kræver national lovgivning.</w:t>
      </w:r>
    </w:p>
    <w:p w14:paraId="46301DCE" w14:textId="42437F70" w:rsidR="00410B2E" w:rsidRPr="00796736" w:rsidRDefault="0043515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Ved l</w:t>
      </w:r>
      <w:r w:rsidR="00410B2E" w:rsidRPr="00796736">
        <w:rPr>
          <w:rFonts w:ascii="Times New Roman" w:eastAsia="Calibri" w:hAnsi="Times New Roman" w:cs="Times New Roman"/>
          <w:sz w:val="24"/>
          <w:szCs w:val="24"/>
        </w:rPr>
        <w:t xml:space="preserve">ovforslaget </w:t>
      </w:r>
      <w:r w:rsidRPr="00796736">
        <w:rPr>
          <w:rFonts w:ascii="Times New Roman" w:eastAsia="Calibri" w:hAnsi="Times New Roman" w:cs="Times New Roman"/>
          <w:sz w:val="24"/>
          <w:szCs w:val="24"/>
        </w:rPr>
        <w:t>foreslås det</w:t>
      </w:r>
      <w:r w:rsidR="00410B2E" w:rsidRPr="00796736">
        <w:rPr>
          <w:rFonts w:ascii="Times New Roman" w:eastAsia="Calibri" w:hAnsi="Times New Roman" w:cs="Times New Roman"/>
          <w:sz w:val="24"/>
          <w:szCs w:val="24"/>
        </w:rPr>
        <w:t>, at den gældende hvidvasklov ophæves og erstattes af en ny lov med forebyggende foranstaltninger mod hvidvask og finansiering af terrorisme. Lovforslaget viderefører en række grundlæggende elementer fra den gældende regulering. Lovforslaget indeholder samtidig nye regler om bl.a. Hvidvasksekretariatets opgaver og beføjelser, myndighedernes adgang til oplysninger, centrale automatiske mekanismer, tilsynsmyndighedernes beføjelser, administrative foranstaltninger, tvangsbøder og offentliggørelse af tilsynsreaktioner.</w:t>
      </w:r>
    </w:p>
    <w:p w14:paraId="4CB0566C" w14:textId="52B88306" w:rsidR="00E751C7"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 virksomheder og personer, der er omfattet af hvidvaskreglerne, spiller en central rolle i indsatsen mod hvidvask og finansiering af terrorisme. Det gælder både finansielle virksomheder, ikke-finansielle virksomheder og personer, som i kraft af deres aktiviteter kan blive misbrugt til at tilsløre midlers oprindelse, gennemføre transaktioner eller skabe strukturer, der kan anvendes til kriminelle formål. Virksomheder og personer, der er omfattet af hvidvaskreguleringen, har derfor et væsentligt samfundsansvar og skal gennemføre passende foranstaltninger med henblik på at identificere, vurdere og begrænse risikoen for, at de misbruges til hvidvask eller finansiering af terrorisme.</w:t>
      </w:r>
      <w:r w:rsidR="00E751C7" w:rsidRPr="00796736">
        <w:rPr>
          <w:rFonts w:ascii="Times New Roman" w:eastAsia="Calibri" w:hAnsi="Times New Roman" w:cs="Times New Roman"/>
          <w:sz w:val="24"/>
          <w:szCs w:val="24"/>
        </w:rPr>
        <w:br/>
      </w:r>
    </w:p>
    <w:p w14:paraId="46847C23" w14:textId="7F0CFDFB" w:rsidR="009A6B9A" w:rsidRPr="00796736" w:rsidRDefault="00A34607">
      <w:pPr>
        <w:pStyle w:val="Overskrift1"/>
        <w:numPr>
          <w:ilvl w:val="2"/>
          <w:numId w:val="3"/>
        </w:numPr>
        <w:spacing w:line="360" w:lineRule="auto"/>
        <w:rPr>
          <w:rFonts w:ascii="Times New Roman" w:hAnsi="Times New Roman" w:cs="Times New Roman"/>
          <w:bCs w:val="0"/>
          <w:iCs/>
          <w:sz w:val="24"/>
          <w:szCs w:val="24"/>
        </w:rPr>
      </w:pPr>
      <w:bookmarkStart w:id="744" w:name="_Toc229739608"/>
      <w:bookmarkStart w:id="745" w:name="Baggrund"/>
      <w:bookmarkStart w:id="746" w:name="_Toc232108998"/>
      <w:bookmarkStart w:id="747" w:name="_Toc244880716"/>
      <w:r w:rsidRPr="00796736">
        <w:rPr>
          <w:rFonts w:ascii="Times New Roman" w:hAnsi="Times New Roman" w:cs="Times New Roman"/>
          <w:bCs w:val="0"/>
          <w:iCs/>
          <w:sz w:val="24"/>
          <w:szCs w:val="24"/>
        </w:rPr>
        <w:t>B</w:t>
      </w:r>
      <w:r w:rsidR="005F7E66" w:rsidRPr="00796736">
        <w:rPr>
          <w:rFonts w:ascii="Times New Roman" w:hAnsi="Times New Roman" w:cs="Times New Roman"/>
          <w:bCs w:val="0"/>
          <w:iCs/>
          <w:sz w:val="24"/>
          <w:szCs w:val="24"/>
        </w:rPr>
        <w:t>aggrund</w:t>
      </w:r>
      <w:bookmarkEnd w:id="744"/>
      <w:bookmarkEnd w:id="745"/>
      <w:bookmarkEnd w:id="746"/>
      <w:bookmarkEnd w:id="747"/>
    </w:p>
    <w:p w14:paraId="4F89CB25" w14:textId="77777777"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gældende hvidvasklov gennemfører dele af de internationale standarder fra Financial Action Task Force (FATF) og dele af 4. og 5. hvidvaskdirektiv. Reglerne har gennem en årrække udgjort den centrale danske ramme for forebyggelse og bekæmpelse af hvidvask af penge og finansiering af terrorisme.</w:t>
      </w:r>
    </w:p>
    <w:p w14:paraId="744326E6" w14:textId="77777777"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Danmark er medlem af FATF, som er et mellemstatsligt samarbejde om bekæmpelse af hvidvask, finansiering af terrorisme og finansiering af spredning af masseødelæggelsesvåben. Som medlemsland er Danmark forpligtet til at efterleve FATF’s anbefalinger. FATF’s anbefalinger udgør fortsat et centralt internationalt grundlag for den danske og europæiske regulering på hvidvaskområdet.</w:t>
      </w:r>
    </w:p>
    <w:p w14:paraId="3DADABA7" w14:textId="5CC50D85"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EU’s hvidvaskregulering har hidtil i vidt omfang været baseret på direktiver. Det har betydet, at de enkelte medlemsstater har gennemført reglerne i national ret. Den nye hvidvaskpakke fra 2024 har til formål at styrke EU’s samlede ramme for bekæmpelse af hvidvask og finansiering af terrorisme. Pakken indebærer en højere grad af harmonisering og en mere ensartet anvendelse af reglerne på tværs af medlemsstaterne. Dette sker navnlig ved, at en væsentlig del af de materielle forpligtelser for de forpligtede enheder fremover fastsættes i en forordning, som gælder umiddelbart i alle medlemsstater.</w:t>
      </w:r>
    </w:p>
    <w:p w14:paraId="3E2D2BFD" w14:textId="77777777"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Hvidvaskforordningen fastsætter de centrale krav til de forpligtede enheder. Det gælder bl.a. regler om risikovurdering på virksomhedsplan, interne politikker, procedurer og kontroller, kundekendskabsprocedurer, skærpede kundekendskabsprocedurer, lempede kundekendskabsprocedurer, politisk eksponerede personer, underretning ved mistanke, opbevaring af oplysninger, partnerskaber om udveksling af oplysninger og begrænsning af kontantbetalinger. </w:t>
      </w:r>
    </w:p>
    <w:p w14:paraId="5201C149" w14:textId="5FE731E0"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6. hvidvaskdirektiv fastsætter derimod de nationale rammer, som medlemsstaterne skal etablere for at sikre, at hvidvaskforordningen og den øvrige EU-regulering kan fungere effektivt. Direktivet indeholder bl.a. regler om nationale risikovurderinger, finansielle efterretningsenheder, tilsynsmyndigheder, centrale automatiske mekanismer, adgang til oplysninger, samarbejde mellem myndigheder, sanktioner, offentliggørelse og tavshedspligt.</w:t>
      </w:r>
    </w:p>
    <w:p w14:paraId="2860E197" w14:textId="77777777"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AMLA-forordningen opretter Myndigheden for Bekæmpelse af Hvidvask af Penge og Finansiering af Terrorisme. AMLA skal bidrage til en ensartet anvendelse af reglerne i EU, herunder gennem udarbejdelse af reguleringsmæssige og gennemførelsesmæssige tekniske standarder, retningslinjer og henstillinger. AMLA får også kompetence til at føre direkte tilsyn med udvalgte forpligtede enheder og til at understøtte samarbejdet mellem finansielle efterretningsenheder, herunder gennem FIU.net og fælles analyser.</w:t>
      </w:r>
    </w:p>
    <w:p w14:paraId="27BB300E" w14:textId="642E5C8A"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nye hvidvaskpakke indebærer, at den gældende danske hvidvasklov ikke kan videreføres uændret. En række af de regler, der i dag fremgår af hvidvaskloven, vil fremover fremgå direkte af hvidvaskforordningen. Samtidig kræver 6. hvidvaskdirektiv, at Danmark fastsætter nationale regler om myndighedernes opgaver, beføjelser og samarbejde.</w:t>
      </w:r>
    </w:p>
    <w:p w14:paraId="57B180C8" w14:textId="3E82241C"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Lovforslaget gennemfører de dele af 6. hvidvaskdirektiv, der kræver lovgivningsmæssige implementering. En række bestemmelser i direktivet er myndighedsrettede og fastsætter alene krav til myndighedernes interne arbejdsgange, koordinering eller opgavevaretagelse. Sådanne bestemmelser vil efter dansk ret i vidt omfang gennemføres administrativt, f.eks. gennem forretningsgange eller interne procedurer. </w:t>
      </w:r>
    </w:p>
    <w:p w14:paraId="4FA66D65" w14:textId="082B8C5D"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Lovforslaget bygger samtidig på en videreførelse af en række centrale elementer i den gældende hvidvasklov. Det gælder bl.a. den risikobaserede tilgang, fordelingen af tilsynet mellem Finanstilsynet, Erhvervsstyrelsen, Spillemyndigheden og Advokatrådet, Hvidvasksekretariatets rolle som finansiel efterretningsenhed, reglerne om tilladelse til valutavekslingsvirksomhed, visse registreringsordninger og reglerne om kontantbetalinger.</w:t>
      </w:r>
    </w:p>
    <w:p w14:paraId="56D29456" w14:textId="77777777"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Lovforslaget skal også ses i lyset af behovet for at sikre et effektivt og ensartet tilsyn. 6. hvidvaskdirektiv udbygger kravene til tilsynsmyndighederne og deres beføjelser. Tilsynsmyndighederne skal bl.a. føre et risikobaseret tilsyn, have adgang til relevante oplysninger, kunne gennemføre kontrolbesøg, kunne anvende passende administrative foranstaltninger og kunne pålægge tvangsbøder, hvis påbud ikke efterleves. Lovforslaget udbygger derfor Finanstilsynets, Erhvervsstyrelsens, Spillemyndighedens og Advokatrådets beføjelser.</w:t>
      </w:r>
    </w:p>
    <w:p w14:paraId="679188DF" w14:textId="0192DB68"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Lovforslaget indeholder også regler, der skal styrke samarbejdet mellem myndigheder. Hvidvask og terrorfinansiering kan ikke bekæmpes effektivt af én myndighed alene. Det forudsætter samarbejde mellem tilsynsmyndigheder</w:t>
      </w:r>
      <w:r w:rsidR="00435151" w:rsidRPr="00796736">
        <w:rPr>
          <w:rFonts w:ascii="Times New Roman" w:eastAsia="Calibri" w:hAnsi="Times New Roman" w:cs="Times New Roman"/>
          <w:sz w:val="24"/>
          <w:szCs w:val="24"/>
        </w:rPr>
        <w:t>ne</w:t>
      </w:r>
      <w:r w:rsidRPr="00796736">
        <w:rPr>
          <w:rFonts w:ascii="Times New Roman" w:eastAsia="Calibri" w:hAnsi="Times New Roman" w:cs="Times New Roman"/>
          <w:sz w:val="24"/>
          <w:szCs w:val="24"/>
        </w:rPr>
        <w:t>, Hvidvasksekretariatet, politiet, anklagemyndigheden, skattemyndigheder</w:t>
      </w:r>
      <w:r w:rsidR="00435151" w:rsidRPr="00796736">
        <w:rPr>
          <w:rFonts w:ascii="Times New Roman" w:eastAsia="Calibri" w:hAnsi="Times New Roman" w:cs="Times New Roman"/>
          <w:sz w:val="24"/>
          <w:szCs w:val="24"/>
        </w:rPr>
        <w:t>ne</w:t>
      </w:r>
      <w:r w:rsidRPr="00796736">
        <w:rPr>
          <w:rFonts w:ascii="Times New Roman" w:eastAsia="Calibri" w:hAnsi="Times New Roman" w:cs="Times New Roman"/>
          <w:sz w:val="24"/>
          <w:szCs w:val="24"/>
        </w:rPr>
        <w:t>, udenlandske myndigheder og EU-organer. Lovforslaget indeholder derfor regler om videregivelse af oplysninger, tavshedspligt, samarbejde i tilsynskollegier og grænseoverskridende tilsyn, samarbejde med AMLA og samarbejde mellem myndigheder i forbindelse med revisorer og advokater.</w:t>
      </w:r>
    </w:p>
    <w:p w14:paraId="553CC6DA" w14:textId="15E5D873" w:rsidR="00410B2E" w:rsidRPr="00796736" w:rsidRDefault="00410B2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Lovforslaget indebærer herudover en række tilpasninger som følge af oprettelsen af AMLA. AMLA vil fremover spille en central rolle i EU’s hvidvasktilsyn og i samarbejdet mellem kompetente myndigheder. Lovforslaget indeholder derfor bestemmelser, der giver danske myndigheder mulighed for at udveksle oplysninger med AMLA og for at bistå AMLA.</w:t>
      </w:r>
    </w:p>
    <w:p w14:paraId="74138F9B" w14:textId="77777777" w:rsidR="00410B2E" w:rsidRPr="00796736" w:rsidRDefault="00410B2E" w:rsidP="00A802A5">
      <w:pPr>
        <w:spacing w:after="240" w:line="360" w:lineRule="auto"/>
        <w:rPr>
          <w:rFonts w:ascii="Times New Roman" w:eastAsia="Calibri" w:hAnsi="Times New Roman" w:cs="Times New Roman"/>
          <w:sz w:val="24"/>
          <w:szCs w:val="24"/>
        </w:rPr>
      </w:pPr>
    </w:p>
    <w:p w14:paraId="2F842509" w14:textId="798BED5D" w:rsidR="00943659" w:rsidRPr="00796736" w:rsidRDefault="005F7E66">
      <w:pPr>
        <w:pStyle w:val="Overskrift1"/>
        <w:numPr>
          <w:ilvl w:val="2"/>
          <w:numId w:val="3"/>
        </w:numPr>
        <w:spacing w:line="360" w:lineRule="auto"/>
        <w:rPr>
          <w:rFonts w:ascii="Times New Roman" w:hAnsi="Times New Roman" w:cs="Times New Roman"/>
          <w:bCs w:val="0"/>
          <w:iCs/>
          <w:sz w:val="24"/>
          <w:szCs w:val="24"/>
        </w:rPr>
      </w:pPr>
      <w:bookmarkStart w:id="748" w:name="_Toc229739609"/>
      <w:bookmarkStart w:id="749" w:name="_Toc232108999"/>
      <w:bookmarkStart w:id="750" w:name="_Toc498557219"/>
      <w:bookmarkStart w:id="751" w:name="_Toc498557283"/>
      <w:bookmarkStart w:id="752" w:name="_Toc498590017"/>
      <w:bookmarkStart w:id="753" w:name="_Toc498681500"/>
      <w:bookmarkStart w:id="754" w:name="_Toc499152772"/>
      <w:bookmarkStart w:id="755" w:name="_Toc499158731"/>
      <w:bookmarkStart w:id="756" w:name="_Toc499648600"/>
      <w:bookmarkStart w:id="757" w:name="_Toc499728093"/>
      <w:bookmarkStart w:id="758" w:name="_Toc499732941"/>
      <w:bookmarkStart w:id="759" w:name="_Toc499736972"/>
      <w:bookmarkStart w:id="760" w:name="_Toc499812912"/>
      <w:bookmarkStart w:id="761" w:name="_Toc499813715"/>
      <w:bookmarkStart w:id="762" w:name="_Toc500921461"/>
      <w:bookmarkStart w:id="763" w:name="_Toc500921487"/>
      <w:bookmarkStart w:id="764" w:name="_Toc500921595"/>
      <w:bookmarkStart w:id="765" w:name="_Toc501019205"/>
      <w:bookmarkStart w:id="766" w:name="_Toc504483850"/>
      <w:bookmarkStart w:id="767" w:name="_Toc505180548"/>
      <w:bookmarkStart w:id="768" w:name="_Toc505690193"/>
      <w:bookmarkStart w:id="769" w:name="_Toc505701746"/>
      <w:bookmarkStart w:id="770" w:name="_Toc505759538"/>
      <w:bookmarkStart w:id="771" w:name="_Toc505759555"/>
      <w:bookmarkStart w:id="772" w:name="_Toc505762648"/>
      <w:bookmarkStart w:id="773" w:name="_Toc505785988"/>
      <w:bookmarkStart w:id="774" w:name="_Toc506799573"/>
      <w:bookmarkStart w:id="775" w:name="_Toc506799590"/>
      <w:bookmarkStart w:id="776" w:name="_Toc506894549"/>
      <w:bookmarkStart w:id="777" w:name="_Toc507486286"/>
      <w:bookmarkStart w:id="778" w:name="_Toc515271225"/>
      <w:bookmarkStart w:id="779" w:name="_Toc515271548"/>
      <w:bookmarkStart w:id="780" w:name="_Toc515271576"/>
      <w:bookmarkStart w:id="781" w:name="_Toc515280472"/>
      <w:bookmarkStart w:id="782" w:name="_Toc515280623"/>
      <w:bookmarkStart w:id="783" w:name="_Toc515352775"/>
      <w:bookmarkStart w:id="784" w:name="_Toc515540848"/>
      <w:bookmarkStart w:id="785" w:name="_Toc515543684"/>
      <w:bookmarkStart w:id="786" w:name="_Toc515543869"/>
      <w:bookmarkStart w:id="787" w:name="_Toc515551670"/>
      <w:bookmarkStart w:id="788" w:name="_Toc515627612"/>
      <w:bookmarkStart w:id="789" w:name="_Toc516039922"/>
      <w:bookmarkStart w:id="790" w:name="_Toc516155345"/>
      <w:bookmarkStart w:id="791" w:name="_Toc516490246"/>
      <w:bookmarkStart w:id="792" w:name="_Toc518037928"/>
      <w:bookmarkStart w:id="793" w:name="_Toc524599576"/>
      <w:bookmarkStart w:id="794" w:name="_Toc526154929"/>
      <w:bookmarkStart w:id="795" w:name="_Toc526155475"/>
      <w:bookmarkStart w:id="796" w:name="_Toc526155548"/>
      <w:bookmarkStart w:id="797" w:name="_Toc526253985"/>
      <w:bookmarkStart w:id="798" w:name="_Toc526348409"/>
      <w:bookmarkStart w:id="799" w:name="_Toc526374600"/>
      <w:bookmarkStart w:id="800" w:name="_Toc526374616"/>
      <w:bookmarkStart w:id="801" w:name="_Toc526406479"/>
      <w:bookmarkStart w:id="802" w:name="_Toc526409499"/>
      <w:bookmarkStart w:id="803" w:name="_Toc526491398"/>
      <w:bookmarkStart w:id="804" w:name="_Toc526505510"/>
      <w:bookmarkStart w:id="805" w:name="_Toc526756602"/>
      <w:bookmarkStart w:id="806" w:name="_Toc244880717"/>
      <w:r w:rsidRPr="00796736">
        <w:rPr>
          <w:rFonts w:ascii="Times New Roman" w:hAnsi="Times New Roman" w:cs="Times New Roman"/>
          <w:bCs w:val="0"/>
          <w:iCs/>
          <w:sz w:val="24"/>
          <w:szCs w:val="24"/>
        </w:rPr>
        <w:t>Lovforslagets hovedpunkter</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14:paraId="669928AA" w14:textId="77777777" w:rsidR="00C54556" w:rsidRPr="00796736" w:rsidRDefault="00705CB4" w:rsidP="00A802A5">
      <w:pPr>
        <w:pStyle w:val="Overskrift2"/>
        <w:rPr>
          <w:rFonts w:ascii="Times New Roman" w:hAnsi="Times New Roman"/>
          <w:sz w:val="24"/>
        </w:rPr>
      </w:pPr>
      <w:bookmarkStart w:id="807" w:name="_Toc229739610"/>
      <w:bookmarkStart w:id="808" w:name="_Toc232109000"/>
      <w:bookmarkStart w:id="809" w:name="_Ref232684733"/>
      <w:bookmarkStart w:id="810" w:name="_Ref232789787"/>
      <w:bookmarkStart w:id="811" w:name="_Toc244880718"/>
      <w:r w:rsidRPr="00796736">
        <w:rPr>
          <w:rFonts w:ascii="Times New Roman" w:hAnsi="Times New Roman"/>
          <w:sz w:val="24"/>
        </w:rPr>
        <w:t xml:space="preserve">Lovens </w:t>
      </w:r>
      <w:r w:rsidR="001A5922" w:rsidRPr="00796736">
        <w:rPr>
          <w:rFonts w:ascii="Times New Roman" w:hAnsi="Times New Roman"/>
          <w:sz w:val="24"/>
        </w:rPr>
        <w:t xml:space="preserve">formål og </w:t>
      </w:r>
      <w:r w:rsidRPr="00796736">
        <w:rPr>
          <w:rFonts w:ascii="Times New Roman" w:hAnsi="Times New Roman"/>
          <w:sz w:val="24"/>
        </w:rPr>
        <w:t>anvendelsesområde</w:t>
      </w:r>
      <w:bookmarkStart w:id="812" w:name="_Toc526409501"/>
      <w:bookmarkStart w:id="813" w:name="_Toc526491400"/>
      <w:bookmarkStart w:id="814" w:name="_Toc526505512"/>
      <w:bookmarkStart w:id="815" w:name="_Toc526756604"/>
      <w:bookmarkStart w:id="816" w:name="_Toc229739611"/>
      <w:bookmarkStart w:id="817" w:name="_Toc232109001"/>
      <w:bookmarkEnd w:id="807"/>
      <w:bookmarkEnd w:id="808"/>
      <w:bookmarkEnd w:id="809"/>
      <w:bookmarkEnd w:id="810"/>
      <w:bookmarkEnd w:id="811"/>
    </w:p>
    <w:p w14:paraId="6E57B86F" w14:textId="454BFF32" w:rsidR="006640E3" w:rsidRPr="00796736" w:rsidRDefault="006640E3"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7C25EDC1" w14:textId="059918E4" w:rsidR="004877E0" w:rsidRPr="00796736" w:rsidRDefault="00FF0030" w:rsidP="00A802A5">
      <w:pPr>
        <w:spacing w:line="360" w:lineRule="auto"/>
        <w:rPr>
          <w:rFonts w:ascii="Times New Roman" w:hAnsi="Times New Roman" w:cs="Times New Roman"/>
          <w:sz w:val="24"/>
          <w:szCs w:val="24"/>
        </w:rPr>
      </w:pPr>
      <w:bookmarkStart w:id="818" w:name="_Toc229739612"/>
      <w:bookmarkEnd w:id="812"/>
      <w:bookmarkEnd w:id="813"/>
      <w:bookmarkEnd w:id="814"/>
      <w:bookmarkEnd w:id="815"/>
      <w:bookmarkEnd w:id="816"/>
      <w:bookmarkEnd w:id="817"/>
      <w:r>
        <w:rPr>
          <w:rFonts w:ascii="Times New Roman" w:hAnsi="Times New Roman" w:cs="Times New Roman"/>
          <w:sz w:val="24"/>
          <w:szCs w:val="24"/>
        </w:rPr>
        <w:t>Hvidvaskloven</w:t>
      </w:r>
      <w:r w:rsidR="004877E0" w:rsidRPr="00796736">
        <w:rPr>
          <w:rFonts w:ascii="Times New Roman" w:hAnsi="Times New Roman" w:cs="Times New Roman"/>
          <w:sz w:val="24"/>
          <w:szCs w:val="24"/>
        </w:rPr>
        <w:t xml:space="preserve"> gennemfører dele af de seneste internationale standarder fra Financial Action Task Force (FATF) fra 2012 og dele af Europa-Parlamentets og Rådets direktiv (EU) 2015/849 af 20. maj 2015 om forebyggende foranstaltninger mod anvendelse af det finansielle system til hvidvask af penge eller finansiering af terrorisme (4. hvidvaskdirektiv) og dele af Europa-Parlamentets og Rådets direktiv (EU) 2018/843 af 30. maj 2018 om ændring af direktiv (EU) 2015/849 om forebyggende foranstaltninger mod anvendelse af det finansielle system til hvidvask af penge eller finansiering af terrorisme og om ændring af direktiv 2009/138/EF og 2013/36/EU (5. hvidvaskdirektiv).</w:t>
      </w:r>
    </w:p>
    <w:p w14:paraId="561EEFCF" w14:textId="77777777" w:rsidR="004877E0" w:rsidRPr="00796736" w:rsidRDefault="004877E0" w:rsidP="00A802A5">
      <w:pPr>
        <w:spacing w:line="360" w:lineRule="auto"/>
        <w:rPr>
          <w:rFonts w:ascii="Times New Roman" w:hAnsi="Times New Roman" w:cs="Times New Roman"/>
          <w:sz w:val="24"/>
          <w:szCs w:val="24"/>
        </w:rPr>
      </w:pPr>
    </w:p>
    <w:p w14:paraId="7BE2CB36" w14:textId="77777777" w:rsidR="004877E0" w:rsidRPr="00796736" w:rsidRDefault="00487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 indeholder bl.a. krav til de forpligtede enheder, herunder gennemførelse af kundekendskabsprocedurer, krav om risikovurdering og risikostyring, undersøgelses-, noterings-, underretnings-, oplysnings- og opbevaringspligt samt et kapitel, der beskriver de fire tilsynsmyndigheders tilsynskompetence.</w:t>
      </w:r>
    </w:p>
    <w:p w14:paraId="469ACFDA" w14:textId="77777777" w:rsidR="004877E0" w:rsidRPr="00796736" w:rsidRDefault="004877E0" w:rsidP="00A802A5">
      <w:pPr>
        <w:spacing w:line="360" w:lineRule="auto"/>
        <w:rPr>
          <w:rFonts w:ascii="Times New Roman" w:hAnsi="Times New Roman" w:cs="Times New Roman"/>
          <w:sz w:val="24"/>
          <w:szCs w:val="24"/>
        </w:rPr>
      </w:pPr>
    </w:p>
    <w:p w14:paraId="1447E915" w14:textId="47B1D038" w:rsidR="004877E0" w:rsidRPr="00796736" w:rsidRDefault="00487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hvidvaskloven er de forpligtede enheder oplistet i § 1. Det fremgår af 4. og 5. hvidvaskdirektiv, hvilke forpligtede enheder</w:t>
      </w:r>
      <w:r w:rsidR="003E7020" w:rsidRPr="00796736">
        <w:rPr>
          <w:rFonts w:ascii="Times New Roman" w:hAnsi="Times New Roman" w:cs="Times New Roman"/>
          <w:sz w:val="24"/>
          <w:szCs w:val="24"/>
        </w:rPr>
        <w:t>,</w:t>
      </w:r>
      <w:r w:rsidRPr="00796736">
        <w:rPr>
          <w:rFonts w:ascii="Times New Roman" w:hAnsi="Times New Roman" w:cs="Times New Roman"/>
          <w:sz w:val="24"/>
          <w:szCs w:val="24"/>
        </w:rPr>
        <w:t xml:space="preserve"> der skal være omfattet.</w:t>
      </w:r>
    </w:p>
    <w:p w14:paraId="54AD862E" w14:textId="77777777" w:rsidR="002B7805" w:rsidRPr="00796736" w:rsidRDefault="002B7805" w:rsidP="00A802A5">
      <w:pPr>
        <w:spacing w:line="360" w:lineRule="auto"/>
        <w:rPr>
          <w:rFonts w:ascii="Times New Roman" w:hAnsi="Times New Roman" w:cs="Times New Roman"/>
          <w:sz w:val="24"/>
          <w:szCs w:val="24"/>
        </w:rPr>
      </w:pPr>
    </w:p>
    <w:p w14:paraId="2BD4BEC8" w14:textId="18509885" w:rsidR="00CD23C3" w:rsidRPr="00796736" w:rsidRDefault="004A5CB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Hvidvaskloven finder anvendelse på en række finansielle og ikke-finansielle virksomheder og personer, herunder filialer, distributører og agenter af disse. Den gældende hvidvasklov omfatter i § 1 pengeinstitutter</w:t>
      </w:r>
      <w:r w:rsidR="00CD23C3" w:rsidRPr="00796736">
        <w:rPr>
          <w:rFonts w:ascii="Times New Roman" w:eastAsia="Calibri" w:hAnsi="Times New Roman" w:cs="Times New Roman"/>
          <w:sz w:val="24"/>
          <w:szCs w:val="24"/>
        </w:rPr>
        <w:t xml:space="preserve">, realkreditinstitutter, fondsmæglerselskaber, livsforsikringsselskaber og tværgående pensionskasser og sparevirksomheder. Desuden er udstedere af elektroniske penge og udbydere af betalingstjenester omfattet af bilag 1, nr. 1-7, i lov om betalinger, omfattet, ligesom forsikringsformidlere, når de formidler livsforsikring eller andre investeringsrelaterede forsikringer, er omfattet. Lovens anvendelsesområde omfatter også investeringsforvaltningsselskaber og forvaltere af alternative investeringsfonde samt danske UCITS og alternative investeringsfonde, hvis disse virksomheder har direkte kundekontakt. </w:t>
      </w:r>
    </w:p>
    <w:p w14:paraId="7990C367" w14:textId="77777777" w:rsidR="00776A12" w:rsidRPr="00796736" w:rsidRDefault="00776A1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Advokater er også omfattet af den gældende hvidvasklov, når de yder bistand ved rådgivning om eller udførelse af transaktioner for deres klienter, herunder køb og salg af fast ejendom eller virksomheder, forvaltning af klienters penge, værdipapirer eller andre aktiver, åbning eller forvaltning af bankkonti eller værdipapirdepoter, tilvejebringelse af nødvendig kapital til oprettelse, drift eller ledelse af virksomheder eller oprettelse, drift eller ledelse af virksomheder, fonde m.v., eller når de på en klients vegne og for dennes regning foretager en finansiel transaktion  eller en transaktion vedrørende fast ejendom.</w:t>
      </w:r>
    </w:p>
    <w:p w14:paraId="41A5462C" w14:textId="77777777" w:rsidR="00776A12" w:rsidRPr="00796736" w:rsidRDefault="00776A1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Revisorer og revisionsvirksomheder, der er godkendt i henhold til revisorloven, er ligeledes omfattet, ligesom ejendomsmæglere og ejendomsmæglervirksomheder, herunder når de optræder som mellemmænd i forbindelse med udledning af fast ejendom, er forpligtede efter den gældende hvidvasklov. </w:t>
      </w:r>
    </w:p>
    <w:p w14:paraId="567ACBF2" w14:textId="77777777" w:rsidR="006A012C" w:rsidRPr="00796736" w:rsidRDefault="00776A1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Derudover omfatter loven personer og virksomheder, som erhvervsmæssigt leverer de samme ydelser som de nævnte persongrupper. Herunder revisorer, som ikke er godkendt i henhold til revisorloven, skatterådgivere, eksterne bogholdere og andre, der primært yder hjælp, bistand eller rådgivning om skatteanliggender. </w:t>
      </w:r>
    </w:p>
    <w:p w14:paraId="7C81D448" w14:textId="7BCB8B36" w:rsidR="00776A12" w:rsidRPr="00796736" w:rsidRDefault="001A2696"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Hvidvaskloven </w:t>
      </w:r>
      <w:r w:rsidR="00776A12" w:rsidRPr="00796736">
        <w:rPr>
          <w:rFonts w:ascii="Times New Roman" w:eastAsia="Calibri" w:hAnsi="Times New Roman" w:cs="Times New Roman"/>
          <w:sz w:val="24"/>
          <w:szCs w:val="24"/>
        </w:rPr>
        <w:t xml:space="preserve">omfatter tillige udbydere af tjenester til virksomheder, valutavekslingsvirksomheder, udbydere af spiltjenester, ligesom Danmarks Nationalbank i det omfang, den udøver tilsvarende virksomhed som pengeinstitutter, er </w:t>
      </w:r>
      <w:r w:rsidRPr="00796736">
        <w:rPr>
          <w:rFonts w:ascii="Times New Roman" w:eastAsia="Calibri" w:hAnsi="Times New Roman" w:cs="Times New Roman"/>
          <w:sz w:val="24"/>
          <w:szCs w:val="24"/>
        </w:rPr>
        <w:t>omfattet</w:t>
      </w:r>
      <w:r w:rsidR="00776A12" w:rsidRPr="00796736">
        <w:rPr>
          <w:rFonts w:ascii="Times New Roman" w:eastAsia="Calibri" w:hAnsi="Times New Roman" w:cs="Times New Roman"/>
          <w:sz w:val="24"/>
          <w:szCs w:val="24"/>
        </w:rPr>
        <w:t xml:space="preserve">. </w:t>
      </w:r>
    </w:p>
    <w:p w14:paraId="46E8C21D" w14:textId="085A3122" w:rsidR="002B7805" w:rsidRPr="00796736" w:rsidRDefault="00776A1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Endelig omfatter loven virksomheder og personer, der erhvervsmæssigt opbevarer, handler med eller formidler handel med kunstværker, herunder gallerier og auktionshuse, hvor værdien af transaktionen eller en række indbyrdes forbundne transaktioner udgør 50.000 kr. eller derover, udbydere af kryptoaktivtjenester samt operatører af regulerede markeder og aktører, der har tilladelse til at byde direkte på auktioner over drivhusgasemissionskvoter. </w:t>
      </w:r>
    </w:p>
    <w:p w14:paraId="34B4ACCF" w14:textId="085CB4F3" w:rsidR="002B7805" w:rsidRPr="00796736" w:rsidRDefault="002B7805"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Hvidvasklovens § 1, stk. 8, indeholder en bemyndigelsesbestemmelse for skatte</w:t>
      </w:r>
      <w:r w:rsidR="00593291" w:rsidRPr="00796736">
        <w:rPr>
          <w:rFonts w:ascii="Times New Roman" w:eastAsia="Times New Roman" w:hAnsi="Times New Roman" w:cs="Times New Roman"/>
          <w:color w:val="000000" w:themeColor="text1"/>
          <w:sz w:val="24"/>
          <w:szCs w:val="24"/>
        </w:rPr>
        <w:t>-</w:t>
      </w:r>
      <w:r w:rsidR="006A012C" w:rsidRPr="00796736">
        <w:rPr>
          <w:rFonts w:ascii="Times New Roman" w:eastAsia="Times New Roman" w:hAnsi="Times New Roman" w:cs="Times New Roman"/>
          <w:color w:val="000000" w:themeColor="text1"/>
          <w:sz w:val="24"/>
          <w:szCs w:val="24"/>
        </w:rPr>
        <w:t xml:space="preserve"> </w:t>
      </w:r>
      <w:r w:rsidR="00593291" w:rsidRPr="00796736">
        <w:rPr>
          <w:rFonts w:ascii="Times New Roman" w:eastAsia="Times New Roman" w:hAnsi="Times New Roman" w:cs="Times New Roman"/>
          <w:color w:val="000000" w:themeColor="text1"/>
          <w:sz w:val="24"/>
          <w:szCs w:val="24"/>
        </w:rPr>
        <w:t>og vækst</w:t>
      </w:r>
      <w:r w:rsidRPr="00796736">
        <w:rPr>
          <w:rFonts w:ascii="Times New Roman" w:eastAsia="Times New Roman" w:hAnsi="Times New Roman" w:cs="Times New Roman"/>
          <w:color w:val="000000" w:themeColor="text1"/>
          <w:sz w:val="24"/>
          <w:szCs w:val="24"/>
        </w:rPr>
        <w:t>ministeren til at fastsætte regler om, at loven helt eller delvist ikke finder anvendelse for spil, dog ikke kasinoer, hvor der vurderes at være en begrænset risiko for hvidvask eller finansiering af terrorisme.</w:t>
      </w:r>
    </w:p>
    <w:p w14:paraId="12564ADB" w14:textId="77777777" w:rsidR="002B7805" w:rsidRPr="00796736" w:rsidRDefault="002B7805" w:rsidP="00A802A5">
      <w:pPr>
        <w:spacing w:line="360" w:lineRule="auto"/>
        <w:rPr>
          <w:rFonts w:ascii="Times New Roman" w:eastAsia="Times New Roman" w:hAnsi="Times New Roman" w:cs="Times New Roman"/>
          <w:color w:val="000000" w:themeColor="text1"/>
          <w:sz w:val="24"/>
          <w:szCs w:val="24"/>
        </w:rPr>
      </w:pPr>
    </w:p>
    <w:p w14:paraId="13827C3E" w14:textId="77777777" w:rsidR="002B7805" w:rsidRPr="00796736" w:rsidRDefault="002B7805"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fremgår af bemærkningerne til lovforslagets § 1, stk. 5, jf. Folketingstidende 2016-17, tillæg A, L 41 som fremsat, side 73, at undtagelsesmuligheden ikke kan anvendes ved kasinospil, hvilket medfører, at virksomheder, der udbyder landbaseret kasino eller onlinekasino efter henholdsvis §§ 14 og 18 i lov om spil, ikke kan undtages efter bestemmelsen.</w:t>
      </w:r>
    </w:p>
    <w:p w14:paraId="0FE51158" w14:textId="77777777" w:rsidR="002B7805" w:rsidRPr="00796736" w:rsidRDefault="002B7805" w:rsidP="00A802A5">
      <w:pPr>
        <w:spacing w:line="360" w:lineRule="auto"/>
        <w:rPr>
          <w:rFonts w:ascii="Times New Roman" w:eastAsia="Times New Roman" w:hAnsi="Times New Roman" w:cs="Times New Roman"/>
          <w:color w:val="000000" w:themeColor="text1"/>
          <w:sz w:val="24"/>
          <w:szCs w:val="24"/>
        </w:rPr>
      </w:pPr>
    </w:p>
    <w:p w14:paraId="61D726FF" w14:textId="61CABAF6" w:rsidR="002B7805" w:rsidRPr="00796736" w:rsidRDefault="0043515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H</w:t>
      </w:r>
      <w:r w:rsidR="002B7805" w:rsidRPr="00796736">
        <w:rPr>
          <w:rFonts w:ascii="Times New Roman" w:eastAsia="Times New Roman" w:hAnsi="Times New Roman" w:cs="Times New Roman"/>
          <w:sz w:val="24"/>
          <w:szCs w:val="24"/>
        </w:rPr>
        <w:t>jemlen i § 1, stk. 8,</w:t>
      </w:r>
      <w:r w:rsidRPr="00796736">
        <w:rPr>
          <w:rFonts w:ascii="Times New Roman" w:eastAsia="Times New Roman" w:hAnsi="Times New Roman" w:cs="Times New Roman"/>
          <w:sz w:val="24"/>
          <w:szCs w:val="24"/>
        </w:rPr>
        <w:t xml:space="preserve"> er udnyttet</w:t>
      </w:r>
      <w:r w:rsidR="002B7805" w:rsidRPr="00796736">
        <w:rPr>
          <w:rFonts w:ascii="Times New Roman" w:eastAsia="Times New Roman" w:hAnsi="Times New Roman" w:cs="Times New Roman"/>
          <w:sz w:val="24"/>
          <w:szCs w:val="24"/>
        </w:rPr>
        <w:t xml:space="preserve"> til at udstede bekendtgørelse nr. 465 af 12. maj 2025 om delvis undtagelse af visse spil fra hvidvaskloven. Det følger af bekendtgørelsens § 1, at følgende spil ikke er omfattet af hvidvaskloven</w:t>
      </w:r>
      <w:r w:rsidR="006A012C" w:rsidRPr="00796736">
        <w:rPr>
          <w:rFonts w:ascii="Times New Roman" w:eastAsia="Times New Roman" w:hAnsi="Times New Roman" w:cs="Times New Roman"/>
          <w:sz w:val="24"/>
          <w:szCs w:val="24"/>
        </w:rPr>
        <w:t>:</w:t>
      </w:r>
      <w:r w:rsidR="002B7805" w:rsidRPr="00796736">
        <w:rPr>
          <w:rFonts w:ascii="Times New Roman" w:eastAsia="Times New Roman" w:hAnsi="Times New Roman" w:cs="Times New Roman"/>
          <w:sz w:val="24"/>
          <w:szCs w:val="24"/>
        </w:rPr>
        <w:t xml:space="preserve"> Lotterier udbudt i henhold til § 6 i lov om spil, klasselotterier udbudt i henhold til § 8 i lov om spil</w:t>
      </w:r>
      <w:r w:rsidR="006A012C" w:rsidRPr="00796736">
        <w:rPr>
          <w:rFonts w:ascii="Times New Roman" w:eastAsia="Times New Roman" w:hAnsi="Times New Roman" w:cs="Times New Roman"/>
          <w:sz w:val="24"/>
          <w:szCs w:val="24"/>
        </w:rPr>
        <w:t xml:space="preserve">, </w:t>
      </w:r>
      <w:r w:rsidR="002B7805" w:rsidRPr="00796736">
        <w:rPr>
          <w:rFonts w:ascii="Times New Roman" w:eastAsia="Times New Roman" w:hAnsi="Times New Roman" w:cs="Times New Roman"/>
          <w:sz w:val="24"/>
          <w:szCs w:val="24"/>
        </w:rPr>
        <w:t xml:space="preserve"> almennyttige lotterier udbudt i henhold til § 10 i lov om spil, lokale puljevæddemål udbudt i henhold til § 13 i lov om spil, gevinstgivende spilleautomater udbudt i henhold til § 19 i lov om spil, managerspil udbudt i henhold til § 11 og § 42, stk. 4 og 5, i lov om spil, sms-gættekonkurrencer udbudt i henhold til § 18 a i lov om spil, spil udbudt i henhold til §§ 9-15 i bekendtgørelse om offentlige forlystelser, onlinebingo udbudt via tv i henhold til § 20 i bekendtgørelse om onlinekasino og landbaseret bingo udbudt i henhold til § 10 a i lov om spil.</w:t>
      </w:r>
    </w:p>
    <w:p w14:paraId="15FFF029" w14:textId="77777777" w:rsidR="002B7805" w:rsidRPr="00796736" w:rsidRDefault="002B7805" w:rsidP="00A802A5">
      <w:pPr>
        <w:spacing w:line="360" w:lineRule="auto"/>
        <w:rPr>
          <w:rFonts w:ascii="Times New Roman" w:eastAsia="Times New Roman" w:hAnsi="Times New Roman" w:cs="Times New Roman"/>
          <w:sz w:val="24"/>
          <w:szCs w:val="24"/>
        </w:rPr>
      </w:pPr>
    </w:p>
    <w:p w14:paraId="4570B498" w14:textId="0AE9EADD" w:rsidR="002B7805" w:rsidRDefault="002B780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Udbydere af spil omfattet af § 1 i bekendtgørelse om delvis undtagelse af visse spil fra hvidvaskloven er, i tilfælde hvor de i forbindelse med udbud af spil får viden eller mistanke om hvidvask eller finansiering af terrorisme, omfattet af reglerne om underretning i hvidvasklovens § 26, stk. 1, stk. 3, 1. og 3. pkt., stk. 4, 1. pkt., stk. 6, 1. pkt., § 36, stk. 2-4, § 37 og § 38, stk. 1 og 2.</w:t>
      </w:r>
    </w:p>
    <w:p w14:paraId="41C53090" w14:textId="77777777" w:rsidR="00CF4DC3" w:rsidRDefault="00CF4DC3" w:rsidP="00CF4DC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 fremgår af hvidvasklovens § 3, hvad der forstås ved hvidvask i loven.</w:t>
      </w:r>
    </w:p>
    <w:p w14:paraId="44E4D5E9" w14:textId="77777777" w:rsidR="00CF4DC3" w:rsidRDefault="00CF4DC3" w:rsidP="00CF4DC3">
      <w:pPr>
        <w:spacing w:line="360" w:lineRule="auto"/>
        <w:ind w:firstLine="340"/>
        <w:rPr>
          <w:rFonts w:ascii="Times New Roman" w:eastAsia="Times New Roman" w:hAnsi="Times New Roman" w:cs="Times New Roman"/>
          <w:sz w:val="24"/>
          <w:szCs w:val="24"/>
        </w:rPr>
      </w:pPr>
    </w:p>
    <w:p w14:paraId="19EF1E11" w14:textId="77777777" w:rsidR="00CF4DC3" w:rsidRDefault="00CF4DC3" w:rsidP="00CF4DC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Efter § 3, stk. 1, nr. 1, forstås ved hvidvask u</w:t>
      </w:r>
      <w:r w:rsidRPr="008930BD">
        <w:rPr>
          <w:rFonts w:ascii="Times New Roman" w:eastAsia="Times New Roman" w:hAnsi="Times New Roman" w:cs="Times New Roman"/>
          <w:sz w:val="24"/>
          <w:szCs w:val="24"/>
        </w:rPr>
        <w:t>berettiget at modtage eller skaffe sig eller andre del i økonomisk udbytte eller midler, der er opnået ved en strafbar lovovertrædelse.</w:t>
      </w:r>
      <w:r>
        <w:rPr>
          <w:rFonts w:ascii="Times New Roman" w:eastAsia="Times New Roman" w:hAnsi="Times New Roman" w:cs="Times New Roman"/>
          <w:sz w:val="24"/>
          <w:szCs w:val="24"/>
        </w:rPr>
        <w:t xml:space="preserve"> Efter nr. 2 forstås ved hvidvask endvidere u</w:t>
      </w:r>
      <w:r w:rsidRPr="008930BD">
        <w:rPr>
          <w:rFonts w:ascii="Times New Roman" w:eastAsia="Times New Roman" w:hAnsi="Times New Roman" w:cs="Times New Roman"/>
          <w:sz w:val="24"/>
          <w:szCs w:val="24"/>
        </w:rPr>
        <w:t>berettiget at skjule, opbevare, transportere, hjælpe til afhændelse eller på anden måde efterfølgende virke til at sikre det økonomiske udbytte eller midlerne fra en strafbar lovovertrædelse.</w:t>
      </w:r>
      <w:r>
        <w:rPr>
          <w:rFonts w:ascii="Times New Roman" w:eastAsia="Times New Roman" w:hAnsi="Times New Roman" w:cs="Times New Roman"/>
          <w:sz w:val="24"/>
          <w:szCs w:val="24"/>
        </w:rPr>
        <w:t xml:space="preserve"> Endelig forstås ved hvidvask efter nr. 3 forsøg på eller medvirken til sådanne dispositioner. </w:t>
      </w:r>
    </w:p>
    <w:p w14:paraId="05614487" w14:textId="77777777" w:rsidR="00CF4DC3" w:rsidRDefault="00CF4DC3" w:rsidP="00CF4DC3">
      <w:pPr>
        <w:spacing w:line="360" w:lineRule="auto"/>
        <w:ind w:firstLine="340"/>
        <w:rPr>
          <w:rFonts w:ascii="Times New Roman" w:eastAsia="Times New Roman" w:hAnsi="Times New Roman" w:cs="Times New Roman"/>
          <w:sz w:val="24"/>
          <w:szCs w:val="24"/>
        </w:rPr>
      </w:pPr>
      <w:r>
        <w:rPr>
          <w:rFonts w:ascii="Times New Roman" w:eastAsia="Times New Roman" w:hAnsi="Times New Roman" w:cs="Times New Roman"/>
          <w:sz w:val="24"/>
          <w:szCs w:val="24"/>
        </w:rPr>
        <w:br/>
        <w:t>Efter stk. 2 omfatter stk. 1 også d</w:t>
      </w:r>
      <w:r w:rsidRPr="008930BD">
        <w:rPr>
          <w:rFonts w:ascii="Times New Roman" w:eastAsia="Times New Roman" w:hAnsi="Times New Roman" w:cs="Times New Roman"/>
          <w:sz w:val="24"/>
          <w:szCs w:val="24"/>
        </w:rPr>
        <w:t>ispositioner foretaget af den, der har begået den strafbare lovovertrædelse, som udbyttet eller midlerne hidrører fra. Der foreligger hvidvask, jf. stk. 1, uanset om de handlinger, som har frembragt det økonomiske udbytte, eller de midler, der skal hvidvaskes, blev gennemført på en anden medlemsstats eller et tredjelands område. </w:t>
      </w:r>
    </w:p>
    <w:p w14:paraId="7F8E940E" w14:textId="77777777" w:rsidR="00CF4DC3" w:rsidRDefault="00CF4DC3" w:rsidP="00CF4DC3">
      <w:pPr>
        <w:spacing w:line="360" w:lineRule="auto"/>
        <w:ind w:firstLine="340"/>
        <w:rPr>
          <w:rFonts w:ascii="Times New Roman" w:eastAsia="Times New Roman" w:hAnsi="Times New Roman" w:cs="Times New Roman"/>
          <w:sz w:val="24"/>
          <w:szCs w:val="24"/>
        </w:rPr>
      </w:pPr>
    </w:p>
    <w:p w14:paraId="1BD2D2F3" w14:textId="77777777" w:rsidR="00CF4DC3" w:rsidRDefault="00CF4DC3" w:rsidP="0039598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 bemærkningerne til bestemmelsen, jf. Folketingstidende 2016-17, tillæg A, L 41 som fremsat, s. 83 ff., fremgår det, at bestemmelsen gennemfører 4. hvidvaskdirektivs artikel 1, stk. 3, og skal forstås i overensstemmelse med straffelovens § 290 om hæleri. </w:t>
      </w:r>
    </w:p>
    <w:p w14:paraId="01F3837B" w14:textId="77777777" w:rsidR="00CF4DC3" w:rsidRDefault="00CF4DC3" w:rsidP="00395980">
      <w:pPr>
        <w:spacing w:line="360" w:lineRule="auto"/>
        <w:rPr>
          <w:rFonts w:ascii="Times New Roman" w:eastAsia="Times New Roman" w:hAnsi="Times New Roman" w:cs="Times New Roman"/>
          <w:sz w:val="24"/>
          <w:szCs w:val="24"/>
        </w:rPr>
      </w:pPr>
    </w:p>
    <w:p w14:paraId="7607B8EE" w14:textId="77777777" w:rsidR="00CF4DC3" w:rsidRDefault="00CF4DC3" w:rsidP="0039598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Hvidvask er i dag selvstændigt kriminaliseret i straffelovens § 290 a. Det fremgår af stk. 1, at f</w:t>
      </w:r>
      <w:r w:rsidRPr="00FE3659">
        <w:rPr>
          <w:rFonts w:ascii="Times New Roman" w:eastAsia="Times New Roman" w:hAnsi="Times New Roman" w:cs="Times New Roman"/>
          <w:sz w:val="24"/>
          <w:szCs w:val="24"/>
        </w:rPr>
        <w:t>or hvidvask straffes med bøde eller fængsel indtil 3 år den, der konverterer eller overfører penge, som direkte eller indirekte er udbytte af en strafbar lovovertrædelse, for at skjule eller tilsløre den ulovlige oprindelse.</w:t>
      </w:r>
      <w:r>
        <w:rPr>
          <w:rFonts w:ascii="Times New Roman" w:eastAsia="Times New Roman" w:hAnsi="Times New Roman" w:cs="Times New Roman"/>
          <w:sz w:val="24"/>
          <w:szCs w:val="24"/>
        </w:rPr>
        <w:t xml:space="preserve"> Det fremgår af stk. 2, at s</w:t>
      </w:r>
      <w:r w:rsidRPr="00FE3659">
        <w:rPr>
          <w:rFonts w:ascii="Times New Roman" w:eastAsia="Times New Roman" w:hAnsi="Times New Roman" w:cs="Times New Roman"/>
          <w:sz w:val="24"/>
          <w:szCs w:val="24"/>
        </w:rPr>
        <w:t>traffen kan stige til fængsel i 8 år, når hvidvasken er af særligt grov beskaffenhed navnlig på grund af forbrydelsens erhvervsmæssige eller professionelle, herunder organiserede, karakter eller som følge af den opnåede eller tilsigtede vinding, eller som følge af at forbrydelsen angår formuegoder eller fordele, som stammer fra overtrædelse af §§ 122 eller 144, eller når et større antal forbrydelser er begået.</w:t>
      </w:r>
    </w:p>
    <w:p w14:paraId="214E8BF5" w14:textId="77777777" w:rsidR="00CF4DC3" w:rsidRDefault="00CF4DC3" w:rsidP="00395980">
      <w:pPr>
        <w:spacing w:line="360" w:lineRule="auto"/>
        <w:rPr>
          <w:rFonts w:ascii="Times New Roman" w:eastAsia="Times New Roman" w:hAnsi="Times New Roman" w:cs="Times New Roman"/>
          <w:sz w:val="24"/>
          <w:szCs w:val="24"/>
        </w:rPr>
      </w:pPr>
    </w:p>
    <w:p w14:paraId="5D5C0C65" w14:textId="77777777" w:rsidR="00CF4DC3" w:rsidRDefault="00CF4DC3" w:rsidP="0039598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Der er i hæleribestemmelsen taget højde for § 290 a, i det det af § 290, stk. 1, fremgår, at f</w:t>
      </w:r>
      <w:r w:rsidRPr="00FE3659">
        <w:rPr>
          <w:rFonts w:ascii="Times New Roman" w:eastAsia="Times New Roman" w:hAnsi="Times New Roman" w:cs="Times New Roman"/>
          <w:sz w:val="24"/>
          <w:szCs w:val="24"/>
        </w:rPr>
        <w:t>or hæleri straffes med bøde eller fængsel indtil 3 år den, som uberettiget modtager eller skaffer sig eller andre del i udbytte, der er opnået ved en strafbar lovovertrædelse, og den, der uberettiget ved at skjule, opbevare, transportere, hjælpe til afhændelse eller på lignende måde efterfølgende virker til at sikre en anden udbyttet af en strafbar lovovertrædelse, medmindre forholdet er omfattet af § 290 a.</w:t>
      </w:r>
    </w:p>
    <w:p w14:paraId="2F546917" w14:textId="77777777" w:rsidR="00CF4DC3" w:rsidRDefault="00CF4DC3" w:rsidP="00395980">
      <w:pPr>
        <w:spacing w:line="360" w:lineRule="auto"/>
        <w:rPr>
          <w:rFonts w:ascii="Times New Roman" w:eastAsia="Times New Roman" w:hAnsi="Times New Roman" w:cs="Times New Roman"/>
          <w:sz w:val="24"/>
          <w:szCs w:val="24"/>
        </w:rPr>
      </w:pPr>
    </w:p>
    <w:p w14:paraId="54506E7F" w14:textId="77777777" w:rsidR="00CF4DC3" w:rsidRDefault="00CF4DC3" w:rsidP="0039598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 fremgår bl.a. af bemærkningerne til § 290 a, at n</w:t>
      </w:r>
      <w:r w:rsidRPr="000B7113">
        <w:rPr>
          <w:rFonts w:ascii="Times New Roman" w:eastAsia="Times New Roman" w:hAnsi="Times New Roman" w:cs="Times New Roman"/>
          <w:sz w:val="24"/>
          <w:szCs w:val="24"/>
        </w:rPr>
        <w:t>år bortses fra såkaldt selvhvidvask, er anvendelsesområdet for straffelovens hæleribestemmelse og hvidvasklovens forebyggende foranstaltninger mod hvidvask i dag det samme.</w:t>
      </w:r>
      <w:r>
        <w:rPr>
          <w:rFonts w:ascii="Times New Roman" w:eastAsia="Times New Roman" w:hAnsi="Times New Roman" w:cs="Times New Roman"/>
          <w:sz w:val="24"/>
          <w:szCs w:val="24"/>
        </w:rPr>
        <w:t xml:space="preserve"> Det fremgår endvidere, at Danmark </w:t>
      </w:r>
      <w:r w:rsidRPr="000B7113">
        <w:rPr>
          <w:rFonts w:ascii="Times New Roman" w:eastAsia="Times New Roman" w:hAnsi="Times New Roman" w:cs="Times New Roman"/>
          <w:sz w:val="24"/>
          <w:szCs w:val="24"/>
        </w:rPr>
        <w:t>også internationalt forpligtet til at kriminalisere de handlinger, som er omfattet af den gældende hæleribestemmelse. Der er imidlertid ikke noget til hinder for, at kriminaliseringsforpligtelsen opfyldes gennem forskellige strafbestemmelser. Der er således eksempelvis ikke noget til hinder for at opdele den gældende hæleribestemmelse i en ny smallere hæleribestemmelse og en ny selvstændig hvid vaskbestemmelse.</w:t>
      </w:r>
    </w:p>
    <w:p w14:paraId="2CABE17E" w14:textId="77777777" w:rsidR="00CF4DC3" w:rsidRDefault="00CF4DC3" w:rsidP="00395980">
      <w:pPr>
        <w:spacing w:line="360" w:lineRule="auto"/>
        <w:rPr>
          <w:rFonts w:ascii="Times New Roman" w:eastAsia="Times New Roman" w:hAnsi="Times New Roman" w:cs="Times New Roman"/>
          <w:sz w:val="24"/>
          <w:szCs w:val="24"/>
        </w:rPr>
      </w:pPr>
    </w:p>
    <w:p w14:paraId="58F67311" w14:textId="77777777" w:rsidR="00CF4DC3" w:rsidRDefault="00CF4DC3" w:rsidP="0039598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 fremgår videre, at f</w:t>
      </w:r>
      <w:r w:rsidRPr="000B7113">
        <w:rPr>
          <w:rFonts w:ascii="Times New Roman" w:eastAsia="Times New Roman" w:hAnsi="Times New Roman" w:cs="Times New Roman"/>
          <w:sz w:val="24"/>
          <w:szCs w:val="24"/>
        </w:rPr>
        <w:t>orslaget har den konsekvens, at begrebet »hvidvask« frem over vil have forskellig betydning i straffeloven og hvidvaskloven. Hvidvasklovens anvendelsesområde vil således fremover omfatte såvel hvidvask som hæleri i straffelovens forstand.</w:t>
      </w:r>
      <w:r>
        <w:rPr>
          <w:rFonts w:ascii="Times New Roman" w:eastAsia="Times New Roman" w:hAnsi="Times New Roman" w:cs="Times New Roman"/>
          <w:sz w:val="24"/>
          <w:szCs w:val="24"/>
        </w:rPr>
        <w:t xml:space="preserve"> Der henvises til Folketingstidende 2017-18, tillæg A, L 147 som fremsat, s. 4.</w:t>
      </w:r>
    </w:p>
    <w:p w14:paraId="01A93A48" w14:textId="77777777" w:rsidR="00CF4DC3" w:rsidRDefault="00CF4DC3" w:rsidP="00395980">
      <w:pPr>
        <w:spacing w:line="360" w:lineRule="auto"/>
        <w:rPr>
          <w:rFonts w:ascii="Times New Roman" w:eastAsia="Times New Roman" w:hAnsi="Times New Roman" w:cs="Times New Roman"/>
          <w:sz w:val="24"/>
          <w:szCs w:val="24"/>
        </w:rPr>
      </w:pPr>
    </w:p>
    <w:p w14:paraId="542D8D3C" w14:textId="77777777" w:rsidR="00CF4DC3" w:rsidRDefault="00CF4DC3" w:rsidP="0039598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Efter hvidvasklovens § 4 forstås finansiering af terrorisme som defineret i straffelovens § 114 b, for så vidt angår handlinger omfattet af straffelovens § 114.</w:t>
      </w:r>
    </w:p>
    <w:p w14:paraId="72900FA9" w14:textId="77777777" w:rsidR="00CF4DC3" w:rsidRDefault="00CF4DC3" w:rsidP="00395980">
      <w:pPr>
        <w:spacing w:line="360" w:lineRule="auto"/>
        <w:rPr>
          <w:rFonts w:ascii="Times New Roman" w:eastAsia="Times New Roman" w:hAnsi="Times New Roman" w:cs="Times New Roman"/>
          <w:sz w:val="24"/>
          <w:szCs w:val="24"/>
        </w:rPr>
      </w:pPr>
    </w:p>
    <w:p w14:paraId="55E3E9B6" w14:textId="2E621D48" w:rsidR="00CF4DC3" w:rsidRPr="00796736" w:rsidRDefault="00CF4DC3" w:rsidP="0039598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 bemærkningerne til bestemmelsen fremgår det bl.a., at bestemmelsen gennemfører artikel 1, stk. 5, i 4. hvidvaskdirektiv. Efter denne bestemmelse fremgår det, at der ved ”finansiering af terrorisme” skulle forstås </w:t>
      </w:r>
      <w:r w:rsidRPr="00864FF9">
        <w:rPr>
          <w:rFonts w:ascii="Times New Roman" w:eastAsia="Times New Roman" w:hAnsi="Times New Roman" w:cs="Times New Roman"/>
          <w:sz w:val="24"/>
          <w:szCs w:val="24"/>
        </w:rPr>
        <w:t>levering eller indsamling af midler på en hvilken som helst måde, både direkte og indirekte, med den hensigt at anvende dem eller med viden om, at de vil blive anvendt, helt eller delvis, til at gennemføre en af de strafbare handlinger, der er omhandlet i artikel 1-4 i Rådets rammeafgørelse 2002/475/RIA</w:t>
      </w:r>
      <w:r>
        <w:rPr>
          <w:rFonts w:ascii="Times New Roman" w:eastAsia="Times New Roman" w:hAnsi="Times New Roman" w:cs="Times New Roman"/>
          <w:sz w:val="24"/>
          <w:szCs w:val="24"/>
        </w:rPr>
        <w:t>.</w:t>
      </w:r>
    </w:p>
    <w:p w14:paraId="4DA39921" w14:textId="77777777" w:rsidR="002B7805" w:rsidRPr="00796736" w:rsidRDefault="002B7805" w:rsidP="00A802A5">
      <w:pPr>
        <w:spacing w:line="360" w:lineRule="auto"/>
        <w:rPr>
          <w:rFonts w:ascii="Times New Roman" w:eastAsia="Times New Roman" w:hAnsi="Times New Roman" w:cs="Times New Roman"/>
          <w:sz w:val="24"/>
          <w:szCs w:val="24"/>
        </w:rPr>
      </w:pPr>
    </w:p>
    <w:p w14:paraId="38946D69" w14:textId="08A33E93" w:rsidR="00812D7C" w:rsidRPr="00796736" w:rsidRDefault="00CD23C3" w:rsidP="00A802A5">
      <w:pPr>
        <w:pStyle w:val="Overskrift4"/>
        <w:rPr>
          <w:rFonts w:ascii="Times New Roman" w:eastAsia="Calibri" w:hAnsi="Times New Roman" w:cs="Times New Roman"/>
          <w:sz w:val="24"/>
          <w:szCs w:val="24"/>
        </w:rPr>
      </w:pPr>
      <w:bookmarkStart w:id="819" w:name="_Toc232109002"/>
      <w:bookmarkStart w:id="820" w:name="_Ref233019657"/>
      <w:bookmarkStart w:id="821" w:name="_Ref233019672"/>
      <w:r w:rsidRPr="00796736">
        <w:rPr>
          <w:rFonts w:ascii="Times New Roman" w:eastAsia="Calibri" w:hAnsi="Times New Roman" w:cs="Times New Roman"/>
          <w:sz w:val="24"/>
          <w:szCs w:val="24"/>
        </w:rPr>
        <w:t>6. hvidvaskdirektiv og h</w:t>
      </w:r>
      <w:r w:rsidR="00812D7C" w:rsidRPr="00796736">
        <w:rPr>
          <w:rFonts w:ascii="Times New Roman" w:eastAsia="Calibri" w:hAnsi="Times New Roman" w:cs="Times New Roman"/>
          <w:sz w:val="24"/>
          <w:szCs w:val="24"/>
        </w:rPr>
        <w:t>vidvaskforordningen</w:t>
      </w:r>
      <w:bookmarkEnd w:id="818"/>
      <w:bookmarkEnd w:id="819"/>
      <w:bookmarkEnd w:id="820"/>
      <w:bookmarkEnd w:id="821"/>
      <w:r w:rsidR="00812D7C" w:rsidRPr="00796736">
        <w:rPr>
          <w:rFonts w:ascii="Times New Roman" w:eastAsia="Calibri" w:hAnsi="Times New Roman" w:cs="Times New Roman"/>
          <w:sz w:val="24"/>
          <w:szCs w:val="24"/>
        </w:rPr>
        <w:t xml:space="preserve"> </w:t>
      </w:r>
    </w:p>
    <w:p w14:paraId="399F19CB" w14:textId="77777777" w:rsidR="001A2696" w:rsidRPr="00796736" w:rsidRDefault="001A2696" w:rsidP="00A802A5">
      <w:pPr>
        <w:spacing w:line="360" w:lineRule="auto"/>
        <w:rPr>
          <w:rFonts w:ascii="Times New Roman" w:hAnsi="Times New Roman" w:cs="Times New Roman"/>
          <w:sz w:val="24"/>
          <w:szCs w:val="24"/>
        </w:rPr>
      </w:pPr>
      <w:bookmarkStart w:id="822" w:name="_Toc526409504"/>
      <w:bookmarkStart w:id="823" w:name="_Toc526491403"/>
      <w:bookmarkStart w:id="824" w:name="_Toc526505515"/>
      <w:bookmarkStart w:id="825" w:name="_Toc526756607"/>
      <w:r w:rsidRPr="00796736">
        <w:rPr>
          <w:rFonts w:ascii="Times New Roman" w:hAnsi="Times New Roman" w:cs="Times New Roman"/>
          <w:sz w:val="24"/>
          <w:szCs w:val="24"/>
        </w:rPr>
        <w:t>Den nye hvidvaskpakke fra EU, som blandt andet omfatter Europa-Parlamentets og Rådets forordning (EU) 2024/1624 og Europa-Parlamentets og Rådets direktiv (EU) 2024/1640, medfører, at kravene til de forpligtede enheder fremover i høj grad reguleres i hvidvaskforordningen, mens 6. hvidvaskdirektiv bl.a. regulerer krav til kompetente myndigheder.</w:t>
      </w:r>
    </w:p>
    <w:p w14:paraId="55EC5E87" w14:textId="77777777" w:rsidR="001A2696" w:rsidRPr="00796736" w:rsidRDefault="001A2696" w:rsidP="00A802A5">
      <w:pPr>
        <w:spacing w:line="360" w:lineRule="auto"/>
        <w:rPr>
          <w:rFonts w:ascii="Times New Roman" w:hAnsi="Times New Roman" w:cs="Times New Roman"/>
          <w:sz w:val="24"/>
          <w:szCs w:val="24"/>
        </w:rPr>
      </w:pPr>
    </w:p>
    <w:p w14:paraId="27AD6347"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hvidvaskforordningens artikel 1, at forordningen blandt andet fastsætter regler om de foranstaltninger, som forpligtede enheder skal anvende for at forebygge hvidvask af penge og finansiering af terrorisme. Det følger endvidere af 6. hvidvaskdirektivs artikel 1, at direktivet blandt andet fastsætter regler om ansvarsområder og opgaver for de organer, der er involveret i tilsynet med forpligtede enheder.</w:t>
      </w:r>
    </w:p>
    <w:p w14:paraId="3BC4DB95" w14:textId="77777777" w:rsidR="001A2696" w:rsidRPr="00796736" w:rsidRDefault="001A2696" w:rsidP="00A802A5">
      <w:pPr>
        <w:spacing w:line="360" w:lineRule="auto"/>
        <w:rPr>
          <w:rFonts w:ascii="Times New Roman" w:hAnsi="Times New Roman" w:cs="Times New Roman"/>
          <w:sz w:val="24"/>
          <w:szCs w:val="24"/>
        </w:rPr>
      </w:pPr>
    </w:p>
    <w:p w14:paraId="41C66F2A"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hvidvaskforordningens præambelbetragtning nr. 2 fremgår det, at den største udfordring, der er konstateret med hensyn til anvendelsen af bestemmelserne i direktiv (EU) 2015/849, som fastsætter forpligtelser for forpligtede enheder, er reglernes manglende umiddelbare anvendelighed og de forskellige nationale tilgange. Selv om reglerne har eksisteret og udviklet sig over tre årtier, gennemføres de fortsat på en måde, som ikke er i fuld overensstemmelse med kravene til et integreret indre marked. Det er derfor nødvendigt, at regler om forhold, der på nuværende tidspunkt er omfattet af direktiv (EU) 2015/849, og som kan være umiddelbart anvendelige for de berørte forpligtede enheder, fastsættes i en forordning med henblik på at opnå den ønskede ensartede anvendelse heraf.</w:t>
      </w:r>
    </w:p>
    <w:p w14:paraId="685B74D9" w14:textId="77777777" w:rsidR="001A2696" w:rsidRPr="00796736" w:rsidRDefault="001A2696" w:rsidP="00A802A5">
      <w:pPr>
        <w:spacing w:line="360" w:lineRule="auto"/>
        <w:rPr>
          <w:rFonts w:ascii="Times New Roman" w:hAnsi="Times New Roman" w:cs="Times New Roman"/>
          <w:sz w:val="24"/>
          <w:szCs w:val="24"/>
        </w:rPr>
      </w:pPr>
    </w:p>
    <w:p w14:paraId="74A365F6" w14:textId="521E739C"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hvidvaskforordningens præambelbetragtning nr. 3</w:t>
      </w:r>
      <w:r w:rsidR="00D253F0" w:rsidRPr="00796736">
        <w:rPr>
          <w:rFonts w:ascii="Times New Roman" w:hAnsi="Times New Roman" w:cs="Times New Roman"/>
          <w:sz w:val="24"/>
          <w:szCs w:val="24"/>
        </w:rPr>
        <w:t>,</w:t>
      </w:r>
      <w:r w:rsidRPr="00796736">
        <w:rPr>
          <w:rFonts w:ascii="Times New Roman" w:hAnsi="Times New Roman" w:cs="Times New Roman"/>
          <w:sz w:val="24"/>
          <w:szCs w:val="24"/>
        </w:rPr>
        <w:t xml:space="preserve"> og 6. hvidvaskdirektivs præambelbetragtning nr. 4</w:t>
      </w:r>
      <w:r w:rsidR="00D253F0" w:rsidRPr="00796736">
        <w:rPr>
          <w:rFonts w:ascii="Times New Roman" w:hAnsi="Times New Roman" w:cs="Times New Roman"/>
          <w:sz w:val="24"/>
          <w:szCs w:val="24"/>
        </w:rPr>
        <w:t>,</w:t>
      </w:r>
      <w:r w:rsidRPr="00796736">
        <w:rPr>
          <w:rFonts w:ascii="Times New Roman" w:hAnsi="Times New Roman" w:cs="Times New Roman"/>
          <w:sz w:val="24"/>
          <w:szCs w:val="24"/>
        </w:rPr>
        <w:t xml:space="preserve"> fremgår det, at retsakterne indgår som led i en samlet pakke, der har til formål at styrke Unionens ramme for bekæmpelse af hvidvask af penge og finansiering af terrorisme. Tilsammen vil 6. hvidvaskdirektiv og Europa-Parlamentets og Rådets forordninger (EU) 2023/1113, (EU) 2024/1624 og (EU) 2024/1620 udgøre den retlige ramme for de krav til bekæmpelse af hvidvask af penge og finansiering af terrorisme, som forpligtede enheder skal opfylde. Retsakterne udgør samtidig grundlaget for Unionens samlede institutionelle ramme for bekæmpelse af hvidvask af penge og finansiering af terrorisme, herunder oprettelsen af en myndighed for bekæmpelse af hvidvask af penge og finansiering af terrorisme (AMLA).</w:t>
      </w:r>
    </w:p>
    <w:p w14:paraId="3649082F" w14:textId="77777777" w:rsidR="001A2696" w:rsidRPr="00796736" w:rsidRDefault="001A2696" w:rsidP="00A802A5">
      <w:pPr>
        <w:spacing w:line="360" w:lineRule="auto"/>
        <w:rPr>
          <w:rFonts w:ascii="Times New Roman" w:hAnsi="Times New Roman" w:cs="Times New Roman"/>
          <w:sz w:val="24"/>
          <w:szCs w:val="24"/>
        </w:rPr>
      </w:pPr>
    </w:p>
    <w:p w14:paraId="3B8B880D"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Hvidvaskforordningen og 6. hvidvaskdirektiv indeholder bemyndigelser til AMLA til at udarbejde udkast til blandt andet reguleringsmæssige tekniske standarder, som forelægges Kommissionen til vedtagelse. De reguleringsmæssige tekniske standarder vedrører en række områder under hvidvaskforordningen og 6. hvidvaskdirektiv og har blandt andet til formål at sikre en ensartet anvendelse af hvidvaskforordningen og en ensartet implementering af direktivet.</w:t>
      </w:r>
    </w:p>
    <w:p w14:paraId="6995C207" w14:textId="77777777" w:rsidR="001A2696" w:rsidRPr="00796736" w:rsidRDefault="001A2696" w:rsidP="00A802A5">
      <w:pPr>
        <w:spacing w:line="360" w:lineRule="auto"/>
        <w:rPr>
          <w:rFonts w:ascii="Times New Roman" w:hAnsi="Times New Roman" w:cs="Times New Roman"/>
          <w:sz w:val="24"/>
          <w:szCs w:val="24"/>
        </w:rPr>
      </w:pPr>
    </w:p>
    <w:p w14:paraId="72EF33F6"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126 i 6. hvidvaskdirektiv fremgår det, at reguleringsmæssige tekniske standarder bør sikre konsekvent harmonisering i hele Unionen. AMLA bør, som organet med højt specialiseret viden på området for bekæmpelse af hvidvask af penge og finansiering af terrorisme, pålægges opgaven med at udarbejde udkast til reguleringsmæssige tekniske standarder, som ikke indebærer politikbeslutninger, med henblik på forelæggelse for Kommissionen.</w:t>
      </w:r>
    </w:p>
    <w:p w14:paraId="69FFED9F" w14:textId="77777777" w:rsidR="001A2696" w:rsidRPr="00796736" w:rsidRDefault="001A2696" w:rsidP="00A802A5">
      <w:pPr>
        <w:spacing w:line="360" w:lineRule="auto"/>
        <w:rPr>
          <w:rFonts w:ascii="Times New Roman" w:hAnsi="Times New Roman" w:cs="Times New Roman"/>
          <w:sz w:val="24"/>
          <w:szCs w:val="24"/>
        </w:rPr>
      </w:pPr>
    </w:p>
    <w:p w14:paraId="5DA94B04"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Europa-Parlamentets og Rådets forordning (EU) 2024/1624 indeholder i artikel 3 en opregning af de forpligtede enheder. Bestemmelsen viderefører de aktører, der hidtil har været omfattet af 4. og 5. hvidvaskdirektiv, og udvider samtidig kredsen med nye virksomhedstyper og aktiviteter. Hvidvaskforordningen fastlægger dermed, hvilke enheder der anses som forpligtede enheder og dermed omfattes af forordningens krav om forebyggelse af hvidvask og finansiering af terrorisme.</w:t>
      </w:r>
    </w:p>
    <w:p w14:paraId="0B409BAE" w14:textId="77777777" w:rsidR="001A2696" w:rsidRPr="00796736" w:rsidRDefault="001A2696" w:rsidP="00A802A5">
      <w:pPr>
        <w:spacing w:line="360" w:lineRule="auto"/>
        <w:rPr>
          <w:rFonts w:ascii="Times New Roman" w:hAnsi="Times New Roman" w:cs="Times New Roman"/>
          <w:sz w:val="24"/>
          <w:szCs w:val="24"/>
        </w:rPr>
      </w:pPr>
    </w:p>
    <w:p w14:paraId="42AFD2F6"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Forordningen omfatter blandt andet kredit- og finansieringsinstitutter. Derudover omfattes en række fysiske og juridiske personer under udøvelsen af deres erhvervsmæssige virksomhed, herunder revisorer, eksterne regnskabskyndige, skatterådgivere samt andre personer, der primært yder rådgivning vedrørende skatteanliggender.</w:t>
      </w:r>
    </w:p>
    <w:p w14:paraId="3D08AB93" w14:textId="77777777" w:rsidR="001A2696" w:rsidRPr="00796736" w:rsidRDefault="001A2696" w:rsidP="00A802A5">
      <w:pPr>
        <w:spacing w:line="360" w:lineRule="auto"/>
        <w:rPr>
          <w:rFonts w:ascii="Times New Roman" w:hAnsi="Times New Roman" w:cs="Times New Roman"/>
          <w:sz w:val="24"/>
          <w:szCs w:val="24"/>
        </w:rPr>
      </w:pPr>
    </w:p>
    <w:p w14:paraId="6E3D0088"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Forordningen omfatter også advokater, notarer og andre selvstændige retlige aktører, når de på kundens vegne og for dennes regning deltager i eller bistår ved planlægning eller gennemførelse af finansielle transaktioner eller transaktioner vedrørende fast ejendom. Det omfatter blandt andet køb og salg af fast ejendom eller virksomheder, forvaltning af kunders penge, værdipapirer eller kryptoaktiver, åbning eller forvaltning af bank-, opsparings-, værdipapir- eller kryptoaktivkonti, tilvejebringelse af kapital til oprettelse, drift eller ledelse af selskaber, fonde eller lignende strukturer samt oprettelse, drift eller ledelse af truster, fonde eller lignende.</w:t>
      </w:r>
    </w:p>
    <w:p w14:paraId="3CF2630A" w14:textId="77777777" w:rsidR="001A2696" w:rsidRPr="00796736" w:rsidRDefault="001A2696" w:rsidP="00A802A5">
      <w:pPr>
        <w:spacing w:line="360" w:lineRule="auto"/>
        <w:rPr>
          <w:rFonts w:ascii="Times New Roman" w:hAnsi="Times New Roman" w:cs="Times New Roman"/>
          <w:sz w:val="24"/>
          <w:szCs w:val="24"/>
        </w:rPr>
      </w:pPr>
    </w:p>
    <w:p w14:paraId="354A4117"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Forpligtede enheder efter forordningen er endvidere udbydere af tjenester til virksomheder eller truster, ejendomsmæglere og andre professionelle aktører i forbindelse med fast ejendom, personer, som regelmæssigt handler med ædelmetaller, ædelsten eller varer af høj værdi, udbydere af spiltjenester, crowdfundingtjenesteudbydere og -formidlere samt aktører, der opbevarer eller handler med kulturgoder og varer af høj værdi inden for frizoner og toldoplag. Forordningen omfatter også kreditformidlere af realkreditlån og forbrugskreditter, operatører på området for investeringsmigration og ikkefinansielle holdingselskaber med blandet aktivitet.</w:t>
      </w:r>
    </w:p>
    <w:p w14:paraId="21686059" w14:textId="77777777" w:rsidR="001A2696" w:rsidRPr="00796736" w:rsidRDefault="001A2696" w:rsidP="00A802A5">
      <w:pPr>
        <w:spacing w:line="360" w:lineRule="auto"/>
        <w:rPr>
          <w:rFonts w:ascii="Times New Roman" w:hAnsi="Times New Roman" w:cs="Times New Roman"/>
          <w:sz w:val="24"/>
          <w:szCs w:val="24"/>
        </w:rPr>
      </w:pPr>
    </w:p>
    <w:p w14:paraId="7CAFE78B"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hvidvaskforordningens artikel 4, stk. 1, 1. afsnit, at medlemsstaterne helt eller delvist kan undtage visse udbydere af spiltjenester fra kravene i hvidvaskforordningen på grundlag af den dokumenterede lave risiko, som karakteren og, hvor det er relevant, forretningsomfanget af sådanne tjenester udgør.</w:t>
      </w:r>
    </w:p>
    <w:p w14:paraId="50F252FC" w14:textId="77777777" w:rsidR="001A2696" w:rsidRPr="00796736" w:rsidRDefault="001A2696" w:rsidP="00A802A5">
      <w:pPr>
        <w:spacing w:line="360" w:lineRule="auto"/>
        <w:rPr>
          <w:rFonts w:ascii="Times New Roman" w:hAnsi="Times New Roman" w:cs="Times New Roman"/>
          <w:sz w:val="24"/>
          <w:szCs w:val="24"/>
        </w:rPr>
      </w:pPr>
    </w:p>
    <w:p w14:paraId="0352B7AF"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hvidvaskforordningens artikel 4, stk. 1, 2. afsnit, at undtagelsen ikke gælder for kasinoer samt udbydere af spiltjenester, hvis hovedaktivitet er at udbyde onlinespiltjenester eller sportsvæddemålstjenester. Dette gælder dog ikke onlinespiltjenester, der drives af staten, enten gennem en offentlig myndighed eller en virksomhed eller et organ, som kontrolleres af staten, og onlinespiltjenester, hvis organisation, drift og administration reguleres af staten.</w:t>
      </w:r>
    </w:p>
    <w:p w14:paraId="1936F968" w14:textId="77777777" w:rsidR="001A2696" w:rsidRPr="00796736" w:rsidRDefault="001A2696" w:rsidP="00A802A5">
      <w:pPr>
        <w:spacing w:line="360" w:lineRule="auto"/>
        <w:rPr>
          <w:rFonts w:ascii="Times New Roman" w:hAnsi="Times New Roman" w:cs="Times New Roman"/>
          <w:sz w:val="24"/>
          <w:szCs w:val="24"/>
        </w:rPr>
      </w:pPr>
    </w:p>
    <w:p w14:paraId="175D758A" w14:textId="77777777" w:rsidR="001A2696" w:rsidRPr="0079673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hvidvaskforordningens artikel 4, stk. 2, at medlemsstaterne med henblik på anvendelsen af stk. 1 skal foretage en risikovurdering af spiltjenester. Risikovurderingen skal omfatte trusler om og sårbarheder i forhold til hvidvask af penge og finansiering af terrorisme samt svagheder og afbødende faktorer for spiltjenester. Medlemsstaterne skal ligeledes vurdere de risici, der er forbundet med transaktionernes omfang og de anvendte betalingsmetoder, samt det geografiske område, inden for hvilket spiltjenesterne administreres, herunder deres grænseoverskridende dimension og tilgængelighed fra andre medlemsstater eller tredjelande. Medlemsstaterne skal i den forbindelse tage hensyn til resultaterne af den risikovurdering på EU-plan, som Kommissionen har foretaget i henhold til artikel 7 i 6. hvidvaskdirektiv.</w:t>
      </w:r>
    </w:p>
    <w:p w14:paraId="6C488A79" w14:textId="77777777" w:rsidR="001A2696" w:rsidRPr="00796736" w:rsidRDefault="001A2696" w:rsidP="00A802A5">
      <w:pPr>
        <w:spacing w:line="360" w:lineRule="auto"/>
        <w:rPr>
          <w:rFonts w:ascii="Times New Roman" w:hAnsi="Times New Roman" w:cs="Times New Roman"/>
          <w:sz w:val="24"/>
          <w:szCs w:val="24"/>
        </w:rPr>
      </w:pPr>
    </w:p>
    <w:p w14:paraId="7772F51D" w14:textId="77777777" w:rsidR="001A2696" w:rsidRDefault="001A269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Hvidvaskforordningen indeholder i artikel 6 supplerende bestemmelser om udvidelse af kredsen af forpligtede enheder for så vidt angår finansielle aktiviteter. Bestemmelsen giver medlemsstaterne mulighed for at lade yderligere fysiske eller juridiske personer være omfattet af forordningens krav, hvis disse udøver aktiviteter, som på baggrund af en national risikovurdering vurderes at indebære en højere risiko for hvidvask eller finansiering af terrorisme. En sådan udvidelse skal være begrundet i dokumenterede risici og være forenelig med forordningens overordnede mål om effektiv og ensartet forebyggelse på EU-plan.</w:t>
      </w:r>
    </w:p>
    <w:p w14:paraId="26EB77BB" w14:textId="77777777" w:rsidR="00E02B63" w:rsidRDefault="00E02B63" w:rsidP="00A802A5">
      <w:pPr>
        <w:spacing w:line="360" w:lineRule="auto"/>
        <w:rPr>
          <w:rFonts w:ascii="Times New Roman" w:hAnsi="Times New Roman" w:cs="Times New Roman"/>
          <w:sz w:val="24"/>
          <w:szCs w:val="24"/>
        </w:rPr>
      </w:pPr>
    </w:p>
    <w:p w14:paraId="3D946AA8" w14:textId="77777777" w:rsidR="00E02B63" w:rsidRDefault="00E02B63" w:rsidP="00E02B63">
      <w:pPr>
        <w:spacing w:line="360" w:lineRule="auto"/>
        <w:rPr>
          <w:rFonts w:ascii="Times New Roman" w:hAnsi="Times New Roman" w:cs="Times New Roman"/>
          <w:sz w:val="24"/>
          <w:szCs w:val="24"/>
        </w:rPr>
      </w:pPr>
      <w:r>
        <w:rPr>
          <w:rFonts w:ascii="Times New Roman" w:hAnsi="Times New Roman" w:cs="Times New Roman"/>
          <w:sz w:val="24"/>
          <w:szCs w:val="24"/>
        </w:rPr>
        <w:t xml:space="preserve">Endelig indeholder hvidvaskforordningens artikel 2, stk. 1, nr. 1, en definition af ”hvidvask af penge”. Det fremgår heraf, at ved hvidvask af penge forstås </w:t>
      </w:r>
      <w:r w:rsidRPr="00F64619">
        <w:rPr>
          <w:rFonts w:ascii="Times New Roman" w:hAnsi="Times New Roman" w:cs="Times New Roman"/>
          <w:sz w:val="24"/>
          <w:szCs w:val="24"/>
        </w:rPr>
        <w:t>den adfærd, der er beskrevet i artikel 3, stk. 1 og 5, i direktiv (EU) 2018/1673, herunder medvirken og tilskyndelse til, anstiftelse til og forsøg på at begå en sådan adfærd, uanset om de aktiviteter, som har frembragt de formuegoder, der skal hvidvaskes, blev gennemført på en medlemsstats eller et tredjelands område; det kendskab, den hensigt eller det formål, der skal foreligge som gerningsindhold i en sådan adfærd, kan fastslås på grundlag af objektive faktiske forhold</w:t>
      </w:r>
      <w:r>
        <w:rPr>
          <w:rFonts w:ascii="Times New Roman" w:hAnsi="Times New Roman" w:cs="Times New Roman"/>
          <w:sz w:val="24"/>
          <w:szCs w:val="24"/>
        </w:rPr>
        <w:t>.</w:t>
      </w:r>
    </w:p>
    <w:p w14:paraId="01CC8940" w14:textId="77777777" w:rsidR="00E02B63" w:rsidRDefault="00E02B63" w:rsidP="00E02B63">
      <w:pPr>
        <w:spacing w:line="360" w:lineRule="auto"/>
        <w:rPr>
          <w:rFonts w:ascii="Times New Roman" w:hAnsi="Times New Roman" w:cs="Times New Roman"/>
          <w:sz w:val="24"/>
          <w:szCs w:val="24"/>
        </w:rPr>
      </w:pPr>
    </w:p>
    <w:p w14:paraId="1EBA040A" w14:textId="77777777" w:rsidR="00E02B63" w:rsidRPr="00796736" w:rsidRDefault="00E02B63" w:rsidP="00E02B63">
      <w:pPr>
        <w:spacing w:line="360" w:lineRule="auto"/>
        <w:rPr>
          <w:rFonts w:ascii="Times New Roman" w:hAnsi="Times New Roman" w:cs="Times New Roman"/>
          <w:sz w:val="24"/>
          <w:szCs w:val="24"/>
        </w:rPr>
      </w:pPr>
      <w:r>
        <w:rPr>
          <w:rFonts w:ascii="Times New Roman" w:hAnsi="Times New Roman" w:cs="Times New Roman"/>
          <w:sz w:val="24"/>
          <w:szCs w:val="24"/>
        </w:rPr>
        <w:t xml:space="preserve">Af stk. 1, nr. 2, fremgår det, at der ved ”finansiering af terrorisme” forstås </w:t>
      </w:r>
      <w:r w:rsidRPr="00F64619">
        <w:rPr>
          <w:rFonts w:ascii="Times New Roman" w:hAnsi="Times New Roman" w:cs="Times New Roman"/>
          <w:sz w:val="24"/>
          <w:szCs w:val="24"/>
        </w:rPr>
        <w:t>den adfærd, der er beskrevet i artikel 11 i direktiv (EU) 2017/541, herunder medvirken og tilskyndelse til, anstiftelse til og forsøg på at udvise en sådan adfærd, uanset om den fandt sted på en medlemsstats eller et tredjelands område; det kendskab, den hensigt eller det formål, der skal foreligge som gerningsindhold i en sådan adfærd, kan fastslås på grundlag af objektive faktiske forhold</w:t>
      </w:r>
      <w:r>
        <w:rPr>
          <w:rFonts w:ascii="Times New Roman" w:hAnsi="Times New Roman" w:cs="Times New Roman"/>
          <w:sz w:val="24"/>
          <w:szCs w:val="24"/>
        </w:rPr>
        <w:t xml:space="preserve">. Artikel 11 i direktiv (EU) 2017/451 erstatter definitionen af terrorisme som fastsat ved Rådets rammeafgørelse 2002/475/RIA.  </w:t>
      </w:r>
    </w:p>
    <w:p w14:paraId="47204F71" w14:textId="77777777" w:rsidR="00E02B63" w:rsidRPr="00796736" w:rsidRDefault="00E02B63" w:rsidP="00A802A5">
      <w:pPr>
        <w:spacing w:line="360" w:lineRule="auto"/>
        <w:rPr>
          <w:rFonts w:ascii="Times New Roman" w:hAnsi="Times New Roman" w:cs="Times New Roman"/>
          <w:sz w:val="24"/>
          <w:szCs w:val="24"/>
        </w:rPr>
      </w:pPr>
    </w:p>
    <w:p w14:paraId="304A5AF2" w14:textId="77777777" w:rsidR="002B7805" w:rsidRPr="00796736" w:rsidRDefault="002B7805" w:rsidP="00A802A5">
      <w:pPr>
        <w:spacing w:line="360" w:lineRule="auto"/>
        <w:rPr>
          <w:rFonts w:ascii="Times New Roman" w:hAnsi="Times New Roman" w:cs="Times New Roman"/>
          <w:sz w:val="24"/>
          <w:szCs w:val="24"/>
        </w:rPr>
      </w:pPr>
    </w:p>
    <w:p w14:paraId="09BA9EA6" w14:textId="158BDEE1" w:rsidR="005F7E66" w:rsidRPr="00796736" w:rsidRDefault="00274A31" w:rsidP="00A802A5">
      <w:pPr>
        <w:pStyle w:val="Overskrift4"/>
        <w:rPr>
          <w:rFonts w:ascii="Times New Roman" w:hAnsi="Times New Roman" w:cs="Times New Roman"/>
          <w:sz w:val="24"/>
          <w:szCs w:val="24"/>
        </w:rPr>
      </w:pPr>
      <w:bookmarkStart w:id="826" w:name="_Toc229739613"/>
      <w:bookmarkStart w:id="827" w:name="_Toc232109003"/>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w:t>
      </w:r>
      <w:r w:rsidR="00257777" w:rsidRPr="00796736">
        <w:rPr>
          <w:rFonts w:ascii="Times New Roman" w:hAnsi="Times New Roman" w:cs="Times New Roman"/>
          <w:sz w:val="24"/>
          <w:szCs w:val="24"/>
        </w:rPr>
        <w:t xml:space="preserve"> og Erhverv</w:t>
      </w:r>
      <w:r w:rsidR="006A012C" w:rsidRPr="00796736">
        <w:rPr>
          <w:rFonts w:ascii="Times New Roman" w:hAnsi="Times New Roman" w:cs="Times New Roman"/>
          <w:sz w:val="24"/>
          <w:szCs w:val="24"/>
        </w:rPr>
        <w:t>sministeriets</w:t>
      </w:r>
      <w:r w:rsidR="005F7E66" w:rsidRPr="00796736">
        <w:rPr>
          <w:rFonts w:ascii="Times New Roman" w:hAnsi="Times New Roman" w:cs="Times New Roman"/>
          <w:sz w:val="24"/>
          <w:szCs w:val="24"/>
        </w:rPr>
        <w:t xml:space="preserve"> overvejelser</w:t>
      </w:r>
      <w:bookmarkEnd w:id="822"/>
      <w:bookmarkEnd w:id="823"/>
      <w:bookmarkEnd w:id="824"/>
      <w:bookmarkEnd w:id="825"/>
      <w:bookmarkEnd w:id="826"/>
      <w:r w:rsidR="00CD23C3" w:rsidRPr="00796736">
        <w:rPr>
          <w:rFonts w:ascii="Times New Roman" w:hAnsi="Times New Roman" w:cs="Times New Roman"/>
          <w:sz w:val="24"/>
          <w:szCs w:val="24"/>
        </w:rPr>
        <w:t xml:space="preserve"> og den foreslåede ordning</w:t>
      </w:r>
      <w:bookmarkEnd w:id="827"/>
    </w:p>
    <w:p w14:paraId="7B0E682B" w14:textId="77777777" w:rsidR="000B1570" w:rsidRPr="00796736" w:rsidRDefault="000B157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Skatte- og Vækstministeriet vurderer, at det er nødvendigt at fastlægge et klart og bredt anvendelsesområde for hvidvaskloven, så lovens krav om forebyggelse af hvidvask og finansiering af terrorisme omfatter de relevante virksomheder og personer. Ved at henvise til artikel 3 i Europa-Parlamentets og Rådets forordning (EU) 2024/1624 sikres det, at loven omfatter de enheder, der efter EU-reguleringen er forpligtede, og at Danmark opfylder sine internationale forpligtelser.</w:t>
      </w:r>
    </w:p>
    <w:p w14:paraId="72BF3F84" w14:textId="77777777" w:rsidR="000B1570" w:rsidRPr="00796736" w:rsidRDefault="000B1570" w:rsidP="00A802A5">
      <w:pPr>
        <w:spacing w:line="360" w:lineRule="auto"/>
        <w:rPr>
          <w:rFonts w:ascii="Times New Roman" w:eastAsia="Calibri" w:hAnsi="Times New Roman" w:cs="Times New Roman"/>
          <w:sz w:val="24"/>
          <w:szCs w:val="24"/>
        </w:rPr>
      </w:pPr>
    </w:p>
    <w:p w14:paraId="2DF49B92" w14:textId="4A91BB67" w:rsidR="000B1570" w:rsidRPr="00796736" w:rsidRDefault="002C22D2"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Ved § 1,</w:t>
      </w:r>
      <w:r w:rsidR="000B1570" w:rsidRPr="00796736">
        <w:rPr>
          <w:rFonts w:ascii="Times New Roman" w:eastAsia="Calibri" w:hAnsi="Times New Roman" w:cs="Times New Roman"/>
          <w:sz w:val="24"/>
          <w:szCs w:val="24"/>
        </w:rPr>
        <w:t xml:space="preserve"> stk. 2</w:t>
      </w:r>
      <w:r w:rsidRPr="00796736">
        <w:rPr>
          <w:rFonts w:ascii="Times New Roman" w:eastAsia="Calibri" w:hAnsi="Times New Roman" w:cs="Times New Roman"/>
          <w:sz w:val="24"/>
          <w:szCs w:val="24"/>
        </w:rPr>
        <w:t>, foreslås det at</w:t>
      </w:r>
      <w:r w:rsidR="000B1570" w:rsidRPr="00796736">
        <w:rPr>
          <w:rFonts w:ascii="Times New Roman" w:eastAsia="Calibri" w:hAnsi="Times New Roman" w:cs="Times New Roman"/>
          <w:sz w:val="24"/>
          <w:szCs w:val="24"/>
        </w:rPr>
        <w:t xml:space="preserve"> udvide lovens anvendelsesområde til visse virksomheder og personer, som ikke er omfattet af forordningen. Udvidelsen af anvendelsesområdet til visse virksomheder og personer, som ikke er omfattet af forordningen, er begrundet i nationale hensyn og behovet for at sikre en effektiv implementering af EU-regler, herunder CO2-auktioneringsforordningen. Dette bidrager til at forebygge, at nye risikoområder opstår uden tilstrækkelig regulering og tilsyn.</w:t>
      </w:r>
    </w:p>
    <w:p w14:paraId="06842F49" w14:textId="77777777" w:rsidR="00257777" w:rsidRPr="00796736" w:rsidRDefault="00257777" w:rsidP="00A802A5">
      <w:pPr>
        <w:spacing w:line="360" w:lineRule="auto"/>
        <w:rPr>
          <w:rFonts w:ascii="Times New Roman" w:eastAsia="Calibri" w:hAnsi="Times New Roman" w:cs="Times New Roman"/>
          <w:sz w:val="24"/>
          <w:szCs w:val="24"/>
        </w:rPr>
      </w:pPr>
    </w:p>
    <w:p w14:paraId="3A297265" w14:textId="16237073"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Med hvidvaskforordningen reguleres det materielle anvendelsesområde for reglerne om forebyggelse og bekæmpelse af hvidvask med direkte virkning, hvorfor der, med undtagelse af områder med et nationalt råderum, ikke er en national mulighed eller behov for at implementere regler i dansk ret om, hvem der anse</w:t>
      </w:r>
      <w:r w:rsidR="003E7020" w:rsidRPr="00796736">
        <w:rPr>
          <w:rFonts w:ascii="Times New Roman" w:hAnsi="Times New Roman" w:cs="Times New Roman"/>
          <w:sz w:val="24"/>
          <w:szCs w:val="24"/>
        </w:rPr>
        <w:t>s</w:t>
      </w:r>
      <w:r w:rsidR="00C71325" w:rsidRPr="00796736">
        <w:rPr>
          <w:rFonts w:ascii="Times New Roman" w:hAnsi="Times New Roman" w:cs="Times New Roman"/>
          <w:sz w:val="24"/>
          <w:szCs w:val="24"/>
        </w:rPr>
        <w:t xml:space="preserve"> for</w:t>
      </w:r>
      <w:r w:rsidRPr="00796736">
        <w:rPr>
          <w:rFonts w:ascii="Times New Roman" w:hAnsi="Times New Roman" w:cs="Times New Roman"/>
          <w:sz w:val="24"/>
          <w:szCs w:val="24"/>
        </w:rPr>
        <w:t xml:space="preserve"> værende forpligtede </w:t>
      </w:r>
      <w:r w:rsidR="006A012C" w:rsidRPr="00796736">
        <w:rPr>
          <w:rFonts w:ascii="Times New Roman" w:hAnsi="Times New Roman" w:cs="Times New Roman"/>
          <w:sz w:val="24"/>
          <w:szCs w:val="24"/>
        </w:rPr>
        <w:t>enheder</w:t>
      </w:r>
      <w:r w:rsidRPr="00796736">
        <w:rPr>
          <w:rFonts w:ascii="Times New Roman" w:hAnsi="Times New Roman" w:cs="Times New Roman"/>
          <w:sz w:val="24"/>
          <w:szCs w:val="24"/>
        </w:rPr>
        <w:t xml:space="preserve"> i medfør af lovforslaget.</w:t>
      </w:r>
    </w:p>
    <w:p w14:paraId="63166CD3" w14:textId="77777777" w:rsidR="00257777" w:rsidRPr="00796736" w:rsidRDefault="00257777" w:rsidP="00A802A5">
      <w:pPr>
        <w:spacing w:line="360" w:lineRule="auto"/>
        <w:contextualSpacing/>
        <w:rPr>
          <w:rFonts w:ascii="Times New Roman" w:hAnsi="Times New Roman" w:cs="Times New Roman"/>
          <w:sz w:val="24"/>
          <w:szCs w:val="24"/>
        </w:rPr>
      </w:pPr>
    </w:p>
    <w:p w14:paraId="6E59B636" w14:textId="011179FD"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Erhverv</w:t>
      </w:r>
      <w:r w:rsidR="006A012C" w:rsidRPr="00796736">
        <w:rPr>
          <w:rFonts w:ascii="Times New Roman" w:hAnsi="Times New Roman" w:cs="Times New Roman"/>
          <w:sz w:val="24"/>
          <w:szCs w:val="24"/>
        </w:rPr>
        <w:t>sministeriet</w:t>
      </w:r>
      <w:r w:rsidRPr="00796736">
        <w:rPr>
          <w:rFonts w:ascii="Times New Roman" w:hAnsi="Times New Roman" w:cs="Times New Roman"/>
          <w:sz w:val="24"/>
          <w:szCs w:val="24"/>
        </w:rPr>
        <w:t xml:space="preserve"> finder det dog i dette tilfælde nødvendigt af hensyn til lovens effektive anvendelse at indskrive, hvilke forpligtede enheder der falder under lovens anvendelsesområde, og hvilke personer og virksomheder hver af de danske tilsynsmyndigheder skal føre tilsyn med. Det er som led heri nødvendigt at gengive dele af hvidvaskforordningens artikel 3 i hvidvaskloven.</w:t>
      </w:r>
    </w:p>
    <w:p w14:paraId="02B0347A" w14:textId="77777777" w:rsidR="00257777" w:rsidRPr="00796736" w:rsidRDefault="00257777" w:rsidP="00A802A5">
      <w:pPr>
        <w:spacing w:line="360" w:lineRule="auto"/>
        <w:contextualSpacing/>
        <w:rPr>
          <w:rFonts w:ascii="Times New Roman" w:hAnsi="Times New Roman" w:cs="Times New Roman"/>
          <w:sz w:val="24"/>
          <w:szCs w:val="24"/>
        </w:rPr>
      </w:pPr>
    </w:p>
    <w:p w14:paraId="3CD9CD5D" w14:textId="1CB2C669"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Med vedtagelsen af hvidvaskforordningen udvides reglernes anvendelsesområde efter forordningens artikel 3, nr. 3</w:t>
      </w:r>
      <w:r w:rsidR="006A012C" w:rsidRPr="00796736">
        <w:rPr>
          <w:rFonts w:ascii="Times New Roman" w:hAnsi="Times New Roman" w:cs="Times New Roman"/>
          <w:sz w:val="24"/>
          <w:szCs w:val="24"/>
        </w:rPr>
        <w:t>,</w:t>
      </w:r>
      <w:r w:rsidRPr="00796736">
        <w:rPr>
          <w:rFonts w:ascii="Times New Roman" w:hAnsi="Times New Roman" w:cs="Times New Roman"/>
          <w:sz w:val="24"/>
          <w:szCs w:val="24"/>
        </w:rPr>
        <w:t xml:space="preserve"> til blandt andet også at omfatte brancherne for handel med ædelmetaller og ædelsten samt handel med højværdivarer, herunder smykker, guld- og sølvsmedevarer, ure, motorkøretøjer, luftfartøjer og vandfartøjer med en værdi over de i forordningen angivne tærskelværdier.</w:t>
      </w:r>
    </w:p>
    <w:p w14:paraId="0AA8469A" w14:textId="77777777" w:rsidR="00257777" w:rsidRPr="00796736" w:rsidRDefault="00257777" w:rsidP="00A802A5">
      <w:pPr>
        <w:spacing w:line="360" w:lineRule="auto"/>
        <w:contextualSpacing/>
        <w:rPr>
          <w:rFonts w:ascii="Times New Roman" w:hAnsi="Times New Roman" w:cs="Times New Roman"/>
          <w:sz w:val="24"/>
          <w:szCs w:val="24"/>
        </w:rPr>
      </w:pPr>
    </w:p>
    <w:p w14:paraId="74A935F1" w14:textId="72870B6B" w:rsidR="00257777" w:rsidRPr="00796736" w:rsidRDefault="006A012C"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Erhvervsministeriet </w:t>
      </w:r>
      <w:r w:rsidR="00257777" w:rsidRPr="00796736">
        <w:rPr>
          <w:rFonts w:ascii="Times New Roman" w:hAnsi="Times New Roman" w:cs="Times New Roman"/>
          <w:sz w:val="24"/>
          <w:szCs w:val="24"/>
        </w:rPr>
        <w:t>bemærker, at hvidvaskforordningen tillige indeholder justering af ordlyden for en række af de allerede</w:t>
      </w:r>
      <w:r w:rsidR="002C22D2" w:rsidRPr="00796736">
        <w:rPr>
          <w:rFonts w:ascii="Times New Roman" w:hAnsi="Times New Roman" w:cs="Times New Roman"/>
          <w:sz w:val="24"/>
          <w:szCs w:val="24"/>
        </w:rPr>
        <w:t xml:space="preserve"> </w:t>
      </w:r>
      <w:r w:rsidR="00257777" w:rsidRPr="00796736">
        <w:rPr>
          <w:rFonts w:ascii="Times New Roman" w:hAnsi="Times New Roman" w:cs="Times New Roman"/>
          <w:sz w:val="24"/>
          <w:szCs w:val="24"/>
        </w:rPr>
        <w:t>eksisterende forpligtede enheder, der hidtil har været omfattet i medfør af 4. og 5. hvidvaskdirektiv.</w:t>
      </w:r>
    </w:p>
    <w:p w14:paraId="1A876101" w14:textId="77777777" w:rsidR="00257777" w:rsidRPr="00796736" w:rsidRDefault="00257777" w:rsidP="00A802A5">
      <w:pPr>
        <w:spacing w:line="360" w:lineRule="auto"/>
        <w:contextualSpacing/>
        <w:rPr>
          <w:rFonts w:ascii="Times New Roman" w:hAnsi="Times New Roman" w:cs="Times New Roman"/>
          <w:sz w:val="24"/>
          <w:szCs w:val="24"/>
        </w:rPr>
      </w:pPr>
    </w:p>
    <w:p w14:paraId="56A11FFB" w14:textId="77777777"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Med implementeringen af 5. hvidvaskdirektiv blev kunsthandlerbranchen omfattet af hvidvasklovens anvendelsesområde, hvorefter virksomheder og personer, der erhvervsmæssigt opbevarer, handler med eller formidler handel med kunstværker, herunder gallerier og auktionshuse, har skullet betragtes som en forpligtet enhed. Det har i den gældende hvidvasklov været en forudsætning herfor, at værdien af transaktionen eller af en række indbyrdes forbundne transaktioner udgør 50.000 kr. eller derover.</w:t>
      </w:r>
    </w:p>
    <w:p w14:paraId="7E54B7FF" w14:textId="77777777" w:rsidR="00257777" w:rsidRPr="00796736" w:rsidRDefault="00257777" w:rsidP="00A802A5">
      <w:pPr>
        <w:spacing w:line="360" w:lineRule="auto"/>
        <w:contextualSpacing/>
        <w:rPr>
          <w:rFonts w:ascii="Times New Roman" w:hAnsi="Times New Roman" w:cs="Times New Roman"/>
          <w:sz w:val="24"/>
          <w:szCs w:val="24"/>
        </w:rPr>
      </w:pPr>
    </w:p>
    <w:p w14:paraId="1323AD59" w14:textId="03BED98B"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Vedtagelsen af hvidvaskforordningen indebærer, at den hidtidigt anvendte betegnelse ”kunstværker” erstattes af betegnelsen ”kulturgoder”, der efter hvidvaskforordningens definition heraf ledsages af en henvisning til en oplistning af de omfattede kategorier af kulturgenstande. Det er </w:t>
      </w:r>
      <w:r w:rsidR="006A012C" w:rsidRPr="00796736">
        <w:rPr>
          <w:rFonts w:ascii="Times New Roman" w:hAnsi="Times New Roman" w:cs="Times New Roman"/>
          <w:sz w:val="24"/>
          <w:szCs w:val="24"/>
        </w:rPr>
        <w:t xml:space="preserve">Erhvervsministeriets </w:t>
      </w:r>
      <w:r w:rsidRPr="00796736">
        <w:rPr>
          <w:rFonts w:ascii="Times New Roman" w:hAnsi="Times New Roman" w:cs="Times New Roman"/>
          <w:sz w:val="24"/>
          <w:szCs w:val="24"/>
        </w:rPr>
        <w:t>opfattelse, at ændringen vil medføre, at flere typer af genstande vil falde under reglernes anvendelsesområde end hidtil, med det til følge</w:t>
      </w:r>
      <w:r w:rsidR="00491587" w:rsidRPr="00796736">
        <w:rPr>
          <w:rFonts w:ascii="Times New Roman" w:hAnsi="Times New Roman" w:cs="Times New Roman"/>
          <w:sz w:val="24"/>
          <w:szCs w:val="24"/>
        </w:rPr>
        <w:t>,</w:t>
      </w:r>
      <w:r w:rsidRPr="00796736">
        <w:rPr>
          <w:rFonts w:ascii="Times New Roman" w:hAnsi="Times New Roman" w:cs="Times New Roman"/>
          <w:sz w:val="24"/>
          <w:szCs w:val="24"/>
        </w:rPr>
        <w:t xml:space="preserve"> at flere virksomheder og personer vil skulle betragtes som en forpligtet enhed i medfør heraf.</w:t>
      </w:r>
    </w:p>
    <w:p w14:paraId="5ABDDE9C" w14:textId="77777777" w:rsidR="00257777" w:rsidRPr="00796736" w:rsidRDefault="00257777" w:rsidP="00A802A5">
      <w:pPr>
        <w:spacing w:line="360" w:lineRule="auto"/>
        <w:contextualSpacing/>
        <w:rPr>
          <w:rFonts w:ascii="Times New Roman" w:hAnsi="Times New Roman" w:cs="Times New Roman"/>
          <w:sz w:val="24"/>
          <w:szCs w:val="24"/>
        </w:rPr>
      </w:pPr>
    </w:p>
    <w:p w14:paraId="4111F81D" w14:textId="2FE127B0"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Vedtagelsen af hvidvaskforordningen medfører ligeledes en ændring i tærskelværdien for omfattede handler af førnævnte goder i Danmark. I forbindelse med implementeringen af 5. hvidvaskdirektiv og udvidelsen af anvendelsesområdet af hvidvaskloven til kunsthandlerbranchen blev det på nationalt plan besluttet at fastsætte tærskelværdien for omfattede handler med kunstværker til 50.000 kr. Erhvervsministeriet bemærker, at tærskelværdien for omfattede handler fremover reguleres direkte af hvidvaskforordningen, hvilket medfører at den hidtidige nationale tærskelværdi på 50.000 kr. erstattes af forordningens tærskelværdi på 10.000 EUR som følge af forordningens direkte virkning.</w:t>
      </w:r>
    </w:p>
    <w:p w14:paraId="69684A86" w14:textId="77777777" w:rsidR="00257777" w:rsidRPr="00796736" w:rsidRDefault="00257777" w:rsidP="00A802A5">
      <w:pPr>
        <w:spacing w:line="360" w:lineRule="auto"/>
        <w:contextualSpacing/>
        <w:rPr>
          <w:rFonts w:ascii="Times New Roman" w:hAnsi="Times New Roman" w:cs="Times New Roman"/>
          <w:i/>
          <w:iCs/>
          <w:sz w:val="24"/>
          <w:szCs w:val="24"/>
        </w:rPr>
      </w:pPr>
    </w:p>
    <w:p w14:paraId="60FFD649" w14:textId="2F55246B"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I forbindelse med udvidelsen af anvendelsesområdet for hvidvaskreglerne til også at omfatte kunsthandlerbranchen fremgik det af 5. hvidvaskdirektivs artikel 1, stk. 1, litra c, at det</w:t>
      </w:r>
      <w:r w:rsidR="00491587" w:rsidRPr="00796736">
        <w:rPr>
          <w:rFonts w:ascii="Times New Roman" w:hAnsi="Times New Roman" w:cs="Times New Roman"/>
          <w:sz w:val="24"/>
          <w:szCs w:val="24"/>
        </w:rPr>
        <w:t xml:space="preserve"> </w:t>
      </w:r>
      <w:r w:rsidRPr="00796736">
        <w:rPr>
          <w:rFonts w:ascii="Times New Roman" w:hAnsi="Times New Roman" w:cs="Times New Roman"/>
          <w:sz w:val="24"/>
          <w:szCs w:val="24"/>
        </w:rPr>
        <w:t>omfatter opbevaring, handel og formidling af handel inden for freeports. Det blev med implementeringen af 5. hvidvaskdirektiv vurderet, at Danmark ikke har freeports, som faldt ind under direktivets anvendelsesområde.</w:t>
      </w:r>
    </w:p>
    <w:p w14:paraId="51CCA608" w14:textId="77777777" w:rsidR="00257777" w:rsidRPr="00796736" w:rsidRDefault="00257777" w:rsidP="00A802A5">
      <w:pPr>
        <w:spacing w:line="360" w:lineRule="auto"/>
        <w:contextualSpacing/>
        <w:rPr>
          <w:rFonts w:ascii="Times New Roman" w:hAnsi="Times New Roman" w:cs="Times New Roman"/>
          <w:sz w:val="24"/>
          <w:szCs w:val="24"/>
        </w:rPr>
      </w:pPr>
    </w:p>
    <w:p w14:paraId="330A4FE2" w14:textId="5F2F8FC5"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Vedtagelsen af hvidvaskforordningen indebærer, at den hidtidigt anvendte betegnelse ”freeports” erstattes af betegnelsen ”frizoner og toldoplag”. Det er Erhvervsministeriets opfattelse, at ændringen vil medføre, at der vil være personer og virksomheder i Danmark, som vil falde inden for forordningens anvendelsesområde og</w:t>
      </w:r>
      <w:r w:rsidR="00491587" w:rsidRPr="00796736">
        <w:rPr>
          <w:rFonts w:ascii="Times New Roman" w:hAnsi="Times New Roman" w:cs="Times New Roman"/>
          <w:sz w:val="24"/>
          <w:szCs w:val="24"/>
        </w:rPr>
        <w:t xml:space="preserve"> vil</w:t>
      </w:r>
      <w:r w:rsidRPr="00796736">
        <w:rPr>
          <w:rFonts w:ascii="Times New Roman" w:hAnsi="Times New Roman" w:cs="Times New Roman"/>
          <w:sz w:val="24"/>
          <w:szCs w:val="24"/>
        </w:rPr>
        <w:t xml:space="preserve"> skulle anses som værende en forpligtet enhed i medfør heraf, for så vidt at de opbevarer, handler med eller formidler handel med kulturgoder og varer af høj værdi, hvor værdien af transaktionen eller indbyrdes forbundne transaktioner beløber sig til mindst 10 000 EUR eller et tilsvarende beløb i national valuta.</w:t>
      </w:r>
    </w:p>
    <w:p w14:paraId="2DA755D0" w14:textId="77777777" w:rsidR="00257777" w:rsidRPr="00796736" w:rsidRDefault="00257777" w:rsidP="00A802A5">
      <w:pPr>
        <w:spacing w:line="360" w:lineRule="auto"/>
        <w:contextualSpacing/>
        <w:rPr>
          <w:rFonts w:ascii="Times New Roman" w:hAnsi="Times New Roman" w:cs="Times New Roman"/>
          <w:sz w:val="24"/>
          <w:szCs w:val="24"/>
        </w:rPr>
      </w:pPr>
    </w:p>
    <w:p w14:paraId="0793D5B2" w14:textId="517EC3AC" w:rsidR="00257777" w:rsidRPr="00796736" w:rsidRDefault="00257777"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Med vedtagelsen af hvidvaskforordningens udvides kredsen af forpligtede enheder til også at omfatte ikke-finansielle holdingselskaber med blandet aktivitet. </w:t>
      </w:r>
      <w:r w:rsidR="006A012C" w:rsidRPr="00796736">
        <w:rPr>
          <w:rFonts w:ascii="Times New Roman" w:hAnsi="Times New Roman" w:cs="Times New Roman"/>
          <w:sz w:val="24"/>
          <w:szCs w:val="24"/>
        </w:rPr>
        <w:t xml:space="preserve">Erhvervsministeriet </w:t>
      </w:r>
      <w:r w:rsidRPr="00796736">
        <w:rPr>
          <w:rFonts w:ascii="Times New Roman" w:hAnsi="Times New Roman" w:cs="Times New Roman"/>
          <w:sz w:val="24"/>
          <w:szCs w:val="24"/>
        </w:rPr>
        <w:t xml:space="preserve">har overvejet, hvilken betydning det har for Erhvervsstyrelsens tilsynspopulation, idet Erhvervsministeriet forventer, at disse enheder i sin natur af holdingselskab ikke vil have selvstændig erhvervsaktivitet eller kundeforhold. </w:t>
      </w:r>
      <w:r w:rsidR="006A012C" w:rsidRPr="00796736">
        <w:rPr>
          <w:rFonts w:ascii="Times New Roman" w:hAnsi="Times New Roman" w:cs="Times New Roman"/>
          <w:sz w:val="24"/>
          <w:szCs w:val="24"/>
        </w:rPr>
        <w:t xml:space="preserve">Erhvervsministeriet </w:t>
      </w:r>
      <w:r w:rsidRPr="00796736">
        <w:rPr>
          <w:rFonts w:ascii="Times New Roman" w:hAnsi="Times New Roman" w:cs="Times New Roman"/>
          <w:sz w:val="24"/>
          <w:szCs w:val="24"/>
        </w:rPr>
        <w:t>har vurderet, at det af hensyn til korrekt implementering af 6. hvidvaskdirektiv, og for at sikre de påkrævede rammer for tilsynet med enhedernes efterlevelse af hvidvaskforordningen, er nødvendigt</w:t>
      </w:r>
      <w:r w:rsidR="002C22D2" w:rsidRPr="00796736">
        <w:rPr>
          <w:rFonts w:ascii="Times New Roman" w:hAnsi="Times New Roman" w:cs="Times New Roman"/>
          <w:sz w:val="24"/>
          <w:szCs w:val="24"/>
        </w:rPr>
        <w:t>,</w:t>
      </w:r>
      <w:r w:rsidRPr="00796736">
        <w:rPr>
          <w:rFonts w:ascii="Times New Roman" w:hAnsi="Times New Roman" w:cs="Times New Roman"/>
          <w:sz w:val="24"/>
          <w:szCs w:val="24"/>
        </w:rPr>
        <w:t xml:space="preserve"> at ikkefinansielle holdingselskaber tilføjes til Erhvervsstyrelsens tilsynspopulation og derved indskrives i hvidvaskloven. </w:t>
      </w:r>
    </w:p>
    <w:p w14:paraId="4D79CBEE" w14:textId="77777777" w:rsidR="00257777" w:rsidRPr="00796736" w:rsidRDefault="00257777" w:rsidP="00A802A5">
      <w:pPr>
        <w:spacing w:line="360" w:lineRule="auto"/>
        <w:contextualSpacing/>
        <w:rPr>
          <w:rFonts w:ascii="Times New Roman" w:hAnsi="Times New Roman" w:cs="Times New Roman"/>
          <w:sz w:val="24"/>
          <w:szCs w:val="24"/>
        </w:rPr>
      </w:pPr>
    </w:p>
    <w:p w14:paraId="3E21C5E4" w14:textId="5EA727F2" w:rsidR="00257777" w:rsidRPr="00796736" w:rsidRDefault="006A012C"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Erhvervsministeriet </w:t>
      </w:r>
      <w:r w:rsidR="00257777" w:rsidRPr="00796736">
        <w:rPr>
          <w:rFonts w:ascii="Times New Roman" w:hAnsi="Times New Roman" w:cs="Times New Roman"/>
          <w:sz w:val="24"/>
          <w:szCs w:val="24"/>
        </w:rPr>
        <w:t xml:space="preserve">har yderligere overvejet, i hvilket omfang det er muligt at videreføre allerede eksisterende betegnelser fra den </w:t>
      </w:r>
      <w:r w:rsidR="002C22D2" w:rsidRPr="00796736">
        <w:rPr>
          <w:rFonts w:ascii="Times New Roman" w:hAnsi="Times New Roman" w:cs="Times New Roman"/>
          <w:sz w:val="24"/>
          <w:szCs w:val="24"/>
        </w:rPr>
        <w:t>gældende</w:t>
      </w:r>
      <w:r w:rsidR="00257777" w:rsidRPr="00796736">
        <w:rPr>
          <w:rFonts w:ascii="Times New Roman" w:hAnsi="Times New Roman" w:cs="Times New Roman"/>
          <w:sz w:val="24"/>
          <w:szCs w:val="24"/>
        </w:rPr>
        <w:t xml:space="preserve"> hvidvasklovs oplistning af de omfattede virksomheder og personer. </w:t>
      </w:r>
      <w:r w:rsidRPr="00796736">
        <w:rPr>
          <w:rFonts w:ascii="Times New Roman" w:hAnsi="Times New Roman" w:cs="Times New Roman"/>
          <w:sz w:val="24"/>
          <w:szCs w:val="24"/>
        </w:rPr>
        <w:t xml:space="preserve">Erhvervsministeriet </w:t>
      </w:r>
      <w:r w:rsidR="00257777" w:rsidRPr="00796736">
        <w:rPr>
          <w:rFonts w:ascii="Times New Roman" w:hAnsi="Times New Roman" w:cs="Times New Roman"/>
          <w:sz w:val="24"/>
          <w:szCs w:val="24"/>
        </w:rPr>
        <w:t>har i respekt for EU-rettens forrang og henset til forordningens umiddelbare virkning fundet det nødvendigt at gengive forordningens ordlyd og sproglige betegnelser for de forpligtede enheder så loyalt og tekstnært som muligt. Dette medfører, at der foretages visse sproglige justeringer til visse typer af allerede</w:t>
      </w:r>
      <w:r w:rsidR="002C22D2" w:rsidRPr="00796736">
        <w:rPr>
          <w:rFonts w:ascii="Times New Roman" w:hAnsi="Times New Roman" w:cs="Times New Roman"/>
          <w:sz w:val="24"/>
          <w:szCs w:val="24"/>
        </w:rPr>
        <w:t xml:space="preserve"> </w:t>
      </w:r>
      <w:r w:rsidR="00257777" w:rsidRPr="00796736">
        <w:rPr>
          <w:rFonts w:ascii="Times New Roman" w:hAnsi="Times New Roman" w:cs="Times New Roman"/>
          <w:sz w:val="24"/>
          <w:szCs w:val="24"/>
        </w:rPr>
        <w:t xml:space="preserve">omfattede virksomheder og personer. </w:t>
      </w:r>
      <w:r w:rsidRPr="00796736">
        <w:rPr>
          <w:rFonts w:ascii="Times New Roman" w:hAnsi="Times New Roman" w:cs="Times New Roman"/>
          <w:sz w:val="24"/>
          <w:szCs w:val="24"/>
        </w:rPr>
        <w:t xml:space="preserve">Erhvervsministeriet </w:t>
      </w:r>
      <w:r w:rsidR="00257777" w:rsidRPr="00796736">
        <w:rPr>
          <w:rFonts w:ascii="Times New Roman" w:hAnsi="Times New Roman" w:cs="Times New Roman"/>
          <w:sz w:val="24"/>
          <w:szCs w:val="24"/>
        </w:rPr>
        <w:t>bemærker, at der med disse sproglige justeringer ikke er nogen intention om, at anvendelsen af forordningens ordlyd skal føre til en indskrænkende fortolkning af begrebsrammerne med det til følge, at færre typer af personer eller virksomheder anses for omfattet af reglerne end under den gældende danske hvidvasklov.</w:t>
      </w:r>
    </w:p>
    <w:p w14:paraId="1F31975F" w14:textId="77777777" w:rsidR="006A012C" w:rsidRPr="00796736" w:rsidRDefault="006A012C" w:rsidP="00A802A5">
      <w:pPr>
        <w:spacing w:line="360" w:lineRule="auto"/>
        <w:contextualSpacing/>
        <w:rPr>
          <w:rFonts w:ascii="Times New Roman" w:hAnsi="Times New Roman" w:cs="Times New Roman"/>
          <w:sz w:val="24"/>
          <w:szCs w:val="24"/>
        </w:rPr>
      </w:pPr>
    </w:p>
    <w:p w14:paraId="37E69043" w14:textId="45082FC2" w:rsidR="006A012C" w:rsidRPr="00796736" w:rsidRDefault="006A012C" w:rsidP="00A802A5">
      <w:pPr>
        <w:spacing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Skatte- og Vækstministeriet har ligesom Erhvervsministeriet overvejet, hvilken betydning udvidelsen af de forpligtede enheder har for Spillemyndighedens tilsynspopulation, da Spillemyndigheden også vil skulle føre tilsyn med ikkefinansielle holdingselskaber med blandet aktivitet, hvor mindst ét datterselskab er en udbyder af spil, der har tilladelse til at udbyde spil i Danmark. Skatte- og Vækstministeriet forventer også, at denne type enhed i sin natur af holdingselskab ikke vil have selvstændig erhvervsaktivitet eller kundeforhold. Skatte- og Vækstministeriet har dog ligeledes vurderet, at det af hensyn til korrekt implementering af 6. hvidvaskdirektiv, og for at sikre de påkrævede rammer for tilsynet med enhedernes efterlevelse af hvidvaskforordningen, er nødvendigt</w:t>
      </w:r>
      <w:r w:rsidR="002C22D2" w:rsidRPr="00796736">
        <w:rPr>
          <w:rFonts w:ascii="Times New Roman" w:hAnsi="Times New Roman" w:cs="Times New Roman"/>
          <w:sz w:val="24"/>
          <w:szCs w:val="24"/>
        </w:rPr>
        <w:t>,</w:t>
      </w:r>
      <w:r w:rsidRPr="00796736">
        <w:rPr>
          <w:rFonts w:ascii="Times New Roman" w:hAnsi="Times New Roman" w:cs="Times New Roman"/>
          <w:sz w:val="24"/>
          <w:szCs w:val="24"/>
        </w:rPr>
        <w:t xml:space="preserve"> at ikkefinansielle holdingselskaber, hvor mindst ét datterselskab er en udbyder af spil, der har tilladelse til at udbyde spil i Danmark med blandet aktivitet, tilføjes til Spillemyndighedens tilsynspopulation og derved indskrives i hvidvaskloven. </w:t>
      </w:r>
    </w:p>
    <w:p w14:paraId="24FEEA6E" w14:textId="77777777" w:rsidR="000B1570" w:rsidRPr="00796736" w:rsidRDefault="000B1570" w:rsidP="00A802A5">
      <w:pPr>
        <w:spacing w:line="360" w:lineRule="auto"/>
        <w:rPr>
          <w:rFonts w:ascii="Times New Roman" w:eastAsia="Calibri" w:hAnsi="Times New Roman" w:cs="Times New Roman"/>
          <w:sz w:val="24"/>
          <w:szCs w:val="24"/>
        </w:rPr>
      </w:pPr>
    </w:p>
    <w:p w14:paraId="28D15086" w14:textId="5C2DD46C" w:rsidR="004877E0" w:rsidRPr="00796736" w:rsidRDefault="004877E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w:t>
      </w:r>
      <w:r w:rsidR="0018325B" w:rsidRPr="00796736">
        <w:rPr>
          <w:rFonts w:ascii="Times New Roman" w:eastAsia="Times New Roman" w:hAnsi="Times New Roman" w:cs="Times New Roman"/>
          <w:sz w:val="24"/>
          <w:szCs w:val="24"/>
        </w:rPr>
        <w:t>V</w:t>
      </w:r>
      <w:r w:rsidRPr="00796736">
        <w:rPr>
          <w:rFonts w:ascii="Times New Roman" w:eastAsia="Times New Roman" w:hAnsi="Times New Roman" w:cs="Times New Roman"/>
          <w:sz w:val="24"/>
          <w:szCs w:val="24"/>
        </w:rPr>
        <w:t>ækstministeriet vurderer</w:t>
      </w:r>
      <w:r w:rsidR="00257777" w:rsidRPr="00796736">
        <w:rPr>
          <w:rFonts w:ascii="Times New Roman" w:eastAsia="Times New Roman" w:hAnsi="Times New Roman" w:cs="Times New Roman"/>
          <w:sz w:val="24"/>
          <w:szCs w:val="24"/>
        </w:rPr>
        <w:t xml:space="preserve"> desuden</w:t>
      </w:r>
      <w:r w:rsidRPr="00796736">
        <w:rPr>
          <w:rFonts w:ascii="Times New Roman" w:eastAsia="Times New Roman" w:hAnsi="Times New Roman" w:cs="Times New Roman"/>
          <w:sz w:val="24"/>
          <w:szCs w:val="24"/>
        </w:rPr>
        <w:t>, at der er dele af 6. hvidvaskdirektiv, der skal implementeres i dansk ret. 6. hvidvaskdirektiv indeholder bl.a. krav til tilsynsmyndighedernes tilsynsforpligtelser, samarbejde og udveksling af oplysninger.</w:t>
      </w:r>
    </w:p>
    <w:p w14:paraId="010AE6C5" w14:textId="77777777" w:rsidR="004877E0" w:rsidRPr="00796736" w:rsidRDefault="004877E0" w:rsidP="00A802A5">
      <w:pPr>
        <w:spacing w:line="360" w:lineRule="auto"/>
        <w:rPr>
          <w:rFonts w:ascii="Times New Roman" w:eastAsia="Times New Roman" w:hAnsi="Times New Roman" w:cs="Times New Roman"/>
          <w:sz w:val="24"/>
          <w:szCs w:val="24"/>
        </w:rPr>
      </w:pPr>
    </w:p>
    <w:p w14:paraId="1A43CEFD" w14:textId="7697705A" w:rsidR="004877E0" w:rsidRPr="00796736" w:rsidRDefault="004877E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w:t>
      </w:r>
      <w:r w:rsidR="0018325B" w:rsidRPr="00796736">
        <w:rPr>
          <w:rFonts w:ascii="Times New Roman" w:eastAsia="Times New Roman" w:hAnsi="Times New Roman" w:cs="Times New Roman"/>
          <w:sz w:val="24"/>
          <w:szCs w:val="24"/>
        </w:rPr>
        <w:t>V</w:t>
      </w:r>
      <w:r w:rsidRPr="00796736">
        <w:rPr>
          <w:rFonts w:ascii="Times New Roman" w:eastAsia="Times New Roman" w:hAnsi="Times New Roman" w:cs="Times New Roman"/>
          <w:sz w:val="24"/>
          <w:szCs w:val="24"/>
        </w:rPr>
        <w:t xml:space="preserve">ækstministeriet vurderer, at der i 6. hvidvaskdirektiv ligeledes er en række myndighedsrettede bestemmelser. Der vil ikke ske implementering af disse bestemmelser via lovgivningsmæssige tiltag. Myndighedsrettede bestemmelser er således ikke normerende for borgeres og virksomheders retsstilling. Det </w:t>
      </w:r>
      <w:r w:rsidR="006A012C"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sige, at de ikke fastsætter forpligtelser og rettigheder mellem myndigheder og borger eller virksomhed. Sådanne bestemmelser implementeres derfor efter dansk retspraksis ikke ved lov eller bekendtgørelse. Der indføres i stedet administrative procedurer, som danske myndigheder er forpligtede til at overholde, typisk i form af forretningsgange.  </w:t>
      </w:r>
    </w:p>
    <w:p w14:paraId="747E4E57" w14:textId="77777777" w:rsidR="004877E0" w:rsidRPr="00796736" w:rsidRDefault="004877E0" w:rsidP="00A802A5">
      <w:pPr>
        <w:spacing w:line="360" w:lineRule="auto"/>
        <w:rPr>
          <w:rFonts w:ascii="Times New Roman" w:eastAsia="Times New Roman" w:hAnsi="Times New Roman" w:cs="Times New Roman"/>
          <w:sz w:val="24"/>
          <w:szCs w:val="24"/>
        </w:rPr>
      </w:pPr>
    </w:p>
    <w:p w14:paraId="2C9043F0" w14:textId="5895B568" w:rsidR="004877E0" w:rsidRPr="00796736" w:rsidRDefault="004877E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Idet de forpligtede enheder fremover fremgår af hvidvaskforordningen, er der ikke et nationalt behov for at implementere regler om, hvem der er forpligtede enheder i medfør af lovforslaget. Skatte- og </w:t>
      </w:r>
      <w:r w:rsidR="0018325B" w:rsidRPr="00796736">
        <w:rPr>
          <w:rFonts w:ascii="Times New Roman" w:eastAsia="Times New Roman" w:hAnsi="Times New Roman" w:cs="Times New Roman"/>
          <w:sz w:val="24"/>
          <w:szCs w:val="24"/>
        </w:rPr>
        <w:t>V</w:t>
      </w:r>
      <w:r w:rsidRPr="00796736">
        <w:rPr>
          <w:rFonts w:ascii="Times New Roman" w:eastAsia="Times New Roman" w:hAnsi="Times New Roman" w:cs="Times New Roman"/>
          <w:sz w:val="24"/>
          <w:szCs w:val="24"/>
        </w:rPr>
        <w:t xml:space="preserve">ækstministeriet finder det dog nødvendigt i dette tilfælde at henvise til hvidvaskforordningens artikel 3, så det er tydeligt, hvilke forpligtede enheder tilsynsmyndighederne i det foreslåede kapitel 2 skal føre tilsyn med. </w:t>
      </w:r>
    </w:p>
    <w:p w14:paraId="3A39B158" w14:textId="77777777" w:rsidR="00CD23C3" w:rsidRPr="00796736" w:rsidRDefault="00CD23C3" w:rsidP="00A802A5">
      <w:pPr>
        <w:spacing w:line="360" w:lineRule="auto"/>
        <w:rPr>
          <w:rFonts w:ascii="Times New Roman" w:eastAsia="Calibri" w:hAnsi="Times New Roman" w:cs="Times New Roman"/>
          <w:sz w:val="24"/>
          <w:szCs w:val="24"/>
        </w:rPr>
      </w:pPr>
    </w:p>
    <w:p w14:paraId="2D43C824" w14:textId="13521096"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desuden vigtigt, at kravene </w:t>
      </w:r>
      <w:r w:rsidR="006A012C" w:rsidRPr="00796736">
        <w:rPr>
          <w:rFonts w:ascii="Times New Roman" w:hAnsi="Times New Roman" w:cs="Times New Roman"/>
          <w:sz w:val="24"/>
          <w:szCs w:val="24"/>
        </w:rPr>
        <w:t>til</w:t>
      </w:r>
      <w:r w:rsidRPr="00796736">
        <w:rPr>
          <w:rFonts w:ascii="Times New Roman" w:hAnsi="Times New Roman" w:cs="Times New Roman"/>
          <w:sz w:val="24"/>
          <w:szCs w:val="24"/>
        </w:rPr>
        <w:t xml:space="preserve"> bekæmpelse af hvidvask af penge og finansiering af terrorisme finder anvendelse på en forholdsmæssig måde, og at indførelsen af eventuelle krav står i rimeligt forhold til den rolle, som forpligtede enheder kan spille i forbindelse med forebyggelse af hvidvask af penge og finansiering af terrorisme. I overensstemmelse med hvidvaskforordningens risikobaserede tilgang kan visse operatører efter</w:t>
      </w:r>
      <w:r w:rsidR="002C22D2" w:rsidRPr="00796736">
        <w:rPr>
          <w:rFonts w:ascii="Times New Roman" w:hAnsi="Times New Roman" w:cs="Times New Roman"/>
          <w:sz w:val="24"/>
          <w:szCs w:val="24"/>
        </w:rPr>
        <w:t xml:space="preserve"> </w:t>
      </w:r>
      <w:r w:rsidRPr="00796736">
        <w:rPr>
          <w:rFonts w:ascii="Times New Roman" w:hAnsi="Times New Roman" w:cs="Times New Roman"/>
          <w:sz w:val="24"/>
          <w:szCs w:val="24"/>
        </w:rPr>
        <w:t>forordningen</w:t>
      </w:r>
      <w:r w:rsidR="002C22D2" w:rsidRPr="00796736">
        <w:rPr>
          <w:rFonts w:ascii="Times New Roman" w:hAnsi="Times New Roman" w:cs="Times New Roman"/>
          <w:sz w:val="24"/>
          <w:szCs w:val="24"/>
        </w:rPr>
        <w:t>s artikel 6</w:t>
      </w:r>
      <w:r w:rsidRPr="00796736">
        <w:rPr>
          <w:rFonts w:ascii="Times New Roman" w:hAnsi="Times New Roman" w:cs="Times New Roman"/>
          <w:sz w:val="24"/>
          <w:szCs w:val="24"/>
        </w:rPr>
        <w:t xml:space="preserve"> undtages fra kravene for bekæmpelse af hvidvask af penge og finansiering af terrorisme, hvis de aktiviteter, som de udøver, indebærer begrænsede risici for hvidvask af penge og finansiering af terrorisme, og hvis aktiviteterne er af begrænset omfang. I overensstemmelse med hvidvaskforordningen er det 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vurdering, at der fortsat bør være mulighed for at undtage virksomheder og personer med begrænset finansiel aktivitet, hvor risikoen for hvidvask og finansiering af terrorisme </w:t>
      </w:r>
      <w:r w:rsidR="001A2696" w:rsidRPr="00796736">
        <w:rPr>
          <w:rFonts w:ascii="Times New Roman" w:hAnsi="Times New Roman" w:cs="Times New Roman"/>
          <w:sz w:val="24"/>
          <w:szCs w:val="24"/>
        </w:rPr>
        <w:t>vurderes at være</w:t>
      </w:r>
      <w:r w:rsidRPr="00796736">
        <w:rPr>
          <w:rFonts w:ascii="Times New Roman" w:hAnsi="Times New Roman" w:cs="Times New Roman"/>
          <w:sz w:val="24"/>
          <w:szCs w:val="24"/>
        </w:rPr>
        <w:t xml:space="preserve"> begrænset.</w:t>
      </w:r>
    </w:p>
    <w:p w14:paraId="6A9517BF" w14:textId="77777777" w:rsidR="00CD23C3" w:rsidRPr="00796736" w:rsidRDefault="00CD23C3" w:rsidP="00A802A5">
      <w:pPr>
        <w:spacing w:line="360" w:lineRule="auto"/>
        <w:rPr>
          <w:rFonts w:ascii="Times New Roman" w:eastAsia="Calibri" w:hAnsi="Times New Roman" w:cs="Times New Roman"/>
          <w:sz w:val="24"/>
          <w:szCs w:val="24"/>
        </w:rPr>
      </w:pPr>
    </w:p>
    <w:p w14:paraId="56E4A0A3" w14:textId="5D7E48D2" w:rsidR="00257777" w:rsidRPr="00796736" w:rsidRDefault="00A558DC"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sz w:val="24"/>
          <w:szCs w:val="24"/>
        </w:rPr>
        <w:t xml:space="preserve">Det foreslås, at loven </w:t>
      </w:r>
      <w:r w:rsidRPr="00796736">
        <w:rPr>
          <w:rFonts w:ascii="Times New Roman" w:eastAsia="Times New Roman" w:hAnsi="Times New Roman" w:cs="Times New Roman"/>
          <w:sz w:val="24"/>
          <w:szCs w:val="24"/>
          <w:lang w:eastAsia="da-DK"/>
        </w:rPr>
        <w:t>finder anvendelse på virksomheder og personer</w:t>
      </w:r>
      <w:r w:rsidR="001044D9" w:rsidRPr="00796736">
        <w:rPr>
          <w:rFonts w:ascii="Times New Roman" w:eastAsia="Times New Roman" w:hAnsi="Times New Roman" w:cs="Times New Roman"/>
          <w:sz w:val="24"/>
          <w:szCs w:val="24"/>
          <w:lang w:eastAsia="da-DK"/>
        </w:rPr>
        <w:t xml:space="preserve"> her i landet</w:t>
      </w:r>
      <w:r w:rsidRPr="00796736">
        <w:rPr>
          <w:rFonts w:ascii="Times New Roman" w:eastAsia="Times New Roman" w:hAnsi="Times New Roman" w:cs="Times New Roman"/>
          <w:sz w:val="24"/>
          <w:szCs w:val="24"/>
          <w:lang w:eastAsia="da-DK"/>
        </w:rPr>
        <w:t xml:space="preserve">, der er omfattet af </w:t>
      </w:r>
      <w:r w:rsidR="001044D9" w:rsidRPr="00796736">
        <w:rPr>
          <w:rFonts w:ascii="Times New Roman" w:eastAsia="Times New Roman" w:hAnsi="Times New Roman" w:cs="Times New Roman"/>
          <w:sz w:val="24"/>
          <w:szCs w:val="24"/>
          <w:lang w:eastAsia="da-DK"/>
        </w:rPr>
        <w:t>hvidvaskforordningen</w:t>
      </w:r>
      <w:r w:rsidR="002C22D2" w:rsidRPr="00796736">
        <w:rPr>
          <w:rFonts w:ascii="Times New Roman" w:eastAsia="Times New Roman" w:hAnsi="Times New Roman" w:cs="Times New Roman"/>
          <w:sz w:val="24"/>
          <w:szCs w:val="24"/>
          <w:lang w:eastAsia="da-DK"/>
        </w:rPr>
        <w:t>s artikel 3</w:t>
      </w:r>
      <w:r w:rsidR="001044D9" w:rsidRPr="00796736">
        <w:rPr>
          <w:rFonts w:ascii="Times New Roman" w:eastAsia="Times New Roman" w:hAnsi="Times New Roman" w:cs="Times New Roman"/>
          <w:sz w:val="24"/>
          <w:szCs w:val="24"/>
          <w:lang w:eastAsia="da-DK"/>
        </w:rPr>
        <w:t>.</w:t>
      </w:r>
    </w:p>
    <w:p w14:paraId="18A149CB" w14:textId="77777777" w:rsidR="00A558DC" w:rsidRPr="00796736" w:rsidRDefault="00A558DC"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at loven endvidere finder anvendelse på virksomheder og personer, der udbyder leasingaftaler af motorkøretøjer som defineret i § 2, nr. 1, i lov om visse leasingvirksomheder. Loven omfatter desuden operatører af et reguleret marked, der har fået tilladelse her i landet til at være auktionsplatform i henhold til Kommissionens delegerede forordning (EU) 2023/2830 af 17. oktober 2023 om det tidsmæssige og administrative forløb af auktioner over kvoter for drivhusgasemissioner og andre aspekter i forbindelse med sådanne auktioner i medfør af Europa-Parlamentets og Rådets direktiv 2003/87/EF om en ordning for handel med kvoter for drivhusgasemissioner i Fællesskabet. Endelig omfatter loven aktører, som har tilladelse til at byde direkte på auktioner, der er omfattet af Kommissionens delegerede forordning (EU) 2023/2830 af 17. oktober 2023, og som ikke allerede er omfattet efter de nævnte bestemmelser. </w:t>
      </w:r>
    </w:p>
    <w:p w14:paraId="303672F1" w14:textId="0527D658" w:rsidR="001044D9" w:rsidRPr="00796736" w:rsidRDefault="001044D9"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Desuden foreslås det, at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_Ref232593034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finder anvendelse på virksomheder og personer, der som led i deres virksomhed deltager i håndtering og udlevering af pengesedler og mønter. Dette omfatter blandt andet virksomheder og personer, hvis aktivitet består i at veksle pengesedler og mønter i forskellige valutaer. </w:t>
      </w:r>
    </w:p>
    <w:p w14:paraId="2078AD71" w14:textId="6C736D74" w:rsidR="001044D9" w:rsidRPr="00796736" w:rsidRDefault="001044D9"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herudover, at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_Ref232595404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finder anvendelse på alle juridiske og fysiske personer her i landet. </w:t>
      </w:r>
    </w:p>
    <w:p w14:paraId="534C9060" w14:textId="24204650" w:rsidR="001044D9" w:rsidRPr="00796736" w:rsidRDefault="001044D9"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endvidere, at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_Ref232596358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35</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finder anvendelse på danske virksomheders udenlandske filialer, således at disse filialer er omfattet af de relevante forpligtelser efter loven. </w:t>
      </w:r>
    </w:p>
    <w:p w14:paraId="41D10BF5" w14:textId="0B82E02D" w:rsidR="00CD23C3" w:rsidRPr="00796736" w:rsidRDefault="00CD23C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desuden, at </w:t>
      </w:r>
      <w:r w:rsidR="00C40390" w:rsidRPr="00796736">
        <w:rPr>
          <w:rFonts w:ascii="Times New Roman" w:eastAsia="Calibri" w:hAnsi="Times New Roman" w:cs="Times New Roman"/>
          <w:sz w:val="24"/>
          <w:szCs w:val="24"/>
        </w:rPr>
        <w:fldChar w:fldCharType="begin"/>
      </w:r>
      <w:r w:rsidR="00C40390" w:rsidRPr="00796736">
        <w:rPr>
          <w:rFonts w:ascii="Times New Roman" w:eastAsia="Calibri" w:hAnsi="Times New Roman" w:cs="Times New Roman"/>
          <w:sz w:val="24"/>
          <w:szCs w:val="24"/>
        </w:rPr>
        <w:instrText xml:space="preserve"> REF _Ref232597060 \r \h </w:instrText>
      </w:r>
      <w:r w:rsidR="00967618" w:rsidRPr="00796736">
        <w:rPr>
          <w:rFonts w:ascii="Times New Roman" w:eastAsia="Calibri" w:hAnsi="Times New Roman" w:cs="Times New Roman"/>
          <w:sz w:val="24"/>
          <w:szCs w:val="24"/>
        </w:rPr>
        <w:instrText xml:space="preserve"> \* MERGEFORMAT </w:instrText>
      </w:r>
      <w:r w:rsidR="00C40390" w:rsidRPr="00796736">
        <w:rPr>
          <w:rFonts w:ascii="Times New Roman" w:eastAsia="Calibri" w:hAnsi="Times New Roman" w:cs="Times New Roman"/>
          <w:sz w:val="24"/>
          <w:szCs w:val="24"/>
        </w:rPr>
      </w:r>
      <w:r w:rsidR="00C40390"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55</w:t>
      </w:r>
      <w:r w:rsidR="00C40390" w:rsidRPr="00796736">
        <w:rPr>
          <w:rFonts w:ascii="Times New Roman" w:eastAsia="Calibri" w:hAnsi="Times New Roman" w:cs="Times New Roman"/>
          <w:sz w:val="24"/>
          <w:szCs w:val="24"/>
        </w:rPr>
        <w:fldChar w:fldCharType="end"/>
      </w:r>
      <w:r w:rsidR="00C40390"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finder anvendelse for skadeforsikringsselskaber, livsforsikringsselskaber og tværgående pensionskasser samt filialer her i landet af tilsvarende udenlandske virksomheder. </w:t>
      </w:r>
    </w:p>
    <w:p w14:paraId="5CD29B0F" w14:textId="2FC02B47" w:rsidR="00CD23C3" w:rsidRPr="00796736" w:rsidRDefault="00CD23C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Finanstilsynet tillægges bemyndigelse til at undtage virksomheder og personer med begrænset finansiel aktivitet i overensstemmelse med gældende ret og hvidvaskforordningen.</w:t>
      </w:r>
    </w:p>
    <w:p w14:paraId="50926E5B" w14:textId="06EDA08A" w:rsidR="004877E0" w:rsidRPr="00796736" w:rsidRDefault="00CD23C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skatte- og vækstministeren bemyndiges til på baggrund af en risikovurdering at fastsætte regler om, at hele eller dele af </w:t>
      </w:r>
      <w:r w:rsidR="001044D9"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kan finde anvendelse på virksomheder og personer, som ikke er omfattet af lovens </w:t>
      </w:r>
      <w:r w:rsidR="002B7805" w:rsidRPr="00796736">
        <w:rPr>
          <w:rFonts w:ascii="Times New Roman" w:eastAsia="Calibri" w:hAnsi="Times New Roman" w:cs="Times New Roman"/>
          <w:sz w:val="24"/>
          <w:szCs w:val="24"/>
        </w:rPr>
        <w:fldChar w:fldCharType="begin"/>
      </w:r>
      <w:r w:rsidR="002B7805" w:rsidRPr="00796736">
        <w:rPr>
          <w:rFonts w:ascii="Times New Roman" w:eastAsia="Calibri" w:hAnsi="Times New Roman" w:cs="Times New Roman"/>
          <w:sz w:val="24"/>
          <w:szCs w:val="24"/>
        </w:rPr>
        <w:instrText xml:space="preserve"> REF _Ref232583170 \r \h </w:instrText>
      </w:r>
      <w:r w:rsidR="00967618" w:rsidRPr="00796736">
        <w:rPr>
          <w:rFonts w:ascii="Times New Roman" w:eastAsia="Calibri" w:hAnsi="Times New Roman" w:cs="Times New Roman"/>
          <w:sz w:val="24"/>
          <w:szCs w:val="24"/>
        </w:rPr>
        <w:instrText xml:space="preserve"> \* MERGEFORMAT </w:instrText>
      </w:r>
      <w:r w:rsidR="002B7805" w:rsidRPr="00796736">
        <w:rPr>
          <w:rFonts w:ascii="Times New Roman" w:eastAsia="Calibri" w:hAnsi="Times New Roman" w:cs="Times New Roman"/>
          <w:sz w:val="24"/>
          <w:szCs w:val="24"/>
        </w:rPr>
      </w:r>
      <w:r w:rsidR="002B780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w:t>
      </w:r>
      <w:r w:rsidR="002B7805" w:rsidRPr="00796736">
        <w:rPr>
          <w:rFonts w:ascii="Times New Roman" w:eastAsia="Calibri" w:hAnsi="Times New Roman" w:cs="Times New Roman"/>
          <w:sz w:val="24"/>
          <w:szCs w:val="24"/>
        </w:rPr>
        <w:fldChar w:fldCharType="end"/>
      </w:r>
      <w:r w:rsidR="002B7805" w:rsidRPr="00796736">
        <w:rPr>
          <w:rFonts w:ascii="Times New Roman" w:eastAsia="Calibri" w:hAnsi="Times New Roman" w:cs="Times New Roman"/>
          <w:sz w:val="24"/>
          <w:szCs w:val="24"/>
        </w:rPr>
        <w:t xml:space="preserve">, stk. 2, eller </w:t>
      </w:r>
      <w:r w:rsidR="002B7805" w:rsidRPr="00796736">
        <w:rPr>
          <w:rFonts w:ascii="Times New Roman" w:eastAsia="Calibri" w:hAnsi="Times New Roman" w:cs="Times New Roman"/>
          <w:sz w:val="24"/>
          <w:szCs w:val="24"/>
        </w:rPr>
        <w:fldChar w:fldCharType="begin"/>
      </w:r>
      <w:r w:rsidR="002B7805" w:rsidRPr="00796736">
        <w:rPr>
          <w:rFonts w:ascii="Times New Roman" w:eastAsia="Calibri" w:hAnsi="Times New Roman" w:cs="Times New Roman"/>
          <w:sz w:val="24"/>
          <w:szCs w:val="24"/>
        </w:rPr>
        <w:instrText xml:space="preserve"> REF _Ref232592818 \r \h </w:instrText>
      </w:r>
      <w:r w:rsidR="00967618" w:rsidRPr="00796736">
        <w:rPr>
          <w:rFonts w:ascii="Times New Roman" w:eastAsia="Calibri" w:hAnsi="Times New Roman" w:cs="Times New Roman"/>
          <w:sz w:val="24"/>
          <w:szCs w:val="24"/>
        </w:rPr>
        <w:instrText xml:space="preserve"> \* MERGEFORMAT </w:instrText>
      </w:r>
      <w:r w:rsidR="002B7805" w:rsidRPr="00796736">
        <w:rPr>
          <w:rFonts w:ascii="Times New Roman" w:eastAsia="Calibri" w:hAnsi="Times New Roman" w:cs="Times New Roman"/>
          <w:sz w:val="24"/>
          <w:szCs w:val="24"/>
        </w:rPr>
      </w:r>
      <w:r w:rsidR="002B780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2B7805"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Bemyndigelsen kan anvendes, når det vurderes nødvendigt for at forebygge hvidvask og terrorfinansiering. </w:t>
      </w:r>
    </w:p>
    <w:p w14:paraId="459BBBCB" w14:textId="77777777"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Hvidvaskforordningen fastsætter forpligtelser over for de forpligtede enheder. Regler i den gældende hvidvasklov, der vedrører de forpligtede enheder, skal således som udgangspunkt ikke videreføres med dette lovforslag. En undtagelse er i de tilfælde, hvor der er overladt den danske stat et nationalt råderum, og hvor skatte- og vækstministeren derfor kan fastsætte nationale regler, som forpligter de forpligtede enheder. </w:t>
      </w:r>
    </w:p>
    <w:p w14:paraId="51335746" w14:textId="77777777" w:rsidR="006A012C" w:rsidRPr="00796736" w:rsidRDefault="006A012C" w:rsidP="00A802A5">
      <w:pPr>
        <w:spacing w:line="360" w:lineRule="auto"/>
        <w:rPr>
          <w:rFonts w:ascii="Times New Roman" w:eastAsia="Times New Roman" w:hAnsi="Times New Roman" w:cs="Times New Roman"/>
          <w:sz w:val="24"/>
          <w:szCs w:val="24"/>
        </w:rPr>
      </w:pPr>
    </w:p>
    <w:p w14:paraId="65551F10" w14:textId="5385DB1A"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Vækstministeriet vurderer, at hvidvaskforordningens artikel 4 om undtagelser for visse udbydere af spil bør implementeres i dansk ret, og det nationale råderum ønskes derfor udnyttet. </w:t>
      </w:r>
    </w:p>
    <w:p w14:paraId="0D959157" w14:textId="77777777" w:rsidR="006A012C" w:rsidRPr="00796736" w:rsidRDefault="006A012C" w:rsidP="00A802A5">
      <w:pPr>
        <w:spacing w:line="360" w:lineRule="auto"/>
        <w:rPr>
          <w:rFonts w:ascii="Times New Roman" w:eastAsia="Times New Roman" w:hAnsi="Times New Roman" w:cs="Times New Roman"/>
          <w:sz w:val="24"/>
          <w:szCs w:val="24"/>
        </w:rPr>
      </w:pPr>
    </w:p>
    <w:p w14:paraId="19DC5AE4" w14:textId="558B15AE" w:rsidR="004877E0" w:rsidRPr="00796736" w:rsidRDefault="006A012C"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sz w:val="24"/>
          <w:szCs w:val="24"/>
        </w:rPr>
        <w:t xml:space="preserve">Det fremgår af hvidvaskforordningens artikel 4, stk. 1, 1. afsnit, at medlemsstaterne kan undtage visse udbydere af spiltjenester helt eller delvist fra kravene fastsat i hvidvaskforordningen. </w:t>
      </w:r>
      <w:r w:rsidR="004877E0" w:rsidRPr="00796736">
        <w:rPr>
          <w:rFonts w:ascii="Times New Roman" w:eastAsia="Times New Roman" w:hAnsi="Times New Roman" w:cs="Times New Roman"/>
          <w:color w:val="000000" w:themeColor="text1"/>
          <w:sz w:val="24"/>
          <w:szCs w:val="24"/>
        </w:rPr>
        <w:t xml:space="preserve">Det foreslås at udmønte hvidvaskforordningens artikel 4, stk. 1, 1. afsnit, så </w:t>
      </w:r>
      <w:r w:rsidR="004877E0" w:rsidRPr="00796736">
        <w:rPr>
          <w:rFonts w:ascii="Times New Roman" w:eastAsia="Calibri" w:hAnsi="Times New Roman" w:cs="Times New Roman"/>
          <w:sz w:val="24"/>
          <w:szCs w:val="24"/>
        </w:rPr>
        <w:t xml:space="preserve">skatte- og vækstministeren </w:t>
      </w:r>
      <w:r w:rsidR="004877E0" w:rsidRPr="00796736">
        <w:rPr>
          <w:rFonts w:ascii="Times New Roman" w:eastAsia="Times New Roman" w:hAnsi="Times New Roman" w:cs="Times New Roman"/>
          <w:color w:val="000000" w:themeColor="text1"/>
          <w:sz w:val="24"/>
          <w:szCs w:val="24"/>
        </w:rPr>
        <w:t xml:space="preserve">kan fastsætte nærmere regler om, at hvidvaskforordningen og denne lov helt eller delvist ikke finder anvendelse for udbydere af spil, der udbyder spil på et område, der har en dokumenteret lav risiko for hvidvask og finansiering af terrorisme. Det </w:t>
      </w:r>
      <w:r w:rsidR="002C22D2" w:rsidRPr="00796736">
        <w:rPr>
          <w:rFonts w:ascii="Times New Roman" w:eastAsia="Times New Roman" w:hAnsi="Times New Roman" w:cs="Times New Roman"/>
          <w:color w:val="000000" w:themeColor="text1"/>
          <w:sz w:val="24"/>
          <w:szCs w:val="24"/>
        </w:rPr>
        <w:t xml:space="preserve">vil </w:t>
      </w:r>
      <w:r w:rsidR="004877E0" w:rsidRPr="00796736">
        <w:rPr>
          <w:rFonts w:ascii="Times New Roman" w:eastAsia="Times New Roman" w:hAnsi="Times New Roman" w:cs="Times New Roman"/>
          <w:color w:val="000000" w:themeColor="text1"/>
          <w:sz w:val="24"/>
          <w:szCs w:val="24"/>
        </w:rPr>
        <w:t xml:space="preserve">betyde, at udbydere af spil helt eller delvist </w:t>
      </w:r>
      <w:r w:rsidR="00491587" w:rsidRPr="00796736">
        <w:rPr>
          <w:rFonts w:ascii="Times New Roman" w:eastAsia="Times New Roman" w:hAnsi="Times New Roman" w:cs="Times New Roman"/>
          <w:color w:val="000000" w:themeColor="text1"/>
          <w:sz w:val="24"/>
          <w:szCs w:val="24"/>
        </w:rPr>
        <w:t xml:space="preserve">kan </w:t>
      </w:r>
      <w:r w:rsidR="004877E0" w:rsidRPr="00796736">
        <w:rPr>
          <w:rFonts w:ascii="Times New Roman" w:eastAsia="Times New Roman" w:hAnsi="Times New Roman" w:cs="Times New Roman"/>
          <w:color w:val="000000" w:themeColor="text1"/>
          <w:sz w:val="24"/>
          <w:szCs w:val="24"/>
        </w:rPr>
        <w:t>undtages i det omfang, at selve spilområdet udgør en dokumenteret lav risiko for hvidvask og finansiering af terrorisme.</w:t>
      </w:r>
    </w:p>
    <w:p w14:paraId="3597AF8D" w14:textId="77777777" w:rsidR="004877E0" w:rsidRPr="00796736" w:rsidRDefault="004877E0" w:rsidP="00A802A5">
      <w:pPr>
        <w:spacing w:line="360" w:lineRule="auto"/>
        <w:rPr>
          <w:rFonts w:ascii="Times New Roman" w:eastAsia="Times New Roman" w:hAnsi="Times New Roman" w:cs="Times New Roman"/>
          <w:color w:val="000000" w:themeColor="text1"/>
          <w:sz w:val="24"/>
          <w:szCs w:val="24"/>
        </w:rPr>
      </w:pPr>
    </w:p>
    <w:p w14:paraId="17367C15" w14:textId="77777777" w:rsidR="004877E0" w:rsidRPr="00796736" w:rsidRDefault="004877E0"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fremgår af hvidvaskforordningens artikel 4, stk. 1, 2. afsnit, at kasinoer og </w:t>
      </w:r>
      <w:r w:rsidRPr="00796736">
        <w:rPr>
          <w:rFonts w:ascii="Times New Roman" w:eastAsia="Times New Roman" w:hAnsi="Times New Roman" w:cs="Times New Roman"/>
          <w:sz w:val="24"/>
          <w:szCs w:val="24"/>
        </w:rPr>
        <w:t>udbydere af spiltjenester, hvis hovedaktivitet er at udbyde onlinespiltjenester eller sportsvæddemålstjenester, som ikke er onlinespil, der drives af staten, enten gennem en offentlig myndighed eller en virksomhed eller et organ, som kontrolleres af staten og onlinespil, hvis organisation, drift og administration reguleres af staten</w:t>
      </w:r>
      <w:r w:rsidRPr="00796736">
        <w:rPr>
          <w:rFonts w:ascii="Times New Roman" w:eastAsia="Times New Roman" w:hAnsi="Times New Roman" w:cs="Times New Roman"/>
          <w:color w:val="000000" w:themeColor="text1"/>
          <w:sz w:val="24"/>
          <w:szCs w:val="24"/>
        </w:rPr>
        <w:t xml:space="preserve">, ikke kan undtages. </w:t>
      </w:r>
    </w:p>
    <w:p w14:paraId="2042EC86" w14:textId="77777777" w:rsidR="004877E0" w:rsidRPr="00796736" w:rsidRDefault="004877E0" w:rsidP="00A802A5">
      <w:pPr>
        <w:spacing w:line="360" w:lineRule="auto"/>
        <w:rPr>
          <w:rFonts w:ascii="Times New Roman" w:eastAsia="Times New Roman" w:hAnsi="Times New Roman" w:cs="Times New Roman"/>
          <w:color w:val="000000" w:themeColor="text1"/>
          <w:sz w:val="24"/>
          <w:szCs w:val="24"/>
        </w:rPr>
      </w:pPr>
    </w:p>
    <w:p w14:paraId="4278A1AD" w14:textId="009F318A" w:rsidR="004877E0" w:rsidRPr="00796736" w:rsidRDefault="002C22D2"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at o</w:t>
      </w:r>
      <w:r w:rsidR="004877E0" w:rsidRPr="00796736">
        <w:rPr>
          <w:rFonts w:ascii="Times New Roman" w:eastAsia="Times New Roman" w:hAnsi="Times New Roman" w:cs="Times New Roman"/>
          <w:color w:val="000000" w:themeColor="text1"/>
          <w:sz w:val="24"/>
          <w:szCs w:val="24"/>
        </w:rPr>
        <w:t xml:space="preserve">nlinespil skal forstås i overensstemmelse med definitionen i lov om spil, hvorefter onlinespil er spil, der indgås mellem en spiller og en spiludbyder ved brug af fjernkommunikation. </w:t>
      </w:r>
    </w:p>
    <w:p w14:paraId="28DF5140" w14:textId="77777777" w:rsidR="004877E0" w:rsidRPr="00796736" w:rsidRDefault="004877E0" w:rsidP="00A802A5">
      <w:pPr>
        <w:spacing w:line="360" w:lineRule="auto"/>
        <w:rPr>
          <w:rFonts w:ascii="Times New Roman" w:eastAsia="Times New Roman" w:hAnsi="Times New Roman" w:cs="Times New Roman"/>
          <w:color w:val="000000" w:themeColor="text1"/>
          <w:sz w:val="24"/>
          <w:szCs w:val="24"/>
        </w:rPr>
      </w:pPr>
    </w:p>
    <w:p w14:paraId="080F4737" w14:textId="1A49211F"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Det foreslås at udmønte hvidvaskforordningens artikel 4, stk. 1, 2. afsnit. Udmøntningen af bestemmelsen</w:t>
      </w:r>
      <w:r w:rsidR="002C22D2" w:rsidRPr="00796736">
        <w:rPr>
          <w:rFonts w:ascii="Times New Roman" w:eastAsia="Times New Roman" w:hAnsi="Times New Roman" w:cs="Times New Roman"/>
          <w:color w:val="000000" w:themeColor="text1"/>
          <w:sz w:val="24"/>
          <w:szCs w:val="24"/>
        </w:rPr>
        <w:t xml:space="preserve"> vil fremover</w:t>
      </w:r>
      <w:r w:rsidRPr="00796736">
        <w:rPr>
          <w:rFonts w:ascii="Times New Roman" w:eastAsia="Times New Roman" w:hAnsi="Times New Roman" w:cs="Times New Roman"/>
          <w:color w:val="000000" w:themeColor="text1"/>
          <w:sz w:val="24"/>
          <w:szCs w:val="24"/>
        </w:rPr>
        <w:t xml:space="preserve"> indskrænke området for, hvilke udbydere af spil der kan enten helt eller delvist undtages fra de krav, der følger af hvidvaskforordningen og denne lov. </w:t>
      </w:r>
      <w:r w:rsidRPr="00796736">
        <w:rPr>
          <w:rFonts w:ascii="Times New Roman" w:eastAsia="Times New Roman" w:hAnsi="Times New Roman" w:cs="Times New Roman"/>
          <w:sz w:val="24"/>
          <w:szCs w:val="24"/>
        </w:rPr>
        <w:t xml:space="preserve">For så vidt angår et statsligt udbud af lotteri, der udbydes online, </w:t>
      </w:r>
      <w:r w:rsidR="002C22D2"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dette dog helt eller delvist</w:t>
      </w:r>
      <w:r w:rsidR="002C22D2"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undtages, hvis der er en dokumenteret lav risiko for hvidvask og finansiering af terrorisme.</w:t>
      </w:r>
    </w:p>
    <w:p w14:paraId="4D2BABAC" w14:textId="77777777" w:rsidR="006A012C" w:rsidRPr="00796736" w:rsidRDefault="006A012C" w:rsidP="00A802A5">
      <w:pPr>
        <w:spacing w:line="360" w:lineRule="auto"/>
        <w:rPr>
          <w:rFonts w:ascii="Times New Roman" w:eastAsia="Times New Roman" w:hAnsi="Times New Roman" w:cs="Times New Roman"/>
          <w:sz w:val="24"/>
          <w:szCs w:val="24"/>
        </w:rPr>
      </w:pPr>
    </w:p>
    <w:p w14:paraId="1F65C326" w14:textId="001B92FF" w:rsidR="006A012C"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For nærmere om udmøntningen af artikel 4 henvises </w:t>
      </w:r>
      <w:r w:rsidR="002C22D2" w:rsidRPr="00796736">
        <w:rPr>
          <w:rFonts w:ascii="Times New Roman" w:eastAsia="Times New Roman" w:hAnsi="Times New Roman" w:cs="Times New Roman"/>
          <w:sz w:val="24"/>
          <w:szCs w:val="24"/>
        </w:rPr>
        <w:t xml:space="preserve">til </w:t>
      </w:r>
      <w:r w:rsidRPr="00796736">
        <w:rPr>
          <w:rFonts w:ascii="Times New Roman" w:eastAsia="Times New Roman" w:hAnsi="Times New Roman" w:cs="Times New Roman"/>
          <w:sz w:val="24"/>
          <w:szCs w:val="24"/>
        </w:rPr>
        <w:t xml:space="preserve">lovforslagets § 1, stk. 9 og 10, og bemærkningerne hertil. </w:t>
      </w:r>
    </w:p>
    <w:p w14:paraId="58EFBDBC" w14:textId="77777777" w:rsidR="00335B3E" w:rsidRDefault="00335B3E" w:rsidP="00335B3E">
      <w:pPr>
        <w:spacing w:line="360" w:lineRule="auto"/>
        <w:rPr>
          <w:rFonts w:ascii="Times New Roman" w:eastAsia="Times New Roman" w:hAnsi="Times New Roman" w:cs="Times New Roman"/>
          <w:sz w:val="24"/>
          <w:szCs w:val="24"/>
        </w:rPr>
      </w:pPr>
    </w:p>
    <w:p w14:paraId="66DDD529" w14:textId="67EDC198" w:rsidR="00335B3E" w:rsidRPr="00796736" w:rsidRDefault="00335B3E" w:rsidP="00335B3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Endelig bemærkes, at idet såvel ”hvidvask af penge” som ”finansiering af terrorisme” er defineret i hvidvaskforordningen, vil der ikke i den foreslåede lov indgå definitioner heraf. For at tilpasse sprogbrugen til danske forhold vil begreberne ”hvidvask” og ”terrorfinansiering” blive anvendt om de i hvidvaskforordningen definerede begreber, som i en dansk sammenhæng endvidere vil skulle forstås i overensstemmelse med straffelovens §§ 290, 290 a og 114 b, for så vidt angår handlinger omfattet af straffelovens § 114.</w:t>
      </w:r>
    </w:p>
    <w:p w14:paraId="1002E28D" w14:textId="77777777" w:rsidR="004877E0" w:rsidRPr="00796736" w:rsidRDefault="004877E0" w:rsidP="00A802A5">
      <w:pPr>
        <w:spacing w:line="360" w:lineRule="auto"/>
        <w:rPr>
          <w:rFonts w:ascii="Times New Roman" w:eastAsia="Times New Roman" w:hAnsi="Times New Roman" w:cs="Times New Roman"/>
          <w:sz w:val="24"/>
          <w:szCs w:val="24"/>
        </w:rPr>
      </w:pPr>
    </w:p>
    <w:p w14:paraId="70191794" w14:textId="2C9ED55A" w:rsidR="005F7E66" w:rsidRPr="00796736" w:rsidRDefault="00CD23C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henvises til lovforslagets </w:t>
      </w:r>
      <w:r w:rsidR="002B7805" w:rsidRPr="00796736">
        <w:rPr>
          <w:rFonts w:ascii="Times New Roman" w:hAnsi="Times New Roman" w:cs="Times New Roman"/>
          <w:sz w:val="24"/>
          <w:szCs w:val="24"/>
        </w:rPr>
        <w:fldChar w:fldCharType="begin"/>
      </w:r>
      <w:r w:rsidR="002B7805" w:rsidRPr="00796736">
        <w:rPr>
          <w:rFonts w:ascii="Times New Roman" w:hAnsi="Times New Roman" w:cs="Times New Roman"/>
          <w:sz w:val="24"/>
          <w:szCs w:val="24"/>
        </w:rPr>
        <w:instrText xml:space="preserve"> REF _Ref232583170 \r \h </w:instrText>
      </w:r>
      <w:r w:rsidR="00967618" w:rsidRPr="00796736">
        <w:rPr>
          <w:rFonts w:ascii="Times New Roman" w:hAnsi="Times New Roman" w:cs="Times New Roman"/>
          <w:sz w:val="24"/>
          <w:szCs w:val="24"/>
        </w:rPr>
        <w:instrText xml:space="preserve"> \* MERGEFORMAT </w:instrText>
      </w:r>
      <w:r w:rsidR="002B7805" w:rsidRPr="00796736">
        <w:rPr>
          <w:rFonts w:ascii="Times New Roman" w:hAnsi="Times New Roman" w:cs="Times New Roman"/>
          <w:sz w:val="24"/>
          <w:szCs w:val="24"/>
        </w:rPr>
      </w:r>
      <w:r w:rsidR="002B780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002B7805" w:rsidRPr="00796736">
        <w:rPr>
          <w:rFonts w:ascii="Times New Roman" w:hAnsi="Times New Roman" w:cs="Times New Roman"/>
          <w:sz w:val="24"/>
          <w:szCs w:val="24"/>
        </w:rPr>
        <w:fldChar w:fldCharType="end"/>
      </w:r>
      <w:r w:rsidR="002B7805"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61586F38" w14:textId="39781BB4" w:rsidR="00C85E2A" w:rsidRPr="00796736" w:rsidRDefault="00327040" w:rsidP="00A802A5">
      <w:pPr>
        <w:pStyle w:val="Overskrift2"/>
        <w:rPr>
          <w:rFonts w:ascii="Times New Roman" w:hAnsi="Times New Roman"/>
          <w:sz w:val="24"/>
        </w:rPr>
      </w:pPr>
      <w:bookmarkStart w:id="828" w:name="_Toc229739615"/>
      <w:bookmarkStart w:id="829" w:name="_Toc232109004"/>
      <w:bookmarkStart w:id="830" w:name="_Ref232942509"/>
      <w:bookmarkStart w:id="831" w:name="_Toc244880719"/>
      <w:r w:rsidRPr="00796736">
        <w:rPr>
          <w:rFonts w:ascii="Times New Roman" w:hAnsi="Times New Roman"/>
          <w:sz w:val="24"/>
        </w:rPr>
        <w:t>Definition</w:t>
      </w:r>
      <w:bookmarkEnd w:id="828"/>
      <w:r w:rsidR="004877E0" w:rsidRPr="00796736">
        <w:rPr>
          <w:rFonts w:ascii="Times New Roman" w:hAnsi="Times New Roman"/>
          <w:sz w:val="24"/>
        </w:rPr>
        <w:t>sbestemmelse vedrørende de forpligtede enheder</w:t>
      </w:r>
      <w:bookmarkEnd w:id="829"/>
      <w:bookmarkEnd w:id="830"/>
      <w:bookmarkEnd w:id="831"/>
    </w:p>
    <w:p w14:paraId="13219CA6" w14:textId="4F72F035" w:rsidR="00C85E2A" w:rsidRPr="00796736" w:rsidRDefault="00C85E2A" w:rsidP="00A802A5">
      <w:pPr>
        <w:pStyle w:val="Overskrift4"/>
        <w:rPr>
          <w:rFonts w:ascii="Times New Roman" w:hAnsi="Times New Roman" w:cs="Times New Roman"/>
          <w:sz w:val="24"/>
          <w:szCs w:val="24"/>
        </w:rPr>
      </w:pPr>
      <w:bookmarkStart w:id="832" w:name="_Toc229739616"/>
      <w:bookmarkStart w:id="833" w:name="_Toc232109005"/>
      <w:r w:rsidRPr="00796736">
        <w:rPr>
          <w:rFonts w:ascii="Times New Roman" w:hAnsi="Times New Roman" w:cs="Times New Roman"/>
          <w:sz w:val="24"/>
          <w:szCs w:val="24"/>
        </w:rPr>
        <w:t>Gældende ret</w:t>
      </w:r>
      <w:bookmarkEnd w:id="832"/>
      <w:bookmarkEnd w:id="833"/>
    </w:p>
    <w:p w14:paraId="138AEA10" w14:textId="4124C60E" w:rsidR="004877E0" w:rsidRPr="00796736" w:rsidRDefault="002C22D2"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H</w:t>
      </w:r>
      <w:r w:rsidR="004877E0" w:rsidRPr="00796736">
        <w:rPr>
          <w:rFonts w:ascii="Times New Roman" w:eastAsia="Times New Roman" w:hAnsi="Times New Roman" w:cs="Times New Roman"/>
          <w:sz w:val="24"/>
          <w:szCs w:val="24"/>
          <w:lang w:eastAsia="da-DK"/>
        </w:rPr>
        <w:t>vidvaskloven</w:t>
      </w:r>
      <w:r w:rsidRPr="00796736">
        <w:rPr>
          <w:rFonts w:ascii="Times New Roman" w:eastAsia="Times New Roman" w:hAnsi="Times New Roman" w:cs="Times New Roman"/>
          <w:sz w:val="24"/>
          <w:szCs w:val="24"/>
          <w:lang w:eastAsia="da-DK"/>
        </w:rPr>
        <w:t>s § 2</w:t>
      </w:r>
      <w:r w:rsidR="004877E0" w:rsidRPr="00796736">
        <w:rPr>
          <w:rFonts w:ascii="Times New Roman" w:eastAsia="Times New Roman" w:hAnsi="Times New Roman" w:cs="Times New Roman"/>
          <w:sz w:val="24"/>
          <w:szCs w:val="24"/>
          <w:lang w:eastAsia="da-DK"/>
        </w:rPr>
        <w:t xml:space="preserve"> fastlægger lovens definitioner og præciserer, hvordan centrale begreber skal forstås i relation til lovens anvendelsesområde og krav. Bestemmelsen indeholder en række definitioner, og definerer blandt andet, hvad der forstås ved daglig ledelse, finansiel transaktion, forretningsforbindelse, korrespondentforbindelse, kundeforhold, nærtstående til en politisk eksponeret person, nær samarbejdspartner til en politisk eksponeret person, politisk eksponeret person, reel ejer, transaktion, tomt bankselskab, udbyder af tjenesteydelser til virksomheder, formuegode, selvregulerende organ, fiatvaluta, trust, lignende juridisk arrangement, forvalter af trust eller lignende arrangement samt selvhostet adresse.</w:t>
      </w:r>
    </w:p>
    <w:p w14:paraId="054718B1" w14:textId="77777777" w:rsidR="004877E0" w:rsidRPr="00796736" w:rsidRDefault="004877E0" w:rsidP="00A802A5">
      <w:pPr>
        <w:spacing w:line="360" w:lineRule="auto"/>
        <w:rPr>
          <w:rFonts w:ascii="Times New Roman" w:hAnsi="Times New Roman" w:cs="Times New Roman"/>
          <w:sz w:val="24"/>
          <w:szCs w:val="24"/>
        </w:rPr>
      </w:pPr>
    </w:p>
    <w:p w14:paraId="4484783D" w14:textId="35A1BA19" w:rsidR="00C23011" w:rsidRPr="00796736" w:rsidRDefault="004877E0" w:rsidP="00A802A5">
      <w:pPr>
        <w:pStyle w:val="Overskrift4"/>
        <w:rPr>
          <w:rFonts w:ascii="Times New Roman" w:hAnsi="Times New Roman" w:cs="Times New Roman"/>
          <w:sz w:val="24"/>
          <w:szCs w:val="24"/>
        </w:rPr>
      </w:pPr>
      <w:bookmarkStart w:id="834" w:name="_Toc229739617"/>
      <w:bookmarkStart w:id="835" w:name="_Toc232109006"/>
      <w:r w:rsidRPr="00796736">
        <w:rPr>
          <w:rFonts w:ascii="Times New Roman" w:hAnsi="Times New Roman" w:cs="Times New Roman"/>
          <w:sz w:val="24"/>
          <w:szCs w:val="24"/>
        </w:rPr>
        <w:t>H</w:t>
      </w:r>
      <w:r w:rsidR="00C23011" w:rsidRPr="00796736">
        <w:rPr>
          <w:rFonts w:ascii="Times New Roman" w:hAnsi="Times New Roman" w:cs="Times New Roman"/>
          <w:sz w:val="24"/>
          <w:szCs w:val="24"/>
        </w:rPr>
        <w:t>vidvaskforordningen</w:t>
      </w:r>
      <w:bookmarkEnd w:id="834"/>
      <w:bookmarkEnd w:id="835"/>
    </w:p>
    <w:p w14:paraId="77716A72" w14:textId="6E373D1F" w:rsidR="004877E0" w:rsidRPr="00796736" w:rsidRDefault="002C22D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w:t>
      </w:r>
      <w:r w:rsidR="004877E0" w:rsidRPr="00796736">
        <w:rPr>
          <w:rFonts w:ascii="Times New Roman" w:hAnsi="Times New Roman" w:cs="Times New Roman"/>
          <w:sz w:val="24"/>
          <w:szCs w:val="24"/>
        </w:rPr>
        <w:t>vidvaskforordningen</w:t>
      </w:r>
      <w:r w:rsidRPr="00796736">
        <w:rPr>
          <w:rFonts w:ascii="Times New Roman" w:hAnsi="Times New Roman" w:cs="Times New Roman"/>
          <w:sz w:val="24"/>
          <w:szCs w:val="24"/>
        </w:rPr>
        <w:t>s artikel 2</w:t>
      </w:r>
      <w:r w:rsidR="004877E0" w:rsidRPr="00796736">
        <w:rPr>
          <w:rFonts w:ascii="Times New Roman" w:hAnsi="Times New Roman" w:cs="Times New Roman"/>
          <w:sz w:val="24"/>
          <w:szCs w:val="24"/>
        </w:rPr>
        <w:t xml:space="preserve"> indeholder definitioner af centrale begreber, der anvendes i forordningen. Her præciseres blandt andet, hvad der forstås ved </w:t>
      </w:r>
      <w:r w:rsidR="00491587" w:rsidRPr="00796736">
        <w:rPr>
          <w:rFonts w:ascii="Times New Roman" w:hAnsi="Times New Roman" w:cs="Times New Roman"/>
          <w:sz w:val="24"/>
          <w:szCs w:val="24"/>
        </w:rPr>
        <w:t>f.eks.</w:t>
      </w:r>
      <w:r w:rsidR="004877E0" w:rsidRPr="00796736">
        <w:rPr>
          <w:rFonts w:ascii="Times New Roman" w:hAnsi="Times New Roman" w:cs="Times New Roman"/>
          <w:sz w:val="24"/>
          <w:szCs w:val="24"/>
        </w:rPr>
        <w:t xml:space="preserve"> kreditinstitutter, finansieringsinstitutter, kryptoaktiver, udbydere af kryptoaktivtjenester, crowdfundingtjenesteudbydere og en række andre aktører og aktiviteter. </w:t>
      </w:r>
    </w:p>
    <w:p w14:paraId="550D8A6E" w14:textId="77777777" w:rsidR="004877E0" w:rsidRPr="00796736" w:rsidRDefault="004877E0" w:rsidP="00A802A5">
      <w:pPr>
        <w:spacing w:line="360" w:lineRule="auto"/>
        <w:rPr>
          <w:rFonts w:ascii="Times New Roman" w:hAnsi="Times New Roman" w:cs="Times New Roman"/>
          <w:sz w:val="24"/>
          <w:szCs w:val="24"/>
        </w:rPr>
      </w:pPr>
    </w:p>
    <w:p w14:paraId="038470E9" w14:textId="50DF7E00" w:rsidR="004877E0" w:rsidRPr="00796736" w:rsidRDefault="002C22D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w:t>
      </w:r>
      <w:r w:rsidR="004877E0" w:rsidRPr="00796736">
        <w:rPr>
          <w:rFonts w:ascii="Times New Roman" w:hAnsi="Times New Roman" w:cs="Times New Roman"/>
          <w:sz w:val="24"/>
          <w:szCs w:val="24"/>
        </w:rPr>
        <w:t>vidvaskforordningen</w:t>
      </w:r>
      <w:r w:rsidRPr="00796736">
        <w:rPr>
          <w:rFonts w:ascii="Times New Roman" w:hAnsi="Times New Roman" w:cs="Times New Roman"/>
          <w:sz w:val="24"/>
          <w:szCs w:val="24"/>
        </w:rPr>
        <w:t>s artikel 3</w:t>
      </w:r>
      <w:r w:rsidR="004877E0" w:rsidRPr="00796736">
        <w:rPr>
          <w:rFonts w:ascii="Times New Roman" w:hAnsi="Times New Roman" w:cs="Times New Roman"/>
          <w:sz w:val="24"/>
          <w:szCs w:val="24"/>
        </w:rPr>
        <w:t xml:space="preserve"> oplister de forpligtede enheder, der er omfattet af forordningens anvendelsesområde. Det omfatter blandt andet kreditinstitutter, finansieringsinstitutter, revisorer, advokater, ejendomsmæglere, udbydere af spiltjenester, crowdfundingtjenesteudbydere, personer der handler med ædelmetaller, varer af høj værdi eller kulturgoder, samt en række andre finansielle og ikke-finansielle virksomheder og personer. </w:t>
      </w:r>
    </w:p>
    <w:p w14:paraId="363702C1" w14:textId="77777777" w:rsidR="004877E0" w:rsidRPr="00796736" w:rsidRDefault="004877E0" w:rsidP="00A802A5">
      <w:pPr>
        <w:spacing w:line="360" w:lineRule="auto"/>
        <w:rPr>
          <w:rFonts w:ascii="Times New Roman" w:hAnsi="Times New Roman" w:cs="Times New Roman"/>
          <w:sz w:val="24"/>
          <w:szCs w:val="24"/>
        </w:rPr>
      </w:pPr>
    </w:p>
    <w:p w14:paraId="0B83554A" w14:textId="48C88C23" w:rsidR="00C85E2A" w:rsidRPr="00796736" w:rsidRDefault="00274A31" w:rsidP="00A802A5">
      <w:pPr>
        <w:pStyle w:val="Overskrift4"/>
        <w:rPr>
          <w:rFonts w:ascii="Times New Roman" w:hAnsi="Times New Roman" w:cs="Times New Roman"/>
          <w:sz w:val="24"/>
          <w:szCs w:val="24"/>
        </w:rPr>
      </w:pPr>
      <w:bookmarkStart w:id="836" w:name="_Toc229739618"/>
      <w:bookmarkStart w:id="837" w:name="_Toc232109007"/>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bookmarkEnd w:id="836"/>
      <w:r w:rsidR="00537567" w:rsidRPr="00796736">
        <w:rPr>
          <w:rFonts w:ascii="Times New Roman" w:hAnsi="Times New Roman" w:cs="Times New Roman"/>
          <w:sz w:val="24"/>
          <w:szCs w:val="24"/>
        </w:rPr>
        <w:t>og den foreslåede ordning</w:t>
      </w:r>
      <w:bookmarkEnd w:id="837"/>
      <w:r w:rsidR="00537567" w:rsidRPr="00796736">
        <w:rPr>
          <w:rFonts w:ascii="Times New Roman" w:hAnsi="Times New Roman" w:cs="Times New Roman"/>
          <w:sz w:val="24"/>
          <w:szCs w:val="24"/>
        </w:rPr>
        <w:t xml:space="preserve"> </w:t>
      </w:r>
    </w:p>
    <w:p w14:paraId="1328AF31" w14:textId="6FF65B70" w:rsidR="00B64DB7" w:rsidRPr="00796736" w:rsidRDefault="00B64D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Vækstministeriet lægger op til at videreføre anvendelsesområdet fra den gældende hvidvasklov, tilpasset de ændringer, der </w:t>
      </w:r>
      <w:r w:rsidR="00FF0030">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Bestemmelsen gengiver, hvilke virksomheder og personer der er omfattet af </w:t>
      </w:r>
      <w:r w:rsidR="00FF0030">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Oplistningen sker med henvisning til de kategorier, der er fastsat i</w:t>
      </w:r>
      <w:r w:rsidR="002C22D2" w:rsidRPr="00796736">
        <w:rPr>
          <w:rFonts w:ascii="Times New Roman" w:eastAsia="Calibri" w:hAnsi="Times New Roman" w:cs="Times New Roman"/>
          <w:sz w:val="24"/>
          <w:szCs w:val="24"/>
        </w:rPr>
        <w:t xml:space="preserve"> forordningens</w:t>
      </w:r>
      <w:r w:rsidRPr="00796736">
        <w:rPr>
          <w:rFonts w:ascii="Times New Roman" w:eastAsia="Calibri" w:hAnsi="Times New Roman" w:cs="Times New Roman"/>
          <w:sz w:val="24"/>
          <w:szCs w:val="24"/>
        </w:rPr>
        <w:t xml:space="preserve"> artikel 3, og omfatter således de aktører og aktiviteter, der fremgår af forordningens anvendelsesområde.</w:t>
      </w:r>
    </w:p>
    <w:p w14:paraId="1AD5B342" w14:textId="111C9877" w:rsidR="00B64DB7" w:rsidRPr="00796736" w:rsidRDefault="00B64D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Selv</w:t>
      </w:r>
      <w:r w:rsidR="002C22D2"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om forordningen har direkte virkning i alle EU’s medlemsstater, herunder Danmark, finder Skatte- og Vækstministeriet det hensigtsmæssigt, at der i national lov fastsættes en bestemmelse, der tydeligt angiver, hvilke virksomheder og personer der er omfattet af reglerne. Dette sker af hensyn til gennemsigtighed og for at lette den praktiske forståelse af regelsættet. En sådan national bestemmelse styrker retssikkerheden, gør det lettere for både myndigheder og private aktører at anvende reglerne, og understøtter en korrekt og ensartet implementering af forordningens bestemmelser.</w:t>
      </w:r>
    </w:p>
    <w:p w14:paraId="134AB742" w14:textId="77777777" w:rsidR="00B64DB7" w:rsidRPr="00796736" w:rsidRDefault="00B64DB7" w:rsidP="00A802A5">
      <w:pPr>
        <w:spacing w:line="360" w:lineRule="auto"/>
        <w:rPr>
          <w:rFonts w:ascii="Times New Roman" w:eastAsia="Calibri" w:hAnsi="Times New Roman" w:cs="Times New Roman"/>
          <w:sz w:val="24"/>
          <w:szCs w:val="24"/>
        </w:rPr>
      </w:pPr>
    </w:p>
    <w:p w14:paraId="34650F02" w14:textId="68544962" w:rsidR="00B64DB7" w:rsidRPr="00796736" w:rsidRDefault="002C22D2"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w:t>
      </w:r>
      <w:r w:rsidR="00B64DB7" w:rsidRPr="00796736">
        <w:rPr>
          <w:rFonts w:ascii="Times New Roman" w:eastAsia="Calibri" w:hAnsi="Times New Roman" w:cs="Times New Roman"/>
          <w:sz w:val="24"/>
          <w:szCs w:val="24"/>
        </w:rPr>
        <w:t>orordningen indeholder i artikel 3 en detaljeret opregning af de forpligtede enheder, som både omfatter aktører, der tidligere har været reguleret efter den gældende hvidvasklov, og nye virksomhedstyper, der ikke tidligere har været underlagt tilsvarende krav.</w:t>
      </w:r>
    </w:p>
    <w:p w14:paraId="23FD83C3" w14:textId="77777777" w:rsidR="00B64DB7" w:rsidRPr="00796736" w:rsidRDefault="00B64DB7" w:rsidP="00A802A5">
      <w:pPr>
        <w:spacing w:line="360" w:lineRule="auto"/>
        <w:rPr>
          <w:rFonts w:ascii="Times New Roman" w:eastAsia="Calibri" w:hAnsi="Times New Roman" w:cs="Times New Roman"/>
          <w:sz w:val="24"/>
          <w:szCs w:val="24"/>
        </w:rPr>
      </w:pPr>
    </w:p>
    <w:p w14:paraId="4FB4A6FB" w14:textId="6D49D1C3" w:rsidR="00B64DB7" w:rsidRPr="00796736" w:rsidRDefault="00B64D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Skatte- og Vækstministeriet vurderer, at en samlet national opregning øger klarheden og forudsigeligheden for de berørte virksomheder og personer samt for tilsynsmyndighederne. En national bestemmelse gør det lettere at afgøre, om en konkret virksomhed eller aktivitet er omfattet af reglerne og bidrager dermed til en ensartet og effektiv anvendelse af hvidvaskreglerne. Dette er særligt relevant i lyset af, at forordningen udvider kredsen af forpligtede enheder til også at omfatte aktører, der ikke tidligere har været omfattet af dansk hvidvasklovgivning.</w:t>
      </w:r>
    </w:p>
    <w:p w14:paraId="6076CE89" w14:textId="77777777" w:rsidR="00B64DB7" w:rsidRPr="00796736" w:rsidRDefault="00B64DB7" w:rsidP="00A802A5">
      <w:pPr>
        <w:spacing w:line="360" w:lineRule="auto"/>
        <w:rPr>
          <w:rFonts w:ascii="Times New Roman" w:eastAsia="Calibri" w:hAnsi="Times New Roman" w:cs="Times New Roman"/>
          <w:sz w:val="24"/>
          <w:szCs w:val="24"/>
        </w:rPr>
      </w:pPr>
    </w:p>
    <w:p w14:paraId="48DE586D" w14:textId="2AC32581" w:rsidR="00B64DB7" w:rsidRPr="00796736" w:rsidRDefault="00B64D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w:t>
      </w:r>
      <w:r w:rsidR="002C22D2" w:rsidRPr="00796736">
        <w:rPr>
          <w:rFonts w:ascii="Times New Roman" w:eastAsia="Calibri" w:hAnsi="Times New Roman" w:cs="Times New Roman"/>
          <w:sz w:val="24"/>
          <w:szCs w:val="24"/>
        </w:rPr>
        <w:t xml:space="preserve"> vil således</w:t>
      </w:r>
      <w:r w:rsidRPr="00796736">
        <w:rPr>
          <w:rFonts w:ascii="Times New Roman" w:eastAsia="Calibri" w:hAnsi="Times New Roman" w:cs="Times New Roman"/>
          <w:sz w:val="24"/>
          <w:szCs w:val="24"/>
        </w:rPr>
        <w:t xml:space="preserve"> fungere</w:t>
      </w:r>
      <w:r w:rsidR="002C22D2"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som en supplerende definitionsbestemmelse til hvidvaskforordningen, så det bliver muligt at identificere og tydeliggøre, hvem loven retter sig mod. Formålet med de supplerende definitioner er at sikre, at lovens anvendelsesområde er klart afgrænset, og at der ikke opstår tvivl om, hvilke virksomheder og personer der er omfattet af lovens krav. Bestemmelsen </w:t>
      </w:r>
      <w:r w:rsidR="002C22D2" w:rsidRPr="00796736">
        <w:rPr>
          <w:rFonts w:ascii="Times New Roman" w:eastAsia="Calibri" w:hAnsi="Times New Roman" w:cs="Times New Roman"/>
          <w:sz w:val="24"/>
          <w:szCs w:val="24"/>
        </w:rPr>
        <w:t>vil</w:t>
      </w:r>
      <w:r w:rsidRPr="00796736">
        <w:rPr>
          <w:rFonts w:ascii="Times New Roman" w:eastAsia="Calibri" w:hAnsi="Times New Roman" w:cs="Times New Roman"/>
          <w:sz w:val="24"/>
          <w:szCs w:val="24"/>
        </w:rPr>
        <w:t xml:space="preserve"> således</w:t>
      </w:r>
      <w:r w:rsidR="002C22D2" w:rsidRPr="00796736">
        <w:rPr>
          <w:rFonts w:ascii="Times New Roman" w:eastAsia="Calibri" w:hAnsi="Times New Roman" w:cs="Times New Roman"/>
          <w:sz w:val="24"/>
          <w:szCs w:val="24"/>
        </w:rPr>
        <w:t xml:space="preserve"> have</w:t>
      </w:r>
      <w:r w:rsidRPr="00796736">
        <w:rPr>
          <w:rFonts w:ascii="Times New Roman" w:eastAsia="Calibri" w:hAnsi="Times New Roman" w:cs="Times New Roman"/>
          <w:sz w:val="24"/>
          <w:szCs w:val="24"/>
        </w:rPr>
        <w:t xml:space="preserve"> til formål at skabe klarhed og forudsigelighed for virksomheder, myndigheder og øvrige aktører ved, at det af praktiske hensyn tydeliggøres, hvilke aktører der er omfattet, idet loven gengiver, hvad der fremgår af forordningen. </w:t>
      </w:r>
    </w:p>
    <w:p w14:paraId="14F334B4" w14:textId="77777777" w:rsidR="00B64DB7" w:rsidRPr="00796736" w:rsidRDefault="00B64DB7" w:rsidP="00A802A5">
      <w:pPr>
        <w:spacing w:line="360" w:lineRule="auto"/>
        <w:rPr>
          <w:rFonts w:ascii="Times New Roman" w:eastAsia="Calibri" w:hAnsi="Times New Roman" w:cs="Times New Roman"/>
          <w:sz w:val="24"/>
          <w:szCs w:val="24"/>
        </w:rPr>
      </w:pPr>
    </w:p>
    <w:p w14:paraId="25B8F6E9" w14:textId="77777777" w:rsidR="002C22D2" w:rsidRPr="00796736" w:rsidRDefault="00B64D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i lovforslagets § 2 </w:t>
      </w:r>
      <w:r w:rsidR="002C22D2" w:rsidRPr="00796736">
        <w:rPr>
          <w:rFonts w:ascii="Times New Roman" w:eastAsia="Calibri" w:hAnsi="Times New Roman" w:cs="Times New Roman"/>
          <w:sz w:val="24"/>
          <w:szCs w:val="24"/>
        </w:rPr>
        <w:t>vil ikke indebære en implementering af hvidvaskforordningen, men har karakter af en supplerende definitionsbestemmelse, der bygger på forordningens artikel 3. Bestemmelsen vil ikke ændre forordningens materielle anvendelsesområde og vil ikke indebære en indskrænkning eller udvidelse heraf, men har til formål at afspejle forordningens opregning i en dansk retlig kontekst. Oplistningen i loven vil således skulle læses i sammenhæng med forordningen og erstatter ikke forordningens direkte anvendelighed.</w:t>
      </w:r>
    </w:p>
    <w:p w14:paraId="281B6A76" w14:textId="43E5009E" w:rsidR="00B64DB7" w:rsidRPr="00796736" w:rsidRDefault="00B64DB7" w:rsidP="00A802A5">
      <w:pPr>
        <w:spacing w:line="360" w:lineRule="auto"/>
        <w:rPr>
          <w:rFonts w:ascii="Times New Roman" w:eastAsia="Calibri" w:hAnsi="Times New Roman" w:cs="Times New Roman"/>
          <w:sz w:val="24"/>
          <w:szCs w:val="24"/>
        </w:rPr>
      </w:pPr>
    </w:p>
    <w:p w14:paraId="4AEA7972" w14:textId="56B3CC13" w:rsidR="00B64DB7" w:rsidRPr="00796736" w:rsidRDefault="00B64D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Gengivelsen af </w:t>
      </w:r>
      <w:r w:rsidR="002C22D2" w:rsidRPr="00796736">
        <w:rPr>
          <w:rFonts w:ascii="Times New Roman" w:eastAsia="Calibri" w:hAnsi="Times New Roman" w:cs="Times New Roman"/>
          <w:sz w:val="24"/>
          <w:szCs w:val="24"/>
        </w:rPr>
        <w:t>hvidvask</w:t>
      </w:r>
      <w:r w:rsidRPr="00796736">
        <w:rPr>
          <w:rFonts w:ascii="Times New Roman" w:eastAsia="Calibri" w:hAnsi="Times New Roman" w:cs="Times New Roman"/>
          <w:sz w:val="24"/>
          <w:szCs w:val="24"/>
        </w:rPr>
        <w:t>forordningens artikel 3 er således udelukkende begrundet i praktiske hensyn og berører ikke forordningernes umiddelbare gyldighed i Danmark.</w:t>
      </w:r>
    </w:p>
    <w:p w14:paraId="31CF6EF0" w14:textId="77777777" w:rsidR="00515FB2" w:rsidRPr="00796736" w:rsidRDefault="00515FB2" w:rsidP="00A802A5">
      <w:pPr>
        <w:spacing w:line="360" w:lineRule="auto"/>
        <w:rPr>
          <w:rFonts w:ascii="Times New Roman" w:eastAsia="Calibri" w:hAnsi="Times New Roman" w:cs="Times New Roman"/>
          <w:sz w:val="24"/>
          <w:szCs w:val="24"/>
        </w:rPr>
      </w:pPr>
    </w:p>
    <w:p w14:paraId="2041FA22" w14:textId="0FF49C68" w:rsidR="00B64DB7" w:rsidRPr="00796736" w:rsidRDefault="00B64D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henvises til lovforslagets </w:t>
      </w:r>
      <w:r w:rsidR="009F308E" w:rsidRPr="00796736">
        <w:rPr>
          <w:rFonts w:ascii="Times New Roman" w:hAnsi="Times New Roman" w:cs="Times New Roman"/>
          <w:sz w:val="24"/>
          <w:szCs w:val="24"/>
        </w:rPr>
        <w:fldChar w:fldCharType="begin"/>
      </w:r>
      <w:r w:rsidR="009F308E" w:rsidRPr="00796736">
        <w:rPr>
          <w:rFonts w:ascii="Times New Roman" w:hAnsi="Times New Roman" w:cs="Times New Roman"/>
          <w:sz w:val="24"/>
          <w:szCs w:val="24"/>
        </w:rPr>
        <w:instrText xml:space="preserve"> REF _Ref232592818 \r \h </w:instrText>
      </w:r>
      <w:r w:rsidR="00967618" w:rsidRPr="00796736">
        <w:rPr>
          <w:rFonts w:ascii="Times New Roman" w:hAnsi="Times New Roman" w:cs="Times New Roman"/>
          <w:sz w:val="24"/>
          <w:szCs w:val="24"/>
        </w:rPr>
        <w:instrText xml:space="preserve"> \* MERGEFORMAT </w:instrText>
      </w:r>
      <w:r w:rsidR="009F308E" w:rsidRPr="00796736">
        <w:rPr>
          <w:rFonts w:ascii="Times New Roman" w:hAnsi="Times New Roman" w:cs="Times New Roman"/>
          <w:sz w:val="24"/>
          <w:szCs w:val="24"/>
        </w:rPr>
      </w:r>
      <w:r w:rsidR="009F308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9F308E" w:rsidRPr="00796736">
        <w:rPr>
          <w:rFonts w:ascii="Times New Roman" w:hAnsi="Times New Roman" w:cs="Times New Roman"/>
          <w:sz w:val="24"/>
          <w:szCs w:val="24"/>
        </w:rPr>
        <w:fldChar w:fldCharType="end"/>
      </w:r>
      <w:r w:rsidR="009F308E"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6EA22F1A" w14:textId="77777777" w:rsidR="00C85E2A" w:rsidRPr="00796736" w:rsidRDefault="00C85E2A" w:rsidP="00A802A5">
      <w:pPr>
        <w:spacing w:line="360" w:lineRule="auto"/>
        <w:rPr>
          <w:rFonts w:ascii="Times New Roman" w:hAnsi="Times New Roman" w:cs="Times New Roman"/>
          <w:sz w:val="24"/>
          <w:szCs w:val="24"/>
        </w:rPr>
      </w:pPr>
    </w:p>
    <w:p w14:paraId="1E144142" w14:textId="6DCD1BE6" w:rsidR="00C85E2A" w:rsidRPr="00796736" w:rsidRDefault="001A5922" w:rsidP="00A802A5">
      <w:pPr>
        <w:pStyle w:val="Overskrift2"/>
        <w:rPr>
          <w:rFonts w:ascii="Times New Roman" w:hAnsi="Times New Roman"/>
          <w:sz w:val="24"/>
        </w:rPr>
      </w:pPr>
      <w:bookmarkStart w:id="838" w:name="_Toc229739620"/>
      <w:bookmarkStart w:id="839" w:name="_Toc232109008"/>
      <w:bookmarkStart w:id="840" w:name="_Ref232942535"/>
      <w:bookmarkStart w:id="841" w:name="_Toc244880720"/>
      <w:r w:rsidRPr="00796736">
        <w:rPr>
          <w:rFonts w:ascii="Times New Roman" w:hAnsi="Times New Roman"/>
          <w:sz w:val="24"/>
        </w:rPr>
        <w:t>Forbud mod og begrænsning af kontantbetalinger</w:t>
      </w:r>
      <w:bookmarkEnd w:id="838"/>
      <w:bookmarkEnd w:id="839"/>
      <w:bookmarkEnd w:id="840"/>
      <w:bookmarkEnd w:id="841"/>
    </w:p>
    <w:p w14:paraId="0A1855A6" w14:textId="1601E3BD" w:rsidR="00C85E2A" w:rsidRPr="00796736" w:rsidRDefault="00C85E2A" w:rsidP="00A802A5">
      <w:pPr>
        <w:pStyle w:val="Overskrift4"/>
        <w:rPr>
          <w:rFonts w:ascii="Times New Roman" w:hAnsi="Times New Roman" w:cs="Times New Roman"/>
          <w:sz w:val="24"/>
          <w:szCs w:val="24"/>
        </w:rPr>
      </w:pPr>
      <w:bookmarkStart w:id="842" w:name="_Toc229739621"/>
      <w:bookmarkStart w:id="843" w:name="_Toc232109009"/>
      <w:r w:rsidRPr="00796736">
        <w:rPr>
          <w:rFonts w:ascii="Times New Roman" w:hAnsi="Times New Roman" w:cs="Times New Roman"/>
          <w:sz w:val="24"/>
          <w:szCs w:val="24"/>
        </w:rPr>
        <w:t>Gældende ret</w:t>
      </w:r>
      <w:bookmarkEnd w:id="842"/>
      <w:bookmarkEnd w:id="843"/>
    </w:p>
    <w:p w14:paraId="0F9AEE49" w14:textId="77777777" w:rsidR="00BC2982" w:rsidRPr="00796736" w:rsidRDefault="00BC298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5 i den gældende hvidvasklov må erhvervsdrivende, som ikke er omfattet af hvidvaskloven, ikke modtage kontantbetalinger på 15.000 kr. eller derover, hvad enten betalingen sker på én gang eller som flere betalinger, der er eller ser ud til at være indbyrdes forbundet. </w:t>
      </w:r>
    </w:p>
    <w:p w14:paraId="4CC87192" w14:textId="77777777" w:rsidR="00BC2982" w:rsidRPr="00796736" w:rsidRDefault="00BC2982" w:rsidP="00A802A5">
      <w:pPr>
        <w:spacing w:line="360" w:lineRule="auto"/>
        <w:rPr>
          <w:rFonts w:ascii="Times New Roman" w:hAnsi="Times New Roman" w:cs="Times New Roman"/>
          <w:sz w:val="24"/>
          <w:szCs w:val="24"/>
        </w:rPr>
      </w:pPr>
    </w:p>
    <w:p w14:paraId="45B42BA4" w14:textId="77777777" w:rsidR="00BC2982" w:rsidRPr="00796736" w:rsidRDefault="00BC298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Forbuddet omfatter erhvervsdrivende, som ikke er omfattet af hvidvaskloven, og som derved heller ikke er forpligtet til at gennemføre kundekendskabsprocedurer, overvåge deres kunders aktiviteter samt undersøge, hvor en kundes midler kommer fra eller underrette Hvidvasksekretariatet ved mistanke om hvidvask eller terrorfinansiering.</w:t>
      </w:r>
    </w:p>
    <w:p w14:paraId="0DCDAAD5" w14:textId="77777777" w:rsidR="004573B9" w:rsidRPr="00796736" w:rsidRDefault="004573B9" w:rsidP="00A802A5">
      <w:pPr>
        <w:spacing w:line="360" w:lineRule="auto"/>
        <w:rPr>
          <w:rFonts w:ascii="Times New Roman" w:hAnsi="Times New Roman" w:cs="Times New Roman"/>
          <w:sz w:val="24"/>
          <w:szCs w:val="24"/>
        </w:rPr>
      </w:pPr>
    </w:p>
    <w:p w14:paraId="7A3C3232" w14:textId="1B2590F3" w:rsidR="00E97029" w:rsidRPr="00796736" w:rsidRDefault="00F30DE8" w:rsidP="00A802A5">
      <w:pPr>
        <w:pStyle w:val="Overskrift4"/>
        <w:rPr>
          <w:rFonts w:ascii="Times New Roman" w:hAnsi="Times New Roman" w:cs="Times New Roman"/>
          <w:sz w:val="24"/>
          <w:szCs w:val="24"/>
        </w:rPr>
      </w:pPr>
      <w:bookmarkStart w:id="844" w:name="_Toc229739622"/>
      <w:bookmarkStart w:id="845" w:name="_Toc232109010"/>
      <w:r w:rsidRPr="00796736">
        <w:rPr>
          <w:rFonts w:ascii="Times New Roman" w:hAnsi="Times New Roman" w:cs="Times New Roman"/>
          <w:sz w:val="24"/>
          <w:szCs w:val="24"/>
        </w:rPr>
        <w:t>Hvidvaskforordningen</w:t>
      </w:r>
      <w:bookmarkEnd w:id="844"/>
      <w:bookmarkEnd w:id="845"/>
    </w:p>
    <w:p w14:paraId="289C8940" w14:textId="77777777" w:rsidR="00BC2982" w:rsidRPr="00796736" w:rsidRDefault="00BC298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Hvidvaskforordningens artikel 80, stk. 1, fastsætter, at erhvervsdrivende som sælger varer eller tjenesteydelser kun må acceptere eller modtage betalinger på 10.000 EUR i kontanter, uanset om de gennemføres på én gang eller som flere transaktioner. Undtaget fra bestemmelsen er betalinger eller indskud, der foretages i kreditinstitutter, som defineret i forordningens artikel 2, stk. 1, nr. 5, udstedere af elektroniske penge som defineret i artikel 2, nr. 3, i direktiv 2009/110/EF og betalingstjenesteudbydere som defineret i artikel 4, nr. 11, i direktiv (EU) 2015/2366. </w:t>
      </w:r>
    </w:p>
    <w:p w14:paraId="6A20A036" w14:textId="77777777" w:rsidR="00BC2982" w:rsidRPr="00796736" w:rsidRDefault="00BC2982" w:rsidP="00A802A5">
      <w:pPr>
        <w:spacing w:line="360" w:lineRule="auto"/>
        <w:rPr>
          <w:rFonts w:ascii="Times New Roman" w:hAnsi="Times New Roman" w:cs="Times New Roman"/>
          <w:sz w:val="24"/>
          <w:szCs w:val="24"/>
        </w:rPr>
      </w:pPr>
    </w:p>
    <w:p w14:paraId="61A75A64" w14:textId="2646806F" w:rsidR="00275046" w:rsidRPr="00796736" w:rsidRDefault="00BC298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hvidvaskforordningens artikel 80, stk. 2, kan medlemsstaterne vedtage lavere tærskler for hvor høje kontantbetalinger personer, der handler med varer eller leverer tjenesteydelser, må acceptere eller foretage en betaling. </w:t>
      </w:r>
    </w:p>
    <w:p w14:paraId="6EDDAAFF" w14:textId="77777777" w:rsidR="004877E0" w:rsidRPr="00796736" w:rsidRDefault="004877E0" w:rsidP="00A802A5">
      <w:pPr>
        <w:spacing w:line="360" w:lineRule="auto"/>
        <w:rPr>
          <w:rFonts w:ascii="Times New Roman" w:hAnsi="Times New Roman" w:cs="Times New Roman"/>
          <w:sz w:val="24"/>
          <w:szCs w:val="24"/>
        </w:rPr>
      </w:pPr>
    </w:p>
    <w:p w14:paraId="629A7E85" w14:textId="644E696B" w:rsidR="00C85E2A" w:rsidRPr="00796736" w:rsidRDefault="00274A31" w:rsidP="00A802A5">
      <w:pPr>
        <w:pStyle w:val="Overskrift4"/>
        <w:rPr>
          <w:rFonts w:ascii="Times New Roman" w:hAnsi="Times New Roman" w:cs="Times New Roman"/>
          <w:sz w:val="24"/>
          <w:szCs w:val="24"/>
        </w:rPr>
      </w:pPr>
      <w:bookmarkStart w:id="846" w:name="_Toc229739623"/>
      <w:bookmarkStart w:id="847" w:name="_Toc232109011"/>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bookmarkEnd w:id="846"/>
      <w:r w:rsidR="00537567" w:rsidRPr="00796736">
        <w:rPr>
          <w:rFonts w:ascii="Times New Roman" w:hAnsi="Times New Roman" w:cs="Times New Roman"/>
          <w:sz w:val="24"/>
          <w:szCs w:val="24"/>
        </w:rPr>
        <w:t>og den foreslåede ordning</w:t>
      </w:r>
      <w:bookmarkEnd w:id="847"/>
    </w:p>
    <w:p w14:paraId="5966EF6B" w14:textId="02A095FA" w:rsidR="00EA770E" w:rsidRPr="00796736" w:rsidRDefault="00EA770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et kontantforbud er bl.a. at mindske risikoen for, at sedler, der hidrører fra kriminalitet, omsættes i detailhandlen og hos andre erhvervsdrivende, der tager imod kontantbetaling. </w:t>
      </w:r>
    </w:p>
    <w:p w14:paraId="0E9A41BC" w14:textId="77777777" w:rsidR="00EA770E" w:rsidRPr="00796736" w:rsidRDefault="00EA770E" w:rsidP="00A802A5">
      <w:pPr>
        <w:spacing w:line="360" w:lineRule="auto"/>
        <w:rPr>
          <w:rFonts w:ascii="Times New Roman" w:hAnsi="Times New Roman" w:cs="Times New Roman"/>
          <w:sz w:val="24"/>
          <w:szCs w:val="24"/>
        </w:rPr>
      </w:pPr>
    </w:p>
    <w:p w14:paraId="5B20CACD" w14:textId="18FEC36C" w:rsidR="00EA770E" w:rsidRPr="00796736" w:rsidRDefault="00EA770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Skatte- og Vækstministeriet anerkender, at kontanternes rolle i det danske samfund fortsat spiller en vigtig rolle, selvom elektroniske betalingsinstrumenter i stigende grad anvendes til detailbetalinger i Danmark. Kontantbetalinger kan afvikles øjeblikkeligt, uden gebyrer eller krav om funktionel teknisk infrastruktur. Endvidere fremmer kontantbetalinger økonomisk inklusion og er således særlig vigtigt for borgere, der ikke har adgang til banksystemet og elektroniske betalingsmidler.</w:t>
      </w:r>
    </w:p>
    <w:p w14:paraId="60715E09" w14:textId="77777777" w:rsidR="00EA770E" w:rsidRPr="00796736" w:rsidRDefault="00EA770E" w:rsidP="00A802A5">
      <w:pPr>
        <w:spacing w:line="360" w:lineRule="auto"/>
        <w:rPr>
          <w:rFonts w:ascii="Times New Roman" w:hAnsi="Times New Roman" w:cs="Times New Roman"/>
          <w:sz w:val="24"/>
          <w:szCs w:val="24"/>
        </w:rPr>
      </w:pPr>
    </w:p>
    <w:p w14:paraId="141108FF" w14:textId="5830B67C" w:rsidR="00EA770E" w:rsidRPr="00796736" w:rsidRDefault="00EA770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Overordnet er omfanget af større kontantbetalinger i almindelighed begrænset pga. af den teknologiske og digitale udvikling. En videreførelse af kontantforbuddet vurderes derfor at have begrænset forretningsmæssig betydning for de erhvervsdrivende. Forbuddet vil således primært have virkning overfor kriminelle ved at begrænse adgangen til hvidvask af udbytte fra kriminelle handlinger.</w:t>
      </w:r>
    </w:p>
    <w:p w14:paraId="17FADB6F" w14:textId="77777777" w:rsidR="00EA770E" w:rsidRPr="00796736" w:rsidRDefault="00EA770E" w:rsidP="00A802A5">
      <w:pPr>
        <w:spacing w:line="360" w:lineRule="auto"/>
        <w:rPr>
          <w:rFonts w:ascii="Times New Roman" w:hAnsi="Times New Roman" w:cs="Times New Roman"/>
          <w:sz w:val="24"/>
          <w:szCs w:val="24"/>
        </w:rPr>
      </w:pPr>
    </w:p>
    <w:p w14:paraId="4A08A6BC" w14:textId="77777777" w:rsidR="002128F7" w:rsidRPr="00D253F0"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Som led i en effektiv bekæmpelse af hvidvask og finansiering af terrorisme vurderes det hensigtsmæssigt, at kontantforbuddet med den nuværende grænse på 15.000 kr. opretholdes for virksomheder og personer, som ikke er omfattet af hvidvaskreglerne. </w:t>
      </w:r>
      <w:r>
        <w:rPr>
          <w:rFonts w:ascii="Times New Roman" w:hAnsi="Times New Roman" w:cs="Times New Roman"/>
          <w:sz w:val="24"/>
          <w:szCs w:val="24"/>
        </w:rPr>
        <w:t xml:space="preserve">Hvidvasksekretariatet vurderer </w:t>
      </w:r>
      <w:r w:rsidRPr="00D253F0">
        <w:rPr>
          <w:rFonts w:ascii="Times New Roman" w:hAnsi="Times New Roman" w:cs="Times New Roman"/>
          <w:sz w:val="24"/>
          <w:szCs w:val="24"/>
        </w:rPr>
        <w:t>i den Nationale Risikovurdering for hvidvask 2022</w:t>
      </w:r>
      <w:r>
        <w:rPr>
          <w:rFonts w:ascii="Times New Roman" w:hAnsi="Times New Roman" w:cs="Times New Roman"/>
          <w:sz w:val="24"/>
          <w:szCs w:val="24"/>
        </w:rPr>
        <w:t xml:space="preserve">, </w:t>
      </w:r>
      <w:r w:rsidRPr="00CA701E">
        <w:rPr>
          <w:rFonts w:ascii="Times New Roman" w:hAnsi="Times New Roman" w:cs="Times New Roman"/>
          <w:sz w:val="24"/>
          <w:szCs w:val="24"/>
        </w:rPr>
        <w:t>at kriminelle aktørers brug af kontanter fortsat udgør en høj sårbarhed i forhold til hvidvask,</w:t>
      </w:r>
      <w:r>
        <w:rPr>
          <w:rFonts w:ascii="Times New Roman" w:hAnsi="Times New Roman" w:cs="Times New Roman"/>
          <w:sz w:val="24"/>
          <w:szCs w:val="24"/>
        </w:rPr>
        <w:t xml:space="preserve"> og at </w:t>
      </w:r>
      <w:r w:rsidRPr="00CA701E">
        <w:rPr>
          <w:rFonts w:ascii="Times New Roman" w:hAnsi="Times New Roman" w:cs="Times New Roman"/>
          <w:sz w:val="24"/>
          <w:szCs w:val="24"/>
        </w:rPr>
        <w:t>det er meget sandsynligt, at kriminelle aktører vil anvende ind- og udførsel af kontanter til at hvidvaske ulovlige midler.</w:t>
      </w:r>
      <w:r>
        <w:rPr>
          <w:rFonts w:ascii="Times New Roman" w:hAnsi="Times New Roman" w:cs="Times New Roman"/>
          <w:sz w:val="24"/>
          <w:szCs w:val="24"/>
        </w:rPr>
        <w:t xml:space="preserve"> Følgelig er risikoen for, at ind- og udførsel af kontanter misbruges til hvidvask, høj. </w:t>
      </w:r>
    </w:p>
    <w:p w14:paraId="3CE554D5" w14:textId="77777777" w:rsidR="00EA770E" w:rsidRPr="00796736" w:rsidRDefault="00EA770E" w:rsidP="00A802A5">
      <w:pPr>
        <w:spacing w:line="360" w:lineRule="auto"/>
        <w:rPr>
          <w:rFonts w:ascii="Times New Roman" w:hAnsi="Times New Roman" w:cs="Times New Roman"/>
          <w:sz w:val="24"/>
          <w:szCs w:val="24"/>
        </w:rPr>
      </w:pPr>
    </w:p>
    <w:p w14:paraId="571D9982" w14:textId="2A790A9F" w:rsidR="00EA770E" w:rsidRPr="00796736" w:rsidRDefault="0049158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_Ref232592944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w:t>
      </w:r>
      <w:r w:rsidRPr="00796736">
        <w:rPr>
          <w:rFonts w:ascii="Times New Roman" w:hAnsi="Times New Roman" w:cs="Times New Roman"/>
          <w:sz w:val="24"/>
          <w:szCs w:val="24"/>
        </w:rPr>
        <w:fldChar w:fldCharType="end"/>
      </w:r>
      <w:r w:rsidR="00EA770E" w:rsidRPr="00796736">
        <w:rPr>
          <w:rFonts w:ascii="Times New Roman" w:hAnsi="Times New Roman" w:cs="Times New Roman"/>
          <w:sz w:val="24"/>
          <w:szCs w:val="24"/>
        </w:rPr>
        <w:t xml:space="preserve">, at virksomheder og personer omfattet af hvidvaskreglerne, der ikke er et kreditinstitut, </w:t>
      </w:r>
      <w:r w:rsidR="00EA770E" w:rsidRPr="00796736">
        <w:rPr>
          <w:rFonts w:ascii="Times New Roman" w:eastAsia="Calibri" w:hAnsi="Times New Roman" w:cs="Times New Roman"/>
          <w:sz w:val="24"/>
          <w:szCs w:val="24"/>
        </w:rPr>
        <w:t>udstedere af elektroniske penge eller betalingstjenesteudbydere,</w:t>
      </w:r>
      <w:r w:rsidR="00EA770E" w:rsidRPr="00796736">
        <w:rPr>
          <w:rFonts w:ascii="Times New Roman" w:hAnsi="Times New Roman" w:cs="Times New Roman"/>
          <w:sz w:val="24"/>
          <w:szCs w:val="24"/>
        </w:rPr>
        <w:t xml:space="preserve"> kun må modtage eller foretage en kontantbetaling på 10.000 EUR eller et tilsvarende beløb i en anden valuta.</w:t>
      </w:r>
    </w:p>
    <w:p w14:paraId="1253F635" w14:textId="77777777" w:rsidR="00491587" w:rsidRPr="00796736" w:rsidRDefault="00491587" w:rsidP="00A802A5">
      <w:pPr>
        <w:spacing w:line="360" w:lineRule="auto"/>
        <w:rPr>
          <w:rFonts w:ascii="Times New Roman" w:hAnsi="Times New Roman" w:cs="Times New Roman"/>
          <w:sz w:val="24"/>
          <w:szCs w:val="24"/>
        </w:rPr>
      </w:pPr>
    </w:p>
    <w:p w14:paraId="2596F934" w14:textId="148CB8C0" w:rsidR="00EA770E" w:rsidRPr="00796736" w:rsidRDefault="00EA770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Endvidere foreslås det</w:t>
      </w:r>
      <w:r w:rsidR="00491587" w:rsidRPr="00796736">
        <w:rPr>
          <w:rFonts w:ascii="Times New Roman" w:hAnsi="Times New Roman" w:cs="Times New Roman"/>
          <w:sz w:val="24"/>
          <w:szCs w:val="24"/>
        </w:rPr>
        <w:t xml:space="preserve"> i </w:t>
      </w:r>
      <w:r w:rsidR="00491587" w:rsidRPr="00796736">
        <w:rPr>
          <w:rFonts w:ascii="Times New Roman" w:hAnsi="Times New Roman" w:cs="Times New Roman"/>
          <w:sz w:val="24"/>
          <w:szCs w:val="24"/>
        </w:rPr>
        <w:fldChar w:fldCharType="begin"/>
      </w:r>
      <w:r w:rsidR="00491587" w:rsidRPr="00796736">
        <w:rPr>
          <w:rFonts w:ascii="Times New Roman" w:hAnsi="Times New Roman" w:cs="Times New Roman"/>
          <w:sz w:val="24"/>
          <w:szCs w:val="24"/>
        </w:rPr>
        <w:instrText xml:space="preserve"> REF _Ref232592944 \r \h  \* MERGEFORMAT </w:instrText>
      </w:r>
      <w:r w:rsidR="00491587" w:rsidRPr="00796736">
        <w:rPr>
          <w:rFonts w:ascii="Times New Roman" w:hAnsi="Times New Roman" w:cs="Times New Roman"/>
          <w:sz w:val="24"/>
          <w:szCs w:val="24"/>
        </w:rPr>
      </w:r>
      <w:r w:rsidR="0049158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w:t>
      </w:r>
      <w:r w:rsidR="00491587" w:rsidRPr="00796736">
        <w:rPr>
          <w:rFonts w:ascii="Times New Roman" w:hAnsi="Times New Roman" w:cs="Times New Roman"/>
          <w:sz w:val="24"/>
          <w:szCs w:val="24"/>
        </w:rPr>
        <w:fldChar w:fldCharType="end"/>
      </w:r>
      <w:r w:rsidR="00491587" w:rsidRPr="00796736">
        <w:rPr>
          <w:rFonts w:ascii="Times New Roman" w:hAnsi="Times New Roman" w:cs="Times New Roman"/>
          <w:sz w:val="24"/>
          <w:szCs w:val="24"/>
        </w:rPr>
        <w:t>, stk. 2,</w:t>
      </w:r>
      <w:r w:rsidRPr="00796736">
        <w:rPr>
          <w:rFonts w:ascii="Times New Roman" w:hAnsi="Times New Roman" w:cs="Times New Roman"/>
          <w:sz w:val="24"/>
          <w:szCs w:val="24"/>
        </w:rPr>
        <w:t xml:space="preserve"> at videreføre det gældende kontantforbud for alle andre erhvervsdrivende, som ikke er omfattet af hvidvaskreglerne, og som handler med varer og tjenesteydelser, alene må modtage eller foretage kontantbetaling</w:t>
      </w:r>
      <w:r w:rsidR="00491587" w:rsidRPr="00796736">
        <w:rPr>
          <w:rFonts w:ascii="Times New Roman" w:hAnsi="Times New Roman" w:cs="Times New Roman"/>
          <w:sz w:val="24"/>
          <w:szCs w:val="24"/>
        </w:rPr>
        <w:t>er</w:t>
      </w:r>
      <w:r w:rsidRPr="00796736">
        <w:rPr>
          <w:rFonts w:ascii="Times New Roman" w:hAnsi="Times New Roman" w:cs="Times New Roman"/>
          <w:sz w:val="24"/>
          <w:szCs w:val="24"/>
        </w:rPr>
        <w:t xml:space="preserve"> på</w:t>
      </w:r>
      <w:r w:rsidR="00491587" w:rsidRPr="00796736">
        <w:rPr>
          <w:rFonts w:ascii="Times New Roman" w:hAnsi="Times New Roman" w:cs="Times New Roman"/>
          <w:sz w:val="24"/>
          <w:szCs w:val="24"/>
        </w:rPr>
        <w:t xml:space="preserve"> optil</w:t>
      </w:r>
      <w:r w:rsidRPr="00796736">
        <w:rPr>
          <w:rFonts w:ascii="Times New Roman" w:hAnsi="Times New Roman" w:cs="Times New Roman"/>
          <w:sz w:val="24"/>
          <w:szCs w:val="24"/>
        </w:rPr>
        <w:t xml:space="preserve"> 14.999 kr. eller et tilsvarende beløb i en anden valuta.  </w:t>
      </w:r>
    </w:p>
    <w:p w14:paraId="5ABBE464" w14:textId="77777777" w:rsidR="00A240FB" w:rsidRPr="00796736" w:rsidRDefault="00A240FB" w:rsidP="00A802A5">
      <w:pPr>
        <w:spacing w:line="360" w:lineRule="auto"/>
        <w:rPr>
          <w:rFonts w:ascii="Times New Roman" w:hAnsi="Times New Roman" w:cs="Times New Roman"/>
          <w:sz w:val="24"/>
          <w:szCs w:val="24"/>
        </w:rPr>
      </w:pPr>
    </w:p>
    <w:p w14:paraId="05AB20A2" w14:textId="6FFDD4E7" w:rsidR="004573B9" w:rsidRPr="00796736" w:rsidRDefault="00BC298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foreslås det i</w:t>
      </w:r>
      <w:r w:rsidR="00491587" w:rsidRPr="00796736">
        <w:rPr>
          <w:rFonts w:ascii="Times New Roman" w:hAnsi="Times New Roman" w:cs="Times New Roman"/>
          <w:sz w:val="24"/>
          <w:szCs w:val="24"/>
        </w:rPr>
        <w:t xml:space="preserve"> </w:t>
      </w:r>
      <w:r w:rsidR="00491587" w:rsidRPr="00796736">
        <w:rPr>
          <w:rFonts w:ascii="Times New Roman" w:hAnsi="Times New Roman" w:cs="Times New Roman"/>
          <w:sz w:val="24"/>
          <w:szCs w:val="24"/>
        </w:rPr>
        <w:fldChar w:fldCharType="begin"/>
      </w:r>
      <w:r w:rsidR="00491587" w:rsidRPr="00796736">
        <w:rPr>
          <w:rFonts w:ascii="Times New Roman" w:hAnsi="Times New Roman" w:cs="Times New Roman"/>
          <w:sz w:val="24"/>
          <w:szCs w:val="24"/>
        </w:rPr>
        <w:instrText xml:space="preserve"> REF _Ref232592944 \r \h  \* MERGEFORMAT </w:instrText>
      </w:r>
      <w:r w:rsidR="00491587" w:rsidRPr="00796736">
        <w:rPr>
          <w:rFonts w:ascii="Times New Roman" w:hAnsi="Times New Roman" w:cs="Times New Roman"/>
          <w:sz w:val="24"/>
          <w:szCs w:val="24"/>
        </w:rPr>
      </w:r>
      <w:r w:rsidR="0049158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w:t>
      </w:r>
      <w:r w:rsidR="00491587" w:rsidRPr="00796736">
        <w:rPr>
          <w:rFonts w:ascii="Times New Roman" w:hAnsi="Times New Roman" w:cs="Times New Roman"/>
          <w:sz w:val="24"/>
          <w:szCs w:val="24"/>
        </w:rPr>
        <w:fldChar w:fldCharType="end"/>
      </w:r>
      <w:r w:rsidR="00491587" w:rsidRPr="00796736">
        <w:rPr>
          <w:rFonts w:ascii="Times New Roman" w:hAnsi="Times New Roman" w:cs="Times New Roman"/>
          <w:sz w:val="24"/>
          <w:szCs w:val="24"/>
        </w:rPr>
        <w:t>,</w:t>
      </w:r>
      <w:r w:rsidRPr="00796736">
        <w:rPr>
          <w:rFonts w:ascii="Times New Roman" w:hAnsi="Times New Roman" w:cs="Times New Roman"/>
          <w:sz w:val="24"/>
          <w:szCs w:val="24"/>
        </w:rPr>
        <w:t xml:space="preserve"> stk. 3, at </w:t>
      </w:r>
      <w:r w:rsidR="00A240FB" w:rsidRPr="00796736">
        <w:rPr>
          <w:rFonts w:ascii="Times New Roman" w:hAnsi="Times New Roman" w:cs="Times New Roman"/>
          <w:sz w:val="24"/>
          <w:szCs w:val="24"/>
        </w:rPr>
        <w:t>skatte- og vækstministeren</w:t>
      </w:r>
      <w:r w:rsidR="00200665" w:rsidRPr="00796736">
        <w:rPr>
          <w:rFonts w:ascii="Times New Roman" w:hAnsi="Times New Roman" w:cs="Times New Roman"/>
          <w:sz w:val="24"/>
          <w:szCs w:val="24"/>
        </w:rPr>
        <w:t xml:space="preserve"> eller erhvervs- og konkurrencekraftsministeren</w:t>
      </w:r>
      <w:r w:rsidR="00257777" w:rsidRPr="00796736">
        <w:rPr>
          <w:rFonts w:ascii="Times New Roman" w:hAnsi="Times New Roman" w:cs="Times New Roman"/>
          <w:sz w:val="24"/>
          <w:szCs w:val="24"/>
        </w:rPr>
        <w:t>, eller</w:t>
      </w:r>
      <w:r w:rsidRPr="00796736">
        <w:rPr>
          <w:rFonts w:ascii="Times New Roman" w:hAnsi="Times New Roman" w:cs="Times New Roman"/>
          <w:sz w:val="24"/>
          <w:szCs w:val="24"/>
        </w:rPr>
        <w:t xml:space="preserve"> </w:t>
      </w:r>
      <w:r w:rsidR="00257777" w:rsidRPr="00796736">
        <w:rPr>
          <w:rFonts w:ascii="Times New Roman" w:hAnsi="Times New Roman" w:cs="Times New Roman"/>
          <w:sz w:val="24"/>
          <w:szCs w:val="24"/>
        </w:rPr>
        <w:t>d</w:t>
      </w:r>
      <w:r w:rsidRPr="00796736">
        <w:rPr>
          <w:rFonts w:ascii="Times New Roman" w:hAnsi="Times New Roman" w:cs="Times New Roman"/>
          <w:sz w:val="24"/>
          <w:szCs w:val="24"/>
        </w:rPr>
        <w:t>en</w:t>
      </w:r>
      <w:r w:rsidR="00257777" w:rsidRPr="00796736">
        <w:rPr>
          <w:rFonts w:ascii="Times New Roman" w:hAnsi="Times New Roman" w:cs="Times New Roman"/>
          <w:sz w:val="24"/>
          <w:szCs w:val="24"/>
        </w:rPr>
        <w:t>, som ministrene bemyndiger dertil, i særlige tilfælde</w:t>
      </w:r>
      <w:r w:rsidR="00491587" w:rsidRPr="00796736">
        <w:rPr>
          <w:rFonts w:ascii="Times New Roman" w:hAnsi="Times New Roman" w:cs="Times New Roman"/>
          <w:sz w:val="24"/>
          <w:szCs w:val="24"/>
        </w:rPr>
        <w:t xml:space="preserve"> kan</w:t>
      </w:r>
      <w:r w:rsidRPr="00796736">
        <w:rPr>
          <w:rFonts w:ascii="Times New Roman" w:hAnsi="Times New Roman" w:cs="Times New Roman"/>
          <w:sz w:val="24"/>
          <w:szCs w:val="24"/>
        </w:rPr>
        <w:t xml:space="preserve"> suspendere kontantforbuddet</w:t>
      </w:r>
      <w:r w:rsidR="00257777" w:rsidRPr="00796736">
        <w:rPr>
          <w:rFonts w:ascii="Times New Roman" w:hAnsi="Times New Roman" w:cs="Times New Roman"/>
          <w:sz w:val="24"/>
          <w:szCs w:val="24"/>
        </w:rPr>
        <w:t xml:space="preserve">. </w:t>
      </w:r>
    </w:p>
    <w:p w14:paraId="669CAFEE" w14:textId="77777777" w:rsidR="004877E0" w:rsidRPr="00796736" w:rsidRDefault="004877E0" w:rsidP="00A802A5">
      <w:pPr>
        <w:spacing w:line="360" w:lineRule="auto"/>
        <w:rPr>
          <w:rFonts w:ascii="Times New Roman" w:hAnsi="Times New Roman" w:cs="Times New Roman"/>
          <w:sz w:val="24"/>
          <w:szCs w:val="24"/>
        </w:rPr>
      </w:pPr>
    </w:p>
    <w:p w14:paraId="30188690" w14:textId="0D4249C5" w:rsidR="004877E0" w:rsidRPr="00796736" w:rsidRDefault="004877E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henvises til lovforslagets </w:t>
      </w:r>
      <w:r w:rsidR="009F308E" w:rsidRPr="00796736">
        <w:rPr>
          <w:rFonts w:ascii="Times New Roman" w:hAnsi="Times New Roman" w:cs="Times New Roman"/>
          <w:sz w:val="24"/>
          <w:szCs w:val="24"/>
        </w:rPr>
        <w:fldChar w:fldCharType="begin"/>
      </w:r>
      <w:r w:rsidR="009F308E" w:rsidRPr="00796736">
        <w:rPr>
          <w:rFonts w:ascii="Times New Roman" w:hAnsi="Times New Roman" w:cs="Times New Roman"/>
          <w:sz w:val="24"/>
          <w:szCs w:val="24"/>
        </w:rPr>
        <w:instrText xml:space="preserve"> REF _Ref232592944 \r \h </w:instrText>
      </w:r>
      <w:r w:rsidR="00967618" w:rsidRPr="00796736">
        <w:rPr>
          <w:rFonts w:ascii="Times New Roman" w:hAnsi="Times New Roman" w:cs="Times New Roman"/>
          <w:sz w:val="24"/>
          <w:szCs w:val="24"/>
        </w:rPr>
        <w:instrText xml:space="preserve"> \* MERGEFORMAT </w:instrText>
      </w:r>
      <w:r w:rsidR="009F308E" w:rsidRPr="00796736">
        <w:rPr>
          <w:rFonts w:ascii="Times New Roman" w:hAnsi="Times New Roman" w:cs="Times New Roman"/>
          <w:sz w:val="24"/>
          <w:szCs w:val="24"/>
        </w:rPr>
      </w:r>
      <w:r w:rsidR="009F308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w:t>
      </w:r>
      <w:r w:rsidR="009F308E" w:rsidRPr="00796736">
        <w:rPr>
          <w:rFonts w:ascii="Times New Roman" w:hAnsi="Times New Roman" w:cs="Times New Roman"/>
          <w:sz w:val="24"/>
          <w:szCs w:val="24"/>
        </w:rPr>
        <w:fldChar w:fldCharType="end"/>
      </w:r>
      <w:r w:rsidR="009F308E"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011224C0" w14:textId="77777777" w:rsidR="004877E0" w:rsidRPr="00796736" w:rsidRDefault="004877E0" w:rsidP="00A802A5">
      <w:pPr>
        <w:spacing w:line="360" w:lineRule="auto"/>
        <w:rPr>
          <w:rFonts w:ascii="Times New Roman" w:hAnsi="Times New Roman" w:cs="Times New Roman"/>
          <w:sz w:val="24"/>
          <w:szCs w:val="24"/>
        </w:rPr>
      </w:pPr>
    </w:p>
    <w:p w14:paraId="1F11E110" w14:textId="2256F003" w:rsidR="00CD23C3" w:rsidRPr="00796736" w:rsidRDefault="00CD23C3" w:rsidP="00A802A5">
      <w:pPr>
        <w:pStyle w:val="Overskrift2"/>
        <w:rPr>
          <w:rFonts w:ascii="Times New Roman" w:hAnsi="Times New Roman"/>
          <w:sz w:val="24"/>
        </w:rPr>
      </w:pPr>
      <w:bookmarkStart w:id="848" w:name="_Toc232109012"/>
      <w:bookmarkStart w:id="849" w:name="_Ref232942548"/>
      <w:bookmarkStart w:id="850" w:name="_Toc244880721"/>
      <w:r w:rsidRPr="00796736">
        <w:rPr>
          <w:rFonts w:ascii="Times New Roman" w:hAnsi="Times New Roman"/>
          <w:sz w:val="24"/>
        </w:rPr>
        <w:t>Falske penge</w:t>
      </w:r>
      <w:bookmarkEnd w:id="848"/>
      <w:bookmarkEnd w:id="849"/>
      <w:bookmarkEnd w:id="850"/>
      <w:r w:rsidRPr="00796736">
        <w:rPr>
          <w:rFonts w:ascii="Times New Roman" w:hAnsi="Times New Roman"/>
          <w:sz w:val="24"/>
        </w:rPr>
        <w:t xml:space="preserve"> </w:t>
      </w:r>
    </w:p>
    <w:p w14:paraId="0BF3D4A5" w14:textId="4DFB4A8D" w:rsidR="00CD23C3" w:rsidRPr="00796736" w:rsidRDefault="00CD23C3" w:rsidP="00A802A5">
      <w:pPr>
        <w:pStyle w:val="Overskrift4"/>
        <w:rPr>
          <w:rFonts w:ascii="Times New Roman" w:hAnsi="Times New Roman" w:cs="Times New Roman"/>
          <w:sz w:val="24"/>
          <w:szCs w:val="24"/>
        </w:rPr>
      </w:pPr>
      <w:bookmarkStart w:id="851" w:name="_Toc232109013"/>
      <w:r w:rsidRPr="00796736">
        <w:rPr>
          <w:rFonts w:ascii="Times New Roman" w:hAnsi="Times New Roman" w:cs="Times New Roman"/>
          <w:sz w:val="24"/>
          <w:szCs w:val="24"/>
        </w:rPr>
        <w:t>Gældende ret</w:t>
      </w:r>
      <w:bookmarkEnd w:id="851"/>
    </w:p>
    <w:p w14:paraId="7AFA553D" w14:textId="55023FA2" w:rsidR="00CD23C3" w:rsidRPr="00796736" w:rsidRDefault="00CD23C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hvidvasklovens § 6</w:t>
      </w:r>
      <w:r w:rsidR="00491587" w:rsidRPr="00796736">
        <w:rPr>
          <w:rFonts w:ascii="Times New Roman" w:eastAsia="Times New Roman" w:hAnsi="Times New Roman" w:cs="Times New Roman"/>
          <w:sz w:val="24"/>
          <w:szCs w:val="24"/>
        </w:rPr>
        <w:t>, stk. 1</w:t>
      </w:r>
      <w:r w:rsidRPr="00796736">
        <w:rPr>
          <w:rFonts w:ascii="Times New Roman" w:eastAsia="Times New Roman" w:hAnsi="Times New Roman" w:cs="Times New Roman"/>
          <w:sz w:val="24"/>
          <w:szCs w:val="24"/>
        </w:rPr>
        <w:t xml:space="preserve">, at virksomheder og personer, der som led i deres virksomhed deltager i håndtering og udlevering af pengesedler og mønter til offentligheden – herunder virksomheder og personer, hvis aktivitet består i at veksle pengesedler og mønter i forskellig valuta – har pligt til at tage alle sedler og mønter, som de ved eller har grund til at tro er falske, ud af omløb. Sedler og mønter, der er taget ud af omløb i overensstemmelse med denne pligt, skal straks overgives til politiet. </w:t>
      </w:r>
    </w:p>
    <w:p w14:paraId="70A4FD7E" w14:textId="77777777" w:rsidR="00CD23C3" w:rsidRPr="00796736" w:rsidRDefault="00CD23C3" w:rsidP="00A802A5">
      <w:pPr>
        <w:spacing w:line="360" w:lineRule="auto"/>
        <w:rPr>
          <w:rFonts w:ascii="Times New Roman" w:eastAsia="Times New Roman" w:hAnsi="Times New Roman" w:cs="Times New Roman"/>
          <w:sz w:val="24"/>
          <w:szCs w:val="24"/>
        </w:rPr>
      </w:pPr>
    </w:p>
    <w:p w14:paraId="049DC031" w14:textId="77777777" w:rsidR="00CD23C3" w:rsidRPr="00796736" w:rsidRDefault="00CD23C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Stk. 2 præciserer, at stk. 1 ikke finder anvendelse på sedler og mønter i euro, idet der allerede gælder en tilsvarende forpligtelse i henhold til artikel 6, stk. 1, i Rådets forordning 2009/44/EF om ændring af forordning 2001/1338/EF. Denne forordning fastlægger de nødvendige foranstaltninger til beskyttelse af euroen mod falskmøntneri og indeholder en lignende pligt til at tage formodede falske eurosedler og euromønter ud af omløb og overgive dem til myndighederne.</w:t>
      </w:r>
    </w:p>
    <w:p w14:paraId="2A3579D7" w14:textId="77777777" w:rsidR="00CD23C3" w:rsidRPr="00796736" w:rsidRDefault="00CD23C3" w:rsidP="00A802A5">
      <w:pPr>
        <w:spacing w:line="360" w:lineRule="auto"/>
        <w:rPr>
          <w:rFonts w:ascii="Times New Roman" w:hAnsi="Times New Roman" w:cs="Times New Roman"/>
          <w:sz w:val="24"/>
          <w:szCs w:val="24"/>
        </w:rPr>
      </w:pPr>
    </w:p>
    <w:p w14:paraId="55036D2D" w14:textId="39EADBC6" w:rsidR="00CD23C3" w:rsidRPr="00796736" w:rsidRDefault="00CD23C3" w:rsidP="00A802A5">
      <w:pPr>
        <w:pStyle w:val="Overskrift4"/>
        <w:rPr>
          <w:rFonts w:ascii="Times New Roman" w:hAnsi="Times New Roman" w:cs="Times New Roman"/>
          <w:sz w:val="24"/>
          <w:szCs w:val="24"/>
        </w:rPr>
      </w:pPr>
      <w:bookmarkStart w:id="852" w:name="_Toc232109014"/>
      <w:r w:rsidRPr="00796736">
        <w:rPr>
          <w:rFonts w:ascii="Times New Roman" w:eastAsia="Times New Roman" w:hAnsi="Times New Roman" w:cs="Times New Roman"/>
          <w:sz w:val="24"/>
          <w:szCs w:val="24"/>
        </w:rPr>
        <w:t>Rådets forordning (EF) nr. 1338/2001</w:t>
      </w:r>
      <w:bookmarkEnd w:id="852"/>
    </w:p>
    <w:p w14:paraId="6610D418" w14:textId="77777777" w:rsidR="00CD23C3" w:rsidRPr="00796736" w:rsidRDefault="00CD23C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 stk. 1, i Rådets forordning (EF) nr. 1338/2001, som ændret ved forordning (EF) nr. 44/2009, at kreditinstitutter samt alle andre institutter, der som led i deres virksomhed deltager i håndtering og udlevering af pengesedler og mønter til offentligheden – herunder institutter, hvis aktivitet består i veksling af pengesedler og mønter i forskellig valuta, såsom vekselkontorer – har pligt til at tage alle eurosedler og euromønter, som de ved eller har tilstrækkelige grunde til at tro er falske, ud af omløb. Disse sedler og mønter skal straks overgives til de kompetente nationale myndigheder.</w:t>
      </w:r>
    </w:p>
    <w:p w14:paraId="2EA595E1" w14:textId="77777777" w:rsidR="00CD23C3" w:rsidRPr="00796736" w:rsidRDefault="00CD23C3" w:rsidP="00A802A5">
      <w:pPr>
        <w:spacing w:line="360" w:lineRule="auto"/>
        <w:rPr>
          <w:rFonts w:ascii="Times New Roman" w:eastAsia="Times New Roman" w:hAnsi="Times New Roman" w:cs="Times New Roman"/>
          <w:sz w:val="24"/>
          <w:szCs w:val="24"/>
        </w:rPr>
      </w:pPr>
    </w:p>
    <w:p w14:paraId="2FB5301C" w14:textId="0288B029" w:rsidR="00CD23C3" w:rsidRPr="00796736" w:rsidRDefault="00CD23C3" w:rsidP="00A802A5">
      <w:pPr>
        <w:spacing w:line="360" w:lineRule="auto"/>
        <w:rPr>
          <w:rFonts w:ascii="Times New Roman" w:eastAsia="Calibri" w:hAnsi="Times New Roman" w:cs="Times New Roman"/>
          <w:sz w:val="24"/>
          <w:szCs w:val="24"/>
        </w:rPr>
      </w:pPr>
      <w:r w:rsidRPr="00796736">
        <w:rPr>
          <w:rFonts w:ascii="Times New Roman" w:eastAsia="Times New Roman" w:hAnsi="Times New Roman" w:cs="Times New Roman"/>
          <w:sz w:val="24"/>
          <w:szCs w:val="24"/>
        </w:rPr>
        <w:t>De</w:t>
      </w:r>
      <w:r w:rsidR="00491587" w:rsidRPr="00796736">
        <w:rPr>
          <w:rFonts w:ascii="Times New Roman" w:eastAsia="Times New Roman" w:hAnsi="Times New Roman" w:cs="Times New Roman"/>
          <w:sz w:val="24"/>
          <w:szCs w:val="24"/>
        </w:rPr>
        <w:t>r</w:t>
      </w:r>
      <w:r w:rsidRPr="00796736">
        <w:rPr>
          <w:rFonts w:ascii="Times New Roman" w:eastAsia="Times New Roman" w:hAnsi="Times New Roman" w:cs="Times New Roman"/>
          <w:sz w:val="24"/>
          <w:szCs w:val="24"/>
        </w:rPr>
        <w:t xml:space="preserve"> følger af</w:t>
      </w:r>
      <w:r w:rsidRPr="00796736">
        <w:rPr>
          <w:rFonts w:ascii="Times New Roman" w:eastAsia="Calibri" w:hAnsi="Times New Roman" w:cs="Times New Roman"/>
          <w:sz w:val="24"/>
          <w:szCs w:val="24"/>
        </w:rPr>
        <w:t xml:space="preserve"> artikel 6, stk. 2, en forpligtelse for medlemsstaterne til at træffe de nødvendige foranstaltninger for at sikre, at de pågældende institutter, der undlader at opfylde deres forpligtelser efter bestemmelsen, kan pålægges sanktioner, der skal være effektive, stå i et rimeligt forhold til overtrædelsen og have afskrækkende virkning.</w:t>
      </w:r>
    </w:p>
    <w:p w14:paraId="53646385" w14:textId="77777777" w:rsidR="004877E0" w:rsidRPr="00796736" w:rsidRDefault="004877E0" w:rsidP="00A802A5">
      <w:pPr>
        <w:spacing w:line="360" w:lineRule="auto"/>
        <w:rPr>
          <w:rFonts w:ascii="Times New Roman" w:eastAsia="Calibri" w:hAnsi="Times New Roman" w:cs="Times New Roman"/>
          <w:sz w:val="24"/>
          <w:szCs w:val="24"/>
        </w:rPr>
      </w:pPr>
    </w:p>
    <w:p w14:paraId="238421D0" w14:textId="333D9720" w:rsidR="00CD23C3" w:rsidRPr="00796736" w:rsidRDefault="00CD23C3" w:rsidP="00A802A5">
      <w:pPr>
        <w:pStyle w:val="Overskrift4"/>
        <w:rPr>
          <w:rFonts w:ascii="Times New Roman" w:hAnsi="Times New Roman" w:cs="Times New Roman"/>
          <w:sz w:val="24"/>
          <w:szCs w:val="24"/>
        </w:rPr>
      </w:pPr>
      <w:bookmarkStart w:id="853" w:name="_Toc232109015"/>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853"/>
    </w:p>
    <w:p w14:paraId="65555AEE" w14:textId="1439CE40" w:rsidR="00CD23C3" w:rsidRPr="00796736" w:rsidRDefault="00CD23C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 xml:space="preserve">ækstministeriet vil generelt videreføre anvendelsesområdet i den nugældende hvidvasklov, </w:t>
      </w:r>
      <w:r w:rsidR="00491587" w:rsidRPr="00796736">
        <w:rPr>
          <w:rFonts w:ascii="Times New Roman" w:eastAsia="Calibri" w:hAnsi="Times New Roman" w:cs="Times New Roman"/>
          <w:sz w:val="24"/>
          <w:szCs w:val="24"/>
        </w:rPr>
        <w:t>så</w:t>
      </w:r>
      <w:r w:rsidRPr="00796736">
        <w:rPr>
          <w:rFonts w:ascii="Times New Roman" w:eastAsia="Calibri" w:hAnsi="Times New Roman" w:cs="Times New Roman"/>
          <w:sz w:val="24"/>
          <w:szCs w:val="24"/>
        </w:rPr>
        <w:t xml:space="preserve"> pligten til at tage formodede falske pengesedler og mønter ud af omløb fortsat gælder for virksomheder og personer, der som led i deres virksomhed håndterer og udleverer pengesedler og mønter til offentligheden. Dette omfatter også virksomheder og personer, hvis aktivitet består i at veksle pengesedler og mønter i forskellig valuta.</w:t>
      </w:r>
    </w:p>
    <w:p w14:paraId="168E3B9F" w14:textId="77777777" w:rsidR="00CD23C3" w:rsidRPr="00796736" w:rsidRDefault="00CD23C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bestemmelsen om falske penge finder anvendelse på virksomheder og personer, der som led i deres virksomhed deltager i håndtering og udlevering af pengesedler og mønter. Pligten til at tage formodede falske penge ud af omløb og straks overgive dem til politiet videreføres, idet der dog fortsat gælder en særskilt ordning for eurosedler og euromønter i henhold til EU-forordningen.</w:t>
      </w:r>
    </w:p>
    <w:p w14:paraId="6B22A637" w14:textId="0EB17353" w:rsidR="00E67671" w:rsidRPr="00796736" w:rsidRDefault="004877E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henvises til lovforslagets </w:t>
      </w:r>
      <w:r w:rsidR="009F308E" w:rsidRPr="00796736">
        <w:rPr>
          <w:rFonts w:ascii="Times New Roman" w:hAnsi="Times New Roman" w:cs="Times New Roman"/>
          <w:sz w:val="24"/>
          <w:szCs w:val="24"/>
        </w:rPr>
        <w:fldChar w:fldCharType="begin"/>
      </w:r>
      <w:r w:rsidR="009F308E" w:rsidRPr="00796736">
        <w:rPr>
          <w:rFonts w:ascii="Times New Roman" w:hAnsi="Times New Roman" w:cs="Times New Roman"/>
          <w:sz w:val="24"/>
          <w:szCs w:val="24"/>
        </w:rPr>
        <w:instrText xml:space="preserve"> REF _Ref232593034 \r \h </w:instrText>
      </w:r>
      <w:r w:rsidR="00967618" w:rsidRPr="00796736">
        <w:rPr>
          <w:rFonts w:ascii="Times New Roman" w:hAnsi="Times New Roman" w:cs="Times New Roman"/>
          <w:sz w:val="24"/>
          <w:szCs w:val="24"/>
        </w:rPr>
        <w:instrText xml:space="preserve"> \* MERGEFORMAT </w:instrText>
      </w:r>
      <w:r w:rsidR="009F308E" w:rsidRPr="00796736">
        <w:rPr>
          <w:rFonts w:ascii="Times New Roman" w:hAnsi="Times New Roman" w:cs="Times New Roman"/>
          <w:sz w:val="24"/>
          <w:szCs w:val="24"/>
        </w:rPr>
      </w:r>
      <w:r w:rsidR="009F308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w:t>
      </w:r>
      <w:r w:rsidR="009F308E" w:rsidRPr="00796736">
        <w:rPr>
          <w:rFonts w:ascii="Times New Roman" w:hAnsi="Times New Roman" w:cs="Times New Roman"/>
          <w:sz w:val="24"/>
          <w:szCs w:val="24"/>
        </w:rPr>
        <w:fldChar w:fldCharType="end"/>
      </w:r>
      <w:r w:rsidR="009F308E"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7FFAEBFF" w14:textId="4CA5AFD9" w:rsidR="00C85E2A" w:rsidRPr="00796736" w:rsidRDefault="006262B3" w:rsidP="00A802A5">
      <w:pPr>
        <w:pStyle w:val="Overskrift2"/>
        <w:rPr>
          <w:rFonts w:ascii="Times New Roman" w:hAnsi="Times New Roman"/>
          <w:sz w:val="24"/>
        </w:rPr>
      </w:pPr>
      <w:bookmarkStart w:id="854" w:name="_Toc229739625"/>
      <w:bookmarkStart w:id="855" w:name="_Toc232109016"/>
      <w:bookmarkStart w:id="856" w:name="_Ref232942571"/>
      <w:bookmarkStart w:id="857" w:name="_Toc244880722"/>
      <w:r w:rsidRPr="00796736">
        <w:rPr>
          <w:rFonts w:ascii="Times New Roman" w:hAnsi="Times New Roman"/>
          <w:sz w:val="24"/>
        </w:rPr>
        <w:t xml:space="preserve">Forbud mod </w:t>
      </w:r>
      <w:r w:rsidR="00E67671" w:rsidRPr="00796736">
        <w:rPr>
          <w:rFonts w:ascii="Times New Roman" w:hAnsi="Times New Roman"/>
          <w:sz w:val="24"/>
        </w:rPr>
        <w:t>brug</w:t>
      </w:r>
      <w:r w:rsidRPr="00796736">
        <w:rPr>
          <w:rFonts w:ascii="Times New Roman" w:hAnsi="Times New Roman"/>
          <w:sz w:val="24"/>
        </w:rPr>
        <w:t xml:space="preserve"> af 500-eurosedler</w:t>
      </w:r>
      <w:bookmarkEnd w:id="854"/>
      <w:bookmarkEnd w:id="855"/>
      <w:bookmarkEnd w:id="856"/>
      <w:bookmarkEnd w:id="857"/>
      <w:r w:rsidRPr="00796736">
        <w:rPr>
          <w:rFonts w:ascii="Times New Roman" w:hAnsi="Times New Roman"/>
          <w:sz w:val="24"/>
        </w:rPr>
        <w:t xml:space="preserve"> </w:t>
      </w:r>
      <w:r w:rsidR="00071187" w:rsidRPr="00796736">
        <w:rPr>
          <w:rFonts w:ascii="Times New Roman" w:hAnsi="Times New Roman"/>
          <w:sz w:val="24"/>
        </w:rPr>
        <w:t xml:space="preserve"> </w:t>
      </w:r>
    </w:p>
    <w:p w14:paraId="583C83DB" w14:textId="3B264074" w:rsidR="00C85E2A" w:rsidRPr="00796736" w:rsidRDefault="00C85E2A" w:rsidP="00A802A5">
      <w:pPr>
        <w:pStyle w:val="Overskrift4"/>
        <w:rPr>
          <w:rFonts w:ascii="Times New Roman" w:hAnsi="Times New Roman" w:cs="Times New Roman"/>
          <w:sz w:val="24"/>
          <w:szCs w:val="24"/>
        </w:rPr>
      </w:pPr>
      <w:bookmarkStart w:id="858" w:name="_Toc229739626"/>
      <w:bookmarkStart w:id="859" w:name="_Toc232109017"/>
      <w:r w:rsidRPr="00796736">
        <w:rPr>
          <w:rFonts w:ascii="Times New Roman" w:hAnsi="Times New Roman" w:cs="Times New Roman"/>
          <w:sz w:val="24"/>
          <w:szCs w:val="24"/>
        </w:rPr>
        <w:t>Gældende ret</w:t>
      </w:r>
      <w:bookmarkEnd w:id="858"/>
      <w:bookmarkEnd w:id="859"/>
    </w:p>
    <w:p w14:paraId="539F4407" w14:textId="77777777" w:rsidR="001A5922" w:rsidRPr="00796736" w:rsidRDefault="001A59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6 a må 500-eurosedler ikke anvendes, herunder udleveres, indleveres, veksles, bruges som betalingsmiddel eller overdrages, i Danmark. Bestemmelsen blev indført med lov nr. 553 af 7. maj 2019 om ændring af hvidvaskloven og lov om finansiel virksomhed (Gennemførelse af 5. hvidvaskdirektiv), men udgør ikke en implementering af direktivets bestemmelser. </w:t>
      </w:r>
    </w:p>
    <w:p w14:paraId="2001B3A3" w14:textId="0115587D" w:rsidR="001A5922" w:rsidRPr="00796736" w:rsidRDefault="001A59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bemærkningerne til bestemmelsen, at forbuddet alene gælder i Danmark, og at den dermed ikke indebærer indskrænkninger i forhold til at anvende 500-eurosedler i andre lande end Danmark. Det vil fortsat være lovligt at besidde 500-eurosedler med henblik på anvendelse i udlandet, herunder at ind- og udføre dem i forbindelse med f.eks. udlandsrejser. Den blotte besiddelse af 500-eurosedler vil ikke være omfattet af forbuddet, og det vil således ikke være ulovligt </w:t>
      </w:r>
      <w:r w:rsidR="00491587" w:rsidRPr="00796736">
        <w:rPr>
          <w:rFonts w:ascii="Times New Roman" w:hAnsi="Times New Roman" w:cs="Times New Roman"/>
          <w:sz w:val="24"/>
          <w:szCs w:val="24"/>
        </w:rPr>
        <w:t>f.eks.</w:t>
      </w:r>
      <w:r w:rsidRPr="00796736">
        <w:rPr>
          <w:rFonts w:ascii="Times New Roman" w:hAnsi="Times New Roman" w:cs="Times New Roman"/>
          <w:sz w:val="24"/>
          <w:szCs w:val="24"/>
        </w:rPr>
        <w:t xml:space="preserve"> at besidde 500-eurosedler grundet ophold i udlandet med legitime formål, f.eks. ferie eller forretningsrejse. Der henvises til Folketingstidende 2018-19, tillæg A, L 204 som fremsat, side 40. </w:t>
      </w:r>
      <w:r w:rsidR="008D4A8C" w:rsidRPr="00796736">
        <w:rPr>
          <w:rFonts w:ascii="Times New Roman" w:hAnsi="Times New Roman" w:cs="Times New Roman"/>
          <w:sz w:val="24"/>
          <w:szCs w:val="24"/>
        </w:rPr>
        <w:t>Det følger endvidere af bemærkningerne, at bestemmelsen blandt andet havde til formål at forhindre hvidvask.</w:t>
      </w:r>
    </w:p>
    <w:p w14:paraId="36C19621" w14:textId="2AF0670A" w:rsidR="00EF75A5" w:rsidRPr="00796736" w:rsidRDefault="00EF75A5" w:rsidP="00A802A5">
      <w:pPr>
        <w:spacing w:after="240" w:line="360" w:lineRule="auto"/>
        <w:rPr>
          <w:rFonts w:ascii="Times New Roman" w:hAnsi="Times New Roman" w:cs="Times New Roman"/>
          <w:sz w:val="24"/>
          <w:szCs w:val="24"/>
        </w:rPr>
      </w:pPr>
      <w:bookmarkStart w:id="860" w:name="_Toc229739627"/>
      <w:bookmarkStart w:id="861" w:name="_Toc232109018"/>
      <w:r w:rsidRPr="00796736">
        <w:rPr>
          <w:rFonts w:ascii="Times New Roman" w:hAnsi="Times New Roman" w:cs="Times New Roman"/>
          <w:sz w:val="24"/>
          <w:szCs w:val="24"/>
        </w:rPr>
        <w:t>Forbuddet har bl.a. som konsekvens, at myndighederne, herunder politiet og skattemyndighederne, ikke har mulighed for at veksle konfiskerede 500-eurosedler, idet myndighederne ikke kan overdrage 500-eurosedler til pengeinstitutter, værdihåndteringsselskaber, vekselerer eller lignende. Det betyder i praksis, at politi, anklagemyndighed og told- og skatteforvaltningen f.eks. ikke kan realisere værdien af de 500-eurosedler, som de som led i deres myndighedsudøvelse, herunder ved konfiskation, betaling, udlæg, rådighedsfratagelse, beslaglæggelse eller arrest, kommer i besiddelse af. Myndighederne kan således f.eks. ikke indsætte 500-euroselder på en konto i et pengeinstitut eller omveksle dem.</w:t>
      </w:r>
    </w:p>
    <w:p w14:paraId="249B49E4" w14:textId="6BCA17C8" w:rsidR="00C85E2A" w:rsidRPr="00796736" w:rsidRDefault="00491587"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Ministrenes</w:t>
      </w:r>
      <w:r w:rsidR="001A5922" w:rsidRPr="00796736">
        <w:rPr>
          <w:rFonts w:ascii="Times New Roman" w:hAnsi="Times New Roman" w:cs="Times New Roman"/>
          <w:sz w:val="24"/>
          <w:szCs w:val="24"/>
        </w:rPr>
        <w:t xml:space="preserve"> overvejelser og den foreslåede ordning</w:t>
      </w:r>
      <w:bookmarkEnd w:id="860"/>
      <w:bookmarkEnd w:id="861"/>
    </w:p>
    <w:p w14:paraId="27E71A22" w14:textId="160AEE6B" w:rsidR="001A5922" w:rsidRPr="00796736" w:rsidRDefault="001A59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Justitsministeriets, </w:t>
      </w:r>
      <w:r w:rsidR="00274A31"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00274A31" w:rsidRPr="00796736">
        <w:rPr>
          <w:rFonts w:ascii="Times New Roman" w:hAnsi="Times New Roman" w:cs="Times New Roman"/>
          <w:sz w:val="24"/>
          <w:szCs w:val="24"/>
        </w:rPr>
        <w:t>ækstministeriets</w:t>
      </w:r>
      <w:r w:rsidR="00E67671" w:rsidRPr="00796736">
        <w:rPr>
          <w:rFonts w:ascii="Times New Roman" w:hAnsi="Times New Roman" w:cs="Times New Roman"/>
          <w:sz w:val="24"/>
          <w:szCs w:val="24"/>
        </w:rPr>
        <w:t xml:space="preserve"> og </w:t>
      </w:r>
      <w:r w:rsidR="009F308E" w:rsidRPr="00796736">
        <w:rPr>
          <w:rFonts w:ascii="Times New Roman" w:hAnsi="Times New Roman" w:cs="Times New Roman"/>
          <w:sz w:val="24"/>
          <w:szCs w:val="24"/>
        </w:rPr>
        <w:t>Erhvervsministeriets</w:t>
      </w:r>
      <w:r w:rsidR="00274A31" w:rsidRPr="00796736">
        <w:rPr>
          <w:rFonts w:ascii="Times New Roman" w:hAnsi="Times New Roman" w:cs="Times New Roman"/>
          <w:sz w:val="24"/>
          <w:szCs w:val="24"/>
        </w:rPr>
        <w:t xml:space="preserve"> </w:t>
      </w:r>
      <w:r w:rsidRPr="00796736">
        <w:rPr>
          <w:rFonts w:ascii="Times New Roman" w:hAnsi="Times New Roman" w:cs="Times New Roman"/>
          <w:sz w:val="24"/>
          <w:szCs w:val="24"/>
        </w:rPr>
        <w:t>opfattelse, at forbuddet mod anvendelse af 500-eurosedler fortsat udgør et vigtigt redskab i bekæmpelsen af kriminalitet, herunder hvidvask af penge og terrorfinansiering, og at forbuddet fortsat bør formuleres så bredt som muligt for at sikre, at forbuddet ikke kan omgås. Det er dog samtidig vurderingen, at et forbud som indebærer, at 500-eurosedlen ikke kan veksles af myndighederne, når de på grund af konfiskation,</w:t>
      </w:r>
      <w:r w:rsidR="008D4A8C" w:rsidRPr="00796736">
        <w:rPr>
          <w:rFonts w:ascii="Times New Roman" w:hAnsi="Times New Roman" w:cs="Times New Roman"/>
          <w:sz w:val="24"/>
          <w:szCs w:val="24"/>
        </w:rPr>
        <w:t xml:space="preserve"> udlæg, betaling og</w:t>
      </w:r>
      <w:r w:rsidRPr="00796736">
        <w:rPr>
          <w:rFonts w:ascii="Times New Roman" w:hAnsi="Times New Roman" w:cs="Times New Roman"/>
          <w:sz w:val="24"/>
          <w:szCs w:val="24"/>
        </w:rPr>
        <w:t xml:space="preserve"> beslaglæggelse mv. er i besiddelse heraf, er uhensigtsmæssigt, idet det har som konsekvens, at myndighederne for det første ikke kan realisere kontanternes værdi i danske kroner og for det andet selv skal håndtere de pågældende værdier. </w:t>
      </w:r>
    </w:p>
    <w:p w14:paraId="67E2422C" w14:textId="77777777" w:rsidR="001A5922" w:rsidRPr="00796736" w:rsidRDefault="001A5922" w:rsidP="00A802A5">
      <w:pPr>
        <w:spacing w:line="360" w:lineRule="auto"/>
        <w:rPr>
          <w:rFonts w:ascii="Times New Roman" w:hAnsi="Times New Roman" w:cs="Times New Roman"/>
          <w:sz w:val="24"/>
          <w:szCs w:val="24"/>
        </w:rPr>
      </w:pPr>
    </w:p>
    <w:p w14:paraId="555E31FB" w14:textId="08F79A0A" w:rsidR="00491587" w:rsidRPr="00796736" w:rsidRDefault="001A59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i </w:t>
      </w:r>
      <w:r w:rsidR="009F308E" w:rsidRPr="00796736">
        <w:rPr>
          <w:rFonts w:ascii="Times New Roman" w:hAnsi="Times New Roman" w:cs="Times New Roman"/>
          <w:sz w:val="24"/>
          <w:szCs w:val="24"/>
        </w:rPr>
        <w:fldChar w:fldCharType="begin"/>
      </w:r>
      <w:r w:rsidR="009F308E" w:rsidRPr="00796736">
        <w:rPr>
          <w:rFonts w:ascii="Times New Roman" w:hAnsi="Times New Roman" w:cs="Times New Roman"/>
          <w:sz w:val="24"/>
          <w:szCs w:val="24"/>
        </w:rPr>
        <w:instrText xml:space="preserve"> REF _Ref232595404 \r \h </w:instrText>
      </w:r>
      <w:r w:rsidR="00967618" w:rsidRPr="00796736">
        <w:rPr>
          <w:rFonts w:ascii="Times New Roman" w:hAnsi="Times New Roman" w:cs="Times New Roman"/>
          <w:sz w:val="24"/>
          <w:szCs w:val="24"/>
        </w:rPr>
        <w:instrText xml:space="preserve"> \* MERGEFORMAT </w:instrText>
      </w:r>
      <w:r w:rsidR="009F308E" w:rsidRPr="00796736">
        <w:rPr>
          <w:rFonts w:ascii="Times New Roman" w:hAnsi="Times New Roman" w:cs="Times New Roman"/>
          <w:sz w:val="24"/>
          <w:szCs w:val="24"/>
        </w:rPr>
      </w:r>
      <w:r w:rsidR="009F308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w:t>
      </w:r>
      <w:r w:rsidR="009F308E"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at opretholde forbuddet i hvidvasklovens § 6 a, hvorefter 500-eurosedler ikke må anvendes, herunder udleveres, indleveres, veksles, bruges som betalingsmiddel eller overdrages, i Danmark. </w:t>
      </w:r>
    </w:p>
    <w:p w14:paraId="19F20E92" w14:textId="77777777" w:rsidR="00491587" w:rsidRPr="00796736" w:rsidRDefault="00491587" w:rsidP="00A802A5">
      <w:pPr>
        <w:spacing w:line="360" w:lineRule="auto"/>
        <w:rPr>
          <w:rFonts w:ascii="Times New Roman" w:hAnsi="Times New Roman" w:cs="Times New Roman"/>
          <w:sz w:val="24"/>
          <w:szCs w:val="24"/>
        </w:rPr>
      </w:pPr>
    </w:p>
    <w:p w14:paraId="1D1AA15A" w14:textId="669142C9" w:rsidR="00EF75A5" w:rsidRPr="00796736" w:rsidRDefault="0042556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samtidig i stk. 2, at forbuddet ikke gælder for politiet, anklagemyndigheden eller told- og skatteforvaltningens anvendelse af 500-eurosedlersom myndighederne som led i myndighedsudøvelse kommer i besiddelse heraf. Dette omfatter de pågældende myndigheders retshåndhævelses-, kontrol-, </w:t>
      </w:r>
      <w:r w:rsidR="00491587" w:rsidRPr="00796736">
        <w:rPr>
          <w:rFonts w:ascii="Times New Roman" w:hAnsi="Times New Roman" w:cs="Times New Roman"/>
          <w:sz w:val="24"/>
          <w:szCs w:val="24"/>
        </w:rPr>
        <w:t>gældsinddrivelses- eller tilsynsvirksomhed</w:t>
      </w:r>
      <w:r w:rsidRPr="00796736">
        <w:rPr>
          <w:rFonts w:ascii="Times New Roman" w:hAnsi="Times New Roman" w:cs="Times New Roman"/>
          <w:sz w:val="24"/>
          <w:szCs w:val="24"/>
        </w:rPr>
        <w:t xml:space="preserve"> og de pengesedler, som myndighederne på den baggrund kommer i besiddelse af, ligesom det omfatter myndighedernes anvendelse af pengesedler, som de led i myndighedsudøvelse er i besiddelse af. Forbuddet gælder heller ikke anvendelse for det pengeinstitut, værdihåndteringsselskab, </w:t>
      </w:r>
      <w:r w:rsidR="00491587" w:rsidRPr="00796736">
        <w:rPr>
          <w:rFonts w:ascii="Times New Roman" w:hAnsi="Times New Roman" w:cs="Times New Roman"/>
          <w:sz w:val="24"/>
          <w:szCs w:val="24"/>
        </w:rPr>
        <w:t>valutavekslingsvirksomhed</w:t>
      </w:r>
      <w:r w:rsidRPr="00796736">
        <w:rPr>
          <w:rFonts w:ascii="Times New Roman" w:hAnsi="Times New Roman" w:cs="Times New Roman"/>
          <w:sz w:val="24"/>
          <w:szCs w:val="24"/>
        </w:rPr>
        <w:t xml:space="preserve"> eller lignende, der som led i myndighedernes håndtering af 500-eurosedlerne er eller kommer i besiddelse heraf.</w:t>
      </w:r>
    </w:p>
    <w:p w14:paraId="21ACB8DD" w14:textId="77777777" w:rsidR="00EF75A5" w:rsidRPr="00796736" w:rsidRDefault="00EF75A5" w:rsidP="00A802A5">
      <w:pPr>
        <w:spacing w:line="360" w:lineRule="auto"/>
        <w:rPr>
          <w:rFonts w:ascii="Times New Roman" w:hAnsi="Times New Roman" w:cs="Times New Roman"/>
          <w:sz w:val="24"/>
          <w:szCs w:val="24"/>
        </w:rPr>
      </w:pPr>
    </w:p>
    <w:p w14:paraId="0BB823F1" w14:textId="77777777" w:rsidR="0042556A" w:rsidRPr="00796736" w:rsidRDefault="0042556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forbuddet, ligesom i dag, vil indebære, at personer med gæld til det offentlige, uanset om der f.eks. er tale om en skattegæld eller en gæld pådraget ved bødeansvar, ikke kan nedbringe denne gæld ved frivillig betaling med 500-eurosedler. Frivillig betaling kendetegnes ved, at den ikke med sikkerhed kan henføres til en aktiv myndighedsudøvelse, som myndigheden har iværksat, f.eks. en inddrivelsesindsats fra restanceinddrivelsesmyndigheden i form af f.eks. en rykker eller en afdragsordning. En betaling anses heller ikke som frivillig, hvis den sker, efter at skyldneren er blevet tilsagt til en udlægsforretning eller under selve udlægsforretningen.     </w:t>
      </w:r>
    </w:p>
    <w:p w14:paraId="286D8E29" w14:textId="04FE875E" w:rsidR="001952B2" w:rsidRPr="00796736" w:rsidRDefault="001952B2" w:rsidP="00A802A5">
      <w:pPr>
        <w:spacing w:line="360" w:lineRule="auto"/>
        <w:rPr>
          <w:rFonts w:ascii="Times New Roman" w:hAnsi="Times New Roman" w:cs="Times New Roman"/>
          <w:sz w:val="24"/>
          <w:szCs w:val="24"/>
        </w:rPr>
      </w:pPr>
    </w:p>
    <w:p w14:paraId="1C9A01FA" w14:textId="281666EA" w:rsidR="00EF75A5" w:rsidRPr="00796736" w:rsidRDefault="00EF75A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undtagelse vil f.eks. finde anvendelse i en situation, hvor politiet på baggrund af en dom herom beslaglægger et kontant pengebeløb eller når told- og skatteforvaltningen som led i sin toldvirksomhed tilbageholder 500-eurosedler omfattet af forbuddet og myndighederne herefter ligger inde med kontantbeløb, hvor myndighederne har behov for, at et værdihåndteringsselskab og pengeinstitut medvirker til håndteringen eller omvekslingen. Et tredje eksempel kunne være</w:t>
      </w:r>
      <w:r w:rsidR="0042556A" w:rsidRPr="00796736">
        <w:rPr>
          <w:rFonts w:ascii="Times New Roman" w:hAnsi="Times New Roman" w:cs="Times New Roman"/>
          <w:sz w:val="24"/>
          <w:szCs w:val="24"/>
        </w:rPr>
        <w:t>,</w:t>
      </w:r>
      <w:r w:rsidRPr="00796736">
        <w:rPr>
          <w:rFonts w:ascii="Times New Roman" w:hAnsi="Times New Roman" w:cs="Times New Roman"/>
          <w:sz w:val="24"/>
          <w:szCs w:val="24"/>
        </w:rPr>
        <w:t xml:space="preserve"> når restanceinddrivelsesmyndigheden som led i en inddrivelsesindsats foretager udlæg i 500-eurosedler omfattet af forbuddet og herefter ligger inde med et større kontantbeløb.</w:t>
      </w:r>
    </w:p>
    <w:p w14:paraId="510BAB18" w14:textId="77777777" w:rsidR="001952B2" w:rsidRPr="00796736" w:rsidRDefault="001952B2" w:rsidP="00A802A5">
      <w:pPr>
        <w:spacing w:line="360" w:lineRule="auto"/>
        <w:rPr>
          <w:rFonts w:ascii="Times New Roman" w:hAnsi="Times New Roman" w:cs="Times New Roman"/>
          <w:sz w:val="24"/>
          <w:szCs w:val="24"/>
        </w:rPr>
      </w:pPr>
    </w:p>
    <w:p w14:paraId="47AF9741" w14:textId="0BA8C33C" w:rsidR="001952B2" w:rsidRPr="00796736" w:rsidRDefault="001952B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undtagelse vil således indebære, at myndighederne kan indlevere 500-eurosedler, som de kommer</w:t>
      </w:r>
      <w:r w:rsidR="00491587" w:rsidRPr="00796736">
        <w:rPr>
          <w:rFonts w:ascii="Times New Roman" w:hAnsi="Times New Roman" w:cs="Times New Roman"/>
          <w:sz w:val="24"/>
          <w:szCs w:val="24"/>
        </w:rPr>
        <w:t>,</w:t>
      </w:r>
      <w:r w:rsidRPr="00796736">
        <w:rPr>
          <w:rFonts w:ascii="Times New Roman" w:hAnsi="Times New Roman" w:cs="Times New Roman"/>
          <w:sz w:val="24"/>
          <w:szCs w:val="24"/>
        </w:rPr>
        <w:t xml:space="preserve"> eller er</w:t>
      </w:r>
      <w:r w:rsidR="00491587" w:rsidRPr="00796736">
        <w:rPr>
          <w:rFonts w:ascii="Times New Roman" w:hAnsi="Times New Roman" w:cs="Times New Roman"/>
          <w:sz w:val="24"/>
          <w:szCs w:val="24"/>
        </w:rPr>
        <w:t>,</w:t>
      </w:r>
      <w:r w:rsidRPr="00796736">
        <w:rPr>
          <w:rFonts w:ascii="Times New Roman" w:hAnsi="Times New Roman" w:cs="Times New Roman"/>
          <w:sz w:val="24"/>
          <w:szCs w:val="24"/>
        </w:rPr>
        <w:t xml:space="preserve"> i besiddelse af som følge af deres myndighedsudøvelse til et pengeinstitut, værdihåndteringsselskab, valutavekslingsvirksomhed eller lignende med henblik på veksling eller anden håndtering på vegne af myndigheden. Forbuddet vil som en konsekvens heraf heller ikke omfatte den anvendelse, der finder sted hos det pengeinstitut mv., der står for den videre håndtering, veksling mv. af 500-eurosedlerne. Forbuddet vil imidlertid fortsat finde anvendelse for pengeinstitutternes mv. øvrige anvendelse, herunder udlevering, indlevering, veksling, brug som betalingsmiddel eller overdragelse af 500-eurosedler, som ikke hidrører fra myndighederne.  </w:t>
      </w:r>
    </w:p>
    <w:p w14:paraId="7A595554" w14:textId="77777777" w:rsidR="00EF75A5" w:rsidRPr="00796736" w:rsidRDefault="00EF75A5" w:rsidP="00A802A5">
      <w:pPr>
        <w:spacing w:line="360" w:lineRule="auto"/>
        <w:rPr>
          <w:rFonts w:ascii="Times New Roman" w:hAnsi="Times New Roman" w:cs="Times New Roman"/>
          <w:sz w:val="24"/>
          <w:szCs w:val="24"/>
        </w:rPr>
      </w:pPr>
    </w:p>
    <w:p w14:paraId="64F92713" w14:textId="498EE1B4" w:rsidR="00EF75A5" w:rsidRPr="00796736" w:rsidRDefault="00EF75A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foreslås med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_Ref239330523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142</w:t>
      </w:r>
      <w:r w:rsidRPr="00796736">
        <w:rPr>
          <w:rFonts w:ascii="Times New Roman" w:eastAsia="Calibri" w:hAnsi="Times New Roman" w:cs="Times New Roman"/>
          <w:sz w:val="24"/>
          <w:szCs w:val="24"/>
        </w:rPr>
        <w:fldChar w:fldCharType="end"/>
      </w:r>
      <w:r w:rsidRPr="00796736">
        <w:rPr>
          <w:rFonts w:ascii="Times New Roman" w:hAnsi="Times New Roman" w:cs="Times New Roman"/>
          <w:sz w:val="24"/>
          <w:szCs w:val="24"/>
        </w:rPr>
        <w:t>, stk. 4, en virkningsbestemmelse, der indebærer, at</w:t>
      </w:r>
      <w:r w:rsidRPr="00796736">
        <w:rPr>
          <w:rFonts w:ascii="Times New Roman" w:eastAsia="Times New Roman" w:hAnsi="Times New Roman" w:cs="Times New Roman"/>
          <w:sz w:val="24"/>
          <w:szCs w:val="24"/>
        </w:rPr>
        <w:t xml:space="preserve"> </w:t>
      </w:r>
      <w:r w:rsidRPr="00796736">
        <w:rPr>
          <w:rFonts w:ascii="Times New Roman" w:hAnsi="Times New Roman" w:cs="Times New Roman"/>
          <w:sz w:val="24"/>
          <w:szCs w:val="24"/>
        </w:rPr>
        <w:t xml:space="preserve">politiet, anklagemyndigheden og told- og skatteforvaltningen </w:t>
      </w:r>
      <w:r w:rsidRPr="00796736">
        <w:rPr>
          <w:rFonts w:ascii="Times New Roman" w:eastAsia="Times New Roman" w:hAnsi="Times New Roman" w:cs="Times New Roman"/>
          <w:sz w:val="24"/>
          <w:szCs w:val="24"/>
        </w:rPr>
        <w:t>lovligt vil være kommet i besiddelse af de 500-eurosedler, som myndighederne ved lovens ikrafttrædelse den 10. juli 2027 er i besiddelse af.</w:t>
      </w:r>
    </w:p>
    <w:p w14:paraId="0DEB43D4" w14:textId="77777777" w:rsidR="001A5922" w:rsidRPr="00796736" w:rsidRDefault="001A5922" w:rsidP="00A802A5">
      <w:pPr>
        <w:spacing w:line="360" w:lineRule="auto"/>
        <w:rPr>
          <w:rFonts w:ascii="Times New Roman" w:hAnsi="Times New Roman" w:cs="Times New Roman"/>
          <w:sz w:val="24"/>
          <w:szCs w:val="24"/>
        </w:rPr>
      </w:pPr>
    </w:p>
    <w:p w14:paraId="1595C920" w14:textId="7EAF3327" w:rsidR="001A5922" w:rsidRPr="00796736" w:rsidRDefault="001A59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den foreslåede </w:t>
      </w:r>
      <w:r w:rsidR="009F308E" w:rsidRPr="00796736">
        <w:rPr>
          <w:rFonts w:ascii="Times New Roman" w:hAnsi="Times New Roman" w:cs="Times New Roman"/>
          <w:sz w:val="24"/>
          <w:szCs w:val="24"/>
        </w:rPr>
        <w:fldChar w:fldCharType="begin"/>
      </w:r>
      <w:r w:rsidR="009F308E" w:rsidRPr="00796736">
        <w:rPr>
          <w:rFonts w:ascii="Times New Roman" w:hAnsi="Times New Roman" w:cs="Times New Roman"/>
          <w:sz w:val="24"/>
          <w:szCs w:val="24"/>
        </w:rPr>
        <w:instrText xml:space="preserve"> REF _Ref232595404 \r \h </w:instrText>
      </w:r>
      <w:r w:rsidR="00967618" w:rsidRPr="00796736">
        <w:rPr>
          <w:rFonts w:ascii="Times New Roman" w:hAnsi="Times New Roman" w:cs="Times New Roman"/>
          <w:sz w:val="24"/>
          <w:szCs w:val="24"/>
        </w:rPr>
        <w:instrText xml:space="preserve"> \* MERGEFORMAT </w:instrText>
      </w:r>
      <w:r w:rsidR="009F308E" w:rsidRPr="00796736">
        <w:rPr>
          <w:rFonts w:ascii="Times New Roman" w:hAnsi="Times New Roman" w:cs="Times New Roman"/>
          <w:sz w:val="24"/>
          <w:szCs w:val="24"/>
        </w:rPr>
      </w:r>
      <w:r w:rsidR="009F308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w:t>
      </w:r>
      <w:r w:rsidR="009F308E" w:rsidRPr="00796736">
        <w:rPr>
          <w:rFonts w:ascii="Times New Roman" w:hAnsi="Times New Roman" w:cs="Times New Roman"/>
          <w:sz w:val="24"/>
          <w:szCs w:val="24"/>
        </w:rPr>
        <w:fldChar w:fldCharType="end"/>
      </w:r>
      <w:r w:rsidR="009F308E"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bemærkningerne hertil. </w:t>
      </w:r>
    </w:p>
    <w:p w14:paraId="24F68BF2" w14:textId="77777777" w:rsidR="00C85E2A" w:rsidRPr="00796736" w:rsidRDefault="00C85E2A" w:rsidP="00A802A5">
      <w:pPr>
        <w:spacing w:after="160" w:line="360" w:lineRule="auto"/>
        <w:rPr>
          <w:rFonts w:ascii="Times New Roman" w:eastAsia="Calibri" w:hAnsi="Times New Roman" w:cs="Times New Roman"/>
          <w:i/>
          <w:sz w:val="24"/>
          <w:szCs w:val="24"/>
        </w:rPr>
      </w:pPr>
    </w:p>
    <w:p w14:paraId="0367E1F9" w14:textId="008519C5" w:rsidR="00C85E2A" w:rsidRPr="00796736" w:rsidRDefault="001B35F7" w:rsidP="00A802A5">
      <w:pPr>
        <w:pStyle w:val="Overskrift2"/>
        <w:rPr>
          <w:rFonts w:ascii="Times New Roman" w:hAnsi="Times New Roman"/>
          <w:sz w:val="24"/>
        </w:rPr>
      </w:pPr>
      <w:bookmarkStart w:id="862" w:name="_Toc229739628"/>
      <w:bookmarkStart w:id="863" w:name="_Toc232109019"/>
      <w:bookmarkStart w:id="864" w:name="_Ref232942587"/>
      <w:bookmarkStart w:id="865" w:name="_Toc244880723"/>
      <w:r w:rsidRPr="00796736">
        <w:rPr>
          <w:rFonts w:ascii="Times New Roman" w:hAnsi="Times New Roman"/>
          <w:sz w:val="24"/>
        </w:rPr>
        <w:t>Anvendelsesområde for skærpede kundekendskabsprocedurer</w:t>
      </w:r>
      <w:bookmarkEnd w:id="862"/>
      <w:bookmarkEnd w:id="863"/>
      <w:bookmarkEnd w:id="864"/>
      <w:bookmarkEnd w:id="865"/>
    </w:p>
    <w:p w14:paraId="4354C3DB" w14:textId="1A252713" w:rsidR="00C85E2A" w:rsidRPr="00796736" w:rsidRDefault="00C85E2A" w:rsidP="00A802A5">
      <w:pPr>
        <w:pStyle w:val="Overskrift4"/>
        <w:rPr>
          <w:rFonts w:ascii="Times New Roman" w:hAnsi="Times New Roman" w:cs="Times New Roman"/>
          <w:sz w:val="24"/>
          <w:szCs w:val="24"/>
        </w:rPr>
      </w:pPr>
      <w:bookmarkStart w:id="866" w:name="_Toc229739629"/>
      <w:bookmarkStart w:id="867" w:name="_Toc232109020"/>
      <w:r w:rsidRPr="00796736">
        <w:rPr>
          <w:rFonts w:ascii="Times New Roman" w:hAnsi="Times New Roman" w:cs="Times New Roman"/>
          <w:sz w:val="24"/>
          <w:szCs w:val="24"/>
        </w:rPr>
        <w:t>Gældende ret</w:t>
      </w:r>
      <w:bookmarkEnd w:id="866"/>
      <w:bookmarkEnd w:id="867"/>
    </w:p>
    <w:p w14:paraId="2DFE24F0" w14:textId="77777777" w:rsidR="00F0231C" w:rsidRPr="00796736" w:rsidRDefault="00F0231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den gældende § 17, stk. 1, i hvidvaskloven, at virksomheder og personer ud over kravene i § 11 skal gennemføre skærpede kundekendskabsprocedurer, hvor der vurderes at være øget risiko for hvidvask og terrorfinansiering. Virksomheden eller personen skal i vurderingen tage de højrisikofaktorer i betragtning, der fremgår af bilag 3 til hvidvaskloven samt andre højrisikofaktorer, som må skønnes at være relevante. </w:t>
      </w:r>
    </w:p>
    <w:p w14:paraId="09DBC556" w14:textId="77777777" w:rsidR="00F0231C" w:rsidRPr="00796736" w:rsidRDefault="00F0231C" w:rsidP="00A802A5">
      <w:pPr>
        <w:spacing w:line="360" w:lineRule="auto"/>
        <w:rPr>
          <w:rFonts w:ascii="Times New Roman" w:hAnsi="Times New Roman" w:cs="Times New Roman"/>
          <w:sz w:val="24"/>
          <w:szCs w:val="24"/>
        </w:rPr>
      </w:pPr>
    </w:p>
    <w:p w14:paraId="4F2E25EB" w14:textId="77777777" w:rsidR="00F0231C" w:rsidRPr="00796736" w:rsidRDefault="00F0231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 17, stk. 2, i den gældende hvidvasklov følger, at virksomheder og personer skal gennemføre skærpede kundekendskabsprocedurer, hvis kunden har hjemsted i et land, der er opført på Europa-Kommissionens liste over lande, hvor der vurderes at være en øget risiko for hvidvask eller finansiering af terrorisme. </w:t>
      </w:r>
    </w:p>
    <w:p w14:paraId="3871929F" w14:textId="77777777" w:rsidR="00F0231C" w:rsidRPr="00796736" w:rsidRDefault="00F0231C" w:rsidP="00A802A5">
      <w:pPr>
        <w:spacing w:line="360" w:lineRule="auto"/>
        <w:rPr>
          <w:rFonts w:ascii="Times New Roman" w:hAnsi="Times New Roman" w:cs="Times New Roman"/>
          <w:sz w:val="24"/>
          <w:szCs w:val="24"/>
        </w:rPr>
      </w:pPr>
    </w:p>
    <w:p w14:paraId="7812A6F7" w14:textId="77777777" w:rsidR="00F0231C" w:rsidRPr="00796736" w:rsidRDefault="00F0231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Endvidere er der krav om, at ved forretningsforbindelser eller transaktioner, der involverer højrisikotredjelande, skal virksomheder eller personer, hvor det er muligt, foruden kravene i § 17, stk. 2, gennemføre en eller flere supplerende afhjælpende foranstaltninger, jf. § 17, stk. 3, i den gældende hvidvasklov. </w:t>
      </w:r>
    </w:p>
    <w:p w14:paraId="7E9C3D53" w14:textId="77777777" w:rsidR="00F0231C" w:rsidRPr="00796736" w:rsidRDefault="00F0231C" w:rsidP="00A802A5">
      <w:pPr>
        <w:spacing w:line="360" w:lineRule="auto"/>
        <w:rPr>
          <w:rFonts w:ascii="Times New Roman" w:hAnsi="Times New Roman" w:cs="Times New Roman"/>
          <w:sz w:val="24"/>
          <w:szCs w:val="24"/>
        </w:rPr>
      </w:pPr>
    </w:p>
    <w:p w14:paraId="4AE9930F" w14:textId="77777777" w:rsidR="00F0231C" w:rsidRPr="00796736" w:rsidRDefault="00F0231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17 gennemfører 4. hvidvaskdirektivs artikel 18, stk. 1, 3 og 4, samt dele af 5. hvidvaskdirektivs artikel 1, stk. 11.  </w:t>
      </w:r>
    </w:p>
    <w:p w14:paraId="4B079B5E" w14:textId="77777777" w:rsidR="001A5922" w:rsidRPr="00796736" w:rsidRDefault="001A5922" w:rsidP="00A802A5">
      <w:pPr>
        <w:spacing w:line="360" w:lineRule="auto"/>
        <w:rPr>
          <w:rFonts w:ascii="Times New Roman" w:hAnsi="Times New Roman" w:cs="Times New Roman"/>
          <w:sz w:val="24"/>
          <w:szCs w:val="24"/>
        </w:rPr>
      </w:pPr>
    </w:p>
    <w:p w14:paraId="7E4FFD77" w14:textId="2F1B66DC" w:rsidR="001A5922" w:rsidRPr="00796736" w:rsidRDefault="001A5922" w:rsidP="00A802A5">
      <w:pPr>
        <w:pStyle w:val="Overskrift4"/>
        <w:rPr>
          <w:rFonts w:ascii="Times New Roman" w:hAnsi="Times New Roman" w:cs="Times New Roman"/>
          <w:sz w:val="24"/>
          <w:szCs w:val="24"/>
        </w:rPr>
      </w:pPr>
      <w:bookmarkStart w:id="868" w:name="_Toc229739630"/>
      <w:bookmarkStart w:id="869" w:name="_Toc232109021"/>
      <w:r w:rsidRPr="00796736">
        <w:rPr>
          <w:rFonts w:ascii="Times New Roman" w:hAnsi="Times New Roman" w:cs="Times New Roman"/>
          <w:sz w:val="24"/>
          <w:szCs w:val="24"/>
        </w:rPr>
        <w:t>Hvidvaskforordningen</w:t>
      </w:r>
      <w:bookmarkEnd w:id="868"/>
      <w:bookmarkEnd w:id="869"/>
    </w:p>
    <w:p w14:paraId="62C972BF" w14:textId="65EC4224" w:rsidR="001A5922" w:rsidRPr="00796736" w:rsidRDefault="001A59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Forpligtede enheder skal i henhold til </w:t>
      </w:r>
      <w:r w:rsidR="00C76029">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gennemføre skærpede kundekendskabsprocedurer i de situationer</w:t>
      </w:r>
      <w:r w:rsidR="00C76029">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som fremgår af forordningens artikel 20, stk. 2, og artikel 29, 30, 31 og 36-46. </w:t>
      </w:r>
    </w:p>
    <w:p w14:paraId="271410F1" w14:textId="0B330824" w:rsidR="00057456" w:rsidRPr="00796736" w:rsidRDefault="001A59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Af forordningens artikel 34, stk. 6, fremgår det, at medlemsstaterne kan pålægge forpligtede enheder at anvende skærpede kundekendskabsprocedurer og i givet fald beskrive disse procedurer, når de identificerer tilfælde med højere risici i henhold til artikel 8 i </w:t>
      </w:r>
      <w:r w:rsidR="00C76029">
        <w:rPr>
          <w:rFonts w:ascii="Times New Roman" w:eastAsia="Calibri" w:hAnsi="Times New Roman" w:cs="Times New Roman"/>
          <w:sz w:val="24"/>
          <w:szCs w:val="24"/>
        </w:rPr>
        <w:t>6. hvidvaskdirektiv</w:t>
      </w:r>
      <w:r w:rsidRPr="00796736">
        <w:rPr>
          <w:rFonts w:ascii="Times New Roman" w:eastAsia="Calibri" w:hAnsi="Times New Roman" w:cs="Times New Roman"/>
          <w:sz w:val="24"/>
          <w:szCs w:val="24"/>
        </w:rPr>
        <w:t>, herunder som resultat af sektorspecifikke risikovurderinger. Dette dog med undtagelse af de tilfælde</w:t>
      </w:r>
      <w:r w:rsidR="00C76029">
        <w:rPr>
          <w:rFonts w:ascii="Times New Roman" w:eastAsia="Calibri" w:hAnsi="Times New Roman" w:cs="Times New Roman"/>
          <w:sz w:val="24"/>
          <w:szCs w:val="24"/>
        </w:rPr>
        <w:t>, der er</w:t>
      </w:r>
      <w:r w:rsidRPr="00796736">
        <w:rPr>
          <w:rFonts w:ascii="Times New Roman" w:eastAsia="Calibri" w:hAnsi="Times New Roman" w:cs="Times New Roman"/>
          <w:sz w:val="24"/>
          <w:szCs w:val="24"/>
        </w:rPr>
        <w:t xml:space="preserve"> nævnt i forordningens kapitel 3, afdeling 2. </w:t>
      </w:r>
    </w:p>
    <w:p w14:paraId="25EA7D74" w14:textId="4F10108E" w:rsidR="00C85E2A" w:rsidRPr="00796736" w:rsidRDefault="00274A31" w:rsidP="00A802A5">
      <w:pPr>
        <w:pStyle w:val="Overskrift4"/>
        <w:rPr>
          <w:rFonts w:ascii="Times New Roman" w:hAnsi="Times New Roman" w:cs="Times New Roman"/>
          <w:sz w:val="24"/>
          <w:szCs w:val="24"/>
        </w:rPr>
      </w:pPr>
      <w:bookmarkStart w:id="870" w:name="_Toc229739631"/>
      <w:bookmarkStart w:id="871" w:name="_Toc232109022"/>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w:t>
      </w:r>
      <w:r w:rsidR="00040DD8">
        <w:rPr>
          <w:rFonts w:ascii="Times New Roman" w:hAnsi="Times New Roman" w:cs="Times New Roman"/>
          <w:sz w:val="24"/>
          <w:szCs w:val="24"/>
        </w:rPr>
        <w:t>s</w:t>
      </w:r>
      <w:r w:rsidR="00200665" w:rsidRPr="00796736">
        <w:rPr>
          <w:rFonts w:ascii="Times New Roman" w:hAnsi="Times New Roman" w:cs="Times New Roman"/>
          <w:sz w:val="24"/>
          <w:szCs w:val="24"/>
        </w:rPr>
        <w:t xml:space="preserve"> og Erhvervsministeriets </w:t>
      </w:r>
      <w:r w:rsidRPr="00796736">
        <w:rPr>
          <w:rFonts w:ascii="Times New Roman" w:hAnsi="Times New Roman" w:cs="Times New Roman"/>
          <w:sz w:val="24"/>
          <w:szCs w:val="24"/>
        </w:rPr>
        <w:t xml:space="preserve">overvejelser </w:t>
      </w:r>
      <w:r w:rsidR="001A5922" w:rsidRPr="00796736">
        <w:rPr>
          <w:rFonts w:ascii="Times New Roman" w:hAnsi="Times New Roman" w:cs="Times New Roman"/>
          <w:sz w:val="24"/>
          <w:szCs w:val="24"/>
        </w:rPr>
        <w:t>og den foreslåede ordning</w:t>
      </w:r>
      <w:bookmarkEnd w:id="870"/>
      <w:bookmarkEnd w:id="871"/>
    </w:p>
    <w:p w14:paraId="2E0CBE21" w14:textId="77777777" w:rsidR="00F0231C" w:rsidRPr="00796736" w:rsidRDefault="00F0231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Kundekendskabskrav er afgørende for at sikre, at virksomheder og personer identificerer, kontrollerer og overvåger deres forretningsforbindelser med kunderne, for så vidt angår de risici for hvidvask af penge og finansiering af terrorisme, som de udgør. </w:t>
      </w:r>
    </w:p>
    <w:p w14:paraId="39E6BE32" w14:textId="77777777" w:rsidR="00F0231C" w:rsidRPr="00796736" w:rsidRDefault="00F0231C" w:rsidP="00A802A5">
      <w:pPr>
        <w:spacing w:line="360" w:lineRule="auto"/>
        <w:rPr>
          <w:rFonts w:ascii="Times New Roman" w:hAnsi="Times New Roman" w:cs="Times New Roman"/>
          <w:sz w:val="24"/>
          <w:szCs w:val="24"/>
        </w:rPr>
      </w:pPr>
    </w:p>
    <w:p w14:paraId="641B6592" w14:textId="77777777" w:rsidR="00F0231C" w:rsidRPr="00796736" w:rsidRDefault="00F0231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Tredjelande, der har væsentlige strategiske mangler af vedvarende karakter i deres retlige og institutionelle rammer for bekæmpelse af hvidvask af penge og finansiering af terrorisme, udgør en høj risiko for Unionens finansielle system. Den vedvarende karakter af de væsentlige strategiske mangler, som afspejler tredjelandets manglende engagement eller fortsatte manglende håndtering heraf, er tegn på et forhøjet trusselsniveau fra sådanne tredjelande, hvilket kræver en virkningsfuld, ensartet og harmoniseret afbødende reaktion på EU-plan. Forpligtede enheder bør derfor være forpligtede til at anvende det samlede sæt skærpede kundekendskabsprocedurer på transaktioner og forretningsforbindelser, som involverer højrisikotredjelande, med henblik på at styre og afbøde de underliggende risici. </w:t>
      </w:r>
    </w:p>
    <w:p w14:paraId="0A1470FA" w14:textId="77777777" w:rsidR="00F0231C" w:rsidRPr="00796736" w:rsidRDefault="00F0231C" w:rsidP="00A802A5">
      <w:pPr>
        <w:spacing w:line="360" w:lineRule="auto"/>
        <w:rPr>
          <w:rFonts w:ascii="Times New Roman" w:hAnsi="Times New Roman" w:cs="Times New Roman"/>
          <w:sz w:val="24"/>
          <w:szCs w:val="24"/>
        </w:rPr>
      </w:pPr>
    </w:p>
    <w:p w14:paraId="4D3EDF9E" w14:textId="0D1803C0" w:rsidR="00F0231C" w:rsidRPr="00796736" w:rsidRDefault="00F0231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berettiger det høje risikoniveau anvendelsen af yderligere specifikke modforanstaltninger, uanset om de træffes af forpligtede enheder eller af medlemsstaterne. En sådan tilgang ville forhindre forskelle i fastlæggelsen af de relevante modforanstaltninger, hvilket ville eksponere hele Unionens finansielle system for risici. Identificeres der således specifikke risici, som ikke afbødes, bør det være muligt at kunne fastsætte, at disse højere risici kræver anvendelsen af skærpede kundekendskabsprocedurer. Det fremgår således af artikel 34, stk. 6, i forordningen, at medlemsstaterne, når de identificerer tilfælde med højere risici </w:t>
      </w:r>
      <w:r w:rsidR="00491587" w:rsidRPr="00796736">
        <w:rPr>
          <w:rFonts w:ascii="Times New Roman" w:hAnsi="Times New Roman" w:cs="Times New Roman"/>
          <w:sz w:val="24"/>
          <w:szCs w:val="24"/>
        </w:rPr>
        <w:t xml:space="preserve">i </w:t>
      </w:r>
      <w:r w:rsidRPr="00796736">
        <w:rPr>
          <w:rFonts w:ascii="Times New Roman" w:hAnsi="Times New Roman" w:cs="Times New Roman"/>
          <w:sz w:val="24"/>
          <w:szCs w:val="24"/>
        </w:rPr>
        <w:t>henhold til artikel 8 i 6. hvidvaskdirektiv, kan pålægge de omfattede virksomheder og personer at anvende skærpede kundekendskabsprocedurer.</w:t>
      </w:r>
    </w:p>
    <w:p w14:paraId="049ECEA1" w14:textId="77777777" w:rsidR="008D20D1" w:rsidRPr="00796736" w:rsidRDefault="008D20D1" w:rsidP="00A802A5">
      <w:pPr>
        <w:spacing w:line="360" w:lineRule="auto"/>
        <w:rPr>
          <w:rFonts w:ascii="Times New Roman" w:hAnsi="Times New Roman" w:cs="Times New Roman"/>
          <w:sz w:val="24"/>
          <w:szCs w:val="24"/>
        </w:rPr>
      </w:pPr>
    </w:p>
    <w:p w14:paraId="6423A3CB" w14:textId="02E92D36" w:rsidR="00200665" w:rsidRPr="00796736" w:rsidRDefault="00E0368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w:t>
      </w:r>
      <w:r w:rsidR="00A240FB" w:rsidRPr="00796736">
        <w:rPr>
          <w:rFonts w:ascii="Times New Roman" w:hAnsi="Times New Roman" w:cs="Times New Roman"/>
          <w:sz w:val="24"/>
          <w:szCs w:val="24"/>
        </w:rPr>
        <w:t>skatte- og vækstministeren</w:t>
      </w:r>
      <w:r w:rsidR="00200665" w:rsidRPr="00796736">
        <w:rPr>
          <w:rFonts w:ascii="Times New Roman" w:hAnsi="Times New Roman" w:cs="Times New Roman"/>
          <w:sz w:val="24"/>
          <w:szCs w:val="24"/>
        </w:rPr>
        <w:t xml:space="preserve"> eller erhvervs- og konkurrencekraftsministeren</w:t>
      </w:r>
      <w:r w:rsidR="00200665" w:rsidRPr="00796736">
        <w:rPr>
          <w:rFonts w:ascii="Times New Roman" w:eastAsia="Calibri" w:hAnsi="Times New Roman" w:cs="Times New Roman"/>
          <w:sz w:val="24"/>
          <w:szCs w:val="24"/>
        </w:rPr>
        <w:t xml:space="preserve">, inden for deres respektive ressortområder og i overensstemmelse med artikel 34, stk. 6, i forordningen, kan fastsætte regler om, at virksomheder og personer </w:t>
      </w:r>
      <w:r w:rsidRPr="00796736">
        <w:rPr>
          <w:rFonts w:ascii="Times New Roman" w:eastAsia="Calibri" w:hAnsi="Times New Roman" w:cs="Times New Roman"/>
          <w:sz w:val="24"/>
          <w:szCs w:val="24"/>
        </w:rPr>
        <w:t>skal anvende skærpede kundekendskabsprocedurer</w:t>
      </w:r>
      <w:r w:rsidR="00200665" w:rsidRPr="00796736">
        <w:rPr>
          <w:rFonts w:ascii="Times New Roman" w:eastAsia="Calibri" w:hAnsi="Times New Roman" w:cs="Times New Roman"/>
          <w:sz w:val="24"/>
          <w:szCs w:val="24"/>
        </w:rPr>
        <w:t xml:space="preserve"> </w:t>
      </w:r>
      <w:r w:rsidR="00200665" w:rsidRPr="00796736">
        <w:rPr>
          <w:rFonts w:ascii="Times New Roman" w:eastAsia="Calibri" w:hAnsi="Times New Roman" w:cs="Times New Roman"/>
          <w:bCs/>
          <w:sz w:val="24"/>
          <w:szCs w:val="24"/>
        </w:rPr>
        <w:t xml:space="preserve">på de sektorer eller </w:t>
      </w:r>
      <w:r w:rsidR="00200665" w:rsidRPr="00796736">
        <w:rPr>
          <w:rFonts w:ascii="Times New Roman" w:eastAsia="Calibri" w:hAnsi="Times New Roman" w:cs="Times New Roman"/>
          <w:sz w:val="24"/>
          <w:szCs w:val="24"/>
        </w:rPr>
        <w:t xml:space="preserve">områder, hvor </w:t>
      </w:r>
      <w:r w:rsidR="00200665" w:rsidRPr="00796736">
        <w:rPr>
          <w:rFonts w:ascii="Times New Roman" w:eastAsia="Calibri" w:hAnsi="Times New Roman" w:cs="Times New Roman"/>
          <w:bCs/>
          <w:sz w:val="24"/>
          <w:szCs w:val="24"/>
        </w:rPr>
        <w:t xml:space="preserve">skatte- og vækstministeren eller </w:t>
      </w:r>
      <w:r w:rsidR="00200665" w:rsidRPr="00796736">
        <w:rPr>
          <w:rFonts w:ascii="Times New Roman" w:hAnsi="Times New Roman" w:cs="Times New Roman"/>
          <w:sz w:val="24"/>
          <w:szCs w:val="24"/>
        </w:rPr>
        <w:t>erhvervs- og konkurrencekraftsministeren</w:t>
      </w:r>
      <w:r w:rsidR="00200665" w:rsidRPr="00796736">
        <w:rPr>
          <w:rFonts w:ascii="Times New Roman" w:eastAsia="Calibri" w:hAnsi="Times New Roman" w:cs="Times New Roman"/>
          <w:bCs/>
          <w:sz w:val="24"/>
          <w:szCs w:val="24"/>
        </w:rPr>
        <w:t xml:space="preserve"> identificerer</w:t>
      </w:r>
      <w:r w:rsidR="00200665" w:rsidRPr="00796736">
        <w:rPr>
          <w:rFonts w:ascii="Times New Roman" w:eastAsia="Calibri" w:hAnsi="Times New Roman" w:cs="Times New Roman"/>
          <w:sz w:val="24"/>
          <w:szCs w:val="24"/>
        </w:rPr>
        <w:t xml:space="preserve"> højere risici.</w:t>
      </w:r>
    </w:p>
    <w:p w14:paraId="7BFD0214" w14:textId="5DFB3A1C" w:rsidR="00C478A1" w:rsidRPr="00796736" w:rsidRDefault="00E0368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omhandler tilfælde eller situationer, som identificeres udover de situationer, som er nævnt i forordningens artikel 20, stk. 2, og artikel 29, 31 og 36-46.</w:t>
      </w:r>
    </w:p>
    <w:p w14:paraId="4B7B9CE0" w14:textId="1A7E8E28" w:rsidR="009F308E" w:rsidRPr="00796736" w:rsidRDefault="009F308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_Ref232595428 \r \h </w:instrText>
      </w:r>
      <w:r w:rsidR="00967618"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 </w:t>
      </w:r>
    </w:p>
    <w:p w14:paraId="0A9F9F6A" w14:textId="77777777" w:rsidR="009F308E" w:rsidRPr="00796736" w:rsidRDefault="009F308E" w:rsidP="00A802A5">
      <w:pPr>
        <w:spacing w:line="360" w:lineRule="auto"/>
        <w:rPr>
          <w:rFonts w:ascii="Times New Roman" w:hAnsi="Times New Roman" w:cs="Times New Roman"/>
          <w:sz w:val="24"/>
          <w:szCs w:val="24"/>
        </w:rPr>
      </w:pPr>
    </w:p>
    <w:p w14:paraId="5B8F21FE" w14:textId="3727EFEE" w:rsidR="009028C0" w:rsidRPr="00796736" w:rsidRDefault="009028C0" w:rsidP="00A802A5">
      <w:pPr>
        <w:pStyle w:val="Overskrift2"/>
        <w:rPr>
          <w:rFonts w:ascii="Times New Roman" w:hAnsi="Times New Roman"/>
          <w:sz w:val="24"/>
        </w:rPr>
      </w:pPr>
      <w:bookmarkStart w:id="872" w:name="_Toc232109023"/>
      <w:bookmarkStart w:id="873" w:name="_Ref232942610"/>
      <w:bookmarkStart w:id="874" w:name="_Toc244880724"/>
      <w:r w:rsidRPr="00796736">
        <w:rPr>
          <w:rFonts w:ascii="Times New Roman" w:hAnsi="Times New Roman"/>
          <w:sz w:val="24"/>
        </w:rPr>
        <w:t>Anvendelse af lempede kundekendskabsprocedurer</w:t>
      </w:r>
      <w:bookmarkEnd w:id="872"/>
      <w:bookmarkEnd w:id="873"/>
      <w:bookmarkEnd w:id="874"/>
      <w:r w:rsidRPr="00796736">
        <w:rPr>
          <w:rFonts w:ascii="Times New Roman" w:hAnsi="Times New Roman"/>
          <w:sz w:val="24"/>
        </w:rPr>
        <w:t xml:space="preserve"> </w:t>
      </w:r>
    </w:p>
    <w:p w14:paraId="1D17EA1D" w14:textId="2AB2F65F" w:rsidR="009028C0" w:rsidRPr="00796736" w:rsidRDefault="009028C0" w:rsidP="00A802A5">
      <w:pPr>
        <w:pStyle w:val="Overskrift4"/>
        <w:rPr>
          <w:rFonts w:ascii="Times New Roman" w:hAnsi="Times New Roman" w:cs="Times New Roman"/>
          <w:sz w:val="24"/>
          <w:szCs w:val="24"/>
        </w:rPr>
      </w:pPr>
      <w:bookmarkStart w:id="875" w:name="_Toc229739637"/>
      <w:bookmarkStart w:id="876" w:name="_Toc232109024"/>
      <w:r w:rsidRPr="00796736">
        <w:rPr>
          <w:rFonts w:ascii="Times New Roman" w:hAnsi="Times New Roman" w:cs="Times New Roman"/>
          <w:sz w:val="24"/>
          <w:szCs w:val="24"/>
        </w:rPr>
        <w:t>Gældende ret</w:t>
      </w:r>
      <w:bookmarkEnd w:id="875"/>
      <w:bookmarkEnd w:id="876"/>
    </w:p>
    <w:p w14:paraId="397D1009"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Finanstilsynet kan i henhold til den gældende § 21, stk. 2, i hvidvaskloven fastsætte regler om, at visse krav i kundekendskabsproceduren i henhold til §§ 10-21 ikke finder anvendelse for udstedere af elektroniske penge på områder, hvor der vurderes at være en begrænset risiko for hvidvask og finansiering af terrorisme. Denne bemyndigelse er udmøntet i bekendtgørelse nr. 311 af 26. marts 2020 om lempede krav til kundekendskabsproceduren efter lov om forebyggende foranstaltninger mod hvidvask og finansiering af terrorisme (hvidvaskloven) for udstedere af elektroniske penge, hvor udstedere af elektroniske penge er undtaget fra kundekendskabsprocedurerne i hvidvasklovens § 11, stk. 1, nr. 1-4, og § 14, hvis de kumulative betingelser fastsat i bekendtgørelsen er opfyldt. </w:t>
      </w:r>
    </w:p>
    <w:p w14:paraId="0DDCF746" w14:textId="77777777" w:rsidR="009028C0" w:rsidRPr="00796736" w:rsidRDefault="009028C0" w:rsidP="00A802A5">
      <w:pPr>
        <w:spacing w:line="360" w:lineRule="auto"/>
        <w:rPr>
          <w:rFonts w:ascii="Times New Roman" w:eastAsia="Calibri" w:hAnsi="Times New Roman" w:cs="Times New Roman"/>
          <w:sz w:val="24"/>
          <w:szCs w:val="24"/>
        </w:rPr>
      </w:pPr>
    </w:p>
    <w:p w14:paraId="7106EF46"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er i henhold til bekendtgørelsen en forudsætning for undtagelse, at betalingsinstrumenterne ikke er genopfyldelige eller har en maksimal månedlig betalingstransaktionsgrænse på 150 euro, som udelukkende kan anvendes i Danmark, at betalingsinstrumentet udelukkende anvendes til køb af varer eller tjenesteydelser, at betalingsinstrumentet ikke kan finansieres med anonyme elektroniske penge, og at udstederen foretager tilstrækkelig overvågning af transaktioner eller forretningsforbindelser til at kunne opdage usædvanlige eller mistænkelige transaktioner.</w:t>
      </w:r>
    </w:p>
    <w:p w14:paraId="32164F22" w14:textId="77777777" w:rsidR="009028C0" w:rsidRPr="00796736" w:rsidRDefault="009028C0" w:rsidP="00A802A5">
      <w:pPr>
        <w:spacing w:line="360" w:lineRule="auto"/>
        <w:rPr>
          <w:rFonts w:ascii="Times New Roman" w:eastAsia="Calibri" w:hAnsi="Times New Roman" w:cs="Times New Roman"/>
          <w:sz w:val="24"/>
          <w:szCs w:val="24"/>
        </w:rPr>
      </w:pPr>
    </w:p>
    <w:p w14:paraId="1CE6AB30"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gennemfører artikel 12 i 4. hvidvaskdirektiv.</w:t>
      </w:r>
    </w:p>
    <w:p w14:paraId="58421020" w14:textId="77777777" w:rsidR="009028C0" w:rsidRPr="00796736" w:rsidRDefault="009028C0" w:rsidP="00A802A5">
      <w:pPr>
        <w:spacing w:line="360" w:lineRule="auto"/>
        <w:rPr>
          <w:rFonts w:ascii="Times New Roman" w:eastAsia="Calibri" w:hAnsi="Times New Roman" w:cs="Times New Roman"/>
          <w:sz w:val="24"/>
          <w:szCs w:val="24"/>
        </w:rPr>
      </w:pPr>
    </w:p>
    <w:p w14:paraId="79718499" w14:textId="0BD4967B" w:rsidR="009028C0" w:rsidRPr="00796736" w:rsidRDefault="009028C0" w:rsidP="00A802A5">
      <w:pPr>
        <w:pStyle w:val="Overskrift4"/>
        <w:rPr>
          <w:rFonts w:ascii="Times New Roman" w:hAnsi="Times New Roman" w:cs="Times New Roman"/>
          <w:sz w:val="24"/>
          <w:szCs w:val="24"/>
        </w:rPr>
      </w:pPr>
      <w:bookmarkStart w:id="877" w:name="_Toc229739638"/>
      <w:bookmarkStart w:id="878" w:name="_Toc232109025"/>
      <w:r w:rsidRPr="00796736">
        <w:rPr>
          <w:rFonts w:ascii="Times New Roman" w:hAnsi="Times New Roman" w:cs="Times New Roman"/>
          <w:sz w:val="24"/>
          <w:szCs w:val="24"/>
        </w:rPr>
        <w:t>Hvidvaskforordningen</w:t>
      </w:r>
      <w:bookmarkEnd w:id="877"/>
      <w:bookmarkEnd w:id="878"/>
    </w:p>
    <w:p w14:paraId="6DFB3038" w14:textId="7153AE74" w:rsidR="009028C0" w:rsidRPr="00796736" w:rsidRDefault="009028C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hvidvaskforordningens artikel 19, stk. 7, kan tilsynsorganer undtage forpligtede enheder fra helt eller delvist at anvende de i forordningens artikel 20, stk. 1, litra a-c, omhandlede kundekendskabsprocedurer, for så vidt angår elektroniske penge på grundlag af den dokumenterede lave risiko, som produktets art udgør, hvis alle risikobegrænsende betingelser i artikel 19, stk. 7, litra a-d, er opfyldt.  </w:t>
      </w:r>
    </w:p>
    <w:p w14:paraId="5875C7E2" w14:textId="17B4B711" w:rsidR="009028C0" w:rsidRPr="00796736" w:rsidRDefault="009028C0" w:rsidP="00A802A5">
      <w:pPr>
        <w:pStyle w:val="Overskrift4"/>
        <w:rPr>
          <w:rFonts w:ascii="Times New Roman" w:hAnsi="Times New Roman" w:cs="Times New Roman"/>
          <w:sz w:val="24"/>
          <w:szCs w:val="24"/>
        </w:rPr>
      </w:pPr>
      <w:bookmarkStart w:id="879" w:name="_Toc229739639"/>
      <w:bookmarkStart w:id="880" w:name="_Toc232109026"/>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879"/>
      <w:bookmarkEnd w:id="880"/>
    </w:p>
    <w:p w14:paraId="3982068A"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anonymitet, der er forbundet med visse elektroniske pengeprodukter, medfører risici for hvidvask af penge og finansiering af terrorisme. Der er imidlertid betydelige forskelle på tværs af sektoren, og ikke alle elektroniske pengeprodukter har samme risikoniveau. For eksempel kan visse elektroniske pengeprodukter med lav værdi, såsom forudbetalte gavekort eller forudbetalte vouchere, udgøre en lav risiko for hvidvask af penge eller finansiering af terrorisme. For at sikre, at de krav, der pålægges sektoren, står i et rimeligt forhold til dens risiko og ikke reelt hæmmer dens funktion, bør det i visse tilfælde med dokumenteret lav risiko og under strenge risikobegrænsende betingelser være muligt at undtage disse produkter fra visse kundekendskabsprocedurer, såsom identifikation og kontrol af kunden og den reelle ejer, men ikke fra overvågning af transaktioner eller forretningsforbindelser. </w:t>
      </w:r>
    </w:p>
    <w:p w14:paraId="4C41A304" w14:textId="77777777" w:rsidR="009028C0" w:rsidRPr="00796736" w:rsidRDefault="009028C0" w:rsidP="00A802A5">
      <w:pPr>
        <w:spacing w:line="360" w:lineRule="auto"/>
        <w:rPr>
          <w:rFonts w:ascii="Times New Roman" w:eastAsia="Calibri" w:hAnsi="Times New Roman" w:cs="Times New Roman"/>
          <w:sz w:val="24"/>
          <w:szCs w:val="24"/>
        </w:rPr>
      </w:pPr>
    </w:p>
    <w:p w14:paraId="0D17A3DA"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Hvidvaskforordningen indeholder mulighed for, at tilsynsorganerne kan undtage forpligtede enheder helt eller delvist fra at anvende visse kundekendskabsprocedurer, for så vidt angår elektroniske penge på grundlag af dokumenteret lav risiko.</w:t>
      </w:r>
    </w:p>
    <w:p w14:paraId="5EF59C0A" w14:textId="77777777" w:rsidR="009028C0" w:rsidRPr="00796736" w:rsidRDefault="009028C0" w:rsidP="00A802A5">
      <w:pPr>
        <w:spacing w:line="360" w:lineRule="auto"/>
        <w:rPr>
          <w:rFonts w:ascii="Times New Roman" w:eastAsia="Calibri" w:hAnsi="Times New Roman" w:cs="Times New Roman"/>
          <w:sz w:val="24"/>
          <w:szCs w:val="24"/>
        </w:rPr>
      </w:pPr>
    </w:p>
    <w:p w14:paraId="0F700E2B" w14:textId="77777777" w:rsidR="009028C0" w:rsidRPr="00796736" w:rsidRDefault="009028C0" w:rsidP="00A802A5">
      <w:pPr>
        <w:spacing w:line="360" w:lineRule="auto"/>
        <w:rPr>
          <w:rFonts w:ascii="Times New Roman" w:eastAsia="Calibri" w:hAnsi="Times New Roman" w:cs="Times New Roman"/>
          <w:sz w:val="24"/>
          <w:szCs w:val="24"/>
          <w:highlight w:val="yellow"/>
        </w:rPr>
      </w:pPr>
      <w:r w:rsidRPr="00796736">
        <w:rPr>
          <w:rFonts w:ascii="Times New Roman" w:eastAsia="Calibri" w:hAnsi="Times New Roman" w:cs="Times New Roman"/>
          <w:sz w:val="24"/>
          <w:szCs w:val="24"/>
        </w:rPr>
        <w:t>Der bør kunne fastsættes regler, som indrømmer en sådan undtagelse efter kontrol af den dokumenterede lave risiko under hensyntagen til relevante risikofaktorer, og på en måde, der effektivt afbøder enhver risiko for hvidvask af penge eller finansiering af terrorisme, og som udelukker omgåelse af reglerne for bekæmpelse af hvidvask af penge og finansiering af terrorisme. Under alle omstændigheder bør enhver undtagelse være betinget af strenge grænser med hensyn til produktets maksimale værdi og dets eksklusive anvendelse til køb af varer eller tjenesteydelser og forudsat, at det lagrede beløb ikke kan veksles til en anden værdi.</w:t>
      </w:r>
    </w:p>
    <w:p w14:paraId="58DC35A0" w14:textId="77777777" w:rsidR="009028C0" w:rsidRPr="00796736" w:rsidRDefault="009028C0" w:rsidP="00A802A5">
      <w:pPr>
        <w:spacing w:line="360" w:lineRule="auto"/>
        <w:rPr>
          <w:rFonts w:ascii="Times New Roman" w:hAnsi="Times New Roman" w:cs="Times New Roman"/>
          <w:sz w:val="24"/>
          <w:szCs w:val="24"/>
        </w:rPr>
      </w:pPr>
    </w:p>
    <w:p w14:paraId="13022933" w14:textId="77777777" w:rsidR="009028C0" w:rsidRPr="00796736" w:rsidRDefault="009028C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Finanstilsynet kan fastsætte regler om at undtage forpligtede enheder fra helt eller delvist at anvende de i artikel 20, stk. 1, litra a-c, omhandlede kundekendskabsprocedurer, for så vidt angår elektroniske penge, hvor der vurderes at være en begrænset risiko for hvidvask og finansiering af terrorisme.</w:t>
      </w:r>
    </w:p>
    <w:p w14:paraId="54F3367C" w14:textId="77777777" w:rsidR="009028C0" w:rsidRPr="00796736" w:rsidRDefault="009028C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er tale om en videreførelse af den gældende § 21, stk. 2, i hvidvaskloven med dertilhørende bekendtgørelse om lempede krav til kundekendskabsproceduren efter lov om forebyggende foranstaltninger mod hvidvask og finansiering af terrorisme (hvidvaskloven) for udstedere af elektroniske penge. </w:t>
      </w:r>
    </w:p>
    <w:p w14:paraId="117E0C4A" w14:textId="77777777" w:rsidR="009028C0" w:rsidRPr="00796736" w:rsidRDefault="009028C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Bekendtgørelse nr. 311 af 26. marts 2020 om lempede krav til kundekendskabsproceduren efter lov om forebyggende foranstaltninger mod hvidvask og finansiering af terrorisme (hvidvaskloven) for udstedere af elektroniske penge indeholder stort set samme betingelser, som er fastsat i forordningens artikel 19, stk. 7, litra a-d. </w:t>
      </w:r>
    </w:p>
    <w:p w14:paraId="7555118C" w14:textId="68DE3F36"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bemyndigelse vil kunne anvendes til at udstede en ny bekendtgørelse om hvilke virksomheder og personer, der kan undtages fra kundekendskabsprocedurerne fastsat i forordningens artikel 20, stk. 1, litra a-c. Indtil da foreslås det i lovforslagets </w:t>
      </w:r>
      <w:r w:rsidR="00D82996" w:rsidRPr="00796736">
        <w:rPr>
          <w:rFonts w:ascii="Times New Roman" w:hAnsi="Times New Roman" w:cs="Times New Roman"/>
          <w:sz w:val="24"/>
          <w:szCs w:val="24"/>
        </w:rPr>
        <w:fldChar w:fldCharType="begin"/>
      </w:r>
      <w:r w:rsidR="00D82996" w:rsidRPr="00796736">
        <w:rPr>
          <w:rFonts w:ascii="Times New Roman" w:hAnsi="Times New Roman" w:cs="Times New Roman"/>
          <w:sz w:val="24"/>
          <w:szCs w:val="24"/>
        </w:rPr>
        <w:instrText xml:space="preserve"> REF _Ref232595459 \r \h </w:instrText>
      </w:r>
      <w:r w:rsidR="00967618" w:rsidRPr="00796736">
        <w:rPr>
          <w:rFonts w:ascii="Times New Roman" w:hAnsi="Times New Roman" w:cs="Times New Roman"/>
          <w:sz w:val="24"/>
          <w:szCs w:val="24"/>
        </w:rPr>
        <w:instrText xml:space="preserve"> \* MERGEFORMAT </w:instrText>
      </w:r>
      <w:r w:rsidR="00D82996" w:rsidRPr="00796736">
        <w:rPr>
          <w:rFonts w:ascii="Times New Roman" w:hAnsi="Times New Roman" w:cs="Times New Roman"/>
          <w:sz w:val="24"/>
          <w:szCs w:val="24"/>
        </w:rPr>
      </w:r>
      <w:r w:rsidR="00D8299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w:t>
      </w:r>
      <w:r w:rsidR="00D82996" w:rsidRPr="00796736">
        <w:rPr>
          <w:rFonts w:ascii="Times New Roman" w:hAnsi="Times New Roman" w:cs="Times New Roman"/>
          <w:sz w:val="24"/>
          <w:szCs w:val="24"/>
        </w:rPr>
        <w:fldChar w:fldCharType="end"/>
      </w:r>
      <w:r w:rsidRPr="00796736">
        <w:rPr>
          <w:rFonts w:ascii="Times New Roman" w:eastAsia="Calibri" w:hAnsi="Times New Roman" w:cs="Times New Roman"/>
          <w:sz w:val="24"/>
          <w:szCs w:val="24"/>
        </w:rPr>
        <w:t>, at den gældende bekendtgørelse videreføres.</w:t>
      </w:r>
    </w:p>
    <w:p w14:paraId="7B523082" w14:textId="77777777" w:rsidR="00F75DBC" w:rsidRPr="00796736" w:rsidRDefault="00F75DBC" w:rsidP="00A802A5">
      <w:pPr>
        <w:spacing w:line="360" w:lineRule="auto"/>
        <w:rPr>
          <w:rFonts w:ascii="Times New Roman" w:eastAsia="Calibri" w:hAnsi="Times New Roman" w:cs="Times New Roman"/>
          <w:sz w:val="24"/>
          <w:szCs w:val="24"/>
        </w:rPr>
      </w:pPr>
    </w:p>
    <w:p w14:paraId="24367BE8" w14:textId="7C092113" w:rsidR="00F75DBC" w:rsidRPr="00796736" w:rsidRDefault="00F75D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_Ref232595459 \r \h </w:instrText>
      </w:r>
      <w:r w:rsidR="00967618"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 </w:t>
      </w:r>
    </w:p>
    <w:p w14:paraId="16FB956F" w14:textId="77777777" w:rsidR="009028C0" w:rsidRPr="00796736" w:rsidRDefault="009028C0" w:rsidP="00A802A5">
      <w:pPr>
        <w:spacing w:line="360" w:lineRule="auto"/>
        <w:rPr>
          <w:rFonts w:ascii="Times New Roman" w:eastAsia="Calibri" w:hAnsi="Times New Roman" w:cs="Times New Roman"/>
          <w:sz w:val="24"/>
          <w:szCs w:val="24"/>
        </w:rPr>
      </w:pPr>
    </w:p>
    <w:p w14:paraId="0C30559D" w14:textId="38170B83" w:rsidR="00C85E2A" w:rsidRPr="00796736" w:rsidRDefault="001A5922" w:rsidP="00A802A5">
      <w:pPr>
        <w:pStyle w:val="Overskrift2"/>
        <w:rPr>
          <w:rFonts w:ascii="Times New Roman" w:hAnsi="Times New Roman"/>
          <w:sz w:val="24"/>
        </w:rPr>
      </w:pPr>
      <w:bookmarkStart w:id="881" w:name="_Toc229739632"/>
      <w:bookmarkStart w:id="882" w:name="_Toc232109027"/>
      <w:bookmarkStart w:id="883" w:name="_Ref232942714"/>
      <w:bookmarkStart w:id="884" w:name="_Toc244880725"/>
      <w:r w:rsidRPr="00796736">
        <w:rPr>
          <w:rFonts w:ascii="Times New Roman" w:hAnsi="Times New Roman"/>
          <w:sz w:val="24"/>
        </w:rPr>
        <w:t>Liste over offentlige hverv/politisk eksponerede personer</w:t>
      </w:r>
      <w:bookmarkEnd w:id="881"/>
      <w:bookmarkEnd w:id="882"/>
      <w:bookmarkEnd w:id="883"/>
      <w:bookmarkEnd w:id="884"/>
    </w:p>
    <w:p w14:paraId="35511A03" w14:textId="2623598F" w:rsidR="00C85E2A" w:rsidRPr="00796736" w:rsidRDefault="00C85E2A" w:rsidP="00A802A5">
      <w:pPr>
        <w:pStyle w:val="Overskrift4"/>
        <w:rPr>
          <w:rFonts w:ascii="Times New Roman" w:hAnsi="Times New Roman" w:cs="Times New Roman"/>
          <w:sz w:val="24"/>
          <w:szCs w:val="24"/>
        </w:rPr>
      </w:pPr>
      <w:bookmarkStart w:id="885" w:name="_Toc229739633"/>
      <w:bookmarkStart w:id="886" w:name="_Toc232109028"/>
      <w:r w:rsidRPr="00796736">
        <w:rPr>
          <w:rFonts w:ascii="Times New Roman" w:hAnsi="Times New Roman" w:cs="Times New Roman"/>
          <w:sz w:val="24"/>
          <w:szCs w:val="24"/>
        </w:rPr>
        <w:t>Gældende ret</w:t>
      </w:r>
      <w:bookmarkEnd w:id="885"/>
      <w:bookmarkEnd w:id="886"/>
    </w:p>
    <w:p w14:paraId="0407E973" w14:textId="77777777" w:rsidR="000E7D9B" w:rsidRPr="00796736" w:rsidRDefault="000E7D9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den gældende hvidvasklovs § 18, stk. 7, skal erhvervsministeren føre og offentliggøre en liste med navne, fødselsdatoer og stillingsbetegnelser på de personer, som er omfattet af § 2, nr. 8, i den gældende hvidvasklov. </w:t>
      </w:r>
    </w:p>
    <w:p w14:paraId="3E938B0A" w14:textId="77777777" w:rsidR="000E7D9B" w:rsidRPr="00796736" w:rsidRDefault="000E7D9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Personer, der efter gældende ret har et højerestående offentligt hverv, og som dermed skal betragtes som politisk eksponerede personer, er statschefer, regeringschefer, ministre, viceministre eller assisterende ministre og særlig rådgiver for en minister, parlamentsmedlemmer eller medlemmer af et tilsvarende lovgivende organ, medlemmer af et politisk partis styrelsesorgan, højesteretsdommere, medlemmer af forfatningsdomstolen og af anden højtstående retsinstans, hvis afgørelser kun er genstand for yderligere prøvelse under ekstraordinære omstændigheder, medlemmer af revisionsretter, det øverste ledelsesorgan for en centralbank, ambassadører, chargé d’affaires og højtstående officerer i de væbnede styrker, medlemmer af statsejede virksomheds eller statslige styrelsers administrative, ledende eller kontrollerende organ, samt direktører, vicedirektører og medlemmer af bestyrelsen eller person med tilsvarende hverv i en international organisation. </w:t>
      </w:r>
    </w:p>
    <w:p w14:paraId="3D49C331" w14:textId="689A92E8" w:rsidR="000E7D9B" w:rsidRPr="00796736" w:rsidRDefault="000E7D9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den gældende § 18, stk. 8, i hvidvaskloven skal internationale organisationer samtidig udarbejde og ajourføre en liste over højerestående offentlige hverv indenfor den pågældende internationale organisation, der er akkrediteret af Danmark. Det følger </w:t>
      </w:r>
      <w:r w:rsidR="00A735FA" w:rsidRPr="00796736">
        <w:rPr>
          <w:rFonts w:ascii="Times New Roman" w:eastAsia="Calibri" w:hAnsi="Times New Roman" w:cs="Times New Roman"/>
          <w:sz w:val="24"/>
          <w:szCs w:val="24"/>
        </w:rPr>
        <w:t>desuden</w:t>
      </w:r>
      <w:r w:rsidRPr="00796736">
        <w:rPr>
          <w:rFonts w:ascii="Times New Roman" w:eastAsia="Calibri" w:hAnsi="Times New Roman" w:cs="Times New Roman"/>
          <w:sz w:val="24"/>
          <w:szCs w:val="24"/>
        </w:rPr>
        <w:t xml:space="preserve"> af bestemmelsen, at listen skal sendes til Europa-Kommissionen. </w:t>
      </w:r>
    </w:p>
    <w:p w14:paraId="51D2105B" w14:textId="77777777" w:rsidR="000E7D9B" w:rsidRPr="00796736" w:rsidRDefault="000E7D9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Endelig kan erhvervsministeren efter den gældende hvidvasklovs § 18, stk. 9, fastsætte nærmere regler om den i § 18, stk. 7, nævnte liste, herunder om indberetning, offentliggørelse m.v. </w:t>
      </w:r>
    </w:p>
    <w:p w14:paraId="6732B28C" w14:textId="5D7D4F3D" w:rsidR="00DF7FBF" w:rsidRPr="00796736" w:rsidRDefault="000E7D9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Erhvervsministerens bemyndigelse efter § 18, stk. 9, er udmøntet i bekendtgørelse nr. 658 af 30. maj 2023 om indberetning og offentliggørelse af oplysninger om indenlandske politisk eksponerede personer. Bekendtgørelsen omfatter bl.a. bestemmelser om, hvem der skal foretage indberetningen, fristen for indberetning af oplysningerne og hvordan manglende indberetning sanktioneres. Det følger </w:t>
      </w:r>
      <w:r w:rsidR="004C4F0C" w:rsidRPr="00796736">
        <w:rPr>
          <w:rFonts w:ascii="Times New Roman" w:eastAsia="Calibri" w:hAnsi="Times New Roman" w:cs="Times New Roman"/>
          <w:sz w:val="24"/>
          <w:szCs w:val="24"/>
        </w:rPr>
        <w:t>desuden</w:t>
      </w:r>
      <w:r w:rsidRPr="00796736">
        <w:rPr>
          <w:rFonts w:ascii="Times New Roman" w:eastAsia="Calibri" w:hAnsi="Times New Roman" w:cs="Times New Roman"/>
          <w:sz w:val="24"/>
          <w:szCs w:val="24"/>
        </w:rPr>
        <w:t xml:space="preserve"> af bekendtgørelsen, at det er Finanstilsynet, som udarbejder og ajourfører listen over højerestående offentlige hverv.  </w:t>
      </w:r>
    </w:p>
    <w:p w14:paraId="04AAF071" w14:textId="7E1AA536" w:rsidR="001A5922" w:rsidRPr="00796736" w:rsidRDefault="001A5922" w:rsidP="00A802A5">
      <w:pPr>
        <w:pStyle w:val="Overskrift4"/>
        <w:rPr>
          <w:rFonts w:ascii="Times New Roman" w:hAnsi="Times New Roman" w:cs="Times New Roman"/>
          <w:sz w:val="24"/>
          <w:szCs w:val="24"/>
        </w:rPr>
      </w:pPr>
      <w:bookmarkStart w:id="887" w:name="_Toc229739634"/>
      <w:bookmarkStart w:id="888" w:name="_Toc232109029"/>
      <w:r w:rsidRPr="00796736">
        <w:rPr>
          <w:rFonts w:ascii="Times New Roman" w:hAnsi="Times New Roman" w:cs="Times New Roman"/>
          <w:sz w:val="24"/>
          <w:szCs w:val="24"/>
        </w:rPr>
        <w:t>Hvidvaskforordningen</w:t>
      </w:r>
      <w:bookmarkEnd w:id="887"/>
      <w:bookmarkEnd w:id="888"/>
    </w:p>
    <w:p w14:paraId="71F3861E" w14:textId="01099875" w:rsidR="001A5922" w:rsidRPr="00796736" w:rsidRDefault="001A59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Af hvidvaskforordningens præambel 93 og artikel 43 i forordningen fremgår det, at medlemsstaterne udarbejder lister, som angiver de specifikke funktioner, der i henhold til nationale love og administrative bestemmelser udgør højerestående offentlige hverv. </w:t>
      </w:r>
    </w:p>
    <w:p w14:paraId="407C8945" w14:textId="129C148B" w:rsidR="001A5922" w:rsidRPr="00796736" w:rsidRDefault="001A59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Artikel 2, nr. 34, litra ix, i hvidvaskforordningen giver medlemsstaterne mulighed for at udpege andre højerestående offentlige hverv end hverv listet i artikel 2, nr. 34.  </w:t>
      </w:r>
    </w:p>
    <w:p w14:paraId="035FC4DA" w14:textId="2E2A4E21" w:rsidR="00C85E2A" w:rsidRPr="00796736" w:rsidRDefault="00274A31" w:rsidP="00A802A5">
      <w:pPr>
        <w:pStyle w:val="Overskrift4"/>
        <w:rPr>
          <w:rFonts w:ascii="Times New Roman" w:hAnsi="Times New Roman" w:cs="Times New Roman"/>
          <w:sz w:val="24"/>
          <w:szCs w:val="24"/>
        </w:rPr>
      </w:pPr>
      <w:bookmarkStart w:id="889" w:name="_Toc229739635"/>
      <w:bookmarkStart w:id="890" w:name="_Toc232109030"/>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r w:rsidR="001A5922" w:rsidRPr="00796736">
        <w:rPr>
          <w:rFonts w:ascii="Times New Roman" w:hAnsi="Times New Roman" w:cs="Times New Roman"/>
          <w:sz w:val="24"/>
          <w:szCs w:val="24"/>
        </w:rPr>
        <w:t>og den foreslåede ordning</w:t>
      </w:r>
      <w:bookmarkEnd w:id="889"/>
      <w:bookmarkEnd w:id="890"/>
    </w:p>
    <w:p w14:paraId="76826449" w14:textId="77777777" w:rsidR="00D36CD8" w:rsidRPr="00796736" w:rsidRDefault="00D36CD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 internationale bestræbelser på at bekæmpe korruption begrunder et behov for øget opmærksomhed på politisk eksponerede personer og for anvendelse af passende skærpede kundekendskabsprocedurer over for personer, som varetager eller har varetaget et højerestående offentligt hverv, og på fremtrædende personer i internationale organisationer. </w:t>
      </w:r>
    </w:p>
    <w:p w14:paraId="6998C271" w14:textId="2DCA6B6B" w:rsidR="00D36CD8" w:rsidRPr="00796736" w:rsidRDefault="00A240F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Skatte- og Vækstministeriet</w:t>
      </w:r>
      <w:r w:rsidR="00D36CD8" w:rsidRPr="00796736">
        <w:rPr>
          <w:rFonts w:ascii="Times New Roman" w:eastAsia="Calibri" w:hAnsi="Times New Roman" w:cs="Times New Roman"/>
          <w:sz w:val="24"/>
          <w:szCs w:val="24"/>
        </w:rPr>
        <w:t xml:space="preserve"> finder det hensigtsmæssigt, at </w:t>
      </w:r>
      <w:r w:rsidRPr="00796736">
        <w:rPr>
          <w:rFonts w:ascii="Times New Roman" w:hAnsi="Times New Roman" w:cs="Times New Roman"/>
          <w:sz w:val="24"/>
          <w:szCs w:val="24"/>
        </w:rPr>
        <w:t>skatte- og vækstministeren</w:t>
      </w:r>
      <w:r w:rsidRPr="00796736">
        <w:rPr>
          <w:rFonts w:ascii="Times New Roman" w:eastAsia="Calibri" w:hAnsi="Times New Roman" w:cs="Times New Roman"/>
          <w:sz w:val="24"/>
          <w:szCs w:val="24"/>
        </w:rPr>
        <w:t xml:space="preserve"> </w:t>
      </w:r>
      <w:r w:rsidR="00D36CD8" w:rsidRPr="00796736">
        <w:rPr>
          <w:rFonts w:ascii="Times New Roman" w:eastAsia="Calibri" w:hAnsi="Times New Roman" w:cs="Times New Roman"/>
          <w:sz w:val="24"/>
          <w:szCs w:val="24"/>
        </w:rPr>
        <w:t xml:space="preserve">fortsætter med at ajourføre en liste over hvilke personer, som har et højerestående offentligt erhverv. </w:t>
      </w:r>
    </w:p>
    <w:p w14:paraId="371B3135" w14:textId="5DF91216" w:rsidR="001A5922" w:rsidRPr="00796736" w:rsidRDefault="00A240FB"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Skatte- og vækstministeren</w:t>
      </w:r>
      <w:r w:rsidRPr="00796736">
        <w:rPr>
          <w:rFonts w:ascii="Times New Roman" w:eastAsia="Calibri" w:hAnsi="Times New Roman" w:cs="Times New Roman"/>
          <w:sz w:val="24"/>
          <w:szCs w:val="24"/>
        </w:rPr>
        <w:t xml:space="preserve"> </w:t>
      </w:r>
      <w:r w:rsidR="001A5922" w:rsidRPr="00796736">
        <w:rPr>
          <w:rFonts w:ascii="Times New Roman" w:eastAsia="Calibri" w:hAnsi="Times New Roman" w:cs="Times New Roman"/>
          <w:sz w:val="24"/>
          <w:szCs w:val="24"/>
        </w:rPr>
        <w:t xml:space="preserve">skal kunne udpege andre offentlige højerestående hverv end </w:t>
      </w:r>
      <w:r w:rsidR="00491587" w:rsidRPr="00796736">
        <w:rPr>
          <w:rFonts w:ascii="Times New Roman" w:eastAsia="Calibri" w:hAnsi="Times New Roman" w:cs="Times New Roman"/>
          <w:sz w:val="24"/>
          <w:szCs w:val="24"/>
        </w:rPr>
        <w:t xml:space="preserve">de </w:t>
      </w:r>
      <w:r w:rsidR="001A5922" w:rsidRPr="00796736">
        <w:rPr>
          <w:rFonts w:ascii="Times New Roman" w:eastAsia="Calibri" w:hAnsi="Times New Roman" w:cs="Times New Roman"/>
          <w:sz w:val="24"/>
          <w:szCs w:val="24"/>
        </w:rPr>
        <w:t>hverv</w:t>
      </w:r>
      <w:r w:rsidR="00491587" w:rsidRPr="00796736">
        <w:rPr>
          <w:rFonts w:ascii="Times New Roman" w:eastAsia="Calibri" w:hAnsi="Times New Roman" w:cs="Times New Roman"/>
          <w:sz w:val="24"/>
          <w:szCs w:val="24"/>
        </w:rPr>
        <w:t>,</w:t>
      </w:r>
      <w:r w:rsidR="001A5922" w:rsidRPr="00796736">
        <w:rPr>
          <w:rFonts w:ascii="Times New Roman" w:eastAsia="Calibri" w:hAnsi="Times New Roman" w:cs="Times New Roman"/>
          <w:sz w:val="24"/>
          <w:szCs w:val="24"/>
        </w:rPr>
        <w:t xml:space="preserve"> som fremgår af artikel 2, nr. 34, litra a) – d) i forordningen.</w:t>
      </w:r>
    </w:p>
    <w:p w14:paraId="04442E4F" w14:textId="4B0BA44D" w:rsidR="0024108D" w:rsidRPr="00796736" w:rsidRDefault="00D36CD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Ministres særlige rådgivere er ikke omfattet af definitionen på en politisk eksponeret person i forordningen. </w:t>
      </w:r>
      <w:r w:rsidR="00A240FB" w:rsidRPr="00796736">
        <w:rPr>
          <w:rFonts w:ascii="Times New Roman" w:eastAsia="Calibri" w:hAnsi="Times New Roman" w:cs="Times New Roman"/>
          <w:sz w:val="24"/>
          <w:szCs w:val="24"/>
        </w:rPr>
        <w:t>Skatte- og Vækstministeriet</w:t>
      </w:r>
      <w:r w:rsidRPr="00796736">
        <w:rPr>
          <w:rFonts w:ascii="Times New Roman" w:eastAsia="Calibri" w:hAnsi="Times New Roman" w:cs="Times New Roman"/>
          <w:sz w:val="24"/>
          <w:szCs w:val="24"/>
        </w:rPr>
        <w:t xml:space="preserve"> finder det nødvendigt at udvide definitionen af en politisk eksponeret person til at omfatte ministres særlige rådgivere ligesom, at det er gældende ret i dag. </w:t>
      </w:r>
    </w:p>
    <w:p w14:paraId="57AA216C" w14:textId="77777777" w:rsidR="00727582" w:rsidRPr="00796736" w:rsidRDefault="0072758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anvende hvidvaskforordningens definition af politisk eksponerede personer, når de varetager eller har varetaget højerestående offentligt hverv. Derudover foreslås det, at definitionen af politisk eksponeret personer også omfatter ministres særlige rådgivere.</w:t>
      </w:r>
    </w:p>
    <w:p w14:paraId="34D0FF1B" w14:textId="77777777" w:rsidR="00727582" w:rsidRPr="00796736" w:rsidRDefault="0072758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forordningen kan Kommissionen vedtage delegerede retsakter med henblik på at supplere artikel 2, stk. 1, nr. 34. Det foreslås, at supplementer fra en vedtaget delegeret retsakter ligeledes skal være omfattet af listen over højerestående offentlige hverv, jf. hvidvaskforordningens artikel 43, stk. 3. </w:t>
      </w:r>
    </w:p>
    <w:p w14:paraId="50D7849A" w14:textId="720F2279" w:rsidR="00727582" w:rsidRPr="00796736" w:rsidRDefault="0072758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dertil at videreføre bemyndigelse</w:t>
      </w:r>
      <w:r w:rsidR="005C7EA2" w:rsidRPr="00796736">
        <w:rPr>
          <w:rFonts w:ascii="Times New Roman" w:eastAsia="Calibri" w:hAnsi="Times New Roman" w:cs="Times New Roman"/>
          <w:sz w:val="24"/>
          <w:szCs w:val="24"/>
        </w:rPr>
        <w:t>n</w:t>
      </w:r>
      <w:r w:rsidRPr="00796736">
        <w:rPr>
          <w:rFonts w:ascii="Times New Roman" w:eastAsia="Calibri" w:hAnsi="Times New Roman" w:cs="Times New Roman"/>
          <w:sz w:val="24"/>
          <w:szCs w:val="24"/>
        </w:rPr>
        <w:t xml:space="preserve"> til at føre og offentliggøre en liste med navne og fødselsdatoer på personer, som udgør højerestående offentlige hverv i henhold til artikel 2, stk. 1, nr. 34, i Europa-Parlamentets og Rådets Forordning (EU) 2024/1624 om forebyggende foranstaltninger mod anvendelse af det finansielle system til hvidvask af penge eller finansiering af terrorisme, jf. hvidvaskforordningens artikel 43. </w:t>
      </w:r>
    </w:p>
    <w:p w14:paraId="7706E0F5" w14:textId="2BD9EF48" w:rsidR="00727582" w:rsidRPr="00796736" w:rsidRDefault="0072758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foreslås </w:t>
      </w:r>
      <w:r w:rsidR="004C4F0C" w:rsidRPr="00796736">
        <w:rPr>
          <w:rFonts w:ascii="Times New Roman" w:eastAsia="Calibri" w:hAnsi="Times New Roman" w:cs="Times New Roman"/>
          <w:sz w:val="24"/>
          <w:szCs w:val="24"/>
        </w:rPr>
        <w:t>desuden</w:t>
      </w:r>
      <w:r w:rsidRPr="00796736">
        <w:rPr>
          <w:rFonts w:ascii="Times New Roman" w:eastAsia="Calibri" w:hAnsi="Times New Roman" w:cs="Times New Roman"/>
          <w:sz w:val="24"/>
          <w:szCs w:val="24"/>
        </w:rPr>
        <w:t xml:space="preserve"> at sikre, at </w:t>
      </w:r>
      <w:r w:rsidR="00A240FB" w:rsidRPr="00796736">
        <w:rPr>
          <w:rFonts w:ascii="Times New Roman" w:hAnsi="Times New Roman" w:cs="Times New Roman"/>
          <w:sz w:val="24"/>
          <w:szCs w:val="24"/>
        </w:rPr>
        <w:t>skatte- og vækstministeren</w:t>
      </w:r>
      <w:r w:rsidR="00A240FB"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har hjemmel til at fastsætte nærmere regler om den i stk. 1 og 2 omhandlede lister, herunder regler om personkredsen, indberetning, offentliggørelse m.v.</w:t>
      </w:r>
    </w:p>
    <w:p w14:paraId="5DF10F1D" w14:textId="2EC1A50B" w:rsidR="00727582" w:rsidRPr="00796736" w:rsidRDefault="0072758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Med hensyn til gældende ret udvider forordningen kredsen af nærtstående til en politisk eksponerede personer til også at omfatte søskende</w:t>
      </w:r>
      <w:r w:rsidR="005C7EA2" w:rsidRPr="00796736">
        <w:rPr>
          <w:rFonts w:ascii="Times New Roman" w:eastAsia="Calibri" w:hAnsi="Times New Roman" w:cs="Times New Roman"/>
          <w:sz w:val="24"/>
          <w:szCs w:val="24"/>
        </w:rPr>
        <w:t xml:space="preserve"> til personer</w:t>
      </w:r>
      <w:r w:rsidRPr="00796736">
        <w:rPr>
          <w:rFonts w:ascii="Times New Roman" w:eastAsia="Calibri" w:hAnsi="Times New Roman" w:cs="Times New Roman"/>
          <w:sz w:val="24"/>
          <w:szCs w:val="24"/>
        </w:rPr>
        <w:t>, som beklæder højtstående stillinger i centralregering</w:t>
      </w:r>
      <w:r w:rsidR="005C7EA2" w:rsidRPr="00796736">
        <w:rPr>
          <w:rFonts w:ascii="Times New Roman" w:eastAsia="Calibri" w:hAnsi="Times New Roman" w:cs="Times New Roman"/>
          <w:sz w:val="24"/>
          <w:szCs w:val="24"/>
        </w:rPr>
        <w:t>en</w:t>
      </w:r>
      <w:r w:rsidRPr="00796736">
        <w:rPr>
          <w:rFonts w:ascii="Times New Roman" w:eastAsia="Calibri" w:hAnsi="Times New Roman" w:cs="Times New Roman"/>
          <w:sz w:val="24"/>
          <w:szCs w:val="24"/>
        </w:rPr>
        <w:t xml:space="preserve">. Af præambel 97 til hvidvaskforordningen fremgår det bl.a., at forhold til familiemedlemmer, der kunne misbruges af politisk eksponerede personer, ikke kun omfatter forældre og efterkommere, men også kan omfatte søskende. Dette er især tilfældet for kategorier af politisk eksponerede personer, som beklæder højtstående stillinger i en centralregering. </w:t>
      </w:r>
    </w:p>
    <w:p w14:paraId="03DDABF9" w14:textId="59892891" w:rsidR="00727582" w:rsidRPr="00796736" w:rsidRDefault="0072758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ordning, hvorefter </w:t>
      </w:r>
      <w:r w:rsidR="00A240FB" w:rsidRPr="00796736">
        <w:rPr>
          <w:rFonts w:ascii="Times New Roman" w:hAnsi="Times New Roman" w:cs="Times New Roman"/>
          <w:sz w:val="24"/>
          <w:szCs w:val="24"/>
        </w:rPr>
        <w:t xml:space="preserve">skatte- og vækstministeren </w:t>
      </w:r>
      <w:r w:rsidRPr="00796736">
        <w:rPr>
          <w:rFonts w:ascii="Times New Roman" w:hAnsi="Times New Roman" w:cs="Times New Roman"/>
          <w:sz w:val="24"/>
          <w:szCs w:val="24"/>
        </w:rPr>
        <w:t xml:space="preserve">fører en liste, vil medføre, at myndigheder og virksomheder, som har højerestående offentlige hverv i overensstemmelse med hvidvaskforordningens artikel 2, stk. 1, nr. 34, og eventuelle af Kommissionen vedtaget delegerede retsakter, som supplerer listen, skal indberette navn, fødselsdato og stillingsbetegnelse til Finanstilsynet, </w:t>
      </w:r>
      <w:r w:rsidR="005C7EA2" w:rsidRPr="00796736">
        <w:rPr>
          <w:rFonts w:ascii="Times New Roman" w:hAnsi="Times New Roman" w:cs="Times New Roman"/>
          <w:sz w:val="24"/>
          <w:szCs w:val="24"/>
        </w:rPr>
        <w:t>så</w:t>
      </w:r>
      <w:r w:rsidRPr="00796736">
        <w:rPr>
          <w:rFonts w:ascii="Times New Roman" w:hAnsi="Times New Roman" w:cs="Times New Roman"/>
          <w:sz w:val="24"/>
          <w:szCs w:val="24"/>
        </w:rPr>
        <w:t xml:space="preserve"> Finanstilsynet kan ajourføre og offentliggøre en liste over politisk eksponerede personer.</w:t>
      </w:r>
    </w:p>
    <w:p w14:paraId="6A1B1A2A" w14:textId="77777777" w:rsidR="00727582" w:rsidRPr="00796736" w:rsidRDefault="0072758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p>
    <w:p w14:paraId="623933C1" w14:textId="1207200E" w:rsidR="00F63926" w:rsidRPr="00796736" w:rsidRDefault="0072758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w:t>
      </w:r>
      <w:r w:rsidR="00A240FB" w:rsidRPr="00796736">
        <w:rPr>
          <w:rFonts w:ascii="Times New Roman" w:hAnsi="Times New Roman" w:cs="Times New Roman"/>
          <w:sz w:val="24"/>
          <w:szCs w:val="24"/>
        </w:rPr>
        <w:t xml:space="preserve">skatte- og vækstministerens </w:t>
      </w:r>
      <w:r w:rsidRPr="00796736">
        <w:rPr>
          <w:rFonts w:ascii="Times New Roman" w:hAnsi="Times New Roman" w:cs="Times New Roman"/>
          <w:sz w:val="24"/>
          <w:szCs w:val="24"/>
        </w:rPr>
        <w:t xml:space="preserve">bemyndigelse til at føre og offentliggøre en liste over politisk eksponerede personer henvises til lovforslagets § </w:t>
      </w:r>
      <w:r w:rsidR="009028C0" w:rsidRPr="00796736">
        <w:rPr>
          <w:rFonts w:ascii="Times New Roman" w:hAnsi="Times New Roman" w:cs="Times New Roman"/>
          <w:sz w:val="24"/>
          <w:szCs w:val="24"/>
        </w:rPr>
        <w:t>8</w:t>
      </w:r>
      <w:r w:rsidRPr="00796736">
        <w:rPr>
          <w:rFonts w:ascii="Times New Roman" w:hAnsi="Times New Roman" w:cs="Times New Roman"/>
          <w:sz w:val="24"/>
          <w:szCs w:val="24"/>
        </w:rPr>
        <w:t xml:space="preserve"> og bemærkningerne hertil.</w:t>
      </w:r>
      <w:bookmarkStart w:id="891" w:name="_Toc232109035"/>
    </w:p>
    <w:p w14:paraId="2E1988D3" w14:textId="088547A9" w:rsidR="00F75DBC" w:rsidRPr="00796736" w:rsidRDefault="00F75D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_Ref232595515 \r \h </w:instrText>
      </w:r>
      <w:r w:rsidR="00967618"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 </w:t>
      </w:r>
    </w:p>
    <w:p w14:paraId="709F1C84" w14:textId="77777777" w:rsidR="00F75DBC" w:rsidRPr="00796736" w:rsidRDefault="00F75DBC" w:rsidP="00A802A5">
      <w:pPr>
        <w:spacing w:line="360" w:lineRule="auto"/>
        <w:rPr>
          <w:rFonts w:ascii="Times New Roman" w:hAnsi="Times New Roman" w:cs="Times New Roman"/>
          <w:sz w:val="24"/>
          <w:szCs w:val="24"/>
        </w:rPr>
      </w:pPr>
    </w:p>
    <w:p w14:paraId="7F9D66BE" w14:textId="6C94461A" w:rsidR="007B6534" w:rsidRPr="00796736" w:rsidRDefault="007B6534" w:rsidP="00A802A5">
      <w:pPr>
        <w:pStyle w:val="Overskrift2"/>
        <w:rPr>
          <w:rFonts w:ascii="Times New Roman" w:hAnsi="Times New Roman"/>
          <w:sz w:val="24"/>
        </w:rPr>
      </w:pPr>
      <w:bookmarkStart w:id="892" w:name="_Ref232942753"/>
      <w:bookmarkStart w:id="893" w:name="_Toc244880726"/>
      <w:r w:rsidRPr="00796736">
        <w:rPr>
          <w:rFonts w:ascii="Times New Roman" w:hAnsi="Times New Roman"/>
          <w:sz w:val="24"/>
        </w:rPr>
        <w:t>Fastsættelse af regler vedrørende risikovurdering på virksomhedsplan</w:t>
      </w:r>
      <w:bookmarkEnd w:id="891"/>
      <w:bookmarkEnd w:id="892"/>
      <w:bookmarkEnd w:id="893"/>
    </w:p>
    <w:p w14:paraId="547B873A" w14:textId="0703EB26" w:rsidR="007B6534" w:rsidRPr="00796736" w:rsidRDefault="007B6534" w:rsidP="00A802A5">
      <w:pPr>
        <w:pStyle w:val="Overskrift4"/>
        <w:rPr>
          <w:rFonts w:ascii="Times New Roman" w:hAnsi="Times New Roman" w:cs="Times New Roman"/>
          <w:sz w:val="24"/>
          <w:szCs w:val="24"/>
        </w:rPr>
      </w:pPr>
      <w:bookmarkStart w:id="894" w:name="_Toc232109036"/>
      <w:r w:rsidRPr="00796736">
        <w:rPr>
          <w:rFonts w:ascii="Times New Roman" w:hAnsi="Times New Roman" w:cs="Times New Roman"/>
          <w:sz w:val="24"/>
          <w:szCs w:val="24"/>
        </w:rPr>
        <w:t>Gældende ret</w:t>
      </w:r>
      <w:bookmarkEnd w:id="894"/>
    </w:p>
    <w:p w14:paraId="21FF8DD2"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I dag skal virksomheder og personer omfattet af loven udarbejde en risikovurdering, hvori virksomheden og personerne skal identificere og vurdere risikoen for, at virksomheden eller personen kan blive misbrugt til hvidvask eller finansiering af terrorisme. Risikovurderingen skal foretages med udgangspunkt i virksomhedens eller personens forretningsmodel og omfatte en vurdering af risikofaktorer, der er forbundet med kunder, produkter, tjenesteydelser og transaktioner samt leveringskanaler og lande eller geografiske områder, hvor forretningsaktiviteterne udøves. Virksomhedernes og personernes risikovurdering skal dokumenteres og løbende opdateres.  </w:t>
      </w:r>
    </w:p>
    <w:p w14:paraId="63F06B48" w14:textId="77777777" w:rsidR="007B6534" w:rsidRPr="00796736" w:rsidRDefault="007B6534" w:rsidP="00A802A5">
      <w:pPr>
        <w:spacing w:line="360" w:lineRule="auto"/>
        <w:rPr>
          <w:rFonts w:ascii="Times New Roman" w:hAnsi="Times New Roman" w:cs="Times New Roman"/>
          <w:sz w:val="24"/>
          <w:szCs w:val="24"/>
        </w:rPr>
      </w:pPr>
    </w:p>
    <w:p w14:paraId="195099A0" w14:textId="6178C3D1" w:rsidR="007B6534" w:rsidRPr="00796736" w:rsidRDefault="007B6534" w:rsidP="00A802A5">
      <w:pPr>
        <w:pStyle w:val="Overskrift4"/>
        <w:rPr>
          <w:rFonts w:ascii="Times New Roman" w:hAnsi="Times New Roman" w:cs="Times New Roman"/>
          <w:sz w:val="24"/>
          <w:szCs w:val="24"/>
        </w:rPr>
      </w:pPr>
      <w:bookmarkStart w:id="895" w:name="_Toc232109037"/>
      <w:r w:rsidRPr="00796736">
        <w:rPr>
          <w:rFonts w:ascii="Times New Roman" w:hAnsi="Times New Roman" w:cs="Times New Roman"/>
          <w:sz w:val="24"/>
          <w:szCs w:val="24"/>
        </w:rPr>
        <w:t>Hvidvaskforordningen</w:t>
      </w:r>
      <w:bookmarkEnd w:id="895"/>
    </w:p>
    <w:p w14:paraId="44225B41"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artikel 10 i hvidvaskforordningen skal forpligtede enheder udarbejde risikovurderinger på virksomhedsplan, som identificerer og vurderer de risici for hvidvask af penge og finansiering af terrorisme, som de forpligtede enheder er eksponeret for, samt risici for manglende gennemførelse og omgåelse af målrettede finansielle sanktioner.</w:t>
      </w:r>
    </w:p>
    <w:p w14:paraId="75139511" w14:textId="77777777" w:rsidR="007B6534" w:rsidRPr="00796736" w:rsidRDefault="007B6534" w:rsidP="00A802A5">
      <w:pPr>
        <w:spacing w:line="360" w:lineRule="auto"/>
        <w:rPr>
          <w:rFonts w:ascii="Times New Roman" w:eastAsia="Calibri" w:hAnsi="Times New Roman" w:cs="Times New Roman"/>
          <w:sz w:val="24"/>
          <w:szCs w:val="24"/>
        </w:rPr>
      </w:pPr>
    </w:p>
    <w:p w14:paraId="0B4A9FD2"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Hvidvaskforordningens artikel 10, stk. 3, fastslår, at tilsynsorganerne kan beslutte, at der ikke stilles krav om individuelle dokumenterede risikovurderinger på virksomhedsplan for virksomheder, hvis specifikke risici i forbindelse med sektoren er klare og forståelige. Denne mulighed omfatter alene virksomheder, som ikke er kreditinstitutter, finansieringsinstitutter, crowdfundingtjenesteudbydere eller crowdfundingformidlere. </w:t>
      </w:r>
    </w:p>
    <w:p w14:paraId="48E1EB78" w14:textId="77777777" w:rsidR="007B6534" w:rsidRPr="00796736" w:rsidRDefault="007B6534" w:rsidP="00A802A5">
      <w:pPr>
        <w:spacing w:line="360" w:lineRule="auto"/>
        <w:rPr>
          <w:rFonts w:ascii="Times New Roman" w:hAnsi="Times New Roman" w:cs="Times New Roman"/>
          <w:sz w:val="24"/>
          <w:szCs w:val="24"/>
        </w:rPr>
      </w:pPr>
    </w:p>
    <w:p w14:paraId="1E132C91" w14:textId="680A86D7" w:rsidR="007B6534" w:rsidRPr="00796736" w:rsidRDefault="007B6534" w:rsidP="00A802A5">
      <w:pPr>
        <w:pStyle w:val="Overskrift4"/>
        <w:rPr>
          <w:rFonts w:ascii="Times New Roman" w:hAnsi="Times New Roman" w:cs="Times New Roman"/>
          <w:sz w:val="24"/>
          <w:szCs w:val="24"/>
        </w:rPr>
      </w:pPr>
      <w:bookmarkStart w:id="896" w:name="_Toc232109038"/>
      <w:r w:rsidRPr="00796736">
        <w:rPr>
          <w:rFonts w:ascii="Times New Roman" w:hAnsi="Times New Roman" w:cs="Times New Roman"/>
          <w:sz w:val="24"/>
          <w:szCs w:val="24"/>
        </w:rPr>
        <w:t>Skatte- og Vækstministeriet</w:t>
      </w:r>
      <w:r w:rsidR="002C1881" w:rsidRPr="00796736">
        <w:rPr>
          <w:rFonts w:ascii="Times New Roman" w:hAnsi="Times New Roman" w:cs="Times New Roman"/>
          <w:sz w:val="24"/>
          <w:szCs w:val="24"/>
        </w:rPr>
        <w:t xml:space="preserve"> og Erhvervsministeriets</w:t>
      </w:r>
      <w:r w:rsidRPr="00796736">
        <w:rPr>
          <w:rFonts w:ascii="Times New Roman" w:hAnsi="Times New Roman" w:cs="Times New Roman"/>
          <w:sz w:val="24"/>
          <w:szCs w:val="24"/>
        </w:rPr>
        <w:t xml:space="preserve"> overvejelser og den foreslåede ordning</w:t>
      </w:r>
      <w:bookmarkEnd w:id="896"/>
      <w:r w:rsidRPr="00796736">
        <w:rPr>
          <w:rFonts w:ascii="Times New Roman" w:hAnsi="Times New Roman" w:cs="Times New Roman"/>
          <w:sz w:val="24"/>
          <w:szCs w:val="24"/>
        </w:rPr>
        <w:t xml:space="preserve"> </w:t>
      </w:r>
    </w:p>
    <w:p w14:paraId="60A18593"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 risikobaseret tilgang kræver, at virksomheder og personer omfattet af hvidvaskreglerne er i stand til at identificere de iboende risici for hvidvask af penge og finansiering af terrorisme samt risici for manglende gennemførelse eller omgåelse af målrettede finansielle sanktioner, som de står over for i kraft af deres virksomhed, for effektivt at afbøde dem og sikre, at deres politikker, procedurer og interne kontroller er egnede til at imødegå disse iboende risici. </w:t>
      </w:r>
    </w:p>
    <w:p w14:paraId="2F8E3C82" w14:textId="77777777" w:rsidR="007B6534" w:rsidRPr="00796736" w:rsidRDefault="007B6534" w:rsidP="00A802A5">
      <w:pPr>
        <w:spacing w:line="360" w:lineRule="auto"/>
        <w:rPr>
          <w:rFonts w:ascii="Times New Roman" w:eastAsia="Calibri" w:hAnsi="Times New Roman" w:cs="Times New Roman"/>
          <w:sz w:val="24"/>
          <w:szCs w:val="24"/>
        </w:rPr>
      </w:pPr>
    </w:p>
    <w:p w14:paraId="7EB41479"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I forbindelse hermed bør virksomheder og personer tage hensyn til deres kunders karakteristika, de produkter, tjenesteydelser eller transaktioner, der tilbydes, herunder, for udbydere af kryptoaktivtjenester, transaktioner med selvhostede adresser, de berørte lande eller geografiske områder og de anvendte distributionskanaler. I lyset af risicis skiftende karakter bør en sådan risikovurdering ajourføres regelmæssigt.</w:t>
      </w:r>
    </w:p>
    <w:p w14:paraId="5D827093" w14:textId="77777777" w:rsidR="007B6534" w:rsidRPr="00796736" w:rsidRDefault="007B6534" w:rsidP="00A802A5">
      <w:pPr>
        <w:spacing w:line="360" w:lineRule="auto"/>
        <w:rPr>
          <w:rFonts w:ascii="Times New Roman" w:eastAsia="Calibri" w:hAnsi="Times New Roman" w:cs="Times New Roman"/>
          <w:sz w:val="24"/>
          <w:szCs w:val="24"/>
        </w:rPr>
      </w:pPr>
    </w:p>
    <w:p w14:paraId="702592BD"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Samtidig bør der tages hensyn til de karakteristika og behov, der gør sig gældende for virksomheder og personer, og der bør sikres en passende behandling som er tilpasset deres særlige behov og virksomhedens art og risici. Dette kan f.eks. indebære en undtagelse af visse virksomheder og personer fra at foretage en individuel og dokumenteret risikovurdering, hvis der er god forståelse af risiciene i den sektor, som virksomheden eller personen opererer i.</w:t>
      </w:r>
    </w:p>
    <w:p w14:paraId="6C7B469B" w14:textId="77777777" w:rsidR="007B6534" w:rsidRPr="00796736" w:rsidRDefault="007B6534" w:rsidP="00A802A5">
      <w:pPr>
        <w:spacing w:line="360" w:lineRule="auto"/>
        <w:rPr>
          <w:rFonts w:ascii="Times New Roman" w:eastAsia="Calibri" w:hAnsi="Times New Roman" w:cs="Times New Roman"/>
          <w:sz w:val="24"/>
          <w:szCs w:val="24"/>
        </w:rPr>
      </w:pPr>
    </w:p>
    <w:p w14:paraId="5050A284"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Hvidvaskforordningens artikel 10, stk. 3, fastslår, at tilsynsorganerne, med undtagelse af kreditinstitutter, finansieringsinstitutter, crowdfundingtjenesteudbydere og crowdfundingformidlere, kan beslutte, at der ikke stilles krav om individuelle dokumenterede risikovurderinger på virksomhedsplan, hvis specifikke risici i forbindelse med sektoren er klare og forståelige.</w:t>
      </w:r>
    </w:p>
    <w:p w14:paraId="407785AF"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 </w:t>
      </w:r>
    </w:p>
    <w:p w14:paraId="503CACBB" w14:textId="3F85FB51" w:rsidR="002C1881"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På baggrund af hvidvaskforordningens artikel 10, stk. 3, foreslås det, </w:t>
      </w:r>
      <w:r w:rsidR="002C1881" w:rsidRPr="00796736">
        <w:rPr>
          <w:rFonts w:ascii="Times New Roman" w:eastAsia="Calibri" w:hAnsi="Times New Roman" w:cs="Times New Roman"/>
          <w:sz w:val="24"/>
          <w:szCs w:val="24"/>
        </w:rPr>
        <w:t xml:space="preserve">at skatte- og vækstministeren og erhvervs- og </w:t>
      </w:r>
      <w:r w:rsidR="005C7EA2" w:rsidRPr="00796736">
        <w:rPr>
          <w:rFonts w:ascii="Times New Roman" w:eastAsia="Calibri" w:hAnsi="Times New Roman" w:cs="Times New Roman"/>
          <w:sz w:val="24"/>
          <w:szCs w:val="24"/>
        </w:rPr>
        <w:t>k</w:t>
      </w:r>
      <w:r w:rsidR="002C1881" w:rsidRPr="00796736">
        <w:rPr>
          <w:rFonts w:ascii="Times New Roman" w:eastAsia="Calibri" w:hAnsi="Times New Roman" w:cs="Times New Roman"/>
          <w:sz w:val="24"/>
          <w:szCs w:val="24"/>
        </w:rPr>
        <w:t xml:space="preserve">onkurrencekraftministeren kan, i medfør af hvidvaskforordningens artikel 10, stk. 3, inden for deres respektive ressortområder, fastsætte regler om undtagelser fra kravene i hvidvaskforordningens artikel 10, </w:t>
      </w:r>
      <w:r w:rsidR="005C7EA2" w:rsidRPr="00796736">
        <w:rPr>
          <w:rFonts w:ascii="Times New Roman" w:eastAsia="Calibri" w:hAnsi="Times New Roman" w:cs="Times New Roman"/>
          <w:sz w:val="24"/>
          <w:szCs w:val="24"/>
        </w:rPr>
        <w:t>hvis</w:t>
      </w:r>
      <w:r w:rsidR="002C1881" w:rsidRPr="00796736">
        <w:rPr>
          <w:rFonts w:ascii="Times New Roman" w:eastAsia="Calibri" w:hAnsi="Times New Roman" w:cs="Times New Roman"/>
          <w:sz w:val="24"/>
          <w:szCs w:val="24"/>
        </w:rPr>
        <w:t xml:space="preserve"> de individuelle risikovurderinger på virksomhedsplan ikke er påkrævet, idet de specifikke risici i forbindelse med en sektor er klare og forståelige.</w:t>
      </w:r>
    </w:p>
    <w:p w14:paraId="59CD37D4" w14:textId="77777777" w:rsidR="007B6534" w:rsidRPr="00796736" w:rsidRDefault="007B6534" w:rsidP="00A802A5">
      <w:pPr>
        <w:spacing w:line="360" w:lineRule="auto"/>
        <w:rPr>
          <w:rFonts w:ascii="Times New Roman" w:eastAsia="Calibri" w:hAnsi="Times New Roman" w:cs="Times New Roman"/>
          <w:sz w:val="24"/>
          <w:szCs w:val="24"/>
        </w:rPr>
      </w:pPr>
    </w:p>
    <w:p w14:paraId="30E39955" w14:textId="520AF3B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er ny og udmønter artikel 10, stk. 3, i </w:t>
      </w:r>
      <w:r w:rsidR="005C7EA2"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267E1923" w14:textId="77777777" w:rsidR="007B6534" w:rsidRPr="00796736" w:rsidRDefault="007B6534" w:rsidP="00A802A5">
      <w:pPr>
        <w:spacing w:line="360" w:lineRule="auto"/>
        <w:rPr>
          <w:rFonts w:ascii="Times New Roman" w:eastAsia="Calibri" w:hAnsi="Times New Roman" w:cs="Times New Roman"/>
          <w:sz w:val="24"/>
          <w:szCs w:val="24"/>
        </w:rPr>
      </w:pPr>
    </w:p>
    <w:p w14:paraId="4E972396" w14:textId="5A2B3841" w:rsidR="007B6534" w:rsidRPr="00796736" w:rsidRDefault="007B6534"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F75DBC" w:rsidRPr="00796736">
        <w:rPr>
          <w:rFonts w:ascii="Times New Roman" w:eastAsia="Calibri" w:hAnsi="Times New Roman" w:cs="Times New Roman"/>
          <w:sz w:val="24"/>
          <w:szCs w:val="24"/>
        </w:rPr>
        <w:fldChar w:fldCharType="begin"/>
      </w:r>
      <w:r w:rsidR="00F75DBC" w:rsidRPr="00796736">
        <w:rPr>
          <w:rFonts w:ascii="Times New Roman" w:eastAsia="Calibri" w:hAnsi="Times New Roman" w:cs="Times New Roman"/>
          <w:sz w:val="24"/>
          <w:szCs w:val="24"/>
        </w:rPr>
        <w:instrText xml:space="preserve"> REF _Ref232595541 \r \h </w:instrText>
      </w:r>
      <w:r w:rsidR="00967618" w:rsidRPr="00796736">
        <w:rPr>
          <w:rFonts w:ascii="Times New Roman" w:eastAsia="Calibri" w:hAnsi="Times New Roman" w:cs="Times New Roman"/>
          <w:sz w:val="24"/>
          <w:szCs w:val="24"/>
        </w:rPr>
        <w:instrText xml:space="preserve"> \* MERGEFORMAT </w:instrText>
      </w:r>
      <w:r w:rsidR="00F75DBC" w:rsidRPr="00796736">
        <w:rPr>
          <w:rFonts w:ascii="Times New Roman" w:eastAsia="Calibri" w:hAnsi="Times New Roman" w:cs="Times New Roman"/>
          <w:sz w:val="24"/>
          <w:szCs w:val="24"/>
        </w:rPr>
      </w:r>
      <w:r w:rsidR="00F75DBC"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10</w:t>
      </w:r>
      <w:r w:rsidR="00F75DBC" w:rsidRPr="00796736">
        <w:rPr>
          <w:rFonts w:ascii="Times New Roman" w:eastAsia="Calibri" w:hAnsi="Times New Roman" w:cs="Times New Roman"/>
          <w:sz w:val="24"/>
          <w:szCs w:val="24"/>
        </w:rPr>
        <w:fldChar w:fldCharType="end"/>
      </w:r>
      <w:r w:rsidR="00F75DBC"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173D2376" w14:textId="2F9E7792" w:rsidR="007B6534" w:rsidRPr="00796736" w:rsidRDefault="007B6534" w:rsidP="00A802A5">
      <w:pPr>
        <w:pStyle w:val="Overskrift2"/>
        <w:rPr>
          <w:rFonts w:ascii="Times New Roman" w:hAnsi="Times New Roman"/>
          <w:sz w:val="24"/>
        </w:rPr>
      </w:pPr>
      <w:bookmarkStart w:id="897" w:name="_Toc232109039"/>
      <w:bookmarkStart w:id="898" w:name="_Ref232942788"/>
      <w:bookmarkStart w:id="899" w:name="_Toc244880727"/>
      <w:r w:rsidRPr="00796736">
        <w:rPr>
          <w:rFonts w:ascii="Times New Roman" w:hAnsi="Times New Roman"/>
          <w:sz w:val="24"/>
        </w:rPr>
        <w:t>Fastsættelse af regler om specifikke supplerende modforanstaltninger</w:t>
      </w:r>
      <w:bookmarkEnd w:id="897"/>
      <w:bookmarkEnd w:id="898"/>
      <w:bookmarkEnd w:id="899"/>
    </w:p>
    <w:p w14:paraId="1F8623E9" w14:textId="3A2EAA44" w:rsidR="007B6534" w:rsidRPr="00796736" w:rsidRDefault="007B6534" w:rsidP="00A802A5">
      <w:pPr>
        <w:pStyle w:val="Overskrift4"/>
        <w:rPr>
          <w:rFonts w:ascii="Times New Roman" w:hAnsi="Times New Roman" w:cs="Times New Roman"/>
          <w:sz w:val="24"/>
          <w:szCs w:val="24"/>
        </w:rPr>
      </w:pPr>
      <w:bookmarkStart w:id="900" w:name="_Toc232109040"/>
      <w:r w:rsidRPr="00796736">
        <w:rPr>
          <w:rFonts w:ascii="Times New Roman" w:hAnsi="Times New Roman" w:cs="Times New Roman"/>
          <w:sz w:val="24"/>
          <w:szCs w:val="24"/>
        </w:rPr>
        <w:t>Gældende ret</w:t>
      </w:r>
      <w:bookmarkEnd w:id="900"/>
    </w:p>
    <w:p w14:paraId="781C6467"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den gældende § 17 i hvidvaskloven skal virksomheder og personer gennemføre skærpede kundekendskabsprocedurer, når personen eller virksomheden identificerer en øget risiko i relation til en kunde eller en forretningsforbindelse. </w:t>
      </w:r>
    </w:p>
    <w:p w14:paraId="7444BD8C" w14:textId="77777777" w:rsidR="007B6534" w:rsidRPr="00796736" w:rsidRDefault="007B6534" w:rsidP="00A802A5">
      <w:pPr>
        <w:spacing w:line="360" w:lineRule="auto"/>
        <w:rPr>
          <w:rFonts w:ascii="Times New Roman" w:eastAsia="Calibri" w:hAnsi="Times New Roman" w:cs="Times New Roman"/>
          <w:sz w:val="24"/>
          <w:szCs w:val="24"/>
        </w:rPr>
      </w:pPr>
    </w:p>
    <w:p w14:paraId="0C28A710"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Endvidere skal forpligtede enheder altid gennemføre skærpede kundekendskabsprocedurer, når en kunde har hjemsted i et land, der er opført på Europa-Kommissionens liste over højrisikolande og yderligere risikobegrænsede foranstaltninger, når fysiske personer eller juridiske enheder gennemfører transaktioner, der involverer lande, som er opført på Europa-Kommissionens liste over højrisikotredjelande, jf. den gældende § 17, stk. 2 og 3.  </w:t>
      </w:r>
    </w:p>
    <w:p w14:paraId="0E9DC664" w14:textId="77777777" w:rsidR="007B6534" w:rsidRPr="00796736" w:rsidRDefault="007B6534" w:rsidP="00A802A5">
      <w:pPr>
        <w:spacing w:line="360" w:lineRule="auto"/>
        <w:rPr>
          <w:rFonts w:ascii="Times New Roman" w:eastAsia="Calibri" w:hAnsi="Times New Roman" w:cs="Times New Roman"/>
          <w:sz w:val="24"/>
          <w:szCs w:val="24"/>
        </w:rPr>
      </w:pPr>
    </w:p>
    <w:p w14:paraId="55D098EF"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hvidvasklovens § 31 a kan tilsynsmyndighederne i Danmark afvise etablering af datterselskaber, filialer eller repræsentationskontorer i Danmark af virksomheder eller personer, der har hjemsted i et land, der er opført på Europa-Kommissionens liste over højrisikotredjelande.</w:t>
      </w:r>
    </w:p>
    <w:p w14:paraId="3E87E1EA" w14:textId="77777777" w:rsidR="007B6534" w:rsidRPr="00796736" w:rsidRDefault="007B6534" w:rsidP="00A802A5">
      <w:pPr>
        <w:spacing w:line="360" w:lineRule="auto"/>
        <w:rPr>
          <w:rFonts w:ascii="Times New Roman" w:eastAsia="Calibri" w:hAnsi="Times New Roman" w:cs="Times New Roman"/>
          <w:sz w:val="24"/>
          <w:szCs w:val="24"/>
        </w:rPr>
      </w:pPr>
    </w:p>
    <w:p w14:paraId="7DF2A6B8"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hvidvasklovens § 31 b skal virksomheder og personer, som ønsker at etablere en filial eller et repræsentationskontor i et land, der er opført på Europa-Kommissionens liste over højrisikolande, meddele dette til tilsynsmyndigheden, sammen med en række oplysninger om bl.a. hvilket land, beskrivelse af virksomheden og de planlagte aktiviteter, adresse og ledelsesmedlemmer. Tilsynsmyndigheden kan efter § 31 b, stk. 2, forbyde virksomheden eller personen at etablere filialer eller repræsentationskontorer i et højrisikotredjeland. </w:t>
      </w:r>
    </w:p>
    <w:p w14:paraId="60F2E371" w14:textId="77777777" w:rsidR="007B6534" w:rsidRPr="00796736" w:rsidRDefault="007B6534" w:rsidP="00A802A5">
      <w:pPr>
        <w:spacing w:line="360" w:lineRule="auto"/>
        <w:rPr>
          <w:rFonts w:ascii="Times New Roman" w:eastAsia="Calibri" w:hAnsi="Times New Roman" w:cs="Times New Roman"/>
          <w:sz w:val="24"/>
          <w:szCs w:val="24"/>
        </w:rPr>
      </w:pPr>
    </w:p>
    <w:p w14:paraId="610C56F7" w14:textId="2AC6DE9B"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Finanstilsynet kan efter hvidvasklovens § 31 a, stk. 2, og § 31 b, stk. 3, fastsætte regler om, hvilke betingelser</w:t>
      </w:r>
      <w:r w:rsidR="005C7EA2" w:rsidRPr="00796736">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der skal være opfyldt før virksomheder og personer, der har hjemsted i et højrisikotredjeland</w:t>
      </w:r>
      <w:r w:rsidR="005C7EA2" w:rsidRPr="00796736">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kan etablere et datterselskab, en filial eller et repræsentationskontor i Danmark, samt fastsætte regler som virksomheder eller personer skal tage højde for, at den pågældende filial eller det pågældende repræsentationskontor vil komme til at ligge i et land, der ikke har tilstrækkelige ordninger til forebyggelse af hvidvask og finansiering af terrorisme.</w:t>
      </w:r>
    </w:p>
    <w:p w14:paraId="317137AB" w14:textId="77777777" w:rsidR="007B6534" w:rsidRPr="00796736" w:rsidRDefault="007B6534" w:rsidP="00A802A5">
      <w:pPr>
        <w:spacing w:line="360" w:lineRule="auto"/>
        <w:rPr>
          <w:rFonts w:ascii="Times New Roman" w:eastAsia="Calibri" w:hAnsi="Times New Roman" w:cs="Times New Roman"/>
          <w:sz w:val="24"/>
          <w:szCs w:val="24"/>
        </w:rPr>
      </w:pPr>
    </w:p>
    <w:p w14:paraId="5F717136"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Bemyndigelsen i hvidvasklovens § 31 a, stk. 2, og § 31 b, stk. 3, er udnyttet i bekendtgørelse nr. 1064 af 27. september 2024 om betingelser for etablering af datterselskaber, filialer eller repræsentationskontorer af virksomheder og personer fra højrisikotredjelande i Danmark og for etablering af filialer og repræsentationskontorer i højrisikotredjelande.</w:t>
      </w:r>
    </w:p>
    <w:p w14:paraId="1E111982" w14:textId="77777777" w:rsidR="007B6534" w:rsidRPr="00796736" w:rsidRDefault="007B6534" w:rsidP="00A802A5">
      <w:pPr>
        <w:spacing w:line="360" w:lineRule="auto"/>
        <w:rPr>
          <w:rFonts w:ascii="Times New Roman" w:eastAsia="Calibri" w:hAnsi="Times New Roman" w:cs="Times New Roman"/>
          <w:sz w:val="24"/>
          <w:szCs w:val="24"/>
        </w:rPr>
      </w:pPr>
    </w:p>
    <w:p w14:paraId="110C517E"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Bekendtgørelsen fastsætter, at virksomheder og personer fra højrisikotredjelande kun kan etablere sig i Danmark, hvis visse betingelser er opfyldt, herunder politisk forpligtelse og anmodning om teknisk bistand. Der stilles krav om dokumentation og forudgående godkendelse fra Finanstilsynet. For danske virksomheder, der ønsker at etablere sig i højrisikotredjelande, stilles der krav om risikovurdering, risikobegrænsende foranstaltninger og skærpet kontrol, samt mulighed for krav om ekstern revision. Endelig stilles der krav om risikovurdering og eventuelle risikobegrænsende foranstaltninger ved korrespondentforbindelser.</w:t>
      </w:r>
    </w:p>
    <w:p w14:paraId="209F0A45" w14:textId="77777777" w:rsidR="007B6534" w:rsidRPr="00796736" w:rsidRDefault="007B6534" w:rsidP="00A802A5">
      <w:pPr>
        <w:spacing w:line="360" w:lineRule="auto"/>
        <w:rPr>
          <w:rFonts w:ascii="Times New Roman" w:hAnsi="Times New Roman" w:cs="Times New Roman"/>
          <w:sz w:val="24"/>
          <w:szCs w:val="24"/>
        </w:rPr>
      </w:pPr>
    </w:p>
    <w:p w14:paraId="1059B516" w14:textId="1DD57893" w:rsidR="007B6534" w:rsidRPr="00796736" w:rsidRDefault="007B6534" w:rsidP="00A802A5">
      <w:pPr>
        <w:pStyle w:val="Overskrift4"/>
        <w:rPr>
          <w:rFonts w:ascii="Times New Roman" w:hAnsi="Times New Roman" w:cs="Times New Roman"/>
          <w:sz w:val="24"/>
          <w:szCs w:val="24"/>
        </w:rPr>
      </w:pPr>
      <w:bookmarkStart w:id="901" w:name="_Toc232109041"/>
      <w:r w:rsidRPr="00796736">
        <w:rPr>
          <w:rFonts w:ascii="Times New Roman" w:hAnsi="Times New Roman" w:cs="Times New Roman"/>
          <w:sz w:val="24"/>
          <w:szCs w:val="24"/>
        </w:rPr>
        <w:t>Hvidvaskforordningen</w:t>
      </w:r>
      <w:bookmarkEnd w:id="901"/>
    </w:p>
    <w:p w14:paraId="5C84D36C"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Hvidvaskforordningens artikel 29, stk. 6, fastslår, at hvis en medlemsstat identificerer en specifik risiko for hvidvask og terrorfinansiering, der hidrører fra et højrisikotredjeland, men som ikke er omfattet af de i forordningen fastsatte modforanstaltninger i artikel 29 og 35, kan medlemsstaten kræve, at virksomheder og personer anvender specifikke supplerende modforanstaltninger til at afbøde de specifikke risici, der hidrører fra det pågældende tredjeland.</w:t>
      </w:r>
    </w:p>
    <w:p w14:paraId="6EAFCC8B" w14:textId="77777777" w:rsidR="007B6534" w:rsidRPr="00796736" w:rsidRDefault="007B6534" w:rsidP="00A802A5">
      <w:pPr>
        <w:spacing w:line="360" w:lineRule="auto"/>
        <w:rPr>
          <w:rFonts w:ascii="Times New Roman" w:eastAsia="Calibri" w:hAnsi="Times New Roman" w:cs="Times New Roman"/>
          <w:sz w:val="24"/>
          <w:szCs w:val="24"/>
        </w:rPr>
      </w:pPr>
    </w:p>
    <w:p w14:paraId="6946E96E"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Forordningens artikel 35 omfatter de modforanstaltninger, som Kommissionen kan vælge at pålægge for at afbøde trusler om hvidvask og finansiering af terrorisme fra lande uden for EU, herunder højrisikotredjelande.</w:t>
      </w:r>
    </w:p>
    <w:p w14:paraId="60760164"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 </w:t>
      </w:r>
    </w:p>
    <w:p w14:paraId="2A2050C4" w14:textId="7A017524"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Artikel 35 i hvidvaskforordningen er todelt, og giver Kommissionen mulighed for at vælge mellem to typer af modforanstaltninger. Kommissionen kan vælge at pålægge modforanstaltninger, der er rettet mod de forpligtede enheder, hvilket </w:t>
      </w:r>
      <w:r w:rsidR="005C7EA2" w:rsidRPr="00796736">
        <w:rPr>
          <w:rFonts w:ascii="Times New Roman" w:eastAsia="Calibri" w:hAnsi="Times New Roman" w:cs="Times New Roman"/>
          <w:sz w:val="24"/>
          <w:szCs w:val="24"/>
        </w:rPr>
        <w:t>f.eks.</w:t>
      </w:r>
      <w:r w:rsidRPr="00796736">
        <w:rPr>
          <w:rFonts w:ascii="Times New Roman" w:eastAsia="Calibri" w:hAnsi="Times New Roman" w:cs="Times New Roman"/>
          <w:sz w:val="24"/>
          <w:szCs w:val="24"/>
        </w:rPr>
        <w:t xml:space="preserve"> kan omfatte krav om yderligere skærpede kundekendskabsforanstaltninger, skærpede indberetningsmekanismer eller begrænsning af forretningsforbindelser og transaktioner. Kommissionen kan desuden vælge at pålægge modforanstaltninger, der er rettet mod medlemsstaterne, hvilket </w:t>
      </w:r>
      <w:r w:rsidR="005C7EA2" w:rsidRPr="00796736">
        <w:rPr>
          <w:rFonts w:ascii="Times New Roman" w:eastAsia="Calibri" w:hAnsi="Times New Roman" w:cs="Times New Roman"/>
          <w:sz w:val="24"/>
          <w:szCs w:val="24"/>
        </w:rPr>
        <w:t>f.eks.</w:t>
      </w:r>
      <w:r w:rsidRPr="00796736">
        <w:rPr>
          <w:rFonts w:ascii="Times New Roman" w:eastAsia="Calibri" w:hAnsi="Times New Roman" w:cs="Times New Roman"/>
          <w:sz w:val="24"/>
          <w:szCs w:val="24"/>
        </w:rPr>
        <w:t xml:space="preserve"> kan indebære afvisning af etablering af datterselskaber, filialer eller repræsentationskontorer fra højrisikotredjelande, forbud mod at forpligtede enheder etablerer sig i sådanne lande, krav om øget tilsyn eller ekstern revision, samt påbud om at undersøge og eventuelt bringe korrespondentforbindelser til ophør.</w:t>
      </w:r>
    </w:p>
    <w:p w14:paraId="34C73736" w14:textId="77777777" w:rsidR="007B6534" w:rsidRPr="00796736" w:rsidRDefault="007B6534" w:rsidP="00A802A5">
      <w:pPr>
        <w:spacing w:line="360" w:lineRule="auto"/>
        <w:rPr>
          <w:rFonts w:ascii="Times New Roman" w:hAnsi="Times New Roman" w:cs="Times New Roman"/>
          <w:sz w:val="24"/>
          <w:szCs w:val="24"/>
        </w:rPr>
      </w:pPr>
    </w:p>
    <w:p w14:paraId="599DDB72" w14:textId="32F9BB0A" w:rsidR="007B6534" w:rsidRPr="00796736" w:rsidRDefault="007B6534" w:rsidP="00A802A5">
      <w:pPr>
        <w:pStyle w:val="Overskrift4"/>
        <w:rPr>
          <w:rFonts w:ascii="Times New Roman" w:hAnsi="Times New Roman" w:cs="Times New Roman"/>
          <w:sz w:val="24"/>
          <w:szCs w:val="24"/>
        </w:rPr>
      </w:pPr>
      <w:bookmarkStart w:id="902" w:name="_Toc232109042"/>
      <w:r w:rsidRPr="00796736">
        <w:rPr>
          <w:rFonts w:ascii="Times New Roman" w:hAnsi="Times New Roman" w:cs="Times New Roman"/>
          <w:sz w:val="24"/>
          <w:szCs w:val="24"/>
        </w:rPr>
        <w:t>Skatte- og Vækstministeriet</w:t>
      </w:r>
      <w:r w:rsidR="002A2474" w:rsidRPr="00796736">
        <w:rPr>
          <w:rFonts w:ascii="Times New Roman" w:hAnsi="Times New Roman" w:cs="Times New Roman"/>
          <w:sz w:val="24"/>
          <w:szCs w:val="24"/>
        </w:rPr>
        <w:t xml:space="preserve"> og Erhvervsministeriets</w:t>
      </w:r>
      <w:r w:rsidRPr="00796736">
        <w:rPr>
          <w:rFonts w:ascii="Times New Roman" w:hAnsi="Times New Roman" w:cs="Times New Roman"/>
          <w:sz w:val="24"/>
          <w:szCs w:val="24"/>
        </w:rPr>
        <w:t xml:space="preserve"> overvejelser og den foreslåede ordning</w:t>
      </w:r>
      <w:bookmarkEnd w:id="902"/>
      <w:r w:rsidRPr="00796736">
        <w:rPr>
          <w:rFonts w:ascii="Times New Roman" w:hAnsi="Times New Roman" w:cs="Times New Roman"/>
          <w:sz w:val="24"/>
          <w:szCs w:val="24"/>
        </w:rPr>
        <w:t xml:space="preserve"> </w:t>
      </w:r>
    </w:p>
    <w:p w14:paraId="17F89389"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Tredjelande, der identificeres som et højrisikoland, har væsentlige strategiske mangler af vedvarende karakter i deres retlige og institutionelle rammer for bekæmpelse af hvidvask af penge og finansiering af terrorisme og deres gennemførelse af disse regler, som sandsynligvis udgør en høj risiko for Unionens finansielle system. Den vedvarende karakter af de væsentlige strategiske mangler, som afspejler tredjelandets manglende engagement eller fortsatte manglende håndtering heraf, er tegn på et forhøjet trusselsniveau fra sådanne tredjelande, hvilket kræver en virkningsfuld, ensartet og harmoniseret afbødende reaktion på EU-plan. Forpligtede enheder bør derfor være forpligtede til at anvende det samlede sæt skærpede kundekendskabsprocedurer på lejlighedsvise transaktioner og forretningsforbindelser, som involverer sådanne højrisikotredjelande, med henblik på at styre og afbøde de underliggende risici. Derudover berettiger det høje risikoniveau anvendelsen af yderligere specifikke modforanstaltninger, uanset om de træffes af forpligtede enheder eller af medlemsstaterne. </w:t>
      </w:r>
    </w:p>
    <w:p w14:paraId="3640B08F" w14:textId="77777777" w:rsidR="007B6534" w:rsidRPr="00796736" w:rsidRDefault="007B6534" w:rsidP="00A802A5">
      <w:pPr>
        <w:spacing w:line="360" w:lineRule="auto"/>
        <w:rPr>
          <w:rFonts w:ascii="Times New Roman" w:eastAsia="Calibri" w:hAnsi="Times New Roman" w:cs="Times New Roman"/>
          <w:sz w:val="24"/>
          <w:szCs w:val="24"/>
        </w:rPr>
      </w:pPr>
    </w:p>
    <w:p w14:paraId="6AC223DB"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Hvis Danmark identificerer specifikke risici, som ikke afbødes, bør det være muligt at kunne anvende yderligere modforanstaltninger i overensstemmelse med hvidvaskforordningen. </w:t>
      </w:r>
    </w:p>
    <w:p w14:paraId="34E67475" w14:textId="77777777" w:rsidR="007B6534" w:rsidRPr="00796736" w:rsidRDefault="007B6534" w:rsidP="00A802A5">
      <w:pPr>
        <w:spacing w:line="360" w:lineRule="auto"/>
        <w:rPr>
          <w:rFonts w:ascii="Times New Roman" w:eastAsia="Calibri" w:hAnsi="Times New Roman" w:cs="Times New Roman"/>
          <w:sz w:val="24"/>
          <w:szCs w:val="24"/>
        </w:rPr>
      </w:pPr>
    </w:p>
    <w:p w14:paraId="080E7590" w14:textId="676E2058"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Hvidvaskforordningens artikel 29, stk. 6, fastslår, at hvis en medlemsstat identificerer en specifik risiko for hvidvask </w:t>
      </w:r>
      <w:r w:rsidR="005C7EA2" w:rsidRPr="00796736">
        <w:rPr>
          <w:rFonts w:ascii="Times New Roman" w:eastAsia="Calibri" w:hAnsi="Times New Roman" w:cs="Times New Roman"/>
          <w:sz w:val="24"/>
          <w:szCs w:val="24"/>
        </w:rPr>
        <w:t xml:space="preserve">eller </w:t>
      </w:r>
      <w:r w:rsidRPr="00796736">
        <w:rPr>
          <w:rFonts w:ascii="Times New Roman" w:eastAsia="Calibri" w:hAnsi="Times New Roman" w:cs="Times New Roman"/>
          <w:sz w:val="24"/>
          <w:szCs w:val="24"/>
        </w:rPr>
        <w:t>terrorfinansiering, der hidrører fra et højrisikotredjeland, men som ikke er omfattet af de i forordningen fastsatte modforanstaltninger, kan medlemsstaten kræve, at virksomheder og personer anvender specifikke supplerende modforanstaltninger til at afbøde de specifikke risici, der hidrører fra det pågældende tredjeland.</w:t>
      </w:r>
    </w:p>
    <w:p w14:paraId="2DC0CC9C"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 </w:t>
      </w:r>
    </w:p>
    <w:p w14:paraId="58765875" w14:textId="32EAE7B8"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På baggrund af hvidvaskforordningens artikel 29, stk. 6, foreslås det, at Finanstilsynet</w:t>
      </w:r>
      <w:r w:rsidR="00176156" w:rsidRPr="00796736">
        <w:rPr>
          <w:rFonts w:ascii="Times New Roman" w:hAnsi="Times New Roman" w:cs="Times New Roman"/>
          <w:sz w:val="24"/>
          <w:szCs w:val="24"/>
        </w:rPr>
        <w:t>, Erhvervsstyrelsen og Spillemyndigheden, inden for deres respektive områder,</w:t>
      </w:r>
      <w:r w:rsidRPr="00796736">
        <w:rPr>
          <w:rFonts w:ascii="Times New Roman" w:eastAsia="Calibri" w:hAnsi="Times New Roman" w:cs="Times New Roman"/>
          <w:sz w:val="24"/>
          <w:szCs w:val="24"/>
        </w:rPr>
        <w:t xml:space="preserve"> bemyndiges til at kræve, at virksomheder og personer skal anvende specifikke supplerende modforanstaltninger i de tilfælde, hvor der er identificeret specifikke risici for hvidvask eller terrorfinansiering i relation til et højrisikoland, identificeret af Europa-Kommissionen. De specifikke supplerende modforanstaltninger skal anvendes til at afbøde de specifikke risici identificeret.</w:t>
      </w:r>
    </w:p>
    <w:p w14:paraId="4F2C6DE6" w14:textId="77777777"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 </w:t>
      </w:r>
    </w:p>
    <w:p w14:paraId="7680F1E2" w14:textId="39012E2B"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udmønter artikel 29, stk. 6, i </w:t>
      </w:r>
      <w:r w:rsidR="005C7EA2"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4BCC696E" w14:textId="77777777" w:rsidR="007B6534" w:rsidRPr="00796736" w:rsidRDefault="007B6534" w:rsidP="00A802A5">
      <w:pPr>
        <w:spacing w:line="360" w:lineRule="auto"/>
        <w:rPr>
          <w:rFonts w:ascii="Times New Roman" w:eastAsia="Calibri" w:hAnsi="Times New Roman" w:cs="Times New Roman"/>
          <w:sz w:val="24"/>
          <w:szCs w:val="24"/>
        </w:rPr>
      </w:pPr>
    </w:p>
    <w:p w14:paraId="7BF58463" w14:textId="79182BF2" w:rsidR="007B6534" w:rsidRPr="00796736" w:rsidRDefault="00EB0642"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Desuden</w:t>
      </w:r>
      <w:r w:rsidR="007B6534" w:rsidRPr="00796736">
        <w:rPr>
          <w:rFonts w:ascii="Times New Roman" w:eastAsia="Calibri" w:hAnsi="Times New Roman" w:cs="Times New Roman"/>
          <w:sz w:val="24"/>
          <w:szCs w:val="24"/>
        </w:rPr>
        <w:t xml:space="preserve"> foreslås det at videreføre bemyndigelsen i hvidvasklovens § 31 a, stk. 2 og § 31 b, stk. 3, hvorefter Finanstilsynet</w:t>
      </w:r>
      <w:r w:rsidR="00176156" w:rsidRPr="00796736">
        <w:rPr>
          <w:rFonts w:ascii="Times New Roman" w:hAnsi="Times New Roman" w:cs="Times New Roman"/>
          <w:sz w:val="24"/>
          <w:szCs w:val="24"/>
        </w:rPr>
        <w:t>, Erhvervsstyrelsen og Spillemyndigheden kan, inden for deres respektive områder,</w:t>
      </w:r>
      <w:r w:rsidR="007B6534" w:rsidRPr="00796736">
        <w:rPr>
          <w:rFonts w:ascii="Times New Roman" w:eastAsia="Calibri" w:hAnsi="Times New Roman" w:cs="Times New Roman"/>
          <w:sz w:val="24"/>
          <w:szCs w:val="24"/>
        </w:rPr>
        <w:t xml:space="preserve"> fastsætte regler om, at virksomheder og personer, der har hjemsted i et land, der er opført på Europa-Kommissionens liste over højrisikotredjelande, kun kan etablere et datterselskab, en filial eller et repræsentationskontor i Danmark, hvis særlige betingelser er opfyldt. </w:t>
      </w:r>
    </w:p>
    <w:p w14:paraId="14E4CB98" w14:textId="77777777" w:rsidR="007B6534" w:rsidRPr="00796736" w:rsidRDefault="007B6534" w:rsidP="00A802A5">
      <w:pPr>
        <w:spacing w:line="360" w:lineRule="auto"/>
        <w:rPr>
          <w:rFonts w:ascii="Times New Roman" w:eastAsia="Calibri" w:hAnsi="Times New Roman" w:cs="Times New Roman"/>
          <w:sz w:val="24"/>
          <w:szCs w:val="24"/>
        </w:rPr>
      </w:pPr>
    </w:p>
    <w:p w14:paraId="286342FD" w14:textId="116B253F" w:rsidR="007B6534" w:rsidRPr="00796736" w:rsidRDefault="007B653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desuden, at Finanstilsynet</w:t>
      </w:r>
      <w:r w:rsidR="00176156" w:rsidRPr="00796736">
        <w:rPr>
          <w:rFonts w:ascii="Times New Roman" w:hAnsi="Times New Roman" w:cs="Times New Roman"/>
          <w:sz w:val="24"/>
          <w:szCs w:val="24"/>
        </w:rPr>
        <w:t>, Erhvervsstyrelsen og Spillemyndigheden kan, inden for deres respektive områder,</w:t>
      </w:r>
      <w:r w:rsidRPr="00796736">
        <w:rPr>
          <w:rFonts w:ascii="Times New Roman" w:eastAsia="Calibri" w:hAnsi="Times New Roman" w:cs="Times New Roman"/>
          <w:sz w:val="24"/>
          <w:szCs w:val="24"/>
        </w:rPr>
        <w:t xml:space="preserve"> fastsætte regler, der pålægger virksomheden eller personen at tage hensyn til, hvis den pågældende filial eller det pågældende repræsentationskontor placeres i et land, hvor der ikke findes tilstrækkelige ordninger til forebyggelse af hvidvask og finansiering af terrorisme.</w:t>
      </w:r>
    </w:p>
    <w:p w14:paraId="030DA34E" w14:textId="77777777" w:rsidR="007B6534" w:rsidRPr="00796736" w:rsidRDefault="007B6534" w:rsidP="00A802A5">
      <w:pPr>
        <w:spacing w:line="360" w:lineRule="auto"/>
        <w:rPr>
          <w:rFonts w:ascii="Times New Roman" w:eastAsia="Calibri" w:hAnsi="Times New Roman" w:cs="Times New Roman"/>
          <w:sz w:val="24"/>
          <w:szCs w:val="24"/>
        </w:rPr>
      </w:pPr>
    </w:p>
    <w:p w14:paraId="3D3E8E13" w14:textId="77777777" w:rsidR="007B6534" w:rsidRPr="00796736" w:rsidRDefault="007B6534"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Bemyndigelsen foreslås anvendt indtil Kommissionen i henhold til forordningens artikel 29, stk. 2, udsteder delegerede retsakter, som omfatter anvendelsen af skærpede kundekendskabsprocedurer og yderligere modforanstaltninger, jf. forordningens artikel 35, og som skal afbøde nogle af de risici, der er i forbindelse med højrisikotredjelande. </w:t>
      </w:r>
    </w:p>
    <w:p w14:paraId="47DCC2A9" w14:textId="4B542C2C" w:rsidR="007B6534" w:rsidRPr="00796736" w:rsidRDefault="007B6534"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F75DBC" w:rsidRPr="00796736">
        <w:rPr>
          <w:rFonts w:ascii="Times New Roman" w:eastAsia="Calibri" w:hAnsi="Times New Roman" w:cs="Times New Roman"/>
          <w:sz w:val="24"/>
          <w:szCs w:val="24"/>
        </w:rPr>
        <w:fldChar w:fldCharType="begin"/>
      </w:r>
      <w:r w:rsidR="00F75DBC" w:rsidRPr="00796736">
        <w:rPr>
          <w:rFonts w:ascii="Times New Roman" w:eastAsia="Calibri" w:hAnsi="Times New Roman" w:cs="Times New Roman"/>
          <w:sz w:val="24"/>
          <w:szCs w:val="24"/>
        </w:rPr>
        <w:instrText xml:space="preserve"> REF _Ref232595563 \r \h </w:instrText>
      </w:r>
      <w:r w:rsidR="00967618" w:rsidRPr="00796736">
        <w:rPr>
          <w:rFonts w:ascii="Times New Roman" w:eastAsia="Calibri" w:hAnsi="Times New Roman" w:cs="Times New Roman"/>
          <w:sz w:val="24"/>
          <w:szCs w:val="24"/>
        </w:rPr>
        <w:instrText xml:space="preserve"> \* MERGEFORMAT </w:instrText>
      </w:r>
      <w:r w:rsidR="00F75DBC" w:rsidRPr="00796736">
        <w:rPr>
          <w:rFonts w:ascii="Times New Roman" w:eastAsia="Calibri" w:hAnsi="Times New Roman" w:cs="Times New Roman"/>
          <w:sz w:val="24"/>
          <w:szCs w:val="24"/>
        </w:rPr>
      </w:r>
      <w:r w:rsidR="00F75DBC"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w:t>
      </w:r>
      <w:r w:rsidR="00F75DBC" w:rsidRPr="00796736">
        <w:rPr>
          <w:rFonts w:ascii="Times New Roman" w:eastAsia="Calibri" w:hAnsi="Times New Roman" w:cs="Times New Roman"/>
          <w:sz w:val="24"/>
          <w:szCs w:val="24"/>
        </w:rPr>
        <w:fldChar w:fldCharType="end"/>
      </w:r>
      <w:r w:rsidR="00F75DBC"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612C9C85" w14:textId="77777777" w:rsidR="004232C0" w:rsidRPr="00796736" w:rsidRDefault="004232C0" w:rsidP="00A802A5">
      <w:pPr>
        <w:spacing w:after="240" w:line="360" w:lineRule="auto"/>
        <w:rPr>
          <w:rFonts w:ascii="Times New Roman" w:eastAsia="Calibri" w:hAnsi="Times New Roman" w:cs="Times New Roman"/>
          <w:sz w:val="24"/>
          <w:szCs w:val="24"/>
        </w:rPr>
      </w:pPr>
    </w:p>
    <w:p w14:paraId="26E0C894" w14:textId="77777777" w:rsidR="004232C0" w:rsidRPr="00796736" w:rsidRDefault="004232C0" w:rsidP="00A802A5">
      <w:pPr>
        <w:pStyle w:val="Overskrift2"/>
        <w:rPr>
          <w:rFonts w:ascii="Times New Roman" w:hAnsi="Times New Roman"/>
          <w:sz w:val="24"/>
        </w:rPr>
      </w:pPr>
      <w:bookmarkStart w:id="903" w:name="_Toc232109200"/>
      <w:bookmarkStart w:id="904" w:name="_Ref232950217"/>
      <w:bookmarkStart w:id="905" w:name="_Toc244880728"/>
      <w:r w:rsidRPr="00796736">
        <w:rPr>
          <w:rFonts w:ascii="Times New Roman" w:hAnsi="Times New Roman"/>
          <w:sz w:val="24"/>
        </w:rPr>
        <w:t>Opbevaring af oplysninger</w:t>
      </w:r>
      <w:bookmarkEnd w:id="903"/>
      <w:bookmarkEnd w:id="904"/>
      <w:bookmarkEnd w:id="905"/>
      <w:r w:rsidRPr="00796736">
        <w:rPr>
          <w:rFonts w:ascii="Times New Roman" w:hAnsi="Times New Roman"/>
          <w:sz w:val="24"/>
        </w:rPr>
        <w:t xml:space="preserve">  </w:t>
      </w:r>
    </w:p>
    <w:p w14:paraId="187BABF0" w14:textId="77777777" w:rsidR="004232C0" w:rsidRPr="00796736" w:rsidRDefault="004232C0" w:rsidP="00A802A5">
      <w:pPr>
        <w:pStyle w:val="Overskrift4"/>
        <w:rPr>
          <w:rFonts w:ascii="Times New Roman" w:hAnsi="Times New Roman" w:cs="Times New Roman"/>
          <w:sz w:val="24"/>
          <w:szCs w:val="24"/>
        </w:rPr>
      </w:pPr>
      <w:bookmarkStart w:id="906" w:name="_Toc232109201"/>
      <w:r w:rsidRPr="00796736">
        <w:rPr>
          <w:rFonts w:ascii="Times New Roman" w:hAnsi="Times New Roman" w:cs="Times New Roman"/>
          <w:sz w:val="24"/>
          <w:szCs w:val="24"/>
        </w:rPr>
        <w:t>Gældende ret</w:t>
      </w:r>
      <w:bookmarkEnd w:id="906"/>
    </w:p>
    <w:p w14:paraId="5B7FC551" w14:textId="46F8DDF3" w:rsidR="004232C0" w:rsidRPr="00796736" w:rsidRDefault="004232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30 skal virksomheder og personer opbevare oplysninger indhentet i forbindelse med kundekendskabsprocedurer, herunder identitets- og kontroloplysninger, dokumentation for gennemførte transaktioner, kontooversigt og forretningskorrespondance samt undersøgelser gennemført i henhold til hvidvasklovens § 25, stk. 1 og 3. Oplysningerne skal opbevares i mindst 5 år efter forretningsforbindelsen ophør eller den enkeltstående transaktions gennemførelse. Det samme gør sig gældende for personoplysninger, medmindre andet er fast</w:t>
      </w:r>
      <w:r w:rsidR="003F0BB3" w:rsidRPr="00796736">
        <w:rPr>
          <w:rFonts w:ascii="Times New Roman" w:hAnsi="Times New Roman" w:cs="Times New Roman"/>
          <w:sz w:val="24"/>
          <w:szCs w:val="24"/>
        </w:rPr>
        <w:t>sat</w:t>
      </w:r>
      <w:r w:rsidRPr="00796736">
        <w:rPr>
          <w:rFonts w:ascii="Times New Roman" w:hAnsi="Times New Roman" w:cs="Times New Roman"/>
          <w:sz w:val="24"/>
          <w:szCs w:val="24"/>
        </w:rPr>
        <w:t xml:space="preserve"> i anden lovgivning. </w:t>
      </w:r>
    </w:p>
    <w:p w14:paraId="650CD028" w14:textId="77777777" w:rsidR="004232C0" w:rsidRPr="00796736" w:rsidRDefault="004232C0" w:rsidP="00A802A5">
      <w:pPr>
        <w:spacing w:line="360" w:lineRule="auto"/>
        <w:rPr>
          <w:rFonts w:ascii="Times New Roman" w:hAnsi="Times New Roman" w:cs="Times New Roman"/>
          <w:sz w:val="24"/>
          <w:szCs w:val="24"/>
        </w:rPr>
      </w:pPr>
    </w:p>
    <w:p w14:paraId="379A8D16" w14:textId="77777777" w:rsidR="004232C0" w:rsidRPr="00796736" w:rsidRDefault="004232C0" w:rsidP="00A802A5">
      <w:pPr>
        <w:pStyle w:val="Overskrift4"/>
        <w:rPr>
          <w:rFonts w:ascii="Times New Roman" w:hAnsi="Times New Roman" w:cs="Times New Roman"/>
          <w:sz w:val="24"/>
          <w:szCs w:val="24"/>
        </w:rPr>
      </w:pPr>
      <w:bookmarkStart w:id="907" w:name="_Toc232109202"/>
      <w:r w:rsidRPr="00796736">
        <w:rPr>
          <w:rFonts w:ascii="Times New Roman" w:hAnsi="Times New Roman" w:cs="Times New Roman"/>
          <w:sz w:val="24"/>
          <w:szCs w:val="24"/>
        </w:rPr>
        <w:t>Hvidvaskforordningen</w:t>
      </w:r>
      <w:bookmarkEnd w:id="907"/>
      <w:r w:rsidRPr="00796736">
        <w:rPr>
          <w:rFonts w:ascii="Times New Roman" w:hAnsi="Times New Roman" w:cs="Times New Roman"/>
          <w:sz w:val="24"/>
          <w:szCs w:val="24"/>
        </w:rPr>
        <w:t xml:space="preserve"> </w:t>
      </w:r>
    </w:p>
    <w:p w14:paraId="3F2356D0" w14:textId="77777777" w:rsidR="004232C0" w:rsidRPr="00796736" w:rsidRDefault="004232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hvidvaskforordningens artikel 77, stk. 3, at forpligtede enheder bl.a. skal opbevare dokumenter og oplysninger indhentet i forbindelse med gennemførelsen af kundekendskabsproceduren, vurderinger foretaget i henhold til forordningens artikel 69, stk. 2, dokumentation for og fortegnelser over transaktioner, samt hvis den forpligtede enhed deltager i et partnerskab, dokumenter og oplysninger, der er indhentet inden for rammerne af partnerskabet og fortegnelser over alle tilfælde af udveksling af oplysninger. Oplysningerne skal opbevares i en periode på 5 fem år regnet fra forretningsforbindelsens ophør eller datoen for den lejlighedsvise transaktion eller fra datoen for afslaget af forretningsforbindelsen eller afslag for at gennemføre den lejlighedsvise transaktion. </w:t>
      </w:r>
    </w:p>
    <w:p w14:paraId="49C650E3" w14:textId="77777777" w:rsidR="004232C0" w:rsidRPr="00796736" w:rsidRDefault="004232C0" w:rsidP="00A802A5">
      <w:pPr>
        <w:spacing w:line="360" w:lineRule="auto"/>
        <w:rPr>
          <w:rFonts w:ascii="Times New Roman" w:hAnsi="Times New Roman" w:cs="Times New Roman"/>
          <w:sz w:val="24"/>
          <w:szCs w:val="24"/>
        </w:rPr>
      </w:pPr>
    </w:p>
    <w:p w14:paraId="581A00CF" w14:textId="77777777" w:rsidR="004232C0" w:rsidRPr="00796736" w:rsidRDefault="004232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Endvidere følger det af hvidvaskforordningens artikel 77, stk. 3, 2. afsnit, at de kompetente myndigheder i enkelte tilfælde kan kræve yderligere opbevaring af de oplysninger, forudsat at sådan opbevaring er nødvendig for at forebygge, opdage, efterforske eller retsforfølge for hvidvask af penge eller finansiering af terrorisme. Den yderligere opbevaring må ikke overstige en periode på fem.</w:t>
      </w:r>
    </w:p>
    <w:p w14:paraId="789DF810" w14:textId="77777777" w:rsidR="004232C0" w:rsidRPr="00796736" w:rsidRDefault="004232C0" w:rsidP="00A802A5">
      <w:pPr>
        <w:spacing w:line="360" w:lineRule="auto"/>
        <w:rPr>
          <w:rFonts w:ascii="Times New Roman" w:hAnsi="Times New Roman" w:cs="Times New Roman"/>
          <w:sz w:val="24"/>
          <w:szCs w:val="24"/>
        </w:rPr>
      </w:pPr>
    </w:p>
    <w:p w14:paraId="5F42691C" w14:textId="77777777" w:rsidR="004232C0" w:rsidRPr="00796736" w:rsidRDefault="004232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forordningens artikel 77, stk. 4, at hvis der den 10. juli 2027 verserer retssager med henblik på forebyggelse, opdagelse, efterforskning eller retsforfølgning af formodet hvidvask af penge eller finansiering af terrorisme, og en forpligtet enhed besidder oplysninger eller dokumenter vedrørende disse verserende procedurer, kan den forpligtede enhed opbevare de pågældende oplysninger eller dokumenter i fem år fra den 10. juli 2027.</w:t>
      </w:r>
    </w:p>
    <w:p w14:paraId="11C73536" w14:textId="77777777" w:rsidR="004232C0" w:rsidRPr="00796736" w:rsidRDefault="004232C0" w:rsidP="00A802A5">
      <w:pPr>
        <w:spacing w:line="360" w:lineRule="auto"/>
        <w:rPr>
          <w:rFonts w:ascii="Times New Roman" w:hAnsi="Times New Roman" w:cs="Times New Roman"/>
          <w:sz w:val="24"/>
          <w:szCs w:val="24"/>
        </w:rPr>
      </w:pPr>
    </w:p>
    <w:p w14:paraId="22510A86" w14:textId="77777777" w:rsidR="004232C0" w:rsidRPr="00796736" w:rsidRDefault="004232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Hertil kan medlemsstaterne tillade eller kræve, at de pågældende oplysninger eller dokumenter opbevares i en periode på yderligere fem år, såfremt det er blevet fastslået, at en sådan yderligere opbevaring er nødvendig og forholdsmæssig med henblik på forebyggelse, opdagelse, efterforskning eller retsforfølgning af formodet hvidvask af penge eller finansiering af terrorisme. </w:t>
      </w:r>
    </w:p>
    <w:p w14:paraId="1A0D691C" w14:textId="77777777" w:rsidR="004232C0" w:rsidRPr="00796736" w:rsidRDefault="004232C0" w:rsidP="00A802A5">
      <w:pPr>
        <w:spacing w:line="360" w:lineRule="auto"/>
        <w:rPr>
          <w:rFonts w:ascii="Times New Roman" w:hAnsi="Times New Roman" w:cs="Times New Roman"/>
          <w:sz w:val="24"/>
          <w:szCs w:val="24"/>
        </w:rPr>
      </w:pPr>
    </w:p>
    <w:p w14:paraId="0F861404" w14:textId="30B46022" w:rsidR="004232C0" w:rsidRPr="00796736" w:rsidRDefault="004232C0" w:rsidP="00A802A5">
      <w:pPr>
        <w:pStyle w:val="Overskrift4"/>
        <w:rPr>
          <w:rFonts w:ascii="Times New Roman" w:hAnsi="Times New Roman" w:cs="Times New Roman"/>
          <w:sz w:val="24"/>
          <w:szCs w:val="24"/>
        </w:rPr>
      </w:pPr>
      <w:bookmarkStart w:id="908" w:name="_Toc232109203"/>
      <w:r w:rsidRPr="00796736">
        <w:rPr>
          <w:rFonts w:ascii="Times New Roman" w:hAnsi="Times New Roman" w:cs="Times New Roman"/>
          <w:sz w:val="24"/>
          <w:szCs w:val="24"/>
        </w:rPr>
        <w:t>Skatte- og Vækstministeriet</w:t>
      </w:r>
      <w:r w:rsidR="00D835AB" w:rsidRPr="00796736">
        <w:rPr>
          <w:rFonts w:ascii="Times New Roman" w:hAnsi="Times New Roman" w:cs="Times New Roman"/>
          <w:sz w:val="24"/>
          <w:szCs w:val="24"/>
        </w:rPr>
        <w:t>, Erhvervsministeriet og Justitsministeriet</w:t>
      </w:r>
      <w:r w:rsidRPr="00796736">
        <w:rPr>
          <w:rFonts w:ascii="Times New Roman" w:hAnsi="Times New Roman" w:cs="Times New Roman"/>
          <w:sz w:val="24"/>
          <w:szCs w:val="24"/>
        </w:rPr>
        <w:t>s overvejelser og den foreslåede ordning</w:t>
      </w:r>
      <w:bookmarkEnd w:id="908"/>
      <w:r w:rsidRPr="00796736">
        <w:rPr>
          <w:rFonts w:ascii="Times New Roman" w:hAnsi="Times New Roman" w:cs="Times New Roman"/>
          <w:sz w:val="24"/>
          <w:szCs w:val="24"/>
        </w:rPr>
        <w:t xml:space="preserve"> </w:t>
      </w:r>
    </w:p>
    <w:p w14:paraId="25BAA3D0" w14:textId="27031B86" w:rsidR="004232C0" w:rsidRPr="00796736" w:rsidRDefault="00D835A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Ministerierne</w:t>
      </w:r>
      <w:r w:rsidR="004232C0" w:rsidRPr="00796736">
        <w:rPr>
          <w:rFonts w:ascii="Times New Roman" w:eastAsia="Calibri" w:hAnsi="Times New Roman" w:cs="Times New Roman"/>
          <w:sz w:val="24"/>
          <w:szCs w:val="24"/>
        </w:rPr>
        <w:t xml:space="preserve"> har vurderet, at det er nødvendigt at sikre, at de danske regler om opbevaring af oplysninger i forbindelse med forebyggelse og bekæmpelse af hvidvask af penge og finansiering af terrorisme er i overensstemmelse med de krav, der følger af Europa-Parlamentets og Rådets forordning (EU) 2024/1624. Forordningen fastsætter, at forpligtede enheder som udgangspunkt skal opbevare relevante oplysninger i fem år, men at der i særlige tilfælde kan kræves yderligere opbevaring, hvis det er nødvendigt og forholdsmæssigt.</w:t>
      </w:r>
    </w:p>
    <w:p w14:paraId="042B2B8C" w14:textId="77777777" w:rsidR="004232C0" w:rsidRPr="00796736" w:rsidRDefault="004232C0" w:rsidP="00A802A5">
      <w:pPr>
        <w:spacing w:line="360" w:lineRule="auto"/>
        <w:rPr>
          <w:rFonts w:ascii="Times New Roman" w:eastAsia="Calibri" w:hAnsi="Times New Roman" w:cs="Times New Roman"/>
          <w:sz w:val="24"/>
          <w:szCs w:val="24"/>
        </w:rPr>
      </w:pPr>
    </w:p>
    <w:p w14:paraId="07324A31" w14:textId="6A230F30" w:rsidR="004232C0" w:rsidRPr="00796736" w:rsidRDefault="00D835A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Ministerierne</w:t>
      </w:r>
      <w:r w:rsidR="004232C0" w:rsidRPr="00796736">
        <w:rPr>
          <w:rFonts w:ascii="Times New Roman" w:eastAsia="Calibri" w:hAnsi="Times New Roman" w:cs="Times New Roman"/>
          <w:sz w:val="24"/>
          <w:szCs w:val="24"/>
        </w:rPr>
        <w:t xml:space="preserve"> har lagt vægt på, at muligheden for at kræve yderligere opbevaring af oplysninger kun bør anvendes, når det er nødvendigt for at forebygge, opdage, efterforske eller retsforfølge hvidvask af penge eller finansiering af terrorisme. Samtidig skal der tages hensyn til databeskyttelsesreglerne, herunder proportionalitetsprincippet, således at opbevaring ikke sker længere end nødvendigt. </w:t>
      </w:r>
    </w:p>
    <w:p w14:paraId="2F54F359" w14:textId="77777777" w:rsidR="004232C0" w:rsidRPr="00796736" w:rsidRDefault="004232C0" w:rsidP="00A802A5">
      <w:pPr>
        <w:spacing w:line="360" w:lineRule="auto"/>
        <w:rPr>
          <w:rFonts w:ascii="Times New Roman" w:eastAsia="Calibri" w:hAnsi="Times New Roman" w:cs="Times New Roman"/>
          <w:sz w:val="24"/>
          <w:szCs w:val="24"/>
        </w:rPr>
      </w:pPr>
    </w:p>
    <w:p w14:paraId="0CDFB66A" w14:textId="053FD2D5" w:rsidR="004232C0" w:rsidRPr="00796736" w:rsidRDefault="004232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w:t>
      </w:r>
      <w:r w:rsidR="00D835AB" w:rsidRPr="00796736">
        <w:rPr>
          <w:rFonts w:ascii="Times New Roman" w:eastAsia="Calibri" w:hAnsi="Times New Roman" w:cs="Times New Roman"/>
          <w:sz w:val="24"/>
          <w:szCs w:val="24"/>
        </w:rPr>
        <w:t>Finanstilsynet, Erhvervsstyrelsen, Spillemyndigheden og Advokatrådet</w:t>
      </w:r>
      <w:r w:rsidRPr="00796736">
        <w:rPr>
          <w:rFonts w:ascii="Times New Roman" w:eastAsia="Calibri" w:hAnsi="Times New Roman" w:cs="Times New Roman"/>
          <w:sz w:val="24"/>
          <w:szCs w:val="24"/>
        </w:rPr>
        <w:t xml:space="preserve"> får hjemmel til </w:t>
      </w:r>
      <w:r w:rsidR="00D835AB" w:rsidRPr="00796736">
        <w:rPr>
          <w:rFonts w:ascii="Times New Roman" w:hAnsi="Times New Roman" w:cs="Times New Roman"/>
          <w:sz w:val="24"/>
          <w:szCs w:val="24"/>
        </w:rPr>
        <w:t>i det enkelte tilfælde at kræve yderligere opbevaring af oplysninger nævnt i hvidvaskforordningens artikel 77, stk. 1 og 2, forudsat at en sådan opbevaring er nødvendig for at forebygge, opdage, efterforske eller retsforfølge hvidvask og terrorfinansiering. Den yderligere opbevaring må ikke overstige en periode på 5 år.</w:t>
      </w:r>
    </w:p>
    <w:p w14:paraId="1ACDCD21" w14:textId="77777777" w:rsidR="004232C0" w:rsidRPr="00796736" w:rsidRDefault="004232C0" w:rsidP="00A802A5">
      <w:pPr>
        <w:spacing w:line="360" w:lineRule="auto"/>
        <w:rPr>
          <w:rFonts w:ascii="Times New Roman" w:eastAsia="Calibri" w:hAnsi="Times New Roman" w:cs="Times New Roman"/>
          <w:sz w:val="24"/>
          <w:szCs w:val="24"/>
        </w:rPr>
      </w:pPr>
    </w:p>
    <w:p w14:paraId="64431EFD" w14:textId="70C612A2" w:rsidR="004232C0" w:rsidRPr="00796736" w:rsidRDefault="004232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i øvrigt til lovforslagets</w:t>
      </w:r>
      <w:r w:rsidR="0092113C" w:rsidRPr="00796736">
        <w:rPr>
          <w:rFonts w:ascii="Times New Roman" w:hAnsi="Times New Roman" w:cs="Times New Roman"/>
          <w:sz w:val="24"/>
          <w:szCs w:val="24"/>
        </w:rPr>
        <w:t xml:space="preserve"> </w:t>
      </w:r>
      <w:r w:rsidR="0092113C" w:rsidRPr="00796736">
        <w:rPr>
          <w:rFonts w:ascii="Times New Roman" w:hAnsi="Times New Roman" w:cs="Times New Roman"/>
          <w:sz w:val="24"/>
          <w:szCs w:val="24"/>
        </w:rPr>
        <w:fldChar w:fldCharType="begin"/>
      </w:r>
      <w:r w:rsidR="0092113C" w:rsidRPr="00796736">
        <w:rPr>
          <w:rFonts w:ascii="Times New Roman" w:hAnsi="Times New Roman" w:cs="Times New Roman"/>
          <w:sz w:val="24"/>
          <w:szCs w:val="24"/>
        </w:rPr>
        <w:instrText xml:space="preserve"> REF _Ref242815842 \r \h </w:instrText>
      </w:r>
      <w:r w:rsidR="00AB17CC" w:rsidRPr="00796736">
        <w:rPr>
          <w:rFonts w:ascii="Times New Roman" w:hAnsi="Times New Roman" w:cs="Times New Roman"/>
          <w:sz w:val="24"/>
          <w:szCs w:val="24"/>
        </w:rPr>
        <w:instrText xml:space="preserve"> \* MERGEFORMAT </w:instrText>
      </w:r>
      <w:r w:rsidR="0092113C" w:rsidRPr="00796736">
        <w:rPr>
          <w:rFonts w:ascii="Times New Roman" w:hAnsi="Times New Roman" w:cs="Times New Roman"/>
          <w:sz w:val="24"/>
          <w:szCs w:val="24"/>
        </w:rPr>
      </w:r>
      <w:r w:rsidR="009211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w:t>
      </w:r>
      <w:r w:rsidR="0092113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 </w:t>
      </w:r>
    </w:p>
    <w:p w14:paraId="5DD87CA2" w14:textId="77777777" w:rsidR="004A72D6" w:rsidRPr="00796736" w:rsidRDefault="004A72D6" w:rsidP="00A802A5">
      <w:pPr>
        <w:spacing w:line="360" w:lineRule="auto"/>
        <w:rPr>
          <w:rFonts w:ascii="Times New Roman" w:hAnsi="Times New Roman" w:cs="Times New Roman"/>
          <w:sz w:val="24"/>
          <w:szCs w:val="24"/>
        </w:rPr>
      </w:pPr>
    </w:p>
    <w:p w14:paraId="2B70202F" w14:textId="0A5FD8B2" w:rsidR="004A72D6" w:rsidRPr="00796736" w:rsidRDefault="004A72D6" w:rsidP="00A802A5">
      <w:pPr>
        <w:pStyle w:val="Overskrift2"/>
        <w:rPr>
          <w:rFonts w:ascii="Times New Roman" w:hAnsi="Times New Roman"/>
          <w:sz w:val="24"/>
        </w:rPr>
      </w:pPr>
      <w:bookmarkStart w:id="909" w:name="_Ref241668840"/>
      <w:bookmarkStart w:id="910" w:name="_Toc244880729"/>
      <w:r w:rsidRPr="00796736">
        <w:rPr>
          <w:rFonts w:ascii="Times New Roman" w:hAnsi="Times New Roman"/>
          <w:sz w:val="24"/>
        </w:rPr>
        <w:t>Indefrysning af midler</w:t>
      </w:r>
      <w:bookmarkEnd w:id="909"/>
      <w:bookmarkEnd w:id="910"/>
      <w:r w:rsidRPr="00796736">
        <w:rPr>
          <w:rFonts w:ascii="Times New Roman" w:hAnsi="Times New Roman"/>
          <w:sz w:val="24"/>
        </w:rPr>
        <w:t xml:space="preserve">  </w:t>
      </w:r>
    </w:p>
    <w:p w14:paraId="070ED9DC" w14:textId="6CC3FEB2" w:rsidR="004A72D6" w:rsidRPr="00796736" w:rsidRDefault="004A72D6" w:rsidP="00A802A5">
      <w:pPr>
        <w:pStyle w:val="Overskrift4"/>
        <w:rPr>
          <w:rFonts w:ascii="Times New Roman" w:hAnsi="Times New Roman" w:cs="Times New Roman"/>
          <w:sz w:val="24"/>
          <w:szCs w:val="24"/>
        </w:rPr>
      </w:pPr>
      <w:bookmarkStart w:id="911" w:name="_Ref241668767"/>
      <w:r w:rsidRPr="00796736">
        <w:rPr>
          <w:rFonts w:ascii="Times New Roman" w:hAnsi="Times New Roman" w:cs="Times New Roman"/>
          <w:sz w:val="24"/>
          <w:szCs w:val="24"/>
        </w:rPr>
        <w:t>Gældende ret</w:t>
      </w:r>
      <w:bookmarkEnd w:id="911"/>
      <w:r w:rsidRPr="00796736">
        <w:rPr>
          <w:rFonts w:ascii="Times New Roman" w:hAnsi="Times New Roman" w:cs="Times New Roman"/>
          <w:sz w:val="24"/>
          <w:szCs w:val="24"/>
        </w:rPr>
        <w:t xml:space="preserve"> </w:t>
      </w:r>
    </w:p>
    <w:p w14:paraId="25929B11"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findes i dag 14 gældende sanktionsregimer vedtaget af FN’s Sikkerhedsråd. Sanktionsregimerne er vedtaget i medfør af FN’s Sikkerhedsråds resolutioner, og hvert sanktionsregime ledes af en sanktionskomité.</w:t>
      </w:r>
    </w:p>
    <w:p w14:paraId="0453A057" w14:textId="77777777" w:rsidR="004A72D6" w:rsidRPr="00796736" w:rsidRDefault="004A72D6" w:rsidP="00A802A5">
      <w:pPr>
        <w:spacing w:line="360" w:lineRule="auto"/>
        <w:rPr>
          <w:rFonts w:ascii="Times New Roman" w:hAnsi="Times New Roman" w:cs="Times New Roman"/>
          <w:sz w:val="24"/>
          <w:szCs w:val="24"/>
        </w:rPr>
      </w:pPr>
    </w:p>
    <w:p w14:paraId="173ACFD2"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Sanktionsregimerne kan have forskellig karakter og formål. Finansielle sanktioner i form af indefrysning af midler anvendes bl.a. til bekæmpelse af terrorisme, hvor det kan være af afgørende betydning, at der sker hurtig indefrysning af terroristers eller formodede terroristers midler for derigennem at forhindre, at midlerne anvendes til terrorhandlinger.</w:t>
      </w:r>
    </w:p>
    <w:p w14:paraId="46437731" w14:textId="77777777" w:rsidR="004A72D6" w:rsidRPr="00796736" w:rsidRDefault="004A72D6" w:rsidP="00A802A5">
      <w:pPr>
        <w:spacing w:line="360" w:lineRule="auto"/>
        <w:rPr>
          <w:rFonts w:ascii="Times New Roman" w:hAnsi="Times New Roman" w:cs="Times New Roman"/>
          <w:sz w:val="24"/>
          <w:szCs w:val="24"/>
        </w:rPr>
      </w:pPr>
    </w:p>
    <w:p w14:paraId="25406CB7" w14:textId="79C92959"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Når FN’s Sikkerhedsråd vedtager en resolution, er denne bindende for FN’s medlemsstater. Det betyder, at de enkelte medlemsstater, herunder Danmark, er forpligtet til at gennemføre de sanktioner, som FN’s Sikkerhedsråds resolutioner angiver. Lovforslaget omfatter samtlige af FN’s sanktionslister under et sanktionsregime i medfør af en sikkerhedsrådsresolution, der er vedtaget i henhold til FN-Chartrets kapitel VII, og som fremgår af FN’s hjemmeside: </w:t>
      </w:r>
      <w:hyperlink r:id="rId19" w:history="1">
        <w:r w:rsidRPr="00796736">
          <w:rPr>
            <w:rStyle w:val="Hyperlink"/>
            <w:rFonts w:ascii="Times New Roman" w:hAnsi="Times New Roman" w:cs="Times New Roman"/>
            <w:sz w:val="24"/>
            <w:szCs w:val="24"/>
          </w:rPr>
          <w:t>https://www.un.org/securitycouncil/sanctions/information</w:t>
        </w:r>
      </w:hyperlink>
      <w:r w:rsidRPr="00796736">
        <w:rPr>
          <w:rFonts w:ascii="Times New Roman" w:hAnsi="Times New Roman" w:cs="Times New Roman"/>
          <w:sz w:val="24"/>
          <w:szCs w:val="24"/>
        </w:rPr>
        <w:t>.</w:t>
      </w:r>
    </w:p>
    <w:p w14:paraId="3397811F" w14:textId="77777777" w:rsidR="004A72D6" w:rsidRPr="00796736" w:rsidRDefault="004A72D6" w:rsidP="00A802A5">
      <w:pPr>
        <w:spacing w:line="360" w:lineRule="auto"/>
        <w:rPr>
          <w:rFonts w:ascii="Times New Roman" w:hAnsi="Times New Roman" w:cs="Times New Roman"/>
          <w:sz w:val="24"/>
          <w:szCs w:val="24"/>
        </w:rPr>
      </w:pPr>
    </w:p>
    <w:p w14:paraId="5CAC8A9C" w14:textId="77777777" w:rsidR="005C7EA2"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EU gennemfører på vegne af EU’s medlemslande bestemmelserne i Sikkerhedsrådets resolutioner, hvorefter de er gældende i bl.a. Danmark. Det indebærer, at de fysiske eller juridiske personer, grupper eller enheder, som tilføjes FN’s sanktionslister, også tilføjes EU’s lister over fysiske og juridiske personer, grupper eller enheder, som er genstand for indefrysning. EU’s lister er fastlagt og opdateres ved udstedelse af EU-retsakter, som er direkte gældende i EU’s medlemsstater. Et eksempel på udstedte retsakter er Rådets afgørelse 2011/486/FUSP af 1. august 2011 og Rådets forordning (EU) nr. 753/2011 af 1. august 2011, som gennemfører FN-resolution 1988 (2011), der pålægger restriktive foranstaltninger over for visse personer, grupper, virksomheder og enheder på baggrund af situationen i Afghanistan. Det betyder, at midler, som ejes, besiddes, eller kontrolleres af de fysiske eller juridiske personer, grupper eller enheder, som er opført på listerne, skal indefryses ved en opdatering og offentliggørelse af den pågældende sanktionsliste i EU-Tidende. </w:t>
      </w:r>
    </w:p>
    <w:p w14:paraId="72FAE25D" w14:textId="77777777" w:rsidR="005C7EA2" w:rsidRPr="00796736" w:rsidRDefault="005C7EA2" w:rsidP="00A802A5">
      <w:pPr>
        <w:spacing w:line="360" w:lineRule="auto"/>
        <w:rPr>
          <w:rFonts w:ascii="Times New Roman" w:hAnsi="Times New Roman" w:cs="Times New Roman"/>
          <w:sz w:val="24"/>
          <w:szCs w:val="24"/>
        </w:rPr>
      </w:pPr>
    </w:p>
    <w:p w14:paraId="56415787" w14:textId="624E5AB6"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Forpligtelsen til at indefryse gælder også, hvis der anvendes stråmænd, idet der skal ske indefrysning, hvis midler eller aktiver ejes, besiddes eller kontrolleres af nogen, der handler på vegne af eller under instruktion fra nogen, som er opført på listerne, og ikke blot hvis det er den sanktionerede, der ejer, besidder eller kontrollerer aktivet. Da offentliggørelse i EU-Tidende imidlertid først sker, når EU-retsakten er vedtaget og oversat til samtlige officielle sprog i EU, går der som udgangspunkt 24-48 timer fra, at FN opdaterer en sanktionsliste, til der sker offentliggørelse af EU-retsakten i EU-Tidende.</w:t>
      </w:r>
    </w:p>
    <w:p w14:paraId="3E09A15D" w14:textId="77777777" w:rsidR="005C7EA2" w:rsidRPr="00796736" w:rsidRDefault="005C7EA2" w:rsidP="00A802A5">
      <w:pPr>
        <w:spacing w:line="360" w:lineRule="auto"/>
        <w:rPr>
          <w:rFonts w:ascii="Times New Roman" w:hAnsi="Times New Roman" w:cs="Times New Roman"/>
          <w:sz w:val="24"/>
          <w:szCs w:val="24"/>
        </w:rPr>
      </w:pPr>
    </w:p>
    <w:p w14:paraId="23C7CB02"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de typisk 24-48 timer, inden EU’s lister offentliggøres, kan midler, som ejes, besiddes eller kontrolleres af en fysisk eller juridisk person, gruppe eller enhed på FN’s sanktionsliste, i dag ikke indefryses i medfør af dansk ret. Såfremt betingelserne efter retsplejelovens regler om beslaglæggelse er opfyldt, vil politiet som led i efterforskningen af en straffesag imidlertid kunne foretage beslaglæggelse på grundlag af en forudgående retskendelse. Efter retsplejelovens regler om beslaglæggelse har politiet endvidere mulighed for i visse tilfælde at foretage en midlertidig beslaglæggelse eller beslaglæggelse uden forudgående retskendelse, hvis indgrebets øjemed ville forspildes, hvis retskendelse skulle afventes.</w:t>
      </w:r>
    </w:p>
    <w:p w14:paraId="42C3D3F5" w14:textId="77777777" w:rsidR="004A72D6" w:rsidRPr="00796736" w:rsidRDefault="004A72D6" w:rsidP="00A802A5">
      <w:pPr>
        <w:spacing w:line="360" w:lineRule="auto"/>
        <w:rPr>
          <w:rFonts w:ascii="Times New Roman" w:hAnsi="Times New Roman" w:cs="Times New Roman"/>
          <w:sz w:val="24"/>
          <w:szCs w:val="24"/>
        </w:rPr>
      </w:pPr>
    </w:p>
    <w:p w14:paraId="6DA73BBD"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Erhvervsstyrelsen er den ansvarlige myndighed på området for indefrysning efter EU’s forordninger om sanktioner. Fysiske eller juridiske personer, der foretager indefrysning af midler på baggrund af EU's lister, skal straks underrette Erhvervsstyrelsen herom, ligesom der parallelt skal foretages en underretning efter hvidvasklovens § 26 til Hvidvasksekretariatet i Statsadvokaten for Økonomisk og International Kriminalitet, hvis der opstår mistanke om finansiering af terrorisme.</w:t>
      </w:r>
    </w:p>
    <w:p w14:paraId="751AF0BE" w14:textId="77777777" w:rsidR="004A72D6" w:rsidRPr="00796736" w:rsidRDefault="004A72D6" w:rsidP="00A802A5">
      <w:pPr>
        <w:spacing w:line="360" w:lineRule="auto"/>
        <w:rPr>
          <w:rFonts w:ascii="Times New Roman" w:hAnsi="Times New Roman" w:cs="Times New Roman"/>
          <w:sz w:val="24"/>
          <w:szCs w:val="24"/>
        </w:rPr>
      </w:pPr>
    </w:p>
    <w:p w14:paraId="0138DDC7" w14:textId="48359671" w:rsidR="004A72D6" w:rsidRPr="00796736" w:rsidRDefault="004A72D6"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Erhvervsministeriets overvejelser</w:t>
      </w:r>
      <w:r w:rsidR="005C7EA2" w:rsidRPr="00796736">
        <w:rPr>
          <w:rFonts w:ascii="Times New Roman" w:hAnsi="Times New Roman" w:cs="Times New Roman"/>
          <w:sz w:val="24"/>
          <w:szCs w:val="24"/>
        </w:rPr>
        <w:t xml:space="preserve"> og den foreslåede ordning</w:t>
      </w:r>
    </w:p>
    <w:p w14:paraId="70ECCD66"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The Financial Action Task Force (FATF) er en international organisation, der blev oprettet i 1989, og som Danmark er medlem af. Organisationen har til formål at fastlægge fælles standarder og at fremme implementeringen af juridiske, lovgivningsmæssige og operationelle foranstaltninger, der skal modvirke hvidvask, terrorfinansiering og andre trusler mod integriteten i det internationale finansielle system. FATF har i den forbindelse udviklet en række anbefalinger for bekæmpelse af hvidvask, terrorfinansiering og spredning af masseødelæggelsesvåben. FATF monitorerer medlemsstaternes fremskridt i forhold til at implementere FATF’s anbefalinger. FATF har i sin rapport ”Anti-money laundering and counter-terrorist financing meassures Denmark Mutual Evaluation Report 2017” kritiseret Danmark for, at der ikke ses at være en effektiv mekanisme i national ret, som giver mulighed for straks at indefryse midler, som ejes, besiddes eller besiddeskontrolleres af fysiske eller juridiske personer, grupper eller enheder på FN’s sanktionslister, og dermed entydigt muliggøre indefrysning i den tidsbegrænsede periode fra offentliggørelsen af FN’s sanktionslister, til de er gennemført og offentliggjort i en EU-retsakt.</w:t>
      </w:r>
    </w:p>
    <w:p w14:paraId="4790B538" w14:textId="77777777" w:rsidR="004A72D6" w:rsidRPr="00796736" w:rsidRDefault="004A72D6" w:rsidP="00A802A5">
      <w:pPr>
        <w:spacing w:line="360" w:lineRule="auto"/>
        <w:rPr>
          <w:rFonts w:ascii="Times New Roman" w:hAnsi="Times New Roman" w:cs="Times New Roman"/>
          <w:sz w:val="24"/>
          <w:szCs w:val="24"/>
        </w:rPr>
      </w:pPr>
    </w:p>
    <w:p w14:paraId="1585063B"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Uanset at den gældende danske lovgivning er i overensstemmelse med EU-reglerne på hvidvask og terrorfinansieringsområdet, finder Erhvervsministeriet det afgørende, at der sker indefrysning af sådanne midler så hurtigt som muligt, og at dette ikke skal afvente offentliggørelse i EU-Tidende af de nyopførte navne. Dette vil medvirke til at sikre, at fysiske og juridiske personer, grupper eller enheder ikke har mulighed for at flytte deres midler, når de er opført på FN’s sanktionslister, i den mellemliggende periode, fra de bliver tilføjet en FN-sanktionsliste, til der sker vedtagelse af en EU-retsakt og offentliggørelse heraf i EU-Tidende.</w:t>
      </w:r>
    </w:p>
    <w:p w14:paraId="2B4CB397" w14:textId="77777777" w:rsidR="004A72D6" w:rsidRPr="00796736" w:rsidRDefault="004A72D6" w:rsidP="00A802A5">
      <w:pPr>
        <w:spacing w:line="360" w:lineRule="auto"/>
        <w:rPr>
          <w:rFonts w:ascii="Times New Roman" w:hAnsi="Times New Roman" w:cs="Times New Roman"/>
          <w:sz w:val="24"/>
          <w:szCs w:val="24"/>
        </w:rPr>
      </w:pPr>
    </w:p>
    <w:p w14:paraId="38927D80"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vurderer derfor, at der er behov for at indføre en ordning i hvidvaskloven, der giver mulighed for at forpligte virksomheder og personer omfattet af hvidvaskloven til uden ugrundet ophold at indefryse midler, som ejes, besiddes eller kontrolleres af de fysiske eller juridiske personer, grupper eller enheder, hvis navne midlertidigt offentliggøres på en hjemmeside administreret af en dansk myndighed.</w:t>
      </w:r>
    </w:p>
    <w:p w14:paraId="66E56293" w14:textId="77777777" w:rsidR="004A72D6" w:rsidRPr="00796736" w:rsidRDefault="004A72D6" w:rsidP="00A802A5">
      <w:pPr>
        <w:spacing w:line="360" w:lineRule="auto"/>
        <w:rPr>
          <w:rFonts w:ascii="Times New Roman" w:hAnsi="Times New Roman" w:cs="Times New Roman"/>
          <w:sz w:val="24"/>
          <w:szCs w:val="24"/>
        </w:rPr>
      </w:pPr>
    </w:p>
    <w:p w14:paraId="0903A1C2"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vurderer, at der er behov for at indføre en stk. 4 til bestemmelsen, idet FATF i sin rapport ”Denmark's progress in strengthening measures to tackle money laundering and terrorist financing” fra 2021 har kritiseret hvidvasklovens § 34a for ikke at tage højde for, at der efter FATF’s standarder straks skal ske indefrysning i situationer, hvor midler eller aktiver tilhører ikke-sanktionsdesignerede enheder, der handler på vegne af eller under instruktion fra sanktionerede. Bestemmelsen indføres derfor for at tage højde for stråmandsvirksomhed, og sikre, at der ikke kan ske omgåelse af sanktionerne ved at anvende midler eller aktivet, som man ikke selv ejer, besidder eller fysisk kontrollerer, men alligevel kan anvende indirekte gennem kontrol over en stråmand.</w:t>
      </w:r>
    </w:p>
    <w:p w14:paraId="58813C22" w14:textId="77777777" w:rsidR="004A72D6" w:rsidRPr="00796736" w:rsidRDefault="004A72D6" w:rsidP="00A802A5">
      <w:pPr>
        <w:spacing w:line="360" w:lineRule="auto"/>
        <w:rPr>
          <w:rFonts w:ascii="Times New Roman" w:hAnsi="Times New Roman" w:cs="Times New Roman"/>
          <w:sz w:val="24"/>
          <w:szCs w:val="24"/>
        </w:rPr>
      </w:pPr>
    </w:p>
    <w:p w14:paraId="68BFB797" w14:textId="650A1EB2"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w:t>
      </w:r>
      <w:r w:rsidR="005C7EA2" w:rsidRPr="00796736">
        <w:rPr>
          <w:rFonts w:ascii="Times New Roman" w:eastAsia="Calibri" w:hAnsi="Times New Roman" w:cs="Times New Roman"/>
          <w:sz w:val="24"/>
          <w:szCs w:val="24"/>
        </w:rPr>
        <w:t xml:space="preserve">erhvervs- og konkurrencekraftsministeren </w:t>
      </w:r>
      <w:r w:rsidRPr="00796736">
        <w:rPr>
          <w:rFonts w:ascii="Times New Roman" w:hAnsi="Times New Roman" w:cs="Times New Roman"/>
          <w:sz w:val="24"/>
          <w:szCs w:val="24"/>
        </w:rPr>
        <w:t>kan udpege en myndighed, som er ansvarlig for at offentliggøre navne på de fysiske eller juridiske personer, grupper eller enheder, der opføres på FN’s sanktionslister. Navnene på de pågældende fysiske eller juridiske personer, grupper eller enheder skal være offentliggjort på myndighedens hjemmeside i tidsrummet, indtil den relevante EU-liste ændres eller vedtages og er offentliggjort i EU-Tidende.</w:t>
      </w:r>
    </w:p>
    <w:p w14:paraId="1DF305F5" w14:textId="77777777" w:rsidR="004A72D6" w:rsidRPr="00796736" w:rsidRDefault="004A72D6" w:rsidP="00A802A5">
      <w:pPr>
        <w:spacing w:line="360" w:lineRule="auto"/>
        <w:rPr>
          <w:rFonts w:ascii="Times New Roman" w:hAnsi="Times New Roman" w:cs="Times New Roman"/>
          <w:sz w:val="24"/>
          <w:szCs w:val="24"/>
        </w:rPr>
      </w:pPr>
    </w:p>
    <w:p w14:paraId="0F384347"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Myndigheden skal, når navnet fremgår af en offentliggjort FN-sanktionsliste, tilføje navnet på den fysiske eller juridiske person, gruppe eller enhed til den danske myndigheds hjemmeside Det forudsætter, at hjemmesiden skal give mulighed for, at virksomheder og personer kan tilmelde sig et nyhedsbrev eller på anden måde via tilmelding kunne modtage en notifikation, når der foretages ændringer af navne på hjemmesiden.</w:t>
      </w:r>
    </w:p>
    <w:p w14:paraId="7C79A1E7" w14:textId="77777777" w:rsidR="004A72D6" w:rsidRPr="00796736" w:rsidRDefault="004A72D6" w:rsidP="00A802A5">
      <w:pPr>
        <w:spacing w:line="360" w:lineRule="auto"/>
        <w:rPr>
          <w:rFonts w:ascii="Times New Roman" w:hAnsi="Times New Roman" w:cs="Times New Roman"/>
          <w:sz w:val="24"/>
          <w:szCs w:val="24"/>
        </w:rPr>
      </w:pPr>
    </w:p>
    <w:p w14:paraId="61451413"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Myndigheden skal fjerne navnet på en fysisk eller juridisk person, gruppe eller enhed fra hjemmesiden, enten når navnet tilføjes en EU-retsakt, som er offentliggjort i EU-Tidende, hvis det besluttes, at navnet skal tilføjes en sådan EU-retsakt, eller hvis navnet fjernes fra FN’s sanktionslister. Der er med andre ord tale om en midlertidig opførelse på den danske myndigheds hjemmeside, indtil EU’s lister ajourføres i overensstemmelse med FN’s sanktionslister. Den foreslåede bestemmelse er således alene udtryk for et supplement til de relevante EU-lister og griber på ingen måde ind heri.</w:t>
      </w:r>
    </w:p>
    <w:p w14:paraId="3220122B" w14:textId="77777777" w:rsidR="004A72D6" w:rsidRPr="00796736" w:rsidRDefault="004A72D6" w:rsidP="00A802A5">
      <w:pPr>
        <w:spacing w:line="360" w:lineRule="auto"/>
        <w:rPr>
          <w:rFonts w:ascii="Times New Roman" w:hAnsi="Times New Roman" w:cs="Times New Roman"/>
          <w:sz w:val="24"/>
          <w:szCs w:val="24"/>
        </w:rPr>
      </w:pPr>
    </w:p>
    <w:p w14:paraId="1365B95D"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Virksomheder og personer omfattet af bestemmelserne i hvidvaskloven forpligtes til uden ugrundet ophold efter offentliggørelsen af et navn på den danske myndigheds hjemmeside at indefryse midler, som ejes, besiddes eller kontrolleres af den pågældende fysiske eller juridiske person, gruppe eller enhed, og indefryse midler som ejes, besiddes eller kontrolleres af nogen, der handler på vegne af eller under instruktion fra nogen, der er opført på listen.</w:t>
      </w:r>
    </w:p>
    <w:p w14:paraId="4084F209" w14:textId="77777777" w:rsidR="004A72D6" w:rsidRPr="00796736" w:rsidRDefault="004A72D6" w:rsidP="00A802A5">
      <w:pPr>
        <w:spacing w:line="360" w:lineRule="auto"/>
        <w:rPr>
          <w:rFonts w:ascii="Times New Roman" w:hAnsi="Times New Roman" w:cs="Times New Roman"/>
          <w:sz w:val="24"/>
          <w:szCs w:val="24"/>
        </w:rPr>
      </w:pPr>
    </w:p>
    <w:p w14:paraId="47462786"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Indefrysning skal ske uden ugrundet ophold. Det indebærer, at virksomheder og personer skal indefryse midlerne umiddelbart efter, at der er sket offentliggørelse af navnet på den fysiske eller juridisk person, gruppe eller enhed, som ejer, besidder eller kontrollerer midlerne, på den danske myndigheds hjemmeside. Det forudsættes dog, at virksomheden eller personen i almindelighed bør indrømmes en vis kortere tidsperiode, fra offentliggørelsen på den danske myndigheds hjemmeside, til forpligtelsen til indefrysning kan kræves opfyldt. Det beror i øvrigt på en konkret vurdering, om en virksomhed eller person har iagttaget sin pligt til indefrysning af en kundes midler uden ugrundet ophold. Ved vurderingen skal der bl.a. tages hensyn til offentliggørelsestidspunktet på den danske myndighed hjemmeside og forholdene i øvrigt.</w:t>
      </w:r>
    </w:p>
    <w:p w14:paraId="69671ADD" w14:textId="77777777" w:rsidR="004A72D6" w:rsidRPr="00796736" w:rsidRDefault="004A72D6" w:rsidP="00A802A5">
      <w:pPr>
        <w:spacing w:line="360" w:lineRule="auto"/>
        <w:rPr>
          <w:rFonts w:ascii="Times New Roman" w:hAnsi="Times New Roman" w:cs="Times New Roman"/>
          <w:sz w:val="24"/>
          <w:szCs w:val="24"/>
        </w:rPr>
      </w:pPr>
    </w:p>
    <w:p w14:paraId="337E92A9"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Virksomheder og personers forpligtelse til indefrysning af midler efter bestemmelsen bortfalder, når den fysiske eller juridiske person, gruppe eller enhed fjernes fra den danske myndigheds hjemmeside. Henset til, at formålet med den foreslåede ordning er at sikre midlertidig gennemførelse af FN’s sanktionslister, skal forpligtelsen endvidere anses for bortfaldet, hvis navnet fjernes fra FN’s sanktionslister, uanset om den danske myndighed endnu har fjernet det pågældende navn fra myndighedens hjemmeside. Virksomheder og personer kan således ikke strafforfølges for manglende iagttagelse af forpligtelsen til indefrysning af midler efter denne lov, hvis en virksomhed eller person har ophævet indefrysningen af en kundes midler, fordi kundens navn er fjernet fra FN’s sanktionslister, selvom navnet fortsat fremgår af den danske myndigheds hjemmeside, f.eks. på grund af myndighedens mangelfulde ajourføring af hjemmesiden.</w:t>
      </w:r>
    </w:p>
    <w:p w14:paraId="19CD3956" w14:textId="77777777" w:rsidR="004A72D6" w:rsidRPr="00796736" w:rsidRDefault="004A72D6" w:rsidP="00A802A5">
      <w:pPr>
        <w:spacing w:line="360" w:lineRule="auto"/>
        <w:rPr>
          <w:rFonts w:ascii="Times New Roman" w:hAnsi="Times New Roman" w:cs="Times New Roman"/>
          <w:sz w:val="24"/>
          <w:szCs w:val="24"/>
        </w:rPr>
      </w:pPr>
    </w:p>
    <w:p w14:paraId="711D46D8" w14:textId="335F69F0"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Lovforslaget har til hensigt at sikre, at virksomheder og personer er forpligtet til at indefryse midler i den mellemliggende periode fra tilføjelsen af navnet på en fysisk eller juridisk person, gruppe eller enhed til FN’s sanktionslister til navnet tilføjes en EU-retsakt, der er offentliggjort i EU-Tidende. I praksis forventes der at være tale om en kortvarig periode på typisk 24-48 timer, hvor fysiske eller juridiske personer, grupper eller enheder forventes at stå opført på den danske myndigheds hjemmeside, jf.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_Ref241668767 \n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3.12.1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0B33CBED" w14:textId="77777777" w:rsidR="004A72D6" w:rsidRPr="00796736" w:rsidRDefault="004A72D6" w:rsidP="00A802A5">
      <w:pPr>
        <w:spacing w:line="360" w:lineRule="auto"/>
        <w:rPr>
          <w:rFonts w:ascii="Times New Roman" w:hAnsi="Times New Roman" w:cs="Times New Roman"/>
          <w:sz w:val="24"/>
          <w:szCs w:val="24"/>
        </w:rPr>
      </w:pPr>
    </w:p>
    <w:p w14:paraId="19700768" w14:textId="3E63309B" w:rsidR="00FD70EA"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kan i princippet rent undtagelsesvist forekomme, at et navn opført på en FN-sanktionsliste ikke efterfølgende besluttes optaget på en EU-retsakt. I et sådant tilfælde, hvor det i EU-regi måtte blive besluttet, at det pågældende navn ikke skal opføres på en EU-liste, skal den danske myndighed straks fjerne navnet fra myndighedens hjemmeside, hvorefter forpligtelsen for virksomheder og personer til at indefryse midler, som ejes, besiddes eller kontrolleres af den pågældende fysiske eller juridiske person, gruppe eller enhed, bortfalder.</w:t>
      </w:r>
      <w:bookmarkStart w:id="912" w:name="_Toc229739644"/>
      <w:bookmarkStart w:id="913" w:name="_Toc232109043"/>
    </w:p>
    <w:p w14:paraId="5A1184FB" w14:textId="77777777" w:rsidR="004A72D6" w:rsidRPr="00796736" w:rsidRDefault="004A72D6" w:rsidP="00A802A5">
      <w:pPr>
        <w:spacing w:line="360" w:lineRule="auto"/>
        <w:rPr>
          <w:rFonts w:ascii="Times New Roman" w:hAnsi="Times New Roman" w:cs="Times New Roman"/>
          <w:sz w:val="24"/>
          <w:szCs w:val="24"/>
        </w:rPr>
      </w:pPr>
    </w:p>
    <w:p w14:paraId="7C704F60" w14:textId="7CE287A6" w:rsidR="00F35892" w:rsidRPr="00796736" w:rsidRDefault="001A5922" w:rsidP="00A802A5">
      <w:pPr>
        <w:pStyle w:val="Overskrift2"/>
        <w:rPr>
          <w:rFonts w:ascii="Times New Roman" w:hAnsi="Times New Roman"/>
          <w:sz w:val="24"/>
        </w:rPr>
      </w:pPr>
      <w:bookmarkStart w:id="914" w:name="_Ref232942899"/>
      <w:bookmarkStart w:id="915" w:name="_Toc244880730"/>
      <w:r w:rsidRPr="00796736">
        <w:rPr>
          <w:rFonts w:ascii="Times New Roman" w:hAnsi="Times New Roman"/>
          <w:sz w:val="24"/>
        </w:rPr>
        <w:t>Hvidvasksekretariatet</w:t>
      </w:r>
      <w:bookmarkEnd w:id="912"/>
      <w:bookmarkEnd w:id="913"/>
      <w:bookmarkEnd w:id="914"/>
      <w:bookmarkEnd w:id="915"/>
    </w:p>
    <w:p w14:paraId="7BA20597" w14:textId="5651F8A7" w:rsidR="00F35892" w:rsidRPr="00796736" w:rsidRDefault="00F35892" w:rsidP="00A802A5">
      <w:pPr>
        <w:pStyle w:val="Overskrift4"/>
        <w:rPr>
          <w:rFonts w:ascii="Times New Roman" w:hAnsi="Times New Roman" w:cs="Times New Roman"/>
          <w:sz w:val="24"/>
          <w:szCs w:val="24"/>
        </w:rPr>
      </w:pPr>
      <w:bookmarkStart w:id="916" w:name="_Toc229739645"/>
      <w:bookmarkStart w:id="917" w:name="_Toc232109044"/>
      <w:bookmarkStart w:id="918" w:name="_Ref232942955"/>
      <w:bookmarkStart w:id="919" w:name="_Ref232944928"/>
      <w:r w:rsidRPr="00796736">
        <w:rPr>
          <w:rFonts w:ascii="Times New Roman" w:hAnsi="Times New Roman" w:cs="Times New Roman"/>
          <w:sz w:val="24"/>
          <w:szCs w:val="24"/>
        </w:rPr>
        <w:t>Gældende ret</w:t>
      </w:r>
      <w:bookmarkEnd w:id="916"/>
      <w:bookmarkEnd w:id="917"/>
      <w:bookmarkEnd w:id="918"/>
      <w:bookmarkEnd w:id="919"/>
    </w:p>
    <w:p w14:paraId="623A8E1E" w14:textId="1CA910E2" w:rsidR="0042556A" w:rsidRPr="00796736" w:rsidRDefault="006521E6" w:rsidP="00A802A5">
      <w:pPr>
        <w:spacing w:after="240" w:line="360" w:lineRule="auto"/>
        <w:rPr>
          <w:rFonts w:ascii="Times New Roman" w:hAnsi="Times New Roman" w:cs="Times New Roman"/>
          <w:sz w:val="24"/>
          <w:szCs w:val="24"/>
        </w:rPr>
      </w:pPr>
      <w:bookmarkStart w:id="920" w:name="_Toc229739646"/>
      <w:r w:rsidRPr="006521E6">
        <w:rPr>
          <w:rFonts w:ascii="Times New Roman" w:hAnsi="Times New Roman" w:cs="Times New Roman"/>
          <w:sz w:val="24"/>
          <w:szCs w:val="24"/>
        </w:rPr>
        <w:t xml:space="preserve">Oprettelsen af Hvidvasksekretariatet som FIU og rammerne for sekretariatets opgaver og organisation m.v. fremgår i dag af hvidvasklovens § 29, stk. 1 og 2, samt af cirkulære nr. 9752 af 26. september 2023 om Danmarks Finansielle Efterretningsenhed (FIU) (herefter FIU-cirkulæret) § 2. </w:t>
      </w:r>
      <w:r w:rsidR="0042556A" w:rsidRPr="00796736">
        <w:rPr>
          <w:rFonts w:ascii="Times New Roman" w:hAnsi="Times New Roman" w:cs="Times New Roman"/>
          <w:sz w:val="24"/>
          <w:szCs w:val="24"/>
        </w:rPr>
        <w:t>Hvidvasklovens § 29, stk. 1 og 2, implementerer artikel 32, stk. 3, i 4. hvidvaskdirektiv. 4. hvidvaskdirektivs artikel 32, stk. 8, er implementeret ved FIU-cirkulærets § 2.</w:t>
      </w:r>
    </w:p>
    <w:p w14:paraId="1B99F5D4"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29, stk. 1, er den danske finansielle efterretningsenhed Hvidvasksekretariatet hos National enhed for Særlig Kriminalitet. Hvidvasksekretariatet er operationelt uafhængigt og selvstændigt virkende, hvorved forstås, at sekretariatet har kompetence og kapacitet til at udføre sine opgaver frit og selvstændigt kan træffe beslutninger om at analysere, anmode om og formidle specifikke oplysninger som beskrevet i lovens § 29, stk. 2. </w:t>
      </w:r>
    </w:p>
    <w:p w14:paraId="7C787CDC" w14:textId="6AD5CD6B" w:rsidR="009F6ECD" w:rsidRPr="00796736" w:rsidRDefault="009F6ECD" w:rsidP="00A802A5">
      <w:pPr>
        <w:spacing w:after="240" w:line="360" w:lineRule="auto"/>
        <w:rPr>
          <w:rFonts w:ascii="Times New Roman" w:hAnsi="Times New Roman" w:cs="Times New Roman"/>
          <w:sz w:val="24"/>
          <w:szCs w:val="24"/>
        </w:rPr>
      </w:pPr>
      <w:bookmarkStart w:id="921" w:name="_Hlk223532693"/>
      <w:r w:rsidRPr="00796736">
        <w:rPr>
          <w:rFonts w:ascii="Times New Roman" w:hAnsi="Times New Roman" w:cs="Times New Roman"/>
          <w:sz w:val="24"/>
          <w:szCs w:val="24"/>
        </w:rPr>
        <w:t xml:space="preserve">Det fremgår af </w:t>
      </w:r>
      <w:r w:rsidR="008D4A8C" w:rsidRPr="00796736">
        <w:rPr>
          <w:rFonts w:ascii="Times New Roman" w:hAnsi="Times New Roman" w:cs="Times New Roman"/>
          <w:sz w:val="24"/>
          <w:szCs w:val="24"/>
        </w:rPr>
        <w:t>bemærkningerne</w:t>
      </w:r>
      <w:r w:rsidRPr="00796736">
        <w:rPr>
          <w:rFonts w:ascii="Times New Roman" w:hAnsi="Times New Roman" w:cs="Times New Roman"/>
          <w:sz w:val="24"/>
          <w:szCs w:val="24"/>
        </w:rPr>
        <w:t xml:space="preserve"> til hvidvasklovens § 29</w:t>
      </w:r>
      <w:r w:rsidR="0042556A" w:rsidRPr="00796736">
        <w:rPr>
          <w:rFonts w:ascii="Times New Roman" w:hAnsi="Times New Roman" w:cs="Times New Roman"/>
          <w:sz w:val="24"/>
          <w:szCs w:val="24"/>
        </w:rPr>
        <w:t>,</w:t>
      </w:r>
      <w:r w:rsidRPr="00796736">
        <w:rPr>
          <w:rFonts w:ascii="Times New Roman" w:hAnsi="Times New Roman" w:cs="Times New Roman"/>
          <w:sz w:val="24"/>
          <w:szCs w:val="24"/>
        </w:rPr>
        <w:t xml:space="preserve"> jf. Folketingstidende 2019-20, tillæg A, L 58 som fremsat, side 47, at det forudsættes, at Hvidvasksekretariatet etablerer eller opretholder sådanne sikkerhedssystemer og særligt tilpassede sikkerhedspolitikker, at det hermed effektivt sikres, at sekretariatets kerneopgaver holdes adskilt fra de øvrige af SØIK’s (i dag NSK’s) kerneopgaver</w:t>
      </w:r>
      <w:bookmarkEnd w:id="921"/>
      <w:r w:rsidRPr="00796736">
        <w:rPr>
          <w:rFonts w:ascii="Times New Roman" w:hAnsi="Times New Roman" w:cs="Times New Roman"/>
          <w:sz w:val="24"/>
          <w:szCs w:val="24"/>
        </w:rPr>
        <w:t>.</w:t>
      </w:r>
    </w:p>
    <w:p w14:paraId="355B02A0"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Efter hvidvasklovs § 29, stk. 2, nr. 1, </w:t>
      </w:r>
      <w:r w:rsidRPr="00796736">
        <w:rPr>
          <w:rFonts w:ascii="Times New Roman" w:hAnsi="Times New Roman" w:cs="Times New Roman"/>
          <w:sz w:val="24"/>
          <w:szCs w:val="24"/>
        </w:rPr>
        <w:t>har Hvidvasksekretariatet som central national enhed til opgave at modtage og analysere underretninger om mistænkelige transaktioner og andre oplysninger af relevans for hvidvask af penge, tilknyttede underliggende forbrydelser eller finansiering af terrorisme.</w:t>
      </w:r>
    </w:p>
    <w:p w14:paraId="576B6A03" w14:textId="505D8070" w:rsidR="008D4A8C"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w:t>
      </w:r>
      <w:r w:rsidR="008D4A8C" w:rsidRPr="00796736">
        <w:rPr>
          <w:rFonts w:ascii="Times New Roman" w:hAnsi="Times New Roman" w:cs="Times New Roman"/>
          <w:sz w:val="24"/>
          <w:szCs w:val="24"/>
        </w:rPr>
        <w:t>bemærkningerne</w:t>
      </w:r>
      <w:r w:rsidRPr="00796736">
        <w:rPr>
          <w:rFonts w:ascii="Times New Roman" w:hAnsi="Times New Roman" w:cs="Times New Roman"/>
          <w:sz w:val="24"/>
          <w:szCs w:val="24"/>
        </w:rPr>
        <w:t xml:space="preserve"> til hvidvasklovens § 29, at Hvidvasksekretariatet i den forbindelse</w:t>
      </w:r>
      <w:r w:rsidR="002C5E76">
        <w:rPr>
          <w:rFonts w:ascii="Times New Roman" w:hAnsi="Times New Roman" w:cs="Times New Roman"/>
          <w:sz w:val="24"/>
          <w:szCs w:val="24"/>
        </w:rPr>
        <w:t xml:space="preserve"> har</w:t>
      </w:r>
      <w:r w:rsidRPr="00796736">
        <w:rPr>
          <w:rFonts w:ascii="Times New Roman" w:hAnsi="Times New Roman" w:cs="Times New Roman"/>
          <w:sz w:val="24"/>
          <w:szCs w:val="24"/>
        </w:rPr>
        <w:t xml:space="preserve"> til opgave at modtage, analysere og videreformidle underretninger om mulig hvidvask eller finansiering af terrorisme fra de virksomheder, personer og myndigheder, der efter hvidvaskloven er underretningspligtige. </w:t>
      </w:r>
      <w:r w:rsidR="008D4A8C" w:rsidRPr="00796736">
        <w:rPr>
          <w:rFonts w:ascii="Times New Roman" w:hAnsi="Times New Roman" w:cs="Times New Roman"/>
          <w:sz w:val="24"/>
          <w:szCs w:val="24"/>
        </w:rPr>
        <w:t>Herudover modtager og indhenter sekretariatet efterretninger og oplysninger fra andre kilder, herunder danske myndigheder, politiets systemer, open source intelligence og samarbejdspartnere i udlandet. Hvidvasksekretariatet anvender en risikobaseret tilgang i forbindelse med behandlingen af underretninger med henblik på at yde en fokuseret og målrettet indsats på området.</w:t>
      </w:r>
    </w:p>
    <w:p w14:paraId="02B9040F" w14:textId="72D102F5"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Herudover fremgår det, at Hvidvasksekretariatet visiterer modtagne underretninger og kvalificerer underretningerne, herunder ved anvendelse af operative og strategiske analyser, med henblik på vurdering af, om oplysningerne skal føre til udsendelse af efterretning eller egentligt efterforskningsoplæg til politikredsene (herunder SØIK (nu NSK)) i forhold til mistanke om hvidvask af udbytte fra strafbare handlinger, udsendelse af efterretning til Politiets Efterretningstjeneste (PET) i forhold til mistanke om finansiering af terrorisme eller udsendelse af efterretning til skattemyndighederne, kommunerne eller andre myndigheder.</w:t>
      </w:r>
    </w:p>
    <w:p w14:paraId="0EDD7637"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2019-20, tillæg A, L 58 som fremsat, side 45.</w:t>
      </w:r>
    </w:p>
    <w:p w14:paraId="610CC963"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29, stk. 2, nr. 2, har Hvidvasksekretariatet endvidere til opgave at formidle resultaterne af sin analyse og alle yderligere relevante oplysninger til kompetente myndigheder, organer og instanser ved mistanke om hvidvask af penge, tilknyttede underliggende forbrydelser eller finansiering af terrorisme. </w:t>
      </w:r>
    </w:p>
    <w:p w14:paraId="30578B6C" w14:textId="0CC08FEF" w:rsidR="00F80DD1" w:rsidRDefault="00F80DD1" w:rsidP="00A802A5">
      <w:pPr>
        <w:spacing w:after="240" w:line="360" w:lineRule="auto"/>
        <w:rPr>
          <w:rFonts w:ascii="Times New Roman" w:hAnsi="Times New Roman" w:cs="Times New Roman"/>
          <w:sz w:val="24"/>
          <w:szCs w:val="24"/>
        </w:rPr>
      </w:pPr>
      <w:r w:rsidRPr="00F80DD1">
        <w:rPr>
          <w:rFonts w:ascii="Times New Roman" w:hAnsi="Times New Roman" w:cs="Times New Roman"/>
          <w:sz w:val="24"/>
          <w:szCs w:val="24"/>
        </w:rPr>
        <w:t>Det fremgår endvidere af bemærkningerne til § 29, at Hvidvasksekretariatets opgavevaretagelse indebærer, at sekretariatets virksomhed i et vist omfang sker inden for strafferetsplejen. Herudover fremgår det af bemærkningerne, at det bemærkes, at der ikke hermed er tilsigtet en udtømmende opregning af Hvidvasksekretariatets opgaver, jf. Folketingstidende 2019-20, tillæg A, L 58 som fremsat, side 46 f.</w:t>
      </w:r>
    </w:p>
    <w:p w14:paraId="2E82C7E4" w14:textId="09698672"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 2 i FIU-cirkulæret, at Hvidvasksekretariatets analysefunktion består af operativ analyse, som fokuserer på individuelle tilfælde og bestemte mål eller relevante udvalgte oplysninger, afhængig af typen og mængden af de modtagne oplysninger og den forventede anvendelse af oplysningerne efter formidling (nr. 1), og strategisk analyse, som vedrører tendenser og mønstre for hvidvask af penge og finansiering af terrorisme (nr. 2). </w:t>
      </w:r>
    </w:p>
    <w:p w14:paraId="63F6AF3B" w14:textId="77777777" w:rsidR="00CC2600" w:rsidRPr="00796736" w:rsidRDefault="00CC2600" w:rsidP="00CC2600">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forvaltningslovens § 27, at den</w:t>
      </w:r>
      <w:r>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der virker inden for den offentlige forvaltning, har tavshedspligt, jf. straffelovens § 152 og §§ 152 c-152 f, med hensyn til en række nærmere oplistede oplysninger, jf. forvaltningslovens § 27, stk. 1-5, herunder med hensyn til oplysninger om enkeltpersoners private, herunder økonomiske, forhold (stk. 1, nr. 1), når en oplysning ved lov eller anden gyldig bestemmelse er betegnet som fortrolig, herunder når fortrolighed følger af en EU-retlig eller folkeretlig forpligtelse el.lign. (stk. 2, 2. pkt.)</w:t>
      </w:r>
      <w:r>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eller oplysninger som det i øvrigt er nødvendigt at hemmeligholde for at varetage hensyn til forebyggelse, efterforskning og forfølgning af lovovertrædelser samt straffuldbyrdelse og beskyttelse af sigtede, vidner eller andre i sager om strafferetlig eller disciplinær forfølgning (stk. 4, nr. 1). </w:t>
      </w:r>
    </w:p>
    <w:p w14:paraId="3289B208" w14:textId="3D246A67" w:rsidR="0042556A" w:rsidRPr="00796736" w:rsidRDefault="0042556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w:t>
      </w:r>
      <w:r w:rsidR="00CC2600">
        <w:rPr>
          <w:rFonts w:ascii="Times New Roman" w:hAnsi="Times New Roman" w:cs="Times New Roman"/>
          <w:sz w:val="24"/>
          <w:szCs w:val="24"/>
        </w:rPr>
        <w:t>videre</w:t>
      </w:r>
      <w:r w:rsidRPr="00796736">
        <w:rPr>
          <w:rFonts w:ascii="Times New Roman" w:hAnsi="Times New Roman" w:cs="Times New Roman"/>
          <w:sz w:val="24"/>
          <w:szCs w:val="24"/>
        </w:rPr>
        <w:t xml:space="preserve"> af forvaltningslovens § 28, stk. 1, 1. pkt., at for manuel videregivelse af oplysninger om enkeltpersoner (personoplysninger) til en anden forvaltningsmyndighed gælder reglerne i databeskyttelseslovens §§ 6-8 og 10 og § 11, stk. 1, og artikel 5, stk. 1, litra a-c, artikel 6, artikel 7, stk. 3, 1. og 2. pkt., artikel 9 og 10 og artikel 77, stk. 1, i Europa-Parlamentets og Rådets forordning nr. 2016/679 af 27. april 2016 om beskyttelse af fysiske personer i forbindelse med behandling af personoplysning og om fri udveksling af sådanne oplysninger (databeskyttelsesforordningen), jf. databeskyttelseslovens § 2, stk. 1. Det fremgår derudover af forvaltningslovens § 28, stk. 1, 2. pkt., at for videregivelse af personoplysninger til en anden forvaltningsmyndighed, der helt eller delvis foretages ved hjælp af automatisk databehandling, finder reglerne i databeskyttelsesforordningen og databeskyttelsesloven anvendelse, medmindre videregivelse er reguleret af lov om retshåndhævendes myndigheders behandling af personoplysninger. </w:t>
      </w:r>
    </w:p>
    <w:p w14:paraId="677F9CE5" w14:textId="77777777" w:rsidR="0042556A" w:rsidRPr="00796736" w:rsidRDefault="0042556A" w:rsidP="00A802A5">
      <w:pPr>
        <w:spacing w:line="360" w:lineRule="auto"/>
        <w:rPr>
          <w:rFonts w:ascii="Times New Roman" w:hAnsi="Times New Roman" w:cs="Times New Roman"/>
          <w:sz w:val="24"/>
          <w:szCs w:val="24"/>
        </w:rPr>
      </w:pPr>
    </w:p>
    <w:p w14:paraId="25B2DBAE" w14:textId="77777777" w:rsidR="0042556A" w:rsidRPr="00796736" w:rsidRDefault="0042556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forvaltningslovens § 28, stk. 2, fremgår det, at oplysninger af fortrolig karakter, som ikke er omfattet af stk. 1, kun må videregives til en anden forvaltningsmyndighed, når </w:t>
      </w:r>
    </w:p>
    <w:p w14:paraId="59A2578F" w14:textId="77777777" w:rsidR="0042556A" w:rsidRPr="00796736" w:rsidRDefault="0042556A">
      <w:pPr>
        <w:pStyle w:val="Listeafsnit"/>
        <w:numPr>
          <w:ilvl w:val="0"/>
          <w:numId w:val="1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oplysningen angår, udtrykkeligt har givet samtykke, </w:t>
      </w:r>
    </w:p>
    <w:p w14:paraId="4405EF60" w14:textId="77777777" w:rsidR="0042556A" w:rsidRPr="00796736" w:rsidRDefault="0042556A">
      <w:pPr>
        <w:pStyle w:val="Listeafsnit"/>
        <w:numPr>
          <w:ilvl w:val="0"/>
          <w:numId w:val="1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lov eller bestemmelser fastsat i henhold til lov, at oplysningen skal videregives, eller </w:t>
      </w:r>
    </w:p>
    <w:p w14:paraId="32BD1B54" w14:textId="77777777" w:rsidR="0042556A" w:rsidRPr="00796736" w:rsidRDefault="0042556A">
      <w:pPr>
        <w:pStyle w:val="Listeafsnit"/>
        <w:numPr>
          <w:ilvl w:val="0"/>
          <w:numId w:val="1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må antages, at oplysningen vil være af væsentlig betydning for myndighedens virksomhed eller for en afgørelse, myndigheden skal træffe.</w:t>
      </w:r>
    </w:p>
    <w:p w14:paraId="1BCE3D1C" w14:textId="77777777" w:rsidR="0042556A" w:rsidRPr="00796736" w:rsidRDefault="0042556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forvaltningslovens § 28, stk. 3, at ved samtykke efter stk. 2, nr. 1, forstås enhver frivillig, specifik, informeret og utvetydig viljestilkendegivelse, hvorved den, oplysningen angår, ved erklæring eller klar bekræftelse indvilger i, at oplysningen videregives. </w:t>
      </w:r>
    </w:p>
    <w:p w14:paraId="3C841796" w14:textId="45A3B221" w:rsidR="0042556A" w:rsidRPr="00796736" w:rsidRDefault="0042556A" w:rsidP="008E4E1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forvaltningslovens § 28, stk. 4, at et samtykke efter stk. 3 kan tilbagekaldes. Inden der gives samtykke, skal den, oplysningen angår, oplyses om, at et samtykke kan trækkes tilbage. Det skal være lige så let at trække samtykket tilbage som at give det.</w:t>
      </w:r>
    </w:p>
    <w:p w14:paraId="440CB204" w14:textId="77777777" w:rsidR="008E4E15" w:rsidRPr="00796736" w:rsidRDefault="008E4E15" w:rsidP="008E4E1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De</w:t>
      </w:r>
      <w:r>
        <w:rPr>
          <w:rFonts w:ascii="Times New Roman" w:eastAsia="Calibri" w:hAnsi="Times New Roman" w:cs="Times New Roman"/>
          <w:sz w:val="24"/>
          <w:szCs w:val="24"/>
        </w:rPr>
        <w:t>rudover</w:t>
      </w:r>
      <w:r w:rsidRPr="00796736">
        <w:rPr>
          <w:rFonts w:ascii="Times New Roman" w:eastAsia="Calibri" w:hAnsi="Times New Roman" w:cs="Times New Roman"/>
          <w:sz w:val="24"/>
          <w:szCs w:val="24"/>
        </w:rPr>
        <w:t xml:space="preserve"> fremgår </w:t>
      </w:r>
      <w:r>
        <w:rPr>
          <w:rFonts w:ascii="Times New Roman" w:eastAsia="Calibri" w:hAnsi="Times New Roman" w:cs="Times New Roman"/>
          <w:sz w:val="24"/>
          <w:szCs w:val="24"/>
        </w:rPr>
        <w:t xml:space="preserve">det </w:t>
      </w:r>
      <w:r w:rsidRPr="00796736">
        <w:rPr>
          <w:rFonts w:ascii="Times New Roman" w:eastAsia="Calibri" w:hAnsi="Times New Roman" w:cs="Times New Roman"/>
          <w:sz w:val="24"/>
          <w:szCs w:val="24"/>
        </w:rPr>
        <w:t xml:space="preserve">af hvidvasklovens § 38 a, stk. 1, at personer, der virker inden for den offentlige forvaltning, under ansvar efter straffelovens §§ 152-152 e er forpligtet til at hemmeligholde oplysninger, som hidrører fra en underretning efter hvidvasklovens § 26 eller § 28. Det fremgår af </w:t>
      </w:r>
      <w:r>
        <w:rPr>
          <w:rFonts w:ascii="Times New Roman" w:eastAsia="Calibri" w:hAnsi="Times New Roman" w:cs="Times New Roman"/>
          <w:sz w:val="24"/>
          <w:szCs w:val="24"/>
        </w:rPr>
        <w:t xml:space="preserve">bestemmelsens </w:t>
      </w:r>
      <w:r w:rsidRPr="00796736">
        <w:rPr>
          <w:rFonts w:ascii="Times New Roman" w:eastAsia="Calibri" w:hAnsi="Times New Roman" w:cs="Times New Roman"/>
          <w:sz w:val="24"/>
          <w:szCs w:val="24"/>
        </w:rPr>
        <w:t>stk. 2, at forvaltningslovens § 9 om partsaktindsigt, § 19 om partshøring, § 24 om begrundelsespligt og §§ 28 og 31 om videregivelse af oplysninger mellem forvaltningsmyndigheder ikke finder anvendelse på de oplysninger, der er nævnt i hvidvasklovens § 38 a, stk. 1.</w:t>
      </w:r>
      <w:r w:rsidRPr="00796736">
        <w:rPr>
          <w:rFonts w:ascii="Times New Roman" w:hAnsi="Times New Roman" w:cs="Times New Roman"/>
          <w:sz w:val="24"/>
          <w:szCs w:val="24"/>
        </w:rPr>
        <w:t xml:space="preserve"> </w:t>
      </w:r>
    </w:p>
    <w:p w14:paraId="2A7D6B96" w14:textId="77777777" w:rsidR="0042556A" w:rsidRPr="00796736" w:rsidRDefault="0042556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er ikke i hvidvaskloven fastsat nærmere regler om Hvidvasksekretariatets personales standarder i forhold til databeskyttelse, integritet, behandling af datasæt, håndtering af interessekonflikter eller regler for sikkerhed og fortrolighed. Hvidvasksekretariatets behandling af personoplysninger vil dog skulle ske inden for rammerne af databeskyttelsesreglerne, herunder retshåndhævelsesloven.</w:t>
      </w:r>
    </w:p>
    <w:p w14:paraId="737CCA70" w14:textId="79B39AD1"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er endvidere ikke i hvidvaskloven fastsat nærmere regler om, at Hvidvasksekretariatet skal indføre sikre og beskyttede kanaler til kommunikation og udveksling af oplysninger ved hjælp af elektroniske midler med kompetente myndigheder og forpligtede enheder.</w:t>
      </w:r>
      <w:r w:rsidR="008D4A8C" w:rsidRPr="00796736">
        <w:rPr>
          <w:rFonts w:ascii="Times New Roman" w:hAnsi="Times New Roman" w:cs="Times New Roman"/>
          <w:sz w:val="24"/>
          <w:szCs w:val="24"/>
        </w:rPr>
        <w:t xml:space="preserve"> Det forudsættes imidlertid, at Hvidvasksekretariatets eksisterende kanaler for sikker kommunikation i praksis lever op til sådanne krav.</w:t>
      </w:r>
    </w:p>
    <w:p w14:paraId="1A4C1B65" w14:textId="7BD3F8BA" w:rsidR="009F6ECD" w:rsidRPr="008E1905" w:rsidRDefault="009F6ECD" w:rsidP="008E1905">
      <w:pPr>
        <w:spacing w:after="240" w:line="360" w:lineRule="auto"/>
        <w:rPr>
          <w:rFonts w:ascii="Times New Roman" w:hAnsi="Times New Roman" w:cs="Times New Roman"/>
          <w:sz w:val="24"/>
          <w:szCs w:val="24"/>
        </w:rPr>
      </w:pPr>
      <w:r w:rsidRPr="008E1905">
        <w:rPr>
          <w:rFonts w:ascii="Times New Roman" w:hAnsi="Times New Roman" w:cs="Times New Roman"/>
          <w:sz w:val="24"/>
          <w:szCs w:val="24"/>
        </w:rPr>
        <w:t>Der er heller ikke i hvidvaskloven fastsat nærmere regler om, at Hvidvasksekretariatet er i stand til at indgå ordninger med andre nationale kompetente myndigheder i henhold til artikel 46 om udveksling af oplysninger.</w:t>
      </w:r>
    </w:p>
    <w:p w14:paraId="6ACCDD80" w14:textId="77777777" w:rsidR="008E1905" w:rsidRPr="008E1905" w:rsidRDefault="008E1905" w:rsidP="008E1905">
      <w:pPr>
        <w:spacing w:line="360" w:lineRule="auto"/>
        <w:rPr>
          <w:rFonts w:ascii="Times New Roman" w:hAnsi="Times New Roman" w:cs="Times New Roman"/>
          <w:sz w:val="24"/>
          <w:szCs w:val="24"/>
        </w:rPr>
      </w:pPr>
      <w:r w:rsidRPr="008E1905">
        <w:rPr>
          <w:rFonts w:ascii="Times New Roman" w:hAnsi="Times New Roman" w:cs="Times New Roman"/>
          <w:sz w:val="24"/>
          <w:szCs w:val="24"/>
        </w:rPr>
        <w:t>Hvidvaskloven finder anvendelse på de virksomheder og personer, der er oplistet i hvidvasklovens § 1, stk. 1. Loven omfatter bl.a. finansielle og ikke-finansielle virksomheder, spiludbydere, advokater og revisorer.</w:t>
      </w:r>
    </w:p>
    <w:p w14:paraId="505A6A24" w14:textId="77777777" w:rsidR="008E1905" w:rsidRPr="008E1905" w:rsidRDefault="008E1905" w:rsidP="008E1905">
      <w:pPr>
        <w:spacing w:line="360" w:lineRule="auto"/>
        <w:rPr>
          <w:rFonts w:ascii="Times New Roman" w:hAnsi="Times New Roman" w:cs="Times New Roman"/>
          <w:sz w:val="24"/>
          <w:szCs w:val="24"/>
        </w:rPr>
      </w:pPr>
    </w:p>
    <w:p w14:paraId="37A6BD9F" w14:textId="77777777" w:rsidR="008E1905" w:rsidRPr="008E1905" w:rsidRDefault="008E1905" w:rsidP="008E1905">
      <w:pPr>
        <w:spacing w:line="360" w:lineRule="auto"/>
        <w:rPr>
          <w:rFonts w:ascii="Times New Roman" w:hAnsi="Times New Roman" w:cs="Times New Roman"/>
          <w:sz w:val="24"/>
          <w:szCs w:val="24"/>
        </w:rPr>
      </w:pPr>
      <w:r w:rsidRPr="008E1905">
        <w:rPr>
          <w:rFonts w:ascii="Times New Roman" w:hAnsi="Times New Roman" w:cs="Times New Roman"/>
          <w:sz w:val="24"/>
          <w:szCs w:val="24"/>
        </w:rPr>
        <w:t xml:space="preserve">Det følger af hvidvasklovens § 26, stk. 1, 1. pkt., at virksomheder og personer omgående skal underrette Hvidvasksekretariatet, hvis virksomheden eller personen er vidende om, har mistanke om eller rimelig grund til at formode, at en transaktion, midler eller en aktivitet har eller har haft tilknytning til hvidvask eller finansiering af terrorisme. Det følger af 2. pkt., at det samme gælder ved mistanke der er opstået i forbindelse med kundens forsøg på at foretage en transaktion eller en henvendelse fra en mulig kunde med ønske om gennemførelse af en transaktion eller aktivitet. </w:t>
      </w:r>
    </w:p>
    <w:p w14:paraId="12C54EBD" w14:textId="77777777" w:rsidR="008E1905" w:rsidRPr="008E1905" w:rsidRDefault="008E1905" w:rsidP="008E1905">
      <w:pPr>
        <w:spacing w:line="360" w:lineRule="auto"/>
        <w:rPr>
          <w:rFonts w:ascii="Times New Roman" w:hAnsi="Times New Roman" w:cs="Times New Roman"/>
          <w:sz w:val="24"/>
          <w:szCs w:val="24"/>
        </w:rPr>
      </w:pPr>
    </w:p>
    <w:p w14:paraId="366A5133" w14:textId="77777777" w:rsidR="008E1905" w:rsidRPr="008E1905" w:rsidRDefault="008E1905" w:rsidP="008E1905">
      <w:pPr>
        <w:spacing w:line="360" w:lineRule="auto"/>
        <w:rPr>
          <w:rFonts w:ascii="Times New Roman" w:hAnsi="Times New Roman" w:cs="Times New Roman"/>
          <w:sz w:val="24"/>
          <w:szCs w:val="24"/>
        </w:rPr>
      </w:pPr>
      <w:r w:rsidRPr="008E1905">
        <w:rPr>
          <w:rFonts w:ascii="Times New Roman" w:hAnsi="Times New Roman" w:cs="Times New Roman"/>
          <w:sz w:val="24"/>
          <w:szCs w:val="24"/>
        </w:rPr>
        <w:t xml:space="preserve">Den underretningspligtige skal så vidt muligt undlade at gennemføre en transaktion, hvor der er viden om, mistanke om eller rimelig grund til at formode, at en transaktion har tilknytning til hvidvask, indtil der er foretaget underretning til Hvidvasksekretariatet, hvis transaktionen ikke allerede er gennemført. Den underretningspligtige skal ydermere undlade at gennemføre en transaktion, hvor der er viden om, mistanke om eller rimelig grund til at formode, at en transaktion har tilknytning til hvidvask af større eller særlig mistænkelig karakter, indtil der er foretaget underretning til- og indhentet godkendelse fra Hvidvasksekretariatet. </w:t>
      </w:r>
    </w:p>
    <w:p w14:paraId="27B9CF45" w14:textId="77777777" w:rsidR="008E1905" w:rsidRPr="008E1905" w:rsidRDefault="008E1905" w:rsidP="008E1905">
      <w:pPr>
        <w:spacing w:line="360" w:lineRule="auto"/>
        <w:rPr>
          <w:rFonts w:ascii="Times New Roman" w:hAnsi="Times New Roman" w:cs="Times New Roman"/>
          <w:sz w:val="24"/>
          <w:szCs w:val="24"/>
        </w:rPr>
      </w:pPr>
    </w:p>
    <w:p w14:paraId="1E515752" w14:textId="77777777" w:rsidR="008E1905" w:rsidRPr="008E1905" w:rsidRDefault="008E1905" w:rsidP="008E1905">
      <w:pPr>
        <w:spacing w:line="360" w:lineRule="auto"/>
        <w:rPr>
          <w:rFonts w:ascii="Times New Roman" w:hAnsi="Times New Roman" w:cs="Times New Roman"/>
          <w:sz w:val="24"/>
          <w:szCs w:val="24"/>
        </w:rPr>
      </w:pPr>
      <w:r w:rsidRPr="008E1905">
        <w:rPr>
          <w:rFonts w:ascii="Times New Roman" w:hAnsi="Times New Roman" w:cs="Times New Roman"/>
          <w:sz w:val="24"/>
          <w:szCs w:val="24"/>
        </w:rPr>
        <w:t xml:space="preserve">For transaktioner, hvor der er viden om, mistanke om eller rimelig grund til at formode, at en transaktion har tilknytning til finansiering af terrorisme, skal den underretningspligtige undlade at gennemføre transaktionen indtil der er foretaget underretning og indhentet godkendelse fra Hvidvasksekretariatet. </w:t>
      </w:r>
    </w:p>
    <w:p w14:paraId="318FA2AE" w14:textId="77777777" w:rsidR="008E1905" w:rsidRPr="008E1905" w:rsidRDefault="008E1905" w:rsidP="008E1905">
      <w:pPr>
        <w:spacing w:line="360" w:lineRule="auto"/>
        <w:rPr>
          <w:rFonts w:ascii="Times New Roman" w:hAnsi="Times New Roman" w:cs="Times New Roman"/>
          <w:sz w:val="24"/>
          <w:szCs w:val="24"/>
        </w:rPr>
      </w:pPr>
    </w:p>
    <w:p w14:paraId="6E60C865" w14:textId="77777777" w:rsidR="008E1905" w:rsidRPr="008E1905" w:rsidRDefault="008E1905" w:rsidP="008E1905">
      <w:pPr>
        <w:spacing w:line="360" w:lineRule="auto"/>
        <w:rPr>
          <w:rFonts w:ascii="Times New Roman" w:hAnsi="Times New Roman" w:cs="Times New Roman"/>
          <w:sz w:val="24"/>
          <w:szCs w:val="24"/>
        </w:rPr>
      </w:pPr>
      <w:r w:rsidRPr="008E1905">
        <w:rPr>
          <w:rFonts w:ascii="Times New Roman" w:hAnsi="Times New Roman" w:cs="Times New Roman"/>
          <w:sz w:val="24"/>
          <w:szCs w:val="24"/>
        </w:rPr>
        <w:t xml:space="preserve">Det fremgår af hvidvasklovens § 26, stk. 8, at Finanstilsynet kan fastsætte nærmere regler om den tekniske opfyldelse af underretningspligten til Hvidvasksekretariatet efter stk. 1. </w:t>
      </w:r>
    </w:p>
    <w:p w14:paraId="11F4CD12" w14:textId="77777777" w:rsidR="008E1905" w:rsidRPr="008E1905" w:rsidRDefault="008E1905" w:rsidP="008E1905">
      <w:pPr>
        <w:spacing w:line="360" w:lineRule="auto"/>
        <w:rPr>
          <w:rFonts w:ascii="Times New Roman" w:hAnsi="Times New Roman" w:cs="Times New Roman"/>
          <w:sz w:val="24"/>
          <w:szCs w:val="24"/>
        </w:rPr>
      </w:pPr>
    </w:p>
    <w:p w14:paraId="776BE11C" w14:textId="77777777" w:rsidR="008E1905" w:rsidRPr="008E1905" w:rsidRDefault="008E1905" w:rsidP="008E1905">
      <w:pPr>
        <w:spacing w:line="360" w:lineRule="auto"/>
        <w:rPr>
          <w:rFonts w:ascii="Times New Roman" w:hAnsi="Times New Roman" w:cs="Times New Roman"/>
          <w:sz w:val="24"/>
          <w:szCs w:val="24"/>
        </w:rPr>
      </w:pPr>
      <w:r w:rsidRPr="008E1905">
        <w:rPr>
          <w:rFonts w:ascii="Times New Roman" w:hAnsi="Times New Roman" w:cs="Times New Roman"/>
          <w:sz w:val="24"/>
          <w:szCs w:val="24"/>
        </w:rPr>
        <w:t xml:space="preserve">De nærmere regler om den tekniske opfyldelse af underretningspligten er fastsat i bekendtgørelse nr. 657 af 26. maj 2023 om indsendelse af underretninger m.v. til Hvidvasksekretariatet. Det følger af bekendtgørelsens § 2, at underretning m.v. skal indsendes digitalt til Hvidvasksekretariatet via www.hvidvask.dk, medmindre andet er aftalt med Hvidvasksekretariatet. Det betyder, at det som udgangspunkt ikke er muligt at indsende hvidvaskunderretninger via f.eks. e-mail eller andre kommunikationsformer, da det er vigtigt, at underretningerne som data indsendes ensartet. </w:t>
      </w:r>
    </w:p>
    <w:p w14:paraId="00A7EA82" w14:textId="77777777" w:rsidR="008E1905" w:rsidRPr="008E1905" w:rsidRDefault="008E1905" w:rsidP="008E1905">
      <w:pPr>
        <w:spacing w:line="360" w:lineRule="auto"/>
        <w:rPr>
          <w:rFonts w:ascii="Times New Roman" w:hAnsi="Times New Roman" w:cs="Times New Roman"/>
          <w:sz w:val="24"/>
          <w:szCs w:val="24"/>
        </w:rPr>
      </w:pPr>
    </w:p>
    <w:p w14:paraId="44DC301A" w14:textId="77777777" w:rsidR="008E1905" w:rsidRPr="008E1905" w:rsidRDefault="008E1905" w:rsidP="008E1905">
      <w:pPr>
        <w:spacing w:line="360" w:lineRule="auto"/>
        <w:rPr>
          <w:rFonts w:ascii="Times New Roman" w:hAnsi="Times New Roman" w:cs="Times New Roman"/>
          <w:sz w:val="24"/>
          <w:szCs w:val="24"/>
        </w:rPr>
      </w:pPr>
      <w:r w:rsidRPr="008E1905">
        <w:rPr>
          <w:rFonts w:ascii="Times New Roman" w:hAnsi="Times New Roman" w:cs="Times New Roman"/>
          <w:sz w:val="24"/>
          <w:szCs w:val="24"/>
        </w:rPr>
        <w:t>Når en virksomhed underretter via www.hvidvask.dk, føres virksomheden videre til www.hvidvask.politi.dk, som er webbrugerplatformen for GoAML. GoAML er det system, hvorigennem de underretningspligtige i dag kan sende deres underretninger til Hvidvasksekretariatet, og hvorfra Hvidvasksekretariatet sender orienteringsskrivelser, kvartalsrapporter, feedbackrapporter mv. Alle underretninger, der indsendes digitalt til Hvidvasksekretariatet, sendes via GoAML. Det bemærkes, at erfaringen viser, at der ikke kommer et væsentligt antal underretninger til Hvidvasksekretariatet via andre kanaler end GoAML.</w:t>
      </w:r>
    </w:p>
    <w:p w14:paraId="25A881DF" w14:textId="77777777" w:rsidR="00966C02" w:rsidRPr="00796736" w:rsidRDefault="00966C02" w:rsidP="00A802A5">
      <w:pPr>
        <w:spacing w:after="240" w:line="360" w:lineRule="auto"/>
        <w:rPr>
          <w:rFonts w:ascii="Times New Roman" w:hAnsi="Times New Roman" w:cs="Times New Roman"/>
          <w:sz w:val="24"/>
          <w:szCs w:val="24"/>
        </w:rPr>
      </w:pPr>
    </w:p>
    <w:p w14:paraId="11BD6B78" w14:textId="44202511" w:rsidR="00F35892" w:rsidRPr="00796736" w:rsidRDefault="001A5922" w:rsidP="00A802A5">
      <w:pPr>
        <w:pStyle w:val="Overskrift4"/>
        <w:rPr>
          <w:rFonts w:ascii="Times New Roman" w:hAnsi="Times New Roman" w:cs="Times New Roman"/>
          <w:sz w:val="24"/>
          <w:szCs w:val="24"/>
        </w:rPr>
      </w:pPr>
      <w:bookmarkStart w:id="922" w:name="_Toc232109045"/>
      <w:bookmarkStart w:id="923" w:name="_Ref232790872"/>
      <w:bookmarkStart w:id="924" w:name="_Ref232791072"/>
      <w:bookmarkStart w:id="925" w:name="_Ref232791216"/>
      <w:bookmarkStart w:id="926" w:name="_Ref237001629"/>
      <w:r w:rsidRPr="00796736">
        <w:rPr>
          <w:rFonts w:ascii="Times New Roman" w:hAnsi="Times New Roman" w:cs="Times New Roman"/>
          <w:sz w:val="24"/>
          <w:szCs w:val="24"/>
        </w:rPr>
        <w:t>6. hvidvaskdirektiv</w:t>
      </w:r>
      <w:bookmarkEnd w:id="920"/>
      <w:bookmarkEnd w:id="922"/>
      <w:bookmarkEnd w:id="923"/>
      <w:bookmarkEnd w:id="924"/>
      <w:bookmarkEnd w:id="925"/>
      <w:bookmarkEnd w:id="926"/>
    </w:p>
    <w:p w14:paraId="51C6663F"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 indeholder i artikel 19 en bestemmelse, der regulerer oprettelsen af FIU’en. Bestemmelsen erstatter 4. hvidvaskdirektivs artikel 32, stk. 1, 3 og 8. </w:t>
      </w:r>
    </w:p>
    <w:p w14:paraId="434D6923"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artikel 19, stk. 1, opretter hver medlemsstat en FIU for at forebygge, opdage og effektivt bekæmpe hvidvask af penge og finansiering af terrorisme. Bestemmelsen svarer til 4. hvidvaskdirektivs artikel 32, stk. 1.</w:t>
      </w:r>
    </w:p>
    <w:p w14:paraId="0EF3F76C" w14:textId="3771E311" w:rsidR="0042556A" w:rsidRPr="00796736" w:rsidRDefault="0042556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direktivets præambelbetragtning nr. 64, at medlemsstaterne har oprettet eller bør oprette operationelt uafhængige og selvstændige FIU’er, der skal indsamle og analysere oplysninger, med henblik på at påvise forbindelser mellem mistænkelige transaktioner og aktiviteter og underliggende kriminelle handlinger for at forebygge og bekæmpe hvidvask af penge og finansiering af terrorisme. FIU’en bør være den fælles centrale nationale enhed, der er ansvarlig for modtagelse og analyse af rapporter om mistænkelige transaktioner og rapporter om grænseoverskridende fysiske bevægelser af kontanter via toldinformationssystemet, af transaktioner, der indberettes, når visse tærskler overskrides (tærskelbaserede oplysninger) samt af andre oplysninger, der er relevante for hvidvask af penge, de underliggende lovovertrædelser eller finansiering af terrorisme, indgivet af forpligtede enheder.</w:t>
      </w:r>
    </w:p>
    <w:p w14:paraId="0BC72CEC"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19, stk. 2, at FIU’en er den fælles centrale nationale enhed, der er ansvarlig for at modtage og analysere indberetninger i overensstemmelse med artikel 69 i hvidvaskforordningen, indberetninger, der indgives af forpligtede enheder i overensstemmelse med nævnte forordnings artikel 74 og artikel 80, stk. 4, litra b, og alle andre oplysninger, der er relevante for hvidvask af penge, de underliggende lovovertrædelser eller finansiering af terrorisme, herunder oplysninger, der fremsendes af toldmyndighederne i henhold til artikel 9 i forordning (EU) nr. 2018/1672 om kontrol med likvide midler, der føres ind i eller ud af Unionen, samt oplysninger indgivet af tilsynsmyndigheder eller andre myndigheder. Af hvidvaskforordningens præambelbetragtning nr. 162 fremgår det i forbindelse med tærskelbaserede oplysninger reguleret i hvidvaskforordningens artikel 80, at det bør være muligt for FIU’er at kræve, at indberetningerne foretages inden for en bestemt frist, som kan omfatte periodisk indgivelse på aggregeret grundlag. </w:t>
      </w:r>
    </w:p>
    <w:p w14:paraId="3F97E3A4"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19, stk. 2, viderefører med en række tilføjelser 4. hvidvaskdirektivs artikel 32, stk. 3, 2. pkt. Det er således tilføjet i stk. 2, hvilke indberetninger og oplysninger, FIU’en er ansvarlig for at modtage og analysere.</w:t>
      </w:r>
    </w:p>
    <w:p w14:paraId="4104D26F"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19, stk. 3, er FIU’en ansvarlig for at formidle resultaterne af sine analyser og alle yderligere oplysninger til relevante kompetente myndigheder, når der er begrundet mistanke om hvidvask af penge, de underliggende lovovertrædelser eller finansiering af terrorisme. Det fremgår endvidere af bestemmelsen, at FIU’en skal kunne indhente yderligere oplysninger hos forpligtede enheder. Det fremgår endelig, at FIU’ens finansielle analysefunktion består af følgende: </w:t>
      </w:r>
    </w:p>
    <w:p w14:paraId="7109CD94" w14:textId="77777777" w:rsidR="009F6ECD" w:rsidRPr="00796736" w:rsidRDefault="009F6ECD">
      <w:pPr>
        <w:pStyle w:val="Listeafsnit"/>
        <w:numPr>
          <w:ilvl w:val="0"/>
          <w:numId w:val="4"/>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operationel analyse, som fokuserer på individuelle tilfælde og bestemte mål eller på relevante udvalgte oplysninger, der er prioriteret på grundlag af risiko, typen og mængden af de modtagne oplysninger og den forventede anvendelse af oplysningerne efter formidling</w:t>
      </w:r>
    </w:p>
    <w:p w14:paraId="20209E21" w14:textId="77777777" w:rsidR="009F6ECD" w:rsidRPr="00796736" w:rsidRDefault="009F6ECD">
      <w:pPr>
        <w:pStyle w:val="Listeafsnit"/>
        <w:numPr>
          <w:ilvl w:val="0"/>
          <w:numId w:val="4"/>
        </w:numPr>
        <w:spacing w:after="240" w:line="360" w:lineRule="auto"/>
        <w:rPr>
          <w:rFonts w:ascii="Times New Roman" w:hAnsi="Times New Roman" w:cs="Times New Roman"/>
          <w:sz w:val="24"/>
          <w:szCs w:val="24"/>
          <w:shd w:val="clear" w:color="auto" w:fill="FFFFFF"/>
        </w:rPr>
      </w:pPr>
      <w:r w:rsidRPr="00796736">
        <w:rPr>
          <w:rFonts w:ascii="Times New Roman" w:hAnsi="Times New Roman" w:cs="Times New Roman"/>
          <w:sz w:val="24"/>
          <w:szCs w:val="24"/>
        </w:rPr>
        <w:t xml:space="preserve">en strategisk analyse, som vedrører tendenser og mønstre for hvidvask af penge og finansiering af terrorisme og udviklingen heraf. </w:t>
      </w:r>
    </w:p>
    <w:p w14:paraId="1E5F191A"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19, stk. 3, viderefører 4. hvidvaskdirektivs artikel 32, stk. 3, 3. pkt., samt artikel 32, stk. 8, dog således, at det er tilføjet i artikel 19, stk. 3, litra, at den operationelle analyse skal prioriteres på grundlag af risiko, typen og mængden af de modtagne oplysninger og den forventede anvendelse af oplysningerne efter formidling samt tilføjet til litra b, at den strategiske analyse også skal vedrøre udviklingen af tendenser og mønstre for hvidvask af penge og finansiering af terrorisme. </w:t>
      </w:r>
    </w:p>
    <w:p w14:paraId="5969D341" w14:textId="7A2AF9AD" w:rsidR="008D4A8C" w:rsidRPr="00796736" w:rsidRDefault="008D4A8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direktivets præambelbetragtning nr. 66, at FIU'er bør kunne formidle oplysninger til kompetente myndigheder, der har til opgave at bekæmpe hvidvask af penge, de underliggende lovovertrædelser og finansiering af terrorisme. Sådanne myndigheder bør forstås således, at det omfatter myndigheder med en efterforsknings-, retsforfølgnings- eller domstolsfunktion. I de forskellige medlemsstater har andre myndigheder særlige roller i forbindelse med bekæmpelsen af hvidvask af penge, de underliggende lovovertrædelser og finansiering af terrorisme, og FIU'er bør også kunne give dem resultaterne af deres operationelle eller strategiske analyser, hvis de mener, at disse resultater er relevant for deres funktioner. Resultaterne af disse analyser giver meningsfulde efterretninger, der skal anvendes til udvikling af spor i forbindelse med efterforsknings- og retsforfølgningsarbejde. Kilden til rapporten om mistænkelige transaktioner eller aktiviteter bør ikke oplyses i formidlingen. Dette bør dog ikke være til hinder for, at FIU'er formidler relevante oplysninger, herunder f.eks. oplysninger om IBAN-numre, BIC- eller SWIFT-koder. Desuden bør FIU'er kunne dele andre oplysninger, som de er i besiddelse af, herunder efter anmodning fra andre kompetente myndigheder. Når FIU'erne udøver deres selvstændighed og uafhængighed, bør de tage hensyn til, hvordan en afvisning af at give oplysninger kunne påvirke samarbejdet og det bredere mål om at bekæmpe hvidvask af penge, de underliggende lovovertrædelser og finansiering af terrorisme. Afslag bør begrænses til ekstraordinære omstændigheder, f.eks. når oplysningerne stammer fra en anden FIU, der ikke har givet samtykke til videreformidling heraf, eller hvis FIU'en har grund til at tro, at oplysningerne ikke vil blive anvendt til formålene med anmodningen. I sådanne tilfælde bør FIU'en begrunde afslaget. En sådan begrundelse kunne omfatte den præcisering at oplysningerne ikke er i FIU'ens besiddelse, eller at der ikke er givet samtykke til videreformidling.</w:t>
      </w:r>
    </w:p>
    <w:p w14:paraId="4152CE5E"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4, at hver FIU er operationelt uafhængig og selvstændig, hvorved forstås, at den har kompetence og kapacitet til at udføre sine opgaver frit og kan træffe selvstændige beslutninger om at analysere, anmode om og, i overensstemmelse med artikel 19, stk. 3, formidle specifikke oplysninger. Den skal være fri for utilbørlig politisk eller statslig påvirkning eller indblanding eller påvirkning eller indblanding fra erhvervslivet. Når en FIU befinder sig inden for en anden myndigheds eksisterende struktur, skal FIU’ens centrale funktioner være uafhængige og operationelt adskilt fra værtsmyndighedens øvrige funktioner.</w:t>
      </w:r>
    </w:p>
    <w:p w14:paraId="20C3B069"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19, stk. 4, viderefører 4. hvidvaskdirektivs artikel 32, stk. 3, 1. pkt., dog således, at det er tilføjet i artikel 19, stk. 4, at FIU’en skal være fri for utilbørlig politisk påvirkning eller indblanding og at FIU’en skal være adskilt fra værtsmyndighedens øvrige funktioner. </w:t>
      </w:r>
    </w:p>
    <w:p w14:paraId="0E5371D5"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direktivets artikel 19, stk. 5, tildeler medlemsstaterne deres FIU’er tilstrækkelige finansielle, menneskelige og tekniske ressourcer til, at de kan udføre deres opgaver. FIU’erne skal være i stand til at tilvejebringe og anvende de ressourcer, der er nødvendige for, at de kan udføre deres opgaver. </w:t>
      </w:r>
    </w:p>
    <w:p w14:paraId="3242A902"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19, stk. 5, viderefører 4. hvidvaskdirektivs artikel 32, stk. 3, 2. afsnit, dog således, at det er tilføjet i artikel 19, stk. 5, at FIU'erne skal være i stand til at tilvejebringe og anvende de ressourcer, der er nødvendige for, at de kan udføre deres opgaver.</w:t>
      </w:r>
    </w:p>
    <w:p w14:paraId="425A8725"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præambelbetragtning nr. 64, at FIU'ens operationelle uafhængighed og selvstændighed bør sikres ved at give FIU'en kompetence og kapacitet til at udføre sine opgaver frit, herunder evnen til at træffe selvstændige beslutninger med hensyn til analyse, anmodninger og formidling af specifikke oplysninger. FIU'en bør under alle omstændigheder have selvstændig ret til at fremsende eller formidle oplysninger til de relevante kompetente myndigheder. FIU'en bør gives tilstrækkelige finansielle, menneskelige og tekniske ressourcer på en måde, der sikrer dens selvstændighed og uafhængighed og sætter den i stand til at udøve sit mandat effektivt. FIU'en bør være i stand til at tilvejebringe og anvende de ressourcer, der er nødvendige for, at den kan udføre sine opgaver, på individuelt eller rutinemæssigt grundlag, fri for utilbørlig politisk eller statslig påvirkning eller indblanding eller påvirkning eller indblanding fra erhvervslivet, som kan bringe dens operationelle uafhængighed i fare. For at vurdere opfyldelsen af disse krav og identificere svagheder og bedste praksis bør AMLA have beføjelse til at koordinere tilrettelæggelsen af peerevalueringer af FIU’er. </w:t>
      </w:r>
    </w:p>
    <w:p w14:paraId="25FF72FB"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hvidvaskdirektivets artikel 19, stk. 6, sikrer medlemsstaterne, at deres FIU’ers personale er underlagt krav om tavshedspligt svarende til dem, der er fastsat i artikel 67, og at de fastholder høje faglige standarder, herunder høje standarder for databeskyttelse, udviser en høj grad af integritet og er tilstrækkeligt kvalificeret for så vidt angår den etiske behandling af store datasæt. Det fremgår endvidere af bestemmelsen, at medlemsstaterne sikrer, at FIU’erne har indført procedurer til forebyggelse og håndtering af interessekonflikter. </w:t>
      </w:r>
    </w:p>
    <w:p w14:paraId="53EAC72C"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7, at medlemsstaterne sikrer, at FIU’erne har indført regler for oplysningernes sikkerhed og fortrolighed.</w:t>
      </w:r>
    </w:p>
    <w:p w14:paraId="70E7C177"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præambelbetragtning nr. 65, at FIU’ers personale bør udvise en høj grad af integritet, have passende kvalifikationer og fastholde en høj professionel standard. FIU’erne bør have indført procedurer til effektiv forebyggelse og håndtering af interessekonflikter. I betragtning af karakteren af deres arbejde er FIU’er modtagere af og har adgang til store mængder følsomme personlige og finansielle oplysninger. Derfor bør FIU’ers personale have de nødvendige færdigheder med hensyn til etisk anvendelse af big data-analyseværktøjer. </w:t>
      </w:r>
    </w:p>
    <w:p w14:paraId="05F5F44F"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8, at medlemsstaterne sikrer, at FIU’erne har indført sikre og beskyttede kanaler til kommunikation og udveksling af oplysninger ved hjælp af elektroniske midler med kompetente myndigheder og forpligtede enheder.</w:t>
      </w:r>
    </w:p>
    <w:p w14:paraId="3C2EAA40" w14:textId="02CC749B" w:rsidR="0042556A" w:rsidRPr="00796736" w:rsidRDefault="0042556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stk. 9, at medlemsstaterne sikrer, at FIU’erne er i stand til at indgå ordninger med andre nationale kompetente myndigheder i henhold til artikel 46, der vedrører bestemmelser vedrørende samarbejde i forbindelse med koncerntilsyn.</w:t>
      </w:r>
    </w:p>
    <w:p w14:paraId="689D304A" w14:textId="7777777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hvidvaskdirektivets artikel 19, stk. 10, at AMLA senest den 10. juli 2028 udsteder retningslinjer til FIU’erne om</w:t>
      </w:r>
    </w:p>
    <w:p w14:paraId="715284D6" w14:textId="77777777" w:rsidR="009F6ECD" w:rsidRPr="00796736" w:rsidRDefault="009F6ECD">
      <w:pPr>
        <w:pStyle w:val="Listeafsnit"/>
        <w:numPr>
          <w:ilvl w:val="0"/>
          <w:numId w:val="5"/>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 foranstaltninger, der skal indføres for at bevare FIU'ens operationelle selvstændighed og uafhængighed, herunder foranstaltninger til at forhindre, at interessekonflikter påvirker dens operationelle selvstændighed og uafhængighed</w:t>
      </w:r>
    </w:p>
    <w:p w14:paraId="05BEEC8C" w14:textId="77777777" w:rsidR="009F6ECD" w:rsidRPr="00796736" w:rsidRDefault="009F6ECD">
      <w:pPr>
        <w:pStyle w:val="Listeafsnit"/>
        <w:numPr>
          <w:ilvl w:val="0"/>
          <w:numId w:val="5"/>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arten af, elementerne i og målene for den operationelle og strategiske analyse </w:t>
      </w:r>
    </w:p>
    <w:p w14:paraId="0885726E" w14:textId="77777777" w:rsidR="009F6ECD" w:rsidRPr="00796736" w:rsidRDefault="009F6ECD">
      <w:pPr>
        <w:pStyle w:val="Listeafsnit"/>
        <w:numPr>
          <w:ilvl w:val="0"/>
          <w:numId w:val="5"/>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værktøjer og metoder til brug og krydstjek af finansielle oplysninger, administrative oplysninger og oplysninger om retshåndhævelse, som FIU'erne har adgang til, og </w:t>
      </w:r>
    </w:p>
    <w:p w14:paraId="0283A8F3" w14:textId="77777777" w:rsidR="009F6ECD" w:rsidRPr="00796736" w:rsidRDefault="009F6ECD">
      <w:pPr>
        <w:pStyle w:val="Listeafsnit"/>
        <w:numPr>
          <w:ilvl w:val="0"/>
          <w:numId w:val="5"/>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praksis og procedurer for udøvelse af suspension eller tilbageholdelse af godkendelse af en transaktion og suspension eller overvågning af en konto eller forretningsforbindelse i henhold til artikel 24 og 25.</w:t>
      </w:r>
    </w:p>
    <w:p w14:paraId="0FF53498" w14:textId="77777777" w:rsidR="009F6ECD" w:rsidRPr="00796736" w:rsidRDefault="009F6ECD" w:rsidP="00A802A5">
      <w:pPr>
        <w:pStyle w:val="Listeafsnit"/>
        <w:spacing w:after="240" w:line="360" w:lineRule="auto"/>
        <w:ind w:left="0"/>
        <w:rPr>
          <w:rFonts w:ascii="Times New Roman" w:hAnsi="Times New Roman" w:cs="Times New Roman"/>
          <w:sz w:val="24"/>
          <w:szCs w:val="24"/>
        </w:rPr>
      </w:pPr>
    </w:p>
    <w:p w14:paraId="6C4A8BD5" w14:textId="212F256B" w:rsidR="001A5922" w:rsidRPr="00796736" w:rsidRDefault="009F6ECD" w:rsidP="00A802A5">
      <w:pPr>
        <w:pStyle w:val="Listeafsnit"/>
        <w:spacing w:after="240" w:line="360" w:lineRule="auto"/>
        <w:ind w:left="0"/>
        <w:rPr>
          <w:rFonts w:ascii="Times New Roman" w:hAnsi="Times New Roman" w:cs="Times New Roman"/>
          <w:sz w:val="24"/>
          <w:szCs w:val="24"/>
        </w:rPr>
      </w:pPr>
      <w:r w:rsidRPr="00796736">
        <w:rPr>
          <w:rFonts w:ascii="Times New Roman" w:hAnsi="Times New Roman" w:cs="Times New Roman"/>
          <w:sz w:val="24"/>
          <w:szCs w:val="24"/>
        </w:rPr>
        <w:t>Hvidvaskdirektivets artikel 19, stk. 6-10, er nye i forhold til 4. hvidvaskdirektiv.</w:t>
      </w:r>
    </w:p>
    <w:p w14:paraId="2AD08694" w14:textId="5B4C2471" w:rsidR="00F35892" w:rsidRPr="00796736" w:rsidRDefault="00543BFF" w:rsidP="00A802A5">
      <w:pPr>
        <w:pStyle w:val="Overskrift4"/>
        <w:rPr>
          <w:rFonts w:ascii="Times New Roman" w:hAnsi="Times New Roman" w:cs="Times New Roman"/>
          <w:sz w:val="24"/>
          <w:szCs w:val="24"/>
        </w:rPr>
      </w:pPr>
      <w:bookmarkStart w:id="927" w:name="_Toc229739647"/>
      <w:bookmarkStart w:id="928" w:name="_Toc232109046"/>
      <w:r w:rsidRPr="00796736">
        <w:rPr>
          <w:rFonts w:ascii="Times New Roman" w:hAnsi="Times New Roman" w:cs="Times New Roman"/>
          <w:sz w:val="24"/>
          <w:szCs w:val="24"/>
        </w:rPr>
        <w:t>J</w:t>
      </w:r>
      <w:r w:rsidR="001A5922" w:rsidRPr="00796736">
        <w:rPr>
          <w:rFonts w:ascii="Times New Roman" w:hAnsi="Times New Roman" w:cs="Times New Roman"/>
          <w:sz w:val="24"/>
          <w:szCs w:val="24"/>
        </w:rPr>
        <w:t>ustitsministeriets overvejelser og d</w:t>
      </w:r>
      <w:r w:rsidR="00F35892" w:rsidRPr="00796736">
        <w:rPr>
          <w:rFonts w:ascii="Times New Roman" w:hAnsi="Times New Roman" w:cs="Times New Roman"/>
          <w:sz w:val="24"/>
          <w:szCs w:val="24"/>
        </w:rPr>
        <w:t>en foreslåede ordning</w:t>
      </w:r>
      <w:bookmarkEnd w:id="927"/>
      <w:bookmarkEnd w:id="928"/>
      <w:r w:rsidR="00F35892" w:rsidRPr="00796736">
        <w:rPr>
          <w:rFonts w:ascii="Times New Roman" w:hAnsi="Times New Roman" w:cs="Times New Roman"/>
          <w:sz w:val="24"/>
          <w:szCs w:val="24"/>
        </w:rPr>
        <w:t xml:space="preserve"> </w:t>
      </w:r>
    </w:p>
    <w:p w14:paraId="2428C076" w14:textId="768F1760" w:rsidR="009F6ECD" w:rsidRPr="00796736" w:rsidRDefault="009F6ECD"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Som det fremgår af pkt. </w:t>
      </w:r>
      <w:r w:rsidR="00D82996" w:rsidRPr="00796736">
        <w:rPr>
          <w:rFonts w:ascii="Times New Roman" w:hAnsi="Times New Roman" w:cs="Times New Roman"/>
          <w:sz w:val="24"/>
          <w:szCs w:val="24"/>
          <w:bdr w:val="none" w:sz="0" w:space="0" w:color="auto" w:frame="1"/>
        </w:rPr>
        <w:fldChar w:fldCharType="begin"/>
      </w:r>
      <w:r w:rsidR="00D82996" w:rsidRPr="00796736">
        <w:rPr>
          <w:rFonts w:ascii="Times New Roman" w:hAnsi="Times New Roman" w:cs="Times New Roman"/>
          <w:sz w:val="24"/>
          <w:szCs w:val="24"/>
          <w:bdr w:val="none" w:sz="0" w:space="0" w:color="auto" w:frame="1"/>
        </w:rPr>
        <w:instrText xml:space="preserve"> REF _Ref232790872 \n \h </w:instrText>
      </w:r>
      <w:r w:rsidR="00967618" w:rsidRPr="00796736">
        <w:rPr>
          <w:rFonts w:ascii="Times New Roman" w:hAnsi="Times New Roman" w:cs="Times New Roman"/>
          <w:sz w:val="24"/>
          <w:szCs w:val="24"/>
          <w:bdr w:val="none" w:sz="0" w:space="0" w:color="auto" w:frame="1"/>
        </w:rPr>
        <w:instrText xml:space="preserve"> \* MERGEFORMAT </w:instrText>
      </w:r>
      <w:r w:rsidR="00D82996" w:rsidRPr="00796736">
        <w:rPr>
          <w:rFonts w:ascii="Times New Roman" w:hAnsi="Times New Roman" w:cs="Times New Roman"/>
          <w:sz w:val="24"/>
          <w:szCs w:val="24"/>
          <w:bdr w:val="none" w:sz="0" w:space="0" w:color="auto" w:frame="1"/>
        </w:rPr>
      </w:r>
      <w:r w:rsidR="00D8299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3.13.2</w:t>
      </w:r>
      <w:r w:rsidR="00D82996" w:rsidRPr="00796736">
        <w:rPr>
          <w:rFonts w:ascii="Times New Roman" w:hAnsi="Times New Roman" w:cs="Times New Roman"/>
          <w:sz w:val="24"/>
          <w:szCs w:val="24"/>
          <w:bdr w:val="none" w:sz="0" w:space="0" w:color="auto" w:frame="1"/>
        </w:rPr>
        <w:fldChar w:fldCharType="end"/>
      </w:r>
      <w:r w:rsidR="00E13B1B" w:rsidRPr="00796736">
        <w:rPr>
          <w:rFonts w:ascii="Times New Roman" w:hAnsi="Times New Roman" w:cs="Times New Roman"/>
          <w:sz w:val="24"/>
          <w:szCs w:val="24"/>
          <w:bdr w:val="none" w:sz="0" w:space="0" w:color="auto" w:frame="1"/>
        </w:rPr>
        <w:t>,</w:t>
      </w:r>
      <w:r w:rsidRPr="00796736">
        <w:rPr>
          <w:rFonts w:ascii="Times New Roman" w:hAnsi="Times New Roman" w:cs="Times New Roman"/>
          <w:sz w:val="24"/>
          <w:szCs w:val="24"/>
          <w:bdr w:val="none" w:sz="0" w:space="0" w:color="auto" w:frame="1"/>
        </w:rPr>
        <w:t xml:space="preserve"> indeholder hvidvaskdirektivets artikel 19 en bestemmelse om oprettelse af FIU’en, FIU’ens opgaver, uafhængighed, tavshedspligt og fortrolighed mv. Bestemmelsen erstatter 4. hvidvaskdirektivs artikel 32, stk. 1-3 og 8. 4. hvidvaskdirektivs artikel 32, stk. 3, er i dansk ret implementeret ved hvidvasklovens § 29, stk. 1 og 2, mens 4. hvidvaskdirektivs artikel 32, stk. 8, er implementeret ved FIU-cirkulærets § 2, jf. nærmere pkt. </w:t>
      </w:r>
      <w:r w:rsidR="00D82996" w:rsidRPr="00796736">
        <w:rPr>
          <w:rFonts w:ascii="Times New Roman" w:hAnsi="Times New Roman" w:cs="Times New Roman"/>
          <w:sz w:val="24"/>
          <w:szCs w:val="24"/>
          <w:bdr w:val="none" w:sz="0" w:space="0" w:color="auto" w:frame="1"/>
        </w:rPr>
        <w:fldChar w:fldCharType="begin"/>
      </w:r>
      <w:r w:rsidR="00D82996" w:rsidRPr="00796736">
        <w:rPr>
          <w:rFonts w:ascii="Times New Roman" w:hAnsi="Times New Roman" w:cs="Times New Roman"/>
          <w:sz w:val="24"/>
          <w:szCs w:val="24"/>
          <w:bdr w:val="none" w:sz="0" w:space="0" w:color="auto" w:frame="1"/>
        </w:rPr>
        <w:instrText xml:space="preserve"> REF _Ref232791072 \n \h </w:instrText>
      </w:r>
      <w:r w:rsidR="00967618" w:rsidRPr="00796736">
        <w:rPr>
          <w:rFonts w:ascii="Times New Roman" w:hAnsi="Times New Roman" w:cs="Times New Roman"/>
          <w:sz w:val="24"/>
          <w:szCs w:val="24"/>
          <w:bdr w:val="none" w:sz="0" w:space="0" w:color="auto" w:frame="1"/>
        </w:rPr>
        <w:instrText xml:space="preserve"> \* MERGEFORMAT </w:instrText>
      </w:r>
      <w:r w:rsidR="00D82996" w:rsidRPr="00796736">
        <w:rPr>
          <w:rFonts w:ascii="Times New Roman" w:hAnsi="Times New Roman" w:cs="Times New Roman"/>
          <w:sz w:val="24"/>
          <w:szCs w:val="24"/>
          <w:bdr w:val="none" w:sz="0" w:space="0" w:color="auto" w:frame="1"/>
        </w:rPr>
      </w:r>
      <w:r w:rsidR="00D8299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3.13.2</w:t>
      </w:r>
      <w:r w:rsidR="00D82996"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w:t>
      </w:r>
    </w:p>
    <w:p w14:paraId="4A6C336E" w14:textId="6534779A" w:rsidR="009F6ECD" w:rsidRPr="00796736" w:rsidRDefault="009F6ECD"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Hvidvaskdirektivets artikel 19 og 4. hvidvaskdirektivs artikel 32, stk. 1-3, samt stk. 8, adskiller sig, som det fremgår af pkt. </w:t>
      </w:r>
      <w:r w:rsidR="00B517C4" w:rsidRPr="00796736">
        <w:rPr>
          <w:rFonts w:ascii="Times New Roman" w:hAnsi="Times New Roman" w:cs="Times New Roman"/>
          <w:sz w:val="24"/>
          <w:szCs w:val="24"/>
          <w:bdr w:val="none" w:sz="0" w:space="0" w:color="auto" w:frame="1"/>
        </w:rPr>
        <w:fldChar w:fldCharType="begin"/>
      </w:r>
      <w:r w:rsidR="00B517C4" w:rsidRPr="00796736">
        <w:rPr>
          <w:rFonts w:ascii="Times New Roman" w:hAnsi="Times New Roman" w:cs="Times New Roman"/>
          <w:sz w:val="24"/>
          <w:szCs w:val="24"/>
          <w:bdr w:val="none" w:sz="0" w:space="0" w:color="auto" w:frame="1"/>
        </w:rPr>
        <w:instrText xml:space="preserve"> REF _Ref237001629 \n \h </w:instrText>
      </w:r>
      <w:r w:rsidR="002C5834" w:rsidRPr="00796736">
        <w:rPr>
          <w:rFonts w:ascii="Times New Roman" w:hAnsi="Times New Roman" w:cs="Times New Roman"/>
          <w:sz w:val="24"/>
          <w:szCs w:val="24"/>
          <w:bdr w:val="none" w:sz="0" w:space="0" w:color="auto" w:frame="1"/>
        </w:rPr>
        <w:instrText xml:space="preserve"> \* MERGEFORMAT </w:instrText>
      </w:r>
      <w:r w:rsidR="00B517C4" w:rsidRPr="00796736">
        <w:rPr>
          <w:rFonts w:ascii="Times New Roman" w:hAnsi="Times New Roman" w:cs="Times New Roman"/>
          <w:sz w:val="24"/>
          <w:szCs w:val="24"/>
          <w:bdr w:val="none" w:sz="0" w:space="0" w:color="auto" w:frame="1"/>
        </w:rPr>
      </w:r>
      <w:r w:rsidR="00B517C4"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3.13.2</w:t>
      </w:r>
      <w:r w:rsidR="00B517C4"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bl.a. ved, at der er tilføjet nye bestemmelser, der uddyber FIU’ens uafhængighed samt regulerer FIU’ers personales tavshedspligt, regler om sikkerhed og fortrolighed, indførslen af sikre og beskyttede kommunikationskanaler og mulighed for at indgå ordninger med andre nationale kompetente myndigheder vedrørende samarbejde i forbindelse med koncerntilsyn. </w:t>
      </w:r>
    </w:p>
    <w:p w14:paraId="33FDD529" w14:textId="48D408C9" w:rsidR="009F6ECD" w:rsidRPr="00796736" w:rsidRDefault="009F6ECD" w:rsidP="00A802A5">
      <w:pPr>
        <w:spacing w:after="240" w:line="360" w:lineRule="auto"/>
        <w:rPr>
          <w:rFonts w:ascii="Times New Roman" w:hAnsi="Times New Roman" w:cs="Times New Roman"/>
          <w:sz w:val="24"/>
          <w:szCs w:val="24"/>
          <w:bdr w:val="none" w:sz="0" w:space="0" w:color="auto" w:frame="1"/>
        </w:rPr>
      </w:pPr>
      <w:bookmarkStart w:id="929" w:name="_Hlk227571140"/>
      <w:r w:rsidRPr="00796736">
        <w:rPr>
          <w:rFonts w:ascii="Times New Roman" w:hAnsi="Times New Roman" w:cs="Times New Roman"/>
          <w:sz w:val="24"/>
          <w:szCs w:val="24"/>
          <w:bdr w:val="none" w:sz="0" w:space="0" w:color="auto" w:frame="1"/>
        </w:rPr>
        <w:t xml:space="preserve">Det foreslås i </w:t>
      </w:r>
      <w:r w:rsidR="00D82996" w:rsidRPr="00796736">
        <w:rPr>
          <w:rFonts w:ascii="Times New Roman" w:hAnsi="Times New Roman" w:cs="Times New Roman"/>
          <w:sz w:val="24"/>
          <w:szCs w:val="24"/>
          <w:bdr w:val="none" w:sz="0" w:space="0" w:color="auto" w:frame="1"/>
        </w:rPr>
        <w:fldChar w:fldCharType="begin"/>
      </w:r>
      <w:r w:rsidR="00D82996" w:rsidRPr="00796736">
        <w:rPr>
          <w:rFonts w:ascii="Times New Roman" w:hAnsi="Times New Roman" w:cs="Times New Roman"/>
          <w:sz w:val="24"/>
          <w:szCs w:val="24"/>
          <w:bdr w:val="none" w:sz="0" w:space="0" w:color="auto" w:frame="1"/>
        </w:rPr>
        <w:instrText xml:space="preserve"> REF _Ref232595580 \r \h </w:instrText>
      </w:r>
      <w:r w:rsidR="00967618" w:rsidRPr="00796736">
        <w:rPr>
          <w:rFonts w:ascii="Times New Roman" w:hAnsi="Times New Roman" w:cs="Times New Roman"/>
          <w:sz w:val="24"/>
          <w:szCs w:val="24"/>
          <w:bdr w:val="none" w:sz="0" w:space="0" w:color="auto" w:frame="1"/>
        </w:rPr>
        <w:instrText xml:space="preserve"> \* MERGEFORMAT </w:instrText>
      </w:r>
      <w:r w:rsidR="00D82996" w:rsidRPr="00796736">
        <w:rPr>
          <w:rFonts w:ascii="Times New Roman" w:hAnsi="Times New Roman" w:cs="Times New Roman"/>
          <w:sz w:val="24"/>
          <w:szCs w:val="24"/>
          <w:bdr w:val="none" w:sz="0" w:space="0" w:color="auto" w:frame="1"/>
        </w:rPr>
      </w:r>
      <w:r w:rsidR="00D8299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14</w:t>
      </w:r>
      <w:r w:rsidR="00D82996"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w:t>
      </w:r>
      <w:r w:rsidR="002128F7" w:rsidRPr="00D253F0">
        <w:rPr>
          <w:rFonts w:ascii="Times New Roman" w:hAnsi="Times New Roman" w:cs="Times New Roman"/>
          <w:sz w:val="24"/>
          <w:szCs w:val="24"/>
          <w:bdr w:val="none" w:sz="0" w:space="0" w:color="auto" w:frame="1"/>
        </w:rPr>
        <w:t xml:space="preserve">at indsætte en bestemmelse, som – i overensstemmelse med hvidvaskdirektivets artikel 19 – </w:t>
      </w:r>
      <w:r w:rsidR="00970DB8" w:rsidRPr="00D253F0">
        <w:rPr>
          <w:rFonts w:ascii="Times New Roman" w:hAnsi="Times New Roman" w:cs="Times New Roman"/>
          <w:sz w:val="24"/>
          <w:szCs w:val="24"/>
          <w:bdr w:val="none" w:sz="0" w:space="0" w:color="auto" w:frame="1"/>
        </w:rPr>
        <w:t>regulerer, at den danske finansielle efterretningsenhed er Hvidvasksekretariatet hos National enhed for Særlig Kriminalitet</w:t>
      </w:r>
      <w:r w:rsidR="00970DB8">
        <w:rPr>
          <w:rFonts w:ascii="Times New Roman" w:hAnsi="Times New Roman" w:cs="Times New Roman"/>
          <w:sz w:val="24"/>
          <w:szCs w:val="24"/>
          <w:bdr w:val="none" w:sz="0" w:space="0" w:color="auto" w:frame="1"/>
        </w:rPr>
        <w:t xml:space="preserve"> (NSK)</w:t>
      </w:r>
      <w:r w:rsidR="00970DB8" w:rsidRPr="00D253F0">
        <w:rPr>
          <w:rFonts w:ascii="Times New Roman" w:hAnsi="Times New Roman" w:cs="Times New Roman"/>
          <w:sz w:val="24"/>
          <w:szCs w:val="24"/>
          <w:bdr w:val="none" w:sz="0" w:space="0" w:color="auto" w:frame="1"/>
        </w:rPr>
        <w:t>, og at Hvidvasksekretariatet er ansvarlig for at modtage og analysere indberetninger samt formidle resultaterne af sine analyser</w:t>
      </w:r>
      <w:r w:rsidR="00970DB8">
        <w:rPr>
          <w:rFonts w:ascii="Times New Roman" w:hAnsi="Times New Roman" w:cs="Times New Roman"/>
          <w:sz w:val="24"/>
          <w:szCs w:val="24"/>
          <w:bdr w:val="none" w:sz="0" w:space="0" w:color="auto" w:frame="1"/>
        </w:rPr>
        <w:t>. Hvidvasksekretariatet</w:t>
      </w:r>
      <w:r w:rsidR="00970DB8" w:rsidRPr="00D253F0">
        <w:rPr>
          <w:rFonts w:ascii="Times New Roman" w:hAnsi="Times New Roman" w:cs="Times New Roman"/>
          <w:sz w:val="24"/>
          <w:szCs w:val="24"/>
          <w:bdr w:val="none" w:sz="0" w:space="0" w:color="auto" w:frame="1"/>
        </w:rPr>
        <w:t xml:space="preserve"> kan indhente </w:t>
      </w:r>
      <w:r w:rsidR="00970DB8">
        <w:rPr>
          <w:rFonts w:ascii="Times New Roman" w:hAnsi="Times New Roman" w:cs="Times New Roman"/>
          <w:sz w:val="24"/>
          <w:szCs w:val="24"/>
          <w:bdr w:val="none" w:sz="0" w:space="0" w:color="auto" w:frame="1"/>
        </w:rPr>
        <w:t xml:space="preserve">desuden indhente </w:t>
      </w:r>
      <w:r w:rsidR="00970DB8" w:rsidRPr="00D253F0">
        <w:rPr>
          <w:rFonts w:ascii="Times New Roman" w:hAnsi="Times New Roman" w:cs="Times New Roman"/>
          <w:sz w:val="24"/>
          <w:szCs w:val="24"/>
          <w:bdr w:val="none" w:sz="0" w:space="0" w:color="auto" w:frame="1"/>
        </w:rPr>
        <w:t xml:space="preserve">yderligere oplysninger hos </w:t>
      </w:r>
      <w:r w:rsidR="00970DB8">
        <w:rPr>
          <w:rFonts w:ascii="Times New Roman" w:hAnsi="Times New Roman" w:cs="Times New Roman"/>
          <w:sz w:val="24"/>
          <w:szCs w:val="24"/>
          <w:bdr w:val="none" w:sz="0" w:space="0" w:color="auto" w:frame="1"/>
        </w:rPr>
        <w:t>virksomheder og personer omfattet af loven til brug for sit arbejde efter denne bestemmelse</w:t>
      </w:r>
      <w:r w:rsidR="00970DB8" w:rsidRPr="00796736">
        <w:rPr>
          <w:rFonts w:ascii="Times New Roman" w:hAnsi="Times New Roman" w:cs="Times New Roman"/>
          <w:sz w:val="24"/>
          <w:szCs w:val="24"/>
          <w:bdr w:val="none" w:sz="0" w:space="0" w:color="auto" w:frame="1"/>
        </w:rPr>
        <w:t>.</w:t>
      </w:r>
    </w:p>
    <w:p w14:paraId="2BE74356" w14:textId="2F5D45E7"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direktivets artikel 19, stk. 3, 2. afsnit, at FIU’ens finansielle analysefunktion består af en operativ analyse, som fokuserer på individuelle tilfælde og bestemte mål eller relevante udvalgte oplysninger, der er prioriteret på grundlag af risiko afhængig af typen og mængden af de modtagne oplysninger og den forventede anvendelse af oplysningerne efter formidling, og en strategisk analyse, som vedrører tendenser og mønstre for hvidvask af penge og finansiering af terrorisme og udviklingen heraf. Indholdet af Hvidvasksekretariatets finansielle analysefunktion forudsættes ligesom i dag fastsat</w:t>
      </w:r>
      <w:r w:rsidR="00EF28DE">
        <w:rPr>
          <w:rFonts w:ascii="Times New Roman" w:hAnsi="Times New Roman" w:cs="Times New Roman"/>
          <w:sz w:val="24"/>
          <w:szCs w:val="24"/>
        </w:rPr>
        <w:t xml:space="preserve"> nærmere</w:t>
      </w:r>
      <w:r w:rsidRPr="00796736">
        <w:rPr>
          <w:rFonts w:ascii="Times New Roman" w:hAnsi="Times New Roman" w:cs="Times New Roman"/>
          <w:sz w:val="24"/>
          <w:szCs w:val="24"/>
        </w:rPr>
        <w:t xml:space="preserve"> ved cirkulære.</w:t>
      </w:r>
    </w:p>
    <w:p w14:paraId="620F11FB" w14:textId="09B19878"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Hvidvasksekretariatets opgavevaretagelse indebærer, at sekretariatets virksomhed i et vist omfang sker inden for strafferetsplejen. Det bemærkes endvidere, at der ikke med lovforslagets </w:t>
      </w:r>
      <w:r w:rsidR="00D82996" w:rsidRPr="00796736">
        <w:rPr>
          <w:rFonts w:ascii="Times New Roman" w:hAnsi="Times New Roman" w:cs="Times New Roman"/>
          <w:sz w:val="24"/>
          <w:szCs w:val="24"/>
          <w:bdr w:val="none" w:sz="0" w:space="0" w:color="auto" w:frame="1"/>
        </w:rPr>
        <w:fldChar w:fldCharType="begin"/>
      </w:r>
      <w:r w:rsidR="00D82996" w:rsidRPr="00796736">
        <w:rPr>
          <w:rFonts w:ascii="Times New Roman" w:hAnsi="Times New Roman" w:cs="Times New Roman"/>
          <w:sz w:val="24"/>
          <w:szCs w:val="24"/>
          <w:bdr w:val="none" w:sz="0" w:space="0" w:color="auto" w:frame="1"/>
        </w:rPr>
        <w:instrText xml:space="preserve"> REF _Ref232595580 \r \h </w:instrText>
      </w:r>
      <w:r w:rsidR="00967618" w:rsidRPr="00796736">
        <w:rPr>
          <w:rFonts w:ascii="Times New Roman" w:hAnsi="Times New Roman" w:cs="Times New Roman"/>
          <w:sz w:val="24"/>
          <w:szCs w:val="24"/>
          <w:bdr w:val="none" w:sz="0" w:space="0" w:color="auto" w:frame="1"/>
        </w:rPr>
        <w:instrText xml:space="preserve"> \* MERGEFORMAT </w:instrText>
      </w:r>
      <w:r w:rsidR="00D82996" w:rsidRPr="00796736">
        <w:rPr>
          <w:rFonts w:ascii="Times New Roman" w:hAnsi="Times New Roman" w:cs="Times New Roman"/>
          <w:sz w:val="24"/>
          <w:szCs w:val="24"/>
          <w:bdr w:val="none" w:sz="0" w:space="0" w:color="auto" w:frame="1"/>
        </w:rPr>
      </w:r>
      <w:r w:rsidR="00D8299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14</w:t>
      </w:r>
      <w:r w:rsidR="00D82996" w:rsidRPr="00796736">
        <w:rPr>
          <w:rFonts w:ascii="Times New Roman" w:hAnsi="Times New Roman" w:cs="Times New Roman"/>
          <w:sz w:val="24"/>
          <w:szCs w:val="24"/>
          <w:bdr w:val="none" w:sz="0" w:space="0" w:color="auto" w:frame="1"/>
        </w:rPr>
        <w:fldChar w:fldCharType="end"/>
      </w:r>
      <w:r w:rsidR="00D82996" w:rsidRPr="00796736">
        <w:rPr>
          <w:rFonts w:ascii="Times New Roman" w:hAnsi="Times New Roman" w:cs="Times New Roman"/>
          <w:sz w:val="24"/>
          <w:szCs w:val="24"/>
          <w:bdr w:val="none" w:sz="0" w:space="0" w:color="auto" w:frame="1"/>
        </w:rPr>
        <w:t xml:space="preserve">, </w:t>
      </w:r>
      <w:r w:rsidRPr="00796736">
        <w:rPr>
          <w:rFonts w:ascii="Times New Roman" w:hAnsi="Times New Roman" w:cs="Times New Roman"/>
          <w:sz w:val="24"/>
          <w:szCs w:val="24"/>
        </w:rPr>
        <w:t>stk. 2</w:t>
      </w:r>
      <w:r w:rsidR="0042556A" w:rsidRPr="00796736">
        <w:rPr>
          <w:rFonts w:ascii="Times New Roman" w:hAnsi="Times New Roman" w:cs="Times New Roman"/>
          <w:sz w:val="24"/>
          <w:szCs w:val="24"/>
        </w:rPr>
        <w:t>,</w:t>
      </w:r>
      <w:r w:rsidRPr="00796736">
        <w:rPr>
          <w:rFonts w:ascii="Times New Roman" w:hAnsi="Times New Roman" w:cs="Times New Roman"/>
          <w:sz w:val="24"/>
          <w:szCs w:val="24"/>
        </w:rPr>
        <w:t xml:space="preserve"> er tilsigtet en udtømmende opregning af Hvidvasksekretariatets opgaver.</w:t>
      </w:r>
    </w:p>
    <w:p w14:paraId="7731BEEB" w14:textId="26CE7895"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endvidere i </w:t>
      </w:r>
      <w:r w:rsidR="00D82996" w:rsidRPr="00796736">
        <w:rPr>
          <w:rFonts w:ascii="Times New Roman" w:hAnsi="Times New Roman" w:cs="Times New Roman"/>
          <w:sz w:val="24"/>
          <w:szCs w:val="24"/>
          <w:bdr w:val="none" w:sz="0" w:space="0" w:color="auto" w:frame="1"/>
        </w:rPr>
        <w:fldChar w:fldCharType="begin"/>
      </w:r>
      <w:r w:rsidR="00D82996" w:rsidRPr="00796736">
        <w:rPr>
          <w:rFonts w:ascii="Times New Roman" w:hAnsi="Times New Roman" w:cs="Times New Roman"/>
          <w:sz w:val="24"/>
          <w:szCs w:val="24"/>
          <w:bdr w:val="none" w:sz="0" w:space="0" w:color="auto" w:frame="1"/>
        </w:rPr>
        <w:instrText xml:space="preserve"> REF _Ref232595580 \r \h </w:instrText>
      </w:r>
      <w:r w:rsidR="00967618" w:rsidRPr="00796736">
        <w:rPr>
          <w:rFonts w:ascii="Times New Roman" w:hAnsi="Times New Roman" w:cs="Times New Roman"/>
          <w:sz w:val="24"/>
          <w:szCs w:val="24"/>
          <w:bdr w:val="none" w:sz="0" w:space="0" w:color="auto" w:frame="1"/>
        </w:rPr>
        <w:instrText xml:space="preserve"> \* MERGEFORMAT </w:instrText>
      </w:r>
      <w:r w:rsidR="00D82996" w:rsidRPr="00796736">
        <w:rPr>
          <w:rFonts w:ascii="Times New Roman" w:hAnsi="Times New Roman" w:cs="Times New Roman"/>
          <w:sz w:val="24"/>
          <w:szCs w:val="24"/>
          <w:bdr w:val="none" w:sz="0" w:space="0" w:color="auto" w:frame="1"/>
        </w:rPr>
      </w:r>
      <w:r w:rsidR="00D8299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14</w:t>
      </w:r>
      <w:r w:rsidR="00D82996" w:rsidRPr="00796736">
        <w:rPr>
          <w:rFonts w:ascii="Times New Roman" w:hAnsi="Times New Roman" w:cs="Times New Roman"/>
          <w:sz w:val="24"/>
          <w:szCs w:val="24"/>
          <w:bdr w:val="none" w:sz="0" w:space="0" w:color="auto" w:frame="1"/>
        </w:rPr>
        <w:fldChar w:fldCharType="end"/>
      </w:r>
      <w:r w:rsidR="00EF28DE">
        <w:rPr>
          <w:rFonts w:ascii="Times New Roman" w:hAnsi="Times New Roman" w:cs="Times New Roman"/>
          <w:sz w:val="24"/>
          <w:szCs w:val="24"/>
          <w:bdr w:val="none" w:sz="0" w:space="0" w:color="auto" w:frame="1"/>
        </w:rPr>
        <w:t>, stk. 3,</w:t>
      </w:r>
      <w:r w:rsidR="00D82996" w:rsidRPr="00796736">
        <w:rPr>
          <w:rFonts w:ascii="Times New Roman" w:hAnsi="Times New Roman" w:cs="Times New Roman"/>
          <w:sz w:val="24"/>
          <w:szCs w:val="24"/>
          <w:bdr w:val="none" w:sz="0" w:space="0" w:color="auto" w:frame="1"/>
        </w:rPr>
        <w:t xml:space="preserve"> </w:t>
      </w:r>
      <w:r w:rsidRPr="00796736">
        <w:rPr>
          <w:rFonts w:ascii="Times New Roman" w:hAnsi="Times New Roman" w:cs="Times New Roman"/>
          <w:sz w:val="24"/>
          <w:szCs w:val="24"/>
        </w:rPr>
        <w:t xml:space="preserve">bl.a. at fastsætte, at Hvidvasksekretariatet </w:t>
      </w:r>
      <w:r w:rsidR="00993509" w:rsidRPr="00796736">
        <w:rPr>
          <w:rFonts w:ascii="Times New Roman" w:hAnsi="Times New Roman" w:cs="Times New Roman"/>
          <w:sz w:val="24"/>
          <w:szCs w:val="24"/>
        </w:rPr>
        <w:t xml:space="preserve">er </w:t>
      </w:r>
      <w:r w:rsidR="00993509" w:rsidRPr="00796736">
        <w:rPr>
          <w:rFonts w:ascii="Times New Roman" w:hAnsi="Times New Roman" w:cs="Times New Roman"/>
          <w:sz w:val="24"/>
          <w:szCs w:val="24"/>
          <w:bdr w:val="none" w:sz="0" w:space="0" w:color="auto" w:frame="1"/>
        </w:rPr>
        <w:t xml:space="preserve">operationelt uafhængig og selvstændig og at sekretariatets centrale funktioner skal være uafhængige og operationelt adskilt fra </w:t>
      </w:r>
      <w:r w:rsidR="00993509">
        <w:rPr>
          <w:rFonts w:ascii="Times New Roman" w:hAnsi="Times New Roman" w:cs="Times New Roman"/>
          <w:sz w:val="24"/>
          <w:szCs w:val="24"/>
          <w:bdr w:val="none" w:sz="0" w:space="0" w:color="auto" w:frame="1"/>
        </w:rPr>
        <w:t>NSK’s</w:t>
      </w:r>
      <w:r w:rsidR="00993509" w:rsidRPr="00796736">
        <w:rPr>
          <w:rFonts w:ascii="Times New Roman" w:hAnsi="Times New Roman" w:cs="Times New Roman"/>
          <w:sz w:val="24"/>
          <w:szCs w:val="24"/>
          <w:bdr w:val="none" w:sz="0" w:space="0" w:color="auto" w:frame="1"/>
        </w:rPr>
        <w:t xml:space="preserve"> øvrige funktioner. Organisatorisk hører Hvidvasksekretariatet under NSK, men sekretariatet er selvstændigt virkende. </w:t>
      </w:r>
      <w:r w:rsidR="00993509" w:rsidRPr="00796736">
        <w:rPr>
          <w:rFonts w:ascii="Times New Roman" w:hAnsi="Times New Roman" w:cs="Times New Roman"/>
          <w:sz w:val="24"/>
          <w:szCs w:val="24"/>
        </w:rPr>
        <w:t xml:space="preserve">Det er Justitsministeriets vurdering, at Hvidvasksekretariatet allerede er organiseret således, og arbejdet i sekretariatet tilrettelagt på en måde, som i praksis efterlever bestemmelserne i hvidvaskdirektivet. Det er tilsvarende vurderingen, at kravet om, at FIU’en er operationelt uafhængig og autonom ikke er til hinder for, at </w:t>
      </w:r>
      <w:r w:rsidR="00993509">
        <w:rPr>
          <w:rFonts w:ascii="Times New Roman" w:hAnsi="Times New Roman" w:cs="Times New Roman"/>
          <w:sz w:val="24"/>
          <w:szCs w:val="24"/>
        </w:rPr>
        <w:t>Hvidvasksekretariatet</w:t>
      </w:r>
      <w:r w:rsidR="00993509" w:rsidRPr="00796736">
        <w:rPr>
          <w:rFonts w:ascii="Times New Roman" w:hAnsi="Times New Roman" w:cs="Times New Roman"/>
          <w:sz w:val="24"/>
          <w:szCs w:val="24"/>
        </w:rPr>
        <w:t xml:space="preserve"> er etableret som en del af NSK, forudsat at sekretariatets centrale funktioner forsat er uafhængige og operationelt adskilt fra NSK’s øvrige funktioner.  </w:t>
      </w:r>
    </w:p>
    <w:p w14:paraId="13F867F0" w14:textId="293496D0" w:rsidR="008D4A8C" w:rsidRPr="00796736" w:rsidRDefault="008D4A8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Hvidvasksekretariatets personale – </w:t>
      </w:r>
      <w:r w:rsidR="00EC1F72" w:rsidRPr="00796736">
        <w:rPr>
          <w:rFonts w:ascii="Times New Roman" w:hAnsi="Times New Roman" w:cs="Times New Roman"/>
          <w:sz w:val="24"/>
          <w:szCs w:val="24"/>
        </w:rPr>
        <w:t xml:space="preserve">ligesom </w:t>
      </w:r>
      <w:r w:rsidR="00EC1F72">
        <w:rPr>
          <w:rFonts w:ascii="Times New Roman" w:hAnsi="Times New Roman" w:cs="Times New Roman"/>
          <w:sz w:val="24"/>
          <w:szCs w:val="24"/>
        </w:rPr>
        <w:t xml:space="preserve">tilfældet er </w:t>
      </w:r>
      <w:r w:rsidR="00EC1F72" w:rsidRPr="00796736">
        <w:rPr>
          <w:rFonts w:ascii="Times New Roman" w:hAnsi="Times New Roman" w:cs="Times New Roman"/>
          <w:sz w:val="24"/>
          <w:szCs w:val="24"/>
        </w:rPr>
        <w:t>i dag – fastholder høje faglige standarder, herunder for databeskyttelse, udvise</w:t>
      </w:r>
      <w:r w:rsidR="00EC1F72">
        <w:rPr>
          <w:rFonts w:ascii="Times New Roman" w:hAnsi="Times New Roman" w:cs="Times New Roman"/>
          <w:sz w:val="24"/>
          <w:szCs w:val="24"/>
        </w:rPr>
        <w:t>r</w:t>
      </w:r>
      <w:r w:rsidR="00EC1F72" w:rsidRPr="00796736">
        <w:rPr>
          <w:rFonts w:ascii="Times New Roman" w:hAnsi="Times New Roman" w:cs="Times New Roman"/>
          <w:sz w:val="24"/>
          <w:szCs w:val="24"/>
        </w:rPr>
        <w:t xml:space="preserve"> høj grad af integritet</w:t>
      </w:r>
      <w:r w:rsidR="00EC1F72">
        <w:rPr>
          <w:rFonts w:ascii="Times New Roman" w:hAnsi="Times New Roman" w:cs="Times New Roman"/>
          <w:sz w:val="24"/>
          <w:szCs w:val="24"/>
        </w:rPr>
        <w:t xml:space="preserve"> og</w:t>
      </w:r>
      <w:r w:rsidR="00EC1F72" w:rsidRPr="00796736">
        <w:rPr>
          <w:rFonts w:ascii="Times New Roman" w:hAnsi="Times New Roman" w:cs="Times New Roman"/>
          <w:sz w:val="24"/>
          <w:szCs w:val="24"/>
        </w:rPr>
        <w:t xml:space="preserve"> at sekretariatet indfører regler for oplysningers sikkerhed og fortrolighed samt indfører beskyttede kommunikationskanaler</w:t>
      </w:r>
    </w:p>
    <w:p w14:paraId="0B437862" w14:textId="19B5824F" w:rsidR="009F6ECD" w:rsidRPr="00796736" w:rsidRDefault="009F6EC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foreslås det i </w:t>
      </w:r>
      <w:r w:rsidR="00D82996" w:rsidRPr="00796736">
        <w:rPr>
          <w:rFonts w:ascii="Times New Roman" w:hAnsi="Times New Roman" w:cs="Times New Roman"/>
          <w:sz w:val="24"/>
          <w:szCs w:val="24"/>
          <w:bdr w:val="none" w:sz="0" w:space="0" w:color="auto" w:frame="1"/>
        </w:rPr>
        <w:fldChar w:fldCharType="begin"/>
      </w:r>
      <w:r w:rsidR="00D82996" w:rsidRPr="00796736">
        <w:rPr>
          <w:rFonts w:ascii="Times New Roman" w:hAnsi="Times New Roman" w:cs="Times New Roman"/>
          <w:sz w:val="24"/>
          <w:szCs w:val="24"/>
          <w:bdr w:val="none" w:sz="0" w:space="0" w:color="auto" w:frame="1"/>
        </w:rPr>
        <w:instrText xml:space="preserve"> REF _Ref232595580 \r \h </w:instrText>
      </w:r>
      <w:r w:rsidR="00967618" w:rsidRPr="00796736">
        <w:rPr>
          <w:rFonts w:ascii="Times New Roman" w:hAnsi="Times New Roman" w:cs="Times New Roman"/>
          <w:sz w:val="24"/>
          <w:szCs w:val="24"/>
          <w:bdr w:val="none" w:sz="0" w:space="0" w:color="auto" w:frame="1"/>
        </w:rPr>
        <w:instrText xml:space="preserve"> \* MERGEFORMAT </w:instrText>
      </w:r>
      <w:r w:rsidR="00D82996" w:rsidRPr="00796736">
        <w:rPr>
          <w:rFonts w:ascii="Times New Roman" w:hAnsi="Times New Roman" w:cs="Times New Roman"/>
          <w:sz w:val="24"/>
          <w:szCs w:val="24"/>
          <w:bdr w:val="none" w:sz="0" w:space="0" w:color="auto" w:frame="1"/>
        </w:rPr>
      </w:r>
      <w:r w:rsidR="00D8299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14</w:t>
      </w:r>
      <w:r w:rsidR="00D82996" w:rsidRPr="00796736">
        <w:rPr>
          <w:rFonts w:ascii="Times New Roman" w:hAnsi="Times New Roman" w:cs="Times New Roman"/>
          <w:sz w:val="24"/>
          <w:szCs w:val="24"/>
          <w:bdr w:val="none" w:sz="0" w:space="0" w:color="auto" w:frame="1"/>
        </w:rPr>
        <w:fldChar w:fldCharType="end"/>
      </w:r>
      <w:r w:rsidR="005D0322">
        <w:rPr>
          <w:rFonts w:ascii="Times New Roman" w:hAnsi="Times New Roman" w:cs="Times New Roman"/>
          <w:sz w:val="24"/>
          <w:szCs w:val="24"/>
          <w:bdr w:val="none" w:sz="0" w:space="0" w:color="auto" w:frame="1"/>
        </w:rPr>
        <w:t>, stk. 4,</w:t>
      </w:r>
      <w:r w:rsidR="005D0322" w:rsidRPr="00796736">
        <w:rPr>
          <w:rFonts w:ascii="Times New Roman" w:hAnsi="Times New Roman" w:cs="Times New Roman"/>
          <w:sz w:val="24"/>
          <w:szCs w:val="24"/>
          <w:bdr w:val="none" w:sz="0" w:space="0" w:color="auto" w:frame="1"/>
        </w:rPr>
        <w:t xml:space="preserve"> </w:t>
      </w:r>
      <w:r w:rsidR="005D0322" w:rsidRPr="00796736">
        <w:rPr>
          <w:rFonts w:ascii="Times New Roman" w:hAnsi="Times New Roman" w:cs="Times New Roman"/>
          <w:sz w:val="24"/>
          <w:szCs w:val="24"/>
        </w:rPr>
        <w:t xml:space="preserve">at indsætte hjemmel til, at </w:t>
      </w:r>
      <w:r w:rsidR="005D0322">
        <w:rPr>
          <w:rFonts w:ascii="Times New Roman" w:hAnsi="Times New Roman" w:cs="Times New Roman"/>
          <w:sz w:val="24"/>
          <w:szCs w:val="24"/>
        </w:rPr>
        <w:t>justits</w:t>
      </w:r>
      <w:r w:rsidR="005D0322" w:rsidRPr="00796736">
        <w:rPr>
          <w:rFonts w:ascii="Times New Roman" w:hAnsi="Times New Roman" w:cs="Times New Roman"/>
          <w:sz w:val="24"/>
          <w:szCs w:val="24"/>
        </w:rPr>
        <w:t>ministeren fastsætter regler, som er nødvendige af hensyn til at gennemføre, anvende eller håndhæve retsakter vedtaget af EU’s institutioner om en række forhold</w:t>
      </w:r>
      <w:r w:rsidR="005D0322">
        <w:rPr>
          <w:rFonts w:ascii="Times New Roman" w:hAnsi="Times New Roman" w:cs="Times New Roman"/>
          <w:sz w:val="24"/>
          <w:szCs w:val="24"/>
        </w:rPr>
        <w:t>, jf. artikel 19, stk. 10</w:t>
      </w:r>
      <w:r w:rsidR="005D0322" w:rsidRPr="00796736">
        <w:rPr>
          <w:rFonts w:ascii="Times New Roman" w:hAnsi="Times New Roman" w:cs="Times New Roman"/>
          <w:sz w:val="24"/>
          <w:szCs w:val="24"/>
        </w:rPr>
        <w:t xml:space="preserve">. </w:t>
      </w:r>
    </w:p>
    <w:p w14:paraId="306F371C" w14:textId="489D2580" w:rsidR="00E2094F" w:rsidRPr="00796736" w:rsidRDefault="00E2094F" w:rsidP="00E2094F">
      <w:pPr>
        <w:spacing w:after="240" w:line="360" w:lineRule="auto"/>
        <w:rPr>
          <w:rFonts w:ascii="Times New Roman" w:hAnsi="Times New Roman" w:cs="Times New Roman"/>
          <w:sz w:val="24"/>
          <w:szCs w:val="24"/>
        </w:rPr>
      </w:pPr>
      <w:r>
        <w:rPr>
          <w:rFonts w:ascii="Times New Roman" w:hAnsi="Times New Roman" w:cs="Times New Roman"/>
          <w:sz w:val="24"/>
          <w:szCs w:val="24"/>
          <w:bdr w:val="none" w:sz="0" w:space="0" w:color="auto" w:frame="1"/>
        </w:rPr>
        <w:t>Det forudsættes endvidere i overensstemmelse med bl.a. artikel 19, stk. 6</w:t>
      </w:r>
      <w:r w:rsidRPr="00796736">
        <w:rPr>
          <w:rFonts w:ascii="Times New Roman" w:hAnsi="Times New Roman" w:cs="Times New Roman"/>
          <w:sz w:val="24"/>
          <w:szCs w:val="24"/>
          <w:bdr w:val="none" w:sz="0" w:space="0" w:color="auto" w:frame="1"/>
        </w:rPr>
        <w:t xml:space="preserve">, at der fastsættes interne procedurer og retningslinjer hos Hvidvasksekretariatet, som sikrer overholdelse af den foreslåede </w:t>
      </w:r>
      <w:r w:rsidRPr="00796736">
        <w:rPr>
          <w:rFonts w:ascii="Times New Roman" w:hAnsi="Times New Roman" w:cs="Times New Roman"/>
          <w:sz w:val="24"/>
          <w:szCs w:val="24"/>
          <w:bdr w:val="none" w:sz="0" w:space="0" w:color="auto" w:frame="1"/>
        </w:rPr>
        <w:fldChar w:fldCharType="begin"/>
      </w:r>
      <w:r w:rsidRPr="00796736">
        <w:rPr>
          <w:rFonts w:ascii="Times New Roman" w:hAnsi="Times New Roman" w:cs="Times New Roman"/>
          <w:sz w:val="24"/>
          <w:szCs w:val="24"/>
          <w:bdr w:val="none" w:sz="0" w:space="0" w:color="auto" w:frame="1"/>
        </w:rPr>
        <w:instrText xml:space="preserve"> REF _Ref232595580 \r \h  \* MERGEFORMAT </w:instrText>
      </w:r>
      <w:r w:rsidRPr="00796736">
        <w:rPr>
          <w:rFonts w:ascii="Times New Roman" w:hAnsi="Times New Roman" w:cs="Times New Roman"/>
          <w:sz w:val="24"/>
          <w:szCs w:val="24"/>
          <w:bdr w:val="none" w:sz="0" w:space="0" w:color="auto" w:frame="1"/>
        </w:rPr>
      </w:r>
      <w:r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14</w:t>
      </w:r>
      <w:r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Det forudsættes endvidere, at der ved FIU-cirkulæret fastsættes nærmere rammer for Hvidvasksekretariatets virke. </w:t>
      </w:r>
    </w:p>
    <w:p w14:paraId="44C93BA7" w14:textId="57892855" w:rsidR="009F6ECD" w:rsidRPr="008F294C" w:rsidRDefault="009F6ECD" w:rsidP="008F294C">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Den foreslåede bestemmelse vil indebære, at den nuværende retstilstand videreføres med de ændringer, der følger af hvidvaskdirektivets artikel 19. Det</w:t>
      </w:r>
      <w:r w:rsidRPr="00796736">
        <w:rPr>
          <w:rFonts w:ascii="Times New Roman" w:hAnsi="Times New Roman" w:cs="Times New Roman"/>
          <w:sz w:val="24"/>
          <w:szCs w:val="24"/>
        </w:rPr>
        <w:t xml:space="preserve"> </w:t>
      </w:r>
      <w:r w:rsidRPr="00796736">
        <w:rPr>
          <w:rFonts w:ascii="Times New Roman" w:hAnsi="Times New Roman" w:cs="Times New Roman"/>
          <w:sz w:val="24"/>
          <w:szCs w:val="24"/>
          <w:bdr w:val="none" w:sz="0" w:space="0" w:color="auto" w:frame="1"/>
        </w:rPr>
        <w:t xml:space="preserve">drejer sig, som det fremgår ovenfor under pkt. </w:t>
      </w:r>
      <w:r w:rsidR="00D82996" w:rsidRPr="00796736">
        <w:rPr>
          <w:rFonts w:ascii="Times New Roman" w:hAnsi="Times New Roman" w:cs="Times New Roman"/>
          <w:sz w:val="24"/>
          <w:szCs w:val="24"/>
          <w:bdr w:val="none" w:sz="0" w:space="0" w:color="auto" w:frame="1"/>
        </w:rPr>
        <w:fldChar w:fldCharType="begin"/>
      </w:r>
      <w:r w:rsidR="00D82996" w:rsidRPr="00796736">
        <w:rPr>
          <w:rFonts w:ascii="Times New Roman" w:hAnsi="Times New Roman" w:cs="Times New Roman"/>
          <w:sz w:val="24"/>
          <w:szCs w:val="24"/>
          <w:bdr w:val="none" w:sz="0" w:space="0" w:color="auto" w:frame="1"/>
        </w:rPr>
        <w:instrText xml:space="preserve"> REF _Ref232791216 \n \h </w:instrText>
      </w:r>
      <w:r w:rsidR="00967618" w:rsidRPr="00796736">
        <w:rPr>
          <w:rFonts w:ascii="Times New Roman" w:hAnsi="Times New Roman" w:cs="Times New Roman"/>
          <w:sz w:val="24"/>
          <w:szCs w:val="24"/>
          <w:bdr w:val="none" w:sz="0" w:space="0" w:color="auto" w:frame="1"/>
        </w:rPr>
        <w:instrText xml:space="preserve"> \* MERGEFORMAT </w:instrText>
      </w:r>
      <w:r w:rsidR="00D82996" w:rsidRPr="00796736">
        <w:rPr>
          <w:rFonts w:ascii="Times New Roman" w:hAnsi="Times New Roman" w:cs="Times New Roman"/>
          <w:sz w:val="24"/>
          <w:szCs w:val="24"/>
          <w:bdr w:val="none" w:sz="0" w:space="0" w:color="auto" w:frame="1"/>
        </w:rPr>
      </w:r>
      <w:r w:rsidR="00D8299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3.13.2</w:t>
      </w:r>
      <w:r w:rsidR="00D82996"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w:t>
      </w:r>
      <w:r w:rsidR="0042556A" w:rsidRPr="00796736">
        <w:rPr>
          <w:rFonts w:ascii="Times New Roman" w:hAnsi="Times New Roman" w:cs="Times New Roman"/>
          <w:sz w:val="24"/>
          <w:szCs w:val="24"/>
          <w:bdr w:val="none" w:sz="0" w:space="0" w:color="auto" w:frame="1"/>
        </w:rPr>
        <w:t xml:space="preserve">bl.a. om, at det nu fremgår eksplicit af artikel 19, at Hvidvasksekretariatet skal anlægge en risikobaseret tilgang til </w:t>
      </w:r>
      <w:r w:rsidR="0042556A" w:rsidRPr="00796736">
        <w:rPr>
          <w:rFonts w:ascii="Times New Roman" w:hAnsi="Times New Roman" w:cs="Times New Roman"/>
          <w:sz w:val="24"/>
          <w:szCs w:val="24"/>
        </w:rPr>
        <w:t xml:space="preserve">sine operationelle analyseaktiviteter, at kravene til Hvidvasksekretariatets uafhængighed er uddybet. </w:t>
      </w:r>
      <w:r w:rsidR="0042556A" w:rsidRPr="00796736">
        <w:rPr>
          <w:rFonts w:ascii="Times New Roman" w:hAnsi="Times New Roman" w:cs="Times New Roman"/>
          <w:sz w:val="24"/>
          <w:szCs w:val="24"/>
          <w:bdr w:val="none" w:sz="0" w:space="0" w:color="auto" w:frame="1"/>
        </w:rPr>
        <w:t xml:space="preserve">Der er i det væsentligste tale om en præcisering og videreførelse af gældende ret. Dertil kommer, at der som noget nyt foreslås en mulighed for at indgå ordninger med andre </w:t>
      </w:r>
      <w:r w:rsidR="0042556A" w:rsidRPr="008F294C">
        <w:rPr>
          <w:rFonts w:ascii="Times New Roman" w:hAnsi="Times New Roman" w:cs="Times New Roman"/>
          <w:sz w:val="24"/>
          <w:szCs w:val="24"/>
          <w:bdr w:val="none" w:sz="0" w:space="0" w:color="auto" w:frame="1"/>
        </w:rPr>
        <w:t>nationale kompetente myndigheder vedrørende samarbejde i forbindelse med koncerntilsyn.</w:t>
      </w:r>
    </w:p>
    <w:p w14:paraId="25BFAD86" w14:textId="77777777" w:rsidR="00B0375C" w:rsidRPr="008F294C" w:rsidRDefault="00B0375C" w:rsidP="008F294C">
      <w:pPr>
        <w:spacing w:after="240" w:line="360" w:lineRule="auto"/>
        <w:rPr>
          <w:rFonts w:ascii="Times New Roman" w:hAnsi="Times New Roman" w:cs="Times New Roman"/>
          <w:sz w:val="24"/>
          <w:szCs w:val="24"/>
        </w:rPr>
      </w:pPr>
      <w:r w:rsidRPr="008F294C">
        <w:rPr>
          <w:rFonts w:ascii="Times New Roman" w:hAnsi="Times New Roman" w:cs="Times New Roman"/>
          <w:sz w:val="24"/>
          <w:szCs w:val="24"/>
        </w:rPr>
        <w:t xml:space="preserve">Der er ikke ved hverken hvidvaskforordningen eller hvidvaskdirektivet taget nærmere stilling til, på hvilken måde underretningsforpligtelserne efter disse retsakter skal opfyldes.  </w:t>
      </w:r>
    </w:p>
    <w:p w14:paraId="4570B9BB" w14:textId="77777777" w:rsidR="00B0375C" w:rsidRPr="008F294C" w:rsidRDefault="00B0375C" w:rsidP="008F294C">
      <w:pPr>
        <w:spacing w:after="240" w:line="360" w:lineRule="auto"/>
        <w:rPr>
          <w:rFonts w:ascii="Times New Roman" w:hAnsi="Times New Roman" w:cs="Times New Roman"/>
          <w:sz w:val="24"/>
          <w:szCs w:val="24"/>
        </w:rPr>
      </w:pPr>
      <w:r w:rsidRPr="008F294C">
        <w:rPr>
          <w:rFonts w:ascii="Times New Roman" w:hAnsi="Times New Roman" w:cs="Times New Roman"/>
          <w:sz w:val="24"/>
          <w:szCs w:val="24"/>
        </w:rPr>
        <w:t xml:space="preserve">Efter den nuværende ordning, er de underretningspligtige efter hvidvasklovens § 26, stk. 1, forpligtet til omgående at underrette Hvidvasksekretariatet ved viden om, mistanke om eller hvis der er rimelig grund til at formode, at en transaktion, midler eller en aktivitet har eller har haft tilknytning til hvidvask eller finansiering af terrorisme. Det er dog imidlertid vanskeligt at foretage en underretning omgående, hvis den underretningspligtige på tidspunktet for f.eks. mistanke om hvidvask ikke allerede er oprettet i GoAML. Endelig oprettelse i systemet tager således op til fem arbejdsdage, da Hvidvasksekretariatet skal gennemføre en godkendelsesprocedure af den underretningspligtiges oplysninger, når en underretningspligtig har oprettet sig i systemet. Den underretningspligtige vil dermed være nødt til at vente med at foretage underretning, indtil godkendelsesproceduren er afsluttet, eller være nødt til at finde en alternativ metode til at underrette Hvidvasksekretariatet. </w:t>
      </w:r>
    </w:p>
    <w:p w14:paraId="109222CA" w14:textId="77777777" w:rsidR="00B0375C" w:rsidRPr="008F294C" w:rsidRDefault="00B0375C" w:rsidP="008F294C">
      <w:pPr>
        <w:spacing w:after="240" w:line="360" w:lineRule="auto"/>
        <w:rPr>
          <w:rFonts w:ascii="Times New Roman" w:hAnsi="Times New Roman" w:cs="Times New Roman"/>
          <w:sz w:val="24"/>
          <w:szCs w:val="24"/>
        </w:rPr>
      </w:pPr>
      <w:r w:rsidRPr="008F294C">
        <w:rPr>
          <w:rFonts w:ascii="Times New Roman" w:hAnsi="Times New Roman" w:cs="Times New Roman"/>
          <w:sz w:val="24"/>
          <w:szCs w:val="24"/>
        </w:rPr>
        <w:t>Det er Hvidvasksekretariatets vurdering pr. marts 2026, at under 15 pct. ud af de minimum 22.000 underretningspligtige virksomheder og personer omfattet af hvidvaskloven er oprettet i GoAML.</w:t>
      </w:r>
    </w:p>
    <w:p w14:paraId="514D496B" w14:textId="77777777" w:rsidR="00B0375C" w:rsidRPr="008F294C" w:rsidRDefault="00B0375C" w:rsidP="008F294C">
      <w:pPr>
        <w:spacing w:after="240" w:line="360" w:lineRule="auto"/>
        <w:rPr>
          <w:rFonts w:ascii="Times New Roman" w:hAnsi="Times New Roman" w:cs="Times New Roman"/>
          <w:sz w:val="24"/>
          <w:szCs w:val="24"/>
        </w:rPr>
      </w:pPr>
      <w:r w:rsidRPr="008F294C">
        <w:rPr>
          <w:rFonts w:ascii="Times New Roman" w:hAnsi="Times New Roman" w:cs="Times New Roman"/>
          <w:sz w:val="24"/>
          <w:szCs w:val="24"/>
        </w:rPr>
        <w:t>Det fremgår af Den Nationale Risikovurdering 2022, som Hvidvasksekretariatet udgav i januar 2023, at Hvidvasksekretariatet vurderer, at de underretningspligtiges manglende oprettelse i GoAML, og dermed manglende mulighed for omgående at underrette Hvidvasksekretariatet samt manglende adgang til relevante meddelelser fra Hvidvasksekretariatet, i en vis udstrækning er et udtryk for manglende opmærksomhed på hvidvaskområdet og dermed udgør en moderat sårbarhed i den danske hvidvaskindsats.</w:t>
      </w:r>
    </w:p>
    <w:p w14:paraId="1D0663E4" w14:textId="77777777" w:rsidR="00B0375C" w:rsidRPr="008F294C" w:rsidRDefault="00B0375C" w:rsidP="008F294C">
      <w:pPr>
        <w:spacing w:after="240" w:line="360" w:lineRule="auto"/>
        <w:rPr>
          <w:rFonts w:ascii="Times New Roman" w:hAnsi="Times New Roman" w:cs="Times New Roman"/>
          <w:sz w:val="24"/>
          <w:szCs w:val="24"/>
        </w:rPr>
      </w:pPr>
      <w:r w:rsidRPr="008F294C">
        <w:rPr>
          <w:rFonts w:ascii="Times New Roman" w:hAnsi="Times New Roman" w:cs="Times New Roman"/>
          <w:sz w:val="24"/>
          <w:szCs w:val="24"/>
        </w:rPr>
        <w:t xml:space="preserve">Det er på den baggrund Justitsministeriets vurdering, at en registreringspligt for de underretningspligtige i det til enhver tid gældende system til at indsende hvidvaskunderretninger vil øge opmærksomheden på hvidvaskområdet generelt og særligt på underretningspligten. Det forventes, at registreringspligten forventeligt vil medføre, at antallet af underretninger vil stige, og at Hvidvasksekretariatets efterretningsbillede og dermed mulighed for at skabe overblik over mistænkelige aktører og netværk dermed vil blive styrket. </w:t>
      </w:r>
    </w:p>
    <w:p w14:paraId="1932E963" w14:textId="77777777" w:rsidR="00B0375C" w:rsidRPr="008F294C" w:rsidRDefault="00B0375C" w:rsidP="008F294C">
      <w:pPr>
        <w:spacing w:after="240" w:line="360" w:lineRule="auto"/>
        <w:rPr>
          <w:rFonts w:ascii="Times New Roman" w:hAnsi="Times New Roman" w:cs="Times New Roman"/>
          <w:sz w:val="24"/>
          <w:szCs w:val="24"/>
        </w:rPr>
      </w:pPr>
      <w:r w:rsidRPr="008F294C">
        <w:rPr>
          <w:rFonts w:ascii="Times New Roman" w:hAnsi="Times New Roman" w:cs="Times New Roman"/>
          <w:sz w:val="24"/>
          <w:szCs w:val="24"/>
        </w:rPr>
        <w:t>Det foreslås derfor, at der i hvidvaskloven fastsættes en pligt for virksomheder og personer omfattet af underretningsforpligtelsen i hvidvaskforordningens artikel 69 til at registrere sig i det til enhver tid gældende system til indsendelse af hvidvaskunderretninger. Derudover foreslås det, at erhvervsministeren kan fastsætte nærmere regler om den tekniske opfyldelse af registreringspligten.</w:t>
      </w:r>
    </w:p>
    <w:p w14:paraId="51304059" w14:textId="77777777" w:rsidR="00B0375C" w:rsidRPr="008F294C" w:rsidRDefault="00B0375C" w:rsidP="008F294C">
      <w:pPr>
        <w:spacing w:after="240" w:line="360" w:lineRule="auto"/>
        <w:rPr>
          <w:rFonts w:ascii="Times New Roman" w:hAnsi="Times New Roman" w:cs="Times New Roman"/>
          <w:sz w:val="24"/>
          <w:szCs w:val="24"/>
        </w:rPr>
      </w:pPr>
      <w:r w:rsidRPr="008F294C">
        <w:rPr>
          <w:rFonts w:ascii="Times New Roman" w:hAnsi="Times New Roman" w:cs="Times New Roman"/>
          <w:sz w:val="24"/>
          <w:szCs w:val="24"/>
        </w:rPr>
        <w:t xml:space="preserve">Den foreslåede bestemmelse vil således omfatte virksomheder og personer omfattet af underretningspligten i hvidvaskforordningens artikel 69, det vil sige forpligtede enheder, jf. forordningens artikel 3, og hvis relevant, deres direktører og ansatte </w:t>
      </w:r>
    </w:p>
    <w:p w14:paraId="5B5EEE05" w14:textId="2571F859" w:rsidR="00B0375C" w:rsidRPr="008F294C" w:rsidRDefault="00B0375C" w:rsidP="008F294C">
      <w:pPr>
        <w:spacing w:after="240" w:line="360" w:lineRule="auto"/>
        <w:rPr>
          <w:rFonts w:ascii="Times New Roman" w:hAnsi="Times New Roman" w:cs="Times New Roman"/>
          <w:sz w:val="24"/>
          <w:szCs w:val="24"/>
        </w:rPr>
      </w:pPr>
      <w:r w:rsidRPr="008F294C">
        <w:rPr>
          <w:rFonts w:ascii="Times New Roman" w:hAnsi="Times New Roman" w:cs="Times New Roman"/>
          <w:sz w:val="24"/>
          <w:szCs w:val="24"/>
        </w:rPr>
        <w:t xml:space="preserve">Der henvises i øvrigt til lovforslagets </w:t>
      </w:r>
      <w:r w:rsidR="008F294C">
        <w:rPr>
          <w:rFonts w:ascii="Times New Roman" w:hAnsi="Times New Roman" w:cs="Times New Roman"/>
          <w:sz w:val="24"/>
          <w:szCs w:val="24"/>
        </w:rPr>
        <w:fldChar w:fldCharType="begin"/>
      </w:r>
      <w:r w:rsidR="008F294C">
        <w:rPr>
          <w:rFonts w:ascii="Times New Roman" w:hAnsi="Times New Roman" w:cs="Times New Roman"/>
          <w:sz w:val="24"/>
          <w:szCs w:val="24"/>
        </w:rPr>
        <w:instrText xml:space="preserve"> REF _Ref239689279 \r \h </w:instrText>
      </w:r>
      <w:r w:rsidR="008F294C">
        <w:rPr>
          <w:rFonts w:ascii="Times New Roman" w:hAnsi="Times New Roman" w:cs="Times New Roman"/>
          <w:sz w:val="24"/>
          <w:szCs w:val="24"/>
        </w:rPr>
      </w:r>
      <w:r w:rsidR="008F294C">
        <w:rPr>
          <w:rFonts w:ascii="Times New Roman" w:hAnsi="Times New Roman" w:cs="Times New Roman"/>
          <w:sz w:val="24"/>
          <w:szCs w:val="24"/>
        </w:rPr>
        <w:fldChar w:fldCharType="separate"/>
      </w:r>
      <w:r w:rsidR="008F294C">
        <w:rPr>
          <w:rFonts w:ascii="Times New Roman" w:hAnsi="Times New Roman" w:cs="Times New Roman"/>
          <w:sz w:val="24"/>
          <w:szCs w:val="24"/>
        </w:rPr>
        <w:t>§ 14</w:t>
      </w:r>
      <w:r w:rsidR="008F294C">
        <w:rPr>
          <w:rFonts w:ascii="Times New Roman" w:hAnsi="Times New Roman" w:cs="Times New Roman"/>
          <w:sz w:val="24"/>
          <w:szCs w:val="24"/>
        </w:rPr>
        <w:fldChar w:fldCharType="end"/>
      </w:r>
      <w:r w:rsidRPr="008F294C">
        <w:rPr>
          <w:rFonts w:ascii="Times New Roman" w:hAnsi="Times New Roman" w:cs="Times New Roman"/>
          <w:sz w:val="24"/>
          <w:szCs w:val="24"/>
        </w:rPr>
        <w:t xml:space="preserve">, stk. 5, og bemærkningerne hertil. </w:t>
      </w:r>
    </w:p>
    <w:p w14:paraId="36C0A42C" w14:textId="77777777" w:rsidR="008F294C" w:rsidRPr="008F294C" w:rsidRDefault="008F294C" w:rsidP="008F294C">
      <w:pPr>
        <w:spacing w:after="240"/>
        <w:rPr>
          <w:rFonts w:cs="Times New Roman"/>
          <w:szCs w:val="24"/>
        </w:rPr>
      </w:pPr>
    </w:p>
    <w:p w14:paraId="5F504F16" w14:textId="1A57CF31" w:rsidR="001A5922" w:rsidRPr="00796736" w:rsidRDefault="001A5922" w:rsidP="00A802A5">
      <w:pPr>
        <w:pStyle w:val="Overskrift2"/>
        <w:rPr>
          <w:rFonts w:ascii="Times New Roman" w:hAnsi="Times New Roman"/>
          <w:sz w:val="24"/>
        </w:rPr>
      </w:pPr>
      <w:bookmarkStart w:id="930" w:name="_Toc229739652"/>
      <w:bookmarkStart w:id="931" w:name="_Toc232109047"/>
      <w:bookmarkStart w:id="932" w:name="_Toc244880731"/>
      <w:bookmarkEnd w:id="929"/>
      <w:r w:rsidRPr="00796736">
        <w:rPr>
          <w:rFonts w:ascii="Times New Roman" w:hAnsi="Times New Roman"/>
          <w:sz w:val="24"/>
        </w:rPr>
        <w:t>Den ansvarlige for grundlæggende rettigheder</w:t>
      </w:r>
      <w:bookmarkEnd w:id="930"/>
      <w:bookmarkEnd w:id="931"/>
      <w:bookmarkEnd w:id="932"/>
      <w:r w:rsidRPr="00796736">
        <w:rPr>
          <w:rFonts w:ascii="Times New Roman" w:hAnsi="Times New Roman"/>
          <w:sz w:val="24"/>
        </w:rPr>
        <w:t xml:space="preserve"> </w:t>
      </w:r>
    </w:p>
    <w:p w14:paraId="26F6D683" w14:textId="577C12DA" w:rsidR="001A5922" w:rsidRPr="00796736" w:rsidRDefault="001A5922" w:rsidP="00A802A5">
      <w:pPr>
        <w:pStyle w:val="Overskrift4"/>
        <w:rPr>
          <w:rFonts w:ascii="Times New Roman" w:hAnsi="Times New Roman" w:cs="Times New Roman"/>
          <w:sz w:val="24"/>
          <w:szCs w:val="24"/>
        </w:rPr>
      </w:pPr>
      <w:bookmarkStart w:id="933" w:name="_Toc232109048"/>
      <w:bookmarkStart w:id="934" w:name="_Ref232791323"/>
      <w:r w:rsidRPr="00796736">
        <w:rPr>
          <w:rFonts w:ascii="Times New Roman" w:hAnsi="Times New Roman" w:cs="Times New Roman"/>
          <w:sz w:val="24"/>
          <w:szCs w:val="24"/>
        </w:rPr>
        <w:t>Gældende ret</w:t>
      </w:r>
      <w:bookmarkEnd w:id="933"/>
      <w:bookmarkEnd w:id="934"/>
    </w:p>
    <w:p w14:paraId="7B702BAF" w14:textId="1948D2EF" w:rsidR="00C454BF" w:rsidRPr="00796736" w:rsidRDefault="00C454B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findes ikke i dag regler om, at Hvidvasksekretariatet skal udpege en ansvarlig for grundlæggende rettigheder eller om, hvordan Hvidvasksekretariatet skal sikre overholdelsen af de grundlæggende rettigheder, når sekretariatet udfører sine opgaver.</w:t>
      </w:r>
    </w:p>
    <w:p w14:paraId="7E194884" w14:textId="77777777" w:rsidR="00C454BF" w:rsidRPr="00796736" w:rsidRDefault="00C454BF" w:rsidP="00A802A5">
      <w:pPr>
        <w:spacing w:line="360" w:lineRule="auto"/>
        <w:rPr>
          <w:rFonts w:ascii="Times New Roman" w:hAnsi="Times New Roman" w:cs="Times New Roman"/>
          <w:sz w:val="24"/>
          <w:szCs w:val="24"/>
        </w:rPr>
      </w:pPr>
    </w:p>
    <w:p w14:paraId="52B9C07E" w14:textId="77777777" w:rsidR="00E207EC" w:rsidRPr="00796736" w:rsidRDefault="00E207EC" w:rsidP="00E207EC">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Hvidvasksekretariatet er dog</w:t>
      </w:r>
      <w:r>
        <w:rPr>
          <w:rFonts w:ascii="Times New Roman" w:hAnsi="Times New Roman" w:cs="Times New Roman"/>
          <w:sz w:val="24"/>
          <w:szCs w:val="24"/>
        </w:rPr>
        <w:t xml:space="preserve"> bl.a.</w:t>
      </w:r>
      <w:r w:rsidRPr="00796736">
        <w:rPr>
          <w:rFonts w:ascii="Times New Roman" w:hAnsi="Times New Roman" w:cs="Times New Roman"/>
          <w:sz w:val="24"/>
          <w:szCs w:val="24"/>
        </w:rPr>
        <w:t xml:space="preserve"> underlagt de almindelige databeskyttelsesretlige regler, herunder </w:t>
      </w:r>
      <w:r>
        <w:rPr>
          <w:rFonts w:ascii="Times New Roman" w:hAnsi="Times New Roman" w:cs="Times New Roman"/>
          <w:sz w:val="24"/>
          <w:szCs w:val="24"/>
        </w:rPr>
        <w:t>afhængig af</w:t>
      </w:r>
      <w:r w:rsidRPr="00796736">
        <w:rPr>
          <w:rFonts w:ascii="Times New Roman" w:hAnsi="Times New Roman" w:cs="Times New Roman"/>
          <w:sz w:val="24"/>
          <w:szCs w:val="24"/>
        </w:rPr>
        <w:t xml:space="preserve"> behandlingens karakter og formål databeskyttelsesforordningen og retshåndhævelsesloven</w:t>
      </w:r>
      <w:r>
        <w:rPr>
          <w:rFonts w:ascii="Times New Roman" w:hAnsi="Times New Roman" w:cs="Times New Roman"/>
          <w:sz w:val="24"/>
          <w:szCs w:val="24"/>
        </w:rPr>
        <w:t>.</w:t>
      </w:r>
      <w:r w:rsidRPr="00796736">
        <w:rPr>
          <w:rFonts w:ascii="Times New Roman" w:hAnsi="Times New Roman" w:cs="Times New Roman"/>
          <w:sz w:val="24"/>
          <w:szCs w:val="24"/>
        </w:rPr>
        <w:t xml:space="preserve"> </w:t>
      </w:r>
    </w:p>
    <w:p w14:paraId="70BEF327" w14:textId="77777777" w:rsidR="001A5922" w:rsidRPr="00796736" w:rsidRDefault="001A5922" w:rsidP="00A802A5">
      <w:pPr>
        <w:spacing w:line="360" w:lineRule="auto"/>
        <w:rPr>
          <w:rFonts w:ascii="Times New Roman" w:hAnsi="Times New Roman" w:cs="Times New Roman"/>
          <w:sz w:val="24"/>
          <w:szCs w:val="24"/>
        </w:rPr>
      </w:pPr>
    </w:p>
    <w:p w14:paraId="68830418" w14:textId="4B8041BB" w:rsidR="001A5922" w:rsidRPr="00796736" w:rsidRDefault="001A5922" w:rsidP="00A802A5">
      <w:pPr>
        <w:pStyle w:val="Overskrift4"/>
        <w:rPr>
          <w:rFonts w:ascii="Times New Roman" w:hAnsi="Times New Roman" w:cs="Times New Roman"/>
          <w:i/>
          <w:iCs/>
          <w:sz w:val="24"/>
          <w:szCs w:val="24"/>
        </w:rPr>
      </w:pPr>
      <w:bookmarkStart w:id="935" w:name="_Toc232109049"/>
      <w:bookmarkStart w:id="936" w:name="_Ref232791304"/>
      <w:r w:rsidRPr="00796736">
        <w:rPr>
          <w:rFonts w:ascii="Times New Roman" w:hAnsi="Times New Roman" w:cs="Times New Roman"/>
          <w:sz w:val="24"/>
          <w:szCs w:val="24"/>
        </w:rPr>
        <w:t>6. hvidvaskdirektiv</w:t>
      </w:r>
      <w:bookmarkEnd w:id="935"/>
      <w:bookmarkEnd w:id="936"/>
      <w:r w:rsidRPr="00796736">
        <w:rPr>
          <w:rFonts w:ascii="Times New Roman" w:hAnsi="Times New Roman" w:cs="Times New Roman"/>
          <w:sz w:val="24"/>
          <w:szCs w:val="24"/>
        </w:rPr>
        <w:t xml:space="preserve"> </w:t>
      </w:r>
    </w:p>
    <w:p w14:paraId="3FCD395D" w14:textId="77777777" w:rsidR="00C454BF" w:rsidRPr="00796736" w:rsidRDefault="00C454BF" w:rsidP="00A802A5">
      <w:pPr>
        <w:spacing w:line="360" w:lineRule="auto"/>
        <w:rPr>
          <w:rFonts w:ascii="Times New Roman" w:hAnsi="Times New Roman" w:cs="Times New Roman"/>
          <w:sz w:val="24"/>
          <w:szCs w:val="24"/>
        </w:rPr>
      </w:pPr>
      <w:bookmarkStart w:id="937" w:name="_Hlk225338641"/>
      <w:bookmarkStart w:id="938" w:name="_Hlk225340538"/>
      <w:bookmarkStart w:id="939" w:name="_Hlk226551703"/>
      <w:r w:rsidRPr="00796736">
        <w:rPr>
          <w:rFonts w:ascii="Times New Roman" w:hAnsi="Times New Roman" w:cs="Times New Roman"/>
          <w:sz w:val="24"/>
          <w:szCs w:val="24"/>
        </w:rPr>
        <w:t>Hvidvaskdirektivet indeholder i artikel 20 – som noget nyt i forhold til 4. og 5. hvidvaskdirektiv – en bestemmelse om at udpege en ansvarlig for grundlæggende rettigheder i medlemsstaternes FIU’er</w:t>
      </w:r>
      <w:bookmarkEnd w:id="937"/>
      <w:r w:rsidRPr="00796736">
        <w:rPr>
          <w:rFonts w:ascii="Times New Roman" w:hAnsi="Times New Roman" w:cs="Times New Roman"/>
          <w:sz w:val="24"/>
          <w:szCs w:val="24"/>
        </w:rPr>
        <w:t xml:space="preserve">. </w:t>
      </w:r>
      <w:bookmarkEnd w:id="938"/>
    </w:p>
    <w:p w14:paraId="3F1E6AD8" w14:textId="77777777" w:rsidR="00C454BF" w:rsidRPr="00796736" w:rsidRDefault="00C454BF" w:rsidP="00A802A5">
      <w:pPr>
        <w:spacing w:line="360" w:lineRule="auto"/>
        <w:rPr>
          <w:rFonts w:ascii="Times New Roman" w:hAnsi="Times New Roman" w:cs="Times New Roman"/>
          <w:sz w:val="24"/>
          <w:szCs w:val="24"/>
        </w:rPr>
      </w:pPr>
    </w:p>
    <w:p w14:paraId="0CF5B3F1" w14:textId="77777777" w:rsidR="00C454BF" w:rsidRPr="00796736" w:rsidRDefault="00C454B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artikel 20, stk. 1, at medlemsstaterne sikrer, at FIU’erne udpeger en ansvarlig for grundlæggende rettigheder. Den ansvarlige for grundlæggende rettigheder kan være et medlem af FIU’ens eksisterende personale. </w:t>
      </w:r>
    </w:p>
    <w:p w14:paraId="4904E55D" w14:textId="77777777" w:rsidR="00C454BF" w:rsidRPr="00796736" w:rsidRDefault="00C454BF" w:rsidP="00A802A5">
      <w:pPr>
        <w:spacing w:line="360" w:lineRule="auto"/>
        <w:rPr>
          <w:rFonts w:ascii="Times New Roman" w:hAnsi="Times New Roman" w:cs="Times New Roman"/>
          <w:sz w:val="24"/>
          <w:szCs w:val="24"/>
        </w:rPr>
      </w:pPr>
    </w:p>
    <w:p w14:paraId="5BDFFF32" w14:textId="77777777" w:rsidR="00C454BF" w:rsidRPr="00796736" w:rsidRDefault="00C454BF" w:rsidP="00A802A5">
      <w:pPr>
        <w:spacing w:line="360" w:lineRule="auto"/>
        <w:rPr>
          <w:rFonts w:ascii="Times New Roman" w:hAnsi="Times New Roman" w:cs="Times New Roman"/>
          <w:sz w:val="24"/>
          <w:szCs w:val="24"/>
        </w:rPr>
      </w:pPr>
      <w:bookmarkStart w:id="940" w:name="_Hlk225338749"/>
      <w:r w:rsidRPr="00796736">
        <w:rPr>
          <w:rFonts w:ascii="Times New Roman" w:hAnsi="Times New Roman" w:cs="Times New Roman"/>
          <w:sz w:val="24"/>
          <w:szCs w:val="24"/>
        </w:rPr>
        <w:t xml:space="preserve">Den ansvarlige for grundlæggende rettigheder udfører efter </w:t>
      </w:r>
      <w:bookmarkEnd w:id="940"/>
      <w:r w:rsidRPr="00796736">
        <w:rPr>
          <w:rFonts w:ascii="Times New Roman" w:hAnsi="Times New Roman" w:cs="Times New Roman"/>
          <w:sz w:val="24"/>
          <w:szCs w:val="24"/>
        </w:rPr>
        <w:t xml:space="preserve">artikel 20, stk. 2, følgende opgaver: </w:t>
      </w:r>
    </w:p>
    <w:p w14:paraId="3B4DF5E9" w14:textId="77777777" w:rsidR="00C454BF" w:rsidRPr="00796736" w:rsidRDefault="00C454BF">
      <w:pPr>
        <w:pStyle w:val="Listeafsnit"/>
        <w:numPr>
          <w:ilvl w:val="0"/>
          <w:numId w:val="6"/>
        </w:numPr>
        <w:spacing w:line="360" w:lineRule="auto"/>
        <w:rPr>
          <w:rFonts w:ascii="Times New Roman" w:hAnsi="Times New Roman" w:cs="Times New Roman"/>
          <w:sz w:val="24"/>
          <w:szCs w:val="24"/>
        </w:rPr>
      </w:pPr>
      <w:r w:rsidRPr="00796736">
        <w:rPr>
          <w:rFonts w:ascii="Times New Roman" w:hAnsi="Times New Roman" w:cs="Times New Roman"/>
          <w:sz w:val="24"/>
          <w:szCs w:val="24"/>
        </w:rPr>
        <w:t>rådgive FIU’ens personale om enhver aktivitet, der udføres af FIU’en, hvis den ansvarlige for grundlæggende rettigheder finder det nødvendigt, eller hvis personalet anmoder herom, uden at de pågældende aktiviteter hindres eller forsinkes</w:t>
      </w:r>
    </w:p>
    <w:p w14:paraId="38DFAFD4" w14:textId="77777777" w:rsidR="00C454BF" w:rsidRPr="00796736" w:rsidRDefault="00C454BF">
      <w:pPr>
        <w:pStyle w:val="Listeafsnit"/>
        <w:numPr>
          <w:ilvl w:val="0"/>
          <w:numId w:val="6"/>
        </w:numPr>
        <w:spacing w:line="360" w:lineRule="auto"/>
        <w:rPr>
          <w:rFonts w:ascii="Times New Roman" w:hAnsi="Times New Roman" w:cs="Times New Roman"/>
          <w:sz w:val="24"/>
          <w:szCs w:val="24"/>
        </w:rPr>
      </w:pPr>
      <w:r w:rsidRPr="00796736">
        <w:rPr>
          <w:rFonts w:ascii="Times New Roman" w:hAnsi="Times New Roman" w:cs="Times New Roman"/>
          <w:sz w:val="24"/>
          <w:szCs w:val="24"/>
        </w:rPr>
        <w:t>fremme og overvåge FIU’ens overholdelse af grundlæggende rettigheder</w:t>
      </w:r>
    </w:p>
    <w:p w14:paraId="78693D17" w14:textId="77777777" w:rsidR="00C454BF" w:rsidRPr="00796736" w:rsidRDefault="00C454BF">
      <w:pPr>
        <w:pStyle w:val="Listeafsnit"/>
        <w:numPr>
          <w:ilvl w:val="0"/>
          <w:numId w:val="6"/>
        </w:numPr>
        <w:spacing w:line="360" w:lineRule="auto"/>
        <w:rPr>
          <w:rFonts w:ascii="Times New Roman" w:hAnsi="Times New Roman" w:cs="Times New Roman"/>
          <w:sz w:val="24"/>
          <w:szCs w:val="24"/>
        </w:rPr>
      </w:pPr>
      <w:r w:rsidRPr="00796736">
        <w:rPr>
          <w:rFonts w:ascii="Times New Roman" w:hAnsi="Times New Roman" w:cs="Times New Roman"/>
          <w:sz w:val="24"/>
          <w:szCs w:val="24"/>
        </w:rPr>
        <w:t>afgive ikkebindende udtalelser om FIU’ens aktiviteters overensstemmelse med grundlæggende rettigheder</w:t>
      </w:r>
    </w:p>
    <w:p w14:paraId="78599CD4" w14:textId="77777777" w:rsidR="00C454BF" w:rsidRPr="00796736" w:rsidRDefault="00C454BF">
      <w:pPr>
        <w:pStyle w:val="Listeafsnit"/>
        <w:numPr>
          <w:ilvl w:val="0"/>
          <w:numId w:val="6"/>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informere lederen af FIU’en om mulige krænkelser af grundlæggende rettigheder i forbindelse med FIU’ens aktiviteter. </w:t>
      </w:r>
    </w:p>
    <w:p w14:paraId="20E26C6D" w14:textId="77777777" w:rsidR="00C454BF" w:rsidRPr="00796736" w:rsidRDefault="00C454BF" w:rsidP="00A802A5">
      <w:pPr>
        <w:spacing w:line="360" w:lineRule="auto"/>
        <w:rPr>
          <w:rFonts w:ascii="Times New Roman" w:hAnsi="Times New Roman" w:cs="Times New Roman"/>
          <w:sz w:val="24"/>
          <w:szCs w:val="24"/>
        </w:rPr>
      </w:pPr>
    </w:p>
    <w:p w14:paraId="29664B5E" w14:textId="77777777" w:rsidR="00C454BF" w:rsidRPr="00796736" w:rsidRDefault="00C454B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herudover af artikel 20, stk. 3, at FIU’en sikrer, at den ansvarlige for grundlæggende rettigheder ikke modtager instrukser vedrørende udførelsen af den ansvarlige for grundlæggende rettigheders opgaver.</w:t>
      </w:r>
    </w:p>
    <w:p w14:paraId="546630B6" w14:textId="77777777" w:rsidR="00C454BF" w:rsidRPr="00796736" w:rsidRDefault="00C454BF" w:rsidP="00A802A5">
      <w:pPr>
        <w:spacing w:line="360" w:lineRule="auto"/>
        <w:rPr>
          <w:rFonts w:ascii="Times New Roman" w:hAnsi="Times New Roman" w:cs="Times New Roman"/>
          <w:sz w:val="24"/>
          <w:szCs w:val="24"/>
        </w:rPr>
      </w:pPr>
    </w:p>
    <w:p w14:paraId="290A2B81" w14:textId="5F8A45AD" w:rsidR="001A5922" w:rsidRPr="00796736" w:rsidRDefault="00C454BF" w:rsidP="00A802A5">
      <w:pPr>
        <w:spacing w:line="360" w:lineRule="auto"/>
        <w:rPr>
          <w:rFonts w:ascii="Times New Roman" w:hAnsi="Times New Roman" w:cs="Times New Roman"/>
          <w:sz w:val="24"/>
          <w:szCs w:val="24"/>
        </w:rPr>
      </w:pPr>
      <w:bookmarkStart w:id="941" w:name="_Hlk225338922"/>
      <w:r w:rsidRPr="00796736">
        <w:rPr>
          <w:rFonts w:ascii="Times New Roman" w:hAnsi="Times New Roman" w:cs="Times New Roman"/>
          <w:sz w:val="24"/>
          <w:szCs w:val="24"/>
        </w:rPr>
        <w:t>Det fremgår af direktivets præambelbetragtning nr. 65</w:t>
      </w:r>
      <w:bookmarkEnd w:id="941"/>
      <w:r w:rsidRPr="00796736">
        <w:rPr>
          <w:rFonts w:ascii="Times New Roman" w:hAnsi="Times New Roman" w:cs="Times New Roman"/>
          <w:sz w:val="24"/>
          <w:szCs w:val="24"/>
        </w:rPr>
        <w:t xml:space="preserve"> bl.a., at FIU'ers personale bør udvise en høj grad af integritet, have passende kvalifikationer og fastholde en høj professionel standard. FIU'erne bør have indført procedurer til effektiv forebyggelse og håndtering af interessekonflikter. I betragtning af karakteren af deres arbejde er FIU'er modtagere af og har adgang til store mængder følsomme personlige og finansielle oplysninger. FIU’ers aktiviteter vil kunne have konsekvenser for enkeltpersoners grundlæggende rettigheder såsom retten til beskyttelse af personoplysninger, retten til privatlivets fred og ejendomsretten. FIU’erne bør derfor udpege en ansvarlig for grundlæggende rettigheder, som kan være medlem af FIU’ens eksisterende personale. De opgaver, der udføres af den ansvarlige for grundlæggende rettigheder, bør, uden at hindre eller forsinke FIU’ernes aktiviteter, omfatte overvågning og fremme af FIU’ens overholdelse af grundlæggende rettigheder, rådgivning og vejledning til FIU’en om konsekvenserne af dens politikker og praksis med hensyn til de grundlæggende rettigheder, kontrol af lovligheden af og etik i forbindelse med FIU’ens aktiviteter og afgivelse af ikkebindende udtalelser. </w:t>
      </w:r>
      <w:r w:rsidR="00E207EC">
        <w:rPr>
          <w:rFonts w:ascii="Times New Roman" w:hAnsi="Times New Roman" w:cs="Times New Roman"/>
          <w:sz w:val="24"/>
          <w:szCs w:val="24"/>
        </w:rPr>
        <w:t>U</w:t>
      </w:r>
      <w:r w:rsidRPr="00796736">
        <w:rPr>
          <w:rFonts w:ascii="Times New Roman" w:hAnsi="Times New Roman" w:cs="Times New Roman"/>
          <w:sz w:val="24"/>
          <w:szCs w:val="24"/>
        </w:rPr>
        <w:t>dpegelsen af en ansvarlig for grundlæggende rettigheder vil bidrage til at sikre, at FIU’er under udførelsen af deres opgaver respekterer og beskytter berørte personers grundlæggende rettigheder.</w:t>
      </w:r>
    </w:p>
    <w:bookmarkEnd w:id="939"/>
    <w:p w14:paraId="0633C9BC" w14:textId="77777777" w:rsidR="001A5922" w:rsidRPr="00796736" w:rsidRDefault="001A5922" w:rsidP="00A802A5">
      <w:pPr>
        <w:spacing w:line="360" w:lineRule="auto"/>
        <w:rPr>
          <w:rFonts w:ascii="Times New Roman" w:hAnsi="Times New Roman" w:cs="Times New Roman"/>
          <w:sz w:val="24"/>
          <w:szCs w:val="24"/>
        </w:rPr>
      </w:pPr>
    </w:p>
    <w:p w14:paraId="0BCEEAEC" w14:textId="285381E7" w:rsidR="001A5922" w:rsidRPr="00796736" w:rsidRDefault="001A5922" w:rsidP="00A802A5">
      <w:pPr>
        <w:pStyle w:val="Overskrift4"/>
        <w:rPr>
          <w:rFonts w:ascii="Times New Roman" w:hAnsi="Times New Roman" w:cs="Times New Roman"/>
          <w:i/>
          <w:iCs/>
          <w:sz w:val="24"/>
          <w:szCs w:val="24"/>
        </w:rPr>
      </w:pPr>
      <w:bookmarkStart w:id="942" w:name="_Toc232109050"/>
      <w:r w:rsidRPr="00796736">
        <w:rPr>
          <w:rFonts w:ascii="Times New Roman" w:hAnsi="Times New Roman" w:cs="Times New Roman"/>
          <w:sz w:val="24"/>
          <w:szCs w:val="24"/>
        </w:rPr>
        <w:t>Justitsministeriets overvejelser og den foreslåede ordning</w:t>
      </w:r>
      <w:bookmarkEnd w:id="942"/>
      <w:r w:rsidRPr="00796736">
        <w:rPr>
          <w:rFonts w:ascii="Times New Roman" w:hAnsi="Times New Roman" w:cs="Times New Roman"/>
          <w:sz w:val="24"/>
          <w:szCs w:val="24"/>
        </w:rPr>
        <w:t xml:space="preserve">   </w:t>
      </w:r>
    </w:p>
    <w:p w14:paraId="77F09A70" w14:textId="20168B30" w:rsidR="00C454BF" w:rsidRPr="00796736" w:rsidRDefault="00C454BF" w:rsidP="00A802A5">
      <w:pPr>
        <w:spacing w:line="360" w:lineRule="auto"/>
        <w:rPr>
          <w:rFonts w:ascii="Times New Roman" w:hAnsi="Times New Roman" w:cs="Times New Roman"/>
          <w:sz w:val="24"/>
          <w:szCs w:val="24"/>
        </w:rPr>
      </w:pPr>
      <w:bookmarkStart w:id="943" w:name="_Hlk225340575"/>
      <w:r w:rsidRPr="00796736">
        <w:rPr>
          <w:rFonts w:ascii="Times New Roman" w:hAnsi="Times New Roman" w:cs="Times New Roman"/>
          <w:sz w:val="24"/>
          <w:szCs w:val="24"/>
          <w:bdr w:val="none" w:sz="0" w:space="0" w:color="auto" w:frame="1"/>
        </w:rPr>
        <w:t xml:space="preserve">Som det fremgår af pkt. </w:t>
      </w:r>
      <w:r w:rsidR="00D82996" w:rsidRPr="00796736">
        <w:rPr>
          <w:rFonts w:ascii="Times New Roman" w:hAnsi="Times New Roman" w:cs="Times New Roman"/>
          <w:sz w:val="24"/>
          <w:szCs w:val="24"/>
          <w:bdr w:val="none" w:sz="0" w:space="0" w:color="auto" w:frame="1"/>
        </w:rPr>
        <w:fldChar w:fldCharType="begin"/>
      </w:r>
      <w:r w:rsidR="00D82996" w:rsidRPr="00796736">
        <w:rPr>
          <w:rFonts w:ascii="Times New Roman" w:hAnsi="Times New Roman" w:cs="Times New Roman"/>
          <w:sz w:val="24"/>
          <w:szCs w:val="24"/>
          <w:bdr w:val="none" w:sz="0" w:space="0" w:color="auto" w:frame="1"/>
        </w:rPr>
        <w:instrText xml:space="preserve"> REF _Ref232791304 \n \h </w:instrText>
      </w:r>
      <w:r w:rsidR="00967618" w:rsidRPr="00796736">
        <w:rPr>
          <w:rFonts w:ascii="Times New Roman" w:hAnsi="Times New Roman" w:cs="Times New Roman"/>
          <w:sz w:val="24"/>
          <w:szCs w:val="24"/>
          <w:bdr w:val="none" w:sz="0" w:space="0" w:color="auto" w:frame="1"/>
        </w:rPr>
        <w:instrText xml:space="preserve"> \* MERGEFORMAT </w:instrText>
      </w:r>
      <w:r w:rsidR="00D82996" w:rsidRPr="00796736">
        <w:rPr>
          <w:rFonts w:ascii="Times New Roman" w:hAnsi="Times New Roman" w:cs="Times New Roman"/>
          <w:sz w:val="24"/>
          <w:szCs w:val="24"/>
          <w:bdr w:val="none" w:sz="0" w:space="0" w:color="auto" w:frame="1"/>
        </w:rPr>
      </w:r>
      <w:r w:rsidR="00D8299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3.14.2</w:t>
      </w:r>
      <w:r w:rsidR="00D82996"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indeholder hvidvaskdirektivets artikel 20 en bestemmelse om, at</w:t>
      </w:r>
      <w:r w:rsidRPr="00796736">
        <w:rPr>
          <w:rFonts w:ascii="Times New Roman" w:hAnsi="Times New Roman" w:cs="Times New Roman"/>
          <w:sz w:val="24"/>
          <w:szCs w:val="24"/>
        </w:rPr>
        <w:t xml:space="preserve"> FIU’en skal udpege en ansvarlig for grundlæggende rettigheder. Bestemmelsen er ny i forhold til 4. og 5. hvidvaskdirektiv. Der findes som nævnt under pkt.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_Ref232791323 \n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3.14.1</w:t>
      </w:r>
      <w:r w:rsidR="00C16A1F"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2971AF" w:rsidRPr="00796736">
        <w:rPr>
          <w:rFonts w:ascii="Times New Roman" w:hAnsi="Times New Roman" w:cs="Times New Roman"/>
          <w:sz w:val="24"/>
          <w:szCs w:val="24"/>
        </w:rPr>
        <w:t>ikke på nuværende tidspunkt regler</w:t>
      </w:r>
      <w:r w:rsidR="002971AF">
        <w:rPr>
          <w:rFonts w:ascii="Times New Roman" w:hAnsi="Times New Roman" w:cs="Times New Roman"/>
          <w:sz w:val="24"/>
          <w:szCs w:val="24"/>
        </w:rPr>
        <w:t xml:space="preserve"> om, at Hvidvasksekretariatet skal udpege</w:t>
      </w:r>
      <w:r w:rsidR="002971AF" w:rsidRPr="00796736">
        <w:rPr>
          <w:rFonts w:ascii="Times New Roman" w:hAnsi="Times New Roman" w:cs="Times New Roman"/>
          <w:sz w:val="24"/>
          <w:szCs w:val="24"/>
        </w:rPr>
        <w:t xml:space="preserve"> en ansvarlig for grundlæggende rettigheder i Hvidvasksekretariatet.</w:t>
      </w:r>
    </w:p>
    <w:bookmarkEnd w:id="943"/>
    <w:p w14:paraId="6461A5D5" w14:textId="77777777" w:rsidR="00C454BF" w:rsidRPr="00796736" w:rsidRDefault="00C454BF" w:rsidP="00A802A5">
      <w:pPr>
        <w:spacing w:line="360" w:lineRule="auto"/>
        <w:rPr>
          <w:rFonts w:ascii="Times New Roman" w:hAnsi="Times New Roman" w:cs="Times New Roman"/>
          <w:sz w:val="24"/>
          <w:szCs w:val="24"/>
        </w:rPr>
      </w:pPr>
    </w:p>
    <w:p w14:paraId="1123D2FE" w14:textId="68615535" w:rsidR="00C454BF" w:rsidRPr="00796736" w:rsidRDefault="00C454BF" w:rsidP="00A802A5">
      <w:pPr>
        <w:spacing w:line="360" w:lineRule="auto"/>
        <w:rPr>
          <w:rFonts w:ascii="Times New Roman" w:eastAsia="Times New Roman" w:hAnsi="Times New Roman" w:cs="Times New Roman"/>
          <w:sz w:val="24"/>
          <w:szCs w:val="24"/>
          <w:lang w:eastAsia="da-DK"/>
        </w:rPr>
      </w:pPr>
      <w:bookmarkStart w:id="944" w:name="_Hlk225340901"/>
      <w:r w:rsidRPr="00796736">
        <w:rPr>
          <w:rFonts w:ascii="Times New Roman" w:hAnsi="Times New Roman" w:cs="Times New Roman"/>
          <w:sz w:val="24"/>
          <w:szCs w:val="24"/>
          <w:bdr w:val="none" w:sz="0" w:space="0" w:color="auto" w:frame="1"/>
        </w:rPr>
        <w:t xml:space="preserve">Det foreslås at gennemføre hvidvaskdirektivets artikel 20 ved i </w:t>
      </w:r>
      <w:r w:rsidR="00C16A1F" w:rsidRPr="00796736">
        <w:rPr>
          <w:rFonts w:ascii="Times New Roman" w:hAnsi="Times New Roman" w:cs="Times New Roman"/>
          <w:sz w:val="24"/>
          <w:szCs w:val="24"/>
          <w:bdr w:val="none" w:sz="0" w:space="0" w:color="auto" w:frame="1"/>
        </w:rPr>
        <w:fldChar w:fldCharType="begin"/>
      </w:r>
      <w:r w:rsidR="00C16A1F" w:rsidRPr="00796736">
        <w:rPr>
          <w:rFonts w:ascii="Times New Roman" w:hAnsi="Times New Roman" w:cs="Times New Roman"/>
          <w:sz w:val="24"/>
          <w:szCs w:val="24"/>
          <w:bdr w:val="none" w:sz="0" w:space="0" w:color="auto" w:frame="1"/>
        </w:rPr>
        <w:instrText xml:space="preserve"> REF _Ref232595629 \r \h </w:instrText>
      </w:r>
      <w:r w:rsidR="00967618" w:rsidRPr="00796736">
        <w:rPr>
          <w:rFonts w:ascii="Times New Roman" w:hAnsi="Times New Roman" w:cs="Times New Roman"/>
          <w:sz w:val="24"/>
          <w:szCs w:val="24"/>
          <w:bdr w:val="none" w:sz="0" w:space="0" w:color="auto" w:frame="1"/>
        </w:rPr>
        <w:instrText xml:space="preserve"> \* MERGEFORMAT </w:instrText>
      </w:r>
      <w:r w:rsidR="00C16A1F" w:rsidRPr="00796736">
        <w:rPr>
          <w:rFonts w:ascii="Times New Roman" w:hAnsi="Times New Roman" w:cs="Times New Roman"/>
          <w:sz w:val="24"/>
          <w:szCs w:val="24"/>
          <w:bdr w:val="none" w:sz="0" w:space="0" w:color="auto" w:frame="1"/>
        </w:rPr>
      </w:r>
      <w:r w:rsidR="00C16A1F"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15</w:t>
      </w:r>
      <w:r w:rsidR="00C16A1F" w:rsidRPr="00796736">
        <w:rPr>
          <w:rFonts w:ascii="Times New Roman" w:hAnsi="Times New Roman" w:cs="Times New Roman"/>
          <w:sz w:val="24"/>
          <w:szCs w:val="24"/>
          <w:bdr w:val="none" w:sz="0" w:space="0" w:color="auto" w:frame="1"/>
        </w:rPr>
        <w:fldChar w:fldCharType="end"/>
      </w:r>
      <w:r w:rsidR="00C16A1F" w:rsidRPr="00796736">
        <w:rPr>
          <w:rFonts w:ascii="Times New Roman" w:hAnsi="Times New Roman" w:cs="Times New Roman"/>
          <w:sz w:val="24"/>
          <w:szCs w:val="24"/>
          <w:bdr w:val="none" w:sz="0" w:space="0" w:color="auto" w:frame="1"/>
        </w:rPr>
        <w:t xml:space="preserve"> </w:t>
      </w:r>
      <w:r w:rsidRPr="00796736">
        <w:rPr>
          <w:rFonts w:ascii="Times New Roman" w:hAnsi="Times New Roman" w:cs="Times New Roman"/>
          <w:sz w:val="24"/>
          <w:szCs w:val="24"/>
          <w:bdr w:val="none" w:sz="0" w:space="0" w:color="auto" w:frame="1"/>
        </w:rPr>
        <w:t>at indsætte en bestemmelse, som fastsætte</w:t>
      </w:r>
      <w:bookmarkEnd w:id="944"/>
      <w:r w:rsidRPr="00796736">
        <w:rPr>
          <w:rFonts w:ascii="Times New Roman" w:hAnsi="Times New Roman" w:cs="Times New Roman"/>
          <w:sz w:val="24"/>
          <w:szCs w:val="24"/>
          <w:bdr w:val="none" w:sz="0" w:space="0" w:color="auto" w:frame="1"/>
        </w:rPr>
        <w:t xml:space="preserve">r, at </w:t>
      </w:r>
      <w:r w:rsidRPr="00796736">
        <w:rPr>
          <w:rFonts w:ascii="Times New Roman" w:eastAsia="Times New Roman" w:hAnsi="Times New Roman" w:cs="Times New Roman"/>
          <w:sz w:val="24"/>
          <w:szCs w:val="24"/>
          <w:lang w:eastAsia="da-DK"/>
        </w:rPr>
        <w:t>Hvidvasksekretariatet udpeger en ansvarlig for grundlæggende rettigheder, samt hvad de nærmere opgaver for den ansvarlige for grundlæggende rettigheder består i. Det foreslås endvidere i bestemmelsen at fastsætte, at den ansvarlige for grundlæggende rettigheder ikke må modtage instrukser vedrørende udførelsen af dennes opgaver.</w:t>
      </w:r>
    </w:p>
    <w:p w14:paraId="2662225B" w14:textId="77777777" w:rsidR="00C454BF" w:rsidRPr="00796736" w:rsidRDefault="00C454BF" w:rsidP="00A802A5">
      <w:pPr>
        <w:spacing w:line="360" w:lineRule="auto"/>
        <w:rPr>
          <w:rFonts w:ascii="Times New Roman" w:eastAsia="Times New Roman" w:hAnsi="Times New Roman" w:cs="Times New Roman"/>
          <w:sz w:val="24"/>
          <w:szCs w:val="24"/>
          <w:lang w:eastAsia="da-DK"/>
        </w:rPr>
      </w:pPr>
    </w:p>
    <w:p w14:paraId="1DCCCCDC" w14:textId="77777777" w:rsidR="00C454BF" w:rsidRPr="00796736" w:rsidRDefault="00C454B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 vil medføre, at Hvidvasksekretariatet skal udpege en ansvarlig for grundlæggende rettigheder, som bl.a. vil bidrage til at sikre, at Hvidvasksekretariatet respekterer og beskytter de grundlæggende rettigheder, som er nærmere fastsat i Den Europæiske Unions Charter om grundlæggende rettigheder (chartret).  </w:t>
      </w:r>
    </w:p>
    <w:p w14:paraId="54DBD88E" w14:textId="77777777" w:rsidR="00C454BF" w:rsidRPr="00796736" w:rsidRDefault="00C454BF" w:rsidP="00A802A5">
      <w:pPr>
        <w:spacing w:line="360" w:lineRule="auto"/>
        <w:rPr>
          <w:rFonts w:ascii="Times New Roman" w:hAnsi="Times New Roman" w:cs="Times New Roman"/>
          <w:sz w:val="24"/>
          <w:szCs w:val="24"/>
          <w:bdr w:val="none" w:sz="0" w:space="0" w:color="auto" w:frame="1"/>
        </w:rPr>
      </w:pPr>
    </w:p>
    <w:p w14:paraId="53528244" w14:textId="594CA542" w:rsidR="001A5922" w:rsidRPr="00796736" w:rsidRDefault="00C454B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C16A1F" w:rsidRPr="00796736">
        <w:rPr>
          <w:rFonts w:ascii="Times New Roman" w:hAnsi="Times New Roman" w:cs="Times New Roman"/>
          <w:sz w:val="24"/>
          <w:szCs w:val="24"/>
          <w:bdr w:val="none" w:sz="0" w:space="0" w:color="auto" w:frame="1"/>
        </w:rPr>
        <w:fldChar w:fldCharType="begin"/>
      </w:r>
      <w:r w:rsidR="00C16A1F" w:rsidRPr="00796736">
        <w:rPr>
          <w:rFonts w:ascii="Times New Roman" w:hAnsi="Times New Roman" w:cs="Times New Roman"/>
          <w:sz w:val="24"/>
          <w:szCs w:val="24"/>
          <w:bdr w:val="none" w:sz="0" w:space="0" w:color="auto" w:frame="1"/>
        </w:rPr>
        <w:instrText xml:space="preserve"> REF _Ref232595629 \r \h </w:instrText>
      </w:r>
      <w:r w:rsidR="00967618" w:rsidRPr="00796736">
        <w:rPr>
          <w:rFonts w:ascii="Times New Roman" w:hAnsi="Times New Roman" w:cs="Times New Roman"/>
          <w:sz w:val="24"/>
          <w:szCs w:val="24"/>
          <w:bdr w:val="none" w:sz="0" w:space="0" w:color="auto" w:frame="1"/>
        </w:rPr>
        <w:instrText xml:space="preserve"> \* MERGEFORMAT </w:instrText>
      </w:r>
      <w:r w:rsidR="00C16A1F" w:rsidRPr="00796736">
        <w:rPr>
          <w:rFonts w:ascii="Times New Roman" w:hAnsi="Times New Roman" w:cs="Times New Roman"/>
          <w:sz w:val="24"/>
          <w:szCs w:val="24"/>
          <w:bdr w:val="none" w:sz="0" w:space="0" w:color="auto" w:frame="1"/>
        </w:rPr>
      </w:r>
      <w:r w:rsidR="00C16A1F"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15</w:t>
      </w:r>
      <w:r w:rsidR="00C16A1F" w:rsidRPr="00796736">
        <w:rPr>
          <w:rFonts w:ascii="Times New Roman" w:hAnsi="Times New Roman" w:cs="Times New Roman"/>
          <w:sz w:val="24"/>
          <w:szCs w:val="24"/>
          <w:bdr w:val="none" w:sz="0" w:space="0" w:color="auto" w:frame="1"/>
        </w:rPr>
        <w:fldChar w:fldCharType="end"/>
      </w:r>
      <w:r w:rsidR="00C16A1F" w:rsidRPr="00796736">
        <w:rPr>
          <w:rFonts w:ascii="Times New Roman" w:hAnsi="Times New Roman" w:cs="Times New Roman"/>
          <w:sz w:val="24"/>
          <w:szCs w:val="24"/>
          <w:bdr w:val="none" w:sz="0" w:space="0" w:color="auto" w:frame="1"/>
        </w:rPr>
        <w:t xml:space="preserve"> </w:t>
      </w:r>
      <w:r w:rsidRPr="00796736">
        <w:rPr>
          <w:rFonts w:ascii="Times New Roman" w:eastAsia="Times New Roman" w:hAnsi="Times New Roman" w:cs="Times New Roman"/>
          <w:sz w:val="24"/>
          <w:szCs w:val="24"/>
          <w:lang w:eastAsia="da-DK"/>
        </w:rPr>
        <w:t>og bemærkningerne hertil.</w:t>
      </w:r>
    </w:p>
    <w:p w14:paraId="7D2F8E1C" w14:textId="77777777" w:rsidR="00026841" w:rsidRPr="00796736" w:rsidRDefault="00026841" w:rsidP="00A802A5">
      <w:pPr>
        <w:spacing w:line="360" w:lineRule="auto"/>
        <w:rPr>
          <w:rFonts w:ascii="Times New Roman" w:eastAsia="Times New Roman" w:hAnsi="Times New Roman" w:cs="Times New Roman"/>
          <w:sz w:val="24"/>
          <w:szCs w:val="24"/>
          <w:lang w:eastAsia="da-DK"/>
        </w:rPr>
      </w:pPr>
    </w:p>
    <w:p w14:paraId="01FB5749" w14:textId="1E5C71AB" w:rsidR="001A5922" w:rsidRPr="00796736" w:rsidRDefault="001A5922" w:rsidP="00A802A5">
      <w:pPr>
        <w:pStyle w:val="Overskrift2"/>
        <w:rPr>
          <w:rFonts w:ascii="Times New Roman" w:hAnsi="Times New Roman"/>
          <w:sz w:val="24"/>
        </w:rPr>
      </w:pPr>
      <w:bookmarkStart w:id="945" w:name="_Toc229739653"/>
      <w:bookmarkStart w:id="946" w:name="_Toc232109051"/>
      <w:bookmarkStart w:id="947" w:name="_Ref232943005"/>
      <w:bookmarkStart w:id="948" w:name="_Ref232943114"/>
      <w:bookmarkStart w:id="949" w:name="_Toc244880732"/>
      <w:r w:rsidRPr="00796736">
        <w:rPr>
          <w:rFonts w:ascii="Times New Roman" w:hAnsi="Times New Roman"/>
          <w:sz w:val="24"/>
        </w:rPr>
        <w:t>Adgang til oplysninger</w:t>
      </w:r>
      <w:bookmarkEnd w:id="945"/>
      <w:bookmarkEnd w:id="946"/>
      <w:bookmarkEnd w:id="947"/>
      <w:bookmarkEnd w:id="948"/>
      <w:bookmarkEnd w:id="949"/>
      <w:r w:rsidRPr="00796736">
        <w:rPr>
          <w:rFonts w:ascii="Times New Roman" w:hAnsi="Times New Roman"/>
          <w:sz w:val="24"/>
        </w:rPr>
        <w:t xml:space="preserve"> </w:t>
      </w:r>
    </w:p>
    <w:p w14:paraId="22502DFD" w14:textId="02C2BFBD" w:rsidR="001A5922" w:rsidRPr="00796736" w:rsidRDefault="001A5922" w:rsidP="00A802A5">
      <w:pPr>
        <w:pStyle w:val="Overskrift4"/>
        <w:rPr>
          <w:rFonts w:ascii="Times New Roman" w:hAnsi="Times New Roman" w:cs="Times New Roman"/>
          <w:i/>
          <w:iCs/>
          <w:sz w:val="24"/>
          <w:szCs w:val="24"/>
        </w:rPr>
      </w:pPr>
      <w:bookmarkStart w:id="950" w:name="_Toc232109052"/>
      <w:bookmarkStart w:id="951" w:name="_Ref232791553"/>
      <w:r w:rsidRPr="00796736">
        <w:rPr>
          <w:rFonts w:ascii="Times New Roman" w:hAnsi="Times New Roman" w:cs="Times New Roman"/>
          <w:sz w:val="24"/>
          <w:szCs w:val="24"/>
        </w:rPr>
        <w:t>Gældende ret</w:t>
      </w:r>
      <w:bookmarkEnd w:id="950"/>
      <w:bookmarkEnd w:id="951"/>
    </w:p>
    <w:p w14:paraId="356F3E05" w14:textId="77777777" w:rsidR="00D1513B" w:rsidRPr="00796736" w:rsidRDefault="00D1513B" w:rsidP="00A802A5">
      <w:pPr>
        <w:spacing w:after="240" w:line="360" w:lineRule="auto"/>
        <w:rPr>
          <w:rFonts w:ascii="Times New Roman" w:hAnsi="Times New Roman" w:cs="Times New Roman"/>
          <w:sz w:val="24"/>
          <w:szCs w:val="24"/>
        </w:rPr>
      </w:pPr>
      <w:bookmarkStart w:id="952" w:name="_Hlk226712481"/>
      <w:r w:rsidRPr="00796736">
        <w:rPr>
          <w:rFonts w:ascii="Times New Roman" w:hAnsi="Times New Roman" w:cs="Times New Roman"/>
          <w:sz w:val="24"/>
          <w:szCs w:val="24"/>
        </w:rPr>
        <w:t xml:space="preserve">Hvidvasksekretariatets adgang til oplysninger er reguleret i hvidvasklovens § 29, stk. 4, og FIU-cirkulærets § 1. </w:t>
      </w:r>
    </w:p>
    <w:p w14:paraId="07AB1DB6" w14:textId="77777777" w:rsidR="00D1513B" w:rsidRPr="00796736" w:rsidRDefault="00D1513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29, stk. 4, 1. pkt., kan Hvidvasksekretariatet kræve enhver oplysning, der er nødvendig for varetagelsen af sekretariatets opgaver som beskrevet i § 29, stk. 2, med henblik på at forebygge, opdage og effektivt bekæmpe hvidvask og terrorfinansiering, fra virksomheder og personer omfattet af denne lov, medmindre virksomheden eller personen efter § 27, stk. 1-3, er undtaget fra underretningspligt. </w:t>
      </w:r>
    </w:p>
    <w:p w14:paraId="4A9F8511" w14:textId="77777777"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hvidvasklovens § 29, stk. 4, bl.a., at Hvidvasksekretariatets behov for at indhente yderligere oplysninger fra virksomheder og personer omfattet af loven på grundlag af en mistanke om hvidvask af penge eller finansiering af terrorisme kan være udløst af en forudgående underretning til Hvidvasksekretariatet men kan også udløses af andre mekanismer, f.eks. Hvidvasksekretariatets egen undersøgelse, efterretninger fra kompetente myndigheder eller oplysninger fra en anden finansiel efterretningsenhed. </w:t>
      </w:r>
    </w:p>
    <w:p w14:paraId="64C0AE9F" w14:textId="77777777" w:rsidR="00D1513B" w:rsidRPr="00796736" w:rsidRDefault="00D1513B" w:rsidP="00A802A5">
      <w:pPr>
        <w:spacing w:line="360" w:lineRule="auto"/>
        <w:rPr>
          <w:rFonts w:ascii="Times New Roman" w:hAnsi="Times New Roman" w:cs="Times New Roman"/>
          <w:sz w:val="24"/>
          <w:szCs w:val="24"/>
        </w:rPr>
      </w:pPr>
    </w:p>
    <w:p w14:paraId="4EF7F49C" w14:textId="77777777"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bl.a. af bemærkningerne, at det forudsættes, at Hvidvasksekretariatet i forbindelse med anmodningen om oplysninger fastsætter en passende tidsfrist for opfyldelse af oplysningsforpligtelsen.</w:t>
      </w:r>
    </w:p>
    <w:p w14:paraId="196FDF43" w14:textId="77777777" w:rsidR="00D1513B" w:rsidRPr="00796736" w:rsidRDefault="00D1513B" w:rsidP="00A802A5">
      <w:pPr>
        <w:spacing w:line="360" w:lineRule="auto"/>
        <w:rPr>
          <w:rFonts w:ascii="Times New Roman" w:hAnsi="Times New Roman" w:cs="Times New Roman"/>
          <w:sz w:val="24"/>
          <w:szCs w:val="24"/>
        </w:rPr>
      </w:pPr>
    </w:p>
    <w:p w14:paraId="73D4D7F7" w14:textId="77777777"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kan med den foreslåede bestemmelse alene kan indhentes oplysninger til brug for Hvidvasksekretariatets opgavevaretagelse som beskrevet i den foreslåede bestemmelse i § 29, stk. 2, hvilket bl.a. udelukker, at oplysninger indhentes til brug for mere generelle analyser af aktuelle trends mv., eller at oplysninger alene indhentes til brug for andre myndigheders opgavevaretagelse. Det forudsættes dog, at Hvidvasksekretariatet kan indhente sådanne oplysninger, som er nødvendige, for at en anden EU-medlemsstats FIU tilsvarende kan varetage sine opgaver efter artikel 32, stk. 3, i 4. hvidvaskdirektiv.</w:t>
      </w:r>
    </w:p>
    <w:p w14:paraId="476E1BA3" w14:textId="77777777" w:rsidR="00D1513B" w:rsidRPr="00796736" w:rsidRDefault="00D1513B" w:rsidP="00A802A5">
      <w:pPr>
        <w:spacing w:line="360" w:lineRule="auto"/>
        <w:rPr>
          <w:rFonts w:ascii="Times New Roman" w:hAnsi="Times New Roman" w:cs="Times New Roman"/>
          <w:sz w:val="24"/>
          <w:szCs w:val="24"/>
        </w:rPr>
      </w:pPr>
    </w:p>
    <w:p w14:paraId="66270E42" w14:textId="77777777"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Oplysningspligten finder ifølge bemærkningerne ikke anvendelse, hvis der foreligger en konkret mistanke om, at en fysisk eller juridisk person har begået en strafbar lovovertrædelse, og oplysningerne søges tilvejebragt til brug for behandlingen af spørgsmålet om fastsættelse af straf, jf. § 10, stk. 2, i lov om retssikkerhed ved forvaltningens anvendelse af tvangsindgreb og oplysningspligter (retssikkerhedsloven). I disse tilfælde skal indhentelsen af oplysninger ske efter retsplejelovens regler om strafprocessuelle tvangsindgreb, herunder reglerne om ransagning, beslaglæggelse og edition. </w:t>
      </w:r>
    </w:p>
    <w:p w14:paraId="035AF636" w14:textId="77777777" w:rsidR="00D1513B" w:rsidRPr="00796736" w:rsidRDefault="00D1513B" w:rsidP="00A802A5">
      <w:pPr>
        <w:spacing w:line="360" w:lineRule="auto"/>
        <w:rPr>
          <w:rFonts w:ascii="Times New Roman" w:hAnsi="Times New Roman" w:cs="Times New Roman"/>
          <w:sz w:val="24"/>
          <w:szCs w:val="24"/>
        </w:rPr>
      </w:pPr>
    </w:p>
    <w:p w14:paraId="53A42F3C" w14:textId="77777777"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Herudover fremgår det af bemærkningerne, at såfremt mistanken retter sig mod den fysiske eller juridiske person, hos hvem oplysningerne søges tilvejebragt, vil oplysningspligten ikke gælde, medmindre det kan udelukkes, at de oplysninger, som søges tilvejebragt, kan have betydning for bedømmelsen af den formodede lovovertrædelse, jf. retssikkerhedslovens § 10, stk. 1. Hvidvasksekretariatet kan således eksempelvis ikke anvende oplysningspligten over for et pengeinstitut for at sikre beviser til en straffesag mod pengeinstituttet for overtrædelse af hvidvaskloven. </w:t>
      </w:r>
    </w:p>
    <w:p w14:paraId="5CB504C9" w14:textId="77777777" w:rsidR="00D1513B" w:rsidRPr="00796736" w:rsidRDefault="00D1513B" w:rsidP="00A802A5">
      <w:pPr>
        <w:spacing w:line="360" w:lineRule="auto"/>
        <w:rPr>
          <w:rFonts w:ascii="Times New Roman" w:hAnsi="Times New Roman" w:cs="Times New Roman"/>
          <w:sz w:val="24"/>
          <w:szCs w:val="24"/>
        </w:rPr>
      </w:pPr>
    </w:p>
    <w:p w14:paraId="278573C1" w14:textId="77777777"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Hvidvasksekretariatets indsamling af oplysninger derudover er underlagt forvaltningslovens § 32 og de almindelige forvaltningsretlige principper om saglighed og proportionalitet samt og for så vidt angår personoplysninger de grundlæggende behandlingsregler og behandlingsprincipper i retshåndhævelsesloven.  </w:t>
      </w:r>
    </w:p>
    <w:p w14:paraId="45B679B2" w14:textId="77777777" w:rsidR="00D1513B" w:rsidRPr="00796736" w:rsidRDefault="00D1513B" w:rsidP="00A802A5">
      <w:pPr>
        <w:spacing w:line="360" w:lineRule="auto"/>
        <w:rPr>
          <w:rFonts w:ascii="Times New Roman" w:hAnsi="Times New Roman" w:cs="Times New Roman"/>
          <w:sz w:val="24"/>
          <w:szCs w:val="24"/>
        </w:rPr>
      </w:pPr>
    </w:p>
    <w:p w14:paraId="04677F8E" w14:textId="77777777"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Lovligheden af Hvidvasksekretariatets behandling af personoplysninger kan efterprøves af Datatilsynet.</w:t>
      </w:r>
    </w:p>
    <w:p w14:paraId="11950E8E" w14:textId="77777777" w:rsidR="00D1513B" w:rsidRPr="00796736" w:rsidRDefault="00D1513B" w:rsidP="00A802A5">
      <w:pPr>
        <w:spacing w:line="360" w:lineRule="auto"/>
        <w:rPr>
          <w:rFonts w:ascii="Times New Roman" w:hAnsi="Times New Roman" w:cs="Times New Roman"/>
          <w:sz w:val="24"/>
          <w:szCs w:val="24"/>
        </w:rPr>
      </w:pPr>
    </w:p>
    <w:p w14:paraId="1E5C1842" w14:textId="77777777"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2019-20, tillæg A, L 58 som fremsat, side 71-72.</w:t>
      </w:r>
    </w:p>
    <w:p w14:paraId="4E1B5812" w14:textId="77777777" w:rsidR="00D1513B" w:rsidRPr="00796736" w:rsidRDefault="00D1513B" w:rsidP="00A802A5">
      <w:pPr>
        <w:spacing w:line="360" w:lineRule="auto"/>
        <w:rPr>
          <w:rFonts w:ascii="Times New Roman" w:hAnsi="Times New Roman" w:cs="Times New Roman"/>
          <w:sz w:val="24"/>
          <w:szCs w:val="24"/>
        </w:rPr>
      </w:pPr>
    </w:p>
    <w:p w14:paraId="681C2460" w14:textId="2BC5928E" w:rsidR="00D1513B"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FIU-cirkulærets § 1 har Hvidvasksekretariatet i overensstemmelse med gældende regler adgang til de oplysninger, som er nødvendige for, at Hvidvasksekretariatet kan varetage sine opgaver som anført i hvidvasklovens § 29, stk. 2.</w:t>
      </w:r>
    </w:p>
    <w:p w14:paraId="2FA64E08" w14:textId="77777777" w:rsidR="00D82876" w:rsidRPr="00796736" w:rsidRDefault="00D82876" w:rsidP="00A802A5">
      <w:pPr>
        <w:spacing w:line="360" w:lineRule="auto"/>
        <w:rPr>
          <w:rFonts w:ascii="Times New Roman" w:hAnsi="Times New Roman" w:cs="Times New Roman"/>
          <w:sz w:val="24"/>
          <w:szCs w:val="24"/>
        </w:rPr>
      </w:pPr>
    </w:p>
    <w:p w14:paraId="3245BBFE" w14:textId="1AAC7030" w:rsidR="001A5922" w:rsidRPr="00796736" w:rsidRDefault="00D1513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Hvidvasklovens § 29, stk. 4, og FIU-cirkulærets § 1 gennemfører 4. og 5. hvidvaskdirektivs artikel 32, stk. 4, 1. pkt., og stk. 9, samt artikel 33, stk. 1, litra b</w:t>
      </w:r>
    </w:p>
    <w:p w14:paraId="7DC4C374" w14:textId="77777777" w:rsidR="00D1513B" w:rsidRPr="00796736" w:rsidRDefault="00D1513B" w:rsidP="00A802A5">
      <w:pPr>
        <w:spacing w:line="360" w:lineRule="auto"/>
        <w:rPr>
          <w:rFonts w:ascii="Times New Roman" w:hAnsi="Times New Roman" w:cs="Times New Roman"/>
          <w:sz w:val="24"/>
          <w:szCs w:val="24"/>
        </w:rPr>
      </w:pPr>
    </w:p>
    <w:p w14:paraId="3849C03D" w14:textId="76F9F435" w:rsidR="001A5922" w:rsidRPr="00796736" w:rsidRDefault="005F49DC" w:rsidP="00A802A5">
      <w:pPr>
        <w:pStyle w:val="Overskrift4"/>
        <w:rPr>
          <w:rFonts w:ascii="Times New Roman" w:hAnsi="Times New Roman" w:cs="Times New Roman"/>
          <w:sz w:val="24"/>
          <w:szCs w:val="24"/>
        </w:rPr>
      </w:pPr>
      <w:bookmarkStart w:id="953" w:name="_Toc232109053"/>
      <w:bookmarkStart w:id="954" w:name="_Ref232791533"/>
      <w:r w:rsidRPr="00796736">
        <w:rPr>
          <w:rFonts w:ascii="Times New Roman" w:hAnsi="Times New Roman" w:cs="Times New Roman"/>
          <w:sz w:val="24"/>
          <w:szCs w:val="24"/>
        </w:rPr>
        <w:t>6. hvidvaskd</w:t>
      </w:r>
      <w:r w:rsidR="001A5922" w:rsidRPr="00796736">
        <w:rPr>
          <w:rFonts w:ascii="Times New Roman" w:hAnsi="Times New Roman" w:cs="Times New Roman"/>
          <w:sz w:val="24"/>
          <w:szCs w:val="24"/>
        </w:rPr>
        <w:t>irektiv</w:t>
      </w:r>
      <w:bookmarkEnd w:id="953"/>
      <w:bookmarkEnd w:id="954"/>
      <w:r w:rsidR="001A5922" w:rsidRPr="00796736">
        <w:rPr>
          <w:rFonts w:ascii="Times New Roman" w:hAnsi="Times New Roman" w:cs="Times New Roman"/>
          <w:sz w:val="24"/>
          <w:szCs w:val="24"/>
        </w:rPr>
        <w:t xml:space="preserve">  </w:t>
      </w:r>
    </w:p>
    <w:p w14:paraId="0758580D" w14:textId="77777777" w:rsidR="005F49DC" w:rsidRPr="00796736" w:rsidRDefault="005F49DC" w:rsidP="00A802A5">
      <w:pPr>
        <w:spacing w:line="360" w:lineRule="auto"/>
        <w:rPr>
          <w:rFonts w:ascii="Times New Roman" w:hAnsi="Times New Roman" w:cs="Times New Roman"/>
          <w:sz w:val="24"/>
          <w:szCs w:val="24"/>
        </w:rPr>
      </w:pPr>
      <w:bookmarkStart w:id="955" w:name="_Hlk231290348"/>
      <w:r w:rsidRPr="00796736">
        <w:rPr>
          <w:rFonts w:ascii="Times New Roman" w:hAnsi="Times New Roman" w:cs="Times New Roman"/>
          <w:sz w:val="24"/>
          <w:szCs w:val="24"/>
        </w:rPr>
        <w:t xml:space="preserve">Hvidvaskdirektivets artikel 21 vedrører FIU’ens adgang til oplysninger. Bestemmelsen erstatter 4. og 5. hvidvaskdirektivs artikel 32, stk. 4, 1. pkt., og stk. 9. </w:t>
      </w:r>
    </w:p>
    <w:bookmarkEnd w:id="955"/>
    <w:p w14:paraId="63368FBC" w14:textId="77777777" w:rsidR="005F49DC" w:rsidRPr="00796736" w:rsidRDefault="005F49DC" w:rsidP="00A802A5">
      <w:pPr>
        <w:spacing w:line="360" w:lineRule="auto"/>
        <w:rPr>
          <w:rFonts w:ascii="Times New Roman" w:hAnsi="Times New Roman" w:cs="Times New Roman"/>
          <w:sz w:val="24"/>
          <w:szCs w:val="24"/>
        </w:rPr>
      </w:pPr>
    </w:p>
    <w:p w14:paraId="3F351529" w14:textId="77777777" w:rsidR="005F49DC" w:rsidRPr="00796736" w:rsidRDefault="005F49D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artikel 21, stk. 1, 1, pkt., at medlemsstaterne sikrer, at FIU’er, uanset deres organisatoriske status, har adgang til de oplysninger, som de skal bruge for at kunne udføre deres opgaver, herunder finansielle oplysninger, administrative oplysninger og oplysninger om retshåndhævelse. </w:t>
      </w:r>
    </w:p>
    <w:p w14:paraId="72799504" w14:textId="77777777" w:rsidR="005F49DC" w:rsidRPr="00796736" w:rsidRDefault="005F49D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stk. 1, 1. afsnit, 2. pkt., litra a, skal FIU’er mindst have umiddelbar og direkte adgang til følgende finansielle oplysninger: </w:t>
      </w:r>
    </w:p>
    <w:p w14:paraId="3D56B376" w14:textId="77777777" w:rsidR="005F49DC" w:rsidRPr="00796736" w:rsidRDefault="005F49DC">
      <w:pPr>
        <w:pStyle w:val="Listeafsnit"/>
        <w:numPr>
          <w:ilvl w:val="0"/>
          <w:numId w:val="7"/>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Oplysninger i de nationale centrale automatiske mekanismer i overensstemmelse med artikel 16.</w:t>
      </w:r>
    </w:p>
    <w:p w14:paraId="422F9D32" w14:textId="77777777" w:rsidR="005F49DC" w:rsidRPr="00796736" w:rsidRDefault="005F49DC">
      <w:pPr>
        <w:pStyle w:val="Listeafsnit"/>
        <w:numPr>
          <w:ilvl w:val="0"/>
          <w:numId w:val="7"/>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Oplysninger fra forpligtede enheder, herunder oplysninger om pengeoverførsler som defineret i artikel 3, nr. 9), i forordning (EU) 2023/1113 om oplysninger, der skal medsendes ved pengeoverførsler og overførsler af kryptoaktiver som defineret i nævnte forordnings artikel 3, nr. 10).</w:t>
      </w:r>
    </w:p>
    <w:p w14:paraId="37AE4D26" w14:textId="77777777" w:rsidR="005F49DC" w:rsidRPr="00796736" w:rsidRDefault="005F49DC">
      <w:pPr>
        <w:pStyle w:val="Listeafsnit"/>
        <w:numPr>
          <w:ilvl w:val="0"/>
          <w:numId w:val="7"/>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Oplysninger om realkreditlån og lån.</w:t>
      </w:r>
    </w:p>
    <w:p w14:paraId="34D2774F" w14:textId="77777777" w:rsidR="005F49DC" w:rsidRPr="00796736" w:rsidRDefault="005F49DC">
      <w:pPr>
        <w:pStyle w:val="Listeafsnit"/>
        <w:numPr>
          <w:ilvl w:val="0"/>
          <w:numId w:val="7"/>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Oplysninger i de nationale databaser over valuta og valutaveksling.</w:t>
      </w:r>
    </w:p>
    <w:p w14:paraId="0937D6A3" w14:textId="77777777" w:rsidR="005F49DC" w:rsidRPr="00796736" w:rsidRDefault="005F49DC">
      <w:pPr>
        <w:pStyle w:val="Listeafsnit"/>
        <w:numPr>
          <w:ilvl w:val="0"/>
          <w:numId w:val="7"/>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Oplysninger om værdipapirer. </w:t>
      </w:r>
    </w:p>
    <w:p w14:paraId="3E31E2E3" w14:textId="77777777" w:rsidR="005F49DC" w:rsidRPr="00796736" w:rsidRDefault="005F49D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stk. 1, 1. afsnit, 2. pkt., litra b, skal FIU’er mindst have umiddelbar og direkte adgang til følgende administrative oplysninger: </w:t>
      </w:r>
    </w:p>
    <w:p w14:paraId="1AD9F6BC" w14:textId="77777777" w:rsidR="005F49DC" w:rsidRPr="00796736" w:rsidRDefault="005F49DC">
      <w:pPr>
        <w:pStyle w:val="Listeafsnit"/>
        <w:numPr>
          <w:ilvl w:val="0"/>
          <w:numId w:val="8"/>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Skatteoplysninger, herunder oplysninger, som opbevares af skattemyndighederne, samt oplysninger, der er indhentet i henhold til artikel 8, stk. 3a, i Rådets direktiv 2011/16/EU </w:t>
      </w:r>
      <w:r w:rsidRPr="00796736">
        <w:rPr>
          <w:rFonts w:ascii="Times New Roman" w:eastAsia="Times New Roman" w:hAnsi="Times New Roman" w:cs="Times New Roman"/>
          <w:sz w:val="24"/>
          <w:szCs w:val="24"/>
          <w:lang w:eastAsia="da-DK"/>
        </w:rPr>
        <w:t>om administrativt samarbejde på beskatningsområdet</w:t>
      </w:r>
      <w:r w:rsidRPr="00796736">
        <w:rPr>
          <w:rFonts w:ascii="Times New Roman" w:eastAsia="Calibri" w:hAnsi="Times New Roman" w:cs="Times New Roman"/>
          <w:sz w:val="24"/>
          <w:szCs w:val="24"/>
        </w:rPr>
        <w:t>.</w:t>
      </w:r>
    </w:p>
    <w:p w14:paraId="36DB3CB9" w14:textId="77777777" w:rsidR="005F49DC" w:rsidRPr="00796736" w:rsidRDefault="005F49DC">
      <w:pPr>
        <w:pStyle w:val="Listeafsnit"/>
        <w:numPr>
          <w:ilvl w:val="0"/>
          <w:numId w:val="8"/>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Oplysninger om udbudsprocedurer vedrørende varer, tjenesteydelser eller koncessioner. </w:t>
      </w:r>
    </w:p>
    <w:p w14:paraId="13B5686A"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fra bankkontoregistrets sammenkoblingssystem som omhandlet i artikel 16 samt fra nationale ejendomsregistre eller elektroniske systemer til dataudtræk og matrikelregistre.</w:t>
      </w:r>
    </w:p>
    <w:p w14:paraId="317370DE"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i nationale statsborgerskabs- og folkeregistre over fysiske personer.</w:t>
      </w:r>
    </w:p>
    <w:p w14:paraId="34BDBDA1"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Oplysninger i nationale pas- og visumregistre, </w:t>
      </w:r>
    </w:p>
    <w:p w14:paraId="6E20A02E"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i databaser over rejser på tværs af grænserne.</w:t>
      </w:r>
    </w:p>
    <w:p w14:paraId="74ADE49E"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i kommercielle databaser, herunder virksomheds- og selskabsregistre og databaser over politisk eksponerede personer.</w:t>
      </w:r>
    </w:p>
    <w:p w14:paraId="4E286E6B"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Oplysninger i nationale registre over motorkøretøjer, luftfartøjer og fartøjer, </w:t>
      </w:r>
    </w:p>
    <w:p w14:paraId="0020E3CE"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i national socialsikringsregistre.</w:t>
      </w:r>
    </w:p>
    <w:p w14:paraId="08CFFCA7"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Tolddata, herunder grænseoverskridende fysiske overførsler af kontanter.</w:t>
      </w:r>
    </w:p>
    <w:p w14:paraId="2E1C4998"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Oplysninger i nationale våbenregistre. </w:t>
      </w:r>
    </w:p>
    <w:p w14:paraId="0E40138B"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i nationale registre over reelt ejerskab.</w:t>
      </w:r>
    </w:p>
    <w:p w14:paraId="4B3A8317"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Data, der er tilgængelige via sammenkoblingen af centrale registre i overensstemmelse med artikel 10, stk. 19. </w:t>
      </w:r>
    </w:p>
    <w:p w14:paraId="1EC3E568"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i registre over nonprofitorganisationer.</w:t>
      </w:r>
    </w:p>
    <w:p w14:paraId="5C44930F"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som opbevares af nationale finansielle tilsynsorganer og regulerende myndigheder, i overensstemmelse med artikel 61 og artikel 67, stk. 2.</w:t>
      </w:r>
    </w:p>
    <w:p w14:paraId="4DCA7CD7"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Databaser til lagring af data om handel med CO2 -emissioner oprettet i henhold til Kommissionens forordning (EU) nr. 389/2013 </w:t>
      </w:r>
      <w:r w:rsidRPr="00796736">
        <w:rPr>
          <w:rFonts w:ascii="Times New Roman" w:eastAsia="Times New Roman" w:hAnsi="Times New Roman" w:cs="Times New Roman"/>
          <w:sz w:val="24"/>
          <w:szCs w:val="24"/>
          <w:lang w:eastAsia="da-DK"/>
        </w:rPr>
        <w:t>om oprettelse af et EU-register i henhold til Europa-Parlamentets og Rådets direktiv 2003/87/EF og Europa-Parlamentets og Rådets beslutning nr. 280/2004/EF og nr. 406/2009/EF</w:t>
      </w:r>
      <w:r w:rsidRPr="00796736">
        <w:rPr>
          <w:rFonts w:ascii="Times New Roman" w:hAnsi="Times New Roman" w:cs="Times New Roman"/>
          <w:sz w:val="24"/>
          <w:szCs w:val="24"/>
        </w:rPr>
        <w:t>.</w:t>
      </w:r>
    </w:p>
    <w:p w14:paraId="6C242E80"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om virksomheders årsregnskaber.</w:t>
      </w:r>
    </w:p>
    <w:p w14:paraId="4318E201"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Nationale migrations- og immigrationsregistre.</w:t>
      </w:r>
    </w:p>
    <w:p w14:paraId="2CA323CB"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som opbevares af handelsretter.</w:t>
      </w:r>
    </w:p>
    <w:p w14:paraId="09A0FE03" w14:textId="77777777" w:rsidR="005F49DC" w:rsidRPr="00796736" w:rsidRDefault="005F49DC">
      <w:pPr>
        <w:pStyle w:val="Listeafsnit"/>
        <w:numPr>
          <w:ilvl w:val="0"/>
          <w:numId w:val="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 som findes i insolvensdatabaser, og som insolvensbehandlere er i besiddelse af.</w:t>
      </w:r>
    </w:p>
    <w:p w14:paraId="003D75B6" w14:textId="77777777" w:rsidR="005F49DC" w:rsidRPr="00796736" w:rsidRDefault="005F49DC">
      <w:pPr>
        <w:pStyle w:val="Listeafsnit"/>
        <w:numPr>
          <w:ilvl w:val="0"/>
          <w:numId w:val="8"/>
        </w:num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Oplysninger om pengemidler eller andre aktiver, der er indefrosset eller immobiliseret i henhold til målrettede finansielle sanktioner.</w:t>
      </w:r>
    </w:p>
    <w:p w14:paraId="50D97892" w14:textId="77777777" w:rsidR="005F49DC" w:rsidRPr="00796736" w:rsidRDefault="005F49D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stk. 1, 1. afsnit, 2. pkt. litra c, skal FIU’er mindst have direkte eller indirekte adgang til følgende retshåndhævelsesoplysninger: </w:t>
      </w:r>
    </w:p>
    <w:p w14:paraId="41F34E62" w14:textId="77777777" w:rsidR="005F49DC" w:rsidRPr="00796736" w:rsidRDefault="005F49DC">
      <w:pPr>
        <w:pStyle w:val="Listeafsnit"/>
        <w:numPr>
          <w:ilvl w:val="0"/>
          <w:numId w:val="9"/>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enhver form for oplysninger eller data, som allerede opbevares af de kompetente myndigheder i forbindelse med forebyggelse, afsløring, efterforskning eller retsforfølgning af strafbare handlinger.</w:t>
      </w:r>
    </w:p>
    <w:p w14:paraId="2E12E98F" w14:textId="77777777" w:rsidR="005F49DC" w:rsidRPr="00796736" w:rsidRDefault="005F49DC">
      <w:pPr>
        <w:pStyle w:val="Listeafsnit"/>
        <w:numPr>
          <w:ilvl w:val="0"/>
          <w:numId w:val="9"/>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enhver form for oplysninger eller data, som opbevares af offentlige myndigheder eller private enheder i forbindelse med forebyggelse, afsløring, efterforskning eller retsforfølgning af strafbare handlinger, og som er til rådighed for de kompetente myndigheder uden at foretage tvangsindgreb i henhold til national ret. </w:t>
      </w:r>
    </w:p>
    <w:p w14:paraId="1FCD54DD" w14:textId="5C8D8EC6" w:rsidR="0042556A" w:rsidRPr="00796736" w:rsidRDefault="0042556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hvidvaskdirektivets præambelbetragtning nr. 68 bl.a., at det ved FIU’ers udførelse af deres opgaver er blevet afgørende at identificere det minimumsdatasæt, som de bør have hurtig adgang til og være i stand til uhindret at udveksle med deres modparter fra andre medlemsstater.</w:t>
      </w:r>
    </w:p>
    <w:p w14:paraId="030D40D7" w14:textId="359D29BF" w:rsidR="005F49DC" w:rsidRPr="00796736" w:rsidRDefault="005F49D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præambelbetragtning nr. 69 bl.a., at </w:t>
      </w:r>
      <w:r w:rsidRPr="00796736">
        <w:rPr>
          <w:rFonts w:ascii="Times New Roman" w:hAnsi="Times New Roman" w:cs="Times New Roman"/>
          <w:sz w:val="24"/>
          <w:szCs w:val="24"/>
        </w:rPr>
        <w:t>FIU’ers beføjelser omfatter retten til at få direkte eller indirekte adgang til de »finansielle« og »administrative« oplysninger og de oplysninger om »retshåndhævelse«, som de skal bruge for at kunne bekæmpe hvidvask af penge, de underliggende lovovertrædelser og finansiering af terrorisme. Den manglende definition af, hvilke typer oplysninger disse generelle kategorier omfatter, har resulteret i, at FIU’er har fået adgang til betydeligt diversificerede sæt af oplysninger, hvilket har en indvirkning på FIU’ernes analytiske funktioner og på deres evne til at samarbejde effektivt med deres modparter fra andre medlemsstater, herunder inden for rammerne af fælles analyser. Det er derfor nødvendigt at definere minimumssættet af »finansielle« oplysninger, »administrative« oplysninger og oplysninger om »retshåndhævelse«, som bør stilles direkte eller indirekte til rådighed for alle FIU’er i hele Unionen. FIU'er modtager og lagrer også i deres databaser eller har adgang til oplysninger vedrørende transaktioner, der indberettes, når bestemte tærskler overskrides (tærskelbaserede indberetninger). Disse rapporter er en vigtig informationskilde og anvendes i vid udstrækning af FIU'erne i forbindelse med nationale og fælles analyser. Derfor er tærskelbaserede indberetninger blandt de typer oplysninger, der udveksles gennem FIU.net. Direkte adgang er en vigtig forudsætning for FIU'ernes operationelle effektivitet og reaktionsevne. Med henblik herpå bør det være muligt for medlemsstaterne at give FIU'er direkte adgang til en bredere vifte af oplysninger end dem, der kræves i henhold til hvidvaskdirektivet. Samtidig kræver hvidvaskdirektiv ikke, at medlemsstaterne opretter nye databaser eller registre i de tilfælde, hvor visse typer oplysninger, f.eks. oplysninger om udbud, er spredt over forskellige registre eller arkiver. Hvis der ikke er oprettet en database eller et register, bør medlemsstaterne træffe andre nødvendige foranstaltninger for at sikre, at FIU'erne hurtigt kan indhente disse oplysninger.</w:t>
      </w:r>
    </w:p>
    <w:p w14:paraId="2E7D2C2F" w14:textId="77777777" w:rsidR="005F49DC" w:rsidRPr="00796736" w:rsidRDefault="005F49D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Artikel 21, stk. 1, 1. afsnit, litra a-c, viderefører 4. hvidvaskdirektivs artikel 32, stk. 4 1. pkt., dog således, at det er tilføjet, hvilke specifikke finansielle, administrative og retshåndhævelsesoplysninger, som FIU’en mindst skal have adgang til, og om FIU’en skal have direkte adgang til de enkelte oplysninger. </w:t>
      </w:r>
    </w:p>
    <w:p w14:paraId="1314C3C6" w14:textId="77777777" w:rsidR="005F49DC" w:rsidRPr="00796736" w:rsidRDefault="005F4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1, 2. afsnit, at de i første afsnits litra c omhandlede oplysninger bl.a. er strafferegistre, oplysninger om efterforskninger, oplysninger om indefrysning eller beslaglæggelse af aktiver eller andre efterforskningsmæssige eller midlertidige foranstaltninger samt oplysninger om domfældelser og konfiskationer.</w:t>
      </w:r>
    </w:p>
    <w:p w14:paraId="1EA72BFE" w14:textId="77777777" w:rsidR="005F49DC" w:rsidRPr="00796736" w:rsidRDefault="005F4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stk. 1, 3. afsnit, at medlemsstaterne fra sag til sag kan tillade begrænsning af adgangen til de retshåndhævelsesoplysninger, der er omhandlet i første afsnits litra c, hvis videregivelsen af sådanne oplysninger sandsynligvis vil bringe en igangværende efterforskning i fare. </w:t>
      </w:r>
    </w:p>
    <w:p w14:paraId="0E4F776F" w14:textId="77777777" w:rsidR="005F49DC" w:rsidRPr="00796736" w:rsidRDefault="005F4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2, betragtes adgangen til de oplysninger, der er anført i stk. 1, som direkte og umiddelbar, når oplysningerne er indeholdt i en IT-database, et register eller et system til dataudtræk, hvorfra FIU’en kan hente oplysningerne uden mellemliggende skridt, eller hvis følgende betingelser er opfyldt: </w:t>
      </w:r>
    </w:p>
    <w:p w14:paraId="19A58DBB" w14:textId="77777777" w:rsidR="005F49DC" w:rsidRPr="00796736" w:rsidRDefault="005F49DC">
      <w:pPr>
        <w:pStyle w:val="Listeafsnit"/>
        <w:numPr>
          <w:ilvl w:val="0"/>
          <w:numId w:val="10"/>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 enheder eller myndigheder, der er i besiddelse af oplysningerne, indsender dem hurtigt til FIU’erne</w:t>
      </w:r>
    </w:p>
    <w:p w14:paraId="7F3AFF71" w14:textId="77777777" w:rsidR="005F49DC" w:rsidRPr="00796736" w:rsidRDefault="005F49DC">
      <w:pPr>
        <w:pStyle w:val="Listeafsnit"/>
        <w:numPr>
          <w:ilvl w:val="0"/>
          <w:numId w:val="10"/>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ingen enhed, myndighed eller tredjepart er i stand til at gribe ind for så vidt angår de anmodede data eller de oplysninger, der skal gives. </w:t>
      </w:r>
    </w:p>
    <w:p w14:paraId="1566A151" w14:textId="77777777" w:rsidR="005F49DC" w:rsidRPr="00796736" w:rsidRDefault="005F4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hvidvaskdirektivets præambelbetragtning nr. 70 bl.a., at adgang bør betragtes som direkte og umiddelbar, når oplysningerne er indeholdt i en database, et register eller et elektronisk system til dataudtræk, der gør det muligt for FIU'en at indhente dem direkte gennem en automatisk mekanisme uden inddragelse af en formidler. Hvis oplysningerne opbevares af en anden enhed eller myndighed, indebærer direkte adgang, at disse myndigheder eller enheder videregiver dem til FIU'en hurtigt uden at gribe ind i indholdet af de ønskede data eller de oplysninger, der skal gives. Oplysningerne bør ikke filtreres. I nogle situationer er det dog muligt, at de fortrolighedskrav, der er knyttet til oplysningerne, ikke tillader videregivelse af oplysningerne på en ufiltreret måde. Dette er f.eks. tilfældet, hvor skatteoplysninger kun kan gives til FIU'er efter aftale med en skattemyndighed i et tredjeland, hvor direkte adgang til retshåndhævelsesoplysninger kunne bringe en igangværende efterforskning i fare, samt i forbindelse med passagerlisteoplysninger indsamlet i henhold til Europa-Parlamentets og Rådets direktiv (EU) nr. 2016/681 om anvendelse af passagerlisteoplysninger (PNR-oplysninger) til at forebygge, opdage, efterforske og retsforfølge terrorhandlinger og grov kriminalitet. I sådanne tilfælde bør medlemsstaterne gøre deres yderste for at sikre, at FIU'erne har effektiv adgang til oplysningerne, herunder ved at give FIU'er mulighed for at få adgang på betingelser svarende til dem, der tilbydes andre myndigheder på nationalt plan for at lette deres analytiske aktiviteter.</w:t>
      </w:r>
    </w:p>
    <w:p w14:paraId="1D475F4B" w14:textId="77777777" w:rsidR="005F49DC" w:rsidRPr="00796736" w:rsidRDefault="005F4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3, at medlemsstaterne så vidt muligt sikrer, at FIU’en gives direkte adgang til de oplysninger, der er anført i stk. 1, første afsnit, litra c. I tilfælde, hvor FIU’en har indirekte adgang til oplysninger, giver den enhed eller myndighed, der er i besiddelse af de ønskede oplysninger, disse oplysninger rettidigt.</w:t>
      </w:r>
    </w:p>
    <w:p w14:paraId="561F82EE" w14:textId="77777777" w:rsidR="005F49DC" w:rsidRPr="00796736" w:rsidRDefault="005F4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21, stk. 1, 2. og 3. afsnit, og stk. 2 og 3, er nye i forhold til 4. og 5. hvidvaskdirektiv. </w:t>
      </w:r>
    </w:p>
    <w:p w14:paraId="11EED7A1" w14:textId="3D66924C" w:rsidR="005F49DC" w:rsidRPr="00796736" w:rsidRDefault="005F4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21, stk. 4, 1. pkt., at hver FIU inden for rammerne af sine opgaver skal kunne anmode om, indhente og anvende oplysninger fra enhver forpligtet enhed med henblik på at udføre sine opgaver i henhold til artikel 19, stk. 3, i direktivet, selv om der ikke er indgivet en forudgående indberetning i henhold til artikel 69, stk. 1, første afsnit, litra a, eller artikel 70, stk. 1, i hvidvaskforordningen. Hvidvaskdirektivets artikel 21, stk. 4, viderefører 4. og 5. hvidvaskdirektivs artikel 32, stk. 9</w:t>
      </w:r>
      <w:r w:rsidR="008D4A8C" w:rsidRPr="00796736">
        <w:rPr>
          <w:rFonts w:ascii="Times New Roman" w:hAnsi="Times New Roman" w:cs="Times New Roman"/>
          <w:sz w:val="24"/>
          <w:szCs w:val="24"/>
        </w:rPr>
        <w:t xml:space="preserve">. </w:t>
      </w:r>
    </w:p>
    <w:p w14:paraId="12D2F5EF" w14:textId="77777777" w:rsidR="005F49DC" w:rsidRPr="00796736" w:rsidRDefault="005F4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stk. 4, 2. pkt., at forpligtede enheder ikke er forpligtet til at efterkomme anmodninger om oplysninger i henhold til stk. 4, når de vedrører oplysninger, der er indhentet i de situationer, der er omhandlet i nævnte forordnings artikel 70, stk. 2. Bestemmelsen svarer indholdsmæssigt til, hvad der følger af 4. og 5. hvidvaskdirektivs artikel 32, stk. 9. </w:t>
      </w:r>
    </w:p>
    <w:p w14:paraId="6428E082" w14:textId="009BBE00" w:rsidR="005F49DC" w:rsidRPr="00796736" w:rsidRDefault="005F4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præambelbetragtning nr. 69 bl.a., at FIU’erne hurtigt bør kunne indhente alle nødvendige oplysninger af relevans for deres opgaver fra alle forpligtede enheder. En FIU bør også kunne indhente sådanne oplysninger på anmodning af en anden FIU og kunne udveksle disse oplysninger med den anmodende FIU.</w:t>
      </w:r>
    </w:p>
    <w:p w14:paraId="0ACD98A0" w14:textId="77777777" w:rsidR="005F49DC" w:rsidRPr="00796736" w:rsidRDefault="005F49DC" w:rsidP="00A802A5">
      <w:pPr>
        <w:spacing w:line="360" w:lineRule="auto"/>
        <w:rPr>
          <w:rFonts w:ascii="Times New Roman" w:hAnsi="Times New Roman" w:cs="Times New Roman"/>
          <w:sz w:val="24"/>
          <w:szCs w:val="24"/>
        </w:rPr>
      </w:pPr>
    </w:p>
    <w:p w14:paraId="2B5B51EE" w14:textId="05C323E8" w:rsidR="001A5922" w:rsidRPr="00796736" w:rsidRDefault="001A5922" w:rsidP="00A802A5">
      <w:pPr>
        <w:pStyle w:val="Overskrift4"/>
        <w:rPr>
          <w:rFonts w:ascii="Times New Roman" w:hAnsi="Times New Roman" w:cs="Times New Roman"/>
          <w:i/>
          <w:iCs/>
          <w:sz w:val="24"/>
          <w:szCs w:val="24"/>
        </w:rPr>
      </w:pPr>
      <w:bookmarkStart w:id="956" w:name="_Toc232109054"/>
      <w:r w:rsidRPr="00796736">
        <w:rPr>
          <w:rFonts w:ascii="Times New Roman" w:hAnsi="Times New Roman" w:cs="Times New Roman"/>
          <w:sz w:val="24"/>
          <w:szCs w:val="24"/>
        </w:rPr>
        <w:t>Justitsministeriets overvejelser og den foreslåede ordning</w:t>
      </w:r>
      <w:bookmarkEnd w:id="956"/>
      <w:r w:rsidRPr="00796736">
        <w:rPr>
          <w:rFonts w:ascii="Times New Roman" w:hAnsi="Times New Roman" w:cs="Times New Roman"/>
          <w:sz w:val="24"/>
          <w:szCs w:val="24"/>
        </w:rPr>
        <w:t xml:space="preserve"> </w:t>
      </w:r>
    </w:p>
    <w:bookmarkEnd w:id="952"/>
    <w:p w14:paraId="1D6C1F9F" w14:textId="236C77B7" w:rsidR="00957E22" w:rsidRPr="00796736" w:rsidRDefault="00957E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_Ref232791533 \n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3.15.2</w:t>
      </w:r>
      <w:r w:rsidR="00C16A1F"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hvidvaskdirektivet i artikel 21 – ligesom i 4. og 5. hvidvaskdirektivs artikel 32, stk. 4, 1. pkt., og stk. 9 – en bestemmelse om Hvidvasksekretariatets adgang til oplysninger. </w:t>
      </w:r>
    </w:p>
    <w:p w14:paraId="6CA1342A" w14:textId="1F3D02CF" w:rsidR="00957E22" w:rsidRPr="00796736" w:rsidRDefault="00957E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i 4. og 5 hvidvaskdirektivs artikel 32, stk. 4, 1. pkt., og stk. 9, som direktivets artikel 21, stk. 1-4, erstatter, er i dag gennemført i hvidvasklovens § 29, st. 4, og FIU-cirkulærets § 1, jf. pkt. </w:t>
      </w:r>
      <w:r w:rsidR="00C16A1F" w:rsidRPr="00796736">
        <w:rPr>
          <w:rFonts w:ascii="Times New Roman" w:eastAsia="Calibri" w:hAnsi="Times New Roman" w:cs="Times New Roman"/>
          <w:sz w:val="24"/>
          <w:szCs w:val="24"/>
        </w:rPr>
        <w:fldChar w:fldCharType="begin"/>
      </w:r>
      <w:r w:rsidR="00C16A1F" w:rsidRPr="00796736">
        <w:rPr>
          <w:rFonts w:ascii="Times New Roman" w:eastAsia="Calibri" w:hAnsi="Times New Roman" w:cs="Times New Roman"/>
          <w:sz w:val="24"/>
          <w:szCs w:val="24"/>
        </w:rPr>
        <w:instrText xml:space="preserve"> REF _Ref232791553 \n \h </w:instrText>
      </w:r>
      <w:r w:rsidR="00967618" w:rsidRPr="00796736">
        <w:rPr>
          <w:rFonts w:ascii="Times New Roman" w:eastAsia="Calibri" w:hAnsi="Times New Roman" w:cs="Times New Roman"/>
          <w:sz w:val="24"/>
          <w:szCs w:val="24"/>
        </w:rPr>
        <w:instrText xml:space="preserve"> \* MERGEFORMAT </w:instrText>
      </w:r>
      <w:r w:rsidR="00C16A1F" w:rsidRPr="00796736">
        <w:rPr>
          <w:rFonts w:ascii="Times New Roman" w:eastAsia="Calibri" w:hAnsi="Times New Roman" w:cs="Times New Roman"/>
          <w:sz w:val="24"/>
          <w:szCs w:val="24"/>
        </w:rPr>
      </w:r>
      <w:r w:rsidR="00C16A1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3.15.1</w:t>
      </w:r>
      <w:r w:rsidR="00C16A1F"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w:t>
      </w:r>
      <w:r w:rsidR="00C16A1F"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Hvidvaskdirektivets artikel 21, stk. 1-3, og 4. og 5. hvidvaskdirektivs artikel 32, stk. 4, 1. pkt., adskiller sig som det fremgår af pkt. 3.14.2 bl.a. ved, at det nu i artikel 21, stk. 1, 1. afsnit, er tilføjet, hvilke specifikke finansielle, administrative og retshåndhævelsesoplysninger, som FIU’en mindst skal have adgang til, og om denne adgang skal gives direkte. Endvidere er hvidvaskdirektivets artikel 21, stk. 1, 2. og 3. afsnit samt stk. 2 og 3 nye. </w:t>
      </w:r>
    </w:p>
    <w:p w14:paraId="7F5B190E" w14:textId="0A11C1FC" w:rsidR="00957E22" w:rsidRPr="00796736" w:rsidRDefault="00957E22" w:rsidP="00A802A5">
      <w:pPr>
        <w:spacing w:after="240" w:line="360" w:lineRule="auto"/>
        <w:rPr>
          <w:rFonts w:ascii="Times New Roman" w:hAnsi="Times New Roman" w:cs="Times New Roman"/>
          <w:sz w:val="24"/>
          <w:szCs w:val="24"/>
        </w:rPr>
      </w:pPr>
      <w:bookmarkStart w:id="957" w:name="_Hlk226699441"/>
      <w:r w:rsidRPr="00796736">
        <w:rPr>
          <w:rFonts w:ascii="Times New Roman" w:hAnsi="Times New Roman" w:cs="Times New Roman"/>
          <w:sz w:val="24"/>
          <w:szCs w:val="24"/>
        </w:rPr>
        <w:t xml:space="preserve">Det foreslås i </w:t>
      </w:r>
      <w:r w:rsidR="00C16A1F" w:rsidRPr="00796736">
        <w:rPr>
          <w:rFonts w:ascii="Times New Roman" w:hAnsi="Times New Roman" w:cs="Times New Roman"/>
          <w:sz w:val="24"/>
          <w:szCs w:val="24"/>
          <w:bdr w:val="none" w:sz="0" w:space="0" w:color="auto" w:frame="1"/>
        </w:rPr>
        <w:fldChar w:fldCharType="begin"/>
      </w:r>
      <w:r w:rsidR="00C16A1F" w:rsidRPr="00796736">
        <w:rPr>
          <w:rFonts w:ascii="Times New Roman" w:hAnsi="Times New Roman" w:cs="Times New Roman"/>
          <w:sz w:val="24"/>
          <w:szCs w:val="24"/>
        </w:rPr>
        <w:instrText xml:space="preserve"> REF _Ref232595704 \r \h </w:instrText>
      </w:r>
      <w:r w:rsidR="00967618" w:rsidRPr="00796736">
        <w:rPr>
          <w:rFonts w:ascii="Times New Roman" w:hAnsi="Times New Roman" w:cs="Times New Roman"/>
          <w:sz w:val="24"/>
          <w:szCs w:val="24"/>
          <w:bdr w:val="none" w:sz="0" w:space="0" w:color="auto" w:frame="1"/>
        </w:rPr>
        <w:instrText xml:space="preserve"> \* MERGEFORMAT </w:instrText>
      </w:r>
      <w:r w:rsidR="00C16A1F" w:rsidRPr="00796736">
        <w:rPr>
          <w:rFonts w:ascii="Times New Roman" w:hAnsi="Times New Roman" w:cs="Times New Roman"/>
          <w:sz w:val="24"/>
          <w:szCs w:val="24"/>
          <w:bdr w:val="none" w:sz="0" w:space="0" w:color="auto" w:frame="1"/>
        </w:rPr>
      </w:r>
      <w:r w:rsidR="00C16A1F"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rPr>
        <w:t>§ 16</w:t>
      </w:r>
      <w:r w:rsidR="00C16A1F"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w:t>
      </w:r>
      <w:r w:rsidR="0042556A" w:rsidRPr="00796736">
        <w:rPr>
          <w:rFonts w:ascii="Times New Roman" w:hAnsi="Times New Roman" w:cs="Times New Roman"/>
          <w:sz w:val="24"/>
          <w:szCs w:val="24"/>
          <w:bdr w:val="none" w:sz="0" w:space="0" w:color="auto" w:frame="1"/>
        </w:rPr>
        <w:t>stk. 1-4, at fastsætte, at Hvidvasksekretariatet har adgang til de oplysninger, som sekretariatet skal bruge for at kunne udføre sine opgaver, herunder ved at indehaverne af oplysningerne om nødvendigt indsender dem til Hvidvasksekretariatet. Det omfatter bl.a. finansielle oplysninger, administrative oplysninger og oplysninger om retshåndhævelse, som Hvidvasksekretariatet som minimum har adgang til</w:t>
      </w:r>
      <w:bookmarkStart w:id="958" w:name="_Hlk224046029"/>
      <w:r w:rsidR="0042556A" w:rsidRPr="00796736">
        <w:rPr>
          <w:rFonts w:ascii="Times New Roman" w:hAnsi="Times New Roman" w:cs="Times New Roman"/>
          <w:sz w:val="24"/>
          <w:szCs w:val="24"/>
          <w:bdr w:val="none" w:sz="0" w:space="0" w:color="auto" w:frame="1"/>
        </w:rPr>
        <w:t xml:space="preserve"> og som er nærmere opregnet i det foreslåede stk. 2, nr. 1-3. Den foreslåede bestemmelse fastlægger derudover de nærmere rammer for denne adgang og hvornår denne adgang kan begrænses.</w:t>
      </w:r>
      <w:bookmarkEnd w:id="958"/>
      <w:r w:rsidR="0042556A" w:rsidRPr="00796736">
        <w:rPr>
          <w:rFonts w:ascii="Times New Roman" w:hAnsi="Times New Roman" w:cs="Times New Roman"/>
          <w:sz w:val="24"/>
          <w:szCs w:val="24"/>
          <w:bdr w:val="none" w:sz="0" w:space="0" w:color="auto" w:frame="1"/>
        </w:rPr>
        <w:t xml:space="preserve"> Opregningen er ikke-udtømmende i den forstand, at Hvidvasksekretariatet kan være tillagt adgang til oplysninger i medfør af andre regler end den foreslåede bestemmelse.</w:t>
      </w:r>
    </w:p>
    <w:bookmarkEnd w:id="957"/>
    <w:p w14:paraId="1143414B" w14:textId="69C0E363" w:rsidR="00957E22" w:rsidRPr="00796736" w:rsidRDefault="00957E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den nuværende retstilstand videreføres med de ændringer, der følger af hvidvaskdirektivets artikel 21, stk. 1-3. Hvidvasksekretariatet har som efter gældende ret adgang til finansielle oplysninger, administrative oplysninger og oplysninger om retshåndhævelse, om end det som noget nyt fastsættes, hvilke oplysninger Hvidvasksekretariatet mindst skal have adgang til. Dertil kommer, at det som noget nyt fastsættes, at FIU’ens adgang til retshåndhævelsesoplysninger kan begrænses, hvis videregivelsen af sådanne oplysninger sandsynligvis vil bringe en igangværende efterforskning er i fare. Endvidere fastsættes, at FIU’en så vidt muligt skal have direkte adgang til retshåndhævelsesoplysninger, og hvor FIU’en har indirekte adgang til oplysningerne, giver den enhed eller myndighed, der er i besiddelse af de ønskede oplysninger, disse oplysninger rettidigt. Endelig fastsættes hvornår adgangen til de i bestemmelsen oplistede oplysninger betragtes som direkte og umiddelbar. </w:t>
      </w:r>
    </w:p>
    <w:p w14:paraId="5C2C8C26" w14:textId="5E257973" w:rsidR="00957E22" w:rsidRPr="00796736" w:rsidRDefault="00957E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foreslås det i </w:t>
      </w:r>
      <w:r w:rsidR="00C16A1F" w:rsidRPr="00796736">
        <w:rPr>
          <w:rFonts w:ascii="Times New Roman" w:hAnsi="Times New Roman" w:cs="Times New Roman"/>
          <w:sz w:val="24"/>
          <w:szCs w:val="24"/>
          <w:bdr w:val="none" w:sz="0" w:space="0" w:color="auto" w:frame="1"/>
        </w:rPr>
        <w:fldChar w:fldCharType="begin"/>
      </w:r>
      <w:r w:rsidR="00C16A1F" w:rsidRPr="00796736">
        <w:rPr>
          <w:rFonts w:ascii="Times New Roman" w:hAnsi="Times New Roman" w:cs="Times New Roman"/>
          <w:sz w:val="24"/>
          <w:szCs w:val="24"/>
        </w:rPr>
        <w:instrText xml:space="preserve"> REF _Ref232595704 \r \h </w:instrText>
      </w:r>
      <w:r w:rsidR="00967618" w:rsidRPr="00796736">
        <w:rPr>
          <w:rFonts w:ascii="Times New Roman" w:hAnsi="Times New Roman" w:cs="Times New Roman"/>
          <w:sz w:val="24"/>
          <w:szCs w:val="24"/>
          <w:bdr w:val="none" w:sz="0" w:space="0" w:color="auto" w:frame="1"/>
        </w:rPr>
        <w:instrText xml:space="preserve"> \* MERGEFORMAT </w:instrText>
      </w:r>
      <w:r w:rsidR="00C16A1F" w:rsidRPr="00796736">
        <w:rPr>
          <w:rFonts w:ascii="Times New Roman" w:hAnsi="Times New Roman" w:cs="Times New Roman"/>
          <w:sz w:val="24"/>
          <w:szCs w:val="24"/>
          <w:bdr w:val="none" w:sz="0" w:space="0" w:color="auto" w:frame="1"/>
        </w:rPr>
      </w:r>
      <w:r w:rsidR="00C16A1F"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rPr>
        <w:t>§ 16</w:t>
      </w:r>
      <w:r w:rsidR="00C16A1F"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rPr>
        <w:t xml:space="preserve">, stk. 5, at fastsætte, at Hvidvasksekretariatet kan anmode om, indhente og anvende oplysninger fra enhver forpligtet enhed med henblik på at udføre sine opgaver i henhold til denne lovs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_Ref232595580 \r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14</w:t>
      </w:r>
      <w:r w:rsidR="00C16A1F"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w:t>
      </w:r>
      <w:r w:rsidR="008D4A8C" w:rsidRPr="00796736">
        <w:rPr>
          <w:rFonts w:ascii="Times New Roman" w:hAnsi="Times New Roman" w:cs="Times New Roman"/>
          <w:sz w:val="24"/>
          <w:szCs w:val="24"/>
        </w:rPr>
        <w:t>,</w:t>
      </w:r>
      <w:r w:rsidRPr="00796736">
        <w:rPr>
          <w:rFonts w:ascii="Times New Roman" w:hAnsi="Times New Roman" w:cs="Times New Roman"/>
          <w:sz w:val="24"/>
          <w:szCs w:val="24"/>
        </w:rPr>
        <w:t xml:space="preserve"> selv om der ikke er indgivet en forudgående indberetning i henhold til de ovenfor nævnte bestemmelser i forordningen. </w:t>
      </w:r>
      <w:r w:rsidR="0042556A" w:rsidRPr="00796736">
        <w:rPr>
          <w:rFonts w:ascii="Times New Roman" w:hAnsi="Times New Roman" w:cs="Times New Roman"/>
          <w:sz w:val="24"/>
          <w:szCs w:val="24"/>
        </w:rPr>
        <w:t>Det foreslås endvidere fastsat, at advokater ikke er forpligtet til at efterkomme anmodninger om oplysninger i henhold til 1. pkt., når de vedrører oplysninger, der er indhentet i de situationer, der er omhandlet i nævnte forordnings artikel 70, stk. 2.</w:t>
      </w:r>
    </w:p>
    <w:p w14:paraId="6E1CC461" w14:textId="77777777" w:rsidR="0042556A" w:rsidRPr="00796736" w:rsidRDefault="0042556A" w:rsidP="00A802A5">
      <w:pPr>
        <w:spacing w:after="240" w:line="360" w:lineRule="auto"/>
        <w:rPr>
          <w:rFonts w:ascii="Times New Roman" w:hAnsi="Times New Roman" w:cs="Times New Roman"/>
          <w:sz w:val="24"/>
          <w:szCs w:val="24"/>
        </w:rPr>
      </w:pPr>
      <w:bookmarkStart w:id="959" w:name="_Hlk231385650"/>
      <w:r w:rsidRPr="00796736">
        <w:rPr>
          <w:rFonts w:ascii="Times New Roman" w:hAnsi="Times New Roman" w:cs="Times New Roman"/>
          <w:sz w:val="24"/>
          <w:szCs w:val="24"/>
        </w:rPr>
        <w:t xml:space="preserve">Forordningens artikel 70, stk. 2, er en undtagelse, der gælder for advokaters underretning af mistænkelige transaktioner, for så vidt angår oplysninger som de modtager fra en kunde, når de f.eks. forsvarer kundens retsstilling m.v. </w:t>
      </w:r>
    </w:p>
    <w:p w14:paraId="67B1B86C" w14:textId="77777777" w:rsidR="00957E22" w:rsidRPr="00796736" w:rsidRDefault="00957E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den nuværende retstilstand videreføres med de ændringer, der følger af hvidvaskdirektivets artikel 21, stk. 4. </w:t>
      </w:r>
    </w:p>
    <w:p w14:paraId="424B1C57" w14:textId="77777777" w:rsidR="002C5834" w:rsidRPr="00796736" w:rsidRDefault="002C5834"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Oplysningspligten vil i overensstemmelse med gældende ret ikke finde anvendelse, hvis der foreligger en konkret mistanke om, at en fysisk eller juridisk person har begået en strafbar lovovertrædelse, og oplysningerne søges tilvejebragt til brug for behandlingen af spørgsmålet om fastsættelse af straf, jf. § 10, stk. 2, i lov om retssikkerhed ved forvaltningens anvendelse af tvangsindgreb og oplysningspligter (retssikkerhedsloven). I disse tilfælde skal indhentelsen af oplysninger ligesom i dag ske efter retsplejelovens regler om strafprocessuelle tvangsindgreb, herunder reglerne om ransagning, beslaglæggelse og edition. Retter mistanken sig mod den fysiske eller juridiske person, hos hvem oplysningerne søges tilvejebragt, vil oplysningspligten ikke gælde, medmindre det kan udelukkes, at de oplysninger, som søges tilvejebragt, kan have betydning for bedømmelsen af den formodede lovovertrædelse, jf. retssikkerhedslovens § 10, stk. 1. Hvidvasksekretariatet vil således eksempelvis ikke kunne anvende oplysningspligten over for et pengeinstitut for at sikre beviser til en straffesag mod pengeinstituttet for overtrædelse af hvidvaskloven. jf. Folketingstidende 2019-20, tillæg A, L 58 som fremsat, side 72.</w:t>
      </w:r>
    </w:p>
    <w:p w14:paraId="2E27C6FC" w14:textId="77777777" w:rsidR="00957E22" w:rsidRPr="00796736" w:rsidRDefault="00957E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Hvidvasksekretariatets indsamling af oplysninger vil som efter den gældende bestemmelse være underlagt forvaltningslovens § 32 og de almindelige forvaltningsretlige principper om saglighed og proportionalitet samt og for så vidt angår personoplysninger de grundlæggende behandlingsregler og behandlingsprincipper i retshåndhævelsesloven. Som i dag vil lovligheden af Hvidvasksekretariatets behandling af personoplysninger kunne efterprøves af Datatilsynet, jf. Folketingstidende 2019-20, tillæg A, L 58 som fremsat, side 71</w:t>
      </w:r>
      <w:bookmarkEnd w:id="959"/>
      <w:r w:rsidRPr="00796736">
        <w:rPr>
          <w:rFonts w:ascii="Times New Roman" w:hAnsi="Times New Roman" w:cs="Times New Roman"/>
          <w:sz w:val="24"/>
          <w:szCs w:val="24"/>
        </w:rPr>
        <w:t>.</w:t>
      </w:r>
    </w:p>
    <w:p w14:paraId="4709883D" w14:textId="77777777" w:rsidR="00957E22" w:rsidRPr="00796736" w:rsidRDefault="00957E22" w:rsidP="00A802A5">
      <w:pPr>
        <w:spacing w:line="360" w:lineRule="auto"/>
        <w:rPr>
          <w:rFonts w:ascii="Times New Roman" w:hAnsi="Times New Roman" w:cs="Times New Roman"/>
          <w:sz w:val="24"/>
          <w:szCs w:val="24"/>
        </w:rPr>
      </w:pPr>
    </w:p>
    <w:p w14:paraId="53BC6C11" w14:textId="48786680" w:rsidR="00957E22" w:rsidRPr="00796736" w:rsidRDefault="00957E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_Ref232595704 \r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C16A1F" w:rsidRPr="00796736">
        <w:rPr>
          <w:rFonts w:ascii="Times New Roman" w:hAnsi="Times New Roman" w:cs="Times New Roman"/>
          <w:sz w:val="24"/>
          <w:szCs w:val="24"/>
        </w:rPr>
        <w:fldChar w:fldCharType="end"/>
      </w:r>
      <w:r w:rsidR="00C16A1F"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har til formål at gennemføre direktivets artikel 21. </w:t>
      </w:r>
    </w:p>
    <w:p w14:paraId="7E8AB531" w14:textId="77777777" w:rsidR="00957E22" w:rsidRPr="00796736" w:rsidRDefault="00957E22" w:rsidP="00A802A5">
      <w:pPr>
        <w:spacing w:line="360" w:lineRule="auto"/>
        <w:rPr>
          <w:rFonts w:ascii="Times New Roman" w:hAnsi="Times New Roman" w:cs="Times New Roman"/>
          <w:sz w:val="24"/>
          <w:szCs w:val="24"/>
        </w:rPr>
      </w:pPr>
    </w:p>
    <w:p w14:paraId="0ABC88F7" w14:textId="1DA2B82C" w:rsidR="001A5922" w:rsidRPr="00796736" w:rsidRDefault="00957E22"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_Ref232595704 \r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C16A1F" w:rsidRPr="00796736">
        <w:rPr>
          <w:rFonts w:ascii="Times New Roman" w:hAnsi="Times New Roman" w:cs="Times New Roman"/>
          <w:sz w:val="24"/>
          <w:szCs w:val="24"/>
        </w:rPr>
        <w:fldChar w:fldCharType="end"/>
      </w:r>
      <w:r w:rsidR="00C16A1F"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 xml:space="preserve">og bemærkningerne hertil.  </w:t>
      </w:r>
    </w:p>
    <w:p w14:paraId="252689CD" w14:textId="77777777" w:rsidR="00957E22" w:rsidRPr="00796736" w:rsidRDefault="00957E22" w:rsidP="00A802A5">
      <w:pPr>
        <w:spacing w:line="360" w:lineRule="auto"/>
        <w:rPr>
          <w:rFonts w:ascii="Times New Roman" w:eastAsia="Times New Roman" w:hAnsi="Times New Roman" w:cs="Times New Roman"/>
          <w:sz w:val="24"/>
          <w:szCs w:val="24"/>
          <w:lang w:eastAsia="da-DK"/>
        </w:rPr>
      </w:pPr>
    </w:p>
    <w:p w14:paraId="110FCFEB" w14:textId="4C1D14C3" w:rsidR="001C2CEE" w:rsidRPr="00796736" w:rsidRDefault="001C2CEE" w:rsidP="00A802A5">
      <w:pPr>
        <w:pStyle w:val="Overskrift2"/>
        <w:rPr>
          <w:rFonts w:ascii="Times New Roman" w:hAnsi="Times New Roman"/>
          <w:sz w:val="24"/>
        </w:rPr>
      </w:pPr>
      <w:bookmarkStart w:id="960" w:name="_Toc229739654"/>
      <w:bookmarkStart w:id="961" w:name="_Toc232109055"/>
      <w:bookmarkStart w:id="962" w:name="_Ref232943201"/>
      <w:bookmarkStart w:id="963" w:name="_Ref237002634"/>
      <w:bookmarkStart w:id="964" w:name="_Ref237005099"/>
      <w:bookmarkStart w:id="965" w:name="_Toc244880733"/>
      <w:r w:rsidRPr="00796736">
        <w:rPr>
          <w:rFonts w:ascii="Times New Roman" w:hAnsi="Times New Roman"/>
          <w:sz w:val="24"/>
        </w:rPr>
        <w:t>Svar på anmodning om oplysninger</w:t>
      </w:r>
      <w:bookmarkEnd w:id="960"/>
      <w:bookmarkEnd w:id="961"/>
      <w:bookmarkEnd w:id="962"/>
      <w:bookmarkEnd w:id="963"/>
      <w:bookmarkEnd w:id="964"/>
      <w:bookmarkEnd w:id="965"/>
    </w:p>
    <w:p w14:paraId="26A8268A" w14:textId="39044594" w:rsidR="001C2CEE" w:rsidRPr="00796736" w:rsidRDefault="001C2CEE" w:rsidP="00A802A5">
      <w:pPr>
        <w:pStyle w:val="Overskrift4"/>
        <w:rPr>
          <w:rFonts w:ascii="Times New Roman" w:hAnsi="Times New Roman" w:cs="Times New Roman"/>
          <w:i/>
          <w:iCs/>
          <w:sz w:val="24"/>
          <w:szCs w:val="24"/>
        </w:rPr>
      </w:pPr>
      <w:bookmarkStart w:id="966" w:name="_Toc232109056"/>
      <w:bookmarkStart w:id="967" w:name="_Ref232791757"/>
      <w:bookmarkStart w:id="968" w:name="_Ref232943126"/>
      <w:bookmarkStart w:id="969" w:name="_Ref237002575"/>
      <w:r w:rsidRPr="00796736">
        <w:rPr>
          <w:rFonts w:ascii="Times New Roman" w:hAnsi="Times New Roman" w:cs="Times New Roman"/>
          <w:sz w:val="24"/>
          <w:szCs w:val="24"/>
        </w:rPr>
        <w:t>Gældende ret</w:t>
      </w:r>
      <w:bookmarkEnd w:id="966"/>
      <w:bookmarkEnd w:id="967"/>
      <w:bookmarkEnd w:id="968"/>
      <w:bookmarkEnd w:id="969"/>
    </w:p>
    <w:p w14:paraId="0BC411B0"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Hvidvasksekretariatets samarbejde og udveksling af oplysninger med andre kompetente danske myndigheder reguleres i dag i FIU-cirkulærets § 4. </w:t>
      </w:r>
    </w:p>
    <w:p w14:paraId="7BE732C6" w14:textId="77777777" w:rsidR="00BF3BC5" w:rsidRPr="00796736" w:rsidRDefault="00BF3BC5" w:rsidP="00A802A5">
      <w:pPr>
        <w:spacing w:line="360" w:lineRule="auto"/>
        <w:rPr>
          <w:rFonts w:ascii="Times New Roman" w:hAnsi="Times New Roman" w:cs="Times New Roman"/>
          <w:sz w:val="24"/>
          <w:szCs w:val="24"/>
        </w:rPr>
      </w:pPr>
    </w:p>
    <w:p w14:paraId="6F93CBB7"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FIU-cirkulærets § 4, stk. 1, at Hvidvasksekretariatet kan imødekomme anmodninger om udlevering af oplysninger affødt af bekymringer vedrørende mulig hvidvask af penge, tilknyttede underliggende forbrydelser eller finansiering af terrorisme fra kompetente danske myndigheder til brug for myndighedernes opgavevaretagelse i overensstemmelse med gældende ret, herunder reglerne i databeskyttelseslovgivningen. </w:t>
      </w:r>
    </w:p>
    <w:p w14:paraId="13FB1A01" w14:textId="77777777" w:rsidR="00BF3BC5" w:rsidRPr="00796736" w:rsidRDefault="00BF3BC5" w:rsidP="00A802A5">
      <w:pPr>
        <w:spacing w:line="360" w:lineRule="auto"/>
        <w:rPr>
          <w:rFonts w:ascii="Times New Roman" w:hAnsi="Times New Roman" w:cs="Times New Roman"/>
          <w:sz w:val="24"/>
          <w:szCs w:val="24"/>
        </w:rPr>
      </w:pPr>
    </w:p>
    <w:p w14:paraId="232148D8"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 4, stk. 2, at Hvidvasksekretariatet kan meddele afslag på anmodninger om udlevering af oplysninger fra kompetente danske myndigheder, i overensstemmelse med gældende ret, herunder reglerne i databeskyttelseslovgivningen. </w:t>
      </w:r>
    </w:p>
    <w:p w14:paraId="4EF44DF3"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Endelig fremgår det af § 4, stk. 3, at Hvidvasksekretariatet så vidt muligt indhenter feedback fra de kompetente danske myndigheder vedrørende anvendeligheden af og opfølgningen på oplysninger fra underretninger om mulig hvidvask af penge, tilknyttede underliggende forbrydelser eller finansiering af terrorisme, som Hvidvasksekretariatet har videregivet til myndighederne.</w:t>
      </w:r>
    </w:p>
    <w:p w14:paraId="0D5F480F" w14:textId="77777777" w:rsidR="00BF3BC5" w:rsidRPr="00796736" w:rsidRDefault="00BF3BC5" w:rsidP="00A802A5">
      <w:pPr>
        <w:spacing w:line="360" w:lineRule="auto"/>
        <w:rPr>
          <w:rFonts w:ascii="Times New Roman" w:hAnsi="Times New Roman" w:cs="Times New Roman"/>
          <w:sz w:val="24"/>
          <w:szCs w:val="24"/>
        </w:rPr>
      </w:pPr>
    </w:p>
    <w:p w14:paraId="1B5C26B1" w14:textId="77777777" w:rsidR="00BF3BC5" w:rsidRPr="00796736" w:rsidRDefault="00BF3BC5" w:rsidP="00A802A5">
      <w:pPr>
        <w:spacing w:line="360" w:lineRule="auto"/>
        <w:rPr>
          <w:rFonts w:ascii="Times New Roman" w:hAnsi="Times New Roman" w:cs="Times New Roman"/>
          <w:sz w:val="24"/>
          <w:szCs w:val="24"/>
        </w:rPr>
      </w:pPr>
      <w:bookmarkStart w:id="970" w:name="_Hlk226554124"/>
      <w:r w:rsidRPr="00796736">
        <w:rPr>
          <w:rFonts w:ascii="Times New Roman" w:hAnsi="Times New Roman" w:cs="Times New Roman"/>
          <w:sz w:val="24"/>
          <w:szCs w:val="24"/>
        </w:rPr>
        <w:t xml:space="preserve">FIU-cirkulærets § 4 gennemfører 4. hvidvaskdirektivs artikel 32, stk. 4, 2. og 3. pkt., samt stk. 5 og 6. </w:t>
      </w:r>
    </w:p>
    <w:bookmarkEnd w:id="970"/>
    <w:p w14:paraId="1B9966C8" w14:textId="77777777" w:rsidR="001C2CEE" w:rsidRPr="00796736" w:rsidRDefault="001C2CEE" w:rsidP="00A802A5">
      <w:pPr>
        <w:spacing w:line="360" w:lineRule="auto"/>
        <w:rPr>
          <w:rFonts w:ascii="Times New Roman" w:hAnsi="Times New Roman" w:cs="Times New Roman"/>
          <w:sz w:val="24"/>
          <w:szCs w:val="24"/>
        </w:rPr>
      </w:pPr>
    </w:p>
    <w:p w14:paraId="6708D88D" w14:textId="67B068C9" w:rsidR="001C2CEE" w:rsidRPr="00796736" w:rsidRDefault="001C2CEE" w:rsidP="00A802A5">
      <w:pPr>
        <w:pStyle w:val="Overskrift4"/>
        <w:rPr>
          <w:rFonts w:ascii="Times New Roman" w:hAnsi="Times New Roman" w:cs="Times New Roman"/>
          <w:i/>
          <w:iCs/>
          <w:sz w:val="24"/>
          <w:szCs w:val="24"/>
        </w:rPr>
      </w:pPr>
      <w:bookmarkStart w:id="971" w:name="_Toc232109057"/>
      <w:bookmarkStart w:id="972" w:name="_Ref232791741"/>
      <w:bookmarkStart w:id="973" w:name="_Ref232791774"/>
      <w:bookmarkStart w:id="974" w:name="_Ref237002555"/>
      <w:r w:rsidRPr="00796736">
        <w:rPr>
          <w:rFonts w:ascii="Times New Roman" w:hAnsi="Times New Roman" w:cs="Times New Roman"/>
          <w:sz w:val="24"/>
          <w:szCs w:val="24"/>
        </w:rPr>
        <w:t>6. hvidvaskdirektiv</w:t>
      </w:r>
      <w:bookmarkEnd w:id="971"/>
      <w:bookmarkEnd w:id="972"/>
      <w:bookmarkEnd w:id="973"/>
      <w:bookmarkEnd w:id="974"/>
      <w:r w:rsidRPr="00796736">
        <w:rPr>
          <w:rFonts w:ascii="Times New Roman" w:hAnsi="Times New Roman" w:cs="Times New Roman"/>
          <w:sz w:val="24"/>
          <w:szCs w:val="24"/>
        </w:rPr>
        <w:t xml:space="preserve">  </w:t>
      </w:r>
    </w:p>
    <w:p w14:paraId="48213720"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bdr w:val="none" w:sz="0" w:space="0" w:color="auto" w:frame="1"/>
        </w:rPr>
        <w:t xml:space="preserve">Hvidvaskdirektivets artikel 22 regulerer FIU’ers svar på anmodninger om oplysninger fra de kompetente myndigheder, der er omhandlet i artikel 2, stk. 1, nr. 44, litra c og d, i hvidvaskforordningen om hhv. offentlige myndigheder, der har til opgave at efterforske eller retsforfølge i sager om hvidvask af penge, de underliggende lovovertrædelser eller finansiering af terrorisme, eller som har til opgave at opspore, beslaglægge eller indefryse og konfiskere kriminelle aktiver og offentlige myndigheder, der har fået til ansvar at bekæmpe hvidvask af penge og finansiering af terrorisme. Artikel 22 erstatter 4. hvidvaskdirektivs artikel 32, stk. 4, 2. og 3. pkt., samt stk. 5 og 6. </w:t>
      </w:r>
    </w:p>
    <w:p w14:paraId="3D4CB1A0"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Det fremgår af artikel 22, stk. 1, 1. afsnit, at medlemsstaterne sikrer, at FIU’er er i stand til rettidigt at besvare begrundede anmodninger om oplysninger, som er berettiget af bekymringer vedrørende hvidvask af penge, de underliggende lovovertrædelser eller finansiering af terrorisme, fra de kompetente myndigheder, der er omhandlet i artikel 2, stk. 1, nr. 44, litra c og d, i hvidvaskforordningen, i deres respektive medlemsstat, hvor de pågældende oplysninger allerede besiddes af FIU’en og er nødvendige i det enkelte tilfælde. Det fremgår videre, at beslutningen om at formidle oplysninger træffes af FIU’en.</w:t>
      </w:r>
    </w:p>
    <w:p w14:paraId="42470949" w14:textId="77777777" w:rsidR="00BF3BC5" w:rsidRPr="00796736" w:rsidRDefault="00BF3BC5" w:rsidP="00A802A5">
      <w:pPr>
        <w:spacing w:line="360" w:lineRule="auto"/>
        <w:rPr>
          <w:rFonts w:ascii="Times New Roman" w:hAnsi="Times New Roman" w:cs="Times New Roman"/>
          <w:sz w:val="24"/>
          <w:szCs w:val="24"/>
        </w:rPr>
      </w:pPr>
    </w:p>
    <w:p w14:paraId="3A3C1E45"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 kompetente myndigheder omfatter efter hvidvaskforordningens artikel 2, stk. 1, nr. 44, litra c og d, offentlige myndigheder, der har til opgave at efterforske eller retsforfølge i sager om hvidvask af penge, de underliggende lovovertrædelser eller finansiering af terrorisme, eller som har til opgave at opspore, beslaglægge eller indefryse og konfiskere kriminelle aktiver, samt offentlige myndigheder, der har fået til ansvar at bekæmpe hvidvask af penge og finansiering af terrorisme.</w:t>
      </w:r>
    </w:p>
    <w:p w14:paraId="2F62145C" w14:textId="77777777" w:rsidR="00BF3BC5" w:rsidRPr="00796736" w:rsidRDefault="00BF3BC5" w:rsidP="00A802A5">
      <w:pPr>
        <w:spacing w:line="360" w:lineRule="auto"/>
        <w:rPr>
          <w:rFonts w:ascii="Times New Roman" w:hAnsi="Times New Roman" w:cs="Times New Roman"/>
          <w:sz w:val="24"/>
          <w:szCs w:val="24"/>
        </w:rPr>
      </w:pPr>
    </w:p>
    <w:p w14:paraId="60B3D859" w14:textId="77777777" w:rsidR="00BF3BC5" w:rsidRPr="00796736" w:rsidRDefault="00BF3BC5" w:rsidP="00A802A5">
      <w:pPr>
        <w:spacing w:line="360" w:lineRule="auto"/>
        <w:rPr>
          <w:rFonts w:ascii="Times New Roman" w:hAnsi="Times New Roman" w:cs="Times New Roman"/>
          <w:sz w:val="24"/>
          <w:szCs w:val="24"/>
        </w:rPr>
      </w:pPr>
      <w:bookmarkStart w:id="975" w:name="_Hlk225345674"/>
      <w:r w:rsidRPr="00796736">
        <w:rPr>
          <w:rFonts w:ascii="Times New Roman" w:hAnsi="Times New Roman" w:cs="Times New Roman"/>
          <w:sz w:val="24"/>
          <w:szCs w:val="24"/>
        </w:rPr>
        <w:t xml:space="preserve">Bestemmelsen viderefører 4. hvidvaskdirektivs artikel 32, stk. 4, 2. og 3. pkt., dog således, at det er tilføjet, at </w:t>
      </w:r>
      <w:bookmarkEnd w:id="975"/>
      <w:r w:rsidRPr="00796736">
        <w:rPr>
          <w:rFonts w:ascii="Times New Roman" w:hAnsi="Times New Roman" w:cs="Times New Roman"/>
          <w:sz w:val="24"/>
          <w:szCs w:val="24"/>
        </w:rPr>
        <w:t xml:space="preserve">kompetente myndigheder afgrænses til myndighederne nævnt i hvidvaskforordningens artikel 2, stk. 1, nr. 44, litra c og d. Derudover er det tilføjet, at FIU’en skal være i stand til rettidigt at besvare anmodningen, at anmodningen skal være begrundet, og at anmodningen skal være berettiget. Derudover fremgår det, at bestemmelsen alene vedrører situationer, hvor de pågældende oplysninger allerede besiddes af FIU’en og er nødvendige i det enkelte tilfælde. </w:t>
      </w:r>
    </w:p>
    <w:p w14:paraId="6E7FC0BF" w14:textId="77777777" w:rsidR="00BF3BC5" w:rsidRPr="00796736" w:rsidRDefault="00BF3BC5" w:rsidP="00A802A5">
      <w:pPr>
        <w:spacing w:line="360" w:lineRule="auto"/>
        <w:rPr>
          <w:rFonts w:ascii="Times New Roman" w:hAnsi="Times New Roman" w:cs="Times New Roman"/>
          <w:sz w:val="24"/>
          <w:szCs w:val="24"/>
        </w:rPr>
      </w:pPr>
    </w:p>
    <w:p w14:paraId="3612473D"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præambelbetragtning nr. 66 bl.a., at FIU’er bør kunne formidle oplysninger til kompetente myndigheder, der har til opgave at bekæmpe hvidvask af penge, de underliggende lovovertrædelser og finansiering af terrorisme. Sådanne myndigheder bør forstås således, at det omfatter myndigheder med en efterforsknings-, retsforfølgnings- eller domstolsfunktion. I de forskellige medlemsstater har andre myndigheder særlige roller i forbindelse med bekæmpelsen af hvidvask af penge, de underliggende lovovertrædelser og finansiering af terrorisme, og FIU’er bør også kunne give dem resultaterne af deres operationelle eller strategiske analyser, hvis de mener, at disse resultater er relevante for deres funktioner. Resultaterne af disse analyser giver meningsfulde efterretninger, der skal anvendes til udvikling af spor i forbindelse med efterforsknings- og retsforfølgningsarbejde. Kilden til rapporten om mistænkelige transaktioner eller aktiviteter bør ikke oplyses i formidlingen. Dette bør dog ikke være til hinder for, at FIU’er formidler relevante oplysninger, herunder f.eks. oplysninger om IBAN-numre, BIC- eller SWIFT-koder. Desuden bør FIU’er kunne dele andre oplysninger, som de er i besiddelse af, herunder efter anmodning fra andre kompetente myndigheder. </w:t>
      </w:r>
    </w:p>
    <w:p w14:paraId="7643BFB5" w14:textId="77777777" w:rsidR="00BF3BC5" w:rsidRPr="00796736" w:rsidRDefault="00BF3BC5" w:rsidP="00A802A5">
      <w:pPr>
        <w:spacing w:line="360" w:lineRule="auto"/>
        <w:rPr>
          <w:rFonts w:ascii="Times New Roman" w:hAnsi="Times New Roman" w:cs="Times New Roman"/>
          <w:sz w:val="24"/>
          <w:szCs w:val="24"/>
        </w:rPr>
      </w:pPr>
    </w:p>
    <w:p w14:paraId="201E66B6" w14:textId="7FABD734"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så vidt angår fremlæggelse af oplysninger for tilsynsorganer henvises der til pkt.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_Ref232791707 \n \h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3.17.2</w:t>
      </w:r>
      <w:r w:rsidR="00C16A1F"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om direktivets artikel 23. </w:t>
      </w:r>
    </w:p>
    <w:p w14:paraId="49571395" w14:textId="77777777" w:rsidR="00BF3BC5" w:rsidRPr="00796736" w:rsidRDefault="00BF3BC5" w:rsidP="00A802A5">
      <w:pPr>
        <w:spacing w:line="360" w:lineRule="auto"/>
        <w:rPr>
          <w:rFonts w:ascii="Times New Roman" w:hAnsi="Times New Roman" w:cs="Times New Roman"/>
          <w:sz w:val="24"/>
          <w:szCs w:val="24"/>
        </w:rPr>
      </w:pPr>
    </w:p>
    <w:p w14:paraId="2C970F33"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artikel 22, stk. 1, 2. afsnit, at hvis der er faktuelle årsager til at antage, at videregivelse af sådanne oplysninger vil få en negativ indvirkning på igangværende efterforskninger eller analyser, eller, i særlige tilfælde, hvis videregivelse af oplysningerne vil stå i klart misforhold til en fysisk eller juridisk persons legitime interesser eller være irrelevant i forhold til formålet med anmodningen, er FIU’en ikke forpligtet til at imødekomme anmodningen om oplysninger. Endvidere fremgår det af stk. 1, 3. afsnit, at i sådanne tilfælde giver FIU’en den anmodende myndighed en skriftlig begrundelse herfor. </w:t>
      </w:r>
    </w:p>
    <w:p w14:paraId="3A2EE9B9"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r>
      <w:bookmarkStart w:id="976" w:name="_Hlk225345695"/>
      <w:r w:rsidRPr="00796736">
        <w:rPr>
          <w:rFonts w:ascii="Times New Roman" w:hAnsi="Times New Roman" w:cs="Times New Roman"/>
          <w:sz w:val="24"/>
          <w:szCs w:val="24"/>
        </w:rPr>
        <w:t>Artikel 22, stk. 1, 2. afsnit, svarer til 4. hvidvaskdirektivs artikel 32, stk. 5, mens 3. afsnit er nyt.</w:t>
      </w:r>
    </w:p>
    <w:bookmarkEnd w:id="976"/>
    <w:p w14:paraId="34C94203" w14:textId="77777777" w:rsidR="00BF3BC5" w:rsidRPr="00796736" w:rsidRDefault="00BF3BC5" w:rsidP="00A802A5">
      <w:pPr>
        <w:spacing w:line="360" w:lineRule="auto"/>
        <w:rPr>
          <w:rFonts w:ascii="Times New Roman" w:hAnsi="Times New Roman" w:cs="Times New Roman"/>
          <w:sz w:val="24"/>
          <w:szCs w:val="24"/>
        </w:rPr>
      </w:pPr>
    </w:p>
    <w:p w14:paraId="27F644D5"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direktivets præambelbetragtning nr. 66 fremgår det bl.a., at når FIU’erne udøver deres selvstændighed og uafhængighed, bør de tage hensyn til, hvordan en afvisning af at give oplysninger kunne påvirke samarbejdet og det bredere mål om at bekæmpe hvidvask af penge, de underliggende lovovertrædelser og finansiering af terrorisme. Afslag bør begrænses til ekstraordinære omstændigheder, f.eks. når oplysningerne stammer fra en anden FIU, der ikke har givet samtykke til videreformidling heraf, eller hvis FIU’en har grund til at tro, at oplysningerne ikke vil blive anvendt til formålene med anmodningen. I sådanne tilfælde bør FIU'en begrunde afslaget. En sådan begrundelse kunne omfatte den præcisering at oplysningerne ikke er i FIU’ens besiddelse, eller at der ikke er givet samtykke til videreformidling.</w:t>
      </w:r>
    </w:p>
    <w:p w14:paraId="2DBB6DC1" w14:textId="77777777" w:rsidR="00BF3BC5" w:rsidRPr="00796736" w:rsidRDefault="00BF3BC5" w:rsidP="00A802A5">
      <w:pPr>
        <w:spacing w:line="360" w:lineRule="auto"/>
        <w:rPr>
          <w:rFonts w:ascii="Times New Roman" w:hAnsi="Times New Roman" w:cs="Times New Roman"/>
          <w:sz w:val="24"/>
          <w:szCs w:val="24"/>
        </w:rPr>
      </w:pPr>
    </w:p>
    <w:p w14:paraId="0A6E5ECE"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22, stk. 2, at de kompetente myndigheder giver FIU’en feedback om anvendelsen og nytteværdien af de oplysninger, der er videregivet i overensstemmelse med artikel 22 og artikel 19, stk. 3 (om at FIU’en er ansvarlig for at formidle resultaterne af sine analyser og alle yderligere oplysninger til relevante kompetente myndigheder, når der er begrundet mistanke om hvidvask af penge, de underliggende lovovertrædelser eller finansiering af terrorisme), og om resultatet af de foranstaltninger, der er truffet, og de efterforskninger, der er udført på grundlag af de pågældende oplysninger. Det fremgår videre, at en sådan feedback gives så hurtigt som muligt og under alle omstændigheder, i sammenfattet form, mindst én gang om året på en sådan måde, at FIU'en kan forbedre sin operationelle analysefunktion.</w:t>
      </w:r>
    </w:p>
    <w:p w14:paraId="4737C892" w14:textId="77777777" w:rsidR="00BF3BC5" w:rsidRPr="00796736" w:rsidRDefault="00BF3BC5" w:rsidP="00A802A5">
      <w:pPr>
        <w:spacing w:line="360" w:lineRule="auto"/>
        <w:rPr>
          <w:rFonts w:ascii="Times New Roman" w:hAnsi="Times New Roman" w:cs="Times New Roman"/>
          <w:sz w:val="24"/>
          <w:szCs w:val="24"/>
        </w:rPr>
      </w:pPr>
    </w:p>
    <w:p w14:paraId="42166AAC" w14:textId="30FDDFDA"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i det væsentligste til 4. hvidvaskdirektivs artikel 32, stk. 6. </w:t>
      </w:r>
      <w:r w:rsidR="008D4A8C" w:rsidRPr="00796736">
        <w:rPr>
          <w:rFonts w:ascii="Times New Roman" w:hAnsi="Times New Roman" w:cs="Times New Roman"/>
          <w:sz w:val="24"/>
          <w:szCs w:val="24"/>
        </w:rPr>
        <w:t>Som noget nyt er det dog bl.a. tilføjet, at der også skal gives feedback om nytteværdien af oplysningerne, ligesom bestemmelsen også omfatter feedback for oplysninger videregivet i overensstemmelse med direktivets artikel 19, stk. 3, jf. direktivets artikel 22. Derudover er det tilføjet, at feedbacken gives så hurtigt som muligt og i sammenfattende form mindst én gang om året, og at Hvidvasksekretariatet ikke skal indhente feedbacken, men at myndighederne skal give den af egen drift.</w:t>
      </w:r>
    </w:p>
    <w:p w14:paraId="08445DB3" w14:textId="77777777" w:rsidR="001C2CEE" w:rsidRPr="00796736" w:rsidRDefault="001C2CEE" w:rsidP="00A802A5">
      <w:pPr>
        <w:spacing w:line="360" w:lineRule="auto"/>
        <w:rPr>
          <w:rFonts w:ascii="Times New Roman" w:hAnsi="Times New Roman" w:cs="Times New Roman"/>
          <w:sz w:val="24"/>
          <w:szCs w:val="24"/>
        </w:rPr>
      </w:pPr>
    </w:p>
    <w:p w14:paraId="41CB4EAE" w14:textId="473661DA" w:rsidR="001C2CEE" w:rsidRPr="00796736" w:rsidRDefault="001C2CEE" w:rsidP="00A802A5">
      <w:pPr>
        <w:pStyle w:val="Overskrift4"/>
        <w:rPr>
          <w:rFonts w:ascii="Times New Roman" w:hAnsi="Times New Roman" w:cs="Times New Roman"/>
          <w:i/>
          <w:iCs/>
          <w:sz w:val="24"/>
          <w:szCs w:val="24"/>
        </w:rPr>
      </w:pPr>
      <w:bookmarkStart w:id="977" w:name="_Toc232109058"/>
      <w:r w:rsidRPr="00796736">
        <w:rPr>
          <w:rFonts w:ascii="Times New Roman" w:hAnsi="Times New Roman" w:cs="Times New Roman"/>
          <w:sz w:val="24"/>
          <w:szCs w:val="24"/>
        </w:rPr>
        <w:t>Justitsministeriets overvejelser og den foreslåede ordning</w:t>
      </w:r>
      <w:bookmarkEnd w:id="977"/>
      <w:r w:rsidRPr="00796736">
        <w:rPr>
          <w:rFonts w:ascii="Times New Roman" w:hAnsi="Times New Roman" w:cs="Times New Roman"/>
          <w:sz w:val="24"/>
          <w:szCs w:val="24"/>
        </w:rPr>
        <w:t xml:space="preserve">   </w:t>
      </w:r>
    </w:p>
    <w:p w14:paraId="3254DD6D" w14:textId="2E62119F" w:rsidR="00BF3BC5" w:rsidRPr="00796736" w:rsidRDefault="00BF3BC5" w:rsidP="00A802A5">
      <w:pPr>
        <w:spacing w:line="360" w:lineRule="auto"/>
        <w:rPr>
          <w:rFonts w:ascii="Times New Roman" w:hAnsi="Times New Roman" w:cs="Times New Roman"/>
          <w:sz w:val="24"/>
          <w:szCs w:val="24"/>
          <w:bdr w:val="none" w:sz="0" w:space="0" w:color="auto" w:frame="1"/>
        </w:rPr>
      </w:pPr>
      <w:bookmarkStart w:id="978" w:name="_Hlk225351597"/>
      <w:r w:rsidRPr="00796736">
        <w:rPr>
          <w:rFonts w:ascii="Times New Roman" w:hAnsi="Times New Roman" w:cs="Times New Roman"/>
          <w:sz w:val="24"/>
          <w:szCs w:val="24"/>
          <w:bdr w:val="none" w:sz="0" w:space="0" w:color="auto" w:frame="1"/>
        </w:rPr>
        <w:t xml:space="preserve">Som det fremgår af pkt. </w:t>
      </w:r>
      <w:r w:rsidR="00C16A1F" w:rsidRPr="00796736">
        <w:rPr>
          <w:rFonts w:ascii="Times New Roman" w:hAnsi="Times New Roman" w:cs="Times New Roman"/>
          <w:sz w:val="24"/>
          <w:szCs w:val="24"/>
          <w:bdr w:val="none" w:sz="0" w:space="0" w:color="auto" w:frame="1"/>
        </w:rPr>
        <w:fldChar w:fldCharType="begin"/>
      </w:r>
      <w:r w:rsidR="00C16A1F" w:rsidRPr="00796736">
        <w:rPr>
          <w:rFonts w:ascii="Times New Roman" w:hAnsi="Times New Roman" w:cs="Times New Roman"/>
          <w:sz w:val="24"/>
          <w:szCs w:val="24"/>
          <w:bdr w:val="none" w:sz="0" w:space="0" w:color="auto" w:frame="1"/>
        </w:rPr>
        <w:instrText xml:space="preserve"> REF _Ref232791741 \n \h </w:instrText>
      </w:r>
      <w:r w:rsidR="00967618" w:rsidRPr="00796736">
        <w:rPr>
          <w:rFonts w:ascii="Times New Roman" w:hAnsi="Times New Roman" w:cs="Times New Roman"/>
          <w:sz w:val="24"/>
          <w:szCs w:val="24"/>
          <w:bdr w:val="none" w:sz="0" w:space="0" w:color="auto" w:frame="1"/>
        </w:rPr>
        <w:instrText xml:space="preserve"> \* MERGEFORMAT </w:instrText>
      </w:r>
      <w:r w:rsidR="00C16A1F" w:rsidRPr="00796736">
        <w:rPr>
          <w:rFonts w:ascii="Times New Roman" w:hAnsi="Times New Roman" w:cs="Times New Roman"/>
          <w:sz w:val="24"/>
          <w:szCs w:val="24"/>
          <w:bdr w:val="none" w:sz="0" w:space="0" w:color="auto" w:frame="1"/>
        </w:rPr>
      </w:r>
      <w:r w:rsidR="00C16A1F"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3.16.2</w:t>
      </w:r>
      <w:r w:rsidR="00C16A1F"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indeholder hvidvaskdirektivet i artikel 22 en bestemmelse om FIU’ers svar på anmodninger om oplysninger. Bestemmelsen erstatter 4. hvidvaskdirektivs artikel 32, stk. 4, 2. og 3. pkt., samt stk. 5 og 6.</w:t>
      </w:r>
      <w:bookmarkStart w:id="979" w:name="_Hlk225351895"/>
      <w:bookmarkStart w:id="980" w:name="_Hlk225351553"/>
      <w:bookmarkEnd w:id="978"/>
      <w:r w:rsidRPr="00796736">
        <w:rPr>
          <w:rFonts w:ascii="Times New Roman" w:hAnsi="Times New Roman" w:cs="Times New Roman"/>
          <w:sz w:val="24"/>
          <w:szCs w:val="24"/>
          <w:bdr w:val="none" w:sz="0" w:space="0" w:color="auto" w:frame="1"/>
        </w:rPr>
        <w:t xml:space="preserve"> 4. hvidvaskdirektivs artikel 32, stk. 4, 2. og 3. pkt., samt stk. 5 og 6, er i dansk ret implementeret ved FIU-cirkulærets § 4 om samarbejde og udveksling af oplysninger med andre kompetente danske myndigheder, jf. nærmere pkt. </w:t>
      </w:r>
      <w:r w:rsidR="00C16A1F" w:rsidRPr="00796736">
        <w:rPr>
          <w:rFonts w:ascii="Times New Roman" w:hAnsi="Times New Roman" w:cs="Times New Roman"/>
          <w:sz w:val="24"/>
          <w:szCs w:val="24"/>
          <w:bdr w:val="none" w:sz="0" w:space="0" w:color="auto" w:frame="1"/>
        </w:rPr>
        <w:fldChar w:fldCharType="begin"/>
      </w:r>
      <w:r w:rsidR="00C16A1F" w:rsidRPr="00796736">
        <w:rPr>
          <w:rFonts w:ascii="Times New Roman" w:hAnsi="Times New Roman" w:cs="Times New Roman"/>
          <w:sz w:val="24"/>
          <w:szCs w:val="24"/>
          <w:bdr w:val="none" w:sz="0" w:space="0" w:color="auto" w:frame="1"/>
        </w:rPr>
        <w:instrText xml:space="preserve"> REF _Ref232791757 \n \h </w:instrText>
      </w:r>
      <w:r w:rsidR="00967618" w:rsidRPr="00796736">
        <w:rPr>
          <w:rFonts w:ascii="Times New Roman" w:hAnsi="Times New Roman" w:cs="Times New Roman"/>
          <w:sz w:val="24"/>
          <w:szCs w:val="24"/>
          <w:bdr w:val="none" w:sz="0" w:space="0" w:color="auto" w:frame="1"/>
        </w:rPr>
        <w:instrText xml:space="preserve"> \* MERGEFORMAT </w:instrText>
      </w:r>
      <w:r w:rsidR="00C16A1F" w:rsidRPr="00796736">
        <w:rPr>
          <w:rFonts w:ascii="Times New Roman" w:hAnsi="Times New Roman" w:cs="Times New Roman"/>
          <w:sz w:val="24"/>
          <w:szCs w:val="24"/>
          <w:bdr w:val="none" w:sz="0" w:space="0" w:color="auto" w:frame="1"/>
        </w:rPr>
      </w:r>
      <w:r w:rsidR="00C16A1F"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3.16.1</w:t>
      </w:r>
      <w:r w:rsidR="00C16A1F"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w:t>
      </w:r>
    </w:p>
    <w:bookmarkEnd w:id="979"/>
    <w:p w14:paraId="7CBF70F1" w14:textId="77777777" w:rsidR="00BF3BC5" w:rsidRPr="00796736" w:rsidRDefault="00BF3BC5" w:rsidP="00A802A5">
      <w:pPr>
        <w:spacing w:line="360" w:lineRule="auto"/>
        <w:rPr>
          <w:rFonts w:ascii="Times New Roman" w:hAnsi="Times New Roman" w:cs="Times New Roman"/>
          <w:sz w:val="24"/>
          <w:szCs w:val="24"/>
          <w:bdr w:val="none" w:sz="0" w:space="0" w:color="auto" w:frame="1"/>
        </w:rPr>
      </w:pPr>
    </w:p>
    <w:p w14:paraId="575CBF4A" w14:textId="65A0866E"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bdr w:val="none" w:sz="0" w:space="0" w:color="auto" w:frame="1"/>
        </w:rPr>
        <w:t xml:space="preserve">Hvidvaskdirektivets artikel 22 og 4. hvidvaskdirektivs artikel 32, stk. 4, 2. og 3. pkt., samt stk. 5 og 6, adskiller sig, som det fremgår af pkt. </w:t>
      </w:r>
      <w:r w:rsidR="00C16A1F" w:rsidRPr="00796736">
        <w:rPr>
          <w:rFonts w:ascii="Times New Roman" w:hAnsi="Times New Roman" w:cs="Times New Roman"/>
          <w:sz w:val="24"/>
          <w:szCs w:val="24"/>
          <w:bdr w:val="none" w:sz="0" w:space="0" w:color="auto" w:frame="1"/>
        </w:rPr>
        <w:fldChar w:fldCharType="begin"/>
      </w:r>
      <w:r w:rsidR="00C16A1F" w:rsidRPr="00796736">
        <w:rPr>
          <w:rFonts w:ascii="Times New Roman" w:hAnsi="Times New Roman" w:cs="Times New Roman"/>
          <w:sz w:val="24"/>
          <w:szCs w:val="24"/>
          <w:bdr w:val="none" w:sz="0" w:space="0" w:color="auto" w:frame="1"/>
        </w:rPr>
        <w:instrText xml:space="preserve"> REF _Ref232791774 \n \h </w:instrText>
      </w:r>
      <w:r w:rsidR="00967618" w:rsidRPr="00796736">
        <w:rPr>
          <w:rFonts w:ascii="Times New Roman" w:hAnsi="Times New Roman" w:cs="Times New Roman"/>
          <w:sz w:val="24"/>
          <w:szCs w:val="24"/>
          <w:bdr w:val="none" w:sz="0" w:space="0" w:color="auto" w:frame="1"/>
        </w:rPr>
        <w:instrText xml:space="preserve"> \* MERGEFORMAT </w:instrText>
      </w:r>
      <w:r w:rsidR="00C16A1F" w:rsidRPr="00796736">
        <w:rPr>
          <w:rFonts w:ascii="Times New Roman" w:hAnsi="Times New Roman" w:cs="Times New Roman"/>
          <w:sz w:val="24"/>
          <w:szCs w:val="24"/>
          <w:bdr w:val="none" w:sz="0" w:space="0" w:color="auto" w:frame="1"/>
        </w:rPr>
      </w:r>
      <w:r w:rsidR="00C16A1F"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3.16.2</w:t>
      </w:r>
      <w:r w:rsidR="00C16A1F"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bl.a. ved, at </w:t>
      </w:r>
      <w:r w:rsidRPr="00796736">
        <w:rPr>
          <w:rFonts w:ascii="Times New Roman" w:hAnsi="Times New Roman" w:cs="Times New Roman"/>
          <w:sz w:val="24"/>
          <w:szCs w:val="24"/>
        </w:rPr>
        <w:t xml:space="preserve">”kompetente myndigheder” i hvidvaskdirektivets artikel 22 afgrænses til myndighederne nævnt i hvidvaskforordningens artikel 2, stk. 1, nr. 44, litra c og d, om visse retshåndhævende myndigheder og myndigheder, der har fået til ansvar at bekæmpe hvidvask af penge. Endvidere er det tilføjet, at FIU’en skal være i stand til rettidigt at besvare anmodningen, at anmodningen skal være begrundet og berettiget. Derudover fremgår det, at bestemmelsen alene vedrører situationer, hvor de pågældende oplysninger allerede besiddes af FIU’en og er nødvendige i det enkelte tilfælde. Endvidere er det nyt, at FIU’en giver den anmodende myndighed en skriftlig begrundelse, hvis FIU’en ikke imødekommer en anmodning om oplysninger. </w:t>
      </w:r>
      <w:r w:rsidR="008D4A8C" w:rsidRPr="00796736">
        <w:rPr>
          <w:rFonts w:ascii="Times New Roman" w:hAnsi="Times New Roman" w:cs="Times New Roman"/>
          <w:sz w:val="24"/>
          <w:szCs w:val="24"/>
        </w:rPr>
        <w:t>Endelig er det for så vidt angår feedback til FIU’en bl.a. tilføjet, at der også skal gives feedback om nytteværdien af oplysningerne, ligesom bestemmelsen i artikel 22også omfatter feedback for videregivelser efter direktivets artikel 19, stk. 3. Feedbacken skal gives så hurtigt som muligt og i sammenfattende form mindst én gang om året. Det forudsættes, at Hvidvasksekretariatet ikke vil skulle kontrollere myndighedernes overholdelse af feedbackforpligtelsen.</w:t>
      </w:r>
    </w:p>
    <w:bookmarkEnd w:id="980"/>
    <w:p w14:paraId="1C236FE6" w14:textId="77777777" w:rsidR="00BF3BC5" w:rsidRPr="00796736" w:rsidRDefault="00BF3BC5" w:rsidP="00A802A5">
      <w:pPr>
        <w:spacing w:line="360" w:lineRule="auto"/>
        <w:rPr>
          <w:rFonts w:ascii="Times New Roman" w:hAnsi="Times New Roman" w:cs="Times New Roman"/>
          <w:sz w:val="24"/>
          <w:szCs w:val="24"/>
        </w:rPr>
      </w:pPr>
    </w:p>
    <w:p w14:paraId="16888141" w14:textId="1F7545D5" w:rsidR="00BF3BC5" w:rsidRPr="00796736" w:rsidRDefault="00BF3BC5" w:rsidP="00A802A5">
      <w:pPr>
        <w:spacing w:line="360" w:lineRule="auto"/>
        <w:rPr>
          <w:rFonts w:ascii="Times New Roman" w:hAnsi="Times New Roman" w:cs="Times New Roman"/>
          <w:sz w:val="24"/>
          <w:szCs w:val="24"/>
          <w:bdr w:val="none" w:sz="0" w:space="0" w:color="auto" w:frame="1"/>
        </w:rPr>
      </w:pPr>
      <w:bookmarkStart w:id="981" w:name="_Hlk226553195"/>
      <w:r w:rsidRPr="00796736">
        <w:rPr>
          <w:rFonts w:ascii="Times New Roman" w:hAnsi="Times New Roman" w:cs="Times New Roman"/>
          <w:sz w:val="24"/>
          <w:szCs w:val="24"/>
        </w:rPr>
        <w:t xml:space="preserve">Det foreslås i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_Ref232595727 \r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00C16A1F" w:rsidRPr="00796736">
        <w:rPr>
          <w:rFonts w:ascii="Times New Roman" w:hAnsi="Times New Roman" w:cs="Times New Roman"/>
          <w:sz w:val="24"/>
          <w:szCs w:val="24"/>
        </w:rPr>
        <w:fldChar w:fldCharType="end"/>
      </w:r>
      <w:r w:rsidR="00C16A1F"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at indsætte en bestemmelse, som – i overensstemmelse med hvidvaskdirektivets artikel 22 – regulerer </w:t>
      </w:r>
      <w:r w:rsidRPr="00796736">
        <w:rPr>
          <w:rFonts w:ascii="Times New Roman" w:eastAsia="Times New Roman" w:hAnsi="Times New Roman" w:cs="Times New Roman"/>
          <w:sz w:val="24"/>
          <w:szCs w:val="24"/>
          <w:lang w:eastAsia="da-DK"/>
        </w:rPr>
        <w:t>Hvidvasksekretariatets s</w:t>
      </w:r>
      <w:r w:rsidRPr="00796736">
        <w:rPr>
          <w:rFonts w:ascii="Times New Roman" w:hAnsi="Times New Roman" w:cs="Times New Roman"/>
          <w:sz w:val="24"/>
          <w:szCs w:val="24"/>
          <w:bdr w:val="none" w:sz="0" w:space="0" w:color="auto" w:frame="1"/>
        </w:rPr>
        <w:t xml:space="preserve">var på anmodninger om oplysninger </w:t>
      </w:r>
      <w:r w:rsidRPr="00796736">
        <w:rPr>
          <w:rFonts w:ascii="Times New Roman" w:eastAsia="Times New Roman" w:hAnsi="Times New Roman" w:cs="Times New Roman"/>
          <w:sz w:val="24"/>
          <w:szCs w:val="24"/>
          <w:lang w:eastAsia="da-DK"/>
        </w:rPr>
        <w:t xml:space="preserve">fra de nationale kompetente myndigheder, der er omhandlet i artikel 2, stk. 1, nr. 44, litra c og d, i hvidvaskforordningen. </w:t>
      </w:r>
    </w:p>
    <w:bookmarkEnd w:id="981"/>
    <w:p w14:paraId="0DD36505"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01D73275" w14:textId="783CDEDC" w:rsidR="00BF3BC5" w:rsidRPr="00796736" w:rsidRDefault="00BF3BC5" w:rsidP="00A802A5">
      <w:pPr>
        <w:spacing w:line="360" w:lineRule="auto"/>
        <w:rPr>
          <w:rFonts w:ascii="Times New Roman" w:hAnsi="Times New Roman" w:cs="Times New Roman"/>
          <w:sz w:val="24"/>
          <w:szCs w:val="24"/>
        </w:rPr>
      </w:pPr>
      <w:bookmarkStart w:id="982" w:name="_Hlk225403952"/>
      <w:r w:rsidRPr="00796736">
        <w:rPr>
          <w:rFonts w:ascii="Times New Roman" w:eastAsia="Times New Roman" w:hAnsi="Times New Roman" w:cs="Times New Roman"/>
          <w:sz w:val="24"/>
          <w:szCs w:val="24"/>
          <w:lang w:eastAsia="da-DK"/>
        </w:rPr>
        <w:t>Den foreslåede bestemmelse vil indebære, at gældende ret efter FIU-cirkulærets § 4 videreføres i hvidvaskloven med de ændringer, der følger af hvidvaskdirektivets artikel 22. Det drejer sig bl.a. om, at</w:t>
      </w:r>
      <w:bookmarkEnd w:id="982"/>
      <w:r w:rsidRPr="00796736">
        <w:rPr>
          <w:rFonts w:ascii="Times New Roman" w:eastAsia="Times New Roman" w:hAnsi="Times New Roman" w:cs="Times New Roman"/>
          <w:sz w:val="24"/>
          <w:szCs w:val="24"/>
          <w:lang w:eastAsia="da-DK"/>
        </w:rPr>
        <w:t xml:space="preserve">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_Ref232595727 \r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00C16A1F" w:rsidRPr="00796736">
        <w:rPr>
          <w:rFonts w:ascii="Times New Roman" w:hAnsi="Times New Roman" w:cs="Times New Roman"/>
          <w:sz w:val="24"/>
          <w:szCs w:val="24"/>
        </w:rPr>
        <w:fldChar w:fldCharType="end"/>
      </w:r>
      <w:r w:rsidR="00C16A1F"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 xml:space="preserve">afgrænses til at vedrøre </w:t>
      </w:r>
      <w:r w:rsidRPr="00796736">
        <w:rPr>
          <w:rFonts w:ascii="Times New Roman" w:hAnsi="Times New Roman" w:cs="Times New Roman"/>
          <w:sz w:val="24"/>
          <w:szCs w:val="24"/>
        </w:rPr>
        <w:t xml:space="preserve">myndighederne nævnt i hvidvaskforordningens artikel 2, stk. 1, nr. 44, litra c og d, om visse retshåndhævende myndigheder og myndigheder, der har fået til ansvar at bekæmpe hvidvask af penge. For så vidt angår feedback er det endvidere bl.a. nyt, at feedbacken skal gives i sammenfattet form, mindst én gang årligt, jf. nærmere ovenfor og under pkt. </w:t>
      </w:r>
      <w:r w:rsidR="002C5834" w:rsidRPr="00796736">
        <w:rPr>
          <w:rFonts w:ascii="Times New Roman" w:hAnsi="Times New Roman" w:cs="Times New Roman"/>
          <w:sz w:val="24"/>
          <w:szCs w:val="24"/>
        </w:rPr>
        <w:fldChar w:fldCharType="begin"/>
      </w:r>
      <w:r w:rsidR="002C5834" w:rsidRPr="00796736">
        <w:rPr>
          <w:rFonts w:ascii="Times New Roman" w:hAnsi="Times New Roman" w:cs="Times New Roman"/>
          <w:sz w:val="24"/>
          <w:szCs w:val="24"/>
        </w:rPr>
        <w:instrText xml:space="preserve"> REF _Ref237002555 \n \h  \* MERGEFORMAT </w:instrText>
      </w:r>
      <w:r w:rsidR="002C5834" w:rsidRPr="00796736">
        <w:rPr>
          <w:rFonts w:ascii="Times New Roman" w:hAnsi="Times New Roman" w:cs="Times New Roman"/>
          <w:sz w:val="24"/>
          <w:szCs w:val="24"/>
        </w:rPr>
      </w:r>
      <w:r w:rsidR="002C583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3.16.2</w:t>
      </w:r>
      <w:r w:rsidR="002C583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37B76A7A"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127C981A" w14:textId="4605F1A7" w:rsidR="00BF3BC5" w:rsidRPr="00796736" w:rsidRDefault="00BF3BC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_Ref232595727 \r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00C16A1F" w:rsidRPr="00796736">
        <w:rPr>
          <w:rFonts w:ascii="Times New Roman" w:hAnsi="Times New Roman" w:cs="Times New Roman"/>
          <w:sz w:val="24"/>
          <w:szCs w:val="24"/>
        </w:rPr>
        <w:fldChar w:fldCharType="end"/>
      </w:r>
      <w:r w:rsidR="00C16A1F"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 xml:space="preserve">og bemærkningerne hertil.  </w:t>
      </w:r>
    </w:p>
    <w:p w14:paraId="50E3D664"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4FA495F7" w14:textId="43388BB8" w:rsidR="00BF3BC5" w:rsidRPr="00796736" w:rsidRDefault="00BF3BC5" w:rsidP="00A802A5">
      <w:pPr>
        <w:spacing w:line="360" w:lineRule="auto"/>
        <w:rPr>
          <w:rFonts w:ascii="Times New Roman" w:hAnsi="Times New Roman" w:cs="Times New Roman"/>
          <w:sz w:val="24"/>
          <w:szCs w:val="24"/>
        </w:rPr>
      </w:pPr>
      <w:bookmarkStart w:id="983" w:name="_Hlk227073515"/>
      <w:r w:rsidRPr="00796736">
        <w:rPr>
          <w:rFonts w:ascii="Times New Roman" w:hAnsi="Times New Roman" w:cs="Times New Roman"/>
          <w:sz w:val="24"/>
          <w:szCs w:val="24"/>
        </w:rPr>
        <w:t xml:space="preserve">For så vidt angår fremlæggelse af oplysninger for tilsynsorganer henvises der til pkt.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rPr>
        <w:instrText xml:space="preserve"> REF _Ref232791861 \n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3.17</w:t>
      </w:r>
      <w:r w:rsidR="00C16A1F"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bookmarkEnd w:id="983"/>
    </w:p>
    <w:p w14:paraId="1AE8EA0B" w14:textId="77777777" w:rsidR="00BF3BC5" w:rsidRPr="00796736" w:rsidRDefault="00BF3BC5" w:rsidP="00A802A5">
      <w:pPr>
        <w:spacing w:line="360" w:lineRule="auto"/>
        <w:rPr>
          <w:rFonts w:ascii="Times New Roman" w:hAnsi="Times New Roman" w:cs="Times New Roman"/>
          <w:sz w:val="24"/>
          <w:szCs w:val="24"/>
        </w:rPr>
      </w:pPr>
    </w:p>
    <w:p w14:paraId="4B1D19E3" w14:textId="032E5858" w:rsidR="00C478A1" w:rsidRPr="00796736" w:rsidRDefault="00C478A1" w:rsidP="00A802A5">
      <w:pPr>
        <w:pStyle w:val="Overskrift2"/>
        <w:rPr>
          <w:rFonts w:ascii="Times New Roman" w:hAnsi="Times New Roman"/>
          <w:sz w:val="24"/>
        </w:rPr>
      </w:pPr>
      <w:bookmarkStart w:id="984" w:name="_Toc232109059"/>
      <w:bookmarkStart w:id="985" w:name="_Ref232791861"/>
      <w:bookmarkStart w:id="986" w:name="_Ref232791894"/>
      <w:bookmarkStart w:id="987" w:name="_Ref232791975"/>
      <w:bookmarkStart w:id="988" w:name="_Ref232943185"/>
      <w:bookmarkStart w:id="989" w:name="_Ref232943211"/>
      <w:bookmarkStart w:id="990" w:name="_Ref232943259"/>
      <w:bookmarkStart w:id="991" w:name="_Ref232943286"/>
      <w:bookmarkStart w:id="992" w:name="_Toc244880734"/>
      <w:r w:rsidRPr="00796736">
        <w:rPr>
          <w:rFonts w:ascii="Times New Roman" w:hAnsi="Times New Roman"/>
          <w:sz w:val="24"/>
        </w:rPr>
        <w:t>Fremlæggelse af oplysninger for tilsynsorganer</w:t>
      </w:r>
      <w:bookmarkEnd w:id="984"/>
      <w:bookmarkEnd w:id="985"/>
      <w:bookmarkEnd w:id="986"/>
      <w:bookmarkEnd w:id="987"/>
      <w:bookmarkEnd w:id="988"/>
      <w:bookmarkEnd w:id="989"/>
      <w:bookmarkEnd w:id="990"/>
      <w:bookmarkEnd w:id="991"/>
      <w:bookmarkEnd w:id="992"/>
    </w:p>
    <w:p w14:paraId="3676EC43" w14:textId="5FD29A3F" w:rsidR="00C478A1" w:rsidRPr="00796736" w:rsidRDefault="00C478A1" w:rsidP="00A802A5">
      <w:pPr>
        <w:pStyle w:val="Overskrift4"/>
        <w:rPr>
          <w:rFonts w:ascii="Times New Roman" w:hAnsi="Times New Roman" w:cs="Times New Roman"/>
          <w:sz w:val="24"/>
          <w:szCs w:val="24"/>
        </w:rPr>
      </w:pPr>
      <w:bookmarkStart w:id="993" w:name="_Toc232109060"/>
      <w:bookmarkStart w:id="994" w:name="_Ref237003803"/>
      <w:r w:rsidRPr="00796736">
        <w:rPr>
          <w:rFonts w:ascii="Times New Roman" w:hAnsi="Times New Roman" w:cs="Times New Roman"/>
          <w:sz w:val="24"/>
          <w:szCs w:val="24"/>
        </w:rPr>
        <w:t>Gældende ret</w:t>
      </w:r>
      <w:bookmarkEnd w:id="993"/>
      <w:bookmarkEnd w:id="994"/>
    </w:p>
    <w:p w14:paraId="630A2D4F" w14:textId="27166BB3"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Hvidvasksekretariatets samarbejde og udveksling af oplysninger med andre kompetente danske myndigheder, reguleres i dag i FIU-cirkulærets § 4, hvoraf det bl.a. fremgår, at Hvidvasksekretariatet kan imødekomme anmodninger om udlevering af oplysninger affødt af bekymringer vedrørende bl.a. mulig hvidvask af penge. Bestemmelsen omfatter også samarbejde og udvikling af oplysninger med tilsynsorganer.</w:t>
      </w:r>
    </w:p>
    <w:p w14:paraId="1C919300" w14:textId="77777777" w:rsidR="0042556A" w:rsidRPr="00796736" w:rsidRDefault="0042556A" w:rsidP="00A802A5">
      <w:pPr>
        <w:spacing w:line="360" w:lineRule="auto"/>
        <w:rPr>
          <w:rFonts w:ascii="Times New Roman" w:hAnsi="Times New Roman" w:cs="Times New Roman"/>
          <w:sz w:val="24"/>
          <w:szCs w:val="24"/>
        </w:rPr>
      </w:pPr>
    </w:p>
    <w:p w14:paraId="4F1042B5" w14:textId="77777777" w:rsidR="0042556A" w:rsidRPr="00796736" w:rsidRDefault="0042556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dog af forvaltningslovens § 28, stk. 1, 1. pkt., at for manuel videregivelse af oplysninger om enkeltpersoner (personoplysninger) til en anden forvaltningsmyndighed gælder reglerne i databeskyttelseslovens §§ 6-8 og 10 og § 11, stk. 1, og artikel 5, stk. 1, litra a-c, artikel 6, artikel 7, stk. 3, 1. og 2. pkt., artikel 9 og 10 og artikel 77, stk. 1, i Europa-Parlamentets og Rådets forordning nr. 2016/679 af 27. april 2016 om beskyttelse af fysiske personer i forbindelse med behandling af personoplysning og om fri udveksling af sådanne oplysninger (databeskyttelsesforordningen), jf. databeskyttelseslovens § 2, stk. 1. Det fremgår derudover af forvaltningslovens § 28, stk. 1, 2. pkt., at for videregivelse af personoplysninger til en anden forvaltningsmyndighed, der helt eller delvis foretages ved hjælp af automatisk databehandling, finder reglerne i databeskyttelsesforordningen og databeskyttelsesloven anvendelse, medmindre videregivelse er reguleret af lov om retshåndhævendes myndigheders behandling af personoplysninger. </w:t>
      </w:r>
    </w:p>
    <w:p w14:paraId="3DDC092C" w14:textId="77777777" w:rsidR="0042556A" w:rsidRPr="00796736" w:rsidRDefault="0042556A" w:rsidP="00A802A5">
      <w:pPr>
        <w:spacing w:line="360" w:lineRule="auto"/>
        <w:rPr>
          <w:rFonts w:ascii="Times New Roman" w:hAnsi="Times New Roman" w:cs="Times New Roman"/>
          <w:sz w:val="24"/>
          <w:szCs w:val="24"/>
        </w:rPr>
      </w:pPr>
    </w:p>
    <w:p w14:paraId="3D58BAA5" w14:textId="77777777" w:rsidR="0042556A" w:rsidRPr="00796736" w:rsidRDefault="0042556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forvaltningslovens § 28, stk. 2, fremgår det, at oplysninger af fortrolig karakter, som ikke er omfattet af stk. 1, kun må videregives til en anden forvaltningsmyndighed, når </w:t>
      </w:r>
    </w:p>
    <w:p w14:paraId="0FFD27BB" w14:textId="77777777" w:rsidR="0042556A" w:rsidRPr="00796736" w:rsidRDefault="0042556A">
      <w:pPr>
        <w:pStyle w:val="Listeafsnit"/>
        <w:numPr>
          <w:ilvl w:val="0"/>
          <w:numId w:val="52"/>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oplysningen angår, udtrykkeligt har givet samtykke, </w:t>
      </w:r>
    </w:p>
    <w:p w14:paraId="7DE9F7F6" w14:textId="77777777" w:rsidR="0042556A" w:rsidRPr="00796736" w:rsidRDefault="0042556A">
      <w:pPr>
        <w:pStyle w:val="Listeafsnit"/>
        <w:numPr>
          <w:ilvl w:val="0"/>
          <w:numId w:val="52"/>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lov eller bestemmelser fastsat i henhold til lov, at oplysningen skal videregives, eller </w:t>
      </w:r>
    </w:p>
    <w:p w14:paraId="13DAA011" w14:textId="77777777" w:rsidR="0042556A" w:rsidRPr="00796736" w:rsidRDefault="0042556A">
      <w:pPr>
        <w:pStyle w:val="Listeafsnit"/>
        <w:numPr>
          <w:ilvl w:val="0"/>
          <w:numId w:val="52"/>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må antages, at oplysningen vil være af væsentlig betydning for myndighedens virksomhed eller for en afgørelse, myndigheden skal træffe.</w:t>
      </w:r>
    </w:p>
    <w:p w14:paraId="453B5DDA" w14:textId="77777777" w:rsidR="0042556A" w:rsidRPr="00796736" w:rsidRDefault="0042556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forvaltningslovens § 28, stk. 3, at ved samtykke efter stk. 2, nr. 1, forstås enhver frivillig, specifik, informeret og utvetydig viljestilkendegivelse, hvorved den, oplysningen angår, ved erklæring eller klar bekræftelse indvilger i, at oplysningen videregives. </w:t>
      </w:r>
    </w:p>
    <w:p w14:paraId="118C5E72" w14:textId="77777777" w:rsidR="0042556A" w:rsidRPr="00796736" w:rsidRDefault="0042556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forvaltningslovens § 28, stk. 4, at et samtykke efter stk. 3 kan tilbagekaldes. Inden der gives samtykke, skal den, oplysningen angår, oplyses om, at et samtykke kan trækkes tilbage. Det skal være lige så let at trække samtykket tilbage som at give det.</w:t>
      </w:r>
    </w:p>
    <w:p w14:paraId="65F3A510" w14:textId="5110049E" w:rsidR="0042556A" w:rsidRPr="00796736" w:rsidRDefault="0042556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af forvaltningslovens § 31, stk. 1, at i det omfang en forvaltningsmyndighed er berettiget til at videregive en oplysning, skal myndigheden på begæring af en anden forvaltningsmyndighed videregive oplysningen, hvis den er af betydning for myndighedens virksomhed eller for en afgørelse, som myndigheden skal træffe. Efter stk. 2 finder bestemmelsen i stk. 1 dog ikke anvendelse, hvis videregivelsen påfører myndigheden et merarbejde, der væsentligt overstiger den interesse, den anden myndighed har i at få oplysningerne.</w:t>
      </w:r>
    </w:p>
    <w:p w14:paraId="187929D6" w14:textId="77777777" w:rsidR="00C478A1" w:rsidRPr="00796736" w:rsidRDefault="00C478A1" w:rsidP="00A802A5">
      <w:pPr>
        <w:spacing w:line="360" w:lineRule="auto"/>
        <w:rPr>
          <w:rFonts w:ascii="Times New Roman" w:hAnsi="Times New Roman" w:cs="Times New Roman"/>
          <w:sz w:val="24"/>
          <w:szCs w:val="24"/>
        </w:rPr>
      </w:pPr>
    </w:p>
    <w:p w14:paraId="076FB1F1" w14:textId="570CDBDC"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i øvrigt til pkt.</w:t>
      </w:r>
      <w:r w:rsidR="002C5834" w:rsidRPr="00796736">
        <w:rPr>
          <w:rFonts w:ascii="Times New Roman" w:hAnsi="Times New Roman" w:cs="Times New Roman"/>
          <w:sz w:val="24"/>
          <w:szCs w:val="24"/>
        </w:rPr>
        <w:t xml:space="preserve"> </w:t>
      </w:r>
      <w:r w:rsidR="002C5834" w:rsidRPr="00796736">
        <w:rPr>
          <w:rFonts w:ascii="Times New Roman" w:hAnsi="Times New Roman" w:cs="Times New Roman"/>
          <w:sz w:val="24"/>
          <w:szCs w:val="24"/>
        </w:rPr>
        <w:fldChar w:fldCharType="begin"/>
      </w:r>
      <w:r w:rsidR="002C5834" w:rsidRPr="00796736">
        <w:rPr>
          <w:rFonts w:ascii="Times New Roman" w:hAnsi="Times New Roman" w:cs="Times New Roman"/>
          <w:sz w:val="24"/>
          <w:szCs w:val="24"/>
        </w:rPr>
        <w:instrText xml:space="preserve"> REF _Ref237002575 \n \h  \* MERGEFORMAT </w:instrText>
      </w:r>
      <w:r w:rsidR="002C5834" w:rsidRPr="00796736">
        <w:rPr>
          <w:rFonts w:ascii="Times New Roman" w:hAnsi="Times New Roman" w:cs="Times New Roman"/>
          <w:sz w:val="24"/>
          <w:szCs w:val="24"/>
        </w:rPr>
      </w:r>
      <w:r w:rsidR="002C583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3.16.1</w:t>
      </w:r>
      <w:r w:rsidR="002C583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hvor FIU-cirkulærets § 4 er nærmere beskrevet. </w:t>
      </w:r>
    </w:p>
    <w:p w14:paraId="21BEB18A" w14:textId="77777777" w:rsidR="00BF3BC5" w:rsidRPr="00796736" w:rsidRDefault="00BF3BC5" w:rsidP="00A802A5">
      <w:pPr>
        <w:spacing w:line="360" w:lineRule="auto"/>
        <w:rPr>
          <w:rFonts w:ascii="Times New Roman" w:hAnsi="Times New Roman" w:cs="Times New Roman"/>
          <w:sz w:val="24"/>
          <w:szCs w:val="24"/>
        </w:rPr>
      </w:pPr>
    </w:p>
    <w:p w14:paraId="0B52952B" w14:textId="31FD41BD" w:rsidR="00C478A1" w:rsidRPr="00796736" w:rsidRDefault="00C478A1" w:rsidP="00A802A5">
      <w:pPr>
        <w:pStyle w:val="Overskrift4"/>
        <w:rPr>
          <w:rFonts w:ascii="Times New Roman" w:hAnsi="Times New Roman" w:cs="Times New Roman"/>
          <w:sz w:val="24"/>
          <w:szCs w:val="24"/>
        </w:rPr>
      </w:pPr>
      <w:bookmarkStart w:id="995" w:name="_Toc232109061"/>
      <w:bookmarkStart w:id="996" w:name="_Ref232791707"/>
      <w:bookmarkStart w:id="997" w:name="_Ref232791913"/>
      <w:r w:rsidRPr="00796736">
        <w:rPr>
          <w:rFonts w:ascii="Times New Roman" w:hAnsi="Times New Roman" w:cs="Times New Roman"/>
          <w:sz w:val="24"/>
          <w:szCs w:val="24"/>
        </w:rPr>
        <w:t>6. hvidvaskdirektiv</w:t>
      </w:r>
      <w:bookmarkEnd w:id="995"/>
      <w:bookmarkEnd w:id="996"/>
      <w:bookmarkEnd w:id="997"/>
    </w:p>
    <w:p w14:paraId="24661181" w14:textId="043FC325"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bdr w:val="none" w:sz="0" w:space="0" w:color="auto" w:frame="1"/>
        </w:rPr>
        <w:t xml:space="preserve">Hvidvaskdirektivets artikel 23 regulerer FIU’ers fremlæggelse af oplysninger for tilsynsorganer. Bestemmelsen er ny i forhold til 4. og 5. hvidvaskdirektiv. For så vidt angår direktivets artikel 22 om FIU’ers svar på anmodninger om oplysninger fra de kompetente myndigheder, der er omhandlet i artikel 2, stk. 1, nr. 44, litra c og d, i hvidvaskforordningen, henvises til pkt. </w:t>
      </w:r>
      <w:r w:rsidR="00C16A1F" w:rsidRPr="00796736">
        <w:rPr>
          <w:rFonts w:ascii="Times New Roman" w:hAnsi="Times New Roman" w:cs="Times New Roman"/>
          <w:sz w:val="24"/>
          <w:szCs w:val="24"/>
        </w:rPr>
        <w:fldChar w:fldCharType="begin"/>
      </w:r>
      <w:r w:rsidR="00C16A1F" w:rsidRPr="00796736">
        <w:rPr>
          <w:rFonts w:ascii="Times New Roman" w:hAnsi="Times New Roman" w:cs="Times New Roman"/>
          <w:sz w:val="24"/>
          <w:szCs w:val="24"/>
          <w:bdr w:val="none" w:sz="0" w:space="0" w:color="auto" w:frame="1"/>
        </w:rPr>
        <w:instrText xml:space="preserve"> REF _Ref232791894 \n \h </w:instrText>
      </w:r>
      <w:r w:rsidR="00967618" w:rsidRPr="00796736">
        <w:rPr>
          <w:rFonts w:ascii="Times New Roman" w:hAnsi="Times New Roman" w:cs="Times New Roman"/>
          <w:sz w:val="24"/>
          <w:szCs w:val="24"/>
        </w:rPr>
        <w:instrText xml:space="preserve"> \* MERGEFORMAT </w:instrText>
      </w:r>
      <w:r w:rsidR="00C16A1F" w:rsidRPr="00796736">
        <w:rPr>
          <w:rFonts w:ascii="Times New Roman" w:hAnsi="Times New Roman" w:cs="Times New Roman"/>
          <w:sz w:val="24"/>
          <w:szCs w:val="24"/>
        </w:rPr>
      </w:r>
      <w:r w:rsidR="00C16A1F" w:rsidRPr="00796736">
        <w:rPr>
          <w:rFonts w:ascii="Times New Roman" w:hAnsi="Times New Roman" w:cs="Times New Roman"/>
          <w:sz w:val="24"/>
          <w:szCs w:val="24"/>
        </w:rPr>
        <w:fldChar w:fldCharType="separate"/>
      </w:r>
      <w:r w:rsidR="008F29E5">
        <w:rPr>
          <w:rFonts w:ascii="Times New Roman" w:hAnsi="Times New Roman" w:cs="Times New Roman"/>
          <w:sz w:val="24"/>
          <w:szCs w:val="24"/>
          <w:bdr w:val="none" w:sz="0" w:space="0" w:color="auto" w:frame="1"/>
        </w:rPr>
        <w:t>3.17</w:t>
      </w:r>
      <w:r w:rsidR="00C16A1F"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7ABA4765" w14:textId="77777777" w:rsidR="00BF3BC5" w:rsidRPr="00796736" w:rsidRDefault="00BF3BC5" w:rsidP="00A802A5">
      <w:pPr>
        <w:spacing w:line="360" w:lineRule="auto"/>
        <w:rPr>
          <w:rFonts w:ascii="Times New Roman" w:hAnsi="Times New Roman" w:cs="Times New Roman"/>
          <w:sz w:val="24"/>
          <w:szCs w:val="24"/>
        </w:rPr>
      </w:pPr>
    </w:p>
    <w:p w14:paraId="5751DD1C"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Tilsynsorganer er i hvidvaskforordningens artikel 2, stk. 1, nr. 45, defineret som det organ, som har fået overdraget ansvarsområder med henblik på at sikre forpligtede enheders overholdelse af kravene i denne forordning, herunder AMLA, når denne udfører de opgaver, som den har fået overdraget i medfør af artikel 5, stk. 2, i AMLA-forordningen.</w:t>
      </w:r>
    </w:p>
    <w:p w14:paraId="7A9C58E7" w14:textId="77777777" w:rsidR="00BF3BC5" w:rsidRPr="00796736" w:rsidRDefault="00BF3BC5" w:rsidP="00A802A5">
      <w:pPr>
        <w:spacing w:line="360" w:lineRule="auto"/>
        <w:rPr>
          <w:rFonts w:ascii="Times New Roman" w:hAnsi="Times New Roman" w:cs="Times New Roman"/>
          <w:sz w:val="24"/>
          <w:szCs w:val="24"/>
        </w:rPr>
      </w:pPr>
    </w:p>
    <w:p w14:paraId="5B0B9F09"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hvidvaskdirektivets artikel 23, stk. 1, at medlemsstaterne sikrer, at FIU’erne spontant eller efter anmodning giver tilsynsorganerne oplysninger, der kan være relevante med henblik på tilsyn i henhold til direktivets kapitel IV, herunder mindst oplysninger om: </w:t>
      </w:r>
    </w:p>
    <w:p w14:paraId="67E105B1" w14:textId="77777777" w:rsidR="00BF3BC5" w:rsidRPr="00796736" w:rsidRDefault="00BF3BC5">
      <w:pPr>
        <w:pStyle w:val="Listeafsnit"/>
        <w:numPr>
          <w:ilvl w:val="0"/>
          <w:numId w:val="11"/>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kvaliteten og kvantiteten af rapporter om mistænkelige transaktioner indgivet af forpligtede enheder </w:t>
      </w:r>
    </w:p>
    <w:p w14:paraId="3EA446F2" w14:textId="77777777" w:rsidR="00BF3BC5" w:rsidRPr="00796736" w:rsidRDefault="00BF3BC5">
      <w:pPr>
        <w:pStyle w:val="Listeafsnit"/>
        <w:numPr>
          <w:ilvl w:val="0"/>
          <w:numId w:val="11"/>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kvaliteten og rettidigheden af forpligtede enheders svar på anmodninger fra FIU'er i henhold til artikel 69, stk. 1, første afsnit, litra b, i hvidvaskforordningen  </w:t>
      </w:r>
    </w:p>
    <w:p w14:paraId="3F427E1E" w14:textId="77777777" w:rsidR="00BF3BC5" w:rsidRPr="00796736" w:rsidRDefault="00BF3BC5">
      <w:pPr>
        <w:pStyle w:val="Listeafsnit"/>
        <w:numPr>
          <w:ilvl w:val="0"/>
          <w:numId w:val="11"/>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relevante resultater af strategiske analyser, der er foretaget i henhold til direktivets artikel 19, stk. 3, litra b, samt alle relevante oplysninger om tendenser og metoder for hvidvask af penge, de underliggende lovovertrædelser og finansiering af terrorisme, herunder geografiske, grænseoverskridende og nye risici. </w:t>
      </w:r>
    </w:p>
    <w:p w14:paraId="74ED1452" w14:textId="77777777" w:rsidR="00BF3BC5" w:rsidRPr="00796736" w:rsidRDefault="00BF3BC5" w:rsidP="00A802A5">
      <w:pPr>
        <w:spacing w:line="360" w:lineRule="auto"/>
        <w:rPr>
          <w:rFonts w:ascii="Times New Roman" w:hAnsi="Times New Roman" w:cs="Times New Roman"/>
          <w:sz w:val="24"/>
          <w:szCs w:val="24"/>
        </w:rPr>
      </w:pPr>
    </w:p>
    <w:p w14:paraId="46317C4F"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bestemmelsens stk. 2, at medlemsstaterne sikrer, at FIU’erne underretter tilsynsorganerne, når der i de oplysninger, de er i besiddelse af, er tegn på, at forpligtede enheder muligvis har overtrådt hvidvaskforordningen og forordning (EU) 2023/1113 (forordning om oplysninger, der skal medsendes ved pengeoverførsler og ved overførsler af visse kryptoaktiver). </w:t>
      </w:r>
    </w:p>
    <w:p w14:paraId="737AB98A" w14:textId="77777777" w:rsidR="00BF3BC5" w:rsidRPr="00796736" w:rsidRDefault="00BF3BC5" w:rsidP="00A802A5">
      <w:pPr>
        <w:spacing w:line="360" w:lineRule="auto"/>
        <w:rPr>
          <w:rFonts w:ascii="Times New Roman" w:hAnsi="Times New Roman" w:cs="Times New Roman"/>
          <w:sz w:val="24"/>
          <w:szCs w:val="24"/>
        </w:rPr>
      </w:pPr>
    </w:p>
    <w:p w14:paraId="462CD0FA"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Herudover fremgår det af bestemmelsens stk. 3, at medlemsstaterne, medmindre det er strengt nødvendigt med henblik på stk. 2, sikrer, at oplysninger givet af FIU’er i henhold til artikel 23 ikke indeholder oplysninger om specifikke fysiske eller juridiske personer eller sager, der omfatter fysiske eller juridiske personer, der er genstand for en igangværende analyse eller efterforskning, eller som kan føre til identifikation af fysiske eller juridiske personer.</w:t>
      </w:r>
    </w:p>
    <w:p w14:paraId="4059EBC0" w14:textId="77777777" w:rsidR="00BF3BC5" w:rsidRPr="00796736" w:rsidRDefault="00BF3BC5" w:rsidP="00A802A5">
      <w:pPr>
        <w:spacing w:line="360" w:lineRule="auto"/>
        <w:rPr>
          <w:rFonts w:ascii="Times New Roman" w:hAnsi="Times New Roman" w:cs="Times New Roman"/>
          <w:sz w:val="24"/>
          <w:szCs w:val="24"/>
        </w:rPr>
      </w:pPr>
    </w:p>
    <w:p w14:paraId="54B5F1ED" w14:textId="77777777" w:rsidR="00BF3BC5" w:rsidRPr="00796736" w:rsidRDefault="00BF3BC5" w:rsidP="00A802A5">
      <w:pPr>
        <w:spacing w:line="360" w:lineRule="auto"/>
        <w:rPr>
          <w:rFonts w:ascii="Times New Roman" w:hAnsi="Times New Roman" w:cs="Times New Roman"/>
          <w:sz w:val="24"/>
          <w:szCs w:val="24"/>
        </w:rPr>
      </w:pPr>
      <w:bookmarkStart w:id="998" w:name="_Hlk227053873"/>
      <w:r w:rsidRPr="00796736">
        <w:rPr>
          <w:rFonts w:ascii="Times New Roman" w:hAnsi="Times New Roman" w:cs="Times New Roman"/>
          <w:sz w:val="24"/>
          <w:szCs w:val="24"/>
        </w:rPr>
        <w:t xml:space="preserve">Det fremgår af direktivets præambelbetragtning nr. 67, at effektivt samarbejde og informationsudveksling mellem FIU’er og tilsynsorganer er af afgørende betydning for det finansielle systems integritet og stabilitet. Det sikrer en omfattende og konsekvent tilgang til forebyggelse og bekæmpelse af hvidvask af penge, de underliggende lovovertrædelser og finansiering af terrorisme, øger effektiviteten af Unionens ordning for bekæmpelse af hvidvask af penge og finansiering af terrorisme og beskytter økonomien mod truslerne fra ulovlige finansielle aktiviteter. Oplysninger i FIU’ernes besiddelse vedrørende f.eks. kvaliteten og kvantiteten af rapporter om mistænkelige transaktioner indgivet af forpligtede enheder, kvaliteten og rettidigheden af forpligtede enheders svar på FIU’ernes anmodninger om oplysninger og oplysninger om hvidvask af penge, de underliggende lovovertrædelser og finansiering af terrorisme, typologier, tendenser og metoder kan hjælpe tilsynsorganerne med at identificere områder, hvor risiciene er højere, eller hvor overholdelsen er svag, og dermed give dem et indblik i, hvorvidt tilsynet skal styrkes i forhold til specifikke forpligtede enheder eller sektorer. Med henblik herpå bør FIU’erne enten spontant eller efter anmodning give tilsynsorganerne visse typer oplysninger, der kunne være relevante med henblik på tilsyn. </w:t>
      </w:r>
    </w:p>
    <w:bookmarkEnd w:id="998"/>
    <w:p w14:paraId="6E81180D" w14:textId="77777777" w:rsidR="00C478A1" w:rsidRPr="00796736" w:rsidRDefault="00C478A1" w:rsidP="00A802A5">
      <w:pPr>
        <w:spacing w:line="360" w:lineRule="auto"/>
        <w:rPr>
          <w:rFonts w:ascii="Times New Roman" w:hAnsi="Times New Roman" w:cs="Times New Roman"/>
          <w:sz w:val="24"/>
          <w:szCs w:val="24"/>
        </w:rPr>
      </w:pPr>
    </w:p>
    <w:p w14:paraId="7A314964" w14:textId="31A1AFD3" w:rsidR="00C478A1" w:rsidRPr="00796736" w:rsidRDefault="00C478A1" w:rsidP="00A802A5">
      <w:pPr>
        <w:pStyle w:val="Overskrift4"/>
        <w:rPr>
          <w:rFonts w:ascii="Times New Roman" w:hAnsi="Times New Roman" w:cs="Times New Roman"/>
          <w:sz w:val="24"/>
          <w:szCs w:val="24"/>
        </w:rPr>
      </w:pPr>
      <w:bookmarkStart w:id="999" w:name="_Toc232109062"/>
      <w:r w:rsidRPr="00796736">
        <w:rPr>
          <w:rFonts w:ascii="Times New Roman" w:hAnsi="Times New Roman" w:cs="Times New Roman"/>
          <w:sz w:val="24"/>
          <w:szCs w:val="24"/>
        </w:rPr>
        <w:t>Justitsministeriets overvejelser og den foreslåede ordning</w:t>
      </w:r>
      <w:bookmarkEnd w:id="999"/>
      <w:r w:rsidRPr="00796736">
        <w:rPr>
          <w:rFonts w:ascii="Times New Roman" w:hAnsi="Times New Roman" w:cs="Times New Roman"/>
          <w:sz w:val="24"/>
          <w:szCs w:val="24"/>
        </w:rPr>
        <w:t xml:space="preserve"> </w:t>
      </w:r>
    </w:p>
    <w:p w14:paraId="3CB1FED4" w14:textId="0B4552F8"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bdr w:val="none" w:sz="0" w:space="0" w:color="auto" w:frame="1"/>
        </w:rPr>
        <w:t xml:space="preserve">Som det fremgår af pkt. </w:t>
      </w:r>
      <w:r w:rsidR="00C16A1F" w:rsidRPr="00796736">
        <w:rPr>
          <w:rFonts w:ascii="Times New Roman" w:hAnsi="Times New Roman" w:cs="Times New Roman"/>
          <w:sz w:val="24"/>
          <w:szCs w:val="24"/>
          <w:bdr w:val="none" w:sz="0" w:space="0" w:color="auto" w:frame="1"/>
        </w:rPr>
        <w:fldChar w:fldCharType="begin"/>
      </w:r>
      <w:r w:rsidR="00C16A1F" w:rsidRPr="00796736">
        <w:rPr>
          <w:rFonts w:ascii="Times New Roman" w:hAnsi="Times New Roman" w:cs="Times New Roman"/>
          <w:sz w:val="24"/>
          <w:szCs w:val="24"/>
          <w:bdr w:val="none" w:sz="0" w:space="0" w:color="auto" w:frame="1"/>
        </w:rPr>
        <w:instrText xml:space="preserve"> REF _Ref232791913 \n \h </w:instrText>
      </w:r>
      <w:r w:rsidR="00967618" w:rsidRPr="00796736">
        <w:rPr>
          <w:rFonts w:ascii="Times New Roman" w:hAnsi="Times New Roman" w:cs="Times New Roman"/>
          <w:sz w:val="24"/>
          <w:szCs w:val="24"/>
          <w:bdr w:val="none" w:sz="0" w:space="0" w:color="auto" w:frame="1"/>
        </w:rPr>
        <w:instrText xml:space="preserve"> \* MERGEFORMAT </w:instrText>
      </w:r>
      <w:r w:rsidR="00C16A1F" w:rsidRPr="00796736">
        <w:rPr>
          <w:rFonts w:ascii="Times New Roman" w:hAnsi="Times New Roman" w:cs="Times New Roman"/>
          <w:sz w:val="24"/>
          <w:szCs w:val="24"/>
          <w:bdr w:val="none" w:sz="0" w:space="0" w:color="auto" w:frame="1"/>
        </w:rPr>
      </w:r>
      <w:r w:rsidR="00C16A1F"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3.17.2</w:t>
      </w:r>
      <w:r w:rsidR="00C16A1F"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indeholder hvidvaskdirektivets artikel 23 en bestemmelse vedrørende </w:t>
      </w:r>
      <w:r w:rsidRPr="00796736">
        <w:rPr>
          <w:rFonts w:ascii="Times New Roman" w:hAnsi="Times New Roman" w:cs="Times New Roman"/>
          <w:sz w:val="24"/>
          <w:szCs w:val="24"/>
        </w:rPr>
        <w:t xml:space="preserve">FIU’ens fremlæggelse af oplysninger for tilsynsorganer. Bestemmelsen er ny i forhold til 4. og 5. hvidvaskdirektiv. </w:t>
      </w:r>
    </w:p>
    <w:p w14:paraId="1389DDF7" w14:textId="77777777" w:rsidR="00BF3BC5" w:rsidRPr="00796736" w:rsidRDefault="00BF3BC5" w:rsidP="00A802A5">
      <w:pPr>
        <w:spacing w:line="360" w:lineRule="auto"/>
        <w:rPr>
          <w:rFonts w:ascii="Times New Roman" w:hAnsi="Times New Roman" w:cs="Times New Roman"/>
          <w:sz w:val="24"/>
          <w:szCs w:val="24"/>
          <w:bdr w:val="none" w:sz="0" w:space="0" w:color="auto" w:frame="1"/>
        </w:rPr>
      </w:pPr>
    </w:p>
    <w:p w14:paraId="2B150321" w14:textId="1E2AE2F8" w:rsidR="00BF3BC5" w:rsidRPr="00796736" w:rsidRDefault="00BF3BC5"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Hvidvasksekretariatets svar på anmodninger om oplysninger er i dag reguleret i FIU-cirkulærets § 4. </w:t>
      </w:r>
      <w:r w:rsidRPr="00796736">
        <w:rPr>
          <w:rFonts w:ascii="Times New Roman" w:hAnsi="Times New Roman" w:cs="Times New Roman"/>
          <w:sz w:val="24"/>
          <w:szCs w:val="24"/>
        </w:rPr>
        <w:t>Bestemmelsen omfatter også samarbejde og udvikling af oplysninger med tilsynsorganer.</w:t>
      </w:r>
    </w:p>
    <w:p w14:paraId="6025DDE1" w14:textId="77777777" w:rsidR="00BF3BC5" w:rsidRPr="00796736" w:rsidRDefault="00BF3BC5" w:rsidP="00A802A5">
      <w:pPr>
        <w:spacing w:line="360" w:lineRule="auto"/>
        <w:rPr>
          <w:rFonts w:ascii="Times New Roman" w:hAnsi="Times New Roman" w:cs="Times New Roman"/>
          <w:sz w:val="24"/>
          <w:szCs w:val="24"/>
        </w:rPr>
      </w:pPr>
    </w:p>
    <w:p w14:paraId="27BDF93A" w14:textId="1A52A334" w:rsidR="00BF3BC5" w:rsidRPr="00796736" w:rsidRDefault="00BF3BC5" w:rsidP="00A802A5">
      <w:pPr>
        <w:spacing w:line="360" w:lineRule="auto"/>
        <w:rPr>
          <w:rFonts w:ascii="Times New Roman" w:hAnsi="Times New Roman" w:cs="Times New Roman"/>
          <w:sz w:val="24"/>
          <w:szCs w:val="24"/>
        </w:rPr>
      </w:pPr>
      <w:bookmarkStart w:id="1000" w:name="_Hlk226554551"/>
      <w:r w:rsidRPr="00796736">
        <w:rPr>
          <w:rFonts w:ascii="Times New Roman" w:hAnsi="Times New Roman" w:cs="Times New Roman"/>
          <w:sz w:val="24"/>
          <w:szCs w:val="24"/>
          <w:bdr w:val="none" w:sz="0" w:space="0" w:color="auto" w:frame="1"/>
        </w:rPr>
        <w:t xml:space="preserve">Det foreslås i </w:t>
      </w:r>
      <w:r w:rsidR="00A511C8" w:rsidRPr="00796736">
        <w:rPr>
          <w:rFonts w:ascii="Times New Roman" w:hAnsi="Times New Roman" w:cs="Times New Roman"/>
          <w:sz w:val="24"/>
          <w:szCs w:val="24"/>
          <w:bdr w:val="none" w:sz="0" w:space="0" w:color="auto" w:frame="1"/>
        </w:rPr>
        <w:fldChar w:fldCharType="begin"/>
      </w:r>
      <w:r w:rsidR="00A511C8" w:rsidRPr="00796736">
        <w:rPr>
          <w:rFonts w:ascii="Times New Roman" w:hAnsi="Times New Roman" w:cs="Times New Roman"/>
          <w:sz w:val="24"/>
          <w:szCs w:val="24"/>
          <w:bdr w:val="none" w:sz="0" w:space="0" w:color="auto" w:frame="1"/>
        </w:rPr>
        <w:instrText xml:space="preserve"> REF _Ref232595750 \r \h </w:instrText>
      </w:r>
      <w:r w:rsidR="00967618" w:rsidRPr="00796736">
        <w:rPr>
          <w:rFonts w:ascii="Times New Roman" w:hAnsi="Times New Roman" w:cs="Times New Roman"/>
          <w:sz w:val="24"/>
          <w:szCs w:val="24"/>
          <w:bdr w:val="none" w:sz="0" w:space="0" w:color="auto" w:frame="1"/>
        </w:rPr>
        <w:instrText xml:space="preserve"> \* MERGEFORMAT </w:instrText>
      </w:r>
      <w:r w:rsidR="00A511C8" w:rsidRPr="00796736">
        <w:rPr>
          <w:rFonts w:ascii="Times New Roman" w:hAnsi="Times New Roman" w:cs="Times New Roman"/>
          <w:sz w:val="24"/>
          <w:szCs w:val="24"/>
          <w:bdr w:val="none" w:sz="0" w:space="0" w:color="auto" w:frame="1"/>
        </w:rPr>
      </w:r>
      <w:r w:rsidR="00A511C8"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18</w:t>
      </w:r>
      <w:r w:rsidR="00A511C8" w:rsidRPr="00796736">
        <w:rPr>
          <w:rFonts w:ascii="Times New Roman" w:hAnsi="Times New Roman" w:cs="Times New Roman"/>
          <w:sz w:val="24"/>
          <w:szCs w:val="24"/>
          <w:bdr w:val="none" w:sz="0" w:space="0" w:color="auto" w:frame="1"/>
        </w:rPr>
        <w:fldChar w:fldCharType="end"/>
      </w:r>
      <w:r w:rsidR="00C16A1F" w:rsidRPr="00796736">
        <w:rPr>
          <w:rFonts w:ascii="Times New Roman" w:hAnsi="Times New Roman" w:cs="Times New Roman"/>
          <w:sz w:val="24"/>
          <w:szCs w:val="24"/>
          <w:bdr w:val="none" w:sz="0" w:space="0" w:color="auto" w:frame="1"/>
        </w:rPr>
        <w:t xml:space="preserve"> </w:t>
      </w:r>
      <w:r w:rsidRPr="00796736">
        <w:rPr>
          <w:rFonts w:ascii="Times New Roman" w:hAnsi="Times New Roman" w:cs="Times New Roman"/>
          <w:sz w:val="24"/>
          <w:szCs w:val="24"/>
          <w:bdr w:val="none" w:sz="0" w:space="0" w:color="auto" w:frame="1"/>
        </w:rPr>
        <w:t xml:space="preserve">at indsætte en bestemmelse, der – i overensstemmelse med hvidvaskdirektivets artikel 23 – regulerer FIU’ers fremlæggelse af oplysninger for tilsynsorganer. </w:t>
      </w:r>
      <w:bookmarkEnd w:id="1000"/>
      <w:r w:rsidRPr="00796736">
        <w:rPr>
          <w:rFonts w:ascii="Times New Roman" w:eastAsia="Times New Roman" w:hAnsi="Times New Roman" w:cs="Times New Roman"/>
          <w:sz w:val="24"/>
          <w:szCs w:val="24"/>
          <w:lang w:eastAsia="da-DK"/>
        </w:rPr>
        <w:t xml:space="preserve">Den foreslåede bestemmelse vil indebære, at fremlæggelse af oplysninger for tilsynsorganer som noget nyt reguleres i en særskilt bestemmelse. Efter den foreslåede bestemmelse vil </w:t>
      </w:r>
      <w:r w:rsidRPr="00796736">
        <w:rPr>
          <w:rFonts w:ascii="Times New Roman" w:hAnsi="Times New Roman" w:cs="Times New Roman"/>
          <w:sz w:val="24"/>
          <w:szCs w:val="24"/>
          <w:bdr w:val="none" w:sz="0" w:space="0" w:color="auto" w:frame="1"/>
        </w:rPr>
        <w:t xml:space="preserve">Hvidvasksekretariatet uopfordret eller efter anmodning skulle give tilsynsorganerne oplysninger, </w:t>
      </w:r>
      <w:r w:rsidRPr="00796736">
        <w:rPr>
          <w:rFonts w:ascii="Times New Roman" w:hAnsi="Times New Roman" w:cs="Times New Roman"/>
          <w:sz w:val="24"/>
          <w:szCs w:val="24"/>
        </w:rPr>
        <w:t xml:space="preserve">der kan være relevante med henblik på tilsyn med bekæmpelse af hvidvask af penge, ligesom sekretariatet </w:t>
      </w:r>
      <w:r w:rsidRPr="00796736">
        <w:rPr>
          <w:rFonts w:ascii="Times New Roman" w:hAnsi="Times New Roman" w:cs="Times New Roman"/>
          <w:sz w:val="24"/>
          <w:szCs w:val="24"/>
          <w:bdr w:val="none" w:sz="0" w:space="0" w:color="auto" w:frame="1"/>
        </w:rPr>
        <w:t xml:space="preserve">vil skulle </w:t>
      </w:r>
      <w:r w:rsidRPr="00796736">
        <w:rPr>
          <w:rFonts w:ascii="Times New Roman" w:hAnsi="Times New Roman" w:cs="Times New Roman"/>
          <w:sz w:val="24"/>
          <w:szCs w:val="24"/>
        </w:rPr>
        <w:t xml:space="preserve">underrette tilsynsorganerne, når der i de oplysninger, de er i besiddelse af, er tegn på, at forpligtede enheder muligvis har overtrådt hvidvaskforordningen og forordning om oplysninger, der skal medsendes ved pengeoverførsler og ved overførsler af visse kryptoaktiver. </w:t>
      </w:r>
    </w:p>
    <w:p w14:paraId="3E0EDC8B" w14:textId="77777777" w:rsidR="00BF3BC5" w:rsidRPr="00796736" w:rsidRDefault="00BF3BC5" w:rsidP="00A802A5">
      <w:pPr>
        <w:spacing w:line="360" w:lineRule="auto"/>
        <w:rPr>
          <w:rFonts w:ascii="Times New Roman" w:hAnsi="Times New Roman" w:cs="Times New Roman"/>
          <w:sz w:val="24"/>
          <w:szCs w:val="24"/>
        </w:rPr>
      </w:pPr>
    </w:p>
    <w:p w14:paraId="4D55FE18"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en del af ændringerne vil Hvidvasksekretariatet nu være forpligtet til efter anmodning at videregive de pågældende oplysninger, hvis betingelserne i bestemmelsen er opfyldt. Derudover fremgår det nu af ordlyden, at Hvidvasksekretariatet uopfordret vil kunne videregive oplysningerne. Dette skal ikke forstås som en forpligtelse til af egen drift løbende at overveje, om videregivelse er påkrævet, men derimod, at Hvidvasksekretariatet er beføjet til at videregive oplysninger omfattet af bestemmelsen, hvis Hvidvasksekretariatet får kendskab til og skønner, at en sådan videregivelse er hensigtsmæssig. </w:t>
      </w:r>
    </w:p>
    <w:p w14:paraId="4C8E436C"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08BD6373" w14:textId="2EC03F6D" w:rsidR="00BF3BC5" w:rsidRPr="00796736" w:rsidRDefault="00BF3BC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A511C8" w:rsidRPr="00796736">
        <w:rPr>
          <w:rFonts w:ascii="Times New Roman" w:hAnsi="Times New Roman" w:cs="Times New Roman"/>
          <w:sz w:val="24"/>
          <w:szCs w:val="24"/>
          <w:bdr w:val="none" w:sz="0" w:space="0" w:color="auto" w:frame="1"/>
        </w:rPr>
        <w:fldChar w:fldCharType="begin"/>
      </w:r>
      <w:r w:rsidR="00A511C8" w:rsidRPr="00796736">
        <w:rPr>
          <w:rFonts w:ascii="Times New Roman" w:hAnsi="Times New Roman" w:cs="Times New Roman"/>
          <w:sz w:val="24"/>
          <w:szCs w:val="24"/>
          <w:bdr w:val="none" w:sz="0" w:space="0" w:color="auto" w:frame="1"/>
        </w:rPr>
        <w:instrText xml:space="preserve"> REF _Ref232595750 \r \h </w:instrText>
      </w:r>
      <w:r w:rsidR="00967618" w:rsidRPr="00796736">
        <w:rPr>
          <w:rFonts w:ascii="Times New Roman" w:hAnsi="Times New Roman" w:cs="Times New Roman"/>
          <w:sz w:val="24"/>
          <w:szCs w:val="24"/>
          <w:bdr w:val="none" w:sz="0" w:space="0" w:color="auto" w:frame="1"/>
        </w:rPr>
        <w:instrText xml:space="preserve"> \* MERGEFORMAT </w:instrText>
      </w:r>
      <w:r w:rsidR="00A511C8" w:rsidRPr="00796736">
        <w:rPr>
          <w:rFonts w:ascii="Times New Roman" w:hAnsi="Times New Roman" w:cs="Times New Roman"/>
          <w:sz w:val="24"/>
          <w:szCs w:val="24"/>
          <w:bdr w:val="none" w:sz="0" w:space="0" w:color="auto" w:frame="1"/>
        </w:rPr>
      </w:r>
      <w:r w:rsidR="00A511C8"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18</w:t>
      </w:r>
      <w:r w:rsidR="00A511C8" w:rsidRPr="00796736">
        <w:rPr>
          <w:rFonts w:ascii="Times New Roman" w:hAnsi="Times New Roman" w:cs="Times New Roman"/>
          <w:sz w:val="24"/>
          <w:szCs w:val="24"/>
          <w:bdr w:val="none" w:sz="0" w:space="0" w:color="auto" w:frame="1"/>
        </w:rPr>
        <w:fldChar w:fldCharType="end"/>
      </w:r>
      <w:r w:rsidR="00C16A1F" w:rsidRPr="00796736">
        <w:rPr>
          <w:rFonts w:ascii="Times New Roman" w:hAnsi="Times New Roman" w:cs="Times New Roman"/>
          <w:sz w:val="24"/>
          <w:szCs w:val="24"/>
          <w:bdr w:val="none" w:sz="0" w:space="0" w:color="auto" w:frame="1"/>
        </w:rPr>
        <w:t xml:space="preserve"> </w:t>
      </w:r>
      <w:r w:rsidRPr="00796736">
        <w:rPr>
          <w:rFonts w:ascii="Times New Roman" w:eastAsia="Times New Roman" w:hAnsi="Times New Roman" w:cs="Times New Roman"/>
          <w:sz w:val="24"/>
          <w:szCs w:val="24"/>
          <w:lang w:eastAsia="da-DK"/>
        </w:rPr>
        <w:t xml:space="preserve">og bemærkningerne hertil.  </w:t>
      </w:r>
    </w:p>
    <w:p w14:paraId="649CE4C1" w14:textId="77777777" w:rsidR="00BF3BC5" w:rsidRPr="00796736" w:rsidRDefault="00BF3BC5" w:rsidP="00A802A5">
      <w:pPr>
        <w:spacing w:line="360" w:lineRule="auto"/>
        <w:rPr>
          <w:rFonts w:ascii="Times New Roman" w:hAnsi="Times New Roman" w:cs="Times New Roman"/>
          <w:sz w:val="24"/>
          <w:szCs w:val="24"/>
        </w:rPr>
      </w:pPr>
    </w:p>
    <w:p w14:paraId="5CD0C6EB" w14:textId="6C1DDBC4" w:rsidR="00C478A1"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så vidt angår Hvidvasksekretariatets svar på anmodninger om oplysninger fra visse kompetente myndigheder, og de kompetente myndigheders feedback til sekretariatet</w:t>
      </w:r>
      <w:r w:rsidRPr="00796736" w:rsidDel="00A508B7">
        <w:rPr>
          <w:rFonts w:ascii="Times New Roman" w:hAnsi="Times New Roman" w:cs="Times New Roman"/>
          <w:sz w:val="24"/>
          <w:szCs w:val="24"/>
        </w:rPr>
        <w:t xml:space="preserve"> </w:t>
      </w:r>
      <w:r w:rsidRPr="00796736">
        <w:rPr>
          <w:rFonts w:ascii="Times New Roman" w:hAnsi="Times New Roman" w:cs="Times New Roman"/>
          <w:sz w:val="24"/>
          <w:szCs w:val="24"/>
        </w:rPr>
        <w:t xml:space="preserve">henvises der til pkt. </w:t>
      </w:r>
      <w:r w:rsidR="002C5834" w:rsidRPr="00796736">
        <w:rPr>
          <w:rFonts w:ascii="Times New Roman" w:hAnsi="Times New Roman" w:cs="Times New Roman"/>
          <w:sz w:val="24"/>
          <w:szCs w:val="24"/>
        </w:rPr>
        <w:t xml:space="preserve"> </w:t>
      </w:r>
      <w:r w:rsidR="002C5834" w:rsidRPr="00796736">
        <w:rPr>
          <w:rFonts w:ascii="Times New Roman" w:hAnsi="Times New Roman" w:cs="Times New Roman"/>
          <w:sz w:val="24"/>
          <w:szCs w:val="24"/>
        </w:rPr>
        <w:fldChar w:fldCharType="begin"/>
      </w:r>
      <w:r w:rsidR="002C5834" w:rsidRPr="00796736">
        <w:rPr>
          <w:rFonts w:ascii="Times New Roman" w:hAnsi="Times New Roman" w:cs="Times New Roman"/>
          <w:sz w:val="24"/>
          <w:szCs w:val="24"/>
        </w:rPr>
        <w:instrText xml:space="preserve"> REF _Ref237002634 \n \h  \* MERGEFORMAT </w:instrText>
      </w:r>
      <w:r w:rsidR="002C5834" w:rsidRPr="00796736">
        <w:rPr>
          <w:rFonts w:ascii="Times New Roman" w:hAnsi="Times New Roman" w:cs="Times New Roman"/>
          <w:sz w:val="24"/>
          <w:szCs w:val="24"/>
        </w:rPr>
      </w:r>
      <w:r w:rsidR="002C583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3.16</w:t>
      </w:r>
      <w:r w:rsidR="002C5834" w:rsidRPr="00796736">
        <w:rPr>
          <w:rFonts w:ascii="Times New Roman" w:hAnsi="Times New Roman" w:cs="Times New Roman"/>
          <w:sz w:val="24"/>
          <w:szCs w:val="24"/>
        </w:rPr>
        <w:fldChar w:fldCharType="end"/>
      </w:r>
      <w:r w:rsidR="002C5834" w:rsidRPr="00796736">
        <w:rPr>
          <w:rFonts w:ascii="Times New Roman" w:hAnsi="Times New Roman" w:cs="Times New Roman"/>
          <w:sz w:val="24"/>
          <w:szCs w:val="24"/>
        </w:rPr>
        <w:t>.</w:t>
      </w:r>
    </w:p>
    <w:p w14:paraId="4767D8DF" w14:textId="77777777" w:rsidR="0043469D" w:rsidRPr="00796736" w:rsidRDefault="0043469D" w:rsidP="00A802A5">
      <w:pPr>
        <w:spacing w:line="360" w:lineRule="auto"/>
        <w:rPr>
          <w:rFonts w:ascii="Times New Roman" w:hAnsi="Times New Roman" w:cs="Times New Roman"/>
          <w:sz w:val="24"/>
          <w:szCs w:val="24"/>
        </w:rPr>
      </w:pPr>
    </w:p>
    <w:p w14:paraId="1E1E879D" w14:textId="52115058" w:rsidR="00C478A1" w:rsidRPr="00796736" w:rsidRDefault="008D4A8C" w:rsidP="00A802A5">
      <w:pPr>
        <w:pStyle w:val="Overskrift2"/>
        <w:rPr>
          <w:rFonts w:ascii="Times New Roman" w:hAnsi="Times New Roman"/>
          <w:sz w:val="24"/>
        </w:rPr>
      </w:pPr>
      <w:bookmarkStart w:id="1001" w:name="_Toc232109063"/>
      <w:bookmarkStart w:id="1002" w:name="_Ref232943375"/>
      <w:bookmarkStart w:id="1003" w:name="_Toc244880735"/>
      <w:r w:rsidRPr="00796736">
        <w:rPr>
          <w:rFonts w:ascii="Times New Roman" w:hAnsi="Times New Roman"/>
          <w:sz w:val="24"/>
        </w:rPr>
        <w:t>Påbud om s</w:t>
      </w:r>
      <w:r w:rsidR="00C478A1" w:rsidRPr="00796736">
        <w:rPr>
          <w:rFonts w:ascii="Times New Roman" w:hAnsi="Times New Roman"/>
          <w:sz w:val="24"/>
        </w:rPr>
        <w:t>uspension eller tilbageholdelse af godkendelse</w:t>
      </w:r>
      <w:bookmarkEnd w:id="1001"/>
      <w:bookmarkEnd w:id="1002"/>
      <w:bookmarkEnd w:id="1003"/>
    </w:p>
    <w:p w14:paraId="144562F6" w14:textId="601928AB" w:rsidR="00C478A1" w:rsidRPr="00796736" w:rsidRDefault="00C478A1" w:rsidP="00A802A5">
      <w:pPr>
        <w:pStyle w:val="Overskrift4"/>
        <w:rPr>
          <w:rFonts w:ascii="Times New Roman" w:hAnsi="Times New Roman" w:cs="Times New Roman"/>
          <w:sz w:val="24"/>
          <w:szCs w:val="24"/>
        </w:rPr>
      </w:pPr>
      <w:bookmarkStart w:id="1004" w:name="_Toc232109064"/>
      <w:bookmarkStart w:id="1005" w:name="_Ref232792335"/>
      <w:bookmarkStart w:id="1006" w:name="_Ref232943303"/>
      <w:r w:rsidRPr="00796736">
        <w:rPr>
          <w:rFonts w:ascii="Times New Roman" w:hAnsi="Times New Roman" w:cs="Times New Roman"/>
          <w:sz w:val="24"/>
          <w:szCs w:val="24"/>
        </w:rPr>
        <w:t>Gældende ret</w:t>
      </w:r>
      <w:bookmarkEnd w:id="1004"/>
      <w:bookmarkEnd w:id="1005"/>
      <w:bookmarkEnd w:id="1006"/>
    </w:p>
    <w:p w14:paraId="02D5D7A6"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 indeholder ikke i dag regler om Hvidvasksekretariatets adgang til at suspendere eller tilbageholde godkendelse af en transaktion m.v.</w:t>
      </w:r>
    </w:p>
    <w:p w14:paraId="60BEA3FD" w14:textId="77777777" w:rsidR="001D0A32" w:rsidRPr="00796736" w:rsidRDefault="001D0A32" w:rsidP="00A802A5">
      <w:pPr>
        <w:spacing w:line="360" w:lineRule="auto"/>
        <w:rPr>
          <w:rFonts w:ascii="Times New Roman" w:hAnsi="Times New Roman" w:cs="Times New Roman"/>
          <w:sz w:val="24"/>
          <w:szCs w:val="24"/>
        </w:rPr>
      </w:pPr>
    </w:p>
    <w:p w14:paraId="0CA612F5"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26 vedrører virksomheder og personers underretning af Hvidvasksekretariatet eller sekretariatet for Advokatsamfundet ved bl.a. viden eller mistanke om, at en transaktion, midler eller aktivitet har eller har haft tilknytning til hvidvask eller finansiering af terrorisme. </w:t>
      </w:r>
    </w:p>
    <w:p w14:paraId="5A31F6A7" w14:textId="77777777" w:rsidR="001D0A32" w:rsidRPr="00796736" w:rsidRDefault="001D0A32" w:rsidP="00A802A5">
      <w:pPr>
        <w:spacing w:line="360" w:lineRule="auto"/>
        <w:rPr>
          <w:rFonts w:ascii="Times New Roman" w:hAnsi="Times New Roman" w:cs="Times New Roman"/>
          <w:sz w:val="24"/>
          <w:szCs w:val="24"/>
        </w:rPr>
      </w:pPr>
    </w:p>
    <w:p w14:paraId="49D0409B"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26, stk. 3, skal virksomheder og personer undlade at gennemføre transaktioner, indtil der er sket underretning efter hvidvasklovens § 26, stk. 1, hvis de har viden om, mistanke om eller rimelig grund til at formode, at transaktionen har tilknytning til hvidvask, og transaktionen ikke allerede er gennemført. Ved underretning til Advokatrådets sekretariat efter hvidvasklovens § 26, stk. 2, skal transaktionen sættes i bero, indtil Advokatsamfundet har videregivet underretningen til Hvidvasksekretariatet eller har meddelt medlemmet, at underretningen efter en konkret vurdering ikke vil blive videregivet. Kan gennemførelse af transaktionen ikke undlades, eller vurderer virksomheden eller personen, at en undladelse vil kunne skade efterforskningen, skal underretning i stedet indgives omgående efter gennemførelsen.</w:t>
      </w:r>
    </w:p>
    <w:p w14:paraId="554B4F47" w14:textId="77777777" w:rsidR="001D0A32" w:rsidRPr="00796736" w:rsidRDefault="001D0A32" w:rsidP="00A802A5">
      <w:pPr>
        <w:spacing w:line="360" w:lineRule="auto"/>
        <w:rPr>
          <w:rFonts w:ascii="Times New Roman" w:hAnsi="Times New Roman" w:cs="Times New Roman"/>
          <w:sz w:val="24"/>
          <w:szCs w:val="24"/>
        </w:rPr>
      </w:pPr>
    </w:p>
    <w:p w14:paraId="452D2FE2"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hvidvasklovens § 26, stk. 4, 1. pkt., at virksomheder og personer skal undlade at gennemføre transaktioner, indtil der er sket underretning til Hvidvasksekretariatet efter § 26, stk. 1, og de har indhentet godkendelse fra Hvidvasksekretariatet, hvis de har viden om, mistanke om eller rimelig grund til at formode, at transaktionen vedrører hvidvask og er af større eller særlig mistænkelig karakter. Det fremgår af bestemmelsens 2. pkt., at Hvidvasksekretariatet foranstalter hurtigst muligt og senest inden udløbet af den efterfølgende bankdag efter at have modtaget underretning beslutningen om, hvorvidt der skal ske beslaglæggelse. </w:t>
      </w:r>
    </w:p>
    <w:p w14:paraId="7192C9D0" w14:textId="77777777" w:rsidR="001D0A32" w:rsidRPr="00796736" w:rsidRDefault="001D0A32" w:rsidP="00A802A5">
      <w:pPr>
        <w:spacing w:line="360" w:lineRule="auto"/>
        <w:rPr>
          <w:rFonts w:ascii="Times New Roman" w:hAnsi="Times New Roman" w:cs="Times New Roman"/>
          <w:sz w:val="24"/>
          <w:szCs w:val="24"/>
        </w:rPr>
      </w:pPr>
    </w:p>
    <w:p w14:paraId="2755332A"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jf. Folketingstidende 2016-17, tillæg A, L 41 som fremsat, side 129, bl.a., at reglen i praksis vil indebære, at der foretages en indberetning til SØIK (i dag Hvidvasksekretariatet) ved mistanke om finansiering af terrorisme. SØIK (i dag Hvidvasksekretariatet) vil herefter hurtigst muligt og senest inden den efterfølgende bankdag tage stilling til, om der skal ske beslaglæggelse, eller om transaktionen kan gennemføres. </w:t>
      </w:r>
    </w:p>
    <w:p w14:paraId="0A989CD1" w14:textId="77777777" w:rsidR="001D0A32" w:rsidRPr="00796736" w:rsidRDefault="001D0A32" w:rsidP="00A802A5">
      <w:pPr>
        <w:spacing w:line="360" w:lineRule="auto"/>
        <w:rPr>
          <w:rFonts w:ascii="Times New Roman" w:hAnsi="Times New Roman" w:cs="Times New Roman"/>
          <w:sz w:val="24"/>
          <w:szCs w:val="24"/>
        </w:rPr>
      </w:pPr>
    </w:p>
    <w:p w14:paraId="1BC4A724"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hvidvasklovens § 26, stk. 6, 1. pkt., at virksomheder og personer skal undlade at gennemføre transaktioner, indtil der er sket underretning efter § 26, stk. 1, og de har indhentet godkendelse fra Hvidvasksekretariatet, hvis de har viden om, mistanke om eller rimelig grund til at formode, at transaktionen vedrører finansiering af terrorisme. Det fremgår af bestemmelsens 2. pkt., at Hvidvasksekretariatet foranstalter hurtigst muligt og senest inden udløbet af den efterfølgende bankdag efter at have modtaget underretning beslutningen om, hvorvidt der skal ske beslaglæggelse.</w:t>
      </w:r>
    </w:p>
    <w:p w14:paraId="037A6BD7" w14:textId="77777777" w:rsidR="00C478A1" w:rsidRPr="00796736" w:rsidRDefault="00C478A1" w:rsidP="00A802A5">
      <w:pPr>
        <w:spacing w:line="360" w:lineRule="auto"/>
        <w:rPr>
          <w:rFonts w:ascii="Times New Roman" w:hAnsi="Times New Roman" w:cs="Times New Roman"/>
          <w:sz w:val="24"/>
          <w:szCs w:val="24"/>
        </w:rPr>
      </w:pPr>
    </w:p>
    <w:p w14:paraId="44F23170" w14:textId="06DCC97F" w:rsidR="00C478A1" w:rsidRPr="00796736" w:rsidRDefault="00C478A1" w:rsidP="00A802A5">
      <w:pPr>
        <w:pStyle w:val="Overskrift4"/>
        <w:rPr>
          <w:rFonts w:ascii="Times New Roman" w:hAnsi="Times New Roman" w:cs="Times New Roman"/>
          <w:sz w:val="24"/>
          <w:szCs w:val="24"/>
        </w:rPr>
      </w:pPr>
      <w:bookmarkStart w:id="1007" w:name="_Toc232109065"/>
      <w:bookmarkStart w:id="1008" w:name="_Ref232792020"/>
      <w:bookmarkStart w:id="1009" w:name="_Ref232792352"/>
      <w:bookmarkStart w:id="1010" w:name="_Ref239687752"/>
      <w:r w:rsidRPr="00796736">
        <w:rPr>
          <w:rFonts w:ascii="Times New Roman" w:hAnsi="Times New Roman" w:cs="Times New Roman"/>
          <w:sz w:val="24"/>
          <w:szCs w:val="24"/>
        </w:rPr>
        <w:t>6. hvidvaskdirektiv</w:t>
      </w:r>
      <w:bookmarkEnd w:id="1007"/>
      <w:bookmarkEnd w:id="1008"/>
      <w:bookmarkEnd w:id="1009"/>
      <w:bookmarkEnd w:id="1010"/>
      <w:r w:rsidRPr="00796736">
        <w:rPr>
          <w:rFonts w:ascii="Times New Roman" w:hAnsi="Times New Roman" w:cs="Times New Roman"/>
          <w:sz w:val="24"/>
          <w:szCs w:val="24"/>
        </w:rPr>
        <w:t xml:space="preserve"> </w:t>
      </w:r>
    </w:p>
    <w:p w14:paraId="0147FF20" w14:textId="4CA76401"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24 regulerer FIU’ens suspension eller tilbageholdelse af godkendelse af transaktioner m.v. Bestemmelsens stk. 1 erstatter 4. hvidvaskdirektivs artikel 32, stk. 7.</w:t>
      </w:r>
    </w:p>
    <w:p w14:paraId="421316F0" w14:textId="77777777" w:rsidR="001D0A32" w:rsidRPr="00796736" w:rsidRDefault="001D0A32" w:rsidP="00A802A5">
      <w:pPr>
        <w:spacing w:line="360" w:lineRule="auto"/>
        <w:rPr>
          <w:rFonts w:ascii="Times New Roman" w:hAnsi="Times New Roman" w:cs="Times New Roman"/>
          <w:sz w:val="24"/>
          <w:szCs w:val="24"/>
        </w:rPr>
      </w:pPr>
    </w:p>
    <w:p w14:paraId="7163C463"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direktivets artikel 24, stk. 1, 1. afsnit, sikrer medlemsstaterne, at FIU’er tillægges beføjelser til at tage hastende tiltag, direkte eller indirekte, når der er mistanke om, at en transaktion er forbundet med hvidvask af penge eller finansiering af terrorisme, med henblik på at suspendere eller tilbageholde en godkendelse af den pågældende transaktion. </w:t>
      </w:r>
    </w:p>
    <w:p w14:paraId="1B71EF0C" w14:textId="77777777" w:rsidR="001D0A32" w:rsidRPr="00796736" w:rsidRDefault="001D0A32" w:rsidP="00A802A5">
      <w:pPr>
        <w:spacing w:line="360" w:lineRule="auto"/>
        <w:rPr>
          <w:rFonts w:ascii="Times New Roman" w:hAnsi="Times New Roman" w:cs="Times New Roman"/>
          <w:sz w:val="24"/>
          <w:szCs w:val="24"/>
        </w:rPr>
      </w:pPr>
    </w:p>
    <w:p w14:paraId="7CEC542E"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bestemmelsens 2. afsnit fremgår det videre, at når det konstateres, at der er behov for at suspendere eller tilbageholde en godkendelse af en transaktion, på grundlag af en mistanke, der er indberettet i henhold til artikel 69 i hvidvaskforordning, sikrer medlemsstaterne, at suspensionen eller tilbageholdelsen af godkendelsen pålægges den forpligtede enhed inden for den periode, der er omhandlet i nævnte forordnings artikel 71. Hvis behovet for at suspendere en transaktion er baseret på FIU’ens analytiske arbejde, uanset om den forpligtede enhed har indgivet en forudgående indberetning, pålægger FIU'en suspensionen så hurtigt som muligt. </w:t>
      </w:r>
    </w:p>
    <w:p w14:paraId="11666B17" w14:textId="77777777" w:rsidR="001D0A32" w:rsidRPr="00796736" w:rsidRDefault="001D0A32" w:rsidP="00A802A5">
      <w:pPr>
        <w:spacing w:line="360" w:lineRule="auto"/>
        <w:rPr>
          <w:rFonts w:ascii="Times New Roman" w:hAnsi="Times New Roman" w:cs="Times New Roman"/>
          <w:sz w:val="24"/>
          <w:szCs w:val="24"/>
        </w:rPr>
      </w:pPr>
    </w:p>
    <w:p w14:paraId="212706EE"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bestemmelsens 3. afsnit, at FIU’en pålægger suspensionen eller tilbageholdelsen af godkendelsen af en transaktion med henblik på at bevare midlerne, foretage sine analyser, herunder analysen af transaktionen, vurdere, om mistanken bekræftes, og i så fald formidle resultaterne af analyserne til de relevante kompetente myndigheder, således at der kan træffes passende foranstaltninger. </w:t>
      </w:r>
    </w:p>
    <w:p w14:paraId="7141AD6D" w14:textId="77777777" w:rsidR="001D0A32" w:rsidRPr="00796736" w:rsidRDefault="001D0A32" w:rsidP="00A802A5">
      <w:pPr>
        <w:spacing w:line="360" w:lineRule="auto"/>
        <w:rPr>
          <w:rFonts w:ascii="Times New Roman" w:hAnsi="Times New Roman" w:cs="Times New Roman"/>
          <w:sz w:val="24"/>
          <w:szCs w:val="24"/>
        </w:rPr>
      </w:pPr>
    </w:p>
    <w:p w14:paraId="7FA72E0C"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Herudover fremgår det af bestemmelsens 4. afsnit, at medlemsstaterne fastsætter den periode for suspension eller tilbageholdelse af godkendelse, der gælder for FIU’ers analytiske arbejde, og som ikke må overstige 10 arbejdsdage. Medlemsstaterne kan fastsætte en længere periode, hvis FIU’er i henhold til national ret varetager opgaven med at spore, beslaglægge, indefryse eller konfiskere kriminelle aktiver. Hvis der fastsættes en længere suspensionsperiode eller tilbageholdes godkendelse, sikrer medlemsstaterne, at FIU’er udøver deres funktion under iagttagelse af passende nationale sikkerhedsforanstaltninger såsom muligheden for, at den person, hvis transaktion er suspenderet, kan anfægte denne suspension ved en ret. </w:t>
      </w:r>
    </w:p>
    <w:p w14:paraId="4B9E8183" w14:textId="77777777" w:rsidR="001D0A32" w:rsidRPr="00796736" w:rsidRDefault="001D0A32" w:rsidP="00A802A5">
      <w:pPr>
        <w:spacing w:line="360" w:lineRule="auto"/>
        <w:rPr>
          <w:rFonts w:ascii="Times New Roman" w:hAnsi="Times New Roman" w:cs="Times New Roman"/>
          <w:sz w:val="24"/>
          <w:szCs w:val="24"/>
        </w:rPr>
      </w:pPr>
    </w:p>
    <w:p w14:paraId="1ADB61DF"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bestemmelsens 5. afsnit sikrer medlemsstaterne, at FIU’er har beføjelse til at ophæve suspensionen eller tilbageholdelsen af godkendelsen på et hvilket som helst tidspunkt, hvis de konkluderer, at suspensionen eller tilbageholdelsen af godkendelsen ikke længere er nødvendigt for at opfylde målene i tredje afsnit. </w:t>
      </w:r>
    </w:p>
    <w:p w14:paraId="6D467556" w14:textId="77777777" w:rsidR="001D0A32" w:rsidRPr="00796736" w:rsidRDefault="001D0A32" w:rsidP="00A802A5">
      <w:pPr>
        <w:tabs>
          <w:tab w:val="left" w:pos="3620"/>
        </w:tabs>
        <w:spacing w:line="360" w:lineRule="auto"/>
        <w:rPr>
          <w:rFonts w:ascii="Times New Roman" w:hAnsi="Times New Roman" w:cs="Times New Roman"/>
          <w:sz w:val="24"/>
          <w:szCs w:val="24"/>
        </w:rPr>
      </w:pPr>
    </w:p>
    <w:p w14:paraId="43104F77"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fremgår det af bestemmelsens 6. afsnit, at medlemsstaterne sikrer, at FIU’er tillægges beføjelser til at suspendere eller tilbageholde godkendelse som omhandlet i stk. 1 på anmodning af en FIU fra en anden medlemsstat. </w:t>
      </w:r>
    </w:p>
    <w:p w14:paraId="63C55F5F" w14:textId="77777777" w:rsidR="001D0A32" w:rsidRPr="00796736" w:rsidRDefault="001D0A32" w:rsidP="00A802A5">
      <w:pPr>
        <w:spacing w:line="360" w:lineRule="auto"/>
        <w:rPr>
          <w:rFonts w:ascii="Times New Roman" w:hAnsi="Times New Roman" w:cs="Times New Roman"/>
          <w:sz w:val="24"/>
          <w:szCs w:val="24"/>
        </w:rPr>
      </w:pPr>
    </w:p>
    <w:p w14:paraId="25E8A2DE"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24, stk. 1, viderefører – med en række tilføjelser – 4. hvidvaskdirektivs artikel 32, stk. 7. Således er det bl.a. tilføjet i bestemmelsens 3. afsnit., at formålet med suspensionen eller tilbageholdelsen af godkendelsen kan være at bevare midlerne og foretage FIU’ens analyser. Derudover er bestemmelsens 2., 4. og 5. afsnit nye i forhold til 4. hvidvaskdirektiv. </w:t>
      </w:r>
    </w:p>
    <w:p w14:paraId="68BCF2F1" w14:textId="77777777" w:rsidR="001D0A32" w:rsidRPr="00796736" w:rsidRDefault="001D0A32" w:rsidP="00A802A5">
      <w:pPr>
        <w:spacing w:line="360" w:lineRule="auto"/>
        <w:rPr>
          <w:rFonts w:ascii="Times New Roman" w:hAnsi="Times New Roman" w:cs="Times New Roman"/>
          <w:sz w:val="24"/>
          <w:szCs w:val="24"/>
        </w:rPr>
      </w:pPr>
    </w:p>
    <w:p w14:paraId="33C0EEA7"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24, stk. 2, 1. afsnit, at når der er mistanke om, at en bankkonto eller betalingskonto, en kryptoaktivkonto eller en forretningsforbindelse er forbundet med hvidvask af penge eller finansiering af terrorisme, sikrer medlemsstaterne, at FIU’en tillægges beføjelser til direkte eller indirekte at tage hastende tiltag til at suspendere anvendelsen af den pågældende konto eller suspendere forretningsforbindelsen med henblik på at bevare midlerne, foretage sine analyser, vurdere, om mistanken bekræftes, og i så fald formidle resultaterne af analyserne til de relevante kompetente myndigheder, således at der kan træffes passende foranstaltninger. </w:t>
      </w:r>
    </w:p>
    <w:p w14:paraId="0B90541D" w14:textId="77777777" w:rsidR="001D0A32" w:rsidRPr="00796736" w:rsidRDefault="001D0A32" w:rsidP="00A802A5">
      <w:pPr>
        <w:spacing w:line="360" w:lineRule="auto"/>
        <w:rPr>
          <w:rFonts w:ascii="Times New Roman" w:hAnsi="Times New Roman" w:cs="Times New Roman"/>
          <w:sz w:val="24"/>
          <w:szCs w:val="24"/>
        </w:rPr>
      </w:pPr>
    </w:p>
    <w:p w14:paraId="3AF78F0A"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 fremgår det af bestemmelsens stk. 2, 2. afsnit, at medlemsstaterne fastsætter den suspensionsperiode, der gælder for FIU’ers analytiske arbejde, og som ikke må overstige fem arbejdsdage. Medlemsstaterne kan fastsætte en længere periode, hvis FIU’er i henhold til national ret varetager opgaven med at spore, beslaglægge, indefryse eller konfiskere kriminelle aktiver. Hvis der fastsættes en længere suspensionsperiode, sikrer medlemsstaterne, at FIU’er udøver deres funktion under iagttagelse af passende nationale sikkerhedsforanstaltninger såsom muligheden for, at den person, hvis bankkonto eller betalingskonto, kryptoaktivkonto eller forretningsforbindelse er suspenderet, kan anfægte denne suspension ved en ret. </w:t>
      </w:r>
    </w:p>
    <w:p w14:paraId="46373671" w14:textId="77777777" w:rsidR="001D0A32" w:rsidRPr="00796736" w:rsidRDefault="001D0A32" w:rsidP="00A802A5">
      <w:pPr>
        <w:spacing w:line="360" w:lineRule="auto"/>
        <w:rPr>
          <w:rFonts w:ascii="Times New Roman" w:hAnsi="Times New Roman" w:cs="Times New Roman"/>
          <w:sz w:val="24"/>
          <w:szCs w:val="24"/>
        </w:rPr>
      </w:pPr>
    </w:p>
    <w:p w14:paraId="4F3075A6"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bestemmelsens stk. 2, 3. afsnit, at medlemsstaterne sikrer, at FIU’er har beføjelse til at ophæve suspensionen på et hvilket som helst tidspunkt, hvis de konkluderer, at suspensionen ikke længere er nødvendig for at opfylde målene i 1. afsnit. </w:t>
      </w:r>
    </w:p>
    <w:p w14:paraId="111E5107" w14:textId="77777777" w:rsidR="001D0A32" w:rsidRPr="00796736" w:rsidRDefault="001D0A32" w:rsidP="00A802A5">
      <w:pPr>
        <w:spacing w:line="360" w:lineRule="auto"/>
        <w:rPr>
          <w:rFonts w:ascii="Times New Roman" w:hAnsi="Times New Roman" w:cs="Times New Roman"/>
          <w:sz w:val="24"/>
          <w:szCs w:val="24"/>
        </w:rPr>
      </w:pPr>
    </w:p>
    <w:p w14:paraId="53172659"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2, 4. afsnit sikrer medlemsstaterne endvidere, at FIU’er har beføjelse til at suspendere anvendelsen af en konto eller suspendere en forretningsforbindelse som omhandlet i stk. 2 efter anmodning fra en FIU fra en anden medlemsstat. </w:t>
      </w:r>
    </w:p>
    <w:p w14:paraId="3A271600" w14:textId="77777777" w:rsidR="001D0A32" w:rsidRPr="00796736" w:rsidRDefault="001D0A32" w:rsidP="00A802A5">
      <w:pPr>
        <w:spacing w:line="360" w:lineRule="auto"/>
        <w:rPr>
          <w:rFonts w:ascii="Times New Roman" w:hAnsi="Times New Roman" w:cs="Times New Roman"/>
          <w:sz w:val="24"/>
          <w:szCs w:val="24"/>
        </w:rPr>
      </w:pPr>
    </w:p>
    <w:p w14:paraId="0883C689"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fremgår det af artikel 24, stk. 3, at pålæggelsen af en suspension eller tilbageholdelsen af en godkendelse i overensstemmelse med artikel 24 ikke må pådrage FIU’en eller dens ledelse eller ansatte nogen form for ansvar. </w:t>
      </w:r>
    </w:p>
    <w:p w14:paraId="426422A7" w14:textId="77777777" w:rsidR="001D0A32" w:rsidRPr="00796736" w:rsidRDefault="001D0A32" w:rsidP="00A802A5">
      <w:pPr>
        <w:spacing w:line="360" w:lineRule="auto"/>
        <w:rPr>
          <w:rFonts w:ascii="Times New Roman" w:hAnsi="Times New Roman" w:cs="Times New Roman"/>
          <w:sz w:val="24"/>
          <w:szCs w:val="24"/>
        </w:rPr>
      </w:pPr>
    </w:p>
    <w:p w14:paraId="169232F1"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direktivets præambelbetragtning nr. 71 bl.a., at langt de fleste FIU’er har fået beføjelse til at tage hastende tiltag og suspendere eller tilbageholde samtykke til en transaktion for at udføre analyserne, bekræfte mistanken og formidle resultaterne af de analytiske aktiviteter til de kompetente myndigheder. Der er dog visse variationer med hensyn til varigheden af suspensionsbeføjelserne på tværs af medlemsstaterne, hvilket ikke kun påvirker udsættelsen af aktiviteter af grænseoverskridende karakter gennem samarbejdet mellem FIU’er, men også enkeltpersoners grundlæggende rettigheder. </w:t>
      </w:r>
      <w:bookmarkStart w:id="1011" w:name="_Hlk230810176"/>
      <w:r w:rsidRPr="00796736">
        <w:rPr>
          <w:rFonts w:ascii="Times New Roman" w:hAnsi="Times New Roman" w:cs="Times New Roman"/>
          <w:sz w:val="24"/>
          <w:szCs w:val="24"/>
        </w:rPr>
        <w:t xml:space="preserve">For at for at sikre, at FIU’er har kapacitet til omgående at tilbageholde kriminelle midler eller aktiver og forhindre, at de forsvinder, også med henblik på beslaglæggelse, bør FIU’erne desuden have beføjelse til at suspendere anvendelsen af en bankkonto eller betalingskonto, en kryptoaktivkonto eller en forretningsforbindelse med henblik på at analysere de transaktioner, der er foretaget via kontoen eller forretningsforbindelsen, bekræfte mistanken og formidle resultaterne af analysen til de kompetente myndigheder. </w:t>
      </w:r>
      <w:bookmarkStart w:id="1012" w:name="_Hlk230808790"/>
      <w:bookmarkEnd w:id="1011"/>
      <w:r w:rsidRPr="00796736">
        <w:rPr>
          <w:rFonts w:ascii="Times New Roman" w:hAnsi="Times New Roman" w:cs="Times New Roman"/>
          <w:sz w:val="24"/>
          <w:szCs w:val="24"/>
        </w:rPr>
        <w:t xml:space="preserve">Eftersom sådan suspension vil kunne have indvirkning på ejendomsretten, bør FIU’er kunne suspendere transaktioner, konti eller forretningsforbindelser i en begrænset periode for at bevare midlerne, foretage de nødvendige analyser og formidle resultaterne af analyserne til de kompetente myndigheder med henblik på eventuel vedtagelse af passende foranstaltninger. I betragtning af den mere betydelige indvirkning på en berørt persons grundlæggende rettigheder bør suspensionen af en konto eller forretningsforbindelse pålægges en mere begrænset periode, som bør fastsættes til fem arbejdsdage. Derudover fremgår det, at FIU’erne bør ophæve suspensionen af transaktionen, kontoen eller forretningsforbindelsen, så snart en sådan suspension ikke længere er nødvendig. </w:t>
      </w:r>
    </w:p>
    <w:bookmarkEnd w:id="1012"/>
    <w:p w14:paraId="27123C99" w14:textId="08FE8566"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Direktivets artikel 24, stk. 2 og 3, er nye i forhold til 4. og 5. hvidvaskdirektiv.</w:t>
      </w:r>
    </w:p>
    <w:p w14:paraId="6215B2FA" w14:textId="77777777" w:rsidR="001D0A32" w:rsidRPr="00796736" w:rsidRDefault="001D0A32" w:rsidP="00A802A5">
      <w:pPr>
        <w:spacing w:line="360" w:lineRule="auto"/>
        <w:rPr>
          <w:rFonts w:ascii="Times New Roman" w:hAnsi="Times New Roman" w:cs="Times New Roman"/>
          <w:sz w:val="24"/>
          <w:szCs w:val="24"/>
        </w:rPr>
      </w:pPr>
    </w:p>
    <w:p w14:paraId="1A5F66C3" w14:textId="28DCE243" w:rsidR="00C478A1" w:rsidRPr="00796736" w:rsidRDefault="00C478A1" w:rsidP="00A802A5">
      <w:pPr>
        <w:pStyle w:val="Overskrift4"/>
        <w:rPr>
          <w:rFonts w:ascii="Times New Roman" w:hAnsi="Times New Roman" w:cs="Times New Roman"/>
          <w:sz w:val="24"/>
          <w:szCs w:val="24"/>
        </w:rPr>
      </w:pPr>
      <w:bookmarkStart w:id="1013" w:name="_Toc232109066"/>
      <w:r w:rsidRPr="00796736">
        <w:rPr>
          <w:rFonts w:ascii="Times New Roman" w:hAnsi="Times New Roman" w:cs="Times New Roman"/>
          <w:sz w:val="24"/>
          <w:szCs w:val="24"/>
        </w:rPr>
        <w:t>Justitsministeriets overvejelser og den foreslåede ordning</w:t>
      </w:r>
      <w:bookmarkEnd w:id="1013"/>
      <w:r w:rsidRPr="00796736">
        <w:rPr>
          <w:rFonts w:ascii="Times New Roman" w:hAnsi="Times New Roman" w:cs="Times New Roman"/>
          <w:sz w:val="24"/>
          <w:szCs w:val="24"/>
        </w:rPr>
        <w:t xml:space="preserve"> </w:t>
      </w:r>
    </w:p>
    <w:p w14:paraId="3F3E1FFB" w14:textId="1376631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A511C8" w:rsidRPr="00796736">
        <w:rPr>
          <w:rFonts w:ascii="Times New Roman" w:hAnsi="Times New Roman" w:cs="Times New Roman"/>
          <w:sz w:val="24"/>
          <w:szCs w:val="24"/>
        </w:rPr>
        <w:fldChar w:fldCharType="begin"/>
      </w:r>
      <w:r w:rsidR="00A511C8" w:rsidRPr="00796736">
        <w:rPr>
          <w:rFonts w:ascii="Times New Roman" w:hAnsi="Times New Roman" w:cs="Times New Roman"/>
          <w:sz w:val="24"/>
          <w:szCs w:val="24"/>
        </w:rPr>
        <w:instrText xml:space="preserve"> REF _Ref232792020 \n \h </w:instrText>
      </w:r>
      <w:r w:rsidR="00967618" w:rsidRPr="00796736">
        <w:rPr>
          <w:rFonts w:ascii="Times New Roman" w:hAnsi="Times New Roman" w:cs="Times New Roman"/>
          <w:sz w:val="24"/>
          <w:szCs w:val="24"/>
        </w:rPr>
        <w:instrText xml:space="preserve"> \* MERGEFORMAT </w:instrText>
      </w:r>
      <w:r w:rsidR="00A511C8" w:rsidRPr="00796736">
        <w:rPr>
          <w:rFonts w:ascii="Times New Roman" w:hAnsi="Times New Roman" w:cs="Times New Roman"/>
          <w:sz w:val="24"/>
          <w:szCs w:val="24"/>
        </w:rPr>
      </w:r>
      <w:r w:rsidR="00A511C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3.18.2</w:t>
      </w:r>
      <w:r w:rsidR="00A511C8"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indeholder hvidvaskdirektivet i artikel 24 en bestemmelse om FIU’ens suspension eller tilbageholdelse af godkendelse af transaktioner m.v. Bestemmelsen erstatter 4. hvidvaskdirektivs artikel 32, stk. 7.</w:t>
      </w:r>
    </w:p>
    <w:p w14:paraId="4D5DAD0F" w14:textId="77777777" w:rsidR="001D0A32" w:rsidRPr="00796736" w:rsidRDefault="001D0A32" w:rsidP="00A802A5">
      <w:pPr>
        <w:spacing w:line="360" w:lineRule="auto"/>
        <w:rPr>
          <w:rFonts w:ascii="Times New Roman" w:hAnsi="Times New Roman" w:cs="Times New Roman"/>
          <w:sz w:val="24"/>
          <w:szCs w:val="24"/>
        </w:rPr>
      </w:pPr>
    </w:p>
    <w:p w14:paraId="1DC5003A" w14:textId="62FFF8A0"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 indeholder ikke i dag regler om Hvidvasksekretariatets adgang til at suspendere eller tilbageholde godkendelse af en transaktion m.v., men der er i hvidvasklovens § 26, stk. 4 og 6, fastsat regler om, at der i visse situationer skal indhentes godkendelse fra Hvidvasksekretariatet, før en transaktion kan gennemføres, jf. nærmere pkt.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_Ref232792335 \n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3.18.1</w:t>
      </w:r>
      <w:r w:rsidR="00BA15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29A67A80" w14:textId="77777777" w:rsidR="001D0A32" w:rsidRPr="00796736" w:rsidRDefault="001D0A32" w:rsidP="00A802A5">
      <w:pPr>
        <w:spacing w:line="360" w:lineRule="auto"/>
        <w:rPr>
          <w:rFonts w:ascii="Times New Roman" w:hAnsi="Times New Roman" w:cs="Times New Roman"/>
          <w:sz w:val="24"/>
          <w:szCs w:val="24"/>
        </w:rPr>
      </w:pPr>
    </w:p>
    <w:p w14:paraId="72B65AA3" w14:textId="2DF2FD83"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24 og 4. hvidvaskdirektivs artikel 32, stk. 7 adskiller sig, som det fremgår af pkt.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_Ref232792352 \n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3.18.2</w:t>
      </w:r>
      <w:r w:rsidR="00BA15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bl.a. ved, at der er tilføjet en række nye bestemmelser, herunder at der kan ske suspension af bankkonto eller betalingskonto, en kryptoaktivkonto eller en forretningsforbindelse. Der er endvidere bl.a. tilføjet en række nye bestemmelser om rammerne for suspensionen eller tilbageholdelsen af en godkendelse samt en bestemmelse om, at pålæggelsen af en suspension eller tilbageholdelse af en godkendelse ikke må pådrage FIU’en eller dens ledelse eller ansatte nogen form for ansvar.</w:t>
      </w:r>
    </w:p>
    <w:p w14:paraId="58C00CC2" w14:textId="77777777" w:rsidR="001D0A32" w:rsidRPr="00796736" w:rsidRDefault="001D0A32" w:rsidP="00A802A5">
      <w:pPr>
        <w:tabs>
          <w:tab w:val="left" w:pos="2030"/>
        </w:tabs>
        <w:spacing w:line="360" w:lineRule="auto"/>
        <w:rPr>
          <w:rFonts w:ascii="Times New Roman" w:hAnsi="Times New Roman" w:cs="Times New Roman"/>
          <w:sz w:val="24"/>
          <w:szCs w:val="24"/>
        </w:rPr>
      </w:pPr>
      <w:r w:rsidRPr="00796736">
        <w:rPr>
          <w:rFonts w:ascii="Times New Roman" w:hAnsi="Times New Roman" w:cs="Times New Roman"/>
          <w:sz w:val="24"/>
          <w:szCs w:val="24"/>
        </w:rPr>
        <w:tab/>
      </w:r>
    </w:p>
    <w:p w14:paraId="213CF7DB" w14:textId="03984351" w:rsidR="001D0A32"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der – med henblik på at gennemføre hvidvaskdirektivets artikel 24 – i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_Ref232595777 \r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19</w:t>
      </w:r>
      <w:r w:rsidR="00BA15C7" w:rsidRPr="00796736">
        <w:rPr>
          <w:rFonts w:ascii="Times New Roman" w:hAnsi="Times New Roman" w:cs="Times New Roman"/>
          <w:sz w:val="24"/>
          <w:szCs w:val="24"/>
        </w:rPr>
        <w:fldChar w:fldCharType="end"/>
      </w:r>
      <w:r w:rsidR="00BA15C7" w:rsidRPr="00796736">
        <w:rPr>
          <w:rFonts w:ascii="Times New Roman" w:hAnsi="Times New Roman" w:cs="Times New Roman"/>
          <w:sz w:val="24"/>
          <w:szCs w:val="24"/>
        </w:rPr>
        <w:t xml:space="preserve"> </w:t>
      </w:r>
      <w:r w:rsidR="00B2060B" w:rsidRPr="00D253F0">
        <w:rPr>
          <w:rFonts w:ascii="Times New Roman" w:hAnsi="Times New Roman" w:cs="Times New Roman"/>
          <w:sz w:val="24"/>
          <w:szCs w:val="24"/>
          <w:bdr w:val="none" w:sz="0" w:space="0" w:color="auto" w:frame="1"/>
        </w:rPr>
        <w:t>indsættes en bestemmelse, som regulerer Hvidvasksekretariatets suspension eller tilbageholdelse af godkendelse, herunder de nærmere rammer herfor. Den foreslåede bestemmelse vil således indebære, at</w:t>
      </w:r>
      <w:r w:rsidR="00B2060B" w:rsidRPr="00D253F0">
        <w:rPr>
          <w:rFonts w:ascii="Times New Roman" w:hAnsi="Times New Roman" w:cs="Times New Roman"/>
          <w:sz w:val="24"/>
          <w:szCs w:val="24"/>
        </w:rPr>
        <w:t xml:space="preserve"> Hvidvasksekretariatet </w:t>
      </w:r>
      <w:r w:rsidR="00B2060B">
        <w:rPr>
          <w:rFonts w:ascii="Times New Roman" w:hAnsi="Times New Roman" w:cs="Times New Roman"/>
          <w:sz w:val="24"/>
          <w:szCs w:val="24"/>
        </w:rPr>
        <w:t xml:space="preserve">kan tage hastende tiltag ved at påbyde virksomheder og personer omfattet af loven at </w:t>
      </w:r>
      <w:r w:rsidR="00B2060B" w:rsidRPr="00D253F0">
        <w:rPr>
          <w:rFonts w:ascii="Times New Roman" w:hAnsi="Times New Roman" w:cs="Times New Roman"/>
          <w:sz w:val="24"/>
          <w:szCs w:val="24"/>
        </w:rPr>
        <w:t xml:space="preserve"> suspendere eller tilbageholde en godkendelse af en transaktion, ligesom Hvidvasksekretariatet vil kunne</w:t>
      </w:r>
      <w:r w:rsidR="00B2060B">
        <w:rPr>
          <w:rFonts w:ascii="Times New Roman" w:hAnsi="Times New Roman" w:cs="Times New Roman"/>
          <w:sz w:val="24"/>
          <w:szCs w:val="24"/>
        </w:rPr>
        <w:t xml:space="preserve"> tage hastende tiltag ved at påbyde virksomheder og personer omfattet af loven a </w:t>
      </w:r>
      <w:r w:rsidR="00B2060B" w:rsidRPr="00D253F0">
        <w:rPr>
          <w:rFonts w:ascii="Times New Roman" w:hAnsi="Times New Roman" w:cs="Times New Roman"/>
          <w:sz w:val="24"/>
          <w:szCs w:val="24"/>
        </w:rPr>
        <w:t>at suspendere anvendelsen af en konto eller suspendere en forretningsforbindelse, forudsat betingelserne, der følger af hvidvaskdirektivets artikel 24, er opfyldt.</w:t>
      </w:r>
    </w:p>
    <w:p w14:paraId="6B09653C" w14:textId="77777777" w:rsidR="002128F7" w:rsidRPr="00796736" w:rsidRDefault="002128F7" w:rsidP="00A802A5">
      <w:pPr>
        <w:spacing w:line="360" w:lineRule="auto"/>
        <w:rPr>
          <w:rFonts w:ascii="Times New Roman" w:hAnsi="Times New Roman" w:cs="Times New Roman"/>
          <w:sz w:val="24"/>
          <w:szCs w:val="24"/>
        </w:rPr>
      </w:pPr>
    </w:p>
    <w:p w14:paraId="3AFD41FC" w14:textId="55F0510E"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endvidere i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_Ref232595777 \r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19</w:t>
      </w:r>
      <w:r w:rsidR="00BA15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Hvidvasksekretariatet eller sekretariats ledelse eller øvrige ansatte ikke kan pålægges ansvar for en suspension eller tilbageholdelse af en godkendelse, som er sket i overensstemmelse med stk. 1 og 4. Bestemmelsen har til formål at gennemføre hvidvaskdirektivets artikel 24, stk. 3, hvoraf det fremgår, at pålæg af en suspension eller tilbageholdelse af en godkendelse i overensstemmelse med denne artikel ikke må pådrage FIU’en eller dens ledelse eller ansatte nogen form for ansvar. Det er således Justitsministeriets opfattelse, at bestemmelsen indebærer, at Hvidvasksekretariatets ledelse eller ansatte hverken strafferetligt eller civilretligt skal kunne holdes ansvarlig for skade, som en klient eller tredjepart i god tro har lidt som følge af en afgørelse om suspension eller tilbageholdelse af en godkendelse, forudsat at afgørelsen om suspension eller tilbageholdelse af en godkendelse er udført i overensstemmelse med den foreslåede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_Ref232595777 \r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19</w:t>
      </w:r>
      <w:r w:rsidR="00BA15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4. </w:t>
      </w:r>
    </w:p>
    <w:p w14:paraId="20D92795" w14:textId="77777777" w:rsidR="001D0A32" w:rsidRPr="00796736" w:rsidRDefault="001D0A32" w:rsidP="00A802A5">
      <w:pPr>
        <w:spacing w:line="360" w:lineRule="auto"/>
        <w:rPr>
          <w:rFonts w:ascii="Times New Roman" w:hAnsi="Times New Roman" w:cs="Times New Roman"/>
          <w:sz w:val="24"/>
          <w:szCs w:val="24"/>
        </w:rPr>
      </w:pPr>
    </w:p>
    <w:p w14:paraId="7222A04B" w14:textId="7F2E946D"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er tale om en væsentlig udvidelse af Hvidvasksekretariatets beføjelser, idet Hvidvasksekretariatet bl.a. får mulighed for at meddele påbud om suspension af transaktioner og Hvidvasksekretariatet får øgede beføjelser i relation til visse konti og forretningsforbindelser, ligesom Hvidvasksekretariatet indrømmes en længere frist til at vurdere den pågældende transaktion, førend der skal ske en tilkendegivelse overfor den forpligtede enhed. Der henvises for nærmere om ændringerne med hvidvaskdirektivets artikel 24 til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_Ref239687752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3.18.2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ovenfor.</w:t>
      </w:r>
    </w:p>
    <w:p w14:paraId="6051A90C" w14:textId="77777777" w:rsidR="001D0A32" w:rsidRPr="00796736" w:rsidRDefault="001D0A32" w:rsidP="00A802A5">
      <w:pPr>
        <w:spacing w:line="360" w:lineRule="auto"/>
        <w:rPr>
          <w:rFonts w:ascii="Times New Roman" w:hAnsi="Times New Roman" w:cs="Times New Roman"/>
          <w:sz w:val="24"/>
          <w:szCs w:val="24"/>
        </w:rPr>
      </w:pPr>
    </w:p>
    <w:p w14:paraId="28EFE4F6" w14:textId="79282C26" w:rsidR="00C478A1" w:rsidRPr="00796736" w:rsidRDefault="001D0A32"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_Ref232595777 \r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19</w:t>
      </w:r>
      <w:r w:rsidR="00BA15C7" w:rsidRPr="00796736">
        <w:rPr>
          <w:rFonts w:ascii="Times New Roman" w:hAnsi="Times New Roman" w:cs="Times New Roman"/>
          <w:sz w:val="24"/>
          <w:szCs w:val="24"/>
        </w:rPr>
        <w:fldChar w:fldCharType="end"/>
      </w:r>
      <w:r w:rsidR="00A511C8"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 xml:space="preserve">og bemærkningerne hertil.  </w:t>
      </w:r>
    </w:p>
    <w:p w14:paraId="0C0B98D2" w14:textId="77777777" w:rsidR="00C478A1" w:rsidRPr="00796736" w:rsidRDefault="00C478A1" w:rsidP="00A802A5">
      <w:pPr>
        <w:spacing w:line="360" w:lineRule="auto"/>
        <w:rPr>
          <w:rFonts w:ascii="Times New Roman" w:hAnsi="Times New Roman" w:cs="Times New Roman"/>
          <w:sz w:val="24"/>
          <w:szCs w:val="24"/>
        </w:rPr>
      </w:pPr>
    </w:p>
    <w:p w14:paraId="72A463A9" w14:textId="0047A084" w:rsidR="00C478A1" w:rsidRPr="00796736" w:rsidRDefault="003928BD" w:rsidP="00A802A5">
      <w:pPr>
        <w:pStyle w:val="Overskrift2"/>
        <w:rPr>
          <w:rFonts w:ascii="Times New Roman" w:hAnsi="Times New Roman"/>
          <w:sz w:val="24"/>
        </w:rPr>
      </w:pPr>
      <w:bookmarkStart w:id="1014" w:name="_Toc232109067"/>
      <w:bookmarkStart w:id="1015" w:name="_Ref232943392"/>
      <w:bookmarkStart w:id="1016" w:name="_Toc244880736"/>
      <w:r w:rsidRPr="00796736">
        <w:rPr>
          <w:rFonts w:ascii="Times New Roman" w:hAnsi="Times New Roman"/>
          <w:sz w:val="24"/>
        </w:rPr>
        <w:t>I</w:t>
      </w:r>
      <w:r w:rsidR="00C478A1" w:rsidRPr="00796736">
        <w:rPr>
          <w:rFonts w:ascii="Times New Roman" w:hAnsi="Times New Roman"/>
          <w:sz w:val="24"/>
        </w:rPr>
        <w:t>nstrukser om overvågning af transaktioner og aktiviteter</w:t>
      </w:r>
      <w:bookmarkEnd w:id="1014"/>
      <w:bookmarkEnd w:id="1015"/>
      <w:bookmarkEnd w:id="1016"/>
    </w:p>
    <w:p w14:paraId="27903984" w14:textId="492005AD" w:rsidR="00C478A1" w:rsidRPr="00796736" w:rsidRDefault="00C478A1" w:rsidP="00A802A5">
      <w:pPr>
        <w:pStyle w:val="Overskrift4"/>
        <w:rPr>
          <w:rFonts w:ascii="Times New Roman" w:hAnsi="Times New Roman" w:cs="Times New Roman"/>
          <w:sz w:val="24"/>
          <w:szCs w:val="24"/>
        </w:rPr>
      </w:pPr>
      <w:bookmarkStart w:id="1017" w:name="_Toc232109068"/>
      <w:bookmarkStart w:id="1018" w:name="_Ref232792462"/>
      <w:r w:rsidRPr="00796736">
        <w:rPr>
          <w:rFonts w:ascii="Times New Roman" w:hAnsi="Times New Roman" w:cs="Times New Roman"/>
          <w:sz w:val="24"/>
          <w:szCs w:val="24"/>
        </w:rPr>
        <w:t>Gældende ret</w:t>
      </w:r>
      <w:bookmarkEnd w:id="1017"/>
      <w:bookmarkEnd w:id="1018"/>
    </w:p>
    <w:p w14:paraId="793BA572" w14:textId="77777777"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 indeholder ikke i dag regler om, at Hvidvasksekretariatet kan give forpligtede enheder instrukser om at overvåge transaktioner eller aktiviteter der gennemføres via bankkonti, betalingskonti, kryptoaktivkonti eller forretningsforbindelser, som forvaltes af den forpligtede enhed. </w:t>
      </w:r>
    </w:p>
    <w:p w14:paraId="74764B82" w14:textId="77777777" w:rsidR="00C478A1" w:rsidRPr="00796736" w:rsidRDefault="00C478A1" w:rsidP="00A802A5">
      <w:pPr>
        <w:spacing w:line="360" w:lineRule="auto"/>
        <w:rPr>
          <w:rFonts w:ascii="Times New Roman" w:hAnsi="Times New Roman" w:cs="Times New Roman"/>
          <w:sz w:val="24"/>
          <w:szCs w:val="24"/>
        </w:rPr>
      </w:pPr>
    </w:p>
    <w:p w14:paraId="62FB3ED0" w14:textId="1C6ECD46" w:rsidR="00C478A1" w:rsidRPr="00796736" w:rsidRDefault="00C478A1" w:rsidP="00A802A5">
      <w:pPr>
        <w:pStyle w:val="Overskrift4"/>
        <w:rPr>
          <w:rFonts w:ascii="Times New Roman" w:hAnsi="Times New Roman" w:cs="Times New Roman"/>
          <w:sz w:val="24"/>
          <w:szCs w:val="24"/>
        </w:rPr>
      </w:pPr>
      <w:bookmarkStart w:id="1019" w:name="_Toc232109069"/>
      <w:r w:rsidRPr="00796736">
        <w:rPr>
          <w:rFonts w:ascii="Times New Roman" w:hAnsi="Times New Roman" w:cs="Times New Roman"/>
          <w:sz w:val="24"/>
          <w:szCs w:val="24"/>
        </w:rPr>
        <w:t>6. hvidvaskdirektiv</w:t>
      </w:r>
      <w:bookmarkEnd w:id="1019"/>
      <w:r w:rsidRPr="00796736">
        <w:rPr>
          <w:rFonts w:ascii="Times New Roman" w:hAnsi="Times New Roman" w:cs="Times New Roman"/>
          <w:sz w:val="24"/>
          <w:szCs w:val="24"/>
        </w:rPr>
        <w:t xml:space="preserve"> </w:t>
      </w:r>
    </w:p>
    <w:p w14:paraId="3E03C203" w14:textId="77777777"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25 regulerer FIU’ens beføjelse til at give forpligtede enheder instrukser om overvågning af transaktioner eller aktiviteter. Bestemmelsen er ny i forhold til 4. og 5. hvidvaskdirektiv.</w:t>
      </w:r>
    </w:p>
    <w:p w14:paraId="3136B0D4" w14:textId="77777777" w:rsidR="00C478A1" w:rsidRPr="00796736" w:rsidRDefault="00C478A1" w:rsidP="00A802A5">
      <w:pPr>
        <w:spacing w:line="360" w:lineRule="auto"/>
        <w:rPr>
          <w:rFonts w:ascii="Times New Roman" w:hAnsi="Times New Roman" w:cs="Times New Roman"/>
          <w:sz w:val="24"/>
          <w:szCs w:val="24"/>
        </w:rPr>
      </w:pPr>
    </w:p>
    <w:p w14:paraId="1A2A7049" w14:textId="77777777"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artikel 25 stk. 1, 1. afsnit, at medlemsstaterne sikrer, at FIU’er har beføjelse til at give forpligtede enheder instrukser om i en periode, der fastsættes af FIU’en, at overvåge de transaktioner eller aktiviteter, der gennemføres via en eller flere bankkonti eller betalingskonti eller kryptoaktivkonti eller andre forretningsforbindelser, der forvaltes af den forpligtede enhed, for personer, der udgør en betydelig risiko for hvidvask af penge, de underliggende lovovertrædelser eller finansiering af terrorisme. Medlemsstaterne sikrer også, at FIU’er har beføjelse til at pålægge den forpligtede enhed at rapportere om resultaterne af overvågningen. </w:t>
      </w:r>
    </w:p>
    <w:p w14:paraId="69226DFE" w14:textId="77777777" w:rsidR="00C478A1" w:rsidRPr="00796736" w:rsidRDefault="00C478A1" w:rsidP="00A802A5">
      <w:pPr>
        <w:spacing w:line="360" w:lineRule="auto"/>
        <w:rPr>
          <w:rFonts w:ascii="Times New Roman" w:hAnsi="Times New Roman" w:cs="Times New Roman"/>
          <w:sz w:val="24"/>
          <w:szCs w:val="24"/>
        </w:rPr>
      </w:pPr>
    </w:p>
    <w:p w14:paraId="68E2A26E" w14:textId="77777777"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bestemmelsens 2. afsnit, at medlemsstaterne sikrer, at FIU’er har beføjelse til at pålægge overvågningsforanstaltninger som omhandlet i denne artikel efter anmodning fra en FIU fra en anden medlemsstat.</w:t>
      </w:r>
    </w:p>
    <w:p w14:paraId="597E4B26" w14:textId="77777777" w:rsidR="00C478A1" w:rsidRPr="00796736" w:rsidRDefault="00C478A1" w:rsidP="00A802A5">
      <w:pPr>
        <w:spacing w:line="360" w:lineRule="auto"/>
        <w:rPr>
          <w:rFonts w:ascii="Times New Roman" w:hAnsi="Times New Roman" w:cs="Times New Roman"/>
          <w:sz w:val="24"/>
          <w:szCs w:val="24"/>
        </w:rPr>
      </w:pPr>
    </w:p>
    <w:p w14:paraId="7BE98EB8" w14:textId="5D15CDF0"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direktivets præambelbetragtning nr. 72 bl.a., at FIU’er under særlige omstændigheder også på egne vegne eller på vegne af en anden FIU bør kunne anmode en forpligtet enhed om i en nærmere fastsat periode at overvåge transaktioner eller aktiviteter, der gennemføres via en bankkonti eller betalingskonto eller en kryptoaktivkonto eller en anden type forretningsforbindelse i forbindelse med personer, der udgør en betydelig risiko for hvidvask af penge, de underliggende lovovertrædelser eller finansiering af terrorisme. Nøjere overvågning af en konto eller en forretningsforbindelse kan give FIU’en yderligere indsigt i kontohaverens transaktionsmønstre og føre til rettidig opdagelse af usædvanlige eller mistænkelige transaktioner eller aktiviteter, der kunne berettige yderligere foranstaltninger fra FIU’ens side, herunder suspension af kontoen eller forretningsforbindelsen, analyse af de indsamlede efterretninger og formidling heraf til efterforsknings- og anklagemyndigheder.</w:t>
      </w:r>
    </w:p>
    <w:p w14:paraId="479F0890" w14:textId="77777777" w:rsidR="00C478A1" w:rsidRPr="00796736" w:rsidRDefault="00C478A1" w:rsidP="00A802A5">
      <w:pPr>
        <w:spacing w:line="360" w:lineRule="auto"/>
        <w:rPr>
          <w:rFonts w:ascii="Times New Roman" w:hAnsi="Times New Roman" w:cs="Times New Roman"/>
          <w:sz w:val="24"/>
          <w:szCs w:val="24"/>
        </w:rPr>
      </w:pPr>
    </w:p>
    <w:p w14:paraId="5BA5A4CD" w14:textId="0E1B5283" w:rsidR="00C478A1" w:rsidRPr="00796736" w:rsidRDefault="00C478A1" w:rsidP="00A802A5">
      <w:pPr>
        <w:pStyle w:val="Overskrift4"/>
        <w:rPr>
          <w:rFonts w:ascii="Times New Roman" w:hAnsi="Times New Roman" w:cs="Times New Roman"/>
          <w:sz w:val="24"/>
          <w:szCs w:val="24"/>
        </w:rPr>
      </w:pPr>
      <w:bookmarkStart w:id="1020" w:name="_Toc232109070"/>
      <w:r w:rsidRPr="00796736">
        <w:rPr>
          <w:rFonts w:ascii="Times New Roman" w:hAnsi="Times New Roman" w:cs="Times New Roman"/>
          <w:sz w:val="24"/>
          <w:szCs w:val="24"/>
        </w:rPr>
        <w:t>Justitsministeriets overvejelser og den foreslåede ordning</w:t>
      </w:r>
      <w:bookmarkEnd w:id="1020"/>
      <w:r w:rsidRPr="00796736">
        <w:rPr>
          <w:rFonts w:ascii="Times New Roman" w:hAnsi="Times New Roman" w:cs="Times New Roman"/>
          <w:sz w:val="24"/>
          <w:szCs w:val="24"/>
        </w:rPr>
        <w:t xml:space="preserve"> </w:t>
      </w:r>
    </w:p>
    <w:p w14:paraId="358703E1" w14:textId="53C8FA5E"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_Ref232792462 \n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3.19.1</w:t>
      </w:r>
      <w:r w:rsidR="00BA15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indeholder hvidvaskloven ikke i dag regler om, at Hvidvasksekretariatet kan give forpligtede enheder instrukser om at overvåge transaktioner eller aktiviteter der gennemføres via bankkonti, betalingskonti, kryptoaktivkonti eller forretningsforbindelser, som forvaltes af den forpligtede enhed. Hvidvaskdirektivets artikel 25 indeholder imidlertid – til forskel fra 4. og 5. hvidvaskdirektiv – en bestemmelse, der regulerer FIU’ens beføjelse til at give forpligtede enheder instrukser om overvågning af transaktioner eller aktiviteter.</w:t>
      </w:r>
    </w:p>
    <w:p w14:paraId="17ACA19D" w14:textId="77777777" w:rsidR="00C478A1" w:rsidRPr="00796736" w:rsidRDefault="00C478A1" w:rsidP="00A802A5">
      <w:pPr>
        <w:spacing w:line="360" w:lineRule="auto"/>
        <w:rPr>
          <w:rFonts w:ascii="Times New Roman" w:hAnsi="Times New Roman" w:cs="Times New Roman"/>
          <w:sz w:val="24"/>
          <w:szCs w:val="24"/>
        </w:rPr>
      </w:pPr>
    </w:p>
    <w:p w14:paraId="54C0B377" w14:textId="23E4EC4C" w:rsidR="00C478A1" w:rsidRPr="00796736" w:rsidRDefault="00C478A1" w:rsidP="00A802A5">
      <w:pPr>
        <w:spacing w:line="360" w:lineRule="auto"/>
        <w:rPr>
          <w:rFonts w:ascii="Times New Roman" w:hAnsi="Times New Roman" w:cs="Times New Roman"/>
          <w:sz w:val="24"/>
          <w:szCs w:val="24"/>
        </w:rPr>
      </w:pPr>
      <w:bookmarkStart w:id="1021" w:name="_Hlk226824629"/>
      <w:r w:rsidRPr="00796736">
        <w:rPr>
          <w:rFonts w:ascii="Times New Roman" w:hAnsi="Times New Roman" w:cs="Times New Roman"/>
          <w:sz w:val="24"/>
          <w:szCs w:val="24"/>
        </w:rPr>
        <w:t xml:space="preserve">Det foreslås at gennemføre </w:t>
      </w:r>
      <w:r w:rsidR="00291BD0" w:rsidRPr="00796736">
        <w:rPr>
          <w:rFonts w:ascii="Times New Roman" w:hAnsi="Times New Roman" w:cs="Times New Roman"/>
          <w:sz w:val="24"/>
          <w:szCs w:val="24"/>
        </w:rPr>
        <w:t xml:space="preserve">6. </w:t>
      </w:r>
      <w:r w:rsidRPr="00796736">
        <w:rPr>
          <w:rFonts w:ascii="Times New Roman" w:hAnsi="Times New Roman" w:cs="Times New Roman"/>
          <w:sz w:val="24"/>
          <w:szCs w:val="24"/>
        </w:rPr>
        <w:t xml:space="preserve">hvidvaskdirektivets artikel 25 ved i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_Ref232595829 \r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20</w:t>
      </w:r>
      <w:r w:rsidR="00BA15C7" w:rsidRPr="00796736">
        <w:rPr>
          <w:rFonts w:ascii="Times New Roman" w:hAnsi="Times New Roman" w:cs="Times New Roman"/>
          <w:sz w:val="24"/>
          <w:szCs w:val="24"/>
        </w:rPr>
        <w:fldChar w:fldCharType="end"/>
      </w:r>
      <w:r w:rsidR="00BA15C7" w:rsidRPr="00796736">
        <w:rPr>
          <w:rFonts w:ascii="Times New Roman" w:hAnsi="Times New Roman" w:cs="Times New Roman"/>
          <w:sz w:val="24"/>
          <w:szCs w:val="24"/>
        </w:rPr>
        <w:t xml:space="preserve"> </w:t>
      </w:r>
      <w:r w:rsidRPr="00796736">
        <w:rPr>
          <w:rFonts w:ascii="Times New Roman" w:hAnsi="Times New Roman" w:cs="Times New Roman"/>
          <w:sz w:val="24"/>
          <w:szCs w:val="24"/>
          <w:bdr w:val="none" w:sz="0" w:space="0" w:color="auto" w:frame="1"/>
        </w:rPr>
        <w:t xml:space="preserve">at indsætte en bestemmelse, hvorefter </w:t>
      </w:r>
      <w:r w:rsidRPr="00796736">
        <w:rPr>
          <w:rFonts w:ascii="Times New Roman" w:hAnsi="Times New Roman" w:cs="Times New Roman"/>
          <w:sz w:val="24"/>
          <w:szCs w:val="24"/>
        </w:rPr>
        <w:t xml:space="preserve">Hvidvasksekretariatet kan </w:t>
      </w:r>
      <w:r w:rsidR="002128F7">
        <w:rPr>
          <w:rFonts w:ascii="Times New Roman" w:hAnsi="Times New Roman" w:cs="Times New Roman"/>
          <w:sz w:val="24"/>
          <w:szCs w:val="24"/>
        </w:rPr>
        <w:t>påbyde</w:t>
      </w:r>
      <w:r w:rsidRPr="00796736">
        <w:rPr>
          <w:rFonts w:ascii="Times New Roman" w:hAnsi="Times New Roman" w:cs="Times New Roman"/>
          <w:sz w:val="24"/>
          <w:szCs w:val="24"/>
        </w:rPr>
        <w:t xml:space="preserve"> forpligtede enheder en periode, der fastsættes af Hvidvasksekretariatet, at overvåge de transaktioner eller aktiviteter, som gennemføres via en eller flere bankkonti eller betalingskonti eller kryptoaktivkonti eller andre forretningsforbindelser, der forvaltes af den forpligtede enhed, for personer, der udgør en betydelig risiko for hvidvask af penge, de underliggende lovovertrædelser eller finansiering af terrorisme. Derudover foreslås det, at Hvidvasksekretariatet kan pålægge den forpligtede enhed at rapportere om resultaterne af overvågningen. Det foreslås endvidere, at Hvidvasksekretariatet efter anmodning fra en FIU fra en anden medlemsstat kan pålægge overvågningsforanstaltninger. </w:t>
      </w:r>
    </w:p>
    <w:bookmarkEnd w:id="1021"/>
    <w:p w14:paraId="7FB1B53E" w14:textId="77777777" w:rsidR="00C478A1" w:rsidRPr="00796736" w:rsidRDefault="00C478A1" w:rsidP="00A802A5">
      <w:pPr>
        <w:spacing w:line="360" w:lineRule="auto"/>
        <w:rPr>
          <w:rFonts w:ascii="Times New Roman" w:hAnsi="Times New Roman" w:cs="Times New Roman"/>
          <w:sz w:val="24"/>
          <w:szCs w:val="24"/>
        </w:rPr>
      </w:pPr>
    </w:p>
    <w:p w14:paraId="5F8303A2" w14:textId="77777777" w:rsidR="00C478A1" w:rsidRPr="00796736" w:rsidRDefault="00C478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Hvidvasksekretariatet – eventuelt efter anmodning fra en FIU fra en anden medlemsstat – vil kunne give forpligtede enheder instrukser om at overvåge transaktioner eller aktiviteter for personer, der udgør en betydelig risiko for hvidvask af penge mv., samt pålæg om at rapportere om resultaterne af overvågningen. Dette vil kunne give Hvidvasksekretariatet yderligere indsigt i kontohaverens transaktionsmønstre og føre til rettidig opdagelse af usædvanlige eller mistænkelige transaktioner eller aktiviteter, der kunne berettige yderligere foranstaltninger fra Hvidvasksekretariatets side, jf. også direktivets præambelbetragtning nr. 72.</w:t>
      </w:r>
    </w:p>
    <w:p w14:paraId="402F3E49" w14:textId="77777777" w:rsidR="00C478A1" w:rsidRPr="00796736" w:rsidRDefault="00C478A1" w:rsidP="00A802A5">
      <w:pPr>
        <w:spacing w:line="360" w:lineRule="auto"/>
        <w:rPr>
          <w:rFonts w:ascii="Times New Roman" w:hAnsi="Times New Roman" w:cs="Times New Roman"/>
          <w:sz w:val="24"/>
          <w:szCs w:val="24"/>
        </w:rPr>
      </w:pPr>
    </w:p>
    <w:p w14:paraId="6F754797" w14:textId="343E9F20" w:rsidR="00C478A1" w:rsidRPr="00796736" w:rsidRDefault="00C478A1"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_Ref232595829 \r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20</w:t>
      </w:r>
      <w:r w:rsidR="00BA15C7" w:rsidRPr="00796736">
        <w:rPr>
          <w:rFonts w:ascii="Times New Roman" w:hAnsi="Times New Roman" w:cs="Times New Roman"/>
          <w:sz w:val="24"/>
          <w:szCs w:val="24"/>
        </w:rPr>
        <w:fldChar w:fldCharType="end"/>
      </w:r>
      <w:r w:rsidR="00BA15C7"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 xml:space="preserve">og bemærkningerne hertil.  </w:t>
      </w:r>
    </w:p>
    <w:p w14:paraId="35455038" w14:textId="77777777" w:rsidR="00C478A1" w:rsidRPr="00796736" w:rsidRDefault="00C478A1" w:rsidP="00A802A5">
      <w:pPr>
        <w:spacing w:line="360" w:lineRule="auto"/>
        <w:rPr>
          <w:rFonts w:ascii="Times New Roman" w:hAnsi="Times New Roman" w:cs="Times New Roman"/>
          <w:sz w:val="24"/>
          <w:szCs w:val="24"/>
        </w:rPr>
      </w:pPr>
    </w:p>
    <w:p w14:paraId="0ED144AF" w14:textId="41E893E5" w:rsidR="00C478A1" w:rsidRPr="00796736" w:rsidRDefault="005A296B" w:rsidP="00A802A5">
      <w:pPr>
        <w:pStyle w:val="Overskrift2"/>
        <w:rPr>
          <w:rFonts w:ascii="Times New Roman" w:hAnsi="Times New Roman"/>
          <w:sz w:val="24"/>
        </w:rPr>
      </w:pPr>
      <w:bookmarkStart w:id="1022" w:name="_Toc232109071"/>
      <w:bookmarkStart w:id="1023" w:name="_Toc244880737"/>
      <w:r w:rsidRPr="00796736">
        <w:rPr>
          <w:rFonts w:ascii="Times New Roman" w:hAnsi="Times New Roman"/>
          <w:sz w:val="24"/>
        </w:rPr>
        <w:t>Varsler til forpligtede enheder</w:t>
      </w:r>
      <w:bookmarkEnd w:id="1022"/>
      <w:bookmarkEnd w:id="1023"/>
    </w:p>
    <w:p w14:paraId="0D44A15A" w14:textId="53021C8D" w:rsidR="00C478A1" w:rsidRPr="00796736" w:rsidRDefault="00C478A1" w:rsidP="00A802A5">
      <w:pPr>
        <w:pStyle w:val="Overskrift4"/>
        <w:rPr>
          <w:rFonts w:ascii="Times New Roman" w:hAnsi="Times New Roman" w:cs="Times New Roman"/>
          <w:sz w:val="24"/>
          <w:szCs w:val="24"/>
        </w:rPr>
      </w:pPr>
      <w:bookmarkStart w:id="1024" w:name="_Toc232109072"/>
      <w:bookmarkStart w:id="1025" w:name="_Ref232792559"/>
      <w:bookmarkStart w:id="1026" w:name="_Ref232943434"/>
      <w:r w:rsidRPr="00796736">
        <w:rPr>
          <w:rFonts w:ascii="Times New Roman" w:hAnsi="Times New Roman" w:cs="Times New Roman"/>
          <w:sz w:val="24"/>
          <w:szCs w:val="24"/>
        </w:rPr>
        <w:t>Gældende ret</w:t>
      </w:r>
      <w:bookmarkEnd w:id="1024"/>
      <w:bookmarkEnd w:id="1025"/>
      <w:bookmarkEnd w:id="1026"/>
    </w:p>
    <w:p w14:paraId="6E84E3E6" w14:textId="77777777"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 indeholder ikke i dag regler om, at Hvidvasksekretariatet kan varsle forpligtede enheder om oplysninger, der er relevante for gennemførelsen af kundekendskabsprocedurer. </w:t>
      </w:r>
    </w:p>
    <w:p w14:paraId="7B27F2A6" w14:textId="77777777" w:rsidR="005A296B" w:rsidRPr="00796736" w:rsidRDefault="005A296B" w:rsidP="00A802A5">
      <w:pPr>
        <w:spacing w:line="360" w:lineRule="auto"/>
        <w:rPr>
          <w:rFonts w:ascii="Times New Roman" w:hAnsi="Times New Roman" w:cs="Times New Roman"/>
          <w:sz w:val="24"/>
          <w:szCs w:val="24"/>
        </w:rPr>
      </w:pPr>
    </w:p>
    <w:p w14:paraId="4694D380" w14:textId="41787015"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Hvidvasksekretariatet deltager i dag løbende i møder med bl.a. de underretningspligtiges brancheorganisationer samt myndigheder, hvor sekretariatet giver generel feedback og foretager relevant orientering inden for hvidvaskområdet. Hvidvasksekretariatet udarbejder desuden kvartalsrapporter til brug for myndigheder og underretningspligtige, som indeholder oplysninger om arbejdet i sekretariatet, herunder antallet af underretninger og eksempler på konkrete sager, hvori underretninger er indgået.</w:t>
      </w:r>
    </w:p>
    <w:p w14:paraId="56829F74" w14:textId="77777777" w:rsidR="005A296B" w:rsidRPr="00796736" w:rsidRDefault="005A296B" w:rsidP="00A802A5">
      <w:pPr>
        <w:spacing w:line="360" w:lineRule="auto"/>
        <w:rPr>
          <w:rFonts w:ascii="Times New Roman" w:hAnsi="Times New Roman" w:cs="Times New Roman"/>
          <w:sz w:val="24"/>
          <w:szCs w:val="24"/>
          <w:highlight w:val="yellow"/>
        </w:rPr>
      </w:pPr>
    </w:p>
    <w:p w14:paraId="381701D9" w14:textId="12806DE8" w:rsidR="002C5834" w:rsidRPr="00796736" w:rsidRDefault="002C583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Dertil kommer, at Hvidvasksekretariatet som offentlig myndighed er omfattet af den almindelige vejledningspligt i forvaltningslovens § 7 samt reglerne om god forvaltningsskik, hvilket indebærer, at Hvidvasksekretariatet efter omstændighederne vil skulle vejlede forpligtede enheder om lovens krav til kundekendskabsprocedurer og lignende</w:t>
      </w:r>
      <w:r w:rsidR="008D4A8C" w:rsidRPr="00796736">
        <w:rPr>
          <w:rFonts w:ascii="Times New Roman" w:hAnsi="Times New Roman" w:cs="Times New Roman"/>
          <w:sz w:val="24"/>
          <w:szCs w:val="24"/>
        </w:rPr>
        <w:t xml:space="preserve"> ved at henvise til Skatte-og Vækstministeriet. </w:t>
      </w:r>
    </w:p>
    <w:p w14:paraId="2801F79C" w14:textId="77777777" w:rsidR="005A296B" w:rsidRPr="00796736" w:rsidRDefault="005A296B" w:rsidP="00A802A5">
      <w:pPr>
        <w:spacing w:line="360" w:lineRule="auto"/>
        <w:rPr>
          <w:rFonts w:ascii="Times New Roman" w:hAnsi="Times New Roman" w:cs="Times New Roman"/>
          <w:sz w:val="24"/>
          <w:szCs w:val="24"/>
        </w:rPr>
      </w:pPr>
    </w:p>
    <w:p w14:paraId="1CEEC0E1" w14:textId="422DDE5E" w:rsidR="00C478A1" w:rsidRPr="00796736" w:rsidRDefault="00C478A1" w:rsidP="00A802A5">
      <w:pPr>
        <w:pStyle w:val="Overskrift4"/>
        <w:rPr>
          <w:rFonts w:ascii="Times New Roman" w:hAnsi="Times New Roman" w:cs="Times New Roman"/>
          <w:sz w:val="24"/>
          <w:szCs w:val="24"/>
        </w:rPr>
      </w:pPr>
      <w:bookmarkStart w:id="1027" w:name="_Toc232109073"/>
      <w:r w:rsidRPr="00796736">
        <w:rPr>
          <w:rFonts w:ascii="Times New Roman" w:hAnsi="Times New Roman" w:cs="Times New Roman"/>
          <w:sz w:val="24"/>
          <w:szCs w:val="24"/>
        </w:rPr>
        <w:t>6. hvidvaskdirektiv</w:t>
      </w:r>
      <w:bookmarkEnd w:id="1027"/>
      <w:r w:rsidRPr="00796736">
        <w:rPr>
          <w:rFonts w:ascii="Times New Roman" w:hAnsi="Times New Roman" w:cs="Times New Roman"/>
          <w:sz w:val="24"/>
          <w:szCs w:val="24"/>
        </w:rPr>
        <w:t xml:space="preserve"> </w:t>
      </w:r>
    </w:p>
    <w:p w14:paraId="2F6A8FFA" w14:textId="77777777"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26 regulerer FIU’ers varsler til forpligtede enheder. Bestemmelsen er ny i forhold til 4. og 5. hvidvaskdirektiv.</w:t>
      </w:r>
    </w:p>
    <w:p w14:paraId="26223F51" w14:textId="77777777" w:rsidR="005A296B" w:rsidRPr="00796736" w:rsidRDefault="005A296B" w:rsidP="00A802A5">
      <w:pPr>
        <w:spacing w:line="360" w:lineRule="auto"/>
        <w:rPr>
          <w:rFonts w:ascii="Times New Roman" w:hAnsi="Times New Roman" w:cs="Times New Roman"/>
          <w:sz w:val="24"/>
          <w:szCs w:val="24"/>
        </w:rPr>
      </w:pPr>
    </w:p>
    <w:p w14:paraId="0AE3C392" w14:textId="77777777"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stk. 1, at medlemsstaterne sikrer, at FIU'er er i stand til at varsle forpligtede enheder om oplysninger, der er relevante for gennemførelsen af kundekendskabsprocedurer i henhold til kapitel III i forordning (EU) nr. 2024/1624 om forebyggende foranstaltninger mod anvendelse af det finansielle system til hvidvask af penge eller finansiering af terrorisme (hvidvaskforordningen). Det følger videre, at disse oplysninger skal omfatte: </w:t>
      </w:r>
    </w:p>
    <w:p w14:paraId="5ED273E8" w14:textId="77777777" w:rsidR="005A296B" w:rsidRPr="00796736" w:rsidRDefault="005A296B">
      <w:pPr>
        <w:pStyle w:val="Listeafsnit"/>
        <w:numPr>
          <w:ilvl w:val="0"/>
          <w:numId w:val="12"/>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typer af transaktioner eller aktiviteter, der udgør en betydelig risiko for hvidvask af penge, de underliggende lovovertrædelser og finansiering af terrorisme </w:t>
      </w:r>
    </w:p>
    <w:p w14:paraId="4AB56A24" w14:textId="77777777" w:rsidR="005A296B" w:rsidRPr="00796736" w:rsidRDefault="005A296B">
      <w:pPr>
        <w:pStyle w:val="Listeafsnit"/>
        <w:numPr>
          <w:ilvl w:val="0"/>
          <w:numId w:val="12"/>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bestemte personer, der udgør en betydelig risiko for hvidvask af penge, de underliggende lovovertrædelser og finansiering af terrorisme </w:t>
      </w:r>
    </w:p>
    <w:p w14:paraId="2CB5BF45" w14:textId="77777777" w:rsidR="005A296B" w:rsidRPr="00796736" w:rsidRDefault="005A296B">
      <w:pPr>
        <w:pStyle w:val="Listeafsnit"/>
        <w:numPr>
          <w:ilvl w:val="0"/>
          <w:numId w:val="12"/>
        </w:numPr>
        <w:spacing w:line="360" w:lineRule="auto"/>
        <w:rPr>
          <w:rFonts w:ascii="Times New Roman" w:hAnsi="Times New Roman" w:cs="Times New Roman"/>
          <w:sz w:val="24"/>
          <w:szCs w:val="24"/>
        </w:rPr>
      </w:pPr>
      <w:r w:rsidRPr="00796736">
        <w:rPr>
          <w:rFonts w:ascii="Times New Roman" w:hAnsi="Times New Roman" w:cs="Times New Roman"/>
          <w:sz w:val="24"/>
          <w:szCs w:val="24"/>
        </w:rPr>
        <w:t>bestemte geografiske områder, der udgør en betydelig risiko for hvidvask af penge, de underliggende lovovertrædelser og finansiering af terrorisme.</w:t>
      </w:r>
    </w:p>
    <w:p w14:paraId="53778BE3" w14:textId="77777777" w:rsidR="005A296B" w:rsidRPr="00796736" w:rsidRDefault="005A296B" w:rsidP="00A802A5">
      <w:pPr>
        <w:spacing w:line="360" w:lineRule="auto"/>
        <w:rPr>
          <w:rFonts w:ascii="Times New Roman" w:hAnsi="Times New Roman" w:cs="Times New Roman"/>
          <w:sz w:val="24"/>
          <w:szCs w:val="24"/>
        </w:rPr>
      </w:pPr>
    </w:p>
    <w:p w14:paraId="2C3E6ACB" w14:textId="77777777"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stk. 2, at det i stk. 1 omhandlede krav anvendes i en periode, der fastsættes i national ret, og som ikke må overstige seks måneder.</w:t>
      </w:r>
    </w:p>
    <w:p w14:paraId="7193B3BA" w14:textId="77777777" w:rsidR="005A296B" w:rsidRPr="00796736" w:rsidRDefault="005A296B" w:rsidP="00A802A5">
      <w:pPr>
        <w:spacing w:line="360" w:lineRule="auto"/>
        <w:rPr>
          <w:rFonts w:ascii="Times New Roman" w:hAnsi="Times New Roman" w:cs="Times New Roman"/>
          <w:sz w:val="24"/>
          <w:szCs w:val="24"/>
        </w:rPr>
      </w:pPr>
    </w:p>
    <w:p w14:paraId="4A62D96F" w14:textId="77777777"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stk. 3, at FIU'er hvert år giver forpligtede enheder strategiske oplysninger om typologier, risikoindikatorer og tendenser inden for hvidvask af penge og finansiering af terrorisme.</w:t>
      </w:r>
    </w:p>
    <w:p w14:paraId="4D3C62B2" w14:textId="77777777" w:rsidR="005A296B" w:rsidRPr="00796736" w:rsidRDefault="005A296B" w:rsidP="00A802A5">
      <w:pPr>
        <w:spacing w:line="360" w:lineRule="auto"/>
        <w:rPr>
          <w:rFonts w:ascii="Times New Roman" w:hAnsi="Times New Roman" w:cs="Times New Roman"/>
          <w:sz w:val="24"/>
          <w:szCs w:val="24"/>
        </w:rPr>
      </w:pPr>
    </w:p>
    <w:p w14:paraId="20A32BAB" w14:textId="77777777"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præambelbetragtning nr. 72 bl.a., at FIU'er bør kunne varsle forpligtede enheder om oplysninger, der er relevante for gennemførelsen af kundekendskabsprocedurer. Sådanne varslinger kan hjælpe forpligtede enheder med oplysninger til brug for deres kundekendskabsprocedurer og sikre, at de er i overensstemmelse med risici, ajourføre deres risikovurderings- og risikostyringssystemer i overensstemmelse hermed og give dem yderligere oplysninger, der kunne udløse et behov for skærpede kundekendskabsprocedurer for visse kunder eller transaktioner, der udgør en højere risiko. </w:t>
      </w:r>
    </w:p>
    <w:p w14:paraId="5309861B" w14:textId="77777777" w:rsidR="005A296B" w:rsidRPr="00796736" w:rsidRDefault="005A296B" w:rsidP="00A802A5">
      <w:pPr>
        <w:spacing w:line="360" w:lineRule="auto"/>
        <w:rPr>
          <w:rFonts w:ascii="Times New Roman" w:hAnsi="Times New Roman" w:cs="Times New Roman"/>
          <w:sz w:val="24"/>
          <w:szCs w:val="24"/>
        </w:rPr>
      </w:pPr>
    </w:p>
    <w:p w14:paraId="0E6A40A6" w14:textId="22D591E5" w:rsidR="00C478A1" w:rsidRPr="00796736" w:rsidRDefault="005A296B" w:rsidP="00A802A5">
      <w:pPr>
        <w:pStyle w:val="Overskrift4"/>
        <w:rPr>
          <w:rFonts w:ascii="Times New Roman" w:hAnsi="Times New Roman" w:cs="Times New Roman"/>
          <w:sz w:val="24"/>
          <w:szCs w:val="24"/>
        </w:rPr>
      </w:pPr>
      <w:bookmarkStart w:id="1028" w:name="_Toc232109074"/>
      <w:r w:rsidRPr="00796736">
        <w:rPr>
          <w:rFonts w:ascii="Times New Roman" w:hAnsi="Times New Roman" w:cs="Times New Roman"/>
          <w:sz w:val="24"/>
          <w:szCs w:val="24"/>
        </w:rPr>
        <w:t>Justitsministeriets</w:t>
      </w:r>
      <w:r w:rsidR="00C478A1" w:rsidRPr="00796736">
        <w:rPr>
          <w:rFonts w:ascii="Times New Roman" w:hAnsi="Times New Roman" w:cs="Times New Roman"/>
          <w:sz w:val="24"/>
          <w:szCs w:val="24"/>
        </w:rPr>
        <w:t xml:space="preserve"> overvejelser og den foreslåede ordning</w:t>
      </w:r>
      <w:bookmarkEnd w:id="1028"/>
      <w:r w:rsidR="00C478A1" w:rsidRPr="00796736">
        <w:rPr>
          <w:rFonts w:ascii="Times New Roman" w:hAnsi="Times New Roman" w:cs="Times New Roman"/>
          <w:sz w:val="24"/>
          <w:szCs w:val="24"/>
        </w:rPr>
        <w:t xml:space="preserve"> </w:t>
      </w:r>
    </w:p>
    <w:p w14:paraId="6C2349E8" w14:textId="6FB618DC"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BA15C7" w:rsidRPr="00796736">
        <w:rPr>
          <w:rFonts w:ascii="Times New Roman" w:hAnsi="Times New Roman" w:cs="Times New Roman"/>
          <w:sz w:val="24"/>
          <w:szCs w:val="24"/>
        </w:rPr>
        <w:fldChar w:fldCharType="begin"/>
      </w:r>
      <w:r w:rsidR="00BA15C7" w:rsidRPr="00796736">
        <w:rPr>
          <w:rFonts w:ascii="Times New Roman" w:hAnsi="Times New Roman" w:cs="Times New Roman"/>
          <w:sz w:val="24"/>
          <w:szCs w:val="24"/>
        </w:rPr>
        <w:instrText xml:space="preserve"> REF _Ref232792559 \n \h </w:instrText>
      </w:r>
      <w:r w:rsidR="00967618" w:rsidRPr="00796736">
        <w:rPr>
          <w:rFonts w:ascii="Times New Roman" w:hAnsi="Times New Roman" w:cs="Times New Roman"/>
          <w:sz w:val="24"/>
          <w:szCs w:val="24"/>
        </w:rPr>
        <w:instrText xml:space="preserve"> \* MERGEFORMAT </w:instrText>
      </w:r>
      <w:r w:rsidR="00BA15C7" w:rsidRPr="00796736">
        <w:rPr>
          <w:rFonts w:ascii="Times New Roman" w:hAnsi="Times New Roman" w:cs="Times New Roman"/>
          <w:sz w:val="24"/>
          <w:szCs w:val="24"/>
        </w:rPr>
      </w:r>
      <w:r w:rsidR="00BA15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3.20.1</w:t>
      </w:r>
      <w:r w:rsidR="00BA15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indeholder hvidvaskloven ikke i dag regler om, at Hvidvasksekretariatet kan varsle forpligtede enheder om oplysninger, der er relevante for gennemførelsen af kundekendskabsprocedurer. Hvidvaskdirektivs artikel 26 indeholder imidlertid – til forskel fra 4. og 5. hvidvaskdirektiv – en bestemmelse, der regulerer FIU’ers varsler til forpligtede enheder om oplysninger</w:t>
      </w:r>
    </w:p>
    <w:p w14:paraId="20D7436B" w14:textId="77777777" w:rsidR="005A296B" w:rsidRPr="00796736" w:rsidRDefault="005A296B" w:rsidP="00A802A5">
      <w:pPr>
        <w:spacing w:line="360" w:lineRule="auto"/>
        <w:rPr>
          <w:rFonts w:ascii="Times New Roman" w:hAnsi="Times New Roman" w:cs="Times New Roman"/>
          <w:sz w:val="24"/>
          <w:szCs w:val="24"/>
        </w:rPr>
      </w:pPr>
      <w:bookmarkStart w:id="1029" w:name="_Hlk226825540"/>
    </w:p>
    <w:p w14:paraId="7D421657" w14:textId="57041E4F"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at gennemføre hvidvaskdirektivets artikel 26 ved i</w:t>
      </w:r>
      <w:r w:rsidR="002128F7">
        <w:rPr>
          <w:rFonts w:ascii="Times New Roman" w:hAnsi="Times New Roman" w:cs="Times New Roman"/>
          <w:sz w:val="24"/>
          <w:szCs w:val="24"/>
        </w:rPr>
        <w:t xml:space="preserve"> </w:t>
      </w:r>
      <w:r w:rsidR="002128F7">
        <w:rPr>
          <w:rFonts w:ascii="Times New Roman" w:hAnsi="Times New Roman" w:cs="Times New Roman"/>
          <w:sz w:val="24"/>
          <w:szCs w:val="24"/>
        </w:rPr>
        <w:fldChar w:fldCharType="begin"/>
      </w:r>
      <w:r w:rsidR="002128F7">
        <w:rPr>
          <w:rFonts w:ascii="Times New Roman" w:hAnsi="Times New Roman" w:cs="Times New Roman"/>
          <w:sz w:val="24"/>
          <w:szCs w:val="24"/>
        </w:rPr>
        <w:instrText xml:space="preserve"> REF _Ref243864504 \r \h </w:instrText>
      </w:r>
      <w:r w:rsidR="00CB248D">
        <w:rPr>
          <w:rFonts w:ascii="Times New Roman" w:hAnsi="Times New Roman" w:cs="Times New Roman"/>
          <w:sz w:val="24"/>
          <w:szCs w:val="24"/>
        </w:rPr>
        <w:instrText xml:space="preserve"> \* MERGEFORMAT </w:instrText>
      </w:r>
      <w:r w:rsidR="002128F7">
        <w:rPr>
          <w:rFonts w:ascii="Times New Roman" w:hAnsi="Times New Roman" w:cs="Times New Roman"/>
          <w:sz w:val="24"/>
          <w:szCs w:val="24"/>
        </w:rPr>
      </w:r>
      <w:r w:rsidR="002128F7">
        <w:rPr>
          <w:rFonts w:ascii="Times New Roman" w:hAnsi="Times New Roman" w:cs="Times New Roman"/>
          <w:sz w:val="24"/>
          <w:szCs w:val="24"/>
        </w:rPr>
        <w:fldChar w:fldCharType="separate"/>
      </w:r>
      <w:r w:rsidR="008F29E5">
        <w:rPr>
          <w:rFonts w:ascii="Times New Roman" w:hAnsi="Times New Roman" w:cs="Times New Roman"/>
          <w:sz w:val="24"/>
          <w:szCs w:val="24"/>
        </w:rPr>
        <w:t>§ 21</w:t>
      </w:r>
      <w:r w:rsidR="002128F7">
        <w:rPr>
          <w:rFonts w:ascii="Times New Roman" w:hAnsi="Times New Roman" w:cs="Times New Roman"/>
          <w:sz w:val="24"/>
          <w:szCs w:val="24"/>
        </w:rPr>
        <w:fldChar w:fldCharType="end"/>
      </w:r>
      <w:r w:rsidR="002128F7">
        <w:rPr>
          <w:rFonts w:ascii="Times New Roman" w:hAnsi="Times New Roman" w:cs="Times New Roman"/>
          <w:sz w:val="24"/>
          <w:szCs w:val="24"/>
        </w:rPr>
        <w:t xml:space="preserve"> </w:t>
      </w:r>
      <w:r w:rsidRPr="00796736">
        <w:rPr>
          <w:rFonts w:ascii="Times New Roman" w:hAnsi="Times New Roman" w:cs="Times New Roman"/>
          <w:sz w:val="24"/>
          <w:szCs w:val="24"/>
        </w:rPr>
        <w:t>at fastsætte, at Hvidvasksekretariatet i en periode på op til 6 måneder kan varsle forpligtede enheder om oplysninger, der er relevante for gennemførelsen af kundekendskabsprocedurer i henhold til kapitel III i hvidvaskforordningen samt hvad disse oplysninger skal omfatte. Derudover foreslås det at fastsætte, at Hvidvasksekretariatet hvert år giver forpligtede enheder strategiske oplysninger inden for hvidvask af penge og finansiering af terrorisme.</w:t>
      </w:r>
    </w:p>
    <w:p w14:paraId="6B6009D4" w14:textId="77777777" w:rsidR="005A296B" w:rsidRPr="00796736" w:rsidRDefault="005A296B" w:rsidP="00A802A5">
      <w:pPr>
        <w:spacing w:line="360" w:lineRule="auto"/>
        <w:rPr>
          <w:rFonts w:ascii="Times New Roman" w:hAnsi="Times New Roman" w:cs="Times New Roman"/>
          <w:sz w:val="24"/>
          <w:szCs w:val="24"/>
        </w:rPr>
      </w:pPr>
    </w:p>
    <w:p w14:paraId="5E65FE87" w14:textId="12627F21" w:rsidR="005A296B" w:rsidRPr="00796736" w:rsidRDefault="005A296B" w:rsidP="00A802A5">
      <w:pPr>
        <w:spacing w:line="360" w:lineRule="auto"/>
        <w:rPr>
          <w:rFonts w:ascii="Times New Roman" w:hAnsi="Times New Roman" w:cs="Times New Roman"/>
          <w:sz w:val="24"/>
          <w:szCs w:val="24"/>
        </w:rPr>
      </w:pPr>
      <w:bookmarkStart w:id="1030" w:name="_Hlk226825845"/>
      <w:bookmarkEnd w:id="1029"/>
      <w:r w:rsidRPr="00796736">
        <w:rPr>
          <w:rFonts w:ascii="Times New Roman" w:hAnsi="Times New Roman" w:cs="Times New Roman"/>
          <w:sz w:val="24"/>
          <w:szCs w:val="24"/>
        </w:rPr>
        <w:t xml:space="preserve">Den foreslåede bestemmelse vil indebære, at Hvidvasksekretariatet kan varsle forpligtede enheder om oplysninger, som er relevante for gennemførelsen af kundekendskabsprocedurer efter hvidvaskforordningen. Sådanne varslinger kan – via de oplysninger, der gives – </w:t>
      </w:r>
      <w:r w:rsidR="008D4A8C" w:rsidRPr="00796736">
        <w:rPr>
          <w:rFonts w:ascii="Times New Roman" w:hAnsi="Times New Roman" w:cs="Times New Roman"/>
          <w:sz w:val="24"/>
          <w:szCs w:val="24"/>
        </w:rPr>
        <w:t>hjælpe forpligtede enheder med at sikre, at deres kundekendskabsprocedurer er i overensstemmelse med relevante risici og at deres risikovurderings- og risikostyringssystemer er ajourført i overensstemmelse hermed. Derudover kan de oplysninger, der gives, påvise et behov for skærpede kundekendskabsprocedurer for visse kunder eller transaktioner, der udgør en højere risiko, jf. også direktivets præambelbetragtning 72.</w:t>
      </w:r>
    </w:p>
    <w:p w14:paraId="09E26C45" w14:textId="77777777" w:rsidR="005A296B" w:rsidRPr="00796736" w:rsidRDefault="005A296B" w:rsidP="00A802A5">
      <w:pPr>
        <w:spacing w:line="360" w:lineRule="auto"/>
        <w:rPr>
          <w:rFonts w:ascii="Times New Roman" w:hAnsi="Times New Roman" w:cs="Times New Roman"/>
          <w:sz w:val="24"/>
          <w:szCs w:val="24"/>
        </w:rPr>
      </w:pPr>
    </w:p>
    <w:p w14:paraId="4E6043C5" w14:textId="77777777" w:rsidR="005A296B" w:rsidRPr="00796736" w:rsidRDefault="005A296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vil den foreslåede bestemmelse indebære, at Hvidvasksekretariatet vil være forpligtet til hvert år at give forpligtede enheder strategiske oplysninger inden for hvidvask af penge og finansiering af terrorisme. De strategiske oplysninger vil skulle omfatte </w:t>
      </w:r>
      <w:bookmarkEnd w:id="1030"/>
      <w:r w:rsidRPr="00796736">
        <w:rPr>
          <w:rFonts w:ascii="Times New Roman" w:hAnsi="Times New Roman" w:cs="Times New Roman"/>
          <w:sz w:val="24"/>
          <w:szCs w:val="24"/>
        </w:rPr>
        <w:t xml:space="preserve">oplysninger om typologier, risikoindikatorer og tendenser inden for hvidvask af penge og finansiering af terrorisme og vil kunne gives oftere, hvis Hvidvasksekretariatet vurderer det nødvendigt. </w:t>
      </w:r>
    </w:p>
    <w:p w14:paraId="5E14B8F4" w14:textId="77777777" w:rsidR="005A296B" w:rsidRPr="00796736" w:rsidRDefault="005A296B" w:rsidP="00A802A5">
      <w:pPr>
        <w:spacing w:line="360" w:lineRule="auto"/>
        <w:rPr>
          <w:rFonts w:ascii="Times New Roman" w:hAnsi="Times New Roman" w:cs="Times New Roman"/>
          <w:sz w:val="24"/>
          <w:szCs w:val="24"/>
        </w:rPr>
      </w:pPr>
    </w:p>
    <w:p w14:paraId="0ABB83A3" w14:textId="0F26EE2B" w:rsidR="005A296B" w:rsidRPr="00796736" w:rsidRDefault="005A296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Der henvises i øvrigt til lovforslagets</w:t>
      </w:r>
      <w:r w:rsidR="002128F7">
        <w:rPr>
          <w:rFonts w:ascii="Times New Roman" w:eastAsia="Times New Roman" w:hAnsi="Times New Roman" w:cs="Times New Roman"/>
          <w:sz w:val="24"/>
          <w:szCs w:val="24"/>
          <w:lang w:eastAsia="da-DK"/>
        </w:rPr>
        <w:t xml:space="preserve"> </w:t>
      </w:r>
      <w:r w:rsidR="002128F7">
        <w:rPr>
          <w:rFonts w:ascii="Times New Roman" w:eastAsia="Times New Roman" w:hAnsi="Times New Roman" w:cs="Times New Roman"/>
          <w:sz w:val="24"/>
          <w:szCs w:val="24"/>
          <w:lang w:eastAsia="da-DK"/>
        </w:rPr>
        <w:fldChar w:fldCharType="begin"/>
      </w:r>
      <w:r w:rsidR="002128F7">
        <w:rPr>
          <w:rFonts w:ascii="Times New Roman" w:eastAsia="Times New Roman" w:hAnsi="Times New Roman" w:cs="Times New Roman"/>
          <w:sz w:val="24"/>
          <w:szCs w:val="24"/>
          <w:lang w:eastAsia="da-DK"/>
        </w:rPr>
        <w:instrText xml:space="preserve"> REF _Ref243864504 \r \h </w:instrText>
      </w:r>
      <w:r w:rsidR="00CB248D">
        <w:rPr>
          <w:rFonts w:ascii="Times New Roman" w:eastAsia="Times New Roman" w:hAnsi="Times New Roman" w:cs="Times New Roman"/>
          <w:sz w:val="24"/>
          <w:szCs w:val="24"/>
          <w:lang w:eastAsia="da-DK"/>
        </w:rPr>
        <w:instrText xml:space="preserve"> \* MERGEFORMAT </w:instrText>
      </w:r>
      <w:r w:rsidR="002128F7">
        <w:rPr>
          <w:rFonts w:ascii="Times New Roman" w:eastAsia="Times New Roman" w:hAnsi="Times New Roman" w:cs="Times New Roman"/>
          <w:sz w:val="24"/>
          <w:szCs w:val="24"/>
          <w:lang w:eastAsia="da-DK"/>
        </w:rPr>
      </w:r>
      <w:r w:rsidR="002128F7">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21</w:t>
      </w:r>
      <w:r w:rsidR="002128F7">
        <w:rPr>
          <w:rFonts w:ascii="Times New Roman" w:eastAsia="Times New Roman" w:hAnsi="Times New Roman" w:cs="Times New Roman"/>
          <w:sz w:val="24"/>
          <w:szCs w:val="24"/>
          <w:lang w:eastAsia="da-DK"/>
        </w:rPr>
        <w:fldChar w:fldCharType="end"/>
      </w:r>
      <w:r w:rsidR="002128F7">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og bemærkningerne hertil.</w:t>
      </w:r>
    </w:p>
    <w:p w14:paraId="12666938" w14:textId="77777777" w:rsidR="005A296B" w:rsidRPr="00796736" w:rsidRDefault="005A296B" w:rsidP="00A802A5">
      <w:pPr>
        <w:spacing w:line="360" w:lineRule="auto"/>
        <w:rPr>
          <w:rFonts w:ascii="Times New Roman" w:hAnsi="Times New Roman" w:cs="Times New Roman"/>
          <w:sz w:val="24"/>
          <w:szCs w:val="24"/>
        </w:rPr>
      </w:pPr>
    </w:p>
    <w:p w14:paraId="0CCB62CA" w14:textId="2D27ADF3" w:rsidR="00C478A1" w:rsidRPr="00796736" w:rsidRDefault="005A296B" w:rsidP="00A802A5">
      <w:pPr>
        <w:pStyle w:val="Overskrift2"/>
        <w:rPr>
          <w:rFonts w:ascii="Times New Roman" w:hAnsi="Times New Roman"/>
          <w:sz w:val="24"/>
        </w:rPr>
      </w:pPr>
      <w:bookmarkStart w:id="1031" w:name="_Toc232109075"/>
      <w:bookmarkStart w:id="1032" w:name="_Ref232943537"/>
      <w:bookmarkStart w:id="1033" w:name="_Toc244880738"/>
      <w:r w:rsidRPr="00796736">
        <w:rPr>
          <w:rFonts w:ascii="Times New Roman" w:hAnsi="Times New Roman"/>
          <w:sz w:val="24"/>
        </w:rPr>
        <w:t>Årlig FIU-rapport</w:t>
      </w:r>
      <w:bookmarkEnd w:id="1031"/>
      <w:bookmarkEnd w:id="1032"/>
      <w:bookmarkEnd w:id="1033"/>
    </w:p>
    <w:p w14:paraId="7199A5AA" w14:textId="4D37A490" w:rsidR="00C478A1" w:rsidRPr="00796736" w:rsidRDefault="00C478A1" w:rsidP="00A802A5">
      <w:pPr>
        <w:pStyle w:val="Overskrift4"/>
        <w:rPr>
          <w:rFonts w:ascii="Times New Roman" w:hAnsi="Times New Roman" w:cs="Times New Roman"/>
          <w:sz w:val="24"/>
          <w:szCs w:val="24"/>
        </w:rPr>
      </w:pPr>
      <w:bookmarkStart w:id="1034" w:name="_Toc232109076"/>
      <w:bookmarkStart w:id="1035" w:name="_Ref232792654"/>
      <w:bookmarkStart w:id="1036" w:name="_Ref232943470"/>
      <w:r w:rsidRPr="00796736">
        <w:rPr>
          <w:rFonts w:ascii="Times New Roman" w:hAnsi="Times New Roman" w:cs="Times New Roman"/>
          <w:sz w:val="24"/>
          <w:szCs w:val="24"/>
        </w:rPr>
        <w:t>Gældende ret</w:t>
      </w:r>
      <w:bookmarkEnd w:id="1034"/>
      <w:bookmarkEnd w:id="1035"/>
      <w:bookmarkEnd w:id="1036"/>
    </w:p>
    <w:p w14:paraId="5A60EC60"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findes ikke i dag regler om, at Hvidvasksekretariatet skal offentliggøre en årlig rapport om sine aktiviteter. </w:t>
      </w:r>
    </w:p>
    <w:p w14:paraId="5358F3C5" w14:textId="55D53C0C"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Hvidvasksekretariatet udarbejder i dag kvartalsrapporter til brug for myndigheder og underretningspligtige, som indeholder oplysninger om arbejdet i sekretariatet, herunder antallet af underretninger og eksempler på konkrete sager, hvori underretninger er indgået.</w:t>
      </w:r>
    </w:p>
    <w:p w14:paraId="0492C3CD" w14:textId="77777777" w:rsidR="008D4A8C" w:rsidRPr="00796736" w:rsidRDefault="008D4A8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Dertil kommer, at Hvidvasksekretariatet udarbejder årsrapporter, som kan tilgås på hvidvask.dk. Rapporterne indeholder – ligesom kvartalsrapporter – oplysninger om antal underretninger sendt til Hvidvasksekretariatet, antal underretninger sendt til Hvidvasksekretariatet i perioden 2021 til 2025 fordelt på underretningstype, antal virksomheder, myndigheder mv. i GoAML, antal efterretninger som Hvidvasksekretariatet har videregivet til forskellige myndigheder, antal gange en underretning er videregivet til en myndighed, antal måludpegningsoplæg sendt til myndigheder, udvalgte hvidvasksager, e</w:t>
      </w:r>
      <w:r w:rsidRPr="00796736">
        <w:rPr>
          <w:rFonts w:ascii="Times New Roman" w:hAnsi="Times New Roman" w:cs="Times New Roman"/>
          <w:iCs/>
          <w:sz w:val="24"/>
          <w:szCs w:val="24"/>
        </w:rPr>
        <w:t>fterretningsoplysninger og nyttiggørelse i Skatteforvaltningen</w:t>
      </w:r>
      <w:r w:rsidRPr="00796736">
        <w:rPr>
          <w:rFonts w:ascii="Times New Roman" w:hAnsi="Times New Roman" w:cs="Times New Roman"/>
          <w:sz w:val="24"/>
          <w:szCs w:val="24"/>
        </w:rPr>
        <w:t xml:space="preserve"> og løbende temaer med typologier.</w:t>
      </w:r>
    </w:p>
    <w:p w14:paraId="1D6D48E9" w14:textId="71698B75" w:rsidR="008D4A8C" w:rsidRPr="00796736" w:rsidRDefault="008D4A8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årsrapporten indgår desuden underretninger til og fra EU/EØS-lande, underretninger, beslag og konfiskationer, domfældelser fordelt efter afgørelsestype for hvidvask og hvidvask af særlig grov beskaffenhed, bøder for overtrædelse af hvidvaskloven i 2025, beskrivelse af arbejdet i Hvidvasksekretariatets domæner og beskrivelse af det nationale og internationale arbejde.</w:t>
      </w:r>
    </w:p>
    <w:p w14:paraId="2E755322" w14:textId="6312DB02" w:rsidR="00C478A1" w:rsidRPr="00796736" w:rsidRDefault="00C478A1" w:rsidP="00A802A5">
      <w:pPr>
        <w:pStyle w:val="Overskrift4"/>
        <w:rPr>
          <w:rFonts w:ascii="Times New Roman" w:hAnsi="Times New Roman" w:cs="Times New Roman"/>
          <w:sz w:val="24"/>
          <w:szCs w:val="24"/>
        </w:rPr>
      </w:pPr>
      <w:bookmarkStart w:id="1037" w:name="_Toc232109077"/>
      <w:bookmarkStart w:id="1038" w:name="_Ref232792644"/>
      <w:r w:rsidRPr="00796736">
        <w:rPr>
          <w:rFonts w:ascii="Times New Roman" w:hAnsi="Times New Roman" w:cs="Times New Roman"/>
          <w:sz w:val="24"/>
          <w:szCs w:val="24"/>
        </w:rPr>
        <w:t>6. hvidvaskdirektiv</w:t>
      </w:r>
      <w:bookmarkEnd w:id="1037"/>
      <w:bookmarkEnd w:id="1038"/>
      <w:r w:rsidRPr="00796736">
        <w:rPr>
          <w:rFonts w:ascii="Times New Roman" w:hAnsi="Times New Roman" w:cs="Times New Roman"/>
          <w:sz w:val="24"/>
          <w:szCs w:val="24"/>
        </w:rPr>
        <w:t xml:space="preserve"> </w:t>
      </w:r>
    </w:p>
    <w:p w14:paraId="00A4413A"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 indeholder i artikel 27 – som noget nyt i forhold til 4. og 5. hvidvaskdirektiv – en bestemmelse om at FIU’er årligt skal offentliggøre en rapport om sine aktiviteter. </w:t>
      </w:r>
    </w:p>
    <w:p w14:paraId="38670D89"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direktivets artikel 27, stk. 1, 1. afsnit, at hver medlemsstat sikrer, at dens FIU offentliggør en årlig rapport om sine aktiviteter. Rapporten skal indeholde statistikker over: </w:t>
      </w:r>
    </w:p>
    <w:p w14:paraId="647F14D7" w14:textId="77777777" w:rsidR="00240DBE" w:rsidRPr="00796736" w:rsidRDefault="00240DBE">
      <w:pPr>
        <w:pStyle w:val="Listeafsnit"/>
        <w:numPr>
          <w:ilvl w:val="0"/>
          <w:numId w:val="1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FIU'ens opfølgning på rapporter om mistænkelige transaktioner og aktiviteter, som den har modtaget</w:t>
      </w:r>
    </w:p>
    <w:p w14:paraId="7A4F59C3" w14:textId="77777777" w:rsidR="00240DBE" w:rsidRPr="00796736" w:rsidRDefault="00240DBE">
      <w:pPr>
        <w:pStyle w:val="Listeafsnit"/>
        <w:numPr>
          <w:ilvl w:val="0"/>
          <w:numId w:val="1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rapporter om mistænkelige transaktioner indgivet af forpligtede enheder</w:t>
      </w:r>
    </w:p>
    <w:p w14:paraId="51338FFD" w14:textId="77777777" w:rsidR="00240DBE" w:rsidRPr="00796736" w:rsidRDefault="00240DBE">
      <w:pPr>
        <w:pStyle w:val="Listeafsnit"/>
        <w:numPr>
          <w:ilvl w:val="0"/>
          <w:numId w:val="1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videregivelse af oplysninger fra tilsynsorganer og centrale registre </w:t>
      </w:r>
    </w:p>
    <w:p w14:paraId="4227CA61" w14:textId="77777777" w:rsidR="00240DBE" w:rsidRPr="00796736" w:rsidRDefault="00240DBE">
      <w:pPr>
        <w:pStyle w:val="Listeafsnit"/>
        <w:numPr>
          <w:ilvl w:val="0"/>
          <w:numId w:val="1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formidlinger til kompetente myndigheder og den videre behandling af disse formidlinger</w:t>
      </w:r>
    </w:p>
    <w:p w14:paraId="0B8BD38B" w14:textId="77777777" w:rsidR="00240DBE" w:rsidRPr="00796736" w:rsidRDefault="00240DBE">
      <w:pPr>
        <w:pStyle w:val="Listeafsnit"/>
        <w:numPr>
          <w:ilvl w:val="0"/>
          <w:numId w:val="1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anmodninger indgivet til og modtaget fra andre FIU’er</w:t>
      </w:r>
    </w:p>
    <w:p w14:paraId="0E3F28FB" w14:textId="77777777" w:rsidR="00240DBE" w:rsidRPr="00796736" w:rsidRDefault="00240DBE">
      <w:pPr>
        <w:pStyle w:val="Listeafsnit"/>
        <w:numPr>
          <w:ilvl w:val="0"/>
          <w:numId w:val="1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anmodninger, der er indgivet til og modtaget fra kompetente myndigheder omhandlet i artikel 2, stk. 1, nr. 44, litra c, i hvidvaskforordningen.</w:t>
      </w:r>
    </w:p>
    <w:p w14:paraId="2813E27A" w14:textId="77777777" w:rsidR="00240DBE" w:rsidRPr="00796736" w:rsidRDefault="00240DBE">
      <w:pPr>
        <w:pStyle w:val="Listeafsnit"/>
        <w:numPr>
          <w:ilvl w:val="0"/>
          <w:numId w:val="1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allokerede menneskelige ressourcer </w:t>
      </w:r>
    </w:p>
    <w:p w14:paraId="1DE42C21" w14:textId="77777777" w:rsidR="00240DBE" w:rsidRPr="00796736" w:rsidRDefault="00240DBE">
      <w:pPr>
        <w:pStyle w:val="Listeafsnit"/>
        <w:numPr>
          <w:ilvl w:val="0"/>
          <w:numId w:val="1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data om grænseoverskridende fysiske overførsler af kontanter fremsendt af toldmyndighederne i henhold til artikel 9 i forordning (EU) 2018/1672 om kontrol med likvide midler, der føres ind i eller ud af Unionen.</w:t>
      </w:r>
    </w:p>
    <w:p w14:paraId="557D9E3E"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herudover af bestemmelsens 2. afsnit, at den rapport, der er omhandlet i stykke 1, også skal indeholde oplysninger om de tendenser og typologier, der er identificeret i de sager, der formidles til andre kompetente myndigheder. Oplysningerne i rapporten ikke må gøre det muligt at identificere nogen fysisk eller juridisk person.</w:t>
      </w:r>
    </w:p>
    <w:p w14:paraId="56044F99" w14:textId="523FD07F" w:rsidR="005A296B"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direktivets præambelbetragtning nr. 73, at med henblik på større gennemsigtighed og ansvarlighed og for at øge bevidstheden om deres aktiviteter bør FIU'erne hvert år udarbejde aktivitetsrapporter. Disse rapporter bør som minimum indeholde statistiske data vedrørende de modtagne rapporter om mistænkelige transaktioner og den opfølgning, der er foretaget, antallet af formidlinger til de nationale kompetente myndigheder og opfølgningen på disse formidlinger, antallet af anmodninger, der er indgivet til og modtaget fra andre FIU'er, samt oplysninger om identificerede tendenser og typologier. Disse rapporter bør offentliggøres med undtagelse af de dele, der indeholder følsomme og klassificerede oplysninger.</w:t>
      </w:r>
    </w:p>
    <w:p w14:paraId="66031A3D" w14:textId="087FE4D2" w:rsidR="00C478A1" w:rsidRPr="00796736" w:rsidRDefault="005A296B" w:rsidP="00A802A5">
      <w:pPr>
        <w:pStyle w:val="Overskrift4"/>
        <w:rPr>
          <w:rFonts w:ascii="Times New Roman" w:hAnsi="Times New Roman" w:cs="Times New Roman"/>
          <w:sz w:val="24"/>
          <w:szCs w:val="24"/>
        </w:rPr>
      </w:pPr>
      <w:bookmarkStart w:id="1039" w:name="_Toc232109078"/>
      <w:r w:rsidRPr="00796736">
        <w:rPr>
          <w:rFonts w:ascii="Times New Roman" w:hAnsi="Times New Roman" w:cs="Times New Roman"/>
          <w:sz w:val="24"/>
          <w:szCs w:val="24"/>
        </w:rPr>
        <w:t>Justitsministeriets</w:t>
      </w:r>
      <w:r w:rsidR="00C478A1" w:rsidRPr="00796736">
        <w:rPr>
          <w:rFonts w:ascii="Times New Roman" w:hAnsi="Times New Roman" w:cs="Times New Roman"/>
          <w:sz w:val="24"/>
          <w:szCs w:val="24"/>
        </w:rPr>
        <w:t xml:space="preserve"> overvejelser og den foreslåede ordning</w:t>
      </w:r>
      <w:bookmarkEnd w:id="1039"/>
      <w:r w:rsidR="00C478A1" w:rsidRPr="00796736">
        <w:rPr>
          <w:rFonts w:ascii="Times New Roman" w:hAnsi="Times New Roman" w:cs="Times New Roman"/>
          <w:sz w:val="24"/>
          <w:szCs w:val="24"/>
        </w:rPr>
        <w:t xml:space="preserve"> </w:t>
      </w:r>
    </w:p>
    <w:p w14:paraId="24F30E6B" w14:textId="62FBDA8E" w:rsidR="00240DBE" w:rsidRPr="00796736" w:rsidRDefault="00240DBE" w:rsidP="00A802A5">
      <w:pPr>
        <w:tabs>
          <w:tab w:val="left" w:pos="1549"/>
        </w:tabs>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6F38FE" w:rsidRPr="00796736">
        <w:rPr>
          <w:rFonts w:ascii="Times New Roman" w:hAnsi="Times New Roman" w:cs="Times New Roman"/>
          <w:sz w:val="24"/>
          <w:szCs w:val="24"/>
        </w:rPr>
        <w:fldChar w:fldCharType="begin"/>
      </w:r>
      <w:r w:rsidR="006F38FE" w:rsidRPr="00796736">
        <w:rPr>
          <w:rFonts w:ascii="Times New Roman" w:hAnsi="Times New Roman" w:cs="Times New Roman"/>
          <w:sz w:val="24"/>
          <w:szCs w:val="24"/>
        </w:rPr>
        <w:instrText xml:space="preserve"> REF _Ref232792644 \n \h </w:instrText>
      </w:r>
      <w:r w:rsidR="00967618" w:rsidRPr="00796736">
        <w:rPr>
          <w:rFonts w:ascii="Times New Roman" w:hAnsi="Times New Roman" w:cs="Times New Roman"/>
          <w:sz w:val="24"/>
          <w:szCs w:val="24"/>
        </w:rPr>
        <w:instrText xml:space="preserve"> \* MERGEFORMAT </w:instrText>
      </w:r>
      <w:r w:rsidR="006F38FE" w:rsidRPr="00796736">
        <w:rPr>
          <w:rFonts w:ascii="Times New Roman" w:hAnsi="Times New Roman" w:cs="Times New Roman"/>
          <w:sz w:val="24"/>
          <w:szCs w:val="24"/>
        </w:rPr>
      </w:r>
      <w:r w:rsidR="006F38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3.21.2</w:t>
      </w:r>
      <w:r w:rsidR="006F38FE"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hvidvaskdirektivets artikel 27 en bestemmelse om, at FIU’er årligt skal offentliggøre en rapport om sine aktiviteter, som indeholder statistikker, tendenser og typologier. Bestemmelsen er ny i forhold til 4. og 5. hvidvaskdirektiv. Der findes som nævnt under pkt. </w:t>
      </w:r>
      <w:r w:rsidR="006F38FE" w:rsidRPr="00796736">
        <w:rPr>
          <w:rFonts w:ascii="Times New Roman" w:hAnsi="Times New Roman" w:cs="Times New Roman"/>
          <w:sz w:val="24"/>
          <w:szCs w:val="24"/>
        </w:rPr>
        <w:fldChar w:fldCharType="begin"/>
      </w:r>
      <w:r w:rsidR="006F38FE" w:rsidRPr="00796736">
        <w:rPr>
          <w:rFonts w:ascii="Times New Roman" w:hAnsi="Times New Roman" w:cs="Times New Roman"/>
          <w:sz w:val="24"/>
          <w:szCs w:val="24"/>
        </w:rPr>
        <w:instrText xml:space="preserve"> REF _Ref232792654 \n \h </w:instrText>
      </w:r>
      <w:r w:rsidR="00967618" w:rsidRPr="00796736">
        <w:rPr>
          <w:rFonts w:ascii="Times New Roman" w:hAnsi="Times New Roman" w:cs="Times New Roman"/>
          <w:sz w:val="24"/>
          <w:szCs w:val="24"/>
        </w:rPr>
        <w:instrText xml:space="preserve"> \* MERGEFORMAT </w:instrText>
      </w:r>
      <w:r w:rsidR="006F38FE" w:rsidRPr="00796736">
        <w:rPr>
          <w:rFonts w:ascii="Times New Roman" w:hAnsi="Times New Roman" w:cs="Times New Roman"/>
          <w:sz w:val="24"/>
          <w:szCs w:val="24"/>
        </w:rPr>
      </w:r>
      <w:r w:rsidR="006F38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3.21.1</w:t>
      </w:r>
      <w:r w:rsidR="006F38FE" w:rsidRPr="00796736">
        <w:rPr>
          <w:rFonts w:ascii="Times New Roman" w:hAnsi="Times New Roman" w:cs="Times New Roman"/>
          <w:sz w:val="24"/>
          <w:szCs w:val="24"/>
        </w:rPr>
        <w:fldChar w:fldCharType="end"/>
      </w:r>
      <w:r w:rsidR="006F38FE"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ikke på nuværende tidspunkt regler om offentliggørelse af en årlig FIU-rapport. </w:t>
      </w:r>
    </w:p>
    <w:p w14:paraId="1B7CF03F" w14:textId="563FF0FA" w:rsidR="00240DBE" w:rsidRPr="00796736" w:rsidRDefault="00240DBE" w:rsidP="00A802A5">
      <w:pPr>
        <w:tabs>
          <w:tab w:val="left" w:pos="1549"/>
        </w:tabs>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gennemføre hvidvaskdirektivets artikel 27 ved i </w:t>
      </w:r>
      <w:r w:rsidR="006F38FE" w:rsidRPr="00796736">
        <w:rPr>
          <w:rFonts w:ascii="Times New Roman" w:hAnsi="Times New Roman" w:cs="Times New Roman"/>
          <w:sz w:val="24"/>
          <w:szCs w:val="24"/>
        </w:rPr>
        <w:fldChar w:fldCharType="begin"/>
      </w:r>
      <w:r w:rsidR="006F38FE" w:rsidRPr="00796736">
        <w:rPr>
          <w:rFonts w:ascii="Times New Roman" w:hAnsi="Times New Roman" w:cs="Times New Roman"/>
          <w:sz w:val="24"/>
          <w:szCs w:val="24"/>
        </w:rPr>
        <w:instrText xml:space="preserve"> REF _Ref232595975 \n \h </w:instrText>
      </w:r>
      <w:r w:rsidR="00967618" w:rsidRPr="00796736">
        <w:rPr>
          <w:rFonts w:ascii="Times New Roman" w:hAnsi="Times New Roman" w:cs="Times New Roman"/>
          <w:sz w:val="24"/>
          <w:szCs w:val="24"/>
        </w:rPr>
        <w:instrText xml:space="preserve"> \* MERGEFORMAT </w:instrText>
      </w:r>
      <w:r w:rsidR="006F38FE" w:rsidRPr="00796736">
        <w:rPr>
          <w:rFonts w:ascii="Times New Roman" w:hAnsi="Times New Roman" w:cs="Times New Roman"/>
          <w:sz w:val="24"/>
          <w:szCs w:val="24"/>
        </w:rPr>
      </w:r>
      <w:r w:rsidR="006F38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22</w:t>
      </w:r>
      <w:r w:rsidR="006F38FE" w:rsidRPr="00796736">
        <w:rPr>
          <w:rFonts w:ascii="Times New Roman" w:hAnsi="Times New Roman" w:cs="Times New Roman"/>
          <w:sz w:val="24"/>
          <w:szCs w:val="24"/>
        </w:rPr>
        <w:fldChar w:fldCharType="end"/>
      </w:r>
      <w:r w:rsidR="006F38FE"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at fastlægge, at Hvidvasksekretariatet årligt skal offentliggøre en rapport om sine aktiviteter. Bestemmelsen vil også afgrænse hvilke nærmere oplysninger, rapporten skal indeholde. </w:t>
      </w:r>
      <w:r w:rsidR="008D4A8C" w:rsidRPr="00796736">
        <w:rPr>
          <w:rFonts w:ascii="Times New Roman" w:hAnsi="Times New Roman" w:cs="Times New Roman"/>
          <w:sz w:val="24"/>
          <w:szCs w:val="24"/>
        </w:rPr>
        <w:t>Det forudsættes, at den foreslåede bestemmelse vil kunne opfyldes ved at tilføje enkelte elementer til Hvidvasksekretariatets nuværende praksis for udarbejdelse af kvartals- og årsrapporter.</w:t>
      </w:r>
    </w:p>
    <w:p w14:paraId="6A8A858F" w14:textId="700FAC4E" w:rsidR="005A296B" w:rsidRPr="00796736" w:rsidRDefault="00240DBE" w:rsidP="00A802A5">
      <w:pPr>
        <w:spacing w:line="360" w:lineRule="auto"/>
        <w:rPr>
          <w:rFonts w:ascii="Times New Roman" w:hAnsi="Times New Roman" w:cs="Times New Roman"/>
          <w:i/>
          <w:iCs/>
          <w:sz w:val="24"/>
          <w:szCs w:val="24"/>
        </w:rPr>
      </w:pPr>
      <w:r w:rsidRPr="00796736">
        <w:rPr>
          <w:rFonts w:ascii="Times New Roman" w:hAnsi="Times New Roman" w:cs="Times New Roman"/>
          <w:sz w:val="24"/>
          <w:szCs w:val="24"/>
        </w:rPr>
        <w:t xml:space="preserve">Der henvises i øvrigt til lovforslagets </w:t>
      </w:r>
      <w:r w:rsidR="006F38FE" w:rsidRPr="00796736">
        <w:rPr>
          <w:rFonts w:ascii="Times New Roman" w:hAnsi="Times New Roman" w:cs="Times New Roman"/>
          <w:sz w:val="24"/>
          <w:szCs w:val="24"/>
        </w:rPr>
        <w:fldChar w:fldCharType="begin"/>
      </w:r>
      <w:r w:rsidR="006F38FE" w:rsidRPr="00796736">
        <w:rPr>
          <w:rFonts w:ascii="Times New Roman" w:hAnsi="Times New Roman" w:cs="Times New Roman"/>
          <w:sz w:val="24"/>
          <w:szCs w:val="24"/>
        </w:rPr>
        <w:instrText xml:space="preserve"> REF _Ref232595975 \n \h </w:instrText>
      </w:r>
      <w:r w:rsidR="00967618" w:rsidRPr="00796736">
        <w:rPr>
          <w:rFonts w:ascii="Times New Roman" w:hAnsi="Times New Roman" w:cs="Times New Roman"/>
          <w:sz w:val="24"/>
          <w:szCs w:val="24"/>
        </w:rPr>
        <w:instrText xml:space="preserve"> \* MERGEFORMAT </w:instrText>
      </w:r>
      <w:r w:rsidR="006F38FE" w:rsidRPr="00796736">
        <w:rPr>
          <w:rFonts w:ascii="Times New Roman" w:hAnsi="Times New Roman" w:cs="Times New Roman"/>
          <w:sz w:val="24"/>
          <w:szCs w:val="24"/>
        </w:rPr>
      </w:r>
      <w:r w:rsidR="006F38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22</w:t>
      </w:r>
      <w:r w:rsidR="006F38FE" w:rsidRPr="00796736">
        <w:rPr>
          <w:rFonts w:ascii="Times New Roman" w:hAnsi="Times New Roman" w:cs="Times New Roman"/>
          <w:sz w:val="24"/>
          <w:szCs w:val="24"/>
        </w:rPr>
        <w:fldChar w:fldCharType="end"/>
      </w:r>
      <w:r w:rsidR="006F38FE"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5C0D7690" w14:textId="77777777" w:rsidR="00C478A1" w:rsidRPr="00796736" w:rsidRDefault="00C478A1" w:rsidP="00A802A5">
      <w:pPr>
        <w:spacing w:after="160" w:line="360" w:lineRule="auto"/>
        <w:rPr>
          <w:rFonts w:ascii="Times New Roman" w:eastAsia="Calibri" w:hAnsi="Times New Roman" w:cs="Times New Roman"/>
          <w:i/>
          <w:sz w:val="24"/>
          <w:szCs w:val="24"/>
        </w:rPr>
      </w:pPr>
    </w:p>
    <w:p w14:paraId="4F7C76DA" w14:textId="32B2976C" w:rsidR="005A296B" w:rsidRPr="00796736" w:rsidRDefault="005A296B" w:rsidP="00A802A5">
      <w:pPr>
        <w:pStyle w:val="Overskrift2"/>
        <w:rPr>
          <w:rFonts w:ascii="Times New Roman" w:hAnsi="Times New Roman"/>
          <w:sz w:val="24"/>
        </w:rPr>
      </w:pPr>
      <w:bookmarkStart w:id="1040" w:name="_Toc232109079"/>
      <w:bookmarkStart w:id="1041" w:name="_Ref232943746"/>
      <w:bookmarkStart w:id="1042" w:name="_Toc244880739"/>
      <w:r w:rsidRPr="00796736">
        <w:rPr>
          <w:rFonts w:ascii="Times New Roman" w:hAnsi="Times New Roman"/>
          <w:sz w:val="24"/>
        </w:rPr>
        <w:t>Feedback fra FIU’er</w:t>
      </w:r>
      <w:bookmarkEnd w:id="1040"/>
      <w:bookmarkEnd w:id="1041"/>
      <w:bookmarkEnd w:id="1042"/>
    </w:p>
    <w:p w14:paraId="74E87BE8" w14:textId="62981F6A" w:rsidR="005A296B" w:rsidRPr="00796736" w:rsidRDefault="005A296B" w:rsidP="00A802A5">
      <w:pPr>
        <w:pStyle w:val="Overskrift4"/>
        <w:rPr>
          <w:rFonts w:ascii="Times New Roman" w:hAnsi="Times New Roman" w:cs="Times New Roman"/>
          <w:sz w:val="24"/>
          <w:szCs w:val="24"/>
        </w:rPr>
      </w:pPr>
      <w:bookmarkStart w:id="1043" w:name="_Toc232109080"/>
      <w:bookmarkStart w:id="1044" w:name="_Ref232943553"/>
      <w:r w:rsidRPr="00796736">
        <w:rPr>
          <w:rFonts w:ascii="Times New Roman" w:hAnsi="Times New Roman" w:cs="Times New Roman"/>
          <w:sz w:val="24"/>
          <w:szCs w:val="24"/>
        </w:rPr>
        <w:t>Gældende ret</w:t>
      </w:r>
      <w:bookmarkEnd w:id="1043"/>
      <w:bookmarkEnd w:id="1044"/>
    </w:p>
    <w:p w14:paraId="4EB9633E"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Hvidvasksekretariatets mulighed for at give feedback til forpligtede enheder reguleres i dag i hvidvasklovens § 29, stk. 5 og 6, samt FIU-cirkulærets § 3. Hvidvasklovens § 29, stk. 5, gennemfører artikel 46, stk. 3, i 4. hvidvaskdirektiv. </w:t>
      </w:r>
    </w:p>
    <w:p w14:paraId="39211D50"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hvidvasklovens § 29, stk. 5, at Hvidvasksekretariatet, hvis efterforskningsmæssige hensyn m.v. ikke taler herimod, kan give den underrettende virksomhed, person eller myndighed, der i medfør af lovens § 26, stk. 1, eller § 28 har indgivet en underretning, meddelelse om status i sagen, herunder om der er rejst sigtelse, om der foreligger endelig afgørelse, eller om sagen er henlagt. </w:t>
      </w:r>
    </w:p>
    <w:p w14:paraId="466E4D18" w14:textId="2D518F0F"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bl.a. af bemærkningerne til bestemmelsen, at forslaget vedrører specifik tilbagemelding til de virksomheder, personer eller myndigheder, som efter loven har givet underretning om en hvidvask- eller terrorfinansieringsmistanke. En underretning er en information til </w:t>
      </w:r>
      <w:r w:rsidR="008D4A8C" w:rsidRPr="00796736">
        <w:rPr>
          <w:rFonts w:ascii="Times New Roman" w:hAnsi="Times New Roman" w:cs="Times New Roman"/>
          <w:sz w:val="24"/>
          <w:szCs w:val="24"/>
        </w:rPr>
        <w:t>Hvidvasksekretariatet</w:t>
      </w:r>
      <w:r w:rsidRPr="00796736">
        <w:rPr>
          <w:rFonts w:ascii="Times New Roman" w:hAnsi="Times New Roman" w:cs="Times New Roman"/>
          <w:sz w:val="24"/>
          <w:szCs w:val="24"/>
        </w:rPr>
        <w:t xml:space="preserve"> og har ikke karakter af en anmeldelse. Dette betyder blandt andet, at § 724 i retsplejeloven om tilbagemelding til anmeldere ikke finder anvendelse i forbindelse med underretning. SØIK (i dag Hvidvasksekretariatet) kan give tilbagemelding på såvel konkrete underretninger som generelt om kvalitet og omfang af underretninger fra en virksomhed, person eller myndighed.</w:t>
      </w:r>
    </w:p>
    <w:p w14:paraId="5A94024B" w14:textId="77777777" w:rsidR="002128F7" w:rsidRPr="00D253F0"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Herudover fremgår det, at der vurderes at være behov for også at kunne give tilbagemelding om status i sagen, f.eks. at der er rejst sigtelse, at oplysningen indgår i en verserende sag, eller at videre efterforskning er sat i bero, men at sagen ikke er henlagt. Det bemærkes i relation hertil, at Hvidvasksekretariatet ikke behandler </w:t>
      </w:r>
      <w:r>
        <w:rPr>
          <w:rFonts w:ascii="Times New Roman" w:hAnsi="Times New Roman" w:cs="Times New Roman"/>
          <w:sz w:val="24"/>
          <w:szCs w:val="24"/>
        </w:rPr>
        <w:t>straffe</w:t>
      </w:r>
      <w:r w:rsidRPr="00D253F0">
        <w:rPr>
          <w:rFonts w:ascii="Times New Roman" w:hAnsi="Times New Roman" w:cs="Times New Roman"/>
          <w:sz w:val="24"/>
          <w:szCs w:val="24"/>
        </w:rPr>
        <w:t>sager, ligesom Hvidvasksekretariatet ikke videregiver sager til kompetente myndigheder eller politiet, men videreformidler efterretninger mv. Efterforskningen og retsforfølgningen af strafbare forhold udføres af politiet og anklagemyndigheden.</w:t>
      </w:r>
    </w:p>
    <w:p w14:paraId="109A91B1"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Selvom der kan tænkes situationer, hvor det kan have betydning for vurderingen af et kundeforhold at få mere detaljerede oplysninger om sigtelsen, skønnes der ikke generelt at være et behov for, at det skal være et almindeligt led i tilbagemeldingen. Hensynet til den mistænkte eller sigtede taler imod en detaljeret tilbagemelding. En sådan tilbagemelding bør derfor være en absolut undtagelse, der især kan være aktuel, hvor der er tale om meget små forhold, eller hvor den aktuelle kriminalitet vedrører bedrageri over for pengeinstitutter og lignende. Uden for disse situationer vurderes det at være tilstrækkeligt, at der så vidt muligt gives oplysning om, hvorvidt der er mistanke om f.eks. narkotikakriminalitet, økonomisk kriminalitet eller eventuel anden form for kriminalitet. </w:t>
      </w:r>
    </w:p>
    <w:p w14:paraId="14D3F038"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at ikke mindst af hensyn til den interne undervisning og virksomhedens eller personens mulighed for at optimere risikovurdering, procedurer m.v. vil det være hensigtsmæssigt, at der er mulighed for, at tilbagemeldingen om endelig afgørelse i visse tilfælde, hvor dommens indhold er særligt oplysende omkring udbytte og hvidvask, sker i form af en dom eller en domsekstrakt. </w:t>
      </w:r>
    </w:p>
    <w:p w14:paraId="21B361AC"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Uanset formuleringen »kan« skal der så vidt muligt gives tilbagemelding i det ved bestemmelsen hjemlede omfang. Vurderingen vil bero på en afvejning af på den ene side hensynet til den person, der er indgivet underretning om, og på den anden side den underrettendes behov for tilbagemelding. I afvejningen indgår, om den underrettende har tavshedspligt og har et egentligt kundeforhold til den pågældende, ligesom det kan indgå, om den underrettende er underlagt særlige etiske regler. Underretningen kan også gives, såfremt det vurderes, at dette kan forebygge eller standse kriminalitet rettet mod den underrettende. Specifik tilbagemelding kan således især være aktuelt i den finansielle sektor og andre erhverv med tavshedspligt og etiske krav, hvorimod det på andre områder i vidt omfang vil være tilstrækkeligt at orientere neutralt om eksempler på hvidvaskunderretninger og afgørelser. </w:t>
      </w:r>
    </w:p>
    <w:p w14:paraId="79B6C857"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Herudover fremgår det af bemærkningerne, at tilbagemelding kan først gives, når det med sikkerhed ikke kan skade efterforskningen. Uanset hvilke regler, der gives om tavshedspligt, og uanset at mange af de virksomheder, der er omfattet af loven, allerede er undergivet tavshedspligt, gælder det for nogle efterforskningssituationer, at der i en periode kun sker den for efterforskningen nødvendige videregivelse af oplysninger. Tilbagemelding bør ikke ske i en sådan periode, end ikke til de virksomheder, der er vant til at efterleve en omfattende tavshedspligt. I øvrigt kan der tillige ved et fortsat kundeforhold være det problem, at oplysningen måske vil være medvirkende til, at forretningsforbindelsen opsiges, hvilket kan henlede kundens opmærksomhed på en eventuel efterforskning. Der vil ikke ved en tilbagemelding kunne gives pålæg om, at forretningsforbindelsen ikke må opsiges. </w:t>
      </w:r>
    </w:p>
    <w:p w14:paraId="7430AF08"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kan også tænkes at forekomme andre situationer, hvor tilbagemelding konkret skønnes ikke at skulle ske eller først bør ske på et senere tidspunkt.</w:t>
      </w:r>
    </w:p>
    <w:p w14:paraId="0AB7C8CF"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Tilbagemelding efter forslaget skal gives til den underrettende virksomhed eller person. Ved virksomheder skal udtrykket forstås bredt, idet det ofte er en person i ledelsen, der formelt står for underretning på baggrund af oplysninger fra ansatte i virksomheden. Begrebet omfatter alle personer, der har været et led i underretningskæden.</w:t>
      </w:r>
    </w:p>
    <w:p w14:paraId="479F6D43"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jf. Folketingstidende 2016-17, tillæg A, L 41 som fremsat, side 131-132.</w:t>
      </w:r>
    </w:p>
    <w:p w14:paraId="4A2F88CB"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29, stk. 6, må modtagne meddelelser som nævnt i § 29, stk. 5, ikke videregives til uvedkommende. </w:t>
      </w:r>
    </w:p>
    <w:p w14:paraId="1C9FAB57"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bl.a. af bemærkningerne til hvidvasklovens § 29, stk. 6, at bestemmelsen skal fortolkes i overensstemmelse med straffelovens § 264 d om uberettiget videregivelse af blandt andet meddelelser om en andens private forhold. På grund af oplysningernes art vil udgangspunktet være, at enhver videregivelse, herunder videregivelse til andre personer i en virksomhed, er uberettiget, medmindre formålet med videregivelsen er at forhindre, at virksomheden misbruges af den samme kunde. Dette vil som udgangspunkt alene være tilfældet, hvis der stadig eksisterer en forretningsforbindelse. Oplysningerne kan dog videregives i anonymiseret form til alle i virksomheden i undervisningssammenhæng.</w:t>
      </w:r>
    </w:p>
    <w:p w14:paraId="347CE90B"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Overtrædelse af bestemmelsen er strafbelagt, jf. § 71, stk. 1, 2. pkt. Ansvarssubjekterne for overtrædelse af § 29, stk. 2, er virksomheder og personer omfattet af § 1, stk. 1, og den strafbare handling består i uberettiget videregivelse af oplysninger modtaget fra SØIK (i dag Hvidvasksekretariatet). Et eksempel på overtrædelse af bestemmelsen er en person, der på baggrund af oplysninger modtaget fra SØIK fortæller en kunde, at denne efterforskes af SØIK. Den foreslåede § 71, stk. 1, 2. pkt., (i dag § 78, stk. 1, 2. pkt.) fastlægger, at forsætlig eller grov uagtsom overtrædelse af § 29, stk. 2, kan straffes med bøde, medmindre højere straf er forskyldt efter straffelovens regler. Det er en forudsætning for anvendelsen af bestemmelsen, at den pågældende ikke kan straffes for handlingen eller undladelsen efter andre alvorligere bestemmelser i straffeloven, f.eks. § 290 i straffeloven om hæleri eller § 114 b, nr. 3, i straffeloven om bistand ved finansiering af terrorisme. Bestemmelsen vil således udgøre et supplement til blandt andet hæleribestemmelsen i § 290 i straffeloven og til bestemmelsen om bistand ved finansiering af terrorisme i § 114 b, nr. 3, i straffeloven.</w:t>
      </w:r>
    </w:p>
    <w:p w14:paraId="37052CEE"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132-133.</w:t>
      </w:r>
    </w:p>
    <w:p w14:paraId="5C996972"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FIU-cirkulærets § 3, at Hvidvasksekretariatet så vidt muligt skal give feedback til underretningspligtige personer og virksomheder vedrørende anvendeligheden af og opfølgningen på underretninger om mistanke om hvidvask og finansiering af terrorisme. </w:t>
      </w:r>
    </w:p>
    <w:p w14:paraId="046F2318" w14:textId="449DD8EA"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 deltager løbende i møder med de underretningspligtiges brancheorganisationer samt myndigheder, hvor sekretariatet giver mere generel feedback og foretager relevant orientering inden for hvidvaskområdet. Hvidvasksekretariatet udarbejder desuden kvartalsrapporter til brug for myndigheder og underretningspligtige, som indeholder oplysninger om arbejdet i sekretariatet, herunder antallet af underretninger og eksempler på konkrete sager, hvori underretninger er indgået. </w:t>
      </w:r>
      <w:r w:rsidR="008D4A8C" w:rsidRPr="00796736">
        <w:rPr>
          <w:rFonts w:ascii="Times New Roman" w:hAnsi="Times New Roman" w:cs="Times New Roman"/>
          <w:sz w:val="24"/>
          <w:szCs w:val="24"/>
        </w:rPr>
        <w:t>Hvidvasksekretariatet udarbejder ligeledes rapporter om kvaliteten af de underretningspligtiges underretninger om hvidvask og terrorfinansiering på forespørgsel fra tilsynsmyndighederne til brug for deres tilsynsopgaver. Rapporterne om kvaliteten af underretninger udleveres til den underretningspligtige i forbindelse med tilsynet som feedback. Hvidvasksekretariatet giver i udvalgte tilfælde de underretningspligtige besked, når en underretning fra er anvendt af politiet i en sag, der har ført til domfældelse. Ved behandling af underretninger, der er indsendt som fast track, giver Hvidvasksekretariatet ligeledes den underretningspligtige besked om, hvorvidt underretningen har ført til en beslaglæggelse eller om der ikke blev fundet grundlag herfor. Derudover modtager de underretningspligtige en besked i GoAML, når deres underretning bliver tilknyttet en sag, eller videregivet til en anden myndighed.</w:t>
      </w:r>
      <w:r w:rsidR="008D4A8C" w:rsidRPr="00796736" w:rsidDel="00F20CD9">
        <w:rPr>
          <w:rFonts w:ascii="Times New Roman" w:hAnsi="Times New Roman" w:cs="Times New Roman"/>
          <w:sz w:val="24"/>
          <w:szCs w:val="24"/>
        </w:rPr>
        <w:t xml:space="preserve"> </w:t>
      </w:r>
      <w:r w:rsidR="008D4A8C" w:rsidRPr="00796736">
        <w:rPr>
          <w:rFonts w:ascii="Times New Roman" w:hAnsi="Times New Roman" w:cs="Times New Roman"/>
          <w:sz w:val="24"/>
          <w:szCs w:val="24"/>
        </w:rPr>
        <w:t xml:space="preserve"> </w:t>
      </w:r>
    </w:p>
    <w:p w14:paraId="36A1F9AE" w14:textId="7F8EFB5C"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Herudover udarbejder og opdaterer Hvidvasksekretariatet med bidrag fra relevante myndigheder den nationale risikovurdering på hvidvaskområdet, som bl.a. medvirker til at målrette de relevante virksomheders, personers og myndigheders løbende arbejde med at identificere, vurdere og forstå risiciene for hvidvask med henblik på at opnå en effektiv indsats på området, </w:t>
      </w:r>
      <w:r w:rsidR="002C5834" w:rsidRPr="00796736">
        <w:rPr>
          <w:rFonts w:ascii="Times New Roman" w:hAnsi="Times New Roman" w:cs="Times New Roman"/>
          <w:sz w:val="24"/>
          <w:szCs w:val="24"/>
        </w:rPr>
        <w:t xml:space="preserve">jf. nærmere pkt. </w:t>
      </w:r>
      <w:r w:rsidR="002C5834" w:rsidRPr="00796736">
        <w:rPr>
          <w:rFonts w:ascii="Times New Roman" w:hAnsi="Times New Roman" w:cs="Times New Roman"/>
          <w:sz w:val="24"/>
          <w:szCs w:val="24"/>
        </w:rPr>
        <w:fldChar w:fldCharType="begin"/>
      </w:r>
      <w:r w:rsidR="002C5834" w:rsidRPr="00796736">
        <w:rPr>
          <w:rFonts w:ascii="Times New Roman" w:hAnsi="Times New Roman" w:cs="Times New Roman"/>
          <w:sz w:val="24"/>
          <w:szCs w:val="24"/>
        </w:rPr>
        <w:instrText xml:space="preserve"> REF _Ref237002822 \n \h  \* MERGEFORMAT </w:instrText>
      </w:r>
      <w:r w:rsidR="002C5834" w:rsidRPr="00796736">
        <w:rPr>
          <w:rFonts w:ascii="Times New Roman" w:hAnsi="Times New Roman" w:cs="Times New Roman"/>
          <w:sz w:val="24"/>
          <w:szCs w:val="24"/>
        </w:rPr>
      </w:r>
      <w:r w:rsidR="002C583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3.30</w:t>
      </w:r>
      <w:r w:rsidR="002C5834" w:rsidRPr="00796736">
        <w:rPr>
          <w:rFonts w:ascii="Times New Roman" w:hAnsi="Times New Roman" w:cs="Times New Roman"/>
          <w:sz w:val="24"/>
          <w:szCs w:val="24"/>
        </w:rPr>
        <w:fldChar w:fldCharType="end"/>
      </w:r>
      <w:r w:rsidR="002C5834" w:rsidRPr="00796736">
        <w:rPr>
          <w:rFonts w:ascii="Times New Roman" w:hAnsi="Times New Roman" w:cs="Times New Roman"/>
          <w:sz w:val="24"/>
          <w:szCs w:val="24"/>
        </w:rPr>
        <w:t>.</w:t>
      </w:r>
    </w:p>
    <w:p w14:paraId="15E67702" w14:textId="08BD1D73" w:rsidR="005A296B" w:rsidRPr="00796736" w:rsidRDefault="005A296B" w:rsidP="00A802A5">
      <w:pPr>
        <w:pStyle w:val="Overskrift4"/>
        <w:rPr>
          <w:rFonts w:ascii="Times New Roman" w:hAnsi="Times New Roman" w:cs="Times New Roman"/>
          <w:sz w:val="24"/>
          <w:szCs w:val="24"/>
        </w:rPr>
      </w:pPr>
      <w:bookmarkStart w:id="1045" w:name="_Toc232109081"/>
      <w:bookmarkStart w:id="1046" w:name="_Ref232792753"/>
      <w:bookmarkStart w:id="1047" w:name="_Ref232792769"/>
      <w:r w:rsidRPr="00796736">
        <w:rPr>
          <w:rFonts w:ascii="Times New Roman" w:hAnsi="Times New Roman" w:cs="Times New Roman"/>
          <w:sz w:val="24"/>
          <w:szCs w:val="24"/>
        </w:rPr>
        <w:t>6. hvidvaskdirektiv</w:t>
      </w:r>
      <w:bookmarkEnd w:id="1045"/>
      <w:bookmarkEnd w:id="1046"/>
      <w:bookmarkEnd w:id="1047"/>
      <w:r w:rsidRPr="00796736">
        <w:rPr>
          <w:rFonts w:ascii="Times New Roman" w:hAnsi="Times New Roman" w:cs="Times New Roman"/>
          <w:sz w:val="24"/>
          <w:szCs w:val="24"/>
        </w:rPr>
        <w:t xml:space="preserve"> </w:t>
      </w:r>
    </w:p>
    <w:p w14:paraId="1629ECE9"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28 regulerer feedback fra FIU’er. Bestemmelsen erstatter 4. hvidvaskdirektivs artikel 46, stk. 3. </w:t>
      </w:r>
    </w:p>
    <w:p w14:paraId="617261E9"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direktivets artikel 28, stk. 1, 1. afsnit, at medlemsstaterne sikrer, at FIU’er giver forpligtede enheder feedback om indberetning af mistanke i henhold til artikel 69 i hvidvaskforordningen. Det fremgår videre, at sådan feedback skal mindst omfatte kvaliteten af de oplysninger, der gives, indberetningens rettidighed, beskrivelsen af mistanken og den dokumentation, der er fremlagt i indgivelsesfasen. </w:t>
      </w:r>
    </w:p>
    <w:p w14:paraId="7C231B7B"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stk. 1, 2. afsnit fremgår, at feedback i henhold til denne artikel skal ikke forstås således, at den omfatter hver enkelt indberetning, der indgives af forpligtede enheder. </w:t>
      </w:r>
    </w:p>
    <w:p w14:paraId="69E236D7"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1, 3. afsnit, give FIU’en feedback mindst én gang om året, uanset om den gives til den enkelte forpligtede enhed eller til koncerner eller kategorier af forpligtede enheder, under hensyntagen til det samlede antal mistænkelige transaktioner, som indberettes af de forpligtede enheder. </w:t>
      </w:r>
    </w:p>
    <w:p w14:paraId="265ECB5F"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stk. 1, 4. afsnit, at feedback stilles også til rådighed for tilsynsorganerne, så de kan udføre risikobaseret tilsyn i overensstemmelse med artikel 40. </w:t>
      </w:r>
    </w:p>
    <w:p w14:paraId="1DACB941"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1, 5. afsnit, rapporterer FIU’erne årligt til AMLA om den feedback, de har givet til forpligtede enheder i henhold til denne artikel, og forelægger statistikker over antallet af rapporter af mistænkelige transaktioner indgivet af kategorierne af forpligtede enheder. </w:t>
      </w:r>
    </w:p>
    <w:p w14:paraId="064BBFDE"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stk. 1, 6. afsnit, at senest den 10. juli 2028 udsteder AMLA henstillinger til FIU’erne om bedste praksis og tilgange til at give feedback, herunder om typen og hyppigheden af feedback.</w:t>
      </w:r>
    </w:p>
    <w:p w14:paraId="230C658B"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1, 7. afsnit, at forpligtelsen til at give feedback ikke må bringe det igangværende analytiske arbejde, der udføres af FIU’en, eller eventuelle efterforskninger eller administrative foranstaltninger, der er foretaget efter FIU'ens formidling, i fare, og ikke berører anvendeligheden af kravene om databeskyttelse og fortrolighed.</w:t>
      </w:r>
    </w:p>
    <w:p w14:paraId="2DA03A52"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stk. 2, sikrer medlemsstaterne, at FIU’erne mindst én gang om året giver toldmyndighederne feedback om effektiviteten og opfølgningen af de oplysninger, der er fremsendt i henhold til artikel 9 i forordning (EU) nr. 2018/1672 om kontrol med likvide midler, der føres ind i eller ud af Unionen.</w:t>
      </w:r>
    </w:p>
    <w:p w14:paraId="76EA37CC"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præambelbetragtning nr. 74 bl.a., at feedback kan gives til individuelle forpligtede enheder eller koncerner af forpligtede enheder og bør sigte mod yderligere at forbedre de forpligtede enheders evne til at opdage og identificere mistænkelige transaktioner og aktiviteter, forbedre kvaliteten af rapporter om mistænkelige transaktioner, forbedre de overordnede indberetningsmekanismer og give forpligtede enheder vigtig indsigt i tendenser, typologier og risici i forbindelse med hvidvask af penge, de underliggende lovovertrædelser og finansiering af terrorisme. Det fremgår videre, at ved fastlæggelsen af typen og hyppigheden af feedback bør FIU’erne så vidt muligt tage hensyn til områder, hvor der kunne være behov for forbedringer i indberetningsaktiviteterne. Det fremgår endvidere, at hvis dette ikke vil bringe det analytiske eller efterforskningsmæssige arbejde i fare, kunne FIU’erne overveje at give feedback om anvendelsen eller resultatet af rapporter om mistænkelige transaktioner, enten om individuelle indberetninger eller på en aggregeret måde. </w:t>
      </w:r>
    </w:p>
    <w:p w14:paraId="126B8F6A"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28 viderefører 4. hvidvaskdirektivs artikel 46, stk. 3, dog således, at FIU’erne nu er forpligtet til at give feedback mindst én gang årligt. Derudover er indholdet af feedbacken nu ændret, således at det - i forhold til 4. hvidvaskdirektiv, hvor det fremgår, at der skal gives feedback vedr. anvendeligheden og opfølgningen af indberetninger - nu fremgår, at feedbacken skal omfatte mindst kvaliteten af de oplysninger, der gives, indberetningens rettidighed, beskrivelsen af mistanken og den dokumentation, der er fremlagt i indgivelsesfasen. Endvidere fremgår det som noget nyt af artikel 28, at feedback også skal stilles til rådighed for tilsynsorganerne samt at feedback skal gives én gang om året til toldmyndigheder. Det er endvidere som noget nyt et krav, at FIU’er årligt skal rapportere om den feedback der er givet til de forpligtede enheder samt visse statistikoplysninger til AMLA, ligesom det er nyt, at AMLA udsteder henstillinger om bedste praksis m.v. Hertil er det som noget nyt tilføjet til artikel 28, at feedback ikke må bringe det igangværende analytiske arbejde eller administrative foranstaltninger, der er foretaget efter FIU’ens formidling, i fare, og ikke berører anvendeligheden af kravene om databeskyttelse og fortrolighed.</w:t>
      </w:r>
    </w:p>
    <w:p w14:paraId="457047CA" w14:textId="538DF313" w:rsidR="005A296B" w:rsidRPr="00796736" w:rsidRDefault="005A296B" w:rsidP="00A802A5">
      <w:pPr>
        <w:pStyle w:val="Overskrift4"/>
        <w:rPr>
          <w:rFonts w:ascii="Times New Roman" w:hAnsi="Times New Roman" w:cs="Times New Roman"/>
          <w:sz w:val="24"/>
          <w:szCs w:val="24"/>
        </w:rPr>
      </w:pPr>
      <w:bookmarkStart w:id="1048" w:name="_Toc232109082"/>
      <w:r w:rsidRPr="00796736">
        <w:rPr>
          <w:rFonts w:ascii="Times New Roman" w:hAnsi="Times New Roman" w:cs="Times New Roman"/>
          <w:sz w:val="24"/>
          <w:szCs w:val="24"/>
        </w:rPr>
        <w:t>Justitsministeriets overvejelser og den foreslåede ordning</w:t>
      </w:r>
      <w:bookmarkEnd w:id="1048"/>
      <w:r w:rsidRPr="00796736">
        <w:rPr>
          <w:rFonts w:ascii="Times New Roman" w:hAnsi="Times New Roman" w:cs="Times New Roman"/>
          <w:sz w:val="24"/>
          <w:szCs w:val="24"/>
        </w:rPr>
        <w:t xml:space="preserve"> </w:t>
      </w:r>
    </w:p>
    <w:p w14:paraId="62D94A27" w14:textId="67C99525"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6F38FE" w:rsidRPr="00796736">
        <w:rPr>
          <w:rFonts w:ascii="Times New Roman" w:hAnsi="Times New Roman" w:cs="Times New Roman"/>
          <w:sz w:val="24"/>
          <w:szCs w:val="24"/>
        </w:rPr>
        <w:fldChar w:fldCharType="begin"/>
      </w:r>
      <w:r w:rsidR="006F38FE" w:rsidRPr="00796736">
        <w:rPr>
          <w:rFonts w:ascii="Times New Roman" w:hAnsi="Times New Roman" w:cs="Times New Roman"/>
          <w:sz w:val="24"/>
          <w:szCs w:val="24"/>
        </w:rPr>
        <w:instrText xml:space="preserve"> REF _Ref232792753 \n \h </w:instrText>
      </w:r>
      <w:r w:rsidR="00967618" w:rsidRPr="00796736">
        <w:rPr>
          <w:rFonts w:ascii="Times New Roman" w:hAnsi="Times New Roman" w:cs="Times New Roman"/>
          <w:sz w:val="24"/>
          <w:szCs w:val="24"/>
        </w:rPr>
        <w:instrText xml:space="preserve"> \* MERGEFORMAT </w:instrText>
      </w:r>
      <w:r w:rsidR="006F38FE" w:rsidRPr="00796736">
        <w:rPr>
          <w:rFonts w:ascii="Times New Roman" w:hAnsi="Times New Roman" w:cs="Times New Roman"/>
          <w:sz w:val="24"/>
          <w:szCs w:val="24"/>
        </w:rPr>
      </w:r>
      <w:r w:rsidR="006F38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3.22.2</w:t>
      </w:r>
      <w:r w:rsidR="006F38FE"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indeholder hvidvaskdirektivet i artikel 28 en bestemmelse om feedback, som FIU’en skal give til forpligtede enheder, tilsynsmyndigheder og toldmyndigheder. Bestemmelsen erstatter 4. hvidvaskdirektivs artikel 46, stk. 3, der i dansk ret er implementeret ved hvidvasklovens § 29, stk. 5 og 6 samt FIU-cirkulærets § 3.</w:t>
      </w:r>
    </w:p>
    <w:p w14:paraId="44FEA59D" w14:textId="2AB73F8A"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28 og 4. hvidvaskdirektivs artikel 46, stk. 3, adskiller sig, som det fremgår af pkt. </w:t>
      </w:r>
      <w:r w:rsidR="006F38FE" w:rsidRPr="00796736">
        <w:rPr>
          <w:rFonts w:ascii="Times New Roman" w:hAnsi="Times New Roman" w:cs="Times New Roman"/>
          <w:sz w:val="24"/>
          <w:szCs w:val="24"/>
        </w:rPr>
        <w:fldChar w:fldCharType="begin"/>
      </w:r>
      <w:r w:rsidR="006F38FE" w:rsidRPr="00796736">
        <w:rPr>
          <w:rFonts w:ascii="Times New Roman" w:hAnsi="Times New Roman" w:cs="Times New Roman"/>
          <w:sz w:val="24"/>
          <w:szCs w:val="24"/>
        </w:rPr>
        <w:instrText xml:space="preserve"> REF _Ref232792769 \n \h </w:instrText>
      </w:r>
      <w:r w:rsidR="00967618" w:rsidRPr="00796736">
        <w:rPr>
          <w:rFonts w:ascii="Times New Roman" w:hAnsi="Times New Roman" w:cs="Times New Roman"/>
          <w:sz w:val="24"/>
          <w:szCs w:val="24"/>
        </w:rPr>
        <w:instrText xml:space="preserve"> \* MERGEFORMAT </w:instrText>
      </w:r>
      <w:r w:rsidR="006F38FE" w:rsidRPr="00796736">
        <w:rPr>
          <w:rFonts w:ascii="Times New Roman" w:hAnsi="Times New Roman" w:cs="Times New Roman"/>
          <w:sz w:val="24"/>
          <w:szCs w:val="24"/>
        </w:rPr>
      </w:r>
      <w:r w:rsidR="006F38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3.22.2</w:t>
      </w:r>
      <w:r w:rsidR="006F38FE" w:rsidRPr="00796736">
        <w:rPr>
          <w:rFonts w:ascii="Times New Roman" w:hAnsi="Times New Roman" w:cs="Times New Roman"/>
          <w:sz w:val="24"/>
          <w:szCs w:val="24"/>
        </w:rPr>
        <w:fldChar w:fldCharType="end"/>
      </w:r>
      <w:r w:rsidR="006F38FE" w:rsidRPr="00796736">
        <w:rPr>
          <w:rFonts w:ascii="Times New Roman" w:hAnsi="Times New Roman" w:cs="Times New Roman"/>
          <w:sz w:val="24"/>
          <w:szCs w:val="24"/>
        </w:rPr>
        <w:t xml:space="preserve"> </w:t>
      </w:r>
      <w:r w:rsidRPr="00796736">
        <w:rPr>
          <w:rFonts w:ascii="Times New Roman" w:hAnsi="Times New Roman" w:cs="Times New Roman"/>
          <w:sz w:val="24"/>
          <w:szCs w:val="24"/>
        </w:rPr>
        <w:t>bl.a. ved, at FIU’erne nu mindst skal give feedback til de forpligtede enheder én gang årligt, og at feedback nu også skal stilles til rådighed for tilsynsorganerne samt at feedback skal gives én gang om året til toldmyndigheder. Det er endvidere som noget nyt et krav, at FIU’er årligt skal rapportere om den feedback der er givet til de forpligtede enheder samt visse statistikoplysninger til AMLA. Derudover er artikel 28, stk. 1, 6. afsnit, som tillægger AMLA beføjelser til at udstede henstillinger til FIU’erne om bedste praksis og tilgange til at give feedback, ny.</w:t>
      </w:r>
    </w:p>
    <w:p w14:paraId="4B3E5D1E" w14:textId="44018D50" w:rsidR="002128F7" w:rsidRPr="00D253F0"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gennemføre direktivets artikel 28 ved i </w:t>
      </w:r>
      <w:r w:rsidR="006F38FE" w:rsidRPr="00796736">
        <w:rPr>
          <w:rFonts w:ascii="Times New Roman" w:hAnsi="Times New Roman" w:cs="Times New Roman"/>
          <w:sz w:val="24"/>
          <w:szCs w:val="24"/>
        </w:rPr>
        <w:fldChar w:fldCharType="begin"/>
      </w:r>
      <w:r w:rsidR="006F38FE" w:rsidRPr="00796736">
        <w:rPr>
          <w:rFonts w:ascii="Times New Roman" w:hAnsi="Times New Roman" w:cs="Times New Roman"/>
          <w:sz w:val="24"/>
          <w:szCs w:val="24"/>
        </w:rPr>
        <w:instrText xml:space="preserve"> REF _Ref232596008 \r \h </w:instrText>
      </w:r>
      <w:r w:rsidR="00967618" w:rsidRPr="00796736">
        <w:rPr>
          <w:rFonts w:ascii="Times New Roman" w:hAnsi="Times New Roman" w:cs="Times New Roman"/>
          <w:sz w:val="24"/>
          <w:szCs w:val="24"/>
        </w:rPr>
        <w:instrText xml:space="preserve"> \* MERGEFORMAT </w:instrText>
      </w:r>
      <w:r w:rsidR="006F38FE" w:rsidRPr="00796736">
        <w:rPr>
          <w:rFonts w:ascii="Times New Roman" w:hAnsi="Times New Roman" w:cs="Times New Roman"/>
          <w:sz w:val="24"/>
          <w:szCs w:val="24"/>
        </w:rPr>
      </w:r>
      <w:r w:rsidR="006F38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23</w:t>
      </w:r>
      <w:r w:rsidR="006F38FE" w:rsidRPr="00796736">
        <w:rPr>
          <w:rFonts w:ascii="Times New Roman" w:hAnsi="Times New Roman" w:cs="Times New Roman"/>
          <w:sz w:val="24"/>
          <w:szCs w:val="24"/>
        </w:rPr>
        <w:fldChar w:fldCharType="end"/>
      </w:r>
      <w:r w:rsidR="006F38FE" w:rsidRPr="00796736">
        <w:rPr>
          <w:rFonts w:ascii="Times New Roman" w:hAnsi="Times New Roman" w:cs="Times New Roman"/>
          <w:sz w:val="24"/>
          <w:szCs w:val="24"/>
        </w:rPr>
        <w:t xml:space="preserve"> </w:t>
      </w:r>
      <w:r w:rsidR="002128F7" w:rsidRPr="00D253F0">
        <w:rPr>
          <w:rFonts w:ascii="Times New Roman" w:hAnsi="Times New Roman" w:cs="Times New Roman"/>
          <w:sz w:val="24"/>
          <w:szCs w:val="24"/>
        </w:rPr>
        <w:t xml:space="preserve">at indsætte en bestemmelse om, at Hvidvasksekretariatet </w:t>
      </w:r>
      <w:r w:rsidR="002128F7">
        <w:rPr>
          <w:rFonts w:ascii="Times New Roman" w:hAnsi="Times New Roman" w:cs="Times New Roman"/>
          <w:sz w:val="24"/>
          <w:szCs w:val="24"/>
        </w:rPr>
        <w:t>i relevant omfang, dog minimum én gang årligt,</w:t>
      </w:r>
      <w:r w:rsidR="002128F7" w:rsidRPr="00D253F0">
        <w:rPr>
          <w:rFonts w:ascii="Times New Roman" w:hAnsi="Times New Roman" w:cs="Times New Roman"/>
          <w:sz w:val="24"/>
          <w:szCs w:val="24"/>
        </w:rPr>
        <w:t xml:space="preserve"> skal give forpligtede enheder feedback om </w:t>
      </w:r>
      <w:r w:rsidR="002128F7">
        <w:rPr>
          <w:rFonts w:ascii="Times New Roman" w:hAnsi="Times New Roman" w:cs="Times New Roman"/>
          <w:sz w:val="24"/>
          <w:szCs w:val="24"/>
        </w:rPr>
        <w:t>underretning</w:t>
      </w:r>
      <w:r w:rsidR="002128F7" w:rsidRPr="00D253F0">
        <w:rPr>
          <w:rFonts w:ascii="Times New Roman" w:hAnsi="Times New Roman" w:cs="Times New Roman"/>
          <w:sz w:val="24"/>
          <w:szCs w:val="24"/>
        </w:rPr>
        <w:t xml:space="preserve"> af mistanke i henhold til artikel 69 </w:t>
      </w:r>
      <w:r w:rsidR="002128F7">
        <w:rPr>
          <w:rFonts w:ascii="Times New Roman" w:hAnsi="Times New Roman" w:cs="Times New Roman"/>
          <w:sz w:val="24"/>
          <w:szCs w:val="24"/>
        </w:rPr>
        <w:t xml:space="preserve">i </w:t>
      </w:r>
      <w:r w:rsidR="002128F7" w:rsidRPr="00D253F0">
        <w:rPr>
          <w:rFonts w:ascii="Times New Roman" w:hAnsi="Times New Roman" w:cs="Times New Roman"/>
          <w:sz w:val="24"/>
          <w:szCs w:val="24"/>
        </w:rPr>
        <w:t>hvidvaskforordningen,</w:t>
      </w:r>
      <w:r w:rsidR="002128F7">
        <w:rPr>
          <w:rFonts w:ascii="Times New Roman" w:hAnsi="Times New Roman" w:cs="Times New Roman"/>
          <w:sz w:val="24"/>
          <w:szCs w:val="24"/>
        </w:rPr>
        <w:t xml:space="preserve"> jf. dog stk. 5,</w:t>
      </w:r>
      <w:r w:rsidR="002128F7" w:rsidRPr="00D253F0">
        <w:rPr>
          <w:rFonts w:ascii="Times New Roman" w:hAnsi="Times New Roman" w:cs="Times New Roman"/>
          <w:sz w:val="24"/>
          <w:szCs w:val="24"/>
        </w:rPr>
        <w:t xml:space="preserve"> samt </w:t>
      </w:r>
      <w:r w:rsidR="002128F7">
        <w:rPr>
          <w:rFonts w:ascii="Times New Roman" w:hAnsi="Times New Roman" w:cs="Times New Roman"/>
          <w:sz w:val="24"/>
          <w:szCs w:val="24"/>
        </w:rPr>
        <w:t>om,</w:t>
      </w:r>
      <w:r w:rsidR="002128F7" w:rsidRPr="00D253F0">
        <w:rPr>
          <w:rFonts w:ascii="Times New Roman" w:hAnsi="Times New Roman" w:cs="Times New Roman"/>
          <w:sz w:val="24"/>
          <w:szCs w:val="24"/>
        </w:rPr>
        <w:t xml:space="preserve"> hvem feedbacken gives til og indholdet af feedbacken. Endvidere foreslås det, at Hvidvasksekretariatet skal stille feedback til rådighed for tilsynsorganer</w:t>
      </w:r>
      <w:r w:rsidR="002128F7">
        <w:rPr>
          <w:rFonts w:ascii="Times New Roman" w:hAnsi="Times New Roman" w:cs="Times New Roman"/>
          <w:sz w:val="24"/>
          <w:szCs w:val="24"/>
        </w:rPr>
        <w:t xml:space="preserve">ne, årligt give </w:t>
      </w:r>
      <w:r w:rsidR="002128F7" w:rsidRPr="00D253F0">
        <w:rPr>
          <w:rFonts w:ascii="Times New Roman" w:hAnsi="Times New Roman" w:cs="Times New Roman"/>
          <w:sz w:val="24"/>
          <w:szCs w:val="24"/>
        </w:rPr>
        <w:t>told</w:t>
      </w:r>
      <w:r w:rsidR="002128F7">
        <w:rPr>
          <w:rFonts w:ascii="Times New Roman" w:hAnsi="Times New Roman" w:cs="Times New Roman"/>
          <w:sz w:val="24"/>
          <w:szCs w:val="24"/>
        </w:rPr>
        <w:t>- og skatteforvaltningen feedback</w:t>
      </w:r>
      <w:r w:rsidR="002128F7" w:rsidRPr="00D253F0">
        <w:rPr>
          <w:rFonts w:ascii="Times New Roman" w:hAnsi="Times New Roman" w:cs="Times New Roman"/>
          <w:sz w:val="24"/>
          <w:szCs w:val="24"/>
        </w:rPr>
        <w:t xml:space="preserve"> samt årligt rapportere til AMLA om den feedback, sekretariatet har givet til de forpligtede enheder</w:t>
      </w:r>
      <w:r w:rsidR="002128F7">
        <w:rPr>
          <w:rFonts w:ascii="Times New Roman" w:hAnsi="Times New Roman" w:cs="Times New Roman"/>
          <w:sz w:val="24"/>
          <w:szCs w:val="24"/>
        </w:rPr>
        <w:t>,</w:t>
      </w:r>
      <w:r w:rsidR="002128F7" w:rsidRPr="00D253F0">
        <w:rPr>
          <w:rFonts w:ascii="Times New Roman" w:hAnsi="Times New Roman" w:cs="Times New Roman"/>
          <w:sz w:val="24"/>
          <w:szCs w:val="24"/>
        </w:rPr>
        <w:t xml:space="preserve"> og årligt forelægge statistikker. Det foreslås endvidere, at forpligtelsen til at give feedback ikke må bringe det igangværende analytiske arbejde, der udføres af Hvidvasksekretariatet, eller eventuelle efterforskninger eller administrative foranstaltninger, der er foretaget efter Hvidvasksekretariatets formidling, i fare og at sekretariatet skal sikre, at feedbacken gives i overensstemmelse med databeskyttelsesreglerne og regler om fortrolighed, herunder såvel forvaltningslovens almindelige regler som særlige regler om tavshedspligt.. Det foreslås endvidere, at forpligtede enheder, der modtager feedback, ikke må videregive de modtagne meddelelser til uvedkommende. Endelig foreslås det, at </w:t>
      </w:r>
      <w:r w:rsidR="007612C4">
        <w:rPr>
          <w:rFonts w:ascii="Times New Roman" w:hAnsi="Times New Roman" w:cs="Times New Roman"/>
          <w:sz w:val="24"/>
          <w:szCs w:val="24"/>
        </w:rPr>
        <w:t>Justits</w:t>
      </w:r>
      <w:r w:rsidR="002128F7" w:rsidRPr="00D253F0">
        <w:rPr>
          <w:rFonts w:ascii="Times New Roman" w:hAnsi="Times New Roman" w:cs="Times New Roman"/>
          <w:sz w:val="24"/>
          <w:szCs w:val="24"/>
        </w:rPr>
        <w:t xml:space="preserve">ministeren fastsætter regler, som er nødvendige af hensyn til at gennemføre, anvende eller håndhæve retsakter vedtaget af EU’s institutioner. </w:t>
      </w:r>
    </w:p>
    <w:p w14:paraId="271D70C0" w14:textId="405D46BF"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bl.a. indebære, en forpligtelse for Hvidvasksekretariatet til at give feedback årligt til forpligtede enheder og toldmyndigheder samt en ændring i de oplysninger, som feedbacken skal omfatte. Feedbacken vil ikke længere skulle omfatte en opfølgning på indberetningen og – som efter § 29, stk. 5, i hvidvaskloven – meddelelse om status i sagen, herunder om der er rejst sigtelse, om der foreligger endelig afgørelse, eller om sagen er henlagt. Hvidvasksekretariatet vil som noget nyt årligt skulle afrapportere til AMLA bl.a. om den feedback, der er givet. Som det i dag følger af hvidvasklovens § 29, stk. 5, vil feedback fortsat kun skulle gives, hvor efterforskningsmæssige hensyn m.v. ikke taler herimod. Som noget nyt vil det fremgå, at det er muligt at undlade at give feedback, hvor det vil bringe Hvidvasksekretariatets igangværende analytiske arbejde eller administrative foranstaltninger, der er foretaget efter sekretariatets formidling i fare, ligesom det præciseres, at Hvidvasksekretariatet vil skulle sikre, at feedbacken gives i overensstemmelse med databeskyttelsesreglerne og regler om fortrolighed, herunder de grundlæggende principper for behandling af personoplysninger, bl.a. princippet om dataminimering i retshåndhævelseslovens § 4, stk. 3, og princippet om fortrolighed og integritet i retshåndhævelseslovens § 4, stk. 7.  For så vidt angår Hvidvasksekretariatets behandling af personoplysninger henvises </w:t>
      </w:r>
      <w:r w:rsidR="00836639">
        <w:rPr>
          <w:rFonts w:ascii="Times New Roman" w:hAnsi="Times New Roman" w:cs="Times New Roman"/>
          <w:sz w:val="24"/>
          <w:szCs w:val="24"/>
        </w:rPr>
        <w:t xml:space="preserve">til </w:t>
      </w:r>
      <w:r w:rsidRPr="00796736">
        <w:rPr>
          <w:rFonts w:ascii="Times New Roman" w:hAnsi="Times New Roman" w:cs="Times New Roman"/>
          <w:sz w:val="24"/>
          <w:szCs w:val="24"/>
        </w:rPr>
        <w:t xml:space="preserve">pkt. 3 om forholdet til databeskyttelseslovgivningen.  </w:t>
      </w:r>
    </w:p>
    <w:p w14:paraId="2F7B4F4A" w14:textId="5E139C11"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 endvidere, at forpligtede enheder, der modtager feedback, ikke må videregive de modtagne meddelelser til uvedkommende.</w:t>
      </w:r>
      <w:r w:rsidRPr="00796736" w:rsidDel="00C1258F">
        <w:rPr>
          <w:rFonts w:ascii="Times New Roman" w:hAnsi="Times New Roman" w:cs="Times New Roman"/>
          <w:sz w:val="24"/>
          <w:szCs w:val="24"/>
        </w:rPr>
        <w:t xml:space="preserve"> </w:t>
      </w:r>
      <w:r w:rsidRPr="00796736">
        <w:rPr>
          <w:rFonts w:ascii="Times New Roman" w:hAnsi="Times New Roman" w:cs="Times New Roman"/>
          <w:sz w:val="24"/>
          <w:szCs w:val="24"/>
        </w:rPr>
        <w:t xml:space="preserve">Bestemmelsen viderefører hvidvasklovens § 29, stk. 6, dog således, at bestemmelsen kun omfatter forpligtede enheder. Det bemærkes, at personer, der virker inden for den offentlige forvaltning, i henhold til </w:t>
      </w:r>
      <w:r w:rsidR="0089045B" w:rsidRPr="00796736">
        <w:rPr>
          <w:rFonts w:ascii="Times New Roman" w:hAnsi="Times New Roman" w:cs="Times New Roman"/>
          <w:sz w:val="24"/>
          <w:szCs w:val="24"/>
        </w:rPr>
        <w:fldChar w:fldCharType="begin"/>
      </w:r>
      <w:r w:rsidR="0089045B" w:rsidRPr="00796736">
        <w:rPr>
          <w:rFonts w:ascii="Times New Roman" w:hAnsi="Times New Roman" w:cs="Times New Roman"/>
          <w:sz w:val="24"/>
          <w:szCs w:val="24"/>
        </w:rPr>
        <w:instrText xml:space="preserve"> REF _Ref232596476 \r \h </w:instrText>
      </w:r>
      <w:r w:rsidR="00EA770E" w:rsidRPr="00796736">
        <w:rPr>
          <w:rFonts w:ascii="Times New Roman" w:hAnsi="Times New Roman" w:cs="Times New Roman"/>
          <w:sz w:val="24"/>
          <w:szCs w:val="24"/>
        </w:rPr>
        <w:instrText xml:space="preserve"> \* MERGEFORMAT </w:instrText>
      </w:r>
      <w:r w:rsidR="0089045B" w:rsidRPr="00796736">
        <w:rPr>
          <w:rFonts w:ascii="Times New Roman" w:hAnsi="Times New Roman" w:cs="Times New Roman"/>
          <w:sz w:val="24"/>
          <w:szCs w:val="24"/>
        </w:rPr>
      </w:r>
      <w:r w:rsidR="0089045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38</w:t>
      </w:r>
      <w:r w:rsidR="0089045B" w:rsidRPr="00796736">
        <w:rPr>
          <w:rFonts w:ascii="Times New Roman" w:hAnsi="Times New Roman" w:cs="Times New Roman"/>
          <w:sz w:val="24"/>
          <w:szCs w:val="24"/>
        </w:rPr>
        <w:fldChar w:fldCharType="end"/>
      </w:r>
      <w:r w:rsidR="0089045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vil være forpligtet til at hemmeligholde oplysninger, der hidrører fra en underretning. </w:t>
      </w:r>
    </w:p>
    <w:p w14:paraId="289DA60C" w14:textId="0E424EAC"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bestemmelsen, jf. Folketingstidende 2016-17, tillæg A, L 41 som fremsat, side 132, fremgår bl.a., at bestemmelsen skal fortolkes i overensstemmelse med straffelovens § 264 d om uberettiget videregivelse af blandt andet meddelelser om en andens private forhold. Det forudsættes, at forpligtede enheder overholder hvidvaskforordningens artikel 76 om behandling af personoplysninger, herunder ved behandling af personoplysninger i forbindelse med modtagelse af feedback efter denne bestemmelse. </w:t>
      </w:r>
      <w:r w:rsidR="002C5834" w:rsidRPr="00796736">
        <w:rPr>
          <w:rFonts w:ascii="Times New Roman" w:hAnsi="Times New Roman" w:cs="Times New Roman"/>
          <w:sz w:val="24"/>
          <w:szCs w:val="24"/>
        </w:rPr>
        <w:t xml:space="preserve">Der henvises i øvrigt til pkt. 3. om forholdet til databeskyttelseslovgivningen. </w:t>
      </w:r>
    </w:p>
    <w:p w14:paraId="42F7DDDF" w14:textId="5A33D571"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overtrædelse af </w:t>
      </w:r>
      <w:r w:rsidR="006F38FE" w:rsidRPr="00796736">
        <w:rPr>
          <w:rFonts w:ascii="Times New Roman" w:hAnsi="Times New Roman" w:cs="Times New Roman"/>
          <w:sz w:val="24"/>
          <w:szCs w:val="24"/>
        </w:rPr>
        <w:fldChar w:fldCharType="begin"/>
      </w:r>
      <w:r w:rsidR="006F38FE" w:rsidRPr="00796736">
        <w:rPr>
          <w:rFonts w:ascii="Times New Roman" w:hAnsi="Times New Roman" w:cs="Times New Roman"/>
          <w:sz w:val="24"/>
          <w:szCs w:val="24"/>
        </w:rPr>
        <w:instrText xml:space="preserve"> REF _Ref232596008 \r \h </w:instrText>
      </w:r>
      <w:r w:rsidR="00967618" w:rsidRPr="00796736">
        <w:rPr>
          <w:rFonts w:ascii="Times New Roman" w:hAnsi="Times New Roman" w:cs="Times New Roman"/>
          <w:sz w:val="24"/>
          <w:szCs w:val="24"/>
        </w:rPr>
        <w:instrText xml:space="preserve"> \* MERGEFORMAT </w:instrText>
      </w:r>
      <w:r w:rsidR="006F38FE" w:rsidRPr="00796736">
        <w:rPr>
          <w:rFonts w:ascii="Times New Roman" w:hAnsi="Times New Roman" w:cs="Times New Roman"/>
          <w:sz w:val="24"/>
          <w:szCs w:val="24"/>
        </w:rPr>
      </w:r>
      <w:r w:rsidR="006F38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23</w:t>
      </w:r>
      <w:r w:rsidR="006F38FE"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6, er strafbelagt, jf.</w:t>
      </w:r>
      <w:r w:rsidR="002C5834" w:rsidRPr="00796736">
        <w:rPr>
          <w:rFonts w:ascii="Times New Roman" w:hAnsi="Times New Roman" w:cs="Times New Roman"/>
          <w:sz w:val="24"/>
          <w:szCs w:val="24"/>
        </w:rPr>
        <w:t xml:space="preserve"> </w:t>
      </w:r>
      <w:r w:rsidR="009474D5">
        <w:rPr>
          <w:rFonts w:ascii="Times New Roman" w:hAnsi="Times New Roman" w:cs="Times New Roman"/>
          <w:sz w:val="24"/>
          <w:szCs w:val="24"/>
        </w:rPr>
        <w:fldChar w:fldCharType="begin"/>
      </w:r>
      <w:r w:rsidR="009474D5">
        <w:rPr>
          <w:rFonts w:ascii="Times New Roman" w:hAnsi="Times New Roman" w:cs="Times New Roman"/>
          <w:sz w:val="24"/>
          <w:szCs w:val="24"/>
        </w:rPr>
        <w:instrText xml:space="preserve"> REF _Ref242963797 \r \h </w:instrText>
      </w:r>
      <w:r w:rsidR="009474D5">
        <w:rPr>
          <w:rFonts w:ascii="Times New Roman" w:hAnsi="Times New Roman" w:cs="Times New Roman"/>
          <w:sz w:val="24"/>
          <w:szCs w:val="24"/>
        </w:rPr>
      </w:r>
      <w:r w:rsidR="009474D5">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9474D5">
        <w:rPr>
          <w:rFonts w:ascii="Times New Roman" w:hAnsi="Times New Roman" w:cs="Times New Roman"/>
          <w:sz w:val="24"/>
          <w:szCs w:val="24"/>
        </w:rPr>
        <w:fldChar w:fldCharType="end"/>
      </w:r>
      <w:r w:rsidR="003005BF">
        <w:rPr>
          <w:rFonts w:ascii="Times New Roman" w:hAnsi="Times New Roman" w:cs="Times New Roman"/>
          <w:sz w:val="24"/>
          <w:szCs w:val="24"/>
        </w:rPr>
        <w:t>, stk.1</w:t>
      </w:r>
      <w:r w:rsidR="002C5834"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Ansvarssubjekterne for overtrædelse af bestemmelsen er virksomheder og personer omfattet </w:t>
      </w:r>
      <w:r w:rsidR="002C5834" w:rsidRPr="00796736">
        <w:rPr>
          <w:rFonts w:ascii="Times New Roman" w:hAnsi="Times New Roman" w:cs="Times New Roman"/>
          <w:sz w:val="24"/>
          <w:szCs w:val="24"/>
        </w:rPr>
        <w:t xml:space="preserve">af </w:t>
      </w:r>
      <w:r w:rsidR="003005BF">
        <w:rPr>
          <w:rFonts w:ascii="Times New Roman" w:hAnsi="Times New Roman" w:cs="Times New Roman"/>
          <w:sz w:val="24"/>
          <w:szCs w:val="24"/>
        </w:rPr>
        <w:t>loven</w:t>
      </w:r>
      <w:r w:rsidRPr="00796736">
        <w:rPr>
          <w:rFonts w:ascii="Times New Roman" w:hAnsi="Times New Roman" w:cs="Times New Roman"/>
          <w:sz w:val="24"/>
          <w:szCs w:val="24"/>
        </w:rPr>
        <w:t>, og den strafbare handling består i uberettiget videregivelse af oplysninger modtaget fra Hvidvasksekretariatet. Der henvises i øvrigt til bemærkningerne til den gældende bestemmelse i hvidvasklovens § 29, stk. 6, jf. Folketingstidende 2016-17, tillæg A, L 41 som fremsat, side 132 f.</w:t>
      </w:r>
    </w:p>
    <w:p w14:paraId="3A0780BD" w14:textId="77777777" w:rsidR="00240DBE" w:rsidRPr="00796736" w:rsidRDefault="00240DBE" w:rsidP="00A802A5">
      <w:pPr>
        <w:spacing w:line="360" w:lineRule="auto"/>
        <w:rPr>
          <w:rFonts w:ascii="Times New Roman" w:hAnsi="Times New Roman" w:cs="Times New Roman"/>
          <w:sz w:val="24"/>
          <w:szCs w:val="24"/>
        </w:rPr>
      </w:pPr>
    </w:p>
    <w:p w14:paraId="00F9002E"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Et eksempel på overtrædelse af bestemmelsen er en person, der på baggrund af oplysninger modtaget fra Hvidvasksekretariatet fortæller en kunde, at denne er genstand for Hvidvasksekretariatets analysevirksomhed.</w:t>
      </w:r>
    </w:p>
    <w:p w14:paraId="2F007C2C" w14:textId="77777777" w:rsidR="00240DBE" w:rsidRPr="00796736" w:rsidRDefault="00240DBE" w:rsidP="00A802A5">
      <w:pPr>
        <w:spacing w:line="360" w:lineRule="auto"/>
        <w:rPr>
          <w:rFonts w:ascii="Times New Roman" w:hAnsi="Times New Roman" w:cs="Times New Roman"/>
          <w:sz w:val="24"/>
          <w:szCs w:val="24"/>
        </w:rPr>
      </w:pPr>
    </w:p>
    <w:p w14:paraId="1ADE9A1A" w14:textId="0B9C958E"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3005BF">
        <w:rPr>
          <w:rFonts w:ascii="Times New Roman" w:hAnsi="Times New Roman" w:cs="Times New Roman"/>
          <w:sz w:val="24"/>
          <w:szCs w:val="24"/>
        </w:rPr>
        <w:fldChar w:fldCharType="begin"/>
      </w:r>
      <w:r w:rsidR="003005BF">
        <w:rPr>
          <w:rFonts w:ascii="Times New Roman" w:hAnsi="Times New Roman" w:cs="Times New Roman"/>
          <w:sz w:val="24"/>
          <w:szCs w:val="24"/>
        </w:rPr>
        <w:instrText xml:space="preserve"> REF _Ref242963797 \r \h </w:instrText>
      </w:r>
      <w:r w:rsidR="003005BF">
        <w:rPr>
          <w:rFonts w:ascii="Times New Roman" w:hAnsi="Times New Roman" w:cs="Times New Roman"/>
          <w:sz w:val="24"/>
          <w:szCs w:val="24"/>
        </w:rPr>
      </w:r>
      <w:r w:rsidR="003005BF">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3005BF">
        <w:rPr>
          <w:rFonts w:ascii="Times New Roman" w:hAnsi="Times New Roman" w:cs="Times New Roman"/>
          <w:sz w:val="24"/>
          <w:szCs w:val="24"/>
        </w:rPr>
        <w:fldChar w:fldCharType="end"/>
      </w:r>
      <w:r w:rsidR="003005BF">
        <w:rPr>
          <w:rFonts w:ascii="Times New Roman" w:hAnsi="Times New Roman" w:cs="Times New Roman"/>
          <w:sz w:val="24"/>
          <w:szCs w:val="24"/>
        </w:rPr>
        <w:t xml:space="preserve">, stk. 4 </w:t>
      </w:r>
      <w:r w:rsidRPr="00796736">
        <w:rPr>
          <w:rFonts w:ascii="Times New Roman" w:hAnsi="Times New Roman" w:cs="Times New Roman"/>
          <w:sz w:val="24"/>
          <w:szCs w:val="24"/>
        </w:rPr>
        <w:t xml:space="preserve">fastlægger, at forsætlig eller grov uagtsom overtrædelse af </w:t>
      </w:r>
      <w:r w:rsidR="003005BF">
        <w:rPr>
          <w:rFonts w:ascii="Times New Roman" w:hAnsi="Times New Roman" w:cs="Times New Roman"/>
          <w:sz w:val="24"/>
          <w:szCs w:val="24"/>
        </w:rPr>
        <w:fldChar w:fldCharType="begin"/>
      </w:r>
      <w:r w:rsidR="003005BF">
        <w:rPr>
          <w:rFonts w:ascii="Times New Roman" w:hAnsi="Times New Roman" w:cs="Times New Roman"/>
          <w:sz w:val="24"/>
          <w:szCs w:val="24"/>
        </w:rPr>
        <w:instrText xml:space="preserve"> REF _Ref232596008 \r \h </w:instrText>
      </w:r>
      <w:r w:rsidR="003005BF">
        <w:rPr>
          <w:rFonts w:ascii="Times New Roman" w:hAnsi="Times New Roman" w:cs="Times New Roman"/>
          <w:sz w:val="24"/>
          <w:szCs w:val="24"/>
        </w:rPr>
      </w:r>
      <w:r w:rsidR="003005BF">
        <w:rPr>
          <w:rFonts w:ascii="Times New Roman" w:hAnsi="Times New Roman" w:cs="Times New Roman"/>
          <w:sz w:val="24"/>
          <w:szCs w:val="24"/>
        </w:rPr>
        <w:fldChar w:fldCharType="separate"/>
      </w:r>
      <w:r w:rsidR="008F29E5">
        <w:rPr>
          <w:rFonts w:ascii="Times New Roman" w:hAnsi="Times New Roman" w:cs="Times New Roman"/>
          <w:sz w:val="24"/>
          <w:szCs w:val="24"/>
        </w:rPr>
        <w:t>§ 23</w:t>
      </w:r>
      <w:r w:rsidR="003005BF">
        <w:rPr>
          <w:rFonts w:ascii="Times New Roman" w:hAnsi="Times New Roman" w:cs="Times New Roman"/>
          <w:sz w:val="24"/>
          <w:szCs w:val="24"/>
        </w:rPr>
        <w:fldChar w:fldCharType="end"/>
      </w:r>
      <w:r w:rsidRPr="00796736">
        <w:rPr>
          <w:rFonts w:ascii="Times New Roman" w:hAnsi="Times New Roman" w:cs="Times New Roman"/>
          <w:sz w:val="24"/>
          <w:szCs w:val="24"/>
        </w:rPr>
        <w:t>, stk. 2, kan straffes med bøde, medmindre højere straf er forskyldt efter anden lovgivning. Det er en forudsætning for anvendelsen af bestemmelsen, at den pågældende ikke kan straffes for handlingen eller undladelsen efter andre alvorligere bestemmelser i straffeloven, f.eks. § 290 i straffeloven om hæleri eller § 114 b, nr. 3, i straffeloven om bistand ved finansiering af terrorisme. Bestemmelsen vil således udgøre et supplement til blandt andet disse bestemmelser.</w:t>
      </w:r>
    </w:p>
    <w:p w14:paraId="01BEDF52" w14:textId="77777777" w:rsidR="00240DBE" w:rsidRPr="00796736" w:rsidRDefault="00240DBE" w:rsidP="00A802A5">
      <w:pPr>
        <w:spacing w:line="360" w:lineRule="auto"/>
        <w:rPr>
          <w:rFonts w:ascii="Times New Roman" w:hAnsi="Times New Roman" w:cs="Times New Roman"/>
          <w:sz w:val="24"/>
          <w:szCs w:val="24"/>
        </w:rPr>
      </w:pPr>
    </w:p>
    <w:p w14:paraId="0C2B3E75" w14:textId="64C6818B" w:rsidR="005A296B" w:rsidRPr="00796736" w:rsidRDefault="00240DBE"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6F38FE" w:rsidRPr="00796736">
        <w:rPr>
          <w:rFonts w:ascii="Times New Roman" w:eastAsia="Times New Roman" w:hAnsi="Times New Roman" w:cs="Times New Roman"/>
          <w:sz w:val="24"/>
          <w:szCs w:val="24"/>
          <w:lang w:eastAsia="da-DK"/>
        </w:rPr>
        <w:fldChar w:fldCharType="begin"/>
      </w:r>
      <w:r w:rsidR="006F38FE" w:rsidRPr="00796736">
        <w:rPr>
          <w:rFonts w:ascii="Times New Roman" w:eastAsia="Times New Roman" w:hAnsi="Times New Roman" w:cs="Times New Roman"/>
          <w:sz w:val="24"/>
          <w:szCs w:val="24"/>
          <w:lang w:eastAsia="da-DK"/>
        </w:rPr>
        <w:instrText xml:space="preserve"> REF _Ref232596008 \r \h </w:instrText>
      </w:r>
      <w:r w:rsidR="00967618" w:rsidRPr="00796736">
        <w:rPr>
          <w:rFonts w:ascii="Times New Roman" w:eastAsia="Times New Roman" w:hAnsi="Times New Roman" w:cs="Times New Roman"/>
          <w:sz w:val="24"/>
          <w:szCs w:val="24"/>
          <w:lang w:eastAsia="da-DK"/>
        </w:rPr>
        <w:instrText xml:space="preserve"> \* MERGEFORMAT </w:instrText>
      </w:r>
      <w:r w:rsidR="006F38FE" w:rsidRPr="00796736">
        <w:rPr>
          <w:rFonts w:ascii="Times New Roman" w:eastAsia="Times New Roman" w:hAnsi="Times New Roman" w:cs="Times New Roman"/>
          <w:sz w:val="24"/>
          <w:szCs w:val="24"/>
          <w:lang w:eastAsia="da-DK"/>
        </w:rPr>
      </w:r>
      <w:r w:rsidR="006F38FE"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23</w:t>
      </w:r>
      <w:r w:rsidR="006F38FE" w:rsidRPr="00796736">
        <w:rPr>
          <w:rFonts w:ascii="Times New Roman" w:eastAsia="Times New Roman" w:hAnsi="Times New Roman" w:cs="Times New Roman"/>
          <w:sz w:val="24"/>
          <w:szCs w:val="24"/>
          <w:lang w:eastAsia="da-DK"/>
        </w:rPr>
        <w:fldChar w:fldCharType="end"/>
      </w:r>
      <w:r w:rsidR="006F38FE"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 xml:space="preserve">og bemærkningerne hertil.  </w:t>
      </w:r>
    </w:p>
    <w:p w14:paraId="3140FEFC" w14:textId="77777777" w:rsidR="00DF677C" w:rsidRPr="00796736" w:rsidRDefault="00DF677C" w:rsidP="00A802A5">
      <w:pPr>
        <w:spacing w:after="240" w:line="360" w:lineRule="auto"/>
        <w:rPr>
          <w:rFonts w:ascii="Times New Roman" w:eastAsia="Times New Roman" w:hAnsi="Times New Roman" w:cs="Times New Roman"/>
          <w:sz w:val="24"/>
          <w:szCs w:val="24"/>
          <w:lang w:eastAsia="da-DK"/>
        </w:rPr>
      </w:pPr>
    </w:p>
    <w:p w14:paraId="65546745" w14:textId="48699DCF" w:rsidR="005A296B" w:rsidRPr="00796736" w:rsidRDefault="0079285D" w:rsidP="00A802A5">
      <w:pPr>
        <w:pStyle w:val="Overskrift2"/>
        <w:rPr>
          <w:rFonts w:ascii="Times New Roman" w:hAnsi="Times New Roman"/>
          <w:sz w:val="24"/>
        </w:rPr>
      </w:pPr>
      <w:bookmarkStart w:id="1049" w:name="_Toc232109087"/>
      <w:bookmarkStart w:id="1050" w:name="_Ref232944020"/>
      <w:bookmarkStart w:id="1051" w:name="_Toc244880740"/>
      <w:r w:rsidRPr="00796736">
        <w:rPr>
          <w:rFonts w:ascii="Times New Roman" w:hAnsi="Times New Roman"/>
          <w:sz w:val="24"/>
        </w:rPr>
        <w:t>Udveksling af oplysninger mellem FIU’er</w:t>
      </w:r>
      <w:bookmarkEnd w:id="1049"/>
      <w:bookmarkEnd w:id="1050"/>
      <w:bookmarkEnd w:id="1051"/>
    </w:p>
    <w:p w14:paraId="720AB0CF" w14:textId="7FE6CAD8" w:rsidR="005A296B" w:rsidRPr="00796736" w:rsidRDefault="005A296B" w:rsidP="00A802A5">
      <w:pPr>
        <w:pStyle w:val="Overskrift4"/>
        <w:rPr>
          <w:rFonts w:ascii="Times New Roman" w:hAnsi="Times New Roman" w:cs="Times New Roman"/>
          <w:sz w:val="24"/>
          <w:szCs w:val="24"/>
        </w:rPr>
      </w:pPr>
      <w:bookmarkStart w:id="1052" w:name="_Toc232109088"/>
      <w:bookmarkStart w:id="1053" w:name="_Ref232793102"/>
      <w:bookmarkStart w:id="1054" w:name="_Ref232943939"/>
      <w:r w:rsidRPr="00796736">
        <w:rPr>
          <w:rFonts w:ascii="Times New Roman" w:hAnsi="Times New Roman" w:cs="Times New Roman"/>
          <w:sz w:val="24"/>
          <w:szCs w:val="24"/>
        </w:rPr>
        <w:t>Gældende ret</w:t>
      </w:r>
      <w:bookmarkEnd w:id="1052"/>
      <w:bookmarkEnd w:id="1053"/>
      <w:bookmarkEnd w:id="1054"/>
    </w:p>
    <w:p w14:paraId="34E3995C"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29 a, stk. 1, kan Hvidvasksekretariatet i forbindelse med videregivelse af oplysninger til en anden EU-medlemsstats finansielle efterretningsenhed fastsætte begrænsninger og betingelser for anvendelsen af de pågældende oplysninger. </w:t>
      </w:r>
    </w:p>
    <w:p w14:paraId="5DC31DFE" w14:textId="77777777" w:rsidR="0092113C" w:rsidRPr="00796736" w:rsidRDefault="0092113C" w:rsidP="00A802A5">
      <w:pPr>
        <w:spacing w:line="360" w:lineRule="auto"/>
        <w:rPr>
          <w:rFonts w:ascii="Times New Roman" w:hAnsi="Times New Roman" w:cs="Times New Roman"/>
          <w:sz w:val="24"/>
          <w:szCs w:val="24"/>
        </w:rPr>
      </w:pPr>
    </w:p>
    <w:p w14:paraId="1A7F1DE4"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2, skal Hvidvasksekretariatet omgående besvare og i videst muligt omfang en anmodning fra en anden EU-medlemsstats finansielle efterretningsenhed om tilladelse til at videregive oplysninger til kompetente myndigheder, organer eller instanser, som den pågældende finansielle efterretningsenhed har modtaget fra Hvidvasksekretariatet, uanset typen af den tilknyttede underliggende forbrydelse. Hvidvasksekretariatet må i den forbindelse ikke nægte at imødekomme en sådan anmodning, medmindre formålet med videregivelsen falder uden for en sådan opgavevaretagelse, som er beskrevet i § 29, stk. 2, eller der er bestemte grunde til at antage, at videregivelsen vil kunne vanskeliggøre forebyggelse, afsløring eller efterforskning af strafbare handlinger eller fuldbyrdelse af strafferetlige sanktioner eller på anden måde ikke vil være i overensstemmelse med grundlæggende principper i dansk ret.</w:t>
      </w:r>
    </w:p>
    <w:p w14:paraId="19AA6189" w14:textId="77777777" w:rsidR="008D4A8C" w:rsidRPr="00796736" w:rsidRDefault="008D4A8C" w:rsidP="00A802A5">
      <w:pPr>
        <w:spacing w:line="360" w:lineRule="auto"/>
        <w:rPr>
          <w:rFonts w:ascii="Times New Roman" w:hAnsi="Times New Roman" w:cs="Times New Roman"/>
          <w:sz w:val="24"/>
          <w:szCs w:val="24"/>
        </w:rPr>
      </w:pPr>
    </w:p>
    <w:p w14:paraId="386C96F7"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bestemmelsens stk. 3 skal afslag på anmodninger efter stk. 2 begrundes behørigt. </w:t>
      </w:r>
    </w:p>
    <w:p w14:paraId="38E86589" w14:textId="77777777" w:rsidR="008D4A8C" w:rsidRPr="00796736" w:rsidRDefault="008D4A8C" w:rsidP="00A802A5">
      <w:pPr>
        <w:spacing w:line="360" w:lineRule="auto"/>
        <w:rPr>
          <w:rFonts w:ascii="Times New Roman" w:hAnsi="Times New Roman" w:cs="Times New Roman"/>
          <w:sz w:val="24"/>
          <w:szCs w:val="24"/>
        </w:rPr>
      </w:pPr>
    </w:p>
    <w:p w14:paraId="468C1083"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følger det af stk. 4, at Hvidvasksekretariatet skal overholde eventuelle fastsatte begrænsninger og betingelser for anvendelsen af oplysninger, som sekretariatet modtager fra en anden EU-medlemsstats finansielle efterretningsenhed. Hvidvasksekretariatet må således kun anvende sådanne oplysninger til de formål, hvortil oplysningerne er indhentet eller er blevet udleveret. Hvidvasksekretariatets videregivelse af sådanne oplysninger til kompetente myndigheder, organer eller instanser eller anvendelse af sådanne oplysninger til andre formål er betinget af, at den afgivende EU-medlemsstats finansielle efterretningsenhed på forhånd meddeler samtykke hertil.</w:t>
      </w:r>
    </w:p>
    <w:p w14:paraId="06623FF8" w14:textId="77777777" w:rsidR="008D4A8C" w:rsidRPr="00796736" w:rsidRDefault="008D4A8C" w:rsidP="00A802A5">
      <w:pPr>
        <w:spacing w:line="360" w:lineRule="auto"/>
        <w:rPr>
          <w:rFonts w:ascii="Times New Roman" w:hAnsi="Times New Roman" w:cs="Times New Roman"/>
          <w:sz w:val="24"/>
          <w:szCs w:val="24"/>
        </w:rPr>
      </w:pPr>
    </w:p>
    <w:p w14:paraId="26B97B93" w14:textId="77777777" w:rsidR="00112E42" w:rsidRPr="00796736" w:rsidRDefault="00112E4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Hvidvasksekretariatets samarbejde og udveksling af oplysninger med andre medlemsstaters FIU’er er bl.a. reguleret i FIU-cirkulærets §§ 5, 6 og 7. </w:t>
      </w:r>
    </w:p>
    <w:p w14:paraId="34C671E5" w14:textId="77777777" w:rsidR="00112E42" w:rsidRPr="00796736" w:rsidRDefault="00112E42" w:rsidP="00A802A5">
      <w:pPr>
        <w:spacing w:line="360" w:lineRule="auto"/>
        <w:rPr>
          <w:rFonts w:ascii="Times New Roman" w:hAnsi="Times New Roman" w:cs="Times New Roman"/>
          <w:sz w:val="24"/>
          <w:szCs w:val="24"/>
        </w:rPr>
      </w:pPr>
    </w:p>
    <w:p w14:paraId="3C0C4093" w14:textId="77777777" w:rsidR="00112E42" w:rsidRPr="00796736" w:rsidRDefault="00112E4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FIU-cirkulærets § 5, stk. 1, at Hvidvasksekretariatet i videst muligt omfang skal samarbejde med andre EU-medlemsstaters FIU’er. Det gælder uanset de pågældende EU-medlemsstaters FIU’ers organisatoriske status. Det følger videre af bestemmelsens stk. 2, at Hvidvasksekretariatet skal udveksle oplysninger og yde bistand til andre EU-medlemsstaters FIU’er i videst muligt omfang uanset eventuelle forskelle i nationale retlige definitioner af underliggende forbrydelser. </w:t>
      </w:r>
    </w:p>
    <w:p w14:paraId="3D160DD6" w14:textId="77777777" w:rsidR="00112E42" w:rsidRPr="00796736" w:rsidRDefault="00112E42" w:rsidP="00A802A5">
      <w:pPr>
        <w:spacing w:line="360" w:lineRule="auto"/>
        <w:rPr>
          <w:rFonts w:ascii="Times New Roman" w:hAnsi="Times New Roman" w:cs="Times New Roman"/>
          <w:sz w:val="24"/>
          <w:szCs w:val="24"/>
        </w:rPr>
      </w:pPr>
    </w:p>
    <w:p w14:paraId="121D9AB2" w14:textId="77777777" w:rsidR="00112E42" w:rsidRPr="00796736" w:rsidRDefault="00112E4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FIU-cirkulærets § 6, stk. 1, skal Hvidvasksekretariatet under iagttagelse af reglerne i databeskyttelseslovgivningen uopfordret eller efter anmodning videregive alle oplysninger til andre EU-medlemsstaters FIU᾽er til brug for en sådan opgavevaretagelse, som er beskrevet i hvidvasklovens § 29, stk. 2, uanset typen af tilknyttet underliggende forbrydelse. Dette gælder også, selvom det på tidspunktet for udvekslingen endnu ikke er identificeret, hvilken underliggende forbrydelse der eventuelt er tale om.</w:t>
      </w:r>
    </w:p>
    <w:p w14:paraId="14C44AE0" w14:textId="77777777" w:rsidR="00112E42" w:rsidRPr="00796736" w:rsidRDefault="00112E42" w:rsidP="00A802A5">
      <w:pPr>
        <w:spacing w:line="360" w:lineRule="auto"/>
        <w:rPr>
          <w:rFonts w:ascii="Times New Roman" w:hAnsi="Times New Roman" w:cs="Times New Roman"/>
          <w:sz w:val="24"/>
          <w:szCs w:val="24"/>
        </w:rPr>
      </w:pPr>
    </w:p>
    <w:p w14:paraId="49792D4B" w14:textId="77777777" w:rsidR="00112E42" w:rsidRPr="00796736" w:rsidRDefault="00112E4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af § 6, stk. 2, at når Hvidvasksekretariatet modtager underretninger, der vedrører andre EU-medlemsstater, videresender Hvidvasksekretariatet omgående underretningerne til FIU’erne i de pågældende EU-medlemsstater. Derudover fremgår det af stk. 3, at Hvidvasksekretariatet anvender alle eksisterende beføjelser, som den normalt ville gøre brug af på nationalt plan ved behandlingen af anmodninger om oplysninger fra andre EU-medlemsstaters FIU’er. Det følger endvidere af bestemmelsen, at anmodninger fra andre EU-medlemsstaters FIU’er besvares hurtigst muligt. </w:t>
      </w:r>
    </w:p>
    <w:p w14:paraId="48CB7FBF" w14:textId="77777777" w:rsidR="00112E42" w:rsidRPr="00796736" w:rsidRDefault="00112E42" w:rsidP="00A802A5">
      <w:pPr>
        <w:spacing w:line="360" w:lineRule="auto"/>
        <w:rPr>
          <w:rFonts w:ascii="Times New Roman" w:hAnsi="Times New Roman" w:cs="Times New Roman"/>
          <w:sz w:val="24"/>
          <w:szCs w:val="24"/>
        </w:rPr>
      </w:pPr>
    </w:p>
    <w:p w14:paraId="41F092A3" w14:textId="77777777" w:rsidR="00112E42" w:rsidRPr="00796736" w:rsidRDefault="00112E4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Herudover fremgår det af § 6, stk. 4, at når andre EU-medlemsstaters FIU’er anmoder om supplerende oplysninger hos virksomheder og personer omfattet af hvidvaskloven via Hvidvasksekretariatet, indhenter Hvidvasksekretariatet de pågældende oplysninger i medfør af hvidvasklovens § 29, stk. 4. Endvidere følger det af stk. 5, at Hvidvasksekretariatet kan nægte at videregive oplysninger til andre EU-medlemsstaters FIU’er til brug for en sådan opgavevaretagelse som beskrevet i stk. 1, hvis der er bestemte grunde til at antage, at videregivelsen vil være i uoverensstemmelse med grundlæggende principper i dansk ret. </w:t>
      </w:r>
    </w:p>
    <w:p w14:paraId="45363F4C" w14:textId="77777777" w:rsidR="00112E42" w:rsidRPr="00796736" w:rsidRDefault="00112E42" w:rsidP="00A802A5">
      <w:pPr>
        <w:spacing w:line="360" w:lineRule="auto"/>
        <w:rPr>
          <w:rFonts w:ascii="Times New Roman" w:hAnsi="Times New Roman" w:cs="Times New Roman"/>
          <w:sz w:val="24"/>
          <w:szCs w:val="24"/>
        </w:rPr>
      </w:pPr>
    </w:p>
    <w:p w14:paraId="4D271668" w14:textId="77777777" w:rsidR="00112E42" w:rsidRPr="00796736" w:rsidRDefault="00112E4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FIU-cirkulærets § 7, stk. 1, at Hvidvasksekretariatet indhenter oplysninger fra andre EU-medlemsstaters FIU’er til varetagelse af Hvidvasksekretariatets opgaver. Efter bestemmelsens stk. 2 skal Hvidvasksekretariatets anmodning om oplysninger fra andre EU-medlemsstaters FIU’er indeholde de relevante kendsgerninger, baggrundsoplysninger og en begrundelse for anmodningen samt en beskrivelse af, hvordan de ønskede oplysninger vil blive anvendt.</w:t>
      </w:r>
    </w:p>
    <w:p w14:paraId="6F937EC7" w14:textId="77777777" w:rsidR="00112E42" w:rsidRPr="00796736" w:rsidRDefault="00112E42" w:rsidP="00A802A5">
      <w:pPr>
        <w:spacing w:line="360" w:lineRule="auto"/>
        <w:rPr>
          <w:rFonts w:ascii="Times New Roman" w:hAnsi="Times New Roman" w:cs="Times New Roman"/>
          <w:sz w:val="24"/>
          <w:szCs w:val="24"/>
        </w:rPr>
      </w:pPr>
    </w:p>
    <w:p w14:paraId="6CD656E2" w14:textId="0E44B7E4" w:rsidR="0079285D" w:rsidRPr="00796736" w:rsidRDefault="00112E4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FIU-cirkulærets §§ 5-7 gennemfører 4. og 5. hvidvaskdirektivs artikel 52 og 53.</w:t>
      </w:r>
    </w:p>
    <w:p w14:paraId="5A5400C8" w14:textId="77777777" w:rsidR="0092113C" w:rsidRPr="00796736" w:rsidRDefault="0092113C" w:rsidP="00A802A5">
      <w:pPr>
        <w:spacing w:line="360" w:lineRule="auto"/>
        <w:rPr>
          <w:rFonts w:ascii="Times New Roman" w:hAnsi="Times New Roman" w:cs="Times New Roman"/>
          <w:sz w:val="24"/>
          <w:szCs w:val="24"/>
        </w:rPr>
      </w:pPr>
    </w:p>
    <w:p w14:paraId="5E04B5DC" w14:textId="77777777" w:rsidR="005424F4" w:rsidRPr="00796736" w:rsidRDefault="005424F4"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 xml:space="preserve">6. hvidvaskdirektiv </w:t>
      </w:r>
    </w:p>
    <w:p w14:paraId="75C1B0F4"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 indeholder i artikel 29 og 31 – ligesom 4. og 5. hvidvaskdirektiv i artikel 52 og 53 – bestemmelser om samarbejde og udveksling af oplysninger mellem FIU’er.</w:t>
      </w:r>
    </w:p>
    <w:p w14:paraId="22AE8065" w14:textId="77777777" w:rsidR="005424F4" w:rsidRPr="00796736" w:rsidRDefault="005424F4" w:rsidP="00A802A5">
      <w:pPr>
        <w:spacing w:line="360" w:lineRule="auto"/>
        <w:rPr>
          <w:rFonts w:ascii="Times New Roman" w:hAnsi="Times New Roman" w:cs="Times New Roman"/>
          <w:sz w:val="24"/>
          <w:szCs w:val="24"/>
        </w:rPr>
      </w:pPr>
    </w:p>
    <w:p w14:paraId="1B8070FE"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29 skal medlemsstaterne sikre, at deres FIU’er i videst muligt omfang samarbejder med hinanden, uanset deres organisatoriske status. Bestemmelsen svarer til 4. hvidvaskdirektivs artikel 52. </w:t>
      </w:r>
    </w:p>
    <w:p w14:paraId="297B92FF" w14:textId="77777777" w:rsidR="005424F4" w:rsidRPr="00796736" w:rsidRDefault="005424F4" w:rsidP="00A802A5">
      <w:pPr>
        <w:spacing w:line="360" w:lineRule="auto"/>
        <w:rPr>
          <w:rFonts w:ascii="Times New Roman" w:hAnsi="Times New Roman" w:cs="Times New Roman"/>
          <w:sz w:val="24"/>
          <w:szCs w:val="24"/>
        </w:rPr>
      </w:pPr>
    </w:p>
    <w:p w14:paraId="04C3087F"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31, stk. 1, 1. afsnit, skal medlemsstaterne sikre, at FIU’er spontant eller efter anmodning udveksler alle oplysninger, som måtte være relevante for FIU’ernes behandling eller analyse af oplysninger om hvidvask af penge, de underliggende lovovertrædelser eller finansiering af terrorisme og de fysiske eller juridiske personer, der er involveret, uanset hvilken type underliggende lovovertrædelse det måtte dreje sig om, og selv hvis det på tidspunktet for udvekslingen ikke er konstateret, hvilken type underliggende lovovertrædelse der eventuelt er tale om. Efter stk. 1, 2. afsnit, skal en anmodning indeholde de relevante kendsgerninger, baggrundsoplysninger, en begrundelse for anmodningen, forbindelser med det land, hvor den anmodede FIU er hjemmehørende, og en beskrivelse af, hvordan de ønskede oplysninger vil blive brugt. </w:t>
      </w:r>
    </w:p>
    <w:p w14:paraId="4929AB08" w14:textId="77777777" w:rsidR="005424F4" w:rsidRPr="00796736" w:rsidRDefault="005424F4" w:rsidP="00A802A5">
      <w:pPr>
        <w:spacing w:line="360" w:lineRule="auto"/>
        <w:rPr>
          <w:rFonts w:ascii="Times New Roman" w:hAnsi="Times New Roman" w:cs="Times New Roman"/>
          <w:sz w:val="24"/>
          <w:szCs w:val="24"/>
        </w:rPr>
      </w:pPr>
    </w:p>
    <w:p w14:paraId="5E9322E7"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stk. 1, 3. afsnit, at når en FIU modtager en indberetning i henhold til artikel 69, stk. 1, 1. afsnit, litra a, i hvidvaskforordningen, der vedrører en anden medlemsstat, fremsender den omgående indberetningen eller alle relevante oplysninger, der er indhentet herfra, til FIU’en i denne anden medlemsstat. </w:t>
      </w:r>
    </w:p>
    <w:p w14:paraId="4DAEDF52" w14:textId="77777777" w:rsidR="005424F4" w:rsidRPr="00796736" w:rsidRDefault="005424F4" w:rsidP="00A802A5">
      <w:pPr>
        <w:spacing w:line="360" w:lineRule="auto"/>
        <w:rPr>
          <w:rFonts w:ascii="Times New Roman" w:hAnsi="Times New Roman" w:cs="Times New Roman"/>
          <w:sz w:val="24"/>
          <w:szCs w:val="24"/>
        </w:rPr>
      </w:pPr>
    </w:p>
    <w:p w14:paraId="48BA19BD"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direktivets præambelbetragtning nr. 75 bl.a., at formålet med FIU’en er at indsamle og analysere oplysninger med henblik på at påvise forbindelser mellem mistænkelige transaktioner eller aktiviteter og underliggende kriminelle handlinger for at forebygge og bekæmpe hvidvask af penge og finansiering af terrorisme og at videreformidle analyseresultaterne sammen med supplerende oplysninger til de kompetente myndigheder, når der er begrundet mistanke om hvidvask af penge, de underliggende lovovertrædelser eller finansiering af terrorisme. En FIU bør ikke afholde sig fra eller nægte at udveksle oplysninger med en anden FIU, hverken spontant eller efter anmodning, på grundlag såsom manglende identifikation af en underliggende lovovertrædelse, særlige bestemmelser i national strafferet og forskelle i definitionerne af underliggende lovovertrædelser eller manglende henvisning til bestemte underliggende lovovertrædelser. FIU’er bør give en forklaring på ethvert afslag på at give samtykke. FIU’erne har rapporteret vanskeligheder i forbindelse med udvekslingen af oplysninger på grund af forskelle i de nationale definitioner af visse underliggende lovovertrædelser, såsom skatteforbrydelser, der ikke er harmoniseret i EU-retten. Sådanne forskelle bør ikke hindre den gensidige udveksling, formidlingen til andre kompetente myndigheder og anvendelsen af disse oplysninger.</w:t>
      </w:r>
    </w:p>
    <w:p w14:paraId="267A5668" w14:textId="77777777" w:rsidR="005424F4" w:rsidRPr="00796736" w:rsidRDefault="005424F4" w:rsidP="00A802A5">
      <w:pPr>
        <w:spacing w:line="360" w:lineRule="auto"/>
        <w:rPr>
          <w:rFonts w:ascii="Times New Roman" w:hAnsi="Times New Roman" w:cs="Times New Roman"/>
          <w:sz w:val="24"/>
          <w:szCs w:val="24"/>
        </w:rPr>
      </w:pPr>
    </w:p>
    <w:p w14:paraId="3E519917"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følger det af direktivets præambelbetragtning nr. 79 bl.a., at hvor indberetninger af mistænkelige transaktioner eller aktiviteter vedrører aktiviteter, der udføres af forpligtede enheder i andre medlemsstater, hvor de driver virksomhed uden etableringssted, er det vigtigt, at FIU’erne formidler disse rapporter til deres modpart i den medlemsstat, der er berørt af transaktionen eller aktiviteten, uden at knytte betingelser til anvendelsen af disse indberetninger. </w:t>
      </w:r>
    </w:p>
    <w:p w14:paraId="5B6AE1DE" w14:textId="77777777" w:rsidR="005424F4" w:rsidRPr="00796736" w:rsidRDefault="005424F4" w:rsidP="00A802A5">
      <w:pPr>
        <w:spacing w:line="360" w:lineRule="auto"/>
        <w:rPr>
          <w:rFonts w:ascii="Times New Roman" w:hAnsi="Times New Roman" w:cs="Times New Roman"/>
          <w:sz w:val="24"/>
          <w:szCs w:val="24"/>
        </w:rPr>
      </w:pPr>
    </w:p>
    <w:p w14:paraId="2E67EBAC"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31, stk. 1, viderefører med en række tilføjelser 4. og 5. hvidvaskdirektivs artikel 53, stk. 1. Det er således bl.a. tilføjet i stk. 1, 1. afsnit, at udvekslingen af oplysninger også skal angå de underliggende lovovertrædelser, ligesom det i stk. 1, 2. afsnit, er tilføjet, at anmodningen også skal indeholde oplysninger om forbindelser med det land, hvor den anmodede FIU er hjemmehørende.  Derudover er det i tilføjet i stk. 1, 3. afsnit, at FIU’en – i stedet for indberetningen – kan fremsende alle relevante oplysninger, der er indhentet fra indberetningen. </w:t>
      </w:r>
    </w:p>
    <w:p w14:paraId="63C90025" w14:textId="77777777" w:rsidR="005424F4" w:rsidRPr="00796736" w:rsidRDefault="005424F4" w:rsidP="00A802A5">
      <w:pPr>
        <w:spacing w:line="360" w:lineRule="auto"/>
        <w:rPr>
          <w:rFonts w:ascii="Times New Roman" w:hAnsi="Times New Roman" w:cs="Times New Roman"/>
          <w:sz w:val="24"/>
          <w:szCs w:val="24"/>
        </w:rPr>
      </w:pPr>
    </w:p>
    <w:p w14:paraId="31178367"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stk. 2, at AMLA senest den 10. juli 2026 udarbejder udkast til gennemførelsesmæssige tekniske standarder og forelægger dem for Kommissionen med henblik på vedtagelse. Disse udkast til gennemførelsesmæssige tekniske standarder skal præcisere det format, der skal anvendes til udveksling af de oplysninger, der er omhandlet i artikel 31, stk. 1. Kommissionen tillægges beføjelser til at vedtage de gennemførelsesmæssige tekniske standarder, der er omhandlet i stk. 2, 1. afsnit, i overensstemmelse med artikel 53 i AMLA-forordningen.  </w:t>
      </w:r>
    </w:p>
    <w:p w14:paraId="6E18D8D6" w14:textId="77777777" w:rsidR="005424F4" w:rsidRPr="00796736" w:rsidRDefault="005424F4" w:rsidP="00A802A5">
      <w:pPr>
        <w:spacing w:line="360" w:lineRule="auto"/>
        <w:rPr>
          <w:rFonts w:ascii="Times New Roman" w:hAnsi="Times New Roman" w:cs="Times New Roman"/>
          <w:sz w:val="24"/>
          <w:szCs w:val="24"/>
        </w:rPr>
      </w:pPr>
    </w:p>
    <w:p w14:paraId="4A438274"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3 udarbejder AMLA senest den 10. juli 2026 udkast til reguleringsmæssige tekniske standarder og forelægger dem for Kommissionen med henblik på vedtagelse. Disse udkast til reguleringsmæssige tekniske standarder skal angive relevansen og udvælgelseskriterierne ved afgørelsen af, om en indberetning indgivet i henhold til artikel 69, stk. 1, 1. afsnit, litra a, i hvidvaskforordningen vedrører en anden medlemsstat som omhandlet i artikel 31, stk. 1, tredje afsnit. Det fremgår endvidere, at Kommissionen tillægges beføjelser til at supplere hvidvaskdirektivet ved at vedtage de reguleringsmæssige tekniske standarder, der er omhandlet i bestemmelsens stk. 3, 1. afsnit, i overensstemmelse med artikel 49-52 i AMLA-forordningen. </w:t>
      </w:r>
    </w:p>
    <w:p w14:paraId="1AF06799" w14:textId="77777777" w:rsidR="005424F4" w:rsidRPr="00796736" w:rsidRDefault="005424F4" w:rsidP="00A802A5">
      <w:pPr>
        <w:spacing w:line="360" w:lineRule="auto"/>
        <w:rPr>
          <w:rFonts w:ascii="Times New Roman" w:hAnsi="Times New Roman" w:cs="Times New Roman"/>
          <w:sz w:val="24"/>
          <w:szCs w:val="24"/>
        </w:rPr>
      </w:pPr>
    </w:p>
    <w:p w14:paraId="13C308B0"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stk. 4, at AMLA senest den 10. juli 2028 udsteder retningslinjer til FIU’er om de procedurer, der skal indføres, ved fremsendelse og modtagelse af en indberetning i henhold til artikel 69, stk. 1, 1. afsnit, litra a, i hvidvaskforordningen, som vedrører en anden medlemsstat, og den opfølgning af denne indberetning, der skal foretages.</w:t>
      </w:r>
    </w:p>
    <w:p w14:paraId="3C3112F1" w14:textId="77777777" w:rsidR="005424F4" w:rsidRPr="00796736" w:rsidRDefault="005424F4" w:rsidP="00A802A5">
      <w:pPr>
        <w:spacing w:line="360" w:lineRule="auto"/>
        <w:rPr>
          <w:rFonts w:ascii="Times New Roman" w:hAnsi="Times New Roman" w:cs="Times New Roman"/>
          <w:sz w:val="24"/>
          <w:szCs w:val="24"/>
        </w:rPr>
      </w:pPr>
    </w:p>
    <w:p w14:paraId="41B07A92"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31, stk. 2-4, er nye i forhold til 4. og 5. hvidvaskdirektiv. </w:t>
      </w:r>
    </w:p>
    <w:p w14:paraId="2A5B16C5" w14:textId="77777777" w:rsidR="005424F4" w:rsidRPr="00796736" w:rsidRDefault="005424F4" w:rsidP="00A802A5">
      <w:pPr>
        <w:spacing w:line="360" w:lineRule="auto"/>
        <w:rPr>
          <w:rFonts w:ascii="Times New Roman" w:hAnsi="Times New Roman" w:cs="Times New Roman"/>
          <w:sz w:val="24"/>
          <w:szCs w:val="24"/>
        </w:rPr>
      </w:pPr>
    </w:p>
    <w:p w14:paraId="03855458"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31, stk. 5, 1. afsnit, at medlemsstaterne sikrer, at den FIU, som en anmodning er rettet til, pålægges at anvende alle de eksisterende beføjelser, som den normalt ville gøre brug af på nationalt plan til at modtage og analysere oplysninger, når den besvarer en i stk. 1 omhandlet anmodning om oplysninger fra en anden FIU. Derudover fremgår det af stk. 5, 2. afsnit, at når en FIU søger at indhente yderligere oplysninger hos en forpligtet enhed, der er etableret i en anden medlemsstat, og som driver virksomhed på dens medlemsstats område, skal anmodningen rettes til FIU’en i den medlemsstat, på hvis område den forpligtede enhed er etableret. Den pågældende FIU indhenter oplysninger i overensstemmelse med artikel 69, stk. 1, i hvidvaskforordningen og svarer omgående. </w:t>
      </w:r>
    </w:p>
    <w:p w14:paraId="2D01601A" w14:textId="77777777" w:rsidR="005424F4" w:rsidRPr="00796736" w:rsidRDefault="005424F4" w:rsidP="00A802A5">
      <w:pPr>
        <w:spacing w:line="360" w:lineRule="auto"/>
        <w:rPr>
          <w:rFonts w:ascii="Times New Roman" w:hAnsi="Times New Roman" w:cs="Times New Roman"/>
          <w:sz w:val="24"/>
          <w:szCs w:val="24"/>
        </w:rPr>
      </w:pPr>
    </w:p>
    <w:p w14:paraId="28D09EC3"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31, stk. 5, viderefører 4. og 5. hvidvaskdirektivs artikel 53, stk. 2.</w:t>
      </w:r>
    </w:p>
    <w:p w14:paraId="66676618" w14:textId="77777777" w:rsidR="005424F4" w:rsidRPr="00796736" w:rsidRDefault="005424F4" w:rsidP="00A802A5">
      <w:pPr>
        <w:spacing w:line="360" w:lineRule="auto"/>
        <w:rPr>
          <w:rFonts w:ascii="Times New Roman" w:hAnsi="Times New Roman" w:cs="Times New Roman"/>
          <w:sz w:val="24"/>
          <w:szCs w:val="24"/>
        </w:rPr>
      </w:pPr>
    </w:p>
    <w:p w14:paraId="27C49CF5"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31, stk. 6, at medlemsstaterne sikrer, at en FIU, der anmodes om at give oplysninger i henhold til stk. 1, besvarer anmodningen hurtigst muligt og under alle omstændigheder senest fem arbejdsdage efter modtagelsen af anmodningen, hvis FIU’en enten er i besiddelse af de ønskede oplysninger, eller de ønskede oplysninger opbevares i en database eller et register, som den anmodede FIU har direkte adgang til. I ekstraordinære, behørigt begrundede tilfælde kan denne frist forlænges til højst ti arbejdsdage. Hvis den anmodede FIU ikke er i stand til at indhente de ønskede oplysninger, underretter den anmodende FIU herom. </w:t>
      </w:r>
    </w:p>
    <w:p w14:paraId="3CC62E9B" w14:textId="77777777" w:rsidR="005424F4" w:rsidRPr="00796736" w:rsidRDefault="005424F4" w:rsidP="00A802A5">
      <w:pPr>
        <w:spacing w:line="360" w:lineRule="auto"/>
        <w:rPr>
          <w:rFonts w:ascii="Times New Roman" w:hAnsi="Times New Roman" w:cs="Times New Roman"/>
          <w:sz w:val="24"/>
          <w:szCs w:val="24"/>
        </w:rPr>
      </w:pPr>
    </w:p>
    <w:p w14:paraId="19F6D4B7"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artikel 31, stk. 7, 1. afsnit, at medlemsstaterne uanset stk. 6 sikrer, at hvis en FIU i ekstraordinære, behørigt begrundede og hastende tilfælde og i henhold til stk. 1 anmodes om oplysninger, som enten opbevares i en database eller et register, som den anmodede FIU har direkte adgang til, eller som allerede er i dens besiddelse, giver den anmodede FIU disse oplysninger senest én arbejdsdag efter modtagelsen af anmodningen. </w:t>
      </w:r>
    </w:p>
    <w:p w14:paraId="2D4B333E" w14:textId="77777777" w:rsidR="005424F4" w:rsidRPr="00796736" w:rsidRDefault="005424F4" w:rsidP="00A802A5">
      <w:pPr>
        <w:spacing w:line="360" w:lineRule="auto"/>
        <w:rPr>
          <w:rFonts w:ascii="Times New Roman" w:hAnsi="Times New Roman" w:cs="Times New Roman"/>
          <w:sz w:val="24"/>
          <w:szCs w:val="24"/>
        </w:rPr>
      </w:pPr>
    </w:p>
    <w:p w14:paraId="38F9A54B"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stk. 7, 2. afsnit, fremgår det videre, at hvis den anmodede FIU ikke er i stand til at svare inden for én arbejdsdag eller ikke kan få direkte adgang til oplysningerne, giver den en begrundelse. Hvis fremlæggelsen af de ønskede oplysninger inden for én arbejdsdag ville pålægge den anmodede FIU en uforholdsmæssig stor byrde, kan den udsætte fremlæggelsen af oplysningerne. I så fald underretter den anmodede FIU straks den anmodende FIU om en sådan udsættelse. Den anmodede FIU kan forlænge fristen for besvarelse af en anmodning om oplysninger til højst tre arbejdsdage. </w:t>
      </w:r>
    </w:p>
    <w:p w14:paraId="5C470AEE" w14:textId="77777777" w:rsidR="005424F4" w:rsidRPr="00796736" w:rsidRDefault="005424F4" w:rsidP="00A802A5">
      <w:pPr>
        <w:spacing w:line="360" w:lineRule="auto"/>
        <w:rPr>
          <w:rFonts w:ascii="Times New Roman" w:hAnsi="Times New Roman" w:cs="Times New Roman"/>
          <w:sz w:val="24"/>
          <w:szCs w:val="24"/>
        </w:rPr>
      </w:pPr>
    </w:p>
    <w:p w14:paraId="2C7B40C0"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31, stk. 6 og 7, er nye i forhold til 4. og 5. hvidvaskdirektivs artikel 53, hvoraf det alene fremgår af stk. 2, 1. afsnit, sidste pkt., at den FIU, som anmodningen er rettet til, svarer hurtigt. Om baggrunden herfor er det anført i direktivets præambelbetragtning nr. 80, at der bør fastsættes tidsfrister for at sikre effektiv udveksling af oplysninger inden for en rimelig frist eller for at opfylde proceduremæssige krav, og at der bør fastsættes kortere tidsfrister i ekstraordinære, begrundede og hastende tilfælde, hvor den anmodede FIU er i stand til at få direkte adgang til de databaser, hvor de ønskede oplysninger opbevares. </w:t>
      </w:r>
    </w:p>
    <w:p w14:paraId="0F6FDBFF" w14:textId="77777777" w:rsidR="005424F4" w:rsidRPr="00796736" w:rsidRDefault="005424F4" w:rsidP="00A802A5">
      <w:pPr>
        <w:spacing w:line="360" w:lineRule="auto"/>
        <w:rPr>
          <w:rFonts w:ascii="Times New Roman" w:hAnsi="Times New Roman" w:cs="Times New Roman"/>
          <w:sz w:val="24"/>
          <w:szCs w:val="24"/>
        </w:rPr>
      </w:pPr>
    </w:p>
    <w:p w14:paraId="51577BBC"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stk. 8, 1. afsnit, at en FIU kun må nægte at udveksle oplysninger under ekstraordinære omstændigheder, hvor udvekslingen kunne være i strid med grundlæggende principper i dens nationale ret. Disse ekstraordinære omstændigheder skal præciseres på en måde, der forhindrer misbrug og uberettigede begrænsninger af den frie udveksling af oplysninger med henblik på analyse. Det er herudover i medfør af stk. 8, 2. afsnit, bestemt, at medlemsstaterne senest den 10. juli 2028 skal give Kommissionen meddelelse om de ekstraordinære omstændigheder, der er omhandlet i stk. 8, 1. afsnit, og at medlemsstaterne ajourfører sådanne meddelelser, hvis der sker ændringer i de ekstraordinære omstændigheder, der er konstateret på nationalt plan.</w:t>
      </w:r>
    </w:p>
    <w:p w14:paraId="2432BAAF" w14:textId="77777777" w:rsidR="005424F4" w:rsidRPr="00796736" w:rsidRDefault="005424F4" w:rsidP="00A802A5">
      <w:pPr>
        <w:spacing w:line="360" w:lineRule="auto"/>
        <w:rPr>
          <w:rFonts w:ascii="Times New Roman" w:hAnsi="Times New Roman" w:cs="Times New Roman"/>
          <w:sz w:val="24"/>
          <w:szCs w:val="24"/>
        </w:rPr>
      </w:pPr>
    </w:p>
    <w:p w14:paraId="493087D1"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31, stk. 8, 1. afsnit, viderefører med sproglige justeringer 4. hvidvaskdirektivs artikel 53, stk. 3. Derimod er artikel 31, stk. 8, 2. afsnit, ny i forhold til 4. og 5. hvidvaskdirektiv.</w:t>
      </w:r>
    </w:p>
    <w:p w14:paraId="65D73843" w14:textId="77777777" w:rsidR="005424F4" w:rsidRPr="00796736" w:rsidRDefault="005424F4" w:rsidP="00A802A5">
      <w:pPr>
        <w:spacing w:line="360" w:lineRule="auto"/>
        <w:rPr>
          <w:rFonts w:ascii="Times New Roman" w:hAnsi="Times New Roman" w:cs="Times New Roman"/>
          <w:sz w:val="24"/>
          <w:szCs w:val="24"/>
        </w:rPr>
      </w:pPr>
    </w:p>
    <w:p w14:paraId="0C964C4B" w14:textId="77777777" w:rsidR="005424F4" w:rsidRPr="00796736" w:rsidRDefault="005424F4"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 xml:space="preserve">Justitsministeriets overvejelser og den foreslåede ordning </w:t>
      </w:r>
    </w:p>
    <w:p w14:paraId="7CF98693" w14:textId="63351992"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_Ref232793095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det nye hvidvaskdirektiv i artikel 29 og 31 – ligesom 4. og 5. hvidvaskdirektiv i artikel 52 og 53 – bestemmelser vedrørende samarbejde og udveksling af oplysninger mellem FIU’er. Artikel 52 og 53 i 4. og 5. hvidvaskdirektiv er gennemført i hvidvaskcirkulærets §§ 5-7, jf.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_Ref232793102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3.23.1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0BACB17D" w14:textId="77777777" w:rsidR="005424F4" w:rsidRPr="00796736" w:rsidRDefault="005424F4" w:rsidP="00A802A5">
      <w:pPr>
        <w:spacing w:line="360" w:lineRule="auto"/>
        <w:rPr>
          <w:rFonts w:ascii="Times New Roman" w:hAnsi="Times New Roman" w:cs="Times New Roman"/>
          <w:sz w:val="24"/>
          <w:szCs w:val="24"/>
        </w:rPr>
      </w:pPr>
    </w:p>
    <w:p w14:paraId="7B21B417" w14:textId="5F2E89A8"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29 svarer til, hvad der i dag følger af 4. hvidvaskdirektivs artikel 52. Hvidvaskdirektivets artikel 31 er imidlertid – som nærmere beskrevet under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_Ref232793118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 på visse punkter ændret og udvidet i forhold til 4. og 5. hvidvaskdirektivs artikel 53. Bl.a. er det tilføjet i stk. 1, at FIU’en – i stedet for hele indberetningen – kan fremsende alle relevante oplysninger, der er indhentet fra indberetningen, når en FIU modtager en indberetning efter artikel 69, stk. 1, 1. afsnit, litra a, i hvidvaskforordningen, der vedrører en anden medlemsstat. Derudover er stk. 2-4, som bl.a. tillægger Kommissionen beføjelser til at vedtage gennemførelsesmæssige tekniske standarder, nye. Endvidere er fristerne for en FIU’s besvarelse af anmodninger om oplysninger efter artikel 31, stk. 1, uddybet i forhold til 4. og 5. hvidvaskdirektiv, jf. stk. 6 og 7.</w:t>
      </w:r>
    </w:p>
    <w:p w14:paraId="5706D296" w14:textId="77777777" w:rsidR="005424F4" w:rsidRPr="00796736" w:rsidRDefault="005424F4" w:rsidP="00A802A5">
      <w:pPr>
        <w:spacing w:line="360" w:lineRule="auto"/>
        <w:rPr>
          <w:rFonts w:ascii="Times New Roman" w:hAnsi="Times New Roman" w:cs="Times New Roman"/>
          <w:sz w:val="24"/>
          <w:szCs w:val="24"/>
        </w:rPr>
      </w:pPr>
    </w:p>
    <w:p w14:paraId="3BC9A4A0" w14:textId="6CEF8065"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at gennemføre direktivets artikel 29 og 31 ved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_Ref232596055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indsætte en bestemmelse, der regulerer Hvidvasksekretariatets samarbejde med og udveksling af oplysninger med andre FIU’er, herunder de nærmere rammer for udvekslingen. Med ”udveksling” menes både Hvidvasksekretariatets modtagelse af oplysninger fra andre FIU’er og videregivelse af oplysninger til andre FIU’er. Det forudsættes endvidere, at de ekstraordinære omstændigheder, hvorefter Hvidvasksekretariatet kan nægte at udveksle oplysninger, meddeles til Kommissionen og løbende opdateres i overensstemmelse med direktivets artikel 31, stk. 8.  </w:t>
      </w:r>
    </w:p>
    <w:p w14:paraId="41BD69B0" w14:textId="77777777" w:rsidR="005424F4" w:rsidRPr="00796736" w:rsidRDefault="005424F4" w:rsidP="00A802A5">
      <w:pPr>
        <w:spacing w:line="360" w:lineRule="auto"/>
        <w:rPr>
          <w:rFonts w:ascii="Times New Roman" w:hAnsi="Times New Roman" w:cs="Times New Roman"/>
          <w:sz w:val="24"/>
          <w:szCs w:val="24"/>
        </w:rPr>
      </w:pPr>
    </w:p>
    <w:p w14:paraId="1A8C5D6E" w14:textId="771989BC"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udgør en videreførelse af gældende ret, men indeholder – som det fremgår ovenfor under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_Ref232793170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ovenfor – også visse nye elementer. Det drejer sig bl.a. om fristerne i forhold til besvarelsen af anmodninger om oplysninger samt muligheden for, at </w:t>
      </w:r>
      <w:r w:rsidR="007612C4">
        <w:rPr>
          <w:rFonts w:ascii="Times New Roman" w:hAnsi="Times New Roman" w:cs="Times New Roman"/>
          <w:sz w:val="24"/>
          <w:szCs w:val="24"/>
        </w:rPr>
        <w:t>Justits</w:t>
      </w:r>
      <w:r w:rsidRPr="00796736">
        <w:rPr>
          <w:rFonts w:ascii="Times New Roman" w:hAnsi="Times New Roman" w:cs="Times New Roman"/>
          <w:sz w:val="24"/>
          <w:szCs w:val="24"/>
        </w:rPr>
        <w:t xml:space="preserve">ministeren kan fastsætte regler, som er nødvendige af hensyn til at gennemføre, anvende eller håndhæve retsakter vedtaget af EU-institutioner om udveksling af oplysninger mellem FIU’er. </w:t>
      </w:r>
    </w:p>
    <w:p w14:paraId="4DCF9DA9" w14:textId="77777777" w:rsidR="0092113C" w:rsidRPr="00796736" w:rsidRDefault="0092113C" w:rsidP="00A802A5">
      <w:pPr>
        <w:spacing w:line="360" w:lineRule="auto"/>
        <w:rPr>
          <w:rFonts w:ascii="Times New Roman" w:hAnsi="Times New Roman" w:cs="Times New Roman"/>
          <w:sz w:val="24"/>
          <w:szCs w:val="24"/>
        </w:rPr>
      </w:pPr>
    </w:p>
    <w:p w14:paraId="6AAC56BA"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udvekslingen af oplysninger mellem Hvidvasksekretariatet og FIU’erne i andre EU-medlemsstater vil skulle ske i overensstemmelse med databeskyttelsesreglerne, navnlig databeskyttelsesforordningen og databeskyttelsesloven samt retshåndhævelsesloven, når udvekslingen af oplysninger sker i retshåndhævende øjemed. </w:t>
      </w:r>
    </w:p>
    <w:p w14:paraId="15E90C4C" w14:textId="77777777" w:rsidR="005424F4" w:rsidRPr="00796736" w:rsidRDefault="005424F4" w:rsidP="00A802A5">
      <w:pPr>
        <w:spacing w:line="360" w:lineRule="auto"/>
        <w:rPr>
          <w:rFonts w:ascii="Times New Roman" w:eastAsia="Times New Roman" w:hAnsi="Times New Roman" w:cs="Times New Roman"/>
          <w:sz w:val="24"/>
          <w:szCs w:val="24"/>
          <w:lang w:eastAsia="da-DK"/>
        </w:rPr>
      </w:pPr>
    </w:p>
    <w:p w14:paraId="28897017" w14:textId="2B529BDD" w:rsidR="005424F4" w:rsidRPr="00796736" w:rsidRDefault="005424F4"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Pr="00796736">
        <w:rPr>
          <w:rFonts w:ascii="Times New Roman" w:hAnsi="Times New Roman" w:cs="Times New Roman"/>
          <w:sz w:val="24"/>
          <w:szCs w:val="24"/>
        </w:rPr>
        <w:fldChar w:fldCharType="begin"/>
      </w:r>
      <w:r w:rsidRPr="00796736">
        <w:rPr>
          <w:rFonts w:ascii="Times New Roman" w:eastAsia="Times New Roman" w:hAnsi="Times New Roman" w:cs="Times New Roman"/>
          <w:sz w:val="24"/>
          <w:szCs w:val="24"/>
          <w:lang w:eastAsia="da-DK"/>
        </w:rPr>
        <w:instrText xml:space="preserve"> REF _Ref232596031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eastAsia="Times New Roman" w:hAnsi="Times New Roman" w:cs="Times New Roman"/>
          <w:sz w:val="24"/>
          <w:szCs w:val="24"/>
          <w:lang w:eastAsia="da-DK"/>
        </w:rPr>
        <w:t>§ 24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og bemærkningerne hertil.</w:t>
      </w:r>
    </w:p>
    <w:p w14:paraId="7606980C" w14:textId="77777777" w:rsidR="005424F4" w:rsidRPr="00796736" w:rsidRDefault="005424F4" w:rsidP="00A802A5">
      <w:pPr>
        <w:spacing w:line="360" w:lineRule="auto"/>
        <w:rPr>
          <w:rFonts w:ascii="Times New Roman" w:hAnsi="Times New Roman" w:cs="Times New Roman"/>
          <w:sz w:val="24"/>
          <w:szCs w:val="24"/>
        </w:rPr>
      </w:pPr>
    </w:p>
    <w:p w14:paraId="69AB07F9" w14:textId="77777777" w:rsidR="0079285D" w:rsidRPr="00796736" w:rsidRDefault="0079285D" w:rsidP="00A802A5">
      <w:pPr>
        <w:spacing w:line="360" w:lineRule="auto"/>
        <w:rPr>
          <w:rFonts w:ascii="Times New Roman" w:hAnsi="Times New Roman" w:cs="Times New Roman"/>
          <w:sz w:val="24"/>
          <w:szCs w:val="24"/>
        </w:rPr>
      </w:pPr>
    </w:p>
    <w:p w14:paraId="7B3A561E" w14:textId="77777777" w:rsidR="005424F4" w:rsidRPr="00796736" w:rsidRDefault="005424F4" w:rsidP="00A802A5">
      <w:pPr>
        <w:pStyle w:val="Overskrift2"/>
        <w:rPr>
          <w:rFonts w:ascii="Times New Roman" w:hAnsi="Times New Roman"/>
          <w:sz w:val="24"/>
        </w:rPr>
      </w:pPr>
      <w:bookmarkStart w:id="1055" w:name="_Toc232109083"/>
      <w:bookmarkStart w:id="1056" w:name="_Ref232943930"/>
      <w:bookmarkStart w:id="1057" w:name="_Toc232109089"/>
      <w:bookmarkStart w:id="1058" w:name="_Ref232793095"/>
      <w:bookmarkStart w:id="1059" w:name="_Ref232793118"/>
      <w:bookmarkStart w:id="1060" w:name="_Ref232793170"/>
      <w:bookmarkStart w:id="1061" w:name="_Toc244880741"/>
      <w:r w:rsidRPr="00796736">
        <w:rPr>
          <w:rFonts w:ascii="Times New Roman" w:hAnsi="Times New Roman"/>
          <w:sz w:val="24"/>
        </w:rPr>
        <w:t>Beskyttede kommunikationskanaler</w:t>
      </w:r>
      <w:bookmarkEnd w:id="1055"/>
      <w:bookmarkEnd w:id="1056"/>
      <w:bookmarkEnd w:id="1061"/>
    </w:p>
    <w:p w14:paraId="0806ADF8" w14:textId="77777777" w:rsidR="005424F4" w:rsidRPr="00796736" w:rsidRDefault="005424F4" w:rsidP="00A802A5">
      <w:pPr>
        <w:pStyle w:val="Overskrift4"/>
        <w:rPr>
          <w:rFonts w:ascii="Times New Roman" w:hAnsi="Times New Roman" w:cs="Times New Roman"/>
          <w:sz w:val="24"/>
          <w:szCs w:val="24"/>
        </w:rPr>
      </w:pPr>
      <w:bookmarkStart w:id="1062" w:name="_Toc232109084"/>
      <w:bookmarkStart w:id="1063" w:name="_Ref232792985"/>
      <w:bookmarkStart w:id="1064" w:name="_Ref232943764"/>
      <w:r w:rsidRPr="00796736">
        <w:rPr>
          <w:rFonts w:ascii="Times New Roman" w:hAnsi="Times New Roman" w:cs="Times New Roman"/>
          <w:sz w:val="24"/>
          <w:szCs w:val="24"/>
        </w:rPr>
        <w:t>Gældende ret</w:t>
      </w:r>
      <w:bookmarkEnd w:id="1062"/>
      <w:bookmarkEnd w:id="1063"/>
      <w:bookmarkEnd w:id="1064"/>
    </w:p>
    <w:p w14:paraId="16824A31"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Beskyttede kommunikationskanaler til udveksling af oplysninger mellem Hvidvasksekretariatet og andre EU-medlemsstaters FIU’er er i dag reguleret i FIU-cirkulærets § 8. </w:t>
      </w:r>
    </w:p>
    <w:p w14:paraId="31948A3F" w14:textId="77777777" w:rsidR="005424F4" w:rsidRPr="00796736" w:rsidRDefault="005424F4" w:rsidP="00A802A5">
      <w:pPr>
        <w:spacing w:line="360" w:lineRule="auto"/>
        <w:rPr>
          <w:rFonts w:ascii="Times New Roman" w:hAnsi="Times New Roman" w:cs="Times New Roman"/>
          <w:sz w:val="24"/>
          <w:szCs w:val="24"/>
        </w:rPr>
      </w:pPr>
    </w:p>
    <w:p w14:paraId="2A885E0B" w14:textId="31F93C8E"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FIU-cirkulærets § 8, stk. 1, at kommunikation og udveksling af oplysninger med andre EU-</w:t>
      </w:r>
      <w:r w:rsidR="0092113C" w:rsidRPr="00796736">
        <w:rPr>
          <w:rFonts w:ascii="Times New Roman" w:hAnsi="Times New Roman" w:cs="Times New Roman"/>
          <w:sz w:val="24"/>
          <w:szCs w:val="24"/>
        </w:rPr>
        <w:t>-medlemsstaters</w:t>
      </w:r>
      <w:r w:rsidRPr="00796736">
        <w:rPr>
          <w:rFonts w:ascii="Times New Roman" w:hAnsi="Times New Roman" w:cs="Times New Roman"/>
          <w:sz w:val="24"/>
          <w:szCs w:val="24"/>
        </w:rPr>
        <w:t xml:space="preserve"> FIU’er sker ved anvendelse af FIU.net eller andre beskyttede kommunikationskanaler som aftalt mellem FIU’erne. </w:t>
      </w:r>
    </w:p>
    <w:p w14:paraId="4C8C9D98" w14:textId="77777777" w:rsidR="005424F4" w:rsidRPr="00796736" w:rsidRDefault="005424F4" w:rsidP="00A802A5">
      <w:pPr>
        <w:spacing w:line="360" w:lineRule="auto"/>
        <w:rPr>
          <w:rFonts w:ascii="Times New Roman" w:hAnsi="Times New Roman" w:cs="Times New Roman"/>
          <w:sz w:val="24"/>
          <w:szCs w:val="24"/>
        </w:rPr>
      </w:pPr>
    </w:p>
    <w:p w14:paraId="4986A2A4"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af stk. 2, at Hvidvasksekretariatet i videst muligt omfang samarbejder med andre EU-medlemsstaters FIU’er om at anvende de mest avancerede teknologier til brug for deres opgavevaretagelse som finansielle efterretningsenheder. </w:t>
      </w:r>
    </w:p>
    <w:p w14:paraId="4D1A3FED" w14:textId="77777777" w:rsidR="005424F4" w:rsidRPr="00796736" w:rsidRDefault="005424F4" w:rsidP="00A802A5">
      <w:pPr>
        <w:spacing w:line="360" w:lineRule="auto"/>
        <w:rPr>
          <w:rFonts w:ascii="Times New Roman" w:hAnsi="Times New Roman" w:cs="Times New Roman"/>
          <w:sz w:val="24"/>
          <w:szCs w:val="24"/>
        </w:rPr>
      </w:pPr>
    </w:p>
    <w:p w14:paraId="0313327B"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stk. 3, at de teknologier, der anvendes, skal overholde databeskyttelseslovgivningen og derved give Hvidvasksekretariatet mulighed for på en anonym måde at sammenholde data med andre EU-medlemsstaters FIU᾽ers data med det formål at opdage personer af interesse for Hvidvasksekretariatet i andre medlemsstater og identificere deres udbytte og midler. </w:t>
      </w:r>
    </w:p>
    <w:p w14:paraId="128441D3" w14:textId="77777777" w:rsidR="005424F4" w:rsidRPr="00796736" w:rsidRDefault="005424F4" w:rsidP="00A802A5">
      <w:pPr>
        <w:spacing w:line="360" w:lineRule="auto"/>
        <w:rPr>
          <w:rFonts w:ascii="Times New Roman" w:hAnsi="Times New Roman" w:cs="Times New Roman"/>
          <w:sz w:val="24"/>
          <w:szCs w:val="24"/>
        </w:rPr>
      </w:pPr>
    </w:p>
    <w:p w14:paraId="76DDE46A"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FIU-cirkulærets § 8 gennemfører 4. hvidvaskdirektivs artikel 56.</w:t>
      </w:r>
    </w:p>
    <w:p w14:paraId="3990A028" w14:textId="77777777" w:rsidR="005424F4" w:rsidRPr="00796736" w:rsidRDefault="005424F4" w:rsidP="00A802A5">
      <w:pPr>
        <w:spacing w:line="360" w:lineRule="auto"/>
        <w:rPr>
          <w:rFonts w:ascii="Times New Roman" w:hAnsi="Times New Roman" w:cs="Times New Roman"/>
          <w:sz w:val="24"/>
          <w:szCs w:val="24"/>
        </w:rPr>
      </w:pPr>
    </w:p>
    <w:p w14:paraId="7C5CFCDD" w14:textId="77777777" w:rsidR="005424F4" w:rsidRPr="00796736" w:rsidRDefault="005424F4" w:rsidP="00A802A5">
      <w:pPr>
        <w:pStyle w:val="Overskrift4"/>
        <w:rPr>
          <w:rFonts w:ascii="Times New Roman" w:hAnsi="Times New Roman" w:cs="Times New Roman"/>
          <w:sz w:val="24"/>
          <w:szCs w:val="24"/>
        </w:rPr>
      </w:pPr>
      <w:bookmarkStart w:id="1065" w:name="_Toc232109085"/>
      <w:bookmarkStart w:id="1066" w:name="_Ref232792977"/>
      <w:bookmarkStart w:id="1067" w:name="_Ref232792993"/>
      <w:r w:rsidRPr="00796736">
        <w:rPr>
          <w:rFonts w:ascii="Times New Roman" w:hAnsi="Times New Roman" w:cs="Times New Roman"/>
          <w:sz w:val="24"/>
          <w:szCs w:val="24"/>
        </w:rPr>
        <w:t>6. hvidvaskdirektiv</w:t>
      </w:r>
      <w:bookmarkEnd w:id="1065"/>
      <w:bookmarkEnd w:id="1066"/>
      <w:bookmarkEnd w:id="1067"/>
      <w:r w:rsidRPr="00796736">
        <w:rPr>
          <w:rFonts w:ascii="Times New Roman" w:hAnsi="Times New Roman" w:cs="Times New Roman"/>
          <w:sz w:val="24"/>
          <w:szCs w:val="24"/>
        </w:rPr>
        <w:t xml:space="preserve"> </w:t>
      </w:r>
    </w:p>
    <w:p w14:paraId="165D9E6D"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 indeholder i artikel 30 – ligesom 4. hvidvaskdirektiv i artikel 56 – en bestemmelse om beskyttede kommunikationskanaler.</w:t>
      </w:r>
    </w:p>
    <w:p w14:paraId="2093840E" w14:textId="77777777" w:rsidR="005424F4" w:rsidRPr="00796736" w:rsidRDefault="005424F4" w:rsidP="00A802A5">
      <w:pPr>
        <w:spacing w:line="360" w:lineRule="auto"/>
        <w:rPr>
          <w:rFonts w:ascii="Times New Roman" w:hAnsi="Times New Roman" w:cs="Times New Roman"/>
          <w:sz w:val="24"/>
          <w:szCs w:val="24"/>
        </w:rPr>
      </w:pPr>
    </w:p>
    <w:p w14:paraId="563DD95D"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hvidvaskdirektivets artikel 30, stk. 1, 1. afsnit fremgår det, at der oprettes et system for udveksling af oplysninger mellem medlemsstaternes FIU’er (FIU.net). FIU.net skal sikre sikker kommunikation og udveksling af oplysninger og skal være i stand til at efterlade et skriftligt spor af alle behandlingsaktiviteter. FIU.net kan også anvendes til kommunikation med FIU’ers modparter i tredjelande og med andre myndigheder og med EU-organer, -kontorer og -agenturer. FIU.net forvaltes af AMLA. </w:t>
      </w:r>
    </w:p>
    <w:p w14:paraId="1DC89B2E" w14:textId="77777777" w:rsidR="005424F4" w:rsidRPr="00796736" w:rsidRDefault="005424F4" w:rsidP="00A802A5">
      <w:pPr>
        <w:spacing w:line="360" w:lineRule="auto"/>
        <w:rPr>
          <w:rFonts w:ascii="Times New Roman" w:hAnsi="Times New Roman" w:cs="Times New Roman"/>
          <w:sz w:val="24"/>
          <w:szCs w:val="24"/>
        </w:rPr>
      </w:pPr>
    </w:p>
    <w:p w14:paraId="33F5F7BF"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direktivets artikel 30, stk. 1, 2. afsnit, anvendes FIU.net til udveksling af oplysninger mellem FIU’er og AMLA med henblik på fælles analyser i henhold til artikel 32 i dette direktiv (hvidvaskdirektivet) og artikel 40 i AMLA-forordningen.</w:t>
      </w:r>
    </w:p>
    <w:p w14:paraId="7E2E3186" w14:textId="77777777" w:rsidR="005424F4" w:rsidRPr="00796736" w:rsidRDefault="005424F4" w:rsidP="00A802A5">
      <w:pPr>
        <w:spacing w:line="360" w:lineRule="auto"/>
        <w:rPr>
          <w:rFonts w:ascii="Times New Roman" w:hAnsi="Times New Roman" w:cs="Times New Roman"/>
          <w:sz w:val="24"/>
          <w:szCs w:val="24"/>
        </w:rPr>
      </w:pPr>
    </w:p>
    <w:p w14:paraId="4D2EEB66"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stk. 2, 1. afsnit, fremgår det, at medlemsstaterne sikrer, at FIU’er udveksler oplysninger i henhold til artikel 31 og 32 via FIU.net. I tilfælde af tekniske fejl i FIU.net fremsendes oplysningerne på anden hensigtsmæssig måde, der sikrer et højt niveau af datasikkerhed og databeskyttelse.</w:t>
      </w:r>
    </w:p>
    <w:p w14:paraId="1C097C80" w14:textId="77777777" w:rsidR="005424F4" w:rsidRPr="00796736" w:rsidRDefault="005424F4" w:rsidP="00A802A5">
      <w:pPr>
        <w:spacing w:line="360" w:lineRule="auto"/>
        <w:rPr>
          <w:rFonts w:ascii="Times New Roman" w:hAnsi="Times New Roman" w:cs="Times New Roman"/>
          <w:sz w:val="24"/>
          <w:szCs w:val="24"/>
        </w:rPr>
      </w:pPr>
    </w:p>
    <w:p w14:paraId="32FA092D"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2, 2. afsnit, skal udveksling af oplysninger mellem FIU’er og deres modparter i tredjelande, der ikke er forbundet med FIU.net, finde sted via beskyttede kommunikationskanaler.</w:t>
      </w:r>
    </w:p>
    <w:p w14:paraId="3D3ED28C" w14:textId="77777777" w:rsidR="005424F4" w:rsidRPr="00796736" w:rsidRDefault="005424F4" w:rsidP="00A802A5">
      <w:pPr>
        <w:spacing w:line="360" w:lineRule="auto"/>
        <w:rPr>
          <w:rFonts w:ascii="Times New Roman" w:hAnsi="Times New Roman" w:cs="Times New Roman"/>
          <w:sz w:val="24"/>
          <w:szCs w:val="24"/>
        </w:rPr>
      </w:pPr>
    </w:p>
    <w:p w14:paraId="2E201E7A" w14:textId="7435BDD1" w:rsidR="005424F4" w:rsidRPr="00796736" w:rsidRDefault="005424F4" w:rsidP="00A802A5">
      <w:pPr>
        <w:spacing w:line="360" w:lineRule="auto"/>
        <w:rPr>
          <w:rFonts w:ascii="Times New Roman" w:hAnsi="Times New Roman" w:cs="Times New Roman"/>
          <w:sz w:val="24"/>
          <w:szCs w:val="24"/>
        </w:rPr>
      </w:pPr>
      <w:bookmarkStart w:id="1068" w:name="_Hlk230348571"/>
      <w:r w:rsidRPr="00796736">
        <w:rPr>
          <w:rFonts w:ascii="Times New Roman" w:hAnsi="Times New Roman" w:cs="Times New Roman"/>
          <w:sz w:val="24"/>
          <w:szCs w:val="24"/>
        </w:rPr>
        <w:t>Det fremgår af hvidvaskdirektivets præambelbetragtning nr. 77 bl.a., at FIU’er bør anvende sikre faciliteter, herunder beskyttede kommunikationskanaler, til at samarbejde og udveksle oplysninger indbyrdes. I den forbindelse bør der oprettes et system til udveksling af oplysninger mellem medlemsstaternes FIU’er (FIU.net). Systemet bør forvaltes og hostes af AMLA og bør sikre det højeste sikkerhedsniveau og fuld kryptering af de udvekslede oplysninger. FIU.net bør anvendes af FIU’er til at samarbejde og udveksle oplysninger indbyrdes og kunne også, hvor det er relevant og med forbehold af en afgørelse truffet af AMLA, anvendes til at udveksle oplysninger med FIU’er i tredjelande og med andre myndigheder og EU-organer, -kontorer og -agenturer.</w:t>
      </w:r>
      <w:r w:rsidR="0092113C" w:rsidRPr="00796736">
        <w:rPr>
          <w:rFonts w:ascii="Times New Roman" w:hAnsi="Times New Roman" w:cs="Times New Roman"/>
          <w:sz w:val="24"/>
          <w:szCs w:val="24"/>
        </w:rPr>
        <w:t xml:space="preserve"> For at identificere forbindelser mellem finansielle oplysninger og kriminalefterretninger bør FIU'er også kunne anvende FIU.nets funktionaliteter til på en pseudonym måde at matche deres data med oplysninger, som EU-organer, -kontorer og -agenturer er i besiddelse af, for så vidt som et sådant krydstjek falder inden for sidstnævntes respektive retlige mandater og under fuld overholdelse af de gældende databeskyttelsesregler.</w:t>
      </w:r>
    </w:p>
    <w:p w14:paraId="213DEB17" w14:textId="77777777" w:rsidR="005424F4" w:rsidRPr="00796736" w:rsidRDefault="005424F4" w:rsidP="00A802A5">
      <w:pPr>
        <w:spacing w:line="360" w:lineRule="auto"/>
        <w:rPr>
          <w:rFonts w:ascii="Times New Roman" w:hAnsi="Times New Roman" w:cs="Times New Roman"/>
          <w:sz w:val="24"/>
          <w:szCs w:val="24"/>
        </w:rPr>
      </w:pPr>
    </w:p>
    <w:p w14:paraId="5F7090BE"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30, stk. 1 og 2, viderefører med en række ændringer 4. hvidvaskdirektivs artikel 56, stk. 1. Bl.a. følger det nu af artikel 30, stk. 1 og 2, at FIU’erne skal – og ikke blot tilskyndes at – anvende FIU.net til at udveksle oplysninger med andre FIU’er samt med AMLA med henblik på fælles analyser efter direktivet og AMLA-forordningen. Endvidere er det som noget nyt bl.a. nu fastsat, at FIU.net også kan anvendes til kommunikation med FIU’ers modparter i tredjelande og med andre myndigheder og med EU-organer, -kontorer og -agenturer, og at FIU.net forvaltes af AMLA.  </w:t>
      </w:r>
    </w:p>
    <w:bookmarkEnd w:id="1068"/>
    <w:p w14:paraId="7C6DBC7C"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p>
    <w:p w14:paraId="18E4DDBB"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hvidvaskdirektivets artikel 30, stk. 3, 1. afsnit, sikrer medlemsstaterne, at FIU’er i videst muligt omfang samarbejder om at anvende de mest avancerede teknologier i overensstemmelse med national ret med henblik på at varetage deres opgaver som fastsat i dette direktiv. Af stk. 3, 2. afsnit, fremgår det, at medlemsstaterne også sikrer, at FIU’er i videst muligt omfang samarbejder om anvendelse af løsninger, der er udviklet og forvaltes af AMLA i overensstemmelse med artikel 5, stk. 5, litra i, artikel 45, stk. 1, litra d, og artikel 47 i AMLA-forordningen. </w:t>
      </w:r>
    </w:p>
    <w:p w14:paraId="1F1B0C01" w14:textId="77777777" w:rsidR="005424F4" w:rsidRPr="00796736" w:rsidRDefault="005424F4" w:rsidP="00A802A5">
      <w:pPr>
        <w:spacing w:line="360" w:lineRule="auto"/>
        <w:rPr>
          <w:rFonts w:ascii="Times New Roman" w:hAnsi="Times New Roman" w:cs="Times New Roman"/>
          <w:sz w:val="24"/>
          <w:szCs w:val="24"/>
        </w:rPr>
      </w:pPr>
    </w:p>
    <w:p w14:paraId="6BA83743" w14:textId="77777777" w:rsidR="005424F4" w:rsidRPr="00796736" w:rsidRDefault="005424F4" w:rsidP="00A802A5">
      <w:pPr>
        <w:spacing w:line="360" w:lineRule="auto"/>
        <w:rPr>
          <w:rFonts w:ascii="Times New Roman" w:hAnsi="Times New Roman" w:cs="Times New Roman"/>
          <w:sz w:val="24"/>
          <w:szCs w:val="24"/>
        </w:rPr>
      </w:pPr>
      <w:bookmarkStart w:id="1069" w:name="_Hlk230348751"/>
      <w:r w:rsidRPr="00796736">
        <w:rPr>
          <w:rFonts w:ascii="Times New Roman" w:hAnsi="Times New Roman" w:cs="Times New Roman"/>
          <w:sz w:val="24"/>
          <w:szCs w:val="24"/>
        </w:rPr>
        <w:t>Direktivets artikel 30, stk. 3, 1. afsnit, viderefører i det væsentligste 4. hvidvaskdirektivs artikel 56, stk. 2, 1. pkt., mens artikel 30, stk. 3, 2. afsnit, er nyt.</w:t>
      </w:r>
      <w:bookmarkEnd w:id="1069"/>
    </w:p>
    <w:p w14:paraId="2F5CE852" w14:textId="77777777" w:rsidR="005424F4" w:rsidRPr="00796736" w:rsidRDefault="005424F4" w:rsidP="00A802A5">
      <w:pPr>
        <w:spacing w:line="360" w:lineRule="auto"/>
        <w:rPr>
          <w:rFonts w:ascii="Times New Roman" w:hAnsi="Times New Roman" w:cs="Times New Roman"/>
          <w:sz w:val="24"/>
          <w:szCs w:val="24"/>
        </w:rPr>
      </w:pPr>
    </w:p>
    <w:p w14:paraId="1A4969AF"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direktivets artikel 30, stk. 4, fremgår det, at medlemsstaterne sikrer, at FIU'er er i stand til at anvende FIU.nets funktioner til på et hit/intet hit-grundlag at krydstjekke de data, som de stiller til rådighed på FIU.net, med de data, som andre FIU’er og EU-organer, -kontorer og -agenturer gør tilgængelige i dette system, for så vidt som et sådant krydstjek falder inden for disse EU-organers, -kontorers og -agenturers respektive mandater. </w:t>
      </w:r>
    </w:p>
    <w:p w14:paraId="0D681487" w14:textId="77777777" w:rsidR="005424F4" w:rsidRPr="00796736" w:rsidRDefault="005424F4" w:rsidP="00A802A5">
      <w:pPr>
        <w:spacing w:line="360" w:lineRule="auto"/>
        <w:rPr>
          <w:rFonts w:ascii="Times New Roman" w:hAnsi="Times New Roman" w:cs="Times New Roman"/>
          <w:sz w:val="24"/>
          <w:szCs w:val="24"/>
        </w:rPr>
      </w:pPr>
    </w:p>
    <w:p w14:paraId="6CE82A20" w14:textId="77777777" w:rsidR="005424F4" w:rsidRPr="00796736" w:rsidRDefault="005424F4" w:rsidP="00A802A5">
      <w:pPr>
        <w:spacing w:line="360" w:lineRule="auto"/>
        <w:rPr>
          <w:rFonts w:ascii="Times New Roman" w:hAnsi="Times New Roman" w:cs="Times New Roman"/>
          <w:sz w:val="24"/>
          <w:szCs w:val="24"/>
        </w:rPr>
      </w:pPr>
      <w:bookmarkStart w:id="1070" w:name="_Hlk230348929"/>
      <w:r w:rsidRPr="00796736">
        <w:rPr>
          <w:rFonts w:ascii="Times New Roman" w:hAnsi="Times New Roman" w:cs="Times New Roman"/>
          <w:sz w:val="24"/>
          <w:szCs w:val="24"/>
        </w:rPr>
        <w:t>Det fremgår af hvidvaskdirektivets præambelbetragtning nr. 77 bl.a., at FIU.nets funktionaliteter bør udnyttes fuldt ud af FIU’erne. Disse funktionaliteter bør give FIU’er mulighed for på en pseudonym måde at sammenholde deres data med andre FIU’ers data med det formål at opdage personer af interesse for FIU’en i andre medlemsstater og identificere deres udbytte og midler, samtidig med at der sikres fuld beskyttelse af personoplysninger. For at identificere forbindelser mellem finansielle oplysninger og kriminalefterretninger bør FIU’er også kunne anvende FIU.nets funktionaliteter til på en pseudonym måde at matche deres data med oplysninger, som EU-organer, -kontorer og -agenturer er i besiddelse af, for så vidt som et sådant krydstjek falder inden for sidstnævntes respektive retlige mandater og under fuld overholdelse af de gældende databeskyttelsesregler.</w:t>
      </w:r>
    </w:p>
    <w:p w14:paraId="21A4F87A" w14:textId="77777777" w:rsidR="005424F4" w:rsidRPr="00796736" w:rsidRDefault="005424F4" w:rsidP="00A802A5">
      <w:pPr>
        <w:spacing w:line="360" w:lineRule="auto"/>
        <w:rPr>
          <w:rFonts w:ascii="Times New Roman" w:hAnsi="Times New Roman" w:cs="Times New Roman"/>
          <w:sz w:val="24"/>
          <w:szCs w:val="24"/>
        </w:rPr>
      </w:pPr>
    </w:p>
    <w:p w14:paraId="50DD14B2"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30, stk. 4, viderefører med visse ændringer 4. hvidvaskdirektivs artikel 56, stk. 2, 2. pkt. Det fremgår således fortsat, at FIU’er skal kunne sammenholde data, men det er nu uddybet i hvidvaskdirektivet og præambelbetragtningerne, at FIU’er skal være i stand til at anvende FIU.nets funktioner til at krydstjekke data, og at det også skal være muligt at krydstjekke data med oplysninger, som EU-organer, -kontorer og -agenturer er i besiddelse af. </w:t>
      </w:r>
    </w:p>
    <w:bookmarkEnd w:id="1070"/>
    <w:p w14:paraId="4C6FC93B" w14:textId="77777777" w:rsidR="005424F4" w:rsidRPr="00796736" w:rsidRDefault="005424F4" w:rsidP="00A802A5">
      <w:pPr>
        <w:spacing w:line="360" w:lineRule="auto"/>
        <w:rPr>
          <w:rFonts w:ascii="Times New Roman" w:hAnsi="Times New Roman" w:cs="Times New Roman"/>
          <w:sz w:val="24"/>
          <w:szCs w:val="24"/>
        </w:rPr>
      </w:pPr>
    </w:p>
    <w:p w14:paraId="7787AABB"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stk. 5 fremgår det, at AMLA kan suspendere adgangen for en FIU eller modpart i et tredjeland eller et EU-organ, -kontor eller -agentur til FIU.net, hvis AMLA har grund til at formode, at en sådan adgang vil bringe gennemførelsen af direktivets kapitel III og sikkerheden og fortroligheden af de oplysninger, som FIU'er er i besiddelse af, og som udveksles gennem FIU.net, i fare, herunder hvis der er betænkeligheder med hensyn til en FIU’s uafhængighed og autonomi. Bestemmelse er ny i forhold til 4. hvidvaskdirektiv.</w:t>
      </w:r>
    </w:p>
    <w:p w14:paraId="2AADC105" w14:textId="77777777" w:rsidR="005424F4" w:rsidRPr="00796736" w:rsidRDefault="005424F4" w:rsidP="00A802A5">
      <w:pPr>
        <w:spacing w:line="360" w:lineRule="auto"/>
        <w:rPr>
          <w:rFonts w:ascii="Times New Roman" w:hAnsi="Times New Roman" w:cs="Times New Roman"/>
          <w:sz w:val="24"/>
          <w:szCs w:val="24"/>
        </w:rPr>
      </w:pPr>
    </w:p>
    <w:p w14:paraId="66D2A4AC" w14:textId="77777777" w:rsidR="005424F4" w:rsidRPr="00796736" w:rsidRDefault="005424F4" w:rsidP="00A802A5">
      <w:pPr>
        <w:pStyle w:val="Overskrift4"/>
        <w:rPr>
          <w:rFonts w:ascii="Times New Roman" w:hAnsi="Times New Roman" w:cs="Times New Roman"/>
          <w:sz w:val="24"/>
          <w:szCs w:val="24"/>
        </w:rPr>
      </w:pPr>
      <w:bookmarkStart w:id="1071" w:name="_Toc232109086"/>
      <w:r w:rsidRPr="00796736">
        <w:rPr>
          <w:rFonts w:ascii="Times New Roman" w:hAnsi="Times New Roman" w:cs="Times New Roman"/>
          <w:sz w:val="24"/>
          <w:szCs w:val="24"/>
        </w:rPr>
        <w:t>Justitsministeriets overvejelser og den foreslåede ordning</w:t>
      </w:r>
      <w:bookmarkEnd w:id="1071"/>
      <w:r w:rsidRPr="00796736">
        <w:rPr>
          <w:rFonts w:ascii="Times New Roman" w:hAnsi="Times New Roman" w:cs="Times New Roman"/>
          <w:sz w:val="24"/>
          <w:szCs w:val="24"/>
        </w:rPr>
        <w:t xml:space="preserve"> </w:t>
      </w:r>
    </w:p>
    <w:p w14:paraId="3A043BBE" w14:textId="27699B6A"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_Ref232792977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3.24.2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6. hvidvaskdirektivs artikel 30 – ligesom 4. hvidvaskdirektivs artikel 56 – en bestemmelse om beskyttede kommunikationskanaler og udveksling af oplysninger gennem FIU.net. Artikel 56 i 4. hvidvaskdirektiv er gennemført i FIU-cirkulærets § 8, jf.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_Ref232792985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3.24.1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4F74B905" w14:textId="77777777" w:rsidR="005424F4" w:rsidRPr="00796736" w:rsidRDefault="005424F4" w:rsidP="00A802A5">
      <w:pPr>
        <w:spacing w:line="360" w:lineRule="auto"/>
        <w:rPr>
          <w:rFonts w:ascii="Times New Roman" w:hAnsi="Times New Roman" w:cs="Times New Roman"/>
          <w:sz w:val="24"/>
          <w:szCs w:val="24"/>
        </w:rPr>
      </w:pPr>
    </w:p>
    <w:p w14:paraId="4BEADC38" w14:textId="46508C91" w:rsidR="005424F4" w:rsidRPr="00796736" w:rsidRDefault="005424F4" w:rsidP="00A802A5">
      <w:pPr>
        <w:spacing w:line="360" w:lineRule="auto"/>
        <w:rPr>
          <w:rFonts w:ascii="Times New Roman" w:hAnsi="Times New Roman" w:cs="Times New Roman"/>
          <w:sz w:val="24"/>
          <w:szCs w:val="24"/>
        </w:rPr>
      </w:pPr>
      <w:bookmarkStart w:id="1072" w:name="_Hlk230349165"/>
      <w:r w:rsidRPr="00796736">
        <w:rPr>
          <w:rFonts w:ascii="Times New Roman" w:hAnsi="Times New Roman" w:cs="Times New Roman"/>
          <w:sz w:val="24"/>
          <w:szCs w:val="24"/>
        </w:rPr>
        <w:t xml:space="preserve">Hvidvaskdirektivets artikel 30 er – som nærmere beskrevet under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_Ref232792993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3.24.2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 på visse punkter udvidet i forhold til 4. hvidvaskdirektivs artikel 56. Bl.a. er det i direktivets artikel 30 nu en pligt og ikke blot en tilskyndelse, at FIU’erne anvender FIU.net til udveksling af oplysninger med andre FIU’er samt med AMLA med henblik på fælles analyser efter direktivet og AMLA-forordningen. Det er også bl.a. nyt, at FIU’er i videst muligt omfang skal samarbejde om anvendelse af løsninger, der er udviklet og forvaltes af AMLA, og at </w:t>
      </w:r>
      <w:bookmarkStart w:id="1073" w:name="_Hlk230171431"/>
      <w:r w:rsidRPr="00796736">
        <w:rPr>
          <w:rFonts w:ascii="Times New Roman" w:hAnsi="Times New Roman" w:cs="Times New Roman"/>
          <w:sz w:val="24"/>
          <w:szCs w:val="24"/>
        </w:rPr>
        <w:t>FIU’er skal være i stand til at anvende FIU.nets funktioner til at krydstjekke data med oplysninger fra andre FIU’er samt oplysninger, som EU-organer, -kontorer og -agenturer er i besiddelse af.</w:t>
      </w:r>
      <w:bookmarkEnd w:id="1073"/>
    </w:p>
    <w:bookmarkEnd w:id="1072"/>
    <w:p w14:paraId="0C0F1D4C" w14:textId="77777777" w:rsidR="005424F4" w:rsidRPr="00796736" w:rsidRDefault="005424F4" w:rsidP="00A802A5">
      <w:pPr>
        <w:spacing w:line="360" w:lineRule="auto"/>
        <w:rPr>
          <w:rFonts w:ascii="Times New Roman" w:hAnsi="Times New Roman" w:cs="Times New Roman"/>
          <w:sz w:val="24"/>
          <w:szCs w:val="24"/>
        </w:rPr>
      </w:pPr>
    </w:p>
    <w:p w14:paraId="3AE3B4FE" w14:textId="33D8956C"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at gennemføre hvidvaskdirektivets artikel 30 i dansk ret ved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_Ref232596031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indsætte en bestemmelse, der bl.a. regulerer Hvidvasksekretariatets anvendelse af FIU.net og Hvidvasksekretariatets udveksling af oplysninger på en måde, der sikrer højt niveau af datasikkerhed og databeskyttelse. Endvidere foreslås det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_Ref232596031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bl.a. at regulere Hvidvasksekretariatets samarbejde med andre FIU’er om at anvende de mest avancerede teknologier samt om anvendelse af løsninger, der er udviklet og forvaltes af AMLA i overensstemmelse med artikel 5, stk. 5, litra i, artikel 45, stk. 1, litra d, og artikel 47, i AMLA-forordningen. </w:t>
      </w:r>
    </w:p>
    <w:p w14:paraId="4CA33995" w14:textId="77777777" w:rsidR="005424F4" w:rsidRPr="00796736" w:rsidRDefault="005424F4" w:rsidP="00A802A5">
      <w:pPr>
        <w:spacing w:line="360" w:lineRule="auto"/>
        <w:rPr>
          <w:rFonts w:ascii="Times New Roman" w:hAnsi="Times New Roman" w:cs="Times New Roman"/>
          <w:sz w:val="24"/>
          <w:szCs w:val="24"/>
        </w:rPr>
      </w:pPr>
    </w:p>
    <w:p w14:paraId="2CE4E3A5"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AMLA-forordningens artikel 5, stk. 5, litra i, vedrører udvikling af og tilrådighedsstillelse for FIU’erne af værktøjer og tjenester til forbedring af deres analysekapacitet samt af IT-tjenester og -værktøjer og tjenester og værktøjer til kunstig intelligens med henblik på sikker udveksling af oplysninger, herunder gennem hosting af FIU.net. Artikel 45, stk. 1, litra d, vedrører udvikling eller indkøb af IT-værktøjer og -tjenester til forbedring af FIU’ernes analysekapacitet. Artikel 47 i AMLA-forordningen vedrører bl.a. hosting, forvaltning, vedligeholdelse og udvikling af FIU.net. </w:t>
      </w:r>
    </w:p>
    <w:p w14:paraId="63FDF49A" w14:textId="77777777" w:rsidR="005424F4" w:rsidRPr="00796736" w:rsidRDefault="005424F4" w:rsidP="00A802A5">
      <w:pPr>
        <w:spacing w:line="360" w:lineRule="auto"/>
        <w:rPr>
          <w:rFonts w:ascii="Times New Roman" w:hAnsi="Times New Roman" w:cs="Times New Roman"/>
          <w:sz w:val="24"/>
          <w:szCs w:val="24"/>
        </w:rPr>
      </w:pPr>
    </w:p>
    <w:p w14:paraId="209D929C"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det følger af direktivets artikel 30, stk. 1, 1, afsnit, er FIU.net et system, der forvaltes af AMLA, som skal sikre sikker kommunikation og udveksling af oplysninger samt være i stand til at efterlade et skriftligt spor af alle behandlingsaktiviteter. AMLA kan suspendere adgangen for en FIU eller modpart i et tredjeland eller for et EU-organ, -kontor eller -agentur til FIU.net, hvis AMLA har grund til at formode, at en sådan adgang vil bringe gennemførelsen af hvidvaskdirektivets kapitel III og sikkerheden og fortroligheden af de oplysninger, som FIU’er er i besiddelse af, og som udveksles gennem FIU.net, i fare, herunder hvis der er betænkeligheder med hensyn til en FIU’s uafhængighed og autonomi, jf. hvidvaskdirektivets artikel 30, stk. 5.</w:t>
      </w:r>
    </w:p>
    <w:p w14:paraId="580E3C45" w14:textId="77777777" w:rsidR="005424F4" w:rsidRPr="00796736" w:rsidRDefault="005424F4" w:rsidP="00A802A5">
      <w:pPr>
        <w:spacing w:line="360" w:lineRule="auto"/>
        <w:rPr>
          <w:rFonts w:ascii="Times New Roman" w:hAnsi="Times New Roman" w:cs="Times New Roman"/>
          <w:sz w:val="24"/>
          <w:szCs w:val="24"/>
        </w:rPr>
      </w:pPr>
    </w:p>
    <w:p w14:paraId="352AF57D"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at det vil være muligt for AMLA at suspendere adgangen for Hvidvasksekretariatet, andre FIU’er eller modpart i et tredjeland eller et EU-organ, -kontor eller -agentur til FIU.net, hvis AMLA har grund til at formode, at en sådan adgang vil bringe gennemførelsen af hvidvaskdirektivets kapitel III og sikkerheden og fortroligheden af de oplysninger, som FIU’er er i besiddelse af, og som udveksles gennem FIU.net, i fare, herunder hvis der er betænkeligheder med hensyn til en FIU’s uafhængighed og autonomi, jf. hvidvaskdirektivets artikel 30, stk. 5.</w:t>
      </w:r>
    </w:p>
    <w:p w14:paraId="0C15B349" w14:textId="77777777" w:rsidR="0092113C" w:rsidRPr="00796736" w:rsidRDefault="0092113C" w:rsidP="00A802A5">
      <w:pPr>
        <w:spacing w:line="360" w:lineRule="auto"/>
        <w:rPr>
          <w:rFonts w:ascii="Times New Roman" w:hAnsi="Times New Roman" w:cs="Times New Roman"/>
          <w:sz w:val="24"/>
          <w:szCs w:val="24"/>
        </w:rPr>
      </w:pPr>
    </w:p>
    <w:p w14:paraId="4C188EC2" w14:textId="1E363BDC" w:rsidR="005424F4"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bemærkes, at udvekslingen af oplysninger gennem FIU.net vil skulle ske i overensstemmelse med databeskyttelsesreglerne, navnlig databeskyttelsesforordningen og databeskyttelsesloven samt retshåndhævelsesloven, når udvekslingen af oplysninger sker i retshåndhævende øjemed. </w:t>
      </w:r>
    </w:p>
    <w:p w14:paraId="652973DA" w14:textId="0A7B8704" w:rsidR="005424F4" w:rsidRPr="00796736" w:rsidRDefault="005424F4"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_Ref232596031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og bemærkningerne hertil.</w:t>
      </w:r>
    </w:p>
    <w:p w14:paraId="024E6810" w14:textId="77777777" w:rsidR="005424F4" w:rsidRPr="00796736" w:rsidRDefault="005424F4" w:rsidP="00A802A5">
      <w:pPr>
        <w:spacing w:line="360" w:lineRule="auto"/>
        <w:rPr>
          <w:rFonts w:ascii="Times New Roman" w:hAnsi="Times New Roman" w:cs="Times New Roman"/>
          <w:sz w:val="24"/>
          <w:szCs w:val="24"/>
        </w:rPr>
      </w:pPr>
    </w:p>
    <w:p w14:paraId="421221FE" w14:textId="2791DA62" w:rsidR="003C1A7C" w:rsidRPr="00796736" w:rsidRDefault="003C1A7C" w:rsidP="00A802A5">
      <w:pPr>
        <w:pStyle w:val="Overskrift2"/>
        <w:rPr>
          <w:rFonts w:ascii="Times New Roman" w:hAnsi="Times New Roman"/>
          <w:sz w:val="24"/>
        </w:rPr>
      </w:pPr>
      <w:bookmarkStart w:id="1074" w:name="_Toc232109091"/>
      <w:bookmarkStart w:id="1075" w:name="_Ref232944092"/>
      <w:bookmarkStart w:id="1076" w:name="_Toc244880742"/>
      <w:bookmarkEnd w:id="1057"/>
      <w:bookmarkEnd w:id="1058"/>
      <w:bookmarkEnd w:id="1059"/>
      <w:bookmarkEnd w:id="1060"/>
      <w:r w:rsidRPr="00796736">
        <w:rPr>
          <w:rFonts w:ascii="Times New Roman" w:hAnsi="Times New Roman"/>
          <w:sz w:val="24"/>
        </w:rPr>
        <w:t>Fælles analyser</w:t>
      </w:r>
      <w:bookmarkEnd w:id="1074"/>
      <w:bookmarkEnd w:id="1075"/>
      <w:bookmarkEnd w:id="1076"/>
    </w:p>
    <w:p w14:paraId="061BE5E4" w14:textId="670C890B" w:rsidR="005A296B" w:rsidRPr="00796736" w:rsidRDefault="005A296B" w:rsidP="00A802A5">
      <w:pPr>
        <w:pStyle w:val="Overskrift4"/>
        <w:rPr>
          <w:rFonts w:ascii="Times New Roman" w:hAnsi="Times New Roman" w:cs="Times New Roman"/>
          <w:sz w:val="24"/>
          <w:szCs w:val="24"/>
        </w:rPr>
      </w:pPr>
      <w:bookmarkStart w:id="1077" w:name="_Toc232109092"/>
      <w:bookmarkStart w:id="1078" w:name="_Ref232793216"/>
      <w:bookmarkStart w:id="1079" w:name="_Ref232944040"/>
      <w:r w:rsidRPr="00796736">
        <w:rPr>
          <w:rFonts w:ascii="Times New Roman" w:hAnsi="Times New Roman" w:cs="Times New Roman"/>
          <w:sz w:val="24"/>
          <w:szCs w:val="24"/>
        </w:rPr>
        <w:t>Gældende ret</w:t>
      </w:r>
      <w:bookmarkEnd w:id="1077"/>
      <w:bookmarkEnd w:id="1078"/>
      <w:bookmarkEnd w:id="1079"/>
    </w:p>
    <w:p w14:paraId="49922FF5"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 indeholder ikke i dag regler om Hvidvasksekretariatets deltagelse i fælles analyser med bl.a. andre FIU’er af mistænkelige transaktioner og aktiviteter. Hvidvaskloven indeholder heller ikke regler om oprettelse af fælles analysehold til at foretage operationelle analyser af mistænkelige transaktioner eller aktiviteter.</w:t>
      </w:r>
    </w:p>
    <w:p w14:paraId="2BA237FA" w14:textId="77777777" w:rsidR="003C1A7C" w:rsidRPr="00796736" w:rsidRDefault="003C1A7C" w:rsidP="00A802A5">
      <w:pPr>
        <w:spacing w:line="360" w:lineRule="auto"/>
        <w:rPr>
          <w:rFonts w:ascii="Times New Roman" w:hAnsi="Times New Roman" w:cs="Times New Roman"/>
          <w:sz w:val="24"/>
          <w:szCs w:val="24"/>
        </w:rPr>
      </w:pPr>
    </w:p>
    <w:p w14:paraId="774F045C" w14:textId="0DC00E50" w:rsidR="005A296B" w:rsidRPr="00796736" w:rsidRDefault="005A296B" w:rsidP="00A802A5">
      <w:pPr>
        <w:pStyle w:val="Overskrift4"/>
        <w:rPr>
          <w:rFonts w:ascii="Times New Roman" w:hAnsi="Times New Roman" w:cs="Times New Roman"/>
          <w:sz w:val="24"/>
          <w:szCs w:val="24"/>
        </w:rPr>
      </w:pPr>
      <w:bookmarkStart w:id="1080" w:name="_Toc232109093"/>
      <w:bookmarkStart w:id="1081" w:name="_Ref232793223"/>
      <w:r w:rsidRPr="00796736">
        <w:rPr>
          <w:rFonts w:ascii="Times New Roman" w:hAnsi="Times New Roman" w:cs="Times New Roman"/>
          <w:sz w:val="24"/>
          <w:szCs w:val="24"/>
        </w:rPr>
        <w:t>6. hvidvaskdirektiv</w:t>
      </w:r>
      <w:bookmarkEnd w:id="1080"/>
      <w:bookmarkEnd w:id="1081"/>
    </w:p>
    <w:p w14:paraId="70636456"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32 vedrører fælles analyser mellem bl.a. FIU’er af mistænkelige transaktioner og aktiviteter. Bestemmelsen er ny i forhold til 4. og 5. hvidvaskdirektiv.</w:t>
      </w:r>
    </w:p>
    <w:p w14:paraId="300D1C2C" w14:textId="77777777" w:rsidR="004F342F" w:rsidRPr="00796736" w:rsidRDefault="004F342F" w:rsidP="00A802A5">
      <w:pPr>
        <w:spacing w:line="360" w:lineRule="auto"/>
        <w:rPr>
          <w:rFonts w:ascii="Times New Roman" w:hAnsi="Times New Roman" w:cs="Times New Roman"/>
          <w:sz w:val="24"/>
          <w:szCs w:val="24"/>
        </w:rPr>
      </w:pPr>
    </w:p>
    <w:p w14:paraId="01FE913D"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artikel 32, stk. 1, at medlemsstaterne sikrer, at deres FIU’er er i stand til at foretage fælles analyser af mistænkelige transaktioner og aktiviteter. </w:t>
      </w:r>
    </w:p>
    <w:p w14:paraId="1E168F0E" w14:textId="77777777" w:rsidR="004F342F" w:rsidRPr="00796736" w:rsidRDefault="004F342F" w:rsidP="00A802A5">
      <w:pPr>
        <w:spacing w:line="360" w:lineRule="auto"/>
        <w:rPr>
          <w:rFonts w:ascii="Times New Roman" w:hAnsi="Times New Roman" w:cs="Times New Roman"/>
          <w:sz w:val="24"/>
          <w:szCs w:val="24"/>
        </w:rPr>
      </w:pPr>
    </w:p>
    <w:p w14:paraId="627AC0E9"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stk. 2, fremgår det videre, at med henblik på denne artikels stk. 1 opretter de relevante FIU’er bistået af AMLA, i overensstemmelse med artikel 40 i AMLA-forordningen, et fælles analysehold til et specifikt formål og for en begrænset periode, som kan forlænges efter fælles overenskomst, til at foretage operationelle analyser af mistænkelige transaktioner eller aktiviteter, der involverer en eller flere af de FIU’er, der opretter holdet. </w:t>
      </w:r>
    </w:p>
    <w:p w14:paraId="1A479DA9" w14:textId="77777777" w:rsidR="004F342F" w:rsidRPr="00796736" w:rsidRDefault="004F342F" w:rsidP="00A802A5">
      <w:pPr>
        <w:spacing w:line="360" w:lineRule="auto"/>
        <w:rPr>
          <w:rFonts w:ascii="Times New Roman" w:hAnsi="Times New Roman" w:cs="Times New Roman"/>
          <w:sz w:val="24"/>
          <w:szCs w:val="24"/>
        </w:rPr>
      </w:pPr>
    </w:p>
    <w:p w14:paraId="48782F44"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3, 1. afsnit, kan der oprettes et fælles analysehold, hvis: </w:t>
      </w:r>
    </w:p>
    <w:p w14:paraId="45BA197F" w14:textId="77777777" w:rsidR="004F342F" w:rsidRPr="00796736" w:rsidRDefault="004F342F">
      <w:pPr>
        <w:pStyle w:val="Listeafsnit"/>
        <w:numPr>
          <w:ilvl w:val="0"/>
          <w:numId w:val="14"/>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FIU’s operationelle analyser kræver vanskelige og krævende analyser med tilknytning til andre medlemsstater </w:t>
      </w:r>
    </w:p>
    <w:p w14:paraId="0F70F628" w14:textId="77777777" w:rsidR="004F342F" w:rsidRPr="00796736" w:rsidRDefault="004F342F">
      <w:pPr>
        <w:pStyle w:val="Listeafsnit"/>
        <w:numPr>
          <w:ilvl w:val="0"/>
          <w:numId w:val="14"/>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række FIU’er er i gang med at foretage operationelle analyser, hvor sagens omstændigheder berettiger en samordnet indsats i de involverede medlemsstater. </w:t>
      </w:r>
    </w:p>
    <w:p w14:paraId="7BA007E9" w14:textId="77777777" w:rsidR="004F342F" w:rsidRPr="00796736" w:rsidRDefault="004F342F" w:rsidP="00A802A5">
      <w:pPr>
        <w:spacing w:line="360" w:lineRule="auto"/>
        <w:rPr>
          <w:rFonts w:ascii="Times New Roman" w:hAnsi="Times New Roman" w:cs="Times New Roman"/>
          <w:sz w:val="24"/>
          <w:szCs w:val="24"/>
        </w:rPr>
      </w:pPr>
    </w:p>
    <w:p w14:paraId="455C7C5E"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Videre fremgår det af stk. 3, 2. afsnit, at en anmodning om oprettelse af et fælles analysehold kan fremsættes af enhver af de berørte FIU’er eller AMLA i henhold til artikel 44 i AMLA-forordningen.</w:t>
      </w:r>
    </w:p>
    <w:p w14:paraId="081BEC68" w14:textId="77777777" w:rsidR="004F342F" w:rsidRPr="00796736" w:rsidRDefault="004F342F" w:rsidP="00A802A5">
      <w:pPr>
        <w:spacing w:line="360" w:lineRule="auto"/>
        <w:rPr>
          <w:rFonts w:ascii="Times New Roman" w:hAnsi="Times New Roman" w:cs="Times New Roman"/>
          <w:sz w:val="24"/>
          <w:szCs w:val="24"/>
        </w:rPr>
      </w:pPr>
    </w:p>
    <w:p w14:paraId="3249057C"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stk. 4, at medlemsstaterne sikrer, at den medarbejder i deres FIU, der er afsat til det fælles analysehold, i overensstemmelse med gældende national ret og inden for rammerne af medarbejderens kompetence er i stand til at give holdet de oplysninger, der er til rådighed for dets FIU, med henblik på den analyse, som holdet foretager. </w:t>
      </w:r>
    </w:p>
    <w:p w14:paraId="36642643" w14:textId="77777777" w:rsidR="004F342F" w:rsidRPr="00796736" w:rsidRDefault="004F342F" w:rsidP="00A802A5">
      <w:pPr>
        <w:spacing w:line="360" w:lineRule="auto"/>
        <w:rPr>
          <w:rFonts w:ascii="Times New Roman" w:hAnsi="Times New Roman" w:cs="Times New Roman"/>
          <w:sz w:val="24"/>
          <w:szCs w:val="24"/>
        </w:rPr>
      </w:pPr>
    </w:p>
    <w:p w14:paraId="3B1CA55E"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stk. 5, at hvis det fælles analysehold har brug for bistand fra en anden FIU end de FIU’er, der er en del af holdet, kan den anmode denne anden FIU om at: </w:t>
      </w:r>
    </w:p>
    <w:p w14:paraId="5500D67F" w14:textId="77777777" w:rsidR="004F342F" w:rsidRPr="00796736" w:rsidRDefault="004F342F">
      <w:pPr>
        <w:pStyle w:val="Listeafsnit"/>
        <w:numPr>
          <w:ilvl w:val="0"/>
          <w:numId w:val="15"/>
        </w:numPr>
        <w:spacing w:line="360" w:lineRule="auto"/>
        <w:rPr>
          <w:rFonts w:ascii="Times New Roman" w:hAnsi="Times New Roman" w:cs="Times New Roman"/>
          <w:sz w:val="24"/>
          <w:szCs w:val="24"/>
        </w:rPr>
      </w:pPr>
      <w:r w:rsidRPr="00796736">
        <w:rPr>
          <w:rFonts w:ascii="Times New Roman" w:hAnsi="Times New Roman" w:cs="Times New Roman"/>
          <w:sz w:val="24"/>
          <w:szCs w:val="24"/>
        </w:rPr>
        <w:t>slutte sig til det fælles analysehold</w:t>
      </w:r>
    </w:p>
    <w:p w14:paraId="1C31ADB1" w14:textId="77777777" w:rsidR="004F342F" w:rsidRPr="00796736" w:rsidRDefault="004F342F">
      <w:pPr>
        <w:pStyle w:val="Listeafsnit"/>
        <w:numPr>
          <w:ilvl w:val="0"/>
          <w:numId w:val="15"/>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fremsende finansielle efterretninger og finansielle oplysninger til det fælles analysehold. </w:t>
      </w:r>
    </w:p>
    <w:p w14:paraId="38E113D4" w14:textId="77777777" w:rsidR="004F342F" w:rsidRPr="00796736" w:rsidRDefault="004F342F" w:rsidP="00A802A5">
      <w:pPr>
        <w:spacing w:line="360" w:lineRule="auto"/>
        <w:rPr>
          <w:rFonts w:ascii="Times New Roman" w:hAnsi="Times New Roman" w:cs="Times New Roman"/>
          <w:sz w:val="24"/>
          <w:szCs w:val="24"/>
        </w:rPr>
      </w:pPr>
    </w:p>
    <w:p w14:paraId="2DC26C28"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endvidere af stk. 6, 1. afsnit, at medlemsstaterne sikrer, at FIU’er kan indbyde tredjeparter, herunder EU-organer, -kontorer og -agenturer, til at deltage i de fælles analyser, hvis det er relevant i denne forbindelse, og hvis en sådan deltagelse falder ind under disse tredjeparters respektive mandater. Af stk. 6, 2. afsnit, fremgår, at medlemsstaterne sikrer, at FIU’er, der deltager i en fælles analyse, fastlægger, hvilke betingelser der finder anvendelse på tredjeparters deltagelse, og indfører foranstaltninger, der garanterer de udvekslede oplysningers fortrolighed og sikkerhed. Medlemsstaterne sikrer, at de udvekslede oplysninger udelukkende anvendes til de formål, hvortil den fælles analyse blev iværksat. </w:t>
      </w:r>
    </w:p>
    <w:p w14:paraId="16BC0098" w14:textId="77777777" w:rsidR="004F342F" w:rsidRPr="00796736" w:rsidRDefault="004F342F" w:rsidP="00A802A5">
      <w:pPr>
        <w:spacing w:line="360" w:lineRule="auto"/>
        <w:rPr>
          <w:rFonts w:ascii="Times New Roman" w:hAnsi="Times New Roman" w:cs="Times New Roman"/>
          <w:sz w:val="24"/>
          <w:szCs w:val="24"/>
        </w:rPr>
      </w:pPr>
    </w:p>
    <w:p w14:paraId="456F7453" w14:textId="77777777" w:rsidR="004F342F" w:rsidRPr="00796736" w:rsidRDefault="004F342F" w:rsidP="00A802A5">
      <w:pPr>
        <w:spacing w:line="360" w:lineRule="auto"/>
        <w:rPr>
          <w:rFonts w:ascii="Times New Roman" w:hAnsi="Times New Roman" w:cs="Times New Roman"/>
          <w:sz w:val="24"/>
          <w:szCs w:val="24"/>
        </w:rPr>
      </w:pPr>
      <w:bookmarkStart w:id="1082" w:name="_Hlk230282922"/>
      <w:r w:rsidRPr="00796736">
        <w:rPr>
          <w:rFonts w:ascii="Times New Roman" w:hAnsi="Times New Roman" w:cs="Times New Roman"/>
          <w:sz w:val="24"/>
          <w:szCs w:val="24"/>
        </w:rPr>
        <w:t xml:space="preserve">Det fremgår af direktivets præambelbetragtning nr. 81 bl.a., at </w:t>
      </w:r>
      <w:r w:rsidRPr="00796736">
        <w:rPr>
          <w:rFonts w:ascii="Times New Roman" w:hAnsi="Times New Roman" w:cs="Times New Roman"/>
          <w:sz w:val="24"/>
          <w:szCs w:val="24"/>
          <w:shd w:val="clear" w:color="auto" w:fill="FFFFFF"/>
        </w:rPr>
        <w:t>overførsel af ulovlige midler sker på tværs af grænser og kan påvirke forskellige medlemsstater. De grænseoverskridende sager, der involverer flere jurisdiktioner, bliver stadig hyppigere og mere betydningsfulde, også på grund af de aktiviteter, som forpligtede enheder udfører på tværs af grænserne. F</w:t>
      </w:r>
      <w:r w:rsidRPr="00796736">
        <w:rPr>
          <w:rFonts w:ascii="Times New Roman" w:hAnsi="Times New Roman" w:cs="Times New Roman"/>
          <w:sz w:val="24"/>
          <w:szCs w:val="24"/>
        </w:rPr>
        <w:t xml:space="preserve">or effektivt at kunne håndtere sager, der vedrører flere medlemsstater, bør FIU’er kunne gå videre end blot udveksle oplysninger med henblik på at opdage og analysere mistænkelige transaktioner og aktiviteter og udføre selve analyseaktiviteten i fællesskab. Det følger videre, at FIU’er bør være i stand til at foretage fælles analyser af mistænkelige transaktioner og aktiviteter og til at oprette og deltage i fælles analysehold til specifikke formål og i en begrænset periode med bistand fra AMLA. </w:t>
      </w:r>
    </w:p>
    <w:p w14:paraId="5FCE7B54" w14:textId="77777777" w:rsidR="004F342F" w:rsidRPr="00796736" w:rsidRDefault="004F342F" w:rsidP="00A802A5">
      <w:pPr>
        <w:spacing w:line="360" w:lineRule="auto"/>
        <w:rPr>
          <w:rFonts w:ascii="Times New Roman" w:hAnsi="Times New Roman" w:cs="Times New Roman"/>
          <w:sz w:val="24"/>
          <w:szCs w:val="24"/>
        </w:rPr>
      </w:pPr>
    </w:p>
    <w:p w14:paraId="0F5E23EE"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direktivets præambelbetragtning nr. 82 bl.a., at FIU’er kan opfordre tredjeparter til at deltage i den fælles analyse, hvis en sådan deltagelse falder inden for disse tredjeparters respektive mandater. Det fremgår endvidere af præambelbetragtningen, at tredjeparters deltagelse i analyseprocessen kunne bidrage til at identificere forbindelser mellem finansielle efterretninger og strafferetlige oplysninger og efterretninger, forbedre analysen og fastslå, om der er tegn på, at der er begået en strafbar handling.</w:t>
      </w:r>
    </w:p>
    <w:bookmarkEnd w:id="1082"/>
    <w:p w14:paraId="7CA33666" w14:textId="77777777" w:rsidR="003C1A7C" w:rsidRPr="00796736" w:rsidRDefault="003C1A7C" w:rsidP="00A802A5">
      <w:pPr>
        <w:spacing w:line="360" w:lineRule="auto"/>
        <w:rPr>
          <w:rFonts w:ascii="Times New Roman" w:hAnsi="Times New Roman" w:cs="Times New Roman"/>
          <w:sz w:val="24"/>
          <w:szCs w:val="24"/>
        </w:rPr>
      </w:pPr>
    </w:p>
    <w:p w14:paraId="2D6747E4" w14:textId="2CB373D9" w:rsidR="005A296B" w:rsidRPr="00796736" w:rsidRDefault="003C1A7C" w:rsidP="00A802A5">
      <w:pPr>
        <w:pStyle w:val="Overskrift4"/>
        <w:rPr>
          <w:rFonts w:ascii="Times New Roman" w:hAnsi="Times New Roman" w:cs="Times New Roman"/>
          <w:sz w:val="24"/>
          <w:szCs w:val="24"/>
        </w:rPr>
      </w:pPr>
      <w:bookmarkStart w:id="1083" w:name="_Toc232109094"/>
      <w:r w:rsidRPr="00796736">
        <w:rPr>
          <w:rFonts w:ascii="Times New Roman" w:hAnsi="Times New Roman" w:cs="Times New Roman"/>
          <w:sz w:val="24"/>
          <w:szCs w:val="24"/>
        </w:rPr>
        <w:t xml:space="preserve">Justitsministeriets </w:t>
      </w:r>
      <w:r w:rsidR="005A296B" w:rsidRPr="00796736">
        <w:rPr>
          <w:rFonts w:ascii="Times New Roman" w:hAnsi="Times New Roman" w:cs="Times New Roman"/>
          <w:sz w:val="24"/>
          <w:szCs w:val="24"/>
        </w:rPr>
        <w:t>overvejelser og den foreslåede ordning</w:t>
      </w:r>
      <w:bookmarkEnd w:id="1083"/>
      <w:r w:rsidR="005A296B" w:rsidRPr="00796736">
        <w:rPr>
          <w:rFonts w:ascii="Times New Roman" w:hAnsi="Times New Roman" w:cs="Times New Roman"/>
          <w:sz w:val="24"/>
          <w:szCs w:val="24"/>
        </w:rPr>
        <w:t xml:space="preserve"> </w:t>
      </w:r>
    </w:p>
    <w:p w14:paraId="2BEB22F1" w14:textId="741EA92E"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B4195B" w:rsidRPr="00796736">
        <w:rPr>
          <w:rFonts w:ascii="Times New Roman" w:hAnsi="Times New Roman" w:cs="Times New Roman"/>
          <w:sz w:val="24"/>
          <w:szCs w:val="24"/>
        </w:rPr>
        <w:fldChar w:fldCharType="begin"/>
      </w:r>
      <w:r w:rsidR="00B4195B" w:rsidRPr="00796736">
        <w:rPr>
          <w:rFonts w:ascii="Times New Roman" w:hAnsi="Times New Roman" w:cs="Times New Roman"/>
          <w:sz w:val="24"/>
          <w:szCs w:val="24"/>
        </w:rPr>
        <w:instrText xml:space="preserve"> REF _Ref232793216 \n \h </w:instrText>
      </w:r>
      <w:r w:rsidR="00967618" w:rsidRPr="00796736">
        <w:rPr>
          <w:rFonts w:ascii="Times New Roman" w:hAnsi="Times New Roman" w:cs="Times New Roman"/>
          <w:sz w:val="24"/>
          <w:szCs w:val="24"/>
        </w:rPr>
        <w:instrText xml:space="preserve"> \* MERGEFORMAT </w:instrText>
      </w:r>
      <w:r w:rsidR="00B4195B" w:rsidRPr="00796736">
        <w:rPr>
          <w:rFonts w:ascii="Times New Roman" w:hAnsi="Times New Roman" w:cs="Times New Roman"/>
          <w:sz w:val="24"/>
          <w:szCs w:val="24"/>
        </w:rPr>
      </w:r>
      <w:r w:rsidR="00B4195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3.25.1</w:t>
      </w:r>
      <w:r w:rsidR="00B4195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er der i hvidvaskloven ikke regler om Hvidvasksekretariatets deltagelse i fælles analyser med bl.a. andre FIU’er af mistænkelige transaktioner og aktiviteter. Direktivet indeholder imidlertid i artikel 32 – som noget nyt i forhold til 4. og 5. hvidvaskdirektiv – en bestemmelse om fælles analyser, jf. pkt. </w:t>
      </w:r>
      <w:r w:rsidR="00B4195B" w:rsidRPr="00796736">
        <w:rPr>
          <w:rFonts w:ascii="Times New Roman" w:hAnsi="Times New Roman" w:cs="Times New Roman"/>
          <w:sz w:val="24"/>
          <w:szCs w:val="24"/>
        </w:rPr>
        <w:fldChar w:fldCharType="begin"/>
      </w:r>
      <w:r w:rsidR="00B4195B" w:rsidRPr="00796736">
        <w:rPr>
          <w:rFonts w:ascii="Times New Roman" w:hAnsi="Times New Roman" w:cs="Times New Roman"/>
          <w:sz w:val="24"/>
          <w:szCs w:val="24"/>
        </w:rPr>
        <w:instrText xml:space="preserve"> REF _Ref232793223 \n \h </w:instrText>
      </w:r>
      <w:r w:rsidR="00967618" w:rsidRPr="00796736">
        <w:rPr>
          <w:rFonts w:ascii="Times New Roman" w:hAnsi="Times New Roman" w:cs="Times New Roman"/>
          <w:sz w:val="24"/>
          <w:szCs w:val="24"/>
        </w:rPr>
        <w:instrText xml:space="preserve"> \* MERGEFORMAT </w:instrText>
      </w:r>
      <w:r w:rsidR="00B4195B" w:rsidRPr="00796736">
        <w:rPr>
          <w:rFonts w:ascii="Times New Roman" w:hAnsi="Times New Roman" w:cs="Times New Roman"/>
          <w:sz w:val="24"/>
          <w:szCs w:val="24"/>
        </w:rPr>
      </w:r>
      <w:r w:rsidR="00B4195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3.25.2</w:t>
      </w:r>
      <w:r w:rsidR="00B4195B"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76A8513D" w14:textId="77777777" w:rsidR="004F342F" w:rsidRPr="00796736" w:rsidRDefault="004F342F" w:rsidP="00A802A5">
      <w:pPr>
        <w:spacing w:line="360" w:lineRule="auto"/>
        <w:rPr>
          <w:rFonts w:ascii="Times New Roman" w:hAnsi="Times New Roman" w:cs="Times New Roman"/>
          <w:sz w:val="24"/>
          <w:szCs w:val="24"/>
        </w:rPr>
      </w:pPr>
    </w:p>
    <w:p w14:paraId="6ABA7DFC" w14:textId="4B220771"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at gennemføre direktivets artikel 32 ved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_Ref232596098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fastlægge, at Hvidvasksekretariatet kan deltage i eller oprette fælles analysehold med andre EU-medlemsstaters FIU’er til et specifikt formål og i en begrænset periode at foretage operationelle analyser af mistænkelige transaktioner eller aktiviteter, der involverer en eller flere af de FIU’er, som opretter holdet. </w:t>
      </w:r>
      <w:bookmarkStart w:id="1084" w:name="_Hlk227919647"/>
      <w:r w:rsidRPr="00796736">
        <w:rPr>
          <w:rFonts w:ascii="Times New Roman" w:hAnsi="Times New Roman" w:cs="Times New Roman"/>
          <w:sz w:val="24"/>
          <w:szCs w:val="24"/>
        </w:rPr>
        <w:t>Perioden vil kunne forlænges efter fælles overenskomst, og det forudsættes, at den fælles overenskomst, hvorefter analysen kan forlænges, indgås mellem de deltagende FIU’er og eventuelt AMLA</w:t>
      </w:r>
      <w:bookmarkEnd w:id="1084"/>
      <w:r w:rsidRPr="00796736">
        <w:rPr>
          <w:rFonts w:ascii="Times New Roman" w:hAnsi="Times New Roman" w:cs="Times New Roman"/>
          <w:sz w:val="24"/>
          <w:szCs w:val="24"/>
        </w:rPr>
        <w:t xml:space="preserve">. Det bemærkes, at en oprettelse af et fælles analysehold efter den foreslåede bestemmelse vil kunne bistås af AMLA efter artikel 40 i AMLA-forordningen, ligesom AMLA vil kunne fremsætte en anmodning om oprettelsen af et fælles analysehold.  </w:t>
      </w:r>
    </w:p>
    <w:p w14:paraId="1522749C" w14:textId="77777777" w:rsidR="004F342F" w:rsidRPr="00796736" w:rsidRDefault="004F342F" w:rsidP="00A802A5">
      <w:pPr>
        <w:spacing w:line="360" w:lineRule="auto"/>
        <w:rPr>
          <w:rFonts w:ascii="Times New Roman" w:hAnsi="Times New Roman" w:cs="Times New Roman"/>
          <w:sz w:val="24"/>
          <w:szCs w:val="24"/>
        </w:rPr>
      </w:pPr>
    </w:p>
    <w:p w14:paraId="65E05225"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foreslås det, at Hvidvasksekretariatet kan oprette og deltage i fælles analysehold, hvis operationelle analyser kræver vanskelige og krævende analyser med tilknytning til andre medlemsstater, eller en række FIU’er er i gang med at foretage operationelle analyser, hvor sagens omstændigheder berettiger en samordnet indsats i de involverede medlemsstater. En anmodning om oprettelse af et fælles analysehold kan fremsættes af Hvidvasksekretariatet.</w:t>
      </w:r>
    </w:p>
    <w:p w14:paraId="69BC4E99" w14:textId="77777777" w:rsidR="004F342F" w:rsidRPr="00796736" w:rsidRDefault="004F342F" w:rsidP="00A802A5">
      <w:pPr>
        <w:spacing w:line="360" w:lineRule="auto"/>
        <w:rPr>
          <w:rFonts w:ascii="Times New Roman" w:hAnsi="Times New Roman" w:cs="Times New Roman"/>
          <w:sz w:val="24"/>
          <w:szCs w:val="24"/>
        </w:rPr>
      </w:pPr>
    </w:p>
    <w:p w14:paraId="782038C4"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endvidere, at Hvidvasksekretariatet kan udveksle oplysninger med et fælles analysehold som led i fælles analyser. I den forbindelse forudsættes det, at medarbejderen i Hvidvasksekretariatet, der er afsat til det fælles analysehold, i overensstemmelse med gældende ret og inden for rammerne af medarbejderens kompetence, vil kunne give holdet de oplysninger, der er til rådighed for Hvidvasksekretariatet, med henblik på den analyse, som holdet foretager.</w:t>
      </w:r>
    </w:p>
    <w:p w14:paraId="072EBAB5" w14:textId="77777777" w:rsidR="004F342F" w:rsidRPr="00796736" w:rsidRDefault="004F342F" w:rsidP="00A802A5">
      <w:pPr>
        <w:spacing w:line="360" w:lineRule="auto"/>
        <w:rPr>
          <w:rFonts w:ascii="Times New Roman" w:hAnsi="Times New Roman" w:cs="Times New Roman"/>
          <w:sz w:val="24"/>
          <w:szCs w:val="24"/>
        </w:rPr>
      </w:pPr>
    </w:p>
    <w:p w14:paraId="4F9B1E14" w14:textId="77777777" w:rsidR="00684586" w:rsidRPr="00796736" w:rsidRDefault="0068458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foreslås det, at et fælles analysehold kan anmode en anden FIU om at slutte sig til det fælles analysehold eller fremsende finansielle efterretninger og finansielle oplysninger til det fælles analysehold, samt at Hvidvasksekretariatet kan indbyde tredjeparter, herunder EU-organer, -kontorer og -agenturer, til at deltage i de fælles analyser.</w:t>
      </w:r>
    </w:p>
    <w:p w14:paraId="499F6897" w14:textId="77777777" w:rsidR="004F342F" w:rsidRPr="00796736" w:rsidRDefault="004F342F" w:rsidP="00A802A5">
      <w:pPr>
        <w:spacing w:line="360" w:lineRule="auto"/>
        <w:rPr>
          <w:rFonts w:ascii="Times New Roman" w:eastAsiaTheme="majorEastAsia" w:hAnsi="Times New Roman" w:cs="Times New Roman"/>
          <w:sz w:val="24"/>
          <w:szCs w:val="24"/>
        </w:rPr>
      </w:pPr>
    </w:p>
    <w:p w14:paraId="037C4373" w14:textId="77777777" w:rsidR="004F342F" w:rsidRPr="00796736" w:rsidRDefault="004F342F" w:rsidP="00A802A5">
      <w:pPr>
        <w:spacing w:line="360" w:lineRule="auto"/>
        <w:rPr>
          <w:rFonts w:ascii="Times New Roman" w:eastAsiaTheme="majorEastAsia" w:hAnsi="Times New Roman" w:cs="Times New Roman"/>
          <w:sz w:val="24"/>
          <w:szCs w:val="24"/>
        </w:rPr>
      </w:pPr>
      <w:r w:rsidRPr="00796736">
        <w:rPr>
          <w:rFonts w:ascii="Times New Roman" w:eastAsiaTheme="majorEastAsia" w:hAnsi="Times New Roman" w:cs="Times New Roman"/>
          <w:sz w:val="24"/>
          <w:szCs w:val="24"/>
        </w:rPr>
        <w:t>Det forudsættes, at der ved cirkulære ligesom i dag vil blive fastsat nærmere regler om, at Hvidvasksekretariatet, hvis sekretariatet deltager i en fælles analyse, fastlægger, hvilke betingelser der finder anvendelse på tredjeparters deltagelse, og indfører foranstaltninger, der garanterer de udvekslede oplysningers fortrolighed og sikkerhed, jf. hvidvaskdirektivets artikel 32, stk. 6, 2. afsnit, 1. pkt. Det forudsættes endvidere fastsat ved cirkulære, at de udvekslede oplysninger udelukkende anvendes til de formål, hvortil den fælles analyse blev iværksat, jf. hvidvaskdirektivets artikel 32, stk. 6, 2. afsnit, 2. pkt.</w:t>
      </w:r>
    </w:p>
    <w:p w14:paraId="5134370B" w14:textId="77777777" w:rsidR="004F342F" w:rsidRPr="00796736" w:rsidRDefault="004F342F" w:rsidP="00A802A5">
      <w:pPr>
        <w:spacing w:line="360" w:lineRule="auto"/>
        <w:rPr>
          <w:rFonts w:ascii="Times New Roman" w:eastAsiaTheme="majorEastAsia" w:hAnsi="Times New Roman" w:cs="Times New Roman"/>
          <w:sz w:val="24"/>
          <w:szCs w:val="24"/>
        </w:rPr>
      </w:pPr>
    </w:p>
    <w:p w14:paraId="5B307789" w14:textId="77777777" w:rsidR="004F342F" w:rsidRPr="00796736" w:rsidRDefault="004F342F" w:rsidP="00A802A5">
      <w:pPr>
        <w:spacing w:line="360" w:lineRule="auto"/>
        <w:rPr>
          <w:rFonts w:ascii="Times New Roman" w:eastAsiaTheme="majorEastAsia" w:hAnsi="Times New Roman" w:cs="Times New Roman"/>
          <w:sz w:val="24"/>
          <w:szCs w:val="24"/>
        </w:rPr>
      </w:pPr>
      <w:bookmarkStart w:id="1085" w:name="_Hlk224800412"/>
      <w:r w:rsidRPr="00796736">
        <w:rPr>
          <w:rFonts w:ascii="Times New Roman" w:eastAsiaTheme="majorEastAsia" w:hAnsi="Times New Roman" w:cs="Times New Roman"/>
          <w:sz w:val="24"/>
          <w:szCs w:val="24"/>
        </w:rPr>
        <w:t xml:space="preserve">Den foreslåede bestemmelse vil indebære, at det fastsættes direkte i hvidvaskloven, at Hvidvasksekretariatet kan deltage i og oprette fælles analyser med andre FIU’er af mistænkelige transaktioner og aktiviteter. Tredjeparter, herunder EU-organer, -kontorer og -agenturer, vil i overensstemmelse med direktivets artikel 32, stk. 6, 1. afsnit, kunne indbydes til at deltage i de fælles analyser, hvis det er relevant, og hvis en sådan deltagelse falder ind under disse tredjeparters respektive mandater. Med den foreslåede bestemmelse vil Hvidvasksekretariatet endvidere kunne udveksle relevante oplysninger, som sekretariatet har til rådighed, til brug for en fælles analyse. </w:t>
      </w:r>
    </w:p>
    <w:bookmarkEnd w:id="1085"/>
    <w:p w14:paraId="6D66BB1A" w14:textId="77777777" w:rsidR="004F342F" w:rsidRPr="00796736" w:rsidRDefault="004F342F" w:rsidP="00A802A5">
      <w:pPr>
        <w:spacing w:line="360" w:lineRule="auto"/>
        <w:rPr>
          <w:rFonts w:ascii="Times New Roman" w:hAnsi="Times New Roman" w:cs="Times New Roman"/>
          <w:sz w:val="24"/>
          <w:szCs w:val="24"/>
        </w:rPr>
      </w:pPr>
    </w:p>
    <w:p w14:paraId="1924C9B6" w14:textId="36BE4190" w:rsidR="004F342F" w:rsidRPr="00796736" w:rsidRDefault="004F342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B4195B" w:rsidRPr="00796736">
        <w:rPr>
          <w:rFonts w:ascii="Times New Roman" w:hAnsi="Times New Roman" w:cs="Times New Roman"/>
          <w:sz w:val="24"/>
          <w:szCs w:val="24"/>
        </w:rPr>
        <w:fldChar w:fldCharType="begin"/>
      </w:r>
      <w:r w:rsidR="00B4195B"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B4195B" w:rsidRPr="00796736">
        <w:rPr>
          <w:rFonts w:ascii="Times New Roman" w:hAnsi="Times New Roman" w:cs="Times New Roman"/>
          <w:sz w:val="24"/>
          <w:szCs w:val="24"/>
        </w:rPr>
      </w:r>
      <w:r w:rsidR="00B4195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B4195B" w:rsidRPr="00796736">
        <w:rPr>
          <w:rFonts w:ascii="Times New Roman" w:hAnsi="Times New Roman" w:cs="Times New Roman"/>
          <w:sz w:val="24"/>
          <w:szCs w:val="24"/>
        </w:rPr>
        <w:fldChar w:fldCharType="end"/>
      </w:r>
      <w:r w:rsidR="00B4195B"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 xml:space="preserve">og bemærkningerne dertil.  </w:t>
      </w:r>
    </w:p>
    <w:p w14:paraId="48048CC2" w14:textId="77777777" w:rsidR="003C1A7C" w:rsidRPr="00796736" w:rsidRDefault="003C1A7C" w:rsidP="00A802A5">
      <w:pPr>
        <w:spacing w:line="360" w:lineRule="auto"/>
        <w:rPr>
          <w:rFonts w:ascii="Times New Roman" w:hAnsi="Times New Roman" w:cs="Times New Roman"/>
          <w:sz w:val="24"/>
          <w:szCs w:val="24"/>
        </w:rPr>
      </w:pPr>
    </w:p>
    <w:p w14:paraId="5271BA85" w14:textId="12B5781E" w:rsidR="005A296B" w:rsidRPr="00796736" w:rsidRDefault="003C1A7C" w:rsidP="00A802A5">
      <w:pPr>
        <w:pStyle w:val="Overskrift2"/>
        <w:rPr>
          <w:rFonts w:ascii="Times New Roman" w:hAnsi="Times New Roman"/>
          <w:sz w:val="24"/>
        </w:rPr>
      </w:pPr>
      <w:bookmarkStart w:id="1086" w:name="_Toc232109095"/>
      <w:bookmarkStart w:id="1087" w:name="_Ref232936951"/>
      <w:bookmarkStart w:id="1088" w:name="_Ref232944257"/>
      <w:bookmarkStart w:id="1089" w:name="_Toc244880743"/>
      <w:r w:rsidRPr="00796736">
        <w:rPr>
          <w:rFonts w:ascii="Times New Roman" w:hAnsi="Times New Roman"/>
          <w:sz w:val="24"/>
        </w:rPr>
        <w:t>FIU’ers brug af oplysninger, der udveksles mellem dem</w:t>
      </w:r>
      <w:bookmarkEnd w:id="1086"/>
      <w:bookmarkEnd w:id="1087"/>
      <w:bookmarkEnd w:id="1088"/>
      <w:bookmarkEnd w:id="1089"/>
    </w:p>
    <w:p w14:paraId="700D5BA7" w14:textId="7ABCF5CB" w:rsidR="005A296B" w:rsidRPr="00796736" w:rsidRDefault="005A296B" w:rsidP="00A802A5">
      <w:pPr>
        <w:pStyle w:val="Overskrift4"/>
        <w:rPr>
          <w:rFonts w:ascii="Times New Roman" w:hAnsi="Times New Roman" w:cs="Times New Roman"/>
          <w:sz w:val="24"/>
          <w:szCs w:val="24"/>
        </w:rPr>
      </w:pPr>
      <w:bookmarkStart w:id="1090" w:name="_Toc232109096"/>
      <w:bookmarkStart w:id="1091" w:name="_Ref232936671"/>
      <w:bookmarkStart w:id="1092" w:name="_Ref232944112"/>
      <w:r w:rsidRPr="00796736">
        <w:rPr>
          <w:rFonts w:ascii="Times New Roman" w:hAnsi="Times New Roman" w:cs="Times New Roman"/>
          <w:sz w:val="24"/>
          <w:szCs w:val="24"/>
        </w:rPr>
        <w:t>Gældende ret</w:t>
      </w:r>
      <w:bookmarkEnd w:id="1090"/>
      <w:bookmarkEnd w:id="1091"/>
      <w:bookmarkEnd w:id="1092"/>
    </w:p>
    <w:p w14:paraId="323A1C00"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29 a regulerer Hvidvasksekretariatets mulighed for at anvende oplysninger fra andre FIU’er samt Hvidvasksekretariatets behandling af anmodninger fra andre FIU’er om videregivelse af oplysninger, herunder sekretariatets mulighed for at fastsætte begrænsninger i andre FIU’ers anvendelse af oplysninger videregivet fra Hvidvasksekretariatet. </w:t>
      </w:r>
    </w:p>
    <w:p w14:paraId="7A50F893" w14:textId="77777777" w:rsidR="00F3784D" w:rsidRPr="00796736" w:rsidRDefault="00F3784D" w:rsidP="00A802A5">
      <w:pPr>
        <w:spacing w:line="360" w:lineRule="auto"/>
        <w:rPr>
          <w:rFonts w:ascii="Times New Roman" w:hAnsi="Times New Roman" w:cs="Times New Roman"/>
          <w:sz w:val="24"/>
          <w:szCs w:val="24"/>
        </w:rPr>
      </w:pPr>
    </w:p>
    <w:p w14:paraId="0F5D11AC"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følger det af § 29 a, stk. 1, at Hvidvasksekretariatet i forbindelse med videregivelse af oplysninger til en anden EU-medlemsstats finansielle efterretningsenhed kan fastsætte begrænsninger og betingelser for anvendelsen af de pågældende oplysninger.</w:t>
      </w:r>
    </w:p>
    <w:p w14:paraId="007BA71D" w14:textId="77777777" w:rsidR="00F3784D" w:rsidRPr="00796736" w:rsidRDefault="00F3784D" w:rsidP="00A802A5">
      <w:pPr>
        <w:spacing w:line="360" w:lineRule="auto"/>
        <w:rPr>
          <w:rFonts w:ascii="Times New Roman" w:hAnsi="Times New Roman" w:cs="Times New Roman"/>
          <w:sz w:val="24"/>
          <w:szCs w:val="24"/>
        </w:rPr>
      </w:pPr>
    </w:p>
    <w:p w14:paraId="22C6BCC8"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 29 a, stk. 4, 1. pkt., at Hvidvasksekretariatet skal overholde eventuelle fastsatte begrænsninger og betingelser for anvendelsen af oplysninger, som sekretariatet modtager fra en anden EU-medlemsstats finansielle efterretningsenhed.  </w:t>
      </w:r>
    </w:p>
    <w:p w14:paraId="3D4515CE" w14:textId="77777777" w:rsidR="00F3784D" w:rsidRPr="00796736" w:rsidRDefault="00F3784D" w:rsidP="00A802A5">
      <w:pPr>
        <w:spacing w:line="360" w:lineRule="auto"/>
        <w:rPr>
          <w:rFonts w:ascii="Times New Roman" w:hAnsi="Times New Roman" w:cs="Times New Roman"/>
          <w:sz w:val="24"/>
          <w:szCs w:val="24"/>
        </w:rPr>
      </w:pPr>
    </w:p>
    <w:p w14:paraId="0BF80541"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bemærkningerne til § 29 a, stk. 1, at der med den foreslåede bestemmelse ikke kan fastsættes særlige vilkår alene som følge af, at der er tale om videregivelse til en FIU. Herudover fremgår det af bemærkningerne bl.a., at bestemmelsen har til formål at skabe klarhed om de retlige rammer for adgangen til at fastsætte begrænsninger og betingelser i forbindelse med FIU’ernes udveksling af oplysninger.</w:t>
      </w:r>
    </w:p>
    <w:p w14:paraId="3E2F8262" w14:textId="77777777" w:rsidR="00F3784D" w:rsidRPr="00796736" w:rsidRDefault="00F3784D" w:rsidP="00A802A5">
      <w:pPr>
        <w:spacing w:line="360" w:lineRule="auto"/>
        <w:rPr>
          <w:rFonts w:ascii="Times New Roman" w:hAnsi="Times New Roman" w:cs="Times New Roman"/>
          <w:sz w:val="24"/>
          <w:szCs w:val="24"/>
        </w:rPr>
      </w:pPr>
    </w:p>
    <w:p w14:paraId="3FA9C2D7"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hvidvakslovens § 29 a, stk. 4, 1. pkt., fremgår, at det med bestemmelsen udtrykkeligt fastslås, at Hvidvasksekretariatet skal overholde eventuelle fastsatte begrænsninger og betingelser for anvendelsen af oplysninger, som sekretariatet modtager fra en anden EU-medlemsstats finansielle efterretningsenhed.</w:t>
      </w:r>
    </w:p>
    <w:p w14:paraId="6EA498C1" w14:textId="77777777" w:rsidR="00F3784D" w:rsidRPr="00796736" w:rsidRDefault="00F3784D" w:rsidP="00A802A5">
      <w:pPr>
        <w:spacing w:line="360" w:lineRule="auto"/>
        <w:rPr>
          <w:rFonts w:ascii="Times New Roman" w:hAnsi="Times New Roman" w:cs="Times New Roman"/>
          <w:sz w:val="24"/>
          <w:szCs w:val="24"/>
        </w:rPr>
      </w:pPr>
    </w:p>
    <w:p w14:paraId="3B851E79"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2019-20, tillæg A, L 58 som fremsat, side 73-74.</w:t>
      </w:r>
    </w:p>
    <w:p w14:paraId="7CEED342" w14:textId="77777777" w:rsidR="00F3784D" w:rsidRPr="00796736" w:rsidRDefault="00F3784D" w:rsidP="00A802A5">
      <w:pPr>
        <w:spacing w:line="360" w:lineRule="auto"/>
        <w:rPr>
          <w:rFonts w:ascii="Times New Roman" w:hAnsi="Times New Roman" w:cs="Times New Roman"/>
          <w:sz w:val="24"/>
          <w:szCs w:val="24"/>
        </w:rPr>
      </w:pPr>
    </w:p>
    <w:p w14:paraId="712B79DE"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at det følger af FIU-cirkulærets § 6, stk. 6, at Hvidvasksekretariatet udpeger mindst ét kontaktpunkt, som er ansvarlig for at modtage forespørgsler om oplysninger fra andre EU-medlemsstaters FIU’er.</w:t>
      </w:r>
    </w:p>
    <w:p w14:paraId="2BEF3342" w14:textId="77777777" w:rsidR="00F3784D" w:rsidRPr="00796736" w:rsidRDefault="00F3784D" w:rsidP="00A802A5">
      <w:pPr>
        <w:spacing w:line="360" w:lineRule="auto"/>
        <w:rPr>
          <w:rFonts w:ascii="Times New Roman" w:hAnsi="Times New Roman" w:cs="Times New Roman"/>
          <w:sz w:val="24"/>
          <w:szCs w:val="24"/>
        </w:rPr>
      </w:pPr>
    </w:p>
    <w:p w14:paraId="128E3D53"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Hvidvasklovens § 29 a, stk. 1, og stk. 4, 1. pkt., samt FIU-cirkulærets § 6, stk. 6, gennemfører 4. og 5. hvidvaskdirektivs artikel 54.</w:t>
      </w:r>
    </w:p>
    <w:p w14:paraId="51C2BF15" w14:textId="77777777" w:rsidR="003C1A7C" w:rsidRPr="00796736" w:rsidRDefault="003C1A7C" w:rsidP="00A802A5">
      <w:pPr>
        <w:spacing w:line="360" w:lineRule="auto"/>
        <w:rPr>
          <w:rFonts w:ascii="Times New Roman" w:hAnsi="Times New Roman" w:cs="Times New Roman"/>
          <w:sz w:val="24"/>
          <w:szCs w:val="24"/>
        </w:rPr>
      </w:pPr>
    </w:p>
    <w:p w14:paraId="4B81FF9E" w14:textId="1B86C7B5" w:rsidR="005A296B" w:rsidRPr="00796736" w:rsidRDefault="005A296B" w:rsidP="00A802A5">
      <w:pPr>
        <w:pStyle w:val="Overskrift4"/>
        <w:rPr>
          <w:rFonts w:ascii="Times New Roman" w:hAnsi="Times New Roman" w:cs="Times New Roman"/>
          <w:sz w:val="24"/>
          <w:szCs w:val="24"/>
        </w:rPr>
      </w:pPr>
      <w:bookmarkStart w:id="1093" w:name="_Toc232109097"/>
      <w:bookmarkStart w:id="1094" w:name="_Ref232936659"/>
      <w:r w:rsidRPr="00796736">
        <w:rPr>
          <w:rFonts w:ascii="Times New Roman" w:hAnsi="Times New Roman" w:cs="Times New Roman"/>
          <w:sz w:val="24"/>
          <w:szCs w:val="24"/>
        </w:rPr>
        <w:t>6. hvidvaskdirektiv</w:t>
      </w:r>
      <w:bookmarkEnd w:id="1093"/>
      <w:bookmarkEnd w:id="1094"/>
      <w:r w:rsidRPr="00796736">
        <w:rPr>
          <w:rFonts w:ascii="Times New Roman" w:hAnsi="Times New Roman" w:cs="Times New Roman"/>
          <w:sz w:val="24"/>
          <w:szCs w:val="24"/>
        </w:rPr>
        <w:t xml:space="preserve"> </w:t>
      </w:r>
    </w:p>
    <w:p w14:paraId="52099608" w14:textId="7FB491F6"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Rammerne for brug af oplysninger, der udveksles mellem FIU’er, er reguleret i hvidvaskdirektivets artikel 33 og 34. Artikel 33 vedrører FIU’ers mulighed for at fastsætte begrænsninger og betingelser for anvendelsen af oplysninger, der videregives, mens artikel 34 vedrører begrænsning i anvendelsen ud fra formålet med udvekslingen af oplysninger og muligheden for at give forhåndsgodkendelse til videregivelse af oplysninger, der udveksles, jf. nærmere herom </w:t>
      </w:r>
      <w:r w:rsidR="00B21871" w:rsidRPr="00796736">
        <w:rPr>
          <w:rFonts w:ascii="Times New Roman" w:hAnsi="Times New Roman" w:cs="Times New Roman"/>
          <w:sz w:val="24"/>
          <w:szCs w:val="24"/>
        </w:rPr>
        <w:t xml:space="preserve">pkt. </w:t>
      </w:r>
      <w:r w:rsidR="009839F1" w:rsidRPr="00796736">
        <w:rPr>
          <w:rFonts w:ascii="Times New Roman" w:hAnsi="Times New Roman" w:cs="Times New Roman"/>
          <w:sz w:val="24"/>
          <w:szCs w:val="24"/>
        </w:rPr>
        <w:fldChar w:fldCharType="begin"/>
      </w:r>
      <w:r w:rsidR="009839F1" w:rsidRPr="00796736">
        <w:rPr>
          <w:rFonts w:ascii="Times New Roman" w:hAnsi="Times New Roman" w:cs="Times New Roman"/>
          <w:sz w:val="24"/>
          <w:szCs w:val="24"/>
        </w:rPr>
        <w:instrText xml:space="preserve"> REF _Ref232936616 \n \h </w:instrText>
      </w:r>
      <w:r w:rsidR="00967618" w:rsidRPr="00796736">
        <w:rPr>
          <w:rFonts w:ascii="Times New Roman" w:hAnsi="Times New Roman" w:cs="Times New Roman"/>
          <w:sz w:val="24"/>
          <w:szCs w:val="24"/>
        </w:rPr>
        <w:instrText xml:space="preserve"> \* MERGEFORMAT </w:instrText>
      </w:r>
      <w:r w:rsidR="009839F1" w:rsidRPr="00796736">
        <w:rPr>
          <w:rFonts w:ascii="Times New Roman" w:hAnsi="Times New Roman" w:cs="Times New Roman"/>
          <w:sz w:val="24"/>
          <w:szCs w:val="24"/>
        </w:rPr>
      </w:r>
      <w:r w:rsidR="009839F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3.27.2</w:t>
      </w:r>
      <w:r w:rsidR="009839F1"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om hvidvaskdirektivets artikel 34.</w:t>
      </w:r>
      <w:r w:rsidR="009839F1" w:rsidRPr="00796736">
        <w:rPr>
          <w:rFonts w:ascii="Times New Roman" w:hAnsi="Times New Roman" w:cs="Times New Roman"/>
          <w:sz w:val="24"/>
          <w:szCs w:val="24"/>
        </w:rPr>
        <w:t xml:space="preserve"> </w:t>
      </w:r>
    </w:p>
    <w:p w14:paraId="54CD8DBE" w14:textId="77777777" w:rsidR="00F3784D" w:rsidRPr="00796736" w:rsidRDefault="00F3784D" w:rsidP="00A802A5">
      <w:pPr>
        <w:spacing w:line="360" w:lineRule="auto"/>
        <w:rPr>
          <w:rFonts w:ascii="Times New Roman" w:hAnsi="Times New Roman" w:cs="Times New Roman"/>
          <w:sz w:val="24"/>
          <w:szCs w:val="24"/>
        </w:rPr>
      </w:pPr>
    </w:p>
    <w:p w14:paraId="6CC38DE2"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 indeholder således i artikel 33 – ligesom 4. og 5. hvidvaskdirektiv i artikel 54 – en bestemmelse om FIU’ers brug af oplysninger, der udveksles mellem dem.</w:t>
      </w:r>
    </w:p>
    <w:p w14:paraId="25270B78" w14:textId="77777777" w:rsidR="00F3784D" w:rsidRPr="00796736" w:rsidRDefault="00F3784D" w:rsidP="00A802A5">
      <w:pPr>
        <w:spacing w:line="360" w:lineRule="auto"/>
        <w:rPr>
          <w:rFonts w:ascii="Times New Roman" w:hAnsi="Times New Roman" w:cs="Times New Roman"/>
          <w:sz w:val="24"/>
          <w:szCs w:val="24"/>
        </w:rPr>
      </w:pPr>
    </w:p>
    <w:p w14:paraId="65EFB184"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hvidvaskdirektivets artikel 33, 1. afsnit, 1. pkt., at oplysninger og dokumenter, som modtages i medfør af artikel 29, 31 og 32, anvendes til varetagelse af FIU’ers opgaver som omhandlet i direktivet. </w:t>
      </w:r>
    </w:p>
    <w:p w14:paraId="3779F443" w14:textId="77777777" w:rsidR="00F3784D" w:rsidRPr="00796736" w:rsidRDefault="00F3784D" w:rsidP="00A802A5">
      <w:pPr>
        <w:spacing w:line="360" w:lineRule="auto"/>
        <w:rPr>
          <w:rFonts w:ascii="Times New Roman" w:hAnsi="Times New Roman" w:cs="Times New Roman"/>
          <w:sz w:val="24"/>
          <w:szCs w:val="24"/>
        </w:rPr>
      </w:pPr>
    </w:p>
    <w:p w14:paraId="5C9C89FA"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artikel 33, 1. afsnit, 2. pkt., følger det, at når der udveksles oplysninger og dokumenter i medfør af artikel 29 og 31, kan den FIU, der videregiver dem, pålægge begrænsninger og betingelser for deres anvendelse, medmindre videregivelsen består af en indberetning indgivet af en forpligtet enhed i henhold til artikel 69, stk. 1, i hvidvaskforordningen eller oplysninger derfra, der vedrører en anden medlemsstat, hvor den forpligtede enhed driver virksomhed i henhold til reglerne om fri udveksling af tjenesteydelser, og som ikke indeholder nogen forbindelse til den videregivende FIU’s medlemsstat. </w:t>
      </w:r>
    </w:p>
    <w:p w14:paraId="7C661B47" w14:textId="77777777" w:rsidR="00F3784D" w:rsidRPr="00796736" w:rsidRDefault="00F3784D" w:rsidP="00A802A5">
      <w:pPr>
        <w:spacing w:line="360" w:lineRule="auto"/>
        <w:rPr>
          <w:rFonts w:ascii="Times New Roman" w:hAnsi="Times New Roman" w:cs="Times New Roman"/>
          <w:sz w:val="24"/>
          <w:szCs w:val="24"/>
        </w:rPr>
      </w:pPr>
    </w:p>
    <w:p w14:paraId="74315C5D"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følger det af artikel 33, 1. afsnit, 3. pkt., at den modtagende FIU skal overholde disse begrænsninger og betingelser.</w:t>
      </w:r>
    </w:p>
    <w:p w14:paraId="24B15971" w14:textId="77777777" w:rsidR="00F3784D" w:rsidRPr="00796736" w:rsidRDefault="00F3784D" w:rsidP="00A802A5">
      <w:pPr>
        <w:spacing w:line="360" w:lineRule="auto"/>
        <w:rPr>
          <w:rFonts w:ascii="Times New Roman" w:hAnsi="Times New Roman" w:cs="Times New Roman"/>
          <w:sz w:val="24"/>
          <w:szCs w:val="24"/>
        </w:rPr>
      </w:pPr>
    </w:p>
    <w:p w14:paraId="42C10F0E"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præambelbetragtning nr. 76 bl.a., at en FIU kan indføre visse restriktioner og begrænsninger med hensyn til den videre anvendelse af de oplysninger, den stiller til rådighed for en anden FIU. </w:t>
      </w:r>
    </w:p>
    <w:p w14:paraId="036B5F1C" w14:textId="77777777" w:rsidR="00F3784D" w:rsidRPr="00796736" w:rsidRDefault="00F3784D" w:rsidP="00A802A5">
      <w:pPr>
        <w:spacing w:line="360" w:lineRule="auto"/>
        <w:rPr>
          <w:rFonts w:ascii="Times New Roman" w:hAnsi="Times New Roman" w:cs="Times New Roman"/>
          <w:sz w:val="24"/>
          <w:szCs w:val="24"/>
        </w:rPr>
      </w:pPr>
    </w:p>
    <w:p w14:paraId="492C728A"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33, 1. afsnit, viderefører 4. og 5. hvidvaskdirektivs artikel 54, 1. afsnit, dog således, at bestemmelsen nu også henviser til oplysninger der udveksles efter den nye bestemmelse om fælles analyser i hvidvaskdirektivets artikel 32. Som noget nyt er det endvidere tilføjet, at adgangen til at pålægge begrænsninger og betingelser for oplysninger og dokumenter, der udveksles mellem FIU’erne, ikke gælder, hvis videregivelsen består af en indberetning indgivet af en forpligtet enhed efter hvidvaskforordningens artikel 69, stk. 1, eller oplysninger derfra, der vedrører en anden medlemsstat, hvor den forpligtede enhed driver virksomhed i henhold til reglerne om fri udveksling af tjenesteydelser, og som ikke indeholder nogen forbindelse til den videregivende FIU’s medlemsstat.</w:t>
      </w:r>
    </w:p>
    <w:p w14:paraId="4932E8E8" w14:textId="77777777" w:rsidR="00F3784D" w:rsidRPr="00796736" w:rsidRDefault="00F3784D" w:rsidP="00A802A5">
      <w:pPr>
        <w:spacing w:line="360" w:lineRule="auto"/>
        <w:rPr>
          <w:rFonts w:ascii="Times New Roman" w:hAnsi="Times New Roman" w:cs="Times New Roman"/>
          <w:sz w:val="24"/>
          <w:szCs w:val="24"/>
        </w:rPr>
      </w:pPr>
    </w:p>
    <w:p w14:paraId="411DDEC7"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Herudover fremgår det af hvidvaskdirektivets artikel 33, 2. afsnit, at medlemsstaterne sikrer, at FIU’erne udpeger mindst én kontaktperson som ansvarlig eller ét kontaktpunkt som ansvarligt for at modtage anmodninger om oplysninger fra FIU’er i andre medlemsstater.</w:t>
      </w:r>
    </w:p>
    <w:p w14:paraId="31F8519C" w14:textId="77777777" w:rsidR="00F3784D" w:rsidRPr="00796736" w:rsidRDefault="00F3784D" w:rsidP="00A802A5">
      <w:pPr>
        <w:spacing w:line="360" w:lineRule="auto"/>
        <w:rPr>
          <w:rFonts w:ascii="Times New Roman" w:hAnsi="Times New Roman" w:cs="Times New Roman"/>
          <w:sz w:val="24"/>
          <w:szCs w:val="24"/>
        </w:rPr>
      </w:pPr>
    </w:p>
    <w:p w14:paraId="1E5F94EE"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33, 2. afsnit, svarer til 4. og 5. hvidvaskdirektivs artikel 54, 2. afsnit.</w:t>
      </w:r>
    </w:p>
    <w:p w14:paraId="66FBB4D8" w14:textId="77777777" w:rsidR="003C1A7C" w:rsidRPr="00796736" w:rsidRDefault="003C1A7C" w:rsidP="00A802A5">
      <w:pPr>
        <w:spacing w:line="360" w:lineRule="auto"/>
        <w:rPr>
          <w:rFonts w:ascii="Times New Roman" w:hAnsi="Times New Roman" w:cs="Times New Roman"/>
          <w:sz w:val="24"/>
          <w:szCs w:val="24"/>
        </w:rPr>
      </w:pPr>
    </w:p>
    <w:p w14:paraId="5538243E" w14:textId="1158E51B" w:rsidR="005A296B" w:rsidRPr="00796736" w:rsidRDefault="003C1A7C" w:rsidP="00A802A5">
      <w:pPr>
        <w:pStyle w:val="Overskrift4"/>
        <w:rPr>
          <w:rFonts w:ascii="Times New Roman" w:hAnsi="Times New Roman" w:cs="Times New Roman"/>
          <w:sz w:val="24"/>
          <w:szCs w:val="24"/>
        </w:rPr>
      </w:pPr>
      <w:bookmarkStart w:id="1095" w:name="_Toc232109098"/>
      <w:r w:rsidRPr="00796736">
        <w:rPr>
          <w:rFonts w:ascii="Times New Roman" w:hAnsi="Times New Roman" w:cs="Times New Roman"/>
          <w:sz w:val="24"/>
          <w:szCs w:val="24"/>
        </w:rPr>
        <w:t>Justitsministeriets</w:t>
      </w:r>
      <w:r w:rsidR="005A296B" w:rsidRPr="00796736">
        <w:rPr>
          <w:rFonts w:ascii="Times New Roman" w:hAnsi="Times New Roman" w:cs="Times New Roman"/>
          <w:sz w:val="24"/>
          <w:szCs w:val="24"/>
        </w:rPr>
        <w:t xml:space="preserve"> overvejelser og den foreslåede ordning</w:t>
      </w:r>
      <w:bookmarkEnd w:id="1095"/>
      <w:r w:rsidR="005A296B" w:rsidRPr="00796736">
        <w:rPr>
          <w:rFonts w:ascii="Times New Roman" w:hAnsi="Times New Roman" w:cs="Times New Roman"/>
          <w:sz w:val="24"/>
          <w:szCs w:val="24"/>
        </w:rPr>
        <w:t xml:space="preserve"> </w:t>
      </w:r>
    </w:p>
    <w:p w14:paraId="1BD6EAA8" w14:textId="3C4639C1"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_Ref232936659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3.26.2</w:t>
      </w:r>
      <w:r w:rsidR="00656A5A" w:rsidRPr="00796736">
        <w:rPr>
          <w:rFonts w:ascii="Times New Roman" w:hAnsi="Times New Roman" w:cs="Times New Roman"/>
          <w:sz w:val="24"/>
          <w:szCs w:val="24"/>
        </w:rPr>
        <w:fldChar w:fldCharType="end"/>
      </w:r>
      <w:r w:rsidR="00DF0DCB" w:rsidRPr="00796736">
        <w:rPr>
          <w:rFonts w:ascii="Times New Roman" w:hAnsi="Times New Roman" w:cs="Times New Roman"/>
          <w:sz w:val="24"/>
          <w:szCs w:val="24"/>
        </w:rPr>
        <w:t>.</w:t>
      </w:r>
      <w:r w:rsidRPr="00796736">
        <w:rPr>
          <w:rFonts w:ascii="Times New Roman" w:hAnsi="Times New Roman" w:cs="Times New Roman"/>
          <w:sz w:val="24"/>
          <w:szCs w:val="24"/>
        </w:rPr>
        <w:t xml:space="preserve">, indeholder det nye hvidvaskdirektivs artikel 33 – ligesom 4. og 5. hvidvaskdirektivs artikel 54 – en bestemmelse om FIU’ers mulighed for at fastsætte begrænsninger og betingelser for anvendelsen af oplysninger, der videregives til andre FIU’er, og at medlemsstaterne skal sikre, at FIU’erne udpeger mindst én kontaktperson som ansvarlig eller ét kontaktpunkt som ansvarligt for at modtage anmodninger om oplysninger fra FIU’er i andre medlemsstater. Artikel 54 i 4. og 5. hvidvaskdirektiv er gennemført i hvidvasklovens § 29 a, stk. 1, og stk. 4, 1. pkt., samt FIU-cirkulærets § 6, stk. 6, jf.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_Ref232936671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3.26.1</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1EF4F205" w14:textId="77777777" w:rsidR="00F3784D" w:rsidRPr="00796736" w:rsidRDefault="00F3784D" w:rsidP="00A802A5">
      <w:pPr>
        <w:spacing w:line="360" w:lineRule="auto"/>
        <w:rPr>
          <w:rFonts w:ascii="Times New Roman" w:hAnsi="Times New Roman" w:cs="Times New Roman"/>
          <w:sz w:val="24"/>
          <w:szCs w:val="24"/>
        </w:rPr>
      </w:pPr>
    </w:p>
    <w:p w14:paraId="35F56C21" w14:textId="5CEB0A4C"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at gennemføre hvidvaskdirektivets artikel 33 ved i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_Ref232596117 \r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27</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at fastlægge, at Hvidvasksekretariatet anvender oplysninger og dokumenter som modtages fra bl.a. andre FIU’er til sekretariatets opgaver. Det foreslås endvidere at sekretariatet, når det videregiver oplysninger og dokumenter til andre FIU’er, kan pålægge begrænsninger og betingelser for anvendelsen af de pågældende oplysninger, dog ikke hvor oplysningen der videregives er en indberetning efter hvidvaskforordningens artikel 69, stk. 1, eller oplysninger derfra, der vedrører en anden medlemsstat, hvor den forpligtede enhed driver virksomhed i henhold til reglerne om fri udveksling af tjenesteydelser, og som ikke indeholder nogen dansk forbindelse. Det foreslås hertil, at Hvidvasksekretariatet skal overholde eventuelle fastsatte begrænsninger og betingelser for anvendelsen af oplysninger, som sekretariatet modtager fra en anden FIU. </w:t>
      </w:r>
    </w:p>
    <w:p w14:paraId="2341FE50" w14:textId="77777777" w:rsidR="00F3784D" w:rsidRPr="00796736" w:rsidRDefault="00F3784D" w:rsidP="00A802A5">
      <w:pPr>
        <w:spacing w:line="360" w:lineRule="auto"/>
        <w:rPr>
          <w:rFonts w:ascii="Times New Roman" w:hAnsi="Times New Roman" w:cs="Times New Roman"/>
          <w:sz w:val="24"/>
          <w:szCs w:val="24"/>
        </w:rPr>
      </w:pPr>
    </w:p>
    <w:p w14:paraId="35C6121D" w14:textId="77777777" w:rsidR="00F3784D" w:rsidRPr="00796736" w:rsidRDefault="00F3784D"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En bestemmelse om konktaktpunkt i Hvidvasksekretariatet for modtagelse</w:t>
      </w:r>
    </w:p>
    <w:p w14:paraId="0AB1AE37" w14:textId="77777777" w:rsidR="00F3784D" w:rsidRPr="00796736" w:rsidRDefault="00F3784D"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af anmodninger om oplysninger fra FIU’er i andre medlemsstater forudsæt-</w:t>
      </w:r>
    </w:p>
    <w:p w14:paraId="5D7538FD" w14:textId="77777777" w:rsidR="00F3784D" w:rsidRPr="00796736" w:rsidRDefault="00F3784D"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tes ligesom i dag fastsat ved cirkulære.</w:t>
      </w:r>
    </w:p>
    <w:p w14:paraId="751826E9" w14:textId="77777777" w:rsidR="00F3784D" w:rsidRPr="00796736" w:rsidRDefault="00F3784D" w:rsidP="00A802A5">
      <w:pPr>
        <w:spacing w:line="360" w:lineRule="auto"/>
        <w:rPr>
          <w:rFonts w:ascii="Times New Roman" w:hAnsi="Times New Roman" w:cs="Times New Roman"/>
          <w:sz w:val="24"/>
          <w:szCs w:val="24"/>
        </w:rPr>
      </w:pPr>
    </w:p>
    <w:p w14:paraId="3A99B327" w14:textId="1CD9C910"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udgøre en videreførelse af gældende ret, dog således</w:t>
      </w:r>
      <w:r w:rsidR="008D4A8C" w:rsidRPr="00796736">
        <w:rPr>
          <w:rFonts w:ascii="Times New Roman" w:hAnsi="Times New Roman" w:cs="Times New Roman"/>
          <w:sz w:val="24"/>
          <w:szCs w:val="24"/>
        </w:rPr>
        <w:t>,</w:t>
      </w:r>
      <w:r w:rsidRPr="00796736">
        <w:rPr>
          <w:rFonts w:ascii="Times New Roman" w:hAnsi="Times New Roman" w:cs="Times New Roman"/>
          <w:sz w:val="24"/>
          <w:szCs w:val="24"/>
        </w:rPr>
        <w:t xml:space="preserve"> at det som noget nyt – i overensstemmelse med direktivet – ikke vil være muligt at pålægge begrænsninger eller betingelser for anvendelsen af videregivne indberetninger modtaget i henhold til hvidvaskforordningens artikel 69, stk. 1, eller oplysninger derfra, der vedrører en anden medlemsstat, hvor den forpligtede enhed driver virksomhed i henhold til reglerne om fri udveksling af tjenesteydelser, og som ikke indeholder nogen dansk forbindelse. </w:t>
      </w:r>
    </w:p>
    <w:p w14:paraId="357AB869" w14:textId="77777777" w:rsidR="00F3784D" w:rsidRPr="00796736" w:rsidRDefault="00F3784D" w:rsidP="00A802A5">
      <w:pPr>
        <w:spacing w:line="360" w:lineRule="auto"/>
        <w:rPr>
          <w:rFonts w:ascii="Times New Roman" w:hAnsi="Times New Roman" w:cs="Times New Roman"/>
          <w:sz w:val="24"/>
          <w:szCs w:val="24"/>
        </w:rPr>
      </w:pPr>
    </w:p>
    <w:p w14:paraId="4001546F"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kan i øvrigt henvises til bemærkningerne til den gældende bestemmelse i hvidvasklovens § 29 a, stk. 1, og stk. 4, 1. pkt., jf. Folketingstidende 2019-20, tillæg A, L 58 som fremsat, side 73 og 74, hvoraf det bl.a. fremgår, at der med bestemmelsen ikke kan fastsættes særlige vilkår alene som følge af, at der er tale om videregivelse til en FIU, og at formålet med bestemmelsen er at skabe klarhed om de retlige rammer for adgangen til at fastsætte begrænsninger og betingelser i forbindelse med FIU’ernes udveksling af oplysninger.</w:t>
      </w:r>
    </w:p>
    <w:p w14:paraId="0E10FA52" w14:textId="77777777" w:rsidR="00F3784D" w:rsidRPr="00796736" w:rsidRDefault="00F3784D" w:rsidP="00A802A5">
      <w:pPr>
        <w:spacing w:line="360" w:lineRule="auto"/>
        <w:rPr>
          <w:rFonts w:ascii="Times New Roman" w:hAnsi="Times New Roman" w:cs="Times New Roman"/>
          <w:sz w:val="24"/>
          <w:szCs w:val="24"/>
        </w:rPr>
      </w:pPr>
    </w:p>
    <w:p w14:paraId="3C5FE705" w14:textId="7E56FFE4" w:rsidR="00F3784D" w:rsidRPr="00796736" w:rsidRDefault="00F3784D" w:rsidP="00A802A5">
      <w:pPr>
        <w:spacing w:line="360" w:lineRule="auto"/>
        <w:rPr>
          <w:rFonts w:ascii="Times New Roman" w:eastAsia="Times New Roman" w:hAnsi="Times New Roman" w:cs="Times New Roman"/>
          <w:sz w:val="24"/>
          <w:szCs w:val="24"/>
          <w:lang w:eastAsia="da-DK"/>
        </w:rPr>
      </w:pPr>
      <w:bookmarkStart w:id="1096" w:name="_Hlk228364643"/>
      <w:r w:rsidRPr="00796736">
        <w:rPr>
          <w:rFonts w:ascii="Times New Roman" w:eastAsia="Times New Roman" w:hAnsi="Times New Roman" w:cs="Times New Roman"/>
          <w:sz w:val="24"/>
          <w:szCs w:val="24"/>
          <w:lang w:eastAsia="da-DK"/>
        </w:rPr>
        <w:t xml:space="preserve">For så vidt angår forhåndsgodkendelse til videregivelse af oplysninger, der udveksles mellem FIU’er, henvises der til </w:t>
      </w:r>
      <w:r w:rsidRPr="00796736">
        <w:rPr>
          <w:rFonts w:ascii="Times New Roman" w:hAnsi="Times New Roman" w:cs="Times New Roman"/>
          <w:sz w:val="24"/>
          <w:szCs w:val="24"/>
        </w:rPr>
        <w:t xml:space="preserve">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_Ref232936740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3.27</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vedrørende gennemførelsen af hvidvaskdirektivets artikel 34.</w:t>
      </w:r>
      <w:bookmarkEnd w:id="1096"/>
    </w:p>
    <w:p w14:paraId="462E6C61" w14:textId="77777777" w:rsidR="00F3784D" w:rsidRPr="00796736" w:rsidRDefault="00F3784D" w:rsidP="00A802A5">
      <w:pPr>
        <w:spacing w:line="360" w:lineRule="auto"/>
        <w:rPr>
          <w:rFonts w:ascii="Times New Roman" w:eastAsia="Times New Roman" w:hAnsi="Times New Roman" w:cs="Times New Roman"/>
          <w:sz w:val="24"/>
          <w:szCs w:val="24"/>
          <w:lang w:eastAsia="da-DK"/>
        </w:rPr>
      </w:pPr>
    </w:p>
    <w:p w14:paraId="7E009C9A" w14:textId="01896C4F" w:rsidR="00F3784D" w:rsidRPr="00796736" w:rsidRDefault="00F3784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_Ref232596117 \r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27</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og bemærkningerne hertil.</w:t>
      </w:r>
    </w:p>
    <w:p w14:paraId="1A95B46A" w14:textId="77777777" w:rsidR="003C1A7C" w:rsidRPr="00796736" w:rsidRDefault="003C1A7C" w:rsidP="00A802A5">
      <w:pPr>
        <w:spacing w:line="360" w:lineRule="auto"/>
        <w:rPr>
          <w:rFonts w:ascii="Times New Roman" w:hAnsi="Times New Roman" w:cs="Times New Roman"/>
          <w:sz w:val="24"/>
          <w:szCs w:val="24"/>
        </w:rPr>
      </w:pPr>
    </w:p>
    <w:p w14:paraId="749EA883" w14:textId="7D2C1A5B" w:rsidR="005A296B" w:rsidRPr="00796736" w:rsidRDefault="003C1A7C" w:rsidP="00A802A5">
      <w:pPr>
        <w:pStyle w:val="Overskrift2"/>
        <w:rPr>
          <w:rFonts w:ascii="Times New Roman" w:hAnsi="Times New Roman"/>
          <w:sz w:val="24"/>
        </w:rPr>
      </w:pPr>
      <w:bookmarkStart w:id="1097" w:name="_Toc232109099"/>
      <w:bookmarkStart w:id="1098" w:name="_Ref232936740"/>
      <w:bookmarkStart w:id="1099" w:name="_Ref232936776"/>
      <w:bookmarkStart w:id="1100" w:name="_Ref232946003"/>
      <w:bookmarkStart w:id="1101" w:name="_Toc244880744"/>
      <w:r w:rsidRPr="00796736">
        <w:rPr>
          <w:rFonts w:ascii="Times New Roman" w:hAnsi="Times New Roman"/>
          <w:sz w:val="24"/>
        </w:rPr>
        <w:t>Forhåndsgodkendelse til videregivelse af oplysninger, der udveksles mellem FIU’er</w:t>
      </w:r>
      <w:bookmarkEnd w:id="1097"/>
      <w:bookmarkEnd w:id="1098"/>
      <w:bookmarkEnd w:id="1099"/>
      <w:bookmarkEnd w:id="1100"/>
      <w:bookmarkEnd w:id="1101"/>
    </w:p>
    <w:p w14:paraId="05B3A693" w14:textId="59C6C32F" w:rsidR="005A296B" w:rsidRPr="00796736" w:rsidRDefault="005A296B" w:rsidP="00A802A5">
      <w:pPr>
        <w:pStyle w:val="Overskrift4"/>
        <w:rPr>
          <w:rFonts w:ascii="Times New Roman" w:hAnsi="Times New Roman" w:cs="Times New Roman"/>
          <w:sz w:val="24"/>
          <w:szCs w:val="24"/>
        </w:rPr>
      </w:pPr>
      <w:bookmarkStart w:id="1102" w:name="_Toc232109100"/>
      <w:bookmarkStart w:id="1103" w:name="_Ref232936867"/>
      <w:bookmarkStart w:id="1104" w:name="_Ref232944736"/>
      <w:r w:rsidRPr="00796736">
        <w:rPr>
          <w:rFonts w:ascii="Times New Roman" w:hAnsi="Times New Roman" w:cs="Times New Roman"/>
          <w:sz w:val="24"/>
          <w:szCs w:val="24"/>
        </w:rPr>
        <w:t>Gældende ret</w:t>
      </w:r>
      <w:bookmarkEnd w:id="1102"/>
      <w:bookmarkEnd w:id="1103"/>
      <w:bookmarkEnd w:id="1104"/>
    </w:p>
    <w:p w14:paraId="2ADAF5F0"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29 a regulerer Hvidvasksekretariatets mulighed for at anvende oplysninger fra andre FIU’er samt Hvidvasksekretariatets behandling af anmodninger fra andre FIU’er om videregivelse af oplysninger fra Hvidvasksekretariatet, herunder sekretariatets mulighed for at fastsætte begrænsninger i andre FIU’ers anvendelse af oplysninger videregivet fra Hvidvasksekretariatet. </w:t>
      </w:r>
    </w:p>
    <w:p w14:paraId="2D19BA47" w14:textId="77777777" w:rsidR="00863F1A" w:rsidRPr="00796736" w:rsidRDefault="00863F1A" w:rsidP="00A802A5">
      <w:pPr>
        <w:spacing w:line="360" w:lineRule="auto"/>
        <w:rPr>
          <w:rFonts w:ascii="Times New Roman" w:hAnsi="Times New Roman" w:cs="Times New Roman"/>
          <w:sz w:val="24"/>
          <w:szCs w:val="24"/>
        </w:rPr>
      </w:pPr>
    </w:p>
    <w:p w14:paraId="4F0BF136"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hvidvasklovens § 29 a, stk. 2, 1. pkt., at Hvidvasksekretariatet omgående skal besvare og i videst muligt omfang imødekomme en anmodning fra en anden EU-medlemsstats finansielle efterretningsenhed om tilladelse til at videregive oplysninger til kompetente myndigheder, organer eller instanser, som den pågældende finansielle efterretningsenhed har modtaget fra Hvidvasksekretariatet, uanset typen af den tilknyttede underliggende forbrydelse. </w:t>
      </w:r>
    </w:p>
    <w:p w14:paraId="18318008" w14:textId="77777777" w:rsidR="00863F1A" w:rsidRPr="00796736" w:rsidRDefault="00863F1A" w:rsidP="00A802A5">
      <w:pPr>
        <w:spacing w:line="360" w:lineRule="auto"/>
        <w:rPr>
          <w:rFonts w:ascii="Times New Roman" w:hAnsi="Times New Roman" w:cs="Times New Roman"/>
          <w:sz w:val="24"/>
          <w:szCs w:val="24"/>
        </w:rPr>
      </w:pPr>
    </w:p>
    <w:p w14:paraId="3E097D76"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stk. 2, 2. pkt., at Hvidvasksekretariatet i den forbindelse ikke må nægte at imødekomme en sådan anmodning, medmindre formålet med videregivelsen falder uden for en sådan opgavevaretagelse, som er beskrevet i § 29, stk. 2, eller der er bestemte grunde til at antage, at videregivelsen vil kunne vanskeliggøre forebyggelse, afsløring eller efterforskning af strafbare handlinger eller fuldbyrdelse af strafferetlige sanktioner eller på anden måde ikke vil være i overensstemmelse med grundlæggende principper i dansk ret.</w:t>
      </w:r>
    </w:p>
    <w:p w14:paraId="0D1EE772" w14:textId="77777777" w:rsidR="00863F1A" w:rsidRPr="00796736" w:rsidRDefault="00863F1A" w:rsidP="00A802A5">
      <w:pPr>
        <w:spacing w:line="360" w:lineRule="auto"/>
        <w:rPr>
          <w:rFonts w:ascii="Times New Roman" w:hAnsi="Times New Roman" w:cs="Times New Roman"/>
          <w:sz w:val="24"/>
          <w:szCs w:val="24"/>
        </w:rPr>
      </w:pPr>
    </w:p>
    <w:p w14:paraId="75A1B024"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29 a, stk. 3, skal afslag på anmodninger efter stk. 2 begrundes behørigt. </w:t>
      </w:r>
    </w:p>
    <w:p w14:paraId="56EF49F7" w14:textId="77777777" w:rsidR="00863F1A" w:rsidRPr="00796736" w:rsidRDefault="00863F1A" w:rsidP="00A802A5">
      <w:pPr>
        <w:spacing w:line="360" w:lineRule="auto"/>
        <w:rPr>
          <w:rFonts w:ascii="Times New Roman" w:hAnsi="Times New Roman" w:cs="Times New Roman"/>
          <w:sz w:val="24"/>
          <w:szCs w:val="24"/>
        </w:rPr>
      </w:pPr>
    </w:p>
    <w:p w14:paraId="34F5705B"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 29 a, stk. 4, 2. pkt., at Hvidvasksekretariatet kun må anvende oplysninger, som sekretariatet modtager fra en anden EU-medlemsstats finansielle efterretningsenhed, til de formål, hvortil oplysningerne er indhentet eller er blevet udleveret. Efter stk. 4, 3. pkt., er Hvidvasksekretariatets videregivelse af sådanne oplysninger til kompetente myndigheder, organer eller instanser eller anvendelse af sådanne oplysninger til andre formål betinget af, at den afgivende EU-medlemsstats finansielle efterretningsenhed på forhånd meddeler samtykke hertil. </w:t>
      </w:r>
    </w:p>
    <w:p w14:paraId="46E434EA" w14:textId="77777777" w:rsidR="00863F1A" w:rsidRPr="00796736" w:rsidRDefault="00863F1A" w:rsidP="00A802A5">
      <w:pPr>
        <w:spacing w:line="360" w:lineRule="auto"/>
        <w:rPr>
          <w:rFonts w:ascii="Times New Roman" w:hAnsi="Times New Roman" w:cs="Times New Roman"/>
          <w:sz w:val="24"/>
          <w:szCs w:val="24"/>
        </w:rPr>
      </w:pPr>
    </w:p>
    <w:p w14:paraId="3BCED764" w14:textId="77777777" w:rsidR="00863F1A" w:rsidRPr="00796736" w:rsidRDefault="00863F1A" w:rsidP="00A802A5">
      <w:pPr>
        <w:spacing w:line="360" w:lineRule="auto"/>
        <w:rPr>
          <w:rFonts w:ascii="Times New Roman" w:hAnsi="Times New Roman" w:cs="Times New Roman"/>
          <w:sz w:val="24"/>
          <w:szCs w:val="24"/>
        </w:rPr>
      </w:pPr>
      <w:bookmarkStart w:id="1105" w:name="_Hlk231459698"/>
      <w:r w:rsidRPr="00796736">
        <w:rPr>
          <w:rFonts w:ascii="Times New Roman" w:hAnsi="Times New Roman" w:cs="Times New Roman"/>
          <w:sz w:val="24"/>
          <w:szCs w:val="24"/>
        </w:rPr>
        <w:t xml:space="preserve">Som beskrevet i bemærkningerne til hvidvasklovens § 29 a, stk. 2, blev artikel 55, stk. 2, 1. og 2. pkt., i 4. hvidvaskdirektiv nyaffattet med 5. hvidvaskdirektiv. Med nyaffattelsen blev medlemsstaterne pålagt at sikre, at forhåndsgodkendelsen fra den anmodede FIU til at formidle oplysningerne til kompetente myndigheder skal gives omgående og i videst muligt omfang, uanset typen af tilknyttet underliggende forbrydelse. Den anmodede FIU må endvidere ikke nægte at give sin godkendelse til en sådan formidling, medmindre dette ville falde uden for dens bestemmelser om bekæmpelse af hvidvask af penge og finansiering af terrorisme, eller på anden måde ville være i uoverensstemmelse med de grundlæggende principper i den pågældende medlemsstats nationale ret. </w:t>
      </w:r>
    </w:p>
    <w:p w14:paraId="0929DDC4" w14:textId="77777777" w:rsidR="00863F1A" w:rsidRPr="00796736" w:rsidRDefault="00863F1A" w:rsidP="00A802A5">
      <w:pPr>
        <w:spacing w:line="360" w:lineRule="auto"/>
        <w:rPr>
          <w:rFonts w:ascii="Times New Roman" w:hAnsi="Times New Roman" w:cs="Times New Roman"/>
          <w:sz w:val="24"/>
          <w:szCs w:val="24"/>
        </w:rPr>
      </w:pPr>
    </w:p>
    <w:p w14:paraId="262D51CA"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Herudover fremgår det af bemærkningerne, at der navnlig kan ske afslag på godkendelse efter den foreslåede bestemmelse i stk. 2, 2. pkt., med henvisning til, at den konkrete videregivelse af oplysninger ikke vil være i overensstemmelse med grundlæggende principper i dansk ret, i tilfælde hvor der er bestemte grunde til at antage, at videregivelsen vil kunne lægge hindringer i vejen for officielle eller retlige undersøgelser eller procedurer, eller hvis den vil kunne udgøre en trussel mod den offentlige sikkerhed eller mod statens sikkerhed.</w:t>
      </w:r>
    </w:p>
    <w:p w14:paraId="33A784F4" w14:textId="77777777" w:rsidR="00863F1A" w:rsidRPr="00796736" w:rsidRDefault="00863F1A" w:rsidP="00A802A5">
      <w:pPr>
        <w:spacing w:line="360" w:lineRule="auto"/>
        <w:rPr>
          <w:rFonts w:ascii="Times New Roman" w:hAnsi="Times New Roman" w:cs="Times New Roman"/>
          <w:sz w:val="24"/>
          <w:szCs w:val="24"/>
        </w:rPr>
      </w:pPr>
    </w:p>
    <w:p w14:paraId="3CA464ED"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Om hvidvasklovens § 29 a, stk. 3 og 4, fremgår det af bemærkningerne bl.a., at afslag på anmodninger efter stk. 2 skal begrundes, og at det er tydeliggjort i stk. 4, 2. pkt., at Hvidvasksekretariatet således kun må anvende sådanne oplysninger til de formål, hvortil oplysningerne er indhentet eller er blevet udleveret. Endelig er det udtrykkeligt fastslået i stk. 4, 3. pkt., at Hvidvasksekretariatets videregivelse af sådanne oplysninger til kompetente myndigheder, organer eller instanser eller anvendelse af sådanne oplysninger til andre formål er betinget af, at den afgivende EU-medlemsstats FIU på forhånd meddeler samtykke hertil.</w:t>
      </w:r>
    </w:p>
    <w:bookmarkEnd w:id="1105"/>
    <w:p w14:paraId="09C09B3D" w14:textId="77777777" w:rsidR="00863F1A" w:rsidRPr="00796736" w:rsidRDefault="00863F1A" w:rsidP="00A802A5">
      <w:pPr>
        <w:spacing w:line="360" w:lineRule="auto"/>
        <w:rPr>
          <w:rFonts w:ascii="Times New Roman" w:hAnsi="Times New Roman" w:cs="Times New Roman"/>
          <w:sz w:val="24"/>
          <w:szCs w:val="24"/>
        </w:rPr>
      </w:pPr>
    </w:p>
    <w:p w14:paraId="3D101D0C"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2019-20, tillæg A, L 58 som fremsat, side 73-74.</w:t>
      </w:r>
    </w:p>
    <w:p w14:paraId="2E371D71" w14:textId="77777777" w:rsidR="00863F1A" w:rsidRPr="00796736" w:rsidRDefault="00863F1A" w:rsidP="00A802A5">
      <w:pPr>
        <w:spacing w:line="360" w:lineRule="auto"/>
        <w:rPr>
          <w:rFonts w:ascii="Times New Roman" w:hAnsi="Times New Roman" w:cs="Times New Roman"/>
          <w:sz w:val="24"/>
          <w:szCs w:val="24"/>
        </w:rPr>
      </w:pPr>
    </w:p>
    <w:p w14:paraId="1886168A" w14:textId="6B1B64B4"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Hvidvasklovens § 29 a, stk. 2 og 3, samt stk. 4, 2. og 3. pkt., gennemfører 4. og 5. hvidvaskdirektivs artikel 55.</w:t>
      </w:r>
    </w:p>
    <w:p w14:paraId="5000EB13" w14:textId="77777777" w:rsidR="00863F1A" w:rsidRPr="00796736" w:rsidRDefault="00863F1A" w:rsidP="00A802A5">
      <w:pPr>
        <w:spacing w:line="360" w:lineRule="auto"/>
        <w:rPr>
          <w:rFonts w:ascii="Times New Roman" w:hAnsi="Times New Roman" w:cs="Times New Roman"/>
          <w:sz w:val="24"/>
          <w:szCs w:val="24"/>
        </w:rPr>
      </w:pPr>
    </w:p>
    <w:p w14:paraId="580A07FA" w14:textId="75AD2FF9" w:rsidR="005A296B" w:rsidRPr="00796736" w:rsidRDefault="005A296B" w:rsidP="00A802A5">
      <w:pPr>
        <w:pStyle w:val="Overskrift4"/>
        <w:rPr>
          <w:rFonts w:ascii="Times New Roman" w:hAnsi="Times New Roman" w:cs="Times New Roman"/>
          <w:sz w:val="24"/>
          <w:szCs w:val="24"/>
        </w:rPr>
      </w:pPr>
      <w:bookmarkStart w:id="1106" w:name="_Toc232109101"/>
      <w:bookmarkStart w:id="1107" w:name="_Ref232936616"/>
      <w:bookmarkStart w:id="1108" w:name="_Ref232936856"/>
      <w:bookmarkStart w:id="1109" w:name="_Ref232936878"/>
      <w:r w:rsidRPr="00796736">
        <w:rPr>
          <w:rFonts w:ascii="Times New Roman" w:hAnsi="Times New Roman" w:cs="Times New Roman"/>
          <w:sz w:val="24"/>
          <w:szCs w:val="24"/>
        </w:rPr>
        <w:t>6. hvidvaskdirektiv</w:t>
      </w:r>
      <w:bookmarkEnd w:id="1106"/>
      <w:bookmarkEnd w:id="1107"/>
      <w:bookmarkEnd w:id="1108"/>
      <w:bookmarkEnd w:id="1109"/>
      <w:r w:rsidRPr="00796736">
        <w:rPr>
          <w:rFonts w:ascii="Times New Roman" w:hAnsi="Times New Roman" w:cs="Times New Roman"/>
          <w:sz w:val="24"/>
          <w:szCs w:val="24"/>
        </w:rPr>
        <w:t xml:space="preserve"> </w:t>
      </w:r>
    </w:p>
    <w:p w14:paraId="468488DD" w14:textId="67B8E329"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Rammerne for brug af oplysninger, der udveksles mellem FIU’er, er reguleret i direktivets artikel 33 og 34. Artikel 33 vedrører FIU’ers mulighed for at fastsætte begrænsninger og betingelser for anvendelsen af oplysninger, der videregives, mens artikel 34 vedrører begrænsning i anvendelsen ud fra formålet med udvekslingen af oplysninger og muligheden for at give forhåndsgodkendelse til videregivelse af oplysninger, der udveksles. For så vidt angår artikel 33 henvises der til lovforslagets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_Ref232596055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til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_Ref232936776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3.27</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658352EF" w14:textId="77777777" w:rsidR="00863F1A" w:rsidRPr="00796736" w:rsidRDefault="00863F1A" w:rsidP="00A802A5">
      <w:pPr>
        <w:spacing w:line="360" w:lineRule="auto"/>
        <w:rPr>
          <w:rFonts w:ascii="Times New Roman" w:hAnsi="Times New Roman" w:cs="Times New Roman"/>
          <w:sz w:val="24"/>
          <w:szCs w:val="24"/>
        </w:rPr>
      </w:pPr>
    </w:p>
    <w:p w14:paraId="7A11940E"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 indeholder således i artikel 34 – ligesom 4. og 5. hvidvaskdirektiv i artikel 55 – en bestemmelse om samtykke til yderligere formidling af oplysninger, der udveksles mellem FIU'er.</w:t>
      </w:r>
    </w:p>
    <w:p w14:paraId="0F69D93F" w14:textId="77777777" w:rsidR="00863F1A" w:rsidRPr="00796736" w:rsidRDefault="00863F1A" w:rsidP="00A802A5">
      <w:pPr>
        <w:spacing w:line="360" w:lineRule="auto"/>
        <w:rPr>
          <w:rFonts w:ascii="Times New Roman" w:hAnsi="Times New Roman" w:cs="Times New Roman"/>
          <w:sz w:val="24"/>
          <w:szCs w:val="24"/>
        </w:rPr>
      </w:pPr>
    </w:p>
    <w:p w14:paraId="6ABFF89C"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34, stk. 1, 1. afsnit, at medlemsstaterne sikrer, at de oplysninger, der udveksles i henhold til artikel 29, 31 og 32, kun anvendes til det formål, hvortil oplysningerne ønskedes eller blev leveret, og at den modtagende FIU’s formidling af disse oplysninger til andre myndigheder, organer eller instanser eller at anvendelse af disse oplysninger til formål ud over dem, der oprindeligt blev godkendt, er betinget af en forhåndsgodkendelse fra den FIU, som leverede oplysningerne. </w:t>
      </w:r>
    </w:p>
    <w:p w14:paraId="61B177C0" w14:textId="77777777" w:rsidR="00863F1A" w:rsidRPr="00796736" w:rsidRDefault="00863F1A" w:rsidP="00A802A5">
      <w:pPr>
        <w:spacing w:line="360" w:lineRule="auto"/>
        <w:rPr>
          <w:rFonts w:ascii="Times New Roman" w:hAnsi="Times New Roman" w:cs="Times New Roman"/>
          <w:sz w:val="24"/>
          <w:szCs w:val="24"/>
        </w:rPr>
      </w:pPr>
    </w:p>
    <w:p w14:paraId="704BDCFC"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34, stk. 1, 1. afsnit, viderefører 4. hvidvaskdirektivs artikel 55, stk. 1, dog således, at bestemmelsen nu også henviser til oplysninger der udveksles efter den nye bestemmelse om fælles analyser i direktivets artikel 32. </w:t>
      </w:r>
    </w:p>
    <w:p w14:paraId="2969A064" w14:textId="77777777" w:rsidR="00863F1A" w:rsidRPr="00796736" w:rsidRDefault="00863F1A" w:rsidP="00A802A5">
      <w:pPr>
        <w:spacing w:line="360" w:lineRule="auto"/>
        <w:rPr>
          <w:rFonts w:ascii="Times New Roman" w:hAnsi="Times New Roman" w:cs="Times New Roman"/>
          <w:sz w:val="24"/>
          <w:szCs w:val="24"/>
        </w:rPr>
      </w:pPr>
    </w:p>
    <w:p w14:paraId="543AE515"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34, stk. 1, 2. afsnit, at kravene i dette stykkes første afsnit ikke finder anvendelse, hvis oplysningerne fra FIU’en består af en indberetning indgivet af en forpligtet enhed i henhold til artikel 69, stk. 1, i hvidvaskforordningen, der vedrører en anden medlemsstat, hvor den forpligtede enhed driver virksomhed efter reglerne om fri udveksling af tjenesteydelser, og som ikke har nogen forbindelse til medlemsstaten for den FIU, der leverede oplysningerne. Bestemmelsen er ny i forhold til 4. og 5. hvidvaskdirektiv.</w:t>
      </w:r>
    </w:p>
    <w:p w14:paraId="72733EC7" w14:textId="77777777" w:rsidR="00863F1A" w:rsidRPr="00796736" w:rsidRDefault="00863F1A" w:rsidP="00A802A5">
      <w:pPr>
        <w:spacing w:line="360" w:lineRule="auto"/>
        <w:rPr>
          <w:rFonts w:ascii="Times New Roman" w:hAnsi="Times New Roman" w:cs="Times New Roman"/>
          <w:sz w:val="24"/>
          <w:szCs w:val="24"/>
        </w:rPr>
      </w:pPr>
    </w:p>
    <w:p w14:paraId="4A3C4490"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artikel 34, stk. 2, sikrer medlemsstaterne, at forhåndsgodkendelsen fra den anmodede FIU til at formidle oplysningerne til kompetente myndigheder gives omgående og i videst muligt omfang, uanset typen af underliggende lovovertrædelse, og uanset om den underliggende lovovertrædelse er blevet identificeret. Den anmodede FIU ikke må nægte at give sin godkendelse til en sådan formidling, medmindre dette ville falde uden for anvendelsesområdet for dens bestemmelser om bekæmpelse af hvidvask af penge og finansiering af terrorisme eller kunne vanskeliggøre en efterforskning, eller på anden måde ikke ville være i overensstemmelse med de grundlæggende principper i den pågældende medlemsstats nationale ret. Et eventuelt afslag på godkendelse begrundes behørigt. De tilfælde, hvor FIU’er kan give afslag på godkendelse, skal præciseres på en måde, der forhindrer misbrug og uberettigede begrænsninger af formidlingen af oplysninger til kompetente myndigheder.</w:t>
      </w:r>
    </w:p>
    <w:p w14:paraId="051F344A" w14:textId="77777777" w:rsidR="00863F1A" w:rsidRPr="00796736" w:rsidRDefault="00863F1A" w:rsidP="00A802A5">
      <w:pPr>
        <w:spacing w:line="360" w:lineRule="auto"/>
        <w:rPr>
          <w:rFonts w:ascii="Times New Roman" w:hAnsi="Times New Roman" w:cs="Times New Roman"/>
          <w:sz w:val="24"/>
          <w:szCs w:val="24"/>
        </w:rPr>
      </w:pPr>
    </w:p>
    <w:p w14:paraId="1925A48C"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34, stk. 2, viderefører 4. og 5. hvidvaskdirektivs artikel 55, stk. 2, dog således, at det er tilføjet, at medlemsstaterne skal sikre bl.a., at forhåndsgodkendelsen fra den anmodede FIU til at formidle oplysningerne til kompetente myndigheder gives, uanset om den underliggende lovovertrædelse er blevet identificeret.</w:t>
      </w:r>
    </w:p>
    <w:p w14:paraId="54264209" w14:textId="77777777" w:rsidR="00863F1A" w:rsidRPr="00796736" w:rsidRDefault="00863F1A" w:rsidP="00A802A5">
      <w:pPr>
        <w:spacing w:line="360" w:lineRule="auto"/>
        <w:rPr>
          <w:rFonts w:ascii="Times New Roman" w:hAnsi="Times New Roman" w:cs="Times New Roman"/>
          <w:sz w:val="24"/>
          <w:szCs w:val="24"/>
        </w:rPr>
      </w:pPr>
    </w:p>
    <w:p w14:paraId="5AC02F6E"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34, stk. 3, 1. afsnit, at medlemsstaterne senest den 10. juli 2028 skal give Kommissionen meddelelse om de ekstraordinære omstændigheder, hvor formidling ikke ville være i overensstemmelse med de grundlæggende principper i national ret, der er omhandlet i stk. 2. Medlemsstaterne ajourfører sådanne meddelelser, hvis der sker ændringer i de ekstraordinære omstændigheder, der er konstateret på nationalt plan.</w:t>
      </w:r>
    </w:p>
    <w:p w14:paraId="19E878D6" w14:textId="77777777" w:rsidR="00863F1A" w:rsidRPr="00796736" w:rsidRDefault="00863F1A" w:rsidP="00A802A5">
      <w:pPr>
        <w:spacing w:line="360" w:lineRule="auto"/>
        <w:rPr>
          <w:rFonts w:ascii="Times New Roman" w:hAnsi="Times New Roman" w:cs="Times New Roman"/>
          <w:sz w:val="24"/>
          <w:szCs w:val="24"/>
        </w:rPr>
      </w:pPr>
    </w:p>
    <w:p w14:paraId="06707679"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præambelbetragtning nr. 76 bl.a., at den modtagende FIU kun bør anvende oplysningerne til de formål, hvortil de blev indhentet eller videregivet. En FIU bør give sit forudgående samtykke til en anden FIU til at fremsende oplysningerne til andre kompetente myndigheder uanset typen af eventuel underliggende lovovertrædelse, og uanset om den underliggende lovovertrædelse er blevet identificeret på tidspunktet for udvekslingen, med henblik på at gøre det muligt at gennemføre formidlingsfunktionen på en effektiv måde. Et sådant forudgående samtykke til yderligere formidling bør gives omgående og bør ikke afslås, medmindre det falder uden for anvendelsesområdet for bestemmelserne om bekæmpelse af hvidvask af penge og finansiering af terrorisme eller ikke er i overensstemmelse med grundlæggende principper i national ret. </w:t>
      </w:r>
    </w:p>
    <w:p w14:paraId="06CC5B7E" w14:textId="77777777" w:rsidR="003C1A7C" w:rsidRPr="00796736" w:rsidRDefault="003C1A7C" w:rsidP="00A802A5">
      <w:pPr>
        <w:spacing w:line="360" w:lineRule="auto"/>
        <w:rPr>
          <w:rFonts w:ascii="Times New Roman" w:hAnsi="Times New Roman" w:cs="Times New Roman"/>
          <w:sz w:val="24"/>
          <w:szCs w:val="24"/>
        </w:rPr>
      </w:pPr>
    </w:p>
    <w:p w14:paraId="0A6A87FC" w14:textId="77777777" w:rsidR="0092113C" w:rsidRPr="00796736" w:rsidRDefault="0092113C" w:rsidP="00A802A5">
      <w:pPr>
        <w:pStyle w:val="Overskrift4"/>
        <w:rPr>
          <w:rFonts w:ascii="Times New Roman" w:hAnsi="Times New Roman" w:cs="Times New Roman"/>
          <w:sz w:val="24"/>
          <w:szCs w:val="24"/>
        </w:rPr>
      </w:pPr>
      <w:bookmarkStart w:id="1110" w:name="_Toc232109102"/>
      <w:r w:rsidRPr="00796736">
        <w:rPr>
          <w:rFonts w:ascii="Times New Roman" w:hAnsi="Times New Roman" w:cs="Times New Roman"/>
          <w:sz w:val="24"/>
          <w:szCs w:val="24"/>
        </w:rPr>
        <w:t>Justitsministeriets overvejelser og den foreslåede ordning</w:t>
      </w:r>
      <w:bookmarkEnd w:id="1110"/>
      <w:r w:rsidRPr="00796736">
        <w:rPr>
          <w:rFonts w:ascii="Times New Roman" w:hAnsi="Times New Roman" w:cs="Times New Roman"/>
          <w:sz w:val="24"/>
          <w:szCs w:val="24"/>
        </w:rPr>
        <w:t xml:space="preserve"> </w:t>
      </w:r>
    </w:p>
    <w:p w14:paraId="673F0097" w14:textId="1B4B7215"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_Ref232936856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3.27.2</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direktivets artikel 34 – ligesom 4. og 5. hvidvaskdirektivs artikel 55 – en bestemmelse om samtykke til yderligere formidling af oplysninger, der udveksles mellem FIU’er. Artikel 55 i 4. og 5. hvidvaskdirektiv er gennemført i hvidvasklovens § 29 a, stk. 2 og 3, samt stk. 4, 2. og 3. pkt., jf.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_Ref232936867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3.27.1</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77068495" w14:textId="77777777" w:rsidR="00863F1A" w:rsidRPr="00796736" w:rsidRDefault="00863F1A" w:rsidP="00A802A5">
      <w:pPr>
        <w:spacing w:line="360" w:lineRule="auto"/>
        <w:rPr>
          <w:rFonts w:ascii="Times New Roman" w:hAnsi="Times New Roman" w:cs="Times New Roman"/>
          <w:sz w:val="24"/>
          <w:szCs w:val="24"/>
        </w:rPr>
      </w:pPr>
    </w:p>
    <w:p w14:paraId="50193F44" w14:textId="7AB125FE"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34 er – som nærmere beskrevet under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_Ref232936878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3.27.2</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Pr="00796736">
        <w:rPr>
          <w:rFonts w:ascii="Times New Roman" w:hAnsi="Times New Roman" w:cs="Times New Roman"/>
          <w:sz w:val="24"/>
          <w:szCs w:val="24"/>
        </w:rPr>
        <w:t>– på visse punkter udvidet i forhold til 4. og 5. hvidvaskdirektivs artikel 55. Bl.a. er direktivets artikel 34, stk. 1, 2. afsnit, nyt, hvorefter kravene i bestemmelsens 1. afsnit (om at FIU’erne kun anvender oplysninger til de formål, hvortil oplysningerne ønskedes eller blev udleveret, og at videregivelse til andre myndigheder mv. eller formål i øvrigt betinges af en forhåndsgodkendelse fra den FIU, som leverede oplysningerne) ikke finder anvendelse, hvis videregivelsen består af en indberetning indgivet af en forpligtet enhed efter hvidvaskforordningens artikel 69, stk. 1, der vedrører en anden medlemsstat, hvor den forpligtede enhed driver virksomhed i henhold til reglerne om fri udveksling af tjenesteydelser, og som ikke indeholder nogen forbindelse til den videregivende FIU’s medlemsstat.</w:t>
      </w:r>
    </w:p>
    <w:p w14:paraId="739CE659" w14:textId="77777777" w:rsidR="00863F1A" w:rsidRPr="00796736" w:rsidRDefault="00863F1A" w:rsidP="00A802A5">
      <w:pPr>
        <w:spacing w:line="360" w:lineRule="auto"/>
        <w:rPr>
          <w:rFonts w:ascii="Times New Roman" w:hAnsi="Times New Roman" w:cs="Times New Roman"/>
          <w:sz w:val="24"/>
          <w:szCs w:val="24"/>
        </w:rPr>
      </w:pPr>
    </w:p>
    <w:p w14:paraId="653DCB95" w14:textId="45D67849"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at gennemføre hvidvaskdirektivets artikel 34 ved i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_Ref232596141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28</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002128F7" w:rsidRPr="00D253F0">
        <w:rPr>
          <w:rFonts w:ascii="Times New Roman" w:hAnsi="Times New Roman" w:cs="Times New Roman"/>
          <w:sz w:val="24"/>
          <w:szCs w:val="24"/>
        </w:rPr>
        <w:t xml:space="preserve">at indsætte en bestemmelse, der fastsætter rammerne for anvendelse af de oplysninger, som Hvidvasksekretariatet modtager fra andre </w:t>
      </w:r>
      <w:r w:rsidR="002128F7">
        <w:rPr>
          <w:rFonts w:ascii="Times New Roman" w:hAnsi="Times New Roman" w:cs="Times New Roman"/>
          <w:sz w:val="24"/>
          <w:szCs w:val="24"/>
        </w:rPr>
        <w:t xml:space="preserve">medlemsstaters </w:t>
      </w:r>
      <w:r w:rsidR="002128F7" w:rsidRPr="00D253F0">
        <w:rPr>
          <w:rFonts w:ascii="Times New Roman" w:hAnsi="Times New Roman" w:cs="Times New Roman"/>
          <w:sz w:val="24"/>
          <w:szCs w:val="24"/>
        </w:rPr>
        <w:t>FIU’er. Endvidere foreslås det i</w:t>
      </w:r>
      <w:r w:rsidR="002128F7">
        <w:rPr>
          <w:rFonts w:ascii="Times New Roman" w:hAnsi="Times New Roman" w:cs="Times New Roman"/>
          <w:sz w:val="24"/>
          <w:szCs w:val="24"/>
        </w:rPr>
        <w:t xml:space="preserve"> </w:t>
      </w:r>
      <w:r w:rsidR="002128F7" w:rsidRPr="00796736">
        <w:rPr>
          <w:rFonts w:ascii="Times New Roman" w:hAnsi="Times New Roman" w:cs="Times New Roman"/>
          <w:sz w:val="24"/>
          <w:szCs w:val="24"/>
        </w:rPr>
        <w:fldChar w:fldCharType="begin"/>
      </w:r>
      <w:r w:rsidR="002128F7" w:rsidRPr="00796736">
        <w:rPr>
          <w:rFonts w:ascii="Times New Roman" w:hAnsi="Times New Roman" w:cs="Times New Roman"/>
          <w:sz w:val="24"/>
          <w:szCs w:val="24"/>
        </w:rPr>
        <w:instrText xml:space="preserve"> REF _Ref232596141 \n \h  \* MERGEFORMAT </w:instrText>
      </w:r>
      <w:r w:rsidR="002128F7" w:rsidRPr="00796736">
        <w:rPr>
          <w:rFonts w:ascii="Times New Roman" w:hAnsi="Times New Roman" w:cs="Times New Roman"/>
          <w:sz w:val="24"/>
          <w:szCs w:val="24"/>
        </w:rPr>
      </w:r>
      <w:r w:rsidR="002128F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28</w:t>
      </w:r>
      <w:r w:rsidR="002128F7" w:rsidRPr="00796736">
        <w:rPr>
          <w:rFonts w:ascii="Times New Roman" w:hAnsi="Times New Roman" w:cs="Times New Roman"/>
          <w:sz w:val="24"/>
          <w:szCs w:val="24"/>
        </w:rPr>
        <w:fldChar w:fldCharType="end"/>
      </w:r>
      <w:r w:rsidR="002128F7" w:rsidRPr="00D253F0">
        <w:rPr>
          <w:rFonts w:ascii="Times New Roman" w:hAnsi="Times New Roman" w:cs="Times New Roman"/>
          <w:sz w:val="24"/>
          <w:szCs w:val="24"/>
        </w:rPr>
        <w:t xml:space="preserve"> at fastsætte, hvornår sekretariatet må videregive disse oplysninger samt rammerne for</w:t>
      </w:r>
      <w:r w:rsidR="00CF636E">
        <w:rPr>
          <w:rFonts w:ascii="Times New Roman" w:hAnsi="Times New Roman" w:cs="Times New Roman"/>
          <w:sz w:val="24"/>
          <w:szCs w:val="24"/>
        </w:rPr>
        <w:t xml:space="preserve"> </w:t>
      </w:r>
      <w:r w:rsidR="002128F7" w:rsidRPr="00D253F0">
        <w:rPr>
          <w:rFonts w:ascii="Times New Roman" w:hAnsi="Times New Roman" w:cs="Times New Roman"/>
          <w:sz w:val="24"/>
          <w:szCs w:val="24"/>
        </w:rPr>
        <w:t xml:space="preserve">Hvidvasksekretariatets besvarelse af anmodninger fra andre </w:t>
      </w:r>
      <w:r w:rsidR="002128F7">
        <w:rPr>
          <w:rFonts w:ascii="Times New Roman" w:hAnsi="Times New Roman" w:cs="Times New Roman"/>
          <w:sz w:val="24"/>
          <w:szCs w:val="24"/>
        </w:rPr>
        <w:t xml:space="preserve">medlemsstaters </w:t>
      </w:r>
      <w:r w:rsidR="002128F7" w:rsidRPr="00D253F0">
        <w:rPr>
          <w:rFonts w:ascii="Times New Roman" w:hAnsi="Times New Roman" w:cs="Times New Roman"/>
          <w:sz w:val="24"/>
          <w:szCs w:val="24"/>
        </w:rPr>
        <w:t>FIU’er om videregivelse af oplysninger, som den pågældende FIU har modtaget fra Hvidvasksekretariatet.</w:t>
      </w:r>
    </w:p>
    <w:p w14:paraId="0EB7F8A9" w14:textId="77777777" w:rsidR="00863F1A" w:rsidRPr="00796736" w:rsidRDefault="00863F1A" w:rsidP="00A802A5">
      <w:pPr>
        <w:spacing w:line="360" w:lineRule="auto"/>
        <w:rPr>
          <w:rFonts w:ascii="Times New Roman" w:hAnsi="Times New Roman" w:cs="Times New Roman"/>
          <w:sz w:val="24"/>
          <w:szCs w:val="24"/>
        </w:rPr>
      </w:pPr>
    </w:p>
    <w:p w14:paraId="42CB2397" w14:textId="418104C0"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udgør en videreførelse af gældende ret, idet der dog som noget nyt i overensstemmelse med direktivet bl.a. er tilføjet, at kravene i bestemmelsens stk. 1 (om at Hvidvasksekretariatet kun må anvende oplysninger der modtages til det formål, hvortil oplysningerne er indhentet eller er blevet udleveret og at videregivelse til andre formål i øvrigt betinges af en forhåndsgodkendelse fra den FIU, der udleverer oplysningerne) ikke gælder, hvis oplysningerne vedrører en indberetning indgivet af en forpligtet enhed efter hvidvaskforordningens artikel 69, stk. 1,</w:t>
      </w:r>
      <w:r w:rsidR="008D4A8C" w:rsidRPr="00796736">
        <w:rPr>
          <w:rFonts w:ascii="Times New Roman" w:hAnsi="Times New Roman" w:cs="Times New Roman"/>
          <w:sz w:val="24"/>
          <w:szCs w:val="24"/>
        </w:rPr>
        <w:t xml:space="preserve"> eller oplysninger derfra,</w:t>
      </w:r>
      <w:r w:rsidRPr="00796736">
        <w:rPr>
          <w:rFonts w:ascii="Times New Roman" w:hAnsi="Times New Roman" w:cs="Times New Roman"/>
          <w:sz w:val="24"/>
          <w:szCs w:val="24"/>
        </w:rPr>
        <w:t xml:space="preserve"> der vedrører en anden medlemsstat, hvor den forpligtede enhed driver virksomhed i henhold til reglerne om fri udveksling af tjenesteydelser, og som ikke indeholder nogen forbindelse til den videregivende FIU's medlemsstat.</w:t>
      </w:r>
    </w:p>
    <w:p w14:paraId="06213A8A" w14:textId="77777777" w:rsidR="00863F1A" w:rsidRPr="00796736" w:rsidRDefault="00863F1A" w:rsidP="00A802A5">
      <w:pPr>
        <w:spacing w:line="360" w:lineRule="auto"/>
        <w:rPr>
          <w:rFonts w:ascii="Times New Roman" w:hAnsi="Times New Roman" w:cs="Times New Roman"/>
          <w:sz w:val="24"/>
          <w:szCs w:val="24"/>
        </w:rPr>
      </w:pPr>
    </w:p>
    <w:p w14:paraId="43CF7C13"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bestemmelse vil Hvidvasksekretariatet kun kunne nægte at imødekomme en anmodning fra en anden FIU om videregivelse af oplysninger modtaget fra Hvidvasksekretariatet, hvis formålet med den anmodende FIU’s videregivelse falder uden for anvendelsesområdet for bestemmelserne om bekæmpelse af hvidvask af penge og finansiering af terrorisme eller videregivelsen ikke vil være i overensstemmelse med grundlæggende principper i dansk ret, herunder hvis der er bestemte grunde til at antage, at videregivelsen vil kunne vanskeliggøre forebyggelse, afsløring eller efterforskning af strafbare handlinger eller fuldbyrdelse af strafferetlige sanktioner. Der kan i øvrigt henvises til bemærkningerne til det gældende § 29 a, stk. 2, 2. pkt., hvor det bl.a. fremgår, at der navnlig vil kunne ske afslag på godkendelse med henvisning til, at den konkrete videregivelse af oplysninger ikke vil være i overensstemmelse med grundlæggende principper i dansk ret, i tilfælde hvor der er bestemte grunde til at antage, at videregivelsen vil kunne lægge hindringer i vejen for officielle eller retlige undersøgelser eller procedurer, eller hvis den vil kunne udgøre en trussel mod den offentlige sikkerhed eller mod statens sikkerhed, jf. Folketingstidende 2019-20, tillæg A, L 58 som fremsat, side 73.</w:t>
      </w:r>
    </w:p>
    <w:p w14:paraId="09D7CABC" w14:textId="77777777" w:rsidR="00863F1A" w:rsidRPr="00796736" w:rsidRDefault="00863F1A" w:rsidP="00A802A5">
      <w:pPr>
        <w:spacing w:line="360" w:lineRule="auto"/>
        <w:rPr>
          <w:rFonts w:ascii="Times New Roman" w:hAnsi="Times New Roman" w:cs="Times New Roman"/>
          <w:sz w:val="24"/>
          <w:szCs w:val="24"/>
        </w:rPr>
      </w:pPr>
    </w:p>
    <w:p w14:paraId="36893C01" w14:textId="2C27D295" w:rsidR="00863F1A" w:rsidRPr="00796736" w:rsidRDefault="00863F1A"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For så vidt angår FIU’ers mulighed for at fastsætte begrænsninger og betingelser for anvendelsen af oplysninger, der videregives, henvises der til pkt. </w:t>
      </w:r>
      <w:r w:rsidR="00656A5A" w:rsidRPr="00796736">
        <w:rPr>
          <w:rFonts w:ascii="Times New Roman" w:eastAsia="Times New Roman" w:hAnsi="Times New Roman" w:cs="Times New Roman"/>
          <w:sz w:val="24"/>
          <w:szCs w:val="24"/>
          <w:lang w:eastAsia="da-DK"/>
        </w:rPr>
        <w:fldChar w:fldCharType="begin"/>
      </w:r>
      <w:r w:rsidR="00656A5A" w:rsidRPr="00796736">
        <w:rPr>
          <w:rFonts w:ascii="Times New Roman" w:eastAsia="Times New Roman" w:hAnsi="Times New Roman" w:cs="Times New Roman"/>
          <w:sz w:val="24"/>
          <w:szCs w:val="24"/>
          <w:lang w:eastAsia="da-DK"/>
        </w:rPr>
        <w:instrText xml:space="preserve"> REF _Ref232936951 \n \h </w:instrText>
      </w:r>
      <w:r w:rsidR="00967618" w:rsidRPr="00796736">
        <w:rPr>
          <w:rFonts w:ascii="Times New Roman" w:eastAsia="Times New Roman" w:hAnsi="Times New Roman" w:cs="Times New Roman"/>
          <w:sz w:val="24"/>
          <w:szCs w:val="24"/>
          <w:lang w:eastAsia="da-DK"/>
        </w:rPr>
        <w:instrText xml:space="preserve"> \* MERGEFORMAT </w:instrText>
      </w:r>
      <w:r w:rsidR="00656A5A" w:rsidRPr="00796736">
        <w:rPr>
          <w:rFonts w:ascii="Times New Roman" w:eastAsia="Times New Roman" w:hAnsi="Times New Roman" w:cs="Times New Roman"/>
          <w:sz w:val="24"/>
          <w:szCs w:val="24"/>
          <w:lang w:eastAsia="da-DK"/>
        </w:rPr>
      </w:r>
      <w:r w:rsidR="00656A5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3.26</w:t>
      </w:r>
      <w:r w:rsidR="00656A5A" w:rsidRPr="00796736">
        <w:rPr>
          <w:rFonts w:ascii="Times New Roman" w:eastAsia="Times New Roman" w:hAnsi="Times New Roman" w:cs="Times New Roman"/>
          <w:sz w:val="24"/>
          <w:szCs w:val="24"/>
          <w:lang w:eastAsia="da-DK"/>
        </w:rPr>
        <w:fldChar w:fldCharType="end"/>
      </w:r>
      <w:r w:rsidR="000A3FFE"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vedrørende gennemførelsen af hvidvaskdirektivets artikel 33.</w:t>
      </w:r>
    </w:p>
    <w:p w14:paraId="49CFC48F" w14:textId="77777777" w:rsidR="00863F1A" w:rsidRPr="00796736" w:rsidRDefault="00863F1A" w:rsidP="00A802A5">
      <w:pPr>
        <w:spacing w:line="360" w:lineRule="auto"/>
        <w:rPr>
          <w:rFonts w:ascii="Times New Roman" w:hAnsi="Times New Roman" w:cs="Times New Roman"/>
          <w:sz w:val="24"/>
          <w:szCs w:val="24"/>
        </w:rPr>
      </w:pPr>
    </w:p>
    <w:p w14:paraId="42B485C1" w14:textId="6BF8992A" w:rsidR="00863F1A" w:rsidRPr="00796736" w:rsidRDefault="00863F1A"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_Ref232596141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28</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og bemærkningerne hertil.</w:t>
      </w:r>
    </w:p>
    <w:p w14:paraId="7EE35F88" w14:textId="77777777" w:rsidR="003C1A7C" w:rsidRPr="00796736" w:rsidRDefault="003C1A7C" w:rsidP="00A802A5">
      <w:pPr>
        <w:spacing w:line="360" w:lineRule="auto"/>
        <w:rPr>
          <w:rFonts w:ascii="Times New Roman" w:hAnsi="Times New Roman" w:cs="Times New Roman"/>
          <w:sz w:val="24"/>
          <w:szCs w:val="24"/>
        </w:rPr>
      </w:pPr>
    </w:p>
    <w:p w14:paraId="1B2E6D90" w14:textId="4656AF6C" w:rsidR="005A296B" w:rsidRPr="00796736" w:rsidRDefault="002C5834" w:rsidP="00A802A5">
      <w:pPr>
        <w:pStyle w:val="Overskrift2"/>
        <w:rPr>
          <w:rFonts w:ascii="Times New Roman" w:hAnsi="Times New Roman"/>
          <w:sz w:val="24"/>
        </w:rPr>
      </w:pPr>
      <w:bookmarkStart w:id="1111" w:name="_Ref240022016"/>
      <w:bookmarkStart w:id="1112" w:name="_Toc244880745"/>
      <w:r w:rsidRPr="00796736">
        <w:rPr>
          <w:rFonts w:ascii="Times New Roman" w:hAnsi="Times New Roman"/>
          <w:sz w:val="24"/>
        </w:rPr>
        <w:t>Virkning af strafferetlige bestemmelser</w:t>
      </w:r>
      <w:bookmarkEnd w:id="1111"/>
      <w:bookmarkEnd w:id="1112"/>
      <w:r w:rsidRPr="00796736">
        <w:rPr>
          <w:rFonts w:ascii="Times New Roman" w:hAnsi="Times New Roman"/>
          <w:sz w:val="24"/>
        </w:rPr>
        <w:t xml:space="preserve"> </w:t>
      </w:r>
    </w:p>
    <w:p w14:paraId="5F2DFCF6" w14:textId="1454D4A8" w:rsidR="005A296B" w:rsidRPr="00796736" w:rsidRDefault="005A296B" w:rsidP="00A802A5">
      <w:pPr>
        <w:pStyle w:val="Overskrift4"/>
        <w:rPr>
          <w:rFonts w:ascii="Times New Roman" w:hAnsi="Times New Roman" w:cs="Times New Roman"/>
          <w:sz w:val="24"/>
          <w:szCs w:val="24"/>
        </w:rPr>
      </w:pPr>
      <w:bookmarkStart w:id="1113" w:name="_Toc232109104"/>
      <w:bookmarkStart w:id="1114" w:name="_Ref232937019"/>
      <w:r w:rsidRPr="00796736">
        <w:rPr>
          <w:rFonts w:ascii="Times New Roman" w:hAnsi="Times New Roman" w:cs="Times New Roman"/>
          <w:sz w:val="24"/>
          <w:szCs w:val="24"/>
        </w:rPr>
        <w:t>Gældende ret</w:t>
      </w:r>
      <w:bookmarkEnd w:id="1113"/>
      <w:bookmarkEnd w:id="1114"/>
    </w:p>
    <w:p w14:paraId="000A56A2"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FIU-cirkulærets § 5, stk. 1, at Hvidvasksekretariatet i videst muligt omfang skal samarbejde med andre EU-medlemsstaters FIU’er. Det gælder uanset de pågældende EU-medlemsstaters FIU’ers organisatoriske status.</w:t>
      </w:r>
    </w:p>
    <w:p w14:paraId="27AA3362" w14:textId="77777777" w:rsidR="001819DC" w:rsidRPr="00796736" w:rsidRDefault="001819DC" w:rsidP="00A802A5">
      <w:pPr>
        <w:spacing w:line="360" w:lineRule="auto"/>
        <w:rPr>
          <w:rFonts w:ascii="Times New Roman" w:hAnsi="Times New Roman" w:cs="Times New Roman"/>
          <w:sz w:val="24"/>
          <w:szCs w:val="24"/>
        </w:rPr>
      </w:pPr>
    </w:p>
    <w:p w14:paraId="478208B9"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 5, stk. 2, i FIU-cirkulæret, at Hvidvasksekretariatet skal udveksle oplysninger og yde bistand til andre EU-medlemsstaters FIU’er i videst muligt omfang uanset eventuelle forskelle i nationale retlige definitioner af underliggende forbrydelser.</w:t>
      </w:r>
    </w:p>
    <w:p w14:paraId="62958BAE" w14:textId="77777777" w:rsidR="001819DC" w:rsidRPr="00796736" w:rsidRDefault="001819DC" w:rsidP="00A802A5">
      <w:pPr>
        <w:spacing w:line="360" w:lineRule="auto"/>
        <w:rPr>
          <w:rFonts w:ascii="Times New Roman" w:hAnsi="Times New Roman" w:cs="Times New Roman"/>
          <w:sz w:val="24"/>
          <w:szCs w:val="24"/>
        </w:rPr>
      </w:pPr>
    </w:p>
    <w:p w14:paraId="1E1C7053"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FIU-cirkulærets § 5, stk. 2, gennemfører 4. og 5. hvidvaskdirektivs artikel 57. </w:t>
      </w:r>
    </w:p>
    <w:p w14:paraId="73438E60" w14:textId="77777777" w:rsidR="003C1A7C" w:rsidRPr="00796736" w:rsidRDefault="003C1A7C" w:rsidP="00A802A5">
      <w:pPr>
        <w:spacing w:line="360" w:lineRule="auto"/>
        <w:rPr>
          <w:rFonts w:ascii="Times New Roman" w:hAnsi="Times New Roman" w:cs="Times New Roman"/>
          <w:sz w:val="24"/>
          <w:szCs w:val="24"/>
        </w:rPr>
      </w:pPr>
    </w:p>
    <w:p w14:paraId="024E466F" w14:textId="22A4AB07" w:rsidR="005A296B" w:rsidRPr="00796736" w:rsidRDefault="005A296B" w:rsidP="00A802A5">
      <w:pPr>
        <w:pStyle w:val="Overskrift4"/>
        <w:rPr>
          <w:rFonts w:ascii="Times New Roman" w:hAnsi="Times New Roman" w:cs="Times New Roman"/>
          <w:sz w:val="24"/>
          <w:szCs w:val="24"/>
        </w:rPr>
      </w:pPr>
      <w:bookmarkStart w:id="1115" w:name="_Toc232109105"/>
      <w:bookmarkStart w:id="1116" w:name="_Ref232937028"/>
      <w:r w:rsidRPr="00796736">
        <w:rPr>
          <w:rFonts w:ascii="Times New Roman" w:hAnsi="Times New Roman" w:cs="Times New Roman"/>
          <w:sz w:val="24"/>
          <w:szCs w:val="24"/>
        </w:rPr>
        <w:t>6. hvidvaskdirektiv</w:t>
      </w:r>
      <w:bookmarkEnd w:id="1115"/>
      <w:bookmarkEnd w:id="1116"/>
      <w:r w:rsidRPr="00796736">
        <w:rPr>
          <w:rFonts w:ascii="Times New Roman" w:hAnsi="Times New Roman" w:cs="Times New Roman"/>
          <w:sz w:val="24"/>
          <w:szCs w:val="24"/>
        </w:rPr>
        <w:t xml:space="preserve"> </w:t>
      </w:r>
    </w:p>
    <w:p w14:paraId="258FB76E"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 indeholder i artikel 35 – ligesom 4. og 5. hvidvaskdirektiv i artikel 57 – en bestemmelse om virkning af strafferetlige bestemmelser i forhold til FIU’ernes oplysningspligt.</w:t>
      </w:r>
    </w:p>
    <w:p w14:paraId="157CB874" w14:textId="77777777" w:rsidR="001819DC" w:rsidRPr="00796736" w:rsidRDefault="001819DC" w:rsidP="00A802A5">
      <w:pPr>
        <w:spacing w:line="360" w:lineRule="auto"/>
        <w:rPr>
          <w:rFonts w:ascii="Times New Roman" w:hAnsi="Times New Roman" w:cs="Times New Roman"/>
          <w:sz w:val="24"/>
          <w:szCs w:val="24"/>
        </w:rPr>
      </w:pPr>
    </w:p>
    <w:p w14:paraId="6CBCE42C"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hvidvaskdirektivets artikel 35, at forskelle i definitionerne af underliggende lovovertrædelser i national ret ikke må vanskeliggøre FIU’ers mulighed for at yde bistand til en anden FIU og ikke må begrænse udvekslingen, formidlingen og anvendelsen af oplysningerne i henhold til artikel 31, 32, 33 og 34 (om henholdsvis udveksling af oplysninger mellem FIU’er, fælles analyser, FIU’ers brug af oplysninger, der udveksles mellem dem, og samtykke til yderligere formidling af oplysninger, der udveksles mellem FIU’er).</w:t>
      </w:r>
    </w:p>
    <w:p w14:paraId="258A685E" w14:textId="77777777" w:rsidR="001819DC" w:rsidRPr="00796736" w:rsidRDefault="001819DC" w:rsidP="00A802A5">
      <w:pPr>
        <w:spacing w:line="360" w:lineRule="auto"/>
        <w:rPr>
          <w:rFonts w:ascii="Times New Roman" w:hAnsi="Times New Roman" w:cs="Times New Roman"/>
          <w:sz w:val="24"/>
          <w:szCs w:val="24"/>
        </w:rPr>
      </w:pPr>
    </w:p>
    <w:p w14:paraId="49D2A5B4"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35 viderefører 4. og 5. hvidvaskdirektivs artikel 57, dog således, at det er tilføjet, at bestemmelsen også omfatter samarbejdet i regi af fælles analysehold i henhold til den nye bestemmelse herom i hvidvaskdirektivets artikel 32 om fælles analyser.</w:t>
      </w:r>
    </w:p>
    <w:p w14:paraId="312BD624" w14:textId="77777777" w:rsidR="001819DC" w:rsidRPr="00796736" w:rsidRDefault="001819DC" w:rsidP="00A802A5">
      <w:pPr>
        <w:spacing w:line="360" w:lineRule="auto"/>
        <w:rPr>
          <w:rFonts w:ascii="Times New Roman" w:hAnsi="Times New Roman" w:cs="Times New Roman"/>
          <w:sz w:val="24"/>
          <w:szCs w:val="24"/>
        </w:rPr>
      </w:pPr>
    </w:p>
    <w:p w14:paraId="79C2DE31"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hvidvaskdirektivets præambelbetragtning nr. 75 fremgår det bl.a., at formålet med FIU’en er at indsamle og analysere oplysninger med henblik på at påvise forbindelser mellem mistænkelige transaktioner eller aktiviteter og underliggende kriminelle handlinger for at forebygge og bekæmpe hvidvask af penge og finansiering af terrorisme og at videreformidle analyseresultaterne sammen med supplerende oplysninger til de kompetente myndigheder, når der er begrundet mistanke om hvidvask af penge, de underliggende lovovertrædelser eller finansiering af terrorisme. En FIU bør ikke afholde sig fra eller nægte at udveksle oplysninger med en anden FIU, hverken spontant eller efter anmodning, på grundlag såsom manglende identifikation af en underliggende lovovertrædelse, særlige bestemmelser i national strafferet og forskelle i definitionerne af underliggende lovovertrædelser eller manglende henvisning til bestemte underliggende lovovertrædelser. </w:t>
      </w:r>
    </w:p>
    <w:p w14:paraId="43D30A11" w14:textId="77777777" w:rsidR="001819DC" w:rsidRPr="00796736" w:rsidRDefault="001819DC" w:rsidP="00A802A5">
      <w:pPr>
        <w:spacing w:line="360" w:lineRule="auto"/>
        <w:rPr>
          <w:rFonts w:ascii="Times New Roman" w:hAnsi="Times New Roman" w:cs="Times New Roman"/>
          <w:sz w:val="24"/>
          <w:szCs w:val="24"/>
        </w:rPr>
      </w:pPr>
    </w:p>
    <w:p w14:paraId="12360937"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herudover af præambelbetragtningen, at FIU'erne har rapporteret vanskeligheder i forbindelse med udvekslingen af oplysninger på grund af forskelle i de nationale definitioner af visse underliggende lovovertrædelser, såsom skatteforbrydelser, der ikke er harmoniseret i EU-retten. Sådanne forskelle bør ikke hindre den gensidige udveksling, formidlingen til andre kompetente myndigheder og anvendelsen af disse oplysninger. </w:t>
      </w:r>
    </w:p>
    <w:p w14:paraId="363890D9" w14:textId="77777777" w:rsidR="003C1A7C" w:rsidRPr="00796736" w:rsidRDefault="003C1A7C" w:rsidP="00A802A5">
      <w:pPr>
        <w:spacing w:line="360" w:lineRule="auto"/>
        <w:rPr>
          <w:rFonts w:ascii="Times New Roman" w:hAnsi="Times New Roman" w:cs="Times New Roman"/>
          <w:sz w:val="24"/>
          <w:szCs w:val="24"/>
        </w:rPr>
      </w:pPr>
    </w:p>
    <w:p w14:paraId="0FF0B45E" w14:textId="0DEE125B" w:rsidR="005A296B" w:rsidRPr="00796736" w:rsidRDefault="003C1A7C" w:rsidP="00A802A5">
      <w:pPr>
        <w:pStyle w:val="Overskrift4"/>
        <w:rPr>
          <w:rFonts w:ascii="Times New Roman" w:hAnsi="Times New Roman" w:cs="Times New Roman"/>
          <w:sz w:val="24"/>
          <w:szCs w:val="24"/>
        </w:rPr>
      </w:pPr>
      <w:bookmarkStart w:id="1117" w:name="_Toc232109106"/>
      <w:r w:rsidRPr="00796736">
        <w:rPr>
          <w:rFonts w:ascii="Times New Roman" w:hAnsi="Times New Roman" w:cs="Times New Roman"/>
          <w:sz w:val="24"/>
          <w:szCs w:val="24"/>
        </w:rPr>
        <w:t>Justitsministeriets</w:t>
      </w:r>
      <w:r w:rsidR="005A296B" w:rsidRPr="00796736">
        <w:rPr>
          <w:rFonts w:ascii="Times New Roman" w:hAnsi="Times New Roman" w:cs="Times New Roman"/>
          <w:sz w:val="24"/>
          <w:szCs w:val="24"/>
        </w:rPr>
        <w:t xml:space="preserve"> overvejelser og den foreslåede ordning</w:t>
      </w:r>
      <w:bookmarkEnd w:id="1117"/>
      <w:r w:rsidR="005A296B" w:rsidRPr="00796736">
        <w:rPr>
          <w:rFonts w:ascii="Times New Roman" w:hAnsi="Times New Roman" w:cs="Times New Roman"/>
          <w:sz w:val="24"/>
          <w:szCs w:val="24"/>
        </w:rPr>
        <w:t xml:space="preserve"> </w:t>
      </w:r>
    </w:p>
    <w:p w14:paraId="69CEDFC0" w14:textId="01C80A61" w:rsidR="001819DC" w:rsidRPr="00796736" w:rsidRDefault="00181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_Ref232937028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3.28.2</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hvidvaskdirektivets artikel 35 – ligesom 4. og 5. hvidvaskdirektivs artikel 57 – en bestemmelse om virkningen af strafferetlige bestemmelser i forhold til FIU’ernes oplysningspligt. Artikel 57 i 4. og 5. hvidvaskdirektiv er gennemført i FIU-cirkulærets § 5, stk. 2, jf.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_Ref232937019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3.28.1</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406AB279" w14:textId="12BA4239" w:rsidR="001819DC" w:rsidRPr="00796736" w:rsidRDefault="00181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35 viderefører – som nærmere beskrevet under pkt. 3.2</w:t>
      </w:r>
      <w:r w:rsidR="00E82EF7" w:rsidRPr="00796736">
        <w:rPr>
          <w:rFonts w:ascii="Times New Roman" w:hAnsi="Times New Roman" w:cs="Times New Roman"/>
          <w:sz w:val="24"/>
          <w:szCs w:val="24"/>
        </w:rPr>
        <w:t>7</w:t>
      </w:r>
      <w:r w:rsidRPr="00796736">
        <w:rPr>
          <w:rFonts w:ascii="Times New Roman" w:hAnsi="Times New Roman" w:cs="Times New Roman"/>
          <w:sz w:val="24"/>
          <w:szCs w:val="24"/>
        </w:rPr>
        <w:t>.2 – 4. og 5. hvidvaskdirektivs artikel 57, dog således, at det er tilføjet, at bestemmelsen også omfatter samarbejdet i regi af fælles analysehold i henhold til den nye bestemmelse herom i direktivets artikel 32 om fælles analyser.</w:t>
      </w:r>
    </w:p>
    <w:p w14:paraId="584DB11C" w14:textId="4A2F6156" w:rsidR="001819DC" w:rsidRPr="00796736" w:rsidRDefault="001819DC"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på den baggrund at gennemføre hvidvaskdirektivets artikel 35 i dansk ret ved i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_Ref232596168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29</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Pr="00796736">
        <w:rPr>
          <w:rFonts w:ascii="Times New Roman" w:hAnsi="Times New Roman" w:cs="Times New Roman"/>
          <w:sz w:val="24"/>
          <w:szCs w:val="24"/>
        </w:rPr>
        <w:t>at indsætte en bestemmelse om, at</w:t>
      </w:r>
      <w:r w:rsidRPr="00796736">
        <w:rPr>
          <w:rFonts w:ascii="Times New Roman" w:eastAsia="Times New Roman" w:hAnsi="Times New Roman" w:cs="Times New Roman"/>
          <w:b/>
          <w:bCs/>
          <w:sz w:val="24"/>
          <w:szCs w:val="24"/>
          <w:lang w:eastAsia="da-DK"/>
        </w:rPr>
        <w:t xml:space="preserve"> </w:t>
      </w:r>
      <w:r w:rsidRPr="00796736">
        <w:rPr>
          <w:rFonts w:ascii="Times New Roman" w:eastAsia="Times New Roman" w:hAnsi="Times New Roman" w:cs="Times New Roman"/>
          <w:sz w:val="24"/>
          <w:szCs w:val="24"/>
          <w:lang w:eastAsia="da-DK"/>
        </w:rPr>
        <w:t>Hvidvasksekretariatet skal yde bistand til andre</w:t>
      </w:r>
      <w:r w:rsidR="002128F7">
        <w:rPr>
          <w:rFonts w:ascii="Times New Roman" w:eastAsia="Times New Roman" w:hAnsi="Times New Roman" w:cs="Times New Roman"/>
          <w:sz w:val="24"/>
          <w:szCs w:val="24"/>
          <w:lang w:eastAsia="da-DK"/>
        </w:rPr>
        <w:t xml:space="preserve"> medlemsstaters</w:t>
      </w:r>
      <w:r w:rsidRPr="00796736">
        <w:rPr>
          <w:rFonts w:ascii="Times New Roman" w:eastAsia="Times New Roman" w:hAnsi="Times New Roman" w:cs="Times New Roman"/>
          <w:sz w:val="24"/>
          <w:szCs w:val="24"/>
          <w:lang w:eastAsia="da-DK"/>
        </w:rPr>
        <w:t xml:space="preserve"> FIU’er og udveksle, formidle og anvende oplysninger efter §</w:t>
      </w:r>
      <w:r w:rsidR="00656A5A" w:rsidRPr="00796736">
        <w:rPr>
          <w:rFonts w:ascii="Times New Roman" w:eastAsia="Times New Roman" w:hAnsi="Times New Roman" w:cs="Times New Roman"/>
          <w:sz w:val="24"/>
          <w:szCs w:val="24"/>
          <w:lang w:eastAsia="da-DK"/>
        </w:rPr>
        <w:fldChar w:fldCharType="begin"/>
      </w:r>
      <w:r w:rsidR="00656A5A" w:rsidRPr="00796736">
        <w:rPr>
          <w:rFonts w:ascii="Times New Roman" w:eastAsia="Times New Roman" w:hAnsi="Times New Roman" w:cs="Times New Roman"/>
          <w:sz w:val="24"/>
          <w:szCs w:val="24"/>
          <w:lang w:eastAsia="da-DK"/>
        </w:rPr>
        <w:instrText xml:space="preserve"> REF _Ref232596055 \n \h </w:instrText>
      </w:r>
      <w:r w:rsidR="00967618" w:rsidRPr="00796736">
        <w:rPr>
          <w:rFonts w:ascii="Times New Roman" w:eastAsia="Times New Roman" w:hAnsi="Times New Roman" w:cs="Times New Roman"/>
          <w:sz w:val="24"/>
          <w:szCs w:val="24"/>
          <w:lang w:eastAsia="da-DK"/>
        </w:rPr>
        <w:instrText xml:space="preserve"> \* MERGEFORMAT </w:instrText>
      </w:r>
      <w:r w:rsidR="00656A5A" w:rsidRPr="00796736">
        <w:rPr>
          <w:rFonts w:ascii="Times New Roman" w:eastAsia="Times New Roman" w:hAnsi="Times New Roman" w:cs="Times New Roman"/>
          <w:sz w:val="24"/>
          <w:szCs w:val="24"/>
          <w:lang w:eastAsia="da-DK"/>
        </w:rPr>
      </w:r>
      <w:r w:rsidR="00656A5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25</w:t>
      </w:r>
      <w:r w:rsidR="00656A5A"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w:t>
      </w:r>
      <w:r w:rsidR="00656A5A" w:rsidRPr="00796736">
        <w:rPr>
          <w:rFonts w:ascii="Times New Roman" w:eastAsia="Times New Roman" w:hAnsi="Times New Roman" w:cs="Times New Roman"/>
          <w:sz w:val="24"/>
          <w:szCs w:val="24"/>
          <w:lang w:eastAsia="da-DK"/>
        </w:rPr>
        <w:fldChar w:fldCharType="begin"/>
      </w:r>
      <w:r w:rsidR="00656A5A" w:rsidRPr="00796736">
        <w:rPr>
          <w:rFonts w:ascii="Times New Roman" w:eastAsia="Times New Roman" w:hAnsi="Times New Roman" w:cs="Times New Roman"/>
          <w:sz w:val="24"/>
          <w:szCs w:val="24"/>
          <w:lang w:eastAsia="da-DK"/>
        </w:rPr>
        <w:instrText xml:space="preserve"> REF _Ref232596141 \n \h </w:instrText>
      </w:r>
      <w:r w:rsidR="00967618" w:rsidRPr="00796736">
        <w:rPr>
          <w:rFonts w:ascii="Times New Roman" w:eastAsia="Times New Roman" w:hAnsi="Times New Roman" w:cs="Times New Roman"/>
          <w:sz w:val="24"/>
          <w:szCs w:val="24"/>
          <w:lang w:eastAsia="da-DK"/>
        </w:rPr>
        <w:instrText xml:space="preserve"> \* MERGEFORMAT </w:instrText>
      </w:r>
      <w:r w:rsidR="00656A5A" w:rsidRPr="00796736">
        <w:rPr>
          <w:rFonts w:ascii="Times New Roman" w:eastAsia="Times New Roman" w:hAnsi="Times New Roman" w:cs="Times New Roman"/>
          <w:sz w:val="24"/>
          <w:szCs w:val="24"/>
          <w:lang w:eastAsia="da-DK"/>
        </w:rPr>
      </w:r>
      <w:r w:rsidR="00656A5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28</w:t>
      </w:r>
      <w:r w:rsidR="00656A5A"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uanset eventuelle forskelle</w:t>
      </w:r>
      <w:r w:rsidRPr="00796736">
        <w:rPr>
          <w:rFonts w:ascii="Times New Roman" w:hAnsi="Times New Roman" w:cs="Times New Roman"/>
          <w:sz w:val="24"/>
          <w:szCs w:val="24"/>
        </w:rPr>
        <w:t xml:space="preserve"> i nationale retlige definitioner af </w:t>
      </w:r>
      <w:r w:rsidRPr="00796736">
        <w:rPr>
          <w:rFonts w:ascii="Times New Roman" w:eastAsia="Times New Roman" w:hAnsi="Times New Roman" w:cs="Times New Roman"/>
          <w:sz w:val="24"/>
          <w:szCs w:val="24"/>
          <w:lang w:eastAsia="da-DK"/>
        </w:rPr>
        <w:t>underliggende lovovertrædelser.</w:t>
      </w:r>
    </w:p>
    <w:p w14:paraId="37906141" w14:textId="77777777" w:rsidR="001819DC" w:rsidRPr="00796736" w:rsidRDefault="001819DC" w:rsidP="00A802A5">
      <w:pPr>
        <w:spacing w:line="360" w:lineRule="auto"/>
        <w:rPr>
          <w:rFonts w:ascii="Times New Roman" w:hAnsi="Times New Roman" w:cs="Times New Roman"/>
          <w:sz w:val="24"/>
          <w:szCs w:val="24"/>
        </w:rPr>
      </w:pPr>
    </w:p>
    <w:p w14:paraId="38EFCB89" w14:textId="45E5D4DF"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har navnlig til formål at sikre, at Hvidvasksekretariatet ikke afholder sig fra, hverken spontant eller efter anmodning, at udveksle oplysninger mv. med en anden </w:t>
      </w:r>
      <w:r w:rsidR="008D4A8C" w:rsidRPr="00796736">
        <w:rPr>
          <w:rFonts w:ascii="Times New Roman" w:hAnsi="Times New Roman" w:cs="Times New Roman"/>
          <w:sz w:val="24"/>
          <w:szCs w:val="24"/>
        </w:rPr>
        <w:t xml:space="preserve">EU-medlemsstats </w:t>
      </w:r>
      <w:r w:rsidRPr="00796736">
        <w:rPr>
          <w:rFonts w:ascii="Times New Roman" w:hAnsi="Times New Roman" w:cs="Times New Roman"/>
          <w:sz w:val="24"/>
          <w:szCs w:val="24"/>
        </w:rPr>
        <w:t>FIU som følge af forskelle i definitionerne af de underliggende lovovertrædelser. Sådanne forskelle må således ikke indebære en tilsidesættelse af det effektive FIU-samarbejde, jf. direktivets præambelbetragtning nr. 75.</w:t>
      </w:r>
    </w:p>
    <w:p w14:paraId="62602733" w14:textId="77777777" w:rsidR="001819DC" w:rsidRPr="00796736" w:rsidRDefault="001819DC" w:rsidP="00A802A5">
      <w:pPr>
        <w:spacing w:line="360" w:lineRule="auto"/>
        <w:rPr>
          <w:rFonts w:ascii="Times New Roman" w:hAnsi="Times New Roman" w:cs="Times New Roman"/>
          <w:sz w:val="24"/>
          <w:szCs w:val="24"/>
        </w:rPr>
      </w:pPr>
    </w:p>
    <w:p w14:paraId="1DCCC6F7"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udgør med de ændringer, der følger af artikel 35, en videreførelse af gældende ret.</w:t>
      </w:r>
    </w:p>
    <w:p w14:paraId="53F9B9BC" w14:textId="77777777" w:rsidR="001819DC" w:rsidRPr="00796736" w:rsidRDefault="001819DC" w:rsidP="00A802A5">
      <w:pPr>
        <w:spacing w:line="360" w:lineRule="auto"/>
        <w:rPr>
          <w:rFonts w:ascii="Times New Roman" w:hAnsi="Times New Roman" w:cs="Times New Roman"/>
          <w:sz w:val="24"/>
          <w:szCs w:val="24"/>
        </w:rPr>
      </w:pPr>
    </w:p>
    <w:p w14:paraId="2E57507E" w14:textId="22B7149F" w:rsidR="001819DC" w:rsidRPr="00796736" w:rsidRDefault="001819DC"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656A5A" w:rsidRPr="00796736">
        <w:rPr>
          <w:rFonts w:ascii="Times New Roman" w:eastAsia="Times New Roman" w:hAnsi="Times New Roman" w:cs="Times New Roman"/>
          <w:sz w:val="24"/>
          <w:szCs w:val="24"/>
          <w:lang w:eastAsia="da-DK"/>
        </w:rPr>
        <w:fldChar w:fldCharType="begin"/>
      </w:r>
      <w:r w:rsidR="00656A5A" w:rsidRPr="00796736">
        <w:rPr>
          <w:rFonts w:ascii="Times New Roman" w:eastAsia="Times New Roman" w:hAnsi="Times New Roman" w:cs="Times New Roman"/>
          <w:sz w:val="24"/>
          <w:szCs w:val="24"/>
          <w:lang w:eastAsia="da-DK"/>
        </w:rPr>
        <w:instrText xml:space="preserve"> REF _Ref232596168 \n \h </w:instrText>
      </w:r>
      <w:r w:rsidR="00967618" w:rsidRPr="00796736">
        <w:rPr>
          <w:rFonts w:ascii="Times New Roman" w:eastAsia="Times New Roman" w:hAnsi="Times New Roman" w:cs="Times New Roman"/>
          <w:sz w:val="24"/>
          <w:szCs w:val="24"/>
          <w:lang w:eastAsia="da-DK"/>
        </w:rPr>
        <w:instrText xml:space="preserve"> \* MERGEFORMAT </w:instrText>
      </w:r>
      <w:r w:rsidR="00656A5A" w:rsidRPr="00796736">
        <w:rPr>
          <w:rFonts w:ascii="Times New Roman" w:eastAsia="Times New Roman" w:hAnsi="Times New Roman" w:cs="Times New Roman"/>
          <w:sz w:val="24"/>
          <w:szCs w:val="24"/>
          <w:lang w:eastAsia="da-DK"/>
        </w:rPr>
      </w:r>
      <w:r w:rsidR="00656A5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29</w:t>
      </w:r>
      <w:r w:rsidR="00656A5A" w:rsidRPr="00796736">
        <w:rPr>
          <w:rFonts w:ascii="Times New Roman" w:eastAsia="Times New Roman" w:hAnsi="Times New Roman" w:cs="Times New Roman"/>
          <w:sz w:val="24"/>
          <w:szCs w:val="24"/>
          <w:lang w:eastAsia="da-DK"/>
        </w:rPr>
        <w:fldChar w:fldCharType="end"/>
      </w:r>
      <w:r w:rsidR="00656A5A"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og bemærkningerne hertil.</w:t>
      </w:r>
    </w:p>
    <w:p w14:paraId="272453DD" w14:textId="77777777" w:rsidR="003C1A7C" w:rsidRPr="00796736" w:rsidRDefault="003C1A7C" w:rsidP="00A802A5">
      <w:pPr>
        <w:spacing w:line="360" w:lineRule="auto"/>
        <w:rPr>
          <w:rFonts w:ascii="Times New Roman" w:hAnsi="Times New Roman" w:cs="Times New Roman"/>
          <w:sz w:val="24"/>
          <w:szCs w:val="24"/>
        </w:rPr>
      </w:pPr>
    </w:p>
    <w:p w14:paraId="3E107119" w14:textId="347148E1" w:rsidR="002C5834" w:rsidRPr="00796736" w:rsidRDefault="002C5834" w:rsidP="00A802A5">
      <w:pPr>
        <w:pStyle w:val="Overskrift2"/>
        <w:rPr>
          <w:rFonts w:ascii="Times New Roman" w:hAnsi="Times New Roman"/>
          <w:sz w:val="24"/>
        </w:rPr>
      </w:pPr>
      <w:bookmarkStart w:id="1118" w:name="_Toc232109107"/>
      <w:bookmarkStart w:id="1119" w:name="_Ref232946272"/>
      <w:bookmarkStart w:id="1120" w:name="_Toc232109108"/>
      <w:bookmarkStart w:id="1121" w:name="_Ref232937156"/>
      <w:bookmarkStart w:id="1122" w:name="_Ref232946178"/>
      <w:bookmarkStart w:id="1123" w:name="_Toc244880746"/>
      <w:r w:rsidRPr="00796736">
        <w:rPr>
          <w:rFonts w:ascii="Times New Roman" w:hAnsi="Times New Roman"/>
          <w:sz w:val="24"/>
        </w:rPr>
        <w:t>Fortrolighed af</w:t>
      </w:r>
      <w:bookmarkEnd w:id="1118"/>
      <w:bookmarkEnd w:id="1119"/>
      <w:r w:rsidR="002128F7">
        <w:rPr>
          <w:rFonts w:ascii="Times New Roman" w:hAnsi="Times New Roman"/>
          <w:sz w:val="24"/>
        </w:rPr>
        <w:t xml:space="preserve"> kilden til underretning</w:t>
      </w:r>
      <w:bookmarkEnd w:id="1123"/>
      <w:r w:rsidRPr="00796736">
        <w:rPr>
          <w:rFonts w:ascii="Times New Roman" w:hAnsi="Times New Roman"/>
          <w:sz w:val="24"/>
        </w:rPr>
        <w:t xml:space="preserve"> </w:t>
      </w:r>
    </w:p>
    <w:p w14:paraId="45139ACF" w14:textId="79B6EE0E" w:rsidR="003C1A7C" w:rsidRPr="00796736" w:rsidRDefault="003C1A7C" w:rsidP="00A802A5">
      <w:pPr>
        <w:pStyle w:val="Overskrift4"/>
        <w:rPr>
          <w:rFonts w:ascii="Times New Roman" w:hAnsi="Times New Roman" w:cs="Times New Roman"/>
          <w:sz w:val="24"/>
          <w:szCs w:val="24"/>
        </w:rPr>
      </w:pPr>
      <w:bookmarkStart w:id="1124" w:name="_Ref237004099"/>
      <w:r w:rsidRPr="00796736">
        <w:rPr>
          <w:rFonts w:ascii="Times New Roman" w:hAnsi="Times New Roman" w:cs="Times New Roman"/>
          <w:sz w:val="24"/>
          <w:szCs w:val="24"/>
        </w:rPr>
        <w:t>Gældende ret</w:t>
      </w:r>
      <w:bookmarkEnd w:id="1120"/>
      <w:bookmarkEnd w:id="1121"/>
      <w:bookmarkEnd w:id="1122"/>
      <w:bookmarkEnd w:id="1124"/>
    </w:p>
    <w:p w14:paraId="2C5DDDEF" w14:textId="77777777" w:rsidR="002C5834" w:rsidRDefault="002C583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findes ikke i dag regler i hvidvaskloven om, at Hvidvasksekretariatet skal indføre mekanismer til beskyttelse af identiteten af forpligtede enheder og deres ansatte eller personer i tilsvarende stillinger, herunder agenter og distributører, der indberetter mistanker. </w:t>
      </w:r>
    </w:p>
    <w:p w14:paraId="47F18B77" w14:textId="77777777" w:rsidR="002128F7" w:rsidRDefault="002128F7" w:rsidP="00A802A5">
      <w:pPr>
        <w:spacing w:line="360" w:lineRule="auto"/>
        <w:rPr>
          <w:rFonts w:ascii="Times New Roman" w:hAnsi="Times New Roman" w:cs="Times New Roman"/>
          <w:sz w:val="24"/>
          <w:szCs w:val="24"/>
        </w:rPr>
      </w:pPr>
    </w:p>
    <w:p w14:paraId="67B8E263" w14:textId="77777777" w:rsidR="002128F7" w:rsidRDefault="002128F7"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Efter hvidvasklovens § 38 a, stk. 1, er personer, der virker inden for den offentlige forvaltning, under ansvar efter straffelovens §§ 152-152 e forpligtet til at hemmeligholde oplysninger, som hidrører fra en underretning efter § 26 eller § 28. </w:t>
      </w:r>
    </w:p>
    <w:p w14:paraId="3AD1D0C6" w14:textId="77777777" w:rsidR="002128F7" w:rsidRDefault="002128F7" w:rsidP="00A802A5">
      <w:pPr>
        <w:spacing w:line="360" w:lineRule="auto"/>
        <w:rPr>
          <w:rFonts w:ascii="Times New Roman" w:hAnsi="Times New Roman" w:cs="Times New Roman"/>
          <w:sz w:val="24"/>
          <w:szCs w:val="24"/>
        </w:rPr>
      </w:pPr>
    </w:p>
    <w:p w14:paraId="0A29268F" w14:textId="0B723D76" w:rsidR="002128F7" w:rsidRPr="00796736" w:rsidRDefault="002128F7"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Efter stk. 2 finder forvaltningslovens § 9 om partsaktindsigt, § 19 om partshøring, § 24 om begrundelsespligt og §§ 28 og 31 om videregivelse af oplysninger mellem forvaltningsmyndigheder ikke anvendelse på de oplysninger, der er nævnt i stk. 1. </w:t>
      </w:r>
    </w:p>
    <w:p w14:paraId="1C891565" w14:textId="77777777" w:rsidR="002C5834" w:rsidRPr="00796736" w:rsidRDefault="002C5834" w:rsidP="00A802A5">
      <w:pPr>
        <w:spacing w:line="360" w:lineRule="auto"/>
        <w:rPr>
          <w:rFonts w:ascii="Times New Roman" w:hAnsi="Times New Roman" w:cs="Times New Roman"/>
          <w:sz w:val="24"/>
          <w:szCs w:val="24"/>
        </w:rPr>
      </w:pPr>
    </w:p>
    <w:p w14:paraId="5B0E6FFE" w14:textId="52AB1CFF"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forvaltningslovens § 27, stk. 1, at den</w:t>
      </w:r>
      <w:r w:rsidR="0092113C" w:rsidRPr="00796736">
        <w:rPr>
          <w:rFonts w:ascii="Times New Roman" w:hAnsi="Times New Roman" w:cs="Times New Roman"/>
          <w:sz w:val="24"/>
          <w:szCs w:val="24"/>
        </w:rPr>
        <w:t>,</w:t>
      </w:r>
      <w:r w:rsidRPr="00796736">
        <w:rPr>
          <w:rFonts w:ascii="Times New Roman" w:hAnsi="Times New Roman" w:cs="Times New Roman"/>
          <w:sz w:val="24"/>
          <w:szCs w:val="24"/>
        </w:rPr>
        <w:t xml:space="preserve"> der virker inden for den offentlige forvaltning, har tavshedspligt, jf. straffelovens </w:t>
      </w:r>
      <w:r w:rsidR="00C745EB">
        <w:rPr>
          <w:rFonts w:ascii="Times New Roman" w:hAnsi="Times New Roman" w:cs="Times New Roman"/>
          <w:sz w:val="24"/>
          <w:szCs w:val="24"/>
        </w:rPr>
        <w:t xml:space="preserve">§§ </w:t>
      </w:r>
      <w:r w:rsidRPr="00796736">
        <w:rPr>
          <w:rFonts w:ascii="Times New Roman" w:hAnsi="Times New Roman" w:cs="Times New Roman"/>
          <w:sz w:val="24"/>
          <w:szCs w:val="24"/>
        </w:rPr>
        <w:t xml:space="preserve">152 og 152 c-152 f, med hensyn til oplysninger om </w:t>
      </w:r>
    </w:p>
    <w:p w14:paraId="53EB480D" w14:textId="77777777" w:rsidR="008D4A8C" w:rsidRPr="00796736" w:rsidRDefault="008D4A8C">
      <w:pPr>
        <w:numPr>
          <w:ilvl w:val="0"/>
          <w:numId w:val="16"/>
        </w:numPr>
        <w:spacing w:line="360" w:lineRule="auto"/>
        <w:rPr>
          <w:rFonts w:ascii="Times New Roman" w:hAnsi="Times New Roman" w:cs="Times New Roman"/>
          <w:sz w:val="24"/>
          <w:szCs w:val="24"/>
        </w:rPr>
      </w:pPr>
      <w:r w:rsidRPr="00796736">
        <w:rPr>
          <w:rFonts w:ascii="Times New Roman" w:hAnsi="Times New Roman" w:cs="Times New Roman"/>
          <w:sz w:val="24"/>
          <w:szCs w:val="24"/>
        </w:rPr>
        <w:t>enkeltpersoners private, herunder økonomiske, forhold og</w:t>
      </w:r>
    </w:p>
    <w:p w14:paraId="04380054" w14:textId="77777777" w:rsidR="008D4A8C" w:rsidRPr="00796736" w:rsidRDefault="008D4A8C">
      <w:pPr>
        <w:numPr>
          <w:ilvl w:val="0"/>
          <w:numId w:val="16"/>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tekniske indretninger eller fremgangsmåder eller om drifts- eller forretningsforhold el.lign., for så vidt det er af væsentlig økonomisk betydning for den person eller virksomhed, oplysningerne angår, at oplysningerne ikke videregives. </w:t>
      </w:r>
    </w:p>
    <w:p w14:paraId="7E681743" w14:textId="77777777" w:rsidR="0092113C" w:rsidRPr="00796736" w:rsidRDefault="0092113C" w:rsidP="00A802A5">
      <w:pPr>
        <w:spacing w:line="360" w:lineRule="auto"/>
        <w:rPr>
          <w:rFonts w:ascii="Times New Roman" w:hAnsi="Times New Roman" w:cs="Times New Roman"/>
          <w:sz w:val="24"/>
          <w:szCs w:val="24"/>
        </w:rPr>
      </w:pPr>
    </w:p>
    <w:p w14:paraId="737155AD" w14:textId="32AB5E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bestemmelsens stk. 2, har den, der virker inden for den offentlige forvaltning, desuden tavshedspligt, jf. straffelovens §</w:t>
      </w:r>
      <w:r w:rsidR="00C745EB">
        <w:rPr>
          <w:rFonts w:ascii="Times New Roman" w:hAnsi="Times New Roman" w:cs="Times New Roman"/>
          <w:sz w:val="24"/>
          <w:szCs w:val="24"/>
        </w:rPr>
        <w:t>§</w:t>
      </w:r>
      <w:r w:rsidRPr="00796736">
        <w:rPr>
          <w:rFonts w:ascii="Times New Roman" w:hAnsi="Times New Roman" w:cs="Times New Roman"/>
          <w:sz w:val="24"/>
          <w:szCs w:val="24"/>
        </w:rPr>
        <w:t xml:space="preserve"> 152 og 152 c-152 f, når det er af væsentlig betydning for statens sikkerhed eller rigets forsvar. Det samme gælder, når en oplysning ved lov eller anden gyldig bestemmelse er betegnet som fortrolig, herunder når fortrolighed følger af en EU-retlig eller folkeretlig forpligtelse el.lign.</w:t>
      </w:r>
    </w:p>
    <w:p w14:paraId="1B3EC3DD" w14:textId="77777777" w:rsidR="0092113C" w:rsidRPr="00796736" w:rsidRDefault="0092113C" w:rsidP="00A802A5">
      <w:pPr>
        <w:spacing w:line="360" w:lineRule="auto"/>
        <w:rPr>
          <w:rFonts w:ascii="Times New Roman" w:hAnsi="Times New Roman" w:cs="Times New Roman"/>
          <w:sz w:val="24"/>
          <w:szCs w:val="24"/>
        </w:rPr>
      </w:pPr>
    </w:p>
    <w:p w14:paraId="5DF0D2C5" w14:textId="57EE52EC"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bestemmelsens stk. 3, at den, der virker inden for den offentlige forvaltning,</w:t>
      </w:r>
      <w:r w:rsidR="0092113C" w:rsidRPr="00796736">
        <w:rPr>
          <w:rFonts w:ascii="Times New Roman" w:hAnsi="Times New Roman" w:cs="Times New Roman"/>
          <w:sz w:val="24"/>
          <w:szCs w:val="24"/>
        </w:rPr>
        <w:t xml:space="preserve"> </w:t>
      </w:r>
      <w:r w:rsidRPr="00796736">
        <w:rPr>
          <w:rFonts w:ascii="Times New Roman" w:hAnsi="Times New Roman" w:cs="Times New Roman"/>
          <w:sz w:val="24"/>
          <w:szCs w:val="24"/>
        </w:rPr>
        <w:t>herudover</w:t>
      </w:r>
      <w:r w:rsidR="0092113C" w:rsidRPr="00796736">
        <w:rPr>
          <w:rFonts w:ascii="Times New Roman" w:hAnsi="Times New Roman" w:cs="Times New Roman"/>
          <w:sz w:val="24"/>
          <w:szCs w:val="24"/>
        </w:rPr>
        <w:t xml:space="preserve"> har</w:t>
      </w:r>
      <w:r w:rsidRPr="00796736">
        <w:rPr>
          <w:rFonts w:ascii="Times New Roman" w:hAnsi="Times New Roman" w:cs="Times New Roman"/>
          <w:sz w:val="24"/>
          <w:szCs w:val="24"/>
        </w:rPr>
        <w:t xml:space="preserve"> tavshedspligt, jf. straffelovens §</w:t>
      </w:r>
      <w:r w:rsidR="00C745EB">
        <w:rPr>
          <w:rFonts w:ascii="Times New Roman" w:hAnsi="Times New Roman" w:cs="Times New Roman"/>
          <w:sz w:val="24"/>
          <w:szCs w:val="24"/>
        </w:rPr>
        <w:t>§</w:t>
      </w:r>
      <w:r w:rsidRPr="00796736">
        <w:rPr>
          <w:rFonts w:ascii="Times New Roman" w:hAnsi="Times New Roman" w:cs="Times New Roman"/>
          <w:sz w:val="24"/>
          <w:szCs w:val="24"/>
        </w:rPr>
        <w:t xml:space="preserve"> 152 og 152 c-152 f, når det er nødvendigt at hemmeligholde en oplysning til beskyttelse af væsentlige hensyn til rigets udenrigspolitiske interesser, herunder forholdet til andre lande eller internationale organisationer.</w:t>
      </w:r>
    </w:p>
    <w:p w14:paraId="06018C56" w14:textId="77777777" w:rsidR="0092113C" w:rsidRPr="00796736" w:rsidRDefault="0092113C" w:rsidP="00A802A5">
      <w:pPr>
        <w:spacing w:line="360" w:lineRule="auto"/>
        <w:rPr>
          <w:rFonts w:ascii="Times New Roman" w:hAnsi="Times New Roman" w:cs="Times New Roman"/>
          <w:sz w:val="24"/>
          <w:szCs w:val="24"/>
        </w:rPr>
      </w:pPr>
    </w:p>
    <w:p w14:paraId="7AD2B265" w14:textId="1050BBD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4, har den, der virker inden for den offentlige forvaltning, endvidere tavshedspligt, jf. straffelovens </w:t>
      </w:r>
      <w:r w:rsidR="00C745EB">
        <w:rPr>
          <w:rFonts w:ascii="Times New Roman" w:hAnsi="Times New Roman" w:cs="Times New Roman"/>
          <w:sz w:val="24"/>
          <w:szCs w:val="24"/>
        </w:rPr>
        <w:t>§</w:t>
      </w:r>
      <w:r w:rsidRPr="00796736">
        <w:rPr>
          <w:rFonts w:ascii="Times New Roman" w:hAnsi="Times New Roman" w:cs="Times New Roman"/>
          <w:sz w:val="24"/>
          <w:szCs w:val="24"/>
        </w:rPr>
        <w:t>§ 152 og</w:t>
      </w:r>
      <w:r w:rsidR="00C745EB">
        <w:rPr>
          <w:rFonts w:ascii="Times New Roman" w:hAnsi="Times New Roman" w:cs="Times New Roman"/>
          <w:sz w:val="24"/>
          <w:szCs w:val="24"/>
        </w:rPr>
        <w:t xml:space="preserve"> </w:t>
      </w:r>
      <w:r w:rsidRPr="00796736">
        <w:rPr>
          <w:rFonts w:ascii="Times New Roman" w:hAnsi="Times New Roman" w:cs="Times New Roman"/>
          <w:sz w:val="24"/>
          <w:szCs w:val="24"/>
        </w:rPr>
        <w:t>152 c-152 f, med hensyn til oplysninger, som det i øvrigt er nødvendigt at hemmeligholde for at varetage væsentlige hensyn til</w:t>
      </w:r>
    </w:p>
    <w:p w14:paraId="0012BCF0" w14:textId="77777777" w:rsidR="008D4A8C" w:rsidRPr="00796736" w:rsidRDefault="008D4A8C">
      <w:pPr>
        <w:numPr>
          <w:ilvl w:val="0"/>
          <w:numId w:val="17"/>
        </w:numPr>
        <w:spacing w:line="360" w:lineRule="auto"/>
        <w:rPr>
          <w:rFonts w:ascii="Times New Roman" w:hAnsi="Times New Roman" w:cs="Times New Roman"/>
          <w:sz w:val="24"/>
          <w:szCs w:val="24"/>
        </w:rPr>
      </w:pPr>
      <w:r w:rsidRPr="00796736">
        <w:rPr>
          <w:rFonts w:ascii="Times New Roman" w:hAnsi="Times New Roman" w:cs="Times New Roman"/>
          <w:sz w:val="24"/>
          <w:szCs w:val="24"/>
        </w:rPr>
        <w:t>forebyggelse, efterforskning og forfølgning af lovovertrædelser samt straffuldbyrdelse og beskyttelse af sigtede, vidner eller andre i sager om strafferetlig eller disciplinær forfølgning,</w:t>
      </w:r>
    </w:p>
    <w:p w14:paraId="69E6FA8F" w14:textId="77777777" w:rsidR="008D4A8C" w:rsidRPr="00796736" w:rsidRDefault="008D4A8C">
      <w:pPr>
        <w:numPr>
          <w:ilvl w:val="0"/>
          <w:numId w:val="17"/>
        </w:numPr>
        <w:spacing w:line="360" w:lineRule="auto"/>
        <w:rPr>
          <w:rFonts w:ascii="Times New Roman" w:hAnsi="Times New Roman" w:cs="Times New Roman"/>
          <w:sz w:val="24"/>
          <w:szCs w:val="24"/>
        </w:rPr>
      </w:pPr>
      <w:r w:rsidRPr="00796736">
        <w:rPr>
          <w:rFonts w:ascii="Times New Roman" w:hAnsi="Times New Roman" w:cs="Times New Roman"/>
          <w:sz w:val="24"/>
          <w:szCs w:val="24"/>
        </w:rPr>
        <w:t>gennemførelse af offentlig kontrol-, regulerings- eller planlægningsvirksomhed eller af påtænkte foranstaltninger i henhold til skatte- og afgiftslovgivningen,</w:t>
      </w:r>
    </w:p>
    <w:p w14:paraId="5D2722B4" w14:textId="77777777" w:rsidR="008D4A8C" w:rsidRPr="00796736" w:rsidRDefault="008D4A8C">
      <w:pPr>
        <w:numPr>
          <w:ilvl w:val="0"/>
          <w:numId w:val="17"/>
        </w:numPr>
        <w:spacing w:line="360" w:lineRule="auto"/>
        <w:rPr>
          <w:rFonts w:ascii="Times New Roman" w:hAnsi="Times New Roman" w:cs="Times New Roman"/>
          <w:sz w:val="24"/>
          <w:szCs w:val="24"/>
        </w:rPr>
      </w:pPr>
      <w:r w:rsidRPr="00796736">
        <w:rPr>
          <w:rFonts w:ascii="Times New Roman" w:hAnsi="Times New Roman" w:cs="Times New Roman"/>
          <w:sz w:val="24"/>
          <w:szCs w:val="24"/>
        </w:rPr>
        <w:t>det offentliges økonomiske interesser, herunder udførelsen af det offentliges forretningsvirksomhed,</w:t>
      </w:r>
    </w:p>
    <w:p w14:paraId="416B4A4D" w14:textId="77777777" w:rsidR="008D4A8C" w:rsidRPr="00796736" w:rsidRDefault="008D4A8C">
      <w:pPr>
        <w:numPr>
          <w:ilvl w:val="0"/>
          <w:numId w:val="17"/>
        </w:numPr>
        <w:spacing w:line="360" w:lineRule="auto"/>
        <w:rPr>
          <w:rFonts w:ascii="Times New Roman" w:hAnsi="Times New Roman" w:cs="Times New Roman"/>
          <w:sz w:val="24"/>
          <w:szCs w:val="24"/>
        </w:rPr>
      </w:pPr>
      <w:r w:rsidRPr="00796736">
        <w:rPr>
          <w:rFonts w:ascii="Times New Roman" w:hAnsi="Times New Roman" w:cs="Times New Roman"/>
          <w:sz w:val="24"/>
          <w:szCs w:val="24"/>
        </w:rPr>
        <w:t>forskeres og kunstneres originale ideer samt foreløbige forskningsresultater og manuskripter eller</w:t>
      </w:r>
    </w:p>
    <w:p w14:paraId="4C0E4FED" w14:textId="77777777" w:rsidR="008D4A8C" w:rsidRPr="00796736" w:rsidRDefault="008D4A8C">
      <w:pPr>
        <w:numPr>
          <w:ilvl w:val="0"/>
          <w:numId w:val="17"/>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private og offentlige interesser, hvor hemmeligholdelse efter forholdets særlige karakter er påkrævet. </w:t>
      </w:r>
    </w:p>
    <w:p w14:paraId="115BB6B9" w14:textId="77777777" w:rsidR="0092113C" w:rsidRPr="00796736" w:rsidRDefault="0092113C" w:rsidP="00A802A5">
      <w:pPr>
        <w:spacing w:line="360" w:lineRule="auto"/>
        <w:ind w:left="720"/>
        <w:rPr>
          <w:rFonts w:ascii="Times New Roman" w:hAnsi="Times New Roman" w:cs="Times New Roman"/>
          <w:sz w:val="24"/>
          <w:szCs w:val="24"/>
        </w:rPr>
      </w:pPr>
    </w:p>
    <w:p w14:paraId="5C1D1CC6"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forvaltningslovens § 27, stk. 5, at inden for den offentlige forvaltning kan der kun pålægges tavshedspligt med hensyn til en oplysning, når det er nødvendigt at hemmeligholde den for at varetage væsentlige hensyn til bestemte offentlige eller private interesser som nævnt i stk. 1-4. </w:t>
      </w:r>
    </w:p>
    <w:p w14:paraId="44325C5F" w14:textId="77777777" w:rsidR="008D4A8C" w:rsidRPr="00796736" w:rsidRDefault="008D4A8C" w:rsidP="00A802A5">
      <w:pPr>
        <w:spacing w:line="360" w:lineRule="auto"/>
        <w:rPr>
          <w:rFonts w:ascii="Times New Roman" w:hAnsi="Times New Roman" w:cs="Times New Roman"/>
          <w:sz w:val="24"/>
          <w:szCs w:val="24"/>
        </w:rPr>
      </w:pPr>
    </w:p>
    <w:p w14:paraId="37655126" w14:textId="1A85DE81" w:rsidR="00236910" w:rsidRPr="00796736" w:rsidRDefault="0023691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w:t>
      </w:r>
      <w:r w:rsidR="002C5834" w:rsidRPr="00796736">
        <w:rPr>
          <w:rFonts w:ascii="Times New Roman" w:hAnsi="Times New Roman" w:cs="Times New Roman"/>
          <w:sz w:val="24"/>
          <w:szCs w:val="24"/>
        </w:rPr>
        <w:t xml:space="preserve">dog </w:t>
      </w:r>
      <w:r w:rsidRPr="00796736">
        <w:rPr>
          <w:rFonts w:ascii="Times New Roman" w:hAnsi="Times New Roman" w:cs="Times New Roman"/>
          <w:sz w:val="24"/>
          <w:szCs w:val="24"/>
        </w:rPr>
        <w:t xml:space="preserve">af forvaltningslovens § 28, stk. 1, 1. pkt., at for manuel videregivelse af oplysninger om enkeltpersoner (personoplysninger) til en anden forvaltningsmyndighed gælder reglerne i databeskyttelseslovens §§ 6-8 og 10 og § 11, stk. 1, og artikel 5, stk. 1, litra a-c, artikel 6, artikel 7, stk. 3, 1. og 2. pkt., artikel 9 og 10 og artikel 77, stk. 1, i Europa-Parlamentets og Rådets forordning nr. 2016/679 af 27. april 2016 om beskyttelse af fysiske personer i forbindelse med behandling af personoplysning og om fri udveksling af sådanne oplysninger (databeskyttelsesforordningen), jf. databeskyttelseslovens § 2, stk. 1. Det fremgår derudover af forvaltningslovens § 28, stk. 1, 2. pkt., at for videregivelse af personoplysninger til en anden forvaltningsmyndighed, der helt eller delvis foretages ved hjælp af automatisk databehandling, finder reglerne i databeskyttelsesforordningen og databeskyttelsesloven anvendelse, medmindre videregivelse er reguleret af lov om retshåndhævendes myndigheders behandling af personoplysninger. </w:t>
      </w:r>
    </w:p>
    <w:p w14:paraId="1CCFBB44" w14:textId="77777777" w:rsidR="002C5834" w:rsidRPr="00796736" w:rsidRDefault="002C5834" w:rsidP="00A802A5">
      <w:pPr>
        <w:spacing w:line="360" w:lineRule="auto"/>
        <w:rPr>
          <w:rFonts w:ascii="Times New Roman" w:hAnsi="Times New Roman" w:cs="Times New Roman"/>
          <w:sz w:val="24"/>
          <w:szCs w:val="24"/>
        </w:rPr>
      </w:pPr>
    </w:p>
    <w:p w14:paraId="44E6FFB0" w14:textId="77777777" w:rsidR="00236910" w:rsidRPr="00796736" w:rsidRDefault="0023691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forvaltningslovens § 28, stk. 2, fremgår det, at oplysninger af fortrolig karakter, som ikke er omfattet af stk. 1, kun må videregives til en anden forvaltningsmyndighed, når </w:t>
      </w:r>
    </w:p>
    <w:p w14:paraId="6CEBD774" w14:textId="77777777" w:rsidR="00236910" w:rsidRPr="00796736" w:rsidRDefault="00236910">
      <w:pPr>
        <w:pStyle w:val="Listeafsnit"/>
        <w:numPr>
          <w:ilvl w:val="0"/>
          <w:numId w:val="1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oplysningen angår, udtrykkeligt har givet samtykke, </w:t>
      </w:r>
    </w:p>
    <w:p w14:paraId="2EB57926" w14:textId="77777777" w:rsidR="00236910" w:rsidRPr="00796736" w:rsidRDefault="00236910">
      <w:pPr>
        <w:pStyle w:val="Listeafsnit"/>
        <w:numPr>
          <w:ilvl w:val="0"/>
          <w:numId w:val="1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lov eller bestemmelser fastsat i henhold til lov, at oplysningen skal videregives, eller </w:t>
      </w:r>
    </w:p>
    <w:p w14:paraId="02F571F6" w14:textId="77777777" w:rsidR="00236910" w:rsidRPr="00796736" w:rsidRDefault="00236910">
      <w:pPr>
        <w:pStyle w:val="Listeafsnit"/>
        <w:numPr>
          <w:ilvl w:val="0"/>
          <w:numId w:val="1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må antages, at oplysningen vil være af væsentlig betydning for myndighedens virksomhed eller for en afgørelse, myndigheden skal træffe.</w:t>
      </w:r>
    </w:p>
    <w:p w14:paraId="1D21A4F7" w14:textId="77777777" w:rsidR="00236910" w:rsidRPr="00796736" w:rsidRDefault="0023691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forvaltningslovens § 28, stk. 3, at ved samtykke efter stk. 2, nr. 1, forstås enhver frivillig, specifik, informeret og utvetydig viljestilkendegivelse, hvorved den, oplysningen angår, ved erklæring eller klar bekræftelse indvilger i, at oplysningen videregives. </w:t>
      </w:r>
    </w:p>
    <w:p w14:paraId="2EC24CDC" w14:textId="1CB5CAD0" w:rsidR="00236910" w:rsidRPr="00796736" w:rsidRDefault="0023691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forvaltningslovens § 28, stk. 4, at et samtykke efter stk. 3 kan tilbagekaldes. Inden der gives samtykke, skal den, oplysningen angår, oplyses om, at et samtykke kan trækkes tilbage. Det skal være lige så let at trække samtykket tilbage som at give det.</w:t>
      </w:r>
    </w:p>
    <w:p w14:paraId="60B4101B" w14:textId="419EDB5A" w:rsidR="003C1A7C" w:rsidRPr="00796736" w:rsidRDefault="0023691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forvaltningslovens § 31, stk. 1, at i det omfang en forvaltningsmyndighed er berettiget til at videregive en oplysning, skal myndigheden på begæring af en anden forvaltningsmyndighed videregive oplysningen, hvis den er af betydning for myndighedens virksomhed eller for en afgørelse, som myndigheden skal træffe.  </w:t>
      </w:r>
    </w:p>
    <w:p w14:paraId="1EEC54F2" w14:textId="6840603E" w:rsidR="0092113C" w:rsidRPr="00796736" w:rsidRDefault="0092113C" w:rsidP="00A802A5">
      <w:pPr>
        <w:spacing w:after="240" w:line="360" w:lineRule="auto"/>
        <w:rPr>
          <w:rFonts w:ascii="Times New Roman" w:hAnsi="Times New Roman" w:cs="Times New Roman"/>
          <w:sz w:val="24"/>
          <w:szCs w:val="24"/>
        </w:rPr>
      </w:pPr>
      <w:bookmarkStart w:id="1125" w:name="_Toc232109109"/>
      <w:bookmarkStart w:id="1126" w:name="_Ref232937000"/>
      <w:bookmarkStart w:id="1127" w:name="_Ref232937163"/>
      <w:r w:rsidRPr="00796736">
        <w:rPr>
          <w:rFonts w:ascii="Times New Roman" w:hAnsi="Times New Roman" w:cs="Times New Roman"/>
          <w:sz w:val="24"/>
          <w:szCs w:val="24"/>
        </w:rPr>
        <w:t>Videregivelse af personoplysninger er også reguleret i databeskyttelsesreglerne. Der henvises til pkt.</w:t>
      </w:r>
      <w:r w:rsidR="00EA6373">
        <w:rPr>
          <w:rFonts w:ascii="Times New Roman" w:hAnsi="Times New Roman" w:cs="Times New Roman"/>
          <w:sz w:val="24"/>
          <w:szCs w:val="24"/>
        </w:rPr>
        <w:t xml:space="preserve"> 5</w:t>
      </w:r>
      <w:r w:rsidRPr="00796736">
        <w:rPr>
          <w:rFonts w:ascii="Times New Roman" w:hAnsi="Times New Roman" w:cs="Times New Roman"/>
          <w:sz w:val="24"/>
          <w:szCs w:val="24"/>
        </w:rPr>
        <w:t xml:space="preserve">.  </w:t>
      </w:r>
    </w:p>
    <w:p w14:paraId="1C26D16A" w14:textId="21AFEF73" w:rsidR="003C1A7C" w:rsidRPr="00796736" w:rsidRDefault="003C1A7C" w:rsidP="00A802A5">
      <w:pPr>
        <w:pStyle w:val="Overskrift4"/>
        <w:rPr>
          <w:rFonts w:ascii="Times New Roman" w:hAnsi="Times New Roman" w:cs="Times New Roman"/>
          <w:sz w:val="24"/>
          <w:szCs w:val="24"/>
        </w:rPr>
      </w:pPr>
      <w:bookmarkStart w:id="1128" w:name="_Ref243299517"/>
      <w:r w:rsidRPr="00796736">
        <w:rPr>
          <w:rFonts w:ascii="Times New Roman" w:hAnsi="Times New Roman" w:cs="Times New Roman"/>
          <w:sz w:val="24"/>
          <w:szCs w:val="24"/>
        </w:rPr>
        <w:t>6. hvidvaskdirektiv</w:t>
      </w:r>
      <w:bookmarkEnd w:id="1125"/>
      <w:bookmarkEnd w:id="1126"/>
      <w:bookmarkEnd w:id="1127"/>
      <w:bookmarkEnd w:id="1128"/>
      <w:r w:rsidRPr="00796736">
        <w:rPr>
          <w:rFonts w:ascii="Times New Roman" w:hAnsi="Times New Roman" w:cs="Times New Roman"/>
          <w:sz w:val="24"/>
          <w:szCs w:val="24"/>
        </w:rPr>
        <w:t xml:space="preserve"> </w:t>
      </w:r>
    </w:p>
    <w:p w14:paraId="761F4C4D" w14:textId="77777777" w:rsidR="003C1A7C" w:rsidRPr="00796736" w:rsidRDefault="003C1A7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36 regulerer fortrolighed af indberetninger. </w:t>
      </w:r>
    </w:p>
    <w:p w14:paraId="29BF1312" w14:textId="77777777" w:rsidR="003C1A7C" w:rsidRPr="00796736" w:rsidRDefault="003C1A7C" w:rsidP="00A802A5">
      <w:pPr>
        <w:spacing w:line="360" w:lineRule="auto"/>
        <w:rPr>
          <w:rFonts w:ascii="Times New Roman" w:hAnsi="Times New Roman" w:cs="Times New Roman"/>
          <w:sz w:val="24"/>
          <w:szCs w:val="24"/>
        </w:rPr>
      </w:pPr>
    </w:p>
    <w:p w14:paraId="723D2D7A" w14:textId="77777777" w:rsidR="002D4368" w:rsidRPr="00796736" w:rsidRDefault="002D43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36, stk. 1, at medlemsstaterne sikrer, at FIU’er har indført mekanismer til beskyttelse af identiteten af forpligtede enheder og deres ansatte eller personer i tilsvarende stillinger, herunder agenter og distributører, der indberetter mistanker i henhold til hvidvaskforordningens artikel 69, stk. 1, første afsnit, litra a. </w:t>
      </w:r>
    </w:p>
    <w:p w14:paraId="30069922" w14:textId="77777777" w:rsidR="002D4368" w:rsidRPr="00796736" w:rsidRDefault="002D4368" w:rsidP="00A802A5">
      <w:pPr>
        <w:spacing w:line="360" w:lineRule="auto"/>
        <w:rPr>
          <w:rFonts w:ascii="Times New Roman" w:hAnsi="Times New Roman" w:cs="Times New Roman"/>
          <w:sz w:val="24"/>
          <w:szCs w:val="24"/>
        </w:rPr>
      </w:pPr>
    </w:p>
    <w:p w14:paraId="082D71EA" w14:textId="77777777" w:rsidR="002D4368" w:rsidRPr="00796736" w:rsidRDefault="002D43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stk. 2, at medlemsstaterne sikrer, at FIU’er ikke oplyser kilden til den indberetning, der er omhandlet i denne artikels stk. 1, når de besvarer anmodninger om oplysninger fra kompetente myndigheder i henhold til artikel 22, eller når de formidler resultaterne af deres analyser i henhold til artikel 19. Dette stykke berører ikke gældende nationale strafferetsplejeregler.</w:t>
      </w:r>
    </w:p>
    <w:p w14:paraId="316B180A" w14:textId="77777777" w:rsidR="00A709F1" w:rsidRPr="00796736" w:rsidRDefault="00A709F1" w:rsidP="00A802A5">
      <w:pPr>
        <w:spacing w:line="360" w:lineRule="auto"/>
        <w:rPr>
          <w:rFonts w:ascii="Times New Roman" w:hAnsi="Times New Roman" w:cs="Times New Roman"/>
          <w:sz w:val="24"/>
          <w:szCs w:val="24"/>
        </w:rPr>
      </w:pPr>
    </w:p>
    <w:p w14:paraId="30E66A3F" w14:textId="73330AD0" w:rsidR="00A709F1" w:rsidRPr="00796736" w:rsidRDefault="00A709F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er ny i forhold til 4. og 5. hvidvaskdirektiv.</w:t>
      </w:r>
    </w:p>
    <w:p w14:paraId="3723DE98" w14:textId="77777777" w:rsidR="003C1A7C" w:rsidRPr="00796736" w:rsidRDefault="003C1A7C" w:rsidP="00A802A5">
      <w:pPr>
        <w:spacing w:line="360" w:lineRule="auto"/>
        <w:rPr>
          <w:rFonts w:ascii="Times New Roman" w:hAnsi="Times New Roman" w:cs="Times New Roman"/>
          <w:sz w:val="24"/>
          <w:szCs w:val="24"/>
        </w:rPr>
      </w:pPr>
    </w:p>
    <w:p w14:paraId="183C9DA9" w14:textId="1D8C6AC4" w:rsidR="003C1A7C" w:rsidRPr="00796736" w:rsidRDefault="003C1A7C" w:rsidP="00A802A5">
      <w:pPr>
        <w:pStyle w:val="Overskrift4"/>
        <w:rPr>
          <w:rFonts w:ascii="Times New Roman" w:hAnsi="Times New Roman" w:cs="Times New Roman"/>
          <w:sz w:val="24"/>
          <w:szCs w:val="24"/>
        </w:rPr>
      </w:pPr>
      <w:bookmarkStart w:id="1129" w:name="_Toc232109110"/>
      <w:r w:rsidRPr="00796736">
        <w:rPr>
          <w:rFonts w:ascii="Times New Roman" w:hAnsi="Times New Roman" w:cs="Times New Roman"/>
          <w:sz w:val="24"/>
          <w:szCs w:val="24"/>
        </w:rPr>
        <w:t>Justitsministeriets overvejelser og den foreslåede ordning</w:t>
      </w:r>
      <w:bookmarkEnd w:id="1129"/>
      <w:r w:rsidRPr="00796736">
        <w:rPr>
          <w:rFonts w:ascii="Times New Roman" w:hAnsi="Times New Roman" w:cs="Times New Roman"/>
          <w:sz w:val="24"/>
          <w:szCs w:val="24"/>
        </w:rPr>
        <w:t xml:space="preserve"> </w:t>
      </w:r>
    </w:p>
    <w:p w14:paraId="574B6C64" w14:textId="2875F911" w:rsidR="00E37818" w:rsidRPr="00796736" w:rsidRDefault="002C5834"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81492A" w:rsidRPr="00796736">
        <w:rPr>
          <w:rFonts w:ascii="Times New Roman" w:hAnsi="Times New Roman" w:cs="Times New Roman"/>
          <w:sz w:val="24"/>
          <w:szCs w:val="24"/>
        </w:rPr>
        <w:fldChar w:fldCharType="begin"/>
      </w:r>
      <w:r w:rsidR="0081492A" w:rsidRPr="00796736">
        <w:rPr>
          <w:rFonts w:ascii="Times New Roman" w:hAnsi="Times New Roman" w:cs="Times New Roman"/>
          <w:sz w:val="24"/>
          <w:szCs w:val="24"/>
        </w:rPr>
        <w:instrText xml:space="preserve"> REF _Ref237004099 \n \h </w:instrText>
      </w:r>
      <w:r w:rsidR="007E73F9" w:rsidRPr="00796736">
        <w:rPr>
          <w:rFonts w:ascii="Times New Roman" w:hAnsi="Times New Roman" w:cs="Times New Roman"/>
          <w:sz w:val="24"/>
          <w:szCs w:val="24"/>
        </w:rPr>
        <w:instrText xml:space="preserve"> \* MERGEFORMAT </w:instrText>
      </w:r>
      <w:r w:rsidR="0081492A" w:rsidRPr="00796736">
        <w:rPr>
          <w:rFonts w:ascii="Times New Roman" w:hAnsi="Times New Roman" w:cs="Times New Roman"/>
          <w:sz w:val="24"/>
          <w:szCs w:val="24"/>
        </w:rPr>
      </w:r>
      <w:r w:rsidR="0081492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3.29.1</w:t>
      </w:r>
      <w:r w:rsidR="0081492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2128F7" w:rsidRPr="00D253F0">
        <w:rPr>
          <w:rFonts w:ascii="Times New Roman" w:hAnsi="Times New Roman" w:cs="Times New Roman"/>
          <w:sz w:val="24"/>
          <w:szCs w:val="24"/>
        </w:rPr>
        <w:t xml:space="preserve">findes der ikke i dag regler i hvidvaskloven om, at Hvidvasksekretariatet skal indføre mekanismer til beskyttelse af identiteten af forpligtede enheder og deres ansatte eller personer i tilsvarende stillinger, herunder agenter og distributører, der indberetter mistanker. </w:t>
      </w:r>
      <w:r w:rsidR="002128F7">
        <w:rPr>
          <w:rFonts w:ascii="Times New Roman" w:hAnsi="Times New Roman" w:cs="Times New Roman"/>
          <w:sz w:val="24"/>
          <w:szCs w:val="24"/>
        </w:rPr>
        <w:t>Hvidvasklovens § 38 a indeholder imidlertid en særlig tavshedspligtsbestemmelse, ligesom f</w:t>
      </w:r>
      <w:r w:rsidR="002128F7" w:rsidRPr="00D253F0">
        <w:rPr>
          <w:rFonts w:ascii="Times New Roman" w:hAnsi="Times New Roman" w:cs="Times New Roman"/>
          <w:sz w:val="24"/>
          <w:szCs w:val="24"/>
        </w:rPr>
        <w:t xml:space="preserve">orvaltningslovens §§ 28 og 31 regulerer dog videregivelse af oplysninger til en anden forvaltningsmyndighed. Hvidvaskdirektivets artikel 36 indeholder </w:t>
      </w:r>
      <w:r w:rsidR="00E37818" w:rsidRPr="00796736">
        <w:rPr>
          <w:rFonts w:ascii="Times New Roman" w:hAnsi="Times New Roman" w:cs="Times New Roman"/>
          <w:sz w:val="24"/>
          <w:szCs w:val="24"/>
        </w:rPr>
        <w:t>– til forskel fra 4. og 5. hvidvaskdirektiv – en bestemmelse, der regulerer fortrolighed af indberetninger, jf. nærmere pkt.</w:t>
      </w:r>
      <w:r w:rsidR="005C7EA2" w:rsidRPr="00796736">
        <w:rPr>
          <w:rFonts w:ascii="Times New Roman" w:hAnsi="Times New Roman" w:cs="Times New Roman"/>
          <w:sz w:val="24"/>
          <w:szCs w:val="24"/>
        </w:rPr>
        <w:t xml:space="preserve"> </w:t>
      </w:r>
      <w:r w:rsidR="005C7EA2" w:rsidRPr="00796736">
        <w:rPr>
          <w:rFonts w:ascii="Times New Roman" w:hAnsi="Times New Roman" w:cs="Times New Roman"/>
          <w:sz w:val="24"/>
          <w:szCs w:val="24"/>
        </w:rPr>
        <w:fldChar w:fldCharType="begin"/>
      </w:r>
      <w:r w:rsidR="005C7EA2" w:rsidRPr="00796736">
        <w:rPr>
          <w:rFonts w:ascii="Times New Roman" w:hAnsi="Times New Roman" w:cs="Times New Roman"/>
          <w:sz w:val="24"/>
          <w:szCs w:val="24"/>
        </w:rPr>
        <w:instrText xml:space="preserve"> REF _Ref243299517 \n \h </w:instrText>
      </w:r>
      <w:r w:rsidR="00796736">
        <w:rPr>
          <w:rFonts w:ascii="Times New Roman" w:hAnsi="Times New Roman" w:cs="Times New Roman"/>
          <w:sz w:val="24"/>
          <w:szCs w:val="24"/>
        </w:rPr>
        <w:instrText xml:space="preserve"> \* MERGEFORMAT </w:instrText>
      </w:r>
      <w:r w:rsidR="005C7EA2" w:rsidRPr="00796736">
        <w:rPr>
          <w:rFonts w:ascii="Times New Roman" w:hAnsi="Times New Roman" w:cs="Times New Roman"/>
          <w:sz w:val="24"/>
          <w:szCs w:val="24"/>
        </w:rPr>
      </w:r>
      <w:r w:rsidR="005C7EA2"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3.29.2</w:t>
      </w:r>
      <w:r w:rsidR="005C7EA2" w:rsidRPr="00796736">
        <w:rPr>
          <w:rFonts w:ascii="Times New Roman" w:hAnsi="Times New Roman" w:cs="Times New Roman"/>
          <w:sz w:val="24"/>
          <w:szCs w:val="24"/>
        </w:rPr>
        <w:fldChar w:fldCharType="end"/>
      </w:r>
      <w:r w:rsidR="00E37818" w:rsidRPr="00796736">
        <w:rPr>
          <w:rFonts w:ascii="Times New Roman" w:hAnsi="Times New Roman" w:cs="Times New Roman"/>
          <w:sz w:val="24"/>
          <w:szCs w:val="24"/>
        </w:rPr>
        <w:t>.</w:t>
      </w:r>
    </w:p>
    <w:p w14:paraId="31293A73" w14:textId="45A63426" w:rsidR="008D4A8C" w:rsidRPr="00796736" w:rsidRDefault="008D4A8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_Ref239689115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gennemføre hvidvaskdirektivets artikel 36 ved at indføre en bestemmelse om, at </w:t>
      </w:r>
      <w:r w:rsidRPr="00796736">
        <w:rPr>
          <w:rFonts w:ascii="Times New Roman" w:eastAsia="Times New Roman" w:hAnsi="Times New Roman" w:cs="Times New Roman"/>
          <w:sz w:val="24"/>
          <w:szCs w:val="24"/>
          <w:lang w:eastAsia="da-DK"/>
        </w:rPr>
        <w:t>Hvidvasksekretariatet beskytter identiteten af de forpligtede enheder og deres ansatte eller personer i tilsvarende stillinger, herunder agenter og distributører, som foretager underretninger om mistanke efter hvidvaskforordningens artikel 69, stk. 1, første afsnit, litra a, herunder vedikke at oplyse</w:t>
      </w:r>
      <w:r w:rsidRPr="00796736">
        <w:rPr>
          <w:rFonts w:ascii="Times New Roman" w:hAnsi="Times New Roman" w:cs="Times New Roman"/>
          <w:sz w:val="24"/>
          <w:szCs w:val="24"/>
        </w:rPr>
        <w:t xml:space="preserve"> kilden til den pågældende underretning efter 1. pkt., når Hvidvasksekretariatet besvarer anmodninger om oplysninger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_Ref232595727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eller når sekretariatet formidler resultaterne af deres analyser i henhold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_Ref239689279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Pr="00796736" w:rsidDel="00F26101">
        <w:rPr>
          <w:rFonts w:ascii="Times New Roman" w:hAnsi="Times New Roman" w:cs="Times New Roman"/>
          <w:sz w:val="24"/>
          <w:szCs w:val="24"/>
        </w:rPr>
        <w:t xml:space="preserve"> </w:t>
      </w:r>
    </w:p>
    <w:p w14:paraId="0960D612" w14:textId="6C36F67A" w:rsidR="008D4A8C" w:rsidRPr="00796736"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Den foreslåede bestemmelse vil indebære, at Hvidvasksekretariatet skal sørge for, at identiteten på de forpligtede enheder og deres ansatte eller personer mv., som foretager underretninger i medfør af hvidvaskforordningens artikel 69, stk. 1, første afsnit, litra a, dvs. kilden, ikke kompromitteres. Efter den foreslåede bestemmelse omfatter det, at Hvidvasksekretariatet ikke oplyser kilden til en underretning, når Hvidvasksekretariatet besvarer anmodninger om oplysninger fra kompetente myndigheder efter den foreslåede </w:t>
      </w:r>
      <w:r w:rsidR="008D4A8C" w:rsidRPr="00796736">
        <w:rPr>
          <w:rFonts w:ascii="Times New Roman" w:hAnsi="Times New Roman" w:cs="Times New Roman"/>
          <w:sz w:val="24"/>
          <w:szCs w:val="24"/>
        </w:rPr>
        <w:fldChar w:fldCharType="begin"/>
      </w:r>
      <w:r w:rsidR="008D4A8C" w:rsidRPr="00796736">
        <w:rPr>
          <w:rFonts w:ascii="Times New Roman" w:hAnsi="Times New Roman" w:cs="Times New Roman"/>
          <w:sz w:val="24"/>
          <w:szCs w:val="24"/>
        </w:rPr>
        <w:instrText xml:space="preserve"> REF _Ref232595727 \r \h </w:instrText>
      </w:r>
      <w:r w:rsidR="00F375BF" w:rsidRPr="00796736">
        <w:rPr>
          <w:rFonts w:ascii="Times New Roman" w:hAnsi="Times New Roman" w:cs="Times New Roman"/>
          <w:sz w:val="24"/>
          <w:szCs w:val="24"/>
        </w:rPr>
        <w:instrText xml:space="preserve"> \* MERGEFORMAT </w:instrText>
      </w:r>
      <w:r w:rsidR="008D4A8C" w:rsidRPr="00796736">
        <w:rPr>
          <w:rFonts w:ascii="Times New Roman" w:hAnsi="Times New Roman" w:cs="Times New Roman"/>
          <w:sz w:val="24"/>
          <w:szCs w:val="24"/>
        </w:rPr>
      </w:r>
      <w:r w:rsidR="008D4A8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008D4A8C" w:rsidRPr="00796736">
        <w:rPr>
          <w:rFonts w:ascii="Times New Roman" w:hAnsi="Times New Roman" w:cs="Times New Roman"/>
          <w:sz w:val="24"/>
          <w:szCs w:val="24"/>
        </w:rPr>
        <w:fldChar w:fldCharType="end"/>
      </w:r>
      <w:r w:rsidR="008D4A8C" w:rsidRPr="00796736">
        <w:rPr>
          <w:rFonts w:ascii="Times New Roman" w:hAnsi="Times New Roman" w:cs="Times New Roman"/>
          <w:sz w:val="24"/>
          <w:szCs w:val="24"/>
        </w:rPr>
        <w:t xml:space="preserve">, eller når de formidler resultaterne af deres analyser efter den foreslåede </w:t>
      </w:r>
      <w:r w:rsidR="008D4A8C" w:rsidRPr="00796736">
        <w:rPr>
          <w:rFonts w:ascii="Times New Roman" w:hAnsi="Times New Roman" w:cs="Times New Roman"/>
          <w:sz w:val="24"/>
          <w:szCs w:val="24"/>
        </w:rPr>
        <w:fldChar w:fldCharType="begin"/>
      </w:r>
      <w:r w:rsidR="008D4A8C" w:rsidRPr="00796736">
        <w:rPr>
          <w:rFonts w:ascii="Times New Roman" w:hAnsi="Times New Roman" w:cs="Times New Roman"/>
          <w:sz w:val="24"/>
          <w:szCs w:val="24"/>
        </w:rPr>
        <w:instrText xml:space="preserve"> REF _Ref239689279 \r \h </w:instrText>
      </w:r>
      <w:r w:rsidR="00F375BF" w:rsidRPr="00796736">
        <w:rPr>
          <w:rFonts w:ascii="Times New Roman" w:hAnsi="Times New Roman" w:cs="Times New Roman"/>
          <w:sz w:val="24"/>
          <w:szCs w:val="24"/>
        </w:rPr>
        <w:instrText xml:space="preserve"> \* MERGEFORMAT </w:instrText>
      </w:r>
      <w:r w:rsidR="008D4A8C" w:rsidRPr="00796736">
        <w:rPr>
          <w:rFonts w:ascii="Times New Roman" w:hAnsi="Times New Roman" w:cs="Times New Roman"/>
          <w:sz w:val="24"/>
          <w:szCs w:val="24"/>
        </w:rPr>
      </w:r>
      <w:r w:rsidR="008D4A8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14</w:t>
      </w:r>
      <w:r w:rsidR="008D4A8C" w:rsidRPr="00796736">
        <w:rPr>
          <w:rFonts w:ascii="Times New Roman" w:hAnsi="Times New Roman" w:cs="Times New Roman"/>
          <w:sz w:val="24"/>
          <w:szCs w:val="24"/>
        </w:rPr>
        <w:fldChar w:fldCharType="end"/>
      </w:r>
      <w:r w:rsidR="008D4A8C" w:rsidRPr="00796736">
        <w:rPr>
          <w:rFonts w:ascii="Times New Roman" w:hAnsi="Times New Roman" w:cs="Times New Roman"/>
          <w:sz w:val="24"/>
          <w:szCs w:val="24"/>
        </w:rPr>
        <w:t>. Dertil kommer i øvrigt, at alle underretninger, som Hvidvasksekretariatet modtager, er belagt med tavshedspligt, jf.</w:t>
      </w:r>
      <w:r w:rsidR="0092113C" w:rsidRPr="00796736">
        <w:rPr>
          <w:rFonts w:ascii="Times New Roman" w:hAnsi="Times New Roman" w:cs="Times New Roman"/>
          <w:sz w:val="24"/>
          <w:szCs w:val="24"/>
        </w:rPr>
        <w:t xml:space="preserve"> den foreslåede</w:t>
      </w:r>
      <w:r w:rsidR="008D4A8C" w:rsidRPr="00796736">
        <w:rPr>
          <w:rFonts w:ascii="Times New Roman" w:hAnsi="Times New Roman" w:cs="Times New Roman"/>
          <w:sz w:val="24"/>
          <w:szCs w:val="24"/>
        </w:rPr>
        <w:t xml:space="preserve"> </w:t>
      </w:r>
      <w:r w:rsidR="008D4A8C" w:rsidRPr="00796736">
        <w:rPr>
          <w:rFonts w:ascii="Times New Roman" w:hAnsi="Times New Roman" w:cs="Times New Roman"/>
          <w:sz w:val="24"/>
          <w:szCs w:val="24"/>
        </w:rPr>
        <w:fldChar w:fldCharType="begin"/>
      </w:r>
      <w:r w:rsidR="008D4A8C" w:rsidRPr="00796736">
        <w:rPr>
          <w:rFonts w:ascii="Times New Roman" w:hAnsi="Times New Roman" w:cs="Times New Roman"/>
          <w:sz w:val="24"/>
          <w:szCs w:val="24"/>
        </w:rPr>
        <w:instrText xml:space="preserve"> REF _Ref239689412 \r \h </w:instrText>
      </w:r>
      <w:r w:rsidR="00F375BF" w:rsidRPr="00796736">
        <w:rPr>
          <w:rFonts w:ascii="Times New Roman" w:hAnsi="Times New Roman" w:cs="Times New Roman"/>
          <w:sz w:val="24"/>
          <w:szCs w:val="24"/>
        </w:rPr>
        <w:instrText xml:space="preserve"> \* MERGEFORMAT </w:instrText>
      </w:r>
      <w:r w:rsidR="008D4A8C" w:rsidRPr="00796736">
        <w:rPr>
          <w:rFonts w:ascii="Times New Roman" w:hAnsi="Times New Roman" w:cs="Times New Roman"/>
          <w:sz w:val="24"/>
          <w:szCs w:val="24"/>
        </w:rPr>
      </w:r>
      <w:r w:rsidR="008D4A8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38</w:t>
      </w:r>
      <w:r w:rsidR="008D4A8C" w:rsidRPr="00796736">
        <w:rPr>
          <w:rFonts w:ascii="Times New Roman" w:hAnsi="Times New Roman" w:cs="Times New Roman"/>
          <w:sz w:val="24"/>
          <w:szCs w:val="24"/>
        </w:rPr>
        <w:fldChar w:fldCharType="end"/>
      </w:r>
      <w:r w:rsidR="008D4A8C" w:rsidRPr="00796736">
        <w:rPr>
          <w:rFonts w:ascii="Times New Roman" w:hAnsi="Times New Roman" w:cs="Times New Roman"/>
          <w:sz w:val="24"/>
          <w:szCs w:val="24"/>
        </w:rPr>
        <w:t>.</w:t>
      </w:r>
      <w:r w:rsidR="008D4A8C" w:rsidRPr="00796736">
        <w:rPr>
          <w:rFonts w:ascii="Times New Roman" w:hAnsi="Times New Roman" w:cs="Times New Roman"/>
          <w:sz w:val="24"/>
          <w:szCs w:val="24"/>
        </w:rPr>
        <w:tab/>
      </w:r>
      <w:r w:rsidR="008D4A8C" w:rsidRPr="00796736">
        <w:rPr>
          <w:rFonts w:ascii="Times New Roman" w:hAnsi="Times New Roman" w:cs="Times New Roman"/>
          <w:sz w:val="24"/>
          <w:szCs w:val="24"/>
        </w:rPr>
        <w:br/>
      </w:r>
      <w:r w:rsidR="008D4A8C" w:rsidRPr="00796736">
        <w:rPr>
          <w:rFonts w:ascii="Times New Roman" w:hAnsi="Times New Roman" w:cs="Times New Roman"/>
          <w:sz w:val="24"/>
          <w:szCs w:val="24"/>
        </w:rPr>
        <w:br/>
      </w:r>
      <w:r w:rsidR="00C3106B" w:rsidRPr="00796736">
        <w:rPr>
          <w:rFonts w:ascii="Times New Roman" w:hAnsi="Times New Roman" w:cs="Times New Roman"/>
          <w:sz w:val="24"/>
          <w:szCs w:val="24"/>
        </w:rPr>
        <w:t xml:space="preserve">Den foreslåede bestemmelse omfatter ikke Hvidvasksekretariatets muligheder for at dele oplysninger med politiet og anklagemyndigheden eller øvrige </w:t>
      </w:r>
      <w:r w:rsidR="00C3106B">
        <w:rPr>
          <w:rFonts w:ascii="Times New Roman" w:hAnsi="Times New Roman" w:cs="Times New Roman"/>
          <w:sz w:val="24"/>
          <w:szCs w:val="24"/>
        </w:rPr>
        <w:t xml:space="preserve">retshåndhævende </w:t>
      </w:r>
      <w:r w:rsidR="00C3106B" w:rsidRPr="00796736">
        <w:rPr>
          <w:rFonts w:ascii="Times New Roman" w:hAnsi="Times New Roman" w:cs="Times New Roman"/>
          <w:sz w:val="24"/>
          <w:szCs w:val="24"/>
        </w:rPr>
        <w:t xml:space="preserve">myndigheder.  </w:t>
      </w:r>
    </w:p>
    <w:p w14:paraId="5B167F26" w14:textId="77777777" w:rsidR="00E37818" w:rsidRPr="00796736" w:rsidRDefault="00E37818" w:rsidP="00A802A5">
      <w:pPr>
        <w:spacing w:line="360" w:lineRule="auto"/>
        <w:rPr>
          <w:rFonts w:ascii="Times New Roman" w:hAnsi="Times New Roman" w:cs="Times New Roman"/>
          <w:sz w:val="24"/>
          <w:szCs w:val="24"/>
        </w:rPr>
      </w:pPr>
    </w:p>
    <w:p w14:paraId="5458B21E" w14:textId="2D1BC9A3" w:rsidR="00E37818" w:rsidRPr="00796736" w:rsidRDefault="00E37818"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Der henvises i øvrigt til lovforslagets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_Ref232596193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30</w:t>
      </w:r>
      <w:r w:rsidR="00656A5A" w:rsidRPr="00796736">
        <w:rPr>
          <w:rFonts w:ascii="Times New Roman" w:hAnsi="Times New Roman" w:cs="Times New Roman"/>
          <w:sz w:val="24"/>
          <w:szCs w:val="24"/>
        </w:rPr>
        <w:fldChar w:fldCharType="end"/>
      </w:r>
      <w:r w:rsidR="0081492A" w:rsidRPr="00796736">
        <w:rPr>
          <w:rFonts w:ascii="Times New Roman" w:hAnsi="Times New Roman" w:cs="Times New Roman"/>
          <w:sz w:val="24"/>
          <w:szCs w:val="24"/>
        </w:rPr>
        <w:t xml:space="preserve"> og </w:t>
      </w:r>
      <w:r w:rsidRPr="00796736">
        <w:rPr>
          <w:rFonts w:ascii="Times New Roman" w:hAnsi="Times New Roman" w:cs="Times New Roman"/>
          <w:sz w:val="24"/>
          <w:szCs w:val="24"/>
        </w:rPr>
        <w:t>bemærkningerne hertil.</w:t>
      </w:r>
      <w:r w:rsidR="006E3320" w:rsidRPr="00796736">
        <w:rPr>
          <w:rFonts w:ascii="Times New Roman" w:eastAsia="Times New Roman" w:hAnsi="Times New Roman" w:cs="Times New Roman"/>
          <w:sz w:val="24"/>
          <w:szCs w:val="24"/>
          <w:lang w:eastAsia="da-DK"/>
        </w:rPr>
        <w:br/>
      </w:r>
    </w:p>
    <w:p w14:paraId="510767BA" w14:textId="527CB7B8" w:rsidR="00A02EA0" w:rsidRPr="00796736" w:rsidRDefault="00A02EA0" w:rsidP="00A802A5">
      <w:pPr>
        <w:pStyle w:val="Overskrift2"/>
        <w:rPr>
          <w:rFonts w:ascii="Times New Roman" w:hAnsi="Times New Roman"/>
          <w:sz w:val="24"/>
        </w:rPr>
      </w:pPr>
      <w:bookmarkStart w:id="1130" w:name="_Toc229739648"/>
      <w:bookmarkStart w:id="1131" w:name="_Toc232109111"/>
      <w:bookmarkStart w:id="1132" w:name="_Ref237002822"/>
      <w:bookmarkStart w:id="1133" w:name="_Toc244880747"/>
      <w:r w:rsidRPr="00796736">
        <w:rPr>
          <w:rFonts w:ascii="Times New Roman" w:hAnsi="Times New Roman"/>
          <w:sz w:val="24"/>
        </w:rPr>
        <w:t>National risikovurdering og statistik</w:t>
      </w:r>
      <w:bookmarkEnd w:id="1130"/>
      <w:bookmarkEnd w:id="1131"/>
      <w:bookmarkEnd w:id="1132"/>
      <w:bookmarkEnd w:id="1133"/>
    </w:p>
    <w:p w14:paraId="242336C5" w14:textId="51A5D2E0" w:rsidR="00A02EA0" w:rsidRPr="00796736" w:rsidRDefault="00A02EA0" w:rsidP="00A802A5">
      <w:pPr>
        <w:pStyle w:val="Overskrift4"/>
        <w:rPr>
          <w:rFonts w:ascii="Times New Roman" w:hAnsi="Times New Roman" w:cs="Times New Roman"/>
          <w:sz w:val="24"/>
          <w:szCs w:val="24"/>
        </w:rPr>
      </w:pPr>
      <w:bookmarkStart w:id="1134" w:name="_Toc229739649"/>
      <w:bookmarkStart w:id="1135" w:name="_Toc232109112"/>
      <w:bookmarkStart w:id="1136" w:name="_Ref232946286"/>
      <w:r w:rsidRPr="00796736">
        <w:rPr>
          <w:rFonts w:ascii="Times New Roman" w:hAnsi="Times New Roman" w:cs="Times New Roman"/>
          <w:sz w:val="24"/>
          <w:szCs w:val="24"/>
        </w:rPr>
        <w:t>Gældende ret</w:t>
      </w:r>
      <w:bookmarkEnd w:id="1134"/>
      <w:bookmarkEnd w:id="1135"/>
      <w:bookmarkEnd w:id="1136"/>
    </w:p>
    <w:p w14:paraId="535DB929" w14:textId="77777777" w:rsidR="000D6A6E" w:rsidRPr="00796736" w:rsidRDefault="000D6A6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hvidvasklovens § 29, stk. 3, har Hvidvasksekretariatet ansvaret for i samarbejde med andre myndigheder at udarbejde og opdatere den nationale risikovurdering på hvidvaskområdet med henblik på at identificere, vurdere, forstå og begrænse de aktuelle risici for hvidvask af penge. </w:t>
      </w:r>
    </w:p>
    <w:p w14:paraId="4D954604" w14:textId="77777777" w:rsidR="000D6A6E" w:rsidRPr="00796736" w:rsidRDefault="000D6A6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Med bestemmelsen gennemføres 4. hvidvaskdirektivs artikel 7, stk. 1. </w:t>
      </w:r>
    </w:p>
    <w:p w14:paraId="72ABE569" w14:textId="77777777" w:rsidR="000D6A6E" w:rsidRPr="00796736" w:rsidRDefault="000D6A6E"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Det følger af bemærkningerne til § 29, stk. 3, at bestemmelsen har til formål e</w:t>
      </w:r>
      <w:r w:rsidRPr="00796736">
        <w:rPr>
          <w:rFonts w:ascii="Times New Roman" w:hAnsi="Times New Roman" w:cs="Times New Roman"/>
          <w:sz w:val="24"/>
          <w:szCs w:val="24"/>
        </w:rPr>
        <w:t>ffektivt at gennemføre artikel 7, stk. 1, i 4. hvidvaskdirektiv og skabe formel klarhed om, at Hvidvasksekretariatet er den ansvarlige myndighed i forhold til udarbejdelsen af den nationale risikovurdering på hvidvaskområdet. Der er i bestemmelsen ikke tale om en udtømmende angivelse af Hvidvasksekretariatets opgave. Det fremgår endvidere af bemærkningerne, at det nærmere indhold og anvendelse af den nationale risikovurdering fastsættes i administrative bestemmelser. Der henvises til Folketingstidende 2019-20, tillæg A, L 58 som fremsat, side 48 og 71.</w:t>
      </w:r>
    </w:p>
    <w:p w14:paraId="5C2B3D38" w14:textId="77777777" w:rsidR="008D4A8C" w:rsidRPr="00796736" w:rsidRDefault="008D4A8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er ikke efter gældende ret et krav om, at der udarbejdes risikovurderinger vedrørende terrorfinansiering, men det følger af anbefalingerne fra Financial Action Task Force (FATF), at medlemslande bør identificere, vurdere og forstå de terrorfinansieringsrisici, der gælder for landet. I praksis har Politiets Efterretningstjeneste (PET) derfor siden 2016 udgivet nationale risikovurderinger for terrorfinansiering, hvoraf den seneste er udgivet i januar 2024. </w:t>
      </w:r>
    </w:p>
    <w:p w14:paraId="03328FD3" w14:textId="77777777" w:rsidR="000D6A6E" w:rsidRPr="00796736" w:rsidRDefault="000D6A6E"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Det følger endvidere af hvidvasklovens § 74, stk. 1, at erhvervsministeren etablerer et forum med deltagelse af tilsynsmyndighederne i henhold til hvidvaskloven og Hvidvasksekretariatet, som skal koordinere myndighedernes risikovurderinger og generelle foranstaltninger mod hvidvask af udbytte og finansiering af terrorisme. Erhvervsministeren har i medfør af denne bestemmelse nedsat Hvidvaskforum. </w:t>
      </w:r>
      <w:r w:rsidRPr="00796736">
        <w:rPr>
          <w:rFonts w:ascii="Times New Roman" w:eastAsia="Calibri" w:hAnsi="Times New Roman" w:cs="Times New Roman"/>
          <w:sz w:val="24"/>
          <w:szCs w:val="24"/>
        </w:rPr>
        <w:t xml:space="preserve">Der er i § 9 i cirkulære nr. 9752 af 26. september 2023 om Danmarks Finansielle Efterretningsenhed (FIU) (herefter FIU-cirkulæret) fastsat nærmere regler for Hvidvasksekretariatets udarbejdelse af den nationale risikovurdering. </w:t>
      </w:r>
    </w:p>
    <w:p w14:paraId="5A26A157" w14:textId="795193CD" w:rsidR="000D6A6E" w:rsidRPr="00796736" w:rsidRDefault="000D6A6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Derudover er der i FIU-cirkulærets § 10 fastsat regler om statistik til brug for den nationale risikovurdering. Efter stk. 1 skal Hvidvasksekretariatet i samarbejde med relevante myndigheder udarbejde statistikker over forhold, der er relevante for indsatsens effektivitet</w:t>
      </w:r>
      <w:r w:rsidR="002128F7">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til brug for udarbejdelse af den nationale risikovurdering og med henblik på at sikre, at der føres tilsyn med effektiviteten af indsatsen vedrørende bekæmpelse af hvidvask af penge. Det er opregnet i bestemmelsens stk. 2, nr. 1-6, hvad de i stk. 1 omhandlede statistikker omfatter.</w:t>
      </w:r>
    </w:p>
    <w:p w14:paraId="28D86CC0" w14:textId="36522070" w:rsidR="00A02EA0" w:rsidRPr="00796736" w:rsidRDefault="00897E47" w:rsidP="00A802A5">
      <w:pPr>
        <w:pStyle w:val="Overskrift4"/>
        <w:rPr>
          <w:rFonts w:ascii="Times New Roman" w:hAnsi="Times New Roman" w:cs="Times New Roman"/>
          <w:sz w:val="24"/>
          <w:szCs w:val="24"/>
        </w:rPr>
      </w:pPr>
      <w:bookmarkStart w:id="1137" w:name="_Toc229739650"/>
      <w:bookmarkStart w:id="1138" w:name="_Toc232109113"/>
      <w:bookmarkStart w:id="1139" w:name="_Ref232937345"/>
      <w:bookmarkStart w:id="1140" w:name="_Ref232937372"/>
      <w:bookmarkStart w:id="1141" w:name="_Ref232937382"/>
      <w:bookmarkStart w:id="1142" w:name="_Ref232937434"/>
      <w:bookmarkStart w:id="1143" w:name="_Ref232946329"/>
      <w:r w:rsidRPr="00796736">
        <w:rPr>
          <w:rFonts w:ascii="Times New Roman" w:hAnsi="Times New Roman" w:cs="Times New Roman"/>
          <w:sz w:val="24"/>
          <w:szCs w:val="24"/>
        </w:rPr>
        <w:t xml:space="preserve">6. </w:t>
      </w:r>
      <w:r w:rsidR="00A02EA0" w:rsidRPr="00796736">
        <w:rPr>
          <w:rFonts w:ascii="Times New Roman" w:hAnsi="Times New Roman" w:cs="Times New Roman"/>
          <w:sz w:val="24"/>
          <w:szCs w:val="24"/>
        </w:rPr>
        <w:t>hvidvaskdirektiv</w:t>
      </w:r>
      <w:bookmarkEnd w:id="1137"/>
      <w:bookmarkEnd w:id="1138"/>
      <w:bookmarkEnd w:id="1139"/>
      <w:bookmarkEnd w:id="1140"/>
      <w:bookmarkEnd w:id="1141"/>
      <w:bookmarkEnd w:id="1142"/>
      <w:bookmarkEnd w:id="1143"/>
      <w:r w:rsidR="00A02EA0" w:rsidRPr="00796736">
        <w:rPr>
          <w:rFonts w:ascii="Times New Roman" w:hAnsi="Times New Roman" w:cs="Times New Roman"/>
          <w:sz w:val="24"/>
          <w:szCs w:val="24"/>
        </w:rPr>
        <w:t xml:space="preserve"> </w:t>
      </w:r>
    </w:p>
    <w:p w14:paraId="211F6428" w14:textId="7798599C" w:rsidR="000E58F5" w:rsidRPr="00796736" w:rsidRDefault="000E58F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Hvidvaskdirektivets artikel 8 omhandler den nationale risikovurdering. Bestemmelsen erstatter 4. og 5. hvidvaskdirektivs artikel 7.  </w:t>
      </w:r>
    </w:p>
    <w:p w14:paraId="384D73C5" w14:textId="77777777" w:rsidR="00DE25D3" w:rsidRPr="00796736" w:rsidRDefault="00DE25D3" w:rsidP="00A802A5">
      <w:pPr>
        <w:spacing w:line="360" w:lineRule="auto"/>
        <w:rPr>
          <w:rFonts w:ascii="Times New Roman" w:hAnsi="Times New Roman" w:cs="Times New Roman"/>
          <w:sz w:val="24"/>
          <w:szCs w:val="24"/>
        </w:rPr>
      </w:pPr>
    </w:p>
    <w:p w14:paraId="4C5210DF" w14:textId="77777777" w:rsidR="000E58F5" w:rsidRPr="00796736" w:rsidRDefault="000E58F5"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Det fremgår af direktivets artikel 8, stk. 1, 1. afsnit, at hver medlemsstat foretager en national risikovurdering for at identificere, vurdere, forstå og afbøde de risici for hvidvask af penge og finansiering af terrorisme og de risici for manglende gennemførelse og omgåelse af målrettede finansielle sanktioner, der påvirker den. Den </w:t>
      </w:r>
      <w:r w:rsidRPr="00796736">
        <w:rPr>
          <w:rFonts w:ascii="Times New Roman" w:hAnsi="Times New Roman" w:cs="Times New Roman"/>
          <w:sz w:val="24"/>
          <w:szCs w:val="24"/>
        </w:rPr>
        <w:t xml:space="preserve">ajourfører risikovurderingen og reviderer den mindst hvert fjerde år. Derudover fremgår det af </w:t>
      </w:r>
      <w:r w:rsidRPr="00796736">
        <w:rPr>
          <w:rFonts w:ascii="Times New Roman" w:eastAsia="Calibri" w:hAnsi="Times New Roman" w:cs="Times New Roman"/>
          <w:sz w:val="24"/>
          <w:szCs w:val="24"/>
        </w:rPr>
        <w:t>artikel 8, stk. 1, 2. afsnit, at h</w:t>
      </w:r>
      <w:r w:rsidRPr="00796736">
        <w:rPr>
          <w:rFonts w:ascii="Times New Roman" w:hAnsi="Times New Roman" w:cs="Times New Roman"/>
          <w:sz w:val="24"/>
          <w:szCs w:val="24"/>
        </w:rPr>
        <w:t>vis medlemsstaterne mener, at risikosituationen kræver det, kan de revidere den nationale risikovurdering hyppigere eller foretage sektorspecifikke ad hoc-risikovurderinger.</w:t>
      </w:r>
    </w:p>
    <w:p w14:paraId="035E19A6" w14:textId="77777777" w:rsidR="000E58F5" w:rsidRPr="00796736" w:rsidRDefault="000E58F5" w:rsidP="00A802A5">
      <w:pPr>
        <w:spacing w:after="240" w:line="360" w:lineRule="auto"/>
        <w:rPr>
          <w:rFonts w:ascii="Times New Roman" w:eastAsia="Calibri" w:hAnsi="Times New Roman" w:cs="Times New Roman"/>
          <w:sz w:val="24"/>
          <w:szCs w:val="24"/>
        </w:rPr>
      </w:pPr>
      <w:bookmarkStart w:id="1144" w:name="_Hlk225105042"/>
      <w:r w:rsidRPr="00796736">
        <w:rPr>
          <w:rFonts w:ascii="Times New Roman" w:eastAsia="Calibri" w:hAnsi="Times New Roman" w:cs="Times New Roman"/>
          <w:sz w:val="24"/>
          <w:szCs w:val="24"/>
        </w:rPr>
        <w:t xml:space="preserve">Artikel 8, stk. 1, svarer i det væsentligste til 4. og 5. hvidvaskdirektivs artikel 7, stk. 1, dog således, at det nu bl.a. fremgår, at risikovurderingen skal revideres mindst hvert fjerde år. </w:t>
      </w:r>
    </w:p>
    <w:p w14:paraId="4C0AB897"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følger af præambelbetragtning 14 bl.a., at for at opretholde en løbende forståelse af risici bør medlemsstaterne regelmæssigt ajourføre deres nationale risikovurdering og bør også kunne supplere den med målrettede ajourføringer og vurderinger af de risici, der er forbundet med specifikke sektorer, produkter eller tjenesteydelser. </w:t>
      </w:r>
    </w:p>
    <w:p w14:paraId="5258570A"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Af artikel 8, stk. 2, fremgår det, at hver medlemsstat udpeger en myndighed eller opretter en mekanisme med henblik på at koordinere den nationale respons på de risici, der er omhandlet i stk. 1. Kommissionen underrettes om denne myndigheds identitet eller forelægges en beskrivelse af mekanismen. </w:t>
      </w:r>
    </w:p>
    <w:p w14:paraId="221000D6"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svarer til 4. hvidvaskdirektivs artikel 7, stk. 2. </w:t>
      </w:r>
    </w:p>
    <w:p w14:paraId="5AFCE24A"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Derudover fremgår det af artikel 8, stk. 3, at medlemsstaterne, når de foretager de nationale risikovurderinger omhandlet i artikel 8, stk. 1, tager hensyn til resultaterne i den rapport, der er omhandlet i artikel 7, stk. 2 (om risikovurdering på EU-plan),</w:t>
      </w:r>
      <w:r w:rsidRPr="00796736">
        <w:rPr>
          <w:rFonts w:ascii="Times New Roman" w:hAnsi="Times New Roman" w:cs="Times New Roman"/>
          <w:sz w:val="24"/>
          <w:szCs w:val="24"/>
        </w:rPr>
        <w:t xml:space="preserve"> herunder omfattede sektorer og produkter og resultaterne af nævnte rapport</w:t>
      </w:r>
      <w:r w:rsidRPr="00796736">
        <w:rPr>
          <w:rFonts w:ascii="Times New Roman" w:eastAsia="Calibri" w:hAnsi="Times New Roman" w:cs="Times New Roman"/>
          <w:sz w:val="24"/>
          <w:szCs w:val="24"/>
        </w:rPr>
        <w:t xml:space="preserve">. </w:t>
      </w:r>
    </w:p>
    <w:p w14:paraId="328214D7"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svarer i det væsentligste til 4. hvidvaskdirektivs artikel 7, stk. 3.</w:t>
      </w:r>
    </w:p>
    <w:p w14:paraId="43663B6C" w14:textId="7179E020"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reguleres i artikel 8, stk. 4, litra a-f, hvad medlemsstaterne anvender den nationale risikovurdering til, ligesom det</w:t>
      </w:r>
      <w:r w:rsidR="008D4A8C" w:rsidRPr="00796736">
        <w:rPr>
          <w:rFonts w:ascii="Times New Roman" w:eastAsia="Calibri" w:hAnsi="Times New Roman" w:cs="Times New Roman"/>
          <w:sz w:val="24"/>
          <w:szCs w:val="24"/>
        </w:rPr>
        <w:t xml:space="preserve"> af stk. 4, 2. afsnit,</w:t>
      </w:r>
      <w:r w:rsidRPr="00796736">
        <w:rPr>
          <w:rFonts w:ascii="Times New Roman" w:eastAsia="Calibri" w:hAnsi="Times New Roman" w:cs="Times New Roman"/>
          <w:sz w:val="24"/>
          <w:szCs w:val="24"/>
        </w:rPr>
        <w:t xml:space="preserve"> fremgår, at i de nationale risikovurderinger beskriver medlemsstaterne den institutionelle struktur og de overordnede procedurer i deres ordning for bekæmpelse af hvidvask af penge og finansiering af terrorisme, herunder FIU'en, skattemyndigheder og anklagemyndigheder, mekanismerne til samarbejde med modparter i Unionen eller i tredjelande, samt de tildelte menneskelige og finansielle ressourcer, i det omfang der foreligger oplysninger herom. </w:t>
      </w:r>
    </w:p>
    <w:p w14:paraId="4402645E"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bl.a. af stk. 4, litra c, at den nationale risikovurdering skal anvendes til at vurdere risiciene for hvidvask af penge og finansiering af terrorisme i forbindelse med hver type juridisk person, der er etableret på deres område, og hver type juridisk arrangement, som reguleres i henhold til national ret, eller som administreres på deres område, eller hvis trustforvaltere eller personer, der varetager tilsvarende stillinger i lignende juridiske arrangementer, er bosiddende på deres område, og have en forståelse af eksponeringen for risici, der hidrører fra udenlandske juridiske personer og udenlandske juridiske arrangementer. Det bemærkes, at der med </w:t>
      </w:r>
      <w:r w:rsidRPr="00796736">
        <w:rPr>
          <w:rFonts w:ascii="Times New Roman" w:eastAsia="Calibri" w:hAnsi="Times New Roman" w:cs="Times New Roman"/>
          <w:bCs/>
          <w:sz w:val="24"/>
          <w:szCs w:val="24"/>
        </w:rPr>
        <w:t>»</w:t>
      </w:r>
      <w:r w:rsidRPr="00796736">
        <w:rPr>
          <w:rFonts w:ascii="Times New Roman" w:eastAsia="Calibri" w:hAnsi="Times New Roman" w:cs="Times New Roman"/>
          <w:sz w:val="24"/>
          <w:szCs w:val="24"/>
        </w:rPr>
        <w:t xml:space="preserve">juridisk arrangement« efter definitionen i hvidvaskforordningens artikel 2, nr. 32, forstås en viljesbestemt trust eller et arrangement, som har en struktur eller funktion, der ligner en viljesbestemt trust, herunder fiducia, visse Treuhand-typer eller fideikommisser. </w:t>
      </w:r>
    </w:p>
    <w:p w14:paraId="0F81C4B1" w14:textId="554D9043" w:rsidR="008D4A8C" w:rsidRPr="00796736" w:rsidRDefault="008D4A8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i den forbindelse af præambelbetragtning nr. 16, at i betragtning af det internationale finansielle systems integrerede karakter og EU-økonomiens åbenhed strækker de risici, der er forbundet med juridiske enheder og juridiske arrangementer, sig ud over risiciene på Unionens område. Det er derfor vigtigt, at Unionen og dens medlemsstater har en forståelse af eksponeringen for de risici, der hidrører fra udenlandske juridiske enheder og udenlandske juridiske arrangementer. Sådan risikovurdering behøver ikke at omfatte hver enkelt udenlandsk juridisk enhed eller hvert enkelt udenlandsk juridisk arrangement, der har en tilstrækkelig tilknytning til Unionen, hvad enten det er i kraft af erhvervelse af fast ejendom eller tildeling af kontrakter efter en offentlig udbudsprocedure eller det er på grund af transaktioner med forpligtede enheder, der giver dem adgang til Unionens finansielle system og økonomi. Risikovurderingen bør imidlertid gøre det muligt for Unionen og dens medlemsstater at forstå, hvilken type udenlandske juridiske enheder og udenlandske juridiske arrangementer der har en sådan adgang til Unionens finansielle system og økonomi, og hvilke typer risici der er forbundet med denne adgang.</w:t>
      </w:r>
    </w:p>
    <w:p w14:paraId="2AD14497"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Derudover fremgår det af stk. 4, litra e, at medlemsstaterne skal sikre, at der vedtages passende bestemmelser for hver sektor eller hvert område i overensstemmelse med risiciene for hvidvask og finansiering af terrorisme. </w:t>
      </w:r>
    </w:p>
    <w:p w14:paraId="3941118C"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Endelig fremgår det af litra f, at den nationale risikovurdering af medlemsstaterne skal anvendes til </w:t>
      </w:r>
      <w:r w:rsidRPr="00796736">
        <w:rPr>
          <w:rFonts w:ascii="Times New Roman" w:hAnsi="Times New Roman" w:cs="Times New Roman"/>
          <w:sz w:val="24"/>
          <w:szCs w:val="24"/>
        </w:rPr>
        <w:t>omgående at stille passende oplysninger til rådighed for kompetente myndigheder og forpligtede enheder for at lette gennemførelsen af deres egne vurderinger af risiciene for hvidvask af penge og finansiering af terrorisme samt vurderingen af risiciene for manglende gennemførelse og omgåelse af målrettede finansielle sanktioner, jf. artikel 10 i forordning (EU) 2024/1624.</w:t>
      </w:r>
    </w:p>
    <w:p w14:paraId="104B06A6"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Artikel 8, stk. 4, litra a, b og d, svarer med visse sproglige justeringer til 4. hvidvaskdirektivs artikel 7, stk. 4, litra a, b og d, mens litra c og e er nye. Derudover svarer artikel 8, stk. 4, litra f, til artikel 7, stk. 4, litra e, </w:t>
      </w:r>
      <w:r w:rsidRPr="00796736">
        <w:rPr>
          <w:rFonts w:ascii="Times New Roman" w:hAnsi="Times New Roman" w:cs="Times New Roman"/>
          <w:sz w:val="24"/>
          <w:szCs w:val="24"/>
        </w:rPr>
        <w:t xml:space="preserve">dog således at sidstnævnte led om risici for manglende gennemførelse af målrettede finansielle sanktioner er nyt. </w:t>
      </w:r>
    </w:p>
    <w:p w14:paraId="294AB92A"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endvidere af artikel 8, stk. 4, 2. afsnit, at medlemsstaterne i de nationale risikovurderinger beskriver den institutionelle struktur og de overordnede procedurer i deres ordning for bekæmpelse af hvidvask af penge og finansiering af terrorisme, herunder FIU’en, skattemyndigheder og anklagemyndigheder, mekanismerne til samarbejde med modparter i Unionen eller i tredjelande, samt de tildelte menneskelige og finansielle ressourcer, i det omfang der foreligger oplysninger herom. </w:t>
      </w:r>
    </w:p>
    <w:p w14:paraId="32AE5634"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svarer i det væsentligste til den gældende artikel 7, stk. 4, litra f og g. </w:t>
      </w:r>
    </w:p>
    <w:p w14:paraId="652DC97A"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Herudover fremgår det af artikel 8, stk. 5, at medlemsstaterne sikrer passende deltagelse af kompetente myndigheder og relevante interessenter, når de foretager deres nationale risikovurdering. </w:t>
      </w:r>
    </w:p>
    <w:p w14:paraId="28973D31"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er ny i forhold til 4. og 5. hvidvaskdirektiv.</w:t>
      </w:r>
    </w:p>
    <w:p w14:paraId="4D133B8B"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artikel 8, stk. 6, at medlemsstaterne stiller resultaterne af deres nationale risikovurderinger, herunder med ajourføringer og revisioner, til rådighed for Kommissionen, AMLA og de øvrige medlemsstater. En medlemsstat kan, hvor det er hensigtsmæssigt, give yderligere relevante oplysninger til den medlemsstat, der foretager den nationale risikovurdering. Et resumé af resultaterne af vurderingen offentliggøres. Dette resumé må ikke indeholde klassificerede oplysninger. Ethvert dokument, der formidles eller offentliggøres i henhold til dette stykke, må ikke indeholde oplysninger, der gør det muligt at identificere nogen fysisk person eller sætte navn på nogen juridisk person. </w:t>
      </w:r>
    </w:p>
    <w:p w14:paraId="75E02CEB"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svarer med visse justeringer til 4. og 5. hvidvaskdirektivs artikel 7, stk. 5. </w:t>
      </w:r>
    </w:p>
    <w:bookmarkEnd w:id="1144"/>
    <w:p w14:paraId="34282304"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præambelbetragtning 17, at resultaterne af risikovurderinger bør stilles til rådighed for forpligtede enheder i tilstrækkelig god tid, således at de kan identificere, forstå, håndtere og afbøde deres egne risici. Disse resultater kan deles i sammenfattet form og stilles til rådighed for offentligheden, og bør ikke omfatte klassificerede informationer eller personoplysninger.</w:t>
      </w:r>
    </w:p>
    <w:p w14:paraId="02D41CCF" w14:textId="77777777" w:rsidR="000E58F5" w:rsidRPr="00796736" w:rsidRDefault="000E58F5"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Det fremgår videre af betragtning nr. 18, at </w:t>
      </w:r>
      <w:r w:rsidRPr="00796736">
        <w:rPr>
          <w:rFonts w:ascii="Times New Roman" w:hAnsi="Times New Roman" w:cs="Times New Roman"/>
          <w:sz w:val="24"/>
          <w:szCs w:val="24"/>
        </w:rPr>
        <w:t>medlemsstaterne bør stille resultaterne af deres risikovurderinger til rådighed for hinanden, Kommissionen og AMLA, således at de i endnu højere grad kan identificere, forstå, styre og afbøde risiciene på EU-plan. Klassificerede informationer eller personoplysninger bør ikke medtages i disse overførsler, medmindre de anses for at være strengt nødvendige for udførelsen af opgaver for bekæmpelse af hvidvask af penge og finansiering af terrorisme.</w:t>
      </w:r>
    </w:p>
    <w:p w14:paraId="1E61E833"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Af betragtning nr. 19 fremgår det, at for effektivt at afbøde de risici, der er identificeret i den nationale risikovurdering, bør medlemsstaterne sikre en konsekvent indsats på nationalt plan, enten ved at udpege en myndighed til at koordinere den nationale indsats eller ved at oprette en mekanisme med henblik herpå. Medlemsstaterne bør sikre, at den udpegede myndighed eller den oprettede mekanisme har tilstrækkelige beføjelser og ressourcer til at udføre denne opgave effektivt og sikre en passende reaktion på de identificerede risici.</w:t>
      </w:r>
    </w:p>
    <w:p w14:paraId="2D15AC72"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Hvidvaskdirektivets artikel 9 regulerer statistik. Bestemmelsen erstatter og udvider 4. hvidvaskdirektivs artikel 44. </w:t>
      </w:r>
    </w:p>
    <w:p w14:paraId="33855992"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artikel 9, stk. 1, at medlemsstaterne fører omfattende statistikker over forhold, der er relevante for effektiviteten af deres rammer for bekæmpelse af hvidvask af penge og finansiering af terrorisme, for at kontrollere, hvor effektive disse rammer er. </w:t>
      </w:r>
    </w:p>
    <w:p w14:paraId="1DCA0CCF"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svarer indholdsmæssigt til 4. hvidvaskdirektivs artikel 44, stk. 1. </w:t>
      </w:r>
    </w:p>
    <w:p w14:paraId="6B5A21B6" w14:textId="77777777" w:rsidR="000E58F5" w:rsidRPr="00796736" w:rsidRDefault="000E58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er det i artikel 9, stk. 2, litra a-k, fastsat, hvad de i stk. 1 omhandlede statistikker omfatter. Bestemmelsen viderefører 4. hvidvaskdirektivs artikel 44, stk. 2, dog således at de omhandlede statistikker som noget nyt også skal omfatte bl.a. oplysninger om antallet og typer af overtrædelser, der konstateres i forbindelse med forpligtelserne efter forordningen og bøder og administrative foranstaltninger pålagt i den forbindelse samt antallet af uoverensstemmelser indberettet til det centrale register efter artikel 10, jf. artikel 9, stk. 2, litra h. Dette udgør en udbygning af den eksisterende artikel 44, stk. 2, litra f, hvorefter det alene følger, at der skal føres statistik over antallet overtrædelser, der konstateres på grundlag af de af tilsynsmyndighederne gennemførte tilsynsforanstaltninger og de pålagt sanktioner/administrative foranstaltninger. </w:t>
      </w:r>
    </w:p>
    <w:p w14:paraId="7BCC2C03" w14:textId="77777777" w:rsidR="000E58F5" w:rsidRPr="00796736" w:rsidRDefault="000E58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et andet nyt element vil oplysninger angående gennemførelsen af artikel 12, antallet af søgninger i bankkontoregistre mv., og visse data vedrørende gennemførelsen af finansielle sanktioner også skulle indgå, jf. artikel 9, stk. 2, litra k. </w:t>
      </w:r>
    </w:p>
    <w:p w14:paraId="62C17AAE" w14:textId="77777777" w:rsidR="000E58F5" w:rsidRPr="00796736" w:rsidRDefault="000E58F5" w:rsidP="00A802A5">
      <w:pPr>
        <w:spacing w:after="240" w:line="360" w:lineRule="auto"/>
        <w:rPr>
          <w:rFonts w:ascii="Times New Roman" w:hAnsi="Times New Roman" w:cs="Times New Roman"/>
          <w:sz w:val="24"/>
          <w:szCs w:val="24"/>
        </w:rPr>
      </w:pPr>
      <w:bookmarkStart w:id="1145" w:name="_Hlk224899287"/>
      <w:r w:rsidRPr="00796736">
        <w:rPr>
          <w:rFonts w:ascii="Times New Roman" w:eastAsia="Calibri" w:hAnsi="Times New Roman" w:cs="Times New Roman"/>
          <w:sz w:val="24"/>
          <w:szCs w:val="24"/>
        </w:rPr>
        <w:t xml:space="preserve">Endvidere fremgår det af artikel 9, stk. 3, at </w:t>
      </w:r>
      <w:r w:rsidRPr="00796736">
        <w:rPr>
          <w:rFonts w:ascii="Times New Roman" w:hAnsi="Times New Roman" w:cs="Times New Roman"/>
          <w:sz w:val="24"/>
          <w:szCs w:val="24"/>
        </w:rPr>
        <w:t xml:space="preserve">medlemsstaterne sikrer, at de statistikker, der er omhandlet i stk. 2, indsamles og indsendes til Kommissionen på årsbasis. De statistikker, der er omhandlet i stk. 2, litra a, c, d og f, indsendes også til AMLA. </w:t>
      </w:r>
    </w:p>
    <w:p w14:paraId="338C4E56" w14:textId="77777777"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Bestemmelsen viderefører med visse ændringer den gældende artikel 44, stk. 4. </w:t>
      </w:r>
    </w:p>
    <w:bookmarkEnd w:id="1145"/>
    <w:p w14:paraId="35127BAD" w14:textId="1D67BCB2" w:rsidR="000E58F5" w:rsidRPr="00796736" w:rsidRDefault="000E58F5"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Af præambelbetragtning nr. 20 fremgår det, at for at kunne kontrollere, hvor effektive deres ordninger for bekæmpelse af hvidvask af penge og finansiering af terrorisme er, bør medlemsstaterne føre relevante statistikker og forbedre kvaliteten af dem. For at forbedre kvaliteten og konsistensen af de statistiske data, der indsamles på EU-niveau, bør Kommissionen og AMLA følge situationen i hele Unionen med hensyn til bekæmpelse af hvidvask af penge og finansiering af terrorisme og bør regelmæssigt offentliggøre oversigter.</w:t>
      </w:r>
    </w:p>
    <w:p w14:paraId="76CC288A" w14:textId="5640C653" w:rsidR="00A02EA0" w:rsidRPr="00796736" w:rsidRDefault="00A02EA0" w:rsidP="00A802A5">
      <w:pPr>
        <w:pStyle w:val="Overskrift4"/>
        <w:rPr>
          <w:rFonts w:ascii="Times New Roman" w:hAnsi="Times New Roman" w:cs="Times New Roman"/>
          <w:sz w:val="24"/>
          <w:szCs w:val="24"/>
        </w:rPr>
      </w:pPr>
      <w:bookmarkStart w:id="1146" w:name="_Toc229739651"/>
      <w:bookmarkStart w:id="1147" w:name="_Toc232109114"/>
      <w:r w:rsidRPr="00796736">
        <w:rPr>
          <w:rFonts w:ascii="Times New Roman" w:hAnsi="Times New Roman" w:cs="Times New Roman"/>
          <w:sz w:val="24"/>
          <w:szCs w:val="24"/>
        </w:rPr>
        <w:t>Justitsministeriets overvejelser og den foreslåede ordning</w:t>
      </w:r>
      <w:bookmarkEnd w:id="1146"/>
      <w:bookmarkEnd w:id="1147"/>
    </w:p>
    <w:p w14:paraId="69366BC2" w14:textId="642034DA" w:rsidR="00F93D5B" w:rsidRPr="00796736" w:rsidRDefault="00F93D5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Som det fremgår af pkt. </w:t>
      </w:r>
      <w:r w:rsidR="00656A5A" w:rsidRPr="00796736">
        <w:rPr>
          <w:rFonts w:ascii="Times New Roman" w:eastAsia="Calibri" w:hAnsi="Times New Roman" w:cs="Times New Roman"/>
          <w:sz w:val="24"/>
          <w:szCs w:val="24"/>
        </w:rPr>
        <w:fldChar w:fldCharType="begin"/>
      </w:r>
      <w:r w:rsidR="00656A5A" w:rsidRPr="00796736">
        <w:rPr>
          <w:rFonts w:ascii="Times New Roman" w:eastAsia="Calibri" w:hAnsi="Times New Roman" w:cs="Times New Roman"/>
          <w:sz w:val="24"/>
          <w:szCs w:val="24"/>
        </w:rPr>
        <w:instrText xml:space="preserve"> REF _Ref232937345 \n \h </w:instrText>
      </w:r>
      <w:r w:rsidR="00967618" w:rsidRPr="00796736">
        <w:rPr>
          <w:rFonts w:ascii="Times New Roman" w:eastAsia="Calibri" w:hAnsi="Times New Roman" w:cs="Times New Roman"/>
          <w:sz w:val="24"/>
          <w:szCs w:val="24"/>
        </w:rPr>
        <w:instrText xml:space="preserve"> \* MERGEFORMAT </w:instrText>
      </w:r>
      <w:r w:rsidR="00656A5A" w:rsidRPr="00796736">
        <w:rPr>
          <w:rFonts w:ascii="Times New Roman" w:eastAsia="Calibri" w:hAnsi="Times New Roman" w:cs="Times New Roman"/>
          <w:sz w:val="24"/>
          <w:szCs w:val="24"/>
        </w:rPr>
      </w:r>
      <w:r w:rsidR="00656A5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3.30.2</w:t>
      </w:r>
      <w:r w:rsidR="00656A5A" w:rsidRPr="00796736">
        <w:rPr>
          <w:rFonts w:ascii="Times New Roman" w:eastAsia="Calibri" w:hAnsi="Times New Roman" w:cs="Times New Roman"/>
          <w:sz w:val="24"/>
          <w:szCs w:val="24"/>
        </w:rPr>
        <w:fldChar w:fldCharType="end"/>
      </w:r>
      <w:r w:rsidR="00656A5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indeholder hvidvaskdirektivet i artikel 8 – ligesom i 4. og 5. hvidvaskdirektivs artikel 7 – en bestemmelse om udarbejdelse af en national risikovurdering. Hvidvaskdirektivet indeholder derudover i artikel 9 – ligesom 4. og 5. hvidvaskdirektivs artikel 44 – en bestemmelse om statistik. </w:t>
      </w:r>
    </w:p>
    <w:p w14:paraId="67D0E3F7" w14:textId="77777777" w:rsidR="00F93D5B" w:rsidRPr="00796736" w:rsidRDefault="00F93D5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i 4. og 5. hvidvaskdirektivs artikel 7 er i dansk ret implementeret i § 29, stk. 3, og ved FIU-cirkulærets bestemmelser om Hvidvasksekretariatets udarbejdelse af den nationale risikovurdering. Bestemmelsen i artikel 44 er implementeret ved FIU-cirkulærets § 10.   </w:t>
      </w:r>
    </w:p>
    <w:p w14:paraId="53C6698C" w14:textId="700481C5" w:rsidR="00F93D5B" w:rsidRPr="00796736" w:rsidRDefault="00F93D5B" w:rsidP="00A802A5">
      <w:pPr>
        <w:spacing w:after="240" w:line="360" w:lineRule="auto"/>
        <w:rPr>
          <w:rFonts w:ascii="Times New Roman" w:eastAsia="Calibri" w:hAnsi="Times New Roman" w:cs="Times New Roman"/>
          <w:sz w:val="24"/>
          <w:szCs w:val="24"/>
        </w:rPr>
      </w:pPr>
      <w:bookmarkStart w:id="1148" w:name="_Hlk225105117"/>
      <w:r w:rsidRPr="00796736">
        <w:rPr>
          <w:rFonts w:ascii="Times New Roman" w:eastAsia="Calibri" w:hAnsi="Times New Roman" w:cs="Times New Roman"/>
          <w:sz w:val="24"/>
          <w:szCs w:val="24"/>
        </w:rPr>
        <w:t xml:space="preserve">Hvidvaskdirektivets artikel 8 og 4. og 5. hvidvaskdirektivs artikel 7 adskiller sig som det fremgår af pkt. </w:t>
      </w:r>
      <w:r w:rsidR="00656A5A" w:rsidRPr="00796736">
        <w:rPr>
          <w:rFonts w:ascii="Times New Roman" w:eastAsia="Calibri" w:hAnsi="Times New Roman" w:cs="Times New Roman"/>
          <w:sz w:val="24"/>
          <w:szCs w:val="24"/>
        </w:rPr>
        <w:fldChar w:fldCharType="begin"/>
      </w:r>
      <w:r w:rsidR="00656A5A" w:rsidRPr="00796736">
        <w:rPr>
          <w:rFonts w:ascii="Times New Roman" w:eastAsia="Calibri" w:hAnsi="Times New Roman" w:cs="Times New Roman"/>
          <w:sz w:val="24"/>
          <w:szCs w:val="24"/>
        </w:rPr>
        <w:instrText xml:space="preserve"> REF _Ref232937372 \n \h </w:instrText>
      </w:r>
      <w:r w:rsidR="00967618" w:rsidRPr="00796736">
        <w:rPr>
          <w:rFonts w:ascii="Times New Roman" w:eastAsia="Calibri" w:hAnsi="Times New Roman" w:cs="Times New Roman"/>
          <w:sz w:val="24"/>
          <w:szCs w:val="24"/>
        </w:rPr>
        <w:instrText xml:space="preserve"> \* MERGEFORMAT </w:instrText>
      </w:r>
      <w:r w:rsidR="00656A5A" w:rsidRPr="00796736">
        <w:rPr>
          <w:rFonts w:ascii="Times New Roman" w:eastAsia="Calibri" w:hAnsi="Times New Roman" w:cs="Times New Roman"/>
          <w:sz w:val="24"/>
          <w:szCs w:val="24"/>
        </w:rPr>
      </w:r>
      <w:r w:rsidR="00656A5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3.30.2</w:t>
      </w:r>
      <w:r w:rsidR="00656A5A" w:rsidRPr="00796736">
        <w:rPr>
          <w:rFonts w:ascii="Times New Roman" w:eastAsia="Calibri" w:hAnsi="Times New Roman" w:cs="Times New Roman"/>
          <w:sz w:val="24"/>
          <w:szCs w:val="24"/>
        </w:rPr>
        <w:fldChar w:fldCharType="end"/>
      </w:r>
      <w:r w:rsidR="00656A5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bl.a. ved, at artikel 8 indeholder en regel om pligtmæssig revidering mindst hvert fjerde år. Dertil kommer, at der er opregnet en række nye momenter i artikel 8, stk. 4, om, hvad medlemsstaterne anvender den nationale risikovurdering til. Derudover fremgår det nu af artikel 8, stk. 5, at den nationale risikovurdering skal udarbejdes under deltagelse af kompetente myndigheder og relevante interessenter, når de foretager deres nationale risikovurdering.</w:t>
      </w:r>
    </w:p>
    <w:bookmarkEnd w:id="1148"/>
    <w:p w14:paraId="7DCC127F" w14:textId="20B86F57" w:rsidR="00F93D5B" w:rsidRPr="00796736" w:rsidRDefault="00F93D5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Som det fremgår af pkt. </w:t>
      </w:r>
      <w:r w:rsidR="00656A5A" w:rsidRPr="00796736">
        <w:rPr>
          <w:rFonts w:ascii="Times New Roman" w:eastAsia="Calibri" w:hAnsi="Times New Roman" w:cs="Times New Roman"/>
          <w:sz w:val="24"/>
          <w:szCs w:val="24"/>
        </w:rPr>
        <w:fldChar w:fldCharType="begin"/>
      </w:r>
      <w:r w:rsidR="00656A5A" w:rsidRPr="00796736">
        <w:rPr>
          <w:rFonts w:ascii="Times New Roman" w:eastAsia="Calibri" w:hAnsi="Times New Roman" w:cs="Times New Roman"/>
          <w:sz w:val="24"/>
          <w:szCs w:val="24"/>
        </w:rPr>
        <w:instrText xml:space="preserve"> REF _Ref232937382 \n \h </w:instrText>
      </w:r>
      <w:r w:rsidR="00967618" w:rsidRPr="00796736">
        <w:rPr>
          <w:rFonts w:ascii="Times New Roman" w:eastAsia="Calibri" w:hAnsi="Times New Roman" w:cs="Times New Roman"/>
          <w:sz w:val="24"/>
          <w:szCs w:val="24"/>
        </w:rPr>
        <w:instrText xml:space="preserve"> \* MERGEFORMAT </w:instrText>
      </w:r>
      <w:r w:rsidR="00656A5A" w:rsidRPr="00796736">
        <w:rPr>
          <w:rFonts w:ascii="Times New Roman" w:eastAsia="Calibri" w:hAnsi="Times New Roman" w:cs="Times New Roman"/>
          <w:sz w:val="24"/>
          <w:szCs w:val="24"/>
        </w:rPr>
      </w:r>
      <w:r w:rsidR="00656A5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3.30.2</w:t>
      </w:r>
      <w:r w:rsidR="00656A5A"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indeholder hvidvaskdirektivets artikel 9 også visse nye typer af oplysninger mv., der skal indgå i de statistikker, som Hvidvasksekretariatet udarbejder.  </w:t>
      </w:r>
    </w:p>
    <w:p w14:paraId="18EE8EE5" w14:textId="14214F5E" w:rsidR="00F93D5B" w:rsidRPr="00796736" w:rsidRDefault="00F93D5B"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Efter Justitsministeriets opfattelse er </w:t>
      </w:r>
      <w:r w:rsidRPr="00796736">
        <w:rPr>
          <w:rFonts w:ascii="Times New Roman" w:hAnsi="Times New Roman" w:cs="Times New Roman"/>
          <w:sz w:val="24"/>
          <w:szCs w:val="24"/>
        </w:rPr>
        <w:t>udarbejdelsen af en national risikovurdering afgørende i forhold til de relevante virksomheders, personers og myndigheders muligheder for løbende at identificere, vurdere og ikke mindst forstå risiciene for hvidvask og finansiering af terrorisme mv. med henblik på at opnå en effektiv indsats på området. Hertil kommer, at risikovurderingen i form og indhold også skal kunne danne grundlag for konkrete beslutninger, herunder indgå i overvejelser om iværksættelse af konkrete modforanstaltninger og i tilrettelæggelsen og prioriteringen af myndighedsindsatsen på området. Derudover er det i forhold til at kunne evaluere effektiviteten af de ordninger, som er indført til bekæmpelse af hvidvask og finansiering af terrorisme mv., vigtigt, at der af de relevante myndigheder løbende føres statistik over forhold, der er relevante for myndighedernes rammer for bekæmpelse af hvidvask af penge og finansiering af terrorisme.</w:t>
      </w:r>
    </w:p>
    <w:p w14:paraId="12ECAB4E" w14:textId="74C8FE4D" w:rsidR="00F93D5B" w:rsidRPr="00796736" w:rsidRDefault="00F93D5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overensstemmelse hermed at gennemføre hvidvaskdirektivets artikel 8 og 9 ved i </w:t>
      </w:r>
      <w:r w:rsidR="00656A5A" w:rsidRPr="00796736">
        <w:rPr>
          <w:rFonts w:ascii="Times New Roman" w:eastAsia="Calibri" w:hAnsi="Times New Roman" w:cs="Times New Roman"/>
          <w:sz w:val="24"/>
          <w:szCs w:val="24"/>
        </w:rPr>
        <w:fldChar w:fldCharType="begin"/>
      </w:r>
      <w:r w:rsidR="00656A5A" w:rsidRPr="00796736">
        <w:rPr>
          <w:rFonts w:ascii="Times New Roman" w:eastAsia="Calibri" w:hAnsi="Times New Roman" w:cs="Times New Roman"/>
          <w:sz w:val="24"/>
          <w:szCs w:val="24"/>
        </w:rPr>
        <w:instrText xml:space="preserve"> REF _Ref232596210 \n \h </w:instrText>
      </w:r>
      <w:r w:rsidR="00967618" w:rsidRPr="00796736">
        <w:rPr>
          <w:rFonts w:ascii="Times New Roman" w:eastAsia="Calibri" w:hAnsi="Times New Roman" w:cs="Times New Roman"/>
          <w:sz w:val="24"/>
          <w:szCs w:val="24"/>
        </w:rPr>
        <w:instrText xml:space="preserve"> \* MERGEFORMAT </w:instrText>
      </w:r>
      <w:r w:rsidR="00656A5A" w:rsidRPr="00796736">
        <w:rPr>
          <w:rFonts w:ascii="Times New Roman" w:eastAsia="Calibri" w:hAnsi="Times New Roman" w:cs="Times New Roman"/>
          <w:sz w:val="24"/>
          <w:szCs w:val="24"/>
        </w:rPr>
      </w:r>
      <w:r w:rsidR="00656A5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31</w:t>
      </w:r>
      <w:r w:rsidR="00656A5A" w:rsidRPr="00796736">
        <w:rPr>
          <w:rFonts w:ascii="Times New Roman" w:eastAsia="Calibri" w:hAnsi="Times New Roman" w:cs="Times New Roman"/>
          <w:sz w:val="24"/>
          <w:szCs w:val="24"/>
        </w:rPr>
        <w:fldChar w:fldCharType="end"/>
      </w:r>
      <w:r w:rsidR="00656A5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at fastlægge, at Hvidvasksekretariatet som den danske FIU har ansvaret for under passende deltagelse af kompetente myndigheder og relevante interessenter at udarbejde</w:t>
      </w:r>
      <w:r w:rsidR="008D4A8C" w:rsidRPr="00796736">
        <w:rPr>
          <w:rFonts w:ascii="Times New Roman" w:eastAsia="Calibri" w:hAnsi="Times New Roman" w:cs="Times New Roman"/>
          <w:sz w:val="24"/>
          <w:szCs w:val="24"/>
        </w:rPr>
        <w:t xml:space="preserve"> opdatere og offentliggøre den nationale risikovurdering på hvidvaskområdet med henblik på at identificere, vurdere, forstå og afbøde risici for hvidvask af penge og risici for manglende gennemførelse eller omgåelse af målrettede finansielle sanktioner, der påvirker Danmark, og at PET forestår risikovurderingen for så vidt angår terrorfinansiering af terrorisme og de risici for manglende gennemførelse og omgåelse af målrettede finansielle sanktioner, der påvirker Danmark.</w:t>
      </w:r>
      <w:r w:rsidRPr="00796736">
        <w:rPr>
          <w:rFonts w:ascii="Times New Roman" w:eastAsia="Calibri" w:hAnsi="Times New Roman" w:cs="Times New Roman"/>
          <w:sz w:val="24"/>
          <w:szCs w:val="24"/>
        </w:rPr>
        <w:t xml:space="preserve"> Derudover foreslås det, at risikovurderingen ajourføres og revideres mindst hvert fjerde år. Herudover foreslås det, at [Hvidvasksekretariatet] i samarbejde med andre kompetente myndigheder fører statistik over forhold, som er relevante for effektiviteten af rammerne for bekæmpelse af hvidvask og finansiering af terrorisme.</w:t>
      </w:r>
    </w:p>
    <w:p w14:paraId="1C748716" w14:textId="77777777" w:rsidR="00F93D5B" w:rsidRPr="00796736" w:rsidRDefault="00F93D5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 nærmere specifikationer til udarbejdelsen af den nationale risikovurdering på hvidvaskområdet og statistik forudsættes ligesom i dag fastsat ved udstedelse af et FIU-cirkulære om Hvidvasksekretariatet.</w:t>
      </w:r>
    </w:p>
    <w:p w14:paraId="3D6F0FDD" w14:textId="2E704470" w:rsidR="00F93D5B" w:rsidRPr="00796736" w:rsidRDefault="00F93D5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indebære, at </w:t>
      </w:r>
      <w:r w:rsidRPr="00796736">
        <w:rPr>
          <w:rFonts w:ascii="Times New Roman" w:hAnsi="Times New Roman" w:cs="Times New Roman"/>
          <w:sz w:val="24"/>
          <w:szCs w:val="24"/>
        </w:rPr>
        <w:t xml:space="preserve">den nuværende retstilstand videreføres med de ændringer, der følger af hvidvaskdirektivets artikel 8 og 9. Det drejer sig bl.a. om, </w:t>
      </w:r>
      <w:r w:rsidRPr="00796736">
        <w:rPr>
          <w:rFonts w:ascii="Times New Roman" w:eastAsia="Calibri" w:hAnsi="Times New Roman" w:cs="Times New Roman"/>
          <w:sz w:val="24"/>
          <w:szCs w:val="24"/>
        </w:rPr>
        <w:t>at risikovurderingen vil skulle udarbejdes under passende deltagelse af relevante</w:t>
      </w:r>
      <w:r w:rsidR="008D4A8C" w:rsidRPr="00796736">
        <w:rPr>
          <w:rFonts w:ascii="Times New Roman" w:eastAsia="Calibri" w:hAnsi="Times New Roman" w:cs="Times New Roman"/>
          <w:sz w:val="24"/>
          <w:szCs w:val="24"/>
        </w:rPr>
        <w:t xml:space="preserve"> myndigheder og øvrige</w:t>
      </w:r>
      <w:r w:rsidRPr="00796736">
        <w:rPr>
          <w:rFonts w:ascii="Times New Roman" w:eastAsia="Calibri" w:hAnsi="Times New Roman" w:cs="Times New Roman"/>
          <w:sz w:val="24"/>
          <w:szCs w:val="24"/>
        </w:rPr>
        <w:t xml:space="preserve"> interessenter, at risikovurderingen også vil skulle angå risikoen for omgåelse af målrettede finansielle sanktioner, og krav om evaluering af risikovurderingen mindst hvert fjerde år,</w:t>
      </w:r>
      <w:r w:rsidRPr="00796736">
        <w:rPr>
          <w:rFonts w:ascii="Times New Roman" w:hAnsi="Times New Roman" w:cs="Times New Roman"/>
          <w:sz w:val="24"/>
          <w:szCs w:val="24"/>
        </w:rPr>
        <w:t xml:space="preserve"> jf. nærmere ovenfor og under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_Ref232937434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3.30.2</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560F8DE0" w14:textId="6EB1F191" w:rsidR="00A02EA0" w:rsidRPr="00796736" w:rsidRDefault="00F93D5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656A5A" w:rsidRPr="00796736">
        <w:rPr>
          <w:rFonts w:ascii="Times New Roman" w:eastAsia="Calibri" w:hAnsi="Times New Roman" w:cs="Times New Roman"/>
          <w:sz w:val="24"/>
          <w:szCs w:val="24"/>
        </w:rPr>
        <w:fldChar w:fldCharType="begin"/>
      </w:r>
      <w:r w:rsidR="00656A5A" w:rsidRPr="00796736">
        <w:rPr>
          <w:rFonts w:ascii="Times New Roman" w:eastAsia="Calibri" w:hAnsi="Times New Roman" w:cs="Times New Roman"/>
          <w:sz w:val="24"/>
          <w:szCs w:val="24"/>
        </w:rPr>
        <w:instrText xml:space="preserve"> REF _Ref232596210 \n \h </w:instrText>
      </w:r>
      <w:r w:rsidR="00967618" w:rsidRPr="00796736">
        <w:rPr>
          <w:rFonts w:ascii="Times New Roman" w:eastAsia="Calibri" w:hAnsi="Times New Roman" w:cs="Times New Roman"/>
          <w:sz w:val="24"/>
          <w:szCs w:val="24"/>
        </w:rPr>
        <w:instrText xml:space="preserve"> \* MERGEFORMAT </w:instrText>
      </w:r>
      <w:r w:rsidR="00656A5A" w:rsidRPr="00796736">
        <w:rPr>
          <w:rFonts w:ascii="Times New Roman" w:eastAsia="Calibri" w:hAnsi="Times New Roman" w:cs="Times New Roman"/>
          <w:sz w:val="24"/>
          <w:szCs w:val="24"/>
        </w:rPr>
      </w:r>
      <w:r w:rsidR="00656A5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31</w:t>
      </w:r>
      <w:r w:rsidR="00656A5A" w:rsidRPr="00796736">
        <w:rPr>
          <w:rFonts w:ascii="Times New Roman" w:eastAsia="Calibri" w:hAnsi="Times New Roman" w:cs="Times New Roman"/>
          <w:sz w:val="24"/>
          <w:szCs w:val="24"/>
        </w:rPr>
        <w:fldChar w:fldCharType="end"/>
      </w:r>
      <w:r w:rsidR="00656A5A" w:rsidRPr="00796736">
        <w:rPr>
          <w:rFonts w:ascii="Times New Roman" w:eastAsia="Calibri" w:hAnsi="Times New Roman" w:cs="Times New Roman"/>
          <w:sz w:val="24"/>
          <w:szCs w:val="24"/>
        </w:rPr>
        <w:t xml:space="preserve"> </w:t>
      </w:r>
      <w:r w:rsidRPr="00796736">
        <w:rPr>
          <w:rFonts w:ascii="Times New Roman" w:hAnsi="Times New Roman" w:cs="Times New Roman"/>
          <w:sz w:val="24"/>
          <w:szCs w:val="24"/>
        </w:rPr>
        <w:t>og bemærkningerne hertil.</w:t>
      </w:r>
    </w:p>
    <w:p w14:paraId="48C65777" w14:textId="7A12FB52" w:rsidR="00D66368" w:rsidRPr="00796736" w:rsidRDefault="00913EFA" w:rsidP="00A802A5">
      <w:pPr>
        <w:pStyle w:val="Overskrift2"/>
        <w:rPr>
          <w:rFonts w:ascii="Times New Roman" w:hAnsi="Times New Roman"/>
          <w:sz w:val="24"/>
        </w:rPr>
      </w:pPr>
      <w:bookmarkStart w:id="1149" w:name="_Toc232109115"/>
      <w:bookmarkStart w:id="1150" w:name="_Toc244880748"/>
      <w:r>
        <w:rPr>
          <w:rFonts w:ascii="Times New Roman" w:hAnsi="Times New Roman"/>
          <w:sz w:val="24"/>
        </w:rPr>
        <w:t>Den c</w:t>
      </w:r>
      <w:r w:rsidR="00B40A2D" w:rsidRPr="00796736">
        <w:rPr>
          <w:rFonts w:ascii="Times New Roman" w:hAnsi="Times New Roman"/>
          <w:sz w:val="24"/>
        </w:rPr>
        <w:t>entrale automatiske mekanisme</w:t>
      </w:r>
      <w:bookmarkEnd w:id="1149"/>
      <w:bookmarkEnd w:id="1150"/>
    </w:p>
    <w:p w14:paraId="7C165994" w14:textId="6B7A282D" w:rsidR="00D66368" w:rsidRPr="00796736" w:rsidRDefault="00D66368" w:rsidP="00A802A5">
      <w:pPr>
        <w:pStyle w:val="Overskrift4"/>
        <w:rPr>
          <w:rFonts w:ascii="Times New Roman" w:hAnsi="Times New Roman" w:cs="Times New Roman"/>
          <w:sz w:val="24"/>
          <w:szCs w:val="24"/>
        </w:rPr>
      </w:pPr>
      <w:bookmarkStart w:id="1151" w:name="_Toc232109116"/>
      <w:bookmarkStart w:id="1152" w:name="_Ref232946351"/>
      <w:r w:rsidRPr="00796736">
        <w:rPr>
          <w:rFonts w:ascii="Times New Roman" w:hAnsi="Times New Roman" w:cs="Times New Roman"/>
          <w:sz w:val="24"/>
          <w:szCs w:val="24"/>
        </w:rPr>
        <w:t>Gældende ret</w:t>
      </w:r>
      <w:bookmarkEnd w:id="1151"/>
      <w:bookmarkEnd w:id="1152"/>
    </w:p>
    <w:p w14:paraId="34327961" w14:textId="305DF8E5" w:rsidR="00C94B63" w:rsidRPr="00796736" w:rsidRDefault="00C94B6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hvidvasklovens § 30, stk. 1, at virksomheder og personer omfattet af hvidvaskloven skal opbevare oplysninger indhentet i forbindelse med opfyldelse af kravene i lovens kapitel 3, herunder identitets- og kontroloplysninger og kopi af foreviste legitimationsdokumenter, dokumentation for og registreringer af transaktioner, der gennemføres som led i en forretningsforbindelse, eller en enkeltstående transaktion, og kontooversigt og forretningskorrespondance og dokumenter og registreringer vedrørende undersøgelser gennemført i henhold til § 25, stk. 1 og 3.</w:t>
      </w:r>
    </w:p>
    <w:p w14:paraId="0F673FF4" w14:textId="20222FB4" w:rsidR="00C94B63" w:rsidRPr="00796736" w:rsidRDefault="00C94B63" w:rsidP="00A802A5">
      <w:pPr>
        <w:spacing w:line="360" w:lineRule="auto"/>
        <w:rPr>
          <w:rFonts w:ascii="Times New Roman" w:hAnsi="Times New Roman" w:cs="Times New Roman"/>
          <w:sz w:val="24"/>
          <w:szCs w:val="24"/>
        </w:rPr>
      </w:pPr>
    </w:p>
    <w:p w14:paraId="070D3296" w14:textId="64395E5D" w:rsidR="00C94B63" w:rsidRPr="00796736" w:rsidRDefault="00C94B6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bestemmelsens stk. 2 opbevares oplysninger, dokumenter og registreringer som nævnt i stk. 1 i mindst 5 år efter forretningsforbindelsernes ophør eller den enkeltstående transaktions gennemførelse. Personoplysninger skal slettes 5 år efter forretningsforbindelsernes ophør eller den enkeltstående transaktions gennemførelse, medmindre andet er fastsat i anden lovgivning.</w:t>
      </w:r>
    </w:p>
    <w:p w14:paraId="427F7CB1" w14:textId="07E5F672" w:rsidR="008D4A8C" w:rsidRPr="00796736" w:rsidRDefault="008D4A8C" w:rsidP="00A802A5">
      <w:pPr>
        <w:spacing w:line="360" w:lineRule="auto"/>
        <w:rPr>
          <w:rFonts w:ascii="Times New Roman" w:hAnsi="Times New Roman" w:cs="Times New Roman"/>
          <w:sz w:val="24"/>
          <w:szCs w:val="24"/>
        </w:rPr>
      </w:pPr>
    </w:p>
    <w:p w14:paraId="18E86CF9" w14:textId="4DE06C2D"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3 skal oplysninger, dokumenter og registreringer som nævnt i stk. 1 videregives, når Hvidvasksekretariatet eller andre kompetente nationale myndigheder henvender sig til virksomheder og personer omfattet af loven for at få oplyst, om de har eller i de sidste 5 år forud for forespørgslen har haft forretningsforbindelser med nærmere angivne personer, og hvori disse forbindelser består eller har bestået. Videregivelsen skal ske gennem sikre kanaler og på en måde, der sikrer fuld fortrolighed om undersøgelserne.</w:t>
      </w:r>
    </w:p>
    <w:p w14:paraId="205A47C9" w14:textId="77777777" w:rsidR="00C94B63" w:rsidRPr="00796736" w:rsidRDefault="00C94B63" w:rsidP="00A802A5">
      <w:pPr>
        <w:spacing w:line="360" w:lineRule="auto"/>
        <w:rPr>
          <w:rFonts w:ascii="Times New Roman" w:hAnsi="Times New Roman" w:cs="Times New Roman"/>
          <w:sz w:val="24"/>
          <w:szCs w:val="24"/>
        </w:rPr>
      </w:pPr>
    </w:p>
    <w:p w14:paraId="4280B2B3" w14:textId="5992B874" w:rsidR="00C94B63" w:rsidRPr="00796736" w:rsidRDefault="00C94B6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Erhvervsministeren kan efter hvidvasklovens § 30 a fastsætte nærmere regler om centrale automatiske mekanismer, som muliggør identifikation af alle fysiske eller juridiske personer, som har eller kontrollerer betalingskonti og bankkonti, der identificeres ved IBAN</w:t>
      </w:r>
      <w:r w:rsidR="00156548" w:rsidRPr="00796736">
        <w:rPr>
          <w:rFonts w:ascii="Times New Roman" w:hAnsi="Times New Roman" w:cs="Times New Roman"/>
          <w:sz w:val="24"/>
          <w:szCs w:val="24"/>
        </w:rPr>
        <w:t>,</w:t>
      </w:r>
      <w:r w:rsidRPr="00796736">
        <w:rPr>
          <w:rFonts w:ascii="Times New Roman" w:hAnsi="Times New Roman" w:cs="Times New Roman"/>
          <w:sz w:val="24"/>
          <w:szCs w:val="24"/>
        </w:rPr>
        <w:t xml:space="preserve"> som defineret i Europa-Parlamentets og Rådets forordning 260/2012/EU af 14. marts 2012 om tekniske og forretningsmæssige krav til kreditoverførsler og direkte debiteringer i euro og om ændring af forordning (EF) nr. 924/2009, samt deponeringsbokse, som indehaves af et kreditinstitut med hjemsted i Danmark. Ministeren kan herunder fastsætte nærmere regler om, at de centrale automatiske mekanismer kan føres i offentligt eller privat regi, samt hvilke oplysninger der skal være tilgængelige og søgbare gennem de centrale automatiske mekanismer. </w:t>
      </w:r>
    </w:p>
    <w:p w14:paraId="5E545E35" w14:textId="77777777" w:rsidR="00C94B63" w:rsidRPr="00796736" w:rsidRDefault="00C94B63" w:rsidP="00A802A5">
      <w:pPr>
        <w:spacing w:line="360" w:lineRule="auto"/>
        <w:rPr>
          <w:rFonts w:ascii="Times New Roman" w:hAnsi="Times New Roman" w:cs="Times New Roman"/>
          <w:sz w:val="24"/>
          <w:szCs w:val="24"/>
        </w:rPr>
      </w:pPr>
    </w:p>
    <w:p w14:paraId="65AF07A5" w14:textId="150222D6" w:rsidR="00C94B63" w:rsidRPr="00796736" w:rsidRDefault="00C94B6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Bemyndigelsen er udnyttet ved bekendtgørelse nr. 1114 af 25. august 2023 om en central automatisk mekanisme for oplysninger om betalingskonti, bankkonti og deponeringsbokse. Bestemmelsen</w:t>
      </w:r>
      <w:r w:rsidR="008D4A8C" w:rsidRPr="00796736">
        <w:rPr>
          <w:rFonts w:ascii="Times New Roman" w:hAnsi="Times New Roman" w:cs="Times New Roman"/>
          <w:sz w:val="24"/>
          <w:szCs w:val="24"/>
        </w:rPr>
        <w:t xml:space="preserve"> i § 30 a</w:t>
      </w:r>
      <w:r w:rsidRPr="00796736">
        <w:rPr>
          <w:rFonts w:ascii="Times New Roman" w:hAnsi="Times New Roman" w:cs="Times New Roman"/>
          <w:sz w:val="24"/>
          <w:szCs w:val="24"/>
        </w:rPr>
        <w:t xml:space="preserve"> og bekendtgørelsen gennemfører 4. hvidvaskdirektivs artikel 32 a, som blev indsat ved 5. hvidvaskdirektiv. Efter bekendtgørelsens § 4 har Hvidvasksekretariatet og Skatteforvaltningen adgang til den centrale automatiske mekanisme. I medfør af bekendtgørelsen er systemet DataIndsigt etableret, som drives af Finans Danmark. </w:t>
      </w:r>
    </w:p>
    <w:p w14:paraId="06C53078" w14:textId="77777777" w:rsidR="00C94B63" w:rsidRPr="00796736" w:rsidRDefault="00C94B63" w:rsidP="00A802A5">
      <w:pPr>
        <w:spacing w:line="360" w:lineRule="auto"/>
        <w:rPr>
          <w:rFonts w:ascii="Times New Roman" w:hAnsi="Times New Roman" w:cs="Times New Roman"/>
          <w:sz w:val="24"/>
          <w:szCs w:val="24"/>
        </w:rPr>
      </w:pPr>
    </w:p>
    <w:p w14:paraId="55E111CE" w14:textId="77777777" w:rsidR="00C94B63" w:rsidRPr="00796736" w:rsidRDefault="00C94B6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hvidvasklovens § 30 a bl.a., at som eksempel på oplysninger, der ifølge artikel 32 a skal være tilgængelige i et sådant centralt register eller elektronisk system for dataudtræk, kan nævnes navn og øvrige identifikationsoplysninger på kunden (kontohaveren), identifikation af den reelle ejer bag kunden (kontohaveren), IBAN-nummer på bankkonto eller betalingskonto og dato for åbning og lukning af kontoen. Vedrørende deponeringsbokse skal det centrale register eller det elektroniske system for dataudtræk indeholde lejerens navn suppleret med øvrige identitetsoplysninger og lejeperiodens varighed.</w:t>
      </w:r>
    </w:p>
    <w:p w14:paraId="3674FE1A" w14:textId="77777777" w:rsidR="00C94B63" w:rsidRPr="00796736" w:rsidRDefault="00C94B63" w:rsidP="00A802A5">
      <w:pPr>
        <w:spacing w:line="360" w:lineRule="auto"/>
        <w:rPr>
          <w:rFonts w:ascii="Times New Roman" w:hAnsi="Times New Roman" w:cs="Times New Roman"/>
          <w:sz w:val="24"/>
          <w:szCs w:val="24"/>
        </w:rPr>
      </w:pPr>
    </w:p>
    <w:p w14:paraId="4145055C" w14:textId="77777777" w:rsidR="00C94B63" w:rsidRPr="00796736" w:rsidRDefault="00C94B6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 fremgår det af bemærkningerne, at oplysningerne i de centrale automatiske mekanismer skal gøres tilgængelige for Hvidvasksekretariatet og nationale myndigheder med henblik på at opfylde deres forpligtelser efter 4. hvidvaskdirektiv. Dette forventes at være relevant for politiet og skattemyndigheder. Derudover fremgår det, at oplysningerne skal være direkte tilgængelige på en hurtig og ufiltreret måde. Det betyder, at de relevante myndigheder skal have direkte og uhindret adgang til oplysningerne, som skal være tilgængelige i deres fulde og uredigerede form. Der henvises til Folketingstidende 2019-20, tillæg A, L 58 som fremsat, side 75. </w:t>
      </w:r>
    </w:p>
    <w:p w14:paraId="097E6E3C" w14:textId="77777777" w:rsidR="008D4A8C" w:rsidRPr="00796736" w:rsidRDefault="008D4A8C" w:rsidP="00A802A5">
      <w:pPr>
        <w:spacing w:line="360" w:lineRule="auto"/>
        <w:rPr>
          <w:rFonts w:ascii="Times New Roman" w:hAnsi="Times New Roman" w:cs="Times New Roman"/>
          <w:sz w:val="24"/>
          <w:szCs w:val="24"/>
        </w:rPr>
      </w:pPr>
    </w:p>
    <w:p w14:paraId="5257B8F4"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Ordningen er i dag administreret ved den digitale løsning DataIndsigt, der fungerer som en forespørgselsportal, hvor Hvidvasksekretariatet og skatteforvaltningen kan sende en forespørgsel om en række oplysninger til bankerne og deres filialer, som de får en frist på 3 bankdage, og i hastende tilfælde, 1 bankdag, til at besvare. Hvidvasksekretariatet og Skatteforvaltningen får således kun adgang til de anmodede oplysninger, hvis deres forespørgsel besvares og ekspederes af bankerne, hvilket bankerne efter bekendtgørelsens § 3 er forpligtede til. </w:t>
      </w:r>
    </w:p>
    <w:p w14:paraId="531EAE3A" w14:textId="77777777" w:rsidR="00C94B63" w:rsidRPr="00796736" w:rsidRDefault="00C94B63" w:rsidP="00A802A5">
      <w:pPr>
        <w:spacing w:line="360" w:lineRule="auto"/>
        <w:rPr>
          <w:rFonts w:ascii="Times New Roman" w:hAnsi="Times New Roman" w:cs="Times New Roman"/>
          <w:sz w:val="24"/>
          <w:szCs w:val="24"/>
        </w:rPr>
      </w:pPr>
    </w:p>
    <w:p w14:paraId="5B0ED5AA" w14:textId="77777777" w:rsidR="00C94B63" w:rsidRPr="00796736" w:rsidRDefault="00C94B6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Retsplejelovens kapitel 74 indeholder regler om edition hos personer, der ikke er mistænkte, dvs. regler om pligt til at udlevere eller forevise genstande af betydning for gennemførelsen af en straffesag. Afgørelse om pålæg om edition træffes som udgangspunkt af retten ved kendelse efter politiets begæring, jf. retsplejelovens § 806, stk. 1 og 2. I hastende tilfælde kan politiet træffe beslutning om edition (»på øjemedet«) med adgang til efterfølgende domstolsprøvelse, jf. § 806, stk. 4. Politiet kan desuden efter § 806, stk. 7, træffe afgørelse om pålæg om edition af visse oplysninger fra en nærmere afgrænset kreds af virksomheder. </w:t>
      </w:r>
    </w:p>
    <w:p w14:paraId="40205A3C" w14:textId="77777777" w:rsidR="00C94B63" w:rsidRPr="00796736" w:rsidRDefault="00C94B63" w:rsidP="00A802A5">
      <w:pPr>
        <w:spacing w:line="360" w:lineRule="auto"/>
        <w:rPr>
          <w:rFonts w:ascii="Times New Roman" w:hAnsi="Times New Roman" w:cs="Times New Roman"/>
          <w:sz w:val="24"/>
          <w:szCs w:val="24"/>
        </w:rPr>
      </w:pPr>
    </w:p>
    <w:p w14:paraId="00776B72" w14:textId="041CC4ED" w:rsidR="00D66368" w:rsidRPr="00796736" w:rsidRDefault="00D66368" w:rsidP="00A802A5">
      <w:pPr>
        <w:pStyle w:val="Overskrift4"/>
        <w:rPr>
          <w:rFonts w:ascii="Times New Roman" w:hAnsi="Times New Roman" w:cs="Times New Roman"/>
          <w:sz w:val="24"/>
          <w:szCs w:val="24"/>
        </w:rPr>
      </w:pPr>
      <w:bookmarkStart w:id="1153" w:name="_Toc232109117"/>
      <w:bookmarkStart w:id="1154" w:name="_Ref232937565"/>
      <w:bookmarkStart w:id="1155" w:name="_Ref232937590"/>
      <w:r w:rsidRPr="00796736">
        <w:rPr>
          <w:rFonts w:ascii="Times New Roman" w:hAnsi="Times New Roman" w:cs="Times New Roman"/>
          <w:sz w:val="24"/>
          <w:szCs w:val="24"/>
        </w:rPr>
        <w:t>6. hvidvaskdirektiv</w:t>
      </w:r>
      <w:bookmarkEnd w:id="1153"/>
      <w:bookmarkEnd w:id="1154"/>
      <w:bookmarkEnd w:id="1155"/>
      <w:r w:rsidRPr="00796736">
        <w:rPr>
          <w:rFonts w:ascii="Times New Roman" w:hAnsi="Times New Roman" w:cs="Times New Roman"/>
          <w:sz w:val="24"/>
          <w:szCs w:val="24"/>
        </w:rPr>
        <w:t xml:space="preserve"> </w:t>
      </w:r>
    </w:p>
    <w:p w14:paraId="58DCB229"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16 indeholder regler om bankkontoregistre og elektroniske systemer til dataudtræk. Bestemmelsen viderefører og ændrer 4. hvidvaskdirektivs artikel 32 a, som blev indsat ved 5. hvidvaskdirektiv. </w:t>
      </w:r>
    </w:p>
    <w:p w14:paraId="25ABC2F6" w14:textId="77777777" w:rsidR="00514EAD" w:rsidRPr="00796736" w:rsidRDefault="00514EAD" w:rsidP="00A802A5">
      <w:pPr>
        <w:spacing w:line="360" w:lineRule="auto"/>
        <w:rPr>
          <w:rFonts w:ascii="Times New Roman" w:hAnsi="Times New Roman" w:cs="Times New Roman"/>
          <w:sz w:val="24"/>
          <w:szCs w:val="24"/>
        </w:rPr>
      </w:pPr>
    </w:p>
    <w:p w14:paraId="496318B4"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16, stk. 1, at medlemsstaterne indfører centrale automatiske mekanismer såsom centrale registre eller centrale elektroniske systemer til dataudtræk, som muliggør rettidig identifikation af alle fysiske eller juridiske personer, som har eller kontrollerer betalingskonti eller bankkonti, der identificeres ved IBAN, herunder virtuelle IBAN-numre, værdipapirkonti, kryptoaktivkonti og deponeringsbokse, som indehaves af et kreditinstitut eller finansieringsinstitut på deres område. </w:t>
      </w:r>
    </w:p>
    <w:p w14:paraId="79B79A36" w14:textId="77777777" w:rsidR="00514EAD" w:rsidRPr="00796736" w:rsidRDefault="00514EAD" w:rsidP="00A802A5">
      <w:pPr>
        <w:spacing w:line="360" w:lineRule="auto"/>
        <w:rPr>
          <w:rFonts w:ascii="Times New Roman" w:hAnsi="Times New Roman" w:cs="Times New Roman"/>
          <w:sz w:val="24"/>
          <w:szCs w:val="24"/>
        </w:rPr>
      </w:pPr>
    </w:p>
    <w:p w14:paraId="13A40E3E"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til 4. og 5. hvidvaskdirektivs artikel 32 a, stk. 1, dog således, at det nu fremgår, at betalingskonti eller bankkonti, der identificeres ved IBAN, bl.a. skal omfatte virtuelle IBAN-numre, værdipapirkonti og kryptoaktivkonti. </w:t>
      </w:r>
    </w:p>
    <w:p w14:paraId="17C3277C" w14:textId="77777777" w:rsidR="00514EAD" w:rsidRPr="00796736" w:rsidRDefault="00514EAD" w:rsidP="00A802A5">
      <w:pPr>
        <w:spacing w:line="360" w:lineRule="auto"/>
        <w:rPr>
          <w:rFonts w:ascii="Times New Roman" w:hAnsi="Times New Roman" w:cs="Times New Roman"/>
          <w:sz w:val="24"/>
          <w:szCs w:val="24"/>
        </w:rPr>
      </w:pPr>
    </w:p>
    <w:p w14:paraId="6F46CC72" w14:textId="36EBED00"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præambelbetragtning nr. 57 fremgår det bl.a., at når FIU'er og andre kompetente myndigheders adgang til oplysninger om identiteten af indehavere af bankkonti og betalingskonti, værdipapirkonti, kryptoaktivkonti og deponeringsbokse forsinkes, vanskeliggør det opdagelsen af pengeoverførsler med forbindelse til hvidvask af penge og finansiering af terrorisme. Derfor er det afgørende at oprette centrale automatiske mekanismer såsom et register eller system for dataudtræk i alle medlemsstater som et effektivt middel til at skaffe rettidig adgang til oplysninger om identiteten af indehavere af bankkonti og betalingskonti, værdipapirkonti, kryptoaktivkonti og deponeringsbokse, deres mellemmænd, og de reelle ejere. Det fremgår videre, at ved anvendelse af bestemmelserne om adgang er det hensigtsmæssigt at anvende allerede eksisterende mekanismer, forudsat at de nationale FIU'er kan få øjeblikkelig og ufiltreret adgang til de data, om hvilke de foretager undersøgelser. </w:t>
      </w:r>
      <w:r w:rsidR="008D4A8C" w:rsidRPr="00796736">
        <w:rPr>
          <w:rFonts w:ascii="Times New Roman" w:hAnsi="Times New Roman" w:cs="Times New Roman"/>
          <w:sz w:val="24"/>
          <w:szCs w:val="24"/>
        </w:rPr>
        <w:t>Det følger endvidere, at der bør sikres fuld fortrolighed med hensyn til sådanne undersøgelser, og anmodninger om de hermed forbundne oplysninger fra FIU’er</w:t>
      </w:r>
      <w:r w:rsidR="00156548" w:rsidRPr="00796736">
        <w:rPr>
          <w:rFonts w:ascii="Times New Roman" w:hAnsi="Times New Roman" w:cs="Times New Roman"/>
          <w:sz w:val="24"/>
          <w:szCs w:val="24"/>
        </w:rPr>
        <w:t xml:space="preserve"> og </w:t>
      </w:r>
      <w:r w:rsidR="008D4A8C" w:rsidRPr="00796736">
        <w:rPr>
          <w:rFonts w:ascii="Times New Roman" w:hAnsi="Times New Roman" w:cs="Times New Roman"/>
          <w:sz w:val="24"/>
          <w:szCs w:val="24"/>
        </w:rPr>
        <w:t>AMLA i forbindelse med fælles analyser og tilsynsmyndigheder.</w:t>
      </w:r>
    </w:p>
    <w:p w14:paraId="3BE52D35" w14:textId="77777777" w:rsidR="008D4A8C" w:rsidRPr="00796736" w:rsidRDefault="008D4A8C" w:rsidP="00A802A5">
      <w:pPr>
        <w:spacing w:line="360" w:lineRule="auto"/>
        <w:rPr>
          <w:rFonts w:ascii="Times New Roman" w:hAnsi="Times New Roman" w:cs="Times New Roman"/>
          <w:sz w:val="24"/>
          <w:szCs w:val="24"/>
        </w:rPr>
      </w:pPr>
    </w:p>
    <w:p w14:paraId="0A1E1453" w14:textId="2438615F"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præambelbetragtning nr. 58 bl.a., at der med virtuelle IBAN-numre menes</w:t>
      </w:r>
      <w:r w:rsidR="008D4A8C" w:rsidRPr="00796736">
        <w:rPr>
          <w:rFonts w:ascii="Times New Roman" w:hAnsi="Times New Roman" w:cs="Times New Roman"/>
          <w:sz w:val="24"/>
          <w:szCs w:val="24"/>
        </w:rPr>
        <w:t xml:space="preserve"> virtuelle</w:t>
      </w:r>
      <w:r w:rsidRPr="00796736">
        <w:rPr>
          <w:rFonts w:ascii="Times New Roman" w:hAnsi="Times New Roman" w:cs="Times New Roman"/>
          <w:sz w:val="24"/>
          <w:szCs w:val="24"/>
        </w:rPr>
        <w:t xml:space="preserve"> numre, der udstedes af kreditinstitutter og finansieringsinstitutter, og som gør det muligt at omdirigere betalinger til fysiske bankkonti eller betalingskonti.  </w:t>
      </w:r>
    </w:p>
    <w:p w14:paraId="3EFE5EA3" w14:textId="77777777" w:rsidR="00514EAD" w:rsidRPr="00796736" w:rsidRDefault="00514EAD" w:rsidP="00A802A5">
      <w:pPr>
        <w:spacing w:line="360" w:lineRule="auto"/>
        <w:rPr>
          <w:rFonts w:ascii="Times New Roman" w:hAnsi="Times New Roman" w:cs="Times New Roman"/>
          <w:sz w:val="24"/>
          <w:szCs w:val="24"/>
        </w:rPr>
      </w:pPr>
    </w:p>
    <w:p w14:paraId="3F816CAE" w14:textId="13EFE415"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artikel 16, stk. 2</w:t>
      </w:r>
      <w:r w:rsidR="00156548" w:rsidRPr="00796736">
        <w:rPr>
          <w:rFonts w:ascii="Times New Roman" w:hAnsi="Times New Roman" w:cs="Times New Roman"/>
          <w:sz w:val="24"/>
          <w:szCs w:val="24"/>
        </w:rPr>
        <w:t>,</w:t>
      </w:r>
      <w:r w:rsidRPr="00796736">
        <w:rPr>
          <w:rFonts w:ascii="Times New Roman" w:hAnsi="Times New Roman" w:cs="Times New Roman"/>
          <w:sz w:val="24"/>
          <w:szCs w:val="24"/>
        </w:rPr>
        <w:t xml:space="preserve"> at medlemsstaterne sikrer, at oplysningerne i de centrale automatiske mekanismer, er direkte tilgængelige på en øjeblikkelig og ufiltreret måde for FIU'er samt for AMLA med henblik på fælles analyser i henhold til artikel 32 i direktivet og artikel 40 i forordning (EU) 2024/1620 om oprettelse af Myndigheden for bekæmpelse af Hvidvask af Penge og Finansiering af Terrorisme mv. (AMLA-forordningen). Oplysningerne skal også være tilgængelige for tilsynsmyndigheder i tilstrækkelig god tid med henblik på opfyldelse af deres forpligtelser i henhold til direktivet. </w:t>
      </w:r>
    </w:p>
    <w:p w14:paraId="63332467" w14:textId="77777777" w:rsidR="00514EAD" w:rsidRPr="00796736" w:rsidRDefault="00514EAD" w:rsidP="00A802A5">
      <w:pPr>
        <w:spacing w:line="360" w:lineRule="auto"/>
        <w:rPr>
          <w:rFonts w:ascii="Times New Roman" w:hAnsi="Times New Roman" w:cs="Times New Roman"/>
          <w:sz w:val="24"/>
          <w:szCs w:val="24"/>
        </w:rPr>
      </w:pPr>
    </w:p>
    <w:p w14:paraId="77C8E46E" w14:textId="2EF01CBB"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til 4. og 5. hvidvaskdirektivs artikel 32 a, stk. 2, med den ændring, at kravet om, at medlemsstaterne sikrer, at alle FIU’er rettidigt kan give oplysninger, der opbevares i de centrale automatiske mekanismer, til andre FIU’er, ikke er videreført. Udvekslingen mellem FIU’erne vil i stedet ske via bankkontoregistrets sammenkoblingssystem, jf. nærmere herom nedenfor.   </w:t>
      </w:r>
    </w:p>
    <w:p w14:paraId="4DE710F0" w14:textId="77777777" w:rsidR="00514EAD" w:rsidRPr="00796736" w:rsidRDefault="00514EAD" w:rsidP="00A802A5">
      <w:pPr>
        <w:spacing w:line="360" w:lineRule="auto"/>
        <w:rPr>
          <w:rFonts w:ascii="Times New Roman" w:hAnsi="Times New Roman" w:cs="Times New Roman"/>
          <w:sz w:val="24"/>
          <w:szCs w:val="24"/>
        </w:rPr>
      </w:pPr>
    </w:p>
    <w:p w14:paraId="3481AD51" w14:textId="1DBA0F5E"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artikel 16, stk. 3, litra a-g, opregnes en række oplysninger, som skal være tilgængelige og søgbare gennem de centrale automatiske mekanismer. Dette omfatter en række oplysninger om kundekontoindehavere </w:t>
      </w:r>
      <w:r w:rsidR="00EB5F0E" w:rsidRPr="00796736">
        <w:rPr>
          <w:rFonts w:ascii="Times New Roman" w:hAnsi="Times New Roman" w:cs="Times New Roman"/>
          <w:sz w:val="24"/>
          <w:szCs w:val="24"/>
        </w:rPr>
        <w:t>mv. (</w:t>
      </w:r>
      <w:r w:rsidRPr="00796736">
        <w:rPr>
          <w:rFonts w:ascii="Times New Roman" w:hAnsi="Times New Roman" w:cs="Times New Roman"/>
          <w:sz w:val="24"/>
          <w:szCs w:val="24"/>
        </w:rPr>
        <w:t xml:space="preserve">litra a), kundekontohaveres reelle ejere (litra b), vedrørende bankkonti eller betalingskonti (litra c), vedrørende virtuelle IBAN-numre udstedt af et kreditinstitut eller finansieringsinstitut (litra d), vedrørende værdipapirkonti (litra e), vedrørende kyptoaktivkonti (litra f) og vedrørende deponeringsbokse (litra g). </w:t>
      </w:r>
    </w:p>
    <w:p w14:paraId="6DE2C601" w14:textId="77777777" w:rsidR="00514EAD" w:rsidRPr="00796736" w:rsidRDefault="00514EAD" w:rsidP="00A802A5">
      <w:pPr>
        <w:spacing w:line="360" w:lineRule="auto"/>
        <w:rPr>
          <w:rFonts w:ascii="Times New Roman" w:hAnsi="Times New Roman" w:cs="Times New Roman"/>
          <w:sz w:val="24"/>
          <w:szCs w:val="24"/>
        </w:rPr>
      </w:pPr>
    </w:p>
    <w:p w14:paraId="2FD2FC71"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endvidere, at i tilfælde af et virtuelt IBAN, er kundekontohaveren som omhandlet i litra a indehaveren af den konto, hvortil betalinger til det virtuelle IBAN-nummer automatisk omdirigeres. For så vidt angår litra a og b, omfatter navnet for fysiske personer alle navne og efternavne, og for juridiske personer, juridiske arrangementer eller andre organisationer med rets- og handleevne det navn, hvorunder de er registreret.</w:t>
      </w:r>
    </w:p>
    <w:p w14:paraId="4C2B3A11" w14:textId="77777777" w:rsidR="00514EAD" w:rsidRPr="00796736" w:rsidRDefault="00514EAD" w:rsidP="00A802A5">
      <w:pPr>
        <w:spacing w:line="360" w:lineRule="auto"/>
        <w:rPr>
          <w:rFonts w:ascii="Times New Roman" w:hAnsi="Times New Roman" w:cs="Times New Roman"/>
          <w:sz w:val="24"/>
          <w:szCs w:val="24"/>
        </w:rPr>
      </w:pPr>
    </w:p>
    <w:p w14:paraId="315F6ECD"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til 4. og 5. hvidvaskdirektivs artikel 32 a, stk. 3, idet litra d-f dog er nye. Derudover er det tilføjet, hvad navnet i litra a og b indebærer. </w:t>
      </w:r>
    </w:p>
    <w:p w14:paraId="352A7308" w14:textId="77777777" w:rsidR="00514EAD" w:rsidRPr="00796736" w:rsidRDefault="00514EAD" w:rsidP="00A802A5">
      <w:pPr>
        <w:spacing w:line="360" w:lineRule="auto"/>
        <w:rPr>
          <w:rFonts w:ascii="Times New Roman" w:hAnsi="Times New Roman" w:cs="Times New Roman"/>
          <w:sz w:val="24"/>
          <w:szCs w:val="24"/>
        </w:rPr>
      </w:pPr>
    </w:p>
    <w:p w14:paraId="388BDB77" w14:textId="46885588"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16, stk. 5, at medlemsstaterne kan kræve, at andre oplysninger, der skønnes at være af afgørende betydning for FIU'er</w:t>
      </w:r>
      <w:r w:rsidR="00156548" w:rsidRPr="00796736">
        <w:rPr>
          <w:rFonts w:ascii="Times New Roman" w:hAnsi="Times New Roman" w:cs="Times New Roman"/>
          <w:sz w:val="24"/>
          <w:szCs w:val="24"/>
        </w:rPr>
        <w:t xml:space="preserve"> og</w:t>
      </w:r>
      <w:r w:rsidRPr="00796736">
        <w:rPr>
          <w:rFonts w:ascii="Times New Roman" w:hAnsi="Times New Roman" w:cs="Times New Roman"/>
          <w:sz w:val="24"/>
          <w:szCs w:val="24"/>
        </w:rPr>
        <w:t xml:space="preserve"> for AMLA med henblik på fælles analyser i henhold til direktivets artikel 32 og artikel 40 i hvidvaskforordningen og for tilsynsmyndigheder med henblik på opfyldelsen af deres forpligtelser i henhold til direktivet, gøres tilgængelige og søgbare gennem de centrale automatiske mekanismer.</w:t>
      </w:r>
    </w:p>
    <w:p w14:paraId="686F2ABC"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p>
    <w:p w14:paraId="0BC76B95"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med indholdsmæssigt til 4. og 5. hvidvaskdirektivets artikel 32 a, stk. 4. </w:t>
      </w:r>
    </w:p>
    <w:p w14:paraId="7C76DB36" w14:textId="77777777" w:rsidR="00514EAD" w:rsidRPr="00796736" w:rsidRDefault="00514EAD" w:rsidP="00A802A5">
      <w:pPr>
        <w:spacing w:line="360" w:lineRule="auto"/>
        <w:rPr>
          <w:rFonts w:ascii="Times New Roman" w:hAnsi="Times New Roman" w:cs="Times New Roman"/>
          <w:sz w:val="24"/>
          <w:szCs w:val="24"/>
        </w:rPr>
      </w:pPr>
    </w:p>
    <w:p w14:paraId="76C4ADA3" w14:textId="77462D7A"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Bestemmelserne i direktivets artikel 16, stk. 6-10</w:t>
      </w:r>
      <w:r w:rsidR="00156548" w:rsidRPr="00796736">
        <w:rPr>
          <w:rFonts w:ascii="Times New Roman" w:hAnsi="Times New Roman" w:cs="Times New Roman"/>
          <w:sz w:val="24"/>
          <w:szCs w:val="24"/>
        </w:rPr>
        <w:t>,</w:t>
      </w:r>
      <w:r w:rsidRPr="00796736">
        <w:rPr>
          <w:rFonts w:ascii="Times New Roman" w:hAnsi="Times New Roman" w:cs="Times New Roman"/>
          <w:sz w:val="24"/>
          <w:szCs w:val="24"/>
        </w:rPr>
        <w:t xml:space="preserve"> er nye, og vedrører bankkontoregistrets sammenkoblingssystem, som er en europæisk sammenkobling af medlemslandenes centrale automatiske mekanismer. I </w:t>
      </w:r>
      <w:r w:rsidR="008D4A8C" w:rsidRPr="00796736">
        <w:rPr>
          <w:rFonts w:ascii="Times New Roman" w:hAnsi="Times New Roman" w:cs="Times New Roman"/>
          <w:sz w:val="24"/>
          <w:szCs w:val="24"/>
        </w:rPr>
        <w:t>stk.</w:t>
      </w:r>
      <w:r w:rsidRPr="00796736">
        <w:rPr>
          <w:rFonts w:ascii="Times New Roman" w:hAnsi="Times New Roman" w:cs="Times New Roman"/>
          <w:sz w:val="24"/>
          <w:szCs w:val="24"/>
        </w:rPr>
        <w:t xml:space="preserve"> 8 fremgår visse opbevaringsregler for så vidt angår de centrale automatiske mekanismer. </w:t>
      </w:r>
    </w:p>
    <w:p w14:paraId="3C16E071" w14:textId="77777777" w:rsidR="00656A5A" w:rsidRPr="00796736" w:rsidRDefault="00656A5A" w:rsidP="00A802A5">
      <w:pPr>
        <w:spacing w:line="360" w:lineRule="auto"/>
        <w:rPr>
          <w:rFonts w:ascii="Times New Roman" w:hAnsi="Times New Roman" w:cs="Times New Roman"/>
          <w:sz w:val="24"/>
          <w:szCs w:val="24"/>
        </w:rPr>
      </w:pPr>
    </w:p>
    <w:p w14:paraId="72462C57"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16, stk. 6, at centrale automatiske mekanismer sammenkobles via bankkontoregistrets sammenkoblingssystem, der skal udvikles og drives af Kommissionen. Kommissionen sikrer en sådan sammenkobling i samarbejde med medlemsstaterne senest den 10. juli 2029. Kommissionen kan fastsætte, ved hjælp af gennemførelsesretsakter, de tekniske specifikationer og procedurer for sammenkobling af medlemsstaternes centrale automatiske mekanismer via bankkontoregistrets sammenkoblingssystem. Disse gennemførelsesretsakter vedtages efter undersøgelsesproceduren, jf. artikel 71, stk. 2. Bestemmelsen er ny, og danner grundlag for Kommissionens etablering af bankkontoregistrets sammenkoblingssystem, hvorved medlemslandenes centrale automatiske mekanismer sammenkobles. </w:t>
      </w:r>
    </w:p>
    <w:p w14:paraId="091FF5A0" w14:textId="77777777" w:rsidR="00514EAD" w:rsidRPr="00796736" w:rsidRDefault="00514EAD" w:rsidP="00A802A5">
      <w:pPr>
        <w:spacing w:line="360" w:lineRule="auto"/>
        <w:rPr>
          <w:rFonts w:ascii="Times New Roman" w:hAnsi="Times New Roman" w:cs="Times New Roman"/>
          <w:sz w:val="24"/>
          <w:szCs w:val="24"/>
        </w:rPr>
      </w:pPr>
    </w:p>
    <w:p w14:paraId="0DF55FD5" w14:textId="77777777" w:rsidR="008D4A8C"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bl.a. af præambelbetragtning nr. 60, at ved at sammenkoble medlemsstaternes centrale automatiske mekanismer vil nationale FIU'er hurtigt kunne indhente grænseoverskridende oplysninger om identiteten af indehavere af bankkonti og betalingskonti, værdipapirkonti, konti til kryptoaktiver og deponeringsbokse i andre medlemsstater, hvilket vil styrke deres evne til effektivt at foretage finansielle analyser og samarbejde med deres modparter fra andre medlemsstater. Direkte grænseoverskridende adgang til oplysninger om bankkonti og betalingskonti, værdipapirkonti, konti til kryptoaktiver og deponeringsbokse vil gøre det muligt for FIU'er at udarbejde finansielle analyser inden for en tilstrækkelig kort tidsfrist for at spore midler, der kanaliseres gennem forskellige konti, herunder ved at anvende virtuelle IBAN-numre, opdage potentielle tilfælde af hvidvask af penge og finansiering af terrorisme og garantere en hurtig retshåndhævelsesindsats. </w:t>
      </w:r>
      <w:r w:rsidR="008D4A8C" w:rsidRPr="00796736">
        <w:rPr>
          <w:rFonts w:ascii="Times New Roman" w:hAnsi="Times New Roman" w:cs="Times New Roman"/>
          <w:sz w:val="24"/>
          <w:szCs w:val="24"/>
        </w:rPr>
        <w:t>Medlemsstater bør sikre, at direkte adgang til de sammenkoblede centrale automatiske mekanismer udvides til at omfatte tilsynsmyndigheder med henblik på at gøre det muligt for disse at udføre deres opgaver effektivt.</w:t>
      </w:r>
    </w:p>
    <w:p w14:paraId="196A1C76" w14:textId="77777777" w:rsidR="008D4A8C" w:rsidRPr="00796736" w:rsidRDefault="008D4A8C" w:rsidP="00A802A5">
      <w:pPr>
        <w:spacing w:line="360" w:lineRule="auto"/>
        <w:rPr>
          <w:rFonts w:ascii="Times New Roman" w:hAnsi="Times New Roman" w:cs="Times New Roman"/>
          <w:sz w:val="24"/>
          <w:szCs w:val="24"/>
        </w:rPr>
      </w:pPr>
    </w:p>
    <w:p w14:paraId="16D2A98B" w14:textId="77777777"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7 sikrer medlemsstaterne, at de oplysninger, der er omhandlet i stk. 3, er tilgængelige via bankkontoregistrets sammenkoblingssystem. Medlemsstaterne træffer passende foranstaltninger til at sikre, at kun de oplysninger, som er omhandlet i stk. 3, og som er ajourførte og vedrører den faktiske bankkonto og betalingskonto, herunder virtuelt IBAN-nummer, værdipapirkonto, kryptoaktivkonto og deponeringsboks, gøres tilgængelige via deres nationale centrale automatiske mekanismer og via bankkontoregistrets sammenkoblingssystem. Adgang til disse oplysninger gives i overensstemmelse med databeskyttelsesreglerne. De øvrige oplysninger, som medlemsstaterne anser for væsentlige for FIU'er og andre kompetente myndigheder i henhold til stk. 4, må ikke være tilgængelige og søgbare via bankkontoregistrets sammenkoblingssystem.</w:t>
      </w:r>
    </w:p>
    <w:p w14:paraId="794D76E3" w14:textId="77777777" w:rsidR="00514EAD" w:rsidRPr="00796736" w:rsidRDefault="00514EAD" w:rsidP="00A802A5">
      <w:pPr>
        <w:spacing w:line="360" w:lineRule="auto"/>
        <w:rPr>
          <w:rFonts w:ascii="Times New Roman" w:hAnsi="Times New Roman" w:cs="Times New Roman"/>
          <w:sz w:val="24"/>
          <w:szCs w:val="24"/>
        </w:rPr>
      </w:pPr>
    </w:p>
    <w:p w14:paraId="2BD6CEBD"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16, stk. 8, sikrer medlemsstaterne, at oplysninger om indehavere af bankkonti eller betalingskonti, herunder virtuelle IBAN-numre, værdipapirkonti, kryptoaktivkonti og deponeringsbokse stilles til rådighed via deres nationale centrale automatiske mekanismer og via bankkontoregistrets sammenkoblingssystem, i en periode på fem år efter lukningen af kontoen. Det følger videre, at uden at det berører de nationale strafferetlige bevisregler, der gælder for verserende strafferetlige efterforskninger og retssager, kan medlemsstaterne i konkrete sager tillade, at de pågældende oplysninger opbevares, eller kræve, at sådanne oplysninger opbevares, i en yderligere periode på højst fem år, såfremt medlemsstaterne har fastslået, at en sådan opbevaring er nødvendig og forholdsmæssig med henblik på forebyggelse, opdagelse, efterforskning eller retsforfølgning af formodet hvidvask af penge eller finansiering af terrorisme. Bestemmelsen er ny og fastsætter i modsætning til 4. og 5. hvidvaskdirektivs artikel 32 a en grænse for, hvor længe oplysningerne kan være tilgængelige i systemet. </w:t>
      </w:r>
    </w:p>
    <w:p w14:paraId="6AC5EE44" w14:textId="77777777" w:rsidR="00514EAD" w:rsidRPr="00796736" w:rsidRDefault="00514EAD" w:rsidP="00A802A5">
      <w:pPr>
        <w:spacing w:line="360" w:lineRule="auto"/>
        <w:rPr>
          <w:rFonts w:ascii="Times New Roman" w:hAnsi="Times New Roman" w:cs="Times New Roman"/>
          <w:sz w:val="24"/>
          <w:szCs w:val="24"/>
        </w:rPr>
      </w:pPr>
    </w:p>
    <w:p w14:paraId="46529D17" w14:textId="6F55258B"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w:t>
      </w:r>
      <w:r w:rsidR="00156548" w:rsidRPr="00796736">
        <w:rPr>
          <w:rFonts w:ascii="Times New Roman" w:hAnsi="Times New Roman" w:cs="Times New Roman"/>
          <w:sz w:val="24"/>
          <w:szCs w:val="24"/>
        </w:rPr>
        <w:t>præambel</w:t>
      </w:r>
      <w:r w:rsidRPr="00796736">
        <w:rPr>
          <w:rFonts w:ascii="Times New Roman" w:hAnsi="Times New Roman" w:cs="Times New Roman"/>
          <w:sz w:val="24"/>
          <w:szCs w:val="24"/>
        </w:rPr>
        <w:t xml:space="preserve">betragtning nr. 59 fremgår det bl.a., at når medlemsstaterne gennemfører bestemmelser vedrørende disse mekanismer, bør de fastsætte opbevaringsperioder svarende til perioden for opbevaring af den dokumentation og de oplysninger, der er indhentet inden for rammerne af kundekendskabsprocedurer. Det bør være muligt for medlemsstaterne undtagelsesvis at forlænge opbevaringsperioden, forudsat at der gives en god begrundelse. Opbevaringsperioden bør højst kunne forlænges med yderligere fem år. Denne periode bør ikke berøre national ret, som fastsætter andre krav til datalagring, og som tillader, at der træffes afgørelse herom fra sag til sag med henblik på at lette strafferetlige eller administrative procedurer. Adgang til disse mekanismer bør gives på »need-to-know«-basis. </w:t>
      </w:r>
    </w:p>
    <w:p w14:paraId="6A6154E4" w14:textId="77777777" w:rsidR="00514EAD" w:rsidRPr="00796736" w:rsidRDefault="00514EAD" w:rsidP="00A802A5">
      <w:pPr>
        <w:spacing w:line="360" w:lineRule="auto"/>
        <w:rPr>
          <w:rFonts w:ascii="Times New Roman" w:hAnsi="Times New Roman" w:cs="Times New Roman"/>
          <w:sz w:val="24"/>
          <w:szCs w:val="24"/>
        </w:rPr>
      </w:pPr>
    </w:p>
    <w:p w14:paraId="3302B15B"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16, stk. 9, at FIU'er og, med henblik på fælles analyser i henhold til direktivets artikel 32 og artikel 40 i hvidvaskforordningen, AMLA gives øjeblikkelig og ufiltreret adgang til oplysninger om betalingskonti og bankkonti, der identificeres ved IBAN, herunder virtuelle IBAN-numre, værdipapirkonti, kryptoaktivkonti og deponeringsbokse i andre medlemsstater, som er tilgængelige via bankkontoregistrets sammenkoblingssystem. Tilsynsmyndighederne gives rettidig adgang til de oplysninger, der er tilgængelige via bankkontoregistrets sammenkoblingssystem. Medlemsstaterne samarbejder indbyrdes og med Kommissionen om at gennemføre stk. 9. Medlemsstaterne sikrer, at personalet i de nationale FIU'er og tilsynsmyndigheder, der har adgang til bankkontoregistrets sammenkoblingssystem, fastholder høje faglige standarder for fortrolighed og databeskyttelse udviser en høj grad af integritet og har passende kvalifikationer. Kravene i andet afsnit gælder også for AMLA i forbindelse med fælles analyser og når den fungerer som tilsynsorgan. </w:t>
      </w:r>
    </w:p>
    <w:p w14:paraId="095AB393" w14:textId="77777777" w:rsidR="00514EAD" w:rsidRPr="00796736" w:rsidRDefault="00514EAD" w:rsidP="00A802A5">
      <w:pPr>
        <w:spacing w:line="360" w:lineRule="auto"/>
        <w:rPr>
          <w:rFonts w:ascii="Times New Roman" w:hAnsi="Times New Roman" w:cs="Times New Roman"/>
          <w:sz w:val="24"/>
          <w:szCs w:val="24"/>
        </w:rPr>
      </w:pPr>
    </w:p>
    <w:p w14:paraId="77A7B4C3" w14:textId="77777777"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bl.a. af præambelbetragtning nr. 60, at AMLA også bør gives direkte adgang til de sammenkoblede centrale automatiske mekanismer med henblik på at yde operationel støtte til FIU'er inden for rammerne af fælles analyser. Medlemsstater bør sikre, at direkte adgang til de sammenkoblede centrale automatiske mekanismer udvides til at omfatte tilsynsmyndigheder med henblik på at gøre det muligt for disse at udføre deres opgaver effektivt.</w:t>
      </w:r>
    </w:p>
    <w:p w14:paraId="77CE9D0A" w14:textId="77777777" w:rsidR="00514EAD" w:rsidRPr="00796736" w:rsidRDefault="00514EAD" w:rsidP="00A802A5">
      <w:pPr>
        <w:spacing w:line="360" w:lineRule="auto"/>
        <w:rPr>
          <w:rFonts w:ascii="Times New Roman" w:hAnsi="Times New Roman" w:cs="Times New Roman"/>
          <w:sz w:val="24"/>
          <w:szCs w:val="24"/>
        </w:rPr>
      </w:pPr>
    </w:p>
    <w:p w14:paraId="7EDD975E" w14:textId="4AE28D6C" w:rsidR="00514EAD" w:rsidRPr="00796736" w:rsidRDefault="00514EA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følger det af artikel 16, stk. 10, at medlemsstaterne sikrer, at der træffes tekniske og organisatoriske foranstaltninger for at garantere, at datasikkerheden opfylder høje teknologiske standarder med henblik på FIU'ernes og tilsynsmyndighedernes udøvelse af beføjelsen til at tilgå og søge i de oplysninger, der er tilgængelige via bankkontoregistrets sammenkoblingssystem i overensstemmelse med stk. 5 og 6. Kravene i første afsnit gælder også for AMLA i forbindelse med fælles analyser, og når den fungerer som tilsynsorgan.</w:t>
      </w:r>
    </w:p>
    <w:p w14:paraId="57EDCCF5" w14:textId="77777777" w:rsidR="00514EAD" w:rsidRPr="00796736" w:rsidRDefault="00514EAD" w:rsidP="00A802A5">
      <w:pPr>
        <w:spacing w:line="360" w:lineRule="auto"/>
        <w:rPr>
          <w:rFonts w:ascii="Times New Roman" w:hAnsi="Times New Roman" w:cs="Times New Roman"/>
          <w:sz w:val="24"/>
          <w:szCs w:val="24"/>
        </w:rPr>
      </w:pPr>
    </w:p>
    <w:p w14:paraId="00619E74" w14:textId="5BC18508" w:rsidR="00D66368" w:rsidRPr="00796736" w:rsidRDefault="002E6037" w:rsidP="00A802A5">
      <w:pPr>
        <w:pStyle w:val="Overskrift4"/>
        <w:rPr>
          <w:rFonts w:ascii="Times New Roman" w:hAnsi="Times New Roman" w:cs="Times New Roman"/>
          <w:sz w:val="24"/>
          <w:szCs w:val="24"/>
        </w:rPr>
      </w:pPr>
      <w:bookmarkStart w:id="1156" w:name="_Toc232109118"/>
      <w:r w:rsidRPr="00796736">
        <w:rPr>
          <w:rFonts w:ascii="Times New Roman" w:hAnsi="Times New Roman" w:cs="Times New Roman"/>
          <w:sz w:val="24"/>
          <w:szCs w:val="24"/>
        </w:rPr>
        <w:t xml:space="preserve">Skatte- og Vækstministeriets </w:t>
      </w:r>
      <w:r w:rsidR="00D66368" w:rsidRPr="00796736">
        <w:rPr>
          <w:rFonts w:ascii="Times New Roman" w:hAnsi="Times New Roman" w:cs="Times New Roman"/>
          <w:sz w:val="24"/>
          <w:szCs w:val="24"/>
        </w:rPr>
        <w:t>overvejelser og den foreslåede ordning</w:t>
      </w:r>
      <w:bookmarkEnd w:id="1156"/>
      <w:r w:rsidR="00D66368" w:rsidRPr="00796736">
        <w:rPr>
          <w:rFonts w:ascii="Times New Roman" w:hAnsi="Times New Roman" w:cs="Times New Roman"/>
          <w:sz w:val="24"/>
          <w:szCs w:val="24"/>
        </w:rPr>
        <w:t xml:space="preserve"> </w:t>
      </w:r>
    </w:p>
    <w:p w14:paraId="2FA2F9C1" w14:textId="3436C97E" w:rsidR="00223676" w:rsidRPr="00796736" w:rsidRDefault="0022367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_Ref232937565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3.31.2</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indeholder hvidvaskdirektivet i artikel 16 regler om den centrale automatiske mekanisme og om en sammenkobling af de forskellige EU-landes centrale automatiske mekanismer via bankkontoregistrets sammenkoblingssystem, som udvikles og drives af Kommissionen. </w:t>
      </w:r>
    </w:p>
    <w:p w14:paraId="7BA4E999" w14:textId="6CF9FC1E" w:rsidR="002C25ED" w:rsidRPr="002C25ED" w:rsidRDefault="002C25ED" w:rsidP="002C25ED">
      <w:pPr>
        <w:spacing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16 viderefører og bygger ovenpå 4. og 5. hvidvaskdirektivs artikel 32 a, som er implementeret i hvidvasklovens § 30 a samt i regler fastsat i medfør heraf i bekendtgørelse nr. 1114 af 25. august 2023 om en central automatisk mekanisme for oplysninger om betalingskonti, bankkonti og deponeringsbokse. I medfør af bekendtgørelsen er systemet DataIndsigt etableret, som drives af Finans Danmark. DataIndsigt, der fungerer som en forespørgselsportal, hvor Hvidvasksekretariatet og skatteforvaltningen kan sende en forespørgsel om en række oplysninger til bankerne og deres filialer, som de får en frist på 3 bankdage, og i hastende tilfælde, 1 bankdag, til at besvare.</w:t>
      </w:r>
      <w:r>
        <w:rPr>
          <w:rFonts w:ascii="Times New Roman" w:hAnsi="Times New Roman" w:cs="Times New Roman"/>
          <w:sz w:val="24"/>
          <w:szCs w:val="24"/>
        </w:rPr>
        <w:t xml:space="preserve"> På</w:t>
      </w:r>
      <w:r w:rsidRPr="002C25ED">
        <w:rPr>
          <w:rFonts w:ascii="Times New Roman" w:hAnsi="Times New Roman" w:cs="Times New Roman"/>
          <w:sz w:val="24"/>
          <w:szCs w:val="24"/>
        </w:rPr>
        <w:t xml:space="preserve"> baggrund af bekendtgørelsen er systemet DataIndsigt etableret. Systemet drives af Finans Danmark og fungerer som en forespørgselsportal, hvor Hvidvasksekretariatet og skatteforvaltningen kan anmode banker og deres filialer om en række oplysninger. </w:t>
      </w:r>
    </w:p>
    <w:p w14:paraId="5DCCB8C6" w14:textId="77777777" w:rsidR="002C25ED" w:rsidRPr="00796736" w:rsidRDefault="002C25ED" w:rsidP="002C25ED">
      <w:pPr>
        <w:spacing w:line="360" w:lineRule="auto"/>
        <w:rPr>
          <w:rFonts w:ascii="Times New Roman" w:hAnsi="Times New Roman" w:cs="Times New Roman"/>
          <w:sz w:val="24"/>
          <w:szCs w:val="24"/>
        </w:rPr>
      </w:pPr>
    </w:p>
    <w:p w14:paraId="747AB362" w14:textId="77777777" w:rsidR="00BF2497" w:rsidRPr="00246DE2" w:rsidRDefault="00BF2497" w:rsidP="00BF2497">
      <w:pPr>
        <w:spacing w:after="240" w:line="360" w:lineRule="auto"/>
        <w:rPr>
          <w:rFonts w:ascii="Times New Roman" w:eastAsia="Times New Roman" w:hAnsi="Times New Roman" w:cs="Times New Roman"/>
          <w:sz w:val="24"/>
          <w:szCs w:val="24"/>
          <w:lang w:eastAsia="da-DK"/>
        </w:rPr>
      </w:pPr>
      <w:r w:rsidRPr="008F71A7">
        <w:rPr>
          <w:rFonts w:ascii="Times New Roman" w:eastAsia="Times New Roman" w:hAnsi="Times New Roman" w:cs="Times New Roman"/>
          <w:sz w:val="24"/>
          <w:szCs w:val="24"/>
          <w:lang w:eastAsia="da-DK"/>
        </w:rPr>
        <w:t>Med det nye hvidvaskdirektiv udvides omfanget af de oplysninger, der skal være tilgængelige gennem den centrale automatiske mekanisme. Udvidelsen skal bl.a. sikre, at FIU’er og andre kompetente myndigheder får rettidig og effektiv adgang til oplysninger, der kan være nødvendige for at identificere og spore pengestrømme med mulig tilknytning til hvidvask, underliggende lovovertrædelser eller finansiering af terrorisme. Forsinket adgang til oplysninger om bl.a. kontohavere, reelle ejere og deponeringsbokse kan vanskeliggøre myndighedernes mulighed for at opdage og undersøge sådanne pengestrømme.</w:t>
      </w:r>
      <w:r>
        <w:rPr>
          <w:rFonts w:ascii="Times New Roman" w:eastAsia="Times New Roman" w:hAnsi="Times New Roman" w:cs="Times New Roman"/>
          <w:sz w:val="24"/>
          <w:szCs w:val="24"/>
          <w:lang w:eastAsia="da-DK"/>
        </w:rPr>
        <w:t xml:space="preserve"> </w:t>
      </w:r>
      <w:r w:rsidRPr="008F71A7">
        <w:rPr>
          <w:rFonts w:ascii="Times New Roman" w:eastAsia="Times New Roman" w:hAnsi="Times New Roman" w:cs="Times New Roman"/>
          <w:sz w:val="24"/>
          <w:szCs w:val="24"/>
          <w:lang w:eastAsia="da-DK"/>
        </w:rPr>
        <w:t>De oplysninger, der skal være tilgængelige, udvides bl.a. til også at omfatte oplysninger om værdipapirkonti, kryptoaktivkonti og virtuelle IBAN-numre samt historiske oplysninger om lukkede konti. Formålet er at styrke myndighedernes mulighed for at danne sig et samlet billede af relevante kundeforhold og transaktioner. Dette er navnlig relevant i forhold til virtuelle IBAN-numre, som kan anvendes til legitime formål, men som også kan gøre det vanskeligere at identificere kontohaveren og spore midlernes bevægelser.</w:t>
      </w:r>
    </w:p>
    <w:p w14:paraId="2CCDEFA9" w14:textId="10F359F2" w:rsidR="00223676" w:rsidRPr="00796736" w:rsidRDefault="002C25E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Herudover etableres med artikel 16 bankkontoregistrets sammenkoblingssystem, hvorved de enkelte medlemslandes centrale automatiske mekanismer sammenkobles, så FIU’erne kan indhente grænseoverskridende oplysninger i andre medlemsstater</w:t>
      </w:r>
      <w:r w:rsidR="00223676" w:rsidRPr="00796736">
        <w:rPr>
          <w:rFonts w:ascii="Times New Roman" w:hAnsi="Times New Roman" w:cs="Times New Roman"/>
          <w:sz w:val="24"/>
          <w:szCs w:val="24"/>
        </w:rPr>
        <w:t xml:space="preserve">. Derudover indebærer artikel 16 visse ændringer som følge af etableringen af AMLA, bl.a. om, hvilke beføjelser AMLA har og skal tillægges, jf. nærmere under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_Ref232937590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3.31.2</w:t>
      </w:r>
      <w:r w:rsidR="00656A5A" w:rsidRPr="00796736">
        <w:rPr>
          <w:rFonts w:ascii="Times New Roman" w:hAnsi="Times New Roman" w:cs="Times New Roman"/>
          <w:sz w:val="24"/>
          <w:szCs w:val="24"/>
        </w:rPr>
        <w:fldChar w:fldCharType="end"/>
      </w:r>
      <w:r w:rsidR="00223676" w:rsidRPr="00796736">
        <w:rPr>
          <w:rFonts w:ascii="Times New Roman" w:hAnsi="Times New Roman" w:cs="Times New Roman"/>
          <w:sz w:val="24"/>
          <w:szCs w:val="24"/>
        </w:rPr>
        <w:t xml:space="preserve">.  </w:t>
      </w:r>
    </w:p>
    <w:p w14:paraId="4CDB2187" w14:textId="605621E0" w:rsidR="00223676" w:rsidRDefault="0022367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w:t>
      </w:r>
      <w:r w:rsidR="00134172">
        <w:rPr>
          <w:rFonts w:ascii="Times New Roman" w:hAnsi="Times New Roman" w:cs="Times New Roman"/>
          <w:sz w:val="24"/>
          <w:szCs w:val="24"/>
        </w:rPr>
        <w:t>,</w:t>
      </w:r>
      <w:r w:rsidRPr="00796736">
        <w:rPr>
          <w:rFonts w:ascii="Times New Roman" w:hAnsi="Times New Roman" w:cs="Times New Roman"/>
          <w:sz w:val="24"/>
          <w:szCs w:val="24"/>
        </w:rPr>
        <w:t xml:space="preserve"> at </w:t>
      </w:r>
      <w:r w:rsidR="002E6037" w:rsidRPr="00796736">
        <w:rPr>
          <w:rFonts w:ascii="Times New Roman" w:hAnsi="Times New Roman" w:cs="Times New Roman"/>
          <w:sz w:val="24"/>
          <w:szCs w:val="24"/>
        </w:rPr>
        <w:t xml:space="preserve">skatte- og vækstministeren </w:t>
      </w:r>
      <w:r w:rsidR="00BA17F1">
        <w:rPr>
          <w:rFonts w:ascii="Times New Roman" w:hAnsi="Times New Roman" w:cs="Times New Roman"/>
          <w:sz w:val="24"/>
          <w:szCs w:val="24"/>
        </w:rPr>
        <w:t>kan fastsætte nærmere regler om</w:t>
      </w:r>
      <w:r w:rsidR="00BA17F1" w:rsidRPr="00796736">
        <w:rPr>
          <w:rFonts w:ascii="Times New Roman" w:hAnsi="Times New Roman" w:cs="Times New Roman"/>
          <w:sz w:val="24"/>
          <w:szCs w:val="24"/>
        </w:rPr>
        <w:t xml:space="preserve"> </w:t>
      </w:r>
      <w:r w:rsidRPr="00796736">
        <w:rPr>
          <w:rFonts w:ascii="Times New Roman" w:hAnsi="Times New Roman" w:cs="Times New Roman"/>
          <w:sz w:val="24"/>
          <w:szCs w:val="24"/>
        </w:rPr>
        <w:t>en central automatisk mekanisme</w:t>
      </w:r>
      <w:r w:rsidR="00BA17F1">
        <w:rPr>
          <w:rFonts w:ascii="Times New Roman" w:hAnsi="Times New Roman" w:cs="Times New Roman"/>
          <w:sz w:val="24"/>
          <w:szCs w:val="24"/>
        </w:rPr>
        <w:t xml:space="preserve">, </w:t>
      </w:r>
      <w:r w:rsidR="00BA17F1" w:rsidRPr="00DF7610">
        <w:rPr>
          <w:rFonts w:ascii="Times New Roman" w:hAnsi="Times New Roman" w:cs="Times New Roman"/>
          <w:sz w:val="24"/>
          <w:szCs w:val="24"/>
          <w:lang w:eastAsia="da-DK"/>
        </w:rPr>
        <w:t>som muliggør rettidig identifikation af alle fysiske og juridiske personer, som har eller kontrollerer betalingskonti eller bankkonti, der identificeres ved IBAN, herunder virtuelle IBAN-numre, værdipapirkonti, kryptoaktivkonti og deponeringsbokse</w:t>
      </w:r>
      <w:r w:rsidR="00BA17F1">
        <w:rPr>
          <w:rFonts w:ascii="Times New Roman" w:hAnsi="Times New Roman" w:cs="Times New Roman"/>
          <w:sz w:val="24"/>
          <w:szCs w:val="24"/>
          <w:lang w:eastAsia="da-DK"/>
        </w:rPr>
        <w:t>, som indehaves af et kredit- eller finansieringsinstitut med hjemsted i Danmark.</w:t>
      </w:r>
      <w:r w:rsidR="00BA17F1">
        <w:rPr>
          <w:rFonts w:ascii="Times New Roman" w:hAnsi="Times New Roman" w:cs="Times New Roman"/>
          <w:sz w:val="24"/>
          <w:szCs w:val="24"/>
        </w:rPr>
        <w:t xml:space="preserve"> </w:t>
      </w:r>
      <w:r w:rsidR="00BA17F1" w:rsidRPr="004607D5">
        <w:rPr>
          <w:rFonts w:ascii="Times New Roman" w:hAnsi="Times New Roman" w:cs="Times New Roman"/>
          <w:sz w:val="24"/>
          <w:szCs w:val="24"/>
        </w:rPr>
        <w:t xml:space="preserve">Ministeren kan herunder fastsætte nærmere regler om, at de centrale automatiske mekanismer kan føres i offentligt eller privat regi, samt hvilke oplysninger der skal være tilgængelige og søgbare gennem </w:t>
      </w:r>
      <w:r w:rsidR="00BA17F1">
        <w:rPr>
          <w:rFonts w:ascii="Times New Roman" w:hAnsi="Times New Roman" w:cs="Times New Roman"/>
          <w:sz w:val="24"/>
          <w:szCs w:val="24"/>
        </w:rPr>
        <w:t>den</w:t>
      </w:r>
      <w:r w:rsidR="00BA17F1" w:rsidRPr="004607D5">
        <w:rPr>
          <w:rFonts w:ascii="Times New Roman" w:hAnsi="Times New Roman" w:cs="Times New Roman"/>
          <w:sz w:val="24"/>
          <w:szCs w:val="24"/>
        </w:rPr>
        <w:t xml:space="preserve"> centrale automatiske mekanisme</w:t>
      </w:r>
      <w:r w:rsidRPr="00796736">
        <w:rPr>
          <w:rFonts w:ascii="Times New Roman" w:hAnsi="Times New Roman" w:cs="Times New Roman"/>
          <w:sz w:val="24"/>
          <w:szCs w:val="24"/>
        </w:rPr>
        <w:t xml:space="preserve">. </w:t>
      </w:r>
    </w:p>
    <w:p w14:paraId="75B0FB9F" w14:textId="5E0C47FA" w:rsidR="00E5339D" w:rsidRDefault="00E5339D"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Det foreslås endvidere, at </w:t>
      </w:r>
      <w:r>
        <w:rPr>
          <w:rFonts w:ascii="Times New Roman" w:hAnsi="Times New Roman" w:cs="Times New Roman"/>
          <w:sz w:val="24"/>
          <w:szCs w:val="24"/>
          <w:lang w:eastAsia="da-DK"/>
        </w:rPr>
        <w:t>s</w:t>
      </w:r>
      <w:r w:rsidRPr="00796736">
        <w:rPr>
          <w:rFonts w:ascii="Times New Roman" w:hAnsi="Times New Roman" w:cs="Times New Roman"/>
          <w:sz w:val="24"/>
          <w:szCs w:val="24"/>
          <w:lang w:eastAsia="da-DK"/>
        </w:rPr>
        <w:t>katte- og vækstministeren</w:t>
      </w:r>
      <w:r>
        <w:rPr>
          <w:rFonts w:ascii="Times New Roman" w:hAnsi="Times New Roman" w:cs="Times New Roman"/>
          <w:sz w:val="24"/>
          <w:szCs w:val="24"/>
          <w:lang w:eastAsia="da-DK"/>
        </w:rPr>
        <w:t xml:space="preserve"> kan</w:t>
      </w:r>
      <w:r w:rsidRPr="00796736">
        <w:rPr>
          <w:rFonts w:ascii="Times New Roman" w:hAnsi="Times New Roman" w:cs="Times New Roman"/>
          <w:sz w:val="24"/>
          <w:szCs w:val="24"/>
        </w:rPr>
        <w:t xml:space="preserve"> fastsætte regler om andre myndigheders rettidige adgang til at indhente oplysninger til opfyldelse af deres forpligtelser efter loven samt om, at andre oplysninger skal gøres tilgængelige og søgbare</w:t>
      </w:r>
      <w:r>
        <w:rPr>
          <w:rFonts w:ascii="Times New Roman" w:hAnsi="Times New Roman" w:cs="Times New Roman"/>
          <w:sz w:val="24"/>
          <w:szCs w:val="24"/>
        </w:rPr>
        <w:t xml:space="preserve"> </w:t>
      </w:r>
      <w:r w:rsidRPr="00796736">
        <w:rPr>
          <w:rFonts w:ascii="Times New Roman" w:hAnsi="Times New Roman" w:cs="Times New Roman"/>
          <w:sz w:val="24"/>
          <w:szCs w:val="24"/>
        </w:rPr>
        <w:t>for Hvidvasksekretariatet, AMLA eller tilsynsmyndighedernes opgavevaretagelse</w:t>
      </w:r>
    </w:p>
    <w:p w14:paraId="254D986C" w14:textId="62FD4D63" w:rsidR="00BA17F1" w:rsidRPr="00796736" w:rsidRDefault="00BA17F1" w:rsidP="00A802A5">
      <w:pPr>
        <w:spacing w:after="240" w:line="360" w:lineRule="auto"/>
        <w:rPr>
          <w:rFonts w:ascii="Times New Roman" w:eastAsia="Times New Roman" w:hAnsi="Times New Roman" w:cs="Times New Roman"/>
          <w:sz w:val="24"/>
          <w:szCs w:val="24"/>
          <w:lang w:eastAsia="da-DK"/>
        </w:rPr>
      </w:pPr>
      <w:r>
        <w:rPr>
          <w:rFonts w:ascii="Times New Roman" w:hAnsi="Times New Roman" w:cs="Times New Roman"/>
          <w:sz w:val="24"/>
          <w:szCs w:val="24"/>
        </w:rPr>
        <w:t xml:space="preserve">Det foreslås desuden, at </w:t>
      </w:r>
      <w:r>
        <w:rPr>
          <w:rFonts w:ascii="Times New Roman" w:hAnsi="Times New Roman" w:cs="Times New Roman"/>
          <w:sz w:val="24"/>
          <w:szCs w:val="24"/>
          <w:lang w:eastAsia="da-DK"/>
        </w:rPr>
        <w:t>s</w:t>
      </w:r>
      <w:r w:rsidRPr="00796736">
        <w:rPr>
          <w:rFonts w:ascii="Times New Roman" w:hAnsi="Times New Roman" w:cs="Times New Roman"/>
          <w:sz w:val="24"/>
          <w:szCs w:val="24"/>
          <w:lang w:eastAsia="da-DK"/>
        </w:rPr>
        <w:t>katte- og vækstministeren</w:t>
      </w:r>
      <w:r>
        <w:rPr>
          <w:rFonts w:ascii="Times New Roman" w:hAnsi="Times New Roman" w:cs="Times New Roman"/>
          <w:sz w:val="24"/>
          <w:szCs w:val="24"/>
          <w:lang w:eastAsia="da-DK"/>
        </w:rPr>
        <w:t xml:space="preserve"> kan</w:t>
      </w:r>
      <w:r w:rsidRPr="00796736">
        <w:rPr>
          <w:rFonts w:ascii="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fastsætte regler, som er nødvendige af hensyn til at gennemføre, anvende eller håndhæve retsakter vedtaget af EU’s institutioner om forhold vedrørende den centrale automatiske mekanisme og oplysningerne heri og om bankkontoregistrets sammenkoblingssystem, herunder om at oplysninger i den centrale automatiske mekanisme efter stk. 1 er tilgængelige via bankkontoregistrets sammenkoblingssystem og om</w:t>
      </w:r>
      <w:r>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at der træffes tekniske og organisatoriske foranstaltninger for at datasikkerheden opfylder høje teknologiske standarder</w:t>
      </w:r>
      <w:r>
        <w:rPr>
          <w:rFonts w:ascii="Times New Roman" w:eastAsia="Times New Roman" w:hAnsi="Times New Roman" w:cs="Times New Roman"/>
          <w:sz w:val="24"/>
          <w:szCs w:val="24"/>
          <w:lang w:eastAsia="da-DK"/>
        </w:rPr>
        <w:t>.</w:t>
      </w:r>
    </w:p>
    <w:p w14:paraId="6B58AB9E" w14:textId="22C2228F" w:rsidR="00D66368" w:rsidRPr="00796736" w:rsidRDefault="002236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lovforslagets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_Ref232596233 \r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32</w:t>
      </w:r>
      <w:r w:rsidR="00656A5A" w:rsidRPr="00796736">
        <w:rPr>
          <w:rFonts w:ascii="Times New Roman" w:hAnsi="Times New Roman" w:cs="Times New Roman"/>
          <w:sz w:val="24"/>
          <w:szCs w:val="24"/>
        </w:rPr>
        <w:fldChar w:fldCharType="end"/>
      </w:r>
      <w:r w:rsidR="00656A5A"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og bemærkningerne hertil.</w:t>
      </w:r>
    </w:p>
    <w:p w14:paraId="22A5044E" w14:textId="77777777" w:rsidR="00223676" w:rsidRPr="00796736" w:rsidRDefault="00223676" w:rsidP="00A802A5">
      <w:pPr>
        <w:spacing w:line="360" w:lineRule="auto"/>
        <w:rPr>
          <w:rFonts w:ascii="Times New Roman" w:hAnsi="Times New Roman" w:cs="Times New Roman"/>
          <w:sz w:val="24"/>
          <w:szCs w:val="24"/>
        </w:rPr>
      </w:pPr>
    </w:p>
    <w:p w14:paraId="2BE8A02B" w14:textId="2FE2C786" w:rsidR="00D66368" w:rsidRPr="00796736" w:rsidRDefault="004267A3" w:rsidP="00A802A5">
      <w:pPr>
        <w:pStyle w:val="Overskrift2"/>
        <w:rPr>
          <w:rFonts w:ascii="Times New Roman" w:hAnsi="Times New Roman"/>
          <w:sz w:val="24"/>
        </w:rPr>
      </w:pPr>
      <w:bookmarkStart w:id="1157" w:name="_Toc232109119"/>
      <w:bookmarkStart w:id="1158" w:name="_Toc244880749"/>
      <w:r w:rsidRPr="00796736">
        <w:rPr>
          <w:rFonts w:ascii="Times New Roman" w:hAnsi="Times New Roman"/>
          <w:sz w:val="24"/>
        </w:rPr>
        <w:t>Fælles adgangspunkt om fast ejendom</w:t>
      </w:r>
      <w:bookmarkEnd w:id="1157"/>
      <w:bookmarkEnd w:id="1158"/>
    </w:p>
    <w:p w14:paraId="1655518A" w14:textId="3FC039DF" w:rsidR="00D66368" w:rsidRPr="00796736" w:rsidRDefault="00D66368" w:rsidP="00A802A5">
      <w:pPr>
        <w:pStyle w:val="Overskrift4"/>
        <w:rPr>
          <w:rFonts w:ascii="Times New Roman" w:hAnsi="Times New Roman" w:cs="Times New Roman"/>
          <w:sz w:val="24"/>
          <w:szCs w:val="24"/>
        </w:rPr>
      </w:pPr>
      <w:bookmarkStart w:id="1159" w:name="_Toc232109120"/>
      <w:bookmarkStart w:id="1160" w:name="_Ref232937718"/>
      <w:bookmarkStart w:id="1161" w:name="_Ref232946432"/>
      <w:r w:rsidRPr="00796736">
        <w:rPr>
          <w:rFonts w:ascii="Times New Roman" w:hAnsi="Times New Roman" w:cs="Times New Roman"/>
          <w:sz w:val="24"/>
          <w:szCs w:val="24"/>
        </w:rPr>
        <w:t>Gældende ret</w:t>
      </w:r>
      <w:bookmarkEnd w:id="1159"/>
      <w:bookmarkEnd w:id="1160"/>
      <w:bookmarkEnd w:id="1161"/>
    </w:p>
    <w:p w14:paraId="510CFC62" w14:textId="77777777" w:rsidR="00540E85" w:rsidRPr="00796736" w:rsidRDefault="00540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hvidvasklovens § 30 b, at Hvidvasksekretariatet og andre kompetente nationale myndigheder i henhold til denne lov sikres adgang til oplysninger, som muliggør rettidig identifikation af alle fysiske eller juridiske personer, der ejer fast ejendom i Danmark. </w:t>
      </w:r>
    </w:p>
    <w:p w14:paraId="7A3B19A2" w14:textId="77777777" w:rsidR="00540E85" w:rsidRPr="00796736" w:rsidRDefault="00540E85" w:rsidP="00A802A5">
      <w:pPr>
        <w:spacing w:line="360" w:lineRule="auto"/>
        <w:rPr>
          <w:rFonts w:ascii="Times New Roman" w:hAnsi="Times New Roman" w:cs="Times New Roman"/>
          <w:sz w:val="24"/>
          <w:szCs w:val="24"/>
        </w:rPr>
      </w:pPr>
    </w:p>
    <w:p w14:paraId="48535A7B" w14:textId="77777777" w:rsidR="00540E85" w:rsidRPr="00796736" w:rsidRDefault="00540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jf. Folketingstidende 2018-19, tillæg A, L 204 som fremsat, side 55, at Geodatastyrelsen er registerejer af Ejerfortegnelsen, som forventeligt går i drift i april 2019. Ejerfortegnelsen er et nyt autoritativt register over de faktiske ejere af al fast ejendom i Danmark. Ejerfortegnelsen vil indeholde oplysninger om de personer og virksomheder, som råder over fast ejendom. </w:t>
      </w:r>
    </w:p>
    <w:p w14:paraId="40C2F9A0" w14:textId="77777777" w:rsidR="00540E85" w:rsidRPr="00796736" w:rsidRDefault="00540E85" w:rsidP="00A802A5">
      <w:pPr>
        <w:spacing w:line="360" w:lineRule="auto"/>
        <w:rPr>
          <w:rFonts w:ascii="Times New Roman" w:hAnsi="Times New Roman" w:cs="Times New Roman"/>
          <w:sz w:val="24"/>
          <w:szCs w:val="24"/>
        </w:rPr>
      </w:pPr>
    </w:p>
    <w:p w14:paraId="12EF39E8" w14:textId="77777777" w:rsidR="00540E85" w:rsidRPr="00796736" w:rsidRDefault="00540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at ved faktisk ejer af fast ejendom forstås den ejer, der er registreret i den digitale tinglysning, eller den ejer, som en kommune har indsat som følge af, at den tinglyste ejer ikke lever mere, at ejerskabet ikke er tinglyst eller andre forhold som gør, at en kommune har behov for at registrere en ejer som erstatning for en eventuel tinglyst ejer. </w:t>
      </w:r>
    </w:p>
    <w:p w14:paraId="7E8D3765" w14:textId="77777777" w:rsidR="00540E85" w:rsidRPr="00796736" w:rsidRDefault="00540E85" w:rsidP="00A802A5">
      <w:pPr>
        <w:spacing w:line="360" w:lineRule="auto"/>
        <w:rPr>
          <w:rFonts w:ascii="Times New Roman" w:hAnsi="Times New Roman" w:cs="Times New Roman"/>
          <w:sz w:val="24"/>
          <w:szCs w:val="24"/>
        </w:rPr>
      </w:pPr>
    </w:p>
    <w:p w14:paraId="150F5D7B" w14:textId="243AB7B5" w:rsidR="00540E85" w:rsidRPr="00796736" w:rsidRDefault="00540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vil være muligt for alle offentlige myndigheder at få adgang til registeret. For at få adgang til Ejerfortegnelsen skal der indgives ansøgning via Datafordeleren, som er en service vedrørende levering af stabil drift for indlæsning, opdatering og udstilling af grunddata. Denne service leveres af Styrelsen for Dataforsyning og Effektivisering</w:t>
      </w:r>
      <w:r w:rsidR="008D4A8C" w:rsidRPr="00796736">
        <w:rPr>
          <w:rFonts w:ascii="Times New Roman" w:hAnsi="Times New Roman" w:cs="Times New Roman"/>
          <w:sz w:val="24"/>
          <w:szCs w:val="24"/>
        </w:rPr>
        <w:t>, og Hvidvasksekretariatet har i dag etableret adgang til Ejerfortegnelsen via Datafordeleren</w:t>
      </w:r>
    </w:p>
    <w:p w14:paraId="373948EB" w14:textId="77777777" w:rsidR="008D4A8C" w:rsidRPr="00796736" w:rsidRDefault="008D4A8C" w:rsidP="00A802A5">
      <w:pPr>
        <w:spacing w:line="360" w:lineRule="auto"/>
        <w:rPr>
          <w:rFonts w:ascii="Times New Roman" w:hAnsi="Times New Roman" w:cs="Times New Roman"/>
          <w:sz w:val="24"/>
          <w:szCs w:val="24"/>
        </w:rPr>
      </w:pPr>
    </w:p>
    <w:p w14:paraId="0981F953" w14:textId="77777777" w:rsidR="00540E85" w:rsidRPr="00796736" w:rsidRDefault="00540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implementerer 5. hvidvaskdirektivs artikel 32 b. </w:t>
      </w:r>
    </w:p>
    <w:p w14:paraId="6326580E" w14:textId="77777777" w:rsidR="00540E85" w:rsidRPr="00796736" w:rsidRDefault="00540E85" w:rsidP="00A802A5">
      <w:pPr>
        <w:spacing w:line="360" w:lineRule="auto"/>
        <w:rPr>
          <w:rFonts w:ascii="Times New Roman" w:hAnsi="Times New Roman" w:cs="Times New Roman"/>
          <w:sz w:val="24"/>
          <w:szCs w:val="24"/>
        </w:rPr>
      </w:pPr>
    </w:p>
    <w:p w14:paraId="6225CC49" w14:textId="0E33C676" w:rsidR="00D66368" w:rsidRPr="00796736" w:rsidRDefault="00D66368" w:rsidP="00A802A5">
      <w:pPr>
        <w:pStyle w:val="Overskrift4"/>
        <w:rPr>
          <w:rFonts w:ascii="Times New Roman" w:hAnsi="Times New Roman" w:cs="Times New Roman"/>
          <w:sz w:val="24"/>
          <w:szCs w:val="24"/>
        </w:rPr>
      </w:pPr>
      <w:bookmarkStart w:id="1162" w:name="_Toc232109121"/>
      <w:bookmarkStart w:id="1163" w:name="_Ref232937707"/>
      <w:bookmarkStart w:id="1164" w:name="_Ref232937732"/>
      <w:r w:rsidRPr="00796736">
        <w:rPr>
          <w:rFonts w:ascii="Times New Roman" w:hAnsi="Times New Roman" w:cs="Times New Roman"/>
          <w:sz w:val="24"/>
          <w:szCs w:val="24"/>
        </w:rPr>
        <w:t>6. hvidvaskdirektiv</w:t>
      </w:r>
      <w:bookmarkEnd w:id="1162"/>
      <w:bookmarkEnd w:id="1163"/>
      <w:bookmarkEnd w:id="1164"/>
      <w:r w:rsidRPr="00796736">
        <w:rPr>
          <w:rFonts w:ascii="Times New Roman" w:hAnsi="Times New Roman" w:cs="Times New Roman"/>
          <w:sz w:val="24"/>
          <w:szCs w:val="24"/>
        </w:rPr>
        <w:t xml:space="preserve"> </w:t>
      </w:r>
    </w:p>
    <w:p w14:paraId="09C9C0D9"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18 indeholder en bestemmelse om et fælles adgangspunkt for oplysninger om fast ejendom. </w:t>
      </w:r>
    </w:p>
    <w:p w14:paraId="1BF7F95C" w14:textId="77777777" w:rsidR="006C2BEC" w:rsidRPr="00796736" w:rsidRDefault="006C2BEC" w:rsidP="00A802A5">
      <w:pPr>
        <w:spacing w:line="360" w:lineRule="auto"/>
        <w:rPr>
          <w:rFonts w:ascii="Times New Roman" w:hAnsi="Times New Roman" w:cs="Times New Roman"/>
          <w:sz w:val="24"/>
          <w:szCs w:val="24"/>
        </w:rPr>
      </w:pPr>
    </w:p>
    <w:p w14:paraId="1325FE90"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bestemmelsens stk. 1 sikrer medlemsstaterne, at kompetente myndigheder har umiddelbar, direkte og vederlagsfri adgang til oplysninger, som muliggør rettidig identifikation af alle formuegoder i form af fast ejendom og af de fysiske personer eller juridiske enheder eller juridiske arrangementer, der ejer de pågældende formuegoder, samt oplysninger, der gør det muligt at identificere og analysere transaktioner vedrørende fast ejendom. Denne adgang gives via et fælles adgangspunkt, der skal oprettes i hver medlemsstat, og som giver de kompetente myndigheder mulighed for ved hjælp af elektroniske midler at få adgang til oplysninger i digitalt format, som, hvor det er muligt, skal være maskinlæsbart. </w:t>
      </w:r>
    </w:p>
    <w:p w14:paraId="33A3A05F" w14:textId="77777777" w:rsidR="006C2BEC" w:rsidRPr="00796736" w:rsidRDefault="006C2BEC" w:rsidP="00A802A5">
      <w:pPr>
        <w:spacing w:line="360" w:lineRule="auto"/>
        <w:rPr>
          <w:rFonts w:ascii="Times New Roman" w:hAnsi="Times New Roman" w:cs="Times New Roman"/>
          <w:sz w:val="24"/>
          <w:szCs w:val="24"/>
        </w:rPr>
      </w:pPr>
    </w:p>
    <w:p w14:paraId="274C2FFC"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at der også gives adgang til de fælles adgangspunkter omhandlet i første afsnit til AMLA med henblik på fælles analyser i henhold til hvidvaskdirektivets artikel 32 og AMLA-forordningens artikel 40. </w:t>
      </w:r>
    </w:p>
    <w:p w14:paraId="30D9975C" w14:textId="77777777" w:rsidR="006C2BEC" w:rsidRPr="00796736" w:rsidRDefault="006C2BEC" w:rsidP="00A802A5">
      <w:pPr>
        <w:spacing w:line="360" w:lineRule="auto"/>
        <w:rPr>
          <w:rFonts w:ascii="Times New Roman" w:hAnsi="Times New Roman" w:cs="Times New Roman"/>
          <w:sz w:val="24"/>
          <w:szCs w:val="24"/>
        </w:rPr>
      </w:pPr>
    </w:p>
    <w:p w14:paraId="269082D5"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efter sit indhold til 5. hvidvaskdirektivs artikel 32 b, idet ordlyden dog er udbygget væsentligt i forhold til omfanget af, hvilke oplysninger, som skal være tilgængelige, jf. herved også artikel 18, stk. 2-4, som er nye tilføjelser. </w:t>
      </w:r>
    </w:p>
    <w:p w14:paraId="10F7FA20" w14:textId="77777777" w:rsidR="006C2BEC" w:rsidRPr="00796736" w:rsidRDefault="006C2BEC" w:rsidP="00A802A5">
      <w:pPr>
        <w:spacing w:line="360" w:lineRule="auto"/>
        <w:rPr>
          <w:rFonts w:ascii="Times New Roman" w:hAnsi="Times New Roman" w:cs="Times New Roman"/>
          <w:sz w:val="24"/>
          <w:szCs w:val="24"/>
        </w:rPr>
      </w:pPr>
    </w:p>
    <w:p w14:paraId="144361D0"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18, stk. 2, indeholder en opregning af, hvilke oplysninger, der som minimum skal gøres tilgængelige via det fælles adgangspunkt. Det drejer sig om oplysninger om den faste ejendom (litra a), oplysninger om ejerforhold (litra b), oplysninger om behæftelser (litra c), historiske oplysninger om formuegodets ejerforhold, pris og dermed forbundne hæftelser (litra d) og relevante dokumenter (litra e). </w:t>
      </w:r>
    </w:p>
    <w:p w14:paraId="780C2746" w14:textId="77777777" w:rsidR="006C2BEC" w:rsidRPr="00796736" w:rsidRDefault="006C2BEC" w:rsidP="00A802A5">
      <w:pPr>
        <w:spacing w:line="360" w:lineRule="auto"/>
        <w:rPr>
          <w:rFonts w:ascii="Times New Roman" w:hAnsi="Times New Roman" w:cs="Times New Roman"/>
          <w:sz w:val="24"/>
          <w:szCs w:val="24"/>
        </w:rPr>
      </w:pPr>
    </w:p>
    <w:p w14:paraId="054BA9E9" w14:textId="19063303"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Oplysninger om den faste ejendom efter litra a omfatter oplysninger om matrikulær parcel eller matrikelreference (i), geografisk beliggenhed, herunder formuegodets adresse (ii), formuegodets areal eller størrelse (iii) og formuegodets art, herunder om der er tale om et bebygget eller ikkebebygget formuegode, og anvendelsesformål</w:t>
      </w:r>
      <w:r w:rsidR="008D4A8C" w:rsidRPr="00796736">
        <w:rPr>
          <w:rFonts w:ascii="Times New Roman" w:hAnsi="Times New Roman" w:cs="Times New Roman"/>
          <w:sz w:val="24"/>
          <w:szCs w:val="24"/>
        </w:rPr>
        <w:t xml:space="preserve"> (iv)</w:t>
      </w:r>
      <w:r w:rsidRPr="00796736">
        <w:rPr>
          <w:rFonts w:ascii="Times New Roman" w:hAnsi="Times New Roman" w:cs="Times New Roman"/>
          <w:sz w:val="24"/>
          <w:szCs w:val="24"/>
        </w:rPr>
        <w:t xml:space="preserve">. </w:t>
      </w:r>
    </w:p>
    <w:p w14:paraId="42C1FE53" w14:textId="77777777" w:rsidR="006C2BEC" w:rsidRPr="00796736" w:rsidRDefault="006C2BEC" w:rsidP="00A802A5">
      <w:pPr>
        <w:spacing w:line="360" w:lineRule="auto"/>
        <w:rPr>
          <w:rFonts w:ascii="Times New Roman" w:hAnsi="Times New Roman" w:cs="Times New Roman"/>
          <w:sz w:val="24"/>
          <w:szCs w:val="24"/>
        </w:rPr>
      </w:pPr>
    </w:p>
    <w:p w14:paraId="27469636"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Oplysninger om ejerforhold efter litra b omfatter oplysninger om navnet på ejeren og enhver person, der foregiver at handle på ejerens vegne (i), hvis ejeren er en juridisk enhed, den juridiske enheds navn og juridiske form samt virksomhedens individuelle identifikationsnummer og skatteregistreringsnummeret (ii), hvis ejeren er et juridisk arrangement, det juridiske arrangements navn og skatteregistreringsnummeret (iii), den pris, som formuegodet er erhvervet til (iv) og alle rettigheder eller begrænsninger, hvis det er relevant (v). </w:t>
      </w:r>
    </w:p>
    <w:p w14:paraId="59FD6A36" w14:textId="77777777" w:rsidR="006C2BEC" w:rsidRPr="00796736" w:rsidRDefault="006C2BEC" w:rsidP="00A802A5">
      <w:pPr>
        <w:spacing w:line="360" w:lineRule="auto"/>
        <w:rPr>
          <w:rFonts w:ascii="Times New Roman" w:hAnsi="Times New Roman" w:cs="Times New Roman"/>
          <w:sz w:val="24"/>
          <w:szCs w:val="24"/>
        </w:rPr>
      </w:pPr>
    </w:p>
    <w:p w14:paraId="69E0763A"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Oplysninger om behæftelser efter litra c omfatter oplysninger for så vidt angår realkreditlån (i), retlige begrænsninger (ii), ejendomsrettigheder (iii) og eventuelle andre garantier (iv). </w:t>
      </w:r>
    </w:p>
    <w:p w14:paraId="63247C64" w14:textId="77777777" w:rsidR="006C2BEC" w:rsidRPr="00796736" w:rsidRDefault="006C2BEC" w:rsidP="00A802A5">
      <w:pPr>
        <w:spacing w:line="360" w:lineRule="auto"/>
        <w:rPr>
          <w:rFonts w:ascii="Times New Roman" w:hAnsi="Times New Roman" w:cs="Times New Roman"/>
          <w:sz w:val="24"/>
          <w:szCs w:val="24"/>
        </w:rPr>
      </w:pPr>
    </w:p>
    <w:p w14:paraId="09C4E2B2"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at hvis en matrikulær parcel omfatter flere formuegoder, sikrer medlemsstaterne, at de oplysninger, der er omhandlet i første afsnit, gives for hvert enkelt formuegode på den pågældende matrikulære parcel.</w:t>
      </w:r>
    </w:p>
    <w:p w14:paraId="61397C63" w14:textId="77777777" w:rsidR="006C2BEC" w:rsidRPr="00796736" w:rsidRDefault="006C2BEC" w:rsidP="00A802A5">
      <w:pPr>
        <w:spacing w:line="360" w:lineRule="auto"/>
        <w:rPr>
          <w:rFonts w:ascii="Times New Roman" w:hAnsi="Times New Roman" w:cs="Times New Roman"/>
          <w:sz w:val="24"/>
          <w:szCs w:val="24"/>
        </w:rPr>
      </w:pPr>
    </w:p>
    <w:p w14:paraId="7565C4DE"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fremgår det, at historiske oplysninger i henhold til litra d mindst skal dække perioden fra den 8. juli 2019. </w:t>
      </w:r>
    </w:p>
    <w:p w14:paraId="5C3E6FDC" w14:textId="77777777" w:rsidR="006C2BEC" w:rsidRPr="00796736" w:rsidRDefault="006C2BEC" w:rsidP="00A802A5">
      <w:pPr>
        <w:spacing w:line="360" w:lineRule="auto"/>
        <w:rPr>
          <w:rFonts w:ascii="Times New Roman" w:hAnsi="Times New Roman" w:cs="Times New Roman"/>
          <w:sz w:val="24"/>
          <w:szCs w:val="24"/>
        </w:rPr>
      </w:pPr>
    </w:p>
    <w:p w14:paraId="62562476"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3 indfører medlemsstaterne mekanismer til at sikre, at de oplysninger, der gives via det i stk. 1 omhandlede fælles adgangspunkt, er ajourførte og nøjagtige. </w:t>
      </w:r>
    </w:p>
    <w:p w14:paraId="1DC19F08" w14:textId="77777777" w:rsidR="006C2BEC" w:rsidRPr="00796736" w:rsidRDefault="006C2BEC" w:rsidP="00A802A5">
      <w:pPr>
        <w:spacing w:line="360" w:lineRule="auto"/>
        <w:rPr>
          <w:rFonts w:ascii="Times New Roman" w:hAnsi="Times New Roman" w:cs="Times New Roman"/>
          <w:sz w:val="24"/>
          <w:szCs w:val="24"/>
        </w:rPr>
      </w:pPr>
    </w:p>
    <w:p w14:paraId="27FEB96B"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4, at medlemsstaterne træffer foranstaltninger til at sikre, at oplysninger, der opbevares elektronisk, omgående videregives til den anmodende kompetente myndighed. Hvis disse oplysninger ikke opbevares elektronisk, sikrer medlemsstaterne, at de videregives rettidigt og på en sådan måde, at den anmodende kompetente myndigheds aktiviteter ikke undergraves.</w:t>
      </w:r>
    </w:p>
    <w:p w14:paraId="721C0A98" w14:textId="77777777" w:rsidR="006C2BEC" w:rsidRPr="00796736" w:rsidRDefault="006C2BEC" w:rsidP="00A802A5">
      <w:pPr>
        <w:spacing w:line="360" w:lineRule="auto"/>
        <w:rPr>
          <w:rFonts w:ascii="Times New Roman" w:hAnsi="Times New Roman" w:cs="Times New Roman"/>
          <w:sz w:val="24"/>
          <w:szCs w:val="24"/>
        </w:rPr>
      </w:pPr>
    </w:p>
    <w:p w14:paraId="38CF696C" w14:textId="77777777" w:rsidR="006C2BEC" w:rsidRPr="00796736" w:rsidRDefault="006C2BE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63 fremgår det, at fast ejendom er en attraktiv vare for kriminelle til at hvidvaske udbyttet af deres ulovlige aktiviteter, da det gør det muligt at sløre den egentlige kilde til midlerne og identiteten af den reelle ejer. Det er vigtigt, at FIU'er og andre kompetente myndigheder identificerer fast ejendom samt fysiske personer, juridiske enheder og juridiske arrangementer, der ejer fast ejendom, korrekt og rettidigt både med henblik på opdagelse af hvidvaskordninger og indefrysning og konfiskation af aktiver, samt med henblik på administrative indefrysningsforanstaltninger til gennemførelse af målrettede finansielle sanktioner. Det er derfor vigtigt, at medlemsstaterne giver FIU'er og andre kompetente myndigheder øjeblikkelig og direkte adgang til oplysninger, der muliggør en korrekt gennemførelse af analyser og efterforskninger af potentielle straffesager vedrørende fast ejendom. For at lette effektiv adgang bør disse oplysninger stilles vederlagsfrit til rådighed via et fælles adgangspunkt, ved hjælp af digitale midler og så vidt muligt i maskinlæsbart format. Oplysningerne bør omfatte historiske oplysninger, herunder historikken for ejerskab af fast ejendom, de priser, som den faste ejendom tidligere er erhvervet til, og tilhørende behæftelser i en bestemt periode, således at FIU'er og andre kompetente myndigheder i den pågældende medlemsstat kan analysere og identificere eventuelle mistænkelige aktiviteter i forbindelse med transaktioner vedrørende fast ejendom, herunder jord, som kan være tegn på hvidvask af penge eller andre former for kriminalitet. Sådanne historiske oplysninger vedrører typer af oplysninger, der allerede er indhentet i forbindelse med transaktioner vedrørende jord eller fast ejendom. Der pålægges derfor ingen nye forpligtelser for de berørte personer, således at det sikres, at de berørte personers berettigede forventninger respekteres behørigt. I betragtning af den ofte grænseoverskridende natur af kriminelle metoder, der involverer fast ejendom, er det hensigtsmæssigt at fastlægge et minimumssæt af oplysninger, som de kompetente myndigheder bør kunne få adgang til og udveksle med deres modparter i andre medlemsstater.</w:t>
      </w:r>
    </w:p>
    <w:p w14:paraId="080C25FC" w14:textId="77777777" w:rsidR="006C2BEC" w:rsidRPr="00796736" w:rsidRDefault="006C2BEC" w:rsidP="00A802A5">
      <w:pPr>
        <w:spacing w:line="360" w:lineRule="auto"/>
        <w:rPr>
          <w:rFonts w:ascii="Times New Roman" w:hAnsi="Times New Roman" w:cs="Times New Roman"/>
          <w:sz w:val="24"/>
          <w:szCs w:val="24"/>
        </w:rPr>
      </w:pPr>
    </w:p>
    <w:p w14:paraId="29CF4A9F"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betragtning nr. 70 bl.a., at adgang bør betragtes som direkte og umiddelbar, når oplysningerne er indeholdt i en database, et register eller et elektronisk system til dataudtræk, der gør det muligt for FIU'en at indhente dem direkte gennem en automatisk mekanisme uden inddragelse af en formidler. Hvis oplysningerne opbevares af en anden enhed eller myndighed, indebærer direkte adgang, at disse myndigheder eller enheder videregiver dem til FIU'en hurtigt uden at gribe ind i indholdet af de ønskede data eller de oplysninger, der skal gives.</w:t>
      </w:r>
    </w:p>
    <w:p w14:paraId="2D0A57B5" w14:textId="77777777" w:rsidR="006C2BEC" w:rsidRPr="00796736" w:rsidRDefault="006C2BEC" w:rsidP="00A802A5">
      <w:pPr>
        <w:spacing w:line="360" w:lineRule="auto"/>
        <w:rPr>
          <w:rFonts w:ascii="Times New Roman" w:hAnsi="Times New Roman" w:cs="Times New Roman"/>
          <w:sz w:val="24"/>
          <w:szCs w:val="24"/>
        </w:rPr>
      </w:pPr>
    </w:p>
    <w:p w14:paraId="5F1AEC5A" w14:textId="19F40FCD" w:rsidR="00D66368" w:rsidRPr="00796736" w:rsidRDefault="00332AA4" w:rsidP="00A802A5">
      <w:pPr>
        <w:pStyle w:val="Overskrift4"/>
        <w:rPr>
          <w:rFonts w:ascii="Times New Roman" w:hAnsi="Times New Roman" w:cs="Times New Roman"/>
          <w:sz w:val="24"/>
          <w:szCs w:val="24"/>
        </w:rPr>
      </w:pPr>
      <w:bookmarkStart w:id="1165" w:name="_Toc232109122"/>
      <w:r w:rsidRPr="00796736">
        <w:rPr>
          <w:rFonts w:ascii="Times New Roman" w:hAnsi="Times New Roman" w:cs="Times New Roman"/>
          <w:sz w:val="24"/>
          <w:szCs w:val="24"/>
        </w:rPr>
        <w:t>Justitsministeriets</w:t>
      </w:r>
      <w:r w:rsidR="00D66368" w:rsidRPr="00796736">
        <w:rPr>
          <w:rFonts w:ascii="Times New Roman" w:hAnsi="Times New Roman" w:cs="Times New Roman"/>
          <w:sz w:val="24"/>
          <w:szCs w:val="24"/>
        </w:rPr>
        <w:t xml:space="preserve"> overvejelser og den foreslåede ordning</w:t>
      </w:r>
      <w:bookmarkEnd w:id="1165"/>
      <w:r w:rsidR="00D66368" w:rsidRPr="00796736">
        <w:rPr>
          <w:rFonts w:ascii="Times New Roman" w:hAnsi="Times New Roman" w:cs="Times New Roman"/>
          <w:sz w:val="24"/>
          <w:szCs w:val="24"/>
        </w:rPr>
        <w:t xml:space="preserve"> </w:t>
      </w:r>
    </w:p>
    <w:p w14:paraId="1B4AD134" w14:textId="043A6767" w:rsidR="00332AA4" w:rsidRPr="00796736" w:rsidRDefault="00332AA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under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_Ref232937707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3.32.2</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følger det af hvidvaskdirektivets artikel 18, at medlemsstaterne sikrer, at der etableres et fælles adgangspunkt i hver medlemsstat, hvor kompetente myndigheder skal have mulighed for at tilgå en række informationer om fast ejendom. Dette adgangspunkt skal oprettes i hver medlemsstat og skal muliggøre, at de kompetente myndigheder ved hjælp af elektroniske midler har adgang til oplysningerne i digitalt format, som, hvor det er muligt, skal være maskinlæsbart. </w:t>
      </w:r>
    </w:p>
    <w:p w14:paraId="20486AB2" w14:textId="77777777" w:rsidR="00332AA4" w:rsidRPr="00796736" w:rsidRDefault="00332AA4" w:rsidP="00A802A5">
      <w:pPr>
        <w:spacing w:line="360" w:lineRule="auto"/>
        <w:rPr>
          <w:rFonts w:ascii="Times New Roman" w:hAnsi="Times New Roman" w:cs="Times New Roman"/>
          <w:sz w:val="24"/>
          <w:szCs w:val="24"/>
        </w:rPr>
      </w:pPr>
    </w:p>
    <w:p w14:paraId="1531E7FD" w14:textId="683FD40C" w:rsidR="00332AA4" w:rsidRPr="00796736" w:rsidRDefault="00332AA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under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_Ref232937718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3.32.1</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indeholder hvidvaskloven i § 30 b en bestemmelse, som gennemfører 5. hvidvaskdirektivs artikel 32 b. Heraf følger det, at Hvidvasksekretariatet og andre kompetente myndigheder i henhold til hvidvaskloven sikres adgang til oplysninger, som muliggør rettidig identifikation af alle fysiske eller juridiske personer, der ejer fast ejendom i Danmark.</w:t>
      </w:r>
    </w:p>
    <w:p w14:paraId="369D86AA" w14:textId="77777777" w:rsidR="00332AA4" w:rsidRPr="00796736" w:rsidRDefault="00332AA4" w:rsidP="00A802A5">
      <w:pPr>
        <w:spacing w:line="360" w:lineRule="auto"/>
        <w:rPr>
          <w:rFonts w:ascii="Times New Roman" w:hAnsi="Times New Roman" w:cs="Times New Roman"/>
          <w:sz w:val="24"/>
          <w:szCs w:val="24"/>
        </w:rPr>
      </w:pPr>
    </w:p>
    <w:p w14:paraId="5443F29C" w14:textId="421C5328" w:rsidR="00332AA4" w:rsidRPr="00796736" w:rsidRDefault="00332AA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18 og 5. hvidvaskdirektivs artikel 32 b adskiller sig bl.a. ved, at artikel 18 indeholder et krav om en umiddelbar, direkte og vederlagsfri adgang til oplysningerne. Artikel 32 b indeholdt alene et krav om, at medlemsstaterne skulle sikre, at FIU’en og kompetente myndigheder havde adgang til oplysninger, som muliggjorde rettidig identifikation. Derudover kan det nævnes, at </w:t>
      </w:r>
      <w:r w:rsidR="008D4A8C" w:rsidRPr="00796736">
        <w:rPr>
          <w:rFonts w:ascii="Times New Roman" w:hAnsi="Times New Roman" w:cs="Times New Roman"/>
          <w:sz w:val="24"/>
          <w:szCs w:val="24"/>
        </w:rPr>
        <w:t>artikel 18</w:t>
      </w:r>
      <w:r w:rsidRPr="00796736">
        <w:rPr>
          <w:rFonts w:ascii="Times New Roman" w:hAnsi="Times New Roman" w:cs="Times New Roman"/>
          <w:sz w:val="24"/>
          <w:szCs w:val="24"/>
        </w:rPr>
        <w:t xml:space="preserve"> indeholder en oplistning over, hvilke oplysninger, der mindst skal gøres tilgængelige via det fælles adgangspunkt. Bestemmelsen indeholder også et krav om, at oplysningerne skal kunne tilgås via ét fælles adgangspunkt. For nærmere om forskellen på hvidvaskdirektivets artikel 18 og 5. hvidvaskdirektivs artikel 32 b henvises til pkt.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_Ref232937732 \n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3.32.2</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4DBF361E" w14:textId="77777777" w:rsidR="00332AA4" w:rsidRPr="00796736" w:rsidRDefault="00332AA4" w:rsidP="00A802A5">
      <w:pPr>
        <w:spacing w:line="360" w:lineRule="auto"/>
        <w:rPr>
          <w:rFonts w:ascii="Times New Roman" w:hAnsi="Times New Roman" w:cs="Times New Roman"/>
          <w:sz w:val="24"/>
          <w:szCs w:val="24"/>
        </w:rPr>
      </w:pPr>
    </w:p>
    <w:p w14:paraId="7FB5947A" w14:textId="7A627E5F" w:rsidR="00134213" w:rsidRDefault="00332AA4"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på den baggrund at indføre en bestemmelse i </w:t>
      </w:r>
      <w:r w:rsidR="00656A5A" w:rsidRPr="00796736">
        <w:rPr>
          <w:rFonts w:ascii="Times New Roman" w:hAnsi="Times New Roman" w:cs="Times New Roman"/>
          <w:sz w:val="24"/>
          <w:szCs w:val="24"/>
        </w:rPr>
        <w:fldChar w:fldCharType="begin"/>
      </w:r>
      <w:r w:rsidR="00656A5A" w:rsidRPr="00796736">
        <w:rPr>
          <w:rFonts w:ascii="Times New Roman" w:hAnsi="Times New Roman" w:cs="Times New Roman"/>
          <w:sz w:val="24"/>
          <w:szCs w:val="24"/>
        </w:rPr>
        <w:instrText xml:space="preserve"> REF _Ref232596271 \r \h </w:instrText>
      </w:r>
      <w:r w:rsidR="00967618" w:rsidRPr="00796736">
        <w:rPr>
          <w:rFonts w:ascii="Times New Roman" w:hAnsi="Times New Roman" w:cs="Times New Roman"/>
          <w:sz w:val="24"/>
          <w:szCs w:val="24"/>
        </w:rPr>
        <w:instrText xml:space="preserve"> \* MERGEFORMAT </w:instrText>
      </w:r>
      <w:r w:rsidR="00656A5A" w:rsidRPr="00796736">
        <w:rPr>
          <w:rFonts w:ascii="Times New Roman" w:hAnsi="Times New Roman" w:cs="Times New Roman"/>
          <w:sz w:val="24"/>
          <w:szCs w:val="24"/>
        </w:rPr>
      </w:r>
      <w:r w:rsidR="00656A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33</w:t>
      </w:r>
      <w:r w:rsidR="00656A5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hvorefter </w:t>
      </w:r>
      <w:r w:rsidRPr="00796736">
        <w:rPr>
          <w:rFonts w:ascii="Times New Roman" w:eastAsia="Times New Roman" w:hAnsi="Times New Roman" w:cs="Times New Roman"/>
          <w:sz w:val="24"/>
          <w:szCs w:val="24"/>
          <w:lang w:eastAsia="da-DK"/>
        </w:rPr>
        <w:t>kompetente myndigheder i henhold til hvidvaskforordningen, hvidvaskloven eller regler udstedt i medfør heraf, gennem ét fælles adgangspunkt har en umiddelbar, direkte og vederlagsfri adgang til oplysninger, som muliggør rettidig identifikation af fast ejendom, af de fysiske eller juridiske personer m.v., der ejer fast ejendom, og til oplysninger om transaktioner vedrørende fast ejendom. Det foreslås videre, at justitsministeren fastsætter nærmere regler om betingelserne for opslag i det fælles adgangspunkt og om, hvilke oplysninger som skal gøres tilgængelige i det fælles adgangspunkt.</w:t>
      </w:r>
    </w:p>
    <w:p w14:paraId="436C516B" w14:textId="77777777" w:rsidR="00134213" w:rsidRDefault="00134213" w:rsidP="00A802A5">
      <w:pPr>
        <w:spacing w:line="360" w:lineRule="auto"/>
        <w:rPr>
          <w:rFonts w:ascii="Times New Roman" w:eastAsia="Times New Roman" w:hAnsi="Times New Roman" w:cs="Times New Roman"/>
          <w:sz w:val="24"/>
          <w:szCs w:val="24"/>
          <w:lang w:eastAsia="da-DK"/>
        </w:rPr>
      </w:pPr>
    </w:p>
    <w:p w14:paraId="18CA4E2A" w14:textId="3D8571D2" w:rsidR="00134213" w:rsidRPr="00D253F0" w:rsidRDefault="00134213" w:rsidP="00A802A5">
      <w:pPr>
        <w:spacing w:line="360" w:lineRule="auto"/>
        <w:rPr>
          <w:rFonts w:ascii="Times New Roman" w:eastAsia="Times New Roman" w:hAnsi="Times New Roman" w:cs="Times New Roman"/>
          <w:sz w:val="24"/>
          <w:szCs w:val="24"/>
          <w:lang w:eastAsia="da-DK"/>
        </w:rPr>
      </w:pPr>
      <w:r w:rsidRPr="00D253F0">
        <w:rPr>
          <w:rFonts w:ascii="Times New Roman" w:eastAsia="Times New Roman" w:hAnsi="Times New Roman" w:cs="Times New Roman"/>
          <w:sz w:val="24"/>
          <w:szCs w:val="24"/>
          <w:lang w:eastAsia="da-DK"/>
        </w:rPr>
        <w:t xml:space="preserve">Det forudsættes, at det fælles adgangspunkt vil skulle </w:t>
      </w:r>
      <w:r>
        <w:rPr>
          <w:rFonts w:ascii="Times New Roman" w:eastAsia="Times New Roman" w:hAnsi="Times New Roman" w:cs="Times New Roman"/>
          <w:sz w:val="24"/>
          <w:szCs w:val="24"/>
          <w:lang w:eastAsia="da-DK"/>
        </w:rPr>
        <w:t>administreres af Tinglysningsretten og forankres i tinglysningssystemet</w:t>
      </w:r>
      <w:r w:rsidRPr="00D253F0">
        <w:rPr>
          <w:rFonts w:ascii="Times New Roman" w:eastAsia="Times New Roman" w:hAnsi="Times New Roman" w:cs="Times New Roman"/>
          <w:sz w:val="24"/>
          <w:szCs w:val="24"/>
          <w:lang w:eastAsia="da-DK"/>
        </w:rPr>
        <w:t>, der i relevant omfang vil skulle suppleres med oplysninger, som ikke i dag udgør en del af tinglysningssystemet, og at der etableres en særskilt adgang for kompetente myndigheder</w:t>
      </w:r>
      <w:r>
        <w:rPr>
          <w:rFonts w:ascii="Times New Roman" w:eastAsia="Times New Roman" w:hAnsi="Times New Roman" w:cs="Times New Roman"/>
          <w:sz w:val="24"/>
          <w:szCs w:val="24"/>
          <w:lang w:eastAsia="da-DK"/>
        </w:rPr>
        <w:t xml:space="preserve"> til en sådan parallel løsning</w:t>
      </w:r>
      <w:r w:rsidRPr="00D253F0">
        <w:rPr>
          <w:rFonts w:ascii="Times New Roman" w:eastAsia="Times New Roman" w:hAnsi="Times New Roman" w:cs="Times New Roman"/>
          <w:sz w:val="24"/>
          <w:szCs w:val="24"/>
          <w:lang w:eastAsia="da-DK"/>
        </w:rPr>
        <w:t xml:space="preserve">, således at myndighederne vil kunne tilgå oplysningerne omfattet af direktivet. Justitsministeriet har i den forbindelse lagt vægt på, at langt de fleste oplysninger oplistet i artikel 18 allerede i dag ligger i tinglysningssystemet, </w:t>
      </w:r>
      <w:r>
        <w:rPr>
          <w:rFonts w:ascii="Times New Roman" w:eastAsia="Times New Roman" w:hAnsi="Times New Roman" w:cs="Times New Roman"/>
          <w:sz w:val="24"/>
          <w:szCs w:val="24"/>
          <w:lang w:eastAsia="da-DK"/>
        </w:rPr>
        <w:t>som vil kunne beriges således</w:t>
      </w:r>
      <w:r w:rsidRPr="00D253F0">
        <w:rPr>
          <w:rFonts w:ascii="Times New Roman" w:eastAsia="Times New Roman" w:hAnsi="Times New Roman" w:cs="Times New Roman"/>
          <w:sz w:val="24"/>
          <w:szCs w:val="24"/>
          <w:lang w:eastAsia="da-DK"/>
        </w:rPr>
        <w:t xml:space="preserve">, at de </w:t>
      </w:r>
      <w:r w:rsidRPr="00D253F0">
        <w:rPr>
          <w:rFonts w:ascii="Times New Roman" w:hAnsi="Times New Roman" w:cs="Times New Roman"/>
          <w:sz w:val="24"/>
          <w:szCs w:val="24"/>
        </w:rPr>
        <w:t>kompetente myndigheder ved hjælp af elektroniske midler har adgang til oplysningerne i digitalt format, som er maskinlæsbart.</w:t>
      </w:r>
      <w:r w:rsidRPr="00D253F0">
        <w:rPr>
          <w:rFonts w:ascii="Times New Roman" w:eastAsia="Times New Roman" w:hAnsi="Times New Roman" w:cs="Times New Roman"/>
          <w:sz w:val="24"/>
          <w:szCs w:val="24"/>
          <w:lang w:eastAsia="da-DK"/>
        </w:rPr>
        <w:t xml:space="preserve"> </w:t>
      </w:r>
    </w:p>
    <w:p w14:paraId="24256419" w14:textId="77777777" w:rsidR="00134213" w:rsidRPr="00D253F0" w:rsidRDefault="00134213" w:rsidP="00A802A5">
      <w:pPr>
        <w:spacing w:line="360" w:lineRule="auto"/>
        <w:rPr>
          <w:rFonts w:ascii="Times New Roman" w:eastAsia="Times New Roman" w:hAnsi="Times New Roman" w:cs="Times New Roman"/>
          <w:sz w:val="24"/>
          <w:szCs w:val="24"/>
          <w:lang w:eastAsia="da-DK"/>
        </w:rPr>
      </w:pPr>
    </w:p>
    <w:p w14:paraId="497DC775" w14:textId="77777777" w:rsidR="00134213" w:rsidRPr="00D253F0" w:rsidRDefault="00134213" w:rsidP="00A802A5">
      <w:pPr>
        <w:spacing w:line="360" w:lineRule="auto"/>
        <w:rPr>
          <w:rFonts w:ascii="Times New Roman" w:eastAsia="Times New Roman" w:hAnsi="Times New Roman" w:cs="Times New Roman"/>
          <w:sz w:val="24"/>
          <w:szCs w:val="24"/>
          <w:lang w:eastAsia="da-DK"/>
        </w:rPr>
      </w:pPr>
      <w:r w:rsidRPr="00D253F0">
        <w:rPr>
          <w:rFonts w:ascii="Times New Roman" w:eastAsia="Times New Roman" w:hAnsi="Times New Roman" w:cs="Times New Roman"/>
          <w:sz w:val="24"/>
          <w:szCs w:val="24"/>
          <w:lang w:eastAsia="da-DK"/>
        </w:rPr>
        <w:t xml:space="preserve">Den foreslåede bemyndigelsesbestemmelse vil skulle udnyttes til at fastsætte nærmere betingelser om, hvilke myndigheder mv., der i relevant omfang vil skulle levere oplysninger til systemet. Det forudsættes, at regler udstedt i medfør af den foreslåede bestemmelse primært vil omfatte myndigheder og andre enheder, som er i besiddelse af oplysninger, der ikke i dag er omfattet af tinglysningssystemet. Bemyndigelsen vil endvidere kunne anvendes til at fastsætte supplerende regler, som sikrer, at det er muligt at identificere og analysere transaktionerne vedrørende fast ejendom. </w:t>
      </w:r>
    </w:p>
    <w:p w14:paraId="69492D13" w14:textId="77777777" w:rsidR="00332AA4" w:rsidRPr="00796736" w:rsidRDefault="00332AA4" w:rsidP="00A802A5">
      <w:pPr>
        <w:spacing w:line="360" w:lineRule="auto"/>
        <w:rPr>
          <w:rFonts w:ascii="Times New Roman" w:eastAsia="Times New Roman" w:hAnsi="Times New Roman" w:cs="Times New Roman"/>
          <w:sz w:val="24"/>
          <w:szCs w:val="24"/>
          <w:lang w:eastAsia="da-DK"/>
        </w:rPr>
      </w:pPr>
    </w:p>
    <w:p w14:paraId="375329DD" w14:textId="2183A596" w:rsidR="00332AA4" w:rsidRPr="00796736" w:rsidRDefault="00332AA4"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Begrebet ”kompetente myndigheder” vil skulle forstås i overensstemmelse med definitionen i hvidvaskforordningens artikel 2, nr. 44, og vil bl.a. omfatte Hvidvasksekretariatet. </w:t>
      </w:r>
    </w:p>
    <w:p w14:paraId="0C79D5B6" w14:textId="77777777" w:rsidR="00332AA4" w:rsidRPr="00796736" w:rsidRDefault="00332AA4" w:rsidP="00A802A5">
      <w:pPr>
        <w:spacing w:line="360" w:lineRule="auto"/>
        <w:rPr>
          <w:rFonts w:ascii="Times New Roman" w:eastAsia="Times New Roman" w:hAnsi="Times New Roman" w:cs="Times New Roman"/>
          <w:sz w:val="24"/>
          <w:szCs w:val="24"/>
          <w:lang w:eastAsia="da-DK"/>
        </w:rPr>
      </w:pPr>
    </w:p>
    <w:p w14:paraId="3908531A" w14:textId="77777777" w:rsidR="00332AA4" w:rsidRPr="00796736" w:rsidRDefault="00332AA4"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Med bestemmelsen og de regler, der fastsættes i medfør heraf, implementeres direktivets artikel 18. </w:t>
      </w:r>
    </w:p>
    <w:p w14:paraId="4B0DBDC8" w14:textId="4EFF7BD9" w:rsidR="00F93D5B" w:rsidRPr="00796736" w:rsidRDefault="00332AA4"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br/>
        <w:t xml:space="preserve">Der henvises i øvrigt til lovforslagets </w:t>
      </w:r>
      <w:r w:rsidR="00656A5A" w:rsidRPr="00796736">
        <w:rPr>
          <w:rFonts w:ascii="Times New Roman" w:eastAsia="Times New Roman" w:hAnsi="Times New Roman" w:cs="Times New Roman"/>
          <w:sz w:val="24"/>
          <w:szCs w:val="24"/>
          <w:lang w:eastAsia="da-DK"/>
        </w:rPr>
        <w:fldChar w:fldCharType="begin"/>
      </w:r>
      <w:r w:rsidR="00656A5A" w:rsidRPr="00796736">
        <w:rPr>
          <w:rFonts w:ascii="Times New Roman" w:eastAsia="Times New Roman" w:hAnsi="Times New Roman" w:cs="Times New Roman"/>
          <w:sz w:val="24"/>
          <w:szCs w:val="24"/>
          <w:lang w:eastAsia="da-DK"/>
        </w:rPr>
        <w:instrText xml:space="preserve"> REF _Ref232596271 \r \h </w:instrText>
      </w:r>
      <w:r w:rsidR="00967618" w:rsidRPr="00796736">
        <w:rPr>
          <w:rFonts w:ascii="Times New Roman" w:eastAsia="Times New Roman" w:hAnsi="Times New Roman" w:cs="Times New Roman"/>
          <w:sz w:val="24"/>
          <w:szCs w:val="24"/>
          <w:lang w:eastAsia="da-DK"/>
        </w:rPr>
        <w:instrText xml:space="preserve"> \* MERGEFORMAT </w:instrText>
      </w:r>
      <w:r w:rsidR="00656A5A" w:rsidRPr="00796736">
        <w:rPr>
          <w:rFonts w:ascii="Times New Roman" w:eastAsia="Times New Roman" w:hAnsi="Times New Roman" w:cs="Times New Roman"/>
          <w:sz w:val="24"/>
          <w:szCs w:val="24"/>
          <w:lang w:eastAsia="da-DK"/>
        </w:rPr>
      </w:r>
      <w:r w:rsidR="00656A5A"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33</w:t>
      </w:r>
      <w:r w:rsidR="00656A5A" w:rsidRPr="00796736">
        <w:rPr>
          <w:rFonts w:ascii="Times New Roman" w:eastAsia="Times New Roman" w:hAnsi="Times New Roman" w:cs="Times New Roman"/>
          <w:sz w:val="24"/>
          <w:szCs w:val="24"/>
          <w:lang w:eastAsia="da-DK"/>
        </w:rPr>
        <w:fldChar w:fldCharType="end"/>
      </w:r>
      <w:r w:rsidR="00656A5A"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og bemærkningerne dertil.</w:t>
      </w:r>
    </w:p>
    <w:p w14:paraId="7B2ECF44" w14:textId="77777777" w:rsidR="008D4A8C" w:rsidRPr="00796736" w:rsidRDefault="008D4A8C" w:rsidP="00A802A5">
      <w:pPr>
        <w:spacing w:after="160" w:line="360" w:lineRule="auto"/>
        <w:rPr>
          <w:rFonts w:ascii="Times New Roman" w:hAnsi="Times New Roman" w:cs="Times New Roman"/>
          <w:sz w:val="24"/>
          <w:szCs w:val="24"/>
        </w:rPr>
      </w:pPr>
    </w:p>
    <w:p w14:paraId="718432B4" w14:textId="276224E9" w:rsidR="003C1A7C" w:rsidRPr="00796736" w:rsidRDefault="008D4A8C" w:rsidP="00A802A5">
      <w:pPr>
        <w:pStyle w:val="Overskrift2"/>
        <w:rPr>
          <w:rFonts w:ascii="Times New Roman" w:hAnsi="Times New Roman"/>
          <w:sz w:val="24"/>
        </w:rPr>
      </w:pPr>
      <w:bookmarkStart w:id="1166" w:name="_Toc244880750"/>
      <w:r w:rsidRPr="00796736">
        <w:rPr>
          <w:rFonts w:ascii="Times New Roman" w:hAnsi="Times New Roman"/>
          <w:sz w:val="24"/>
        </w:rPr>
        <w:t>Whistleblowerordninger for forpligtede enheder omfattet af hvidvaskreguleringen</w:t>
      </w:r>
      <w:bookmarkEnd w:id="1166"/>
    </w:p>
    <w:p w14:paraId="2588EC16" w14:textId="3DDEC48A" w:rsidR="008E134E" w:rsidRPr="00796736" w:rsidRDefault="008D4A8C" w:rsidP="00A802A5">
      <w:pPr>
        <w:pStyle w:val="Overskrift4"/>
        <w:rPr>
          <w:rFonts w:ascii="Times New Roman" w:hAnsi="Times New Roman" w:cs="Times New Roman"/>
          <w:sz w:val="24"/>
          <w:szCs w:val="24"/>
        </w:rPr>
      </w:pPr>
      <w:bookmarkStart w:id="1167" w:name="_Toc232109124"/>
      <w:bookmarkStart w:id="1168" w:name="_Ref239167670"/>
      <w:bookmarkStart w:id="1169" w:name="_Ref239757187"/>
      <w:r w:rsidRPr="00796736">
        <w:rPr>
          <w:rFonts w:ascii="Times New Roman" w:hAnsi="Times New Roman" w:cs="Times New Roman"/>
          <w:sz w:val="24"/>
          <w:szCs w:val="24"/>
        </w:rPr>
        <w:t>Gældende ret</w:t>
      </w:r>
      <w:bookmarkEnd w:id="1167"/>
      <w:bookmarkEnd w:id="1168"/>
      <w:bookmarkEnd w:id="1169"/>
    </w:p>
    <w:p w14:paraId="6DDC6AAE" w14:textId="77777777" w:rsidR="008D4A8C" w:rsidRPr="00796736" w:rsidRDefault="008D4A8C" w:rsidP="00267A20">
      <w:pPr>
        <w:pStyle w:val="Overskrift5"/>
      </w:pPr>
      <w:r w:rsidRPr="00796736">
        <w:t>Hvidvaskloven</w:t>
      </w:r>
    </w:p>
    <w:p w14:paraId="3BF58E39"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35, stk. 1, at virksomheder og personer omfattet af § 1, stk. 1, nr. 5, 8 og 10, for så vidt angår alternative investeringsfonde, og nr. 12-19, 21 og 22, skal have en ordning, hvor deres ansatte via en særlig, uafhængig og selvstændig kanal kan indberette overtrædelser eller potentielle overtrædelser af hvidvaskloven og regler udstedt i medfør heraf. Indberetninger til ordningen skal kunne foretages anonymt. Virksomheder og personer skal følge op på indberetninger til ordningen og skriftligt kunne dokumentere, hvordan virksomhederne eller personerne har fulgt op på indberetningerne. Lov om whistleblowere finder anvendelse på ordningen i 1. pkt., jf. dog § 2 i lov om whistleblowere.</w:t>
      </w:r>
    </w:p>
    <w:p w14:paraId="565DE1AB" w14:textId="77777777" w:rsidR="008D4A8C" w:rsidRPr="00796736" w:rsidRDefault="008D4A8C" w:rsidP="00303E15">
      <w:pPr>
        <w:spacing w:line="360" w:lineRule="auto"/>
        <w:rPr>
          <w:rFonts w:ascii="Times New Roman" w:hAnsi="Times New Roman" w:cs="Times New Roman"/>
          <w:sz w:val="24"/>
          <w:szCs w:val="24"/>
        </w:rPr>
      </w:pPr>
    </w:p>
    <w:p w14:paraId="6AA74977"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bemærkningerne til bestemmelsen, jf. Folketingstidende 2016-17, tillæg A, L 41 som fremsat, side 137 ff, at kravet om, at der skal være en særlig kanal, skal forstås så ledes, at kanalen skal være godkendt af Datatilsynet og være oprettet med det formål, at ansatte som minimum skal kunne indberette overtrædelser eller potentielle overtrædelser af den finansielle regulering til ordningen. </w:t>
      </w:r>
    </w:p>
    <w:p w14:paraId="2EBA4D19" w14:textId="77777777" w:rsidR="008D4A8C" w:rsidRPr="00796736" w:rsidRDefault="008D4A8C" w:rsidP="00303E15">
      <w:pPr>
        <w:spacing w:line="360" w:lineRule="auto"/>
        <w:rPr>
          <w:rFonts w:ascii="Times New Roman" w:hAnsi="Times New Roman" w:cs="Times New Roman"/>
          <w:sz w:val="24"/>
          <w:szCs w:val="24"/>
        </w:rPr>
      </w:pPr>
    </w:p>
    <w:p w14:paraId="3C2C7D04"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 følger det, at det, at kanalen tillige skal være uafhængig og selvstændig, betyder, at der skal etableres en selvstændig funktion, der er uafhængig af den daglige ledelse, og hvor indberetning kan ske uden om de normale procedurer, f.eks. direkte til den af deling eller medarbejder, som behandler indberetningerne. Dette vil eksempelvis kunne være en særlig complianceansvarlig. </w:t>
      </w:r>
    </w:p>
    <w:p w14:paraId="11C4E07E" w14:textId="77777777" w:rsidR="008D4A8C" w:rsidRPr="00796736" w:rsidRDefault="008D4A8C" w:rsidP="00303E15">
      <w:pPr>
        <w:spacing w:line="360" w:lineRule="auto"/>
        <w:rPr>
          <w:rFonts w:ascii="Times New Roman" w:hAnsi="Times New Roman" w:cs="Times New Roman"/>
          <w:sz w:val="24"/>
          <w:szCs w:val="24"/>
        </w:rPr>
      </w:pPr>
    </w:p>
    <w:p w14:paraId="48E4F3AD"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Virksomhedernes og personernes whistleblowerordning skal omfatte indberetning af såvel overtrædelser som potentielle overtrædelser, hvilket betyder, at der kan indberettes såvel alvorlige som mindre alvorlige forseelser, og der kan ligeledes indberettes overtrædelser, som ikke er af afgørende betydning for koncernen eller virksomheden som helhed. Det kan f.eks. være tilfælde, som alene vil kunne medføre et på bud eller en påtale fra tilsynsmyndigheden. Muligheden for indberetning af mindre alvorlige forseelser udgør en fravigelse af Datatilsynets almindelige praksis på området. </w:t>
      </w:r>
    </w:p>
    <w:p w14:paraId="12650CA4" w14:textId="77777777" w:rsidR="008D4A8C" w:rsidRPr="00796736" w:rsidRDefault="008D4A8C" w:rsidP="00303E15">
      <w:pPr>
        <w:spacing w:line="360" w:lineRule="auto"/>
        <w:rPr>
          <w:rFonts w:ascii="Times New Roman" w:hAnsi="Times New Roman" w:cs="Times New Roman"/>
          <w:sz w:val="24"/>
          <w:szCs w:val="24"/>
        </w:rPr>
      </w:pPr>
    </w:p>
    <w:p w14:paraId="49A2AC6B"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tillige, at det, at indberetninger skal kunne foretages anonymt, indebærer, at den, der indberetter en overtrædelse, kan gøre dette fuldstændigt anonymt, f.eks. via en løsning på virksomhedens intranet, hvor der kan indsendes indberetninger uden angivelse af navn, uden mulighed for sporing af computerens IP-adresse og lignende. Indberetningerne bør som udgangspunkt alene være tilgængelige for den afdeling eller medarbejder, som behandler indberetningerne. Dette vil eksempelvis kunne være den compliance-ansvarlige. Anonyme henvendelser til en whistleblowerordning kan svække mulighederne for at bevise, at der er sket forskelsbehandling som følge af indberetningen, da kravet om anonymitet med fører, at virksomheden eller personen i tilfælde af anonyme indberetninger ikke ved, hvem der har indgivet indberetningen. Det er imidlertid vigtigt at sikre, at ansatte, der anvender ordningen, kan være fuldstændig anonyme, idet det kan være svært for en ansat at beslutte at indberette en overtrædelse til virksomheden, hvis det ikke kan ske anonymt. En ansat kan eksempelvis være bange for at miste sit arbejde, imens andre ansatte kan føle, at de har handlet illoyalt over for en kollega eller over for virksomheden. </w:t>
      </w:r>
    </w:p>
    <w:p w14:paraId="00BD7199" w14:textId="77777777" w:rsidR="008D4A8C" w:rsidRPr="00796736" w:rsidRDefault="008D4A8C" w:rsidP="00303E15">
      <w:pPr>
        <w:spacing w:line="360" w:lineRule="auto"/>
        <w:rPr>
          <w:rFonts w:ascii="Times New Roman" w:hAnsi="Times New Roman" w:cs="Times New Roman"/>
          <w:sz w:val="24"/>
          <w:szCs w:val="24"/>
        </w:rPr>
      </w:pPr>
    </w:p>
    <w:p w14:paraId="7EBB9D32"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fremgår det af bemærkningerne, at en overtrædelse eller en potentiel overtrædelse begået af virksomheden eller personen, herunder af ansatte eller med lemmer af bestyrelsen, omfatter enhver overtrædelse eller potentiel overtrædelse af virksomhedens eller personens forpligtelser, også selvom denne ikke kan henføres til en enkelt person, men eksempelvis skyldes en grundlæggende systemfejl i virksomheden. Der vil tillige kunne blive indberettet overtrædelser, der skyldes undladelser. Hvis en virksomhed eller person har valgt at outsource en del af de forpligtelser, der påhviler den pågældende til en ekstern virksomhed, vil de ansatte i virksomheden eller personen også kunne indberette til virksomhedens whistleblowerordning om manglen de efterlevelse af forpligtelserne, som sker hos den eksterne virksomhed. Ansatte hos den eksterne virksomhed vil kunne indberette overtrædelser til den relevante tilsynsmyndighed. </w:t>
      </w:r>
    </w:p>
    <w:p w14:paraId="7E8A8438" w14:textId="77777777" w:rsidR="008D4A8C" w:rsidRPr="00796736" w:rsidRDefault="008D4A8C" w:rsidP="00303E15">
      <w:pPr>
        <w:spacing w:line="360" w:lineRule="auto"/>
        <w:rPr>
          <w:rFonts w:ascii="Times New Roman" w:hAnsi="Times New Roman" w:cs="Times New Roman"/>
          <w:sz w:val="24"/>
          <w:szCs w:val="24"/>
        </w:rPr>
      </w:pPr>
    </w:p>
    <w:p w14:paraId="22FF43D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at en whistleblowerordning kan outsources til en ekstern leverandør. En virksomhed eller person kan imidlertid ikke fra skrive sig sine forpligtelser efter lovgivningen, og virksomheder eller personer, der benytter sig af outsourcing, er således fortsat ansvarlige for, at ordningerne lever op til lovgivningens krav. En virksomhed, som varetager, administrerer eller på anden måde håndterer en ordning på vegne af en i denne lov forpligtet virksomhed, skal være opmærksom på anden særlovgivning, der kan være til hinder herfor. En virksomhed, der varetager, administrerer eller på anden må de håndterer en ordning på vegne af en forpligtet virksom hed eller person, skal endvidere også være opmærksom på eventuelle lovbestemte oplysningsforpligtelser, som virksomhederne kan være underlagt, idet nærværende lovforslag ikke har til hensigt at ændre herpå. </w:t>
      </w:r>
    </w:p>
    <w:p w14:paraId="35DB684D" w14:textId="77777777" w:rsidR="008D4A8C" w:rsidRPr="00796736" w:rsidRDefault="008D4A8C" w:rsidP="00303E15">
      <w:pPr>
        <w:spacing w:line="360" w:lineRule="auto"/>
        <w:rPr>
          <w:rFonts w:ascii="Times New Roman" w:hAnsi="Times New Roman" w:cs="Times New Roman"/>
          <w:sz w:val="24"/>
          <w:szCs w:val="24"/>
        </w:rPr>
      </w:pPr>
    </w:p>
    <w:p w14:paraId="3D3D24D8"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Ansattes, herunder direktionens, indberetning til whistleblowerordningen vil ikke være i strid med tavshedspligten i § 132 i selskabsloven eller særlovgivningens tavshedsregler, herunder tavshedspligten i lov om finansiel virksomhed. Dette gælder tillige i tilfælde, hvor ordningen er outsourcet til en ekstern leverandør. </w:t>
      </w:r>
    </w:p>
    <w:p w14:paraId="6DBB4842" w14:textId="77777777" w:rsidR="008D4A8C" w:rsidRPr="00796736" w:rsidRDefault="008D4A8C" w:rsidP="00303E15">
      <w:pPr>
        <w:spacing w:line="360" w:lineRule="auto"/>
        <w:rPr>
          <w:rFonts w:ascii="Times New Roman" w:hAnsi="Times New Roman" w:cs="Times New Roman"/>
          <w:sz w:val="24"/>
          <w:szCs w:val="24"/>
        </w:rPr>
      </w:pPr>
    </w:p>
    <w:p w14:paraId="44D00B5B" w14:textId="2101E564" w:rsidR="008D4A8C" w:rsidRPr="00796736" w:rsidRDefault="008D4A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fremgår det, at overtrædelse af bestemmelsen er strafbelagt, jf. forslaget til § 71, stk. 1, 2. pkt. Ansvarssubjekterne for overtrædelse af forslaget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_Ref239690743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34</w:t>
      </w:r>
      <w:r w:rsidRPr="00796736">
        <w:rPr>
          <w:rFonts w:ascii="Times New Roman" w:hAnsi="Times New Roman" w:cs="Times New Roman"/>
          <w:sz w:val="24"/>
          <w:szCs w:val="24"/>
        </w:rPr>
        <w:fldChar w:fldCharType="end"/>
      </w:r>
      <w:r w:rsidR="003D2A25">
        <w:rPr>
          <w:rFonts w:ascii="Times New Roman" w:hAnsi="Times New Roman" w:cs="Times New Roman"/>
          <w:sz w:val="24"/>
          <w:szCs w:val="24"/>
        </w:rPr>
        <w:t xml:space="preserve">, </w:t>
      </w:r>
      <w:r w:rsidRPr="00796736">
        <w:rPr>
          <w:rFonts w:ascii="Times New Roman" w:hAnsi="Times New Roman" w:cs="Times New Roman"/>
          <w:sz w:val="24"/>
          <w:szCs w:val="24"/>
        </w:rPr>
        <w:t>stk. 1, er de i bestemmelsen nævnte virksomheder og personer, og den strafbare handling består i ikke at have en ordning, hvor ansatte via en særlig, uafhængig og selvstændig kanal kan indberette overtrædelser eller potentielle overtrædelser af hvidvaskloven og regler udstedt i medfør heraf. Et eksempel på overtrædelse af bestemmelsen er en virksomhed, hvor de ansatte alene kan foretage indberetninger til en whistleblowerordning, hvis de oplyser deres kontaktoplysninger.</w:t>
      </w:r>
    </w:p>
    <w:p w14:paraId="7C5073CD" w14:textId="77777777" w:rsidR="008D4A8C" w:rsidRPr="00796736" w:rsidRDefault="008D4A8C" w:rsidP="00303E15">
      <w:pPr>
        <w:spacing w:line="360" w:lineRule="auto"/>
        <w:rPr>
          <w:rFonts w:ascii="Times New Roman" w:hAnsi="Times New Roman" w:cs="Times New Roman"/>
          <w:sz w:val="24"/>
          <w:szCs w:val="24"/>
        </w:rPr>
      </w:pPr>
    </w:p>
    <w:p w14:paraId="35778632"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Bestemmelsens 3. pkt. blev indsat ved lov nr. 553 af 7. maj 2019, og det fremgår af bemærkningerne til bestemmelsen, jf. Folketingstidende 2018-19, tillæg A, L 204 som fremsat, side 57 f, at den foreslåede bestemmelse skal være med til at sikre bedre kontrol med overholdelse af hvidvasklovgivningen, samt at virksomheder og personer omfattet heraf får fulgt op på indberetninger om overtrædelser og potentielle overtrædelser af denne lovgivning og dokumenteret dette på fyldestgørende vis.</w:t>
      </w:r>
    </w:p>
    <w:p w14:paraId="4563F66B" w14:textId="77777777" w:rsidR="008D4A8C" w:rsidRPr="00796736" w:rsidRDefault="008D4A8C" w:rsidP="00303E15">
      <w:pPr>
        <w:spacing w:line="360" w:lineRule="auto"/>
        <w:rPr>
          <w:rFonts w:ascii="Times New Roman" w:hAnsi="Times New Roman" w:cs="Times New Roman"/>
          <w:sz w:val="24"/>
          <w:szCs w:val="24"/>
        </w:rPr>
      </w:pPr>
    </w:p>
    <w:p w14:paraId="26F140F0"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at de virksomheder og personer, der er omfattet af den foreslåede bestemmelse, vil være de virksomheder og personer, der efter § 35, stk. 1, 1. pkt., er forpligtet til at etablere en whistleblowerordning.</w:t>
      </w:r>
    </w:p>
    <w:p w14:paraId="1054F767" w14:textId="77777777" w:rsidR="008D4A8C" w:rsidRPr="00796736" w:rsidRDefault="008D4A8C" w:rsidP="00303E15">
      <w:pPr>
        <w:spacing w:line="360" w:lineRule="auto"/>
        <w:rPr>
          <w:rFonts w:ascii="Times New Roman" w:hAnsi="Times New Roman" w:cs="Times New Roman"/>
          <w:sz w:val="24"/>
          <w:szCs w:val="24"/>
        </w:rPr>
      </w:pPr>
    </w:p>
    <w:p w14:paraId="26A3F772"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også, at bestemmelsen indebærer, at en virksomhed eller person efter anmodning fra en tilsynsmyndighed vil skulle kunne dokumentere, hvordan virksomheden løbende har fulgt op på indberetninger til virksomhedens whistleblowerordning. Dette kan f.eks. være efter anmodning fra Finanstilsynet som led i Finanstilsynets tilsynsvirksomhed, jf. § 47 i hvidvaskloven.</w:t>
      </w:r>
    </w:p>
    <w:p w14:paraId="7B589FC3" w14:textId="77777777" w:rsidR="008D4A8C" w:rsidRPr="00796736" w:rsidRDefault="008D4A8C" w:rsidP="00303E15">
      <w:pPr>
        <w:spacing w:line="360" w:lineRule="auto"/>
        <w:rPr>
          <w:rFonts w:ascii="Times New Roman" w:hAnsi="Times New Roman" w:cs="Times New Roman"/>
          <w:sz w:val="24"/>
          <w:szCs w:val="24"/>
        </w:rPr>
      </w:pPr>
    </w:p>
    <w:p w14:paraId="11F5E365"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Dokumentationskravet vil være skriftligt og indebærer, at virksomheden eller personen omfattet af forpligtelsen i § 35, stk. 1, 1. pkt., til at have en whistleblowerordning, skriftligt skal sikre, at virksomheden eller personen løbende får fulgt op på indberetninger til virksomhedens eller personens whistleblowerordning, således at virksomheden eller personen kan dokumentere over for tilsynsmyndigheden, at denne på betryggende vis har fulgt op på alle indberetninger til whistleblowerordningen.</w:t>
      </w:r>
    </w:p>
    <w:p w14:paraId="21214E5E" w14:textId="77777777" w:rsidR="008D4A8C" w:rsidRPr="00796736" w:rsidRDefault="008D4A8C" w:rsidP="00303E15">
      <w:pPr>
        <w:spacing w:line="360" w:lineRule="auto"/>
        <w:rPr>
          <w:rFonts w:ascii="Times New Roman" w:hAnsi="Times New Roman" w:cs="Times New Roman"/>
          <w:sz w:val="24"/>
          <w:szCs w:val="24"/>
        </w:rPr>
      </w:pPr>
    </w:p>
    <w:p w14:paraId="15C83A3A"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at det er op til den enkelte myndighed at vurdere, hvilke oplysninger, virksomheden skal opbevare for at opfylde dokumentationskravet. Som minimum skal virksomhederne dog opbevare oplysninger om, hvad indberetningen går ud på, dokumentation for, hvordan indberetningen er blevet behandlet, og hvilke beslutninger, der er blevet truffet som følge af behandlingen af indberetningen. Relevant mailkorrespondance, interne undersøgelsesrapporter eller andet materiale, der dokumenterer, at virksomheden på betryggende vis har fulgt op på indberetningerne bør også opbevares. Sådan dokumentation bør som minimum opbevares i fem år, fra forpligtelsen til at følge op på indberetningen er opfyldt. Såfremt dokumentationen indeholder personoplysninger på fysiske personer, skal reglerne om persondatabeskyttelse iagttages.</w:t>
      </w:r>
    </w:p>
    <w:p w14:paraId="3D6E80E3" w14:textId="77777777" w:rsidR="008D4A8C" w:rsidRPr="00796736" w:rsidRDefault="008D4A8C" w:rsidP="00303E15">
      <w:pPr>
        <w:spacing w:line="360" w:lineRule="auto"/>
        <w:rPr>
          <w:rFonts w:ascii="Times New Roman" w:hAnsi="Times New Roman" w:cs="Times New Roman"/>
          <w:sz w:val="24"/>
          <w:szCs w:val="24"/>
        </w:rPr>
      </w:pPr>
    </w:p>
    <w:p w14:paraId="535358AF"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dataansvarlig vil virksomheden eller personen til enhver tid skulle efterleve principperne for behandling af personoplysninger, jf. artikel 5 i databeskyttelsesforordningen. Det betyder blandt andet, at når personoplysninger ikke længere er nødvendige for at efterleve dokumentationskravet, vil den finansielle virksomhed som udgangspunkt skulle slette eller anonymisere personoplysningerne.</w:t>
      </w:r>
    </w:p>
    <w:p w14:paraId="3F7E11B5" w14:textId="77777777" w:rsidR="008D4A8C" w:rsidRPr="00796736" w:rsidRDefault="008D4A8C" w:rsidP="00303E15">
      <w:pPr>
        <w:spacing w:line="360" w:lineRule="auto"/>
        <w:rPr>
          <w:rFonts w:ascii="Times New Roman" w:hAnsi="Times New Roman" w:cs="Times New Roman"/>
          <w:sz w:val="24"/>
          <w:szCs w:val="24"/>
        </w:rPr>
      </w:pPr>
    </w:p>
    <w:p w14:paraId="627A285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af bemærkningerne, at det fremgår af § 78, stk. 1, i hvidvaskloven, at overtrædelse af blandt andet § 35, stk. 1, kan straffes med bøde. Med indsættelsen af dokumentationskravet i bestemmelsens 3. pkt., vil også overtrædelse heraf kunne straffes med bøde.</w:t>
      </w:r>
    </w:p>
    <w:p w14:paraId="036983EC" w14:textId="77777777" w:rsidR="008D4A8C" w:rsidRPr="00796736" w:rsidRDefault="008D4A8C" w:rsidP="00303E15">
      <w:pPr>
        <w:spacing w:line="360" w:lineRule="auto"/>
        <w:rPr>
          <w:rFonts w:ascii="Times New Roman" w:hAnsi="Times New Roman" w:cs="Times New Roman"/>
          <w:sz w:val="24"/>
          <w:szCs w:val="24"/>
        </w:rPr>
      </w:pPr>
    </w:p>
    <w:p w14:paraId="01F695B5"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Ansvarssubjektet i forhold til overtrædelse af det foreslåede § 35, stk. 1, 3. pkt., i hvidvaskloven, er den af bestemmelsen i § 35, stk. 1, 1. pkt., omfattede virksomhed eller person. Det betyder, at en virksomheds eller persons manglende opfyldelse af dokumentationskravet vil kunne straffes med bøde, jf. § 78, stk. 1, i hvidvaskloven.</w:t>
      </w:r>
    </w:p>
    <w:p w14:paraId="6BD9F13B" w14:textId="77777777" w:rsidR="008D4A8C" w:rsidRPr="00796736" w:rsidRDefault="008D4A8C" w:rsidP="00303E15">
      <w:pPr>
        <w:spacing w:line="360" w:lineRule="auto"/>
        <w:rPr>
          <w:rFonts w:ascii="Times New Roman" w:hAnsi="Times New Roman" w:cs="Times New Roman"/>
          <w:sz w:val="24"/>
          <w:szCs w:val="24"/>
        </w:rPr>
      </w:pPr>
    </w:p>
    <w:p w14:paraId="23085248"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Virksomheden eller personen vil f.eks. kunne straffes med bøde i de tilfælde, hvor virksomheden eller personen fuldstændig undlader at følge op på henvendelser til virksomhedens eller personens whistleblowerordning, eller helt undlader at indsende dokumentation til tilsynsmyndigheden efter tilsynsmyndighedens anmodning herom, jf. det foreslåede § 35, stk. 1, 3. pkt., i hvidvaskloven.</w:t>
      </w:r>
    </w:p>
    <w:p w14:paraId="114969A7"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 35, stk. 1, 4. pkt., blev indsat ved lov nr. 2383 af 14. december 2021, og det følger bl.a. af bemærkningerne til bestemmelsen, at bestemmelsen er en konsekvens af ikrafttrædelsen af lov om beskyttelse af whistleblowere, jf. lov nr. 1436 af 29. juni 2021, der implementerer Europa-Parlamentets og Rådets direktiv (EU) 2019/1937 af 23. oktober 2019 om beskyttelse af personer, der indberetter overtrædelser af EU-retten. Der henvises til Folketingstidende 2020-21, tillæg A, L 12 som fremsat, side 127 ff. </w:t>
      </w:r>
    </w:p>
    <w:p w14:paraId="4866E8CF" w14:textId="77777777" w:rsidR="008D4A8C" w:rsidRPr="00796736" w:rsidRDefault="008D4A8C" w:rsidP="00303E15">
      <w:pPr>
        <w:spacing w:line="360" w:lineRule="auto"/>
        <w:rPr>
          <w:rFonts w:ascii="Times New Roman" w:hAnsi="Times New Roman" w:cs="Times New Roman"/>
          <w:sz w:val="24"/>
          <w:szCs w:val="24"/>
        </w:rPr>
      </w:pPr>
    </w:p>
    <w:p w14:paraId="2EFE2F6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bemærkningerne præciserer bestemmelsen, at lov om beskyttelse af whistleblowere finder anvendelse på ordningen omfattet af 1. pkt., jf. dog § 2 i lov om beskyttelse af whistleblowere. § 2 i lov om beskyttelse af whistleblowere implementerer whistleblowerdirektivets artikel 3, stk. 1. Whistleblowerdirektivets artikel 3, stk. 1, regulerer whistleblowerdirektivets forhold til regler om whistleblowerordninger i sektorspecifikke EU-retsakter, herunder ordningerne på det finansielle område.</w:t>
      </w:r>
    </w:p>
    <w:p w14:paraId="686E6DD1" w14:textId="77777777" w:rsidR="008D4A8C" w:rsidRPr="00796736" w:rsidRDefault="008D4A8C" w:rsidP="00303E15">
      <w:pPr>
        <w:spacing w:line="360" w:lineRule="auto"/>
        <w:rPr>
          <w:rFonts w:ascii="Times New Roman" w:hAnsi="Times New Roman" w:cs="Times New Roman"/>
          <w:sz w:val="24"/>
          <w:szCs w:val="24"/>
        </w:rPr>
      </w:pPr>
    </w:p>
    <w:p w14:paraId="6F77E97A"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præciserer, at reglerne i hvidvaskloven har forrang, når de giver whistlebloweren en bedre beskyttelse, end whistlebloweren vil få i medfør af lov om beskyttelse af whistleblowere. Indberetninger til whistleblowerordninger i virksomheder og hos personer omfattet af § 1, stk. 1, nr. 5, 8 og 11, for så vidt angår alternative investeringsfonde, og nr. 13-20 og 22-24, i hvidvaskloven, skal derfor fortsat kunne foretages anonymt i medfør af § 35, stk. 1, 2. pkt., i hvidvaskloven. Det betyder bl.a., at kravene om bekræftelse, opfølgning og feedback, jf. § 12, stk. 2, nr. 1-3, i lov om beskyttelse af whistleblowere, ikke gælder i de tilfælde, hvor indberetningen er indgivet anonymt, og hvor det som følge af udformningen af whistleblowerordningen ikke vil være muligt at sende en sådan bekræftelse, følge op eller give feedback til whistlebloweren. Det kan f.eks. være tilfældet, hvis den anonyme indberetning indgives til en fysisk postkasse.</w:t>
      </w:r>
    </w:p>
    <w:p w14:paraId="6644E581" w14:textId="77777777" w:rsidR="008D4A8C" w:rsidRPr="00796736" w:rsidRDefault="008D4A8C" w:rsidP="00303E15">
      <w:pPr>
        <w:spacing w:line="360" w:lineRule="auto"/>
        <w:rPr>
          <w:rFonts w:ascii="Times New Roman" w:hAnsi="Times New Roman" w:cs="Times New Roman"/>
          <w:sz w:val="24"/>
          <w:szCs w:val="24"/>
        </w:rPr>
      </w:pPr>
    </w:p>
    <w:p w14:paraId="7C256D30"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ændrer efter bemærkningerne ikke på det skriftlige dokumentationskrav, der gælder for opfølgninger på indberetninger, og som bidrager til at sikre en effektiv tilsynsførelse, jf. § 35, stk. 1, 3. pkt., i hvidvaskloven.</w:t>
      </w:r>
    </w:p>
    <w:p w14:paraId="42DAB6C9" w14:textId="77777777" w:rsidR="008D4A8C" w:rsidRPr="00796736" w:rsidRDefault="008D4A8C" w:rsidP="00303E15">
      <w:pPr>
        <w:spacing w:line="360" w:lineRule="auto"/>
        <w:rPr>
          <w:rFonts w:ascii="Times New Roman" w:hAnsi="Times New Roman" w:cs="Times New Roman"/>
          <w:sz w:val="24"/>
          <w:szCs w:val="24"/>
        </w:rPr>
      </w:pPr>
    </w:p>
    <w:p w14:paraId="5BA309AB"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Lov om beskyttelse af whistleblowere forpligter som udgangspunkt alene arbejdsgivere med 50 eller flere ansatte til at etablere en intern whistleblowerordning, jf. § 9, stk. 1, i lov om beskyttelse af whistleblowere. En undtagelse til dette udgangspunkt gælder for de arbejdsgivere, som er omfattet af anvendelsesområdet for de EU-retsakter, som er nævnt i whistleblowerdirektivets bilag del II, jf. § 2 i lov om beskyttelse af whistleblowere.</w:t>
      </w:r>
    </w:p>
    <w:p w14:paraId="18B6DE5C"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præciserer, at whistleblowerordninger i virksomheder og hos personer omfattet af § 1, stk. 1, nr. 5, 8 og 11, for så vidt angår alternative investeringsfonde, og nr. 13-20 og 22-24, i hvidvaskloven ud over at leve op til kravene i hvidvaskloven tillige skal opfylde minimumskravene i lov om beskyttelse af whistleblowere i det omfang, kravene giver de ansatte en bedre beskyttelse end hvidvaskloven. Whistleblowerordninger i virksomheder og hos personer omfattet af § 1, stk. 1, nr. 5, 8 og 11, for så vidt angår alternative investeringsfonde, og nr. 13-20 og 22-24, i hvidvaskloven med færre end 50 ansatte skal således også opfylde minimumskravene i lov om beskyttelse af whistleblowere i det omfang, kravene giver de ansatte en bedre beskyttelse end hvidvaskloven.</w:t>
      </w:r>
    </w:p>
    <w:p w14:paraId="3A7D1EDA" w14:textId="77777777" w:rsidR="008D4A8C" w:rsidRPr="00796736" w:rsidRDefault="008D4A8C" w:rsidP="00303E15">
      <w:pPr>
        <w:spacing w:line="360" w:lineRule="auto"/>
        <w:rPr>
          <w:rFonts w:ascii="Times New Roman" w:hAnsi="Times New Roman" w:cs="Times New Roman"/>
          <w:sz w:val="24"/>
          <w:szCs w:val="24"/>
        </w:rPr>
      </w:pPr>
    </w:p>
    <w:p w14:paraId="6D156A35"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er herved ikke taget stilling til, hvorvidt indberetninger, som i øvrigt vedrører alvorlige lovovertrædelser eller øvrige alvorlige forhold, jf. § 1, nr. 2, i lov om beskyttelse af whistleblowere, omfatter indberetninger i medfør af § 35 i hvidvaskloven.</w:t>
      </w:r>
    </w:p>
    <w:p w14:paraId="69986B5D" w14:textId="77777777" w:rsidR="008D4A8C" w:rsidRPr="00796736" w:rsidRDefault="008D4A8C" w:rsidP="00303E15">
      <w:pPr>
        <w:spacing w:line="360" w:lineRule="auto"/>
        <w:rPr>
          <w:rFonts w:ascii="Times New Roman" w:hAnsi="Times New Roman" w:cs="Times New Roman"/>
          <w:sz w:val="24"/>
          <w:szCs w:val="24"/>
        </w:rPr>
      </w:pPr>
    </w:p>
    <w:p w14:paraId="175BAF38"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bemærkningerne indebærer bestemmelsen ikke en ændring i den personkreds, som den interne whistleblowerordning i medfør af hvidvaskloven skal stilles til rådighed for. En forpligtet virksomhed eller person er således fortsat kun forpligtet til at stille ordningen til rådighed for virksomhedens eller personens ansatte. </w:t>
      </w:r>
    </w:p>
    <w:p w14:paraId="335DC86B" w14:textId="77777777" w:rsidR="008D4A8C" w:rsidRPr="00796736" w:rsidRDefault="008D4A8C" w:rsidP="00303E15">
      <w:pPr>
        <w:spacing w:line="360" w:lineRule="auto"/>
        <w:rPr>
          <w:rFonts w:ascii="Times New Roman" w:hAnsi="Times New Roman" w:cs="Times New Roman"/>
          <w:sz w:val="24"/>
          <w:szCs w:val="24"/>
        </w:rPr>
      </w:pPr>
    </w:p>
    <w:p w14:paraId="2FDE78E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at bestemmelsen i § 35, stk. 2, i hvidvaskloven, om at ordningen i stk. 1 kan etableres via kollektiv overenskomst, vil ikke berøres af 4. pkt.</w:t>
      </w:r>
    </w:p>
    <w:p w14:paraId="04D01893" w14:textId="77777777" w:rsidR="008D4A8C" w:rsidRPr="00796736" w:rsidRDefault="008D4A8C" w:rsidP="00303E15">
      <w:pPr>
        <w:spacing w:line="360" w:lineRule="auto"/>
        <w:rPr>
          <w:rFonts w:ascii="Times New Roman" w:hAnsi="Times New Roman" w:cs="Times New Roman"/>
          <w:sz w:val="24"/>
          <w:szCs w:val="24"/>
        </w:rPr>
      </w:pPr>
    </w:p>
    <w:p w14:paraId="3E4B61CB"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Tilsynsmyndighedens mulighed for i særlige tilfælde at dispensere fra kravet i § 35, stk. 1, jf. stk. 4, i hvidvaskloven, hvor Finanstilsynet vurderer, at det vil være formålsløst, at der oprettes en ordning, vil bestå. Tilsynsmyndigheden kan imidlertid ikke undtage fra kravene i lov om beskyttelse af whistleblowere. Virksomheder og personer omfattet af § 1, stk. 1, nr. 5, 8 og 11, for så vidt angår alternative investeringsfonde, og nr. 13-20 og 22-24, med 50 eller flere ansatte vil derfor skulle have en whistleblowerordning i henhold til lov om beskyttelse af whistleblowere og leve op til kravene i denne lov, uanset at Finanstilsynet måtte undtage virksomheden fra kravet i § 35, stk. 1, i hvidvaskloven.</w:t>
      </w:r>
    </w:p>
    <w:p w14:paraId="6CF390E5" w14:textId="77777777" w:rsidR="008D4A8C" w:rsidRPr="00796736" w:rsidRDefault="008D4A8C" w:rsidP="00303E15">
      <w:pPr>
        <w:spacing w:line="360" w:lineRule="auto"/>
        <w:rPr>
          <w:rFonts w:ascii="Times New Roman" w:hAnsi="Times New Roman" w:cs="Times New Roman"/>
          <w:sz w:val="24"/>
          <w:szCs w:val="24"/>
        </w:rPr>
      </w:pPr>
    </w:p>
    <w:p w14:paraId="570A8D76"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at Finanstilsynets tilsyn med de i medfør af hvidvaskloven forpligtede virksomheder og personer vil ikke blive berøres ikke af bestemmelsen. Finanstilsynet har fortsat kompetence til at føre tilsyn med disses overholdelse af bl.a. § 35 i hvidvaskloven, herunder kravet om at have en intern whistleblowerordning, at indberetninger til ordningen skal kunne foretages anonymt, og at virksomheden og personen skriftligt skal kunne dokumentere, hvordan virksomheden eller personen har fulgt op på indberetningerne. Finanstilsynet har ikke kompetence til at føre tilsyn med reglerne i lov om beskyttelse af whistleblowere. I de situationer hvor et krav eksempelvis følger af både § 35 i hvidvaskloven og reglerne i lov om beskyttelse af whistleblowere, vil Finanstilsynet have kompetence til at føre tilsyn med overholdelsen af § 35 i hvidvaskloven.</w:t>
      </w:r>
    </w:p>
    <w:p w14:paraId="4AE1D3D7" w14:textId="77777777" w:rsidR="008D4A8C" w:rsidRPr="00796736" w:rsidRDefault="008D4A8C" w:rsidP="00303E15">
      <w:pPr>
        <w:spacing w:line="360" w:lineRule="auto"/>
        <w:rPr>
          <w:rFonts w:ascii="Times New Roman" w:hAnsi="Times New Roman" w:cs="Times New Roman"/>
          <w:sz w:val="24"/>
          <w:szCs w:val="24"/>
        </w:rPr>
      </w:pPr>
    </w:p>
    <w:p w14:paraId="5488AF2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35, stk. 2, kan ordningen efter stk. 1 etableres via kollektiv overenskomst. </w:t>
      </w:r>
    </w:p>
    <w:p w14:paraId="1AB35E88" w14:textId="77777777" w:rsidR="008D4A8C" w:rsidRPr="00796736" w:rsidRDefault="008D4A8C" w:rsidP="00303E15">
      <w:pPr>
        <w:spacing w:line="360" w:lineRule="auto"/>
        <w:rPr>
          <w:rFonts w:ascii="Times New Roman" w:hAnsi="Times New Roman" w:cs="Times New Roman"/>
          <w:sz w:val="24"/>
          <w:szCs w:val="24"/>
        </w:rPr>
      </w:pPr>
    </w:p>
    <w:p w14:paraId="6E3E3D34"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bemærkningerne til bestemmelsen, jf. Folketingstidende 2016-17, tillæg A, L 41 som fremsat, side 139, at dette i praksis betyder, at arbejdsmarkedets parter efter aftale med virksomhederne har mulighed for at etablere en ordning i f.eks. et fagforbund, hvortil an satte i virksomheden kan indberette overtrædelser. En whistleblowerordning, der baserer sig på en aftale mellem de for handlingsberettigede parter, skal leve op til kravene i stk. 1.</w:t>
      </w:r>
    </w:p>
    <w:p w14:paraId="64BEDDC3" w14:textId="77777777" w:rsidR="008D4A8C" w:rsidRPr="00796736" w:rsidRDefault="008D4A8C" w:rsidP="00303E15">
      <w:pPr>
        <w:spacing w:line="360" w:lineRule="auto"/>
        <w:rPr>
          <w:rFonts w:ascii="Times New Roman" w:hAnsi="Times New Roman" w:cs="Times New Roman"/>
          <w:sz w:val="24"/>
          <w:szCs w:val="24"/>
        </w:rPr>
      </w:pPr>
    </w:p>
    <w:p w14:paraId="094E7502"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Videre fremgår det, at ”via kollektiv overenskomst” skal forstås i overensstemmelse med ordlyden af artikel 71, stk. 3, i Europa-Parlamentets og Rådets Direktiv 2013/36/EU af 26. juni 2013 om adgang til at udøve virksomhed som kreditinstitut og om tilsyn med kreditinstitutter og investeringsselskaber (CRD IV). Heraf følger, at arbejdsmarkedets parter skal forstås i overensstemmelse med artikel 152, artikel 154, stk. 1, artikel 155, stk. 1, TEUF samt artikel 28 i den Europæiske Unions Charter om grundlæggende rettigheder.</w:t>
      </w:r>
    </w:p>
    <w:p w14:paraId="21EB882C" w14:textId="77777777" w:rsidR="008D4A8C" w:rsidRPr="00796736" w:rsidRDefault="008D4A8C" w:rsidP="00303E15">
      <w:pPr>
        <w:spacing w:line="360" w:lineRule="auto"/>
        <w:rPr>
          <w:rFonts w:ascii="Times New Roman" w:hAnsi="Times New Roman" w:cs="Times New Roman"/>
          <w:sz w:val="24"/>
          <w:szCs w:val="24"/>
        </w:rPr>
      </w:pPr>
    </w:p>
    <w:p w14:paraId="63D3CD89"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3 finder stk. 1 alene anvendelse for virksomheder og personer, som beskæftiger flere end 5 ansatte. Ordningen nævnt i stk. 1 skal være etableret senest 3 måneder efter, at virksomheden eller personen har ansat den sjette ansatte. </w:t>
      </w:r>
    </w:p>
    <w:p w14:paraId="4F80DA88" w14:textId="77777777" w:rsidR="008D4A8C" w:rsidRPr="00796736" w:rsidRDefault="008D4A8C" w:rsidP="00303E15">
      <w:pPr>
        <w:spacing w:line="360" w:lineRule="auto"/>
        <w:rPr>
          <w:rFonts w:ascii="Times New Roman" w:hAnsi="Times New Roman" w:cs="Times New Roman"/>
          <w:sz w:val="24"/>
          <w:szCs w:val="24"/>
        </w:rPr>
      </w:pPr>
    </w:p>
    <w:p w14:paraId="1D4C847A"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4 kan tilsynsmyndigheden i særlige tilfælde, hvor myndigheden vurderer, at det vil være formålsløst, at der oprettes en ordning, dispensere fra kravet i stk. 1. </w:t>
      </w:r>
    </w:p>
    <w:p w14:paraId="1B82F378" w14:textId="77777777" w:rsidR="008D4A8C" w:rsidRPr="00796736" w:rsidRDefault="008D4A8C" w:rsidP="00303E15">
      <w:pPr>
        <w:spacing w:line="360" w:lineRule="auto"/>
        <w:rPr>
          <w:rFonts w:ascii="Times New Roman" w:hAnsi="Times New Roman" w:cs="Times New Roman"/>
          <w:sz w:val="24"/>
          <w:szCs w:val="24"/>
        </w:rPr>
      </w:pPr>
    </w:p>
    <w:p w14:paraId="09C31073"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bemærkningerne til bestemmelsen, jf. Folketingstidende 2016-17, tillæg A, L 41 som fremsat, side 139, at dispensation kan alene gives, hvor der foreligger særlige forhold, som tilsiger, at det ikke vil være hensigtsmæssigt at stille krav om etablering af en whistleblowerordning. Eksempler herpå kan være, hvis overskridelsen af grænsen på 5 ansatte er midlertidig, eller hvis virksomheden er under afvikling. </w:t>
      </w:r>
    </w:p>
    <w:p w14:paraId="1B5AB4B1" w14:textId="77777777" w:rsidR="008D4A8C" w:rsidRPr="00796736" w:rsidRDefault="008D4A8C" w:rsidP="00303E15">
      <w:pPr>
        <w:spacing w:line="360" w:lineRule="auto"/>
        <w:rPr>
          <w:rFonts w:ascii="Times New Roman" w:hAnsi="Times New Roman" w:cs="Times New Roman"/>
          <w:sz w:val="24"/>
          <w:szCs w:val="24"/>
        </w:rPr>
      </w:pPr>
    </w:p>
    <w:p w14:paraId="01D2A486"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at den foreslåede bestemmelse regulerer ikke, hvorvidt informationerne skal videregives til tilsynsmyndighederne. Pligt til at videregive informationer kan følge af anden særlovgivning.</w:t>
      </w:r>
    </w:p>
    <w:p w14:paraId="08FE6154" w14:textId="77777777" w:rsidR="008D4A8C" w:rsidRPr="00796736" w:rsidRDefault="008D4A8C" w:rsidP="00303E15">
      <w:pPr>
        <w:spacing w:line="360" w:lineRule="auto"/>
        <w:rPr>
          <w:rFonts w:ascii="Times New Roman" w:hAnsi="Times New Roman" w:cs="Times New Roman"/>
          <w:sz w:val="24"/>
          <w:szCs w:val="24"/>
        </w:rPr>
      </w:pPr>
    </w:p>
    <w:p w14:paraId="21E89349"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 § 35 implementerer 4. og 5. hvidvaskdirektivs artikel 38, 61, stk. 2, litra b, og 61, stk. 3.</w:t>
      </w:r>
    </w:p>
    <w:p w14:paraId="726711BA" w14:textId="77777777" w:rsidR="008D4A8C" w:rsidRPr="00796736" w:rsidRDefault="008D4A8C" w:rsidP="00303E15">
      <w:pPr>
        <w:spacing w:line="360" w:lineRule="auto"/>
        <w:rPr>
          <w:rFonts w:ascii="Times New Roman" w:hAnsi="Times New Roman" w:cs="Times New Roman"/>
          <w:sz w:val="24"/>
          <w:szCs w:val="24"/>
        </w:rPr>
      </w:pPr>
    </w:p>
    <w:p w14:paraId="772002B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35 a, stk. 1, at indgår en virksomhed eller personer omfattet af § 1, stk. 1, nr. 5, 8 og 10, for så vidt angår alternative investeringsfonde, og nr. 12-19, og en ansat eller tidligere ansat en aftale om en tavshedsklausul, skal det fremgå af aftalen, at den ansatte eller tidligere ansatte ikke er afskåret fra at indberette oplysninger om overtrædelser eller potentielle overtrædelser af denne lov og regler udstedt i medfør heraf til offentlige myndigheder.</w:t>
      </w:r>
    </w:p>
    <w:p w14:paraId="22143B1C" w14:textId="77777777" w:rsidR="008D4A8C" w:rsidRPr="00796736" w:rsidRDefault="008D4A8C" w:rsidP="00303E15">
      <w:pPr>
        <w:spacing w:line="360" w:lineRule="auto"/>
        <w:rPr>
          <w:rFonts w:ascii="Times New Roman" w:hAnsi="Times New Roman" w:cs="Times New Roman"/>
          <w:sz w:val="24"/>
          <w:szCs w:val="24"/>
        </w:rPr>
      </w:pPr>
    </w:p>
    <w:p w14:paraId="7D2C6FEB"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bemærkningerne til bestemmelsen, jf. Folketingstidende 2019-20, tillæg A, L 58 som fremsat, side 79, gælder bestemmelsen alle former for aftaler, hvilket vil sige, at bestemmelsen ikke er afgrænset til kun at gælde den ansattes eller tidligere ansattes ansættelseskontrakt. Der gælder ligeledes heller ikke krav til, hvordan en sådan aftale måtte være indgået. Bestemmelsen finder derfor anvendelse både for mundtlige og skriftlige aftaler. At ”indberette” omfatter også den situation, hvor politiet har rettet henvendelse til en medarbejder og anmodet om afgivelse af sådanne oplysninger. </w:t>
      </w:r>
    </w:p>
    <w:p w14:paraId="2CCE86E7" w14:textId="77777777" w:rsidR="008D4A8C" w:rsidRPr="00796736" w:rsidRDefault="008D4A8C" w:rsidP="00303E15">
      <w:pPr>
        <w:spacing w:line="360" w:lineRule="auto"/>
        <w:rPr>
          <w:rFonts w:ascii="Times New Roman" w:hAnsi="Times New Roman" w:cs="Times New Roman"/>
          <w:sz w:val="24"/>
          <w:szCs w:val="24"/>
        </w:rPr>
      </w:pPr>
    </w:p>
    <w:p w14:paraId="0A1A219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”offentlige myndigheder” skal forstås, at en indberetning af oplysninger om en virksomheds overtrædelse eller potentielle overtrædelse af loven og regler fastsat i medfør heraf, ikke er begrænset til Finanstilsynet eller SØIK (nu Hvidvasksekretariatet). Indberetningen kan derfor også foretages til f.eks. Skatteforvaltningen eller politiet.</w:t>
      </w:r>
    </w:p>
    <w:p w14:paraId="27865C64" w14:textId="77777777" w:rsidR="008D4A8C" w:rsidRPr="00796736" w:rsidRDefault="008D4A8C" w:rsidP="00303E15">
      <w:pPr>
        <w:spacing w:line="360" w:lineRule="auto"/>
        <w:rPr>
          <w:rFonts w:ascii="Times New Roman" w:hAnsi="Times New Roman" w:cs="Times New Roman"/>
          <w:sz w:val="24"/>
          <w:szCs w:val="24"/>
        </w:rPr>
      </w:pPr>
    </w:p>
    <w:p w14:paraId="6893425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af stk. 2, at uanset stk. 1 er den ansatte eller den tidligere ansatte ikke afskåret fra at indberette oplysninger om overtrædelser eller potentielle overtrædelser af den finansielle lovgivning til offentlige myndigheder, selv om et sådant forbud indgår i en aftale mellem den ansatte og virksomheden eller personen.  Det samme gælder indberetninger til ordninger efter § 35.</w:t>
      </w:r>
    </w:p>
    <w:p w14:paraId="7463FD08" w14:textId="77777777" w:rsidR="008D4A8C" w:rsidRPr="00796736" w:rsidRDefault="008D4A8C" w:rsidP="00303E15">
      <w:pPr>
        <w:spacing w:line="360" w:lineRule="auto"/>
        <w:rPr>
          <w:rFonts w:ascii="Times New Roman" w:hAnsi="Times New Roman" w:cs="Times New Roman"/>
          <w:sz w:val="24"/>
          <w:szCs w:val="24"/>
        </w:rPr>
      </w:pPr>
    </w:p>
    <w:p w14:paraId="3AEF136B"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2019-20, tillæg A, L 58 som fremsat, side 79 f, at formålet med bestemmelsen er at sikre, at den ansatte eller tidligere ansatte på tilsvarende vis, som i stk. 1, har mulighed for at indberette til virksomheden eller personen. Stk. 2 lovfæster gældende ret, som ansatte og tidligere ansatte har i dag efter gældende ret. Bestemmelsen har derfor til sigte at eliminere tvivlen om, at ansatte og tidligere ansatte altid kan gå til offentlige myndigheder med oplysninger om overtrædelser eller potentielle overtrædelser af loven og regler fast sat i medfør heraf uanset, hvad der måtte være indgået af aftaler med virksomheden eller personen.</w:t>
      </w:r>
    </w:p>
    <w:p w14:paraId="00C8BEED" w14:textId="77777777" w:rsidR="008D4A8C" w:rsidRPr="00796736" w:rsidRDefault="008D4A8C" w:rsidP="00303E15">
      <w:pPr>
        <w:spacing w:line="360" w:lineRule="auto"/>
        <w:rPr>
          <w:rFonts w:ascii="Times New Roman" w:hAnsi="Times New Roman" w:cs="Times New Roman"/>
          <w:sz w:val="24"/>
          <w:szCs w:val="24"/>
        </w:rPr>
      </w:pPr>
    </w:p>
    <w:p w14:paraId="30512F6A"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at ved bestemmelsens 2. pkt. udstrækkes bestemmelsen til også at omfatte indberetninger til virksomhedens eller personens lovpligtige whistleblowerordning. Bestemmelsen indebærer således, at ansatte og tidligere ansatte heller ikke er afskåret fra at indberette overtrædelser eller potentielle overtrædelser til den whistleblowerordning, som virksomheden eller personen har etableret, selvom det fremgår af en aftale mellem den ansatte el ler tidligere ansatte og virksomheden eller personen, at dette vil være et brud på et tavshedspålæg.</w:t>
      </w:r>
    </w:p>
    <w:p w14:paraId="3594BA85" w14:textId="77777777" w:rsidR="008D4A8C" w:rsidRPr="00796736" w:rsidRDefault="008D4A8C" w:rsidP="00303E15">
      <w:pPr>
        <w:spacing w:line="360" w:lineRule="auto"/>
        <w:rPr>
          <w:rFonts w:ascii="Times New Roman" w:hAnsi="Times New Roman" w:cs="Times New Roman"/>
          <w:sz w:val="24"/>
          <w:szCs w:val="24"/>
        </w:rPr>
      </w:pPr>
    </w:p>
    <w:p w14:paraId="25C44A76"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hvidvasklovens § 36, stk. 1, at virksomheder og personer omfattet af hvidvasklovens § 1, stk. 1, nr. 5, 8 og 10, for så vidt angår alternative investeringsfonde, og nr. 12-19, 21 og 22, må ikke udsætte den ansatte eller den tidligere ansatte for ufordelagtig behandling eller ufordelagtige følger, som følge af at den ansatte eller den tidligere ansatte har indberettet virksomhedens eller personens overtrædelse eller potentielle overtrædelse af hvidvaskloven og regler udstedt i medfør heraf til en tilsynsmyndighed eller til en ordning i virksomheden.  Det samme gælder ved fastsættelse, tildeling og udbetaling af variabel løn til ansatte eller tidligere ansatte.</w:t>
      </w:r>
    </w:p>
    <w:p w14:paraId="76694D42" w14:textId="77777777" w:rsidR="008D4A8C" w:rsidRPr="00796736" w:rsidRDefault="008D4A8C" w:rsidP="00303E15">
      <w:pPr>
        <w:spacing w:line="360" w:lineRule="auto"/>
        <w:rPr>
          <w:rFonts w:ascii="Times New Roman" w:hAnsi="Times New Roman" w:cs="Times New Roman"/>
          <w:sz w:val="24"/>
          <w:szCs w:val="24"/>
        </w:rPr>
      </w:pPr>
    </w:p>
    <w:p w14:paraId="40C5C640"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bemærkningerne til bestemmelsen, jf. Folketingstidende 2016-17, tillæg A, L 41 som fremsat, side 140 f, at indberetning blandt andet omfatter enhver anmeldelse eller meddelelse til tilsynsmyndighederne eller til en virksomheds eller persons whistleblowerordning omhandlende en virksomheds eller persons, herunder en ansats eller et bestyrelsesmedlems, overtrædelse eller potentielle overtrædelse af denne lov, regler udstedt i medfør heraf, 2. pengeoverførselsforordning, hvor dette er relevant, og forordninger inde holdende regler om finansielle sanktioner mod lande, personer, grupper, juridiske enheder eller organer. </w:t>
      </w:r>
    </w:p>
    <w:p w14:paraId="7E536707"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udgangspunkt er alle former for ufordelagtig behandling omfattet. Ufordelagtig behandling kan foruden afskedigelse f.eks. være degradering, forflyttelse, chikane eller lignende. Det er en forudsætning for bestemmelsens anvendelsesområde, at den ansatte har indberettet en overtrædelse eller en potentiel overtrædelse til tilsynsmyndigheden, og det er en forudsætning, at der er årsagssammenhæng mellem den ufordelagtige behandling eller ufordelagtige følger og det forhold, at den ansatte har indberettet en overtrædelse til tilsynsmyndigheden eller til virksomhedens eller personens whistleblowerordning. Som udgangspunkt er alle former for ufordelagtig behandling eller ufordelagtige følger omfattet. Det, at der skal foreligge årsagssammenhæng, medfører blandt andet, at bestemmelsen alene finder anvendelse i forbindelse med ufordelagtig behandling eller ufordelagtige følger, som besluttes, efter den ansatte har indberettet en virksomheds overtrædelse eller potentielle overtrædelse af loven, regler udstedt i medfør heraf til den relevante tilsynsmyndighed eller en virksomheds whistleblowerordning. </w:t>
      </w:r>
    </w:p>
    <w:p w14:paraId="60A47951" w14:textId="77777777" w:rsidR="008D4A8C" w:rsidRPr="00796736" w:rsidRDefault="008D4A8C" w:rsidP="00303E15">
      <w:pPr>
        <w:spacing w:line="360" w:lineRule="auto"/>
        <w:rPr>
          <w:rFonts w:ascii="Times New Roman" w:hAnsi="Times New Roman" w:cs="Times New Roman"/>
          <w:sz w:val="24"/>
          <w:szCs w:val="24"/>
        </w:rPr>
      </w:pPr>
    </w:p>
    <w:p w14:paraId="20CF0958"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Overtrædelse af bestemmelsen er strafbelagt, jf. forslaget til § 71, stk. 1, 2. pkt. Ansvarssubjekterne for overtrædelse af § 36, stk. 1, er de i forslaget til § 35, stk. 1, nævnte virksom heder og personer, der beskæftiger mere end fem personer, og den strafbare handling består i ufordelagtig behandling af en ansat som følge af, at den ansatte har indberettet virksomhedens eller personens overtrædelse eller potentielle overtrædelse af denne lov og regler udstedt i medfør heraf til en tilsynsmyndighed eller til en ordning i virksomheden. Et eksempel på overtrædelse af bestemmelsen er en virksom hed, der fyrer en ansat på baggrund af den ansattes indberetning af virksomhedens overtrædelse af hvidvaskloven til Spillemyndigheden.</w:t>
      </w:r>
    </w:p>
    <w:p w14:paraId="41A6448B" w14:textId="77777777" w:rsidR="008D4A8C" w:rsidRPr="00796736" w:rsidRDefault="008D4A8C" w:rsidP="00303E15">
      <w:pPr>
        <w:spacing w:line="360" w:lineRule="auto"/>
        <w:rPr>
          <w:rFonts w:ascii="Times New Roman" w:hAnsi="Times New Roman" w:cs="Times New Roman"/>
          <w:sz w:val="24"/>
          <w:szCs w:val="24"/>
        </w:rPr>
      </w:pPr>
    </w:p>
    <w:p w14:paraId="22A05E97"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lov nr. 553 af 7. maj 2019 om ændring af hvidvaskloven og lov om finansiel virksomhed (gennemførelse af 5. hvidvaskdirektiv) blev bestemmelsen i stk. 1 ændret således, at den også omfatter tidligere ansatte. </w:t>
      </w:r>
    </w:p>
    <w:p w14:paraId="7D599560" w14:textId="77777777" w:rsidR="008D4A8C" w:rsidRPr="00796736" w:rsidRDefault="008D4A8C" w:rsidP="00303E15">
      <w:pPr>
        <w:spacing w:line="360" w:lineRule="auto"/>
        <w:rPr>
          <w:rFonts w:ascii="Times New Roman" w:hAnsi="Times New Roman" w:cs="Times New Roman"/>
          <w:sz w:val="24"/>
          <w:szCs w:val="24"/>
        </w:rPr>
      </w:pPr>
    </w:p>
    <w:p w14:paraId="70C491DD"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ændringen, jf. Folketingstidende 2018-19, tillæg A, L 204 som fremsat, side 59, fremgår det bl.a., at § 36, stk. 1, omfatter alle tidligere ansatte, som udsættes for ufordelagtig behandling eller ufordelagtige følger, som følge af, at personen har ind berettet virksomhedens eller personens overtrædelse eller potentielle overtrædelse af hvidvasklovgivningen efter lovens ikrafttræden. Der kan f.eks. være tale om personer, som har foretaget en indberetning til en intern whistleblowerordning eller til Finanstilsynets whistleblowerordning, mens de var ansat, eller som efter ansættelsesforholdets op hør har foretaget en indberetning til Finanstilsynets whistleblowerordning.</w:t>
      </w:r>
    </w:p>
    <w:p w14:paraId="401CAD37" w14:textId="77777777" w:rsidR="008D4A8C" w:rsidRPr="00796736" w:rsidRDefault="008D4A8C" w:rsidP="00303E15">
      <w:pPr>
        <w:spacing w:line="360" w:lineRule="auto"/>
        <w:rPr>
          <w:rFonts w:ascii="Times New Roman" w:hAnsi="Times New Roman" w:cs="Times New Roman"/>
          <w:sz w:val="24"/>
          <w:szCs w:val="24"/>
        </w:rPr>
      </w:pPr>
    </w:p>
    <w:p w14:paraId="272E0068"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2, at virksomheder og personer omfattet af hvidvaskloven ikke må udsætte en ansat eller en tidligere ansat for ufordelagtig behandling eller ufordelagtige følger, som følge af at den ansatte eller den tidligere ansatte har foretaget en intern underretning om mistanke om hvidvask eller finansiering af terrorisme eller en underretning til Hvidvasksekretariatet i henhold til hvidvasklovens § 26, stk. 1 eller 2. Det samme gælder ved fastsættelse, tildeling og udbetaling af variabel løn til ansatte eller tidligere ansatte.</w:t>
      </w:r>
    </w:p>
    <w:p w14:paraId="2AD25F10" w14:textId="77777777" w:rsidR="008D4A8C" w:rsidRPr="00796736" w:rsidRDefault="008D4A8C" w:rsidP="00303E15">
      <w:pPr>
        <w:spacing w:line="360" w:lineRule="auto"/>
        <w:rPr>
          <w:rFonts w:ascii="Times New Roman" w:hAnsi="Times New Roman" w:cs="Times New Roman"/>
          <w:sz w:val="24"/>
          <w:szCs w:val="24"/>
        </w:rPr>
      </w:pPr>
    </w:p>
    <w:p w14:paraId="6395B503"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jf. Folketingstidende 2016-17, tillæg A, L 41 som fremsat, side 140, at stk. 2 finder anvendelse på alle virksomheder og personer omfattet af loven, da en lignende bestemmelse ikke findes i lov om finansiel virksomhed. </w:t>
      </w:r>
    </w:p>
    <w:p w14:paraId="014E29E2" w14:textId="77777777" w:rsidR="008D4A8C" w:rsidRPr="00796736" w:rsidRDefault="008D4A8C" w:rsidP="00303E15">
      <w:pPr>
        <w:spacing w:line="360" w:lineRule="auto"/>
        <w:rPr>
          <w:rFonts w:ascii="Times New Roman" w:hAnsi="Times New Roman" w:cs="Times New Roman"/>
          <w:sz w:val="24"/>
          <w:szCs w:val="24"/>
        </w:rPr>
      </w:pPr>
    </w:p>
    <w:p w14:paraId="2EA964E5"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en intern underretning forstås, at en ansat internt i virksomheden har underrettet f.eks. den hvidvaskansvarlige om en mistanke. Beskyttelsen af den ansatte gælder, uanset om den hvidvaskansvarlige afkræfter mistanken efter hvidvasklovens § 25. </w:t>
      </w:r>
    </w:p>
    <w:p w14:paraId="33907BF6" w14:textId="77777777" w:rsidR="008D4A8C" w:rsidRPr="00796736" w:rsidRDefault="008D4A8C" w:rsidP="00303E15">
      <w:pPr>
        <w:spacing w:line="360" w:lineRule="auto"/>
        <w:rPr>
          <w:rFonts w:ascii="Times New Roman" w:hAnsi="Times New Roman" w:cs="Times New Roman"/>
          <w:sz w:val="24"/>
          <w:szCs w:val="24"/>
        </w:rPr>
      </w:pPr>
    </w:p>
    <w:p w14:paraId="48F05862"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finder anvendelse, uanset om den ansatte underretter SØIK (nu Hvidvasksekretariatet) eller Advokatsamfundet. Hvis en ansat ved et medlem af advokatsamfundet underretter Advokatsamfundet om en mistanke om hvidvask eller finansiering af terrorisme, er underretningen til Advokatsamfundet dermed underlagt beskyttelsen mod ufordelagtig behandling eller ufordelagtige følger, uanset om Advokatsamfundet ikke foretager en underretning til SØIK (nu Hvidvasksekretariatet). </w:t>
      </w:r>
    </w:p>
    <w:p w14:paraId="477B78C9" w14:textId="77777777" w:rsidR="008D4A8C" w:rsidRPr="00796736" w:rsidRDefault="008D4A8C" w:rsidP="00303E15">
      <w:pPr>
        <w:spacing w:line="360" w:lineRule="auto"/>
        <w:rPr>
          <w:rFonts w:ascii="Times New Roman" w:hAnsi="Times New Roman" w:cs="Times New Roman"/>
          <w:sz w:val="24"/>
          <w:szCs w:val="24"/>
        </w:rPr>
      </w:pPr>
    </w:p>
    <w:p w14:paraId="66D59C9F"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Overtrædelse af bestemmelsen er strafbelagt, jf. hvidvasklovens § 71, stk. 1, 2. pkt. Ansvarssubjekterne for overtrædelse af § 36, stk. 2, er virksomheder og personer omfattet af hvidvasklovens § 1, stk. 1, og den strafbare handling består i ufordelagtig behandling af en ansat som følge af, at den ansatte har foretaget en intern underretning om mistanke om hvidvask eller finansiering af terrorisme eller en underretning til SØIK (nu Hvidvasksekretariatet). Et eksempel på overtrædelse af bestemmelsen er en ansat, der foretager en underretning til SØIK (nu Hvidvasksekretariatet) af en mistænkelig transaktion foretaget af en kunde, hvor den ansattes daglige leder har besluttet, at der ikke skulle foretages en underretning af SØIK (nu Hvidvasksekretariatet).</w:t>
      </w:r>
    </w:p>
    <w:p w14:paraId="2BE6654B" w14:textId="77777777" w:rsidR="008D4A8C" w:rsidRPr="00796736" w:rsidRDefault="008D4A8C" w:rsidP="00303E15">
      <w:pPr>
        <w:spacing w:line="360" w:lineRule="auto"/>
        <w:rPr>
          <w:rFonts w:ascii="Times New Roman" w:hAnsi="Times New Roman" w:cs="Times New Roman"/>
          <w:sz w:val="24"/>
          <w:szCs w:val="24"/>
        </w:rPr>
      </w:pPr>
    </w:p>
    <w:p w14:paraId="40C8A67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3 kan ansatte eller tidligere ansatte, hvis rettigheder er krænket ved overtrædelse af stk. 1 eller 2, tilkendes en godtgørelse i overensstemmelse med principperne i ligebehandlingsloven. Godtgørelsen fastsættes under hensyn til den ansattes eller den tidligere ansattes ansættelsestid og sagens omstændigheder i øvrigt.</w:t>
      </w:r>
    </w:p>
    <w:p w14:paraId="6CA61FBB" w14:textId="77777777" w:rsidR="008D4A8C" w:rsidRPr="00796736" w:rsidRDefault="008D4A8C" w:rsidP="00303E15">
      <w:pPr>
        <w:spacing w:line="360" w:lineRule="auto"/>
        <w:rPr>
          <w:rFonts w:ascii="Times New Roman" w:hAnsi="Times New Roman" w:cs="Times New Roman"/>
          <w:sz w:val="24"/>
          <w:szCs w:val="24"/>
        </w:rPr>
      </w:pPr>
    </w:p>
    <w:p w14:paraId="3C1C2B3D"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bemærkningerne til bestemmelsen, jf. Folketingstidende 2016-17, tillæg A, L 41 som fremsat, side 140 f, at godtgørelsen ikke kan fastsættes efter almindelige erstatningsretlige regler, da den ikke skal modsvare et tab for lønmodtageren. Der er ikke fastsat et maksimum for godtgørelsen, men denne fastsættes af domstolene og voldgiftsretterne under hensyntagen til den ansattes ansættelsestid og den enkelte sags omstændigheder, herunder med iagttagelse af det EU-retlige effektivitetsprincip. Godtgørelsen skal dække den ikke-økonomiske skade, den ansatte har lidt, jf. herved princippet i § 26 i lov om erstatningsansvar. En eventuel godtgørelse er dog ikke til hinder for, at den ansatte modtager erstatning for et økonomisk tab, forudsat at betingelserne i henhold til de almindelige erstatningsretlige regler er opfyldt. </w:t>
      </w:r>
    </w:p>
    <w:p w14:paraId="1FB3A8FD" w14:textId="77777777" w:rsidR="008D4A8C" w:rsidRPr="00796736" w:rsidRDefault="008D4A8C" w:rsidP="00303E15">
      <w:pPr>
        <w:spacing w:line="360" w:lineRule="auto"/>
        <w:rPr>
          <w:rFonts w:ascii="Times New Roman" w:hAnsi="Times New Roman" w:cs="Times New Roman"/>
          <w:sz w:val="24"/>
          <w:szCs w:val="24"/>
        </w:rPr>
      </w:pPr>
    </w:p>
    <w:p w14:paraId="4A66C5FB"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ansatte kan ikke få ret til godtgørelse i medfør af flere forskellige regelsæt for samme hændelse. Det samme gør sig gældende, hvis den ansatte er berettiget til en godtgørelse i henhold til overenskomster og andre arbejdsretlige aftaler. I forbindelse med fastsættelse af godtgørelsen skal domstolene tage udgangspunkt i praksis efter § 16, stk. 3, i ligebehandlingsloven. </w:t>
      </w:r>
    </w:p>
    <w:p w14:paraId="63C60061" w14:textId="77777777" w:rsidR="008D4A8C" w:rsidRPr="00796736" w:rsidRDefault="008D4A8C" w:rsidP="00303E15">
      <w:pPr>
        <w:spacing w:line="360" w:lineRule="auto"/>
        <w:rPr>
          <w:rFonts w:ascii="Times New Roman" w:hAnsi="Times New Roman" w:cs="Times New Roman"/>
          <w:sz w:val="24"/>
          <w:szCs w:val="24"/>
        </w:rPr>
      </w:pPr>
    </w:p>
    <w:p w14:paraId="3E096D0B"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En ansat, der mener at have været udsat for repressalier med videre som følge af en indberetning om overtrædelse eller en potentiel overtrædelse til tilsynsmyndigheden eller til en virksomheds eller persons whistleblowerordning, skal gøre krav på godtgørelse gældende over for virksomheden eller personen ved de almindelige domstole, som på baggrund af sagens omstændigheder vil kunne tilkende den ansatte en godtgørelse. Uoverensstemmelser efter bestemmelsen kan for det overenskomstdækkede områdes vedkommende også behandles i det fagretlige system, f.eks. voldgift.</w:t>
      </w:r>
    </w:p>
    <w:p w14:paraId="0AA916BE" w14:textId="77777777" w:rsidR="008D4A8C" w:rsidRPr="00796736" w:rsidRDefault="008D4A8C" w:rsidP="00303E15">
      <w:pPr>
        <w:spacing w:line="360" w:lineRule="auto"/>
        <w:rPr>
          <w:rFonts w:ascii="Times New Roman" w:hAnsi="Times New Roman" w:cs="Times New Roman"/>
          <w:sz w:val="24"/>
          <w:szCs w:val="24"/>
        </w:rPr>
      </w:pPr>
    </w:p>
    <w:p w14:paraId="13DA1F0A"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endelig af stk. 4, at stk. 1-3 ikke ved aftale kan fraviges til ugunst for den ansatte.</w:t>
      </w:r>
    </w:p>
    <w:p w14:paraId="31E575F6" w14:textId="77777777" w:rsidR="008D4A8C" w:rsidRPr="00796736" w:rsidRDefault="008D4A8C" w:rsidP="00303E15">
      <w:pPr>
        <w:spacing w:line="360" w:lineRule="auto"/>
        <w:rPr>
          <w:rFonts w:ascii="Times New Roman" w:hAnsi="Times New Roman" w:cs="Times New Roman"/>
          <w:sz w:val="24"/>
          <w:szCs w:val="24"/>
        </w:rPr>
      </w:pPr>
    </w:p>
    <w:p w14:paraId="4AEB221A"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bl.a. af bemærkningerne til bestemmelsen, at den ikke er til hinder for aftaler, der stiller den ansatte bedre end lovforslagets bestemmelser. Efter bestemmelsen vil det ikke være muligt at indgå et udenretligt forlig til fuld og endelig afgørelse, såfremt dette stiller den ansatte ringere end bestemmelsen tilsiger. Der henvises til Folketingstidende 2016-17, tillæg A, L 41 som fremsat, side 141. </w:t>
      </w:r>
    </w:p>
    <w:p w14:paraId="39882114" w14:textId="77777777" w:rsidR="008D4A8C" w:rsidRPr="00796736" w:rsidRDefault="008D4A8C" w:rsidP="00303E15">
      <w:pPr>
        <w:spacing w:line="360" w:lineRule="auto"/>
        <w:rPr>
          <w:rFonts w:ascii="Times New Roman" w:hAnsi="Times New Roman" w:cs="Times New Roman"/>
          <w:sz w:val="24"/>
          <w:szCs w:val="24"/>
        </w:rPr>
      </w:pPr>
    </w:p>
    <w:p w14:paraId="3669C9B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sammen med § 35 4. og 5. hvidvaskdirektivs artikel 38 og 61, stk. 2, litra b.</w:t>
      </w:r>
    </w:p>
    <w:p w14:paraId="136D50D2" w14:textId="77777777" w:rsidR="008D4A8C" w:rsidRPr="00796736" w:rsidRDefault="008D4A8C" w:rsidP="00303E15">
      <w:pPr>
        <w:spacing w:line="360" w:lineRule="auto"/>
        <w:rPr>
          <w:rFonts w:ascii="Times New Roman" w:hAnsi="Times New Roman" w:cs="Times New Roman"/>
          <w:sz w:val="24"/>
          <w:szCs w:val="24"/>
        </w:rPr>
      </w:pPr>
    </w:p>
    <w:p w14:paraId="63C2571D" w14:textId="77777777" w:rsidR="008D4A8C" w:rsidRPr="00796736" w:rsidRDefault="008D4A8C" w:rsidP="00267A20">
      <w:pPr>
        <w:pStyle w:val="Overskrift5"/>
      </w:pPr>
      <w:r w:rsidRPr="00796736">
        <w:t>Lov om beskyttelse af whistleblowere</w:t>
      </w:r>
    </w:p>
    <w:p w14:paraId="3194D0AC"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Lov nr. 1435 af 29. juni 2021 om beskyttelse af whistleblowere, som ændret ved lov nr. 666 af 11. juni 2024, har til formål at gennemføre Europa-Parlamentets og Rådets direktiv (EU) 2019/1937 af 23. oktober 2019 om beskyttelse af personer, der indberetter overtrædelser af EU-retten med senere ændringer (herefter whistleblowerdirektivet).</w:t>
      </w:r>
    </w:p>
    <w:p w14:paraId="351627DC" w14:textId="77777777" w:rsidR="008D4A8C" w:rsidRPr="00796736" w:rsidRDefault="008D4A8C" w:rsidP="00303E15">
      <w:pPr>
        <w:spacing w:line="360" w:lineRule="auto"/>
        <w:rPr>
          <w:rFonts w:ascii="Times New Roman" w:hAnsi="Times New Roman" w:cs="Times New Roman"/>
          <w:sz w:val="24"/>
          <w:szCs w:val="24"/>
        </w:rPr>
      </w:pPr>
    </w:p>
    <w:p w14:paraId="2E03E070"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lovens § 2, at særlige regler om indberetning af overtrædelser, der er fastsat i medfør af sektorspecifikke EU-retsakter og nationale regler, der gennemfører disse retsakter, finder fortsat anvendelse. Reglerne i denne lov supplerer de i 1. pkt. nævnte regler, i det omfang et forhold ikke der er ufravigeligt reguleret.</w:t>
      </w:r>
    </w:p>
    <w:p w14:paraId="65C60765" w14:textId="77777777" w:rsidR="008D4A8C" w:rsidRPr="00796736" w:rsidRDefault="008D4A8C" w:rsidP="00303E15">
      <w:pPr>
        <w:spacing w:line="360" w:lineRule="auto"/>
        <w:rPr>
          <w:rFonts w:ascii="Times New Roman" w:hAnsi="Times New Roman" w:cs="Times New Roman"/>
          <w:sz w:val="24"/>
          <w:szCs w:val="24"/>
        </w:rPr>
      </w:pPr>
    </w:p>
    <w:p w14:paraId="79169E4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bl.a. af bemærkningerne til bestemmelsen, at den gennemfører direktivets artikel 3, stk. 1, som omhandler forholdet til andre EU-retsakter. Det fremgår videre, at bestemmelsen indebærer, at særlige sektorspecifikke regler om beskyttelse af whistleblowere, som fremgår af de i direktivets bilag del II nævnte EU-retsakter, fortsat opretholdes, og at direktivet finder anvendelse på alle forhold, der ikke er reguleret i henhold til disse sektorspecifikke retsakter.</w:t>
      </w:r>
    </w:p>
    <w:p w14:paraId="73C416C3" w14:textId="77777777" w:rsidR="008D4A8C" w:rsidRPr="00796736" w:rsidRDefault="008D4A8C" w:rsidP="00303E15">
      <w:pPr>
        <w:spacing w:line="360" w:lineRule="auto"/>
        <w:rPr>
          <w:rFonts w:ascii="Times New Roman" w:hAnsi="Times New Roman" w:cs="Times New Roman"/>
          <w:sz w:val="24"/>
          <w:szCs w:val="24"/>
        </w:rPr>
      </w:pPr>
    </w:p>
    <w:p w14:paraId="44AA1D9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Direktivet supplerer således disse retsakter – og eventuel national lovgivning fastsat i medfør heraf – således, at beskyttelsen af whistleblowere som minimum skal leve op til de i direktivet fastlagte minimumsstandarder, dog således at et eventuelt højere beskyttelsesniveau i en sektorspecifik whistleblowerordning opretholdes.</w:t>
      </w:r>
    </w:p>
    <w:p w14:paraId="4D3D1EB7" w14:textId="77777777" w:rsidR="008D4A8C" w:rsidRPr="00796736" w:rsidRDefault="008D4A8C" w:rsidP="00303E15">
      <w:pPr>
        <w:spacing w:line="360" w:lineRule="auto"/>
        <w:rPr>
          <w:rFonts w:ascii="Times New Roman" w:hAnsi="Times New Roman" w:cs="Times New Roman"/>
          <w:sz w:val="24"/>
          <w:szCs w:val="24"/>
        </w:rPr>
      </w:pPr>
    </w:p>
    <w:p w14:paraId="3CD0208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indebærer bl.a., at arbejdsgivere med færre end 50 ansatte, der allerede som følge af sektorspecifikke regler, f.eks. på det finansielle område, er underlagt en forpligtelse til at etablere en whistleblowerordning, fortsat skal have en whistleblowerordning, selv om forpligtelsen i medfør af denne lov alene omfatter arbejdsgivere med 50 ansatte eller flere.</w:t>
      </w:r>
    </w:p>
    <w:p w14:paraId="177DCBC5" w14:textId="77777777" w:rsidR="008D4A8C" w:rsidRPr="00796736" w:rsidRDefault="008D4A8C" w:rsidP="00303E15">
      <w:pPr>
        <w:spacing w:line="360" w:lineRule="auto"/>
        <w:rPr>
          <w:rFonts w:ascii="Times New Roman" w:hAnsi="Times New Roman" w:cs="Times New Roman"/>
          <w:sz w:val="24"/>
          <w:szCs w:val="24"/>
        </w:rPr>
      </w:pPr>
    </w:p>
    <w:p w14:paraId="4FFEF26C"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indebærer endvidere, at eventuelle krav om mulighed for anonym indberetning m.v. i sådanne sektorspecifikke ordninger fortsat skal opretholdes.</w:t>
      </w:r>
    </w:p>
    <w:p w14:paraId="02A6F95F"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indebærer desuden, at de eksisterende sektorspecifikke ordninger skal leve op til reglerne for henholdsvis interne og eksterne whistleblowerordninger i nærværende lovforslag, herunder i forhold til krav til sagsbehandlingen, i det omfang, de ikke i medfør af den sektorspecifikke lovgivning allerede er underlagt strengere krav. Dette gælder for alle arbejdsgivere med eksisterende sektorspecifikke whistleblowerordninger og uafhængigt af, om den pågældende arbejdsgiver efter de relevante sektorspecifikke regler er underlagt en anden tærskel for antal ansatte for at være forpligtet til at etablere en whistleblowerordning end tærsklen på de 50 ansatte, som er fastsat i medfør af denne lov.</w:t>
      </w:r>
    </w:p>
    <w:p w14:paraId="5AB966B6" w14:textId="77777777" w:rsidR="008D4A8C" w:rsidRPr="00796736" w:rsidRDefault="008D4A8C" w:rsidP="00303E15">
      <w:pPr>
        <w:spacing w:line="360" w:lineRule="auto"/>
        <w:rPr>
          <w:rFonts w:ascii="Times New Roman" w:hAnsi="Times New Roman" w:cs="Times New Roman"/>
          <w:sz w:val="24"/>
          <w:szCs w:val="24"/>
        </w:rPr>
      </w:pPr>
    </w:p>
    <w:p w14:paraId="15A62C9D"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direktivets bilag, del II fremgår det bl.a., at artikel 3, stk. 1, henviser til 4. hvidvaskdirektiv. </w:t>
      </w:r>
    </w:p>
    <w:p w14:paraId="230A3B02" w14:textId="77777777" w:rsidR="008D4A8C" w:rsidRPr="00796736" w:rsidRDefault="008D4A8C" w:rsidP="00303E15">
      <w:pPr>
        <w:spacing w:line="360" w:lineRule="auto"/>
        <w:rPr>
          <w:rFonts w:ascii="Times New Roman" w:hAnsi="Times New Roman" w:cs="Times New Roman"/>
          <w:sz w:val="24"/>
          <w:szCs w:val="24"/>
        </w:rPr>
      </w:pPr>
    </w:p>
    <w:p w14:paraId="5A868980"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Lovens kapitel 2 indeholder regler om betingelser for beskyttelse af whistleblowere. </w:t>
      </w:r>
    </w:p>
    <w:p w14:paraId="7655E22B" w14:textId="77777777" w:rsidR="008D4A8C" w:rsidRPr="00796736" w:rsidRDefault="008D4A8C" w:rsidP="00303E15">
      <w:pPr>
        <w:spacing w:line="360" w:lineRule="auto"/>
        <w:rPr>
          <w:rFonts w:ascii="Times New Roman" w:hAnsi="Times New Roman" w:cs="Times New Roman"/>
          <w:sz w:val="24"/>
          <w:szCs w:val="24"/>
        </w:rPr>
      </w:pPr>
    </w:p>
    <w:p w14:paraId="57D27053"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Lovens kapitel 3 omhandler interne whistleblowerordninger. Det fremgår bl.a. af § 9, stk. 1, at arbejdsgivere med 50 eller flere ansatte skal etablere en intern whistleblowerordning, hvor arbejdstagerne kan indberette oplysninger omfattet af § 1, stk. 1. </w:t>
      </w:r>
    </w:p>
    <w:p w14:paraId="3F2BFECA"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Det fremgår af stk. 2, at justitsministeren efter en konkret risikovurdering og efter forhandling med vedkommende minister kan fastsætte regler om, at arbejdsgivere med færre end 50 ansatte skal etablere en intern whistleblowerordning. </w:t>
      </w:r>
    </w:p>
    <w:p w14:paraId="15DA4EAC" w14:textId="77777777" w:rsidR="008D4A8C" w:rsidRPr="00796736" w:rsidRDefault="008D4A8C" w:rsidP="00303E15">
      <w:pPr>
        <w:spacing w:line="360" w:lineRule="auto"/>
        <w:rPr>
          <w:rFonts w:ascii="Times New Roman" w:hAnsi="Times New Roman" w:cs="Times New Roman"/>
          <w:sz w:val="24"/>
          <w:szCs w:val="24"/>
        </w:rPr>
      </w:pPr>
    </w:p>
    <w:p w14:paraId="7308D44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3 kan arbejdsgivere omfattet af stk. 1 etablere koncernfælles whistleblowerordninger.  Justitsministeren kan fastsætte regler om, at 1. pkt. ikke skal finde anvendelse.</w:t>
      </w:r>
    </w:p>
    <w:p w14:paraId="34C59A8A" w14:textId="77777777" w:rsidR="008D4A8C" w:rsidRPr="00796736" w:rsidRDefault="008D4A8C" w:rsidP="00303E15">
      <w:pPr>
        <w:spacing w:line="360" w:lineRule="auto"/>
        <w:rPr>
          <w:rFonts w:ascii="Times New Roman" w:hAnsi="Times New Roman" w:cs="Times New Roman"/>
          <w:sz w:val="24"/>
          <w:szCs w:val="24"/>
        </w:rPr>
      </w:pPr>
    </w:p>
    <w:p w14:paraId="1BC670AF"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Lovens kapitel 4 omhandler eksterne whistleblowerordninger. Det fremgår bl.a. af § 17, stk. 1, at Datatilsynet etablerer en uafhængig og selvstændig ekstern whistleblowerordning til modtagelse og behandling af oplysninger omfattet af § 1, stk. 1. Kapitel 4 indeholder endvidere regler om krav til eksterne whistleblowerordninger, procedurer for ekstern indberetning og opfølgning og regler om sagsafslutning. </w:t>
      </w:r>
    </w:p>
    <w:p w14:paraId="26DDA72B" w14:textId="77777777" w:rsidR="008D4A8C" w:rsidRPr="00796736" w:rsidRDefault="008D4A8C" w:rsidP="00303E15">
      <w:pPr>
        <w:spacing w:line="360" w:lineRule="auto"/>
        <w:rPr>
          <w:rFonts w:ascii="Times New Roman" w:hAnsi="Times New Roman" w:cs="Times New Roman"/>
          <w:sz w:val="24"/>
          <w:szCs w:val="24"/>
        </w:rPr>
      </w:pPr>
    </w:p>
    <w:p w14:paraId="2062DBF0"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lovens kapitel 5 fremgår en række sagsbehandlingsregler for interne og eksterne whistleblowerordninger, herunder fælles regler for registrering, tavshedspligt, videregivelse og offentlighedsordning. </w:t>
      </w:r>
    </w:p>
    <w:p w14:paraId="0B9C4C53" w14:textId="77777777" w:rsidR="008D4A8C" w:rsidRPr="00796736" w:rsidRDefault="008D4A8C" w:rsidP="00303E15">
      <w:pPr>
        <w:spacing w:line="360" w:lineRule="auto"/>
        <w:rPr>
          <w:rFonts w:ascii="Times New Roman" w:hAnsi="Times New Roman" w:cs="Times New Roman"/>
          <w:sz w:val="24"/>
          <w:szCs w:val="24"/>
        </w:rPr>
      </w:pPr>
    </w:p>
    <w:p w14:paraId="0628C03B"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reguleres i lovens kapitel 6 godtgørelse, bevisbedømmelse og straf. </w:t>
      </w:r>
    </w:p>
    <w:p w14:paraId="64635420" w14:textId="77777777" w:rsidR="008D4A8C" w:rsidRPr="00796736" w:rsidRDefault="008D4A8C" w:rsidP="00303E15">
      <w:pPr>
        <w:spacing w:line="360" w:lineRule="auto"/>
        <w:rPr>
          <w:rFonts w:ascii="Times New Roman" w:hAnsi="Times New Roman" w:cs="Times New Roman"/>
          <w:sz w:val="24"/>
          <w:szCs w:val="24"/>
        </w:rPr>
      </w:pPr>
    </w:p>
    <w:p w14:paraId="519F2E69" w14:textId="77777777" w:rsidR="008D4A8C" w:rsidRPr="00796736" w:rsidRDefault="008D4A8C" w:rsidP="00267A20">
      <w:pPr>
        <w:pStyle w:val="Overskrift5"/>
      </w:pPr>
      <w:r w:rsidRPr="00796736">
        <w:t>Hvidvaskforordningen</w:t>
      </w:r>
    </w:p>
    <w:p w14:paraId="62C4435D"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Hvidvaskforordningens artikel 14 regulerer indberetning af overtrædelser og beskyttelse af indberettende personer. </w:t>
      </w:r>
    </w:p>
    <w:p w14:paraId="1E594318" w14:textId="77777777" w:rsidR="008D4A8C" w:rsidRPr="00796736" w:rsidRDefault="008D4A8C" w:rsidP="00303E15">
      <w:pPr>
        <w:spacing w:line="360" w:lineRule="auto"/>
        <w:rPr>
          <w:rFonts w:ascii="Times New Roman" w:hAnsi="Times New Roman" w:cs="Times New Roman"/>
          <w:sz w:val="24"/>
          <w:szCs w:val="24"/>
        </w:rPr>
      </w:pPr>
    </w:p>
    <w:p w14:paraId="616FB04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1 finder whistleblowerdirektivet anvendelse på indberetning af overtrædelser af hvidvaskforordningen, forordning (EU) 2023/1113 og eventuelle administrative retsakter udstedt af et tilsynsorgan og på beskyttelse af personer, der indberetter sådanne overtrædelser.</w:t>
      </w:r>
    </w:p>
    <w:p w14:paraId="14CB9035" w14:textId="77777777" w:rsidR="008D4A8C" w:rsidRPr="00796736" w:rsidRDefault="008D4A8C" w:rsidP="00303E15">
      <w:pPr>
        <w:spacing w:line="360" w:lineRule="auto"/>
        <w:rPr>
          <w:rFonts w:ascii="Times New Roman" w:hAnsi="Times New Roman" w:cs="Times New Roman"/>
          <w:sz w:val="24"/>
          <w:szCs w:val="24"/>
        </w:rPr>
      </w:pPr>
    </w:p>
    <w:p w14:paraId="6067FBFF"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2 skal forpligtede enheder etablere interne indberetningskanaler, som opfylder kravene i whistleblowerdirektivet</w:t>
      </w:r>
    </w:p>
    <w:p w14:paraId="103B4F10" w14:textId="77777777" w:rsidR="008D4A8C" w:rsidRPr="00796736" w:rsidRDefault="008D4A8C" w:rsidP="00303E15">
      <w:pPr>
        <w:spacing w:line="360" w:lineRule="auto"/>
        <w:rPr>
          <w:rFonts w:ascii="Times New Roman" w:hAnsi="Times New Roman" w:cs="Times New Roman"/>
          <w:sz w:val="24"/>
          <w:szCs w:val="24"/>
        </w:rPr>
      </w:pPr>
    </w:p>
    <w:p w14:paraId="4E54E218"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3 finder stk. 2 ikke anvendelse, hvis den forpligtede enhed er en fysisk eller juridisk person, hvis aktiviteter udføres udelukkende af én fysisk person. </w:t>
      </w:r>
    </w:p>
    <w:p w14:paraId="29727EEC" w14:textId="77777777" w:rsidR="008D4A8C" w:rsidRPr="00796736" w:rsidRDefault="008D4A8C" w:rsidP="00303E15">
      <w:pPr>
        <w:spacing w:line="360" w:lineRule="auto"/>
        <w:rPr>
          <w:rFonts w:ascii="Times New Roman" w:hAnsi="Times New Roman" w:cs="Times New Roman"/>
          <w:sz w:val="24"/>
          <w:szCs w:val="24"/>
        </w:rPr>
      </w:pPr>
    </w:p>
    <w:p w14:paraId="287BF329"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træder sammen med 6. hvidvaskdirektivs artikel 60 i stedet for 4. og 5. hvidvaskdirektivs artikel 38 og 61.</w:t>
      </w:r>
    </w:p>
    <w:p w14:paraId="362C340D" w14:textId="77777777" w:rsidR="008D4A8C" w:rsidRPr="00796736" w:rsidRDefault="008D4A8C" w:rsidP="00303E15">
      <w:pPr>
        <w:spacing w:line="360" w:lineRule="auto"/>
        <w:rPr>
          <w:rFonts w:ascii="Times New Roman" w:hAnsi="Times New Roman" w:cs="Times New Roman"/>
          <w:sz w:val="24"/>
          <w:szCs w:val="24"/>
        </w:rPr>
      </w:pPr>
    </w:p>
    <w:p w14:paraId="58D5AD7D" w14:textId="77777777" w:rsidR="008D4A8C" w:rsidRPr="00796736" w:rsidRDefault="008D4A8C" w:rsidP="00A802A5">
      <w:pPr>
        <w:pStyle w:val="Overskrift4"/>
        <w:rPr>
          <w:rFonts w:ascii="Times New Roman" w:hAnsi="Times New Roman" w:cs="Times New Roman"/>
          <w:sz w:val="24"/>
          <w:szCs w:val="24"/>
        </w:rPr>
      </w:pPr>
      <w:bookmarkStart w:id="1170" w:name="_Ref239163452"/>
      <w:bookmarkStart w:id="1171" w:name="_Toc232109125"/>
      <w:r w:rsidRPr="00796736">
        <w:rPr>
          <w:rFonts w:ascii="Times New Roman" w:hAnsi="Times New Roman" w:cs="Times New Roman"/>
          <w:sz w:val="24"/>
          <w:szCs w:val="24"/>
        </w:rPr>
        <w:t>6. hvidvaskdirektiv</w:t>
      </w:r>
      <w:bookmarkEnd w:id="1170"/>
      <w:r w:rsidRPr="00796736">
        <w:rPr>
          <w:rFonts w:ascii="Times New Roman" w:hAnsi="Times New Roman" w:cs="Times New Roman"/>
          <w:sz w:val="24"/>
          <w:szCs w:val="24"/>
        </w:rPr>
        <w:t xml:space="preserve"> </w:t>
      </w:r>
      <w:bookmarkEnd w:id="1171"/>
    </w:p>
    <w:p w14:paraId="186D7B4A"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6. hvidvaskdirektivs artikel 60 regulerer indberetning af overtrædelser og beskyttelse af indberettende personer. </w:t>
      </w:r>
    </w:p>
    <w:p w14:paraId="3B1F886B" w14:textId="77777777" w:rsidR="008D4A8C" w:rsidRPr="00796736" w:rsidRDefault="008D4A8C" w:rsidP="00303E15">
      <w:pPr>
        <w:spacing w:line="360" w:lineRule="auto"/>
        <w:rPr>
          <w:rFonts w:ascii="Times New Roman" w:hAnsi="Times New Roman" w:cs="Times New Roman"/>
          <w:sz w:val="24"/>
          <w:szCs w:val="24"/>
        </w:rPr>
      </w:pPr>
    </w:p>
    <w:p w14:paraId="43C15619"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stk. 1, at whistleblowerdirektivet finder anvendelse på indberetning af overtrædelser af hvidvaskforordningen og forordning (EU) 2023/1113 og dette direktiv og på beskyttelse af personer, der indberetter sådanne overtrædelser, og personer, der berøres af disse indberetninger.</w:t>
      </w:r>
    </w:p>
    <w:p w14:paraId="6B10E621" w14:textId="77777777" w:rsidR="008D4A8C" w:rsidRPr="00796736" w:rsidRDefault="008D4A8C" w:rsidP="00303E15">
      <w:pPr>
        <w:spacing w:line="360" w:lineRule="auto"/>
        <w:rPr>
          <w:rFonts w:ascii="Times New Roman" w:hAnsi="Times New Roman" w:cs="Times New Roman"/>
          <w:sz w:val="24"/>
          <w:szCs w:val="24"/>
        </w:rPr>
      </w:pPr>
    </w:p>
    <w:p w14:paraId="02597328"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stk. 2, at tilsynsmyndighederne er de myndigheder, der har kompetence til at etablere eksterne indberetningskanaler og til at følge op på indberetninger for så vidt angår de krav, der gælder for forpligtede enheder, i overensstemmelse med whistleblowerdirektivet.</w:t>
      </w:r>
    </w:p>
    <w:p w14:paraId="3CA3800D" w14:textId="77777777" w:rsidR="008D4A8C" w:rsidRPr="00796736" w:rsidRDefault="008D4A8C" w:rsidP="00303E15">
      <w:pPr>
        <w:spacing w:line="360" w:lineRule="auto"/>
        <w:rPr>
          <w:rFonts w:ascii="Times New Roman" w:hAnsi="Times New Roman" w:cs="Times New Roman"/>
          <w:sz w:val="24"/>
          <w:szCs w:val="24"/>
        </w:rPr>
      </w:pPr>
    </w:p>
    <w:p w14:paraId="6774473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3, at de offentlige myndigheder, der fører tilsyn med selvregulerende organer, der er omhandlet i artikel 52, er de myndigheder, der har kompetence til at etablere eksterne indberetningskanaler og følge op på indberetninger fra selvregulerende organer og deres personale for så vidt angår de krav, der gælder for selvregulerende organer i forbindelse med udøvelsen af tilsynsfunktioner.</w:t>
      </w:r>
    </w:p>
    <w:p w14:paraId="72DE022B" w14:textId="77777777" w:rsidR="008D4A8C" w:rsidRPr="00796736" w:rsidRDefault="008D4A8C" w:rsidP="00303E15">
      <w:pPr>
        <w:spacing w:line="360" w:lineRule="auto"/>
        <w:rPr>
          <w:rFonts w:ascii="Times New Roman" w:hAnsi="Times New Roman" w:cs="Times New Roman"/>
          <w:sz w:val="24"/>
          <w:szCs w:val="24"/>
        </w:rPr>
      </w:pPr>
    </w:p>
    <w:p w14:paraId="4A0613FF"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præambelbetragtning nr. 110, at whistleblowerdirektivet finder anvendelse på indberetning af overtrædelser af 4. og 5. hvidvaskdirektiv, der vedrører hvidvask af penge og finansiering af terrorisme, og på beskyttelse af personer, der indberetter sådanne overtrædelser, som omhandlet i del II i bilaget til whistleblowerdirektivet. Da nærværende direktiv ophæver 4. og 5. hvidvaskdirektiv, bør henvisningen hertil i bilag II til whistleblowerdirektivet forstås som en henvisning til nærværende direktiv. Samtidig er det nødvendigt at opretholde skræddersyede regler om indberetning af overtrædelser af kravene til for bekæmpelse af hvidvask af penge og finansiering af terrorisme, der supplerer whistleblowerdirektivet, navnlig for så vidt angår kravene til forpligtede enheder om at etablere interne indberetningskanaler og identifikation af de myndigheder, der er kompetente til at modtage og følge op på indberetninger vedrørende overtrædelser af regler om forebyggelse og bekæmpelse af hvidvask af penge og finansiering af terrorisme.</w:t>
      </w:r>
    </w:p>
    <w:p w14:paraId="6639F886" w14:textId="77777777" w:rsidR="008D4A8C" w:rsidRPr="00796736" w:rsidRDefault="008D4A8C" w:rsidP="00303E15">
      <w:pPr>
        <w:spacing w:line="360" w:lineRule="auto"/>
        <w:rPr>
          <w:rFonts w:ascii="Times New Roman" w:hAnsi="Times New Roman" w:cs="Times New Roman"/>
          <w:sz w:val="24"/>
          <w:szCs w:val="24"/>
        </w:rPr>
      </w:pPr>
    </w:p>
    <w:p w14:paraId="5900132E"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6. hvidvaskdirektivs artikel 60 og hvidvaskforordningens artikel 14 viderefører overordnet 4. og 5. hvidvaskdirektivs artikel 38 og 61, dog således at kravene til etableringen af mekanismer mv. til underretninger og beskyttelsen af de personer, som foretager interne og eksterne underretninger, nu ikke længere følger af hvidvaskreguleringen, men at der i stedet henvises til beskyttelsen i medfør af whistleblowerdirektivet. Der vil imidlertid fortsat gælde visse særlige regler for underretninger i medfør af hvidvaskreguleringen. Det følger således af hvidvaskforordningens artikel 14, stk. 3, at stk. 2 om krav til etablering af interne indberetningskanaler i overensstemmelse med kravene i whistleblowerdirektivet ikke finder anvendelse, hvis den forpligtede enhed er en fysisk person eller en juridiske person, hvis aktiviteter udføres udelukkende af én fysisk person. </w:t>
      </w:r>
    </w:p>
    <w:p w14:paraId="72ECB821" w14:textId="77777777" w:rsidR="008D4A8C" w:rsidRPr="00796736" w:rsidRDefault="008D4A8C" w:rsidP="00303E15">
      <w:pPr>
        <w:spacing w:line="360" w:lineRule="auto"/>
        <w:rPr>
          <w:rFonts w:ascii="Times New Roman" w:hAnsi="Times New Roman" w:cs="Times New Roman"/>
          <w:sz w:val="24"/>
          <w:szCs w:val="24"/>
        </w:rPr>
      </w:pPr>
    </w:p>
    <w:p w14:paraId="7E60C3D1" w14:textId="77777777" w:rsidR="008D4A8C" w:rsidRPr="00796736" w:rsidRDefault="008D4A8C" w:rsidP="00303E1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Dertil kommer, at det af 6. hvidvaskdirektivs artikel 60, stk. 2 og 3 følger, at tilsynsmyndighederne og de offentlige myndigheder, der fører tilsyn med selvregulerende organer, er de myndigheder, der har kompetence til at etablere eksterne indberetningskanaler og til at følge op på henholdsvis indberetninger for så vidt angår de krav, der gælder for forpligtede enheder i overensstemmelse med whistleblowerdirektivet og indberetninger fra selvregulerende organer og deres personale for så vidt angår de krav, der gælder for sådanne organer i forbindelse med udøvelsen af deres tilsynsfunktioner. </w:t>
      </w:r>
    </w:p>
    <w:p w14:paraId="6145369D" w14:textId="77777777" w:rsidR="008D4A8C" w:rsidRPr="00796736" w:rsidRDefault="008D4A8C" w:rsidP="00303E15">
      <w:pPr>
        <w:spacing w:line="360" w:lineRule="auto"/>
        <w:rPr>
          <w:rFonts w:ascii="Times New Roman" w:hAnsi="Times New Roman" w:cs="Times New Roman"/>
          <w:sz w:val="24"/>
          <w:szCs w:val="24"/>
        </w:rPr>
      </w:pPr>
    </w:p>
    <w:p w14:paraId="374D1175" w14:textId="77777777" w:rsidR="008D4A8C" w:rsidRPr="00796736" w:rsidRDefault="008D4A8C"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22A388FA" w14:textId="3CFB6269" w:rsidR="008D4A8C" w:rsidRPr="00796736" w:rsidRDefault="008D4A8C" w:rsidP="00A802A5">
      <w:pPr>
        <w:spacing w:after="240" w:line="360" w:lineRule="auto"/>
        <w:rPr>
          <w:rFonts w:ascii="Times New Roman" w:eastAsia="Calibri" w:hAnsi="Times New Roman" w:cs="Times New Roman"/>
          <w:sz w:val="24"/>
          <w:szCs w:val="24"/>
        </w:rPr>
      </w:pPr>
      <w:bookmarkStart w:id="1172" w:name="_Toc232109126"/>
      <w:r w:rsidRPr="00796736">
        <w:rPr>
          <w:rFonts w:ascii="Times New Roman" w:eastAsia="Calibri" w:hAnsi="Times New Roman" w:cs="Times New Roman"/>
          <w:sz w:val="24"/>
          <w:szCs w:val="24"/>
        </w:rPr>
        <w:t xml:space="preserve">Som det fremgår af pkt.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_Ref239163452 \r \h </w:instrText>
      </w:r>
      <w:r w:rsidR="00F375BF"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3.33.2</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indeholder hvidvaskdirektivet i artikel 60 og hvidvaskforordningen i artikel 14 – ligesom i 4. og 5. hvidvaskdirektivs artikel 38 og 61 – bestemmelser etableringen af indberetningskanaler og beskyttelsen af personer, som foretager indberetninger. </w:t>
      </w:r>
    </w:p>
    <w:p w14:paraId="76CA9FA1" w14:textId="77777777" w:rsidR="008D4A8C" w:rsidRPr="00796736" w:rsidRDefault="008D4A8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i 4. og 5. hvidvaskdirektivs artikel 38 og 61, stk. 2, litra b og stk. 3, er i dansk ret implementeret i hvidvasklovens §§ 35-36. Dertil kommer, at lov om beskyttelse af whistleblowere finder anvendelse på ordningen efter hvidvaskloven.  </w:t>
      </w:r>
    </w:p>
    <w:p w14:paraId="565AE843" w14:textId="4B07B5BA" w:rsidR="008D4A8C" w:rsidRPr="00796736" w:rsidRDefault="008D4A8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6. hvidvaskdirektivs artikel 60 og hvidvaskforordningens artikel 14 og 4. og 5. hvidvaskdirektivs artikel 38 og 61 adskiller sig som det fremgår af pkt.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_Ref239163452 \r \h </w:instrText>
      </w:r>
      <w:r w:rsidR="00F375BF"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3.33.2</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bl.a. ved, at førstnævnte artikler i det hele henviser til beskyttelsen, som den følger af whistleblowerdirektivet, mens sidstnævnte artikler indeholder forskellige regler om bl.a. etableringen af indberetningskanaler og beskyttelsen af personer, der foretager indberetninger. Dertil kommer, at det efter hvidvaskforordningens artikel 14, stk. 3, smh. stk. 2, vil være et krav for forpligtede enheder omfattet af hvidvaskreguleringen at etablere interne indberetningskanaler i overensstemmelse med whistleblowerdirektivet, når der er tale om forpligtede enheder, der er fysiske eller juridiske personer, hvis aktiviteter udføres udelukkende af én fysisk person. </w:t>
      </w:r>
    </w:p>
    <w:p w14:paraId="788D2715" w14:textId="26E6D885" w:rsidR="008D4A8C" w:rsidRPr="00796736" w:rsidRDefault="008D4A8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på den baggrund i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_Ref239690743 \r \h </w:instrText>
      </w:r>
      <w:r w:rsidR="00F375BF"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34</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w:t>
      </w:r>
      <w:r w:rsidR="003F738E" w:rsidRPr="00796736">
        <w:rPr>
          <w:rFonts w:ascii="Times New Roman" w:eastAsia="Calibri" w:hAnsi="Times New Roman" w:cs="Times New Roman"/>
          <w:sz w:val="24"/>
          <w:szCs w:val="24"/>
        </w:rPr>
        <w:t>at fastslå, at lov om beskyttelse af whistleblowere finder tilsvarende anvendelse for virksomheder eller personer omfattet af hvidvaskforordningen og denne lov samt regler udstedt i medfør heraf, hvis aktiviteten hos den pågældende virksomhed eller person udføres af mere end én fysisk person</w:t>
      </w:r>
      <w:r w:rsidR="003F738E">
        <w:rPr>
          <w:rFonts w:ascii="Times New Roman" w:eastAsia="Calibri" w:hAnsi="Times New Roman" w:cs="Times New Roman"/>
          <w:sz w:val="24"/>
          <w:szCs w:val="24"/>
        </w:rPr>
        <w:t>, jf. dog § 2 i whistleblowerloven</w:t>
      </w:r>
      <w:r w:rsidR="003F738E" w:rsidRPr="00796736">
        <w:rPr>
          <w:rFonts w:ascii="Times New Roman" w:eastAsia="Calibri" w:hAnsi="Times New Roman" w:cs="Times New Roman"/>
          <w:sz w:val="24"/>
          <w:szCs w:val="24"/>
        </w:rPr>
        <w:t xml:space="preserve">. Det foreslås endvidere, at Finanstilsynet, Erhvervsstyrelsen, Spillemyndigheden eller </w:t>
      </w:r>
      <w:r w:rsidR="003F738E">
        <w:rPr>
          <w:rFonts w:ascii="Times New Roman" w:eastAsia="Calibri" w:hAnsi="Times New Roman" w:cs="Times New Roman"/>
          <w:sz w:val="24"/>
          <w:szCs w:val="24"/>
        </w:rPr>
        <w:t>Hvidvaskenheden</w:t>
      </w:r>
      <w:r w:rsidR="003F738E" w:rsidRPr="00796736">
        <w:rPr>
          <w:rFonts w:ascii="Times New Roman" w:eastAsia="Calibri" w:hAnsi="Times New Roman" w:cs="Times New Roman"/>
          <w:sz w:val="24"/>
          <w:szCs w:val="24"/>
        </w:rPr>
        <w:t xml:space="preserve"> kan etablere eksterne indberetningskanaler og følge op på indberetninger efter reglerne i lov om beskyttelse af whistleblowere.</w:t>
      </w:r>
    </w:p>
    <w:p w14:paraId="47E81293" w14:textId="3418E829" w:rsidR="008D4A8C" w:rsidRPr="005C5D54" w:rsidRDefault="008D4A8C" w:rsidP="00303E1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vil i sammenhæng med hvidvaskforordningens artikel 14 for det første indebære, at alle virksomheder og personer omfattet af hvidvaskforordningen eller denne lov eller regler udstedt i medfør af hvidvaskforordningen eller denne lov, hvor aktiviteten hos den pågældende udføres af mere end én fysisk person, vil være omfattet af whistleblowerlovens bestemmelser, herunder kravene til etableringen af interne whistleblowerkanaler og at personer, som foretager indberetninger omfattet af loven, vil være omfattet af lovens beskyttelse, herunder beskyttelsen mod repressalier.</w:t>
      </w:r>
      <w:r w:rsidR="0008671B" w:rsidRPr="0008671B">
        <w:rPr>
          <w:rFonts w:ascii="Times New Roman" w:eastAsia="Calibri" w:hAnsi="Times New Roman" w:cs="Times New Roman"/>
          <w:sz w:val="24"/>
          <w:szCs w:val="24"/>
        </w:rPr>
        <w:t xml:space="preserve"> </w:t>
      </w:r>
      <w:r w:rsidR="0008671B">
        <w:rPr>
          <w:rFonts w:ascii="Times New Roman" w:eastAsia="Calibri" w:hAnsi="Times New Roman" w:cs="Times New Roman"/>
          <w:sz w:val="24"/>
          <w:szCs w:val="24"/>
        </w:rPr>
        <w:t>Den foreslåede bestemmelse indebærer endvidere, at reglerne i hvidvaskloven eller hvidvaskforordningen har forrang, når de giver whistlebloweren en bedre beskyttelse, end whistlebloweren vil få i medfør af lov om beskyttelse af whistleblowere, jf. herved henvisningen til denne lovs § 2. Det foreslåede indebærer endvidere, at udover at leve op til kravene i hvidvaskforordningen og hvidvaskloven, vil virksomheder og personer omfattet af bestemmelsen tillige skulle opfylde minimumskravene i lov om beskyttelse af whistleblowere i det omfang, kravene giver de ansatte en bedre beskyttelse end den foreslåede hvidvasklov eller forordningen.</w:t>
      </w:r>
    </w:p>
    <w:bookmarkEnd w:id="1172"/>
    <w:p w14:paraId="5EEF80F1" w14:textId="40E1FC83" w:rsidR="008D4A8C" w:rsidRDefault="00694157">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den foreslåede ordning vil Finanstilsynet, Erhvervsstyrelsen, Spillemyndigheden og </w:t>
      </w:r>
      <w:r>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være kompetente til at etablere eksterne indberetningskanaler og følge op på indberetninger efter reglerne i lov om beskyttelse af whistleblowere. Det forudsættes i den forbindelse, at den eksisterende uafhængige og selvstændige eksterne whistleblowerordning etableret af Datatilsynet efter whistleblowerlovens § 17, stk. 1, vil udgøre en ekstern indberetningskanal for de virksomheder og personer, for hvem whistleblowerloven efter den foreslåede ordning vil få tilsvarende anvendelse.</w:t>
      </w:r>
    </w:p>
    <w:p w14:paraId="4A1A576D" w14:textId="77777777" w:rsidR="00694157" w:rsidRPr="00796736" w:rsidRDefault="00694157" w:rsidP="00694157">
      <w:pPr>
        <w:spacing w:line="360" w:lineRule="auto"/>
        <w:rPr>
          <w:rFonts w:ascii="Times New Roman" w:hAnsi="Times New Roman" w:cs="Times New Roman"/>
          <w:sz w:val="24"/>
          <w:szCs w:val="24"/>
        </w:rPr>
      </w:pPr>
    </w:p>
    <w:p w14:paraId="1D265CFA" w14:textId="56E62B57" w:rsidR="008D4A8C" w:rsidRDefault="008D4A8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forudsættes, at tilsynsorganerne i henhold til den foreslåede lov som led i deres tilsyn vil skulle påse, at virksomheder og personer under deres tilsyn, som er omfattet af den foreslåede bestemmelse har etableret interne indberetningskanaler, men ikke i øvrigt vil skulle føre tilsyn med, om virksomhederne og personerne lever op til whistleblowerlovens krav. Dette svarer til myndighedernes nuværende tilsyn med overholdelsen af hvidvasklovens §§ 35</w:t>
      </w:r>
      <w:r w:rsidR="00100301">
        <w:rPr>
          <w:rFonts w:ascii="Times New Roman" w:eastAsia="Calibri" w:hAnsi="Times New Roman" w:cs="Times New Roman"/>
          <w:sz w:val="24"/>
          <w:szCs w:val="24"/>
        </w:rPr>
        <w:t xml:space="preserve"> og </w:t>
      </w:r>
      <w:r w:rsidRPr="00796736">
        <w:rPr>
          <w:rFonts w:ascii="Times New Roman" w:eastAsia="Calibri" w:hAnsi="Times New Roman" w:cs="Times New Roman"/>
          <w:sz w:val="24"/>
          <w:szCs w:val="24"/>
        </w:rPr>
        <w:t xml:space="preserve">36. </w:t>
      </w:r>
    </w:p>
    <w:p w14:paraId="72D043F5" w14:textId="3838095E" w:rsidR="008D4A8C" w:rsidRDefault="005661AC" w:rsidP="005661AC">
      <w:pPr>
        <w:spacing w:after="24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Det foreslåede ændrer ikke på, at tilsynsorganerne og tilsynsmyndighederne i medfør af den foreslåede lov fører tilsyn med hvidvaskreguleringen. Disse vil således have kompetence til at føre tilsyn med den foreslåede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_Ref239690743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34</w:t>
      </w:r>
      <w:r w:rsidRPr="00796736">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herunder kravet om at have en intern whistleblowerordning. Organerne og myndighederne vil imidlertid ikke have kompetence til at føre tilsyn med reglerne i lov om beskyttelse af whistleblowere eller overholdelsen heraf. </w:t>
      </w:r>
    </w:p>
    <w:p w14:paraId="03A6AFD0" w14:textId="77777777" w:rsidR="005661AC" w:rsidRPr="005661AC" w:rsidRDefault="005661AC" w:rsidP="005661AC">
      <w:pPr>
        <w:spacing w:after="240" w:line="360" w:lineRule="auto"/>
        <w:rPr>
          <w:rFonts w:ascii="Times New Roman" w:eastAsia="Calibri" w:hAnsi="Times New Roman" w:cs="Times New Roman"/>
          <w:sz w:val="24"/>
          <w:szCs w:val="24"/>
        </w:rPr>
      </w:pPr>
    </w:p>
    <w:p w14:paraId="68A995C9" w14:textId="5B5C02BC" w:rsidR="008D4A8C" w:rsidRPr="00796736" w:rsidRDefault="00246E13" w:rsidP="00A802A5">
      <w:pPr>
        <w:pStyle w:val="Overskrift2"/>
        <w:rPr>
          <w:rFonts w:ascii="Times New Roman" w:hAnsi="Times New Roman"/>
          <w:sz w:val="24"/>
        </w:rPr>
      </w:pPr>
      <w:bookmarkStart w:id="1173" w:name="_Toc232109127"/>
      <w:bookmarkStart w:id="1174" w:name="_Ref232946534"/>
      <w:bookmarkStart w:id="1175" w:name="_Toc244880751"/>
      <w:r w:rsidRPr="00796736">
        <w:rPr>
          <w:rFonts w:ascii="Times New Roman" w:hAnsi="Times New Roman"/>
          <w:sz w:val="24"/>
        </w:rPr>
        <w:t>Rapporteringspligt ved modtagelse af advarsler om hvidvask eller terrorfinansiering</w:t>
      </w:r>
      <w:bookmarkEnd w:id="1173"/>
      <w:bookmarkEnd w:id="1174"/>
      <w:bookmarkEnd w:id="1175"/>
    </w:p>
    <w:p w14:paraId="4216DD90" w14:textId="458DC286" w:rsidR="00164604" w:rsidRPr="00796736" w:rsidRDefault="00164604" w:rsidP="00A802A5">
      <w:pPr>
        <w:pStyle w:val="Overskrift4"/>
        <w:rPr>
          <w:rFonts w:ascii="Times New Roman" w:hAnsi="Times New Roman" w:cs="Times New Roman"/>
          <w:sz w:val="24"/>
          <w:szCs w:val="24"/>
        </w:rPr>
      </w:pPr>
      <w:bookmarkStart w:id="1176" w:name="_Toc232109128"/>
      <w:r w:rsidRPr="00796736">
        <w:rPr>
          <w:rFonts w:ascii="Times New Roman" w:hAnsi="Times New Roman" w:cs="Times New Roman"/>
          <w:sz w:val="24"/>
          <w:szCs w:val="24"/>
        </w:rPr>
        <w:t>Gældende ret</w:t>
      </w:r>
      <w:bookmarkEnd w:id="1176"/>
    </w:p>
    <w:p w14:paraId="63E80228" w14:textId="77777777" w:rsidR="00246E13" w:rsidRPr="00796736" w:rsidRDefault="00246E1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 36 a i hvidvaskloven, at den daglige ledelse uden unødigt ophold skal rapportere advarsler om hvidvask eller terrorfinansiering modtaget fra andre, herunder udenlandske myndigheder, eksterne revisorer og konsulenter samt whistleblowere, til virksomhedens øverste ledelsesorgan. Tilsvarende gælder for nøglepersoner, der skal rapportere til den daglige ledelse eller det øverste ledelsesorgan.</w:t>
      </w:r>
    </w:p>
    <w:p w14:paraId="01159086" w14:textId="77777777" w:rsidR="00246E13" w:rsidRPr="00796736" w:rsidRDefault="00246E13" w:rsidP="00A802A5">
      <w:pPr>
        <w:spacing w:line="360" w:lineRule="auto"/>
        <w:rPr>
          <w:rFonts w:ascii="Times New Roman" w:hAnsi="Times New Roman" w:cs="Times New Roman"/>
          <w:sz w:val="24"/>
          <w:szCs w:val="24"/>
        </w:rPr>
      </w:pPr>
    </w:p>
    <w:p w14:paraId="3944B904" w14:textId="5051A5F0" w:rsidR="00164604" w:rsidRPr="00796736" w:rsidRDefault="00164604" w:rsidP="00A802A5">
      <w:pPr>
        <w:pStyle w:val="Overskrift4"/>
        <w:rPr>
          <w:rFonts w:ascii="Times New Roman" w:hAnsi="Times New Roman" w:cs="Times New Roman"/>
          <w:sz w:val="24"/>
          <w:szCs w:val="24"/>
        </w:rPr>
      </w:pPr>
      <w:bookmarkStart w:id="1177" w:name="_Toc232109129"/>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1177"/>
      <w:r w:rsidRPr="00796736">
        <w:rPr>
          <w:rFonts w:ascii="Times New Roman" w:hAnsi="Times New Roman" w:cs="Times New Roman"/>
          <w:sz w:val="24"/>
          <w:szCs w:val="24"/>
        </w:rPr>
        <w:t xml:space="preserve"> </w:t>
      </w:r>
    </w:p>
    <w:p w14:paraId="678619DC" w14:textId="71A34FD7" w:rsidR="00246E13" w:rsidRPr="00796736" w:rsidRDefault="00246E13" w:rsidP="00A802A5">
      <w:pPr>
        <w:spacing w:line="360" w:lineRule="auto"/>
        <w:rPr>
          <w:rFonts w:ascii="Times New Roman" w:hAnsi="Times New Roman" w:cs="Times New Roman"/>
          <w:sz w:val="24"/>
          <w:szCs w:val="24"/>
        </w:rPr>
      </w:pPr>
      <w:bookmarkStart w:id="1178" w:name="_Toc526409505"/>
      <w:bookmarkStart w:id="1179" w:name="_Toc526491404"/>
      <w:bookmarkStart w:id="1180" w:name="_Toc526505516"/>
      <w:bookmarkStart w:id="1181" w:name="_Toc526756608"/>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 har overvejet, om der er behov for at ændre eller præcisere de gældende regler om rapporteringspligt vedrørende advarsler om hvidvask eller terrorfinansiering, som modtages fra eksterne parter såsom udenlandske myndigheder, eksterne revisorer, konsulenter og whistleblowere. Ministeriet har vurderet, at de nuværende regler i hvidvasklovens § 36 a sikrer en tilstrækkelig og klar forpligtelse for både den daglige ledelse og nøglepersoner til at videreformidle relevante advarsler til virksomhedens øverste ledelsesorgan uden unødigt ophold. Det er ministeriets opfattelse, at rapporteringspligten er central for at sikre, at virksomhedens øverste ledelse hurtigt og effektivt kan reagere på potentielle risici for hvidvask eller terrorfinansiering, og at de gældende regler allerede omfatter de relevante situationer og aktører. Ministeriet har derfor ikke fundet anledning til at foreslå ændringer eller udvidelser af rapporteringspligten, men finder det hensigtsmæssigt at videreføre de eksisterende bestemmelser uændret.</w:t>
      </w:r>
    </w:p>
    <w:p w14:paraId="1E9AED48" w14:textId="77777777" w:rsidR="00246E13" w:rsidRPr="00796736" w:rsidRDefault="00246E13" w:rsidP="00A802A5">
      <w:pPr>
        <w:spacing w:line="360" w:lineRule="auto"/>
        <w:rPr>
          <w:rFonts w:ascii="Times New Roman" w:hAnsi="Times New Roman" w:cs="Times New Roman"/>
          <w:sz w:val="24"/>
          <w:szCs w:val="24"/>
        </w:rPr>
      </w:pPr>
    </w:p>
    <w:bookmarkEnd w:id="1178"/>
    <w:bookmarkEnd w:id="1179"/>
    <w:bookmarkEnd w:id="1180"/>
    <w:bookmarkEnd w:id="1181"/>
    <w:p w14:paraId="388DAD43" w14:textId="77777777" w:rsidR="00246E13" w:rsidRPr="00796736" w:rsidRDefault="00246E1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de gældende regler om rapporteringspligt videreføres uændret. Den foreslåede ordning indebærer, at den daglige ledelse og nøglepersoner fortsat har pligt til uden unødigt ophold at rapportere advarsler om hvidvask eller terrorfinansiering modtaget fra andre, herunder fra udenlandske myndigheder, eksterne revisorer og konsulenter samt whistleblowere, til virksomhedens øverste ledelsesorgan. </w:t>
      </w:r>
    </w:p>
    <w:p w14:paraId="41B08BEE" w14:textId="2B4DB447" w:rsidR="003C1A7C" w:rsidRPr="00796736" w:rsidRDefault="00246E13" w:rsidP="00A802A5">
      <w:pPr>
        <w:spacing w:after="240" w:line="360" w:lineRule="auto"/>
        <w:jc w:val="left"/>
        <w:rPr>
          <w:rFonts w:ascii="Times New Roman" w:hAnsi="Times New Roman" w:cs="Times New Roman"/>
          <w:sz w:val="24"/>
          <w:szCs w:val="24"/>
        </w:rPr>
      </w:pPr>
      <w:r w:rsidRPr="00796736">
        <w:rPr>
          <w:rFonts w:ascii="Times New Roman" w:hAnsi="Times New Roman" w:cs="Times New Roman"/>
          <w:sz w:val="24"/>
          <w:szCs w:val="24"/>
        </w:rPr>
        <w:t xml:space="preserve">For nærmere henvises til lovforslagets </w:t>
      </w:r>
      <w:r w:rsidR="00890B25" w:rsidRPr="00796736">
        <w:rPr>
          <w:rFonts w:ascii="Times New Roman" w:hAnsi="Times New Roman" w:cs="Times New Roman"/>
          <w:sz w:val="24"/>
          <w:szCs w:val="24"/>
        </w:rPr>
        <w:fldChar w:fldCharType="begin"/>
      </w:r>
      <w:r w:rsidR="00890B25" w:rsidRPr="00796736">
        <w:rPr>
          <w:rFonts w:ascii="Times New Roman" w:hAnsi="Times New Roman" w:cs="Times New Roman"/>
          <w:sz w:val="24"/>
          <w:szCs w:val="24"/>
        </w:rPr>
        <w:instrText xml:space="preserve"> REF _Ref232596358 \r \h </w:instrText>
      </w:r>
      <w:r w:rsidR="00967618" w:rsidRPr="00796736">
        <w:rPr>
          <w:rFonts w:ascii="Times New Roman" w:hAnsi="Times New Roman" w:cs="Times New Roman"/>
          <w:sz w:val="24"/>
          <w:szCs w:val="24"/>
        </w:rPr>
        <w:instrText xml:space="preserve"> \* MERGEFORMAT </w:instrText>
      </w:r>
      <w:r w:rsidR="00890B25" w:rsidRPr="00796736">
        <w:rPr>
          <w:rFonts w:ascii="Times New Roman" w:hAnsi="Times New Roman" w:cs="Times New Roman"/>
          <w:sz w:val="24"/>
          <w:szCs w:val="24"/>
        </w:rPr>
      </w:r>
      <w:r w:rsidR="00890B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35</w:t>
      </w:r>
      <w:r w:rsidR="00890B25" w:rsidRPr="00796736">
        <w:rPr>
          <w:rFonts w:ascii="Times New Roman" w:hAnsi="Times New Roman" w:cs="Times New Roman"/>
          <w:sz w:val="24"/>
          <w:szCs w:val="24"/>
        </w:rPr>
        <w:fldChar w:fldCharType="end"/>
      </w:r>
      <w:r w:rsidR="00890B25"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2CF4FD3B" w14:textId="1B0A2E17" w:rsidR="003C1A7C" w:rsidRPr="00796736" w:rsidRDefault="00A47042" w:rsidP="00A802A5">
      <w:pPr>
        <w:pStyle w:val="Overskrift2"/>
        <w:rPr>
          <w:rFonts w:ascii="Times New Roman" w:hAnsi="Times New Roman"/>
          <w:sz w:val="24"/>
        </w:rPr>
      </w:pPr>
      <w:bookmarkStart w:id="1182" w:name="_Ref244811408"/>
      <w:bookmarkStart w:id="1183" w:name="_Toc232109130"/>
      <w:bookmarkStart w:id="1184" w:name="_Ref232946546"/>
      <w:bookmarkStart w:id="1185" w:name="_Toc244880752"/>
      <w:r w:rsidRPr="00796736">
        <w:rPr>
          <w:rFonts w:ascii="Times New Roman" w:hAnsi="Times New Roman"/>
          <w:sz w:val="24"/>
        </w:rPr>
        <w:t>Pengeinstitutters behandling af advokaters sameklientkonti</w:t>
      </w:r>
      <w:bookmarkEnd w:id="1182"/>
      <w:bookmarkEnd w:id="1185"/>
      <w:r w:rsidRPr="00796736">
        <w:rPr>
          <w:rFonts w:ascii="Times New Roman" w:hAnsi="Times New Roman"/>
          <w:sz w:val="24"/>
        </w:rPr>
        <w:t xml:space="preserve"> </w:t>
      </w:r>
      <w:bookmarkEnd w:id="1183"/>
      <w:bookmarkEnd w:id="1184"/>
      <w:r w:rsidR="006519AD" w:rsidRPr="00796736">
        <w:rPr>
          <w:rFonts w:ascii="Times New Roman" w:hAnsi="Times New Roman"/>
          <w:sz w:val="24"/>
        </w:rPr>
        <w:t xml:space="preserve"> </w:t>
      </w:r>
    </w:p>
    <w:p w14:paraId="5E321C36" w14:textId="73DEC55F" w:rsidR="00834BAA" w:rsidRPr="00834BAA" w:rsidRDefault="003C1A7C" w:rsidP="00834BAA">
      <w:pPr>
        <w:pStyle w:val="Overskrift4"/>
        <w:rPr>
          <w:rFonts w:ascii="Times New Roman" w:hAnsi="Times New Roman" w:cs="Times New Roman"/>
          <w:sz w:val="24"/>
          <w:szCs w:val="24"/>
        </w:rPr>
      </w:pPr>
      <w:bookmarkStart w:id="1186" w:name="_Toc232109131"/>
      <w:bookmarkStart w:id="1187" w:name="_Ref236736948"/>
      <w:bookmarkStart w:id="1188" w:name="_Ref244811767"/>
      <w:bookmarkStart w:id="1189" w:name="_Ref244849614"/>
      <w:bookmarkStart w:id="1190" w:name="_Ref244849649"/>
      <w:bookmarkStart w:id="1191" w:name="_Ref244849886"/>
      <w:r w:rsidRPr="00796736">
        <w:rPr>
          <w:rFonts w:ascii="Times New Roman" w:hAnsi="Times New Roman" w:cs="Times New Roman"/>
          <w:sz w:val="24"/>
          <w:szCs w:val="24"/>
        </w:rPr>
        <w:t>Gældende ret</w:t>
      </w:r>
      <w:bookmarkEnd w:id="1186"/>
      <w:bookmarkEnd w:id="1187"/>
      <w:bookmarkEnd w:id="1188"/>
      <w:bookmarkEnd w:id="1189"/>
      <w:bookmarkEnd w:id="1190"/>
      <w:bookmarkEnd w:id="1191"/>
    </w:p>
    <w:p w14:paraId="59F8E388" w14:textId="65C4068D" w:rsidR="00A47042" w:rsidRPr="00267A20" w:rsidRDefault="00A47042" w:rsidP="00267A20">
      <w:pPr>
        <w:pStyle w:val="Overskrift5"/>
      </w:pPr>
      <w:bookmarkStart w:id="1192" w:name="_Ref236655625"/>
      <w:r w:rsidRPr="00267A20">
        <w:t>Hvidvaskloven og retsplejeloven</w:t>
      </w:r>
      <w:bookmarkEnd w:id="1192"/>
    </w:p>
    <w:p w14:paraId="27F23A26"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Hvidvasklovens § 38 b fastsætter regler for advokaters behandling af midler på en samleklientbankkonto med hensyn til indhentelse og kontrol af klienters identitetsoplysninger og videregivelse af oplysningerne til pengeinstitutterne af hensyn til kravene til pengeinstitutternes kundekendskabsprocedurer efter hvidvaskreguleringen og sanktionsregimet. Bestemmelsen blev indsat i hvidvaskloven ved lov nr. 712 af 20. juni 2025 og blev før sin ikrafttrædelse ved lov nr. 1638 af 16. december 2025 nyaffattet med henblik på en præcisering af, hvilke oplysninger som skulle indhentes ved klienter, som er juridiske personer. </w:t>
      </w:r>
    </w:p>
    <w:p w14:paraId="12AD9DCC" w14:textId="77777777" w:rsidR="00BE7C05" w:rsidRPr="00A4589A" w:rsidRDefault="00BE7C05" w:rsidP="00BE7C05">
      <w:pPr>
        <w:spacing w:line="360" w:lineRule="auto"/>
        <w:rPr>
          <w:rFonts w:ascii="Times New Roman" w:eastAsia="Calibri" w:hAnsi="Times New Roman" w:cs="Times New Roman"/>
          <w:sz w:val="24"/>
          <w:szCs w:val="24"/>
        </w:rPr>
      </w:pPr>
    </w:p>
    <w:p w14:paraId="298B545B"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Hvidvaskloven indeholder i kapitel 3 en række regler om, hvornår virksomheder og personer omfattet af loven skal gennemføre såkaldte kundekendskabsprocedurer. Forpligtelsen til at foretage kundekendskabsprocedurer skal iagttages fra etableringen af en forretningsforbindelse med en kunde og gennem hele forretningsforbindelsens forløb. Kundekendskabsprocedurer omfatter bl.a., at virksomheden eller personen skal indhente og kontrollere kundens identitet, jf. hvidvasklovens § 11, stk. 1, nr. 1 og 2. I den forbindelse skal der bl.a. indhentes identitetsoplysninger på den eller de reelle ejere, jf. nærmere herom umiddelbart nedenfor, og gennemføres rimelige foranstaltninger for at kontrollere den eller de reelle ejeres identitet, således at virksomheden eller personen med sikkerhed ved, hvem den eller de reelle ejere er, jf. hvidvasklovens § 11, stk. 1, nr. 3.</w:t>
      </w:r>
    </w:p>
    <w:p w14:paraId="612FF834" w14:textId="77777777" w:rsidR="00BE7C05" w:rsidRPr="00A4589A" w:rsidRDefault="00BE7C05" w:rsidP="00BE7C05">
      <w:pPr>
        <w:spacing w:line="360" w:lineRule="auto"/>
        <w:rPr>
          <w:rFonts w:ascii="Times New Roman" w:eastAsia="Calibri" w:hAnsi="Times New Roman" w:cs="Times New Roman"/>
          <w:sz w:val="24"/>
          <w:szCs w:val="24"/>
        </w:rPr>
      </w:pPr>
    </w:p>
    <w:p w14:paraId="0851D83B"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Reglerne har til formål at sikre, at de af hvidvaskloven omfattede virksomheder og personer har kendskab til deres kunder. Kendskabet til den enkelte kunde skal baseres på en risikovurdering af kunden ud fra oplysninger om bl.a. forretningsforbindelsens formål, omfang og regelmæssighed, jf. hvidvasklovens § 11, stk. 3. Virksomheden eller personen skal kunne godtgøre, at kendskabet til kunden er tilstrækkeligt i forhold til risikoen for hvidvask og finansiering af terrorisme, jf. hvidvasklovens § 11, stk. 4.</w:t>
      </w:r>
    </w:p>
    <w:p w14:paraId="46E11425" w14:textId="77777777" w:rsidR="00BE7C05" w:rsidRPr="00A4589A" w:rsidRDefault="00BE7C05" w:rsidP="00BE7C05">
      <w:pPr>
        <w:spacing w:line="360" w:lineRule="auto"/>
        <w:rPr>
          <w:rFonts w:ascii="Times New Roman" w:eastAsia="Calibri" w:hAnsi="Times New Roman" w:cs="Times New Roman"/>
          <w:sz w:val="24"/>
          <w:szCs w:val="24"/>
        </w:rPr>
      </w:pPr>
    </w:p>
    <w:p w14:paraId="43CE9892"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Identitetsoplysninger, der skal indhentes efter hvidvasklovens § 11, stk. 1, nr. 3, skal for fysiske personer omfatte navn og CPR-nr. el.lign., og hvis den pågældende ikke har et CPR-nr. el.lign., skal identitetsoplysninger omfatte fødselsdato, jf. § 11, stk. 1, nr. 1, litra a.</w:t>
      </w:r>
    </w:p>
    <w:p w14:paraId="67BFFDAA" w14:textId="77777777" w:rsidR="00BE7C05" w:rsidRPr="00A4589A" w:rsidRDefault="00BE7C05" w:rsidP="00BE7C05">
      <w:pPr>
        <w:spacing w:line="360" w:lineRule="auto"/>
        <w:rPr>
          <w:rFonts w:ascii="Times New Roman" w:eastAsia="Calibri" w:hAnsi="Times New Roman" w:cs="Times New Roman"/>
          <w:sz w:val="24"/>
          <w:szCs w:val="24"/>
        </w:rPr>
      </w:pPr>
    </w:p>
    <w:p w14:paraId="4B7360C9"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Af bemærkningerne til § 11, stk. 1, nr. 1, litra a, i forslag til lov om forebyggende foranstaltninger mod hvidvask og finansiering af terrorisme (Hvidvaskloven), jf. Folketingstidende 2016-17, tillæg A, L 41 som fremsat, side 99, fremgår det bl.a., at for personer, der ikke er hjemmehørende i Danmark, kan et alternativ til CPR-nr. f.eks. være et lignende nationalt id-nummer eller, hvis et sådan ikke haves, oplysning om fødselsdato. Såfremt virksomheden eller personen anvender en kundes nationale id-nummer, er det væsentligt, at denne sikrer, at der er tale om et unikt nummer, og at nummeret er varigt eller i hvert fald kundens aktive nationale nummer, idet det i enkelte lande er muligt at få et nyt nationalt id-nummer. Fødselsdato kan alene anvendes i det relativt sjældne tilfælde, hvor der ikke i øvrigt foreligger et unikt nummer.</w:t>
      </w:r>
    </w:p>
    <w:p w14:paraId="2454ECCB" w14:textId="77777777" w:rsidR="00BE7C05" w:rsidRPr="00A4589A" w:rsidRDefault="00BE7C05" w:rsidP="00BE7C05">
      <w:pPr>
        <w:spacing w:line="360" w:lineRule="auto"/>
        <w:rPr>
          <w:rFonts w:ascii="Times New Roman" w:eastAsia="Calibri" w:hAnsi="Times New Roman" w:cs="Times New Roman"/>
          <w:sz w:val="24"/>
          <w:szCs w:val="24"/>
        </w:rPr>
      </w:pPr>
    </w:p>
    <w:p w14:paraId="690CDF31"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 relation til advokaters samleklientbankkonti betyder det, at pengeinstitutter skal gennemføre tilstrækkelige kundekendskabsprocedurer ud fra en risikovurdering af advokaten, som er pengeinstituttets kunde, og bl.a. kende advokatens forretningsmodel og normale transaktionsmønstre. Pengeinstitutterne er herudover forpligtet til at holde øje med og undersøge mistænkelige transaktioner på alle kontotyper, herunder også samleklientbankkonti, og omgående underrette Hvidvasksekretariatet ved en formodning eller mistanke om, at en transaktion eller midler har tilknytning til hvidvask eller terrorfinansiering, jf. hvidvasklovens § 26, stk. 1.</w:t>
      </w:r>
    </w:p>
    <w:p w14:paraId="2DDB4487" w14:textId="77777777" w:rsidR="00BE7C05" w:rsidRPr="00A4589A" w:rsidRDefault="00BE7C05" w:rsidP="00BE7C05">
      <w:pPr>
        <w:spacing w:line="360" w:lineRule="auto"/>
        <w:rPr>
          <w:rFonts w:ascii="Times New Roman" w:eastAsia="Calibri" w:hAnsi="Times New Roman" w:cs="Times New Roman"/>
          <w:sz w:val="24"/>
          <w:szCs w:val="24"/>
        </w:rPr>
      </w:pPr>
    </w:p>
    <w:p w14:paraId="4FE0ADD5"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 hvidvaskloven defineres reelle ejere som den eller de fysiske personer, der i sidste ende ejer eller kontrollerer en kunde, eller den eller de fysiske personer, på hvis vegne en transaktion eller aktivitet gennemføres, jf. hvidvasklovens § 2, nr. 9. I bemærkningerne til bestemmelsen i forslag til lov om forebyggende foranstaltninger mod hvidvask og finansiering af terrorisme (Hvidvaskloven), jf. Folketingstidende 2016-17, tillæg A, L 41 som fremsat, side 77, fremgår det bl.a. videre, at ved f.eks. en advokats samleklientbankkonto vil klienten blive betragtet som reel ejer af midlerne på kontoen, da klienten er den fysiske person, på hvis vegne en transaktion eller aktivitet gennemføres. Det er i den forbindelse ikke afgørende, hvor stor en del af det samlede indestående klienten repræsenterer på en samleklientbankkonto. Er der flere klienter, bliver de alle betragtet som reelle ejere.</w:t>
      </w:r>
    </w:p>
    <w:p w14:paraId="7979A675" w14:textId="77777777" w:rsidR="00BE7C05" w:rsidRPr="00A4589A" w:rsidRDefault="00BE7C05" w:rsidP="00BE7C05">
      <w:pPr>
        <w:spacing w:line="360" w:lineRule="auto"/>
        <w:rPr>
          <w:rFonts w:ascii="Times New Roman" w:eastAsia="Calibri" w:hAnsi="Times New Roman" w:cs="Times New Roman"/>
          <w:sz w:val="24"/>
          <w:szCs w:val="24"/>
        </w:rPr>
      </w:pPr>
    </w:p>
    <w:p w14:paraId="4AF3CDCA"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betyder, at der skal indhentes identitetsoplysninger på klienterne (den eller de reelle ejere) og gennemføres rimelige foranstaltninger for at kontrollere deres identitet, så pengeinstituttet med sikkerhed ved, hvem den eller de reelle ejere er.</w:t>
      </w:r>
    </w:p>
    <w:p w14:paraId="062A9ED2" w14:textId="77777777" w:rsidR="00BE7C05" w:rsidRPr="00A4589A" w:rsidRDefault="00BE7C05" w:rsidP="00BE7C05">
      <w:pPr>
        <w:spacing w:line="360" w:lineRule="auto"/>
        <w:rPr>
          <w:rFonts w:ascii="Times New Roman" w:eastAsia="Calibri" w:hAnsi="Times New Roman" w:cs="Times New Roman"/>
          <w:sz w:val="24"/>
          <w:szCs w:val="24"/>
        </w:rPr>
      </w:pPr>
    </w:p>
    <w:p w14:paraId="2C1B8900"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fremgår af hvidvasklovens § 1, stk. 1, nr. 13, at hvidvaskloven finder anvendelse på advokater,</w:t>
      </w:r>
    </w:p>
    <w:tbl>
      <w:tblPr>
        <w:tblW w:w="0" w:type="auto"/>
        <w:tblCellMar>
          <w:left w:w="0" w:type="dxa"/>
          <w:right w:w="0" w:type="dxa"/>
        </w:tblCellMar>
        <w:tblLook w:val="04A0" w:firstRow="1" w:lastRow="0" w:firstColumn="1" w:lastColumn="0" w:noHBand="0" w:noVBand="1"/>
      </w:tblPr>
      <w:tblGrid>
        <w:gridCol w:w="7228"/>
      </w:tblGrid>
      <w:tr w:rsidR="00BE7C05" w:rsidRPr="00A4589A" w14:paraId="18A46755" w14:textId="77777777" w:rsidTr="00E07004">
        <w:tc>
          <w:tcPr>
            <w:tcW w:w="0" w:type="auto"/>
            <w:tcBorders>
              <w:top w:val="nil"/>
              <w:left w:val="nil"/>
              <w:bottom w:val="nil"/>
              <w:right w:val="nil"/>
            </w:tcBorders>
            <w:hideMark/>
          </w:tcPr>
          <w:tbl>
            <w:tblPr>
              <w:tblW w:w="9105" w:type="dxa"/>
              <w:tblCellMar>
                <w:top w:w="15" w:type="dxa"/>
                <w:left w:w="15" w:type="dxa"/>
                <w:bottom w:w="15" w:type="dxa"/>
                <w:right w:w="15" w:type="dxa"/>
              </w:tblCellMar>
              <w:tblLook w:val="04A0" w:firstRow="1" w:lastRow="0" w:firstColumn="1" w:lastColumn="0" w:noHBand="0" w:noVBand="1"/>
            </w:tblPr>
            <w:tblGrid>
              <w:gridCol w:w="426"/>
              <w:gridCol w:w="8679"/>
            </w:tblGrid>
            <w:tr w:rsidR="00BE7C05" w:rsidRPr="00A4589A" w14:paraId="0F438CB5" w14:textId="77777777" w:rsidTr="00E07004">
              <w:tc>
                <w:tcPr>
                  <w:tcW w:w="0" w:type="auto"/>
                  <w:tcBorders>
                    <w:top w:val="nil"/>
                    <w:left w:val="nil"/>
                    <w:bottom w:val="nil"/>
                    <w:right w:val="nil"/>
                  </w:tcBorders>
                  <w:tcMar>
                    <w:top w:w="113" w:type="dxa"/>
                    <w:left w:w="113" w:type="dxa"/>
                    <w:bottom w:w="113" w:type="dxa"/>
                    <w:right w:w="113" w:type="dxa"/>
                  </w:tcMar>
                  <w:hideMark/>
                </w:tcPr>
                <w:p w14:paraId="37638D02"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a)</w:t>
                  </w:r>
                </w:p>
              </w:tc>
              <w:tc>
                <w:tcPr>
                  <w:tcW w:w="0" w:type="auto"/>
                  <w:tcBorders>
                    <w:top w:val="nil"/>
                    <w:left w:val="nil"/>
                    <w:bottom w:val="nil"/>
                    <w:right w:val="nil"/>
                  </w:tcBorders>
                  <w:tcMar>
                    <w:top w:w="113" w:type="dxa"/>
                    <w:left w:w="113" w:type="dxa"/>
                    <w:bottom w:w="113" w:type="dxa"/>
                    <w:right w:w="113" w:type="dxa"/>
                  </w:tcMar>
                  <w:hideMark/>
                </w:tcPr>
                <w:p w14:paraId="01254E90"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når de yder bistand ved rådgivning om eller udførelse af transaktioner for deres klienter i forbindelse med</w:t>
                  </w:r>
                </w:p>
              </w:tc>
            </w:tr>
            <w:tr w:rsidR="00BE7C05" w:rsidRPr="00A4589A" w14:paraId="0D04EE77" w14:textId="77777777" w:rsidTr="00E07004">
              <w:tc>
                <w:tcPr>
                  <w:tcW w:w="0" w:type="auto"/>
                  <w:tcBorders>
                    <w:top w:val="nil"/>
                    <w:left w:val="nil"/>
                    <w:bottom w:val="nil"/>
                    <w:right w:val="nil"/>
                  </w:tcBorders>
                  <w:tcMar>
                    <w:top w:w="113" w:type="dxa"/>
                    <w:left w:w="113" w:type="dxa"/>
                    <w:bottom w:w="113" w:type="dxa"/>
                    <w:right w:w="113" w:type="dxa"/>
                  </w:tcMar>
                  <w:hideMark/>
                </w:tcPr>
                <w:p w14:paraId="2D79BD8B"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w:t>
                  </w:r>
                </w:p>
              </w:tc>
              <w:tc>
                <w:tcPr>
                  <w:tcW w:w="0" w:type="auto"/>
                  <w:tcBorders>
                    <w:top w:val="nil"/>
                    <w:left w:val="nil"/>
                    <w:bottom w:val="nil"/>
                    <w:right w:val="nil"/>
                  </w:tcBorders>
                  <w:tcMar>
                    <w:top w:w="113" w:type="dxa"/>
                    <w:left w:w="113" w:type="dxa"/>
                    <w:bottom w:w="113" w:type="dxa"/>
                    <w:right w:w="113" w:type="dxa"/>
                  </w:tcMar>
                  <w:hideMark/>
                </w:tcPr>
                <w:p w14:paraId="32694EE8"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 køb og salg af fast ejendom eller virksomheder,</w:t>
                  </w:r>
                </w:p>
              </w:tc>
            </w:tr>
            <w:tr w:rsidR="00BE7C05" w:rsidRPr="00A4589A" w14:paraId="668990E5" w14:textId="77777777" w:rsidTr="00E07004">
              <w:tc>
                <w:tcPr>
                  <w:tcW w:w="0" w:type="auto"/>
                  <w:tcBorders>
                    <w:top w:val="nil"/>
                    <w:left w:val="nil"/>
                    <w:bottom w:val="nil"/>
                    <w:right w:val="nil"/>
                  </w:tcBorders>
                  <w:tcMar>
                    <w:top w:w="113" w:type="dxa"/>
                    <w:left w:w="113" w:type="dxa"/>
                    <w:bottom w:w="113" w:type="dxa"/>
                    <w:right w:w="113" w:type="dxa"/>
                  </w:tcMar>
                  <w:hideMark/>
                </w:tcPr>
                <w:p w14:paraId="113D14B3"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w:t>
                  </w:r>
                </w:p>
              </w:tc>
              <w:tc>
                <w:tcPr>
                  <w:tcW w:w="0" w:type="auto"/>
                  <w:tcBorders>
                    <w:top w:val="nil"/>
                    <w:left w:val="nil"/>
                    <w:bottom w:val="nil"/>
                    <w:right w:val="nil"/>
                  </w:tcBorders>
                  <w:tcMar>
                    <w:top w:w="113" w:type="dxa"/>
                    <w:left w:w="113" w:type="dxa"/>
                    <w:bottom w:w="113" w:type="dxa"/>
                    <w:right w:w="113" w:type="dxa"/>
                  </w:tcMar>
                  <w:hideMark/>
                </w:tcPr>
                <w:p w14:paraId="6F4FE177"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ii) forvaltning af klienters penge, værdipapirer eller andre aktiver,</w:t>
                  </w:r>
                </w:p>
              </w:tc>
            </w:tr>
            <w:tr w:rsidR="00BE7C05" w:rsidRPr="00A4589A" w14:paraId="588E0272" w14:textId="77777777" w:rsidTr="00E07004">
              <w:tc>
                <w:tcPr>
                  <w:tcW w:w="0" w:type="auto"/>
                  <w:tcBorders>
                    <w:top w:val="nil"/>
                    <w:left w:val="nil"/>
                    <w:bottom w:val="nil"/>
                    <w:right w:val="nil"/>
                  </w:tcBorders>
                  <w:tcMar>
                    <w:top w:w="113" w:type="dxa"/>
                    <w:left w:w="113" w:type="dxa"/>
                    <w:bottom w:w="113" w:type="dxa"/>
                    <w:right w:w="113" w:type="dxa"/>
                  </w:tcMar>
                  <w:hideMark/>
                </w:tcPr>
                <w:p w14:paraId="468890C2"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w:t>
                  </w:r>
                </w:p>
              </w:tc>
              <w:tc>
                <w:tcPr>
                  <w:tcW w:w="0" w:type="auto"/>
                  <w:tcBorders>
                    <w:top w:val="nil"/>
                    <w:left w:val="nil"/>
                    <w:bottom w:val="nil"/>
                    <w:right w:val="nil"/>
                  </w:tcBorders>
                  <w:tcMar>
                    <w:top w:w="113" w:type="dxa"/>
                    <w:left w:w="113" w:type="dxa"/>
                    <w:bottom w:w="113" w:type="dxa"/>
                    <w:right w:w="113" w:type="dxa"/>
                  </w:tcMar>
                  <w:hideMark/>
                </w:tcPr>
                <w:p w14:paraId="00264E14"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iii) åbning eller forvaltning af bankkonti eller værdipapirdepoter,</w:t>
                  </w:r>
                </w:p>
              </w:tc>
            </w:tr>
            <w:tr w:rsidR="00BE7C05" w:rsidRPr="00A4589A" w14:paraId="117F6D74" w14:textId="77777777" w:rsidTr="00E07004">
              <w:tc>
                <w:tcPr>
                  <w:tcW w:w="0" w:type="auto"/>
                  <w:tcBorders>
                    <w:top w:val="nil"/>
                    <w:left w:val="nil"/>
                    <w:bottom w:val="nil"/>
                    <w:right w:val="nil"/>
                  </w:tcBorders>
                  <w:tcMar>
                    <w:top w:w="113" w:type="dxa"/>
                    <w:left w:w="113" w:type="dxa"/>
                    <w:bottom w:w="113" w:type="dxa"/>
                    <w:right w:w="113" w:type="dxa"/>
                  </w:tcMar>
                  <w:hideMark/>
                </w:tcPr>
                <w:p w14:paraId="5B00BD8F"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w:t>
                  </w:r>
                </w:p>
              </w:tc>
              <w:tc>
                <w:tcPr>
                  <w:tcW w:w="0" w:type="auto"/>
                  <w:tcBorders>
                    <w:top w:val="nil"/>
                    <w:left w:val="nil"/>
                    <w:bottom w:val="nil"/>
                    <w:right w:val="nil"/>
                  </w:tcBorders>
                  <w:tcMar>
                    <w:top w:w="113" w:type="dxa"/>
                    <w:left w:w="113" w:type="dxa"/>
                    <w:bottom w:w="113" w:type="dxa"/>
                    <w:right w:w="113" w:type="dxa"/>
                  </w:tcMar>
                  <w:hideMark/>
                </w:tcPr>
                <w:p w14:paraId="4674FFA0"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iv) tilvejebringelse af nødvendig kapital til oprettelse, drift eller ledelse af virksomheder eller</w:t>
                  </w:r>
                </w:p>
              </w:tc>
            </w:tr>
            <w:tr w:rsidR="00BE7C05" w:rsidRPr="00A4589A" w14:paraId="4154BCAC" w14:textId="77777777" w:rsidTr="00E07004">
              <w:tc>
                <w:tcPr>
                  <w:tcW w:w="0" w:type="auto"/>
                  <w:tcBorders>
                    <w:top w:val="nil"/>
                    <w:left w:val="nil"/>
                    <w:bottom w:val="nil"/>
                    <w:right w:val="nil"/>
                  </w:tcBorders>
                  <w:tcMar>
                    <w:top w:w="113" w:type="dxa"/>
                    <w:left w:w="113" w:type="dxa"/>
                    <w:bottom w:w="113" w:type="dxa"/>
                    <w:right w:w="113" w:type="dxa"/>
                  </w:tcMar>
                  <w:hideMark/>
                </w:tcPr>
                <w:p w14:paraId="6096A3D3"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w:t>
                  </w:r>
                </w:p>
              </w:tc>
              <w:tc>
                <w:tcPr>
                  <w:tcW w:w="0" w:type="auto"/>
                  <w:tcBorders>
                    <w:top w:val="nil"/>
                    <w:left w:val="nil"/>
                    <w:bottom w:val="nil"/>
                    <w:right w:val="nil"/>
                  </w:tcBorders>
                  <w:tcMar>
                    <w:top w:w="113" w:type="dxa"/>
                    <w:left w:w="113" w:type="dxa"/>
                    <w:bottom w:w="113" w:type="dxa"/>
                    <w:right w:w="113" w:type="dxa"/>
                  </w:tcMar>
                  <w:hideMark/>
                </w:tcPr>
                <w:p w14:paraId="0E17C7B2"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v) oprettelse, drift eller ledelse af virksomheder, fonde m.v., eller</w:t>
                  </w:r>
                </w:p>
              </w:tc>
            </w:tr>
            <w:tr w:rsidR="00BE7C05" w:rsidRPr="00A4589A" w14:paraId="04F602D4" w14:textId="77777777" w:rsidTr="00E07004">
              <w:tc>
                <w:tcPr>
                  <w:tcW w:w="0" w:type="auto"/>
                  <w:tcBorders>
                    <w:top w:val="nil"/>
                    <w:left w:val="nil"/>
                    <w:bottom w:val="nil"/>
                    <w:right w:val="nil"/>
                  </w:tcBorders>
                  <w:tcMar>
                    <w:top w:w="113" w:type="dxa"/>
                    <w:left w:w="113" w:type="dxa"/>
                    <w:bottom w:w="113" w:type="dxa"/>
                    <w:right w:w="113" w:type="dxa"/>
                  </w:tcMar>
                  <w:hideMark/>
                </w:tcPr>
                <w:p w14:paraId="6AD6F77C"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b)</w:t>
                  </w:r>
                </w:p>
              </w:tc>
              <w:tc>
                <w:tcPr>
                  <w:tcW w:w="0" w:type="auto"/>
                  <w:tcBorders>
                    <w:top w:val="nil"/>
                    <w:left w:val="nil"/>
                    <w:bottom w:val="nil"/>
                    <w:right w:val="nil"/>
                  </w:tcBorders>
                  <w:tcMar>
                    <w:top w:w="113" w:type="dxa"/>
                    <w:left w:w="113" w:type="dxa"/>
                    <w:bottom w:w="113" w:type="dxa"/>
                    <w:right w:w="113" w:type="dxa"/>
                  </w:tcMar>
                  <w:hideMark/>
                </w:tcPr>
                <w:p w14:paraId="53E14A8E" w14:textId="77777777" w:rsidR="00BE7C05" w:rsidRPr="00A4589A" w:rsidRDefault="00BE7C05" w:rsidP="00E07004">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når de på en klients vegne og for dennes regning foretager en finansiel transaktion eller en transaktion vedrørende fast ejendom.</w:t>
                  </w:r>
                </w:p>
              </w:tc>
            </w:tr>
          </w:tbl>
          <w:p w14:paraId="6CD73F4D" w14:textId="77777777" w:rsidR="00BE7C05" w:rsidRPr="00A4589A" w:rsidRDefault="00BE7C05" w:rsidP="00E07004">
            <w:pPr>
              <w:spacing w:line="360" w:lineRule="auto"/>
              <w:rPr>
                <w:rFonts w:ascii="Times New Roman" w:eastAsia="Calibri" w:hAnsi="Times New Roman" w:cs="Times New Roman"/>
                <w:sz w:val="24"/>
                <w:szCs w:val="24"/>
              </w:rPr>
            </w:pPr>
          </w:p>
        </w:tc>
      </w:tr>
    </w:tbl>
    <w:p w14:paraId="761CF32E" w14:textId="77777777" w:rsidR="00BE7C05" w:rsidRPr="00A4589A" w:rsidRDefault="00BE7C05" w:rsidP="00BE7C05">
      <w:pPr>
        <w:spacing w:line="360" w:lineRule="auto"/>
        <w:rPr>
          <w:rFonts w:ascii="Times New Roman" w:eastAsia="Calibri" w:hAnsi="Times New Roman" w:cs="Times New Roman"/>
          <w:sz w:val="24"/>
          <w:szCs w:val="24"/>
        </w:rPr>
      </w:pPr>
    </w:p>
    <w:p w14:paraId="4FAA1A9B"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Advokater er således ikke omfattet af hvidvaskloven med hele deres virksomhed, men kun i det omfang de udfører de opregnede typer af bistand m.v. Advokaters bistand med f.eks. udførelse af retssager og inkassosager falder således uden for hvidvasklovens område.</w:t>
      </w:r>
    </w:p>
    <w:p w14:paraId="4BCB7F8E" w14:textId="77777777" w:rsidR="00BE7C05" w:rsidRPr="00A4589A" w:rsidRDefault="00BE7C05" w:rsidP="00BE7C05">
      <w:pPr>
        <w:spacing w:line="360" w:lineRule="auto"/>
        <w:rPr>
          <w:rFonts w:ascii="Times New Roman" w:eastAsia="Calibri" w:hAnsi="Times New Roman" w:cs="Times New Roman"/>
          <w:sz w:val="24"/>
          <w:szCs w:val="24"/>
        </w:rPr>
      </w:pPr>
    </w:p>
    <w:p w14:paraId="58E93CDB"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Af hvidvasklovens § 26, stk. 1, fremgår det, at virksomheder og personer omgående skal underrette Hvidvasksekretariatet ved bl.a. mistanke om, at en transaktion, midler eller en aktivitet har eller har haft tilknytning til hvidvask eller finansiering af terrorisme. Efter stk. 2, kan medlemmer af Advokatsamfundet i tilfælde af mistanke underrette sekretariatet for Advokatsamfundet, der efter en vurdering af, om der er underretningspligt i henhold til stk. 1, omgående og uredigeret skal videregive underretningen til Hvidvasksekretariatet.</w:t>
      </w:r>
    </w:p>
    <w:p w14:paraId="06D08856" w14:textId="77777777" w:rsidR="00BE7C05" w:rsidRPr="00A4589A" w:rsidRDefault="00BE7C05" w:rsidP="00BE7C05">
      <w:pPr>
        <w:spacing w:line="360" w:lineRule="auto"/>
        <w:rPr>
          <w:rFonts w:ascii="Times New Roman" w:eastAsia="Calibri" w:hAnsi="Times New Roman" w:cs="Times New Roman"/>
          <w:sz w:val="24"/>
          <w:szCs w:val="24"/>
        </w:rPr>
      </w:pPr>
    </w:p>
    <w:p w14:paraId="090AF881"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Dog fremgår det af hvidvasklovens § 27, stk. 1, der gennemfører artikel 14, stk. 4, afsnit 2, i Europa-Parlamentets og Rådets direktiv 2015/849/EU af 20. maj 2015 om forebyggende foranstaltninger mod anvendelse af det finansielle system til hvidvask af penge eller finansiering af terrorisme (4. hvidvaskdirektiv), at advokater er undtaget fra pligten i § 26 til at foretage underretning på baggrund af oplysninger, som disse modtager fra eller indhenter om en klient, i forbindelse med at advokaten fastslår den pågældende klients retsstilling eller forsvarer eller repræsenterer denne under eller i forbindelse med en retssag, herunder rådgiver om at indlede eller undgå et sagsanlæg. Dette gælder endvidere sager, der føres i Landsskatteretten, og sager ved en voldgiftsret. Undtagelserne gælder, uanset om oplysningerne modtages før, under eller efter retssagen eller sagen, eller i forbindelse med at den pågældende klients retsstilling fastslås.</w:t>
      </w:r>
    </w:p>
    <w:p w14:paraId="04EC1541" w14:textId="77777777" w:rsidR="00BE7C05" w:rsidRPr="00A4589A" w:rsidRDefault="00BE7C05" w:rsidP="00BE7C05">
      <w:pPr>
        <w:spacing w:line="360" w:lineRule="auto"/>
        <w:rPr>
          <w:rFonts w:ascii="Times New Roman" w:eastAsia="Calibri" w:hAnsi="Times New Roman" w:cs="Times New Roman"/>
          <w:sz w:val="24"/>
          <w:szCs w:val="24"/>
        </w:rPr>
      </w:pPr>
    </w:p>
    <w:p w14:paraId="6FF80E6A"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Baggrunden for denne undtagelse er, at en advokat er underlagt tavshedspligt vedrørende oplysninger, som er kommet til vedkommendes kundskab under udførelsen af sit hverv.</w:t>
      </w:r>
    </w:p>
    <w:p w14:paraId="1A4DF45E" w14:textId="77777777" w:rsidR="00BE7C05" w:rsidRPr="00A4589A" w:rsidRDefault="00BE7C05" w:rsidP="00BE7C05">
      <w:pPr>
        <w:spacing w:line="360" w:lineRule="auto"/>
        <w:rPr>
          <w:rFonts w:ascii="Times New Roman" w:eastAsia="Calibri" w:hAnsi="Times New Roman" w:cs="Times New Roman"/>
          <w:sz w:val="24"/>
          <w:szCs w:val="24"/>
        </w:rPr>
      </w:pPr>
    </w:p>
    <w:p w14:paraId="3BA4775E"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Ved lov nr. 1638 af 16. december 2025 blev hvidvasklovens § 38 b ændret med henblik på at præcisere hvem advokaterne nærmere vil skulle indhente identitetsoplysninger på, og hvad identitetsoplysningerne vil skulle omfatte, i de tilfælde, hvor advokaternes klienter er juridiske personer. Det fremgår af bemærkningerne til lovændringen, at kundekendskabskravet i hvidvasklovens § 11, stk. 1, nr. 3, efter Erhvervsministeriets og Justitsministeriets opfattelse på baggrund af et fortolkningsbidrag fra EU-Kommissionen ikke kan udstrækkes til, at pengeinstitutterne – når advokatens klient er en juridisk person – skal have kendskab til den eller de reelle ejere af den juridiske person. Det vurderes, at det i disse tilfælde er tilstrækkeligt, at pengeinstitutterne kender identiteten på den juridiske person, og at der således kun bør stilles krav om, at der indhentes identitetsoplysninger på den juridiske person. I de tilfælde, hvor advokatens klient er en juridisk person, vil de oplysninger, som advokaten skal indhente, være sammenfaldende med identitetsoplysningerne nævnt i hvidvasklovens § 11, stk. 1, nr. 1, litra b, jf. Folketingstidende 2025-26, 1. samling, tillæg A, L 12 som fremsat, side 32 ff. og 93. Identitetsoplysninger skal dermed omfatte navn og cvr-nummer el.lign., hvis den juridiske person ikke har et cvr-nummer. Der henvises til Folketingstidende 2025-26, 1. samling, tillæg A, L 12 som fremsat, side 33.</w:t>
      </w:r>
    </w:p>
    <w:p w14:paraId="2F8413FC" w14:textId="77777777" w:rsidR="00BE7C05" w:rsidRPr="00A4589A" w:rsidRDefault="00BE7C05" w:rsidP="00BE7C05">
      <w:pPr>
        <w:spacing w:line="360" w:lineRule="auto"/>
        <w:rPr>
          <w:rFonts w:ascii="Times New Roman" w:eastAsia="Calibri" w:hAnsi="Times New Roman" w:cs="Times New Roman"/>
          <w:sz w:val="24"/>
          <w:szCs w:val="24"/>
        </w:rPr>
      </w:pPr>
    </w:p>
    <w:p w14:paraId="78FF8548"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Det fremgår af retsplejelovens § 129, at straffelovens §§ 144, 150-152 og 155-157 finder tilsvarende anvendelse på advokater samt deres autoriserede fuldmægtige, partnere, personale og andre, som i øvrigt beskæftiges i advokatvirksomheden. </w:t>
      </w:r>
    </w:p>
    <w:p w14:paraId="7DA91A15" w14:textId="77777777" w:rsidR="00BE7C05" w:rsidRPr="00A4589A" w:rsidRDefault="00BE7C05" w:rsidP="00BE7C05">
      <w:pPr>
        <w:spacing w:line="360" w:lineRule="auto"/>
        <w:rPr>
          <w:rFonts w:ascii="Times New Roman" w:eastAsia="Calibri" w:hAnsi="Times New Roman" w:cs="Times New Roman"/>
          <w:sz w:val="24"/>
          <w:szCs w:val="24"/>
        </w:rPr>
      </w:pPr>
    </w:p>
    <w:p w14:paraId="5B5A8C71"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Advokater er desuden omfattet af reglerne om vidneudelukkelse som følge af tavshedspligt og må derfor ikke mod dens ønske, som har krav på hemmeligholdelse, afgive forklaring som vidne i en retssag om det, som er kommet til deres kundskab ved udøvelsen af deres virksomhed, jf. retsplejelovens § 170, stk. 1. Retten kan dog efter § 170, stk. 2, pålægge advokater, bortset fra forsvarere i straffesager, at afgive vidneforklaring, når forklaringen anses for at være af afgørende betydning for sagens udfald, og sagens beskaffenhed og dens betydning for vedkommende part eller samfundet findes at berettige til, at forklaring afkræves. Sådan et pålæg kan dog i borgerlige sager ikke udstrækkes til, hvad en advokat har erfaret i en retssag, som har været betroet denne til udførelse, eller hvori dennes råd har været søgt.</w:t>
      </w:r>
    </w:p>
    <w:p w14:paraId="3BCAABC9" w14:textId="77777777" w:rsidR="00BE7C05" w:rsidRPr="00A4589A" w:rsidRDefault="00BE7C05" w:rsidP="00BE7C05">
      <w:pPr>
        <w:spacing w:line="360" w:lineRule="auto"/>
        <w:rPr>
          <w:rFonts w:ascii="Times New Roman" w:eastAsia="Calibri" w:hAnsi="Times New Roman" w:cs="Times New Roman"/>
          <w:sz w:val="24"/>
          <w:szCs w:val="24"/>
        </w:rPr>
      </w:pPr>
    </w:p>
    <w:p w14:paraId="692D049A"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Advokaters tavshedspligt gælder, uanset om advokaten yder bistand m.v., som er omfattet af hvidvaskloven. Tavshedspligten omfatter således som udgangspunkt f.eks. også oplysning om, at en klient i det hele taget har søgt bistand hos advokaten. </w:t>
      </w:r>
    </w:p>
    <w:p w14:paraId="7F1665D4" w14:textId="77777777" w:rsidR="00BE7C05" w:rsidRPr="00A4589A" w:rsidRDefault="00BE7C05" w:rsidP="00BE7C05">
      <w:pPr>
        <w:spacing w:line="360" w:lineRule="auto"/>
        <w:rPr>
          <w:rFonts w:ascii="Times New Roman" w:eastAsia="Calibri" w:hAnsi="Times New Roman" w:cs="Times New Roman"/>
          <w:sz w:val="24"/>
          <w:szCs w:val="24"/>
        </w:rPr>
      </w:pPr>
    </w:p>
    <w:p w14:paraId="194D66B6"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fremgår videre af de ministerielle overvejelser bag bestemmelsen, jf. Folketingstidende 2024-25, tillæg A, L 193 som fremsat, side 92 ff., at Erhvervsministeriet og Justitsministeriet ved lagde til grund, at advokaters klienter i et ikke ubetydeligt omfang indsætter midler på samleklientbankkonti. En samleklientbankkonto er den type konto, langt de fleste advokater i dag benytter som indgang for alle betalinger, navnlig i de situationer hvor det vurderes, at det forhold, som indbetalingen vedrører, ikke kan afvente oprettelsen af en separat klientbankkonto. Erhvervsministeriet og Justitsministeriet noterede sig desuden, at hvidvaskloven, herunder kapitel 3 om kundekendskabsprocedurer, finder anvendelse på advokater, når advokater yder bistand m.v., der er omfattet af lovens § 1, stk. 1, nr. 13. En advokat forudsættes således i disse tilfælde at have de fornødne identitetsoplysninger m.v. på en klient, når klienten har indestående midler på advokatens samleklientbankkonto.</w:t>
      </w:r>
    </w:p>
    <w:p w14:paraId="496A0EC9" w14:textId="77777777" w:rsidR="00BE7C05" w:rsidRPr="00A4589A" w:rsidRDefault="00BE7C05" w:rsidP="00BE7C05">
      <w:pPr>
        <w:spacing w:line="360" w:lineRule="auto"/>
        <w:rPr>
          <w:rFonts w:ascii="Times New Roman" w:eastAsia="Calibri" w:hAnsi="Times New Roman" w:cs="Times New Roman"/>
          <w:sz w:val="24"/>
          <w:szCs w:val="24"/>
        </w:rPr>
      </w:pPr>
    </w:p>
    <w:p w14:paraId="04C6177B"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Erhvervsministeriet og Justitsministeriet lagde desuden til grund, at der før indførelsen af hvidvasklovens § 38 b kunne være tilfælde, hvor en advokats klient havde midler stående på advokatens samleklientbankkonto, men hvor advokaten på den ene side ikke selv var forpligtet til at gennemføre kundekendskabsprocedurer i relation til klienten, fordi advokatens bistand m.v. ikke var omfattet af hvidvaskloven, mens advokatens pengeinstitut på den anden side i medfør af hvidvaskloven var forpligtet til at kende identiteten på den reelle ejer (klienten), som havde midler stående på advokatens samleklientbankkonto.</w:t>
      </w:r>
    </w:p>
    <w:p w14:paraId="3E7F70B9" w14:textId="77777777" w:rsidR="00BE7C05" w:rsidRPr="00A4589A" w:rsidRDefault="00BE7C05" w:rsidP="00BE7C05">
      <w:pPr>
        <w:spacing w:line="360" w:lineRule="auto"/>
        <w:rPr>
          <w:rFonts w:ascii="Times New Roman" w:eastAsia="Calibri" w:hAnsi="Times New Roman" w:cs="Times New Roman"/>
          <w:sz w:val="24"/>
          <w:szCs w:val="24"/>
        </w:rPr>
      </w:pPr>
    </w:p>
    <w:p w14:paraId="3A143509"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Imidlertid havde advokaten – uanset om den bistand m.v., som vedkommende ydede, var omfattet af hvidvaskloven eller ej – i medfør af sin tavshedspligt som altovervejende hovedregel alene mulighed for at stille de nødvendige identifikationsoplysninger samt kopi af dokumenter, data eller oplysninger, som advokaten havde indhentet til kontrol heraf, til rådighed for sit pengeinstitut, hvis advokaten fra klienten indhentede et samtykke, eller hvis straffelovens § 152 e fandt anvendelse.</w:t>
      </w:r>
    </w:p>
    <w:p w14:paraId="34436D37" w14:textId="77777777" w:rsidR="00BE7C05" w:rsidRPr="00A4589A" w:rsidRDefault="00BE7C05" w:rsidP="00BE7C05">
      <w:pPr>
        <w:spacing w:line="360" w:lineRule="auto"/>
        <w:rPr>
          <w:rFonts w:ascii="Times New Roman" w:hAnsi="Times New Roman" w:cs="Times New Roman"/>
          <w:sz w:val="24"/>
          <w:szCs w:val="24"/>
        </w:rPr>
      </w:pPr>
    </w:p>
    <w:p w14:paraId="19C1B3BF"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Erhvervsministeriet og Justitsministeriet fandt, at det var uhensigtsmæssigt, at en advokat på grund af sin tavshedspligt som udgangspunkt ikke kunne stille klientens identifikationsoplysninger samt kopi af dokumenter, data eller oplysninger, som advokaten havde indhentet til kontrol heraf, til rådighed for sit pengeinstitut til brug for, at pengeinstituttet anvendte oplysningerne i forbindelse med pengeinstituttets gennemførelse af de nødvendige kundekendskabsprocedurer i relation til at fastslå identiteten på den reelle ejer (klienten) af midlerne på advokatens samleklientbankkonto. </w:t>
      </w:r>
    </w:p>
    <w:p w14:paraId="371954EB" w14:textId="77777777" w:rsidR="00BE7C05" w:rsidRPr="00A4589A" w:rsidRDefault="00BE7C05" w:rsidP="00BE7C05">
      <w:pPr>
        <w:spacing w:line="360" w:lineRule="auto"/>
        <w:rPr>
          <w:rFonts w:ascii="Times New Roman" w:eastAsia="Calibri" w:hAnsi="Times New Roman" w:cs="Times New Roman"/>
          <w:sz w:val="24"/>
          <w:szCs w:val="24"/>
        </w:rPr>
      </w:pPr>
    </w:p>
    <w:p w14:paraId="61DB8D7E"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Ministerierne fandt videre, at advokaten også i de tilfælde, hvor advokatens klient har midler stående på samleklientbankkontoen, men hvor advokaten på grund af klientforholdet ikke selv er forpligtet til at foretage kundekendskabsprocedurer af klienten efter hvidvaskloven, bør kunne indhente identitetsoplysninger fra sin klient og stille disse til rådighed for sit pengeinstitut til brug for, at pengeinstituttet anvender oplysningerne i forbindelse med dets gennemførelse af de nødvendige kundekendskabsprocedurer i relation til at fastslå identiteten på den reelle ejer (klienten) af midlerne på samleklientbankkontoen. </w:t>
      </w:r>
    </w:p>
    <w:p w14:paraId="3ECFF79C" w14:textId="77777777" w:rsidR="00BE7C05" w:rsidRPr="00A4589A" w:rsidRDefault="00BE7C05" w:rsidP="00BE7C05">
      <w:pPr>
        <w:spacing w:line="360" w:lineRule="auto"/>
        <w:rPr>
          <w:rFonts w:ascii="Times New Roman" w:eastAsia="Calibri" w:hAnsi="Times New Roman" w:cs="Times New Roman"/>
          <w:sz w:val="24"/>
          <w:szCs w:val="24"/>
        </w:rPr>
      </w:pPr>
    </w:p>
    <w:p w14:paraId="4B5AF789"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Erhvervsministeriet og Justitsministeriet lagde ved afvejningen af, hvem der bør indhente de nødvendige oplysninger fra klienten i denne sammenhæng, navnlig vægt på, at advokaten er nærmest til at kende klienten – og at det derfor også bør være advokaten, der skal kontrollere identiteten på klienten ved hjælp af dokumenter, data eller oplysninger – ligesom det også er advokatens ansvar, at advokatens samleklientbankkonto føres efter bestemmelserne i klientkontovedtægten. Det bemærkedes i den forbindelse, at den gældende hvidvasklovs § 38 b ikke i øvrigt berører pengeinstitutternes forpligtelser efter hvidvaskloven i forhold til reglerne om reelle ejere, og at de generelle pligter i henhold til hvidvaskloven, herunder bl.a. kravene i kapitel 2 om risikostyring og kapitel 3 om kundekendskabsprocedurer, fortsat ikke finder anvendelse på de sager, som advokater behandler, der ikke er omfattet af hvidvasklovens § 1, stk. 1, nr. 13.Af bemærkningerne til bestemmelsen, jf. Folketingstidende 2025-26, 1. samling, tillæg A, L 12 som fremsat, side 31 ff. og side 97 ff., følger det, at bestemmelsen indebærer, at en advokat skal indhente identifikationsoplysninger fra en klient og gennemføre rimelige foranstaltninger for at kontrollere den eller de reelle ejeres identitet ved indhentelse af kontroldokumenter, således at advokaten med sikkerhed ved, hvem den eller de reelle ejere af midlerne er. Oplysningerne og dokumenterne skal uden ugrundet ophold stilles til rådighed for det pengeinstitut, hvori advokatens samleklientbankkonto føres, til brug for, at pengeinstituttet anvender oplysningerne og dokumenterne i forbindelse med pengeinstituttets gennemførelse af de nødvendige kundekendskabsprocedurer i relation til at fastslå identiteten på den reelle ejer (klienten) af midlerne på samleklientbankkontoen. I særlige tilfælde kan advokaten stille identitetsoplysninger og kopi af dokumenter, data eller oplysninger på den eller de reelle ejere af midlerne til rådighed for pengeinstituttet inden for rimelig tid efter indbetalingen, forudsat at advokaten uden ugrundet ophold giver pengeinstituttet skriftlig meddelelse med angivelse af de forhold, der ligger til grund herfor.</w:t>
      </w:r>
    </w:p>
    <w:p w14:paraId="7BD710C4" w14:textId="77777777" w:rsidR="00BE7C05" w:rsidRPr="00A4589A" w:rsidRDefault="00BE7C05" w:rsidP="00BE7C05">
      <w:pPr>
        <w:spacing w:line="360" w:lineRule="auto"/>
        <w:rPr>
          <w:rFonts w:ascii="Times New Roman" w:eastAsia="Calibri" w:hAnsi="Times New Roman" w:cs="Times New Roman"/>
          <w:sz w:val="24"/>
          <w:szCs w:val="24"/>
        </w:rPr>
      </w:pPr>
    </w:p>
    <w:p w14:paraId="04AB32C8"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Bestemmelsen indebærer endvidere, at oplysningerne og dokumenterne kan stilles til rådighed for pengeinstituttet uden, at advokaten derved bryder sin tavshedspligt. </w:t>
      </w:r>
    </w:p>
    <w:p w14:paraId="36C7D4A2" w14:textId="77777777" w:rsidR="00BE7C05" w:rsidRPr="00A4589A" w:rsidRDefault="00BE7C05" w:rsidP="00BE7C05">
      <w:pPr>
        <w:spacing w:line="360" w:lineRule="auto"/>
        <w:rPr>
          <w:rFonts w:ascii="Times New Roman" w:eastAsia="Calibri" w:hAnsi="Times New Roman" w:cs="Times New Roman"/>
          <w:sz w:val="24"/>
          <w:szCs w:val="24"/>
        </w:rPr>
      </w:pPr>
    </w:p>
    <w:p w14:paraId="2B352A9D"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Bestemmelsen vanskeliggør misbrug, der er forbundet med advokaters samleklientbankkonti, da identiteten på de klienter, der indsætter eller modtager midler på advokatens samleklientbankkonto, bliver kendt for pengeinstituttet, der herefter kan inddrage oplysningerne i pengeinstituttets overvågning af transaktioner på kontoen. </w:t>
      </w:r>
    </w:p>
    <w:p w14:paraId="31B081C2" w14:textId="77777777" w:rsidR="00BE7C05" w:rsidRPr="00A4589A" w:rsidRDefault="00BE7C05" w:rsidP="00BE7C05">
      <w:pPr>
        <w:spacing w:line="360" w:lineRule="auto"/>
        <w:rPr>
          <w:rFonts w:ascii="Times New Roman" w:eastAsia="Calibri" w:hAnsi="Times New Roman" w:cs="Times New Roman"/>
          <w:sz w:val="24"/>
          <w:szCs w:val="24"/>
        </w:rPr>
      </w:pPr>
    </w:p>
    <w:p w14:paraId="5B6EB635"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Bestemmelsen indeholder en pligt til, at advokater ved behandling af betroede midler på en samleklientbankkonto skal indhente identitetsoplysninger på den eller de reelle ejere af midlerne, uanset om der ydes bistand m.v. omfattet af hvidvasklovens § 1, stk. 1, nr. 13. </w:t>
      </w:r>
    </w:p>
    <w:p w14:paraId="4150FB13" w14:textId="77777777" w:rsidR="00BE7C05" w:rsidRPr="00A4589A" w:rsidRDefault="00BE7C05" w:rsidP="00BE7C05">
      <w:pPr>
        <w:spacing w:line="360" w:lineRule="auto"/>
        <w:rPr>
          <w:rFonts w:ascii="Times New Roman" w:eastAsia="Calibri" w:hAnsi="Times New Roman" w:cs="Times New Roman"/>
          <w:sz w:val="24"/>
          <w:szCs w:val="24"/>
        </w:rPr>
      </w:pPr>
    </w:p>
    <w:p w14:paraId="5ABCF05A"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Udtrykket ”reelle ejere” skal forstås i overensstemmelse med hvidvasklovens § 2, nr. 9. Det fremgår af hvidvasklovens § 2, nr. 9, at der ved reel ejer forstås den eller de fysiske personer, der i sidste ende ejer eller kontrollerer kunden, eller den eller de fysiske personer, på hvis vegne en transaktion eller aktivitet gennemføres. I bestemmelsen opregnes i litra a-c, hvad der nærmere forstås ved reelle ejere for en række kategorier af forpligtede enheder.</w:t>
      </w:r>
    </w:p>
    <w:p w14:paraId="1D5D8E7B" w14:textId="77777777" w:rsidR="00BE7C05" w:rsidRPr="00A4589A" w:rsidRDefault="00BE7C05" w:rsidP="00BE7C05">
      <w:pPr>
        <w:spacing w:line="360" w:lineRule="auto"/>
        <w:rPr>
          <w:rFonts w:ascii="Times New Roman" w:eastAsia="Calibri" w:hAnsi="Times New Roman" w:cs="Times New Roman"/>
          <w:sz w:val="24"/>
          <w:szCs w:val="24"/>
        </w:rPr>
      </w:pPr>
    </w:p>
    <w:p w14:paraId="292FB9BC"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I relation til bestemmelsen i § 38 b indebærer ovenstående, at udtrykket ”reelle ejere” som regel vil være advokatens klienter, da det i almindelighed er klientens midler, der indestår på samleklientbankkontoen. Advokaten skal dog også indhente identitetsoplysninger og kontroldokumenter på andre fysiske og juridiske personer, der har betroede midler stående på advokatens samleklientbankkonto, da disse også vil være at anse som ”reelle ejere” efter hvidvasklovens § 2, nr. 9, da transaktionen eller aktiviteten er gennemført på deres vegne. </w:t>
      </w:r>
    </w:p>
    <w:p w14:paraId="26F52BDA" w14:textId="77777777" w:rsidR="00BE7C05" w:rsidRPr="00A4589A" w:rsidRDefault="00BE7C05" w:rsidP="00BE7C05">
      <w:pPr>
        <w:spacing w:line="360" w:lineRule="auto"/>
        <w:rPr>
          <w:rFonts w:ascii="Times New Roman" w:eastAsia="Calibri" w:hAnsi="Times New Roman" w:cs="Times New Roman"/>
          <w:sz w:val="24"/>
          <w:szCs w:val="24"/>
        </w:rPr>
      </w:pPr>
    </w:p>
    <w:p w14:paraId="26A019C5"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 oplysninger, der skal indhentes, er sammenfaldende med identitetsoplysningerne nævnt i hvidvasklovens § 11, stk. 1, nr. 1, litra a, som omfatter navn og cpr-nummer el.lign., hvis den pågældende ikke har et cpr-nummer. Har den pågældende ikke et cpr-nummer el.lign. id-nummer, skal identitetsoplysninger omfatte fødselsdato. </w:t>
      </w:r>
    </w:p>
    <w:p w14:paraId="670970A8" w14:textId="77777777" w:rsidR="00BE7C05" w:rsidRPr="00A4589A" w:rsidRDefault="00BE7C05" w:rsidP="00BE7C05">
      <w:pPr>
        <w:spacing w:line="360" w:lineRule="auto"/>
        <w:rPr>
          <w:rFonts w:ascii="Times New Roman" w:eastAsia="Calibri" w:hAnsi="Times New Roman" w:cs="Times New Roman"/>
          <w:sz w:val="24"/>
          <w:szCs w:val="24"/>
        </w:rPr>
      </w:pPr>
    </w:p>
    <w:p w14:paraId="7033D1EB"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I de tilfælde, hvor advokatens klient er en juridisk person, er de oplysninger, som advokaten skal indhente, sammenfaldende med identitetsoplysningerne nævnt i hvidvasklovens § 11, stk. 1, nr. 1, litra b. Identitetsoplysninger omfatter dermed navn og cvr-nummer eller lignende, hvis den juridiske person ikke har et cvr-nummer. </w:t>
      </w:r>
    </w:p>
    <w:p w14:paraId="0F090C00" w14:textId="77777777" w:rsidR="00BE7C05" w:rsidRPr="00A4589A" w:rsidRDefault="00BE7C05" w:rsidP="00BE7C05">
      <w:pPr>
        <w:spacing w:line="360" w:lineRule="auto"/>
        <w:rPr>
          <w:rFonts w:ascii="Times New Roman" w:eastAsia="Calibri" w:hAnsi="Times New Roman" w:cs="Times New Roman"/>
          <w:sz w:val="24"/>
          <w:szCs w:val="24"/>
        </w:rPr>
      </w:pPr>
    </w:p>
    <w:p w14:paraId="691E1791"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Efter bestemmelsens stk. 2, skal advokater endvidere ved behandling af betroede midler på en samleklientbankkonto gennemføre rimelige foranstaltninger for at kontrollere den eller de reelle ejeres identitet, således at advokaten med sikkerhed ved, hvem den eller de reelle ejere er, uanset om der ydes bistand m.v. omfattet af hvidvasklovens § 1, stk. 1, nr. 13. </w:t>
      </w:r>
    </w:p>
    <w:p w14:paraId="427AFF06" w14:textId="77777777" w:rsidR="00BE7C05" w:rsidRPr="00A4589A" w:rsidRDefault="00BE7C05" w:rsidP="00BE7C05">
      <w:pPr>
        <w:spacing w:line="360" w:lineRule="auto"/>
        <w:rPr>
          <w:rFonts w:ascii="Times New Roman" w:eastAsia="Calibri" w:hAnsi="Times New Roman" w:cs="Times New Roman"/>
          <w:sz w:val="24"/>
          <w:szCs w:val="24"/>
        </w:rPr>
      </w:pPr>
    </w:p>
    <w:p w14:paraId="039671DC"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I de tilfælde, hvor betroede klientmidler bliver indsat på en samleklientbankkonto af en anden end advokatens klient, f.eks. en modpart som opfølgning på et forlig eller en retsafgørelse eller en inkassodebitor som led i afvikling af skyldforhold, er advokatens klient at anse som den reelle ejer af midlerne. Derfor vil advokaten også efter den foreslåede bestemmelse skulle indhente og kontrollere advokatens klients identitetsoplysninger – og ikke den indbetalende tredjemands identitetsoplysninger – i disse tilfælde. </w:t>
      </w:r>
    </w:p>
    <w:p w14:paraId="3D9AAEE2" w14:textId="77777777" w:rsidR="00BE7C05" w:rsidRPr="00A4589A" w:rsidRDefault="00BE7C05" w:rsidP="00BE7C05">
      <w:pPr>
        <w:spacing w:line="360" w:lineRule="auto"/>
        <w:rPr>
          <w:rFonts w:ascii="Times New Roman" w:eastAsia="Calibri" w:hAnsi="Times New Roman" w:cs="Times New Roman"/>
          <w:sz w:val="24"/>
          <w:szCs w:val="24"/>
        </w:rPr>
      </w:pPr>
    </w:p>
    <w:p w14:paraId="7233E326"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Endelig følger det af stk. 3, at advokater ved behandling af betroede midler på en samleklientbankkonto uden ugrundet ophold efter indbetalingen skal stille de indhentede og kontrollerede identitetsoplysninger og kopi af dokumenter, data eller oplysninger på den eller de reelle ejere af midlerne til rådighed for det pengeinstitut, hvori samleklientbankkontoen føres. I særlige tilfælde kan advokaten stille identitetsoplysninger og kopi af dokumenter, data eller oplysninger på den eller de reelle ejere af midlerne til rådighed for pengeinstituttet inden for rimelig tid efter indbetalingen, forudsat at advokaten uden ugrundet ophold giver pengeinstituttet skriftlig meddelelse med angivelse af de forhold, der ligger til grund herfor.</w:t>
      </w:r>
    </w:p>
    <w:p w14:paraId="4B9E1AD8" w14:textId="77777777" w:rsidR="00BE7C05" w:rsidRPr="00A4589A" w:rsidRDefault="00BE7C05" w:rsidP="00BE7C05">
      <w:pPr>
        <w:spacing w:line="360" w:lineRule="auto"/>
        <w:rPr>
          <w:rFonts w:ascii="Times New Roman" w:eastAsia="Calibri" w:hAnsi="Times New Roman" w:cs="Times New Roman"/>
          <w:sz w:val="24"/>
          <w:szCs w:val="24"/>
        </w:rPr>
      </w:pPr>
    </w:p>
    <w:p w14:paraId="0B78BBFF" w14:textId="77777777" w:rsidR="00BE7C05" w:rsidRPr="00A4589A" w:rsidRDefault="00BE7C05" w:rsidP="00BE7C05">
      <w:pPr>
        <w:spacing w:line="360" w:lineRule="auto"/>
        <w:rPr>
          <w:rFonts w:ascii="Times New Roman" w:eastAsia="Calibri" w:hAnsi="Times New Roman" w:cs="Times New Roman"/>
          <w:sz w:val="24"/>
          <w:szCs w:val="24"/>
        </w:rPr>
      </w:pPr>
      <w:bookmarkStart w:id="1193" w:name="_Hlk229058141"/>
      <w:r w:rsidRPr="00A4589A">
        <w:rPr>
          <w:rFonts w:ascii="Times New Roman" w:eastAsia="Calibri" w:hAnsi="Times New Roman" w:cs="Times New Roman"/>
          <w:sz w:val="24"/>
          <w:szCs w:val="24"/>
        </w:rPr>
        <w:t xml:space="preserve">Efter retsplejelovens § 143, stk. 2, fører Advokatrådet, der er Advokatsamfundets bestyrelse, tilsyn med, at advokater, deres autoriserede fuldmægtige, fællesskaber af advokater og advokatselskaber handler i overensstemmelse med de pligter, som stillingen medfører. </w:t>
      </w:r>
    </w:p>
    <w:p w14:paraId="31D0CBDA" w14:textId="77777777" w:rsidR="00BE7C05" w:rsidRPr="00A4589A" w:rsidRDefault="00BE7C05" w:rsidP="00BE7C05">
      <w:pPr>
        <w:spacing w:line="360" w:lineRule="auto"/>
        <w:rPr>
          <w:rFonts w:ascii="Times New Roman" w:eastAsia="Calibri" w:hAnsi="Times New Roman" w:cs="Times New Roman"/>
          <w:sz w:val="24"/>
          <w:szCs w:val="24"/>
        </w:rPr>
      </w:pPr>
    </w:p>
    <w:p w14:paraId="32293619"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følger af retsplejelovens § 143, stk. 3, at Advokatrådet i den forbindelse kan kræve alle oplysninger, herunder arbejdspapirer, korrespondance og andre dokumenter, der skønnes at være nødvendige for rådets tilsyn af, om der er sket eller vil ske en overtrædelse af bestemmelserne i retsplejeloven eller bestemmelser fastsat i medfør heraf denne lov. </w:t>
      </w:r>
    </w:p>
    <w:p w14:paraId="720D36FE" w14:textId="77777777" w:rsidR="00BE7C05" w:rsidRPr="00A4589A" w:rsidRDefault="00BE7C05" w:rsidP="00BE7C05">
      <w:pPr>
        <w:spacing w:line="360" w:lineRule="auto"/>
        <w:rPr>
          <w:rFonts w:ascii="Times New Roman" w:eastAsia="Calibri" w:hAnsi="Times New Roman" w:cs="Times New Roman"/>
          <w:sz w:val="24"/>
          <w:szCs w:val="24"/>
        </w:rPr>
      </w:pPr>
    </w:p>
    <w:p w14:paraId="0003AD48" w14:textId="77777777" w:rsidR="00BE7C05" w:rsidRPr="00A4589A" w:rsidRDefault="00BE7C05" w:rsidP="00BE7C05">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Af stk. 4 følger, at advokater og deres autoriserede fuldmægtige ikke må ikke foretage eller medvirke til handlinger eller undladelser, som lægger hindringer i vejen for Advokatrådets tilsyn, eller hvis formål er at unddrage sig tilsynet.</w:t>
      </w:r>
    </w:p>
    <w:bookmarkEnd w:id="1193"/>
    <w:p w14:paraId="281B5223" w14:textId="77777777" w:rsidR="00BE7C05" w:rsidRPr="00A4589A" w:rsidRDefault="00BE7C05" w:rsidP="00BE7C05">
      <w:pPr>
        <w:spacing w:line="360" w:lineRule="auto"/>
        <w:rPr>
          <w:rFonts w:ascii="Times New Roman" w:hAnsi="Times New Roman" w:cs="Times New Roman"/>
          <w:sz w:val="24"/>
          <w:szCs w:val="24"/>
        </w:rPr>
      </w:pPr>
    </w:p>
    <w:p w14:paraId="3B2ADE49" w14:textId="77777777" w:rsidR="00BE7C05" w:rsidRPr="00A4589A" w:rsidRDefault="00BE7C05" w:rsidP="00BE7C05">
      <w:pPr>
        <w:spacing w:line="360" w:lineRule="auto"/>
        <w:rPr>
          <w:rFonts w:ascii="Times New Roman" w:hAnsi="Times New Roman" w:cs="Times New Roman"/>
          <w:sz w:val="24"/>
          <w:szCs w:val="24"/>
        </w:rPr>
      </w:pPr>
      <w:r w:rsidRPr="00A4589A">
        <w:rPr>
          <w:rFonts w:ascii="Times New Roman" w:hAnsi="Times New Roman" w:cs="Times New Roman"/>
          <w:sz w:val="24"/>
          <w:szCs w:val="24"/>
        </w:rPr>
        <w:t>Hvidvasklovens § 64 indeholder regler om Advokatrådets tilsyn i henhold til hvidvaskloven.</w:t>
      </w:r>
    </w:p>
    <w:p w14:paraId="769E6873" w14:textId="77777777" w:rsidR="00BE7C05" w:rsidRPr="00A4589A" w:rsidRDefault="00BE7C05" w:rsidP="00BE7C05">
      <w:pPr>
        <w:spacing w:line="360" w:lineRule="auto"/>
        <w:rPr>
          <w:rFonts w:ascii="Times New Roman" w:hAnsi="Times New Roman" w:cs="Times New Roman"/>
          <w:sz w:val="24"/>
          <w:szCs w:val="24"/>
        </w:rPr>
      </w:pPr>
    </w:p>
    <w:p w14:paraId="361A08B3" w14:textId="1464CC1A" w:rsidR="00BE7C05" w:rsidRPr="00A4589A" w:rsidRDefault="00BE7C05" w:rsidP="00BE7C05">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Som det fremgår af de almindelige bemærkninger pkt. </w:t>
      </w:r>
      <w:r w:rsidR="00B31DC2">
        <w:rPr>
          <w:rFonts w:ascii="Times New Roman" w:hAnsi="Times New Roman" w:cs="Times New Roman"/>
          <w:sz w:val="24"/>
          <w:szCs w:val="24"/>
        </w:rPr>
        <w:fldChar w:fldCharType="begin"/>
      </w:r>
      <w:r w:rsidR="00B31DC2">
        <w:rPr>
          <w:rFonts w:ascii="Times New Roman" w:hAnsi="Times New Roman" w:cs="Times New Roman"/>
          <w:sz w:val="24"/>
          <w:szCs w:val="24"/>
        </w:rPr>
        <w:instrText xml:space="preserve"> REF _Ref244849516 \n \h </w:instrText>
      </w:r>
      <w:r w:rsidR="00B31DC2">
        <w:rPr>
          <w:rFonts w:ascii="Times New Roman" w:hAnsi="Times New Roman" w:cs="Times New Roman"/>
          <w:sz w:val="24"/>
          <w:szCs w:val="24"/>
        </w:rPr>
      </w:r>
      <w:r w:rsidR="00B31DC2">
        <w:rPr>
          <w:rFonts w:ascii="Times New Roman" w:hAnsi="Times New Roman" w:cs="Times New Roman"/>
          <w:sz w:val="24"/>
          <w:szCs w:val="24"/>
        </w:rPr>
        <w:fldChar w:fldCharType="separate"/>
      </w:r>
      <w:r w:rsidR="008F29E5">
        <w:rPr>
          <w:rFonts w:ascii="Times New Roman" w:hAnsi="Times New Roman" w:cs="Times New Roman"/>
          <w:sz w:val="24"/>
          <w:szCs w:val="24"/>
        </w:rPr>
        <w:t>3.66</w:t>
      </w:r>
      <w:r w:rsidR="00B31DC2">
        <w:rPr>
          <w:rFonts w:ascii="Times New Roman" w:hAnsi="Times New Roman" w:cs="Times New Roman"/>
          <w:sz w:val="24"/>
          <w:szCs w:val="24"/>
        </w:rPr>
        <w:fldChar w:fldCharType="end"/>
      </w:r>
      <w:r w:rsidR="0047516F">
        <w:rPr>
          <w:rFonts w:ascii="Times New Roman" w:hAnsi="Times New Roman" w:cs="Times New Roman"/>
          <w:sz w:val="24"/>
          <w:szCs w:val="24"/>
        </w:rPr>
        <w:t xml:space="preserve">, </w:t>
      </w:r>
      <w:r w:rsidRPr="00A4589A">
        <w:rPr>
          <w:rFonts w:ascii="Times New Roman" w:hAnsi="Times New Roman" w:cs="Times New Roman"/>
          <w:sz w:val="24"/>
          <w:szCs w:val="24"/>
        </w:rPr>
        <w:t>følger det af bemærkningerne til hvidvasklovens § 64, at bestemmelsen fastsætter omfanget af Advokatrådets tilsynsansvar, og at Advokatrådets tilsyn med advokater er reguleret i retsplejeloven, hvor der henvises til retsplejelovens § 143. Som det også fremgår, angiver bemærkningerne, at Advokatrådets rolle som myndighed på hvidvaskområdet med bestemmelsen præciseres, idet det fastslås, at Advokatrådet skal påse, at advokaterne overholder bestemmelserne på hvidvaskområdet.</w:t>
      </w:r>
    </w:p>
    <w:p w14:paraId="1FCC9DDC" w14:textId="77777777" w:rsidR="00BE7C05" w:rsidRPr="00A4589A" w:rsidRDefault="00BE7C05" w:rsidP="00BE7C05">
      <w:pPr>
        <w:spacing w:line="360" w:lineRule="auto"/>
        <w:rPr>
          <w:rFonts w:ascii="Times New Roman" w:hAnsi="Times New Roman" w:cs="Times New Roman"/>
          <w:sz w:val="24"/>
          <w:szCs w:val="24"/>
        </w:rPr>
      </w:pPr>
    </w:p>
    <w:p w14:paraId="67D76E25" w14:textId="0A5EFE33" w:rsidR="00C12541" w:rsidRDefault="00BE7C05" w:rsidP="00BE7C05">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For nærmere om Advokatrådets tilsyn i henhold til hvidvaskloven henvises til lovforslagets almindelige bemærkninger pkt. </w:t>
      </w:r>
      <w:r w:rsidR="0047516F">
        <w:rPr>
          <w:rFonts w:ascii="Times New Roman" w:hAnsi="Times New Roman" w:cs="Times New Roman"/>
          <w:sz w:val="24"/>
          <w:szCs w:val="24"/>
        </w:rPr>
        <w:fldChar w:fldCharType="begin"/>
      </w:r>
      <w:r w:rsidR="0047516F">
        <w:rPr>
          <w:rFonts w:ascii="Times New Roman" w:hAnsi="Times New Roman" w:cs="Times New Roman"/>
          <w:sz w:val="24"/>
          <w:szCs w:val="24"/>
        </w:rPr>
        <w:instrText xml:space="preserve"> REF _Ref244849535 \n \h </w:instrText>
      </w:r>
      <w:r w:rsidR="0047516F">
        <w:rPr>
          <w:rFonts w:ascii="Times New Roman" w:hAnsi="Times New Roman" w:cs="Times New Roman"/>
          <w:sz w:val="24"/>
          <w:szCs w:val="24"/>
        </w:rPr>
      </w:r>
      <w:r w:rsidR="0047516F">
        <w:rPr>
          <w:rFonts w:ascii="Times New Roman" w:hAnsi="Times New Roman" w:cs="Times New Roman"/>
          <w:sz w:val="24"/>
          <w:szCs w:val="24"/>
        </w:rPr>
        <w:fldChar w:fldCharType="separate"/>
      </w:r>
      <w:r w:rsidR="008F29E5">
        <w:rPr>
          <w:rFonts w:ascii="Times New Roman" w:hAnsi="Times New Roman" w:cs="Times New Roman"/>
          <w:sz w:val="24"/>
          <w:szCs w:val="24"/>
        </w:rPr>
        <w:t>3.66</w:t>
      </w:r>
      <w:r w:rsidR="0047516F">
        <w:rPr>
          <w:rFonts w:ascii="Times New Roman" w:hAnsi="Times New Roman" w:cs="Times New Roman"/>
          <w:sz w:val="24"/>
          <w:szCs w:val="24"/>
        </w:rPr>
        <w:fldChar w:fldCharType="end"/>
      </w:r>
      <w:r w:rsidR="0047516F">
        <w:rPr>
          <w:rFonts w:ascii="Times New Roman" w:hAnsi="Times New Roman" w:cs="Times New Roman"/>
          <w:sz w:val="24"/>
          <w:szCs w:val="24"/>
        </w:rPr>
        <w:t xml:space="preserve">. </w:t>
      </w:r>
    </w:p>
    <w:p w14:paraId="58DF9ABB" w14:textId="77777777" w:rsidR="00BE7C05" w:rsidRPr="00BE7C05" w:rsidRDefault="00BE7C05" w:rsidP="00BE7C05">
      <w:pPr>
        <w:spacing w:line="360" w:lineRule="auto"/>
        <w:rPr>
          <w:rFonts w:ascii="Times New Roman" w:hAnsi="Times New Roman" w:cs="Times New Roman"/>
          <w:sz w:val="24"/>
          <w:szCs w:val="24"/>
        </w:rPr>
      </w:pPr>
    </w:p>
    <w:p w14:paraId="18CF7C31" w14:textId="68EF0CDB" w:rsidR="003C1A7C" w:rsidRDefault="00A47042" w:rsidP="00A802A5">
      <w:pPr>
        <w:pStyle w:val="Overskrift4"/>
        <w:rPr>
          <w:rFonts w:ascii="Times New Roman" w:hAnsi="Times New Roman" w:cs="Times New Roman"/>
          <w:sz w:val="24"/>
          <w:szCs w:val="24"/>
        </w:rPr>
      </w:pPr>
      <w:bookmarkStart w:id="1194" w:name="_Ref236655611"/>
      <w:r w:rsidRPr="00796736">
        <w:rPr>
          <w:rFonts w:ascii="Times New Roman" w:hAnsi="Times New Roman" w:cs="Times New Roman"/>
          <w:sz w:val="24"/>
          <w:szCs w:val="24"/>
        </w:rPr>
        <w:t>Hvidvaskforordningen</w:t>
      </w:r>
      <w:bookmarkEnd w:id="1194"/>
      <w:r w:rsidRPr="00796736">
        <w:rPr>
          <w:rFonts w:ascii="Times New Roman" w:hAnsi="Times New Roman" w:cs="Times New Roman"/>
          <w:sz w:val="24"/>
          <w:szCs w:val="24"/>
        </w:rPr>
        <w:t xml:space="preserve"> </w:t>
      </w:r>
    </w:p>
    <w:p w14:paraId="043572B7" w14:textId="77777777" w:rsidR="00142D3F" w:rsidRPr="00A4589A" w:rsidRDefault="00142D3F" w:rsidP="00142D3F">
      <w:pPr>
        <w:spacing w:line="360" w:lineRule="auto"/>
        <w:rPr>
          <w:rFonts w:ascii="Times New Roman" w:hAnsi="Times New Roman" w:cs="Times New Roman"/>
          <w:sz w:val="24"/>
          <w:szCs w:val="24"/>
        </w:rPr>
      </w:pPr>
      <w:r w:rsidRPr="00A4589A">
        <w:rPr>
          <w:rFonts w:ascii="Times New Roman" w:eastAsia="Calibri" w:hAnsi="Times New Roman" w:cs="Times New Roman"/>
          <w:sz w:val="24"/>
          <w:szCs w:val="24"/>
        </w:rPr>
        <w:t xml:space="preserve">Hvidvaskforordningens kapitel III indeholder regler om kundekendskabsprocedurer. </w:t>
      </w:r>
    </w:p>
    <w:p w14:paraId="117E7F3F" w14:textId="77777777" w:rsidR="00142D3F" w:rsidRPr="00A4589A" w:rsidRDefault="00142D3F" w:rsidP="00142D3F">
      <w:pPr>
        <w:spacing w:line="360" w:lineRule="auto"/>
        <w:rPr>
          <w:rFonts w:ascii="Times New Roman" w:eastAsia="Calibri" w:hAnsi="Times New Roman" w:cs="Times New Roman"/>
          <w:sz w:val="24"/>
          <w:szCs w:val="24"/>
        </w:rPr>
      </w:pPr>
    </w:p>
    <w:p w14:paraId="3CE4402B"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I forordningens artikel 19 reguleres anvendelsen af kundekendskabsprocedurer, og i stk. 1, litra a-f, opregnes de tilfælde, hvor de forpligtede enheder skal anvende kundekendskabsprocedurer. Af artikel 19, stk. 6, litra b, fremgår det, at med henblik på kundekendskabsprocedurer efter forordningens kapitel III skal advokater og andre retlige aktører, der formidler en transaktion, i det omfang de er den eneste aktør, der formidler transaktionen, betragte begge parter i transaktionen som deres kunder. </w:t>
      </w:r>
    </w:p>
    <w:p w14:paraId="1B7E98E0" w14:textId="77777777" w:rsidR="00142D3F" w:rsidRPr="00A4589A" w:rsidRDefault="00142D3F" w:rsidP="00142D3F">
      <w:pPr>
        <w:spacing w:line="360" w:lineRule="auto"/>
        <w:rPr>
          <w:rFonts w:ascii="Times New Roman" w:eastAsia="Calibri" w:hAnsi="Times New Roman" w:cs="Times New Roman"/>
          <w:sz w:val="24"/>
          <w:szCs w:val="24"/>
        </w:rPr>
      </w:pPr>
    </w:p>
    <w:p w14:paraId="62BB8863"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Hvidvaskforordningens artikel 20 indeholder regler om de forpligtede enheders kundekendeskabsprocedurer. </w:t>
      </w:r>
    </w:p>
    <w:p w14:paraId="4F6C34F3" w14:textId="77777777" w:rsidR="00142D3F" w:rsidRPr="00A4589A" w:rsidRDefault="00142D3F" w:rsidP="00142D3F">
      <w:pPr>
        <w:spacing w:line="360" w:lineRule="auto"/>
        <w:rPr>
          <w:rFonts w:ascii="Times New Roman" w:eastAsia="Calibri" w:hAnsi="Times New Roman" w:cs="Times New Roman"/>
          <w:sz w:val="24"/>
          <w:szCs w:val="24"/>
        </w:rPr>
      </w:pPr>
    </w:p>
    <w:p w14:paraId="05383934"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fremgår af artikel 20, stk. 1, litra h, at med henblik på at gennemføre kundekendskabsprocedurer skal de forpligtede enheder som foranstaltning, hvis en transaktion eller en aktivitet gennemføres på vegne af eller til fordel for en anden fysisk person end kunden, identificere og kontrollere denne eller disse fysiske personers identitet. Bestemmelsen viderefører indholdet af 4. og 5. hvidvaskdirektivs artikel 13, stk. 1.</w:t>
      </w:r>
    </w:p>
    <w:p w14:paraId="58F73B15" w14:textId="77777777" w:rsidR="00142D3F" w:rsidRPr="00A4589A" w:rsidRDefault="00142D3F" w:rsidP="00142D3F">
      <w:pPr>
        <w:spacing w:line="360" w:lineRule="auto"/>
        <w:rPr>
          <w:rFonts w:ascii="Times New Roman" w:eastAsia="Calibri" w:hAnsi="Times New Roman" w:cs="Times New Roman"/>
          <w:sz w:val="24"/>
          <w:szCs w:val="24"/>
        </w:rPr>
      </w:pPr>
    </w:p>
    <w:p w14:paraId="1FA28181"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Kravet om at gennemføre kundekendskabsprocedurer efter reglerne i hvidvaskforordningens artikel 20, stk. 1, gælder også for bl.a. advokater og advokatselskaber, når de yder bistand mv., som er omfattet af forordningens artikel 3, nr. 3, litra a og b, og udfører opgaver mv. omfattet af forordningens artikel 19, stk. 1.</w:t>
      </w:r>
    </w:p>
    <w:p w14:paraId="384EE26B" w14:textId="77777777" w:rsidR="00142D3F" w:rsidRPr="00A4589A" w:rsidRDefault="00142D3F" w:rsidP="00142D3F">
      <w:pPr>
        <w:spacing w:line="360" w:lineRule="auto"/>
        <w:rPr>
          <w:rFonts w:ascii="Times New Roman" w:eastAsia="Calibri" w:hAnsi="Times New Roman" w:cs="Times New Roman"/>
          <w:sz w:val="24"/>
          <w:szCs w:val="24"/>
        </w:rPr>
      </w:pPr>
    </w:p>
    <w:p w14:paraId="2CF87665" w14:textId="5569F443" w:rsidR="00142D3F"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følger af præambelbetragtning nr. 51, at kundekendskabskrav er afgørende for at sikre, at forpligtede enheder identificerer, kontrollerer og overvåger deres forretningsforbindelser med kunderne for så vidt angår de risici for hvidvask af penge og finansiering af terrorisme, som de udgør. Nøjagtig identifikation og kontrol af data fra potentielle og eksisterende kunder er afgørende for at kunne forstå de risici for hvidvask af penge og finansiering af terrorisme, som er forbundet med kunder, uanset om de er fysiske eller juridiske personer. Forpligtede enheder bør også forstå, på hvis vegne eller til hvis fordel en transaktion gennemføres, f.eks. i situationer, hvor kreditinstitutter eller finansieringsinstitutter stiller konti til rådighed for retlige aktører med henblik på at modtage eller opbevare deres kunders midler som defineret i artikel 4, nr. 25), i direktiv (EU) 2015/2366 om betalingstjenester i det indre marked. I forbindelse med kundekendskabsprocedurer forstås ved den person, til hvis fordel en transaktion eller aktivitet udføres, ikke modtageren eller den begunstigede ved en transaktion, som den forpligtede enhed gennemfører for sin kunde.</w:t>
      </w:r>
    </w:p>
    <w:p w14:paraId="17A1058D" w14:textId="77777777" w:rsidR="00713B02" w:rsidRPr="00A4589A" w:rsidRDefault="00713B02" w:rsidP="00142D3F">
      <w:pPr>
        <w:spacing w:line="360" w:lineRule="auto"/>
        <w:rPr>
          <w:rFonts w:ascii="Times New Roman" w:eastAsia="Calibri" w:hAnsi="Times New Roman" w:cs="Times New Roman"/>
          <w:sz w:val="24"/>
          <w:szCs w:val="24"/>
        </w:rPr>
      </w:pPr>
    </w:p>
    <w:p w14:paraId="52E2BC55"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Artikel 22 indeholder regler om identifikation og kontrol af identiteten af kunder og reelle ejere. </w:t>
      </w:r>
    </w:p>
    <w:p w14:paraId="5F5FF932"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br/>
        <w:t xml:space="preserve">Af bestemmelsens stk. 1, følger det, at med undtagelse af situationer med lavere risiko, på hvilke de i forordningens afdeling 3 omhandlede foranstaltninger finder anvendelse, og uanset anvendelsen af de i forordningens afdeling 4 omhandlede yderligere foranstaltninger i tilfælde med højere risiko, indhenter forpligtede enheder mindst en række oplistede oplysninger for at identificere kunden, enhver person, der foregiver at handle på kundens vegne, og de fysiske personer på hvis vegne eller til hvis fordel en transaktion eller aktivitet gennemføres. </w:t>
      </w:r>
    </w:p>
    <w:p w14:paraId="7FE7D7B7" w14:textId="77777777" w:rsidR="00142D3F" w:rsidRPr="00A4589A" w:rsidRDefault="00142D3F" w:rsidP="00142D3F">
      <w:pPr>
        <w:spacing w:line="360" w:lineRule="auto"/>
        <w:rPr>
          <w:rFonts w:ascii="Times New Roman" w:eastAsia="Calibri" w:hAnsi="Times New Roman" w:cs="Times New Roman"/>
          <w:sz w:val="24"/>
          <w:szCs w:val="24"/>
        </w:rPr>
      </w:pPr>
    </w:p>
    <w:p w14:paraId="7C4B7E8A"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Bestemmelsen oplister de oplysninger, som i forhold til kunden, enhver person, der foregiver at handle på kundens vegne og de fysiske personer, på hvis vegne eller til hvis fordel en transaktion eller aktivitet gennemføres, skal indhentes for en fysisk person (litra a), for en juridisk person (litra b), for en trustforvalter af en viljesbestemt trust eller en person, der varetager en tilsvarende stilling i et lignende juridisk arrangement (litra c) og endelig for andre organisationer, som har rets- og handleevne i henhold til national ret (litra d).</w:t>
      </w:r>
    </w:p>
    <w:p w14:paraId="77426618" w14:textId="77777777" w:rsidR="00142D3F" w:rsidRPr="00A4589A" w:rsidRDefault="00142D3F" w:rsidP="00142D3F">
      <w:pPr>
        <w:spacing w:line="360" w:lineRule="auto"/>
        <w:rPr>
          <w:rFonts w:ascii="Times New Roman" w:eastAsia="Calibri" w:hAnsi="Times New Roman" w:cs="Times New Roman"/>
          <w:sz w:val="24"/>
          <w:szCs w:val="24"/>
        </w:rPr>
      </w:pPr>
    </w:p>
    <w:p w14:paraId="4953B190"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fremgår af artikel 22, stk. 2, at med henblik på at identificere den reelle ejer af en juridisk enhed eller et juridisk arrangement indhenter forpligtede enheder de oplysninger, der er omhandlet i forordningens artikel 62, stk. 1, andet afsnit, litra a. Hvis ingen fysisk person er identificeret som reel ejer, når alle muligheder for identifikation er udtømt, eller hvis der er tvivl om, hvorvidt de identificerede personer er de reelle ejere, registrerer de forpligtede enheder, at ingen reel ejer blev identificeret, og identificerer alle de fysiske personer, som varetager stillingerne som øverste ledere i den juridiske enhed, og kontrollere deres identitet.</w:t>
      </w:r>
    </w:p>
    <w:p w14:paraId="2ACFAB1E" w14:textId="77777777" w:rsidR="00142D3F" w:rsidRPr="00A4589A" w:rsidRDefault="00142D3F" w:rsidP="00142D3F">
      <w:pPr>
        <w:spacing w:line="360" w:lineRule="auto"/>
        <w:rPr>
          <w:rFonts w:ascii="Times New Roman" w:eastAsia="Calibri" w:hAnsi="Times New Roman" w:cs="Times New Roman"/>
          <w:sz w:val="24"/>
          <w:szCs w:val="24"/>
        </w:rPr>
      </w:pPr>
    </w:p>
    <w:p w14:paraId="7BE47483"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fremgår videre, at hvis udførelsen af identitetskontrollen omhandlet i andet afsnit kan give et tip til kunden om, at den forpligtede enhed er i tvivl om det reelle ejerskab af den juridiske enhed, afholder den forpligtede enhed sig fra at kontrollere identiteten af den øverste leder og registrerer i stedet de skridt, der er taget for at fastslå identiteten af de reelle ejere og de øverste ledere. Forpligtede enheder fører fortegnelser over de tiltag, som de har taget, samt over de vanskeligheder, som de stødte på under identifikationsprocessen, og som førte til, at der blev grebet til identifikation af en af de øverste ledere.</w:t>
      </w:r>
    </w:p>
    <w:p w14:paraId="0656C4E6" w14:textId="77777777" w:rsidR="00142D3F" w:rsidRPr="00A4589A" w:rsidRDefault="00142D3F" w:rsidP="00142D3F">
      <w:pPr>
        <w:spacing w:line="360" w:lineRule="auto"/>
        <w:rPr>
          <w:rFonts w:ascii="Times New Roman" w:eastAsia="Calibri" w:hAnsi="Times New Roman" w:cs="Times New Roman"/>
          <w:sz w:val="24"/>
          <w:szCs w:val="24"/>
        </w:rPr>
      </w:pPr>
    </w:p>
    <w:p w14:paraId="49CC500B"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Af artikel 22, stk. 3, fremgår det, at kreditinstitutter og finansieringsinstitutter indhenter oplysninger for at identificere og verificere identiteten på de fysiske eller juridiske personer, der anvender et virtuelt IBAN, som de udsteder, og den tilhørende bank- eller betalingskonto. </w:t>
      </w:r>
    </w:p>
    <w:p w14:paraId="3E27A172" w14:textId="77777777" w:rsidR="00142D3F" w:rsidRPr="00A4589A" w:rsidRDefault="00142D3F" w:rsidP="00142D3F">
      <w:pPr>
        <w:spacing w:line="360" w:lineRule="auto"/>
        <w:rPr>
          <w:rFonts w:ascii="Times New Roman" w:eastAsia="Calibri" w:hAnsi="Times New Roman" w:cs="Times New Roman"/>
          <w:sz w:val="24"/>
          <w:szCs w:val="24"/>
        </w:rPr>
      </w:pPr>
    </w:p>
    <w:p w14:paraId="11695807"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fremgår videre, at det kredit- eller finansieringsinstitut, der forvalter den bankkonto eller betalingskonto, hvortil et virtuelt IBAN udstedt af et andet kredit- eller finansieringsinstitut omdirigerer betalinger, sikrer, at det straks og under alle omstændigheder inden for fem arbejdsdage fra anmodningen om disse oplysninger kan indhente oplysninger fra det institut, der udsteder det virtuelle IBAN, til identifikation og kontrol af identiteten af den fysiske person, der anvender det virtuelle IBAN.</w:t>
      </w:r>
    </w:p>
    <w:p w14:paraId="1162AE35"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 </w:t>
      </w:r>
    </w:p>
    <w:p w14:paraId="11C1DA6F"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Det fremgår af artikel 22, stk. 4, at for så vidt angår begunstigede i forbindelse med truster eller lignende juridiske enheder eller arrangementer, som er udpeget ved hjælp af særlige karakteristika eller gruppe, indhenter en forpligtet enhed tilstrækkelige oplysninger om den begunstigede, til at den kan fastslå den begunstigedes identitet på det tidspunkt, hvor udbetalingen finder sted, eller på det tidspunkt, hvor den begunstigede udøver sine erhvervede rettigheder. Bestemmelsen svarer til 4. og 5. hvidvaskdirektivs artikel 13, stk. 6. </w:t>
      </w:r>
    </w:p>
    <w:p w14:paraId="54E58A1F" w14:textId="77777777" w:rsidR="00142D3F" w:rsidRPr="00A4589A" w:rsidRDefault="00142D3F" w:rsidP="00142D3F">
      <w:pPr>
        <w:spacing w:line="360" w:lineRule="auto"/>
        <w:rPr>
          <w:rFonts w:ascii="Times New Roman" w:eastAsia="Calibri" w:hAnsi="Times New Roman" w:cs="Times New Roman"/>
          <w:sz w:val="24"/>
          <w:szCs w:val="24"/>
        </w:rPr>
      </w:pPr>
    </w:p>
    <w:p w14:paraId="04F0B124"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Af artikel 22, stk. 5, fremgår det, at i tilfælde af diskretionære truster indhenter en forpligtet enhed tilstrækkelige oplysninger om genstandene for en beføjelse og modtagere ved manglende udøvelse af skønsbeføjelsen til at sætte den i stand til at fastslå den begunstigedes identitet på det tidspunkt, hvor trustforvaltere udøver deres skønsbeføjelse, eller på det tidspunkt, hvor modtagerne ved manglende udøvelse af skønsbeføjelsen bliver begunstigede på grund af trustforvalternes manglende udøvelse af deres skønsbeføjelse.</w:t>
      </w:r>
    </w:p>
    <w:p w14:paraId="20C85872" w14:textId="77777777" w:rsidR="00142D3F" w:rsidRPr="00A4589A" w:rsidRDefault="00142D3F" w:rsidP="00142D3F">
      <w:pPr>
        <w:spacing w:line="360" w:lineRule="auto"/>
        <w:rPr>
          <w:rFonts w:ascii="Times New Roman" w:eastAsia="Calibri" w:hAnsi="Times New Roman" w:cs="Times New Roman"/>
          <w:sz w:val="24"/>
          <w:szCs w:val="24"/>
        </w:rPr>
      </w:pPr>
    </w:p>
    <w:p w14:paraId="40F5C0E4"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Det fremgår af artikel 22, stk. 7, at forpligtede enheder kontrollerer identiteten af den reelle ejer og, hvor det er relevant, de personer, på hvis vegne eller til hvis fordel en transaktion eller aktivitet gennemføres enten i overensstemmelse med stk. 6 (litra a) eller ved at træffe rimelige foranstaltninger til at indhente de nødvendige oplysninger, dokumenter og data fra kunden eller andre pålidelige kilder, herunder andre offentlige registre end de centrale registre (litra b). </w:t>
      </w:r>
    </w:p>
    <w:p w14:paraId="2EF5BC80" w14:textId="77777777" w:rsidR="00142D3F" w:rsidRPr="00A4589A" w:rsidRDefault="00142D3F" w:rsidP="00142D3F">
      <w:pPr>
        <w:spacing w:line="360" w:lineRule="auto"/>
        <w:rPr>
          <w:rFonts w:ascii="Times New Roman" w:eastAsia="Calibri" w:hAnsi="Times New Roman" w:cs="Times New Roman"/>
          <w:sz w:val="24"/>
          <w:szCs w:val="24"/>
        </w:rPr>
      </w:pPr>
    </w:p>
    <w:p w14:paraId="244D53E4"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Efter artikel 22, stk. 6, indhenter forpligtede enheder de oplysninger, dokumenter og data, som er nødvendige med henblik på kontrollen af identiteten af kunden og enhver person, som foregiver at handle på kundens vegne ved forelæggelse af et identifikationsdokument, pas eller tilsvarende og, hvor det er relevant, indhentning af oplysninger fra pålidelige og uafhængige kilder, uanset om de tilgås direkte eller forelægges af kunden (litra a) eller anvendelse af elektroniske identifikationsmidler, som opfylder kravene i forordning (EU) nr. 910/2014 med hensyn til sikringsniveauet »betydelig« eller »høj«, og relevante kvalificerede tillidstjenester som fastsat i nævnte forordning (litra b). </w:t>
      </w:r>
    </w:p>
    <w:p w14:paraId="4598200E" w14:textId="77777777" w:rsidR="00142D3F" w:rsidRPr="00A4589A" w:rsidRDefault="00142D3F" w:rsidP="00142D3F">
      <w:pPr>
        <w:spacing w:line="360" w:lineRule="auto"/>
        <w:rPr>
          <w:rFonts w:ascii="Times New Roman" w:eastAsia="Calibri" w:hAnsi="Times New Roman" w:cs="Times New Roman"/>
          <w:sz w:val="24"/>
          <w:szCs w:val="24"/>
        </w:rPr>
      </w:pPr>
    </w:p>
    <w:p w14:paraId="781284D6"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fremgår af præambelbetragtning nr. 66, at den teknologiske udvikling og de teknologiske fremskridt inden for digitalisering muliggør sikker identifikation og kontrol på afstand eller elektronisk identifikation og kontrol af potentielle og eksisterende kunder og kan gøre det lettere at gennemføre kundekendskabsprocedurer over for kunder på afstand. De identifikationsløsninger, der er fastsat i Europa-Parlamentets og Rådets forordning (EU) nr. 910/2014 om elektronisk identifikation og tillidstjenester til brug for elektroniske transaktioner på det indre marked mv., muliggør sikre og pålidelige midler til kundeidentifikation og -kontrol af både potentielle og eksisterende kunder og kan gøre det lettere at gennemføre kundekendskabsprocedurer over for kunder på afstand. Forpligtede enheder bør tage hensyn til og godkende den elektroniske identifikation, der er fastsat i nævnte forordning, i forbindelse med processen for kundeidentifikation. Anvendelsen af sådanne midler til identifikation kan, når der er indført passende risikoafbødende foranstaltninger, nedsætte risikoniveauet til almindeligt eller endda lavt. Hvis en sådan elektronisk identifikation ikke er tilgængelig for en kunde, f.eks. på grund af arten af den pågældendes opholdsstatus i en given medlemsstat eller deres bopæl i et tredjeland, bør kontrollen finde sted ved hjælp af relevante kvalificerede tillidstjenester.</w:t>
      </w:r>
    </w:p>
    <w:p w14:paraId="797EF814"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br/>
        <w:t xml:space="preserve">Det fremgår endvidere af stk. 7, at forpligtede enheder bestemmer omfanget af de oplysninger, der skal konsulteres, idet de tager hensyn til de risici, som hidrører fra den lejlighedsvise transaktion eller forretningsforbindelsen og den reelle ejer, herunder risici i forbindelse med ejerskabsstrukturen. Ud over metoderne til kontrol i dette stykkes første afsnit kontrollerer forpligtede enheder oplysningerne om de reelle ejere ved at konsultere de centrale registre. Bestemmelsen viderefører 4. og 5. hvidvaskdirektivs artikel 30, stk. 8, og artikel 31, stk. 6, idet bestemmelsen dog udspecificerer kravene til, hvordan de forpligtede enheder skal foretage kontrollen af identiteten. </w:t>
      </w:r>
    </w:p>
    <w:p w14:paraId="17001EAA" w14:textId="77777777" w:rsidR="00142D3F" w:rsidRPr="00A4589A" w:rsidRDefault="00142D3F" w:rsidP="00142D3F">
      <w:pPr>
        <w:spacing w:line="360" w:lineRule="auto"/>
        <w:rPr>
          <w:rFonts w:ascii="Times New Roman" w:eastAsia="Calibri" w:hAnsi="Times New Roman" w:cs="Times New Roman"/>
          <w:sz w:val="24"/>
          <w:szCs w:val="24"/>
        </w:rPr>
      </w:pPr>
    </w:p>
    <w:p w14:paraId="7AA51BEC"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fremgår af præambelbetragtning nr. 54, at forpligtede enheder bør identificere og træffe rimelige foranstaltninger til at kontrollere identiteten af den reelle ejer ved hjælp af pålidelige dokumenter og kildeoplysninger. Søgningen i centrale registre over reelt ejerskab (»centrale registre«) giver forpligtede enheder mulighed for at sikre overensstemmelse med oplysninger, der indhentes gennem kontrolproceduren, og bør ikke være den forpligtede enheds primære kilde til kontrol. Hvor forpligtede enheder konstaterer uoverensstemmelser mellem oplysningerne i centrale registre og de oplysninger, de indhenter fra kunden eller andre pålidelige kilder i forbindelse med kundekendskabsprocedurer, bør de indberette disse uoverensstemmelser til den enhed, der er ansvarlig for det relevante centrale register, således at der kan træffes foranstaltninger til at afhjælpe uoverensstemmelser. Denne procedure bidrager til kvaliteten og pålideligheden af de oplysninger, der opbevares i centrale registre, som led i en flerstrenget tilgang til at sikre, at oplysningerne i registre over reelt ejerskab er nøjagtige, tilstrækkelige og ajourførte. I lavrisikosituationer, og hvor den forpligtede enhed har kendskab til de reelle ejere, bør det være muligt for forpligtede enheder at tillade kunden at angive uoverensstemmelser, hvis der konstateres mindre forskelle i form af fejl af typografisk eller lignende teknisk art.</w:t>
      </w:r>
    </w:p>
    <w:p w14:paraId="2B2D2778" w14:textId="77777777" w:rsidR="00142D3F" w:rsidRPr="00A4589A" w:rsidRDefault="00142D3F" w:rsidP="00142D3F">
      <w:pPr>
        <w:spacing w:line="360" w:lineRule="auto"/>
        <w:rPr>
          <w:rFonts w:ascii="Times New Roman" w:eastAsia="Calibri" w:hAnsi="Times New Roman" w:cs="Times New Roman"/>
          <w:sz w:val="24"/>
          <w:szCs w:val="24"/>
        </w:rPr>
      </w:pPr>
    </w:p>
    <w:p w14:paraId="7E4FEE72"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Hvidvaskforordningens artikel 28 indeholder regler om reguleringsmæssige tekniske standarder for oplysninger, som er nødvendige for at gennemføre kundekendskabsprocedurer. </w:t>
      </w:r>
    </w:p>
    <w:p w14:paraId="5B7B9308" w14:textId="77777777" w:rsidR="00142D3F" w:rsidRPr="00A4589A" w:rsidRDefault="00142D3F" w:rsidP="00142D3F">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br/>
        <w:t>Efter bestemmelsens stk. 1 udarbejder AMLA senest den 10. juli 2026 udkast til reguleringsmæssige tekniske standarder og forelægger dem for Kommissionen med henblik på vedtagelse, hvori en række elementer vil blive præciseret, herunder de krav, der gælder for forpligtede enheder i henhold til artikel 20, og de oplysninger, som skal indhentes med henblik på at gennemføre almindelige, lempede og skærpede kundekendskabsprocedurer i henhold til artikel 22 og 25 samt artikel 33, stk. 1, og artikel 34, stk. 4, herunder mindstekrav i situationer med lavere risiko.</w:t>
      </w:r>
    </w:p>
    <w:p w14:paraId="30939A62" w14:textId="77777777" w:rsidR="00BE7C05" w:rsidRDefault="00BE7C05" w:rsidP="00BE7C05"/>
    <w:p w14:paraId="389BCFD3" w14:textId="77777777" w:rsidR="00BE7C05" w:rsidRPr="00BE7C05" w:rsidRDefault="00BE7C05" w:rsidP="00BE7C05"/>
    <w:p w14:paraId="2B55EB76" w14:textId="77777777" w:rsidR="00713B02" w:rsidRDefault="003C1A7C" w:rsidP="00A802A5">
      <w:pPr>
        <w:pStyle w:val="Overskrift4"/>
        <w:rPr>
          <w:rFonts w:ascii="Times New Roman" w:hAnsi="Times New Roman" w:cs="Times New Roman"/>
          <w:sz w:val="24"/>
          <w:szCs w:val="24"/>
        </w:rPr>
      </w:pPr>
      <w:bookmarkStart w:id="1195" w:name="_Toc232109133"/>
      <w:bookmarkStart w:id="1196" w:name="_Ref236989198"/>
      <w:r w:rsidRPr="00796736">
        <w:rPr>
          <w:rFonts w:ascii="Times New Roman" w:hAnsi="Times New Roman" w:cs="Times New Roman"/>
          <w:sz w:val="24"/>
          <w:szCs w:val="24"/>
        </w:rPr>
        <w:t>Justitsministeriet</w:t>
      </w:r>
      <w:r w:rsidR="00193A5F" w:rsidRPr="00796736">
        <w:rPr>
          <w:rFonts w:ascii="Times New Roman" w:hAnsi="Times New Roman" w:cs="Times New Roman"/>
          <w:sz w:val="24"/>
          <w:szCs w:val="24"/>
        </w:rPr>
        <w:t xml:space="preserve"> og Skatte- og Vækstministeriets</w:t>
      </w:r>
      <w:r w:rsidRPr="00796736">
        <w:rPr>
          <w:rFonts w:ascii="Times New Roman" w:hAnsi="Times New Roman" w:cs="Times New Roman"/>
          <w:sz w:val="24"/>
          <w:szCs w:val="24"/>
        </w:rPr>
        <w:t xml:space="preserve"> overvejelser og den foreslåede ordning</w:t>
      </w:r>
      <w:bookmarkEnd w:id="1195"/>
      <w:bookmarkEnd w:id="1196"/>
    </w:p>
    <w:p w14:paraId="66A3DCF1" w14:textId="59A00F24"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Som det fremgår under pkt.</w:t>
      </w:r>
      <w:r w:rsidR="0003570A">
        <w:rPr>
          <w:rFonts w:ascii="Times New Roman" w:hAnsi="Times New Roman" w:cs="Times New Roman"/>
          <w:sz w:val="24"/>
          <w:szCs w:val="24"/>
        </w:rPr>
        <w:fldChar w:fldCharType="begin"/>
      </w:r>
      <w:r w:rsidR="0003570A">
        <w:rPr>
          <w:rFonts w:ascii="Times New Roman" w:hAnsi="Times New Roman" w:cs="Times New Roman"/>
          <w:sz w:val="24"/>
          <w:szCs w:val="24"/>
        </w:rPr>
        <w:instrText xml:space="preserve"> REF _Ref236655611 \h </w:instrText>
      </w:r>
      <w:r w:rsidR="0003570A">
        <w:rPr>
          <w:rFonts w:ascii="Times New Roman" w:hAnsi="Times New Roman" w:cs="Times New Roman"/>
          <w:sz w:val="24"/>
          <w:szCs w:val="24"/>
        </w:rPr>
      </w:r>
      <w:r w:rsidR="0003570A">
        <w:rPr>
          <w:rFonts w:ascii="Times New Roman" w:hAnsi="Times New Roman" w:cs="Times New Roman"/>
          <w:sz w:val="24"/>
          <w:szCs w:val="24"/>
        </w:rPr>
        <w:fldChar w:fldCharType="separate"/>
      </w:r>
      <w:r w:rsidR="008F29E5" w:rsidRPr="00796736">
        <w:rPr>
          <w:rFonts w:ascii="Times New Roman" w:hAnsi="Times New Roman" w:cs="Times New Roman"/>
          <w:sz w:val="24"/>
          <w:szCs w:val="24"/>
        </w:rPr>
        <w:t>Hvidvaskforordningen</w:t>
      </w:r>
      <w:r w:rsidR="0003570A">
        <w:rPr>
          <w:rFonts w:ascii="Times New Roman" w:hAnsi="Times New Roman" w:cs="Times New Roman"/>
          <w:sz w:val="24"/>
          <w:szCs w:val="24"/>
        </w:rPr>
        <w:fldChar w:fldCharType="end"/>
      </w:r>
      <w:r w:rsidR="0003570A">
        <w:rPr>
          <w:rFonts w:ascii="Times New Roman" w:hAnsi="Times New Roman" w:cs="Times New Roman"/>
          <w:sz w:val="24"/>
          <w:szCs w:val="24"/>
        </w:rPr>
        <w:t xml:space="preserve"> </w:t>
      </w:r>
      <w:r w:rsidR="0003570A">
        <w:rPr>
          <w:rFonts w:ascii="Times New Roman" w:hAnsi="Times New Roman" w:cs="Times New Roman"/>
          <w:sz w:val="24"/>
          <w:szCs w:val="24"/>
        </w:rPr>
        <w:fldChar w:fldCharType="begin"/>
      </w:r>
      <w:r w:rsidR="0003570A">
        <w:rPr>
          <w:rFonts w:ascii="Times New Roman" w:hAnsi="Times New Roman" w:cs="Times New Roman"/>
          <w:sz w:val="24"/>
          <w:szCs w:val="24"/>
        </w:rPr>
        <w:instrText xml:space="preserve"> REF _Ref236655611 \n \h </w:instrText>
      </w:r>
      <w:r w:rsidR="0003570A">
        <w:rPr>
          <w:rFonts w:ascii="Times New Roman" w:hAnsi="Times New Roman" w:cs="Times New Roman"/>
          <w:sz w:val="24"/>
          <w:szCs w:val="24"/>
        </w:rPr>
      </w:r>
      <w:r w:rsidR="0003570A">
        <w:rPr>
          <w:rFonts w:ascii="Times New Roman" w:hAnsi="Times New Roman" w:cs="Times New Roman"/>
          <w:sz w:val="24"/>
          <w:szCs w:val="24"/>
        </w:rPr>
        <w:fldChar w:fldCharType="separate"/>
      </w:r>
      <w:r w:rsidR="008F29E5">
        <w:rPr>
          <w:rFonts w:ascii="Times New Roman" w:hAnsi="Times New Roman" w:cs="Times New Roman"/>
          <w:sz w:val="24"/>
          <w:szCs w:val="24"/>
        </w:rPr>
        <w:t>3.35.2</w:t>
      </w:r>
      <w:r w:rsidR="0003570A">
        <w:rPr>
          <w:rFonts w:ascii="Times New Roman" w:hAnsi="Times New Roman" w:cs="Times New Roman"/>
          <w:sz w:val="24"/>
          <w:szCs w:val="24"/>
        </w:rPr>
        <w:fldChar w:fldCharType="end"/>
      </w:r>
      <w:r w:rsidR="00534C63">
        <w:rPr>
          <w:rFonts w:ascii="Times New Roman" w:hAnsi="Times New Roman" w:cs="Times New Roman"/>
          <w:sz w:val="24"/>
          <w:szCs w:val="24"/>
        </w:rPr>
        <w:t xml:space="preserve">, </w:t>
      </w:r>
      <w:r w:rsidRPr="00A4589A">
        <w:rPr>
          <w:rFonts w:ascii="Times New Roman" w:hAnsi="Times New Roman" w:cs="Times New Roman"/>
          <w:sz w:val="24"/>
          <w:szCs w:val="24"/>
        </w:rPr>
        <w:t xml:space="preserve">fremgår det af hvidvaskforordningens artikel 20, stk. 1, litra h, </w:t>
      </w:r>
      <w:r w:rsidRPr="00A4589A">
        <w:rPr>
          <w:rFonts w:ascii="Times New Roman" w:eastAsia="Calibri" w:hAnsi="Times New Roman" w:cs="Times New Roman"/>
          <w:sz w:val="24"/>
          <w:szCs w:val="24"/>
        </w:rPr>
        <w:t>at hvis en transaktion eller en aktivitet gennemføres på vegne af eller til fordel for en anden fysisk person end kunden, skal en forpligtet enhed som foranstaltning identificere og kontrollere denne eller disse fysiske personers identitet. I forordningens artikel 22 er det nærmere opregnet, hvilke oplysninger de forpligtede enheder som minimum skal indhente om forskellige entiteter for at identificere kunden, enhver person, der foregiver at handle på kundens vegne og de fysiske personer, på hvis vegne eller til hvis fordel en transaktion eller aktivitet gennemføres. Forordningens bestemmelser viderefører og udbygger kravene til kundekendskabsproceduren, som følger af 4. og 5. hvidvaskdirektivs artikel 13, som er implementeret i Danmark ved hvidvasklovens § 11.</w:t>
      </w:r>
    </w:p>
    <w:p w14:paraId="375FE4ED" w14:textId="77777777" w:rsidR="00713B02" w:rsidRPr="00A4589A" w:rsidRDefault="00713B02" w:rsidP="00713B02">
      <w:pPr>
        <w:spacing w:line="360" w:lineRule="auto"/>
        <w:rPr>
          <w:rFonts w:ascii="Times New Roman" w:hAnsi="Times New Roman" w:cs="Times New Roman"/>
          <w:sz w:val="24"/>
          <w:szCs w:val="24"/>
        </w:rPr>
      </w:pPr>
    </w:p>
    <w:p w14:paraId="74DE324F" w14:textId="747AB46A"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Som det fremgår af pkt. </w:t>
      </w:r>
      <w:r w:rsidRPr="00A4589A">
        <w:rPr>
          <w:rFonts w:ascii="Times New Roman" w:hAnsi="Times New Roman" w:cs="Times New Roman"/>
          <w:sz w:val="24"/>
          <w:szCs w:val="24"/>
        </w:rPr>
        <w:fldChar w:fldCharType="begin"/>
      </w:r>
      <w:r w:rsidRPr="00A4589A">
        <w:rPr>
          <w:rFonts w:ascii="Times New Roman" w:hAnsi="Times New Roman" w:cs="Times New Roman"/>
          <w:sz w:val="24"/>
          <w:szCs w:val="24"/>
        </w:rPr>
        <w:instrText xml:space="preserve"> REF _Ref236655625 \n \h  \* MERGEFORMAT </w:instrText>
      </w:r>
      <w:r w:rsidRPr="00A4589A">
        <w:rPr>
          <w:rFonts w:ascii="Times New Roman" w:hAnsi="Times New Roman" w:cs="Times New Roman"/>
          <w:sz w:val="24"/>
          <w:szCs w:val="24"/>
        </w:rPr>
      </w:r>
      <w:r w:rsidRPr="00A4589A">
        <w:rPr>
          <w:rFonts w:ascii="Times New Roman" w:hAnsi="Times New Roman" w:cs="Times New Roman"/>
          <w:sz w:val="24"/>
          <w:szCs w:val="24"/>
        </w:rPr>
        <w:fldChar w:fldCharType="separate"/>
      </w:r>
      <w:r w:rsidR="008F29E5">
        <w:rPr>
          <w:rFonts w:ascii="Times New Roman" w:hAnsi="Times New Roman" w:cs="Times New Roman"/>
          <w:sz w:val="24"/>
          <w:szCs w:val="24"/>
        </w:rPr>
        <w:t>3.35.1.1.1</w:t>
      </w:r>
      <w:r w:rsidRPr="00A4589A">
        <w:rPr>
          <w:rFonts w:ascii="Times New Roman" w:hAnsi="Times New Roman" w:cs="Times New Roman"/>
          <w:sz w:val="24"/>
          <w:szCs w:val="24"/>
        </w:rPr>
        <w:fldChar w:fldCharType="end"/>
      </w:r>
      <w:r w:rsidRPr="00A4589A">
        <w:rPr>
          <w:rFonts w:ascii="Times New Roman" w:hAnsi="Times New Roman" w:cs="Times New Roman"/>
          <w:sz w:val="24"/>
          <w:szCs w:val="24"/>
        </w:rPr>
        <w:t xml:space="preserve">, indeholder hvidvasklovens § 38 b regler om advokaters behandling af midler på en samleklientbankkonto med hensyn til indhentelse og kontrol af klienters identitetsoplysninger og videregivelse af oplysningerne til pengeinstitutterne. Som det fremgår af pkt. </w:t>
      </w:r>
      <w:r w:rsidRPr="00A4589A">
        <w:rPr>
          <w:rFonts w:ascii="Times New Roman" w:hAnsi="Times New Roman" w:cs="Times New Roman"/>
          <w:sz w:val="24"/>
          <w:szCs w:val="24"/>
        </w:rPr>
        <w:fldChar w:fldCharType="begin"/>
      </w:r>
      <w:r w:rsidRPr="00A4589A">
        <w:rPr>
          <w:rFonts w:ascii="Times New Roman" w:hAnsi="Times New Roman" w:cs="Times New Roman"/>
          <w:sz w:val="24"/>
          <w:szCs w:val="24"/>
        </w:rPr>
        <w:instrText xml:space="preserve"> REF _Ref236655625 \n \h  \* MERGEFORMAT </w:instrText>
      </w:r>
      <w:r w:rsidRPr="00A4589A">
        <w:rPr>
          <w:rFonts w:ascii="Times New Roman" w:hAnsi="Times New Roman" w:cs="Times New Roman"/>
          <w:sz w:val="24"/>
          <w:szCs w:val="24"/>
        </w:rPr>
      </w:r>
      <w:r w:rsidRPr="00A4589A">
        <w:rPr>
          <w:rFonts w:ascii="Times New Roman" w:hAnsi="Times New Roman" w:cs="Times New Roman"/>
          <w:sz w:val="24"/>
          <w:szCs w:val="24"/>
        </w:rPr>
        <w:fldChar w:fldCharType="separate"/>
      </w:r>
      <w:r w:rsidR="008F29E5">
        <w:rPr>
          <w:rFonts w:ascii="Times New Roman" w:hAnsi="Times New Roman" w:cs="Times New Roman"/>
          <w:sz w:val="24"/>
          <w:szCs w:val="24"/>
        </w:rPr>
        <w:t>3.35.1.1.1</w:t>
      </w:r>
      <w:r w:rsidRPr="00A4589A">
        <w:rPr>
          <w:rFonts w:ascii="Times New Roman" w:hAnsi="Times New Roman" w:cs="Times New Roman"/>
          <w:sz w:val="24"/>
          <w:szCs w:val="24"/>
        </w:rPr>
        <w:fldChar w:fldCharType="end"/>
      </w:r>
      <w:r w:rsidRPr="00A4589A">
        <w:rPr>
          <w:rFonts w:ascii="Times New Roman" w:hAnsi="Times New Roman" w:cs="Times New Roman"/>
          <w:sz w:val="24"/>
          <w:szCs w:val="24"/>
        </w:rPr>
        <w:t xml:space="preserve"> blev reglen indsat ved lov nr. 712 af 20. juni 2025 og blev før sin ikrafttrædelse ved lov nr. 1638 af 16. december 2025 nyaffattet. Bestemmelsen er en national særregel, som er indsat for at sikre, at advokaters tavshedspligt i relation til deres klienter ikke medfører, at pengeinstitutterne ikke kan leve op til kravene i hvidvasklovens bestemmelser om kundekendskabsprocedurer, som implementerer 4. og 5. hvidvaskdirektivs bestemmelser herom.</w:t>
      </w:r>
    </w:p>
    <w:p w14:paraId="0B3CF537" w14:textId="77777777" w:rsidR="00713B02" w:rsidRPr="00A4589A" w:rsidRDefault="00713B02" w:rsidP="00713B02">
      <w:pPr>
        <w:spacing w:line="360" w:lineRule="auto"/>
        <w:rPr>
          <w:rFonts w:ascii="Times New Roman" w:hAnsi="Times New Roman" w:cs="Times New Roman"/>
          <w:sz w:val="24"/>
          <w:szCs w:val="24"/>
        </w:rPr>
      </w:pPr>
    </w:p>
    <w:p w14:paraId="3C9803D7" w14:textId="1259E94D"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Som det fremgår af pkt.</w:t>
      </w:r>
      <w:r w:rsidR="0003570A">
        <w:rPr>
          <w:rFonts w:ascii="Times New Roman" w:hAnsi="Times New Roman" w:cs="Times New Roman"/>
          <w:sz w:val="24"/>
          <w:szCs w:val="24"/>
        </w:rPr>
        <w:t xml:space="preserve"> </w:t>
      </w:r>
      <w:r w:rsidR="0003570A">
        <w:rPr>
          <w:rFonts w:ascii="Times New Roman" w:hAnsi="Times New Roman" w:cs="Times New Roman"/>
          <w:sz w:val="24"/>
          <w:szCs w:val="24"/>
        </w:rPr>
        <w:fldChar w:fldCharType="begin"/>
      </w:r>
      <w:r w:rsidR="0003570A">
        <w:rPr>
          <w:rFonts w:ascii="Times New Roman" w:hAnsi="Times New Roman" w:cs="Times New Roman"/>
          <w:sz w:val="24"/>
          <w:szCs w:val="24"/>
        </w:rPr>
        <w:instrText xml:space="preserve"> REF _Ref236655611 \n \h </w:instrText>
      </w:r>
      <w:r w:rsidR="0003570A">
        <w:rPr>
          <w:rFonts w:ascii="Times New Roman" w:hAnsi="Times New Roman" w:cs="Times New Roman"/>
          <w:sz w:val="24"/>
          <w:szCs w:val="24"/>
        </w:rPr>
      </w:r>
      <w:r w:rsidR="0003570A">
        <w:rPr>
          <w:rFonts w:ascii="Times New Roman" w:hAnsi="Times New Roman" w:cs="Times New Roman"/>
          <w:sz w:val="24"/>
          <w:szCs w:val="24"/>
        </w:rPr>
        <w:fldChar w:fldCharType="separate"/>
      </w:r>
      <w:r w:rsidR="008F29E5">
        <w:rPr>
          <w:rFonts w:ascii="Times New Roman" w:hAnsi="Times New Roman" w:cs="Times New Roman"/>
          <w:sz w:val="24"/>
          <w:szCs w:val="24"/>
        </w:rPr>
        <w:t>3.35.2</w:t>
      </w:r>
      <w:r w:rsidR="0003570A">
        <w:rPr>
          <w:rFonts w:ascii="Times New Roman" w:hAnsi="Times New Roman" w:cs="Times New Roman"/>
          <w:sz w:val="24"/>
          <w:szCs w:val="24"/>
        </w:rPr>
        <w:fldChar w:fldCharType="end"/>
      </w:r>
      <w:r w:rsidRPr="00A4589A">
        <w:rPr>
          <w:rFonts w:ascii="Times New Roman" w:hAnsi="Times New Roman" w:cs="Times New Roman"/>
          <w:sz w:val="24"/>
          <w:szCs w:val="24"/>
        </w:rPr>
        <w:t xml:space="preserve">, finder hvidvaskforordningens regler om kundekendskabsprocedurer anvendelse for advokater, når disse yder bistand mv., som er omfattet af forordningens artikel 3, nr. 3, litra a og b, og udfører opgaver mv. omfattet af forordningens artikel 19. Advokater, vil således i disse tilfælde skulle have de fornødne identitetsoplysninger mv. på en klient, når klienten har indestående midler på advokatens samleklientbankkonto. Samtidig vil pengeinstitutterne være forpligtet til at udføre kundekendskabsprocedurer i forhold til de reelle ejere af midlerne på samleklientbankkontoen. </w:t>
      </w:r>
    </w:p>
    <w:p w14:paraId="2ED8262C" w14:textId="77777777" w:rsidR="00713B02" w:rsidRPr="00A4589A" w:rsidRDefault="00713B02" w:rsidP="00713B02">
      <w:pPr>
        <w:spacing w:line="360" w:lineRule="auto"/>
        <w:rPr>
          <w:rFonts w:ascii="Times New Roman" w:hAnsi="Times New Roman" w:cs="Times New Roman"/>
          <w:sz w:val="24"/>
          <w:szCs w:val="24"/>
        </w:rPr>
      </w:pPr>
    </w:p>
    <w:p w14:paraId="353D425F"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Som det også er tilfældet efter gældende ret i forhold til hvidvaskloven, falder advokater, fællesskaber af advokater og advokatselskabers bistand i visse tilfælde uden for hvidvaskforordningens anvendelsesområde, f.eks. udførelse af retssager og inkassosager, og advokater mv. vil derfor i disse tilfælde ikke være forpligtet eller berettiget til at gennemføre kundekendskabsprocedurer i relation til deres klienter. </w:t>
      </w:r>
    </w:p>
    <w:p w14:paraId="0A280EEE" w14:textId="77777777"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hAnsi="Times New Roman" w:cs="Times New Roman"/>
          <w:sz w:val="24"/>
          <w:szCs w:val="24"/>
        </w:rPr>
        <w:br/>
      </w:r>
      <w:r w:rsidRPr="00A4589A">
        <w:rPr>
          <w:rFonts w:ascii="Times New Roman" w:eastAsia="Calibri" w:hAnsi="Times New Roman" w:cs="Times New Roman"/>
          <w:sz w:val="24"/>
          <w:szCs w:val="24"/>
        </w:rPr>
        <w:t>Der vil således være tilfælde, hvor en advokats mv. klient har midler stående på advokatens samleklientbankkonto, men hvor advokaten på den ene side ikke selv er forpligtet eller berettiget til at gennemføre kundekendskabsprocedurer i relation til klienten, fordi advokatens bistand m.v. ikke er omfattet af hvidvaskforordningen, mens advokatens pengeinstitut på den anden side i medfør af hvidforordningen er forpligtet til at kende identiteten på den reelle ejer (klienten), som har midler stående på advokatens samleklientbankkonto.</w:t>
      </w:r>
    </w:p>
    <w:p w14:paraId="3DD180D3"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Imidlertid har advokaten mv. – uanset om den bistand m.v., som vedkommende yder, er omfattet af hvidvaskforordningen eller ej – i medfør af sin tavshedspligt som altovervejende hovedregel alene mulighed for at stille de nødvendige identifikationsoplysninger samt kopi af dokumenter, data eller oplysninger, som advokaten har indhentet til kontrol heraf, til rådighed for sit pengeinstitut, hvis advokaten fra klienten indhenter et samtykke, eller hvis straffelovens § 152 e finder anvendelse.</w:t>
      </w:r>
    </w:p>
    <w:p w14:paraId="2947F99E" w14:textId="77777777" w:rsidR="00713B02" w:rsidRPr="00A4589A" w:rsidRDefault="00713B02" w:rsidP="00713B02">
      <w:pPr>
        <w:spacing w:line="360" w:lineRule="auto"/>
        <w:rPr>
          <w:rFonts w:ascii="Times New Roman" w:hAnsi="Times New Roman" w:cs="Times New Roman"/>
          <w:sz w:val="24"/>
          <w:szCs w:val="24"/>
        </w:rPr>
      </w:pPr>
    </w:p>
    <w:p w14:paraId="493FE981" w14:textId="300F5F7D" w:rsidR="00713B02" w:rsidRPr="00A4589A" w:rsidRDefault="00713B02" w:rsidP="00713B02">
      <w:pPr>
        <w:spacing w:line="360" w:lineRule="auto"/>
        <w:rPr>
          <w:rFonts w:ascii="Times New Roman" w:hAnsi="Times New Roman" w:cs="Times New Roman"/>
          <w:sz w:val="24"/>
          <w:szCs w:val="24"/>
        </w:rPr>
      </w:pPr>
      <w:r w:rsidRPr="00A4589A">
        <w:rPr>
          <w:rFonts w:ascii="Times New Roman" w:eastAsia="Calibri" w:hAnsi="Times New Roman" w:cs="Times New Roman"/>
          <w:sz w:val="24"/>
          <w:szCs w:val="24"/>
        </w:rPr>
        <w:t xml:space="preserve">Det er fortsat Justitsministeriets og Skatte- og Vækstministeriets opfattelse, at det er uhensigtsmæssigt, at en advokat mv. på grund af sin tavshedspligt som udgangspunkt ikke kan stille klientens identifikationsoplysninger samt kopi af dokumenter, data eller oplysninger, som advokaten har indhentet til kontrol heraf, til rådighed for sit pengeinstitut til brug for, at pengeinstituttet anvender oplysningerne i forbindelse med pengeinstituttets gennemførelse af de nødvendige kundekendskabsprocedurer i relation til at fastslå identiteten på den reelle ejer (klienten) af midlerne på advokatens samleklientbankkonto. Der kan i øvrigt henvises til overvejelserne bag indsættelsen og nyaffattelsen af hvidvasklovens § 38 b, som er gengivet ovenfor under </w:t>
      </w:r>
      <w:r w:rsidRPr="00A4589A">
        <w:rPr>
          <w:rFonts w:ascii="Times New Roman" w:hAnsi="Times New Roman" w:cs="Times New Roman"/>
          <w:sz w:val="24"/>
          <w:szCs w:val="24"/>
        </w:rPr>
        <w:t xml:space="preserve">pkt. </w:t>
      </w:r>
      <w:r w:rsidRPr="00A4589A">
        <w:rPr>
          <w:rFonts w:ascii="Times New Roman" w:hAnsi="Times New Roman" w:cs="Times New Roman"/>
          <w:sz w:val="24"/>
          <w:szCs w:val="24"/>
        </w:rPr>
        <w:fldChar w:fldCharType="begin"/>
      </w:r>
      <w:r w:rsidRPr="00A4589A">
        <w:rPr>
          <w:rFonts w:ascii="Times New Roman" w:hAnsi="Times New Roman" w:cs="Times New Roman"/>
          <w:sz w:val="24"/>
          <w:szCs w:val="24"/>
        </w:rPr>
        <w:instrText xml:space="preserve"> REF _Ref236655625 \n \h  \* MERGEFORMAT </w:instrText>
      </w:r>
      <w:r w:rsidRPr="00A4589A">
        <w:rPr>
          <w:rFonts w:ascii="Times New Roman" w:hAnsi="Times New Roman" w:cs="Times New Roman"/>
          <w:sz w:val="24"/>
          <w:szCs w:val="24"/>
        </w:rPr>
      </w:r>
      <w:r w:rsidRPr="00A4589A">
        <w:rPr>
          <w:rFonts w:ascii="Times New Roman" w:hAnsi="Times New Roman" w:cs="Times New Roman"/>
          <w:sz w:val="24"/>
          <w:szCs w:val="24"/>
        </w:rPr>
        <w:fldChar w:fldCharType="separate"/>
      </w:r>
      <w:r w:rsidR="008F29E5">
        <w:rPr>
          <w:rFonts w:ascii="Times New Roman" w:hAnsi="Times New Roman" w:cs="Times New Roman"/>
          <w:sz w:val="24"/>
          <w:szCs w:val="24"/>
        </w:rPr>
        <w:t>3.35.1.1.1</w:t>
      </w:r>
      <w:r w:rsidRPr="00A4589A">
        <w:rPr>
          <w:rFonts w:ascii="Times New Roman" w:hAnsi="Times New Roman" w:cs="Times New Roman"/>
          <w:sz w:val="24"/>
          <w:szCs w:val="24"/>
        </w:rPr>
        <w:fldChar w:fldCharType="end"/>
      </w:r>
      <w:r w:rsidRPr="00A4589A">
        <w:rPr>
          <w:rFonts w:ascii="Times New Roman" w:hAnsi="Times New Roman" w:cs="Times New Roman"/>
          <w:sz w:val="24"/>
          <w:szCs w:val="24"/>
        </w:rPr>
        <w:t xml:space="preserve">. </w:t>
      </w:r>
    </w:p>
    <w:p w14:paraId="33EDE22A" w14:textId="77777777" w:rsidR="00713B02" w:rsidRPr="00A4589A" w:rsidRDefault="00713B02" w:rsidP="00713B02">
      <w:pPr>
        <w:spacing w:line="360" w:lineRule="auto"/>
        <w:rPr>
          <w:rFonts w:ascii="Times New Roman" w:hAnsi="Times New Roman" w:cs="Times New Roman"/>
          <w:sz w:val="24"/>
          <w:szCs w:val="24"/>
        </w:rPr>
      </w:pPr>
    </w:p>
    <w:p w14:paraId="480A391A"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I tillæg til de krav, som pengeinstitutterne efter hvidvaskforordningen er underlagt, er pengeinstitutterne endvidere i henhold til diverse love og forordninger indeholdende regler om finansielle sanktioner mod lande, personer, grupper, juridiske personer eller organer forpligtede til, at pengemidler eller økonomiske ressourcer hverken direkte eller indirekte må stilles til rådighed for eller stilles til rådighed til fordel for de lande, personer, grupper, juridiske personer eller organer, som er omfattet af pågældende sanktioner. </w:t>
      </w:r>
    </w:p>
    <w:p w14:paraId="4B3D7E19" w14:textId="77777777" w:rsidR="00713B02" w:rsidRPr="00A4589A" w:rsidRDefault="00713B02" w:rsidP="00713B02">
      <w:pPr>
        <w:spacing w:line="360" w:lineRule="auto"/>
        <w:rPr>
          <w:rFonts w:ascii="Times New Roman" w:hAnsi="Times New Roman" w:cs="Times New Roman"/>
          <w:sz w:val="24"/>
          <w:szCs w:val="24"/>
        </w:rPr>
      </w:pPr>
    </w:p>
    <w:p w14:paraId="111B7541"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Justitsministeriet og Skatte- og Vækstministeriet finder videre, at også i de tilfælde, hvor advokatens klient har midler stående på samleklientbankkontoen, men hvor advokaten ikke selv er forpligtet til at foretage kundekendskabsprocedurer af klienten efter hvidvaskloven, bør advokaten på grund af klientforholdet kunne indhente identitetsoplysninger fra sin klient og stille disse til rådighed for sit pengeinstitut til brug for, at pengeinstituttet anvender oplysningerne i forbindelse med pengeinstituttets gennemførelse af de nødvendige kundekendskabsprocedurer i relation til at fastslå identiteten på den reelle ejer (klienten) af midlerne på samleklientbankkontoen. </w:t>
      </w:r>
    </w:p>
    <w:p w14:paraId="656DEEDD" w14:textId="77777777" w:rsidR="00713B02" w:rsidRPr="00A4589A" w:rsidRDefault="00713B02" w:rsidP="00713B02">
      <w:pPr>
        <w:spacing w:line="360" w:lineRule="auto"/>
        <w:rPr>
          <w:rFonts w:ascii="Times New Roman" w:hAnsi="Times New Roman" w:cs="Times New Roman"/>
          <w:sz w:val="24"/>
          <w:szCs w:val="24"/>
        </w:rPr>
      </w:pPr>
    </w:p>
    <w:p w14:paraId="45719397"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Justitsministeriet og Skatte- og Vækstministeriet har ved afvejningen af, hvem der bør indhente de nødvendige oplysninger fra klienten i denne sammenhæng, navnlig lagt vægt på, at advokaten er nærmest til at kende klienten – og at det derfor også bør være advokaten, der skal kontrollere identiteten på klienten ved hjælp af dokumenter, data eller oplysninger – ligesom det også er advokatens ansvar, at advokatens samleklientbankkonto føres efter bestemmelserne i klientkontovedtægten. Det bemærkes, at lovforslaget ikke i øvrigt berører pengeinstitutternes forpligtelser efter hvidvaskforordningen i forhold til reglerne om reelle ejere, og at de generelle pligter i henhold til forordningen, herunder bl.a. kravene i kapitel 2 om risikostyring og kapitel 3 om kundekendskabsprocedurer, fortsat ikke finder anvendelse på de sager, som advokater behandler, der ikke er omfattet af forordningens artikel 3, stk. 3, litra a eller b.</w:t>
      </w:r>
    </w:p>
    <w:p w14:paraId="3137D2A3" w14:textId="77777777" w:rsidR="00713B02" w:rsidRPr="00A4589A" w:rsidRDefault="00713B02" w:rsidP="00713B02">
      <w:pPr>
        <w:spacing w:line="360" w:lineRule="auto"/>
        <w:rPr>
          <w:rFonts w:ascii="Times New Roman" w:hAnsi="Times New Roman" w:cs="Times New Roman"/>
          <w:sz w:val="24"/>
          <w:szCs w:val="24"/>
        </w:rPr>
      </w:pPr>
    </w:p>
    <w:p w14:paraId="45987555"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I tillæg til overvejelserne bag indførelsen af hvidvasklovens § 38 b kan det nævnes, at på baggrund af erfaringerne med den gældende § 38 b vurderes at være et behov for, at Advokatrådet som tilsynsorgan kan kræve dokumentation for overholdelsen af pligterne efter § 38 b. Behovet skyldes blandt andet, at pengeinstitutterne har udviklet individuelle tekniske løsninger, hvilket har medført forskelle i mulighederne for efterfølgende at kunne dokumentere overholdelsen af pligterne via pengeinstitutternes digitale løsninger. </w:t>
      </w:r>
    </w:p>
    <w:p w14:paraId="04DA079D" w14:textId="77777777" w:rsidR="00713B02" w:rsidRPr="00A4589A" w:rsidRDefault="00713B02" w:rsidP="00713B02">
      <w:pPr>
        <w:spacing w:line="360" w:lineRule="auto"/>
        <w:rPr>
          <w:rFonts w:ascii="Times New Roman" w:hAnsi="Times New Roman" w:cs="Times New Roman"/>
          <w:sz w:val="24"/>
          <w:szCs w:val="24"/>
        </w:rPr>
      </w:pPr>
    </w:p>
    <w:p w14:paraId="3B62BB52"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Formålet med den ny mulighed er at sikre, at Advokatrådet effektivt kan efterprøve, om bestemmelsen er overholdt, uanset hvilke tekniske løsninger, som pengeinstitutterne anvender, og uanset hvilke oplysninger, der kan tilgås i disse løsninger efter tilgængeliggørelsen.</w:t>
      </w:r>
    </w:p>
    <w:p w14:paraId="55B915D9" w14:textId="77777777" w:rsidR="00713B02" w:rsidRPr="00A4589A" w:rsidRDefault="00713B02" w:rsidP="00713B02">
      <w:pPr>
        <w:spacing w:line="360" w:lineRule="auto"/>
        <w:rPr>
          <w:rFonts w:ascii="Times New Roman" w:hAnsi="Times New Roman" w:cs="Times New Roman"/>
          <w:sz w:val="24"/>
          <w:szCs w:val="24"/>
        </w:rPr>
      </w:pPr>
    </w:p>
    <w:p w14:paraId="3888169A" w14:textId="77777777"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Det foreslås på den baggrund at videreføre en bestemmelse i hvidvaskloven om advokaters mv. pligt til at indhente oplysninger på den eller de reelle ejere af betroede midler på en samleklientbankkonto uanset om der ydes bistand m.v. omfattet af hvidvaskforordningens artikel 3, nr. 3, litra b, således at advokaten med sikkerhed ved, hvem den eller de reelle ejere er. Der vil være tale om en videreførelse af den gældende § 38 b med visse ændringer, som gennemgås nærmere nedenfor. </w:t>
      </w:r>
    </w:p>
    <w:p w14:paraId="57D7D395" w14:textId="77777777"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Bestemmelsen vil samlet set sikre, at en advokat mv. skal indhente identifikationsoplysninger fra en klient og gennemføre rimelige foranstaltninger for at kontrollere den eller de reelle ejeres identitet ved indhentelse af kontroldokumenter, således at advokaten eller selskabet med sikkerhed ved, hvem den eller de reelle ejere af midlerne er. Oplysningerne og dokumenterne skal stilles til rådighed for det pengeinstitut, hvori advokatens mv. samleklientbankkonto føres, til brug for, at pengeinstituttet anvender oplysningerne og dokumenterne i forbindelse med pengeinstituttets gennemførelse af de nødvendige kundekendskabsprocedurer i relation til at fastslå identiteten på den reelle ejer (i almindelighed klienten) af midlerne på samleklientbankkontoen. Forslaget vil desuden medføre, at oplysningerne og dokumenterne kan stilles til rådighed for pengeinstituttet uden, at advokaten mv. derved bryder sin tavshedspligt.</w:t>
      </w:r>
    </w:p>
    <w:p w14:paraId="0DDCD978" w14:textId="77777777"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Forslaget vil vanskeliggøre misbrug, der er forbundet med samleklientbankkonti, da identiteten på de klienter mv., der indsætter eller modtager midler på samleklientbankkontoen, bliver kendt for pengeinstituttet, der herefter kan inddrage oplysningerne i pengeinstituttets overvågning af transaktioner på kontoen.</w:t>
      </w:r>
    </w:p>
    <w:p w14:paraId="6C8F7801" w14:textId="77777777" w:rsidR="00713B02" w:rsidRPr="00A4589A" w:rsidRDefault="00713B02" w:rsidP="00713B02">
      <w:pPr>
        <w:spacing w:after="240" w:line="360" w:lineRule="auto"/>
        <w:rPr>
          <w:rFonts w:ascii="Times New Roman" w:hAnsi="Times New Roman" w:cs="Times New Roman"/>
          <w:sz w:val="24"/>
          <w:szCs w:val="24"/>
        </w:rPr>
      </w:pPr>
      <w:r w:rsidRPr="00A4589A">
        <w:rPr>
          <w:rFonts w:ascii="Times New Roman" w:hAnsi="Times New Roman" w:cs="Times New Roman"/>
          <w:sz w:val="24"/>
          <w:szCs w:val="24"/>
        </w:rPr>
        <w:t xml:space="preserve">Udtrykket ”reelle ejere” skal forstås i overensstemmelse med definitionen i hvidvaskforordningens artikel 2, stk. 1, nr. 28, hvilket i denne sammenhæng navnlig vil være advokatens mv. klienter, da det i almindelighed vil være klienternes midler, som indestår på samleklientbankkontoen. Advokaten mv. vil imidlertid også skulle indhente identitetsoplysninger og kontroldokumenter på andre fysiske og juridiske personer, der har betroede midler stående på advokatens samleklientbankkonto, Det er således ikke afgørende, om der består et advokat-klientforhold mellem ejeren af midlerne og advokaten mv.   </w:t>
      </w:r>
    </w:p>
    <w:p w14:paraId="56FBAD08"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Identitetsoplysninger vil skulle omfatte den pågældendes navn og cpr-nummer el.lign., hvis den pågældende ikke har et cpr-nummer. Har den pågældende ikke et cpr-nummer el.lign., skal identitetsoplysninger omfatte fødselsdato. Det foreslås, at kravene til advokaternes mv. kontrol af dokumenterne vil skulle forstås i overensstemmelse med kravene til kontrol nævnt i hvidvaskforordningens artikel 22, stk. 7. Efter artikel 7, litra a, kan kontrollen ske i overensstemmelse med artikel 22, stk. 6, hvorefter kontrollen af identiteten enten (a) kan ske ved forelæggelse af et identifikationsdokument, pas eller tilsvarende og, hvor det er relevant, indhentning af oplysninger fra pålidelige og uafhængige kilder, uanset om de tilgås direkte eller forelægges af kunden eller (b) ved anvendelse af elektroniske identifikationsmidler, som opfylder kravene i forordning (EU) nr. 910/2014 med hensyn til sikringsniveauet »betydelig« eller »høj«, og relevante kvalificerede tillidstjenester som fastsat i nævnte forordning. Efter artikel 7, stk. 1, litra b, kan kontrollen endvidere ske ved at træffe rimelige foranstaltninger til at indhente de nødvendige oplysninger, dokumenter og data fra kunden eller andre pålidelige kilder, herunder andre offentlige registre end de centrale registre. </w:t>
      </w:r>
    </w:p>
    <w:p w14:paraId="1029F0B0" w14:textId="77777777" w:rsidR="00713B02" w:rsidRPr="00A4589A" w:rsidRDefault="00713B02" w:rsidP="00713B02">
      <w:pPr>
        <w:spacing w:line="360" w:lineRule="auto"/>
        <w:rPr>
          <w:rFonts w:ascii="Times New Roman" w:hAnsi="Times New Roman" w:cs="Times New Roman"/>
          <w:sz w:val="24"/>
          <w:szCs w:val="24"/>
        </w:rPr>
      </w:pPr>
    </w:p>
    <w:p w14:paraId="34034F2E" w14:textId="1AB44E81"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Som det fremgår under pkt. </w:t>
      </w:r>
      <w:r w:rsidR="007157A9">
        <w:rPr>
          <w:rFonts w:ascii="Times New Roman" w:eastAsia="Calibri" w:hAnsi="Times New Roman" w:cs="Times New Roman"/>
          <w:sz w:val="24"/>
          <w:szCs w:val="24"/>
        </w:rPr>
        <w:fldChar w:fldCharType="begin"/>
      </w:r>
      <w:r w:rsidR="007157A9">
        <w:rPr>
          <w:rFonts w:ascii="Times New Roman" w:eastAsia="Calibri" w:hAnsi="Times New Roman" w:cs="Times New Roman"/>
          <w:sz w:val="24"/>
          <w:szCs w:val="24"/>
        </w:rPr>
        <w:instrText xml:space="preserve"> REF _Ref236655611 \n \h </w:instrText>
      </w:r>
      <w:r w:rsidR="007157A9">
        <w:rPr>
          <w:rFonts w:ascii="Times New Roman" w:eastAsia="Calibri" w:hAnsi="Times New Roman" w:cs="Times New Roman"/>
          <w:sz w:val="24"/>
          <w:szCs w:val="24"/>
        </w:rPr>
      </w:r>
      <w:r w:rsidR="007157A9">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3.35.2</w:t>
      </w:r>
      <w:r w:rsidR="007157A9">
        <w:rPr>
          <w:rFonts w:ascii="Times New Roman" w:eastAsia="Calibri" w:hAnsi="Times New Roman" w:cs="Times New Roman"/>
          <w:sz w:val="24"/>
          <w:szCs w:val="24"/>
        </w:rPr>
        <w:fldChar w:fldCharType="end"/>
      </w:r>
      <w:r w:rsidRPr="00A4589A">
        <w:rPr>
          <w:rFonts w:ascii="Times New Roman" w:eastAsia="Calibri" w:hAnsi="Times New Roman" w:cs="Times New Roman"/>
          <w:sz w:val="24"/>
          <w:szCs w:val="24"/>
        </w:rPr>
        <w:t xml:space="preserve">, indeholder hvidvaskforordningens artikel 22, stk. 1, litra b, en oplistning af identitetsoplysninger, som skal indhentes for juridiske enheder (litra b). </w:t>
      </w:r>
    </w:p>
    <w:p w14:paraId="7E0156DF" w14:textId="7F9DCF8E"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Som det fremgår </w:t>
      </w:r>
      <w:r w:rsidRPr="00713B02">
        <w:rPr>
          <w:rFonts w:ascii="Times New Roman" w:eastAsia="Calibri" w:hAnsi="Times New Roman" w:cs="Times New Roman"/>
          <w:sz w:val="24"/>
          <w:szCs w:val="24"/>
        </w:rPr>
        <w:t>af pkt.</w:t>
      </w:r>
      <w:r w:rsidR="007157A9">
        <w:rPr>
          <w:rFonts w:ascii="Times New Roman" w:eastAsia="Calibri" w:hAnsi="Times New Roman" w:cs="Times New Roman"/>
          <w:sz w:val="24"/>
          <w:szCs w:val="24"/>
        </w:rPr>
        <w:t xml:space="preserve"> </w:t>
      </w:r>
      <w:r w:rsidR="004B0984">
        <w:rPr>
          <w:rFonts w:ascii="Times New Roman" w:eastAsia="Calibri" w:hAnsi="Times New Roman" w:cs="Times New Roman"/>
          <w:sz w:val="24"/>
          <w:szCs w:val="24"/>
        </w:rPr>
        <w:fldChar w:fldCharType="begin"/>
      </w:r>
      <w:r w:rsidR="004B0984">
        <w:rPr>
          <w:rFonts w:ascii="Times New Roman" w:eastAsia="Calibri" w:hAnsi="Times New Roman" w:cs="Times New Roman"/>
          <w:sz w:val="24"/>
          <w:szCs w:val="24"/>
        </w:rPr>
        <w:instrText xml:space="preserve"> REF _Ref244849886 \n \h </w:instrText>
      </w:r>
      <w:r w:rsidR="004B0984">
        <w:rPr>
          <w:rFonts w:ascii="Times New Roman" w:eastAsia="Calibri" w:hAnsi="Times New Roman" w:cs="Times New Roman"/>
          <w:sz w:val="24"/>
          <w:szCs w:val="24"/>
        </w:rPr>
      </w:r>
      <w:r w:rsidR="004B0984">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3.35.1</w:t>
      </w:r>
      <w:r w:rsidR="004B0984">
        <w:rPr>
          <w:rFonts w:ascii="Times New Roman" w:eastAsia="Calibri" w:hAnsi="Times New Roman" w:cs="Times New Roman"/>
          <w:sz w:val="24"/>
          <w:szCs w:val="24"/>
        </w:rPr>
        <w:fldChar w:fldCharType="end"/>
      </w:r>
      <w:r w:rsidRPr="00A4589A">
        <w:rPr>
          <w:rFonts w:ascii="Times New Roman" w:eastAsia="Calibri" w:hAnsi="Times New Roman" w:cs="Times New Roman"/>
          <w:sz w:val="24"/>
          <w:szCs w:val="24"/>
        </w:rPr>
        <w:t xml:space="preserve">er det efter Skatte- og Vækstministeriet og Justitsministeriets opfattelse på baggrund af et fortolkningsbidrag fra EU-Kommissionen, at de oplysninger, som advokaten skal indhente, i de tilfælde, hvor advokatens klient er en juridisk person, være sammenfaldende med identitetsoplysningerne nævnt i hvidvasklovens § 11, stk. 1, nr. 1, litra b. Identitetsoplysninger skal dermed omfatte navn og cvr-nummer el.lign., hvis den juridiske person ikke har et cvr-nummer. </w:t>
      </w:r>
    </w:p>
    <w:p w14:paraId="146EADF0" w14:textId="77777777"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Det er ministeriernes opfattelse, at denne afgrænsning fortsat gør sig gældende, og at kundekendskabskravene i hvidvaskforordningens artikel 22, stk. 1, litra b, ikke kan udstrækkes til, at pengeinstitutterne – når advokatens mv. klient er en juridisk person – skal have kendskab til den eller de reelle ejere af den juridiske person eller de øvrige oplysninger opregnet i artikel 22, stk. 1, litra b. De samme betragtninger gør sig gældende i de tilfælde, hvor advokatens mv. klient er trustforvalter eller en person, der varetager en tilsvarende stilling i et lignende juridisk arrangement, som nævnt i artikel 22, stk. 1, litra c eller andre organisationer, som har rets- og handleevne i henhold til dansk ret, omfattet af artikel 22, stk. 1, litra d.  </w:t>
      </w:r>
    </w:p>
    <w:p w14:paraId="75138CA7" w14:textId="77777777" w:rsidR="00713B02" w:rsidRPr="00A4589A" w:rsidRDefault="00713B02" w:rsidP="00713B02">
      <w:pPr>
        <w:spacing w:line="360" w:lineRule="auto"/>
        <w:rPr>
          <w:rFonts w:ascii="Times New Roman" w:hAnsi="Times New Roman" w:cs="Times New Roman"/>
          <w:sz w:val="24"/>
          <w:szCs w:val="24"/>
        </w:rPr>
      </w:pPr>
    </w:p>
    <w:p w14:paraId="0A07D2EA"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Advokater mv. modtager i visse tilfælde af offentligt skiftede dødsboer indbetalinger til samleklientbankkontoen, hvorefter bobestyreren vil være at anse som den reelle ejer af dødsboet. Bobestyreren vil i den forbindelse skulle stille egne identitetsoplysninger til rådighed for pengeinstituttet, og i den forbindelse vil et udskrift af skifterettens udpegning af den pågældende kunne tjene som kontroldokument. Den samme situation med hensyn til indbetalinger af midler kan forekomme i forbindelse med advokaters indsættelse som kuratorer i konkursboer, hvor et udskrift af skifterettens udpegning af den pågældende advokat som kurator ligeledes vil kunne tjene som fornødent kontroldokument overfor pengeinstituttet. </w:t>
      </w:r>
    </w:p>
    <w:p w14:paraId="69331261" w14:textId="77777777" w:rsidR="00713B02" w:rsidRPr="00A4589A" w:rsidRDefault="00713B02" w:rsidP="00713B02">
      <w:pPr>
        <w:spacing w:line="360" w:lineRule="auto"/>
        <w:rPr>
          <w:rFonts w:ascii="Times New Roman" w:hAnsi="Times New Roman" w:cs="Times New Roman"/>
          <w:sz w:val="24"/>
          <w:szCs w:val="24"/>
        </w:rPr>
      </w:pPr>
    </w:p>
    <w:p w14:paraId="6754F5FE" w14:textId="77777777"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 de tilfælde, hvor betroede klientmidler bliver indsat på en samleklientbankkonto af en anden end advokatens mv. klient, f.eks. en modpart som opfølgning på et forlig eller en retsafgørelse eller en inkassodebitor som led i afvikling af skyldforhold, er advokatens klient at anse som den reelle ejer af midlerne. Derfor vil advokaten mv. også efter den foreslåede bestemmelse skulle indhente og kontrollere advokatens klients identitetsoplysninger – og ikke den indbetalende tredjemands identitetsoplysninger – i disse tilfælde, idet det altså er klienten, som er den reelle ejer. I det omvendte tilfælde, altså når midler, der er indbetalt til advokatens mv. samleklientbankkonto af advokatens klient, skifter reel ejer, for eksempel vil indfrielse af en given betingelse i en aftale, vil advokaten være forpligtet til at indhente identitetsoplysninger og kontroldokumenter samt at tilgængeliggøre disse vedrørende den nye reelle ejer af midlerne. Alt efter omstændighederne vil advokaten mv. kunne gøre dette enten på indbetalingstidspunktet eller successivt, når midlerne har skiftet ejerskab.</w:t>
      </w:r>
    </w:p>
    <w:p w14:paraId="416DFA8C" w14:textId="6B8E2F52"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Desuden foreslås det, at advokater mv. ved behandlingen af betroede midler på en samleklientbankkonto uden ugrundet ophold efter indbetalingen skal stille de indhentede og kontrollerede identitetsoplysninger og kopi af dokumenter, data eller oplysninger på den eller de reelle ejere af midlerne til rådighed for det pengeinstitut, hvori samleklientbankkontoen føres. Det forudsættes, at advokaterne mv. som udgangspunkt vil skulle stille oplysningerne til rådighed for pengeinstituttet samme dag, som midlerne indsættes på samleklientbankkontoen. Herved forstås betalinger modtaget den pågældende dag indenfor almindelig kontortid, hvilket svarer til det tidsrum, hvori indkomne betalinger efter klientkontoreglerne dagligt håndteres</w:t>
      </w:r>
      <w:r w:rsidR="003249E2">
        <w:rPr>
          <w:rFonts w:ascii="Times New Roman" w:eastAsia="Calibri" w:hAnsi="Times New Roman" w:cs="Times New Roman"/>
          <w:sz w:val="24"/>
          <w:szCs w:val="24"/>
        </w:rPr>
        <w:t>, herunder bogføres</w:t>
      </w:r>
      <w:r w:rsidR="007D2C66">
        <w:rPr>
          <w:rFonts w:ascii="Times New Roman" w:eastAsia="Calibri" w:hAnsi="Times New Roman" w:cs="Times New Roman"/>
          <w:sz w:val="24"/>
          <w:szCs w:val="24"/>
        </w:rPr>
        <w:t>,</w:t>
      </w:r>
      <w:r w:rsidRPr="00A4589A">
        <w:rPr>
          <w:rFonts w:ascii="Times New Roman" w:eastAsia="Calibri" w:hAnsi="Times New Roman" w:cs="Times New Roman"/>
          <w:sz w:val="24"/>
          <w:szCs w:val="24"/>
        </w:rPr>
        <w:t xml:space="preserve"> af advokaterne mv. I særlige tilfælde kan advokaten stille identitetsoplysninger og kopi af dokumenter, data eller oplysninger på den eller de reelle ejere af midlerne til rådighed for pengeinstituttet inden for rimelig tid efter indbetalingen, forudsat at advokaten mv. uden ugrundet ophold giver pengeinstituttet skriftlig meddelelse med angivelse af de forhold, der ligger til grund herfor.</w:t>
      </w:r>
    </w:p>
    <w:p w14:paraId="3331AE91" w14:textId="0A6F41C8" w:rsidR="00713B02" w:rsidRPr="00A4589A" w:rsidRDefault="00713B02" w:rsidP="00713B02">
      <w:pPr>
        <w:spacing w:after="240"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Det bemærkes, at det nærmere omfang af kravene til bankernes kundekendskabsprocedurer, herunder i relation til samlekonti, vil kunne afhænge af reguleringsmæssige tekniske standarder</w:t>
      </w:r>
      <w:r w:rsidR="007D2C66">
        <w:rPr>
          <w:rFonts w:ascii="Times New Roman" w:eastAsia="Calibri" w:hAnsi="Times New Roman" w:cs="Times New Roman"/>
          <w:sz w:val="24"/>
          <w:szCs w:val="24"/>
        </w:rPr>
        <w:t>, retningslinjer</w:t>
      </w:r>
      <w:r w:rsidRPr="00A4589A">
        <w:rPr>
          <w:rFonts w:ascii="Times New Roman" w:eastAsia="Calibri" w:hAnsi="Times New Roman" w:cs="Times New Roman"/>
          <w:sz w:val="24"/>
          <w:szCs w:val="24"/>
        </w:rPr>
        <w:t xml:space="preserve"> og andre delegerede retsakter udstedt i medfør af hvidvaskforordningens bestemmelser.</w:t>
      </w:r>
    </w:p>
    <w:p w14:paraId="1402C51F" w14:textId="77777777" w:rsidR="00713B02" w:rsidRPr="00A4589A" w:rsidRDefault="00713B02" w:rsidP="00713B02">
      <w:pPr>
        <w:spacing w:line="360" w:lineRule="auto"/>
        <w:rPr>
          <w:rFonts w:ascii="Times New Roman" w:hAnsi="Times New Roman" w:cs="Times New Roman"/>
          <w:sz w:val="24"/>
          <w:szCs w:val="24"/>
        </w:rPr>
      </w:pPr>
      <w:r w:rsidRPr="00A4589A">
        <w:rPr>
          <w:rFonts w:ascii="Times New Roman" w:hAnsi="Times New Roman" w:cs="Times New Roman"/>
          <w:sz w:val="24"/>
          <w:szCs w:val="24"/>
        </w:rPr>
        <w:t>Endelig foreslås det, at Advokater, fællesskaber af advokater og advokatselskaber skal over for Advokatrådet kunne godtgøre overholdelse af stk. 1-3.</w:t>
      </w:r>
    </w:p>
    <w:p w14:paraId="495104F0" w14:textId="77777777" w:rsidR="00713B02" w:rsidRPr="00A4589A" w:rsidRDefault="00713B02" w:rsidP="00713B02">
      <w:pPr>
        <w:spacing w:after="240" w:line="360" w:lineRule="auto"/>
        <w:rPr>
          <w:rFonts w:ascii="Times New Roman" w:hAnsi="Times New Roman" w:cs="Times New Roman"/>
          <w:sz w:val="24"/>
          <w:szCs w:val="24"/>
        </w:rPr>
      </w:pPr>
    </w:p>
    <w:p w14:paraId="75D02961" w14:textId="3472F73B" w:rsidR="00A47042" w:rsidRDefault="00713B02" w:rsidP="00713B02">
      <w:pPr>
        <w:spacing w:after="240" w:line="360" w:lineRule="auto"/>
        <w:rPr>
          <w:rFonts w:ascii="Times New Roman" w:hAnsi="Times New Roman" w:cs="Times New Roman"/>
          <w:sz w:val="24"/>
          <w:szCs w:val="24"/>
        </w:rPr>
      </w:pPr>
      <w:r w:rsidRPr="00A4589A">
        <w:rPr>
          <w:rFonts w:ascii="Times New Roman" w:hAnsi="Times New Roman" w:cs="Times New Roman"/>
          <w:sz w:val="24"/>
          <w:szCs w:val="24"/>
        </w:rPr>
        <w:t>Der henvises i øvrigt til lovforslagets</w:t>
      </w:r>
      <w:r w:rsidR="00D4505D">
        <w:rPr>
          <w:rFonts w:ascii="Times New Roman" w:hAnsi="Times New Roman" w:cs="Times New Roman"/>
          <w:sz w:val="24"/>
          <w:szCs w:val="24"/>
        </w:rPr>
        <w:t xml:space="preserve"> </w:t>
      </w:r>
      <w:r w:rsidR="00D4505D">
        <w:rPr>
          <w:rFonts w:ascii="Times New Roman" w:hAnsi="Times New Roman" w:cs="Times New Roman"/>
          <w:sz w:val="24"/>
          <w:szCs w:val="24"/>
        </w:rPr>
        <w:fldChar w:fldCharType="begin"/>
      </w:r>
      <w:r w:rsidR="00D4505D">
        <w:rPr>
          <w:rFonts w:ascii="Times New Roman" w:hAnsi="Times New Roman" w:cs="Times New Roman"/>
          <w:sz w:val="24"/>
          <w:szCs w:val="24"/>
        </w:rPr>
        <w:instrText xml:space="preserve"> REF _Ref236655813 \r \h </w:instrText>
      </w:r>
      <w:r w:rsidR="00D4505D">
        <w:rPr>
          <w:rFonts w:ascii="Times New Roman" w:hAnsi="Times New Roman" w:cs="Times New Roman"/>
          <w:sz w:val="24"/>
          <w:szCs w:val="24"/>
        </w:rPr>
      </w:r>
      <w:r w:rsidR="00D4505D">
        <w:rPr>
          <w:rFonts w:ascii="Times New Roman" w:hAnsi="Times New Roman" w:cs="Times New Roman"/>
          <w:sz w:val="24"/>
          <w:szCs w:val="24"/>
        </w:rPr>
        <w:fldChar w:fldCharType="separate"/>
      </w:r>
      <w:r w:rsidR="008F29E5">
        <w:rPr>
          <w:rFonts w:ascii="Times New Roman" w:hAnsi="Times New Roman" w:cs="Times New Roman"/>
          <w:sz w:val="24"/>
          <w:szCs w:val="24"/>
        </w:rPr>
        <w:t>§ 36</w:t>
      </w:r>
      <w:r w:rsidR="00D4505D">
        <w:rPr>
          <w:rFonts w:ascii="Times New Roman" w:hAnsi="Times New Roman" w:cs="Times New Roman"/>
          <w:sz w:val="24"/>
          <w:szCs w:val="24"/>
        </w:rPr>
        <w:fldChar w:fldCharType="end"/>
      </w:r>
      <w:r w:rsidRPr="00A4589A">
        <w:rPr>
          <w:rFonts w:ascii="Times New Roman" w:hAnsi="Times New Roman" w:cs="Times New Roman"/>
          <w:sz w:val="24"/>
          <w:szCs w:val="24"/>
        </w:rPr>
        <w:t xml:space="preserve"> og bemærkningerne dertil</w:t>
      </w:r>
      <w:r w:rsidR="003C1A7C" w:rsidRPr="00796736">
        <w:rPr>
          <w:rFonts w:ascii="Times New Roman" w:hAnsi="Times New Roman" w:cs="Times New Roman"/>
          <w:sz w:val="24"/>
          <w:szCs w:val="24"/>
        </w:rPr>
        <w:t xml:space="preserve"> </w:t>
      </w:r>
    </w:p>
    <w:p w14:paraId="5B06BBF4" w14:textId="77777777" w:rsidR="00713B02" w:rsidRPr="00796736" w:rsidRDefault="00713B02" w:rsidP="00713B02">
      <w:pPr>
        <w:spacing w:after="240" w:line="360" w:lineRule="auto"/>
        <w:rPr>
          <w:rFonts w:ascii="Times New Roman" w:hAnsi="Times New Roman" w:cs="Times New Roman"/>
          <w:sz w:val="24"/>
          <w:szCs w:val="24"/>
        </w:rPr>
      </w:pPr>
    </w:p>
    <w:p w14:paraId="38E3BAA2" w14:textId="7D836F9D" w:rsidR="003C1A7C" w:rsidRPr="00796736" w:rsidRDefault="0030356F" w:rsidP="00A802A5">
      <w:pPr>
        <w:pStyle w:val="Overskrift2"/>
        <w:rPr>
          <w:rFonts w:ascii="Times New Roman" w:hAnsi="Times New Roman"/>
          <w:sz w:val="24"/>
        </w:rPr>
      </w:pPr>
      <w:bookmarkStart w:id="1197" w:name="_Toc232109134"/>
      <w:bookmarkStart w:id="1198" w:name="_Ref232946639"/>
      <w:bookmarkStart w:id="1199" w:name="_Toc244880753"/>
      <w:r w:rsidRPr="00796736">
        <w:rPr>
          <w:rFonts w:ascii="Times New Roman" w:hAnsi="Times New Roman"/>
          <w:sz w:val="24"/>
        </w:rPr>
        <w:t>Undtagelse fra forordning om oplysninger ved pengeoverførsler</w:t>
      </w:r>
      <w:bookmarkEnd w:id="1197"/>
      <w:bookmarkEnd w:id="1198"/>
      <w:bookmarkEnd w:id="1199"/>
    </w:p>
    <w:p w14:paraId="137BA582" w14:textId="42104EA5" w:rsidR="003C1A7C" w:rsidRPr="00796736" w:rsidRDefault="003C1A7C" w:rsidP="00A802A5">
      <w:pPr>
        <w:pStyle w:val="Overskrift4"/>
        <w:rPr>
          <w:rFonts w:ascii="Times New Roman" w:hAnsi="Times New Roman" w:cs="Times New Roman"/>
          <w:sz w:val="24"/>
          <w:szCs w:val="24"/>
        </w:rPr>
      </w:pPr>
      <w:bookmarkStart w:id="1200" w:name="_Toc232109135"/>
      <w:r w:rsidRPr="00796736">
        <w:rPr>
          <w:rFonts w:ascii="Times New Roman" w:hAnsi="Times New Roman" w:cs="Times New Roman"/>
          <w:sz w:val="24"/>
          <w:szCs w:val="24"/>
        </w:rPr>
        <w:t>Gældende ret</w:t>
      </w:r>
      <w:bookmarkEnd w:id="1200"/>
    </w:p>
    <w:p w14:paraId="13C78ECF" w14:textId="77777777" w:rsidR="0030356F" w:rsidRPr="00796736" w:rsidRDefault="0030356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 39 i hvidvaskloven finder Europa-Parlamentets og Rådets forordning om oplysninger, der skal medsendes ved pengeoverførsler og ved overførsler af visse kryptoaktiver, ikke anvendelse på pengeoverførsler inden for Danmark eller til og fra Færøerne og Grønland i forbindelse med køb af varer og tjenesteydelser, når beløbet ikke overstiger et beløb, der modsvarer værdien af 1.000 euro, modtagerens betalingstjenesteudbyder er omfattet af denne lov eller tilsvarende regler for Færøerne eller Grønland, og modtagerens betalingstjenesteudbyder ved hjælp af et entydigt referencenummer kan finde frem til den juridiske eller fysiske person, som betalingsmodtageren har aftale med om levering af varer eller tjenesteydelser.</w:t>
      </w:r>
    </w:p>
    <w:p w14:paraId="098918BD" w14:textId="51C757A8" w:rsidR="003C1A7C" w:rsidRPr="00796736" w:rsidRDefault="0030356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 39, stk. 2, gælder de regler, der gælder for pengeoverførsler inden for Danmark ifølge forordningen, tilsvarende ved pengeoverførsler til eller fra Færøerne og Grønland.</w:t>
      </w:r>
    </w:p>
    <w:p w14:paraId="6B86BA16" w14:textId="6559EC15" w:rsidR="003C1A7C" w:rsidRPr="00796736" w:rsidRDefault="00274A31" w:rsidP="00A802A5">
      <w:pPr>
        <w:pStyle w:val="Overskrift4"/>
        <w:rPr>
          <w:rFonts w:ascii="Times New Roman" w:hAnsi="Times New Roman" w:cs="Times New Roman"/>
          <w:sz w:val="24"/>
          <w:szCs w:val="24"/>
        </w:rPr>
      </w:pPr>
      <w:bookmarkStart w:id="1201" w:name="_Toc232109136"/>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r w:rsidR="003C1A7C" w:rsidRPr="00796736">
        <w:rPr>
          <w:rFonts w:ascii="Times New Roman" w:hAnsi="Times New Roman" w:cs="Times New Roman"/>
          <w:sz w:val="24"/>
          <w:szCs w:val="24"/>
        </w:rPr>
        <w:t>og den foreslåede ordning</w:t>
      </w:r>
      <w:bookmarkEnd w:id="1201"/>
      <w:r w:rsidR="003C1A7C" w:rsidRPr="00796736">
        <w:rPr>
          <w:rFonts w:ascii="Times New Roman" w:hAnsi="Times New Roman" w:cs="Times New Roman"/>
          <w:sz w:val="24"/>
          <w:szCs w:val="24"/>
        </w:rPr>
        <w:t xml:space="preserve"> </w:t>
      </w:r>
    </w:p>
    <w:p w14:paraId="4BA2365F" w14:textId="32F3E287" w:rsidR="0030356F" w:rsidRPr="00796736" w:rsidRDefault="0030356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 xml:space="preserve">ækstministeren har vurderet, at det er hensigtsmæssigt at videreføre undtagelsen fra 3. pengeoverførselsforordning for visse nationale pengeoverførsler, idet undtagelsen er begrundet i hensynet til proportionalitet og effektivitet i betalingsformidlingen. Undtagelsen sikrer, at mindre betalinger i forbindelse med køb af varer og tjenesteydelser ikke pålægges unødvendige administrative byrder, når der er tilstrækkelig sporbarhed og kontrol via entydige referencenumre og krav om, at betalingstjenesteudbyderen er underlagt hvidvaskregulering. </w:t>
      </w:r>
    </w:p>
    <w:p w14:paraId="290CB793" w14:textId="3863E238" w:rsidR="0030356F" w:rsidRPr="00796736" w:rsidRDefault="0030356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videreføre undtagelsen fra 3. pengeoverførselsforordning for pengeoverførsler inden for Danmark og til og fra Færøerne og Grønland, når de tre betingelser i § 3</w:t>
      </w:r>
      <w:r w:rsidR="006519AD" w:rsidRPr="00796736">
        <w:rPr>
          <w:rFonts w:ascii="Times New Roman" w:eastAsia="Calibri" w:hAnsi="Times New Roman" w:cs="Times New Roman"/>
          <w:sz w:val="24"/>
          <w:szCs w:val="24"/>
        </w:rPr>
        <w:t>6</w:t>
      </w:r>
      <w:r w:rsidRPr="00796736">
        <w:rPr>
          <w:rFonts w:ascii="Times New Roman" w:eastAsia="Calibri" w:hAnsi="Times New Roman" w:cs="Times New Roman"/>
          <w:sz w:val="24"/>
          <w:szCs w:val="24"/>
        </w:rPr>
        <w:t xml:space="preserve">, stk. 1, nr. 1-3, er opfyldt. </w:t>
      </w:r>
    </w:p>
    <w:p w14:paraId="67EB4CCE" w14:textId="77777777" w:rsidR="0030356F" w:rsidRPr="00796736" w:rsidRDefault="0030356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endvidere, at de regler, der gælder for pengeoverførsler inden for Danmark, finder tilsvarende anvendelse ved pengeoverførsler til eller fra Færøerne og Grønland. </w:t>
      </w:r>
    </w:p>
    <w:p w14:paraId="48EE62D6" w14:textId="7E87D182" w:rsidR="0030356F" w:rsidRPr="00796736" w:rsidRDefault="0030356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_Ref232596454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37</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650B6BEB" w14:textId="77777777" w:rsidR="0030356F" w:rsidRPr="00796736" w:rsidRDefault="0030356F" w:rsidP="00A802A5">
      <w:pPr>
        <w:spacing w:line="360" w:lineRule="auto"/>
        <w:rPr>
          <w:rFonts w:ascii="Times New Roman" w:hAnsi="Times New Roman" w:cs="Times New Roman"/>
          <w:sz w:val="24"/>
          <w:szCs w:val="24"/>
        </w:rPr>
      </w:pPr>
    </w:p>
    <w:p w14:paraId="35F39276" w14:textId="662E0007" w:rsidR="003C1A7C" w:rsidRPr="00796736" w:rsidRDefault="003C1A7C" w:rsidP="00A802A5">
      <w:pPr>
        <w:pStyle w:val="Overskrift2"/>
        <w:rPr>
          <w:rFonts w:ascii="Times New Roman" w:hAnsi="Times New Roman"/>
          <w:sz w:val="24"/>
        </w:rPr>
      </w:pPr>
      <w:bookmarkStart w:id="1202" w:name="_Toc232109137"/>
      <w:bookmarkStart w:id="1203" w:name="_Ref232946707"/>
      <w:r w:rsidRPr="00796736">
        <w:rPr>
          <w:rFonts w:ascii="Times New Roman" w:hAnsi="Times New Roman"/>
          <w:sz w:val="24"/>
        </w:rPr>
        <w:t xml:space="preserve"> </w:t>
      </w:r>
      <w:bookmarkStart w:id="1204" w:name="_Toc244880754"/>
      <w:r w:rsidR="0021053D" w:rsidRPr="00796736">
        <w:rPr>
          <w:rFonts w:ascii="Times New Roman" w:hAnsi="Times New Roman"/>
          <w:sz w:val="24"/>
        </w:rPr>
        <w:t>T</w:t>
      </w:r>
      <w:r w:rsidRPr="00796736">
        <w:rPr>
          <w:rFonts w:ascii="Times New Roman" w:hAnsi="Times New Roman"/>
          <w:sz w:val="24"/>
        </w:rPr>
        <w:t xml:space="preserve">avshedspligt for myndigheder </w:t>
      </w:r>
      <w:r w:rsidR="0081492A" w:rsidRPr="00796736">
        <w:rPr>
          <w:rFonts w:ascii="Times New Roman" w:hAnsi="Times New Roman"/>
          <w:sz w:val="24"/>
        </w:rPr>
        <w:t>om oplysninger, som hidrører fra en underretning</w:t>
      </w:r>
      <w:bookmarkEnd w:id="1204"/>
      <w:r w:rsidR="0081492A" w:rsidRPr="00796736">
        <w:rPr>
          <w:rFonts w:ascii="Times New Roman" w:hAnsi="Times New Roman"/>
          <w:sz w:val="24"/>
        </w:rPr>
        <w:t xml:space="preserve"> </w:t>
      </w:r>
      <w:bookmarkEnd w:id="1202"/>
      <w:bookmarkEnd w:id="1203"/>
      <w:r w:rsidRPr="00796736">
        <w:rPr>
          <w:rFonts w:ascii="Times New Roman" w:hAnsi="Times New Roman"/>
          <w:sz w:val="24"/>
        </w:rPr>
        <w:t xml:space="preserve"> </w:t>
      </w:r>
    </w:p>
    <w:p w14:paraId="7D901EBA" w14:textId="77777777" w:rsidR="0092113C" w:rsidRPr="00796736" w:rsidRDefault="0092113C" w:rsidP="00A802A5">
      <w:pPr>
        <w:pStyle w:val="Overskrift4"/>
        <w:rPr>
          <w:rFonts w:ascii="Times New Roman" w:hAnsi="Times New Roman" w:cs="Times New Roman"/>
          <w:sz w:val="24"/>
          <w:szCs w:val="24"/>
        </w:rPr>
      </w:pPr>
      <w:bookmarkStart w:id="1205" w:name="_Toc232109138"/>
      <w:bookmarkStart w:id="1206" w:name="_Ref232946656"/>
      <w:bookmarkStart w:id="1207" w:name="_Ref243908066"/>
      <w:r w:rsidRPr="00796736">
        <w:rPr>
          <w:rFonts w:ascii="Times New Roman" w:hAnsi="Times New Roman" w:cs="Times New Roman"/>
          <w:sz w:val="24"/>
          <w:szCs w:val="24"/>
        </w:rPr>
        <w:t>Gældende ret</w:t>
      </w:r>
      <w:bookmarkEnd w:id="1205"/>
      <w:bookmarkEnd w:id="1206"/>
      <w:bookmarkEnd w:id="1207"/>
    </w:p>
    <w:p w14:paraId="57A705C7" w14:textId="77777777" w:rsidR="0081492A" w:rsidRPr="00796736" w:rsidRDefault="008149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hvidvasklovens § 38 a, stk. 1, at personer, der virker inden for den offentlige forvaltning, under ansvar efter straffelovens §§ 152-152 e er forpligtet til at hemmeligholde oplysninger, som hidrører fra en underretning efter hvidvasklovens § 26 eller § 28. Efter § 38 a, stk. 2, finder forvaltningslovens § 9 om partsaktindsigt, § 19 om partshøring, § 24 om begrundelsespligt og §§ 28 og 31 om videregivelse af oplysninger mellem forvaltningsmyndigheder ikke anvendelse på de oplysninger, der er nævnt i hvidvasklovens § 38 a, stk. 1. </w:t>
      </w:r>
    </w:p>
    <w:p w14:paraId="36A16672" w14:textId="59B435B7" w:rsidR="008D4A8C" w:rsidRPr="00796736" w:rsidRDefault="0081492A" w:rsidP="00A802A5">
      <w:pPr>
        <w:spacing w:line="360" w:lineRule="auto"/>
        <w:rPr>
          <w:rFonts w:ascii="Times New Roman" w:hAnsi="Times New Roman" w:cs="Times New Roman"/>
          <w:sz w:val="24"/>
          <w:szCs w:val="24"/>
          <w:bdr w:val="none" w:sz="0" w:space="0" w:color="auto" w:frame="1"/>
        </w:rPr>
      </w:pPr>
      <w:r w:rsidRPr="00796736">
        <w:rPr>
          <w:rFonts w:ascii="Times New Roman" w:eastAsia="Calibri" w:hAnsi="Times New Roman" w:cs="Times New Roman"/>
          <w:sz w:val="24"/>
          <w:szCs w:val="24"/>
        </w:rPr>
        <w:t xml:space="preserve">Det fremgår af bemærkningerne til § 38 a bl.a., at bestemmelsen udstrækker tavshedspligten vedrørende oplysninger, som hidrører fra underretninger efter hvidvasklovens § 26, til ansatte ved alle offentlige myndigheder. </w:t>
      </w:r>
      <w:r w:rsidRPr="00796736">
        <w:rPr>
          <w:rFonts w:ascii="Times New Roman" w:hAnsi="Times New Roman" w:cs="Times New Roman"/>
          <w:sz w:val="24"/>
          <w:szCs w:val="24"/>
          <w:bdr w:val="none" w:sz="0" w:space="0" w:color="auto" w:frame="1"/>
        </w:rPr>
        <w:t xml:space="preserve">De oplysninger, som bestemmelsen omhandler, og som myndighederne ikke må videregive, er oplysninger, der er foretaget underretning om efter hvidvasklovens § 26.  </w:t>
      </w:r>
    </w:p>
    <w:p w14:paraId="7C6610CA"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p>
    <w:p w14:paraId="68E3FB61"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Det bemærkes i den forbindelse, at Skatteforvaltningen i dag modtager underretninger fra Hvidvasksekretariatet, hvis sekretariatet vurderer, at underretningerne ikke omhandler hvidvask af udbytte fra strafbare forhold eller finansiering af terrorisme, men har en skatte- og afgiftsmæssig interesse. Formålet med at sende oplysningerne til Skatteforvaltningen er, at oplysningerne vurderes af Skatteforvaltningen med henblik på regulering/ændring af den pågældendes skatte- og afgiftsmæssige tilsvar/ansættelse.</w:t>
      </w:r>
    </w:p>
    <w:p w14:paraId="0D2FA6FC"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p>
    <w:p w14:paraId="7825D6DA"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Oplysningerne fra Hvidvasksekretariatet er som udgangspunkt ikke tilstrækkelige til, at Skatteforvaltningen kan træffe afgørelse på baggrund af oplysningerne. Når Skatteforvaltningen har modtaget oplysningerne fra Hvidvasksekretariatet, bliver de gennemgået med henblik på at vurdere, om oplysningerne kan danne grundlag for opstarten af en egentlig skatte- og/eller momskontrol.</w:t>
      </w:r>
    </w:p>
    <w:p w14:paraId="5EB06A12"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p>
    <w:p w14:paraId="30E21E90"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Når en oplysning modtaget fra Hvidvasksekretariatet er blevet udvalgt som grundlag for en sags behandling, indhenter Skatteforvaltningen de relevante oplysninger, der skal danne grundlag for en eventuel ændring af den pågældendes skatteansættelse og/eller afgiftstilsvar. De oplysninger, der indhentes, er eksempelvis relevante bankkontooplysninger, kontoudtog for et helt indkomstår, regnskabs- og bogføringsmateriale mv. Oplysningerne søges indhentet hos personen eller virksomheden selv. I det omfang personen eller virksomheden ikke imødekommer Skatteforvaltningens anmodning om at indsende de relevante oplysninger, indhentes kontoudtog direkte fra pengeinstitutter og andre relevante aktører.</w:t>
      </w:r>
    </w:p>
    <w:p w14:paraId="6DBB54F9"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p>
    <w:p w14:paraId="1429F75F" w14:textId="4B35D14F" w:rsidR="008D4A8C" w:rsidRDefault="0092113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Det følger herudover af bemærkningerne til bestemmelsen, at det i forbindelse med denne videregivelse kan være problematisk, hvis en særmyndighed efterfølgende giver en kopi af en hvidvaskunderretning, da dette kan afdække, at eksempelvis en tilsynssag er indledt på baggrund af en underretning fra f.eks. et pengeinstitut.</w:t>
      </w:r>
    </w:p>
    <w:p w14:paraId="1FB10621" w14:textId="77777777" w:rsidR="00403BA5" w:rsidRPr="00796736" w:rsidRDefault="00403BA5" w:rsidP="00A802A5">
      <w:pPr>
        <w:spacing w:line="360" w:lineRule="auto"/>
        <w:rPr>
          <w:rFonts w:ascii="Times New Roman" w:hAnsi="Times New Roman" w:cs="Times New Roman"/>
          <w:sz w:val="24"/>
          <w:szCs w:val="24"/>
          <w:bdr w:val="none" w:sz="0" w:space="0" w:color="auto" w:frame="1"/>
        </w:rPr>
      </w:pPr>
    </w:p>
    <w:p w14:paraId="69272FB3" w14:textId="77777777" w:rsidR="0092113C" w:rsidRPr="00796736" w:rsidRDefault="0092113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Med de regler, der gjaldt forud for indførelsen af hvidvasklovens § 38 a, kunne oplysningerne fra Hvidvasksekretariatet være genstand for partsaktindsigt efter reglerne herom i forvaltningsloven for de myndigheder, eksempelvis Slots- og Kulturstyrelsen, som ikke er underlagt en særskilt tavshedspligt vedrørende hvidvasklovens § 26, hvis den pågældende person eller virksomhed anmoder herom.</w:t>
      </w:r>
    </w:p>
    <w:p w14:paraId="0CAF5E7E"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p>
    <w:p w14:paraId="2AFBC9BD" w14:textId="77777777" w:rsidR="0092113C" w:rsidRPr="00796736" w:rsidRDefault="0092113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Oplysningerne fra Hvidvasksekretariatet, herunder oplysninger om underretning efter hvidvasklovens § 26, danner som udgangspunkt alene grundlag for en eventuel sagsudvælgelse, og er ikke i sig selv tilstrækkelige til, at myndighederne kan træffe en given afgørelse.</w:t>
      </w:r>
    </w:p>
    <w:p w14:paraId="18773001" w14:textId="77777777" w:rsidR="0092113C" w:rsidRPr="00796736" w:rsidRDefault="0092113C" w:rsidP="00A802A5">
      <w:pPr>
        <w:spacing w:line="360" w:lineRule="auto"/>
        <w:rPr>
          <w:rFonts w:ascii="Times New Roman" w:hAnsi="Times New Roman" w:cs="Times New Roman"/>
          <w:sz w:val="24"/>
          <w:szCs w:val="24"/>
          <w:bdr w:val="none" w:sz="0" w:space="0" w:color="auto" w:frame="1"/>
        </w:rPr>
      </w:pPr>
    </w:p>
    <w:p w14:paraId="2F794FC2" w14:textId="77777777" w:rsidR="0092113C" w:rsidRPr="00796736" w:rsidRDefault="0092113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fremgår endvidere af bemærkningerne til bestemmelsen, at oplysningerne fra Hvidvasksekretariatet derfor som udgangspunkt ikke vil indgå i det grundlag, der træffes en afgørelse på. Det vil som udgangspunkt alene være de oplysninger, som myndighederne efterfølgende indhenter, der danner grundlag for afgørelsen, og som den registrerede har interesse i at blive gjort bekendt med. Disse oplysninger vil indgå i det grundlag, der partshøres om efter forvaltningslovens § 19. </w:t>
      </w:r>
    </w:p>
    <w:p w14:paraId="017D38E3"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p>
    <w:p w14:paraId="3BFC09F2"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En parts ret til aktindsigt kan dog begrænses efter forvaltningslovens § 15 b. Ved en begrænsning efter reglerne i § 15 b vil oplysninger fra Hvidvasksekretariatet kunne undtages fra aktindsigt, i det omfang partens interesse i at kunne benytte kendskab til sagens dokumenter til varetagelse af sit tarv findes at burde vige for de afgørende hensyn, der er oplistet i nr. 1-5. Parten vil dog kunne få indsigt i dokumenternes øvrige oplysninger gennem ekstrahering og delvis aktindsigt. </w:t>
      </w:r>
    </w:p>
    <w:p w14:paraId="4F166C92"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p>
    <w:p w14:paraId="2A4FF24F" w14:textId="1DE42E69" w:rsidR="008D4A8C" w:rsidRPr="00796736" w:rsidRDefault="008D4A8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vil dog på trods af begrænsningen i forvaltningslovens § 15 b, i størstedelen af tilfældene være muligt at identificere, hvem der har foretaget underretningen, uanset om de omhandlede oplysninger om eventuelle navne, adresser mv. på personer/virksomheder er udeladt ved ekstraheringen. Dette hænger bl.a. sammen med, at oplysningen i sig selv kun kan stamme et sted fra. Det vil således være muligt alene på baggrund af oplysningens karakter at henføre oplysningen til f.eks. vedkommendes pengeinstitut. </w:t>
      </w:r>
    </w:p>
    <w:p w14:paraId="580F8F4C"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p>
    <w:p w14:paraId="67F94534" w14:textId="77777777" w:rsidR="008D4A8C" w:rsidRPr="00796736" w:rsidRDefault="008D4A8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fremgår endvidere af bemærkningerne til hvidvasklovens § 38 a, at de oplysninger, som bestemmelsen omhandler, og som myndighederne ikke må videregive, er oplysninger, der er foretaget underretning om efter hvidvasklovens §§ 26 eller 28.  </w:t>
      </w:r>
    </w:p>
    <w:p w14:paraId="2C4D033F" w14:textId="77777777" w:rsidR="0081492A" w:rsidRPr="00796736" w:rsidRDefault="0081492A" w:rsidP="00A802A5">
      <w:pPr>
        <w:spacing w:line="360" w:lineRule="auto"/>
        <w:rPr>
          <w:rFonts w:ascii="Times New Roman" w:hAnsi="Times New Roman" w:cs="Times New Roman"/>
          <w:sz w:val="24"/>
          <w:szCs w:val="24"/>
          <w:bdr w:val="none" w:sz="0" w:space="0" w:color="auto" w:frame="1"/>
        </w:rPr>
      </w:pPr>
    </w:p>
    <w:p w14:paraId="4AA56AE8" w14:textId="77777777" w:rsidR="0092113C" w:rsidRPr="00796736" w:rsidRDefault="0092113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Med den særlige bestemmelse om tavshedspligt i hvidvasklovens § 38 a fraviges således bl.a. forvaltningslovens partsrettigheder, som ellers ville indebære, at oplysningerne skulle udleveres til de pågældende. Herudover er § 38 a en særlig tavshedspligtsbestemmelse omfattet af databeskyttelsesforordningens artikel 14, stk. 5, litra b, og offentlighedslovens § 35.</w:t>
      </w:r>
    </w:p>
    <w:p w14:paraId="213F7601" w14:textId="77777777" w:rsidR="0081492A" w:rsidRPr="00796736" w:rsidRDefault="0081492A" w:rsidP="00A802A5">
      <w:pPr>
        <w:spacing w:line="360" w:lineRule="auto"/>
        <w:rPr>
          <w:rFonts w:ascii="Times New Roman" w:hAnsi="Times New Roman" w:cs="Times New Roman"/>
          <w:sz w:val="24"/>
          <w:szCs w:val="24"/>
          <w:bdr w:val="none" w:sz="0" w:space="0" w:color="auto" w:frame="1"/>
        </w:rPr>
      </w:pPr>
    </w:p>
    <w:p w14:paraId="0E138F05" w14:textId="77777777" w:rsidR="0092113C" w:rsidRPr="00796736" w:rsidRDefault="0092113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Det følger bl.a. af databeskyttelsesforordningens artikel 14, stk. 5, litra b, at oplysningspligten efter databeskyttelsesforordningens artikel 14, stk. 1-4, ikke finder anvendelse, hvis og i det omfang, personoplysninger, der indsamles, skal forblive fortrolige som følge af tavshedspligt i henhold til national ret, herunder lovbestemt tavshedspligt. Endvidere følger det af offentlighedslovens § 35, at oplysninger omfattet af særlige bestemmelser om tavshedspligt fastsat ved lov eller med hjemmel i lov for personer, der virker i offentlig tjeneste eller hverv, er undtaget fra retten til aktindsigt og egenacces efter offentlighedslovens §§ 7 og 8 og undtaget fra retten til indsigt efter databeskyttelsesforordningens artikel 15, jf. databeskyttelseslovens § 22, stk. 3.</w:t>
      </w:r>
    </w:p>
    <w:p w14:paraId="587DA811" w14:textId="77777777" w:rsidR="0081492A" w:rsidRPr="00796736" w:rsidRDefault="0081492A" w:rsidP="00A802A5">
      <w:pPr>
        <w:spacing w:line="360" w:lineRule="auto"/>
        <w:rPr>
          <w:rFonts w:ascii="Times New Roman" w:hAnsi="Times New Roman" w:cs="Times New Roman"/>
          <w:sz w:val="24"/>
          <w:szCs w:val="24"/>
          <w:bdr w:val="none" w:sz="0" w:space="0" w:color="auto" w:frame="1"/>
        </w:rPr>
      </w:pPr>
    </w:p>
    <w:p w14:paraId="67A57368" w14:textId="0BA19E2D" w:rsidR="0081492A" w:rsidRPr="00796736" w:rsidRDefault="0081492A"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Herved sikres en beskyttelse af de ansatte hos virksomheder omfattet af hvidvaskloven, der er forpligtet til at foretage underretninger til Hvidvasksekretariatet. Den foreslåede tavshedspligt er ikke til hinder for, at underretningerne efterfølgende videregives fra f.eks. Slots- og Kulturstyrelsen til politiet i forbindelse med en anmeldelse.</w:t>
      </w:r>
    </w:p>
    <w:p w14:paraId="514957D0" w14:textId="77777777" w:rsidR="0081492A" w:rsidRPr="00796736" w:rsidRDefault="0081492A" w:rsidP="00A802A5">
      <w:pPr>
        <w:spacing w:line="360" w:lineRule="auto"/>
        <w:rPr>
          <w:rFonts w:ascii="Times New Roman" w:hAnsi="Times New Roman" w:cs="Times New Roman"/>
          <w:sz w:val="24"/>
          <w:szCs w:val="24"/>
          <w:bdr w:val="none" w:sz="0" w:space="0" w:color="auto" w:frame="1"/>
        </w:rPr>
      </w:pPr>
    </w:p>
    <w:p w14:paraId="05BAAA25" w14:textId="77777777" w:rsidR="0081492A" w:rsidRPr="00796736" w:rsidRDefault="0081492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nærmere til Folketingstidende 2021-22, tillæg A, L 14 som fremsat, side 70-71.</w:t>
      </w:r>
    </w:p>
    <w:p w14:paraId="651E1047" w14:textId="77777777" w:rsidR="0081492A" w:rsidRPr="00796736" w:rsidRDefault="0081492A" w:rsidP="00A802A5">
      <w:pPr>
        <w:spacing w:line="360" w:lineRule="auto"/>
        <w:rPr>
          <w:rFonts w:ascii="Times New Roman" w:hAnsi="Times New Roman" w:cs="Times New Roman"/>
          <w:sz w:val="24"/>
          <w:szCs w:val="24"/>
          <w:bdr w:val="none" w:sz="0" w:space="0" w:color="auto" w:frame="1"/>
        </w:rPr>
      </w:pPr>
    </w:p>
    <w:p w14:paraId="4D634E88" w14:textId="77777777" w:rsidR="0081492A" w:rsidRPr="00796736" w:rsidRDefault="0081492A"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rPr>
        <w:t>Ved lov nr. 1666 af 30. december 2024 om ændring af bl.a. hvidvaskloven blev anvendelsesområdet for hvidvasklovens § 38 a udvidet til også at omfatte underretninger i medfør af hvidvasklovens § 28, der omhandler underretninger, som tilsynsmyndigheder og Skatteforvaltningen (i dag tilsynsmyndigheder eller andre myndigheder) sender til Hvidvasksekretariatet.  Med udvidelsen af bestemmelsen omfatter den særlige tavshedspligt i hvidvasklovens § 38 a også underretninger, som tilsynsmyndigheder og Skatteforvaltningen efter § 28 sender til Hvidvasksekretariatet om forhold, der giver grund til at tro, at disse kan have tilknytning til hvidvask eller terrorfinansiering, og som er omfattet af underretningspligten i § 26, stk. 1. Baggrunden for forslaget var et behov for at udvide rækkevidden af den særlige tavshedspligt i hvidvasklovens § 38 a i forhold til underretninger, som sendes fra tilsynsmyndigheder og Skatteforvaltningen efter lovens § 28 til Hvidvasksekretariatet. Der henvises til Folketingstidende 2024-25, tillæg A, L 70 som fremsat, side 90.</w:t>
      </w:r>
    </w:p>
    <w:p w14:paraId="75C88FF8" w14:textId="77777777" w:rsidR="0081492A" w:rsidRPr="00796736" w:rsidRDefault="0081492A" w:rsidP="00A802A5">
      <w:pPr>
        <w:spacing w:line="360" w:lineRule="auto"/>
        <w:rPr>
          <w:rFonts w:ascii="Times New Roman" w:hAnsi="Times New Roman" w:cs="Times New Roman"/>
          <w:sz w:val="24"/>
          <w:szCs w:val="24"/>
          <w:bdr w:val="none" w:sz="0" w:space="0" w:color="auto" w:frame="1"/>
        </w:rPr>
      </w:pPr>
    </w:p>
    <w:p w14:paraId="546271DF" w14:textId="1FA570D0" w:rsidR="0092113C" w:rsidRPr="00796736" w:rsidRDefault="0092113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forvaltningslovens § 27, stk. 1, at den der virker inden for den offentlige forvaltning, har tavshedspligt, jf. straffelovens</w:t>
      </w:r>
      <w:r w:rsidR="00100301">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 152 og</w:t>
      </w:r>
      <w:r w:rsidR="00100301">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152 c-152 f, med hensyn til oplysninger om </w:t>
      </w:r>
    </w:p>
    <w:p w14:paraId="5FB769FA" w14:textId="77777777" w:rsidR="0092113C" w:rsidRPr="00796736" w:rsidRDefault="0092113C">
      <w:pPr>
        <w:pStyle w:val="Listeafsnit"/>
        <w:numPr>
          <w:ilvl w:val="0"/>
          <w:numId w:val="53"/>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enkeltpersoners private, herunder økonomiske, forhold og</w:t>
      </w:r>
    </w:p>
    <w:p w14:paraId="1A69803A" w14:textId="77777777" w:rsidR="0092113C" w:rsidRPr="00796736" w:rsidRDefault="0092113C">
      <w:pPr>
        <w:pStyle w:val="Listeafsnit"/>
        <w:numPr>
          <w:ilvl w:val="0"/>
          <w:numId w:val="53"/>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tekniske indretninger eller fremgangsmåder eller om drifts- eller forretningsforhold el.lign., for så vidt det er af væsentlig økonomisk betydning for den person eller virksomhed, oplysningerne angår, at oplysningerne ikke videregives. </w:t>
      </w:r>
    </w:p>
    <w:p w14:paraId="5C68F3D4" w14:textId="43868441" w:rsidR="0092113C" w:rsidRPr="00796736" w:rsidRDefault="0092113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bestemmelsens stk. 2, at har den, der virker inden for den offentlige forvaltning, desuden tavshedspligt, jf. straffelovens §</w:t>
      </w:r>
      <w:r w:rsidR="00100301">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152 og 152 c-152 f, når det er af væsentlig betydning for statens sikkerhed eller rigets forsvar. Det samme gælder, når en oplysning ved lov eller anden gyldig bestemmelse er betegnet som fortrolig, herunder når fortrolighed følger af en EU-retlig eller folkeretlig forpligtelse el.lign.</w:t>
      </w:r>
    </w:p>
    <w:p w14:paraId="415F0626" w14:textId="2C4D07DA" w:rsidR="0092113C" w:rsidRPr="00796736" w:rsidRDefault="0092113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bestemmelsens stk. 3, at den, der virker inden for den offentlige forvaltning, herudover har tavshedspligt, jf. straffelovens §</w:t>
      </w:r>
      <w:r w:rsidR="00100301">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152 og 152 c-152 f, når det er nødvendigt at hemmeligholde en oplysning til beskyttelse af væsentlige hensyn til rigets udenrigspolitiske interesser, herunder forholdet til andre lande eller internationale organisationer.</w:t>
      </w:r>
    </w:p>
    <w:p w14:paraId="757BBC7D" w14:textId="1CE874FF" w:rsidR="0092113C" w:rsidRPr="00796736" w:rsidRDefault="0092113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stk. 4 har den, der virker inden for den offentlige forvaltning, endvidere tavshedspligt, jf. straffelovens §</w:t>
      </w:r>
      <w:r w:rsidR="00100301">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152 og 152 c-152 f, med hensyn til oplysninger, som det i øvrigt er nødvendigt at hemmeligholde for at varetage væsentlige hensyn til</w:t>
      </w:r>
    </w:p>
    <w:p w14:paraId="26FAFBB3" w14:textId="77777777" w:rsidR="0092113C" w:rsidRPr="00796736" w:rsidRDefault="0092113C">
      <w:pPr>
        <w:pStyle w:val="Listeafsnit"/>
        <w:numPr>
          <w:ilvl w:val="0"/>
          <w:numId w:val="54"/>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forebyggelse, efterforskning og forfølgning af lovovertrædelser samt straffuldbyrdelse og beskyttelse af sigtede, vidner eller andre i sager om strafferetlig eller disciplinær forfølgning,</w:t>
      </w:r>
    </w:p>
    <w:p w14:paraId="0596D846" w14:textId="77777777" w:rsidR="0092113C" w:rsidRPr="00796736" w:rsidRDefault="0092113C">
      <w:pPr>
        <w:pStyle w:val="Listeafsnit"/>
        <w:numPr>
          <w:ilvl w:val="0"/>
          <w:numId w:val="54"/>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gennemførelse af offentlig kontrol-, regulerings- eller planlægningsvirksomhed eller af påtænkte foranstaltninger i henhold til skatte- og afgiftslovgivningen,</w:t>
      </w:r>
    </w:p>
    <w:p w14:paraId="06F3AB88" w14:textId="77777777" w:rsidR="0092113C" w:rsidRPr="00796736" w:rsidRDefault="0092113C">
      <w:pPr>
        <w:pStyle w:val="Listeafsnit"/>
        <w:numPr>
          <w:ilvl w:val="0"/>
          <w:numId w:val="54"/>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offentliges økonomiske interesser, herunder udførelsen af det offentliges forretningsvirksomhed,</w:t>
      </w:r>
    </w:p>
    <w:p w14:paraId="4D08396D" w14:textId="77777777" w:rsidR="0092113C" w:rsidRPr="00796736" w:rsidRDefault="0092113C">
      <w:pPr>
        <w:pStyle w:val="Listeafsnit"/>
        <w:numPr>
          <w:ilvl w:val="0"/>
          <w:numId w:val="54"/>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forskeres og kunstneres originale ideer samt foreløbige forskningsresultater og manuskripter eller</w:t>
      </w:r>
    </w:p>
    <w:p w14:paraId="4F8FED34" w14:textId="77777777" w:rsidR="0092113C" w:rsidRPr="00796736" w:rsidRDefault="0092113C">
      <w:pPr>
        <w:pStyle w:val="Listeafsnit"/>
        <w:numPr>
          <w:ilvl w:val="0"/>
          <w:numId w:val="54"/>
        </w:num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private og offentlige interesser, hvor hemmeligholdelse efter forholdets særlige karakter er påkrævet. </w:t>
      </w:r>
    </w:p>
    <w:p w14:paraId="5F8BBF3A" w14:textId="77777777" w:rsidR="0092113C" w:rsidRPr="00796736" w:rsidRDefault="0092113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forvaltningslovens § 27, stk. 5, at inden for den offentlige forvaltning kan der kun pålægges tavshedspligt med hensyn til en oplysning, når det er nødvendigt at hemmeligholde den for at varetage væsentlige hensyn til bestemte offentlige eller private interesser som nævnt i stk. 1-4.</w:t>
      </w:r>
    </w:p>
    <w:p w14:paraId="58A4D983" w14:textId="702D1637" w:rsidR="0092113C" w:rsidRPr="00796736" w:rsidRDefault="0092113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offentlighedslovens § 35, at pligten til at meddele oplysninger er begrænset af særlige bestemmelser om tavshedspligt fastsat ved lov eller med hjemmel i lov for personer, der virker i offentlig tjeneste eller hverv. </w:t>
      </w:r>
    </w:p>
    <w:p w14:paraId="6FAF65E1" w14:textId="77777777" w:rsidR="003446B8" w:rsidRPr="00796736" w:rsidRDefault="003446B8" w:rsidP="003446B8">
      <w:pPr>
        <w:spacing w:after="240" w:line="360" w:lineRule="auto"/>
        <w:rPr>
          <w:rFonts w:ascii="Times New Roman" w:eastAsia="Calibri" w:hAnsi="Times New Roman" w:cs="Times New Roman"/>
          <w:sz w:val="24"/>
          <w:szCs w:val="24"/>
        </w:rPr>
      </w:pPr>
      <w:bookmarkStart w:id="1208" w:name="_Toc232109139"/>
      <w:r w:rsidRPr="00796736">
        <w:rPr>
          <w:rFonts w:ascii="Times New Roman" w:eastAsia="Calibri" w:hAnsi="Times New Roman" w:cs="Times New Roman"/>
          <w:sz w:val="24"/>
          <w:szCs w:val="24"/>
        </w:rPr>
        <w:t>Hvidvaskloven indeholder ikke i dag bestemmelser om særlige regler om fortrolighed af den underretningspligtiges, dvs. kildens, identitet i forbindelse med videregivelse af oplysninger</w:t>
      </w:r>
      <w:r>
        <w:rPr>
          <w:rFonts w:ascii="Times New Roman" w:eastAsia="Calibri" w:hAnsi="Times New Roman" w:cs="Times New Roman"/>
          <w:sz w:val="24"/>
          <w:szCs w:val="24"/>
        </w:rPr>
        <w:t>, om end dette vil kunne omfattes af § 38 a</w:t>
      </w:r>
      <w:r w:rsidRPr="00796736">
        <w:rPr>
          <w:rFonts w:ascii="Times New Roman" w:eastAsia="Calibri" w:hAnsi="Times New Roman" w:cs="Times New Roman"/>
          <w:sz w:val="24"/>
          <w:szCs w:val="24"/>
        </w:rPr>
        <w:t xml:space="preserve">. </w:t>
      </w:r>
    </w:p>
    <w:p w14:paraId="2AE5FAAB" w14:textId="77777777" w:rsidR="0092113C" w:rsidRPr="00796736" w:rsidRDefault="0092113C"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Justitsministeriets overvejelser og den foreslåede ordning</w:t>
      </w:r>
      <w:bookmarkEnd w:id="1208"/>
      <w:r w:rsidRPr="00796736">
        <w:rPr>
          <w:rFonts w:ascii="Times New Roman" w:hAnsi="Times New Roman" w:cs="Times New Roman"/>
          <w:sz w:val="24"/>
          <w:szCs w:val="24"/>
        </w:rPr>
        <w:t xml:space="preserve"> </w:t>
      </w:r>
    </w:p>
    <w:p w14:paraId="08D40BD2" w14:textId="7E7AFA98" w:rsidR="00AD142A" w:rsidRPr="00796736" w:rsidRDefault="00AD142A"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Som det fremgår af pkt.</w:t>
      </w:r>
      <w:r w:rsidR="00C95839">
        <w:rPr>
          <w:rFonts w:ascii="Times New Roman" w:hAnsi="Times New Roman" w:cs="Times New Roman"/>
          <w:sz w:val="24"/>
          <w:szCs w:val="24"/>
        </w:rPr>
        <w:t xml:space="preserve"> </w:t>
      </w:r>
      <w:r w:rsidR="00C95839">
        <w:rPr>
          <w:rFonts w:ascii="Times New Roman" w:hAnsi="Times New Roman" w:cs="Times New Roman"/>
          <w:sz w:val="24"/>
          <w:szCs w:val="24"/>
        </w:rPr>
        <w:fldChar w:fldCharType="begin"/>
      </w:r>
      <w:r w:rsidR="00C95839">
        <w:rPr>
          <w:rFonts w:ascii="Times New Roman" w:hAnsi="Times New Roman" w:cs="Times New Roman"/>
          <w:sz w:val="24"/>
          <w:szCs w:val="24"/>
        </w:rPr>
        <w:instrText xml:space="preserve"> REF _Ref243908066 \n \h </w:instrText>
      </w:r>
      <w:r w:rsidR="00CB248D">
        <w:rPr>
          <w:rFonts w:ascii="Times New Roman" w:hAnsi="Times New Roman" w:cs="Times New Roman"/>
          <w:sz w:val="24"/>
          <w:szCs w:val="24"/>
        </w:rPr>
        <w:instrText xml:space="preserve"> \* MERGEFORMAT </w:instrText>
      </w:r>
      <w:r w:rsidR="00C95839">
        <w:rPr>
          <w:rFonts w:ascii="Times New Roman" w:hAnsi="Times New Roman" w:cs="Times New Roman"/>
          <w:sz w:val="24"/>
          <w:szCs w:val="24"/>
        </w:rPr>
      </w:r>
      <w:r w:rsidR="00C95839">
        <w:rPr>
          <w:rFonts w:ascii="Times New Roman" w:hAnsi="Times New Roman" w:cs="Times New Roman"/>
          <w:sz w:val="24"/>
          <w:szCs w:val="24"/>
        </w:rPr>
        <w:fldChar w:fldCharType="separate"/>
      </w:r>
      <w:r w:rsidR="008F29E5">
        <w:rPr>
          <w:rFonts w:ascii="Times New Roman" w:hAnsi="Times New Roman" w:cs="Times New Roman"/>
          <w:sz w:val="24"/>
          <w:szCs w:val="24"/>
        </w:rPr>
        <w:t>3.37.1</w:t>
      </w:r>
      <w:r w:rsidR="00C95839">
        <w:rPr>
          <w:rFonts w:ascii="Times New Roman" w:hAnsi="Times New Roman" w:cs="Times New Roman"/>
          <w:sz w:val="24"/>
          <w:szCs w:val="24"/>
        </w:rPr>
        <w:fldChar w:fldCharType="end"/>
      </w:r>
      <w:r w:rsidRPr="00796736">
        <w:rPr>
          <w:rFonts w:ascii="Times New Roman" w:hAnsi="Times New Roman" w:cs="Times New Roman"/>
          <w:sz w:val="24"/>
          <w:szCs w:val="24"/>
        </w:rPr>
        <w:t xml:space="preserve">, udstrækker hvidvasklovens § 38 a </w:t>
      </w:r>
      <w:r w:rsidRPr="00796736">
        <w:rPr>
          <w:rFonts w:ascii="Times New Roman" w:eastAsia="Calibri" w:hAnsi="Times New Roman" w:cs="Times New Roman"/>
          <w:sz w:val="24"/>
          <w:szCs w:val="24"/>
        </w:rPr>
        <w:t>tavshedspligten vedrørende oplysninger, som hidrører fra underretninger efter hvidvasklovens §§ 26 eller 28, til ansatte ved alle offentlige myndigheder. Dertil kommer forvaltningslovens § 27, som regulerer den offentlige forvaltnings forpligtelse til at hemmeligholde visse oplysninger og samme lovs § 28 og 31, om videregivelse af oplysninger til en anden myndighed.</w:t>
      </w:r>
      <w:r w:rsidR="0092113C" w:rsidRPr="00796736">
        <w:rPr>
          <w:rFonts w:ascii="Times New Roman" w:eastAsia="Calibri" w:hAnsi="Times New Roman" w:cs="Times New Roman"/>
          <w:sz w:val="24"/>
          <w:szCs w:val="24"/>
        </w:rPr>
        <w:t xml:space="preserve"> Det er Justitsministeriets vurdering, at der af grundene nedenfor fortsat er behov for en særlig regel om tavshedspligt i henhold til oplysninger, som hidrører fra en underretning, svarende til hvidvasklovens § 38 a. Der henvises til </w:t>
      </w:r>
      <w:r w:rsidR="00C95839" w:rsidRPr="00796736">
        <w:rPr>
          <w:rFonts w:ascii="Times New Roman" w:hAnsi="Times New Roman" w:cs="Times New Roman"/>
          <w:sz w:val="24"/>
          <w:szCs w:val="24"/>
        </w:rPr>
        <w:t>pkt.</w:t>
      </w:r>
      <w:r w:rsidR="00C95839">
        <w:rPr>
          <w:rFonts w:ascii="Times New Roman" w:hAnsi="Times New Roman" w:cs="Times New Roman"/>
          <w:sz w:val="24"/>
          <w:szCs w:val="24"/>
        </w:rPr>
        <w:t xml:space="preserve"> </w:t>
      </w:r>
      <w:r w:rsidR="00C95839">
        <w:rPr>
          <w:rFonts w:ascii="Times New Roman" w:hAnsi="Times New Roman" w:cs="Times New Roman"/>
          <w:sz w:val="24"/>
          <w:szCs w:val="24"/>
        </w:rPr>
        <w:fldChar w:fldCharType="begin"/>
      </w:r>
      <w:r w:rsidR="00C95839">
        <w:rPr>
          <w:rFonts w:ascii="Times New Roman" w:hAnsi="Times New Roman" w:cs="Times New Roman"/>
          <w:sz w:val="24"/>
          <w:szCs w:val="24"/>
        </w:rPr>
        <w:instrText xml:space="preserve"> REF _Ref243908066 \n \h </w:instrText>
      </w:r>
      <w:r w:rsidR="00CB248D">
        <w:rPr>
          <w:rFonts w:ascii="Times New Roman" w:hAnsi="Times New Roman" w:cs="Times New Roman"/>
          <w:sz w:val="24"/>
          <w:szCs w:val="24"/>
        </w:rPr>
        <w:instrText xml:space="preserve"> \* MERGEFORMAT </w:instrText>
      </w:r>
      <w:r w:rsidR="00C95839">
        <w:rPr>
          <w:rFonts w:ascii="Times New Roman" w:hAnsi="Times New Roman" w:cs="Times New Roman"/>
          <w:sz w:val="24"/>
          <w:szCs w:val="24"/>
        </w:rPr>
      </w:r>
      <w:r w:rsidR="00C95839">
        <w:rPr>
          <w:rFonts w:ascii="Times New Roman" w:hAnsi="Times New Roman" w:cs="Times New Roman"/>
          <w:sz w:val="24"/>
          <w:szCs w:val="24"/>
        </w:rPr>
        <w:fldChar w:fldCharType="separate"/>
      </w:r>
      <w:r w:rsidR="008F29E5">
        <w:rPr>
          <w:rFonts w:ascii="Times New Roman" w:hAnsi="Times New Roman" w:cs="Times New Roman"/>
          <w:sz w:val="24"/>
          <w:szCs w:val="24"/>
        </w:rPr>
        <w:t>3.37.1</w:t>
      </w:r>
      <w:r w:rsidR="00C95839">
        <w:rPr>
          <w:rFonts w:ascii="Times New Roman" w:hAnsi="Times New Roman" w:cs="Times New Roman"/>
          <w:sz w:val="24"/>
          <w:szCs w:val="24"/>
        </w:rPr>
        <w:fldChar w:fldCharType="end"/>
      </w:r>
      <w:r w:rsidR="0092113C" w:rsidRPr="00796736">
        <w:rPr>
          <w:rFonts w:ascii="Times New Roman" w:eastAsia="Calibri" w:hAnsi="Times New Roman" w:cs="Times New Roman"/>
          <w:sz w:val="24"/>
          <w:szCs w:val="24"/>
        </w:rPr>
        <w:t xml:space="preserve"> for baggrunden herfor.</w:t>
      </w:r>
    </w:p>
    <w:p w14:paraId="1EBDCFD5" w14:textId="77777777" w:rsidR="0092113C" w:rsidRPr="00796736" w:rsidRDefault="0092113C" w:rsidP="00A802A5">
      <w:pPr>
        <w:spacing w:line="360" w:lineRule="auto"/>
        <w:rPr>
          <w:rFonts w:ascii="Times New Roman" w:eastAsia="Calibri" w:hAnsi="Times New Roman" w:cs="Times New Roman"/>
          <w:sz w:val="24"/>
          <w:szCs w:val="24"/>
        </w:rPr>
      </w:pPr>
    </w:p>
    <w:p w14:paraId="25526D8D" w14:textId="63F2195F" w:rsidR="00AD142A" w:rsidRPr="00796736" w:rsidRDefault="0029011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er Justitsministeriets vurdering, at § 38 a i hvidvaskloven har et andet anvendelsesområde end 6. hvidvaskdirektivs artikel 36. Hvidvaskdirektivets artikel 36</w:t>
      </w:r>
      <w:r>
        <w:rPr>
          <w:rFonts w:ascii="Times New Roman" w:hAnsi="Times New Roman" w:cs="Times New Roman"/>
          <w:sz w:val="24"/>
          <w:szCs w:val="24"/>
        </w:rPr>
        <w:t xml:space="preserve"> forpligter til at indføre mekanismer, som</w:t>
      </w:r>
      <w:r w:rsidRPr="00796736">
        <w:rPr>
          <w:rFonts w:ascii="Times New Roman" w:hAnsi="Times New Roman" w:cs="Times New Roman"/>
          <w:sz w:val="24"/>
          <w:szCs w:val="24"/>
        </w:rPr>
        <w:t xml:space="preserve"> beskytter identiteten af de forpligtede enheder og deres ansatte eller personer i tilsvarende stillinger, der indberetter mistanker i henhold til hvidvaskforordningens artikel 69, stk. 1, første afsnit litra a</w:t>
      </w:r>
      <w:r>
        <w:rPr>
          <w:rFonts w:ascii="Times New Roman" w:hAnsi="Times New Roman" w:cs="Times New Roman"/>
          <w:sz w:val="24"/>
          <w:szCs w:val="24"/>
        </w:rPr>
        <w:t>. Hvidvasklovens</w:t>
      </w:r>
      <w:r w:rsidRPr="00796736">
        <w:rPr>
          <w:rFonts w:ascii="Times New Roman" w:hAnsi="Times New Roman" w:cs="Times New Roman"/>
          <w:sz w:val="24"/>
          <w:szCs w:val="24"/>
        </w:rPr>
        <w:t xml:space="preserve"> § 38 a</w:t>
      </w:r>
      <w:r>
        <w:rPr>
          <w:rFonts w:ascii="Times New Roman" w:hAnsi="Times New Roman" w:cs="Times New Roman"/>
          <w:sz w:val="24"/>
          <w:szCs w:val="24"/>
        </w:rPr>
        <w:t xml:space="preserve"> beskytter</w:t>
      </w:r>
      <w:r w:rsidRPr="00796736">
        <w:rPr>
          <w:rFonts w:ascii="Times New Roman" w:hAnsi="Times New Roman" w:cs="Times New Roman"/>
          <w:sz w:val="24"/>
          <w:szCs w:val="24"/>
        </w:rPr>
        <w:t xml:space="preserve"> oplysninger, som hidrører fra en underretning efter § 26 eller § 28, dvs. indholdet af oplysningerne og kilden, </w:t>
      </w:r>
      <w:r>
        <w:rPr>
          <w:rFonts w:ascii="Times New Roman" w:hAnsi="Times New Roman" w:cs="Times New Roman"/>
          <w:sz w:val="24"/>
          <w:szCs w:val="24"/>
        </w:rPr>
        <w:t>og</w:t>
      </w:r>
      <w:r w:rsidRPr="00796736">
        <w:rPr>
          <w:rFonts w:ascii="Times New Roman" w:hAnsi="Times New Roman" w:cs="Times New Roman"/>
          <w:sz w:val="24"/>
          <w:szCs w:val="24"/>
        </w:rPr>
        <w:t xml:space="preserve"> er</w:t>
      </w:r>
      <w:r>
        <w:rPr>
          <w:rFonts w:ascii="Times New Roman" w:hAnsi="Times New Roman" w:cs="Times New Roman"/>
          <w:sz w:val="24"/>
          <w:szCs w:val="24"/>
        </w:rPr>
        <w:t xml:space="preserve"> således</w:t>
      </w:r>
      <w:r w:rsidRPr="00796736">
        <w:rPr>
          <w:rFonts w:ascii="Times New Roman" w:hAnsi="Times New Roman" w:cs="Times New Roman"/>
          <w:sz w:val="24"/>
          <w:szCs w:val="24"/>
        </w:rPr>
        <w:t xml:space="preserve"> ikke begrænset til identiteten på </w:t>
      </w:r>
      <w:r>
        <w:rPr>
          <w:rFonts w:ascii="Times New Roman" w:hAnsi="Times New Roman" w:cs="Times New Roman"/>
          <w:sz w:val="24"/>
          <w:szCs w:val="24"/>
        </w:rPr>
        <w:t xml:space="preserve">de </w:t>
      </w:r>
      <w:r w:rsidRPr="00796736">
        <w:rPr>
          <w:rFonts w:ascii="Times New Roman" w:hAnsi="Times New Roman" w:cs="Times New Roman"/>
          <w:sz w:val="24"/>
          <w:szCs w:val="24"/>
        </w:rPr>
        <w:t xml:space="preserve">forpligtede enheder. Hertil kommer, at hvidvasklovens § 38 a vedrører både oplysninger fra forpligtede enheders underretninger samt underretninger, som tilsynsmyndigheder og andre myndigheder sender til Hvidvasksekretariatet, som de er kommet i besiddelse af på anden vis. Efter hvidvasklovens § 38 a, stk. 2, finder forvaltningslovens regler om partsaktindsigt, partshøring, begrundelsespligt og videregivelse af oplysninger mellem forvaltningsmyndigheder endvidere ikke anvendelse på de oplysninger, der er nævnt i bestemmelsens stk. 1. For nærmere om implementeringen af 6. hvidvaskdirektivs artikel 36 henvises til den foreslåede </w:t>
      </w:r>
      <w:r w:rsidR="00E46C88" w:rsidRPr="00796736">
        <w:rPr>
          <w:rFonts w:ascii="Times New Roman" w:hAnsi="Times New Roman" w:cs="Times New Roman"/>
          <w:sz w:val="24"/>
          <w:szCs w:val="24"/>
        </w:rPr>
        <w:fldChar w:fldCharType="begin"/>
      </w:r>
      <w:r w:rsidR="00E46C88" w:rsidRPr="00796736">
        <w:rPr>
          <w:rFonts w:ascii="Times New Roman" w:hAnsi="Times New Roman" w:cs="Times New Roman"/>
          <w:sz w:val="24"/>
          <w:szCs w:val="24"/>
        </w:rPr>
        <w:instrText xml:space="preserve"> REF _Ref239689115 \r \h </w:instrText>
      </w:r>
      <w:r w:rsidR="00F375BF" w:rsidRPr="00796736">
        <w:rPr>
          <w:rFonts w:ascii="Times New Roman" w:hAnsi="Times New Roman" w:cs="Times New Roman"/>
          <w:sz w:val="24"/>
          <w:szCs w:val="24"/>
        </w:rPr>
        <w:instrText xml:space="preserve"> \* MERGEFORMAT </w:instrText>
      </w:r>
      <w:r w:rsidR="00E46C88" w:rsidRPr="00796736">
        <w:rPr>
          <w:rFonts w:ascii="Times New Roman" w:hAnsi="Times New Roman" w:cs="Times New Roman"/>
          <w:sz w:val="24"/>
          <w:szCs w:val="24"/>
        </w:rPr>
      </w:r>
      <w:r w:rsidR="00E46C8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30</w:t>
      </w:r>
      <w:r w:rsidR="00E46C88" w:rsidRPr="00796736">
        <w:rPr>
          <w:rFonts w:ascii="Times New Roman" w:hAnsi="Times New Roman" w:cs="Times New Roman"/>
          <w:sz w:val="24"/>
          <w:szCs w:val="24"/>
        </w:rPr>
        <w:fldChar w:fldCharType="end"/>
      </w:r>
      <w:r w:rsidR="00AD142A" w:rsidRPr="00796736">
        <w:rPr>
          <w:rFonts w:ascii="Times New Roman" w:hAnsi="Times New Roman" w:cs="Times New Roman"/>
          <w:sz w:val="24"/>
          <w:szCs w:val="24"/>
        </w:rPr>
        <w:t xml:space="preserve">  og bemærkningerne dertil. </w:t>
      </w:r>
    </w:p>
    <w:p w14:paraId="270A4F73" w14:textId="57E4F4AA" w:rsidR="0092113C" w:rsidRPr="00796736" w:rsidRDefault="00FB393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 har til opgave at modtage, analysere og videreformidle oplysninger om </w:t>
      </w:r>
      <w:r>
        <w:rPr>
          <w:rFonts w:ascii="Times New Roman" w:hAnsi="Times New Roman" w:cs="Times New Roman"/>
          <w:sz w:val="24"/>
          <w:szCs w:val="24"/>
        </w:rPr>
        <w:t xml:space="preserve">bl.a. </w:t>
      </w:r>
      <w:r w:rsidRPr="00796736">
        <w:rPr>
          <w:rFonts w:ascii="Times New Roman" w:hAnsi="Times New Roman" w:cs="Times New Roman"/>
          <w:sz w:val="24"/>
          <w:szCs w:val="24"/>
        </w:rPr>
        <w:t xml:space="preserve">mistænkelige transaktioner, og </w:t>
      </w:r>
      <w:r>
        <w:rPr>
          <w:rFonts w:ascii="Times New Roman" w:hAnsi="Times New Roman" w:cs="Times New Roman"/>
          <w:sz w:val="24"/>
          <w:szCs w:val="24"/>
        </w:rPr>
        <w:t>videreformidlingen</w:t>
      </w:r>
      <w:r w:rsidRPr="00796736">
        <w:rPr>
          <w:rFonts w:ascii="Times New Roman" w:hAnsi="Times New Roman" w:cs="Times New Roman"/>
          <w:sz w:val="24"/>
          <w:szCs w:val="24"/>
        </w:rPr>
        <w:t xml:space="preserve"> sker i praksis til både politiet og en række særmyndigheder, herunder i særdeleshed Skattestyrelsen. I forbindelse med denne videre</w:t>
      </w:r>
      <w:r>
        <w:rPr>
          <w:rFonts w:ascii="Times New Roman" w:hAnsi="Times New Roman" w:cs="Times New Roman"/>
          <w:sz w:val="24"/>
          <w:szCs w:val="24"/>
        </w:rPr>
        <w:t>formidling</w:t>
      </w:r>
      <w:r w:rsidRPr="00796736">
        <w:rPr>
          <w:rFonts w:ascii="Times New Roman" w:hAnsi="Times New Roman" w:cs="Times New Roman"/>
          <w:sz w:val="24"/>
          <w:szCs w:val="24"/>
        </w:rPr>
        <w:t xml:space="preserve"> kan det være problematisk, hvis en særmyndighed efterfølgende videregiver en kopi af en hvidvaskunderretning, da dette kan afdække, at eksempelvis en tilsynssag er indledt på baggrund af en underretning fra f.eks. et pengeinstitut. </w:t>
      </w:r>
      <w:r w:rsidR="0092113C" w:rsidRPr="00796736">
        <w:rPr>
          <w:rFonts w:ascii="Times New Roman" w:hAnsi="Times New Roman" w:cs="Times New Roman"/>
          <w:sz w:val="24"/>
          <w:szCs w:val="24"/>
        </w:rPr>
        <w:t xml:space="preserve">Det bemærkes, at sådanne tilfælde i almindelighed vil være omfattet af den foreslåede </w:t>
      </w:r>
      <w:r w:rsidR="0092113C" w:rsidRPr="00796736">
        <w:rPr>
          <w:rFonts w:ascii="Times New Roman" w:hAnsi="Times New Roman" w:cs="Times New Roman"/>
          <w:sz w:val="24"/>
          <w:szCs w:val="24"/>
        </w:rPr>
        <w:fldChar w:fldCharType="begin"/>
      </w:r>
      <w:r w:rsidR="0092113C" w:rsidRPr="00796736">
        <w:rPr>
          <w:rFonts w:ascii="Times New Roman" w:hAnsi="Times New Roman" w:cs="Times New Roman"/>
          <w:sz w:val="24"/>
          <w:szCs w:val="24"/>
        </w:rPr>
        <w:instrText xml:space="preserve"> REF _Ref239689115 \r \h </w:instrText>
      </w:r>
      <w:r w:rsidR="00AB17CC" w:rsidRPr="00796736">
        <w:rPr>
          <w:rFonts w:ascii="Times New Roman" w:hAnsi="Times New Roman" w:cs="Times New Roman"/>
          <w:sz w:val="24"/>
          <w:szCs w:val="24"/>
        </w:rPr>
        <w:instrText xml:space="preserve"> \* MERGEFORMAT </w:instrText>
      </w:r>
      <w:r w:rsidR="0092113C" w:rsidRPr="00796736">
        <w:rPr>
          <w:rFonts w:ascii="Times New Roman" w:hAnsi="Times New Roman" w:cs="Times New Roman"/>
          <w:sz w:val="24"/>
          <w:szCs w:val="24"/>
        </w:rPr>
      </w:r>
      <w:r w:rsidR="009211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30</w:t>
      </w:r>
      <w:r w:rsidR="0092113C" w:rsidRPr="00796736">
        <w:rPr>
          <w:rFonts w:ascii="Times New Roman" w:hAnsi="Times New Roman" w:cs="Times New Roman"/>
          <w:sz w:val="24"/>
          <w:szCs w:val="24"/>
        </w:rPr>
        <w:fldChar w:fldCharType="end"/>
      </w:r>
      <w:r w:rsidR="0092113C" w:rsidRPr="00796736">
        <w:rPr>
          <w:rFonts w:ascii="Times New Roman" w:hAnsi="Times New Roman" w:cs="Times New Roman"/>
          <w:sz w:val="24"/>
          <w:szCs w:val="24"/>
        </w:rPr>
        <w:t xml:space="preserve"> for så vidt angår Hvidvasksekretariatet, men at der tillige kan være behov for, at den relevante særmyndighed tillige omfattes af den særlige tavshedspligt. Det vil være muligt at identificere, hvem der har foretaget underretningen, uanset om de omhandlede oplysninger om eventuelle navne, adresser mv. på personer/virksomheder er udeladt. Dette hænger bl.a. sammen med, at oplysningen i sig selv kun kan stamme et sted fra. Det vil således være muligt alene på baggrund af oplysningens karakter at henføre oplysningen til f.eks. vedkommendes pengeinstitut. Der er således fortsat efter Justitsministeriets opfattelse nødvendigt at der foretages en udvidelse af tavshedspligten for så vidt angår modtagere af hvidvaskunderretninger fra Hvidvasksekretariatet, således at der skabes et entydigt retsgrundlag med henblik på at undgå, at der foretages underretning af de pågældende borgere herom eller at der meddeles partsaktindsigt i de pågældende oplysninger. </w:t>
      </w:r>
    </w:p>
    <w:p w14:paraId="53775DB3" w14:textId="7AB21450" w:rsidR="00AD142A" w:rsidRPr="00796736" w:rsidRDefault="00AD142A"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På den baggrund er det Justitsministeriets vurdering, at der er behov for at videreføre hvidvasklovens § 38 a.</w:t>
      </w:r>
    </w:p>
    <w:p w14:paraId="7F3213EA" w14:textId="77777777" w:rsidR="007E73F9" w:rsidRPr="00796736" w:rsidRDefault="007E73F9" w:rsidP="00A802A5">
      <w:pPr>
        <w:spacing w:line="360" w:lineRule="auto"/>
        <w:rPr>
          <w:rFonts w:ascii="Times New Roman" w:hAnsi="Times New Roman" w:cs="Times New Roman"/>
          <w:sz w:val="24"/>
          <w:szCs w:val="24"/>
          <w:bdr w:val="none" w:sz="0" w:space="0" w:color="auto" w:frame="1"/>
        </w:rPr>
      </w:pPr>
    </w:p>
    <w:p w14:paraId="3F32F1EB" w14:textId="21F152AF" w:rsidR="007E73F9" w:rsidRPr="00796736" w:rsidRDefault="007E73F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 med de ændringer, som er nødvendige som følge af hvidvaskdirektivet og hvidvaskforordningen –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_Ref237004540 \r \h </w:instrText>
      </w:r>
      <w:r w:rsidR="003F06C7"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videreføre den gældende bestemmelse i hvidvasklovens § 38 a, stk. 1, således at personer, der virker inden for den offentlige forvaltning, under ansvar efter straffelovens </w:t>
      </w:r>
      <w:r w:rsidRPr="00796736">
        <w:rPr>
          <w:rFonts w:ascii="Times New Roman" w:eastAsia="Times New Roman" w:hAnsi="Times New Roman" w:cs="Times New Roman"/>
          <w:sz w:val="24"/>
          <w:szCs w:val="24"/>
          <w:lang w:eastAsia="da-DK"/>
        </w:rPr>
        <w:t>§</w:t>
      </w:r>
      <w:r w:rsidR="00100301">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152 og 152 c-152 f </w:t>
      </w:r>
      <w:r w:rsidRPr="00796736">
        <w:rPr>
          <w:rFonts w:ascii="Times New Roman" w:hAnsi="Times New Roman" w:cs="Times New Roman"/>
          <w:sz w:val="24"/>
          <w:szCs w:val="24"/>
        </w:rPr>
        <w:t>er forpligtet til at hemmeligholde oplysninger, som hidrører fra en underretning efter</w:t>
      </w:r>
      <w:r w:rsidR="0092113C" w:rsidRPr="00796736">
        <w:rPr>
          <w:rFonts w:ascii="Times New Roman" w:hAnsi="Times New Roman" w:cs="Times New Roman"/>
          <w:sz w:val="24"/>
          <w:szCs w:val="24"/>
        </w:rPr>
        <w:t xml:space="preserve"> den foreslåede </w:t>
      </w:r>
      <w:r w:rsidR="0092113C" w:rsidRPr="00796736">
        <w:rPr>
          <w:rFonts w:ascii="Times New Roman" w:hAnsi="Times New Roman" w:cs="Times New Roman"/>
          <w:sz w:val="24"/>
          <w:szCs w:val="24"/>
        </w:rPr>
        <w:fldChar w:fldCharType="begin"/>
      </w:r>
      <w:r w:rsidR="0092113C" w:rsidRPr="00796736">
        <w:rPr>
          <w:rFonts w:ascii="Times New Roman" w:hAnsi="Times New Roman" w:cs="Times New Roman"/>
          <w:sz w:val="24"/>
          <w:szCs w:val="24"/>
        </w:rPr>
        <w:instrText xml:space="preserve"> REF _Ref238570475 \r \h </w:instrText>
      </w:r>
      <w:r w:rsidR="00AB17CC" w:rsidRPr="00796736">
        <w:rPr>
          <w:rFonts w:ascii="Times New Roman" w:hAnsi="Times New Roman" w:cs="Times New Roman"/>
          <w:sz w:val="24"/>
          <w:szCs w:val="24"/>
        </w:rPr>
        <w:instrText xml:space="preserve"> \* MERGEFORMAT </w:instrText>
      </w:r>
      <w:r w:rsidR="0092113C" w:rsidRPr="00796736">
        <w:rPr>
          <w:rFonts w:ascii="Times New Roman" w:hAnsi="Times New Roman" w:cs="Times New Roman"/>
          <w:sz w:val="24"/>
          <w:szCs w:val="24"/>
        </w:rPr>
      </w:r>
      <w:r w:rsidR="009211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39</w:t>
      </w:r>
      <w:r w:rsidR="0092113C"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hvidvaskforordningens artikel 69, stk. 1, første afsnit, litra a, eller underretninger til Hvidvasksekretariatet foretaget i medfør af anden lovgivning</w:t>
      </w:r>
      <w:r w:rsidRPr="00796736">
        <w:rPr>
          <w:rFonts w:ascii="Times New Roman" w:hAnsi="Times New Roman" w:cs="Times New Roman"/>
          <w:sz w:val="24"/>
          <w:szCs w:val="24"/>
        </w:rPr>
        <w:t>. Derudover foreslås det, at f</w:t>
      </w:r>
      <w:r w:rsidRPr="00796736">
        <w:rPr>
          <w:rFonts w:ascii="Times New Roman" w:eastAsia="Times New Roman" w:hAnsi="Times New Roman" w:cs="Times New Roman"/>
          <w:sz w:val="24"/>
          <w:szCs w:val="24"/>
          <w:lang w:eastAsia="da-DK"/>
        </w:rPr>
        <w:t xml:space="preserve">orvaltningslovens § 9 om partsaktindsigt, § 19 om partshøring, § 24 om begrundelsespligt samt §§ 28 og 31 om videregivelse af oplysninger mellem forvaltningsmyndigheder ikke finder anvendelse på sådanne oplysninger. </w:t>
      </w:r>
    </w:p>
    <w:p w14:paraId="20778C3B" w14:textId="77777777" w:rsidR="007E73F9" w:rsidRPr="00796736" w:rsidRDefault="007E73F9" w:rsidP="00A802A5">
      <w:pPr>
        <w:spacing w:line="360" w:lineRule="auto"/>
        <w:rPr>
          <w:rFonts w:ascii="Times New Roman" w:hAnsi="Times New Roman" w:cs="Times New Roman"/>
          <w:sz w:val="24"/>
          <w:szCs w:val="24"/>
        </w:rPr>
      </w:pPr>
    </w:p>
    <w:p w14:paraId="254B6E54" w14:textId="77777777" w:rsidR="007E73F9" w:rsidRPr="00796736" w:rsidRDefault="007E73F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indebære, at tavshedspligten vedrørende oplysninger, som hidrører fra underretninger, på samme måde som efter gældende ret vil omfatte ansatte ved alle offentlige myndigheder. Derudover vil bestemmelsen regulere forholdet til forvaltningslovens regler om partsaktindsigt, partshøring, begrundelsespligt samt videregivelse af oplysninger mellem forvaltningsmyndigheder. </w:t>
      </w:r>
    </w:p>
    <w:p w14:paraId="7D9A4A39" w14:textId="77777777" w:rsidR="007E73F9" w:rsidRPr="00796736" w:rsidRDefault="007E73F9" w:rsidP="00A802A5">
      <w:pPr>
        <w:spacing w:line="360" w:lineRule="auto"/>
        <w:rPr>
          <w:rFonts w:ascii="Times New Roman" w:eastAsia="Times New Roman" w:hAnsi="Times New Roman" w:cs="Times New Roman"/>
          <w:sz w:val="24"/>
          <w:szCs w:val="24"/>
          <w:lang w:eastAsia="da-DK"/>
        </w:rPr>
      </w:pPr>
    </w:p>
    <w:p w14:paraId="231E5B74" w14:textId="0F3A90F6" w:rsidR="007E73F9" w:rsidRPr="00796736" w:rsidRDefault="007E73F9"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At der i den foreslåede bestemmelse henvises til en underretning efter </w:t>
      </w:r>
      <w:r w:rsidR="00E31B56" w:rsidRPr="00796736">
        <w:rPr>
          <w:rFonts w:ascii="Times New Roman" w:eastAsia="Times New Roman" w:hAnsi="Times New Roman" w:cs="Times New Roman"/>
          <w:sz w:val="24"/>
          <w:szCs w:val="24"/>
          <w:lang w:eastAsia="da-DK"/>
        </w:rPr>
        <w:fldChar w:fldCharType="begin"/>
      </w:r>
      <w:r w:rsidR="00E31B56" w:rsidRPr="00796736">
        <w:rPr>
          <w:rFonts w:ascii="Times New Roman" w:eastAsia="Times New Roman" w:hAnsi="Times New Roman" w:cs="Times New Roman"/>
          <w:sz w:val="24"/>
          <w:szCs w:val="24"/>
          <w:lang w:eastAsia="da-DK"/>
        </w:rPr>
        <w:instrText xml:space="preserve"> REF _Ref238570475 \r \h </w:instrText>
      </w:r>
      <w:r w:rsidR="00F375BF" w:rsidRPr="00796736">
        <w:rPr>
          <w:rFonts w:ascii="Times New Roman" w:eastAsia="Times New Roman" w:hAnsi="Times New Roman" w:cs="Times New Roman"/>
          <w:sz w:val="24"/>
          <w:szCs w:val="24"/>
          <w:lang w:eastAsia="da-DK"/>
        </w:rPr>
        <w:instrText xml:space="preserve"> \* MERGEFORMAT </w:instrText>
      </w:r>
      <w:r w:rsidR="00E31B56" w:rsidRPr="00796736">
        <w:rPr>
          <w:rFonts w:ascii="Times New Roman" w:eastAsia="Times New Roman" w:hAnsi="Times New Roman" w:cs="Times New Roman"/>
          <w:sz w:val="24"/>
          <w:szCs w:val="24"/>
          <w:lang w:eastAsia="da-DK"/>
        </w:rPr>
      </w:r>
      <w:r w:rsidR="00E31B56"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39</w:t>
      </w:r>
      <w:r w:rsidR="00E31B56" w:rsidRPr="00796736">
        <w:rPr>
          <w:rFonts w:ascii="Times New Roman" w:eastAsia="Times New Roman" w:hAnsi="Times New Roman" w:cs="Times New Roman"/>
          <w:sz w:val="24"/>
          <w:szCs w:val="24"/>
          <w:lang w:eastAsia="da-DK"/>
        </w:rPr>
        <w:fldChar w:fldCharType="end"/>
      </w:r>
      <w:r w:rsidR="00E31B56" w:rsidRPr="00796736">
        <w:rPr>
          <w:rFonts w:ascii="Times New Roman" w:eastAsia="Times New Roman" w:hAnsi="Times New Roman" w:cs="Times New Roman"/>
          <w:sz w:val="24"/>
          <w:szCs w:val="24"/>
          <w:lang w:eastAsia="da-DK"/>
        </w:rPr>
        <w:t xml:space="preserve"> </w:t>
      </w:r>
      <w:r w:rsidR="0092113C" w:rsidRPr="00796736">
        <w:rPr>
          <w:rFonts w:ascii="Times New Roman" w:eastAsia="Times New Roman" w:hAnsi="Times New Roman" w:cs="Times New Roman"/>
          <w:sz w:val="24"/>
          <w:szCs w:val="24"/>
          <w:lang w:eastAsia="da-DK"/>
        </w:rPr>
        <w:t xml:space="preserve">og hvidvaskforordningens artikel 69, stk. 1, første afsnit, litra a, skyldes, at underretningspligten for forpligtede enheder, der i dag fremgår af hvidvasklovens § 26, fremover vil følge af hvidvaskforordningens artikel 69, stk. 1, første afsnit, litra a, og at underretningspligten for tilsynsorganer og andre offentlige myndigheder fremover vil følge af den foreslåede </w:t>
      </w:r>
      <w:r w:rsidR="0092113C" w:rsidRPr="00796736">
        <w:rPr>
          <w:rFonts w:ascii="Times New Roman" w:eastAsia="Times New Roman" w:hAnsi="Times New Roman" w:cs="Times New Roman"/>
          <w:sz w:val="24"/>
          <w:szCs w:val="24"/>
          <w:lang w:eastAsia="da-DK"/>
        </w:rPr>
        <w:fldChar w:fldCharType="begin"/>
      </w:r>
      <w:r w:rsidR="0092113C" w:rsidRPr="00796736">
        <w:rPr>
          <w:rFonts w:ascii="Times New Roman" w:eastAsia="Times New Roman" w:hAnsi="Times New Roman" w:cs="Times New Roman"/>
          <w:sz w:val="24"/>
          <w:szCs w:val="24"/>
          <w:lang w:eastAsia="da-DK"/>
        </w:rPr>
        <w:instrText xml:space="preserve"> REF _Ref238570475 \r \h </w:instrText>
      </w:r>
      <w:r w:rsidR="00AB17CC" w:rsidRPr="00796736">
        <w:rPr>
          <w:rFonts w:ascii="Times New Roman" w:eastAsia="Times New Roman" w:hAnsi="Times New Roman" w:cs="Times New Roman"/>
          <w:sz w:val="24"/>
          <w:szCs w:val="24"/>
          <w:lang w:eastAsia="da-DK"/>
        </w:rPr>
        <w:instrText xml:space="preserve"> \* MERGEFORMAT </w:instrText>
      </w:r>
      <w:r w:rsidR="0092113C" w:rsidRPr="00796736">
        <w:rPr>
          <w:rFonts w:ascii="Times New Roman" w:eastAsia="Times New Roman" w:hAnsi="Times New Roman" w:cs="Times New Roman"/>
          <w:sz w:val="24"/>
          <w:szCs w:val="24"/>
          <w:lang w:eastAsia="da-DK"/>
        </w:rPr>
      </w:r>
      <w:r w:rsidR="0092113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39</w:t>
      </w:r>
      <w:r w:rsidR="0092113C" w:rsidRPr="00796736">
        <w:rPr>
          <w:rFonts w:ascii="Times New Roman" w:eastAsia="Times New Roman" w:hAnsi="Times New Roman" w:cs="Times New Roman"/>
          <w:sz w:val="24"/>
          <w:szCs w:val="24"/>
          <w:lang w:eastAsia="da-DK"/>
        </w:rPr>
        <w:fldChar w:fldCharType="end"/>
      </w:r>
      <w:r w:rsidR="0092113C" w:rsidRPr="00796736">
        <w:rPr>
          <w:rFonts w:ascii="Times New Roman" w:eastAsia="Times New Roman" w:hAnsi="Times New Roman" w:cs="Times New Roman"/>
          <w:sz w:val="24"/>
          <w:szCs w:val="24"/>
          <w:lang w:eastAsia="da-DK"/>
        </w:rPr>
        <w:t>. Bestemmelsen vil således som i dag omfatte</w:t>
      </w:r>
      <w:r w:rsidR="0092113C" w:rsidRPr="00796736">
        <w:rPr>
          <w:rFonts w:ascii="Times New Roman" w:hAnsi="Times New Roman" w:cs="Times New Roman"/>
          <w:sz w:val="24"/>
          <w:szCs w:val="24"/>
        </w:rPr>
        <w:t xml:space="preserve"> både oplysninger fra forpligtede enheders underretninger samt underretninger, som tilsynsorganer og -myndigheder sender til Hvidvasksekretariatet. Den foreslåede bestemmelse vil således – på samme måde som efter gældende ret – </w:t>
      </w:r>
      <w:r w:rsidR="0092113C" w:rsidRPr="00796736">
        <w:rPr>
          <w:rFonts w:ascii="Times New Roman" w:eastAsia="Times New Roman" w:hAnsi="Times New Roman" w:cs="Times New Roman"/>
          <w:sz w:val="24"/>
          <w:szCs w:val="24"/>
          <w:lang w:eastAsia="da-DK"/>
        </w:rPr>
        <w:t xml:space="preserve">også omfatte underretninger indgivet af andre myndigheder end tilsynsorganer og -myndigheder, jf. også den foreslåede </w:t>
      </w:r>
      <w:r w:rsidR="0092113C" w:rsidRPr="00796736">
        <w:rPr>
          <w:rFonts w:ascii="Times New Roman" w:eastAsia="Times New Roman" w:hAnsi="Times New Roman" w:cs="Times New Roman"/>
          <w:sz w:val="24"/>
          <w:szCs w:val="24"/>
          <w:lang w:eastAsia="da-DK"/>
        </w:rPr>
        <w:fldChar w:fldCharType="begin"/>
      </w:r>
      <w:r w:rsidR="0092113C" w:rsidRPr="00796736">
        <w:rPr>
          <w:rFonts w:ascii="Times New Roman" w:eastAsia="Times New Roman" w:hAnsi="Times New Roman" w:cs="Times New Roman"/>
          <w:sz w:val="24"/>
          <w:szCs w:val="24"/>
          <w:lang w:eastAsia="da-DK"/>
        </w:rPr>
        <w:instrText xml:space="preserve"> REF _Ref238570475 \r \h </w:instrText>
      </w:r>
      <w:r w:rsidR="00AB17CC" w:rsidRPr="00796736">
        <w:rPr>
          <w:rFonts w:ascii="Times New Roman" w:eastAsia="Times New Roman" w:hAnsi="Times New Roman" w:cs="Times New Roman"/>
          <w:sz w:val="24"/>
          <w:szCs w:val="24"/>
          <w:lang w:eastAsia="da-DK"/>
        </w:rPr>
        <w:instrText xml:space="preserve"> \* MERGEFORMAT </w:instrText>
      </w:r>
      <w:r w:rsidR="0092113C" w:rsidRPr="00796736">
        <w:rPr>
          <w:rFonts w:ascii="Times New Roman" w:eastAsia="Times New Roman" w:hAnsi="Times New Roman" w:cs="Times New Roman"/>
          <w:sz w:val="24"/>
          <w:szCs w:val="24"/>
          <w:lang w:eastAsia="da-DK"/>
        </w:rPr>
      </w:r>
      <w:r w:rsidR="0092113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39</w:t>
      </w:r>
      <w:r w:rsidR="0092113C" w:rsidRPr="00796736">
        <w:rPr>
          <w:rFonts w:ascii="Times New Roman" w:eastAsia="Times New Roman" w:hAnsi="Times New Roman" w:cs="Times New Roman"/>
          <w:sz w:val="24"/>
          <w:szCs w:val="24"/>
          <w:lang w:eastAsia="da-DK"/>
        </w:rPr>
        <w:fldChar w:fldCharType="end"/>
      </w:r>
      <w:r w:rsidR="0092113C" w:rsidRPr="00796736">
        <w:rPr>
          <w:rFonts w:ascii="Times New Roman" w:eastAsia="Times New Roman" w:hAnsi="Times New Roman" w:cs="Times New Roman"/>
          <w:sz w:val="24"/>
          <w:szCs w:val="24"/>
          <w:lang w:eastAsia="da-DK"/>
        </w:rPr>
        <w:t>.</w:t>
      </w:r>
    </w:p>
    <w:p w14:paraId="5EA73699" w14:textId="77777777" w:rsidR="007E73F9" w:rsidRPr="00796736" w:rsidRDefault="007E73F9" w:rsidP="00A802A5">
      <w:pPr>
        <w:spacing w:line="360" w:lineRule="auto"/>
        <w:rPr>
          <w:rFonts w:ascii="Times New Roman" w:eastAsia="Times New Roman" w:hAnsi="Times New Roman" w:cs="Times New Roman"/>
          <w:sz w:val="24"/>
          <w:szCs w:val="24"/>
          <w:lang w:eastAsia="da-DK"/>
        </w:rPr>
      </w:pPr>
    </w:p>
    <w:p w14:paraId="3227BBC9" w14:textId="786F34EC" w:rsidR="007E73F9" w:rsidRPr="00796736" w:rsidRDefault="007E73F9"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Der henvises i øvrigt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_Ref237004540 \r \h </w:instrText>
      </w:r>
      <w:r w:rsidR="003F06C7"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w:t>
      </w:r>
    </w:p>
    <w:p w14:paraId="6819D981" w14:textId="77777777" w:rsidR="007E73F9" w:rsidRPr="00796736" w:rsidRDefault="007E73F9" w:rsidP="00A802A5">
      <w:pPr>
        <w:spacing w:after="240" w:line="360" w:lineRule="auto"/>
        <w:rPr>
          <w:rFonts w:ascii="Times New Roman" w:eastAsia="Times New Roman" w:hAnsi="Times New Roman" w:cs="Times New Roman"/>
          <w:sz w:val="24"/>
          <w:szCs w:val="24"/>
          <w:lang w:eastAsia="da-DK"/>
        </w:rPr>
      </w:pPr>
    </w:p>
    <w:p w14:paraId="044B721A" w14:textId="1133BF14" w:rsidR="003C1A7C" w:rsidRPr="00796736" w:rsidRDefault="003C1A7C" w:rsidP="00A802A5">
      <w:pPr>
        <w:pStyle w:val="Overskrift2"/>
        <w:rPr>
          <w:rFonts w:ascii="Times New Roman" w:hAnsi="Times New Roman"/>
          <w:sz w:val="24"/>
        </w:rPr>
      </w:pPr>
      <w:bookmarkStart w:id="1209" w:name="_Toc232109140"/>
      <w:bookmarkStart w:id="1210" w:name="_Ref232946748"/>
      <w:bookmarkStart w:id="1211" w:name="_Toc244880755"/>
      <w:r w:rsidRPr="00796736">
        <w:rPr>
          <w:rFonts w:ascii="Times New Roman" w:hAnsi="Times New Roman"/>
          <w:sz w:val="24"/>
        </w:rPr>
        <w:t>Underretningspligt for myndigheder ved mistanke om hvidvask og terrorfinansiering</w:t>
      </w:r>
      <w:bookmarkEnd w:id="1209"/>
      <w:bookmarkEnd w:id="1210"/>
      <w:bookmarkEnd w:id="1211"/>
    </w:p>
    <w:p w14:paraId="5D64F788" w14:textId="778AE923" w:rsidR="003C1A7C" w:rsidRPr="00796736" w:rsidRDefault="003C1A7C" w:rsidP="00A802A5">
      <w:pPr>
        <w:pStyle w:val="Overskrift4"/>
        <w:rPr>
          <w:rFonts w:ascii="Times New Roman" w:hAnsi="Times New Roman" w:cs="Times New Roman"/>
          <w:sz w:val="24"/>
          <w:szCs w:val="24"/>
        </w:rPr>
      </w:pPr>
      <w:bookmarkStart w:id="1212" w:name="_Toc232109141"/>
      <w:r w:rsidRPr="00796736">
        <w:rPr>
          <w:rFonts w:ascii="Times New Roman" w:hAnsi="Times New Roman" w:cs="Times New Roman"/>
          <w:sz w:val="24"/>
          <w:szCs w:val="24"/>
        </w:rPr>
        <w:t>Gældende ret</w:t>
      </w:r>
      <w:bookmarkEnd w:id="1212"/>
    </w:p>
    <w:p w14:paraId="46EBED44" w14:textId="77777777" w:rsidR="00DF3B9F" w:rsidRPr="00796736" w:rsidRDefault="00DF3B9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26, stk. 1, er virksomheder og personer forpligtet til omgående at underrette Hvidvasksekretariatet, hvis virksomheden eller personen er vidende om, har mistanke om eller rimelig grund til at formode, at en transaktion, midler eller en aktivitet har eller har haft tilknytning til hvidvask eller finansiering af terrorisme. Det samme gælder ved mistanke, der er opstået i forbindelse med kundens forsøg på at foretage en transaktion eller en henvendelse fra en mulig kunde med ønske om gennemførelse af en transaktion eller aktivitet.</w:t>
      </w:r>
    </w:p>
    <w:p w14:paraId="63FA28EF" w14:textId="77777777" w:rsidR="00DF3B9F" w:rsidRPr="00796736" w:rsidRDefault="00DF3B9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28 skal en tilsynsmyndighed i henhold til hvidvaskloven eller andre myndigheder underrette Hvidvasksekretariatet, hvis myndigheden får kendskab til forhold, der giver grund til at tro, at disse kan have tilknytning til hvidvask eller finansiering af terrorisme, som er omfattet af underretningspligten i § 26, stk. 1. </w:t>
      </w:r>
    </w:p>
    <w:p w14:paraId="5076F6D3" w14:textId="77777777" w:rsidR="00E31B56" w:rsidRPr="00796736" w:rsidRDefault="00E31B5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 28 følger det bl.a., at får en tilsynsmyndighed i henhold til hvidvaskloven eller told- og skatteforvaltningen kendskab til forhold, der formodes at have tilknytning til hvidvask eller finansiering af terrorisme, som er omfattet af underretningspligten i § 26, stk. 1, skal myndigheden underrette SØIK (nu Hvidvasksekretariatet) herom. Tilsynsmyndighederne pålægges hermed en underretningspligt. </w:t>
      </w:r>
    </w:p>
    <w:p w14:paraId="255F59BE" w14:textId="77777777" w:rsidR="0092113C" w:rsidRPr="00796736"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Tilsynsmyndighederne kan ved inspektioner eller på anden måde få kendskab til forhold, der kan have tilknytning til hvidvask af udbytte eller finansiering af terrorisme, og i så fald skal disse underrette SØIK (nu Hvidvasksekretariatet) herom. </w:t>
      </w:r>
    </w:p>
    <w:p w14:paraId="560299C6" w14:textId="77777777" w:rsidR="0092113C" w:rsidRPr="00796736"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at underretningspligten samtidig blev udvidet til også at omfatte told- og skatteforvaltningen. Ifølge bemærkningerne medfører bestemmelsen, at told- og skatteforvaltningen på samme måde som tilsynsmyndighederne skal underrette, hvis de får kendskab til forhold, der kan have tilknytning til hvidvask af udbytte eller finansiering af terrorisme. Dette kan f.eks. være tilfældet ved kendskab til store beholdninger af kontanter ved personers ud- eller indrejse af landet eller uledsagede forsendelser af stor værdi, som sendes ud af eller ind i landet. </w:t>
      </w:r>
    </w:p>
    <w:p w14:paraId="3EC1DDB8" w14:textId="77777777" w:rsidR="0092113C" w:rsidRPr="00796736"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Ifølge bemærkningerne sikrer bestemmelsen, ud over en klar lovhjemmel for told- og skatteforvaltningen til at aflevere sådanne oplysninger, uden at det nødvendigvis sker som en anmeldelse, en styrket indsats mod økonomisk kriminalitet, da told- og skatteforvaltningen i forbindelse med deres kontrolsager kan afdække forhold, som vedrører anden form for økonomisk kriminalitet end fiskal kriminalitet. </w:t>
      </w:r>
    </w:p>
    <w:p w14:paraId="5FC91558" w14:textId="77777777" w:rsidR="00E31B56" w:rsidRPr="00796736" w:rsidRDefault="00E31B5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131.</w:t>
      </w:r>
    </w:p>
    <w:p w14:paraId="4044AD21" w14:textId="77777777" w:rsidR="00E31B56" w:rsidRPr="00796736" w:rsidRDefault="00E31B5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er senest ændret således, at »told- og skatteforvaltningen« blev ændret til »andre myndigheder«. Af bemærkningerne til bestemmelsen, jf. Folketingstidende 2024-25, tillæg A, L 193 som fremsat, side 334, fremgår det bl.a., at underretningsforpligtelsen i medfør af bestemmelsen omfatter oplysninger, som myndighederne bliver bekendt med ved varetagelsen af deres almindelige opgaver, f.eks. sagsbehandling, udførelse af kontrolopgaver og lignende. Af bemærkningerne til lovforslaget fremgår det, at et vigtigt redskab i indsatsen mod hvidvask og terrorfinansiering er et tæt tværgående samarbejde og udveksling af relevante oplysninger på tværs af og mellem de personer og virksomheder, der er omfattet af forpligtelserne i hvidvaskloven, og relevante myndigheder. Det vurderes på den baggrund, at underretningspligten i hvidvasklovens § 28 ikke alene bør gælde de myndigheder, der er tilsynsmyndighed i henhold til hvidvaskloven og Skatteforvaltningen, men alle myndigheder. Der henvises til Folketingstidende 2024-25, tillæg A, L 193 som fremsat, side 95.</w:t>
      </w:r>
    </w:p>
    <w:p w14:paraId="0BA28726" w14:textId="77777777" w:rsidR="0092113C" w:rsidRPr="00796736"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gennemfører 4. hvidvaskdirektivs artikel 36. Bestemmelsen skal i øvrigt ses i sammenhæng med modifikationerne til de nuværende underretningsregler i §§ 26 og 27, som gennemfører 4. hvidvaskdirektivs artikel 33-35. </w:t>
      </w:r>
    </w:p>
    <w:p w14:paraId="29161B34" w14:textId="77777777" w:rsidR="00C95839" w:rsidRDefault="00E31B5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Forvaltningslovens § 28 regulerer videregivelsen af oplysninger til en anden forvaltningsmyndighed. </w:t>
      </w:r>
    </w:p>
    <w:p w14:paraId="2FF71F22" w14:textId="4E1224AF" w:rsidR="00E31B56" w:rsidRPr="00796736" w:rsidRDefault="00E31B5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forvaltningslovens § 28, stk. 1, at for manuel videregivelse  af oplysninger om enkeltpersoner (personoplysninger) til en anden forvaltningsmyndighed gælder reglerne i databeskyttelseslovens §§ 6-8 og 10 og § 11, stk. 1, og i artikel 5, stk. 1, litra a-c, artikel 6, artikel 7, stk. 3, 1. og 2. pkt., artikel 9 og 10 og artikel 77, stk. 1, i databeskyttelsesforordningen, jf. databeskyttelseslovens § 2, stk. 1. For videregivelse af personoplysninger til en anden forvaltningsmyndighed, der helt eller delvis foretages ved hjælp af automatisk databehandling, finder reglerne i databeskyttelsesforordningen og databeskyttelsesloven anvendelse, medmindre videregivelsen er reguleret af lov om retshåndhævende myndigheders behandling af personoplysninger.</w:t>
      </w:r>
    </w:p>
    <w:p w14:paraId="367234BE" w14:textId="77777777" w:rsidR="00E31B56" w:rsidRPr="00796736" w:rsidRDefault="00E31B5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forvaltningslovens § 28, stk. 2, at oplysninger af fortrolig karakter, som ikke er omfattet af stk. 1, kun må videregives til en anden forvaltningsmyndighed, når den, oplysningen angår udtrykkeligt har givet samtykke (nr. 1), det følger af lov eller bestemmelser fastsat i henhold til lov, at oplysningen skal videregives (nr. 2) eller det må antages, at oplysningen vil være af væsentlig betydning for myndighedens virksomhed eller for en afgørelse, myndigheden skal træffe (nr. 3). </w:t>
      </w:r>
    </w:p>
    <w:p w14:paraId="66146B1F" w14:textId="7E2503FF" w:rsidR="00E31B56" w:rsidRPr="00796736" w:rsidRDefault="00E31B5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Samtidig med reglerne i forvaltningsloven gælder reglerne i databeskyttelsesforordningen og loven, herunder behandlingsreglerne i forordningens artikel 6,9 og 10 og principperne i artikel 5. Der mv. henvises til pkt.</w:t>
      </w:r>
      <w:r w:rsidR="00C95839">
        <w:rPr>
          <w:rFonts w:ascii="Times New Roman" w:hAnsi="Times New Roman" w:cs="Times New Roman"/>
          <w:sz w:val="24"/>
          <w:szCs w:val="24"/>
        </w:rPr>
        <w:t xml:space="preserve"> 5. </w:t>
      </w:r>
      <w:r w:rsidRPr="00796736">
        <w:rPr>
          <w:rFonts w:ascii="Times New Roman" w:hAnsi="Times New Roman" w:cs="Times New Roman"/>
          <w:sz w:val="24"/>
          <w:szCs w:val="24"/>
        </w:rPr>
        <w:t>om forholdet til databeskyttelsesreglerne</w:t>
      </w:r>
      <w:r w:rsidR="00C95839">
        <w:rPr>
          <w:rFonts w:ascii="Times New Roman" w:hAnsi="Times New Roman" w:cs="Times New Roman"/>
          <w:sz w:val="24"/>
          <w:szCs w:val="24"/>
        </w:rPr>
        <w:t>.</w:t>
      </w:r>
    </w:p>
    <w:p w14:paraId="0578FD11" w14:textId="26EA43A9" w:rsidR="003C1A7C" w:rsidRPr="00796736" w:rsidRDefault="003C1A7C" w:rsidP="00A802A5">
      <w:pPr>
        <w:pStyle w:val="Overskrift4"/>
        <w:rPr>
          <w:rFonts w:ascii="Times New Roman" w:hAnsi="Times New Roman" w:cs="Times New Roman"/>
          <w:sz w:val="24"/>
          <w:szCs w:val="24"/>
        </w:rPr>
      </w:pPr>
      <w:bookmarkStart w:id="1213" w:name="_Toc232109142"/>
      <w:bookmarkStart w:id="1214" w:name="_Ref232937952"/>
      <w:bookmarkStart w:id="1215" w:name="_Ref232937963"/>
      <w:bookmarkStart w:id="1216" w:name="_Ref232937976"/>
      <w:r w:rsidRPr="00796736">
        <w:rPr>
          <w:rFonts w:ascii="Times New Roman" w:hAnsi="Times New Roman" w:cs="Times New Roman"/>
          <w:sz w:val="24"/>
          <w:szCs w:val="24"/>
        </w:rPr>
        <w:t>6. hvidvaskdirektiv</w:t>
      </w:r>
      <w:bookmarkEnd w:id="1213"/>
      <w:bookmarkEnd w:id="1214"/>
      <w:bookmarkEnd w:id="1215"/>
      <w:bookmarkEnd w:id="1216"/>
    </w:p>
    <w:p w14:paraId="7FF1F88D" w14:textId="77777777" w:rsidR="008F0EF8" w:rsidRPr="00796736" w:rsidRDefault="008F0EF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42 i 6. hvidvaskdirektiv regulerer videregivelse af oplysninger til FIU’er. </w:t>
      </w:r>
    </w:p>
    <w:p w14:paraId="00D946FE" w14:textId="77777777" w:rsidR="008F0EF8" w:rsidRPr="00796736" w:rsidRDefault="008F0EF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hvidvaskdirektivets artikel 42, stk. 1, at medlemsstaterne skal sikre, at hvis tilsynsorganer i forbindelse med kontrol af forpligtede enheder eller på anden måde opdager forhold, som kan være knyttet til hvidvask af penge, de underliggende lovovertrædelser eller finansiering af terrorisme, underretter de omgående FIU'en herom. </w:t>
      </w:r>
    </w:p>
    <w:p w14:paraId="2A8524DD" w14:textId="77777777" w:rsidR="008F0EF8" w:rsidRPr="00796736" w:rsidRDefault="008F0EF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42, stk. 2, at medlemsstaterne skal sikre, at tilsynsorganer, som er tillagt beføjelser til at overvåge aktie-, valuta- og finansderivatmarkederne, underretter FIU'en, hvis de opdager oplysninger, som kan være knyttet til hvidvask af penge eller finansiering af terrorisme. </w:t>
      </w:r>
    </w:p>
    <w:p w14:paraId="68142261" w14:textId="77777777" w:rsidR="0092113C" w:rsidRPr="00796736"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42, stk. 3, at medlemsstaterne sikrer, at opfyldelse af kravene i bestemmelsen ikke erstatter tilsynsmyndighedernes forpligtelse til at indberette enhver kriminel handling, som de opdager eller får kendskab til i forbindelse med deres tilsynsaktiviteter, til de relevante kompetente myndigheder. </w:t>
      </w:r>
    </w:p>
    <w:p w14:paraId="551442EE" w14:textId="77777777" w:rsidR="008F0EF8" w:rsidRPr="00796736" w:rsidRDefault="008F0EF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Bestemmelsens stk. 1 og 2 viderefører artikel 36 i 4. hvidvaskdirektiv, mens bestemmelsens i stk. 3 er ny. </w:t>
      </w:r>
    </w:p>
    <w:p w14:paraId="05588DAA" w14:textId="5796461C" w:rsidR="008F0EF8" w:rsidRPr="00796736"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direktivets præambelbetragtning nr. 89 fremgår det, at tilsynsorganernes videregivelse af oplysninger til FIU'er om forhold, der kan være relateret til hvidvask af penge eller finansiering af terrorisme, er en af hjørnestenene i et effektivt tilsyn med risici for hvidvask af penge og finansiering af terrorisme og giver tilsynsorganerne mulighed for at sætte ind over for mangler i forpligtede enheders underretningsproces.m</w:t>
      </w:r>
      <w:r w:rsidR="008F0EF8" w:rsidRPr="00796736">
        <w:rPr>
          <w:rFonts w:ascii="Times New Roman" w:hAnsi="Times New Roman" w:cs="Times New Roman"/>
          <w:sz w:val="24"/>
          <w:szCs w:val="24"/>
        </w:rPr>
        <w:t xml:space="preserve">Med henblik herpå bør tilsynsorganerne kunne indberette til FIU'en tilfælde af mistanke om, at den forpligtede enhed har undladt at indberette eller supplere underretninger fra den forpligtede enhed med yderligere oplysninger, som de opdager i forbindelse med deres tilsynsaktiviteter. Tilsynsorganerne bør også kunne indberette mistanke om hvidvask af penge, de underliggende lovovertrædelser eller finansiering af terrorisme begået af ansatte i en forpligtet enhed eller personer i en tilsvarende stilling, af dens ledelse eller af dens reelle ejere. </w:t>
      </w:r>
    </w:p>
    <w:p w14:paraId="04244EDC" w14:textId="313F6722" w:rsidR="008F0EF8" w:rsidRPr="00796736" w:rsidRDefault="008F0EF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at det derfor er nødvendigt, at medlemsstaterne indfører et system, der sikrer, at FIU'er informeres korrekt og hurtigt. Underretningen af mistanke til FIU'en bør ikke forstås som en erstatning for forpligtelsen for offentlige myndigheder til at indberette enhver kriminel handling, som de afslører eller får kendskab til under udførelsen af deres opgaver, til de relevante kompetente myndigheder. Oplysninger, der er omfattet af retten til fortrolighed, bør ikke indhentes eller konsulteres i forbindelse med tilsynsopgaver, medmindre undtagelserne i hvidvaskforordningen finder anvendelse. Hvis tilsynsorganerne støder på eller kommer i besiddelse af sådanne oplysninger, bør de ikke tage hensyn til dem i forbindelse med deres tilsynsaktiviteter eller indberette dem til FIU'en.</w:t>
      </w:r>
    </w:p>
    <w:p w14:paraId="38D3B721" w14:textId="77777777" w:rsidR="008F0EF8" w:rsidRPr="00796736" w:rsidRDefault="008F0EF8" w:rsidP="00A802A5">
      <w:pPr>
        <w:spacing w:line="360" w:lineRule="auto"/>
        <w:rPr>
          <w:rFonts w:ascii="Times New Roman" w:hAnsi="Times New Roman" w:cs="Times New Roman"/>
          <w:sz w:val="24"/>
          <w:szCs w:val="24"/>
        </w:rPr>
      </w:pPr>
    </w:p>
    <w:p w14:paraId="11B2968C" w14:textId="77777777" w:rsidR="0092113C" w:rsidRPr="00796736" w:rsidRDefault="0092113C" w:rsidP="00A802A5">
      <w:pPr>
        <w:pStyle w:val="Overskrift4"/>
        <w:rPr>
          <w:rFonts w:ascii="Times New Roman" w:hAnsi="Times New Roman" w:cs="Times New Roman"/>
          <w:sz w:val="24"/>
          <w:szCs w:val="24"/>
        </w:rPr>
      </w:pPr>
      <w:bookmarkStart w:id="1217" w:name="_Toc232109143"/>
      <w:r w:rsidRPr="00796736">
        <w:rPr>
          <w:rFonts w:ascii="Times New Roman" w:hAnsi="Times New Roman" w:cs="Times New Roman"/>
          <w:sz w:val="24"/>
          <w:szCs w:val="24"/>
        </w:rPr>
        <w:t>Skatte- og Vækstministeriets overvejelser og den foreslåede ordning</w:t>
      </w:r>
      <w:bookmarkEnd w:id="1217"/>
      <w:r w:rsidRPr="00796736">
        <w:rPr>
          <w:rFonts w:ascii="Times New Roman" w:hAnsi="Times New Roman" w:cs="Times New Roman"/>
          <w:sz w:val="24"/>
          <w:szCs w:val="24"/>
        </w:rPr>
        <w:t xml:space="preserve"> </w:t>
      </w:r>
    </w:p>
    <w:p w14:paraId="0EDB7F31" w14:textId="1E0DC852" w:rsidR="00AF4A5D" w:rsidRPr="00796736" w:rsidRDefault="00AF4A5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890B25" w:rsidRPr="00796736">
        <w:rPr>
          <w:rFonts w:ascii="Times New Roman" w:hAnsi="Times New Roman" w:cs="Times New Roman"/>
          <w:sz w:val="24"/>
          <w:szCs w:val="24"/>
        </w:rPr>
        <w:fldChar w:fldCharType="begin"/>
      </w:r>
      <w:r w:rsidR="00890B25" w:rsidRPr="00796736">
        <w:rPr>
          <w:rFonts w:ascii="Times New Roman" w:hAnsi="Times New Roman" w:cs="Times New Roman"/>
          <w:sz w:val="24"/>
          <w:szCs w:val="24"/>
        </w:rPr>
        <w:instrText xml:space="preserve"> REF _Ref232937952 \n \h </w:instrText>
      </w:r>
      <w:r w:rsidR="00967618" w:rsidRPr="00796736">
        <w:rPr>
          <w:rFonts w:ascii="Times New Roman" w:hAnsi="Times New Roman" w:cs="Times New Roman"/>
          <w:sz w:val="24"/>
          <w:szCs w:val="24"/>
        </w:rPr>
        <w:instrText xml:space="preserve"> \* MERGEFORMAT </w:instrText>
      </w:r>
      <w:r w:rsidR="00890B25" w:rsidRPr="00796736">
        <w:rPr>
          <w:rFonts w:ascii="Times New Roman" w:hAnsi="Times New Roman" w:cs="Times New Roman"/>
          <w:sz w:val="24"/>
          <w:szCs w:val="24"/>
        </w:rPr>
      </w:r>
      <w:r w:rsidR="00890B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3.38.2</w:t>
      </w:r>
      <w:r w:rsidR="00890B2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følger det af hvidvaskdirektivets artikel 42, stk. 1 og 2, at tilsynsmyndighederne er forpligtet til at underrette FIU’en om mistænkelige forhold, som de gennem kontrol, deres beføjelser til at overvåge visse markeder eller på anden vis bliver opmærksomme på. Denne forpligtelse må efter stk. 3 ikke erstatte myndighedernes forpligtelse til at </w:t>
      </w:r>
      <w:r w:rsidR="00547BA2">
        <w:rPr>
          <w:rFonts w:ascii="Times New Roman" w:hAnsi="Times New Roman" w:cs="Times New Roman"/>
          <w:sz w:val="24"/>
          <w:szCs w:val="24"/>
        </w:rPr>
        <w:t>anmelde</w:t>
      </w:r>
      <w:r w:rsidRPr="00796736">
        <w:rPr>
          <w:rFonts w:ascii="Times New Roman" w:hAnsi="Times New Roman" w:cs="Times New Roman"/>
          <w:sz w:val="24"/>
          <w:szCs w:val="24"/>
        </w:rPr>
        <w:t xml:space="preserve"> enhver kriminel handling, som de opdager eller får kendskab til. </w:t>
      </w:r>
    </w:p>
    <w:p w14:paraId="15AB33AD" w14:textId="265E1170" w:rsidR="00AF4A5D" w:rsidRPr="00796736" w:rsidRDefault="00AF4A5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890B25" w:rsidRPr="00796736">
        <w:rPr>
          <w:rFonts w:ascii="Times New Roman" w:hAnsi="Times New Roman" w:cs="Times New Roman"/>
          <w:sz w:val="24"/>
          <w:szCs w:val="24"/>
        </w:rPr>
        <w:fldChar w:fldCharType="begin"/>
      </w:r>
      <w:r w:rsidR="00890B25" w:rsidRPr="00796736">
        <w:rPr>
          <w:rFonts w:ascii="Times New Roman" w:hAnsi="Times New Roman" w:cs="Times New Roman"/>
          <w:sz w:val="24"/>
          <w:szCs w:val="24"/>
        </w:rPr>
        <w:instrText xml:space="preserve"> REF _Ref232937963 \n \h </w:instrText>
      </w:r>
      <w:r w:rsidR="00967618" w:rsidRPr="00796736">
        <w:rPr>
          <w:rFonts w:ascii="Times New Roman" w:hAnsi="Times New Roman" w:cs="Times New Roman"/>
          <w:sz w:val="24"/>
          <w:szCs w:val="24"/>
        </w:rPr>
        <w:instrText xml:space="preserve"> \* MERGEFORMAT </w:instrText>
      </w:r>
      <w:r w:rsidR="00890B25" w:rsidRPr="00796736">
        <w:rPr>
          <w:rFonts w:ascii="Times New Roman" w:hAnsi="Times New Roman" w:cs="Times New Roman"/>
          <w:sz w:val="24"/>
          <w:szCs w:val="24"/>
        </w:rPr>
      </w:r>
      <w:r w:rsidR="00890B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3.38.2</w:t>
      </w:r>
      <w:r w:rsidR="00890B2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indeholder hvidvaskloven i § 28 en bestemmelse, som gennemfører 4. hvidvaskdirektivs artikel 36. Det følger heraf, at får en tilsynsmyndighed</w:t>
      </w:r>
      <w:r w:rsidR="00E31B56" w:rsidRPr="00796736">
        <w:rPr>
          <w:rFonts w:ascii="Times New Roman" w:hAnsi="Times New Roman" w:cs="Times New Roman"/>
          <w:sz w:val="24"/>
          <w:szCs w:val="24"/>
        </w:rPr>
        <w:t xml:space="preserve"> eller andre myndigheder</w:t>
      </w:r>
      <w:r w:rsidRPr="00796736">
        <w:rPr>
          <w:rFonts w:ascii="Times New Roman" w:hAnsi="Times New Roman" w:cs="Times New Roman"/>
          <w:sz w:val="24"/>
          <w:szCs w:val="24"/>
        </w:rPr>
        <w:t xml:space="preserve"> kendskab til forhold, der giver grund til at tro, at disse kan have tilknytning til hvidvask eller finansiering af terrorisme omfattet af underretningspligten i § 26</w:t>
      </w:r>
      <w:r w:rsidR="00E31B56" w:rsidRPr="00796736">
        <w:rPr>
          <w:rFonts w:ascii="Times New Roman" w:hAnsi="Times New Roman" w:cs="Times New Roman"/>
          <w:sz w:val="24"/>
          <w:szCs w:val="24"/>
        </w:rPr>
        <w:t>, stk.1</w:t>
      </w:r>
      <w:r w:rsidRPr="00796736">
        <w:rPr>
          <w:rFonts w:ascii="Times New Roman" w:hAnsi="Times New Roman" w:cs="Times New Roman"/>
          <w:sz w:val="24"/>
          <w:szCs w:val="24"/>
        </w:rPr>
        <w:t xml:space="preserve">, skal myndigheden meddele Hvidvasksekretariatet herom. </w:t>
      </w:r>
      <w:r w:rsidR="0092113C" w:rsidRPr="00796736">
        <w:rPr>
          <w:rFonts w:ascii="Times New Roman" w:hAnsi="Times New Roman" w:cs="Times New Roman"/>
          <w:sz w:val="24"/>
          <w:szCs w:val="24"/>
        </w:rPr>
        <w:t>Bestemmelsen er således udvidet til – udover tilsynsmyndigheder, jf. 4. hvidvaskdirektivs artikel 36 – at omfatte andre myndigheder.</w:t>
      </w:r>
    </w:p>
    <w:p w14:paraId="63EA2227" w14:textId="18C448F9" w:rsidR="00AF4A5D" w:rsidRPr="00796736" w:rsidRDefault="00AF4A5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890B25" w:rsidRPr="00796736">
        <w:rPr>
          <w:rFonts w:ascii="Times New Roman" w:hAnsi="Times New Roman" w:cs="Times New Roman"/>
          <w:sz w:val="24"/>
          <w:szCs w:val="24"/>
        </w:rPr>
        <w:fldChar w:fldCharType="begin"/>
      </w:r>
      <w:r w:rsidR="00890B25" w:rsidRPr="00796736">
        <w:rPr>
          <w:rFonts w:ascii="Times New Roman" w:hAnsi="Times New Roman" w:cs="Times New Roman"/>
          <w:sz w:val="24"/>
          <w:szCs w:val="24"/>
        </w:rPr>
        <w:instrText xml:space="preserve"> REF _Ref232937976 \n \h </w:instrText>
      </w:r>
      <w:r w:rsidR="00967618" w:rsidRPr="00796736">
        <w:rPr>
          <w:rFonts w:ascii="Times New Roman" w:hAnsi="Times New Roman" w:cs="Times New Roman"/>
          <w:sz w:val="24"/>
          <w:szCs w:val="24"/>
        </w:rPr>
        <w:instrText xml:space="preserve"> \* MERGEFORMAT </w:instrText>
      </w:r>
      <w:r w:rsidR="00890B25" w:rsidRPr="00796736">
        <w:rPr>
          <w:rFonts w:ascii="Times New Roman" w:hAnsi="Times New Roman" w:cs="Times New Roman"/>
          <w:sz w:val="24"/>
          <w:szCs w:val="24"/>
        </w:rPr>
      </w:r>
      <w:r w:rsidR="00890B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3.38.2</w:t>
      </w:r>
      <w:r w:rsidR="00890B2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er der med hvidvaskdirektivets artikel 42, stk. 1 og 2, tale om en videreførelse af 4. hvidvaskdirektivs artikel 36, mens hvidvaskdirektivets artikel 42, stk. 3, er en ny bestemmelse, der efter Skatte- og Vækstministeriets vurdering ikke nødvendiggør ændringer i dansk ret. Dertil kommer, at det følger af direktivets præambelbetragtning nr. 89, at tilsynsmyndigheder som udgangspunkt ikke bør indhente eller konsultere fortrolige oplysninger i forbindelse med tilsynsopgaver</w:t>
      </w:r>
      <w:r w:rsidR="0092113C" w:rsidRPr="00796736">
        <w:rPr>
          <w:rFonts w:ascii="Times New Roman" w:hAnsi="Times New Roman" w:cs="Times New Roman"/>
          <w:sz w:val="24"/>
          <w:szCs w:val="24"/>
        </w:rPr>
        <w:t>,</w:t>
      </w:r>
      <w:r w:rsidRPr="00796736">
        <w:rPr>
          <w:rFonts w:ascii="Times New Roman" w:hAnsi="Times New Roman" w:cs="Times New Roman"/>
          <w:sz w:val="24"/>
          <w:szCs w:val="24"/>
        </w:rPr>
        <w:t xml:space="preserve"> og at myndighederne, hvis de støder på sådanne oplysninger, ikke bør indberette dem til FIU’en, medmindre undtagelserne i hvidvaskforordningen er opfyldte.   </w:t>
      </w:r>
    </w:p>
    <w:p w14:paraId="5F16B1C0" w14:textId="77777777" w:rsidR="0092113C" w:rsidRPr="00796736" w:rsidRDefault="0092113C"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Et effektivt tilsyn med finansielle virksomheder og personer </w:t>
      </w:r>
      <w:r w:rsidRPr="00796736">
        <w:rPr>
          <w:rFonts w:ascii="Times New Roman" w:hAnsi="Times New Roman" w:cs="Times New Roman"/>
          <w:sz w:val="24"/>
          <w:szCs w:val="24"/>
        </w:rPr>
        <w:t>er en væsentlig bestanddel og et vigtigt redskab i bekæmpelsen af hvidvask af penge, terrorfinansiering og omgåelse af internationale sanktioner. Dertil kommer, at et vigtigt redskab i indsatsen mod hvidvask og terrorfinansiering er et tæt tværgående samarbejde og udveksling af relevante oplysninger på tværs af og mellem de personer og virksomheder, de er omfattet af forpligtelserne i hvidvaskloven og relevante myndigheder.</w:t>
      </w:r>
    </w:p>
    <w:p w14:paraId="7AD6C1FF" w14:textId="317EE1E0" w:rsidR="00AF4A5D" w:rsidRPr="00796736" w:rsidRDefault="00AF4A5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overensstemmelse hermed at gennemføre hvidvaskdirektivets artikel 42 ved at fastsætte, at en tilsynsmyndighed i henhold til hvidvaskloven eller andre myndigheder skal underrette Hvidvasksekretariatet, hvis myndigheden får kendskab til forhold, der giver grund til at tro, at disse kan have tilknytning til hvidvask eller finansiering af terrorisme, som er omfattet af underretningspligten </w:t>
      </w:r>
      <w:r w:rsidR="00D34555" w:rsidRPr="00796736">
        <w:rPr>
          <w:rFonts w:ascii="Times New Roman" w:hAnsi="Times New Roman" w:cs="Times New Roman"/>
          <w:sz w:val="24"/>
          <w:szCs w:val="24"/>
        </w:rPr>
        <w:t>i artikel 69 i hvidvaskforordningen</w:t>
      </w:r>
      <w:r w:rsidRPr="00796736">
        <w:rPr>
          <w:rFonts w:ascii="Times New Roman" w:hAnsi="Times New Roman" w:cs="Times New Roman"/>
          <w:sz w:val="24"/>
          <w:szCs w:val="24"/>
        </w:rPr>
        <w:t xml:space="preserve">. </w:t>
      </w:r>
      <w:r w:rsidR="004607FD">
        <w:rPr>
          <w:rFonts w:ascii="Times New Roman" w:hAnsi="Times New Roman" w:cs="Times New Roman"/>
          <w:sz w:val="24"/>
          <w:szCs w:val="24"/>
        </w:rPr>
        <w:t>Det foreslås i tillæg hertil at fastsætte i stk. 2, at underretningspligten ikke omfatter visse oplysninger relateret til tilfælde omfattet af hvidvaskforordningens artikel 3, stk. 3, litra a og b, ligesom det foreslås, at underretningspligten efter stk. 1 ikke finder anvendelse for oplysninger, som politiet får kendskab til som led i sin virksomhed.</w:t>
      </w:r>
    </w:p>
    <w:p w14:paraId="1BDD484D" w14:textId="3CF74768" w:rsidR="00AF4A5D" w:rsidRPr="00796736" w:rsidRDefault="00AF4A5D"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 xml:space="preserve">Det forudsættes, som det også er tilfældet i dag, at den foreslåede bestemmelse om myndighedernes underretningspligt ikke erstatter de pågældende myndigheders almindelige forpligtelse til at </w:t>
      </w:r>
      <w:r w:rsidR="00942996">
        <w:rPr>
          <w:rFonts w:ascii="Times New Roman" w:hAnsi="Times New Roman" w:cs="Times New Roman"/>
          <w:sz w:val="24"/>
          <w:szCs w:val="24"/>
        </w:rPr>
        <w:t>anmelde</w:t>
      </w:r>
      <w:r w:rsidRPr="00796736">
        <w:rPr>
          <w:rFonts w:ascii="Times New Roman" w:hAnsi="Times New Roman" w:cs="Times New Roman"/>
          <w:sz w:val="24"/>
          <w:szCs w:val="24"/>
        </w:rPr>
        <w:t xml:space="preserve"> enhver kriminel handling, som de opdager eller får kendskab til i forbindelse med deres tilsynsaktiviteter, til de relevante myndigheder.</w:t>
      </w:r>
    </w:p>
    <w:p w14:paraId="7E261597" w14:textId="7D8AE78E" w:rsidR="00A04DD5" w:rsidRPr="00796736" w:rsidRDefault="00AF4A5D"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 xml:space="preserve">Der henvises i øvrigt til lovforslagets </w:t>
      </w:r>
      <w:r w:rsidR="0092113C" w:rsidRPr="00796736">
        <w:rPr>
          <w:rFonts w:ascii="Times New Roman" w:hAnsi="Times New Roman" w:cs="Times New Roman"/>
          <w:sz w:val="24"/>
          <w:szCs w:val="24"/>
        </w:rPr>
        <w:fldChar w:fldCharType="begin"/>
      </w:r>
      <w:r w:rsidR="0092113C" w:rsidRPr="00796736">
        <w:rPr>
          <w:rFonts w:ascii="Times New Roman" w:hAnsi="Times New Roman" w:cs="Times New Roman"/>
          <w:sz w:val="24"/>
          <w:szCs w:val="24"/>
        </w:rPr>
        <w:instrText xml:space="preserve"> REF _Ref238570475 \r \h </w:instrText>
      </w:r>
      <w:r w:rsidR="00AB17CC" w:rsidRPr="00796736">
        <w:rPr>
          <w:rFonts w:ascii="Times New Roman" w:hAnsi="Times New Roman" w:cs="Times New Roman"/>
          <w:sz w:val="24"/>
          <w:szCs w:val="24"/>
        </w:rPr>
        <w:instrText xml:space="preserve"> \* MERGEFORMAT </w:instrText>
      </w:r>
      <w:r w:rsidR="0092113C" w:rsidRPr="00796736">
        <w:rPr>
          <w:rFonts w:ascii="Times New Roman" w:hAnsi="Times New Roman" w:cs="Times New Roman"/>
          <w:sz w:val="24"/>
          <w:szCs w:val="24"/>
        </w:rPr>
      </w:r>
      <w:r w:rsidR="009211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39</w:t>
      </w:r>
      <w:r w:rsidR="0092113C" w:rsidRPr="00796736">
        <w:rPr>
          <w:rFonts w:ascii="Times New Roman" w:hAnsi="Times New Roman" w:cs="Times New Roman"/>
          <w:sz w:val="24"/>
          <w:szCs w:val="24"/>
        </w:rPr>
        <w:fldChar w:fldCharType="end"/>
      </w:r>
      <w:r w:rsidR="0092113C"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5FD19287" w14:textId="604796F5" w:rsidR="003C1A7C" w:rsidRPr="00796736" w:rsidRDefault="00890B25" w:rsidP="00A802A5">
      <w:pPr>
        <w:pStyle w:val="Overskrift2"/>
        <w:rPr>
          <w:rFonts w:ascii="Times New Roman" w:hAnsi="Times New Roman"/>
          <w:sz w:val="24"/>
        </w:rPr>
      </w:pPr>
      <w:bookmarkStart w:id="1218" w:name="_Ref232946848"/>
      <w:bookmarkStart w:id="1219" w:name="_Toc244880756"/>
      <w:r w:rsidRPr="00796736">
        <w:rPr>
          <w:rFonts w:ascii="Times New Roman" w:hAnsi="Times New Roman"/>
          <w:sz w:val="24"/>
        </w:rPr>
        <w:t>Krav om tilladelse til at udøve valutavekslingsvirksomhed</w:t>
      </w:r>
      <w:bookmarkEnd w:id="1218"/>
      <w:bookmarkEnd w:id="1219"/>
    </w:p>
    <w:p w14:paraId="05EF2973" w14:textId="66DBFF9C" w:rsidR="003C1A7C" w:rsidRPr="00796736" w:rsidRDefault="003C1A7C" w:rsidP="00A802A5">
      <w:pPr>
        <w:pStyle w:val="Overskrift4"/>
        <w:rPr>
          <w:rFonts w:ascii="Times New Roman" w:hAnsi="Times New Roman" w:cs="Times New Roman"/>
          <w:sz w:val="24"/>
          <w:szCs w:val="24"/>
        </w:rPr>
      </w:pPr>
      <w:bookmarkStart w:id="1220" w:name="_Toc232109145"/>
      <w:r w:rsidRPr="00796736">
        <w:rPr>
          <w:rFonts w:ascii="Times New Roman" w:hAnsi="Times New Roman" w:cs="Times New Roman"/>
          <w:sz w:val="24"/>
          <w:szCs w:val="24"/>
        </w:rPr>
        <w:t>Gældende ret</w:t>
      </w:r>
      <w:bookmarkEnd w:id="1220"/>
    </w:p>
    <w:p w14:paraId="22A3930F"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hvidvasklovens § 40, at valutavekslingsvirksomhed kun må udøves af virksomheder, der har opnået tilladelse fra Finanstilsynet, samt af pengeinstitutter, Danmarks Nationalbank og offentlige myndigheder. Formålet med bestemmelsen er at sikre, at kun virksomheder, der opfylder nærmere fastsatte krav, kan udøve valutavekslingsvirksomhed i Danmark. Tilladelsesordningen indebærer, at Finanstilsynet fører tilsyn med, at virksomhederne overholder de relevante regler, herunder krav til ledelse, ejerforhold og interne kontrolforanstaltninger.</w:t>
      </w:r>
    </w:p>
    <w:p w14:paraId="784D6E01"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4D82081C"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regulerer således adgangen til at udøve valutavekslingsvirksomhed og indebærer, at virksomheder, der ønsker at udøve sådan virksomhed, skal være underlagt en forudgående tilladelsesordning.</w:t>
      </w:r>
    </w:p>
    <w:p w14:paraId="107DFBCF"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4C31DB50"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har til formål at sikre, at valutavekslingsvirksomhed kun udøves af virksomheder, som er underlagt tilsyn og relevante kontrolkrav, herunder reglerne om forebyggelse af hvidvask af penge og finansiering af terrorisme.</w:t>
      </w:r>
    </w:p>
    <w:p w14:paraId="4F4C51D9" w14:textId="77777777" w:rsidR="003C1A7C" w:rsidRPr="00796736" w:rsidRDefault="003C1A7C" w:rsidP="00A802A5">
      <w:pPr>
        <w:spacing w:line="360" w:lineRule="auto"/>
        <w:rPr>
          <w:rFonts w:ascii="Times New Roman" w:hAnsi="Times New Roman" w:cs="Times New Roman"/>
          <w:sz w:val="24"/>
          <w:szCs w:val="24"/>
        </w:rPr>
      </w:pPr>
    </w:p>
    <w:p w14:paraId="4315E38A" w14:textId="2CEEF0C4" w:rsidR="003C1A7C" w:rsidRPr="00796736" w:rsidRDefault="003C1A7C" w:rsidP="00A802A5">
      <w:pPr>
        <w:pStyle w:val="Overskrift4"/>
        <w:rPr>
          <w:rFonts w:ascii="Times New Roman" w:hAnsi="Times New Roman" w:cs="Times New Roman"/>
          <w:sz w:val="24"/>
          <w:szCs w:val="24"/>
        </w:rPr>
      </w:pPr>
      <w:bookmarkStart w:id="1221" w:name="_Toc232109146"/>
      <w:r w:rsidRPr="00796736">
        <w:rPr>
          <w:rFonts w:ascii="Times New Roman" w:hAnsi="Times New Roman" w:cs="Times New Roman"/>
          <w:sz w:val="24"/>
          <w:szCs w:val="24"/>
        </w:rPr>
        <w:t>6. hvidvaskdirektiv</w:t>
      </w:r>
      <w:bookmarkEnd w:id="1221"/>
      <w:r w:rsidRPr="00796736">
        <w:rPr>
          <w:rFonts w:ascii="Times New Roman" w:hAnsi="Times New Roman" w:cs="Times New Roman"/>
          <w:sz w:val="24"/>
          <w:szCs w:val="24"/>
        </w:rPr>
        <w:t xml:space="preserve"> </w:t>
      </w:r>
    </w:p>
    <w:p w14:paraId="7B67784F"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artikel 4, stk. 1, i 6. hvidvaskdirektiv, at medlemsstaterne sikrer, at valutavekslingskontorer er enten meddelt godkendelse eller registreret. </w:t>
      </w:r>
    </w:p>
    <w:p w14:paraId="6C61B4F1" w14:textId="77777777" w:rsidR="0021053D" w:rsidRPr="00796736" w:rsidRDefault="0021053D" w:rsidP="00A802A5">
      <w:pPr>
        <w:spacing w:line="360" w:lineRule="auto"/>
        <w:rPr>
          <w:rFonts w:ascii="Times New Roman" w:hAnsi="Times New Roman" w:cs="Times New Roman"/>
          <w:sz w:val="24"/>
          <w:szCs w:val="24"/>
        </w:rPr>
      </w:pPr>
    </w:p>
    <w:p w14:paraId="39C6F8E7" w14:textId="0ED2995F" w:rsidR="003C1A7C" w:rsidRPr="00796736" w:rsidRDefault="0021053D" w:rsidP="00A802A5">
      <w:pPr>
        <w:pStyle w:val="Overskrift4"/>
        <w:rPr>
          <w:rFonts w:ascii="Times New Roman" w:hAnsi="Times New Roman" w:cs="Times New Roman"/>
          <w:sz w:val="24"/>
          <w:szCs w:val="24"/>
        </w:rPr>
      </w:pPr>
      <w:bookmarkStart w:id="1222" w:name="_Toc232109147"/>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w:t>
      </w:r>
      <w:r w:rsidR="003C1A7C" w:rsidRPr="00796736">
        <w:rPr>
          <w:rFonts w:ascii="Times New Roman" w:hAnsi="Times New Roman" w:cs="Times New Roman"/>
          <w:sz w:val="24"/>
          <w:szCs w:val="24"/>
        </w:rPr>
        <w:t xml:space="preserve"> overvejelser og den foreslåede ordning</w:t>
      </w:r>
      <w:bookmarkEnd w:id="1222"/>
      <w:r w:rsidR="003C1A7C" w:rsidRPr="00796736">
        <w:rPr>
          <w:rFonts w:ascii="Times New Roman" w:hAnsi="Times New Roman" w:cs="Times New Roman"/>
          <w:sz w:val="24"/>
          <w:szCs w:val="24"/>
        </w:rPr>
        <w:t xml:space="preserve"> </w:t>
      </w:r>
    </w:p>
    <w:p w14:paraId="2D170510"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Valutavekslingsvirksomheder anses internationalt for at være særligt udsatte for misbrug til hvidvask af penge og finansiering af terrorisme. Dette skyldes bl.a., at sådanne virksomheder ofte håndterer kontanter og foretager transaktioner mellem forskellige valutaer, hvilket kan vanskeliggøre sporbarheden af midler.</w:t>
      </w:r>
    </w:p>
    <w:p w14:paraId="6729F839"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50249280" w14:textId="78441D6A"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På denne baggrund vurderer 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ækstministeriet, at det er nødvendigt at opretholde en ordning, hvor valutavekslingsvirksomhed kun kan udøves af virksomheder, der er underlagt en tilladelsesordning. En tilladelsesordning sikrer, at Finanstilsynet kan føre effektivt tilsyn med de aktører, der opererer på området, og at kun virksomheder, der opfylder krav til ledelse, ejerstruktur og interne procedurer, kan opnå tilladelse. Dette bidrager til at opretholde tilliden til den finansielle sektor og til at sikre, at kun egnede virksomheder kan udøve valutavekslingsvirksomhed.</w:t>
      </w:r>
    </w:p>
    <w:p w14:paraId="261512A4"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1178E4C3"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valutavekslingsvirksomhed fortsat kun må udøves af virksomheder, der har opnået tilladelse fra Finanstilsynet.</w:t>
      </w:r>
    </w:p>
    <w:p w14:paraId="65ECD5BE"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49D0D01C"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ordning indebærer, at virksomheder, der ønsker at udøve valutavekslingsvirksomhed, fortsat skal opfylde de fastsatte betingelser for tilladelse, og at Finanstilsynet fører tilsyn med disse virksomheder.</w:t>
      </w:r>
    </w:p>
    <w:p w14:paraId="6ACCA633"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4810DF2C"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er tale om en videreførelse af den gældende § 40 i hvidvaskloven. </w:t>
      </w:r>
    </w:p>
    <w:p w14:paraId="4A4E8382"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6DB53FB5" w14:textId="02EBD658" w:rsidR="003C1A7C"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om ordningen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_Ref232596532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40</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771C8217" w14:textId="77777777" w:rsidR="003C1A7C" w:rsidRPr="00796736" w:rsidRDefault="003C1A7C" w:rsidP="00A802A5">
      <w:pPr>
        <w:spacing w:line="360" w:lineRule="auto"/>
        <w:rPr>
          <w:rFonts w:ascii="Times New Roman" w:hAnsi="Times New Roman" w:cs="Times New Roman"/>
          <w:sz w:val="24"/>
          <w:szCs w:val="24"/>
        </w:rPr>
      </w:pPr>
    </w:p>
    <w:p w14:paraId="1BB7B21B" w14:textId="60E979A8" w:rsidR="003C1A7C" w:rsidRPr="00796736" w:rsidRDefault="0021053D" w:rsidP="00A802A5">
      <w:pPr>
        <w:pStyle w:val="Overskrift2"/>
        <w:rPr>
          <w:rFonts w:ascii="Times New Roman" w:hAnsi="Times New Roman"/>
          <w:sz w:val="24"/>
        </w:rPr>
      </w:pPr>
      <w:bookmarkStart w:id="1223" w:name="_Toc232109148"/>
      <w:bookmarkStart w:id="1224" w:name="_Ref232947055"/>
      <w:bookmarkStart w:id="1225" w:name="_Toc244880757"/>
      <w:r w:rsidRPr="00796736">
        <w:rPr>
          <w:rFonts w:ascii="Times New Roman" w:hAnsi="Times New Roman"/>
          <w:sz w:val="24"/>
        </w:rPr>
        <w:t>Betingelser for tilladelse til valutavekslingsvirksomhed</w:t>
      </w:r>
      <w:bookmarkEnd w:id="1223"/>
      <w:bookmarkEnd w:id="1224"/>
      <w:bookmarkEnd w:id="1225"/>
    </w:p>
    <w:p w14:paraId="71387220" w14:textId="4C0CA0C4" w:rsidR="003C1A7C" w:rsidRPr="00796736" w:rsidRDefault="003C1A7C" w:rsidP="00A802A5">
      <w:pPr>
        <w:pStyle w:val="Overskrift4"/>
        <w:rPr>
          <w:rFonts w:ascii="Times New Roman" w:hAnsi="Times New Roman" w:cs="Times New Roman"/>
          <w:sz w:val="24"/>
          <w:szCs w:val="24"/>
        </w:rPr>
      </w:pPr>
      <w:bookmarkStart w:id="1226" w:name="_Toc232109149"/>
      <w:r w:rsidRPr="00796736">
        <w:rPr>
          <w:rFonts w:ascii="Times New Roman" w:hAnsi="Times New Roman" w:cs="Times New Roman"/>
          <w:sz w:val="24"/>
          <w:szCs w:val="24"/>
        </w:rPr>
        <w:t>Gældende ret</w:t>
      </w:r>
      <w:bookmarkEnd w:id="1226"/>
    </w:p>
    <w:p w14:paraId="2206B4CD"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hvidvasklovens § 41 må valutavekslingsvirksomhed kun udøves af virksomheder, der har opnået tilladelse fra Finanstilsynet, samt af pengeinstitutter, Danmarks Nationalbank og offentlige myndigheder. Bestemmelsen fastsætter de nærmere betingelser for, at Finanstilsynet kan meddele tilladelse til at drive valutavekslingsvirksomhed. Formålet med bestemmelsen er at sikre, at kun virksomheder, der opfylder fastsatte krav til blandt andet ledelse, ejerforhold og interne kontrolforanstaltninger, kan udøve valutavekslingsvirksomhed i Danmark. Finanstilsynet fører tilsyn med, at virksomhederne overholder de relevante regler, herunder krav til ledelse, ejerforhold og interne kontrolforanstaltninger.</w:t>
      </w:r>
    </w:p>
    <w:p w14:paraId="232D75A3" w14:textId="77777777" w:rsidR="0021053D" w:rsidRPr="00796736" w:rsidRDefault="0021053D" w:rsidP="00A802A5">
      <w:pPr>
        <w:spacing w:line="360" w:lineRule="auto"/>
        <w:rPr>
          <w:rFonts w:ascii="Times New Roman" w:hAnsi="Times New Roman" w:cs="Times New Roman"/>
          <w:sz w:val="24"/>
          <w:szCs w:val="24"/>
        </w:rPr>
      </w:pPr>
    </w:p>
    <w:p w14:paraId="2FC5EB4A" w14:textId="06A8AD21" w:rsidR="003C1A7C" w:rsidRPr="00796736" w:rsidRDefault="0021053D" w:rsidP="00A802A5">
      <w:pPr>
        <w:pStyle w:val="Overskrift4"/>
        <w:rPr>
          <w:rFonts w:ascii="Times New Roman" w:hAnsi="Times New Roman" w:cs="Times New Roman"/>
          <w:sz w:val="24"/>
          <w:szCs w:val="24"/>
        </w:rPr>
      </w:pPr>
      <w:bookmarkStart w:id="1227" w:name="_Toc232109150"/>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1227"/>
      <w:r w:rsidRPr="00796736">
        <w:rPr>
          <w:rFonts w:ascii="Times New Roman" w:hAnsi="Times New Roman" w:cs="Times New Roman"/>
          <w:sz w:val="24"/>
          <w:szCs w:val="24"/>
        </w:rPr>
        <w:t xml:space="preserve"> </w:t>
      </w:r>
    </w:p>
    <w:p w14:paraId="783CC0A5" w14:textId="4CE63AC8"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ækstministeriet har vurderet, at det er nødvendigt at opretholde de krav, der stilles til virksomheder, der ønsker at opnå tilladelse til valutavekslingsvirksomhed. Det er væsentligt, at virksomhederne har fysisk tilstedeværelse i Danmark, at ledelsen og ejerne opfylder krav om hæderlighed og integritet, og at der er etableret tilstrækkelige interne kontrolforanstaltninger. Disse krav skal sikre, at kun virksomheder med den nødvendige kompetence og integritet kan opnå tilladelse, og at Finanstilsynet kan føre et effektivt tilsyn.</w:t>
      </w:r>
    </w:p>
    <w:p w14:paraId="4DB764CA"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0FA27420"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videreføre de gældende regler i § 41 i hvidvaskloven om betingelser for tilladelse til valutavekslingsvirksomhed. Finanstilsynet vil således fortsat kunne meddele tilladelse til virksomheder, der opfylder de fastsatte krav om blandt andet hovedkontor og hjemsted i Danmark, egnethed og hæderlighed for ledelse og ejere, betryggende ejerstruktur samt tilstrækkelige interne kontrolforanstaltninger og procedurer, herunder for forebyggelse af hvidvask og terrorfinansiering. </w:t>
      </w:r>
    </w:p>
    <w:p w14:paraId="664DA1D3"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36585E0A" w14:textId="5C27122F" w:rsidR="003C1A7C"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_Ref232596553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41</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2A5E329A" w14:textId="77777777" w:rsidR="003C1A7C" w:rsidRPr="00796736" w:rsidRDefault="003C1A7C" w:rsidP="00A802A5">
      <w:pPr>
        <w:spacing w:line="360" w:lineRule="auto"/>
        <w:rPr>
          <w:rFonts w:ascii="Times New Roman" w:hAnsi="Times New Roman" w:cs="Times New Roman"/>
          <w:sz w:val="24"/>
          <w:szCs w:val="24"/>
        </w:rPr>
      </w:pPr>
    </w:p>
    <w:p w14:paraId="7AC80C51" w14:textId="70E66EE2" w:rsidR="003C1A7C" w:rsidRPr="00796736" w:rsidRDefault="0021053D" w:rsidP="00A802A5">
      <w:pPr>
        <w:pStyle w:val="Overskrift2"/>
        <w:rPr>
          <w:rFonts w:ascii="Times New Roman" w:hAnsi="Times New Roman"/>
          <w:sz w:val="24"/>
        </w:rPr>
      </w:pPr>
      <w:bookmarkStart w:id="1228" w:name="_Toc232109151"/>
      <w:bookmarkStart w:id="1229" w:name="_Ref232947246"/>
      <w:bookmarkStart w:id="1230" w:name="_Toc244880758"/>
      <w:r w:rsidRPr="00796736">
        <w:rPr>
          <w:rFonts w:ascii="Times New Roman" w:hAnsi="Times New Roman"/>
          <w:sz w:val="24"/>
        </w:rPr>
        <w:t>Ansøgning om tilladelse</w:t>
      </w:r>
      <w:bookmarkEnd w:id="1228"/>
      <w:bookmarkEnd w:id="1229"/>
      <w:r w:rsidR="00156548" w:rsidRPr="00796736">
        <w:rPr>
          <w:rFonts w:ascii="Times New Roman" w:hAnsi="Times New Roman"/>
          <w:sz w:val="24"/>
        </w:rPr>
        <w:t xml:space="preserve"> til valutavekslingsvirksomhed</w:t>
      </w:r>
      <w:bookmarkEnd w:id="1230"/>
    </w:p>
    <w:p w14:paraId="678D7F7A" w14:textId="479106F6" w:rsidR="003C1A7C" w:rsidRPr="00796736" w:rsidRDefault="003C1A7C" w:rsidP="00A802A5">
      <w:pPr>
        <w:pStyle w:val="Overskrift4"/>
        <w:rPr>
          <w:rFonts w:ascii="Times New Roman" w:hAnsi="Times New Roman" w:cs="Times New Roman"/>
          <w:sz w:val="24"/>
          <w:szCs w:val="24"/>
        </w:rPr>
      </w:pPr>
      <w:bookmarkStart w:id="1231" w:name="_Toc232109152"/>
      <w:r w:rsidRPr="00796736">
        <w:rPr>
          <w:rFonts w:ascii="Times New Roman" w:hAnsi="Times New Roman" w:cs="Times New Roman"/>
          <w:sz w:val="24"/>
          <w:szCs w:val="24"/>
        </w:rPr>
        <w:t>Gældende ret</w:t>
      </w:r>
      <w:bookmarkEnd w:id="1231"/>
    </w:p>
    <w:p w14:paraId="78A1AFC4"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Virksomheder, der ansøger om tilladelse til valutavekslingsvirksomhed, skal indsende de oplysninger, der er nødvendige for, at Finanstilsynet kan vurdere, om betingelserne for tilladelse er opfyldt. Dette omfatter oplysninger om virksomhedens struktur, ledelse, ejere, forretningsmodel og interne kontrolforanstaltninger. Bestemmelsen fastsætter dermed kravene til indholdet af en ansøgning om tilladelse til valutavekslingsvirksomhed.</w:t>
      </w:r>
    </w:p>
    <w:p w14:paraId="6DE0FD58"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3A60557F" w14:textId="145F36D8" w:rsidR="003C1A7C"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Ansøgningen skal indeholde de oplysninger, der er nødvendige for, at Finanstilsynet kan vurdere, om betingelserne for tilladelse er opfyldt, herunder oplysninger om virksomhedens organisation, ledelse, ejerforhold og forretningsmodel. </w:t>
      </w:r>
    </w:p>
    <w:p w14:paraId="42533EF1"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1CBCAB60" w14:textId="194ECCF3" w:rsidR="003C1A7C" w:rsidRPr="00796736" w:rsidRDefault="00274A31" w:rsidP="00A802A5">
      <w:pPr>
        <w:pStyle w:val="Overskrift4"/>
        <w:rPr>
          <w:rFonts w:ascii="Times New Roman" w:hAnsi="Times New Roman" w:cs="Times New Roman"/>
          <w:sz w:val="24"/>
          <w:szCs w:val="24"/>
        </w:rPr>
      </w:pPr>
      <w:bookmarkStart w:id="1232" w:name="_Toc232109153"/>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r w:rsidR="003C1A7C" w:rsidRPr="00796736">
        <w:rPr>
          <w:rFonts w:ascii="Times New Roman" w:hAnsi="Times New Roman" w:cs="Times New Roman"/>
          <w:sz w:val="24"/>
          <w:szCs w:val="24"/>
        </w:rPr>
        <w:t>og den foreslåede ordning</w:t>
      </w:r>
      <w:bookmarkEnd w:id="1232"/>
      <w:r w:rsidR="003C1A7C" w:rsidRPr="00796736">
        <w:rPr>
          <w:rFonts w:ascii="Times New Roman" w:hAnsi="Times New Roman" w:cs="Times New Roman"/>
          <w:sz w:val="24"/>
          <w:szCs w:val="24"/>
        </w:rPr>
        <w:t xml:space="preserve"> </w:t>
      </w:r>
    </w:p>
    <w:p w14:paraId="090FA6AD" w14:textId="1C9B4CFF"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ækstministeriet vurderer, at det er nødvendigt at videreføre kravet om, at der fastsættes klare krav for, hvilke oplysninger der skal indsendes i forbindelse med ansøgning om tilladelse. Dette skal sikre, at Finanstilsynet har det nødvendige grundlag for at foretage en fyldestgørende vurdering af virksomheden og dens ledelse. Kravet omfatter blandt andet oplysninger om virksomhedens struktur, planlagte aktiviteter samt interne procedurer, herunder procedurer til forebyggelse af hvidvask og finansiering af terrorisme.</w:t>
      </w:r>
    </w:p>
    <w:p w14:paraId="3879DEAA"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365FF2DB"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ansøgninger om tilladelse til valutavekslingsvirksomhed fortsat skal indeholde de oplysninger, der er nødvendige for Finanstilsynets vurdering af ansøgningen.</w:t>
      </w:r>
    </w:p>
    <w:p w14:paraId="19F47FE5"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53DB40D8"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Dette skal sikre, at Finanstilsynet har et tilstrækkeligt grundlag for at vurdere, om virksomheden opfylder betingelserne for tilladelse.</w:t>
      </w:r>
    </w:p>
    <w:p w14:paraId="1D537158"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13A7E08D" w14:textId="07EDC507" w:rsidR="003C1A7C"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_Ref232596584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42</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2D3911A4" w14:textId="77777777" w:rsidR="003C1A7C" w:rsidRPr="00796736" w:rsidRDefault="003C1A7C" w:rsidP="00A802A5">
      <w:pPr>
        <w:spacing w:line="360" w:lineRule="auto"/>
        <w:rPr>
          <w:rFonts w:ascii="Times New Roman" w:hAnsi="Times New Roman" w:cs="Times New Roman"/>
          <w:sz w:val="24"/>
          <w:szCs w:val="24"/>
        </w:rPr>
      </w:pPr>
    </w:p>
    <w:p w14:paraId="01669ACC" w14:textId="685B392D" w:rsidR="003C1A7C" w:rsidRPr="00796736" w:rsidRDefault="0021053D" w:rsidP="00A802A5">
      <w:pPr>
        <w:pStyle w:val="Overskrift2"/>
        <w:rPr>
          <w:rFonts w:ascii="Times New Roman" w:hAnsi="Times New Roman"/>
          <w:sz w:val="24"/>
        </w:rPr>
      </w:pPr>
      <w:bookmarkStart w:id="1233" w:name="_Toc232109154"/>
      <w:bookmarkStart w:id="1234" w:name="_Ref232947318"/>
      <w:bookmarkStart w:id="1235" w:name="_Toc244880759"/>
      <w:r w:rsidRPr="00796736">
        <w:rPr>
          <w:rFonts w:ascii="Times New Roman" w:hAnsi="Times New Roman"/>
          <w:sz w:val="24"/>
        </w:rPr>
        <w:t xml:space="preserve">Underretning </w:t>
      </w:r>
      <w:r w:rsidR="00E70E76" w:rsidRPr="00796736">
        <w:rPr>
          <w:rFonts w:ascii="Times New Roman" w:hAnsi="Times New Roman"/>
          <w:sz w:val="24"/>
        </w:rPr>
        <w:t xml:space="preserve">til Finanstilsynet ved </w:t>
      </w:r>
      <w:r w:rsidRPr="00796736">
        <w:rPr>
          <w:rFonts w:ascii="Times New Roman" w:hAnsi="Times New Roman"/>
          <w:sz w:val="24"/>
        </w:rPr>
        <w:t>ændringer</w:t>
      </w:r>
      <w:r w:rsidR="00E70E76" w:rsidRPr="00796736">
        <w:rPr>
          <w:rFonts w:ascii="Times New Roman" w:hAnsi="Times New Roman"/>
          <w:sz w:val="24"/>
        </w:rPr>
        <w:t xml:space="preserve"> i forhold til tilladelse til at udøve valutavekslingsvirksomhed</w:t>
      </w:r>
      <w:bookmarkEnd w:id="1233"/>
      <w:bookmarkEnd w:id="1234"/>
      <w:bookmarkEnd w:id="1235"/>
    </w:p>
    <w:p w14:paraId="584D2BE5" w14:textId="301EA5FD" w:rsidR="003C1A7C" w:rsidRPr="00796736" w:rsidRDefault="003C1A7C" w:rsidP="00A802A5">
      <w:pPr>
        <w:pStyle w:val="Overskrift4"/>
        <w:rPr>
          <w:rFonts w:ascii="Times New Roman" w:hAnsi="Times New Roman" w:cs="Times New Roman"/>
          <w:sz w:val="24"/>
          <w:szCs w:val="24"/>
        </w:rPr>
      </w:pPr>
      <w:bookmarkStart w:id="1236" w:name="_Toc232109155"/>
      <w:r w:rsidRPr="00796736">
        <w:rPr>
          <w:rFonts w:ascii="Times New Roman" w:hAnsi="Times New Roman" w:cs="Times New Roman"/>
          <w:sz w:val="24"/>
          <w:szCs w:val="24"/>
        </w:rPr>
        <w:t>Gældende ret</w:t>
      </w:r>
      <w:bookmarkEnd w:id="1236"/>
    </w:p>
    <w:p w14:paraId="4DA6FA47" w14:textId="41D47885"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Virksomheder med tilladelse til valutavekslingsvirksomhed skal underrette Finanstilsynet om ændringer i forhold, der ligger til grund for tilladelsen. Dette omfatter </w:t>
      </w:r>
      <w:r w:rsidR="00156548" w:rsidRPr="00796736">
        <w:rPr>
          <w:rFonts w:ascii="Times New Roman" w:eastAsia="Calibri" w:hAnsi="Times New Roman" w:cs="Times New Roman"/>
          <w:sz w:val="24"/>
          <w:szCs w:val="24"/>
        </w:rPr>
        <w:t>f.eks.</w:t>
      </w:r>
      <w:r w:rsidRPr="00796736">
        <w:rPr>
          <w:rFonts w:ascii="Times New Roman" w:eastAsia="Calibri" w:hAnsi="Times New Roman" w:cs="Times New Roman"/>
          <w:sz w:val="24"/>
          <w:szCs w:val="24"/>
        </w:rPr>
        <w:t xml:space="preserve"> ændringer i virksomhedens ejerforhold, ledelse, forretningsmodel eller væsentlige interne procedurer. </w:t>
      </w:r>
    </w:p>
    <w:p w14:paraId="19DC52C8"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0BAED827" w14:textId="3850BDAA"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Formålet med underretningskravet er at sikre, at Finanstilsynet løbende har et opdateret og retvisende billede af virksomheden og dens risikoprofil. Dermed kan tilsynet vurdere, om virksomheden fortsat opfylder betingelserne for tilladelsen, og om der er behov for yderligere tilsynsmæssige foranstaltninger. Underretningspligten bidrager således til at opretholde et effektivt tilsyn og beskytte mod risici, herunder hvidvask og finansiering af terrorisme.</w:t>
      </w:r>
    </w:p>
    <w:p w14:paraId="18A57AA4" w14:textId="77777777" w:rsidR="008F0E05" w:rsidRPr="00796736" w:rsidRDefault="008F0E05" w:rsidP="00A802A5">
      <w:pPr>
        <w:suppressAutoHyphens/>
        <w:spacing w:line="360" w:lineRule="auto"/>
        <w:rPr>
          <w:rFonts w:ascii="Times New Roman" w:eastAsia="Calibri" w:hAnsi="Times New Roman" w:cs="Times New Roman"/>
          <w:sz w:val="24"/>
          <w:szCs w:val="24"/>
        </w:rPr>
      </w:pPr>
    </w:p>
    <w:p w14:paraId="6080742B" w14:textId="5E2361A1" w:rsidR="003C1A7C" w:rsidRPr="00796736" w:rsidRDefault="00274A31" w:rsidP="00A802A5">
      <w:pPr>
        <w:pStyle w:val="Overskrift4"/>
        <w:rPr>
          <w:rFonts w:ascii="Times New Roman" w:hAnsi="Times New Roman" w:cs="Times New Roman"/>
          <w:sz w:val="24"/>
          <w:szCs w:val="24"/>
        </w:rPr>
      </w:pPr>
      <w:bookmarkStart w:id="1237" w:name="_Toc232109156"/>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r w:rsidR="003C1A7C" w:rsidRPr="00796736">
        <w:rPr>
          <w:rFonts w:ascii="Times New Roman" w:hAnsi="Times New Roman" w:cs="Times New Roman"/>
          <w:sz w:val="24"/>
          <w:szCs w:val="24"/>
        </w:rPr>
        <w:t>og den foreslåede ordning</w:t>
      </w:r>
      <w:bookmarkEnd w:id="1237"/>
      <w:r w:rsidR="003C1A7C" w:rsidRPr="00796736">
        <w:rPr>
          <w:rFonts w:ascii="Times New Roman" w:hAnsi="Times New Roman" w:cs="Times New Roman"/>
          <w:sz w:val="24"/>
          <w:szCs w:val="24"/>
        </w:rPr>
        <w:t xml:space="preserve"> </w:t>
      </w:r>
    </w:p>
    <w:p w14:paraId="7FDE2126" w14:textId="0990658E"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er væsentligt for Finanstilsynets tilsyn med virksomhederne, at tilsynet har kendskab til ændringer i virksomhedens forhold, herunder ændringer i ledelse eller ejerforhold.</w:t>
      </w:r>
      <w:r w:rsidR="009E05E4"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Sådanne ændringer kan have betydning for vurderingen af, om virksomheden fortsat opfylder kravene til tilladelse. </w:t>
      </w:r>
      <w:r w:rsidR="009E05E4"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009E05E4" w:rsidRPr="00796736">
        <w:rPr>
          <w:rFonts w:ascii="Times New Roman" w:eastAsia="Calibri" w:hAnsi="Times New Roman" w:cs="Times New Roman"/>
          <w:sz w:val="24"/>
          <w:szCs w:val="24"/>
        </w:rPr>
        <w:t xml:space="preserve">ækstministeriet </w:t>
      </w:r>
      <w:r w:rsidRPr="00796736">
        <w:rPr>
          <w:rFonts w:ascii="Times New Roman" w:eastAsia="Calibri" w:hAnsi="Times New Roman" w:cs="Times New Roman"/>
          <w:sz w:val="24"/>
          <w:szCs w:val="24"/>
        </w:rPr>
        <w:t xml:space="preserve">vurderer, at det fortsat er væsentligt at opretholde kravet om underretning til Finanstilsynet ved ændringer i forhold, der har betydning for tilladelsen til valutavekslingsvirksomhed. </w:t>
      </w:r>
    </w:p>
    <w:p w14:paraId="07AAAC77"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39A6F5DF" w14:textId="00219E71" w:rsidR="0021053D"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 xml:space="preserve">ækstministeriet </w:t>
      </w:r>
      <w:r w:rsidR="0021053D" w:rsidRPr="00796736">
        <w:rPr>
          <w:rFonts w:ascii="Times New Roman" w:eastAsia="Calibri" w:hAnsi="Times New Roman" w:cs="Times New Roman"/>
          <w:sz w:val="24"/>
          <w:szCs w:val="24"/>
        </w:rPr>
        <w:t xml:space="preserve">vurderer, at en løbende underretning er nødvendig for at sikre, at Finanstilsynet til enhver tid har adgang til opdaterede oplysninger om virksomheden, herunder ændringer i ejerforhold, ledelse, forretningsmodel eller væsentlige interne procedurer. Dette er afgørende for, at tilsynet kan vurdere, om virksomheden fortsat opfylder de lovmæssige krav, og om der er behov for yderligere tilsynsmæssige tiltag. </w:t>
      </w: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 xml:space="preserve">ækstministeriet </w:t>
      </w:r>
      <w:r w:rsidR="0021053D" w:rsidRPr="00796736">
        <w:rPr>
          <w:rFonts w:ascii="Times New Roman" w:eastAsia="Calibri" w:hAnsi="Times New Roman" w:cs="Times New Roman"/>
          <w:sz w:val="24"/>
          <w:szCs w:val="24"/>
        </w:rPr>
        <w:t>lægger vægt på, at underretningspligten understøtter et effektivt tilsyn og bidrager til at forebygge risici, herunder hvidvask.</w:t>
      </w:r>
    </w:p>
    <w:p w14:paraId="55333F08"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2A05F9A3"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virksomheder med tilladelse til valutavekslingsvirksomhed fortsat skal underrette Finanstilsynet om ændringer i de forhold, der ligger til grund for tilladelsen.</w:t>
      </w:r>
    </w:p>
    <w:p w14:paraId="4246B2FD"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2D4D6668" w14:textId="77777777" w:rsidR="0021053D"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ordning viderefører kravet i den gældende § 43 i hvidvaskloven. </w:t>
      </w:r>
    </w:p>
    <w:p w14:paraId="0D5E7D19" w14:textId="77777777" w:rsidR="0021053D" w:rsidRPr="00796736" w:rsidRDefault="0021053D" w:rsidP="00A802A5">
      <w:pPr>
        <w:suppressAutoHyphens/>
        <w:spacing w:line="360" w:lineRule="auto"/>
        <w:rPr>
          <w:rFonts w:ascii="Times New Roman" w:eastAsia="Calibri" w:hAnsi="Times New Roman" w:cs="Times New Roman"/>
          <w:sz w:val="24"/>
          <w:szCs w:val="24"/>
        </w:rPr>
      </w:pPr>
    </w:p>
    <w:p w14:paraId="3B57AA9D" w14:textId="36B8D4FE" w:rsidR="003C1A7C" w:rsidRPr="00796736" w:rsidRDefault="0021053D"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_Ref232596750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43</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66F0F554" w14:textId="77777777" w:rsidR="003C1A7C" w:rsidRPr="00796736" w:rsidRDefault="003C1A7C" w:rsidP="00A802A5">
      <w:pPr>
        <w:spacing w:line="360" w:lineRule="auto"/>
        <w:rPr>
          <w:rFonts w:ascii="Times New Roman" w:hAnsi="Times New Roman" w:cs="Times New Roman"/>
          <w:sz w:val="24"/>
          <w:szCs w:val="24"/>
        </w:rPr>
      </w:pPr>
    </w:p>
    <w:p w14:paraId="45008343" w14:textId="63E21BFA" w:rsidR="003C1A7C" w:rsidRPr="00796736" w:rsidRDefault="009E05E4" w:rsidP="00A802A5">
      <w:pPr>
        <w:pStyle w:val="Overskrift2"/>
        <w:rPr>
          <w:rFonts w:ascii="Times New Roman" w:hAnsi="Times New Roman"/>
          <w:sz w:val="24"/>
        </w:rPr>
      </w:pPr>
      <w:bookmarkStart w:id="1238" w:name="_Toc232109157"/>
      <w:bookmarkStart w:id="1239" w:name="_Ref232948039"/>
      <w:bookmarkStart w:id="1240" w:name="_Toc244880760"/>
      <w:r w:rsidRPr="00796736">
        <w:rPr>
          <w:rFonts w:ascii="Times New Roman" w:hAnsi="Times New Roman"/>
          <w:sz w:val="24"/>
        </w:rPr>
        <w:t>Årlig erklæring om fortsat opfyldelse af betingelser</w:t>
      </w:r>
      <w:bookmarkEnd w:id="1238"/>
      <w:bookmarkEnd w:id="1239"/>
      <w:bookmarkEnd w:id="1240"/>
    </w:p>
    <w:p w14:paraId="3FB882D2" w14:textId="58A8FA9C" w:rsidR="003C1A7C" w:rsidRPr="00796736" w:rsidRDefault="003C1A7C" w:rsidP="00A802A5">
      <w:pPr>
        <w:pStyle w:val="Overskrift4"/>
        <w:rPr>
          <w:rFonts w:ascii="Times New Roman" w:hAnsi="Times New Roman" w:cs="Times New Roman"/>
          <w:sz w:val="24"/>
          <w:szCs w:val="24"/>
        </w:rPr>
      </w:pPr>
      <w:bookmarkStart w:id="1241" w:name="_Toc232109158"/>
      <w:r w:rsidRPr="00796736">
        <w:rPr>
          <w:rFonts w:ascii="Times New Roman" w:hAnsi="Times New Roman" w:cs="Times New Roman"/>
          <w:sz w:val="24"/>
          <w:szCs w:val="24"/>
        </w:rPr>
        <w:t>Gældende ret</w:t>
      </w:r>
      <w:bookmarkEnd w:id="1241"/>
    </w:p>
    <w:p w14:paraId="6FD56377" w14:textId="77777777"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Virksomheder med tilladelse til valutavekslingsvirksomhed skal årligt indsende en erklæring til Finanstilsynet om, at virksomheden fortsat opfylder betingelserne for tilladelse. Formålet med bestemmelsen er at sikre, at Finanstilsynet løbende har et opdateret grundlag for at føre tilsyn med, om virksomhederne fortsat lever op til de lovmæssige krav, herunder krav til ledelse, ejerforhold og øvrige betingelser for tilladelse.</w:t>
      </w:r>
    </w:p>
    <w:p w14:paraId="6855C756"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3DCD18DE" w14:textId="77777777"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understøtter Finanstilsynets mulighed for at føre et effektivt og risikobaseret tilsyn med valutavekslingsvirksomheder og bidrager til at forebygge risici, herunder hvidvask og finansiering af terrorisme.</w:t>
      </w:r>
    </w:p>
    <w:p w14:paraId="6ACA596C" w14:textId="77777777" w:rsidR="009E05E4" w:rsidRPr="00796736" w:rsidRDefault="009E05E4" w:rsidP="00A802A5">
      <w:pPr>
        <w:spacing w:line="360" w:lineRule="auto"/>
        <w:rPr>
          <w:rFonts w:ascii="Times New Roman" w:hAnsi="Times New Roman" w:cs="Times New Roman"/>
          <w:sz w:val="24"/>
          <w:szCs w:val="24"/>
        </w:rPr>
      </w:pPr>
    </w:p>
    <w:p w14:paraId="4DFE6AD7" w14:textId="770C0A9C" w:rsidR="003C1A7C" w:rsidRPr="00796736" w:rsidRDefault="00274A31" w:rsidP="00A802A5">
      <w:pPr>
        <w:pStyle w:val="Overskrift4"/>
        <w:rPr>
          <w:rFonts w:ascii="Times New Roman" w:hAnsi="Times New Roman" w:cs="Times New Roman"/>
          <w:sz w:val="24"/>
          <w:szCs w:val="24"/>
        </w:rPr>
      </w:pPr>
      <w:bookmarkStart w:id="1242" w:name="_Toc232109159"/>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r w:rsidR="003C1A7C" w:rsidRPr="00796736">
        <w:rPr>
          <w:rFonts w:ascii="Times New Roman" w:hAnsi="Times New Roman" w:cs="Times New Roman"/>
          <w:sz w:val="24"/>
          <w:szCs w:val="24"/>
        </w:rPr>
        <w:t>og den foreslåede ordning</w:t>
      </w:r>
      <w:bookmarkEnd w:id="1242"/>
      <w:r w:rsidR="003C1A7C" w:rsidRPr="00796736">
        <w:rPr>
          <w:rFonts w:ascii="Times New Roman" w:hAnsi="Times New Roman" w:cs="Times New Roman"/>
          <w:sz w:val="24"/>
          <w:szCs w:val="24"/>
        </w:rPr>
        <w:t xml:space="preserve"> </w:t>
      </w:r>
    </w:p>
    <w:p w14:paraId="26C1D582" w14:textId="751D6F85"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Skatte- og</w:t>
      </w:r>
      <w:r w:rsidR="0018325B" w:rsidRPr="00796736">
        <w:rPr>
          <w:rFonts w:ascii="Times New Roman" w:eastAsia="Calibri" w:hAnsi="Times New Roman" w:cs="Times New Roman"/>
          <w:sz w:val="24"/>
          <w:szCs w:val="24"/>
        </w:rPr>
        <w:t xml:space="preserve"> V</w:t>
      </w:r>
      <w:r w:rsidRPr="00796736">
        <w:rPr>
          <w:rFonts w:ascii="Times New Roman" w:eastAsia="Calibri" w:hAnsi="Times New Roman" w:cs="Times New Roman"/>
          <w:sz w:val="24"/>
          <w:szCs w:val="24"/>
        </w:rPr>
        <w:t xml:space="preserve">ækstministeriet vurderer, at det er hensigtsmæssigt at videreføre den eksisterende årlige erklæringspligt for virksomheder med tilladelse til valutavekslingsvirksomhed, som allerede følger af hvidvasklovens § 44. Formålet med denne pligt er at sikre, at Finanstilsynet løbende har adgang til opdaterede og retvisende oplysninger om virksomhedens ledelse og ejere, samt at virksomheden til stadighed opfylder de krav, der er fastsat for at opnå og opretholde tilladelse. Den årlige erklæring bidrager til at styrke tilsynet med sektoren og understøtter Finanstilsynets mulighed for at identificere eventuelle ændringer, der kan have betydning for virksomhedens risikoprofil eller for opfyldelsen af de lovmæssige krav. 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ækstministeriet lægger vægt på, at videreførelsen af denne ordning er med til at sikre et effektivt og risikobaseret tilsyn, herunder forebyggelse af hvidvask og finansiering af terrorisme.</w:t>
      </w:r>
    </w:p>
    <w:p w14:paraId="752896BE"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312BF1E8" w14:textId="68748BEF"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den gældende ordning videreføres, </w:t>
      </w:r>
      <w:r w:rsidR="00156548" w:rsidRPr="00796736">
        <w:rPr>
          <w:rFonts w:ascii="Times New Roman" w:eastAsia="Calibri" w:hAnsi="Times New Roman" w:cs="Times New Roman"/>
          <w:sz w:val="24"/>
          <w:szCs w:val="24"/>
        </w:rPr>
        <w:t>så</w:t>
      </w:r>
      <w:r w:rsidRPr="00796736">
        <w:rPr>
          <w:rFonts w:ascii="Times New Roman" w:eastAsia="Calibri" w:hAnsi="Times New Roman" w:cs="Times New Roman"/>
          <w:sz w:val="24"/>
          <w:szCs w:val="24"/>
        </w:rPr>
        <w:t xml:space="preserve"> virksomheder med tilladelse til valutavekslingsvirksomhed fortsat skal indsende en årlig erklæring til Finanstilsynet. Erklæringen skal indsendes senest den 1. april hvert år og skal indeholde en bekræftelse af, at virksomheden fortsat opfylder betingelserne for tilladelse, samt en opdateret oversigt over virksomhedens ledelse og eventuelle ejere af kvalificerede andele. Erklæringen skal være underskrevet af virksomhedens bestyrelse og direktion. For virksomheder, der drives uden bestyrelse og direktion, skal erklæringen underskrives af de ledelsesansvarlige, og for enkeltmandsvirksomheder af indehaveren. Ordningen skal sikre, at Finanstilsynet til enhver tid har et aktuelt grundlag for at føre tilsyn med virksomhederne og vurdere, om de fortsat lever op til de gældende krav. </w:t>
      </w:r>
    </w:p>
    <w:p w14:paraId="7DEC26EC"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09E9BC7E" w14:textId="2117356B" w:rsidR="003C1A7C"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_Ref232596786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44</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7A16FF7D" w14:textId="77777777" w:rsidR="003C1A7C" w:rsidRPr="00796736" w:rsidRDefault="003C1A7C" w:rsidP="00A802A5">
      <w:pPr>
        <w:spacing w:line="360" w:lineRule="auto"/>
        <w:rPr>
          <w:rFonts w:ascii="Times New Roman" w:hAnsi="Times New Roman" w:cs="Times New Roman"/>
          <w:sz w:val="24"/>
          <w:szCs w:val="24"/>
        </w:rPr>
      </w:pPr>
    </w:p>
    <w:p w14:paraId="5F546056" w14:textId="3C95D61C" w:rsidR="003C1A7C" w:rsidRPr="00796736" w:rsidRDefault="009E05E4" w:rsidP="00A802A5">
      <w:pPr>
        <w:pStyle w:val="Overskrift2"/>
        <w:rPr>
          <w:rFonts w:ascii="Times New Roman" w:hAnsi="Times New Roman"/>
          <w:sz w:val="24"/>
        </w:rPr>
      </w:pPr>
      <w:bookmarkStart w:id="1243" w:name="_Toc232109160"/>
      <w:bookmarkStart w:id="1244" w:name="_Ref232948287"/>
      <w:bookmarkStart w:id="1245" w:name="_Toc244880761"/>
      <w:r w:rsidRPr="00796736">
        <w:rPr>
          <w:rFonts w:ascii="Times New Roman" w:hAnsi="Times New Roman"/>
          <w:sz w:val="24"/>
        </w:rPr>
        <w:t>Egnetheds- og hæderlighedskrav til ledelse og ejere</w:t>
      </w:r>
      <w:bookmarkEnd w:id="1243"/>
      <w:bookmarkEnd w:id="1244"/>
      <w:bookmarkEnd w:id="1245"/>
    </w:p>
    <w:p w14:paraId="43009BE2" w14:textId="7313DDA9" w:rsidR="003C1A7C" w:rsidRPr="00796736" w:rsidRDefault="003C1A7C" w:rsidP="00A802A5">
      <w:pPr>
        <w:pStyle w:val="Overskrift4"/>
        <w:rPr>
          <w:rFonts w:ascii="Times New Roman" w:hAnsi="Times New Roman" w:cs="Times New Roman"/>
          <w:sz w:val="24"/>
          <w:szCs w:val="24"/>
        </w:rPr>
      </w:pPr>
      <w:bookmarkStart w:id="1246" w:name="_Toc232109161"/>
      <w:r w:rsidRPr="00796736">
        <w:rPr>
          <w:rFonts w:ascii="Times New Roman" w:hAnsi="Times New Roman" w:cs="Times New Roman"/>
          <w:sz w:val="24"/>
          <w:szCs w:val="24"/>
        </w:rPr>
        <w:t>Gældende ret</w:t>
      </w:r>
      <w:bookmarkEnd w:id="1246"/>
    </w:p>
    <w:p w14:paraId="5EA13688" w14:textId="77777777"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Der er krav til egnethed og hæderlighed for personer med væsentlig indflydelse på valutavekslingsvirksomheder. Det omfatter medlemmer af bestyrelsen og direktionen, ledelsesansvarlige, indehavere samt ejere af kvalificerede andele. Disse personer skal have tilstrækkelig viden, faglig kompetence og erfaring til at kunne varetage deres hverv eller stilling på betryggende vis. Derudover skal de have et godt omdømme og udvise hæderlighed, integritet og uafhængighed i varetagelsen af deres funktioner.</w:t>
      </w:r>
    </w:p>
    <w:p w14:paraId="69B5E202"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01AC686E" w14:textId="77777777"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følger endvidere af gældende regler, at personer, der er pålagt strafansvar for overtrædelse af straffeloven, den finansielle lovgivning eller anden relevant lovgivning, ikke må bestride sådanne hverv, hvis overtrædelsen indebærer en risiko for, at hvervet eller stillingen ikke kan varetages på betryggende måde. </w:t>
      </w:r>
    </w:p>
    <w:p w14:paraId="3387FA89"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1C8CC51D" w14:textId="55325CE6" w:rsidR="003C1A7C" w:rsidRPr="00796736" w:rsidRDefault="00274A31" w:rsidP="00A802A5">
      <w:pPr>
        <w:pStyle w:val="Overskrift4"/>
        <w:rPr>
          <w:rFonts w:ascii="Times New Roman" w:hAnsi="Times New Roman" w:cs="Times New Roman"/>
          <w:sz w:val="24"/>
          <w:szCs w:val="24"/>
        </w:rPr>
      </w:pPr>
      <w:bookmarkStart w:id="1247" w:name="_Toc232109162"/>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r w:rsidR="003C1A7C" w:rsidRPr="00796736">
        <w:rPr>
          <w:rFonts w:ascii="Times New Roman" w:hAnsi="Times New Roman" w:cs="Times New Roman"/>
          <w:sz w:val="24"/>
          <w:szCs w:val="24"/>
        </w:rPr>
        <w:t>og den foreslåede ordning</w:t>
      </w:r>
      <w:bookmarkEnd w:id="1247"/>
      <w:r w:rsidR="003C1A7C" w:rsidRPr="00796736">
        <w:rPr>
          <w:rFonts w:ascii="Times New Roman" w:hAnsi="Times New Roman" w:cs="Times New Roman"/>
          <w:sz w:val="24"/>
          <w:szCs w:val="24"/>
        </w:rPr>
        <w:t xml:space="preserve"> </w:t>
      </w:r>
    </w:p>
    <w:p w14:paraId="7AC48CB7" w14:textId="6B015669"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ækstministeriet vurderer, at det er hensigtsmæssigt at videreføre de eksisterende krav til egnethed og hæderlighed for ledelsesmedlemmer og ejere i valutavekslingsvirksomheder. Det er fortsat væsentligt, at personer med væsentlig indflydelse i virksomheder under Finanstilsynets tilsyn opfylder krav om godt omdømme, hæderlighed, integritet og uafhængighed, og at de ikke har udvist adfærd, der giver grund til at antage, at de ikke vil varetage hvervet eller stillingen på forsvarlig vis.</w:t>
      </w:r>
    </w:p>
    <w:p w14:paraId="615746CF"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6C4456A0" w14:textId="631C98BB"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ækstministeriet vurderer endvidere, at det er vigtigt, at disse krav fortsat omfatter både medlemmer af bestyrelsen og direktionen, ledelsesansvarlige i virksomheder uden bestyrelse og direktion, indehavere af enkeltmandsvirksomheder samt ejere af kvalificerede andele. Dette sikrer, at alle personer med reel indflydelse på virksomhedens drift og risikoprofil vurderes ud fra ensartede og klare kriterier.</w:t>
      </w:r>
    </w:p>
    <w:p w14:paraId="14BC39C1"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14005DE2" w14:textId="60C2ED59"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Endelig vurderer 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 xml:space="preserve">ækstministeriet, at videreførelsen af de eksisterende krav understøtter Finanstilsynets mulighed for løbende at føre tilsyn med, om de relevante personer fortsat opfylder kravene til egnethed og hæderlighed. Dette bidrager til at opretholde tilliden til sektoren og forebygge risici, herunder hvidvask og finansiering af terrorisme. </w:t>
      </w:r>
    </w:p>
    <w:p w14:paraId="4CA4C9B7" w14:textId="77777777" w:rsidR="002B13B3" w:rsidRPr="00796736" w:rsidRDefault="002B13B3" w:rsidP="00A802A5">
      <w:pPr>
        <w:suppressAutoHyphens/>
        <w:spacing w:line="360" w:lineRule="auto"/>
        <w:rPr>
          <w:rFonts w:ascii="Times New Roman" w:eastAsia="Calibri" w:hAnsi="Times New Roman" w:cs="Times New Roman"/>
          <w:sz w:val="24"/>
          <w:szCs w:val="24"/>
        </w:rPr>
      </w:pPr>
    </w:p>
    <w:p w14:paraId="27086164" w14:textId="5DD8AA58" w:rsidR="002B13B3" w:rsidRPr="00796736" w:rsidRDefault="002B13B3"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Formålet med disse krav er at sikre, at ledelsen og væsentlige ejere i valutavekslingsvirksomheder har de nødvendige faglige og personlige forudsætninger for at kunne varetage deres funktioner på en forsvarlig og tillidsvækkende måde. De skal medvirke til at opretholde tilliden til sektoren og sikre, at virksomhederne ledes og ejes af personer, der lever op til høje standarder for faglighed og integritet. Finanstilsynet fører tilsyn med, at disse krav overholdes, og kan gribe ind, hvis en person ikke længere opfylder betingelserne.</w:t>
      </w:r>
    </w:p>
    <w:p w14:paraId="6D1E667D"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424EBCE0" w14:textId="77777777"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videreføre de gældende krav om, at medlemmer øverste ledelse, herunder bestyrelsen og direktionen, ledelsesansvarlige, indehavere samt ejere af kvalificerede andele i valutavekslingsvirksomheder skal opfylde krav til viden, faglig kompetence, erfaring, hæderlighed, integritet og uafhængighed. Personer, der er pålagt strafansvar for overtrædelse af relevant lovgivning, og hvor overtrædelsen indebærer risiko for, at hvervet eller stillingen ikke kan varetages på betryggende vis, kan ikke bestride sådanne hverv. Det samme gælder for personer, der har udvist adfærd, som giver grund til at antage, at de ikke vil varetage hvervet eller stillingen på forsvarlig måde.</w:t>
      </w:r>
    </w:p>
    <w:p w14:paraId="61B0B3C4"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52ED509A" w14:textId="77777777"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Finanstilsynet foretager en konkret vurdering af, om de pågældende krav er opfyldt, og har mulighed for at nægte eller inddrage tilladelse, hvis betingelserne ikke er opfyldt. Ordningen er således en videreførelse af de eksisterende regler på området.</w:t>
      </w:r>
    </w:p>
    <w:p w14:paraId="7539FB16"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159E6F0D" w14:textId="644CE8A7" w:rsidR="003C1A7C"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_Ref232596808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45</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5D206CD3" w14:textId="77777777" w:rsidR="003C1A7C" w:rsidRPr="00796736" w:rsidRDefault="003C1A7C" w:rsidP="00A802A5">
      <w:pPr>
        <w:spacing w:line="360" w:lineRule="auto"/>
        <w:rPr>
          <w:rFonts w:ascii="Times New Roman" w:hAnsi="Times New Roman" w:cs="Times New Roman"/>
          <w:sz w:val="24"/>
          <w:szCs w:val="24"/>
        </w:rPr>
      </w:pPr>
    </w:p>
    <w:p w14:paraId="3FFBBC6F" w14:textId="3182F598" w:rsidR="003C1A7C" w:rsidRPr="00796736" w:rsidRDefault="009E05E4" w:rsidP="00A802A5">
      <w:pPr>
        <w:pStyle w:val="Overskrift2"/>
        <w:rPr>
          <w:rFonts w:ascii="Times New Roman" w:hAnsi="Times New Roman"/>
          <w:sz w:val="24"/>
        </w:rPr>
      </w:pPr>
      <w:bookmarkStart w:id="1248" w:name="_Toc232109163"/>
      <w:bookmarkStart w:id="1249" w:name="_Ref232948371"/>
      <w:bookmarkStart w:id="1250" w:name="_Toc244880762"/>
      <w:r w:rsidRPr="00796736">
        <w:rPr>
          <w:rFonts w:ascii="Times New Roman" w:hAnsi="Times New Roman"/>
          <w:sz w:val="24"/>
        </w:rPr>
        <w:t>Inddragelse af tilladelse til valutavekslingsvirksomhed</w:t>
      </w:r>
      <w:bookmarkEnd w:id="1248"/>
      <w:bookmarkEnd w:id="1249"/>
      <w:bookmarkEnd w:id="1250"/>
    </w:p>
    <w:p w14:paraId="3778C9BD" w14:textId="52A5B4B5" w:rsidR="003C1A7C" w:rsidRPr="00796736" w:rsidRDefault="003C1A7C" w:rsidP="00A802A5">
      <w:pPr>
        <w:pStyle w:val="Overskrift4"/>
        <w:rPr>
          <w:rFonts w:ascii="Times New Roman" w:hAnsi="Times New Roman" w:cs="Times New Roman"/>
          <w:sz w:val="24"/>
          <w:szCs w:val="24"/>
        </w:rPr>
      </w:pPr>
      <w:bookmarkStart w:id="1251" w:name="_Toc232109164"/>
      <w:r w:rsidRPr="00796736">
        <w:rPr>
          <w:rFonts w:ascii="Times New Roman" w:hAnsi="Times New Roman" w:cs="Times New Roman"/>
          <w:sz w:val="24"/>
          <w:szCs w:val="24"/>
        </w:rPr>
        <w:t>Gældende ret</w:t>
      </w:r>
      <w:bookmarkEnd w:id="1251"/>
    </w:p>
    <w:p w14:paraId="11574338" w14:textId="18220E92"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hvidvasklovens § 46 har Finanstilsynet adgang til at inddrage en tilladelse til valutavekslingsvirksomhed under en række nærmere angivne omstændigheder. Inddragelse kan ske, hvis virksomheden selv anmoder om det, hvis tilladelsen ikke er taget i brug inden for 12 måneder fra udstedelsen, eller hvis virksomheden ikke har udøvet valutavekslingsvirksomhed i en sammenhængende periode på over 6 måneder. Endvidere kan tilladelsen inddrages, hvis den er opnået på baggrund af urigtige eller vildledende oplysninger, eller hvis virksomheden ikke længere opfylder de betingelser, der ligger til grund for tilladelsen. Disse regler har til formål at sikre, at kun virksomheder, der reelt udøver valutavekslingsvirksomhed og opfylder de lovmæssige krav, kan opretholde en tilladelse.</w:t>
      </w:r>
    </w:p>
    <w:p w14:paraId="362700D2" w14:textId="77777777" w:rsidR="009E05E4" w:rsidRPr="00796736" w:rsidRDefault="009E05E4" w:rsidP="00A802A5">
      <w:pPr>
        <w:spacing w:line="360" w:lineRule="auto"/>
        <w:rPr>
          <w:rFonts w:ascii="Times New Roman" w:hAnsi="Times New Roman" w:cs="Times New Roman"/>
          <w:sz w:val="24"/>
          <w:szCs w:val="24"/>
        </w:rPr>
      </w:pPr>
    </w:p>
    <w:p w14:paraId="448D678E" w14:textId="7C22B4F0" w:rsidR="003C1A7C" w:rsidRPr="00796736" w:rsidRDefault="00274A31" w:rsidP="00A802A5">
      <w:pPr>
        <w:pStyle w:val="Overskrift4"/>
        <w:rPr>
          <w:rFonts w:ascii="Times New Roman" w:hAnsi="Times New Roman" w:cs="Times New Roman"/>
          <w:sz w:val="24"/>
          <w:szCs w:val="24"/>
        </w:rPr>
      </w:pPr>
      <w:bookmarkStart w:id="1252" w:name="_Toc232109165"/>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r w:rsidR="003C1A7C" w:rsidRPr="00796736">
        <w:rPr>
          <w:rFonts w:ascii="Times New Roman" w:hAnsi="Times New Roman" w:cs="Times New Roman"/>
          <w:sz w:val="24"/>
          <w:szCs w:val="24"/>
        </w:rPr>
        <w:t>og den foreslåede ordning</w:t>
      </w:r>
      <w:bookmarkEnd w:id="1252"/>
      <w:r w:rsidR="003C1A7C" w:rsidRPr="00796736">
        <w:rPr>
          <w:rFonts w:ascii="Times New Roman" w:hAnsi="Times New Roman" w:cs="Times New Roman"/>
          <w:sz w:val="24"/>
          <w:szCs w:val="24"/>
        </w:rPr>
        <w:t xml:space="preserve"> </w:t>
      </w:r>
    </w:p>
    <w:p w14:paraId="3AC4A3FB" w14:textId="61281C2B"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ækstministeriet vurderer, at det er væsentligt at videreføre og præcisere Finanstilsynets adgang til at inddrage tilladelsen til valutavekslingsvirksomhed. Det er afgørende for et effektivt tilsyn, at tilladelser ikke opretholdes for virksomheder, der ikke længere er aktive, eller som ikke længere opfylder de krav, der er fastsat i lovgivningen. En klar og udtømmende regulering af inddragelsesgrundene bidrager til at sikre, at kun virksomheder, der reelt udøver valutavekslingsvirksomhed og lever op til gældende regler, kan opretholde deres tilladelse. Dette er med til at styrke tilliden til sektoren og forebygge misbrug af tilladelsesordningen.</w:t>
      </w:r>
    </w:p>
    <w:p w14:paraId="24D3AC27"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67801115" w14:textId="03B5316B"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videreføre og præcisere de gældende regler om inddragelse af tilladelse til valutavekslingsvirksomhed. Finanstilsynet vil således fortsat kunne inddrage en tilladelse, hvis virksomheden selv anmoder herom, hvis tilladelsen ikke er taget i brug inden for 12 måneder fra udstedelsen, eller hvis virksomheden ikke har udøvet valutavekslingsvirksomhed i en periode på over 6 måneder. Endvidere kan tilladelsen inddrages, hvis den er opnået på baggrund af urigtige eller vildledende oplysninger eller på anden uretmæssig vis, hvis virksomheden ikke længere opfylder betingelserne for tilladelse, hvis virksomheden ikke overholder bestemmelserne i </w:t>
      </w:r>
      <w:r w:rsidR="00AF770E" w:rsidRPr="00796736">
        <w:rPr>
          <w:rFonts w:ascii="Times New Roman" w:hAnsi="Times New Roman" w:cs="Times New Roman"/>
          <w:sz w:val="24"/>
          <w:szCs w:val="24"/>
        </w:rPr>
        <w:t xml:space="preserve">hvidvaskforordningen, denne lov, pengeoverførselsforordningen eller </w:t>
      </w:r>
      <w:r w:rsidR="00AF770E"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r w:rsidR="00AF770E"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 xml:space="preserve"> </w:t>
      </w:r>
    </w:p>
    <w:p w14:paraId="371C4652"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52C27CA6" w14:textId="77777777"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Reglerne udvides desuden, så Finanstilsynet kan inddrage tilladelsen, hvis virksomheden registreres som ophørt i Det Centrale Virksomhedsregister. Denne præcisering skal sikre, at kun virksomheder, der reelt udøver valutavekslingsvirksomhed og opfylder de lovmæssige krav, kan opretholde en tilladelse. Herved styrkes tilsynet, og det forebygges, at inaktive virksomheder fortsat har tilladelse til at drive valutavekslingsvirksomhed.</w:t>
      </w:r>
    </w:p>
    <w:p w14:paraId="0A34C360"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2537EFE6" w14:textId="77777777" w:rsidR="009E05E4"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Formålet med den foreslåede ordning er at sikre, at tilladelser kun opretholdes for virksomheder, der reelt udøver valutavekslingsvirksomhed og fortsat opfylder de lovmæssige krav. Ordningen skal understøtte Finanstilsynets mulighed for at føre et effektivt og risikobaseret tilsyn med sektoren.</w:t>
      </w:r>
    </w:p>
    <w:p w14:paraId="6DFB22F8" w14:textId="77777777" w:rsidR="009E05E4" w:rsidRPr="00796736" w:rsidRDefault="009E05E4" w:rsidP="00A802A5">
      <w:pPr>
        <w:suppressAutoHyphens/>
        <w:spacing w:line="360" w:lineRule="auto"/>
        <w:rPr>
          <w:rFonts w:ascii="Times New Roman" w:eastAsia="Calibri" w:hAnsi="Times New Roman" w:cs="Times New Roman"/>
          <w:sz w:val="24"/>
          <w:szCs w:val="24"/>
        </w:rPr>
      </w:pPr>
    </w:p>
    <w:p w14:paraId="6B2A9EF1" w14:textId="3984759A" w:rsidR="003C1A7C" w:rsidRPr="00796736" w:rsidRDefault="009E05E4"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om ordningen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_Ref232596829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46</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47C67797" w14:textId="77777777" w:rsidR="003C1A7C" w:rsidRPr="00796736" w:rsidRDefault="003C1A7C" w:rsidP="00A802A5">
      <w:pPr>
        <w:spacing w:line="360" w:lineRule="auto"/>
        <w:rPr>
          <w:rFonts w:ascii="Times New Roman" w:hAnsi="Times New Roman" w:cs="Times New Roman"/>
          <w:sz w:val="24"/>
          <w:szCs w:val="24"/>
        </w:rPr>
      </w:pPr>
    </w:p>
    <w:p w14:paraId="1D2EE8D3" w14:textId="75836E9D" w:rsidR="002177B8" w:rsidRPr="00796736" w:rsidRDefault="002177B8" w:rsidP="00A802A5">
      <w:pPr>
        <w:pStyle w:val="Overskrift2"/>
        <w:rPr>
          <w:rFonts w:ascii="Times New Roman" w:hAnsi="Times New Roman"/>
          <w:sz w:val="24"/>
        </w:rPr>
      </w:pPr>
      <w:bookmarkStart w:id="1253" w:name="_Ref232948432"/>
      <w:bookmarkStart w:id="1254" w:name="_Toc232109167"/>
      <w:bookmarkStart w:id="1255" w:name="_Toc244880763"/>
      <w:r w:rsidRPr="00796736">
        <w:rPr>
          <w:rFonts w:ascii="Times New Roman" w:hAnsi="Times New Roman"/>
          <w:sz w:val="24"/>
        </w:rPr>
        <w:t>Registreringspligt og betingelser for registrering hos Finanstilsynet samt Finanstilsynets mulighed for at inddrage en registrering</w:t>
      </w:r>
      <w:bookmarkEnd w:id="1253"/>
      <w:bookmarkEnd w:id="1255"/>
      <w:r w:rsidRPr="00796736">
        <w:rPr>
          <w:rFonts w:ascii="Times New Roman" w:hAnsi="Times New Roman"/>
          <w:sz w:val="24"/>
        </w:rPr>
        <w:t xml:space="preserve"> </w:t>
      </w:r>
    </w:p>
    <w:p w14:paraId="661CF097" w14:textId="3AEA8C42" w:rsidR="003C1A7C" w:rsidRPr="00796736" w:rsidRDefault="003C1A7C"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bookmarkEnd w:id="1254"/>
    </w:p>
    <w:p w14:paraId="461E1328"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48, stk. 1, i hvidvaskloven skal virksomheder og personer, der er omfattet af § 1, stk. 1, nr. 8, registreres hos Finanstilsynet, før de kan udøve en række nærmere angivne finansielle aktiviteter, der er oplistet i bilag 1 til loven. </w:t>
      </w:r>
    </w:p>
    <w:p w14:paraId="0AD1CA77" w14:textId="77777777" w:rsidR="002177B8" w:rsidRPr="00796736" w:rsidRDefault="002177B8" w:rsidP="00A802A5">
      <w:pPr>
        <w:spacing w:line="360" w:lineRule="auto"/>
        <w:rPr>
          <w:rFonts w:ascii="Times New Roman" w:hAnsi="Times New Roman" w:cs="Times New Roman"/>
          <w:sz w:val="24"/>
          <w:szCs w:val="24"/>
        </w:rPr>
      </w:pPr>
    </w:p>
    <w:p w14:paraId="2D50DE0B"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48, stk. 2, i hvidvaskloven skal Finanstilsynet undlade at foretage registrering efter stk. 1, hvis et medlem af virksomhedens øverste eller daglige ledelse eller personen er pålagt strafansvar for overtrædelse af straffeloven, den finansielle lovgivning eller anden relevant lovgivning, og overtrædelsen indebærer risiko for, at vedkommende ikke kan varetage sit hverv eller sin stilling på en betryggende måde.</w:t>
      </w:r>
    </w:p>
    <w:p w14:paraId="12632949" w14:textId="77777777" w:rsidR="002177B8" w:rsidRPr="00796736" w:rsidRDefault="002177B8" w:rsidP="00A802A5">
      <w:pPr>
        <w:spacing w:line="360" w:lineRule="auto"/>
        <w:rPr>
          <w:rFonts w:ascii="Times New Roman" w:hAnsi="Times New Roman" w:cs="Times New Roman"/>
          <w:sz w:val="24"/>
          <w:szCs w:val="24"/>
        </w:rPr>
      </w:pPr>
    </w:p>
    <w:p w14:paraId="01338E78"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 48, stk. 3, i hvidvaskloven, at Finanstilsynet skal undlade at registrere en virksomhed, hvis virksomheden er pålagt strafansvar for overtrædelse af straffeloven, den finansielle lovgivning eller anden relevant lovgivning og overtrædelsen indebærer risiko for, at virksomheden misbruger registreringen, eller en reel ejer er pålagt strafansvar for overtrædelse af straffeloven, den finansielle lovgivning eller anden relevant lovgivning, der begrunder en risiko for misbrug af den pågældendes kontrollerende indflydelse.</w:t>
      </w:r>
    </w:p>
    <w:p w14:paraId="1EEE4E4A" w14:textId="77777777" w:rsidR="00AF770E" w:rsidRPr="00796736" w:rsidRDefault="00AF770E" w:rsidP="00A802A5">
      <w:pPr>
        <w:spacing w:line="360" w:lineRule="auto"/>
        <w:rPr>
          <w:rFonts w:ascii="Times New Roman" w:hAnsi="Times New Roman" w:cs="Times New Roman"/>
          <w:sz w:val="24"/>
          <w:szCs w:val="24"/>
        </w:rPr>
      </w:pPr>
    </w:p>
    <w:p w14:paraId="179F321B" w14:textId="6470E24E" w:rsidR="00AF770E" w:rsidRPr="00796736" w:rsidRDefault="00AF770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48, stk. 4, at ved Finanstilsynets vurdering i henhold til stk. 2 og 3 finder straffelovens § 78, stk. 3, tilsvarende anvendelse.</w:t>
      </w:r>
    </w:p>
    <w:p w14:paraId="31ED46DE" w14:textId="77777777" w:rsidR="002177B8" w:rsidRPr="00796736" w:rsidRDefault="002177B8" w:rsidP="00A802A5">
      <w:pPr>
        <w:spacing w:line="360" w:lineRule="auto"/>
        <w:rPr>
          <w:rFonts w:ascii="Times New Roman" w:hAnsi="Times New Roman" w:cs="Times New Roman"/>
          <w:sz w:val="24"/>
          <w:szCs w:val="24"/>
        </w:rPr>
      </w:pPr>
    </w:p>
    <w:p w14:paraId="76C4921B"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48, stk. 5, at Finanstilsynet kan inddrage registreringen af en virksomhed eller en anden juridisk person foretaget efter stk. 1, hvis et medlem af virksomhedens øverste eller daglige ledelse eller personen efterfølgende omfattes af stk. 2, eller hvis virksomheden eller en reel ejer efterfølgende omfattes af stk. 3.</w:t>
      </w:r>
    </w:p>
    <w:p w14:paraId="6E260AE2" w14:textId="77777777" w:rsidR="002177B8" w:rsidRPr="00796736" w:rsidRDefault="002177B8" w:rsidP="00A802A5">
      <w:pPr>
        <w:spacing w:line="360" w:lineRule="auto"/>
        <w:rPr>
          <w:rFonts w:ascii="Times New Roman" w:hAnsi="Times New Roman" w:cs="Times New Roman"/>
          <w:sz w:val="24"/>
          <w:szCs w:val="24"/>
        </w:rPr>
      </w:pPr>
    </w:p>
    <w:p w14:paraId="447C6614"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slutteligt af § 48, stk. 6, at Finanstilsynet kan inddrage registreringen af en virksomhed eller en person efter stk. 1, hvis virksomheden eller personen gør sig skyldig i grove eller gentagne overtrædelser af denne lov.</w:t>
      </w:r>
    </w:p>
    <w:p w14:paraId="0247B7B9" w14:textId="77777777" w:rsidR="001F6D11" w:rsidRPr="00796736" w:rsidRDefault="001F6D11" w:rsidP="00A802A5">
      <w:pPr>
        <w:spacing w:line="360" w:lineRule="auto"/>
        <w:rPr>
          <w:rFonts w:ascii="Times New Roman" w:hAnsi="Times New Roman" w:cs="Times New Roman"/>
          <w:sz w:val="24"/>
          <w:szCs w:val="24"/>
        </w:rPr>
      </w:pPr>
    </w:p>
    <w:p w14:paraId="1FB7CDB4" w14:textId="3F277CD3" w:rsidR="001F6D11" w:rsidRPr="00796736" w:rsidRDefault="001F6D11" w:rsidP="00A802A5">
      <w:pPr>
        <w:pStyle w:val="Overskrift4"/>
        <w:rPr>
          <w:rFonts w:ascii="Times New Roman" w:hAnsi="Times New Roman" w:cs="Times New Roman"/>
          <w:sz w:val="24"/>
          <w:szCs w:val="24"/>
        </w:rPr>
      </w:pPr>
      <w:bookmarkStart w:id="1256" w:name="_Toc232109168"/>
      <w:r w:rsidRPr="00796736">
        <w:rPr>
          <w:rFonts w:ascii="Times New Roman" w:hAnsi="Times New Roman" w:cs="Times New Roman"/>
          <w:sz w:val="24"/>
          <w:szCs w:val="24"/>
        </w:rPr>
        <w:t>6. hvidvaskdirektiv og hvidvaskforordningen</w:t>
      </w:r>
      <w:bookmarkEnd w:id="1256"/>
      <w:r w:rsidRPr="00796736">
        <w:rPr>
          <w:rFonts w:ascii="Times New Roman" w:hAnsi="Times New Roman" w:cs="Times New Roman"/>
          <w:sz w:val="24"/>
          <w:szCs w:val="24"/>
        </w:rPr>
        <w:t xml:space="preserve"> </w:t>
      </w:r>
    </w:p>
    <w:p w14:paraId="51EBCE05" w14:textId="6594EAFB"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artikel 3</w:t>
      </w:r>
      <w:r w:rsidR="00AF770E" w:rsidRPr="00796736">
        <w:rPr>
          <w:rFonts w:ascii="Times New Roman" w:hAnsi="Times New Roman" w:cs="Times New Roman"/>
          <w:sz w:val="24"/>
          <w:szCs w:val="24"/>
        </w:rPr>
        <w:t>, nr. 2, samt nr. 3, litra h og m,</w:t>
      </w:r>
      <w:r w:rsidRPr="00796736">
        <w:rPr>
          <w:rFonts w:ascii="Times New Roman" w:hAnsi="Times New Roman" w:cs="Times New Roman"/>
          <w:sz w:val="24"/>
          <w:szCs w:val="24"/>
        </w:rPr>
        <w:t xml:space="preserve"> i hvidvaskforordningen udvides anvendelsesområdet</w:t>
      </w:r>
      <w:r w:rsidR="00F94A9D" w:rsidRPr="00796736">
        <w:rPr>
          <w:rFonts w:ascii="Times New Roman" w:hAnsi="Times New Roman" w:cs="Times New Roman"/>
          <w:sz w:val="24"/>
          <w:szCs w:val="24"/>
        </w:rPr>
        <w:t xml:space="preserve"> i forhold til hvidvasklovens bilag 1, jf. § 1, stk. 1, nr. 8, </w:t>
      </w:r>
      <w:r w:rsidRPr="00796736">
        <w:rPr>
          <w:rFonts w:ascii="Times New Roman" w:hAnsi="Times New Roman" w:cs="Times New Roman"/>
          <w:sz w:val="24"/>
          <w:szCs w:val="24"/>
        </w:rPr>
        <w:t>til at omfatte blandt andet crowdfundingformidlere, finansielle holdingselskaber med blandet aktivitet samt ikkefinansielle holdingselskaber med blandet aktivitet.</w:t>
      </w:r>
    </w:p>
    <w:p w14:paraId="5E4B6EFB" w14:textId="77777777" w:rsidR="002177B8" w:rsidRPr="00796736" w:rsidRDefault="002177B8" w:rsidP="00A802A5">
      <w:pPr>
        <w:spacing w:line="360" w:lineRule="auto"/>
        <w:rPr>
          <w:rFonts w:ascii="Times New Roman" w:hAnsi="Times New Roman" w:cs="Times New Roman"/>
          <w:sz w:val="24"/>
          <w:szCs w:val="24"/>
        </w:rPr>
      </w:pPr>
    </w:p>
    <w:p w14:paraId="0EED72DF"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desuden af artikel 4, stk. 3, i 6. hvidvaskdirektiv, at medlemsstaterne skal sikre, at andre forpligtede enheder end dem, der er omhandlet i stk. 1 og 2, er omfattet af et minimums registreringskrav, der gør det muligt for tilsynsorganerne at identificere dem.</w:t>
      </w:r>
    </w:p>
    <w:p w14:paraId="465C86C4" w14:textId="77777777" w:rsidR="002177B8" w:rsidRPr="00796736" w:rsidRDefault="002177B8" w:rsidP="00A802A5">
      <w:pPr>
        <w:spacing w:line="360" w:lineRule="auto"/>
        <w:rPr>
          <w:rFonts w:ascii="Times New Roman" w:hAnsi="Times New Roman" w:cs="Times New Roman"/>
          <w:sz w:val="24"/>
          <w:szCs w:val="24"/>
        </w:rPr>
      </w:pPr>
    </w:p>
    <w:p w14:paraId="66AAD80E" w14:textId="64CF1AA2"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w:t>
      </w:r>
      <w:r w:rsidR="00F94A9D" w:rsidRPr="00796736">
        <w:rPr>
          <w:rFonts w:ascii="Times New Roman" w:hAnsi="Times New Roman" w:cs="Times New Roman"/>
          <w:sz w:val="24"/>
          <w:szCs w:val="24"/>
        </w:rPr>
        <w:t xml:space="preserve"> direktivets</w:t>
      </w:r>
      <w:r w:rsidRPr="00796736">
        <w:rPr>
          <w:rFonts w:ascii="Times New Roman" w:hAnsi="Times New Roman" w:cs="Times New Roman"/>
          <w:sz w:val="24"/>
          <w:szCs w:val="24"/>
        </w:rPr>
        <w:t xml:space="preserve"> artikel 6, stk. 2, at for så vidt angår de forpligtede enheder, der er omhandlet i artikel 3, nr. 3), litra a), b), d), e), f) og h)-o), i forordning (EU) 2024/1624, skal medlemsstaterne sikre, at tilsynsorganerne træffer de nødvendige foranstaltninger til at forhindre personer, der er dømt for hvidvask af penge, de relevante underliggende lovovertrædelser eller finansiering af terrorisme, eller deres samarbejdspartnere, i at blive godkendt til et erhverv, i at varetage en funktion i den øverste ledelse i eller i at være de reelle ejere af disse forpligtede enheder.</w:t>
      </w:r>
    </w:p>
    <w:p w14:paraId="432F7C89" w14:textId="77777777" w:rsidR="002177B8" w:rsidRPr="00796736" w:rsidRDefault="002177B8" w:rsidP="00A802A5">
      <w:pPr>
        <w:spacing w:line="360" w:lineRule="auto"/>
        <w:rPr>
          <w:rFonts w:ascii="Times New Roman" w:hAnsi="Times New Roman" w:cs="Times New Roman"/>
          <w:sz w:val="24"/>
          <w:szCs w:val="24"/>
        </w:rPr>
      </w:pPr>
    </w:p>
    <w:p w14:paraId="6F0E38BA" w14:textId="4E5196C9" w:rsidR="00D95F8C"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artikel 6, stk. 3, fremgår</w:t>
      </w:r>
      <w:r w:rsidR="005371F2" w:rsidRPr="00796736">
        <w:rPr>
          <w:rFonts w:ascii="Times New Roman" w:hAnsi="Times New Roman" w:cs="Times New Roman"/>
          <w:sz w:val="24"/>
          <w:szCs w:val="24"/>
        </w:rPr>
        <w:t xml:space="preserve">, at </w:t>
      </w:r>
      <w:r w:rsidRPr="00796736">
        <w:rPr>
          <w:rFonts w:ascii="Times New Roman" w:hAnsi="Times New Roman" w:cs="Times New Roman"/>
          <w:sz w:val="24"/>
          <w:szCs w:val="24"/>
        </w:rPr>
        <w:t xml:space="preserve">medlemsstaterne skal sikre, at tilsynsorganerne på et risikofølsomt grundlag kontrollerer, om kravene i stk. 1 og 2 fortsat er opfyldt. </w:t>
      </w:r>
      <w:r w:rsidR="005371F2" w:rsidRPr="00796736">
        <w:rPr>
          <w:rFonts w:ascii="Times New Roman" w:hAnsi="Times New Roman" w:cs="Times New Roman"/>
          <w:sz w:val="24"/>
          <w:szCs w:val="24"/>
        </w:rPr>
        <w:t xml:space="preserve"> Medlemsstaterne skal </w:t>
      </w:r>
      <w:r w:rsidRPr="00796736">
        <w:rPr>
          <w:rFonts w:ascii="Times New Roman" w:hAnsi="Times New Roman" w:cs="Times New Roman"/>
          <w:sz w:val="24"/>
          <w:szCs w:val="24"/>
        </w:rPr>
        <w:t>navnlig</w:t>
      </w:r>
      <w:r w:rsidR="005371F2" w:rsidRPr="00796736">
        <w:rPr>
          <w:rFonts w:ascii="Times New Roman" w:hAnsi="Times New Roman" w:cs="Times New Roman"/>
          <w:sz w:val="24"/>
          <w:szCs w:val="24"/>
        </w:rPr>
        <w:t xml:space="preserve"> kontrollere</w:t>
      </w:r>
      <w:r w:rsidRPr="00796736">
        <w:rPr>
          <w:rFonts w:ascii="Times New Roman" w:hAnsi="Times New Roman" w:cs="Times New Roman"/>
          <w:sz w:val="24"/>
          <w:szCs w:val="24"/>
        </w:rPr>
        <w:t>, om den øverste ledelse i forpligtede enheder, der er omhandlet i stk. 1, har et godt omdømme, handler med hæderlighed og integritet og besidder den viden og ekspertise, der er nødvendig for, at den kan udføre sine opgaver i tilfælde, hvor der er rimelig grund til at formode, at der begås eller er blevet begået eller forsøgt begået hvidvask af penge eller finansiering af terrorisme, eller der er øget risiko herfor i en forpligtet enhed.</w:t>
      </w:r>
    </w:p>
    <w:p w14:paraId="25185F91" w14:textId="77777777" w:rsidR="002177B8" w:rsidRPr="00796736" w:rsidRDefault="002177B8" w:rsidP="00A802A5">
      <w:pPr>
        <w:spacing w:line="360" w:lineRule="auto"/>
        <w:rPr>
          <w:rFonts w:ascii="Times New Roman" w:hAnsi="Times New Roman" w:cs="Times New Roman"/>
          <w:sz w:val="24"/>
          <w:szCs w:val="24"/>
        </w:rPr>
      </w:pPr>
    </w:p>
    <w:p w14:paraId="59538F31" w14:textId="37E40E4F" w:rsidR="003C1A7C" w:rsidRPr="00796736" w:rsidRDefault="00274A31" w:rsidP="00A802A5">
      <w:pPr>
        <w:pStyle w:val="Overskrift4"/>
        <w:rPr>
          <w:rFonts w:ascii="Times New Roman" w:hAnsi="Times New Roman" w:cs="Times New Roman"/>
          <w:sz w:val="24"/>
          <w:szCs w:val="24"/>
        </w:rPr>
      </w:pPr>
      <w:bookmarkStart w:id="1257" w:name="_Toc232109169"/>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overvejelser </w:t>
      </w:r>
      <w:r w:rsidR="003C1A7C" w:rsidRPr="00796736">
        <w:rPr>
          <w:rFonts w:ascii="Times New Roman" w:hAnsi="Times New Roman" w:cs="Times New Roman"/>
          <w:sz w:val="24"/>
          <w:szCs w:val="24"/>
        </w:rPr>
        <w:t>og den foreslåede ordning</w:t>
      </w:r>
      <w:bookmarkEnd w:id="1257"/>
      <w:r w:rsidR="003C1A7C" w:rsidRPr="00796736">
        <w:rPr>
          <w:rFonts w:ascii="Times New Roman" w:hAnsi="Times New Roman" w:cs="Times New Roman"/>
          <w:sz w:val="24"/>
          <w:szCs w:val="24"/>
        </w:rPr>
        <w:t xml:space="preserve"> </w:t>
      </w:r>
    </w:p>
    <w:p w14:paraId="4CD21672"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er af væsentlig betydning for forebyggelsen af hvidvask og finansiering af terrorisme, at Finanstilsynet har mulighed for at føre effektivt tilsyn med de virksomheder og personer, der udøver finansielle aktiviteter, som indebærer en særlig risiko. Registreringsordningen er et centralt redskab for at sikre, at tilsynsmyndigheden kan identificere og overvåge de relevante aktører på markedet. Registreringen gør det muligt at stille krav til ledelsens og ejerkredsens hæderlighed, integritet og uafhængighed, hvilket er afgørende for at opretholde tilliden til den finansielle sektor og for at sikre, at kun egnede personer kan udøve kontrol over virksomheder, der kan misbruges til hvidvask eller terrorfinansiering.</w:t>
      </w:r>
    </w:p>
    <w:p w14:paraId="32B3FCB0"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Skatte- og Vækstministeriet vurderer, at der er behov for at udvide registreringspligten efter hvidvaskloven, så den omfatter yderligere aktørtyper, der udøver finansielle aktiviteter af betydning for forebyggelsen af hvidvask og finansiering af terrorisme. Udvidelsen sker som led i implementeringen af 6. hvidvaskdirektiv og for at sikre, at Finanstilsynet har det nødvendige grundlag for at føre effektivt tilsyn med alle relevante aktører.</w:t>
      </w:r>
    </w:p>
    <w:p w14:paraId="3DF1CDA5" w14:textId="77777777" w:rsidR="002177B8" w:rsidRPr="00796736" w:rsidRDefault="002177B8" w:rsidP="00A802A5">
      <w:pPr>
        <w:spacing w:line="360" w:lineRule="auto"/>
        <w:rPr>
          <w:rFonts w:ascii="Times New Roman" w:hAnsi="Times New Roman" w:cs="Times New Roman"/>
          <w:sz w:val="24"/>
          <w:szCs w:val="24"/>
        </w:rPr>
      </w:pPr>
    </w:p>
    <w:p w14:paraId="006B0764"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Skatte- og Vækstministeriet har desuden vurderet, at det er nødvendigt at indføre klare og objektive betingelser for registrering hos Finanstilsynet, som fremgår af bestemmelsen. Bestemmelsen har til formål at sikre, at kun virksomheder og personer, der opfylder en række grundlæggende krav til fysisk tilstedeværelse, ledelsens egnethed og hæderlighed samt virksomhedens generelle integritet, kan opnå registrering og dermed adgang til at udøve de registreringspligtige aktiviteter under Finanstilsynets tilsyn.</w:t>
      </w:r>
    </w:p>
    <w:p w14:paraId="25072FA4" w14:textId="77777777" w:rsidR="002177B8" w:rsidRPr="00796736" w:rsidRDefault="002177B8" w:rsidP="00A802A5">
      <w:pPr>
        <w:spacing w:line="360" w:lineRule="auto"/>
        <w:rPr>
          <w:rFonts w:ascii="Times New Roman" w:hAnsi="Times New Roman" w:cs="Times New Roman"/>
          <w:sz w:val="24"/>
          <w:szCs w:val="24"/>
        </w:rPr>
      </w:pPr>
    </w:p>
    <w:p w14:paraId="1FBB75C8" w14:textId="7ABCB312"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eksisterer i den gældende hvidvasklov i dag ikke krav om, at virksomheder, der registreres hos Finanstilsynet efter § 48, </w:t>
      </w:r>
      <w:r w:rsidR="00156548" w:rsidRPr="00796736">
        <w:rPr>
          <w:rFonts w:ascii="Times New Roman" w:hAnsi="Times New Roman" w:cs="Times New Roman"/>
          <w:sz w:val="24"/>
          <w:szCs w:val="24"/>
        </w:rPr>
        <w:t>f.eks.</w:t>
      </w:r>
      <w:r w:rsidRPr="00796736">
        <w:rPr>
          <w:rFonts w:ascii="Times New Roman" w:hAnsi="Times New Roman" w:cs="Times New Roman"/>
          <w:sz w:val="24"/>
          <w:szCs w:val="24"/>
        </w:rPr>
        <w:t xml:space="preserve"> skal have hovedkontor og hjemsted i Danmark. De betingelser, der nu foreslås indført, svarer i høj grad til de krav, der allerede gælder for valutavekslingsvirksomheder efter den gældende § 41.</w:t>
      </w:r>
    </w:p>
    <w:p w14:paraId="75A23868" w14:textId="77777777" w:rsidR="002177B8" w:rsidRPr="00796736" w:rsidRDefault="002177B8" w:rsidP="00A802A5">
      <w:pPr>
        <w:spacing w:line="360" w:lineRule="auto"/>
        <w:rPr>
          <w:rFonts w:ascii="Times New Roman" w:hAnsi="Times New Roman" w:cs="Times New Roman"/>
          <w:sz w:val="24"/>
          <w:szCs w:val="24"/>
        </w:rPr>
      </w:pPr>
    </w:p>
    <w:p w14:paraId="6B5ADF8F" w14:textId="7D50F9F2"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Baggrunden for at indføre disse betingelser er blandt andet at sikre, at de registrerede virksomheder har hovedkontor og hjemsted i Danmark, </w:t>
      </w:r>
      <w:r w:rsidR="00156548" w:rsidRPr="00796736">
        <w:rPr>
          <w:rFonts w:ascii="Times New Roman" w:hAnsi="Times New Roman" w:cs="Times New Roman"/>
          <w:sz w:val="24"/>
          <w:szCs w:val="24"/>
        </w:rPr>
        <w:t>så</w:t>
      </w:r>
      <w:r w:rsidRPr="00796736">
        <w:rPr>
          <w:rFonts w:ascii="Times New Roman" w:hAnsi="Times New Roman" w:cs="Times New Roman"/>
          <w:sz w:val="24"/>
          <w:szCs w:val="24"/>
        </w:rPr>
        <w:t xml:space="preserve"> Finanstilsynet kan føre et effektivt tilsyn efter lovens regler. </w:t>
      </w:r>
    </w:p>
    <w:p w14:paraId="183F573B" w14:textId="77777777" w:rsidR="002177B8" w:rsidRPr="00796736" w:rsidRDefault="002177B8" w:rsidP="00A802A5">
      <w:pPr>
        <w:spacing w:line="360" w:lineRule="auto"/>
        <w:rPr>
          <w:rFonts w:ascii="Times New Roman" w:hAnsi="Times New Roman" w:cs="Times New Roman"/>
          <w:sz w:val="24"/>
          <w:szCs w:val="24"/>
        </w:rPr>
      </w:pPr>
    </w:p>
    <w:p w14:paraId="510223A9"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Vækstministeriet har tillige vurderet, at der er behov for at præcisere og udvide Finanstilsynets adgang til at inddrage registreringen af virksomheder, der er registreret. Formålet er at sikre, at registreringen kun opretholdes for virksomheder, der reelt udøver de relevante aktiviteter og fortsat opfylder de krav, der er fastsat i lovgivningen. </w:t>
      </w:r>
    </w:p>
    <w:p w14:paraId="5A1EF132"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Skatte- og Vækstministeriet har lagt vægt på, at et opdateret og retvisende register over aktive virksomheder er afgørende for et effektivt tilsyn og for at opretholde tilliden til den finansielle sektor. Det er endvidere vurderet, at det er hensigtsmæssigt at fastsætte klare og objektive kriterier for, hvornår registreringen kan inddrages, herunder i tilfælde af manglende aktivitet, urigtige oplysninger eller væsentlige overtrædelser af lovgivningen.</w:t>
      </w:r>
    </w:p>
    <w:p w14:paraId="7017ED18" w14:textId="1B1AF37E"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Med ændringen af muligheden for at inddrage en registrering opnås der i højere grad en harmonisering med de regler, der i dag gælder for valutavekslingsvirksomheder efter hvidvasklovens § 46, samt til de regler, der gælder for øvrige finansielle virksomheder efter den finansielle lovgivning. Formålet med den nye bestemmelse er at sikre en klar og udtømmende hjemmel til at inddrage registreringer, herunder muligheden for at inddrage registreringen, hvis virksomheden er registreret som ophørt i Det Centrale Virksomhedsregister.</w:t>
      </w:r>
    </w:p>
    <w:p w14:paraId="4FE3355A" w14:textId="3FD7235F"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virksomheder og personer, der udøver de i bilag 1 nævnte aktiviteter, udøver crowdfundingformidling eller driver virksomhed som finansielt holdingselskab med blandet aktivitet, skal registreres hos Finanstilsynet, før de kan påbegynde disse aktiviteter. Registreringspligten udvides til også at omfatte crowdfundingformidlere og finansielle holdingselskaber med blandet aktivitet, ligesom ikkefinansielle holdingselskaber med blandet aktivitet, der har datterselskaber, som udøver visse finansielle aktiviteter, fremover skal registreres, når de udøver virksomhed i Danmark.</w:t>
      </w:r>
    </w:p>
    <w:p w14:paraId="6A91768D" w14:textId="77C79B50"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desuden at fastsætte de nærmere betingelser, der skal være opfyldt, for at virksomheder og personer omfattet </w:t>
      </w:r>
      <w:r w:rsidRPr="10F92E68">
        <w:rPr>
          <w:rFonts w:ascii="Times New Roman" w:hAnsi="Times New Roman" w:cs="Times New Roman"/>
          <w:sz w:val="24"/>
          <w:szCs w:val="24"/>
        </w:rPr>
        <w:t xml:space="preserve">af </w:t>
      </w:r>
      <w:r w:rsidR="00890B25" w:rsidRPr="00796736">
        <w:rPr>
          <w:rFonts w:ascii="Times New Roman" w:hAnsi="Times New Roman" w:cs="Times New Roman"/>
          <w:sz w:val="24"/>
          <w:szCs w:val="24"/>
        </w:rPr>
        <w:t xml:space="preserve"> REF _Ref232596860 \r \h </w:t>
      </w:r>
      <w:r w:rsidR="00967618" w:rsidRPr="00796736">
        <w:rPr>
          <w:rFonts w:ascii="Times New Roman" w:hAnsi="Times New Roman" w:cs="Times New Roman"/>
          <w:sz w:val="24"/>
          <w:szCs w:val="24"/>
        </w:rPr>
        <w:t xml:space="preserve"> REF _Ref232596860 \r \h </w:t>
      </w:r>
      <w:r w:rsidR="00060ABB" w:rsidRPr="10F92E68">
        <w:t>￼</w:t>
      </w:r>
      <w:r w:rsidR="00060ABB" w:rsidRPr="10F92E68">
        <w:rPr>
          <w:rFonts w:ascii="Times New Roman" w:hAnsi="Times New Roman" w:cs="Times New Roman"/>
          <w:sz w:val="24"/>
          <w:szCs w:val="24"/>
        </w:rPr>
        <w:t>§ 47</w:t>
      </w:r>
      <w:r w:rsidRPr="10F92E68">
        <w:t>￼</w:t>
      </w:r>
      <w:r w:rsidRPr="10F92E68">
        <w:rPr>
          <w:rFonts w:ascii="Times New Roman" w:hAnsi="Times New Roman" w:cs="Times New Roman"/>
          <w:sz w:val="24"/>
          <w:szCs w:val="24"/>
        </w:rPr>
        <w:t xml:space="preserve">, stk. 1 og 2, kan registreres hos Finanstilsynet. </w:t>
      </w:r>
    </w:p>
    <w:p w14:paraId="697DE127" w14:textId="77777777" w:rsidR="002177B8" w:rsidRPr="00796736" w:rsidRDefault="002177B8" w:rsidP="00A802A5">
      <w:pPr>
        <w:spacing w:line="360" w:lineRule="auto"/>
        <w:rPr>
          <w:rFonts w:ascii="Times New Roman" w:hAnsi="Times New Roman" w:cs="Times New Roman"/>
          <w:sz w:val="24"/>
          <w:szCs w:val="24"/>
        </w:rPr>
      </w:pPr>
    </w:p>
    <w:p w14:paraId="1D337E85" w14:textId="4F17E060"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at virksomheden skal have hovedkontor og hjemsted i Danmark. Dette krav skal sikre, at Finanstilsynet har den nødvendige adgang til virksomheden og dens ledelse, og at tilsynet kan varetages effektivt og i overensstemmelse med gældende lovgivning.</w:t>
      </w:r>
    </w:p>
    <w:p w14:paraId="5B8976A0" w14:textId="77777777" w:rsidR="002177B8" w:rsidRPr="00796736" w:rsidRDefault="002177B8" w:rsidP="00A802A5">
      <w:pPr>
        <w:spacing w:line="360" w:lineRule="auto"/>
        <w:rPr>
          <w:rFonts w:ascii="Times New Roman" w:hAnsi="Times New Roman" w:cs="Times New Roman"/>
          <w:sz w:val="24"/>
          <w:szCs w:val="24"/>
        </w:rPr>
      </w:pPr>
    </w:p>
    <w:p w14:paraId="7C857328" w14:textId="0ABB6736" w:rsidR="005C07B9"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virksomhedens bestyrelse og direktion eller, hvor virksomheden drives som juridisk person uden bestyrelse eller direktion, de ledelsesansvarlige eller indehaveren ved enkeltmandsvirksomhed, skal opfylde kravene i </w:t>
      </w:r>
      <w:r w:rsidR="00890B25" w:rsidRPr="00796736">
        <w:rPr>
          <w:rFonts w:ascii="Times New Roman" w:hAnsi="Times New Roman" w:cs="Times New Roman"/>
          <w:sz w:val="24"/>
          <w:szCs w:val="24"/>
        </w:rPr>
        <w:fldChar w:fldCharType="begin"/>
      </w:r>
      <w:r w:rsidR="00890B25" w:rsidRPr="00796736">
        <w:rPr>
          <w:rFonts w:ascii="Times New Roman" w:hAnsi="Times New Roman" w:cs="Times New Roman"/>
          <w:sz w:val="24"/>
          <w:szCs w:val="24"/>
        </w:rPr>
        <w:instrText xml:space="preserve"> REF _Ref232596960 \r \h </w:instrText>
      </w:r>
      <w:r w:rsidR="00967618" w:rsidRPr="00796736">
        <w:rPr>
          <w:rFonts w:ascii="Times New Roman" w:hAnsi="Times New Roman" w:cs="Times New Roman"/>
          <w:sz w:val="24"/>
          <w:szCs w:val="24"/>
        </w:rPr>
        <w:instrText xml:space="preserve"> \* MERGEFORMAT </w:instrText>
      </w:r>
      <w:r w:rsidR="00890B25" w:rsidRPr="00796736">
        <w:rPr>
          <w:rFonts w:ascii="Times New Roman" w:hAnsi="Times New Roman" w:cs="Times New Roman"/>
          <w:sz w:val="24"/>
          <w:szCs w:val="24"/>
        </w:rPr>
      </w:r>
      <w:r w:rsidR="00890B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890B25"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005C07B9" w:rsidRPr="00796736">
        <w:rPr>
          <w:rFonts w:ascii="Times New Roman" w:hAnsi="Times New Roman" w:cs="Times New Roman"/>
          <w:sz w:val="24"/>
          <w:szCs w:val="24"/>
        </w:rPr>
        <w:t xml:space="preserve"> </w:t>
      </w:r>
    </w:p>
    <w:p w14:paraId="2045D0F7" w14:textId="77777777" w:rsidR="005C07B9" w:rsidRPr="00796736" w:rsidRDefault="005C07B9" w:rsidP="00A802A5">
      <w:pPr>
        <w:spacing w:line="360" w:lineRule="auto"/>
        <w:rPr>
          <w:rFonts w:ascii="Times New Roman" w:hAnsi="Times New Roman" w:cs="Times New Roman"/>
          <w:sz w:val="24"/>
          <w:szCs w:val="24"/>
        </w:rPr>
      </w:pPr>
    </w:p>
    <w:p w14:paraId="1649E2B7" w14:textId="3E49B34D"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en virksomhed ikke kan registreres hos Finanstilsynet, hvis virksomheden har været pålagt strafansvar for overtrædelse af straffeloven, den finansielle lovgivning eller anden relevant lovgivning, </w:t>
      </w:r>
      <w:r w:rsidR="00156548" w:rsidRPr="00796736">
        <w:rPr>
          <w:rFonts w:ascii="Times New Roman" w:hAnsi="Times New Roman" w:cs="Times New Roman"/>
          <w:sz w:val="24"/>
          <w:szCs w:val="24"/>
        </w:rPr>
        <w:t>hvis</w:t>
      </w:r>
      <w:r w:rsidRPr="00796736">
        <w:rPr>
          <w:rFonts w:ascii="Times New Roman" w:hAnsi="Times New Roman" w:cs="Times New Roman"/>
          <w:sz w:val="24"/>
          <w:szCs w:val="24"/>
        </w:rPr>
        <w:t xml:space="preserve"> overtrædelsen indebærer en risiko for, at virksomheden kan misbruge registreringen. </w:t>
      </w:r>
    </w:p>
    <w:p w14:paraId="2B8B4B7E" w14:textId="77777777" w:rsidR="002177B8" w:rsidRPr="00796736" w:rsidRDefault="002177B8" w:rsidP="00A802A5">
      <w:pPr>
        <w:spacing w:line="360" w:lineRule="auto"/>
        <w:rPr>
          <w:rFonts w:ascii="Times New Roman" w:hAnsi="Times New Roman" w:cs="Times New Roman"/>
          <w:sz w:val="24"/>
          <w:szCs w:val="24"/>
        </w:rPr>
      </w:pPr>
    </w:p>
    <w:p w14:paraId="19DBDF6B"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Finanstilsynet kan inddrage registreringen, hvis virksomheden selv anmoder om det, hvis virksomheden ikke har udøvet den relevante aktivitet senest 12 måneder efter registreringen, eller hvis virksomheden ikke har udøvet den relevante aktivitet i en samlet periode på over 6 måneder. </w:t>
      </w:r>
    </w:p>
    <w:p w14:paraId="2316B9A8"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registreringen endvidere kan inddrages, hvis virksomheden er registreret på baggrund af urigtige eller vildledende oplysninger eller på anden uretmæssig vis, eller hvis virksomheden ikke længere opfylder betingelserne for registrering, herunder kravene til ledelse, hæderlighed, integritet eller uafhængighed. </w:t>
      </w:r>
    </w:p>
    <w:p w14:paraId="39DD14D5"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registreringen kan inddrages, hvis virksomheden er registreret som ophørt i Det Centrale Virksomhedsregister. </w:t>
      </w:r>
    </w:p>
    <w:p w14:paraId="71750F0F" w14:textId="731B646D"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endvidere, at registreringen kan inddrages, hvis virksomheden ikke overholder bestemmelserne</w:t>
      </w:r>
      <w:r w:rsidR="004D5B33" w:rsidRPr="00796736">
        <w:rPr>
          <w:rFonts w:ascii="Times New Roman" w:eastAsia="Calibri" w:hAnsi="Times New Roman" w:cs="Times New Roman"/>
          <w:sz w:val="24"/>
          <w:szCs w:val="24"/>
        </w:rPr>
        <w:t xml:space="preserve"> i </w:t>
      </w:r>
      <w:r w:rsidR="004D5B33" w:rsidRPr="00796736">
        <w:rPr>
          <w:rFonts w:ascii="Times New Roman" w:hAnsi="Times New Roman" w:cs="Times New Roman"/>
          <w:sz w:val="24"/>
          <w:szCs w:val="24"/>
        </w:rPr>
        <w:t xml:space="preserve">hvidvaskforordningen, denne lov, pengeoverførselsforordningen eller </w:t>
      </w:r>
      <w:r w:rsidR="004D5B33"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r w:rsidR="004D5B33" w:rsidRPr="00796736">
        <w:rPr>
          <w:rFonts w:ascii="Times New Roman" w:hAnsi="Times New Roman" w:cs="Times New Roman"/>
          <w:sz w:val="24"/>
          <w:szCs w:val="24"/>
        </w:rPr>
        <w:t>.</w:t>
      </w:r>
    </w:p>
    <w:p w14:paraId="7E8C61D0" w14:textId="634A80FE"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 nærmere henvises til lovforslagets §</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_Ref232596860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47</w:t>
      </w:r>
      <w:r w:rsidR="00890B25"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w:t>
      </w:r>
      <w:r w:rsidR="00890B25" w:rsidRPr="00796736">
        <w:rPr>
          <w:rFonts w:ascii="Times New Roman" w:eastAsia="Calibri" w:hAnsi="Times New Roman" w:cs="Times New Roman"/>
          <w:sz w:val="24"/>
          <w:szCs w:val="24"/>
        </w:rPr>
        <w:fldChar w:fldCharType="begin"/>
      </w:r>
      <w:r w:rsidR="00890B25" w:rsidRPr="00796736">
        <w:rPr>
          <w:rFonts w:ascii="Times New Roman" w:eastAsia="Calibri" w:hAnsi="Times New Roman" w:cs="Times New Roman"/>
          <w:sz w:val="24"/>
          <w:szCs w:val="24"/>
        </w:rPr>
        <w:instrText xml:space="preserve"> REF _Ref232596888 \r \h </w:instrText>
      </w:r>
      <w:r w:rsidR="00967618" w:rsidRPr="00796736">
        <w:rPr>
          <w:rFonts w:ascii="Times New Roman" w:eastAsia="Calibri" w:hAnsi="Times New Roman" w:cs="Times New Roman"/>
          <w:sz w:val="24"/>
          <w:szCs w:val="24"/>
        </w:rPr>
        <w:instrText xml:space="preserve"> \* MERGEFORMAT </w:instrText>
      </w:r>
      <w:r w:rsidR="00890B25" w:rsidRPr="00796736">
        <w:rPr>
          <w:rFonts w:ascii="Times New Roman" w:eastAsia="Calibri" w:hAnsi="Times New Roman" w:cs="Times New Roman"/>
          <w:sz w:val="24"/>
          <w:szCs w:val="24"/>
        </w:rPr>
      </w:r>
      <w:r w:rsidR="00890B2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xml:space="preserve"> 48</w:t>
      </w:r>
      <w:r w:rsidR="00890B25" w:rsidRPr="00796736">
        <w:rPr>
          <w:rFonts w:ascii="Times New Roman" w:eastAsia="Calibri" w:hAnsi="Times New Roman" w:cs="Times New Roman"/>
          <w:sz w:val="24"/>
          <w:szCs w:val="24"/>
        </w:rPr>
        <w:fldChar w:fldCharType="end"/>
      </w:r>
      <w:r w:rsidR="00890B25"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w:t>
      </w:r>
      <w:r w:rsidR="00156548" w:rsidRPr="00796736">
        <w:rPr>
          <w:rFonts w:ascii="Times New Roman" w:eastAsia="Calibri" w:hAnsi="Times New Roman" w:cs="Times New Roman"/>
          <w:sz w:val="24"/>
          <w:szCs w:val="24"/>
        </w:rPr>
        <w:t xml:space="preserve"> </w:t>
      </w:r>
      <w:r w:rsidR="00793D7F" w:rsidRPr="00796736">
        <w:rPr>
          <w:rFonts w:ascii="Times New Roman" w:eastAsia="Calibri" w:hAnsi="Times New Roman" w:cs="Times New Roman"/>
          <w:sz w:val="24"/>
          <w:szCs w:val="24"/>
        </w:rPr>
        <w:fldChar w:fldCharType="begin"/>
      </w:r>
      <w:r w:rsidR="00793D7F" w:rsidRPr="00796736">
        <w:rPr>
          <w:rFonts w:ascii="Times New Roman" w:eastAsia="Calibri" w:hAnsi="Times New Roman" w:cs="Times New Roman"/>
          <w:sz w:val="24"/>
          <w:szCs w:val="24"/>
        </w:rPr>
        <w:instrText xml:space="preserve"> REF _Ref232596992 \r \h </w:instrText>
      </w:r>
      <w:r w:rsidR="00967618" w:rsidRPr="00796736">
        <w:rPr>
          <w:rFonts w:ascii="Times New Roman" w:eastAsia="Calibri" w:hAnsi="Times New Roman" w:cs="Times New Roman"/>
          <w:sz w:val="24"/>
          <w:szCs w:val="24"/>
        </w:rPr>
        <w:instrText xml:space="preserve"> \* MERGEFORMAT </w:instrText>
      </w:r>
      <w:r w:rsidR="00793D7F" w:rsidRPr="00796736">
        <w:rPr>
          <w:rFonts w:ascii="Times New Roman" w:eastAsia="Calibri" w:hAnsi="Times New Roman" w:cs="Times New Roman"/>
          <w:sz w:val="24"/>
          <w:szCs w:val="24"/>
        </w:rPr>
      </w:r>
      <w:r w:rsidR="00793D7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xml:space="preserve"> 52</w:t>
      </w:r>
      <w:r w:rsidR="00793D7F" w:rsidRPr="00796736">
        <w:rPr>
          <w:rFonts w:ascii="Times New Roman" w:eastAsia="Calibri" w:hAnsi="Times New Roman" w:cs="Times New Roman"/>
          <w:sz w:val="24"/>
          <w:szCs w:val="24"/>
        </w:rPr>
        <w:fldChar w:fldCharType="end"/>
      </w:r>
      <w:r w:rsidR="00793D7F"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4060F647" w14:textId="2F2D9DB6" w:rsidR="003C1A7C" w:rsidRPr="00796736" w:rsidRDefault="00A319EA" w:rsidP="00A802A5">
      <w:pPr>
        <w:pStyle w:val="Overskrift2"/>
        <w:rPr>
          <w:rFonts w:ascii="Times New Roman" w:hAnsi="Times New Roman"/>
          <w:sz w:val="24"/>
        </w:rPr>
      </w:pPr>
      <w:bookmarkStart w:id="1258" w:name="_Toc232109173"/>
      <w:bookmarkStart w:id="1259" w:name="_Ref232948740"/>
      <w:bookmarkStart w:id="1260" w:name="_Toc244880764"/>
      <w:r w:rsidRPr="00796736">
        <w:rPr>
          <w:rFonts w:ascii="Times New Roman" w:hAnsi="Times New Roman"/>
          <w:sz w:val="24"/>
        </w:rPr>
        <w:t>Underretning til Finanstilsynet ved ændringer i forhold ved registrering</w:t>
      </w:r>
      <w:bookmarkEnd w:id="1258"/>
      <w:bookmarkEnd w:id="1259"/>
      <w:bookmarkEnd w:id="1260"/>
    </w:p>
    <w:p w14:paraId="62D4D3FD" w14:textId="3E3467E9" w:rsidR="003C1A7C" w:rsidRPr="00796736" w:rsidRDefault="003C1A7C" w:rsidP="00A802A5">
      <w:pPr>
        <w:pStyle w:val="Overskrift4"/>
        <w:rPr>
          <w:rFonts w:ascii="Times New Roman" w:hAnsi="Times New Roman" w:cs="Times New Roman"/>
          <w:sz w:val="24"/>
          <w:szCs w:val="24"/>
        </w:rPr>
      </w:pPr>
      <w:bookmarkStart w:id="1261" w:name="_Toc232109174"/>
      <w:r w:rsidRPr="00796736">
        <w:rPr>
          <w:rFonts w:ascii="Times New Roman" w:hAnsi="Times New Roman" w:cs="Times New Roman"/>
          <w:sz w:val="24"/>
          <w:szCs w:val="24"/>
        </w:rPr>
        <w:t>Gældende ret</w:t>
      </w:r>
      <w:bookmarkEnd w:id="1261"/>
    </w:p>
    <w:p w14:paraId="7EAD0FF6" w14:textId="5E0F58FE" w:rsidR="00A319EA" w:rsidRPr="00796736" w:rsidRDefault="00A319E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gældende ret er der i hvidvaskloven ikke en generel og udtrykkelig pligt for virksomheder og personer, der er registreret hos Finanstilsynet, til at underrette tilsynet om ændringer i de forhold, der har været afgørende for registreringen. </w:t>
      </w:r>
    </w:p>
    <w:p w14:paraId="19D574B8" w14:textId="0857C82D" w:rsidR="003C1A7C" w:rsidRPr="00796736" w:rsidRDefault="003C1A7C" w:rsidP="00A802A5">
      <w:pPr>
        <w:pStyle w:val="Overskrift4"/>
        <w:rPr>
          <w:rFonts w:ascii="Times New Roman" w:hAnsi="Times New Roman" w:cs="Times New Roman"/>
          <w:sz w:val="24"/>
          <w:szCs w:val="24"/>
        </w:rPr>
      </w:pPr>
      <w:bookmarkStart w:id="1262" w:name="_Toc232109175"/>
      <w:r w:rsidRPr="00796736">
        <w:rPr>
          <w:rFonts w:ascii="Times New Roman" w:hAnsi="Times New Roman" w:cs="Times New Roman"/>
          <w:sz w:val="24"/>
          <w:szCs w:val="24"/>
        </w:rPr>
        <w:t>6. hvidvaskdirektiv</w:t>
      </w:r>
      <w:bookmarkEnd w:id="1262"/>
    </w:p>
    <w:p w14:paraId="7ACE37E4" w14:textId="1B31D889" w:rsidR="00EE2C3B" w:rsidRPr="00796736" w:rsidRDefault="00EE2C3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følger af artikel </w:t>
      </w:r>
      <w:r w:rsidR="00AF0A1A" w:rsidRPr="00796736">
        <w:rPr>
          <w:rFonts w:ascii="Times New Roman" w:eastAsia="Calibri" w:hAnsi="Times New Roman" w:cs="Times New Roman"/>
          <w:sz w:val="24"/>
          <w:szCs w:val="24"/>
        </w:rPr>
        <w:t xml:space="preserve">6, stk. 3, i 6. hvidvaskdirektiv, at medlemsstaterne skal sikre, at tilsynsorganerne på et risikofølsomt grundlag kontrollerer, om kravene i stk. 1 og 2 fortsat er opfyldt. </w:t>
      </w:r>
      <w:r w:rsidR="008D6271" w:rsidRPr="00796736">
        <w:rPr>
          <w:rFonts w:ascii="Times New Roman" w:eastAsia="Calibri" w:hAnsi="Times New Roman" w:cs="Times New Roman"/>
          <w:sz w:val="24"/>
          <w:szCs w:val="24"/>
        </w:rPr>
        <w:t>Medlemsstaterne skal</w:t>
      </w:r>
      <w:r w:rsidR="00AF0A1A" w:rsidRPr="00796736">
        <w:rPr>
          <w:rFonts w:ascii="Times New Roman" w:eastAsia="Calibri" w:hAnsi="Times New Roman" w:cs="Times New Roman"/>
          <w:sz w:val="24"/>
          <w:szCs w:val="24"/>
        </w:rPr>
        <w:t xml:space="preserve"> navnlig</w:t>
      </w:r>
      <w:r w:rsidR="008D6271" w:rsidRPr="00796736">
        <w:rPr>
          <w:rFonts w:ascii="Times New Roman" w:eastAsia="Calibri" w:hAnsi="Times New Roman" w:cs="Times New Roman"/>
          <w:sz w:val="24"/>
          <w:szCs w:val="24"/>
        </w:rPr>
        <w:t xml:space="preserve"> kontrollere</w:t>
      </w:r>
      <w:r w:rsidR="00AF0A1A" w:rsidRPr="00796736">
        <w:rPr>
          <w:rFonts w:ascii="Times New Roman" w:eastAsia="Calibri" w:hAnsi="Times New Roman" w:cs="Times New Roman"/>
          <w:sz w:val="24"/>
          <w:szCs w:val="24"/>
        </w:rPr>
        <w:t>, om den øverste ledelse i forpligtede enheder, der er omhandlet i stk. 1, har et godt omdømme, handler med hæderlighed og integritet og besidder den viden og ekspertise, der er nødvendig for, at den kan udføre sine opgaver i tilfælde, hvor der er rimelig grund til at formode, at der begås eller er blevet begået eller forsøgt begået hvidvask af penge eller finansiering af terrorisme, eller der er øget risiko herfor i en forpligtet enhed.</w:t>
      </w:r>
    </w:p>
    <w:p w14:paraId="2CEB6839" w14:textId="626F6E60" w:rsidR="003C1A7C" w:rsidRPr="00796736" w:rsidRDefault="00A319EA" w:rsidP="00A802A5">
      <w:pPr>
        <w:pStyle w:val="Overskrift4"/>
        <w:rPr>
          <w:rFonts w:ascii="Times New Roman" w:hAnsi="Times New Roman" w:cs="Times New Roman"/>
          <w:sz w:val="24"/>
          <w:szCs w:val="24"/>
        </w:rPr>
      </w:pPr>
      <w:bookmarkStart w:id="1263" w:name="_Toc232109176"/>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w:t>
      </w:r>
      <w:r w:rsidR="003C1A7C" w:rsidRPr="00796736">
        <w:rPr>
          <w:rFonts w:ascii="Times New Roman" w:hAnsi="Times New Roman" w:cs="Times New Roman"/>
          <w:sz w:val="24"/>
          <w:szCs w:val="24"/>
        </w:rPr>
        <w:t xml:space="preserve"> overvejelser og den foreslåede ordning</w:t>
      </w:r>
      <w:bookmarkEnd w:id="1263"/>
      <w:r w:rsidR="003C1A7C" w:rsidRPr="00796736">
        <w:rPr>
          <w:rFonts w:ascii="Times New Roman" w:hAnsi="Times New Roman" w:cs="Times New Roman"/>
          <w:sz w:val="24"/>
          <w:szCs w:val="24"/>
        </w:rPr>
        <w:t xml:space="preserve"> </w:t>
      </w:r>
    </w:p>
    <w:p w14:paraId="64EEE102" w14:textId="028F1DB0"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Vækstministeriet har vurderet, at der er behov for at indføre en klar og generel underretningspligt for virksomheder og personer, der er registreret hos Finanstilsynet. Formålet er at sikre, at Finanstilsynet til enhver tid har adgang til opdaterede og korrekte oplysninger om de forhold, der har været afgørende for registreringen, </w:t>
      </w:r>
      <w:r w:rsidR="00156548" w:rsidRPr="00796736">
        <w:rPr>
          <w:rFonts w:ascii="Times New Roman" w:eastAsia="Calibri" w:hAnsi="Times New Roman" w:cs="Times New Roman"/>
          <w:sz w:val="24"/>
          <w:szCs w:val="24"/>
        </w:rPr>
        <w:t>så</w:t>
      </w:r>
      <w:r w:rsidRPr="00796736">
        <w:rPr>
          <w:rFonts w:ascii="Times New Roman" w:eastAsia="Calibri" w:hAnsi="Times New Roman" w:cs="Times New Roman"/>
          <w:sz w:val="24"/>
          <w:szCs w:val="24"/>
        </w:rPr>
        <w:t xml:space="preserve"> tilsynet kan vurdere, om virksomheden fortsat opfylder betingelserne for registrering. Skatte- og Vækstministeriet har lagt vægt på, at en sådan underretningspligt vil understøtte et effektivt og risikobaseret tilsyn, som krævet efter 6. hvidvaskdirektiv, og bidrage til at opretholde tilliden til det finansielle system.</w:t>
      </w:r>
    </w:p>
    <w:p w14:paraId="3B3B018A" w14:textId="08563E64"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er Skatte- og Vækstministeriets vurdering, at det er hensigtsmæssigt at fastsætte en frist for underretning og at præcisere, hvilke ændringer</w:t>
      </w:r>
      <w:r w:rsidR="00156548" w:rsidRPr="00796736">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der skal meddeles til Finanstilsynet. Dette vil skabe klarhed for virksomhederne og sikre, at tilsynet hurtigt kan reagere på ændringer, der kan have betydning for registreringen.</w:t>
      </w:r>
    </w:p>
    <w:p w14:paraId="61B6CF9E"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indføre en generel pligt for virksomheder og personer, der er registreret hos Finanstilsynet, til at underrette Finanstilsynet, hvis der indtræder ændringer i forhold til de oplysninger, som tilsynet har modtaget og lagt til grund ved registreringen. Underretningen skal ske senest 2 uger efter, at ændringen er indtrådt.</w:t>
      </w:r>
    </w:p>
    <w:p w14:paraId="45E60CD8" w14:textId="3C75FCCF" w:rsidR="00A319EA" w:rsidRPr="00796736" w:rsidRDefault="00A319E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793D7F" w:rsidRPr="00796736">
        <w:rPr>
          <w:rFonts w:ascii="Times New Roman" w:eastAsia="Calibri" w:hAnsi="Times New Roman" w:cs="Times New Roman"/>
          <w:sz w:val="24"/>
          <w:szCs w:val="24"/>
        </w:rPr>
        <w:fldChar w:fldCharType="begin"/>
      </w:r>
      <w:r w:rsidR="00793D7F" w:rsidRPr="00796736">
        <w:rPr>
          <w:rFonts w:ascii="Times New Roman" w:eastAsia="Calibri" w:hAnsi="Times New Roman" w:cs="Times New Roman"/>
          <w:sz w:val="24"/>
          <w:szCs w:val="24"/>
        </w:rPr>
        <w:instrText xml:space="preserve"> REF _Ref232596904 \r \h </w:instrText>
      </w:r>
      <w:r w:rsidR="00967618" w:rsidRPr="00796736">
        <w:rPr>
          <w:rFonts w:ascii="Times New Roman" w:eastAsia="Calibri" w:hAnsi="Times New Roman" w:cs="Times New Roman"/>
          <w:sz w:val="24"/>
          <w:szCs w:val="24"/>
        </w:rPr>
        <w:instrText xml:space="preserve"> \* MERGEFORMAT </w:instrText>
      </w:r>
      <w:r w:rsidR="00793D7F" w:rsidRPr="00796736">
        <w:rPr>
          <w:rFonts w:ascii="Times New Roman" w:eastAsia="Calibri" w:hAnsi="Times New Roman" w:cs="Times New Roman"/>
          <w:sz w:val="24"/>
          <w:szCs w:val="24"/>
        </w:rPr>
      </w:r>
      <w:r w:rsidR="00793D7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49</w:t>
      </w:r>
      <w:r w:rsidR="00793D7F" w:rsidRPr="00796736">
        <w:rPr>
          <w:rFonts w:ascii="Times New Roman" w:eastAsia="Calibri" w:hAnsi="Times New Roman" w:cs="Times New Roman"/>
          <w:sz w:val="24"/>
          <w:szCs w:val="24"/>
        </w:rPr>
        <w:fldChar w:fldCharType="end"/>
      </w:r>
      <w:r w:rsidR="00793D7F"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7FEE4989" w14:textId="6B55289B" w:rsidR="003C1A7C" w:rsidRPr="00796736" w:rsidRDefault="002177B8" w:rsidP="00A802A5">
      <w:pPr>
        <w:pStyle w:val="Overskrift2"/>
        <w:rPr>
          <w:rFonts w:ascii="Times New Roman" w:hAnsi="Times New Roman"/>
          <w:sz w:val="24"/>
        </w:rPr>
      </w:pPr>
      <w:bookmarkStart w:id="1264" w:name="_Ref232948941"/>
      <w:bookmarkStart w:id="1265" w:name="_Toc244880765"/>
      <w:r w:rsidRPr="00796736">
        <w:rPr>
          <w:rFonts w:ascii="Times New Roman" w:hAnsi="Times New Roman"/>
          <w:sz w:val="24"/>
        </w:rPr>
        <w:t>Indsendelse af erklæring og egnethed- og hæderlighedskrav i relation til registrering hos Finanstilsynet</w:t>
      </w:r>
      <w:bookmarkEnd w:id="1264"/>
      <w:bookmarkEnd w:id="1265"/>
    </w:p>
    <w:p w14:paraId="73880613" w14:textId="5F65B65C" w:rsidR="003C1A7C" w:rsidRPr="00796736" w:rsidRDefault="003C1A7C" w:rsidP="00A802A5">
      <w:pPr>
        <w:pStyle w:val="Overskrift4"/>
        <w:rPr>
          <w:rFonts w:ascii="Times New Roman" w:hAnsi="Times New Roman" w:cs="Times New Roman"/>
          <w:sz w:val="24"/>
          <w:szCs w:val="24"/>
        </w:rPr>
      </w:pPr>
      <w:bookmarkStart w:id="1266" w:name="_Toc232109178"/>
      <w:r w:rsidRPr="00796736">
        <w:rPr>
          <w:rFonts w:ascii="Times New Roman" w:hAnsi="Times New Roman" w:cs="Times New Roman"/>
          <w:sz w:val="24"/>
          <w:szCs w:val="24"/>
        </w:rPr>
        <w:t>Gældende ret</w:t>
      </w:r>
      <w:bookmarkEnd w:id="1266"/>
    </w:p>
    <w:p w14:paraId="6031126E" w14:textId="74C9CA45" w:rsidR="00A319EA" w:rsidRPr="00796736" w:rsidRDefault="00A319E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gældende ret er der ikke en pligt for registrerede virksomheder til årligt at indsende en erklæring til Finanstilsynet om fortsat opfyldelse af registreringsbetingelserne eller en opdateret oversigt over ledelse og ejere af kvalificerede andele. Finanstilsynet kan dog i praksis anmode om oplysninger, hvis der opstår tvivl om, hvorvidt en virksomhed fortsat opfylder betingelserne for registrering, men der er ikke fastsat en systematisk og tilbagevendende indberetningspligt i loven. </w:t>
      </w:r>
    </w:p>
    <w:p w14:paraId="5BBFBDD0" w14:textId="3AA4B76A"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hvidvasklovens § 48, stk. 2 og 3, gælder det desuden, at medlemmer af virksomhedens øverste eller daglige ledelse, samt personer og virksomheder, der er registreringspligtige efter hvidvaskloven, ikke må være pålagt strafansvar for overtrædelse af straffeloven, den finansielle lovgivning eller anden relevant lovgivning, hvis overtrædelsen indebærer risiko for, at vedkommende ikke kan varetage sit hverv eller sin stilling på betryggende måde. Finanstilsynet skal endvidere undlade at registrere en virksomhed, hvis virksomheden eller dens reelle ejere er pålagt strafansvar for sådanne overtrædelser, og dette begrunder en risiko for misbrug af registreringen eller den kontrollerende indflydelse.</w:t>
      </w:r>
      <w:r w:rsidR="00156548" w:rsidRPr="00796736">
        <w:rPr>
          <w:rFonts w:ascii="Times New Roman" w:eastAsia="Calibri" w:hAnsi="Times New Roman" w:cs="Times New Roman"/>
          <w:sz w:val="24"/>
          <w:szCs w:val="24"/>
        </w:rPr>
        <w:t xml:space="preserve"> Kravene skal til en hver tid forsat være opfyldt.</w:t>
      </w:r>
    </w:p>
    <w:p w14:paraId="4A9DB2A0" w14:textId="77777777" w:rsidR="00D8638C" w:rsidRPr="00796736" w:rsidRDefault="00D8638C"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6. hvidvaskdirektiv</w:t>
      </w:r>
    </w:p>
    <w:p w14:paraId="7DB17622" w14:textId="69A38B37" w:rsidR="00D8638C" w:rsidRPr="00796736" w:rsidRDefault="00D8638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artikel 6, stk. 3, i 6. hvidvaskdirektiv, at medlemsstaterne skal sikre, at tilsynsorganerne på et risikofølsomt grundlag kontrollerer, om kravene i stk. 1 og 2 fortsat er opfyldt. Medlemsstaterne skal navnlig kontrollere, om den øverste ledelse i forpligtede enheder, der er omhandlet i stk. 1, har et godt omdømme, handler med hæderlighed og integritet og besidder den viden og ekspertise, der er nødvendig for, at den kan udføre sine opgaver i tilfælde, hvor der er rimelig grund til at formode, at der begås eller er blevet begået eller forsøgt begået hvidvask af penge eller finansiering af terrorisme, eller der er øget risiko herfor i en forpligtet enhed.</w:t>
      </w:r>
    </w:p>
    <w:p w14:paraId="66B66361" w14:textId="2B6428B0" w:rsidR="003C1A7C" w:rsidRPr="00796736" w:rsidRDefault="00A319EA" w:rsidP="00A802A5">
      <w:pPr>
        <w:pStyle w:val="Overskrift4"/>
        <w:rPr>
          <w:rFonts w:ascii="Times New Roman" w:hAnsi="Times New Roman" w:cs="Times New Roman"/>
          <w:sz w:val="24"/>
          <w:szCs w:val="24"/>
        </w:rPr>
      </w:pPr>
      <w:bookmarkStart w:id="1267" w:name="_Toc232109179"/>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w:t>
      </w:r>
      <w:r w:rsidR="003C1A7C" w:rsidRPr="00796736">
        <w:rPr>
          <w:rFonts w:ascii="Times New Roman" w:hAnsi="Times New Roman" w:cs="Times New Roman"/>
          <w:sz w:val="24"/>
          <w:szCs w:val="24"/>
        </w:rPr>
        <w:t xml:space="preserve"> overvejelser og den foreslåede ordning</w:t>
      </w:r>
      <w:bookmarkEnd w:id="1267"/>
      <w:r w:rsidR="003C1A7C" w:rsidRPr="00796736">
        <w:rPr>
          <w:rFonts w:ascii="Times New Roman" w:hAnsi="Times New Roman" w:cs="Times New Roman"/>
          <w:sz w:val="24"/>
          <w:szCs w:val="24"/>
        </w:rPr>
        <w:t xml:space="preserve"> </w:t>
      </w:r>
    </w:p>
    <w:p w14:paraId="2BDCB081"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Vækstministeriet har vurderet, at der er behov for at indføre en årlig erklæringspligt for visse registrerede virksomheder for at sikre, at Finanstilsynet løbende har adgang til opdaterede og korrekte oplysninger om virksomhedens ledelse og ejerskab, og at virksomheden til stadighed lever op til de krav, der er fastsat for registrering. En årlig erklæringspligt vil understøtte et effektivt og betryggende tilsyn og bidrage til at opretholde tilliden til det finansielle system. </w:t>
      </w:r>
    </w:p>
    <w:p w14:paraId="4C6C0201"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Skatte- og Vækstministeriet har endvidere lagt vægt på, at en sådan pligt vil skabe klarhed for virksomhederne om deres forpligtelser og sikre, at tilsynet hurtigt kan reagere, hvis en virksomhed ikke længere opfylder betingelserne for registrering.</w:t>
      </w:r>
    </w:p>
    <w:p w14:paraId="6695C298" w14:textId="2CFC04F0"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Vækstministeriet vurderer endvidere, at </w:t>
      </w:r>
      <w:r w:rsidR="00D8638C" w:rsidRPr="00796736">
        <w:rPr>
          <w:rFonts w:ascii="Times New Roman" w:eastAsia="Calibri" w:hAnsi="Times New Roman" w:cs="Times New Roman"/>
          <w:sz w:val="24"/>
          <w:szCs w:val="24"/>
        </w:rPr>
        <w:t xml:space="preserve">videreføre </w:t>
      </w:r>
      <w:r w:rsidRPr="00796736">
        <w:rPr>
          <w:rFonts w:ascii="Times New Roman" w:eastAsia="Calibri" w:hAnsi="Times New Roman" w:cs="Times New Roman"/>
          <w:sz w:val="24"/>
          <w:szCs w:val="24"/>
        </w:rPr>
        <w:t xml:space="preserve">kravene til hæderlighed for ledelsesmedlemmer, ledelsesansvarlige og </w:t>
      </w:r>
      <w:r w:rsidR="00D8638C" w:rsidRPr="00796736">
        <w:rPr>
          <w:rFonts w:ascii="Times New Roman" w:eastAsia="Calibri" w:hAnsi="Times New Roman" w:cs="Times New Roman"/>
          <w:sz w:val="24"/>
          <w:szCs w:val="24"/>
        </w:rPr>
        <w:t xml:space="preserve">reelle ejere </w:t>
      </w:r>
      <w:r w:rsidRPr="00796736">
        <w:rPr>
          <w:rFonts w:ascii="Times New Roman" w:eastAsia="Calibri" w:hAnsi="Times New Roman" w:cs="Times New Roman"/>
          <w:sz w:val="24"/>
          <w:szCs w:val="24"/>
        </w:rPr>
        <w:t>i registreringspligtige virksomheder. Personer med væsentlig indflydelse i virksomheder under Finanstilsynets tilsyn skal opfylde krav om godt omdømme, hæderlighed, integritet og uafhængighed, og må ikke være under rekonstruktionsbehandling, konkurs eller gældssanering, eller have udvist adfærd, der giver grund til at antage, at de ikke vil varetage hvervet eller stillingen på forsvarlig vis. For finansielle holdingselskaber med blandet aktivitet stilles der desuden krav om, at ledelsen besidder tilstrækkelig viden, faglig kompetence og erfaring.</w:t>
      </w:r>
    </w:p>
    <w:p w14:paraId="1A572015"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Kravene skal være opfyldt til enhver tid, fra det tidspunkt hvor personen tiltræder hvervet eller stillingen, og i hele perioden, hvor funktionen varetages. Finanstilsynet foretager en konkret vurdering af, om kravene er opfyldt, og kan nægte registrering, hvis betingelserne ikke er opfyldt. Hvis Finanstilsynet vurderer, at en person ikke opfylder kravene, skal afgørelsen indeholde en angivelse af, hvor længe afgørelsen har virkning. Varigheden fastsættes ud fra en konkret vurdering af forholdets karakter og omfang, og kan som udgangspunkt fastsættes fra et år til fem år, eller i særligt alvorlige tilfælde til indtil videre. Finanstilsynet får mulighed for i særlige tilfælde at meddele en betinget godkendelse, hvor en person, der endnu ikke fuldt ud opfylder alle krav, kan anses for egnet, hvis visse konkrete og målbare betingelser opfyldes inden for en nærmere fastsat periode.</w:t>
      </w:r>
    </w:p>
    <w:p w14:paraId="1B767775"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Udvidelsen af kravene til ledelse og ejere har til formål at sikre, at registrering kun kan opnås af personer med den nødvendige integritet, kompetence og hæderlighed. Betingelser understøtter en forsvarlig ledelse af virksomhederne og giver Finanstilsynet et styrket grundlag for effektivt tilsyn. Samtidig harmoniseres kravene til ledelsen m.fl. i registreringspligtige virksomheder med de krav, der gælder for ledelse og nøglepersoner i øvrige finansielle love. </w:t>
      </w:r>
    </w:p>
    <w:p w14:paraId="0A417178" w14:textId="5B56336B" w:rsidR="00A319EA" w:rsidRPr="00796736" w:rsidRDefault="00A319E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w:t>
      </w:r>
      <w:r w:rsidR="002177B8" w:rsidRPr="00796736">
        <w:rPr>
          <w:rFonts w:ascii="Times New Roman" w:eastAsia="Calibri" w:hAnsi="Times New Roman" w:cs="Times New Roman"/>
          <w:sz w:val="24"/>
          <w:szCs w:val="24"/>
        </w:rPr>
        <w:t xml:space="preserve">at indføre </w:t>
      </w:r>
      <w:r w:rsidRPr="00796736">
        <w:rPr>
          <w:rFonts w:ascii="Times New Roman" w:eastAsia="Calibri" w:hAnsi="Times New Roman" w:cs="Times New Roman"/>
          <w:sz w:val="24"/>
          <w:szCs w:val="24"/>
        </w:rPr>
        <w:t>en årlig pligt for virksomheder, der er registreret hos Finanstilsynet i henhold til § 4</w:t>
      </w:r>
      <w:r w:rsidR="003B2C20" w:rsidRPr="00796736">
        <w:rPr>
          <w:rFonts w:ascii="Times New Roman" w:eastAsia="Calibri" w:hAnsi="Times New Roman" w:cs="Times New Roman"/>
          <w:sz w:val="24"/>
          <w:szCs w:val="24"/>
        </w:rPr>
        <w:t>6</w:t>
      </w:r>
      <w:r w:rsidRPr="00796736">
        <w:rPr>
          <w:rFonts w:ascii="Times New Roman" w:eastAsia="Calibri" w:hAnsi="Times New Roman" w:cs="Times New Roman"/>
          <w:sz w:val="24"/>
          <w:szCs w:val="24"/>
        </w:rPr>
        <w:t xml:space="preserve">, stk. 1 og 2, med undtagelse af virksomheder og personer omfattet af § </w:t>
      </w:r>
      <w:r w:rsidR="00BE136F" w:rsidRPr="00796736">
        <w:rPr>
          <w:rFonts w:ascii="Times New Roman" w:eastAsia="Calibri" w:hAnsi="Times New Roman" w:cs="Times New Roman"/>
          <w:sz w:val="24"/>
          <w:szCs w:val="24"/>
        </w:rPr>
        <w:t>2</w:t>
      </w:r>
      <w:r w:rsidRPr="00796736">
        <w:rPr>
          <w:rFonts w:ascii="Times New Roman" w:eastAsia="Calibri" w:hAnsi="Times New Roman" w:cs="Times New Roman"/>
          <w:sz w:val="24"/>
          <w:szCs w:val="24"/>
        </w:rPr>
        <w:t xml:space="preserve">, nr. 8, til senest den 1. april at indsende en erklæring om, at virksomheden fortsat opfylder betingelserne for registrering. Samtidig skal virksomheden indsende en opdateret oversigt over ledelsen og eventuelle </w:t>
      </w:r>
      <w:r w:rsidR="00D8638C" w:rsidRPr="00796736">
        <w:rPr>
          <w:rFonts w:ascii="Times New Roman" w:eastAsia="Calibri" w:hAnsi="Times New Roman" w:cs="Times New Roman"/>
          <w:sz w:val="24"/>
          <w:szCs w:val="24"/>
        </w:rPr>
        <w:t>reelle ejere.</w:t>
      </w:r>
    </w:p>
    <w:p w14:paraId="023A47C7" w14:textId="14FF6D9C"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endvidere at fastsætte de nærmere krav til egnethed og hæderlighed for medlemmer af bestyrelsen og direktionen i virksomheder, der er registreringspligtige efter § 46, stk. 1 og 2, herunder for ledelsesansvarlige i virksomheder uden bestyrelse eller direktion samt </w:t>
      </w:r>
      <w:r w:rsidR="00D8638C" w:rsidRPr="00796736">
        <w:rPr>
          <w:rFonts w:ascii="Times New Roman" w:eastAsia="Calibri" w:hAnsi="Times New Roman" w:cs="Times New Roman"/>
          <w:sz w:val="24"/>
          <w:szCs w:val="24"/>
        </w:rPr>
        <w:t xml:space="preserve">virksomhedens </w:t>
      </w:r>
      <w:r w:rsidRPr="00796736">
        <w:rPr>
          <w:rFonts w:ascii="Times New Roman" w:eastAsia="Calibri" w:hAnsi="Times New Roman" w:cs="Times New Roman"/>
          <w:sz w:val="24"/>
          <w:szCs w:val="24"/>
        </w:rPr>
        <w:t>reelle ejere. Kravene har til formål at sikre en sund og sikker ledelse af de omfattede virksomheder og at fremme tilliden til den finansielle sektor.</w:t>
      </w:r>
    </w:p>
    <w:p w14:paraId="10E03BDE"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for finansielle holdingselskaber med blandet aktivitet stilles der desuden krav om, at ledelsen besidder tilstrækkelig viden, faglig kompetence og erfaring. Kravene skal være opfyldt til enhver tid, fra det tidspunkt hvor personen tiltræder hvervet eller stillingen, og i hele perioden, hvor funktionen varetages.</w:t>
      </w:r>
    </w:p>
    <w:p w14:paraId="05656B54" w14:textId="77777777"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Finanstilsynet foretager en konkret vurdering af, om kravene er opfyldt, og kan nægte registrering, hvis betingelserne ikke er opfyldt. Hvis Finanstilsynet vurderer, at en person ikke opfylder kravene, skal afgørelsen indeholde en angivelse af, hvor længe afgørelsen har virkning. Varigheden fastsættes ud fra en konkret vurdering af forholdets karakter og omfang, og kan som udgangspunkt fastsættes fra et år til fem år, eller i særligt alvorlige tilfælde til indtil videre.</w:t>
      </w:r>
    </w:p>
    <w:p w14:paraId="38968A09" w14:textId="71E118A4" w:rsidR="002177B8" w:rsidRPr="00796736" w:rsidRDefault="002177B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Finanstilsynet får mulighed for i særlige tilfælde at meddele en betinget godkendelse, hvor en person, der endnu ikke fuldt ud opfylder alle krav, kan anses for egnet, hvis visse konkrete og målbare betingelser opfyldes inden for en nærmere fastsat periode.</w:t>
      </w:r>
    </w:p>
    <w:p w14:paraId="0EC80FED" w14:textId="0691AF6D" w:rsidR="00A319EA" w:rsidRPr="00796736" w:rsidRDefault="00A319E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 nærmere henvises til lovforslagets §</w:t>
      </w:r>
      <w:r w:rsidR="00793D7F" w:rsidRPr="00796736">
        <w:rPr>
          <w:rFonts w:ascii="Times New Roman" w:eastAsia="Calibri" w:hAnsi="Times New Roman" w:cs="Times New Roman"/>
          <w:sz w:val="24"/>
          <w:szCs w:val="24"/>
        </w:rPr>
        <w:fldChar w:fldCharType="begin"/>
      </w:r>
      <w:r w:rsidR="00793D7F" w:rsidRPr="00796736">
        <w:rPr>
          <w:rFonts w:ascii="Times New Roman" w:eastAsia="Calibri" w:hAnsi="Times New Roman" w:cs="Times New Roman"/>
          <w:sz w:val="24"/>
          <w:szCs w:val="24"/>
        </w:rPr>
        <w:instrText xml:space="preserve"> REF _Ref232596931 \r \h </w:instrText>
      </w:r>
      <w:r w:rsidR="00967618" w:rsidRPr="00796736">
        <w:rPr>
          <w:rFonts w:ascii="Times New Roman" w:eastAsia="Calibri" w:hAnsi="Times New Roman" w:cs="Times New Roman"/>
          <w:sz w:val="24"/>
          <w:szCs w:val="24"/>
        </w:rPr>
        <w:instrText xml:space="preserve"> \* MERGEFORMAT </w:instrText>
      </w:r>
      <w:r w:rsidR="00793D7F" w:rsidRPr="00796736">
        <w:rPr>
          <w:rFonts w:ascii="Times New Roman" w:eastAsia="Calibri" w:hAnsi="Times New Roman" w:cs="Times New Roman"/>
          <w:sz w:val="24"/>
          <w:szCs w:val="24"/>
        </w:rPr>
      </w:r>
      <w:r w:rsidR="00793D7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50</w:t>
      </w:r>
      <w:r w:rsidR="00793D7F" w:rsidRPr="00796736">
        <w:rPr>
          <w:rFonts w:ascii="Times New Roman" w:eastAsia="Calibri" w:hAnsi="Times New Roman" w:cs="Times New Roman"/>
          <w:sz w:val="24"/>
          <w:szCs w:val="24"/>
        </w:rPr>
        <w:fldChar w:fldCharType="end"/>
      </w:r>
      <w:r w:rsidR="002177B8" w:rsidRPr="00796736">
        <w:rPr>
          <w:rFonts w:ascii="Times New Roman" w:eastAsia="Calibri" w:hAnsi="Times New Roman" w:cs="Times New Roman"/>
          <w:sz w:val="24"/>
          <w:szCs w:val="24"/>
        </w:rPr>
        <w:t xml:space="preserve"> og </w:t>
      </w:r>
      <w:r w:rsidR="00793D7F" w:rsidRPr="00796736">
        <w:rPr>
          <w:rFonts w:ascii="Times New Roman" w:eastAsia="Calibri" w:hAnsi="Times New Roman" w:cs="Times New Roman"/>
          <w:sz w:val="24"/>
          <w:szCs w:val="24"/>
        </w:rPr>
        <w:fldChar w:fldCharType="begin"/>
      </w:r>
      <w:r w:rsidR="00793D7F" w:rsidRPr="00796736">
        <w:rPr>
          <w:rFonts w:ascii="Times New Roman" w:eastAsia="Calibri" w:hAnsi="Times New Roman" w:cs="Times New Roman"/>
          <w:sz w:val="24"/>
          <w:szCs w:val="24"/>
        </w:rPr>
        <w:instrText xml:space="preserve"> REF _Ref232596960 \r \h </w:instrText>
      </w:r>
      <w:r w:rsidR="00967618" w:rsidRPr="00796736">
        <w:rPr>
          <w:rFonts w:ascii="Times New Roman" w:eastAsia="Calibri" w:hAnsi="Times New Roman" w:cs="Times New Roman"/>
          <w:sz w:val="24"/>
          <w:szCs w:val="24"/>
        </w:rPr>
        <w:instrText xml:space="preserve"> \* MERGEFORMAT </w:instrText>
      </w:r>
      <w:r w:rsidR="00793D7F" w:rsidRPr="00796736">
        <w:rPr>
          <w:rFonts w:ascii="Times New Roman" w:eastAsia="Calibri" w:hAnsi="Times New Roman" w:cs="Times New Roman"/>
          <w:sz w:val="24"/>
          <w:szCs w:val="24"/>
        </w:rPr>
      </w:r>
      <w:r w:rsidR="00793D7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51</w:t>
      </w:r>
      <w:r w:rsidR="00793D7F" w:rsidRPr="00796736">
        <w:rPr>
          <w:rFonts w:ascii="Times New Roman" w:eastAsia="Calibri" w:hAnsi="Times New Roman" w:cs="Times New Roman"/>
          <w:sz w:val="24"/>
          <w:szCs w:val="24"/>
        </w:rPr>
        <w:fldChar w:fldCharType="end"/>
      </w:r>
      <w:r w:rsidR="003B2C20"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03AC1EFB" w14:textId="2F61CE61" w:rsidR="004C0294" w:rsidRPr="00796736" w:rsidRDefault="00AE7E71" w:rsidP="00A802A5">
      <w:pPr>
        <w:pStyle w:val="Overskrift2"/>
        <w:rPr>
          <w:rFonts w:ascii="Times New Roman" w:hAnsi="Times New Roman"/>
          <w:sz w:val="24"/>
        </w:rPr>
      </w:pPr>
      <w:bookmarkStart w:id="1268" w:name="_Toc232109186"/>
      <w:bookmarkStart w:id="1269" w:name="_Toc244880766"/>
      <w:r w:rsidRPr="00796736">
        <w:rPr>
          <w:rFonts w:ascii="Times New Roman" w:hAnsi="Times New Roman"/>
          <w:sz w:val="24"/>
        </w:rPr>
        <w:t>Finanstilsynets tilsyn</w:t>
      </w:r>
      <w:bookmarkEnd w:id="1268"/>
      <w:bookmarkEnd w:id="1269"/>
    </w:p>
    <w:p w14:paraId="7D2D329C" w14:textId="32B7467A" w:rsidR="004C0294" w:rsidRPr="00796736" w:rsidRDefault="004C0294" w:rsidP="00A802A5">
      <w:pPr>
        <w:pStyle w:val="Overskrift4"/>
        <w:rPr>
          <w:rFonts w:ascii="Times New Roman" w:hAnsi="Times New Roman" w:cs="Times New Roman"/>
          <w:sz w:val="24"/>
          <w:szCs w:val="24"/>
        </w:rPr>
      </w:pPr>
      <w:bookmarkStart w:id="1270" w:name="_Toc232109187"/>
      <w:bookmarkStart w:id="1271" w:name="_Ref232938694"/>
      <w:bookmarkStart w:id="1272" w:name="_Ref232939390"/>
      <w:r w:rsidRPr="00796736">
        <w:rPr>
          <w:rFonts w:ascii="Times New Roman" w:hAnsi="Times New Roman" w:cs="Times New Roman"/>
          <w:sz w:val="24"/>
          <w:szCs w:val="24"/>
        </w:rPr>
        <w:t>Gældende ret</w:t>
      </w:r>
      <w:bookmarkEnd w:id="1270"/>
      <w:bookmarkEnd w:id="1271"/>
      <w:bookmarkEnd w:id="1272"/>
    </w:p>
    <w:p w14:paraId="6082A07F" w14:textId="77777777" w:rsidR="000705E7" w:rsidRPr="00796736" w:rsidRDefault="000705E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47, stk. 1, påser Finanstilsynet, at virksomheder og personer omfattet af § 1, stk. 1, nr. 1-12, 18 og 22, og filialer, distributører og agenter her i landet af sådanne udenlandske virksomheder og personer overholder loven, regler udstedt i medfør heraf, Europa-Parlamentets og Rådets forordning om oplysninger, der skal medsendes ved pengeoverførsler og ved overførsler af visse kryptoaktiver, og love og forordninger indeholdende regler om finansielle sanktioner mod lande, personer, grupper, juridiske enheder eller organer. Dette gælder dog ikke overholdelse af § 36 om forbuddet mod ufordelagtig behandling eller ufordelagtige følger som følge af indberetning.</w:t>
      </w:r>
    </w:p>
    <w:p w14:paraId="0E5414B6" w14:textId="77777777" w:rsidR="000705E7" w:rsidRPr="00796736" w:rsidRDefault="000705E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p>
    <w:p w14:paraId="4AAB4529" w14:textId="339B4678" w:rsidR="000705E7" w:rsidRPr="00796736" w:rsidRDefault="000705E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146f, at bestemmelsen implementerer artikel 4. hvidvaskdirektiv. Dette betyder blandt andet, at Finanstilsynet skal tage hensyn til det skøn, som den enkelte virksomhed eller person overlades i lovforslaget. Virksomheder og personer skal således overlades et skøn i relation til at identificere og håndtere deres risici i relation til hvidvask eller finansiering af terrorisme, så de har mulighed for at prioritere ressourcer til områder med øget risiko</w:t>
      </w:r>
      <w:r w:rsidR="00446638">
        <w:rPr>
          <w:rFonts w:ascii="Times New Roman" w:hAnsi="Times New Roman" w:cs="Times New Roman"/>
          <w:sz w:val="24"/>
          <w:szCs w:val="24"/>
        </w:rPr>
        <w:t>.</w:t>
      </w:r>
    </w:p>
    <w:p w14:paraId="278914D5" w14:textId="77777777" w:rsidR="000705E7" w:rsidRPr="00796736" w:rsidRDefault="000705E7" w:rsidP="00A802A5">
      <w:pPr>
        <w:spacing w:line="360" w:lineRule="auto"/>
        <w:rPr>
          <w:rFonts w:ascii="Times New Roman" w:hAnsi="Times New Roman" w:cs="Times New Roman"/>
          <w:sz w:val="24"/>
          <w:szCs w:val="24"/>
        </w:rPr>
      </w:pPr>
    </w:p>
    <w:p w14:paraId="50F0E82D" w14:textId="32C71E48" w:rsidR="000705E7" w:rsidRPr="00796736" w:rsidRDefault="000705E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videre af bemærkningerne til bestemmelsen, at Finanstilsynet som led i tilsynsførelsen beslutter forskellige tilsynsreaktioner, herunder risikooplysninger, </w:t>
      </w:r>
      <w:r w:rsidR="00446638">
        <w:rPr>
          <w:rFonts w:ascii="Times New Roman" w:hAnsi="Times New Roman" w:cs="Times New Roman"/>
          <w:sz w:val="24"/>
          <w:szCs w:val="24"/>
        </w:rPr>
        <w:t>påbud</w:t>
      </w:r>
      <w:r w:rsidRPr="00796736">
        <w:rPr>
          <w:rFonts w:ascii="Times New Roman" w:hAnsi="Times New Roman" w:cs="Times New Roman"/>
          <w:sz w:val="24"/>
          <w:szCs w:val="24"/>
        </w:rPr>
        <w:t xml:space="preserve"> og politianmeldelser. </w:t>
      </w:r>
    </w:p>
    <w:p w14:paraId="181244C7" w14:textId="77777777" w:rsidR="00A929EB" w:rsidRPr="00796736" w:rsidRDefault="00A929EB" w:rsidP="00A802A5">
      <w:pPr>
        <w:spacing w:line="360" w:lineRule="auto"/>
        <w:rPr>
          <w:rFonts w:ascii="Times New Roman" w:hAnsi="Times New Roman" w:cs="Times New Roman"/>
          <w:sz w:val="24"/>
          <w:szCs w:val="24"/>
        </w:rPr>
      </w:pPr>
    </w:p>
    <w:p w14:paraId="108C2981" w14:textId="5F9B919B" w:rsidR="00A929EB" w:rsidRPr="00796736" w:rsidRDefault="00A929EB" w:rsidP="00A802A5">
      <w:pPr>
        <w:pStyle w:val="Overskrift4"/>
        <w:rPr>
          <w:rFonts w:ascii="Times New Roman" w:hAnsi="Times New Roman" w:cs="Times New Roman"/>
          <w:sz w:val="24"/>
          <w:szCs w:val="24"/>
        </w:rPr>
      </w:pPr>
      <w:bookmarkStart w:id="1273" w:name="_Toc232109188"/>
      <w:bookmarkStart w:id="1274" w:name="_Ref232938642"/>
      <w:bookmarkStart w:id="1275" w:name="_Ref232938670"/>
      <w:bookmarkStart w:id="1276" w:name="_Ref232938678"/>
      <w:bookmarkStart w:id="1277" w:name="_Ref232938707"/>
      <w:bookmarkStart w:id="1278" w:name="_Ref232938724"/>
      <w:bookmarkStart w:id="1279" w:name="_Ref232938838"/>
      <w:bookmarkStart w:id="1280" w:name="_Ref232949444"/>
      <w:r w:rsidRPr="00796736">
        <w:rPr>
          <w:rFonts w:ascii="Times New Roman" w:hAnsi="Times New Roman" w:cs="Times New Roman"/>
          <w:sz w:val="24"/>
          <w:szCs w:val="24"/>
        </w:rPr>
        <w:t>6. hvidvaskdirektiv</w:t>
      </w:r>
      <w:bookmarkEnd w:id="1273"/>
      <w:bookmarkEnd w:id="1274"/>
      <w:bookmarkEnd w:id="1275"/>
      <w:bookmarkEnd w:id="1276"/>
      <w:bookmarkEnd w:id="1277"/>
      <w:bookmarkEnd w:id="1278"/>
      <w:bookmarkEnd w:id="1279"/>
      <w:bookmarkEnd w:id="1280"/>
      <w:r w:rsidRPr="00796736">
        <w:rPr>
          <w:rFonts w:ascii="Times New Roman" w:hAnsi="Times New Roman" w:cs="Times New Roman"/>
          <w:sz w:val="24"/>
          <w:szCs w:val="24"/>
        </w:rPr>
        <w:t xml:space="preserve"> </w:t>
      </w:r>
    </w:p>
    <w:p w14:paraId="0F83EA11"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kapitel IV indeholder regler om tilsyn med bekæmpelse af hvidvask af penge og består af fire afdelinger.</w:t>
      </w:r>
    </w:p>
    <w:p w14:paraId="52B73942"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Kapitel IV, første afdeling, indeholder artikel 37-48, som udgør almindelige bestemmelser om tilsyn. I det følgende gennemgås de bestemmelser, som har betydning for Finanstilsynets tilsyn med som nævnt i hvidvasklovens § 1, stk. 1 og 2, nr. 3 og 4. </w:t>
      </w:r>
    </w:p>
    <w:p w14:paraId="5A1C83D3"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37 indeholder regler om de nationale tilsynsorganers beføjelser og ressourcer. </w:t>
      </w:r>
    </w:p>
    <w:p w14:paraId="12FA103E" w14:textId="636F2889"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37</w:t>
      </w:r>
      <w:r w:rsidR="00446638">
        <w:rPr>
          <w:rFonts w:ascii="Times New Roman" w:hAnsi="Times New Roman" w:cs="Times New Roman"/>
          <w:sz w:val="24"/>
          <w:szCs w:val="24"/>
        </w:rPr>
        <w:t>,</w:t>
      </w:r>
      <w:r w:rsidRPr="00796736">
        <w:rPr>
          <w:rFonts w:ascii="Times New Roman" w:hAnsi="Times New Roman" w:cs="Times New Roman"/>
          <w:sz w:val="24"/>
          <w:szCs w:val="24"/>
        </w:rPr>
        <w:t xml:space="preserve"> stk. 1, 1. afsnit, at hver medlemsstat, bortset fra de omstændigheder, der er omfattet af artikel 38, sikrer at alle forpligtede enheder, der er etableret på dens område, er underlagt fyldestgørende og effektivt tilsyn. Med henblik herpå udpeger hver medlemsstat et eller flere tilsynsorganer til effektivt at overvåge og til at træffe de nødvendige foranstaltninger for at sikre, at de forpligtede enheder opfylder hvidvaskforordningen pengeoverførselsforordningen. Bestemmelsen svarer indholdsmæssigt til 4. og 5. hvidvaskdirektivs artikel 48, stk. 1, idet der dog er tilføjet henvisninger til hvidvaskforordningen og pengeoverførselsforordningen, som tilsynet omfatter. </w:t>
      </w:r>
    </w:p>
    <w:p w14:paraId="1E4DE528"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stk. 1, 2. afsnit, at hvis medlemsstaterne af altoverskyggende almene hensyn har indført specifikke tilladelseskrav for forpligtede enheder til at drive virksomhed på deres område i henhold til den frie udveksling af tjenesteydelser, sikrer de, at de aktiviteter, der udføres af de forpligtede enheder i henhold til disse specifikke tilladelser er underlagt tilsyn af deres nationale tilsynsorganer, uanset om aktiviteterne udføres via en infrastruktur på deres område eller på afstand. Medlemsstaterne sikrer også, at tilsynet i henhold til dette afsnit meddeles tilsynsorganerne i den medlemsstat, hvor de forpligtede enheders hovedsæde er beliggende. Det følger desuden af afsnittet at bestemmelsen i stk. 1, ikke finder anvendelse, hvor AMLA fungerer som tilsynsorgan.  </w:t>
      </w:r>
    </w:p>
    <w:p w14:paraId="2D5CDFB6" w14:textId="70AAEFC6"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præambelbetragtning nr. 83 i 6. hvidvaskdirektiv</w:t>
      </w:r>
      <w:r w:rsidR="00446638">
        <w:rPr>
          <w:rFonts w:ascii="Times New Roman" w:hAnsi="Times New Roman" w:cs="Times New Roman"/>
          <w:sz w:val="24"/>
          <w:szCs w:val="24"/>
        </w:rPr>
        <w:t xml:space="preserve"> </w:t>
      </w:r>
      <w:r w:rsidRPr="00796736">
        <w:rPr>
          <w:rFonts w:ascii="Times New Roman" w:hAnsi="Times New Roman" w:cs="Times New Roman"/>
          <w:sz w:val="24"/>
          <w:szCs w:val="24"/>
        </w:rPr>
        <w:t>anføres, at et effektivt tilsyn med alle forpligtede enheder er afgørende for at beskytte integriteten af Unionens finansielle system og det indre marked. Med henblik herpå bør medlemsstaterne indføre et effektivt og uvildigt tilsyn for bekæmpelse af hvidvask af penge og finansiering af terrorisme og fastsætte betingelserne for et effektivt, rettidigt og vedvarende samarbejde mellem tilsynsorganerne.</w:t>
      </w:r>
    </w:p>
    <w:p w14:paraId="5EFF1B16"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præambelbetragtning nr. 84 anføres, at medlemsstaterne bør sikre et effektivt, uvildigt og risikobaseret tilsyn med alle forpligtede enheder, fortrinsvis foretaget af offentlige myndigheder gennem et særskilt og uafhængigt nationalt tilsynsorgan. De nationale tilsynsorganer bør kunne udføre en bred vifte af opgaver for at kunne føre effektivt tilsyn med alle forpligtede enheder.</w:t>
      </w:r>
    </w:p>
    <w:p w14:paraId="7BBF1040"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37, stk. 2, at medlemsstaterne sikrer, at tilsynsorganerne har tilstrækkelige finansielle, menneskelige og tekniske ressourcer til at udføre deres opgaver som anført i stk. 5. Medlemsstaterne sikrer, at disse myndigheders personale udviser en høj grad af integritet, er tilstrækkeligt kvalificeret og fastholder høje professionelle standarder, herunder standarder for fortrolighed og databeskyttelse samt standarder for behandling af interessekonflikter. Bestemmelsen svarer til 4. og 5. hvidvaskdirektivs artikel 48, stk. 2. </w:t>
      </w:r>
    </w:p>
    <w:p w14:paraId="6ED8160C" w14:textId="4C62F72C"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37, stk. 5</w:t>
      </w:r>
      <w:r w:rsidR="00446638">
        <w:rPr>
          <w:rFonts w:ascii="Times New Roman" w:hAnsi="Times New Roman" w:cs="Times New Roman"/>
          <w:sz w:val="24"/>
          <w:szCs w:val="24"/>
        </w:rPr>
        <w:t>,</w:t>
      </w:r>
      <w:r w:rsidRPr="00796736">
        <w:rPr>
          <w:rFonts w:ascii="Times New Roman" w:hAnsi="Times New Roman" w:cs="Times New Roman"/>
          <w:sz w:val="24"/>
          <w:szCs w:val="24"/>
        </w:rPr>
        <w:t xml:space="preserve"> vedrører de nationale tilsynsorganers opgaver. </w:t>
      </w:r>
    </w:p>
    <w:p w14:paraId="72D2AC96"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37, stk. 5, litra a-g, at medlemsstaterne med henblik på stk. 1, for det første skal sikre, at nationale tilsynsorganer formidler relevante oplysninger til forpligtede enheder i henhold til artikel 39 (litra a). For det andet skal tilsynsorganerne afgøre, i hvilke tilfælde de specifikke risici i forbindelse med en sektor er klare og forståelige, og individuelle dokumenterede risikovurderinger i henhold til artikel 10 i hvidvaskforordningen ikke er påkrævet (litra b). For det tredje skal tilsynsorganerne kontrollere tilstrækkeligheden og gennemførelsen af forpligtede enheders interne politikker, procedurer og kontroller i henhold til kapitel II i hvidvaskforordningen og af de menneskelige ressourcer, der er afsat til udførelsen af de opgaver, der kræves i henhold til nævnte forordning, samt, for tilsynsorganer for kollektive investeringsvirksomheder, træffer afgørelse om tilfælde, hvor den kollektive investeringsvirksomhed kan outsource underretning af mistænkelige aktiviteter i henhold til artikel 18, stk. 7, i hvidvaskforordningen til en tjenesteudbyder (litra c). Herudover skal tilsynsorganerne vurdere og regelmæssigt overvåge de risici for hvidvask af penge og finansiering af terrorisme samt risici for manglende gennemførelse og omgåelse af målrettede finansielle sanktioner, som forpligtede enheder er udsat for (litra d). Tilsynsorganerne skal videre overvåge forpligtede enheders overholdelse af deres forpligtelser i forbindelse med målrettede finansielle sanktioner (litra e). Tilsynsorganerne skal desuden gennemføre alle nødvendige off-site undersøgelser, on-site kontrolbesøg og tematiske kontroller og alle andre undersøgelser, vurderinger og analyser, der er nødvendige for at kontrollere, at forpligtede enheder opfylder hvidvaskforordningen og eventuelle administrative foranstaltninger, der træffes i henhold til artikel 56 (litra f). Endelig skal tilsynsorganerne træffe passende tilsynsforanstaltninger for at imødegå eventuelle overtrædelser af gældende krav begået af de forpligtede enheder, der er identificeret i processen med tilsynsvurderinger, og følger op på gennemførelsen af sådanne foranstaltninger (litra g). </w:t>
      </w:r>
    </w:p>
    <w:p w14:paraId="1733FBCB"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37, stk. 5, svarer til 4. og 5. hvidvaskdirektivs artikel 48, stk. 1 og 1a, dog opregnes mere præcist opregner de opgaver som er forbundet med tilsynet. Bestemmelsen i stk. 5, litra f, svarer indholdsmæssigt til 4. og 5. hvidvaskdirektivs artikel 48, stk. 1 a, 3. afsnit. </w:t>
      </w:r>
    </w:p>
    <w:p w14:paraId="404F539E"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37, stk. 6, litra a og b, at medlemsstaterne skal sikre, at tilsynsorganerne har tilstrækkelige beføjelser til at udføre deres opgaver i henhold til stk. 5. De skal for det første have beføjelse til at kræve fremlæggelse af alle oplysninger fra forpligtede enheder, som er relevante for overvågning og kontrol af overholdelsen af hvidvaskforordningen eller pengeoverførselsforordningen, og til at gennemføre kontroller, herunder fra tjenesteudbydere, som forpligtede enheder har outsourcet en del af deres opgaver til for at opfylde kravene i de nævnte forordninger (litra a). Derudover skal de have beføjelse til at anvende passende og forholdsmæssige administrative foranstaltninger for at afhjælpe situationen i tilfælde af overtrædelser, herunder ved at pålægge bøder i overensstemmelse med direktivets kapitel IV, afdeling 4 (litra b). Bestemmelsen svarer indholdsmæssigt sammen med artikel 37, stk. 2, til 4. og 5. hvidvaskdirektivs artikel 48, stk. 2, idet det dog specificeres, at myndighederne skal have beføjelse til at anvende passende og forholdsmæssige administrative foranstaltninger, herunder pålægge bøder. </w:t>
      </w:r>
    </w:p>
    <w:p w14:paraId="3E47A911"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præambelbetragtning nr. 86, at for mere effektivt og regelmæssigt at kunne vurdere og overvåge de risici, som forpligtede enheder er eksponeret for, og de interne politikker, procedurer og kontroller, de har indført for at håndtere og afbøde disse risici, og for at gennemføre målrettede finansielle sanktioner, er det nødvendigt at præcisere, at nationale tilsynsorganer både har ret til og er forpligtet til at foretage alle nødvendige off-site, on-site og tematiske kontroller og andre undersøgelser og vurderinger, som de finder nødvendige. De bør også kunne reagere uden unødigt ophold på enhver mistanke om manglende overholdelse af gældende krav og træffe passende tilsynsforanstaltninger for at tackle påstande om manglende overholdelse. Dette vil ikke blot hjælpe tilsynsorganerne med at træffe afgørelse om de tilfælde, hvor de specifikke risici i forbindelse med en sektor, er klare og forståelige, men også give dem de værktøjer, der er nødvendige for yderligere at formidle relevante oplysninger til forpligtede enheder for at bidrage til deres forståelse af risici for hvidvask af penge og finansiering af terrorisme.</w:t>
      </w:r>
    </w:p>
    <w:p w14:paraId="5E2DD4C1"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37, stk. 7, vedrører indeholder regler om finansielle tilsynsorganers udvidede tilsynsbeføjelser. Bestemmelsen svarer til 4. hvidvaskdirektivs artikel 48, stk. 3, dog opregnes mere præcist de opgaver som er forbundet med de udvidede tilsynsbeføjelser i en ikke-udtømmende opregning i litra a-c.</w:t>
      </w:r>
    </w:p>
    <w:p w14:paraId="1F47D951"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37, stk. 7, litra a-c, at finansielle tilsynsorganer har beføjelser ud over dem, der er omhandlet i stk. 6, herunder beføjelse til at kontrollere den forpligtede enheds forretningslokaler uden forudgående varsel, hvis det er nødvendigt for at udføre et kontrolbesøg korrekt og effektivt, og at de har alle de nødvendige midler til at foretage en sådan kontrol. Med henblik herpå skal finansielle tilsynsorganer som minimum kunne undersøge regnskaber og registre tilhørende disse forpligtede enheder og tage kopier eller uddrag af sådanne regnskaber og registre (litra b). Finansielle tilsynsorganer skal desuden kunne få adgang til software, databaser, IT-værktøjer eller andre elektroniske midler til registrering af oplysninger, der anvendes af den forpligtede enhed (litra c). Finansielle tilsynsorganer skal herudover kunne indhente skriftlige eller mundtlige oplysninger fra enhver person, der er ansvarlige for de interne politikker, procedurer og kontroller for bekæmpelse af hvidvask af penge og finansiering af terrorisme, eller deres repræsentanter eller personale, samt fra repræsentanter for eller personale i enheder, som den forpligtede enhed har outsourcet opgaver til i henhold til artikel 18 i hvidvaskforordningen, og udspørge enhver anden person, der samtykker heri, med det formål at indhente oplysninger om genstanden for en efterforskning (litra c).</w:t>
      </w:r>
    </w:p>
    <w:p w14:paraId="2268ACCE"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38 er ny og sætter rammerne for vedrører tilsyn med infrastrukturformer for visse mellemmænd, der driver virksomhed i henhold til reglerne om fri udveksling af tjenesteydelser, herunder agenter og distributører.</w:t>
      </w:r>
    </w:p>
    <w:p w14:paraId="24BA0D0A" w14:textId="29ABDA2E"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38, stk. 1, </w:t>
      </w:r>
      <w:r w:rsidR="00446638">
        <w:rPr>
          <w:rFonts w:ascii="Times New Roman" w:hAnsi="Times New Roman" w:cs="Times New Roman"/>
          <w:sz w:val="24"/>
          <w:szCs w:val="24"/>
        </w:rPr>
        <w:t xml:space="preserve">1. </w:t>
      </w:r>
      <w:r w:rsidRPr="00796736">
        <w:rPr>
          <w:rFonts w:ascii="Times New Roman" w:hAnsi="Times New Roman" w:cs="Times New Roman"/>
          <w:sz w:val="24"/>
          <w:szCs w:val="24"/>
        </w:rPr>
        <w:t xml:space="preserve">afsnit, litra a-c, at medlemsstaterne, når udstedere af elektroniske penge som defineret i artikel 2, nr. 3, i e-pengedirektivet (litra a), betalingstjenesteudbydere som defineret i 2. betalingstjenestedirektiv (litra b) og udbydere af kryptoaktivtjenester (litra c) udøver aktiviteter på deres område i henhold til reglerne om fri udveksling af tjenesteydelser gennem agenter eller distributører eller andre typer infrastruktur, herunder når disse aktiviteter udøves i henhold til en tilladelse, som er opnået i henhold til pengeoverførselsdirektivet, skal sikre, at sådanne aktiviteter er underlagt tilsyn af deres nationale tilsynsorganer. </w:t>
      </w:r>
    </w:p>
    <w:p w14:paraId="109306F0"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stk. 1, 2. afsnit, at tilsynsorganerne med henblik herpå overvåger tilsynsorganerne i den medlemsstat, hvor aktiviteterne udøves, effektivt og sikrer opfyldelse af hvidvaskforordningen og pengeoverførselsforordningen. </w:t>
      </w:r>
    </w:p>
    <w:p w14:paraId="737DD18B" w14:textId="40DDE4A3"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38, stk. 2, litra a og b, at uanset stk. 1</w:t>
      </w:r>
      <w:r w:rsidR="00446638">
        <w:rPr>
          <w:rFonts w:ascii="Times New Roman" w:hAnsi="Times New Roman" w:cs="Times New Roman"/>
          <w:sz w:val="24"/>
          <w:szCs w:val="24"/>
        </w:rPr>
        <w:t>,</w:t>
      </w:r>
      <w:r w:rsidRPr="00796736">
        <w:rPr>
          <w:rFonts w:ascii="Times New Roman" w:hAnsi="Times New Roman" w:cs="Times New Roman"/>
          <w:sz w:val="24"/>
          <w:szCs w:val="24"/>
        </w:rPr>
        <w:t xml:space="preserve"> føres tilsynet med de i stk. 1 omhandlede  agenter, distributører eller andre typer infrastruktur, af tilsynsorganet i den medlemsstat, hvor den forpligtede enheds hovedsæde er beliggende, hvis kriterierne i den reguleringsmæssige tekniske standard, der er omhandlet i direktivets artikel 41, stk. 2, ikke er opfyldt (litra a) og tilsynsorganet i den medlemsstat, hvor disse agenter, distributører eller andre typer infrastruktur er beliggende, giver tilsynsorganet i den medlemsstat, hvor den forpligtede enheds hovedsæde er beliggende, meddelelse om, at tilsynet med de aktiviteter, der er omhandlet i stk. 1, i betragtning af enhedens begrænsede infrastruktur på dens område skal udføres af tilsynsorganet i den medlemsstat, hvor den forpligtede enheds hovedsæde er beliggende.</w:t>
      </w:r>
    </w:p>
    <w:p w14:paraId="3CDCAFB7"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Dette følger artikel 38, stk. 3, at tilsynsorganet i den medlemsstat, hvor den forpligtede enheds hovedsæde er beliggende, og tilsynsorganet i den medlemsstat, hvor den forpligtede enhed driver virksomhed i henhold til reglerne om fri udveksling af tjenesteydelser gennem agenter eller distributører eller andre typer infrastruktur, skal give hinanden alle oplysninger, der er nødvendige for kunne at vurdere, om kriterierne i stk. 2, litra a), er opfyldt, herunder om enhver ændring i den forpligtede enheds omstændigheder, som kan have indvirkning på opfyldelsen af disse kriterier.</w:t>
      </w:r>
    </w:p>
    <w:p w14:paraId="794DE0CF"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38, stk. 4, at medlemsstaterne skal sikre, at tilsynsorganet i den medlemsstat, hvor den forpligtede enheds hovedsæde er beliggende, inden for to uger fra modtagelsen af meddelelsen i henhold til stk. 2, litra b), underretter den forpligtede enhed om, at det vil føre tilsyn med de aktiviteter, der udøves af de agenter, distributører eller andre typer infrastruktur, hvorigennem den forpligtede enhed driver virksomhed i henhold</w:t>
      </w:r>
    </w:p>
    <w:p w14:paraId="3BB66387"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Endeligt fremgår det af artikel 38, stk. 5, artikel 38 ikke finder anvendelse når AMLA fungerer som tilsynsorgan.</w:t>
      </w:r>
    </w:p>
    <w:p w14:paraId="5F151579"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39 vedrører tilsynsmyndighederne pligt til at stille oplysninger om hvidvask af penge og finansiering af terrorisme til rådighed for forpligtede enheder under deres tilsyn. Bestemmelsen i artikel 39, stk. 2, svarer til 4. hvidvaskdirektivs artikel 46, stk. 2.</w:t>
      </w:r>
    </w:p>
    <w:p w14:paraId="46E59E38" w14:textId="2BFB08BD"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39, stk. 1, at medlemsstaterne sikrer, at tilsynsorganerne stiller oplysninger</w:t>
      </w:r>
      <w:r w:rsidR="00446638">
        <w:rPr>
          <w:rFonts w:ascii="Times New Roman" w:hAnsi="Times New Roman" w:cs="Times New Roman"/>
          <w:sz w:val="24"/>
          <w:szCs w:val="24"/>
        </w:rPr>
        <w:t xml:space="preserve"> </w:t>
      </w:r>
      <w:r w:rsidRPr="00796736">
        <w:rPr>
          <w:rFonts w:ascii="Times New Roman" w:hAnsi="Times New Roman" w:cs="Times New Roman"/>
          <w:sz w:val="24"/>
          <w:szCs w:val="24"/>
        </w:rPr>
        <w:t xml:space="preserve">om hvidvask af penge og finansiering af terrorisme til rådighed for forpligtede enheder under deres tilsyn. </w:t>
      </w:r>
    </w:p>
    <w:p w14:paraId="71F3AD52" w14:textId="2F959061"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39, stk. 2, litra a-e, at de oplysninger, der er omhandlet i stk. 1, bl.a. omfatter den risikovurdering på EU-plan, som Kommissionen har foretaget i henhold til direktivets artikel 7, og relevante henstillinger fra Kommissionen på grundlag heraf (litra a), nationale eller sektorspecifikke risikovurderinger udøvet i henhold til direktivets artikel 8</w:t>
      </w:r>
      <w:r w:rsidR="00446638">
        <w:rPr>
          <w:rFonts w:ascii="Times New Roman" w:hAnsi="Times New Roman" w:cs="Times New Roman"/>
          <w:sz w:val="24"/>
          <w:szCs w:val="24"/>
        </w:rPr>
        <w:t xml:space="preserve">, </w:t>
      </w:r>
      <w:r w:rsidRPr="00796736">
        <w:rPr>
          <w:rFonts w:ascii="Times New Roman" w:hAnsi="Times New Roman" w:cs="Times New Roman"/>
          <w:sz w:val="24"/>
          <w:szCs w:val="24"/>
        </w:rPr>
        <w:t>litra b)</w:t>
      </w:r>
      <w:r w:rsidR="00446638">
        <w:rPr>
          <w:rFonts w:ascii="Times New Roman" w:hAnsi="Times New Roman" w:cs="Times New Roman"/>
          <w:sz w:val="24"/>
          <w:szCs w:val="24"/>
        </w:rPr>
        <w:t xml:space="preserve"> og</w:t>
      </w:r>
      <w:r w:rsidRPr="00796736">
        <w:rPr>
          <w:rFonts w:ascii="Times New Roman" w:hAnsi="Times New Roman" w:cs="Times New Roman"/>
          <w:sz w:val="24"/>
          <w:szCs w:val="24"/>
        </w:rPr>
        <w:t xml:space="preserve"> litra c), relevante retningslinjer, henstillinger og udtalelser udstedt af AMLA i overensstemmelse med artikel 54 og 55 i hvidvaskforordningen, (litra d) oplysninger om tredjelande, der er identificeret i henhold til kapitel III, afdeling 2, i forordning (EU) 2024/1624 og retningslinjer og rapporter, der er udarbejdet af AMLA, andre tilsynsorganer og, hvor det er relevant, den offentlige myndighed, der fører tilsyn med selvregulerende organer, FIU'en eller en anden kompetent myndighed eller internationale organisationer og standardsættere, vedrørende metoder til hvidvask af penge og finansiering af terrorisme, som måtte gælde for en sektor, og angivelser, der kan lette identifikationen af transaktioner eller aktiviteter, der risikerer at være forbundet med hvidvask af penge og finansiering af terrorisme i den pågældende sektor, samt retningslinjer om forpligtede enheders forpligtelser i forbindelse med målrettede finansielle sanktioner.</w:t>
      </w:r>
    </w:p>
    <w:p w14:paraId="2C4D20F8"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39, stk. 3, at medlemsstaterne sikrer, at tilsynsorganerne i det omfang, det er hensigtsmæssigt, udfører outreachaktiviteter for at informere de forpligtede enheder, som de fører tilsyn med, om deres forpligtelser.</w:t>
      </w:r>
    </w:p>
    <w:p w14:paraId="25F69F70" w14:textId="414EC9A0"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præambelbetragtning nr. 87 i direktivet</w:t>
      </w:r>
      <w:r w:rsidR="00446638">
        <w:rPr>
          <w:rFonts w:ascii="Times New Roman" w:hAnsi="Times New Roman" w:cs="Times New Roman"/>
          <w:sz w:val="24"/>
          <w:szCs w:val="24"/>
        </w:rPr>
        <w:t xml:space="preserve"> er det</w:t>
      </w:r>
      <w:r w:rsidRPr="00796736">
        <w:rPr>
          <w:rFonts w:ascii="Times New Roman" w:hAnsi="Times New Roman" w:cs="Times New Roman"/>
          <w:sz w:val="24"/>
          <w:szCs w:val="24"/>
        </w:rPr>
        <w:t xml:space="preserve"> anfør</w:t>
      </w:r>
      <w:r w:rsidR="00446638">
        <w:rPr>
          <w:rFonts w:ascii="Times New Roman" w:hAnsi="Times New Roman" w:cs="Times New Roman"/>
          <w:sz w:val="24"/>
          <w:szCs w:val="24"/>
        </w:rPr>
        <w:t>t</w:t>
      </w:r>
      <w:r w:rsidRPr="00796736">
        <w:rPr>
          <w:rFonts w:ascii="Times New Roman" w:hAnsi="Times New Roman" w:cs="Times New Roman"/>
          <w:sz w:val="24"/>
          <w:szCs w:val="24"/>
        </w:rPr>
        <w:t xml:space="preserve">, at outreachaktiviteter, herunder tilsynsorganernes formidling af oplysninger til de forpligtede enheder under deres tilsyn, er afgørende for at sikre, at den private sektor har tilstrækkelig forståelse af arten og omfanget af de risici for hvidvask af penge og finansiering af terrorisme, som de står over for. Dette omfatter formidling af udpegning under målrettede finansielle sanktioner og FN's finansielle sanktioner, som bør ske omgående, når sådan udpegning har fundet sted, </w:t>
      </w:r>
      <w:r w:rsidR="00446638" w:rsidRPr="00796736">
        <w:rPr>
          <w:rFonts w:ascii="Times New Roman" w:hAnsi="Times New Roman" w:cs="Times New Roman"/>
          <w:sz w:val="24"/>
          <w:szCs w:val="24"/>
        </w:rPr>
        <w:t>så</w:t>
      </w:r>
      <w:r w:rsidRPr="00796736">
        <w:rPr>
          <w:rFonts w:ascii="Times New Roman" w:hAnsi="Times New Roman" w:cs="Times New Roman"/>
          <w:sz w:val="24"/>
          <w:szCs w:val="24"/>
        </w:rPr>
        <w:t xml:space="preserve"> sektoren er i stand til at overholde deres forpligtelser. Da forpligtede enheders gennemførelse af kravene til bekæmpelse af hvidvask af penge og finansiering af terrorisme indebærer behandling af personoplysninger, er det vigtigt, at tilsynsorganerne er opmærksomme på vejledninger og andre publikationer, der udsendes af databeskyttelsesmyndighederne, enten på nationalt plan eller på EU-plan gennem Det Europæiske Databeskyttelsesråd, og at de i relevant omfang medtager disse oplysninger i deres formidling til enhederne under deres tilsyn.</w:t>
      </w:r>
    </w:p>
    <w:p w14:paraId="014F6142"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40 fastslår princippet om et risikobaseret tilsyn.</w:t>
      </w:r>
    </w:p>
    <w:p w14:paraId="5D52E516"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stk. 1, litra a-c, opregnes en række momenter, som medlemsstaterne skal sikre med henblik på dette risikobaserede tilsyn. Det følger således, at medlemsstaterne skal sikre, at tilsynsorganerne har en klar forståelse af risiciene for hvidvask af penge og finansiering af terrorisme i deres medlemsstat (litra a). medlemsstaterne skal desuden Medlemsstaterne skal desuden sikre, at tilsynsorganerne vurderer alle relevante oplysninger om bestemte indenlandske og udenlandske risici, der er forbundet med de forpligtede enheders kunder, produkter og tjenesteydelser (litra b). Endelig skal medlemsstaterne sikre, at tilsynsorganerne fastsætter hyppigheden og intensiteten af on-site og off-site og tematiske tilsyn på grundlag af de forpligtede enheders risikoprofil og af risiciene for hvidvask af penge og finansiering af terrorisme i den pågældende medlemsstat. Bestemmelsen svarer indholdsmæssigt til 4. og 5. hvidvaskdirektivs artikel 48, stk. 6.</w:t>
      </w:r>
    </w:p>
    <w:p w14:paraId="502B5B1A"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stk. 1, 2. afsnit, at med henblik på dette stykkes første afsnit, litra c) udarbejder tilsynsorganer årlige tilsynsprogrammer, som skal tage hensyn til den tidsplan og de ressourcer, der er nødvendige for omgående at kunne reagere i tilfælde af objektive og betydelige tegn på tilsidesættelse forordning (EU) 2024/1624 og (EU) 2023/1113. Bestemmelsen er ny.</w:t>
      </w:r>
    </w:p>
    <w:p w14:paraId="2A52DF25"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40, stk. 2 og 3, retter sig mod AMLA og skal ikke implementeres i dansk ret. Bestemmelserne bygger videre på til 4. og 5 hvidvaskdirektivs artikel 48, stk. 7 og 10. </w:t>
      </w:r>
    </w:p>
    <w:p w14:paraId="48475B18"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40, stk. 4, at medlemsstaterne sikrer, at tilsynsorganerne tager hensyn til omfanget af den skønsbeføjelse, som det er tilladt den forpligtede enhed at have, og foretager en passende gennemgang af de risikovurderinger, der ligger til grund for denne skønsbeføjelse, og af tilstrækkeligheden af enhedens interne politikker, procedurer og kontroller. Bestemmelsen svarer til 4. og 5. hvidvaskdirektivs artikel 48, stk. 8.  </w:t>
      </w:r>
    </w:p>
    <w:p w14:paraId="747E7A96"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hvidvaskdirektivets artikel 40, stk. 5, at medlemsstaterne sikrer, at tilsynsorganerne udarbejder en detaljeret årlig aktivitetsrapport, og at en sammenfatning af denne rapport offentliggøres. Denne må ikke indeholde fortrolige oplysninger, men skal indeholde en række oplysninger, som opregnes i litra a-c. Bestemmelsen svarer til 4. og 5. hvidvaskdirektivs artikel 34, stk. 3. </w:t>
      </w:r>
    </w:p>
    <w:p w14:paraId="3331C8A6" w14:textId="77777777" w:rsidR="002A2E6C" w:rsidRPr="00796736" w:rsidRDefault="002A2E6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præambelbetragtning nr. 88, at tilsynsorganerne bør anvende en risikobaseret tilgang til deres arbejde, som vil kunne sætte dem i stand til at koncentrere deres ressourcer der, hvor risiciene er størst, samtidig med at det sikres, at ingen sektor eller enhed fortsat er udsat for kriminelle forsøg på at hvidvaske penge eller finansiere terrorisme. Med henblik herpå bør tilsynsorganerne planlægge deres aktiviteter årligt. I den forbindelse bør de ikke alene sikre en risikobaseret dækning af de sektorer, der er under deres tilsyn, men også, at de er i stand til at reagere omgående i tilfælde af objektive og væsentlige tegn på overtrædelser i en forpligtet enhed, herunder navnlig efter offentlige afsløringer eller oplysninger indgivet af whistleblowere. Tilsynsorganerne bør også sikre gennemsigtighed med hensyn til de tilsynsaktiviteter, som de har udført, såsom tilsynskollegier, som de har oprettet og deltaget i, on-site og off-site tilsynstag, de har taget, bøder, der har pålagt, eller administrative foranstaltninger, der har anvendt. AMLA bør spille en ledende rolle med hensyn til at fremme en fælles forståelse af risici og bør derfor have til opgave at udvikle benchmarks og en metode til vurdering og klassificering af forpligtede enheders iboende risikoprofil og residuale risikoprofil samt den hyppighed, hvormed en sådan risikoprofil bør revideres.</w:t>
      </w:r>
    </w:p>
    <w:p w14:paraId="17EB6166" w14:textId="77777777" w:rsidR="002A2E6C" w:rsidRPr="00796736" w:rsidRDefault="002A2E6C" w:rsidP="00A802A5">
      <w:pPr>
        <w:spacing w:line="360" w:lineRule="auto"/>
        <w:rPr>
          <w:rFonts w:ascii="Times New Roman" w:hAnsi="Times New Roman" w:cs="Times New Roman"/>
          <w:sz w:val="24"/>
          <w:szCs w:val="24"/>
        </w:rPr>
      </w:pPr>
    </w:p>
    <w:p w14:paraId="3C043868"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41, stk. 1, at medlemsstaterne med henblik på artikel 37, stk. 1, og artikel 38, stk. 1, kan kræve, at udstedere af elektroniske penge, betalingstjenesteudbydere og udbydere af kryptoaktivtjenester, der driver etableringssteder på deres område, bortset fra et datterselskab eller en filial, eller som driver virksomhed på deres område gennem agenter eller distributører, eller gennem andre typer infrastruktur, i henhold til reglerne om fri udveksling af tjenesteydelser, udpeger et centralt kontaktpunkt på deres område. Dette centrale kontaktpunkt sikrer på vegne af de forpligtede enheder overholdelse af reglerne om bekæmpelse af hvidvask af penge og finansiering af terrorisme og letter tilsynsorganernes tilsyn, herunder ved på anmodning at give tilsynsorganerne dokumenter og oplysninger. Bestemmelsen svarer indholdsmæssigt til 4. hvidvaskdirektivs artikel 45, stk. 9, men indeholder bl.a. en udvidelse i forhold til de virksomheder og personer som bestemmelsen omfatter. Der henvises i øvrigt til bemærkningerne </w:t>
      </w:r>
    </w:p>
    <w:p w14:paraId="08F4CA06"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41, stk. 2, at AMLA, senest den 10. juli 2026 udarbejder udkast til reguleringsmæssige tekniske standarder og forelægger dem for Kommissionen med henblik på vedtagelse. Disse udkast til reguleringsmæssige tekniske standarder fastsætter kriterierne til fastlæggelse af, under hvilke omstændigheder det er hensigtsmæssigt at udpege et centralt kontaktpunkt i henhold til stk. 1, og af de centrale kontaktpunkters funktioner.</w:t>
      </w:r>
    </w:p>
    <w:p w14:paraId="31F6EC4C"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præambelbetragtning nr. 96 i direktivets præambel anføres, at i lyset af sårbarhederne i forbindelse med bekæmpelse af hvidvask af penge vedrørende udstedere af elektroniske penge, udbydere af betalingstjenester og udbydere af kryptoaktivtjenester, bør det være muligt for medlemsstaterne at kræve, at udbydere, der er etableret på deres område i andre former end en filial eller gennem andre typer infrastruktur, og hvis hovedsæde er beliggende i en anden medlemsstat, udpeger et centralt kontaktpunkt. Et sådant centralt kontaktpunkt, der handler på vegne af den udpegende institution, bør sikre, at etableringsstederne overholder reglerne om bekæmpelse af hvidvask af penge og finansiering af terrorisme.</w:t>
      </w:r>
    </w:p>
    <w:p w14:paraId="68D3E836" w14:textId="7777777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54 omhandler tilsynsforanstaltninger over for forpligtede enheders etableringssteder og visse aktiviteter, der udøves i henhold til reglerne om fri udveksling af tjenesteydelser </w:t>
      </w:r>
    </w:p>
    <w:p w14:paraId="24806032" w14:textId="716192A6"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54, stk. 1, at bestemmelsen retter sig mod etableringssteder for forpligtede enheder, der ikke i sig selv betragtes som kreditinstitutter eller finansieringsinstitutter, eller forpligtede enheders infrastrukturtyper, som værtslandets tilsynsorgan fører tilsyn med i henhold til artikel 38, stk. 1.</w:t>
      </w:r>
    </w:p>
    <w:p w14:paraId="6BF72C50" w14:textId="0699DB37"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54, stk. 2, at hvis et værtslands tilsynsorganer konstaterer overtrædelser af de gældende krav, anmoder de forpligtede enheder, der driver virksomhed gennem etableringssteder eller infrastrukturtyper som omhandlet i stk. 1, om at opfylde de gældende krav og underretter hjemlandets tilsynsorganer om de overtrædelser, der er konstateret i de forpligtede enheder, og om anmodningen om at overholde kravene. </w:t>
      </w:r>
    </w:p>
    <w:p w14:paraId="046BE437" w14:textId="7335D681" w:rsidR="002A2E6C" w:rsidRPr="00796736" w:rsidRDefault="002A2E6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54, stk. 3, at hvis de forpligtede enheder undlader at tage de nødvendige tiltag, underretter tilsynsorganerne i værtslandet tilsynsorganerne i hjemlandet herom. Hjemlandets tilsynsorganer skal i den forbindelse handle omgående og træffe alle passende foranstaltninger for at sikre, at den pågældende forpligtede enhed afhjælper de overtrædelser, der er konstateret </w:t>
      </w:r>
      <w:r w:rsidR="00446638">
        <w:rPr>
          <w:rFonts w:ascii="Times New Roman" w:hAnsi="Times New Roman" w:cs="Times New Roman"/>
          <w:sz w:val="24"/>
          <w:szCs w:val="24"/>
        </w:rPr>
        <w:t xml:space="preserve">på </w:t>
      </w:r>
      <w:r w:rsidRPr="00796736">
        <w:rPr>
          <w:rFonts w:ascii="Times New Roman" w:hAnsi="Times New Roman" w:cs="Times New Roman"/>
          <w:sz w:val="24"/>
          <w:szCs w:val="24"/>
        </w:rPr>
        <w:t>etableringsstederne eller i dens infrastrukturtyper i værtslandet. Hjemlandets tilsynsorganer underretter tilsynsorganerne i værtslandet om enhver foranstaltning, der træffes</w:t>
      </w:r>
    </w:p>
    <w:p w14:paraId="6F64F7D0" w14:textId="0DBAFCCB" w:rsidR="002A2E6C" w:rsidRPr="00796736" w:rsidRDefault="002A2E6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w:t>
      </w:r>
      <w:r w:rsidR="00BA42D8" w:rsidRPr="00796736">
        <w:rPr>
          <w:rFonts w:ascii="Times New Roman" w:hAnsi="Times New Roman" w:cs="Times New Roman"/>
          <w:sz w:val="24"/>
          <w:szCs w:val="24"/>
        </w:rPr>
        <w:t xml:space="preserve">artikel 54, </w:t>
      </w:r>
      <w:r w:rsidRPr="00796736">
        <w:rPr>
          <w:rFonts w:ascii="Times New Roman" w:hAnsi="Times New Roman" w:cs="Times New Roman"/>
          <w:sz w:val="24"/>
          <w:szCs w:val="24"/>
        </w:rPr>
        <w:t>stk. 5, at hvis hjem- og værtslandenes tilsynsorganer er uenige om de foranstaltninger, der skal træffes over for en forpligtet enhed, kan de henvise sagen til AMLA og anmode om dens bistand i overensstemmelse med hvidvaskforordningens artikel 33 og 38 samt at AMLA afgiver udtalelse om genstanden for uenigheden inden for én måned.</w:t>
      </w:r>
    </w:p>
    <w:p w14:paraId="55F19599" w14:textId="77777777" w:rsidR="002A2E6C" w:rsidRPr="00796736" w:rsidRDefault="002A2E6C" w:rsidP="00A802A5">
      <w:pPr>
        <w:spacing w:line="360" w:lineRule="auto"/>
        <w:rPr>
          <w:rFonts w:ascii="Times New Roman" w:hAnsi="Times New Roman" w:cs="Times New Roman"/>
          <w:sz w:val="24"/>
          <w:szCs w:val="24"/>
        </w:rPr>
      </w:pPr>
    </w:p>
    <w:p w14:paraId="49FB8A0D" w14:textId="12BD90E3" w:rsidR="004C0294" w:rsidRPr="00796736" w:rsidRDefault="004C0294" w:rsidP="00A802A5">
      <w:pPr>
        <w:pStyle w:val="Overskrift4"/>
        <w:rPr>
          <w:rFonts w:ascii="Times New Roman" w:hAnsi="Times New Roman" w:cs="Times New Roman"/>
          <w:sz w:val="24"/>
          <w:szCs w:val="24"/>
        </w:rPr>
      </w:pPr>
      <w:bookmarkStart w:id="1281" w:name="_Toc232109189"/>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1281"/>
      <w:r w:rsidRPr="00796736">
        <w:rPr>
          <w:rFonts w:ascii="Times New Roman" w:hAnsi="Times New Roman" w:cs="Times New Roman"/>
          <w:sz w:val="24"/>
          <w:szCs w:val="24"/>
        </w:rPr>
        <w:t xml:space="preserve"> </w:t>
      </w:r>
    </w:p>
    <w:p w14:paraId="567CD941" w14:textId="57C887E8" w:rsidR="00B137EA" w:rsidRPr="00796736" w:rsidRDefault="00B137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766D3A" w:rsidRPr="00796736">
        <w:rPr>
          <w:rFonts w:ascii="Times New Roman" w:hAnsi="Times New Roman" w:cs="Times New Roman"/>
          <w:sz w:val="24"/>
          <w:szCs w:val="24"/>
        </w:rPr>
        <w:fldChar w:fldCharType="begin"/>
      </w:r>
      <w:r w:rsidR="00766D3A" w:rsidRPr="00796736">
        <w:rPr>
          <w:rFonts w:ascii="Times New Roman" w:hAnsi="Times New Roman" w:cs="Times New Roman"/>
          <w:sz w:val="24"/>
          <w:szCs w:val="24"/>
        </w:rPr>
        <w:instrText xml:space="preserve"> REF _Ref232938642 \n \h </w:instrText>
      </w:r>
      <w:r w:rsidR="00967618" w:rsidRPr="00796736">
        <w:rPr>
          <w:rFonts w:ascii="Times New Roman" w:hAnsi="Times New Roman" w:cs="Times New Roman"/>
          <w:sz w:val="24"/>
          <w:szCs w:val="24"/>
        </w:rPr>
        <w:instrText xml:space="preserve"> \* MERGEFORMAT </w:instrText>
      </w:r>
      <w:r w:rsidR="00766D3A" w:rsidRPr="00796736">
        <w:rPr>
          <w:rFonts w:ascii="Times New Roman" w:hAnsi="Times New Roman" w:cs="Times New Roman"/>
          <w:sz w:val="24"/>
          <w:szCs w:val="24"/>
        </w:rPr>
      </w:r>
      <w:r w:rsidR="00766D3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3.49.2</w:t>
      </w:r>
      <w:r w:rsidR="00766D3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følger det af hvidvaskdirektivets artikel 37, at medlemsstaterne skal udpege nationale tilsynsmyndigheder, som er tillagt en række opgaver og beføjelser for effektivt at kunne føre tilsyn med hvidvask- og terrorfinansieringsområdet. For så vidt angår virksomheder der er omfattet af specifikke tilladelseskrav, følger det af artikel 37, stk. 1, at medlemsstaterne skal sikre, at de aktiviteter, der udføres af de forpligtede enheder i henhold til disse specifikke tilladelser, er underlagt tilsyn af deres nationale tilsynsorganer, uanset om aktiviteterne udføres via en infrastruktur på deres område eller på afstand. Dertil kommer, at det af stk. 5 følger, at medlemsstaterne skal sikre, at de nationale tilsynsmyndigheder udfører en række opgaver, som følger af bestemmelsens litra a-g. </w:t>
      </w:r>
    </w:p>
    <w:p w14:paraId="0EA76DA8" w14:textId="77777777" w:rsidR="00B137EA" w:rsidRPr="00796736" w:rsidRDefault="00B137EA" w:rsidP="00A802A5">
      <w:pPr>
        <w:spacing w:line="360" w:lineRule="auto"/>
        <w:rPr>
          <w:rFonts w:ascii="Times New Roman" w:hAnsi="Times New Roman" w:cs="Times New Roman"/>
          <w:sz w:val="24"/>
          <w:szCs w:val="24"/>
        </w:rPr>
      </w:pPr>
    </w:p>
    <w:p w14:paraId="48266DBE" w14:textId="3E509789" w:rsidR="00B137EA" w:rsidRPr="00796736" w:rsidRDefault="00B137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Ordningen, som følger af hvidvaskdirektivets artikel 38, er som anført i pkt. </w:t>
      </w:r>
      <w:r w:rsidR="00766D3A" w:rsidRPr="00796736">
        <w:rPr>
          <w:rFonts w:ascii="Times New Roman" w:hAnsi="Times New Roman" w:cs="Times New Roman"/>
          <w:sz w:val="24"/>
          <w:szCs w:val="24"/>
        </w:rPr>
        <w:fldChar w:fldCharType="begin"/>
      </w:r>
      <w:r w:rsidR="00766D3A" w:rsidRPr="00796736">
        <w:rPr>
          <w:rFonts w:ascii="Times New Roman" w:hAnsi="Times New Roman" w:cs="Times New Roman"/>
          <w:sz w:val="24"/>
          <w:szCs w:val="24"/>
        </w:rPr>
        <w:instrText xml:space="preserve"> REF _Ref232938670 \n \h </w:instrText>
      </w:r>
      <w:r w:rsidR="00967618" w:rsidRPr="00796736">
        <w:rPr>
          <w:rFonts w:ascii="Times New Roman" w:hAnsi="Times New Roman" w:cs="Times New Roman"/>
          <w:sz w:val="24"/>
          <w:szCs w:val="24"/>
        </w:rPr>
        <w:instrText xml:space="preserve"> \* MERGEFORMAT </w:instrText>
      </w:r>
      <w:r w:rsidR="00766D3A" w:rsidRPr="00796736">
        <w:rPr>
          <w:rFonts w:ascii="Times New Roman" w:hAnsi="Times New Roman" w:cs="Times New Roman"/>
          <w:sz w:val="24"/>
          <w:szCs w:val="24"/>
        </w:rPr>
      </w:r>
      <w:r w:rsidR="00766D3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3.49.2</w:t>
      </w:r>
      <w:r w:rsidR="00766D3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ny. Bestemmelsen indebærer, at tilsynsmyndighederne på nærmere betingelser kan overgive sin tilsynskompetence vedrørende udstedere af elektroniske penge, betalingstjenesteudbydere og udbydere af kryptoaktivtjenester, der driver virksomhed i medlemsstaten gennem agenter eller distributører, eller gennem andre typer infrastruktur, til tilsynsmyndigheden i det EU- eller EØS-land, hvor den forpligtede enheds hovedsæde er beliggende. Ordningen indebærer desuden oplysningsforpligtigelser myndighederne i mellem og underretningsforpligtelser i forhold til de omfattede virksomheder.</w:t>
      </w:r>
    </w:p>
    <w:p w14:paraId="054CF635" w14:textId="77777777" w:rsidR="00B137EA" w:rsidRPr="00796736" w:rsidRDefault="00B137EA" w:rsidP="00A802A5">
      <w:pPr>
        <w:spacing w:line="360" w:lineRule="auto"/>
        <w:rPr>
          <w:rFonts w:ascii="Times New Roman" w:hAnsi="Times New Roman" w:cs="Times New Roman"/>
          <w:sz w:val="24"/>
          <w:szCs w:val="24"/>
        </w:rPr>
      </w:pPr>
    </w:p>
    <w:p w14:paraId="748DFD1B" w14:textId="025A681B" w:rsidR="00B137EA" w:rsidRPr="00796736" w:rsidRDefault="00B137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også fremgår af pkt. </w:t>
      </w:r>
      <w:r w:rsidR="00766D3A" w:rsidRPr="00796736">
        <w:rPr>
          <w:rFonts w:ascii="Times New Roman" w:hAnsi="Times New Roman" w:cs="Times New Roman"/>
          <w:sz w:val="24"/>
          <w:szCs w:val="24"/>
        </w:rPr>
        <w:fldChar w:fldCharType="begin"/>
      </w:r>
      <w:r w:rsidR="00766D3A" w:rsidRPr="00796736">
        <w:rPr>
          <w:rFonts w:ascii="Times New Roman" w:hAnsi="Times New Roman" w:cs="Times New Roman"/>
          <w:sz w:val="24"/>
          <w:szCs w:val="24"/>
        </w:rPr>
        <w:instrText xml:space="preserve"> REF _Ref232938678 \n \h </w:instrText>
      </w:r>
      <w:r w:rsidR="00967618" w:rsidRPr="00796736">
        <w:rPr>
          <w:rFonts w:ascii="Times New Roman" w:hAnsi="Times New Roman" w:cs="Times New Roman"/>
          <w:sz w:val="24"/>
          <w:szCs w:val="24"/>
        </w:rPr>
        <w:instrText xml:space="preserve"> \* MERGEFORMAT </w:instrText>
      </w:r>
      <w:r w:rsidR="00766D3A" w:rsidRPr="00796736">
        <w:rPr>
          <w:rFonts w:ascii="Times New Roman" w:hAnsi="Times New Roman" w:cs="Times New Roman"/>
          <w:sz w:val="24"/>
          <w:szCs w:val="24"/>
        </w:rPr>
      </w:r>
      <w:r w:rsidR="00766D3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3.49.2</w:t>
      </w:r>
      <w:r w:rsidR="00766D3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følger det af hvidvaskdirektivets artikel 39, at medlemsstaterne skal sikre, at tilsynsmyndighederne fremlægger en række oplysninger for de forpligtede enheder i forbindelse med deres tilsyn og af artikel 40, at tilsynsorganerne følger princippet om et risikobaseret tilsyn, som i bestemmelsens stk. 1 og 4 er nærmere præciseret, hvad indebærer. Endelig følger det af artikel 40, stk. 5, at tilsynsmyndighederne skal udarbejde en årlig aktivitetsrapport om tilsynet mv., hvoraf en sammenfatning heraf offentliggøres.</w:t>
      </w:r>
    </w:p>
    <w:p w14:paraId="01566477" w14:textId="77777777" w:rsidR="001F14FF" w:rsidRPr="00796736" w:rsidRDefault="001F14FF" w:rsidP="00A802A5">
      <w:pPr>
        <w:spacing w:line="360" w:lineRule="auto"/>
        <w:rPr>
          <w:rFonts w:ascii="Times New Roman" w:hAnsi="Times New Roman" w:cs="Times New Roman"/>
          <w:sz w:val="24"/>
          <w:szCs w:val="24"/>
        </w:rPr>
      </w:pPr>
    </w:p>
    <w:p w14:paraId="190F57A7" w14:textId="77777777" w:rsidR="006D780F" w:rsidRPr="00796736" w:rsidRDefault="001F14F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6. hvidvaskdirektivs bestemmelser og 4. og 5. hvidvaskdirektivs tilsvarende bestemmelser adskiller sig bl.a. ved, at artikel 37 i videre udstrækning end artikel 48 udspecificerer, hvilke opgaver og beføjelser, som tilsynsmyndighederne skal henholdsvis varetage og være i besiddelse af. Videre åbnes der i artikel 38, stk. 2, mulighed for, at tilsynet med agenter, distributører eller andre typer infrastruktur af udstedere af elektroniske penge, betalingstjenesteudbydere og udbydere af kryptoaktivtjenester føres af tilsynsorganet i den medlemsstat, hvor den forpligtede enheds hovedsæde er beliggende, når de i artikel 38, stk. 2, litra a og b angivne betingelser er opfyldt. I artikel 37, stk. 5, er det fastsat, at de nationale tilsynsmyndigheder ikke udøver tilsyn i forhold til virksomheder, der er under tilsyn af AMLA. </w:t>
      </w:r>
    </w:p>
    <w:p w14:paraId="7CA60738" w14:textId="77777777" w:rsidR="006D780F" w:rsidRPr="00796736" w:rsidRDefault="006D780F" w:rsidP="00A802A5">
      <w:pPr>
        <w:spacing w:line="360" w:lineRule="auto"/>
        <w:rPr>
          <w:rFonts w:ascii="Times New Roman" w:hAnsi="Times New Roman" w:cs="Times New Roman"/>
          <w:sz w:val="24"/>
          <w:szCs w:val="24"/>
        </w:rPr>
      </w:pPr>
    </w:p>
    <w:p w14:paraId="6A58D61C" w14:textId="197C2D87" w:rsidR="001F14FF" w:rsidRPr="00796736" w:rsidRDefault="001F14F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Herudover kan det kan det bl.a. nævnes, at hvidvaskdirektivets artikel 39 indeholder et nye krav om outreachaktiviteter og fremlæggelse af oplysninger om FN-sanktioner. Endelig kan det nævnes, at artikel 40 om et risikobaseret tilsyn til forskel fra artiklerne 48, stk. 6, bl.a. indebærer et krav om årlige tilsynsprogrammer og offentliggørelse af ikke-klassificerede sammenfatninger af de årlige aktivitetsrapporter. Der henvises i øvrigt til gennemgangen under pkt.</w:t>
      </w:r>
      <w:r w:rsidR="00817544" w:rsidRPr="00796736">
        <w:rPr>
          <w:rFonts w:ascii="Times New Roman" w:hAnsi="Times New Roman" w:cs="Times New Roman"/>
          <w:sz w:val="24"/>
          <w:szCs w:val="24"/>
        </w:rPr>
        <w:t xml:space="preserve"> </w:t>
      </w:r>
      <w:r w:rsidR="00766D3A" w:rsidRPr="00796736">
        <w:rPr>
          <w:rFonts w:ascii="Times New Roman" w:hAnsi="Times New Roman" w:cs="Times New Roman"/>
          <w:sz w:val="24"/>
          <w:szCs w:val="24"/>
        </w:rPr>
        <w:fldChar w:fldCharType="begin"/>
      </w:r>
      <w:r w:rsidR="00766D3A" w:rsidRPr="00796736">
        <w:rPr>
          <w:rFonts w:ascii="Times New Roman" w:hAnsi="Times New Roman" w:cs="Times New Roman"/>
          <w:sz w:val="24"/>
          <w:szCs w:val="24"/>
        </w:rPr>
        <w:instrText xml:space="preserve"> REF _Ref232938724 \n \h </w:instrText>
      </w:r>
      <w:r w:rsidR="00967618" w:rsidRPr="00796736">
        <w:rPr>
          <w:rFonts w:ascii="Times New Roman" w:hAnsi="Times New Roman" w:cs="Times New Roman"/>
          <w:sz w:val="24"/>
          <w:szCs w:val="24"/>
        </w:rPr>
        <w:instrText xml:space="preserve"> \* MERGEFORMAT </w:instrText>
      </w:r>
      <w:r w:rsidR="00766D3A" w:rsidRPr="00796736">
        <w:rPr>
          <w:rFonts w:ascii="Times New Roman" w:hAnsi="Times New Roman" w:cs="Times New Roman"/>
          <w:sz w:val="24"/>
          <w:szCs w:val="24"/>
        </w:rPr>
      </w:r>
      <w:r w:rsidR="00766D3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3.49.2</w:t>
      </w:r>
      <w:r w:rsidR="00766D3A" w:rsidRPr="00796736">
        <w:rPr>
          <w:rFonts w:ascii="Times New Roman" w:hAnsi="Times New Roman" w:cs="Times New Roman"/>
          <w:sz w:val="24"/>
          <w:szCs w:val="24"/>
        </w:rPr>
        <w:fldChar w:fldCharType="end"/>
      </w:r>
      <w:r w:rsidR="000D45A0" w:rsidRPr="00796736">
        <w:rPr>
          <w:rFonts w:ascii="Times New Roman" w:hAnsi="Times New Roman" w:cs="Times New Roman"/>
          <w:sz w:val="24"/>
          <w:szCs w:val="24"/>
        </w:rPr>
        <w:t>.</w:t>
      </w:r>
    </w:p>
    <w:p w14:paraId="6D6148B4" w14:textId="77777777" w:rsidR="00B137EA" w:rsidRPr="00796736" w:rsidRDefault="00B137EA" w:rsidP="00A802A5">
      <w:pPr>
        <w:spacing w:line="360" w:lineRule="auto"/>
        <w:rPr>
          <w:rFonts w:ascii="Times New Roman" w:hAnsi="Times New Roman" w:cs="Times New Roman"/>
          <w:sz w:val="24"/>
          <w:szCs w:val="24"/>
        </w:rPr>
      </w:pPr>
    </w:p>
    <w:p w14:paraId="32468659" w14:textId="1D002E79" w:rsidR="00B137EA" w:rsidRPr="00796736" w:rsidRDefault="00B137EA"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effektivt og risikobaseret tilsyn med finansielle virksomheder </w:t>
      </w:r>
      <w:r w:rsidRPr="00796736">
        <w:rPr>
          <w:rFonts w:ascii="Times New Roman" w:hAnsi="Times New Roman" w:cs="Times New Roman"/>
          <w:sz w:val="24"/>
          <w:szCs w:val="24"/>
        </w:rPr>
        <w:t xml:space="preserve">er efter </w:t>
      </w:r>
      <w:r w:rsidR="00DF1E65" w:rsidRPr="00796736">
        <w:rPr>
          <w:rFonts w:ascii="Times New Roman" w:hAnsi="Times New Roman" w:cs="Times New Roman"/>
          <w:sz w:val="24"/>
          <w:szCs w:val="24"/>
        </w:rPr>
        <w:t>Skatte- og Vækstministeriets</w:t>
      </w:r>
      <w:r w:rsidRPr="00796736">
        <w:rPr>
          <w:rFonts w:ascii="Times New Roman" w:hAnsi="Times New Roman" w:cs="Times New Roman"/>
          <w:sz w:val="24"/>
          <w:szCs w:val="24"/>
        </w:rPr>
        <w:t xml:space="preserve"> opfattelse en væsentlig bestanddel og et vigtigt redskab i bekæmpelsen af hvidvask af penge, terrorfinansiering og omgåelse af internationale sanktioner. </w:t>
      </w:r>
      <w:r w:rsidRPr="00796736">
        <w:rPr>
          <w:rFonts w:ascii="Times New Roman" w:eastAsia="Calibri" w:hAnsi="Times New Roman" w:cs="Times New Roman"/>
          <w:sz w:val="24"/>
          <w:szCs w:val="24"/>
        </w:rPr>
        <w:t xml:space="preserve">De foreslåede bestemmelser skal således bidrage til at styrke den finansielle sektors integritet og stabilitet, sikre overholdelse af internationale forpligtelser og skabe klarhed om rammerne for Finanstilsynets tilsyn. </w:t>
      </w:r>
    </w:p>
    <w:p w14:paraId="569CC84A" w14:textId="1EB00DA2" w:rsidR="00B137EA" w:rsidRPr="00796736" w:rsidRDefault="00B137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Det foreslås i overensstemmelse hermed at gennemføre hvidvaskdirektivets artikel 37, 38 og 40 ved i </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117BCC" w:rsidRPr="00796736">
        <w:rPr>
          <w:rFonts w:ascii="Times New Roman" w:hAnsi="Times New Roman" w:cs="Times New Roman"/>
          <w:sz w:val="24"/>
          <w:szCs w:val="24"/>
        </w:rPr>
        <w:fldChar w:fldCharType="end"/>
      </w:r>
      <w:r w:rsidR="00766D3A" w:rsidRPr="00796736">
        <w:rPr>
          <w:rFonts w:ascii="Times New Roman" w:hAnsi="Times New Roman" w:cs="Times New Roman"/>
          <w:sz w:val="24"/>
          <w:szCs w:val="24"/>
        </w:rPr>
        <w:t xml:space="preserve"> </w:t>
      </w:r>
      <w:r w:rsidRPr="00796736">
        <w:rPr>
          <w:rFonts w:ascii="Times New Roman" w:hAnsi="Times New Roman" w:cs="Times New Roman"/>
          <w:sz w:val="24"/>
          <w:szCs w:val="24"/>
        </w:rPr>
        <w:t>at fastlægge, at Finanstilsynet fører tilsyn med de i lovforslagets</w:t>
      </w:r>
      <w:r w:rsidR="006D780F"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 </w:t>
      </w:r>
      <w:r w:rsidR="006D780F" w:rsidRPr="00796736">
        <w:rPr>
          <w:rFonts w:ascii="Times New Roman" w:hAnsi="Times New Roman" w:cs="Times New Roman"/>
          <w:sz w:val="24"/>
          <w:szCs w:val="24"/>
        </w:rPr>
        <w:t xml:space="preserve">1, stk. 2, nr. 1-3 </w:t>
      </w:r>
      <w:r w:rsidR="002B4BDE">
        <w:rPr>
          <w:rFonts w:ascii="Times New Roman" w:hAnsi="Times New Roman" w:cs="Times New Roman"/>
          <w:sz w:val="24"/>
          <w:szCs w:val="24"/>
        </w:rPr>
        <w:t>samt</w:t>
      </w:r>
      <w:r w:rsidR="006D780F" w:rsidRPr="00796736">
        <w:rPr>
          <w:rFonts w:ascii="Times New Roman" w:hAnsi="Times New Roman" w:cs="Times New Roman"/>
          <w:sz w:val="24"/>
          <w:szCs w:val="24"/>
        </w:rPr>
        <w:t xml:space="preserve"> § 2, nr. 1-19 </w:t>
      </w:r>
      <w:r w:rsidR="002B4BDE">
        <w:rPr>
          <w:rFonts w:ascii="Times New Roman" w:hAnsi="Times New Roman" w:cs="Times New Roman"/>
          <w:sz w:val="24"/>
          <w:szCs w:val="24"/>
        </w:rPr>
        <w:t>og</w:t>
      </w:r>
      <w:r w:rsidR="006D780F" w:rsidRPr="00796736">
        <w:rPr>
          <w:rFonts w:ascii="Times New Roman" w:hAnsi="Times New Roman" w:cs="Times New Roman"/>
          <w:sz w:val="24"/>
          <w:szCs w:val="24"/>
        </w:rPr>
        <w:t xml:space="preserve"> 32, litra a,</w:t>
      </w:r>
      <w:r w:rsidRPr="00796736">
        <w:rPr>
          <w:rFonts w:ascii="Times New Roman" w:hAnsi="Times New Roman" w:cs="Times New Roman"/>
          <w:sz w:val="24"/>
          <w:szCs w:val="24"/>
        </w:rPr>
        <w:t xml:space="preserve"> nævnte virksomheder og personers og filialer, distributører og agenter her i landet af sådanne udenlandske virksomheder og personer overholdelse af hvidvaskforordningen, pengeoverførselsforordningen, denne lov og regler udstedt i medfør af denne lov samt love og forordninger, som indeholder regler om målrettede finansielle sanktioner. </w:t>
      </w:r>
    </w:p>
    <w:p w14:paraId="57BCB56B" w14:textId="77777777" w:rsidR="00B137EA" w:rsidRPr="00796736" w:rsidRDefault="00B137EA" w:rsidP="00A802A5">
      <w:pPr>
        <w:spacing w:line="360" w:lineRule="auto"/>
        <w:rPr>
          <w:rFonts w:ascii="Times New Roman" w:hAnsi="Times New Roman" w:cs="Times New Roman"/>
          <w:sz w:val="24"/>
          <w:szCs w:val="24"/>
        </w:rPr>
      </w:pPr>
    </w:p>
    <w:p w14:paraId="00087742" w14:textId="09947C4F" w:rsidR="00B137EA" w:rsidRPr="00796736" w:rsidRDefault="006D780F"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Tilsynsforpligtelsen vil her i landet gælde for alle de nævnte virksomheder og personer. Dette gælder dog ikke virksomheder, der er under tilsyn af AMLA. Det gælder heller ikke distributører, agenter eller andre typer infrastruktur, der er beliggende her i landet, og som tilhører udstedere af elektroniske penge, betalingstjenesteudbydere eller udbydere af kryptoaktivtjenester med hjemsted i et andet EU- eller EØS-land, når kriterierne i den reguleringsmæssige tekniske standard, der er omhandlet i hvidvaskdirektivets artikel 41, stk. 2, ikke er opfyldt. Det er endvidere en betingelse, at Finanstilsynet har givet meddelelse til tilsynsmyndigheden i det EU- eller EØS-land, hvor den udenlandske virksomhed eller person har hjemsted, om, at tilsynet her i landet, henset til agentens, distributørens eller den anden type infrastrukturs begrænsede aktiviteter, skal udføres af tilsynsmyndigheden i den medlemsstat, hvor virksomheden eller personen har hjemsted.</w:t>
      </w:r>
    </w:p>
    <w:p w14:paraId="5901A30F" w14:textId="77777777" w:rsidR="00B137EA" w:rsidRPr="00796736" w:rsidRDefault="00B137EA" w:rsidP="00A802A5">
      <w:pPr>
        <w:spacing w:line="360" w:lineRule="auto"/>
        <w:rPr>
          <w:rFonts w:ascii="Times New Roman" w:eastAsia="Times New Roman" w:hAnsi="Times New Roman" w:cs="Times New Roman"/>
          <w:sz w:val="24"/>
          <w:szCs w:val="24"/>
          <w:lang w:eastAsia="da-DK"/>
        </w:rPr>
      </w:pPr>
    </w:p>
    <w:p w14:paraId="2ED95B14" w14:textId="77777777" w:rsidR="00B137EA" w:rsidRPr="00796736" w:rsidRDefault="00B137EA"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Herudover foreslås det, at Finanstilsynet har tilsynsforpligtelsen i forhold til de i et andet </w:t>
      </w:r>
      <w:r w:rsidRPr="00796736">
        <w:rPr>
          <w:rFonts w:ascii="Times New Roman" w:eastAsia="Times New Roman" w:hAnsi="Times New Roman" w:cs="Times New Roman"/>
          <w:iCs/>
          <w:sz w:val="24"/>
          <w:szCs w:val="24"/>
          <w:lang w:eastAsia="da-DK"/>
        </w:rPr>
        <w:t>EU- eller EØS-land</w:t>
      </w:r>
      <w:r w:rsidRPr="00796736">
        <w:rPr>
          <w:rFonts w:ascii="Times New Roman" w:eastAsia="Times New Roman" w:hAnsi="Times New Roman" w:cs="Times New Roman"/>
          <w:sz w:val="24"/>
          <w:szCs w:val="24"/>
          <w:lang w:eastAsia="da-DK"/>
        </w:rPr>
        <w:t xml:space="preserve"> beliggende distributører, agenter eller andre typer infrastruktur, af </w:t>
      </w:r>
      <w:r w:rsidRPr="00796736">
        <w:rPr>
          <w:rFonts w:ascii="Times New Roman" w:hAnsi="Times New Roman" w:cs="Times New Roman"/>
          <w:sz w:val="24"/>
          <w:szCs w:val="24"/>
        </w:rPr>
        <w:t>udstedere af elektroniske penge, betalingstjenesteudbydere og udbydere af kryptoaktivtjenester</w:t>
      </w:r>
      <w:r w:rsidRPr="00796736">
        <w:rPr>
          <w:rFonts w:ascii="Times New Roman" w:eastAsia="Times New Roman" w:hAnsi="Times New Roman" w:cs="Times New Roman"/>
          <w:sz w:val="24"/>
          <w:szCs w:val="24"/>
          <w:lang w:eastAsia="da-DK"/>
        </w:rPr>
        <w:t xml:space="preserve"> med hjemsted i Danmark, når kriterierne i den reguleringsmæssige tekniske standard, der er omhandlet i artikel 41, stk. 2, i hvidvaskdirektivet ikke er opfyldt, og tilsynsmyndigheden i det land, hvor agenten, distributøren eller andre typer infrastruktur driver virksomhed, har givet meddelelse til Finanstilsynet om, at tilsynet, i betragtning af agentens eller distributørens eller andre typer infrastrukturs begrænsede aktiviteter i landet, skal udføres af tilsynsmyndigheden i den medlemsstat, hvor virksomheden eller personen har sit hjemsted.</w:t>
      </w:r>
    </w:p>
    <w:p w14:paraId="6387E5EE" w14:textId="77777777" w:rsidR="00B137EA" w:rsidRPr="00796736" w:rsidRDefault="00B137EA" w:rsidP="00A802A5">
      <w:pPr>
        <w:spacing w:line="360" w:lineRule="auto"/>
        <w:rPr>
          <w:rFonts w:ascii="Times New Roman" w:eastAsia="Times New Roman" w:hAnsi="Times New Roman" w:cs="Times New Roman"/>
          <w:sz w:val="24"/>
          <w:szCs w:val="24"/>
          <w:lang w:eastAsia="da-DK"/>
        </w:rPr>
      </w:pPr>
    </w:p>
    <w:p w14:paraId="6F8CC93A" w14:textId="3CEFA73A" w:rsidR="00B137EA" w:rsidRPr="00796736" w:rsidRDefault="00B137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ordning vil indebære, at den nugældende ordning, hvorefter Finanstilsynet er tilsynsmyndighed for finansielle virksomheder og personer på hvidvask-, terrorfinansierings- og sanktionsområdet videreføres og udbygges, idet hvidvaskdirektivets artikel 37, 39 og 40 viderefører en række elementer fra 4. og 5. hvidvaskdirektivs artikel 46, stk. 2 og artikel 48, men også indeholder flere centrale præciseringer og tilføjelser, jf. nærmere beskrivelsen ovenfor og under pkt. </w:t>
      </w:r>
      <w:r w:rsidR="00766D3A" w:rsidRPr="00796736">
        <w:rPr>
          <w:rFonts w:ascii="Times New Roman" w:hAnsi="Times New Roman" w:cs="Times New Roman"/>
          <w:sz w:val="24"/>
          <w:szCs w:val="24"/>
        </w:rPr>
        <w:fldChar w:fldCharType="begin"/>
      </w:r>
      <w:r w:rsidR="00766D3A" w:rsidRPr="00796736">
        <w:rPr>
          <w:rFonts w:ascii="Times New Roman" w:hAnsi="Times New Roman" w:cs="Times New Roman"/>
          <w:sz w:val="24"/>
          <w:szCs w:val="24"/>
        </w:rPr>
        <w:instrText xml:space="preserve"> REF _Ref232938838 \n \h </w:instrText>
      </w:r>
      <w:r w:rsidR="00967618" w:rsidRPr="00796736">
        <w:rPr>
          <w:rFonts w:ascii="Times New Roman" w:hAnsi="Times New Roman" w:cs="Times New Roman"/>
          <w:sz w:val="24"/>
          <w:szCs w:val="24"/>
        </w:rPr>
        <w:instrText xml:space="preserve"> \* MERGEFORMAT </w:instrText>
      </w:r>
      <w:r w:rsidR="00766D3A" w:rsidRPr="00796736">
        <w:rPr>
          <w:rFonts w:ascii="Times New Roman" w:hAnsi="Times New Roman" w:cs="Times New Roman"/>
          <w:sz w:val="24"/>
          <w:szCs w:val="24"/>
        </w:rPr>
      </w:r>
      <w:r w:rsidR="00766D3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3.49.2</w:t>
      </w:r>
      <w:r w:rsidR="00766D3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0710BA3F" w14:textId="77777777" w:rsidR="00B137EA" w:rsidRPr="00796736" w:rsidRDefault="00B137EA" w:rsidP="00A802A5">
      <w:pPr>
        <w:spacing w:line="360" w:lineRule="auto"/>
        <w:rPr>
          <w:rFonts w:ascii="Times New Roman" w:hAnsi="Times New Roman" w:cs="Times New Roman"/>
          <w:sz w:val="24"/>
          <w:szCs w:val="24"/>
        </w:rPr>
      </w:pPr>
    </w:p>
    <w:p w14:paraId="229DDB0A" w14:textId="02C62AE6" w:rsidR="00B137EA" w:rsidRPr="00796736" w:rsidRDefault="00B137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117BC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 </w:t>
      </w:r>
    </w:p>
    <w:p w14:paraId="2D81242D" w14:textId="77777777" w:rsidR="004C0294" w:rsidRPr="00796736" w:rsidRDefault="004C0294" w:rsidP="00A802A5">
      <w:pPr>
        <w:spacing w:line="360" w:lineRule="auto"/>
        <w:rPr>
          <w:rFonts w:ascii="Times New Roman" w:hAnsi="Times New Roman" w:cs="Times New Roman"/>
          <w:sz w:val="24"/>
          <w:szCs w:val="24"/>
        </w:rPr>
      </w:pPr>
    </w:p>
    <w:p w14:paraId="61F569F3" w14:textId="710490D0" w:rsidR="004C0294" w:rsidRPr="00796736" w:rsidRDefault="00C24D42" w:rsidP="00A802A5">
      <w:pPr>
        <w:pStyle w:val="Overskrift2"/>
        <w:rPr>
          <w:rFonts w:ascii="Times New Roman" w:hAnsi="Times New Roman"/>
          <w:sz w:val="24"/>
        </w:rPr>
      </w:pPr>
      <w:bookmarkStart w:id="1282" w:name="_Toc232109190"/>
      <w:bookmarkStart w:id="1283" w:name="_Ref232949858"/>
      <w:bookmarkStart w:id="1284" w:name="_Toc244880767"/>
      <w:r w:rsidRPr="00796736">
        <w:rPr>
          <w:rFonts w:ascii="Times New Roman" w:hAnsi="Times New Roman"/>
          <w:sz w:val="24"/>
        </w:rPr>
        <w:t>Finanstilsynets tilsyn med skadeforsikringsselskabers overholdelse af finansielle sanktioner</w:t>
      </w:r>
      <w:bookmarkEnd w:id="1282"/>
      <w:bookmarkEnd w:id="1283"/>
      <w:bookmarkEnd w:id="1284"/>
    </w:p>
    <w:p w14:paraId="1EEE7FBF" w14:textId="6F2A4112" w:rsidR="004C0294" w:rsidRPr="00796736" w:rsidRDefault="004C0294" w:rsidP="00A802A5">
      <w:pPr>
        <w:pStyle w:val="Overskrift4"/>
        <w:rPr>
          <w:rFonts w:ascii="Times New Roman" w:hAnsi="Times New Roman" w:cs="Times New Roman"/>
          <w:sz w:val="24"/>
          <w:szCs w:val="24"/>
        </w:rPr>
      </w:pPr>
      <w:bookmarkStart w:id="1285" w:name="_Toc232109191"/>
      <w:r w:rsidRPr="00796736">
        <w:rPr>
          <w:rFonts w:ascii="Times New Roman" w:hAnsi="Times New Roman" w:cs="Times New Roman"/>
          <w:sz w:val="24"/>
          <w:szCs w:val="24"/>
        </w:rPr>
        <w:t>Gældende ret</w:t>
      </w:r>
      <w:bookmarkEnd w:id="1285"/>
    </w:p>
    <w:p w14:paraId="59D20A14" w14:textId="77777777" w:rsidR="008A0AAF" w:rsidRPr="00796736" w:rsidRDefault="008A0AA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hvidvasklovens § 46 f, at Finanstilsynet påser, at virksomheder omfattet af § 1, stk. 6, overholder forordninger indeholdende regler om finansielle sanktioner mod lande, personer, grupper, juridiske enheder eller organer, med den kompetence, som Finanstilsynet er tillagt i medfør af § 47, stk. 1 og 2.</w:t>
      </w:r>
    </w:p>
    <w:p w14:paraId="1CADFD10" w14:textId="611DC770" w:rsidR="008A0AAF" w:rsidRPr="00796736" w:rsidRDefault="008A0AA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Endvidere finder § 49, stk. 1-5, og §§ 51 og 55 tilsvarende anvendelse på skadesforsikringsselskabers overholdelse af forordninger indeholdende regler om finansielle sanktioner mod lande, personer, grupper, juridiske enheder eller organer.</w:t>
      </w:r>
    </w:p>
    <w:p w14:paraId="3EA78E84" w14:textId="5927469F" w:rsidR="004C0294" w:rsidRPr="00796736" w:rsidRDefault="004C0294" w:rsidP="00A802A5">
      <w:pPr>
        <w:pStyle w:val="Overskrift4"/>
        <w:rPr>
          <w:rFonts w:ascii="Times New Roman" w:hAnsi="Times New Roman" w:cs="Times New Roman"/>
          <w:sz w:val="24"/>
          <w:szCs w:val="24"/>
        </w:rPr>
      </w:pPr>
      <w:bookmarkStart w:id="1286" w:name="_Toc232109192"/>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1286"/>
      <w:r w:rsidRPr="00796736">
        <w:rPr>
          <w:rFonts w:ascii="Times New Roman" w:hAnsi="Times New Roman" w:cs="Times New Roman"/>
          <w:sz w:val="24"/>
          <w:szCs w:val="24"/>
        </w:rPr>
        <w:t xml:space="preserve"> </w:t>
      </w:r>
    </w:p>
    <w:p w14:paraId="6B194CEC" w14:textId="4DB56BDD" w:rsidR="008A0AAF" w:rsidRPr="00796736" w:rsidRDefault="008A0AA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 xml:space="preserve">ækstministeriet har vurderet, at det er hensigtsmæssigt at videreføre Finanstilsynets tilsynsansvar med virksomheder omfattet af </w:t>
      </w:r>
      <w:r w:rsidR="00766D3A" w:rsidRPr="00796736">
        <w:rPr>
          <w:rFonts w:ascii="Times New Roman" w:eastAsia="Calibri" w:hAnsi="Times New Roman" w:cs="Times New Roman"/>
          <w:sz w:val="24"/>
          <w:szCs w:val="24"/>
        </w:rPr>
        <w:fldChar w:fldCharType="begin"/>
      </w:r>
      <w:r w:rsidR="00766D3A" w:rsidRPr="00796736">
        <w:rPr>
          <w:rFonts w:ascii="Times New Roman" w:eastAsia="Calibri" w:hAnsi="Times New Roman" w:cs="Times New Roman"/>
          <w:sz w:val="24"/>
          <w:szCs w:val="24"/>
        </w:rPr>
        <w:instrText xml:space="preserve"> REF _Ref232583170 \r \h </w:instrText>
      </w:r>
      <w:r w:rsidR="00967618" w:rsidRPr="00796736">
        <w:rPr>
          <w:rFonts w:ascii="Times New Roman" w:eastAsia="Calibri" w:hAnsi="Times New Roman" w:cs="Times New Roman"/>
          <w:sz w:val="24"/>
          <w:szCs w:val="24"/>
        </w:rPr>
        <w:instrText xml:space="preserve"> \* MERGEFORMAT </w:instrText>
      </w:r>
      <w:r w:rsidR="00766D3A" w:rsidRPr="00796736">
        <w:rPr>
          <w:rFonts w:ascii="Times New Roman" w:eastAsia="Calibri" w:hAnsi="Times New Roman" w:cs="Times New Roman"/>
          <w:sz w:val="24"/>
          <w:szCs w:val="24"/>
        </w:rPr>
      </w:r>
      <w:r w:rsidR="00766D3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w:t>
      </w:r>
      <w:r w:rsidR="00766D3A"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w:t>
      </w:r>
      <w:r w:rsidR="0086684C" w:rsidRPr="00796736">
        <w:rPr>
          <w:rFonts w:ascii="Times New Roman" w:eastAsia="Calibri" w:hAnsi="Times New Roman" w:cs="Times New Roman"/>
          <w:sz w:val="24"/>
          <w:szCs w:val="24"/>
        </w:rPr>
        <w:t>3</w:t>
      </w:r>
      <w:r w:rsidRPr="00796736">
        <w:rPr>
          <w:rFonts w:ascii="Times New Roman" w:eastAsia="Calibri" w:hAnsi="Times New Roman" w:cs="Times New Roman"/>
          <w:sz w:val="24"/>
          <w:szCs w:val="24"/>
        </w:rPr>
        <w:t xml:space="preserve">, i hvidvaskloven, herunder skadesforsikringsselskaber og filialer her i landet af sådanne udenlandske virksomheder, i forhold til overholdelse af forordninger om finansielle sanktioner mod lande, personer, grupper, juridiske enheder eller organer. </w:t>
      </w:r>
    </w:p>
    <w:p w14:paraId="44A8F3A5" w14:textId="07CFE70A" w:rsidR="008A0AAF" w:rsidRPr="00796736" w:rsidRDefault="008A0AA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w:t>
      </w:r>
      <w:r w:rsidR="0018325B" w:rsidRPr="00796736">
        <w:rPr>
          <w:rFonts w:ascii="Times New Roman" w:eastAsia="Calibri" w:hAnsi="Times New Roman" w:cs="Times New Roman"/>
          <w:sz w:val="24"/>
          <w:szCs w:val="24"/>
        </w:rPr>
        <w:t>V</w:t>
      </w:r>
      <w:r w:rsidRPr="00796736">
        <w:rPr>
          <w:rFonts w:ascii="Times New Roman" w:eastAsia="Calibri" w:hAnsi="Times New Roman" w:cs="Times New Roman"/>
          <w:sz w:val="24"/>
          <w:szCs w:val="24"/>
        </w:rPr>
        <w:t xml:space="preserve">ækstministeriet har lagt vægt på, at de gældende regler allerede giver Finanstilsynet de nødvendige beføjelser til at føre tilsyn og gribe ind over for overtrædelser, og at der derfor ikke er behov for materielle ændringer. </w:t>
      </w:r>
    </w:p>
    <w:p w14:paraId="2097C8CD" w14:textId="77777777" w:rsidR="008A0AAF" w:rsidRPr="00796736" w:rsidRDefault="008A0AA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ordning sikrer, at Finanstilsynets tilsynskompetencer, mulighed for at udstede reaktioner samt offentliggørelsespligten er gældende for tilsynet med skadesforsikringsselskaber og filialers overholdelse af forordninger om finansielle sanktioner. </w:t>
      </w:r>
    </w:p>
    <w:p w14:paraId="79FF1B5D" w14:textId="2DA344AE" w:rsidR="008A0AAF" w:rsidRPr="00796736" w:rsidRDefault="008A0AA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Finanstilsynet påser, at virksomheder omfattet af </w:t>
      </w:r>
      <w:r w:rsidR="00766D3A" w:rsidRPr="00796736">
        <w:rPr>
          <w:rFonts w:ascii="Times New Roman" w:eastAsia="Calibri" w:hAnsi="Times New Roman" w:cs="Times New Roman"/>
          <w:sz w:val="24"/>
          <w:szCs w:val="24"/>
        </w:rPr>
        <w:fldChar w:fldCharType="begin"/>
      </w:r>
      <w:r w:rsidR="00766D3A" w:rsidRPr="00796736">
        <w:rPr>
          <w:rFonts w:ascii="Times New Roman" w:eastAsia="Calibri" w:hAnsi="Times New Roman" w:cs="Times New Roman"/>
          <w:sz w:val="24"/>
          <w:szCs w:val="24"/>
        </w:rPr>
        <w:instrText xml:space="preserve"> REF _Ref232583170 \r \h </w:instrText>
      </w:r>
      <w:r w:rsidR="00967618" w:rsidRPr="00796736">
        <w:rPr>
          <w:rFonts w:ascii="Times New Roman" w:eastAsia="Calibri" w:hAnsi="Times New Roman" w:cs="Times New Roman"/>
          <w:sz w:val="24"/>
          <w:szCs w:val="24"/>
        </w:rPr>
        <w:instrText xml:space="preserve"> \* MERGEFORMAT </w:instrText>
      </w:r>
      <w:r w:rsidR="00766D3A" w:rsidRPr="00796736">
        <w:rPr>
          <w:rFonts w:ascii="Times New Roman" w:eastAsia="Calibri" w:hAnsi="Times New Roman" w:cs="Times New Roman"/>
          <w:sz w:val="24"/>
          <w:szCs w:val="24"/>
        </w:rPr>
      </w:r>
      <w:r w:rsidR="00766D3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w:t>
      </w:r>
      <w:r w:rsidR="00766D3A"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w:t>
      </w:r>
      <w:r w:rsidR="0084550E" w:rsidRPr="00796736">
        <w:rPr>
          <w:rFonts w:ascii="Times New Roman" w:eastAsia="Calibri" w:hAnsi="Times New Roman" w:cs="Times New Roman"/>
          <w:sz w:val="24"/>
          <w:szCs w:val="24"/>
        </w:rPr>
        <w:t>3</w:t>
      </w:r>
      <w:r w:rsidRPr="00796736">
        <w:rPr>
          <w:rFonts w:ascii="Times New Roman" w:eastAsia="Calibri" w:hAnsi="Times New Roman" w:cs="Times New Roman"/>
          <w:sz w:val="24"/>
          <w:szCs w:val="24"/>
        </w:rPr>
        <w:t xml:space="preserve">, overholder forordninger indeholdende regler om finansielle sanktioner mod lande, personer, grupper, juridiske enheder eller organer, med den kompetence, som Finanstilsynet er tillagt i medfør af </w:t>
      </w:r>
      <w:r w:rsidR="00117BCC" w:rsidRPr="00796736">
        <w:rPr>
          <w:rFonts w:ascii="Times New Roman" w:eastAsia="Calibri" w:hAnsi="Times New Roman" w:cs="Times New Roman"/>
          <w:sz w:val="24"/>
          <w:szCs w:val="24"/>
        </w:rPr>
        <w:fldChar w:fldCharType="begin"/>
      </w:r>
      <w:r w:rsidR="00117BCC" w:rsidRPr="00796736">
        <w:rPr>
          <w:rFonts w:ascii="Times New Roman" w:eastAsia="Calibri" w:hAnsi="Times New Roman" w:cs="Times New Roman"/>
          <w:sz w:val="24"/>
          <w:szCs w:val="24"/>
        </w:rPr>
        <w:instrText xml:space="preserve"> REF _Ref232597035 \r \h </w:instrText>
      </w:r>
      <w:r w:rsidR="00967618" w:rsidRPr="00796736">
        <w:rPr>
          <w:rFonts w:ascii="Times New Roman" w:eastAsia="Calibri" w:hAnsi="Times New Roman" w:cs="Times New Roman"/>
          <w:sz w:val="24"/>
          <w:szCs w:val="24"/>
        </w:rPr>
        <w:instrText xml:space="preserve"> \* MERGEFORMAT </w:instrText>
      </w:r>
      <w:r w:rsidR="00117BCC" w:rsidRPr="00796736">
        <w:rPr>
          <w:rFonts w:ascii="Times New Roman" w:eastAsia="Calibri" w:hAnsi="Times New Roman" w:cs="Times New Roman"/>
          <w:sz w:val="24"/>
          <w:szCs w:val="24"/>
        </w:rPr>
      </w:r>
      <w:r w:rsidR="00117BCC"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54</w:t>
      </w:r>
      <w:r w:rsidR="00117BCC"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1 og 2 samt </w:t>
      </w:r>
      <w:r w:rsidR="00117BCC" w:rsidRPr="00796736">
        <w:rPr>
          <w:rFonts w:ascii="Times New Roman" w:eastAsia="Calibri" w:hAnsi="Times New Roman" w:cs="Times New Roman"/>
          <w:sz w:val="24"/>
          <w:szCs w:val="24"/>
        </w:rPr>
        <w:fldChar w:fldCharType="begin"/>
      </w:r>
      <w:r w:rsidR="00117BCC" w:rsidRPr="00796736">
        <w:rPr>
          <w:rFonts w:ascii="Times New Roman" w:eastAsia="Calibri" w:hAnsi="Times New Roman" w:cs="Times New Roman"/>
          <w:sz w:val="24"/>
          <w:szCs w:val="24"/>
        </w:rPr>
        <w:instrText xml:space="preserve"> REF _Ref232597084 \r \h </w:instrText>
      </w:r>
      <w:r w:rsidR="00967618" w:rsidRPr="00796736">
        <w:rPr>
          <w:rFonts w:ascii="Times New Roman" w:eastAsia="Calibri" w:hAnsi="Times New Roman" w:cs="Times New Roman"/>
          <w:sz w:val="24"/>
          <w:szCs w:val="24"/>
        </w:rPr>
        <w:instrText xml:space="preserve"> \* MERGEFORMAT </w:instrText>
      </w:r>
      <w:r w:rsidR="00117BCC" w:rsidRPr="00796736">
        <w:rPr>
          <w:rFonts w:ascii="Times New Roman" w:eastAsia="Calibri" w:hAnsi="Times New Roman" w:cs="Times New Roman"/>
          <w:sz w:val="24"/>
          <w:szCs w:val="24"/>
        </w:rPr>
      </w:r>
      <w:r w:rsidR="00117BCC"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56</w:t>
      </w:r>
      <w:r w:rsidR="00117BCC"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w:t>
      </w:r>
    </w:p>
    <w:p w14:paraId="375D90EB" w14:textId="09C9BDAD" w:rsidR="008A0AAF" w:rsidRPr="00796736" w:rsidRDefault="008A0AAF"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Endvidere foreslås det, at </w:t>
      </w:r>
      <w:r w:rsidR="008804CC" w:rsidRPr="00796736">
        <w:rPr>
          <w:rFonts w:ascii="Times New Roman" w:hAnsi="Times New Roman" w:cs="Times New Roman"/>
          <w:sz w:val="24"/>
          <w:szCs w:val="24"/>
        </w:rPr>
        <w:t>§</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_Ref232597109 \r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117BCC" w:rsidRPr="00796736">
        <w:rPr>
          <w:rFonts w:ascii="Times New Roman" w:hAnsi="Times New Roman" w:cs="Times New Roman"/>
          <w:sz w:val="24"/>
          <w:szCs w:val="24"/>
        </w:rPr>
        <w:fldChar w:fldCharType="end"/>
      </w:r>
      <w:r w:rsidR="00117BCC" w:rsidRPr="00796736">
        <w:rPr>
          <w:rFonts w:ascii="Times New Roman" w:hAnsi="Times New Roman" w:cs="Times New Roman"/>
          <w:sz w:val="24"/>
          <w:szCs w:val="24"/>
        </w:rPr>
        <w:t xml:space="preserve"> </w:t>
      </w:r>
      <w:r w:rsidR="008804CC" w:rsidRPr="00796736">
        <w:rPr>
          <w:rFonts w:ascii="Times New Roman" w:hAnsi="Times New Roman" w:cs="Times New Roman"/>
          <w:sz w:val="24"/>
          <w:szCs w:val="24"/>
        </w:rPr>
        <w:t>og</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_Ref232597126 \r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6F2173">
        <w:rPr>
          <w:rFonts w:ascii="Times New Roman" w:hAnsi="Times New Roman" w:cs="Times New Roman"/>
          <w:sz w:val="24"/>
          <w:szCs w:val="24"/>
        </w:rPr>
        <w:t xml:space="preserve"> </w:t>
      </w:r>
      <w:r w:rsidR="008F29E5">
        <w:rPr>
          <w:rFonts w:ascii="Times New Roman" w:hAnsi="Times New Roman" w:cs="Times New Roman"/>
          <w:sz w:val="24"/>
          <w:szCs w:val="24"/>
        </w:rPr>
        <w:t>59</w:t>
      </w:r>
      <w:r w:rsidR="00117BCC" w:rsidRPr="00796736">
        <w:rPr>
          <w:rFonts w:ascii="Times New Roman" w:hAnsi="Times New Roman" w:cs="Times New Roman"/>
          <w:sz w:val="24"/>
          <w:szCs w:val="24"/>
        </w:rPr>
        <w:fldChar w:fldCharType="end"/>
      </w:r>
      <w:r w:rsidR="008804CC" w:rsidRPr="00796736">
        <w:rPr>
          <w:rFonts w:ascii="Times New Roman" w:hAnsi="Times New Roman" w:cs="Times New Roman"/>
          <w:sz w:val="24"/>
          <w:szCs w:val="24"/>
        </w:rPr>
        <w:t xml:space="preserve"> samt §</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_Ref232939317 \r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00117BCC" w:rsidRPr="00796736">
        <w:rPr>
          <w:rFonts w:ascii="Times New Roman" w:hAnsi="Times New Roman" w:cs="Times New Roman"/>
          <w:sz w:val="24"/>
          <w:szCs w:val="24"/>
        </w:rPr>
        <w:fldChar w:fldCharType="end"/>
      </w:r>
      <w:r w:rsidR="00117BCC" w:rsidRPr="00796736">
        <w:rPr>
          <w:rFonts w:ascii="Times New Roman" w:hAnsi="Times New Roman" w:cs="Times New Roman"/>
          <w:sz w:val="24"/>
          <w:szCs w:val="24"/>
        </w:rPr>
        <w:t xml:space="preserve"> </w:t>
      </w:r>
      <w:r w:rsidR="008804CC" w:rsidRPr="00796736">
        <w:rPr>
          <w:rFonts w:ascii="Times New Roman" w:hAnsi="Times New Roman" w:cs="Times New Roman"/>
          <w:sz w:val="24"/>
          <w:szCs w:val="24"/>
        </w:rPr>
        <w:t>og</w:t>
      </w:r>
      <w:r w:rsidR="005F48B0" w:rsidRPr="00796736">
        <w:rPr>
          <w:rFonts w:ascii="Times New Roman" w:hAnsi="Times New Roman" w:cs="Times New Roman"/>
          <w:sz w:val="24"/>
          <w:szCs w:val="24"/>
        </w:rPr>
        <w:fldChar w:fldCharType="begin"/>
      </w:r>
      <w:r w:rsidR="005F48B0" w:rsidRPr="00796736">
        <w:rPr>
          <w:rFonts w:ascii="Times New Roman" w:hAnsi="Times New Roman" w:cs="Times New Roman"/>
          <w:sz w:val="24"/>
          <w:szCs w:val="24"/>
        </w:rPr>
        <w:instrText xml:space="preserve"> REF _Ref239790980 \r \h  \* MERGEFORMAT </w:instrText>
      </w:r>
      <w:r w:rsidR="005F48B0" w:rsidRPr="00796736">
        <w:rPr>
          <w:rFonts w:ascii="Times New Roman" w:hAnsi="Times New Roman" w:cs="Times New Roman"/>
          <w:sz w:val="24"/>
          <w:szCs w:val="24"/>
        </w:rPr>
      </w:r>
      <w:r w:rsidR="005F48B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xml:space="preserve"> 69</w:t>
      </w:r>
      <w:r w:rsidR="005F48B0" w:rsidRPr="00796736">
        <w:rPr>
          <w:rFonts w:ascii="Times New Roman" w:hAnsi="Times New Roman" w:cs="Times New Roman"/>
          <w:sz w:val="24"/>
          <w:szCs w:val="24"/>
        </w:rPr>
        <w:fldChar w:fldCharType="end"/>
      </w:r>
      <w:r w:rsidR="005F48B0">
        <w:rPr>
          <w:rFonts w:ascii="Times New Roman" w:hAnsi="Times New Roman" w:cs="Times New Roman"/>
          <w:sz w:val="24"/>
          <w:szCs w:val="24"/>
        </w:rPr>
        <w:t xml:space="preserve"> </w:t>
      </w:r>
      <w:r w:rsidRPr="00796736">
        <w:rPr>
          <w:rFonts w:ascii="Times New Roman" w:eastAsia="Calibri" w:hAnsi="Times New Roman" w:cs="Times New Roman"/>
          <w:sz w:val="24"/>
          <w:szCs w:val="24"/>
        </w:rPr>
        <w:t xml:space="preserve">finder tilsvarende anvendelse på skadesforsikringsselskabers overholdelse af sådanne forordninger. </w:t>
      </w:r>
    </w:p>
    <w:p w14:paraId="0C2F8138" w14:textId="74C157D8" w:rsidR="008A0AAF" w:rsidRPr="00796736" w:rsidRDefault="008A0AA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henvises til lovforslagets </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_Ref232597060 \r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55</w:t>
      </w:r>
      <w:r w:rsidR="00117BCC" w:rsidRPr="00796736">
        <w:rPr>
          <w:rFonts w:ascii="Times New Roman" w:hAnsi="Times New Roman" w:cs="Times New Roman"/>
          <w:sz w:val="24"/>
          <w:szCs w:val="24"/>
        </w:rPr>
        <w:fldChar w:fldCharType="end"/>
      </w:r>
      <w:r w:rsidR="00117BCC"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22B5566C" w14:textId="7C69AA84" w:rsidR="004C0294" w:rsidRPr="00796736" w:rsidRDefault="00AE7E71" w:rsidP="00A802A5">
      <w:pPr>
        <w:pStyle w:val="Overskrift2"/>
        <w:rPr>
          <w:rFonts w:ascii="Times New Roman" w:hAnsi="Times New Roman"/>
          <w:sz w:val="24"/>
        </w:rPr>
      </w:pPr>
      <w:bookmarkStart w:id="1287" w:name="_Toc232109193"/>
      <w:bookmarkStart w:id="1288" w:name="_Ref232949942"/>
      <w:bookmarkStart w:id="1289" w:name="_Toc244880768"/>
      <w:r w:rsidRPr="00796736">
        <w:rPr>
          <w:rFonts w:ascii="Times New Roman" w:hAnsi="Times New Roman"/>
          <w:sz w:val="24"/>
        </w:rPr>
        <w:t>Finanstilsynets bestyrelse</w:t>
      </w:r>
      <w:bookmarkEnd w:id="1287"/>
      <w:bookmarkEnd w:id="1288"/>
      <w:bookmarkEnd w:id="1289"/>
      <w:r w:rsidRPr="00796736">
        <w:rPr>
          <w:rFonts w:ascii="Times New Roman" w:hAnsi="Times New Roman"/>
          <w:sz w:val="24"/>
        </w:rPr>
        <w:t xml:space="preserve"> </w:t>
      </w:r>
    </w:p>
    <w:p w14:paraId="21C143A1" w14:textId="312CBF25" w:rsidR="004C0294" w:rsidRPr="00796736" w:rsidRDefault="004C0294" w:rsidP="00A802A5">
      <w:pPr>
        <w:pStyle w:val="Overskrift4"/>
        <w:rPr>
          <w:rFonts w:ascii="Times New Roman" w:hAnsi="Times New Roman" w:cs="Times New Roman"/>
          <w:sz w:val="24"/>
          <w:szCs w:val="24"/>
        </w:rPr>
      </w:pPr>
      <w:bookmarkStart w:id="1290" w:name="_Toc232109194"/>
      <w:r w:rsidRPr="00796736">
        <w:rPr>
          <w:rFonts w:ascii="Times New Roman" w:hAnsi="Times New Roman" w:cs="Times New Roman"/>
          <w:sz w:val="24"/>
          <w:szCs w:val="24"/>
        </w:rPr>
        <w:t>Gældende ret</w:t>
      </w:r>
      <w:bookmarkEnd w:id="1290"/>
    </w:p>
    <w:p w14:paraId="6E34E152" w14:textId="77777777" w:rsidR="008A0AAF" w:rsidRPr="00796736" w:rsidRDefault="008A0AA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47, stk. 2, indgår Finanstilsynets bestyrelse i tilsynet efter stk. 1 med den kompetence, som bestyrelsen er tillagt i medfør af § 345 i lov om finansiel virksomhed.</w:t>
      </w:r>
    </w:p>
    <w:p w14:paraId="7DB4F036" w14:textId="77777777" w:rsidR="008A0AAF" w:rsidRPr="00796736" w:rsidRDefault="008A0AAF" w:rsidP="00A802A5">
      <w:pPr>
        <w:spacing w:line="360" w:lineRule="auto"/>
        <w:rPr>
          <w:rFonts w:ascii="Times New Roman" w:hAnsi="Times New Roman" w:cs="Times New Roman"/>
          <w:sz w:val="24"/>
          <w:szCs w:val="24"/>
        </w:rPr>
      </w:pPr>
    </w:p>
    <w:p w14:paraId="21703756" w14:textId="77777777" w:rsidR="008A0AAF" w:rsidRPr="00796736" w:rsidRDefault="008A0AA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Finanstilsynets bestyrelse indgår i tilsynet med, at virksomheder og personer omfattet af hvidvasklovens § 1, stk. 1, nr. 1-12, 18 og 22, og filialer, distributører og agenter her i landet af sådanne udenlandske virksomheder og personer overholder loven, regler udstedt i medfør heraf, pengeoverførselsforordningen samt love og forordninger indeholdende regler om finansielle sanktioner mod lande, personer, grupper, juridiske enheder eller organer.</w:t>
      </w:r>
    </w:p>
    <w:p w14:paraId="6907B17C" w14:textId="77777777" w:rsidR="008A0AAF" w:rsidRPr="00796736" w:rsidRDefault="008A0AAF" w:rsidP="00A802A5">
      <w:pPr>
        <w:spacing w:line="360" w:lineRule="auto"/>
        <w:rPr>
          <w:rFonts w:ascii="Times New Roman" w:eastAsia="Times New Roman" w:hAnsi="Times New Roman" w:cs="Times New Roman"/>
          <w:sz w:val="24"/>
          <w:szCs w:val="24"/>
          <w:lang w:eastAsia="da-DK"/>
        </w:rPr>
      </w:pPr>
    </w:p>
    <w:p w14:paraId="6730DAAE" w14:textId="77777777" w:rsidR="008A0AAF" w:rsidRPr="00796736" w:rsidRDefault="008A0AA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147, at bestemmelsen er enslydende med lignende bestemmelser i den øvrige finansielle tilsynslovgivning, hvorfor eksplicitte henvisninger til reglerne om blandt andet tavshedspligten for bestyrelsens medlemmer ikke medtaget i bestemmelsen. I stedet henvises til § 345 i lov om finansiel virksomhed i sin helhed.</w:t>
      </w:r>
    </w:p>
    <w:p w14:paraId="22CEAFA4" w14:textId="77777777" w:rsidR="008A0AAF" w:rsidRPr="00796736" w:rsidRDefault="008A0AAF" w:rsidP="00A802A5">
      <w:pPr>
        <w:spacing w:line="360" w:lineRule="auto"/>
        <w:rPr>
          <w:rFonts w:ascii="Times New Roman" w:hAnsi="Times New Roman" w:cs="Times New Roman"/>
          <w:sz w:val="24"/>
          <w:szCs w:val="24"/>
        </w:rPr>
      </w:pPr>
    </w:p>
    <w:p w14:paraId="0E4C3B87" w14:textId="32C2E340" w:rsidR="004C0294" w:rsidRPr="00796736" w:rsidRDefault="004C0294" w:rsidP="00A802A5">
      <w:pPr>
        <w:pStyle w:val="Overskrift4"/>
        <w:rPr>
          <w:rFonts w:ascii="Times New Roman" w:hAnsi="Times New Roman" w:cs="Times New Roman"/>
          <w:sz w:val="24"/>
          <w:szCs w:val="24"/>
        </w:rPr>
      </w:pPr>
      <w:bookmarkStart w:id="1291" w:name="_Toc232109195"/>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1291"/>
      <w:r w:rsidRPr="00796736">
        <w:rPr>
          <w:rFonts w:ascii="Times New Roman" w:hAnsi="Times New Roman" w:cs="Times New Roman"/>
          <w:sz w:val="24"/>
          <w:szCs w:val="24"/>
        </w:rPr>
        <w:t xml:space="preserve"> </w:t>
      </w:r>
    </w:p>
    <w:p w14:paraId="29E6B8A0" w14:textId="064B07EE" w:rsidR="008A0AAF" w:rsidRPr="00796736" w:rsidRDefault="008A0AAF"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Som det fremgår af pkt. </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_Ref232939390 \r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3.49.1</w:t>
      </w:r>
      <w:r w:rsidR="00117BC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følger det af hvidvasklovens § 47, stk. 2, at Finanstilsynets </w:t>
      </w:r>
      <w:r w:rsidRPr="00796736">
        <w:rPr>
          <w:rFonts w:ascii="Times New Roman" w:eastAsia="Times New Roman" w:hAnsi="Times New Roman" w:cs="Times New Roman"/>
          <w:sz w:val="24"/>
          <w:szCs w:val="24"/>
          <w:lang w:eastAsia="da-DK"/>
        </w:rPr>
        <w:t xml:space="preserve">bestyrelse indgår i tilsynet efter stk. 1 med den kompetence, som bestyrelsen er tillagt i medfør af § 345 i lov om finansiel virksomhed. </w:t>
      </w:r>
    </w:p>
    <w:p w14:paraId="134595CA" w14:textId="77777777" w:rsidR="008A0AAF" w:rsidRPr="00796736" w:rsidRDefault="008A0AAF" w:rsidP="00A802A5">
      <w:pPr>
        <w:spacing w:line="360" w:lineRule="auto"/>
        <w:rPr>
          <w:rFonts w:ascii="Times New Roman" w:hAnsi="Times New Roman" w:cs="Times New Roman"/>
          <w:sz w:val="24"/>
          <w:szCs w:val="24"/>
        </w:rPr>
      </w:pPr>
    </w:p>
    <w:p w14:paraId="6F901AAE" w14:textId="3085A39E" w:rsidR="008A0AAF" w:rsidRPr="00796736" w:rsidRDefault="008A0AAF" w:rsidP="00A802A5">
      <w:pPr>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Et effektivt tilsyn med finansielle virksomheder og personer </w:t>
      </w:r>
      <w:r w:rsidRPr="00796736">
        <w:rPr>
          <w:rFonts w:ascii="Times New Roman" w:hAnsi="Times New Roman" w:cs="Times New Roman"/>
          <w:sz w:val="24"/>
          <w:szCs w:val="24"/>
        </w:rPr>
        <w:t xml:space="preserve">er efter 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opfattelse en væsentlig bestanddel og et vigtigt redskab i bekæmpelsen af hvidvask, terrorfinansiering og omgåelse af internationale sanktioner. </w:t>
      </w:r>
    </w:p>
    <w:p w14:paraId="065C7D2D" w14:textId="77777777" w:rsidR="008A0AAF" w:rsidRPr="00796736" w:rsidRDefault="008A0AAF" w:rsidP="00A802A5">
      <w:pPr>
        <w:spacing w:line="360" w:lineRule="auto"/>
        <w:rPr>
          <w:rFonts w:ascii="Times New Roman" w:hAnsi="Times New Roman" w:cs="Times New Roman"/>
          <w:sz w:val="24"/>
          <w:szCs w:val="24"/>
        </w:rPr>
      </w:pPr>
    </w:p>
    <w:p w14:paraId="253AD37B" w14:textId="79EA1F13" w:rsidR="008A0AAF" w:rsidRPr="00796736" w:rsidRDefault="008A0AA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at sikre et effektivt tilsyn er det 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ækstministeriets vurdering, at det er vigtigt, at Finanstilsynet bestyrelse fortsat har de nødvendige beføjelser til at træffe tilsynsmæssige afgørelser i sager af principiel karakter eller som har videregående betydelige følger. Derfor vurderer 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 xml:space="preserve">ækstministeriet, at </w:t>
      </w:r>
      <w:r w:rsidRPr="00796736">
        <w:rPr>
          <w:rFonts w:ascii="Times New Roman" w:eastAsia="Times New Roman" w:hAnsi="Times New Roman" w:cs="Times New Roman"/>
          <w:sz w:val="24"/>
          <w:szCs w:val="24"/>
          <w:lang w:eastAsia="da-DK"/>
        </w:rPr>
        <w:t xml:space="preserve">Finanstilsynets bestyrelse forsat bør indgå i Finanstilsynets tilsyn på hvidvaskområdet.  </w:t>
      </w:r>
    </w:p>
    <w:p w14:paraId="5CCFEEFF" w14:textId="77777777" w:rsidR="008A0AAF" w:rsidRPr="00796736" w:rsidRDefault="008A0AAF" w:rsidP="00A802A5">
      <w:pPr>
        <w:spacing w:line="360" w:lineRule="auto"/>
        <w:rPr>
          <w:rFonts w:ascii="Times New Roman" w:hAnsi="Times New Roman" w:cs="Times New Roman"/>
          <w:sz w:val="24"/>
          <w:szCs w:val="24"/>
        </w:rPr>
      </w:pPr>
    </w:p>
    <w:p w14:paraId="1B7CCBF5" w14:textId="1B6D7522" w:rsidR="004C0294" w:rsidRPr="00796736" w:rsidRDefault="008A0AA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overensstemmelse hermed at videreføre Finanstilsynets bestyrelses nuværende kompetence ved at fastsætte, at Finanstilsynets bestyrelse i tilsynet efter stk. 1 med den kompetence, som bestyrelsen er tillagt i medfør af § 345 i lov om finansiel virksomhed.</w:t>
      </w:r>
    </w:p>
    <w:p w14:paraId="099681B1" w14:textId="77777777" w:rsidR="008A0AAF" w:rsidRPr="00796736" w:rsidRDefault="008A0AAF" w:rsidP="00A802A5">
      <w:pPr>
        <w:spacing w:line="360" w:lineRule="auto"/>
        <w:rPr>
          <w:rFonts w:ascii="Times New Roman" w:hAnsi="Times New Roman" w:cs="Times New Roman"/>
          <w:sz w:val="24"/>
          <w:szCs w:val="24"/>
        </w:rPr>
      </w:pPr>
    </w:p>
    <w:p w14:paraId="15DBBCCD" w14:textId="38EEA1FD" w:rsidR="008A0AAF" w:rsidRPr="00796736" w:rsidRDefault="008A0AA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henvises til lovforslagets </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_Ref232597084 \n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00117BCC" w:rsidRPr="00796736">
        <w:rPr>
          <w:rFonts w:ascii="Times New Roman" w:hAnsi="Times New Roman" w:cs="Times New Roman"/>
          <w:sz w:val="24"/>
          <w:szCs w:val="24"/>
        </w:rPr>
        <w:fldChar w:fldCharType="end"/>
      </w:r>
      <w:r w:rsidR="00117BCC"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5F6D0DA4" w14:textId="685A0FCA" w:rsidR="004C0294" w:rsidRPr="00796736" w:rsidRDefault="00AE7E71" w:rsidP="00A802A5">
      <w:pPr>
        <w:pStyle w:val="Overskrift2"/>
        <w:rPr>
          <w:rFonts w:ascii="Times New Roman" w:hAnsi="Times New Roman"/>
          <w:sz w:val="24"/>
        </w:rPr>
      </w:pPr>
      <w:bookmarkStart w:id="1292" w:name="_Toc232109196"/>
      <w:bookmarkStart w:id="1293" w:name="_Toc244880769"/>
      <w:r w:rsidRPr="00796736">
        <w:rPr>
          <w:rFonts w:ascii="Times New Roman" w:hAnsi="Times New Roman"/>
          <w:sz w:val="24"/>
        </w:rPr>
        <w:t>Indhentelse af oplysninger til brug for Finanstilsynets tilsyn</w:t>
      </w:r>
      <w:bookmarkEnd w:id="1292"/>
      <w:bookmarkEnd w:id="1293"/>
    </w:p>
    <w:p w14:paraId="75B1473C" w14:textId="45C2A6C3" w:rsidR="004C0294" w:rsidRPr="00796736" w:rsidRDefault="004C0294" w:rsidP="00A802A5">
      <w:pPr>
        <w:pStyle w:val="Overskrift4"/>
        <w:rPr>
          <w:rFonts w:ascii="Times New Roman" w:hAnsi="Times New Roman" w:cs="Times New Roman"/>
          <w:sz w:val="24"/>
          <w:szCs w:val="24"/>
        </w:rPr>
      </w:pPr>
      <w:bookmarkStart w:id="1294" w:name="_Toc232109197"/>
      <w:bookmarkStart w:id="1295" w:name="_Ref232939504"/>
      <w:r w:rsidRPr="00796736">
        <w:rPr>
          <w:rFonts w:ascii="Times New Roman" w:hAnsi="Times New Roman" w:cs="Times New Roman"/>
          <w:sz w:val="24"/>
          <w:szCs w:val="24"/>
        </w:rPr>
        <w:t>Gældende ret</w:t>
      </w:r>
      <w:bookmarkEnd w:id="1294"/>
      <w:bookmarkEnd w:id="1295"/>
    </w:p>
    <w:p w14:paraId="5E156515"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Hvidvasklovens § 49 indeholder bestemmelser om hvilke oplysninger Finanstilsynet har krav på som led i sin tilsynsforpligtelse.</w:t>
      </w:r>
    </w:p>
    <w:p w14:paraId="75D3CBF7" w14:textId="77777777" w:rsidR="00475427" w:rsidRPr="00796736" w:rsidRDefault="00475427" w:rsidP="00A802A5">
      <w:pPr>
        <w:spacing w:line="360" w:lineRule="auto"/>
        <w:rPr>
          <w:rFonts w:ascii="Times New Roman" w:hAnsi="Times New Roman" w:cs="Times New Roman"/>
          <w:sz w:val="24"/>
          <w:szCs w:val="24"/>
        </w:rPr>
      </w:pPr>
    </w:p>
    <w:p w14:paraId="5944ADCD"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1, skal virksomheder og personer som nævnt i § 1, stk. 1, nr. 1-12, 18 og 22-26, samt leverandører og underleverandører til disse, give Finanstilsynet de oplysninger, der er nødvendige for tilsynets virksomhed. Oplysninger, der er af væsentlig betydning for Finanstilsynets tilsyn, skal gives af egen drift og hurtigst muligt.</w:t>
      </w:r>
    </w:p>
    <w:p w14:paraId="3ACC810B" w14:textId="77777777" w:rsidR="00475427" w:rsidRPr="00796736" w:rsidRDefault="00475427" w:rsidP="00A802A5">
      <w:pPr>
        <w:spacing w:line="360" w:lineRule="auto"/>
        <w:rPr>
          <w:rFonts w:ascii="Times New Roman" w:hAnsi="Times New Roman" w:cs="Times New Roman"/>
          <w:sz w:val="24"/>
          <w:szCs w:val="24"/>
        </w:rPr>
      </w:pPr>
    </w:p>
    <w:p w14:paraId="527F483B"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150, at bestemmelsen også omfatter leverandører og underleverandører, hvormed bestemmelsen svarer til, hvad der gælder efter de øvrige tilsynslove, herunder lov om finansiel virksomhed. De opgaver, som Finanstilsynet skal kunne indhente oplysninger om hos leverandører henholdsvis underleverandører, er opgaver, som Finanstilsynet ville kunne indhente oplysninger om hos outsourcingvirksomheden, hvis opgaverne ikke var outsourcet. Formålet med at omfatte leverandører og underleverandører er således, at Finanstilsynets indhentelse af oplysninger ikke kan hindres eller omgås ved outsourcing.</w:t>
      </w:r>
    </w:p>
    <w:p w14:paraId="7802D2FA" w14:textId="77777777" w:rsidR="00475427" w:rsidRPr="00796736" w:rsidRDefault="00475427" w:rsidP="00A802A5">
      <w:pPr>
        <w:spacing w:line="360" w:lineRule="auto"/>
        <w:rPr>
          <w:rFonts w:ascii="Times New Roman" w:hAnsi="Times New Roman" w:cs="Times New Roman"/>
          <w:sz w:val="24"/>
          <w:szCs w:val="24"/>
        </w:rPr>
      </w:pPr>
    </w:p>
    <w:p w14:paraId="1F64AEF8"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2, skal virksomheder og personer, der har afgivet oplysninger efter stk. 1 eller efter regler udstedt i medfør af stk. 7, pligt til hurtigst muligt at berigtige oplysningerne over for Finanstilsynet, hvis virksomheden eller personen efterfølgende konstaterer at oplysningerne ikke har været korrekte på tidspunktet for afgivelsen eller hvis oplysningerne på et senere tidspunkt er blevet misvisende.</w:t>
      </w:r>
    </w:p>
    <w:p w14:paraId="7499142B" w14:textId="77777777" w:rsidR="00475427" w:rsidRPr="00796736" w:rsidRDefault="00475427" w:rsidP="00A802A5">
      <w:pPr>
        <w:spacing w:line="360" w:lineRule="auto"/>
        <w:rPr>
          <w:rFonts w:ascii="Times New Roman" w:hAnsi="Times New Roman" w:cs="Times New Roman"/>
          <w:sz w:val="24"/>
          <w:szCs w:val="24"/>
        </w:rPr>
      </w:pPr>
    </w:p>
    <w:p w14:paraId="2FA798AD"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3, kan Finanstilsynet til enhver tid mod behørig legitimation uden retskendelse få adgang til virksomheder og personer omfattet af stk. 1 med henblik på indhentelse af oplysninger, herunder ved inspektioner.</w:t>
      </w:r>
    </w:p>
    <w:p w14:paraId="4B9903C8" w14:textId="77777777" w:rsidR="00475427" w:rsidRPr="00796736" w:rsidRDefault="00475427" w:rsidP="00A802A5">
      <w:pPr>
        <w:spacing w:line="360" w:lineRule="auto"/>
        <w:rPr>
          <w:rFonts w:ascii="Times New Roman" w:hAnsi="Times New Roman" w:cs="Times New Roman"/>
          <w:sz w:val="24"/>
          <w:szCs w:val="24"/>
        </w:rPr>
      </w:pPr>
    </w:p>
    <w:p w14:paraId="4832EED1"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150f, at bestemmelsen gennemfører 4. hvidvaskdirektivs artikel 48, stk. 3, hvorefter de kompetente myndigheder blandt andet for så vidt angår kredit- og finansieringsinstitutter har udvidede tilsynsbeføjelser og navnlig mulighed for at gennemføre inspektioner på stedet. Det følger desuden, at denne adgang for Finanstilsynet svarer til den adgang, som Finanstilsynet har efter § 347, stk. 2, i lov om finansiel virksomhed.</w:t>
      </w:r>
    </w:p>
    <w:p w14:paraId="650095A0" w14:textId="77777777" w:rsidR="00475427" w:rsidRPr="00796736" w:rsidRDefault="00475427" w:rsidP="00A802A5">
      <w:pPr>
        <w:spacing w:line="360" w:lineRule="auto"/>
        <w:rPr>
          <w:rFonts w:ascii="Times New Roman" w:hAnsi="Times New Roman" w:cs="Times New Roman"/>
          <w:i/>
          <w:iCs/>
          <w:sz w:val="24"/>
          <w:szCs w:val="24"/>
        </w:rPr>
      </w:pPr>
    </w:p>
    <w:p w14:paraId="627902D3"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4, kan Finanstilsynet til enhver tid mod behørig legitimation uden retskendelse få adgang til en leverandør eller underleverandør med henblik på indhentelse af oplysninger om den outsourcede aktivitet. Finanstilsynets fysiske adgang til leverandørens lokaler skal indgå som et krav i den outsourcingkontrakt, som indgås mellem outsourcingvirksomheden og leverandøren. Hvis en outsourcingkontrakt ikke indeholder kravet om Finanstilsynets fysiske adgang til leverandørens virksomhed, kan Finanstilsynet kræve, at den outsourcede aktivitet fremover enten varetages af outsourcingvirksomheden selv eller outsources til en anden leverandør inden for en af Finanstilsynet nærmere fastsat frist.</w:t>
      </w:r>
    </w:p>
    <w:p w14:paraId="576E417A" w14:textId="77777777" w:rsidR="00475427" w:rsidRPr="00796736" w:rsidRDefault="00475427" w:rsidP="00A802A5">
      <w:pPr>
        <w:spacing w:line="360" w:lineRule="auto"/>
        <w:rPr>
          <w:rFonts w:ascii="Times New Roman" w:hAnsi="Times New Roman" w:cs="Times New Roman"/>
          <w:sz w:val="24"/>
          <w:szCs w:val="24"/>
        </w:rPr>
      </w:pPr>
    </w:p>
    <w:p w14:paraId="3BD2C395"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151f, at bestemmelsen blandt andet skal sikre, at Finanstilsynets tilsynsmuligheder lever op til internationale standarder. Udgangspunktet er, at adgang til de nævnte leverandører og underleverandører skal varsles på forhånd i det omfang, det er muligt.</w:t>
      </w:r>
    </w:p>
    <w:p w14:paraId="1FA5F1F0" w14:textId="77777777" w:rsidR="00475427" w:rsidRPr="00796736" w:rsidRDefault="00475427" w:rsidP="00A802A5">
      <w:pPr>
        <w:spacing w:line="360" w:lineRule="auto"/>
        <w:rPr>
          <w:rFonts w:ascii="Times New Roman" w:hAnsi="Times New Roman" w:cs="Times New Roman"/>
          <w:sz w:val="24"/>
          <w:szCs w:val="24"/>
        </w:rPr>
      </w:pPr>
    </w:p>
    <w:p w14:paraId="3C3F509D" w14:textId="64E15589"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49, stk. </w:t>
      </w:r>
      <w:r w:rsidR="00446638">
        <w:rPr>
          <w:rFonts w:ascii="Times New Roman" w:hAnsi="Times New Roman" w:cs="Times New Roman"/>
          <w:sz w:val="24"/>
          <w:szCs w:val="24"/>
        </w:rPr>
        <w:t>5,</w:t>
      </w:r>
      <w:r w:rsidRPr="00796736">
        <w:rPr>
          <w:rFonts w:ascii="Times New Roman" w:hAnsi="Times New Roman" w:cs="Times New Roman"/>
          <w:sz w:val="24"/>
          <w:szCs w:val="24"/>
        </w:rPr>
        <w:t> kan Finanstilsynet kræve at få adgang til alle oplysninger, herunder regnskaber og regnskabsmateriale, udskrift af bøger, andre forretningspapirer og elektronisk lagrede data, som skønnes nødvendige for Finanstilsynets afgørelse af, om en person eller virksomhed er omfattet af bestemmelserne i denne lov.</w:t>
      </w:r>
    </w:p>
    <w:p w14:paraId="64047B5D" w14:textId="77777777" w:rsidR="00475427" w:rsidRPr="00796736" w:rsidRDefault="00475427" w:rsidP="00A802A5">
      <w:pPr>
        <w:spacing w:line="360" w:lineRule="auto"/>
        <w:rPr>
          <w:rFonts w:ascii="Times New Roman" w:hAnsi="Times New Roman" w:cs="Times New Roman"/>
          <w:sz w:val="24"/>
          <w:szCs w:val="24"/>
        </w:rPr>
      </w:pPr>
    </w:p>
    <w:p w14:paraId="1AFD80F2"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152f , at bestemmelsen skal ses i sammenhæng med lovens § 48, hvorefter visse virksomheder og personer skal registreres hos Finanstilsynet for at kunne udøve de aktiviteter, som følger af forslaget til lovens bilag 1. Bestemmelsen bevirker, at Finanstilsynet kan kræve oplysninger af virksomheder og personer, der ikke udøver tilsynsbelagt virksomhed, hvis disse har informationer, som er nødvendige for, at Finanstilsynet kan vurdere, hvorvidt en virksomhed eller person udøver tilsynsbelagt virksomhed og således burde være registreret hos Finanstilsynet.</w:t>
      </w:r>
    </w:p>
    <w:p w14:paraId="0A487572" w14:textId="77777777" w:rsidR="00475427" w:rsidRPr="00796736" w:rsidRDefault="00475427" w:rsidP="00A802A5">
      <w:pPr>
        <w:spacing w:line="360" w:lineRule="auto"/>
        <w:rPr>
          <w:rFonts w:ascii="Times New Roman" w:hAnsi="Times New Roman" w:cs="Times New Roman"/>
          <w:sz w:val="24"/>
          <w:szCs w:val="24"/>
        </w:rPr>
      </w:pPr>
    </w:p>
    <w:p w14:paraId="18CE4C5D"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6, kan Finanstilsynet indhente oplysninger efter stk. 1 og 5 til brug for de udenlandske myndigheder og organer, der er nævnt i § 56, stk. 3.</w:t>
      </w:r>
    </w:p>
    <w:p w14:paraId="3D545D3C" w14:textId="77777777" w:rsidR="00475427" w:rsidRPr="00796736" w:rsidRDefault="00475427" w:rsidP="00A802A5">
      <w:pPr>
        <w:spacing w:line="360" w:lineRule="auto"/>
        <w:rPr>
          <w:rFonts w:ascii="Times New Roman" w:hAnsi="Times New Roman" w:cs="Times New Roman"/>
          <w:sz w:val="24"/>
          <w:szCs w:val="24"/>
        </w:rPr>
      </w:pPr>
    </w:p>
    <w:p w14:paraId="68898B47" w14:textId="77777777" w:rsidR="00475427" w:rsidRPr="00796736" w:rsidRDefault="0047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152f, at bestemmelsen svarer til, hvad der gælder efter de øvrige tilsynslove, herunder lov om finansiel virksomhed. Bestemmelsen er blandt andet begrundet i den finansielle sektors struktur med dannelse af internationale koncerner, som medfører et større behov for samarbejde mellem de forskellige nationale tilsynsmyndigheder. Dette giver sig også udslag i det øgede fokus, de finansielle direktiver har på udveksling af oplysninger mellem tilsynsmyndighederne, herunder artikel 48 i 4. hvidvaskdirektiv.</w:t>
      </w:r>
    </w:p>
    <w:p w14:paraId="0F668817" w14:textId="77777777" w:rsidR="00D21CE2" w:rsidRPr="00796736" w:rsidRDefault="00D21CE2" w:rsidP="00A802A5">
      <w:pPr>
        <w:spacing w:line="360" w:lineRule="auto"/>
        <w:rPr>
          <w:rFonts w:ascii="Times New Roman" w:hAnsi="Times New Roman" w:cs="Times New Roman"/>
          <w:sz w:val="24"/>
          <w:szCs w:val="24"/>
        </w:rPr>
      </w:pPr>
    </w:p>
    <w:p w14:paraId="1AE64E39" w14:textId="1E10D315" w:rsidR="00D21CE2" w:rsidRPr="00796736" w:rsidRDefault="00D21CE2" w:rsidP="00A802A5">
      <w:pPr>
        <w:pStyle w:val="Overskrift4"/>
        <w:rPr>
          <w:rFonts w:ascii="Times New Roman" w:hAnsi="Times New Roman" w:cs="Times New Roman"/>
          <w:sz w:val="24"/>
          <w:szCs w:val="24"/>
        </w:rPr>
      </w:pPr>
      <w:bookmarkStart w:id="1296" w:name="_Toc232109198"/>
      <w:bookmarkStart w:id="1297" w:name="_Ref232939486"/>
      <w:r w:rsidRPr="00796736">
        <w:rPr>
          <w:rFonts w:ascii="Times New Roman" w:hAnsi="Times New Roman" w:cs="Times New Roman"/>
          <w:sz w:val="24"/>
          <w:szCs w:val="24"/>
        </w:rPr>
        <w:t>6. hvidvaskdirektiv</w:t>
      </w:r>
      <w:bookmarkEnd w:id="1296"/>
      <w:bookmarkEnd w:id="1297"/>
      <w:r w:rsidRPr="00796736">
        <w:rPr>
          <w:rFonts w:ascii="Times New Roman" w:hAnsi="Times New Roman" w:cs="Times New Roman"/>
          <w:sz w:val="24"/>
          <w:szCs w:val="24"/>
        </w:rPr>
        <w:t xml:space="preserve"> </w:t>
      </w:r>
    </w:p>
    <w:p w14:paraId="28B7BE07" w14:textId="77777777" w:rsidR="00D21CE2"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hvidvaskdirektivets artikel 37, at medlemsstaterne skal udpege nationale tilsynsmyndigheder, som er tillagt en række opgaver og beføjelser for effektivt at kunne føre tilsyn med hvidvask- og terrorfinansieringsområdet. Bestemmelsen viderefører og bygger videre på 4. og 5. hvidvaskdirektivs artikel 48.</w:t>
      </w:r>
    </w:p>
    <w:p w14:paraId="2C01CEDD" w14:textId="77777777" w:rsidR="00D21CE2"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p>
    <w:p w14:paraId="5C69B03A" w14:textId="77777777" w:rsidR="00D21CE2"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37, stk. 6, litra a, at medlemsstaterne skal sikre, at tilsynsorganerne har tilstrækkelige beføjelser kræve fremlæggelse af alle oplysninger fra forpligtede enheder, som er relevante for overvågning og kontrol af overholdelsen af hvidvaskforordningen pengeoverførselsforordningen, og til at gennemføre kontroller, herunder fra tjenesteudbydere, som forpligtede enheder har outsourcet en del af deres opgaver til for at opfylde kravene i de nævnte forordninger. Bestemmelsen svarer indholdsmæssigt til 4. og 5. hvidvaskdirektivs artikel 48, stk. 2, idet der dog er tilføjet, at bestemmelsen omfatter tjenesteudbydere, som forpligtede enheder har outsourcet en del af deres opgaver til.</w:t>
      </w:r>
    </w:p>
    <w:p w14:paraId="5D9A86E5" w14:textId="77777777" w:rsidR="00D21CE2" w:rsidRPr="00796736" w:rsidRDefault="00D21CE2" w:rsidP="00A802A5">
      <w:pPr>
        <w:spacing w:line="360" w:lineRule="auto"/>
        <w:rPr>
          <w:rFonts w:ascii="Times New Roman" w:hAnsi="Times New Roman" w:cs="Times New Roman"/>
          <w:sz w:val="24"/>
          <w:szCs w:val="24"/>
        </w:rPr>
      </w:pPr>
    </w:p>
    <w:p w14:paraId="0C35F9A1" w14:textId="77777777" w:rsidR="00D21CE2"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37, stk. 7, første afsnit, at medlemsstaterne skal sikre, at finansielle tilsynsorganer og tilsynsorganer med ansvar for udbydere af spiltjenester har beføjelser ud over dem, der er omhandlet i stk. 6, herunder beføjelse til at kontrollere den forpligtede enheds forretningslokaler uden forudgående varsel, hvis det er nødvendigt for at udføre et kontrolbesøg korrekt og effektivt, og at de har alle de nødvendige midler til at foretage en sådan kontrol. Med henblik herpå er det i artikel 37, stk. 1, andet afsnit, litra a-c, fastsat, at tilsynsorganerne som minimum skal kunne undersøge regnskaber og registre tilhørende disse forpligtede enheder og tage kopier eller uddrag af sådanne regnskaber og registre (litra a), få adgang til software, databaser, IT-værktøjer eller andre elektroniske midler til registrering af oplysninger, der anvendes af den forpligtede enhed (litra b) og indhente skriftlige eller mundtlige oplysninger fra enhver person, der er ansvarlige for de interne politikker, procedurer og kontroller for bekæmpelse af hvidvask af penge og finansiering af terrorisme, eller deres repræsentanter eller personale, samt fra repræsentanter for eller personale i enheder, som den forpligtede enhed har outsourcet opgaver til i henhold til artikel 18 i hvidvaskforordningen, og udspørge enhver anden person, der samtykker heri, med det formål at indhente oplysninger om genstanden for en efterforskning (litra c).    </w:t>
      </w:r>
    </w:p>
    <w:p w14:paraId="70DEA6F3" w14:textId="77777777" w:rsidR="00D21CE2" w:rsidRPr="00796736" w:rsidRDefault="00D21CE2" w:rsidP="00A802A5">
      <w:pPr>
        <w:spacing w:line="360" w:lineRule="auto"/>
        <w:rPr>
          <w:rFonts w:ascii="Times New Roman" w:hAnsi="Times New Roman" w:cs="Times New Roman"/>
          <w:sz w:val="24"/>
          <w:szCs w:val="24"/>
        </w:rPr>
      </w:pPr>
    </w:p>
    <w:p w14:paraId="2D06AFE6" w14:textId="0B09EB72" w:rsidR="004C0294" w:rsidRPr="00796736" w:rsidRDefault="004C0294" w:rsidP="00A802A5">
      <w:pPr>
        <w:pStyle w:val="Overskrift4"/>
        <w:rPr>
          <w:rFonts w:ascii="Times New Roman" w:hAnsi="Times New Roman" w:cs="Times New Roman"/>
          <w:sz w:val="24"/>
          <w:szCs w:val="24"/>
        </w:rPr>
      </w:pPr>
      <w:bookmarkStart w:id="1298" w:name="_Toc232109199"/>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1298"/>
      <w:r w:rsidRPr="00796736">
        <w:rPr>
          <w:rFonts w:ascii="Times New Roman" w:hAnsi="Times New Roman" w:cs="Times New Roman"/>
          <w:sz w:val="24"/>
          <w:szCs w:val="24"/>
        </w:rPr>
        <w:t xml:space="preserve"> </w:t>
      </w:r>
    </w:p>
    <w:p w14:paraId="2476652F" w14:textId="02AC4F9C" w:rsidR="00D21CE2"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_Ref232939486 \n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3.52.2</w:t>
      </w:r>
      <w:r w:rsidR="00117BCC" w:rsidRPr="00796736">
        <w:rPr>
          <w:rFonts w:ascii="Times New Roman" w:hAnsi="Times New Roman" w:cs="Times New Roman"/>
          <w:sz w:val="24"/>
          <w:szCs w:val="24"/>
        </w:rPr>
        <w:fldChar w:fldCharType="end"/>
      </w:r>
      <w:r w:rsidR="00117BCC"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følger det af hvidvaskdirektivets artikel 37, at medlemsstaterne skal udpege nationale tilsynsmyndigheder, som er tillagt en række opgaver og beføjelser for effektivt at kunne føre tilsyn med hvidvask- og terrorfinansieringsområdet. </w:t>
      </w:r>
    </w:p>
    <w:p w14:paraId="764B24AE" w14:textId="77777777" w:rsidR="00D21CE2" w:rsidRPr="00796736" w:rsidRDefault="00D21CE2" w:rsidP="00A802A5">
      <w:pPr>
        <w:spacing w:line="360" w:lineRule="auto"/>
        <w:rPr>
          <w:rFonts w:ascii="Times New Roman" w:hAnsi="Times New Roman" w:cs="Times New Roman"/>
          <w:sz w:val="24"/>
          <w:szCs w:val="24"/>
        </w:rPr>
      </w:pPr>
    </w:p>
    <w:p w14:paraId="3BCB2C95" w14:textId="1332E970" w:rsidR="00D21CE2"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117BCC" w:rsidRPr="00796736">
        <w:rPr>
          <w:rFonts w:ascii="Times New Roman" w:hAnsi="Times New Roman" w:cs="Times New Roman"/>
          <w:sz w:val="24"/>
          <w:szCs w:val="24"/>
        </w:rPr>
        <w:fldChar w:fldCharType="begin"/>
      </w:r>
      <w:r w:rsidR="00117BCC" w:rsidRPr="00796736">
        <w:rPr>
          <w:rFonts w:ascii="Times New Roman" w:hAnsi="Times New Roman" w:cs="Times New Roman"/>
          <w:sz w:val="24"/>
          <w:szCs w:val="24"/>
        </w:rPr>
        <w:instrText xml:space="preserve"> REF _Ref232939504 \n \h </w:instrText>
      </w:r>
      <w:r w:rsidR="00967618" w:rsidRPr="00796736">
        <w:rPr>
          <w:rFonts w:ascii="Times New Roman" w:hAnsi="Times New Roman" w:cs="Times New Roman"/>
          <w:sz w:val="24"/>
          <w:szCs w:val="24"/>
        </w:rPr>
        <w:instrText xml:space="preserve"> \* MERGEFORMAT </w:instrText>
      </w:r>
      <w:r w:rsidR="00117BCC" w:rsidRPr="00796736">
        <w:rPr>
          <w:rFonts w:ascii="Times New Roman" w:hAnsi="Times New Roman" w:cs="Times New Roman"/>
          <w:sz w:val="24"/>
          <w:szCs w:val="24"/>
        </w:rPr>
      </w:r>
      <w:r w:rsidR="00117B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3.52.1</w:t>
      </w:r>
      <w:r w:rsidR="00117BC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danner hvidvasklovens § 49 rammerne for hvilke oplysninger Finanstilsynet har krav på som led i sin tilsynsforpligtelse. Bestemmelsen gennemfører 4. og 5. hvidvaskdirektivs artikel 48. </w:t>
      </w:r>
    </w:p>
    <w:p w14:paraId="39B251EE" w14:textId="77777777" w:rsidR="00D61BCE" w:rsidRPr="00796736" w:rsidRDefault="00D61BCE" w:rsidP="00A802A5">
      <w:pPr>
        <w:spacing w:line="360" w:lineRule="auto"/>
        <w:rPr>
          <w:rFonts w:ascii="Times New Roman" w:hAnsi="Times New Roman" w:cs="Times New Roman"/>
          <w:sz w:val="24"/>
          <w:szCs w:val="24"/>
        </w:rPr>
      </w:pPr>
    </w:p>
    <w:p w14:paraId="41AD0E45" w14:textId="77777777" w:rsidR="00D61BCE" w:rsidRPr="00796736" w:rsidRDefault="00D61BC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Skatte- og Vækstministeriet vurderer på baggrund af artikel 37 i hvidvaskdirektivet, at det er nødvendigt at videreføre de beføjelser, som Finanstilsynet i dag har i medfør af hvidvasklovens § 49. Et effektivt tilsyn med finansielle virksomheder forudsætter efter ministeriets opfattelse, at Finanstilsynet fortsat har de nødvendige beføjelser til at sikre overholdelse af loven.</w:t>
      </w:r>
    </w:p>
    <w:p w14:paraId="5C0BD03C" w14:textId="77777777" w:rsidR="00D61BCE" w:rsidRPr="00796736" w:rsidRDefault="00D61BCE" w:rsidP="00A802A5">
      <w:pPr>
        <w:spacing w:line="360" w:lineRule="auto"/>
        <w:rPr>
          <w:rFonts w:ascii="Times New Roman" w:hAnsi="Times New Roman" w:cs="Times New Roman"/>
          <w:sz w:val="24"/>
          <w:szCs w:val="24"/>
        </w:rPr>
      </w:pPr>
    </w:p>
    <w:p w14:paraId="27093D3E" w14:textId="6A946DE6" w:rsidR="00D61BCE" w:rsidRPr="00796736" w:rsidRDefault="00D61BC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derfor Skatte- og Vækstministeriets vurdering, at de gældende regler om, hvilke oplysninger Finanstilsynet kan kræve som led i sin tilsynsvirksomhed, bør videreføres med lovforslaget. Med henblik på at skabe et bedre overblik, en mere enkel struktur og overensstemmelse med anden finansiel lovgivning foreslås det desuden at opdele den gældende bestemmelse i flere paragraffer.</w:t>
      </w:r>
    </w:p>
    <w:p w14:paraId="6D8BB9CF" w14:textId="77777777" w:rsidR="00D21CE2" w:rsidRPr="00796736" w:rsidRDefault="00D21CE2" w:rsidP="00A802A5">
      <w:pPr>
        <w:spacing w:line="360" w:lineRule="auto"/>
        <w:rPr>
          <w:rFonts w:ascii="Times New Roman" w:hAnsi="Times New Roman" w:cs="Times New Roman"/>
          <w:sz w:val="24"/>
          <w:szCs w:val="24"/>
        </w:rPr>
      </w:pPr>
    </w:p>
    <w:p w14:paraId="24642B31" w14:textId="57797F8C" w:rsidR="00D21CE2"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overensstemmelse hermed at gennemføre hvidvaskdirektivets artikel 37, stk. 6, ved at fastsætte, at Finanstilsynet kan kræve fremlæggelse af alle oplysninger, som er relevante for Finanstilsynets overvågning og kontrol samt at oplysninger, der er af væsentlig betydning for Finanstilsynets tilsyn, skal gives af egen drift og hurtigst muligt. Forpligtelsen vil gælde for de </w:t>
      </w:r>
      <w:r w:rsidR="00D61BCE" w:rsidRPr="00796736">
        <w:rPr>
          <w:rFonts w:ascii="Times New Roman" w:hAnsi="Times New Roman" w:cs="Times New Roman"/>
          <w:sz w:val="24"/>
          <w:szCs w:val="24"/>
          <w:lang w:eastAsia="da-DK"/>
        </w:rPr>
        <w:t xml:space="preserve">§ 1, stk. 2, nr. 1-3 og </w:t>
      </w:r>
      <w:r w:rsidR="00D61BCE" w:rsidRPr="00796736">
        <w:rPr>
          <w:rFonts w:ascii="Times New Roman" w:hAnsi="Times New Roman" w:cs="Times New Roman"/>
          <w:sz w:val="24"/>
          <w:szCs w:val="24"/>
          <w:lang w:eastAsia="da-DK"/>
        </w:rPr>
        <w:fldChar w:fldCharType="begin"/>
      </w:r>
      <w:r w:rsidR="00D61BCE" w:rsidRPr="00796736">
        <w:rPr>
          <w:rFonts w:ascii="Times New Roman" w:hAnsi="Times New Roman" w:cs="Times New Roman"/>
          <w:sz w:val="24"/>
          <w:szCs w:val="24"/>
          <w:lang w:eastAsia="da-DK"/>
        </w:rPr>
        <w:instrText xml:space="preserve"> REF _Ref232592818 \r \h  \* MERGEFORMAT </w:instrText>
      </w:r>
      <w:r w:rsidR="00D61BCE" w:rsidRPr="00796736">
        <w:rPr>
          <w:rFonts w:ascii="Times New Roman" w:hAnsi="Times New Roman" w:cs="Times New Roman"/>
          <w:sz w:val="24"/>
          <w:szCs w:val="24"/>
          <w:lang w:eastAsia="da-DK"/>
        </w:rPr>
      </w:r>
      <w:r w:rsidR="00D61BCE"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D61BCE" w:rsidRPr="00796736">
        <w:rPr>
          <w:rFonts w:ascii="Times New Roman" w:hAnsi="Times New Roman" w:cs="Times New Roman"/>
          <w:sz w:val="24"/>
          <w:szCs w:val="24"/>
          <w:lang w:eastAsia="da-DK"/>
        </w:rPr>
        <w:fldChar w:fldCharType="end"/>
      </w:r>
      <w:r w:rsidR="00D61BCE" w:rsidRPr="00796736">
        <w:rPr>
          <w:rFonts w:ascii="Times New Roman" w:hAnsi="Times New Roman" w:cs="Times New Roman"/>
          <w:sz w:val="24"/>
          <w:szCs w:val="24"/>
          <w:lang w:eastAsia="da-DK"/>
        </w:rPr>
        <w:t>, nr. 1-19, og 32, litra a</w:t>
      </w:r>
      <w:r w:rsidRPr="00796736">
        <w:rPr>
          <w:rFonts w:ascii="Times New Roman" w:hAnsi="Times New Roman" w:cs="Times New Roman"/>
          <w:sz w:val="24"/>
          <w:szCs w:val="24"/>
        </w:rPr>
        <w:t xml:space="preserve">, nævnte virksomheder samt leverandører og underleverandører til disse. Det foreslås derudover at lade det direkte fremgå af loven, at oplysninger, der ikke har været korrekte på tidspunktet for afgivelsen eller på et senere tidspunkt er blevet misvisende hurtigst muligt skal berigtiges over for Finanstilsynet </w:t>
      </w:r>
    </w:p>
    <w:p w14:paraId="31D9CD58" w14:textId="77777777" w:rsidR="00D21CE2" w:rsidRPr="00796736" w:rsidRDefault="00D21CE2" w:rsidP="00A802A5">
      <w:pPr>
        <w:spacing w:line="360" w:lineRule="auto"/>
        <w:rPr>
          <w:rFonts w:ascii="Times New Roman" w:hAnsi="Times New Roman" w:cs="Times New Roman"/>
          <w:sz w:val="24"/>
          <w:szCs w:val="24"/>
        </w:rPr>
      </w:pPr>
    </w:p>
    <w:p w14:paraId="0BA77AF2" w14:textId="4CD6837A" w:rsidR="00D21CE2"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desuden at gennemføre hvidvaskdirektivets artikel 37, stk. 6, og 7, ved at videreføre at Finanstilsynets til enhver tid mod behørig legitimation uden retskendelse kan få adgang til de omfattede virksomheder og personer samt leverandører og underleverandører henblik på indhentelse af oplysninger, herunder ved inspektioner</w:t>
      </w:r>
      <w:r w:rsidR="00117BCC" w:rsidRPr="00796736">
        <w:rPr>
          <w:rFonts w:ascii="Times New Roman" w:hAnsi="Times New Roman" w:cs="Times New Roman"/>
          <w:sz w:val="24"/>
          <w:szCs w:val="24"/>
        </w:rPr>
        <w:t xml:space="preserve">. Det foreslås at fastsætte direkte i loven, at </w:t>
      </w:r>
      <w:r w:rsidRPr="00796736">
        <w:rPr>
          <w:rFonts w:ascii="Times New Roman" w:hAnsi="Times New Roman" w:cs="Times New Roman"/>
          <w:sz w:val="24"/>
          <w:szCs w:val="24"/>
        </w:rPr>
        <w:t>Finanstilsynets fysiske adgang til leverandørens lokaler skal indgå som et krav i den outsourcingkontrakt, som indgås mellem outsourcingvirksomheden og leverandøren. Hvis en outsourcingkontrakt ikke indeholder kravet om Finanstilsynets fysiske adgang til leverandørens virksomhed, kan Finanstilsynet kræve, at den outsourcede aktivitet fremover enten varetages af outsourcingvirksomheden selv eller outsources til en anden leverandør inden for en af Finanstilsynet nærmere fastsat frist.</w:t>
      </w:r>
    </w:p>
    <w:p w14:paraId="33243E74" w14:textId="77777777" w:rsidR="00D21CE2" w:rsidRPr="00796736" w:rsidRDefault="00D21CE2" w:rsidP="00A802A5">
      <w:pPr>
        <w:spacing w:line="360" w:lineRule="auto"/>
        <w:rPr>
          <w:rFonts w:ascii="Times New Roman" w:hAnsi="Times New Roman" w:cs="Times New Roman"/>
          <w:sz w:val="24"/>
          <w:szCs w:val="24"/>
        </w:rPr>
      </w:pPr>
    </w:p>
    <w:p w14:paraId="38354C94" w14:textId="1E7E9ACA" w:rsidR="00275C91"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herudover at gennemføre hvidvaskdirektivets artikel 37, stk. 6 og 7, ved at videreføre, at Finanstilsynet kan kræve at få adgang til alle oplysninger, herunder regnskaber og regnskabsmateriale, udskrift af bøger, andre forretningspapirer og elektronisk lagrede data, som skønnes nødvendige for Finanstilsynets afgørelse af, om en person eller virksomhed er omfattet af bestemmelserne i denne lov samt </w:t>
      </w:r>
      <w:r w:rsidRPr="00796736">
        <w:rPr>
          <w:rFonts w:ascii="Times New Roman" w:hAnsi="Times New Roman" w:cs="Times New Roman"/>
          <w:color w:val="212529"/>
          <w:sz w:val="24"/>
          <w:szCs w:val="24"/>
          <w:shd w:val="clear" w:color="auto" w:fill="F9F9FB"/>
        </w:rPr>
        <w:t xml:space="preserve"> </w:t>
      </w:r>
      <w:r w:rsidRPr="00796736">
        <w:rPr>
          <w:rFonts w:ascii="Times New Roman" w:hAnsi="Times New Roman" w:cs="Times New Roman"/>
          <w:sz w:val="24"/>
          <w:szCs w:val="24"/>
        </w:rPr>
        <w:t xml:space="preserve"> oplysninger til brug for de udenlandske myndigheder og organer, der er nævnt i lovforslagets </w:t>
      </w:r>
      <w:r w:rsidR="00D61BCE" w:rsidRPr="00796736">
        <w:rPr>
          <w:rFonts w:ascii="Times New Roman" w:hAnsi="Times New Roman" w:cs="Times New Roman"/>
          <w:sz w:val="24"/>
          <w:szCs w:val="24"/>
        </w:rPr>
        <w:fldChar w:fldCharType="begin"/>
      </w:r>
      <w:r w:rsidR="00D61BCE" w:rsidRPr="00796736">
        <w:rPr>
          <w:rFonts w:ascii="Times New Roman" w:hAnsi="Times New Roman" w:cs="Times New Roman"/>
          <w:sz w:val="24"/>
          <w:szCs w:val="24"/>
        </w:rPr>
        <w:instrText xml:space="preserve"> REF _Ref232597634 \r \h </w:instrText>
      </w:r>
      <w:r w:rsidR="00796736">
        <w:rPr>
          <w:rFonts w:ascii="Times New Roman" w:hAnsi="Times New Roman" w:cs="Times New Roman"/>
          <w:sz w:val="24"/>
          <w:szCs w:val="24"/>
        </w:rPr>
        <w:instrText xml:space="preserve"> \* MERGEFORMAT </w:instrText>
      </w:r>
      <w:r w:rsidR="00D61BCE" w:rsidRPr="00796736">
        <w:rPr>
          <w:rFonts w:ascii="Times New Roman" w:hAnsi="Times New Roman" w:cs="Times New Roman"/>
          <w:sz w:val="24"/>
          <w:szCs w:val="24"/>
        </w:rPr>
      </w:r>
      <w:r w:rsidR="00D61BC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D61BCE" w:rsidRPr="00796736">
        <w:rPr>
          <w:rFonts w:ascii="Times New Roman" w:hAnsi="Times New Roman" w:cs="Times New Roman"/>
          <w:sz w:val="24"/>
          <w:szCs w:val="24"/>
        </w:rPr>
        <w:fldChar w:fldCharType="end"/>
      </w:r>
      <w:r w:rsidR="00D61BCE"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stk. </w:t>
      </w:r>
      <w:r w:rsidR="00D61BCE" w:rsidRPr="00796736">
        <w:rPr>
          <w:rFonts w:ascii="Times New Roman" w:hAnsi="Times New Roman" w:cs="Times New Roman"/>
          <w:sz w:val="24"/>
          <w:szCs w:val="24"/>
        </w:rPr>
        <w:t>1.</w:t>
      </w:r>
    </w:p>
    <w:p w14:paraId="18F49C5B" w14:textId="77777777" w:rsidR="00D21CE2" w:rsidRPr="00796736" w:rsidRDefault="00D21CE2" w:rsidP="00A802A5">
      <w:pPr>
        <w:spacing w:line="360" w:lineRule="auto"/>
        <w:rPr>
          <w:rFonts w:ascii="Times New Roman" w:hAnsi="Times New Roman" w:cs="Times New Roman"/>
          <w:sz w:val="24"/>
          <w:szCs w:val="24"/>
        </w:rPr>
      </w:pPr>
    </w:p>
    <w:p w14:paraId="0AA39DFA" w14:textId="4680C09E" w:rsidR="004C0294" w:rsidRPr="00796736" w:rsidRDefault="00D21CE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i øvrigt til lovforslagets §</w:t>
      </w:r>
      <w:r w:rsidR="0049571A" w:rsidRPr="00796736">
        <w:rPr>
          <w:rFonts w:ascii="Times New Roman" w:hAnsi="Times New Roman" w:cs="Times New Roman"/>
          <w:sz w:val="24"/>
          <w:szCs w:val="24"/>
        </w:rPr>
        <w:fldChar w:fldCharType="begin"/>
      </w:r>
      <w:r w:rsidR="0049571A" w:rsidRPr="00796736">
        <w:rPr>
          <w:rFonts w:ascii="Times New Roman" w:hAnsi="Times New Roman" w:cs="Times New Roman"/>
          <w:sz w:val="24"/>
          <w:szCs w:val="24"/>
        </w:rPr>
        <w:instrText xml:space="preserve"> REF _Ref232597109 \n \h </w:instrText>
      </w:r>
      <w:r w:rsidR="00967618" w:rsidRPr="00796736">
        <w:rPr>
          <w:rFonts w:ascii="Times New Roman" w:hAnsi="Times New Roman" w:cs="Times New Roman"/>
          <w:sz w:val="24"/>
          <w:szCs w:val="24"/>
        </w:rPr>
        <w:instrText xml:space="preserve"> \* MERGEFORMAT </w:instrText>
      </w:r>
      <w:r w:rsidR="0049571A" w:rsidRPr="00796736">
        <w:rPr>
          <w:rFonts w:ascii="Times New Roman" w:hAnsi="Times New Roman" w:cs="Times New Roman"/>
          <w:sz w:val="24"/>
          <w:szCs w:val="24"/>
        </w:rPr>
      </w:r>
      <w:r w:rsidR="0049571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49571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49571A" w:rsidRPr="00796736">
        <w:rPr>
          <w:rFonts w:ascii="Times New Roman" w:hAnsi="Times New Roman" w:cs="Times New Roman"/>
          <w:sz w:val="24"/>
          <w:szCs w:val="24"/>
        </w:rPr>
        <w:fldChar w:fldCharType="begin"/>
      </w:r>
      <w:r w:rsidR="0049571A" w:rsidRPr="00796736">
        <w:rPr>
          <w:rFonts w:ascii="Times New Roman" w:hAnsi="Times New Roman" w:cs="Times New Roman"/>
          <w:sz w:val="24"/>
          <w:szCs w:val="24"/>
        </w:rPr>
        <w:instrText xml:space="preserve"> REF _Ref232597126 \n \h </w:instrText>
      </w:r>
      <w:r w:rsidR="00967618" w:rsidRPr="00796736">
        <w:rPr>
          <w:rFonts w:ascii="Times New Roman" w:hAnsi="Times New Roman" w:cs="Times New Roman"/>
          <w:sz w:val="24"/>
          <w:szCs w:val="24"/>
        </w:rPr>
        <w:instrText xml:space="preserve"> \* MERGEFORMAT </w:instrText>
      </w:r>
      <w:r w:rsidR="0049571A" w:rsidRPr="00796736">
        <w:rPr>
          <w:rFonts w:ascii="Times New Roman" w:hAnsi="Times New Roman" w:cs="Times New Roman"/>
          <w:sz w:val="24"/>
          <w:szCs w:val="24"/>
        </w:rPr>
      </w:r>
      <w:r w:rsidR="0049571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59</w:t>
      </w:r>
      <w:r w:rsidR="0049571A" w:rsidRPr="00796736">
        <w:rPr>
          <w:rFonts w:ascii="Times New Roman" w:hAnsi="Times New Roman" w:cs="Times New Roman"/>
          <w:sz w:val="24"/>
          <w:szCs w:val="24"/>
        </w:rPr>
        <w:fldChar w:fldCharType="end"/>
      </w:r>
      <w:r w:rsidR="0049571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w:t>
      </w:r>
      <w:r w:rsidR="0049571A" w:rsidRPr="00796736">
        <w:rPr>
          <w:rFonts w:ascii="Times New Roman" w:hAnsi="Times New Roman" w:cs="Times New Roman"/>
          <w:sz w:val="24"/>
          <w:szCs w:val="24"/>
        </w:rPr>
        <w:fldChar w:fldCharType="begin"/>
      </w:r>
      <w:r w:rsidR="0049571A" w:rsidRPr="00796736">
        <w:rPr>
          <w:rFonts w:ascii="Times New Roman" w:hAnsi="Times New Roman" w:cs="Times New Roman"/>
          <w:sz w:val="24"/>
          <w:szCs w:val="24"/>
        </w:rPr>
        <w:instrText xml:space="preserve"> REF _Ref232597147 \n \h </w:instrText>
      </w:r>
      <w:r w:rsidR="00967618" w:rsidRPr="00796736">
        <w:rPr>
          <w:rFonts w:ascii="Times New Roman" w:hAnsi="Times New Roman" w:cs="Times New Roman"/>
          <w:sz w:val="24"/>
          <w:szCs w:val="24"/>
        </w:rPr>
        <w:instrText xml:space="preserve"> \* MERGEFORMAT </w:instrText>
      </w:r>
      <w:r w:rsidR="0049571A" w:rsidRPr="00796736">
        <w:rPr>
          <w:rFonts w:ascii="Times New Roman" w:hAnsi="Times New Roman" w:cs="Times New Roman"/>
          <w:sz w:val="24"/>
          <w:szCs w:val="24"/>
        </w:rPr>
      </w:r>
      <w:r w:rsidR="0049571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60</w:t>
      </w:r>
      <w:r w:rsidR="0049571A" w:rsidRPr="00796736">
        <w:rPr>
          <w:rFonts w:ascii="Times New Roman" w:hAnsi="Times New Roman" w:cs="Times New Roman"/>
          <w:sz w:val="24"/>
          <w:szCs w:val="24"/>
        </w:rPr>
        <w:fldChar w:fldCharType="end"/>
      </w:r>
      <w:r w:rsidR="0049571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bemærkningerne hertil. </w:t>
      </w:r>
    </w:p>
    <w:p w14:paraId="7899198E" w14:textId="77777777" w:rsidR="00D21CE2" w:rsidRPr="00796736" w:rsidRDefault="00D21CE2" w:rsidP="00A802A5">
      <w:pPr>
        <w:spacing w:line="360" w:lineRule="auto"/>
        <w:rPr>
          <w:rFonts w:ascii="Times New Roman" w:hAnsi="Times New Roman" w:cs="Times New Roman"/>
          <w:sz w:val="24"/>
          <w:szCs w:val="24"/>
        </w:rPr>
      </w:pPr>
    </w:p>
    <w:p w14:paraId="783DD5E8" w14:textId="5270BDEF" w:rsidR="004C0294" w:rsidRPr="00796736" w:rsidRDefault="00835696" w:rsidP="00A802A5">
      <w:pPr>
        <w:pStyle w:val="Overskrift2"/>
        <w:rPr>
          <w:rFonts w:ascii="Times New Roman" w:hAnsi="Times New Roman"/>
          <w:sz w:val="24"/>
        </w:rPr>
      </w:pPr>
      <w:bookmarkStart w:id="1299" w:name="_Toc232109204"/>
      <w:bookmarkStart w:id="1300" w:name="_Toc244880770"/>
      <w:r w:rsidRPr="00796736">
        <w:rPr>
          <w:rFonts w:ascii="Times New Roman" w:hAnsi="Times New Roman"/>
          <w:sz w:val="24"/>
        </w:rPr>
        <w:t>Tilsynet med grænseoverskridende aktiviteter og koncerntilsyn</w:t>
      </w:r>
      <w:bookmarkEnd w:id="1299"/>
      <w:bookmarkEnd w:id="1300"/>
    </w:p>
    <w:p w14:paraId="77440FE7" w14:textId="7D4C820F" w:rsidR="004C0294" w:rsidRPr="00796736" w:rsidRDefault="004C0294" w:rsidP="00A802A5">
      <w:pPr>
        <w:pStyle w:val="Overskrift4"/>
        <w:rPr>
          <w:rFonts w:ascii="Times New Roman" w:hAnsi="Times New Roman" w:cs="Times New Roman"/>
          <w:sz w:val="24"/>
          <w:szCs w:val="24"/>
        </w:rPr>
      </w:pPr>
      <w:bookmarkStart w:id="1301" w:name="_Toc232109205"/>
      <w:r w:rsidRPr="00796736">
        <w:rPr>
          <w:rFonts w:ascii="Times New Roman" w:hAnsi="Times New Roman" w:cs="Times New Roman"/>
          <w:sz w:val="24"/>
          <w:szCs w:val="24"/>
        </w:rPr>
        <w:t>Gældende ret</w:t>
      </w:r>
      <w:bookmarkEnd w:id="1301"/>
    </w:p>
    <w:p w14:paraId="42DC0857"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Bestemmelserne i § 47, stk. 3, og § 50 i hvidvaskloven vedrører Finanstilsynets samarbejde med andre landes kompetente myndigheder og om tilsynsmyndigheder i EU- og EØS-landes muligheder for at foretage inspektioner mv. her i landet samt om Finanstilsynets muligheder for at anmode kompetente myndigheder i udlandet til at medvirke til at påse overholdelsen af reglerne på hvidvaskområdet.</w:t>
      </w:r>
    </w:p>
    <w:p w14:paraId="0E38D45D" w14:textId="77777777" w:rsidR="00E51403" w:rsidRPr="00796736" w:rsidRDefault="00E51403" w:rsidP="00A802A5">
      <w:pPr>
        <w:spacing w:line="360" w:lineRule="auto"/>
        <w:rPr>
          <w:rFonts w:ascii="Times New Roman" w:hAnsi="Times New Roman" w:cs="Times New Roman"/>
          <w:sz w:val="24"/>
          <w:szCs w:val="24"/>
        </w:rPr>
      </w:pPr>
    </w:p>
    <w:p w14:paraId="3537B6B2"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47, stk. 3, skal Finanstilsynet samarbejde med de kompetente myndigheder i EU- eller EØS-lande om at medvirke ved tilsynsaktiviteter, kontroller på stedet eller inspektioner her i landet, når det gælder virksomheder og personer omfattet af § 1, stk. 1, der er under tilsyn i et andet EU- eller EØS-land, eller en dansk virksomhed eller person omfattet af § 1, stk. 1, nr. 1-12 og 22, der er underlagt dansk tilsyn, men opererer i andre EU- eller EØS-lande.</w:t>
      </w:r>
    </w:p>
    <w:p w14:paraId="3568AC5F" w14:textId="77777777" w:rsidR="00E51403" w:rsidRPr="00796736" w:rsidRDefault="00E51403" w:rsidP="00A802A5">
      <w:pPr>
        <w:spacing w:line="360" w:lineRule="auto"/>
        <w:rPr>
          <w:rFonts w:ascii="Times New Roman" w:hAnsi="Times New Roman" w:cs="Times New Roman"/>
          <w:sz w:val="24"/>
          <w:szCs w:val="24"/>
        </w:rPr>
      </w:pPr>
    </w:p>
    <w:p w14:paraId="0BA98CF6" w14:textId="77777777" w:rsidR="00E51403" w:rsidRPr="00796736" w:rsidRDefault="00E5140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147 f., at bestemmelsen implementerer artikel 48, stk. 5, i 4. hvidvaskdirektiv. Der henvises i bemærkningerne til 4. hvidvaskdirektivs præambelbetragtning nr. 53, hvor det fremgår, at hvis en forpligtet enhed etablerer virksomheder i en medlemsstat, har værtslandet ansvaret for at håndhæve den etablerede virksomheds overholdelse af kravene til forebyggelse af hvidvask og finansiering af terrorisme. Finanstilsynet har således kompetence til, at føre tilsyn med virksomheder og personer omfattet af § 1, stk. 1, som driver virksomhed i Danmark i form af grænseoverskridende aktiviteter, og en dansk virksomhed eller person omfattet af § 1, stk. 1, nr. 1-12 og 22, der er underlagt dansk tilsyn, men opererer i andre EU- eller EØS-lande.</w:t>
      </w:r>
    </w:p>
    <w:p w14:paraId="029161AF" w14:textId="77777777" w:rsidR="00E51403" w:rsidRPr="00796736" w:rsidRDefault="00E5140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bemærkningerne henvises der samme sted videre til betragtningen, hvor det yderligere fremgår, at der bør være et tæt samarbejde mellem hjemlandets kompetente myndigheder og den kompetente myndighed i værtslandet. Der bør således ske underretning af hjemlandets kompetente myndighed om ethvert anliggende, der kan have påvirkning på hjemlandsmyndighedens vurdering af, om virksomheden eller personen lever op til politikker og forretningsgange vedrørende bekæmpelse af hvidvask af penge og finansiering af terrorisme.</w:t>
      </w:r>
    </w:p>
    <w:p w14:paraId="1E5D1F6A" w14:textId="77777777" w:rsidR="00E51403" w:rsidRPr="00796736" w:rsidRDefault="00E5140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bemærkningerne henvises der desuden til betragtning 52 i 4. hvidvaskdirektivs præambel, hvori det anføres, at hvis en forpligtet enhed driver virksomhed i en anden medlemsstat, herunder gennem agent eller et netværk af agenter, bør hjemlandets kompetente myndighed være ansvarlig for tilsynet med den forpligtede enheds anvendelse af koncernens politikker og procedurer vedrørende bekæmpelse af hvidvask af penge og finansiering af terrorisme. Dette vil omfatte besøg på stedet i virksomheder, der er baseret i en anden medlemsstat.</w:t>
      </w:r>
    </w:p>
    <w:p w14:paraId="758AD8C2" w14:textId="77777777" w:rsidR="00E51403" w:rsidRPr="00796736" w:rsidRDefault="00E5140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virksomhed, som har tilladelse i et andet land, kan efter regler i den finansielle lovgivning i flere tilfælde udøve virksomhed her i landet uden særlig tilladelse fra Finanstilsynet. Finanstilsynet har i overensstemmelse med 4. hvidvaskdirektiv tilsynet med virksomheder etableret her i landet som f.eks. filialer og agenter. Beføjelserne til at meddele og inddrage tilladelser m.v. henhører imidlertid under hjemlandsmyndighedens kompetence. Finanstilsynet skal derfor samarbejde med de kompetente myndigheder i andre lande EU- og EØS -lande, om at medvirke ved tilsynsaktiviteter, kontroller på stedet eller inspektioner her i landet, når det gælder virksomheder og personer som omfattet af § 1, stk. 1, der er under tilsyn i et andet EU- eller EØS-land. Samtidig skal Finanstilsynet samarbejde med værtslandet ved tilsynsaktiviteter, kontroller på stedet eller inspektioner i værtslandet af en dansk virksomhed.</w:t>
      </w:r>
    </w:p>
    <w:p w14:paraId="6AAA849B" w14:textId="77777777" w:rsidR="00E51403" w:rsidRPr="00796736" w:rsidRDefault="00E5140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50, stk. 1, kan tilsynsmyndighederne i et EU- eller EØS-land efter forudgående aftale med Finanstilsynet foretage inspektion i de her i landet beliggende filialer, agenter og distributører omfattet af § 1, stk. 1, af udenlandske virksomheder med hjemsted i det pågældende land. Finanstilsynet kan deltage i inspektionen som nævnt i 1. pkt. Modsætter en virksomhed eller person som nævnt i 1. pkt. sig en kompetent udenlandsk myndigheds inspektion, kan undersøgelsen kun foretages med Finanstilsynets medvirken.</w:t>
      </w:r>
    </w:p>
    <w:p w14:paraId="2AAE3182"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152 f., at bestemmelsen implementerer artikel 48, stk. 5, i 4. hvidvaskdirektiv. Der henvises i bemærkningerne til 4. hvidvaskdirektivs præambelbetragtning nr. 52, hvor det fremgår, at hvis en forpligtet enhed driver virksomhed i en anden medlemsstat, herunder gennem agent eller et netværk af agenter, bør hjemlandets kompetente myndighed være ansvarlig for tilsynet med den forpligtede enheds anvendelse af koncernens politikker og procedurer vedrørende bekæmpelse af hvidvask af penge og finansiering af terrorisme. Dette vil omfatte besøg på stedet i virksomheder, der er baseret i en anden medlemsstat.</w:t>
      </w:r>
    </w:p>
    <w:p w14:paraId="77AE2416" w14:textId="77777777" w:rsidR="00E51403" w:rsidRPr="00796736" w:rsidRDefault="00E51403" w:rsidP="00A802A5">
      <w:pPr>
        <w:spacing w:line="360" w:lineRule="auto"/>
        <w:rPr>
          <w:rFonts w:ascii="Times New Roman" w:hAnsi="Times New Roman" w:cs="Times New Roman"/>
          <w:sz w:val="24"/>
          <w:szCs w:val="24"/>
        </w:rPr>
      </w:pPr>
    </w:p>
    <w:p w14:paraId="6EAB545A"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bestemmelsens 1. pkt., jf. Folketingstidende 2020-21, tillæg A, L 12 som fremsat, side 62 f., at det er et krav, at den udenlandske tilsynsmyndighed aftaler inspektionen med Finanstilsynet forud for udførelsen. Finanstilsynet skal herefter underrette den her i landet beliggende virksomhed om den forventede inspektion. Bestemmelsen vil ifølge bemærkningen alene omfatte her i landet beliggende filialer, agenter og distributører af udenlandske virksomheder. Bestemmelsen vil således ikke omfatte danske virksomheder eller personer. </w:t>
      </w:r>
    </w:p>
    <w:p w14:paraId="3DD00458" w14:textId="77777777" w:rsidR="00E51403" w:rsidRPr="00796736" w:rsidRDefault="00E51403" w:rsidP="00A802A5">
      <w:pPr>
        <w:spacing w:line="360" w:lineRule="auto"/>
        <w:rPr>
          <w:rFonts w:ascii="Times New Roman" w:hAnsi="Times New Roman" w:cs="Times New Roman"/>
          <w:sz w:val="24"/>
          <w:szCs w:val="24"/>
        </w:rPr>
      </w:pPr>
    </w:p>
    <w:p w14:paraId="7043835A"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at bestemmelsen kan tænkes anvendt, hvor et betalingsinstitut i et andet EU- eller EØS-land, har en filial i Danmark. Hvis Finanstilsynet kommer i besiddelse af oplysninger, der kan påvirke den kompetente myndighed i hjemlandets vurdering af betalingsinstituttet, bør Finanstilsynet således underrette hjemlandets kompetente myndighed. </w:t>
      </w:r>
    </w:p>
    <w:p w14:paraId="6912F64C" w14:textId="77777777" w:rsidR="00E51403" w:rsidRPr="00796736" w:rsidRDefault="00E51403" w:rsidP="00A802A5">
      <w:pPr>
        <w:spacing w:line="360" w:lineRule="auto"/>
        <w:rPr>
          <w:rFonts w:ascii="Times New Roman" w:hAnsi="Times New Roman" w:cs="Times New Roman"/>
          <w:sz w:val="24"/>
          <w:szCs w:val="24"/>
        </w:rPr>
      </w:pPr>
    </w:p>
    <w:p w14:paraId="177FC350"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Udenlandske tilsynsmyndigheder fra en medlemsstat vil alene være kompetente for så vidt angår virksomheder, som er stiftet og godkendt i myndighedens hjemland. Hvis en udenlandsk myndighed vil undersøge den pågældende virksomheds filial, agent eller distributør i Danmark, vil dette skulle ske ved stedlige undersøgelser her i landet. En sådan undersøgelse vil relatere sig til moderselskabets overholdelse af koncernreglerne i hjemlandet, som i hvidvaskloven er gennemført f.eks. § 9, stk. 2, om at virksomheder, der er en del af en koncern, skal gennemføre koncernens politikker og procedurer. Tilsynet med filialens, agentens eller distributørens overholdelse af danske regler føres derimod af Finanstilsynet, jf. hvidvasklovens § 47, stk. 1. Selve undersøgelsen vil foregå efter danske processuelle regler, men den udenlandske virksomheds filial, agent eller distributør i Danmark skal leve op til det udenlandske hjemlands regelsæt på det område, der er genstand for undersøgelsen. </w:t>
      </w:r>
    </w:p>
    <w:p w14:paraId="1B7497A6" w14:textId="77777777" w:rsidR="00E51403" w:rsidRPr="00796736" w:rsidRDefault="00E51403" w:rsidP="00A802A5">
      <w:pPr>
        <w:spacing w:line="360" w:lineRule="auto"/>
        <w:rPr>
          <w:rFonts w:ascii="Times New Roman" w:hAnsi="Times New Roman" w:cs="Times New Roman"/>
          <w:sz w:val="24"/>
          <w:szCs w:val="24"/>
        </w:rPr>
      </w:pPr>
    </w:p>
    <w:p w14:paraId="62EA8EFF"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udenlandsk myndigheds inspektion skal foregå under samme betingelser som Finanstilsynets inspektioner, hvilket betyder, at inspektionen skal ske i overensstemmelse med retssikkerhedsloven, i det omfang loven finder anvendelse for Finanstilsynet.  Den udenlandske myndighed vil som udgangspunkt udelukkende adgang til forretningslokaler og således f.eks. ikke til private boliger. Der er mulighed for at foretage inspektion uden forudgående varsling. Muligheden for at foretage uanmeldt inspektion uden forudgående varsling skal alene anvendes, hvis det er Finanstilsynets vurdering, at formålet med inspektionen ville blive forspildt, hvis inspektionen blev varslet. Finanstilsynet meddeler den udenlandske myndighed, hvorvidt et ønske om en uanmeldt inspektion kan imødekommes. Udgangspunktet er således fortsat, at inspektioner skal varsles på forhånd, i det omfang det er muligt.</w:t>
      </w:r>
    </w:p>
    <w:p w14:paraId="5B7CC8B7" w14:textId="77777777" w:rsidR="00E51403" w:rsidRPr="00796736" w:rsidRDefault="00E51403" w:rsidP="00A802A5">
      <w:pPr>
        <w:spacing w:line="360" w:lineRule="auto"/>
        <w:rPr>
          <w:rFonts w:ascii="Times New Roman" w:hAnsi="Times New Roman" w:cs="Times New Roman"/>
          <w:sz w:val="24"/>
          <w:szCs w:val="24"/>
        </w:rPr>
      </w:pPr>
    </w:p>
    <w:p w14:paraId="5D2D0CE4"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bestemmelsens 2. pkt., følger det, at Finanstilsynet kan deltage i den i 1. pkt. nævnte inspektion. Finanstilsynet kan således beslutte at deltage i et EU- eller EØS-lands tilsynsmyndigheds inspektion af her i landet beliggende filialer, agenter og distributører omfattet af udenlandske virksomheder. Finanstilsynet vil herved kunne føre tilsyn med, at filialen m.v. overholder danske regler, jf. § 50, stk. 1, 1. pkt., jf. artikel 48, stk. 5, i 4. hvidvaskdirektiv, og at den udenlandske tilsynsmyndigheds inspektion foregår i overensstemmelse med de danske processuelle regler herfor.</w:t>
      </w:r>
    </w:p>
    <w:p w14:paraId="24545CB3" w14:textId="77777777" w:rsidR="00E51403" w:rsidRPr="00796736" w:rsidRDefault="00E51403" w:rsidP="00A802A5">
      <w:pPr>
        <w:spacing w:line="360" w:lineRule="auto"/>
        <w:rPr>
          <w:rFonts w:ascii="Times New Roman" w:hAnsi="Times New Roman" w:cs="Times New Roman"/>
          <w:sz w:val="24"/>
          <w:szCs w:val="24"/>
        </w:rPr>
      </w:pPr>
    </w:p>
    <w:p w14:paraId="5374F8A5" w14:textId="77777777" w:rsidR="00E51403" w:rsidRPr="00796736" w:rsidRDefault="00E5140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3. pkt., fremgår det, at ved undersøgelsen kun kan foretages med Finanstilsynets medvirken forstås som, at virksomheden eller personen gør indsigelser mod inspektionens gennemførelse. Der henvises til Folketingstidende 2016-17, tillæg A, L 41 som fremsat, side 153.</w:t>
      </w:r>
    </w:p>
    <w:p w14:paraId="4973C5EE" w14:textId="77777777" w:rsidR="00E51403" w:rsidRPr="00796736" w:rsidRDefault="00E51403" w:rsidP="00A802A5">
      <w:pPr>
        <w:spacing w:line="360" w:lineRule="auto"/>
        <w:rPr>
          <w:rFonts w:ascii="Times New Roman" w:hAnsi="Times New Roman" w:cs="Times New Roman"/>
          <w:sz w:val="24"/>
          <w:szCs w:val="24"/>
        </w:rPr>
      </w:pPr>
    </w:p>
    <w:p w14:paraId="797D1C31" w14:textId="77777777" w:rsidR="00E51403" w:rsidRPr="00796736" w:rsidRDefault="00E5140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hvidvasklovens § 50, stk. 2, at Finanstilsynet kan anmode de kompetente myndigheder i et EU- eller EØS-land om at medvirke til at påse overholdelsen af loven og de regler, der er udstedt i medfør af loven, vedrørende virksomheder og personer som omfattet af § 1, stk. 1, nr. 1-12 og 22-26, med hjemsted i et andet EU- eller EØS-land ved tilsynsaktioner, kontroller på stedet eller inspektioner på et andet EU- eller EØS-lands område.</w:t>
      </w:r>
    </w:p>
    <w:p w14:paraId="1D70ABC5" w14:textId="79D3786C" w:rsidR="00B21B94" w:rsidRPr="00796736" w:rsidRDefault="00E5140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2016-17, tillæg A, L 41 som fremsat, side 153 f., at hvor stk. 1 vedrører udenlandske myndigheders mulighed for at foretage inspektioner her i landet, vedrører stk. 2 Finanstilsynets mulighed for at foretage inspektioner i udlandet. Finanstilsynets inspektioner i udlandet skal ske i overensstemmelse med reglerne i det pågældende lan</w:t>
      </w:r>
      <w:r w:rsidR="00B21B94" w:rsidRPr="00796736">
        <w:rPr>
          <w:rFonts w:ascii="Times New Roman" w:hAnsi="Times New Roman" w:cs="Times New Roman"/>
          <w:sz w:val="24"/>
          <w:szCs w:val="24"/>
        </w:rPr>
        <w:t>d.</w:t>
      </w:r>
    </w:p>
    <w:p w14:paraId="69BAB834" w14:textId="2B033834" w:rsidR="00B21B94" w:rsidRPr="00796736" w:rsidRDefault="00B21B94" w:rsidP="00A802A5">
      <w:pPr>
        <w:pStyle w:val="Overskrift4"/>
        <w:rPr>
          <w:rFonts w:ascii="Times New Roman" w:hAnsi="Times New Roman" w:cs="Times New Roman"/>
          <w:sz w:val="24"/>
          <w:szCs w:val="24"/>
        </w:rPr>
      </w:pPr>
      <w:bookmarkStart w:id="1302" w:name="_Toc232109206"/>
      <w:bookmarkStart w:id="1303" w:name="_Ref232939768"/>
      <w:r w:rsidRPr="00796736">
        <w:rPr>
          <w:rFonts w:ascii="Times New Roman" w:hAnsi="Times New Roman" w:cs="Times New Roman"/>
          <w:sz w:val="24"/>
          <w:szCs w:val="24"/>
        </w:rPr>
        <w:t>6. hvidvaskdirektiv</w:t>
      </w:r>
      <w:bookmarkEnd w:id="1302"/>
      <w:bookmarkEnd w:id="1303"/>
      <w:r w:rsidRPr="00796736">
        <w:rPr>
          <w:rFonts w:ascii="Times New Roman" w:hAnsi="Times New Roman" w:cs="Times New Roman"/>
          <w:sz w:val="24"/>
          <w:szCs w:val="24"/>
        </w:rPr>
        <w:t xml:space="preserve"> </w:t>
      </w:r>
    </w:p>
    <w:p w14:paraId="5DA6978B"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38, stk. 1, at medlemsstaterne skal sikre, at aktiviteter udøvet af udstedere af elektroniske penge, betalingstjenesteudbydere og udbydere af kryptoaktivtjenester, der driver etableringssteder på deres område, gennem agenter eller distributører og andre typer af infrastruktur, herunder i tilfælde, hvor aktiviteterne drives i henhold til en tilladelse, er under tilsyn af deres nationale tilsynsorganer.   </w:t>
      </w:r>
    </w:p>
    <w:p w14:paraId="5B109373"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44-47 vedrører samarbejdet mellem forskellige landes tilsynsorganer ved de forpligtede enheders grænseoverskridende aktiviteter og i forbindelse med koncerntilsyn. I det følgende gennemgås de artikler, som har betydning for Finanstilsynets tilsyn. </w:t>
      </w:r>
    </w:p>
    <w:p w14:paraId="25F58875"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artikel 44 fremgår de almindelige principper for tilsynsarbejde, og det fremgår, at tilsynsorganer samarbejder med hinanden i videst muligt omfang, uanset deres respektive art eller status. Et sådant samarbejde kan omfatte, at der inden for rammerne af det anmodede tilsynsorgans beføjelser foretages undersøgelser på vegne af et anmodende tilsynsorgan samt efterfølgende udveksling af de oplysninger, der fremkommer under en sådan undersøgelse, eller facilitering af det anmodende tilsynsorgans foretagelse af sådanne undersøgelser. Bestemmelsen viderefører 4. og 5. hvidvaskdirektivs artikel 57 a.</w:t>
      </w:r>
    </w:p>
    <w:p w14:paraId="5780B6A3"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46 regulerer tilsynssamarbejde i forbindelse med koncerntilsyn. </w:t>
      </w:r>
    </w:p>
    <w:p w14:paraId="7FEB65A6"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46, stk. 1, at hvis kreditinstitutter og finansieringsinstitutter indgår i en koncern, sikrer medlemsstaterne med henblik på artikel 37, stk. 1, at de finansielle tilsynsorganer i hjemlandet og i værtslandet samarbejder med hinanden i videst muligt omfang. De samarbejder også med AMLA, når den fungerer som tilsynsorgan.</w:t>
      </w:r>
    </w:p>
    <w:p w14:paraId="04A79ABA"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46, stk. 2, at medlemsstaterne, undtagen når AMLA fungerer som tilsynsorgan, sikrer, at hjemlandets finansielle tilsynsorganer fører tilsyn med den effektive gennemførelse af de politikker, procedurer og kontroller på koncernplan, der er omhandlet i hvidvaskforordningen. Medlemsstaterne sikrer også, at værtslandets finansielle tilsynsorganer fører tilsyn med, at de etableringssteder, der er beliggende på deres medlemsstats område, overholder hvidvaskforordningen og pengeoverførselsforordningen. </w:t>
      </w:r>
    </w:p>
    <w:p w14:paraId="2CE78A25"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henblik på dette følger det af artikel 46, stk. 3, første afsnit, at medlemsstaterne, med undtagelse af tilfælde, hvor der oprettes tilsynskollegier i henhold til direktivets artikel 49, for det første skal sikre, at de finansielle tilsynsorganer giver hinanden alle de oplysninger, der er nødvendige for udførelsen af deres tilsynsopgaver, enten på anmodning eller på eget initiativ. De finansielle tilsynsorganer skal navnlig udveksle oplysninger, der i væsentlig grad kan påvirke vurderingen af et kreditinstituts eller finansieringsinstituts iboende risikoeksponering eller residualrisikoeksponering i en anden medlemsstat, der er omhandlet i artikel 46, stk. 3, herunder identifikation af koncernens juridiske, ledelsesmæssige og organisatoriske struktur, omfattende alle datterselskaber og filialer (litra a), relevante oplysninger om de reelle ejere og den øverste ledelse, herunder resultaterne af kontrol af egnethed og hæderlighed, uanset om de udføres i henhold til dette direktivet eller andre EU-retsakter (litra b), politikker, procedurer og kontroller i koncernen (litra c), kundekendskabsoplysninger, herunder kundekartoteker og transaktionsfortegnelser (litra d), negativ udvikling i forhold til moderselskabet, datterselskaberne eller filialerne, som i alvorlig grad kunne påvirke andre dele af koncernen (litra e) og bøder, som finansielle tilsynsorganer har til hensigt at pålægge, og administrative foranstaltninger, som finansielle tilsynsorganer agter at anvende i overensstemmelse med direktivets afdeling 4. For det andet skal medlemsstaterne efter stk. 3, andet afsnit, sikre, at de finansielle tilsynsorganer inden for rammerne af deres beføjelser er i stand til at foretage undersøgelser på vegne af et anmodende tilsynsorgan og udveksle de oplysninger, der indhentes gennem sådanne undersøgelser, eller facilitere det anmodende tilsynsorgans foretagelse af sådanne undersøgelser.</w:t>
      </w:r>
    </w:p>
    <w:p w14:paraId="49AB663D"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Bestemmelserne svarer indholdsmæssigt til 4. og 5. hvidvaskdirektivs artikel 48, stk. 5, men indeholder flere nye krav til, hvori samarbejdet nærmere skal bestå. Det fremgår således alene af artikel 48, stk. 5, at medlemsstaterne sikrer, at de kompetente myndigheder i den medlemsstat, hvor den forpligtede enhed driver virksomheder, samarbejder med de kompetente myndigheder i den medlemsstat, hvor den forpligtede enhed har sit hovedsæde, med det formål at sikre, at der føres effektivt tilsyn med kravene i dette direktiv.</w:t>
      </w:r>
    </w:p>
    <w:p w14:paraId="2FCD82A0"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47 regulerer tilsynssamarbejde om forpligtede enheder, der udfører grænseoverskridende aktiviteter. </w:t>
      </w:r>
    </w:p>
    <w:p w14:paraId="7A18F695"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47, stk. 1, at hvis forpligtede enheder, der ikke er en del af en koncern, udfører grænseoverskridende aktiviteter som omhandlet i artikel 54, stk. 1, og tilsynet deles mellem hjemlandets og værtslandets tilsynsorganer i henhold til artikel 37, stk. 1, sikrer medlemsstaterne, at disse tilsynsorganer så vidt muligt samarbejder med hinanden og bistår hinanden med udførelsen af tilsynet i henhold til artikel 37, stk. 1.</w:t>
      </w:r>
    </w:p>
    <w:p w14:paraId="2AB8B6C1"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henblik på dette følger det endvidere af stk. 1, at medlemsstaterne for det første skal sikre at tilsynsorganerne giver hinanden alle de oplysninger, der er nødvendige for udførelsen af deres tilsynsopgaver, enten på anmodning eller på eget initiativ, herunder de oplysninger, der er omhandlet i artikel 46, stk. 3, første afsnit, litra a, b og d, hvis disse oplysninger er nødvendige for udførelsen af tilsynsopgaverne (litra a). For det andet skal tilsynsorganerne underrette hinanden om enhver negativ udvikling i forbindelse med den forpligtede enhed, dens etableringssteder eller typer af infrastruktur, som i alvorlig grad kunne påvirke enhedens overholdelse af gældende krav, og bøder, som de agter at pålægge, eller administrative foranstaltninger, som de agter at anvende, i overensstemmelse med hvidvaskdirektivets kapitel IV, afdeling 4 (litra b). Endelig skal medlemsstaterne sikre, at tilsynsorganerne inden for rammerne af deres beføjelser er i stand til at foretage undersøgelser på vegne af et anmodende tilsynsorgan og udveksle de oplysninger, der indhentes gennem sådanne undersøgelser eller lette det anmodende tilsynsorgans foretagelse af sådanne undersøgelser (litra c).</w:t>
      </w:r>
    </w:p>
    <w:p w14:paraId="0B47D113"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artikel 47, stk. 1, finder efter 3. afsnit også anvendelse på forpligtede enheder, der er etableret i en enkelt medlemsstat og driver virksomhed i henhold til reglerne om fri udveksling af tjenesteydelser i en anden medlemsstat uden infrastruktur, hvis tilsynet med aktiviteter i denne anden medlemsstat udføres af den pågældende medlemsstats tilsynsorganer i henhold til artikel 37, stk. 1, andet afsnit. </w:t>
      </w:r>
    </w:p>
    <w:p w14:paraId="5D2C79E7"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svarer indholdsmæssigt til 4. og 5. hvidvaskdirektivs artikel 48, stk. 5, men indeholder flere nye krav til, hvori samarbejdet nærmere skal bestå. Det fremgår således alene af artikel 48, stk. 5, at medlemsstaterne sikrer, at de kompetente myndigheder i den medlemsstat, hvor den forpligtede enhed driver virksomheder, samarbejder med de kompetente myndigheder i den medlemsstat, hvor den forpligtede enhed har sit hovedsæde, med det formål at sikre, at der føres effektivt tilsyn med kravene i dette direktiv.</w:t>
      </w:r>
    </w:p>
    <w:p w14:paraId="0E4D6F02" w14:textId="339B61C8"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47, stk. 2, 1</w:t>
      </w:r>
      <w:r w:rsidR="00446638">
        <w:rPr>
          <w:rFonts w:ascii="Times New Roman" w:hAnsi="Times New Roman" w:cs="Times New Roman"/>
          <w:sz w:val="24"/>
          <w:szCs w:val="24"/>
        </w:rPr>
        <w:t>.</w:t>
      </w:r>
      <w:r w:rsidRPr="00796736">
        <w:rPr>
          <w:rFonts w:ascii="Times New Roman" w:hAnsi="Times New Roman" w:cs="Times New Roman"/>
          <w:sz w:val="24"/>
          <w:szCs w:val="24"/>
        </w:rPr>
        <w:t xml:space="preserve"> første afsnit, at hvis tilsynet med den forpligtede enhed og enhver af dens infrastrukturtyper i andre medlemsstater overdrages til hjemlandets tilsynsorganer i henhold til direktivets artikel 38, stk. 2, sikrer medlemsstaterne, at hjemlandets tilsynsorganer regelmæssigt underretter værtslandets tilsynsorganer om de foranstaltninger, der er indført i den forpligtede enhed, og om denne enheds overholdelse af gældende krav, herunder dem, der gælder i værtslandet. Hvis der konstateres alvorlige, gentagne eller systematiske overtrædelser, underretter hjemlandets tilsynsorganer omgående værtslandets tilsynsorganer om disse overtrædelser og om eventuelle bøder, som de har til hensigt at pålægge, og administrative foranstaltninger, som de har til hensigt at anvende, for at afhjælpe dem. </w:t>
      </w:r>
    </w:p>
    <w:p w14:paraId="4BA85C45" w14:textId="3A7243D4"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47, stk. 2, </w:t>
      </w:r>
      <w:r w:rsidR="00446638">
        <w:rPr>
          <w:rFonts w:ascii="Times New Roman" w:hAnsi="Times New Roman" w:cs="Times New Roman"/>
          <w:sz w:val="24"/>
          <w:szCs w:val="24"/>
        </w:rPr>
        <w:t>2.</w:t>
      </w:r>
      <w:r w:rsidRPr="00796736">
        <w:rPr>
          <w:rFonts w:ascii="Times New Roman" w:hAnsi="Times New Roman" w:cs="Times New Roman"/>
          <w:sz w:val="24"/>
          <w:szCs w:val="24"/>
        </w:rPr>
        <w:t xml:space="preserve"> afsnit, skal medlemsstaterne sikre, at værtslandets tilsynsorganer yder bistand til hjemlandets tilsynsorganer for at sikre kontrol af forpligtede enheders overholdelse af retlige krav. Medlemsstaterne sikrer navnlig, at værtslandets tilsynsorganer underretter hjemlandets tilsynsorganer om enhver alvorlig tvivl, som de har med hensyn til den forpligtede enheds overholdelse af gældende krav, og at de udveksler alle oplysninger, som de er i besiddelse af i denne henseende, med hjemlandets tilsynsorganer. Dette stykke finder også anvendelse på forpligtede enheder, der er etableret i en enkelt medlemsstat og driver virksomhed i henhold til reglerne om fri udveksling af tjenesteydelser i en anden medlemsstat uden infrastruktur, undtagen i de tilfælde hvor tilsynet med aktiviteter i denne anden medlemsstat udføres af den pågældende medlemsstats tilsynsorganer i henhold til direktivets artikel 37, stk. 1, </w:t>
      </w:r>
      <w:r w:rsidR="00446638">
        <w:rPr>
          <w:rFonts w:ascii="Times New Roman" w:hAnsi="Times New Roman" w:cs="Times New Roman"/>
          <w:sz w:val="24"/>
          <w:szCs w:val="24"/>
        </w:rPr>
        <w:t>2.</w:t>
      </w:r>
      <w:r w:rsidRPr="00796736">
        <w:rPr>
          <w:rFonts w:ascii="Times New Roman" w:hAnsi="Times New Roman" w:cs="Times New Roman"/>
          <w:sz w:val="24"/>
          <w:szCs w:val="24"/>
        </w:rPr>
        <w:t xml:space="preserve"> afsnit.</w:t>
      </w:r>
    </w:p>
    <w:p w14:paraId="14E893EB"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følger det af stk. 3, at tilsynsorganerne i en række tilfælde skal kunne indbringe spørgsmål for AMLA. </w:t>
      </w:r>
    </w:p>
    <w:p w14:paraId="397F5179"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præambelbetragtning nr. 90, at det er afgørende med samarbejde mellem nationale tilsynsorganer for at sikre en fælles tilsynsstrategi i hele Unionen. </w:t>
      </w:r>
    </w:p>
    <w:p w14:paraId="64656426" w14:textId="089D2679" w:rsidR="006A19A9" w:rsidRPr="00796736" w:rsidRDefault="006A19A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præambelbetragtning nr. 93 i 6. hvidvaskdirektiv</w:t>
      </w:r>
      <w:r w:rsidR="00446638">
        <w:rPr>
          <w:rFonts w:ascii="Times New Roman" w:hAnsi="Times New Roman" w:cs="Times New Roman"/>
          <w:sz w:val="24"/>
          <w:szCs w:val="24"/>
        </w:rPr>
        <w:t xml:space="preserve"> er det </w:t>
      </w:r>
      <w:r w:rsidRPr="00796736">
        <w:rPr>
          <w:rFonts w:ascii="Times New Roman" w:hAnsi="Times New Roman" w:cs="Times New Roman"/>
          <w:sz w:val="24"/>
          <w:szCs w:val="24"/>
        </w:rPr>
        <w:t>anfør</w:t>
      </w:r>
      <w:r w:rsidR="00446638">
        <w:rPr>
          <w:rFonts w:ascii="Times New Roman" w:hAnsi="Times New Roman" w:cs="Times New Roman"/>
          <w:sz w:val="24"/>
          <w:szCs w:val="24"/>
        </w:rPr>
        <w:t>t</w:t>
      </w:r>
      <w:r w:rsidRPr="00796736">
        <w:rPr>
          <w:rFonts w:ascii="Times New Roman" w:hAnsi="Times New Roman" w:cs="Times New Roman"/>
          <w:sz w:val="24"/>
          <w:szCs w:val="24"/>
        </w:rPr>
        <w:t xml:space="preserve">, at hvis en forpligtet enhed har etableringssteder i en anden medlemsstat, herunder gennem et netværk af agenter, bør hjemlandets tilsynsorgan være ansvarligt for tilsynet med den forpligtede enheds anvendelse af koncernens politikker og procedurer for bekæmpelse af hvidvask af penge og finansiering af terrorisme. Dette vil kunne omfatte on-site besøg på etableringssteder, der er baseret i en anden medlemsstat. </w:t>
      </w:r>
    </w:p>
    <w:p w14:paraId="20BFF3CD" w14:textId="77777777" w:rsidR="006A19A9" w:rsidRPr="00796736" w:rsidRDefault="006A19A9" w:rsidP="00A802A5">
      <w:pPr>
        <w:spacing w:line="360" w:lineRule="auto"/>
        <w:rPr>
          <w:rFonts w:ascii="Times New Roman" w:hAnsi="Times New Roman" w:cs="Times New Roman"/>
          <w:sz w:val="24"/>
          <w:szCs w:val="24"/>
        </w:rPr>
      </w:pPr>
    </w:p>
    <w:p w14:paraId="7EF8CBD2" w14:textId="77777777" w:rsidR="006A19A9" w:rsidRPr="00796736" w:rsidRDefault="006A19A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betragtningen følger det videre, at hjemlandets tilsynsorgan bør arbejde tæt sammen med værtslandets tilsynsorgan og bør underrette dette om ethvert anliggende, der kan påvirke dets vurdering af etableringsstedets overholdelse af værtslandets bestemmelser om bekæmpelse af hvidvask af penge og finansiering af terrorisme. I tilfælde, hvor en enhed alene har filialer i andre medlemsstater, men ingen datterselskaber, foreligger der ikke en koncern.</w:t>
      </w:r>
    </w:p>
    <w:p w14:paraId="29B03B04" w14:textId="77777777" w:rsidR="006A19A9" w:rsidRPr="00796736" w:rsidRDefault="006A19A9" w:rsidP="00A802A5">
      <w:pPr>
        <w:spacing w:line="360" w:lineRule="auto"/>
        <w:rPr>
          <w:rFonts w:ascii="Times New Roman" w:hAnsi="Times New Roman" w:cs="Times New Roman"/>
          <w:sz w:val="24"/>
          <w:szCs w:val="24"/>
        </w:rPr>
      </w:pPr>
    </w:p>
    <w:p w14:paraId="68D4C884"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præambelbetragtning nr. 94 anføres det, at hvis en forpligtet enhed har etableringssteder i en anden medlemsstat, herunder gennem et netværk af agenter, bør værtslandets tilsynsorgan bevare ansvaret for at håndhæve etableringsstedets overholdelse af kravene til bekæmpelse af hvidvask af penge og finansiering af terrorisme, herunder, hvor det er hensigtsmæssigt, ved at udføre on-site kontrolbesøg og off-site overvågning samt ved at træffe passende og forholdsmæssige foranstaltninger med henblik på at imødegå overtrædelser af disse krav. </w:t>
      </w:r>
    </w:p>
    <w:p w14:paraId="461D5568" w14:textId="77777777" w:rsidR="006A19A9"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betragtningen følger det videre, at det samme bør gælde for andre typer infrastruktur i forpligtede enheder, der driver virksomhed i henhold til reglerne om fri udveksling af tjenesteydelser, hvis denne infrastruktur er tilstrækkelig til at kræve tilsyn fra værtslandets tilsynsorgans side. Værtslandets tilsynsorgan bør arbejde tæt sammen med hjemlandets tilsynsorgan og bør underrette dette om ethvert anliggende, der kan påvirke dets vurdering af den forpligtede enheds anvendelse af politikker og procedurer for bekæmpelse af hvidvask af penge og finansiering af terrorisme, og give hjemlandets tilsynsorgan mulighed for at træffe foranstaltninger til at imødegå enhver konstateret overtrædelse. </w:t>
      </w:r>
    </w:p>
    <w:p w14:paraId="7AFC0C9D" w14:textId="353538D5" w:rsidR="00463488" w:rsidRPr="00796736" w:rsidRDefault="006A19A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Hvis der opdages alvorlige, gentagne eller systematiske overtrædelser af bestemmelserne for bekæmpelse af hvidvask af penge og finansiering af terrorisme, der fordrer øjeblikkelige retsmidler, bør værtslandets tilsynsorgan kunne anvende passende og forholdsmæssige midlertidige afhjælpende foranstaltninger, der under tilsvarende omstændigheder gælder for forpligtede enheder inden for deres kompetenceområde, med henblik på at afhjælpe sådanne alvorlige, gentagne eller systematiske overtrædelser, hvor det er hensigtsmæssigt med bistand fra eller i samarbejde med hjemlandets tilsynsorgan.</w:t>
      </w:r>
    </w:p>
    <w:p w14:paraId="60239B51" w14:textId="4022AEDF" w:rsidR="004C0294" w:rsidRPr="00796736" w:rsidRDefault="004C0294" w:rsidP="00A802A5">
      <w:pPr>
        <w:pStyle w:val="Overskrift4"/>
        <w:rPr>
          <w:rFonts w:ascii="Times New Roman" w:hAnsi="Times New Roman" w:cs="Times New Roman"/>
          <w:sz w:val="24"/>
          <w:szCs w:val="24"/>
        </w:rPr>
      </w:pPr>
      <w:bookmarkStart w:id="1304" w:name="_Toc232109207"/>
      <w:r w:rsidRPr="00796736">
        <w:rPr>
          <w:rFonts w:ascii="Times New Roman" w:hAnsi="Times New Roman" w:cs="Times New Roman"/>
          <w:sz w:val="24"/>
          <w:szCs w:val="24"/>
        </w:rPr>
        <w:t xml:space="preserve">Skatte- og </w:t>
      </w:r>
      <w:r w:rsidR="0018325B" w:rsidRPr="00796736">
        <w:rPr>
          <w:rFonts w:ascii="Times New Roman" w:hAnsi="Times New Roman" w:cs="Times New Roman"/>
          <w:sz w:val="24"/>
          <w:szCs w:val="24"/>
        </w:rPr>
        <w:t>V</w:t>
      </w:r>
      <w:r w:rsidRPr="00796736">
        <w:rPr>
          <w:rFonts w:ascii="Times New Roman" w:hAnsi="Times New Roman" w:cs="Times New Roman"/>
          <w:sz w:val="24"/>
          <w:szCs w:val="24"/>
        </w:rPr>
        <w:t>ækstministeriets overvejelser og den foreslåede ordning</w:t>
      </w:r>
      <w:bookmarkEnd w:id="1304"/>
      <w:r w:rsidRPr="00796736">
        <w:rPr>
          <w:rFonts w:ascii="Times New Roman" w:hAnsi="Times New Roman" w:cs="Times New Roman"/>
          <w:sz w:val="24"/>
          <w:szCs w:val="24"/>
        </w:rPr>
        <w:t xml:space="preserve"> </w:t>
      </w:r>
    </w:p>
    <w:p w14:paraId="26D6616C" w14:textId="08AD6EF6" w:rsidR="007E7026" w:rsidRPr="00796736" w:rsidRDefault="007E702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49571A" w:rsidRPr="00796736">
        <w:rPr>
          <w:rFonts w:ascii="Times New Roman" w:hAnsi="Times New Roman" w:cs="Times New Roman"/>
          <w:sz w:val="24"/>
          <w:szCs w:val="24"/>
        </w:rPr>
        <w:fldChar w:fldCharType="begin"/>
      </w:r>
      <w:r w:rsidR="0049571A" w:rsidRPr="00796736">
        <w:rPr>
          <w:rFonts w:ascii="Times New Roman" w:hAnsi="Times New Roman" w:cs="Times New Roman"/>
          <w:sz w:val="24"/>
          <w:szCs w:val="24"/>
        </w:rPr>
        <w:instrText xml:space="preserve"> REF _Ref232939768 \n \h </w:instrText>
      </w:r>
      <w:r w:rsidR="00967618" w:rsidRPr="00796736">
        <w:rPr>
          <w:rFonts w:ascii="Times New Roman" w:hAnsi="Times New Roman" w:cs="Times New Roman"/>
          <w:sz w:val="24"/>
          <w:szCs w:val="24"/>
        </w:rPr>
        <w:instrText xml:space="preserve"> \* MERGEFORMAT </w:instrText>
      </w:r>
      <w:r w:rsidR="0049571A" w:rsidRPr="00796736">
        <w:rPr>
          <w:rFonts w:ascii="Times New Roman" w:hAnsi="Times New Roman" w:cs="Times New Roman"/>
          <w:sz w:val="24"/>
          <w:szCs w:val="24"/>
        </w:rPr>
      </w:r>
      <w:r w:rsidR="0049571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3.53.2</w:t>
      </w:r>
      <w:r w:rsidR="0049571A" w:rsidRPr="00796736">
        <w:rPr>
          <w:rFonts w:ascii="Times New Roman" w:hAnsi="Times New Roman" w:cs="Times New Roman"/>
          <w:sz w:val="24"/>
          <w:szCs w:val="24"/>
        </w:rPr>
        <w:fldChar w:fldCharType="end"/>
      </w:r>
      <w:r w:rsidR="0049571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indeholder hvidvaskdirektivet i artikel 44, 46 og 47, ligesom 4. og 5. hvidvaskdirektivs artikel 48, stk. 5, bestemmelser om tilsynsmyndighedernes opgaver, forpligtelser og beføjelser ved koncerntilsyn og grænseoverskridende aktivitet på hvidvask- og terrorfinansieringsområdet. </w:t>
      </w:r>
    </w:p>
    <w:p w14:paraId="096444A7" w14:textId="77777777" w:rsidR="007E7026" w:rsidRPr="00796736" w:rsidRDefault="007E7026" w:rsidP="00A802A5">
      <w:pPr>
        <w:spacing w:line="360" w:lineRule="auto"/>
        <w:rPr>
          <w:rFonts w:ascii="Times New Roman" w:hAnsi="Times New Roman" w:cs="Times New Roman"/>
          <w:sz w:val="24"/>
          <w:szCs w:val="24"/>
        </w:rPr>
      </w:pPr>
    </w:p>
    <w:p w14:paraId="66AA7B08" w14:textId="4354A520" w:rsidR="007E7026" w:rsidRPr="00796736" w:rsidRDefault="007E702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4. og 5. hvidvaskdirektivs artikel 48, stk. 5, er som anført i pkt. </w:t>
      </w:r>
      <w:r w:rsidR="0049571A" w:rsidRPr="00796736">
        <w:rPr>
          <w:rFonts w:ascii="Times New Roman" w:hAnsi="Times New Roman" w:cs="Times New Roman"/>
          <w:sz w:val="24"/>
          <w:szCs w:val="24"/>
        </w:rPr>
        <w:fldChar w:fldCharType="begin"/>
      </w:r>
      <w:r w:rsidR="0049571A" w:rsidRPr="00796736">
        <w:rPr>
          <w:rFonts w:ascii="Times New Roman" w:hAnsi="Times New Roman" w:cs="Times New Roman"/>
          <w:sz w:val="24"/>
          <w:szCs w:val="24"/>
        </w:rPr>
        <w:instrText xml:space="preserve"> REF _Ref232939768 \n \h </w:instrText>
      </w:r>
      <w:r w:rsidR="00967618" w:rsidRPr="00796736">
        <w:rPr>
          <w:rFonts w:ascii="Times New Roman" w:hAnsi="Times New Roman" w:cs="Times New Roman"/>
          <w:sz w:val="24"/>
          <w:szCs w:val="24"/>
        </w:rPr>
        <w:instrText xml:space="preserve"> \* MERGEFORMAT </w:instrText>
      </w:r>
      <w:r w:rsidR="0049571A" w:rsidRPr="00796736">
        <w:rPr>
          <w:rFonts w:ascii="Times New Roman" w:hAnsi="Times New Roman" w:cs="Times New Roman"/>
          <w:sz w:val="24"/>
          <w:szCs w:val="24"/>
        </w:rPr>
      </w:r>
      <w:r w:rsidR="0049571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3.53.2</w:t>
      </w:r>
      <w:r w:rsidR="0049571A" w:rsidRPr="00796736">
        <w:rPr>
          <w:rFonts w:ascii="Times New Roman" w:hAnsi="Times New Roman" w:cs="Times New Roman"/>
          <w:sz w:val="24"/>
          <w:szCs w:val="24"/>
        </w:rPr>
        <w:fldChar w:fldCharType="end"/>
      </w:r>
      <w:r w:rsidR="00A1761A" w:rsidRPr="00796736">
        <w:rPr>
          <w:rFonts w:ascii="Times New Roman" w:hAnsi="Times New Roman" w:cs="Times New Roman"/>
          <w:sz w:val="24"/>
          <w:szCs w:val="24"/>
        </w:rPr>
        <w:t>.</w:t>
      </w:r>
      <w:r w:rsidRPr="00796736">
        <w:rPr>
          <w:rFonts w:ascii="Times New Roman" w:hAnsi="Times New Roman" w:cs="Times New Roman"/>
          <w:sz w:val="24"/>
          <w:szCs w:val="24"/>
        </w:rPr>
        <w:t xml:space="preserve"> for virksomheder gennemført i dansk ret i hvidvasklovens § 47, stk. 3</w:t>
      </w:r>
      <w:r w:rsidR="00446638">
        <w:rPr>
          <w:rFonts w:ascii="Times New Roman" w:hAnsi="Times New Roman" w:cs="Times New Roman"/>
          <w:sz w:val="24"/>
          <w:szCs w:val="24"/>
        </w:rPr>
        <w:t>,</w:t>
      </w:r>
      <w:r w:rsidRPr="00796736">
        <w:rPr>
          <w:rFonts w:ascii="Times New Roman" w:hAnsi="Times New Roman" w:cs="Times New Roman"/>
          <w:sz w:val="24"/>
          <w:szCs w:val="24"/>
        </w:rPr>
        <w:t xml:space="preserve"> og § 50. Ordningen, som følger af hvidvaskdirektivets artikel 44, 45 og 47, og ordningen, som følger af 4. og 5. hvidvaskdirektivs artikel 48, stk. 5, om tilsynsarbejdet ved grænseoverskridende aktiviteter, adskiller i sig på flere punkter. B.la. er indholdet i samarbejdet mellem hjemlandets og værtslandets tilsynsmyndigheder i hvidvaskdirektivets artikel 47 blevet udbygget, </w:t>
      </w:r>
      <w:r w:rsidR="00446638" w:rsidRPr="00796736">
        <w:rPr>
          <w:rFonts w:ascii="Times New Roman" w:hAnsi="Times New Roman" w:cs="Times New Roman"/>
          <w:sz w:val="24"/>
          <w:szCs w:val="24"/>
        </w:rPr>
        <w:t>så</w:t>
      </w:r>
      <w:r w:rsidRPr="00796736">
        <w:rPr>
          <w:rFonts w:ascii="Times New Roman" w:hAnsi="Times New Roman" w:cs="Times New Roman"/>
          <w:sz w:val="24"/>
          <w:szCs w:val="24"/>
        </w:rPr>
        <w:t xml:space="preserve"> der nu af artiklens ordlyd fremgår en række underretningsforpligtelser og myndighederne imellem.</w:t>
      </w:r>
    </w:p>
    <w:p w14:paraId="353EBCDF" w14:textId="77777777" w:rsidR="007E7026" w:rsidRPr="00796736" w:rsidRDefault="007E7026" w:rsidP="00A802A5">
      <w:pPr>
        <w:spacing w:line="360" w:lineRule="auto"/>
        <w:rPr>
          <w:rFonts w:ascii="Times New Roman" w:hAnsi="Times New Roman" w:cs="Times New Roman"/>
          <w:sz w:val="24"/>
          <w:szCs w:val="24"/>
        </w:rPr>
      </w:pPr>
    </w:p>
    <w:p w14:paraId="42E07E1E" w14:textId="2857E783" w:rsidR="007E7026" w:rsidRPr="00796736" w:rsidRDefault="007E702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internationale samarbejde mellem tilsynsmyndigheder på området for hvidvask af penge, terrorfinansiering og internationale sanktioner ved grænseoverskridende virksomhed er efter </w:t>
      </w:r>
      <w:r w:rsidR="000A16E5" w:rsidRPr="00796736">
        <w:rPr>
          <w:rFonts w:ascii="Times New Roman" w:hAnsi="Times New Roman" w:cs="Times New Roman"/>
          <w:sz w:val="24"/>
          <w:szCs w:val="24"/>
        </w:rPr>
        <w:t>Skatte- og Vækstministeriets</w:t>
      </w:r>
      <w:r w:rsidRPr="00796736">
        <w:rPr>
          <w:rFonts w:ascii="Times New Roman" w:hAnsi="Times New Roman" w:cs="Times New Roman"/>
          <w:sz w:val="24"/>
          <w:szCs w:val="24"/>
        </w:rPr>
        <w:t xml:space="preserve"> opfattelse en væsentlig bestanddel i et effektivt tilsyn og et vigtigt redskab i bekæmpelsen af hvidvask af penge, terrorfinansiering og omgåelse af internationale sanktioner. </w:t>
      </w:r>
    </w:p>
    <w:p w14:paraId="39532D33" w14:textId="0415BE56" w:rsidR="007E7026" w:rsidRPr="00796736" w:rsidRDefault="007E702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Det foreslås på den baggrund, at der indføres en bestemmelse i </w:t>
      </w:r>
      <w:r w:rsidR="0049571A" w:rsidRPr="00796736">
        <w:rPr>
          <w:rFonts w:ascii="Times New Roman" w:hAnsi="Times New Roman" w:cs="Times New Roman"/>
          <w:sz w:val="24"/>
          <w:szCs w:val="24"/>
        </w:rPr>
        <w:fldChar w:fldCharType="begin"/>
      </w:r>
      <w:r w:rsidR="0049571A" w:rsidRPr="00796736">
        <w:rPr>
          <w:rFonts w:ascii="Times New Roman" w:hAnsi="Times New Roman" w:cs="Times New Roman"/>
          <w:sz w:val="24"/>
          <w:szCs w:val="24"/>
        </w:rPr>
        <w:instrText xml:space="preserve"> REF _Ref232597202 \n \h </w:instrText>
      </w:r>
      <w:r w:rsidR="00967618" w:rsidRPr="00796736">
        <w:rPr>
          <w:rFonts w:ascii="Times New Roman" w:hAnsi="Times New Roman" w:cs="Times New Roman"/>
          <w:sz w:val="24"/>
          <w:szCs w:val="24"/>
        </w:rPr>
        <w:instrText xml:space="preserve"> \* MERGEFORMAT </w:instrText>
      </w:r>
      <w:r w:rsidR="0049571A" w:rsidRPr="00796736">
        <w:rPr>
          <w:rFonts w:ascii="Times New Roman" w:hAnsi="Times New Roman" w:cs="Times New Roman"/>
          <w:sz w:val="24"/>
          <w:szCs w:val="24"/>
        </w:rPr>
      </w:r>
      <w:r w:rsidR="0049571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61</w:t>
      </w:r>
      <w:r w:rsidR="0049571A" w:rsidRPr="00796736">
        <w:rPr>
          <w:rFonts w:ascii="Times New Roman" w:hAnsi="Times New Roman" w:cs="Times New Roman"/>
          <w:sz w:val="24"/>
          <w:szCs w:val="24"/>
        </w:rPr>
        <w:fldChar w:fldCharType="end"/>
      </w:r>
      <w:r w:rsidR="0049571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som gennemfører hvidvaskdirektivets </w:t>
      </w:r>
      <w:r w:rsidR="00446638" w:rsidRPr="00796736">
        <w:rPr>
          <w:rFonts w:ascii="Times New Roman" w:hAnsi="Times New Roman" w:cs="Times New Roman"/>
          <w:sz w:val="24"/>
          <w:szCs w:val="24"/>
        </w:rPr>
        <w:t>artikle</w:t>
      </w:r>
      <w:r w:rsidR="00446638">
        <w:rPr>
          <w:rFonts w:ascii="Times New Roman" w:hAnsi="Times New Roman" w:cs="Times New Roman"/>
          <w:sz w:val="24"/>
          <w:szCs w:val="24"/>
        </w:rPr>
        <w:t>r</w:t>
      </w:r>
      <w:r w:rsidRPr="00796736">
        <w:rPr>
          <w:rFonts w:ascii="Times New Roman" w:hAnsi="Times New Roman" w:cs="Times New Roman"/>
          <w:sz w:val="24"/>
          <w:szCs w:val="24"/>
        </w:rPr>
        <w:t xml:space="preserve"> 44, 46 og 47 for så vidt angår tilsynssamarbejdet i forbindelse med grænseoverskridende virksomhed. De foreslåede bestemmelser vil regulere Finanstilsynet samarbejde med andre landes tilsynsmyndigheder i forbindelse med koncerntilsyn og grænseoverskridende virksomhed, både her i landet og i andre EU- og EØS-lande. Den foreslåede bestemmelse vil videreføre de eksisterende bestemmelser i hvidvasklovens 47, stk. 3</w:t>
      </w:r>
      <w:r w:rsidR="00446638">
        <w:rPr>
          <w:rFonts w:ascii="Times New Roman" w:hAnsi="Times New Roman" w:cs="Times New Roman"/>
          <w:sz w:val="24"/>
          <w:szCs w:val="24"/>
        </w:rPr>
        <w:t>,</w:t>
      </w:r>
      <w:r w:rsidRPr="00796736">
        <w:rPr>
          <w:rFonts w:ascii="Times New Roman" w:hAnsi="Times New Roman" w:cs="Times New Roman"/>
          <w:sz w:val="24"/>
          <w:szCs w:val="24"/>
        </w:rPr>
        <w:t xml:space="preserve"> og § 50. </w:t>
      </w:r>
    </w:p>
    <w:p w14:paraId="46F9D15F" w14:textId="77777777" w:rsidR="007E7026" w:rsidRPr="00796736" w:rsidRDefault="007E7026" w:rsidP="00A802A5">
      <w:pPr>
        <w:spacing w:line="360" w:lineRule="auto"/>
        <w:rPr>
          <w:rFonts w:ascii="Times New Roman" w:hAnsi="Times New Roman" w:cs="Times New Roman"/>
          <w:sz w:val="24"/>
          <w:szCs w:val="24"/>
        </w:rPr>
      </w:pPr>
    </w:p>
    <w:p w14:paraId="78E20D2A" w14:textId="4640974C" w:rsidR="007E7026" w:rsidRPr="00796736" w:rsidRDefault="007E702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49571A" w:rsidRPr="00796736">
        <w:rPr>
          <w:rFonts w:ascii="Times New Roman" w:hAnsi="Times New Roman" w:cs="Times New Roman"/>
          <w:sz w:val="24"/>
          <w:szCs w:val="24"/>
        </w:rPr>
        <w:fldChar w:fldCharType="begin"/>
      </w:r>
      <w:r w:rsidR="0049571A" w:rsidRPr="00796736">
        <w:rPr>
          <w:rFonts w:ascii="Times New Roman" w:hAnsi="Times New Roman" w:cs="Times New Roman"/>
          <w:sz w:val="24"/>
          <w:szCs w:val="24"/>
        </w:rPr>
        <w:instrText xml:space="preserve"> REF _Ref232597202 \n \h </w:instrText>
      </w:r>
      <w:r w:rsidR="00967618" w:rsidRPr="00796736">
        <w:rPr>
          <w:rFonts w:ascii="Times New Roman" w:hAnsi="Times New Roman" w:cs="Times New Roman"/>
          <w:sz w:val="24"/>
          <w:szCs w:val="24"/>
        </w:rPr>
        <w:instrText xml:space="preserve"> \* MERGEFORMAT </w:instrText>
      </w:r>
      <w:r w:rsidR="0049571A" w:rsidRPr="00796736">
        <w:rPr>
          <w:rFonts w:ascii="Times New Roman" w:hAnsi="Times New Roman" w:cs="Times New Roman"/>
          <w:sz w:val="24"/>
          <w:szCs w:val="24"/>
        </w:rPr>
      </w:r>
      <w:r w:rsidR="0049571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61</w:t>
      </w:r>
      <w:r w:rsidR="0049571A" w:rsidRPr="00796736">
        <w:rPr>
          <w:rFonts w:ascii="Times New Roman" w:hAnsi="Times New Roman" w:cs="Times New Roman"/>
          <w:sz w:val="24"/>
          <w:szCs w:val="24"/>
        </w:rPr>
        <w:fldChar w:fldCharType="end"/>
      </w:r>
      <w:r w:rsidR="0049571A" w:rsidRPr="00796736">
        <w:rPr>
          <w:rFonts w:ascii="Times New Roman" w:hAnsi="Times New Roman" w:cs="Times New Roman"/>
          <w:sz w:val="24"/>
          <w:szCs w:val="24"/>
        </w:rPr>
        <w:t xml:space="preserve"> </w:t>
      </w:r>
      <w:r w:rsidRPr="00796736">
        <w:rPr>
          <w:rFonts w:ascii="Times New Roman" w:hAnsi="Times New Roman" w:cs="Times New Roman"/>
          <w:sz w:val="24"/>
          <w:szCs w:val="24"/>
        </w:rPr>
        <w:t>og samt bemærkningerne hertil.</w:t>
      </w:r>
    </w:p>
    <w:p w14:paraId="7F7E540D" w14:textId="77777777" w:rsidR="00561EAD" w:rsidRPr="00796736" w:rsidRDefault="00561EAD" w:rsidP="00A802A5">
      <w:pPr>
        <w:spacing w:line="360" w:lineRule="auto"/>
        <w:rPr>
          <w:rFonts w:ascii="Times New Roman" w:hAnsi="Times New Roman" w:cs="Times New Roman"/>
          <w:sz w:val="24"/>
          <w:szCs w:val="24"/>
        </w:rPr>
      </w:pPr>
    </w:p>
    <w:p w14:paraId="34672624" w14:textId="3963E504" w:rsidR="00561EAD" w:rsidRPr="00796736" w:rsidRDefault="00B71431" w:rsidP="00A802A5">
      <w:pPr>
        <w:pStyle w:val="Overskrift2"/>
        <w:rPr>
          <w:rFonts w:ascii="Times New Roman" w:hAnsi="Times New Roman"/>
          <w:sz w:val="24"/>
        </w:rPr>
      </w:pPr>
      <w:bookmarkStart w:id="1305" w:name="_Toc232109208"/>
      <w:bookmarkStart w:id="1306" w:name="_Ref232950549"/>
      <w:bookmarkStart w:id="1307" w:name="_Toc244880771"/>
      <w:r w:rsidRPr="00796736">
        <w:rPr>
          <w:rFonts w:ascii="Times New Roman" w:hAnsi="Times New Roman"/>
          <w:sz w:val="24"/>
        </w:rPr>
        <w:t>Finanstilsynets hjemmel til at udstede et påbud</w:t>
      </w:r>
      <w:bookmarkEnd w:id="1305"/>
      <w:bookmarkEnd w:id="1306"/>
      <w:bookmarkEnd w:id="1307"/>
    </w:p>
    <w:p w14:paraId="1A087B8B" w14:textId="04263B43" w:rsidR="00C909A5" w:rsidRPr="00796736" w:rsidRDefault="00C909A5" w:rsidP="00A802A5">
      <w:pPr>
        <w:pStyle w:val="Overskrift4"/>
        <w:rPr>
          <w:rFonts w:ascii="Times New Roman" w:eastAsia="Calibri" w:hAnsi="Times New Roman" w:cs="Times New Roman"/>
          <w:sz w:val="24"/>
          <w:szCs w:val="24"/>
        </w:rPr>
      </w:pPr>
      <w:bookmarkStart w:id="1308" w:name="_Toc232109209"/>
      <w:r w:rsidRPr="00796736">
        <w:rPr>
          <w:rFonts w:ascii="Times New Roman" w:eastAsia="Calibri" w:hAnsi="Times New Roman" w:cs="Times New Roman"/>
          <w:sz w:val="24"/>
          <w:szCs w:val="24"/>
        </w:rPr>
        <w:t>Gældende ret</w:t>
      </w:r>
      <w:bookmarkEnd w:id="1308"/>
      <w:r w:rsidRPr="00796736">
        <w:rPr>
          <w:rFonts w:ascii="Times New Roman" w:eastAsia="Calibri" w:hAnsi="Times New Roman" w:cs="Times New Roman"/>
          <w:sz w:val="24"/>
          <w:szCs w:val="24"/>
        </w:rPr>
        <w:t xml:space="preserve"> </w:t>
      </w:r>
    </w:p>
    <w:p w14:paraId="7EE699F3" w14:textId="77777777" w:rsidR="00BA42D8" w:rsidRPr="00796736" w:rsidRDefault="00BA42D8"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hvidvasklovens § 47, stk. 4. kan Finanstilsynet fastsætte regler om midlertidige foranstaltninger over for henholdsvis agenter for betalingsinstitutter og e-pengeinstitutter, herunder distributører med hjemsted i et andet EU- eller EØS-land, der ikke overholder regler i denne lov, regler udstedt i medfør heraf, Europa-Parlamentets og Rådets forordning om oplysninger, der skal medsendes ved pengeoverførsler og ved overførsler af visse kryptoaktiver, hvor dette er relevant, og forordninger indeholdende regler om finansielle sanktioner mod lande, personer, grupper, juridiske enheder eller organer.</w:t>
      </w:r>
    </w:p>
    <w:p w14:paraId="6FACFAE8" w14:textId="77777777" w:rsidR="00BA42D8" w:rsidRPr="00796736" w:rsidRDefault="00BA42D8" w:rsidP="00A802A5">
      <w:pPr>
        <w:suppressAutoHyphens/>
        <w:spacing w:line="360" w:lineRule="auto"/>
        <w:rPr>
          <w:rFonts w:ascii="Times New Roman" w:eastAsia="Calibri" w:hAnsi="Times New Roman" w:cs="Times New Roman"/>
          <w:sz w:val="24"/>
          <w:szCs w:val="24"/>
        </w:rPr>
      </w:pPr>
    </w:p>
    <w:p w14:paraId="5A228B65" w14:textId="77777777" w:rsidR="00BA42D8" w:rsidRPr="00796736" w:rsidRDefault="00BA42D8"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bemærkningerne til bestemmelsen, jf. Folketingstidende 2016-17, tillæg A, L 41 som fremsat, side 147, at foranstaltningerne skal være passende og rimelige for at imødegå alvorlige overtrædelser, der kræver omgående afhjælpning. Foranstaltningerne kan f.eks. være krav om ekstern revision af procedurer, krav om uddannelse af ansatte, krav om ændring af procedurer, og i tilfælde med særligt grove overtrædelser af loven ophør af agenten eller distributørens virksomhed, indtil forholdene er bragt i orden.</w:t>
      </w:r>
    </w:p>
    <w:p w14:paraId="7A4A77EE" w14:textId="77777777" w:rsidR="00BA42D8" w:rsidRPr="00796736" w:rsidRDefault="00BA42D8" w:rsidP="00A802A5">
      <w:pPr>
        <w:suppressAutoHyphens/>
        <w:spacing w:line="360" w:lineRule="auto"/>
        <w:rPr>
          <w:rFonts w:ascii="Times New Roman" w:eastAsia="Calibri" w:hAnsi="Times New Roman" w:cs="Times New Roman"/>
          <w:sz w:val="24"/>
          <w:szCs w:val="24"/>
        </w:rPr>
      </w:pPr>
    </w:p>
    <w:p w14:paraId="44255311" w14:textId="15E7E84A" w:rsidR="00BA42D8" w:rsidRPr="00796736" w:rsidRDefault="00BA42D8"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videre af bemærkningerne til bestemmelsen, at foranstaltninger skal være af midlertidig karakter og afsluttes, når de konstaterede overtrædelser er afhjulpet, herunder med bistand fra eller i samarbejde med Finanstilsynet eller den kompetente myndighed i den forpligtede enheds hjemland.</w:t>
      </w:r>
    </w:p>
    <w:p w14:paraId="52C34CD7" w14:textId="77777777" w:rsidR="00BA42D8" w:rsidRPr="00796736" w:rsidRDefault="00BA42D8" w:rsidP="00A802A5">
      <w:pPr>
        <w:suppressAutoHyphens/>
        <w:spacing w:line="360" w:lineRule="auto"/>
        <w:rPr>
          <w:rFonts w:ascii="Times New Roman" w:eastAsia="Calibri" w:hAnsi="Times New Roman" w:cs="Times New Roman"/>
          <w:sz w:val="24"/>
          <w:szCs w:val="24"/>
        </w:rPr>
      </w:pPr>
    </w:p>
    <w:p w14:paraId="1E2C1022" w14:textId="2490053A" w:rsidR="00C909A5" w:rsidRPr="00796736" w:rsidRDefault="00C909A5"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hvidvasklovens § 51 kan Finanstilsynet inden for en af Finanstilsynet fastsat frist påbyde de virksomheder og personer, som er nævnt i § 1, stk. 1, nr. 1-12, 18 og 22, at foretage de nødvendige foranstaltninger i tilfælde af overtrædelse af bestemmelser i hvidvaskloven, regler udstedt i medfør heraf, Europa-Parlamentets og Rådets forordning om oplysninger, der skal medsendes ved pengeoverførsler og ved overførsler af visse kryptoaktiver, eller forordninger indeholdende regler om finansielle sanktioner mod lande, personer, grupper, juridiske enheder eller organer.</w:t>
      </w:r>
    </w:p>
    <w:p w14:paraId="1B73A6B2" w14:textId="77777777" w:rsidR="00C909A5" w:rsidRPr="00796736" w:rsidRDefault="00C909A5" w:rsidP="00A802A5">
      <w:pPr>
        <w:suppressAutoHyphens/>
        <w:spacing w:line="360" w:lineRule="auto"/>
        <w:rPr>
          <w:rFonts w:ascii="Times New Roman" w:eastAsia="Calibri" w:hAnsi="Times New Roman" w:cs="Times New Roman"/>
          <w:sz w:val="24"/>
          <w:szCs w:val="24"/>
        </w:rPr>
      </w:pPr>
    </w:p>
    <w:p w14:paraId="3ECEB2F0" w14:textId="77777777" w:rsidR="00C909A5" w:rsidRPr="00796736" w:rsidRDefault="00C909A5"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indebærer, at Finanstilsynet har hjemmel til at gribe ind over for de omfattede virksomheder og personer, hvis der konstateres overtrædelser af hvidvaskloven, regler udstedt i medfør heraf, relevante EU-forordninger om oplysninger ved pengeoverførsler og kryptoaktiver samt forordninger om finansielle sanktioner. Finanstilsynet kan påbyde de pågældende at gennemføre de nødvendige foranstaltninger for at bringe forholdene i overensstemmelse med gældende regler, og tilsynet kan fastsætte en frist for gennemførelsen af disse foranstaltninger.</w:t>
      </w:r>
    </w:p>
    <w:p w14:paraId="1AB3647A" w14:textId="77777777" w:rsidR="00C909A5" w:rsidRPr="00796736" w:rsidRDefault="00C909A5" w:rsidP="00A802A5">
      <w:pPr>
        <w:suppressAutoHyphens/>
        <w:spacing w:line="360" w:lineRule="auto"/>
        <w:rPr>
          <w:rFonts w:ascii="Times New Roman" w:eastAsia="Calibri" w:hAnsi="Times New Roman" w:cs="Times New Roman"/>
          <w:sz w:val="24"/>
          <w:szCs w:val="24"/>
        </w:rPr>
      </w:pPr>
    </w:p>
    <w:p w14:paraId="6F225424" w14:textId="49D8A22B" w:rsidR="00C909A5" w:rsidRPr="00796736" w:rsidRDefault="00C909A5" w:rsidP="00A802A5">
      <w:pPr>
        <w:pStyle w:val="Overskrift4"/>
        <w:rPr>
          <w:rFonts w:ascii="Times New Roman" w:eastAsia="Calibri" w:hAnsi="Times New Roman" w:cs="Times New Roman"/>
          <w:sz w:val="24"/>
          <w:szCs w:val="24"/>
        </w:rPr>
      </w:pPr>
      <w:bookmarkStart w:id="1309" w:name="_Toc232109210"/>
      <w:r w:rsidRPr="00796736">
        <w:rPr>
          <w:rFonts w:ascii="Times New Roman" w:eastAsia="Calibri" w:hAnsi="Times New Roman" w:cs="Times New Roman"/>
          <w:sz w:val="24"/>
          <w:szCs w:val="24"/>
        </w:rPr>
        <w:t>6. hvidvaskdirektiv</w:t>
      </w:r>
      <w:bookmarkEnd w:id="1309"/>
      <w:r w:rsidRPr="00796736">
        <w:rPr>
          <w:rFonts w:ascii="Times New Roman" w:eastAsia="Calibri" w:hAnsi="Times New Roman" w:cs="Times New Roman"/>
          <w:sz w:val="24"/>
          <w:szCs w:val="24"/>
        </w:rPr>
        <w:t xml:space="preserve"> </w:t>
      </w:r>
    </w:p>
    <w:p w14:paraId="673229D7" w14:textId="4D79B085" w:rsidR="00BA42D8" w:rsidRPr="00796736" w:rsidRDefault="00BA42D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54, stk. 4, i 6. hvidvaskdirektiv, at værtslandets tilsynsorganer, dog uanset bestemmelsen i stk. 3, i tilfælde af alvorlige, gentagne eller systematiske overtrædelser begået af forpligtede enheder, der driver virksomhed gennem etableringssteder eller andre infrastrukturtyper på deres område som omhandlet i stk. 1, og som kræver øjeblikkelig afhjælpning, mulighed for på eget initiativ at træffe passende og forholdsmæssige foranstaltninger for at imødegå disse overtrædelser. Disse foranstaltninger skal være midlertidige og afsluttes, når de konstaterede overtrædelser er afhjulpet, herunder med bistand fra eller i samarbejde med tilsynsorganerne i den forpligtede enheds hjemland. Medlemsstaterne sikrer, at værtslandets tilsynsorganer underretter tilsynsorganet i den forpligtede enheds hjemland om de alvorlige, gentagne eller systematiske overtrædelser, omgående når de er konstateres, og når der træffes enhver foranstaltning i henhold til første afsnit, medmindre der træffes foranstaltninger i samarbejde med hjemlandets tilsynsorganer.</w:t>
      </w:r>
    </w:p>
    <w:p w14:paraId="2E1D8D9F" w14:textId="77777777" w:rsidR="00BA42D8" w:rsidRPr="00796736" w:rsidRDefault="00BA42D8" w:rsidP="00A802A5">
      <w:pPr>
        <w:spacing w:line="360" w:lineRule="auto"/>
        <w:rPr>
          <w:rFonts w:ascii="Times New Roman" w:eastAsia="Times New Roman" w:hAnsi="Times New Roman" w:cs="Times New Roman"/>
          <w:sz w:val="24"/>
          <w:szCs w:val="24"/>
        </w:rPr>
      </w:pPr>
    </w:p>
    <w:p w14:paraId="1302CF49" w14:textId="3357106A" w:rsidR="00C909A5" w:rsidRPr="00796736" w:rsidRDefault="00C909A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56, stk. 1, i 6. hvidvaskdirektiv, at tilsynsorganerne skal kunne anvende administrative foranstaltninger over for en forpligtet enhed, hvis de konstaterer overtrædelser af hvidvaskforordningen, enten i kombination med bøder for alvorlige, gentagne og systematiske overtrædelser, eller alene. Tilsynsorganerne skal også kunne anvende administrative foranstaltninger over for en forpligtet enhed, hvis de konstaterer svagheder i den forpligtede enheds interne politikker, procedurer og kontroller, som sandsynligvis vil føre til overtrædelser af de krav, der er omhandlet i litra a, eller hvis den forpligtede enhed har interne politikker, procedurer og kontroller, der ikke står i et rimeligt forhold til de risici for hvidvask af penge, de underliggende lovovertrædelser eller finansiering af terrorisme, som enheden er eksponeret for.</w:t>
      </w:r>
    </w:p>
    <w:p w14:paraId="6DD6CDB4" w14:textId="77777777" w:rsidR="00C909A5" w:rsidRPr="00796736" w:rsidRDefault="00C909A5" w:rsidP="00A802A5">
      <w:pPr>
        <w:spacing w:line="360" w:lineRule="auto"/>
        <w:rPr>
          <w:rFonts w:ascii="Times New Roman" w:eastAsia="Times New Roman" w:hAnsi="Times New Roman" w:cs="Times New Roman"/>
          <w:sz w:val="24"/>
          <w:szCs w:val="24"/>
        </w:rPr>
      </w:pPr>
    </w:p>
    <w:p w14:paraId="649E5658" w14:textId="77777777" w:rsidR="00C909A5" w:rsidRPr="00796736" w:rsidRDefault="00C909A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56, stk. 2, i 6. hvidvaskdirektiv, at medlemsstaterne sikrer, at tilsynsorganerne som minimum kan udstede henstillinger, påbyde forpligtede enheder at overholde, herunder at gennemføre, specifikke korrigerende foranstaltninger, udstede en offentlig meddelelse, hvori den fysiske eller juridiske person og overtrædelsens art identificeres, udstede et påbud om, at den fysiske eller juridiske person skal bringe den udviste adfærd til ophør og undlade at gentage en sådan adfærd, indskrænke eller begrænse forretningsaktiviteter, transaktioner eller netværk af institutter, der udgør den forpligtede enhed, eller kræve afhændelse af aktiviteter, hvor en forpligtet enhed er underlagt krav om en tilladelse, trække tilladelsen tilbage eller suspendere den og kræve ændringer i ledelsesstrukturen.</w:t>
      </w:r>
    </w:p>
    <w:p w14:paraId="296353CC" w14:textId="77777777" w:rsidR="00C909A5" w:rsidRPr="00796736" w:rsidRDefault="00C909A5" w:rsidP="00A802A5">
      <w:pPr>
        <w:spacing w:line="360" w:lineRule="auto"/>
        <w:rPr>
          <w:rFonts w:ascii="Times New Roman" w:eastAsia="Times New Roman" w:hAnsi="Times New Roman" w:cs="Times New Roman"/>
          <w:sz w:val="24"/>
          <w:szCs w:val="24"/>
        </w:rPr>
      </w:pPr>
    </w:p>
    <w:p w14:paraId="62928D2D" w14:textId="77777777" w:rsidR="00C909A5" w:rsidRPr="00796736" w:rsidRDefault="00C909A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 56, stk. 3, i 6. hvidvaskdirektiv, at medlemsstaterne sikrer, at tilsynsorganerne ved hjælp af de administrative foranstaltninger, der er omhandlet i stk. 2, navnlig kan 1) kræve fremlæggelse uden unødigt ophold af data eller oplysninger, der er nødvendige for udførelsen af deres opgaver i henhold til dette kapitel, kræve indgivelse af dokumenter eller pålægge yderligere eller hyppigere indberetningskrav, 2) stille krav om, at interne politikker, procedurer og kontroller styrkes, 3) kræve, at den forpligtede enhed anvender en specifik politik eller specifikke krav vedrørende kategorier af kunder eller individuelle kunder, transaktioner, aktiviteter eller leveringskanaler, der udgør en høj risiko, 4) kræve gennemførelse af foranstaltninger til nedbringelse af de risici for hvidvask af penge eller finansiering af terrorisme, der er forbundet med den forpligtede enheds aktiviteter og produkter, eller 5) indføre et midlertidigt forbud mod, at personer med ledelsesansvar i en forpligtet enhed eller andre fysiske personer, der er blevet holdt ansvarlige for overtrædelsen, varetager ledelsesfunktioner i forpligtede enheder.</w:t>
      </w:r>
    </w:p>
    <w:p w14:paraId="2B3EEFE9" w14:textId="77777777" w:rsidR="00C909A5" w:rsidRPr="00796736" w:rsidRDefault="00C909A5" w:rsidP="00A802A5">
      <w:pPr>
        <w:spacing w:line="360" w:lineRule="auto"/>
        <w:rPr>
          <w:rFonts w:ascii="Times New Roman" w:eastAsia="Times New Roman" w:hAnsi="Times New Roman" w:cs="Times New Roman"/>
          <w:sz w:val="24"/>
          <w:szCs w:val="24"/>
        </w:rPr>
      </w:pPr>
    </w:p>
    <w:p w14:paraId="28867B16" w14:textId="77777777" w:rsidR="00C909A5" w:rsidRPr="00796736" w:rsidRDefault="00C909A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56, stk. 4, i 6. hvidvaskdirektiv, at de administrative foranstaltninger, der er omhandlet i stk. 2, ledsages, hvor det er relevant, af bindende frister for deres gennemførelse. Medlemsstaterne sikrer, at tilsynsorganerne følger op på og vurderer den forpligtede enheds gennemførelse af de krævede tiltag.</w:t>
      </w:r>
    </w:p>
    <w:p w14:paraId="0763E3F0" w14:textId="77777777" w:rsidR="00C909A5" w:rsidRPr="00796736" w:rsidRDefault="00C909A5" w:rsidP="00A802A5">
      <w:pPr>
        <w:spacing w:line="360" w:lineRule="auto"/>
        <w:rPr>
          <w:rFonts w:ascii="Times New Roman" w:hAnsi="Times New Roman" w:cs="Times New Roman"/>
          <w:sz w:val="24"/>
          <w:szCs w:val="24"/>
        </w:rPr>
      </w:pPr>
    </w:p>
    <w:p w14:paraId="499141C1" w14:textId="41955ED5" w:rsidR="00561EAD" w:rsidRPr="00796736" w:rsidRDefault="00561EAD" w:rsidP="00A802A5">
      <w:pPr>
        <w:pStyle w:val="Overskrift4"/>
        <w:rPr>
          <w:rFonts w:ascii="Times New Roman" w:hAnsi="Times New Roman" w:cs="Times New Roman"/>
          <w:sz w:val="24"/>
          <w:szCs w:val="24"/>
        </w:rPr>
      </w:pPr>
      <w:bookmarkStart w:id="1310" w:name="_Toc232109211"/>
      <w:r w:rsidRPr="00796736">
        <w:rPr>
          <w:rFonts w:ascii="Times New Roman" w:hAnsi="Times New Roman" w:cs="Times New Roman"/>
          <w:sz w:val="24"/>
          <w:szCs w:val="24"/>
        </w:rPr>
        <w:t>Skatte- og Vækstministeriets overvejelser og den foreslåede ordning</w:t>
      </w:r>
      <w:bookmarkEnd w:id="1310"/>
      <w:r w:rsidRPr="00796736">
        <w:rPr>
          <w:rFonts w:ascii="Times New Roman" w:hAnsi="Times New Roman" w:cs="Times New Roman"/>
          <w:sz w:val="24"/>
          <w:szCs w:val="24"/>
        </w:rPr>
        <w:t xml:space="preserve"> </w:t>
      </w:r>
    </w:p>
    <w:p w14:paraId="2C4E95EB" w14:textId="2A01171E" w:rsidR="000A0420" w:rsidRPr="00796736" w:rsidRDefault="000A042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Skatte- og vækstministeriet har vurderet, at der er behov for at videreføre den gældende bestemmelse med få tilpasninger, </w:t>
      </w:r>
      <w:r w:rsidR="00566557" w:rsidRPr="00796736">
        <w:rPr>
          <w:rFonts w:ascii="Times New Roman" w:hAnsi="Times New Roman" w:cs="Times New Roman"/>
          <w:sz w:val="24"/>
          <w:szCs w:val="24"/>
        </w:rPr>
        <w:t>så</w:t>
      </w:r>
      <w:r w:rsidRPr="00796736">
        <w:rPr>
          <w:rFonts w:ascii="Times New Roman" w:hAnsi="Times New Roman" w:cs="Times New Roman"/>
          <w:sz w:val="24"/>
          <w:szCs w:val="24"/>
        </w:rPr>
        <w:t xml:space="preserve"> reglerne fortsat lever op til kravene i 6. hvidvaskdirektiv. Det anses fortsat for hensigtsmæssigt, at Finanstilsynet har hjemmel til at påbyde gennemførelse af nødvendige foranstaltninger, fastsætte frister for gennemførelsen og føre opfølgende kontrol med, at påbudte foranstaltninger faktisk gennemføres. Bestemmelsen skal sikre, at Finanstilsynet har de fornødne beføjelser til at reagere hurtigt og effektivt på overtrædelser og svagheder, herunder at stille krav om styrkelse af interne politikker, procedurer og kontroller samt gennemførelse af specifikke korrigerende tiltag</w:t>
      </w:r>
      <w:r w:rsidRPr="00796736">
        <w:rPr>
          <w:rFonts w:ascii="Times New Roman" w:eastAsia="Calibri" w:hAnsi="Times New Roman" w:cs="Times New Roman"/>
          <w:sz w:val="24"/>
          <w:szCs w:val="24"/>
        </w:rPr>
        <w:t xml:space="preserve">. </w:t>
      </w:r>
    </w:p>
    <w:p w14:paraId="5DDA154A" w14:textId="77777777" w:rsidR="000A0420" w:rsidRPr="00796736" w:rsidRDefault="000A0420" w:rsidP="00A802A5">
      <w:pPr>
        <w:spacing w:line="360" w:lineRule="auto"/>
        <w:rPr>
          <w:rFonts w:ascii="Times New Roman" w:hAnsi="Times New Roman" w:cs="Times New Roman"/>
          <w:sz w:val="24"/>
          <w:szCs w:val="24"/>
        </w:rPr>
      </w:pPr>
    </w:p>
    <w:p w14:paraId="126F90B7" w14:textId="77777777" w:rsidR="000A0420" w:rsidRPr="00796736" w:rsidRDefault="000A0420"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ordning indebærer en videreførelse af § 51 i hvidvaskloven med få indholdsmæssige ændringer, herunder tilføjelse af Europa-Parlamentets og Rådets forordning (EU) 2024/1624 om forebyggelse af anvendelse af det finansielle system til hvidvask af penge eller finansiering af terrorisme (hvidvaskforordningen).</w:t>
      </w:r>
    </w:p>
    <w:p w14:paraId="5D0F6996" w14:textId="77777777" w:rsidR="000A0420" w:rsidRPr="00796736" w:rsidRDefault="000A0420" w:rsidP="00A802A5">
      <w:pPr>
        <w:suppressAutoHyphens/>
        <w:spacing w:line="360" w:lineRule="auto"/>
        <w:rPr>
          <w:rFonts w:ascii="Times New Roman" w:eastAsia="Calibri" w:hAnsi="Times New Roman" w:cs="Times New Roman"/>
          <w:sz w:val="24"/>
          <w:szCs w:val="24"/>
        </w:rPr>
      </w:pPr>
    </w:p>
    <w:p w14:paraId="335286AB" w14:textId="77777777" w:rsidR="000A0420" w:rsidRPr="00796736" w:rsidRDefault="000A0420"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videreføre Finanstilsynets hjemmel til at påbyde de omfattede virksomheder og personer at gennemføre de nødvendige foranstaltninger inden for en af tilsynet fastsat frist, hvis der konstateres overtrædelser af hvidvaskforordningen, hvidvaskloven, regler udstedt i medfør heraf, forordningen om oplysninger ved pengeoverførsler og visse kryptoaktiver eller forordninger om finansielle sanktioner. </w:t>
      </w:r>
    </w:p>
    <w:p w14:paraId="00052C89" w14:textId="77777777" w:rsidR="000A0420" w:rsidRPr="00796736" w:rsidRDefault="000A0420" w:rsidP="00A802A5">
      <w:pPr>
        <w:suppressAutoHyphens/>
        <w:spacing w:line="360" w:lineRule="auto"/>
        <w:rPr>
          <w:rFonts w:ascii="Times New Roman" w:eastAsia="Calibri" w:hAnsi="Times New Roman" w:cs="Times New Roman"/>
          <w:sz w:val="24"/>
          <w:szCs w:val="24"/>
        </w:rPr>
      </w:pPr>
    </w:p>
    <w:p w14:paraId="292FB14D" w14:textId="7E44B309" w:rsidR="00BA42D8" w:rsidRPr="00796736" w:rsidRDefault="00BA42D8" w:rsidP="00A802A5">
      <w:pPr>
        <w:suppressAutoHyphens/>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foreslås desuden, at Finanstilsynet kan påbyde midlertidige foranstaltninger over for henholdsvis agenter for betalingsinstitutter og e-pengeinstitutter, herunder distributører med hjemsted i et andet EU- eller EØS-land, der ikke overholder hvidvaskforordningen, pengeoverførselsforordningen, denne lov og regler udstedt i medfør heraf samt love og forordninger indeholdende regler om finansielle sanktioner mod lande, personer, grupper, juridiske enheder eller organer.</w:t>
      </w:r>
    </w:p>
    <w:p w14:paraId="51085F8A" w14:textId="77777777" w:rsidR="00BA42D8" w:rsidRPr="00796736" w:rsidRDefault="00BA42D8" w:rsidP="00A802A5">
      <w:pPr>
        <w:suppressAutoHyphens/>
        <w:spacing w:line="360" w:lineRule="auto"/>
        <w:rPr>
          <w:rFonts w:ascii="Times New Roman" w:eastAsia="Calibri" w:hAnsi="Times New Roman" w:cs="Times New Roman"/>
          <w:sz w:val="24"/>
          <w:szCs w:val="24"/>
        </w:rPr>
      </w:pPr>
    </w:p>
    <w:p w14:paraId="618A3226" w14:textId="546A4BA8" w:rsidR="000A0420" w:rsidRPr="00796736" w:rsidRDefault="000A0420"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Der er tale om en videreførelse af den gældende §</w:t>
      </w:r>
      <w:r w:rsidR="00BA42D8" w:rsidRPr="00796736">
        <w:rPr>
          <w:rFonts w:ascii="Times New Roman" w:eastAsia="Calibri" w:hAnsi="Times New Roman" w:cs="Times New Roman"/>
          <w:sz w:val="24"/>
          <w:szCs w:val="24"/>
        </w:rPr>
        <w:t xml:space="preserve"> 47, stk. 4</w:t>
      </w:r>
      <w:r w:rsidR="008801CA">
        <w:rPr>
          <w:rFonts w:ascii="Times New Roman" w:eastAsia="Calibri" w:hAnsi="Times New Roman" w:cs="Times New Roman"/>
          <w:sz w:val="24"/>
          <w:szCs w:val="24"/>
        </w:rPr>
        <w:t>,</w:t>
      </w:r>
      <w:r w:rsidR="00BA42D8" w:rsidRPr="00796736">
        <w:rPr>
          <w:rFonts w:ascii="Times New Roman" w:eastAsia="Calibri" w:hAnsi="Times New Roman" w:cs="Times New Roman"/>
          <w:sz w:val="24"/>
          <w:szCs w:val="24"/>
        </w:rPr>
        <w:t xml:space="preserve"> samt</w:t>
      </w:r>
      <w:r w:rsidRPr="00796736">
        <w:rPr>
          <w:rFonts w:ascii="Times New Roman" w:eastAsia="Calibri" w:hAnsi="Times New Roman" w:cs="Times New Roman"/>
          <w:sz w:val="24"/>
          <w:szCs w:val="24"/>
        </w:rPr>
        <w:t xml:space="preserve"> </w:t>
      </w:r>
      <w:r w:rsidR="008801CA">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51 i hvidvaskloven. </w:t>
      </w:r>
    </w:p>
    <w:p w14:paraId="0DB2C65C" w14:textId="77777777" w:rsidR="000A0420" w:rsidRPr="00796736" w:rsidRDefault="000A0420" w:rsidP="00A802A5">
      <w:pPr>
        <w:suppressAutoHyphens/>
        <w:spacing w:line="360" w:lineRule="auto"/>
        <w:rPr>
          <w:rFonts w:ascii="Times New Roman" w:eastAsia="Calibri" w:hAnsi="Times New Roman" w:cs="Times New Roman"/>
          <w:sz w:val="24"/>
          <w:szCs w:val="24"/>
        </w:rPr>
      </w:pPr>
    </w:p>
    <w:p w14:paraId="1E705DA3" w14:textId="0D6822BD" w:rsidR="000A0420" w:rsidRPr="00796736" w:rsidRDefault="000A0420"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om ordningen henvises til lovforslagets </w:t>
      </w:r>
      <w:r w:rsidR="0049571A" w:rsidRPr="00796736">
        <w:rPr>
          <w:rFonts w:ascii="Times New Roman" w:eastAsia="Calibri" w:hAnsi="Times New Roman" w:cs="Times New Roman"/>
          <w:sz w:val="24"/>
          <w:szCs w:val="24"/>
        </w:rPr>
        <w:fldChar w:fldCharType="begin"/>
      </w:r>
      <w:r w:rsidR="0049571A" w:rsidRPr="00796736">
        <w:rPr>
          <w:rFonts w:ascii="Times New Roman" w:eastAsia="Calibri" w:hAnsi="Times New Roman" w:cs="Times New Roman"/>
          <w:sz w:val="24"/>
          <w:szCs w:val="24"/>
        </w:rPr>
        <w:instrText xml:space="preserve"> REF _Ref232939317 \n \h </w:instrText>
      </w:r>
      <w:r w:rsidR="00967618" w:rsidRPr="00796736">
        <w:rPr>
          <w:rFonts w:ascii="Times New Roman" w:eastAsia="Calibri" w:hAnsi="Times New Roman" w:cs="Times New Roman"/>
          <w:sz w:val="24"/>
          <w:szCs w:val="24"/>
        </w:rPr>
        <w:instrText xml:space="preserve"> \* MERGEFORMAT </w:instrText>
      </w:r>
      <w:r w:rsidR="0049571A" w:rsidRPr="00796736">
        <w:rPr>
          <w:rFonts w:ascii="Times New Roman" w:eastAsia="Calibri" w:hAnsi="Times New Roman" w:cs="Times New Roman"/>
          <w:sz w:val="24"/>
          <w:szCs w:val="24"/>
        </w:rPr>
      </w:r>
      <w:r w:rsidR="0049571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63</w:t>
      </w:r>
      <w:r w:rsidR="0049571A" w:rsidRPr="00796736">
        <w:rPr>
          <w:rFonts w:ascii="Times New Roman" w:eastAsia="Calibri" w:hAnsi="Times New Roman" w:cs="Times New Roman"/>
          <w:sz w:val="24"/>
          <w:szCs w:val="24"/>
        </w:rPr>
        <w:fldChar w:fldCharType="end"/>
      </w:r>
      <w:r w:rsidR="0049571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3EE5ABAD" w14:textId="77777777" w:rsidR="00561EAD" w:rsidRPr="00796736" w:rsidRDefault="00561EAD" w:rsidP="00A802A5">
      <w:pPr>
        <w:spacing w:line="360" w:lineRule="auto"/>
        <w:rPr>
          <w:rFonts w:ascii="Times New Roman" w:hAnsi="Times New Roman" w:cs="Times New Roman"/>
          <w:sz w:val="24"/>
          <w:szCs w:val="24"/>
        </w:rPr>
      </w:pPr>
    </w:p>
    <w:p w14:paraId="680C6FD9" w14:textId="77777777" w:rsidR="00CA0540" w:rsidRPr="00796736" w:rsidRDefault="00CA0540" w:rsidP="00A802A5">
      <w:pPr>
        <w:spacing w:line="360" w:lineRule="auto"/>
        <w:rPr>
          <w:rFonts w:ascii="Times New Roman" w:hAnsi="Times New Roman" w:cs="Times New Roman"/>
          <w:sz w:val="24"/>
          <w:szCs w:val="24"/>
        </w:rPr>
      </w:pPr>
    </w:p>
    <w:p w14:paraId="53E97F3C" w14:textId="489F5D29" w:rsidR="00561EAD" w:rsidRPr="00796736" w:rsidRDefault="00444495" w:rsidP="00A802A5">
      <w:pPr>
        <w:pStyle w:val="Overskrift2"/>
        <w:rPr>
          <w:rFonts w:ascii="Times New Roman" w:hAnsi="Times New Roman"/>
          <w:sz w:val="24"/>
        </w:rPr>
      </w:pPr>
      <w:bookmarkStart w:id="1311" w:name="_Ref233638655"/>
      <w:bookmarkStart w:id="1312" w:name="_Toc244880772"/>
      <w:r w:rsidRPr="00796736">
        <w:rPr>
          <w:rFonts w:ascii="Times New Roman" w:hAnsi="Times New Roman"/>
          <w:sz w:val="24"/>
        </w:rPr>
        <w:t>Finanstilsynets hjemmel til at påbyde midlertidig begrænsning eller ophør af aktiviteter ved overtrædelser</w:t>
      </w:r>
      <w:bookmarkEnd w:id="1311"/>
      <w:bookmarkEnd w:id="1312"/>
    </w:p>
    <w:p w14:paraId="009E7F81" w14:textId="79570C07" w:rsidR="00444495" w:rsidRPr="00796736" w:rsidRDefault="00561EAD" w:rsidP="00A802A5">
      <w:pPr>
        <w:pStyle w:val="Overskrift4"/>
        <w:rPr>
          <w:rFonts w:ascii="Times New Roman" w:hAnsi="Times New Roman" w:cs="Times New Roman"/>
          <w:sz w:val="24"/>
          <w:szCs w:val="24"/>
        </w:rPr>
      </w:pPr>
      <w:bookmarkStart w:id="1313" w:name="_Toc232109217"/>
      <w:r w:rsidRPr="00796736">
        <w:rPr>
          <w:rFonts w:ascii="Times New Roman" w:hAnsi="Times New Roman" w:cs="Times New Roman"/>
          <w:sz w:val="24"/>
          <w:szCs w:val="24"/>
        </w:rPr>
        <w:t>Gældende ret</w:t>
      </w:r>
      <w:bookmarkStart w:id="1314" w:name="_Toc232109218"/>
      <w:bookmarkEnd w:id="1313"/>
    </w:p>
    <w:p w14:paraId="5805518F" w14:textId="06E0B491" w:rsidR="00444495" w:rsidRPr="00796736" w:rsidRDefault="0044449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51 b har Finanstilsynet hjemmel til at påbyde en virksomhed eller person, der er omfattet af § 1, stk. 1, nr. 1-10, 18 og 22, at virksomheden eller personen midlertidigt ikke må optage nye kundeforhold, hvis der konstateres en alvorlig overtrædelse af bestemmelser i hvidvaskloven eller regler udstedt i medfør heraf. Dette påbud kan dog ikke rettes mod virksomhedens eller personens filialer, distributører og agenter her i landet. Hvis overtrædelsen helt eller delvist er foregået i en virksomheds udenlandske filial, kan påbuddet udstrækkes til også at omfatte denne filial. Et påbud ophører, når virksomheden eller personen over for Finanstilsynet dokumenterer, at overtrædelsen er ophørt.</w:t>
      </w:r>
    </w:p>
    <w:p w14:paraId="33DFC6BB" w14:textId="77777777" w:rsidR="00444495" w:rsidRPr="00796736" w:rsidRDefault="00444495" w:rsidP="00A802A5">
      <w:pPr>
        <w:spacing w:line="360" w:lineRule="auto"/>
        <w:rPr>
          <w:rFonts w:ascii="Times New Roman" w:hAnsi="Times New Roman" w:cs="Times New Roman"/>
          <w:sz w:val="24"/>
          <w:szCs w:val="24"/>
        </w:rPr>
      </w:pPr>
    </w:p>
    <w:bookmarkEnd w:id="1314"/>
    <w:p w14:paraId="3EB6E61B" w14:textId="0EAA003E" w:rsidR="00444495" w:rsidRPr="00796736" w:rsidRDefault="00444495"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6. hvidvaskdirektiv</w:t>
      </w:r>
    </w:p>
    <w:p w14:paraId="0E815EE1" w14:textId="73350D6D" w:rsidR="00444495" w:rsidRPr="00796736" w:rsidRDefault="0044449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56, stk. 2, litra e, at medlemsstaterne skal sikre, at tilsynsorganerne som minimum kan indskrænke eller begrænse forretningsaktiviteter, transaktioner eller netværk af institutter, der udgør den forpligtede enhed, eller kræve afhændelse af aktiviteter.</w:t>
      </w:r>
    </w:p>
    <w:p w14:paraId="13F17A36" w14:textId="77777777" w:rsidR="00444495" w:rsidRPr="00796736" w:rsidRDefault="00444495" w:rsidP="00A802A5">
      <w:pPr>
        <w:spacing w:line="360" w:lineRule="auto"/>
        <w:rPr>
          <w:rFonts w:ascii="Times New Roman" w:hAnsi="Times New Roman" w:cs="Times New Roman"/>
          <w:sz w:val="24"/>
          <w:szCs w:val="24"/>
        </w:rPr>
      </w:pPr>
    </w:p>
    <w:p w14:paraId="210E030E" w14:textId="15164031" w:rsidR="00561EAD" w:rsidRPr="00796736" w:rsidRDefault="00561EAD" w:rsidP="00A802A5">
      <w:pPr>
        <w:pStyle w:val="Overskrift4"/>
        <w:rPr>
          <w:rFonts w:ascii="Times New Roman" w:hAnsi="Times New Roman" w:cs="Times New Roman"/>
          <w:sz w:val="24"/>
          <w:szCs w:val="24"/>
        </w:rPr>
      </w:pPr>
      <w:bookmarkStart w:id="1315" w:name="_Toc232109219"/>
      <w:r w:rsidRPr="00796736">
        <w:rPr>
          <w:rFonts w:ascii="Times New Roman" w:hAnsi="Times New Roman" w:cs="Times New Roman"/>
          <w:sz w:val="24"/>
          <w:szCs w:val="24"/>
        </w:rPr>
        <w:t>Skatte- og Vækstministeriets overvejelser og den foreslåede ordning</w:t>
      </w:r>
      <w:bookmarkEnd w:id="1315"/>
      <w:r w:rsidRPr="00796736">
        <w:rPr>
          <w:rFonts w:ascii="Times New Roman" w:hAnsi="Times New Roman" w:cs="Times New Roman"/>
          <w:sz w:val="24"/>
          <w:szCs w:val="24"/>
        </w:rPr>
        <w:t xml:space="preserve"> </w:t>
      </w:r>
    </w:p>
    <w:p w14:paraId="2A16B82E" w14:textId="0966E704" w:rsidR="00444495" w:rsidRPr="00796736" w:rsidRDefault="0044449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gældende regler har overordnet set været effektive i forhold til at give Finanstilsynet mulighed for at gribe ind over for virksomheder og personer, der overtræder hvidvaskloven. Imidlertid vurderes det, at der er behov for at udvide Finanstilsynets beføjelser, særligt i lyset af implementeringen af 6. hvidvaskdirektiv. Direktivet stiller øgede krav til tilsynsmyndighedernes muligheder for at indskrænke eller begrænse forretningsaktiviteter, transaktioner eller netværk for de forpligtede enheder, eller kræve afhændelse af aktiviteter, når der konstateres alvorlige overtrædelser af relevante regler. Udvidelsen af beføjelserne skal sikre, at Finanstilsynet fortsat kan reagere hurtigt og effektivt og leve op til de nye krav, der er fastsat i 6. hvidvaskdirektiv. </w:t>
      </w:r>
    </w:p>
    <w:p w14:paraId="6FB2BA72" w14:textId="77777777" w:rsidR="00444495" w:rsidRPr="00796736" w:rsidRDefault="00444495" w:rsidP="00A802A5">
      <w:pPr>
        <w:spacing w:line="360" w:lineRule="auto"/>
        <w:rPr>
          <w:rFonts w:ascii="Times New Roman" w:hAnsi="Times New Roman" w:cs="Times New Roman"/>
          <w:sz w:val="24"/>
          <w:szCs w:val="24"/>
        </w:rPr>
      </w:pPr>
    </w:p>
    <w:p w14:paraId="5110280F" w14:textId="02CD957A" w:rsidR="00444495" w:rsidRPr="00796736" w:rsidRDefault="0044449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denne baggrund, at Finanstilsynets hjemmel udvides, </w:t>
      </w:r>
      <w:r w:rsidR="00566557" w:rsidRPr="00796736">
        <w:rPr>
          <w:rFonts w:ascii="Times New Roman" w:hAnsi="Times New Roman" w:cs="Times New Roman"/>
          <w:sz w:val="24"/>
          <w:szCs w:val="24"/>
        </w:rPr>
        <w:t>så</w:t>
      </w:r>
      <w:r w:rsidRPr="00796736">
        <w:rPr>
          <w:rFonts w:ascii="Times New Roman" w:hAnsi="Times New Roman" w:cs="Times New Roman"/>
          <w:sz w:val="24"/>
          <w:szCs w:val="24"/>
        </w:rPr>
        <w:t xml:space="preserve"> tilsynet får mulighed for at påbyde virksomheder og personer, der er omfattet af loven, en række yderligere foranstaltninger, når der konstateres en overtrædelse af relevante regler. Den foreslåede ordning indebærer, at Finanstilsynet kan påbyde midlertidig begrænsning eller ophør af bestemte forretningsaktiviteter, gennemførelse af bestemte typer transaktioner samt afhændelse af aktiviteter. Formålet er at styrke Finanstilsynets muligheder for at gribe hurtigt og effektivt ind over for virksomheder og personer, hvor der er konstateret alvorlige overtrædelser, og hvor andre og mildere indgrebsmuligheder ikke vurderes tilstrækkelige. </w:t>
      </w:r>
    </w:p>
    <w:p w14:paraId="519ED73E" w14:textId="77777777" w:rsidR="00444495" w:rsidRPr="00796736" w:rsidRDefault="00444495" w:rsidP="00A802A5">
      <w:pPr>
        <w:spacing w:line="360" w:lineRule="auto"/>
        <w:rPr>
          <w:rFonts w:ascii="Times New Roman" w:hAnsi="Times New Roman" w:cs="Times New Roman"/>
          <w:sz w:val="24"/>
          <w:szCs w:val="24"/>
        </w:rPr>
      </w:pPr>
    </w:p>
    <w:p w14:paraId="44A4980C" w14:textId="5430221A" w:rsidR="00444495" w:rsidRPr="00796736" w:rsidRDefault="0044449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den foreslåede ordning henvises til lovforslagets </w:t>
      </w:r>
      <w:r w:rsidR="002262D8" w:rsidRPr="00796736">
        <w:rPr>
          <w:rFonts w:ascii="Times New Roman" w:hAnsi="Times New Roman" w:cs="Times New Roman"/>
          <w:sz w:val="24"/>
          <w:szCs w:val="24"/>
        </w:rPr>
        <w:fldChar w:fldCharType="begin"/>
      </w:r>
      <w:r w:rsidR="002262D8" w:rsidRPr="00796736">
        <w:rPr>
          <w:rFonts w:ascii="Times New Roman" w:hAnsi="Times New Roman" w:cs="Times New Roman"/>
          <w:sz w:val="24"/>
          <w:szCs w:val="24"/>
        </w:rPr>
        <w:instrText xml:space="preserve"> REF _Ref232597270 \r \h </w:instrText>
      </w:r>
      <w:r w:rsidR="00EA770E" w:rsidRPr="00796736">
        <w:rPr>
          <w:rFonts w:ascii="Times New Roman" w:hAnsi="Times New Roman" w:cs="Times New Roman"/>
          <w:sz w:val="24"/>
          <w:szCs w:val="24"/>
        </w:rPr>
        <w:instrText xml:space="preserve"> \* MERGEFORMAT </w:instrText>
      </w:r>
      <w:r w:rsidR="002262D8" w:rsidRPr="00796736">
        <w:rPr>
          <w:rFonts w:ascii="Times New Roman" w:hAnsi="Times New Roman" w:cs="Times New Roman"/>
          <w:sz w:val="24"/>
          <w:szCs w:val="24"/>
        </w:rPr>
      </w:r>
      <w:r w:rsidR="002262D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64</w:t>
      </w:r>
      <w:r w:rsidR="002262D8" w:rsidRPr="00796736">
        <w:rPr>
          <w:rFonts w:ascii="Times New Roman" w:hAnsi="Times New Roman" w:cs="Times New Roman"/>
          <w:sz w:val="24"/>
          <w:szCs w:val="24"/>
        </w:rPr>
        <w:fldChar w:fldCharType="end"/>
      </w:r>
      <w:r w:rsidR="002262D8"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62412C8C" w14:textId="77777777" w:rsidR="00B26692" w:rsidRPr="00796736" w:rsidRDefault="00B26692" w:rsidP="00A802A5">
      <w:pPr>
        <w:spacing w:line="360" w:lineRule="auto"/>
        <w:rPr>
          <w:rFonts w:ascii="Times New Roman" w:hAnsi="Times New Roman" w:cs="Times New Roman"/>
          <w:sz w:val="24"/>
          <w:szCs w:val="24"/>
        </w:rPr>
      </w:pPr>
    </w:p>
    <w:p w14:paraId="3B46D7FE" w14:textId="77777777" w:rsidR="00FE6DFA" w:rsidRPr="00796736" w:rsidRDefault="00FE6DFA" w:rsidP="00A802A5">
      <w:pPr>
        <w:pStyle w:val="Overskrift2"/>
        <w:rPr>
          <w:rFonts w:ascii="Times New Roman" w:hAnsi="Times New Roman"/>
          <w:sz w:val="24"/>
        </w:rPr>
      </w:pPr>
      <w:bookmarkStart w:id="1316" w:name="_Toc232109212"/>
      <w:bookmarkStart w:id="1317" w:name="_Ref232951004"/>
      <w:bookmarkStart w:id="1318" w:name="_Toc244880773"/>
      <w:r w:rsidRPr="00796736">
        <w:rPr>
          <w:rFonts w:ascii="Times New Roman" w:hAnsi="Times New Roman"/>
          <w:sz w:val="24"/>
        </w:rPr>
        <w:t>Finanstilsynets hjemmel til afsættelse af ledelsesmedlemmer</w:t>
      </w:r>
      <w:bookmarkEnd w:id="1316"/>
      <w:bookmarkEnd w:id="1317"/>
      <w:bookmarkEnd w:id="1318"/>
    </w:p>
    <w:p w14:paraId="27D8EE69" w14:textId="77777777" w:rsidR="00FE6DFA" w:rsidRPr="00796736" w:rsidRDefault="00FE6DFA" w:rsidP="00A802A5">
      <w:pPr>
        <w:pStyle w:val="Overskrift4"/>
        <w:rPr>
          <w:rFonts w:ascii="Times New Roman" w:hAnsi="Times New Roman" w:cs="Times New Roman"/>
          <w:sz w:val="24"/>
          <w:szCs w:val="24"/>
        </w:rPr>
      </w:pPr>
      <w:bookmarkStart w:id="1319" w:name="_Toc232109213"/>
      <w:r w:rsidRPr="00796736">
        <w:rPr>
          <w:rFonts w:ascii="Times New Roman" w:hAnsi="Times New Roman" w:cs="Times New Roman"/>
          <w:sz w:val="24"/>
          <w:szCs w:val="24"/>
        </w:rPr>
        <w:t>Gældende ret</w:t>
      </w:r>
      <w:bookmarkEnd w:id="1319"/>
    </w:p>
    <w:p w14:paraId="483F0264"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gældende ret er mulighederne for at reagere over for ledelsesmedlemmer, der ikke opfylder kravene, begrænsede. Der er ikke en udtrykkelig hjemmel til, at Finanstilsynet kan påbyde virksomhederne midlertidigt at afsætte ledelsesmedlemmer, eller til at inddrage registreringen, hvis et påbud om afsættelse ikke efterleves. </w:t>
      </w:r>
    </w:p>
    <w:p w14:paraId="344BA4C6"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54FD0FBA"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Hvidvasklovens § 51 a, stk. 1, fastsætter, at Finanstilsynet kan påbyde visse virksomheder omfattet af § 1, stk. 1, nr. 1-8, 9, 10, 18 og 22, dog ikke deres filialer, distributører og agenter i Danmark, at afsætte den person, der er udpeget efter § 7, stk. 2, hvis denne person ikke opfylder kravene til at bestride stillingen. Dette skal ske inden for en frist fastsat af Finanstilsynet.</w:t>
      </w:r>
    </w:p>
    <w:p w14:paraId="0B513D92"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46B3CC33"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hvidvasklovens § 51 a, stk. 2, at påbud meddelt efter stk. 1 kan af virksomheden og den person, som påbuddet vedrører, forlanges indbragt for domstolene af Finanstilsynet.  Anmodning herom skal indgives til Finanstilsynet, senest 4 uger efter at påbuddet er meddelt den pågældende. Finanstilsynet indbringer sagen for domstolene inden 4 uger efter modtagelse af anmodning herom. Sagen anlægges i den borgerlige retsplejes former.</w:t>
      </w:r>
    </w:p>
    <w:p w14:paraId="7AADA946"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7343E015"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hvidvasklovens § 51 c, stk. 1,  at Finanstilsynet for valutavekslingsvirksomheder kan påbyde virksomheden at afsætte en direktør eller et bestyrelsesmedlem, hvis vedkommende ikke opfylder de krav, der følger af § 45, stk. 1. Tilsvarende følger det af hvidvaskloven § 51 c, stk. 2, at Finanstilsynet kan påbyde afsættelse, hvis der er rejst tiltale mod den pågældende i en straffesag om overtrædelse af straffeloven, den finansielle lovgivning eller anden relevant lovgivning, indtil straffesagen er afgjort, hvis en domfældelse vil indebære, at kravene i § 45, stk. 1, nr. 3, ikke er opfyldt. Finanstilsynet fastsætter en frist for efterlevelse af sådanne påbud.</w:t>
      </w:r>
    </w:p>
    <w:p w14:paraId="0DF87700"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0FF9E7BC"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endvidere af hvidvasklovens § 51 c, stk. 3, at varigheden af påbud meddelt efter stk. 1 på baggrund af § 45, stk. 1, nr. 2-5, skal fremgå af påbuddet.</w:t>
      </w:r>
    </w:p>
    <w:p w14:paraId="013BDBA3"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7065A280"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hvidvasklovens § 51 c, stk. 4, at påbud meddelt efter stk. 1 og 2 kan af valutavekslingsvirksomheden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den pågældende direktør eller det pågældende bestyrelsesmedlem under sagens behandling kan opretholde sit hverv eller sin stilling.  Finanstilsynet indbringer sagen for domstolene inden 4 uger efter modtagelse af anmodning herom. Sagen anlægges i den borgerlige retsplejes former.</w:t>
      </w:r>
    </w:p>
    <w:p w14:paraId="061801BD"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62076AA1"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Hvidvasklovens § 51 c, stk. 5, fastsætter, at afgørelser i sager efter § 45, stk. 1, som træffes efter § 45, stk. 2, kan af virksomheden og af den person, som afgørelsen vedrører, forlanges indbragt for domstolene. Anmodning herom skal indgives til Finanstilsynet, inden 4 uger efter at afgørelsen er meddelt den pågældende. Anmodningen har ikke opsættende virkning for afgørelsen, men retten kan ved kendelse bestemme, at personen under sagens behandling kan indtræde i det hverv eller den stilling, som personen har søgt om godkendelse til. Finanstilsynet indbringer sagen for domstolene inden 4 uger efter modtagelse af anmodning herom. Sagen anlægges i den borgerlige retsplejes former.</w:t>
      </w:r>
    </w:p>
    <w:p w14:paraId="51927A74"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7B70976B"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Finanstilsynet i medfør af hvidvasklovens § 51 c, stk. 6, af egen drift eller efter ansøgning tilbagekalde påbud meddelt efter stk. 1, 2. pkt., og stk. 2, 3. pkt.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296DD790"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75F3742B"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hvidvasklovens § 51 c, stk. 7, at såfremt valutavekslingsvirksomheden ikke har afsat direktøren inden for den fastsatte frist, kan Finanstilsynet inddrage virksomhedens tilladelse, jf. § 46, stk. 1, nr. 3. Finanstilsynet kan endvidere inddrage valutavekslingsvirksomhedens tilladelse, jf. § 46, stk. 1, nr. 3, hvis et bestyrelsesmedlem ikke efterkommer et påbud meddelt i medfør af stk. 1, 2. pkt., og stk. 2, 3. pkt.</w:t>
      </w:r>
    </w:p>
    <w:p w14:paraId="17BC930E"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38623643"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desuden af hvidvasklovens § 51 c, stk. 8, at stk. 1-7 finder tilsvarende anvendelse på den eller de for virksomheden ledelsesansvarlige, når en valutavekslingsvirksomhed drives som en juridisk person uden en bestyrelse eller direktion. </w:t>
      </w:r>
    </w:p>
    <w:p w14:paraId="2AC86855"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65573D00" w14:textId="77777777" w:rsidR="00FE6DFA" w:rsidRPr="00796736" w:rsidRDefault="00FE6DFA" w:rsidP="00A802A5">
      <w:pPr>
        <w:pStyle w:val="Overskrift4"/>
        <w:rPr>
          <w:rFonts w:ascii="Times New Roman" w:eastAsia="Calibri" w:hAnsi="Times New Roman" w:cs="Times New Roman"/>
          <w:sz w:val="24"/>
          <w:szCs w:val="24"/>
        </w:rPr>
      </w:pPr>
      <w:bookmarkStart w:id="1320" w:name="_Toc232109214"/>
      <w:r w:rsidRPr="00796736">
        <w:rPr>
          <w:rFonts w:ascii="Times New Roman" w:eastAsia="Calibri" w:hAnsi="Times New Roman" w:cs="Times New Roman"/>
          <w:sz w:val="24"/>
          <w:szCs w:val="24"/>
        </w:rPr>
        <w:t>6. hvidvaskdirektiv</w:t>
      </w:r>
      <w:bookmarkEnd w:id="1320"/>
      <w:r w:rsidRPr="00796736">
        <w:rPr>
          <w:rFonts w:ascii="Times New Roman" w:eastAsia="Calibri" w:hAnsi="Times New Roman" w:cs="Times New Roman"/>
          <w:sz w:val="24"/>
          <w:szCs w:val="24"/>
        </w:rPr>
        <w:t xml:space="preserve"> </w:t>
      </w:r>
    </w:p>
    <w:p w14:paraId="5ECC04B6"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Artikel 6, stk. 4, fastslår, at medlemsstaterne skal sikre, at tilsynsorganerne har beføjelse til at anmode om, at enhver person, der er dømt for hvidvask af penge, relevante underliggende lovovertrædelser eller finansiering af terrorisme, fjernes fra den øverste ledelse i de forpligtede enheder. Derudover skal tilsynsorganerne have beføjelse til at fjerne eller pålægge et midlertidigt forbud mod medlemmer af den øverste ledelse i de pågældende enheder, hvis de pågældende ikke har et godt omdømme, ikke anses for at handle med hæderlighed og integritet, eller ikke besidder den nødvendige viden og ekspertise til at udføre deres opgaver. </w:t>
      </w:r>
    </w:p>
    <w:p w14:paraId="53DDA08B"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7864D9F2" w14:textId="77777777" w:rsidR="00FE6DFA" w:rsidRPr="00796736" w:rsidRDefault="00FE6DFA" w:rsidP="00A802A5">
      <w:pPr>
        <w:pStyle w:val="Overskrift4"/>
        <w:rPr>
          <w:rFonts w:ascii="Times New Roman" w:eastAsia="Calibri" w:hAnsi="Times New Roman" w:cs="Times New Roman"/>
          <w:sz w:val="24"/>
          <w:szCs w:val="24"/>
        </w:rPr>
      </w:pPr>
      <w:bookmarkStart w:id="1321" w:name="_Toc232109215"/>
      <w:r w:rsidRPr="00796736">
        <w:rPr>
          <w:rFonts w:ascii="Times New Roman" w:eastAsia="Calibri" w:hAnsi="Times New Roman" w:cs="Times New Roman"/>
          <w:sz w:val="24"/>
          <w:szCs w:val="24"/>
        </w:rPr>
        <w:t>Skatte- og Vækstministeriets overvejelser og den foreslåede ordning</w:t>
      </w:r>
      <w:bookmarkEnd w:id="1321"/>
    </w:p>
    <w:p w14:paraId="500A16DE"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Skatte- og Vækstministeriet har vurderet, at der er behov for at styrke Finanstilsynets muligheder for at reagere over for ledelsesmedlemmer, der ikke opfylder kravene til egnethed og hæderlighed, eller som er under tiltale for alvorlige lovovertrædelser. Det er væsentligt, at virksomheder ledes af personer, der til enhver tid opfylder de lovbestemte krav, og at Finanstilsynet har effektive redskaber til at sikre dette. Ministeriet har derfor overvejet at indføre en hjemmel til, at Finanstilsynet kan udstede påbud om midlertidig afsættelse af direktører og bestyrelsesmedlemmer, samt mulighed for at inddrage registrering, hvis påbud ikke efterleves. Overvejelserne har taget udgangspunkt i behovet for at beskytte tilliden til den finansielle sektor og sikre, at virksomhederne drives forsvarligt.</w:t>
      </w:r>
    </w:p>
    <w:p w14:paraId="2E1C2987"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0971E295"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Finanstilsynet får hjemmel til at påbyde virksomheder og personer midlertidigt at afsætte en </w:t>
      </w:r>
      <w:r w:rsidRPr="00796736">
        <w:rPr>
          <w:rFonts w:ascii="Times New Roman" w:eastAsia="Calibri" w:hAnsi="Times New Roman" w:cs="Times New Roman"/>
          <w:iCs/>
          <w:sz w:val="24"/>
          <w:szCs w:val="24"/>
        </w:rPr>
        <w:t>person fra den øverste ledelse, herunder direktør eller medlem af bestyrelsen,</w:t>
      </w:r>
      <w:r w:rsidRPr="00796736">
        <w:rPr>
          <w:rFonts w:ascii="Times New Roman" w:eastAsia="Calibri" w:hAnsi="Times New Roman" w:cs="Times New Roman"/>
          <w:sz w:val="24"/>
          <w:szCs w:val="24"/>
        </w:rPr>
        <w:t xml:space="preserve"> inden for en frist fastsat af Finanstilsynet, hvis vedkommende ikke opfylder kravene til at bestride stillingen, eller hvis der er grund til at antage, at vedkommende ikke vil varetage hvervet på en forsvarlig måde. </w:t>
      </w:r>
    </w:p>
    <w:p w14:paraId="710E2CFE"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47E0F553"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Endvidere foreslås det, at Finanstilsynet kan udstede påbud om afsættelse, hvis der er rejst tiltale mod den pågældende i en straffesag, og en domfældelse vil medføre, at kravene til ledelsen ikke opfyldes. Påbuddet kan indbringes for domstolene, og Finanstilsynet kan tilbagekalde påbuddet af egen drift eller efter ansøgning. Hvis virksomheden eller den relevante person ikke efterkommer påbuddet inden for den fastsatte frist, kan Finanstilsynet inddrage virksomhedens registrering. </w:t>
      </w:r>
    </w:p>
    <w:p w14:paraId="1C303E1B"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01CB5A32" w14:textId="717C685F" w:rsidR="00FE6DFA" w:rsidRPr="00796736" w:rsidRDefault="00FE6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Finanstilsynet fortsat kan påbyde virksomheder og personer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1-19, samt 32, litra a – dog ikke disses filialer, distributører og agenter her i landet – at afsætte den person, der er udpeget i henhold til artikel 11, stk. 2, i </w:t>
      </w:r>
      <w:r w:rsidR="0017649E">
        <w:rPr>
          <w:rFonts w:ascii="Times New Roman" w:hAnsi="Times New Roman" w:cs="Times New Roman"/>
          <w:sz w:val="24"/>
          <w:szCs w:val="24"/>
        </w:rPr>
        <w:t>hvidvask</w:t>
      </w:r>
      <w:r w:rsidRPr="00796736">
        <w:rPr>
          <w:rFonts w:ascii="Times New Roman" w:hAnsi="Times New Roman" w:cs="Times New Roman"/>
          <w:sz w:val="24"/>
          <w:szCs w:val="24"/>
        </w:rPr>
        <w:t xml:space="preserve">forordningen, hvis personen ikke opfylder de relevante krav. </w:t>
      </w:r>
    </w:p>
    <w:p w14:paraId="714FCF1B"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1DC93FB1" w14:textId="1228FF9D" w:rsidR="00FE6DFA" w:rsidRPr="00796736" w:rsidRDefault="00FE6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valutavekslingsvirksomheder foreslås det, at Finanstilsynet fortsat kan påbyde virksomheden at afsætte en direktør eller et bestyrelsesmedlem, hvis vedkommende ikke opfylder de krav, der følger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Tilsvarende kan Finanstilsynet påbyde afsættelse, hvis der er rejst tiltale mod den pågældende i en straffesag om overtrædelse af straffeloven, den finansielle lovgivning eller anden relevant lovgivning, indtil straffesagen er afgjort, hvis en domfældelse vil indebære, at kravene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3, ikke er opfyldt. Finanstilsynet fastsætter en frist for efterlevelse af sådanne påbud.</w:t>
      </w:r>
    </w:p>
    <w:p w14:paraId="4C9D1DAD"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42884E6A" w14:textId="77777777"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ordning skal sikre, at Finanstilsynet har effektive redskaber til at håndhæve kravene til ledelsen og beskytte tilliden til virksomheder, der er underlagt Finanstilsynet tilsyn. </w:t>
      </w:r>
    </w:p>
    <w:p w14:paraId="3897559F" w14:textId="77777777" w:rsidR="00032C17" w:rsidRPr="00796736" w:rsidRDefault="00032C17" w:rsidP="00A802A5">
      <w:pPr>
        <w:suppressAutoHyphens/>
        <w:spacing w:line="360" w:lineRule="auto"/>
        <w:rPr>
          <w:rFonts w:ascii="Times New Roman" w:eastAsia="Calibri" w:hAnsi="Times New Roman" w:cs="Times New Roman"/>
          <w:sz w:val="24"/>
          <w:szCs w:val="24"/>
        </w:rPr>
      </w:pPr>
    </w:p>
    <w:p w14:paraId="56B5F055" w14:textId="4343E1CD" w:rsidR="00032C17" w:rsidRPr="00796736" w:rsidRDefault="00032C17"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Tilsvarende foreslås der i anden finansiel lovgivning, herunder lov om finansiel virksomhed, lov om investeringsrådgivere og boligkreditformidlere samt lov om forbrugslånsvirksomheder, indført hjemmel til, at Finanstilsynet kan reagere effektivt over for ledelsesmedlemmer, der ikke opfylder kravene t</w:t>
      </w:r>
      <w:r w:rsidR="00F47904" w:rsidRPr="00796736">
        <w:rPr>
          <w:rFonts w:ascii="Times New Roman" w:eastAsia="Calibri" w:hAnsi="Times New Roman" w:cs="Times New Roman"/>
          <w:sz w:val="24"/>
          <w:szCs w:val="24"/>
        </w:rPr>
        <w:t xml:space="preserve">il </w:t>
      </w:r>
      <w:r w:rsidRPr="00796736">
        <w:rPr>
          <w:rFonts w:ascii="Times New Roman" w:eastAsia="Calibri" w:hAnsi="Times New Roman" w:cs="Times New Roman"/>
          <w:sz w:val="24"/>
          <w:szCs w:val="24"/>
        </w:rPr>
        <w:t>hæderlighed. Det foreslåede i den øvrige finansielle lovgivning har til formål at gennemføre artikel 6, stk. 4, i 6. hvidvaskdirektiv. Bestemmelsen indebærer, at tilsynsmyndighederne skal have beføjelse til at anmode om, at personer, der er dømt for hvidvask, relevante underliggende lovovertrædelser eller finansiering af terrorisme, fjernes fra den øverste ledelse i forpligtede enheder.</w:t>
      </w:r>
    </w:p>
    <w:p w14:paraId="023506D0" w14:textId="77777777" w:rsidR="00FE6DFA" w:rsidRPr="00796736" w:rsidRDefault="00FE6DFA" w:rsidP="00A802A5">
      <w:pPr>
        <w:suppressAutoHyphens/>
        <w:spacing w:line="360" w:lineRule="auto"/>
        <w:rPr>
          <w:rFonts w:ascii="Times New Roman" w:eastAsia="Calibri" w:hAnsi="Times New Roman" w:cs="Times New Roman"/>
          <w:sz w:val="24"/>
          <w:szCs w:val="24"/>
        </w:rPr>
      </w:pPr>
    </w:p>
    <w:p w14:paraId="591D673F" w14:textId="1E9824EE" w:rsidR="00FE6DFA" w:rsidRPr="00796736" w:rsidRDefault="00FE6DFA"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om ordningen henvises til lovforslagets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_Ref232597247 \n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og bemærkningerne hertil.</w:t>
      </w:r>
    </w:p>
    <w:p w14:paraId="0F09C964" w14:textId="77777777" w:rsidR="00FE6DFA" w:rsidRPr="00796736" w:rsidRDefault="00FE6DFA" w:rsidP="00A802A5">
      <w:pPr>
        <w:spacing w:line="360" w:lineRule="auto"/>
        <w:rPr>
          <w:rFonts w:ascii="Times New Roman" w:hAnsi="Times New Roman" w:cs="Times New Roman"/>
          <w:sz w:val="24"/>
          <w:szCs w:val="24"/>
        </w:rPr>
      </w:pPr>
    </w:p>
    <w:p w14:paraId="5A4EA172" w14:textId="46D49609" w:rsidR="00AC535E" w:rsidRPr="00796736" w:rsidRDefault="00925267" w:rsidP="00A802A5">
      <w:pPr>
        <w:pStyle w:val="Overskrift2"/>
        <w:rPr>
          <w:rFonts w:ascii="Times New Roman" w:hAnsi="Times New Roman"/>
          <w:sz w:val="24"/>
        </w:rPr>
      </w:pPr>
      <w:bookmarkStart w:id="1322" w:name="_Toc232109220"/>
      <w:bookmarkStart w:id="1323" w:name="_Ref232951231"/>
      <w:bookmarkStart w:id="1324" w:name="_Ref244808948"/>
      <w:bookmarkStart w:id="1325" w:name="_Toc244880774"/>
      <w:r w:rsidRPr="00796736">
        <w:rPr>
          <w:rFonts w:ascii="Times New Roman" w:hAnsi="Times New Roman"/>
          <w:sz w:val="24"/>
        </w:rPr>
        <w:t>Finanstilsynets hjemmel til at påbyde afhændelse af ejerandele</w:t>
      </w:r>
      <w:bookmarkEnd w:id="1322"/>
      <w:bookmarkEnd w:id="1323"/>
      <w:bookmarkEnd w:id="1324"/>
      <w:bookmarkEnd w:id="1325"/>
    </w:p>
    <w:p w14:paraId="15946776" w14:textId="1D1D40B5" w:rsidR="00AC535E" w:rsidRPr="00796736" w:rsidRDefault="00AC535E" w:rsidP="00A802A5">
      <w:pPr>
        <w:pStyle w:val="Overskrift4"/>
        <w:rPr>
          <w:rFonts w:ascii="Times New Roman" w:hAnsi="Times New Roman" w:cs="Times New Roman"/>
          <w:sz w:val="24"/>
          <w:szCs w:val="24"/>
        </w:rPr>
      </w:pPr>
      <w:bookmarkStart w:id="1326" w:name="_Toc232109221"/>
      <w:r w:rsidRPr="00796736">
        <w:rPr>
          <w:rFonts w:ascii="Times New Roman" w:hAnsi="Times New Roman" w:cs="Times New Roman"/>
          <w:sz w:val="24"/>
          <w:szCs w:val="24"/>
        </w:rPr>
        <w:t>Gældende ret</w:t>
      </w:r>
      <w:bookmarkEnd w:id="1326"/>
    </w:p>
    <w:p w14:paraId="53B9C7DD" w14:textId="0F7DFF19" w:rsidR="001955B7" w:rsidRPr="00796736" w:rsidRDefault="001955B7"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findes ikke i </w:t>
      </w:r>
      <w:r w:rsidR="003A3907" w:rsidRPr="00796736">
        <w:rPr>
          <w:rFonts w:ascii="Times New Roman" w:eastAsia="Calibri" w:hAnsi="Times New Roman" w:cs="Times New Roman"/>
          <w:sz w:val="24"/>
          <w:szCs w:val="24"/>
        </w:rPr>
        <w:t xml:space="preserve">hvidvaskloven </w:t>
      </w:r>
      <w:r w:rsidRPr="00796736">
        <w:rPr>
          <w:rFonts w:ascii="Times New Roman" w:eastAsia="Calibri" w:hAnsi="Times New Roman" w:cs="Times New Roman"/>
          <w:sz w:val="24"/>
          <w:szCs w:val="24"/>
        </w:rPr>
        <w:t xml:space="preserve">regler, der giver Finanstilsynet mulighed for at påbyde fysiske eller juridiske personer, der direkte eller indirekte ejer eller kontrollerer kvalificerede ejerandele eller stemmerettigheder i visse finansielle virksomheder, at afhænde deres ejerandele eller ophøre med at udøve kontrol, hvis de er pålagt strafansvar for overtrædelse af straffeloven, den finansielle lovgivning eller anden relevant lovgivning. </w:t>
      </w:r>
    </w:p>
    <w:p w14:paraId="4C402434" w14:textId="77777777" w:rsidR="001955B7" w:rsidRPr="00796736" w:rsidRDefault="001955B7" w:rsidP="00A802A5">
      <w:pPr>
        <w:spacing w:line="360" w:lineRule="auto"/>
        <w:rPr>
          <w:rFonts w:ascii="Times New Roman" w:hAnsi="Times New Roman" w:cs="Times New Roman"/>
          <w:sz w:val="24"/>
          <w:szCs w:val="24"/>
        </w:rPr>
      </w:pPr>
    </w:p>
    <w:p w14:paraId="366527DC" w14:textId="17FC5A41" w:rsidR="00A82C2C" w:rsidRPr="00796736" w:rsidRDefault="00A82C2C" w:rsidP="00A802A5">
      <w:pPr>
        <w:pStyle w:val="Overskrift4"/>
        <w:rPr>
          <w:rFonts w:ascii="Times New Roman" w:hAnsi="Times New Roman" w:cs="Times New Roman"/>
          <w:sz w:val="24"/>
          <w:szCs w:val="24"/>
        </w:rPr>
      </w:pPr>
      <w:bookmarkStart w:id="1327" w:name="_Toc232109222"/>
      <w:r w:rsidRPr="00796736">
        <w:rPr>
          <w:rFonts w:ascii="Times New Roman" w:hAnsi="Times New Roman" w:cs="Times New Roman"/>
          <w:sz w:val="24"/>
          <w:szCs w:val="24"/>
        </w:rPr>
        <w:t>6. hvidvaskdirektiv</w:t>
      </w:r>
      <w:bookmarkEnd w:id="1327"/>
    </w:p>
    <w:p w14:paraId="1D58F611" w14:textId="77777777" w:rsidR="00C675A8" w:rsidRPr="00796736" w:rsidRDefault="00C675A8"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artikel 6, stk. 5, at medlemsstaterne skal sikre, at tilsynsmyndighederne har beføjelse til at adskille personer, der er dømt for hvidvask af penge, relevante underliggende lovovertrædelser eller finansiering af terrorisme, fra de forpligtede enheder, hvor de fungerer som reelle ejere. Dette indebærer blandt andet, at tilsynsmyndighederne skal kunne påbyde sådanne personer at afhænde deres ejerandele i de pågældende virksomheder.</w:t>
      </w:r>
    </w:p>
    <w:p w14:paraId="78E4A25E" w14:textId="77777777" w:rsidR="00C675A8" w:rsidRPr="00796736" w:rsidRDefault="00C675A8" w:rsidP="00A802A5">
      <w:pPr>
        <w:suppressAutoHyphens/>
        <w:spacing w:line="360" w:lineRule="auto"/>
        <w:rPr>
          <w:rFonts w:ascii="Times New Roman" w:eastAsia="Calibri" w:hAnsi="Times New Roman" w:cs="Times New Roman"/>
          <w:sz w:val="24"/>
          <w:szCs w:val="24"/>
        </w:rPr>
      </w:pPr>
    </w:p>
    <w:p w14:paraId="7635F930" w14:textId="77777777" w:rsidR="00C675A8" w:rsidRPr="00796736" w:rsidRDefault="00C675A8"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endvidere af artikel 56, stk. 2, litra g, at medlemsstaterne skal sikre, at tilsynsmyndighederne som minimum kan kræve ændringer i ledelsesstrukturen i en forpligtet enhed, hvis der konstateres overtrædelser eller væsentlige svagheder i virksomhedens interne politikker, procedurer eller kontroller, der relaterer sig til hvidvask, relevante underliggende lovovertrædelser eller finansiering af terrorisme.</w:t>
      </w:r>
    </w:p>
    <w:p w14:paraId="0FA5AF2F" w14:textId="77777777" w:rsidR="00C675A8" w:rsidRPr="00796736" w:rsidRDefault="00C675A8" w:rsidP="00A802A5">
      <w:pPr>
        <w:suppressAutoHyphens/>
        <w:spacing w:line="360" w:lineRule="auto"/>
        <w:rPr>
          <w:rFonts w:ascii="Times New Roman" w:eastAsia="Calibri" w:hAnsi="Times New Roman" w:cs="Times New Roman"/>
          <w:sz w:val="24"/>
          <w:szCs w:val="24"/>
        </w:rPr>
      </w:pPr>
    </w:p>
    <w:p w14:paraId="623E6494" w14:textId="77777777" w:rsidR="00C675A8" w:rsidRPr="00796736" w:rsidRDefault="00C675A8"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Herudover fastslår artikel 56, stk. 4, at de administrative foranstaltninger, som tilsynsmyndighederne kan pålægge, skal ledsages af bindende frister for deres gennemførelse, hvor det er relevant. Tilsynsmyndighederne skal desuden følge op på og vurdere, om den forpligtede enhed har gennemført de krævede tiltag.</w:t>
      </w:r>
    </w:p>
    <w:p w14:paraId="507B181D" w14:textId="77777777" w:rsidR="00C675A8" w:rsidRPr="00796736" w:rsidRDefault="00C675A8" w:rsidP="00A802A5">
      <w:pPr>
        <w:spacing w:line="360" w:lineRule="auto"/>
        <w:rPr>
          <w:rFonts w:ascii="Times New Roman" w:hAnsi="Times New Roman" w:cs="Times New Roman"/>
          <w:sz w:val="24"/>
          <w:szCs w:val="24"/>
        </w:rPr>
      </w:pPr>
    </w:p>
    <w:p w14:paraId="1B89E6B0" w14:textId="471F1CB8" w:rsidR="00C23E86" w:rsidRPr="00796736" w:rsidRDefault="00AC535E" w:rsidP="00A802A5">
      <w:pPr>
        <w:pStyle w:val="Overskrift4"/>
        <w:rPr>
          <w:rFonts w:ascii="Times New Roman" w:hAnsi="Times New Roman" w:cs="Times New Roman"/>
          <w:sz w:val="24"/>
          <w:szCs w:val="24"/>
        </w:rPr>
      </w:pPr>
      <w:bookmarkStart w:id="1328" w:name="_Toc232109223"/>
      <w:r w:rsidRPr="00796736">
        <w:rPr>
          <w:rFonts w:ascii="Times New Roman" w:hAnsi="Times New Roman" w:cs="Times New Roman"/>
          <w:sz w:val="24"/>
          <w:szCs w:val="24"/>
        </w:rPr>
        <w:t>Skatte- og Vækstministeriets overvejelser og den foreslåede ordning</w:t>
      </w:r>
      <w:bookmarkEnd w:id="1328"/>
    </w:p>
    <w:p w14:paraId="1463AF6E" w14:textId="77777777" w:rsidR="00C23E86" w:rsidRPr="00796736" w:rsidRDefault="00C23E8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afgørende for tilliden til det finansielle system, at der er gennemsigtighed og ansvarlighed blandt de personer, der har væsentlig indflydelse i virksomheder under tilsyn. Et velfungerende og robust tilsynsregime er en forudsætning for, at både kunder, samarbejdspartnere og samfundet som helhed kan have tillid til, at virksomhederne drives på en forsvarlig og lovmedholdelig måde. </w:t>
      </w:r>
    </w:p>
    <w:p w14:paraId="27DCAD3A" w14:textId="77777777" w:rsidR="00E76AB4" w:rsidRPr="00796736" w:rsidRDefault="00E76AB4" w:rsidP="00A802A5">
      <w:pPr>
        <w:spacing w:line="360" w:lineRule="auto"/>
        <w:rPr>
          <w:rFonts w:ascii="Times New Roman" w:hAnsi="Times New Roman" w:cs="Times New Roman"/>
          <w:sz w:val="24"/>
          <w:szCs w:val="24"/>
        </w:rPr>
      </w:pPr>
    </w:p>
    <w:p w14:paraId="1B8179C4" w14:textId="77777777" w:rsidR="005C2FF7" w:rsidRPr="00796736" w:rsidRDefault="00E76AB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Skatte- og Vækstministeriet</w:t>
      </w:r>
      <w:r w:rsidR="00C23E86" w:rsidRPr="00796736">
        <w:rPr>
          <w:rFonts w:ascii="Times New Roman" w:hAnsi="Times New Roman" w:cs="Times New Roman"/>
          <w:sz w:val="24"/>
          <w:szCs w:val="24"/>
        </w:rPr>
        <w:t xml:space="preserve"> lægger vægt på, at der er klare og effektive regler, der kan forhindre, at personer, der er pålagt strafansvar for alvorlige lovovertrædelser, kan have væsentlig indflydelse i virksomheder, der er underlagt tilsyn. Med denne bestemmelse får Finanstilsynet et vigtigt redskab til at sikre, at personer, der ikke længere opfylder kravene, kan påbydes at afhænde deres ejerandele. Det bidrager til at beskytte virksomhederne, deres kunder og det finansielle system som helhed mod uønsket indflydelse fra personer, der har begået alvorlige lovovertrædelser. </w:t>
      </w:r>
    </w:p>
    <w:p w14:paraId="03A63261" w14:textId="77777777" w:rsidR="00BB2B28" w:rsidRPr="00796736" w:rsidRDefault="00BB2B28" w:rsidP="00A802A5">
      <w:pPr>
        <w:spacing w:line="360" w:lineRule="auto"/>
        <w:rPr>
          <w:rFonts w:ascii="Times New Roman" w:hAnsi="Times New Roman" w:cs="Times New Roman"/>
          <w:sz w:val="24"/>
          <w:szCs w:val="24"/>
        </w:rPr>
      </w:pPr>
    </w:p>
    <w:p w14:paraId="47AB2A09" w14:textId="034D844F" w:rsidR="005C2FF7" w:rsidRPr="00796736" w:rsidRDefault="00C23E86" w:rsidP="00A802A5">
      <w:pPr>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Det foreslås, at </w:t>
      </w:r>
      <w:r w:rsidR="005C2FF7" w:rsidRPr="00796736">
        <w:rPr>
          <w:rFonts w:ascii="Times New Roman" w:hAnsi="Times New Roman" w:cs="Times New Roman"/>
          <w:sz w:val="24"/>
          <w:szCs w:val="24"/>
        </w:rPr>
        <w:t xml:space="preserve">Finanstilsynet </w:t>
      </w:r>
      <w:r w:rsidR="00DE7A87" w:rsidRPr="00796736">
        <w:rPr>
          <w:rFonts w:ascii="Times New Roman" w:eastAsia="Calibri" w:hAnsi="Times New Roman" w:cs="Times New Roman"/>
          <w:sz w:val="24"/>
          <w:szCs w:val="24"/>
        </w:rPr>
        <w:t>kan påbyde en fysisk person, der direkte eller indirekte ejer eller kontrollerer minimum 25 pct. af kapitalandelen, ejerandelen, stemmerettighederne eller andre ejerskabsbeføjelser</w:t>
      </w:r>
      <w:r w:rsidR="005C2FF7" w:rsidRPr="00796736">
        <w:rPr>
          <w:rFonts w:ascii="Times New Roman" w:hAnsi="Times New Roman" w:cs="Times New Roman"/>
          <w:sz w:val="24"/>
          <w:szCs w:val="24"/>
        </w:rPr>
        <w:t xml:space="preserve"> i en virksomhed nævnt i  </w:t>
      </w:r>
      <w:r w:rsidR="005C2FF7" w:rsidRPr="00796736">
        <w:rPr>
          <w:rFonts w:ascii="Times New Roman" w:hAnsi="Times New Roman" w:cs="Times New Roman"/>
          <w:sz w:val="24"/>
          <w:szCs w:val="24"/>
        </w:rPr>
        <w:fldChar w:fldCharType="begin"/>
      </w:r>
      <w:r w:rsidR="005C2FF7" w:rsidRPr="00796736">
        <w:rPr>
          <w:rFonts w:ascii="Times New Roman" w:hAnsi="Times New Roman" w:cs="Times New Roman"/>
          <w:sz w:val="24"/>
          <w:szCs w:val="24"/>
        </w:rPr>
        <w:instrText xml:space="preserve"> REF _Ref232592818 \r \h  \* MERGEFORMAT </w:instrText>
      </w:r>
      <w:r w:rsidR="005C2FF7" w:rsidRPr="00796736">
        <w:rPr>
          <w:rFonts w:ascii="Times New Roman" w:hAnsi="Times New Roman" w:cs="Times New Roman"/>
          <w:sz w:val="24"/>
          <w:szCs w:val="24"/>
        </w:rPr>
      </w:r>
      <w:r w:rsidR="005C2FF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5C2FF7" w:rsidRPr="00796736">
        <w:rPr>
          <w:rFonts w:ascii="Times New Roman" w:hAnsi="Times New Roman" w:cs="Times New Roman"/>
          <w:sz w:val="24"/>
          <w:szCs w:val="24"/>
        </w:rPr>
        <w:fldChar w:fldCharType="end"/>
      </w:r>
      <w:r w:rsidR="005C2FF7" w:rsidRPr="00796736">
        <w:rPr>
          <w:rFonts w:ascii="Times New Roman" w:hAnsi="Times New Roman" w:cs="Times New Roman"/>
          <w:sz w:val="24"/>
          <w:szCs w:val="24"/>
        </w:rPr>
        <w:t xml:space="preserve">, nr. 11, 14 og 19, samt 32, litra a, at ophøre med at udøve kontrol, herunder afhænde sine ejerandele helt eller delvist inden for en af Finanstilsynet fastsat frist, </w:t>
      </w:r>
      <w:r w:rsidR="00825AEE" w:rsidRPr="00796736">
        <w:rPr>
          <w:rFonts w:ascii="Times New Roman" w:hAnsi="Times New Roman" w:cs="Times New Roman"/>
          <w:sz w:val="24"/>
          <w:szCs w:val="24"/>
        </w:rPr>
        <w:t xml:space="preserve">såfremt den pågældende ikke opfylder betingelserne i </w:t>
      </w:r>
      <w:r w:rsidR="00825AEE" w:rsidRPr="00796736">
        <w:rPr>
          <w:rFonts w:ascii="Times New Roman" w:hAnsi="Times New Roman" w:cs="Times New Roman"/>
          <w:sz w:val="24"/>
          <w:szCs w:val="24"/>
        </w:rPr>
        <w:fldChar w:fldCharType="begin"/>
      </w:r>
      <w:r w:rsidR="00825AEE" w:rsidRPr="00796736">
        <w:rPr>
          <w:rFonts w:ascii="Times New Roman" w:hAnsi="Times New Roman" w:cs="Times New Roman"/>
          <w:sz w:val="24"/>
          <w:szCs w:val="24"/>
        </w:rPr>
        <w:instrText xml:space="preserve"> REF _Ref232596808 \r \h  \* MERGEFORMAT </w:instrText>
      </w:r>
      <w:r w:rsidR="00825AEE" w:rsidRPr="00796736">
        <w:rPr>
          <w:rFonts w:ascii="Times New Roman" w:hAnsi="Times New Roman" w:cs="Times New Roman"/>
          <w:sz w:val="24"/>
          <w:szCs w:val="24"/>
        </w:rPr>
      </w:r>
      <w:r w:rsidR="00825AE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825AEE" w:rsidRPr="00796736">
        <w:rPr>
          <w:rFonts w:ascii="Times New Roman" w:hAnsi="Times New Roman" w:cs="Times New Roman"/>
          <w:sz w:val="24"/>
          <w:szCs w:val="24"/>
        </w:rPr>
        <w:fldChar w:fldCharType="end"/>
      </w:r>
      <w:r w:rsidR="00825AEE" w:rsidRPr="00796736">
        <w:rPr>
          <w:rFonts w:ascii="Times New Roman" w:hAnsi="Times New Roman" w:cs="Times New Roman"/>
          <w:sz w:val="24"/>
          <w:szCs w:val="24"/>
        </w:rPr>
        <w:t xml:space="preserve">, stk. 1, og </w:t>
      </w:r>
      <w:r w:rsidR="00825AEE" w:rsidRPr="00796736">
        <w:rPr>
          <w:rFonts w:ascii="Times New Roman" w:hAnsi="Times New Roman" w:cs="Times New Roman"/>
          <w:sz w:val="24"/>
          <w:szCs w:val="24"/>
        </w:rPr>
        <w:fldChar w:fldCharType="begin"/>
      </w:r>
      <w:r w:rsidR="00825AEE" w:rsidRPr="00796736">
        <w:rPr>
          <w:rFonts w:ascii="Times New Roman" w:hAnsi="Times New Roman" w:cs="Times New Roman"/>
          <w:sz w:val="24"/>
          <w:szCs w:val="24"/>
        </w:rPr>
        <w:instrText xml:space="preserve"> REF _Ref232596960 \r \h  \* MERGEFORMAT </w:instrText>
      </w:r>
      <w:r w:rsidR="00825AEE" w:rsidRPr="00796736">
        <w:rPr>
          <w:rFonts w:ascii="Times New Roman" w:hAnsi="Times New Roman" w:cs="Times New Roman"/>
          <w:sz w:val="24"/>
          <w:szCs w:val="24"/>
        </w:rPr>
      </w:r>
      <w:r w:rsidR="00825AE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825AEE" w:rsidRPr="00796736">
        <w:rPr>
          <w:rFonts w:ascii="Times New Roman" w:hAnsi="Times New Roman" w:cs="Times New Roman"/>
          <w:sz w:val="24"/>
          <w:szCs w:val="24"/>
        </w:rPr>
        <w:fldChar w:fldCharType="end"/>
      </w:r>
      <w:r w:rsidR="00825AEE" w:rsidRPr="00796736">
        <w:rPr>
          <w:rFonts w:ascii="Times New Roman" w:hAnsi="Times New Roman" w:cs="Times New Roman"/>
          <w:sz w:val="24"/>
          <w:szCs w:val="24"/>
        </w:rPr>
        <w:t>, stk. 1</w:t>
      </w:r>
      <w:r w:rsidR="00DE7A87" w:rsidRPr="00796736">
        <w:rPr>
          <w:rFonts w:ascii="Times New Roman" w:hAnsi="Times New Roman" w:cs="Times New Roman"/>
          <w:sz w:val="24"/>
          <w:szCs w:val="24"/>
        </w:rPr>
        <w:t xml:space="preserve"> og 3</w:t>
      </w:r>
      <w:r w:rsidR="00825AEE" w:rsidRPr="00796736">
        <w:rPr>
          <w:rFonts w:ascii="Times New Roman" w:hAnsi="Times New Roman" w:cs="Times New Roman"/>
          <w:sz w:val="24"/>
          <w:szCs w:val="24"/>
        </w:rPr>
        <w:t>.</w:t>
      </w:r>
    </w:p>
    <w:p w14:paraId="6AE3FB96" w14:textId="77777777" w:rsidR="00C23E86" w:rsidRPr="00796736" w:rsidRDefault="00C23E86" w:rsidP="00A802A5">
      <w:pPr>
        <w:suppressAutoHyphens/>
        <w:spacing w:line="360" w:lineRule="auto"/>
        <w:rPr>
          <w:rFonts w:ascii="Times New Roman" w:eastAsia="Calibri" w:hAnsi="Times New Roman" w:cs="Times New Roman"/>
          <w:sz w:val="24"/>
          <w:szCs w:val="24"/>
        </w:rPr>
      </w:pPr>
    </w:p>
    <w:p w14:paraId="4737923E" w14:textId="3250A1F5" w:rsidR="00C23E86" w:rsidRPr="00796736" w:rsidRDefault="00C23E86"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endvidere, at Finanstilsynet kan ophæve stemmeretten til kapitalandele ejet af personer, </w:t>
      </w:r>
      <w:r w:rsidR="00566557" w:rsidRPr="00796736">
        <w:rPr>
          <w:rFonts w:ascii="Times New Roman" w:eastAsia="Calibri" w:hAnsi="Times New Roman" w:cs="Times New Roman"/>
          <w:iCs/>
          <w:sz w:val="24"/>
          <w:szCs w:val="24"/>
        </w:rPr>
        <w:t>hvis</w:t>
      </w:r>
      <w:r w:rsidRPr="00796736">
        <w:rPr>
          <w:rFonts w:ascii="Times New Roman" w:eastAsia="Calibri" w:hAnsi="Times New Roman" w:cs="Times New Roman"/>
          <w:iCs/>
          <w:sz w:val="24"/>
          <w:szCs w:val="24"/>
        </w:rPr>
        <w:t xml:space="preserve"> den pågældende er pålagt strafansvar for overtrædelse af straffeloven, den finansielle lovgivning eller anden relevant lovgivning</w:t>
      </w:r>
      <w:r w:rsidRPr="00796736">
        <w:rPr>
          <w:rFonts w:ascii="Times New Roman" w:eastAsia="Calibri" w:hAnsi="Times New Roman" w:cs="Times New Roman"/>
          <w:sz w:val="24"/>
          <w:szCs w:val="24"/>
        </w:rPr>
        <w:t>, og at disse kapitalandele ikke indgår i opgørelsen af den stemmeberettigede kapital på generalforsamlinger.</w:t>
      </w:r>
    </w:p>
    <w:p w14:paraId="3873FF6F" w14:textId="77777777" w:rsidR="00032C17" w:rsidRPr="00796736" w:rsidRDefault="00032C17" w:rsidP="00A802A5">
      <w:pPr>
        <w:suppressAutoHyphens/>
        <w:spacing w:line="360" w:lineRule="auto"/>
        <w:rPr>
          <w:rFonts w:ascii="Times New Roman" w:eastAsia="Calibri" w:hAnsi="Times New Roman" w:cs="Times New Roman"/>
          <w:sz w:val="24"/>
          <w:szCs w:val="24"/>
        </w:rPr>
      </w:pPr>
    </w:p>
    <w:p w14:paraId="75714DD6" w14:textId="5F6A0341" w:rsidR="00032C17" w:rsidRPr="00796736" w:rsidRDefault="00032C17"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Tilsvarende foreslås der indført hjemmel til, at Finanstilsynet kan reagere over for fysiske personer, der direkte eller indirekte ejer eller kontrollerer en væsentlig del af </w:t>
      </w:r>
      <w:r w:rsidR="00F47904" w:rsidRPr="00796736">
        <w:rPr>
          <w:rFonts w:ascii="Times New Roman" w:eastAsia="Calibri" w:hAnsi="Times New Roman" w:cs="Times New Roman"/>
          <w:sz w:val="24"/>
          <w:szCs w:val="24"/>
        </w:rPr>
        <w:t>crowdfundingtjenesteudbydere og visse kreditformidlere</w:t>
      </w:r>
      <w:r w:rsidRPr="00796736">
        <w:rPr>
          <w:rFonts w:ascii="Times New Roman" w:eastAsia="Calibri" w:hAnsi="Times New Roman" w:cs="Times New Roman"/>
          <w:sz w:val="24"/>
          <w:szCs w:val="24"/>
        </w:rPr>
        <w:t>, og som ikke opfylder de fastsatte krav til hæderlighed. Det foreslåede har til formål at gennemføre artikel 6, stk. 5, i 6. hvidvaskdirektiv, hvorefter medlemsstaterne skal sikre, at tilsynsmyndighederne har beføjelse til at adskille personer, der er dømt for hvidvask, relevante underliggende lovovertrædelser eller finansiering af terrorisme, og som er reelle ejere af forpligtede enheder, fra disse enheder, herunder ved at kunne anmode de pågældende reelle ejere om at afhænde deres ejerandele.</w:t>
      </w:r>
    </w:p>
    <w:p w14:paraId="3DB8A7D1" w14:textId="77777777" w:rsidR="00C23E86" w:rsidRPr="00796736" w:rsidRDefault="00C23E86" w:rsidP="00A802A5">
      <w:pPr>
        <w:suppressAutoHyphens/>
        <w:spacing w:line="360" w:lineRule="auto"/>
        <w:rPr>
          <w:rFonts w:ascii="Times New Roman" w:eastAsia="Calibri" w:hAnsi="Times New Roman" w:cs="Times New Roman"/>
          <w:sz w:val="24"/>
          <w:szCs w:val="24"/>
        </w:rPr>
      </w:pPr>
    </w:p>
    <w:p w14:paraId="6EDD73E9" w14:textId="64C7A1A9" w:rsidR="00AC535E" w:rsidRPr="00796736" w:rsidRDefault="00C23E86" w:rsidP="00A802A5">
      <w:pPr>
        <w:suppressAutoHyphens/>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For nærmere om ordningen henvises til lovforslagets </w:t>
      </w:r>
      <w:r w:rsidR="0049571A" w:rsidRPr="00796736">
        <w:rPr>
          <w:rFonts w:ascii="Times New Roman" w:eastAsia="Calibri" w:hAnsi="Times New Roman" w:cs="Times New Roman"/>
          <w:sz w:val="24"/>
          <w:szCs w:val="24"/>
        </w:rPr>
        <w:fldChar w:fldCharType="begin"/>
      </w:r>
      <w:r w:rsidR="0049571A" w:rsidRPr="00796736">
        <w:rPr>
          <w:rFonts w:ascii="Times New Roman" w:eastAsia="Calibri" w:hAnsi="Times New Roman" w:cs="Times New Roman"/>
          <w:sz w:val="24"/>
          <w:szCs w:val="24"/>
        </w:rPr>
        <w:instrText xml:space="preserve"> REF _Ref232597310 \n \h </w:instrText>
      </w:r>
      <w:r w:rsidR="00967618" w:rsidRPr="00796736">
        <w:rPr>
          <w:rFonts w:ascii="Times New Roman" w:eastAsia="Calibri" w:hAnsi="Times New Roman" w:cs="Times New Roman"/>
          <w:sz w:val="24"/>
          <w:szCs w:val="24"/>
        </w:rPr>
        <w:instrText xml:space="preserve"> \* MERGEFORMAT </w:instrText>
      </w:r>
      <w:r w:rsidR="0049571A" w:rsidRPr="00796736">
        <w:rPr>
          <w:rFonts w:ascii="Times New Roman" w:eastAsia="Calibri" w:hAnsi="Times New Roman" w:cs="Times New Roman"/>
          <w:sz w:val="24"/>
          <w:szCs w:val="24"/>
        </w:rPr>
      </w:r>
      <w:r w:rsidR="0049571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66</w:t>
      </w:r>
      <w:r w:rsidR="0049571A" w:rsidRPr="00796736">
        <w:rPr>
          <w:rFonts w:ascii="Times New Roman" w:eastAsia="Calibri" w:hAnsi="Times New Roman" w:cs="Times New Roman"/>
          <w:sz w:val="24"/>
          <w:szCs w:val="24"/>
        </w:rPr>
        <w:fldChar w:fldCharType="end"/>
      </w:r>
      <w:r w:rsidR="0049571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r w:rsidR="00AC535E" w:rsidRPr="00796736">
        <w:rPr>
          <w:rFonts w:ascii="Times New Roman" w:hAnsi="Times New Roman" w:cs="Times New Roman"/>
          <w:sz w:val="24"/>
          <w:szCs w:val="24"/>
        </w:rPr>
        <w:t xml:space="preserve"> </w:t>
      </w:r>
    </w:p>
    <w:p w14:paraId="08DC5A6B" w14:textId="77777777" w:rsidR="00E76AB4" w:rsidRPr="00796736" w:rsidRDefault="00E76AB4" w:rsidP="00A802A5">
      <w:pPr>
        <w:suppressAutoHyphens/>
        <w:spacing w:line="360" w:lineRule="auto"/>
        <w:rPr>
          <w:rFonts w:ascii="Times New Roman" w:hAnsi="Times New Roman" w:cs="Times New Roman"/>
          <w:sz w:val="24"/>
          <w:szCs w:val="24"/>
        </w:rPr>
      </w:pPr>
    </w:p>
    <w:p w14:paraId="5633AD22" w14:textId="6288BD7F" w:rsidR="00E76AB4" w:rsidRPr="00796736" w:rsidRDefault="00742D1D" w:rsidP="00A802A5">
      <w:pPr>
        <w:pStyle w:val="Overskrift2"/>
        <w:rPr>
          <w:rFonts w:ascii="Times New Roman" w:hAnsi="Times New Roman"/>
          <w:sz w:val="24"/>
        </w:rPr>
      </w:pPr>
      <w:bookmarkStart w:id="1329" w:name="_Ref240034365"/>
      <w:bookmarkStart w:id="1330" w:name="_Toc244880775"/>
      <w:r w:rsidRPr="00796736">
        <w:rPr>
          <w:rFonts w:ascii="Times New Roman" w:hAnsi="Times New Roman"/>
          <w:sz w:val="24"/>
        </w:rPr>
        <w:t>Finanstilsynets hjemmel til at påbyde i relation til partnerskaber</w:t>
      </w:r>
      <w:bookmarkEnd w:id="1329"/>
      <w:bookmarkEnd w:id="1330"/>
      <w:r w:rsidRPr="00796736">
        <w:rPr>
          <w:rFonts w:ascii="Times New Roman" w:hAnsi="Times New Roman"/>
          <w:sz w:val="24"/>
        </w:rPr>
        <w:t xml:space="preserve"> </w:t>
      </w:r>
    </w:p>
    <w:p w14:paraId="1785CE44" w14:textId="2DF6EC3A" w:rsidR="00E76AB4" w:rsidRPr="00796736" w:rsidRDefault="00E76AB4" w:rsidP="00A802A5">
      <w:pPr>
        <w:pStyle w:val="Overskrift4"/>
        <w:rPr>
          <w:rFonts w:ascii="Times New Roman" w:hAnsi="Times New Roman" w:cs="Times New Roman"/>
          <w:sz w:val="24"/>
          <w:szCs w:val="24"/>
        </w:rPr>
      </w:pPr>
      <w:bookmarkStart w:id="1331" w:name="_Toc232109225"/>
      <w:r w:rsidRPr="00796736">
        <w:rPr>
          <w:rFonts w:ascii="Times New Roman" w:hAnsi="Times New Roman" w:cs="Times New Roman"/>
          <w:sz w:val="24"/>
          <w:szCs w:val="24"/>
        </w:rPr>
        <w:t>Gældende ret</w:t>
      </w:r>
      <w:bookmarkEnd w:id="1331"/>
    </w:p>
    <w:p w14:paraId="119A037F" w14:textId="77777777" w:rsidR="00136862" w:rsidRPr="00796736" w:rsidRDefault="00136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henhold til § 74 i den gældende hvidvasklov har erhvervsministeren etableret et forum, hvor tilsynsmyndighederne samt Hvidvasksekretariatet deltager med henblik på at koordinere myndighedernes risikovurderinger og indsats for at forebygge hvidvask og terrorfinansiering samt bidrage til den nationale risikovurdering. Hvidvaskforum har en underarbejdsgruppe, Hvidvaskforum+, hvor myndigheder og private aktører samarbejder på tværs. </w:t>
      </w:r>
    </w:p>
    <w:p w14:paraId="5C84CA98" w14:textId="77777777" w:rsidR="00136862" w:rsidRPr="00796736" w:rsidRDefault="00136862" w:rsidP="00A802A5">
      <w:pPr>
        <w:spacing w:line="360" w:lineRule="auto"/>
        <w:rPr>
          <w:rFonts w:ascii="Times New Roman" w:hAnsi="Times New Roman" w:cs="Times New Roman"/>
          <w:sz w:val="24"/>
          <w:szCs w:val="24"/>
        </w:rPr>
      </w:pPr>
    </w:p>
    <w:p w14:paraId="6D5D108B" w14:textId="4B6966E0" w:rsidR="00136862" w:rsidRPr="00796736" w:rsidRDefault="00136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Endvidere er der i retsplejelovens § 110 b hjemmel til at oprette operative samarbejder mellem en række offentlige myndigheder og relevante private aktører, som skal forebygge og </w:t>
      </w:r>
      <w:r w:rsidR="00566557" w:rsidRPr="00796736">
        <w:rPr>
          <w:rFonts w:ascii="Times New Roman" w:hAnsi="Times New Roman" w:cs="Times New Roman"/>
          <w:sz w:val="24"/>
          <w:szCs w:val="24"/>
        </w:rPr>
        <w:t>bekæmpe</w:t>
      </w:r>
      <w:r w:rsidRPr="00796736">
        <w:rPr>
          <w:rFonts w:ascii="Times New Roman" w:hAnsi="Times New Roman" w:cs="Times New Roman"/>
          <w:sz w:val="24"/>
          <w:szCs w:val="24"/>
        </w:rPr>
        <w:t xml:space="preserve"> hvidvask og terrorfinansiering og andre kriminalitetsområder. Der er tale om offentlige-private partnerskaber, som f.eks. ODIN-samarbejdet. </w:t>
      </w:r>
    </w:p>
    <w:p w14:paraId="265090D8" w14:textId="77777777" w:rsidR="00136862" w:rsidRPr="00796736" w:rsidRDefault="00136862" w:rsidP="00A802A5">
      <w:pPr>
        <w:spacing w:line="360" w:lineRule="auto"/>
        <w:rPr>
          <w:rFonts w:ascii="Times New Roman" w:hAnsi="Times New Roman" w:cs="Times New Roman"/>
          <w:sz w:val="24"/>
          <w:szCs w:val="24"/>
        </w:rPr>
      </w:pPr>
    </w:p>
    <w:p w14:paraId="5928E9B1" w14:textId="32F62ECC" w:rsidR="00136862" w:rsidRPr="00796736" w:rsidRDefault="00136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findes i den nugældende hvidvasklov ikke hjemmel til at oprette private-partnerskaber, hvor personer og virksomheder kan udveksle oplysninger med henblik på at forebygge eller bekæmpe hvidvask eller terrorfinansiering. </w:t>
      </w:r>
    </w:p>
    <w:p w14:paraId="015B55FB" w14:textId="77777777" w:rsidR="00136862" w:rsidRPr="00796736" w:rsidRDefault="00136862" w:rsidP="00A802A5">
      <w:pPr>
        <w:spacing w:line="360" w:lineRule="auto"/>
        <w:rPr>
          <w:rFonts w:ascii="Times New Roman" w:hAnsi="Times New Roman" w:cs="Times New Roman"/>
          <w:sz w:val="24"/>
          <w:szCs w:val="24"/>
        </w:rPr>
      </w:pPr>
    </w:p>
    <w:p w14:paraId="0346C32D" w14:textId="70ABF21C" w:rsidR="00E76AB4" w:rsidRPr="00796736" w:rsidRDefault="00724FB0" w:rsidP="00A802A5">
      <w:pPr>
        <w:pStyle w:val="Overskrift4"/>
        <w:rPr>
          <w:rFonts w:ascii="Times New Roman" w:hAnsi="Times New Roman" w:cs="Times New Roman"/>
          <w:sz w:val="24"/>
          <w:szCs w:val="24"/>
        </w:rPr>
      </w:pPr>
      <w:bookmarkStart w:id="1332" w:name="_Toc232109226"/>
      <w:r w:rsidRPr="00796736">
        <w:rPr>
          <w:rFonts w:ascii="Times New Roman" w:hAnsi="Times New Roman" w:cs="Times New Roman"/>
          <w:sz w:val="24"/>
          <w:szCs w:val="24"/>
        </w:rPr>
        <w:t>Hvidvaskforordningen</w:t>
      </w:r>
      <w:bookmarkEnd w:id="1332"/>
    </w:p>
    <w:p w14:paraId="59B2C6BD" w14:textId="77777777" w:rsidR="00724FB0" w:rsidRPr="00796736" w:rsidRDefault="00724FB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75 i hvidvaskforordningen, at der skal kunne ske udveksling af oplysninger inden for rammerne af partnerskaber. Oplysninger, som kan udveksles, er bl.a. oplysninger om kunden, kundetransaktioner, mistankegrundlag mv. Artikel 75 stiller en række krav til aktørerne i partnerskaberne om databeskyttelse mv. for at overholde forordningen.</w:t>
      </w:r>
    </w:p>
    <w:p w14:paraId="3A7F3806" w14:textId="77777777" w:rsidR="00724FB0" w:rsidRPr="00796736" w:rsidRDefault="00724FB0" w:rsidP="00A802A5">
      <w:pPr>
        <w:spacing w:line="360" w:lineRule="auto"/>
        <w:rPr>
          <w:rFonts w:ascii="Times New Roman" w:hAnsi="Times New Roman" w:cs="Times New Roman"/>
          <w:sz w:val="24"/>
          <w:szCs w:val="24"/>
        </w:rPr>
      </w:pPr>
    </w:p>
    <w:p w14:paraId="3D94FF38" w14:textId="77777777" w:rsidR="00724FB0" w:rsidRPr="00796736" w:rsidRDefault="00724FB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75, stk. 7, at finder tilsynsmyndighederne det nødvendigt, skal forpligtede enheder, der deltager i et partnerskab til udveksling af oplysninger, få foretaget en uafhængig revision af, hvordan dette partnerskab fungerer, og udveksle resultaterne med tilsynsmyndighederne.</w:t>
      </w:r>
    </w:p>
    <w:p w14:paraId="6EB2BABD" w14:textId="77777777" w:rsidR="00724FB0" w:rsidRPr="00796736" w:rsidRDefault="00724FB0" w:rsidP="00A802A5">
      <w:pPr>
        <w:spacing w:line="360" w:lineRule="auto"/>
        <w:rPr>
          <w:rFonts w:ascii="Times New Roman" w:hAnsi="Times New Roman" w:cs="Times New Roman"/>
          <w:sz w:val="24"/>
          <w:szCs w:val="24"/>
        </w:rPr>
      </w:pPr>
    </w:p>
    <w:p w14:paraId="4CBA38DD" w14:textId="04E3B2B6" w:rsidR="00E76AB4" w:rsidRPr="00796736" w:rsidRDefault="00E76AB4" w:rsidP="00A802A5">
      <w:pPr>
        <w:pStyle w:val="Overskrift4"/>
        <w:rPr>
          <w:rFonts w:ascii="Times New Roman" w:hAnsi="Times New Roman" w:cs="Times New Roman"/>
          <w:sz w:val="24"/>
          <w:szCs w:val="24"/>
        </w:rPr>
      </w:pPr>
      <w:bookmarkStart w:id="1333" w:name="_Toc232109227"/>
      <w:r w:rsidRPr="00796736">
        <w:rPr>
          <w:rFonts w:ascii="Times New Roman" w:hAnsi="Times New Roman" w:cs="Times New Roman"/>
          <w:sz w:val="24"/>
          <w:szCs w:val="24"/>
        </w:rPr>
        <w:t>Skatte- og Vækstministeriets overvejelser og den foreslåede ordning</w:t>
      </w:r>
      <w:bookmarkEnd w:id="1333"/>
      <w:r w:rsidRPr="00796736">
        <w:rPr>
          <w:rFonts w:ascii="Times New Roman" w:hAnsi="Times New Roman" w:cs="Times New Roman"/>
          <w:sz w:val="24"/>
          <w:szCs w:val="24"/>
        </w:rPr>
        <w:t xml:space="preserve"> </w:t>
      </w:r>
    </w:p>
    <w:p w14:paraId="2C0E6642" w14:textId="77777777" w:rsidR="001449E9" w:rsidRPr="00796736" w:rsidRDefault="001449E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Udveksling af oplysninger mellem personer og virksomheder, og hvor det er relevant kompetente myndigheder, kan øge mulighederne for at opdage ulovlige finansielle strømme vedrørende hvidvask, terrorfinansiering og udbytte fra kriminalitet. Af denne grund bør personer og virksomheder, samt eventuelt kompetente myndigheder, kunne udveksle oplysninger inden for rammerne af et partnerskab for udveksling af oplysninger, når de anser en sådan udveksling for nødvendig for at opfylde deres forpligtelser og varetage deres opgaver for bekæmpelse af hvidvask og terrorfinansiering af terrorisme.</w:t>
      </w:r>
    </w:p>
    <w:p w14:paraId="3F75CC6A" w14:textId="77777777" w:rsidR="001449E9" w:rsidRPr="00796736" w:rsidRDefault="001449E9" w:rsidP="00A802A5">
      <w:pPr>
        <w:spacing w:line="360" w:lineRule="auto"/>
        <w:rPr>
          <w:rFonts w:ascii="Times New Roman" w:hAnsi="Times New Roman" w:cs="Times New Roman"/>
          <w:sz w:val="24"/>
          <w:szCs w:val="24"/>
        </w:rPr>
      </w:pPr>
    </w:p>
    <w:p w14:paraId="252FE191" w14:textId="77777777" w:rsidR="001449E9" w:rsidRPr="00796736" w:rsidRDefault="001449E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Udveksling af oplysninger bør være underlagt sikkerhedsforanstaltninger vedrørende fortrolighed, databeskyttelse, anvendelse af oplysninger og strafferetspleje, ligesom sådanne partnerskaber bør kunne underlægges en uafhængig revision af, hvordan partnerskabet fungerer, og udveksling af resultatet af den uafhængige revision med kompetente myndigheder. </w:t>
      </w:r>
    </w:p>
    <w:p w14:paraId="38ED3019" w14:textId="77777777" w:rsidR="001449E9" w:rsidRPr="00796736" w:rsidRDefault="001449E9" w:rsidP="00A802A5">
      <w:pPr>
        <w:spacing w:line="360" w:lineRule="auto"/>
        <w:rPr>
          <w:rFonts w:ascii="Times New Roman" w:hAnsi="Times New Roman" w:cs="Times New Roman"/>
          <w:sz w:val="24"/>
          <w:szCs w:val="24"/>
        </w:rPr>
      </w:pPr>
    </w:p>
    <w:p w14:paraId="7E5B004D" w14:textId="77777777" w:rsidR="001449E9" w:rsidRPr="00796736" w:rsidRDefault="001449E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 at Finanstilsynet skal kunne påbyde virksomheder og personer, der deltager i et partnerskab med henblik på udveksling af oplysninger, at få foretaget en uafhængig revision af, hvordan partnerskabet fungerer. Endvidere foreslås det, at resultatet af den uafhængige revision skal kunne udveksles med Finanstilsynet.</w:t>
      </w:r>
    </w:p>
    <w:p w14:paraId="04278648" w14:textId="77777777" w:rsidR="001449E9" w:rsidRPr="00796736" w:rsidRDefault="001449E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Generelt kan et sådant påbud være relevant, hvis der er tvivl om, hvorvidt partnerskabet fungerer efter hensigten, hvis der opstår mistanke om manglende overholdelse af regler eller procedurer, eller hvis der er behov for at sikre, at informationsudvekslingen sker på en sikker og korrekt måde. Dette kan for eksempel være aktuelt, hvis der er indikationer på, at partnerskabet ikke lever op til krav om datasikkerhed, fortrolighed eller lovgivningsmæssige forpligtelser.</w:t>
      </w:r>
    </w:p>
    <w:p w14:paraId="7B5738D1" w14:textId="77777777" w:rsidR="001449E9" w:rsidRPr="00796736" w:rsidRDefault="001449E9"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er ny og implementerer artikel 75, stk. 7, i Europa-Parlaments og Rådets forordningen (EU) 2024/1624 af 31. maj 2024 om forebyggende foranstaltninger mod anvendelse af det finansielle system til hvidvask af penge eller finansiering af terrorisme. </w:t>
      </w:r>
    </w:p>
    <w:p w14:paraId="02A7B558" w14:textId="77777777" w:rsidR="00E76AB4" w:rsidRPr="00796736" w:rsidRDefault="00E76AB4" w:rsidP="00A802A5">
      <w:pPr>
        <w:suppressAutoHyphens/>
        <w:spacing w:line="360" w:lineRule="auto"/>
        <w:rPr>
          <w:rFonts w:ascii="Times New Roman" w:eastAsia="Calibri" w:hAnsi="Times New Roman" w:cs="Times New Roman"/>
          <w:sz w:val="24"/>
          <w:szCs w:val="24"/>
        </w:rPr>
      </w:pPr>
    </w:p>
    <w:p w14:paraId="2F1383F3" w14:textId="45B52087" w:rsidR="001449E9" w:rsidRPr="00796736" w:rsidRDefault="001449E9" w:rsidP="00A802A5">
      <w:pPr>
        <w:suppressAutoHyphens/>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49571A" w:rsidRPr="00796736">
        <w:rPr>
          <w:rFonts w:ascii="Times New Roman" w:eastAsia="Calibri" w:hAnsi="Times New Roman" w:cs="Times New Roman"/>
          <w:sz w:val="24"/>
          <w:szCs w:val="24"/>
        </w:rPr>
        <w:fldChar w:fldCharType="begin"/>
      </w:r>
      <w:r w:rsidR="0049571A" w:rsidRPr="00796736">
        <w:rPr>
          <w:rFonts w:ascii="Times New Roman" w:eastAsia="Calibri" w:hAnsi="Times New Roman" w:cs="Times New Roman"/>
          <w:sz w:val="24"/>
          <w:szCs w:val="24"/>
        </w:rPr>
        <w:instrText xml:space="preserve"> REF _Ref232597333 \n \h </w:instrText>
      </w:r>
      <w:r w:rsidR="00967618" w:rsidRPr="00796736">
        <w:rPr>
          <w:rFonts w:ascii="Times New Roman" w:eastAsia="Calibri" w:hAnsi="Times New Roman" w:cs="Times New Roman"/>
          <w:sz w:val="24"/>
          <w:szCs w:val="24"/>
        </w:rPr>
        <w:instrText xml:space="preserve"> \* MERGEFORMAT </w:instrText>
      </w:r>
      <w:r w:rsidR="0049571A" w:rsidRPr="00796736">
        <w:rPr>
          <w:rFonts w:ascii="Times New Roman" w:eastAsia="Calibri" w:hAnsi="Times New Roman" w:cs="Times New Roman"/>
          <w:sz w:val="24"/>
          <w:szCs w:val="24"/>
        </w:rPr>
      </w:r>
      <w:r w:rsidR="0049571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67</w:t>
      </w:r>
      <w:r w:rsidR="0049571A" w:rsidRPr="00796736">
        <w:rPr>
          <w:rFonts w:ascii="Times New Roman" w:eastAsia="Calibri" w:hAnsi="Times New Roman" w:cs="Times New Roman"/>
          <w:sz w:val="24"/>
          <w:szCs w:val="24"/>
        </w:rPr>
        <w:fldChar w:fldCharType="end"/>
      </w:r>
      <w:r w:rsidR="0049571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r w:rsidRPr="00796736">
        <w:rPr>
          <w:rFonts w:ascii="Times New Roman" w:hAnsi="Times New Roman" w:cs="Times New Roman"/>
          <w:sz w:val="24"/>
          <w:szCs w:val="24"/>
        </w:rPr>
        <w:t xml:space="preserve"> </w:t>
      </w:r>
    </w:p>
    <w:p w14:paraId="6C2C4533" w14:textId="77777777" w:rsidR="00AC535E" w:rsidRPr="00796736" w:rsidRDefault="00AC535E" w:rsidP="00A802A5">
      <w:pPr>
        <w:spacing w:line="360" w:lineRule="auto"/>
        <w:rPr>
          <w:rFonts w:ascii="Times New Roman" w:hAnsi="Times New Roman" w:cs="Times New Roman"/>
          <w:sz w:val="24"/>
          <w:szCs w:val="24"/>
        </w:rPr>
      </w:pPr>
    </w:p>
    <w:p w14:paraId="3091258E" w14:textId="66F222D9" w:rsidR="00561EAD" w:rsidRPr="00796736" w:rsidRDefault="005C5B92" w:rsidP="00A802A5">
      <w:pPr>
        <w:pStyle w:val="Overskrift2"/>
        <w:rPr>
          <w:rFonts w:ascii="Times New Roman" w:hAnsi="Times New Roman"/>
          <w:sz w:val="24"/>
        </w:rPr>
      </w:pPr>
      <w:bookmarkStart w:id="1334" w:name="_Toc232109228"/>
      <w:bookmarkStart w:id="1335" w:name="_Toc244880776"/>
      <w:r w:rsidRPr="00796736">
        <w:rPr>
          <w:rFonts w:ascii="Times New Roman" w:hAnsi="Times New Roman"/>
          <w:sz w:val="24"/>
        </w:rPr>
        <w:t>Finanstilsynets offentliggørelse af bøder, administrative foranstaltninger og tvangsbøder</w:t>
      </w:r>
      <w:bookmarkEnd w:id="1334"/>
      <w:bookmarkEnd w:id="1335"/>
    </w:p>
    <w:p w14:paraId="4B5A8E74" w14:textId="61C19FC8" w:rsidR="00561EAD" w:rsidRPr="00796736" w:rsidRDefault="00561EAD" w:rsidP="00A802A5">
      <w:pPr>
        <w:pStyle w:val="Overskrift4"/>
        <w:rPr>
          <w:rFonts w:ascii="Times New Roman" w:hAnsi="Times New Roman" w:cs="Times New Roman"/>
          <w:sz w:val="24"/>
          <w:szCs w:val="24"/>
        </w:rPr>
      </w:pPr>
      <w:bookmarkStart w:id="1336" w:name="_Toc232109229"/>
      <w:r w:rsidRPr="00796736">
        <w:rPr>
          <w:rFonts w:ascii="Times New Roman" w:hAnsi="Times New Roman" w:cs="Times New Roman"/>
          <w:sz w:val="24"/>
          <w:szCs w:val="24"/>
        </w:rPr>
        <w:t>Gældende ret</w:t>
      </w:r>
      <w:bookmarkEnd w:id="1336"/>
    </w:p>
    <w:p w14:paraId="63DAC53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offentliggør i dag tilsynsreaktioner på Finanstilsynets hjemmeside. Offentliggørelsen omfatter som udgangspunkt den juridiske eller fysiske persons navn. For så vidt angår offentliggørelse af reaktioner til fysiske personer er pligten til at offentliggøre begrænset til udvalgte bestemmelser og forudsætter alvorlig, gentagne eller systematiske overtrædelser heraf. En virksomhed skal offentliggøre de samme oplysninger som Finanstilsynet på sin eventuelle hjemmeside.</w:t>
      </w:r>
    </w:p>
    <w:p w14:paraId="5ACCB09C" w14:textId="77777777" w:rsidR="00327FF0" w:rsidRPr="00796736" w:rsidRDefault="00327FF0" w:rsidP="00A802A5">
      <w:pPr>
        <w:spacing w:line="360" w:lineRule="auto"/>
        <w:rPr>
          <w:rFonts w:ascii="Times New Roman" w:hAnsi="Times New Roman" w:cs="Times New Roman"/>
          <w:sz w:val="24"/>
          <w:szCs w:val="24"/>
        </w:rPr>
      </w:pPr>
    </w:p>
    <w:p w14:paraId="79A04482"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reglerne skal Finanstilsynet undlade at foretage offentliggørelse, såfremt det vil medføre uforholdsmæssig stor skade for virksomheden eller efterforskningsmæssige hensyn taler imod offentliggørelse. Der skal dog efterfølgende ske offentliggørelse, når hensynene bag undladelsen ikke længere er gældende, dog ikke hvis reaktionen eller beslutningen om politianmeldelse ligger mere end to år tilbage i tiden.</w:t>
      </w:r>
    </w:p>
    <w:p w14:paraId="14712863" w14:textId="77777777" w:rsidR="00327FF0" w:rsidRPr="00796736" w:rsidRDefault="00327FF0" w:rsidP="00A802A5">
      <w:pPr>
        <w:spacing w:line="360" w:lineRule="auto"/>
        <w:rPr>
          <w:rFonts w:ascii="Times New Roman" w:hAnsi="Times New Roman" w:cs="Times New Roman"/>
          <w:sz w:val="24"/>
          <w:szCs w:val="24"/>
        </w:rPr>
      </w:pPr>
    </w:p>
    <w:p w14:paraId="54272CDD"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skal løbende opdatere den offentliggjorte tekst. Det gælder f.eks. i tilfælde, hvor den offentliggjorte reaktion påklages eller indbringes for domstolene. Der skal tilsvarende foretages supplerende offentliggørelse vedrørende en sag overgivet til politimæssig efterforskning. </w:t>
      </w:r>
    </w:p>
    <w:p w14:paraId="7DF0FE63" w14:textId="77777777" w:rsidR="00327FF0" w:rsidRPr="00796736" w:rsidRDefault="00327FF0" w:rsidP="00A802A5">
      <w:pPr>
        <w:spacing w:line="360" w:lineRule="auto"/>
        <w:rPr>
          <w:rFonts w:ascii="Times New Roman" w:hAnsi="Times New Roman" w:cs="Times New Roman"/>
          <w:sz w:val="24"/>
          <w:szCs w:val="24"/>
        </w:rPr>
      </w:pPr>
    </w:p>
    <w:p w14:paraId="0C343040" w14:textId="6B7B528F" w:rsidR="00656928"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Sker der påtaleopgivelse eller tiltalefrafald eller afsiges frifindende dom, skal Finanstilsynet offentliggøre oplysninger herom, hvis den berørte person anmoder om dette. Modtager Finanstilsynet dokumentation for, at sagen er afsluttet ved endelig påtaleopgivelse, tiltalefrafald eller endelig frifindende dom, skal Finanstilsynet fjerne alle oplysninger relateret til beslutningen om at overgive sagen til politimæssig efterforskning.</w:t>
      </w:r>
    </w:p>
    <w:p w14:paraId="4919F737" w14:textId="77777777" w:rsidR="001A4F80" w:rsidRPr="00796736" w:rsidRDefault="001A4F80" w:rsidP="00A802A5">
      <w:pPr>
        <w:spacing w:line="360" w:lineRule="auto"/>
        <w:rPr>
          <w:rFonts w:ascii="Times New Roman" w:hAnsi="Times New Roman" w:cs="Times New Roman"/>
          <w:sz w:val="24"/>
          <w:szCs w:val="24"/>
        </w:rPr>
      </w:pPr>
    </w:p>
    <w:p w14:paraId="240C1CEA" w14:textId="70920DA4" w:rsidR="0036193C" w:rsidRPr="00796736" w:rsidRDefault="0036193C" w:rsidP="00A802A5">
      <w:pPr>
        <w:pStyle w:val="Overskrift4"/>
        <w:rPr>
          <w:rFonts w:ascii="Times New Roman" w:hAnsi="Times New Roman" w:cs="Times New Roman"/>
          <w:sz w:val="24"/>
          <w:szCs w:val="24"/>
        </w:rPr>
      </w:pPr>
      <w:bookmarkStart w:id="1337" w:name="_Toc232109230"/>
      <w:r w:rsidRPr="00796736">
        <w:rPr>
          <w:rFonts w:ascii="Times New Roman" w:hAnsi="Times New Roman" w:cs="Times New Roman"/>
          <w:sz w:val="24"/>
          <w:szCs w:val="24"/>
        </w:rPr>
        <w:t>6. hvidvaskdirektiv</w:t>
      </w:r>
      <w:bookmarkEnd w:id="1337"/>
    </w:p>
    <w:p w14:paraId="37A1F4B4"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Artikel 58, stk. 1, i 6. hvidvaskdirektiv pålægger medlemsstaterne at sikre, at tilsynsorganerne offentliggør afgørelser om pålæggelse af bøder, anvendelse af administrative foranstaltninger omhandlet i artikel 56, stk. 2, litra c-g, eller tvangsbøder i et tilgængeligt format på deres websted.</w:t>
      </w:r>
    </w:p>
    <w:p w14:paraId="5B357A73"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p>
    <w:p w14:paraId="2DA77E8C"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Det fremgår af direktivets artikel 58, stk. 2, at medlemsstaterne skal sikre, at de i stk. 1 omhandlede afgørelser offentliggøres af tilsynsorganet, umiddelbart efter at de personer, der er ansvarlige for overtrædelsen, er underrettet om de pågældende afgørelser. Uanset første afsnit kan medlemsstaterne, hvis offentliggørelsen vedrører administrative foranstaltninger, som der er klaget over, og som ikke har til formål at afhjælpe alvorlige, gentagne og systematiske overtrædelser, tillade, at offentliggørelsen af disse administrative foranstaltninger udsættes indtil udløbet af klagefristen. Når offentliggørelsen vedrører afgørelser, der kan påklages, offentliggør tilsynsorganerne også omgående sådanne oplysninger og enhver efterfølgende oplysning om en klage og resultatet af en sådan klage på deres websted. Enhver afgørelse, der annullerer en tidligere afgørelse om pålæggelse af en bøde, om anvendelse af en administrativ foranstaltning eller om pålæggelse af en tvangsbøde, offentliggøres også.</w:t>
      </w:r>
    </w:p>
    <w:p w14:paraId="0DAE8280"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p>
    <w:p w14:paraId="7AD12078"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Det følger af direktivets artikel 58, stk. 3, at offentliggørelse af bøder, administrative foranstaltninger og tvangsbøder som minimum skal indeholde oplysninger om overtrædelsens type, art, identiteten af de personer, der er ansvarlige, og beløbets størrelse for så vidt angår bøder og tvangsbøder. Denne forpligtelse gælder ikke for afgørelser om anvendelse af administrative foranstaltninger af efterforskningsmæssig karakter, eller ved henstillinger og udstedelse af en offentlig meddelelse, hvori den fysiske eller juridiske person og overtrædelsens art identificeres efter artikel 56, stk. 1, litra a og c, i 6. hvidvaskdirektiv.</w:t>
      </w:r>
    </w:p>
    <w:p w14:paraId="43D78FBC"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p>
    <w:p w14:paraId="3FB1E7C1"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 xml:space="preserve">Det følger af direktivets artikel 58, stk. 3, andet afsnit, at hvis tilsynsorganerne anser offentliggørelsen af identiteten på de ansvarlige personer som omhandlet i første afsnit eller sådanne personers personoplysninger for at være uforholdsmæssig efter en individuel vurdering, eller når offentliggørelsen bringer de finansielle markeders stabilitet eller en igangværende efterforskning i fare, skal tilsynsorganerne udsætte offentliggørelsen af afgørelsen, indtil begrundelsen for at undlade offentliggørelse ikke længere gør sig gældende, eller offentliggøre afgørelsen på anonymt grundlag på en måde, der er i overensstemmelse med national ret, hvis en sådan anonym offentliggørelse sikrer en effektiv beskyttelse af de pågældende personoplysninger. I så fald kan offentliggørelsen af de relevante oplysninger udsættes i et rimeligt tidsrum, hvis det forudsættes, at grundene til den anonyme offentliggørelse vil bortfalde inden for dette tidsrum. Tilsynsorganerne kan også helt undlade at offentliggøre afgørelsen, hvis mulighederne for udsættelse og offentliggørelse på anonymt grundlag anses for at være utilstrækkelige til at sikre, at de finansielle markeders stabilitet ikke bringes i fare, eller at offentliggørelsen af afgørelsen ikke står i et rimeligt forhold til bøder og administrative foranstaltninger for overtrædelser, der vurderes at være af mindre betydning. </w:t>
      </w:r>
    </w:p>
    <w:p w14:paraId="2714A364"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p>
    <w:p w14:paraId="5DCD09B8"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 xml:space="preserve">Det følger af direktivets artikel 58, stk. 4, at medlemsstaterne sikrer, at enhver offentliggørelse forbliver på tilsynsorganernes websted i 5 år efter offentliggørelsen. For så vidt angår personoplysninger indeholdt i offentliggørelsen skal de dog kun forblive på webstedet i et tidsrum i overensstemmelse med de gældende databeskyttelsesregler og under ingen omstændigheder i mere end 5 år. </w:t>
      </w:r>
    </w:p>
    <w:p w14:paraId="3C2FA22C" w14:textId="77777777" w:rsidR="00327FF0" w:rsidRPr="00796736" w:rsidRDefault="00327FF0" w:rsidP="00A802A5">
      <w:pPr>
        <w:spacing w:line="360" w:lineRule="auto"/>
        <w:rPr>
          <w:rFonts w:ascii="Times New Roman" w:eastAsia="Aptos" w:hAnsi="Times New Roman" w:cs="Times New Roman"/>
          <w:color w:val="000000" w:themeColor="text1"/>
          <w:sz w:val="24"/>
          <w:szCs w:val="24"/>
        </w:rPr>
      </w:pPr>
    </w:p>
    <w:p w14:paraId="2BB9F4A3" w14:textId="6605F285"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præambelbetragtning 109, at offentliggørelse af en bøde eller administrativ foranstaltning for overtrædelse af forordning (EU) 2024/1624 kan have en stærk afskrækkende virkning mod gentagelse af en sådan overtrædelse. Offentliggørelse informerer også andre enheder om de risici for hvidvask af penge og finansiering af terrorisme, der er forbundet med den forpligtede enhed, der er pålagt en sanktion, inden de indgår en forretningsforbindelse, og hjælper tilsynsorganer i andre medlemsstater i forbindelse med de risici, der er forbundet med en forpligtet enhed, når den driver grænseoverskridende virksomhed i deres medlemsstat.</w:t>
      </w:r>
    </w:p>
    <w:p w14:paraId="648F85B2" w14:textId="77777777" w:rsidR="00327FF0" w:rsidRPr="00796736" w:rsidRDefault="00327FF0" w:rsidP="00A802A5">
      <w:pPr>
        <w:spacing w:line="360" w:lineRule="auto"/>
        <w:rPr>
          <w:rFonts w:ascii="Times New Roman" w:hAnsi="Times New Roman" w:cs="Times New Roman"/>
          <w:sz w:val="24"/>
          <w:szCs w:val="24"/>
        </w:rPr>
      </w:pPr>
    </w:p>
    <w:p w14:paraId="70B7517C" w14:textId="3353691A" w:rsidR="00327FF0" w:rsidRPr="00796736" w:rsidRDefault="00327FF0" w:rsidP="00A802A5">
      <w:pPr>
        <w:pStyle w:val="Overskrift4"/>
        <w:rPr>
          <w:rFonts w:ascii="Times New Roman" w:hAnsi="Times New Roman" w:cs="Times New Roman"/>
          <w:sz w:val="24"/>
          <w:szCs w:val="24"/>
        </w:rPr>
      </w:pPr>
      <w:bookmarkStart w:id="1338" w:name="_Toc232109231"/>
      <w:r w:rsidRPr="00796736">
        <w:rPr>
          <w:rFonts w:ascii="Times New Roman" w:hAnsi="Times New Roman" w:cs="Times New Roman"/>
          <w:sz w:val="24"/>
          <w:szCs w:val="24"/>
        </w:rPr>
        <w:t>Skatte- og Vækstministeriets overvejelser og den foreslåede ordning</w:t>
      </w:r>
      <w:bookmarkEnd w:id="1338"/>
      <w:r w:rsidRPr="00796736">
        <w:rPr>
          <w:rFonts w:ascii="Times New Roman" w:hAnsi="Times New Roman" w:cs="Times New Roman"/>
          <w:sz w:val="24"/>
          <w:szCs w:val="24"/>
        </w:rPr>
        <w:t xml:space="preserve"> </w:t>
      </w:r>
    </w:p>
    <w:p w14:paraId="43BDEB7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Finanstilsynets pligt til at offentliggøre tilsynsreaktioner foreslås i vid udstrækning videreført i sin eksisterende form. </w:t>
      </w:r>
    </w:p>
    <w:p w14:paraId="67FF4A4F" w14:textId="77777777" w:rsidR="00327FF0" w:rsidRPr="00796736" w:rsidRDefault="00327FF0" w:rsidP="00A802A5">
      <w:pPr>
        <w:spacing w:line="360" w:lineRule="auto"/>
        <w:rPr>
          <w:rFonts w:ascii="Times New Roman" w:hAnsi="Times New Roman" w:cs="Times New Roman"/>
          <w:sz w:val="24"/>
          <w:szCs w:val="24"/>
        </w:rPr>
      </w:pPr>
    </w:p>
    <w:p w14:paraId="47D2B23C"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Skatte- og vækstministeriet vurderer det dog nødvendigt, at der foretages en række justeringer til offentliggørelsesbestemmelsen af hensyn til at gennemføre en direktivnær implementering af 6. hvidvaskdirektivs artikel 58.</w:t>
      </w:r>
    </w:p>
    <w:p w14:paraId="790C7319" w14:textId="77777777" w:rsidR="00327FF0" w:rsidRPr="00796736" w:rsidRDefault="00327FF0" w:rsidP="00A802A5">
      <w:pPr>
        <w:spacing w:line="360" w:lineRule="auto"/>
        <w:rPr>
          <w:rFonts w:ascii="Times New Roman" w:hAnsi="Times New Roman" w:cs="Times New Roman"/>
          <w:sz w:val="24"/>
          <w:szCs w:val="24"/>
        </w:rPr>
      </w:pPr>
    </w:p>
    <w:p w14:paraId="6DA874F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vedtagelsen af 6. hvidvaskdirektiv bliver Finanstilsynet tilsynsmyndighed for en række nye virksomhedstyper. Derudover skal Finanstilsynet som tilsynsmyndighed sikres en række nye tilsynsbeføjelser. På denne baggrund foreslås bestemmelsen udvidet til at omfatte disse.</w:t>
      </w:r>
    </w:p>
    <w:p w14:paraId="729C6E10" w14:textId="77777777" w:rsidR="00327FF0" w:rsidRPr="00796736" w:rsidRDefault="00327FF0" w:rsidP="00A802A5">
      <w:pPr>
        <w:spacing w:after="240" w:line="360" w:lineRule="auto"/>
        <w:rPr>
          <w:rFonts w:ascii="Times New Roman" w:hAnsi="Times New Roman" w:cs="Times New Roman"/>
          <w:sz w:val="24"/>
          <w:szCs w:val="24"/>
        </w:rPr>
      </w:pPr>
    </w:p>
    <w:p w14:paraId="76375485" w14:textId="117BFAD7" w:rsidR="00327FF0" w:rsidRPr="00796736" w:rsidRDefault="00327FF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i øvrigt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_Ref239790471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_Ref232597550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75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med tilhørende bemærkninger.</w:t>
      </w:r>
    </w:p>
    <w:p w14:paraId="47F90466" w14:textId="77777777" w:rsidR="0036193C" w:rsidRPr="00796736" w:rsidRDefault="0036193C" w:rsidP="00A802A5">
      <w:pPr>
        <w:spacing w:line="360" w:lineRule="auto"/>
        <w:rPr>
          <w:rFonts w:ascii="Times New Roman" w:hAnsi="Times New Roman" w:cs="Times New Roman"/>
          <w:sz w:val="24"/>
          <w:szCs w:val="24"/>
        </w:rPr>
      </w:pPr>
    </w:p>
    <w:p w14:paraId="02FFBB9A" w14:textId="61E5118D" w:rsidR="00012C88" w:rsidRPr="00796736" w:rsidRDefault="00FD1C66" w:rsidP="00A802A5">
      <w:pPr>
        <w:pStyle w:val="Overskrift2"/>
        <w:rPr>
          <w:rFonts w:ascii="Times New Roman" w:hAnsi="Times New Roman"/>
          <w:sz w:val="24"/>
        </w:rPr>
      </w:pPr>
      <w:bookmarkStart w:id="1339" w:name="_Toc232109232"/>
      <w:bookmarkStart w:id="1340" w:name="_Ref232964769"/>
      <w:bookmarkStart w:id="1341" w:name="_Toc244880777"/>
      <w:r w:rsidRPr="00796736">
        <w:rPr>
          <w:rFonts w:ascii="Times New Roman" w:hAnsi="Times New Roman"/>
          <w:sz w:val="24"/>
        </w:rPr>
        <w:t>Finanstilsynets t</w:t>
      </w:r>
      <w:r w:rsidR="00012C88" w:rsidRPr="00796736">
        <w:rPr>
          <w:rFonts w:ascii="Times New Roman" w:hAnsi="Times New Roman"/>
          <w:sz w:val="24"/>
        </w:rPr>
        <w:t>avshedspligt</w:t>
      </w:r>
      <w:bookmarkEnd w:id="1339"/>
      <w:bookmarkEnd w:id="1340"/>
      <w:bookmarkEnd w:id="1341"/>
      <w:r w:rsidR="00012C88" w:rsidRPr="00796736">
        <w:rPr>
          <w:rFonts w:ascii="Times New Roman" w:hAnsi="Times New Roman"/>
          <w:sz w:val="24"/>
        </w:rPr>
        <w:t xml:space="preserve"> </w:t>
      </w:r>
    </w:p>
    <w:p w14:paraId="27CCB752" w14:textId="2DED9D34" w:rsidR="00012C88" w:rsidRPr="00796736" w:rsidRDefault="00012C88" w:rsidP="00A802A5">
      <w:pPr>
        <w:pStyle w:val="Overskrift4"/>
        <w:rPr>
          <w:rFonts w:ascii="Times New Roman" w:hAnsi="Times New Roman" w:cs="Times New Roman"/>
          <w:sz w:val="24"/>
          <w:szCs w:val="24"/>
        </w:rPr>
      </w:pPr>
      <w:bookmarkStart w:id="1342" w:name="_Toc232109233"/>
      <w:r w:rsidRPr="00796736">
        <w:rPr>
          <w:rFonts w:ascii="Times New Roman" w:hAnsi="Times New Roman" w:cs="Times New Roman"/>
          <w:sz w:val="24"/>
          <w:szCs w:val="24"/>
        </w:rPr>
        <w:t>Gældende ret</w:t>
      </w:r>
      <w:bookmarkEnd w:id="1342"/>
    </w:p>
    <w:p w14:paraId="73A19D5B" w14:textId="77777777"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 56 i hvidvaskloven er Finanstilsynets ansatte, personer der udfører serviceopgaver som led i tilsynets drift, samt eksperter, der handler på Finanstilsynets vegne, under ansvar efter straffelovens §§ 152-152 e forpligtet til at hemmeligholde fortrolige oplysninger, som de får kendskab til gennem tilsynsvirksomheden. Tavshedspligten gælder også efter ansættelses- eller kontraktforholdets ophør. </w:t>
      </w:r>
    </w:p>
    <w:p w14:paraId="1A1E915D" w14:textId="77777777"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Gældende ret fastsætter endvidere, at fortrolige oplysninger kan videregives til en række nærmere angivne myndigheder og organer, herunder tilsynsmyndigheder, samarbejdsfora, andre offentlige myndigheder, told- og skatteforvaltningen, relevante ministerier, administrative myndigheder og domstole, Folketingets Ombudsmand, parlamentariske kommissioner, undersøgelseskommissioner, Statsrevisorerne, Rigsrevisionen, samt en række andre myndigheder og organer, forudsat at modtageren har behov for oplysningerne til varetagelsen af sine opgaver.</w:t>
      </w:r>
    </w:p>
    <w:p w14:paraId="503AABB4" w14:textId="77777777" w:rsidR="001D3629" w:rsidRPr="00796736" w:rsidRDefault="001D3629"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hvidvasklovens § 56 a gælder der en særlig tavshedspligt for Finanstilsynets ansatte i forhold til oplysninger om personer, der har indberettet en virksomhed eller en person til Finanstilsynet for overtrædelse eller mulig overtrædelse af hvidvaskloven, regler udstedt i medfør heraf eller relevante EU-forordninger på de områder, hvor Finanstilsynet fører tilsyn. Tavshedspligten indebærer, at Finanstilsynets ansatte ikke må videregive oplysninger, der kan identificere indberetteren.</w:t>
      </w:r>
    </w:p>
    <w:p w14:paraId="75D9F200" w14:textId="77777777" w:rsidR="001D3629" w:rsidRPr="00796736" w:rsidRDefault="001D3629"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Tavshedspligten er dog ikke til hinder for, at oplysninger kan videregives i de tilfælde, hvor hvidvaskloven giver adgang hertil, jf. § 56, stk. 3. Den, der modtager oplysningerne, vil i så fald være underlagt den samme tavshedspligt, jf. § 56 a, stk. 3. Det betyder, at oplysningerne fortsat skal behandles fortroligt og kun må anvendes og videregives inden for lovens rammer.</w:t>
      </w:r>
    </w:p>
    <w:p w14:paraId="21BB6671" w14:textId="777DF561" w:rsidR="00012C88" w:rsidRPr="00796736" w:rsidRDefault="00012C88" w:rsidP="00A802A5">
      <w:pPr>
        <w:pStyle w:val="Overskrift4"/>
        <w:rPr>
          <w:rFonts w:ascii="Times New Roman" w:hAnsi="Times New Roman" w:cs="Times New Roman"/>
          <w:sz w:val="24"/>
          <w:szCs w:val="24"/>
        </w:rPr>
      </w:pPr>
      <w:bookmarkStart w:id="1343" w:name="_Toc232109234"/>
      <w:r w:rsidRPr="00796736">
        <w:rPr>
          <w:rFonts w:ascii="Times New Roman" w:hAnsi="Times New Roman" w:cs="Times New Roman"/>
          <w:sz w:val="24"/>
          <w:szCs w:val="24"/>
        </w:rPr>
        <w:t>6. hvidvaskdirektiv</w:t>
      </w:r>
      <w:bookmarkEnd w:id="1343"/>
    </w:p>
    <w:p w14:paraId="2D55C5BC" w14:textId="77777777" w:rsidR="00012C88" w:rsidRPr="00796736" w:rsidRDefault="00012C8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51, stk. 1, i 6. hvidvaskdirektiv, at medlemsstaterne sikrer, at tilsynsorganer kan indgå samarbejdsaftaler vedrørende samarbejde og udveksling af fortrolige oplysninger med deres modparter i tredjelande. Samarbejdsaftalerne skal overholde gældende databeskyttelsesregler og være gensidige samt underlagt en garanti om krav til tavshedspligt, der mindst svarer til den, der er omtalt i artikel 67, stk. 1. Udvekslingen af fortrolige oplysninger inden for disse samarbejdsaftaler må kun anvendes med henblik på de pågældende myndigheders udførelse af deres tilsynsopgaver. </w:t>
      </w:r>
    </w:p>
    <w:p w14:paraId="0AA9D8DA" w14:textId="7CACB810" w:rsidR="00E06A1B" w:rsidRPr="00796736" w:rsidRDefault="00E06A1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60, stk. 2, i 6. hvidvaskdirektiv, at tilsynsmyndighederne er de myndigheder, der har kompetence til at etablere eksterne indberetningskanaler og til at følge op på indberetninger for så vidt angår de krav, der gælder for forpligtede enheder, i overensstemmelse med direktiv (EU) 2019/1937.</w:t>
      </w:r>
    </w:p>
    <w:p w14:paraId="4E8F781D" w14:textId="77777777" w:rsidR="00012C88" w:rsidRPr="00796736" w:rsidRDefault="00012C88" w:rsidP="00A802A5">
      <w:pPr>
        <w:spacing w:line="360" w:lineRule="auto"/>
        <w:rPr>
          <w:rFonts w:ascii="Times New Roman" w:eastAsia="Times New Roman" w:hAnsi="Times New Roman" w:cs="Times New Roman"/>
          <w:sz w:val="24"/>
          <w:szCs w:val="24"/>
        </w:rPr>
      </w:pPr>
    </w:p>
    <w:p w14:paraId="70FFE0ED" w14:textId="77777777" w:rsidR="00012C88" w:rsidRPr="00796736" w:rsidRDefault="00012C8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artikel 67, stk. 1, i 6. hvidvaskdirektiv, at medlemsstaterne skal kræve, at alle personer, der arbejder for eller har arbejdet for en tilsynsmyndighed, er underlagt tavshedspligt. </w:t>
      </w:r>
    </w:p>
    <w:p w14:paraId="2364CF9F" w14:textId="77777777" w:rsidR="00012C88" w:rsidRPr="00796736" w:rsidRDefault="00012C88" w:rsidP="00A802A5">
      <w:pPr>
        <w:spacing w:line="360" w:lineRule="auto"/>
        <w:rPr>
          <w:rFonts w:ascii="Times New Roman" w:eastAsia="Times New Roman" w:hAnsi="Times New Roman" w:cs="Times New Roman"/>
          <w:sz w:val="24"/>
          <w:szCs w:val="24"/>
        </w:rPr>
      </w:pPr>
    </w:p>
    <w:p w14:paraId="6D7DD369" w14:textId="77777777" w:rsidR="00012C88" w:rsidRPr="00796736" w:rsidRDefault="00012C8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67, stk. 2, i 6. hvidvaskdirektiv, at tavshedspligten ikke er til hinder for, at der udveksles oplysninger med en række oplistede myndigheder, herunder andre tilsynsmyndigheder, uanset om de befinder sig i en medlemsstat eller i forskellige medlemsstater, herunder AMLA. Oplysninger kan endvidere udveksles med medlemsstaternes FIU’er, en offentlig myndighed, der har til opgave at efterforske eller retsforfølge i sager om hvidvask eller finansiering af terrorisme, samt offentlige myndigheder, der har fået til ansvar at bekæmpe hvidvask af penge og finansiering af terrorisme. </w:t>
      </w:r>
    </w:p>
    <w:p w14:paraId="0F245C62" w14:textId="77777777" w:rsidR="00012C88" w:rsidRPr="00796736" w:rsidRDefault="00012C88" w:rsidP="00A802A5">
      <w:pPr>
        <w:spacing w:line="360" w:lineRule="auto"/>
        <w:rPr>
          <w:rFonts w:ascii="Times New Roman" w:eastAsia="Times New Roman" w:hAnsi="Times New Roman" w:cs="Times New Roman"/>
          <w:sz w:val="24"/>
          <w:szCs w:val="24"/>
        </w:rPr>
      </w:pPr>
    </w:p>
    <w:p w14:paraId="00F8CB2F" w14:textId="77777777" w:rsidR="00012C88" w:rsidRPr="00796736" w:rsidRDefault="00012C8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at artikel 68, stk. 1, litra a og b, i 6. hvidvaskdirektiv, at med undtagelse af tilfælde nævnt i hvidvaskforordningens artikel 70, stk. 2, tillader medlemsstaterne udveksling af oplysninger mellem tilsynsorganer og offentlige myndigheder, der fører tilsyn med selvregulerende organer i henhold til direktivets kapitel 4, uanset om de befinder sig i samme medlemsstat eller i forskellige medlemsstater. Medlemsstaterne tillader endvidere udveksling af oplysninger mellem tilsynsorganer og de myndigheder, der ved lov er er ansvarlige for tilsynet med de finansielle markeder, i forbindelse med varetagelsen af deres respektive tilsynsopgaver. </w:t>
      </w:r>
    </w:p>
    <w:p w14:paraId="63978AA9" w14:textId="77777777" w:rsidR="00012C88" w:rsidRPr="00796736" w:rsidRDefault="00012C88" w:rsidP="00A802A5">
      <w:pPr>
        <w:spacing w:line="360" w:lineRule="auto"/>
        <w:rPr>
          <w:rFonts w:ascii="Times New Roman" w:eastAsia="Times New Roman" w:hAnsi="Times New Roman" w:cs="Times New Roman"/>
          <w:sz w:val="24"/>
          <w:szCs w:val="24"/>
        </w:rPr>
      </w:pPr>
    </w:p>
    <w:p w14:paraId="47AF6543" w14:textId="77777777" w:rsidR="00012C88" w:rsidRPr="00796736" w:rsidRDefault="00012C8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1, 2. afsnit, i 6. hvidvaskdirektiv, at de krav om tavshedspligt, der er fastsat i artikel 61, stk. 1 og 3, ikke er til hinder for en udveksling af oplysninger omhandlet i nærværende stykkes første afsnit. </w:t>
      </w:r>
    </w:p>
    <w:p w14:paraId="2ECCA7EA" w14:textId="77777777" w:rsidR="00012C88" w:rsidRPr="00796736" w:rsidRDefault="00012C88" w:rsidP="00A802A5">
      <w:pPr>
        <w:spacing w:line="360" w:lineRule="auto"/>
        <w:rPr>
          <w:rFonts w:ascii="Times New Roman" w:eastAsia="Times New Roman" w:hAnsi="Times New Roman" w:cs="Times New Roman"/>
          <w:sz w:val="24"/>
          <w:szCs w:val="24"/>
        </w:rPr>
      </w:pPr>
    </w:p>
    <w:p w14:paraId="7C52770C" w14:textId="77777777" w:rsidR="00012C88" w:rsidRPr="00796736" w:rsidRDefault="00012C8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1, 3. afsnit, i 6. hvidvaskdirektiv, at fortrolige oplysninger, der udveksles i henhold til dette stykke, kun må anvendes til varetagelse af de berørte myndigheders opgaver og i forbindelse med administrative eller retslige procedurer, der specifikt vedrører udøvelsen af disse funktioner. De modtagne oplysninger er under alle omstændigheder underlagt krav om tavshedspligt, der mindst svarer til de krav, som er omhandlet i artikel 67, stk. 1. </w:t>
      </w:r>
    </w:p>
    <w:p w14:paraId="02AE0CA9" w14:textId="77777777" w:rsidR="00012C88" w:rsidRPr="00796736" w:rsidRDefault="00012C88" w:rsidP="00A802A5">
      <w:pPr>
        <w:spacing w:line="360" w:lineRule="auto"/>
        <w:rPr>
          <w:rFonts w:ascii="Times New Roman" w:eastAsia="Times New Roman" w:hAnsi="Times New Roman" w:cs="Times New Roman"/>
          <w:sz w:val="24"/>
          <w:szCs w:val="24"/>
        </w:rPr>
      </w:pPr>
    </w:p>
    <w:p w14:paraId="6A286843" w14:textId="77777777" w:rsidR="00012C88" w:rsidRPr="00796736" w:rsidRDefault="00012C8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2, i 6. hvidvaskdirektiv, at medlemsstaterne kan give tilladelse til, at visse oplysninger videregives til andre nationale myndigheder, som ved lov er ansvarlige for tilsyn med finansielle markeder, eller som er udpeget som ansvarlige for at bekæmpe eller efterforske hvidvask af penge, de underliggende lovovertrædelser eller finansiering af terrorisme. De krav om tavshedspligt fastsat i artikel 67, stk. 1 og 3, i 6. hvidvaskdirektiv, er ikke til hinder for en sådan videregivelse af oplysninger. Det fremgår herudover, at fortrolige oplysninger, der udveksles i henhold til artikel 68, stk. 2, i 6. hvidvaskdirektiv, dog kun må anvendes med henblik på varetagelse af de pågældende myndigheders lovmæssige opgaver. Personer, der har adgang til sådanne oplysninger, skal være underlagt krav om tavshedspligt, der mindst svarer til de krav, som er omhandlet i artikel 67, stk. 1, i 6. hvidvaskdirektiv. </w:t>
      </w:r>
    </w:p>
    <w:p w14:paraId="2B34CD60" w14:textId="77777777" w:rsidR="00012C88" w:rsidRPr="00796736" w:rsidRDefault="00012C88" w:rsidP="00A802A5">
      <w:pPr>
        <w:spacing w:line="360" w:lineRule="auto"/>
        <w:rPr>
          <w:rFonts w:ascii="Times New Roman" w:eastAsia="Times New Roman" w:hAnsi="Times New Roman" w:cs="Times New Roman"/>
          <w:sz w:val="24"/>
          <w:szCs w:val="24"/>
        </w:rPr>
      </w:pPr>
    </w:p>
    <w:p w14:paraId="23B7B019" w14:textId="77777777" w:rsidR="00012C88" w:rsidRPr="00796736" w:rsidRDefault="00012C8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3, i 6. hvidvaskdirektiv, at medlemsstaterne kan give tilladelse til, at visse oplysninger i forbindelse med tilsyn med forpligtede enheders overholdelse af hvidvaskforordningen videregives til parlamentariske undersøgelsesudvalg, revisionsretter og andre enheder med ansvar for undersøgelser i deres medlemsstat. Tilladelsen kan gives på betingelse af, at enhederne har et præcist mandat i henhold til national ret til at undersøge eller granske de aktiviteter, som udføres af tilsynsorganer eller myndigheder med ansvar for lovgivningen om dette tilsyn, at oplysningerne er strengt nødvendige for udøvelsen af det nævnte mandat; at de personer, som har adgang til oplysningerne, er underlagt krav om tavshedspligt i henhold til national ret, der mindst svarer til dem, der er omhandlet i artikel 68, stk. 1, at oplysninger, der stammer fra en anden medlemsstat, ikke videregives uden udtrykkeligt samtykke fra den tilsynsmyndighed, som har videregivet dem, og i givet fald udelukkende til de formål, som den pågældende tilsynsmyndighed har givet sit samtykke til. Det fremgår endvidere, at medlemsstaterne også kan tillade videregivelse af oplysninger i henhold til nærværende stykkes første afsnit til midlertidige undersøgelsesudvalg nedsat af Europa-Parlamentet i overensstemmelse med artikel 226 i TEUF og artikel 2 i Europa-Parlamentets, Rådets og Kommissionens afgørelse 95/167/EF, Eurotom, EKSF, hvis videregivelsen er nødvendig for udførelsen af disse udvalgs aktiviteter. </w:t>
      </w:r>
    </w:p>
    <w:p w14:paraId="58EB68DA" w14:textId="77777777" w:rsidR="00012C88" w:rsidRPr="00796736" w:rsidRDefault="00012C88" w:rsidP="00A802A5">
      <w:pPr>
        <w:spacing w:line="360" w:lineRule="auto"/>
        <w:rPr>
          <w:rFonts w:ascii="Times New Roman" w:eastAsia="Times New Roman" w:hAnsi="Times New Roman" w:cs="Times New Roman"/>
          <w:sz w:val="24"/>
          <w:szCs w:val="24"/>
        </w:rPr>
      </w:pPr>
    </w:p>
    <w:p w14:paraId="5A224EC2" w14:textId="5494CE74" w:rsidR="00012C88" w:rsidRPr="00796736" w:rsidRDefault="00012C88" w:rsidP="00A802A5">
      <w:pPr>
        <w:pStyle w:val="Overskrift4"/>
        <w:rPr>
          <w:rFonts w:ascii="Times New Roman" w:hAnsi="Times New Roman" w:cs="Times New Roman"/>
          <w:sz w:val="24"/>
          <w:szCs w:val="24"/>
        </w:rPr>
      </w:pPr>
      <w:bookmarkStart w:id="1344" w:name="_Toc232109235"/>
      <w:r w:rsidRPr="00796736">
        <w:rPr>
          <w:rFonts w:ascii="Times New Roman" w:hAnsi="Times New Roman" w:cs="Times New Roman"/>
          <w:sz w:val="24"/>
          <w:szCs w:val="24"/>
        </w:rPr>
        <w:t>Skatte- og Vækstministeriets overvejelser og den foreslåede ordning</w:t>
      </w:r>
      <w:bookmarkEnd w:id="1344"/>
      <w:r w:rsidRPr="00796736">
        <w:rPr>
          <w:rFonts w:ascii="Times New Roman" w:hAnsi="Times New Roman" w:cs="Times New Roman"/>
          <w:sz w:val="24"/>
          <w:szCs w:val="24"/>
        </w:rPr>
        <w:t xml:space="preserve"> </w:t>
      </w:r>
    </w:p>
    <w:p w14:paraId="713440F7" w14:textId="77777777"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Vækstministeriet har vurderet, at der er behov for at præcisere og udvide reglerne om tavshedspligt og videregivelse af fortrolige oplysninger i forbindelse med Finanstilsynets virksomhed. Dette sker for at sikre, at reglerne er i overensstemmelse med </w:t>
      </w:r>
      <w:r w:rsidRPr="00796736">
        <w:rPr>
          <w:rFonts w:ascii="Times New Roman" w:hAnsi="Times New Roman" w:cs="Times New Roman"/>
          <w:sz w:val="24"/>
          <w:szCs w:val="24"/>
        </w:rPr>
        <w:t xml:space="preserve">6. hvidvaskdirektiv. </w:t>
      </w:r>
    </w:p>
    <w:p w14:paraId="7CAD316C" w14:textId="0D7EBD3E"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er væsentligt, at fortrolige oplysninger fortsat beskyttes effektivt, og at videregivelse kun sker, hvor det er nødvendigt og hjemlet i lovgivningen. Samtidig er det vigtigt, at Finanstilsynet har mulighed for at samarbejde med relevante myndigheder, herunder </w:t>
      </w:r>
      <w:r w:rsidR="007E4FC7" w:rsidRPr="00796736">
        <w:rPr>
          <w:rFonts w:ascii="Times New Roman" w:eastAsia="Calibri" w:hAnsi="Times New Roman" w:cs="Times New Roman"/>
          <w:sz w:val="24"/>
          <w:szCs w:val="24"/>
        </w:rPr>
        <w:t xml:space="preserve">AMLA </w:t>
      </w:r>
      <w:r w:rsidRPr="00796736">
        <w:rPr>
          <w:rFonts w:ascii="Times New Roman" w:eastAsia="Calibri" w:hAnsi="Times New Roman" w:cs="Times New Roman"/>
          <w:sz w:val="24"/>
          <w:szCs w:val="24"/>
        </w:rPr>
        <w:t>og andre EU-organer, for at sikre en effektiv håndhævelse af reglerne om forebyggelse af hvidvask og finansiering af terrorisme samt finansiel stabilitet.</w:t>
      </w:r>
    </w:p>
    <w:p w14:paraId="1B4DF971" w14:textId="77777777"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 foreslåede ændringer skal således bidrage til at styrke den finansielle sektors integritet og stabilitet, sikre overholdelse af internationale forpligtelser og skabe klarhed om rammerne for videregivelse af fortrolige oplysninger.</w:t>
      </w:r>
    </w:p>
    <w:p w14:paraId="19672B9C" w14:textId="4CD36473"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tavshedsbestemmelsen i § 56 videreføres, </w:t>
      </w:r>
      <w:r w:rsidR="00566557" w:rsidRPr="00796736">
        <w:rPr>
          <w:rFonts w:ascii="Times New Roman" w:eastAsia="Calibri" w:hAnsi="Times New Roman" w:cs="Times New Roman"/>
          <w:sz w:val="24"/>
          <w:szCs w:val="24"/>
        </w:rPr>
        <w:t>så</w:t>
      </w:r>
      <w:r w:rsidRPr="00796736">
        <w:rPr>
          <w:rFonts w:ascii="Times New Roman" w:eastAsia="Calibri" w:hAnsi="Times New Roman" w:cs="Times New Roman"/>
          <w:sz w:val="24"/>
          <w:szCs w:val="24"/>
        </w:rPr>
        <w:t xml:space="preserve"> det fortsat fremgår, at Finanstilsynets ansatte</w:t>
      </w:r>
      <w:r w:rsidR="00566557" w:rsidRPr="00796736">
        <w:rPr>
          <w:rFonts w:ascii="Times New Roman" w:eastAsia="Calibri" w:hAnsi="Times New Roman" w:cs="Times New Roman"/>
          <w:sz w:val="24"/>
          <w:szCs w:val="24"/>
        </w:rPr>
        <w:t>, der</w:t>
      </w:r>
      <w:r w:rsidRPr="00796736">
        <w:rPr>
          <w:rFonts w:ascii="Times New Roman" w:eastAsia="Calibri" w:hAnsi="Times New Roman" w:cs="Times New Roman"/>
          <w:sz w:val="24"/>
          <w:szCs w:val="24"/>
        </w:rPr>
        <w:t xml:space="preserve"> er under ansvar efter straffelovens §§ 152-152 e og dermed forpligtet til at hemmeligholde fortrolige oplysninger, som de får kendskab til gennem tilsynsvirksomheden. Det samme gælder personer, der udfører serviceopgaver som led i tilsynets drift, </w:t>
      </w:r>
      <w:r w:rsidR="00566557" w:rsidRPr="00796736">
        <w:rPr>
          <w:rFonts w:ascii="Times New Roman" w:eastAsia="Calibri" w:hAnsi="Times New Roman" w:cs="Times New Roman"/>
          <w:sz w:val="24"/>
          <w:szCs w:val="24"/>
        </w:rPr>
        <w:t xml:space="preserve">f.eks. rengøringspersonale, </w:t>
      </w:r>
      <w:r w:rsidRPr="00796736">
        <w:rPr>
          <w:rFonts w:ascii="Times New Roman" w:eastAsia="Calibri" w:hAnsi="Times New Roman" w:cs="Times New Roman"/>
          <w:sz w:val="24"/>
          <w:szCs w:val="24"/>
        </w:rPr>
        <w:t>og eksperter, der handler på Finanstilsynets vegne. Dette gælder også efter ansættelses- eller kontraktforholdets ophør.</w:t>
      </w:r>
    </w:p>
    <w:p w14:paraId="2600C50F" w14:textId="77777777"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endvidere at videreføre, at det at samtykke fra den, som tavshedspligten tilsigter at beskytte, ikke berettiger til videregivelse af fortrolige oplysninger.</w:t>
      </w:r>
    </w:p>
    <w:p w14:paraId="06948B92" w14:textId="09A921E8"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desuden, at adgangen til at videregive fortrolige oplysninger udvides og præciseres, </w:t>
      </w:r>
      <w:r w:rsidR="00566557" w:rsidRPr="00796736">
        <w:rPr>
          <w:rFonts w:ascii="Times New Roman" w:eastAsia="Calibri" w:hAnsi="Times New Roman" w:cs="Times New Roman"/>
          <w:sz w:val="24"/>
          <w:szCs w:val="24"/>
        </w:rPr>
        <w:t>så</w:t>
      </w:r>
      <w:r w:rsidRPr="00796736">
        <w:rPr>
          <w:rFonts w:ascii="Times New Roman" w:eastAsia="Calibri" w:hAnsi="Times New Roman" w:cs="Times New Roman"/>
          <w:sz w:val="24"/>
          <w:szCs w:val="24"/>
        </w:rPr>
        <w:t xml:space="preserve"> oplysninger kan videregives til en række yderligere myndigheder og organer, herunder</w:t>
      </w:r>
      <w:r w:rsidR="007E4FC7" w:rsidRPr="00796736">
        <w:rPr>
          <w:rFonts w:ascii="Times New Roman" w:eastAsia="Calibri" w:hAnsi="Times New Roman" w:cs="Times New Roman"/>
          <w:sz w:val="24"/>
          <w:szCs w:val="24"/>
        </w:rPr>
        <w:t xml:space="preserve"> AMLA</w:t>
      </w:r>
      <w:r w:rsidRPr="00796736">
        <w:rPr>
          <w:rFonts w:ascii="Times New Roman" w:eastAsia="Calibri" w:hAnsi="Times New Roman" w:cs="Times New Roman"/>
          <w:sz w:val="24"/>
          <w:szCs w:val="24"/>
        </w:rPr>
        <w:t>, Den Europæiske Centralbank, Den Europæiske Banktilsynsmyndighed, Den Internationale Valutafond (IMF), Verdensbanken og Rådet for Finansiel Stabilitet (FSB).</w:t>
      </w:r>
    </w:p>
    <w:p w14:paraId="0BBB1F95" w14:textId="77777777"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der indføres nærmere regler om videregivelse til parlamentariske undersøgelsesudvalg, revisionsretter og andre enheder med ansvar for undersøgelser, samt om betingelserne for videregivelse til udenlandske myndigheder, herunder krav om international samarbejdsaftale og tilsvarende tavshedspligt.</w:t>
      </w:r>
    </w:p>
    <w:p w14:paraId="24B74BCE" w14:textId="77777777"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Endelig foreslås det, at alle modtagere af fortrolige oplysninger fra Finanstilsynet er underlagt tavshedspligt, og at fortrolige oplysninger kun må anvendes i forbindelse med tilsynshvervet, til at pålægge sanktioner eller ved klage- eller domstolsbehandling.</w:t>
      </w:r>
    </w:p>
    <w:p w14:paraId="4BFC26B3" w14:textId="5A4D825D" w:rsidR="008442E5" w:rsidRPr="00796736" w:rsidRDefault="008442E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vurderes af Skatte- og Vækstministeriet, at det er vigtigt at videreføre hvidvasklovens § 56 a. Bestemmelsen sikrer en særlig beskyttelse af personer, der indberetter overtrædelser eller potentielle overtrædelser til Finanstilsynet, ved at fastsætte tavshedspligt om oplysninger, der kan identificere den pågældende. En videreførelse af bestemmelsen understøtter, at personer fortsat trygt kan indberette relevante forhold til Finanstilsynet, uden risiko for uberettiget videregivelse af deres identitet. Det foreslås på den baggrund at videreføre § 56 a i hvidvaskloven.</w:t>
      </w:r>
    </w:p>
    <w:p w14:paraId="77EC3A06" w14:textId="712821CB" w:rsidR="00012C88" w:rsidRPr="00796736" w:rsidRDefault="00012C8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 nærmere henvises til lovforslagets §</w:t>
      </w:r>
      <w:r w:rsidR="005A114A" w:rsidRPr="00796736">
        <w:rPr>
          <w:rFonts w:ascii="Times New Roman" w:eastAsia="Calibri" w:hAnsi="Times New Roman" w:cs="Times New Roman"/>
          <w:sz w:val="24"/>
          <w:szCs w:val="24"/>
        </w:rPr>
        <w:fldChar w:fldCharType="begin"/>
      </w:r>
      <w:r w:rsidR="005A114A" w:rsidRPr="00796736">
        <w:rPr>
          <w:rFonts w:ascii="Times New Roman" w:eastAsia="Calibri" w:hAnsi="Times New Roman" w:cs="Times New Roman"/>
          <w:sz w:val="24"/>
          <w:szCs w:val="24"/>
        </w:rPr>
        <w:instrText xml:space="preserve"> REF _Ref232597582 \n \h </w:instrText>
      </w:r>
      <w:r w:rsidR="00967618" w:rsidRPr="00796736">
        <w:rPr>
          <w:rFonts w:ascii="Times New Roman" w:eastAsia="Calibri" w:hAnsi="Times New Roman" w:cs="Times New Roman"/>
          <w:sz w:val="24"/>
          <w:szCs w:val="24"/>
        </w:rPr>
        <w:instrText xml:space="preserve"> \* MERGEFORMAT </w:instrText>
      </w:r>
      <w:r w:rsidR="005A114A" w:rsidRPr="00796736">
        <w:rPr>
          <w:rFonts w:ascii="Times New Roman" w:eastAsia="Calibri" w:hAnsi="Times New Roman" w:cs="Times New Roman"/>
          <w:sz w:val="24"/>
          <w:szCs w:val="24"/>
        </w:rPr>
      </w:r>
      <w:r w:rsidR="005A114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76</w:t>
      </w:r>
      <w:r w:rsidR="005A114A" w:rsidRPr="00796736">
        <w:rPr>
          <w:rFonts w:ascii="Times New Roman" w:eastAsia="Calibri" w:hAnsi="Times New Roman" w:cs="Times New Roman"/>
          <w:sz w:val="24"/>
          <w:szCs w:val="24"/>
        </w:rPr>
        <w:fldChar w:fldCharType="end"/>
      </w:r>
      <w:r w:rsidR="008442E5" w:rsidRPr="00796736">
        <w:rPr>
          <w:rFonts w:ascii="Times New Roman" w:eastAsia="Calibri" w:hAnsi="Times New Roman" w:cs="Times New Roman"/>
          <w:sz w:val="24"/>
          <w:szCs w:val="24"/>
        </w:rPr>
        <w:t>-</w:t>
      </w:r>
      <w:r w:rsidR="008442E5" w:rsidRPr="00796736">
        <w:rPr>
          <w:rFonts w:ascii="Times New Roman" w:eastAsia="Calibri" w:hAnsi="Times New Roman" w:cs="Times New Roman"/>
          <w:sz w:val="24"/>
          <w:szCs w:val="24"/>
        </w:rPr>
        <w:fldChar w:fldCharType="begin"/>
      </w:r>
      <w:r w:rsidR="008442E5" w:rsidRPr="00796736">
        <w:rPr>
          <w:rFonts w:ascii="Times New Roman" w:eastAsia="Calibri" w:hAnsi="Times New Roman" w:cs="Times New Roman"/>
          <w:sz w:val="24"/>
          <w:szCs w:val="24"/>
        </w:rPr>
        <w:instrText xml:space="preserve"> REF _Ref238213843 \r \h </w:instrText>
      </w:r>
      <w:r w:rsidR="006A012C" w:rsidRPr="00796736">
        <w:rPr>
          <w:rFonts w:ascii="Times New Roman" w:eastAsia="Calibri" w:hAnsi="Times New Roman" w:cs="Times New Roman"/>
          <w:sz w:val="24"/>
          <w:szCs w:val="24"/>
        </w:rPr>
        <w:instrText xml:space="preserve"> \* MERGEFORMAT </w:instrText>
      </w:r>
      <w:r w:rsidR="008442E5" w:rsidRPr="00796736">
        <w:rPr>
          <w:rFonts w:ascii="Times New Roman" w:eastAsia="Calibri" w:hAnsi="Times New Roman" w:cs="Times New Roman"/>
          <w:sz w:val="24"/>
          <w:szCs w:val="24"/>
        </w:rPr>
      </w:r>
      <w:r w:rsidR="008442E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78</w:t>
      </w:r>
      <w:r w:rsidR="008442E5"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og bemærkningerne hertil.</w:t>
      </w:r>
    </w:p>
    <w:p w14:paraId="7888A8DD" w14:textId="24B676A7" w:rsidR="00B65CF7" w:rsidRPr="00796736" w:rsidRDefault="00552725" w:rsidP="00A802A5">
      <w:pPr>
        <w:pStyle w:val="Overskrift2"/>
        <w:rPr>
          <w:rFonts w:ascii="Times New Roman" w:hAnsi="Times New Roman"/>
          <w:sz w:val="24"/>
        </w:rPr>
      </w:pPr>
      <w:bookmarkStart w:id="1345" w:name="_Toc232109236"/>
      <w:bookmarkStart w:id="1346" w:name="_Ref243919952"/>
      <w:bookmarkStart w:id="1347" w:name="_Toc244880778"/>
      <w:r w:rsidRPr="00796736">
        <w:rPr>
          <w:rFonts w:ascii="Times New Roman" w:hAnsi="Times New Roman"/>
          <w:sz w:val="24"/>
        </w:rPr>
        <w:t>Erhvervsstyrelsens tilsyn</w:t>
      </w:r>
      <w:bookmarkEnd w:id="1345"/>
      <w:bookmarkEnd w:id="1346"/>
      <w:bookmarkEnd w:id="1347"/>
    </w:p>
    <w:p w14:paraId="523A93A4" w14:textId="6D941BEE" w:rsidR="00552725" w:rsidRPr="00796736" w:rsidRDefault="00552725" w:rsidP="00A802A5">
      <w:pPr>
        <w:pStyle w:val="Overskrift4"/>
        <w:rPr>
          <w:rFonts w:ascii="Times New Roman" w:hAnsi="Times New Roman" w:cs="Times New Roman"/>
          <w:sz w:val="24"/>
          <w:szCs w:val="24"/>
        </w:rPr>
      </w:pPr>
      <w:bookmarkStart w:id="1348" w:name="_Toc232109237"/>
      <w:r w:rsidRPr="00796736">
        <w:rPr>
          <w:rFonts w:ascii="Times New Roman" w:hAnsi="Times New Roman" w:cs="Times New Roman"/>
          <w:sz w:val="24"/>
          <w:szCs w:val="24"/>
        </w:rPr>
        <w:t>Gældende ret</w:t>
      </w:r>
      <w:bookmarkEnd w:id="1348"/>
    </w:p>
    <w:p w14:paraId="58DA64E2" w14:textId="77777777" w:rsidR="00B65CF7" w:rsidRPr="00796736" w:rsidRDefault="00B65CF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Tilsynet med virksomheder og personer omfattet af den gældende hvidvasklov er delt mellem Finanstilsynet, Erhvervsstyrelsen, Spillemyndigheden og Advokatrådet. </w:t>
      </w:r>
    </w:p>
    <w:p w14:paraId="4D5D1767" w14:textId="77777777" w:rsidR="00B65CF7" w:rsidRPr="00796736" w:rsidRDefault="00B65CF7" w:rsidP="00A802A5">
      <w:pPr>
        <w:spacing w:line="360" w:lineRule="auto"/>
        <w:rPr>
          <w:rFonts w:ascii="Times New Roman" w:hAnsi="Times New Roman" w:cs="Times New Roman"/>
          <w:sz w:val="24"/>
          <w:szCs w:val="24"/>
        </w:rPr>
      </w:pPr>
    </w:p>
    <w:p w14:paraId="0757BA71" w14:textId="77777777" w:rsidR="00B65CF7" w:rsidRPr="00796736" w:rsidRDefault="00B65CF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varetager tilsynet med ikke-finansielle virksomheder, herunder revisorer, ejendomsmæglere, skatterådgivere, bogholdere og udbydere af tjenesteydelser til virksomheder. </w:t>
      </w:r>
    </w:p>
    <w:p w14:paraId="4B98235E" w14:textId="77777777" w:rsidR="00B65CF7" w:rsidRPr="00796736" w:rsidRDefault="00B65CF7" w:rsidP="00A802A5">
      <w:pPr>
        <w:spacing w:line="360" w:lineRule="auto"/>
        <w:rPr>
          <w:rFonts w:ascii="Times New Roman" w:hAnsi="Times New Roman" w:cs="Times New Roman"/>
          <w:sz w:val="24"/>
          <w:szCs w:val="24"/>
        </w:rPr>
      </w:pPr>
    </w:p>
    <w:p w14:paraId="2691AE55" w14:textId="77777777" w:rsidR="00B65CF7" w:rsidRPr="00796736" w:rsidRDefault="00B65CF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den gældende hvidvasklovs § 57, at Erhvervsstyrelsen påser, at disse virksomheder og filialer, distributører og agenter her i landet af sådanne udenlandske virksomheder og personer overholder hvidvaskloven, regler udstedt i medfør heraf samt love og forordninger indeholdende regler om finansielle sanktioner mod lande, personer, grupper, juridiske enheder eller organer. Dette gælder dog ikke overholdelse af hvidvasklovens § 36. Det følger af bemærkningerne til den gældende § 57, at Erhvervsstyrelsens tilsyn skal ske på baggrund af en risikovurdering. </w:t>
      </w:r>
    </w:p>
    <w:p w14:paraId="3DD9BCE9" w14:textId="77777777" w:rsidR="00B65CF7" w:rsidRPr="00796736" w:rsidRDefault="00B65CF7" w:rsidP="00A802A5">
      <w:pPr>
        <w:spacing w:line="360" w:lineRule="auto"/>
        <w:rPr>
          <w:rFonts w:ascii="Times New Roman" w:hAnsi="Times New Roman" w:cs="Times New Roman"/>
          <w:sz w:val="24"/>
          <w:szCs w:val="24"/>
        </w:rPr>
      </w:pPr>
    </w:p>
    <w:p w14:paraId="6530FBCD" w14:textId="77777777" w:rsidR="00B65CF7" w:rsidRPr="00796736" w:rsidRDefault="00B65CF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derudover af § 59, at virksomheder og personer, der er omfattet af loven og underlagt Erhvervsstyrelsens tilsyn, skal give Erhvervsstyrelsen de oplysninger, der er nødvendige for styrelsens virksomhed. </w:t>
      </w:r>
    </w:p>
    <w:p w14:paraId="2338DA6A" w14:textId="77777777" w:rsidR="00B65CF7" w:rsidRPr="00796736" w:rsidRDefault="00B65CF7" w:rsidP="00A802A5">
      <w:pPr>
        <w:spacing w:line="360" w:lineRule="auto"/>
        <w:rPr>
          <w:rFonts w:ascii="Times New Roman" w:hAnsi="Times New Roman" w:cs="Times New Roman"/>
          <w:sz w:val="24"/>
          <w:szCs w:val="24"/>
        </w:rPr>
      </w:pPr>
    </w:p>
    <w:p w14:paraId="571FE069" w14:textId="77777777" w:rsidR="00B65CF7" w:rsidRPr="00796736" w:rsidRDefault="00B65CF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yderligere af § 59, stk. 2, at Erhvervsstyrelsen kan, hvis formålet tilsiger det, få adgang til virksomheder og person omfattet af styrelsens tilsyn med henblik på at indhente oplysninger, herunder ved kontrolbesøg.</w:t>
      </w:r>
    </w:p>
    <w:p w14:paraId="7CF0F60E" w14:textId="77777777" w:rsidR="00B65CF7" w:rsidRPr="00796736" w:rsidRDefault="00B65CF7" w:rsidP="00A802A5">
      <w:pPr>
        <w:spacing w:line="360" w:lineRule="auto"/>
        <w:rPr>
          <w:rFonts w:ascii="Times New Roman" w:hAnsi="Times New Roman" w:cs="Times New Roman"/>
          <w:sz w:val="24"/>
          <w:szCs w:val="24"/>
        </w:rPr>
      </w:pPr>
    </w:p>
    <w:p w14:paraId="431C7617" w14:textId="77777777" w:rsidR="00B65CF7" w:rsidRPr="00796736" w:rsidRDefault="00B65CF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Erhvervsstyrelsen kan i henhold til § 60 påbyde virksomheder og personer at træffe de nødvendige foranstaltninger i tilfælde af overtrædelse af loven.</w:t>
      </w:r>
    </w:p>
    <w:p w14:paraId="35EB25B3" w14:textId="77777777" w:rsidR="00B65CF7" w:rsidRPr="00796736" w:rsidRDefault="00B65CF7" w:rsidP="00A802A5">
      <w:pPr>
        <w:spacing w:line="360" w:lineRule="auto"/>
        <w:rPr>
          <w:rFonts w:ascii="Times New Roman" w:hAnsi="Times New Roman" w:cs="Times New Roman"/>
          <w:sz w:val="24"/>
          <w:szCs w:val="24"/>
        </w:rPr>
      </w:pPr>
    </w:p>
    <w:p w14:paraId="71F09E58" w14:textId="38B985B6" w:rsidR="003D2A25" w:rsidRPr="00D253F0" w:rsidRDefault="003D2A25" w:rsidP="00A802A5">
      <w:pPr>
        <w:spacing w:after="240" w:line="360" w:lineRule="auto"/>
        <w:rPr>
          <w:rFonts w:ascii="Times New Roman" w:hAnsi="Times New Roman" w:cs="Times New Roman"/>
          <w:sz w:val="24"/>
          <w:szCs w:val="24"/>
        </w:rPr>
      </w:pPr>
      <w:bookmarkStart w:id="1349" w:name="_Toc232109238"/>
      <w:bookmarkStart w:id="1350" w:name="_Ref232940171"/>
      <w:r w:rsidRPr="00D253F0">
        <w:rPr>
          <w:rFonts w:ascii="Times New Roman" w:hAnsi="Times New Roman" w:cs="Times New Roman"/>
          <w:sz w:val="24"/>
          <w:szCs w:val="24"/>
        </w:rPr>
        <w:t xml:space="preserve">Den gældende hvidvasklov indeholder et generelt forbud mod, at medlemmer af ledelsen og reelle ejere af en virksomhed under Erhvervsstyrelsens tilsyn er dømt for et strafbart forhold, der begrunder en nærliggende fare for misbrug af den pågældendes stilling eller kontrollerende indflydelse. Dette </w:t>
      </w:r>
      <w:r>
        <w:rPr>
          <w:rFonts w:ascii="Times New Roman" w:hAnsi="Times New Roman" w:cs="Times New Roman"/>
          <w:sz w:val="24"/>
          <w:szCs w:val="24"/>
        </w:rPr>
        <w:t xml:space="preserve">forbud </w:t>
      </w:r>
      <w:r w:rsidRPr="00D253F0">
        <w:rPr>
          <w:rFonts w:ascii="Times New Roman" w:hAnsi="Times New Roman" w:cs="Times New Roman"/>
          <w:sz w:val="24"/>
          <w:szCs w:val="24"/>
        </w:rPr>
        <w:t xml:space="preserve">gælder efter § 57, stk. 2 </w:t>
      </w:r>
      <w:r>
        <w:rPr>
          <w:rFonts w:ascii="Times New Roman" w:hAnsi="Times New Roman" w:cs="Times New Roman"/>
          <w:sz w:val="24"/>
          <w:szCs w:val="24"/>
        </w:rPr>
        <w:t xml:space="preserve">for henholdsvis kunsthandlere omfattet af § 1, stk. 1, nr. 21 og virksomheder og personer omfattet af § 1, stk. 1, nr. 16, der leverer samme ydelser som revisorer og revisionsvirksomheder, ejendomsmæglere og ejendomsmæglervirksomheder samt advokater, der udbyder ydelser omfattet af hvidvaskloven. Kredsen af omfattede efter § 1, stk. 1, nr. 16 omfatter blandt andet eksterne bogholdere og skatterådgivere. Forbuddet gælder ligeledes efter § 58, stk. 2 og 3, for </w:t>
      </w:r>
      <w:r w:rsidRPr="00D253F0">
        <w:rPr>
          <w:rFonts w:ascii="Times New Roman" w:hAnsi="Times New Roman" w:cs="Times New Roman"/>
          <w:sz w:val="24"/>
          <w:szCs w:val="24"/>
        </w:rPr>
        <w:t xml:space="preserve">udbydere af tjenesteydelser </w:t>
      </w:r>
      <w:r>
        <w:rPr>
          <w:rFonts w:ascii="Times New Roman" w:hAnsi="Times New Roman" w:cs="Times New Roman"/>
          <w:sz w:val="24"/>
          <w:szCs w:val="24"/>
        </w:rPr>
        <w:t>omfattet af § 1, stk. 1, nr. 17</w:t>
      </w:r>
      <w:r w:rsidRPr="00D253F0">
        <w:rPr>
          <w:rFonts w:ascii="Times New Roman" w:hAnsi="Times New Roman" w:cs="Times New Roman"/>
          <w:sz w:val="24"/>
          <w:szCs w:val="24"/>
        </w:rPr>
        <w:t>. Godkendte revisorer og ejendomsmæglere er underlagt et tilsvarende forbud i medfør af henholdsvis § 3, stk. 5, nr. 1 i revisorloven og § 6, stk. 2, nr. 1 i lov om formidling af fast ejendom mv.</w:t>
      </w:r>
    </w:p>
    <w:p w14:paraId="2C518CC1" w14:textId="71745772" w:rsidR="00552725" w:rsidRPr="00796736" w:rsidRDefault="00552725"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6. hvidvaskdirektiv</w:t>
      </w:r>
      <w:bookmarkEnd w:id="1349"/>
      <w:bookmarkEnd w:id="1350"/>
    </w:p>
    <w:p w14:paraId="3865F504" w14:textId="24247212"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6. hvidvaskdirektivs artikel 6, stk. 2, at medlemsstaterne skal sikre, at tilsynsorganerne træffer de nødvendige foranstaltninger til at forhindre personer, der er dømt for hvidvask af penge, de relevante underliggende lovovertrædelser eller finansiering af terrorisme, eller deres samarbejdspartnere, i at blive godkendt til et erhverv, i at varetage en funktion i den øverste ledelse i eller i at være de reelle ejere af forpligtede enheder, der er omfattet af hvidvaskforordningens artikel 3, nr. 3, litra a, b, d, e, f og h-o.</w:t>
      </w:r>
    </w:p>
    <w:p w14:paraId="3A75653B"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6, stk. 3, i 6. hvidvaskdirektiv fastlægger at medlemsstaterne skal sikre, at tilsynsorganerne på et risikofølsomt grundlag skal kontrollere om kravene artikel 6, stk. 1 og 2 fortsat er opfyldt. Der skal navnlig ske kontrol med den øverste ledelse i udbydere af tjenesteydelser til truster og virksomheder i forhold til om de har et godt omdømme, handler med hæderlighed og integritet og besidder den viden og ekspertise, der er nødvendig, for den kan udføre sine opgaver i tilfælde, hvor der er rimelig grund til at formode, at der begås eller er blevet begået eller forsøgt begået hvidvask af penge eller finansiering af terrorisme, eller der er øget risiko herfor hos en forpligtet enhed.</w:t>
      </w:r>
    </w:p>
    <w:p w14:paraId="44B96CEA"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84 i 6. hvidvaskdirektiv fremgår det, at medlemsstaterne bør sikre et effektivt, uvildigt og risikobaseret tilsyn med alle forpligtede enheder, fortrinsvis foretaget af offentlige myndigheder gennem et særskilt og uafhængigt nationalt tilsynsorgan. De nationale tilsynsorganer bør kunne udføre en bred vifte af opgaver for at kunne føre effektivt tilsyn med alle forpligtede enheder.</w:t>
      </w:r>
    </w:p>
    <w:p w14:paraId="189416BD"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6. hvidvaskdirektivs artikel 37, stk. 1, at medlemsstaterne skal sikre at forpligtede enheder, der er etableret på medlemsstatens område, skal være underlagt fyldestgørende og effektivt tilsyn. Medlemsstaterne skal i den forbindelse udpege tilsynsorganer, der effektivt kan overvåge og træffe de nødvendige foranstaltninger for at sikre, at de forpligtede enheder opfylder hvidvaskforordningen og Europa-Parlamentets og Rådets forordning (EU) 2023/1113 af 31. maj 2023 om oplysninger, der skal medsendes ved pengeoverførsler og ved overførsler af visse kryptoaktiver og om ændring af direktiv (EU) 2015/849. </w:t>
      </w:r>
    </w:p>
    <w:p w14:paraId="04392050" w14:textId="1F217823"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Tilsynsorganernes opgaver fremgår af direktivets artikel 37, stk. 5. Tilsynsorganer skal for</w:t>
      </w:r>
      <w:r w:rsidR="003D2A25">
        <w:rPr>
          <w:rFonts w:ascii="Times New Roman" w:hAnsi="Times New Roman" w:cs="Times New Roman"/>
          <w:sz w:val="24"/>
          <w:szCs w:val="24"/>
        </w:rPr>
        <w:t>midle</w:t>
      </w:r>
      <w:r w:rsidRPr="00796736">
        <w:rPr>
          <w:rFonts w:ascii="Times New Roman" w:hAnsi="Times New Roman" w:cs="Times New Roman"/>
          <w:sz w:val="24"/>
          <w:szCs w:val="24"/>
        </w:rPr>
        <w:t xml:space="preserve"> relevante oplysninger til de forpligtede enheder og afgøre i hvilke tilfælde</w:t>
      </w:r>
      <w:r w:rsidR="003D2A25">
        <w:rPr>
          <w:rFonts w:ascii="Times New Roman" w:hAnsi="Times New Roman" w:cs="Times New Roman"/>
          <w:sz w:val="24"/>
          <w:szCs w:val="24"/>
        </w:rPr>
        <w:t>,</w:t>
      </w:r>
      <w:r w:rsidRPr="00796736">
        <w:rPr>
          <w:rFonts w:ascii="Times New Roman" w:hAnsi="Times New Roman" w:cs="Times New Roman"/>
          <w:sz w:val="24"/>
          <w:szCs w:val="24"/>
        </w:rPr>
        <w:t xml:space="preserve"> de specifikke risici i forbindelse med en sektor er klare og forståelige, og individuelle dokumenterede risikovurderinger i henhold til artikel 10 i hvidvaskforordningen ikke er påkrævet. Derudover skal tilsynsorganet kontrollere om tilstrækkeligheden og gennemførelsen af forpligtede enheders interne politikker, procedurer og kontroller i henhold til kapitel II i hvidvaskforordningen samt, at der er afsat de nødvendige menneskelige ressourcer hertil. Endvidere skal tilsynsorganer regelmæssigt vurdere og overvåge de risici for hvidvask af penge og finansiering af terrorisme samt de risici for manglende gennemførelse og omgåelse af målrettede finansielle sanktioner som forpligtede enheder er udsat for samt overvåge forpligtede enheders overholdelse af deres forpligtelser i forbindelse med målrettede finansielle sanktioner. Tilsynsorganerne skal gennemføre alle nødvendige off-site undersøgelser, on-site kontrolbesøg og tematiskekontroller og alle andre undersøgelser, vurderinger og analyser, der er nødvendige for at kontrollere, at forpligtede enheder opfylder hvidvaskforordningen og eventuelle administrative foranstaltninger. Endelig skal tilsynsorganet træffe passende foranstaltninger for at imødegå eventuelle overtrædelser af gældende ret begået af de forpligtede enheder, der er identificeret i processen med tilsynsvurderinger, og følge op på gennemførelsen af sådanne foranstaltninger.</w:t>
      </w:r>
    </w:p>
    <w:p w14:paraId="1E9953C3"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6. hvidvaskdirektivs artikel 37, stk. 6 er det beskrevet, at medlemsstaterne skal sikre, at tilsynsorganerne har tilstrækkelige beføjelser til at udføre deres opgaver, herunder beføjelser til at kræve fremlæggelse af alle oplysninger fra forpligtede enheder, som er relevante for overvågning og kontrol af overholdelsen af hvidvaskforordningen og til at gennemføre kontroller, herunder fra tjenesteudbydere, som forpligtede enheder har outsourcet en del af deres opgaver til for at opfylde kravene i de nævnte forordninger samt til at anvende passende og forholdsmæssige administrative foranstaltninger for at afhjælpe situationen i tilfælde af overtrædelse, herunder ved at pålægge bøder i overensstemmelse med hvidvaskdirektivets kapitel 4, afdeling 4. Det fremgår af 6. hvidvaskdirektivs kapitel 4, afdeling 4, artikel 53, stk. 3, at hvis en medlemsstats retssystem ikke giver mulighed for at pålægge administrative sanktioner, kan tilsynsorganet tage initiativ til bøden, som så pålægges af en judiciel myndighed, idet det sikres, at retsmidlerne er effektive, og at deres virkning svarer til virkningen af bøder pålagt af tilsynsorganer.</w:t>
      </w:r>
    </w:p>
    <w:p w14:paraId="7B2F2A3E"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direktivets artikel 37, stk. 7, 1. afsnit, at medlemsstater skal sikre, at finansielle tilsynsorganer og tilsynsorganer med ansvar for udbydere af spiltjenester har yderligere beføjelser til at kontrollere den forpligtede enheds forretningslokaler uden forudgående varsel, hvis det er nødvendigt for at udføre et kontrolbesøg korrekt og effektivt.</w:t>
      </w:r>
    </w:p>
    <w:p w14:paraId="5B747486"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84 i 6. hvidvaskdirektiv fremgår det, at tilsynsorganerne bør anvende en risikobaseret tilgang til deres arbejde, som vil kunne sætte dem i stand til at koncentrere deres ressourcer der, hvor risiciene er størst, samtidig med at det sikres, at ingen sektor eller enhed fortsat er udsat for kriminelle forsøg på at hvidvaske penge eller finansiere terrorisme. Med henblik herpå bør tilsynsorganerne planlægge deres aktiviteter årligt. I den forbindelse bør de ikke alene sikre en risikobaseret dækning af de sektorer, der er under deres tilsyn, men også, at de er i stand til at reagere omgående i tilfælde af objektive og væsentlige tegn på overtrædelser i en forpligtet enhed, herunder navnlig efter offentlige afsløringer eller oplysninger indgivet af whistleblowere. Tilsynsorganerne bør også sikre gennemsigtighed med hensyn til de tilsynsaktiviteter, som de har udført, såsom tilsynskollegier, som de har oprettet og deltaget i, on-site og off-site tilsynstag, de har taget, bøder, der har pålagt, eller administrative foranstaltninger, der har anvendt. AMLA bør spille en ledende rolle med hensyn til at fremme en fælles forståelse af risici og bør derfor have til opgave at udvikle benchmarks og en metode til vurdering og klassificering af forpligtede enheders iboende risikoprofil og residuale risikoprofil samt den hyppighed, hvormed en sådan risikoprofil bør revideres.</w:t>
      </w:r>
    </w:p>
    <w:p w14:paraId="1DA71704"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6. hvidvaskdirektivs artikel 40, stk. 1, at medlemsstaterne skal sikre, at tilsynsorganerne anvender en risikobaserede tilgang til tilsyn, Med henblik her herpå skal tilsynsorganerne have en klar forståelse af risiciene for hvidvask af penge og finansiering af terrorisme i deres medlemsstat. Tilsynsorganerne skal ydermere vurdere alle relevante oplysninger om bestemte indenlandske og udenlandske risici, der er forbundet med de forpligtede enheders kunder, produkter og tjenesteydelser. Endelig skal tilsynsorganerne tilrettelægge hyppigheden og intensiteten af on-site og off-site tematiske tilsyn på grundlag af forpligtede enheders risikoprofil og af risiciene for hvidvask af penge og finansiering af terrorisme i den pågældende medlemsstat.  Med henblik herpå skal tilsynsorganerne udarbejde årlige tilsynsprogrammer, som skal tage hensyn til den tidsplan og de ressourcer, der er nødvendige for omgående at kunne reagere i tilfælde af objektive og betydelige tegn på tilsidesættelse af hvidvaskforordningen. </w:t>
      </w:r>
    </w:p>
    <w:p w14:paraId="2E2AC23B"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direktivets artikel 40, stk. 2, at AMLA senest den 10. juli 2026, skal udarbejde et udkast til reguleringsmæssige tekniske standarder, der fastsætter benchmarks og en metode til vurdering og klassificering af forpligtede enheders iboende risikoprofil og residualrisikoprofil samt den hyppighed, hvormed sådan en risikoprofil bør revideres. Ved fastsættelse af en sådan hyppighed tages der hensyn til alle større begivenheder eller udviklinger i den forpligtede enheds ledelse og drift samt forretningsaktiviteternes art og omfang. Reguleringsmæssige tekniske standarder skal vedtages af Kommissionen.</w:t>
      </w:r>
    </w:p>
    <w:p w14:paraId="396A19BD"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40 stk. 3, foreskriver at AMLA senest den 10. juli 2028 skal udstede retningslinjer til tilsynsorganerne om karakteristikaene ved en risikobaseret tilgang til tilsyn, de foranstaltninger, der skal indføres hos tilsynsorganer for at sikre fyldestgørende og effektivt tilsyn, herunder for at uddanne deres personale samt om de skridt, der skal tages, når der føres tilsyn på et risikofølsomt grundlag. </w:t>
      </w:r>
    </w:p>
    <w:p w14:paraId="366A4C5D" w14:textId="77777777" w:rsidR="007F5936" w:rsidRPr="00796736" w:rsidRDefault="007F593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direktivets artikel 40, stk. 4, at medlemsstaterne skal sikre, at tilsynsorganerne tager hensyn til omfanget af den skønsbeføjelse, som det er tilladt den forpligtede enhed at have, og foretager en passende gennemgang af de risikovurderinger, der ligger til grund for denne skønsbeføjelse, og af tilstrækkeligheden af enhedens interne politikker, procedurer og kontroller. </w:t>
      </w:r>
    </w:p>
    <w:p w14:paraId="27006A6C" w14:textId="77777777" w:rsidR="007F5936" w:rsidRPr="00796736" w:rsidRDefault="007F593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44, 1. pkt., i 6. hvidvaskdirektiv fastlægger at medlemsstaterne skal sikre, at tilsynsorganer samarbejder med hinanden i videst muligt omfang, uanset deres respektive art eller status. </w:t>
      </w:r>
    </w:p>
    <w:p w14:paraId="55FF7485" w14:textId="77777777" w:rsidR="007F5936" w:rsidRPr="00796736" w:rsidRDefault="007F5936" w:rsidP="00A802A5">
      <w:pPr>
        <w:spacing w:line="360" w:lineRule="auto"/>
        <w:rPr>
          <w:rFonts w:ascii="Times New Roman" w:hAnsi="Times New Roman" w:cs="Times New Roman"/>
          <w:sz w:val="24"/>
          <w:szCs w:val="24"/>
        </w:rPr>
      </w:pPr>
    </w:p>
    <w:p w14:paraId="4425F080" w14:textId="77777777" w:rsidR="007F5936" w:rsidRPr="00796736" w:rsidRDefault="007F593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6. hvidvaskdirektivs artikel 51, stk. 1., at medlemsstaterne skal sikre sig, at tilsynsorganer kan indgå samarbejdsaftaler vedrørende samarbejde og udveksling af fortrolige oplysninger med deres modparter i tredjelande. Sådanne samarbejdsaftaler skal overholde gældende databeskyttelsesregler og være gensidige samt underlagt en garanti om krav om tavshedspligt, der mindst svarer til den, der er omhandlet i artikel 67, stk. 1. Udvekslingen af fortrolige oplysninger inden for rammerne af disse samarbejdsaftaler må kun anvendes med henblik på de pågældende myndigheders udførelse af deres tilsynsopgaver. Stammer de udvekslede oplysninger fra en anden medlemsstat, må de kun videregives med udtrykkeligt samtykke fra det tilsynsorgan, som har videregivet dem, og i givet fald udelukkende til det formål, som dette tilsynsorgan har givet sit samtykke til.</w:t>
      </w:r>
    </w:p>
    <w:p w14:paraId="7E8844B3" w14:textId="77777777" w:rsidR="007F5936" w:rsidRPr="00796736" w:rsidRDefault="007F5936" w:rsidP="00A802A5">
      <w:pPr>
        <w:spacing w:line="360" w:lineRule="auto"/>
        <w:rPr>
          <w:rFonts w:ascii="Times New Roman" w:hAnsi="Times New Roman" w:cs="Times New Roman"/>
          <w:sz w:val="24"/>
          <w:szCs w:val="24"/>
        </w:rPr>
      </w:pPr>
    </w:p>
    <w:p w14:paraId="4CC07DF0" w14:textId="77777777" w:rsidR="007F5936" w:rsidRPr="00796736" w:rsidRDefault="007F593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6. hvidvaskdirektivs artikel 53, stk. 1, at medlemsstaterne skal sikre, at forpligtede enheder kan drages til ansvar for overtrædelser af forordning (EU) 2024/1624 og (EU) 2023/1113 i overensstemmelse med direktivets afdeling 4. stk. 7 uddyber dette, ved at medlemsstaterne skal sikre, at juridiske personer kan drages til ansvar for overtrædelser af de nævnte forordninger, som begås på deres vegne eller til deres fordel af en person, der handler enten individuelt eller som en del af et organ under den pågældende juridiske person, og som har en ledende stilling inden for den juridiske person, baseret på beføjelse til at repræsentere den juridiske person, bemyndigelse til at træffe beslutninger på den juridiske persons vegne og/eller bemyndigelse til at udøve kontrol internt inden for den juridiske person.</w:t>
      </w:r>
    </w:p>
    <w:p w14:paraId="0FAC4438" w14:textId="77777777" w:rsidR="007F5936" w:rsidRPr="00796736" w:rsidRDefault="007F5936" w:rsidP="00A802A5">
      <w:pPr>
        <w:spacing w:line="360" w:lineRule="auto"/>
        <w:rPr>
          <w:rFonts w:ascii="Times New Roman" w:hAnsi="Times New Roman" w:cs="Times New Roman"/>
          <w:sz w:val="24"/>
          <w:szCs w:val="24"/>
        </w:rPr>
      </w:pPr>
    </w:p>
    <w:p w14:paraId="17169B63" w14:textId="571E9BA9" w:rsidR="00CB62C4" w:rsidRPr="00796736" w:rsidRDefault="007F593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6. hvidvaskdirektivs artikel 56, stk. 3, at medlemsstaterne sikrer, at tilsynsorganerne ved hjælp af de administrative foranstaltninger efter artikel 56, stk. 2, blandt andet efter bestemmelsens stk. 3, litra a, kan kræve fremlæggelse uden unødigt ophold af data eller oplysninger, der er nødvendige for udførelsen af deres opgaver i henhold til 6. hvidvaskdirektivs kapitel IV. Dette indebærer også at kunne kræve indgivelse af dokumenter eller pålægge hyppigere indberetningskrav. </w:t>
      </w:r>
    </w:p>
    <w:p w14:paraId="16B16526" w14:textId="77777777" w:rsidR="00CD4F7B" w:rsidRPr="00796736" w:rsidRDefault="00CD4F7B" w:rsidP="00A802A5">
      <w:pPr>
        <w:spacing w:line="360" w:lineRule="auto"/>
        <w:rPr>
          <w:rFonts w:ascii="Times New Roman" w:hAnsi="Times New Roman" w:cs="Times New Roman"/>
          <w:sz w:val="24"/>
          <w:szCs w:val="24"/>
        </w:rPr>
      </w:pPr>
      <w:bookmarkStart w:id="1351" w:name="_Toc232109239"/>
    </w:p>
    <w:p w14:paraId="4F9188DA" w14:textId="6FC4A934" w:rsidR="00552725" w:rsidRPr="00796736" w:rsidRDefault="00552725"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Erhvervsministeriets overvejelser og den foreslåede ordning</w:t>
      </w:r>
      <w:bookmarkEnd w:id="1351"/>
      <w:r w:rsidRPr="00796736">
        <w:rPr>
          <w:rFonts w:ascii="Times New Roman" w:hAnsi="Times New Roman" w:cs="Times New Roman"/>
          <w:sz w:val="24"/>
          <w:szCs w:val="24"/>
        </w:rPr>
        <w:t xml:space="preserve"> </w:t>
      </w:r>
    </w:p>
    <w:p w14:paraId="4BE965B7" w14:textId="77777777" w:rsidR="0035288C" w:rsidRPr="00796736" w:rsidRDefault="0035288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Erhvervsministeriet har som følge af vedtagelsen af hvidvaskforordningen vurderet det nødvendigt at foretage en række justeringer til Erhvervsstyrelsens tilsynsansvar og den gældende hvidvasklovs bestemmelser herom.</w:t>
      </w:r>
    </w:p>
    <w:p w14:paraId="53EFF49F" w14:textId="77777777" w:rsidR="0035288C" w:rsidRPr="00796736" w:rsidRDefault="0035288C" w:rsidP="00A802A5">
      <w:pPr>
        <w:spacing w:line="360" w:lineRule="auto"/>
        <w:rPr>
          <w:rFonts w:ascii="Times New Roman" w:eastAsia="Times New Roman" w:hAnsi="Times New Roman" w:cs="Times New Roman"/>
          <w:sz w:val="24"/>
          <w:szCs w:val="24"/>
        </w:rPr>
      </w:pPr>
    </w:p>
    <w:p w14:paraId="37885B1E" w14:textId="77777777" w:rsidR="0035288C" w:rsidRPr="00796736" w:rsidRDefault="0035288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videreført, at Erhvervsstyrelsen skal føre tilsyn med de typer af ikke-finansielle virksomheder og personer, som efter den gældende hvidvasklov allerede er underlagt styrelsens tilsyn. Dette omfatter blandt andet revisorer, bogholdere, skatterådgivere, tjensteudbydere til virksomheder, ejendomsmæglere og kunsthandlere.</w:t>
      </w:r>
    </w:p>
    <w:p w14:paraId="051C6232" w14:textId="77777777" w:rsidR="0035288C" w:rsidRPr="00796736" w:rsidRDefault="0035288C" w:rsidP="00A802A5">
      <w:pPr>
        <w:spacing w:line="360" w:lineRule="auto"/>
        <w:rPr>
          <w:rFonts w:ascii="Times New Roman" w:eastAsia="Times New Roman" w:hAnsi="Times New Roman" w:cs="Times New Roman"/>
          <w:sz w:val="24"/>
          <w:szCs w:val="24"/>
        </w:rPr>
      </w:pPr>
    </w:p>
    <w:p w14:paraId="2CEFD8E7" w14:textId="30117B05" w:rsidR="0035288C" w:rsidRPr="00796736" w:rsidRDefault="003528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vedtagelsen af hvidvaskforordningen udvides reglernes anvendelsesområde som beskrevet under pkt.</w:t>
      </w:r>
      <w:r w:rsidR="00914B55" w:rsidRPr="00796736">
        <w:rPr>
          <w:rFonts w:ascii="Times New Roman" w:hAnsi="Times New Roman" w:cs="Times New Roman"/>
          <w:sz w:val="24"/>
          <w:szCs w:val="24"/>
        </w:rPr>
        <w:t xml:space="preserve"> </w:t>
      </w:r>
      <w:r w:rsidR="00914B55" w:rsidRPr="00796736">
        <w:rPr>
          <w:rFonts w:ascii="Times New Roman" w:hAnsi="Times New Roman" w:cs="Times New Roman"/>
          <w:sz w:val="24"/>
          <w:szCs w:val="24"/>
          <w:highlight w:val="yellow"/>
        </w:rPr>
        <w:fldChar w:fldCharType="begin"/>
      </w:r>
      <w:r w:rsidR="00914B55" w:rsidRPr="00796736">
        <w:rPr>
          <w:rFonts w:ascii="Times New Roman" w:hAnsi="Times New Roman" w:cs="Times New Roman"/>
          <w:sz w:val="24"/>
          <w:szCs w:val="24"/>
        </w:rPr>
        <w:instrText xml:space="preserve"> REF _Ref233019657 \r \h </w:instrText>
      </w:r>
      <w:r w:rsidR="00967618" w:rsidRPr="00796736">
        <w:rPr>
          <w:rFonts w:ascii="Times New Roman" w:hAnsi="Times New Roman" w:cs="Times New Roman"/>
          <w:sz w:val="24"/>
          <w:szCs w:val="24"/>
          <w:highlight w:val="yellow"/>
        </w:rPr>
        <w:instrText xml:space="preserve"> \* MERGEFORMAT </w:instrText>
      </w:r>
      <w:r w:rsidR="00914B55" w:rsidRPr="00796736">
        <w:rPr>
          <w:rFonts w:ascii="Times New Roman" w:hAnsi="Times New Roman" w:cs="Times New Roman"/>
          <w:sz w:val="24"/>
          <w:szCs w:val="24"/>
          <w:highlight w:val="yellow"/>
        </w:rPr>
      </w:r>
      <w:r w:rsidR="00914B55" w:rsidRPr="00796736">
        <w:rPr>
          <w:rFonts w:ascii="Times New Roman" w:hAnsi="Times New Roman" w:cs="Times New Roman"/>
          <w:sz w:val="24"/>
          <w:szCs w:val="24"/>
          <w:highlight w:val="yellow"/>
        </w:rPr>
        <w:fldChar w:fldCharType="separate"/>
      </w:r>
      <w:r w:rsidR="008F29E5">
        <w:rPr>
          <w:rFonts w:ascii="Times New Roman" w:hAnsi="Times New Roman" w:cs="Times New Roman"/>
          <w:sz w:val="24"/>
          <w:szCs w:val="24"/>
        </w:rPr>
        <w:t>3.1.2</w:t>
      </w:r>
      <w:r w:rsidR="00914B55" w:rsidRPr="00796736">
        <w:rPr>
          <w:rFonts w:ascii="Times New Roman" w:hAnsi="Times New Roman" w:cs="Times New Roman"/>
          <w:sz w:val="24"/>
          <w:szCs w:val="24"/>
          <w:highlight w:val="yellow"/>
        </w:rPr>
        <w:fldChar w:fldCharType="end"/>
      </w:r>
      <w:r w:rsidRPr="00796736">
        <w:rPr>
          <w:rFonts w:ascii="Times New Roman" w:hAnsi="Times New Roman" w:cs="Times New Roman"/>
          <w:sz w:val="24"/>
          <w:szCs w:val="24"/>
        </w:rPr>
        <w:t>. med en række nye ikke-finansielle virksomheder, der fremover bliver forpligtede enheder i medfør af forordningen. Det foreslås, at en række af disse nye forpligtede enheder skal høre under Erhvervsstyrelsens tilsynsområde. Dette vedrører blandt andet handel med ædelmetaller og ædelsten samt handel med højværdivarer, herunder smykker, guld- og sølvsmedevarer, ure, motorkøretøjer, luftfartøjer og vandfartøjer med en værdi over de i forordningen angivne tærskelværdier. Udvidelsen af Erhvervsstyrelsens tilsynspopulation vil også omfatte ethvert ikke-finansielt holdingselskab, der ejer mindst ét datterselskab, der udgør en forpligtet enhed under styrelsens tilsyn.</w:t>
      </w:r>
    </w:p>
    <w:p w14:paraId="0860ED5D" w14:textId="77777777" w:rsidR="0035288C" w:rsidRPr="00796736" w:rsidRDefault="0035288C" w:rsidP="00A802A5">
      <w:pPr>
        <w:spacing w:line="360" w:lineRule="auto"/>
        <w:rPr>
          <w:rFonts w:ascii="Times New Roman" w:eastAsia="Times New Roman" w:hAnsi="Times New Roman" w:cs="Times New Roman"/>
          <w:sz w:val="24"/>
          <w:szCs w:val="24"/>
        </w:rPr>
      </w:pPr>
    </w:p>
    <w:p w14:paraId="097EBB4A" w14:textId="5C837BA7" w:rsidR="0035288C" w:rsidRPr="00796736" w:rsidRDefault="0035288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Med vedtagelsen af hvidvaskforordningen reguleres størstedelen af kravene til de forpligtede fremover direkte af forordningen som beskrevet under pkt.</w:t>
      </w:r>
      <w:r w:rsidR="00914B55" w:rsidRPr="00796736">
        <w:rPr>
          <w:rFonts w:ascii="Times New Roman" w:eastAsia="Times New Roman" w:hAnsi="Times New Roman" w:cs="Times New Roman"/>
          <w:sz w:val="24"/>
          <w:szCs w:val="24"/>
        </w:rPr>
        <w:t xml:space="preserve"> </w:t>
      </w:r>
      <w:r w:rsidR="00914B55" w:rsidRPr="00796736">
        <w:rPr>
          <w:rFonts w:ascii="Times New Roman" w:eastAsia="Times New Roman" w:hAnsi="Times New Roman" w:cs="Times New Roman"/>
          <w:sz w:val="24"/>
          <w:szCs w:val="24"/>
        </w:rPr>
        <w:fldChar w:fldCharType="begin"/>
      </w:r>
      <w:r w:rsidR="00914B55" w:rsidRPr="00796736">
        <w:rPr>
          <w:rFonts w:ascii="Times New Roman" w:eastAsia="Times New Roman" w:hAnsi="Times New Roman" w:cs="Times New Roman"/>
          <w:sz w:val="24"/>
          <w:szCs w:val="24"/>
        </w:rPr>
        <w:instrText xml:space="preserve"> REF _Ref233019672 \r \h  \* MERGEFORMAT </w:instrText>
      </w:r>
      <w:r w:rsidR="00914B55" w:rsidRPr="00796736">
        <w:rPr>
          <w:rFonts w:ascii="Times New Roman" w:eastAsia="Times New Roman" w:hAnsi="Times New Roman" w:cs="Times New Roman"/>
          <w:sz w:val="24"/>
          <w:szCs w:val="24"/>
        </w:rPr>
      </w:r>
      <w:r w:rsidR="00914B55"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3.1.2</w:t>
      </w:r>
      <w:r w:rsidR="00914B55"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Som følge heraf vil Erhvervsstyrelsen fremover også skulle føre tilsyn med de omfattede forpligtede enheders efterlevelse af reglerne i hvidvaskforordningen, hvorfor hvidvaskforordningen foreslås tilføjet til Erhvervsstyrelsens tilsynskompetence.</w:t>
      </w:r>
    </w:p>
    <w:p w14:paraId="5DE3C9B1" w14:textId="77777777" w:rsidR="0035288C" w:rsidRPr="00796736" w:rsidRDefault="0035288C" w:rsidP="00A802A5">
      <w:pPr>
        <w:spacing w:line="360" w:lineRule="auto"/>
        <w:rPr>
          <w:rFonts w:ascii="Times New Roman" w:eastAsia="Times New Roman" w:hAnsi="Times New Roman" w:cs="Times New Roman"/>
          <w:sz w:val="24"/>
          <w:szCs w:val="24"/>
        </w:rPr>
      </w:pPr>
    </w:p>
    <w:p w14:paraId="06BD73E8" w14:textId="77777777" w:rsidR="0035288C" w:rsidRPr="00796736" w:rsidRDefault="0035288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I overensstemmelse med 6. hvidvaskdirektivs artikel 40 vil Erhvervsstyrelsens tilsyn fortsat skulle tilrettelægges på grundlag af en risikobaseret tilgang, hvilket blandt andet indebærer, at Erhvervsstyrelsen fortsat vil skulle tage hensyn til det skøn, som den enkelte virksomhed eller person er overladt efter hvidvaskforordningen eller loven, samt tilrettelægge sine tilsynsaktiviteter på grundlag af de forpligtede enheders risikoprofil. </w:t>
      </w:r>
    </w:p>
    <w:p w14:paraId="2D142E46" w14:textId="77777777" w:rsidR="0035288C" w:rsidRPr="00796736" w:rsidRDefault="0035288C" w:rsidP="00A802A5">
      <w:pPr>
        <w:spacing w:line="360" w:lineRule="auto"/>
        <w:rPr>
          <w:rFonts w:ascii="Times New Roman" w:eastAsia="Times New Roman" w:hAnsi="Times New Roman" w:cs="Times New Roman"/>
          <w:sz w:val="24"/>
          <w:szCs w:val="24"/>
        </w:rPr>
      </w:pPr>
    </w:p>
    <w:p w14:paraId="7A400699" w14:textId="136C2609" w:rsidR="0035288C" w:rsidRPr="00796736" w:rsidRDefault="0035288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Som beskrevet under pkt. </w:t>
      </w:r>
      <w:r w:rsidR="005A114A" w:rsidRPr="00796736">
        <w:rPr>
          <w:rFonts w:ascii="Times New Roman" w:eastAsia="Times New Roman" w:hAnsi="Times New Roman" w:cs="Times New Roman"/>
          <w:sz w:val="24"/>
          <w:szCs w:val="24"/>
        </w:rPr>
        <w:fldChar w:fldCharType="begin"/>
      </w:r>
      <w:r w:rsidR="005A114A" w:rsidRPr="00796736">
        <w:rPr>
          <w:rFonts w:ascii="Times New Roman" w:eastAsia="Times New Roman" w:hAnsi="Times New Roman" w:cs="Times New Roman"/>
          <w:sz w:val="24"/>
          <w:szCs w:val="24"/>
        </w:rPr>
        <w:instrText xml:space="preserve"> REF _Ref232940171 \n \h  \* MERGEFORMAT </w:instrText>
      </w:r>
      <w:r w:rsidR="005A114A" w:rsidRPr="00796736">
        <w:rPr>
          <w:rFonts w:ascii="Times New Roman" w:eastAsia="Times New Roman" w:hAnsi="Times New Roman" w:cs="Times New Roman"/>
          <w:sz w:val="24"/>
          <w:szCs w:val="24"/>
        </w:rPr>
      </w:r>
      <w:r w:rsidR="005A114A"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0</w:t>
      </w:r>
      <w:r w:rsidR="005A114A"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skal AMLA i medfør af 6. hvidvaskdirektivs artikel 40, stk. 2, senest den 10. juli 2026 udarbejde et udkast til reguleringsmæssige tekniske standarder til fastsættelse af benchmark og metode til vurdering og klassificering af denne risikoprofil. Erhvervsstyrelsen vil efter Kommissionens vedtagelse heraf foretage en vurdering af, hvorvidt dette medfører et behov for tilpasning af den foreslåede ordning og bemærkninger for så vidt angår Erhvervsstyrelsens risikobaserede tilsyn. </w:t>
      </w:r>
    </w:p>
    <w:p w14:paraId="054A0D41" w14:textId="77777777" w:rsidR="0035288C" w:rsidRPr="00796736" w:rsidRDefault="0035288C" w:rsidP="00A802A5">
      <w:pPr>
        <w:spacing w:line="360" w:lineRule="auto"/>
        <w:rPr>
          <w:rFonts w:ascii="Times New Roman" w:eastAsia="Times New Roman" w:hAnsi="Times New Roman" w:cs="Times New Roman"/>
          <w:sz w:val="24"/>
          <w:szCs w:val="24"/>
        </w:rPr>
      </w:pPr>
    </w:p>
    <w:p w14:paraId="04EB18DC" w14:textId="79E941B0" w:rsidR="0035288C" w:rsidRPr="00796736" w:rsidRDefault="0035288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Erhvervsstyrelsen vil som tilsynsmyndighed for de relevante ikke-finansielle virksomheder i vid udstrækning skulle varetage de samme tilsynsopgaver, som efter den gældende hvidvasklov i medfør af 4. og 5. hvidvaskdirektiv. I medfør af implementeringen af 6. hvidvaskdirektiv vil Erhvervsstyrelsen skulle varetage en række nye opgaver, herunder at udarbejde årlige tilsynsprogrammer, iagttage diverse krav om rapportering til AMLA og styrke samarbejdet med tilsynsmyndighederne i andre EU- og EØS-lande. Det 6. hvidvaskdirektiv pålægger ligeledes Erhvervsstyrelsen en række nye tilsynsbeføjelser, som nærmere behandlet under punkt </w:t>
      </w:r>
      <w:r w:rsidR="005A114A" w:rsidRPr="00796736">
        <w:rPr>
          <w:rFonts w:ascii="Times New Roman" w:eastAsia="Times New Roman" w:hAnsi="Times New Roman" w:cs="Times New Roman"/>
          <w:sz w:val="24"/>
          <w:szCs w:val="24"/>
        </w:rPr>
        <w:fldChar w:fldCharType="begin"/>
      </w:r>
      <w:r w:rsidR="005A114A" w:rsidRPr="00796736">
        <w:rPr>
          <w:rFonts w:ascii="Times New Roman" w:eastAsia="Times New Roman" w:hAnsi="Times New Roman" w:cs="Times New Roman"/>
          <w:sz w:val="24"/>
          <w:szCs w:val="24"/>
        </w:rPr>
        <w:instrText xml:space="preserve"> REF _Ref232940171 \n \h  \* MERGEFORMAT </w:instrText>
      </w:r>
      <w:r w:rsidR="005A114A" w:rsidRPr="00796736">
        <w:rPr>
          <w:rFonts w:ascii="Times New Roman" w:eastAsia="Times New Roman" w:hAnsi="Times New Roman" w:cs="Times New Roman"/>
          <w:sz w:val="24"/>
          <w:szCs w:val="24"/>
        </w:rPr>
      </w:r>
      <w:r w:rsidR="005A114A"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0</w:t>
      </w:r>
      <w:r w:rsidR="005A114A" w:rsidRPr="00796736">
        <w:rPr>
          <w:rFonts w:ascii="Times New Roman" w:eastAsia="Times New Roman" w:hAnsi="Times New Roman" w:cs="Times New Roman"/>
          <w:sz w:val="24"/>
          <w:szCs w:val="24"/>
        </w:rPr>
        <w:fldChar w:fldCharType="end"/>
      </w:r>
      <w:r w:rsidR="000E16CB" w:rsidRPr="00796736">
        <w:rPr>
          <w:rFonts w:ascii="Times New Roman" w:eastAsia="Times New Roman" w:hAnsi="Times New Roman" w:cs="Times New Roman"/>
          <w:sz w:val="24"/>
          <w:szCs w:val="24"/>
        </w:rPr>
        <w:t>.</w:t>
      </w:r>
    </w:p>
    <w:p w14:paraId="4A2563C6" w14:textId="77777777" w:rsidR="0035288C" w:rsidRPr="00796736" w:rsidRDefault="0035288C" w:rsidP="00A802A5">
      <w:pPr>
        <w:spacing w:after="240" w:line="360" w:lineRule="auto"/>
        <w:contextualSpacing/>
        <w:rPr>
          <w:rFonts w:ascii="Times New Roman" w:hAnsi="Times New Roman" w:cs="Times New Roman"/>
          <w:sz w:val="24"/>
          <w:szCs w:val="24"/>
        </w:rPr>
      </w:pPr>
    </w:p>
    <w:p w14:paraId="17717115" w14:textId="77777777" w:rsidR="0035288C" w:rsidRPr="00796736" w:rsidRDefault="0035288C"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Af hensyn til at sikre, at Erhvervsstyrelsen kan føre et effektivt og fyldestgørende tilsyn med de omfattede personer og virksomheders efterlevelse af hvidvaskforordningen og hvidvaskloven, er det nødvendigt, at Erhvervsstyrelsen fortsat kan kræve at få udleveret de nødvendige oplysninger og dokumentation fra de forpligtede enheder. </w:t>
      </w:r>
    </w:p>
    <w:p w14:paraId="760BF769" w14:textId="77777777" w:rsidR="0035288C" w:rsidRPr="00796736" w:rsidRDefault="0035288C" w:rsidP="00A802A5">
      <w:pPr>
        <w:spacing w:after="240" w:line="360" w:lineRule="auto"/>
        <w:contextualSpacing/>
        <w:rPr>
          <w:rFonts w:ascii="Times New Roman" w:hAnsi="Times New Roman" w:cs="Times New Roman"/>
          <w:sz w:val="24"/>
          <w:szCs w:val="24"/>
        </w:rPr>
      </w:pPr>
    </w:p>
    <w:p w14:paraId="1805BA22" w14:textId="77777777" w:rsidR="003D2A25" w:rsidRPr="00D253F0" w:rsidRDefault="003D2A25" w:rsidP="00A802A5">
      <w:pPr>
        <w:spacing w:after="240" w:line="360" w:lineRule="auto"/>
        <w:contextualSpacing/>
        <w:rPr>
          <w:rFonts w:ascii="Times New Roman" w:hAnsi="Times New Roman" w:cs="Times New Roman"/>
          <w:sz w:val="24"/>
          <w:szCs w:val="24"/>
        </w:rPr>
      </w:pPr>
      <w:r w:rsidRPr="00D253F0">
        <w:rPr>
          <w:rFonts w:ascii="Times New Roman" w:hAnsi="Times New Roman" w:cs="Times New Roman"/>
          <w:sz w:val="24"/>
          <w:szCs w:val="24"/>
        </w:rPr>
        <w:t xml:space="preserve">Det foreslås, at Erhvervsstyrelsens mulighed for at foretage et tilsynsbesøg uden forudgående retskendelse eller varsling, hvis formålet tilsiger det, videreføres. Muligheden for tilsynsbesøg uden forudgående retskendelse eller varsling i forhold til forpligtede enheder, der er underlagt Erhvervsstyrelsens tilsyn, går videre end 6. hvidvaskdirektivs artikel 37, stk. 7, der kun hjemler denne adgang for finansielle tilsynsorganer og tilsynsorganer med ansvar for udbydere af spiltjenester. </w:t>
      </w:r>
      <w:r w:rsidRPr="00CC70B1">
        <w:rPr>
          <w:rFonts w:ascii="Times New Roman" w:hAnsi="Times New Roman" w:cs="Times New Roman"/>
          <w:sz w:val="24"/>
          <w:szCs w:val="24"/>
        </w:rPr>
        <w:t>Hensynet til at sikre et effektivt hvidvasktilsyn og forebygge økonomisk kriminalitet er imidlertid så tungtvejende, at det er fundet hensigtsmæssigt at videreføre denne mulighed. Erhvervsstyrelsens adgang til at gå på uvarslet tilsyn gik også videre end kravene i tidligere direktiver. Adgangen er historisk set kun blevet brugt meget sjældent</w:t>
      </w:r>
      <w:r>
        <w:rPr>
          <w:rFonts w:ascii="Times New Roman" w:hAnsi="Times New Roman" w:cs="Times New Roman"/>
          <w:sz w:val="24"/>
          <w:szCs w:val="24"/>
        </w:rPr>
        <w:t xml:space="preserve">. </w:t>
      </w:r>
      <w:r w:rsidRPr="00D253F0">
        <w:rPr>
          <w:rFonts w:ascii="Times New Roman" w:hAnsi="Times New Roman" w:cs="Times New Roman"/>
          <w:sz w:val="24"/>
          <w:szCs w:val="24"/>
        </w:rPr>
        <w:t>Det vil fortsat være udgangspunktet, at et tilsynsbesøg skal varsles på forhånd, i det omfang det er muligt. Erhvervsstyrelsens anvendelse af adgangen til uvarslet tilsyn forudsætter, at formålet med tilsynsbesøget ellers ville gå tabt. Det kan f.eks. være ved risiko for, at ny dokumentation kunne fabrikeres eller belastende dokumentation kunne bortskaffes inden Erhvervsstyrelsens tilsynsbesøg.</w:t>
      </w:r>
    </w:p>
    <w:p w14:paraId="04BCB3E5" w14:textId="77777777" w:rsidR="0035288C" w:rsidRPr="00796736" w:rsidRDefault="0035288C" w:rsidP="00A802A5">
      <w:pPr>
        <w:spacing w:after="240" w:line="360" w:lineRule="auto"/>
        <w:contextualSpacing/>
        <w:rPr>
          <w:rFonts w:ascii="Times New Roman" w:hAnsi="Times New Roman" w:cs="Times New Roman"/>
          <w:sz w:val="24"/>
          <w:szCs w:val="24"/>
        </w:rPr>
      </w:pPr>
    </w:p>
    <w:p w14:paraId="564E10D6" w14:textId="3E538DB8" w:rsidR="0035288C" w:rsidRPr="00796736" w:rsidRDefault="0035288C"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Der henvises til lovforslagets </w:t>
      </w:r>
      <w:r w:rsidR="00BE5101" w:rsidRPr="00796736">
        <w:rPr>
          <w:rFonts w:ascii="Times New Roman" w:hAnsi="Times New Roman" w:cs="Times New Roman"/>
          <w:sz w:val="24"/>
          <w:szCs w:val="24"/>
        </w:rPr>
        <w:fldChar w:fldCharType="begin"/>
      </w:r>
      <w:r w:rsidR="00BE5101" w:rsidRPr="00796736">
        <w:rPr>
          <w:rFonts w:ascii="Times New Roman" w:hAnsi="Times New Roman" w:cs="Times New Roman"/>
          <w:sz w:val="24"/>
          <w:szCs w:val="24"/>
        </w:rPr>
        <w:instrText xml:space="preserve"> REF _Hlk215566342 \r \h </w:instrText>
      </w:r>
      <w:r w:rsidR="00F375BF" w:rsidRPr="00796736">
        <w:rPr>
          <w:rFonts w:ascii="Times New Roman" w:hAnsi="Times New Roman" w:cs="Times New Roman"/>
          <w:sz w:val="24"/>
          <w:szCs w:val="24"/>
        </w:rPr>
        <w:instrText xml:space="preserve"> \* MERGEFORMAT </w:instrText>
      </w:r>
      <w:r w:rsidR="00BE5101" w:rsidRPr="00796736">
        <w:rPr>
          <w:rFonts w:ascii="Times New Roman" w:hAnsi="Times New Roman" w:cs="Times New Roman"/>
          <w:sz w:val="24"/>
          <w:szCs w:val="24"/>
        </w:rPr>
      </w:r>
      <w:r w:rsidR="00BE51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81</w:t>
      </w:r>
      <w:r w:rsidR="00BE5101"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w:t>
      </w:r>
      <w:r w:rsidR="00BE5101" w:rsidRPr="00796736">
        <w:rPr>
          <w:rFonts w:ascii="Times New Roman" w:hAnsi="Times New Roman" w:cs="Times New Roman"/>
          <w:sz w:val="24"/>
          <w:szCs w:val="24"/>
        </w:rPr>
        <w:t xml:space="preserve"> </w:t>
      </w:r>
      <w:r w:rsidRPr="00796736">
        <w:rPr>
          <w:rFonts w:ascii="Times New Roman" w:hAnsi="Times New Roman" w:cs="Times New Roman"/>
          <w:sz w:val="24"/>
          <w:szCs w:val="24"/>
        </w:rPr>
        <w:t>samt bemærkningerne dertil.</w:t>
      </w:r>
    </w:p>
    <w:p w14:paraId="0BE8C7DF" w14:textId="77777777" w:rsidR="0035288C" w:rsidRPr="00796736" w:rsidRDefault="0035288C" w:rsidP="00A802A5">
      <w:pPr>
        <w:spacing w:after="240" w:line="360" w:lineRule="auto"/>
        <w:contextualSpacing/>
        <w:rPr>
          <w:rFonts w:ascii="Times New Roman" w:hAnsi="Times New Roman" w:cs="Times New Roman"/>
          <w:sz w:val="24"/>
          <w:szCs w:val="24"/>
        </w:rPr>
      </w:pPr>
    </w:p>
    <w:p w14:paraId="7C487F97" w14:textId="77777777" w:rsidR="0035288C" w:rsidRPr="00796736" w:rsidRDefault="0035288C"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I overensstemmelse med 6. hvidvaskdirektivs artikel 6, stk. 2 foreslås det videreført, at et ledelsesmedlem og reel ejer ikke må være dømt for de relevante overtrædelser. Af hensyn til at styrke efterlevelsen og virkningen af forbuddet har Erhvervsministeriet fundet det nødvendigt at bestemmelsen udbygges, hvorefter den pågældende virksomhed, herunder den øvrige ledelse og ejerkreds pålægges at bidrage til at forhindre, at en person dømt for de relevante overtrædelser indgår i ledelsen eller ejerkredsen. </w:t>
      </w:r>
    </w:p>
    <w:p w14:paraId="70FB3EBA" w14:textId="77777777" w:rsidR="0035288C" w:rsidRPr="00796736" w:rsidRDefault="0035288C" w:rsidP="00A802A5">
      <w:pPr>
        <w:spacing w:after="240" w:line="360" w:lineRule="auto"/>
        <w:contextualSpacing/>
        <w:rPr>
          <w:rFonts w:ascii="Times New Roman" w:hAnsi="Times New Roman" w:cs="Times New Roman"/>
          <w:sz w:val="24"/>
          <w:szCs w:val="24"/>
        </w:rPr>
      </w:pPr>
    </w:p>
    <w:p w14:paraId="181A0D10" w14:textId="77777777" w:rsidR="003D2A25" w:rsidRPr="00D253F0" w:rsidRDefault="003D2A25" w:rsidP="00A802A5">
      <w:pPr>
        <w:spacing w:after="240" w:line="360" w:lineRule="auto"/>
        <w:contextualSpacing/>
        <w:rPr>
          <w:rFonts w:ascii="Times New Roman" w:hAnsi="Times New Roman" w:cs="Times New Roman"/>
          <w:sz w:val="24"/>
          <w:szCs w:val="24"/>
        </w:rPr>
      </w:pPr>
      <w:r w:rsidRPr="00D253F0">
        <w:rPr>
          <w:rFonts w:ascii="Times New Roman" w:hAnsi="Times New Roman" w:cs="Times New Roman"/>
          <w:sz w:val="24"/>
          <w:szCs w:val="24"/>
        </w:rPr>
        <w:t>Det foreslås, at virksomheden pålægges en oplysningspligt om forhold af relevans for Erhvervsstyrelsens vurdering af efterlevelsen af forbuddet, således at Erhvervsstyrelsen kan iværksætte de nødvendige tiltag til at forhindre, at den pågældende virksomhed bliver misbrugt til hvidvask mv.</w:t>
      </w:r>
    </w:p>
    <w:p w14:paraId="7AF6D367" w14:textId="77777777" w:rsidR="0035288C" w:rsidRPr="00796736" w:rsidRDefault="0035288C" w:rsidP="00A802A5">
      <w:pPr>
        <w:spacing w:after="240" w:line="360" w:lineRule="auto"/>
        <w:contextualSpacing/>
        <w:rPr>
          <w:rFonts w:ascii="Times New Roman" w:hAnsi="Times New Roman" w:cs="Times New Roman"/>
          <w:sz w:val="24"/>
          <w:szCs w:val="24"/>
        </w:rPr>
      </w:pPr>
    </w:p>
    <w:p w14:paraId="6A190A54" w14:textId="4B519395" w:rsidR="0035288C" w:rsidRPr="00796736" w:rsidRDefault="0035288C"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Styrkelsen af håndhævelsen af forbuddet skal ses i sammenhæng med 6. hvidvaskdirektivs indførelse af et krav om, at Erhvervsstyrelsen som tilsynsmyndighed efter direktivets artikel 6, stk. 5, skal kunne adskille dømte reelle ejere fra den pågældende forpligtede enhed, som nærmere behandlet under pkt.</w:t>
      </w:r>
      <w:r w:rsidR="003D2A25">
        <w:rPr>
          <w:rFonts w:ascii="Times New Roman" w:hAnsi="Times New Roman" w:cs="Times New Roman"/>
          <w:sz w:val="24"/>
          <w:szCs w:val="24"/>
        </w:rPr>
        <w:t xml:space="preserve"> </w:t>
      </w:r>
      <w:r w:rsidR="003D2A25">
        <w:rPr>
          <w:rFonts w:ascii="Times New Roman" w:hAnsi="Times New Roman" w:cs="Times New Roman"/>
          <w:sz w:val="24"/>
          <w:szCs w:val="24"/>
        </w:rPr>
        <w:fldChar w:fldCharType="begin"/>
      </w:r>
      <w:r w:rsidR="003D2A25">
        <w:rPr>
          <w:rFonts w:ascii="Times New Roman" w:hAnsi="Times New Roman" w:cs="Times New Roman"/>
          <w:sz w:val="24"/>
          <w:szCs w:val="24"/>
        </w:rPr>
        <w:instrText xml:space="preserve"> REF _Ref243919952 \n \h </w:instrText>
      </w:r>
      <w:r w:rsidR="00CB248D">
        <w:rPr>
          <w:rFonts w:ascii="Times New Roman" w:hAnsi="Times New Roman" w:cs="Times New Roman"/>
          <w:sz w:val="24"/>
          <w:szCs w:val="24"/>
        </w:rPr>
        <w:instrText xml:space="preserve"> \* MERGEFORMAT </w:instrText>
      </w:r>
      <w:r w:rsidR="003D2A25">
        <w:rPr>
          <w:rFonts w:ascii="Times New Roman" w:hAnsi="Times New Roman" w:cs="Times New Roman"/>
          <w:sz w:val="24"/>
          <w:szCs w:val="24"/>
        </w:rPr>
      </w:r>
      <w:r w:rsidR="003D2A25">
        <w:rPr>
          <w:rFonts w:ascii="Times New Roman" w:hAnsi="Times New Roman" w:cs="Times New Roman"/>
          <w:sz w:val="24"/>
          <w:szCs w:val="24"/>
        </w:rPr>
        <w:fldChar w:fldCharType="separate"/>
      </w:r>
      <w:r w:rsidR="008F29E5">
        <w:rPr>
          <w:rFonts w:ascii="Times New Roman" w:hAnsi="Times New Roman" w:cs="Times New Roman"/>
          <w:sz w:val="24"/>
          <w:szCs w:val="24"/>
        </w:rPr>
        <w:t>3.61</w:t>
      </w:r>
      <w:r w:rsidR="003D2A25">
        <w:rPr>
          <w:rFonts w:ascii="Times New Roman" w:hAnsi="Times New Roman" w:cs="Times New Roman"/>
          <w:sz w:val="24"/>
          <w:szCs w:val="24"/>
        </w:rPr>
        <w:fldChar w:fldCharType="end"/>
      </w:r>
      <w:r w:rsidR="0013727D" w:rsidRPr="00796736">
        <w:rPr>
          <w:rFonts w:ascii="Times New Roman" w:hAnsi="Times New Roman" w:cs="Times New Roman"/>
          <w:sz w:val="24"/>
          <w:szCs w:val="24"/>
        </w:rPr>
        <w:t>.</w:t>
      </w:r>
    </w:p>
    <w:p w14:paraId="5DAE38B7" w14:textId="77777777" w:rsidR="0035288C" w:rsidRPr="00796736" w:rsidRDefault="0035288C" w:rsidP="00A802A5">
      <w:pPr>
        <w:spacing w:after="240" w:line="360" w:lineRule="auto"/>
        <w:contextualSpacing/>
        <w:rPr>
          <w:rFonts w:ascii="Times New Roman" w:hAnsi="Times New Roman" w:cs="Times New Roman"/>
          <w:sz w:val="24"/>
          <w:szCs w:val="24"/>
          <w:highlight w:val="yellow"/>
        </w:rPr>
      </w:pPr>
    </w:p>
    <w:p w14:paraId="74D53173" w14:textId="4D79AE22" w:rsidR="003D2A25" w:rsidRPr="00D253F0" w:rsidRDefault="003D2A25" w:rsidP="00A802A5">
      <w:pPr>
        <w:spacing w:after="240" w:line="360" w:lineRule="auto"/>
        <w:contextualSpacing/>
        <w:rPr>
          <w:rFonts w:ascii="Times New Roman" w:hAnsi="Times New Roman" w:cs="Times New Roman"/>
          <w:sz w:val="24"/>
          <w:szCs w:val="24"/>
        </w:rPr>
      </w:pPr>
      <w:r w:rsidRPr="00D253F0">
        <w:rPr>
          <w:rFonts w:ascii="Times New Roman" w:hAnsi="Times New Roman" w:cs="Times New Roman"/>
          <w:sz w:val="24"/>
          <w:szCs w:val="24"/>
        </w:rPr>
        <w:t xml:space="preserve">Bestemmelsen om forbud mod at en dømt person indgår som ledelsesmedlem eller reel ejer af en forpligtet enhed, der ikke er registreret tjenesteudbyder, foreslås yderligere justeret, så forbuddet omfavner den resterende del af Erhvervsstyrelsens tilsynspopulation, herunder de ovenfor nævnte nye forpligtede enheder. Dermed </w:t>
      </w:r>
      <w:r>
        <w:rPr>
          <w:rFonts w:ascii="Times New Roman" w:hAnsi="Times New Roman" w:cs="Times New Roman"/>
          <w:sz w:val="24"/>
          <w:szCs w:val="24"/>
        </w:rPr>
        <w:t>tilføjes</w:t>
      </w:r>
      <w:r w:rsidRPr="00D253F0">
        <w:rPr>
          <w:rFonts w:ascii="Times New Roman" w:hAnsi="Times New Roman" w:cs="Times New Roman"/>
          <w:sz w:val="24"/>
          <w:szCs w:val="24"/>
        </w:rPr>
        <w:t xml:space="preserve"> det samtidigt, at forbuddet også gælder for </w:t>
      </w:r>
      <w:r>
        <w:rPr>
          <w:rFonts w:ascii="Times New Roman" w:hAnsi="Times New Roman" w:cs="Times New Roman"/>
          <w:sz w:val="24"/>
          <w:szCs w:val="24"/>
        </w:rPr>
        <w:t xml:space="preserve">ledelsesmedlemmer og reelle ejere af henholdsvis revisionsvirksomheder og ejendomsmæglervirksomheder, der ikke er godkendt efter revisorloven eller lov om formidling af fast ejendom mv. </w:t>
      </w:r>
      <w:r>
        <w:rPr>
          <w:rFonts w:ascii="Times New Roman" w:eastAsia="Calibri" w:hAnsi="Times New Roman" w:cs="Times New Roman"/>
          <w:sz w:val="24"/>
          <w:szCs w:val="24"/>
        </w:rPr>
        <w:t>Der er med ordningen ikke tiltænkt ændringer i de gældende regler om godkendelse og registrering i henholdsvis revisorloven og lov om formidling af fast ejendom m.v., herunder kriterier for godkendelse og mulighed for inddragelse heraf.</w:t>
      </w:r>
    </w:p>
    <w:p w14:paraId="6CC6ED57" w14:textId="77777777" w:rsidR="0035288C" w:rsidRPr="00796736" w:rsidRDefault="0035288C" w:rsidP="00A802A5">
      <w:pPr>
        <w:spacing w:after="240" w:line="360" w:lineRule="auto"/>
        <w:contextualSpacing/>
        <w:rPr>
          <w:rFonts w:ascii="Times New Roman" w:hAnsi="Times New Roman" w:cs="Times New Roman"/>
          <w:sz w:val="24"/>
          <w:szCs w:val="24"/>
          <w:highlight w:val="yellow"/>
        </w:rPr>
      </w:pPr>
    </w:p>
    <w:p w14:paraId="0F396099" w14:textId="38072D9B" w:rsidR="00BE5101" w:rsidRPr="00796736" w:rsidRDefault="0035288C"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Der henvises til lovforslagets</w:t>
      </w:r>
      <w:r w:rsidR="001F3BCD" w:rsidRPr="00796736">
        <w:rPr>
          <w:rFonts w:ascii="Times New Roman" w:hAnsi="Times New Roman" w:cs="Times New Roman"/>
          <w:sz w:val="24"/>
          <w:szCs w:val="24"/>
        </w:rPr>
        <w:t xml:space="preserve"> </w:t>
      </w:r>
      <w:r w:rsidR="001F3BCD" w:rsidRPr="00796736">
        <w:rPr>
          <w:rFonts w:ascii="Times New Roman" w:hAnsi="Times New Roman" w:cs="Times New Roman"/>
          <w:sz w:val="24"/>
          <w:szCs w:val="24"/>
        </w:rPr>
        <w:fldChar w:fldCharType="begin"/>
      </w:r>
      <w:r w:rsidR="001F3BCD" w:rsidRPr="00796736">
        <w:rPr>
          <w:rFonts w:ascii="Times New Roman" w:hAnsi="Times New Roman" w:cs="Times New Roman"/>
          <w:sz w:val="24"/>
          <w:szCs w:val="24"/>
        </w:rPr>
        <w:instrText xml:space="preserve"> REF _Ref232609060 \r \h </w:instrText>
      </w:r>
      <w:r w:rsidR="00F375BF" w:rsidRPr="00796736">
        <w:rPr>
          <w:rFonts w:ascii="Times New Roman" w:hAnsi="Times New Roman" w:cs="Times New Roman"/>
          <w:sz w:val="24"/>
          <w:szCs w:val="24"/>
        </w:rPr>
        <w:instrText xml:space="preserve"> \* MERGEFORMAT </w:instrText>
      </w:r>
      <w:r w:rsidR="001F3BCD" w:rsidRPr="00796736">
        <w:rPr>
          <w:rFonts w:ascii="Times New Roman" w:hAnsi="Times New Roman" w:cs="Times New Roman"/>
          <w:sz w:val="24"/>
          <w:szCs w:val="24"/>
        </w:rPr>
      </w:r>
      <w:r w:rsidR="001F3BC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001F3BCD" w:rsidRPr="00796736">
        <w:rPr>
          <w:rFonts w:ascii="Times New Roman" w:hAnsi="Times New Roman" w:cs="Times New Roman"/>
          <w:sz w:val="24"/>
          <w:szCs w:val="24"/>
        </w:rPr>
        <w:fldChar w:fldCharType="end"/>
      </w:r>
      <w:r w:rsidR="00BE5101" w:rsidRPr="00796736">
        <w:rPr>
          <w:rFonts w:ascii="Times New Roman" w:hAnsi="Times New Roman" w:cs="Times New Roman"/>
          <w:sz w:val="24"/>
          <w:szCs w:val="24"/>
        </w:rPr>
        <w:t xml:space="preserve">, </w:t>
      </w:r>
      <w:r w:rsidRPr="00796736">
        <w:rPr>
          <w:rFonts w:ascii="Times New Roman" w:hAnsi="Times New Roman" w:cs="Times New Roman"/>
          <w:sz w:val="24"/>
          <w:szCs w:val="24"/>
        </w:rPr>
        <w:t>samt bemærkningerne dertil.</w:t>
      </w:r>
    </w:p>
    <w:p w14:paraId="6A21F000" w14:textId="20F16A0A" w:rsidR="000443ED" w:rsidRPr="00796736" w:rsidRDefault="009A00A3" w:rsidP="00A802A5">
      <w:pPr>
        <w:pStyle w:val="Overskrift2"/>
        <w:rPr>
          <w:rFonts w:ascii="Times New Roman" w:hAnsi="Times New Roman"/>
          <w:sz w:val="24"/>
        </w:rPr>
      </w:pPr>
      <w:bookmarkStart w:id="1352" w:name="_Toc232109240"/>
      <w:bookmarkStart w:id="1353" w:name="_Toc244880779"/>
      <w:r w:rsidRPr="00796736">
        <w:rPr>
          <w:rFonts w:ascii="Times New Roman" w:hAnsi="Times New Roman"/>
          <w:sz w:val="24"/>
        </w:rPr>
        <w:t>Registrering hos Erhvervsstyrelsen</w:t>
      </w:r>
      <w:bookmarkEnd w:id="1352"/>
      <w:bookmarkEnd w:id="1353"/>
      <w:r w:rsidRPr="00796736">
        <w:rPr>
          <w:rFonts w:ascii="Times New Roman" w:hAnsi="Times New Roman"/>
          <w:sz w:val="24"/>
        </w:rPr>
        <w:t xml:space="preserve"> </w:t>
      </w:r>
      <w:r w:rsidR="000443ED" w:rsidRPr="00796736">
        <w:rPr>
          <w:rFonts w:ascii="Times New Roman" w:hAnsi="Times New Roman"/>
          <w:sz w:val="24"/>
        </w:rPr>
        <w:t xml:space="preserve"> </w:t>
      </w:r>
    </w:p>
    <w:p w14:paraId="330129FC" w14:textId="687DCB96" w:rsidR="000443ED" w:rsidRPr="00796736" w:rsidRDefault="000443ED" w:rsidP="00A802A5">
      <w:pPr>
        <w:pStyle w:val="Overskrift4"/>
        <w:rPr>
          <w:rFonts w:ascii="Times New Roman" w:hAnsi="Times New Roman" w:cs="Times New Roman"/>
          <w:sz w:val="24"/>
          <w:szCs w:val="24"/>
        </w:rPr>
      </w:pPr>
      <w:bookmarkStart w:id="1354" w:name="_Toc232109241"/>
      <w:r w:rsidRPr="00796736">
        <w:rPr>
          <w:rFonts w:ascii="Times New Roman" w:hAnsi="Times New Roman" w:cs="Times New Roman"/>
          <w:sz w:val="24"/>
          <w:szCs w:val="24"/>
        </w:rPr>
        <w:t>Gældende ret</w:t>
      </w:r>
      <w:bookmarkEnd w:id="1354"/>
    </w:p>
    <w:p w14:paraId="12557EBF" w14:textId="77777777"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Der fremgår af den gældende hvidvasklov ikke noget generelt krav om, at de forpligtede enheder under Erhvervsstyrelsens tilsyn skal registreres ved Erhvervsstyrelsen. Det er kun udbydere af tjenesteydelser til virksomheder, såsom selskabsoprettere og kontorhoteller, der er underlagt krav om at skulle registrere sig i Erhvervsstyrelsens hvidvaskregister. Godkendte revisorer og revisionsvirksomheder samt ejendomsmæglere registreres ved Erhvervsstyrelsen i særskilte registre herfor efter henholdsvis revisorloven og lov om formidling af fast ejendom mv.</w:t>
      </w:r>
    </w:p>
    <w:p w14:paraId="74EC3089" w14:textId="77777777" w:rsidR="002B4683" w:rsidRPr="00796736" w:rsidRDefault="002B4683" w:rsidP="00A802A5">
      <w:pPr>
        <w:spacing w:after="240" w:line="360" w:lineRule="auto"/>
        <w:contextualSpacing/>
        <w:rPr>
          <w:rFonts w:ascii="Times New Roman" w:hAnsi="Times New Roman" w:cs="Times New Roman"/>
          <w:sz w:val="24"/>
          <w:szCs w:val="24"/>
        </w:rPr>
      </w:pPr>
    </w:p>
    <w:p w14:paraId="240EFF18" w14:textId="77777777"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Det fremgår af den gældende hvidvasklovs § 58, at virksomheder og personer, der udbyder tjenesteydelser til virksomheder, skal registreres hos Erhvervsstyrelsen for at kunne udøve denne virksomhed. </w:t>
      </w:r>
    </w:p>
    <w:p w14:paraId="6E5CF0FE" w14:textId="77777777" w:rsidR="002B4683" w:rsidRPr="00796736" w:rsidRDefault="002B4683" w:rsidP="00A802A5">
      <w:pPr>
        <w:spacing w:after="240" w:line="360" w:lineRule="auto"/>
        <w:contextualSpacing/>
        <w:rPr>
          <w:rFonts w:ascii="Times New Roman" w:hAnsi="Times New Roman" w:cs="Times New Roman"/>
          <w:sz w:val="24"/>
          <w:szCs w:val="24"/>
        </w:rPr>
      </w:pPr>
    </w:p>
    <w:p w14:paraId="07DCF501" w14:textId="77777777" w:rsidR="003D2A25" w:rsidRPr="00D253F0" w:rsidRDefault="003D2A25" w:rsidP="00A802A5">
      <w:pPr>
        <w:spacing w:after="240" w:line="360" w:lineRule="auto"/>
        <w:contextualSpacing/>
        <w:rPr>
          <w:rFonts w:ascii="Times New Roman" w:hAnsi="Times New Roman" w:cs="Times New Roman"/>
          <w:sz w:val="24"/>
          <w:szCs w:val="24"/>
        </w:rPr>
      </w:pPr>
      <w:r w:rsidRPr="00D253F0">
        <w:rPr>
          <w:rFonts w:ascii="Times New Roman" w:hAnsi="Times New Roman" w:cs="Times New Roman"/>
          <w:sz w:val="24"/>
          <w:szCs w:val="24"/>
        </w:rPr>
        <w:t xml:space="preserve">Erhvervsstyrelsen skal undlade at registrere en virksomhed eller en person, </w:t>
      </w:r>
      <w:r w:rsidRPr="008D796C">
        <w:rPr>
          <w:rFonts w:ascii="Times New Roman" w:hAnsi="Times New Roman" w:cs="Times New Roman"/>
          <w:sz w:val="24"/>
          <w:szCs w:val="24"/>
        </w:rPr>
        <w:t>der udbyder de pågældende tjenesteydelser til virksomheder</w:t>
      </w:r>
      <w:r>
        <w:rPr>
          <w:rFonts w:ascii="Times New Roman" w:hAnsi="Times New Roman" w:cs="Times New Roman"/>
          <w:sz w:val="24"/>
          <w:szCs w:val="24"/>
        </w:rPr>
        <w:t>,</w:t>
      </w:r>
      <w:r w:rsidRPr="008D796C">
        <w:rPr>
          <w:rFonts w:ascii="Times New Roman" w:hAnsi="Times New Roman" w:cs="Times New Roman"/>
          <w:sz w:val="24"/>
          <w:szCs w:val="24"/>
        </w:rPr>
        <w:t xml:space="preserve"> </w:t>
      </w:r>
      <w:r w:rsidRPr="00D253F0">
        <w:rPr>
          <w:rFonts w:ascii="Times New Roman" w:hAnsi="Times New Roman" w:cs="Times New Roman"/>
          <w:sz w:val="24"/>
          <w:szCs w:val="24"/>
        </w:rPr>
        <w:t>hvis et medlem af en virksomheds øverste ledelse eller daglige ledelse eller personen er dømt for et strafbart forhold, der begrunder en nærliggende fare for misbrug af stillingen eller hvervet, eller har indgivet en begæring om rekonstruktionsbehandling, konkurs eller gældssanering eller er under rekonstruktionsbehandling, konkursbehandling eller gældssanering.</w:t>
      </w:r>
    </w:p>
    <w:p w14:paraId="604C32A8" w14:textId="77777777" w:rsidR="002B4683" w:rsidRPr="00796736" w:rsidRDefault="002B4683" w:rsidP="00A802A5">
      <w:pPr>
        <w:spacing w:after="240" w:line="360" w:lineRule="auto"/>
        <w:contextualSpacing/>
        <w:rPr>
          <w:rFonts w:ascii="Times New Roman" w:hAnsi="Times New Roman" w:cs="Times New Roman"/>
          <w:sz w:val="24"/>
          <w:szCs w:val="24"/>
        </w:rPr>
      </w:pPr>
    </w:p>
    <w:p w14:paraId="66403C42" w14:textId="77777777"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Det fremgår af bemærkningerne til bestemmelsen, at kravet om, at der skal være en nærliggende fare for misbrug, betyder, at det ikke er tilstrækkeligt for at undlade at foretage en registrering, at vedkommende er dømt for en strafbar handling, jf. henvisningen i bestemmelsen til § 78, stk. 2, i straffeloven. Henvisningen indebærer, at Erhvervsstyrelsen skal foretage en vurdering efter samme princip, som domstolene anvender i forbindelse med en rettighedsfrakendelsessag, og i vurderingen inddrage domspraksis.</w:t>
      </w:r>
    </w:p>
    <w:p w14:paraId="49549907" w14:textId="77777777" w:rsidR="002B4683" w:rsidRPr="00796736" w:rsidRDefault="002B4683" w:rsidP="00A802A5">
      <w:pPr>
        <w:spacing w:after="240" w:line="360" w:lineRule="auto"/>
        <w:contextualSpacing/>
        <w:rPr>
          <w:rFonts w:ascii="Times New Roman" w:hAnsi="Times New Roman" w:cs="Times New Roman"/>
          <w:sz w:val="24"/>
          <w:szCs w:val="24"/>
        </w:rPr>
      </w:pPr>
    </w:p>
    <w:p w14:paraId="4D7F6E58" w14:textId="77777777"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164.</w:t>
      </w:r>
    </w:p>
    <w:p w14:paraId="2CB906C7" w14:textId="77777777" w:rsidR="002B4683" w:rsidRPr="00796736" w:rsidRDefault="002B4683" w:rsidP="00A802A5">
      <w:pPr>
        <w:spacing w:after="240" w:line="360" w:lineRule="auto"/>
        <w:contextualSpacing/>
        <w:rPr>
          <w:rFonts w:ascii="Times New Roman" w:hAnsi="Times New Roman" w:cs="Times New Roman"/>
          <w:sz w:val="24"/>
          <w:szCs w:val="24"/>
        </w:rPr>
      </w:pPr>
    </w:p>
    <w:p w14:paraId="5145CDD8" w14:textId="77777777"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Der kan ydermere ikke ske registrering, hvis virksomheden eller personen er dømt for et strafbart forhold, der begrunder en nærliggende fare for misbrug af registreringen, hvis virksomheden har indgivet begæring om rekonstruktion eller konkursbehandling eller hvis en reel ejer er dømt for et strafbart forhold, der begrunder en nærliggende fare for misbrug af den pågældendes kontrollerende indflydelse.</w:t>
      </w:r>
    </w:p>
    <w:p w14:paraId="7DF6B13B" w14:textId="77777777" w:rsidR="002B4683" w:rsidRPr="00796736" w:rsidRDefault="002B4683" w:rsidP="00A802A5">
      <w:pPr>
        <w:spacing w:after="240" w:line="360" w:lineRule="auto"/>
        <w:contextualSpacing/>
        <w:rPr>
          <w:rFonts w:ascii="Times New Roman" w:hAnsi="Times New Roman" w:cs="Times New Roman"/>
          <w:sz w:val="24"/>
          <w:szCs w:val="24"/>
        </w:rPr>
      </w:pPr>
    </w:p>
    <w:p w14:paraId="7BFA157F" w14:textId="676ADB9D"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I forhold til kravet om at virksomheden eller personen ikke må være dømt for et strafbart forhold, der begrunder nærliggende fare for misbrug af registreringen, fremgår det af bemærkningerne til bestemmelsen, at formålet med bestemmelsen er at minimere risikoen for hvidvask af penge i virksomheden og kanalisering af penge til terrorformål ved at hindre, at personer med bestemmende indflydelse på virksomheden kan anvende virksomheden til kriminelle formål. Ved Erhvervsstyrelsens vurdering skal der inddrages en høj grad af væsentlighed, herunder hvorvidt den pågældende reelle ejer kan antages at ville anvende virksomheden til hvidvask af penge eller kanalisering af penge til terrorformål. Det er derfor som udgangspunkt alene strafbare forhold, der relaterer sig til denne type af kriminalitet, der kan indgå i vurderingen. Domme for skatteunddragelse vil kunne medføre et afslag på registrering under hensyn til, at skatteunddragelse er omfattet af definitionen af hvidvask i forslagets § 3. Der skal dog som udgangspunkt være tale om gentagelsestilfælde.</w:t>
      </w:r>
    </w:p>
    <w:p w14:paraId="4417AD16" w14:textId="77777777" w:rsidR="002B4683" w:rsidRPr="00796736" w:rsidRDefault="002B4683" w:rsidP="00A802A5">
      <w:pPr>
        <w:spacing w:after="240" w:line="360" w:lineRule="auto"/>
        <w:contextualSpacing/>
        <w:rPr>
          <w:rFonts w:ascii="Times New Roman" w:hAnsi="Times New Roman" w:cs="Times New Roman"/>
          <w:sz w:val="24"/>
          <w:szCs w:val="24"/>
        </w:rPr>
      </w:pPr>
    </w:p>
    <w:p w14:paraId="5B57F9E2" w14:textId="77777777"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165.</w:t>
      </w:r>
    </w:p>
    <w:p w14:paraId="591A4B96" w14:textId="77777777" w:rsidR="002B4683" w:rsidRPr="00796736" w:rsidRDefault="002B4683" w:rsidP="00A802A5">
      <w:pPr>
        <w:spacing w:after="240" w:line="360" w:lineRule="auto"/>
        <w:contextualSpacing/>
        <w:rPr>
          <w:rFonts w:ascii="Times New Roman" w:hAnsi="Times New Roman" w:cs="Times New Roman"/>
          <w:sz w:val="24"/>
          <w:szCs w:val="24"/>
        </w:rPr>
      </w:pPr>
    </w:p>
    <w:p w14:paraId="60D29654" w14:textId="2E813957"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Erhvervsstyrelsen kan inddrage registreringen</w:t>
      </w:r>
      <w:r w:rsidR="003D2A25">
        <w:rPr>
          <w:rFonts w:ascii="Times New Roman" w:hAnsi="Times New Roman" w:cs="Times New Roman"/>
          <w:sz w:val="24"/>
          <w:szCs w:val="24"/>
        </w:rPr>
        <w:t xml:space="preserve"> af tjenesteudbyderen</w:t>
      </w:r>
      <w:r w:rsidRPr="00796736">
        <w:rPr>
          <w:rFonts w:ascii="Times New Roman" w:hAnsi="Times New Roman" w:cs="Times New Roman"/>
          <w:sz w:val="24"/>
          <w:szCs w:val="24"/>
        </w:rPr>
        <w:t>, hvis Erhvervsstyrelsen ikke får de nødvendige oplysninger for at foretage vurderingen, hvis enten virksomheden, personen eller et medlem af virksomhedens øverste eller daglige ledelse eller personen efterfølgende ikke kan leve op til betingelserne for registrering, eller hvis virksomheden eller personen gør sig skyldig i grove eller gentagne overtrædelser af hvidvaskloven.</w:t>
      </w:r>
    </w:p>
    <w:p w14:paraId="09DDF062" w14:textId="77777777" w:rsidR="002B4683" w:rsidRPr="00796736" w:rsidRDefault="002B4683" w:rsidP="00A802A5">
      <w:pPr>
        <w:spacing w:after="240" w:line="360" w:lineRule="auto"/>
        <w:contextualSpacing/>
        <w:rPr>
          <w:rFonts w:ascii="Times New Roman" w:hAnsi="Times New Roman" w:cs="Times New Roman"/>
          <w:sz w:val="24"/>
          <w:szCs w:val="24"/>
        </w:rPr>
      </w:pPr>
    </w:p>
    <w:p w14:paraId="225B873E" w14:textId="77777777"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Virksomheder og personer, et medlem af en virksomheds øverste eller daglige ledelse samt en reel ejer af en virksomhed skal meddele Erhvervsstyrelsen oplysninger om efterfølgende ændringer af forhold senest 2 uger efter ændringen. </w:t>
      </w:r>
    </w:p>
    <w:p w14:paraId="2C600C5F" w14:textId="77777777" w:rsidR="002B4683" w:rsidRPr="00796736" w:rsidRDefault="002B4683" w:rsidP="00A802A5">
      <w:pPr>
        <w:spacing w:after="240" w:line="360" w:lineRule="auto"/>
        <w:contextualSpacing/>
        <w:rPr>
          <w:rFonts w:ascii="Times New Roman" w:hAnsi="Times New Roman" w:cs="Times New Roman"/>
          <w:sz w:val="24"/>
          <w:szCs w:val="24"/>
        </w:rPr>
      </w:pPr>
    </w:p>
    <w:p w14:paraId="46611DF2" w14:textId="7A7285DD" w:rsidR="002B4683" w:rsidRPr="00796736" w:rsidRDefault="002B4683"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Der fremgår derudover af § 61 i den gældende hvidvasklov en bemyndigelse til, at Erhvervsstyrelsen kan fastsætte nærmere regler for udbydere af tjenesteydelser til virksomheder om anmeldelse, registrering og offentliggørelse, herunder hvilke oplysninger der skal registreres, og hvilke forhold anmeldere eller andre kan indsende og registrere elektronisk i styrelsens it-system ved at benytte digital eller tilsvarende elektronisk signatur, og om brugen af dette system. Bemyndigelsen er udmøntet i bekendtgørelse nr. 1288 af 15. november 2017 om anmeldelse og registrering af udbydere af tjenesteydelser til virksomheder i Erhvervsstyrelsens register til bekæmpelse af hvidvask. </w:t>
      </w:r>
    </w:p>
    <w:p w14:paraId="722A7761" w14:textId="3CF81E0C" w:rsidR="002B4683" w:rsidRPr="00796736" w:rsidRDefault="00F005F1" w:rsidP="00A802A5">
      <w:pPr>
        <w:pStyle w:val="Overskrift4"/>
        <w:rPr>
          <w:rFonts w:ascii="Times New Roman" w:hAnsi="Times New Roman" w:cs="Times New Roman"/>
          <w:sz w:val="24"/>
          <w:szCs w:val="24"/>
        </w:rPr>
      </w:pPr>
      <w:bookmarkStart w:id="1355" w:name="_Toc232109242"/>
      <w:r w:rsidRPr="00796736">
        <w:rPr>
          <w:rFonts w:ascii="Times New Roman" w:hAnsi="Times New Roman" w:cs="Times New Roman"/>
          <w:sz w:val="24"/>
          <w:szCs w:val="24"/>
        </w:rPr>
        <w:t>6. hvidvaskdirektiv</w:t>
      </w:r>
      <w:bookmarkEnd w:id="1355"/>
    </w:p>
    <w:p w14:paraId="183D6BFB"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Artikel 4, stk. 1, i 6. hvidvaskdirektiv fastlægger, at medlemsstaterne skal sikre, at blandt andet udbydere af tjenester til truster eller virksomheder er enten meddelt godkendelse eller registreret. </w:t>
      </w:r>
    </w:p>
    <w:p w14:paraId="0764386E" w14:textId="77777777" w:rsidR="00A7126D" w:rsidRPr="00796736" w:rsidRDefault="00A7126D" w:rsidP="00A802A5">
      <w:pPr>
        <w:spacing w:after="240" w:line="360" w:lineRule="auto"/>
        <w:contextualSpacing/>
        <w:rPr>
          <w:rFonts w:ascii="Times New Roman" w:hAnsi="Times New Roman" w:cs="Times New Roman"/>
          <w:sz w:val="24"/>
          <w:szCs w:val="24"/>
        </w:rPr>
      </w:pPr>
    </w:p>
    <w:p w14:paraId="2AD588F0"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direktivets artikel 4, stk. 3, at medlemsstaterne skal sikre, at andre forpligtede enheder end valutavekslings- og checkindløsningskontorer, udbydere af tjenester til truster eller virksomheder samt udbydere af spiltjenester, er omfattet af et minimums registreringskrav, der gør det muligt for tilsynsorganerne at identificere dem. </w:t>
      </w:r>
    </w:p>
    <w:p w14:paraId="33C96DE4" w14:textId="77777777" w:rsidR="00564E60" w:rsidRPr="00796736" w:rsidRDefault="00564E60" w:rsidP="00A802A5">
      <w:pPr>
        <w:spacing w:after="240" w:line="360" w:lineRule="auto"/>
        <w:contextualSpacing/>
        <w:rPr>
          <w:rFonts w:ascii="Times New Roman" w:hAnsi="Times New Roman" w:cs="Times New Roman"/>
          <w:sz w:val="24"/>
          <w:szCs w:val="24"/>
        </w:rPr>
      </w:pPr>
    </w:p>
    <w:p w14:paraId="23A406A3" w14:textId="32D22D7F" w:rsidR="00564E60" w:rsidRPr="00796736" w:rsidRDefault="00564E60"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Det følger af direktivets artikel 4, stk. 3, 2. afsnit, at bestemmelsens første afsnit ikke finder anvendelse, hvis de pågældende enheder er omfattet af godkendelses- eller registreringskrav i henhold til andre EU-retsakter eller nationale regler, der regulerer adgangen til hvervet eller underlægger det godkendelses- eller registreringskrav, der gør det muligt for tilsynsorganerne at identificere dem.</w:t>
      </w:r>
    </w:p>
    <w:p w14:paraId="5CF322C5" w14:textId="77777777" w:rsidR="00A7126D" w:rsidRPr="00796736" w:rsidRDefault="00A7126D" w:rsidP="00A802A5">
      <w:pPr>
        <w:spacing w:after="240" w:line="360" w:lineRule="auto"/>
        <w:contextualSpacing/>
        <w:rPr>
          <w:rFonts w:ascii="Times New Roman" w:hAnsi="Times New Roman" w:cs="Times New Roman"/>
          <w:sz w:val="24"/>
          <w:szCs w:val="24"/>
        </w:rPr>
      </w:pPr>
    </w:p>
    <w:p w14:paraId="7689D99F"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Det fremgår af præambelbetragtning nr. 8 i 6. hvidvaskdirektiv, at hvis forpligtede enheder ikke er underlagt specifikke godkendelses- eller registreringskrav, bør medlemsstaterne indføre systemer, der gør det muligt for tilsynsorganer at have et sikkert kendskab til omfanget af enheder under deres tilsyn for at sikre fyldestgørende tilsyn med sådanne forpligtede enheder. Dette betyder ikke, at medlemsstaterne skal pålægge specifikke registreringskrav for bekæmpelse af hvidvask af penge og finansiering af terrorisme, hvis dette ikke er nødvendigt for at identificere forpligtede enheder, som det f.eks. er tilfældet, når momsregistrering gør det muligt at identificere operatører, som udfører aktiviteter, der er omfattet af kravene til for bekæmpelse af hvidvask af penge og finansiering af terrorisme.</w:t>
      </w:r>
    </w:p>
    <w:p w14:paraId="216EA4D8" w14:textId="77777777" w:rsidR="00A7126D" w:rsidRPr="00796736" w:rsidRDefault="00A7126D" w:rsidP="00A802A5">
      <w:pPr>
        <w:spacing w:after="240" w:line="360" w:lineRule="auto"/>
        <w:contextualSpacing/>
        <w:rPr>
          <w:rFonts w:ascii="Times New Roman" w:hAnsi="Times New Roman" w:cs="Times New Roman"/>
          <w:sz w:val="24"/>
          <w:szCs w:val="24"/>
        </w:rPr>
      </w:pPr>
    </w:p>
    <w:p w14:paraId="2CB6C484"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Af artikel 6, stk. 1, i 6. hvidvaskdirektiv fremgår det, at medlemsstaterne skal kræve, at tilsynsorganerne kontrollerer, at medlemmerne af den øverste ledelse i udbydere af tjenesteydelse til truster og virksomheder og de reelle ejere af sådanne enheder har et godt omdømme og handler med hæderlighed og integritet. Den øverste ledelse i sådanne enheder skal også besidde den viden og ekspertise, der er nødvendig for, at de kan udføre deres opgaver. </w:t>
      </w:r>
    </w:p>
    <w:p w14:paraId="7A9DD1D1" w14:textId="77777777" w:rsidR="00A7126D" w:rsidRPr="00796736" w:rsidRDefault="00A7126D" w:rsidP="00A802A5">
      <w:pPr>
        <w:spacing w:after="240" w:line="360" w:lineRule="auto"/>
        <w:contextualSpacing/>
        <w:rPr>
          <w:rFonts w:ascii="Times New Roman" w:hAnsi="Times New Roman" w:cs="Times New Roman"/>
          <w:sz w:val="24"/>
          <w:szCs w:val="24"/>
        </w:rPr>
      </w:pPr>
    </w:p>
    <w:p w14:paraId="13874546"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Det fremgår af direktivets artikel 6, stk. 3, at medlemsstaterne sikrer, at tilsynsorganerne på et risikofølsomt grundlag kontrollerer, om kravene i artikel 6, stk. 1 fortsat er opfyldt. De kontrollerer navnlig, om den øverste ledelse i forpligtede enheder, der er omhandlet i stk. 1, har et godt omdømme, handler med hæderlighed og integritet og besidder den viden og ekspertise, der er nødvendig for, at den kan udføre sine opgaver i tilfælde, hvor der er rimelig grund til at formode, at der begås eller er blevet begået eller forsøgt begået hvidvask af penge eller finansiering af terrorisme, eller der er øget risiko herfor i en forpligtet enhed.</w:t>
      </w:r>
    </w:p>
    <w:p w14:paraId="47795C21" w14:textId="77777777" w:rsidR="00A7126D" w:rsidRPr="00796736" w:rsidRDefault="00A7126D" w:rsidP="00A802A5">
      <w:pPr>
        <w:spacing w:after="240" w:line="360" w:lineRule="auto"/>
        <w:contextualSpacing/>
        <w:rPr>
          <w:rFonts w:ascii="Times New Roman" w:hAnsi="Times New Roman" w:cs="Times New Roman"/>
          <w:sz w:val="24"/>
          <w:szCs w:val="24"/>
        </w:rPr>
      </w:pPr>
    </w:p>
    <w:p w14:paraId="15D045B1"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Det fremgår af direktivets artikel 6, stk. 7, at senest den 10. juli 2029 udsteder AMLA retningslinjer angående kriterierne til at vurdere godt omdømme, hæderlighed og integritet, kriterierne til at vurdere viden og ekspertise og tilsynsorganernes konsekvente anvendelse af den beføjelse, de er tillagt i henhold til denne artikel. Ved udarbejdelse af retningslinjerne, skal AMLA tage hensyn til de særlige forhold i hver enkelt sektor, hvor de forpligtede enheder driver virksomhed.</w:t>
      </w:r>
    </w:p>
    <w:p w14:paraId="720E59C2" w14:textId="77777777" w:rsidR="00A7126D" w:rsidRPr="00796736" w:rsidRDefault="00A7126D" w:rsidP="00A802A5">
      <w:pPr>
        <w:spacing w:after="240" w:line="360" w:lineRule="auto"/>
        <w:contextualSpacing/>
        <w:rPr>
          <w:rFonts w:ascii="Times New Roman" w:hAnsi="Times New Roman" w:cs="Times New Roman"/>
          <w:sz w:val="24"/>
          <w:szCs w:val="24"/>
        </w:rPr>
      </w:pPr>
    </w:p>
    <w:p w14:paraId="2B966C1A"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Det følger af hvidvaskforordningens artikel 2, stk. 1, nr. 40, at ”Øverste ledelse” forstås medlemmerne af ledelsesorganet i dets ledelsesfunktion samt medarbejdere og ansatte med tilstrækkeligt kendskab til den forpligtede enheds risikoeksponering for hvidvask af penge og finansiering af terrorisme og med tilstrækkelig anciennitet til at træffe beslutninger med indvirkning på dets risikoeksponering. </w:t>
      </w:r>
    </w:p>
    <w:p w14:paraId="44BDE867" w14:textId="77777777" w:rsidR="00A7126D" w:rsidRPr="00796736" w:rsidRDefault="00A7126D" w:rsidP="00A802A5">
      <w:pPr>
        <w:spacing w:after="240" w:line="360" w:lineRule="auto"/>
        <w:contextualSpacing/>
        <w:rPr>
          <w:rFonts w:ascii="Times New Roman" w:hAnsi="Times New Roman" w:cs="Times New Roman"/>
          <w:sz w:val="24"/>
          <w:szCs w:val="24"/>
        </w:rPr>
      </w:pPr>
    </w:p>
    <w:p w14:paraId="448991C8"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”Ledelsesorganet i dets ledelsesfunktion” er defineret i hvidvaskforordningens artikel 2, stk. 1, nr. 38 som: det ledelsesorgan, der er ansvarlig for den forpligtede enheds daglige ledelse.</w:t>
      </w:r>
    </w:p>
    <w:p w14:paraId="6CAA81BE" w14:textId="77777777" w:rsidR="00A7126D" w:rsidRPr="00796736" w:rsidRDefault="00A7126D" w:rsidP="00A802A5">
      <w:pPr>
        <w:spacing w:after="240" w:line="360" w:lineRule="auto"/>
        <w:contextualSpacing/>
        <w:rPr>
          <w:rFonts w:ascii="Times New Roman" w:hAnsi="Times New Roman" w:cs="Times New Roman"/>
          <w:sz w:val="24"/>
          <w:szCs w:val="24"/>
        </w:rPr>
      </w:pPr>
    </w:p>
    <w:p w14:paraId="644038ED" w14:textId="77777777" w:rsidR="00A7126D" w:rsidRPr="00796736" w:rsidRDefault="00A7126D"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”Ledelsesorgan” er defineret i hvidvaskforordningens artikel 2, stk. 1, nr. 37 som: det eller de organer i en forpligtet enhed, der er udpeget i overensstemmelse med national ret, og som har beføjelse til at fastlægge den forpligtede enheds strategi, mål og overordnede kurs, og som kontrollerer og overvåger ledelsens beslutningstagning, og dette omfatter de personer, der varetager den faktiske ledelse af den forpligtede enheds virksomhed; hvis der ikke findes sådant organ, er ledelsesorganet den person, der varetager den faktiske ledelse af den forpligtede enheds virksomhed.</w:t>
      </w:r>
    </w:p>
    <w:p w14:paraId="705F47E1" w14:textId="77777777" w:rsidR="002B4683" w:rsidRPr="00796736" w:rsidRDefault="002B4683" w:rsidP="00A802A5">
      <w:pPr>
        <w:spacing w:line="360" w:lineRule="auto"/>
        <w:rPr>
          <w:rFonts w:ascii="Times New Roman" w:hAnsi="Times New Roman" w:cs="Times New Roman"/>
          <w:sz w:val="24"/>
          <w:szCs w:val="24"/>
        </w:rPr>
      </w:pPr>
    </w:p>
    <w:p w14:paraId="4EB4774C" w14:textId="15A5830F" w:rsidR="000443ED" w:rsidRPr="00796736" w:rsidRDefault="00F005F1" w:rsidP="00A802A5">
      <w:pPr>
        <w:pStyle w:val="Overskrift4"/>
        <w:rPr>
          <w:rFonts w:ascii="Times New Roman" w:hAnsi="Times New Roman" w:cs="Times New Roman"/>
          <w:sz w:val="24"/>
          <w:szCs w:val="24"/>
        </w:rPr>
      </w:pPr>
      <w:bookmarkStart w:id="1356" w:name="_Toc232109243"/>
      <w:r w:rsidRPr="00796736">
        <w:rPr>
          <w:rFonts w:ascii="Times New Roman" w:hAnsi="Times New Roman" w:cs="Times New Roman"/>
          <w:sz w:val="24"/>
          <w:szCs w:val="24"/>
        </w:rPr>
        <w:t>Erhvervsministeriets</w:t>
      </w:r>
      <w:r w:rsidR="000443ED" w:rsidRPr="00796736">
        <w:rPr>
          <w:rFonts w:ascii="Times New Roman" w:hAnsi="Times New Roman" w:cs="Times New Roman"/>
          <w:sz w:val="24"/>
          <w:szCs w:val="24"/>
        </w:rPr>
        <w:t xml:space="preserve"> overvejelser og den foreslåede ordning</w:t>
      </w:r>
      <w:bookmarkEnd w:id="1356"/>
      <w:r w:rsidR="000443ED" w:rsidRPr="00796736">
        <w:rPr>
          <w:rFonts w:ascii="Times New Roman" w:hAnsi="Times New Roman" w:cs="Times New Roman"/>
          <w:sz w:val="24"/>
          <w:szCs w:val="24"/>
        </w:rPr>
        <w:t xml:space="preserve"> </w:t>
      </w:r>
    </w:p>
    <w:p w14:paraId="496844D6" w14:textId="77777777"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Det er af væsentlig betydning for forebyggelsen af hvidvask og finansiering af terrorisme, at Erhvervsstyrelsen har mulighed for at føre effektivt tilsyn med de virksomheder og personer, der udøver ikke-finansiel virksomhed og som er underlagt styrelsens tilsyn.</w:t>
      </w:r>
    </w:p>
    <w:p w14:paraId="4025AE31" w14:textId="77777777" w:rsidR="004A72D6" w:rsidRPr="00796736" w:rsidRDefault="004A72D6" w:rsidP="00A802A5">
      <w:pPr>
        <w:spacing w:after="240" w:line="360" w:lineRule="auto"/>
        <w:contextualSpacing/>
        <w:rPr>
          <w:rFonts w:ascii="Times New Roman" w:hAnsi="Times New Roman" w:cs="Times New Roman"/>
          <w:sz w:val="24"/>
          <w:szCs w:val="24"/>
        </w:rPr>
      </w:pPr>
    </w:p>
    <w:p w14:paraId="00986F96" w14:textId="77777777"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Erhvervsministeriet vurderer, at det er nødvendigt for at sikre fyldestgørende implementering af 6. hvidvaskdirektivs artikel 4, stk. 3 om minimumsregistrering, at der indføres en generel registreringspligt for Erhvervsstyrelsens tilsynspopulation.</w:t>
      </w:r>
    </w:p>
    <w:p w14:paraId="72FD828A" w14:textId="77777777" w:rsidR="004A72D6" w:rsidRPr="00796736" w:rsidRDefault="004A72D6" w:rsidP="00A802A5">
      <w:pPr>
        <w:spacing w:after="240" w:line="360" w:lineRule="auto"/>
        <w:contextualSpacing/>
        <w:rPr>
          <w:rFonts w:ascii="Times New Roman" w:hAnsi="Times New Roman" w:cs="Times New Roman"/>
          <w:sz w:val="24"/>
          <w:szCs w:val="24"/>
        </w:rPr>
      </w:pPr>
    </w:p>
    <w:p w14:paraId="0285D90E" w14:textId="77777777"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Registreringsordningen har til formål at sikre, at Erhvervsstyrelsen til enhver tid kan identificere og overvåge sin tilsynspopulation. Registreringsordningen skal herunder understøtte Erhvervsstyrelsens risikobaserede tilsyn samt bidrage til styrelsens administration af de datapunkter, som de forpligtede enheder skal indrapportere i henhold til den af AMLA udstedte RTS efter hvidvaskdirektivets artikel 40, stk. 2. </w:t>
      </w:r>
    </w:p>
    <w:p w14:paraId="63E4A2E9" w14:textId="77777777" w:rsidR="004A72D6" w:rsidRPr="00796736" w:rsidRDefault="004A72D6" w:rsidP="00A802A5">
      <w:pPr>
        <w:spacing w:after="240" w:line="360" w:lineRule="auto"/>
        <w:contextualSpacing/>
        <w:rPr>
          <w:rFonts w:ascii="Times New Roman" w:hAnsi="Times New Roman" w:cs="Times New Roman"/>
          <w:sz w:val="24"/>
          <w:szCs w:val="24"/>
        </w:rPr>
      </w:pPr>
    </w:p>
    <w:p w14:paraId="554AA0A8" w14:textId="2C075EC0"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Erhvervsministeriet finder det hensigtsmæssigt, at der ikke pålægges krav om dobbeltregistrering hos Erhvervsstyrelsen for de forpligtede enheder, der allerede måtte være registreret hos Erhvervsstyrelsen gennem anden ordning. Dette vil i praksis omfatte udbydere af tjenesteydelser til virksomheder som omfattet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10</w:t>
      </w:r>
      <w:r w:rsidR="003D2A25">
        <w:rPr>
          <w:rFonts w:ascii="Times New Roman" w:hAnsi="Times New Roman" w:cs="Times New Roman"/>
          <w:sz w:val="24"/>
          <w:szCs w:val="24"/>
        </w:rPr>
        <w:t xml:space="preserve"> </w:t>
      </w:r>
      <w:r w:rsidRPr="00796736">
        <w:rPr>
          <w:rFonts w:ascii="Times New Roman" w:hAnsi="Times New Roman" w:cs="Times New Roman"/>
          <w:sz w:val="24"/>
          <w:szCs w:val="24"/>
        </w:rPr>
        <w:t>og godkendte revisionsvirksomheder som registreret efter revisorloven. Det vil ligeledes omfatte ejendomsmæglervirksomheder, der drives som enkeltmandsvirksomhed, hvor indehaveren er en ejendomsmægler, der er registreret i registeret over godkendte ejendomsmæglere i medfør af lov om formidling af fast ejendom.</w:t>
      </w:r>
    </w:p>
    <w:p w14:paraId="2B023FF9" w14:textId="77777777" w:rsidR="004A72D6" w:rsidRPr="00796736" w:rsidRDefault="004A72D6" w:rsidP="00A802A5">
      <w:pPr>
        <w:spacing w:after="240" w:line="360" w:lineRule="auto"/>
        <w:contextualSpacing/>
        <w:rPr>
          <w:rFonts w:ascii="Times New Roman" w:hAnsi="Times New Roman" w:cs="Times New Roman"/>
          <w:sz w:val="24"/>
          <w:szCs w:val="24"/>
        </w:rPr>
      </w:pPr>
    </w:p>
    <w:p w14:paraId="105CFF5D" w14:textId="3840A9B5"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Erhvervsministeriet har overvejet, hvordan det kan sikres</w:t>
      </w:r>
      <w:r w:rsidR="003D2A25">
        <w:rPr>
          <w:rFonts w:ascii="Times New Roman" w:hAnsi="Times New Roman" w:cs="Times New Roman"/>
          <w:sz w:val="24"/>
          <w:szCs w:val="24"/>
        </w:rPr>
        <w:t>,</w:t>
      </w:r>
      <w:r w:rsidRPr="00796736">
        <w:rPr>
          <w:rFonts w:ascii="Times New Roman" w:hAnsi="Times New Roman" w:cs="Times New Roman"/>
          <w:sz w:val="24"/>
          <w:szCs w:val="24"/>
        </w:rPr>
        <w:t xml:space="preserve"> at registeret giver et retvisende og anvendeligt billede af Erhvervsstyrelsens tilsynspopulation. Erhvervsstyrelsen har lagt vægt på, at et opdateret og retvisende register er en forudsætning for, at Erhvervsstyrelsen kan anvende registeret til at tilrettelægge og føre et effektivt tilsyn. På denne baggrund er det vurderet hensigtsmæssigt, at registreringen alene opretholdes for virksomheder, der reelt udfører virksomhed omfattet af registreringspligten. Erhvervsministeriet finder det som led heri hensigtsmæssigt, at der hvorfor indføres klare og objektive kriterier for, hvornår en registrering kan inddrages og slettes, herunder i tilfælde hvor en virksomhed ikke er omfattet af hvidvaskreguleringen eller ikke længere er aktiv.</w:t>
      </w:r>
    </w:p>
    <w:p w14:paraId="5ABD4656" w14:textId="77777777" w:rsidR="004A72D6" w:rsidRPr="00796736" w:rsidRDefault="004A72D6" w:rsidP="00A802A5">
      <w:pPr>
        <w:spacing w:after="240" w:line="360" w:lineRule="auto"/>
        <w:contextualSpacing/>
        <w:rPr>
          <w:rFonts w:ascii="Times New Roman" w:hAnsi="Times New Roman" w:cs="Times New Roman"/>
          <w:sz w:val="24"/>
          <w:szCs w:val="24"/>
        </w:rPr>
      </w:pPr>
    </w:p>
    <w:p w14:paraId="2A4029E2" w14:textId="77777777"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Den foreslåede ordning vil indebære, at der indføres en pligt for forpligtede enheder under Erhvervsstyrelsens tilsyn, der ikke allerede registreres hos Erhvervsstyrelsen efter anden ordning, til at skulle registrere sig hos Erhvervsstyrelsens hvidvasktilsyn. Med den foreslåede ordning indskrives yderligere en adgang for Erhvervsstyrelsen til at inddrage registrering, hvor grundlaget for registreringen ikke længere består.</w:t>
      </w:r>
    </w:p>
    <w:p w14:paraId="1110804D" w14:textId="77777777" w:rsidR="00564E60" w:rsidRPr="00796736" w:rsidRDefault="00564E60" w:rsidP="00A802A5">
      <w:pPr>
        <w:spacing w:after="240" w:line="360" w:lineRule="auto"/>
        <w:contextualSpacing/>
        <w:rPr>
          <w:rFonts w:ascii="Times New Roman" w:hAnsi="Times New Roman" w:cs="Times New Roman"/>
          <w:sz w:val="24"/>
          <w:szCs w:val="24"/>
        </w:rPr>
      </w:pPr>
    </w:p>
    <w:p w14:paraId="4116B608" w14:textId="77777777" w:rsidR="00564E60" w:rsidRPr="00796736" w:rsidRDefault="00564E60"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I overensstemmelse med hvidvaskdirektivets artikel 6, stk. 1, videreføres det, at udbydere af tjenesteydelser til truster og virksomheder, skal registreres hos Erhvervsstyrelsen for at kunne udøve denne virksomhed. Der kan fortsat ikke ske registrering, hvis virksomheden eller personen, medlemmer af den øverste eller daglige ledelse samt reelle ejere af en virksomhed er dømt for et strafbart forhold, der begrunder en nærliggende fare for misbrug, hvis virksomheden eller personen, medlemmer af den øverste eller daglige ledelse har indgivet begæring om rekonstruktion eller konkurs eller er under rekonstruktionsbehandling eller konkursbehandling samt hvis et medlem af en virksomheds øverste eller daglige ledelse eller personen har indgivet begæring om eller er under gældssanering. </w:t>
      </w:r>
    </w:p>
    <w:p w14:paraId="1F522341" w14:textId="77777777" w:rsidR="00564E60" w:rsidRPr="00796736" w:rsidRDefault="00564E60" w:rsidP="00A802A5">
      <w:pPr>
        <w:spacing w:after="240" w:line="360" w:lineRule="auto"/>
        <w:contextualSpacing/>
        <w:rPr>
          <w:rFonts w:ascii="Times New Roman" w:hAnsi="Times New Roman" w:cs="Times New Roman"/>
          <w:sz w:val="24"/>
          <w:szCs w:val="24"/>
        </w:rPr>
      </w:pPr>
    </w:p>
    <w:p w14:paraId="2D1F3FFE" w14:textId="272490B0" w:rsidR="00564E60" w:rsidRPr="00796736" w:rsidRDefault="00564E60"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Der indføres med 6. hvidvaskdirektiv et nyt eksplicit krav om, at den øverste ledelse i udbydere af tjenesteydelser til truster og virksomheder skal besidde den viden og ekspertise, der er nødvendig for, at de kan udføre deres opgaver.  </w:t>
      </w:r>
      <w:r w:rsidR="004A72D6" w:rsidRPr="00796736">
        <w:rPr>
          <w:rFonts w:ascii="Times New Roman" w:hAnsi="Times New Roman" w:cs="Times New Roman"/>
          <w:sz w:val="24"/>
          <w:szCs w:val="24"/>
        </w:rPr>
        <w:t>Derudover fremgår det mere klart af artikel 6, stk. 1, medlemmerne af den øverste ledelse og reelle ejere af udbydere af tjenester til truster eller virksomheder skal have et godt omdømme og handle med hæderlighed og integritet.</w:t>
      </w:r>
    </w:p>
    <w:p w14:paraId="22E6C2C6" w14:textId="77777777" w:rsidR="00564E60" w:rsidRPr="00796736" w:rsidRDefault="00564E60" w:rsidP="00A802A5">
      <w:pPr>
        <w:spacing w:after="240" w:line="360" w:lineRule="auto"/>
        <w:contextualSpacing/>
        <w:rPr>
          <w:rFonts w:ascii="Times New Roman" w:hAnsi="Times New Roman" w:cs="Times New Roman"/>
          <w:sz w:val="24"/>
          <w:szCs w:val="24"/>
        </w:rPr>
      </w:pPr>
    </w:p>
    <w:p w14:paraId="09CAF50F" w14:textId="77777777" w:rsidR="00564E60" w:rsidRPr="00796736" w:rsidRDefault="00564E60"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Erhvervsministeriet lægger til grund, at begrebet øverste ledelse skal forstås i overensstemmelse med definitionen i hvidvaskforordningens artikel 2, stk. 1, nr. 40. Dette vil medføre, at begrebet omfatter både virksomhedens øverste ledelse, daglige ledelse og medarbejdere og ansatte med tilstrækkeligt kendskab til den forpligtede enheds risikoeksponering for hvidvask af penge og finansiering af terrorisme og med tilstrækkelig anciennitet til at træffe beslutninger med indvirkning på dets risikoeksponering.</w:t>
      </w:r>
    </w:p>
    <w:p w14:paraId="4A27ECBB" w14:textId="77777777" w:rsidR="00564E60" w:rsidRPr="00796736" w:rsidRDefault="00564E60" w:rsidP="00A802A5">
      <w:pPr>
        <w:spacing w:after="240" w:line="360" w:lineRule="auto"/>
        <w:contextualSpacing/>
        <w:rPr>
          <w:rFonts w:ascii="Times New Roman" w:hAnsi="Times New Roman" w:cs="Times New Roman"/>
          <w:sz w:val="24"/>
          <w:szCs w:val="24"/>
        </w:rPr>
      </w:pPr>
    </w:p>
    <w:p w14:paraId="78B1A92F" w14:textId="77777777" w:rsidR="00564E60" w:rsidRPr="00796736" w:rsidRDefault="00564E60"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Det foreslås derfor, at der fremadrettet ikke kan ske registrering af udbydere af tjenesteydelser til truster og virksomheder, hvis et medlem af virksomhedens øverste eller daglige ledelse eller personen ikke har den viden og ekspertise, der er nødvendig for at udføre opgaverne. Medlemmer af virksomhedens øverste eller daglige ledelse skal i forbindelse med registrering fremadrettet indsende dokumentation for, at de besidder den nødvendige viden for at kunne udbyde tjenesteydelser til truster eller virksomheder.</w:t>
      </w:r>
    </w:p>
    <w:p w14:paraId="52B45574" w14:textId="77777777" w:rsidR="00564E60" w:rsidRPr="00796736" w:rsidRDefault="00564E60" w:rsidP="00A802A5">
      <w:pPr>
        <w:spacing w:after="240" w:line="360" w:lineRule="auto"/>
        <w:contextualSpacing/>
        <w:rPr>
          <w:rFonts w:ascii="Times New Roman" w:hAnsi="Times New Roman" w:cs="Times New Roman"/>
          <w:sz w:val="24"/>
          <w:szCs w:val="24"/>
        </w:rPr>
      </w:pPr>
    </w:p>
    <w:p w14:paraId="6B3F13D6" w14:textId="77777777" w:rsidR="00564E60" w:rsidRPr="00796736" w:rsidRDefault="00564E60"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Kravet om dokumentation af, at den øverste ledelse i udbydere af tjenesteydelser til truster og virksomheder besidder den nødvendige viden, vil finde anvendelse på registreringer efter lovens ikrafttrædelse eller såfremt der ønskes foretaget ændringer i eksisterende registreringer efter lovens ikrafttrædelse.</w:t>
      </w:r>
    </w:p>
    <w:p w14:paraId="6DE8EAA1" w14:textId="77777777" w:rsidR="00564E60" w:rsidRPr="00796736" w:rsidRDefault="00564E60" w:rsidP="00A802A5">
      <w:pPr>
        <w:spacing w:after="240" w:line="360" w:lineRule="auto"/>
        <w:contextualSpacing/>
        <w:rPr>
          <w:rFonts w:ascii="Times New Roman" w:hAnsi="Times New Roman" w:cs="Times New Roman"/>
          <w:sz w:val="24"/>
          <w:szCs w:val="24"/>
        </w:rPr>
      </w:pPr>
    </w:p>
    <w:p w14:paraId="0E6CA088" w14:textId="77777777" w:rsidR="004A72D6" w:rsidRPr="00796736" w:rsidRDefault="004A72D6" w:rsidP="00A802A5">
      <w:pPr>
        <w:spacing w:after="240" w:line="360" w:lineRule="auto"/>
        <w:contextualSpacing/>
        <w:rPr>
          <w:rFonts w:ascii="Times New Roman" w:hAnsi="Times New Roman" w:cs="Times New Roman"/>
          <w:sz w:val="24"/>
          <w:szCs w:val="24"/>
        </w:rPr>
      </w:pPr>
      <w:bookmarkStart w:id="1357" w:name="_Toc232109244"/>
      <w:bookmarkStart w:id="1358" w:name="_Ref233022194"/>
      <w:bookmarkStart w:id="1359" w:name="_Ref233022695"/>
      <w:bookmarkStart w:id="1360" w:name="_Ref239342080"/>
      <w:r w:rsidRPr="00796736">
        <w:rPr>
          <w:rFonts w:ascii="Times New Roman" w:hAnsi="Times New Roman" w:cs="Times New Roman"/>
          <w:sz w:val="24"/>
          <w:szCs w:val="24"/>
        </w:rPr>
        <w:t xml:space="preserve">Derudover foreslås det, at der ikke kan ske registrering, hvis medlemmer af den øverste ledelse og reelle ejere ikke har et godt omdømme og handler med hæderlighed og integritet. </w:t>
      </w:r>
    </w:p>
    <w:p w14:paraId="785734E1" w14:textId="77777777" w:rsidR="004A72D6" w:rsidRPr="00796736" w:rsidRDefault="004A72D6" w:rsidP="00A802A5">
      <w:pPr>
        <w:spacing w:after="240" w:line="360" w:lineRule="auto"/>
        <w:contextualSpacing/>
        <w:rPr>
          <w:rFonts w:ascii="Times New Roman" w:hAnsi="Times New Roman" w:cs="Times New Roman"/>
          <w:sz w:val="24"/>
          <w:szCs w:val="24"/>
        </w:rPr>
      </w:pPr>
    </w:p>
    <w:p w14:paraId="449493C6" w14:textId="77777777"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Det fremgår af direktivet, at AMLA vil udstede retningslinjer for kriterierne for at vurdere godt omdømme, hæderlighed og integritet samt viden og ekspertise den 10. juli 2029. Det foreslås at frem til kriterierne udstedes vil et ledelsesmedlem eller en reel ejer vurderes at have et godt omdømme, hvis andet ikke er påvist eller der er nogen grund til nære begrundet tvivl om vedkommendes gode omdømme. </w:t>
      </w:r>
    </w:p>
    <w:p w14:paraId="12F5EC79" w14:textId="77777777" w:rsidR="004A72D6" w:rsidRPr="00796736" w:rsidRDefault="004A72D6" w:rsidP="00A802A5">
      <w:pPr>
        <w:spacing w:after="240" w:line="360" w:lineRule="auto"/>
        <w:contextualSpacing/>
        <w:rPr>
          <w:rFonts w:ascii="Times New Roman" w:hAnsi="Times New Roman" w:cs="Times New Roman"/>
          <w:sz w:val="24"/>
          <w:szCs w:val="24"/>
        </w:rPr>
      </w:pPr>
    </w:p>
    <w:p w14:paraId="7F7D93C1" w14:textId="6700C097"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Den foreslåede ordning vil ligeledes indebære, at den gældende bemyndigelse til fastsættelse af regler om Erhvervsstyrelsens register for udbydere af tjenesteydelser til virksomheder efter den gældende hvidvasklovs § 61 videreføres og udvides til også at omfavne fastsættelse af nærmere regler for den generelle</w:t>
      </w:r>
      <w:r w:rsidR="003D2A25">
        <w:rPr>
          <w:rFonts w:ascii="Times New Roman" w:hAnsi="Times New Roman" w:cs="Times New Roman"/>
          <w:sz w:val="24"/>
          <w:szCs w:val="24"/>
        </w:rPr>
        <w:t xml:space="preserve"> </w:t>
      </w:r>
      <w:r w:rsidRPr="00796736">
        <w:rPr>
          <w:rFonts w:ascii="Times New Roman" w:hAnsi="Times New Roman" w:cs="Times New Roman"/>
          <w:sz w:val="24"/>
          <w:szCs w:val="24"/>
        </w:rPr>
        <w:t>registreringsordning, der implementerer direktivets krav om minimumsregistrering, af den øvrige del af Erhvervsstyrelsens tilsynspopulation.</w:t>
      </w:r>
    </w:p>
    <w:p w14:paraId="0F9A3CFE" w14:textId="77777777" w:rsidR="004A72D6" w:rsidRPr="00796736" w:rsidRDefault="004A72D6" w:rsidP="00A802A5">
      <w:pPr>
        <w:spacing w:after="240" w:line="360" w:lineRule="auto"/>
        <w:contextualSpacing/>
        <w:rPr>
          <w:rFonts w:ascii="Times New Roman" w:hAnsi="Times New Roman" w:cs="Times New Roman"/>
          <w:sz w:val="24"/>
          <w:szCs w:val="24"/>
        </w:rPr>
      </w:pPr>
    </w:p>
    <w:p w14:paraId="2B2282B7" w14:textId="47E9079C"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Med den foreslåede ordning bemyndiges erhvervs- og konkurrencekraftsministeren til at bestemme ikrafttrædelsestidspunktet for den generelle registreringsordning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_Ref236728924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447C31A6" w14:textId="77777777" w:rsidR="004A72D6" w:rsidRPr="00796736" w:rsidRDefault="004A72D6" w:rsidP="00A802A5">
      <w:pPr>
        <w:spacing w:after="240" w:line="360" w:lineRule="auto"/>
        <w:contextualSpacing/>
        <w:rPr>
          <w:rFonts w:ascii="Times New Roman" w:hAnsi="Times New Roman" w:cs="Times New Roman"/>
          <w:sz w:val="24"/>
          <w:szCs w:val="24"/>
        </w:rPr>
      </w:pPr>
    </w:p>
    <w:p w14:paraId="6B898711" w14:textId="10CAA6FB"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 xml:space="preserve">Med den foreslåede ordning bemyndiges erhvervs- og konkurrencekraftsministeren til at bestemme ikrafttrædelsestidspunktet for den generelle registreringsordning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_Ref236728924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160F883F" w14:textId="77777777" w:rsidR="004A72D6" w:rsidRPr="00796736" w:rsidRDefault="004A72D6" w:rsidP="00A802A5">
      <w:pPr>
        <w:spacing w:after="240" w:line="360" w:lineRule="auto"/>
        <w:contextualSpacing/>
        <w:rPr>
          <w:rFonts w:ascii="Times New Roman" w:hAnsi="Times New Roman" w:cs="Times New Roman"/>
          <w:sz w:val="24"/>
          <w:szCs w:val="24"/>
        </w:rPr>
      </w:pPr>
    </w:p>
    <w:p w14:paraId="6CEA901B" w14:textId="01735E27" w:rsidR="004A72D6" w:rsidRPr="00796736" w:rsidRDefault="004A72D6" w:rsidP="00A802A5">
      <w:pPr>
        <w:spacing w:after="240" w:line="360" w:lineRule="auto"/>
        <w:contextualSpacing/>
        <w:rPr>
          <w:rFonts w:ascii="Times New Roman" w:hAnsi="Times New Roman" w:cs="Times New Roman"/>
          <w:sz w:val="24"/>
          <w:szCs w:val="24"/>
        </w:rPr>
      </w:pPr>
      <w:r w:rsidRPr="00796736">
        <w:rPr>
          <w:rFonts w:ascii="Times New Roman" w:hAnsi="Times New Roman" w:cs="Times New Roman"/>
          <w:sz w:val="24"/>
          <w:szCs w:val="24"/>
        </w:rPr>
        <w:t>For nærmere om registreringsordningen henvises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_Ref236728924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_Ref233022553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w:t>
      </w:r>
    </w:p>
    <w:p w14:paraId="367DAC0C" w14:textId="4B941E9F" w:rsidR="00F31F3B" w:rsidRPr="00796736" w:rsidRDefault="009524B9" w:rsidP="00A802A5">
      <w:pPr>
        <w:pStyle w:val="Overskrift2"/>
        <w:rPr>
          <w:rFonts w:ascii="Times New Roman" w:hAnsi="Times New Roman"/>
          <w:sz w:val="24"/>
        </w:rPr>
      </w:pPr>
      <w:bookmarkStart w:id="1361" w:name="_Ref241665910"/>
      <w:bookmarkStart w:id="1362" w:name="_Toc244880780"/>
      <w:r w:rsidRPr="00796736">
        <w:rPr>
          <w:rFonts w:ascii="Times New Roman" w:hAnsi="Times New Roman"/>
          <w:sz w:val="24"/>
        </w:rPr>
        <w:t>Erhvervsstyrelsens nye tilsynsbeføjelser</w:t>
      </w:r>
      <w:bookmarkEnd w:id="1357"/>
      <w:bookmarkEnd w:id="1358"/>
      <w:bookmarkEnd w:id="1359"/>
      <w:bookmarkEnd w:id="1360"/>
      <w:bookmarkEnd w:id="1361"/>
      <w:bookmarkEnd w:id="1362"/>
    </w:p>
    <w:p w14:paraId="0E3E110B" w14:textId="0C678777" w:rsidR="00F31F3B" w:rsidRPr="00796736" w:rsidRDefault="00F31F3B" w:rsidP="00A802A5">
      <w:pPr>
        <w:pStyle w:val="Overskrift4"/>
        <w:rPr>
          <w:rFonts w:ascii="Times New Roman" w:hAnsi="Times New Roman" w:cs="Times New Roman"/>
          <w:sz w:val="24"/>
          <w:szCs w:val="24"/>
        </w:rPr>
      </w:pPr>
      <w:bookmarkStart w:id="1363" w:name="_Toc232109245"/>
      <w:r w:rsidRPr="00796736">
        <w:rPr>
          <w:rFonts w:ascii="Times New Roman" w:hAnsi="Times New Roman" w:cs="Times New Roman"/>
          <w:sz w:val="24"/>
          <w:szCs w:val="24"/>
        </w:rPr>
        <w:t>Gældende ret</w:t>
      </w:r>
      <w:bookmarkEnd w:id="1363"/>
    </w:p>
    <w:p w14:paraId="39052AA5" w14:textId="77777777" w:rsidR="00680962" w:rsidRPr="00796736" w:rsidRDefault="006809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Erhvervsstyrelsens mulighed for at give tilsynsreaktioner, herunder påbud og påtaler, følger af styrelsens generelle adgang og pligt til at påse overholdelse af hvidvaskloven, jf. §§ 57 og 60 i den gældende hvidvasklov. </w:t>
      </w:r>
    </w:p>
    <w:p w14:paraId="1641DFAD" w14:textId="77777777" w:rsidR="00680962" w:rsidRPr="00796736" w:rsidRDefault="006809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har i henhold til hvidvasklovens § 60 beføjelse til at påbyde virksomheder og personer, der er omfattet af hvidvaskloven, regler udstedt i medfør heraf eller forordninger indeholdende regler om finansielle sanktioner mod lande, personer, grupper, juridiske enheder eller organer, at foretage nødvendige foranstaltninger, hvis der sker overtrædelse af reguleringen.</w:t>
      </w:r>
    </w:p>
    <w:p w14:paraId="782E9A41" w14:textId="77777777" w:rsidR="00680962" w:rsidRPr="00796736" w:rsidRDefault="006809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at et påbud anvendes i de situationer, hvor Erhvervsstyrelsen påbyder en bestemt adfærd eller handling fremover. Det kan både skyldes, at en virksomhed eller person handler i strid med loven, eller at en virksomhed eller person undlader at handle, hvor handling er påkrævet efter loven. </w:t>
      </w:r>
    </w:p>
    <w:p w14:paraId="2EE0A879" w14:textId="77777777" w:rsidR="00680962" w:rsidRPr="00796736" w:rsidRDefault="00680962" w:rsidP="00A802A5">
      <w:pPr>
        <w:spacing w:line="360" w:lineRule="auto"/>
        <w:rPr>
          <w:rFonts w:ascii="Times New Roman" w:hAnsi="Times New Roman" w:cs="Times New Roman"/>
          <w:sz w:val="24"/>
          <w:szCs w:val="24"/>
        </w:rPr>
      </w:pPr>
    </w:p>
    <w:p w14:paraId="7BAC0358" w14:textId="77777777" w:rsidR="00680962" w:rsidRPr="00796736" w:rsidRDefault="006809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kan ikke udstedes påbud for enhver overtrædelse af lovgivningen. Som udgangspunkt skal påbudsmuligheden anvendes i forbindelse med virksomheders og personers overtrædelse af kravene, når overtrædelserne er alvorlige, gentagne, systematiske eller en kombination heraf. Derudover skal der som udgangspunkt alene anvendes påbud i forbindelse med overtrædelser af kapitel 2 om risikovurdering og risikostyring, kapitel 3 om kundekendskabsprocedurer og kapitel 5 om undersøgelses- noterings- underretnings- og opbevaringspligt. Påbud kan dog i begrænset omfang anvendes i andre situationer, hvis der er tale om særligt grove, gentagne eller systematiske overtrædelser af hvidvaskloven.</w:t>
      </w:r>
    </w:p>
    <w:p w14:paraId="11093B8F" w14:textId="77777777" w:rsidR="00680962" w:rsidRPr="00796736" w:rsidRDefault="00680962" w:rsidP="00A802A5">
      <w:pPr>
        <w:spacing w:line="360" w:lineRule="auto"/>
        <w:rPr>
          <w:rFonts w:ascii="Times New Roman" w:hAnsi="Times New Roman" w:cs="Times New Roman"/>
          <w:sz w:val="24"/>
          <w:szCs w:val="24"/>
        </w:rPr>
      </w:pPr>
    </w:p>
    <w:p w14:paraId="2A3EA8B4" w14:textId="77777777" w:rsidR="00680962" w:rsidRPr="00796736" w:rsidRDefault="006809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168.</w:t>
      </w:r>
    </w:p>
    <w:p w14:paraId="40DACD5E" w14:textId="77777777" w:rsidR="00680962" w:rsidRPr="00796736" w:rsidRDefault="00680962" w:rsidP="00A802A5">
      <w:pPr>
        <w:spacing w:line="360" w:lineRule="auto"/>
        <w:rPr>
          <w:rFonts w:ascii="Times New Roman" w:hAnsi="Times New Roman" w:cs="Times New Roman"/>
          <w:sz w:val="24"/>
          <w:szCs w:val="24"/>
        </w:rPr>
      </w:pPr>
    </w:p>
    <w:p w14:paraId="25057008" w14:textId="77777777" w:rsidR="00680962" w:rsidRPr="00796736" w:rsidRDefault="006809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af bemærkningerne, at Erhvervsstyrelsen efter bestemmelsen vil kunne udstede et midlertidigt forbud om, at personer i den daglige ledelse i en virksomhed eller andre fysiske personer, der holdes ansvarlige for overtrædelsen, varetager ledelsen af opgaver i relation til opfyldelse af kravene i lovforslaget. Personen kan derfor uanset et midlertidigt forbud stadig varetage andre ledelsesmæssige opgaver. Udover den daglige ledelse kan der yderligere udstedes et midlertidigt forbud om personen med fuldmagt i henhold til § 7, stk. 2, varetager disse opgaver. At forbuddet er midlertidigt betyder, at det skal udstedes for en kortere periode, hvor det er nødvendigt f.eks. for at forhindre hvidvask eller terrorfinansiering at fjerne den pågældende person i en kortere periode. I tilfælde hvor et midlertidigt forbud ikke er tilstrækkeligt, men der er behov for f.eks. at afsætte en direktør vil der som udgangspunkt ikke skulle udstedes et påbud om midlertidigt forbud efter hvidvaskloven.</w:t>
      </w:r>
    </w:p>
    <w:p w14:paraId="5CA7B76D" w14:textId="77777777" w:rsidR="00680962" w:rsidRPr="00796736" w:rsidRDefault="00680962" w:rsidP="00A802A5">
      <w:pPr>
        <w:spacing w:line="360" w:lineRule="auto"/>
        <w:rPr>
          <w:rFonts w:ascii="Times New Roman" w:hAnsi="Times New Roman" w:cs="Times New Roman"/>
          <w:sz w:val="24"/>
          <w:szCs w:val="24"/>
        </w:rPr>
      </w:pPr>
    </w:p>
    <w:p w14:paraId="2934A63E" w14:textId="77777777" w:rsidR="00680962" w:rsidRPr="00796736" w:rsidRDefault="006809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168.</w:t>
      </w:r>
    </w:p>
    <w:p w14:paraId="63DA639A" w14:textId="77777777" w:rsidR="00680962" w:rsidRPr="00796736" w:rsidRDefault="00680962" w:rsidP="00A802A5">
      <w:pPr>
        <w:spacing w:line="360" w:lineRule="auto"/>
        <w:rPr>
          <w:rFonts w:ascii="Times New Roman" w:hAnsi="Times New Roman" w:cs="Times New Roman"/>
          <w:sz w:val="24"/>
          <w:szCs w:val="24"/>
        </w:rPr>
      </w:pPr>
    </w:p>
    <w:p w14:paraId="4C2BE4EF" w14:textId="77777777" w:rsidR="00680962" w:rsidRPr="00796736" w:rsidRDefault="006809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gældende hvidvasklovs § 60, stk. 2 regulerer skæringstidspunktet for, hvornår dokumentation skal være udarbejdet for at indgå i Erhvervsstyrelsens vurdering for tildeling af tilsynsmæssige reaktioner. </w:t>
      </w:r>
    </w:p>
    <w:p w14:paraId="4AFA846F" w14:textId="77777777" w:rsidR="00680962" w:rsidRPr="00796736" w:rsidRDefault="00680962" w:rsidP="00A802A5">
      <w:pPr>
        <w:spacing w:line="360" w:lineRule="auto"/>
        <w:rPr>
          <w:rFonts w:ascii="Times New Roman" w:hAnsi="Times New Roman" w:cs="Times New Roman"/>
          <w:sz w:val="24"/>
          <w:szCs w:val="24"/>
        </w:rPr>
      </w:pPr>
    </w:p>
    <w:p w14:paraId="07B7677A" w14:textId="77777777" w:rsidR="00680962" w:rsidRPr="00796736" w:rsidRDefault="006809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hvidvasklovens § 60, stk. 2, 1. pkt., at reaktioner givet efter § 60, stk. 2 skal træffes på grundlag af det materiale og de oplysninger, som foreligger på tidspunktet for tilsynsbesøgets afslutning. Det følger yderligere af hvidvasklovens § 60, stk. 2, 2. pkt., at oplysninger og materiale fremlagt efter tidspunktet for tilsynets afslutning ikke indgår i grundlaget for afgørelsen, medmindre særlige forhold taler herfor. </w:t>
      </w:r>
    </w:p>
    <w:p w14:paraId="22095BEF" w14:textId="77777777" w:rsidR="00680962" w:rsidRPr="00796736" w:rsidRDefault="00680962" w:rsidP="00A802A5">
      <w:pPr>
        <w:spacing w:line="360" w:lineRule="auto"/>
        <w:rPr>
          <w:rFonts w:ascii="Times New Roman" w:hAnsi="Times New Roman" w:cs="Times New Roman"/>
          <w:sz w:val="24"/>
          <w:szCs w:val="24"/>
        </w:rPr>
      </w:pPr>
    </w:p>
    <w:p w14:paraId="5C18A488" w14:textId="77777777" w:rsidR="00680962" w:rsidRPr="00796736" w:rsidRDefault="006809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bemærkningerne til bestemmelsen, at afslutningstidspunktet for et fysisk tilsyn vil være det tidspunkt, hvor Erhvervsstyrelsen meddeler, at den fysiske gennemgang og indsamling af materiale er afsluttet, mens det for et skrivebordstilsyn vil være den frist, som Erhvervsstyrelsen har sat for fremsendelse af det anmodede materiale.</w:t>
      </w:r>
    </w:p>
    <w:p w14:paraId="386CE4E6" w14:textId="77777777" w:rsidR="00680962" w:rsidRPr="00796736" w:rsidRDefault="00680962" w:rsidP="00A802A5">
      <w:pPr>
        <w:spacing w:line="360" w:lineRule="auto"/>
        <w:rPr>
          <w:rFonts w:ascii="Times New Roman" w:hAnsi="Times New Roman" w:cs="Times New Roman"/>
          <w:sz w:val="24"/>
          <w:szCs w:val="24"/>
        </w:rPr>
      </w:pPr>
    </w:p>
    <w:p w14:paraId="236FE3BF" w14:textId="77777777" w:rsidR="00113E46" w:rsidRPr="00796736" w:rsidRDefault="00113E4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2025-26 (2. samling), tillæg A, L 9 som fremsat, side 24-25.</w:t>
      </w:r>
    </w:p>
    <w:p w14:paraId="50C352BD" w14:textId="77777777" w:rsidR="00680962" w:rsidRPr="00796736" w:rsidRDefault="00680962" w:rsidP="00A802A5">
      <w:pPr>
        <w:spacing w:line="360" w:lineRule="auto"/>
        <w:rPr>
          <w:rFonts w:ascii="Times New Roman" w:hAnsi="Times New Roman" w:cs="Times New Roman"/>
          <w:sz w:val="24"/>
          <w:szCs w:val="24"/>
        </w:rPr>
      </w:pPr>
    </w:p>
    <w:p w14:paraId="681CAE9E" w14:textId="467C3F35" w:rsidR="00680962" w:rsidRPr="00796736" w:rsidRDefault="00113E4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eksisterer ikke i den gældende hvidvasklov en mulighed for Erhvervsstyrelsen til at påbyde en reel ejer at afhænde sine ejerandele eller anmode om tvangsopløsning af en forpligtet enhed, såfremt den reelle ejer ikke afhænder sine ejerandele. Det bemærkes dog, at lov nr. 1648 af 16. december 2025 om ændring af udlændingeloven, lov om Det Centrale Personregister og forskellige andre love, der vedrører afskæring fra en række offentlige tilbud for personer, der har ulovligt ophold i Danmark, indfører hjemler i henholdsvis selskabsloven og erhvervsvirksomhedsloven til at påbyde afhændelse af kapitalandele henholdsvis ejerandele for personer med ulovligt ophold i Danmark. Derudover blev der den 25. juni 2026 fremsat lovforslag om ændring af lov om anvendelsen af visse af Den Europæiske Unions retsakter om økonomiske forbindelser til tredjelande m.v., hvori der indføres regler om suspension af sanktionerede personers forvaltningsmæssige og økonomiske beføjelser.</w:t>
      </w:r>
    </w:p>
    <w:p w14:paraId="75F0FC1F" w14:textId="77777777" w:rsidR="00680962" w:rsidRPr="00796736" w:rsidRDefault="00680962" w:rsidP="00A802A5">
      <w:pPr>
        <w:spacing w:line="360" w:lineRule="auto"/>
        <w:rPr>
          <w:rFonts w:ascii="Times New Roman" w:hAnsi="Times New Roman" w:cs="Times New Roman"/>
          <w:sz w:val="24"/>
          <w:szCs w:val="24"/>
        </w:rPr>
      </w:pPr>
    </w:p>
    <w:p w14:paraId="5D14AEA5" w14:textId="7AC4A191" w:rsidR="00F31F3B" w:rsidRPr="00796736" w:rsidRDefault="00F31F3B" w:rsidP="00A802A5">
      <w:pPr>
        <w:pStyle w:val="Overskrift4"/>
        <w:rPr>
          <w:rFonts w:ascii="Times New Roman" w:hAnsi="Times New Roman" w:cs="Times New Roman"/>
          <w:sz w:val="24"/>
          <w:szCs w:val="24"/>
        </w:rPr>
      </w:pPr>
      <w:bookmarkStart w:id="1364" w:name="_Toc232109246"/>
      <w:bookmarkStart w:id="1365" w:name="_Ref232940263"/>
      <w:r w:rsidRPr="00796736">
        <w:rPr>
          <w:rFonts w:ascii="Times New Roman" w:hAnsi="Times New Roman" w:cs="Times New Roman"/>
          <w:sz w:val="24"/>
          <w:szCs w:val="24"/>
        </w:rPr>
        <w:t>6. hvidvaskdirektiv</w:t>
      </w:r>
      <w:bookmarkEnd w:id="1364"/>
      <w:bookmarkEnd w:id="1365"/>
    </w:p>
    <w:p w14:paraId="6BBB2748"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6. hvidvaskdirektivs artikel 6, stk. 4, at medlemsstaterne skal sikre, at tilsynsorganerne har beføjelse til at anmode om, at enhver person, der er dømt for hvidvask af penge, de relevante underliggende lovovertrædelser eller finansiering af terrorisme, fjernes fra den øverste ledelse i forpligtede enheder omfattet af artikel 6, stk.1 og 2. Medlemsstaterne skal sikre, at tilsynsorganerne har beføjelser til at fjerne eller pålægge et midlertidigt forbud mod medlemmer af den øverste ledelse i udbydere af tjenesteydelser til truster og virksomheder, som ikke har et godt omdømme, som ikke anses for at handle med hæderlighed og integritet eller som ikke besidder den viden og ekspertise, der er nødvendig for, at de kan udføre deres opgave.</w:t>
      </w:r>
    </w:p>
    <w:p w14:paraId="05DEE76D"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direktivets artikel 6, stk. 5 medlemsstaterne skal sikre, at tilsynsorganerne har beføjelse til at adskille personer, der er dømt for hvidvask af penge, de relevante underliggende lovovertrædelser eller finansiering af terrorisme, som er reelle ejere af forpligtede enheder som omhandlet i stk. 1 og 2, fra forpligtede enheder, herunder ved at give tilsynsorganerne beføjelse til at anmode disse reelle ejere om at afhænde besiddelsen i forpligtede enheder.</w:t>
      </w:r>
    </w:p>
    <w:p w14:paraId="5360F439"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derudover af direktivets artikel 6, stk. 7, at medlemsstaterne sikrer, at afgørelser truffet af tilsynsorganer i henhold til denne artikel gøres til genstand for effektive afhjælpende procedurer, herunder retsmidler. </w:t>
      </w:r>
    </w:p>
    <w:p w14:paraId="49860E51"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6. hvidvaskdirektivs artikel 37, stk. 6, litra b, at medlemsstaterne skal sikre, at tilsynsorganerne har tilstrækkelige beføjelser til at udføre deres opgaver, herunder beføjelse til at anvende passende og forholdsmæssige administrative foranstaltninger or at afhjælpe situationen i tilfælde af overtrædelser, herunder ved at pålægge bøder i overensstemmelse med direktivets kapitel 4, afdeling 4.</w:t>
      </w:r>
    </w:p>
    <w:p w14:paraId="36E00A93"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direktivets artikel 53, stk. 1, at medlemsstaterne skal sikre, at forpligtede enheder kan drages til ansvar for overtrædelser af hvidvaskforordningen og Europa-Parlamentets og Rådets forordning (EU) 2023/1113 af 31. maj om oplysninger, der skal medsendes ved pengeoverførsler og ved overførsler af visse kryptoaktiver.</w:t>
      </w:r>
    </w:p>
    <w:p w14:paraId="4C027860"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artikel 53, stk. 2 fremgår det, at uden at det berører medlemsstaternes ret til at fastsætte og pålægge strafferetlige sanktioner, fastsætter medlemsstaterne regler for bøder og administrative foranstaltninger og sikrer, at tilsynsorganerne kan pålægge sådanne bøder og anvende administrative foranstaltninger i forbindelse med overtrædelser af hvidvaskforordningen eller Europa-Parlamentets og Rådets forordning (EU) 2023/1113 af 31. maj om oplysninger, der skal medsendes ved pengeoverførsler og ved overførsler af visse kryptoaktiver og sikrer, at de håndhæves. Enhver bøde, som pålægges, eller foranstaltning, som anvendes, i henhold til denne afdeling, skal være effektiv, stå i rimeligt forhold til overtrædelsen og have afskrækkende virkning.</w:t>
      </w:r>
    </w:p>
    <w:p w14:paraId="15D0E5F3"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artikel 53, stk. 4, 1. afsnit, fremgår det, at i tilfælde af overtrædelse af forordning (EU) 2024/1624 og (EU) 2023/1113 sikrer medlemsstaterne, at der, når der gælder forpligtelser for juridiske personer, kan pålægges bøder og anvendes administrative foranstaltninger over for ikke blot den juridiske person, men også den øverste ledelse og over for andre fysiske personer, som i henhold til national ret er ansvarlige for overtrædelsen.</w:t>
      </w:r>
    </w:p>
    <w:p w14:paraId="0A126469"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artikel 53, stk. 6, litra a-h fremgår en ikke-udtømmende oplistning af relevante omstændigheder, som medlemsstaterne skal medlemsstaterne sikre, at tilsynsorganerne tager højde for, når de fastsætter typen og niveauet af bøder eller andre administrative foranstaltninger, hvis det er relevant. De relevante omstændigheder kan være (a) overtrædelsens grovhed og varighed, (b) antallet af gentagelser af overtrædelsen, (c) graden af ansvar hos den fysiske eller juridiske person, der holdes ansvarlig, (d) den finansielle styrke hos den fysiske eller juridiske person, der holdes ansvarlig, herunder i lyset af dennes samlede omsætning eller årsindkomst, (e) den opnåede fordel, der er opnået som følge af overtrædelsen begået af den fysiske eller juridiske person, der holdes ansvarlig, såfremt den kan beregnes, (f) tredjemands tab som følge af overtrædelsen, såfremt de kan beregnes, (g) graden af samarbejde mellem den fysiske eller juridiske person, der holdes ansvarlig, og den kompetente myndighed og (h) overtrædelser, som den fysiske eller juridiske person, der holdes ansvarlig, tidligere har begået. </w:t>
      </w:r>
    </w:p>
    <w:p w14:paraId="7EA2CE68" w14:textId="77777777" w:rsidR="00147F38" w:rsidRPr="00796736" w:rsidRDefault="00147F38" w:rsidP="00A802A5">
      <w:pPr>
        <w:spacing w:after="240" w:line="360" w:lineRule="auto"/>
        <w:rPr>
          <w:rFonts w:ascii="Times New Roman" w:hAnsi="Times New Roman" w:cs="Times New Roman"/>
          <w:sz w:val="24"/>
          <w:szCs w:val="24"/>
        </w:rPr>
      </w:pPr>
      <w:r w:rsidRPr="00796736">
        <w:rPr>
          <w:rFonts w:ascii="Times New Roman" w:hAnsi="Times New Roman" w:cs="Times New Roman"/>
          <w:iCs/>
          <w:sz w:val="24"/>
          <w:szCs w:val="24"/>
        </w:rPr>
        <w:t xml:space="preserve">Det fremgår af artikel 53, stk. 10, at senest den 10. juli 2026 udarbejder AMLA udkast til reguleringsmæssige tekniske standarder og forelægger dem for Kommissionen med henblik på vedtagelse. Disse udkast til reguleringsmæssige tekniske standarder fastsætter: (a) indikatorer til klassificering af niveauet af overtrædelsernes grovhed, (b) kriterier, der skal tages i betragtning, når bødeniveauet fastsættes, eller når der anvendes administrative foranstaltninger i henhold til denne afdeling, og (c) en metode til pålæggelse af tvangsbøder i henhold til artikel 57, herunder hyppigheden heraf. </w:t>
      </w:r>
    </w:p>
    <w:p w14:paraId="46D569D0" w14:textId="77777777" w:rsidR="00147F38" w:rsidRPr="00796736" w:rsidRDefault="00147F38" w:rsidP="00A802A5">
      <w:pPr>
        <w:tabs>
          <w:tab w:val="left" w:pos="2202"/>
        </w:tabs>
        <w:spacing w:line="360" w:lineRule="auto"/>
        <w:rPr>
          <w:rFonts w:ascii="Times New Roman" w:hAnsi="Times New Roman" w:cs="Times New Roman"/>
          <w:sz w:val="24"/>
          <w:szCs w:val="24"/>
        </w:rPr>
      </w:pPr>
      <w:r w:rsidRPr="00796736">
        <w:rPr>
          <w:rFonts w:ascii="Times New Roman" w:hAnsi="Times New Roman" w:cs="Times New Roman"/>
          <w:sz w:val="24"/>
          <w:szCs w:val="24"/>
        </w:rPr>
        <w:t>6. hvidvaskdirektivs artikel 56 fastlægger de administrative foranstaltninger som et tilsynsorgan kan anvende over for en forpligtet enhed.</w:t>
      </w:r>
    </w:p>
    <w:p w14:paraId="0449181F" w14:textId="77777777" w:rsidR="00147F38" w:rsidRPr="00796736" w:rsidRDefault="00147F38" w:rsidP="00A802A5">
      <w:pPr>
        <w:tabs>
          <w:tab w:val="left" w:pos="2202"/>
        </w:tabs>
        <w:spacing w:line="360" w:lineRule="auto"/>
        <w:rPr>
          <w:rFonts w:ascii="Times New Roman" w:hAnsi="Times New Roman" w:cs="Times New Roman"/>
          <w:sz w:val="24"/>
          <w:szCs w:val="24"/>
        </w:rPr>
      </w:pPr>
    </w:p>
    <w:p w14:paraId="032F22A6" w14:textId="77777777" w:rsidR="00147F38" w:rsidRPr="00796736" w:rsidRDefault="00147F38" w:rsidP="00A802A5">
      <w:pPr>
        <w:tabs>
          <w:tab w:val="left" w:pos="2202"/>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56, stk. 1, at medlemsstaterne skal sikre, at tilsynsorganerne kan anvende administrative foranstaltninger over for en forpligtet enhed, hvis de konstaterer (a) overtrædelser af hvidvaskforordningen eller Europa-Parlamentets og Rådets forordning (EU) 2023/1113 om oplysninger, der skal medsendes ved pengeoverførster og ved overførsler af visse kryptoaktiver, enten i kombination med bøder for alvorlige, gentagne og systematiske overtrædelser eller alene, (b) svagheder i den forpligtede enheds interne politikker, procedurer og kontroller, som sandsynligvis vil føre til overtrædelser af de krav, der er omhandlet i (a), og administrative foranstaltninger kan forhindre forekomsten af disse overtrædelser eller mindske risikoen herfor, eller (c) at den forpligtede enhed har interne politikker, procedurer og kontroller, der ikke står i et rimeligt forhold til de risici for hvidvask af penge, de underliggende lovovertrædelser eller finansiering af terrorisme, som enheden er eksponeret for. </w:t>
      </w:r>
    </w:p>
    <w:p w14:paraId="4250F56C" w14:textId="77777777" w:rsidR="00147F38" w:rsidRPr="00796736" w:rsidRDefault="00147F38" w:rsidP="00A802A5">
      <w:pPr>
        <w:tabs>
          <w:tab w:val="left" w:pos="2202"/>
        </w:tabs>
        <w:spacing w:line="360" w:lineRule="auto"/>
        <w:rPr>
          <w:rFonts w:ascii="Times New Roman" w:hAnsi="Times New Roman" w:cs="Times New Roman"/>
          <w:sz w:val="24"/>
          <w:szCs w:val="24"/>
        </w:rPr>
      </w:pPr>
    </w:p>
    <w:p w14:paraId="36E41624" w14:textId="77777777" w:rsidR="00147F38" w:rsidRPr="00796736" w:rsidRDefault="00147F38" w:rsidP="00A802A5">
      <w:pPr>
        <w:tabs>
          <w:tab w:val="left" w:pos="2202"/>
        </w:tabs>
        <w:spacing w:line="360" w:lineRule="auto"/>
        <w:rPr>
          <w:rFonts w:ascii="Times New Roman" w:hAnsi="Times New Roman" w:cs="Times New Roman"/>
          <w:sz w:val="24"/>
          <w:szCs w:val="24"/>
        </w:rPr>
      </w:pPr>
      <w:r w:rsidRPr="00796736">
        <w:rPr>
          <w:rFonts w:ascii="Times New Roman" w:hAnsi="Times New Roman" w:cs="Times New Roman"/>
          <w:sz w:val="24"/>
          <w:szCs w:val="24"/>
        </w:rPr>
        <w:t>I artikel 56, stk. 2, oplistes de administrative foranstaltninger, som medlemsstaterne skal sikre, at tilsynsorganerne som minimum kan. Tilsynsorganerne skal kunne (a) udstede henstillinger, (b) påbyde forpligtede enheder at overholde, herunder at gennemføre, specifikke korrigerende foranstaltninger, (c) udstede en offentlig meddelelse, hvori den fysiske eller juridiske person og overtrædelsens art identificeres, (d) udstede et påbud om, at den fysiske eller juridiske person skal bringe den udviste adfærd til ophør og undlade at gentage en sådan adfærd, (e) indskrænke eller begrænse forretningsaktiviteter, transaktioner eller netværk af institutter, der udgør den forpligtede enhed eller kræve afhændelse af aktiviteter, (f) hvor en forpligtet enhed er underlagt krav om en tilladelse, trække tilladelsen tilbage eller suspendere den og (g) kræve ændringer i ledelsesstrukturen.</w:t>
      </w:r>
    </w:p>
    <w:p w14:paraId="67322EC1" w14:textId="77777777" w:rsidR="00147F38" w:rsidRPr="00796736" w:rsidRDefault="00147F38" w:rsidP="00A802A5">
      <w:pPr>
        <w:tabs>
          <w:tab w:val="left" w:pos="2202"/>
        </w:tabs>
        <w:spacing w:line="360" w:lineRule="auto"/>
        <w:rPr>
          <w:rFonts w:ascii="Times New Roman" w:hAnsi="Times New Roman" w:cs="Times New Roman"/>
          <w:sz w:val="24"/>
          <w:szCs w:val="24"/>
        </w:rPr>
      </w:pPr>
    </w:p>
    <w:p w14:paraId="0B388D7D" w14:textId="77777777" w:rsidR="00147F38" w:rsidRPr="00796736" w:rsidRDefault="00147F38" w:rsidP="00A802A5">
      <w:pPr>
        <w:tabs>
          <w:tab w:val="left" w:pos="2202"/>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artikel 56, stk. 3 fremgår det som tilsynsorganerne skal kunne opnå ved hjælp af de administrative foranstaltninger, der er nævnt i stk. 2. Tilsynsorganerne skal herefter navnlig kunne (a) kræve fremlæggelse uden unødigt ophold af data eller oplysninger, der er nødvendige for udførelsen af deres opgaver, kræve indgivelse af dokumenter eller pålægge yderligere eller hyppigere indberetningskrav, (b) stille krav om, at interne politikker, procedurer og kontroller styrkes, (c) kræve, at den forpligtede enhed anvender en specifik politik eller specifikke krav vedrørende kategorier af kunder eller individuelle kunder, transaktioner, aktiviteter eller leveringskanaler, der udgør en høj risiko, (d) kræve gennemførelse af foranstaltninger til nedbringelse af de risici for hvidvask af penge eller finansiering af terrorisme, der er forbundet med den forpligtede enheds aktiviteter og produkter og (e) indføre et midlertidigt forbud mod, at personer med ledelsesansvar i en forpligtet enhed eller andre fysiske personer, der er blevet holdt ansvarlige for overtrædelsen varetager ledelsesfunktioner i forpligtede enheder. </w:t>
      </w:r>
    </w:p>
    <w:p w14:paraId="1398B30E" w14:textId="77777777" w:rsidR="00147F38" w:rsidRPr="00796736" w:rsidRDefault="00147F38" w:rsidP="00A802A5">
      <w:pPr>
        <w:tabs>
          <w:tab w:val="left" w:pos="2202"/>
        </w:tabs>
        <w:spacing w:line="360" w:lineRule="auto"/>
        <w:rPr>
          <w:rFonts w:ascii="Times New Roman" w:hAnsi="Times New Roman" w:cs="Times New Roman"/>
          <w:sz w:val="24"/>
          <w:szCs w:val="24"/>
        </w:rPr>
      </w:pPr>
    </w:p>
    <w:p w14:paraId="6419CDDE" w14:textId="77777777" w:rsidR="00147F38" w:rsidRPr="00796736" w:rsidRDefault="00147F38" w:rsidP="00A802A5">
      <w:pPr>
        <w:tabs>
          <w:tab w:val="left" w:pos="2202"/>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Bestemmelsens stk. 4 fastlægger, at de administrative foranstaltninger skal ledsages af bindende frister for gennemførelse, hvor det er relevant. Medlemsstaterne skal sikre, at tilsynsorganerne følger op på og vurderer den forpligtede enheds gennemførelse af de krævede tiltag. </w:t>
      </w:r>
    </w:p>
    <w:p w14:paraId="4CFB96D0" w14:textId="77777777" w:rsidR="00147F38" w:rsidRPr="00796736" w:rsidRDefault="00147F38" w:rsidP="00A802A5">
      <w:pPr>
        <w:tabs>
          <w:tab w:val="left" w:pos="2202"/>
        </w:tabs>
        <w:spacing w:line="360" w:lineRule="auto"/>
        <w:rPr>
          <w:rFonts w:ascii="Times New Roman" w:hAnsi="Times New Roman" w:cs="Times New Roman"/>
          <w:sz w:val="24"/>
          <w:szCs w:val="24"/>
        </w:rPr>
      </w:pPr>
    </w:p>
    <w:p w14:paraId="6AD5893E" w14:textId="77777777" w:rsidR="00147F38" w:rsidRPr="00796736" w:rsidRDefault="00147F38" w:rsidP="00A802A5">
      <w:pPr>
        <w:tabs>
          <w:tab w:val="left" w:pos="2202"/>
        </w:tabs>
        <w:spacing w:line="360" w:lineRule="auto"/>
        <w:rPr>
          <w:rFonts w:ascii="Times New Roman" w:hAnsi="Times New Roman" w:cs="Times New Roman"/>
          <w:sz w:val="24"/>
          <w:szCs w:val="24"/>
        </w:rPr>
      </w:pPr>
      <w:r w:rsidRPr="00796736">
        <w:rPr>
          <w:rFonts w:ascii="Times New Roman" w:hAnsi="Times New Roman" w:cs="Times New Roman"/>
          <w:sz w:val="24"/>
          <w:szCs w:val="24"/>
        </w:rPr>
        <w:t>Efter artikel 56, stk. 5, kan medlemsstaterne give tilsynsmyndighederne beføjelse til at anvende yderligere typer af administrative foranstaltninger ud over dem, der er omhandlet i artiklens stk. 2</w:t>
      </w:r>
    </w:p>
    <w:p w14:paraId="1CFF0E01" w14:textId="77777777" w:rsidR="00147F38" w:rsidRPr="00796736" w:rsidRDefault="00147F38" w:rsidP="00A802A5">
      <w:pPr>
        <w:tabs>
          <w:tab w:val="left" w:pos="2202"/>
        </w:tabs>
        <w:spacing w:line="360" w:lineRule="auto"/>
        <w:rPr>
          <w:rFonts w:ascii="Times New Roman" w:hAnsi="Times New Roman" w:cs="Times New Roman"/>
          <w:sz w:val="24"/>
          <w:szCs w:val="24"/>
        </w:rPr>
      </w:pPr>
    </w:p>
    <w:p w14:paraId="7FC90737" w14:textId="77777777" w:rsidR="00147F38" w:rsidRPr="00796736" w:rsidRDefault="00147F38" w:rsidP="00A802A5">
      <w:pPr>
        <w:tabs>
          <w:tab w:val="left" w:pos="2202"/>
        </w:tabs>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6. hvidvaskdirektivs præambelbetragtning nr. 101, at vigtigheden af at bekæmpe hvidvask af penge og finansiering af terrorisme, bør føre til, at medlemsstaterne i deres nationale ret fastsætte bøder og administrative foranstaltninger, der er effektive, står i rimeligt forhold til overtrædelsen og har afskrækkende virkning, for manglende efterlevelse af forordning (EU) 2024/1624. Medlemsstaterne bør give de nationale tilsynsorganer beføjelse til at anvende sådanne administrative foranstaltninger overfor forpligtede enheder for at afhjælpe situationen i tilfælde af overtrædelser og, hvis overtrædelsen berettiger det, pålægge bøder. Afhængigt af de organisatoriske systemer, der findes i medlemsstaterne, kunne sådanne foranstaltninger og sanktioner også anvendes i et samarbejde mellem tilsynsorganer og andre myndigheder, ved uddelegering fra tilsynsorganerne til andre myndigheder eller ved anmodning fra tilsynsorganerne til judicielle myndigheder. Bøderne og de administrative foranstaltninger bør være så brede, at medlemsstaterne og tilsynsorganerne kan tage højde for de forskelle, der er mellem forpligtede enheder, navnlig mellem kreditinstitutter og finansieringsinstitutter og andre forpligtede enheder, for så vidt angår deres størrelse og karakteristika samt forretningsaktiviteternes omfang.</w:t>
      </w:r>
    </w:p>
    <w:p w14:paraId="5E26B46D" w14:textId="77777777" w:rsidR="00147F38" w:rsidRPr="00796736" w:rsidRDefault="00147F38" w:rsidP="00A802A5">
      <w:pPr>
        <w:tabs>
          <w:tab w:val="left" w:pos="2202"/>
        </w:tabs>
        <w:spacing w:line="360" w:lineRule="auto"/>
        <w:rPr>
          <w:rFonts w:ascii="Times New Roman" w:hAnsi="Times New Roman" w:cs="Times New Roman"/>
          <w:sz w:val="24"/>
          <w:szCs w:val="24"/>
        </w:rPr>
      </w:pPr>
    </w:p>
    <w:p w14:paraId="0DE4A5B9" w14:textId="77777777" w:rsidR="00147F38" w:rsidRPr="00796736" w:rsidRDefault="00147F38" w:rsidP="00A802A5">
      <w:pPr>
        <w:tabs>
          <w:tab w:val="left" w:pos="2202"/>
        </w:tabs>
        <w:spacing w:line="360" w:lineRule="auto"/>
        <w:rPr>
          <w:rFonts w:ascii="Times New Roman" w:hAnsi="Times New Roman" w:cs="Times New Roman"/>
          <w:sz w:val="24"/>
          <w:szCs w:val="24"/>
        </w:rPr>
      </w:pPr>
      <w:r w:rsidRPr="00796736">
        <w:rPr>
          <w:rFonts w:ascii="Times New Roman" w:hAnsi="Times New Roman" w:cs="Times New Roman"/>
          <w:sz w:val="24"/>
          <w:szCs w:val="24"/>
        </w:rPr>
        <w:t>Af 6. hvidvaskdirektivs præambelbetragtning nr. 105 fremgår det, at med henblik på at sikre, at forpligtede enheder overholder kravene til bekæmpelse af hvidvask af penge og finansiering af terrorisme og effektivt afbøder de risici for hvidvask af penge, de underliggende lovovertrædelser og finansiering af terrorisme, som de er eksponeret for, bør tilsynsorganerne kunne anvende administrative foranstaltninger ikke blot for at afhjælpe konstaterede overtrædelser, men også hvis de konstaterer, at svagheder i de interne politikker, procedurer og kontroller sandsynligvis vil føre til overtrædelser af kravene til bekæmpelse af hvidvask af penge og finansiering af terrorisme, eller hvis disse politikker, procedurer og kontroller er utilstrækkelige til at afbøde risici. Omfanget af anvendte administrative foranstaltninger og den tid, som forpligtede enheder har til at gennemføre de krævede tiltag, afhænger af de specifikke overtrædelser eller svagheder, der er konstateret. Hvis der konstateres flere overtrædelser eller svagheder, kunne der gælde forskellige frister for gennemførelsen af de enkelte administrative foranstaltninger. I overensstemmelse med målet med offentliggørelse om at straffe og uddanne, bør kun afgørelser om at anvende administrative foranstaltninger i forbindelse med overtrædelser af kravene til bekæmpelse af hvidvask af penge og finansiering af terrorisme offentliggøres, men ikke administrative foranstaltninger, der anvendes for at forhindre en sådan overtrædelse.</w:t>
      </w:r>
    </w:p>
    <w:p w14:paraId="23401039" w14:textId="77777777" w:rsidR="00147F38" w:rsidRPr="00796736" w:rsidRDefault="00147F38" w:rsidP="00A802A5">
      <w:pPr>
        <w:spacing w:line="360" w:lineRule="auto"/>
        <w:rPr>
          <w:rFonts w:ascii="Times New Roman" w:hAnsi="Times New Roman" w:cs="Times New Roman"/>
          <w:sz w:val="24"/>
          <w:szCs w:val="24"/>
        </w:rPr>
      </w:pPr>
    </w:p>
    <w:p w14:paraId="7E208DD0" w14:textId="64772080" w:rsidR="00F31F3B" w:rsidRPr="00796736" w:rsidRDefault="00F31F3B" w:rsidP="00A802A5">
      <w:pPr>
        <w:pStyle w:val="Overskrift4"/>
        <w:rPr>
          <w:rFonts w:ascii="Times New Roman" w:hAnsi="Times New Roman" w:cs="Times New Roman"/>
          <w:sz w:val="24"/>
          <w:szCs w:val="24"/>
        </w:rPr>
      </w:pPr>
      <w:bookmarkStart w:id="1366" w:name="_Toc232109247"/>
      <w:r w:rsidRPr="00796736">
        <w:rPr>
          <w:rFonts w:ascii="Times New Roman" w:hAnsi="Times New Roman" w:cs="Times New Roman"/>
          <w:sz w:val="24"/>
          <w:szCs w:val="24"/>
        </w:rPr>
        <w:t>Erhvervsministeriets overvejelser og den foreslåede ordning</w:t>
      </w:r>
      <w:bookmarkEnd w:id="1366"/>
      <w:r w:rsidRPr="00796736">
        <w:rPr>
          <w:rFonts w:ascii="Times New Roman" w:hAnsi="Times New Roman" w:cs="Times New Roman"/>
          <w:sz w:val="24"/>
          <w:szCs w:val="24"/>
        </w:rPr>
        <w:t xml:space="preserve"> </w:t>
      </w:r>
    </w:p>
    <w:p w14:paraId="4756B4C9" w14:textId="114C4A55"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beskrevet i pkt. </w:t>
      </w:r>
      <w:r w:rsidR="00830E09" w:rsidRPr="00796736">
        <w:rPr>
          <w:rFonts w:ascii="Times New Roman" w:hAnsi="Times New Roman" w:cs="Times New Roman"/>
          <w:sz w:val="24"/>
          <w:szCs w:val="24"/>
        </w:rPr>
        <w:fldChar w:fldCharType="begin"/>
      </w:r>
      <w:r w:rsidR="00830E09" w:rsidRPr="00796736">
        <w:rPr>
          <w:rFonts w:ascii="Times New Roman" w:hAnsi="Times New Roman" w:cs="Times New Roman"/>
          <w:sz w:val="24"/>
          <w:szCs w:val="24"/>
        </w:rPr>
        <w:instrText xml:space="preserve"> REF _Ref232940263 \n \h </w:instrText>
      </w:r>
      <w:r w:rsidR="00967618" w:rsidRPr="00796736">
        <w:rPr>
          <w:rFonts w:ascii="Times New Roman" w:hAnsi="Times New Roman" w:cs="Times New Roman"/>
          <w:sz w:val="24"/>
          <w:szCs w:val="24"/>
        </w:rPr>
        <w:instrText xml:space="preserve"> \* MERGEFORMAT </w:instrText>
      </w:r>
      <w:r w:rsidR="00830E09" w:rsidRPr="00796736">
        <w:rPr>
          <w:rFonts w:ascii="Times New Roman" w:hAnsi="Times New Roman" w:cs="Times New Roman"/>
          <w:sz w:val="24"/>
          <w:szCs w:val="24"/>
        </w:rPr>
      </w:r>
      <w:r w:rsidR="00830E0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3.63.2</w:t>
      </w:r>
      <w:r w:rsidR="00830E0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pålægger 6. hvidvaskdirektiv i artikel 56 medlemsstaterne at indføre en bredere forpligtelse for tilsynsmyndighederne til at tildele administrative foranstaltninger, både henset til hvornår der skal tildeles administrative foranstaltninger, men også karakteren af de administrative foranstaltninger ændres. Dertil kommer at 6. hvidvaskdirektiv i artikel 6 pålægger medlemsstaterne at sikre, at tilsynsmyndighederne under visse omstændigheder kan afsætte et medlem af den øverste ledelse samt skal kunne adskille dømte reelle ejere fra forpligtede enheder. </w:t>
      </w:r>
    </w:p>
    <w:p w14:paraId="64625AFC"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Erhvervsministeriet vurderer på denne baggrund, at der er behov for at videreføre den gældende påbudsbestemmelse med visse indholdsmæssige ændringer, som afspejler de nye krav i 6. hvidvaskdirektivs artikel 56, stk. 1. </w:t>
      </w:r>
    </w:p>
    <w:p w14:paraId="2C4958D4"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ordning vil Erhvervsstyrelsen fortsat kunne tildele påbud, når der foreligger en konstateret overtrædelse af hvidvaskreguleringen, herunder hvidvaskforordningen og hvidvaskloven. Derudover vil styrelsen få hjemmel til at meddele påbud, hvis det vurderes, at der foreligger svagheder i interne politikker, procedurer og kontroller, som kan føre til overtrædelser af hvidvaskvaskreguleringen, eller når det vurderes, at interne politikker, procedurer og kontroller ikke står i rimeligt forhold til de risici som den pågældende virksomhed eller person er eksponeret for. </w:t>
      </w:r>
    </w:p>
    <w:p w14:paraId="14E18A58"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skal i forbindelse med fastsættelsen af hvilken reaktion, der skal anvendes tage hensyn til alle relevante omstændigheder, herunder de faktorer, der er opremset i 6. hvidvaskdirektivs artikel 53, stk. 6.</w:t>
      </w:r>
    </w:p>
    <w:p w14:paraId="2B8516D4" w14:textId="56274E40"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beskrevet under </w:t>
      </w:r>
      <w:r w:rsidR="00AE2F00" w:rsidRPr="00796736">
        <w:rPr>
          <w:rFonts w:ascii="Times New Roman" w:hAnsi="Times New Roman" w:cs="Times New Roman"/>
          <w:sz w:val="24"/>
          <w:szCs w:val="24"/>
        </w:rPr>
        <w:t>pkt.</w:t>
      </w:r>
      <w:r w:rsidR="003D2A25">
        <w:rPr>
          <w:rFonts w:ascii="Times New Roman" w:hAnsi="Times New Roman" w:cs="Times New Roman"/>
          <w:sz w:val="24"/>
          <w:szCs w:val="24"/>
        </w:rPr>
        <w:t xml:space="preserve"> </w:t>
      </w:r>
      <w:r w:rsidR="003D2A25">
        <w:rPr>
          <w:rFonts w:ascii="Times New Roman" w:hAnsi="Times New Roman" w:cs="Times New Roman"/>
          <w:sz w:val="24"/>
          <w:szCs w:val="24"/>
        </w:rPr>
        <w:fldChar w:fldCharType="begin"/>
      </w:r>
      <w:r w:rsidR="003D2A25">
        <w:rPr>
          <w:rFonts w:ascii="Times New Roman" w:hAnsi="Times New Roman" w:cs="Times New Roman"/>
          <w:sz w:val="24"/>
          <w:szCs w:val="24"/>
        </w:rPr>
        <w:instrText xml:space="preserve"> REF _Ref241665910 \n \h </w:instrText>
      </w:r>
      <w:r w:rsidR="00CB248D">
        <w:rPr>
          <w:rFonts w:ascii="Times New Roman" w:hAnsi="Times New Roman" w:cs="Times New Roman"/>
          <w:sz w:val="24"/>
          <w:szCs w:val="24"/>
        </w:rPr>
        <w:instrText xml:space="preserve"> \* MERGEFORMAT </w:instrText>
      </w:r>
      <w:r w:rsidR="003D2A25">
        <w:rPr>
          <w:rFonts w:ascii="Times New Roman" w:hAnsi="Times New Roman" w:cs="Times New Roman"/>
          <w:sz w:val="24"/>
          <w:szCs w:val="24"/>
        </w:rPr>
      </w:r>
      <w:r w:rsidR="003D2A25">
        <w:rPr>
          <w:rFonts w:ascii="Times New Roman" w:hAnsi="Times New Roman" w:cs="Times New Roman"/>
          <w:sz w:val="24"/>
          <w:szCs w:val="24"/>
        </w:rPr>
        <w:fldChar w:fldCharType="separate"/>
      </w:r>
      <w:r w:rsidR="008F29E5">
        <w:rPr>
          <w:rFonts w:ascii="Times New Roman" w:hAnsi="Times New Roman" w:cs="Times New Roman"/>
          <w:sz w:val="24"/>
          <w:szCs w:val="24"/>
        </w:rPr>
        <w:t>3.63</w:t>
      </w:r>
      <w:r w:rsidR="003D2A25">
        <w:rPr>
          <w:rFonts w:ascii="Times New Roman" w:hAnsi="Times New Roman" w:cs="Times New Roman"/>
          <w:sz w:val="24"/>
          <w:szCs w:val="24"/>
        </w:rPr>
        <w:fldChar w:fldCharType="end"/>
      </w:r>
      <w:r w:rsidR="00AE2F00" w:rsidRPr="00796736">
        <w:rPr>
          <w:rFonts w:ascii="Times New Roman" w:hAnsi="Times New Roman" w:cs="Times New Roman"/>
          <w:sz w:val="24"/>
          <w:szCs w:val="24"/>
        </w:rPr>
        <w:t>.</w:t>
      </w:r>
      <w:r w:rsidRPr="00796736">
        <w:rPr>
          <w:rFonts w:ascii="Times New Roman" w:hAnsi="Times New Roman" w:cs="Times New Roman"/>
          <w:sz w:val="24"/>
          <w:szCs w:val="24"/>
        </w:rPr>
        <w:t xml:space="preserve"> lægger Erhvervsstyrelsen ved vurderingen af, om der skal gives et påbud eller en påtale for en overtrædelse af hvidvaskreguleringen, de faktiske forhold i virksomheden eller personen, som foreligger på tilsynstidspunktet, til grund. Det er således virksomhedens eller personens faktuelle forhold på tilsynstidspunktet, dvs. det tidspunkt hvor Erhvervsstyrelsen konstaterer overtrædelsen, uanset om tilsynet gennemføres hos virksomheden eller personen eller som et skrivebordstilsyn, som danner grundlag for, om Erhvervsstyrelsen skal udstede påbud eller en påtale. </w:t>
      </w:r>
    </w:p>
    <w:p w14:paraId="2BC99A15"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Det er fortsat ikke hensigten, at en virksomhed eller person skal udarbejde og indsende nyt materiale eller indhente ny dokumentation, som ikke var til stede på tidspunktet for tilsynsbesøget. Materiale, som virksomheden eller personen udarbejder efterfølgende for at imødegå den konstaterede overtrædelse og fremlægger efter tidspunktet for tilsynet, bliver som udgangspunkt ikke tillagt betydning ved vurderingen af en allerede konstateret overtrædelse.</w:t>
      </w:r>
    </w:p>
    <w:p w14:paraId="7028F403"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vurderer, at der er behov for at videreføre den gældende bestemmelse for skæringstidspunktet for Erhvervsstyrelsens vurdering om en persons eller virksomheds overholdelse af hvidvaskreguleringen.</w:t>
      </w:r>
    </w:p>
    <w:p w14:paraId="6E2615DE"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videreføre den nuværende transparens om, at Erhvervsstyrelsens påbud som følge af et tilsyn som udgangspunkt træffes på grundlag af det materiale og de oplysninger, som foreligger på tidspunktet for tilsynet. Den foreslåede bestemmelse vil ligeledes videreføre den gældende undtagelse om, at der i særlige tilfælde, hvor der foreligger ekstraordinære omstændigheder, gives mulighed for, at Erhvervsstyrelsen kan vælge at inddrage materiale fremlagt efter tilsynstidspunktet. Videreførelsen af denne undtagelsesadgang sikrer den nødvendige fleksibilitet i ekstraordinære situationer uden at kompromittere forudsigeligheden i tilsynspraksis. </w:t>
      </w:r>
    </w:p>
    <w:p w14:paraId="7BA5E7B8" w14:textId="21BD570C" w:rsidR="00911473" w:rsidRPr="00796736" w:rsidRDefault="00911473"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lovens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_Ref232597715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87</w:t>
      </w:r>
      <w:r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xml:space="preserve"> </w:t>
      </w:r>
      <w:r w:rsidRPr="00796736">
        <w:rPr>
          <w:rFonts w:ascii="Times New Roman" w:hAnsi="Times New Roman" w:cs="Times New Roman"/>
          <w:sz w:val="24"/>
          <w:szCs w:val="24"/>
        </w:rPr>
        <w:t>med tilhørende bemærkninger.</w:t>
      </w:r>
    </w:p>
    <w:p w14:paraId="19AA59EA"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vurderer yderligere, at der er behov for at indføre bemyndigelser for Erhvervsstyrelsen til at udstede nye forskellige typer af påbud, som afspejler de nye krav i 6. hvidvaskdirektivs artikel 56, stk. 2 og 3 og artikel 6, stk. 4 og 5.</w:t>
      </w:r>
    </w:p>
    <w:p w14:paraId="37483415" w14:textId="177E1E4B"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Det foreslås som en ny bestemmelse, at Erhvervsstyrelsen skal kunne tildele en række nye typer af påbud for at leve op til 6. hvidvaskdirektivs artikel 56, stk. 2. Erhvervsstyrelsen vil efter den foreslåede ordning i tilfælde af, at der er konstateret en overtrædelse af hvidvaskreguleringen eller Europa-Parlamentets og Rådets forordninger om finansielle sanktioner kunne påbyde virksomheder og personer, der er underlagt Erhvervsstyrelsens tilsyn, midlertidigt ikke at udøve en nærmere afgrænset forretningsaktivitet, type af transaktioner eller afhænde aktiviteter, herunder opsige kundeforhold eller frasælge forretningsområder.</w:t>
      </w:r>
    </w:p>
    <w:p w14:paraId="6802EDCE"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Bestemmelsen giver Erhvervsstyrelsen mulighed for at iværksætte målrettede foranstaltninger mod specifikke dele af virksomhedens eller personens aktiviteter og forretningsområder ud fra en konkret vurdering af den risiko, som virksomhedens manglende efterlevelse af reglerne indebærer. Formålet med anvendelsen af de pågældende typer af påbud er således at mitigere risikoen forbundet med de konkrete overtrædelser.</w:t>
      </w:r>
    </w:p>
    <w:p w14:paraId="7FCDDD28" w14:textId="77777777" w:rsidR="00911473" w:rsidRPr="00796736" w:rsidRDefault="00911473"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nye typer af påbud er af indgribende karakter for virksomhedens eller personens aktiviteter. For at sikre, at et sådant påbud står i rimeligt forhold til overtrædelsen, vurderes det nødvendigt, at der stilles krav om, at disse typer af påbud alene kan anvendes ved alvorlige overtrædelser, som følge af alvorlige og systematiske mangler i virksomhedens risikostyring og efterlevelse af reglerne. </w:t>
      </w:r>
    </w:p>
    <w:p w14:paraId="2285D302"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 fra karakteren af påbuddene er det Erhvervsministeriets vurdering, at en sådan foranstaltning og indskrænkning i virksomhedens forretningsaktiviteter ikke skal anvendes længere end det er nødvendigt. Det foreslås, at påbuddet som udgangspunkt iværksættes som midlertidige foranstaltninger, der ophører, når virksomheden retter op på de efterlevelsesmæssige mangler og derved har inddæmmet den konstaterede risiko i det pågældende område af virksomhedens forretning. </w:t>
      </w:r>
    </w:p>
    <w:p w14:paraId="02FCA8EE"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Anvendelsen af muligheden for at indskrænke virksomhedens forretningsaktiviteter mv. skal begrænses til tilfælde, hvor de konstaterede overtrædelser er af en sådan art, at virksomhedens fortsatte og uændrede drift vil indebære en væsentlig risiko.</w:t>
      </w:r>
    </w:p>
    <w:p w14:paraId="62746CCE" w14:textId="49E9AA7A" w:rsidR="00911473" w:rsidRPr="00796736" w:rsidRDefault="00911473"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lovens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_Ref239162999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88</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xml:space="preserve"> </w:t>
      </w:r>
      <w:r w:rsidRPr="00796736">
        <w:rPr>
          <w:rFonts w:ascii="Times New Roman" w:hAnsi="Times New Roman" w:cs="Times New Roman"/>
          <w:sz w:val="24"/>
          <w:szCs w:val="24"/>
        </w:rPr>
        <w:t>med tilhørende bemærkninger.</w:t>
      </w:r>
    </w:p>
    <w:p w14:paraId="61C4BC30"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Det foreslås ydermere, at Erhvervsstyrelsen fremadrettet skal kunne påbyde virksomheder og personer, at afsætte en direktør eller påbyde et medlem af bestyrelsen i en virksomhed, at nedlægge sit hverv inden for en af Erhvervsstyrelsen fastsat frist, hvis den pågældende ikke lever op til de foreslåede egnetheds- og hæderlighedskrav i forslaget eller såfremt denne har udvist en sådan adfærd, at der er grund til at antage, at vedkommende ikke vil varetaget hvervet eller stillingen på en forsvarlig måde. Bestemmelsen er ny og indføres for at leve op til 6. hvidvaskdirektivs artikel 6, stk. 4 og artikel 56, stk. 2, litra g.</w:t>
      </w:r>
    </w:p>
    <w:p w14:paraId="53746B48"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Bestemmelsen er en udvidelse af den eksisterende adgang for Erhvervsstyrelsen til at udstede et midlertidigt forbud om, at personer i den daglige ledelse varetager ledelsen af opgaver i relation til opfyldelse af kravene i hvidvaskloven efter den gældende § 60, idet det ikke længere vil være muligt alene at foretage en indskrænkning af vedkommende ledelsesmæssige opgaver.</w:t>
      </w:r>
    </w:p>
    <w:p w14:paraId="34448DF0"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Erhvervsministeriet vurderer, at det fortsat skal være muligt for Erhvervsstyrelsen at påbyde ændring i ledelsen på baggrund af konstaterede overtrædelser af hvidvaskforordningen og hvidvaskloven, såfremt Erhvervsstyrelsen vurderer, at virksomhedens ledelse ikke iagttager sit ansvar og sine pligter til at sikre, at virksomheden efterlever reglerne og mitigerer den iboende risiko. </w:t>
      </w:r>
    </w:p>
    <w:p w14:paraId="4505EF6D"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vurderer derudover, at der er behov for at styrke Erhvervsstyrelsens muligheder for at gribe ind over for ledelsesmedlemmer, der ikke opfylder kravene til egnethed og/eller hæderlighed.</w:t>
      </w:r>
    </w:p>
    <w:p w14:paraId="0FBF0E21" w14:textId="77777777" w:rsidR="00B36A67"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Varigheden af et sådant påbud om ændringer i ledelsesstrukturen afhænger af en konkret vurdering af de bagvedliggende årsager til anvendelsen. </w:t>
      </w:r>
    </w:p>
    <w:p w14:paraId="3152914D" w14:textId="25FC7EFE" w:rsidR="003D2A25" w:rsidRPr="00796736" w:rsidRDefault="003D2A25" w:rsidP="00A802A5">
      <w:pPr>
        <w:spacing w:after="200" w:line="360" w:lineRule="auto"/>
        <w:rPr>
          <w:rFonts w:ascii="Times New Roman" w:hAnsi="Times New Roman" w:cs="Times New Roman"/>
          <w:sz w:val="24"/>
          <w:szCs w:val="24"/>
        </w:rPr>
      </w:pPr>
      <w:r w:rsidRPr="00F42BC8">
        <w:rPr>
          <w:rFonts w:ascii="Times New Roman" w:hAnsi="Times New Roman" w:cs="Times New Roman"/>
          <w:sz w:val="24"/>
          <w:szCs w:val="24"/>
        </w:rPr>
        <w:t>Såfremt virksomheden ikke afsætter det ledelsesmedlem, som påbuddet</w:t>
      </w:r>
      <w:r>
        <w:rPr>
          <w:rFonts w:ascii="Times New Roman" w:hAnsi="Times New Roman" w:cs="Times New Roman"/>
          <w:sz w:val="24"/>
          <w:szCs w:val="24"/>
        </w:rPr>
        <w:t xml:space="preserve"> </w:t>
      </w:r>
      <w:r w:rsidRPr="00F42BC8">
        <w:rPr>
          <w:rFonts w:ascii="Times New Roman" w:hAnsi="Times New Roman" w:cs="Times New Roman"/>
          <w:sz w:val="24"/>
          <w:szCs w:val="24"/>
        </w:rPr>
        <w:t>vedrører, kan Erhvervsstyrelsen afregistrere vedkommende fra Det Centrale Virksomhedsregister.</w:t>
      </w:r>
    </w:p>
    <w:p w14:paraId="36A70061" w14:textId="7749B4D6" w:rsidR="00911473" w:rsidRPr="00796736" w:rsidRDefault="00911473"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lovens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_Ref239336670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med tilhørende bemærkninger.</w:t>
      </w:r>
    </w:p>
    <w:p w14:paraId="6C12ADC1"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Det foreslås herudover indført en ny bestemmelse, der skal gøre det muligt for Erhvervsstyrelsen at adskille en dømt reel ejer fra en forpligtet enhed. Bestemmelsen er ny og indføres for at gennemføre 6. hvidvaskdirektivs artikel 6, stk. 5 krav om adskillelse af dømte reelle ejere fra forpligtede enheder.</w:t>
      </w:r>
    </w:p>
    <w:p w14:paraId="23A0A76C"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Et påbud om, at en reel ejer skal afhænde sine ejerandele, er meget indgribende i forhold til det danske erhvervsliv. Der er derfor forsøgt at lave en så skånsom model som muligt, med henblik på at kunne adskille kriminelle fra danske virksomheder, men samtidige kunne opretholde virksomhedens fortsatte mulige drift. Det er dog vurderet nødvendigt at indsætte en adgang for Erhvervsstyrelsen til i sidste ende at kunne anmode om tvangsopløsning af den pågældende virksomhed som tvangsfuldbyrdelse, såfremt hverken den dømte reelle ejer eller virksomheden efter afgivne påbud og sikrer den fornødne adskillelse.</w:t>
      </w:r>
    </w:p>
    <w:p w14:paraId="654399B2"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kan efter den foreslåede ordning påbyde en reel ejer, der er dømt for hvidvask, de relevante underliggende overtrædelser eller finansiering af terrorisme at afhænde sine ejerandele inden for en fastsat frist. Ved påbuddet suspenderes den reelle ejers økonomiske og forvaltningsmæssige beføjelser i den forpligtede enhed. </w:t>
      </w:r>
    </w:p>
    <w:p w14:paraId="6D6C3C18"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suppleres af en pligt til den forpligtede enhed, om at sikre at den reelle ejer ikke kan anvende sine økonomiske eller forvaltningsmæssige beføjelser samt en mulighed for Erhvervsstyrelsen til at påbyde den forpligtede enhed at indføre nødvendige foranstaltninger for at sikre, at den reelle ejer adskilles fra den forpligtede enhed. </w:t>
      </w:r>
    </w:p>
    <w:p w14:paraId="6C4A5D47"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Såfremt den reelle ejer ikke afhænder sine ejerandele og den forpligtede enhed ikke lever op til et påbud om at indføre nødvendige foranstaltninger, kan Erhvervsstyrelsen anmode skifteretten om at tvangsopløse den forpligtede enhed. </w:t>
      </w:r>
    </w:p>
    <w:p w14:paraId="7BE950AB" w14:textId="22BE4148"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lovens </w:t>
      </w:r>
      <w:r w:rsidR="00911473" w:rsidRPr="00796736">
        <w:rPr>
          <w:rFonts w:ascii="Times New Roman" w:hAnsi="Times New Roman" w:cs="Times New Roman"/>
          <w:sz w:val="24"/>
          <w:szCs w:val="24"/>
        </w:rPr>
        <w:t>§</w:t>
      </w:r>
      <w:r w:rsidR="00911473" w:rsidRPr="00796736">
        <w:rPr>
          <w:rFonts w:ascii="Times New Roman" w:hAnsi="Times New Roman" w:cs="Times New Roman"/>
          <w:sz w:val="24"/>
          <w:szCs w:val="24"/>
        </w:rPr>
        <w:fldChar w:fldCharType="begin"/>
      </w:r>
      <w:r w:rsidR="00911473" w:rsidRPr="00796736">
        <w:rPr>
          <w:rFonts w:ascii="Times New Roman" w:hAnsi="Times New Roman" w:cs="Times New Roman"/>
          <w:sz w:val="24"/>
          <w:szCs w:val="24"/>
        </w:rPr>
        <w:instrText xml:space="preserve"> REF _Ref232608920 \r \h </w:instrText>
      </w:r>
      <w:r w:rsidR="00F375BF" w:rsidRPr="00796736">
        <w:rPr>
          <w:rFonts w:ascii="Times New Roman" w:hAnsi="Times New Roman" w:cs="Times New Roman"/>
          <w:sz w:val="24"/>
          <w:szCs w:val="24"/>
        </w:rPr>
        <w:instrText xml:space="preserve"> \* MERGEFORMAT </w:instrText>
      </w:r>
      <w:r w:rsidR="00911473" w:rsidRPr="00796736">
        <w:rPr>
          <w:rFonts w:ascii="Times New Roman" w:hAnsi="Times New Roman" w:cs="Times New Roman"/>
          <w:sz w:val="24"/>
          <w:szCs w:val="24"/>
        </w:rPr>
      </w:r>
      <w:r w:rsidR="00911473"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90</w:t>
      </w:r>
      <w:r w:rsidR="00911473" w:rsidRPr="00796736">
        <w:rPr>
          <w:rFonts w:ascii="Times New Roman" w:hAnsi="Times New Roman" w:cs="Times New Roman"/>
          <w:sz w:val="24"/>
          <w:szCs w:val="24"/>
        </w:rPr>
        <w:fldChar w:fldCharType="end"/>
      </w:r>
      <w:r w:rsidR="00911473" w:rsidRPr="00796736">
        <w:rPr>
          <w:rFonts w:ascii="Times New Roman" w:hAnsi="Times New Roman" w:cs="Times New Roman"/>
          <w:sz w:val="24"/>
          <w:szCs w:val="24"/>
        </w:rPr>
        <w:t>-</w:t>
      </w:r>
      <w:r w:rsidR="00911473" w:rsidRPr="00796736">
        <w:rPr>
          <w:rFonts w:ascii="Times New Roman" w:hAnsi="Times New Roman" w:cs="Times New Roman"/>
          <w:sz w:val="24"/>
          <w:szCs w:val="24"/>
        </w:rPr>
        <w:fldChar w:fldCharType="begin"/>
      </w:r>
      <w:r w:rsidR="00911473" w:rsidRPr="00796736">
        <w:rPr>
          <w:rFonts w:ascii="Times New Roman" w:hAnsi="Times New Roman" w:cs="Times New Roman"/>
          <w:sz w:val="24"/>
          <w:szCs w:val="24"/>
        </w:rPr>
        <w:instrText xml:space="preserve"> REF _Ref232608991 \r \h </w:instrText>
      </w:r>
      <w:r w:rsidR="00F375BF" w:rsidRPr="00796736">
        <w:rPr>
          <w:rFonts w:ascii="Times New Roman" w:hAnsi="Times New Roman" w:cs="Times New Roman"/>
          <w:sz w:val="24"/>
          <w:szCs w:val="24"/>
        </w:rPr>
        <w:instrText xml:space="preserve"> \* MERGEFORMAT </w:instrText>
      </w:r>
      <w:r w:rsidR="00911473" w:rsidRPr="00796736">
        <w:rPr>
          <w:rFonts w:ascii="Times New Roman" w:hAnsi="Times New Roman" w:cs="Times New Roman"/>
          <w:sz w:val="24"/>
          <w:szCs w:val="24"/>
        </w:rPr>
      </w:r>
      <w:r w:rsidR="00911473"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92</w:t>
      </w:r>
      <w:r w:rsidR="00911473"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med tilhørende bemærkninger.</w:t>
      </w:r>
    </w:p>
    <w:p w14:paraId="40C8B545"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skal i forbindelse med fastsættelsen af hvilken reaktion, der skal anvendes tage hensyn til alle relevante omstændigheder, herunder de faktorer, der er opremset i 6. hvidvaskdirektivs artikel 53, stk. 6.</w:t>
      </w:r>
    </w:p>
    <w:p w14:paraId="6EDEE95C" w14:textId="77777777" w:rsidR="00B36A67" w:rsidRPr="00796736" w:rsidRDefault="00B36A67"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forskellige tilsynsforanstaltninger og påbudsmuligheder vil kunne kombineres, hvis Erhvervsstyrelsen efter en konkret vurdering finder det påkrævet af hensyn til de konstaterede overtrædelser eller risici. </w:t>
      </w:r>
    </w:p>
    <w:p w14:paraId="6A28D360" w14:textId="47E67103" w:rsidR="0099667A" w:rsidRPr="00796736" w:rsidRDefault="00B95DFA" w:rsidP="00A802A5">
      <w:pPr>
        <w:pStyle w:val="Overskrift2"/>
        <w:rPr>
          <w:rFonts w:ascii="Times New Roman" w:hAnsi="Times New Roman"/>
          <w:sz w:val="24"/>
        </w:rPr>
      </w:pPr>
      <w:bookmarkStart w:id="1367" w:name="_Toc232109248"/>
      <w:bookmarkStart w:id="1368" w:name="_Toc244880781"/>
      <w:r w:rsidRPr="00796736">
        <w:rPr>
          <w:rFonts w:ascii="Times New Roman" w:hAnsi="Times New Roman"/>
          <w:sz w:val="24"/>
        </w:rPr>
        <w:t>Offentliggørelse hos Erhvervsstyrelsen</w:t>
      </w:r>
      <w:bookmarkEnd w:id="1367"/>
      <w:bookmarkEnd w:id="1368"/>
    </w:p>
    <w:p w14:paraId="3B41FF23" w14:textId="17738FC3" w:rsidR="0099667A" w:rsidRPr="00796736" w:rsidRDefault="0099667A" w:rsidP="00A802A5">
      <w:pPr>
        <w:pStyle w:val="Overskrift4"/>
        <w:rPr>
          <w:rFonts w:ascii="Times New Roman" w:hAnsi="Times New Roman" w:cs="Times New Roman"/>
          <w:sz w:val="24"/>
          <w:szCs w:val="24"/>
        </w:rPr>
      </w:pPr>
      <w:bookmarkStart w:id="1369" w:name="_Toc232109249"/>
      <w:bookmarkStart w:id="1370" w:name="_Ref232940380"/>
      <w:r w:rsidRPr="00796736">
        <w:rPr>
          <w:rFonts w:ascii="Times New Roman" w:hAnsi="Times New Roman" w:cs="Times New Roman"/>
          <w:sz w:val="24"/>
          <w:szCs w:val="24"/>
        </w:rPr>
        <w:t>Gældende ret</w:t>
      </w:r>
      <w:bookmarkEnd w:id="1369"/>
      <w:bookmarkEnd w:id="1370"/>
    </w:p>
    <w:p w14:paraId="23C152A7" w14:textId="77777777" w:rsidR="00B95DFA" w:rsidRPr="00796736" w:rsidRDefault="00B95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Erhvervsstyrelsen skal efter den gældende hvidvasklovs § 62 offentliggøre reaktioner på Erhvervsstyrelsens hjemmeside. Offentliggørelsen skal fremgå af tilsynsmyndighedernes hjemmeside i 5 år, dog skal oplysninger personoplysninger fjernes, når oplysningerne ikke længere anses for nødvendige i forhold til de samfundsmæssige hensyn bag offentliggørelsen.</w:t>
      </w:r>
    </w:p>
    <w:p w14:paraId="4A8C9BAC" w14:textId="77777777" w:rsidR="00B95DFA" w:rsidRPr="00796736" w:rsidRDefault="00B95DFA" w:rsidP="00A802A5">
      <w:pPr>
        <w:spacing w:line="360" w:lineRule="auto"/>
        <w:rPr>
          <w:rFonts w:ascii="Times New Roman" w:hAnsi="Times New Roman" w:cs="Times New Roman"/>
          <w:sz w:val="24"/>
          <w:szCs w:val="24"/>
        </w:rPr>
      </w:pPr>
    </w:p>
    <w:p w14:paraId="0F3CE882" w14:textId="77777777" w:rsidR="00B95DFA" w:rsidRPr="00796736" w:rsidRDefault="00B95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så vidt angår offentliggørelse af fysiske personer er pligten til at offentliggøre begrænset til udvalgte bestemmelser og forudsætter alvorlig, gentagne eller systematiske overtrædelser heraf, jf. § 62, stk. 3. Dette omfatter i hovedtræk kravene om gennemførsel af kundekendskabsprocedurer, undersøgelses- og underretningspligten samt opbevaringspligten.</w:t>
      </w:r>
    </w:p>
    <w:p w14:paraId="2EB08098" w14:textId="77777777" w:rsidR="00B95DFA" w:rsidRPr="00796736" w:rsidRDefault="00B95DFA" w:rsidP="00A802A5">
      <w:pPr>
        <w:spacing w:line="360" w:lineRule="auto"/>
        <w:rPr>
          <w:rFonts w:ascii="Times New Roman" w:hAnsi="Times New Roman" w:cs="Times New Roman"/>
          <w:sz w:val="24"/>
          <w:szCs w:val="24"/>
        </w:rPr>
      </w:pPr>
    </w:p>
    <w:p w14:paraId="444217FE" w14:textId="77777777" w:rsidR="00B95DFA" w:rsidRPr="00796736" w:rsidRDefault="00B95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Erhvervsstyrelsen skal undlade at foretage offentliggørelse, såfremt det vil medføre uforholdsmæssig stor skade for virksomheden eller efterforskningsmæssige hensyn taler imod offentliggørelse. Der skal efterfølgende ske offentliggørelse, når hensynene bag undladelsen ikke længere er gældende, dog ikke hvis reaktionen eller beslutningen om politianmeldelse ligger mere end 2 år tilbage i tiden.</w:t>
      </w:r>
    </w:p>
    <w:p w14:paraId="369F3DC5" w14:textId="77777777" w:rsidR="00B95DFA" w:rsidRPr="00796736" w:rsidRDefault="00B95DFA" w:rsidP="00A802A5">
      <w:pPr>
        <w:spacing w:line="360" w:lineRule="auto"/>
        <w:rPr>
          <w:rFonts w:ascii="Times New Roman" w:hAnsi="Times New Roman" w:cs="Times New Roman"/>
          <w:sz w:val="24"/>
          <w:szCs w:val="24"/>
        </w:rPr>
      </w:pPr>
    </w:p>
    <w:p w14:paraId="161187E2" w14:textId="77777777" w:rsidR="00B95DFA" w:rsidRPr="00796736" w:rsidRDefault="00B95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Offentliggørelsesmeddelelsen skal løbende opdateres, såfremt den offentliggjorte reaktion påklages eller indbringes for domstolene. Der skal tilsvarende foretages supplerende offentliggørelse vedrørende en sag overgivet til politimæssig efterforskning, såfremt der afsiges dom eller vedtages bøde.</w:t>
      </w:r>
    </w:p>
    <w:p w14:paraId="3996B05C" w14:textId="77777777" w:rsidR="00B95DFA" w:rsidRPr="00796736" w:rsidRDefault="00B95DFA" w:rsidP="00A802A5">
      <w:pPr>
        <w:spacing w:line="360" w:lineRule="auto"/>
        <w:rPr>
          <w:rFonts w:ascii="Times New Roman" w:hAnsi="Times New Roman" w:cs="Times New Roman"/>
          <w:sz w:val="24"/>
          <w:szCs w:val="24"/>
        </w:rPr>
      </w:pPr>
    </w:p>
    <w:p w14:paraId="64F8894B" w14:textId="77777777" w:rsidR="00B95DFA" w:rsidRPr="00796736" w:rsidRDefault="00B95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Såfremt der sker påtaleopgivelse eller tiltalefrafald eller afsiges frifindende dom, skal Erhvervsstyrelsen alene offentliggøre oplysninger herom, hvis den berørte person anmoder om dette. Dette gælder også, såfremt vedkommende frifindes i en ankesag eller en genoptaget sag. </w:t>
      </w:r>
    </w:p>
    <w:p w14:paraId="2DB7F437" w14:textId="77777777" w:rsidR="00B95DFA" w:rsidRPr="00796736" w:rsidRDefault="00B95DFA" w:rsidP="00A802A5">
      <w:pPr>
        <w:spacing w:line="360" w:lineRule="auto"/>
        <w:rPr>
          <w:rFonts w:ascii="Times New Roman" w:hAnsi="Times New Roman" w:cs="Times New Roman"/>
          <w:sz w:val="24"/>
          <w:szCs w:val="24"/>
        </w:rPr>
      </w:pPr>
    </w:p>
    <w:p w14:paraId="0520A006" w14:textId="77777777" w:rsidR="00B95DFA" w:rsidRPr="00796736" w:rsidRDefault="00B95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Anmoder vedkommende, som sagen vedrører, ikke om supplerende offentliggørelse, skal Erhvervsstyrelsen fjerne alle offentliggjorte oplysninger om beslutningen om at overgive sagen til politimæssig efterforskning og eventuelle domme i sagen, for så vidt at Erhvervsstyrelsen modtager dokumentation for, at sagen er afsluttet ved endelig påtaleopgivelse eller tiltalefrafald eller endeligt frifindende dom.</w:t>
      </w:r>
    </w:p>
    <w:p w14:paraId="4FA7C8F1" w14:textId="77777777" w:rsidR="00B95DFA" w:rsidRPr="00796736" w:rsidRDefault="00B95DFA" w:rsidP="00A802A5">
      <w:pPr>
        <w:spacing w:line="360" w:lineRule="auto"/>
        <w:rPr>
          <w:rFonts w:ascii="Times New Roman" w:hAnsi="Times New Roman" w:cs="Times New Roman"/>
          <w:sz w:val="24"/>
          <w:szCs w:val="24"/>
        </w:rPr>
      </w:pPr>
    </w:p>
    <w:p w14:paraId="72D49951" w14:textId="77777777" w:rsidR="00B95DFA" w:rsidRPr="00796736" w:rsidRDefault="00B95DF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Såfremt der er tale om en ankesag eller en genoptaget sag, hvor resultatet er et andet end resultatet af den oprindelige dom, kan Erhvervsstyrelsen beslutte at fjerne dommen fra Erhvervsstyrelsens hjemmeside.</w:t>
      </w:r>
    </w:p>
    <w:p w14:paraId="063E6BFC" w14:textId="77777777" w:rsidR="00B95DFA" w:rsidRPr="00796736" w:rsidRDefault="00B95DFA" w:rsidP="00A802A5">
      <w:pPr>
        <w:spacing w:line="360" w:lineRule="auto"/>
        <w:rPr>
          <w:rFonts w:ascii="Times New Roman" w:hAnsi="Times New Roman" w:cs="Times New Roman"/>
          <w:sz w:val="24"/>
          <w:szCs w:val="24"/>
        </w:rPr>
      </w:pPr>
    </w:p>
    <w:p w14:paraId="1905DFB9" w14:textId="0A9C63A1" w:rsidR="0099667A" w:rsidRPr="00796736" w:rsidRDefault="0099667A" w:rsidP="00A802A5">
      <w:pPr>
        <w:pStyle w:val="Overskrift4"/>
        <w:rPr>
          <w:rFonts w:ascii="Times New Roman" w:hAnsi="Times New Roman" w:cs="Times New Roman"/>
          <w:sz w:val="24"/>
          <w:szCs w:val="24"/>
        </w:rPr>
      </w:pPr>
      <w:bookmarkStart w:id="1371" w:name="_Toc232109250"/>
      <w:bookmarkStart w:id="1372" w:name="_Ref232940365"/>
      <w:bookmarkStart w:id="1373" w:name="_Ref232940373"/>
      <w:r w:rsidRPr="00796736">
        <w:rPr>
          <w:rFonts w:ascii="Times New Roman" w:hAnsi="Times New Roman" w:cs="Times New Roman"/>
          <w:sz w:val="24"/>
          <w:szCs w:val="24"/>
        </w:rPr>
        <w:t>6. hvidvaskdirektiv</w:t>
      </w:r>
      <w:bookmarkEnd w:id="1371"/>
      <w:bookmarkEnd w:id="1372"/>
      <w:bookmarkEnd w:id="1373"/>
    </w:p>
    <w:p w14:paraId="41D90ED2"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Artikel 58, stk. 1, i 6. hvidvaskdirektiv pålægger medlemsstaterne at sikre, at tilsynsorganerne offentliggør afgørelser om pålæggelse af bøder, anvendelse af administrative foranstaltninger omhandlet i artikel 56, stk. 2, litra c) - g), eller tvangsbøder i et tilgængeligt format på deres websted.</w:t>
      </w:r>
    </w:p>
    <w:p w14:paraId="3F1A57F2"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p>
    <w:p w14:paraId="70ACA798"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Det fremgår af direktivets artikel 58, stk. 2, at medlemsstaterne skal sikre, at de i stk. 1 omhandlede afgørelser offentliggøres af tilsynsorganet, umiddelbart efter at de personer, der er ansvarlige for overtrædelsen, er underrettet om de pågældende afgørelser. Uanset første afsnit kan medlemsstaterne, hvis offentliggørelsen vedrører administrative foranstaltninger, som der er klaget over, og som ikke har til formål at afhjælpe alvorlige, gentagne og systematiske overtrædelser, tillade, at offentliggørelsen af disse administrative foranstaltninger udsættes indtil udløbet af klagefristen. Når offentliggørelsen vedrører afgørelser, der kan påklages, offentliggør tilsynsorganerne også omgående sådanne oplysninger og enhver efterfølgende oplysning om en klage og resultatet af en sådan klage på deres websted. Enhver afgørelse, der annullerer en tidligere afgørelse om pålæggelse af en bøde, om anvendelse af en administrativ foranstaltning eller om pålæggelse af en tvangsbøde, offentliggøres også.</w:t>
      </w:r>
    </w:p>
    <w:p w14:paraId="2AA65367"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p>
    <w:p w14:paraId="49DA6086"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Det følger af direktivets artikel 58, stk. 3, at offentliggørelse af bøder, administrative foranstaltninger og tvangsbøder som minimum skal indeholde oplysninger om overtrædelsens type, art, identiteten af de personer, der er ansvarlige, og beløbets størrelse for så vidt angår bøder og tvangsbøder. Denne forpligtelse gælder ikke for afgørelser om anvendelse af administrative foranstaltninger af efterforskningsmæssig karakter, eller ved henstillinger og udstedelse af en offentlig meddelelse, hvori den fysiske eller juridiske person og overtrædelsens art identificeres efter artikel 56, stk. 1, litra a og c, i 6. hvidvaskdirektiv.</w:t>
      </w:r>
    </w:p>
    <w:p w14:paraId="59B5C0CE"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p>
    <w:p w14:paraId="2CB28DA8"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 xml:space="preserve">Det følger af direktivets artikel 58, stk. 3, andet afsnit, at hvis tilsynsorganerne anser offentliggørelsen af identiteten på de ansvarlige personer som omhandlet i første afsnit eller sådanne personers personoplysninger for at være uforholdsmæssig efter en individuel vurdering, eller når offentliggørelsen bringer de finansielle markeders stabilitet eller en igangværende efterforskning i fare, skal tilsynsorganerne udsætte offentliggørelsen af afgørelsen, indtil begrundelsen for at undlade offentliggørelse ikke længere gør sig gældende, eller offentliggøre afgørelsen på anonymt grundlag på en måde, der er i overensstemmelse med national ret, hvis en sådan anonym offentliggørelse sikrer en effektiv beskyttelse af de pågældende personoplysninger. I så fald kan offentliggørelsen af de relevante oplysninger udsættes i et rimeligt tidsrum, hvis det forudsættes, at grundene til den anonyme offentliggørelse vil bortfalde inden for dette tidsrum. Tilsynsorganerne kan også helt undlade at offentliggøre afgørelsen, hvis mulighederne for udsættelse og offentliggørelse på anonymt grundlag anses for at være utilstrækkelige til at sikre, at de finansielle markeders stabilitet ikke bringes i fare, eller at offentliggørelsen af afgørelsen ikke står i et rimeligt forhold til bøder og administrative foranstaltninger for overtrædelser, der vurderes at være af mindre betydning. </w:t>
      </w:r>
    </w:p>
    <w:p w14:paraId="58F1324F"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p>
    <w:p w14:paraId="3823D718" w14:textId="77777777" w:rsidR="00C72A3E" w:rsidRPr="00796736" w:rsidRDefault="00C72A3E" w:rsidP="00A802A5">
      <w:pPr>
        <w:spacing w:line="360" w:lineRule="auto"/>
        <w:rPr>
          <w:rFonts w:ascii="Times New Roman" w:eastAsia="Aptos" w:hAnsi="Times New Roman" w:cs="Times New Roman"/>
          <w:color w:val="000000" w:themeColor="text1"/>
          <w:sz w:val="24"/>
          <w:szCs w:val="24"/>
        </w:rPr>
      </w:pPr>
      <w:r w:rsidRPr="00796736">
        <w:rPr>
          <w:rFonts w:ascii="Times New Roman" w:eastAsia="Aptos" w:hAnsi="Times New Roman" w:cs="Times New Roman"/>
          <w:color w:val="000000" w:themeColor="text1"/>
          <w:sz w:val="24"/>
          <w:szCs w:val="24"/>
        </w:rPr>
        <w:t xml:space="preserve">Det følger af direktivets artikel 58, stk. 4, at medlemsstaterne sikrer, at enhver offentliggørelse forbliver på tilsynsorganernes websted i 5 år efter offentliggørelsen. For så vidt angår personoplysninger indeholdt i offentliggørelsen skal de dog kun forblive på webstedet i et tidsrum i overensstemmelse med de gældende databeskyttelsesregler og under ingen omstændigheder i mere end 5 år. </w:t>
      </w:r>
    </w:p>
    <w:p w14:paraId="185269AB" w14:textId="77777777" w:rsidR="00C8787B" w:rsidRPr="00796736" w:rsidRDefault="00C8787B" w:rsidP="00A802A5">
      <w:pPr>
        <w:spacing w:line="360" w:lineRule="auto"/>
        <w:rPr>
          <w:rFonts w:ascii="Times New Roman" w:hAnsi="Times New Roman" w:cs="Times New Roman"/>
          <w:sz w:val="24"/>
          <w:szCs w:val="24"/>
        </w:rPr>
      </w:pPr>
    </w:p>
    <w:p w14:paraId="6DE5C5D1" w14:textId="501C7302" w:rsidR="0099667A" w:rsidRPr="00796736" w:rsidRDefault="00C72A3E" w:rsidP="00A802A5">
      <w:pPr>
        <w:pStyle w:val="Overskrift4"/>
        <w:rPr>
          <w:rFonts w:ascii="Times New Roman" w:hAnsi="Times New Roman" w:cs="Times New Roman"/>
          <w:sz w:val="24"/>
          <w:szCs w:val="24"/>
        </w:rPr>
      </w:pPr>
      <w:bookmarkStart w:id="1374" w:name="_Toc232109251"/>
      <w:r w:rsidRPr="00796736">
        <w:rPr>
          <w:rFonts w:ascii="Times New Roman" w:hAnsi="Times New Roman" w:cs="Times New Roman"/>
          <w:sz w:val="24"/>
          <w:szCs w:val="24"/>
        </w:rPr>
        <w:t>Erhvervsministeriets</w:t>
      </w:r>
      <w:r w:rsidR="0099667A" w:rsidRPr="00796736">
        <w:rPr>
          <w:rFonts w:ascii="Times New Roman" w:hAnsi="Times New Roman" w:cs="Times New Roman"/>
          <w:sz w:val="24"/>
          <w:szCs w:val="24"/>
        </w:rPr>
        <w:t xml:space="preserve"> overvejelser og den foreslåede ordning</w:t>
      </w:r>
      <w:bookmarkEnd w:id="1374"/>
      <w:r w:rsidR="0099667A" w:rsidRPr="00796736">
        <w:rPr>
          <w:rFonts w:ascii="Times New Roman" w:hAnsi="Times New Roman" w:cs="Times New Roman"/>
          <w:sz w:val="24"/>
          <w:szCs w:val="24"/>
        </w:rPr>
        <w:t xml:space="preserve"> </w:t>
      </w:r>
    </w:p>
    <w:p w14:paraId="1868E0B4" w14:textId="77777777" w:rsidR="000331D0" w:rsidRPr="00796736" w:rsidRDefault="000331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Erhvervsstyrelsens pligt til at foretage offentliggørelse af reaktioner og beslutninger om overdragelse af sager til politimæssig efterforskning foreslås i vid udstrækning videreført i sin eksisterende form. </w:t>
      </w:r>
    </w:p>
    <w:p w14:paraId="0A81053A" w14:textId="77777777" w:rsidR="000331D0" w:rsidRPr="00796736" w:rsidRDefault="000331D0" w:rsidP="00A802A5">
      <w:pPr>
        <w:spacing w:line="360" w:lineRule="auto"/>
        <w:rPr>
          <w:rFonts w:ascii="Times New Roman" w:hAnsi="Times New Roman" w:cs="Times New Roman"/>
          <w:sz w:val="24"/>
          <w:szCs w:val="24"/>
        </w:rPr>
      </w:pPr>
    </w:p>
    <w:p w14:paraId="12B23F84" w14:textId="77777777" w:rsidR="000331D0" w:rsidRPr="00796736" w:rsidRDefault="000331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vurderer det dog nødvendigt, at der foretages en række mindre justeringer til offentliggørelsesbestemmelsen af hensyn til at gennemføre en direktivnær implementering af 6. hvidvaskdirektivs artikel 58.</w:t>
      </w:r>
    </w:p>
    <w:p w14:paraId="5B3B5C54" w14:textId="77777777" w:rsidR="000331D0" w:rsidRPr="00796736" w:rsidRDefault="000331D0" w:rsidP="00A802A5">
      <w:pPr>
        <w:spacing w:line="360" w:lineRule="auto"/>
        <w:rPr>
          <w:rFonts w:ascii="Times New Roman" w:hAnsi="Times New Roman" w:cs="Times New Roman"/>
          <w:sz w:val="24"/>
          <w:szCs w:val="24"/>
        </w:rPr>
      </w:pPr>
    </w:p>
    <w:p w14:paraId="0F51F742" w14:textId="5AD6DE38" w:rsidR="000331D0" w:rsidRPr="00796736" w:rsidRDefault="000331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vedtagelsen af 6. hvidvaskdirektiv skal Erhvervsstyrelsens som tilsynsmyndighed sikres en række nye tilsynsbeføjelser, som nærmere behandlet under pkt.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_Ref241665910 \n \h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3.63</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w:t>
      </w:r>
      <w:r w:rsidRPr="00796736">
        <w:rPr>
          <w:rFonts w:ascii="Times New Roman" w:hAnsi="Times New Roman" w:cs="Times New Roman"/>
          <w:sz w:val="24"/>
          <w:szCs w:val="24"/>
        </w:rPr>
        <w:t xml:space="preserve"> På denne baggrund foreslås bestemmelsens stk. 1 om genstanden for offentliggørelsen udvidet, til at Erhvervsstyrelsen også pålægges at skulle offentliggøre disse nye reaktioner, herunder at Erhvervsstyrelsen også vil skulle offentliggøre anvendelsen af eventuelle tvangsbøder.</w:t>
      </w:r>
    </w:p>
    <w:p w14:paraId="5687524D" w14:textId="77777777" w:rsidR="000331D0" w:rsidRPr="00796736" w:rsidRDefault="000331D0" w:rsidP="00A802A5">
      <w:pPr>
        <w:spacing w:line="360" w:lineRule="auto"/>
        <w:rPr>
          <w:rFonts w:ascii="Times New Roman" w:hAnsi="Times New Roman" w:cs="Times New Roman"/>
          <w:sz w:val="24"/>
          <w:szCs w:val="24"/>
        </w:rPr>
      </w:pPr>
    </w:p>
    <w:p w14:paraId="206D3E13" w14:textId="77777777" w:rsidR="000331D0" w:rsidRPr="00796736" w:rsidRDefault="000331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så vidt angår offentliggørelse, der omfatter en fysisk persons navn, følger det som beskrevet under pkt. 3. 3.4.1. af den gældende hvidvasklovs § 62, stk. 3, at offentliggørelse, der omfatter en fysisk persons navn, alene kan ske ved personens alvorlige, gentagne eller systematiske overtrædelser af en række konkrete oplistede bestemmelser i loven. Det følger af de oprindelige lovbemærkningerne til bestemmelsen, at fastsættelsen af hvilke bestemmelser, der ville kunne forsvare offentliggørelsen af en fysisk persons navn, i sin tid blev fastsat med afsæt i strafbestemmelsen.</w:t>
      </w:r>
    </w:p>
    <w:p w14:paraId="19F31A2C" w14:textId="77777777" w:rsidR="000331D0" w:rsidRPr="00796736" w:rsidRDefault="000331D0" w:rsidP="00A802A5">
      <w:pPr>
        <w:spacing w:line="360" w:lineRule="auto"/>
        <w:rPr>
          <w:rFonts w:ascii="Times New Roman" w:hAnsi="Times New Roman" w:cs="Times New Roman"/>
          <w:sz w:val="24"/>
          <w:szCs w:val="24"/>
        </w:rPr>
      </w:pPr>
    </w:p>
    <w:p w14:paraId="1E3FD776" w14:textId="77777777" w:rsidR="000331D0" w:rsidRPr="00796736" w:rsidRDefault="000331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169-170.</w:t>
      </w:r>
    </w:p>
    <w:p w14:paraId="12399CAB" w14:textId="77777777" w:rsidR="000331D0" w:rsidRPr="00796736" w:rsidRDefault="000331D0" w:rsidP="00A802A5">
      <w:pPr>
        <w:spacing w:line="360" w:lineRule="auto"/>
        <w:rPr>
          <w:rFonts w:ascii="Times New Roman" w:hAnsi="Times New Roman" w:cs="Times New Roman"/>
          <w:sz w:val="24"/>
          <w:szCs w:val="24"/>
        </w:rPr>
      </w:pPr>
    </w:p>
    <w:p w14:paraId="473BF495" w14:textId="30A7E497" w:rsidR="000331D0" w:rsidRPr="00796736" w:rsidRDefault="000331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beskrevet under pkt. </w:t>
      </w:r>
      <w:r w:rsidR="00830E09" w:rsidRPr="00796736">
        <w:rPr>
          <w:rFonts w:ascii="Times New Roman" w:hAnsi="Times New Roman" w:cs="Times New Roman"/>
          <w:sz w:val="24"/>
          <w:szCs w:val="24"/>
        </w:rPr>
        <w:fldChar w:fldCharType="begin"/>
      </w:r>
      <w:r w:rsidR="00830E09" w:rsidRPr="00796736">
        <w:rPr>
          <w:rFonts w:ascii="Times New Roman" w:hAnsi="Times New Roman" w:cs="Times New Roman"/>
          <w:sz w:val="24"/>
          <w:szCs w:val="24"/>
        </w:rPr>
        <w:instrText xml:space="preserve"> REF _Ref232940365 \n \h </w:instrText>
      </w:r>
      <w:r w:rsidR="00967618" w:rsidRPr="00796736">
        <w:rPr>
          <w:rFonts w:ascii="Times New Roman" w:hAnsi="Times New Roman" w:cs="Times New Roman"/>
          <w:sz w:val="24"/>
          <w:szCs w:val="24"/>
        </w:rPr>
        <w:instrText xml:space="preserve"> \* MERGEFORMAT </w:instrText>
      </w:r>
      <w:r w:rsidR="00830E09" w:rsidRPr="00796736">
        <w:rPr>
          <w:rFonts w:ascii="Times New Roman" w:hAnsi="Times New Roman" w:cs="Times New Roman"/>
          <w:sz w:val="24"/>
          <w:szCs w:val="24"/>
        </w:rPr>
      </w:r>
      <w:r w:rsidR="00830E0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3.64.2</w:t>
      </w:r>
      <w:r w:rsidR="00830E0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følger det imidlertid af 6. hvidvaskdirektivs artikel 58, stk. 3, at der skal være tale om en individuel vurdering af forholdsmæssigheden af offentliggørelsen af personernes personoplysninger.</w:t>
      </w:r>
    </w:p>
    <w:p w14:paraId="6222D543" w14:textId="77777777" w:rsidR="000331D0" w:rsidRPr="00796736" w:rsidRDefault="000331D0" w:rsidP="00A802A5">
      <w:pPr>
        <w:spacing w:line="360" w:lineRule="auto"/>
        <w:rPr>
          <w:rFonts w:ascii="Times New Roman" w:hAnsi="Times New Roman" w:cs="Times New Roman"/>
          <w:sz w:val="24"/>
          <w:szCs w:val="24"/>
        </w:rPr>
      </w:pPr>
    </w:p>
    <w:p w14:paraId="6D5C6313" w14:textId="77777777" w:rsidR="000331D0" w:rsidRPr="00796736" w:rsidRDefault="000331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har vurderet, at der bør foretages en direktivnær implementering af direktivets artikel 58, stk. 3, hvorefter oplistningen af hvilke konkrete bestemmelser, der vil kunne godtgøre offentliggørelse for en fysisk person, foreslås skrevet ud af lovteksten, og offentliggørelse vedrørende en fysisk person i stedet beror på en individuel vurdering af forholdsmæssigheden.</w:t>
      </w:r>
    </w:p>
    <w:p w14:paraId="0C51B3C9" w14:textId="77777777" w:rsidR="000331D0" w:rsidRPr="00796736" w:rsidRDefault="000331D0" w:rsidP="00A802A5">
      <w:pPr>
        <w:spacing w:line="360" w:lineRule="auto"/>
        <w:rPr>
          <w:rFonts w:ascii="Times New Roman" w:hAnsi="Times New Roman" w:cs="Times New Roman"/>
          <w:sz w:val="24"/>
          <w:szCs w:val="24"/>
        </w:rPr>
      </w:pPr>
    </w:p>
    <w:p w14:paraId="356ADE71" w14:textId="77777777" w:rsidR="000331D0" w:rsidRPr="00796736" w:rsidRDefault="000331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Erhvervsministeriet vurderer yderligere, at der bør foretages en direktivnær implementering af 6. hvidvaskdirektivets artikel 58, stk. 3, for så vidt angår undtagelsesmulighederne til offentliggørelse, såfremt denne er uforholdsmæssig eller bringer de finansielle markeders stabilitet eller en igangværende efterforskning i fare, hvorefter Erhvervsstyrelsen blandt andet kan udlade offentliggørelse under disse hensyn, såfremt der er tale om overtrædelser af mindre betydning og offentliggørelsen heraf ikke står i rimelig forhold til reaktionen eller bøden. </w:t>
      </w:r>
    </w:p>
    <w:p w14:paraId="5FE46645" w14:textId="77777777" w:rsidR="000331D0" w:rsidRPr="00796736" w:rsidRDefault="000331D0" w:rsidP="00A802A5">
      <w:pPr>
        <w:spacing w:line="360" w:lineRule="auto"/>
        <w:rPr>
          <w:rFonts w:ascii="Times New Roman" w:hAnsi="Times New Roman" w:cs="Times New Roman"/>
          <w:sz w:val="24"/>
          <w:szCs w:val="24"/>
        </w:rPr>
      </w:pPr>
    </w:p>
    <w:p w14:paraId="5834615F" w14:textId="019A91E7" w:rsidR="000331D0" w:rsidRPr="00796736" w:rsidRDefault="000331D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beskrevet under pkt. </w:t>
      </w:r>
      <w:r w:rsidR="00830E09" w:rsidRPr="00796736">
        <w:rPr>
          <w:rFonts w:ascii="Times New Roman" w:hAnsi="Times New Roman" w:cs="Times New Roman"/>
          <w:sz w:val="24"/>
          <w:szCs w:val="24"/>
        </w:rPr>
        <w:fldChar w:fldCharType="begin"/>
      </w:r>
      <w:r w:rsidR="00830E09" w:rsidRPr="00796736">
        <w:rPr>
          <w:rFonts w:ascii="Times New Roman" w:hAnsi="Times New Roman" w:cs="Times New Roman"/>
          <w:sz w:val="24"/>
          <w:szCs w:val="24"/>
        </w:rPr>
        <w:instrText xml:space="preserve"> REF _Ref232940373 \n \h </w:instrText>
      </w:r>
      <w:r w:rsidR="00967618" w:rsidRPr="00796736">
        <w:rPr>
          <w:rFonts w:ascii="Times New Roman" w:hAnsi="Times New Roman" w:cs="Times New Roman"/>
          <w:sz w:val="24"/>
          <w:szCs w:val="24"/>
        </w:rPr>
        <w:instrText xml:space="preserve"> \* MERGEFORMAT </w:instrText>
      </w:r>
      <w:r w:rsidR="00830E09" w:rsidRPr="00796736">
        <w:rPr>
          <w:rFonts w:ascii="Times New Roman" w:hAnsi="Times New Roman" w:cs="Times New Roman"/>
          <w:sz w:val="24"/>
          <w:szCs w:val="24"/>
        </w:rPr>
      </w:r>
      <w:r w:rsidR="00830E0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3.64.2</w:t>
      </w:r>
      <w:r w:rsidR="00830E0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følger det af 6. hvidvaskdirektivs artikel 58, stk. 2, 3. afsnit, at der skal ske supplerende offentliggørelse af enhver afgørelse, der annullerer en tidligere afgørelse om bøder, reaktioner eller pålæggelse af tvangsbøder. På denne baggrund vurderer Erhvervsministeriet, at det ikke er foreneligt med 6. hvidvaskdirektiv at videreføre bestemmelserne i den gældende hvidvasklovs § 62, stk. 8 og 9 i sin eksisterende form, idet disse som beskrevet under pkt. </w:t>
      </w:r>
      <w:r w:rsidR="00830E09" w:rsidRPr="00796736">
        <w:rPr>
          <w:rFonts w:ascii="Times New Roman" w:hAnsi="Times New Roman" w:cs="Times New Roman"/>
          <w:sz w:val="24"/>
          <w:szCs w:val="24"/>
        </w:rPr>
        <w:fldChar w:fldCharType="begin"/>
      </w:r>
      <w:r w:rsidR="00830E09" w:rsidRPr="00796736">
        <w:rPr>
          <w:rFonts w:ascii="Times New Roman" w:hAnsi="Times New Roman" w:cs="Times New Roman"/>
          <w:sz w:val="24"/>
          <w:szCs w:val="24"/>
        </w:rPr>
        <w:instrText xml:space="preserve"> REF _Ref232940380 \n \h </w:instrText>
      </w:r>
      <w:r w:rsidR="00967618" w:rsidRPr="00796736">
        <w:rPr>
          <w:rFonts w:ascii="Times New Roman" w:hAnsi="Times New Roman" w:cs="Times New Roman"/>
          <w:sz w:val="24"/>
          <w:szCs w:val="24"/>
        </w:rPr>
        <w:instrText xml:space="preserve"> \* MERGEFORMAT </w:instrText>
      </w:r>
      <w:r w:rsidR="00830E09" w:rsidRPr="00796736">
        <w:rPr>
          <w:rFonts w:ascii="Times New Roman" w:hAnsi="Times New Roman" w:cs="Times New Roman"/>
          <w:sz w:val="24"/>
          <w:szCs w:val="24"/>
        </w:rPr>
      </w:r>
      <w:r w:rsidR="00830E0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3.64.1</w:t>
      </w:r>
      <w:r w:rsidR="00830E0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foreskriver, at der blandt andet kun skal ske supplerende offentliggørelse om frifindelse efter anmodning fra den pågældende person samt at Erhvervsstyrelsen i visse tilfælde kan fjerne tidligere offentliggjorte oplysninger om afgjorte domme.</w:t>
      </w:r>
    </w:p>
    <w:p w14:paraId="6C886076" w14:textId="0E316C16" w:rsidR="000331D0" w:rsidRPr="00796736" w:rsidRDefault="000331D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_Ref239774326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94</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xml:space="preserve"> </w:t>
      </w:r>
      <w:r w:rsidRPr="00796736">
        <w:rPr>
          <w:rFonts w:ascii="Times New Roman" w:hAnsi="Times New Roman" w:cs="Times New Roman"/>
          <w:sz w:val="24"/>
          <w:szCs w:val="24"/>
        </w:rPr>
        <w:t>med tilhørende bemærkninger.</w:t>
      </w:r>
    </w:p>
    <w:p w14:paraId="3C801315" w14:textId="77777777" w:rsidR="000331D0" w:rsidRPr="00796736" w:rsidRDefault="000331D0" w:rsidP="00A802A5">
      <w:pPr>
        <w:spacing w:line="360" w:lineRule="auto"/>
        <w:rPr>
          <w:rFonts w:ascii="Times New Roman" w:hAnsi="Times New Roman" w:cs="Times New Roman"/>
          <w:sz w:val="24"/>
          <w:szCs w:val="24"/>
        </w:rPr>
      </w:pPr>
    </w:p>
    <w:p w14:paraId="34708521" w14:textId="7C6A56B2" w:rsidR="004F1161" w:rsidRPr="00796736" w:rsidRDefault="00276C80" w:rsidP="00A802A5">
      <w:pPr>
        <w:pStyle w:val="Overskrift2"/>
        <w:rPr>
          <w:rFonts w:ascii="Times New Roman" w:hAnsi="Times New Roman"/>
          <w:sz w:val="24"/>
        </w:rPr>
      </w:pPr>
      <w:bookmarkStart w:id="1375" w:name="_Toc232109252"/>
      <w:bookmarkStart w:id="1376" w:name="_Toc244880782"/>
      <w:r w:rsidRPr="00796736">
        <w:rPr>
          <w:rFonts w:ascii="Times New Roman" w:hAnsi="Times New Roman"/>
          <w:sz w:val="24"/>
        </w:rPr>
        <w:t>Samarbejde, tavshedspligt og udveksling af oplysninger</w:t>
      </w:r>
      <w:bookmarkEnd w:id="1375"/>
      <w:bookmarkEnd w:id="1376"/>
    </w:p>
    <w:p w14:paraId="5BB00932" w14:textId="6ACE5F3A" w:rsidR="004F1161" w:rsidRPr="00796736" w:rsidRDefault="004F1161" w:rsidP="00A802A5">
      <w:pPr>
        <w:pStyle w:val="Overskrift4"/>
        <w:rPr>
          <w:rFonts w:ascii="Times New Roman" w:hAnsi="Times New Roman" w:cs="Times New Roman"/>
          <w:sz w:val="24"/>
          <w:szCs w:val="24"/>
        </w:rPr>
      </w:pPr>
      <w:bookmarkStart w:id="1377" w:name="_Toc232109253"/>
      <w:r w:rsidRPr="00796736">
        <w:rPr>
          <w:rFonts w:ascii="Times New Roman" w:hAnsi="Times New Roman" w:cs="Times New Roman"/>
          <w:sz w:val="24"/>
          <w:szCs w:val="24"/>
        </w:rPr>
        <w:t>Gældende ret</w:t>
      </w:r>
      <w:bookmarkEnd w:id="1377"/>
    </w:p>
    <w:p w14:paraId="014DC46A" w14:textId="77777777" w:rsidR="004F1161" w:rsidRPr="00796736" w:rsidRDefault="004F116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gældende hvidvasklovs § 57, stk. 4-6 regulerer rammerne for Erhvervsstyrelsens samarbejde med kompetente myndigheder i andre EU- eller EØS-lande. Dette indebærer, at Erhvervsstyrelsen skal samarbejde med myndighederne i andre EU- eller EØS-lande om at medvirke ved tilsynsaktiviteter og kontroller på tværs af landegrænser, herunder for det tilfælde at en virksomhed eller person er underlagt tilsyn i ét land, men udøver sine aktiviteter i et andet land. Yderligere kan tilsynsmyndigheder fra et andet EU- eller EØS-land foretage inspektioner her i landet, hvis virksomheden eller personen har hjemsted i det pågældende land, ligesom Erhvervsstyrelsen har mulighed for at anmode om at udøve sine tilsynsaktiviteter og kontroller på et andet EU- eller EØS-lands område. </w:t>
      </w:r>
    </w:p>
    <w:p w14:paraId="1F74CB42" w14:textId="77777777" w:rsidR="004F1161" w:rsidRPr="00796736" w:rsidRDefault="004F116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Erhvervsstyrelsens ansatte er efter §§ 152-152 e i straffeloven forpligtiget til at hemmeligholde fortrolige oplysninger, som de får kendskab til gennem tilsynsvirksomheden. Fortrolige oplysninger kan dog i henhold til den gældende hvidvasklovs § 63 under nærmere angivne betingelser videregives til f.eks. andre offentlige myndigheder, domstole og tilsynsmyndigheder i andre lande.</w:t>
      </w:r>
    </w:p>
    <w:p w14:paraId="5EA67805" w14:textId="77777777" w:rsidR="004F1161" w:rsidRPr="00796736" w:rsidRDefault="004F116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derudover af § 63 a i den gældende hvidvasklov, at Erhvervsstyrelsens ansatte ikke må videregive oplysninger om en person, når vedkommende har indberettet en virksomhed eller en person til Erhvervsstyrelsen for overtrædelse eller potentiel overtrædelse af hvidvaskloven. </w:t>
      </w:r>
    </w:p>
    <w:p w14:paraId="5F5D5E27" w14:textId="4DA11706" w:rsidR="004F1161" w:rsidRPr="00796736" w:rsidRDefault="004F1161" w:rsidP="00A802A5">
      <w:pPr>
        <w:pStyle w:val="Overskrift4"/>
        <w:rPr>
          <w:rFonts w:ascii="Times New Roman" w:hAnsi="Times New Roman" w:cs="Times New Roman"/>
          <w:sz w:val="24"/>
          <w:szCs w:val="24"/>
        </w:rPr>
      </w:pPr>
      <w:bookmarkStart w:id="1378" w:name="_Toc232109254"/>
      <w:r w:rsidRPr="00796736">
        <w:rPr>
          <w:rFonts w:ascii="Times New Roman" w:hAnsi="Times New Roman" w:cs="Times New Roman"/>
          <w:sz w:val="24"/>
          <w:szCs w:val="24"/>
        </w:rPr>
        <w:t>6. hvidvaskdirektiv</w:t>
      </w:r>
      <w:bookmarkEnd w:id="1378"/>
    </w:p>
    <w:p w14:paraId="35C09D15" w14:textId="081316C6"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44, i 6. hvidvaskdirektiv, at medlemsstaterne sikrer, at tilsynsorganer samarbejder med hinanden i videst muligt omfang, uanset deres respektive art eller status. Et sådant samarbejde kan omfatte, at der inden for rammerne af det anmodede tilsynsorgans beføjelser foretages undersøgelser på vegne af et anmodende tilsynsorgan samt efterfølgende udveksling af de oplysninger, der fremkommer under en sådan undersøgelse, eller facilitering af det anmodende tilsynsorgans foretagelse af sådanne undersøgelser.</w:t>
      </w:r>
    </w:p>
    <w:p w14:paraId="3956F4FD"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br/>
        <w:t>Af hvidvaskforordningens artikel 8, stk. 1, 1. pkt., fremgår det, at forpligtede enheder, der for første gang ønsker at udøve aktiviteter på en anden medlemsstats område, underretter tilsynsorganerne i deres hjemland om de aktiviteter, som de agter at udøve i denne anden medlemsstat. Denne underretning forelægges, så snart den forpligtede enhed tager skridt til at udøve aktiviteterne, og, hvis der er tale om etableringssteder, mindst tre måneder inden påbegyndelsen af disse aktiviteter. Forpligtede enheder underretter omgående tilsynsorganerne i hjemlandet, når disse aktiviteter påbegyndes i den pågældende anden medlemsstat. Det følger yderligere af hvidvaskforordningens artikel 8, stk. 2, at den forpligtede enhed meddeler enhver planlagt ændring af de oplysninger, der er meddelt i henhold til stk. 1, til tilsynsorganet i hjemlandet mindst én måned, inden ændringen foretages.</w:t>
      </w:r>
    </w:p>
    <w:p w14:paraId="580156E4" w14:textId="77777777" w:rsidR="004F1161" w:rsidRPr="00796736" w:rsidRDefault="004F1161" w:rsidP="00A802A5">
      <w:pPr>
        <w:spacing w:line="360" w:lineRule="auto"/>
        <w:rPr>
          <w:rFonts w:ascii="Times New Roman" w:eastAsia="Times New Roman" w:hAnsi="Times New Roman" w:cs="Times New Roman"/>
          <w:sz w:val="24"/>
          <w:szCs w:val="24"/>
        </w:rPr>
      </w:pPr>
    </w:p>
    <w:p w14:paraId="466F3F85"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45, stk. 1, i 6. hvidvaskdirektiv, at medlemsstaterne sikrer, at tilsynsorganerne i hjemlandet hurtigst muligt og under alle omstændigheder inden for tre måneder fra modtagelsen af en underretning i henhold til artikel 8, stk. 1, i forordning (EU) 2024/1624 underretter tilsynsorganerne i værtslandet om de aktiviteter, som en forpligtet enhed har til hensigt at udøve i værtslandet. Enhver efterfølgende ændring, som hjemlandets tilsynsorganer underrettes om i henhold til artikel 8, stk. 2, i forordning (EU) 2024/1624, meddeles værtslandets tilsynsorganer hurtigst muligt og under alle omstændigheder inden for én måned efter modtagelsen heraf. </w:t>
      </w:r>
    </w:p>
    <w:p w14:paraId="34E4B13A" w14:textId="77777777" w:rsidR="004F1161" w:rsidRPr="00796736" w:rsidRDefault="004F1161" w:rsidP="00A802A5">
      <w:pPr>
        <w:spacing w:line="360" w:lineRule="auto"/>
        <w:rPr>
          <w:rFonts w:ascii="Times New Roman" w:eastAsia="Times New Roman" w:hAnsi="Times New Roman" w:cs="Times New Roman"/>
          <w:sz w:val="24"/>
          <w:szCs w:val="24"/>
        </w:rPr>
      </w:pPr>
    </w:p>
    <w:p w14:paraId="446FC4BA"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45, stk. 2, 1. afsnit, i 6. hvidvaskdirektiv, at medlemsstaterne sikrer at hjemlandets tilsynsorganer udveksler oplysninger med værtslandets tilsynsorganer om de aktiviteter, der reelt udføres af den forpligtede enhed på værtslandets område, og som de modtager i forbindelse med deres tilsynsaktiviteter, herunder oplysninger indgivet af de forpligtede enheder som svar på tilsynsspørgeskemaer, og alle relevante oplysninger i tilknytning til de aktiviteter, der udføres i værtslandet. </w:t>
      </w:r>
    </w:p>
    <w:p w14:paraId="0EDAF86D" w14:textId="77777777" w:rsidR="004F1161" w:rsidRPr="00796736" w:rsidRDefault="004F1161" w:rsidP="00A802A5">
      <w:pPr>
        <w:spacing w:line="360" w:lineRule="auto"/>
        <w:rPr>
          <w:rFonts w:ascii="Times New Roman" w:hAnsi="Times New Roman" w:cs="Times New Roman"/>
          <w:sz w:val="24"/>
          <w:szCs w:val="24"/>
        </w:rPr>
      </w:pPr>
    </w:p>
    <w:p w14:paraId="017933CF"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46, stk. 6, 1. afsnit, </w:t>
      </w:r>
      <w:r w:rsidRPr="00796736">
        <w:rPr>
          <w:rFonts w:ascii="Times New Roman" w:eastAsia="Times New Roman" w:hAnsi="Times New Roman" w:cs="Times New Roman"/>
          <w:sz w:val="24"/>
          <w:szCs w:val="24"/>
        </w:rPr>
        <w:t>i 6. hvidvaskdirektiv</w:t>
      </w:r>
      <w:r w:rsidRPr="00796736">
        <w:rPr>
          <w:rFonts w:ascii="Times New Roman" w:hAnsi="Times New Roman" w:cs="Times New Roman"/>
          <w:sz w:val="24"/>
          <w:szCs w:val="24"/>
        </w:rPr>
        <w:t>, at medlemsstaterne sikrer, at denne artikel også finder anvendelse på tilsynet med koncerner af forpligtede enheder i den ikkefinansielle sektor. Det følger yderligere af artikel 46, stk. 6, 3. afsnit, at medlemsstaterne også sikrer, at ikkefinansielle tilsynsorganer samarbejder og udveksler oplysninger i tilfælde, hvor forpligtede enheder i den ikkefinansielle sektor indgår i strukturer, der har fælles ejerskab, fælles ledelse eller fælles compliancekontrol, herunder netværk eller partnerskaber.</w:t>
      </w:r>
    </w:p>
    <w:p w14:paraId="21C5473F" w14:textId="77777777" w:rsidR="004F1161" w:rsidRPr="00796736" w:rsidRDefault="004F1161" w:rsidP="00A802A5">
      <w:pPr>
        <w:spacing w:line="360" w:lineRule="auto"/>
        <w:rPr>
          <w:rFonts w:ascii="Times New Roman" w:hAnsi="Times New Roman" w:cs="Times New Roman"/>
          <w:sz w:val="24"/>
          <w:szCs w:val="24"/>
        </w:rPr>
      </w:pPr>
    </w:p>
    <w:p w14:paraId="284AF476"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medfører i henhold til direktivets artikel 46, stk. 1, at medlemsstaterne sikrer, at tilsynsorganerne i hjemlandet og værtslandet samarbejder med hinanden i videst muligt omfang, uanset deres respektive art eller status. </w:t>
      </w:r>
    </w:p>
    <w:p w14:paraId="5E91172A" w14:textId="77777777" w:rsidR="004F1161" w:rsidRPr="00796736" w:rsidRDefault="004F1161" w:rsidP="00A802A5">
      <w:pPr>
        <w:spacing w:line="360" w:lineRule="auto"/>
        <w:rPr>
          <w:rFonts w:ascii="Times New Roman" w:hAnsi="Times New Roman" w:cs="Times New Roman"/>
          <w:sz w:val="24"/>
          <w:szCs w:val="24"/>
        </w:rPr>
      </w:pPr>
    </w:p>
    <w:p w14:paraId="7F32829A"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medfører yderligere i henhold til direktivets artikel 46, stk. 3, 1. afsnit, at med undtagelse af tilfælde, hvor der oprettes tilsynskollegier i overensstemmelse med artikel 50, sikrer medlemsstaterne med henblik på artikel 46, at tilsynsorganerne udveksler alle de oplysninger, som de har brug for til udførelsen af deres tilsynsopgaver, enten på anmodning eller på eget initiativ. Tilsynsorganerne udveksler navnlig alle oplysninger, der i væsentlig grad kan påvirke vurderingen af et kreditinstituts eller finansieringsinstituts iboende risikoeksponering eller residualrisikoeksponering i en anden medlemsstat, herunder typerne af oplysninger oplistet i artikel 46, stk. 3, litra a-f. Dette omfatter blandt andet oplysninger om koncernens struktur, de reelle ejere og øverste ledelse, herunder resultaterne af kontrol af egnethed og hæderlighed, koncernens politikker, procedurer og kontroller, kundekendskabsoplysninger, negativ udvikling som i alvorlig grad kunne påvirke andre dele af koncernen og tilsynsorganernes pålæggelse af bøder og anvendelse af administrative foranstaltninger. </w:t>
      </w:r>
    </w:p>
    <w:p w14:paraId="4FC95C75"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Dette medfører ligeledes i henhold til direktivets artikel 46, stk. 3, 2. afsnit, at medlemsstaterne også sikrer, at tilsynsorganerne inden for rammerne af deres beføjelser er i stand til at foretage undersøgelser på vegne af et anmodende tilsynsorgan og udveksle de oplysninger, der indhentes gennem sådanne undersøgelser, eller facilitere det anmodende tilsynsorgans foretagelse af sådanne undersøgelser.</w:t>
      </w:r>
    </w:p>
    <w:p w14:paraId="7AECE0EC" w14:textId="77777777" w:rsidR="004F1161" w:rsidRPr="00796736" w:rsidRDefault="004F1161" w:rsidP="00A802A5">
      <w:pPr>
        <w:spacing w:line="360" w:lineRule="auto"/>
        <w:rPr>
          <w:rFonts w:ascii="Times New Roman" w:hAnsi="Times New Roman" w:cs="Times New Roman"/>
          <w:sz w:val="24"/>
          <w:szCs w:val="24"/>
        </w:rPr>
      </w:pPr>
    </w:p>
    <w:p w14:paraId="6C7DB791"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46, stk. 4, 1. afsnit i 6. hvidvaskdirektiv, at AMLA Senest den 10. juli 2026 udarbejder udkast til reguleringsmæssige tekniske standarder og forelægger dem for Kommissionen med henblik på vedtagelse. Disse udkast til reguleringsmæssige tekniske standarder skal specificere hjemlandets og værtslandets tilsynsorganers respektive opgaver og de nærmere bestemmelser for samarbejdet mellem dem.</w:t>
      </w:r>
    </w:p>
    <w:p w14:paraId="2DF81D01" w14:textId="77777777" w:rsidR="004F1161" w:rsidRPr="00796736" w:rsidRDefault="004F1161" w:rsidP="00A802A5">
      <w:pPr>
        <w:spacing w:line="360" w:lineRule="auto"/>
        <w:rPr>
          <w:rFonts w:ascii="Times New Roman" w:hAnsi="Times New Roman" w:cs="Times New Roman"/>
          <w:sz w:val="24"/>
          <w:szCs w:val="24"/>
        </w:rPr>
      </w:pPr>
    </w:p>
    <w:p w14:paraId="227D756C"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præambelbetragtning nr. 90 i 6. hvidvaskdirektiv fremgår det indledningsvist, at det er afgørende med samarbejde mellem nationale tilsynsorganer for at sikre en fælles tilsynsstrategi i hele Unionen. For at være effektivt skal dette samarbejde udnyttes i videst muligt omfang og uafhængigt af tilsynsorganernes respektive art eller status. Ud over traditionelt samarbejde såsom muligheden for at foretage efterforskninger på vegne af en anmodende tilsynsmyndighed bør der gives mandat til oprettelse af tilsynskollegier for bekæmpelse af hvidvask af penge og finansiering af terrorisme i den finansielle sektor med hensyn til forpligtede enheder, der driver virksomhed i flere medlemsstater gennem etableringssteder, og med hensyn til forpligtede enheder, der indgår i en grænseoverskridende koncern. </w:t>
      </w:r>
    </w:p>
    <w:p w14:paraId="420E83B4" w14:textId="77777777" w:rsidR="004F1161" w:rsidRPr="00796736" w:rsidRDefault="004F1161" w:rsidP="00A802A5">
      <w:pPr>
        <w:spacing w:line="360" w:lineRule="auto"/>
        <w:rPr>
          <w:rFonts w:ascii="Times New Roman" w:hAnsi="Times New Roman" w:cs="Times New Roman"/>
          <w:sz w:val="24"/>
          <w:szCs w:val="24"/>
        </w:rPr>
      </w:pPr>
    </w:p>
    <w:p w14:paraId="41DF7791"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forlængelse heraf fremgår det af præambelbetragtning nr. 92 i 6. hvidvaskdirektiv, at forpligtede enheder, der driver virksomhed i den ikkefinansielle sektor, kunne også udføre aktiviteter på tværs af grænserne eller indgå i koncerner, der udfører grænseoverskridende aktiviteter. Det er derfor hensigtsmæssigt at fastsætte regler, der definerer tilsynskollegiers funktion til bekæmpelse af hvidvask af penge og finansiering af terrorisme med hensyn til koncerner, der udfører både finansielle og ikkefinansielle aktiviteter, og som gør det muligt at oprette tilsynskollegier i den ikkefinansielle sektor, under hensyntagen til behovet for at anvende yderligere sikkerhedsforanstaltninger i forbindelse med koncerner eller grænseoverskridende enheder, der leverer juridiske tjenesteydelser. For at sikre et effektivt grænseoverskridende tilsyn i den ikkefinansielle sektor bør AMLA yde støtte til sådanne kollegiers funktion og regelmæssigt afgive udtalelse om, hvordan disse kollegier fungerer, efterhånden som gennemførelsen af den befordrende ramme, der fastsættes med dette direktiv, skrider frem.</w:t>
      </w:r>
    </w:p>
    <w:p w14:paraId="34FAD416" w14:textId="77777777" w:rsidR="004F1161" w:rsidRPr="00796736" w:rsidRDefault="004F1161" w:rsidP="00A802A5">
      <w:pPr>
        <w:spacing w:line="360" w:lineRule="auto"/>
        <w:rPr>
          <w:rFonts w:ascii="Times New Roman" w:hAnsi="Times New Roman" w:cs="Times New Roman"/>
          <w:sz w:val="24"/>
          <w:szCs w:val="24"/>
        </w:rPr>
      </w:pPr>
    </w:p>
    <w:p w14:paraId="15A724BD"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præambelbetragtning nr. 111 i 6. hvidvaskdirektiv fremgår det, at det er afgørende at have en ny fuldt integreret og sammenhængende politik for bekæmpelse af hvidvask af penge og finansiering af terrorisme på EU-plan med udpegede roller for både Unionens og de nationale kompetente myndigheder gennemføres med henblik på at sikre deres gnidningsløse og konstante samarbejde. I den forbindelse er samarbejde mellem alle myndigheder for bekæmpelse af hvidvask af penge og finansiering af terrorisme på nationalt plan og på EU-plan af allerstørste betydning og bør præciseres og styrkes. Det forbliver medlemsstaternes pligt at fastsætte de nødvendige regler for at sikre, at politiske beslutningstagere, FIU'erne, tilsynsorganer, herunder AMLA, og andre kompetente myndigheder, der er involveret i for bekæmpelse af hvidvask af penge og finansiering af terrorisme, samt skattemyndigheder og retshåndhævende myndigheder, når de handler inden for dette direktivs anvendelsesområde, har effektive mekanismer, der sætter dem i stand til at samarbejde og koordinere, herunder gennem en restriktiv tilgang til kompetente myndigheders afvisning af at samarbejde og udveksle oplysninger på anmodning af en anden kompetent myndighed. Uanset hvilke mekanismer der indføres, bør et sådant nationalt samarbejde resultere i et effektivt system til forebyggelse og bekæmpelse af hvidvask af penge, de underliggende lovovertrædelser og finansiering af terrorisme og til forebyggelse af manglende gennemførelse og omgåelse af målrettede finansielle sanktioner. </w:t>
      </w:r>
    </w:p>
    <w:p w14:paraId="48392AD8" w14:textId="77777777" w:rsidR="004F1161" w:rsidRPr="00796736" w:rsidRDefault="004F1161" w:rsidP="00A802A5">
      <w:pPr>
        <w:spacing w:line="360" w:lineRule="auto"/>
        <w:rPr>
          <w:rFonts w:ascii="Times New Roman" w:hAnsi="Times New Roman" w:cs="Times New Roman"/>
          <w:sz w:val="24"/>
          <w:szCs w:val="24"/>
        </w:rPr>
      </w:pPr>
    </w:p>
    <w:p w14:paraId="542D858C"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50, stk. 1, 1. afsnit i 6. hvidvaskdirektiv, at medlemsstaterne sikrer, at de ikkefinansielle tilsynsorganer med ansvar for moderselskabet i en koncern af forpligtede enheder i den ikkefinansielle sektor eller en forpligtet enheds hovedsæde i den ikkefinansielle sektor er i stand til at oprette særlige tilsynskollegier for bekæmpelse af hvidvask af penge og finansiering af terrorisme i enhver situation, hvor en forpligtet enhed i den ikkefinansielle sektor eller en koncern heraf har oprettet etableringssteder i mindst to forskellige medlemsstater ud over den medlemsstat, hvor dens hovedsæde er beliggende, eller, hvor en enhed i et tredjeland, der ikke er et kreditinstitut eller et finansieringsinstitut, og som er omfattet af krav til bekæmpelse af hvidvask af penge og finansiering af terrorisme, har oprettet etableringssteder i mindst tre medlemsstater. Det følger af direktivets artikel 50, stk. 1, 2. afsnit, at dette også anvendelse på strukturer, der har fælles ejerskab, fælles ledelse eller fælles compliancekontrol, herunder netværker eller partnerskaber, der er omfattet af krav på koncernplan i henhold til artikel 16 i forordning (EU) 2024/1624. </w:t>
      </w:r>
    </w:p>
    <w:p w14:paraId="716926F8" w14:textId="77777777" w:rsidR="004F1161" w:rsidRPr="00796736" w:rsidRDefault="004F1161" w:rsidP="00A802A5">
      <w:pPr>
        <w:spacing w:line="360" w:lineRule="auto"/>
        <w:rPr>
          <w:rFonts w:ascii="Times New Roman" w:eastAsia="Times New Roman" w:hAnsi="Times New Roman" w:cs="Times New Roman"/>
          <w:sz w:val="24"/>
          <w:szCs w:val="24"/>
        </w:rPr>
      </w:pPr>
    </w:p>
    <w:p w14:paraId="6A08F380"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50, stk. 8, i 6. hvidvaskdirektiv, at medlemsstaterne sikrer, at kollegier anvendes til bl.a. at udveksle oplysninger, yde gensidig bistand eller koordinere den tilsynsmæssige tilgang til koncernen eller den forpligtede enhed, herunder, hvor det er relevant, til at træffe passende og</w:t>
      </w:r>
    </w:p>
    <w:p w14:paraId="747255A1"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forholdsmæssige foranstaltninger til at imødegå alvorlige overtrædelser af forordning (EU) 2024/1624 og (EU) 2023/1113, der opdages på koncernniveau eller i den forpligtede enhed eller de etableringssteder, der er oprettet af koncernen eller den forpligtede enhed i jurisdiktionen for et tilsynsorgan, der deltager i kollegiet.</w:t>
      </w:r>
    </w:p>
    <w:p w14:paraId="614C036A" w14:textId="77777777" w:rsidR="004F1161" w:rsidRPr="00796736" w:rsidRDefault="004F1161" w:rsidP="00A802A5">
      <w:pPr>
        <w:spacing w:line="360" w:lineRule="auto"/>
        <w:rPr>
          <w:rFonts w:ascii="Times New Roman" w:eastAsia="Times New Roman" w:hAnsi="Times New Roman" w:cs="Times New Roman"/>
          <w:sz w:val="24"/>
          <w:szCs w:val="24"/>
        </w:rPr>
      </w:pPr>
    </w:p>
    <w:p w14:paraId="3C2BD226"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51, stk. 1, 1. afsnit, i 6. hvidvaskdirektiv, at medlemsstaterne sikrer, at tilsynsorganer kan indgå samarbejdsaftaler vedrørende samarbejde og udveksling af fortrolige oplysninger med deres modparter i tredjelande. Samarbejdsaftalerne skal overholde gældende databeskyttelsesregler og være gensidige samt underlagt en garanti om krav til tavshedspligt, der mindst svarer til den, der er omtalt i artikel 67, stk. 1. Udvekslingen af fortrolige oplysninger inden for disse samarbejdsaftaler må kun anvendes med henblik på de pågældende myndigheders udførelse af deres tilsynsopgaver.</w:t>
      </w:r>
    </w:p>
    <w:p w14:paraId="7829D112"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br/>
        <w:t xml:space="preserve">Det følger af artikel 61, stk. 1, i 6. hvidvaskdirektiv, at medlemsstaterne sikrer, at politiske beslutningstagere, FIU'er, tilsynsorganer, herunder AMLA, og andre kompetente myndigheder samt skattemyndigheder har effektive mekanismer, der sætter dem i stand til at samarbejde og koordinere på nationalt plan i forbindelse med udarbejdelsen og gennemførelsen af politikker og aktiviteter, som har til formål at bekæmpe hvidvask af penge og finansiering af terrorisme og forhindre manglende gennemførelse og omgåelse af målrettede finansielle sanktioner, herunder med henblik på at opfylde deres forpligtelser i henhold til artikel 8. </w:t>
      </w:r>
    </w:p>
    <w:p w14:paraId="77469480" w14:textId="77777777" w:rsidR="004F1161" w:rsidRPr="00796736" w:rsidRDefault="004F1161" w:rsidP="00A802A5">
      <w:pPr>
        <w:spacing w:line="360" w:lineRule="auto"/>
        <w:rPr>
          <w:rFonts w:ascii="Times New Roman" w:eastAsia="Times New Roman" w:hAnsi="Times New Roman" w:cs="Times New Roman"/>
          <w:sz w:val="24"/>
          <w:szCs w:val="24"/>
        </w:rPr>
      </w:pPr>
    </w:p>
    <w:p w14:paraId="69BBE12B"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artikel 61, stk. 3, i 6. hvidvaskdirektiv, at medlemsstaterne ikke må ikke forbyde eller opstille urimelige eller unødigt restriktive betingelser for udveksling af oplysninger eller bistand mellem kompetente myndigheder og deres modparter med henblik på dette direktiv. Medlemsstaterne sikrer, at kompetente myndigheder ikke afslår anmodninger om bistand med henvisning til de i artikel 61, stk. 3, litra a-d oplistede hensyn. Dette indebærer blandt andet henvisning til de forpligtede enheders pligt til hemmeligholdelse eller fortrolighed bortset fra i de tilfælde, hvor de pågældende oplysninger er beskyttet af retten til fortrolighed eller er omfattet af tavshedspligt som fastsat i artikel 70, stk. 2, i forordning (EU) 2024/1624.</w:t>
      </w:r>
    </w:p>
    <w:p w14:paraId="67BA1366" w14:textId="77777777" w:rsidR="004F1161" w:rsidRPr="00796736" w:rsidRDefault="004F1161" w:rsidP="00A802A5">
      <w:pPr>
        <w:spacing w:line="360" w:lineRule="auto"/>
        <w:rPr>
          <w:rFonts w:ascii="Times New Roman" w:eastAsia="Times New Roman" w:hAnsi="Times New Roman" w:cs="Times New Roman"/>
          <w:sz w:val="24"/>
          <w:szCs w:val="24"/>
        </w:rPr>
      </w:pPr>
    </w:p>
    <w:p w14:paraId="688715A8"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63, i 6. hvidvaskdirektiv, at FIU’er og tilsynsmyndigheder samarbejder med AMLA og giver den alle de oplysninger, der er nødvendige for, at den kan udøve sine opgaver.</w:t>
      </w:r>
    </w:p>
    <w:p w14:paraId="2156B390" w14:textId="77777777" w:rsidR="004F1161" w:rsidRPr="00796736" w:rsidRDefault="004F1161" w:rsidP="00A802A5">
      <w:pPr>
        <w:spacing w:line="360" w:lineRule="auto"/>
        <w:rPr>
          <w:rFonts w:ascii="Times New Roman" w:eastAsia="Times New Roman" w:hAnsi="Times New Roman" w:cs="Times New Roman"/>
          <w:sz w:val="24"/>
          <w:szCs w:val="24"/>
        </w:rPr>
      </w:pPr>
    </w:p>
    <w:p w14:paraId="16335383"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117 i 6. hvidvaskdirektiv fremgår det, at samarbejdsmekanismerne også bør omfatte de myndigheder, der er ansvarlige for tilsyn med og overvågning af revisorer, da et sådant samarbejde kan øge effektiviteten af Unionens ramme for bekæmpelse af hvidvask af penge.</w:t>
      </w:r>
    </w:p>
    <w:p w14:paraId="4A1784E8" w14:textId="77777777" w:rsidR="004F1161" w:rsidRPr="00796736" w:rsidRDefault="004F1161" w:rsidP="00A802A5">
      <w:pPr>
        <w:spacing w:line="360" w:lineRule="auto"/>
        <w:rPr>
          <w:rFonts w:ascii="Times New Roman" w:hAnsi="Times New Roman" w:cs="Times New Roman"/>
          <w:sz w:val="24"/>
          <w:szCs w:val="24"/>
        </w:rPr>
      </w:pPr>
    </w:p>
    <w:p w14:paraId="03529A97"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118 i 6. hvidvaskdirektiv fremgår det, at udveksling af oplysninger og levering af bistand mellem medlemsstaternes kompetente myndigheder er af afgørende betydning med henblik på dette direktiv. Medlemsstaterne bør følgelig ikke forbyde eller opstille urimelige eller unødigt restriktive betingelser for sådan udveksling af oplysninger eller levering af bistand.</w:t>
      </w:r>
    </w:p>
    <w:p w14:paraId="13015253"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Af præambelbetragtning nr. 119 i 6. hvidvaskdirektiv fremgår det, at tilsynsorganerne bør kunne samarbejde og udveksle fortrolige oplysninger, uanset deres respektive art eller status. Med henblik herpå bør de have et passende retsgrundlag for udveksling af fortrolige oplysninger og for samarbejde. Udveksling af oplysninger og samarbejde med andre myndigheder, der er kompetente med hensyn til at føre tilsyn med eller overvåge forpligtede enheder i henhold til andre EU-retsakter, bør ikke utilsigtet hæmmes af retsusikkerhed, der kunne skyldes manglende udtrykkelige bestemmelser på dette område. En præcisering af den retlige ramme er endnu vigtigere, eftersom det finansielle tilsyn i en række tilfælde er blevet pålagt tilsynsorganer, der ikke fører tilsyn med hensyn til bekæmpelse af hvidvask af penge og finansiering af terrorisme, såsom Den Europæiske Centralbank (ECB).</w:t>
      </w:r>
    </w:p>
    <w:p w14:paraId="34BFE7DD" w14:textId="77777777" w:rsidR="004F1161" w:rsidRPr="00796736" w:rsidRDefault="004F1161" w:rsidP="00A802A5">
      <w:pPr>
        <w:spacing w:line="360" w:lineRule="auto"/>
        <w:rPr>
          <w:rFonts w:ascii="Times New Roman" w:hAnsi="Times New Roman" w:cs="Times New Roman"/>
          <w:sz w:val="24"/>
          <w:szCs w:val="24"/>
        </w:rPr>
      </w:pPr>
    </w:p>
    <w:p w14:paraId="412ECC1F"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120 i 6. hvidvaskdirektiv fremgår det, at oplysninger, som tilsynsorganerne er i besiddelse af, kunne være afgørende for udførelsen af andre kompetente myndigheders aktiviteter. For at sikre effektiviteten af Unionens ramme for bekæmpelse af hvidvask af penge og</w:t>
      </w:r>
    </w:p>
    <w:p w14:paraId="3B599C00"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finansiering af terrorisme bør medlemsstaterne tillade udveksling af oplysninger mellem tilsynsorganer og andre kompetente myndigheder. Der bør gælde strenge regler for anvendelsen af fortrolige oplysninger, der udveksles.</w:t>
      </w:r>
    </w:p>
    <w:p w14:paraId="77C28490" w14:textId="77777777" w:rsidR="004F1161" w:rsidRPr="00796736" w:rsidRDefault="004F1161" w:rsidP="00A802A5">
      <w:pPr>
        <w:spacing w:line="360" w:lineRule="auto"/>
        <w:rPr>
          <w:rFonts w:ascii="Times New Roman" w:eastAsia="Times New Roman" w:hAnsi="Times New Roman" w:cs="Times New Roman"/>
          <w:sz w:val="24"/>
          <w:szCs w:val="24"/>
        </w:rPr>
      </w:pPr>
    </w:p>
    <w:p w14:paraId="361B559E" w14:textId="724D2266"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65, i 6. hvidvaskdirektiv, medlemsstaterne sikrer, at tilsynsorganer med ansvar for revisorer og, hvor det er relevant, offentlige myndigheder, der fører tilsyn med selvregulerende organer i henhold til dette direktivs kapitel IV, deres FIU'er og de offentlige myndigheder, der er kompetente med hensyn til tilsyn med revisorer og revisionsfirmaer i henhold til artikel 32 i Europa-Parlamentets og Rådets direktiv 2006/43/EF (45) og artikel 20 i Europa-Parlamentets og Rådets forordning (EU) nr. 537/2014 (46), arbejder tæt sammen inden for rammerne af deres respektive beføjelser og udveksler oplysninger, der er relevante for udførelsen af deres respektive opgaver. Fortrolige oplysninger, der udveksles i henhold til denne artikel, må kun anvendes af de myndigheder, der er omhandlet i første afsnit, til udøvelse af deres funktioner inden for rammerne af nærværende direktiv eller de andre EU-retsakter, der er omhandlet i første afsnit, og i forbindelse med administrative eller retslige procedurer, der specifikt står i forbindelse med udøvelsen af disse funktioner. Medlemsstaterne kan forbyde de i stk. 1 omhandlede myndigheder at samarbejde, hvis et sådant samarbejde, herunder udveksling af oplysninger, ville påvirke en igangværende undersøgelse, FIU-analyse, efterforskning eller retsforfølgning i overensstemmelse med strafferetten eller den administrative ret i den medlemsstat, hvor myndighederne er beliggende.</w:t>
      </w:r>
    </w:p>
    <w:p w14:paraId="51B05D4C" w14:textId="77777777" w:rsidR="004F1161" w:rsidRPr="00796736" w:rsidRDefault="004F1161" w:rsidP="00A802A5">
      <w:pPr>
        <w:spacing w:line="360" w:lineRule="auto"/>
        <w:rPr>
          <w:rFonts w:ascii="Times New Roman" w:eastAsia="Times New Roman" w:hAnsi="Times New Roman" w:cs="Times New Roman"/>
          <w:sz w:val="24"/>
          <w:szCs w:val="24"/>
        </w:rPr>
      </w:pPr>
    </w:p>
    <w:p w14:paraId="75F810B6"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66, i 6. hvidvaskdirektiv, at medlemsstaterne sikrer, at tilsynsorganer, deres FIU'er og myndigheder med ansvar for gennemførelse af målrettede finansielle sanktioner arbejder tæt sammen inden for rammerne af deres respektive beføjelser og udveksler oplysninger, der er relevante for udførelsen af deres respektive opgaver. Fortrolige oplysninger, der udveksles i henhold til denne artikel, må kun anvendes af de myndigheder, der er omhandlet i første afsnit, til udøvelse af deres funktioner inden for rammerne af dette direktiv eller andre EU-retsakter og i forbindelse med administrative eller retslige procedurer, der specifikt står i forbindelse med udøvelsen af disse funktioner. Medlemsstaterne kan forbyde de i stk. 1 omhandlede myndigheder at samarbejde, hvis et sådant samarbejde, herunder udveksling af oplysninger, ville påvirke en igangværende undersøgelse, efterforskning eller retsforfølgning i overensstemmelse med strafferetten eller den administrative ret i den medlemsstat, hvor myndighederne er beliggende.</w:t>
      </w:r>
    </w:p>
    <w:p w14:paraId="48A609BB" w14:textId="77777777" w:rsidR="004F1161" w:rsidRPr="00796736" w:rsidRDefault="004F1161" w:rsidP="00A802A5">
      <w:pPr>
        <w:spacing w:line="360" w:lineRule="auto"/>
        <w:rPr>
          <w:rFonts w:ascii="Times New Roman" w:eastAsia="Times New Roman" w:hAnsi="Times New Roman" w:cs="Times New Roman"/>
          <w:sz w:val="24"/>
          <w:szCs w:val="24"/>
        </w:rPr>
      </w:pPr>
    </w:p>
    <w:p w14:paraId="24D02F44"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artikel 67, stk. 1, i 6. hvidvaskdirektiv, at medlemsstaterne skal kræve, at alle personer, der arbejder for eller har arbejdet for en tilsynsmyndighed, er underlagt tavshedspligt. </w:t>
      </w:r>
    </w:p>
    <w:p w14:paraId="61B1FF7F" w14:textId="77777777" w:rsidR="004F1161" w:rsidRPr="00796736" w:rsidRDefault="004F1161" w:rsidP="00A802A5">
      <w:pPr>
        <w:spacing w:line="360" w:lineRule="auto"/>
        <w:rPr>
          <w:rFonts w:ascii="Times New Roman" w:eastAsia="Times New Roman" w:hAnsi="Times New Roman" w:cs="Times New Roman"/>
          <w:sz w:val="24"/>
          <w:szCs w:val="24"/>
        </w:rPr>
      </w:pPr>
    </w:p>
    <w:p w14:paraId="04A38308"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67, stk. 2, i 6. hvidvaskdirektiv, at tavshedspligten ikke er til hinder for, at der udveksles oplysninger med en række oplistede myndigheder, herunder andre tilsynsmyndigheder, uanset om de befinder sig i en medlemsstat eller i forskellige medlemsstater, herunder AMLA. Oplysninger kan endvidere udveksles med medlemsstaternes FIU’er, en offentlig myndighed, der har til opgave at efterforske eller retsforfølge i sager om hvidvask eller finansiering af terrorisme, samt offentlige myndigheder, der har fået til ansvar at bekæmpe hvidvask af penge og finansiering af terrorisme. </w:t>
      </w:r>
    </w:p>
    <w:p w14:paraId="0FE67FDC" w14:textId="77777777" w:rsidR="004F1161" w:rsidRPr="00796736" w:rsidRDefault="004F1161" w:rsidP="00A802A5">
      <w:pPr>
        <w:spacing w:line="360" w:lineRule="auto"/>
        <w:rPr>
          <w:rFonts w:ascii="Times New Roman" w:eastAsia="Times New Roman" w:hAnsi="Times New Roman" w:cs="Times New Roman"/>
          <w:sz w:val="24"/>
          <w:szCs w:val="24"/>
        </w:rPr>
      </w:pPr>
    </w:p>
    <w:p w14:paraId="18C3C602"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at artikel 68, stk. 1, 1. afsnit, i 6. hvidvaskdirektiv, at med undtagelse af tilfælde nævnt i hvidvaskforordningens artikel 70, stk. 2, tillader medlemsstaterne udveksling af oplysninger mellem tilsynsorganer og offentlige myndigheder, der fører tilsyn med selvregulerende organer i henhold til direktivets kapitel 4, uanset om de befinder sig i samme medlemsstat eller i forskellige medlemsstater. Medlemsstaterne tillader endvidere udveksling af oplysninger mellem tilsynsorganer og de myndigheder, der ved lov er er ansvarlige for tilsynet med de finansielle markeder. Medlemsstaterne tillader endvidere udveksling af oplysninger mellem tilsynsorganer med ansvar og revisorer og offentlige myndigheder, der er kompetente med hensyn til tilsyn med revisorer og revisionsfirmaer efter særskilt EU-lovgivning. </w:t>
      </w:r>
    </w:p>
    <w:p w14:paraId="298FFF36" w14:textId="77777777" w:rsidR="004F1161" w:rsidRPr="00796736" w:rsidRDefault="004F1161" w:rsidP="00A802A5">
      <w:pPr>
        <w:spacing w:line="360" w:lineRule="auto"/>
        <w:rPr>
          <w:rFonts w:ascii="Times New Roman" w:eastAsia="Times New Roman" w:hAnsi="Times New Roman" w:cs="Times New Roman"/>
          <w:sz w:val="24"/>
          <w:szCs w:val="24"/>
        </w:rPr>
      </w:pPr>
    </w:p>
    <w:p w14:paraId="143E9535"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1, 2. afsnit, i 6. hvidvaskdirektiv, at de krav om tavshedspligt, der er fastsat i artikel 61, stk. 1 og 3, ikke er til hinder for en udveksling af oplysninger omhandlet i nærværende stykkes første afsnit. </w:t>
      </w:r>
    </w:p>
    <w:p w14:paraId="3FEEDCE2" w14:textId="77777777" w:rsidR="004F1161" w:rsidRPr="00796736" w:rsidRDefault="004F1161" w:rsidP="00A802A5">
      <w:pPr>
        <w:spacing w:line="360" w:lineRule="auto"/>
        <w:rPr>
          <w:rFonts w:ascii="Times New Roman" w:eastAsia="Times New Roman" w:hAnsi="Times New Roman" w:cs="Times New Roman"/>
          <w:sz w:val="24"/>
          <w:szCs w:val="24"/>
        </w:rPr>
      </w:pPr>
    </w:p>
    <w:p w14:paraId="499CA0A5"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1, 3. afsnit, i 6. hvidvaskdirektiv, at fortrolige oplysninger, der udveksles i henhold til dette stykke, kun må anvendes til varetagelse af de berørte myndigheders opgaver og i forbindelse med administrative eller retslige procedurer, der specifikt vedrører udøvelsen af disse funktioner. De modtagne oplysninger er under alle omstændigheder underlagt krav om tavshedspligt, der mindst svarer til de krav, som er omhandlet i artikel 67, stk. 1. </w:t>
      </w:r>
    </w:p>
    <w:p w14:paraId="18CBABEA" w14:textId="77777777" w:rsidR="004F1161" w:rsidRPr="00796736" w:rsidRDefault="004F1161" w:rsidP="00A802A5">
      <w:pPr>
        <w:spacing w:line="360" w:lineRule="auto"/>
        <w:rPr>
          <w:rFonts w:ascii="Times New Roman" w:eastAsia="Times New Roman" w:hAnsi="Times New Roman" w:cs="Times New Roman"/>
          <w:sz w:val="24"/>
          <w:szCs w:val="24"/>
        </w:rPr>
      </w:pPr>
    </w:p>
    <w:p w14:paraId="588EFEE8"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2, i 6. hvidvaskdirektiv, at medlemsstaterne kan give tilladelse til, at visse oplysninger videregives til andre nationale myndigheder, som ved lov er ansvarlige for tilsyn med finansielle markeder, eller som er udpeget som ansvarlige for at bekæmpe eller efterforske hvidvask af penge, de underliggende lovovertrædelser eller finansiering af terrorisme. De krav om tavshedspligt fastsat i artikel 67, stk. 1 og 3, i 6. hvidvaskdirektiv, er ikke til hinder for en sådan videregivelse af oplysninger. Det fremgår herudover, at fortrolige oplysninger, der udveksles i henhold til artikel 68, stk. 2, i 6. hvidvaskdirektiv, dog kun må anvendes med henblik på varetagelse af de pågældende myndigheders lovmæssige opgaver. Personer, der har adgang til sådanne oplysninger, skal være underlagt krav om tavshedspligt, der mindst svarer til de krav, som er omhandlet i artikel 67, stk. 1, i 6. hvidvaskdirektiv. </w:t>
      </w:r>
    </w:p>
    <w:p w14:paraId="00D5EE64" w14:textId="77777777" w:rsidR="004F1161" w:rsidRPr="00796736" w:rsidRDefault="004F1161" w:rsidP="00A802A5">
      <w:pPr>
        <w:spacing w:line="360" w:lineRule="auto"/>
        <w:rPr>
          <w:rFonts w:ascii="Times New Roman" w:eastAsia="Times New Roman" w:hAnsi="Times New Roman" w:cs="Times New Roman"/>
          <w:sz w:val="24"/>
          <w:szCs w:val="24"/>
        </w:rPr>
      </w:pPr>
    </w:p>
    <w:p w14:paraId="2A271938" w14:textId="77777777" w:rsidR="004F1161" w:rsidRPr="00796736" w:rsidRDefault="004F116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3, i 6. hvidvaskdirektiv, at medlemsstaterne kan give tilladelse til, at visse oplysninger i forbindelse med tilsyn med forpligtede enheders overholdelse af hvidvaskforordningen videregives til parlamentariske undersøgelsesudvalg, revisionsretter og andre enheder med ansvar for undersøgelser i deres medlemsstat. Tilladelsen kan gives på betingelse af, at enhederne har et præcist mandat i henhold til national ret til at undersøge eller granske de aktiviteter, som udføres af tilsynsorganer eller myndigheder med ansvar for lovgivningen om dette tilsyn, at oplysningerne er strengt nødvendige for udøvelsen af det nævnte mandat; at de personer, som har adgang til oplysningerne, er underlagt krav om tavshedspligt i henhold til national ret, der mindst svarer til dem, der er omhandlet i artikel 68, stk. 1, at oplysninger, der stammer fra en anden medlemsstat, ikke videregives uden udtrykkeligt samtykke fra den tilsynsmyndighed, som har videregivet dem, og i givet fald udelukkende til de formål, som den pågældende tilsynsmyndighed har givet sit samtykke til. Det fremgår endvidere, at medlemsstaterne også kan tillade videregivelse af oplysninger i henhold til nærværende stykkes første afsnit til midlertidige undersøgelsesudvalg nedsat af Europa-Parlamentet i overensstemmelse med artikel 226 i TEUF og artikel 2 i Europa-Parlamentets, Rådets og Kommissionens afgørelse 95/167/EF, Eurotom, EKSF, hvis videregivelsen er nødvendig for udførelsen af disse udvalgs aktiviteter. </w:t>
      </w:r>
    </w:p>
    <w:p w14:paraId="38FF373D" w14:textId="77777777" w:rsidR="004F1161" w:rsidRPr="00796736" w:rsidRDefault="004F1161" w:rsidP="00A802A5">
      <w:pPr>
        <w:spacing w:line="360" w:lineRule="auto"/>
        <w:rPr>
          <w:rFonts w:ascii="Times New Roman" w:hAnsi="Times New Roman" w:cs="Times New Roman"/>
          <w:sz w:val="24"/>
          <w:szCs w:val="24"/>
        </w:rPr>
      </w:pPr>
    </w:p>
    <w:p w14:paraId="31F6DF7D" w14:textId="4FB527A4" w:rsidR="004F1161" w:rsidRPr="00796736" w:rsidRDefault="004F1161" w:rsidP="00A802A5">
      <w:pPr>
        <w:pStyle w:val="Overskrift4"/>
        <w:rPr>
          <w:rFonts w:ascii="Times New Roman" w:hAnsi="Times New Roman" w:cs="Times New Roman"/>
          <w:sz w:val="24"/>
          <w:szCs w:val="24"/>
        </w:rPr>
      </w:pPr>
      <w:bookmarkStart w:id="1379" w:name="_Toc232109255"/>
      <w:r w:rsidRPr="00796736">
        <w:rPr>
          <w:rFonts w:ascii="Times New Roman" w:hAnsi="Times New Roman" w:cs="Times New Roman"/>
          <w:sz w:val="24"/>
          <w:szCs w:val="24"/>
        </w:rPr>
        <w:t>Erhvervsministeriets overvejelser og den foreslåede ordning</w:t>
      </w:r>
      <w:bookmarkEnd w:id="1379"/>
    </w:p>
    <w:p w14:paraId="66E882BE"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har med implementeringen af 6. hvidvaskdirektiv overvejet, hvorvidt der skal ske ændringer til de eksisterende bestemmelser i hvidvaskloven vedrørende samarbejde mellem tilsynsmyndigheder på tværs af landegrænser.</w:t>
      </w:r>
    </w:p>
    <w:p w14:paraId="00ECA60B" w14:textId="77777777" w:rsidR="004F1161" w:rsidRPr="00796736" w:rsidRDefault="004F1161" w:rsidP="00A802A5">
      <w:pPr>
        <w:spacing w:line="360" w:lineRule="auto"/>
        <w:rPr>
          <w:rFonts w:ascii="Times New Roman" w:hAnsi="Times New Roman" w:cs="Times New Roman"/>
          <w:sz w:val="24"/>
          <w:szCs w:val="24"/>
        </w:rPr>
      </w:pPr>
    </w:p>
    <w:p w14:paraId="11AAA082"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har vurderet, at rammerne for Erhvervsstyrelsens samarbejde med tilsynsmyndigheder på tværs af landegrænser kan videreføres i sin eksisterende form med de fornødne tilpasninger som påkrævet efter 6. hvidvaskdirektiv, herunder navnlig i form af konsekvensrettelser af kredsen af forpligtede enheder og henvisninger til hvidvaskforordningen. </w:t>
      </w:r>
    </w:p>
    <w:p w14:paraId="59DC4AA8" w14:textId="77777777" w:rsidR="004F1161" w:rsidRPr="00796736" w:rsidRDefault="004F1161" w:rsidP="00A802A5">
      <w:pPr>
        <w:spacing w:line="360" w:lineRule="auto"/>
        <w:rPr>
          <w:rFonts w:ascii="Times New Roman" w:hAnsi="Times New Roman" w:cs="Times New Roman"/>
          <w:sz w:val="24"/>
          <w:szCs w:val="24"/>
        </w:rPr>
      </w:pPr>
    </w:p>
    <w:p w14:paraId="7328F38B" w14:textId="05596BF2"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4A72D6" w:rsidRPr="00796736">
        <w:rPr>
          <w:rFonts w:ascii="Times New Roman" w:hAnsi="Times New Roman" w:cs="Times New Roman"/>
          <w:sz w:val="24"/>
          <w:szCs w:val="24"/>
          <w:highlight w:val="yellow"/>
        </w:rPr>
        <w:fldChar w:fldCharType="begin"/>
      </w:r>
      <w:r w:rsidR="004A72D6" w:rsidRPr="00796736">
        <w:rPr>
          <w:rFonts w:ascii="Times New Roman" w:hAnsi="Times New Roman" w:cs="Times New Roman"/>
          <w:sz w:val="24"/>
          <w:szCs w:val="24"/>
        </w:rPr>
        <w:instrText xml:space="preserve"> REF _Ref241667034 \r \h </w:instrText>
      </w:r>
      <w:r w:rsidR="001A2696" w:rsidRPr="00796736">
        <w:rPr>
          <w:rFonts w:ascii="Times New Roman" w:hAnsi="Times New Roman" w:cs="Times New Roman"/>
          <w:sz w:val="24"/>
          <w:szCs w:val="24"/>
          <w:highlight w:val="yellow"/>
        </w:rPr>
        <w:instrText xml:space="preserve"> \* MERGEFORMAT </w:instrText>
      </w:r>
      <w:r w:rsidR="004A72D6" w:rsidRPr="00796736">
        <w:rPr>
          <w:rFonts w:ascii="Times New Roman" w:hAnsi="Times New Roman" w:cs="Times New Roman"/>
          <w:sz w:val="24"/>
          <w:szCs w:val="24"/>
          <w:highlight w:val="yellow"/>
        </w:rPr>
      </w:r>
      <w:r w:rsidR="004A72D6" w:rsidRPr="00796736">
        <w:rPr>
          <w:rFonts w:ascii="Times New Roman" w:hAnsi="Times New Roman" w:cs="Times New Roman"/>
          <w:sz w:val="24"/>
          <w:szCs w:val="24"/>
          <w:highlight w:val="yellow"/>
        </w:rPr>
        <w:fldChar w:fldCharType="separate"/>
      </w:r>
      <w:r w:rsidR="008F29E5">
        <w:rPr>
          <w:rFonts w:ascii="Times New Roman" w:hAnsi="Times New Roman" w:cs="Times New Roman"/>
          <w:sz w:val="24"/>
          <w:szCs w:val="24"/>
        </w:rPr>
        <w:t>§ 80</w:t>
      </w:r>
      <w:r w:rsidR="004A72D6" w:rsidRPr="00796736">
        <w:rPr>
          <w:rFonts w:ascii="Times New Roman" w:hAnsi="Times New Roman" w:cs="Times New Roman"/>
          <w:sz w:val="24"/>
          <w:szCs w:val="24"/>
          <w:highlight w:val="yellow"/>
        </w:rPr>
        <w:fldChar w:fldCharType="end"/>
      </w:r>
      <w:r w:rsidR="004A72D6" w:rsidRPr="00796736">
        <w:rPr>
          <w:rFonts w:ascii="Times New Roman" w:hAnsi="Times New Roman" w:cs="Times New Roman"/>
          <w:sz w:val="24"/>
          <w:szCs w:val="24"/>
        </w:rPr>
        <w:t xml:space="preserve"> </w:t>
      </w:r>
      <w:r w:rsidRPr="00796736">
        <w:rPr>
          <w:rFonts w:ascii="Times New Roman" w:hAnsi="Times New Roman" w:cs="Times New Roman"/>
          <w:sz w:val="24"/>
          <w:szCs w:val="24"/>
        </w:rPr>
        <w:t>og samt bemærkningerne hertil.</w:t>
      </w:r>
    </w:p>
    <w:p w14:paraId="05142239" w14:textId="77777777" w:rsidR="004F1161" w:rsidRPr="00796736" w:rsidRDefault="004F1161" w:rsidP="00A802A5">
      <w:pPr>
        <w:spacing w:line="360" w:lineRule="auto"/>
        <w:rPr>
          <w:rFonts w:ascii="Times New Roman" w:hAnsi="Times New Roman" w:cs="Times New Roman"/>
          <w:sz w:val="24"/>
          <w:szCs w:val="24"/>
        </w:rPr>
      </w:pPr>
    </w:p>
    <w:p w14:paraId="70718898"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Erhvervsministeriet har med implementeringen af 6. hvidvaskdirektiv overvejet, hvorvidt der skal ske ændringer til de eksisterende bestemmelser i hvidvaskloven vedrørende tavshedspligten for Erhvervsstyrelsens ansatte. </w:t>
      </w:r>
    </w:p>
    <w:p w14:paraId="4E922FA5" w14:textId="77777777" w:rsidR="004F1161" w:rsidRPr="00796736" w:rsidRDefault="004F1161" w:rsidP="00A802A5">
      <w:pPr>
        <w:spacing w:line="360" w:lineRule="auto"/>
        <w:rPr>
          <w:rFonts w:ascii="Times New Roman" w:hAnsi="Times New Roman" w:cs="Times New Roman"/>
          <w:sz w:val="24"/>
          <w:szCs w:val="24"/>
        </w:rPr>
      </w:pPr>
    </w:p>
    <w:p w14:paraId="593AB3AB"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væsentligt, at fortrolige oplysninger fortsat beskyttes effektivt, og at videregivelse kun sker, hvor det er nødvendigt og hjemlet i lovgivningen. Samtidig er det vigtigt, at Erhvervsstyrelsen har mulighed for at samarbejde med relevante myndigheder for at sikre en effektiv håndhævelse af reglerne om forebyggelse og bekæmpelse af hvidvask og finansiering af terrorisme.</w:t>
      </w:r>
    </w:p>
    <w:p w14:paraId="3C0B8216" w14:textId="77777777" w:rsidR="004F1161" w:rsidRPr="00796736" w:rsidRDefault="004F1161" w:rsidP="00A802A5">
      <w:pPr>
        <w:spacing w:line="360" w:lineRule="auto"/>
        <w:rPr>
          <w:rFonts w:ascii="Times New Roman" w:hAnsi="Times New Roman" w:cs="Times New Roman"/>
          <w:sz w:val="24"/>
          <w:szCs w:val="24"/>
        </w:rPr>
      </w:pPr>
    </w:p>
    <w:p w14:paraId="208A4D1A"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Erhvervsministeriet har vurderet, at rammerne for den generelle tavshedspligt efter den gældende hvidvasklovs § 63 i vid udstrækning kan videreføres i sin eksisterende form med de fornødne tilføjelser påkrævet efter 6. hvidvaskdirektivs artikel 67 og artikel 68, herunder at der kan ske videregivelse af oplysninger til AMLA. </w:t>
      </w:r>
    </w:p>
    <w:p w14:paraId="74BCA061" w14:textId="77777777" w:rsidR="004F1161" w:rsidRPr="00796736" w:rsidRDefault="004F1161" w:rsidP="00A802A5">
      <w:pPr>
        <w:spacing w:line="360" w:lineRule="auto"/>
        <w:rPr>
          <w:rFonts w:ascii="Times New Roman" w:hAnsi="Times New Roman" w:cs="Times New Roman"/>
          <w:sz w:val="24"/>
          <w:szCs w:val="24"/>
        </w:rPr>
      </w:pPr>
    </w:p>
    <w:p w14:paraId="0361A373" w14:textId="4E06ED73"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4A72D6" w:rsidRPr="00796736">
        <w:rPr>
          <w:rFonts w:ascii="Times New Roman" w:hAnsi="Times New Roman" w:cs="Times New Roman"/>
          <w:sz w:val="24"/>
          <w:szCs w:val="24"/>
          <w:highlight w:val="yellow"/>
        </w:rPr>
        <w:fldChar w:fldCharType="begin"/>
      </w:r>
      <w:r w:rsidR="004A72D6" w:rsidRPr="00796736">
        <w:rPr>
          <w:rFonts w:ascii="Times New Roman" w:hAnsi="Times New Roman" w:cs="Times New Roman"/>
          <w:sz w:val="24"/>
          <w:szCs w:val="24"/>
        </w:rPr>
        <w:instrText xml:space="preserve"> REF _Ref239329161 \r \h </w:instrText>
      </w:r>
      <w:r w:rsidR="001A2696" w:rsidRPr="00796736">
        <w:rPr>
          <w:rFonts w:ascii="Times New Roman" w:hAnsi="Times New Roman" w:cs="Times New Roman"/>
          <w:sz w:val="24"/>
          <w:szCs w:val="24"/>
          <w:highlight w:val="yellow"/>
        </w:rPr>
        <w:instrText xml:space="preserve"> \* MERGEFORMAT </w:instrText>
      </w:r>
      <w:r w:rsidR="004A72D6" w:rsidRPr="00796736">
        <w:rPr>
          <w:rFonts w:ascii="Times New Roman" w:hAnsi="Times New Roman" w:cs="Times New Roman"/>
          <w:sz w:val="24"/>
          <w:szCs w:val="24"/>
          <w:highlight w:val="yellow"/>
        </w:rPr>
      </w:r>
      <w:r w:rsidR="004A72D6" w:rsidRPr="00796736">
        <w:rPr>
          <w:rFonts w:ascii="Times New Roman" w:hAnsi="Times New Roman" w:cs="Times New Roman"/>
          <w:sz w:val="24"/>
          <w:szCs w:val="24"/>
          <w:highlight w:val="yellow"/>
        </w:rPr>
        <w:fldChar w:fldCharType="separate"/>
      </w:r>
      <w:r w:rsidR="008F29E5">
        <w:rPr>
          <w:rFonts w:ascii="Times New Roman" w:hAnsi="Times New Roman" w:cs="Times New Roman"/>
          <w:sz w:val="24"/>
          <w:szCs w:val="24"/>
        </w:rPr>
        <w:t>§ 95</w:t>
      </w:r>
      <w:r w:rsidR="004A72D6" w:rsidRPr="00796736">
        <w:rPr>
          <w:rFonts w:ascii="Times New Roman" w:hAnsi="Times New Roman" w:cs="Times New Roman"/>
          <w:sz w:val="24"/>
          <w:szCs w:val="24"/>
          <w:highlight w:val="yellow"/>
        </w:rPr>
        <w:fldChar w:fldCharType="end"/>
      </w:r>
      <w:r w:rsidR="004A72D6" w:rsidRPr="00796736">
        <w:rPr>
          <w:rFonts w:ascii="Times New Roman" w:hAnsi="Times New Roman" w:cs="Times New Roman"/>
          <w:sz w:val="24"/>
          <w:szCs w:val="24"/>
        </w:rPr>
        <w:t xml:space="preserve"> </w:t>
      </w:r>
      <w:r w:rsidRPr="00796736">
        <w:rPr>
          <w:rFonts w:ascii="Times New Roman" w:hAnsi="Times New Roman" w:cs="Times New Roman"/>
          <w:sz w:val="24"/>
          <w:szCs w:val="24"/>
        </w:rPr>
        <w:t>og samt bemærkningerne hertil.</w:t>
      </w:r>
    </w:p>
    <w:p w14:paraId="53C83025" w14:textId="77777777" w:rsidR="004F1161" w:rsidRPr="00796736" w:rsidRDefault="004F1161" w:rsidP="00A802A5">
      <w:pPr>
        <w:spacing w:line="360" w:lineRule="auto"/>
        <w:rPr>
          <w:rFonts w:ascii="Times New Roman" w:hAnsi="Times New Roman" w:cs="Times New Roman"/>
          <w:sz w:val="24"/>
          <w:szCs w:val="24"/>
        </w:rPr>
      </w:pPr>
    </w:p>
    <w:p w14:paraId="41EBCC37" w14:textId="77777777"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har vurderet, at der med implementeringen af 6. hvidvaskdirektiv ikke er behov for justeringer af den gældende hvidvasklovs § 63 a om særlig tavshedspligt vedrørende underretninger, hvorfor bestemmelsen foreslås videreført i sin eksisterende form uden ændringer.</w:t>
      </w:r>
    </w:p>
    <w:p w14:paraId="0E062C7B" w14:textId="77777777" w:rsidR="004F1161" w:rsidRPr="00796736" w:rsidRDefault="004F1161" w:rsidP="00A802A5">
      <w:pPr>
        <w:spacing w:line="360" w:lineRule="auto"/>
        <w:rPr>
          <w:rFonts w:ascii="Times New Roman" w:hAnsi="Times New Roman" w:cs="Times New Roman"/>
          <w:sz w:val="24"/>
          <w:szCs w:val="24"/>
        </w:rPr>
      </w:pPr>
    </w:p>
    <w:p w14:paraId="1DE51DA3" w14:textId="21EC3A4D" w:rsidR="004F1161" w:rsidRPr="00796736" w:rsidRDefault="004F116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_Ref232609164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96</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xml:space="preserve"> </w:t>
      </w:r>
      <w:r w:rsidRPr="00796736">
        <w:rPr>
          <w:rFonts w:ascii="Times New Roman" w:hAnsi="Times New Roman" w:cs="Times New Roman"/>
          <w:sz w:val="24"/>
          <w:szCs w:val="24"/>
        </w:rPr>
        <w:t>og samt bemærkningerne hertil.</w:t>
      </w:r>
    </w:p>
    <w:p w14:paraId="1C44520C" w14:textId="77777777" w:rsidR="00F31F3B" w:rsidRPr="00796736" w:rsidRDefault="00F31F3B" w:rsidP="00A802A5">
      <w:pPr>
        <w:spacing w:after="240" w:line="360" w:lineRule="auto"/>
        <w:contextualSpacing/>
        <w:rPr>
          <w:rFonts w:ascii="Times New Roman" w:hAnsi="Times New Roman" w:cs="Times New Roman"/>
          <w:sz w:val="24"/>
          <w:szCs w:val="24"/>
        </w:rPr>
      </w:pPr>
    </w:p>
    <w:p w14:paraId="6080797F" w14:textId="2795441B" w:rsidR="00C27651" w:rsidRPr="00796736" w:rsidRDefault="00C27651" w:rsidP="00A802A5">
      <w:pPr>
        <w:pStyle w:val="Overskrift2"/>
        <w:rPr>
          <w:rFonts w:ascii="Times New Roman" w:hAnsi="Times New Roman"/>
          <w:sz w:val="24"/>
        </w:rPr>
      </w:pPr>
      <w:bookmarkStart w:id="1380" w:name="_Toc232109256"/>
      <w:bookmarkStart w:id="1381" w:name="_Ref242813262"/>
      <w:bookmarkStart w:id="1382" w:name="_Ref242813271"/>
      <w:bookmarkStart w:id="1383" w:name="_Ref244849516"/>
      <w:bookmarkStart w:id="1384" w:name="_Ref244849535"/>
      <w:bookmarkStart w:id="1385" w:name="_Toc244880783"/>
      <w:r w:rsidRPr="00796736">
        <w:rPr>
          <w:rFonts w:ascii="Times New Roman" w:hAnsi="Times New Roman"/>
          <w:sz w:val="24"/>
        </w:rPr>
        <w:t>Advokatrådets tilsyn med advokater, deres autoriserede fuldmægtige, fællesskaber af advokater og advokatselskaber</w:t>
      </w:r>
      <w:bookmarkEnd w:id="1380"/>
      <w:bookmarkEnd w:id="1381"/>
      <w:bookmarkEnd w:id="1382"/>
      <w:bookmarkEnd w:id="1383"/>
      <w:bookmarkEnd w:id="1384"/>
      <w:bookmarkEnd w:id="1385"/>
    </w:p>
    <w:p w14:paraId="3BC1F3E6" w14:textId="1F537150" w:rsidR="00C27651" w:rsidRPr="00796736" w:rsidRDefault="00C27651" w:rsidP="00A802A5">
      <w:pPr>
        <w:pStyle w:val="Overskrift4"/>
        <w:rPr>
          <w:rFonts w:ascii="Times New Roman" w:hAnsi="Times New Roman" w:cs="Times New Roman"/>
          <w:sz w:val="24"/>
          <w:szCs w:val="24"/>
        </w:rPr>
      </w:pPr>
      <w:bookmarkStart w:id="1386" w:name="_Toc232109257"/>
      <w:bookmarkStart w:id="1387" w:name="_Ref232940495"/>
      <w:bookmarkStart w:id="1388" w:name="_Ref232967290"/>
      <w:bookmarkStart w:id="1389" w:name="_Ref236988818"/>
      <w:bookmarkStart w:id="1390" w:name="_Ref236988865"/>
      <w:bookmarkStart w:id="1391" w:name="_Ref242876780"/>
      <w:r w:rsidRPr="00796736">
        <w:rPr>
          <w:rFonts w:ascii="Times New Roman" w:hAnsi="Times New Roman" w:cs="Times New Roman"/>
          <w:sz w:val="24"/>
          <w:szCs w:val="24"/>
        </w:rPr>
        <w:t>Gældende ret</w:t>
      </w:r>
      <w:bookmarkEnd w:id="1386"/>
      <w:bookmarkEnd w:id="1387"/>
      <w:bookmarkEnd w:id="1388"/>
      <w:bookmarkEnd w:id="1389"/>
      <w:bookmarkEnd w:id="1390"/>
      <w:bookmarkEnd w:id="1391"/>
    </w:p>
    <w:p w14:paraId="1AB69493" w14:textId="41A14708" w:rsidR="00C27651" w:rsidRPr="00796736" w:rsidRDefault="00C27651" w:rsidP="00267A20">
      <w:pPr>
        <w:pStyle w:val="Overskrift5"/>
      </w:pPr>
      <w:bookmarkStart w:id="1392" w:name="_Ref232940653"/>
      <w:r w:rsidRPr="00796736">
        <w:t>Retsplejeloven</w:t>
      </w:r>
      <w:bookmarkEnd w:id="1392"/>
    </w:p>
    <w:p w14:paraId="0E719FD1" w14:textId="77777777" w:rsidR="000C1E20" w:rsidRPr="00796736" w:rsidRDefault="000C1E2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retsplejelovens § 121, stk. 1, 1. pkt., at beskikkelse som advokat kan nægtes den, der er dømt for strafbart forhold, såfremt forholdet begrunder en nærliggende fare for misbrug af adgangen til at udøve advokatvirksomhed eller gør den pågældende uværdig til den agtelse og tillid, der må kræves til udøvelse af advokatvirksomhed. Det følger af stk. 2, at beskikkelse endvidere kan nægtes den, der i stilling eller erhverv har udvist en sådan adfærd, at der er grund til at antage, at den pågældende ikke vil udøve advokatvirksomhed på forsvarlig måde.</w:t>
      </w:r>
    </w:p>
    <w:p w14:paraId="6B17E323" w14:textId="77777777" w:rsidR="000C1E20" w:rsidRPr="00796736" w:rsidRDefault="000C1E20" w:rsidP="00A802A5">
      <w:pPr>
        <w:spacing w:line="360" w:lineRule="auto"/>
        <w:rPr>
          <w:rFonts w:ascii="Times New Roman" w:hAnsi="Times New Roman" w:cs="Times New Roman"/>
          <w:sz w:val="24"/>
          <w:szCs w:val="24"/>
        </w:rPr>
      </w:pPr>
    </w:p>
    <w:p w14:paraId="696E92F5" w14:textId="38CB520F"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retsplejelovens § 124, stk. 1, må advokatvirksomhed ud over i enkeltmandsvirksomhed eller i et fællesskab af advokater udøves af et advokatselskab, der drives i aktie-, anparts- eller kommanditaktieselskabsform (partnerselskabsform).</w:t>
      </w:r>
    </w:p>
    <w:p w14:paraId="5208ACC0" w14:textId="77777777" w:rsidR="00C27651" w:rsidRPr="00796736" w:rsidRDefault="00C27651" w:rsidP="00A802A5">
      <w:pPr>
        <w:spacing w:line="360" w:lineRule="auto"/>
        <w:rPr>
          <w:rFonts w:ascii="Times New Roman" w:hAnsi="Times New Roman" w:cs="Times New Roman"/>
          <w:sz w:val="24"/>
          <w:szCs w:val="24"/>
        </w:rPr>
      </w:pPr>
    </w:p>
    <w:p w14:paraId="3C4A243F" w14:textId="77777777" w:rsidR="000C1E20" w:rsidRPr="00796736" w:rsidRDefault="000C1E2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retsplejelovens § 124 c, stk. 1, følger det, at aktier eller anparter i et advokatselskab kun må ejes af 1) advokater, der aktivt river advokatvirksomhed i selskabet, dets moderselskab eller dets datterselskab, 2) andre ansatte i selskabet eller 3) et andet advokatselskab. Det følger af retsplejelovens 124 d, stk. 2, at klager over de andre ansatte i et advokatselskab, som ejer aktier eller anparter deri, kan indbringes for Advokatnævnet i overensstemmelse med reglerne i kapitel 15 a om salærklager og kapitel 15 b om disciplinærklager.</w:t>
      </w:r>
    </w:p>
    <w:p w14:paraId="035D47CD" w14:textId="77777777" w:rsidR="000C1E20" w:rsidRPr="00796736" w:rsidRDefault="000C1E20" w:rsidP="00A802A5">
      <w:pPr>
        <w:spacing w:line="360" w:lineRule="auto"/>
        <w:rPr>
          <w:rFonts w:ascii="Times New Roman" w:hAnsi="Times New Roman" w:cs="Times New Roman"/>
          <w:sz w:val="24"/>
          <w:szCs w:val="24"/>
        </w:rPr>
      </w:pPr>
    </w:p>
    <w:p w14:paraId="2C983ED1" w14:textId="77777777" w:rsidR="000C1E20" w:rsidRPr="00796736" w:rsidRDefault="000C1E2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Muligheden for, at andre ansatte i et advokatselskab end advokater kan eje aktier eller anparter i selskabet, blev indført ved lov nr. 520 af 6. juni 2007 om ændring af retsplejeloven (Revision af regler om advokaters virksomhed), der trådte i kraft den 1. januar 2008. Reglerne herom fremgik af den dagældende § 124, hvoraf det i stk. 6 i lighed med den nugældende § 124 d, stk. 2, fremgik, at klager over de personer, der er nævnt i stk. 3, nr. 2, og som ejer aktier eller anparter i et advokatselskab, kunne indbringes for Advokatnævnet i overensstemmelse med reglerne i kapitel 15 a og 15 b.</w:t>
      </w:r>
    </w:p>
    <w:p w14:paraId="67AEAC5E" w14:textId="77777777" w:rsidR="000C1E20" w:rsidRPr="00796736" w:rsidRDefault="000C1E20" w:rsidP="00A802A5">
      <w:pPr>
        <w:spacing w:line="360" w:lineRule="auto"/>
        <w:rPr>
          <w:rFonts w:ascii="Times New Roman" w:hAnsi="Times New Roman" w:cs="Times New Roman"/>
          <w:sz w:val="24"/>
          <w:szCs w:val="24"/>
        </w:rPr>
      </w:pPr>
    </w:p>
    <w:p w14:paraId="33178730" w14:textId="55122289" w:rsidR="000C1E20" w:rsidRPr="00796736" w:rsidRDefault="00E31B5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bemærkningerne til § 124, jf. Folketingstidende 2006-07, tillæg A, side 5465-5466, </w:t>
      </w:r>
      <w:r w:rsidR="000C1E20" w:rsidRPr="00796736">
        <w:rPr>
          <w:rFonts w:ascii="Times New Roman" w:hAnsi="Times New Roman" w:cs="Times New Roman"/>
          <w:sz w:val="24"/>
          <w:szCs w:val="24"/>
        </w:rPr>
        <w:t xml:space="preserve">at Advokatnævnet kan pålægge ansatte, der ejer andele i et advokatselskab, de samme sanktioner som advokaterne, dog naturligvis ikke frakendelse af retten til at udøve advokatvirksomhed. Nævnet kan i stedet frakende vedkommende retten til at være medejer af en advokatvirksomhed. Ejere af advokatvirksomheder, der ikke selv er advokater, skal ikke registreres hos Advokatsamfundet og vil ikke blive afkrævet betaling til medfinansiering af tilsynet med advokater eller behandlingen af klager i Advokatnævnet. </w:t>
      </w:r>
    </w:p>
    <w:p w14:paraId="28AA0BA3" w14:textId="77777777" w:rsidR="000C1E20" w:rsidRPr="00796736" w:rsidRDefault="000C1E20" w:rsidP="00A802A5">
      <w:pPr>
        <w:spacing w:line="360" w:lineRule="auto"/>
        <w:rPr>
          <w:rFonts w:ascii="Times New Roman" w:hAnsi="Times New Roman" w:cs="Times New Roman"/>
          <w:sz w:val="24"/>
          <w:szCs w:val="24"/>
        </w:rPr>
      </w:pPr>
    </w:p>
    <w:p w14:paraId="1E8D45D5" w14:textId="77777777" w:rsidR="000C1E20" w:rsidRPr="00796736" w:rsidRDefault="000C1E2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dagældende § 124 blev ved lov nr. 187 af 18. marts 2009 opdelt i flere selvstændige paragraffer, hvorved retsplejelovens § 124 c, stk. 2, fik sin nuværende ordlyd. Det fremgår af bemærkningerne til § 1, nr. 2 (§§ 124 a-124 g), at den gældende bestemmelse i § 124, (stk. 1-10) af lovtekniske grunde blev foreslået opdelt i flere kortere selvstændige paragraffer (§§ 124-124 g). Det fremgår videre, at den foreslåede bestemmelse i § 124 d er en uændret videreførelse af de gældende bestemmelser i § 124, stk. 5 og 6.</w:t>
      </w:r>
    </w:p>
    <w:p w14:paraId="2CBCB926" w14:textId="77777777" w:rsidR="000C1E20" w:rsidRPr="00796736" w:rsidRDefault="000C1E20" w:rsidP="00A802A5">
      <w:pPr>
        <w:spacing w:line="360" w:lineRule="auto"/>
        <w:rPr>
          <w:rFonts w:ascii="Times New Roman" w:hAnsi="Times New Roman" w:cs="Times New Roman"/>
          <w:sz w:val="24"/>
          <w:szCs w:val="24"/>
        </w:rPr>
      </w:pPr>
    </w:p>
    <w:p w14:paraId="49969778"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retsplejelovens § 124 e, at ledelsen i et advokatselskab skal bestå af personer, der driver aktiv advokatvirksomhed i selskabet, dets moderselskab eller dets datterselskab, bortset fra medarbejdervalgte bestyrelsesmedlemmer eller medlemmer af bestyrelsen eller direktionen, der i medfør af § 124 c, stk. 1, nr. 2, ejer aktier eller anparter i advokatselskabet. Samtidig sikres det af retsplejelovens § 124 e, stk. 3, at advokater bevarer flertallet i ledelsen i et advokatselskab. Det følger tillige af retsplejelovens § 124 e, stk. 4, at personer som ejer kapitalandele i selskabet uden selv at være advokater, kan deltage i bestyrelsen eller direktionen, men kun hvis de har bestået den særlige prøve efter § 124 d (partnerprøven). Kravene til ledelsens sammensætning gælder dog ikke for de advokatselskaber, der er omfattet af § 124, stk. 2, 2. pkt.</w:t>
      </w:r>
    </w:p>
    <w:p w14:paraId="0056369C" w14:textId="77777777" w:rsidR="000C1E20" w:rsidRPr="00796736" w:rsidRDefault="000C1E20" w:rsidP="00A802A5">
      <w:pPr>
        <w:spacing w:line="360" w:lineRule="auto"/>
        <w:rPr>
          <w:rFonts w:ascii="Times New Roman" w:hAnsi="Times New Roman" w:cs="Times New Roman"/>
          <w:sz w:val="24"/>
          <w:szCs w:val="24"/>
        </w:rPr>
      </w:pPr>
    </w:p>
    <w:p w14:paraId="31D8233C"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retsplejelovens § 126, stk. 1, 1. pkt., skal advokater udvise en adfærd, der stemmer med god advokatskik. Bestemmelsen foreskriver endvidere i 2. pkt., at advokaten herunder skal udføre sit hverv grundigt, samvittighedsfuldt og i overensstemmelse med, hvad berettigede hensyn til klienternes tarv tilsiger. </w:t>
      </w:r>
    </w:p>
    <w:p w14:paraId="4BCC7456" w14:textId="77777777" w:rsidR="00C27651" w:rsidRPr="00796736" w:rsidRDefault="00C27651" w:rsidP="00A802A5">
      <w:pPr>
        <w:spacing w:line="360" w:lineRule="auto"/>
        <w:rPr>
          <w:rFonts w:ascii="Times New Roman" w:hAnsi="Times New Roman" w:cs="Times New Roman"/>
          <w:sz w:val="24"/>
          <w:szCs w:val="24"/>
        </w:rPr>
      </w:pPr>
    </w:p>
    <w:p w14:paraId="7D97E247"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at en advokat skal udvise en adfærd, der stemmer med god advokatskik. Ved god advokatskik forstås den adfærd som gode og omhyggelige, fagligt kompetente advokater udviser, og som opfylder de faglige og etiske krav, der må opstilles på grundlag af lovgivningens regler om advokaters funktioner. </w:t>
      </w:r>
    </w:p>
    <w:p w14:paraId="6E8C5C70" w14:textId="77777777" w:rsidR="008230E6" w:rsidRPr="00796736" w:rsidRDefault="008230E6" w:rsidP="00A802A5">
      <w:pPr>
        <w:spacing w:line="360" w:lineRule="auto"/>
        <w:rPr>
          <w:rFonts w:ascii="Times New Roman" w:hAnsi="Times New Roman" w:cs="Times New Roman"/>
          <w:sz w:val="24"/>
          <w:szCs w:val="24"/>
        </w:rPr>
      </w:pPr>
    </w:p>
    <w:p w14:paraId="46D0B23B"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nærmere indhold af begrebet »god advokatskik« vil, som det anføres i advokatudvalgets betænkning nr. 871 om revision af retsplejelovens afsnit om advokater af 1979, side 59, være afhængig af den til enhver tid rådende opfattelse, således at kravene til advokaters adfærd må tilpasses ændringer i samfundsforholdene og deraf følgende ændrede opgaver for advokaterne. Begrebet rummer dog en fast kerne af normer, der vil være gældende til enhver tid. Foruden de krav, der udtrykkeligt er angivet i selve bestemmelsen, vil begrebet »god advokatskik« navnlig omfatte krav om hæderlighed, nøjagtighed og pålidelighed. Den nærmere fastlæggelse af indholdet af »god advokatskik« i forskellige relationer vil blive foretaget af advokatnævnet i forbindelse med afgørelser af disciplinærsager, der indbringes for nævnet. Der henvises til Folketingstidende 1981-82 (2. samling), tillæg A, spalte 3790-3791.   </w:t>
      </w:r>
    </w:p>
    <w:p w14:paraId="4F5265C3" w14:textId="77777777" w:rsidR="00C27651" w:rsidRPr="00796736" w:rsidRDefault="00C27651" w:rsidP="00A802A5">
      <w:pPr>
        <w:spacing w:line="360" w:lineRule="auto"/>
        <w:rPr>
          <w:rFonts w:ascii="Times New Roman" w:hAnsi="Times New Roman" w:cs="Times New Roman"/>
          <w:sz w:val="24"/>
          <w:szCs w:val="24"/>
        </w:rPr>
      </w:pPr>
    </w:p>
    <w:p w14:paraId="2716CBFF"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Advokatrådet, der er Advokatsamfundets bestyrelse, udarbejder vejledende retningslinjer for god advokatskik (de såkaldte advokatetiske regler) i henhold til § 25, stk. 1, i bekendtgørelse nr. 1631 af 19. december 2024 om godkendelse af vedtægt for Det Danske Advokatsamfund.</w:t>
      </w:r>
    </w:p>
    <w:p w14:paraId="309CCD87" w14:textId="77777777" w:rsidR="00C27651" w:rsidRPr="00796736" w:rsidRDefault="00C27651" w:rsidP="00A802A5">
      <w:pPr>
        <w:spacing w:line="360" w:lineRule="auto"/>
        <w:rPr>
          <w:rFonts w:ascii="Times New Roman" w:hAnsi="Times New Roman" w:cs="Times New Roman"/>
          <w:sz w:val="24"/>
          <w:szCs w:val="24"/>
        </w:rPr>
      </w:pPr>
    </w:p>
    <w:p w14:paraId="0A85905C"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betænkning nr. 1479 af 2006, side 38, at reglerne er udtryk for advokatstandens opfattelse af de krav, som må stilles til advokaters professionelle standard og etik i forbindelse med udøvelse af advokatvirksomhed, og skal tjene som vejledning for advokaterne, deres klienter og offentligheden, ligesom reglerne har til formål dels at sammenfatte Advokatnævnets praksis, dels at udgøre et bidrag til Advokatnævnets fastlæggelse af retsplejelovens standard ”god advokatskik”, navnlig på områder, hvor der ikke findes nævns eller domstolspraksis. </w:t>
      </w:r>
    </w:p>
    <w:p w14:paraId="40FFC482" w14:textId="77777777" w:rsidR="00C27651" w:rsidRPr="00796736" w:rsidRDefault="00C27651" w:rsidP="00A802A5">
      <w:pPr>
        <w:spacing w:line="360" w:lineRule="auto"/>
        <w:rPr>
          <w:rFonts w:ascii="Times New Roman" w:hAnsi="Times New Roman" w:cs="Times New Roman"/>
          <w:sz w:val="24"/>
          <w:szCs w:val="24"/>
        </w:rPr>
      </w:pPr>
    </w:p>
    <w:p w14:paraId="2F2273B6"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artikel 1 i de advokatetiske regler af 1. juli 2025 fremgår det, at reglerne gælder for alle advokater, og for advokater ansat i virksomheder og organisationer med de nødvendige tilpasninger. I henhold til artikel 2 afspejler reglerne Advokatnævnets og domstolenes praksis, og på områder, der er uafklaret i praksis, udtrykker de Advokatrådets opfattelse af, hvad der er god advokatskik. </w:t>
      </w:r>
    </w:p>
    <w:p w14:paraId="57BDE7B4" w14:textId="77777777" w:rsidR="00C27651" w:rsidRPr="00796736" w:rsidRDefault="00C27651" w:rsidP="00A802A5">
      <w:pPr>
        <w:spacing w:line="360" w:lineRule="auto"/>
        <w:rPr>
          <w:rFonts w:ascii="Times New Roman" w:hAnsi="Times New Roman" w:cs="Times New Roman"/>
          <w:sz w:val="24"/>
          <w:szCs w:val="24"/>
        </w:rPr>
      </w:pPr>
    </w:p>
    <w:p w14:paraId="2B6ED562"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15 i de advokatetiske regler, at fortrolighed er en betingelse for advokatens virke og en grundlæggende pligt og ret, som skal respekteres ikke kun i det enkelte individs, men også i samfundets interesse. </w:t>
      </w:r>
    </w:p>
    <w:p w14:paraId="55FCE725" w14:textId="77777777" w:rsidR="00C27651" w:rsidRPr="00796736" w:rsidRDefault="00C27651" w:rsidP="00A802A5">
      <w:pPr>
        <w:spacing w:line="360" w:lineRule="auto"/>
        <w:rPr>
          <w:rFonts w:ascii="Times New Roman" w:hAnsi="Times New Roman" w:cs="Times New Roman"/>
          <w:sz w:val="24"/>
          <w:szCs w:val="24"/>
        </w:rPr>
      </w:pPr>
    </w:p>
    <w:p w14:paraId="623C4869"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fremgår yderligere af artikel 16, stk. 1, at tavshedspligten gælder uden tidsbegrænsning og gælder også, efter at sagen for klienten er afsluttet. Det fremgår desuden af stk. 2, at tavshedspligten gælder alle oplysninger, som advokaten har modtaget under sit virke for klienten. </w:t>
      </w:r>
    </w:p>
    <w:p w14:paraId="24A9EE4F" w14:textId="77777777" w:rsidR="000C1E20" w:rsidRPr="00796736" w:rsidRDefault="000C1E20" w:rsidP="00A802A5">
      <w:pPr>
        <w:spacing w:line="360" w:lineRule="auto"/>
        <w:rPr>
          <w:rFonts w:ascii="Times New Roman" w:hAnsi="Times New Roman" w:cs="Times New Roman"/>
          <w:sz w:val="24"/>
          <w:szCs w:val="24"/>
        </w:rPr>
      </w:pPr>
    </w:p>
    <w:p w14:paraId="43D9FBC7" w14:textId="77777777" w:rsidR="000C1E20" w:rsidRPr="00796736" w:rsidRDefault="000C1E2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artikel 41, stk. 1, fremgår det, at en advokat ikke ved udførelse af en sag må gå videre, end berettigede hensyn til varetagelse af klientens interesser tilsiger. Det fremgår videre af stk. 2, at advokaten ikke må foretage unødige retsskridt eller søge klientens interesser fremmet på utilbørlig måde, ligesom det fremgår af stk. 3, at en advokat ikke må medvirke til eller understøtte strafbare forhold og ikke over for klienten eller andre må give indtryk af, at advokaten er villig til dette. Hvis advokaten bliver bekendt med, at advokaten medvirker til eller understøtter en klients strafbare forhold, skal advokaten straks udtræde af sagen, medmindre dette vil være i strid med advokatens lovgivningsmæssige pligter.  </w:t>
      </w:r>
    </w:p>
    <w:p w14:paraId="1C9CCC39" w14:textId="77777777" w:rsidR="000C1E20" w:rsidRPr="00796736" w:rsidRDefault="000C1E20" w:rsidP="00A802A5">
      <w:pPr>
        <w:spacing w:line="360" w:lineRule="auto"/>
        <w:rPr>
          <w:rFonts w:ascii="Times New Roman" w:hAnsi="Times New Roman" w:cs="Times New Roman"/>
          <w:sz w:val="24"/>
          <w:szCs w:val="24"/>
        </w:rPr>
      </w:pPr>
    </w:p>
    <w:p w14:paraId="69CEF6AB" w14:textId="15504DEA" w:rsidR="000C1E20" w:rsidRPr="00796736" w:rsidRDefault="000C1E2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retsplejelovens § 127 a, stk. 2, at bl.a. § 126, stk. 1 og 4, også gælder for de ansatte i et advokatselskab, som ejer aktier eller anparter deri.</w:t>
      </w:r>
    </w:p>
    <w:p w14:paraId="3DB2D968" w14:textId="77777777" w:rsidR="00C27651" w:rsidRPr="00796736" w:rsidRDefault="00C27651" w:rsidP="00A802A5">
      <w:pPr>
        <w:spacing w:line="360" w:lineRule="auto"/>
        <w:rPr>
          <w:rFonts w:ascii="Times New Roman" w:hAnsi="Times New Roman" w:cs="Times New Roman"/>
          <w:sz w:val="24"/>
          <w:szCs w:val="24"/>
        </w:rPr>
      </w:pPr>
    </w:p>
    <w:p w14:paraId="114B4EE3"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retsplejelovens § 143, stk. 2, fører Advokatrådet, der er Advokatsamfundets bestyrelse, tilsyn med, at advokater, deres autoriserede fuldmægtige, fællesskaber af advokater og advokatselskaber handler i overensstemmelse med de pligter, som stillingen medfører. </w:t>
      </w:r>
    </w:p>
    <w:p w14:paraId="111E27B8" w14:textId="77777777" w:rsidR="00C27651" w:rsidRPr="00796736" w:rsidRDefault="00C27651" w:rsidP="00A802A5">
      <w:pPr>
        <w:spacing w:line="360" w:lineRule="auto"/>
        <w:rPr>
          <w:rFonts w:ascii="Times New Roman" w:hAnsi="Times New Roman" w:cs="Times New Roman"/>
          <w:sz w:val="24"/>
          <w:szCs w:val="24"/>
        </w:rPr>
      </w:pPr>
    </w:p>
    <w:p w14:paraId="4CE67BBC"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retsplejelovens § 143, stk. 3, at Advokatrådet i den forbindelse kan kræve alle oplysninger, herunder arbejdspapirer, korrespondance og andre dokumenter, der skønnes at være nødvendige for rådets tilsyn af, om der er sket eller vil ske en overtrædelse af bestemmelserne i retsplejeloven eller bestemmelser fastsat i medfør heraf denne lov. </w:t>
      </w:r>
    </w:p>
    <w:p w14:paraId="4125B67C" w14:textId="77777777" w:rsidR="00C27651" w:rsidRPr="00796736" w:rsidRDefault="00C27651" w:rsidP="00A802A5">
      <w:pPr>
        <w:spacing w:line="360" w:lineRule="auto"/>
        <w:rPr>
          <w:rFonts w:ascii="Times New Roman" w:hAnsi="Times New Roman" w:cs="Times New Roman"/>
          <w:sz w:val="24"/>
          <w:szCs w:val="24"/>
        </w:rPr>
      </w:pPr>
    </w:p>
    <w:p w14:paraId="5ED68F0F"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endvidere af bestemmelsen, at kapitel 4 i lov om retssikkerhed ved forvaltningens anvendelse af tvangsindgreb og oplysningspligter (retssikkerhedsloven) finder anvendelse for Advokatrådets tilsyn. </w:t>
      </w:r>
    </w:p>
    <w:p w14:paraId="683B0E62"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Det følger desuden af retsplejelovens § 143, stk. 5, at Advokatrådet årligt skal udarbejde en samlet plan for sin tilsynsvirksomhed. Rådet afgiver årligt en rapport over det udførte tilsyn til justitsministeren, som offentliggøres. </w:t>
      </w:r>
    </w:p>
    <w:p w14:paraId="3CA3C0EF" w14:textId="77777777" w:rsidR="00C27651" w:rsidRPr="00796736" w:rsidRDefault="00C27651" w:rsidP="00A802A5">
      <w:pPr>
        <w:spacing w:line="360" w:lineRule="auto"/>
        <w:rPr>
          <w:rFonts w:ascii="Times New Roman" w:hAnsi="Times New Roman" w:cs="Times New Roman"/>
          <w:sz w:val="24"/>
          <w:szCs w:val="24"/>
        </w:rPr>
      </w:pPr>
    </w:p>
    <w:p w14:paraId="712D69E9"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bestemmelsens stk. 6, at Advokatrådet til brug for udførelsen af sit tilsyn skal udfærdige arbejdsprogrammer, der på en detaljeret måde angiver, hvordan udførelsen af tilsynet skal foretages.</w:t>
      </w:r>
    </w:p>
    <w:p w14:paraId="76450EB8" w14:textId="77777777" w:rsidR="00C27651" w:rsidRPr="00796736" w:rsidRDefault="00C27651" w:rsidP="00A802A5">
      <w:pPr>
        <w:spacing w:line="360" w:lineRule="auto"/>
        <w:rPr>
          <w:rFonts w:ascii="Times New Roman" w:hAnsi="Times New Roman" w:cs="Times New Roman"/>
          <w:color w:val="2F2F2B"/>
          <w:spacing w:val="2"/>
          <w:sz w:val="24"/>
          <w:szCs w:val="24"/>
          <w:bdr w:val="none" w:sz="0" w:space="0" w:color="auto" w:frame="1"/>
          <w:shd w:val="clear" w:color="auto" w:fill="FFFFFF"/>
        </w:rPr>
      </w:pPr>
    </w:p>
    <w:p w14:paraId="5252AB71" w14:textId="77777777" w:rsidR="00C27651" w:rsidRPr="00796736" w:rsidRDefault="00C27651" w:rsidP="00A802A5">
      <w:pPr>
        <w:spacing w:line="360" w:lineRule="auto"/>
        <w:rPr>
          <w:rFonts w:ascii="Times New Roman" w:hAnsi="Times New Roman" w:cs="Times New Roman"/>
          <w:sz w:val="24"/>
          <w:szCs w:val="24"/>
          <w:highlight w:val="yellow"/>
        </w:rPr>
      </w:pPr>
      <w:r w:rsidRPr="00796736">
        <w:rPr>
          <w:rFonts w:ascii="Times New Roman" w:hAnsi="Times New Roman" w:cs="Times New Roman"/>
          <w:sz w:val="24"/>
          <w:szCs w:val="24"/>
        </w:rPr>
        <w:t>Det følger af retsplejelovens § 143, stk. 7, at såfremt Advokatrådet vurderer, at der er en begrundet risiko for eller mistanke om, at en advokat, en advokats autoriserede fuldmægtige, et fællesskab af advokater eller et advokatselskab, vil overtræde en pligt, der følger af retsplejeloven, skal rådet iværksætte passende tilsynsforanstaltninger. Dette kan i henhold til bemærkningerne f.eks. være et tilsynsbesøg, men kan også efter omstændighederne være andre tilsynsforanstaltninger, jf. Folketingstidende 2018-2019, tillæg A, L 18 som fremsat, side 36.</w:t>
      </w:r>
    </w:p>
    <w:p w14:paraId="4887FEF8" w14:textId="77777777" w:rsidR="00C27651" w:rsidRPr="00796736" w:rsidRDefault="00C27651" w:rsidP="00A802A5">
      <w:pPr>
        <w:spacing w:line="360" w:lineRule="auto"/>
        <w:rPr>
          <w:rFonts w:ascii="Times New Roman" w:hAnsi="Times New Roman" w:cs="Times New Roman"/>
          <w:sz w:val="24"/>
          <w:szCs w:val="24"/>
        </w:rPr>
      </w:pPr>
    </w:p>
    <w:p w14:paraId="244D3FAB"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Advokatrådet kan træffe bestemmelse om, at en advokat eller en af de personer, som nævnt i retsplejelovens § 124 c, stk. 1, nr. 2, og som ejer aktier eller anparter i et advokatselskab, skal indkaldes til en kollegial samtale med mindst to af Advokatrådets kontaktpersoner fra en anden retskreds end den, hvor advokaten har sin virksomhed, hvis det må antages, at advokaten eller den ovennævnte person har tilsidesat de pligter, som stillingen medfører.</w:t>
      </w:r>
    </w:p>
    <w:p w14:paraId="42905937" w14:textId="77777777" w:rsidR="00C27651" w:rsidRPr="00796736" w:rsidRDefault="00C27651" w:rsidP="00A802A5">
      <w:pPr>
        <w:spacing w:line="360" w:lineRule="auto"/>
        <w:rPr>
          <w:rFonts w:ascii="Times New Roman" w:hAnsi="Times New Roman" w:cs="Times New Roman"/>
          <w:sz w:val="24"/>
          <w:szCs w:val="24"/>
        </w:rPr>
      </w:pPr>
    </w:p>
    <w:p w14:paraId="36BB6182"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Advokatrådet kan i henhold til retsplejelovens § 147 b, stk. 1, indbringe en klage for Advokatnævnet over en advokat, et fællesskab af advokater eller en af de personer nævnt i § 124 c, stk. 1, nr. 2, som ejer aktier eller anparter i et advokatselskab, for at have tilsidesat pligter efter retsplejeloven eller forskrifter fastsat i medfør heraf.</w:t>
      </w:r>
    </w:p>
    <w:p w14:paraId="1446ED51" w14:textId="77777777" w:rsidR="000C1E20" w:rsidRPr="00796736" w:rsidRDefault="000C1E20" w:rsidP="00A802A5">
      <w:pPr>
        <w:spacing w:line="360" w:lineRule="auto"/>
        <w:rPr>
          <w:rFonts w:ascii="Times New Roman" w:hAnsi="Times New Roman" w:cs="Times New Roman"/>
          <w:sz w:val="24"/>
          <w:szCs w:val="24"/>
        </w:rPr>
      </w:pPr>
    </w:p>
    <w:p w14:paraId="2FFFE819"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Hæderlighed er ikke et selvstændigt defineret advokatretligt begreb, men kan beskrives som den grundlæggende forventning om, at advokaten udøver sit hverv med integritet, redelighed og ansvarlighed på en måde, der er værdig til den særlige tillid, som advokatrollen forudsætter.</w:t>
      </w:r>
    </w:p>
    <w:p w14:paraId="0777CAF9" w14:textId="77777777" w:rsidR="0092113C" w:rsidRPr="00796736" w:rsidRDefault="0092113C" w:rsidP="00A802A5">
      <w:pPr>
        <w:spacing w:line="360" w:lineRule="auto"/>
        <w:rPr>
          <w:rFonts w:ascii="Times New Roman" w:hAnsi="Times New Roman" w:cs="Times New Roman"/>
          <w:sz w:val="24"/>
          <w:szCs w:val="24"/>
        </w:rPr>
      </w:pPr>
    </w:p>
    <w:p w14:paraId="19B2554D"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Hæderlighed kommer til udtryk ved, at advokaten handler uafhængigt af uvedkommende interesser, optræder loyalt og samvittighedsfuldt i forhold til klienten, respekterer de retlige og etiske rammer for hvervet og afholder sig fra handlinger, der kan undergrave tilliden til advokatstanden eller retssystemet.</w:t>
      </w:r>
    </w:p>
    <w:p w14:paraId="697F3034" w14:textId="77777777" w:rsidR="0092113C" w:rsidRPr="00796736" w:rsidRDefault="0092113C" w:rsidP="00A802A5">
      <w:pPr>
        <w:spacing w:line="360" w:lineRule="auto"/>
        <w:rPr>
          <w:rFonts w:ascii="Times New Roman" w:hAnsi="Times New Roman" w:cs="Times New Roman"/>
          <w:sz w:val="24"/>
          <w:szCs w:val="24"/>
        </w:rPr>
      </w:pPr>
    </w:p>
    <w:p w14:paraId="4F6934CC"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Begrebet er nært forbundet med de grundlæggende advokatretlige værdier om uafhængighed, integritet og fortrolighed. Det afspejler samtidig, at advokaten ikke alene skal overholde lovens minimumskrav, men også leve op til de etiske standarder, som følger af god advokatskik og advokatens særlige rolle i et demokratisk retssamfund.</w:t>
      </w:r>
    </w:p>
    <w:p w14:paraId="4D98797D" w14:textId="77777777" w:rsidR="00C27651" w:rsidRPr="00796736" w:rsidRDefault="00C27651" w:rsidP="00A802A5">
      <w:pPr>
        <w:spacing w:line="360" w:lineRule="auto"/>
        <w:rPr>
          <w:rFonts w:ascii="Times New Roman" w:hAnsi="Times New Roman" w:cs="Times New Roman"/>
          <w:sz w:val="24"/>
          <w:szCs w:val="24"/>
        </w:rPr>
      </w:pPr>
    </w:p>
    <w:p w14:paraId="6D799244" w14:textId="38100FD1" w:rsidR="00C27651" w:rsidRPr="00796736" w:rsidRDefault="00C27651" w:rsidP="00267A20">
      <w:pPr>
        <w:pStyle w:val="Overskrift5"/>
      </w:pPr>
      <w:r w:rsidRPr="00796736">
        <w:t>Hvidvaskloven</w:t>
      </w:r>
      <w:r w:rsidR="00E31B56" w:rsidRPr="00796736">
        <w:t xml:space="preserve"> og hvidvaskforordningen </w:t>
      </w:r>
    </w:p>
    <w:p w14:paraId="4A5DFBB4" w14:textId="77777777" w:rsidR="008230E6"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Hvidvasklovens §§ 64 og 64 a indeholder regler om Advokatrådets tilsyn i henhold til hvidvaskloven.</w:t>
      </w:r>
    </w:p>
    <w:p w14:paraId="6BED1D15" w14:textId="2F04131D"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Bestemmelserne gennemføres artikel 48 og artikel 60 i 4. og 5. hvidvaskdirektiv. </w:t>
      </w:r>
    </w:p>
    <w:p w14:paraId="02819B81"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64, stk. 1, fastslår, at Advokatrådet påser, at advokater omfattet af lovens § 1, stk. 1, nr. 13, og advokater, der er etableret i en anden EU-stat, EØS-land eller Schweiz, og som udøver advokatvirksomhed her i landet, overholder hvidvaskloven og de regler, der er udstedt i medfør heraf, samt love og forordninger indeholdende regler om finansielle sanktioner mod lande, personer, grupper, juridiske enheder eller organer. Dette gælder dog ikke overholdelse af lovens § 36 om forbuddet mod ufordelagtig behandling eller ufordelagtige følger som følge af indberetning. </w:t>
      </w:r>
    </w:p>
    <w:p w14:paraId="4137547E" w14:textId="77777777" w:rsidR="00C27651" w:rsidRPr="00796736" w:rsidRDefault="00C27651" w:rsidP="00A802A5">
      <w:pPr>
        <w:spacing w:line="360" w:lineRule="auto"/>
        <w:rPr>
          <w:rFonts w:ascii="Times New Roman" w:hAnsi="Times New Roman" w:cs="Times New Roman"/>
          <w:sz w:val="24"/>
          <w:szCs w:val="24"/>
        </w:rPr>
      </w:pPr>
    </w:p>
    <w:p w14:paraId="02B13B33"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bemærkningerne til hvidvasklovens § 64, stk. 1, at tilsynet med de virksomheder og personer, der er omfattet af bestemmelsen, kan ske på grundlag af en risikovurdering. Risikovurderingen vil bero på en vurdering af, om der er særlige forhold vedrørende virksomheden og dens branche. Udover konkrete kontrolforanstaltninger kan tilsynet suppleres med generel vejledning om reglerne og kontakt til relevante brancheforeninger. </w:t>
      </w:r>
    </w:p>
    <w:p w14:paraId="6438BA57" w14:textId="77777777" w:rsidR="00C27651" w:rsidRPr="00796736" w:rsidRDefault="00C27651" w:rsidP="00A802A5">
      <w:pPr>
        <w:spacing w:line="360" w:lineRule="auto"/>
        <w:rPr>
          <w:rFonts w:ascii="Times New Roman" w:hAnsi="Times New Roman" w:cs="Times New Roman"/>
          <w:sz w:val="24"/>
          <w:szCs w:val="24"/>
        </w:rPr>
      </w:pPr>
    </w:p>
    <w:p w14:paraId="6F5178E4"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videre af bemærkningerne, at bestemmelsen fastsætter omfanget af Advokatrådets tilsynsansvar, og at Advokatrådets tilsyn med advokater er reguleret i retsplejeloven, hvor der henvises til retsplejelovens § 143. Bemærkningerne angiver, at Advokatrådets rolle som myndighed på hvidvaskområdet med bestemmelsen præciseres, idet det fastslås, at Advokatrådet skal påse, at advokaterne overholder bestemmelserne på hvidvaskområdet. Heri ligger der et krav om et aktivt tilsyn, der vil omfatte udstedelse af vejledning, rådgivning, undersøgelser og inspektioner. Tilsynet, der også omfatter advokaternes autoriserede fuldmægtige, skal finde sted på grundlag af en vurdering af risikoen for overtrædelse af disse bestemmelser. </w:t>
      </w:r>
    </w:p>
    <w:p w14:paraId="2397B924"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173-74.</w:t>
      </w:r>
    </w:p>
    <w:p w14:paraId="0EA66CBA" w14:textId="05E9E59D"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Advokatnævnet er kompetent til at træffe afgørelse om en advokats tilsidesættelse af god advokatskik efter retsplejelovens § 126 i sager, hvor Advokatrådet som følge af tilsynsforpligtelsen har rejst en sag om advokatens overtrædelser af sine pligter i henhold til </w:t>
      </w:r>
      <w:hyperlink r:id="rId20" w:history="1">
        <w:r w:rsidRPr="00796736">
          <w:rPr>
            <w:rFonts w:ascii="Times New Roman" w:hAnsi="Times New Roman" w:cs="Times New Roman"/>
            <w:sz w:val="24"/>
            <w:szCs w:val="24"/>
          </w:rPr>
          <w:t>hvidvaskloven</w:t>
        </w:r>
      </w:hyperlink>
      <w:r w:rsidRPr="00796736">
        <w:rPr>
          <w:rFonts w:ascii="Times New Roman" w:hAnsi="Times New Roman" w:cs="Times New Roman"/>
          <w:sz w:val="24"/>
          <w:szCs w:val="24"/>
        </w:rPr>
        <w:t xml:space="preserve">, jf. Østre Landsrets dom af 15. maj 2020 i sag BS-34921/2019. Manglende iagttagelse af pligter i medfør af hvidvaskloven, som er i strid med god advokatskik, er undergivet sædvanlige disciplinære sanktioner, der pålægges af Advokatnævnet. Fra praksis kan blandt andet henvises til Advokatnævnet kendelse af 25. september 2025 i 2025-238, hvor Advokatnævnet pålagde advokaten en bøde på 20.000 kr. i medfør af retsplejelovens § 147 c, stk. 1, og i den forbindelse fandt, at manglende udarbejdelse af risikovurdering, politikker, forretningsgange og kontroller efter hvidvasklovens §§ 7 og 8 som udgangspunkt indebærer, at der foreligger en grov tilsidesættelse af god advokatskik. </w:t>
      </w:r>
    </w:p>
    <w:p w14:paraId="6C268C8B" w14:textId="77777777" w:rsidR="008230E6" w:rsidRPr="00796736" w:rsidRDefault="008230E6" w:rsidP="00A802A5">
      <w:pPr>
        <w:spacing w:line="360" w:lineRule="auto"/>
        <w:rPr>
          <w:rFonts w:ascii="Times New Roman" w:hAnsi="Times New Roman" w:cs="Times New Roman"/>
          <w:sz w:val="24"/>
          <w:szCs w:val="24"/>
        </w:rPr>
      </w:pPr>
    </w:p>
    <w:p w14:paraId="21A5DC76"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følger det af hvidvasklovens § 26 a, at Sekretariatet for Advokatsamfundet årligt offentliggør en rapport, der skal indeholde en række oplysninger, herunder om antallet af modtagne indberetninger om mulige overtrædelser af hvidvaskloven (nr. 1), og om antallet af modtagne underretninger efter § 26, stk. 2, og antallet af sådanne underretninger, som sekretariatet for Advokatsamfundet har sendt til Hvidvasksekretariatet (nr. 2). Rapporten skal derudover indeholde antallet og indholdet af foranstaltninger truffet af Advokatrådet efter § 64, stk. 2, med henblik på at overvåge, at virksomheder og personer omfattet af loven overholder deres forpligtelser i medfør af kapitel 2 om risikovurdering og risikostyring, kapitel 3 om kundekendskabsprocedurer og kapitel 5 om undersøgelses-, noterings-, underretnings-, oplysnings- og opbevaringspligt (nr. 3). Bestemmelsen implementerer 4. og 5. hvidvaskdirektivs artikel 34, stk. 3. </w:t>
      </w:r>
    </w:p>
    <w:p w14:paraId="730759E1"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bemærkningerne til bestemmelsen, at rapporten skal offentliggøres og forudsættes at indgå i grundlaget for den nationale risikovurdering.</w:t>
      </w:r>
    </w:p>
    <w:p w14:paraId="7C1003B9"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endvidere af bemærkningerne, at eftersom Advokatrådet ikke har mulighed for at fastsætte administrative sanktioner, er direktivbestemmelsens litra a ikke omfattet af den foreslåede lovbestemmelse. Det bemærkes i den forbindelse, at det følger af artikel 58, stk. 2, 2 pkt., i 4. hvidvaskdirektiv, at medlemsstaterne kan beslutte ikke at fastsætte bestemmelser om administrative sanktioner for overtrædelser, der allerede er omfattet af strafferetlige sanktioner i henhold til national ret. </w:t>
      </w:r>
    </w:p>
    <w:p w14:paraId="0D6BBB22"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fremgår det, at Advokatsamfundet kan modtage oplysninger om mulige overtrædelser af hvidvaskloven ad flere kanaler, herunder via en whistleblowerordning, e-mail og telefon. Rapporteringsforpligtelsen omfatter dog ikke sådanne oplysninger, som på baggrund af oplysningernes form eller indhold af sekretariatet for Advokatsamfundet vurderes grundløse. </w:t>
      </w:r>
    </w:p>
    <w:p w14:paraId="78F6C29E"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nr. 3 fremgår det, at det følger af hvidvasklovens § 64, stk. 2, at Advokatrådet inden for en af Advokatrådet fastsat frist kan påbyde advokater som nævnt i stk. 1, at foretage de nødvendige foranstaltninger i tilfælde af overtrædelse af bestemmelser i denne lov, de regler, der er fastsat i medfør heraf, eller Europa-Parlamentets og Rådets forordninger indeholdende regler om finansielle sanktioner mod lande, grupper, juridiske enheder eller organer. </w:t>
      </w:r>
    </w:p>
    <w:p w14:paraId="2D951B3D"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2019-20, tillæg A, L 58 som fremsat, side 69 f.</w:t>
      </w:r>
    </w:p>
    <w:p w14:paraId="4C42C61B"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Hvidvaskforordningens artikel 3, stk. 3, indeholder en opregning af en række fysiske og juridiske personer, der betragtes som forpligtede enheder under udøvelsen af deres erhvervsmæssige virksomhed. Det følger af stk. 3, litra a, at som forpligtede enheder med henblik på forordningen betragtes bl.a. selvstændige retlige aktører såsom advokater, der forpligter sig til at yde, enten direkte eller ved hjælp af andre personer, som denne anden person har tilknytning til, materiel hjælp, bistand eller rådgivning om skatteanliggender, som vigtigste forretnings- eller erhvervsmæssige virksomhed. </w:t>
      </w:r>
    </w:p>
    <w:p w14:paraId="38B6D692"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litra b følger det, at som forpligtede enheder betragtes endvidere notarer, advokater og andre selvstændige retlige aktører, når de på deres kundes vegne og for dennes regning deltager i en hvilken som helst finansiel transaktion eller en transaktion vedrørende fast ejendom eller bistår ved planlægningen eller gennemførelsen af transaktioner for deres kunde i forbindelse med én af de i litra i-v, opregnede opgaver.</w:t>
      </w:r>
    </w:p>
    <w:p w14:paraId="595273EE" w14:textId="4CFE0244" w:rsidR="00C27651" w:rsidRPr="00796736" w:rsidRDefault="007D33E7" w:rsidP="00A802A5">
      <w:pPr>
        <w:pStyle w:val="Overskrift4"/>
        <w:rPr>
          <w:rFonts w:ascii="Times New Roman" w:hAnsi="Times New Roman" w:cs="Times New Roman"/>
          <w:sz w:val="24"/>
          <w:szCs w:val="24"/>
        </w:rPr>
      </w:pPr>
      <w:bookmarkStart w:id="1393" w:name="_Toc232109258"/>
      <w:bookmarkStart w:id="1394" w:name="_Ref232940471"/>
      <w:bookmarkStart w:id="1395" w:name="_Ref232940479"/>
      <w:bookmarkStart w:id="1396" w:name="_Ref232940504"/>
      <w:bookmarkStart w:id="1397" w:name="_Ref232940516"/>
      <w:bookmarkStart w:id="1398" w:name="_Ref232940918"/>
      <w:r w:rsidRPr="00796736">
        <w:rPr>
          <w:rFonts w:ascii="Times New Roman" w:hAnsi="Times New Roman" w:cs="Times New Roman"/>
          <w:sz w:val="24"/>
          <w:szCs w:val="24"/>
        </w:rPr>
        <w:t>6. hvidvaskdirektiv</w:t>
      </w:r>
      <w:bookmarkEnd w:id="1393"/>
      <w:bookmarkEnd w:id="1394"/>
      <w:bookmarkEnd w:id="1395"/>
      <w:bookmarkEnd w:id="1396"/>
      <w:bookmarkEnd w:id="1397"/>
      <w:bookmarkEnd w:id="1398"/>
    </w:p>
    <w:p w14:paraId="4B3669F2"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kapitel IV indeholder regler om tilsyn med bekæmpelse af hvidvask af penge og består af fire afdelinger.</w:t>
      </w:r>
    </w:p>
    <w:p w14:paraId="018B45C1" w14:textId="7502D2CE"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Kapitel IV, første afdeling, indeholder artikel 37-48, som udgør almindelige bestemmelser om tilsyn. I det følgende gennemgås de bestemmelser, som har betydning for Advokatrådets tilsyn med advokater og advokatselskaber omfattet af hvidvaskforordningens artikel 3, stk. 3, litra</w:t>
      </w:r>
      <w:r w:rsidR="0092113C" w:rsidRPr="00796736">
        <w:rPr>
          <w:rFonts w:ascii="Times New Roman" w:hAnsi="Times New Roman" w:cs="Times New Roman"/>
          <w:sz w:val="24"/>
          <w:szCs w:val="24"/>
        </w:rPr>
        <w:t xml:space="preserve"> a og</w:t>
      </w:r>
      <w:r w:rsidRPr="00796736">
        <w:rPr>
          <w:rFonts w:ascii="Times New Roman" w:hAnsi="Times New Roman" w:cs="Times New Roman"/>
          <w:sz w:val="24"/>
          <w:szCs w:val="24"/>
        </w:rPr>
        <w:t xml:space="preserve"> b. </w:t>
      </w:r>
    </w:p>
    <w:p w14:paraId="56FFB29C"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37 indeholder regler om de nationale tilsynsorganers beføjelser og ressourcer. Bestemmelsen viderefører og bygger videre på 4. og 5. hvidvaskdirektivs artikel 48. </w:t>
      </w:r>
    </w:p>
    <w:p w14:paraId="2A73FF0A"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1, 1. afsnit, sikrer hver medlemsstat, bortset fra de omstændigheder, der er omfattet af artikel 38, at alle forpligtede enheder, der er etableret på dens område, er underlagt fyldestgørende og effektivt tilsyn. Med henblik herpå udpeger hver medlemsstat et eller flere tilsynsorganer til effektivt at overvåge og til at træffe de nødvendige foranstaltninger for at sikre, at de forpligtede enheder opfylder hvidvaskforordningen og Europa-Parlamentets og Rådets forordning (EU) 2023/1113 af 31. maj 2023 om oplysninger, der skal medsendes ved pengeoverførsler og ved overførsler af visse kryptoaktiver og om ændring af direktiv (EU) 2015/849. Bestemmelsen svarer indholdsmæssigt til 4. og 5. hvidvaskdirektivs artikel 48, stk. 1, idet der dog er tilføjet visse retsakter, som tilsynet omfatter. </w:t>
      </w:r>
    </w:p>
    <w:p w14:paraId="3F0BE4F2"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stk. 1, 2. afsnit, fremgår det, at hvis medlemsstaterne af altoverskyggende almene hensyn har indført specifikke tilladelseskrav for forpligtede enheder til at drive virksomhed på deres område i henhold til den frie udveksling af tjenesteydelser, sikrer de, at de aktiviteter, der udføres af de forpligtede enheder i henhold til disse specifikke tilladelser, er underlagt tilsyn af deres nationale tilsynsorganer, uanset om aktiviteterne udføres via en infrastruktur på deres område eller på afstand. Medlemsstaterne sikrer også, at tilsynet i henhold til dette afsnit meddeles tilsynsorganerne i den medlemsstat, hvor de forpligtede enheders hovedsæde er beliggende.</w:t>
      </w:r>
    </w:p>
    <w:p w14:paraId="465AE83D"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83 fremgår det, at et effektivt tilsyn med alle forpligtede enheder er afgørende for at beskytte integriteten af Unionens finansielle system og det indre marked. Med henblik herpå bør medlemsstaterne indføre et effektivt og uvildigt tilsyn for bekæmpelse af hvidvask af penge og finansiering af terrorisme og fastsætte betingelserne for et effektivt, rettidigt og vedvarende samarbejde mellem tilsynsorganerne.</w:t>
      </w:r>
    </w:p>
    <w:p w14:paraId="288C3B36"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betragtning nr. 84 fremgår det, at medlemsstaterne bør sikre et effektivt, uvildigt og risikobaseret tilsyn med alle forpligtede enheder, fortrinsvis foretaget af offentlige myndigheder gennem et særskilt og uafhængigt nationalt tilsynsorgan. De nationale tilsynsorganer bør kunne udføre en bred vifte af opgaver for at kunne føre effektivt tilsyn med alle forpligtede enheder.</w:t>
      </w:r>
    </w:p>
    <w:p w14:paraId="26C8524C"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37, stk. 2, at medlemsstaterne sikrer, at tilsynsorganerne har tilstrækkelige finansielle, menneskelige og tekniske ressourcer til at udføre deres opgaver som anført i stk. 5. Medlemsstaterne sikrer, at disse myndigheders personale udviser en høj grad af integritet, er tilstrækkeligt kvalificeret og fastholder høje professionelle standarder, herunder standarder for fortrolighed og databeskyttelse samt standarder for behandling af interessekonflikter. Sammen med artikel 37, stk. 6, svarer bestemmelsen indholdsmæssigt til 4. og 5. hvidvaskdirektivs artikel 48, stk. 2. </w:t>
      </w:r>
    </w:p>
    <w:p w14:paraId="6E09F29E"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37, stk. 3, regulerer selvregulerende organer. Det følger af bestemmelsen, at for så vidt angår de enheder, der er omhandlet i hvidvaskforordningens artikel 3, nr. 3, litra a) og b), kan medlemsstaterne tillade, at funktionen efter stk. 1 varetages af selvregulerende organer, forudsat at de har de beføjelser, der er omhandlet i artiklens stk. 6, og har tilstrækkelige finansielle, menneskelige og tekniske ressourcer til at udføre deres opgaver. Medlemsstaterne sikrer derudover, at disse organers personale udviser en høj grad af integritet, er tilstrækkeligt kvalificeret og fastholder høje professionelle standarder, herunder standarder for fortrolighed og databeskyttelse samt standarder for behandling af interessekonflikter. Bestemmelsen svarer til 4. og 5. hvidvaskdirektivs artikel 48, stk. 9.  </w:t>
      </w:r>
    </w:p>
    <w:p w14:paraId="0EAD7C68"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i stk. 4 er ny, og giver mulighed og sætter rammerne for at udpege flere tilsynsorganer til den samme kategori af forpligtede enheder. Bestemmelsen er ikke relevant for Advokatrådets tilsyn.</w:t>
      </w:r>
    </w:p>
    <w:p w14:paraId="308A4F90"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37, stk. 5, skal medlemsstaterne med henblik på stk. 1 sikre, at nationale tilsynsorganer udfører følgende opgaver: </w:t>
      </w:r>
    </w:p>
    <w:p w14:paraId="451B207A" w14:textId="6CBBF893" w:rsidR="00C27651" w:rsidRPr="00796736" w:rsidRDefault="00C27651">
      <w:pPr>
        <w:pStyle w:val="Listeafsnit"/>
        <w:numPr>
          <w:ilvl w:val="1"/>
          <w:numId w:val="3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Formidler relevante oplysninger til forpligtede enheder i henhold til artikel 39. </w:t>
      </w:r>
    </w:p>
    <w:p w14:paraId="3CB9C801" w14:textId="6AA44C61" w:rsidR="00C27651" w:rsidRPr="00796736" w:rsidRDefault="00C27651">
      <w:pPr>
        <w:pStyle w:val="Listeafsnit"/>
        <w:numPr>
          <w:ilvl w:val="1"/>
          <w:numId w:val="3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Afgør, i hvilke tilfælde de specifikke risici i forbindelse med en sektor er klare og forståelige, og individuelle dokumenterede risikovurderinger i henhold til artikel 10 i hvidvaskforordningen ikke er påkrævet. </w:t>
      </w:r>
    </w:p>
    <w:p w14:paraId="3E3AA67B" w14:textId="50723648" w:rsidR="00C27651" w:rsidRPr="00796736" w:rsidRDefault="00C27651">
      <w:pPr>
        <w:pStyle w:val="Listeafsnit"/>
        <w:numPr>
          <w:ilvl w:val="1"/>
          <w:numId w:val="3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Kontrollerer tilstrækkeligheden og gennemførelsen af forpligtede enheders interne politikker, procedurer og kontroller i henhold til kapitel II i hvidvaskforordningen og af de menneskelige ressourcer, der er afsat til udførelsen af de opgaver, der kræves i henhold til nævnte forordning, samt, for tilsynsorganer for kollektive investeringsvirksomheder, træffer afgørelse om tilfælde, hvor den kollektive investeringsvirksomhed kan outsource underretning af mistænkelige aktiviteter i henhold til artikel 18, stk. 7, i hvidvaskforordningen til en tjenesteudbyder. </w:t>
      </w:r>
    </w:p>
    <w:p w14:paraId="6B118789" w14:textId="3EEAF2E8" w:rsidR="00C27651" w:rsidRPr="00796736" w:rsidRDefault="00C27651">
      <w:pPr>
        <w:pStyle w:val="Listeafsnit"/>
        <w:numPr>
          <w:ilvl w:val="1"/>
          <w:numId w:val="3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Vurderer og overvåger regelmæssigt de risici for hvidvask af penge og finansiering af terrorisme samt de risici for manglende gennemførelse og omgåelse af målrettede finansielle sanktioner, som forpligtede enheder er udsat for. </w:t>
      </w:r>
    </w:p>
    <w:p w14:paraId="1A897E38" w14:textId="0DA356B6" w:rsidR="00C27651" w:rsidRPr="00796736" w:rsidRDefault="00C27651">
      <w:pPr>
        <w:pStyle w:val="Listeafsnit"/>
        <w:numPr>
          <w:ilvl w:val="1"/>
          <w:numId w:val="3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Overvåger forpligtede enheders overholdelse af deres forpligtelser i forbindelse med målrettede finansielle sanktioner. </w:t>
      </w:r>
    </w:p>
    <w:p w14:paraId="27BBF01B" w14:textId="6540F249" w:rsidR="00C27651" w:rsidRPr="00796736" w:rsidRDefault="00C27651">
      <w:pPr>
        <w:pStyle w:val="Listeafsnit"/>
        <w:numPr>
          <w:ilvl w:val="1"/>
          <w:numId w:val="3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Gennemfører alle nødvendige off-site undersøgelser, on-site kontrolbesøg og tematiske kontroller og alle andre undersøgelser, vurderinger og analyser, der er nødvendige for at kontrollere, at forpligtede enheder opfylder hvidvaskforordningen og eventuelle administrative foranstaltninger, der træffes i henhold til artikel 56. </w:t>
      </w:r>
    </w:p>
    <w:p w14:paraId="6FF6F367" w14:textId="1E13051D" w:rsidR="00C27651" w:rsidRPr="00796736" w:rsidRDefault="00C27651">
      <w:pPr>
        <w:pStyle w:val="Listeafsnit"/>
        <w:numPr>
          <w:ilvl w:val="1"/>
          <w:numId w:val="3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Træffer passende tilsynsforanstaltninger for at imødegå eventuelle overtrædelser af gældende krav begået af de forpligtede enheder, der er identificeret i processen med tilsynsvurderinger, og følger op på gennemførelsen af sådanne foranstaltninger. </w:t>
      </w:r>
    </w:p>
    <w:p w14:paraId="6FE4AE13"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37, stk. 5, træder i stedet for 4. og 5. hvidvaskdirektivs artikel 48, stk. 1 og 1a, idet den mere præcist opregner de opgaver, som er forbundet med tilsynet. Bestemmelsen i stk. 5, litra f, svarer indholdsmæssigt til 4. og 5. hvidvaskdirektivs artikel 48, stk. 1 a, 3. afsnit. </w:t>
      </w:r>
    </w:p>
    <w:p w14:paraId="32F71241"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37, stk. 6, skal medlemsstaterne endvidere sikre, at tilsynsorganerne har tilstrækkelige beføjelser til at udføre deres opgaver i henhold til stk. 5. De skal for det første have beføjelse til at kræve fremlæggelse af alle oplysninger fra forpligtede enheder, som er relevante for overvågning og kontrol af overholdelsen af hvidvaskforordningen eller forordning (EU) 2023/1113, og til at gennemføre kontroller, herunder fra tjenesteudbydere, som forpligtede enheder har outsourcet en del af deres opgaver til for at opfylde kravene i de nævnte forordninger (litra a). Derudover skal de have beføjelse til at anvende passende og forholdsmæssige administrative foranstaltninger for at afhjælpe situationen i tilfælde af overtrædelser, herunder ved at pålægge bøder i overensstemmelse med direktivets kapitel IV, afdeling 4 (litra b). </w:t>
      </w:r>
    </w:p>
    <w:p w14:paraId="4B840B20"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indholdsmæssigt sammen med artikel 37, stk. 2, til 4. og 5. hvidvaskdirektivs artikel 48, stk. 2, idet det dog specificeres, at myndighederne skal have beføjelse til at anvende passende og forholdsmæssige administrative foranstaltninger, herunder pålægge bøder. </w:t>
      </w:r>
    </w:p>
    <w:p w14:paraId="23AB975B"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præambelbetragtning nr. 86, at for mere effektivt og regelmæssigt at kunne vurdere og overvåge de risici, som forpligtede enheder er eksponeret for, og de interne politikker, procedurer og kontroller, de har indført for at håndtere og afbøde disse risici, og for at gennemføre målrettede finansielle sanktioner, er det nødvendigt at præcisere, at nationale tilsynsorganer både har ret til og er forpligtet til at foretage alle nødvendige off-site, on-site og tematiske kontroller og andre undersøgelser og vurderinger, som de finder nødvendige. De bør også kunne reagere uden unødigt ophold på enhver mistanke om manglende overholdelse af gældende krav og træffe passende tilsynsforanstaltninger for at tackle påstande om manglende overholdelse. Dette vil ikke blot hjælpe tilsynsorganerne med at træffe afgørelse om de tilfælde, hvor de specifikke risici i forbindelse med en sektor, er klare og forståelige, men også give dem de værktøjer, der er nødvendige for yderligere at formidle relevante oplysninger til forpligtede enheder for at bidrage til deres forståelse af risici for hvidvask af penge og finansiering af terrorisme.</w:t>
      </w:r>
    </w:p>
    <w:p w14:paraId="3FEA8012" w14:textId="74BD7980" w:rsidR="0092113C"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bl.a. af præambelbetragtning nr. 89, at oplysninger, der er omfattet af retten til fortrolighed, bør ikke indhentes eller konsulteres i forbindelse med tilsynsopgaver, medmindre undtagelserne i forordning (EU) 2024/1624 finder anvendelse. Hvis tilsynsorganerne støder på eller kommer i besiddelse af sådanne oplysninger, bør de ikke tage hensyn til dem i forbindelse med deres tilsynsaktiviteter eller indberette dem til FIU'en.</w:t>
      </w:r>
    </w:p>
    <w:p w14:paraId="6D0BE036" w14:textId="77777777" w:rsidR="007728D6" w:rsidRPr="00796736" w:rsidRDefault="007728D6" w:rsidP="007728D6">
      <w:pPr>
        <w:spacing w:after="240" w:line="360" w:lineRule="auto"/>
        <w:rPr>
          <w:rFonts w:ascii="Times New Roman" w:hAnsi="Times New Roman" w:cs="Times New Roman"/>
          <w:sz w:val="24"/>
          <w:szCs w:val="24"/>
        </w:rPr>
      </w:pPr>
      <w:r>
        <w:rPr>
          <w:rFonts w:ascii="Times New Roman" w:hAnsi="Times New Roman" w:cs="Times New Roman"/>
          <w:sz w:val="24"/>
          <w:szCs w:val="24"/>
        </w:rPr>
        <w:t>Det bemærkes i den forbindelse, at det fremgår af præambelbetragtning nr. 12 til hvidvaskforordningen, at u</w:t>
      </w:r>
      <w:r w:rsidRPr="00B8716F">
        <w:rPr>
          <w:rFonts w:ascii="Times New Roman" w:hAnsi="Times New Roman" w:cs="Times New Roman"/>
          <w:sz w:val="24"/>
          <w:szCs w:val="24"/>
        </w:rPr>
        <w:t>afhængige retlige aktører bør være underlagt denne forordning, når de deltager i finansielle transaktioner eller selskabstransaktioner, herunder når de yder skatterådgivning, fordi der er risiko for, at de tjenesteydelser, der leveres af disse retlige aktører, misbruges til hvidvask af udbytte af kriminelle handlinger eller til finansiering af terrorisme. Der bør dog være fritagelse for enhver forpligtelse til at indberette oplysninger, der er modtaget før, under eller efter retssager eller i forbindelse med vurderingen af en kundes retsstilling, da sådanne oplysninger er omfattet af retten til fortrolighed. Derfor bør juridisk rådgivning fortsat være omfattet af tavshedspligt, medmindre den retlige aktør deltager i hvidvask af penge eller finansiering af terrorisme, eller den juridiske rådgivning ydes med henblik på hvidvask af penge eller finansiering af terrorisme, eller hvis den retlige aktør har kendskab til, at kunden søger juridisk rådgivning med henblik på hvidvask af penge eller finansiering af terrorisme. Sådant kendskab og formål kan udledes af objektive, faktiske omstændigheder. Da der muligvis allerede indhentes juridisk rådgivning på det tidspunkt, hvor den udbytteskabende kriminelle handling begås, er det vigtigt, at sager, der er udelukket fra retten til fortrolighed, også omfatter situationer, hvor den juridiske rådgivning ydes i forbindelse med underliggende lovovertrædelser. Juridisk rådgivning, der indhentes i forbindelse med verserende retssager, bør ikke betragtes som juridisk rådgivning med henblik på hvidvask af penge eller finansiering af terrorisme.</w:t>
      </w:r>
      <w:r>
        <w:rPr>
          <w:rFonts w:ascii="Times New Roman" w:hAnsi="Times New Roman" w:cs="Times New Roman"/>
          <w:sz w:val="24"/>
          <w:szCs w:val="24"/>
        </w:rPr>
        <w:t xml:space="preserve"> </w:t>
      </w:r>
    </w:p>
    <w:p w14:paraId="08DA318A"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37, stk. 7, vedrører finansielle tilsynsorganer og er ikke relevant for Advokatrådets tilsynsforpligtelser.     </w:t>
      </w:r>
    </w:p>
    <w:p w14:paraId="35AB2671"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39 regulerer fremlæggelse af oplysninger for forpligtede enheder, og indeholder en pligt til for tilsynsmyndighederne at stille oplysninger om hvidvask af penge og finansiering af terrorisme til rådighed for forpligtede enheder under deres tilsyn. </w:t>
      </w:r>
    </w:p>
    <w:p w14:paraId="01EE9672"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Oplysningerne omfattet af fremlæggelsespligten fremgår af en ikke-udtømmende opregning i stk. 2, litra a-e, og omfatter bl.a. den risikovurdering på EU-plan, som Kommissionen udarbejder, og den nationale eller sektorspecifikke risikovurdering udarbejdet i henhold til artikel 8. Efter stk. 3 skal medlemsstaterne sikre, at tilsynsmyndigheder i det omfang, det er hensigtsmæssigt, udfører outreachaktiviteter for at informere de forpligtede enheder, som de fører tilsyn med, om deres forpligtelser. Endelig fremgår det af stk. 4, at medlemsstaterne sikrer, at tilsynsorganerne omgående stiller oplysninger om personer eller enheder, der er udpeget i forbindelse med målrettede finansielle sanktioner og FN's finansielle sanktioner, til rådighed for forpligtede enheder under deres tilsyn. Bestemmelsen i artikel 39, stk. 2, svarer til 4. hvidvaskdirektivs artikel 46, stk. 2.</w:t>
      </w:r>
    </w:p>
    <w:p w14:paraId="390E3B47"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præambelbetragtning nr. 87, at outreachaktiviteter, herunder tilsynsorganernes formidling af oplysninger til de forpligtede enheder under deres tilsyn, er afgørende for at sikre, at den private sektor har tilstrækkelig forståelse af arten og omfanget af de risici for hvidvask af penge og finansiering af terrorisme, som de står over for. Dette omfatter formidling af udpegning under målrettede finansielle sanktioner og FN's finansielle sanktioner, som bør ske omgående, når sådan udpegning har fundet sted, således at sektoren er i stand til at overholde deres forpligtelser. Da forpligtede enheders gennemførelse af kravene til bekæmpelse af hvidvask af penge og finansiering af terrorisme indebærer behandling af personoplysninger, er det vigtigt, at tilsynsorganerne er opmærksomme på vejledninger og andre publikationer, der udsendes af databeskyttelsesmyndighederne, enten på nationalt plan eller på EU-plan gennem Det Europæiske Databeskyttelsesråd, og at de i relevant omfang medtager disse oplysninger i deres formidling til enhederne under deres tilsyn.</w:t>
      </w:r>
    </w:p>
    <w:p w14:paraId="7204DE8C"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40 fastslår princippet om et risikobaseret tilsyn.</w:t>
      </w:r>
    </w:p>
    <w:p w14:paraId="3FDA83D7"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stk. 1, 1. afsnit, litra a-c, opregnes en række momenter, som medlemsstaterne skal sikre med henblik på dette risikobaserede tilsyn. Bestemmelsen svarer indholdsmæssigt til 4. og 5. hvidvaskdirektivs artikel 48, stk. 6.</w:t>
      </w:r>
    </w:p>
    <w:p w14:paraId="3D00A6FF"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1, 2. afsnit, at med henblik på dette stykkes første afsnit, litra c) udarbejder tilsynsorganer årlige tilsynsprogrammer, som skal tage hensyn til den tidsplan og de ressourcer, der er nødvendige for omgående at kunne reagere i tilfælde af objektive og betydelige tegn på tilsidesættelse forordning (EU) 2024/1624 og (EU) 2023/1113. Bestemmelsen er ny.</w:t>
      </w:r>
    </w:p>
    <w:p w14:paraId="5D1360F2"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40, stk. 2 og 3, retter sig mod AMLA og skal ikke implementeres i dansk ret. Bestemmelserne bygger videre på til 4. og 5. hvidvaskdirektivs artikel 48, stk. 7 og 10. </w:t>
      </w:r>
    </w:p>
    <w:p w14:paraId="4B7B1BB9"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hvidvaskdirektivets artikel 40, stk. 4, fremgår det, at medlemsstaterne sikrer, at tilsynsorganerne tager hensyn til omfanget af den skønsbeføjelse, som det er tilladt den forpligtede enhed at have, og foretager en passende gennemgang af de risikovurderinger, der ligger til grund for denne skønsbeføjelse, og af tilstrækkeligheden af enhedens interne politikker, procedurer og kontroller. </w:t>
      </w:r>
    </w:p>
    <w:p w14:paraId="4CE3730E"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til 4. og 5. hvidvaskdirektivs artikel 48, stk. 8.  </w:t>
      </w:r>
    </w:p>
    <w:p w14:paraId="4CC1BAAC"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fremgår det af hvidvaskdirektivets artikel 40, stk. 5, at medlemsstaterne sikrer, at tilsynsorganerne udarbejder en detaljeret årlig aktivitetsrapport, og at en sammenfatning af denne rapport offentliggøres. Denne må ikke indeholde fortrolige oplysninger, men skal indeholde en række oplysninger, som opregnes i litra a-c. </w:t>
      </w:r>
    </w:p>
    <w:p w14:paraId="3F23497A" w14:textId="77777777" w:rsidR="00C27651" w:rsidRPr="00796736" w:rsidRDefault="00C2765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til 4. og 5. hvidvaskdirektivs artikel 34, stk. 3. </w:t>
      </w:r>
    </w:p>
    <w:p w14:paraId="47C6A3DD"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præambelbetragtning nr. 88, at tilsynsorganerne bør anvende en risikobaseret tilgang til deres arbejde, som vil kunne sætte dem i stand til at koncentrere deres ressourcer der, hvor risiciene er størst, samtidig med at det sikres, at ingen sektor eller enhed fortsat er udsat for kriminelle forsøg på at hvidvaske penge eller finansiere terrorisme. Med henblik herpå bør tilsynsorganerne planlægge deres aktiviteter årligt. I den forbindelse bør de ikke alene sikre en risikobaseret dækning af de sektorer, der er under deres tilsyn, men også, at de er i stand til at reagere omgående i tilfælde af objektive og væsentlige tegn på overtrædelser i en forpligtet enhed, herunder navnlig efter offentlige afsløringer eller oplysninger indgivet af whistleblowere. Tilsynsorganerne bør også sikre gennemsigtighed med hensyn til de tilsynsaktiviteter, som de har udført, såsom tilsynskollegier, som de har oprettet og deltaget i, on-site og off-site tilsynstag, de har taget, bøder, der har pålagt, eller administrative foranstaltninger, de har anvendt. AMLA bør spille en ledende rolle med hensyn til at fremme en fælles forståelse af risici og bør derfor have til opgave at udvikle benchmarks og en metode til vurdering og klassificering af forpligtede enheders iboende risikoprofil og residuale risikoprofil samt den hyppighed, hvormed en sådan risikoprofil bør revideres. </w:t>
      </w:r>
    </w:p>
    <w:p w14:paraId="2A892742" w14:textId="77777777" w:rsidR="00C27651" w:rsidRPr="00796736" w:rsidRDefault="00C27651" w:rsidP="00A802A5">
      <w:pPr>
        <w:spacing w:line="360" w:lineRule="auto"/>
        <w:rPr>
          <w:rFonts w:ascii="Times New Roman" w:hAnsi="Times New Roman" w:cs="Times New Roman"/>
          <w:sz w:val="24"/>
          <w:szCs w:val="24"/>
        </w:rPr>
      </w:pPr>
    </w:p>
    <w:p w14:paraId="6AB3DDE0" w14:textId="3FFA1424" w:rsidR="00C27651" w:rsidRPr="00796736" w:rsidRDefault="00C27651" w:rsidP="00A802A5">
      <w:pPr>
        <w:pStyle w:val="Overskrift4"/>
        <w:rPr>
          <w:rFonts w:ascii="Times New Roman" w:hAnsi="Times New Roman" w:cs="Times New Roman"/>
          <w:sz w:val="24"/>
          <w:szCs w:val="24"/>
        </w:rPr>
      </w:pPr>
      <w:bookmarkStart w:id="1399" w:name="_Toc232109259"/>
      <w:r w:rsidRPr="00796736">
        <w:rPr>
          <w:rFonts w:ascii="Times New Roman" w:hAnsi="Times New Roman" w:cs="Times New Roman"/>
          <w:sz w:val="24"/>
          <w:szCs w:val="24"/>
        </w:rPr>
        <w:t>Justitsministeriets overvejelser og den foreslåede ordning</w:t>
      </w:r>
      <w:bookmarkEnd w:id="1399"/>
    </w:p>
    <w:p w14:paraId="1153BE7B" w14:textId="5F9B4E8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0638CA" w:rsidRPr="00796736">
        <w:rPr>
          <w:rFonts w:ascii="Times New Roman" w:hAnsi="Times New Roman" w:cs="Times New Roman"/>
          <w:sz w:val="24"/>
          <w:szCs w:val="24"/>
        </w:rPr>
        <w:fldChar w:fldCharType="begin"/>
      </w:r>
      <w:r w:rsidR="000638CA" w:rsidRPr="00796736">
        <w:rPr>
          <w:rFonts w:ascii="Times New Roman" w:hAnsi="Times New Roman" w:cs="Times New Roman"/>
          <w:sz w:val="24"/>
          <w:szCs w:val="24"/>
        </w:rPr>
        <w:instrText xml:space="preserve"> REF _Ref232940471 \n \h </w:instrText>
      </w:r>
      <w:r w:rsidR="00967618" w:rsidRPr="00796736">
        <w:rPr>
          <w:rFonts w:ascii="Times New Roman" w:hAnsi="Times New Roman" w:cs="Times New Roman"/>
          <w:sz w:val="24"/>
          <w:szCs w:val="24"/>
        </w:rPr>
        <w:instrText xml:space="preserve"> \* MERGEFORMAT </w:instrText>
      </w:r>
      <w:r w:rsidR="000638CA" w:rsidRPr="00796736">
        <w:rPr>
          <w:rFonts w:ascii="Times New Roman" w:hAnsi="Times New Roman" w:cs="Times New Roman"/>
          <w:sz w:val="24"/>
          <w:szCs w:val="24"/>
        </w:rPr>
      </w:r>
      <w:r w:rsidR="000638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3.66.2</w:t>
      </w:r>
      <w:r w:rsidR="000638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følger det af hvidvaskdirektivets artikel 37, at medlemsstaterne skal udpege nationale tilsynsmyndigheder, som er tillagt en række opgaver og beføjelser for effektivt at kunne føre tilsyn med hvidvask- og terrorfinansieringsområdet. For så vidt angår advokater og advokatselskaber mv. omfattet af hvidvaskforordningens artikel 3, nr. 3, litra</w:t>
      </w:r>
      <w:r w:rsidR="0092113C" w:rsidRPr="00796736">
        <w:rPr>
          <w:rFonts w:ascii="Times New Roman" w:hAnsi="Times New Roman" w:cs="Times New Roman"/>
          <w:sz w:val="24"/>
          <w:szCs w:val="24"/>
        </w:rPr>
        <w:t xml:space="preserve"> a og</w:t>
      </w:r>
      <w:r w:rsidRPr="00796736">
        <w:rPr>
          <w:rFonts w:ascii="Times New Roman" w:hAnsi="Times New Roman" w:cs="Times New Roman"/>
          <w:sz w:val="24"/>
          <w:szCs w:val="24"/>
        </w:rPr>
        <w:t xml:space="preserve"> b, følger det af artikel 37, stk. 3, at medlemsstaterne kan tillade, at tilsynsfunktionen varetages af selvregulerende organer, forudsat at disse organer har de beføjelser, der er omhandlet i stk. 6, og lever op til kravene som følger af artikel 37, stk. 2. Dertil kommer, at det af stk. 5 følger, at medlemsstaterne skal sikre, at de nationale tilsynsmyndigheder udfører en række opgaver, som følger af bestemmelsens litra a-g. </w:t>
      </w:r>
    </w:p>
    <w:p w14:paraId="54BF41EF" w14:textId="77777777" w:rsidR="00C27651" w:rsidRPr="00796736" w:rsidRDefault="00C27651" w:rsidP="00A802A5">
      <w:pPr>
        <w:spacing w:line="360" w:lineRule="auto"/>
        <w:rPr>
          <w:rFonts w:ascii="Times New Roman" w:hAnsi="Times New Roman" w:cs="Times New Roman"/>
          <w:sz w:val="24"/>
          <w:szCs w:val="24"/>
        </w:rPr>
      </w:pPr>
    </w:p>
    <w:p w14:paraId="48515214"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Advokatrådet fungerer i dansk ret som et sådant selvregulerende organ i henhold til direktivets definition, der fører tilsyn med advokater, deres autoriserede fuldmægtige, fællesskaber af advokater og advokatselskaber.</w:t>
      </w:r>
    </w:p>
    <w:p w14:paraId="72C6A473" w14:textId="77777777" w:rsidR="00C27651" w:rsidRPr="00796736" w:rsidRDefault="00C27651" w:rsidP="00A802A5">
      <w:pPr>
        <w:spacing w:line="360" w:lineRule="auto"/>
        <w:rPr>
          <w:rFonts w:ascii="Times New Roman" w:hAnsi="Times New Roman" w:cs="Times New Roman"/>
          <w:sz w:val="24"/>
          <w:szCs w:val="24"/>
        </w:rPr>
      </w:pPr>
    </w:p>
    <w:p w14:paraId="499FD227" w14:textId="4DB38F1D"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også fremgår af pkt. </w:t>
      </w:r>
      <w:r w:rsidR="000638CA" w:rsidRPr="00796736">
        <w:rPr>
          <w:rFonts w:ascii="Times New Roman" w:hAnsi="Times New Roman" w:cs="Times New Roman"/>
          <w:sz w:val="24"/>
          <w:szCs w:val="24"/>
        </w:rPr>
        <w:fldChar w:fldCharType="begin"/>
      </w:r>
      <w:r w:rsidR="000638CA" w:rsidRPr="00796736">
        <w:rPr>
          <w:rFonts w:ascii="Times New Roman" w:hAnsi="Times New Roman" w:cs="Times New Roman"/>
          <w:sz w:val="24"/>
          <w:szCs w:val="24"/>
        </w:rPr>
        <w:instrText xml:space="preserve"> REF _Ref232940479 \n \h </w:instrText>
      </w:r>
      <w:r w:rsidR="00967618" w:rsidRPr="00796736">
        <w:rPr>
          <w:rFonts w:ascii="Times New Roman" w:hAnsi="Times New Roman" w:cs="Times New Roman"/>
          <w:sz w:val="24"/>
          <w:szCs w:val="24"/>
        </w:rPr>
        <w:instrText xml:space="preserve"> \* MERGEFORMAT </w:instrText>
      </w:r>
      <w:r w:rsidR="000638CA" w:rsidRPr="00796736">
        <w:rPr>
          <w:rFonts w:ascii="Times New Roman" w:hAnsi="Times New Roman" w:cs="Times New Roman"/>
          <w:sz w:val="24"/>
          <w:szCs w:val="24"/>
        </w:rPr>
      </w:r>
      <w:r w:rsidR="000638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3.66.2</w:t>
      </w:r>
      <w:r w:rsidR="000638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følger det af hvidvaskdirektivets artikel 39, at medlemsstaterne skal sikre, at tilsynsmyndighederne fremlægger en række oplysninger for de forpligtede enheder i forbindelse med deres tilsyn og af artikel 40 følger princippet om et risikobaseret tilsyn, som i bestemmelsens stk. 1 og 4 er nærmere præciseret, hvad indebærer. Endelig følger det af artikel 40, stk. 5, at tilsynsmyndighederne skal udarbejde en årlig aktivitetsrapport om tilsynet mv., hvoraf en sammenfatning heraf offentliggøres.</w:t>
      </w:r>
    </w:p>
    <w:p w14:paraId="134DFE1C" w14:textId="77777777" w:rsidR="00C27651" w:rsidRPr="00796736" w:rsidRDefault="00C27651" w:rsidP="00A802A5">
      <w:pPr>
        <w:spacing w:line="360" w:lineRule="auto"/>
        <w:rPr>
          <w:rFonts w:ascii="Times New Roman" w:hAnsi="Times New Roman" w:cs="Times New Roman"/>
          <w:sz w:val="24"/>
          <w:szCs w:val="24"/>
        </w:rPr>
      </w:pPr>
    </w:p>
    <w:p w14:paraId="321A26C7" w14:textId="4279D85B"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under pkt. </w:t>
      </w:r>
      <w:r w:rsidR="000638CA" w:rsidRPr="00796736">
        <w:rPr>
          <w:rFonts w:ascii="Times New Roman" w:hAnsi="Times New Roman" w:cs="Times New Roman"/>
          <w:sz w:val="24"/>
          <w:szCs w:val="24"/>
        </w:rPr>
        <w:fldChar w:fldCharType="begin"/>
      </w:r>
      <w:r w:rsidR="000638CA" w:rsidRPr="00796736">
        <w:rPr>
          <w:rFonts w:ascii="Times New Roman" w:hAnsi="Times New Roman" w:cs="Times New Roman"/>
          <w:sz w:val="24"/>
          <w:szCs w:val="24"/>
        </w:rPr>
        <w:instrText xml:space="preserve"> REF _Ref232940495 \n \h </w:instrText>
      </w:r>
      <w:r w:rsidR="00967618" w:rsidRPr="00796736">
        <w:rPr>
          <w:rFonts w:ascii="Times New Roman" w:hAnsi="Times New Roman" w:cs="Times New Roman"/>
          <w:sz w:val="24"/>
          <w:szCs w:val="24"/>
        </w:rPr>
        <w:instrText xml:space="preserve"> \* MERGEFORMAT </w:instrText>
      </w:r>
      <w:r w:rsidR="000638CA" w:rsidRPr="00796736">
        <w:rPr>
          <w:rFonts w:ascii="Times New Roman" w:hAnsi="Times New Roman" w:cs="Times New Roman"/>
          <w:sz w:val="24"/>
          <w:szCs w:val="24"/>
        </w:rPr>
      </w:r>
      <w:r w:rsidR="000638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3.66.1</w:t>
      </w:r>
      <w:r w:rsidR="000638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danner retsplejelovens kapitel 15 og hvidvasklovens § 26 a og § 64, stk. 1, rammerne om Advokatrådets rolle som tilsynsmyndighed med advokater og advokatselskaber i Danmark på hvidvask- og terrorfinansieringsområdet. Bestemmelserne i hvidvasklovens § 26 a og § 64, stk. 1, implementerer 4. og 5. hvidvaskdirektivs artikel 34, stk. 3, artikel 46, stk. 2, og artikel 48. </w:t>
      </w:r>
    </w:p>
    <w:p w14:paraId="304E7962" w14:textId="77777777" w:rsidR="00C27651" w:rsidRPr="00796736" w:rsidRDefault="00C27651" w:rsidP="00A802A5">
      <w:pPr>
        <w:spacing w:line="360" w:lineRule="auto"/>
        <w:rPr>
          <w:rFonts w:ascii="Times New Roman" w:hAnsi="Times New Roman" w:cs="Times New Roman"/>
          <w:sz w:val="24"/>
          <w:szCs w:val="24"/>
        </w:rPr>
      </w:pPr>
    </w:p>
    <w:p w14:paraId="4D937D51" w14:textId="3086EB29"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0638CA" w:rsidRPr="00796736">
        <w:rPr>
          <w:rFonts w:ascii="Times New Roman" w:hAnsi="Times New Roman" w:cs="Times New Roman"/>
          <w:sz w:val="24"/>
          <w:szCs w:val="24"/>
        </w:rPr>
        <w:fldChar w:fldCharType="begin"/>
      </w:r>
      <w:r w:rsidR="000638CA" w:rsidRPr="00796736">
        <w:rPr>
          <w:rFonts w:ascii="Times New Roman" w:hAnsi="Times New Roman" w:cs="Times New Roman"/>
          <w:sz w:val="24"/>
          <w:szCs w:val="24"/>
        </w:rPr>
        <w:instrText xml:space="preserve"> REF _Ref232940504 \n \h </w:instrText>
      </w:r>
      <w:r w:rsidR="00967618" w:rsidRPr="00796736">
        <w:rPr>
          <w:rFonts w:ascii="Times New Roman" w:hAnsi="Times New Roman" w:cs="Times New Roman"/>
          <w:sz w:val="24"/>
          <w:szCs w:val="24"/>
        </w:rPr>
        <w:instrText xml:space="preserve"> \* MERGEFORMAT </w:instrText>
      </w:r>
      <w:r w:rsidR="000638CA" w:rsidRPr="00796736">
        <w:rPr>
          <w:rFonts w:ascii="Times New Roman" w:hAnsi="Times New Roman" w:cs="Times New Roman"/>
          <w:sz w:val="24"/>
          <w:szCs w:val="24"/>
        </w:rPr>
      </w:r>
      <w:r w:rsidR="000638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3.66.2</w:t>
      </w:r>
      <w:r w:rsidR="000638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er der imidlertid en række ændringer i hvidvaskdirektivets artikel 37, 39 og 40 i forhold til 4. og 5. hvidvaskdirektivs artikel 34, stk. 3, artikel 46, stk. 2, og artikel 48. </w:t>
      </w:r>
    </w:p>
    <w:p w14:paraId="2E3B68AA" w14:textId="77777777" w:rsidR="00C27651" w:rsidRPr="00796736" w:rsidRDefault="00C27651" w:rsidP="00A802A5">
      <w:pPr>
        <w:spacing w:line="360" w:lineRule="auto"/>
        <w:rPr>
          <w:rFonts w:ascii="Times New Roman" w:hAnsi="Times New Roman" w:cs="Times New Roman"/>
          <w:sz w:val="24"/>
          <w:szCs w:val="24"/>
        </w:rPr>
      </w:pPr>
    </w:p>
    <w:p w14:paraId="382B0C3D" w14:textId="48FDB756"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bestemmelser og 4. og 5. hvidvaskdirektiv tilsvarende bestemmelser adskiller sig bl.a. ved, at artikel 37 i videre udstrækning end artikel 48 i 4. og 5. hvidvaskdirektiv udspecificerer, hvilke opgaver og beføjelser, som tilsynsmyndighederne skal henholdsvis varetage og være i besiddelse af. Derudover kan det bl.a. nævnes at hvidvaskdirektivets artikel 39 indeholder nye krav om outreachaktiviteter og fremlæggelse af oplysninger om FN-sanktioner. Endelig kan det nævnes, at artikel 40 om et risikobaseret tilsyn til forskel fra artiklerne 48, stk. 6, og 34, stk. 3, i 4. og 5. hvidvaskdirektiv, bl.a. indebærer et krav om årlige tilsynsprogrammer og offentliggørelse af ikke-klassificerede sammenfatninger af de årlige aktivitetsrapporter. Der henvises i øvrigt til gennemgangen under pkt. </w:t>
      </w:r>
      <w:r w:rsidR="000638CA" w:rsidRPr="00796736">
        <w:rPr>
          <w:rFonts w:ascii="Times New Roman" w:hAnsi="Times New Roman" w:cs="Times New Roman"/>
          <w:sz w:val="24"/>
          <w:szCs w:val="24"/>
        </w:rPr>
        <w:fldChar w:fldCharType="begin"/>
      </w:r>
      <w:r w:rsidR="000638CA" w:rsidRPr="00796736">
        <w:rPr>
          <w:rFonts w:ascii="Times New Roman" w:hAnsi="Times New Roman" w:cs="Times New Roman"/>
          <w:sz w:val="24"/>
          <w:szCs w:val="24"/>
        </w:rPr>
        <w:instrText xml:space="preserve"> REF _Ref232940516 \n \h </w:instrText>
      </w:r>
      <w:r w:rsidR="00967618" w:rsidRPr="00796736">
        <w:rPr>
          <w:rFonts w:ascii="Times New Roman" w:hAnsi="Times New Roman" w:cs="Times New Roman"/>
          <w:sz w:val="24"/>
          <w:szCs w:val="24"/>
        </w:rPr>
        <w:instrText xml:space="preserve"> \* MERGEFORMAT </w:instrText>
      </w:r>
      <w:r w:rsidR="000638CA" w:rsidRPr="00796736">
        <w:rPr>
          <w:rFonts w:ascii="Times New Roman" w:hAnsi="Times New Roman" w:cs="Times New Roman"/>
          <w:sz w:val="24"/>
          <w:szCs w:val="24"/>
        </w:rPr>
      </w:r>
      <w:r w:rsidR="000638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3.66.2</w:t>
      </w:r>
      <w:r w:rsidR="000638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668148C3" w14:textId="77777777" w:rsidR="00C27651" w:rsidRPr="00796736" w:rsidRDefault="00C27651" w:rsidP="00A802A5">
      <w:pPr>
        <w:spacing w:line="360" w:lineRule="auto"/>
        <w:rPr>
          <w:rFonts w:ascii="Times New Roman" w:hAnsi="Times New Roman" w:cs="Times New Roman"/>
          <w:sz w:val="24"/>
          <w:szCs w:val="24"/>
        </w:rPr>
      </w:pPr>
    </w:p>
    <w:p w14:paraId="08D1616C"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ændringer, som følger af hvidvaskdirektivets artikel 37, 39 og 40, nødvendiggør efter Justitsministeriets opfattelse ændringer i de eksisterende bestemmelser i hvidvaskloven. </w:t>
      </w:r>
    </w:p>
    <w:p w14:paraId="63931405" w14:textId="77777777" w:rsidR="00C27651" w:rsidRPr="00796736" w:rsidRDefault="00C27651" w:rsidP="00A802A5">
      <w:pPr>
        <w:spacing w:line="360" w:lineRule="auto"/>
        <w:rPr>
          <w:rFonts w:ascii="Times New Roman" w:hAnsi="Times New Roman" w:cs="Times New Roman"/>
          <w:sz w:val="24"/>
          <w:szCs w:val="24"/>
        </w:rPr>
      </w:pPr>
    </w:p>
    <w:p w14:paraId="1C73EEF7" w14:textId="6EB8C46F"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Advokater indtager en grundlæggende rolle i retssystemet, hvorfor de nyder en særlig beskyttelse, som bl.a. omfatter en beskyttelse af oplysninger udvekslet mellem en advokat og dennes klient. Dette gælder særligt for advokaters udøvelse af hvervet som forsvarsadvokater i straffesager. Der henvises for nærmere herom til pkt. </w:t>
      </w:r>
      <w:r w:rsidR="008B0E0B" w:rsidRPr="00796736">
        <w:rPr>
          <w:rFonts w:ascii="Times New Roman" w:hAnsi="Times New Roman" w:cs="Times New Roman"/>
          <w:sz w:val="24"/>
          <w:szCs w:val="24"/>
        </w:rPr>
        <w:fldChar w:fldCharType="begin"/>
      </w:r>
      <w:r w:rsidR="008B0E0B" w:rsidRPr="00796736">
        <w:rPr>
          <w:rFonts w:ascii="Times New Roman" w:hAnsi="Times New Roman" w:cs="Times New Roman"/>
          <w:sz w:val="24"/>
          <w:szCs w:val="24"/>
        </w:rPr>
        <w:instrText xml:space="preserve"> REF _Ref232940653 \n \h </w:instrText>
      </w:r>
      <w:r w:rsidR="00967618" w:rsidRPr="00796736">
        <w:rPr>
          <w:rFonts w:ascii="Times New Roman" w:hAnsi="Times New Roman" w:cs="Times New Roman"/>
          <w:sz w:val="24"/>
          <w:szCs w:val="24"/>
        </w:rPr>
        <w:instrText xml:space="preserve"> \* MERGEFORMAT </w:instrText>
      </w:r>
      <w:r w:rsidR="008B0E0B" w:rsidRPr="00796736">
        <w:rPr>
          <w:rFonts w:ascii="Times New Roman" w:hAnsi="Times New Roman" w:cs="Times New Roman"/>
          <w:sz w:val="24"/>
          <w:szCs w:val="24"/>
        </w:rPr>
      </w:r>
      <w:r w:rsidR="008B0E0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3.66.1.1.1</w:t>
      </w:r>
      <w:r w:rsidR="008B0E0B" w:rsidRPr="00796736">
        <w:rPr>
          <w:rFonts w:ascii="Times New Roman" w:hAnsi="Times New Roman" w:cs="Times New Roman"/>
          <w:sz w:val="24"/>
          <w:szCs w:val="24"/>
        </w:rPr>
        <w:fldChar w:fldCharType="end"/>
      </w:r>
      <w:r w:rsidR="008B0E0B" w:rsidRPr="00796736">
        <w:rPr>
          <w:rFonts w:ascii="Times New Roman" w:hAnsi="Times New Roman" w:cs="Times New Roman"/>
          <w:sz w:val="24"/>
          <w:szCs w:val="24"/>
        </w:rPr>
        <w:t>.</w:t>
      </w:r>
    </w:p>
    <w:p w14:paraId="26A349D5" w14:textId="77777777" w:rsidR="00C27651" w:rsidRPr="00796736" w:rsidRDefault="00C27651" w:rsidP="00A802A5">
      <w:pPr>
        <w:spacing w:line="360" w:lineRule="auto"/>
        <w:rPr>
          <w:rFonts w:ascii="Times New Roman" w:hAnsi="Times New Roman" w:cs="Times New Roman"/>
          <w:sz w:val="24"/>
          <w:szCs w:val="24"/>
        </w:rPr>
      </w:pPr>
    </w:p>
    <w:p w14:paraId="61542A86"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Justitsministeriet har på den baggrund ved udformningen af de dele af den foreslåede ordning, som udgør indgreb i advokaters privilegerede retsstilling, overordnet lagt vægt på, at de omhandlede beføjelser er tillagt Advokatrådet, som allerede i dag indtager en rolle som tilsynsmyndighed med advokaters virke, hvor rådets uafhængighed tjener som en væsentlig retsgaranti i forhold til de advokater, autoriserede fuldmægtige, fællesskaber af advokater og advokatselskaber, de fører tilsyn med. Dertil kommer, at de foreslåede tilsynsforanstaltninger efter den foreslåede ordning er ledsaget af krav om nødvendighed og proportionalitet, jf. retssikkerhedslovens § 2, hvor hensynet til beskyttelsen af advokathvervet vil skulle indgå i afvejningen af, om en tilsynsforanstaltning kan gennemføres. </w:t>
      </w:r>
    </w:p>
    <w:p w14:paraId="74F02EB8" w14:textId="77777777" w:rsidR="00C27651" w:rsidRPr="00796736" w:rsidRDefault="00C27651" w:rsidP="00A802A5">
      <w:pPr>
        <w:spacing w:line="360" w:lineRule="auto"/>
        <w:rPr>
          <w:rFonts w:ascii="Times New Roman" w:hAnsi="Times New Roman" w:cs="Times New Roman"/>
          <w:sz w:val="24"/>
          <w:szCs w:val="24"/>
        </w:rPr>
      </w:pPr>
    </w:p>
    <w:p w14:paraId="3D3D3318"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ordning vil indebære, at den nugældende ordning, hvorefter Advokatrådet er tilsynsmyndighed for advokater, deres autoriserede fuldmægtige, fællesskaber af advokater og advokatselskaber på hvidvask-, terrorfinansierings- og sanktionsområdet, videreføres og udbygges, idet hvidvaskdirektivets artikel 37, 39 og 40 med en række tilføjelser viderefører en række elementer fra 4. og 5. hvidvaskdirektivs artikel 34, stk. 3, artikel 46, stk. 2, og artikel 48.</w:t>
      </w:r>
    </w:p>
    <w:p w14:paraId="6FDDE912" w14:textId="77777777" w:rsidR="00C27651" w:rsidRPr="00796736" w:rsidRDefault="00C27651" w:rsidP="00A802A5">
      <w:pPr>
        <w:spacing w:line="360" w:lineRule="auto"/>
        <w:rPr>
          <w:rFonts w:ascii="Times New Roman" w:hAnsi="Times New Roman" w:cs="Times New Roman"/>
          <w:sz w:val="24"/>
          <w:szCs w:val="24"/>
        </w:rPr>
      </w:pPr>
    </w:p>
    <w:p w14:paraId="2F435113" w14:textId="6E830D1D"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overensstemmelse hermed at gennemføre hvidvaskdirektivets artikel 37 og 40 ved i </w:t>
      </w:r>
      <w:r w:rsidR="008B0E0B" w:rsidRPr="00796736">
        <w:rPr>
          <w:rFonts w:ascii="Times New Roman" w:hAnsi="Times New Roman" w:cs="Times New Roman"/>
          <w:sz w:val="24"/>
          <w:szCs w:val="24"/>
        </w:rPr>
        <w:fldChar w:fldCharType="begin"/>
      </w:r>
      <w:r w:rsidR="008B0E0B" w:rsidRPr="00796736">
        <w:rPr>
          <w:rFonts w:ascii="Times New Roman" w:hAnsi="Times New Roman" w:cs="Times New Roman"/>
          <w:sz w:val="24"/>
          <w:szCs w:val="24"/>
        </w:rPr>
        <w:instrText xml:space="preserve"> REF _Ref232609193 \r \h </w:instrText>
      </w:r>
      <w:r w:rsidR="00967618" w:rsidRPr="00796736">
        <w:rPr>
          <w:rFonts w:ascii="Times New Roman" w:hAnsi="Times New Roman" w:cs="Times New Roman"/>
          <w:sz w:val="24"/>
          <w:szCs w:val="24"/>
        </w:rPr>
        <w:instrText xml:space="preserve"> \* MERGEFORMAT </w:instrText>
      </w:r>
      <w:r w:rsidR="008B0E0B" w:rsidRPr="00796736">
        <w:rPr>
          <w:rFonts w:ascii="Times New Roman" w:hAnsi="Times New Roman" w:cs="Times New Roman"/>
          <w:sz w:val="24"/>
          <w:szCs w:val="24"/>
        </w:rPr>
      </w:r>
      <w:r w:rsidR="008B0E0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008B0E0B" w:rsidRPr="00796736">
        <w:rPr>
          <w:rFonts w:ascii="Times New Roman" w:hAnsi="Times New Roman" w:cs="Times New Roman"/>
          <w:sz w:val="24"/>
          <w:szCs w:val="24"/>
        </w:rPr>
        <w:fldChar w:fldCharType="end"/>
      </w:r>
      <w:r w:rsidR="008B0E0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at fastlægge, at Advokatrådet på risikobaseret grundlag fører tilsyn med overholdelse af hvidvaskforordningen, denne lov og regler udstedt i medfør af denne lov samt love og forordninger, som indeholder regler om målrettede finansielle sanktioner. Tilsynsforpligtelsen vil gælde for alle advokater, deres autoriserede fuldmægtige, fællesskaber af advokater og advokatselskaber, som udøver advokatvirksomhed her i landet. Det foreslås derudover at lade det direkte fremgå af loven, hvilke opgaver den risikobaserede tilsynsvirksomhed bl.a. består i, ligesom det foreslås, at Advokatrådet tillægges visse yderligere tilsyns- og kontrolbeføjelser.   </w:t>
      </w:r>
    </w:p>
    <w:p w14:paraId="448A115B" w14:textId="77777777" w:rsidR="00C27651" w:rsidRPr="00796736" w:rsidRDefault="00C27651" w:rsidP="00A802A5">
      <w:pPr>
        <w:spacing w:line="360" w:lineRule="auto"/>
        <w:rPr>
          <w:rFonts w:ascii="Times New Roman" w:hAnsi="Times New Roman" w:cs="Times New Roman"/>
          <w:sz w:val="24"/>
          <w:szCs w:val="24"/>
        </w:rPr>
      </w:pPr>
    </w:p>
    <w:p w14:paraId="7FC8A686" w14:textId="070C0B9C"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 64 i hvidvaskloven, men præciserer i ordlyden, at tilsynet skal være risikobaseret. </w:t>
      </w:r>
    </w:p>
    <w:p w14:paraId="4FA9540C" w14:textId="77777777" w:rsidR="00C27651" w:rsidRPr="00796736" w:rsidRDefault="00C27651" w:rsidP="00A802A5">
      <w:pPr>
        <w:spacing w:line="360" w:lineRule="auto"/>
        <w:rPr>
          <w:rFonts w:ascii="Times New Roman" w:hAnsi="Times New Roman" w:cs="Times New Roman"/>
          <w:sz w:val="24"/>
          <w:szCs w:val="24"/>
        </w:rPr>
      </w:pPr>
    </w:p>
    <w:p w14:paraId="2E0A2375" w14:textId="3C9CAA7A"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desuden, at Advokatrådet tillægges visse tilsyns- og kontrolbeføjelser. Det foreslås således i </w:t>
      </w:r>
      <w:r w:rsidR="008B0E0B" w:rsidRPr="00796736">
        <w:rPr>
          <w:rFonts w:ascii="Times New Roman" w:hAnsi="Times New Roman" w:cs="Times New Roman"/>
          <w:sz w:val="24"/>
          <w:szCs w:val="24"/>
        </w:rPr>
        <w:fldChar w:fldCharType="begin"/>
      </w:r>
      <w:r w:rsidR="008B0E0B" w:rsidRPr="00796736">
        <w:rPr>
          <w:rFonts w:ascii="Times New Roman" w:hAnsi="Times New Roman" w:cs="Times New Roman"/>
          <w:sz w:val="24"/>
          <w:szCs w:val="24"/>
        </w:rPr>
        <w:instrText xml:space="preserve"> REF _Ref232609193 \r \h </w:instrText>
      </w:r>
      <w:r w:rsidR="00967618" w:rsidRPr="00796736">
        <w:rPr>
          <w:rFonts w:ascii="Times New Roman" w:hAnsi="Times New Roman" w:cs="Times New Roman"/>
          <w:sz w:val="24"/>
          <w:szCs w:val="24"/>
        </w:rPr>
        <w:instrText xml:space="preserve"> \* MERGEFORMAT </w:instrText>
      </w:r>
      <w:r w:rsidR="008B0E0B" w:rsidRPr="00796736">
        <w:rPr>
          <w:rFonts w:ascii="Times New Roman" w:hAnsi="Times New Roman" w:cs="Times New Roman"/>
          <w:sz w:val="24"/>
          <w:szCs w:val="24"/>
        </w:rPr>
      </w:r>
      <w:r w:rsidR="008B0E0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008B0E0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3, at </w:t>
      </w:r>
      <w:r w:rsidRPr="00796736">
        <w:rPr>
          <w:rFonts w:ascii="Times New Roman" w:eastAsia="Times New Roman" w:hAnsi="Times New Roman" w:cs="Times New Roman"/>
          <w:iCs/>
          <w:sz w:val="24"/>
          <w:szCs w:val="24"/>
          <w:lang w:eastAsia="da-DK"/>
        </w:rPr>
        <w:t>Advokatrådet inden for en fastsat frist kan påbyde advokater, deres autoriserede advokatfuldmægtige, fællesskaber af advokater og advokatselskaber at fremlægge alle oplysninger, som er relevante for tilsyn, overvågning og kontrol efter bestemmelsens stk. 1.</w:t>
      </w:r>
    </w:p>
    <w:p w14:paraId="55FF03D6" w14:textId="77777777" w:rsidR="00C27651" w:rsidRPr="00796736" w:rsidRDefault="00C27651" w:rsidP="00A802A5">
      <w:pPr>
        <w:spacing w:line="360" w:lineRule="auto"/>
        <w:rPr>
          <w:rFonts w:ascii="Times New Roman" w:eastAsia="Times New Roman" w:hAnsi="Times New Roman" w:cs="Times New Roman"/>
          <w:iCs/>
          <w:sz w:val="24"/>
          <w:szCs w:val="24"/>
          <w:lang w:eastAsia="da-DK"/>
        </w:rPr>
      </w:pPr>
    </w:p>
    <w:p w14:paraId="1A3084B0" w14:textId="77777777" w:rsidR="00412ED1" w:rsidRPr="00796736" w:rsidRDefault="00412ED1" w:rsidP="00412ED1">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Bestemmelsen er en delvis præcisering af gældende ret. Advokatrådet fører således allerede i dag et risikobaseret tilsyn og rådet kan allerede i dag efter retsplejelovens § 143, stk. 3, </w:t>
      </w:r>
      <w:r w:rsidRPr="00D253F0">
        <w:rPr>
          <w:rFonts w:ascii="Times New Roman" w:eastAsia="Times New Roman" w:hAnsi="Times New Roman" w:cs="Times New Roman"/>
          <w:iCs/>
          <w:sz w:val="24"/>
          <w:szCs w:val="24"/>
          <w:lang w:eastAsia="da-DK"/>
        </w:rPr>
        <w:t>kræve alle oplysninger af advokater, deres autoriserede fuldmægtige, fællesskaber af advokater og advokatselskaber, herunder arbejdspapirer, korrespondance og andre dokumenter, der skønnes at være nødvendige for rådets tilsyn af, om der er sket eller vil ske en overtrædelse af bestemmelserne i retsplejeloven eller bestemmelser fastsat i medfør af retsplejeloven, men uden at det fremgår som et eksplicit krav, at tilsynet skal være risikobaseret</w:t>
      </w:r>
      <w:r>
        <w:rPr>
          <w:rFonts w:ascii="Times New Roman" w:eastAsia="Times New Roman" w:hAnsi="Times New Roman" w:cs="Times New Roman"/>
          <w:iCs/>
          <w:sz w:val="24"/>
          <w:szCs w:val="24"/>
          <w:lang w:eastAsia="da-DK"/>
        </w:rPr>
        <w:t>, ligesom der ikke i medfør af retsplejeloven er grænser for, hvilke oplysninger, som rådet kan kræve udleveret, så længe de skønnes nødvendige for tilsynet</w:t>
      </w:r>
      <w:r w:rsidRPr="00D253F0">
        <w:rPr>
          <w:rFonts w:ascii="Times New Roman" w:eastAsia="Times New Roman" w:hAnsi="Times New Roman" w:cs="Times New Roman"/>
          <w:iCs/>
          <w:sz w:val="24"/>
          <w:szCs w:val="24"/>
          <w:lang w:eastAsia="da-DK"/>
        </w:rPr>
        <w:t xml:space="preserve">. </w:t>
      </w:r>
      <w:bookmarkStart w:id="1400" w:name="_Hlk242103680"/>
      <w:r w:rsidRPr="00D253F0">
        <w:rPr>
          <w:rFonts w:ascii="Times New Roman" w:eastAsia="Times New Roman" w:hAnsi="Times New Roman" w:cs="Times New Roman"/>
          <w:iCs/>
          <w:sz w:val="24"/>
          <w:szCs w:val="24"/>
          <w:lang w:eastAsia="da-DK"/>
        </w:rPr>
        <w:t>Dertil kommer, at Advokatrådet nu vil være tillagt beføjelser overfor tjenesteydere, som advokaterne har outsourcet opgaver til, som er omfattet af hvidvaskreguleringen.</w:t>
      </w:r>
      <w:bookmarkEnd w:id="1400"/>
    </w:p>
    <w:p w14:paraId="308CB459" w14:textId="77777777" w:rsidR="00C27651" w:rsidRPr="00796736" w:rsidRDefault="00C27651" w:rsidP="00A802A5">
      <w:pPr>
        <w:spacing w:line="360" w:lineRule="auto"/>
        <w:rPr>
          <w:rFonts w:ascii="Times New Roman" w:eastAsia="Times New Roman" w:hAnsi="Times New Roman" w:cs="Times New Roman"/>
          <w:iCs/>
          <w:sz w:val="24"/>
          <w:szCs w:val="24"/>
          <w:lang w:eastAsia="da-DK"/>
        </w:rPr>
      </w:pPr>
    </w:p>
    <w:p w14:paraId="54284AB4" w14:textId="77777777" w:rsidR="007772F3" w:rsidRPr="00D253F0" w:rsidRDefault="007772F3" w:rsidP="007772F3">
      <w:pPr>
        <w:spacing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L</w:t>
      </w:r>
      <w:r w:rsidRPr="00D253F0">
        <w:rPr>
          <w:rFonts w:ascii="Times New Roman" w:eastAsia="Times New Roman" w:hAnsi="Times New Roman" w:cs="Times New Roman"/>
          <w:iCs/>
          <w:sz w:val="24"/>
          <w:szCs w:val="24"/>
          <w:lang w:eastAsia="da-DK"/>
        </w:rPr>
        <w:t xml:space="preserve">ovforslaget </w:t>
      </w:r>
      <w:r>
        <w:rPr>
          <w:rFonts w:ascii="Times New Roman" w:eastAsia="Times New Roman" w:hAnsi="Times New Roman" w:cs="Times New Roman"/>
          <w:iCs/>
          <w:sz w:val="24"/>
          <w:szCs w:val="24"/>
          <w:lang w:eastAsia="da-DK"/>
        </w:rPr>
        <w:t>vil indebære en vis modificering</w:t>
      </w:r>
      <w:r w:rsidRPr="00D253F0">
        <w:rPr>
          <w:rFonts w:ascii="Times New Roman" w:eastAsia="Times New Roman" w:hAnsi="Times New Roman" w:cs="Times New Roman"/>
          <w:iCs/>
          <w:sz w:val="24"/>
          <w:szCs w:val="24"/>
          <w:lang w:eastAsia="da-DK"/>
        </w:rPr>
        <w:t xml:space="preserve"> af forholdet mellem reglerne om Advokatrådets hvidvasktilsyn i retsplejeloven og de</w:t>
      </w:r>
      <w:r>
        <w:rPr>
          <w:rFonts w:ascii="Times New Roman" w:eastAsia="Times New Roman" w:hAnsi="Times New Roman" w:cs="Times New Roman"/>
          <w:iCs/>
          <w:sz w:val="24"/>
          <w:szCs w:val="24"/>
          <w:lang w:eastAsia="da-DK"/>
        </w:rPr>
        <w:t xml:space="preserve"> foreslåede bestemmelser i denne lov</w:t>
      </w:r>
      <w:r w:rsidRPr="00D253F0">
        <w:rPr>
          <w:rFonts w:ascii="Times New Roman" w:eastAsia="Times New Roman" w:hAnsi="Times New Roman" w:cs="Times New Roman"/>
          <w:iCs/>
          <w:sz w:val="24"/>
          <w:szCs w:val="24"/>
          <w:lang w:eastAsia="da-DK"/>
        </w:rPr>
        <w:t>.  Advokatrådets tilsyn</w:t>
      </w:r>
      <w:r>
        <w:rPr>
          <w:rFonts w:ascii="Times New Roman" w:eastAsia="Times New Roman" w:hAnsi="Times New Roman" w:cs="Times New Roman"/>
          <w:iCs/>
          <w:sz w:val="24"/>
          <w:szCs w:val="24"/>
          <w:lang w:eastAsia="da-DK"/>
        </w:rPr>
        <w:t xml:space="preserve"> med overholdelse af hvidvaskreglerne vil således følge reglerne i denne lov</w:t>
      </w:r>
      <w:r w:rsidRPr="00D253F0">
        <w:rPr>
          <w:rFonts w:ascii="Times New Roman" w:eastAsia="Times New Roman" w:hAnsi="Times New Roman" w:cs="Times New Roman"/>
          <w:iCs/>
          <w:sz w:val="24"/>
          <w:szCs w:val="24"/>
          <w:lang w:eastAsia="da-DK"/>
        </w:rPr>
        <w:t xml:space="preserve"> i</w:t>
      </w:r>
      <w:r>
        <w:rPr>
          <w:rFonts w:ascii="Times New Roman" w:eastAsia="Times New Roman" w:hAnsi="Times New Roman" w:cs="Times New Roman"/>
          <w:iCs/>
          <w:sz w:val="24"/>
          <w:szCs w:val="24"/>
          <w:lang w:eastAsia="da-DK"/>
        </w:rPr>
        <w:t xml:space="preserve"> </w:t>
      </w:r>
      <w:r w:rsidRPr="00D253F0">
        <w:rPr>
          <w:rFonts w:ascii="Times New Roman" w:eastAsia="Times New Roman" w:hAnsi="Times New Roman" w:cs="Times New Roman"/>
          <w:iCs/>
          <w:sz w:val="24"/>
          <w:szCs w:val="24"/>
          <w:lang w:eastAsia="da-DK"/>
        </w:rPr>
        <w:t>det omfang det omfatter tilsyn med hvidvaskområdet</w:t>
      </w:r>
      <w:r>
        <w:rPr>
          <w:rFonts w:ascii="Times New Roman" w:eastAsia="Times New Roman" w:hAnsi="Times New Roman" w:cs="Times New Roman"/>
          <w:iCs/>
          <w:sz w:val="24"/>
          <w:szCs w:val="24"/>
          <w:lang w:eastAsia="da-DK"/>
        </w:rPr>
        <w:t>. Tilsynet vil dermed være</w:t>
      </w:r>
      <w:r w:rsidRPr="00D253F0">
        <w:rPr>
          <w:rFonts w:ascii="Times New Roman" w:eastAsia="Times New Roman" w:hAnsi="Times New Roman" w:cs="Times New Roman"/>
          <w:iCs/>
          <w:sz w:val="24"/>
          <w:szCs w:val="24"/>
          <w:lang w:eastAsia="da-DK"/>
        </w:rPr>
        <w:t xml:space="preserve"> underlagt de begrænsninger, som gælder efter de foreslåede tilsynsbestemmelser</w:t>
      </w:r>
      <w:r>
        <w:rPr>
          <w:rFonts w:ascii="Times New Roman" w:eastAsia="Times New Roman" w:hAnsi="Times New Roman" w:cs="Times New Roman"/>
          <w:iCs/>
          <w:sz w:val="24"/>
          <w:szCs w:val="24"/>
          <w:lang w:eastAsia="da-DK"/>
        </w:rPr>
        <w:t>, ligesom Advokatrådet vil have mulighed for at følge hvidvasktilsynet op med visse påbud efter de foreslåede bestemmelser herom.</w:t>
      </w:r>
      <w:r w:rsidRPr="00D253F0">
        <w:rPr>
          <w:rFonts w:ascii="Times New Roman" w:eastAsia="Times New Roman" w:hAnsi="Times New Roman" w:cs="Times New Roman"/>
          <w:iCs/>
          <w:sz w:val="24"/>
          <w:szCs w:val="24"/>
          <w:lang w:eastAsia="da-DK"/>
        </w:rPr>
        <w:t xml:space="preserve"> Det foreslåede vil ikke indebære, at overtrædelser mv. på hvidvaskområdet ikke kan betydning for en disciplinærsag i medfør af retsplejelovens regler, ligesom Advokatrådet ikke i medfør af det foreslåede vil være afskåret fra at udføre kombinerede klientkonto- og hvidvasktilsyn.</w:t>
      </w:r>
    </w:p>
    <w:p w14:paraId="2178F4A4" w14:textId="77777777" w:rsidR="00C27651" w:rsidRPr="00796736" w:rsidRDefault="00C27651" w:rsidP="00A802A5">
      <w:pPr>
        <w:spacing w:line="360" w:lineRule="auto"/>
        <w:rPr>
          <w:rFonts w:ascii="Times New Roman" w:eastAsia="Times New Roman" w:hAnsi="Times New Roman" w:cs="Times New Roman"/>
          <w:iCs/>
          <w:sz w:val="24"/>
          <w:szCs w:val="24"/>
          <w:lang w:eastAsia="da-DK"/>
        </w:rPr>
      </w:pPr>
    </w:p>
    <w:p w14:paraId="384E0953" w14:textId="5FF335FB" w:rsidR="00C27651" w:rsidRPr="00796736" w:rsidRDefault="00C27651"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Idet der med den foreslåede ordning er tale om en</w:t>
      </w:r>
      <w:r w:rsidR="002128F7">
        <w:rPr>
          <w:rFonts w:ascii="Times New Roman" w:hAnsi="Times New Roman" w:cs="Times New Roman"/>
          <w:sz w:val="24"/>
          <w:szCs w:val="24"/>
        </w:rPr>
        <w:t xml:space="preserve"> delvis</w:t>
      </w:r>
      <w:r w:rsidRPr="00796736">
        <w:rPr>
          <w:rFonts w:ascii="Times New Roman" w:hAnsi="Times New Roman" w:cs="Times New Roman"/>
          <w:sz w:val="24"/>
          <w:szCs w:val="24"/>
        </w:rPr>
        <w:t xml:space="preserve"> præcisering af gældende ret, vil oplysningspligten i den foreslåede stk. 3 – ligesom oplysningspligten efter gældende ret – også skulle anvendes under iagttagelse af retssikkerhedsloven, herunder § 10, der indebærer et forbud mod selvinkriminering, jf. det foreslåede stk. 6. Oplysningspligten gælder således ikke, hvis den enkeltperson eller juridiske person, der afkræves oplysninger, mistænkes for at have begået en strafbar lovovertrædelse, medmindre det kan udelukkes, at de oplysninger, som søges tilvejebragt, kan have betydning for bedømmelsen af den formodede lovovertrædelse. </w:t>
      </w:r>
    </w:p>
    <w:p w14:paraId="24C89583" w14:textId="77777777" w:rsidR="00C27651" w:rsidRPr="00796736" w:rsidRDefault="00C27651" w:rsidP="00A802A5">
      <w:pPr>
        <w:spacing w:line="360" w:lineRule="auto"/>
        <w:rPr>
          <w:rFonts w:ascii="Times New Roman" w:eastAsia="Times New Roman" w:hAnsi="Times New Roman" w:cs="Times New Roman"/>
          <w:iCs/>
          <w:sz w:val="24"/>
          <w:szCs w:val="24"/>
          <w:lang w:eastAsia="da-DK"/>
        </w:rPr>
      </w:pPr>
    </w:p>
    <w:p w14:paraId="167460B0" w14:textId="77777777" w:rsidR="0092113C" w:rsidRPr="00796736" w:rsidRDefault="0092113C"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indebærer derudover visse udvidelser af Advokatrådets beføjelser efter gældende ret derved, at rådet vil kunne gennemføre kontrolbesøg uden samtykke eller retskendelse, når advokaten nægter at medvirke til et tilsyn, jf. det foreslåede stk. 4. Det forudsættes i den forbindelse, at kontrolbesøg uden retskendelse – herunder eventuelt med politiets bistand – alene anvendes, hvor det er nødvendigt og proportionalt. Kontrolbesøg vil efter den foreslåede ordning skulle ske efter reglerne i retssikkerhedslovens kapitel 2 og 3, som vil finde anvendelse for rådet.</w:t>
      </w:r>
    </w:p>
    <w:p w14:paraId="684E54CA" w14:textId="77777777" w:rsidR="00C27651" w:rsidRPr="00796736" w:rsidRDefault="00C27651" w:rsidP="00A802A5">
      <w:pPr>
        <w:spacing w:line="360" w:lineRule="auto"/>
        <w:rPr>
          <w:rFonts w:ascii="Times New Roman" w:eastAsia="Times New Roman" w:hAnsi="Times New Roman" w:cs="Times New Roman"/>
          <w:iCs/>
          <w:sz w:val="24"/>
          <w:szCs w:val="24"/>
          <w:lang w:eastAsia="da-DK"/>
        </w:rPr>
      </w:pPr>
    </w:p>
    <w:p w14:paraId="2017B834" w14:textId="2CA3D70A" w:rsidR="00C27651" w:rsidRPr="00796736" w:rsidRDefault="00C2765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w:t>
      </w:r>
      <w:r w:rsidR="000C1E20" w:rsidRPr="00796736">
        <w:rPr>
          <w:rFonts w:ascii="Times New Roman" w:eastAsia="Times New Roman" w:hAnsi="Times New Roman" w:cs="Times New Roman"/>
          <w:iCs/>
          <w:sz w:val="24"/>
          <w:szCs w:val="24"/>
          <w:lang w:eastAsia="da-DK"/>
        </w:rPr>
        <w:t>således</w:t>
      </w:r>
      <w:r w:rsidRPr="00796736">
        <w:rPr>
          <w:rFonts w:ascii="Times New Roman" w:eastAsia="Times New Roman" w:hAnsi="Times New Roman" w:cs="Times New Roman"/>
          <w:iCs/>
          <w:sz w:val="24"/>
          <w:szCs w:val="24"/>
          <w:lang w:eastAsia="da-DK"/>
        </w:rPr>
        <w:t xml:space="preserve"> i </w:t>
      </w:r>
      <w:r w:rsidR="008B0E0B" w:rsidRPr="00796736">
        <w:rPr>
          <w:rFonts w:ascii="Times New Roman" w:eastAsia="Times New Roman" w:hAnsi="Times New Roman" w:cs="Times New Roman"/>
          <w:iCs/>
          <w:sz w:val="24"/>
          <w:szCs w:val="24"/>
          <w:lang w:eastAsia="da-DK"/>
        </w:rPr>
        <w:fldChar w:fldCharType="begin"/>
      </w:r>
      <w:r w:rsidR="008B0E0B" w:rsidRPr="00796736">
        <w:rPr>
          <w:rFonts w:ascii="Times New Roman" w:eastAsia="Times New Roman" w:hAnsi="Times New Roman" w:cs="Times New Roman"/>
          <w:iCs/>
          <w:sz w:val="24"/>
          <w:szCs w:val="24"/>
          <w:lang w:eastAsia="da-DK"/>
        </w:rPr>
        <w:instrText xml:space="preserve"> REF _Ref232609193 \r \h </w:instrText>
      </w:r>
      <w:r w:rsidR="00967618" w:rsidRPr="00796736">
        <w:rPr>
          <w:rFonts w:ascii="Times New Roman" w:eastAsia="Times New Roman" w:hAnsi="Times New Roman" w:cs="Times New Roman"/>
          <w:iCs/>
          <w:sz w:val="24"/>
          <w:szCs w:val="24"/>
          <w:lang w:eastAsia="da-DK"/>
        </w:rPr>
        <w:instrText xml:space="preserve"> \* MERGEFORMAT </w:instrText>
      </w:r>
      <w:r w:rsidR="008B0E0B" w:rsidRPr="00796736">
        <w:rPr>
          <w:rFonts w:ascii="Times New Roman" w:eastAsia="Times New Roman" w:hAnsi="Times New Roman" w:cs="Times New Roman"/>
          <w:iCs/>
          <w:sz w:val="24"/>
          <w:szCs w:val="24"/>
          <w:lang w:eastAsia="da-DK"/>
        </w:rPr>
      </w:r>
      <w:r w:rsidR="008B0E0B"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008B0E0B"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stk. 6, at kapitel 2-4 i retssikkerhedsloven skal gælde for Advokatrådets varetagelse af opgaver efter det foreslåede stk. 3 og 4.</w:t>
      </w:r>
    </w:p>
    <w:p w14:paraId="49026F2B" w14:textId="77777777" w:rsidR="00C27651" w:rsidRPr="00796736" w:rsidRDefault="00C27651" w:rsidP="00A802A5">
      <w:pPr>
        <w:spacing w:line="360" w:lineRule="auto"/>
        <w:rPr>
          <w:rFonts w:ascii="Times New Roman" w:eastAsia="Times New Roman" w:hAnsi="Times New Roman" w:cs="Times New Roman"/>
          <w:iCs/>
          <w:sz w:val="24"/>
          <w:szCs w:val="24"/>
          <w:lang w:eastAsia="da-DK"/>
        </w:rPr>
      </w:pPr>
    </w:p>
    <w:p w14:paraId="7D6F9B03"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Justitsministeriets vurdering, at Advokatrådets påbuds- og tilsynsbeføjelser efter de foreslåede stk. 3 og 4 vil være at sidestille med henholdsvis en oplysningspligt omfattet af retssikkerhedslovens § 1, stk. 3, og tvangsindgreb omfattet af retssikkerhedslovens § 1, stk. 1, nr. 1 (husundersøgelse, herunder undersøgelse af f.eks. kontorlokaler, der ikke er offentligt tilgængelige) og 2 (undersøgelse eller beslaglæggelse af breve og andre papirer). </w:t>
      </w:r>
    </w:p>
    <w:p w14:paraId="3D9AAC7D" w14:textId="77777777" w:rsidR="00C27651" w:rsidRPr="00796736" w:rsidRDefault="00C27651" w:rsidP="00A802A5">
      <w:pPr>
        <w:spacing w:line="360" w:lineRule="auto"/>
        <w:rPr>
          <w:rFonts w:ascii="Times New Roman" w:hAnsi="Times New Roman" w:cs="Times New Roman"/>
          <w:sz w:val="24"/>
          <w:szCs w:val="24"/>
        </w:rPr>
      </w:pPr>
    </w:p>
    <w:p w14:paraId="71D80E8D" w14:textId="6280E412"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Advokatrådet er imidlertid ikke en del af den offentlige forvaltning og som udgangspunkt ikke omfattet af retssikkerhedsloven med undtagelse af retssikkerhedslovens kapitel 4, der er sat i kraft for Advokatrådets tilsyn i medfør af retsplejelovens § 143, stk. 3, 3. pkt.</w:t>
      </w:r>
      <w:r w:rsidR="000C1E20" w:rsidRPr="00796736">
        <w:rPr>
          <w:rFonts w:ascii="Times New Roman" w:hAnsi="Times New Roman" w:cs="Times New Roman"/>
          <w:sz w:val="24"/>
          <w:szCs w:val="24"/>
        </w:rPr>
        <w:t xml:space="preserve"> Retssikkerhedsloven finder således allerede anvendelse for denne del af Advokatrådets virksomhed. Henset til præciseringen af rammerne for og grænserne mellem Advokatrådets tilsyn efter henholdsvis retsplejeloven og tilsynet med hvidvaskområdet foreslås det at fastsætte en regel herom i den foreslåede bestemmelse også.</w:t>
      </w:r>
    </w:p>
    <w:p w14:paraId="08B31A95" w14:textId="77777777" w:rsidR="00C27651" w:rsidRPr="00796736" w:rsidRDefault="00C27651" w:rsidP="00A802A5">
      <w:pPr>
        <w:spacing w:line="360" w:lineRule="auto"/>
        <w:rPr>
          <w:rFonts w:ascii="Times New Roman" w:hAnsi="Times New Roman" w:cs="Times New Roman"/>
          <w:sz w:val="24"/>
          <w:szCs w:val="24"/>
        </w:rPr>
      </w:pPr>
    </w:p>
    <w:p w14:paraId="5A0F7435"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henblik på at sikre den fornødne retssikkerhed i forbindelse med Advokatrådets udøvelse af tilsynsbeføjelserne i det foreslåede stk. 4, foreslås det, at retssikkerhedslovens kapitel 2-4 sættes i kraft for Advokatrådet i medfør af retssikkerhedslovens § 1, stk. 4. De vil indebære, at reglerne i retssikkerhedslovens kapitel 2-4 vil gælde for Advokatrådets varetagelse af tilsynsopgaven og -beføjelserne efter det foreslåede stk. 3 og stk. 4. Det vil bl.a. følge heraf, at de foreslåede tilsynsforanstaltninger efter den foreslåede ordning er ledsaget af krav om nødvendighed og proportionalitet, jf. retssikkerhedslovens § 2, hvor hensynet til beskyttelsen af advokathvervet vil skulle indgå i afvejningen af, om en tilsynsforanstaltning kan gennemføres. </w:t>
      </w:r>
    </w:p>
    <w:p w14:paraId="1DEA0A4B" w14:textId="77777777" w:rsidR="00C27651" w:rsidRPr="00796736" w:rsidRDefault="00C27651" w:rsidP="00A802A5">
      <w:pPr>
        <w:spacing w:line="360" w:lineRule="auto"/>
        <w:rPr>
          <w:rFonts w:ascii="Times New Roman" w:hAnsi="Times New Roman" w:cs="Times New Roman"/>
          <w:sz w:val="24"/>
          <w:szCs w:val="24"/>
        </w:rPr>
      </w:pPr>
    </w:p>
    <w:p w14:paraId="3699AE72" w14:textId="7A940704"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derudover at gennemføre hvidvaskdirektivets artikel 39 ved </w:t>
      </w:r>
      <w:r w:rsidR="0092113C" w:rsidRPr="00796736">
        <w:rPr>
          <w:rFonts w:ascii="Times New Roman" w:hAnsi="Times New Roman" w:cs="Times New Roman"/>
          <w:sz w:val="24"/>
          <w:szCs w:val="24"/>
        </w:rPr>
        <w:fldChar w:fldCharType="begin"/>
      </w:r>
      <w:r w:rsidR="0092113C" w:rsidRPr="00796736">
        <w:rPr>
          <w:rFonts w:ascii="Times New Roman" w:hAnsi="Times New Roman" w:cs="Times New Roman"/>
          <w:sz w:val="24"/>
          <w:szCs w:val="24"/>
        </w:rPr>
        <w:instrText xml:space="preserve"> REF _Ref239435286 \r \h </w:instrText>
      </w:r>
      <w:r w:rsidR="00AB17CC" w:rsidRPr="00796736">
        <w:rPr>
          <w:rFonts w:ascii="Times New Roman" w:hAnsi="Times New Roman" w:cs="Times New Roman"/>
          <w:sz w:val="24"/>
          <w:szCs w:val="24"/>
        </w:rPr>
        <w:instrText xml:space="preserve"> \* MERGEFORMAT </w:instrText>
      </w:r>
      <w:r w:rsidR="0092113C" w:rsidRPr="00796736">
        <w:rPr>
          <w:rFonts w:ascii="Times New Roman" w:hAnsi="Times New Roman" w:cs="Times New Roman"/>
          <w:sz w:val="24"/>
          <w:szCs w:val="24"/>
        </w:rPr>
      </w:r>
      <w:r w:rsidR="009211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98</w:t>
      </w:r>
      <w:r w:rsidR="0092113C" w:rsidRPr="00796736">
        <w:rPr>
          <w:rFonts w:ascii="Times New Roman" w:hAnsi="Times New Roman" w:cs="Times New Roman"/>
          <w:sz w:val="24"/>
          <w:szCs w:val="24"/>
        </w:rPr>
        <w:fldChar w:fldCharType="end"/>
      </w:r>
      <w:r w:rsidR="0092113C"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at fastlægge direkte i loven, at Advokatrådet som led i sit tilsyn skal fremlægge visse oplysninger for de advokater, deres autoriserede fuldmægtige, fællesskaber af advokater og advokatselskaber, der føres tilsyn med. </w:t>
      </w:r>
    </w:p>
    <w:p w14:paraId="40C62507" w14:textId="77777777" w:rsidR="00C27651" w:rsidRPr="00796736" w:rsidRDefault="00C27651" w:rsidP="00A802A5">
      <w:pPr>
        <w:spacing w:line="360" w:lineRule="auto"/>
        <w:rPr>
          <w:rFonts w:ascii="Times New Roman" w:hAnsi="Times New Roman" w:cs="Times New Roman"/>
          <w:sz w:val="24"/>
          <w:szCs w:val="24"/>
        </w:rPr>
      </w:pPr>
    </w:p>
    <w:p w14:paraId="0C8760AD" w14:textId="77777777"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derudover, at Advokatrådet i fornødent omfang ved offentlige kampagneaktiviteter skal informere advokater, deres autoriserede fuldmægtige, fællesskaber af advokater og advokatselskaber om deres forpligtelser, ligesom de omgående skal stille oplysninger om personer eller enheder, der er udpeget i forbindelse med finansielle sanktioner, til rådighed for advokater og advokatselskaber under deres tilsyn.</w:t>
      </w:r>
    </w:p>
    <w:p w14:paraId="40948C3D" w14:textId="77777777" w:rsidR="00C27651" w:rsidRPr="00796736" w:rsidRDefault="00C27651" w:rsidP="00A802A5">
      <w:pPr>
        <w:spacing w:line="360" w:lineRule="auto"/>
        <w:rPr>
          <w:rFonts w:ascii="Times New Roman" w:hAnsi="Times New Roman" w:cs="Times New Roman"/>
          <w:sz w:val="24"/>
          <w:szCs w:val="24"/>
        </w:rPr>
      </w:pPr>
    </w:p>
    <w:p w14:paraId="1DD4CD44" w14:textId="32E0C1FC" w:rsidR="00C27651"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ordning vil indebære, at den nugældende ordning, hvorefter Advokatrådet er tilsynsmyndighed på hvidvask-, terrorfinansierings- og sanktionsområdet for advokater og advokatselskaber videreføres og udbygges, idet hvidvaskdirektivets artikel 37, 39 og 40 viderefører en række elementer fra 4. og 5. hvidvaskdirektivs artikel 34, stk. 3, artikel 46, stk. 2 og artikel 48, men også indeholder flere centrale præciseringer og tilføjelser, jf. nærmere beskrivelsen ovenfor og under pkt.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_Ref232940918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3.66.2</w:t>
      </w:r>
      <w:r w:rsidR="00B16D3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07D359A9" w14:textId="77777777" w:rsidR="00C27651" w:rsidRPr="00796736" w:rsidRDefault="00C27651" w:rsidP="00A802A5">
      <w:pPr>
        <w:spacing w:line="360" w:lineRule="auto"/>
        <w:rPr>
          <w:rFonts w:ascii="Times New Roman" w:hAnsi="Times New Roman" w:cs="Times New Roman"/>
          <w:sz w:val="24"/>
          <w:szCs w:val="24"/>
        </w:rPr>
      </w:pPr>
    </w:p>
    <w:p w14:paraId="677C1CC6" w14:textId="55A73F17" w:rsidR="00F31F3B" w:rsidRPr="00796736" w:rsidRDefault="00C2765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i øvrigt til lovforslagets §</w:t>
      </w:r>
      <w:r w:rsidR="008B0E0B" w:rsidRPr="00796736">
        <w:rPr>
          <w:rFonts w:ascii="Times New Roman" w:hAnsi="Times New Roman" w:cs="Times New Roman"/>
          <w:sz w:val="24"/>
          <w:szCs w:val="24"/>
        </w:rPr>
        <w:fldChar w:fldCharType="begin"/>
      </w:r>
      <w:r w:rsidR="008B0E0B" w:rsidRPr="00796736">
        <w:rPr>
          <w:rFonts w:ascii="Times New Roman" w:hAnsi="Times New Roman" w:cs="Times New Roman"/>
          <w:sz w:val="24"/>
          <w:szCs w:val="24"/>
        </w:rPr>
        <w:instrText xml:space="preserve"> REF _Ref232609193 \r \h </w:instrText>
      </w:r>
      <w:r w:rsidR="00967618" w:rsidRPr="00796736">
        <w:rPr>
          <w:rFonts w:ascii="Times New Roman" w:hAnsi="Times New Roman" w:cs="Times New Roman"/>
          <w:sz w:val="24"/>
          <w:szCs w:val="24"/>
        </w:rPr>
        <w:instrText xml:space="preserve"> \* MERGEFORMAT </w:instrText>
      </w:r>
      <w:r w:rsidR="008B0E0B" w:rsidRPr="00796736">
        <w:rPr>
          <w:rFonts w:ascii="Times New Roman" w:hAnsi="Times New Roman" w:cs="Times New Roman"/>
          <w:sz w:val="24"/>
          <w:szCs w:val="24"/>
        </w:rPr>
      </w:r>
      <w:r w:rsidR="008B0E0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008B0E0B" w:rsidRPr="00796736">
        <w:rPr>
          <w:rFonts w:ascii="Times New Roman" w:hAnsi="Times New Roman" w:cs="Times New Roman"/>
          <w:sz w:val="24"/>
          <w:szCs w:val="24"/>
        </w:rPr>
        <w:fldChar w:fldCharType="end"/>
      </w:r>
      <w:r w:rsidR="008B0E0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w:t>
      </w:r>
      <w:r w:rsidR="008B0E0B" w:rsidRPr="00796736">
        <w:rPr>
          <w:rFonts w:ascii="Times New Roman" w:hAnsi="Times New Roman" w:cs="Times New Roman"/>
          <w:sz w:val="24"/>
          <w:szCs w:val="24"/>
        </w:rPr>
        <w:fldChar w:fldCharType="begin"/>
      </w:r>
      <w:r w:rsidR="008B0E0B" w:rsidRPr="00796736">
        <w:rPr>
          <w:rFonts w:ascii="Times New Roman" w:hAnsi="Times New Roman" w:cs="Times New Roman"/>
          <w:sz w:val="24"/>
          <w:szCs w:val="24"/>
        </w:rPr>
        <w:instrText xml:space="preserve"> REF _Ref232609222 \r \h </w:instrText>
      </w:r>
      <w:r w:rsidR="00967618" w:rsidRPr="00796736">
        <w:rPr>
          <w:rFonts w:ascii="Times New Roman" w:hAnsi="Times New Roman" w:cs="Times New Roman"/>
          <w:sz w:val="24"/>
          <w:szCs w:val="24"/>
        </w:rPr>
        <w:instrText xml:space="preserve"> \* MERGEFORMAT </w:instrText>
      </w:r>
      <w:r w:rsidR="008B0E0B" w:rsidRPr="00796736">
        <w:rPr>
          <w:rFonts w:ascii="Times New Roman" w:hAnsi="Times New Roman" w:cs="Times New Roman"/>
          <w:sz w:val="24"/>
          <w:szCs w:val="24"/>
        </w:rPr>
      </w:r>
      <w:r w:rsidR="008B0E0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0</w:t>
      </w:r>
      <w:r w:rsidR="008B0E0B" w:rsidRPr="00796736">
        <w:rPr>
          <w:rFonts w:ascii="Times New Roman" w:hAnsi="Times New Roman" w:cs="Times New Roman"/>
          <w:sz w:val="24"/>
          <w:szCs w:val="24"/>
        </w:rPr>
        <w:fldChar w:fldCharType="end"/>
      </w:r>
      <w:r w:rsidR="008B0E0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bemærkningerne hertil. </w:t>
      </w:r>
    </w:p>
    <w:p w14:paraId="7C4B40A4" w14:textId="77777777" w:rsidR="00F67A32" w:rsidRPr="00796736" w:rsidRDefault="00F67A32" w:rsidP="00A802A5">
      <w:pPr>
        <w:spacing w:line="360" w:lineRule="auto"/>
        <w:rPr>
          <w:rFonts w:ascii="Times New Roman" w:hAnsi="Times New Roman" w:cs="Times New Roman"/>
          <w:sz w:val="24"/>
          <w:szCs w:val="24"/>
        </w:rPr>
      </w:pPr>
    </w:p>
    <w:p w14:paraId="1A6EFD22" w14:textId="694602B2" w:rsidR="00F67A32" w:rsidRPr="00796736" w:rsidRDefault="00F67A32" w:rsidP="00A802A5">
      <w:pPr>
        <w:pStyle w:val="Overskrift2"/>
        <w:rPr>
          <w:rFonts w:ascii="Times New Roman" w:hAnsi="Times New Roman"/>
          <w:sz w:val="24"/>
        </w:rPr>
      </w:pPr>
      <w:bookmarkStart w:id="1401" w:name="_Toc232109260"/>
      <w:bookmarkStart w:id="1402" w:name="_Toc244880784"/>
      <w:r w:rsidRPr="00796736">
        <w:rPr>
          <w:rFonts w:ascii="Times New Roman" w:hAnsi="Times New Roman"/>
          <w:sz w:val="24"/>
        </w:rPr>
        <w:t>Tilsynet med grænseoverskridende advokatvirksomhed</w:t>
      </w:r>
      <w:bookmarkEnd w:id="1401"/>
      <w:bookmarkEnd w:id="1402"/>
    </w:p>
    <w:p w14:paraId="2EF1CD1B" w14:textId="69268527" w:rsidR="00F67A32" w:rsidRPr="00796736" w:rsidRDefault="00F67A32" w:rsidP="00A802A5">
      <w:pPr>
        <w:pStyle w:val="Overskrift4"/>
        <w:rPr>
          <w:rFonts w:ascii="Times New Roman" w:hAnsi="Times New Roman" w:cs="Times New Roman"/>
          <w:sz w:val="24"/>
          <w:szCs w:val="24"/>
        </w:rPr>
      </w:pPr>
      <w:bookmarkStart w:id="1403" w:name="_Toc232109261"/>
      <w:bookmarkStart w:id="1404" w:name="_Ref232941025"/>
      <w:bookmarkStart w:id="1405" w:name="_Ref232967869"/>
      <w:bookmarkStart w:id="1406" w:name="_Ref232968008"/>
      <w:r w:rsidRPr="00796736">
        <w:rPr>
          <w:rFonts w:ascii="Times New Roman" w:hAnsi="Times New Roman" w:cs="Times New Roman"/>
          <w:sz w:val="24"/>
          <w:szCs w:val="24"/>
        </w:rPr>
        <w:t>Gældende ret</w:t>
      </w:r>
      <w:bookmarkEnd w:id="1403"/>
      <w:bookmarkEnd w:id="1404"/>
      <w:bookmarkEnd w:id="1405"/>
      <w:bookmarkEnd w:id="1406"/>
    </w:p>
    <w:p w14:paraId="0D5650CA"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retsplejelovens § 143, stk. 1, at det Danske Advokatsamfund udgøres af alle danske advokater. Advokatrådet, der er Advokatsamfundets bestyrelse, fører efter retsplejelovens § 143, stk. 2, tilsyn med advokater og deres autoriserede fuldmægtige samt advokatselskaber og fællesskaber af advokater. </w:t>
      </w:r>
    </w:p>
    <w:p w14:paraId="43660FE7"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henblik på opfyldelsen af Rådets direktiv af 22. marts 1977 om advokaters udveksling af tjenesteydelser har justitsministeren i medfør af retsplejelovens § 130, stk. 1, udstedt bekendtgørelse nr. 1429 af 11. december 2007 om EU-advokaters tjenesteydelser her i landet. </w:t>
      </w:r>
    </w:p>
    <w:p w14:paraId="3D7CE57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bekendtgørelsens § 1, stk. 1, kan advokater, der er etableret i en anden EU-medlemsstat, i et EØS-land eller i Schweiz, udføre tjenesteydelser som advokater her i landet og herunder give møde for danske domstole. Advokatrådet fører tilsyn med advokater, der efter § 1, stk. 1, udfører tjenesteydelser her i landet, jf. bekendtgørelsens § 5. </w:t>
      </w:r>
    </w:p>
    <w:p w14:paraId="3170BAF5" w14:textId="2C161ECC"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64, stk. 1, 1. pkt., at Advokatrådet påser, at advokater omfattet af § 1, stk. 1, nr. 13, og advokater, der er etableret i en anden EU-medlemsstat, i et EØS-land eller i Schweiz, og som udøver advokatvirksomhed her i landet, overholder hvidvaskloven og de regler, der er udstedt i medfør heraf, samt love og forordninger indeholdende regler om finansielle sanktioner mod lande, personer, grupper, juridiske enheder eller organer.</w:t>
      </w:r>
    </w:p>
    <w:p w14:paraId="4CC1232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64, stk. 3, skal Advokatrådet samarbejde med de kompetente myndigheder i EU- eller EØS-lande om at medvirke ved tilsynsaktiviteter, kontroller på stedet eller inspektioner her i landet, når virksomheder og personer, der udøver den type virksomhed, som er nævnt i § 1, stk. 1, nr. 13, der er under tilsyn i et andet EU- eller EØS-land, udøver advokatvirksomhed her i landet, eller en dansk virksomhed eller person omfattet af § 1, stk. 1, nr. 13, der er underlagt dansk tilsyn, men opererer i andre EU- eller EØS-lande.</w:t>
      </w:r>
    </w:p>
    <w:p w14:paraId="286E09A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bemærkningerne til bestemmelsen, jf. Folketingstidende 2020-21, tillæg A, L 12 som fremsat, side 62, at bestemmelsen implementerer artikel 48, stk. 5, i 4. hvidvaskdirektiv. Der henvises i bemærkningerne til 4. hvidvaskdirektivs præambelbetragtning nr. 53, hvor det fremgår, at hvis en forpligtet enhed etablerer virksomheder i en medlemsstat, har værtslandet ansvaret for at håndhæve den etablerede virksomheds overholdelse af kravene til forebyggelse af hvidvask og finansiering af terrorisme. Advokatrådet har således kompetence til at føre tilsyn med advokater beskikket i et EU-/EØS-land, som er registreret hos Advokatsamfundet (”EU-advokater”), og advokater beskikket i et EU-/EØS-land, som driver advokatvirksomhed i Danmark i form af grænseoverskridende tjenesteydelser.</w:t>
      </w:r>
    </w:p>
    <w:p w14:paraId="20740808"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bemærkningerne henvises der samme sted videre til betragtningen, hvor det yderligere fremgår, at der bør være et tæt samarbejde mellem hjemlandets kompetente myndigheder og den kompetente myndighed i værtslandet. Der bør således ske underretning af hjemlandets kompetente myndighed om ethvert anliggende, der kan have påvirkning på hjemlandsmyndighedens vurdering af, om virksomheden eller personen lever op til politikker og forretningsgange vedrørende bekæmpelse af hvidvask af penge og finansiering af terrorisme. Der vil f.eks. skulle underrettes, hvis en advokat efter påbud fra Advokatrådet fortsat ikke lever op til hvidvasklovens krav til politikker og forretningsgange, ligesom manglende gennemførelse af kundekendskabsprocedurer, som vil medføre disciplinær forfølgning, vil medføre pligt til at underrette hjemlandsmyndigheden. </w:t>
      </w:r>
    </w:p>
    <w:p w14:paraId="1E64EAA2"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bemærkningerne henvises der samme sted også til betragtning nr. 52 i 4. hvidvaskdirektivs præambel, anføres, at hvis en forpligtet enhed driver virksomhed i en anden medlemsstat, bør hjemlandets kompetente myndighed være ansvarlig for tilsynet med den forpligtede enheds anvendelse af koncernens politikker og forretningsgange vedrørende bekæmpelse af hvidvask af penge og finansiering af terrorisme. Advokatrådet fører tilsyn med EU-advokater registreret hos Advokatsamfundet og advokater fra andre EU-/EØS-lande, som udøver tjenesteydelser i Danmark. Hvis advokaten er en del af en koncern, som har hjemsted i hjemlandet, vil hjemlandet føre tilsyn med koncernens forpligtelser efter hvidvaskloven.</w:t>
      </w:r>
    </w:p>
    <w:p w14:paraId="208A068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64, stk. 4, at tilsynsmyndighederne i et andet EU- eller EØS-land efter forudgående aftale med Advokatrådet kan foretage inspektion hos de her i landet beliggende virksomheder og personer, der udøver den type virksomhed, som er nævnt i § 1, stk. 1, nr. 13, med hjemsted i det pågældende land. Advokatrådet kan deltage i inspektionen som nævnt i 1. pkt. Modsætter en virksomhed eller person som nævnt i 1. pkt. sig en kompetent udenlandsk myndigheds inspektion, kan undersøgelsen kun foretages med Advokatrådets medvirken.</w:t>
      </w:r>
    </w:p>
    <w:p w14:paraId="6A28E299"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bestemmelsens 1. pkt., jf. Folketingstidende 2020-21, tillæg A, L 12 som fremsat, side 62 f., at det vil være et krav, at den udenlandske tilsynsmyndighed aftaler tilsynsbesøget med Advokatrådet forud for tilsynsbesøget. Advokatrådet vil på baggrund af en anmodning om tilsyn her i landet vurdere, hvorvidt tilsynets formål forudsætter fysisk tilstedeværelse her i landet af den udenlandske myndighed. Advokatrådet vil meddele den udenlandske myndighed, hvorvidt anmodningen om tilsyn kan imødekommes. </w:t>
      </w:r>
    </w:p>
    <w:p w14:paraId="3D89EFF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ifølge bemærkningerne, jf. Folketingstidende 2020-21, tillæg A, L 12 som fremsat, side 62 f., alene omfatte her i landet beliggende virksomheder og personer som omfattet af hvidvasklovens § 1, stk. 1, nr. 14, med hjemsted i det pågældende land, dvs. ”EU-advokater”. </w:t>
      </w:r>
    </w:p>
    <w:p w14:paraId="6FC764D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omfatter således ikke danske virksomheder omfattet af lovens § 1, stk. 1, nr. 14, dvs. virksomheder etableret her i landet.  </w:t>
      </w:r>
    </w:p>
    <w:p w14:paraId="4F73857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at bestemmelsen kan tænkes anvendt, hvor virksomheder og personer som omfattet af lovens § 1, stk. 1, nr. 14, har hjemsted i et andet EU- eller EØS-land. </w:t>
      </w:r>
    </w:p>
    <w:p w14:paraId="1DD3CA2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Udenlandske tilsynsmyndigheder fra et EU- eller EØS-land vil alene være kompetente for så vidt angår virksomheder omfattet af § 1, stk. 1, nr. 14, som har hjemsted i myndighedens hjemland. Hvis en udenlandsk myndighed vil undersøge den pågældende virksomhed, vil dette skulle ske ved anmodning om oplysninger fra Advokatrådet eller ved fysisk fremmøde hos virksomheden. Tilsyn med virksomhedens overholdelse af danske regler føres derimod af Advokatrådet, jf. hvidvasklovens § 64, stk. 1. Selve undersøgelsen vil foregå efter danske processuelle regler, men den her i landet beliggende virksomhed skal leve op til det udenlandske hjemlands regelsæt på det område, der er genstand for undersøgelsen. </w:t>
      </w:r>
    </w:p>
    <w:p w14:paraId="60FDE153"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udenlandsk myndigheds tilsyn vil skulle foregå under samme betingelser som Advokatrådets tilsyn, hvilket betyder, at tilsynet skal ske i overensstemmelse med lov om retssikkerhed ved forvaltningens anvendelse af tvangsindgreb og oplysningspligter (retssikkerhedsloven), i det omfang loven finder anvendelse for Advokatrådet. </w:t>
      </w:r>
    </w:p>
    <w:p w14:paraId="06BA13BC"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er mulighed for at en udenlandsk myndighed kan foretage tilsynsbesøg uden forudgående varsling. Muligheden for at foretage uanmeldt tilsynsbesøg skal alene anvendes, hvis det er Advokatrådets vurdering, at formålet med tilsynsbesøget ville blive forspildt, hvis det blev varslet. Advokatrådet meddeler den udenlandske myndighed, hvorvidt et ønske om et uanmeldt tilsynsbesøg kan imødekommes. Udgangspunktet er således fortsat, at et tilsynsbesøg skal varsles på forhånd, i det omfang, det er muligt. Der henvises til Folketingstidende 2020-21, tillæg A, L 12 som fremsat, side 62 f.</w:t>
      </w:r>
    </w:p>
    <w:p w14:paraId="2B93B9F6"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bestemmelsens 2. pkt., følger det, at Advokatrådet efter bestemmelsen fører tilsyn med, at virksomheden overholder danske regler, jf. § 64, stk. 1, jf. artikel 48, stk. 5, i 4. hvidvaskdirektiv, og at den udenlandske tilsynsmyndigheds tilsyn foregår i overensstemmelse med danske regler herfor.</w:t>
      </w:r>
    </w:p>
    <w:p w14:paraId="5D51E1B7"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3. pkt. fremgår det, at ved at en virksomhed eller person modsætter sig en inspektion forstås som, at virksomheden gør indsigelse mod inspektionens gennemførelse. Der henvises til Folketingstidende 2020-21, tillæg A, L 12 som fremsat, side 63.</w:t>
      </w:r>
    </w:p>
    <w:p w14:paraId="294D1108"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hvidvasklovens § 64, stk. 5, at Advokatrådet kan anmode de kompetente myndigheder i et EU- eller EØS-land om at medvirke til at påse overholdelsen af loven og de regler, der er udstedt i medfør af loven, vedrørende virksomheder og personer, der udøver den type virksomhed, som er nævnt i § 1, stk. 1, nr. 13, med hjemsted i et andet EU- eller EØS-land ved tilsynsaktioner, kontroller på stedet eller inspektioner på et andet EU- eller EØS-lands område.</w:t>
      </w:r>
    </w:p>
    <w:p w14:paraId="0C933ACC"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at hvor stk. 4 vedrører udenlandske myndigheders mulighed for at foretage inspektioner her i landet, vedrører stk. 5 Advokatrådets mulighed for at foretage inspektioner i udlandet. </w:t>
      </w:r>
    </w:p>
    <w:p w14:paraId="0743644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Advokatrådets inspektioner i udlandet skal ske i overensstemmelse med reglerne i det pågældende land. Bestemmelsen finder anvendelse i situationer, hvor Advokatrådet fører tilsyn med virksomheder og personer i Danmark, og hvor virksomheden eller personen tillige driver virksomhed i et andet EU- eller EØS-land. </w:t>
      </w:r>
    </w:p>
    <w:p w14:paraId="3F69B14F"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bestemmelsen kan Advokatrådet foretage inspektioner i udlandet, når det pågældende EU- eller EØS-lands lovmæssige betingelser for afholdelse af inspektioner er opfyldt. Der henvises til Folketingstidende 2020-21, tillæg A, L 12 som fremsat, side 63.</w:t>
      </w:r>
    </w:p>
    <w:p w14:paraId="7254A293" w14:textId="33EDD35F"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Hvidvaskforordningens artikel 8 regulerer underretningen om grænseoverskridende aktiviteter og anvendelse af national ret. Bestemmelsen regulerer bl.a., hvorledes forpligtede enheder i forbindelse med aktiviteter på en anden medlemsstats område, skal underrette tilsynsorganerne i deres hjemland om de aktiviteter, som de agter at udøve i denne anden medlemsstat. Denne underretning forelægges så snart den forpligtede enhed tager skridt til at udøve aktiviteterne, og, hvis der er tale om etableringssteder, mindst tre måneder inden påbegyndelsen af disse aktiviteter. Forpligtede enheder underretter omgående tilsynsorganerne i hjemlandet, når disse aktiviteter påbegyndes i den pågældende anden medlemsstat.</w:t>
      </w:r>
    </w:p>
    <w:p w14:paraId="54C3F72B" w14:textId="4748CC02" w:rsidR="00F67A32" w:rsidRPr="00796736" w:rsidRDefault="00F67A32" w:rsidP="00A802A5">
      <w:pPr>
        <w:pStyle w:val="Overskrift4"/>
        <w:rPr>
          <w:rFonts w:ascii="Times New Roman" w:hAnsi="Times New Roman" w:cs="Times New Roman"/>
          <w:sz w:val="24"/>
          <w:szCs w:val="24"/>
        </w:rPr>
      </w:pPr>
      <w:bookmarkStart w:id="1407" w:name="_Toc232109262"/>
      <w:bookmarkStart w:id="1408" w:name="_Ref232941014"/>
      <w:bookmarkStart w:id="1409" w:name="_Ref232941038"/>
      <w:r w:rsidRPr="00796736">
        <w:rPr>
          <w:rFonts w:ascii="Times New Roman" w:hAnsi="Times New Roman" w:cs="Times New Roman"/>
          <w:sz w:val="24"/>
          <w:szCs w:val="24"/>
        </w:rPr>
        <w:t>6. hvidvaskdirektiv</w:t>
      </w:r>
      <w:bookmarkEnd w:id="1407"/>
      <w:bookmarkEnd w:id="1408"/>
      <w:bookmarkEnd w:id="1409"/>
    </w:p>
    <w:p w14:paraId="7CEE13CB" w14:textId="664C5E39" w:rsidR="00F67A32"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4</w:t>
      </w:r>
      <w:r w:rsidR="001B2124">
        <w:rPr>
          <w:rFonts w:ascii="Times New Roman" w:hAnsi="Times New Roman" w:cs="Times New Roman"/>
          <w:sz w:val="24"/>
          <w:szCs w:val="24"/>
        </w:rPr>
        <w:t>3</w:t>
      </w:r>
      <w:r w:rsidRPr="00796736">
        <w:rPr>
          <w:rFonts w:ascii="Times New Roman" w:hAnsi="Times New Roman" w:cs="Times New Roman"/>
          <w:sz w:val="24"/>
          <w:szCs w:val="24"/>
        </w:rPr>
        <w:t xml:space="preserve">-47 vedrører samarbejdet mellem forskellige landes tilsynsorganer ved de forpligtede enheders grænseoverskridende aktiviteter. I det følgende gennemgås de artikler, som har betydning for Advokatrådets tilsyn. </w:t>
      </w:r>
    </w:p>
    <w:p w14:paraId="1C1D32CF" w14:textId="77777777" w:rsidR="00384121" w:rsidRPr="007402C4" w:rsidRDefault="00384121" w:rsidP="00384121">
      <w:pPr>
        <w:spacing w:after="240" w:line="360" w:lineRule="auto"/>
        <w:rPr>
          <w:rFonts w:ascii="Times New Roman" w:hAnsi="Times New Roman" w:cs="Times New Roman"/>
          <w:sz w:val="24"/>
          <w:szCs w:val="24"/>
        </w:rPr>
      </w:pPr>
      <w:r>
        <w:rPr>
          <w:rFonts w:ascii="Times New Roman" w:hAnsi="Times New Roman" w:cs="Times New Roman"/>
          <w:sz w:val="24"/>
          <w:szCs w:val="24"/>
        </w:rPr>
        <w:t>6. hvidvaskdirektivs</w:t>
      </w:r>
      <w:r w:rsidRPr="007402C4">
        <w:rPr>
          <w:rFonts w:ascii="Times New Roman" w:hAnsi="Times New Roman" w:cs="Times New Roman"/>
          <w:sz w:val="24"/>
          <w:szCs w:val="24"/>
        </w:rPr>
        <w:t xml:space="preserve"> artikel 43 regulerer fremlæggelse af oplysninger for FIU. Det fremgår af bestemmelsen, at medlemsstaterne sikrer, at tilsynsorganer mindst meddeler FIU'en følgende oplysninger om listen over etableringssteder, der driver virksomhed i den pågældende medlemsstat, og listen over infrastruktur under deres tilsyn i henhold til artikel 38, stk. 1, samt over eventuelle ændringer af disse lister (litra a) eventuelle relevante konstateringer, der tyder på alvorlige svagheder i forpligtede enheders indberetningssystemer (litra b) og resultaterne af de risikovurderinger, der er foretaget i henhold til artikel 40, i sammenfattet form (litra c). Bestemmelsen er ny. </w:t>
      </w:r>
    </w:p>
    <w:p w14:paraId="2732E3E0" w14:textId="77777777" w:rsidR="00384121" w:rsidRPr="007402C4" w:rsidRDefault="00384121" w:rsidP="00384121">
      <w:pPr>
        <w:spacing w:after="240" w:line="360" w:lineRule="auto"/>
        <w:rPr>
          <w:rFonts w:ascii="Times New Roman" w:hAnsi="Times New Roman" w:cs="Times New Roman"/>
          <w:sz w:val="24"/>
          <w:szCs w:val="24"/>
        </w:rPr>
      </w:pPr>
      <w:r w:rsidRPr="007402C4">
        <w:rPr>
          <w:rFonts w:ascii="Times New Roman" w:hAnsi="Times New Roman" w:cs="Times New Roman"/>
          <w:sz w:val="24"/>
          <w:szCs w:val="24"/>
        </w:rPr>
        <w:t xml:space="preserve">Det fremgår af præambelbetragtning nr. 89, at tilsynsorganernes videregivelse af oplysninger til FIU'er om forhold, der kan være relateret til hvidvask af penge eller finansiering af terrorisme, er en af hjørnestenene i et effektivt tilsyn med risici for hvidvask af penge og finansiering af terrorisme og giver tilsynsorganerne mulighed for at sætte ind over for mangler i forpligtede enheders underretningsproces. Med henblik herpå bør tilsynsorganerne kunne indberette til FIU'en tilfælde af mistanke om, at den forpligtede enhed har undladt at indberette eller supplere underretninger fra den forpligtede enhed med yderligere oplysninger, som de opdager i forbindelse med deres tilsynsaktiviteter. Tilsynsorganerne bør også kunne indberette mistanke om hvidvask af penge, de underliggende lovovertrædelser eller finansiering af terrorisme begået af ansatte i en forpligtet enhed eller personer i en tilsvarende stilling, af dens ledelse eller af dens reelle ejere. </w:t>
      </w:r>
    </w:p>
    <w:p w14:paraId="4F6B0CCF" w14:textId="1AFC22B5" w:rsidR="00384121" w:rsidRPr="00796736" w:rsidRDefault="00384121" w:rsidP="00A802A5">
      <w:pPr>
        <w:spacing w:after="240" w:line="360" w:lineRule="auto"/>
        <w:rPr>
          <w:rFonts w:ascii="Times New Roman" w:hAnsi="Times New Roman" w:cs="Times New Roman"/>
          <w:sz w:val="24"/>
          <w:szCs w:val="24"/>
        </w:rPr>
      </w:pPr>
      <w:r w:rsidRPr="007402C4">
        <w:rPr>
          <w:rFonts w:ascii="Times New Roman" w:hAnsi="Times New Roman" w:cs="Times New Roman"/>
          <w:sz w:val="24"/>
          <w:szCs w:val="24"/>
        </w:rPr>
        <w:t>Det er derfor nødvendigt, at medlemsstaterne indfører et system, der sikrer, at FIU'er informeres korrekt og hurtigt. Underretningen af mistanke til FIU'en bør ikke forstås som en erstatning for forpligtelsen for offentlige myndigheder til at indberette enhver kriminel handling, som de afslører eller får kendskab til under udførelsen af deres opgaver, til de relevante kompetente myndigheder. Oplysninger, der er omfattet af retten til fortrolighed, bør ikke indhentes eller konsulteres i forbindelse med tilsynsopgaver, medmindre undtagelserne i hvidvaskforordningen finder anvendelse. Hvis tilsynsorganerne støder på eller kommer i besiddelse af sådanne oplysninger, bør de ikke tage hensyn til dem i forbindelse med deres tilsynsaktiviteter eller indberette dem til FIU'en.</w:t>
      </w:r>
    </w:p>
    <w:p w14:paraId="547A578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artikel 44 fremgår de almindelige principper for tilsynsarbejde, og det fremgår, at tilsynsorganer samarbejder med hinanden i videst muligt omfang, uanset deres respektive art eller status. Et sådant samarbejde kan omfatte, at der inden for rammerne af det anmodede tilsynsorgans beføjelser foretages undersøgelser på vegne af et anmodende tilsynsorgan samt efterfølgende udveksling af de oplysninger, der fremkommer under en sådan undersøgelse, eller facilitering af det anmodende tilsynsorgans foretagelse af sådanne undersøgelser. Bestemmelsen viderefører 4. og 5. hvidvaskdirektivs artikel 57 a, som imidlertid kun tog sigte på samarbejdet mellem kompetente myndigheder, der fører tilsyn med kredit- og finansinstitutter og andre myndigheder, der har tavshedspligt.</w:t>
      </w:r>
    </w:p>
    <w:p w14:paraId="1899F90C"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47 regulerer tilsynsarbejde om forpligtede enheder, der udfører grænseoverskridende aktiviteter. </w:t>
      </w:r>
    </w:p>
    <w:p w14:paraId="65F3FBCD"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47, stk. 1, at hvis forpligtede enheder, der ikke er en del af en koncern, udfører grænseoverskridende aktiviteter som omhandlet i artikel 54, stk. 1, og tilsynet deles mellem hjemlandets og værtslandets tilsynsorganer i henhold til artikel 37, stk. 1, sikrer medlemsstaterne, at disse tilsynsorganer så vidt muligt samarbejder med hinanden og bistår hinanden med udførelsen af tilsynet i henhold til artikel 37, stk. 1.</w:t>
      </w:r>
    </w:p>
    <w:p w14:paraId="5C0FDB63"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henblik på dette følger det endvidere af stk. 1, at medlemsstaterne for det første skal sikre, at tilsynsorganerne giver hinanden alle de oplysninger, der er nødvendige for udførelsen af deres tilsynsopgaver, enten på anmodning eller på eget initiativ, herunder de oplysninger, der er omhandlet i artikel 46, stk. 3, første afsnit, litra a, b og d, hvis disse oplysninger er nødvendige for udførelsen af tilsynsopgaverne (litra a). For det andet skal tilsynsorganerne underrette hinanden om enhver negativ udvikling i forbindelse med den forpligtede enhed, dens etableringssteder eller typer af infrastruktur, som i alvorlig grad kunne påvirke enhedens overholdelse af gældende krav, og bøder, som de agter at pålægge, eller administrative foranstaltninger, som de agter at anvende, i overensstemmelse med hvidvaskdirektivets kapitel IV, afdeling 4 (litra b). Endelig skal medlemsstaterne sikre, at tilsynsorganerne inden for rammerne af deres beføjelser er i stand til at foretage undersøgelser på vegne af et anmodende tilsynsorgan og udveksle de oplysninger, der indhentes gennem sådanne undersøgelser, eller lette det anmodende tilsynsorgans foretagelse af sådanne undersøgelser (litra c).</w:t>
      </w:r>
    </w:p>
    <w:p w14:paraId="67603EBA"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46, stk. 3, første afsnit, litra b, skal der ske udveksling mellem tilsynsmyndigheder af relevante oplysninger om de reelle ejere og den øverste ledelse, herunder resultaterne af kontrol af egnethed og hæderlighed, uanset om de udføres i henhold til hvidvaskdirektivet eller andre EU-retsakter. Efter litra d skal der skal udveksling af kundekendskabsoplysninger, herunder kundekartoteker og transaktionsfortegnelser. </w:t>
      </w:r>
    </w:p>
    <w:p w14:paraId="725356A2"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artikel 47, stk. 1, finder efter 3. afsnit også anvendelse på forpligtede enheder, der er etableret i en enkelt medlemsstat og driver virksomhed i henhold til reglerne om fri udveksling af tjenesteydelser i en anden medlemsstat uden infrastruktur, hvis tilsynet med aktiviteter i denne anden medlemsstat udføres af den pågældende medlemsstats tilsynsorganer i henhold til artikel 37, stk. 1, andet afsnit. </w:t>
      </w:r>
    </w:p>
    <w:p w14:paraId="022F88BB"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svarer indholdsmæssigt til 4. og 5. hvidvaskdirektivs artikel 48, stk. 5, men indeholder flere nye krav til, hvori samarbejdet nærmere skal bestå. Det fremgår således alene af artikel 48, stk. 5, at medlemsstaterne sikrer, at de kompetente myndigheder i den medlemsstat, hvor den forpligtede enhed driver virksomheder, samarbejder med de kompetente myndigheder i den medlemsstat, hvor den forpligtede enhed har sit hovedsæde, med det formål at sikre, at der føres effektivt tilsyn med kravene i dette direktiv.</w:t>
      </w:r>
    </w:p>
    <w:p w14:paraId="749D156B" w14:textId="0110A2D9"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47, stk. 2, tager sigte på den situation, hvor alene hjemlandet fører tilsyn med de pågældende enheder, som udfører aktiviteter omfattet af artikel 38, stk. 1, hvilket ikke omfatter advokater. Bestemmelsen er således ikke relevant for Advokatrådets tilsyn.</w:t>
      </w:r>
    </w:p>
    <w:p w14:paraId="494B9F83"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følger det af stk. 3, at tilsynsorganerne i en række tilfælde skal kunne indbringe spørgsmål for AMLA. </w:t>
      </w:r>
    </w:p>
    <w:p w14:paraId="753335E2"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præambelbetragtning nr. 90, at det er afgørende med samarbejde mellem nationale tilsynsorganer for at sikre en fælles tilsynsstrategi i hele Unionen. </w:t>
      </w:r>
    </w:p>
    <w:p w14:paraId="48A7226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præambelbetragtning nr. 94 følger det, at hvis en forpligtet enhed har etableringssteder i en anden medlemsstat, herunder gennem et netværk af agenter, bør værtslandets tilsynsorgan bevare ansvaret for at håndhæve etableringsstedets overholdelse af kravene til bekæmpelse af hvidvask af penge og finansiering af terrorisme, herunder, hvor det er hensigtsmæssigt, ved at udføre on-site kontrolbesøg og off-site overvågning samt ved at træffe passende og forholdsmæssige foranstaltninger med henblik på at imødegå overtrædelser af disse krav. </w:t>
      </w:r>
    </w:p>
    <w:p w14:paraId="4EDE9FB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betragtningen følger det videre, at det samme bør gælde for andre typer infrastruktur i forpligtede enheder, der driver virksomhed i henhold til reglerne om fri udveksling af tjenesteydelser, hvis denne infrastruktur er tilstrækkelig til at kræve tilsyn fra værtslandets tilsynsorgans side. Værtslandets tilsynsorgan bør arbejde tæt sammen med hjemlandets tilsynsorgan og bør underrette dette om ethvert anliggende, der kan påvirke dets vurdering af den forpligtede enheds anvendelse af politikker og procedurer for bekæmpelse af hvidvask af penge og finansiering af terrorisme, og give hjemlandets tilsynsorgan mulighed for at træffe foranstaltninger til at imødegå enhver konstateret overtrædelse. </w:t>
      </w:r>
    </w:p>
    <w:p w14:paraId="4DA1ACA2"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Hvis der opdages alvorlige, gentagne eller systematiske overtrædelser af bestemmelserne for bekæmpelse af hvidvask af penge og finansiering af terrorisme, der fordrer øjeblikkelige retsmidler, bør værtslandets tilsynsorgan kunne anvende passende og forholdsmæssige midlertidige afhjælpende foranstaltninger, der under tilsvarende omstændigheder gælder for forpligtede enheder inden for deres kompetenceområde, med henblik på at afhjælpe sådanne alvorlige, gentagne eller systematiske overtrædelser, hvor det er hensigtsmæssigt med bistand fra eller i samarbejde med hjemlandets tilsynsorgan.</w:t>
      </w:r>
    </w:p>
    <w:p w14:paraId="5592C30E" w14:textId="77777777" w:rsidR="0092113C" w:rsidRPr="00796736" w:rsidRDefault="0092113C" w:rsidP="00A802A5">
      <w:pPr>
        <w:spacing w:after="240" w:line="360" w:lineRule="auto"/>
        <w:rPr>
          <w:rFonts w:ascii="Times New Roman" w:hAnsi="Times New Roman" w:cs="Times New Roman"/>
          <w:sz w:val="24"/>
          <w:szCs w:val="24"/>
        </w:rPr>
      </w:pPr>
      <w:bookmarkStart w:id="1410" w:name="_Toc232109263"/>
      <w:r w:rsidRPr="00796736">
        <w:rPr>
          <w:rFonts w:ascii="Times New Roman" w:hAnsi="Times New Roman" w:cs="Times New Roman"/>
          <w:sz w:val="24"/>
          <w:szCs w:val="24"/>
        </w:rPr>
        <w:t xml:space="preserve">6. hvidvaskdirektivs artikel 54 regulerer tilsynsforanstaltninger over for forpligtede enheders etableringssteder og visse aktiviteter, der udøves i henhold til reglerne om fri udveksling af tjenesteydelser. Bestemmelsen gælder bl.a. for advokater, jf. stk. 1. </w:t>
      </w:r>
    </w:p>
    <w:p w14:paraId="4E68A070" w14:textId="50C76ED1" w:rsidR="00F67A32" w:rsidRPr="00796736" w:rsidRDefault="00F67A32"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Justitsministeriets overvejelser og den foreslåede ordning</w:t>
      </w:r>
      <w:bookmarkEnd w:id="1410"/>
    </w:p>
    <w:p w14:paraId="1EDFBD82" w14:textId="17C4CFB3"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_Ref232941014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3.67.2</w:t>
      </w:r>
      <w:r w:rsidR="00B16D3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indeholder hvidvaskdirektivet i artikel 44</w:t>
      </w:r>
      <w:r w:rsidR="00B92672">
        <w:rPr>
          <w:rFonts w:ascii="Times New Roman" w:hAnsi="Times New Roman" w:cs="Times New Roman"/>
          <w:sz w:val="24"/>
          <w:szCs w:val="24"/>
        </w:rPr>
        <w:t xml:space="preserve"> </w:t>
      </w:r>
      <w:r w:rsidRPr="00796736">
        <w:rPr>
          <w:rFonts w:ascii="Times New Roman" w:hAnsi="Times New Roman" w:cs="Times New Roman"/>
          <w:sz w:val="24"/>
          <w:szCs w:val="24"/>
        </w:rPr>
        <w:t xml:space="preserve">og 47, ligesom 4. og 5. hvidvaskdirektivs artikel 48, stk. 5, bestemmelser om tilsynsmyndighedernes opgaver, forpligtelser og beføjelser ved grænseoverskridende aktivitet på hvidvask- og terrorfinansieringsområdet. </w:t>
      </w:r>
    </w:p>
    <w:p w14:paraId="0875EF62" w14:textId="77777777" w:rsidR="00F67A32" w:rsidRPr="00796736" w:rsidRDefault="00F67A32" w:rsidP="00A802A5">
      <w:pPr>
        <w:spacing w:line="360" w:lineRule="auto"/>
        <w:rPr>
          <w:rFonts w:ascii="Times New Roman" w:hAnsi="Times New Roman" w:cs="Times New Roman"/>
          <w:sz w:val="24"/>
          <w:szCs w:val="24"/>
        </w:rPr>
      </w:pPr>
    </w:p>
    <w:p w14:paraId="2F6D3D32" w14:textId="3E3D9596"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4. og 5. hvidvaskdirektivs artikel 48, stk. 5, er som anført i pkt.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_Ref232941025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3.67.1</w:t>
      </w:r>
      <w:r w:rsidR="00B16D3D" w:rsidRPr="00796736">
        <w:rPr>
          <w:rFonts w:ascii="Times New Roman" w:hAnsi="Times New Roman" w:cs="Times New Roman"/>
          <w:sz w:val="24"/>
          <w:szCs w:val="24"/>
        </w:rPr>
        <w:fldChar w:fldCharType="end"/>
      </w:r>
      <w:r w:rsidR="00B16D3D"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for advokater og advokatselskabers vedkommende gennemført i dansk ret i hvidvasklovens § 64, stk. 3-5. </w:t>
      </w:r>
    </w:p>
    <w:p w14:paraId="0CD182A8" w14:textId="77777777" w:rsidR="00F67A32" w:rsidRPr="00796736" w:rsidRDefault="00F67A32" w:rsidP="00A802A5">
      <w:pPr>
        <w:spacing w:line="360" w:lineRule="auto"/>
        <w:rPr>
          <w:rFonts w:ascii="Times New Roman" w:hAnsi="Times New Roman" w:cs="Times New Roman"/>
          <w:sz w:val="24"/>
          <w:szCs w:val="24"/>
        </w:rPr>
      </w:pPr>
    </w:p>
    <w:p w14:paraId="5C8E1230" w14:textId="36070C73" w:rsidR="00F67A32" w:rsidRPr="00796736" w:rsidRDefault="00E47C9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Ordningen, som følger af hvidvaskdirektivets artikel 44og 47, og ordningen, som følger af 4. og 5. hvidvaskdirektivs artikel 48, stk. 5, om tilsynsarbejdet ved grænseoverskridende aktiviteter, adskiller sig på flere punkter. Bestemmelserne adskiller sig bl.a. ved, at det nu af artikel 44 fremgår, at samarbejdsforpligtelsen og pligten til udveksling af oplysninger også omfatter tilsynet med advokater. Derudover er forpligtelsen til fremlæggelse af oplysninger </w:t>
      </w:r>
      <w:r>
        <w:rPr>
          <w:rFonts w:ascii="Times New Roman" w:hAnsi="Times New Roman" w:cs="Times New Roman"/>
          <w:sz w:val="24"/>
          <w:szCs w:val="24"/>
        </w:rPr>
        <w:t>for FIU’en om etableringssteder mv.</w:t>
      </w:r>
      <w:r w:rsidRPr="00796736">
        <w:rPr>
          <w:rFonts w:ascii="Times New Roman" w:hAnsi="Times New Roman" w:cs="Times New Roman"/>
          <w:sz w:val="24"/>
          <w:szCs w:val="24"/>
        </w:rPr>
        <w:t xml:space="preserve"> nu indført med hvidvaskdirektivets artikel 4</w:t>
      </w:r>
      <w:r>
        <w:rPr>
          <w:rFonts w:ascii="Times New Roman" w:hAnsi="Times New Roman" w:cs="Times New Roman"/>
          <w:sz w:val="24"/>
          <w:szCs w:val="24"/>
        </w:rPr>
        <w:t>3</w:t>
      </w:r>
      <w:r w:rsidRPr="00796736">
        <w:rPr>
          <w:rFonts w:ascii="Times New Roman" w:hAnsi="Times New Roman" w:cs="Times New Roman"/>
          <w:sz w:val="24"/>
          <w:szCs w:val="24"/>
        </w:rPr>
        <w:t xml:space="preserve">. Endelig er indholdet i samarbejdet mellem hjemlandets og værtslandets </w:t>
      </w:r>
      <w:r>
        <w:rPr>
          <w:rFonts w:ascii="Times New Roman" w:hAnsi="Times New Roman" w:cs="Times New Roman"/>
          <w:sz w:val="24"/>
          <w:szCs w:val="24"/>
        </w:rPr>
        <w:t>modtager</w:t>
      </w:r>
      <w:r w:rsidRPr="00796736">
        <w:rPr>
          <w:rFonts w:ascii="Times New Roman" w:hAnsi="Times New Roman" w:cs="Times New Roman"/>
          <w:sz w:val="24"/>
          <w:szCs w:val="24"/>
        </w:rPr>
        <w:t xml:space="preserve">landets tilsynsorganer i hvidvaskdirektivets artikel 47 blevet udbygget, således at der nu af artiklens ordlyd fremgår en række underretningsforpligtelser organerne imellem. </w:t>
      </w:r>
      <w:r w:rsidR="00F67A32" w:rsidRPr="00796736">
        <w:rPr>
          <w:rFonts w:ascii="Times New Roman" w:hAnsi="Times New Roman" w:cs="Times New Roman"/>
          <w:sz w:val="24"/>
          <w:szCs w:val="24"/>
        </w:rPr>
        <w:t xml:space="preserve">Ændringerne er nærmere beskrevet under pkt.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_Ref232941038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3.67.2</w:t>
      </w:r>
      <w:r w:rsidR="00B16D3D" w:rsidRPr="00796736">
        <w:rPr>
          <w:rFonts w:ascii="Times New Roman" w:hAnsi="Times New Roman" w:cs="Times New Roman"/>
          <w:sz w:val="24"/>
          <w:szCs w:val="24"/>
        </w:rPr>
        <w:fldChar w:fldCharType="end"/>
      </w:r>
      <w:r w:rsidR="00F67A32" w:rsidRPr="00796736">
        <w:rPr>
          <w:rFonts w:ascii="Times New Roman" w:hAnsi="Times New Roman" w:cs="Times New Roman"/>
          <w:sz w:val="24"/>
          <w:szCs w:val="24"/>
        </w:rPr>
        <w:t>.</w:t>
      </w:r>
    </w:p>
    <w:p w14:paraId="515CAD41" w14:textId="77777777" w:rsidR="00F67A32" w:rsidRPr="00796736" w:rsidRDefault="00F67A32" w:rsidP="00A802A5">
      <w:pPr>
        <w:spacing w:line="360" w:lineRule="auto"/>
        <w:rPr>
          <w:rFonts w:ascii="Times New Roman" w:hAnsi="Times New Roman" w:cs="Times New Roman"/>
          <w:sz w:val="24"/>
          <w:szCs w:val="24"/>
        </w:rPr>
      </w:pPr>
    </w:p>
    <w:p w14:paraId="1CC23292" w14:textId="77777777" w:rsidR="005A5865" w:rsidRPr="00796736" w:rsidRDefault="005A5865" w:rsidP="005A586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internationale samarbejde mellem tilsynsorganer på området for hvidvask, terrorfinansiering og internationale sanktioner ved grænseoverskridende advokatvirksomhed er efter Justitsministeriets opfattelse en væsentlig bestanddel i et effektivt tilsyn og et vigtigt redskab i bekæmpelsen af hvidvask, terrorfinansiering og omgåelse af internationale sanktioner. </w:t>
      </w:r>
    </w:p>
    <w:p w14:paraId="2CB889A2" w14:textId="6EAB2128"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Det foreslås på den baggrund, at der indføres bestemmelser i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_Ref232609241 \r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99</w:t>
      </w:r>
      <w:r w:rsidR="00B16D3D" w:rsidRPr="00796736">
        <w:rPr>
          <w:rFonts w:ascii="Times New Roman" w:hAnsi="Times New Roman" w:cs="Times New Roman"/>
          <w:sz w:val="24"/>
          <w:szCs w:val="24"/>
        </w:rPr>
        <w:fldChar w:fldCharType="end"/>
      </w:r>
      <w:r w:rsidR="0092113C" w:rsidRPr="00796736">
        <w:rPr>
          <w:rFonts w:ascii="Times New Roman" w:hAnsi="Times New Roman" w:cs="Times New Roman"/>
          <w:sz w:val="24"/>
          <w:szCs w:val="24"/>
        </w:rPr>
        <w:t xml:space="preserve">, </w:t>
      </w:r>
      <w:r w:rsidRPr="00796736">
        <w:rPr>
          <w:rFonts w:ascii="Times New Roman" w:hAnsi="Times New Roman" w:cs="Times New Roman"/>
          <w:sz w:val="24"/>
          <w:szCs w:val="24"/>
        </w:rPr>
        <w:t>som gennemfører hvidvaskdirektivets artikel 44</w:t>
      </w:r>
      <w:r w:rsidR="005A5865">
        <w:rPr>
          <w:rFonts w:ascii="Times New Roman" w:hAnsi="Times New Roman" w:cs="Times New Roman"/>
          <w:sz w:val="24"/>
          <w:szCs w:val="24"/>
        </w:rPr>
        <w:t xml:space="preserve"> </w:t>
      </w:r>
      <w:r w:rsidRPr="00796736">
        <w:rPr>
          <w:rFonts w:ascii="Times New Roman" w:hAnsi="Times New Roman" w:cs="Times New Roman"/>
          <w:sz w:val="24"/>
          <w:szCs w:val="24"/>
        </w:rPr>
        <w:t xml:space="preserve">og 47 for så vidt angår tilsynssamarbejdet i forbindelse med grænseoverskridende advokatvirksomhed. </w:t>
      </w:r>
      <w:r w:rsidR="0092113C" w:rsidRPr="00796736">
        <w:rPr>
          <w:rFonts w:ascii="Times New Roman" w:hAnsi="Times New Roman" w:cs="Times New Roman"/>
          <w:sz w:val="24"/>
          <w:szCs w:val="24"/>
        </w:rPr>
        <w:t>De foreslåede bestemmelser vil regulere Advokatrådets samarbejde med andre landes tilsynsorganer i forbindelse med grænseoverskridende advokatvirksomhed, både her i landet og i andre EU-medlemsstat og EØS-lande samt i Schweiz. De foreslåede bestemmelser vil videreføre og udbygge de eksisterende bestemmelser i hvidvasklovens § 64, stk. 3-5, således at der af loven vil fremgå en række underretnings- og oplysningsforpligtelser.</w:t>
      </w:r>
    </w:p>
    <w:p w14:paraId="3E84DEF3" w14:textId="77777777" w:rsidR="00F67A32" w:rsidRPr="00796736" w:rsidRDefault="00F67A32" w:rsidP="00A802A5">
      <w:pPr>
        <w:spacing w:line="360" w:lineRule="auto"/>
        <w:rPr>
          <w:rFonts w:ascii="Times New Roman" w:hAnsi="Times New Roman" w:cs="Times New Roman"/>
          <w:sz w:val="24"/>
          <w:szCs w:val="24"/>
        </w:rPr>
      </w:pPr>
    </w:p>
    <w:p w14:paraId="663A7A0D" w14:textId="218DA86D"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udenlandsk tilsynsorgans tilsyn vil fortsat skulle foregå under samme betingelser som Advokatrådets tilsyn, hvilket betyder, at tilsynet skal ske i overensstemmelse med retssikkerhedsloven, i det omfang loven finder anvendelse for Advokatrådet. Det vil indebære, at den udenlandske myndighed vil skulle iagttage retssikkerhedslovens kapitel 2 og 3 i det omfang, den udenlandske myndigheds tilsyn består i kontrolbesøg, herunder undersøgelser af og kræve kopier af dokumentation og optegnelser for overholdelse af reglerne, jf. også lovforslagets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_Ref242813262 \n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kapitel 4 i det omfang, tilsynet består i at kræve oplysninger fremlagt, som er relevante for tilsyn, overvågning og kontrol, jf. også lovforslagets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_Ref242813271 \n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755253FD" w14:textId="77777777" w:rsidR="00F67A32" w:rsidRPr="00796736" w:rsidRDefault="00F67A32" w:rsidP="00A802A5">
      <w:pPr>
        <w:spacing w:line="360" w:lineRule="auto"/>
        <w:rPr>
          <w:rFonts w:ascii="Times New Roman" w:hAnsi="Times New Roman" w:cs="Times New Roman"/>
          <w:sz w:val="24"/>
          <w:szCs w:val="24"/>
        </w:rPr>
      </w:pPr>
    </w:p>
    <w:p w14:paraId="726D1049" w14:textId="1C8BB7E9"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B16D3D" w:rsidRPr="00796736">
        <w:rPr>
          <w:rFonts w:ascii="Times New Roman" w:hAnsi="Times New Roman" w:cs="Times New Roman"/>
          <w:sz w:val="24"/>
          <w:szCs w:val="24"/>
        </w:rPr>
        <w:t>§</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_Ref232609241 \r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99</w:t>
      </w:r>
      <w:r w:rsidR="00B16D3D" w:rsidRPr="00796736">
        <w:rPr>
          <w:rFonts w:ascii="Times New Roman" w:hAnsi="Times New Roman" w:cs="Times New Roman"/>
          <w:sz w:val="24"/>
          <w:szCs w:val="24"/>
        </w:rPr>
        <w:fldChar w:fldCharType="end"/>
      </w:r>
      <w:r w:rsidR="00B16D3D" w:rsidRPr="00796736">
        <w:rPr>
          <w:rFonts w:ascii="Times New Roman" w:hAnsi="Times New Roman" w:cs="Times New Roman"/>
          <w:sz w:val="24"/>
          <w:szCs w:val="24"/>
        </w:rPr>
        <w:t xml:space="preserve"> og</w:t>
      </w:r>
      <w:r w:rsidR="0092113C" w:rsidRPr="00796736">
        <w:rPr>
          <w:rFonts w:ascii="Times New Roman" w:hAnsi="Times New Roman" w:cs="Times New Roman"/>
          <w:sz w:val="24"/>
          <w:szCs w:val="24"/>
        </w:rPr>
        <w:t xml:space="preserve"> </w:t>
      </w:r>
      <w:r w:rsidR="0092113C" w:rsidRPr="00796736">
        <w:rPr>
          <w:rFonts w:ascii="Times New Roman" w:hAnsi="Times New Roman" w:cs="Times New Roman"/>
          <w:sz w:val="24"/>
          <w:szCs w:val="24"/>
        </w:rPr>
        <w:fldChar w:fldCharType="begin"/>
      </w:r>
      <w:r w:rsidR="0092113C" w:rsidRPr="00796736">
        <w:rPr>
          <w:rFonts w:ascii="Times New Roman" w:hAnsi="Times New Roman" w:cs="Times New Roman"/>
          <w:sz w:val="24"/>
          <w:szCs w:val="24"/>
        </w:rPr>
        <w:instrText xml:space="preserve"> REF _Ref232941264 \r \h </w:instrText>
      </w:r>
      <w:r w:rsidR="00AB17CC" w:rsidRPr="00796736">
        <w:rPr>
          <w:rFonts w:ascii="Times New Roman" w:hAnsi="Times New Roman" w:cs="Times New Roman"/>
          <w:sz w:val="24"/>
          <w:szCs w:val="24"/>
        </w:rPr>
        <w:instrText xml:space="preserve"> \* MERGEFORMAT </w:instrText>
      </w:r>
      <w:r w:rsidR="0092113C" w:rsidRPr="00796736">
        <w:rPr>
          <w:rFonts w:ascii="Times New Roman" w:hAnsi="Times New Roman" w:cs="Times New Roman"/>
          <w:sz w:val="24"/>
          <w:szCs w:val="24"/>
        </w:rPr>
      </w:r>
      <w:r w:rsidR="009211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100</w:t>
      </w:r>
      <w:r w:rsidR="0092113C" w:rsidRPr="00796736">
        <w:rPr>
          <w:rFonts w:ascii="Times New Roman" w:hAnsi="Times New Roman" w:cs="Times New Roman"/>
          <w:sz w:val="24"/>
          <w:szCs w:val="24"/>
        </w:rPr>
        <w:fldChar w:fldCharType="end"/>
      </w:r>
      <w:r w:rsidR="0092113C" w:rsidRPr="00796736">
        <w:rPr>
          <w:rFonts w:ascii="Times New Roman" w:hAnsi="Times New Roman" w:cs="Times New Roman"/>
          <w:sz w:val="24"/>
          <w:szCs w:val="24"/>
        </w:rPr>
        <w:t xml:space="preserve"> </w:t>
      </w:r>
      <w:r w:rsidR="00B16D3D" w:rsidRPr="00796736">
        <w:rPr>
          <w:rFonts w:ascii="Times New Roman" w:hAnsi="Times New Roman" w:cs="Times New Roman"/>
          <w:sz w:val="24"/>
          <w:szCs w:val="24"/>
        </w:rPr>
        <w:t xml:space="preserve"> </w:t>
      </w:r>
      <w:r w:rsidRPr="00796736">
        <w:rPr>
          <w:rFonts w:ascii="Times New Roman" w:hAnsi="Times New Roman" w:cs="Times New Roman"/>
          <w:sz w:val="24"/>
          <w:szCs w:val="24"/>
        </w:rPr>
        <w:t>samt bemærkningerne hertil.</w:t>
      </w:r>
    </w:p>
    <w:p w14:paraId="5D16B8A1" w14:textId="77777777" w:rsidR="00F67A32" w:rsidRPr="00796736" w:rsidRDefault="00F67A32" w:rsidP="00A802A5">
      <w:pPr>
        <w:spacing w:line="360" w:lineRule="auto"/>
        <w:rPr>
          <w:rFonts w:ascii="Times New Roman" w:hAnsi="Times New Roman" w:cs="Times New Roman"/>
          <w:sz w:val="24"/>
          <w:szCs w:val="24"/>
        </w:rPr>
      </w:pPr>
    </w:p>
    <w:p w14:paraId="4BB5D8EC" w14:textId="690E18D3" w:rsidR="00F67A32" w:rsidRPr="00796736" w:rsidRDefault="00F67A32" w:rsidP="00A802A5">
      <w:pPr>
        <w:pStyle w:val="Overskrift2"/>
        <w:rPr>
          <w:rFonts w:ascii="Times New Roman" w:hAnsi="Times New Roman"/>
          <w:sz w:val="24"/>
        </w:rPr>
      </w:pPr>
      <w:bookmarkStart w:id="1411" w:name="_Toc232109264"/>
      <w:bookmarkStart w:id="1412" w:name="_Toc244880785"/>
      <w:r w:rsidRPr="00796736">
        <w:rPr>
          <w:rFonts w:ascii="Times New Roman" w:hAnsi="Times New Roman"/>
          <w:sz w:val="24"/>
        </w:rPr>
        <w:t>Samarbejde med tilsynsorganer i tredjelande</w:t>
      </w:r>
      <w:bookmarkEnd w:id="1411"/>
      <w:bookmarkEnd w:id="1412"/>
    </w:p>
    <w:p w14:paraId="1A4FA6CF" w14:textId="20722221" w:rsidR="00F67A32" w:rsidRPr="00796736" w:rsidRDefault="00F67A32" w:rsidP="00A802A5">
      <w:pPr>
        <w:pStyle w:val="Overskrift4"/>
        <w:rPr>
          <w:rFonts w:ascii="Times New Roman" w:hAnsi="Times New Roman" w:cs="Times New Roman"/>
          <w:sz w:val="24"/>
          <w:szCs w:val="24"/>
        </w:rPr>
      </w:pPr>
      <w:bookmarkStart w:id="1413" w:name="_Toc232109265"/>
      <w:bookmarkStart w:id="1414" w:name="_Ref232941181"/>
      <w:bookmarkStart w:id="1415" w:name="_Ref232968223"/>
      <w:r w:rsidRPr="00796736">
        <w:rPr>
          <w:rFonts w:ascii="Times New Roman" w:hAnsi="Times New Roman" w:cs="Times New Roman"/>
          <w:sz w:val="24"/>
          <w:szCs w:val="24"/>
        </w:rPr>
        <w:t>Gældende ret</w:t>
      </w:r>
      <w:bookmarkEnd w:id="1413"/>
      <w:bookmarkEnd w:id="1414"/>
      <w:bookmarkEnd w:id="1415"/>
    </w:p>
    <w:p w14:paraId="7CBF1B34"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56, stk. 4, kan Finanstilsynets videregivelse i henhold til stk. 3, nr. 19, om videregivelse af fortrolige oplysninger til finansielle tilsynsmyndigheder uden for EU eller EØS, alene ske på baggrund af en international samarbejdsaftale, og under forudsætning af at modtagerne mindst er underlagt en lovbestemt tavshedspligt, der svarer til tavshedspligten i medfør af stk. 1, og har et væsentligt behov for oplysningerne til varetagelse af deres opgaver.</w:t>
      </w:r>
    </w:p>
    <w:p w14:paraId="4A838915" w14:textId="77777777" w:rsidR="00F67A32" w:rsidRPr="00796736" w:rsidRDefault="00F67A32" w:rsidP="00A802A5">
      <w:pPr>
        <w:spacing w:line="360" w:lineRule="auto"/>
        <w:rPr>
          <w:rFonts w:ascii="Times New Roman" w:hAnsi="Times New Roman" w:cs="Times New Roman"/>
          <w:sz w:val="24"/>
          <w:szCs w:val="24"/>
        </w:rPr>
      </w:pPr>
    </w:p>
    <w:p w14:paraId="332ED9C0"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6 kan videregivelse af fortrolige oplysninger, der hidrører fra et EU- eller EØS-land eller finansielle tilsynsmyndigheder i lande uden for EU eller EØS, i henhold til bl.a. stk. 3, nr. 19, alene ske, såfremt de myndigheder, som har afgivet oplysningerne, har givet deres udtrykkelige tilladelse, og sådanne oplysninger må udelukkende benyttes til det formål, som tilladelsen vedrører.</w:t>
      </w:r>
    </w:p>
    <w:p w14:paraId="27645C8A" w14:textId="77777777" w:rsidR="00F67A32" w:rsidRPr="00796736" w:rsidRDefault="00F67A32" w:rsidP="00A802A5">
      <w:pPr>
        <w:spacing w:line="360" w:lineRule="auto"/>
        <w:rPr>
          <w:rFonts w:ascii="Times New Roman" w:hAnsi="Times New Roman" w:cs="Times New Roman"/>
          <w:sz w:val="24"/>
          <w:szCs w:val="24"/>
        </w:rPr>
      </w:pPr>
    </w:p>
    <w:p w14:paraId="503EE00A"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så vidt angår Erhvervsstyrelsens tilsyn findes der tilsvarende regler i § 63, stk. 4 og 6. </w:t>
      </w:r>
    </w:p>
    <w:p w14:paraId="1725CB88" w14:textId="77777777" w:rsidR="00F67A32" w:rsidRPr="00796736" w:rsidRDefault="00F67A32" w:rsidP="00A802A5">
      <w:pPr>
        <w:spacing w:line="360" w:lineRule="auto"/>
        <w:rPr>
          <w:rFonts w:ascii="Times New Roman" w:hAnsi="Times New Roman" w:cs="Times New Roman"/>
          <w:sz w:val="24"/>
          <w:szCs w:val="24"/>
        </w:rPr>
      </w:pPr>
    </w:p>
    <w:p w14:paraId="1FFDE977"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bestemmelserne i hvidvasklovens § 56, stk. 4 og 6, og § 63, stk. 4 og 6, gennemføres 4. og 5. hvidvaskdirektivs artikel 57 a, stk. 5. </w:t>
      </w:r>
    </w:p>
    <w:p w14:paraId="6AF23186" w14:textId="77777777" w:rsidR="00F67A32" w:rsidRPr="00796736" w:rsidRDefault="00F67A32" w:rsidP="00A802A5">
      <w:pPr>
        <w:spacing w:line="360" w:lineRule="auto"/>
        <w:rPr>
          <w:rFonts w:ascii="Times New Roman" w:hAnsi="Times New Roman" w:cs="Times New Roman"/>
          <w:sz w:val="24"/>
          <w:szCs w:val="24"/>
        </w:rPr>
      </w:pPr>
    </w:p>
    <w:p w14:paraId="6862E3D4" w14:textId="2C2690D9"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findes ikke tilsvarende regler i hvidvaskloven for Advokatrådet, men </w:t>
      </w:r>
      <w:r w:rsidR="00000E70" w:rsidRPr="00796736">
        <w:rPr>
          <w:rFonts w:ascii="Times New Roman" w:hAnsi="Times New Roman" w:cs="Times New Roman"/>
          <w:sz w:val="24"/>
          <w:szCs w:val="24"/>
        </w:rPr>
        <w:t>det følger af retsplejelovens § 143 b, stk. 3, at Advokatrådets medlemmer, medlemmer af Advokatrådets udvalg, Advokatsamfundets ansatte og Advokatrådets kontaktpersoner udelukkende kan videregive oplysninger til Advokatnævnet til varetagelsen af dets opgaver efter retsplejeloven og til relevante offentlige myndigheder, herunder anklagemyndigheden, politiet og justitsministeren, til varetagelse af deres opgaver efter deres lovgivning. Bestemmelsens ses imidlertid ikke i praksis at indebære udveksling af fortrolige oplysninger med tilsynsorganer mv. i tredjelande.</w:t>
      </w:r>
    </w:p>
    <w:p w14:paraId="34CB297D" w14:textId="77777777" w:rsidR="00F67A32" w:rsidRPr="00796736" w:rsidRDefault="00F67A32" w:rsidP="00A802A5">
      <w:pPr>
        <w:spacing w:line="360" w:lineRule="auto"/>
        <w:rPr>
          <w:rFonts w:ascii="Times New Roman" w:hAnsi="Times New Roman" w:cs="Times New Roman"/>
          <w:sz w:val="24"/>
          <w:szCs w:val="24"/>
        </w:rPr>
      </w:pPr>
    </w:p>
    <w:p w14:paraId="71036258" w14:textId="5E87C2C2" w:rsidR="00F67A32" w:rsidRPr="00796736" w:rsidRDefault="00B03F60" w:rsidP="00A802A5">
      <w:pPr>
        <w:pStyle w:val="Overskrift4"/>
        <w:rPr>
          <w:rFonts w:ascii="Times New Roman" w:hAnsi="Times New Roman" w:cs="Times New Roman"/>
          <w:sz w:val="24"/>
          <w:szCs w:val="24"/>
        </w:rPr>
      </w:pPr>
      <w:bookmarkStart w:id="1416" w:name="_Toc232109266"/>
      <w:bookmarkStart w:id="1417" w:name="_Ref232941159"/>
      <w:r w:rsidRPr="00796736">
        <w:rPr>
          <w:rFonts w:ascii="Times New Roman" w:hAnsi="Times New Roman" w:cs="Times New Roman"/>
          <w:sz w:val="24"/>
          <w:szCs w:val="24"/>
        </w:rPr>
        <w:t>6. hvidvaskd</w:t>
      </w:r>
      <w:r w:rsidR="00F67A32" w:rsidRPr="00796736">
        <w:rPr>
          <w:rFonts w:ascii="Times New Roman" w:hAnsi="Times New Roman" w:cs="Times New Roman"/>
          <w:sz w:val="24"/>
          <w:szCs w:val="24"/>
        </w:rPr>
        <w:t>irektiv</w:t>
      </w:r>
      <w:bookmarkEnd w:id="1416"/>
      <w:bookmarkEnd w:id="1417"/>
    </w:p>
    <w:p w14:paraId="29E0C42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51 regulerer samarbejde med tilsynsorganer i tredjelande. </w:t>
      </w:r>
    </w:p>
    <w:p w14:paraId="2ED2D614" w14:textId="77777777" w:rsidR="00F67A32" w:rsidRPr="00796736" w:rsidRDefault="00F67A32" w:rsidP="00A802A5">
      <w:pPr>
        <w:spacing w:line="360" w:lineRule="auto"/>
        <w:rPr>
          <w:rFonts w:ascii="Times New Roman" w:hAnsi="Times New Roman" w:cs="Times New Roman"/>
          <w:sz w:val="24"/>
          <w:szCs w:val="24"/>
        </w:rPr>
      </w:pPr>
    </w:p>
    <w:p w14:paraId="696B8E09"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bestemmelsens stk. 1 sikrer medlemsstaterne, at tilsynsorganer kan indgå samarbejdsaftaler vedrørende samarbejde og udveksling af fortrolige oplysninger med deres modparter i tredjelande. Sådanne samarbejdsaftaler skal overholde gældende databeskyttelsesregler og være gensidige samt underlagt en garanti om krav om tavshedspligt, der mindst svarer til den, der er omhandlet i artikel 67, stk. 1. Udvekslingen af fortrolige oplysninger inden for rammerne af disse samarbejdsaftaler må kun anvendes med henblik på de pågældende myndigheders udførelse af deres tilsynsopgaver.</w:t>
      </w:r>
    </w:p>
    <w:p w14:paraId="5E34E821" w14:textId="77777777" w:rsidR="00F67A32" w:rsidRPr="00796736" w:rsidRDefault="00F67A32" w:rsidP="00A802A5">
      <w:pPr>
        <w:spacing w:line="360" w:lineRule="auto"/>
        <w:rPr>
          <w:rFonts w:ascii="Times New Roman" w:hAnsi="Times New Roman" w:cs="Times New Roman"/>
          <w:sz w:val="24"/>
          <w:szCs w:val="24"/>
        </w:rPr>
      </w:pPr>
    </w:p>
    <w:p w14:paraId="2EBA134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1, 2. afsnit, at stammer de udvekslede oplysninger fra en anden medlemsstat, må de kun videregives med udtrykkeligt samtykke fra det tilsynsorgan, som har videregivet dem, og i givet fald udelukkende til det formål, som dette tilsynsorgan har givet sit samtykke til.</w:t>
      </w:r>
    </w:p>
    <w:p w14:paraId="33835E98" w14:textId="77777777" w:rsidR="00F67A32" w:rsidRPr="00796736" w:rsidRDefault="00F67A32" w:rsidP="00A802A5">
      <w:pPr>
        <w:spacing w:line="360" w:lineRule="auto"/>
        <w:rPr>
          <w:rFonts w:ascii="Times New Roman" w:hAnsi="Times New Roman" w:cs="Times New Roman"/>
          <w:sz w:val="24"/>
          <w:szCs w:val="24"/>
        </w:rPr>
      </w:pPr>
    </w:p>
    <w:p w14:paraId="51D0BD17"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svarer til 4. og 5. hvidvaskdirektivs artikel 57 a, stk. 5, idet den dog ikke kun gælder for myndigheder, som fører tilsyn med kredit- og finansinstitutter, ligesom at det nu også følger af artikel 51, stk. 1, at der gælder et krav om, at samarbejdsaftalerne skal overholde gældende databeskyttelsesregler.</w:t>
      </w:r>
    </w:p>
    <w:p w14:paraId="4FF30D52" w14:textId="77777777" w:rsidR="00F67A32" w:rsidRPr="00796736" w:rsidRDefault="00F67A32" w:rsidP="00A802A5">
      <w:pPr>
        <w:spacing w:line="360" w:lineRule="auto"/>
        <w:rPr>
          <w:rFonts w:ascii="Times New Roman" w:hAnsi="Times New Roman" w:cs="Times New Roman"/>
          <w:sz w:val="24"/>
          <w:szCs w:val="24"/>
        </w:rPr>
      </w:pPr>
    </w:p>
    <w:p w14:paraId="3A52E732"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51, stk. 3, at medlemsstaterne sikrer, at tilsynsorganer underretter AMLA om enhver aftale, der undertegnes i henhold til denne artikel, senest én måned efter dens undertegnelse. Bestemmelsen er ny i forhold til 4. og 5. hvidvaskdirektiv. </w:t>
      </w:r>
    </w:p>
    <w:p w14:paraId="60BAFD08" w14:textId="77777777" w:rsidR="00706B50" w:rsidRPr="00796736" w:rsidRDefault="00706B50" w:rsidP="00A802A5">
      <w:pPr>
        <w:spacing w:line="360" w:lineRule="auto"/>
        <w:rPr>
          <w:rFonts w:ascii="Times New Roman" w:hAnsi="Times New Roman" w:cs="Times New Roman"/>
          <w:sz w:val="24"/>
          <w:szCs w:val="24"/>
        </w:rPr>
      </w:pPr>
    </w:p>
    <w:p w14:paraId="197C2BE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præambelbetragtning nr. 99, at udveksling af oplysninger og samarbejde mellem tilsynsorganer er afgørende i forbindelse med de stadig mere integrerede globale finansielle systemer. På den ene side bør EU-tilsynsorganer, herunder AMLA, underrette hinanden om tilfælde, hvor et tredjelands ret ikke tillader gennemførelse af de politikker og procedurer, der kræves i henhold til hvidvaskforordningen. På den anden side bør det være muligt for medlemsstaterne at bemyndige tilsynsorganer til at indgå samarbejdsaftaler vedrørende samarbejde og udveksling af fortrolige oplysninger med deres modparter i tredjelande i overensstemmelse med gældende regler for overførsel af personoplysninger. I betragtning af AMLA's tilsynsrolle bør den yde bistand i det omfang, det er nødvendigt for at vurdere ækvivalensen af de krav om tavshedspligt, der gælder for modparten i tredjelandet.</w:t>
      </w:r>
    </w:p>
    <w:p w14:paraId="4BADF6DE" w14:textId="77777777" w:rsidR="00F67A32" w:rsidRPr="00796736" w:rsidRDefault="00F67A32" w:rsidP="00A802A5">
      <w:pPr>
        <w:spacing w:line="360" w:lineRule="auto"/>
        <w:rPr>
          <w:rFonts w:ascii="Times New Roman" w:hAnsi="Times New Roman" w:cs="Times New Roman"/>
          <w:sz w:val="24"/>
          <w:szCs w:val="24"/>
        </w:rPr>
      </w:pPr>
    </w:p>
    <w:p w14:paraId="6BE47F55" w14:textId="07EE8E93" w:rsidR="00F67A32" w:rsidRPr="00796736" w:rsidRDefault="00F67A32" w:rsidP="00A802A5">
      <w:pPr>
        <w:pStyle w:val="Overskrift4"/>
        <w:rPr>
          <w:rFonts w:ascii="Times New Roman" w:hAnsi="Times New Roman" w:cs="Times New Roman"/>
          <w:sz w:val="24"/>
          <w:szCs w:val="24"/>
        </w:rPr>
      </w:pPr>
      <w:bookmarkStart w:id="1418" w:name="_Toc232109267"/>
      <w:r w:rsidRPr="00796736">
        <w:rPr>
          <w:rFonts w:ascii="Times New Roman" w:hAnsi="Times New Roman" w:cs="Times New Roman"/>
          <w:sz w:val="24"/>
          <w:szCs w:val="24"/>
        </w:rPr>
        <w:t>Justitsministeriets overvejelser og den foreslåede ordning</w:t>
      </w:r>
      <w:bookmarkEnd w:id="1418"/>
    </w:p>
    <w:p w14:paraId="37F5D42B" w14:textId="32A0912C"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det fremgår af</w:t>
      </w:r>
      <w:r w:rsidR="00B16D3D" w:rsidRPr="00796736">
        <w:rPr>
          <w:rFonts w:ascii="Times New Roman" w:hAnsi="Times New Roman" w:cs="Times New Roman"/>
          <w:sz w:val="24"/>
          <w:szCs w:val="24"/>
        </w:rPr>
        <w:t xml:space="preserve"> pkt.</w:t>
      </w:r>
      <w:r w:rsidRPr="00796736">
        <w:rPr>
          <w:rFonts w:ascii="Times New Roman" w:hAnsi="Times New Roman" w:cs="Times New Roman"/>
          <w:sz w:val="24"/>
          <w:szCs w:val="24"/>
        </w:rPr>
        <w:t xml:space="preserve">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_Ref232941159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3.68.2</w:t>
      </w:r>
      <w:r w:rsidR="00B16D3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indeholder hvidvaskdirektivet i artikel 51 – ligesom 4. og 5. hvidvaskdirektivs artikel 57 a, stk. 5 – en bestemmelse om tilsynsmyndighedernes samarbejde med tilsynsmyndighederne i tredjelande.</w:t>
      </w:r>
    </w:p>
    <w:p w14:paraId="6CD94BDC" w14:textId="77777777" w:rsidR="00F67A32" w:rsidRPr="00796736" w:rsidRDefault="00F67A32" w:rsidP="00A802A5">
      <w:pPr>
        <w:spacing w:line="360" w:lineRule="auto"/>
        <w:rPr>
          <w:rFonts w:ascii="Times New Roman" w:hAnsi="Times New Roman" w:cs="Times New Roman"/>
          <w:sz w:val="24"/>
          <w:szCs w:val="24"/>
        </w:rPr>
      </w:pPr>
    </w:p>
    <w:p w14:paraId="674039BF" w14:textId="4A7B205B"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4. og 5. hvidvaskdirektivs artikel 57 a, stk. 5, er som nævnt under pkt.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_Ref232941181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3.68.1</w:t>
      </w:r>
      <w:r w:rsidR="00B16D3D" w:rsidRPr="00796736">
        <w:rPr>
          <w:rFonts w:ascii="Times New Roman" w:hAnsi="Times New Roman" w:cs="Times New Roman"/>
          <w:sz w:val="24"/>
          <w:szCs w:val="24"/>
        </w:rPr>
        <w:fldChar w:fldCharType="end"/>
      </w:r>
      <w:r w:rsidR="00B16D3D"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gennemført i hvidvasklovens § 56, stk. 4 og 6, for så vidt angår Finanstilsynet, og § 63, stk. 4 og 6, for så vidt angår Erhvervsstyrelsen. </w:t>
      </w:r>
    </w:p>
    <w:p w14:paraId="25F433EC" w14:textId="77777777" w:rsidR="00F67A32" w:rsidRPr="00796736" w:rsidRDefault="00F67A32" w:rsidP="00A802A5">
      <w:pPr>
        <w:spacing w:line="360" w:lineRule="auto"/>
        <w:rPr>
          <w:rFonts w:ascii="Times New Roman" w:hAnsi="Times New Roman" w:cs="Times New Roman"/>
          <w:sz w:val="24"/>
          <w:szCs w:val="24"/>
        </w:rPr>
      </w:pPr>
    </w:p>
    <w:p w14:paraId="2478AEEA" w14:textId="22EFDBD3"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51 og 4. og 5. hvidvaskdirektivs artikel 57 a, stk. 5, adskiller sig bl.a. ved, at artikel 51 omfatter alle tilsynsmyndigheder og ikke blot de myndigheder som fører tilsyn med kredit- og finansinstitutter. Det indebærer, at artikel 51 finder anvendelse for selvregulerende organer, herunder Advokatrådet, der som nævnt i bemærkningerne til det foreslåede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_Ref232609412 \r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00B16D3D" w:rsidRPr="00796736">
        <w:rPr>
          <w:rFonts w:ascii="Times New Roman" w:hAnsi="Times New Roman" w:cs="Times New Roman"/>
          <w:sz w:val="24"/>
          <w:szCs w:val="24"/>
        </w:rPr>
        <w:fldChar w:fldCharType="end"/>
      </w:r>
      <w:r w:rsidR="00B16D3D"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er at betragte som et selvregulerende organ i forordningens forstand. Derudover kan det bl.a. nævnes, at bestemmelsen indeholder et krav om, at samarbejdsaftalerne skal overholde gældende databeskyttelsesregler. Endelig findes der i artikel 51, stk. 3, en ny regel om en underretningsforpligtelse som følge af oprettelsen af AMLA. </w:t>
      </w:r>
    </w:p>
    <w:p w14:paraId="44DB1A1A" w14:textId="77777777" w:rsidR="00F67A32" w:rsidRPr="00796736" w:rsidRDefault="00F67A32" w:rsidP="00A802A5">
      <w:pPr>
        <w:spacing w:line="360" w:lineRule="auto"/>
        <w:rPr>
          <w:rFonts w:ascii="Times New Roman" w:hAnsi="Times New Roman" w:cs="Times New Roman"/>
          <w:sz w:val="24"/>
          <w:szCs w:val="24"/>
        </w:rPr>
      </w:pPr>
    </w:p>
    <w:p w14:paraId="24854225"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Justitsministeriets vurdering, at hvidvaskdirektivets artikel 51 nødvendiggør en bestemmelse om Advokatrådets indgåelse af samarbejdsaftaler med tilsynsmyndigheder i tredjelande. </w:t>
      </w:r>
    </w:p>
    <w:p w14:paraId="27475218" w14:textId="77777777" w:rsidR="00F67A32" w:rsidRPr="00796736" w:rsidRDefault="00F67A32" w:rsidP="00A802A5">
      <w:pPr>
        <w:spacing w:line="360" w:lineRule="auto"/>
        <w:rPr>
          <w:rFonts w:ascii="Times New Roman" w:hAnsi="Times New Roman" w:cs="Times New Roman"/>
          <w:sz w:val="24"/>
          <w:szCs w:val="24"/>
        </w:rPr>
      </w:pPr>
    </w:p>
    <w:p w14:paraId="76253596" w14:textId="790B619E" w:rsidR="00F67A32" w:rsidRPr="00796736" w:rsidRDefault="00F67A32"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overensstemmelse hermed at indsætte en ny bestemmelse i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_Ref232941264 \r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100</w:t>
      </w:r>
      <w:r w:rsidR="00B16D3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hvorefter Advokatrådet vil kunne indgå aftaler </w:t>
      </w:r>
      <w:r w:rsidRPr="00796736">
        <w:rPr>
          <w:rFonts w:ascii="Times New Roman" w:eastAsia="Times New Roman" w:hAnsi="Times New Roman" w:cs="Times New Roman"/>
          <w:iCs/>
          <w:sz w:val="24"/>
          <w:szCs w:val="24"/>
          <w:lang w:eastAsia="da-DK"/>
        </w:rPr>
        <w:t xml:space="preserve">vedrørende samarbejde og udveksling af fortrolige oplysninger med deres modparter i tredjelande. Samarbejdsaftaler efter 1. pkt. skal være gensidige og underlagt garanti om tavshedspligt, som svarer til § [artikel 67]. </w:t>
      </w:r>
    </w:p>
    <w:p w14:paraId="0C85B7A7" w14:textId="77777777" w:rsidR="00F67A32" w:rsidRPr="00796736" w:rsidRDefault="00F67A32" w:rsidP="00A802A5">
      <w:pPr>
        <w:spacing w:line="360" w:lineRule="auto"/>
        <w:rPr>
          <w:rFonts w:ascii="Times New Roman" w:eastAsia="Times New Roman" w:hAnsi="Times New Roman" w:cs="Times New Roman"/>
          <w:iCs/>
          <w:sz w:val="24"/>
          <w:szCs w:val="24"/>
          <w:lang w:eastAsia="da-DK"/>
        </w:rPr>
      </w:pPr>
    </w:p>
    <w:p w14:paraId="63A06FCD" w14:textId="77777777" w:rsidR="0092113C" w:rsidRPr="00796736" w:rsidRDefault="0092113C"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Ved modparter i lande uden for EU og EØS samt Schweiz skal forstås relevante myndigheder eller selvregulerende organer i lande uden for EU og EØS samt Schweiz, som fører tilsyn med advokathvervet på hvidvaskområdet. Advokatrådet vil i medfør af gældende ret skulle sikre, at overførsel af personoplysninger sker i overensstemmelse med databeskyttelsesforordningen og databeskyttelseslovens regler om tredjelandsoverførsler og at de indgåede samarbejdsaftaler lever op til databeskyttelsesforordningens og databeskyttelseslovens krav.</w:t>
      </w:r>
    </w:p>
    <w:p w14:paraId="275DDF69" w14:textId="77777777" w:rsidR="00F67A32" w:rsidRPr="00796736" w:rsidRDefault="00F67A32" w:rsidP="00A802A5">
      <w:pPr>
        <w:spacing w:line="360" w:lineRule="auto"/>
        <w:rPr>
          <w:rFonts w:ascii="Times New Roman" w:eastAsia="Times New Roman" w:hAnsi="Times New Roman" w:cs="Times New Roman"/>
          <w:iCs/>
          <w:sz w:val="24"/>
          <w:szCs w:val="24"/>
          <w:lang w:eastAsia="da-DK"/>
        </w:rPr>
      </w:pPr>
    </w:p>
    <w:p w14:paraId="57507505" w14:textId="77777777" w:rsidR="00F67A32" w:rsidRPr="00796736" w:rsidRDefault="00F67A3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endvidere, at udveksling af fortrolige oplysninger i henhold til samarbejdsaftaler efter den foreslåede ordning kun må ske med henblik på henholdsvis Advokatrådets og dets modparts udførelse af tilsynsopgaver, det vil sige Advokatrådets tilsynsopgaver i medfør af de foreslåede tilsynsbestemmelser i Danmark og den relevante modparts tilsynsopgaver i det pågældende tredjeland. Oplysninger, som Advokatrådet har modtaget fra en tilsynsmyndighed i en anden medlemsstat eller EØS-land, må kun videregives med denne myndigheds udtrykkelige samtykke og kun til formål omfattet af dette samtykke. </w:t>
      </w:r>
    </w:p>
    <w:p w14:paraId="44A616CC" w14:textId="77777777" w:rsidR="00F67A32" w:rsidRPr="00796736" w:rsidRDefault="00F67A32" w:rsidP="00A802A5">
      <w:pPr>
        <w:spacing w:line="360" w:lineRule="auto"/>
        <w:rPr>
          <w:rFonts w:ascii="Times New Roman" w:eastAsia="Times New Roman" w:hAnsi="Times New Roman" w:cs="Times New Roman"/>
          <w:iCs/>
          <w:sz w:val="24"/>
          <w:szCs w:val="24"/>
          <w:lang w:eastAsia="da-DK"/>
        </w:rPr>
      </w:pPr>
    </w:p>
    <w:p w14:paraId="32C56754" w14:textId="77777777" w:rsidR="00F67A32" w:rsidRPr="00796736" w:rsidRDefault="00F67A3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Endelig foreslås det, at Advokatrådet senest 1 måned efter undertegnelsen underretter AMLA om enhver samarbejdsaftale efter stk. 1. </w:t>
      </w:r>
    </w:p>
    <w:p w14:paraId="5A19C579" w14:textId="77777777" w:rsidR="00F67A32" w:rsidRPr="00796736" w:rsidRDefault="00F67A32" w:rsidP="00A802A5">
      <w:pPr>
        <w:spacing w:line="360" w:lineRule="auto"/>
        <w:rPr>
          <w:rFonts w:ascii="Times New Roman" w:eastAsia="Times New Roman" w:hAnsi="Times New Roman" w:cs="Times New Roman"/>
          <w:iCs/>
          <w:sz w:val="24"/>
          <w:szCs w:val="24"/>
          <w:lang w:eastAsia="da-DK"/>
        </w:rPr>
      </w:pPr>
    </w:p>
    <w:p w14:paraId="29B9A97F" w14:textId="39E199FC"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_Ref232941264 \r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100</w:t>
      </w:r>
      <w:r w:rsidR="00B16D3D" w:rsidRPr="00796736">
        <w:rPr>
          <w:rFonts w:ascii="Times New Roman" w:hAnsi="Times New Roman" w:cs="Times New Roman"/>
          <w:sz w:val="24"/>
          <w:szCs w:val="24"/>
        </w:rPr>
        <w:fldChar w:fldCharType="end"/>
      </w:r>
      <w:r w:rsidR="00B16D3D"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52A82E40" w14:textId="77777777" w:rsidR="00F67A32" w:rsidRPr="00796736" w:rsidRDefault="00F67A32" w:rsidP="00A802A5">
      <w:pPr>
        <w:spacing w:line="360" w:lineRule="auto"/>
        <w:rPr>
          <w:rFonts w:ascii="Times New Roman" w:hAnsi="Times New Roman" w:cs="Times New Roman"/>
          <w:sz w:val="24"/>
          <w:szCs w:val="24"/>
        </w:rPr>
      </w:pPr>
    </w:p>
    <w:p w14:paraId="2ABE483F" w14:textId="77777777" w:rsidR="0092113C" w:rsidRPr="00796736" w:rsidRDefault="0092113C" w:rsidP="00A802A5">
      <w:pPr>
        <w:pStyle w:val="Overskrift2"/>
        <w:rPr>
          <w:rFonts w:ascii="Times New Roman" w:hAnsi="Times New Roman"/>
          <w:sz w:val="24"/>
        </w:rPr>
      </w:pPr>
      <w:bookmarkStart w:id="1419" w:name="_Toc232109268"/>
      <w:bookmarkStart w:id="1420" w:name="_Ref242904665"/>
      <w:bookmarkStart w:id="1421" w:name="_Toc232109269"/>
      <w:bookmarkStart w:id="1422" w:name="_Ref232968328"/>
      <w:bookmarkStart w:id="1423" w:name="_Ref232968617"/>
      <w:bookmarkStart w:id="1424" w:name="_Toc244880786"/>
      <w:r w:rsidRPr="00796736">
        <w:rPr>
          <w:rFonts w:ascii="Times New Roman" w:hAnsi="Times New Roman"/>
          <w:sz w:val="24"/>
        </w:rPr>
        <w:t>Advokatrådets og Advokatnævnets administrative foranstaltninger</w:t>
      </w:r>
      <w:bookmarkEnd w:id="1419"/>
      <w:r w:rsidRPr="00796736">
        <w:rPr>
          <w:rFonts w:ascii="Times New Roman" w:hAnsi="Times New Roman"/>
          <w:sz w:val="24"/>
        </w:rPr>
        <w:t xml:space="preserve"> og offentliggørelsen heraf</w:t>
      </w:r>
      <w:bookmarkEnd w:id="1420"/>
      <w:bookmarkEnd w:id="1424"/>
    </w:p>
    <w:p w14:paraId="281C593F" w14:textId="2CE0B625" w:rsidR="00F67A32" w:rsidRPr="00796736" w:rsidRDefault="00F67A32"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bookmarkEnd w:id="1421"/>
      <w:bookmarkEnd w:id="1422"/>
      <w:bookmarkEnd w:id="1423"/>
    </w:p>
    <w:p w14:paraId="62988B91" w14:textId="0E8A5CB0" w:rsidR="00F67A32" w:rsidRPr="00796736" w:rsidRDefault="00F67A32" w:rsidP="00267A20">
      <w:pPr>
        <w:pStyle w:val="Overskrift5"/>
      </w:pPr>
      <w:r w:rsidRPr="00796736">
        <w:t>Retsplejeloven</w:t>
      </w:r>
    </w:p>
    <w:p w14:paraId="112F3709"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Retsplejelovens kapitel 15 b regulerer disciplinærsager vedrørende advokater, fællesskaber af advokater, advokatselskaber eller personer, som er nævnt i retsplejelovens § 124 c, stk. 1, nr. 2, og som ejer aktier eller anparter i et advokatselskab. </w:t>
      </w:r>
    </w:p>
    <w:p w14:paraId="5B5F0353" w14:textId="77777777" w:rsidR="00F67A32" w:rsidRPr="00796736" w:rsidRDefault="00F67A32" w:rsidP="00A802A5">
      <w:pPr>
        <w:spacing w:line="360" w:lineRule="auto"/>
        <w:rPr>
          <w:rFonts w:ascii="Times New Roman" w:hAnsi="Times New Roman" w:cs="Times New Roman"/>
          <w:sz w:val="24"/>
          <w:szCs w:val="24"/>
        </w:rPr>
      </w:pPr>
    </w:p>
    <w:p w14:paraId="670F63B0"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147 b, stk. 1, kan klager over, at en advokat, et fællesskab af advokater, et advokatselskab eller en af de personer, der er nævnt i § 124 c, stk. 1, nr. 2, og som ejer aktier eller anparter i et advokatselskab, har tilsidesat pligter, der følger af retsplejeloven eller af forskrifter fastsat i medfør heraf, indbringes for Advokatnævnet.</w:t>
      </w:r>
    </w:p>
    <w:p w14:paraId="54703D4A" w14:textId="77777777" w:rsidR="00F67A32" w:rsidRPr="00796736" w:rsidRDefault="00F67A32" w:rsidP="00A802A5">
      <w:pPr>
        <w:spacing w:line="360" w:lineRule="auto"/>
        <w:rPr>
          <w:rFonts w:ascii="Times New Roman" w:hAnsi="Times New Roman" w:cs="Times New Roman"/>
          <w:sz w:val="24"/>
          <w:szCs w:val="24"/>
        </w:rPr>
      </w:pPr>
    </w:p>
    <w:p w14:paraId="70EC1E5D" w14:textId="633B3FAE"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i den forbindelse, at Advokatnævnet er kompetent til at træffe afgørelse i sager, som Advokatrådet som følge af sin tilsynsforpligtelse har rejst om en advokats overtrædelse af pligter i henhold til hvidvaskloven, som anses for en tilsidesættelse af god advokatskik efter retsplejelovens § 126, jf. Østre Landsrets dom af 15. maj 2020, BS-34921/2019. En eventuel overtrædelse af Advokatrådets påbud efter hvidvasklovens § 64, stk. 2, er således undergivet sædvanlige disciplinære sanktioner, der pålægges af Advokatnævnet.</w:t>
      </w:r>
      <w:r w:rsidR="002128F7">
        <w:rPr>
          <w:rFonts w:ascii="Times New Roman" w:hAnsi="Times New Roman" w:cs="Times New Roman"/>
          <w:sz w:val="24"/>
          <w:szCs w:val="24"/>
        </w:rPr>
        <w:t xml:space="preserve"> Det følger af Advokatnævnets praksis, at en faglig fejl ikke i sig selv indebærer, at god advokatskik er tilsidesat. Det kræver i hvert fald som udgangspunkt, at der er tale om en klar faglig fejl.</w:t>
      </w:r>
    </w:p>
    <w:p w14:paraId="2D55D7DD"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Det følger af retsplejelovens § 147 c, stk. 1, at hvis Advokatnævnet finder, at en advokat, et fællesskab af advokater, et advokatselskab eller en af de personer, der er nævnt i § 124 c, stk. 1, nr. 2, og som ejer aktier eller anparter i et advokatselskab, har tilsidesat pligter, der følger af retsplejeloven eller forskrifter fastsat i medfør af loven, kan nævnet tildele advokaten, fællesskabet af advokater, advokatselskabet eller personen, der i medfør af § 124 c, stk. 1, nr. 2, ejer aktier eller anparter i et advokatselskab, en irettesættelse eller pålægge vedkommende, fællesskabet eller selskabet en bøde på indtil 300.000 kr. Er tilsidesættelsen af pligterne af særlig grov karakter, kan Advokatnævnet forhøje bøden op til 600.000 kr.</w:t>
      </w:r>
    </w:p>
    <w:p w14:paraId="5146F959" w14:textId="77777777" w:rsidR="00F67A32" w:rsidRPr="00796736" w:rsidRDefault="00F67A32" w:rsidP="00A802A5">
      <w:pPr>
        <w:spacing w:line="360" w:lineRule="auto"/>
        <w:rPr>
          <w:rFonts w:ascii="Times New Roman" w:hAnsi="Times New Roman" w:cs="Times New Roman"/>
          <w:sz w:val="24"/>
          <w:szCs w:val="24"/>
        </w:rPr>
      </w:pPr>
    </w:p>
    <w:p w14:paraId="2AD8B0C9"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147 c, stk. 2, 1. pkt., at Advokatnævnet under anvendelse af tvangsbøder kan pålægge en advokat, et fællesskab af advokater, et advokatselskab eller en af de personer, der er nævnt i § 124 c, stk. 1, nr. 2, og som ejer aktier eller anparter i et advokatselskab, at opfylde en forpligtelse som nævnt i stk. 1. Nævnet kan endvidere, hvis det skønnes fornødent, fratage advokaten eller personen, der i medfør af § 124 c, stk. 1, nr. 2, ejer aktier eller anparter i et advokatselskab, en sag og lade en anden af klienten godkendt advokat eller person, der i medfør af § 124 c, stk. 1, nr. 2, ejer aktier eller anparter i et advokatselskab, færdiggøre den.</w:t>
      </w:r>
    </w:p>
    <w:p w14:paraId="5602E69C" w14:textId="77777777" w:rsidR="00F67A32" w:rsidRPr="00796736" w:rsidRDefault="00F67A32" w:rsidP="00A802A5">
      <w:pPr>
        <w:spacing w:line="360" w:lineRule="auto"/>
        <w:rPr>
          <w:rFonts w:ascii="Times New Roman" w:hAnsi="Times New Roman" w:cs="Times New Roman"/>
          <w:sz w:val="24"/>
          <w:szCs w:val="24"/>
        </w:rPr>
      </w:pPr>
    </w:p>
    <w:p w14:paraId="1FEB64E4" w14:textId="2CB8F51E" w:rsidR="00F67A32"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Advokatnævnets praksis, at retsplejelovens § 147 c, stk. 2, ofte anvendes som hjemmel til at pålægge advokater, et advokatselskab eller en af de personer, der er nævnt i § 124 c, stk. 1, nr. 2, at opfylde deres forpligtelser. Eksempelvis ses pålæg givet ved manglende deltagelse i, eller indberetning af, den obligatoriske efteruddannelse, manglende indsendelse af klientkontoerklæringen eller manglende indsendelse af tilstrækkelig risikovurdering, politik og procedure i henhold til hvidvasklovens §§ 7 og 8 til Advokatrådet.</w:t>
      </w:r>
      <w:r w:rsidR="002128F7">
        <w:rPr>
          <w:rFonts w:ascii="Times New Roman" w:hAnsi="Times New Roman" w:cs="Times New Roman"/>
          <w:sz w:val="24"/>
          <w:szCs w:val="24"/>
        </w:rPr>
        <w:t xml:space="preserve"> Det følger endvidere af nævnets praksis, at det må bero på en konkret vurdering, om brud på reglerne om kundekendskabsprocedurer i hvidvaskloven skal anses for en grov tilsidesættelse af god advokatskik, hvori det bl.a. indgår i vurderingen, om der alene er visse mangler ved en gennemført kundekendskabsprocedure eller om der i stedet er tale om, at der i en række sager slet ikke er gennemført en kundekendskabsprocedure eller er gennemført en så utilstrækkelig kundekendskabsprocedure, at det må sidestilles med manglende kundekendskabsprocedure, jf. herved Advokatnævnets kendelse af 26. juni 2026 i sagsnr. 2025-3621.</w:t>
      </w:r>
    </w:p>
    <w:p w14:paraId="28640762" w14:textId="77777777" w:rsidR="002128F7" w:rsidRPr="00796736" w:rsidRDefault="002128F7" w:rsidP="00A802A5">
      <w:pPr>
        <w:spacing w:line="360" w:lineRule="auto"/>
        <w:rPr>
          <w:rFonts w:ascii="Times New Roman" w:hAnsi="Times New Roman" w:cs="Times New Roman"/>
          <w:sz w:val="24"/>
          <w:szCs w:val="24"/>
        </w:rPr>
      </w:pPr>
    </w:p>
    <w:p w14:paraId="248A41D1"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indeholder retsplejelovens § 147 c, stk. 3-11, regler om Advokatnævnets muligheder for at frakende advokater retten til at udføre sager eller forretninger af nærmere angiven karakter eller retten til at udøve advokatvirksomhed og at frakende de personer, som er nævnt i § 124 c, stk. 1, nr. 2, og som ejer aktier eller anparter i et advokatselskab, retten til at eje aktier eller anparter i et advokatselskab. Frakendelsen kan være betinget eller ubetinget og ske i et tidsrum fra 6 måneder til 5 år eller indtil videre. Frakendelsen er betinget af, at advokaten eller personerne har gjort sig skyldige i grov eller oftere gentagen overtrædelse af deres pligter som advokater eller de regler, som regulerer advokathvervet. </w:t>
      </w:r>
    </w:p>
    <w:p w14:paraId="670BB13C" w14:textId="77777777" w:rsidR="00F67A32" w:rsidRPr="00796736" w:rsidRDefault="00F67A32" w:rsidP="00A802A5">
      <w:pPr>
        <w:spacing w:line="360" w:lineRule="auto"/>
        <w:rPr>
          <w:rFonts w:ascii="Times New Roman" w:hAnsi="Times New Roman" w:cs="Times New Roman"/>
          <w:sz w:val="24"/>
          <w:szCs w:val="24"/>
        </w:rPr>
      </w:pPr>
    </w:p>
    <w:p w14:paraId="469B417C" w14:textId="0475BD04" w:rsidR="00F67A32" w:rsidRPr="00796736" w:rsidRDefault="00F67A32" w:rsidP="00267A20">
      <w:pPr>
        <w:pStyle w:val="Overskrift5"/>
      </w:pPr>
      <w:bookmarkStart w:id="1425" w:name="_Ref242893862"/>
      <w:r w:rsidRPr="00796736">
        <w:t>Hvidvaskloven</w:t>
      </w:r>
      <w:bookmarkEnd w:id="1425"/>
    </w:p>
    <w:p w14:paraId="4D2C0119"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hvidvasklovens § 64, stk. 1, 1. pkt., at Advokatrådet påser, at advokater omfattet af § 1, stk. 1, nr. 13, og advokater, der er etableret i en anden EU-medlemsstat, i et EØS-land eller i Schweiz, og som udøver advokatvirksomhed her i landet, overholder loven og de regler, der er udstedt i medfør heraf, samt love og forordninger indeholdende regler om finansielle sanktioner mod lande, personer, grupper, juridiske enheder eller organer. </w:t>
      </w:r>
    </w:p>
    <w:p w14:paraId="2C32E7C3" w14:textId="77777777" w:rsidR="00F67A32" w:rsidRPr="00796736" w:rsidRDefault="00F67A32" w:rsidP="00A802A5">
      <w:pPr>
        <w:spacing w:line="360" w:lineRule="auto"/>
        <w:rPr>
          <w:rFonts w:ascii="Times New Roman" w:hAnsi="Times New Roman" w:cs="Times New Roman"/>
          <w:sz w:val="24"/>
          <w:szCs w:val="24"/>
        </w:rPr>
      </w:pPr>
    </w:p>
    <w:p w14:paraId="37F1E8DA"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64, stk. 2, regulerer Advokatrådets muligheder for at udstede påbud som led i deres tilsyn med advokaters overholdelse af hvidvaskreglerne. Efter bestemmelsen kan Advokatrådet inden for en af rådet fastsat frist påbyde advokater som nævnt i bestemmelsens stk. 1 at foretage de nødvendige foranstaltninger i tilfælde af overtrædelse af bestemmelser i hvidvaskloven, regler fastsat i medfør heraf eller Europa-Parlamentets og Rådets forordninger indeholdende regler om finansielle sanktioner mod lande, personer, grupper, juridiske enheder eller organer. Bestemmelsen implementerer 4. og 5. hvidvaskdirektivs artikel 48, stk. 1, og artikel 59 for Advokatrådets vedkommende. </w:t>
      </w:r>
    </w:p>
    <w:p w14:paraId="567EB1D6" w14:textId="77777777" w:rsidR="00F67A32" w:rsidRPr="00796736" w:rsidRDefault="00F67A32" w:rsidP="00A802A5">
      <w:pPr>
        <w:spacing w:line="360" w:lineRule="auto"/>
        <w:rPr>
          <w:rFonts w:ascii="Times New Roman" w:hAnsi="Times New Roman" w:cs="Times New Roman"/>
          <w:sz w:val="24"/>
          <w:szCs w:val="24"/>
        </w:rPr>
      </w:pPr>
    </w:p>
    <w:p w14:paraId="557932E3"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at Advokatrådet efter bestemmelsen får adgang til at udstede påbud til en advokat som inden for en af rådet fastsat frist, at foretage de nødvendige foranstaltninger i tilfælde af overtrædelse af bestemmelser i hvidvaskloven, de regler, der er fastsat i medfør heraf, eller Europa-Parlamentets og Rådets forordninger indeholdende regler om finansielle sanktioner mod lande, personer, grupper, juridiske enheder eller organer. Overtrædelse af påbud vil være undergivet sædvanlige disciplinære sanktioner, der fastsættes af Advokatnævnet. </w:t>
      </w:r>
    </w:p>
    <w:p w14:paraId="25A207A2" w14:textId="77777777" w:rsidR="00F67A32" w:rsidRPr="00796736" w:rsidRDefault="00F67A32" w:rsidP="00A802A5">
      <w:pPr>
        <w:spacing w:line="360" w:lineRule="auto"/>
        <w:rPr>
          <w:rFonts w:ascii="Times New Roman" w:hAnsi="Times New Roman" w:cs="Times New Roman"/>
          <w:sz w:val="24"/>
          <w:szCs w:val="24"/>
        </w:rPr>
      </w:pPr>
    </w:p>
    <w:p w14:paraId="540B8B2C"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kan ikke udstedes påbud for enhver overtrædelse af hvidvasklovgivningen. Som udgangspunkt skal påbudsmuligheden anvendes i forbindelse med virksomheder og personers overtrædelse af kravene, når overtrædelserne er alvorlige, gentagne, systematiske eller en kombination heraf. Derudover skal der som udgangspunkt alene anvendes påbud i forbindelse med overtrædelser af kapitel 2 om risikovurdering og risikostyring, kapitel 3 om kundekendskabsprocedurer og kapitel 5 om undersøgelses-, noterings-, underretnings- og opbevaringspligt. Påbud kan dog i begrænset omfang anvendes i andre situationer, hvis der er tale om særligt grove, gentagne eller systematiske overtrædelser af hvidvaskloven mv. </w:t>
      </w:r>
    </w:p>
    <w:p w14:paraId="59E6EF19" w14:textId="77777777" w:rsidR="00F67A32" w:rsidRPr="00796736" w:rsidRDefault="00F67A32" w:rsidP="00A802A5">
      <w:pPr>
        <w:spacing w:line="360" w:lineRule="auto"/>
        <w:rPr>
          <w:rFonts w:ascii="Times New Roman" w:hAnsi="Times New Roman" w:cs="Times New Roman"/>
          <w:sz w:val="24"/>
          <w:szCs w:val="24"/>
        </w:rPr>
      </w:pPr>
    </w:p>
    <w:p w14:paraId="0B6F834D"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174.</w:t>
      </w:r>
    </w:p>
    <w:p w14:paraId="32AA9968" w14:textId="77777777" w:rsidR="0092113C" w:rsidRPr="00796736" w:rsidRDefault="0092113C" w:rsidP="00A802A5">
      <w:pPr>
        <w:spacing w:line="360" w:lineRule="auto"/>
        <w:rPr>
          <w:rFonts w:ascii="Times New Roman" w:hAnsi="Times New Roman" w:cs="Times New Roman"/>
          <w:sz w:val="24"/>
          <w:szCs w:val="24"/>
        </w:rPr>
      </w:pPr>
    </w:p>
    <w:p w14:paraId="3E82488F"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anvender som led i sit tilsyn på hvidvaskområdet i dag påbud ved grove, gentagne eller systematiske overtrædelser af hvidvaskloven. Der er således tale om konkrete mangler af en vis karakter og et vist omfang, som skal bringes til ophør. </w:t>
      </w:r>
    </w:p>
    <w:p w14:paraId="2726726A" w14:textId="77777777" w:rsidR="0092113C" w:rsidRPr="00796736" w:rsidRDefault="0092113C" w:rsidP="00A802A5">
      <w:pPr>
        <w:spacing w:line="360" w:lineRule="auto"/>
        <w:rPr>
          <w:rFonts w:ascii="Times New Roman" w:hAnsi="Times New Roman" w:cs="Times New Roman"/>
          <w:sz w:val="24"/>
          <w:szCs w:val="24"/>
        </w:rPr>
      </w:pPr>
    </w:p>
    <w:p w14:paraId="09000588"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forhold til advokatvirksomheder anvendes påbud i forhold til at afhjælpe utilstrækkelige dokumenter og procedure i henhold til hvidvasklovens §§ 7 og 8 – det vil sige at et påbud overfor advokatvirksomheden eksempelvis kan angå udarbejdelse eller revision af virksomhedens risikovurdering, politikker, forretningsgange og kontroller samt gennemførsel af intern undervisning, screening af medarbejdere og etablering af en whistleblowerordning efter hvidvasklovens regler. Påbuddet ledsages af en frist til at efterkomme indholdet af påbuddet, samt indsende dokumentation herfor. </w:t>
      </w:r>
    </w:p>
    <w:p w14:paraId="60E0EEA6" w14:textId="77777777" w:rsidR="0092113C" w:rsidRPr="00796736" w:rsidRDefault="0092113C" w:rsidP="00A802A5">
      <w:pPr>
        <w:spacing w:line="360" w:lineRule="auto"/>
        <w:rPr>
          <w:rFonts w:ascii="Times New Roman" w:hAnsi="Times New Roman" w:cs="Times New Roman"/>
          <w:sz w:val="24"/>
          <w:szCs w:val="24"/>
        </w:rPr>
      </w:pPr>
    </w:p>
    <w:p w14:paraId="0F475486" w14:textId="77E67584"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forhold til den enkelte advokat angår påbuddet hvidvasklovens kapitel 3 om gennemførelse af kundekendskabsprocedurer og opfyldelse af undersøgelses-, noterings-, underretnings- og opbevaringspligter. Påbuddet overfor advokaten gives om at rette op på de konstaterede mangler frem mod et såkaldt genbesøg, hvor advokatrådets tilsyn på ny vil gennemgå konkrete sager omfattet af hvidvaskloven med henblik på at vurdere, hvorvidt advokaten har efterkommet påbuddet og efterlever hvidvasklovens forpligtelser. </w:t>
      </w:r>
    </w:p>
    <w:p w14:paraId="500CE60E" w14:textId="77777777" w:rsidR="00F67A32" w:rsidRPr="00796736" w:rsidRDefault="00F67A32" w:rsidP="00A802A5">
      <w:pPr>
        <w:spacing w:line="360" w:lineRule="auto"/>
        <w:rPr>
          <w:rFonts w:ascii="Times New Roman" w:hAnsi="Times New Roman" w:cs="Times New Roman"/>
          <w:sz w:val="24"/>
          <w:szCs w:val="24"/>
        </w:rPr>
      </w:pPr>
    </w:p>
    <w:p w14:paraId="19E2930F"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64 a indeholder regler om offentliggørelsen af tilsynsreaktioner mv., som er meddelt af Advokatrådet. Bestemmelsen implementerer 4. og 5. hvidvaskdirektivs artikel 60 for advokater og advokatselskabers vedkommende. </w:t>
      </w:r>
    </w:p>
    <w:p w14:paraId="2430767A" w14:textId="77777777" w:rsidR="00F67A32" w:rsidRPr="00796736" w:rsidRDefault="00F67A32" w:rsidP="00A802A5">
      <w:pPr>
        <w:spacing w:line="360" w:lineRule="auto"/>
        <w:rPr>
          <w:rFonts w:ascii="Times New Roman" w:hAnsi="Times New Roman" w:cs="Times New Roman"/>
          <w:sz w:val="24"/>
          <w:szCs w:val="24"/>
        </w:rPr>
      </w:pPr>
    </w:p>
    <w:p w14:paraId="723DD97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64 a, stk. 1, at Advokatrådets reaktioner i forbindelse med tilsyn efter § 64, herunder beslutninger om at overdrage en sag til politimæssig efterforskning, skal offentliggøres af Advokatrådet på Advokatsamfundets hjemmeside, jf. dog stk. 5. Offentliggørelsen skal omfatte den juridiske eller fysiske persons navn, jf. dog stk. 3.</w:t>
      </w:r>
    </w:p>
    <w:p w14:paraId="49CDB94C" w14:textId="77777777" w:rsidR="00F67A32" w:rsidRPr="00796736" w:rsidRDefault="00F67A32" w:rsidP="00A802A5">
      <w:pPr>
        <w:spacing w:line="360" w:lineRule="auto"/>
        <w:rPr>
          <w:rFonts w:ascii="Times New Roman" w:hAnsi="Times New Roman" w:cs="Times New Roman"/>
          <w:sz w:val="24"/>
          <w:szCs w:val="24"/>
        </w:rPr>
      </w:pPr>
    </w:p>
    <w:p w14:paraId="744A82A1"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bestemmelsen, jf. Folketingstidende 2020-21, tillæg A, L 12 som fremsat, side 64, fremgår det bl.a., at begrebet reaktioner omfatter alle de reaktioner, som Advokatrådet vedtager, og som retter sig mod en part, herunder afgørelser, påbud, påtaler og beslutninger om at overgive sager til politimæssig efterforskning. Offentliggørelsesmeddelelsen skal som minimum identificere den fysiske eller juridiske person og overtrædelsens art. </w:t>
      </w:r>
    </w:p>
    <w:p w14:paraId="69825B83" w14:textId="77777777" w:rsidR="00F67A32" w:rsidRPr="00796736" w:rsidRDefault="00F67A32" w:rsidP="00A802A5">
      <w:pPr>
        <w:spacing w:line="360" w:lineRule="auto"/>
        <w:rPr>
          <w:rFonts w:ascii="Times New Roman" w:hAnsi="Times New Roman" w:cs="Times New Roman"/>
          <w:sz w:val="24"/>
          <w:szCs w:val="24"/>
        </w:rPr>
      </w:pPr>
    </w:p>
    <w:p w14:paraId="48FDA8B3"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bemærkningerne til stk. 5 kan Advokatrådet undlade at offentliggøre reaktioner givet i forbindelse med tilsyn efter § 64, herunder beslutninger om at overdrage en sag til politimæssig efterforskning, hvis offentliggørelse vil medføre uforholdsmæssig stor skade for virksomheden eller efterforskningsmæssige hensyn taler imod offentliggørelse. </w:t>
      </w:r>
    </w:p>
    <w:p w14:paraId="463DBB63" w14:textId="77777777" w:rsidR="00F67A32" w:rsidRPr="00796736" w:rsidRDefault="00F67A32" w:rsidP="00A802A5">
      <w:pPr>
        <w:spacing w:line="360" w:lineRule="auto"/>
        <w:rPr>
          <w:rFonts w:ascii="Times New Roman" w:hAnsi="Times New Roman" w:cs="Times New Roman"/>
          <w:sz w:val="24"/>
          <w:szCs w:val="24"/>
        </w:rPr>
      </w:pPr>
    </w:p>
    <w:p w14:paraId="494A8F12"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i bemærkningerne, at offentliggørelsen som udgangspunkt skal ske umiddelbart efter, at der er truffet afgørelse eller beslutning om at meddele tilsynsreaktionen. Advokatrådet skal forinden offentliggørelsen orientere den pågældende fysiske eller juridiske person, hvis navn vil fremgå af offentliggørelsen, om den forestående offentliggørelse, således at den pågældende har mulighed for at kunne forberede sig på offentliggørelsen.</w:t>
      </w:r>
    </w:p>
    <w:p w14:paraId="4C5F71AA" w14:textId="77777777" w:rsidR="00F67A32" w:rsidRPr="00796736" w:rsidRDefault="00F67A32" w:rsidP="00A802A5">
      <w:pPr>
        <w:spacing w:line="360" w:lineRule="auto"/>
        <w:rPr>
          <w:rFonts w:ascii="Times New Roman" w:hAnsi="Times New Roman" w:cs="Times New Roman"/>
          <w:sz w:val="24"/>
          <w:szCs w:val="24"/>
        </w:rPr>
      </w:pPr>
    </w:p>
    <w:p w14:paraId="04987595"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at Advokatrådet alene skal offentliggøre et resumé af beslutningen om at overgive en sag til politimæssig efterforskning, hvilket betyder, at beslutningen ikke skal offentliggøres i sin helhed.</w:t>
      </w:r>
    </w:p>
    <w:p w14:paraId="67E37B0A" w14:textId="77777777" w:rsidR="00F67A32" w:rsidRPr="00796736" w:rsidRDefault="00F67A32" w:rsidP="00A802A5">
      <w:pPr>
        <w:spacing w:line="360" w:lineRule="auto"/>
        <w:rPr>
          <w:rFonts w:ascii="Times New Roman" w:hAnsi="Times New Roman" w:cs="Times New Roman"/>
          <w:sz w:val="24"/>
          <w:szCs w:val="24"/>
        </w:rPr>
      </w:pPr>
    </w:p>
    <w:p w14:paraId="1CF42B64"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Oversendelse af sager til politimæssig efterforskning er en processuel beslutning, som ikke kan påklages. Det forudsættes, at offentliggørelse af en beslutning om at oversende en sag til politimæssig efterforskning alene sker efter høring af den relevante politimyndighed. Det kan aftales med anklagemyndigheden, at visse sagskategorier kan offentliggøres uden forudgående høring.</w:t>
      </w:r>
    </w:p>
    <w:p w14:paraId="5E315F5D" w14:textId="77777777" w:rsidR="00F67A32" w:rsidRPr="00796736" w:rsidRDefault="00F67A32" w:rsidP="00A802A5">
      <w:pPr>
        <w:spacing w:line="360" w:lineRule="auto"/>
        <w:rPr>
          <w:rFonts w:ascii="Times New Roman" w:hAnsi="Times New Roman" w:cs="Times New Roman"/>
          <w:sz w:val="24"/>
          <w:szCs w:val="24"/>
        </w:rPr>
      </w:pPr>
    </w:p>
    <w:p w14:paraId="272449E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bestemmelsens 2. pkt. fremgår det, at oplysninger om, at fysiske personer har overtrådt lovgivningen, udgør personoplysninger, der er omfattet af databeskyttelsesforordningen og databeskyttelsesloven. Oplysningerne er omfattet af databeskyttelsesforordningens artikel 6. Oplysningerne er desuden omfattet af artikel 10, da der er tale om personoplysninger vedrørende lovovertrædelser. </w:t>
      </w:r>
    </w:p>
    <w:p w14:paraId="3634EC74" w14:textId="77777777" w:rsidR="00F67A32" w:rsidRPr="00796736" w:rsidRDefault="00F67A32" w:rsidP="00A802A5">
      <w:pPr>
        <w:spacing w:line="360" w:lineRule="auto"/>
        <w:rPr>
          <w:rFonts w:ascii="Times New Roman" w:hAnsi="Times New Roman" w:cs="Times New Roman"/>
          <w:sz w:val="24"/>
          <w:szCs w:val="24"/>
        </w:rPr>
      </w:pPr>
    </w:p>
    <w:p w14:paraId="275FF270"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at den behandling af personoplysninger, der forudsætningsvist sker ved offentliggørelsen, vurderes at have hjemmel i databeskyttelsesforordningens artikel 6, stk. 1, litra e, om bl.a. udførelse af en opgave i samfundets interesse, som den dataansvarlige har fået pålagt. Der lægges herved navnlig vægt på, at den omtalte behandling af personoplysninger er en forudsætning for gennemførelse af artikel 60 i 4. hvidvaskdirektiv. </w:t>
      </w:r>
    </w:p>
    <w:p w14:paraId="26E4736D" w14:textId="77777777" w:rsidR="00F67A32" w:rsidRPr="00796736" w:rsidRDefault="00F67A32" w:rsidP="00A802A5">
      <w:pPr>
        <w:spacing w:line="360" w:lineRule="auto"/>
        <w:rPr>
          <w:rFonts w:ascii="Times New Roman" w:hAnsi="Times New Roman" w:cs="Times New Roman"/>
          <w:sz w:val="24"/>
          <w:szCs w:val="24"/>
        </w:rPr>
      </w:pPr>
    </w:p>
    <w:p w14:paraId="252CF40A"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databeskyttelsesforordningens artikel 10, at behandling af personoplysninger vedrørende bl.a. lovovertrædelser på grundlag af artikel 6, stk. 1, kun må foretages under kontrol af en offentlig myndighed, eller hvis behandling har hjemmel i EU-retten eller medlemsstaternes nationale ret, som giver passende garantier for den registreredes rettigheder og frihedsrettigheder. </w:t>
      </w:r>
    </w:p>
    <w:p w14:paraId="489AFC7F" w14:textId="77777777" w:rsidR="00F67A32" w:rsidRPr="00796736" w:rsidRDefault="00F67A32" w:rsidP="00A802A5">
      <w:pPr>
        <w:spacing w:line="360" w:lineRule="auto"/>
        <w:rPr>
          <w:rFonts w:ascii="Times New Roman" w:hAnsi="Times New Roman" w:cs="Times New Roman"/>
          <w:sz w:val="24"/>
          <w:szCs w:val="24"/>
        </w:rPr>
      </w:pPr>
    </w:p>
    <w:p w14:paraId="7CD57E4F"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i bemærkningerne, at bestemmelsen skaber hjemmel for Advokatrådet til at behandle oplysninger om lovovertrædelser, jf. databeskyttelsesforordningens artikel 10. Det vurderes i den forbindelse, at hjemmelen giver passende garantier for registreredes rettigheder og frihedsrettigheder. Der lægges i den forbindelse vægt på, at ordningen er en forudsætning for gennemførelse af artikel 60 i 4. hvidvaskdirektiv. Der lægges desuden vægt på, at offentliggørelse som følge af den foreslåede § 64 a, stk. 3, alene må ske ved personens alvorlige, gentagne eller systematiske overtrædelser af de opregnede bestemmelser i hvidvaskloven. Der lægges endvidere vægt på, at personoplysninger indeholdt i offentliggørelsen kun må forblive på Advokatsamfundets hjemmeside i det nødvendige tidsrum, jf. den foreslåede § 64 a, stk. 2, 2. pkt.</w:t>
      </w:r>
    </w:p>
    <w:p w14:paraId="255B854D" w14:textId="77777777" w:rsidR="00F67A32" w:rsidRPr="00796736" w:rsidRDefault="00F67A32" w:rsidP="00A802A5">
      <w:pPr>
        <w:spacing w:line="360" w:lineRule="auto"/>
        <w:rPr>
          <w:rFonts w:ascii="Times New Roman" w:hAnsi="Times New Roman" w:cs="Times New Roman"/>
          <w:sz w:val="24"/>
          <w:szCs w:val="24"/>
        </w:rPr>
      </w:pPr>
    </w:p>
    <w:p w14:paraId="4315A454"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 64 a, stk. 2 fremgår det, at offentliggjorte reaktioner forbliver på Advokatsamfundets hjemmeside i 5 år efter offentliggørelsen. Personoplysninger indeholdt i offentliggørelsen må dog kun forblive på Advokatrådets hjemmeside i det nødvendige tidsrum.</w:t>
      </w:r>
    </w:p>
    <w:p w14:paraId="304DFDB0" w14:textId="77777777" w:rsidR="00F67A32" w:rsidRPr="00796736" w:rsidRDefault="00F67A32" w:rsidP="00A802A5">
      <w:pPr>
        <w:spacing w:line="360" w:lineRule="auto"/>
        <w:rPr>
          <w:rFonts w:ascii="Times New Roman" w:hAnsi="Times New Roman" w:cs="Times New Roman"/>
          <w:sz w:val="24"/>
          <w:szCs w:val="24"/>
        </w:rPr>
      </w:pPr>
    </w:p>
    <w:p w14:paraId="3B0A143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at offentliggjorte reaktioner vil skulle slettes fra Advokatsamfundets hjemmeside 5 år efter offentliggørelsen, og at der ved det nødvendige tidsrum forstås så længe oplysningerne anses for nødvendige i forhold til de samfundsmæssige hensyn bag offentliggørelsen. </w:t>
      </w:r>
    </w:p>
    <w:p w14:paraId="0CB7570F" w14:textId="77777777" w:rsidR="00F67A32" w:rsidRPr="00796736" w:rsidRDefault="00F67A32" w:rsidP="00A802A5">
      <w:pPr>
        <w:spacing w:line="360" w:lineRule="auto"/>
        <w:rPr>
          <w:rFonts w:ascii="Times New Roman" w:hAnsi="Times New Roman" w:cs="Times New Roman"/>
          <w:sz w:val="24"/>
          <w:szCs w:val="24"/>
        </w:rPr>
      </w:pPr>
    </w:p>
    <w:p w14:paraId="70938754"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2020-21, tillæg A, L 12 som fremsat, side 65.</w:t>
      </w:r>
    </w:p>
    <w:p w14:paraId="66BB9A26" w14:textId="77777777" w:rsidR="00F67A32" w:rsidRPr="00796736" w:rsidRDefault="00F67A32" w:rsidP="00A802A5">
      <w:pPr>
        <w:spacing w:line="360" w:lineRule="auto"/>
        <w:rPr>
          <w:rFonts w:ascii="Times New Roman" w:hAnsi="Times New Roman" w:cs="Times New Roman"/>
          <w:sz w:val="24"/>
          <w:szCs w:val="24"/>
        </w:rPr>
      </w:pPr>
    </w:p>
    <w:p w14:paraId="46158EBA"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hvidvasklovens § 64 a, stk. 3, at offentliggørelse efter stk. 1, der omfatter en fysisk persons navn, dog kan alene ske ved personens alvorlige, gentagne eller systematiske overtrædelser af § 10, nr. 1, 2, 4 og 5, § 11, stk. 1 og 2 og stk. 3, 1., 3. og 4. pkt., § 14, stk. 1, stk. 2, 2. pkt., og stk. 3 og 5, § 17, stk. 1 og 2, § 18, § 21, stk. 1, 2. pkt., § 25, stk. 1, § 26, stk. 1 og 3, stk. 4, 1. pkt., og stk. 6, 1. pkt., og § 30.</w:t>
      </w:r>
    </w:p>
    <w:p w14:paraId="44115721" w14:textId="77777777" w:rsidR="00F67A32" w:rsidRPr="00796736" w:rsidRDefault="00F67A32" w:rsidP="00A802A5">
      <w:pPr>
        <w:spacing w:line="360" w:lineRule="auto"/>
        <w:rPr>
          <w:rFonts w:ascii="Times New Roman" w:hAnsi="Times New Roman" w:cs="Times New Roman"/>
          <w:sz w:val="24"/>
          <w:szCs w:val="24"/>
        </w:rPr>
      </w:pPr>
    </w:p>
    <w:p w14:paraId="6848537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bestemmelsen, jf. Folketingstidende 2020-21, tillæg A, L 12 som fremsat, side 65, fremgår det, at alvorlige, gentagne eller systematiske overtrædelser skal forstås i sammenhæng med hvidvasklovens § 78, stk. 2. </w:t>
      </w:r>
    </w:p>
    <w:p w14:paraId="39B8060E" w14:textId="77777777" w:rsidR="00F67A32" w:rsidRPr="00796736" w:rsidRDefault="00F67A32" w:rsidP="00A802A5">
      <w:pPr>
        <w:spacing w:line="360" w:lineRule="auto"/>
        <w:rPr>
          <w:rFonts w:ascii="Times New Roman" w:hAnsi="Times New Roman" w:cs="Times New Roman"/>
          <w:sz w:val="24"/>
          <w:szCs w:val="24"/>
        </w:rPr>
      </w:pPr>
    </w:p>
    <w:p w14:paraId="63CD1589"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af bemærkningerne, at der f.eks. kan være tale om særligt grove eller omfattende forsætlige overtrædelser, hvor der ikke er udført kundekendskabsprocedurer, som er et grundlæggende krav for opfyldelse af alle lovforslagets øvrige pligter, eller hvor oplysninger om kunder eller transaktioner ikke er opbevaret, hvilket er en forudsætning for, at hvidvask og terrorfinansiering kan efterforskes. Endvidere vil bestemmelsen kunne være anvendelig, hvis der ved beløbsmæssigt særlig store transaktioner ikke er krævet og/eller opbevaret identitets- og kontroloplysninger.</w:t>
      </w:r>
    </w:p>
    <w:p w14:paraId="4DC0096D" w14:textId="77777777" w:rsidR="00F67A32" w:rsidRPr="00796736" w:rsidRDefault="00F67A32" w:rsidP="00A802A5">
      <w:pPr>
        <w:spacing w:line="360" w:lineRule="auto"/>
        <w:rPr>
          <w:rFonts w:ascii="Times New Roman" w:hAnsi="Times New Roman" w:cs="Times New Roman"/>
          <w:sz w:val="24"/>
          <w:szCs w:val="24"/>
        </w:rPr>
      </w:pPr>
    </w:p>
    <w:p w14:paraId="5B368093"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4, at har Advokatrådet overgivet en sag til politimæssig efterforskning, og er der afsagt fældende dom eller vedtaget bøde, skal Advokatrådet offentliggøre dommen, bødevedtagelsen eller et resumé heraf, jf. dog stk. 5. Er dommen ikke endelig, skal dette fremgå af offentliggørelsen. Stk. 1 og 2 finder tilsvarende anvendelse.</w:t>
      </w:r>
    </w:p>
    <w:p w14:paraId="54EF6968" w14:textId="77777777" w:rsidR="00F67A32" w:rsidRPr="00796736" w:rsidRDefault="00F67A32" w:rsidP="00A802A5">
      <w:pPr>
        <w:spacing w:line="360" w:lineRule="auto"/>
        <w:rPr>
          <w:rFonts w:ascii="Times New Roman" w:hAnsi="Times New Roman" w:cs="Times New Roman"/>
          <w:sz w:val="24"/>
          <w:szCs w:val="24"/>
        </w:rPr>
      </w:pPr>
    </w:p>
    <w:p w14:paraId="7FABAB18"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bestemmelsens 1. pkt. fremgår det, at dommen, det vedtagne bødeforelæg eller resuméet heraf, som skal offentliggøres, vil indeholde den eller de involverede virksomheder eller personers navn(e). </w:t>
      </w:r>
    </w:p>
    <w:p w14:paraId="77CFC2A2" w14:textId="77777777" w:rsidR="00F67A32" w:rsidRPr="00796736" w:rsidRDefault="00F67A32" w:rsidP="00A802A5">
      <w:pPr>
        <w:spacing w:line="360" w:lineRule="auto"/>
        <w:rPr>
          <w:rFonts w:ascii="Times New Roman" w:hAnsi="Times New Roman" w:cs="Times New Roman"/>
          <w:sz w:val="24"/>
          <w:szCs w:val="24"/>
        </w:rPr>
      </w:pPr>
    </w:p>
    <w:p w14:paraId="786AB80F"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Offentliggørelse indebærer ikke, at selve den underliggende sag med dertilhørende akter bliver offentlig tilgængelig. Sagen er stadig omfattet af Advokatrådets tavshedspligt i henhold til retsplejelovens § 143 b. </w:t>
      </w:r>
    </w:p>
    <w:p w14:paraId="3124175A" w14:textId="77777777" w:rsidR="00F67A32" w:rsidRPr="00796736" w:rsidRDefault="00F67A32" w:rsidP="00A802A5">
      <w:pPr>
        <w:spacing w:line="360" w:lineRule="auto"/>
        <w:rPr>
          <w:rFonts w:ascii="Times New Roman" w:hAnsi="Times New Roman" w:cs="Times New Roman"/>
          <w:sz w:val="24"/>
          <w:szCs w:val="24"/>
        </w:rPr>
      </w:pPr>
    </w:p>
    <w:p w14:paraId="50A0B3E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Folketingstidende 2020-21, tillæg A, L 12 som fremsat, side 65. </w:t>
      </w:r>
    </w:p>
    <w:p w14:paraId="4023A24E" w14:textId="77777777" w:rsidR="00F67A32" w:rsidRPr="00796736" w:rsidRDefault="00F67A32" w:rsidP="00A802A5">
      <w:pPr>
        <w:spacing w:line="360" w:lineRule="auto"/>
        <w:rPr>
          <w:rFonts w:ascii="Times New Roman" w:hAnsi="Times New Roman" w:cs="Times New Roman"/>
          <w:sz w:val="24"/>
          <w:szCs w:val="24"/>
        </w:rPr>
      </w:pPr>
    </w:p>
    <w:p w14:paraId="321652F1"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5 kan offentliggørelse efter stk. 1-4 dog ikke ske, hvis det vil medføre uforholdsmæssig stor skade for virksomheden eller efterforskningsmæssige hensyn taler imod offentliggørelse. Oplysninger om enkeltpersoners private, herunder økonomiske, forhold og tekniske indretninger eller fremgangsmåder eller om drifts- eller forretningsforhold el.lign., for så vidt det er af væsentlig økonomisk betydning for den person eller virksomhed, oplysningerne angår, offentliggøres ikke. Offentliggørelsen må ikke indeholde fortrolige oplysninger, der hidrører fra en myndighed fra et EU- eller EØS-land, medmindre de myndigheder, som har afgivet oplysningerne, har givet deres udtrykkelige tilladelse.</w:t>
      </w:r>
    </w:p>
    <w:p w14:paraId="1D78C1C4" w14:textId="77777777" w:rsidR="00F67A32" w:rsidRPr="00796736" w:rsidRDefault="00F67A32" w:rsidP="00A802A5">
      <w:pPr>
        <w:spacing w:line="360" w:lineRule="auto"/>
        <w:rPr>
          <w:rFonts w:ascii="Times New Roman" w:hAnsi="Times New Roman" w:cs="Times New Roman"/>
          <w:sz w:val="24"/>
          <w:szCs w:val="24"/>
        </w:rPr>
      </w:pPr>
    </w:p>
    <w:p w14:paraId="3CAE4A5B"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bestemmelsens 1. pkt. fremgår det, at der ved uforholdsmæssig stor skade forstås, at der skal være tale om oplysninger, som, hvis de offentliggøres, kan være truende for virksomhedens eksistens. Det er dermed ikke tilstrækkeligt, at oplysningerne potentielt kan medføre større tab for virksomheden, uden at virksomhedens eksistens dermed er i fare. </w:t>
      </w:r>
    </w:p>
    <w:p w14:paraId="056749D9" w14:textId="77777777" w:rsidR="00F67A32" w:rsidRPr="00796736" w:rsidRDefault="00F67A32" w:rsidP="00A802A5">
      <w:pPr>
        <w:spacing w:line="360" w:lineRule="auto"/>
        <w:rPr>
          <w:rFonts w:ascii="Times New Roman" w:hAnsi="Times New Roman" w:cs="Times New Roman"/>
          <w:sz w:val="24"/>
          <w:szCs w:val="24"/>
        </w:rPr>
      </w:pPr>
    </w:p>
    <w:p w14:paraId="6688B391"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bemærkningerne til 2. pkt., at fortrolige oplysninger om kundeforhold eller oplysninger om potentielle købere af en nødlidende virksomhed i de tilfælde, hvor overtagelsen ikke gennemføres, ikke vil skulle offentliggøres. Det vil også gælde fortrolige oplysninger om virksomhedens interne forhold af væsentlig betydning for virksomheden, f.eks. vil ikke-offentligt tilgængelige oplysninger om virksomhedens opbygning og indretning, økonomiske forhold og situation, kundemasse og samarbejdspartnere skulle fjernes inden offentliggørelsen, medmindre oplysningerne er nødvendige for forståelsen af dommen, det vedtagne bødeforelæg, eller resuméet heraf. </w:t>
      </w:r>
    </w:p>
    <w:p w14:paraId="255DA22F" w14:textId="77777777" w:rsidR="00F67A32" w:rsidRPr="00796736" w:rsidRDefault="00F67A32" w:rsidP="00A802A5">
      <w:pPr>
        <w:spacing w:line="360" w:lineRule="auto"/>
        <w:rPr>
          <w:rFonts w:ascii="Times New Roman" w:hAnsi="Times New Roman" w:cs="Times New Roman"/>
          <w:sz w:val="24"/>
          <w:szCs w:val="24"/>
        </w:rPr>
      </w:pPr>
    </w:p>
    <w:p w14:paraId="1423BD1E"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skal forstås i overensstemmelse med § 30 i lov om offentlighed i forvaltningen, jf. lovbekendtgørelse nr. 145 af 24. februar 2020, der dog ikke finder anvendelse på Advokatrådet.</w:t>
      </w:r>
    </w:p>
    <w:p w14:paraId="3A1AEBC9" w14:textId="77777777" w:rsidR="00F67A32" w:rsidRPr="00796736" w:rsidRDefault="00F67A32" w:rsidP="00A802A5">
      <w:pPr>
        <w:spacing w:line="360" w:lineRule="auto"/>
        <w:rPr>
          <w:rFonts w:ascii="Times New Roman" w:hAnsi="Times New Roman" w:cs="Times New Roman"/>
          <w:sz w:val="24"/>
          <w:szCs w:val="24"/>
        </w:rPr>
      </w:pPr>
    </w:p>
    <w:p w14:paraId="35D4473A"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Folketingstidende 2020-21, tillæg A, L 12 som fremsat, side 65. </w:t>
      </w:r>
    </w:p>
    <w:p w14:paraId="2BBD414E" w14:textId="77777777" w:rsidR="00F67A32" w:rsidRPr="00796736" w:rsidRDefault="00F67A32" w:rsidP="00A802A5">
      <w:pPr>
        <w:spacing w:line="360" w:lineRule="auto"/>
        <w:rPr>
          <w:rFonts w:ascii="Times New Roman" w:hAnsi="Times New Roman" w:cs="Times New Roman"/>
          <w:sz w:val="24"/>
          <w:szCs w:val="24"/>
        </w:rPr>
      </w:pPr>
    </w:p>
    <w:p w14:paraId="167F20E2"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64 a, stk. 6, at er offentliggørelse undladt i henhold til stk. 5, 1. pkt., skal der ske offentliggørelse efter stk. 1-4, når de hensyn, der nødvendiggjorde undladelsen, ikke længere er gældende. Efter 2 år fra datoen for reaktionen eller beslutningen om at overgive sagen til politimæssig efterforskning skal der dog ikke ske offentliggørelse uanset 1. pkt. Der skal alene ske offentliggørelse, hvis der ikke er sket påtaleopgivelse eller tiltalefrafald efter retsplejelovens regler.</w:t>
      </w:r>
    </w:p>
    <w:p w14:paraId="261D45E3" w14:textId="77777777" w:rsidR="00F67A32" w:rsidRPr="00796736" w:rsidRDefault="00F67A32" w:rsidP="00A802A5">
      <w:pPr>
        <w:spacing w:line="360" w:lineRule="auto"/>
        <w:rPr>
          <w:rFonts w:ascii="Times New Roman" w:hAnsi="Times New Roman" w:cs="Times New Roman"/>
          <w:sz w:val="24"/>
          <w:szCs w:val="24"/>
        </w:rPr>
      </w:pPr>
    </w:p>
    <w:p w14:paraId="4C0EC964"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bestemmelsen fremgår det, at baggrunden for reglen i 2. pkt. er, at den offentlige interesse i sådanne reaktioner aftager kraftigt hen over tid. </w:t>
      </w:r>
    </w:p>
    <w:p w14:paraId="6E50D672" w14:textId="77777777" w:rsidR="00F67A32" w:rsidRPr="00796736" w:rsidRDefault="00F67A32" w:rsidP="00A802A5">
      <w:pPr>
        <w:spacing w:line="360" w:lineRule="auto"/>
        <w:rPr>
          <w:rFonts w:ascii="Times New Roman" w:hAnsi="Times New Roman" w:cs="Times New Roman"/>
          <w:sz w:val="24"/>
          <w:szCs w:val="24"/>
        </w:rPr>
      </w:pPr>
    </w:p>
    <w:p w14:paraId="2E3FBA71"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Folketingstidende 2020-21, tillæg A, L 12 som fremsat, side 66. </w:t>
      </w:r>
    </w:p>
    <w:p w14:paraId="5DE05199" w14:textId="77777777" w:rsidR="00F67A32" w:rsidRPr="00796736" w:rsidRDefault="00F67A32" w:rsidP="00A802A5">
      <w:pPr>
        <w:spacing w:line="360" w:lineRule="auto"/>
        <w:rPr>
          <w:rFonts w:ascii="Times New Roman" w:hAnsi="Times New Roman" w:cs="Times New Roman"/>
          <w:sz w:val="24"/>
          <w:szCs w:val="24"/>
        </w:rPr>
      </w:pPr>
    </w:p>
    <w:p w14:paraId="01A73E8A"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stk. 7 fremgår det, at i sager, hvor Advokatrådet har offentliggjort en beslutning om at overgive en sag til politimæssig efterforskning efter stk. 1, og der træffes afgørelse om påtaleopgivelse eller tiltalefrafald eller afsiges frifindelse i Advokatnævnet eller afsiges frifindende dom, skal Advokatrådet efter anmodning fra den fysiske eller juridiske person, som sagen vedrører, offentliggøre oplysninger herom. Den fysiske eller juridiske person skal indsende en kopi af afgørelsen om påtaleopgivelse eller tiltalefrafald eller en kopi af frifindende afgørelse eller dom til Advokatrådet samtidig med anmodning om offentliggørelse. Er påtaleopgivelsen, tiltalefrafaldet, afgørelsen eller dommen ikke endelig, skal det fremgå af offentliggørelsen. Modtager Advokatrådet dokumentation for, at sagen er afsluttet ved endelig påtaleopgivelse, tiltalefrafald eller afsigelse af endelig frifindende afgørelse eller dom, skal Advokatrådet fjerne alle oplysninger om beslutningen om at overgive sagen til politimæssig efterforskning og eventuelle efterfølgende domme i sagen fra Advokatrådets hjemmeside.</w:t>
      </w:r>
    </w:p>
    <w:p w14:paraId="0816F373" w14:textId="77777777" w:rsidR="00F67A32" w:rsidRPr="00796736" w:rsidRDefault="00F67A32" w:rsidP="00A802A5">
      <w:pPr>
        <w:spacing w:line="360" w:lineRule="auto"/>
        <w:rPr>
          <w:rFonts w:ascii="Times New Roman" w:hAnsi="Times New Roman" w:cs="Times New Roman"/>
          <w:sz w:val="24"/>
          <w:szCs w:val="24"/>
        </w:rPr>
      </w:pPr>
    </w:p>
    <w:p w14:paraId="738648E9"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bestemmelsens 1. pkt., jf. Folketingstidende 2020-21, tillæg A, L 12 som fremsat, side 66, fremgår det, at da det ikke i ethvert tilfælde vil være givet, at den juridiske eller fysiske person, som er blevet politianmeldt, ønsker offentliggørelse af påtaleopgivelsen, tiltalefrafaldet eller den frifindende dom, foreslås det, at offentliggørelse kun skal ske efter anmodning. </w:t>
      </w:r>
    </w:p>
    <w:p w14:paraId="01A7F897" w14:textId="77777777" w:rsidR="00F67A32" w:rsidRPr="00796736" w:rsidRDefault="00F67A32" w:rsidP="00A802A5">
      <w:pPr>
        <w:spacing w:line="360" w:lineRule="auto"/>
        <w:rPr>
          <w:rFonts w:ascii="Times New Roman" w:hAnsi="Times New Roman" w:cs="Times New Roman"/>
          <w:sz w:val="24"/>
          <w:szCs w:val="24"/>
        </w:rPr>
      </w:pPr>
    </w:p>
    <w:p w14:paraId="23F85DF2"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af bemærkningerne, at Advokatrådet vil skulle offentliggøre, at sagen er sluttet uden tiltale, at sagen er sluttet ved tiltalefrafald, eller at der er afsagt frifindende dom i sagen i umiddelbar og naturlig sammenhæng med Advokatrådets offentliggørelse efter den forslåede stk. 1, 2. pkt., dvs. det sted på Advokatrådets hjemmeside, hvor Advokatrådets tidligere har offentliggjort beslutningen om at overgive sagen til politimæssig efterforskning. De supplerende oplysninger om påtaleopgivelse, tiltalefrafald eller frifindende dom vil tydeligt skulle fremgå af Advokatsamfundets hjemmeside. Offentliggørelse efter den foreslåede bestemmelse vil tillige skulle omfatte tilfælde, hvor der er afsagt dom ved en ankeinstans.</w:t>
      </w:r>
    </w:p>
    <w:p w14:paraId="0A38E363" w14:textId="77777777" w:rsidR="00F67A32" w:rsidRPr="00796736" w:rsidRDefault="00F67A32" w:rsidP="00A802A5">
      <w:pPr>
        <w:spacing w:line="360" w:lineRule="auto"/>
        <w:rPr>
          <w:rFonts w:ascii="Times New Roman" w:hAnsi="Times New Roman" w:cs="Times New Roman"/>
          <w:sz w:val="24"/>
          <w:szCs w:val="24"/>
        </w:rPr>
      </w:pPr>
    </w:p>
    <w:p w14:paraId="4377FD1B"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til 2. pkt. fremgår det, at den fysiske eller juridiske person selv vil skulle indsende en kopi af de relevante dokumenter, som vedkommende ønsker offentliggjort, da Advokatrådet ikke nødvendigvis vil være i besiddelse af de pågældende dokumenter. Af bemærkningerne til 3. pkt. fremgår det, at en afgørelse om påtaleopgivelse eller tiltalefrafald er ikke endelig i de tilfælde, hvor afgørelsen om påtaleopgivelse eller tiltalefrafald er påklaget til den overordnende anklagemyndighed. En dom er ikke endelig i de tilfælde, hvor dommen er anket til en højere retsinstans. </w:t>
      </w:r>
    </w:p>
    <w:p w14:paraId="6D35D67A" w14:textId="77777777" w:rsidR="00F67A32" w:rsidRPr="00796736" w:rsidRDefault="00F67A32" w:rsidP="00A802A5">
      <w:pPr>
        <w:spacing w:line="360" w:lineRule="auto"/>
        <w:rPr>
          <w:rFonts w:ascii="Times New Roman" w:hAnsi="Times New Roman" w:cs="Times New Roman"/>
          <w:sz w:val="24"/>
          <w:szCs w:val="24"/>
        </w:rPr>
      </w:pPr>
    </w:p>
    <w:p w14:paraId="4571EA6D"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fremgår det af bemærkningerne til bestemmelsens 4. pkt., at i de tilfælde, hvor den, som sagen vedrører, ikke anmoder Advokatrådet om at offentliggøre oplysninger om, at sagen er afsluttet ved påtaleopgivelse, tiltalefrafald eller afsigelse af frifindende dom i henhold til 1. pkt., men ønsker Advokatrådets offentliggørelse af beslutningen om at overgive sagen til politimæssig efterforskning, herunder eventuelle supplerende oplysninger om efterfølgende domme i sagen, slettet fra Advokatsamfundets hjemmeside, kan dette således ske ved indsendelse af dokumentation for sagens afslutning til Advokatrådet. Advokatrådet vil herefter efter 4. pkt. slette offentliggørelsen af beslutningen om at overgive sagen til politimæssig efterforskning m.v. fra Advokatrådets hjemmeside. </w:t>
      </w:r>
    </w:p>
    <w:p w14:paraId="3E3B24D9" w14:textId="77777777" w:rsidR="00F67A32" w:rsidRPr="00796736" w:rsidRDefault="00F67A32" w:rsidP="00A802A5">
      <w:pPr>
        <w:spacing w:line="360" w:lineRule="auto"/>
        <w:rPr>
          <w:rFonts w:ascii="Times New Roman" w:hAnsi="Times New Roman" w:cs="Times New Roman"/>
          <w:sz w:val="24"/>
          <w:szCs w:val="24"/>
        </w:rPr>
      </w:pPr>
    </w:p>
    <w:p w14:paraId="7E017D15"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Advokatrådets forpligtelse til at fjerne oplysninger om en beslutning om at overgive en sag til politimæssig efterforskning indtræder derfor først i det tilfælde, hvor Advokatrådet modtager dokumentation herfor. Det er ikke afgørende, hvem der indsender eller overleverer en sådan dokumentation, og Advokatrådets forpligtelse til at slette oplysninger om overgivelse af en sag til politimæssig efterforskning indtræder således, uanset om den fornødne dokumentation modtages fra anklagemyndigheden, den pågældende fysiske eller juridiske person, som sagen vedrører, eller af tredjemand. </w:t>
      </w:r>
    </w:p>
    <w:p w14:paraId="1A28902F" w14:textId="77777777" w:rsidR="00F67A32" w:rsidRPr="00796736" w:rsidRDefault="00F67A32" w:rsidP="00A802A5">
      <w:pPr>
        <w:spacing w:line="360" w:lineRule="auto"/>
        <w:rPr>
          <w:rFonts w:ascii="Times New Roman" w:hAnsi="Times New Roman" w:cs="Times New Roman"/>
          <w:sz w:val="24"/>
          <w:szCs w:val="24"/>
        </w:rPr>
      </w:pPr>
    </w:p>
    <w:p w14:paraId="213010CD"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afgørelse om påtaleopgivelse eller tiltalefrafald er ikke endelig i de tilfælde, hvor afgørelsen om påtaleopgivelse eller tiltalefrafald er påklaget til den overordnede anklagemyndighed. En dom er ikke endelig i de tilfælde, hvor dommen er anket til højere retsinstans. Fjernelse af offentliggørelsen af en beslutning om at overgive en sag til politimæssig efterforskning i tilfælde, hvor en sag er afsluttet ved frifindende dom eller afsluttet ved påtaleopgivelse eller tiltalefrafald, vil således først ske efter udløbet af henholdsvis ankefristen eller fristen for at påklage påtaleopgivelsen eller tiltalefrafaldet, da afgørelsen skal være endelig. Advokatrådet modtager ikke nødvendigvis oplysninger om og dokumentation for, at en sag overgivet til politimæssig efterforskning er afsluttet ved endelig påtaleopgivelse eller tiltalefrafald eller afsigelse af endelig frifindende dom.</w:t>
      </w:r>
    </w:p>
    <w:p w14:paraId="4C014504" w14:textId="77777777" w:rsidR="00F67A32" w:rsidRPr="00796736" w:rsidRDefault="00F67A32" w:rsidP="00A802A5">
      <w:pPr>
        <w:spacing w:line="360" w:lineRule="auto"/>
        <w:rPr>
          <w:rFonts w:ascii="Times New Roman" w:hAnsi="Times New Roman" w:cs="Times New Roman"/>
          <w:sz w:val="24"/>
          <w:szCs w:val="24"/>
        </w:rPr>
      </w:pPr>
    </w:p>
    <w:p w14:paraId="67C17B4C"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Folketingstidende 2020-21, tillæg A, L 12 som fremsat, side 66 f. </w:t>
      </w:r>
    </w:p>
    <w:p w14:paraId="04A41271" w14:textId="77777777" w:rsidR="00F67A32" w:rsidRPr="00796736" w:rsidRDefault="00F67A32" w:rsidP="00A802A5">
      <w:pPr>
        <w:spacing w:line="360" w:lineRule="auto"/>
        <w:rPr>
          <w:rFonts w:ascii="Times New Roman" w:hAnsi="Times New Roman" w:cs="Times New Roman"/>
          <w:sz w:val="24"/>
          <w:szCs w:val="24"/>
        </w:rPr>
      </w:pPr>
    </w:p>
    <w:p w14:paraId="256427E2"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64 a, stk. 8, skal Advokatrådet efter anmodning fra en fysisk eller juridisk person, som er frifundet, offentliggøre resultatet af anken eller genoptagelsen. Den fysiske eller juridiske person skal samtidig med anmodningen om offentliggørelse indsende kopi af dommen i ankesagen eller den genoptagne sag. Er resultatet af anken eller den genoptagnee sag et andet end resultatet af dommen offentliggjort i medfør af stk. 4, 1. pkt., kan Advokatrådet beslutte at fjerne dommen fra Advokatrådets hjemmeside.</w:t>
      </w:r>
    </w:p>
    <w:p w14:paraId="0E5AD0BD" w14:textId="77777777" w:rsidR="00F67A32" w:rsidRPr="00796736" w:rsidRDefault="00F67A32" w:rsidP="00A802A5">
      <w:pPr>
        <w:spacing w:line="360" w:lineRule="auto"/>
        <w:rPr>
          <w:rFonts w:ascii="Times New Roman" w:hAnsi="Times New Roman" w:cs="Times New Roman"/>
          <w:sz w:val="24"/>
          <w:szCs w:val="24"/>
        </w:rPr>
      </w:pPr>
    </w:p>
    <w:p w14:paraId="4D0688A6"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bestemmelsen, jf. Folketingstidende 2020-21, tillæg A, L 12 som fremsat, side 67, at Advokatrådet som tilsynsmyndighed påser, at advokater omfattet af hvidvasklovens § 1, stk. 1, nr. 14, overholder loven og de regler, der er udstedt i medfør heraf, samt Europa-Parlamentets og Rådets forordninger indeholdende regler om finansielle sanktioner mod lande, personer, grupper, juridiske enheder eller organer, jf. hvidvasklovens § 64, stk. 1, 1. pkt. </w:t>
      </w:r>
    </w:p>
    <w:p w14:paraId="0EB525AB" w14:textId="77777777" w:rsidR="00F67A32" w:rsidRPr="00796736" w:rsidRDefault="00F67A32" w:rsidP="00A802A5">
      <w:pPr>
        <w:spacing w:line="360" w:lineRule="auto"/>
        <w:rPr>
          <w:rFonts w:ascii="Times New Roman" w:hAnsi="Times New Roman" w:cs="Times New Roman"/>
          <w:sz w:val="24"/>
          <w:szCs w:val="24"/>
        </w:rPr>
      </w:pPr>
    </w:p>
    <w:p w14:paraId="5672D109"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at Advokatrådet kan påbyde advokater at foretage de nødvendige foranstaltninger i tilfælde af overtrædelse af bestemmelser i denne lov, de regler, der er fastsat i medfør heraf, eller Europa-Parlamentets og Rådets forordninger indeholdende regler om finansielle sanktioner mod lande, personer, grupper, juridiske enheder eller organer, jf. hvidvasklovens § 64, stk. 2. </w:t>
      </w:r>
    </w:p>
    <w:p w14:paraId="0DCA1DCA" w14:textId="77777777" w:rsidR="00F67A32" w:rsidRPr="00796736" w:rsidRDefault="00F67A32" w:rsidP="00A802A5">
      <w:pPr>
        <w:spacing w:line="360" w:lineRule="auto"/>
        <w:rPr>
          <w:rFonts w:ascii="Times New Roman" w:hAnsi="Times New Roman" w:cs="Times New Roman"/>
          <w:sz w:val="24"/>
          <w:szCs w:val="24"/>
        </w:rPr>
      </w:pPr>
    </w:p>
    <w:p w14:paraId="1DE587DB"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Manglende efterlevelse af påbud udstedt i medfør af § 64, stk. 2, er i strid med god advokatskik. Advokatnævnet påser, at advokater efterlever god advokatskik. Overtrædelse af god advokatskik sanktioneres med bøde, pålæg eller frakendelse af retten til at udøve advokatvirksomhed, jf. nærmere retsplejelovens kapitel 15 b. </w:t>
      </w:r>
    </w:p>
    <w:p w14:paraId="09999C40" w14:textId="77777777" w:rsidR="00F67A32" w:rsidRPr="00796736" w:rsidRDefault="00F67A32" w:rsidP="00A802A5">
      <w:pPr>
        <w:spacing w:line="360" w:lineRule="auto"/>
        <w:rPr>
          <w:rFonts w:ascii="Times New Roman" w:hAnsi="Times New Roman" w:cs="Times New Roman"/>
          <w:sz w:val="24"/>
          <w:szCs w:val="24"/>
        </w:rPr>
      </w:pPr>
    </w:p>
    <w:p w14:paraId="650C05DC"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Afslutningsvis fremgår det af bemærkningerne, at medlemsstaterne efter 4. hvidvaskdirektivs artikel 60, stk. 1, skal sikre, at en afgørelse, der ikke kan påklages, om pålæggelse af en administrativ sanktion eller foranstaltning for overtrædelse af nationale bestemmelser, der gennemfører dette direktiv, offentliggøres af de kompetente myndigheder på deres officielle websted umiddelbart efter, at den person, der pålægges sanktionen, er underrettet om afgørelsen.</w:t>
      </w:r>
    </w:p>
    <w:p w14:paraId="1949B51F" w14:textId="77777777" w:rsidR="00F67A32" w:rsidRPr="00796736" w:rsidRDefault="00F67A32" w:rsidP="00A802A5">
      <w:pPr>
        <w:spacing w:line="360" w:lineRule="auto"/>
        <w:rPr>
          <w:rFonts w:ascii="Times New Roman" w:hAnsi="Times New Roman" w:cs="Times New Roman"/>
          <w:sz w:val="24"/>
          <w:szCs w:val="24"/>
        </w:rPr>
      </w:pPr>
    </w:p>
    <w:p w14:paraId="3BB624D4"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bestemmelsens stk. 9, at Advokatnævnets kendelser for overtrædelse af denne lov og de regler, der er udstedt i medfør heraf, og Europa-Parlamentets og Rådets forordninger indeholdende regler om finansielle sanktioner mod lande, personer, grupper, juridiske enheder eller organer skal offentliggøres af Advokatrådet på Advokatsamfundets hjemmeside, når fristen for at indbringe kendelsen for retten er udløbet. Dette gælder dog ikke overholdelse af § 36. Kendelser, som indbringes for retten, offentliggøres, når der er afsagt endelig dom. Bestemmelserne i stk. 2-8 finder tilsvarende anvendelse.</w:t>
      </w:r>
    </w:p>
    <w:p w14:paraId="55AFA631" w14:textId="77777777" w:rsidR="00F67A32" w:rsidRPr="00796736" w:rsidRDefault="00F67A32" w:rsidP="00A802A5">
      <w:pPr>
        <w:spacing w:line="360" w:lineRule="auto"/>
        <w:rPr>
          <w:rFonts w:ascii="Times New Roman" w:hAnsi="Times New Roman" w:cs="Times New Roman"/>
          <w:sz w:val="24"/>
          <w:szCs w:val="24"/>
        </w:rPr>
      </w:pPr>
    </w:p>
    <w:p w14:paraId="4E878316"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overgangsordningen i relation til bestemmelsen fremgår det, at Advokatrådet vil skulle offentliggøre reaktioner for overtrædelse af hvidvaskloven og de regler, der er udstedt i medfør heraf, samt Europa-Parlamentets og Rådets forordninger indeholdende regler om finansielle sanktioner mod lande, personer, grupper, juridiske enheder eller organer, når det træffes afgørelse efter ændringens ikrafttræden. Det vil også skulle gælde for reaktioner på overtrædelser, der er blevet begået før ændringens ikrafttræden.</w:t>
      </w:r>
    </w:p>
    <w:p w14:paraId="3FBCC24D" w14:textId="77777777" w:rsidR="00F67A32" w:rsidRPr="00796736" w:rsidRDefault="00F67A32" w:rsidP="00A802A5">
      <w:pPr>
        <w:spacing w:line="360" w:lineRule="auto"/>
        <w:rPr>
          <w:rFonts w:ascii="Times New Roman" w:hAnsi="Times New Roman" w:cs="Times New Roman"/>
          <w:sz w:val="24"/>
          <w:szCs w:val="24"/>
        </w:rPr>
      </w:pPr>
    </w:p>
    <w:p w14:paraId="06E0E840" w14:textId="702DE880" w:rsidR="0092113C"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2020-21, tillæg A, L 12 som fremsat, side 67.</w:t>
      </w:r>
    </w:p>
    <w:p w14:paraId="69CBF463" w14:textId="77777777" w:rsidR="00B936CB" w:rsidRPr="00796736" w:rsidRDefault="00B936CB" w:rsidP="00A802A5">
      <w:pPr>
        <w:spacing w:line="360" w:lineRule="auto"/>
        <w:rPr>
          <w:rFonts w:ascii="Times New Roman" w:hAnsi="Times New Roman" w:cs="Times New Roman"/>
          <w:sz w:val="24"/>
          <w:szCs w:val="24"/>
        </w:rPr>
      </w:pPr>
    </w:p>
    <w:p w14:paraId="18B53291" w14:textId="69E9750A" w:rsidR="00F67A32" w:rsidRPr="00796736" w:rsidRDefault="00A73A60" w:rsidP="00A802A5">
      <w:pPr>
        <w:pStyle w:val="Overskrift4"/>
        <w:rPr>
          <w:rFonts w:ascii="Times New Roman" w:hAnsi="Times New Roman" w:cs="Times New Roman"/>
          <w:sz w:val="24"/>
          <w:szCs w:val="24"/>
        </w:rPr>
      </w:pPr>
      <w:bookmarkStart w:id="1426" w:name="_Toc232109270"/>
      <w:bookmarkStart w:id="1427" w:name="_Ref232941362"/>
      <w:bookmarkStart w:id="1428" w:name="_Ref232941380"/>
      <w:bookmarkStart w:id="1429" w:name="_Ref232941390"/>
      <w:r w:rsidRPr="00796736">
        <w:rPr>
          <w:rFonts w:ascii="Times New Roman" w:hAnsi="Times New Roman" w:cs="Times New Roman"/>
          <w:sz w:val="24"/>
          <w:szCs w:val="24"/>
        </w:rPr>
        <w:t>6. hvidvaskdirektiv</w:t>
      </w:r>
      <w:bookmarkEnd w:id="1426"/>
      <w:bookmarkEnd w:id="1427"/>
      <w:bookmarkEnd w:id="1428"/>
      <w:bookmarkEnd w:id="1429"/>
    </w:p>
    <w:p w14:paraId="0F0CE874" w14:textId="77777777" w:rsidR="00C8501D" w:rsidRPr="00796736" w:rsidRDefault="00C850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6 indeholder regler om kontrol af den øverste ledelse i og de reelle ejere af visse forpligtede enheder. </w:t>
      </w:r>
    </w:p>
    <w:p w14:paraId="7D3E6269" w14:textId="77777777" w:rsidR="00C8501D" w:rsidRPr="00796736" w:rsidRDefault="00C850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6, stk. 2, at for så vidt angår de forpligtede enheder, der er omhandlet i hvidvaskforordningens artikel 3, nr. 3), litra a), b), d), e), f) og h)-o), sikrer medlemsstaterne, at tilsynsorganerne træffer de nødvendige foranstaltninger til at forhindre personer, der er dømt for hvidvask af penge, de relevante underliggende lovovertrædelser eller finansiering af terrorisme, eller deres samarbejdspartnere, i at blive godkendt til et erhverv, i at varetage en funktion i den øverste ledelse i eller i at være de reelle ejere af disse forpligtede enheder. Bestemmelsen viderefører 4. hvidvaskdirektivs artikel 47, stk. 3, idet bestemmelsen nu også omfatter de pågældende forpligtede enheders samarbejdspartnere, ligesom bestemmelsen nu foreskriver, at der tillige skal være beføjelser til at forhindre pågældende personer i at blive godkendt til et erhverv.</w:t>
      </w:r>
    </w:p>
    <w:p w14:paraId="5D523FCB" w14:textId="77777777" w:rsidR="00C8501D" w:rsidRPr="00796736" w:rsidRDefault="00C850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artikel 6, stk. 3, at medlemsstaterne sikrer, at tilsynsorganerne på et risikofølsomt grundlag kontrollerer, om kravene i stk. 1 og 2 fortsat er opfyldt. De kontrollerer navnlig, om den øverste ledelse i forpligtede enheder, der er omhandlet i stk. 1, har et godt omdømme, handler med hæderlighed og integritet og besidder den viden og ekspertise, der er nødvendig for, at den kan udføre sine opgaver i tilfælde, hvor der er rimelig grund til at formode, at der begås eller er blevet begået eller forsøgt begået hvidvask af penge eller finansiering af terrorisme, eller der er øget risiko herfor i en forpligtet enhed. Bestemmelsen er ny i forhold til 4. og 5. hvidvaskdirektiv. </w:t>
      </w:r>
    </w:p>
    <w:p w14:paraId="37662D15" w14:textId="77777777" w:rsidR="00C8501D" w:rsidRPr="00796736" w:rsidRDefault="00C850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artikel 6, stk. 4, 1. pkt., sikrer medlemsstaterne, at tilsynsorganerne har beføjelse til at anmode om, at enhver person, der er dømt for hvidvask af penge, de relevante underliggende lovovertrædelser eller finansiering af terrorisme, fjernes fra den øverste ledelse i forpligtede enheder som omhandlet i stk. 1 og 2. Bestemmelsen er ny i forhold til 4. og 5. hvidvaskdirektiv.</w:t>
      </w:r>
    </w:p>
    <w:p w14:paraId="65DC4C67" w14:textId="77777777" w:rsidR="00C8501D" w:rsidRPr="00796736" w:rsidRDefault="00C850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af artikel 6, stk. 5, 1. pkt., at medlemsstaterne sikrer, at tilsynsorganerne har beføjelse til at adskille personer, dømt for hvidvask af penge, de relevante underliggende lovovertrædelser eller finansiering af terrorisme, som er reelle ejere af forpligtede enheder som omhandlet i stk. 1 og 2, fra forpligtede enheder, herunder ved at give tilsynsorganerne beføjelse til at anmode disse reelle ejere om at afhænde besiddelsen i forpligtede enheder. Bestemmelsen er ny i forhold til 4. og 5. hvidvaskdirektiv.</w:t>
      </w:r>
    </w:p>
    <w:p w14:paraId="78CA96ED" w14:textId="7C392FC6" w:rsidR="00C8501D" w:rsidRPr="00796736" w:rsidRDefault="00C850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fremgår det af artikel 6, stk. 6, at med henblik på artikel 6 sikrer medlemsstaterne i overensstemmelse med national ret, at tilsynsorganerne eller enhver anden myndighed, der på nationalt plan er kompetent til at vurdere de krav, der gælder for de personer, der er omhandlet i denne artikels stk. 1 og 2, foretager kontrol i den centrale database for bekæmpelse af hvidvask af penge og finansiering af terrorisme i henhold til AMLA-forordningens artikel 11 og kontrollerer, om der findes en relevant domfældelse i den pågældende persons straffeattest. Enhver udveksling af oplysninger til disse formål skal finde sted i overensstemmelse med rammeafgørelse 2009/315/RIA og afgørelse 2009/316/RIA som gennemført i national ret. Bestemmelsen viderefører 4. hvidvaskdirektivs artikel 62, stk. 2, idet bestemmelsen dog også foreskriver, at der skal ske kontrol af den centrale database efter AMLA-forordningens artikel 11. </w:t>
      </w:r>
    </w:p>
    <w:p w14:paraId="7A619587" w14:textId="3E5FB5B4"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hvidvaskdirektivets kapitel IV, afdeling 4, findes direktivets bestemmelser om bøder og administrative foranstaltninger i artikel 53-59. </w:t>
      </w:r>
    </w:p>
    <w:p w14:paraId="0CB2465F"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53 indeholder almindelige bestemmelser om bøder og administrative foranstaltninger. </w:t>
      </w:r>
    </w:p>
    <w:p w14:paraId="2E425466"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1, at medlemsstaterne sikrer, at forpligtede enheder kan drages til ansvar for overtrædelser af hvidvaskforordningen og Europa-Parlamentets og Rådets forordning (EU) 2023/1113 af 31. maj 2023 om oplysninger, der skal medsendes ved pengeoverførsler og ved overførsler af visse kryptoaktiver.</w:t>
      </w:r>
    </w:p>
    <w:p w14:paraId="7B28751D" w14:textId="079055AE" w:rsidR="0092113C" w:rsidRPr="00796736"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stk. 5, litra b, at der i overensstemmelse med 6. hvidvaskdirektiv og national ret pålægges bøder og anvendes administrative foranstaltninger bl.a. i samarbejde mellem tilsynsorganerne og andre myndigheder. </w:t>
      </w:r>
    </w:p>
    <w:p w14:paraId="41AC9523"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stk. 6 sikrer medlemsstaterne, at tilsynsorganerne ved fastsættelsen af typen og niveauet af bøderne og administrative foranstaltninger tager højde for alle relevante omstændigheder. Bestemmelsen indeholder i litra a-h, en ikke-udtømmende opregning af, hvad dette omfatter. Heraf fremgår det, at der blandt andet skal tages højde for overtrædelsens grovhed og varighed (litra a), antallet af gentagelser af overtrædelsen (litra b), graden af ansvar hos den fysiske eller juridiske person, der holdes ansvarlig (litra c), den finansielle styrke hos den fysiske eller juridiske person, der holdes ansvarlig, herunder i lyset af dennes samlede omsætning eller årsindkomst (litra d), den fordel, der er opnået som følge af overtrædelsen begået af den fysiske eller juridiske person, der holdes ansvarlig, såfremt den kan beregnes (litra e), tredjemands tab som følge af overtrædelsen, såfremt den kan beregnet (litra f), graden af samarbejde mellem den fysiske eller juridiske person, der holdes ansvarlig, og den kompetente myndighed (litra g) og endelige overtrædelser, som den fysiske eller juridiske person, der holdes ansvarlig, tidligere har begået (litra h).</w:t>
      </w:r>
    </w:p>
    <w:p w14:paraId="14E22F8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medfør af bestemmelsens stk. 10 udarbejder AMLA senest den 10. juli 2026 et udkast til reguleringsmæssige tekniske standarder og forelægger dem for Kommissionen med henblik på vedtagelse. Disse udkast til reguleringsmæssige tekniske standarder fastsætter indikatorer til klassificering af niveauet af overtrædelsernes grovhed (litra a), kriterier, der skal tages i betragtning, når bødeniveauet fastsættes, eller når der anvendes administrative foranstaltninger i henhold til denne afdeling (litra b) og en metode til pålæggelse af tvangsbøder i henhold til direktivets artikel 57, om tvangsbøder, herunder hyppigheden heraf (litra c).Direktivets artikel 56 regulerer administrative foranstaltninger, som tilsynsorganerne kan iværksætte over for de forpligtede enheder. </w:t>
      </w:r>
    </w:p>
    <w:p w14:paraId="44459F96"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1 sikrer medlemsstaterne, at tilsynsorganerne kan anvende administrative foranstaltninger over for en forpligtet enhed, hvis de konstaterer alvorlige, gentagne og systematiske overtrædelser af bl.a. hvidvaskforordningen (litra a), svagheder i den forpligtede enheds interne politikker, procedurer eller kontroller, som sandsynligvis kan føre til alvorlig, gentagen og systematisk overtrædelse af kravene heri, og foranstaltningerne kan forhindre eller mindske risikoen for sådanne overtrædelser (litra b) eller disse politikker mv. ikke står i rimeligt forhold til de risici for hvidvask af penge, de underliggende lovovertrædelser eller finansiering af terrorisme, som de er eksponeret for (litra c). </w:t>
      </w:r>
    </w:p>
    <w:p w14:paraId="3E08260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indholdsmæssigt til 4. og 5. hvidvaskdirektivs artikel 59, stk. 1, idet der dog med artikel 56, stk. 1, litra b og c, er sket en udvidelse af anvendelsesområdet for at kunne pålægge administrative foranstaltninger, derved at det ikke længere er et krav for at pålægge foranstaltninger, at en alvorlig, gentagen eller systematisk overtrædelse har materialiseret sig. </w:t>
      </w:r>
    </w:p>
    <w:p w14:paraId="59A7503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bestemmelsens stk. 2, litra a-g, opregnes en række beføjelser, som tilsynsorganerne som minimum skal have mulighed for at pålægge som administrative foranstaltninger i forhold til de forpligtede enheder. Bestemmelsen svarer til 4. og 5. hvidvaskdirektivs artikel 59, stk. 2, dog således at der nu også skal være mulighed for at udstede henstillinger (artikel 56, stk. 2, litra a), påbyde forpligtede enheder at overholde, herunder at gennemføre, specifikke korrigerende foranstaltninger (litra b) og indskrænke eller begrænse forretningsaktiviteter, transaktioner eller netværk af institutter, der udgør den forpligtede enhed, eller kræve afhændelse af aktiviteter (litra e). </w:t>
      </w:r>
    </w:p>
    <w:p w14:paraId="02BCB23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stk. 3, litra a-e, indeholder en ikke udtømmende opregning af, hvad tilsynsorganerne ved hjælp af de administrative foranstaltninger i stk. 2, navnlig skal kunne. Heraf følger det bl.a., at tilsynsorganerne ved hjælp af de administrative foranstaltninger nævnt i stk. 2 navnlig skal kunne kræve fremlæggelse uden unødigt ophold af data eller oplysninger, der er nødvendige for udførelsen af deres opgaver i henhold til dette kapitel, kræve indgivelse af dokumenter eller pålægge yderligere eller hyppigere indberetningskrav (litra a), skal kunne kræve gennemførelse af foranstaltninger til nedbringelse af de risici for hvidvask af penge eller finansiering af terrorisme, der er forbundet med den forpligtede enheds aktiviteter og produkter og skal kunne indføre et midlertidigt forbud mod, at personer med ledelsesansvar i en forpligtet enhed eller andre fysiske personer, der er blevet holdt ansvarlige for overtrædelsen, varetager ledelsesfunktioner i forpligtede enheder (litra e). </w:t>
      </w:r>
    </w:p>
    <w:p w14:paraId="1C0C8001"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er ny i forhold til artikel 4. og 5. hvidvaskdirektivs artikel 59, idet artikel 56, stk. 3, litra e, dog indholdsmæssigt svarer til 4. og 5. hvidvaskdirektivs artikel 59, stk. 2, litra d.</w:t>
      </w:r>
    </w:p>
    <w:p w14:paraId="2697726B"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4 ledsages de administrative foranstaltninger, hvor det er relevant, af bindende frister for deres gennemførelse, og medlemsstaterne sikrer, at tilsynsorganerne følger op på og vurderer den forpligtede enheds gennemførelse af de krævede tiltag. </w:t>
      </w:r>
    </w:p>
    <w:p w14:paraId="1B0D4B5D"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5 har medlemsstaterne mulighed for at tillægge tilsynsorganerne yderligere beføjelser ud over dem, der er omhandlet i stk. 2. </w:t>
      </w:r>
    </w:p>
    <w:p w14:paraId="6810F61D"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artikel 56, stk. 5, svarer indholdsmæssigt til 4. og 5. hvidvaskdirektivs artikel 59, stk. 4, idet delen angående bøder i artikel 59, stk. 4, ikke fremgår af artikel 56, stk. 5. </w:t>
      </w:r>
    </w:p>
    <w:p w14:paraId="6DBEB3BD"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præambelbetragtning nr. 105 fremgår det, at med henblik på at sikre, at forpligtede enheder overholder kravene til bekæmpelse af hvidvask af penge og finansiering af terrorisme og effektivt afbøder de risici for hvidvask af penge, de underliggende lovovertrædelser og finansiering af terrorisme, som de er eksponeret for, bør tilsynsorganerne kunne anvende administrative foranstaltninger ikke blot for at afhjælpe konstaterede overtrædelser, men også hvis de konstaterer, at svagheder i de interne politikker, procedurer og kontroller sandsynligvis vil føre til overtrædelser af kravene til bekæmpelse af  hvidvask af penge og finansiering af terrorisme, eller hvis disse politikker, procedurer og kontroller er utilstrækkelige til at afbøde risici. Omfanget af anvendte administrative foranstaltninger og den tid, som forpligtede enheder har til at gennemføre de krævede tiltag, afhænger af de specifikke overtrædelser eller svagheder, der er konstateret. Hvis der konstateres flere overtrædelser eller svagheder, kunne der gælde forskellige frister for gennemførelsen af de enkelte administrative foranstaltninger. I overensstemmelse med målet med offentliggørelse om at straffe og uddanne, bør kun afgørelser om at anvende administrative foranstaltninger i forbindelse med overtrædelser af kravene til bekæmpelse af hvidvask af penge og finansiering af terrorisme offentliggøres, men ikke administrative foranstaltninger, der anvendes for at forhindre en sådan overtrædelse. </w:t>
      </w:r>
    </w:p>
    <w:p w14:paraId="48024781"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57 regulerer tvangsbøder. Bestemmelsen er ny i forhold til 4. og 5. hvidvaskdirektiv.</w:t>
      </w:r>
    </w:p>
    <w:p w14:paraId="1A7E04CB"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stk. 1 sikrer medlemsstaterne, at tilsynsorganerne, hvis forpligtede enheder ikke efterkommer de administrative foranstaltninger, som tilsynsorganet anvender i henhold til artikel 56, stk. 2, litra b, d, e og g, inden for de gældende frister, er i stand til at pålægge tvangsbøder for at gennemtvinge overholdelsen af disse administrative foranstaltninger.</w:t>
      </w:r>
    </w:p>
    <w:p w14:paraId="6F8AACEB"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2, at tvangsbøderne skal være effektive og stå i et rimeligt forhold til overtrædelserne. Tvangsbøderne pålægges, indtil den pågældende forpligtede enhed eller person efterkommer de relevante administrative foranstaltninger.</w:t>
      </w:r>
    </w:p>
    <w:p w14:paraId="3618B70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bestemmelsens stk. 3 fremgår det, at uanset stk. 2 må tvangsbøderne i forbindelse med juridiske personer ikke overstige 3 pct. af deres gennemsnitlige daglige omsætning i det foregående regnskabsår eller i forbindelse med fysiske personer 2 pct. af deres gennemsnitlige daglige indtægt i det foregående kalenderår.</w:t>
      </w:r>
    </w:p>
    <w:p w14:paraId="6D321A33"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af stk. 4, at tvangsbøder kun må pålægges i en periode på højst 6 måneder efter meddelelsen af tilsynsorganets afgørelse. Hvis den forpligtede enhed ved udløbet af denne frist endnu ikke har efterkommet den administrative foranstaltning, sikrer medlemsstaterne, at tilsynsorganerne kan pålægge tvangsbøder i en yderligere periode på højst seks måneder.</w:t>
      </w:r>
    </w:p>
    <w:p w14:paraId="3623F922"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stk. 5, at medlemsstaterne sikrer, at en afgørelse om pålæggelse af en tvangsbøde kan træffes fra datoen for anvendelsen af den administrative foranstaltning. Tvangsbøden finder anvendelse fra den dato, hvor denne afgørelse træffes.</w:t>
      </w:r>
    </w:p>
    <w:p w14:paraId="1D1968B1"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106 følger det bl.a., at hvis forpligtede enheder ikke overholder de administrative foranstaltninger inden for den fastsatte frist, skal tilsynsorganerne kunne lægge øget pres på den forpligtede enhed for straks at genoprette overholdelsen. Med henblik herpå bør det være muligt for tilsynsorganerne at pålægge tvangsbøder fra den frist, der er fastsat for at genoprette overholdelsen, herunder med tilbagevirkende kraft, når afgørelsen om at pålægge tvangsbøden træffes på et senere tidspunkt. Ved beregning af tvangsbødernes størrelse bør tilsynsorganerne tage hensyn til den forpligtede enheds samlede omsætning og typen og grovheden af den overtrædelse eller svaghed, som tilsynsforanstaltningen er rettet mod, for at sikre dens effektivitet og proportionalitet. I betragtning af målet med tvangsbøder om at presse en forpligtet enhed til at overholde en administrativ foranstaltning bør disse være tidsbegrænsede og finde anvendelse i højst seks måneder. Det bør være muligt for tilsynsorganerne at forlænge pålæggelsen af tvangsbøder med yderligere maksimalt seks måneder, men der bør overvejes alternative foranstaltninger til at afhjælpe en længerevarende situation med manglende overholdelse i overensstemmelse med den brede vifte af administrative foranstaltninger, som tilsynsorganerne kan anvende.</w:t>
      </w:r>
    </w:p>
    <w:p w14:paraId="72D211E2"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Direktivets artikel 58 omhandler offentliggørelse af bøder, administrative foranstaltninger og tvangsbøder.</w:t>
      </w:r>
    </w:p>
    <w:p w14:paraId="0005052A"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1, at medlemsstaterne sikrer, at tilsynsorganerne offentliggør afgørelser om pålæggelse af bøder, om anvendelse af administrative foranstaltninger omhandlet i artikel 56, stk. 2, litra c-g, truffet i henhold til artikel 56, stk. 1, litra a), eller om pålæggelse af tvangsbøder i et tilgængeligt format på deres websted. Bestemmelsen svarer sammen med stk. 2, første afsnit, og stk. 3 til 4. og 5. hvidvaskdirektivs artikel 60, stk. 1, dog således at der ved henvisningen til de administrative foranstaltninger er indskærpet, i hvilke tilfælde der skal ske offentliggørelse.</w:t>
      </w:r>
    </w:p>
    <w:p w14:paraId="5BA3CBB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stk. 2, første afsnit, at afgørelserne skal offentliggøres umiddelbart efter at de personer, der er ansvarlige for overtrædelsen er underrettede om de pågældende afgørelser. </w:t>
      </w:r>
    </w:p>
    <w:p w14:paraId="35C9F7F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stk. 2, andet afsnit, fremgår det, at hvis offentliggørelsen vedrører administrative foranstaltninger, som der er klaget over, og som ikke har til formål at afhjælpe alvorlige, gentagne og systematiske overtrædelser, kan det dog tillades, at offentliggørelsen af disse administrative foranstaltninger udsættes indtil udløbet af klagefristen. Bestemmelsen er ny.</w:t>
      </w:r>
    </w:p>
    <w:p w14:paraId="203A2B4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fremgår det af tredje afsnit, at når offentliggørelsen vedrører afgørelser, der kan påklages, offentliggør tilsynsorganerne også omgående sådanne oplysninger og enhver efterfølgende oplysning om en klage og resultatet af en sådan klage på deres websted. Enhver afgørelse, der annullerer en tidligere afgørelse om pålæggelse af en bøde, om anvendelse af en administrativ foranstaltning eller om pålæggelse af en tvangsbøde offentliggøres også. </w:t>
      </w:r>
    </w:p>
    <w:p w14:paraId="729A076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svarer til 4. og 5. hvidvaskdirektivs artikel 60, stk. 2.</w:t>
      </w:r>
    </w:p>
    <w:p w14:paraId="1A1AA308"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58, stk. 3, indeholder en række regler om, hvad offentliggørelsen skal indeholde, og hvornår der er mulighed for at gøre undtagelser fra offentliggørelsespligten, herunder hvilke oplysninger, som kan undtages offentliggørelsen.</w:t>
      </w:r>
    </w:p>
    <w:p w14:paraId="0AED2EC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bestemmelsens første afsnit, at offentliggørelsen mindst skal indeholde oplysninger om overtrædelsens type og art og om identiteten af de personer, der er ansvarlige, samt ved bøder og tvangsbøder, deres beløb. Medlemsstaterne er ikke forpligtet til at anvende dette afsnit på afgørelser om anvendelse af administrative foranstaltninger af efterforskningsmæssig karakter, eller som er truffet i henhold til artikel 56, stk. 2, litra a og c. </w:t>
      </w:r>
    </w:p>
    <w:p w14:paraId="4827EC4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til 4. og 5. hvidvaskdirektivs artikel 60, stk. 1, første afsnit, dog således at undtagelsen vedrørende artikel 56, stk. 2, litra a og c, er ny. </w:t>
      </w:r>
    </w:p>
    <w:p w14:paraId="3E9FEF7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bestemmelsens andet afsnit, at hvis tilsynsorganerne anser offentliggørelsen af identiteten på de ansvarlige personer som omhandlet i første afsnit eller sådanne personers personoplysninger for at være uforholdsmæssig efter en individuel vurdering, eller når offentliggørelsen bringer de finansielle markeders stabilitet eller en igangværende efterforskning i fare, skal tilsynsorganerne enten udsætte offentliggørelsen af afgørelsen, indtil begrundelsen for at undlade offentliggørelse ikke længere gør sig gældende (litra a), eller offentliggøre afgørelsen på anonymt grundlag på en måde, der er i overensstemmelse med national ret, hvis en sådan anonym offentliggørelse sikrer en effektiv beskyttelse af de pågældende personoplysninger, i så fald kan offentliggørelsen af de relevante oplysninger udsættes i et rimeligt tidsrum, hvis det forudsættes, at grundene til den anonyme offentliggørelse vil bortfalde inden for dette tidsrum (litra b). Tilsynsorganerne kan også helt undlade at offentliggøre afgørelsen, hvis de to første muligheder anses for at være utilstrækkelige til at sikre enten, at de finansielle markeders stabilitet ikke bringes i fare, eller at offentliggørelsen af afgørelsen står i et rimeligt forhold til bøder og administrative foranstaltninger for overtrædelser, der vurderes at være af mindre betydning (litra c). </w:t>
      </w:r>
    </w:p>
    <w:p w14:paraId="18B20D8F"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til 4. og 5. hvidvaskdirektivs artikel 60, stk. 1, andet afsnit. </w:t>
      </w:r>
    </w:p>
    <w:p w14:paraId="01BEE751"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artikel 58, stk. 4, at medlemsstaterne sikrer, at enhver offentliggørelse i henhold til denne artikel forbliver på tilsynsorganernes websted i fem år efter offentliggørelsen. Personoplysninger indeholdt i offentliggørelsen må dog kun forblive på tilsynsorganernes websted i det nødvendige tidsrum i overensstemmelse med de gældende databeskyttelsesregler og under ingen omstændigheder i mere end 5 år.</w:t>
      </w:r>
    </w:p>
    <w:p w14:paraId="13BCC307"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svarer til 4. og 5. hvidvaskdirektivs artikel 60, stk. 3, dog således at den absolutte grænse på 5 år er ny.</w:t>
      </w:r>
    </w:p>
    <w:p w14:paraId="4B92AAA7"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præambelbetragtning nr. 109, at offentliggørelse af en bøde eller administrativ foranstaltning for overtrædelse af hvidvaskforordningen også informerer andre enheder om de risici for hvidvask af penge og finansiering af terrorisme, der er forbundet med den forpligtede enhed, der er pålagt en sanktion, inden de indgår en forretningsforbindelse, og hjælper tilsynsorganer i andre medlemsstater i forbindelse med de risici, der er forbundet med en forpligtet enhed, når den driver grænseoverskridende virksomhed i deres medlemsstat. Af disse grunde bør kravet om offentliggørelse af afgørelser om bøder, der ikke kan påklages, bekræftes, og det bør udvides til at omfatte offentliggørelse af visse administrative foranstaltninger, der anvendes for at afhjælpe overtrædelser af krav til bekæmpelse af hvidvask af penge og finansiering af terrorisme, og tvangsbøder. En sådan offentliggørelse bør imidlertid være forholdsmæssig, og når tilsynsorganerne træffer afgørelse om, hvorvidt en bøde eller administrativ foranstaltning skal offentliggøres, bør de tage hensyn til overtrædelsens grovhed og den afskrækkende virkning, som det er sandsynligt, at offentliggørelsen vil have. Med henblik herpå kunne medlemsstaterne beslutte at udsætte offentliggørelsen af administrative foranstaltninger, der kan påklages, når disse foranstaltninger anvendes til at afhjælpe en overtrædelse, der ikke er alvorlig, gentagen eller systematisk.</w:t>
      </w:r>
    </w:p>
    <w:p w14:paraId="54A9A19B"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59 regulerer udveksling af oplysninger om bøder og administrative foranstaltninger. </w:t>
      </w:r>
    </w:p>
    <w:p w14:paraId="0AA9A87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stk. 1 sikrer medlemsstaterne, at deres tilsynsorganer og, hvor det er relevant, den offentlige myndighed, der fører tilsyn med selvregulerende organer, i forbindelse med udøvelsen af deres tilsynsfunktioner underretter AMLA om alle bøder pålagt og administrative foranstaltninger anvendt i overensstemmelse med hvidvaskdirektivets kapitel IV, afdeling 4, herunder om alle klager i forbindelse hermed og resultatet af disse. Sådanne oplysninger udveksles også med andre tilsynsorganer, når bøden eller den administrative foranstaltning vedrører en enhed, der driver virksomhed i to eller flere medlemsstater. Bestemmelsen svarer indholdsmæssigt til 4. og 5. hvidvaskdirektivs artikel 62, stk. 1, dog således at 2. pkt. angående udvekslingen med tilsynsorganer vedrørende forpligtede enheder, der driver virksomhed i to eller flere medlemsstater, er ny.</w:t>
      </w:r>
    </w:p>
    <w:p w14:paraId="29B02842" w14:textId="34025C80" w:rsidR="00F67A32" w:rsidRPr="00796736" w:rsidRDefault="00F67A32" w:rsidP="00A802A5">
      <w:pPr>
        <w:pStyle w:val="Overskrift4"/>
        <w:rPr>
          <w:rFonts w:ascii="Times New Roman" w:hAnsi="Times New Roman" w:cs="Times New Roman"/>
          <w:sz w:val="24"/>
          <w:szCs w:val="24"/>
        </w:rPr>
      </w:pPr>
      <w:bookmarkStart w:id="1430" w:name="_Toc232109271"/>
      <w:r w:rsidRPr="00796736">
        <w:rPr>
          <w:rFonts w:ascii="Times New Roman" w:hAnsi="Times New Roman" w:cs="Times New Roman"/>
          <w:sz w:val="24"/>
          <w:szCs w:val="24"/>
        </w:rPr>
        <w:t>Justitsministeriets overvejelser og den foreslåede ordning</w:t>
      </w:r>
      <w:bookmarkEnd w:id="1430"/>
    </w:p>
    <w:p w14:paraId="660535B4" w14:textId="25A3BFFE"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_Ref232941362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3.69.2</w:t>
      </w:r>
      <w:r w:rsidR="00B16D3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hvidvaskdirektivets artikel 56, 58 og 59 – </w:t>
      </w:r>
      <w:r w:rsidR="00033703" w:rsidRPr="00796736">
        <w:rPr>
          <w:rFonts w:ascii="Times New Roman" w:hAnsi="Times New Roman" w:cs="Times New Roman"/>
          <w:sz w:val="24"/>
          <w:szCs w:val="24"/>
        </w:rPr>
        <w:t xml:space="preserve">ligesom 4. og 5. hvidvaskdirektivs artikel 48, 59, 60 og 62 – bestemmelser om tilsynsmyndighedernes muligheder for at pålægge administrative tilsynsforanstaltninger og -reaktioner ved overtrædelse mv. af regler på hvidvaskområdet samt om offentliggørelse og udveksling af </w:t>
      </w:r>
      <w:r w:rsidR="00033703">
        <w:rPr>
          <w:rFonts w:ascii="Times New Roman" w:hAnsi="Times New Roman" w:cs="Times New Roman"/>
          <w:sz w:val="24"/>
          <w:szCs w:val="24"/>
        </w:rPr>
        <w:t xml:space="preserve">oplysninger om </w:t>
      </w:r>
      <w:r w:rsidR="00033703" w:rsidRPr="00796736">
        <w:rPr>
          <w:rFonts w:ascii="Times New Roman" w:hAnsi="Times New Roman" w:cs="Times New Roman"/>
          <w:sz w:val="24"/>
          <w:szCs w:val="24"/>
        </w:rPr>
        <w:t>sådanne tilsynsforanstaltninger og -reaktioner. Dertil kommer, at der med hvidvaskdirektivet som noget nyt er tilføjet en bestemmelse om tvangsbøder i artikel 57. Dertil kommer at artikel 6 i 6. hvidvaskdirektiv pålægger medlemsstaterne at sikre, at tilsynsmyndighederne under visse omstændigheder kan afsætte et medlem af den øverste ledelse, ligesom tilsynsorganerne skal kunne adskille visse dømte reelle ejere fra forpligtede enheder.</w:t>
      </w:r>
    </w:p>
    <w:p w14:paraId="70EA3066" w14:textId="77777777" w:rsidR="00F67A32" w:rsidRPr="00796736" w:rsidRDefault="00F67A32" w:rsidP="00A802A5">
      <w:pPr>
        <w:spacing w:line="360" w:lineRule="auto"/>
        <w:rPr>
          <w:rFonts w:ascii="Times New Roman" w:hAnsi="Times New Roman" w:cs="Times New Roman"/>
          <w:sz w:val="24"/>
          <w:szCs w:val="24"/>
        </w:rPr>
      </w:pPr>
    </w:p>
    <w:p w14:paraId="634FBC7A"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Bestemmelserne i 4. og 5. hvidvaskdirektiv er for så vidt angår Advokatrådet og rådets tilsyn med advokater og advokatselskaber gennemført i hvidvasklovens § 64, stk. 2, og § 64 a, som suppleres af retsplejelovens almindelige regler om henholdsvis reguleringen af Advokatsamfundet og Advokatnævnet i kapitel 15 samt reaktionsmulighederne i disciplinærsager i kapitel 15 b. </w:t>
      </w:r>
    </w:p>
    <w:p w14:paraId="04FE853E" w14:textId="77777777" w:rsidR="00F67A32" w:rsidRPr="00796736" w:rsidRDefault="00F67A32" w:rsidP="00A802A5">
      <w:pPr>
        <w:spacing w:line="360" w:lineRule="auto"/>
        <w:rPr>
          <w:rFonts w:ascii="Times New Roman" w:hAnsi="Times New Roman" w:cs="Times New Roman"/>
          <w:sz w:val="24"/>
          <w:szCs w:val="24"/>
        </w:rPr>
      </w:pPr>
    </w:p>
    <w:p w14:paraId="334A44BC" w14:textId="7D5EC906"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56 og 4. og 5. hvidvaskdirektivs artikel 59 adskiller sig bl.a. ved, at administrative foranstaltninger efter artikel 56 kan pålægges i et videre omfang end efter artikel 59, idet det ikke kun er ved egentlige overtrædelser, at der kan blive pålagt administrative foranstaltninger. Derudover kan det f.eks. nævnes, at omfanget af administrative foranstaltninger er blevet udvidet til bl.a. at omfatte muligheden for at udstede henstillinger, påbyde gennemførelsen af specifikke korrigerende foranstaltninger og indskrænke eller begrænse forretningsaktiviteter mv. Endelig kan det nævnes, at det det nu fremgår af artikel 56, hvad tilsynsmyndighederne via de administrative foranstaltninger skal kunne. Ændringerne er nærmere beskrevet under pkt.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_Ref232941380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3.69.2</w:t>
      </w:r>
      <w:r w:rsidR="00B16D3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53CD7C14" w14:textId="77777777" w:rsidR="00C8501D" w:rsidRPr="00796736" w:rsidRDefault="00C8501D" w:rsidP="00A802A5">
      <w:pPr>
        <w:spacing w:line="360" w:lineRule="auto"/>
        <w:rPr>
          <w:rFonts w:ascii="Times New Roman" w:hAnsi="Times New Roman" w:cs="Times New Roman"/>
          <w:sz w:val="24"/>
          <w:szCs w:val="24"/>
        </w:rPr>
      </w:pPr>
    </w:p>
    <w:p w14:paraId="73A881A5" w14:textId="2555E210" w:rsidR="00C8501D" w:rsidRPr="00796736" w:rsidRDefault="00C850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6 og 4. og 5. hvidvaskdirektivs artikel 47, stk. 2 og 3, og artikel 62, stk. 2, adskiller sig bl.a. ved, at udvide de beføjelser, som tilsynsorganer skal tillægges i forhold til medlemmerne af de forpligtede enheders øverste ledelse. Som nævnt under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_Ref232941380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indebærer det blandt andet en mulighed for at anmode om, at enhver person, der er dømt for hvidvask af penge, de underliggende lovovertrædelser eller finansiering af terrorisme, fjernes fra den øverste ledelse, ligesom tilsynsorganerne nu skal have beføjelse til at adskille dømte personer, som er reelle ejere, fra forpligtede enheder, herunder ved at anmode dem om at afhænde deres besiddelse i de forpligtede enheder. Ændringerne i øvrigt er nærmere beskrevet under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_Ref232941380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3D81DAD2" w14:textId="77777777" w:rsidR="00F67A32" w:rsidRPr="00796736" w:rsidRDefault="00F67A32" w:rsidP="00A802A5">
      <w:pPr>
        <w:spacing w:line="360" w:lineRule="auto"/>
        <w:rPr>
          <w:rFonts w:ascii="Times New Roman" w:hAnsi="Times New Roman" w:cs="Times New Roman"/>
          <w:sz w:val="24"/>
          <w:szCs w:val="24"/>
        </w:rPr>
      </w:pPr>
    </w:p>
    <w:p w14:paraId="39B48C25" w14:textId="093E0E40"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58 og 4. og 5. hvidvaskdirektivs artikel 60 adskiller sig bl.a. ved, at det nu fremgår af bestemmelsens ordlyd, for hvilke tilfælde af administrative foranstaltninger der ikke skal ske offentliggørelse. Derudover følger det bl.a. som noget nyt af artikel 58, at hvis offentliggørelsen vedrører administrative foranstaltninger, som der er klaget over, og som ikke har til formål at afhjælpe alvorlige, gentagne og systematiske overtrædelser, kan det dog tillades, at offentliggørelsen af disse administrative foranstaltninger udsættes indtil udløbet af klagefristen. Ændringerne er nærmere beskrevet under pkt. </w:t>
      </w:r>
      <w:r w:rsidR="00B16D3D" w:rsidRPr="00796736">
        <w:rPr>
          <w:rFonts w:ascii="Times New Roman" w:hAnsi="Times New Roman" w:cs="Times New Roman"/>
          <w:sz w:val="24"/>
          <w:szCs w:val="24"/>
        </w:rPr>
        <w:fldChar w:fldCharType="begin"/>
      </w:r>
      <w:r w:rsidR="00B16D3D" w:rsidRPr="00796736">
        <w:rPr>
          <w:rFonts w:ascii="Times New Roman" w:hAnsi="Times New Roman" w:cs="Times New Roman"/>
          <w:sz w:val="24"/>
          <w:szCs w:val="24"/>
        </w:rPr>
        <w:instrText xml:space="preserve"> REF _Ref232941390 \n \h </w:instrText>
      </w:r>
      <w:r w:rsidR="00967618" w:rsidRPr="00796736">
        <w:rPr>
          <w:rFonts w:ascii="Times New Roman" w:hAnsi="Times New Roman" w:cs="Times New Roman"/>
          <w:sz w:val="24"/>
          <w:szCs w:val="24"/>
        </w:rPr>
        <w:instrText xml:space="preserve"> \* MERGEFORMAT </w:instrText>
      </w:r>
      <w:r w:rsidR="00B16D3D" w:rsidRPr="00796736">
        <w:rPr>
          <w:rFonts w:ascii="Times New Roman" w:hAnsi="Times New Roman" w:cs="Times New Roman"/>
          <w:sz w:val="24"/>
          <w:szCs w:val="24"/>
        </w:rPr>
      </w:r>
      <w:r w:rsidR="00B16D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3.69.2</w:t>
      </w:r>
      <w:r w:rsidR="00B16D3D"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5E7149D2" w14:textId="77777777" w:rsidR="00F67A32" w:rsidRPr="00796736" w:rsidRDefault="00F67A32" w:rsidP="00A802A5">
      <w:pPr>
        <w:spacing w:line="360" w:lineRule="auto"/>
        <w:rPr>
          <w:rFonts w:ascii="Times New Roman" w:hAnsi="Times New Roman" w:cs="Times New Roman"/>
          <w:sz w:val="24"/>
          <w:szCs w:val="24"/>
        </w:rPr>
      </w:pPr>
    </w:p>
    <w:p w14:paraId="3B29EA16" w14:textId="549FFA7F"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 hvidvaskdirektivets artikel 59 svarer som beskrevet under pkt. 3.</w:t>
      </w:r>
      <w:r w:rsidR="00EC32AD" w:rsidRPr="00796736">
        <w:rPr>
          <w:rFonts w:ascii="Times New Roman" w:hAnsi="Times New Roman" w:cs="Times New Roman"/>
          <w:sz w:val="24"/>
          <w:szCs w:val="24"/>
        </w:rPr>
        <w:t>72</w:t>
      </w:r>
      <w:r w:rsidRPr="00796736">
        <w:rPr>
          <w:rFonts w:ascii="Times New Roman" w:hAnsi="Times New Roman" w:cs="Times New Roman"/>
          <w:sz w:val="24"/>
          <w:szCs w:val="24"/>
        </w:rPr>
        <w:t xml:space="preserve">.2 til 4. og 5. hvidvaskdirektivs artikel 62 med visse ændringer. </w:t>
      </w:r>
    </w:p>
    <w:p w14:paraId="52061DF1" w14:textId="77777777" w:rsidR="00F67A32" w:rsidRPr="00796736" w:rsidRDefault="00F67A32" w:rsidP="00A802A5">
      <w:pPr>
        <w:spacing w:line="360" w:lineRule="auto"/>
        <w:rPr>
          <w:rFonts w:ascii="Times New Roman" w:hAnsi="Times New Roman" w:cs="Times New Roman"/>
          <w:sz w:val="24"/>
          <w:szCs w:val="24"/>
        </w:rPr>
      </w:pPr>
    </w:p>
    <w:p w14:paraId="4FB7791F" w14:textId="29BB22E0" w:rsidR="00F67A32" w:rsidRPr="00796736" w:rsidRDefault="00A33270"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Det foreslås i overensstemmelse med direktivets bestemmelser, at der indføres nye bestemmelser om Advokatrådets</w:t>
      </w:r>
      <w:r>
        <w:rPr>
          <w:rFonts w:ascii="Times New Roman" w:hAnsi="Times New Roman" w:cs="Times New Roman"/>
          <w:sz w:val="24"/>
          <w:szCs w:val="24"/>
        </w:rPr>
        <w:t xml:space="preserve"> muligheder for at udstede påbud overfor advokater</w:t>
      </w:r>
      <w:r w:rsidRPr="00D253F0">
        <w:rPr>
          <w:rFonts w:ascii="Times New Roman" w:hAnsi="Times New Roman" w:cs="Times New Roman"/>
          <w:sz w:val="24"/>
          <w:szCs w:val="24"/>
        </w:rPr>
        <w:t xml:space="preserve"> og Advokatnævnets muligheder for efter indstilling fra Advokatrådet at </w:t>
      </w:r>
      <w:r>
        <w:rPr>
          <w:rFonts w:ascii="Times New Roman" w:hAnsi="Times New Roman" w:cs="Times New Roman"/>
          <w:sz w:val="24"/>
          <w:szCs w:val="24"/>
        </w:rPr>
        <w:t>iværksætte</w:t>
      </w:r>
      <w:r w:rsidRPr="00D253F0">
        <w:rPr>
          <w:rFonts w:ascii="Times New Roman" w:hAnsi="Times New Roman" w:cs="Times New Roman"/>
          <w:sz w:val="24"/>
          <w:szCs w:val="24"/>
        </w:rPr>
        <w:t xml:space="preserve"> administrative foranstaltninger for </w:t>
      </w:r>
      <w:r>
        <w:rPr>
          <w:rFonts w:ascii="Times New Roman" w:hAnsi="Times New Roman" w:cs="Times New Roman"/>
          <w:sz w:val="24"/>
          <w:szCs w:val="24"/>
        </w:rPr>
        <w:t>manglende efterlevelse mv. af reglerne</w:t>
      </w:r>
      <w:r w:rsidRPr="00D253F0">
        <w:rPr>
          <w:rFonts w:ascii="Times New Roman" w:hAnsi="Times New Roman" w:cs="Times New Roman"/>
          <w:sz w:val="24"/>
          <w:szCs w:val="24"/>
        </w:rPr>
        <w:t xml:space="preserve"> på hvidvaskområdet samt for </w:t>
      </w:r>
      <w:r w:rsidR="002128F7" w:rsidRPr="00D253F0">
        <w:rPr>
          <w:rFonts w:ascii="Times New Roman" w:hAnsi="Times New Roman" w:cs="Times New Roman"/>
          <w:sz w:val="24"/>
          <w:szCs w:val="24"/>
        </w:rPr>
        <w:t xml:space="preserve">Advokatrådets offentliggørelsen og udvekslingen af oplysninger herom i </w:t>
      </w:r>
      <w:r w:rsidR="00F67A32" w:rsidRPr="00796736">
        <w:rPr>
          <w:rFonts w:ascii="Times New Roman" w:hAnsi="Times New Roman" w:cs="Times New Roman"/>
          <w:sz w:val="24"/>
          <w:szCs w:val="24"/>
        </w:rPr>
        <w:t>§</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_Ref232609304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101</w:t>
      </w:r>
      <w:r w:rsidR="00F97178" w:rsidRPr="00796736">
        <w:rPr>
          <w:rFonts w:ascii="Times New Roman" w:hAnsi="Times New Roman" w:cs="Times New Roman"/>
          <w:sz w:val="24"/>
          <w:szCs w:val="24"/>
        </w:rPr>
        <w:fldChar w:fldCharType="end"/>
      </w:r>
      <w:r w:rsidR="0092113C" w:rsidRPr="00796736">
        <w:rPr>
          <w:rFonts w:ascii="Times New Roman" w:hAnsi="Times New Roman" w:cs="Times New Roman"/>
          <w:sz w:val="24"/>
          <w:szCs w:val="24"/>
        </w:rPr>
        <w:t>-</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_Ref232609331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108</w:t>
      </w:r>
      <w:r w:rsidR="00F97178" w:rsidRPr="00796736">
        <w:rPr>
          <w:rFonts w:ascii="Times New Roman" w:hAnsi="Times New Roman" w:cs="Times New Roman"/>
          <w:sz w:val="24"/>
          <w:szCs w:val="24"/>
        </w:rPr>
        <w:fldChar w:fldCharType="end"/>
      </w:r>
      <w:r w:rsidR="00F67A32" w:rsidRPr="00796736">
        <w:rPr>
          <w:rFonts w:ascii="Times New Roman" w:hAnsi="Times New Roman" w:cs="Times New Roman"/>
          <w:sz w:val="24"/>
          <w:szCs w:val="24"/>
        </w:rPr>
        <w:t xml:space="preserve">. </w:t>
      </w:r>
    </w:p>
    <w:p w14:paraId="4CAE7A8B" w14:textId="77777777" w:rsidR="00F67A32" w:rsidRPr="00796736" w:rsidRDefault="00F67A32" w:rsidP="00A802A5">
      <w:pPr>
        <w:spacing w:line="360" w:lineRule="auto"/>
        <w:rPr>
          <w:rFonts w:ascii="Times New Roman" w:hAnsi="Times New Roman" w:cs="Times New Roman"/>
          <w:sz w:val="24"/>
          <w:szCs w:val="24"/>
        </w:rPr>
      </w:pPr>
    </w:p>
    <w:p w14:paraId="19A4E933" w14:textId="0A20943A" w:rsidR="0092113C"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for det første i </w:t>
      </w:r>
      <w:r w:rsidR="00884187">
        <w:rPr>
          <w:rFonts w:ascii="Times New Roman" w:hAnsi="Times New Roman" w:cs="Times New Roman"/>
          <w:sz w:val="24"/>
          <w:szCs w:val="24"/>
        </w:rPr>
        <w:t>§§102</w:t>
      </w:r>
      <w:r w:rsidRPr="00796736">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_Ref232609331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108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indføre en række bestemmelser om administrative foranstaltninger, hvorefter Advokatnævnet efter indstilling fra Advokatrådet inden for en af nævnet fastsat frist kan iværksætte administrative foranstaltninger i tilfælde omfattet af det foreslåede</w:t>
      </w:r>
      <w:r w:rsidR="00D73436">
        <w:rPr>
          <w:rFonts w:ascii="Times New Roman" w:hAnsi="Times New Roman" w:cs="Times New Roman"/>
          <w:sz w:val="24"/>
          <w:szCs w:val="24"/>
        </w:rPr>
        <w:t>§ 102</w:t>
      </w:r>
      <w:r w:rsidRPr="00796736">
        <w:rPr>
          <w:rFonts w:ascii="Times New Roman" w:hAnsi="Times New Roman" w:cs="Times New Roman"/>
          <w:sz w:val="24"/>
          <w:szCs w:val="24"/>
        </w:rPr>
        <w:t xml:space="preserve">, stk. 1, nr. 1-3, over for advokater under nærmere angivne omstændigheder. Intensiteten af den administrative foranstaltning vil efter det foreslåede afhænge af, om der er tale om en egentlig overtrædelse af reglerne eller om der blot foreligger en risiko herfor på grund af svagheder i eller andre uforholdsmæssigheder ved interne politikker, procedurer og kontroller hos advokaterne eller advokatselskaberne under tilsyn. De processuelle sager for nævnets behandling af sagerne vil skulle følge retsplejelovens kapitel 15 b. </w:t>
      </w:r>
    </w:p>
    <w:p w14:paraId="5722B039" w14:textId="77777777" w:rsidR="00A23FCB" w:rsidRDefault="00A23FCB" w:rsidP="00A23FCB">
      <w:pPr>
        <w:spacing w:line="360" w:lineRule="auto"/>
        <w:rPr>
          <w:rFonts w:ascii="Times New Roman" w:hAnsi="Times New Roman" w:cs="Times New Roman"/>
          <w:sz w:val="24"/>
          <w:szCs w:val="24"/>
        </w:rPr>
      </w:pPr>
    </w:p>
    <w:p w14:paraId="7E40DF55" w14:textId="34BEF636" w:rsidR="00A23FCB" w:rsidRPr="00796736" w:rsidRDefault="00A23FCB"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Advokatrådet vil – ligesom i dag – endvidere kunne meddele advokater påbud. Af hensyn til at styrke retssikkerheden for advokater foreslås det som noget nyt, at Advokatrådets påbud efter hvidvaskloven vil kunne indbringes for Advokatnævnet, hvorefter nævnet vil have mulighed for at prøve påbuddets forholdsmæssighed. Det foreslåede indebærer ikke, at Advokatnævnet tillægges tilsynsfunktioner efter loven. </w:t>
      </w:r>
    </w:p>
    <w:p w14:paraId="6692F85B" w14:textId="77777777" w:rsidR="0092113C" w:rsidRPr="00796736" w:rsidRDefault="0092113C" w:rsidP="00A802A5">
      <w:pPr>
        <w:spacing w:line="360" w:lineRule="auto"/>
        <w:rPr>
          <w:rFonts w:ascii="Times New Roman" w:hAnsi="Times New Roman" w:cs="Times New Roman"/>
          <w:sz w:val="24"/>
          <w:szCs w:val="24"/>
        </w:rPr>
      </w:pPr>
    </w:p>
    <w:p w14:paraId="2F4EA90E" w14:textId="77777777" w:rsidR="0092113C"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 foreslåede bestemmelser vil i tråd med retsplejelovens bestemmelser kunne iværksættes i perioder, som spænder fra 1 måned til 5 år eller indtil videre og vil alle ledsages af frister for deres gennemførelse. Af hensyn til at sikre, at foranstaltningerne er proportionale med de konstaterede overtrædelser, svagheder eller risici herfor, vil afgørelser herom endvidere kunne gøres betingede, ligesom tilfældet er for Advokatnævnets afgørelser efter retsplejeloven.</w:t>
      </w:r>
    </w:p>
    <w:p w14:paraId="3083B87F" w14:textId="77777777" w:rsidR="002128F7" w:rsidRDefault="002128F7" w:rsidP="00A802A5">
      <w:pPr>
        <w:spacing w:line="360" w:lineRule="auto"/>
        <w:rPr>
          <w:rFonts w:ascii="Times New Roman" w:hAnsi="Times New Roman" w:cs="Times New Roman"/>
          <w:sz w:val="24"/>
          <w:szCs w:val="24"/>
        </w:rPr>
      </w:pPr>
    </w:p>
    <w:p w14:paraId="534E8E1B" w14:textId="2EBDC0EA" w:rsidR="002128F7" w:rsidRDefault="00A23FCB" w:rsidP="00A802A5">
      <w:pPr>
        <w:spacing w:line="360" w:lineRule="auto"/>
        <w:rPr>
          <w:rFonts w:ascii="Times New Roman" w:hAnsi="Times New Roman" w:cs="Times New Roman"/>
          <w:sz w:val="24"/>
          <w:szCs w:val="24"/>
        </w:rPr>
      </w:pPr>
      <w:r>
        <w:rPr>
          <w:rFonts w:ascii="Times New Roman" w:hAnsi="Times New Roman" w:cs="Times New Roman"/>
          <w:sz w:val="24"/>
          <w:szCs w:val="24"/>
        </w:rPr>
        <w:t>D</w:t>
      </w:r>
      <w:r w:rsidR="002128F7">
        <w:rPr>
          <w:rFonts w:ascii="Times New Roman" w:hAnsi="Times New Roman" w:cs="Times New Roman"/>
          <w:sz w:val="24"/>
          <w:szCs w:val="24"/>
        </w:rPr>
        <w:t>et foreslåede vil indebære, at Advokatnævnet vil have mulighed for at tage spørgsmål om advokaters efterlevelse af hvidvaskreglerne under selvstændig pådømmelse, dvs. uden, at det er knyttet til vurderingen af, om der derved er sket en overtrædelse af god advokatskik, jf. retsplejelovens § 126, stk. 1, ligesom Advokatnævnet for sådanne overtrædelser vil kunne iværksætte foranstaltninger efter de foreslåede bestemmelser som reaktion på sådanne overtrædelser. Det forudsættes imidlertid, at Advokatrådet ved indledningen af sager om den manglende efterlevelse af hvidvaskreguleringen ved samme lejlighed vil skulle tage stilling til, om forholdet eller forholdene under pådømmelse tillige udgør en tilsidesættelse om god advokatskik, hvilket Advokatnævnet ved samme lejlighed vil kunne tage stilling til</w:t>
      </w:r>
      <w:r w:rsidR="007A7307">
        <w:rPr>
          <w:rFonts w:ascii="Times New Roman" w:hAnsi="Times New Roman" w:cs="Times New Roman"/>
          <w:sz w:val="24"/>
          <w:szCs w:val="24"/>
        </w:rPr>
        <w:t xml:space="preserve"> og sanktionere efter retsplejelovens almindelige regler.</w:t>
      </w:r>
    </w:p>
    <w:p w14:paraId="07AE9115" w14:textId="77777777" w:rsidR="002128F7" w:rsidRDefault="002128F7" w:rsidP="00A802A5">
      <w:pPr>
        <w:spacing w:line="360" w:lineRule="auto"/>
        <w:rPr>
          <w:rFonts w:ascii="Times New Roman" w:hAnsi="Times New Roman" w:cs="Times New Roman"/>
          <w:sz w:val="24"/>
          <w:szCs w:val="24"/>
        </w:rPr>
      </w:pPr>
    </w:p>
    <w:p w14:paraId="4CFAF9D0" w14:textId="7F2F783E" w:rsidR="002128F7" w:rsidRPr="00796736" w:rsidRDefault="002128F7" w:rsidP="00A802A5">
      <w:pPr>
        <w:spacing w:line="360" w:lineRule="auto"/>
        <w:rPr>
          <w:rFonts w:ascii="Times New Roman" w:hAnsi="Times New Roman" w:cs="Times New Roman"/>
          <w:sz w:val="24"/>
          <w:szCs w:val="24"/>
        </w:rPr>
      </w:pPr>
      <w:r>
        <w:rPr>
          <w:rFonts w:ascii="Times New Roman" w:hAnsi="Times New Roman" w:cs="Times New Roman"/>
          <w:sz w:val="24"/>
          <w:szCs w:val="24"/>
        </w:rPr>
        <w:t>Henset til karakteren af direktivets bestemmelse om bøder i artikel 55, herunder de momenter, som skal indgå i vurderingen af overtrædelsen og bødens størrelse, og som vil skulle gælde for advokater, er det Justitsministeriets vurdering, at bøder for overtrædelse af hvidvaskreguleringen ikke kan rummes af den eksisterende praksis for disciplinære sanktioner i Advokatnævnet. Dette ændrer imidlertid ikke på, at Advokatnævnet som hidtil vil kunne pålægge bøder for tilsidesættelse af god advokatskik, også i sager, hvor den manglende overholdelse af god advokatskik skyldes en den manglende efterlevelse af hvidvaskreguleringen. Vurderer Advokatrådet, at en advokatens manglende efterlevelse er af en sådan karakter, at den efter Advokatrådets skøn udgør en strafbar handling eller undladelse, jf.</w:t>
      </w:r>
      <w:r w:rsidR="007A7307">
        <w:rPr>
          <w:rFonts w:ascii="Times New Roman" w:hAnsi="Times New Roman" w:cs="Times New Roman"/>
          <w:sz w:val="24"/>
          <w:szCs w:val="24"/>
        </w:rPr>
        <w:t xml:space="preserve"> </w:t>
      </w:r>
      <w:r w:rsidR="007A7307">
        <w:rPr>
          <w:rFonts w:ascii="Times New Roman" w:hAnsi="Times New Roman" w:cs="Times New Roman"/>
          <w:sz w:val="24"/>
          <w:szCs w:val="24"/>
        </w:rPr>
        <w:fldChar w:fldCharType="begin"/>
      </w:r>
      <w:r w:rsidR="007A7307">
        <w:rPr>
          <w:rFonts w:ascii="Times New Roman" w:hAnsi="Times New Roman" w:cs="Times New Roman"/>
          <w:sz w:val="24"/>
          <w:szCs w:val="24"/>
        </w:rPr>
        <w:instrText xml:space="preserve"> REF _Ref242963797 \r \h </w:instrText>
      </w:r>
      <w:r w:rsidR="007A7307">
        <w:rPr>
          <w:rFonts w:ascii="Times New Roman" w:hAnsi="Times New Roman" w:cs="Times New Roman"/>
          <w:sz w:val="24"/>
          <w:szCs w:val="24"/>
        </w:rPr>
      </w:r>
      <w:r w:rsidR="007A7307">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7A7307">
        <w:rPr>
          <w:rFonts w:ascii="Times New Roman" w:hAnsi="Times New Roman" w:cs="Times New Roman"/>
          <w:sz w:val="24"/>
          <w:szCs w:val="24"/>
        </w:rPr>
        <w:fldChar w:fldCharType="end"/>
      </w:r>
      <w:r w:rsidR="007A7307">
        <w:rPr>
          <w:rFonts w:ascii="Times New Roman" w:hAnsi="Times New Roman" w:cs="Times New Roman"/>
          <w:sz w:val="24"/>
          <w:szCs w:val="24"/>
        </w:rPr>
        <w:t>,</w:t>
      </w:r>
      <w:r>
        <w:rPr>
          <w:rFonts w:ascii="Times New Roman" w:hAnsi="Times New Roman" w:cs="Times New Roman"/>
          <w:sz w:val="24"/>
          <w:szCs w:val="24"/>
        </w:rPr>
        <w:t xml:space="preserve"> vil Advokatrådet skulle indgive en politianmeldelse til politiet, hvilket imidlertid forudsættes at være sjældnere forekommende.  </w:t>
      </w:r>
    </w:p>
    <w:p w14:paraId="039279E4" w14:textId="77777777" w:rsidR="00F67A32" w:rsidRPr="00796736" w:rsidRDefault="00F67A32" w:rsidP="00A802A5">
      <w:pPr>
        <w:spacing w:line="360" w:lineRule="auto"/>
        <w:rPr>
          <w:rFonts w:ascii="Times New Roman" w:hAnsi="Times New Roman" w:cs="Times New Roman"/>
          <w:sz w:val="24"/>
          <w:szCs w:val="24"/>
        </w:rPr>
      </w:pPr>
    </w:p>
    <w:p w14:paraId="255AC18C" w14:textId="3FC4CD2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gennemfører hvidvaskdirektivets artikel </w:t>
      </w:r>
      <w:r w:rsidR="00C8501D" w:rsidRPr="00796736">
        <w:rPr>
          <w:rFonts w:ascii="Times New Roman" w:hAnsi="Times New Roman" w:cs="Times New Roman"/>
          <w:sz w:val="24"/>
          <w:szCs w:val="24"/>
        </w:rPr>
        <w:t xml:space="preserve">6, </w:t>
      </w:r>
      <w:r w:rsidRPr="00796736">
        <w:rPr>
          <w:rFonts w:ascii="Times New Roman" w:hAnsi="Times New Roman" w:cs="Times New Roman"/>
          <w:sz w:val="24"/>
          <w:szCs w:val="24"/>
        </w:rPr>
        <w:t xml:space="preserve">56 og 57. </w:t>
      </w:r>
    </w:p>
    <w:p w14:paraId="25BFE7A9" w14:textId="77777777" w:rsidR="00F67A32" w:rsidRPr="00796736" w:rsidRDefault="00F67A32" w:rsidP="00A802A5">
      <w:pPr>
        <w:spacing w:line="360" w:lineRule="auto"/>
        <w:rPr>
          <w:rFonts w:ascii="Times New Roman" w:hAnsi="Times New Roman" w:cs="Times New Roman"/>
          <w:sz w:val="24"/>
          <w:szCs w:val="24"/>
        </w:rPr>
      </w:pPr>
    </w:p>
    <w:p w14:paraId="4E270307" w14:textId="23C73E31"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for det andet i </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_Ref232609331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108</w:t>
      </w:r>
      <w:r w:rsidR="00F97178" w:rsidRPr="00796736">
        <w:rPr>
          <w:rFonts w:ascii="Times New Roman" w:hAnsi="Times New Roman" w:cs="Times New Roman"/>
          <w:sz w:val="24"/>
          <w:szCs w:val="24"/>
        </w:rPr>
        <w:fldChar w:fldCharType="end"/>
      </w:r>
      <w:r w:rsidR="00F97178" w:rsidRPr="00796736">
        <w:rPr>
          <w:rFonts w:ascii="Times New Roman" w:hAnsi="Times New Roman" w:cs="Times New Roman"/>
          <w:sz w:val="24"/>
          <w:szCs w:val="24"/>
        </w:rPr>
        <w:t xml:space="preserve"> </w:t>
      </w:r>
      <w:r w:rsidR="00B96B9B" w:rsidRPr="00796736">
        <w:rPr>
          <w:rFonts w:ascii="Times New Roman" w:hAnsi="Times New Roman" w:cs="Times New Roman"/>
          <w:sz w:val="24"/>
          <w:szCs w:val="24"/>
        </w:rPr>
        <w:t xml:space="preserve">at indføre en bestemmelse om offentliggørelse af administrative tilsynsreaktioner og -foranstaltninger på Advokatsamfundets hjemmeside, som gennemfører direktivets artikel 58 for så vidt angår </w:t>
      </w:r>
      <w:r w:rsidR="00B96B9B">
        <w:rPr>
          <w:rFonts w:ascii="Times New Roman" w:hAnsi="Times New Roman" w:cs="Times New Roman"/>
          <w:sz w:val="24"/>
          <w:szCs w:val="24"/>
        </w:rPr>
        <w:t>tilsynet med advokater og de administrative foranstaltninger, der træffes som led i den foreslåede ordning</w:t>
      </w:r>
      <w:r w:rsidR="00B96B9B" w:rsidRPr="00796736">
        <w:rPr>
          <w:rFonts w:ascii="Times New Roman" w:hAnsi="Times New Roman" w:cs="Times New Roman"/>
          <w:sz w:val="24"/>
          <w:szCs w:val="24"/>
        </w:rPr>
        <w:t xml:space="preserve">. Efter den foreslåede bestemmelse vil Advokatrådet som udgangspunkt skulle offentliggøre alle afgørelser om tilsynsreaktioner og -foranstaltninger efter </w:t>
      </w:r>
      <w:r w:rsidR="00F97178" w:rsidRPr="00796736">
        <w:rPr>
          <w:rFonts w:ascii="Times New Roman" w:hAnsi="Times New Roman" w:cs="Times New Roman"/>
          <w:sz w:val="24"/>
          <w:szCs w:val="24"/>
        </w:rPr>
        <w:t>§</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_Ref232609193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00F97178" w:rsidRPr="00796736">
        <w:rPr>
          <w:rFonts w:ascii="Times New Roman" w:hAnsi="Times New Roman" w:cs="Times New Roman"/>
          <w:sz w:val="24"/>
          <w:szCs w:val="24"/>
        </w:rPr>
        <w:fldChar w:fldCharType="end"/>
      </w:r>
      <w:r w:rsidR="00F97178" w:rsidRPr="00796736">
        <w:rPr>
          <w:rFonts w:ascii="Times New Roman" w:hAnsi="Times New Roman" w:cs="Times New Roman"/>
          <w:sz w:val="24"/>
          <w:szCs w:val="24"/>
        </w:rPr>
        <w:t xml:space="preserve"> og</w:t>
      </w:r>
      <w:r w:rsidR="00C8501D" w:rsidRPr="00796736">
        <w:rPr>
          <w:rFonts w:ascii="Times New Roman" w:hAnsi="Times New Roman" w:cs="Times New Roman"/>
          <w:sz w:val="24"/>
          <w:szCs w:val="24"/>
        </w:rPr>
        <w:t xml:space="preserve"> </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_Ref232609241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99</w:t>
      </w:r>
      <w:r w:rsidR="00F97178" w:rsidRPr="00796736">
        <w:rPr>
          <w:rFonts w:ascii="Times New Roman" w:hAnsi="Times New Roman" w:cs="Times New Roman"/>
          <w:sz w:val="24"/>
          <w:szCs w:val="24"/>
        </w:rPr>
        <w:fldChar w:fldCharType="end"/>
      </w:r>
      <w:r w:rsidR="00F97178"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samt </w:t>
      </w:r>
      <w:r w:rsidR="00431851">
        <w:rPr>
          <w:rFonts w:ascii="Times New Roman" w:hAnsi="Times New Roman" w:cs="Times New Roman"/>
          <w:sz w:val="24"/>
          <w:szCs w:val="24"/>
        </w:rPr>
        <w:fldChar w:fldCharType="begin"/>
      </w:r>
      <w:r w:rsidR="00431851">
        <w:rPr>
          <w:rFonts w:ascii="Times New Roman" w:hAnsi="Times New Roman" w:cs="Times New Roman"/>
          <w:sz w:val="24"/>
          <w:szCs w:val="24"/>
        </w:rPr>
        <w:instrText xml:space="preserve"> REF _Ref244787564 \r \h </w:instrText>
      </w:r>
      <w:r w:rsidR="00431851">
        <w:rPr>
          <w:rFonts w:ascii="Times New Roman" w:hAnsi="Times New Roman" w:cs="Times New Roman"/>
          <w:sz w:val="24"/>
          <w:szCs w:val="24"/>
        </w:rPr>
      </w:r>
      <w:r w:rsidR="00431851">
        <w:rPr>
          <w:rFonts w:ascii="Times New Roman" w:hAnsi="Times New Roman" w:cs="Times New Roman"/>
          <w:sz w:val="24"/>
          <w:szCs w:val="24"/>
        </w:rPr>
        <w:fldChar w:fldCharType="separate"/>
      </w:r>
      <w:r w:rsidR="008F29E5">
        <w:rPr>
          <w:rFonts w:ascii="Times New Roman" w:hAnsi="Times New Roman" w:cs="Times New Roman"/>
          <w:sz w:val="24"/>
          <w:szCs w:val="24"/>
        </w:rPr>
        <w:t>102</w:t>
      </w:r>
      <w:r w:rsidR="00431851">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som vedrører overtrædelser af reglerne nævnt i </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_Ref232609304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101</w:t>
      </w:r>
      <w:r w:rsidR="00F97178"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medmindre de foreslåede undtagelser og modifikationer opregnet i de foreslåede </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_Ref232609331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108</w:t>
      </w:r>
      <w:r w:rsidR="00F97178"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2-9, finder anvendelse. </w:t>
      </w:r>
    </w:p>
    <w:p w14:paraId="49AC0C11" w14:textId="77777777" w:rsidR="00F67A32" w:rsidRPr="00796736" w:rsidRDefault="00F67A32" w:rsidP="00A802A5">
      <w:pPr>
        <w:spacing w:line="360" w:lineRule="auto"/>
        <w:rPr>
          <w:rFonts w:ascii="Times New Roman" w:hAnsi="Times New Roman" w:cs="Times New Roman"/>
          <w:sz w:val="24"/>
          <w:szCs w:val="24"/>
        </w:rPr>
      </w:pPr>
    </w:p>
    <w:p w14:paraId="6857D0EC"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den nuværende retstilstand videreføres med de ændringer, der følger af hvidvaskdirektivets artikel 58, sammenholdt med artikel 56 og 57. Det bemærkes i den forbindelse, at det efter direktivet er et krav, at der gennemføres bestemmelser om offentliggørelsen af afgørelser om administrative tilsynsreaktioner og -foranstaltninger.</w:t>
      </w:r>
    </w:p>
    <w:p w14:paraId="0BF6EB65" w14:textId="77777777" w:rsidR="00F67A32" w:rsidRPr="00796736" w:rsidRDefault="00F67A32" w:rsidP="00A802A5">
      <w:pPr>
        <w:spacing w:line="360" w:lineRule="auto"/>
        <w:rPr>
          <w:rFonts w:ascii="Times New Roman" w:hAnsi="Times New Roman" w:cs="Times New Roman"/>
          <w:sz w:val="24"/>
          <w:szCs w:val="24"/>
        </w:rPr>
      </w:pPr>
    </w:p>
    <w:p w14:paraId="1AB12642" w14:textId="60C37999"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den forbindelse, at der indsættes en underretningsforpligtelse af AMLA om reaktioner og foranstaltninger iværksat efter de foreslåede §</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_Ref232609193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00F97178" w:rsidRPr="00796736">
        <w:rPr>
          <w:rFonts w:ascii="Times New Roman" w:hAnsi="Times New Roman" w:cs="Times New Roman"/>
          <w:sz w:val="24"/>
          <w:szCs w:val="24"/>
        </w:rPr>
        <w:fldChar w:fldCharType="end"/>
      </w:r>
      <w:r w:rsidR="00F97178" w:rsidRPr="00796736">
        <w:rPr>
          <w:rFonts w:ascii="Times New Roman" w:hAnsi="Times New Roman" w:cs="Times New Roman"/>
          <w:sz w:val="24"/>
          <w:szCs w:val="24"/>
        </w:rPr>
        <w:t xml:space="preserve"> </w:t>
      </w:r>
      <w:r w:rsidRPr="00796736">
        <w:rPr>
          <w:rFonts w:ascii="Times New Roman" w:hAnsi="Times New Roman" w:cs="Times New Roman"/>
          <w:sz w:val="24"/>
          <w:szCs w:val="24"/>
        </w:rPr>
        <w:t>-</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_Ref232609304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101</w:t>
      </w:r>
      <w:r w:rsidR="00F97178" w:rsidRPr="00796736">
        <w:rPr>
          <w:rFonts w:ascii="Times New Roman" w:hAnsi="Times New Roman" w:cs="Times New Roman"/>
          <w:sz w:val="24"/>
          <w:szCs w:val="24"/>
        </w:rPr>
        <w:fldChar w:fldCharType="end"/>
      </w:r>
      <w:r w:rsidRPr="00796736">
        <w:rPr>
          <w:rFonts w:ascii="Times New Roman" w:hAnsi="Times New Roman" w:cs="Times New Roman"/>
          <w:sz w:val="24"/>
          <w:szCs w:val="24"/>
        </w:rPr>
        <w:t>, herunder klager over disse, ligesom Advokatrådet i medfør af den foreslåede bestemmelse vil skulle underrette tilsynsmyndighederne i andre lande, hvor advokaten eller advokatselskabet tillige driver virksomhed.</w:t>
      </w:r>
    </w:p>
    <w:p w14:paraId="19157E08" w14:textId="77777777" w:rsidR="00F67A32" w:rsidRPr="00796736" w:rsidRDefault="00F67A32" w:rsidP="00A802A5">
      <w:pPr>
        <w:spacing w:line="360" w:lineRule="auto"/>
        <w:rPr>
          <w:rFonts w:ascii="Times New Roman" w:hAnsi="Times New Roman" w:cs="Times New Roman"/>
          <w:sz w:val="24"/>
          <w:szCs w:val="24"/>
        </w:rPr>
      </w:pPr>
    </w:p>
    <w:p w14:paraId="7776A64E" w14:textId="4D842E2B" w:rsidR="0089599F"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F97178" w:rsidRPr="00796736">
        <w:rPr>
          <w:rFonts w:ascii="Times New Roman" w:hAnsi="Times New Roman" w:cs="Times New Roman"/>
          <w:sz w:val="24"/>
          <w:szCs w:val="24"/>
        </w:rPr>
        <w:t>§</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_Ref232609304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101</w:t>
      </w:r>
      <w:r w:rsidR="00F97178" w:rsidRPr="00796736">
        <w:rPr>
          <w:rFonts w:ascii="Times New Roman" w:hAnsi="Times New Roman" w:cs="Times New Roman"/>
          <w:sz w:val="24"/>
          <w:szCs w:val="24"/>
        </w:rPr>
        <w:fldChar w:fldCharType="end"/>
      </w:r>
      <w:r w:rsidR="00F97178" w:rsidRPr="00796736">
        <w:rPr>
          <w:rFonts w:ascii="Times New Roman" w:hAnsi="Times New Roman" w:cs="Times New Roman"/>
          <w:sz w:val="24"/>
          <w:szCs w:val="24"/>
        </w:rPr>
        <w:t xml:space="preserve"> og </w:t>
      </w:r>
      <w:r w:rsidR="00F97178" w:rsidRPr="00796736">
        <w:rPr>
          <w:rFonts w:ascii="Times New Roman" w:hAnsi="Times New Roman" w:cs="Times New Roman"/>
          <w:sz w:val="24"/>
          <w:szCs w:val="24"/>
        </w:rPr>
        <w:fldChar w:fldCharType="begin"/>
      </w:r>
      <w:r w:rsidR="00F97178" w:rsidRPr="00796736">
        <w:rPr>
          <w:rFonts w:ascii="Times New Roman" w:hAnsi="Times New Roman" w:cs="Times New Roman"/>
          <w:sz w:val="24"/>
          <w:szCs w:val="24"/>
        </w:rPr>
        <w:instrText xml:space="preserve"> REF _Ref232609331 \r \h </w:instrText>
      </w:r>
      <w:r w:rsidR="00967618" w:rsidRPr="00796736">
        <w:rPr>
          <w:rFonts w:ascii="Times New Roman" w:hAnsi="Times New Roman" w:cs="Times New Roman"/>
          <w:sz w:val="24"/>
          <w:szCs w:val="24"/>
        </w:rPr>
        <w:instrText xml:space="preserve"> \* MERGEFORMAT </w:instrText>
      </w:r>
      <w:r w:rsidR="00F97178" w:rsidRPr="00796736">
        <w:rPr>
          <w:rFonts w:ascii="Times New Roman" w:hAnsi="Times New Roman" w:cs="Times New Roman"/>
          <w:sz w:val="24"/>
          <w:szCs w:val="24"/>
        </w:rPr>
      </w:r>
      <w:r w:rsidR="00F97178" w:rsidRPr="00796736">
        <w:rPr>
          <w:rFonts w:ascii="Times New Roman" w:hAnsi="Times New Roman" w:cs="Times New Roman"/>
          <w:sz w:val="24"/>
          <w:szCs w:val="24"/>
        </w:rPr>
        <w:fldChar w:fldCharType="separate"/>
      </w:r>
      <w:r w:rsidR="008C621A">
        <w:rPr>
          <w:rFonts w:ascii="Times New Roman" w:hAnsi="Times New Roman" w:cs="Times New Roman"/>
          <w:sz w:val="24"/>
          <w:szCs w:val="24"/>
        </w:rPr>
        <w:t>1</w:t>
      </w:r>
      <w:r w:rsidR="008F29E5">
        <w:rPr>
          <w:rFonts w:ascii="Times New Roman" w:hAnsi="Times New Roman" w:cs="Times New Roman"/>
          <w:sz w:val="24"/>
          <w:szCs w:val="24"/>
        </w:rPr>
        <w:t>08</w:t>
      </w:r>
      <w:r w:rsidR="00F97178" w:rsidRPr="00796736">
        <w:rPr>
          <w:rFonts w:ascii="Times New Roman" w:hAnsi="Times New Roman" w:cs="Times New Roman"/>
          <w:sz w:val="24"/>
          <w:szCs w:val="24"/>
        </w:rPr>
        <w:fldChar w:fldCharType="end"/>
      </w:r>
      <w:r w:rsidR="00F97178"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bemærkningerne hertil. </w:t>
      </w:r>
    </w:p>
    <w:p w14:paraId="40522856" w14:textId="77777777" w:rsidR="0092113C" w:rsidRPr="00796736" w:rsidRDefault="0092113C" w:rsidP="00A802A5">
      <w:pPr>
        <w:spacing w:after="240" w:line="360" w:lineRule="auto"/>
        <w:rPr>
          <w:rFonts w:ascii="Times New Roman" w:hAnsi="Times New Roman" w:cs="Times New Roman"/>
          <w:sz w:val="24"/>
          <w:szCs w:val="24"/>
        </w:rPr>
      </w:pPr>
    </w:p>
    <w:p w14:paraId="5F837B4A" w14:textId="77777777" w:rsidR="0092113C" w:rsidRPr="00796736" w:rsidRDefault="0092113C" w:rsidP="00A802A5">
      <w:pPr>
        <w:pStyle w:val="Overskrift2"/>
        <w:rPr>
          <w:rFonts w:ascii="Times New Roman" w:hAnsi="Times New Roman"/>
          <w:sz w:val="24"/>
        </w:rPr>
      </w:pPr>
      <w:bookmarkStart w:id="1431" w:name="_Ref240718220"/>
      <w:bookmarkStart w:id="1432" w:name="_Hlk241499542"/>
      <w:bookmarkStart w:id="1433" w:name="_Toc244880787"/>
      <w:r w:rsidRPr="00796736">
        <w:rPr>
          <w:rFonts w:ascii="Times New Roman" w:hAnsi="Times New Roman"/>
          <w:sz w:val="24"/>
        </w:rPr>
        <w:t>Tavshedspligt for Advokatrådet mv.</w:t>
      </w:r>
      <w:bookmarkEnd w:id="1431"/>
      <w:bookmarkEnd w:id="1433"/>
    </w:p>
    <w:p w14:paraId="521DA018" w14:textId="77777777" w:rsidR="0092113C" w:rsidRPr="00796736" w:rsidRDefault="0092113C" w:rsidP="00A802A5">
      <w:pPr>
        <w:pStyle w:val="Overskrift4"/>
        <w:rPr>
          <w:rFonts w:ascii="Times New Roman" w:hAnsi="Times New Roman" w:cs="Times New Roman"/>
          <w:sz w:val="24"/>
          <w:szCs w:val="24"/>
        </w:rPr>
      </w:pPr>
      <w:bookmarkStart w:id="1434" w:name="_Ref240550423"/>
      <w:r w:rsidRPr="00796736">
        <w:rPr>
          <w:rFonts w:ascii="Times New Roman" w:hAnsi="Times New Roman" w:cs="Times New Roman"/>
          <w:sz w:val="24"/>
          <w:szCs w:val="24"/>
        </w:rPr>
        <w:t>Gældende ret</w:t>
      </w:r>
      <w:bookmarkEnd w:id="1434"/>
    </w:p>
    <w:p w14:paraId="5593AD3B"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retsplejelovens § 143 b, stk. 1, at straffelovens §§ 152 og 152 c-152 f tilsvarende finder anvendelse for Advokatrådets medlemmer, medlemmer af Advokatrådets udvalg, Advokatsamfundets ansatte og Advokatrådets kontaktpersoner, for så vidt angår oplysninger, som de får kendskab til gennem tilsynsvirksomheden. Det samme gælder for personer, der udfører serviceopgaver for de organisationer, der er nævnt i 1. pkt.</w:t>
      </w:r>
    </w:p>
    <w:p w14:paraId="1D699B95" w14:textId="77777777" w:rsidR="0092113C" w:rsidRPr="00796736" w:rsidRDefault="0092113C" w:rsidP="00A802A5">
      <w:pPr>
        <w:spacing w:line="360" w:lineRule="auto"/>
        <w:rPr>
          <w:rFonts w:ascii="Times New Roman" w:hAnsi="Times New Roman" w:cs="Times New Roman"/>
          <w:sz w:val="24"/>
          <w:szCs w:val="24"/>
        </w:rPr>
      </w:pPr>
    </w:p>
    <w:p w14:paraId="77827339"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Videre fremgår det af stk. 2, at fortrolige oplysninger, som Advokatrådets medlemmer, medlemmer af Advokatrådets udvalg, Advokatsamfundets ansatte eller Advokatrådets kontaktpersoner modtager i henhold til dette kapitel, må kun anvendes i forbindelse med tilsynshvervet.</w:t>
      </w:r>
    </w:p>
    <w:p w14:paraId="628B5893" w14:textId="77777777" w:rsidR="0092113C" w:rsidRPr="00796736" w:rsidRDefault="0092113C" w:rsidP="00A802A5">
      <w:pPr>
        <w:spacing w:line="360" w:lineRule="auto"/>
        <w:rPr>
          <w:rFonts w:ascii="Times New Roman" w:hAnsi="Times New Roman" w:cs="Times New Roman"/>
          <w:sz w:val="24"/>
          <w:szCs w:val="24"/>
        </w:rPr>
      </w:pPr>
    </w:p>
    <w:p w14:paraId="16D1FDCF" w14:textId="77777777" w:rsidR="0092113C" w:rsidRPr="00796736" w:rsidRDefault="0092113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stk. 3, at Advokatrådets medlemmer, medlemmer af Advokatrådets udvalg, Advokatsamfundets ansatte og Advokatrådets kontaktpersoner kan udelukkende videregive oplysninger til Advokatnævnet til varetagelsen af dets opgaver efter denne lov og til relevante offentlige myndigheder, herunder anklagemyndigheden, politiet og justitsministeren, til varetagelse af deres opgaver efter deres lovgivning.</w:t>
      </w:r>
    </w:p>
    <w:p w14:paraId="1102B216" w14:textId="77777777" w:rsidR="0092113C" w:rsidRPr="00796736" w:rsidRDefault="0092113C" w:rsidP="00A802A5">
      <w:pPr>
        <w:spacing w:line="360" w:lineRule="auto"/>
        <w:rPr>
          <w:rFonts w:ascii="Times New Roman" w:hAnsi="Times New Roman" w:cs="Times New Roman"/>
          <w:sz w:val="24"/>
          <w:szCs w:val="24"/>
        </w:rPr>
      </w:pPr>
    </w:p>
    <w:p w14:paraId="2F76BF33" w14:textId="77777777" w:rsidR="0092113C" w:rsidRPr="00796736" w:rsidRDefault="009211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i retsplejelovens § 143 b om Advokatrådets tavshedspligt finder anvendelse for oplysninger, som Advokatrådet får kendskab til gennem sin tilsynsvirksomhed, hvilket også omfatter rådets tilsyn på hvidvaskområdet.</w:t>
      </w:r>
    </w:p>
    <w:p w14:paraId="7991CCC2" w14:textId="77777777" w:rsidR="0092113C" w:rsidRPr="00796736" w:rsidRDefault="0092113C" w:rsidP="00A802A5">
      <w:pPr>
        <w:pStyle w:val="Overskrift4"/>
        <w:rPr>
          <w:rFonts w:ascii="Times New Roman" w:hAnsi="Times New Roman" w:cs="Times New Roman"/>
          <w:sz w:val="24"/>
          <w:szCs w:val="24"/>
        </w:rPr>
      </w:pPr>
      <w:bookmarkStart w:id="1435" w:name="_Ref240550520"/>
      <w:r w:rsidRPr="00796736">
        <w:rPr>
          <w:rFonts w:ascii="Times New Roman" w:hAnsi="Times New Roman" w:cs="Times New Roman"/>
          <w:sz w:val="24"/>
          <w:szCs w:val="24"/>
        </w:rPr>
        <w:t>6. hvidvaskdirektiv</w:t>
      </w:r>
      <w:bookmarkEnd w:id="1435"/>
    </w:p>
    <w:p w14:paraId="69692862" w14:textId="77777777" w:rsidR="0092113C" w:rsidRPr="00796736" w:rsidRDefault="0092113C" w:rsidP="00A802A5">
      <w:pPr>
        <w:spacing w:line="360" w:lineRule="auto"/>
        <w:rPr>
          <w:rFonts w:ascii="Times New Roman" w:eastAsia="Times New Roman" w:hAnsi="Times New Roman" w:cs="Times New Roman"/>
          <w:sz w:val="24"/>
          <w:szCs w:val="24"/>
        </w:rPr>
      </w:pPr>
    </w:p>
    <w:p w14:paraId="023F25D3"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51, stk. 1, i 6. hvidvaskdirektiv, at medlemsstaterne sikrer, at tilsynsorganer kan indgå samarbejdsaftaler vedrørende samarbejde og udveksling af fortrolige oplysninger med deres modparter i tredjelande. Samarbejdsaftalerne skal overholde gældende databeskyttelsesregler og være gensidige samt underlagt en garanti om krav til tavshedspligt, der mindst svarer til den, der er omtalt i artikel 67, stk. 1. Udvekslingen af fortrolige oplysninger inden for disse samarbejdsaftaler må kun anvendes med henblik på de pågældende myndigheders udførelse af deres tilsynsopgaver. </w:t>
      </w:r>
    </w:p>
    <w:p w14:paraId="4B9ACA8C" w14:textId="77777777" w:rsidR="0092113C" w:rsidRPr="00796736" w:rsidRDefault="0092113C" w:rsidP="00A802A5">
      <w:pPr>
        <w:spacing w:line="360" w:lineRule="auto"/>
        <w:rPr>
          <w:rFonts w:ascii="Times New Roman" w:eastAsia="Times New Roman" w:hAnsi="Times New Roman" w:cs="Times New Roman"/>
          <w:sz w:val="24"/>
          <w:szCs w:val="24"/>
        </w:rPr>
      </w:pPr>
    </w:p>
    <w:p w14:paraId="0C592DDD"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artikel 67, stk. 1, 1. afsnit, i 6. hvidvaskdirektiv, at medlemsstaterne skal kræve, at alle personer, der arbejder for eller har arbejdet for en et tilsynsorgan, de offentlige myndigheder omhandlet i artikel 52 samt revisorer og eksperter, der handler på vegne af disse tilsynsorganer eller myndigheder, er underlagt tavshedspligt. Bestemmelsen svarer til 4. og 5. hvidvaskdirektivs artikel 57 a, stk. 1, 1. afsnit, dog således, at myndighederne omhandlet i artikel 52 er tilføjet. </w:t>
      </w:r>
    </w:p>
    <w:p w14:paraId="544128F6" w14:textId="77777777" w:rsidR="0092113C" w:rsidRPr="00796736" w:rsidRDefault="0092113C" w:rsidP="00A802A5">
      <w:pPr>
        <w:spacing w:line="360" w:lineRule="auto"/>
        <w:rPr>
          <w:rFonts w:ascii="Times New Roman" w:eastAsia="Times New Roman" w:hAnsi="Times New Roman" w:cs="Times New Roman"/>
          <w:sz w:val="24"/>
          <w:szCs w:val="24"/>
        </w:rPr>
      </w:pPr>
    </w:p>
    <w:p w14:paraId="62CD4F9D"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67, stk. 1, 2. afsnit, at uden at det berører tilfælde, der er omfattet af strafferetlig efterforskning og retsforfølgning i henhold til EU-retten og national ret, og oplysninger, der er givet til FIU'er i henhold til artikel 42 og 43, må de fortrolige oplysninger, som de i første afsnit omhandlede personer modtager i forbindelse med deres opgaver i henhold til dette direktiv, kun videregives i summarisk eller samlet form på en sådan måde, at de enkelte forpligtede enheder ikke kan identificeres. Bestemmelsen svarer i det væsentligste til 4. og 5. hvidvaskdirektivs artikel 57 a, stk. 1, 2. afsnit, dog således at der tillige er gjort undtagelse for så vidt angår oplysninger meddelt til FIU’en i medfør af artikel 42 og 43 og at bestemmelsen nu efter sin ordlyd omfatter alle forpligtede enheder.</w:t>
      </w:r>
    </w:p>
    <w:p w14:paraId="7974299A" w14:textId="77777777" w:rsidR="0092113C" w:rsidRPr="00796736" w:rsidRDefault="0092113C" w:rsidP="00A802A5">
      <w:pPr>
        <w:spacing w:line="360" w:lineRule="auto"/>
        <w:rPr>
          <w:rFonts w:ascii="Times New Roman" w:eastAsia="Times New Roman" w:hAnsi="Times New Roman" w:cs="Times New Roman"/>
          <w:sz w:val="24"/>
          <w:szCs w:val="24"/>
        </w:rPr>
      </w:pPr>
    </w:p>
    <w:p w14:paraId="786CE48A"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67, stk. 2, i 6. hvidvaskdirektiv, at tavshedspligten ikke er til hinder for, at der udveksles oplysninger med en række oplistede myndigheder, herunder andre tilsynsmyndigheder, uanset om de befinder sig i en medlemsstat eller i forskellige medlemsstater, herunder AMLA. Oplysninger kan endvidere udveksles med medlemsstaternes FIU’er, en offentlig myndighed, der har til opgave at efterforske eller retsforfølge i sager om hvidvask eller finansiering af terrorisme, samt offentlige myndigheder, der har fået til ansvar at bekæmpe hvidvask af penge og finansiering af terrorisme. Bestemmelsen erstatter 4. og 5. hvidvaskdirektivs artikel 57 a, stk. 2, og indebærer som noget nyt, at en række myndigheder og tilsynsorganer nu fremgår af opregningen, herunder tilsynsorganer, AMLA, de i artikel 52 nævnte myndigheder, kompetente myndigheder nævnt i hvidvaskforordningens artikel 2, stk. 1, nr. 44, litra c og d, og FIU’er.</w:t>
      </w:r>
    </w:p>
    <w:p w14:paraId="04887C0C" w14:textId="77777777" w:rsidR="0092113C" w:rsidRPr="00796736" w:rsidRDefault="0092113C" w:rsidP="00A802A5">
      <w:pPr>
        <w:spacing w:line="360" w:lineRule="auto"/>
        <w:rPr>
          <w:rFonts w:ascii="Times New Roman" w:eastAsia="Times New Roman" w:hAnsi="Times New Roman" w:cs="Times New Roman"/>
          <w:sz w:val="24"/>
          <w:szCs w:val="24"/>
        </w:rPr>
      </w:pPr>
    </w:p>
    <w:p w14:paraId="030B79DB"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præambelbetragtning nr. 118, at udveksling af oplysninger og levering af bistand mellem medlemsstaternes kompetente myndigheder er af afgørende betydning med henblik på dette direktiv. Medlemsstaterne bør følgelig ikke forbyde eller opstille urimelige eller unødigt restriktive betingelser for sådan udveksling af oplysninger eller levering af bistand.</w:t>
      </w:r>
    </w:p>
    <w:p w14:paraId="6A4E8173" w14:textId="77777777" w:rsidR="0092113C" w:rsidRPr="00796736" w:rsidRDefault="0092113C" w:rsidP="00A802A5">
      <w:pPr>
        <w:spacing w:line="360" w:lineRule="auto"/>
        <w:rPr>
          <w:rFonts w:ascii="Times New Roman" w:eastAsia="Times New Roman" w:hAnsi="Times New Roman" w:cs="Times New Roman"/>
          <w:sz w:val="24"/>
          <w:szCs w:val="24"/>
        </w:rPr>
      </w:pPr>
    </w:p>
    <w:p w14:paraId="60C91024"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Videre fremgår det af betragtning nr. 119, at tilsynsorganerne bør kunne samarbejde og udveksle fortrolige oplysninger, uanset deres respektive art eller status. Med henblik herpå bør de have et passende retsgrundlag for udveksling af fortrolige oplysninger og for samarbejde. Udveksling af oplysninger og samarbejde med andre myndigheder, der er kompetente med hensyn til at føre tilsyn med eller overvåge forpligtede enheder i henhold til andre EU-retsakter, bør ikke utilsigtet hæmmes af retsusikkerhed, der kunne skyldes manglende udtrykkelige bestemmelser på dette område. En præcisering af den retlige ramme er endnu vigtigere, eftersom det finansielle tilsyn i en række tilfælde er blevet pålagt tilsynsorganer, der ikke fører tilsyn med hensyn til bekæmpelse af hvidvask af penge og finansiering af terrorisme, såsom Den Europæiske Centralbank (ECB).</w:t>
      </w:r>
    </w:p>
    <w:p w14:paraId="1C7D0D1F" w14:textId="77777777" w:rsidR="0092113C" w:rsidRPr="00796736" w:rsidRDefault="0092113C" w:rsidP="00A802A5">
      <w:pPr>
        <w:spacing w:line="360" w:lineRule="auto"/>
        <w:rPr>
          <w:rFonts w:ascii="Times New Roman" w:eastAsia="Times New Roman" w:hAnsi="Times New Roman" w:cs="Times New Roman"/>
          <w:sz w:val="24"/>
          <w:szCs w:val="24"/>
        </w:rPr>
      </w:pPr>
    </w:p>
    <w:p w14:paraId="046D2227"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Efter 6. hvidvaskdirektivs artikel 67, stk. 3, må enhver myndighed eller selvregulerende organ, der modtager oplysninger i henhold til stk. 2, kun anvende oplysningerne (litra a) i forbindelse med udførelsen af sine opgaver i henhold til dette direktiv eller andre EU-retsakter på området for bekæmpelse af hvidvask af penge og finansiering af terrorisme og med tilsynsmæssig regulering og tilsyn med kredit- og finansieringsinstitutter, herunder pålæggelse af sanktioner, (litra b) i forbindelse med påklage af en afgørelse truffet af myndigheden eller det selvregulerende organ, herunder i forbindelse med retssager og (litra c) i forbindelse med retssager indledt i henhold til særbestemmelser i den EU-ret, som er vedtaget vedrørende dette direktivs område eller vedrørende tilsynsmæssig regulering og tilsyn med kreditinstitutter og finansieringsinstitutter. Bestemmelsen svarer til 4. og 5. hvidvaskdirektivs artikel 57 a, stk. 3, dog således, at bestemmelsen for det første omfatter tilsynsorganer og de af artikel 52 omfattede organer og ikke blot kompetente myndigheder, som fører tilsyn med kredit- og finansinstitutter. </w:t>
      </w:r>
    </w:p>
    <w:p w14:paraId="69C3D502" w14:textId="77777777" w:rsidR="0092113C" w:rsidRPr="00796736" w:rsidRDefault="0092113C" w:rsidP="00A802A5">
      <w:pPr>
        <w:spacing w:line="360" w:lineRule="auto"/>
        <w:rPr>
          <w:rFonts w:ascii="Times New Roman" w:eastAsia="Times New Roman" w:hAnsi="Times New Roman" w:cs="Times New Roman"/>
          <w:sz w:val="24"/>
          <w:szCs w:val="24"/>
        </w:rPr>
      </w:pPr>
    </w:p>
    <w:p w14:paraId="18CF9954"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at artikel 68, stk. 1, litra a og b, i 6. hvidvaskdirektiv, at medlemsstaterne med undtagelse af tilfælde nævnt i hvidvaskforordningens artikel 70, stk. 2, kan tillade udveksling af oplysninger mellem tilsynsorganer og offentlige myndigheder, der fører tilsyn med selvregulerende organer i henhold til direktivets kapitel 4, uanset om de befinder sig i samme medlemsstat eller i forskellige medlemsstater. Medlemsstaterne tillader endvidere udveksling af oplysninger mellem tilsynsorganer og de myndigheder, der ved lov er er ansvarlige for tilsynet med de finansielle markeder, i forbindelse med varetagelsen af deres respektive tilsynsopgaver. </w:t>
      </w:r>
    </w:p>
    <w:p w14:paraId="6F39D8B2" w14:textId="77777777" w:rsidR="0092113C" w:rsidRPr="00796736" w:rsidRDefault="0092113C" w:rsidP="00A802A5">
      <w:pPr>
        <w:spacing w:line="360" w:lineRule="auto"/>
        <w:rPr>
          <w:rFonts w:ascii="Times New Roman" w:eastAsia="Times New Roman" w:hAnsi="Times New Roman" w:cs="Times New Roman"/>
          <w:sz w:val="24"/>
          <w:szCs w:val="24"/>
        </w:rPr>
      </w:pPr>
    </w:p>
    <w:p w14:paraId="193B12D0"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1, 2. afsnit, i 6. hvidvaskdirektiv, at de krav om tavshedspligt, der er fastsat i artikel 61, stk. 1 og 3, ikke er til hinder for en udveksling af oplysninger omhandlet i nærværende stykkes første afsnit. </w:t>
      </w:r>
    </w:p>
    <w:p w14:paraId="0A4D69A4" w14:textId="77777777" w:rsidR="0092113C" w:rsidRPr="00796736" w:rsidRDefault="0092113C" w:rsidP="00A802A5">
      <w:pPr>
        <w:spacing w:line="360" w:lineRule="auto"/>
        <w:rPr>
          <w:rFonts w:ascii="Times New Roman" w:eastAsia="Times New Roman" w:hAnsi="Times New Roman" w:cs="Times New Roman"/>
          <w:sz w:val="24"/>
          <w:szCs w:val="24"/>
        </w:rPr>
      </w:pPr>
    </w:p>
    <w:p w14:paraId="56DA7545"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1, 3. afsnit, i 6. hvidvaskdirektiv, at fortrolige oplysninger, der udveksles i henhold til dette stykke, kun må anvendes til varetagelse af de berørte myndigheders opgaver og i forbindelse med administrative eller retslige procedurer, der specifikt vedrører udøvelsen af disse funktioner. De modtagne oplysninger er under alle omstændigheder underlagt krav om tavshedspligt, der mindst svarer til de krav, som er omhandlet i artikel 67, stk. 1. </w:t>
      </w:r>
    </w:p>
    <w:p w14:paraId="15D1B6DB" w14:textId="77777777" w:rsidR="0092113C" w:rsidRPr="00796736" w:rsidRDefault="0092113C" w:rsidP="00A802A5">
      <w:pPr>
        <w:spacing w:line="360" w:lineRule="auto"/>
        <w:rPr>
          <w:rFonts w:ascii="Times New Roman" w:eastAsia="Times New Roman" w:hAnsi="Times New Roman" w:cs="Times New Roman"/>
          <w:sz w:val="24"/>
          <w:szCs w:val="24"/>
        </w:rPr>
      </w:pPr>
    </w:p>
    <w:p w14:paraId="29609A6B"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Bestemmelsen i 6. hvidvaskdirektivs artikel 68, stk. 1, svarer til 4. og 5. hvidvaskdirektivs artikel 57 b, stk. 1, dog således at bestemmelsen nu også omfatter mulighederne for at udveksle oplysninger med myndighederne med ansvar for tilsyn med de selvregulerende organer, at det nu også fremgår, at bestemmelsen omfatter tilsynsorganer med ansvar for tilsyn med revisorer mv., ligesom det nu også fremgår af bestemmelsen, at de krav om tavshedspligt, som er fastsat i artikel 67, stk. 1 og 3, ikke er til hinder for udveksling af oplysninger. Det følger endvidere nu også af stk. 1, at fortrolige oplysninger udvekslet i medfør af bestemmelsen kun må anvendes til varetagelse af de berørte myndigheders opgaver mv.   </w:t>
      </w:r>
    </w:p>
    <w:p w14:paraId="7A10D0D0" w14:textId="77777777" w:rsidR="0092113C" w:rsidRPr="00796736" w:rsidRDefault="0092113C" w:rsidP="00A802A5">
      <w:pPr>
        <w:spacing w:line="360" w:lineRule="auto"/>
        <w:rPr>
          <w:rFonts w:ascii="Times New Roman" w:eastAsia="Times New Roman" w:hAnsi="Times New Roman" w:cs="Times New Roman"/>
          <w:sz w:val="24"/>
          <w:szCs w:val="24"/>
        </w:rPr>
      </w:pPr>
    </w:p>
    <w:p w14:paraId="7227A283"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68, stk. 2, i 6. hvidvaskdirektiv, at medlemsstaterne kan give tilladelse til, at visse oplysninger videregives til andre nationale myndigheder, som ved lov er ansvarlige for tilsyn med finansielle markeder, eller som er udpeget som ansvarlige for at bekæmpe eller efterforske hvidvask af penge, de underliggende lovovertrædelser eller finansiering af terrorisme. De krav om tavshedspligt fastsat i artikel 67, stk. 1 og 3, i 6. hvidvaskdirektiv, er ikke til hinder for en sådan videregivelse af oplysninger. Det fremgår herudover, at fortrolige oplysninger, der udveksles i henhold til artikel 68, stk. 2, i 6. hvidvaskdirektiv, dog kun må anvendes med henblik på varetagelse af de pågældende myndigheders lovmæssige opgaver. Personer, der har adgang til sådanne oplysninger, skal være underlagt krav om tavshedspligt, der mindst svarer til de krav, som er omhandlet i artikel 67, stk. 1, i 6. hvidvaskdirektiv. Bestemmelsen svarer med visse tilpasninger til 4. og 5. hvidvaskdirektivs artikel 57 b, stk. 2.</w:t>
      </w:r>
    </w:p>
    <w:p w14:paraId="75926B9B" w14:textId="77777777" w:rsidR="0092113C" w:rsidRPr="00796736" w:rsidRDefault="0092113C" w:rsidP="00A802A5">
      <w:pPr>
        <w:spacing w:line="360" w:lineRule="auto"/>
        <w:rPr>
          <w:rFonts w:ascii="Times New Roman" w:eastAsia="Times New Roman" w:hAnsi="Times New Roman" w:cs="Times New Roman"/>
          <w:sz w:val="24"/>
          <w:szCs w:val="24"/>
        </w:rPr>
      </w:pPr>
    </w:p>
    <w:p w14:paraId="0D37086E"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3, i 6. hvidvaskdirektiv, at medlemsstaterne kan give tilladelse til, at visse oplysninger i forbindelse med tilsyn med forpligtede enheders overholdelse af hvidvaskforordningen videregives til parlamentariske undersøgelsesudvalg, revisionsretter og andre enheder med ansvar for undersøgelser i deres medlemsstat. Tilladelsen kan gives på betingelse af, at enhederne har et præcist mandat i henhold til national ret til at undersøge eller granske de aktiviteter, som udføres af tilsynsorganer eller myndigheder med ansvar for lovgivningen om dette tilsyn, at oplysningerne er strengt nødvendige for udøvelsen af det nævnte mandat; at de personer, som har adgang til oplysningerne, er underlagt krav om tavshedspligt i henhold til national ret, der mindst svarer til dem, der er omhandlet i artikel 68, stk. 1, at oplysninger, der stammer fra en anden medlemsstat, ikke videregives uden udtrykkeligt samtykke fra den tilsynsmyndighed, som har videregivet dem, og i givet fald udelukkende til de formål, som den pågældende tilsynsmyndighed har givet sit samtykke til. Det fremgår endvidere, at medlemsstaterne også kan tillade videregivelse af oplysninger i henhold til nærværende stykkes første afsnit til midlertidige undersøgelsesudvalg nedsat af Europa-Parlamentet i overensstemmelse med artikel 226 i TEUF og artikel 2 i Europa-Parlamentets, Rådets og Kommissionens afgørelse 95/167/EF, Eurotom, EKSF, hvis videregivelsen er nødvendig for udførelsen af disse udvalgs aktiviteter. </w:t>
      </w:r>
    </w:p>
    <w:p w14:paraId="134B25D3" w14:textId="77777777" w:rsidR="0092113C" w:rsidRPr="00796736" w:rsidRDefault="0092113C" w:rsidP="00A802A5">
      <w:pPr>
        <w:spacing w:line="360" w:lineRule="auto"/>
        <w:rPr>
          <w:rFonts w:ascii="Times New Roman" w:eastAsia="Times New Roman" w:hAnsi="Times New Roman" w:cs="Times New Roman"/>
          <w:sz w:val="24"/>
          <w:szCs w:val="24"/>
        </w:rPr>
      </w:pPr>
    </w:p>
    <w:p w14:paraId="44F6DC87" w14:textId="77777777" w:rsidR="0092113C" w:rsidRPr="00796736" w:rsidRDefault="0092113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Bestemmelsen svarer til 4. og 5. hvidvaskdirektivs artikel 57 b, stk. 3, dog således, at bestemmelsen nu omfatter alle tilsynsorganer og også muliggør videregivelse af oplysninger til midlertidige undersøgelsesudvalg nedsat af Europa-Parlamentet. </w:t>
      </w:r>
    </w:p>
    <w:p w14:paraId="4D770ED1" w14:textId="77777777" w:rsidR="0092113C" w:rsidRPr="00796736" w:rsidRDefault="0092113C" w:rsidP="00A802A5">
      <w:pPr>
        <w:spacing w:line="360" w:lineRule="auto"/>
        <w:rPr>
          <w:rFonts w:ascii="Times New Roman" w:hAnsi="Times New Roman" w:cs="Times New Roman"/>
          <w:sz w:val="24"/>
          <w:szCs w:val="24"/>
        </w:rPr>
      </w:pPr>
    </w:p>
    <w:p w14:paraId="6B8057B7" w14:textId="77777777" w:rsidR="0092113C" w:rsidRPr="00796736" w:rsidRDefault="0092113C"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Justitsministeriets overvejelser og den foreslåede ordning</w:t>
      </w:r>
    </w:p>
    <w:bookmarkEnd w:id="1432"/>
    <w:p w14:paraId="2B87841B" w14:textId="61140FEA"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_Ref240550520 \n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3.70.2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reguleres tilsynsorganernes tavshedspligt og videregivelse af fortrolige oplysninger i 6. hvidvaskdirektivs artikel 67 og 68, ligesom 4. og 5. hvidvaskdirektiv i artiklerne 57 a og 57 b indeholdt bestemmelser herom. Bestemmelserne omfatter også Advokatrådet. </w:t>
      </w:r>
    </w:p>
    <w:p w14:paraId="08E3CD83" w14:textId="5534B0B0"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_Ref240550423 \n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3.70.1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er Advokatrådet mv. i dag underlagt tavshedspligt i relation til de oplysninger, som de får kendskab til gennem tilsynsvirksomheden. Dette omfatter også oplysninger, som Advokatrådet får kendskab til gennem sit hvidvasktilsyn.</w:t>
      </w:r>
    </w:p>
    <w:p w14:paraId="264FDBEE" w14:textId="7777777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6. hvidvaskdirektivs artikel 67 og 68 adskiller sig bl.a. fra 4. og 5. hvidvaskdirektivs artikel 57 a og 57 b ved, at bestemmelserne nu omfatter alle tilsynsorganer, at der er gjort undtagelse for underretninger i medfør af 6. hvidvaskdirektivs artikel 42 og 43 i bestemmelsen i artikel 67 om videregivelse i summarisk form, og at mulighederne for videregivelse af fortrolige oplysninger til relevante kompetente myndigheder og tilsynsorganer mv. er blevet udvidet. </w:t>
      </w:r>
    </w:p>
    <w:p w14:paraId="60B4FBEC" w14:textId="7777777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Justitsministeriets vurdering, at 6. hvidvaskdirektivs artikel 67 og 68 på ovenstående baggrund nødvendiggør en bestemmelse i hvidvaskloven om tavshedspligt og mulighed for videregivelse af oplysninger. </w:t>
      </w:r>
    </w:p>
    <w:p w14:paraId="1A316AFF" w14:textId="67C4023D" w:rsidR="00841DB1" w:rsidRPr="00796736" w:rsidRDefault="00841DB1"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overensstemmelse hermed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_Ref232609366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indsætte en ny bestemmelse, hvorefter straffelovens </w:t>
      </w:r>
      <w:r w:rsidRPr="00796736">
        <w:rPr>
          <w:rFonts w:ascii="Times New Roman" w:hAnsi="Times New Roman" w:cs="Times New Roman"/>
          <w:sz w:val="24"/>
          <w:szCs w:val="24"/>
          <w:lang w:eastAsia="da-DK"/>
        </w:rPr>
        <w:t xml:space="preserve">§§ 152 og 152 c-152 f finder tilsvarende anvendelse for Advokatrådet m.v., for så vidt angår oplysninger, som de får kendskab til gennem sin tilsynsvirksomhed efter denne lov. Det samme gælder for personer, der udfører serviceopgaver for de personer og organisationer, der er nævnt i 1. pkt. Det foreslås derudover i stk. 2, at den foreslåede bestemmelse i stk. 1 ikke er til hinder for, at de nævnte personer og organisationer videregiver fortrolige oplysninger i summarisk eller samlet form på en sådan måde, at de enkelte virksomheder og personer ikke kan identificeres. </w:t>
      </w:r>
    </w:p>
    <w:p w14:paraId="74E27F71" w14:textId="77777777" w:rsidR="00841DB1" w:rsidRPr="00796736" w:rsidRDefault="00841DB1"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endvidere i stk. 3, at Advokatrådet mv. inden for rammerne af hvidvaskforordningens artikel 70, stk. 2, kan videregive de fortrolige oplysninger til en række opregnede myndigheder, organer og instanser mv. med henblik på den pågældendes varetagelse af ved lov fastsatte opgaver. Advokatrådet vil i medfør af den foreslåede bestemmelse kunne videregive oplysninger til de opregnede myndigheder, hvis videregivelsen efter Advokatrådets vurdering sker med henblik på den pågældende myndigheds ved lov foreskrevne opgavevaretagelse. Advokatrådet vil i medfør af den foreslåede bestemmelse skulle vurdere, om videregivelsen kan ske indenfor rammerne af hvidvaskforordningens artikel 70, stk. 2, hvilket bl.a. vil indebære, at en række oplysninger vil være omfattet af advokat-klient-fortroligheden, herunder efter omstændigheder den blotte oplysning om, at en fysisk eller juridisk person har rettet henvendelse til en advokat mv. Det vil være op til Advokatrådet at foretage en sådan konkret vurdering, hvor hensynet til advokaters tavshedspligt og beskyttelsen af advokat-klientfortroligheden vil skulle indgå med betydelig vægt. </w:t>
      </w:r>
    </w:p>
    <w:p w14:paraId="304004D8" w14:textId="7777777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lang w:eastAsia="da-DK"/>
        </w:rPr>
        <w:t xml:space="preserve">Det foreslåede vil dog samtidig indebære, at hvis oplysningerne er omfattet af undtagelsen til tavshedspligten i hvidvaskforordningens artikel 70, stk. 2, 2. afsnit, vil de som udgangspunkt ikke være beskyttet mod videregivelse. Advokatrådet vil dog under alle omstændigheder skulle foretage en samlet afvejning af, om hensynet til beskyttelsen af advokat-klientfortroligheden i den enkelte sag alligevel indebære, at oplysningerne ikke vil kunne videregives eller kun vil kunne videregives i begrænset omfang.  </w:t>
      </w:r>
    </w:p>
    <w:p w14:paraId="23069070" w14:textId="7777777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derudover i stk. 4-6 at indføre forskellige regler om virkningen af og rammerne for modtagerne af de oplysninger, som Advokatrådet deler og Advokatrådets anvendelse og videregivelse af oplysninger, som Advokatrådet har modtaget fra andre tilsynsorganer, tilsynsmyndigheder, kompetente myndigheder mv. </w:t>
      </w:r>
    </w:p>
    <w:p w14:paraId="4DDFD47B" w14:textId="7777777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implementerer 6. hvidvaskdirektivs artikel 67 og 68.</w:t>
      </w:r>
    </w:p>
    <w:p w14:paraId="1EE74A94" w14:textId="646DCF0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den foreslåede ordning henvises i øvrigt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_Ref232609366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dertil.</w:t>
      </w:r>
    </w:p>
    <w:p w14:paraId="46A9147B" w14:textId="77777777" w:rsidR="0092113C" w:rsidRPr="00796736" w:rsidRDefault="0092113C" w:rsidP="00A802A5">
      <w:pPr>
        <w:spacing w:after="240" w:line="360" w:lineRule="auto"/>
        <w:rPr>
          <w:rFonts w:ascii="Times New Roman" w:hAnsi="Times New Roman" w:cs="Times New Roman"/>
          <w:sz w:val="24"/>
          <w:szCs w:val="24"/>
        </w:rPr>
      </w:pPr>
    </w:p>
    <w:p w14:paraId="59326362" w14:textId="730921CC" w:rsidR="00F67A32" w:rsidRPr="00796736" w:rsidRDefault="00F67A32" w:rsidP="00A802A5">
      <w:pPr>
        <w:pStyle w:val="Overskrift2"/>
        <w:rPr>
          <w:rFonts w:ascii="Times New Roman" w:hAnsi="Times New Roman"/>
          <w:sz w:val="24"/>
        </w:rPr>
      </w:pPr>
      <w:bookmarkStart w:id="1436" w:name="_Toc232109272"/>
      <w:bookmarkStart w:id="1437" w:name="_Toc244880788"/>
      <w:r w:rsidRPr="00796736">
        <w:rPr>
          <w:rFonts w:ascii="Times New Roman" w:hAnsi="Times New Roman"/>
          <w:sz w:val="24"/>
        </w:rPr>
        <w:t xml:space="preserve">Indførelse af </w:t>
      </w:r>
      <w:r w:rsidR="00C8501D" w:rsidRPr="00796736">
        <w:rPr>
          <w:rFonts w:ascii="Times New Roman" w:hAnsi="Times New Roman"/>
          <w:sz w:val="24"/>
        </w:rPr>
        <w:t>uafhængigt</w:t>
      </w:r>
      <w:r w:rsidRPr="00796736">
        <w:rPr>
          <w:rFonts w:ascii="Times New Roman" w:hAnsi="Times New Roman"/>
          <w:sz w:val="24"/>
        </w:rPr>
        <w:t xml:space="preserve"> tilsyn med Advokatrådets tilsyn på hvidvaskområdet</w:t>
      </w:r>
      <w:bookmarkEnd w:id="1436"/>
      <w:bookmarkEnd w:id="1437"/>
    </w:p>
    <w:p w14:paraId="7C136B7B" w14:textId="77777777" w:rsidR="00C8501D" w:rsidRPr="00796736" w:rsidRDefault="00F67A32" w:rsidP="00A802A5">
      <w:pPr>
        <w:pStyle w:val="Overskrift4"/>
        <w:rPr>
          <w:rFonts w:ascii="Times New Roman" w:hAnsi="Times New Roman" w:cs="Times New Roman"/>
          <w:sz w:val="24"/>
          <w:szCs w:val="24"/>
        </w:rPr>
      </w:pPr>
      <w:bookmarkStart w:id="1438" w:name="_Toc232109273"/>
      <w:bookmarkStart w:id="1439" w:name="_Ref232941883"/>
      <w:bookmarkStart w:id="1440" w:name="_Ref239694313"/>
      <w:bookmarkStart w:id="1441" w:name="_Ref239694338"/>
      <w:r w:rsidRPr="00796736">
        <w:rPr>
          <w:rFonts w:ascii="Times New Roman" w:hAnsi="Times New Roman" w:cs="Times New Roman"/>
          <w:sz w:val="24"/>
          <w:szCs w:val="24"/>
        </w:rPr>
        <w:t>Gældende ret</w:t>
      </w:r>
      <w:bookmarkStart w:id="1442" w:name="_Ref232941874"/>
      <w:bookmarkEnd w:id="1438"/>
      <w:bookmarkEnd w:id="1439"/>
      <w:bookmarkEnd w:id="1440"/>
      <w:bookmarkEnd w:id="1441"/>
    </w:p>
    <w:bookmarkEnd w:id="1442"/>
    <w:p w14:paraId="3FADBA1C" w14:textId="67D4D7F0"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Danske Advokatsamfund (”Advokatsamfundet”) udgøres i medfør af retsplejelovens § 143, stk. 1, af alle danske advokater. </w:t>
      </w:r>
    </w:p>
    <w:p w14:paraId="06C99639"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overordnede formål med en lovfæstet ordning af "sagførervæsenet" var at indføre et tilsyns- og disciplinærsystem til varetagelse af det offentliges interesse i at opretholde en høj faglig og etisk standard blandt de udøvende advokater og samtidig sikre advokatstandens uafhængighed af statsmagten. Dette overordnede formål blev tilgodeset ved at oprette et kontrolorgan, der udgik fra sagførerne selv, og som lå uden for de statslige myndigheders kompetence. En forudsætning for, at et sådant system kunne fungere effektivt, var, at alle udøvende sagførere var underlagt dette kontrolorgans myndighed, og som følge heraf måtte alle sagførere være medlem af Sagførersamfundet, som det hed dengang. </w:t>
      </w:r>
    </w:p>
    <w:p w14:paraId="7E94B835" w14:textId="3327F02A"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bemærkningerne</w:t>
      </w:r>
      <w:r w:rsidR="002128F7">
        <w:rPr>
          <w:rFonts w:ascii="Times New Roman" w:hAnsi="Times New Roman" w:cs="Times New Roman"/>
          <w:sz w:val="24"/>
          <w:szCs w:val="24"/>
        </w:rPr>
        <w:t xml:space="preserve"> til retsplejelovens § 143</w:t>
      </w:r>
      <w:r w:rsidRPr="00796736">
        <w:rPr>
          <w:rFonts w:ascii="Times New Roman" w:hAnsi="Times New Roman" w:cs="Times New Roman"/>
          <w:sz w:val="24"/>
          <w:szCs w:val="24"/>
        </w:rPr>
        <w:t xml:space="preserve">, at Advokatsamfundet ikke er en forening, men en ved lov oprettet og reguleret institution af offentligretlig karakter, som varetager en række samfundsmæssige og almennyttige opgaver, navnlig tilsyns- og disciplinærfunktionen i forhold til advokaterne. </w:t>
      </w:r>
    </w:p>
    <w:p w14:paraId="2A6BCF9A"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Advokatsamfundet, herunder Advokatrådet, er efter gældende ret ikke en del af den offentlige forvaltning. Det betyder bl.a., at offentlighedsloven og forvaltningsloven ikke gælder for Advokatsamfundet. </w:t>
      </w:r>
    </w:p>
    <w:p w14:paraId="050814A6"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bemærkningerne følger, at bestemmelsen medfører, at enhver advokat automatisk bliver medlem af Advokatsamfundet, når den pågældende modtager beskikkelse. Der finder ikke nogen egentlig indmeldelse sted, og et medlem kan ikke ekskluderes af Advokatsamfundet. </w:t>
      </w:r>
    </w:p>
    <w:p w14:paraId="220CE5A5"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desuden af bemærkningerne, at tilsynet med advokater efter Justitsministeriets opfattelse ikke bør placeres hos en statslig tilsynsmyndighed, bl.a. for at sikre advokaters uafhængighed af statsmagten. Hvis tilsynet overføres til en statslig myndighed, vil det ikke kunne være så intensivt, som det er i dag. Et intensivt tilsyn f.eks. med advokater, der er kritiske over for regeringen eller fører principielle retssager mod staten, vil medføre risiko for beskyldninger om magtmisbrug. Et mindre intensivt tilsyn end i dag vil omvendt betyde en forringelse af borgernes retssikkerhed gennem en ringere beskyttelse mod dårlig rådgivning og misbrug af betroede midler. </w:t>
      </w:r>
    </w:p>
    <w:p w14:paraId="63D2AD67"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2006-07, tillæg A, L 163 som fremsat, side 5430 ff. og 5468 ff.</w:t>
      </w:r>
    </w:p>
    <w:p w14:paraId="245326AE"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gældende bestemmelse bygger på Advokatudvalgets betænkning nr. 1479/2006 om retsplejelovens regler om advokater, hvor udvalgets flertal foretrak Advokatsamfundet som tilsynsorgan ud af fem mulige løsningsmodeller for et tilsyn med advokater. Det følger af betænkningens side 222, at tilsyns- og disciplinærmyndighedens uafhængighed ikke er tilstrækkelig til at skabe den nødvendige tillid til advokatstanden. Udvalgets flertal lagde vægt på, at tilsynsmyndigheden skal kunne gribe effektivt og tidligt ind over for ”brodne kar”. Efter flertallets opfattelse vil disse forslag ikke kunne gennemføres, medmindre tilsynet er helt uafhængigt af staten og omfatter samtlige advokater.</w:t>
      </w:r>
    </w:p>
    <w:p w14:paraId="24FFA805"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betænkningens side 224, at det alene er Advokatnævnet eller domstolene, der kan træffe bestemmelse om, at advokaten skal frakendes sin beskikkelse og dermed ikke længere være omfattet af Advokatsamfundet. Hermed sikres almenhedens interesse i, at alle advokater er underkastet en ensartet regulering og ensartede pligter i forhold til det omgivne samfund.</w:t>
      </w:r>
    </w:p>
    <w:p w14:paraId="7EDD943D"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retsplejelovens § 143, stk. 2, fører Advokatsamfundets bestyrelse, Advokatrådet, tilsyn med advokaterne, deres autoriserede fuldmægtige, advokatselskaber, jf. § 124, og fællesskaber af advokater.  </w:t>
      </w:r>
    </w:p>
    <w:p w14:paraId="158CF2DB"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3.4.1.2, følger det af bemærkningerne til hvidvaskloven, som henviser til retsplejelovens § 143, at Advokatrådets rolle som myndighed på hvidvaskområdet med hvidvasklovens § 64, stk. 1, præciseres, idet det fastslås, at Advokatrådet skal påse, at advokaterne overholder bestemmelserne på hvidvaskområdet. </w:t>
      </w:r>
    </w:p>
    <w:p w14:paraId="5B4D776D"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kan i forbindelse med sin tilsynsvirksomhed i henhold til retsplejelovens § 143, stk. 3, kræve alle oplysninger af advokater, deres autoriserede fuldmægtige, advokatselskaber, jf. § 124, og fællesskaber af advokater, herunder arbejdspapirer, korrespondance og andre dokumenter, der skønnes at være nødvendige for rådets tilsyn af, om der er sket eller vil ske en overtrædelse af bestemmelserne i denne lov eller bestemmelser fastsat i medfør af denne lov. Kapitel 4 i lov om retssikkerhed ved forvaltningens anvendelse af tvangsindgreb og oplysningspligt gælder i den forbindelse for Advokatrådets varetagelse af tilsynet. </w:t>
      </w:r>
    </w:p>
    <w:p w14:paraId="45EB6F75"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 så vidt angår Advokatrådets videregivelse af oplysninger til offentlige myndigheder, fremgår det af retsplejelovens § 143 b, stk. 3, Advokatrådets medlemmer, medlemmer af Advokatrådets udvalg, Advokatsamfundets ansatte og Advokatrådets kontaktpersoner udelukkende kan videregive oplysninger til offentlige myndigheder, herunder anklagemyndigheden, politiet og justitsministeren, til varetagelse af deres opgaver efter deres lovgivning.</w:t>
      </w:r>
    </w:p>
    <w:p w14:paraId="741FB3B1"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bemærkningerne, at det med bestemmelsen tilsigtes at afgrænse, under hvilke betingelser Advokatrådet mv. berettiget kan videregive oplysninger til offentlige myndigheder. Der tænkes her især på, at Advokatrådet mv. i forbindelse med udøvelsen af tilsynet bliver bekendt med strafbare forhold, og i den forbindelse skal have mulighed for at videregive disse oplysninger til politiet eller anklagemyndigheden. Der tænkes tillige på, at Advokatrådet mv. skal have mulighed for at orientere justitsministeren (i praksis Civilstyrelsen), hvis rådet bliver bekendt med, at betingelserne i retsplejelovens § 139, stk. 1, er opfyldt, og der dermed kan anlægges sag af justitsministeren mod advokaten om frakendelse af advokatens beskikkelse.</w:t>
      </w:r>
    </w:p>
    <w:p w14:paraId="7F3D857B"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vil i øvrigt kunne være tilfælde, hvor det vil være relevant, at Advokatrådet videregiver oplysninger til offentlige myndigheder med henblik på varetagelsen af deres opgaver efter deres lovgivning. Det beror på en konkret vurdering, om en videregivelse af oplysninger fra Advokatrådet mv. til en offentlig myndighed vil være berettiget. I den forbindelse vil Advokatrådet skulle iagttage de databeskyttelsesretlige regler, herunder databeskyttelsesforordningen og databeskyttelsesloven. </w:t>
      </w:r>
    </w:p>
    <w:p w14:paraId="7636CD5F" w14:textId="6DC9D292"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offentlige forvaltningsmyndighed, der modtager en oplysning fra Advokatrådet i medfør af den foreslåede bestemmelse, har tavshedspligt efter forvaltningslovens § 27 og straffelovens regler i §</w:t>
      </w:r>
      <w:r w:rsidR="008C621A">
        <w:rPr>
          <w:rFonts w:ascii="Times New Roman" w:hAnsi="Times New Roman" w:cs="Times New Roman"/>
          <w:sz w:val="24"/>
          <w:szCs w:val="24"/>
        </w:rPr>
        <w:t>§</w:t>
      </w:r>
      <w:r w:rsidRPr="00796736">
        <w:rPr>
          <w:rFonts w:ascii="Times New Roman" w:hAnsi="Times New Roman" w:cs="Times New Roman"/>
          <w:sz w:val="24"/>
          <w:szCs w:val="24"/>
        </w:rPr>
        <w:t xml:space="preserve"> 152 og 152 c-152 f. </w:t>
      </w:r>
    </w:p>
    <w:p w14:paraId="2F71A1EF"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Folketingstidende 2018-2019, tillæg A, L 18 som fremsat, side 40. </w:t>
      </w:r>
    </w:p>
    <w:p w14:paraId="7733014A" w14:textId="6B6CFD1C"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retsplejelovens § 127 udarbejder Advokatsamfundet regler om advokaters pligter med hensyn til behandlingen af betroede midler, sikkerhed mod økonomisk ansvar, som kan pådrages under udøvelse af advokatvirksomhed, og meddelelse af alle fornødne regnskabsmæssige og økonomiske oplysninger til Advokatsamfundet samt regler om iværksættelse af de fornødne kontrolforanstaltninger. Reglerne skal godkendes af justitsministeren. Der er i medfør af bestemmelsen udstedt regler i bekendtgørelse nr. 1631 af 19. december 2024 om godkendelse af vedtægt for Det Dansk Advokatsamfund, som bl.a. indeholder regler om Advokatrådets sammensætning og opgaver, Advokatnævnet og Advokatsamfundets forsikringsordning. </w:t>
      </w:r>
    </w:p>
    <w:p w14:paraId="7AC57488" w14:textId="77777777" w:rsidR="00000E70"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Dertil kommer, at Advokatrådet i medfør af retsplejelovens § 143, stk. 5, 1. pkt., skal udarbejde en samlet plan for sin tilsynsvirksomhed, og rådet afgiver efter 2. pkt. årligt en rapport over det udførte tilsyn til justitsministeren. Efter retsplejelovens § 145 a, afgiver Advokatnævnet endvidere en årlig beretning om sin virksomhed til justitsministeren.</w:t>
      </w:r>
    </w:p>
    <w:p w14:paraId="1DC8B732" w14:textId="48BEF21F" w:rsidR="0092113C"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findes ikke i dag regler om tilsyn med Advokatrådets virksomhed.</w:t>
      </w:r>
    </w:p>
    <w:p w14:paraId="0E9DC1EA" w14:textId="0E547C7F" w:rsidR="00F67A32" w:rsidRPr="00796736" w:rsidRDefault="00076A29" w:rsidP="00A802A5">
      <w:pPr>
        <w:pStyle w:val="Overskrift4"/>
        <w:rPr>
          <w:rFonts w:ascii="Times New Roman" w:hAnsi="Times New Roman" w:cs="Times New Roman"/>
          <w:sz w:val="24"/>
          <w:szCs w:val="24"/>
        </w:rPr>
      </w:pPr>
      <w:bookmarkStart w:id="1443" w:name="_Toc232109274"/>
      <w:bookmarkStart w:id="1444" w:name="_Ref232941907"/>
      <w:r w:rsidRPr="00796736">
        <w:rPr>
          <w:rFonts w:ascii="Times New Roman" w:hAnsi="Times New Roman" w:cs="Times New Roman"/>
          <w:sz w:val="24"/>
          <w:szCs w:val="24"/>
        </w:rPr>
        <w:t>6. hvidvaskdirektiv</w:t>
      </w:r>
      <w:bookmarkEnd w:id="1443"/>
      <w:bookmarkEnd w:id="1444"/>
    </w:p>
    <w:p w14:paraId="5524F3B1"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hvidvaskdirektivets kapitel IV, afdeling 3, om særlige bestemmelser vedrørende selvregulerende organer, findes artikel 52. Direktivets artikel 52 regulerer tilsynet med selvregulerede organer. </w:t>
      </w:r>
    </w:p>
    <w:p w14:paraId="05A5A44C" w14:textId="72E09F0F"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1 bestemmes, at hvis medlemsstaterne i henhold til direktivets artikel 37, stk. 3, beslutter at tillade selvregulerende organer at føre tilsyn med de forpligtede enheder, der er omhandlet i artikel 3, nr. 3), litra a og b, i hvidvaskforordningen, sikrer de, at sådanne selvregulerende organers aktiviteter i forbindelse med udøvelsen af disse funktioner er underlagt en offentlig myndigheds tilsyn. </w:t>
      </w:r>
    </w:p>
    <w:p w14:paraId="3E9CA6AA" w14:textId="2E42FFF5"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Denne myndighed er efter stk. 2 ansvarlig for at sikre et fyldestgørende og effektivt tilsynssystem for de forpligtede enheder, der er omhandlet i bestemmelserne, herunder ved at kontrollere, at ethvert selvregulerende organ, der varetager de funktioner eller ønsker at udføre de funktioner, der er omhandlet i artikel 37, stk. 1, opfylder kravene i dennes stk. 3 (litra a), at udstikke retningslinjer for udførelsen af de funktioner, der er omhandlet i artikel 37, stk. 1 (litra b), at sikre, at selvregulerende organer udfører deres opgaver i henhold til kapitel IV’s afdeling 1 fyldestgørende og effektivt (litra c), at gennemgå de undtagelser, som selvregulerende organer indrømmer fra forpligtelsen til at udarbejde en individuel dokumenteret risikovurdering i henhold til artikel 37, stk. 5, litra b) (litra d)</w:t>
      </w:r>
      <w:r w:rsidR="00C8501D" w:rsidRPr="00796736">
        <w:rPr>
          <w:rFonts w:ascii="Times New Roman" w:hAnsi="Times New Roman" w:cs="Times New Roman"/>
          <w:sz w:val="24"/>
          <w:szCs w:val="24"/>
        </w:rPr>
        <w:t>,</w:t>
      </w:r>
      <w:r w:rsidRPr="00796736">
        <w:rPr>
          <w:rFonts w:ascii="Times New Roman" w:hAnsi="Times New Roman" w:cs="Times New Roman"/>
          <w:sz w:val="24"/>
          <w:szCs w:val="24"/>
        </w:rPr>
        <w:t xml:space="preserve"> og regelmæssigt at underrette selvregulerende organer om enhver aktivitet eller opgave, som AMLA har planlagt eller udført, og som er relevant for udøvelsen af deres tilsynsfunktion og navnlig for planlægningen af peerevalueringer i henhold til artikel 35 i AMLA-forordningen (litra e). </w:t>
      </w:r>
    </w:p>
    <w:p w14:paraId="1AB2A44C" w14:textId="4028B0F5"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Medlemsstaterne sikrer efter stk. 3, at den offentlige myndighed tillægges tilstrækkelige beføjelser til at varetage de opgaver, der påhviler den i henhold til stk. 2. Medlemsstaterne sikrer som minimum, at myndigheden har beføjelse til at kræve fremlæggelse af alle oplysninger, der er relevante for at overvåge overholdelsen og udføre kontroller, undtagen oplysninger indhentet af de forpligtede enheder omhandlet i artikel 3, nr. 3, litra </w:t>
      </w:r>
      <w:r w:rsidR="00C8501D" w:rsidRPr="00796736">
        <w:rPr>
          <w:rFonts w:ascii="Times New Roman" w:hAnsi="Times New Roman" w:cs="Times New Roman"/>
          <w:sz w:val="24"/>
          <w:szCs w:val="24"/>
        </w:rPr>
        <w:t>a</w:t>
      </w:r>
      <w:r w:rsidRPr="00796736">
        <w:rPr>
          <w:rFonts w:ascii="Times New Roman" w:hAnsi="Times New Roman" w:cs="Times New Roman"/>
          <w:sz w:val="24"/>
          <w:szCs w:val="24"/>
        </w:rPr>
        <w:t xml:space="preserve"> og b, i hvidvaskforordningen, når de vurderer deres klients retsstilling, underlagt betingelserne i forordningens artikel 21, stk. 2, om visse undtagelser til reglerne om manglende evne til at opfylde kravene om at anvende kundekendskabsprocedurer for advokater og advokatselskaber mv., for så vidt som de vurderer en kundes retsstilling eller forsvarer eller repræsenterer denne under eller i forbindelse med retssager, herunder rådgiver om indledning eller undgåelse af sådanne retssager, uanset om disse oplysninger er indhentet før, under eller efter sådanne retssager (litra a), og har beføjelse til at udstede instrukser til et selvregulerende organ med henblik på at afhjælpe manglende varetagelse af dets funktioner i henhold til direktivets artikel 37, stk. 1, eller overholdelse af kravene i nævnte artikels stk. 6 eller for at forhindre sådanne mangler (litra b). Det følger endvidere af stk. 3, 2. afsnit, at når den offentlige myndighed udsteder instrukser til et selvregulerende organ om udførelsen af de funktioner, der er omhandlet i direktivets artikel 37, stk. 1, tager den hensyn til alle relevante retningslinjer, den har udstukket, eller som er udstukket af AMLA.</w:t>
      </w:r>
    </w:p>
    <w:p w14:paraId="5255B799"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stk. 4 sikrer medlemsstaterne, at myndigheden udfører sine funktioner uden utilbørlig påvirkning. Medlemsstaterne sikrer også, at personalet hos myndigheden er underlagt krav om tavshedspligt svarende til dem, der er fastsat i direktivets artikel 67, om tavshedspligt, og at de fastholder høje professionelle standarder, herunder høje professionelle standarder for fortrolighed og databeskyttelse, og udviser en høj grad af integritet. Medlemsstaterne sikrer, at myndigheden har indført procedurer til forebyggelse og håndtering af interessekonflikter.</w:t>
      </w:r>
    </w:p>
    <w:p w14:paraId="3D714711"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5 kan medlemsstaterne fastsætte foranstaltninger eller sanktioner, der er effektive, står i rimeligt forhold til overtrædelsen og har afskrækkende virkning, for selvregulerende organers manglende efterkommelse af anmodninger eller instrukser eller andre foranstaltninger, der træffes af myndigheden i henhold til stk. 2 eller 3. Direktivet indeholder således på dette punkt en regulatorisk valgmulighed. </w:t>
      </w:r>
    </w:p>
    <w:p w14:paraId="3DC032E3"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stk. 6 sikrer medlemsstaterne, at den offentlige myndighed underretter de myndigheder, der er kompetente til at efterforske og retsforfølge kriminelle handlinger, rettidigt, direkte eller gennem FIU'en, om enhver overtrædelse, der er genstand for strafferetlige sanktioner, som den opdager under udførelsen af sine opgaver.</w:t>
      </w:r>
    </w:p>
    <w:p w14:paraId="116D14E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Endelig bestemmes det i stk. 7, at myndigheden offentliggør en årsrapport med en række oplysninger opregnet i litra a-d. Denne skal gøres tilgængelig på webstedet for den offentlige myndighed og sendes til Kommissionen og AMLA.</w:t>
      </w:r>
    </w:p>
    <w:p w14:paraId="20C75449"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præambelbetragtning nr. 100, at direktiv (EU) 2015/849 giver medlemsstaterne mulighed for at overdrage tilsynet med visse forpligtede enheder til selvregulerende organer. Kvaliteten og omfanget af det tilsyn, der udføres af sådanne selvregulerende organer, har imidlertid været utilstrækkelig og under ingen eller næsten ingen offentlig kontrol. Hvis en medlemsstat beslutter at overdrage tilsynet til et selvregulerende organ, bør den også udpege en offentlig myndighed til at føre tilsyn med det selvregulerende organs aktiviteter for at sikre, at udøvelsen af disse aktiviteter er i overensstemmelse med direktivet. Denne offentlige myndighed bør være en offentlig forvaltningsenhed og bør udføre sine funktioner uden utilbørlig påvirkning. De funktioner, der skal varetages af den offentlige myndighed, der fører tilsyn med selvregulerende organer, indebærer ikke, at myndigheden bør varetage tilsynsfunktioner over for forpligtede enheder eller træffe afgørelser i individuelle sager, der behandles af det selvregulerende organ. Imidlertid forhindrer dette ikke medlemsstaterne i at tildele denne myndighed yderligere opgaver, hvis de finder det nødvendigt for at nå direktivets mål. I den forbindelse bør medlemsstaterne sikre, at yderligere opgaver er i overensstemmelse med de grundlæggende rettigheder, og navnlig at disse opgaver ikke griber ind i udøvelsen af retten til et forsvar og fortroligheden af kommunikation mellem advokat og klient.</w:t>
      </w:r>
    </w:p>
    <w:p w14:paraId="19F925C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hvidvaskdirektivets kapitel IV, afsnit 4, findes i artikel 59 en bestemmelse om udveksling af oplysninger om bøder og administrative foranstaltninger. Efter artikel 59, stk. 1, skal medlemsstaterne sikre, at deres tilsynsorganer og, hvor det er relevant, den offentlige myndighed, der fører tilsyn med selvregulerende organer, i forbindelse med udøvelsen af deres tilsynsfunktioner underretter AMLA om alle bøder pålagt og administrative foranstaltninger anvendt i overensstemmelse med denne afdeling, herunder om alle klager i forbindelse hermed og resultatet af disse. Sådanne oplysninger udveksles også med andre tilsynsorganer, når bøden eller den administrative foranstaltning vedrører en enhed, der driver virksomhed i to eller flere medlemsstater.</w:t>
      </w:r>
    </w:p>
    <w:p w14:paraId="0629F731" w14:textId="2E0F4C12" w:rsidR="00F67A32" w:rsidRPr="00796736" w:rsidRDefault="00F67A32" w:rsidP="00A802A5">
      <w:pPr>
        <w:pStyle w:val="Overskrift4"/>
        <w:rPr>
          <w:rFonts w:ascii="Times New Roman" w:hAnsi="Times New Roman" w:cs="Times New Roman"/>
          <w:sz w:val="24"/>
          <w:szCs w:val="24"/>
        </w:rPr>
      </w:pPr>
      <w:bookmarkStart w:id="1445" w:name="_Toc232109275"/>
      <w:r w:rsidRPr="00796736">
        <w:rPr>
          <w:rFonts w:ascii="Times New Roman" w:hAnsi="Times New Roman" w:cs="Times New Roman"/>
          <w:sz w:val="24"/>
          <w:szCs w:val="24"/>
        </w:rPr>
        <w:t>Justitsministeriets overvejelser og den foreslåede ordning</w:t>
      </w:r>
      <w:bookmarkEnd w:id="1445"/>
    </w:p>
    <w:p w14:paraId="0785D580" w14:textId="5080B1B9" w:rsidR="00F67A32" w:rsidRPr="00796736" w:rsidRDefault="00000E7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Justitsministeriets opfattelse er et effektivt og uafhængigt tilsyn med advokaterne et afgørende element for at sikre den fornødne tillid til, at advokatreguleringen bliver respekteret. Det er i den forbindelse væsentligt, at tilsynet tilrettelægges på en måde, der sikrer, at det gennemføres systematisk og effektivt. </w:t>
      </w:r>
      <w:r w:rsidR="00F67A32" w:rsidRPr="00796736">
        <w:rPr>
          <w:rFonts w:ascii="Times New Roman" w:hAnsi="Times New Roman" w:cs="Times New Roman"/>
          <w:sz w:val="24"/>
          <w:szCs w:val="24"/>
        </w:rPr>
        <w:t xml:space="preserve">Af hensyn til borgernes retssikkerhed er det vigtigt at sikre en høj etisk standard blandt advokater, så forbrugere og erhvervslivet beskyttes mod dårlig rådgivning og misbrug af klientkontoen, og så risikoen for samfundsskadelig hvidvask minimeres. Derfor skal der være et effektivt tilsyn med advokaters overholdelse af de advokatetiske regler, forpligtelser efter hvidvasklovgivningen, reglerne om klientkonto, forsikringspligt mv. </w:t>
      </w:r>
    </w:p>
    <w:p w14:paraId="345C51D0"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Tilsynet skal være ensartet, og det er også afgørende at sikre advokaters uafhængighed af statsmagten. Bl.a. af hensyn til borgernes retssikkerhed skal en advokat kun virke til gavn for sin klient og i den sammenhæng være fri af uvedkommende interesser. Det skal fortsat sikres, at den enkelte borger og virksomhed kan få en advokat til at føre en sag mod staten, uden at advokaten skal frygte pres fra staten i andre sammenhænge. Det vil på den baggrund kunne rejses tvivl om en advokats uafhængighed af staten, hvis den nuværende tilsynsvirksomhed flyttes til en offentlig myndighed.</w:t>
      </w:r>
    </w:p>
    <w:p w14:paraId="54BB68E2" w14:textId="61475D5E"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der som anført under pkt. </w:t>
      </w:r>
      <w:r w:rsidR="00000E70" w:rsidRPr="00796736">
        <w:rPr>
          <w:rFonts w:ascii="Times New Roman" w:hAnsi="Times New Roman" w:cs="Times New Roman"/>
          <w:sz w:val="24"/>
          <w:szCs w:val="24"/>
        </w:rPr>
        <w:fldChar w:fldCharType="begin"/>
      </w:r>
      <w:r w:rsidR="00000E70" w:rsidRPr="00796736">
        <w:rPr>
          <w:rFonts w:ascii="Times New Roman" w:hAnsi="Times New Roman" w:cs="Times New Roman"/>
          <w:sz w:val="24"/>
          <w:szCs w:val="24"/>
        </w:rPr>
        <w:instrText xml:space="preserve"> REF _Ref239694338 \r \h </w:instrText>
      </w:r>
      <w:r w:rsidR="00F375BF" w:rsidRPr="00796736">
        <w:rPr>
          <w:rFonts w:ascii="Times New Roman" w:hAnsi="Times New Roman" w:cs="Times New Roman"/>
          <w:sz w:val="24"/>
          <w:szCs w:val="24"/>
        </w:rPr>
        <w:instrText xml:space="preserve"> \* MERGEFORMAT </w:instrText>
      </w:r>
      <w:r w:rsidR="00000E70" w:rsidRPr="00796736">
        <w:rPr>
          <w:rFonts w:ascii="Times New Roman" w:hAnsi="Times New Roman" w:cs="Times New Roman"/>
          <w:sz w:val="24"/>
          <w:szCs w:val="24"/>
        </w:rPr>
      </w:r>
      <w:r w:rsidR="00000E7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3.71.1</w:t>
      </w:r>
      <w:r w:rsidR="00000E70" w:rsidRPr="00796736">
        <w:rPr>
          <w:rFonts w:ascii="Times New Roman" w:hAnsi="Times New Roman" w:cs="Times New Roman"/>
          <w:sz w:val="24"/>
          <w:szCs w:val="24"/>
        </w:rPr>
        <w:fldChar w:fldCharType="end"/>
      </w:r>
      <w:r w:rsidR="002128F7">
        <w:rPr>
          <w:rFonts w:ascii="Times New Roman" w:hAnsi="Times New Roman" w:cs="Times New Roman"/>
          <w:sz w:val="24"/>
          <w:szCs w:val="24"/>
        </w:rPr>
        <w:t xml:space="preserve"> </w:t>
      </w:r>
      <w:r w:rsidRPr="00796736">
        <w:rPr>
          <w:rFonts w:ascii="Times New Roman" w:hAnsi="Times New Roman" w:cs="Times New Roman"/>
          <w:sz w:val="24"/>
          <w:szCs w:val="24"/>
        </w:rPr>
        <w:t xml:space="preserve">fører tilsyn med advokater, anses i henhold til hvidvaskdirektivet for et selvregulerende organ.  </w:t>
      </w:r>
    </w:p>
    <w:p w14:paraId="34B39B84" w14:textId="1350E015"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Hvidvaskdirektivets artikel 52 indebærer, at medlemsstaterne </w:t>
      </w:r>
      <w:r w:rsidR="002128F7">
        <w:rPr>
          <w:rFonts w:ascii="Times New Roman" w:hAnsi="Times New Roman" w:cs="Times New Roman"/>
          <w:sz w:val="24"/>
          <w:szCs w:val="24"/>
        </w:rPr>
        <w:t>som noget nyt</w:t>
      </w:r>
      <w:r w:rsidR="002128F7" w:rsidRPr="00D253F0">
        <w:rPr>
          <w:rFonts w:ascii="Times New Roman" w:hAnsi="Times New Roman" w:cs="Times New Roman"/>
          <w:sz w:val="24"/>
          <w:szCs w:val="24"/>
        </w:rPr>
        <w:t xml:space="preserve"> </w:t>
      </w:r>
      <w:r w:rsidRPr="00796736">
        <w:rPr>
          <w:rFonts w:ascii="Times New Roman" w:hAnsi="Times New Roman" w:cs="Times New Roman"/>
          <w:sz w:val="24"/>
          <w:szCs w:val="24"/>
        </w:rPr>
        <w:t xml:space="preserve">skal indføre en mekanisme, hvorved en offentlig myndighed fører tilsyn med de selvregulerende tilsynsorganer tilsynsvirksomhed, hvilket omfatter visse nærmere opregnede kontrolbeføjelser. </w:t>
      </w:r>
    </w:p>
    <w:p w14:paraId="6961E2A1" w14:textId="18B26BA5"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C57679" w:rsidRPr="00796736">
        <w:rPr>
          <w:rFonts w:ascii="Times New Roman" w:hAnsi="Times New Roman" w:cs="Times New Roman"/>
          <w:sz w:val="24"/>
          <w:szCs w:val="24"/>
        </w:rPr>
        <w:fldChar w:fldCharType="begin"/>
      </w:r>
      <w:r w:rsidR="00C57679" w:rsidRPr="00796736">
        <w:rPr>
          <w:rFonts w:ascii="Times New Roman" w:hAnsi="Times New Roman" w:cs="Times New Roman"/>
          <w:sz w:val="24"/>
          <w:szCs w:val="24"/>
        </w:rPr>
        <w:instrText xml:space="preserve"> REF _Ref232941883 \n \h </w:instrText>
      </w:r>
      <w:r w:rsidR="00967618" w:rsidRPr="00796736">
        <w:rPr>
          <w:rFonts w:ascii="Times New Roman" w:hAnsi="Times New Roman" w:cs="Times New Roman"/>
          <w:sz w:val="24"/>
          <w:szCs w:val="24"/>
        </w:rPr>
        <w:instrText xml:space="preserve"> \* MERGEFORMAT </w:instrText>
      </w:r>
      <w:r w:rsidR="00C57679" w:rsidRPr="00796736">
        <w:rPr>
          <w:rFonts w:ascii="Times New Roman" w:hAnsi="Times New Roman" w:cs="Times New Roman"/>
          <w:sz w:val="24"/>
          <w:szCs w:val="24"/>
        </w:rPr>
      </w:r>
      <w:r w:rsidR="00C576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3.71.1</w:t>
      </w:r>
      <w:r w:rsidR="00C576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2128F7" w:rsidRPr="00D253F0">
        <w:rPr>
          <w:rFonts w:ascii="Times New Roman" w:hAnsi="Times New Roman" w:cs="Times New Roman"/>
          <w:sz w:val="24"/>
          <w:szCs w:val="24"/>
        </w:rPr>
        <w:t xml:space="preserve">findes der ikke i dag en sådan mekanisme for Advokatrådet. Justitsministeriet vurderer på den baggrund, at der for at leve op til direktivets forpligtelser </w:t>
      </w:r>
      <w:r w:rsidR="002128F7">
        <w:rPr>
          <w:rFonts w:ascii="Times New Roman" w:hAnsi="Times New Roman" w:cs="Times New Roman"/>
          <w:sz w:val="24"/>
          <w:szCs w:val="24"/>
        </w:rPr>
        <w:t xml:space="preserve">til at oprette en sådan mekanisme </w:t>
      </w:r>
      <w:r w:rsidR="002128F7" w:rsidRPr="00D253F0">
        <w:rPr>
          <w:rFonts w:ascii="Times New Roman" w:hAnsi="Times New Roman" w:cs="Times New Roman"/>
          <w:sz w:val="24"/>
          <w:szCs w:val="24"/>
        </w:rPr>
        <w:t xml:space="preserve">skal fastsættes et tilsyn med Advokatrådet ved en offentlig myndighed. Den del af den i præambelbetragtning nr. 100 anførte begrundelse for at indføre forpligtelsen til at føre tilsyn med de selvregulerende tilsynsorganers virksomhed, kvaliteten og omfanget af det tilsyn, der udføres af sådanne selvregulerende organer, har været utilstrækkelig, </w:t>
      </w:r>
      <w:r w:rsidRPr="00796736">
        <w:rPr>
          <w:rFonts w:ascii="Times New Roman" w:hAnsi="Times New Roman" w:cs="Times New Roman"/>
          <w:sz w:val="24"/>
          <w:szCs w:val="24"/>
        </w:rPr>
        <w:t xml:space="preserve">jf. pkt. </w:t>
      </w:r>
      <w:r w:rsidR="00C57679" w:rsidRPr="00796736">
        <w:rPr>
          <w:rFonts w:ascii="Times New Roman" w:hAnsi="Times New Roman" w:cs="Times New Roman"/>
          <w:sz w:val="24"/>
          <w:szCs w:val="24"/>
        </w:rPr>
        <w:fldChar w:fldCharType="begin"/>
      </w:r>
      <w:r w:rsidR="00C57679" w:rsidRPr="00796736">
        <w:rPr>
          <w:rFonts w:ascii="Times New Roman" w:hAnsi="Times New Roman" w:cs="Times New Roman"/>
          <w:sz w:val="24"/>
          <w:szCs w:val="24"/>
        </w:rPr>
        <w:instrText xml:space="preserve"> REF _Ref232941907 \n \h </w:instrText>
      </w:r>
      <w:r w:rsidR="00967618" w:rsidRPr="00796736">
        <w:rPr>
          <w:rFonts w:ascii="Times New Roman" w:hAnsi="Times New Roman" w:cs="Times New Roman"/>
          <w:sz w:val="24"/>
          <w:szCs w:val="24"/>
        </w:rPr>
        <w:instrText xml:space="preserve"> \* MERGEFORMAT </w:instrText>
      </w:r>
      <w:r w:rsidR="00C57679" w:rsidRPr="00796736">
        <w:rPr>
          <w:rFonts w:ascii="Times New Roman" w:hAnsi="Times New Roman" w:cs="Times New Roman"/>
          <w:sz w:val="24"/>
          <w:szCs w:val="24"/>
        </w:rPr>
      </w:r>
      <w:r w:rsidR="00C576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3.71.2</w:t>
      </w:r>
      <w:r w:rsidR="00C576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er efter Justitsministeriets opfattelse imidlertid ikke retvisende i relation til Advokatrådets tilsyn. Justitsministeriet finder derfor og under hensyntagen til advokaters uafhængighed, at det offentlige tilsyn og myndighedens beføjelser knyttet dertil bør begrænses til, hvad Danmark direkte er forpligtet til efter direktivet.</w:t>
      </w:r>
    </w:p>
    <w:p w14:paraId="498F040D" w14:textId="63F0E96C" w:rsidR="00C8501D" w:rsidRPr="00796736" w:rsidRDefault="00C850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Justitsministeriet finder derudover, at tilsynet med Advokatrådets hvidvasktilsyn bør tilrettelægges på en sådan måde, at det i videst muligt omfang er i overensstemmelse med hensynet til advokaters uafhængighed og beskyttelsen af advokat-klient fortroligheden. </w:t>
      </w:r>
      <w:r w:rsidR="00841DB1" w:rsidRPr="00796736">
        <w:rPr>
          <w:rFonts w:ascii="Times New Roman" w:hAnsi="Times New Roman" w:cs="Times New Roman"/>
          <w:sz w:val="24"/>
          <w:szCs w:val="24"/>
        </w:rPr>
        <w:t>Det bemærkes i den forbindelse, at det af præambelbetragtning nr. 100 fremgår, at de funktioner, der skal varetages af den offentlige myndighed, der fører tilsyn med selvregulerende organer, ikke indebærer, at myndighederne bør varetage tilsynsfunktioner over for den forpligtede enhed eller træffe afgørelser i individuelle sager, der behandles af det selvregulerende organ. Imidlertid forhindrer det ikke medlemsstaterne i at tildele denne myndighed yderligere opgaver, hvis det findes nødvendigt for at nå 6. hvidvaskdirektivs formål.</w:t>
      </w:r>
    </w:p>
    <w:p w14:paraId="585EA12C" w14:textId="771B207F" w:rsidR="002128F7"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 baggrund i </w:t>
      </w:r>
      <w:r w:rsidR="00C57679" w:rsidRPr="00796736">
        <w:rPr>
          <w:rFonts w:ascii="Times New Roman" w:hAnsi="Times New Roman" w:cs="Times New Roman"/>
          <w:sz w:val="24"/>
          <w:szCs w:val="24"/>
        </w:rPr>
        <w:fldChar w:fldCharType="begin"/>
      </w:r>
      <w:r w:rsidR="00C57679" w:rsidRPr="00796736">
        <w:rPr>
          <w:rFonts w:ascii="Times New Roman" w:hAnsi="Times New Roman" w:cs="Times New Roman"/>
          <w:sz w:val="24"/>
          <w:szCs w:val="24"/>
        </w:rPr>
        <w:instrText xml:space="preserve"> REF _Ref232609366 \r \h </w:instrText>
      </w:r>
      <w:r w:rsidR="00967618" w:rsidRPr="00796736">
        <w:rPr>
          <w:rFonts w:ascii="Times New Roman" w:hAnsi="Times New Roman" w:cs="Times New Roman"/>
          <w:sz w:val="24"/>
          <w:szCs w:val="24"/>
        </w:rPr>
        <w:instrText xml:space="preserve"> \* MERGEFORMAT </w:instrText>
      </w:r>
      <w:r w:rsidR="00C57679" w:rsidRPr="00796736">
        <w:rPr>
          <w:rFonts w:ascii="Times New Roman" w:hAnsi="Times New Roman" w:cs="Times New Roman"/>
          <w:sz w:val="24"/>
          <w:szCs w:val="24"/>
        </w:rPr>
      </w:r>
      <w:r w:rsidR="00C576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110</w:t>
      </w:r>
      <w:r w:rsidR="00C57679" w:rsidRPr="00796736">
        <w:rPr>
          <w:rFonts w:ascii="Times New Roman" w:hAnsi="Times New Roman" w:cs="Times New Roman"/>
          <w:sz w:val="24"/>
          <w:szCs w:val="24"/>
        </w:rPr>
        <w:fldChar w:fldCharType="end"/>
      </w:r>
      <w:r w:rsidR="00C57679" w:rsidRPr="00796736">
        <w:rPr>
          <w:rFonts w:ascii="Times New Roman" w:hAnsi="Times New Roman" w:cs="Times New Roman"/>
          <w:sz w:val="24"/>
          <w:szCs w:val="24"/>
        </w:rPr>
        <w:t xml:space="preserve"> </w:t>
      </w:r>
      <w:r w:rsidR="00DA102A" w:rsidRPr="00D253F0">
        <w:rPr>
          <w:rFonts w:ascii="Times New Roman" w:hAnsi="Times New Roman" w:cs="Times New Roman"/>
          <w:sz w:val="24"/>
          <w:szCs w:val="24"/>
        </w:rPr>
        <w:t xml:space="preserve">at fastsætte, at </w:t>
      </w:r>
      <w:r w:rsidR="00DA102A">
        <w:rPr>
          <w:rFonts w:ascii="Times New Roman" w:hAnsi="Times New Roman" w:cs="Times New Roman"/>
          <w:sz w:val="24"/>
          <w:szCs w:val="24"/>
        </w:rPr>
        <w:t>der under Advokatsamfundet oprettes en uafhængig Hvidvaskenhed, som</w:t>
      </w:r>
      <w:r w:rsidR="00DA102A" w:rsidRPr="00D253F0">
        <w:rPr>
          <w:rFonts w:ascii="Times New Roman" w:hAnsi="Times New Roman" w:cs="Times New Roman"/>
          <w:sz w:val="24"/>
          <w:szCs w:val="24"/>
        </w:rPr>
        <w:t xml:space="preserve"> fører tilsyn med Advokatrådets aktiviteter i forbindelse med udøvelse</w:t>
      </w:r>
      <w:r w:rsidR="00DA102A">
        <w:rPr>
          <w:rFonts w:ascii="Times New Roman" w:hAnsi="Times New Roman" w:cs="Times New Roman"/>
          <w:sz w:val="24"/>
          <w:szCs w:val="24"/>
        </w:rPr>
        <w:t>n</w:t>
      </w:r>
      <w:r w:rsidR="00DA102A" w:rsidRPr="00D253F0">
        <w:rPr>
          <w:rFonts w:ascii="Times New Roman" w:hAnsi="Times New Roman" w:cs="Times New Roman"/>
          <w:sz w:val="24"/>
          <w:szCs w:val="24"/>
        </w:rPr>
        <w:t xml:space="preserve"> af sine funktioner som </w:t>
      </w:r>
      <w:r w:rsidR="00DA102A">
        <w:rPr>
          <w:rFonts w:ascii="Times New Roman" w:hAnsi="Times New Roman" w:cs="Times New Roman"/>
          <w:sz w:val="24"/>
          <w:szCs w:val="24"/>
        </w:rPr>
        <w:t>tilsynsorgan</w:t>
      </w:r>
      <w:r w:rsidR="00DA102A" w:rsidRPr="00D253F0">
        <w:rPr>
          <w:rFonts w:ascii="Times New Roman" w:hAnsi="Times New Roman" w:cs="Times New Roman"/>
          <w:sz w:val="24"/>
          <w:szCs w:val="24"/>
        </w:rPr>
        <w:t xml:space="preserve"> efter hvidvaskforordningen, hvidvaskloven og regler udstedt i medfør </w:t>
      </w:r>
      <w:r w:rsidR="00DA102A">
        <w:rPr>
          <w:rFonts w:ascii="Times New Roman" w:hAnsi="Times New Roman" w:cs="Times New Roman"/>
          <w:sz w:val="24"/>
          <w:szCs w:val="24"/>
        </w:rPr>
        <w:t>heraf</w:t>
      </w:r>
      <w:r w:rsidR="00DA102A" w:rsidRPr="00D253F0">
        <w:rPr>
          <w:rFonts w:ascii="Times New Roman" w:hAnsi="Times New Roman" w:cs="Times New Roman"/>
          <w:sz w:val="24"/>
          <w:szCs w:val="24"/>
        </w:rPr>
        <w:t xml:space="preserve">. Justitsministeriet har i den forbindelse lagt vægt på, at Advokatnævnet </w:t>
      </w:r>
      <w:r w:rsidR="00DA102A">
        <w:rPr>
          <w:rFonts w:ascii="Times New Roman" w:hAnsi="Times New Roman" w:cs="Times New Roman"/>
          <w:sz w:val="24"/>
          <w:szCs w:val="24"/>
        </w:rPr>
        <w:t xml:space="preserve">i dag er oprettet som </w:t>
      </w:r>
      <w:r w:rsidR="00DA102A" w:rsidRPr="00D253F0">
        <w:rPr>
          <w:rFonts w:ascii="Times New Roman" w:hAnsi="Times New Roman" w:cs="Times New Roman"/>
          <w:sz w:val="24"/>
          <w:szCs w:val="24"/>
        </w:rPr>
        <w:t>en offentlig og uafhængig myndighed</w:t>
      </w:r>
      <w:r w:rsidR="00DA102A">
        <w:rPr>
          <w:rFonts w:ascii="Times New Roman" w:hAnsi="Times New Roman" w:cs="Times New Roman"/>
          <w:sz w:val="24"/>
          <w:szCs w:val="24"/>
        </w:rPr>
        <w:t xml:space="preserve"> af Advokatsamfundet</w:t>
      </w:r>
      <w:r w:rsidR="00DA102A" w:rsidRPr="00D253F0">
        <w:rPr>
          <w:rFonts w:ascii="Times New Roman" w:hAnsi="Times New Roman" w:cs="Times New Roman"/>
          <w:sz w:val="24"/>
          <w:szCs w:val="24"/>
        </w:rPr>
        <w:t xml:space="preserve">, </w:t>
      </w:r>
      <w:r w:rsidR="00DA102A">
        <w:rPr>
          <w:rFonts w:ascii="Times New Roman" w:hAnsi="Times New Roman" w:cs="Times New Roman"/>
          <w:sz w:val="24"/>
          <w:szCs w:val="24"/>
        </w:rPr>
        <w:t>som Advokatsamfundet leverer sekretariatsbistand til</w:t>
      </w:r>
      <w:r w:rsidR="00DA102A" w:rsidRPr="00D253F0">
        <w:rPr>
          <w:rFonts w:ascii="Times New Roman" w:hAnsi="Times New Roman" w:cs="Times New Roman"/>
          <w:sz w:val="24"/>
          <w:szCs w:val="24"/>
        </w:rPr>
        <w:t>.</w:t>
      </w:r>
    </w:p>
    <w:p w14:paraId="415A03A7" w14:textId="77777777" w:rsidR="002128F7" w:rsidRDefault="002128F7"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Det er således Justitsministeriets opfattelse, at der allerede i dag inden for Advokatsamfundet eksisterer en ramme, hvor der leveres personel og funktionelt adskilt sekretariatsbistand til både Advokatrådet og Advokatnævnet, som er to vidt forskellige enheder med meget forskellige funktioner. Efter Justitsministeriets opfattelse udgør Advokatsamfundet</w:t>
      </w:r>
      <w:r w:rsidRPr="00D253F0">
        <w:rPr>
          <w:rFonts w:ascii="Times New Roman" w:hAnsi="Times New Roman" w:cs="Times New Roman"/>
          <w:sz w:val="24"/>
          <w:szCs w:val="24"/>
        </w:rPr>
        <w:t xml:space="preserve"> derfor et godt udgangspunkt for etableringen af et balanceret og velfungerende </w:t>
      </w:r>
      <w:r>
        <w:rPr>
          <w:rFonts w:ascii="Times New Roman" w:hAnsi="Times New Roman" w:cs="Times New Roman"/>
          <w:sz w:val="24"/>
          <w:szCs w:val="24"/>
        </w:rPr>
        <w:t xml:space="preserve">uafhængigt </w:t>
      </w:r>
      <w:r w:rsidRPr="00D253F0">
        <w:rPr>
          <w:rFonts w:ascii="Times New Roman" w:hAnsi="Times New Roman" w:cs="Times New Roman"/>
          <w:sz w:val="24"/>
          <w:szCs w:val="24"/>
        </w:rPr>
        <w:t>tilsyn med Advokatrådets hvidvasktilsyn, hvor</w:t>
      </w:r>
      <w:r>
        <w:rPr>
          <w:rFonts w:ascii="Times New Roman" w:hAnsi="Times New Roman" w:cs="Times New Roman"/>
          <w:sz w:val="24"/>
          <w:szCs w:val="24"/>
        </w:rPr>
        <w:t>for der lægges op til at oprette en ny, uafhængig Hvidvaskenhed under Advokatsamfundet.</w:t>
      </w:r>
    </w:p>
    <w:p w14:paraId="535592B4" w14:textId="1BC3443F" w:rsidR="00ED67DF" w:rsidRDefault="002128F7"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D253F0">
        <w:rPr>
          <w:rFonts w:ascii="Times New Roman" w:hAnsi="Times New Roman" w:cs="Times New Roman"/>
          <w:sz w:val="24"/>
          <w:szCs w:val="24"/>
        </w:rPr>
        <w:t xml:space="preserve">Det bemærkes, at </w:t>
      </w:r>
      <w:r>
        <w:rPr>
          <w:rFonts w:ascii="Times New Roman" w:hAnsi="Times New Roman" w:cs="Times New Roman"/>
          <w:sz w:val="24"/>
          <w:szCs w:val="24"/>
        </w:rPr>
        <w:t>Advokatsamfundet</w:t>
      </w:r>
      <w:r w:rsidRPr="00D253F0">
        <w:rPr>
          <w:rFonts w:ascii="Times New Roman" w:hAnsi="Times New Roman" w:cs="Times New Roman"/>
          <w:sz w:val="24"/>
          <w:szCs w:val="24"/>
        </w:rPr>
        <w:t xml:space="preserve"> i medfør af de foreslåede bestemmelser om administrative foranstaltninger også vil være tillagt en vis rolle i hvidvasktilsynet med advokater, idet</w:t>
      </w:r>
      <w:r>
        <w:rPr>
          <w:rFonts w:ascii="Times New Roman" w:hAnsi="Times New Roman" w:cs="Times New Roman"/>
          <w:sz w:val="24"/>
          <w:szCs w:val="24"/>
        </w:rPr>
        <w:t xml:space="preserve"> såvel Advokatrådet som Advokat</w:t>
      </w:r>
      <w:r w:rsidRPr="00D253F0">
        <w:rPr>
          <w:rFonts w:ascii="Times New Roman" w:hAnsi="Times New Roman" w:cs="Times New Roman"/>
          <w:sz w:val="24"/>
          <w:szCs w:val="24"/>
        </w:rPr>
        <w:t xml:space="preserve">nævnet vil være tillagt kompetence til at iværksætte administrative foranstaltninger i medfør af de foreslåede bestemmelser herom. Det er Justitsministeriets vurdering, at denne rolle ikke er til hinder for, at </w:t>
      </w:r>
      <w:r>
        <w:rPr>
          <w:rFonts w:ascii="Times New Roman" w:hAnsi="Times New Roman" w:cs="Times New Roman"/>
          <w:sz w:val="24"/>
          <w:szCs w:val="24"/>
        </w:rPr>
        <w:t>der under Advokatsamfundet oprettes en ny uafhængig Hvidvaskenhed, der får til opgave at</w:t>
      </w:r>
      <w:r w:rsidRPr="00D253F0">
        <w:rPr>
          <w:rFonts w:ascii="Times New Roman" w:hAnsi="Times New Roman" w:cs="Times New Roman"/>
          <w:sz w:val="24"/>
          <w:szCs w:val="24"/>
        </w:rPr>
        <w:t xml:space="preserve"> føre tilsyn med Advokatrådets hvidvasktilsyn. </w:t>
      </w:r>
      <w:r w:rsidR="00E200D8">
        <w:rPr>
          <w:rFonts w:ascii="Times New Roman" w:hAnsi="Times New Roman" w:cs="Times New Roman"/>
          <w:sz w:val="24"/>
          <w:szCs w:val="24"/>
        </w:rPr>
        <w:t>Det forudsættes i den forbindelse, at Advokatsamfundets sekretariatsbistand vil være personelt og funktionelt uafhængig fra Advokatsamfundets øvrige grene, ligesom tilfældet er for forholdet mellem Advokatrådet og Advokatnævnet.</w:t>
      </w:r>
    </w:p>
    <w:p w14:paraId="19A6D526" w14:textId="21E94DBC" w:rsidR="002128F7" w:rsidRPr="00D253F0"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Justitsministeriet har </w:t>
      </w:r>
      <w:r>
        <w:rPr>
          <w:rFonts w:ascii="Times New Roman" w:hAnsi="Times New Roman" w:cs="Times New Roman"/>
          <w:sz w:val="24"/>
          <w:szCs w:val="24"/>
        </w:rPr>
        <w:t xml:space="preserve">i den forbindelse lagt vægt </w:t>
      </w:r>
      <w:r w:rsidRPr="00D253F0">
        <w:rPr>
          <w:rFonts w:ascii="Times New Roman" w:hAnsi="Times New Roman" w:cs="Times New Roman"/>
          <w:sz w:val="24"/>
          <w:szCs w:val="24"/>
        </w:rPr>
        <w:t xml:space="preserve">på, at det ved præambelbetragtning nr. 100 er forudsat, at den offentlige tilsynsmyndighed udpeget efter artikel 52 kan spille en vis rolle overfor de forpligtede enheder. Endelig har Justitsministeriet lagt vægt på, at der ved </w:t>
      </w:r>
      <w:r>
        <w:rPr>
          <w:rFonts w:ascii="Times New Roman" w:hAnsi="Times New Roman" w:cs="Times New Roman"/>
          <w:sz w:val="24"/>
          <w:szCs w:val="24"/>
        </w:rPr>
        <w:t>oprettelsen af Hvidvaskenheden i regi af Advokatsamfundet</w:t>
      </w:r>
      <w:r w:rsidRPr="00D253F0">
        <w:rPr>
          <w:rFonts w:ascii="Times New Roman" w:hAnsi="Times New Roman" w:cs="Times New Roman"/>
          <w:sz w:val="24"/>
          <w:szCs w:val="24"/>
        </w:rPr>
        <w:t xml:space="preserve"> som den ansvarlige offentlige myndighed i videst muligt omfang samtidig sikres overensstemmelse med</w:t>
      </w:r>
      <w:r w:rsidR="007105E4">
        <w:rPr>
          <w:rFonts w:ascii="Times New Roman" w:hAnsi="Times New Roman" w:cs="Times New Roman"/>
          <w:sz w:val="24"/>
          <w:szCs w:val="24"/>
        </w:rPr>
        <w:t xml:space="preserve"> de</w:t>
      </w:r>
      <w:r w:rsidRPr="00D253F0">
        <w:rPr>
          <w:rFonts w:ascii="Times New Roman" w:hAnsi="Times New Roman" w:cs="Times New Roman"/>
          <w:sz w:val="24"/>
          <w:szCs w:val="24"/>
        </w:rPr>
        <w:t xml:space="preserve"> grundlæggende rettigheder, og navnlig at disse opgaver ikke griber ind i udøvelsen af retten til et forsvar og fortroligheden af kommunikation mellem advokat og klient. Det bemærkes i den forbindelse, at det forudsættes, at </w:t>
      </w:r>
      <w:r>
        <w:rPr>
          <w:rFonts w:ascii="Times New Roman" w:hAnsi="Times New Roman" w:cs="Times New Roman"/>
          <w:sz w:val="24"/>
          <w:szCs w:val="24"/>
        </w:rPr>
        <w:t>Hvidvaskenheden</w:t>
      </w:r>
      <w:r w:rsidRPr="00D253F0">
        <w:rPr>
          <w:rFonts w:ascii="Times New Roman" w:hAnsi="Times New Roman" w:cs="Times New Roman"/>
          <w:sz w:val="24"/>
          <w:szCs w:val="24"/>
        </w:rPr>
        <w:t xml:space="preserve"> ved varetagelsen af sine forskellige opgaver vil sikre, at opstår habilitetsproblemer eller hvad der kunne opfattes som sådanne.</w:t>
      </w:r>
    </w:p>
    <w:p w14:paraId="304BD617" w14:textId="77777777" w:rsidR="002128F7" w:rsidRPr="00D253F0"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I den forbindelse foreslås det bl.a., </w:t>
      </w:r>
      <w:r>
        <w:rPr>
          <w:rFonts w:ascii="Times New Roman" w:hAnsi="Times New Roman" w:cs="Times New Roman"/>
          <w:sz w:val="24"/>
          <w:szCs w:val="24"/>
          <w:lang w:eastAsia="da-DK"/>
        </w:rPr>
        <w:t>Hvidvaskenheden</w:t>
      </w:r>
      <w:r w:rsidRPr="00D253F0">
        <w:rPr>
          <w:rFonts w:ascii="Times New Roman" w:hAnsi="Times New Roman" w:cs="Times New Roman"/>
          <w:sz w:val="24"/>
          <w:szCs w:val="24"/>
          <w:lang w:eastAsia="da-DK"/>
        </w:rPr>
        <w:t xml:space="preserve"> </w:t>
      </w:r>
      <w:r w:rsidRPr="00D253F0">
        <w:rPr>
          <w:rFonts w:ascii="Times New Roman" w:hAnsi="Times New Roman" w:cs="Times New Roman"/>
          <w:sz w:val="24"/>
          <w:szCs w:val="24"/>
        </w:rPr>
        <w:t xml:space="preserve">skal kunne påbyde Advokatrådet at fremlægge oplysninger, som er relevante for at overvåge overholdelsen af reglerne i hvidvaskforordningen, denne lov eller regler udstedt i medfør heraf, udføre kontrolbesøg og skal kunne påbyde Advokatrådet at følge nærmere angivne instruktioner med henblik på at afhjælpe eller forhindre manglende efterlevelse af rådets tilsynsforpligtelser og -funktioner. </w:t>
      </w:r>
    </w:p>
    <w:p w14:paraId="68610E8A" w14:textId="77777777" w:rsidR="002128F7" w:rsidRPr="00D253F0"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Derudover foreslås det, at </w:t>
      </w:r>
      <w:r>
        <w:rPr>
          <w:rFonts w:ascii="Times New Roman" w:hAnsi="Times New Roman" w:cs="Times New Roman"/>
          <w:sz w:val="24"/>
          <w:szCs w:val="24"/>
          <w:lang w:eastAsia="da-DK"/>
        </w:rPr>
        <w:t>Hvidvaskenheden</w:t>
      </w:r>
      <w:r w:rsidRPr="00D253F0">
        <w:rPr>
          <w:rFonts w:ascii="Times New Roman" w:hAnsi="Times New Roman" w:cs="Times New Roman"/>
          <w:sz w:val="24"/>
          <w:szCs w:val="24"/>
        </w:rPr>
        <w:t xml:space="preserve"> skal udarbejde en årsrapport over </w:t>
      </w:r>
      <w:r>
        <w:rPr>
          <w:rFonts w:ascii="Times New Roman" w:hAnsi="Times New Roman" w:cs="Times New Roman"/>
          <w:sz w:val="24"/>
          <w:szCs w:val="24"/>
        </w:rPr>
        <w:t>Advokat</w:t>
      </w:r>
      <w:r w:rsidRPr="00D253F0">
        <w:rPr>
          <w:rFonts w:ascii="Times New Roman" w:hAnsi="Times New Roman" w:cs="Times New Roman"/>
          <w:sz w:val="24"/>
          <w:szCs w:val="24"/>
        </w:rPr>
        <w:t>rådets tilsyn og offentliggøre denne. Det forudsættes, at rapporten i relevant omfang vil kunne</w:t>
      </w:r>
      <w:r>
        <w:rPr>
          <w:rFonts w:ascii="Times New Roman" w:hAnsi="Times New Roman" w:cs="Times New Roman"/>
          <w:sz w:val="24"/>
          <w:szCs w:val="24"/>
        </w:rPr>
        <w:t xml:space="preserve"> basere sig på Advokatrådets rapport over dets tilsyn </w:t>
      </w:r>
      <w:r w:rsidRPr="00D253F0">
        <w:rPr>
          <w:rFonts w:ascii="Times New Roman" w:hAnsi="Times New Roman" w:cs="Times New Roman"/>
          <w:sz w:val="24"/>
          <w:szCs w:val="24"/>
        </w:rPr>
        <w:t xml:space="preserve">henholdsvis indarbejdes i Advokatnævnets årsberetning, idet disse dog ikke indeholder de oplysninger, som i henhold til artikel 52, stk. 7, litra a-c, skal være indeholdt i den årsrapport. </w:t>
      </w:r>
    </w:p>
    <w:p w14:paraId="6E77AA55" w14:textId="77777777" w:rsidR="002128F7" w:rsidRPr="00D253F0"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For så vidt angår den regulatoriske valgmulighed i hvidvaskdirektivets artikel 52, stk. 5, finder Justitsministeriet ikke grundlag for at fastsætte regler om foranstaltninger eller sanktioner for Advokatrådets manglende efterkommelse af anmodninger, instruktioner eller andre foranstaltninger. Justitsministeriet har i den forbindelse lagt vægt på, at der ikke hidtil har været anledning til at regulere Advokatrådets tilsyn med hvidvaskområdet nærmere, og at der af hensyn til Advokatrådets uafhængighed ikke bør fastsættes flere regler om </w:t>
      </w:r>
      <w:r>
        <w:rPr>
          <w:rFonts w:ascii="Times New Roman" w:hAnsi="Times New Roman" w:cs="Times New Roman"/>
          <w:sz w:val="24"/>
          <w:szCs w:val="24"/>
          <w:lang w:eastAsia="da-DK"/>
        </w:rPr>
        <w:t xml:space="preserve">Hvidvaskenhedens </w:t>
      </w:r>
      <w:r w:rsidRPr="00D253F0">
        <w:rPr>
          <w:rFonts w:ascii="Times New Roman" w:hAnsi="Times New Roman" w:cs="Times New Roman"/>
          <w:sz w:val="24"/>
          <w:szCs w:val="24"/>
        </w:rPr>
        <w:t xml:space="preserve">tilsyn med Advokatrådet end, hvad direktivet forpligter til. </w:t>
      </w:r>
    </w:p>
    <w:p w14:paraId="7FCE75C9" w14:textId="77777777" w:rsidR="002128F7" w:rsidRPr="00D253F0"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Med den foreslåede bestemmelse gennemføres hvidvaskdirektivets artikel 52. </w:t>
      </w:r>
    </w:p>
    <w:p w14:paraId="09335E9F" w14:textId="23573214"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C57679" w:rsidRPr="00796736">
        <w:rPr>
          <w:rFonts w:ascii="Times New Roman" w:hAnsi="Times New Roman" w:cs="Times New Roman"/>
          <w:sz w:val="24"/>
          <w:szCs w:val="24"/>
        </w:rPr>
        <w:fldChar w:fldCharType="begin"/>
      </w:r>
      <w:r w:rsidR="00C57679" w:rsidRPr="00796736">
        <w:rPr>
          <w:rFonts w:ascii="Times New Roman" w:hAnsi="Times New Roman" w:cs="Times New Roman"/>
          <w:sz w:val="24"/>
          <w:szCs w:val="24"/>
        </w:rPr>
        <w:instrText xml:space="preserve"> REF _Ref232609366 \r \h </w:instrText>
      </w:r>
      <w:r w:rsidR="00967618" w:rsidRPr="00796736">
        <w:rPr>
          <w:rFonts w:ascii="Times New Roman" w:hAnsi="Times New Roman" w:cs="Times New Roman"/>
          <w:sz w:val="24"/>
          <w:szCs w:val="24"/>
        </w:rPr>
        <w:instrText xml:space="preserve"> \* MERGEFORMAT </w:instrText>
      </w:r>
      <w:r w:rsidR="00C57679" w:rsidRPr="00796736">
        <w:rPr>
          <w:rFonts w:ascii="Times New Roman" w:hAnsi="Times New Roman" w:cs="Times New Roman"/>
          <w:sz w:val="24"/>
          <w:szCs w:val="24"/>
        </w:rPr>
      </w:r>
      <w:r w:rsidR="00C576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110</w:t>
      </w:r>
      <w:r w:rsidR="00C57679" w:rsidRPr="00796736">
        <w:rPr>
          <w:rFonts w:ascii="Times New Roman" w:hAnsi="Times New Roman" w:cs="Times New Roman"/>
          <w:sz w:val="24"/>
          <w:szCs w:val="24"/>
        </w:rPr>
        <w:fldChar w:fldCharType="end"/>
      </w:r>
      <w:r w:rsidR="00C57679"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bemærkningerne dertil. </w:t>
      </w:r>
    </w:p>
    <w:p w14:paraId="232DF23E" w14:textId="77777777" w:rsidR="00943659" w:rsidRPr="00796736" w:rsidRDefault="00943659" w:rsidP="00A802A5">
      <w:pPr>
        <w:spacing w:line="360" w:lineRule="auto"/>
        <w:rPr>
          <w:rFonts w:ascii="Times New Roman" w:hAnsi="Times New Roman" w:cs="Times New Roman"/>
          <w:sz w:val="24"/>
          <w:szCs w:val="24"/>
        </w:rPr>
      </w:pPr>
    </w:p>
    <w:p w14:paraId="73DF08A1" w14:textId="5AC5DAA4" w:rsidR="00F67A32" w:rsidRPr="00796736" w:rsidRDefault="00F67A32" w:rsidP="00A802A5">
      <w:pPr>
        <w:pStyle w:val="Overskrift2"/>
        <w:rPr>
          <w:rFonts w:ascii="Times New Roman" w:hAnsi="Times New Roman"/>
          <w:sz w:val="24"/>
        </w:rPr>
      </w:pPr>
      <w:bookmarkStart w:id="1446" w:name="_Toc232109280"/>
      <w:bookmarkStart w:id="1447" w:name="_Toc244880789"/>
      <w:r w:rsidRPr="00796736">
        <w:rPr>
          <w:rFonts w:ascii="Times New Roman" w:hAnsi="Times New Roman"/>
          <w:sz w:val="24"/>
        </w:rPr>
        <w:t>Underretningsforpligtelser for advokater</w:t>
      </w:r>
      <w:bookmarkEnd w:id="1446"/>
      <w:bookmarkEnd w:id="1447"/>
    </w:p>
    <w:p w14:paraId="4E5AEB05" w14:textId="4D2B47DE" w:rsidR="00F67A32" w:rsidRPr="00796736" w:rsidRDefault="00F67A32" w:rsidP="00A802A5">
      <w:pPr>
        <w:pStyle w:val="Overskrift4"/>
        <w:rPr>
          <w:rFonts w:ascii="Times New Roman" w:hAnsi="Times New Roman" w:cs="Times New Roman"/>
          <w:sz w:val="24"/>
          <w:szCs w:val="24"/>
        </w:rPr>
      </w:pPr>
      <w:bookmarkStart w:id="1448" w:name="_Toc232109281"/>
      <w:bookmarkStart w:id="1449" w:name="_Ref232970935"/>
      <w:r w:rsidRPr="00796736">
        <w:rPr>
          <w:rFonts w:ascii="Times New Roman" w:hAnsi="Times New Roman" w:cs="Times New Roman"/>
          <w:sz w:val="24"/>
          <w:szCs w:val="24"/>
        </w:rPr>
        <w:t>Gældende ret</w:t>
      </w:r>
      <w:bookmarkEnd w:id="1448"/>
      <w:bookmarkEnd w:id="1449"/>
    </w:p>
    <w:p w14:paraId="10F6F344" w14:textId="6487120A" w:rsidR="00F67A32" w:rsidRPr="00796736" w:rsidRDefault="00F67A32" w:rsidP="00267A20">
      <w:pPr>
        <w:pStyle w:val="Overskrift5"/>
      </w:pPr>
      <w:bookmarkStart w:id="1450" w:name="_Ref232942085"/>
      <w:r w:rsidRPr="00796736">
        <w:t>Hvidvaskloven</w:t>
      </w:r>
      <w:bookmarkEnd w:id="1450"/>
    </w:p>
    <w:p w14:paraId="6CDF2003"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26, stk. 1, skal virksomheder og personer omgående underrette Hvidvasksekretariatet, hvis virksomheden eller personen er vidende om, har mistanke om eller rimelig grund til at formode, at en transaktion, midler eller en aktivitet har eller har haft tilknytning til hvidvask eller finansiering af terrorisme. Det samme gælder ved mistanke, der er opstået i forbindelse med kundens forsøg på at foretage en transaktion eller en henvendelse fra en mulig kunde med ønske om gennemførelse af en transaktion eller aktivitet.</w:t>
      </w:r>
    </w:p>
    <w:p w14:paraId="46DC08A7"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bestemmelsen fremgår det, at hvis virksomheden eller personen ikke kan afkræfte mistanken, skal SØIK (i dag Hvidvasksekretariatet) omgående underrettes. Virksomheder og personer omfattet af loven må derfor tilrettelægge deres behandling af mistænkelige transaktioner og aktiviteter på en sådan måde, at processen fra overvågning af kundetransaktioner, konstatering af noget mistænkeligt, undersøgelse og afklaring af, om mistanken kan anses for afkræftet, fremskyndes mest muligt. Dette må især gælde for transaktioner, der umiddelbart fremstår som mistænkelige. Underretningspligten kan ikke opfyldes ved fremsendelse til politiet.</w:t>
      </w:r>
    </w:p>
    <w:p w14:paraId="0244C85C"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endvidere af bemærkningerne til 2. pkt., at kravet i 1. pkt. også gælder ved mistanke, der er opstået i forbindelse med kundens forsøg på at foretage en transaktion eller en henvendelse fra en mulig kunde med ønske om gennemførelse af en transaktion eller aktivitet. Der skal således også gives underretning om kundeforhold, som afvises, hvis der skønnes at være tale om forsøg på hvidvask eller terrorfinansiering. I de tilfælde, hvor der er tale om en ny potentiel kunde, skal kundekendskabsprocedurerne ikke gennemføres, såfremt der er fare for, at kunden bliver bekendt med, at der bliver foretaget en underretning til SØIK, dvs. Hvidvasksekretariatet. Det kan dog i flere tilfælde alligevel være muligt at identificere den pågældende på andet grundlag, herunder på baggrund af oplysninger eller dokumenter, der er modtaget fra den potentielle kunde. Dette er ifølge bemærkningerne endvidere i overensstemmelse med definitionen i artikel 1 i 4. hvidvaskdirektiv, hvorefter forsøg på hvidvask eller terrorfinansiering omfattes af definitionen af hvidvask af penge og terrorfinansiering. </w:t>
      </w:r>
    </w:p>
    <w:p w14:paraId="23C73529"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endvidere, at det ikke er hensigten, at den underretningspligtige skal gå ind i en nærmere strafferetlig vurdering af forholdet. De af loven omfattede virksomheder og personer skal derimod se på, om der er forhold, der er atypiske i forhold til normale kundeforhold, herunder om transaktionen vedrører beløbsstørrelser eller betalingsmåder, der i den konkrete sammenhæng forekommer atypiske. Der kan også være tale om, at der ikke umiddelbart er tale om noget atypisk, men at virksomheden eller personen er i besiddelse af andre oplysninger, der konkret giver anledning til mistanke. På baggrund af en samlet vurdering med udgangspunkt i den underretningspligtiges kendskab til sit sagsområde må den pågældende tage stilling til, om der er en mistanke, der skal underrettes om. </w:t>
      </w:r>
    </w:p>
    <w:p w14:paraId="2C4F212B"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127.</w:t>
      </w:r>
    </w:p>
    <w:p w14:paraId="72B82CBC"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2 kan medlemmer af Advokatsamfundet i tilfælde af mistanke underrette sekretariatet for Advokatsamfundet, der efter en vurdering af, om der er underretningspligt i henhold til stk. 1, omgående og uredigeret skal videregive underretningen til Hvidvasksekretariatet. </w:t>
      </w:r>
    </w:p>
    <w:p w14:paraId="1E99186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bemærkningerne til denne bestemmelse fremgår det bl.a., at medlemmer af Advokatsamfundet i medfør af bestemmelsen kan vælge at underrette Advokatsamfundet først. Der er dog ikke nogen pligt til at underrette Advokatsamfundet, før der sker underretning til Hvidvasksekretariatet. Advokatsamfundet fører efter retsplejeloven tilsyn med advokatbranchen, blandt andet tilsyn med klientkontomidler. Medlemmer af Advokatsamfundet kan derfor vælge i stedet at foretage en underretning direkte til Hvidvasksekretariatet efter stk. 1. Forslaget gennemfører artikel 34 i 4. hvidvaskdirektiv. Der henvises til Folketingstidende 2016-17, tillæg A, L 41 som fremsat, side 128.</w:t>
      </w:r>
    </w:p>
    <w:p w14:paraId="724983F9"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Advokater er efter hvidvasklovens § 27, stk. 1, undtaget fra pligten i § 26 til at foretage underretning på baggrund af oplysninger, som disse modtager fra eller indhenter om en klient, i forbindelse med at advokaten fastslår den pågældende klients retsstilling eller forsvarer eller repræsenterer denne under eller i forbindelse med en retssag, herunder rådgiver om at indlede eller undgå et sagsanlæg. Dette gælder endvidere sager, der føres i Landsskatteretten, og sager ved en voldgiftsret. Undtagelserne gælder, uanset om oplysningerne modtages før, under eller efter retssagen eller sagen, eller i forbindelse med at den pågældende klients retsstilling fastslås. </w:t>
      </w:r>
    </w:p>
    <w:p w14:paraId="0958EAE3"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bemærkningerne til § 27, at juridisk rådgivning skal være omfattet af advokatens tavshedspligt, medmindre den juridiske rådgiver deltager i hvidvaskaktiviteter eller terrorfinansiering, den juridiske rådgivning ydes med henblik på hvidvask af penge eller terrorfinansiering, eller advokaten ved eller burde vide, at klienten søger juridisk rådgivning med henblik på hvidvask af penge og terrorfinansiering. </w:t>
      </w:r>
    </w:p>
    <w:p w14:paraId="3337AAA8"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»fastslår den pågældende klients retsstilling« forstås, at det kun vedrører oplysninger om fortolkning af gældende ret samt retlig subsumption. </w:t>
      </w:r>
    </w:p>
    <w:p w14:paraId="799ABE9A"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Landsskatteretten er landets øverste administrative klageinstans på skatte-, moms-, afgifts-, told-, vurderings- og inddrivelsesområdet. Landsskatteretten behandler klager over en lang række myndigheders afgørelser. Da det er et eksplicit krav, at klageadgang for Landsskatteretten skal være udnyttet, før der kan anlægges sag for domstolene, foreslås det endvidere i stk. 1 at medtage sager for Landsskatteretten i undtagelsen fra indberetningspligten. </w:t>
      </w:r>
    </w:p>
    <w:p w14:paraId="408F1667"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130.</w:t>
      </w:r>
    </w:p>
    <w:p w14:paraId="4C5B3C04" w14:textId="23ACEB04" w:rsidR="00F67A32" w:rsidRPr="00796736" w:rsidRDefault="00F67A32" w:rsidP="00A802A5">
      <w:pPr>
        <w:spacing w:after="240" w:line="360" w:lineRule="auto"/>
        <w:rPr>
          <w:rFonts w:ascii="Times New Roman" w:hAnsi="Times New Roman" w:cs="Times New Roman"/>
          <w:sz w:val="24"/>
          <w:szCs w:val="24"/>
        </w:rPr>
      </w:pPr>
      <w:bookmarkStart w:id="1451" w:name="_Hlk225255546"/>
      <w:r w:rsidRPr="00796736">
        <w:rPr>
          <w:rFonts w:ascii="Times New Roman" w:hAnsi="Times New Roman" w:cs="Times New Roman"/>
          <w:sz w:val="24"/>
          <w:szCs w:val="24"/>
        </w:rPr>
        <w:t xml:space="preserve">Bestemmelserne i §§ 26 og 27 gennemfører 4. hvidvaskdirektivs artikel 33-35. </w:t>
      </w:r>
      <w:bookmarkEnd w:id="1451"/>
      <w:r w:rsidRPr="00796736">
        <w:rPr>
          <w:rFonts w:ascii="Times New Roman" w:hAnsi="Times New Roman" w:cs="Times New Roman"/>
          <w:sz w:val="24"/>
          <w:szCs w:val="24"/>
        </w:rPr>
        <w:t xml:space="preserve">Bestemmelserne skal i øvrigt ses i sammenhæng med hvidvasklovens § 28, som gennemfører 4. hvidvaskdirektivs artikel 36 om tilsynsmyndighedernes underretningsforpligtelse til Hvidvasksekretariatet. </w:t>
      </w:r>
    </w:p>
    <w:p w14:paraId="631A540C" w14:textId="4B06C15A" w:rsidR="00F67A32" w:rsidRPr="00796736" w:rsidRDefault="00F67A32" w:rsidP="00267A20">
      <w:pPr>
        <w:pStyle w:val="Overskrift5"/>
      </w:pPr>
      <w:bookmarkStart w:id="1452" w:name="_Ref232942072"/>
      <w:r w:rsidRPr="00796736">
        <w:t>Hvidvaskforordningen</w:t>
      </w:r>
      <w:bookmarkEnd w:id="1452"/>
    </w:p>
    <w:p w14:paraId="04172E19"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Hvidvaskforordningens artikel 69, stk. 1, fastslår udgangspunktet om underretningsforpligtelse, hvorefter forpligtede enheder ved mistanke skal indberette visse oplysninger til FIU’en.</w:t>
      </w:r>
    </w:p>
    <w:p w14:paraId="0850317A"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Hvidvaskforordningens artikel 70 handler om visse kategorier af forpligtede enheders underretning af mistænkelige transaktioner, og udgør en modifikation af hovedreglen i artikel 69, stk. 1, om underretningsforpligtelser for forpligtede enheder. </w:t>
      </w:r>
    </w:p>
    <w:p w14:paraId="3A64FC36" w14:textId="77777777" w:rsidR="00943659" w:rsidRPr="00796736" w:rsidRDefault="0094365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70, stk. 1, at uanset artikel 69, stk. 1, kan medlemsstaterne tillade forpligtede enheder som omhandlet i artikel 3, nr. 3, litra a, og b, at fremsende de oplysninger, der er nævnt i artikel 69, stk. 1, til et selvregulerende organ, som er udpeget af medlemsstaten. I artikel 3, nr. 3, litra a og b, oplistes juridiske og fysiske personer, som under udøvelsen af deres virksomhed betragtes som forpligtede enheder. Efter litra a omfatter det bl.a. revisorer, eksterne regnskabskyndige, skatterådgivere og enhver anden fysisk eller juridisk person, herunder selvstændige retlige aktører såsom advokater, der forpligter sig til at yde materiel hjælp, bistand eller rådgivning om skatteanliggender som vigtigste forretnings- eller erhvervsmæssige virksomhed. Efter litra b omfatter det endvidere notarer, advokater og andre selvstændige retlige aktører, når de på deres kunders vegne og for dennes regning deltager forskellige transaktionsformer opregnet i litra i-v. Bestemmelsen svarer indholdsmæssigt til 4. hvidvaskdirektivs artikel 34, stk. 1. </w:t>
      </w:r>
    </w:p>
    <w:p w14:paraId="07194DCA" w14:textId="77777777" w:rsidR="00943659" w:rsidRPr="00796736" w:rsidRDefault="0094365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hvidvaskforordningens præambelbetragtning nr. 12, at uafhængige retlige aktører bør være underlagt hvidvaskforordningen, når de deltager i finansielle transaktioner eller selskabstransaktioner, herunder når de yder skatterådgivning, fordi der er risiko for, at de tjenesteydelser, der leveres af disse retlige aktører, misbruges til hvidvask af udbytte af kriminelle handlinger eller til finansiering af terrorisme. Der bør dog være fritagelse for enhver forpligtelse til at indberette oplysninger, der er modtaget før, under eller efter retssager eller i forbindelse med vurderingen af en kundes retsstilling, da sådanne oplysninger er omfattet af retten til fortrolighed. Derfor bør juridisk rådgivning fortsat være omfattet af tavshedspligt, medmindre den retlige aktør deltager i hvidvask af penge eller finansiering af terrorisme, eller den juridiske rådgivning ydes med henblik på hvidvask af penge eller finansiering af terrorisme, eller hvis den retlige aktør har kendskab til, at kunden søger juridisk rådgivning med henblik på hvidvask af penge eller finansiering af terrorisme. Sådant kendskab og formål kan udledes af objektive, faktiske omstændigheder. Da der muligvis allerede indhentes juridisk rådgivning på det tidspunkt, hvor den udbytteskabende kriminelle handling begås, er det vigtigt, at sager, der er udelukket fra retten til fortrolighed, også omfatter situationer, hvor den juridiske rådgivning ydes i forbindelse med underliggende lovovertrædelser. Juridisk rådgivning, der indhentes i forbindelse med verserende retssager, bør ikke betragtes som juridisk rådgivning med henblik på hvidvask af penge eller finansiering af terrorisme.</w:t>
      </w:r>
    </w:p>
    <w:p w14:paraId="26117745" w14:textId="360F0D05" w:rsidR="00943659" w:rsidRPr="00796736" w:rsidRDefault="0094365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videre af præambelbetragtning nr. 13, at For at sikre overholdelsen af de rettigheder, der er sikret ved Den Europæiske Unions charter om grundlæggende rettigheder (»chartret«), bør de oplysninger, som revisorer, eksterne regnskabskyndige og skatterådgivere, der i nogle medlemsstater har ret til at forsvare eller repræsentere en kunde i forbindelse med retssager eller fastslå en kundes retsstilling, får adgang til under udførelsen af disse opgaver, ikke være underlagt indberetningsforpligtelser. De samme undtagelser, der gælder for notarer og advokater, bør dog også finde anvendelse på disse professionelle aktører, når de handler i forbindelse med udøvelse af retten til et forsvar, eller når de fastslår en kundes retsstilling.</w:t>
      </w:r>
    </w:p>
    <w:p w14:paraId="5B22312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artikel 70, stk. 2, første afsnit, undtages notarer, advokater, andre selvstændige retlige aktører, revisorer, eksterne regnskabskyndige og skatterådgivere fra underretningsforpligtelserne i artikel 69, stk. 1, for så vidt som sådanne undtagelser vedrører oplysninger, som disse modtager fra eller indhenter om en kunde, når de vurderer den pågældende kundes retsstilling eller forsvarer eller repræsenterer denne under eller i forbindelse med retssager, herunder rådgiver om indledning eller undgåelse af sådanne retssager, uanset om sådanne oplysninger er modtaget eller indhentet før, under eller efter sådanne retssager. Hvidvaskforordningens artikel 70, stk. 2, første afsnit, svarer til 4. hvidvaskdirektivs artikel 34, stk. 2, og svarer for så vidt angår advokater til indholdet af hvidvasklovens § 27, stk. 1. </w:t>
      </w:r>
    </w:p>
    <w:p w14:paraId="49C40686"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hvidvaskforordningens artikel 70, stk. 2, andet afsnit, finder undtagelsen i første afsnit ikke anvendelse, hvis de forpligtede enheder deltager i hvidvask af penge, de underliggende lovovertrædelser eller finansiering af terrorisme (litra a), yder juridisk rådgivning med henblik herpå (litra b) eller har kendskab til, at kunden søger juridisk rådgivning med henblik herpå (litra c). Kendskabet til eller sådanne formål kan begge udledes af objektive, faktiske forhold. Bestemmelsen svarer efter sit indhold til en udbygning af hvidvasklovens § 27, stk. 4. </w:t>
      </w:r>
    </w:p>
    <w:p w14:paraId="003B115C"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artikel 70, stk. 3, følger det, at udover de situationer, der er omhandlet i stk. 2, andet afsnit, hvorefter undtagelsen i stk. 2, første afsnit alligevel ikke gælder, kan medlemsstaterne, hvis det er berettiget på grund af de højere risici for hvidvask af penge, de underliggende lovovertrædelser eller finansiering af terrorisme i forbindelse med visse typer af transaktioner, beslutte, at den undtagelse, der er omhandlet i stk. 2, første afsnit, ikke finder anvendelse på visse typer af transaktioner, og, i det omfang det er relevant, pålægge de forpligtede enheder, der er omhandlet i nævnte stykke, yderligere underretningsforpligtelser. Efter bestemmelsen kan medlemsstaterne således gøre yderligere indskrænkninger i undtagelsen til underretningsforpligtelsen i stk. 2, under henvisning til de hensyn, der opregnes i stk. 3. Den regulatoriske valgmulighed i hvidvaskforordningens artikel 70, stk. 3, er ny.</w:t>
      </w:r>
    </w:p>
    <w:p w14:paraId="41B67369" w14:textId="5E043FD0" w:rsidR="00986998" w:rsidRPr="00796736" w:rsidRDefault="0098699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142 fremgår det, at for så vidt angår visse forpligtede enheder bør medlemsstaterne have mulighed for at udpege et passende selvregulerende organ, som skal underrettes i første omgang i stedet for FIU'en. I overensstemmelse med Den Europæiske Menneskerettighedsdomstols praksis udgør en ordning, som i første omgang indebærer indberetning til et selvregulerende organ, en vigtig beskyttelsesforanstaltning til at opretholde beskyttelsen af grundlæggende rettigheder i forhold til den indberetningsforpligtelse, som påhviler advokater. Medlemsstaterne bør tilvejebringe de metoder og midler, der skal til for at beskytte tavshedspligten, fortroligheden og privatlivets fred.</w:t>
      </w:r>
    </w:p>
    <w:p w14:paraId="75159F41" w14:textId="77777777" w:rsidR="00F67A32" w:rsidRPr="00796736" w:rsidRDefault="00F67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forordningens præambelbetragtning nr. 143 fremgår det, at notarer, advokater, andre selvstændige retlige aktører, revisorer, eksterne regnskabskyndige og skatterådgivere ikke bør være forpligtet til at fremsende oplysninger til en FIU eller til et selvregulerende organ, som er modtaget fra eller indhentet om en af deres kunder i forbindelse med vurderingen af denne kundes retsstilling eller ved forsvar eller repræsentation af denne kunde under eller i forbindelse med retssager, herunder ved rådgivning om indledning eller undgåelse af sådanne retssager, uanset om sådanne oplysninger er modtaget eller indhentet før, under eller efter retssagerne. En sådan undtagelse bør imidlertid ikke finde anvendelse, hvis den retlige aktør, revisor, ekstern regnskabskyndig eller skatterådgiver deltager i hvidvask af penge eller finansiering af terrorisme, hvis den juridiske rådgivning ydes med henblik på hvidvask af penge eller finansiering af terrorisme, eller hvis den retlige aktør, revisor, ekstern regnskabskyndig eller skatterådgiver har kendskab til, at kunden søger juridisk rådgivning med henblik på hvidvask af penge eller finansiering af terrorisme. Sådant kendskab og formål kan udledes af objektive, faktiske omstændigheder. Juridisk rådgivning, der søges i forbindelse med verserende retssager, bør ikke betragtes som juridisk rådgivning med henblik på hvidvask af penge eller finansiering af terrorisme. I overensstemmelse med den risikobaserede tilgang bør medlemsstaterne kunne identificere yderligere situationer, hvor undtagelsen fra underretningskravet i betragtning af den høje risiko for hvidvask af penge, de underliggende lovovertrædelser eller finansiering af terrorisme i tilknytning til visse typer af transaktioner ikke finder anvendelse. Når medlemsstaterne identificerer sådanne yderligere situationer, skal de sikre overholdelse af navnlig chartrets artikel 7 om retten til respekt for privatliv og familieliv og artikel 47 om adgangen vil effektive retsmidler og en upartisk domstol</w:t>
      </w:r>
    </w:p>
    <w:p w14:paraId="598B8097" w14:textId="77777777" w:rsidR="00F67A32" w:rsidRPr="00796736" w:rsidRDefault="00F67A32" w:rsidP="00A802A5">
      <w:pPr>
        <w:spacing w:line="360" w:lineRule="auto"/>
        <w:rPr>
          <w:rFonts w:ascii="Times New Roman" w:hAnsi="Times New Roman" w:cs="Times New Roman"/>
          <w:sz w:val="24"/>
          <w:szCs w:val="24"/>
        </w:rPr>
      </w:pPr>
    </w:p>
    <w:p w14:paraId="57D1125F" w14:textId="71A526FF" w:rsidR="00F67A32" w:rsidRPr="00796736" w:rsidRDefault="00F67A32" w:rsidP="00A802A5">
      <w:pPr>
        <w:pStyle w:val="Overskrift4"/>
        <w:rPr>
          <w:rFonts w:ascii="Times New Roman" w:hAnsi="Times New Roman" w:cs="Times New Roman"/>
          <w:sz w:val="24"/>
          <w:szCs w:val="24"/>
        </w:rPr>
      </w:pPr>
      <w:bookmarkStart w:id="1453" w:name="_Toc232109282"/>
      <w:r w:rsidRPr="00796736">
        <w:rPr>
          <w:rFonts w:ascii="Times New Roman" w:hAnsi="Times New Roman" w:cs="Times New Roman"/>
          <w:sz w:val="24"/>
          <w:szCs w:val="24"/>
        </w:rPr>
        <w:t>Justitsministeriets overvejelser og den foreslåede ordning</w:t>
      </w:r>
      <w:bookmarkEnd w:id="1453"/>
    </w:p>
    <w:p w14:paraId="0ABAA779" w14:textId="35B12845"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9947E8" w:rsidRPr="00796736">
        <w:rPr>
          <w:rFonts w:ascii="Times New Roman" w:hAnsi="Times New Roman" w:cs="Times New Roman"/>
          <w:sz w:val="24"/>
          <w:szCs w:val="24"/>
        </w:rPr>
        <w:fldChar w:fldCharType="begin"/>
      </w:r>
      <w:r w:rsidR="009947E8" w:rsidRPr="00796736">
        <w:rPr>
          <w:rFonts w:ascii="Times New Roman" w:hAnsi="Times New Roman" w:cs="Times New Roman"/>
          <w:sz w:val="24"/>
          <w:szCs w:val="24"/>
        </w:rPr>
        <w:instrText xml:space="preserve"> REF _Ref232942072 \n \h </w:instrText>
      </w:r>
      <w:r w:rsidR="00967618" w:rsidRPr="00796736">
        <w:rPr>
          <w:rFonts w:ascii="Times New Roman" w:hAnsi="Times New Roman" w:cs="Times New Roman"/>
          <w:sz w:val="24"/>
          <w:szCs w:val="24"/>
        </w:rPr>
        <w:instrText xml:space="preserve"> \* MERGEFORMAT </w:instrText>
      </w:r>
      <w:r w:rsidR="009947E8" w:rsidRPr="00796736">
        <w:rPr>
          <w:rFonts w:ascii="Times New Roman" w:hAnsi="Times New Roman" w:cs="Times New Roman"/>
          <w:sz w:val="24"/>
          <w:szCs w:val="24"/>
        </w:rPr>
      </w:r>
      <w:r w:rsidR="009947E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3.72.1.1.2</w:t>
      </w:r>
      <w:r w:rsidR="009947E8"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artikel 70 en modifikation til den generelle underretningsforpligtelse i artikel 69 og fastsætter specifikke bestemmelser vedrørende visse kategorier af forpligtede enheders underretning af mistænkelige transaktioner. </w:t>
      </w:r>
    </w:p>
    <w:p w14:paraId="35B78215"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70, stk. 1, giver medlemsstaterne mulighed for at fastsætte regler om, at bl.a. advokater indberetter oplysninger til et selvregulerende organ udpeget af medlemsstaten. Efter stk. 2 er bl.a. advokater undtaget fra underretningsforpligtelsen under visse omstændigheder. Bestemmelsen i stk. 3 giver dog medlemsstaterne mulighed for, uanset undtagelsen i stk. 2, at fastsætte regler om, at advokater alligevel er underlagt en underretningsforpligtelse, når det er berettiget på grund af de højere risici for hvidvask af penge, de underliggende lovovertrædelser eller finansiering af terrorisme i forbindelse med visse typer af transaktioner. </w:t>
      </w:r>
    </w:p>
    <w:p w14:paraId="5C063126" w14:textId="7AD7AC50"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w:t>
      </w:r>
      <w:r w:rsidR="009947E8" w:rsidRPr="00796736">
        <w:rPr>
          <w:rFonts w:ascii="Times New Roman" w:hAnsi="Times New Roman" w:cs="Times New Roman"/>
          <w:sz w:val="24"/>
          <w:szCs w:val="24"/>
        </w:rPr>
        <w:fldChar w:fldCharType="begin"/>
      </w:r>
      <w:r w:rsidR="009947E8" w:rsidRPr="00796736">
        <w:rPr>
          <w:rFonts w:ascii="Times New Roman" w:hAnsi="Times New Roman" w:cs="Times New Roman"/>
          <w:sz w:val="24"/>
          <w:szCs w:val="24"/>
        </w:rPr>
        <w:instrText xml:space="preserve"> REF _Ref232942085 \n \h </w:instrText>
      </w:r>
      <w:r w:rsidR="00967618" w:rsidRPr="00796736">
        <w:rPr>
          <w:rFonts w:ascii="Times New Roman" w:hAnsi="Times New Roman" w:cs="Times New Roman"/>
          <w:sz w:val="24"/>
          <w:szCs w:val="24"/>
        </w:rPr>
        <w:instrText xml:space="preserve"> \* MERGEFORMAT </w:instrText>
      </w:r>
      <w:r w:rsidR="009947E8" w:rsidRPr="00796736">
        <w:rPr>
          <w:rFonts w:ascii="Times New Roman" w:hAnsi="Times New Roman" w:cs="Times New Roman"/>
          <w:sz w:val="24"/>
          <w:szCs w:val="24"/>
        </w:rPr>
      </w:r>
      <w:r w:rsidR="009947E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3.72.1.1.1</w:t>
      </w:r>
      <w:r w:rsidR="009947E8"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hvidvasklovens § 26, stk. 2, og § 27, stk. 1, bestemmelser, der gennemfører 4. hvidvaskdirektivs artikel 34. Heraf følger det bl.a., at advokater mv. kan foretage underretninger til Advokatrådet, som herefter underretter Hvidvasksekretariatet og at advokater i visse tilfælde er undtaget fra underretningspligten. Som det fremgår af pkt. </w:t>
      </w:r>
      <w:r w:rsidR="009947E8" w:rsidRPr="00796736">
        <w:rPr>
          <w:rFonts w:ascii="Times New Roman" w:hAnsi="Times New Roman" w:cs="Times New Roman"/>
          <w:sz w:val="24"/>
          <w:szCs w:val="24"/>
        </w:rPr>
        <w:fldChar w:fldCharType="begin"/>
      </w:r>
      <w:r w:rsidR="009947E8" w:rsidRPr="00796736">
        <w:rPr>
          <w:rFonts w:ascii="Times New Roman" w:hAnsi="Times New Roman" w:cs="Times New Roman"/>
          <w:sz w:val="24"/>
          <w:szCs w:val="24"/>
        </w:rPr>
        <w:instrText xml:space="preserve"> REF _Ref232942072 \n \h </w:instrText>
      </w:r>
      <w:r w:rsidR="00967618" w:rsidRPr="00796736">
        <w:rPr>
          <w:rFonts w:ascii="Times New Roman" w:hAnsi="Times New Roman" w:cs="Times New Roman"/>
          <w:sz w:val="24"/>
          <w:szCs w:val="24"/>
        </w:rPr>
        <w:instrText xml:space="preserve"> \* MERGEFORMAT </w:instrText>
      </w:r>
      <w:r w:rsidR="009947E8" w:rsidRPr="00796736">
        <w:rPr>
          <w:rFonts w:ascii="Times New Roman" w:hAnsi="Times New Roman" w:cs="Times New Roman"/>
          <w:sz w:val="24"/>
          <w:szCs w:val="24"/>
        </w:rPr>
      </w:r>
      <w:r w:rsidR="009947E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3.72.1.1.2</w:t>
      </w:r>
      <w:r w:rsidR="009947E8" w:rsidRPr="00796736">
        <w:rPr>
          <w:rFonts w:ascii="Times New Roman" w:hAnsi="Times New Roman" w:cs="Times New Roman"/>
          <w:sz w:val="24"/>
          <w:szCs w:val="24"/>
        </w:rPr>
        <w:fldChar w:fldCharType="end"/>
      </w:r>
      <w:r w:rsidR="009947E8"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er der med hvidvaskforordningens artikel 70, stk. 1 og 2 tale om en videreførelse af artikel 34. </w:t>
      </w:r>
    </w:p>
    <w:p w14:paraId="7498709E" w14:textId="2600BB54"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efter </w:t>
      </w:r>
      <w:r w:rsidR="00475B43">
        <w:rPr>
          <w:rFonts w:ascii="Times New Roman" w:hAnsi="Times New Roman" w:cs="Times New Roman"/>
          <w:sz w:val="24"/>
          <w:szCs w:val="24"/>
        </w:rPr>
        <w:t>Skatte- og Vækstministeriets</w:t>
      </w:r>
      <w:r w:rsidRPr="00796736">
        <w:rPr>
          <w:rFonts w:ascii="Times New Roman" w:hAnsi="Times New Roman" w:cs="Times New Roman"/>
          <w:sz w:val="24"/>
          <w:szCs w:val="24"/>
        </w:rPr>
        <w:t xml:space="preserve"> og Justitsministeriets opfattelse er hensigtsmæssigt at videreføre den eksisterende ordning, hvorefter Advokatrådet, der efter forordningen er at betragte som et selvregulerende organ, der fører tilsyn med advokater og advokatselskaber mv., hvorfor det er nødvendigt at fastsætte supplerende bestemmelser til forordningen, som nærmere udmønter den nationale ordning. </w:t>
      </w:r>
    </w:p>
    <w:p w14:paraId="17255A3B"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skal i forbindelse med fastsættelsen af de supplerende bestemmelser til hvidvaskforordningen tages stilling til den regulatoriske valgmulighed, der fremgår af artikel 70, stk. 3. Herefter kan medlemsstaterne foretage yderligere indskrænkninger i undtagelsen til underretningsforpligtelsen i stk. 2, under henvisning til de hensyn, der opregnes i stk. 3. </w:t>
      </w:r>
    </w:p>
    <w:p w14:paraId="0F035497"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Til støtte for ikke at udnytte denne mulighed kan det navnlig fremhæves, at advokater i kraft af deres centrale rolle i retssystemet og opretholdelsen af retssikkerheden nyder en særlig beskyttelse, og at relationen mellem advokater og deres klienter ligger i kernen af denne beskyttelse, hvorfor det vil kræve ganske tungtvejende hensyn at kunne gøre yderligere indgreb heri.</w:t>
      </w:r>
    </w:p>
    <w:p w14:paraId="0DD0DF74"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Til støtte for at udnytte denne mulighed kan det navnlig anføres, at hvidvask af penge og finansiering af terrorisme udgør alvorlige og samfundsundergravende kriminalitetstyper, som undertiden foranstaltes ved brug af komplekse kriminelle metoder, som involverer funktioner fra det ikke-kriminelle miljø, hvor der er et behov for effektive modforanstaltninger. </w:t>
      </w:r>
    </w:p>
    <w:p w14:paraId="21191A44" w14:textId="5F561126"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På baggrund af også forordningens præambelbetragtning nr. 143 finder Justitsministeriet, at mest taler for, at den regulatoriske valgmulighed bør udnyttes, således at justitsministeren – inden for rammerne af Chartrets artikel 7 om retten til respekt for privatliv og familieliv og artikel 47 om adgangen vil effektive retsmidler og en upartisk domstol – vil kunne fastsætte regler om underretning i forhold til visse typer af risikoeksponerede transaktioner og om nødvendigt, yderligere underretningsforpligtelser. </w:t>
      </w:r>
      <w:r w:rsidR="00986998" w:rsidRPr="00796736">
        <w:rPr>
          <w:rFonts w:ascii="Times New Roman" w:hAnsi="Times New Roman" w:cs="Times New Roman"/>
          <w:sz w:val="24"/>
          <w:szCs w:val="24"/>
        </w:rPr>
        <w:t>Idet adgangen vil fortrolig juridisk rådgivning og beskyttelsen af kommunikationen mellem advokat og klient udgør grundlæggende retssikkerhedsgarantier, forudsættes det imidlertid, at sådanne regler kun vil kunne udstedes, hvis Advokatrådet overfor justitsministeren klart tilkendegiver et tilsynsmæssigt behov for fastsættelsen af sådanne regler og at reglerne efter deres indhold er nødvendige og proportionale i forhold til det indgreb i advokat-klient fortroligheden, som de indebærer.</w:t>
      </w:r>
    </w:p>
    <w:p w14:paraId="5B117439" w14:textId="28646A63"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denne baggrund at fastsætte supplerende bestemmelser til hvidvaskforordningens artikel 70, stk. 1 og 3, i </w:t>
      </w:r>
      <w:r w:rsidR="008438E0" w:rsidRPr="00796736">
        <w:rPr>
          <w:rFonts w:ascii="Times New Roman" w:hAnsi="Times New Roman" w:cs="Times New Roman"/>
          <w:sz w:val="24"/>
          <w:szCs w:val="24"/>
        </w:rPr>
        <w:fldChar w:fldCharType="begin"/>
      </w:r>
      <w:r w:rsidR="008438E0" w:rsidRPr="00796736">
        <w:rPr>
          <w:rFonts w:ascii="Times New Roman" w:hAnsi="Times New Roman" w:cs="Times New Roman"/>
          <w:sz w:val="24"/>
          <w:szCs w:val="24"/>
        </w:rPr>
        <w:instrText xml:space="preserve"> REF _Ref232609412 \r \h  \* MERGEFORMAT </w:instrText>
      </w:r>
      <w:r w:rsidR="008438E0" w:rsidRPr="00796736">
        <w:rPr>
          <w:rFonts w:ascii="Times New Roman" w:hAnsi="Times New Roman" w:cs="Times New Roman"/>
          <w:sz w:val="24"/>
          <w:szCs w:val="24"/>
        </w:rPr>
      </w:r>
      <w:r w:rsidR="008438E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008438E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47A4A086" w14:textId="77777777"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den nuværende retstilstand videreføres med de ændringer, som følger af hvidvaskforordningens artikel 70. Advokater og advokatselskaber vil kunne foretage underretninger af oplysninger ved mistanke om hvidvask eller finansiering af terrorisme til Advokatrådet, der fungerer som selvregulerende organ. Advokatrådet vil herefter med det samme og ufiltreret skulle fremsende pågældende oplysninger til Hvidvasksekretariatet, såfremt oplysningerne er omfattet af underretningspligten. </w:t>
      </w:r>
    </w:p>
    <w:p w14:paraId="11AF0B26" w14:textId="7E08AC1E"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w:t>
      </w:r>
      <w:r w:rsidR="009947E8" w:rsidRPr="00796736">
        <w:rPr>
          <w:rFonts w:ascii="Times New Roman" w:hAnsi="Times New Roman" w:cs="Times New Roman"/>
          <w:sz w:val="24"/>
          <w:szCs w:val="24"/>
        </w:rPr>
        <w:fldChar w:fldCharType="begin"/>
      </w:r>
      <w:r w:rsidR="009947E8" w:rsidRPr="00796736">
        <w:rPr>
          <w:rFonts w:ascii="Times New Roman" w:hAnsi="Times New Roman" w:cs="Times New Roman"/>
          <w:sz w:val="24"/>
          <w:szCs w:val="24"/>
        </w:rPr>
        <w:instrText xml:space="preserve"> REF _Ref232609412 \r \h </w:instrText>
      </w:r>
      <w:r w:rsidR="00967618" w:rsidRPr="00796736">
        <w:rPr>
          <w:rFonts w:ascii="Times New Roman" w:hAnsi="Times New Roman" w:cs="Times New Roman"/>
          <w:sz w:val="24"/>
          <w:szCs w:val="24"/>
        </w:rPr>
        <w:instrText xml:space="preserve"> \* MERGEFORMAT </w:instrText>
      </w:r>
      <w:r w:rsidR="009947E8" w:rsidRPr="00796736">
        <w:rPr>
          <w:rFonts w:ascii="Times New Roman" w:hAnsi="Times New Roman" w:cs="Times New Roman"/>
          <w:sz w:val="24"/>
          <w:szCs w:val="24"/>
        </w:rPr>
      </w:r>
      <w:r w:rsidR="009947E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009947E8"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vil endvidere indebære, at justitsministeren bemyndiges til at fastsætte regler om i visse situationer at gøre yderligere undtagelser fra reglen i artikel 70, stk. 2, når det er berettiget på grund af de højere risici for hvidvask af penge, de underliggende lovovertrædelser eller finansiering af terrorisme i forbindelse med visse typer af transaktioner.</w:t>
      </w:r>
    </w:p>
    <w:p w14:paraId="034B7BD0" w14:textId="39CBBDB6" w:rsidR="00F67A32" w:rsidRPr="00796736" w:rsidRDefault="00F67A3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lovforslagets </w:t>
      </w:r>
      <w:r w:rsidR="009947E8" w:rsidRPr="00796736">
        <w:rPr>
          <w:rFonts w:ascii="Times New Roman" w:hAnsi="Times New Roman" w:cs="Times New Roman"/>
          <w:sz w:val="24"/>
          <w:szCs w:val="24"/>
        </w:rPr>
        <w:fldChar w:fldCharType="begin"/>
      </w:r>
      <w:r w:rsidR="009947E8" w:rsidRPr="00796736">
        <w:rPr>
          <w:rFonts w:ascii="Times New Roman" w:hAnsi="Times New Roman" w:cs="Times New Roman"/>
          <w:sz w:val="24"/>
          <w:szCs w:val="24"/>
        </w:rPr>
        <w:instrText xml:space="preserve"> REF _Ref232609412 \r \h </w:instrText>
      </w:r>
      <w:r w:rsidR="00967618" w:rsidRPr="00796736">
        <w:rPr>
          <w:rFonts w:ascii="Times New Roman" w:hAnsi="Times New Roman" w:cs="Times New Roman"/>
          <w:sz w:val="24"/>
          <w:szCs w:val="24"/>
        </w:rPr>
        <w:instrText xml:space="preserve"> \* MERGEFORMAT </w:instrText>
      </w:r>
      <w:r w:rsidR="009947E8" w:rsidRPr="00796736">
        <w:rPr>
          <w:rFonts w:ascii="Times New Roman" w:hAnsi="Times New Roman" w:cs="Times New Roman"/>
          <w:sz w:val="24"/>
          <w:szCs w:val="24"/>
        </w:rPr>
      </w:r>
      <w:r w:rsidR="009947E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009947E8" w:rsidRPr="00796736">
        <w:rPr>
          <w:rFonts w:ascii="Times New Roman" w:hAnsi="Times New Roman" w:cs="Times New Roman"/>
          <w:sz w:val="24"/>
          <w:szCs w:val="24"/>
        </w:rPr>
        <w:fldChar w:fldCharType="end"/>
      </w:r>
      <w:r w:rsidR="009947E8"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bemærkningerne dertil. </w:t>
      </w:r>
    </w:p>
    <w:p w14:paraId="279245A1" w14:textId="37A10758" w:rsidR="009F7E87" w:rsidRPr="00796736" w:rsidRDefault="009A0431" w:rsidP="00A802A5">
      <w:pPr>
        <w:pStyle w:val="Overskrift2"/>
        <w:rPr>
          <w:rFonts w:ascii="Times New Roman" w:hAnsi="Times New Roman"/>
          <w:sz w:val="24"/>
        </w:rPr>
      </w:pPr>
      <w:bookmarkStart w:id="1454" w:name="_Toc232109283"/>
      <w:bookmarkStart w:id="1455" w:name="_Ref232971235"/>
      <w:bookmarkStart w:id="1456" w:name="_Toc244880790"/>
      <w:r w:rsidRPr="00796736">
        <w:rPr>
          <w:rFonts w:ascii="Times New Roman" w:hAnsi="Times New Roman"/>
          <w:sz w:val="24"/>
        </w:rPr>
        <w:t>Spillemyndighedens tilsyn</w:t>
      </w:r>
      <w:bookmarkEnd w:id="1454"/>
      <w:bookmarkEnd w:id="1455"/>
      <w:bookmarkEnd w:id="1456"/>
    </w:p>
    <w:p w14:paraId="6D9FBBA8" w14:textId="162D0F91" w:rsidR="009A0431" w:rsidRPr="00796736" w:rsidRDefault="0046031F" w:rsidP="00A802A5">
      <w:pPr>
        <w:pStyle w:val="Overskrift4"/>
        <w:rPr>
          <w:rFonts w:ascii="Times New Roman" w:hAnsi="Times New Roman" w:cs="Times New Roman"/>
          <w:sz w:val="24"/>
          <w:szCs w:val="24"/>
        </w:rPr>
      </w:pPr>
      <w:bookmarkStart w:id="1457" w:name="_Toc232109284"/>
      <w:bookmarkStart w:id="1458" w:name="_Ref232971337"/>
      <w:r w:rsidRPr="00796736">
        <w:rPr>
          <w:rFonts w:ascii="Times New Roman" w:hAnsi="Times New Roman" w:cs="Times New Roman"/>
          <w:sz w:val="24"/>
          <w:szCs w:val="24"/>
        </w:rPr>
        <w:t>Gældende ret</w:t>
      </w:r>
      <w:bookmarkEnd w:id="1457"/>
      <w:bookmarkEnd w:id="1458"/>
    </w:p>
    <w:p w14:paraId="61F59463" w14:textId="77777777" w:rsidR="0046031F" w:rsidRPr="00796736" w:rsidRDefault="0046031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Tilsynet med de personer og virksomheder, der er omfattet af hvidvaskloven, er delt mellem Erhvervsstyrelsen, Finanstilsynet, Spillemyndigheden og Advokatrådet. De enkelte tilsynsmyndigheders tilsynskompetence fremgår af hvidvasklovens kapitel 11.</w:t>
      </w:r>
    </w:p>
    <w:p w14:paraId="7D0FA231" w14:textId="77777777" w:rsidR="0046031F" w:rsidRPr="00796736" w:rsidRDefault="0046031F" w:rsidP="00A802A5">
      <w:pPr>
        <w:spacing w:line="360" w:lineRule="auto"/>
        <w:rPr>
          <w:rFonts w:ascii="Times New Roman" w:hAnsi="Times New Roman" w:cs="Times New Roman"/>
          <w:sz w:val="24"/>
          <w:szCs w:val="24"/>
        </w:rPr>
      </w:pPr>
    </w:p>
    <w:p w14:paraId="29B1E308" w14:textId="77777777" w:rsidR="00C278E1" w:rsidRPr="00796736" w:rsidRDefault="00C278E1" w:rsidP="00A802A5">
      <w:pPr>
        <w:spacing w:line="360" w:lineRule="auto"/>
        <w:rPr>
          <w:rFonts w:ascii="Times New Roman" w:eastAsia="Times New Roman" w:hAnsi="Times New Roman" w:cs="Times New Roman"/>
          <w:bCs/>
          <w:sz w:val="24"/>
          <w:szCs w:val="24"/>
        </w:rPr>
      </w:pPr>
      <w:r w:rsidRPr="00796736">
        <w:rPr>
          <w:rFonts w:ascii="Times New Roman" w:eastAsia="Times New Roman" w:hAnsi="Times New Roman" w:cs="Times New Roman"/>
          <w:bCs/>
          <w:sz w:val="24"/>
          <w:szCs w:val="24"/>
        </w:rPr>
        <w:t>Det fremgår af hvidvasklovens § 65, stk. 1, at Spillemyndigheden påser, at udbydere af spil omfattet af hvidvasklovens § 1, stk. 1, nr. 19, og filialer, distributører og agenter her i landet af sådanne udenlandske virksomheder og personer overholder hvidvaskloven, de regler, der er udstedt i medfør heraf, og love og forordninger indeholdende regler om finansielle sanktioner mod lande, personer, grupper, juridiske enheder eller organer. Spillemyndigheden påser dog ikke overholdelse af hvidvasklovens § 36.</w:t>
      </w:r>
    </w:p>
    <w:p w14:paraId="0936DC08" w14:textId="77777777" w:rsidR="00C278E1" w:rsidRPr="00796736" w:rsidRDefault="00C278E1" w:rsidP="00A802A5">
      <w:pPr>
        <w:spacing w:line="360" w:lineRule="auto"/>
        <w:rPr>
          <w:rFonts w:ascii="Times New Roman" w:eastAsia="Times New Roman" w:hAnsi="Times New Roman" w:cs="Times New Roman"/>
          <w:sz w:val="24"/>
          <w:szCs w:val="24"/>
        </w:rPr>
      </w:pPr>
    </w:p>
    <w:p w14:paraId="18A3CCB1" w14:textId="50528C83"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65, stk. 5,</w:t>
      </w:r>
      <w:r w:rsidR="00A63EEE" w:rsidRPr="00796736">
        <w:rPr>
          <w:rFonts w:ascii="Times New Roman" w:eastAsia="Times New Roman" w:hAnsi="Times New Roman" w:cs="Times New Roman"/>
          <w:sz w:val="24"/>
          <w:szCs w:val="24"/>
        </w:rPr>
        <w:t xml:space="preserve"> at</w:t>
      </w:r>
      <w:r w:rsidRPr="00796736">
        <w:rPr>
          <w:rFonts w:ascii="Times New Roman" w:eastAsia="Times New Roman" w:hAnsi="Times New Roman" w:cs="Times New Roman"/>
          <w:sz w:val="24"/>
          <w:szCs w:val="24"/>
        </w:rPr>
        <w:t xml:space="preserve"> </w:t>
      </w:r>
      <w:r w:rsidR="00A63EEE" w:rsidRPr="00796736">
        <w:rPr>
          <w:rFonts w:ascii="Times New Roman" w:eastAsia="Times New Roman" w:hAnsi="Times New Roman" w:cs="Times New Roman"/>
          <w:sz w:val="24"/>
          <w:szCs w:val="24"/>
        </w:rPr>
        <w:t>s</w:t>
      </w:r>
      <w:r w:rsidRPr="00796736">
        <w:rPr>
          <w:rFonts w:ascii="Times New Roman" w:eastAsia="Times New Roman" w:hAnsi="Times New Roman" w:cs="Times New Roman"/>
          <w:sz w:val="24"/>
          <w:szCs w:val="24"/>
        </w:rPr>
        <w:t xml:space="preserve">pillemyndigheden skal samarbejde med de kompetente tilsynsmyndigheder i et andet EU- eller EØS-land, når udbydere af spil, der er under tilsyn i et andet EU- eller EØS-land, udbyder spil her i landet, eller når udbydere af spil omfattet af § 1, stk. 1, nr. 19, udbyder spil i andre EU- eller EØS-lande. </w:t>
      </w:r>
    </w:p>
    <w:p w14:paraId="5EF0551A" w14:textId="77777777" w:rsidR="00C278E1" w:rsidRPr="00796736" w:rsidRDefault="00C278E1" w:rsidP="00A802A5">
      <w:pPr>
        <w:spacing w:line="360" w:lineRule="auto"/>
        <w:rPr>
          <w:rFonts w:ascii="Times New Roman" w:eastAsia="Times New Roman" w:hAnsi="Times New Roman" w:cs="Times New Roman"/>
          <w:sz w:val="24"/>
          <w:szCs w:val="24"/>
        </w:rPr>
      </w:pPr>
    </w:p>
    <w:p w14:paraId="44FDA621"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65, stk. 6, at tilsynsmyndigheder i et andet EU- eller EØS-land efter forudgående aftale med Spillemyndigheden kan foretage tilsynsbesøg i de her i landet beliggende butikker, hvor der udbydes spil for spiludbydere, som er etableret i det pågældende land. Spillemyndigheden kan deltage i tilsynsbesøget. Modsætter en butik sig en kompetent udenlandsk myndigheds tilsyn, kan undersøgelsen kun foretages med Spillemyndighedens medvirken.</w:t>
      </w:r>
    </w:p>
    <w:p w14:paraId="51DB181A" w14:textId="77777777" w:rsidR="00C278E1" w:rsidRPr="00796736" w:rsidRDefault="00C278E1" w:rsidP="00A802A5">
      <w:pPr>
        <w:spacing w:line="360" w:lineRule="auto"/>
        <w:rPr>
          <w:rFonts w:ascii="Times New Roman" w:eastAsia="Times New Roman" w:hAnsi="Times New Roman" w:cs="Times New Roman"/>
          <w:sz w:val="24"/>
          <w:szCs w:val="24"/>
        </w:rPr>
      </w:pPr>
    </w:p>
    <w:p w14:paraId="5D388EA9" w14:textId="66E26128"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hvidvasklovens § 66, at Spillemyndigheden inden for en af Spillemyndigheden fastsat frist kan påbyde udbydere af spil at foretage de nødvendige foranstaltninger i tilfælde af overtrædelse af bestemmelser i denne lov, regler udstedt i medfør heraf, eller Europa-Parlamentets og Rådets forordninger indeholdende regler om finansielle sanktioner mod lande, personer, grupper, juridiske enheder eller organer. </w:t>
      </w:r>
    </w:p>
    <w:p w14:paraId="73FFBFC8" w14:textId="77777777" w:rsidR="00E30F11" w:rsidRPr="00796736" w:rsidRDefault="00E30F11" w:rsidP="00A802A5">
      <w:pPr>
        <w:spacing w:line="360" w:lineRule="auto"/>
        <w:rPr>
          <w:rFonts w:ascii="Times New Roman" w:hAnsi="Times New Roman" w:cs="Times New Roman"/>
          <w:sz w:val="24"/>
          <w:szCs w:val="24"/>
        </w:rPr>
      </w:pPr>
    </w:p>
    <w:p w14:paraId="0F227E1C" w14:textId="10494741" w:rsidR="00E30F11" w:rsidRPr="00796736" w:rsidRDefault="00C278E1" w:rsidP="00A802A5">
      <w:pPr>
        <w:pStyle w:val="Overskrift4"/>
        <w:rPr>
          <w:rFonts w:ascii="Times New Roman" w:hAnsi="Times New Roman" w:cs="Times New Roman"/>
          <w:sz w:val="24"/>
          <w:szCs w:val="24"/>
        </w:rPr>
      </w:pPr>
      <w:bookmarkStart w:id="1459" w:name="_Toc232109285"/>
      <w:r w:rsidRPr="00796736">
        <w:rPr>
          <w:rFonts w:ascii="Times New Roman" w:hAnsi="Times New Roman" w:cs="Times New Roman"/>
          <w:sz w:val="24"/>
          <w:szCs w:val="24"/>
        </w:rPr>
        <w:t>Hvidvaskforordningen og 6. hvidvaskdirektiv</w:t>
      </w:r>
      <w:bookmarkStart w:id="1460" w:name="_Toc515352779"/>
      <w:bookmarkStart w:id="1461" w:name="_Toc515540852"/>
      <w:bookmarkStart w:id="1462" w:name="_Toc515543688"/>
      <w:bookmarkStart w:id="1463" w:name="_Toc515543873"/>
      <w:bookmarkStart w:id="1464" w:name="_Toc515551674"/>
      <w:bookmarkStart w:id="1465" w:name="_Toc515627616"/>
      <w:bookmarkStart w:id="1466" w:name="_Toc516039926"/>
      <w:bookmarkStart w:id="1467" w:name="_Toc516155349"/>
      <w:bookmarkStart w:id="1468" w:name="_Toc516490250"/>
      <w:bookmarkStart w:id="1469" w:name="_Toc518037932"/>
      <w:bookmarkStart w:id="1470" w:name="_Toc524599580"/>
      <w:bookmarkStart w:id="1471" w:name="_Toc526154933"/>
      <w:bookmarkStart w:id="1472" w:name="_Toc526155479"/>
      <w:bookmarkStart w:id="1473" w:name="_Toc526155552"/>
      <w:bookmarkStart w:id="1474" w:name="_Toc526253989"/>
      <w:bookmarkStart w:id="1475" w:name="_Toc526348414"/>
      <w:bookmarkStart w:id="1476" w:name="_Toc526374605"/>
      <w:bookmarkStart w:id="1477" w:name="_Toc526374621"/>
      <w:bookmarkStart w:id="1478" w:name="_Toc526406484"/>
      <w:bookmarkStart w:id="1479" w:name="_Toc526409510"/>
      <w:bookmarkStart w:id="1480" w:name="_Toc526491409"/>
      <w:bookmarkStart w:id="1481" w:name="_Toc526505521"/>
      <w:bookmarkStart w:id="1482" w:name="_Toc526756613"/>
      <w:bookmarkEnd w:id="1459"/>
    </w:p>
    <w:p w14:paraId="7E689A16" w14:textId="77777777" w:rsidR="00907C4D" w:rsidRPr="00796736" w:rsidRDefault="00E30F1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Af artikel 6, stk. 3, i 6. hvidvaskdirektiv, fremgår det, at medlemsstaterne sikrer, at tilsynsorganerne på et risikofølsomt grundlag kontrollerer, om kravene i stk. 1 og 2 fortsat er opfyldt. De kontrollerer navnlig, om den øverste ledelse i forpligtede enheder, der er omhandlet i stk. 1, har et godt omdømme, handler med hæderlighed og integritet og besidder den viden og ekspertise, der er nødvendig for, at den kan udføre sine opgaver i tilfælde, hvor der er rimelig grund til at formode, at der begås eller er blevet begået eller forsøgt begået hvidvask af penge eller finansiering af terrorisme, eller der er øget risiko herfor i en forpligtet enhed.</w:t>
      </w:r>
    </w:p>
    <w:p w14:paraId="3D350AAE" w14:textId="77777777" w:rsidR="006A012C" w:rsidRPr="00796736" w:rsidRDefault="006A012C" w:rsidP="00A802A5">
      <w:pPr>
        <w:spacing w:line="360" w:lineRule="auto"/>
        <w:rPr>
          <w:rFonts w:ascii="Times New Roman" w:eastAsia="Times New Roman" w:hAnsi="Times New Roman" w:cs="Times New Roman"/>
          <w:sz w:val="24"/>
          <w:szCs w:val="24"/>
        </w:rPr>
      </w:pPr>
    </w:p>
    <w:p w14:paraId="226D6D9F" w14:textId="52D988F9" w:rsidR="00907C4D" w:rsidRPr="00796736" w:rsidRDefault="00907C4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Af præambelbetragtning nr. 84 i 6. hvidvaskdirektiv fremgår det, at medlemsstaterne bør sikre et effektivt, uvildigt og risikobaseret tilsyn med alle forpligtede enheder, fortrinsvis foretaget af offentlige myndigheder gennem et særskilt og uafhængigt nationalt tilsynsorgan. De nationale tilsynsorganer bør kunne udføre en bred vifte af opgaver for at kunne føre effektivt tilsyn med alle forpligtede enheder.</w:t>
      </w:r>
    </w:p>
    <w:p w14:paraId="29F4EBDF" w14:textId="77777777" w:rsidR="00E30F11" w:rsidRPr="00796736" w:rsidRDefault="00E30F11" w:rsidP="00A802A5">
      <w:pPr>
        <w:spacing w:line="360" w:lineRule="auto"/>
        <w:rPr>
          <w:rFonts w:ascii="Times New Roman" w:eastAsia="Times New Roman" w:hAnsi="Times New Roman" w:cs="Times New Roman"/>
          <w:sz w:val="24"/>
          <w:szCs w:val="24"/>
        </w:rPr>
      </w:pPr>
    </w:p>
    <w:p w14:paraId="233319D8" w14:textId="00B5A5E0"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37, stk. 1, </w:t>
      </w:r>
      <w:r w:rsidR="00A63EEE" w:rsidRPr="00796736">
        <w:rPr>
          <w:rFonts w:ascii="Times New Roman" w:eastAsia="Times New Roman" w:hAnsi="Times New Roman" w:cs="Times New Roman"/>
          <w:sz w:val="24"/>
          <w:szCs w:val="24"/>
        </w:rPr>
        <w:t>1.</w:t>
      </w:r>
      <w:r w:rsidRPr="00796736">
        <w:rPr>
          <w:rFonts w:ascii="Times New Roman" w:eastAsia="Times New Roman" w:hAnsi="Times New Roman" w:cs="Times New Roman"/>
          <w:sz w:val="24"/>
          <w:szCs w:val="24"/>
        </w:rPr>
        <w:t xml:space="preserve"> afsnit, i 6. hvidvaskdirektiv, at medlemsstaterne skal sikre, at alle forpligtede enheder, der er etableret på dens område, er underlagt fyldestgørende og effektivt tilsyn. Med henblik herpå udpeger hver medlemsstat et eller flere tilsynsorganer til effektivt at overvåge og til at træffe de nødvendige foranstaltninger for at sikre, at de forpligtede enheder opfylder hvidvaskforordningen. </w:t>
      </w:r>
    </w:p>
    <w:p w14:paraId="7A7336C0" w14:textId="77777777" w:rsidR="00C278E1" w:rsidRPr="00796736" w:rsidRDefault="00C278E1" w:rsidP="00A802A5">
      <w:pPr>
        <w:spacing w:line="360" w:lineRule="auto"/>
        <w:rPr>
          <w:rFonts w:ascii="Times New Roman" w:eastAsia="Times New Roman" w:hAnsi="Times New Roman" w:cs="Times New Roman"/>
          <w:sz w:val="24"/>
          <w:szCs w:val="24"/>
        </w:rPr>
      </w:pPr>
    </w:p>
    <w:p w14:paraId="4D1AD159" w14:textId="66EA6F58" w:rsidR="00907C4D"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37, stk. 1, </w:t>
      </w:r>
      <w:r w:rsidR="00A63EEE" w:rsidRPr="00796736">
        <w:rPr>
          <w:rFonts w:ascii="Times New Roman" w:eastAsia="Times New Roman" w:hAnsi="Times New Roman" w:cs="Times New Roman"/>
          <w:sz w:val="24"/>
          <w:szCs w:val="24"/>
        </w:rPr>
        <w:t>2.</w:t>
      </w:r>
      <w:r w:rsidRPr="00796736">
        <w:rPr>
          <w:rFonts w:ascii="Times New Roman" w:eastAsia="Times New Roman" w:hAnsi="Times New Roman" w:cs="Times New Roman"/>
          <w:sz w:val="24"/>
          <w:szCs w:val="24"/>
        </w:rPr>
        <w:t xml:space="preserve"> afsnit, i 6. hvidvaskdirektiv, at hvis medlemsstaterne af altoverskyggende almene hensyn har indført specifikke tilladelseskrav for forpligtede enheder til at drive virksomhed på deres område i henhold til den frie udveksling af tjenesteydelser, sikrer de, at de aktiviteter, der udføres af de forpligtede enheder i henhold til disse specifikke tilladelser er underlagt tilsyn af deres nationale tilsynsorganer, uanset om aktiviteterne udføres via en infrastruktur på deres område eller på afstand. </w:t>
      </w:r>
    </w:p>
    <w:p w14:paraId="1BCCEAE1" w14:textId="77777777" w:rsidR="00907C4D" w:rsidRPr="00796736" w:rsidRDefault="00907C4D" w:rsidP="00A802A5">
      <w:pPr>
        <w:spacing w:line="360" w:lineRule="auto"/>
        <w:rPr>
          <w:rFonts w:ascii="Times New Roman" w:eastAsia="Times New Roman" w:hAnsi="Times New Roman" w:cs="Times New Roman"/>
          <w:sz w:val="24"/>
          <w:szCs w:val="24"/>
        </w:rPr>
      </w:pPr>
    </w:p>
    <w:p w14:paraId="3393C7C0" w14:textId="21777F5A" w:rsidR="00A63EEE" w:rsidRPr="00796736" w:rsidRDefault="00A63EE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Tilsynsorganernes opgaver fremgår af direktivets artikel 37, stk. 5. Tilsynsorganerne skal formidle relevante oplysninger til de forpligtede enheder, og afgøre i hvilke tilfælde de specifikke risici i forbindelse med en sektor er klare og forståelige, og individuelle dokumenterede risikovurderinger i henhold til artikel 10 i hvidvaskforordningen ikke er påkrævet. Derudover skal tilsynsorganerne kontrollere tilstrækkeligheden og gennemførelsen af forpligtede enheders interne politikker, procedurer og kontroller i henhold til kapitel II i hvidvaskforordningen samt, at der er afsat de nødvendige menneskelige ressourcer hertil. Endvidere skal tilsynsorganerne regelmæssigt vurdere og overvåge de risici for hvidvask af penge og finansiering af terrorisme og de risici for manglende gennemførelse og omgåelse af målrettede finansielle sanktioner, som forpligtede enheder er udsat for. Tilsynsorganerne skal også overvåge forpligtede enheders overholdelse af deres forpligtelser i forbindelse med målrettede finansielle sanktioner. Tilsynsorganerne skal gennemføre alle nødvendige off-site undersøgelser, on-site kontrolbesøg og tematiske kontroller og alle andre undersøgelser, vurderinger og analyser, der er nødvendige for at kontrollere, at forpligtede enheder opfylder hvidvaskforordningen og eventuelle administrative foranstaltninger. Endelig skal tilsynsorganet træffe passende foranstaltninger for at imødegå eventuelle overtrædelser af gældende ret begået af de forpligtede enheder, der er identificeret i processen med tilsynsvurderinger, og følge op på gennemførelsen af sådanne foranstaltninger.</w:t>
      </w:r>
    </w:p>
    <w:p w14:paraId="5A3908FB"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37, stk. 6, i 6. hvidvaskdirektiv, at medlemsstaterne skal sikre, at tilsynsorganerne har tilstrækkelige beføjelser til at udføre deres opgave i henhold til stk. 5, herunder beføjelse til at kræve fremlæggelse af alle oplysninger fra forpligtede enheder, som er relevante for overvågning og kontrol af overholdelse af hvidvaskforordningen, og til at gennemføre kontroller, herunder fra tjenesteudbydere, som forpligtede enheder har outsourcet en del af deres opgaver til for at opfylde kravene i de nævnte forordninger. Tilsynsorganerne skal ligeledes have beføjelse til at anvende passende og forholdsmæssige administrative foranstaltninger for at afhjælpe situationen i tilfælde af overtrædelser, herunder ved at pålægge bøder i overensstemmelse med dette kapitels afdeling 4.</w:t>
      </w:r>
    </w:p>
    <w:p w14:paraId="591A6504" w14:textId="77777777" w:rsidR="00C278E1" w:rsidRPr="00796736" w:rsidRDefault="00C278E1" w:rsidP="00A802A5">
      <w:pPr>
        <w:spacing w:line="360" w:lineRule="auto"/>
        <w:rPr>
          <w:rFonts w:ascii="Times New Roman" w:eastAsia="Times New Roman" w:hAnsi="Times New Roman" w:cs="Times New Roman"/>
          <w:sz w:val="24"/>
          <w:szCs w:val="24"/>
        </w:rPr>
      </w:pPr>
    </w:p>
    <w:p w14:paraId="64A23081"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37, stk. 7, i 6. hvidvaskdirektiv, at medlemsstaterne skal sikre, at tilsynsmyndigheder med ansvar for udbydere af spiltjenester har beføjelser ud over dem, der er omhandlet i stk. 6, herunder beføjelse til at kontrollere den forpligtede enheds forretningslokaler uden forudgående varsel, hvis det er nødvendigt for at udføre et kontrolbesøg korrekt og effektivt, og at de har de nødvendige midler til at foretage en sådan kontrol.</w:t>
      </w:r>
    </w:p>
    <w:p w14:paraId="3D2BADD7" w14:textId="77777777" w:rsidR="00C278E1" w:rsidRPr="00796736" w:rsidRDefault="00C278E1" w:rsidP="00A802A5">
      <w:pPr>
        <w:spacing w:line="360" w:lineRule="auto"/>
        <w:rPr>
          <w:rFonts w:ascii="Times New Roman" w:eastAsia="Times New Roman" w:hAnsi="Times New Roman" w:cs="Times New Roman"/>
          <w:sz w:val="24"/>
          <w:szCs w:val="24"/>
        </w:rPr>
      </w:pPr>
    </w:p>
    <w:p w14:paraId="4FB8D6F0"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Tilsynsmyndigheder skal i den forbindelse som minimum kunne undersøge regnskaber og registre tilhørende disse forpligtede enheder og tage kopier og uddrag af sådanne regnskaber og registre. Tilsynsmyndigheder skal endvidere kunne få adgang til software, databaser, IT-værktøjer eller andre elektroniske midler til registrering af oplysninger, der anvendes af den forpligtede enhed.  Tilsynsmyndighederne skal endeligt kunne indhente skriftlige eller mundtlige oplysninger fra enhver person, der er ansvarlig for de interne politikker, procedurer og kontroller for bekæmpelse af hvidvask af penge og finansiering af terrorisme, eller deres repræsentanter eller personale, samt fra repræsentanter for eller personale i enheder, som den forpligtede enhed har outsourcet opgaver til i henhold til hvidvaskforordningens artikel 18, og udspørge enhver anden person, der samtykker heri, med det formål at indhente oplysninger om genstanden for en efterforskning.</w:t>
      </w:r>
    </w:p>
    <w:p w14:paraId="011A9A1F" w14:textId="77777777" w:rsidR="00C278E1" w:rsidRPr="00796736" w:rsidRDefault="00C278E1" w:rsidP="00A802A5">
      <w:pPr>
        <w:spacing w:line="360" w:lineRule="auto"/>
        <w:rPr>
          <w:rFonts w:ascii="Times New Roman" w:eastAsia="Times New Roman" w:hAnsi="Times New Roman" w:cs="Times New Roman"/>
          <w:sz w:val="24"/>
          <w:szCs w:val="24"/>
        </w:rPr>
      </w:pPr>
    </w:p>
    <w:p w14:paraId="74973E12" w14:textId="74E059F8"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Artikel 40, stk. 1, </w:t>
      </w:r>
      <w:r w:rsidR="00A63EEE" w:rsidRPr="00796736">
        <w:rPr>
          <w:rFonts w:ascii="Times New Roman" w:eastAsia="Times New Roman" w:hAnsi="Times New Roman" w:cs="Times New Roman"/>
          <w:sz w:val="24"/>
          <w:szCs w:val="24"/>
        </w:rPr>
        <w:t xml:space="preserve">1. </w:t>
      </w:r>
      <w:r w:rsidRPr="00796736">
        <w:rPr>
          <w:rFonts w:ascii="Times New Roman" w:eastAsia="Times New Roman" w:hAnsi="Times New Roman" w:cs="Times New Roman"/>
          <w:sz w:val="24"/>
          <w:szCs w:val="24"/>
        </w:rPr>
        <w:t xml:space="preserve">afsnit, i 6. hvidvaskdirektiv fastsætter, at medlemsstaterne sikrer, at tilsynsmyndighederne anvender en risikobaseret tilgang til tilsyn. Medlemsstaterne sikrer med henblik herpå, at tilsynsorganerne har en klar forståelse af risiciene for hvidvask af penge og finansiering af terrorisme i deres medlemsstat. De sikrer også, at tilsynsorganerne vurderer alle relevante oplysninger om bestemte indenlandske og udenlandske risici, der er forbundet med de forpligtede enheders kunder, produkter og tjenesteydelser. De sikrer endvidere, at tilsynsorganerne fastsætter hyppigheden og intensiteten af on-site og off-site og tematiske tilsyn på grundlag af de forpligtede enheders risikoprofil og af risiciene for hvidvask af penge og finansiering af terrorisme i den pågældende medlemsstat. </w:t>
      </w:r>
    </w:p>
    <w:p w14:paraId="0F372249" w14:textId="77777777" w:rsidR="006A012C" w:rsidRPr="00796736" w:rsidRDefault="006A012C" w:rsidP="00A802A5">
      <w:pPr>
        <w:spacing w:line="360" w:lineRule="auto"/>
        <w:rPr>
          <w:rFonts w:ascii="Times New Roman" w:eastAsia="Times New Roman" w:hAnsi="Times New Roman" w:cs="Times New Roman"/>
          <w:sz w:val="24"/>
          <w:szCs w:val="24"/>
        </w:rPr>
      </w:pPr>
    </w:p>
    <w:p w14:paraId="0C4EA671" w14:textId="77777777" w:rsidR="00A63EEE" w:rsidRPr="00796736" w:rsidRDefault="00A63EE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Artikel 40, stk. 2 og 3, retter sig mod AMLA og skal ikke implementeres i dansk ret. Bestemmelserne bygger videre på artikel 48, stk. 7 og 10, i 4. hvidvaskdirektiv. </w:t>
      </w:r>
    </w:p>
    <w:p w14:paraId="2E3370CC"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40, stk. 4, i 6. hvidvaskdirektiv, at medlemsstaterne skal sikre, at tilsynsorganerne tager hensyn til omfanget af den skønsbeføjelse, som det er tilladt den forpligtede enhed at have, og foretager en passende gennemgang af de risikovurderinger, der ligger til grund for denne skønsbeføjelse, og af tilstrækkeligheden af enhedens interne politikker, procedurer og kontroller. </w:t>
      </w:r>
    </w:p>
    <w:p w14:paraId="067B07DF" w14:textId="77777777" w:rsidR="00C278E1" w:rsidRPr="00796736" w:rsidRDefault="00C278E1" w:rsidP="00A802A5">
      <w:pPr>
        <w:spacing w:line="360" w:lineRule="auto"/>
        <w:rPr>
          <w:rFonts w:ascii="Times New Roman" w:eastAsia="Times New Roman" w:hAnsi="Times New Roman" w:cs="Times New Roman"/>
          <w:sz w:val="24"/>
          <w:szCs w:val="24"/>
        </w:rPr>
      </w:pPr>
    </w:p>
    <w:p w14:paraId="38E9AD9C"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44, 1. pkt., i 6. hvidvaskdirektiv, at medlemsstaterne sikrer, at tilsynsorganer samarbejder med hinanden i videst muligt omfang, uanset deres respektive art eller status. </w:t>
      </w:r>
    </w:p>
    <w:p w14:paraId="77B60AF7" w14:textId="77777777" w:rsidR="00C278E1" w:rsidRPr="00796736" w:rsidRDefault="00C278E1" w:rsidP="00A802A5">
      <w:pPr>
        <w:spacing w:line="360" w:lineRule="auto"/>
        <w:rPr>
          <w:rFonts w:ascii="Times New Roman" w:eastAsia="Times New Roman" w:hAnsi="Times New Roman" w:cs="Times New Roman"/>
          <w:sz w:val="24"/>
          <w:szCs w:val="24"/>
        </w:rPr>
      </w:pPr>
    </w:p>
    <w:p w14:paraId="1DCFA902"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51, stk. 1, i 6. hvidvaskdirektiv, at medlemsstaterne sikrer, at tilsynsorganer kan indgå samarbejdsaftaler vedrørende samarbejde og udveksling af fortrolige oplysninger med deres modparter i tredjelande. Samarbejdsaftalerne skal overholde gældende databeskyttelsesregler og være gensidige samt underlagt en garanti om krav til tavshedspligt, der mindst svarer til den, der er omtalt i artikel 67, stk. 1. Udvekslingen af fortrolige oplysninger inden for disse samarbejdsaftaler må kun anvendes med henblik på de pågældende myndigheders udførelse af deres tilsynsopgaver. </w:t>
      </w:r>
    </w:p>
    <w:p w14:paraId="42936E32" w14:textId="77777777" w:rsidR="00C278E1" w:rsidRPr="00796736" w:rsidRDefault="00C278E1" w:rsidP="00A802A5">
      <w:pPr>
        <w:spacing w:line="360" w:lineRule="auto"/>
        <w:rPr>
          <w:rFonts w:ascii="Times New Roman" w:eastAsia="Times New Roman" w:hAnsi="Times New Roman" w:cs="Times New Roman"/>
          <w:sz w:val="24"/>
          <w:szCs w:val="24"/>
        </w:rPr>
      </w:pPr>
    </w:p>
    <w:p w14:paraId="2CF73E0B"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53, stk. 6, i 6. hvidvaskdirektiv, at medlemsstaterne sikrer, at tilsynsorganerne ved fastsættelsen af typen og niveauet af bøderne eller de administrative foranstaltninger tager højde for alle relevante omstændigheder, herunder, hvor det er relevant, overtrædelsens grovhed og varighed, antallet af gentagelser af overtrædelsen, graden af ansvar hos den fysiske eller juridiske person, der holdes ansvarlig, graden af samarbejde mellem den fysiske eller juridiske person, der holdes ansvarlig, og den kompetente myndighed samt overtrædelser, som den fysiske eller juridiske person, der holdes ansvarlig, tidligere har begået. </w:t>
      </w:r>
    </w:p>
    <w:p w14:paraId="2BE5B8CB" w14:textId="77777777" w:rsidR="006A012C" w:rsidRPr="00796736" w:rsidRDefault="006A012C" w:rsidP="00A802A5">
      <w:pPr>
        <w:spacing w:line="360" w:lineRule="auto"/>
        <w:rPr>
          <w:rFonts w:ascii="Times New Roman" w:eastAsia="Times New Roman" w:hAnsi="Times New Roman" w:cs="Times New Roman"/>
          <w:sz w:val="24"/>
          <w:szCs w:val="24"/>
        </w:rPr>
      </w:pPr>
    </w:p>
    <w:p w14:paraId="2B7D0543" w14:textId="17311B4B"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Artikel 53, stk. 10,</w:t>
      </w:r>
      <w:r w:rsidR="00A63EEE" w:rsidRPr="00796736">
        <w:rPr>
          <w:rFonts w:ascii="Times New Roman" w:hAnsi="Times New Roman" w:cs="Times New Roman"/>
          <w:sz w:val="24"/>
          <w:szCs w:val="24"/>
        </w:rPr>
        <w:t xml:space="preserve"> i 6. hvidvaskdirektiv,</w:t>
      </w:r>
      <w:r w:rsidRPr="00796736">
        <w:rPr>
          <w:rFonts w:ascii="Times New Roman" w:hAnsi="Times New Roman" w:cs="Times New Roman"/>
          <w:sz w:val="24"/>
          <w:szCs w:val="24"/>
        </w:rPr>
        <w:t xml:space="preserve"> retter sig mod AMLA og skal ikke implementeres i dansk ret.</w:t>
      </w:r>
    </w:p>
    <w:p w14:paraId="0446CE6F" w14:textId="77777777" w:rsidR="00C278E1" w:rsidRPr="00796736" w:rsidRDefault="00C278E1" w:rsidP="00A802A5">
      <w:pPr>
        <w:spacing w:line="360" w:lineRule="auto"/>
        <w:rPr>
          <w:rFonts w:ascii="Times New Roman" w:eastAsia="Times New Roman" w:hAnsi="Times New Roman" w:cs="Times New Roman"/>
          <w:sz w:val="24"/>
          <w:szCs w:val="24"/>
        </w:rPr>
      </w:pPr>
    </w:p>
    <w:p w14:paraId="2B6A32EB"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56, stk. 1, i 6. hvidvaskdirektiv, at tilsynsorganerne skal kunne anvende administrative foranstaltninger over for en forpligtet enhed, hvis de konstaterer overtrædelser af hvidvaskforordningen, enten i kombination med bøder for alvorlige, gentagne og systematiske overtrædelser, eller alene. Tilsynsorganerne skal også kunne anvende administrative foranstaltninger over for en forpligtet enhed, hvis de konstaterer svagheder i den forpligtede enheds interne politikker, procedurer og kontroller, som sandsynligvis vil føre til overtrædelser af de krav, der er omhandlet i litra a, eller hvis den forpligtede enhed har interne politikker, procedurer og kontroller, der ikke står i et rimeligt forhold til de risici for hvidvask af penge, de underliggende lovovertrædelser eller finansiering af terrorisme, som enheden er eksponeret for.</w:t>
      </w:r>
    </w:p>
    <w:p w14:paraId="24303CDC" w14:textId="77777777" w:rsidR="00C278E1" w:rsidRPr="00796736" w:rsidRDefault="00C278E1" w:rsidP="00A802A5">
      <w:pPr>
        <w:spacing w:line="360" w:lineRule="auto"/>
        <w:rPr>
          <w:rFonts w:ascii="Times New Roman" w:eastAsia="Times New Roman" w:hAnsi="Times New Roman" w:cs="Times New Roman"/>
          <w:sz w:val="24"/>
          <w:szCs w:val="24"/>
        </w:rPr>
      </w:pPr>
    </w:p>
    <w:p w14:paraId="699B9571"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56, stk. 2, i 6. hvidvaskdirektiv, at medlemsstaterne sikrer, at tilsynsorganerne som minimum kan udstede henstillinger, påbyde forpligtede enheder at overholde, herunder at gennemføre, specifikke korrigerende foranstaltninger, udstede en offentlig meddelelse, hvori den fysiske eller juridiske person og overtrædelsens art identificeres, udstede et påbud om, at den fysiske eller juridiske person skal bringe den udviste adfærd til ophør og undlade at gentage en sådan adfærd, indskrænke eller begrænse forretningsaktiviteter, transaktioner eller netværk af institutter, der udgør den forpligtede enhed, eller kræve afhændelse af aktiviteter, hvor en forpligtet enhed er underlagt krav om en tilladelse, trække tilladelsen tilbage eller suspendere den og kræve ændringer i ledelsesstrukturen.</w:t>
      </w:r>
    </w:p>
    <w:p w14:paraId="10C101DF" w14:textId="77777777" w:rsidR="00C278E1" w:rsidRPr="00796736" w:rsidRDefault="00C278E1" w:rsidP="00A802A5">
      <w:pPr>
        <w:spacing w:line="360" w:lineRule="auto"/>
        <w:rPr>
          <w:rFonts w:ascii="Times New Roman" w:eastAsia="Times New Roman" w:hAnsi="Times New Roman" w:cs="Times New Roman"/>
          <w:sz w:val="24"/>
          <w:szCs w:val="24"/>
        </w:rPr>
      </w:pPr>
    </w:p>
    <w:p w14:paraId="5771781D" w14:textId="635C0029"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w:t>
      </w:r>
      <w:r w:rsidR="006A012C" w:rsidRPr="00796736">
        <w:rPr>
          <w:rFonts w:ascii="Times New Roman" w:eastAsia="Times New Roman" w:hAnsi="Times New Roman" w:cs="Times New Roman"/>
          <w:sz w:val="24"/>
          <w:szCs w:val="24"/>
        </w:rPr>
        <w:t xml:space="preserve"> artikel</w:t>
      </w:r>
      <w:r w:rsidRPr="00796736">
        <w:rPr>
          <w:rFonts w:ascii="Times New Roman" w:eastAsia="Times New Roman" w:hAnsi="Times New Roman" w:cs="Times New Roman"/>
          <w:sz w:val="24"/>
          <w:szCs w:val="24"/>
        </w:rPr>
        <w:t xml:space="preserve"> 56, stk. 3, i 6. hvidvaskdirektiv, at medlemsstaterne sikrer, at tilsynsorganerne ved hjælp af de administrative foranstaltninger, der er omhandlet i stk. 2, navnlig kan </w:t>
      </w:r>
      <w:r w:rsidR="006A012C" w:rsidRPr="00796736">
        <w:rPr>
          <w:rFonts w:ascii="Times New Roman" w:eastAsia="Times New Roman" w:hAnsi="Times New Roman" w:cs="Times New Roman"/>
          <w:sz w:val="24"/>
          <w:szCs w:val="24"/>
        </w:rPr>
        <w:t>a)</w:t>
      </w:r>
      <w:r w:rsidRPr="00796736">
        <w:rPr>
          <w:rFonts w:ascii="Times New Roman" w:eastAsia="Times New Roman" w:hAnsi="Times New Roman" w:cs="Times New Roman"/>
          <w:sz w:val="24"/>
          <w:szCs w:val="24"/>
        </w:rPr>
        <w:t xml:space="preserve"> kræve fremlæggelse uden unødigt ophold af data eller oplysninger, der er nødvendige for udførelsen af deres opgaver i henhold til dette kapitel, kræve indgivelse af dokumenter eller pålægge yderligere eller hyppigere indberetningskrav, </w:t>
      </w:r>
      <w:r w:rsidR="006A012C" w:rsidRPr="00796736">
        <w:rPr>
          <w:rFonts w:ascii="Times New Roman" w:eastAsia="Times New Roman" w:hAnsi="Times New Roman" w:cs="Times New Roman"/>
          <w:sz w:val="24"/>
          <w:szCs w:val="24"/>
        </w:rPr>
        <w:t>b)</w:t>
      </w:r>
      <w:r w:rsidRPr="00796736">
        <w:rPr>
          <w:rFonts w:ascii="Times New Roman" w:eastAsia="Times New Roman" w:hAnsi="Times New Roman" w:cs="Times New Roman"/>
          <w:sz w:val="24"/>
          <w:szCs w:val="24"/>
        </w:rPr>
        <w:t xml:space="preserve"> stille krav om, at interne politikker, procedurer og kontroller styrkes, </w:t>
      </w:r>
      <w:r w:rsidR="006A012C" w:rsidRPr="00796736">
        <w:rPr>
          <w:rFonts w:ascii="Times New Roman" w:eastAsia="Times New Roman" w:hAnsi="Times New Roman" w:cs="Times New Roman"/>
          <w:sz w:val="24"/>
          <w:szCs w:val="24"/>
        </w:rPr>
        <w:t>c)</w:t>
      </w:r>
      <w:r w:rsidRPr="00796736">
        <w:rPr>
          <w:rFonts w:ascii="Times New Roman" w:eastAsia="Times New Roman" w:hAnsi="Times New Roman" w:cs="Times New Roman"/>
          <w:sz w:val="24"/>
          <w:szCs w:val="24"/>
        </w:rPr>
        <w:t xml:space="preserve"> kræve, at den forpligtede enhed anvender en specifik politik eller specifikke krav vedrørende kategorier af kunder eller individuelle kunder, transaktioner, aktiviteter eller leveringskaneler, der udgør en høj risiko, </w:t>
      </w:r>
      <w:r w:rsidR="006A012C" w:rsidRPr="00796736">
        <w:rPr>
          <w:rFonts w:ascii="Times New Roman" w:eastAsia="Times New Roman" w:hAnsi="Times New Roman" w:cs="Times New Roman"/>
          <w:sz w:val="24"/>
          <w:szCs w:val="24"/>
        </w:rPr>
        <w:t>d)</w:t>
      </w:r>
      <w:r w:rsidRPr="00796736">
        <w:rPr>
          <w:rFonts w:ascii="Times New Roman" w:eastAsia="Times New Roman" w:hAnsi="Times New Roman" w:cs="Times New Roman"/>
          <w:sz w:val="24"/>
          <w:szCs w:val="24"/>
        </w:rPr>
        <w:t xml:space="preserve"> kræve gennemførelse af foranstaltninger til nedbringelse af de risici for hvidvask af penge eller finansiering af terrorisme, der er forbundet med den forpligtede enheds aktiviteter og produkter, eller </w:t>
      </w:r>
      <w:r w:rsidR="006A012C" w:rsidRPr="00796736">
        <w:rPr>
          <w:rFonts w:ascii="Times New Roman" w:eastAsia="Times New Roman" w:hAnsi="Times New Roman" w:cs="Times New Roman"/>
          <w:sz w:val="24"/>
          <w:szCs w:val="24"/>
        </w:rPr>
        <w:t>e)</w:t>
      </w:r>
      <w:r w:rsidRPr="00796736">
        <w:rPr>
          <w:rFonts w:ascii="Times New Roman" w:eastAsia="Times New Roman" w:hAnsi="Times New Roman" w:cs="Times New Roman"/>
          <w:sz w:val="24"/>
          <w:szCs w:val="24"/>
        </w:rPr>
        <w:t xml:space="preserve"> indføre et midlertidigt forbud mod, at personer med ledelsesansvar i en forpligtet enhed eller andre fysiske personer, der er blevet holdt ansvarlige for overtrædelsen, varetager ledelsesfunktioner i forpligtede enheder.</w:t>
      </w:r>
    </w:p>
    <w:p w14:paraId="72319E45" w14:textId="77777777" w:rsidR="00C278E1" w:rsidRPr="00796736" w:rsidRDefault="00C278E1" w:rsidP="00A802A5">
      <w:pPr>
        <w:spacing w:line="360" w:lineRule="auto"/>
        <w:rPr>
          <w:rFonts w:ascii="Times New Roman" w:hAnsi="Times New Roman" w:cs="Times New Roman"/>
          <w:sz w:val="24"/>
          <w:szCs w:val="24"/>
        </w:rPr>
      </w:pPr>
    </w:p>
    <w:p w14:paraId="7491A1B1" w14:textId="65093DB5" w:rsidR="00C278E1" w:rsidRPr="00796736" w:rsidRDefault="00C278E1" w:rsidP="00A802A5">
      <w:pPr>
        <w:pStyle w:val="Overskrift4"/>
        <w:rPr>
          <w:rFonts w:ascii="Times New Roman" w:hAnsi="Times New Roman" w:cs="Times New Roman"/>
          <w:sz w:val="24"/>
          <w:szCs w:val="24"/>
        </w:rPr>
      </w:pPr>
      <w:bookmarkStart w:id="1483" w:name="_Toc232109286"/>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sidRPr="00796736">
        <w:rPr>
          <w:rFonts w:ascii="Times New Roman" w:hAnsi="Times New Roman" w:cs="Times New Roman"/>
          <w:sz w:val="24"/>
          <w:szCs w:val="24"/>
        </w:rPr>
        <w:t>Skatte</w:t>
      </w:r>
      <w:r w:rsidR="00EA74CC" w:rsidRPr="00796736">
        <w:rPr>
          <w:rFonts w:ascii="Times New Roman" w:hAnsi="Times New Roman" w:cs="Times New Roman"/>
          <w:sz w:val="24"/>
          <w:szCs w:val="24"/>
        </w:rPr>
        <w:t>-og Vækst</w:t>
      </w:r>
      <w:r w:rsidRPr="00796736">
        <w:rPr>
          <w:rFonts w:ascii="Times New Roman" w:hAnsi="Times New Roman" w:cs="Times New Roman"/>
          <w:sz w:val="24"/>
          <w:szCs w:val="24"/>
        </w:rPr>
        <w:t>ministeriets overvejelser</w:t>
      </w:r>
      <w:r w:rsidR="0052535A" w:rsidRPr="00796736">
        <w:rPr>
          <w:rFonts w:ascii="Times New Roman" w:hAnsi="Times New Roman" w:cs="Times New Roman"/>
          <w:sz w:val="24"/>
          <w:szCs w:val="24"/>
        </w:rPr>
        <w:t xml:space="preserve"> og den foreslåede ordning</w:t>
      </w:r>
      <w:bookmarkEnd w:id="1483"/>
    </w:p>
    <w:p w14:paraId="69A2D6D5" w14:textId="77777777" w:rsidR="00907C4D" w:rsidRPr="00796736" w:rsidRDefault="00907C4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Skatte- og Vækstministeriet har som følge af vedtagelsen af hvidvaskforordningen vurderet det nødvendigt at foretage en række justeringer til Spillemyndighedens tilsynsansvar og den gældende hvidvasklovs bestemmelser herom.</w:t>
      </w:r>
    </w:p>
    <w:p w14:paraId="2718962D" w14:textId="77777777" w:rsidR="00907C4D" w:rsidRPr="00796736" w:rsidRDefault="00907C4D" w:rsidP="00A802A5">
      <w:pPr>
        <w:spacing w:line="360" w:lineRule="auto"/>
        <w:rPr>
          <w:rFonts w:ascii="Times New Roman" w:eastAsia="Times New Roman" w:hAnsi="Times New Roman" w:cs="Times New Roman"/>
          <w:sz w:val="24"/>
          <w:szCs w:val="24"/>
        </w:rPr>
      </w:pPr>
    </w:p>
    <w:p w14:paraId="75460C4B" w14:textId="3BE7D04A" w:rsidR="00907C4D" w:rsidRPr="00796736" w:rsidRDefault="00907C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vedtagelsen af hvidvaskforordningen udvides reglernes anvendelsesområde som beskrevet under pkt. </w:t>
      </w:r>
      <w:r w:rsidRPr="00796736">
        <w:rPr>
          <w:rFonts w:ascii="Times New Roman" w:hAnsi="Times New Roman" w:cs="Times New Roman"/>
          <w:sz w:val="24"/>
          <w:szCs w:val="24"/>
          <w:highlight w:val="yellow"/>
        </w:rPr>
        <w:fldChar w:fldCharType="begin"/>
      </w:r>
      <w:r w:rsidRPr="00796736">
        <w:rPr>
          <w:rFonts w:ascii="Times New Roman" w:hAnsi="Times New Roman" w:cs="Times New Roman"/>
          <w:sz w:val="24"/>
          <w:szCs w:val="24"/>
        </w:rPr>
        <w:instrText xml:space="preserve"> REF _Ref233019657 \r \h </w:instrText>
      </w:r>
      <w:r w:rsidRPr="00796736">
        <w:rPr>
          <w:rFonts w:ascii="Times New Roman" w:hAnsi="Times New Roman" w:cs="Times New Roman"/>
          <w:sz w:val="24"/>
          <w:szCs w:val="24"/>
          <w:highlight w:val="yellow"/>
        </w:rPr>
        <w:instrText xml:space="preserve"> \* MERGEFORMAT </w:instrText>
      </w:r>
      <w:r w:rsidRPr="00796736">
        <w:rPr>
          <w:rFonts w:ascii="Times New Roman" w:hAnsi="Times New Roman" w:cs="Times New Roman"/>
          <w:sz w:val="24"/>
          <w:szCs w:val="24"/>
          <w:highlight w:val="yellow"/>
        </w:rPr>
      </w:r>
      <w:r w:rsidRPr="00796736">
        <w:rPr>
          <w:rFonts w:ascii="Times New Roman" w:hAnsi="Times New Roman" w:cs="Times New Roman"/>
          <w:sz w:val="24"/>
          <w:szCs w:val="24"/>
          <w:highlight w:val="yellow"/>
        </w:rPr>
        <w:fldChar w:fldCharType="separate"/>
      </w:r>
      <w:r w:rsidR="008F29E5">
        <w:rPr>
          <w:rFonts w:ascii="Times New Roman" w:hAnsi="Times New Roman" w:cs="Times New Roman"/>
          <w:sz w:val="24"/>
          <w:szCs w:val="24"/>
        </w:rPr>
        <w:t>3.1.2</w:t>
      </w:r>
      <w:r w:rsidRPr="00796736">
        <w:rPr>
          <w:rFonts w:ascii="Times New Roman" w:hAnsi="Times New Roman" w:cs="Times New Roman"/>
          <w:sz w:val="24"/>
          <w:szCs w:val="24"/>
          <w:highlight w:val="yellow"/>
        </w:rPr>
        <w:fldChar w:fldCharType="end"/>
      </w:r>
      <w:r w:rsidRPr="00796736">
        <w:rPr>
          <w:rFonts w:ascii="Times New Roman" w:hAnsi="Times New Roman" w:cs="Times New Roman"/>
          <w:sz w:val="24"/>
          <w:szCs w:val="24"/>
        </w:rPr>
        <w:t xml:space="preserve">. </w:t>
      </w:r>
      <w:r w:rsidR="006A012C" w:rsidRPr="00796736">
        <w:rPr>
          <w:rFonts w:ascii="Times New Roman" w:hAnsi="Times New Roman" w:cs="Times New Roman"/>
          <w:sz w:val="24"/>
          <w:szCs w:val="24"/>
        </w:rPr>
        <w:t>med en række nye ikkefinansielle virksomheder, der fremover bliver forpligtede enheder i medfør af forordningen. Det foreslås, at en af disse nye forpligtede enheder skal høre under Spillemyndighedens tilsynsområde. Dette vedrører ethvert ikkefinansielt holdingselskab, der ejer mindst ét datterselskab, der udgør en forpligtet enhed under styrelsens tilsyn. Det vil sige et datterselskab, der er en udbyder af spil, som har tilladelse til at udbyde spil i Danmark.</w:t>
      </w:r>
    </w:p>
    <w:p w14:paraId="1B52922F" w14:textId="77777777" w:rsidR="00907C4D" w:rsidRPr="00796736" w:rsidRDefault="00907C4D" w:rsidP="00A802A5">
      <w:pPr>
        <w:spacing w:line="360" w:lineRule="auto"/>
        <w:rPr>
          <w:rFonts w:ascii="Times New Roman" w:eastAsia="Times New Roman" w:hAnsi="Times New Roman" w:cs="Times New Roman"/>
          <w:sz w:val="24"/>
          <w:szCs w:val="24"/>
        </w:rPr>
      </w:pPr>
    </w:p>
    <w:p w14:paraId="5DA88451" w14:textId="5C2180FE" w:rsidR="00EA74CC" w:rsidRPr="00796736" w:rsidRDefault="00907C4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Med vedtagelsen af hvidvaskforordningen reguleres størstedelen af kravene til de forpligtede enheder fremover direkte af forordningen som beskrevet under pkt.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_Ref233019672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3.1.2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Som følge heraf vil Spillemyndigheden fremover også skulle føre tilsyn med de forpligtede enheders efterlevelse af reglerne i hvidvaskforordningen, hvorfor hvidvaskforordningen foreslås tilføjet til Spillemyndighedens tilsynskompetence.</w:t>
      </w:r>
    </w:p>
    <w:p w14:paraId="1BF3B97C" w14:textId="77777777" w:rsidR="00C278E1" w:rsidRPr="00796736" w:rsidRDefault="00C278E1" w:rsidP="00A802A5">
      <w:pPr>
        <w:spacing w:line="360" w:lineRule="auto"/>
        <w:rPr>
          <w:rFonts w:ascii="Times New Roman" w:eastAsia="Times New Roman" w:hAnsi="Times New Roman" w:cs="Times New Roman"/>
          <w:sz w:val="24"/>
          <w:szCs w:val="24"/>
        </w:rPr>
      </w:pPr>
    </w:p>
    <w:p w14:paraId="701F93A0" w14:textId="1F27B48B" w:rsidR="00C278E1" w:rsidRPr="00796736" w:rsidRDefault="00907C4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Med den foreslåede tilsynsbestemmelse bliver </w:t>
      </w:r>
      <w:r w:rsidR="00C278E1" w:rsidRPr="00796736">
        <w:rPr>
          <w:rFonts w:ascii="Times New Roman" w:eastAsia="Times New Roman" w:hAnsi="Times New Roman" w:cs="Times New Roman"/>
          <w:sz w:val="24"/>
          <w:szCs w:val="24"/>
        </w:rPr>
        <w:t>Spillemyndighedens tilsynskompetence fastlagt, så det er tydeligt for</w:t>
      </w:r>
      <w:r w:rsidR="006A012C" w:rsidRPr="00796736">
        <w:rPr>
          <w:rFonts w:ascii="Times New Roman" w:eastAsia="Times New Roman" w:hAnsi="Times New Roman" w:cs="Times New Roman"/>
          <w:sz w:val="24"/>
          <w:szCs w:val="24"/>
        </w:rPr>
        <w:t xml:space="preserve"> de virksomheder og personer, der er omfattet af</w:t>
      </w:r>
      <w:r w:rsidR="00A63EEE" w:rsidRPr="00796736">
        <w:rPr>
          <w:rFonts w:ascii="Times New Roman" w:eastAsia="Times New Roman" w:hAnsi="Times New Roman" w:cs="Times New Roman"/>
          <w:sz w:val="24"/>
          <w:szCs w:val="24"/>
        </w:rPr>
        <w:t xml:space="preserve"> den foreslåede</w:t>
      </w:r>
      <w:r w:rsidR="006A012C" w:rsidRPr="00796736">
        <w:rPr>
          <w:rFonts w:ascii="Times New Roman" w:eastAsia="Times New Roman" w:hAnsi="Times New Roman" w:cs="Times New Roman"/>
          <w:sz w:val="24"/>
          <w:szCs w:val="24"/>
        </w:rPr>
        <w:t xml:space="preserve"> </w:t>
      </w:r>
      <w:r w:rsidR="006A012C" w:rsidRPr="00796736">
        <w:rPr>
          <w:rFonts w:ascii="Times New Roman" w:eastAsia="Times New Roman" w:hAnsi="Times New Roman" w:cs="Times New Roman"/>
          <w:sz w:val="24"/>
          <w:szCs w:val="24"/>
        </w:rPr>
        <w:fldChar w:fldCharType="begin"/>
      </w:r>
      <w:r w:rsidR="006A012C"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006A012C" w:rsidRPr="00796736">
        <w:rPr>
          <w:rFonts w:ascii="Times New Roman" w:eastAsia="Times New Roman" w:hAnsi="Times New Roman" w:cs="Times New Roman"/>
          <w:sz w:val="24"/>
          <w:szCs w:val="24"/>
        </w:rPr>
      </w:r>
      <w:r w:rsidR="006A012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6A012C" w:rsidRPr="00796736">
        <w:rPr>
          <w:rFonts w:ascii="Times New Roman" w:eastAsia="Times New Roman" w:hAnsi="Times New Roman" w:cs="Times New Roman"/>
          <w:sz w:val="24"/>
          <w:szCs w:val="24"/>
        </w:rPr>
        <w:fldChar w:fldCharType="end"/>
      </w:r>
      <w:r w:rsidR="006A012C" w:rsidRPr="00796736">
        <w:rPr>
          <w:rFonts w:ascii="Times New Roman" w:eastAsia="Times New Roman" w:hAnsi="Times New Roman" w:cs="Times New Roman"/>
          <w:sz w:val="24"/>
          <w:szCs w:val="24"/>
        </w:rPr>
        <w:t>, stk. 1</w:t>
      </w:r>
      <w:r w:rsidRPr="00796736">
        <w:rPr>
          <w:rFonts w:ascii="Times New Roman" w:eastAsia="Times New Roman" w:hAnsi="Times New Roman" w:cs="Times New Roman"/>
          <w:sz w:val="24"/>
          <w:szCs w:val="24"/>
        </w:rPr>
        <w:t>,</w:t>
      </w:r>
      <w:r w:rsidR="00C278E1" w:rsidRPr="00796736">
        <w:rPr>
          <w:rFonts w:ascii="Times New Roman" w:eastAsia="Times New Roman" w:hAnsi="Times New Roman" w:cs="Times New Roman"/>
          <w:sz w:val="24"/>
          <w:szCs w:val="24"/>
        </w:rPr>
        <w:t xml:space="preserve"> at Spillemyndigheden fører tilsyn med disse, og hvad Spillemyndighedens kompetence i den henseende er. </w:t>
      </w:r>
    </w:p>
    <w:p w14:paraId="066F4934" w14:textId="77777777" w:rsidR="00C278E1" w:rsidRPr="00796736" w:rsidRDefault="00C278E1" w:rsidP="00A802A5">
      <w:pPr>
        <w:spacing w:line="360" w:lineRule="auto"/>
        <w:rPr>
          <w:rFonts w:ascii="Times New Roman" w:eastAsia="Times New Roman" w:hAnsi="Times New Roman" w:cs="Times New Roman"/>
          <w:sz w:val="24"/>
          <w:szCs w:val="24"/>
        </w:rPr>
      </w:pPr>
    </w:p>
    <w:p w14:paraId="69FE58F8" w14:textId="77777777" w:rsidR="00A63EEE" w:rsidRPr="00796736" w:rsidRDefault="00A63EE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er reguleret i lov om spil, at visse spil kan udbydes uden en tilladelse, da der for disse spil gælder en bagatelgrænse for, hvornår der kræves en tilladelse. Der er tale om landbaserede lotterier med en årlig salgssum på under 15.000 kr., hvor der ikke i henhold til lov om spil stilles krav til arrangør, formål, afholdelse eller overskud. Lotterier under bagatelgrænsen er ikke underlagt Spillemyndighedens tilsyn i henhold til reglerne i lov om spil, og der skal ikke indsendes ansøgning eller ske registrering. Skatte- og Vækstministeriet vurderer derfor, at udbydere af disse spil, hvor der ikke er en tilladelse, heller ikke vil skulle være underlagt hvidvaskkrav og hvidvasktilsyn.</w:t>
      </w:r>
    </w:p>
    <w:p w14:paraId="2B40AAE8" w14:textId="77777777" w:rsidR="00C278E1" w:rsidRPr="00796736" w:rsidRDefault="00C278E1" w:rsidP="00A802A5">
      <w:pPr>
        <w:spacing w:line="360" w:lineRule="auto"/>
        <w:rPr>
          <w:rFonts w:ascii="Times New Roman" w:eastAsia="Times New Roman" w:hAnsi="Times New Roman" w:cs="Times New Roman"/>
          <w:sz w:val="24"/>
          <w:szCs w:val="24"/>
        </w:rPr>
      </w:pPr>
    </w:p>
    <w:p w14:paraId="0D11189B" w14:textId="75FAF1E5"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Skatte</w:t>
      </w:r>
      <w:r w:rsidR="00EA74CC" w:rsidRPr="00796736">
        <w:rPr>
          <w:rFonts w:ascii="Times New Roman" w:eastAsia="Times New Roman" w:hAnsi="Times New Roman" w:cs="Times New Roman"/>
          <w:sz w:val="24"/>
          <w:szCs w:val="24"/>
        </w:rPr>
        <w:t>- og Vækst</w:t>
      </w:r>
      <w:r w:rsidRPr="00796736">
        <w:rPr>
          <w:rFonts w:ascii="Times New Roman" w:eastAsia="Times New Roman" w:hAnsi="Times New Roman" w:cs="Times New Roman"/>
          <w:sz w:val="24"/>
          <w:szCs w:val="24"/>
        </w:rPr>
        <w:t xml:space="preserve">ministeriet vurderer, at det er nødvendigt, at Spillemyndigheden kan føre tilsyn med alle udbydere, der har et reguleret udbud af spil i Danmark. </w:t>
      </w:r>
    </w:p>
    <w:p w14:paraId="63E9A6D5" w14:textId="77777777" w:rsidR="00C278E1" w:rsidRPr="00796736" w:rsidRDefault="00C278E1" w:rsidP="00A802A5">
      <w:pPr>
        <w:spacing w:line="360" w:lineRule="auto"/>
        <w:rPr>
          <w:rFonts w:ascii="Times New Roman" w:eastAsia="Times New Roman" w:hAnsi="Times New Roman" w:cs="Times New Roman"/>
          <w:sz w:val="24"/>
          <w:szCs w:val="24"/>
        </w:rPr>
      </w:pPr>
    </w:p>
    <w:p w14:paraId="15B21FE2" w14:textId="04604B4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w:t>
      </w:r>
      <w:r w:rsidR="00065861" w:rsidRPr="00796736">
        <w:rPr>
          <w:rFonts w:ascii="Times New Roman" w:eastAsia="Times New Roman" w:hAnsi="Times New Roman" w:cs="Times New Roman"/>
          <w:sz w:val="24"/>
          <w:szCs w:val="24"/>
        </w:rPr>
        <w:fldChar w:fldCharType="begin"/>
      </w:r>
      <w:r w:rsidR="00065861" w:rsidRPr="00796736">
        <w:rPr>
          <w:rFonts w:ascii="Times New Roman" w:eastAsia="Times New Roman" w:hAnsi="Times New Roman" w:cs="Times New Roman"/>
          <w:sz w:val="24"/>
          <w:szCs w:val="24"/>
        </w:rPr>
        <w:instrText xml:space="preserve"> REF _Ref232609450 \r \h </w:instrText>
      </w:r>
      <w:r w:rsidR="00967618" w:rsidRPr="00796736">
        <w:rPr>
          <w:rFonts w:ascii="Times New Roman" w:eastAsia="Times New Roman" w:hAnsi="Times New Roman" w:cs="Times New Roman"/>
          <w:sz w:val="24"/>
          <w:szCs w:val="24"/>
        </w:rPr>
        <w:instrText xml:space="preserve"> \* MERGEFORMAT </w:instrText>
      </w:r>
      <w:r w:rsidR="00065861" w:rsidRPr="00796736">
        <w:rPr>
          <w:rFonts w:ascii="Times New Roman" w:eastAsia="Times New Roman" w:hAnsi="Times New Roman" w:cs="Times New Roman"/>
          <w:sz w:val="24"/>
          <w:szCs w:val="24"/>
        </w:rPr>
      </w:r>
      <w:r w:rsidR="0006586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065861" w:rsidRPr="00796736">
        <w:rPr>
          <w:rFonts w:ascii="Times New Roman" w:eastAsia="Times New Roman" w:hAnsi="Times New Roman" w:cs="Times New Roman"/>
          <w:sz w:val="24"/>
          <w:szCs w:val="24"/>
        </w:rPr>
        <w:fldChar w:fldCharType="end"/>
      </w:r>
      <w:r w:rsidR="00065861"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fastsætter Spillemyndighedens tilsynskompetence, herunder at Spillemyndigheden varetager tilsynet med udbydere af spil, der har tilladelse til at udbyde spil i </w:t>
      </w:r>
      <w:r w:rsidR="006A012C" w:rsidRPr="00796736">
        <w:rPr>
          <w:rFonts w:ascii="Times New Roman" w:eastAsia="Times New Roman" w:hAnsi="Times New Roman" w:cs="Times New Roman"/>
          <w:sz w:val="24"/>
          <w:szCs w:val="24"/>
        </w:rPr>
        <w:t>Danmark samt ikkefinansielle holdingselskaber med blandet aktivitet, hvor mindst ét datterselskab er en udbyder af spil, der har tilladelse til udbud af spil i Danmark.</w:t>
      </w:r>
    </w:p>
    <w:p w14:paraId="092824EB" w14:textId="77777777" w:rsidR="00907C4D" w:rsidRPr="00796736" w:rsidRDefault="00907C4D" w:rsidP="00A802A5">
      <w:pPr>
        <w:spacing w:line="360" w:lineRule="auto"/>
        <w:rPr>
          <w:rFonts w:ascii="Times New Roman" w:eastAsia="Times New Roman" w:hAnsi="Times New Roman" w:cs="Times New Roman"/>
          <w:sz w:val="24"/>
          <w:szCs w:val="24"/>
        </w:rPr>
      </w:pPr>
    </w:p>
    <w:p w14:paraId="2B3E8516" w14:textId="77777777"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I overensstemmelse med 6. hvidvaskdirektivs artikel 40 vil Spillemyndighedens tilsyn fortsat skulle tilrettelægges på grundlag af en risikobaseret tilgang, hvilket blandt andet indebærer, at Spillemyndigheden fortsat vil skulle tage hensyn til det skøn, som den enkelte virksomhed eller person er overladt efter hvidvaskforordningen eller dette lovforslag, samt tilrettelægge sine tilsynsaktiviteter på grundlag af de forpligtede enheders risikoprofil. </w:t>
      </w:r>
    </w:p>
    <w:p w14:paraId="2A06BB20" w14:textId="77777777" w:rsidR="006A012C" w:rsidRPr="00796736" w:rsidRDefault="006A012C" w:rsidP="00A802A5">
      <w:pPr>
        <w:spacing w:line="360" w:lineRule="auto"/>
        <w:rPr>
          <w:rFonts w:ascii="Times New Roman" w:eastAsia="Times New Roman" w:hAnsi="Times New Roman" w:cs="Times New Roman"/>
          <w:sz w:val="24"/>
          <w:szCs w:val="24"/>
        </w:rPr>
      </w:pPr>
    </w:p>
    <w:p w14:paraId="5F45863A" w14:textId="77777777"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vil med den foreslåede ordning føre tilsyn med udbydere af spil, der er underlagt krav om tilladelse i Danmark for at kunne drive virksomhed i henhold til den frie udveksling af tjenesteydelser. </w:t>
      </w:r>
    </w:p>
    <w:p w14:paraId="2973DED2" w14:textId="77777777" w:rsidR="00C278E1" w:rsidRPr="00796736" w:rsidRDefault="00C278E1" w:rsidP="00A802A5">
      <w:pPr>
        <w:spacing w:line="360" w:lineRule="auto"/>
        <w:rPr>
          <w:rFonts w:ascii="Times New Roman" w:eastAsia="Times New Roman" w:hAnsi="Times New Roman" w:cs="Times New Roman"/>
          <w:sz w:val="24"/>
          <w:szCs w:val="24"/>
        </w:rPr>
      </w:pPr>
    </w:p>
    <w:p w14:paraId="5D37E339" w14:textId="77777777" w:rsidR="00C278E1"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blandt andet af præambelbetragtning nr. 95, i 6. hvidvaskdirektiv, at ”(p)å områder, der ikke er harmoniseret på EU-plan, kan medlemsstaterne vedtage nationale foranstaltninger, selv hvis disse foranstaltninger udgør begrænsninger af det indre markeds friheder. Dette er f.eks. tilfældet med foranstaltninger, der er truffet for at regulere leveringen af spiltjenester, navnlig når disse aktiviteter udføres online uden nogen infrastruktur i medlemsstaten. For at være forenelige med EU-retten skal sådanne foranstaltninger dog opfylde en almen interesse, være ikkediskriminerende og egnede til at nå dette mål, og de må ikke gå ud over, hvad der er strengt nødvendigt for at nå målet. Hvis medlemsstaterne underlægger leveringen af tjenester, der er reguleret i henhold til Unionens ramme for bekæmpelse af hvidvask af penge og finansiering af terrorisme, specifikke godkendelseskrav såsom opnåelse af en godkendelse, bør de også være ansvarlige for tilsynet med disse tjenester. Kravet om tilsyn med disse tjenester foregriber ikke de konklusioner, som EU-Domstolen måtte drage med hensyn til nationale foranstaltningers forenelighed med EU-retten.” </w:t>
      </w:r>
    </w:p>
    <w:p w14:paraId="4414DFBE" w14:textId="77777777" w:rsidR="00C278E1" w:rsidRPr="00796736" w:rsidRDefault="00C278E1" w:rsidP="00A802A5">
      <w:pPr>
        <w:spacing w:line="360" w:lineRule="auto"/>
        <w:rPr>
          <w:rFonts w:ascii="Times New Roman" w:eastAsia="Times New Roman" w:hAnsi="Times New Roman" w:cs="Times New Roman"/>
          <w:sz w:val="24"/>
          <w:szCs w:val="24"/>
        </w:rPr>
      </w:pPr>
    </w:p>
    <w:p w14:paraId="0BAD6877" w14:textId="77777777"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Alle udbydere af spil, som har tilladelse til at udbyde spil her i landet, vil være underlagt Spillemyndighedens tilsyn, uanset om den forpligtede enheds hjemland er Danmark i henhold til artikel 2, nr. 5, i 6. hvidvaskdirektiv, eller om den forpligtede enhed driver virksomhed i henhold til den frie udveksling af tjenesteydelser. </w:t>
      </w:r>
    </w:p>
    <w:p w14:paraId="168D49AA" w14:textId="77777777" w:rsidR="006A012C" w:rsidRPr="00796736" w:rsidRDefault="006A012C" w:rsidP="00A802A5">
      <w:pPr>
        <w:spacing w:line="360" w:lineRule="auto"/>
        <w:rPr>
          <w:rFonts w:ascii="Times New Roman" w:eastAsia="Times New Roman" w:hAnsi="Times New Roman" w:cs="Times New Roman"/>
          <w:sz w:val="24"/>
          <w:szCs w:val="24"/>
        </w:rPr>
      </w:pPr>
    </w:p>
    <w:p w14:paraId="454FCD95" w14:textId="2976C4FD"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På baggrund af dette specifikke tilladelseskrav, vurderer Skatte- og Vækstministeriet, at hvidvasklovens § 65, stk. 5 og 6, ikke</w:t>
      </w:r>
      <w:r w:rsidR="00A63EEE"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sk</w:t>
      </w:r>
      <w:r w:rsidR="00A63EEE" w:rsidRPr="00796736">
        <w:rPr>
          <w:rFonts w:ascii="Times New Roman" w:eastAsia="Times New Roman" w:hAnsi="Times New Roman" w:cs="Times New Roman"/>
          <w:sz w:val="24"/>
          <w:szCs w:val="24"/>
        </w:rPr>
        <w:t xml:space="preserve">ulle </w:t>
      </w:r>
      <w:r w:rsidRPr="00796736">
        <w:rPr>
          <w:rFonts w:ascii="Times New Roman" w:eastAsia="Times New Roman" w:hAnsi="Times New Roman" w:cs="Times New Roman"/>
          <w:sz w:val="24"/>
          <w:szCs w:val="24"/>
        </w:rPr>
        <w:t>videreføres. Spillemyndigheden</w:t>
      </w:r>
      <w:r w:rsidR="00A63EEE"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føre tilsyn med udbydere af spil, som har en tilladelse i Danmark, uanset om den forpligtede enhed har hjemsted i Danmark, eller om den forpligtede enhed driver virksomhed i henhold til den frie udveksling af tjenesteydelser, og der vil derfor ikke kunne foretages tilsyn på vegne af andre landes tilsynsorganer i Danmark. </w:t>
      </w:r>
    </w:p>
    <w:p w14:paraId="5D218DDF" w14:textId="77777777" w:rsidR="006A012C" w:rsidRPr="00796736" w:rsidRDefault="006A012C" w:rsidP="00A802A5">
      <w:pPr>
        <w:spacing w:line="360" w:lineRule="auto"/>
        <w:rPr>
          <w:rFonts w:ascii="Times New Roman" w:eastAsia="Times New Roman" w:hAnsi="Times New Roman" w:cs="Times New Roman"/>
          <w:sz w:val="24"/>
          <w:szCs w:val="24"/>
        </w:rPr>
      </w:pPr>
    </w:p>
    <w:p w14:paraId="218EAA44" w14:textId="77777777"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vil som tilsynsmyndighed for de pågældende ikkefinansielle virksomheder og personer i vid udstrækning skulle varetage de samme tilsynsopgaver som efter den gældende hvidvasklov i medfør af 4. og 5. hvidvaskdirektiv. I medfør af implementeringen af 6. hvidvaskdirektiv vil Spillemyndigheden desuden skulle varetage en række nye opgaver, herunder at udarbejde årlige tilsynsprogrammer og iagttage diverse krav om rapportering til AMLA. </w:t>
      </w:r>
    </w:p>
    <w:p w14:paraId="32F6342A" w14:textId="77777777" w:rsidR="00C278E1" w:rsidRPr="00796736" w:rsidRDefault="00C278E1" w:rsidP="00A802A5">
      <w:pPr>
        <w:spacing w:line="360" w:lineRule="auto"/>
        <w:rPr>
          <w:rFonts w:ascii="Times New Roman" w:eastAsia="Times New Roman" w:hAnsi="Times New Roman" w:cs="Times New Roman"/>
          <w:sz w:val="24"/>
          <w:szCs w:val="24"/>
        </w:rPr>
      </w:pPr>
    </w:p>
    <w:p w14:paraId="284ED7B1" w14:textId="648151BB" w:rsidR="00A27AED" w:rsidRPr="00796736" w:rsidRDefault="00C278E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For nærmere om Spillemyndighedens tilsynskompetence henvises til lovforslagets </w:t>
      </w:r>
      <w:r w:rsidR="00065861" w:rsidRPr="00796736">
        <w:rPr>
          <w:rFonts w:ascii="Times New Roman" w:eastAsia="Times New Roman" w:hAnsi="Times New Roman" w:cs="Times New Roman"/>
          <w:sz w:val="24"/>
          <w:szCs w:val="24"/>
        </w:rPr>
        <w:fldChar w:fldCharType="begin"/>
      </w:r>
      <w:r w:rsidR="00065861" w:rsidRPr="00796736">
        <w:rPr>
          <w:rFonts w:ascii="Times New Roman" w:eastAsia="Times New Roman" w:hAnsi="Times New Roman" w:cs="Times New Roman"/>
          <w:sz w:val="24"/>
          <w:szCs w:val="24"/>
        </w:rPr>
        <w:instrText xml:space="preserve"> REF _Ref232609450 \r \h </w:instrText>
      </w:r>
      <w:r w:rsidR="00967618" w:rsidRPr="00796736">
        <w:rPr>
          <w:rFonts w:ascii="Times New Roman" w:eastAsia="Times New Roman" w:hAnsi="Times New Roman" w:cs="Times New Roman"/>
          <w:sz w:val="24"/>
          <w:szCs w:val="24"/>
        </w:rPr>
        <w:instrText xml:space="preserve"> \* MERGEFORMAT </w:instrText>
      </w:r>
      <w:r w:rsidR="00065861" w:rsidRPr="00796736">
        <w:rPr>
          <w:rFonts w:ascii="Times New Roman" w:eastAsia="Times New Roman" w:hAnsi="Times New Roman" w:cs="Times New Roman"/>
          <w:sz w:val="24"/>
          <w:szCs w:val="24"/>
        </w:rPr>
      </w:r>
      <w:r w:rsidR="0006586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065861" w:rsidRPr="00796736">
        <w:rPr>
          <w:rFonts w:ascii="Times New Roman" w:eastAsia="Times New Roman" w:hAnsi="Times New Roman" w:cs="Times New Roman"/>
          <w:sz w:val="24"/>
          <w:szCs w:val="24"/>
        </w:rPr>
        <w:fldChar w:fldCharType="end"/>
      </w:r>
      <w:r w:rsidR="00907C4D" w:rsidRPr="00796736">
        <w:rPr>
          <w:rFonts w:ascii="Times New Roman" w:eastAsia="Times New Roman" w:hAnsi="Times New Roman" w:cs="Times New Roman"/>
          <w:sz w:val="24"/>
          <w:szCs w:val="24"/>
        </w:rPr>
        <w:t xml:space="preserve"> og bemærkningerne hertil. </w:t>
      </w:r>
    </w:p>
    <w:p w14:paraId="11C518AF" w14:textId="77777777" w:rsidR="006A012C" w:rsidRPr="00796736" w:rsidRDefault="006A012C" w:rsidP="00A802A5">
      <w:pPr>
        <w:spacing w:line="360" w:lineRule="auto"/>
        <w:rPr>
          <w:rFonts w:ascii="Times New Roman" w:eastAsia="Times New Roman" w:hAnsi="Times New Roman" w:cs="Times New Roman"/>
          <w:sz w:val="24"/>
          <w:szCs w:val="24"/>
        </w:rPr>
      </w:pPr>
    </w:p>
    <w:p w14:paraId="635BB5BB" w14:textId="404B6422" w:rsidR="00506D8A" w:rsidRPr="00796736" w:rsidRDefault="00461003" w:rsidP="00A802A5">
      <w:pPr>
        <w:pStyle w:val="Overskrift2"/>
        <w:rPr>
          <w:rFonts w:ascii="Times New Roman" w:hAnsi="Times New Roman"/>
          <w:sz w:val="24"/>
        </w:rPr>
      </w:pPr>
      <w:bookmarkStart w:id="1484" w:name="_Toc244880791"/>
      <w:r w:rsidRPr="00796736">
        <w:rPr>
          <w:rFonts w:ascii="Times New Roman" w:hAnsi="Times New Roman"/>
          <w:sz w:val="24"/>
        </w:rPr>
        <w:t>Bemyndigelse til fastsættelse af regler om anmeldelse og offentliggørelse for spiludbydere og ikkefinansielle holdingselskaber</w:t>
      </w:r>
      <w:r w:rsidR="006A012C" w:rsidRPr="00796736">
        <w:rPr>
          <w:rFonts w:ascii="Times New Roman" w:hAnsi="Times New Roman"/>
          <w:sz w:val="24"/>
        </w:rPr>
        <w:t xml:space="preserve"> med blandet aktivitet</w:t>
      </w:r>
      <w:bookmarkEnd w:id="1484"/>
    </w:p>
    <w:p w14:paraId="5057B993" w14:textId="77777777" w:rsidR="00506D8A" w:rsidRPr="00796736" w:rsidRDefault="00506D8A"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799DCB36" w14:textId="150F9868" w:rsidR="00506D8A" w:rsidRPr="00796736" w:rsidRDefault="00506D8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67, at skatte</w:t>
      </w:r>
      <w:r w:rsidR="00A63EEE" w:rsidRPr="00796736">
        <w:rPr>
          <w:rFonts w:ascii="Times New Roman" w:eastAsia="Times New Roman" w:hAnsi="Times New Roman" w:cs="Times New Roman"/>
          <w:sz w:val="24"/>
          <w:szCs w:val="24"/>
        </w:rPr>
        <w:t>- og vækst</w:t>
      </w:r>
      <w:r w:rsidRPr="00796736">
        <w:rPr>
          <w:rFonts w:ascii="Times New Roman" w:eastAsia="Times New Roman" w:hAnsi="Times New Roman" w:cs="Times New Roman"/>
          <w:sz w:val="24"/>
          <w:szCs w:val="24"/>
        </w:rPr>
        <w:t xml:space="preserve">ministeren kan fastsætte nærmere regler om anmeldelse og offentliggørelse for udbydere af spil, herunder hvilke oplysninger, der skal anmeldes og hvilke forhold der kan indsendes og registreres i Spillemyndighedens it-system. </w:t>
      </w:r>
    </w:p>
    <w:p w14:paraId="3589C98F" w14:textId="77777777" w:rsidR="00506D8A" w:rsidRPr="00796736" w:rsidRDefault="00506D8A" w:rsidP="00A802A5">
      <w:pPr>
        <w:spacing w:line="360" w:lineRule="auto"/>
        <w:rPr>
          <w:rFonts w:ascii="Times New Roman" w:eastAsia="Times New Roman" w:hAnsi="Times New Roman" w:cs="Times New Roman"/>
          <w:sz w:val="24"/>
          <w:szCs w:val="24"/>
        </w:rPr>
      </w:pPr>
    </w:p>
    <w:p w14:paraId="474F07CD" w14:textId="1F7F9EC6" w:rsidR="006A012C" w:rsidRPr="00796736" w:rsidRDefault="00A63EE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H</w:t>
      </w:r>
      <w:r w:rsidR="006A012C" w:rsidRPr="00796736">
        <w:rPr>
          <w:rFonts w:ascii="Times New Roman" w:eastAsia="Times New Roman" w:hAnsi="Times New Roman" w:cs="Times New Roman"/>
          <w:sz w:val="24"/>
          <w:szCs w:val="24"/>
        </w:rPr>
        <w:t>jemlen i hvidvasklovens § 67</w:t>
      </w:r>
      <w:r w:rsidRPr="00796736">
        <w:rPr>
          <w:rFonts w:ascii="Times New Roman" w:eastAsia="Times New Roman" w:hAnsi="Times New Roman" w:cs="Times New Roman"/>
          <w:sz w:val="24"/>
          <w:szCs w:val="24"/>
        </w:rPr>
        <w:t xml:space="preserve"> er udnyttet</w:t>
      </w:r>
      <w:r w:rsidR="006A012C" w:rsidRPr="00796736">
        <w:rPr>
          <w:rFonts w:ascii="Times New Roman" w:eastAsia="Times New Roman" w:hAnsi="Times New Roman" w:cs="Times New Roman"/>
          <w:sz w:val="24"/>
          <w:szCs w:val="24"/>
        </w:rPr>
        <w:t xml:space="preserve"> til at udstede bekendtgørelse nr. 239 af 27. januar 2025 om anmeldelse af personer og virksomheder i Spillemyndighedens hvidvaskregister. Det følger af bekendtgørelsen, at udbydere af spil, der er omfattet af hvidvasklovens § 1, stk. 1, nr. 19, som har hjemsted i Danmark, og som udbyder spil i andre EU og EØS-lande, skal anmelde sig i Spillemyndighedens hvidvaskregister. Udbydere af spil, der har tilladelse til udbud af spil her i landet efter lov om spil, er ikke omfattet af bekendtgørelsen.</w:t>
      </w:r>
    </w:p>
    <w:p w14:paraId="46374258" w14:textId="77777777" w:rsidR="00506D8A" w:rsidRPr="00796736" w:rsidRDefault="00506D8A" w:rsidP="00A802A5">
      <w:pPr>
        <w:spacing w:line="360" w:lineRule="auto"/>
        <w:rPr>
          <w:rFonts w:ascii="Times New Roman" w:hAnsi="Times New Roman" w:cs="Times New Roman"/>
          <w:sz w:val="24"/>
          <w:szCs w:val="24"/>
        </w:rPr>
      </w:pPr>
    </w:p>
    <w:p w14:paraId="0F0F3A4C" w14:textId="036AF45E" w:rsidR="00506D8A" w:rsidRPr="00796736" w:rsidRDefault="00506D8A"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w:t>
      </w:r>
      <w:r w:rsidR="006A012C" w:rsidRPr="00796736">
        <w:rPr>
          <w:rFonts w:ascii="Times New Roman" w:hAnsi="Times New Roman" w:cs="Times New Roman"/>
          <w:sz w:val="24"/>
          <w:szCs w:val="24"/>
        </w:rPr>
        <w:t xml:space="preserve"> </w:t>
      </w:r>
      <w:r w:rsidRPr="00796736">
        <w:rPr>
          <w:rFonts w:ascii="Times New Roman" w:hAnsi="Times New Roman" w:cs="Times New Roman"/>
          <w:sz w:val="24"/>
          <w:szCs w:val="24"/>
        </w:rPr>
        <w:t>og Vækstministeriets overvejelser og den foreslåede ordning</w:t>
      </w:r>
    </w:p>
    <w:p w14:paraId="7C9677E8" w14:textId="41DCBC09"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Skatte- og</w:t>
      </w:r>
      <w:r w:rsidRPr="00796736">
        <w:rPr>
          <w:rFonts w:ascii="Times New Roman" w:eastAsia="Times New Roman" w:hAnsi="Times New Roman" w:cs="Times New Roman"/>
          <w:sz w:val="24"/>
          <w:szCs w:val="24"/>
        </w:rPr>
        <w:tab/>
        <w:t>Vækstministeriet vurderer et fortsat behov for, at skatte- og vækstministeren kan fastsætte nærmere regler om</w:t>
      </w:r>
      <w:r w:rsidR="00A63EEE" w:rsidRPr="00796736">
        <w:rPr>
          <w:rFonts w:ascii="Times New Roman" w:eastAsia="Times New Roman" w:hAnsi="Times New Roman" w:cs="Times New Roman"/>
          <w:sz w:val="24"/>
          <w:szCs w:val="24"/>
        </w:rPr>
        <w:t xml:space="preserve"> registrering</w:t>
      </w:r>
      <w:r w:rsidRPr="00796736">
        <w:rPr>
          <w:rFonts w:ascii="Times New Roman" w:eastAsia="Times New Roman" w:hAnsi="Times New Roman" w:cs="Times New Roman"/>
          <w:sz w:val="24"/>
          <w:szCs w:val="24"/>
        </w:rPr>
        <w:t xml:space="preserve"> for udbydere af spil. Bestemmelsen er en dansk særregel og implementerer ikke bestemmelser fra 6. hvidvaskdirektiv.</w:t>
      </w:r>
    </w:p>
    <w:p w14:paraId="3382F61E" w14:textId="77777777" w:rsidR="006A012C" w:rsidRPr="00796736" w:rsidRDefault="006A012C" w:rsidP="00A802A5">
      <w:pPr>
        <w:spacing w:line="360" w:lineRule="auto"/>
        <w:rPr>
          <w:rFonts w:ascii="Times New Roman" w:eastAsia="Times New Roman" w:hAnsi="Times New Roman" w:cs="Times New Roman"/>
          <w:sz w:val="24"/>
          <w:szCs w:val="24"/>
        </w:rPr>
      </w:pPr>
    </w:p>
    <w:p w14:paraId="00967A89" w14:textId="5C255195" w:rsidR="00A63EEE" w:rsidRPr="00796736" w:rsidRDefault="00A63EE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artikel 2, stk. 1, nr. 5, i 6. hvidvaskdirektiv, at </w:t>
      </w:r>
      <w:r w:rsidRPr="00796736">
        <w:rPr>
          <w:rFonts w:ascii="Times New Roman" w:eastAsia="Times New Roman" w:hAnsi="Times New Roman" w:cs="Times New Roman"/>
          <w:color w:val="000000"/>
          <w:sz w:val="24"/>
          <w:szCs w:val="24"/>
        </w:rPr>
        <w:t>»</w:t>
      </w:r>
      <w:r w:rsidRPr="00796736">
        <w:rPr>
          <w:rFonts w:ascii="Times New Roman" w:eastAsia="Times New Roman" w:hAnsi="Times New Roman" w:cs="Times New Roman"/>
          <w:sz w:val="24"/>
          <w:szCs w:val="24"/>
        </w:rPr>
        <w:t>hjemland</w:t>
      </w:r>
      <w:r w:rsidRPr="00796736">
        <w:rPr>
          <w:rFonts w:ascii="Times New Roman" w:eastAsia="Times New Roman" w:hAnsi="Times New Roman" w:cs="Times New Roman"/>
          <w:color w:val="000000"/>
          <w:sz w:val="24"/>
          <w:szCs w:val="24"/>
        </w:rPr>
        <w:t xml:space="preserve">« er den medlemsstat, hvor den forpligtede enheds vedtægtsmæssige hjemsted er beliggende, eller, hvis den forpligtede enhed ikke har noget vedtægtsmæssigt hjemsted, den medlemsstat, hvor dens hovedsæde er beliggende. </w:t>
      </w:r>
      <w:r w:rsidRPr="00796736">
        <w:rPr>
          <w:rFonts w:ascii="Times New Roman" w:eastAsia="Times New Roman" w:hAnsi="Times New Roman" w:cs="Times New Roman"/>
          <w:sz w:val="24"/>
          <w:szCs w:val="24"/>
        </w:rPr>
        <w:t xml:space="preserve">Skatte- og Vækstministeriet vurderer, at det er nødvendigt at videreføre hvidvasklovens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_Ref232597333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67</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med visse sproglige tilpasninger for at sikre, at det til enhver tid er muligt at have det fulde overblik over antallet af udbydere af spil, der udelukkende udbyder spil i andre EU- og EØS-lande, hvor Danmark er hjemland i henhold til definitionen i 6. hvidvaskdirektiv. </w:t>
      </w:r>
    </w:p>
    <w:p w14:paraId="2F75BCA5" w14:textId="77777777" w:rsidR="006A012C" w:rsidRPr="00796736" w:rsidRDefault="006A012C" w:rsidP="00A802A5">
      <w:pPr>
        <w:spacing w:line="360" w:lineRule="auto"/>
        <w:rPr>
          <w:rFonts w:ascii="Times New Roman" w:eastAsia="Times New Roman" w:hAnsi="Times New Roman" w:cs="Times New Roman"/>
          <w:sz w:val="24"/>
          <w:szCs w:val="24"/>
        </w:rPr>
      </w:pPr>
    </w:p>
    <w:p w14:paraId="52D2C375" w14:textId="6551A482" w:rsidR="006A012C" w:rsidRPr="00796736" w:rsidRDefault="006A012C"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 xml:space="preserve">Med vedtagelsen af hvidvaskforordningen udvides reglernes anvendelsesområde som beskrevet under pkt. </w:t>
      </w:r>
      <w:r w:rsidRPr="00796736">
        <w:rPr>
          <w:rFonts w:ascii="Times New Roman" w:eastAsia="Aptos" w:hAnsi="Times New Roman" w:cs="Times New Roman"/>
          <w:sz w:val="24"/>
          <w:szCs w:val="24"/>
          <w:highlight w:val="yellow"/>
        </w:rPr>
        <w:fldChar w:fldCharType="begin"/>
      </w:r>
      <w:r w:rsidRPr="00796736">
        <w:rPr>
          <w:rFonts w:ascii="Times New Roman" w:eastAsia="Aptos" w:hAnsi="Times New Roman" w:cs="Times New Roman"/>
          <w:sz w:val="24"/>
          <w:szCs w:val="24"/>
        </w:rPr>
        <w:instrText xml:space="preserve"> REF _Ref233019657 \r \h </w:instrText>
      </w:r>
      <w:r w:rsidRPr="00796736">
        <w:rPr>
          <w:rFonts w:ascii="Times New Roman" w:eastAsia="Aptos" w:hAnsi="Times New Roman" w:cs="Times New Roman"/>
          <w:sz w:val="24"/>
          <w:szCs w:val="24"/>
          <w:highlight w:val="yellow"/>
        </w:rPr>
        <w:instrText xml:space="preserve"> \* MERGEFORMAT </w:instrText>
      </w:r>
      <w:r w:rsidRPr="00796736">
        <w:rPr>
          <w:rFonts w:ascii="Times New Roman" w:eastAsia="Aptos" w:hAnsi="Times New Roman" w:cs="Times New Roman"/>
          <w:sz w:val="24"/>
          <w:szCs w:val="24"/>
          <w:highlight w:val="yellow"/>
        </w:rPr>
      </w:r>
      <w:r w:rsidRPr="00796736">
        <w:rPr>
          <w:rFonts w:ascii="Times New Roman" w:eastAsia="Aptos" w:hAnsi="Times New Roman" w:cs="Times New Roman"/>
          <w:sz w:val="24"/>
          <w:szCs w:val="24"/>
          <w:highlight w:val="yellow"/>
        </w:rPr>
        <w:fldChar w:fldCharType="separate"/>
      </w:r>
      <w:r w:rsidR="008F29E5">
        <w:rPr>
          <w:rFonts w:ascii="Times New Roman" w:eastAsia="Aptos" w:hAnsi="Times New Roman" w:cs="Times New Roman"/>
          <w:sz w:val="24"/>
          <w:szCs w:val="24"/>
        </w:rPr>
        <w:t>3.1.2</w:t>
      </w:r>
      <w:r w:rsidRPr="00796736">
        <w:rPr>
          <w:rFonts w:ascii="Times New Roman" w:eastAsia="Aptos" w:hAnsi="Times New Roman" w:cs="Times New Roman"/>
          <w:sz w:val="24"/>
          <w:szCs w:val="24"/>
          <w:highlight w:val="yellow"/>
        </w:rPr>
        <w:fldChar w:fldCharType="end"/>
      </w:r>
      <w:r w:rsidRPr="00796736">
        <w:rPr>
          <w:rFonts w:ascii="Times New Roman" w:eastAsia="Aptos" w:hAnsi="Times New Roman" w:cs="Times New Roman"/>
          <w:sz w:val="24"/>
          <w:szCs w:val="24"/>
        </w:rPr>
        <w:t xml:space="preserve"> med en række nye ikkefinansielle virksomheder, der fremover bliver forpligtede enheder i medfør af forordningen, herunder ikkefinansielle holdingselskaber med blandet aktivitet. Det foreslås i </w:t>
      </w:r>
      <w:r w:rsidR="00340630" w:rsidRPr="00796736">
        <w:rPr>
          <w:rFonts w:ascii="Times New Roman" w:eastAsia="Aptos" w:hAnsi="Times New Roman" w:cs="Times New Roman"/>
          <w:color w:val="000000"/>
          <w:sz w:val="24"/>
          <w:szCs w:val="24"/>
        </w:rPr>
        <w:fldChar w:fldCharType="begin"/>
      </w:r>
      <w:r w:rsidR="00340630" w:rsidRPr="00796736">
        <w:rPr>
          <w:rFonts w:ascii="Times New Roman" w:eastAsia="Aptos" w:hAnsi="Times New Roman" w:cs="Times New Roman"/>
          <w:color w:val="000000"/>
          <w:sz w:val="24"/>
          <w:szCs w:val="24"/>
        </w:rPr>
        <w:instrText xml:space="preserve"> REF _Ref239189479 \r \h </w:instrText>
      </w:r>
      <w:r w:rsidR="00F375BF" w:rsidRPr="00796736">
        <w:rPr>
          <w:rFonts w:ascii="Times New Roman" w:eastAsia="Aptos" w:hAnsi="Times New Roman" w:cs="Times New Roman"/>
          <w:color w:val="000000"/>
          <w:sz w:val="24"/>
          <w:szCs w:val="24"/>
        </w:rPr>
        <w:instrText xml:space="preserve"> \* MERGEFORMAT </w:instrText>
      </w:r>
      <w:r w:rsidR="00340630" w:rsidRPr="00796736">
        <w:rPr>
          <w:rFonts w:ascii="Times New Roman" w:eastAsia="Aptos" w:hAnsi="Times New Roman" w:cs="Times New Roman"/>
          <w:color w:val="000000"/>
          <w:sz w:val="24"/>
          <w:szCs w:val="24"/>
        </w:rPr>
      </w:r>
      <w:r w:rsidR="00340630" w:rsidRPr="00796736">
        <w:rPr>
          <w:rFonts w:ascii="Times New Roman" w:eastAsia="Aptos" w:hAnsi="Times New Roman" w:cs="Times New Roman"/>
          <w:color w:val="000000"/>
          <w:sz w:val="24"/>
          <w:szCs w:val="24"/>
        </w:rPr>
        <w:fldChar w:fldCharType="separate"/>
      </w:r>
      <w:r w:rsidR="008F29E5">
        <w:rPr>
          <w:rFonts w:ascii="Times New Roman" w:eastAsia="Aptos" w:hAnsi="Times New Roman" w:cs="Times New Roman"/>
          <w:color w:val="000000"/>
          <w:sz w:val="24"/>
          <w:szCs w:val="24"/>
        </w:rPr>
        <w:t>§ 112</w:t>
      </w:r>
      <w:r w:rsidR="00340630" w:rsidRPr="00796736">
        <w:rPr>
          <w:rFonts w:ascii="Times New Roman" w:eastAsia="Aptos" w:hAnsi="Times New Roman" w:cs="Times New Roman"/>
          <w:color w:val="000000"/>
          <w:sz w:val="24"/>
          <w:szCs w:val="24"/>
        </w:rPr>
        <w:fldChar w:fldCharType="end"/>
      </w:r>
      <w:r w:rsidRPr="00796736">
        <w:rPr>
          <w:rFonts w:ascii="Times New Roman" w:eastAsia="Aptos" w:hAnsi="Times New Roman" w:cs="Times New Roman"/>
          <w:sz w:val="24"/>
          <w:szCs w:val="24"/>
        </w:rPr>
        <w:t xml:space="preserve">, at et ikkefinansielt holdingselskab, der ejer mindst ét datterselskab, der er en udbyder af spil, som har tilladelse til at udbyde spil i Danmark, </w:t>
      </w:r>
      <w:r w:rsidR="00A63EEE" w:rsidRPr="00796736">
        <w:rPr>
          <w:rFonts w:ascii="Times New Roman" w:eastAsia="Aptos" w:hAnsi="Times New Roman" w:cs="Times New Roman"/>
          <w:sz w:val="24"/>
          <w:szCs w:val="24"/>
        </w:rPr>
        <w:t xml:space="preserve">skal være </w:t>
      </w:r>
      <w:r w:rsidRPr="00796736">
        <w:rPr>
          <w:rFonts w:ascii="Times New Roman" w:eastAsia="Aptos" w:hAnsi="Times New Roman" w:cs="Times New Roman"/>
          <w:sz w:val="24"/>
          <w:szCs w:val="24"/>
        </w:rPr>
        <w:t>underlagt s</w:t>
      </w:r>
      <w:r w:rsidR="00A63EEE" w:rsidRPr="00796736">
        <w:rPr>
          <w:rFonts w:ascii="Times New Roman" w:eastAsia="Aptos" w:hAnsi="Times New Roman" w:cs="Times New Roman"/>
          <w:sz w:val="24"/>
          <w:szCs w:val="24"/>
        </w:rPr>
        <w:t>pillemyndighedens</w:t>
      </w:r>
      <w:r w:rsidRPr="00796736">
        <w:rPr>
          <w:rFonts w:ascii="Times New Roman" w:eastAsia="Aptos" w:hAnsi="Times New Roman" w:cs="Times New Roman"/>
          <w:sz w:val="24"/>
          <w:szCs w:val="24"/>
        </w:rPr>
        <w:t xml:space="preserve"> tilsyn. Disse ikkefinansielle holdingselskaber er ikke underlagt et særligt godkendelseskrav, som tilfældet er for udbydere af spil.</w:t>
      </w:r>
    </w:p>
    <w:p w14:paraId="7AA13E36" w14:textId="77777777" w:rsidR="006A012C" w:rsidRPr="00796736" w:rsidRDefault="006A012C" w:rsidP="00A802A5">
      <w:pPr>
        <w:spacing w:line="360" w:lineRule="auto"/>
        <w:rPr>
          <w:rFonts w:ascii="Times New Roman" w:eastAsia="Times New Roman" w:hAnsi="Times New Roman" w:cs="Times New Roman"/>
          <w:sz w:val="24"/>
          <w:szCs w:val="24"/>
        </w:rPr>
      </w:pPr>
    </w:p>
    <w:p w14:paraId="16DC8E3D" w14:textId="6561ED99"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Skatte- og Vækstministeriet vurderer derfor, at bestemmelsen skal udvides til også at omfatte ikkefinansielle holdingselskaber med blandet aktivitet for at sikre mulighed for, at der kan fastsættes nærmere regler om</w:t>
      </w:r>
      <w:r w:rsidR="00A93631" w:rsidRPr="00796736">
        <w:rPr>
          <w:rFonts w:ascii="Times New Roman" w:eastAsia="Times New Roman" w:hAnsi="Times New Roman" w:cs="Times New Roman"/>
          <w:sz w:val="24"/>
          <w:szCs w:val="24"/>
        </w:rPr>
        <w:t xml:space="preserve"> registrering</w:t>
      </w:r>
      <w:r w:rsidRPr="00796736">
        <w:rPr>
          <w:rFonts w:ascii="Times New Roman" w:eastAsia="Times New Roman" w:hAnsi="Times New Roman" w:cs="Times New Roman"/>
          <w:sz w:val="24"/>
          <w:szCs w:val="24"/>
        </w:rPr>
        <w:t xml:space="preserve"> for disse virksomheder.</w:t>
      </w:r>
    </w:p>
    <w:p w14:paraId="26496DF0" w14:textId="77777777" w:rsidR="006A012C" w:rsidRPr="00796736" w:rsidRDefault="006A012C" w:rsidP="00A802A5">
      <w:pPr>
        <w:spacing w:line="360" w:lineRule="auto"/>
        <w:rPr>
          <w:rFonts w:ascii="Times New Roman" w:eastAsia="Times New Roman" w:hAnsi="Times New Roman" w:cs="Times New Roman"/>
          <w:sz w:val="24"/>
          <w:szCs w:val="24"/>
        </w:rPr>
      </w:pPr>
    </w:p>
    <w:p w14:paraId="6DDDE515" w14:textId="77777777" w:rsidR="00A93631" w:rsidRPr="00796736" w:rsidRDefault="00A93631" w:rsidP="00A802A5">
      <w:pPr>
        <w:spacing w:line="360" w:lineRule="auto"/>
        <w:rPr>
          <w:rFonts w:ascii="Times New Roman" w:eastAsia="Times New Roman" w:hAnsi="Times New Roman" w:cs="Times New Roman"/>
          <w:sz w:val="24"/>
          <w:szCs w:val="24"/>
        </w:rPr>
      </w:pPr>
      <w:r w:rsidRPr="00796736">
        <w:rPr>
          <w:rFonts w:ascii="Times New Roman" w:eastAsia="Aptos" w:hAnsi="Times New Roman" w:cs="Times New Roman"/>
          <w:color w:val="000000"/>
          <w:sz w:val="24"/>
          <w:szCs w:val="24"/>
        </w:rPr>
        <w:t xml:space="preserve">Det foreslås derfor at videreføre gældende ret med visse sproglige tilpasninger i forhold til </w:t>
      </w:r>
      <w:r w:rsidRPr="00796736">
        <w:rPr>
          <w:rFonts w:ascii="Times New Roman" w:eastAsia="Times New Roman" w:hAnsi="Times New Roman" w:cs="Times New Roman"/>
          <w:sz w:val="24"/>
          <w:szCs w:val="24"/>
        </w:rPr>
        <w:t>regler om registrering for udbydere af spil med tilføjelse af ikkefinansielle holdingselskaber med blandet aktivitet</w:t>
      </w:r>
      <w:r w:rsidRPr="00796736">
        <w:rPr>
          <w:rFonts w:ascii="Times New Roman" w:eastAsia="Aptos" w:hAnsi="Times New Roman" w:cs="Times New Roman"/>
          <w:color w:val="000000"/>
          <w:sz w:val="24"/>
          <w:szCs w:val="24"/>
        </w:rPr>
        <w:t>, så skatte- og vækstministeren får bemyndigelse til at kunne f</w:t>
      </w:r>
      <w:r w:rsidRPr="00796736">
        <w:rPr>
          <w:rFonts w:ascii="Times New Roman" w:eastAsia="Times New Roman" w:hAnsi="Times New Roman" w:cs="Times New Roman"/>
          <w:sz w:val="24"/>
          <w:szCs w:val="24"/>
        </w:rPr>
        <w:t>astsætte nærmere regler om registrering af disse, herunder hvilke oplysninger der skal registreres, og hvilke forhold der kan indsendes og registreres i Spillemyndighedens IT-system.</w:t>
      </w:r>
    </w:p>
    <w:p w14:paraId="47A80856" w14:textId="77777777" w:rsidR="00506D8A" w:rsidRPr="00796736" w:rsidRDefault="00506D8A" w:rsidP="00A802A5">
      <w:pPr>
        <w:spacing w:line="360" w:lineRule="auto"/>
        <w:rPr>
          <w:rFonts w:ascii="Times New Roman" w:eastAsia="Times New Roman" w:hAnsi="Times New Roman" w:cs="Times New Roman"/>
          <w:sz w:val="24"/>
          <w:szCs w:val="24"/>
        </w:rPr>
      </w:pPr>
    </w:p>
    <w:p w14:paraId="1454B951" w14:textId="72D074E1" w:rsidR="00506D8A" w:rsidRPr="00796736" w:rsidRDefault="00506D8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henvises til lovforslagets </w:t>
      </w:r>
      <w:r w:rsidR="00461003" w:rsidRPr="00796736">
        <w:rPr>
          <w:rFonts w:ascii="Times New Roman" w:eastAsia="Times New Roman" w:hAnsi="Times New Roman" w:cs="Times New Roman"/>
          <w:sz w:val="24"/>
          <w:szCs w:val="24"/>
        </w:rPr>
        <w:fldChar w:fldCharType="begin"/>
      </w:r>
      <w:r w:rsidR="00461003" w:rsidRPr="00796736">
        <w:rPr>
          <w:rFonts w:ascii="Times New Roman" w:eastAsia="Times New Roman" w:hAnsi="Times New Roman" w:cs="Times New Roman"/>
          <w:sz w:val="24"/>
          <w:szCs w:val="24"/>
        </w:rPr>
        <w:instrText xml:space="preserve"> REF _Ref236334077 \r \h </w:instrText>
      </w:r>
      <w:r w:rsidR="00A47042" w:rsidRPr="00796736">
        <w:rPr>
          <w:rFonts w:ascii="Times New Roman" w:eastAsia="Times New Roman" w:hAnsi="Times New Roman" w:cs="Times New Roman"/>
          <w:sz w:val="24"/>
          <w:szCs w:val="24"/>
        </w:rPr>
        <w:instrText xml:space="preserve"> \* MERGEFORMAT </w:instrText>
      </w:r>
      <w:r w:rsidR="00461003" w:rsidRPr="00796736">
        <w:rPr>
          <w:rFonts w:ascii="Times New Roman" w:eastAsia="Times New Roman" w:hAnsi="Times New Roman" w:cs="Times New Roman"/>
          <w:sz w:val="24"/>
          <w:szCs w:val="24"/>
        </w:rPr>
      </w:r>
      <w:r w:rsidR="00461003"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113</w:t>
      </w:r>
      <w:r w:rsidR="00461003"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og bemærkningerne hertil.</w:t>
      </w:r>
    </w:p>
    <w:p w14:paraId="33E97D0E" w14:textId="77777777" w:rsidR="00506D8A" w:rsidRPr="00796736" w:rsidRDefault="00506D8A" w:rsidP="00A802A5">
      <w:pPr>
        <w:spacing w:line="360" w:lineRule="auto"/>
        <w:rPr>
          <w:rFonts w:ascii="Times New Roman" w:eastAsia="Times New Roman" w:hAnsi="Times New Roman" w:cs="Times New Roman"/>
          <w:sz w:val="24"/>
          <w:szCs w:val="24"/>
        </w:rPr>
      </w:pPr>
    </w:p>
    <w:p w14:paraId="2C175ACD" w14:textId="7614039E" w:rsidR="001961AE" w:rsidRPr="00796736" w:rsidRDefault="00461003" w:rsidP="00A802A5">
      <w:pPr>
        <w:pStyle w:val="Overskrift2"/>
        <w:rPr>
          <w:rFonts w:ascii="Times New Roman" w:hAnsi="Times New Roman"/>
          <w:sz w:val="24"/>
        </w:rPr>
      </w:pPr>
      <w:bookmarkStart w:id="1485" w:name="_Ref236644988"/>
      <w:bookmarkStart w:id="1486" w:name="_Toc244880792"/>
      <w:r w:rsidRPr="00796736">
        <w:rPr>
          <w:rFonts w:ascii="Times New Roman" w:hAnsi="Times New Roman"/>
          <w:sz w:val="24"/>
        </w:rPr>
        <w:t>Spillemyndighedens forretningsgange for forebyggelse af hvidvask og terrorfinansiering</w:t>
      </w:r>
      <w:bookmarkEnd w:id="1485"/>
      <w:bookmarkEnd w:id="1486"/>
    </w:p>
    <w:p w14:paraId="17033FE5"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7EA8D032" w14:textId="409C2879"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findes ikke i den gældende hvidvasklov en bestemmelse om, at </w:t>
      </w:r>
      <w:r w:rsidR="00A93631" w:rsidRPr="00796736">
        <w:rPr>
          <w:rFonts w:ascii="Times New Roman" w:eastAsia="Times New Roman" w:hAnsi="Times New Roman" w:cs="Times New Roman"/>
          <w:sz w:val="24"/>
          <w:szCs w:val="24"/>
        </w:rPr>
        <w:t>skatte-og vækstministeren</w:t>
      </w:r>
      <w:r w:rsidRPr="00796736">
        <w:rPr>
          <w:rFonts w:ascii="Times New Roman" w:eastAsia="Times New Roman" w:hAnsi="Times New Roman" w:cs="Times New Roman"/>
          <w:sz w:val="24"/>
          <w:szCs w:val="24"/>
        </w:rPr>
        <w:t xml:space="preserve"> kan fastsætte forpligtelser for Spillemyndigheden i en forretningsgang. Spillemyndighedens forpligtelser på hvidvaskområdet fremgår af den gældende hvidvasklov med undtagelse af en forpligtelse, der følger af artikel 32, stk. 6, i 4. hvidvaskdirektiv om, at de kompetente myndigheder skal give FIU'en feedback om anvendelsen af de oplysninger, der er leveret i overensstemmelse med artikel 32, og om resultatet af de efterforskninger eller kontrolbesøg, der er udført på grundlag heraf.</w:t>
      </w:r>
    </w:p>
    <w:p w14:paraId="19127FF7" w14:textId="77777777" w:rsidR="006A012C" w:rsidRPr="00796736" w:rsidRDefault="006A012C" w:rsidP="00A802A5">
      <w:pPr>
        <w:spacing w:line="360" w:lineRule="auto"/>
        <w:rPr>
          <w:rFonts w:ascii="Times New Roman" w:eastAsia="Times New Roman" w:hAnsi="Times New Roman" w:cs="Times New Roman"/>
          <w:sz w:val="24"/>
          <w:szCs w:val="24"/>
        </w:rPr>
      </w:pPr>
    </w:p>
    <w:p w14:paraId="2D47F86A" w14:textId="1C9897A6"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Denne forpligtelse fremgår for Spillemyndigheden af Den juridiske vejledning. Spillemyndigheden er hvert halve år forpligtet til at give feedback til Hvidvasksekretariatet om anvendelsen af de oplysninger, der er leveret af Hvidvasksekretariatet</w:t>
      </w:r>
      <w:r w:rsidR="00A93631"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og om resultatet af de efterforskninger eller kontrolbesøg, der er udført på grundlag heraf. </w:t>
      </w:r>
    </w:p>
    <w:p w14:paraId="2618D068" w14:textId="77777777" w:rsidR="001961AE" w:rsidRPr="00796736" w:rsidRDefault="001961AE" w:rsidP="00A802A5">
      <w:pPr>
        <w:spacing w:line="360" w:lineRule="auto"/>
        <w:rPr>
          <w:rFonts w:ascii="Times New Roman" w:hAnsi="Times New Roman" w:cs="Times New Roman"/>
          <w:sz w:val="24"/>
          <w:szCs w:val="24"/>
        </w:rPr>
      </w:pPr>
    </w:p>
    <w:p w14:paraId="21F5955A" w14:textId="30F84EAE"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 xml:space="preserve">6. hvidvaskdirektiv </w:t>
      </w:r>
    </w:p>
    <w:p w14:paraId="79CCDFEF" w14:textId="26A5B67C"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6. hvidvaskdirektiv indeholder bestemmelser, som de kompetente myndigheder skal overholde og efterleve. Det er ikke i 6. hvidvaskdirektiv angivet, hvordan reglerne skal implementeres i national ret. </w:t>
      </w:r>
    </w:p>
    <w:p w14:paraId="20AF0243" w14:textId="77777777" w:rsidR="001961AE" w:rsidRPr="00796736" w:rsidRDefault="001961AE" w:rsidP="00A802A5">
      <w:pPr>
        <w:spacing w:line="360" w:lineRule="auto"/>
        <w:rPr>
          <w:rFonts w:ascii="Times New Roman" w:hAnsi="Times New Roman" w:cs="Times New Roman"/>
          <w:sz w:val="24"/>
          <w:szCs w:val="24"/>
        </w:rPr>
      </w:pPr>
    </w:p>
    <w:p w14:paraId="656F610E" w14:textId="30B27FDD"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25223C7C" w14:textId="77777777" w:rsidR="006A012C" w:rsidRPr="00796736" w:rsidRDefault="006A012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Skatte- og Vækstministeriet vurderer, at der er dele af 6. hvidvaskdirektiv, der skal implementeres i dansk ret. 6. hvidvaskdirektiv indeholder bl.a. krav til tilsynsmyndighedernes tilsynsforpligtelser, samarbejde og udveksling af oplysninger.</w:t>
      </w:r>
    </w:p>
    <w:p w14:paraId="2D7719C5" w14:textId="77777777" w:rsidR="006A012C" w:rsidRPr="00796736" w:rsidRDefault="006A012C" w:rsidP="00A802A5">
      <w:pPr>
        <w:spacing w:line="360" w:lineRule="auto"/>
        <w:rPr>
          <w:rFonts w:ascii="Times New Roman" w:eastAsia="Times New Roman" w:hAnsi="Times New Roman" w:cs="Times New Roman"/>
          <w:sz w:val="24"/>
          <w:szCs w:val="24"/>
        </w:rPr>
      </w:pPr>
    </w:p>
    <w:p w14:paraId="4D24614C" w14:textId="77777777" w:rsidR="006A012C" w:rsidRPr="00796736" w:rsidRDefault="006A012C" w:rsidP="00A802A5">
      <w:pPr>
        <w:spacing w:line="360" w:lineRule="auto"/>
        <w:rPr>
          <w:rFonts w:ascii="Times New Roman" w:eastAsia="Aptos" w:hAnsi="Times New Roman" w:cs="Times New Roman"/>
          <w:sz w:val="24"/>
          <w:szCs w:val="24"/>
        </w:rPr>
      </w:pPr>
      <w:r w:rsidRPr="00796736">
        <w:rPr>
          <w:rFonts w:ascii="Times New Roman" w:eastAsia="Times New Roman" w:hAnsi="Times New Roman" w:cs="Times New Roman"/>
          <w:sz w:val="24"/>
          <w:szCs w:val="24"/>
        </w:rPr>
        <w:t>Skatte- og Vækstministeriet vurderer, at der i 6. hvidvaskdirektiv ligeledes er en række myndighedsrettede bestemmelser. Der vil ikke ske implementering af disse bestemmelser via lovgivningsmæssige tiltag. Myndighedsrettede bestemmelser forpligter myndigheder til at handle. Myndighedsrettede bestemmelser er således ikke normerende for borgeres og virksomheders retsstilling. Det til sige, at de ikke fastsætter forpligtelser og rettigheder mellem myndigheder og borger eller</w:t>
      </w:r>
      <w:r w:rsidRPr="00796736">
        <w:rPr>
          <w:rFonts w:ascii="Times New Roman" w:eastAsia="Aptos" w:hAnsi="Times New Roman" w:cs="Times New Roman"/>
          <w:sz w:val="24"/>
          <w:szCs w:val="24"/>
        </w:rPr>
        <w:t xml:space="preserve"> virksomhed. Sådanne bestemmelser implementeres derfor efter dansk retspraksis ikke ved lov eller bekendtgørelse. Der indføres i stedet administrative procedurer, som danske myndigheder er forpligtede til at overholde, typisk i form af forretningsgange.  </w:t>
      </w:r>
    </w:p>
    <w:p w14:paraId="07B58C6F" w14:textId="77777777" w:rsidR="006A012C" w:rsidRPr="00796736" w:rsidRDefault="006A012C" w:rsidP="00A802A5">
      <w:pPr>
        <w:spacing w:line="360" w:lineRule="auto"/>
        <w:rPr>
          <w:rFonts w:ascii="Times New Roman" w:eastAsia="Aptos" w:hAnsi="Times New Roman" w:cs="Times New Roman"/>
          <w:sz w:val="24"/>
          <w:szCs w:val="24"/>
        </w:rPr>
      </w:pPr>
    </w:p>
    <w:p w14:paraId="5AD94069" w14:textId="4D267E03" w:rsidR="006A012C" w:rsidRPr="00796736" w:rsidRDefault="006A012C"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foreslås derfor, at</w:t>
      </w:r>
      <w:r w:rsidR="00A93631" w:rsidRPr="00796736">
        <w:rPr>
          <w:rFonts w:ascii="Times New Roman" w:eastAsia="Aptos" w:hAnsi="Times New Roman" w:cs="Times New Roman"/>
          <w:sz w:val="24"/>
          <w:szCs w:val="24"/>
        </w:rPr>
        <w:t xml:space="preserve"> skatte- og vækstministeren</w:t>
      </w:r>
      <w:r w:rsidRPr="00796736">
        <w:rPr>
          <w:rFonts w:ascii="Times New Roman" w:eastAsia="Aptos" w:hAnsi="Times New Roman" w:cs="Times New Roman"/>
          <w:sz w:val="24"/>
          <w:szCs w:val="24"/>
        </w:rPr>
        <w:t xml:space="preserve"> i en forretningsgang kan fastsætte forpligtelser, der retter sig mod Spillemyndigheden i relation til forebyggelse og bekæmpelse af hvidvask af penge og finansiering af terrorisme, herunder forpligtelser som følge af 6. hvidvaskdirektiv.</w:t>
      </w:r>
    </w:p>
    <w:p w14:paraId="5B88DDED" w14:textId="77777777" w:rsidR="006A012C" w:rsidRPr="00796736" w:rsidRDefault="006A012C" w:rsidP="00A802A5">
      <w:pPr>
        <w:spacing w:line="360" w:lineRule="auto"/>
        <w:rPr>
          <w:rFonts w:ascii="Times New Roman" w:eastAsia="Aptos" w:hAnsi="Times New Roman" w:cs="Times New Roman"/>
          <w:sz w:val="24"/>
          <w:szCs w:val="24"/>
        </w:rPr>
      </w:pPr>
    </w:p>
    <w:p w14:paraId="2CB6A883" w14:textId="77777777" w:rsidR="006A012C" w:rsidRPr="00796736" w:rsidRDefault="006A012C"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betyder, at alle sådanne myndighedsrettede bestemmelser på hvidvaskområdet vil blive samlet i en forretningsgang.</w:t>
      </w:r>
    </w:p>
    <w:p w14:paraId="42D6C781" w14:textId="77777777" w:rsidR="006A012C" w:rsidRPr="00796736" w:rsidRDefault="006A012C" w:rsidP="00A802A5">
      <w:pPr>
        <w:spacing w:line="360" w:lineRule="auto"/>
        <w:rPr>
          <w:rFonts w:ascii="Times New Roman" w:eastAsia="Aptos" w:hAnsi="Times New Roman" w:cs="Times New Roman"/>
          <w:sz w:val="24"/>
          <w:szCs w:val="24"/>
        </w:rPr>
      </w:pPr>
    </w:p>
    <w:p w14:paraId="3CF5AFC2" w14:textId="42F4D988" w:rsidR="006A012C" w:rsidRPr="00796736" w:rsidRDefault="006A012C"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 xml:space="preserve">Henset til, at de kompetente myndigheder, som er forpligtede til at give feedback til FIU i artikel 22, stk. 2, i 6. hvidvaskdirektiv, afgrænses </w:t>
      </w:r>
      <w:r w:rsidRPr="00796736">
        <w:rPr>
          <w:rFonts w:ascii="Times New Roman" w:hAnsi="Times New Roman" w:cs="Times New Roman"/>
          <w:sz w:val="24"/>
          <w:szCs w:val="24"/>
        </w:rPr>
        <w:t xml:space="preserve">til myndighederne nævnt i hvidvaskforordningens artikel 2, stk. 1, nr. 44, litra c og d, </w:t>
      </w:r>
      <w:r w:rsidR="00A93631" w:rsidRPr="00796736">
        <w:rPr>
          <w:rFonts w:ascii="Times New Roman" w:hAnsi="Times New Roman" w:cs="Times New Roman"/>
          <w:sz w:val="24"/>
          <w:szCs w:val="24"/>
        </w:rPr>
        <w:t>vil</w:t>
      </w:r>
      <w:r w:rsidRPr="00796736">
        <w:rPr>
          <w:rFonts w:ascii="Times New Roman" w:hAnsi="Times New Roman" w:cs="Times New Roman"/>
          <w:sz w:val="24"/>
          <w:szCs w:val="24"/>
        </w:rPr>
        <w:t xml:space="preserve"> Spillemyndigheden som tilsynsmyndighed ikke længere</w:t>
      </w:r>
      <w:r w:rsidR="00A93631" w:rsidRPr="00796736">
        <w:rPr>
          <w:rFonts w:ascii="Times New Roman" w:hAnsi="Times New Roman" w:cs="Times New Roman"/>
          <w:sz w:val="24"/>
          <w:szCs w:val="24"/>
        </w:rPr>
        <w:t xml:space="preserve"> være</w:t>
      </w:r>
      <w:r w:rsidRPr="00796736">
        <w:rPr>
          <w:rFonts w:ascii="Times New Roman" w:hAnsi="Times New Roman" w:cs="Times New Roman"/>
          <w:sz w:val="24"/>
          <w:szCs w:val="24"/>
        </w:rPr>
        <w:t xml:space="preserve"> underlagt</w:t>
      </w:r>
      <w:r w:rsidRPr="00796736">
        <w:rPr>
          <w:rFonts w:ascii="Times New Roman" w:eastAsia="Aptos" w:hAnsi="Times New Roman" w:cs="Times New Roman"/>
          <w:sz w:val="24"/>
          <w:szCs w:val="24"/>
        </w:rPr>
        <w:t xml:space="preserve"> denne forpligtelse</w:t>
      </w:r>
      <w:r w:rsidRPr="00796736">
        <w:rPr>
          <w:rFonts w:ascii="Times New Roman" w:hAnsi="Times New Roman" w:cs="Times New Roman"/>
          <w:sz w:val="24"/>
          <w:szCs w:val="24"/>
        </w:rPr>
        <w:t>, da Spillemyndigheden som tilsynsmyndighed er omfattet</w:t>
      </w:r>
      <w:r w:rsidRPr="00796736">
        <w:rPr>
          <w:rFonts w:ascii="Times New Roman" w:eastAsia="Aptos" w:hAnsi="Times New Roman" w:cs="Times New Roman"/>
          <w:sz w:val="24"/>
          <w:szCs w:val="24"/>
        </w:rPr>
        <w:t xml:space="preserve"> af</w:t>
      </w:r>
      <w:r w:rsidR="00A93631" w:rsidRPr="00796736">
        <w:rPr>
          <w:rFonts w:ascii="Times New Roman" w:eastAsia="Aptos" w:hAnsi="Times New Roman" w:cs="Times New Roman"/>
          <w:sz w:val="24"/>
          <w:szCs w:val="24"/>
        </w:rPr>
        <w:t xml:space="preserve"> hvidvaskforordningens</w:t>
      </w:r>
      <w:r w:rsidRPr="00796736">
        <w:rPr>
          <w:rFonts w:ascii="Times New Roman" w:eastAsia="Aptos" w:hAnsi="Times New Roman" w:cs="Times New Roman"/>
          <w:sz w:val="24"/>
          <w:szCs w:val="24"/>
        </w:rPr>
        <w:t xml:space="preserve"> </w:t>
      </w:r>
      <w:r w:rsidRPr="00796736">
        <w:rPr>
          <w:rFonts w:ascii="Times New Roman" w:hAnsi="Times New Roman" w:cs="Times New Roman"/>
          <w:sz w:val="24"/>
          <w:szCs w:val="24"/>
        </w:rPr>
        <w:t>artikel 2, stk. 1, nr. 44, litra b.</w:t>
      </w:r>
      <w:r w:rsidRPr="00796736">
        <w:rPr>
          <w:rFonts w:ascii="Times New Roman" w:eastAsia="Aptos" w:hAnsi="Times New Roman" w:cs="Times New Roman"/>
          <w:sz w:val="24"/>
          <w:szCs w:val="24"/>
        </w:rPr>
        <w:t xml:space="preserve"> For nærmere om feedbackforpligtelsen </w:t>
      </w:r>
      <w:r w:rsidRPr="00796736">
        <w:rPr>
          <w:rFonts w:ascii="Times New Roman" w:hAnsi="Times New Roman" w:cs="Times New Roman"/>
          <w:sz w:val="24"/>
          <w:szCs w:val="24"/>
        </w:rPr>
        <w:t xml:space="preserve">henvises til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_Ref232943201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lovforslagets almindelige bemærkninger og bemærkningerne til lovforslagets</w:t>
      </w:r>
      <w:r w:rsidR="00340AB5" w:rsidRPr="00796736">
        <w:rPr>
          <w:rFonts w:ascii="Times New Roman" w:hAnsi="Times New Roman" w:cs="Times New Roman"/>
          <w:sz w:val="24"/>
          <w:szCs w:val="24"/>
        </w:rPr>
        <w:t xml:space="preserve"> </w:t>
      </w:r>
      <w:r w:rsidR="00922AA1" w:rsidRPr="00796736">
        <w:rPr>
          <w:rFonts w:ascii="Times New Roman" w:hAnsi="Times New Roman" w:cs="Times New Roman"/>
          <w:sz w:val="24"/>
          <w:szCs w:val="24"/>
        </w:rPr>
        <w:fldChar w:fldCharType="begin"/>
      </w:r>
      <w:r w:rsidR="00922AA1" w:rsidRPr="00796736">
        <w:rPr>
          <w:rFonts w:ascii="Times New Roman" w:hAnsi="Times New Roman" w:cs="Times New Roman"/>
          <w:sz w:val="24"/>
          <w:szCs w:val="24"/>
        </w:rPr>
        <w:instrText xml:space="preserve"> REF _Ref232595727 \r \h </w:instrText>
      </w:r>
      <w:r w:rsidR="00F375BF" w:rsidRPr="00796736">
        <w:rPr>
          <w:rFonts w:ascii="Times New Roman" w:hAnsi="Times New Roman" w:cs="Times New Roman"/>
          <w:sz w:val="24"/>
          <w:szCs w:val="24"/>
        </w:rPr>
        <w:instrText xml:space="preserve"> \* MERGEFORMAT </w:instrText>
      </w:r>
      <w:r w:rsidR="00922AA1" w:rsidRPr="00796736">
        <w:rPr>
          <w:rFonts w:ascii="Times New Roman" w:hAnsi="Times New Roman" w:cs="Times New Roman"/>
          <w:sz w:val="24"/>
          <w:szCs w:val="24"/>
        </w:rPr>
      </w:r>
      <w:r w:rsidR="00922AA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00922AA1"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01920252" w14:textId="77777777" w:rsidR="006A012C" w:rsidRPr="00796736" w:rsidRDefault="006A012C" w:rsidP="00A802A5">
      <w:pPr>
        <w:spacing w:line="360" w:lineRule="auto"/>
        <w:rPr>
          <w:rFonts w:ascii="Times New Roman" w:eastAsia="Aptos" w:hAnsi="Times New Roman" w:cs="Times New Roman"/>
          <w:sz w:val="24"/>
          <w:szCs w:val="24"/>
        </w:rPr>
      </w:pPr>
    </w:p>
    <w:p w14:paraId="0E027FE7" w14:textId="1F4D55DE"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 xml:space="preserve">Der henvises i øvrigt til den foreslåede </w:t>
      </w:r>
      <w:r w:rsidR="00461003" w:rsidRPr="00796736">
        <w:rPr>
          <w:rFonts w:ascii="Times New Roman" w:eastAsia="Aptos" w:hAnsi="Times New Roman" w:cs="Times New Roman"/>
          <w:sz w:val="24"/>
          <w:szCs w:val="24"/>
        </w:rPr>
        <w:fldChar w:fldCharType="begin"/>
      </w:r>
      <w:r w:rsidR="00461003" w:rsidRPr="00796736">
        <w:rPr>
          <w:rFonts w:ascii="Times New Roman" w:eastAsia="Aptos" w:hAnsi="Times New Roman" w:cs="Times New Roman"/>
          <w:sz w:val="24"/>
          <w:szCs w:val="24"/>
        </w:rPr>
        <w:instrText xml:space="preserve"> REF _Ref236334226 \r \h </w:instrText>
      </w:r>
      <w:r w:rsidR="00A47042" w:rsidRPr="00796736">
        <w:rPr>
          <w:rFonts w:ascii="Times New Roman" w:eastAsia="Aptos" w:hAnsi="Times New Roman" w:cs="Times New Roman"/>
          <w:sz w:val="24"/>
          <w:szCs w:val="24"/>
        </w:rPr>
        <w:instrText xml:space="preserve"> \* MERGEFORMAT </w:instrText>
      </w:r>
      <w:r w:rsidR="00461003" w:rsidRPr="00796736">
        <w:rPr>
          <w:rFonts w:ascii="Times New Roman" w:eastAsia="Aptos" w:hAnsi="Times New Roman" w:cs="Times New Roman"/>
          <w:sz w:val="24"/>
          <w:szCs w:val="24"/>
        </w:rPr>
      </w:r>
      <w:r w:rsidR="00461003" w:rsidRPr="00796736">
        <w:rPr>
          <w:rFonts w:ascii="Times New Roman" w:eastAsia="Aptos" w:hAnsi="Times New Roman" w:cs="Times New Roman"/>
          <w:sz w:val="24"/>
          <w:szCs w:val="24"/>
        </w:rPr>
        <w:fldChar w:fldCharType="separate"/>
      </w:r>
      <w:r w:rsidR="008F29E5">
        <w:rPr>
          <w:rFonts w:ascii="Times New Roman" w:eastAsia="Aptos" w:hAnsi="Times New Roman" w:cs="Times New Roman"/>
          <w:sz w:val="24"/>
          <w:szCs w:val="24"/>
        </w:rPr>
        <w:t>§ 114</w:t>
      </w:r>
      <w:r w:rsidR="00461003" w:rsidRPr="00796736">
        <w:rPr>
          <w:rFonts w:ascii="Times New Roman" w:eastAsia="Aptos" w:hAnsi="Times New Roman" w:cs="Times New Roman"/>
          <w:sz w:val="24"/>
          <w:szCs w:val="24"/>
        </w:rPr>
        <w:fldChar w:fldCharType="end"/>
      </w:r>
      <w:r w:rsidRPr="00796736">
        <w:rPr>
          <w:rFonts w:ascii="Times New Roman" w:eastAsia="Aptos" w:hAnsi="Times New Roman" w:cs="Times New Roman"/>
          <w:sz w:val="24"/>
          <w:szCs w:val="24"/>
        </w:rPr>
        <w:t xml:space="preserve"> og bemærkningerne hertil.</w:t>
      </w:r>
    </w:p>
    <w:p w14:paraId="4C954967" w14:textId="77777777" w:rsidR="00461003" w:rsidRPr="00796736" w:rsidRDefault="00461003" w:rsidP="00A802A5">
      <w:pPr>
        <w:spacing w:line="360" w:lineRule="auto"/>
        <w:rPr>
          <w:rFonts w:ascii="Times New Roman" w:eastAsia="Aptos" w:hAnsi="Times New Roman" w:cs="Times New Roman"/>
          <w:sz w:val="24"/>
          <w:szCs w:val="24"/>
        </w:rPr>
      </w:pPr>
    </w:p>
    <w:p w14:paraId="240FC9DF" w14:textId="2385E495" w:rsidR="001961AE" w:rsidRPr="00796736" w:rsidRDefault="00BE72EF" w:rsidP="00A802A5">
      <w:pPr>
        <w:pStyle w:val="Overskrift2"/>
        <w:rPr>
          <w:rFonts w:ascii="Times New Roman" w:hAnsi="Times New Roman"/>
          <w:sz w:val="24"/>
        </w:rPr>
      </w:pPr>
      <w:bookmarkStart w:id="1487" w:name="_Ref241436849"/>
      <w:bookmarkStart w:id="1488" w:name="_Toc244880793"/>
      <w:r w:rsidRPr="00796736">
        <w:rPr>
          <w:rFonts w:ascii="Times New Roman" w:hAnsi="Times New Roman"/>
          <w:sz w:val="24"/>
        </w:rPr>
        <w:t xml:space="preserve">Krav til hæderlighed, egnethed og oplysningspligt for </w:t>
      </w:r>
      <w:r w:rsidR="00922AA1" w:rsidRPr="00796736">
        <w:rPr>
          <w:rFonts w:ascii="Times New Roman" w:hAnsi="Times New Roman"/>
          <w:sz w:val="24"/>
        </w:rPr>
        <w:t xml:space="preserve">den øverste </w:t>
      </w:r>
      <w:r w:rsidRPr="00796736">
        <w:rPr>
          <w:rFonts w:ascii="Times New Roman" w:hAnsi="Times New Roman"/>
          <w:sz w:val="24"/>
        </w:rPr>
        <w:t>ledelse og reelle ejere</w:t>
      </w:r>
      <w:bookmarkEnd w:id="1487"/>
      <w:bookmarkEnd w:id="1488"/>
      <w:r w:rsidRPr="00796736">
        <w:rPr>
          <w:rFonts w:ascii="Times New Roman" w:hAnsi="Times New Roman"/>
          <w:sz w:val="24"/>
        </w:rPr>
        <w:t xml:space="preserve"> </w:t>
      </w:r>
    </w:p>
    <w:p w14:paraId="0CC04043"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71ACC589" w14:textId="77777777" w:rsidR="001961AE" w:rsidRPr="00796736" w:rsidRDefault="001961AE"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 28, stk. 3, i lov om spil, at Spillemyndigheden kan træffe afgørelse om, at et medlem af bestyrelsen eller direktionen i selskaber m.v. (juridiske personer) skal udtræde af bestyrelsen eller direktionen, hvis medlemmet er dømt for et strafbart forhold, der begrunder nærliggende fare for misbrug af adgangen til at arbejde med spil, eller har forfalden gæld til det offentlige, der overstiger 100.000 kr.</w:t>
      </w:r>
    </w:p>
    <w:p w14:paraId="0C231767" w14:textId="77777777" w:rsidR="001961AE" w:rsidRPr="00796736" w:rsidRDefault="001961AE" w:rsidP="00A802A5">
      <w:pPr>
        <w:spacing w:line="360" w:lineRule="auto"/>
        <w:rPr>
          <w:rFonts w:ascii="Times New Roman" w:eastAsia="Calibri" w:hAnsi="Times New Roman" w:cs="Times New Roman"/>
          <w:sz w:val="24"/>
          <w:szCs w:val="24"/>
        </w:rPr>
      </w:pPr>
    </w:p>
    <w:p w14:paraId="39457CFF" w14:textId="77777777" w:rsidR="001961AE" w:rsidRPr="00796736" w:rsidRDefault="001961AE"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 29, stk. 1, i lov om spil, at tilladelse til udbud og arrangering af spil kun kan gives til ansøgere, der må antages at kunne udøve virksomhed med spil på økonomisk og faglig forsvarlig vis. </w:t>
      </w:r>
    </w:p>
    <w:p w14:paraId="39D90D6A" w14:textId="77777777" w:rsidR="001961AE" w:rsidRPr="00796736" w:rsidRDefault="001961AE" w:rsidP="00A802A5">
      <w:pPr>
        <w:spacing w:line="360" w:lineRule="auto"/>
        <w:rPr>
          <w:rFonts w:ascii="Times New Roman" w:eastAsia="Calibri" w:hAnsi="Times New Roman" w:cs="Times New Roman"/>
          <w:sz w:val="24"/>
          <w:szCs w:val="24"/>
        </w:rPr>
      </w:pPr>
    </w:p>
    <w:p w14:paraId="56E47FFC" w14:textId="77777777" w:rsidR="001961AE" w:rsidRPr="00796736" w:rsidRDefault="001961AE"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 29, stk. 2, i lov om spil, at tilladelse ikke kan gives, hvis ansøgeren, reelle ejere, medlemmer af direktion eller bestyrelse eller andre, der kan øve en bestemmende indflydelse på virksomhedens drift, har udvist en sådan adfærd, at der er grund til at antage, at virksomheden ikke vil blive drevet på forsvarlig måde.</w:t>
      </w:r>
    </w:p>
    <w:p w14:paraId="170ED6A4" w14:textId="77777777" w:rsidR="001961AE" w:rsidRPr="00796736" w:rsidRDefault="001961AE" w:rsidP="00A802A5">
      <w:pPr>
        <w:spacing w:line="360" w:lineRule="auto"/>
        <w:rPr>
          <w:rFonts w:ascii="Times New Roman" w:eastAsia="Calibri" w:hAnsi="Times New Roman" w:cs="Times New Roman"/>
          <w:sz w:val="24"/>
          <w:szCs w:val="24"/>
        </w:rPr>
      </w:pPr>
    </w:p>
    <w:p w14:paraId="2F4D213A" w14:textId="77777777" w:rsidR="001961AE" w:rsidRPr="00796736" w:rsidRDefault="001961AE"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 29, stk. 3, i lov om spil, at tilladelsesindehaveren straks skal informere Spillemyndigheden, hvis der sker væsentlige ændringer af de forudsætninger, hvorunder en tilladelse til at udbyde og arrangere spil er givet.</w:t>
      </w:r>
    </w:p>
    <w:p w14:paraId="3D43EB75" w14:textId="77777777" w:rsidR="001961AE" w:rsidRPr="00796736" w:rsidRDefault="001961AE" w:rsidP="00A802A5">
      <w:pPr>
        <w:spacing w:line="360" w:lineRule="auto"/>
        <w:rPr>
          <w:rFonts w:ascii="Times New Roman" w:hAnsi="Times New Roman" w:cs="Times New Roman"/>
          <w:sz w:val="24"/>
          <w:szCs w:val="24"/>
        </w:rPr>
      </w:pPr>
    </w:p>
    <w:p w14:paraId="3A0D958B"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 xml:space="preserve">6. hvidvaskdirektiv </w:t>
      </w:r>
    </w:p>
    <w:p w14:paraId="1CA13FE7"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 stk. 1, i 6. hvidvaskdirektiv, at medlemsstaterne kræver, at tilsynsorganerne kontrollerer, at medlemmerne af den øverste ledelse i de forpligtede enheder, der er omhandlet i artikel 4, stk. 1 og 2, samt finansielle blandede aktivitetsholdingselskaber og de reelle ejere af sådanne enheder har et godt omdømme og handler med hæderlighed og integritet. Den øverste ledelse i sådanne enheder skal også besidde den viden og ekspertise, der er nødvendig for, at de kan udføre deres opgaver.</w:t>
      </w:r>
    </w:p>
    <w:p w14:paraId="711D53B6" w14:textId="77777777" w:rsidR="001961AE" w:rsidRPr="00796736" w:rsidRDefault="001961AE" w:rsidP="00A802A5">
      <w:pPr>
        <w:spacing w:line="360" w:lineRule="auto"/>
        <w:rPr>
          <w:rFonts w:ascii="Times New Roman" w:eastAsia="Times New Roman" w:hAnsi="Times New Roman" w:cs="Times New Roman"/>
          <w:sz w:val="24"/>
          <w:szCs w:val="24"/>
        </w:rPr>
      </w:pPr>
    </w:p>
    <w:p w14:paraId="65FD6537" w14:textId="0FC7285B" w:rsidR="00922AA1"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Af artikel 6, stk. 3, i 6. hvidvaskdirektiv, fremgår det, at medlemsstaterne sikrer, at tilsynsorganerne på et risikofølsomt grundlag kontrollerer, om kravene i stk. 1 og 2 fortsat er opfyldt. De kontrollerer navnlig, om den øverste ledelse i forpligtede enheder, der er omhandlet i stk. 1, har et godt omdømme, handler med hæderlighed og integritet og besidder den viden og ekspertise, der er nødvendig for, at den kan udføre sine opgaver i tilfælde, hvor der er rimelig grund til at formode, at der begås eller er blevet begået eller forsøgt begået hvidvask af penge eller finansiering af terrorisme, eller der er øget risiko herfor i en forpligtet enhed.</w:t>
      </w:r>
    </w:p>
    <w:p w14:paraId="4520CF0A" w14:textId="77777777" w:rsidR="00922AA1" w:rsidRPr="00796736" w:rsidRDefault="00922AA1" w:rsidP="00A802A5">
      <w:pPr>
        <w:spacing w:line="360" w:lineRule="auto"/>
        <w:rPr>
          <w:rFonts w:ascii="Times New Roman" w:eastAsia="Times New Roman" w:hAnsi="Times New Roman" w:cs="Times New Roman"/>
          <w:sz w:val="24"/>
          <w:szCs w:val="24"/>
        </w:rPr>
      </w:pPr>
    </w:p>
    <w:p w14:paraId="12A69B51" w14:textId="099FF9FE" w:rsidR="001961AE"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Artikel 6, stk. 8, i 6. hvidvaskdirektiv retter sig mod AMLA og skal ikke implementeres i dansk ret.</w:t>
      </w:r>
    </w:p>
    <w:p w14:paraId="79320A6E" w14:textId="77777777" w:rsidR="00922AA1" w:rsidRPr="00796736" w:rsidRDefault="00922AA1" w:rsidP="00A802A5">
      <w:pPr>
        <w:spacing w:line="360" w:lineRule="auto"/>
        <w:rPr>
          <w:rFonts w:ascii="Times New Roman" w:hAnsi="Times New Roman" w:cs="Times New Roman"/>
          <w:sz w:val="24"/>
          <w:szCs w:val="24"/>
        </w:rPr>
      </w:pPr>
    </w:p>
    <w:p w14:paraId="07C58909" w14:textId="164A4389"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5BF80848" w14:textId="65DC3D79"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 xml:space="preserve">I lov om spil er der opstillet forskellige krav, der skal være opfyldt for, at der kan udstedes en tilladelse til udbud af spil. Et af disse krav følger af § 29, stk. 1, om, at tilladelse kun kan gives, hvis ansøgeren må antages at kunne udøve virksomhed med spil på faglig og økonomisk forsvarlig vis. Af § 29, stk. 2, følger det, at tilladelse ikke kan gives, hvis ansøgeren, reelle ejere, medlemmer af direktion eller bestyrelse eller andre, der kan øve en bestemmende indflydelse på virksomhedens drift, har udvist en sådan adfærd, at der er grund til at antage, at virksomheden ikke vil blive drevet på forsvarlig måde. Det fremgår af bemærkningerne til </w:t>
      </w:r>
      <w:r w:rsidR="00A93631" w:rsidRPr="00796736">
        <w:rPr>
          <w:rFonts w:ascii="Times New Roman" w:eastAsia="Aptos" w:hAnsi="Times New Roman" w:cs="Times New Roman"/>
          <w:sz w:val="24"/>
          <w:szCs w:val="24"/>
        </w:rPr>
        <w:fldChar w:fldCharType="begin"/>
      </w:r>
      <w:r w:rsidR="00A93631" w:rsidRPr="00796736">
        <w:rPr>
          <w:rFonts w:ascii="Times New Roman" w:eastAsia="Aptos" w:hAnsi="Times New Roman" w:cs="Times New Roman"/>
          <w:sz w:val="24"/>
          <w:szCs w:val="24"/>
        </w:rPr>
        <w:instrText xml:space="preserve"> REF _Ref232596168 \r \h </w:instrText>
      </w:r>
      <w:r w:rsidR="007F4BB9" w:rsidRPr="00796736">
        <w:rPr>
          <w:rFonts w:ascii="Times New Roman" w:eastAsia="Aptos" w:hAnsi="Times New Roman" w:cs="Times New Roman"/>
          <w:sz w:val="24"/>
          <w:szCs w:val="24"/>
        </w:rPr>
        <w:instrText xml:space="preserve"> \* MERGEFORMAT </w:instrText>
      </w:r>
      <w:r w:rsidR="00A93631" w:rsidRPr="00796736">
        <w:rPr>
          <w:rFonts w:ascii="Times New Roman" w:eastAsia="Aptos" w:hAnsi="Times New Roman" w:cs="Times New Roman"/>
          <w:sz w:val="24"/>
          <w:szCs w:val="24"/>
        </w:rPr>
      </w:r>
      <w:r w:rsidR="00A93631" w:rsidRPr="00796736">
        <w:rPr>
          <w:rFonts w:ascii="Times New Roman" w:eastAsia="Aptos" w:hAnsi="Times New Roman" w:cs="Times New Roman"/>
          <w:sz w:val="24"/>
          <w:szCs w:val="24"/>
        </w:rPr>
        <w:fldChar w:fldCharType="separate"/>
      </w:r>
      <w:r w:rsidR="008F29E5">
        <w:rPr>
          <w:rFonts w:ascii="Times New Roman" w:eastAsia="Aptos" w:hAnsi="Times New Roman" w:cs="Times New Roman"/>
          <w:sz w:val="24"/>
          <w:szCs w:val="24"/>
        </w:rPr>
        <w:t>§ 29</w:t>
      </w:r>
      <w:r w:rsidR="00A93631" w:rsidRPr="00796736">
        <w:rPr>
          <w:rFonts w:ascii="Times New Roman" w:eastAsia="Aptos" w:hAnsi="Times New Roman" w:cs="Times New Roman"/>
          <w:sz w:val="24"/>
          <w:szCs w:val="24"/>
        </w:rPr>
        <w:fldChar w:fldCharType="end"/>
      </w:r>
      <w:r w:rsidR="00A93631" w:rsidRPr="00796736">
        <w:rPr>
          <w:rFonts w:ascii="Times New Roman" w:eastAsia="Aptos" w:hAnsi="Times New Roman" w:cs="Times New Roman"/>
          <w:sz w:val="24"/>
          <w:szCs w:val="24"/>
        </w:rPr>
        <w:t xml:space="preserve">, </w:t>
      </w:r>
      <w:r w:rsidRPr="00796736">
        <w:rPr>
          <w:rFonts w:ascii="Times New Roman" w:eastAsia="Aptos" w:hAnsi="Times New Roman" w:cs="Times New Roman"/>
          <w:sz w:val="24"/>
          <w:szCs w:val="24"/>
        </w:rPr>
        <w:t xml:space="preserve">at der er tale om en hæderlighedsvurdering, hvor der lægges vægt på forskellige momenter. </w:t>
      </w:r>
      <w:r w:rsidR="00A93631" w:rsidRPr="00796736">
        <w:rPr>
          <w:rFonts w:ascii="Times New Roman" w:eastAsia="Aptos" w:hAnsi="Times New Roman" w:cs="Times New Roman"/>
          <w:sz w:val="24"/>
          <w:szCs w:val="24"/>
        </w:rPr>
        <w:t xml:space="preserve">Der henvises til </w:t>
      </w:r>
      <w:r w:rsidR="00A93631" w:rsidRPr="00796736">
        <w:rPr>
          <w:rFonts w:ascii="Times New Roman" w:eastAsia="Times New Roman" w:hAnsi="Times New Roman" w:cs="Times New Roman"/>
          <w:sz w:val="24"/>
          <w:szCs w:val="24"/>
        </w:rPr>
        <w:t>forslag til lov om spil, jf. Folketingstidende 2009-10, tillæg A, L 202 som fremsat, side 54 og 55.</w:t>
      </w:r>
    </w:p>
    <w:p w14:paraId="55628A59" w14:textId="77777777" w:rsidR="001961AE" w:rsidRPr="00796736" w:rsidRDefault="001961AE" w:rsidP="00A802A5">
      <w:pPr>
        <w:spacing w:line="360" w:lineRule="auto"/>
        <w:rPr>
          <w:rFonts w:ascii="Times New Roman" w:eastAsia="Aptos" w:hAnsi="Times New Roman" w:cs="Times New Roman"/>
          <w:sz w:val="24"/>
          <w:szCs w:val="24"/>
        </w:rPr>
      </w:pPr>
    </w:p>
    <w:p w14:paraId="40624A27" w14:textId="77777777"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er Skatte- og Vækstministeriets vurdering, at kravene i artikel 6, stk. 1 og 3, i 6. hvidvaskdirektiv bør implementeres i hvidvaskloven som en selvstændig bestemmelse, da der her er tale om en hæderligheds- og egnethedsvurdering fra et hvidvaskperspektiv. Der tilsigtes således ikke indholdsmæssige eller fortolkningsmæssige ændringer i lov om spil af den hæderligheds- og egnethedsvurdering, der foretages med hjemmel i § 29, stk. 2, da denne baserer sig på en spilfaglig vurdering af personkredsen oplistet i § 29, stk. 2. Det er Skatte- og Vækstministeriets vurdering, at hæderligheds- og egnethedsvurderingerne i henholdsvis lov om spil og hvidvaskloven skal afspejle, at der foretages to særskilte vurderinger, men at disse vurderinger vil have et overlap, da flere af kravene til hæderlighed og egnethed er begrundet i de samme hensyn, om end oprindelsen udspringer af henholdsvis spilfaglige grunde og 6. hvidvaskdirektiv.</w:t>
      </w:r>
    </w:p>
    <w:p w14:paraId="15C3A17F" w14:textId="77777777" w:rsidR="001961AE" w:rsidRPr="00796736" w:rsidRDefault="001961AE" w:rsidP="00A802A5">
      <w:pPr>
        <w:spacing w:line="360" w:lineRule="auto"/>
        <w:rPr>
          <w:rFonts w:ascii="Times New Roman" w:eastAsia="Aptos" w:hAnsi="Times New Roman" w:cs="Times New Roman"/>
          <w:sz w:val="24"/>
          <w:szCs w:val="24"/>
        </w:rPr>
      </w:pPr>
    </w:p>
    <w:p w14:paraId="2AADA38C" w14:textId="34F1410A" w:rsidR="00A93631"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er desuden Skatte- og Vækstministeriets vurdering, at det skal fremgå som stykker i bestemmelsen i de</w:t>
      </w:r>
      <w:r w:rsidR="00A93631" w:rsidRPr="00796736">
        <w:rPr>
          <w:rFonts w:ascii="Times New Roman" w:eastAsia="Aptos" w:hAnsi="Times New Roman" w:cs="Times New Roman"/>
          <w:sz w:val="24"/>
          <w:szCs w:val="24"/>
        </w:rPr>
        <w:t>nne lov</w:t>
      </w:r>
      <w:r w:rsidRPr="00796736">
        <w:rPr>
          <w:rFonts w:ascii="Times New Roman" w:eastAsia="Aptos" w:hAnsi="Times New Roman" w:cs="Times New Roman"/>
          <w:sz w:val="24"/>
          <w:szCs w:val="24"/>
        </w:rPr>
        <w:t xml:space="preserve">, at betingelserne for hæderlighed og egnethed skal være opfyldt ved ansøgning om tilladelse til udbud af spil i medfør af lov om spil og skal opretholdes i hele tilladelsesperioden, samt at enhver ændring af de oplysninger, der er lagt til grund for opfyldelse af betingelserne om hæderlighed, skal meddeles Spillemyndigheden senest </w:t>
      </w:r>
      <w:r w:rsidR="00A93631" w:rsidRPr="00796736">
        <w:rPr>
          <w:rFonts w:ascii="Times New Roman" w:eastAsia="Aptos" w:hAnsi="Times New Roman" w:cs="Times New Roman"/>
          <w:sz w:val="24"/>
          <w:szCs w:val="24"/>
        </w:rPr>
        <w:t>2</w:t>
      </w:r>
      <w:r w:rsidRPr="00796736">
        <w:rPr>
          <w:rFonts w:ascii="Times New Roman" w:eastAsia="Aptos" w:hAnsi="Times New Roman" w:cs="Times New Roman"/>
          <w:sz w:val="24"/>
          <w:szCs w:val="24"/>
        </w:rPr>
        <w:t xml:space="preserve"> uger efter ændringen. </w:t>
      </w:r>
    </w:p>
    <w:p w14:paraId="6FE37DBD" w14:textId="77777777" w:rsidR="00A93631" w:rsidRPr="00796736" w:rsidRDefault="00A93631" w:rsidP="00A802A5">
      <w:pPr>
        <w:spacing w:line="360" w:lineRule="auto"/>
        <w:rPr>
          <w:rFonts w:ascii="Times New Roman" w:eastAsia="Aptos" w:hAnsi="Times New Roman" w:cs="Times New Roman"/>
          <w:sz w:val="24"/>
          <w:szCs w:val="24"/>
        </w:rPr>
      </w:pPr>
    </w:p>
    <w:p w14:paraId="741136B9" w14:textId="77777777" w:rsidR="00A93631"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 xml:space="preserve">Skatte- og Vækstministeriet har vurderet, at der er behov for at indføre en sådan klar og generel underretningspligt for udbydere af spil. Formålet er at sikre, at Spillemyndigheden til enhver tid har adgang til opdaterede og korrekte oplysninger om de forhold, der har været afgørende ved vurderingen på ansøgningstidspunktet, så Spillemyndigheden kan vurdere, om udbyderen af spil fortsat opfylder betingelserne for tilladelse. Skatte- og Vækstministeriet har lagt vægt på, at en sådan underretningspligt vil understøtte et effektivt og risikobaseret tilsyn som krævet efter 6. hvidvaskdirektiv. </w:t>
      </w:r>
    </w:p>
    <w:p w14:paraId="7DBB0169" w14:textId="77777777" w:rsidR="00A93631" w:rsidRPr="00796736" w:rsidRDefault="00A93631" w:rsidP="00A802A5">
      <w:pPr>
        <w:spacing w:line="360" w:lineRule="auto"/>
        <w:rPr>
          <w:rFonts w:ascii="Times New Roman" w:eastAsia="Aptos" w:hAnsi="Times New Roman" w:cs="Times New Roman"/>
          <w:sz w:val="24"/>
          <w:szCs w:val="24"/>
        </w:rPr>
      </w:pPr>
    </w:p>
    <w:p w14:paraId="0D174B20" w14:textId="0D598BB6"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er Skatte- og Vækstministeriets vurdering, at det</w:t>
      </w:r>
      <w:r w:rsidR="00A93631" w:rsidRPr="00796736">
        <w:rPr>
          <w:rFonts w:ascii="Times New Roman" w:eastAsia="Aptos" w:hAnsi="Times New Roman" w:cs="Times New Roman"/>
          <w:sz w:val="24"/>
          <w:szCs w:val="24"/>
        </w:rPr>
        <w:t xml:space="preserve"> vil være</w:t>
      </w:r>
      <w:r w:rsidRPr="00796736">
        <w:rPr>
          <w:rFonts w:ascii="Times New Roman" w:eastAsia="Aptos" w:hAnsi="Times New Roman" w:cs="Times New Roman"/>
          <w:sz w:val="24"/>
          <w:szCs w:val="24"/>
        </w:rPr>
        <w:t xml:space="preserve"> hensigtsmæssigt at fastsætte en frist for underretning og at præcisere, hvilke ændringer der skal meddeles til Spillemyndigheden. Dette vil skabe klarhed for virksomheder</w:t>
      </w:r>
      <w:r w:rsidR="00922AA1" w:rsidRPr="00796736">
        <w:rPr>
          <w:rFonts w:ascii="Times New Roman" w:eastAsia="Aptos" w:hAnsi="Times New Roman" w:cs="Times New Roman"/>
          <w:sz w:val="24"/>
          <w:szCs w:val="24"/>
        </w:rPr>
        <w:t xml:space="preserve"> og personer </w:t>
      </w:r>
      <w:r w:rsidRPr="00796736">
        <w:rPr>
          <w:rFonts w:ascii="Times New Roman" w:eastAsia="Aptos" w:hAnsi="Times New Roman" w:cs="Times New Roman"/>
          <w:sz w:val="24"/>
          <w:szCs w:val="24"/>
        </w:rPr>
        <w:t>og sikre, at Spillemyndigheden hurtigt kan reagere på ændringer, der kan have betydning for den hæderligheds- og egnethedsvurdering, som Spillemyndigheden har foretaget.</w:t>
      </w:r>
    </w:p>
    <w:p w14:paraId="51A9B0C3" w14:textId="77777777" w:rsidR="001961AE" w:rsidRPr="00796736" w:rsidRDefault="001961AE" w:rsidP="00A802A5">
      <w:pPr>
        <w:spacing w:line="360" w:lineRule="auto"/>
        <w:rPr>
          <w:rFonts w:ascii="Times New Roman" w:eastAsia="Aptos" w:hAnsi="Times New Roman" w:cs="Times New Roman"/>
          <w:sz w:val="24"/>
          <w:szCs w:val="24"/>
        </w:rPr>
      </w:pPr>
    </w:p>
    <w:p w14:paraId="75EF1422" w14:textId="271BDBC5"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Skatte- og Vækstministeriet vurderer, at det skal tydeliggøres i bemærkningerne til § 29, stk. 1,</w:t>
      </w:r>
      <w:r w:rsidR="00A93631" w:rsidRPr="00796736">
        <w:rPr>
          <w:rFonts w:ascii="Times New Roman" w:eastAsia="Aptos" w:hAnsi="Times New Roman" w:cs="Times New Roman"/>
          <w:sz w:val="24"/>
          <w:szCs w:val="24"/>
        </w:rPr>
        <w:t xml:space="preserve"> i lov om spil,</w:t>
      </w:r>
      <w:r w:rsidRPr="00796736">
        <w:rPr>
          <w:rFonts w:ascii="Times New Roman" w:eastAsia="Aptos" w:hAnsi="Times New Roman" w:cs="Times New Roman"/>
          <w:sz w:val="24"/>
          <w:szCs w:val="24"/>
        </w:rPr>
        <w:t xml:space="preserve"> at det er en forudsætning for at opnå og opretholde en tilladelse til udbud af spil, at betingelserne oplistet i artikel 6, stk. 1 og 3, er opfyldte, samt at det skal tydeliggøres i bemærkningerne til § 29, stk. 2,</w:t>
      </w:r>
      <w:r w:rsidR="00A93631" w:rsidRPr="00796736">
        <w:rPr>
          <w:rFonts w:ascii="Times New Roman" w:eastAsia="Aptos" w:hAnsi="Times New Roman" w:cs="Times New Roman"/>
          <w:sz w:val="24"/>
          <w:szCs w:val="24"/>
        </w:rPr>
        <w:t xml:space="preserve"> i lov om spil,</w:t>
      </w:r>
      <w:r w:rsidRPr="00796736">
        <w:rPr>
          <w:rFonts w:ascii="Times New Roman" w:eastAsia="Aptos" w:hAnsi="Times New Roman" w:cs="Times New Roman"/>
          <w:sz w:val="24"/>
          <w:szCs w:val="24"/>
        </w:rPr>
        <w:t xml:space="preserve"> at hæderligheds- og egnethedsvurderingen, der foretages </w:t>
      </w:r>
      <w:r w:rsidR="00A93631" w:rsidRPr="00796736">
        <w:rPr>
          <w:rFonts w:ascii="Times New Roman" w:eastAsia="Aptos" w:hAnsi="Times New Roman" w:cs="Times New Roman"/>
          <w:sz w:val="24"/>
          <w:szCs w:val="24"/>
        </w:rPr>
        <w:t>efter</w:t>
      </w:r>
      <w:r w:rsidRPr="00796736">
        <w:rPr>
          <w:rFonts w:ascii="Times New Roman" w:eastAsia="Aptos" w:hAnsi="Times New Roman" w:cs="Times New Roman"/>
          <w:sz w:val="24"/>
          <w:szCs w:val="24"/>
        </w:rPr>
        <w:t xml:space="preserve"> lov om spil, vil have et overlap med den hæderligheds- og egnethedsvurdering, der foreslås i </w:t>
      </w:r>
      <w:r w:rsidR="00BE72EF" w:rsidRPr="00796736">
        <w:rPr>
          <w:rFonts w:ascii="Times New Roman" w:eastAsia="Aptos" w:hAnsi="Times New Roman" w:cs="Times New Roman"/>
          <w:sz w:val="24"/>
          <w:szCs w:val="24"/>
        </w:rPr>
        <w:fldChar w:fldCharType="begin"/>
      </w:r>
      <w:r w:rsidR="00BE72EF" w:rsidRPr="00796736">
        <w:rPr>
          <w:rFonts w:ascii="Times New Roman" w:eastAsia="Aptos" w:hAnsi="Times New Roman" w:cs="Times New Roman"/>
          <w:sz w:val="24"/>
          <w:szCs w:val="24"/>
        </w:rPr>
        <w:instrText xml:space="preserve"> REF _Ref236641619 \r \h </w:instrText>
      </w:r>
      <w:r w:rsidR="00A47042" w:rsidRPr="00796736">
        <w:rPr>
          <w:rFonts w:ascii="Times New Roman" w:eastAsia="Aptos" w:hAnsi="Times New Roman" w:cs="Times New Roman"/>
          <w:sz w:val="24"/>
          <w:szCs w:val="24"/>
        </w:rPr>
        <w:instrText xml:space="preserve"> \* MERGEFORMAT </w:instrText>
      </w:r>
      <w:r w:rsidR="00BE72EF" w:rsidRPr="00796736">
        <w:rPr>
          <w:rFonts w:ascii="Times New Roman" w:eastAsia="Aptos" w:hAnsi="Times New Roman" w:cs="Times New Roman"/>
          <w:sz w:val="24"/>
          <w:szCs w:val="24"/>
        </w:rPr>
      </w:r>
      <w:r w:rsidR="00BE72EF" w:rsidRPr="00796736">
        <w:rPr>
          <w:rFonts w:ascii="Times New Roman" w:eastAsia="Aptos" w:hAnsi="Times New Roman" w:cs="Times New Roman"/>
          <w:sz w:val="24"/>
          <w:szCs w:val="24"/>
        </w:rPr>
        <w:fldChar w:fldCharType="separate"/>
      </w:r>
      <w:r w:rsidR="008F29E5">
        <w:rPr>
          <w:rFonts w:ascii="Times New Roman" w:eastAsia="Aptos" w:hAnsi="Times New Roman" w:cs="Times New Roman"/>
          <w:sz w:val="24"/>
          <w:szCs w:val="24"/>
        </w:rPr>
        <w:t>§ 115</w:t>
      </w:r>
      <w:r w:rsidR="00BE72EF" w:rsidRPr="00796736">
        <w:rPr>
          <w:rFonts w:ascii="Times New Roman" w:eastAsia="Aptos" w:hAnsi="Times New Roman" w:cs="Times New Roman"/>
          <w:sz w:val="24"/>
          <w:szCs w:val="24"/>
        </w:rPr>
        <w:fldChar w:fldCharType="end"/>
      </w:r>
      <w:r w:rsidRPr="00796736">
        <w:rPr>
          <w:rFonts w:ascii="Times New Roman" w:eastAsia="Aptos" w:hAnsi="Times New Roman" w:cs="Times New Roman"/>
          <w:sz w:val="24"/>
          <w:szCs w:val="24"/>
        </w:rPr>
        <w:t xml:space="preserve">, stk. 1, nr. 1 og 2. Der henvises til de almindelige bemærkninger til </w:t>
      </w:r>
      <w:r w:rsidR="00922AA1" w:rsidRPr="00796736">
        <w:rPr>
          <w:rFonts w:ascii="Times New Roman" w:eastAsia="Aptos" w:hAnsi="Times New Roman" w:cs="Times New Roman"/>
          <w:sz w:val="24"/>
          <w:szCs w:val="24"/>
        </w:rPr>
        <w:t>pkt.</w:t>
      </w:r>
      <w:r w:rsidRPr="00796736">
        <w:rPr>
          <w:rFonts w:ascii="Times New Roman" w:eastAsia="Aptos" w:hAnsi="Times New Roman" w:cs="Times New Roman"/>
          <w:sz w:val="24"/>
          <w:szCs w:val="24"/>
        </w:rPr>
        <w:t xml:space="preserve"> </w:t>
      </w:r>
      <w:r w:rsidR="00BE72EF" w:rsidRPr="00796736">
        <w:rPr>
          <w:rFonts w:ascii="Times New Roman" w:eastAsia="Aptos" w:hAnsi="Times New Roman" w:cs="Times New Roman"/>
          <w:sz w:val="24"/>
          <w:szCs w:val="24"/>
        </w:rPr>
        <w:fldChar w:fldCharType="begin"/>
      </w:r>
      <w:r w:rsidR="00BE72EF" w:rsidRPr="00796736">
        <w:rPr>
          <w:rFonts w:ascii="Times New Roman" w:eastAsia="Aptos" w:hAnsi="Times New Roman" w:cs="Times New Roman"/>
          <w:sz w:val="24"/>
          <w:szCs w:val="24"/>
        </w:rPr>
        <w:instrText xml:space="preserve"> REF _Ref236641701 \n \h </w:instrText>
      </w:r>
      <w:r w:rsidR="00A47042" w:rsidRPr="00796736">
        <w:rPr>
          <w:rFonts w:ascii="Times New Roman" w:eastAsia="Aptos" w:hAnsi="Times New Roman" w:cs="Times New Roman"/>
          <w:sz w:val="24"/>
          <w:szCs w:val="24"/>
        </w:rPr>
        <w:instrText xml:space="preserve"> \* MERGEFORMAT </w:instrText>
      </w:r>
      <w:r w:rsidR="00BE72EF" w:rsidRPr="00796736">
        <w:rPr>
          <w:rFonts w:ascii="Times New Roman" w:eastAsia="Aptos" w:hAnsi="Times New Roman" w:cs="Times New Roman"/>
          <w:sz w:val="24"/>
          <w:szCs w:val="24"/>
        </w:rPr>
      </w:r>
      <w:r w:rsidR="00BE72EF" w:rsidRPr="00796736">
        <w:rPr>
          <w:rFonts w:ascii="Times New Roman" w:eastAsia="Aptos" w:hAnsi="Times New Roman" w:cs="Times New Roman"/>
          <w:sz w:val="24"/>
          <w:szCs w:val="24"/>
        </w:rPr>
        <w:fldChar w:fldCharType="separate"/>
      </w:r>
      <w:r w:rsidR="008F29E5">
        <w:rPr>
          <w:rFonts w:ascii="Times New Roman" w:eastAsia="Aptos" w:hAnsi="Times New Roman" w:cs="Times New Roman"/>
          <w:sz w:val="24"/>
          <w:szCs w:val="24"/>
        </w:rPr>
        <w:t>3.93</w:t>
      </w:r>
      <w:r w:rsidR="00BE72EF" w:rsidRPr="00796736">
        <w:rPr>
          <w:rFonts w:ascii="Times New Roman" w:eastAsia="Aptos" w:hAnsi="Times New Roman" w:cs="Times New Roman"/>
          <w:sz w:val="24"/>
          <w:szCs w:val="24"/>
        </w:rPr>
        <w:fldChar w:fldCharType="end"/>
      </w:r>
      <w:r w:rsidR="00BE72EF" w:rsidRPr="00796736">
        <w:rPr>
          <w:rFonts w:ascii="Times New Roman" w:eastAsia="Aptos" w:hAnsi="Times New Roman" w:cs="Times New Roman"/>
          <w:sz w:val="24"/>
          <w:szCs w:val="24"/>
        </w:rPr>
        <w:t>.</w:t>
      </w:r>
    </w:p>
    <w:p w14:paraId="6FE460BF" w14:textId="77777777" w:rsidR="001961AE" w:rsidRPr="00796736" w:rsidRDefault="001961AE" w:rsidP="00A802A5">
      <w:pPr>
        <w:spacing w:line="360" w:lineRule="auto"/>
        <w:rPr>
          <w:rFonts w:ascii="Times New Roman" w:eastAsia="Times New Roman" w:hAnsi="Times New Roman" w:cs="Times New Roman"/>
          <w:sz w:val="24"/>
          <w:szCs w:val="24"/>
        </w:rPr>
      </w:pPr>
    </w:p>
    <w:p w14:paraId="27607E18" w14:textId="48E714EA"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overensstemmelse med 6. hvidvaskdirektiv, at et medlem af den øverste ledelse hos udbydere af spil, som er nævnt i § 2, nr. </w:t>
      </w:r>
      <w:r w:rsidR="00552C8F" w:rsidRPr="00796736">
        <w:rPr>
          <w:rFonts w:ascii="Times New Roman" w:eastAsia="Times New Roman" w:hAnsi="Times New Roman" w:cs="Times New Roman"/>
          <w:sz w:val="24"/>
          <w:szCs w:val="24"/>
        </w:rPr>
        <w:t>30</w:t>
      </w:r>
      <w:r w:rsidRPr="00796736">
        <w:rPr>
          <w:rFonts w:ascii="Times New Roman" w:eastAsia="Times New Roman" w:hAnsi="Times New Roman" w:cs="Times New Roman"/>
          <w:sz w:val="24"/>
          <w:szCs w:val="24"/>
        </w:rPr>
        <w:t xml:space="preserve">, skal have et godt omdømme og handle med hæderlighed og integritet, og skal besidde den viden og ekspertise, der er nødvendig for, at medlemmet kan udføre sine opgaver. Reelle ejere skal tilsvarende have et godt omdømme og handle med hæderlighed og integritet. Det foreslås, at denne hæderlighedsvurdering af den øverste ledelse og reelle ejere skal være opfyldt, forinden der kan udstedes en tilladelse til udbud af spil i medfør af lov om spil, og at kravene om hæderlighed mv. </w:t>
      </w:r>
      <w:r w:rsidR="00A93631" w:rsidRPr="00796736">
        <w:rPr>
          <w:rFonts w:ascii="Times New Roman" w:eastAsia="Times New Roman" w:hAnsi="Times New Roman" w:cs="Times New Roman"/>
          <w:sz w:val="24"/>
          <w:szCs w:val="24"/>
        </w:rPr>
        <w:t xml:space="preserve">skal </w:t>
      </w:r>
      <w:r w:rsidRPr="00796736">
        <w:rPr>
          <w:rFonts w:ascii="Times New Roman" w:eastAsia="Times New Roman" w:hAnsi="Times New Roman" w:cs="Times New Roman"/>
          <w:sz w:val="24"/>
          <w:szCs w:val="24"/>
        </w:rPr>
        <w:t xml:space="preserve">opretholdes i hele tilladelsesperioden. Endelig foreslås det i samme bestemmelses stk. 4, at enhver ændring af de oplysninger, der er lagt til grund for opfyldelse af betingelserne om hæderlighed mv., skal meddeles Spillemyndigheden senest </w:t>
      </w:r>
      <w:r w:rsidR="00A93631" w:rsidRPr="00796736">
        <w:rPr>
          <w:rFonts w:ascii="Times New Roman" w:eastAsia="Times New Roman" w:hAnsi="Times New Roman" w:cs="Times New Roman"/>
          <w:sz w:val="24"/>
          <w:szCs w:val="24"/>
        </w:rPr>
        <w:t>2</w:t>
      </w:r>
      <w:r w:rsidRPr="00796736">
        <w:rPr>
          <w:rFonts w:ascii="Times New Roman" w:eastAsia="Times New Roman" w:hAnsi="Times New Roman" w:cs="Times New Roman"/>
          <w:sz w:val="24"/>
          <w:szCs w:val="24"/>
        </w:rPr>
        <w:t xml:space="preserve"> uger efter ændringen.</w:t>
      </w:r>
    </w:p>
    <w:p w14:paraId="3BD21830" w14:textId="77777777" w:rsidR="001961AE" w:rsidRPr="00796736" w:rsidRDefault="001961AE" w:rsidP="00A802A5">
      <w:pPr>
        <w:spacing w:line="360" w:lineRule="auto"/>
        <w:rPr>
          <w:rFonts w:ascii="Times New Roman" w:eastAsia="Aptos" w:hAnsi="Times New Roman" w:cs="Times New Roman"/>
          <w:sz w:val="24"/>
          <w:szCs w:val="24"/>
        </w:rPr>
      </w:pPr>
    </w:p>
    <w:p w14:paraId="0FBCE05D" w14:textId="6DE3E08E" w:rsidR="001961AE" w:rsidRPr="00714BC3"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For nærmere henvises til lovforslagets </w:t>
      </w:r>
      <w:r w:rsidR="00BE72EF" w:rsidRPr="00796736">
        <w:rPr>
          <w:rFonts w:ascii="Times New Roman" w:eastAsia="Aptos" w:hAnsi="Times New Roman" w:cs="Times New Roman"/>
          <w:sz w:val="24"/>
          <w:szCs w:val="24"/>
        </w:rPr>
        <w:fldChar w:fldCharType="begin"/>
      </w:r>
      <w:r w:rsidR="00BE72EF" w:rsidRPr="00796736">
        <w:rPr>
          <w:rFonts w:ascii="Times New Roman" w:eastAsia="Aptos" w:hAnsi="Times New Roman" w:cs="Times New Roman"/>
          <w:sz w:val="24"/>
          <w:szCs w:val="24"/>
        </w:rPr>
        <w:instrText xml:space="preserve"> REF _Ref236641619 \r \h </w:instrText>
      </w:r>
      <w:r w:rsidR="00A47042" w:rsidRPr="00796736">
        <w:rPr>
          <w:rFonts w:ascii="Times New Roman" w:eastAsia="Aptos" w:hAnsi="Times New Roman" w:cs="Times New Roman"/>
          <w:sz w:val="24"/>
          <w:szCs w:val="24"/>
        </w:rPr>
        <w:instrText xml:space="preserve"> \* MERGEFORMAT </w:instrText>
      </w:r>
      <w:r w:rsidR="00BE72EF" w:rsidRPr="00796736">
        <w:rPr>
          <w:rFonts w:ascii="Times New Roman" w:eastAsia="Aptos" w:hAnsi="Times New Roman" w:cs="Times New Roman"/>
          <w:sz w:val="24"/>
          <w:szCs w:val="24"/>
        </w:rPr>
      </w:r>
      <w:r w:rsidR="00BE72EF" w:rsidRPr="00796736">
        <w:rPr>
          <w:rFonts w:ascii="Times New Roman" w:eastAsia="Aptos" w:hAnsi="Times New Roman" w:cs="Times New Roman"/>
          <w:sz w:val="24"/>
          <w:szCs w:val="24"/>
        </w:rPr>
        <w:fldChar w:fldCharType="separate"/>
      </w:r>
      <w:r w:rsidR="008F29E5">
        <w:rPr>
          <w:rFonts w:ascii="Times New Roman" w:eastAsia="Aptos" w:hAnsi="Times New Roman" w:cs="Times New Roman"/>
          <w:sz w:val="24"/>
          <w:szCs w:val="24"/>
        </w:rPr>
        <w:t>§ 115</w:t>
      </w:r>
      <w:r w:rsidR="00BE72EF" w:rsidRPr="00796736">
        <w:rPr>
          <w:rFonts w:ascii="Times New Roman" w:eastAsia="Aptos" w:hAnsi="Times New Roman" w:cs="Times New Roman"/>
          <w:sz w:val="24"/>
          <w:szCs w:val="24"/>
        </w:rPr>
        <w:fldChar w:fldCharType="end"/>
      </w:r>
      <w:r w:rsidR="00BE72EF" w:rsidRPr="00796736">
        <w:rPr>
          <w:rFonts w:ascii="Times New Roman" w:eastAsia="Aptos" w:hAnsi="Times New Roman" w:cs="Times New Roman"/>
          <w:sz w:val="24"/>
          <w:szCs w:val="24"/>
        </w:rPr>
        <w:t xml:space="preserve"> </w:t>
      </w:r>
      <w:r w:rsidRPr="00796736">
        <w:rPr>
          <w:rFonts w:ascii="Times New Roman" w:eastAsia="Times New Roman" w:hAnsi="Times New Roman" w:cs="Times New Roman"/>
          <w:sz w:val="24"/>
          <w:szCs w:val="24"/>
        </w:rPr>
        <w:t>og bemærkningerne hertil.</w:t>
      </w:r>
    </w:p>
    <w:p w14:paraId="78C7CCFC" w14:textId="77777777" w:rsidR="001961AE" w:rsidRPr="00796736" w:rsidRDefault="001961AE" w:rsidP="00A802A5">
      <w:pPr>
        <w:spacing w:line="360" w:lineRule="auto"/>
        <w:rPr>
          <w:rFonts w:ascii="Times New Roman" w:eastAsia="Aptos" w:hAnsi="Times New Roman" w:cs="Times New Roman"/>
          <w:sz w:val="24"/>
          <w:szCs w:val="24"/>
        </w:rPr>
      </w:pPr>
    </w:p>
    <w:p w14:paraId="6A6615EE" w14:textId="461071C3" w:rsidR="001961AE" w:rsidRPr="00796736" w:rsidRDefault="00922AA1" w:rsidP="00A802A5">
      <w:pPr>
        <w:pStyle w:val="Overskrift2"/>
        <w:rPr>
          <w:rFonts w:ascii="Times New Roman" w:hAnsi="Times New Roman"/>
          <w:sz w:val="24"/>
        </w:rPr>
      </w:pPr>
      <w:bookmarkStart w:id="1489" w:name="_Toc244880794"/>
      <w:r w:rsidRPr="00796736">
        <w:rPr>
          <w:rFonts w:ascii="Times New Roman" w:hAnsi="Times New Roman"/>
          <w:sz w:val="24"/>
        </w:rPr>
        <w:t>Indhentning af oplysninger til brug for Spillemyndighedens tilsyn</w:t>
      </w:r>
      <w:bookmarkEnd w:id="1489"/>
    </w:p>
    <w:p w14:paraId="696438EE"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6334FF70" w14:textId="77777777"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Tilsynet med de personer og virksomheder, der er omfattet af hvidvaskloven, er delt mellem Erhvervsstyrelsen, Finanstilsynet, Spillemyndigheden og Advokatrådet. De enkelte tilsynsmyndigheders tilsynskompetence fremgår af hvidvasklovens kapitel 11.</w:t>
      </w:r>
    </w:p>
    <w:p w14:paraId="0338575D" w14:textId="77777777" w:rsidR="001961AE" w:rsidRPr="00796736" w:rsidRDefault="001961AE" w:rsidP="00A802A5">
      <w:pPr>
        <w:spacing w:line="360" w:lineRule="auto"/>
        <w:rPr>
          <w:rFonts w:ascii="Times New Roman" w:eastAsia="Aptos" w:hAnsi="Times New Roman" w:cs="Times New Roman"/>
          <w:sz w:val="24"/>
          <w:szCs w:val="24"/>
        </w:rPr>
      </w:pPr>
    </w:p>
    <w:p w14:paraId="237C3EF0" w14:textId="77777777" w:rsidR="001961AE" w:rsidRPr="00796736" w:rsidRDefault="001961AE" w:rsidP="00A802A5">
      <w:pPr>
        <w:spacing w:line="360" w:lineRule="auto"/>
        <w:rPr>
          <w:rFonts w:ascii="Times New Roman" w:eastAsia="Times New Roman" w:hAnsi="Times New Roman" w:cs="Times New Roman"/>
          <w:bCs/>
          <w:sz w:val="24"/>
          <w:szCs w:val="24"/>
        </w:rPr>
      </w:pPr>
      <w:r w:rsidRPr="00796736">
        <w:rPr>
          <w:rFonts w:ascii="Times New Roman" w:eastAsia="Times New Roman" w:hAnsi="Times New Roman" w:cs="Times New Roman"/>
          <w:bCs/>
          <w:sz w:val="24"/>
          <w:szCs w:val="24"/>
        </w:rPr>
        <w:t>Det fremgår af hvidvasklovens § 65, stk. 1, at Spillemyndigheden påser, at udbydere af spil omfattet af hvidvasklovens § 1, stk. 1, nr. 19, og filialer, distributører og agenter her i landet af sådanne udenlandske virksomheder og personer overholder hvidvaskloven, de regler, der er udstedt i medfør heraf, og love og forordninger indeholdende regler om finansielle sanktioner mod lande, personer, grupper, juridiske enheder eller organer. Spillemyndigheden påser dog ikke overholdelse af hvidvasklovens § 36.</w:t>
      </w:r>
    </w:p>
    <w:p w14:paraId="708740D9" w14:textId="77777777" w:rsidR="001961AE" w:rsidRPr="00796736" w:rsidRDefault="001961AE" w:rsidP="00A802A5">
      <w:pPr>
        <w:spacing w:line="360" w:lineRule="auto"/>
        <w:rPr>
          <w:rFonts w:ascii="Times New Roman" w:eastAsia="Times New Roman" w:hAnsi="Times New Roman" w:cs="Times New Roman"/>
          <w:bCs/>
          <w:sz w:val="24"/>
          <w:szCs w:val="24"/>
        </w:rPr>
      </w:pPr>
    </w:p>
    <w:p w14:paraId="0FCFB680" w14:textId="77777777" w:rsidR="001961AE" w:rsidRPr="00796736" w:rsidRDefault="001961AE" w:rsidP="00A802A5">
      <w:pPr>
        <w:spacing w:line="360" w:lineRule="auto"/>
        <w:rPr>
          <w:rFonts w:ascii="Times New Roman" w:eastAsia="Times New Roman" w:hAnsi="Times New Roman" w:cs="Times New Roman"/>
          <w:bCs/>
          <w:sz w:val="24"/>
          <w:szCs w:val="24"/>
        </w:rPr>
      </w:pPr>
      <w:r w:rsidRPr="00796736">
        <w:rPr>
          <w:rFonts w:ascii="Times New Roman" w:eastAsia="Times New Roman" w:hAnsi="Times New Roman" w:cs="Times New Roman"/>
          <w:bCs/>
          <w:sz w:val="24"/>
          <w:szCs w:val="24"/>
        </w:rPr>
        <w:t xml:space="preserve">Det fremgår af hvidvasklovens § 65, stk. 2, at udbydere af spil skal give Spillemyndigheden de oplysninger, der er nødvendige for myndighedens virksomhed. </w:t>
      </w:r>
    </w:p>
    <w:p w14:paraId="2E99151B" w14:textId="77777777" w:rsidR="001961AE" w:rsidRPr="00796736" w:rsidRDefault="001961AE" w:rsidP="00A802A5">
      <w:pPr>
        <w:spacing w:line="360" w:lineRule="auto"/>
        <w:rPr>
          <w:rFonts w:ascii="Times New Roman" w:eastAsia="Times New Roman" w:hAnsi="Times New Roman" w:cs="Times New Roman"/>
          <w:sz w:val="24"/>
          <w:szCs w:val="24"/>
        </w:rPr>
      </w:pPr>
    </w:p>
    <w:p w14:paraId="41CB8706"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65, stk. 3, at Spillemyndigheden til enhver tid mod behørig legitimation uden retskendelse kan få adgang til udbydere af spil med henblik på at indhente oplysninger, herunder ved inspektioner.</w:t>
      </w:r>
    </w:p>
    <w:p w14:paraId="3807BF55"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 </w:t>
      </w:r>
    </w:p>
    <w:p w14:paraId="1C43E4AA"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hvidvasklovens § 65, stk. 4, at udbydere af spil skal give Spillemyndigheden adgang til deres spilsystem ved hjælp af fjernadgang eller lignende, hvis spilsystemet ikke er placeret her i landet. </w:t>
      </w:r>
    </w:p>
    <w:p w14:paraId="0733A45C" w14:textId="77777777" w:rsidR="001961AE" w:rsidRPr="00796736" w:rsidRDefault="001961AE" w:rsidP="00A802A5">
      <w:pPr>
        <w:spacing w:line="360" w:lineRule="auto"/>
        <w:rPr>
          <w:rFonts w:ascii="Times New Roman" w:hAnsi="Times New Roman" w:cs="Times New Roman"/>
          <w:sz w:val="24"/>
          <w:szCs w:val="24"/>
        </w:rPr>
      </w:pPr>
    </w:p>
    <w:p w14:paraId="44E8EAC3"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 xml:space="preserve">6. hvidvaskdirektiv </w:t>
      </w:r>
    </w:p>
    <w:p w14:paraId="28D3837C" w14:textId="76B65A41"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37, stk. 1, </w:t>
      </w:r>
      <w:r w:rsidR="00A93631" w:rsidRPr="00796736">
        <w:rPr>
          <w:rFonts w:ascii="Times New Roman" w:eastAsia="Times New Roman" w:hAnsi="Times New Roman" w:cs="Times New Roman"/>
          <w:sz w:val="24"/>
          <w:szCs w:val="24"/>
        </w:rPr>
        <w:t>1.</w:t>
      </w:r>
      <w:r w:rsidRPr="00796736">
        <w:rPr>
          <w:rFonts w:ascii="Times New Roman" w:eastAsia="Times New Roman" w:hAnsi="Times New Roman" w:cs="Times New Roman"/>
          <w:sz w:val="24"/>
          <w:szCs w:val="24"/>
        </w:rPr>
        <w:t xml:space="preserve"> afsnit, i 6. hvidvaskdirektiv, at medlemsstaterne skal sikre, at alle forpligtede enheder, der er etableret på dens område, er underlagt fyldestgørende og effektivt tilsyn. Med henblik herpå udpeger hver medlemsstat et eller flere tilsynsorganer til effektivt at overvåge og til at træffe de nødvendige foranstaltninger for at sikre, at de forpligtede enheder opfylder hvidvaskforordningen. </w:t>
      </w:r>
    </w:p>
    <w:p w14:paraId="102A247F" w14:textId="77777777" w:rsidR="001961AE" w:rsidRPr="00796736" w:rsidRDefault="001961AE" w:rsidP="00A802A5">
      <w:pPr>
        <w:spacing w:line="360" w:lineRule="auto"/>
        <w:rPr>
          <w:rFonts w:ascii="Times New Roman" w:eastAsia="Times New Roman" w:hAnsi="Times New Roman" w:cs="Times New Roman"/>
          <w:sz w:val="24"/>
          <w:szCs w:val="24"/>
        </w:rPr>
      </w:pPr>
    </w:p>
    <w:p w14:paraId="3BC6DDED" w14:textId="6EAD5B01"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37, stk. 6, i 6. hvidvaskdirektiv, at medlemsstaterne skal sikre, at tilsynsorganerne har tilstrækkelige beføjelser til at udføre deres opgave i henhold til stk. 5, herunder beføjelse til at kræve fremlæggelse af alle oplysninger fra forpligtede enheder, som er relevante for overvågning og kontrol af overholdelse af hvidvaskforordningen</w:t>
      </w:r>
      <w:r w:rsidR="00A93631" w:rsidRPr="00796736">
        <w:rPr>
          <w:rFonts w:ascii="Times New Roman" w:eastAsia="Times New Roman" w:hAnsi="Times New Roman" w:cs="Times New Roman"/>
          <w:sz w:val="24"/>
          <w:szCs w:val="24"/>
        </w:rPr>
        <w:t xml:space="preserve"> eller forordning (EU) 2023/1113</w:t>
      </w:r>
      <w:r w:rsidRPr="00796736">
        <w:rPr>
          <w:rFonts w:ascii="Times New Roman" w:eastAsia="Times New Roman" w:hAnsi="Times New Roman" w:cs="Times New Roman"/>
          <w:sz w:val="24"/>
          <w:szCs w:val="24"/>
        </w:rPr>
        <w:t>, og til at gennemføre kontroller, herunder fra tjenesteudbydere, som forpligtede enheder har outsourcet en del af deres opgaver til for at opfylde kravene i de nævnte forordninger. Tilsynsorganerne skal ligeledes have beføjelse til at anvende passende og forholdsmæssige administrative foranstaltninger for at afhjælpe situationen i tilfælde af overtrædelser, herunder ved at pålægge bøder i overensstemmelse med dette kapitels afdeling 4.</w:t>
      </w:r>
    </w:p>
    <w:p w14:paraId="573C9301" w14:textId="77777777" w:rsidR="001961AE" w:rsidRPr="00796736" w:rsidRDefault="001961AE" w:rsidP="00A802A5">
      <w:pPr>
        <w:spacing w:line="360" w:lineRule="auto"/>
        <w:rPr>
          <w:rFonts w:ascii="Times New Roman" w:eastAsia="Times New Roman" w:hAnsi="Times New Roman" w:cs="Times New Roman"/>
          <w:sz w:val="24"/>
          <w:szCs w:val="24"/>
        </w:rPr>
      </w:pPr>
    </w:p>
    <w:p w14:paraId="49E07942"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37, stk. 7, i 6. hvidvaskdirektiv, at medlemsstaterne skal sikre, at tilsynsmyndigheder med ansvar for udbydere af spiltjenester har beføjelser ud over dem, der er omhandlet i stk. 6, herunder beføjelse til at kontrollere den forpligtede enheds forretningslokaler uden forudgående varsel, hvis det er nødvendigt for at udføre et kontrolbesøg korrekt og effektivt, og at de har de nødvendige midler til at foretage en sådan kontrol.</w:t>
      </w:r>
    </w:p>
    <w:p w14:paraId="4398C865" w14:textId="77777777" w:rsidR="001961AE" w:rsidRPr="00796736" w:rsidRDefault="001961AE" w:rsidP="00A802A5">
      <w:pPr>
        <w:spacing w:line="360" w:lineRule="auto"/>
        <w:rPr>
          <w:rFonts w:ascii="Times New Roman" w:eastAsia="Times New Roman" w:hAnsi="Times New Roman" w:cs="Times New Roman"/>
          <w:sz w:val="24"/>
          <w:szCs w:val="24"/>
        </w:rPr>
      </w:pPr>
    </w:p>
    <w:p w14:paraId="574CA85A"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Tilsynsmyndigheder skal i den forbindelse som minimum kunne undersøge regnskaber og registre tilhørende disse forpligtede enheder og tage kopier og uddrag af sådanne regnskaber og registre. Tilsynsmyndigheder skal endvidere kunne få adgang til software, databaser, IT-værktøjer eller andre elektroniske midler til registrering af oplysninger, der anvendes af den forpligtede enhed.  Tilsynsmyndighederne skal endeligt kunne indhente skriftlige eller mundtlige oplysninger fra enhver person, der er ansvarlig for de interne politikker, procedurer og kontroller for bekæmpelse af hvidvask af penge og finansiering af terrorisme, eller deres repræsentanter eller personale, samt fra repræsentanter for eller personale i enheder, som den forpligtede enhed har outsourcet opgaver til i henhold til hvidvaskforordningens artikel 18, og udspørge enhver anden person, der samtykker heri, med det formål at indhente oplysninger om genstanden for en efterforskning.</w:t>
      </w:r>
    </w:p>
    <w:p w14:paraId="1343BDC2" w14:textId="77777777" w:rsidR="001961AE" w:rsidRPr="00796736" w:rsidRDefault="001961AE" w:rsidP="00A802A5">
      <w:pPr>
        <w:spacing w:line="360" w:lineRule="auto"/>
        <w:rPr>
          <w:rFonts w:ascii="Times New Roman" w:hAnsi="Times New Roman" w:cs="Times New Roman"/>
          <w:sz w:val="24"/>
          <w:szCs w:val="24"/>
        </w:rPr>
      </w:pPr>
    </w:p>
    <w:p w14:paraId="36830EAF"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386FA659" w14:textId="463AC6DF"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Af hensyn til at sikre, at Spillemyndigheden kan føre et effektivt og fyldestgørende tilsyn med de omfattede virksomheder og personers efterlevelse af hvidvaskforordningen og</w:t>
      </w:r>
      <w:r w:rsidR="00DE4A3D" w:rsidRPr="00796736">
        <w:rPr>
          <w:rFonts w:ascii="Times New Roman" w:eastAsia="Times New Roman" w:hAnsi="Times New Roman" w:cs="Times New Roman"/>
          <w:sz w:val="24"/>
          <w:szCs w:val="24"/>
        </w:rPr>
        <w:t xml:space="preserve"> den foreslåede lov</w:t>
      </w:r>
      <w:r w:rsidRPr="00796736">
        <w:rPr>
          <w:rFonts w:ascii="Times New Roman" w:eastAsia="Times New Roman" w:hAnsi="Times New Roman" w:cs="Times New Roman"/>
          <w:sz w:val="24"/>
          <w:szCs w:val="24"/>
        </w:rPr>
        <w:t>, er det nødvendigt, at Spillemyndigheden fortsat kan kræve at få udleveret de nødvendige oplysninger og dokumentation fra de forpligtede enheder og foretage tilsynsbesøg uden forudgående retskendelse eller varsling, hvis formålet tilsiger det.</w:t>
      </w:r>
    </w:p>
    <w:p w14:paraId="2E4D740F" w14:textId="77777777" w:rsidR="00922AA1" w:rsidRPr="00796736" w:rsidRDefault="00922AA1" w:rsidP="00A802A5">
      <w:pPr>
        <w:spacing w:line="360" w:lineRule="auto"/>
        <w:rPr>
          <w:rFonts w:ascii="Times New Roman" w:eastAsia="Times New Roman" w:hAnsi="Times New Roman" w:cs="Times New Roman"/>
          <w:sz w:val="24"/>
          <w:szCs w:val="24"/>
        </w:rPr>
      </w:pPr>
    </w:p>
    <w:p w14:paraId="6C6A211D" w14:textId="7777777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Vækstministeriet har som følge af 6. hvidvaskdirektiv vurderet, at bestemmelsen om adgang til oplysninger også skal omfatte leverandører og underleverandører til de forpligtede enheder. Der er tale om en udvidelse af adgangen i forhold til de gældende regler, hvor bestemmelsen kun omfatter den forpligtede enhed. </w:t>
      </w:r>
    </w:p>
    <w:p w14:paraId="3E85422E" w14:textId="77777777" w:rsidR="00922AA1" w:rsidRPr="00796736" w:rsidRDefault="00922AA1" w:rsidP="00A802A5">
      <w:pPr>
        <w:spacing w:line="360" w:lineRule="auto"/>
        <w:rPr>
          <w:rFonts w:ascii="Times New Roman" w:eastAsia="Aptos" w:hAnsi="Times New Roman" w:cs="Times New Roman"/>
          <w:sz w:val="24"/>
          <w:szCs w:val="24"/>
        </w:rPr>
      </w:pPr>
    </w:p>
    <w:p w14:paraId="1948C73D" w14:textId="188ECDAD" w:rsidR="00922AA1" w:rsidRPr="00796736" w:rsidRDefault="00922AA1" w:rsidP="00A802A5">
      <w:pPr>
        <w:spacing w:line="360" w:lineRule="auto"/>
        <w:rPr>
          <w:rFonts w:ascii="Times New Roman" w:hAnsi="Times New Roman" w:cs="Times New Roman"/>
          <w:sz w:val="24"/>
          <w:szCs w:val="24"/>
        </w:rPr>
      </w:pPr>
      <w:r w:rsidRPr="00796736">
        <w:rPr>
          <w:rFonts w:ascii="Times New Roman" w:eastAsia="Aptos" w:hAnsi="Times New Roman" w:cs="Times New Roman"/>
          <w:sz w:val="24"/>
          <w:szCs w:val="24"/>
        </w:rPr>
        <w:t xml:space="preserve">Skatte- og Vækstministeriet har endvidere </w:t>
      </w:r>
      <w:r w:rsidRPr="00796736">
        <w:rPr>
          <w:rFonts w:ascii="Times New Roman" w:eastAsia="Times New Roman" w:hAnsi="Times New Roman" w:cs="Times New Roman"/>
          <w:sz w:val="24"/>
          <w:szCs w:val="24"/>
        </w:rPr>
        <w:t>som følge af 6. hvidvaskdirektiv vurderet</w:t>
      </w:r>
      <w:r w:rsidRPr="00796736">
        <w:rPr>
          <w:rFonts w:ascii="Times New Roman" w:eastAsia="Aptos" w:hAnsi="Times New Roman" w:cs="Times New Roman"/>
          <w:sz w:val="24"/>
          <w:szCs w:val="24"/>
        </w:rPr>
        <w:t xml:space="preserve">, at adgang uden retskendelse kun </w:t>
      </w:r>
      <w:r w:rsidR="00DE4A3D" w:rsidRPr="00796736">
        <w:rPr>
          <w:rFonts w:ascii="Times New Roman" w:eastAsia="Aptos" w:hAnsi="Times New Roman" w:cs="Times New Roman"/>
          <w:sz w:val="24"/>
          <w:szCs w:val="24"/>
        </w:rPr>
        <w:t>vil skulle</w:t>
      </w:r>
      <w:r w:rsidRPr="00796736">
        <w:rPr>
          <w:rFonts w:ascii="Times New Roman" w:eastAsia="Aptos" w:hAnsi="Times New Roman" w:cs="Times New Roman"/>
          <w:sz w:val="24"/>
          <w:szCs w:val="24"/>
        </w:rPr>
        <w:t xml:space="preserve"> omfatte udbydere af spil, og således ikke disses leverandører og underleverandører eller ikkefinansielle holdingselskaber med blandet aktivitet. Dette skyldes, at der i 6. hvidvaskdirektiv specifikt er taget stilling til, at der skal være yderligere beføjelser i relation til udbydere af spil. </w:t>
      </w:r>
    </w:p>
    <w:p w14:paraId="1810318D" w14:textId="77777777" w:rsidR="00922AA1" w:rsidRPr="00796736" w:rsidRDefault="00922AA1" w:rsidP="00A802A5">
      <w:pPr>
        <w:spacing w:line="360" w:lineRule="auto"/>
        <w:rPr>
          <w:rFonts w:ascii="Times New Roman" w:eastAsia="Aptos" w:hAnsi="Times New Roman" w:cs="Times New Roman"/>
          <w:sz w:val="24"/>
          <w:szCs w:val="24"/>
        </w:rPr>
      </w:pPr>
    </w:p>
    <w:p w14:paraId="40499F27" w14:textId="7777777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derfor at videreføre gældende ret, dog med de ændringer, der er påkrævet for at implementere 6. hvidvaskdirektivs artikel 37, stk. 6 og 7. </w:t>
      </w:r>
    </w:p>
    <w:p w14:paraId="5E657282" w14:textId="77777777" w:rsidR="001961AE" w:rsidRPr="00796736" w:rsidRDefault="001961AE" w:rsidP="00A802A5">
      <w:pPr>
        <w:spacing w:line="360" w:lineRule="auto"/>
        <w:rPr>
          <w:rFonts w:ascii="Times New Roman" w:eastAsia="Times New Roman" w:hAnsi="Times New Roman" w:cs="Times New Roman"/>
          <w:sz w:val="24"/>
          <w:szCs w:val="24"/>
        </w:rPr>
      </w:pPr>
    </w:p>
    <w:p w14:paraId="74E6D371" w14:textId="067FD63B"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vil fortsat være udgangspunktet, at et tilsynsbesøg skal varsles på forhånd, i det omfang det er muligt. Spillemyndighedens anvendelse af adgangen til uvarslet tilsyn</w:t>
      </w:r>
      <w:r w:rsidR="00DE4A3D"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forudsætte, at formålet med tilsynsbesøget ellers ville gå tabt. Det kan f.eks. være ved risiko for, at ny dokumentation kunne fabrikeres eller belastende dokumentation kunne bortskaffes inden Spillemyndighedens tilsynsbesøg.</w:t>
      </w:r>
    </w:p>
    <w:p w14:paraId="564A9DAC" w14:textId="77777777" w:rsidR="001961AE" w:rsidRPr="00796736" w:rsidRDefault="001961AE" w:rsidP="00A802A5">
      <w:pPr>
        <w:spacing w:line="360" w:lineRule="auto"/>
        <w:rPr>
          <w:rFonts w:ascii="Times New Roman" w:eastAsia="Times New Roman" w:hAnsi="Times New Roman" w:cs="Times New Roman"/>
          <w:sz w:val="24"/>
          <w:szCs w:val="24"/>
        </w:rPr>
      </w:pPr>
    </w:p>
    <w:p w14:paraId="34458758" w14:textId="2EFB5E95"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henvises til lovforslagets</w:t>
      </w:r>
      <w:r w:rsidR="00BE72EF" w:rsidRPr="00796736">
        <w:rPr>
          <w:rFonts w:ascii="Times New Roman" w:eastAsia="Times New Roman" w:hAnsi="Times New Roman" w:cs="Times New Roman"/>
          <w:sz w:val="24"/>
          <w:szCs w:val="24"/>
        </w:rPr>
        <w:t xml:space="preserve"> </w:t>
      </w:r>
      <w:r w:rsidR="00BE72EF" w:rsidRPr="00796736">
        <w:rPr>
          <w:rFonts w:ascii="Times New Roman" w:eastAsia="Times New Roman" w:hAnsi="Times New Roman" w:cs="Times New Roman"/>
          <w:sz w:val="24"/>
          <w:szCs w:val="24"/>
        </w:rPr>
        <w:fldChar w:fldCharType="begin"/>
      </w:r>
      <w:r w:rsidR="00BE72EF" w:rsidRPr="00796736">
        <w:rPr>
          <w:rFonts w:ascii="Times New Roman" w:eastAsia="Times New Roman" w:hAnsi="Times New Roman" w:cs="Times New Roman"/>
          <w:sz w:val="24"/>
          <w:szCs w:val="24"/>
        </w:rPr>
        <w:instrText xml:space="preserve"> REF _Ref236144676 \r \h </w:instrText>
      </w:r>
      <w:r w:rsidR="00A47042" w:rsidRPr="00796736">
        <w:rPr>
          <w:rFonts w:ascii="Times New Roman" w:eastAsia="Times New Roman" w:hAnsi="Times New Roman" w:cs="Times New Roman"/>
          <w:sz w:val="24"/>
          <w:szCs w:val="24"/>
        </w:rPr>
        <w:instrText xml:space="preserve"> \* MERGEFORMAT </w:instrText>
      </w:r>
      <w:r w:rsidR="00BE72EF" w:rsidRPr="00796736">
        <w:rPr>
          <w:rFonts w:ascii="Times New Roman" w:eastAsia="Times New Roman" w:hAnsi="Times New Roman" w:cs="Times New Roman"/>
          <w:sz w:val="24"/>
          <w:szCs w:val="24"/>
        </w:rPr>
      </w:r>
      <w:r w:rsidR="00BE72E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116</w:t>
      </w:r>
      <w:r w:rsidR="00BE72EF"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color w:val="FF0000"/>
          <w:sz w:val="24"/>
          <w:szCs w:val="24"/>
        </w:rPr>
        <w:t xml:space="preserve"> </w:t>
      </w:r>
      <w:r w:rsidRPr="00796736">
        <w:rPr>
          <w:rFonts w:ascii="Times New Roman" w:eastAsia="Times New Roman" w:hAnsi="Times New Roman" w:cs="Times New Roman"/>
          <w:sz w:val="24"/>
          <w:szCs w:val="24"/>
        </w:rPr>
        <w:t xml:space="preserve">samt bemærkningerne </w:t>
      </w:r>
      <w:r w:rsidR="00DE4A3D" w:rsidRPr="00796736">
        <w:rPr>
          <w:rFonts w:ascii="Times New Roman" w:eastAsia="Times New Roman" w:hAnsi="Times New Roman" w:cs="Times New Roman"/>
          <w:sz w:val="24"/>
          <w:szCs w:val="24"/>
        </w:rPr>
        <w:t>h</w:t>
      </w:r>
      <w:r w:rsidRPr="00796736">
        <w:rPr>
          <w:rFonts w:ascii="Times New Roman" w:eastAsia="Times New Roman" w:hAnsi="Times New Roman" w:cs="Times New Roman"/>
          <w:sz w:val="24"/>
          <w:szCs w:val="24"/>
        </w:rPr>
        <w:t>ertil.</w:t>
      </w:r>
    </w:p>
    <w:p w14:paraId="0F52E166" w14:textId="77777777" w:rsidR="00506D8A" w:rsidRPr="00796736" w:rsidRDefault="00506D8A" w:rsidP="00A802A5">
      <w:pPr>
        <w:spacing w:line="360" w:lineRule="auto"/>
        <w:rPr>
          <w:rFonts w:ascii="Times New Roman" w:hAnsi="Times New Roman" w:cs="Times New Roman"/>
          <w:sz w:val="24"/>
          <w:szCs w:val="24"/>
        </w:rPr>
      </w:pPr>
    </w:p>
    <w:p w14:paraId="7CB6DFB4" w14:textId="6BA7C80A" w:rsidR="001961AE" w:rsidRPr="00796736" w:rsidRDefault="00BE72EF" w:rsidP="00A802A5">
      <w:pPr>
        <w:pStyle w:val="Overskrift2"/>
        <w:rPr>
          <w:rFonts w:ascii="Times New Roman" w:hAnsi="Times New Roman"/>
          <w:sz w:val="24"/>
        </w:rPr>
      </w:pPr>
      <w:bookmarkStart w:id="1490" w:name="_Ref236646654"/>
      <w:bookmarkStart w:id="1491" w:name="_Ref241438526"/>
      <w:bookmarkStart w:id="1492" w:name="_Toc244880795"/>
      <w:r w:rsidRPr="00796736">
        <w:rPr>
          <w:rFonts w:ascii="Times New Roman" w:hAnsi="Times New Roman"/>
          <w:sz w:val="24"/>
        </w:rPr>
        <w:t xml:space="preserve">Spillemyndighedens </w:t>
      </w:r>
      <w:bookmarkEnd w:id="1490"/>
      <w:r w:rsidR="00922AA1" w:rsidRPr="00796736">
        <w:rPr>
          <w:rFonts w:ascii="Times New Roman" w:hAnsi="Times New Roman"/>
          <w:sz w:val="24"/>
        </w:rPr>
        <w:t>påbuds- og sanktionsbeføjelser</w:t>
      </w:r>
      <w:bookmarkEnd w:id="1491"/>
      <w:bookmarkEnd w:id="1492"/>
      <w:r w:rsidR="00922AA1" w:rsidRPr="00796736">
        <w:rPr>
          <w:rFonts w:ascii="Times New Roman" w:hAnsi="Times New Roman"/>
          <w:sz w:val="24"/>
        </w:rPr>
        <w:t xml:space="preserve"> </w:t>
      </w:r>
    </w:p>
    <w:p w14:paraId="0EB0F301"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474313F5"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hvidvasklovens § 66, at Spillemyndigheden inden for en af Spillemyndigheden fastsat frist kan påbyde udbydere af spil omfattet af § 1, stk. 1, nr. 19, at foretage de nødvendige foranstaltninger i tilfælde af overtrædelse af bestemmelser i denne lov, regler udstedt i medfør heraf, eller Europa-Parlamentets og Rådets forordninger indeholdende regler om finansielle sanktioner mod lande, personer, grupper, juridiske enheder eller organer. </w:t>
      </w:r>
    </w:p>
    <w:p w14:paraId="736167F5" w14:textId="77777777" w:rsidR="001961AE" w:rsidRPr="00796736" w:rsidRDefault="001961AE" w:rsidP="00A802A5">
      <w:pPr>
        <w:spacing w:line="360" w:lineRule="auto"/>
        <w:rPr>
          <w:rFonts w:ascii="Times New Roman" w:eastAsia="Times New Roman" w:hAnsi="Times New Roman" w:cs="Times New Roman"/>
          <w:sz w:val="24"/>
          <w:szCs w:val="24"/>
        </w:rPr>
      </w:pPr>
    </w:p>
    <w:p w14:paraId="7ADE068E"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bemærkningerne til bestemmelsen, at et påbud anvendes i de situationer, hvor Spillemyndigheden påbyder en bestemt adfærd eller handling fremover. Det kan både skyldes, at en virksomhed eller person handler i strid med loven, eller at en virksomhed eller person undlader at handle, hvor handling er påkrævet efter loven. </w:t>
      </w:r>
    </w:p>
    <w:p w14:paraId="32AE6CCC" w14:textId="77777777" w:rsidR="001961AE" w:rsidRPr="00796736" w:rsidRDefault="001961AE" w:rsidP="00A802A5">
      <w:pPr>
        <w:spacing w:line="360" w:lineRule="auto"/>
        <w:rPr>
          <w:rFonts w:ascii="Times New Roman" w:eastAsia="Times New Roman" w:hAnsi="Times New Roman" w:cs="Times New Roman"/>
          <w:sz w:val="24"/>
          <w:szCs w:val="24"/>
        </w:rPr>
      </w:pPr>
    </w:p>
    <w:p w14:paraId="6890A7A6" w14:textId="659DC075"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kan ikke udstedes påbud for enhver overtrædelse af lovgivningen. Som udgangspunkt skal påbudsmuligheden anvendes i forbindelse med virksomheders og personers overtrædelse af kravene, når overtrædelserne er alvorlige, gentagne, systematiske eller en kombination heraf. Derudover skal der som udgangspunkt alene anvendes påbud i forbindelse med overtrædelser af kapitel 2 om risikovurdering og risikostyring, kapitel 3 om kundekendskabsprocedurer og kapitel 5 om undersøgelses-</w:t>
      </w:r>
      <w:r w:rsidR="00DE4A3D"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noterings-</w:t>
      </w:r>
      <w:r w:rsidR="00DE4A3D"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underretnings- og opbevaringspligt. Påbud kan dog i begrænset omfang anvendes i andre situationer, hvis der er tale om særligt grove, gentagne eller systematiske overtrædelser af hvidvaskloven.</w:t>
      </w:r>
    </w:p>
    <w:p w14:paraId="107C6778" w14:textId="77777777" w:rsidR="001961AE" w:rsidRPr="00796736" w:rsidRDefault="001961AE" w:rsidP="00A802A5">
      <w:pPr>
        <w:spacing w:line="360" w:lineRule="auto"/>
        <w:rPr>
          <w:rFonts w:ascii="Times New Roman" w:eastAsia="Times New Roman" w:hAnsi="Times New Roman" w:cs="Times New Roman"/>
          <w:sz w:val="24"/>
          <w:szCs w:val="24"/>
        </w:rPr>
      </w:pPr>
    </w:p>
    <w:p w14:paraId="0F9A2A1C" w14:textId="1EB224D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endvidere af bemærkningerne, at Spillemyndigheden efter bestemmelsen vil kunne udstede et midlertidigt forbud om, at personer i den daglige ledelse i en virksomhed eller andre fysiske personer, der holdes ansvarlige for overtrædelsen, varetager ledelsen af opgaver i relation til opfyldelse af kravene i lovforslaget. Personen kan derfor uanset et midlertidigt forbud stadig varetage andre ledelsesmæssige opgaver. At forbuddet er midlertidigt betyder, at det skal udstedes for en kortere periode, hvor det er nødvendigt f.eks. for at forhindre hvidvask eller terrorfinansiering at fjerne den pågældende person i en kortere periode. I tilfælde hvor et midlertidigt forbud ikke er tilstrækkeligt, men der er behov for f.eks. at afsætte en direktør</w:t>
      </w:r>
      <w:r w:rsidR="00922AA1"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vil der som udgangspunkt ikke skulle udstedes et påbud om midlertidigt forbud efter hvidvaskloven.</w:t>
      </w:r>
    </w:p>
    <w:p w14:paraId="58F9DFEF" w14:textId="77777777" w:rsidR="001961AE" w:rsidRPr="00796736" w:rsidRDefault="001961AE" w:rsidP="00A802A5">
      <w:pPr>
        <w:spacing w:line="360" w:lineRule="auto"/>
        <w:rPr>
          <w:rFonts w:ascii="Times New Roman" w:eastAsia="Times New Roman" w:hAnsi="Times New Roman" w:cs="Times New Roman"/>
          <w:sz w:val="24"/>
          <w:szCs w:val="24"/>
        </w:rPr>
      </w:pPr>
    </w:p>
    <w:p w14:paraId="284E1A89" w14:textId="77777777"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fremgår af § 28, stk. 3, i lov om spil, at Spillemyndigheden kan træffe afgørelse om, at et medlem af bestyrelsen eller direktionen i selskaber m.v. (juridiske personer) skal udtræde af bestyrelsen eller direktionen, hvis medlemmet er dømt for et strafbart forhold, der begrunder nærliggende fare for misbrug af adgangen til at arbejde med spil, eller har forfalden gæld til det offentlige, der overstiger 100.000 kr.</w:t>
      </w:r>
    </w:p>
    <w:p w14:paraId="575CD39C" w14:textId="77777777" w:rsidR="001961AE" w:rsidRPr="00796736" w:rsidRDefault="001961AE" w:rsidP="00A802A5">
      <w:pPr>
        <w:spacing w:line="360" w:lineRule="auto"/>
        <w:rPr>
          <w:rFonts w:ascii="Times New Roman" w:eastAsia="Aptos" w:hAnsi="Times New Roman" w:cs="Times New Roman"/>
          <w:sz w:val="24"/>
          <w:szCs w:val="24"/>
        </w:rPr>
      </w:pPr>
    </w:p>
    <w:p w14:paraId="1F2ED959" w14:textId="77777777"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fremgår af § 29, stk. 1, i lov om spil, at tilladelse til udbud og arrangering af spil kun kan gives til ansøgere, der må antages at kunne udøve virksomhed med spil på økonomisk og faglig forsvarlig vis. </w:t>
      </w:r>
    </w:p>
    <w:p w14:paraId="6354DE5B" w14:textId="77777777" w:rsidR="001961AE" w:rsidRPr="00796736" w:rsidRDefault="001961AE" w:rsidP="00A802A5">
      <w:pPr>
        <w:spacing w:line="360" w:lineRule="auto"/>
        <w:rPr>
          <w:rFonts w:ascii="Times New Roman" w:eastAsia="Aptos" w:hAnsi="Times New Roman" w:cs="Times New Roman"/>
          <w:sz w:val="24"/>
          <w:szCs w:val="24"/>
        </w:rPr>
      </w:pPr>
    </w:p>
    <w:p w14:paraId="49E33DA6" w14:textId="77777777"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fremgår af § 29, stk. 2, i lov om spil, at tilladelse ikke kan gives, hvis ansøgeren, reelle ejere, medlemmer af direktion eller bestyrelse eller andre, der kan øve en bestemmende indflydelse på virksomhedens drift, har udvist en sådan adfærd, at der er grund til at antage, at virksomheden ikke vil blive drevet på forsvarlig måde.</w:t>
      </w:r>
    </w:p>
    <w:p w14:paraId="38E7EA80" w14:textId="77777777" w:rsidR="00922AA1" w:rsidRPr="00796736" w:rsidRDefault="00922AA1" w:rsidP="00A802A5">
      <w:pPr>
        <w:spacing w:line="360" w:lineRule="auto"/>
        <w:rPr>
          <w:rFonts w:ascii="Times New Roman" w:eastAsia="Aptos" w:hAnsi="Times New Roman" w:cs="Times New Roman"/>
          <w:sz w:val="24"/>
          <w:szCs w:val="24"/>
        </w:rPr>
      </w:pPr>
    </w:p>
    <w:p w14:paraId="7CABF642" w14:textId="77777777"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44, stk. 1, i lov om spil, at Spillemyndigheden kan tilbagekalde en tilladelse til udbud af spil, hvis tilladelsesindehaveren eller dennes repræsentant</w:t>
      </w:r>
    </w:p>
    <w:p w14:paraId="6C13348A" w14:textId="77777777"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groft eller gentagne gange har overtrådt denne lov, bestemmelser fastsat i henhold til denne lov eller vilkår for tilladelsen,</w:t>
      </w:r>
    </w:p>
    <w:p w14:paraId="37D387FF" w14:textId="77777777"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er dømt for et strafbart forhold, der begrunder nærliggende fare for misbrug af adgangen til at arbejde med spil,</w:t>
      </w:r>
    </w:p>
    <w:p w14:paraId="491510D6" w14:textId="77777777"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længere opfylder betingelsen i § 29,</w:t>
      </w:r>
    </w:p>
    <w:p w14:paraId="4833BB5B" w14:textId="77777777"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groft eller gentagne gange ikke angiver afgifter efter lov om afgifter af spil, jf. §§ 21-25,</w:t>
      </w:r>
    </w:p>
    <w:p w14:paraId="03A77531" w14:textId="77777777"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betaler forfaldne gebyrer efter § 42 g,</w:t>
      </w:r>
    </w:p>
    <w:p w14:paraId="4A479831" w14:textId="77777777"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groft eller gentagne gange ikke betaler forfaldne afgifter eller ikke stiller sikkerhed, jf. lov om afgifter af spil og lov om opkrævning af skatter og afgifter m.v.,</w:t>
      </w:r>
    </w:p>
    <w:p w14:paraId="37A65CE7" w14:textId="77777777"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betaler forfaldne gebyrer efter regler fastsat i medfør af §§ 42-42 b og 42 d,</w:t>
      </w:r>
    </w:p>
    <w:p w14:paraId="0446E03D" w14:textId="77777777"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har forfalden gæld til det offentlige, der overstiger 100.000 kr.,</w:t>
      </w:r>
    </w:p>
    <w:p w14:paraId="2E15413A" w14:textId="76EF0485" w:rsidR="00922AA1" w:rsidRPr="00796736" w:rsidRDefault="00922AA1">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har anmeldt virksomheden til registrering hos</w:t>
      </w:r>
      <w:r w:rsidR="00DE4A3D" w:rsidRPr="00796736">
        <w:rPr>
          <w:rFonts w:ascii="Times New Roman" w:hAnsi="Times New Roman" w:cs="Times New Roman"/>
          <w:sz w:val="24"/>
          <w:szCs w:val="24"/>
        </w:rPr>
        <w:t xml:space="preserve"> S</w:t>
      </w:r>
      <w:r w:rsidRPr="00796736">
        <w:rPr>
          <w:rFonts w:ascii="Times New Roman" w:hAnsi="Times New Roman" w:cs="Times New Roman"/>
          <w:sz w:val="24"/>
          <w:szCs w:val="24"/>
        </w:rPr>
        <w:t>katteforvaltningen, senest 4 uger efter at tilladelse er givet, jf. lov om afgifter af spil, eller</w:t>
      </w:r>
    </w:p>
    <w:p w14:paraId="40C5BB37" w14:textId="1C9D581B" w:rsidR="00922AA1" w:rsidRPr="00796736" w:rsidRDefault="00922AA1">
      <w:pPr>
        <w:pStyle w:val="Listeafsnit"/>
        <w:numPr>
          <w:ilvl w:val="2"/>
          <w:numId w:val="39"/>
        </w:numPr>
        <w:spacing w:line="360" w:lineRule="auto"/>
        <w:rPr>
          <w:rFonts w:ascii="Times New Roman" w:eastAsia="Aptos" w:hAnsi="Times New Roman" w:cs="Times New Roman"/>
          <w:sz w:val="24"/>
          <w:szCs w:val="24"/>
        </w:rPr>
      </w:pPr>
      <w:r w:rsidRPr="00796736">
        <w:rPr>
          <w:rFonts w:ascii="Times New Roman" w:hAnsi="Times New Roman" w:cs="Times New Roman"/>
          <w:sz w:val="24"/>
          <w:szCs w:val="24"/>
        </w:rPr>
        <w:t>ikke efterkommer afgørelser efter § 49 a.</w:t>
      </w:r>
      <w:r w:rsidRPr="00796736">
        <w:rPr>
          <w:rFonts w:ascii="Times New Roman" w:eastAsia="Aptos" w:hAnsi="Times New Roman" w:cs="Times New Roman"/>
          <w:sz w:val="24"/>
          <w:szCs w:val="24"/>
        </w:rPr>
        <w:t xml:space="preserve"> </w:t>
      </w:r>
    </w:p>
    <w:p w14:paraId="488F948F" w14:textId="77777777" w:rsidR="001961AE" w:rsidRPr="00796736" w:rsidRDefault="001961AE" w:rsidP="00A802A5">
      <w:pPr>
        <w:spacing w:line="360" w:lineRule="auto"/>
        <w:rPr>
          <w:rFonts w:ascii="Times New Roman" w:hAnsi="Times New Roman" w:cs="Times New Roman"/>
          <w:sz w:val="24"/>
          <w:szCs w:val="24"/>
        </w:rPr>
      </w:pPr>
    </w:p>
    <w:p w14:paraId="35673585" w14:textId="1A5E4822"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 xml:space="preserve">6. hvidvaskdirektiv </w:t>
      </w:r>
    </w:p>
    <w:p w14:paraId="06E09D44" w14:textId="2DD34BEA"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 stk. 2, i 6. hvidvaskdirektiv, at for så vidt angår de forpligtede enheder, der er omhandlet</w:t>
      </w:r>
      <w:r w:rsidR="00DE4A3D" w:rsidRPr="00796736">
        <w:rPr>
          <w:rFonts w:ascii="Times New Roman" w:eastAsia="Times New Roman" w:hAnsi="Times New Roman" w:cs="Times New Roman"/>
          <w:sz w:val="24"/>
          <w:szCs w:val="24"/>
        </w:rPr>
        <w:t xml:space="preserve"> i</w:t>
      </w:r>
      <w:r w:rsidRPr="00796736">
        <w:rPr>
          <w:rFonts w:ascii="Times New Roman" w:eastAsia="Times New Roman" w:hAnsi="Times New Roman" w:cs="Times New Roman"/>
          <w:sz w:val="24"/>
          <w:szCs w:val="24"/>
        </w:rPr>
        <w:t xml:space="preserve"> </w:t>
      </w:r>
      <w:r w:rsidR="00DE4A3D" w:rsidRPr="00796736">
        <w:rPr>
          <w:rFonts w:ascii="Times New Roman" w:eastAsia="Times New Roman" w:hAnsi="Times New Roman" w:cs="Times New Roman"/>
          <w:sz w:val="24"/>
          <w:szCs w:val="24"/>
        </w:rPr>
        <w:t xml:space="preserve">artikel 3, nr. 3, litra a, b, d, e, f og h-o, </w:t>
      </w:r>
      <w:r w:rsidRPr="00796736">
        <w:rPr>
          <w:rFonts w:ascii="Times New Roman" w:eastAsia="Times New Roman" w:hAnsi="Times New Roman" w:cs="Times New Roman"/>
          <w:sz w:val="24"/>
          <w:szCs w:val="24"/>
        </w:rPr>
        <w:t xml:space="preserve">i (EU) 2024/1624, sikrer medlemsstaterne, at tilsynsorganerne træffer de nødvendige foranstaltninger til at forhindre personer, der er dømt for hvidvask af penge, de relevante underliggende lovovertrædelser eller finansiering af terrorisme, eller deres samarbejdspartnere, i at blive godkendt til et erhverv, i at varetage en funktion i den øverste ledelse i eller i at være de reelle ejere af disse forpligtede enheder. </w:t>
      </w:r>
    </w:p>
    <w:p w14:paraId="6D2A3282" w14:textId="77777777" w:rsidR="00922AA1" w:rsidRPr="00796736" w:rsidRDefault="00922AA1" w:rsidP="00A802A5">
      <w:pPr>
        <w:spacing w:line="360" w:lineRule="auto"/>
        <w:rPr>
          <w:rFonts w:ascii="Times New Roman" w:eastAsia="Times New Roman" w:hAnsi="Times New Roman" w:cs="Times New Roman"/>
          <w:sz w:val="24"/>
          <w:szCs w:val="24"/>
        </w:rPr>
      </w:pPr>
    </w:p>
    <w:p w14:paraId="49E23451" w14:textId="1ECE589D"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 stk. 4, i 6. hvidvaskdirektiv, at medlemsstaterne sikrer, at tilsynsorganerne har beføjelse til at anmode om, at enhver person, der er dømt for hvidvask af penge, de relevante underliggende lovovertrædelser eller finansiering af terrorisme, fjernes fra den øverste ledelse i forpligtede enheder som omhandlet i stk. 1 og 2. Medlemsstaterne sikrer, at tilsynsorganerne har beføjelse til at fjerne eller pålægge et midlertidigt forbud mod medlemmer af den øverste ledelse i de i stk. 1 omhandlede forpligtede enheder, som ikke har et godt omdømme, som ikke anses for at handle med hæderlighed og integritet eller som ikke besidder den viden og ekspertise, der er nødvendig for, at de kan udføre deres opgave.</w:t>
      </w:r>
    </w:p>
    <w:p w14:paraId="05FDF3DA" w14:textId="77777777" w:rsidR="001961AE" w:rsidRPr="00796736" w:rsidRDefault="001961AE" w:rsidP="00A802A5">
      <w:pPr>
        <w:spacing w:line="360" w:lineRule="auto"/>
        <w:rPr>
          <w:rFonts w:ascii="Times New Roman" w:eastAsia="Times New Roman" w:hAnsi="Times New Roman" w:cs="Times New Roman"/>
          <w:sz w:val="24"/>
          <w:szCs w:val="24"/>
        </w:rPr>
      </w:pPr>
    </w:p>
    <w:p w14:paraId="5919744A" w14:textId="3D2AB32A"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 stk. 5, at, i 6. hvidvaskdirektiv, at medlemsstaterne sikrer, at tilsynsorganerne har beføjelse til at adskille personer, dømt for hvidvask af penge, de relevante underliggende lovovertrædelser eller finansiering af terrorisme, som er reelle ejere af forpligtede enheder som omhandlet i stk. 1 og 2, fra forpligtede enheder, herunder ved at give tilsynsorganerne beføjelse til at anmode disse reelle ejere om at afhænde besiddelsen i forpligtede enheder.</w:t>
      </w:r>
    </w:p>
    <w:p w14:paraId="408F1698" w14:textId="77777777" w:rsidR="001961AE" w:rsidRPr="00796736" w:rsidRDefault="001961AE" w:rsidP="00A802A5">
      <w:pPr>
        <w:spacing w:line="360" w:lineRule="auto"/>
        <w:rPr>
          <w:rFonts w:ascii="Times New Roman" w:eastAsia="Times New Roman" w:hAnsi="Times New Roman" w:cs="Times New Roman"/>
          <w:sz w:val="24"/>
          <w:szCs w:val="24"/>
        </w:rPr>
      </w:pPr>
    </w:p>
    <w:p w14:paraId="4C62ABA5"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37, stk. 6, i 6. hvidvaskdirektiv, at medlemsstaterne skal sikre, at tilsynsorganerne har tilstrækkelige beføjelser til at udføre deres opgaver, herunder beføjelse til at anvende passende og forholdsmæssige administrative foranstaltninger for at afhjælpe situationen i tilfælde af overtrædelser, herunder ved at pålægge bøder i overensstemmelse med dette kapitels afdeling 4.</w:t>
      </w:r>
    </w:p>
    <w:p w14:paraId="005FBE66" w14:textId="77777777" w:rsidR="001961AE" w:rsidRPr="00796736" w:rsidRDefault="001961AE" w:rsidP="00A802A5">
      <w:pPr>
        <w:spacing w:line="360" w:lineRule="auto"/>
        <w:rPr>
          <w:rFonts w:ascii="Times New Roman" w:eastAsia="Times New Roman" w:hAnsi="Times New Roman" w:cs="Times New Roman"/>
          <w:sz w:val="24"/>
          <w:szCs w:val="24"/>
        </w:rPr>
      </w:pPr>
    </w:p>
    <w:p w14:paraId="74180048"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53, stk. 1, i 6. hvidvaskdirektiv, at medlemsstaterne skal sikre, at forpligtede enheder kan drages til ansvar for overtrædelser af hvidvaskforordningen og Europa-Parlamentets og Rådets forordning (EU) 2023/1113 af 31. maj om oplysninger, der skal medsendes ved pengeoverførsler og ved overførsler af visse kryptoaktiver.</w:t>
      </w:r>
    </w:p>
    <w:p w14:paraId="57CFB0F5" w14:textId="77777777" w:rsidR="001961AE" w:rsidRPr="00796736" w:rsidRDefault="001961AE" w:rsidP="00A802A5">
      <w:pPr>
        <w:spacing w:line="360" w:lineRule="auto"/>
        <w:rPr>
          <w:rFonts w:ascii="Times New Roman" w:eastAsia="Times New Roman" w:hAnsi="Times New Roman" w:cs="Times New Roman"/>
          <w:sz w:val="24"/>
          <w:szCs w:val="24"/>
        </w:rPr>
      </w:pPr>
    </w:p>
    <w:p w14:paraId="55C49752"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53, stk. 2, i 6. hvidvaskdirektiv, at uden at det berører medlemsstaternes ret til at fastsætte og pålægge strafferetlige sanktioner, fastsætter medlemsstaterne regler for bøder og administrative foranstaltninger og sikrer, at tilsynsorganerne kan pålægge sådanne bøder og anvende administrative foranstaltninger i forbindelse med overtrædelser af hvidvaskforordningen eller Europa-Parlamentets og Rådets forordning (EU) 2023/1113 af 31. maj om oplysninger, der skal medsendes ved pengeoverførsler og ved overførsler af visse kryptoaktiver og sikrer, at de håndhæves. Enhver bøde, som pålægges, eller foranstaltning, som anvendes, i henhold til denne afdeling, skal være effektiv, stå i rimeligt forhold til overtrædelsen og have afskrækkende virkning.</w:t>
      </w:r>
    </w:p>
    <w:p w14:paraId="71EE0957" w14:textId="77777777" w:rsidR="001961AE" w:rsidRPr="00796736" w:rsidRDefault="001961AE" w:rsidP="00A802A5">
      <w:pPr>
        <w:spacing w:line="360" w:lineRule="auto"/>
        <w:rPr>
          <w:rFonts w:ascii="Times New Roman" w:eastAsia="Times New Roman" w:hAnsi="Times New Roman" w:cs="Times New Roman"/>
          <w:sz w:val="24"/>
          <w:szCs w:val="24"/>
        </w:rPr>
      </w:pPr>
    </w:p>
    <w:p w14:paraId="53E945AA"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Af artikel 53, stk. 4, 1. afsnit, i 6. hvidvaskdirektiv, fremgår det, at i tilfælde af overtrædelse af forordning (EU) 2024/1624 og (EU) 2023/1113 sikrer medlemsstaterne, at der, når der gælder forpligtelser for juridiske personer, kan pålægges bøder og anvendes administrative foranstaltninger over for ikke blot den juridiske person, men også den øverste ledelse og over for andre fysiske personer, som i henhold til national ret er ansvarlige for overtrædelsen.</w:t>
      </w:r>
    </w:p>
    <w:p w14:paraId="37227CB9" w14:textId="77777777" w:rsidR="001961AE" w:rsidRPr="00796736" w:rsidRDefault="001961AE" w:rsidP="00A802A5">
      <w:pPr>
        <w:spacing w:line="360" w:lineRule="auto"/>
        <w:rPr>
          <w:rFonts w:ascii="Times New Roman" w:eastAsia="Times New Roman" w:hAnsi="Times New Roman" w:cs="Times New Roman"/>
          <w:sz w:val="24"/>
          <w:szCs w:val="24"/>
        </w:rPr>
      </w:pPr>
    </w:p>
    <w:p w14:paraId="4117A99C"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53, stk. 6, i 6. hvidvaskdirektiv, at medlemsstaterne sikrer, at tilsynsorganerne ved fastsættelsen af typen og niveauet af bøderne eller de administrative foranstaltninger tager højde for alle relevante omstændigheder, herunder, hvor det er relevant, overtrædelsens grovhed og varighed, antallet af gentagelser af overtrædelsen, graden af ansvar hos den fysiske eller juridiske person, der holdes ansvarlig, graden af samarbejde mellem den fysiske eller juridiske person, der holdes ansvarlig, og den kompetente myndighed samt overtrædelser, som den fysiske eller juridiske person, der holdes ansvarlig, tidligere har begået. </w:t>
      </w:r>
    </w:p>
    <w:p w14:paraId="43D2AECC" w14:textId="77777777" w:rsidR="001961AE" w:rsidRPr="00796736" w:rsidRDefault="001961AE" w:rsidP="00A802A5">
      <w:pPr>
        <w:spacing w:line="360" w:lineRule="auto"/>
        <w:rPr>
          <w:rFonts w:ascii="Times New Roman" w:eastAsia="Times New Roman" w:hAnsi="Times New Roman" w:cs="Times New Roman"/>
          <w:sz w:val="24"/>
          <w:szCs w:val="24"/>
        </w:rPr>
      </w:pPr>
    </w:p>
    <w:p w14:paraId="030B213F" w14:textId="77777777" w:rsidR="00922AA1" w:rsidRPr="00796736" w:rsidRDefault="00922AA1" w:rsidP="00A802A5">
      <w:pPr>
        <w:spacing w:line="360" w:lineRule="auto"/>
        <w:rPr>
          <w:rFonts w:ascii="Times New Roman" w:hAnsi="Times New Roman" w:cs="Times New Roman"/>
          <w:sz w:val="24"/>
          <w:szCs w:val="24"/>
        </w:rPr>
      </w:pPr>
      <w:r w:rsidRPr="00796736">
        <w:rPr>
          <w:rFonts w:ascii="Times New Roman" w:eastAsia="Segoe UI" w:hAnsi="Times New Roman" w:cs="Times New Roman"/>
          <w:color w:val="242424"/>
          <w:sz w:val="24"/>
          <w:szCs w:val="24"/>
        </w:rPr>
        <w:t>Artikel 53, stk. 10, litra a og b, i 6. hvidvaskdirektiv retter sig mod AMLA og skal ikke implementeres i dansk ret.</w:t>
      </w:r>
    </w:p>
    <w:p w14:paraId="07D0E36E" w14:textId="77777777" w:rsidR="001961AE" w:rsidRPr="00796736" w:rsidRDefault="001961AE" w:rsidP="00A802A5">
      <w:pPr>
        <w:spacing w:line="360" w:lineRule="auto"/>
        <w:rPr>
          <w:rFonts w:ascii="Times New Roman" w:eastAsia="Times New Roman" w:hAnsi="Times New Roman" w:cs="Times New Roman"/>
          <w:sz w:val="24"/>
          <w:szCs w:val="24"/>
        </w:rPr>
      </w:pPr>
    </w:p>
    <w:p w14:paraId="73B19A85" w14:textId="7F1834D8"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6. hvidvaskdirektivs artikel 56 fastlægger de administrative foranstaltninger</w:t>
      </w:r>
      <w:r w:rsidR="00922AA1"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som et tilsynsorgan kan anvende over for en forpligtet enhed.</w:t>
      </w:r>
    </w:p>
    <w:p w14:paraId="7F81DCEB" w14:textId="77777777" w:rsidR="001961AE" w:rsidRPr="00796736" w:rsidRDefault="001961AE" w:rsidP="00A802A5">
      <w:pPr>
        <w:spacing w:line="360" w:lineRule="auto"/>
        <w:rPr>
          <w:rFonts w:ascii="Times New Roman" w:eastAsia="Times New Roman" w:hAnsi="Times New Roman" w:cs="Times New Roman"/>
          <w:sz w:val="24"/>
          <w:szCs w:val="24"/>
        </w:rPr>
      </w:pPr>
    </w:p>
    <w:p w14:paraId="34052646"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56, stk. 1, i 6. hvidvaskdirektiv, at tilsynsorganerne skal kunne anvende administrative foranstaltninger over for en forpligtet enhed, hvis de konstaterer overtrædelser af hvidvaskforordningen, enten i kombination med bøder for alvorlige, gentagne og systematiske overtrædelser, eller alene. Tilsynsorganerne skal også kunne anvende administrative foranstaltninger over for en forpligtet enhed, hvis de konstaterer svagheder i den forpligtede enheds interne politikker, procedurer og kontroller, som sandsynligvis vil føre til overtrædelser af de krav, der er omhandlet i litra a, eller hvis den forpligtede enhed har interne politikker, procedurer og kontroller, der ikke står i et rimeligt forhold til de risici for hvidvask af penge, de underliggende lovovertrædelser eller finansiering af terrorisme, som enheden er eksponeret for.</w:t>
      </w:r>
    </w:p>
    <w:p w14:paraId="449A0B7E" w14:textId="77777777" w:rsidR="001961AE" w:rsidRPr="00796736" w:rsidRDefault="001961AE" w:rsidP="00A802A5">
      <w:pPr>
        <w:spacing w:line="360" w:lineRule="auto"/>
        <w:rPr>
          <w:rFonts w:ascii="Times New Roman" w:eastAsia="Times New Roman" w:hAnsi="Times New Roman" w:cs="Times New Roman"/>
          <w:sz w:val="24"/>
          <w:szCs w:val="24"/>
        </w:rPr>
      </w:pPr>
    </w:p>
    <w:p w14:paraId="64B7C639"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56, stk. 2, i 6. hvidvaskdirektiv, at medlemsstaterne sikrer, at tilsynsorganerne som minimum kan udstede henstillinger, påbyde forpligtede enheder at overholde, herunder at gennemføre, specifikke korrigerende foranstaltninger, udstede en offentlig meddelelse, hvori den fysiske eller juridiske person og overtrædelsens art identificeres, udstede et påbud om, at den fysiske eller juridiske person skal bringe den udviste adfærd til ophør og undlade at gentage en sådan adfærd, indskrænke eller begrænse forretningsaktiviteter, transaktioner eller netværk af institutter, der udgør den forpligtede enhed, eller kræve afhændelse af aktiviteter, hvor en forpligtet enhed er underlagt krav om en tilladelse, trække tilladelsen tilbage eller suspendere den og kræve ændringer i ledelsesstrukturen.</w:t>
      </w:r>
    </w:p>
    <w:p w14:paraId="793C76A9" w14:textId="77777777" w:rsidR="001961AE" w:rsidRPr="00796736" w:rsidRDefault="001961AE" w:rsidP="00A802A5">
      <w:pPr>
        <w:spacing w:line="360" w:lineRule="auto"/>
        <w:rPr>
          <w:rFonts w:ascii="Times New Roman" w:eastAsia="Times New Roman" w:hAnsi="Times New Roman" w:cs="Times New Roman"/>
          <w:sz w:val="24"/>
          <w:szCs w:val="24"/>
        </w:rPr>
      </w:pPr>
    </w:p>
    <w:p w14:paraId="1FA11833"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 56, stk. 3, i 6. hvidvaskdirektiv, at medlemsstaterne sikrer, at tilsynsorganerne ved hjælp af de administrative foranstaltninger, der er omhandlet i stk. 2, navnlig kan 1) kræve fremlæggelse uden unødigt ophold af data eller oplysninger, der er nødvendige for udførelsen af deres opgaver i henhold til dette kapitel, kræve indgivelse af dokumenter eller pålægge yderligere eller hyppigere indberetningskrav, 2) stille krav om, at interne politikker, procedurer og kontroller styrkes, 3) kræve, at den forpligtede enhed anvender en specifik politik eller specifikke krav vedrørende kategorier af kunder eller individuelle kunder, transaktioner, aktiviteter eller leveringskaneler, der udgør en høj risiko, 4) kræve gennemførelse af foranstaltninger til nedbringelse af de risici for hvidvask af penge eller finansiering af terrorisme, der er forbundet med den forpligtede enheds aktiviteter og produkter, eller 5) indføre et midlertidigt forbud mod, at personer med ledelsesansvar i en forpligtet enhed eller andre fysiske personer, der er blevet holdt ansvarlige for overtrædelsen, varetager ledelsesfunktioner i forpligtede enheder.</w:t>
      </w:r>
    </w:p>
    <w:p w14:paraId="022A1819" w14:textId="77777777" w:rsidR="001961AE" w:rsidRPr="00796736" w:rsidRDefault="001961AE" w:rsidP="00A802A5">
      <w:pPr>
        <w:spacing w:line="360" w:lineRule="auto"/>
        <w:rPr>
          <w:rFonts w:ascii="Times New Roman" w:eastAsia="Times New Roman" w:hAnsi="Times New Roman" w:cs="Times New Roman"/>
          <w:sz w:val="24"/>
          <w:szCs w:val="24"/>
        </w:rPr>
      </w:pPr>
    </w:p>
    <w:p w14:paraId="23EB3A12"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56, stk. 4, i 6. hvidvaskdirektiv, at de administrative foranstaltninger, der er omhandlet i stk. 2, ledsages, hvor det er relevant, af bindende frister for deres gennemførelse. Medlemsstaterne sikrer, at tilsynsorganerne følger op på og vurderer den forpligtede enheds gennemførelse af de krævede tiltag.</w:t>
      </w:r>
    </w:p>
    <w:p w14:paraId="121F86DB" w14:textId="77777777" w:rsidR="001961AE" w:rsidRPr="00796736" w:rsidRDefault="001961AE" w:rsidP="00A802A5">
      <w:pPr>
        <w:spacing w:line="360" w:lineRule="auto"/>
        <w:rPr>
          <w:rFonts w:ascii="Times New Roman" w:eastAsia="Times New Roman" w:hAnsi="Times New Roman" w:cs="Times New Roman"/>
          <w:sz w:val="24"/>
          <w:szCs w:val="24"/>
        </w:rPr>
      </w:pPr>
    </w:p>
    <w:p w14:paraId="5E854085"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artikel 56, stk. 5, i 6. hvidvaskdirektiv, at medlemsstaterne kan give tilsynsorganerne beføjelse til at anvende yderligere typer af administrative foranstaltninger ud over dem, der er omhandlet i stk. 2. </w:t>
      </w:r>
    </w:p>
    <w:p w14:paraId="1E01E606" w14:textId="77777777" w:rsidR="001961AE" w:rsidRPr="00796736" w:rsidRDefault="001961AE" w:rsidP="00A802A5">
      <w:pPr>
        <w:spacing w:line="360" w:lineRule="auto"/>
        <w:rPr>
          <w:rFonts w:ascii="Times New Roman" w:hAnsi="Times New Roman" w:cs="Times New Roman"/>
          <w:sz w:val="24"/>
          <w:szCs w:val="24"/>
        </w:rPr>
      </w:pPr>
    </w:p>
    <w:p w14:paraId="537D0615"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628F38F7" w14:textId="77777777" w:rsidR="00DE4A3D" w:rsidRPr="00796736" w:rsidRDefault="00DE4A3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Administrative foranstaltninger efter artikel 56 i 6. hvidvaskdirektiv vil kunne pålægges i et videre omfang end efter den gældende hvidvasklov, idet det ikke kun er ved egentlige overtrædelser, at der kan blive pålagt administrative foranstaltninger, ligesom det ikke længere vil være et krav, at der skal være tale om en alvorlig, gentagen eller systematisk overtrædelse. Derudover er omfanget af de administrative foranstaltninger, der vil kunne anvendes af tilsynsmyndighederne, blevet udvidet. </w:t>
      </w:r>
    </w:p>
    <w:p w14:paraId="79CF9C24" w14:textId="77777777" w:rsidR="001961AE" w:rsidRPr="00796736" w:rsidRDefault="001961AE" w:rsidP="00A802A5">
      <w:pPr>
        <w:spacing w:line="360" w:lineRule="auto"/>
        <w:rPr>
          <w:rFonts w:ascii="Times New Roman" w:eastAsia="Times New Roman" w:hAnsi="Times New Roman" w:cs="Times New Roman"/>
          <w:sz w:val="24"/>
          <w:szCs w:val="24"/>
        </w:rPr>
      </w:pPr>
    </w:p>
    <w:p w14:paraId="7EC7DBB2" w14:textId="4F854392" w:rsidR="00922AA1" w:rsidRPr="00796736" w:rsidRDefault="00922AA1" w:rsidP="00A802A5">
      <w:pPr>
        <w:spacing w:after="200" w:line="360" w:lineRule="auto"/>
        <w:rPr>
          <w:rFonts w:ascii="Times New Roman" w:eastAsia="Times New Roman" w:hAnsi="Times New Roman" w:cs="Times New Roman"/>
          <w:sz w:val="24"/>
          <w:szCs w:val="24"/>
        </w:rPr>
      </w:pPr>
      <w:r w:rsidRPr="00796736">
        <w:rPr>
          <w:rFonts w:ascii="Times New Roman" w:eastAsia="Calibri" w:hAnsi="Times New Roman" w:cs="Times New Roman"/>
          <w:sz w:val="24"/>
          <w:szCs w:val="24"/>
        </w:rPr>
        <w:t xml:space="preserve">Skatte- og Vækstministeriet vurderer derfor, at der er behov for at indføre bemyndigelser for Spillemyndigheden til at udstede nye typer af påbud, som afspejler de nye krav i 6. hvidvaskdirektivs artikel 56, stk. 1-3, og artikel 6, stk. 2, 4 og 5. </w:t>
      </w:r>
      <w:r w:rsidRPr="00796736">
        <w:rPr>
          <w:rFonts w:ascii="Times New Roman" w:eastAsia="Times New Roman" w:hAnsi="Times New Roman" w:cs="Times New Roman"/>
          <w:sz w:val="24"/>
          <w:szCs w:val="24"/>
        </w:rPr>
        <w:t xml:space="preserve">Det foreslås derfor at videreføre den gældende påbudsbestemmelse med visse indholdsmæssige ændringer, samt at </w:t>
      </w:r>
      <w:r w:rsidR="00DE4A3D" w:rsidRPr="00796736">
        <w:rPr>
          <w:rFonts w:ascii="Times New Roman" w:eastAsia="Times New Roman" w:hAnsi="Times New Roman" w:cs="Times New Roman"/>
          <w:sz w:val="24"/>
          <w:szCs w:val="24"/>
        </w:rPr>
        <w:t>indsætte</w:t>
      </w:r>
      <w:r w:rsidRPr="00796736">
        <w:rPr>
          <w:rFonts w:ascii="Times New Roman" w:eastAsia="Times New Roman" w:hAnsi="Times New Roman" w:cs="Times New Roman"/>
          <w:sz w:val="24"/>
          <w:szCs w:val="24"/>
        </w:rPr>
        <w:t xml:space="preserve"> yderligere tre påbudsbestemmelser.</w:t>
      </w:r>
    </w:p>
    <w:p w14:paraId="3C1833AA" w14:textId="77777777" w:rsidR="00DE4A3D" w:rsidRPr="00796736" w:rsidRDefault="00DE4A3D" w:rsidP="00A802A5">
      <w:pPr>
        <w:spacing w:after="200"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Med den foreslåede ordning vil Spillemyndigheden fortsat kunne udstede påbud, når der foreligger en konstateret overtrædelse af hvidvaskreguleringen, herunder hvidvaskforordningen og den foreslåede lov. Derudover vil Spillemyndigheden få hjemmel til at udstede påbud, hvis det vurderes, at der foreligger svagheder i interne politikker, procedurer og kontroller, som kan føre til overtrædelser af hvidvaskvaskreguleringen, eller når det vurderes, at interne politikker, procedurer og kontroller ikke står i rimeligt forhold til de risici, som den pågældende virksomhed eller person er eksponeret for. </w:t>
      </w:r>
    </w:p>
    <w:p w14:paraId="5996DB5C" w14:textId="77777777"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gældende ret er det ikke udtrykkeligt reguleret, hvilket skæringstidspunkt Spillemyndigheden skal anvende for inddragelse af nyt materiale og nye oplysninger fra virksomheden og personen i afgørelsen. Det fremgår således ikke, om Spillemyndigheden skal inddrage materiale, som virksomheden eller personen har udarbejdet efter afslutningen af et fysisk eller virtuelt interview, eller, hvis der ikke er afholdt interview, efter tidspunktet for fristen for fremsendelse af det materiale, som Spillemyndigheden har anmodet om til brug for tilsynet. Spillemyndighedens afgørelse er udtryk for Spillemyndighedens vurdering af, i hvilken grad virksomheden eller personen overholder gældende lovgivning på afgørelsestidspunktet.</w:t>
      </w:r>
    </w:p>
    <w:p w14:paraId="0B6A4DC3" w14:textId="77777777" w:rsidR="00922AA1" w:rsidRPr="00796736" w:rsidRDefault="00922AA1" w:rsidP="00A802A5">
      <w:pPr>
        <w:spacing w:line="360" w:lineRule="auto"/>
        <w:rPr>
          <w:rFonts w:ascii="Times New Roman" w:hAnsi="Times New Roman" w:cs="Times New Roman"/>
          <w:sz w:val="24"/>
          <w:szCs w:val="24"/>
        </w:rPr>
      </w:pPr>
    </w:p>
    <w:p w14:paraId="0835F68E" w14:textId="77777777"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Spillemyndighedens nuværende praksis er det således virksomhedens eller personens faktuelle forhold på afgørelsestidspunktet, det vil sige det tidspunkt, hvor Spillemyndigheden er klar til at sende en afgørelse, som danner grundlag for, om Spillemyndigheden skal udstede et påbud eller en påtale.</w:t>
      </w:r>
    </w:p>
    <w:p w14:paraId="03EDAF2C" w14:textId="77777777" w:rsidR="00922AA1" w:rsidRPr="00796736" w:rsidRDefault="00922AA1" w:rsidP="00A802A5">
      <w:pPr>
        <w:spacing w:line="360" w:lineRule="auto"/>
        <w:rPr>
          <w:rFonts w:ascii="Times New Roman" w:eastAsia="Times New Roman" w:hAnsi="Times New Roman" w:cs="Times New Roman"/>
          <w:sz w:val="24"/>
          <w:szCs w:val="24"/>
        </w:rPr>
      </w:pPr>
    </w:p>
    <w:p w14:paraId="394AEDCC" w14:textId="4E1FDAD6"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Skatte- og Vækstministeriet vurderer det hensigtsmæssigt at tydeliggøre, hvilket materiale Spillemyndigheden efter sin praksis lægger til grund i afgørelsessager. Det foreslås derfor som noget nyt i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_Ref236643746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det skal fremgå direkte af lovteksten, at Spillemyndighedens afgørelser om reaktioner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_Ref236643746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skal træffes på baggrund af det materiale og de oplysninger, der foreligger senest på undersøgelsestidspunktet. Det vil sige de oplysninger og det materiale, der foreligger senest på tidspunktet for afslutningen af Spillemyndighedens fysiske eller virtuelle interview, eller, hvis der ikke er afholdt interview, senest på tidspunktet for fristen for fremsendelse af det materiale, som Spillemyndigheden har anmodet om til brug for tilsynet. </w:t>
      </w:r>
    </w:p>
    <w:p w14:paraId="0A916E40" w14:textId="77777777" w:rsidR="00922AA1" w:rsidRPr="00796736" w:rsidRDefault="00922AA1" w:rsidP="00A802A5">
      <w:pPr>
        <w:spacing w:line="360" w:lineRule="auto"/>
        <w:rPr>
          <w:rFonts w:ascii="Times New Roman" w:hAnsi="Times New Roman" w:cs="Times New Roman"/>
          <w:sz w:val="24"/>
          <w:szCs w:val="24"/>
        </w:rPr>
      </w:pPr>
    </w:p>
    <w:p w14:paraId="083F3723" w14:textId="251FBC41"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w:t>
      </w:r>
      <w:r w:rsidR="00DE4A3D" w:rsidRPr="00796736">
        <w:rPr>
          <w:rFonts w:ascii="Times New Roman" w:hAnsi="Times New Roman" w:cs="Times New Roman"/>
          <w:sz w:val="24"/>
          <w:szCs w:val="24"/>
        </w:rPr>
        <w:t>vil være</w:t>
      </w:r>
      <w:r w:rsidRPr="00796736">
        <w:rPr>
          <w:rFonts w:ascii="Times New Roman" w:hAnsi="Times New Roman" w:cs="Times New Roman"/>
          <w:sz w:val="24"/>
          <w:szCs w:val="24"/>
        </w:rPr>
        <w:t xml:space="preserve"> tale om en ændring af Spillemyndighedens hidtidige praksis. Fremadrettet vil det således ikke blive inddraget i en afgørelse om påbud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_Ref236643746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hvis virksomheden eller personen lovliggør forholdene efter konstateringen på undersøgelsestidspunktet, men inden den endelige afgørelse sendes til virksomheden eller personen. Materiale, som virksomheden eller personen udarbejder efterfølgende for at imødegå den konstaterede overtrædelse og fremlægger efter undersøgelsestidspunktet, vil som udgangspunkt ikke indgå i vurderingsgrundlaget for afgørelsen.</w:t>
      </w:r>
    </w:p>
    <w:p w14:paraId="7C3301CB" w14:textId="77777777" w:rsidR="00922AA1" w:rsidRPr="00796736" w:rsidRDefault="00922AA1" w:rsidP="00A802A5">
      <w:pPr>
        <w:spacing w:line="360" w:lineRule="auto"/>
        <w:rPr>
          <w:rFonts w:ascii="Times New Roman" w:hAnsi="Times New Roman" w:cs="Times New Roman"/>
          <w:sz w:val="24"/>
          <w:szCs w:val="24"/>
        </w:rPr>
      </w:pPr>
    </w:p>
    <w:p w14:paraId="4BD8BEE8" w14:textId="1F9FA26D"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således sikre øget retssikkerhed og forudsigelighed for de omfattede virksomheder og personer ved klart at fastlægge skæringstidspunktet i vurderingen af, om der skal udstedes et påbud eller en påtale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_Ref236643746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DE4A3D" w:rsidRPr="00796736">
        <w:rPr>
          <w:rFonts w:ascii="Times New Roman" w:hAnsi="Times New Roman" w:cs="Times New Roman"/>
          <w:sz w:val="24"/>
          <w:szCs w:val="24"/>
        </w:rPr>
        <w:t>Herigennem vil effektiviteten i sagsbehandlingen ligeledes blive styrket. Den foreslåede bestemmelse præciserer således, at der ikke efterfølgende vil kunne fremlægges materiale eller gives oplysninger med henblik på at ændre den påtænkte afgørelse. Det er således tids- og ressourcekrævende, når Spillemyndigheden skal forholde sig til nyt materiale, som virksomheder og personer fremsender løbende i tiden frem til afgørelsestidspunktet, og dette medfører, at sagsbehandlingstiden forlænges.</w:t>
      </w:r>
    </w:p>
    <w:p w14:paraId="5520B55A" w14:textId="77777777" w:rsidR="00922AA1" w:rsidRPr="00796736" w:rsidRDefault="00922AA1" w:rsidP="00A802A5">
      <w:pPr>
        <w:spacing w:line="360" w:lineRule="auto"/>
        <w:rPr>
          <w:rFonts w:ascii="Times New Roman" w:hAnsi="Times New Roman" w:cs="Times New Roman"/>
          <w:sz w:val="24"/>
          <w:szCs w:val="24"/>
        </w:rPr>
      </w:pPr>
    </w:p>
    <w:p w14:paraId="62DA2D30" w14:textId="3FA01BB7"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Spillemyndigheden </w:t>
      </w:r>
      <w:r w:rsidR="00DE4A3D" w:rsidRPr="00796736">
        <w:rPr>
          <w:rFonts w:ascii="Times New Roman" w:hAnsi="Times New Roman" w:cs="Times New Roman"/>
          <w:sz w:val="24"/>
          <w:szCs w:val="24"/>
        </w:rPr>
        <w:t>vil skulle</w:t>
      </w:r>
      <w:r w:rsidRPr="00796736">
        <w:rPr>
          <w:rFonts w:ascii="Times New Roman" w:hAnsi="Times New Roman" w:cs="Times New Roman"/>
          <w:sz w:val="24"/>
          <w:szCs w:val="24"/>
        </w:rPr>
        <w:t xml:space="preserve"> undersøge forholdene i de enkelte virksomheder og personer og informere offentligheden hurtigst muligt om forholdene i virksomhederne eller hos personerne. Det er væsentligt, at offentligheden får et retvisende billede af forholdene på undersøgelsestidspunktet, hvor Spillemyndigheden konstaterer overtrædelsen. Hvis der efterfølgende igangsættes en længere sagsproces på virksomhedens eller personens foranledning, vil dette kunne forsinke offentliggørelsen og samtidig skabe et misvisende indtryk, da Spillemyndigheden på grund af tavshedspligten ikke kan oplyse om den mellemliggende sagsbehandling, hvor virksomheden eller personen løbende har rettet op på forhold, som Spillemyndigheden har konstateret som overtrædelser. </w:t>
      </w:r>
    </w:p>
    <w:p w14:paraId="67046F10" w14:textId="77777777" w:rsidR="00922AA1" w:rsidRPr="00796736" w:rsidRDefault="00922AA1" w:rsidP="00A802A5">
      <w:pPr>
        <w:spacing w:line="360" w:lineRule="auto"/>
        <w:rPr>
          <w:rFonts w:ascii="Times New Roman" w:hAnsi="Times New Roman" w:cs="Times New Roman"/>
          <w:sz w:val="24"/>
          <w:szCs w:val="24"/>
        </w:rPr>
      </w:pPr>
    </w:p>
    <w:p w14:paraId="328B5206" w14:textId="77777777" w:rsidR="00DE4A3D" w:rsidRPr="00796736" w:rsidRDefault="00DE4A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at lægge vægt på forholdene på undersøgelsestidspunktet, sikres det, at virksomhederne og personerne vil blive behandlet ens uanset deres ressourcer. Hvis ikke dette skæringstidspunkt lægges til grund, vil der kunne opstå en skævvridning, hvor virksomheder eller personer med omfattende administrative ressourcer vil modtage påtaler, mens virksomheder eller personer med færre administrative ressourcer vil modtage påbud. </w:t>
      </w:r>
    </w:p>
    <w:p w14:paraId="31E443E0" w14:textId="77777777" w:rsidR="00922AA1" w:rsidRPr="00796736" w:rsidRDefault="00922AA1" w:rsidP="00A802A5">
      <w:pPr>
        <w:spacing w:line="360" w:lineRule="auto"/>
        <w:rPr>
          <w:rFonts w:ascii="Times New Roman" w:hAnsi="Times New Roman" w:cs="Times New Roman"/>
          <w:sz w:val="24"/>
          <w:szCs w:val="24"/>
        </w:rPr>
      </w:pPr>
    </w:p>
    <w:p w14:paraId="1D0CC630" w14:textId="77777777"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Skatte- og Vækstministeriet vurderer, at den foreslåede bestemmelse vil medføre, at der fremadrettet udstedes flere påbud og færre påtaler.</w:t>
      </w:r>
    </w:p>
    <w:p w14:paraId="0E1BE2CD" w14:textId="77777777" w:rsidR="00922AA1" w:rsidRPr="00796736" w:rsidRDefault="00922AA1" w:rsidP="00A802A5">
      <w:pPr>
        <w:spacing w:line="360" w:lineRule="auto"/>
        <w:rPr>
          <w:rFonts w:ascii="Times New Roman" w:hAnsi="Times New Roman" w:cs="Times New Roman"/>
          <w:sz w:val="24"/>
          <w:szCs w:val="24"/>
        </w:rPr>
      </w:pPr>
    </w:p>
    <w:p w14:paraId="5ED89143" w14:textId="79693EEF"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særlige tilfælde, hvor der foreligger ekstraordinære omstændigheder, gives der mulighed for, at Spillemyndigheden </w:t>
      </w:r>
      <w:r w:rsidR="00DE4A3D" w:rsidRPr="00796736">
        <w:rPr>
          <w:rFonts w:ascii="Times New Roman" w:hAnsi="Times New Roman" w:cs="Times New Roman"/>
          <w:sz w:val="24"/>
          <w:szCs w:val="24"/>
        </w:rPr>
        <w:t>vil kunne</w:t>
      </w:r>
      <w:r w:rsidRPr="00796736">
        <w:rPr>
          <w:rFonts w:ascii="Times New Roman" w:hAnsi="Times New Roman" w:cs="Times New Roman"/>
          <w:sz w:val="24"/>
          <w:szCs w:val="24"/>
        </w:rPr>
        <w:t xml:space="preserve"> vælge at inddrage materiale fremlagt efter undersøgelsestidspunktet. </w:t>
      </w:r>
    </w:p>
    <w:p w14:paraId="23DF2280" w14:textId="77777777" w:rsidR="00DE4A3D" w:rsidRPr="00796736" w:rsidRDefault="00DE4A3D" w:rsidP="00A802A5">
      <w:pPr>
        <w:spacing w:line="360" w:lineRule="auto"/>
        <w:rPr>
          <w:rFonts w:ascii="Times New Roman" w:hAnsi="Times New Roman" w:cs="Times New Roman"/>
          <w:sz w:val="24"/>
          <w:szCs w:val="24"/>
        </w:rPr>
      </w:pPr>
    </w:p>
    <w:p w14:paraId="3C4B7654" w14:textId="77777777" w:rsidR="00DE4A3D" w:rsidRPr="00796736" w:rsidRDefault="00DE4A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Spillemyndigheden vil kunne inddrage materiale, som virksomheden eller personen har udarbejdet inden undersøgelsestidspunktet, også selv om dette materiale først eftersendes til Spillemyndigheden efterfølgende. Dette vil eksempelvis kunne være i situationer, hvor der undervejs er IT-tekniske hindringer eller dokumentation, som virksomheden eller personen skal hente fra et fjernarkiv. Det afgørende vil være, at materialet er udarbejdet forud for undersøgelsestidspunktet og ikke efterfølgende med henblik på at afhjælpe eller korrigere de konstaterede forhold. Dette vil f.eks. tillige kunne omfatte situationer, hvor virksomheden eller personen ønsker at afgive en udtalelse i sagen selv efter, at Spillemyndigheden har sikret, at sagen er tilstrækkeligt oplyst, og på den baggrund har afsluttet den del af tilsynet, der foregår ved et fysisk eller virtuelt interview. </w:t>
      </w:r>
    </w:p>
    <w:p w14:paraId="1659FFF8" w14:textId="77777777" w:rsidR="00922AA1" w:rsidRPr="00796736" w:rsidRDefault="00922AA1" w:rsidP="00A802A5">
      <w:pPr>
        <w:spacing w:line="360" w:lineRule="auto"/>
        <w:rPr>
          <w:rFonts w:ascii="Times New Roman" w:hAnsi="Times New Roman" w:cs="Times New Roman"/>
          <w:sz w:val="24"/>
          <w:szCs w:val="24"/>
        </w:rPr>
      </w:pPr>
    </w:p>
    <w:p w14:paraId="15BD77CE" w14:textId="69491BE0"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Denne undtagelsesadgang</w:t>
      </w:r>
      <w:r w:rsidR="00DE4A3D" w:rsidRPr="00796736">
        <w:rPr>
          <w:rFonts w:ascii="Times New Roman" w:hAnsi="Times New Roman" w:cs="Times New Roman"/>
          <w:sz w:val="24"/>
          <w:szCs w:val="24"/>
        </w:rPr>
        <w:t xml:space="preserve"> vil</w:t>
      </w:r>
      <w:r w:rsidRPr="00796736">
        <w:rPr>
          <w:rFonts w:ascii="Times New Roman" w:hAnsi="Times New Roman" w:cs="Times New Roman"/>
          <w:sz w:val="24"/>
          <w:szCs w:val="24"/>
        </w:rPr>
        <w:t xml:space="preserve"> sikre den nødvendige fleksibilitet i ekstraordinære situationer uden at kompromittere forudsigeligheden i tilsynspraksis. </w:t>
      </w:r>
    </w:p>
    <w:p w14:paraId="20A9E1D8" w14:textId="77777777" w:rsidR="00922AA1" w:rsidRPr="00796736" w:rsidRDefault="00922AA1" w:rsidP="00A802A5">
      <w:pPr>
        <w:spacing w:line="360" w:lineRule="auto"/>
        <w:rPr>
          <w:rFonts w:ascii="Times New Roman" w:hAnsi="Times New Roman" w:cs="Times New Roman"/>
          <w:sz w:val="24"/>
          <w:szCs w:val="24"/>
        </w:rPr>
      </w:pPr>
    </w:p>
    <w:p w14:paraId="3049E44D" w14:textId="51EA95AD" w:rsidR="00922AA1" w:rsidRPr="00796736" w:rsidRDefault="00DE4A3D" w:rsidP="00A802A5">
      <w:pPr>
        <w:spacing w:after="200"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 xml:space="preserve">Materiale, som på denne baggrund vil blive inddraget i sagen, selv om det er fremlagt efter undersøgelsestidspunktet, vil således blive inddraget i grundlaget for Spillemyndighedens afgørelse. Muligheden for at inddrage materiale fremlagt efter undersøgelsestidspunktet vil i øvrigt ikke påvirke muligheden for at påklage Spillemyndighedens afgørelser efter lovforslagets </w:t>
      </w:r>
      <w:r w:rsidR="00922AA1" w:rsidRPr="00796736">
        <w:rPr>
          <w:rFonts w:ascii="Times New Roman" w:hAnsi="Times New Roman" w:cs="Times New Roman"/>
          <w:sz w:val="24"/>
          <w:szCs w:val="24"/>
        </w:rPr>
        <w:fldChar w:fldCharType="begin"/>
      </w:r>
      <w:r w:rsidR="00922AA1" w:rsidRPr="00796736">
        <w:rPr>
          <w:rFonts w:ascii="Times New Roman" w:hAnsi="Times New Roman" w:cs="Times New Roman"/>
          <w:sz w:val="24"/>
          <w:szCs w:val="24"/>
        </w:rPr>
        <w:instrText xml:space="preserve"> REF _Ref239251816 \r \h </w:instrText>
      </w:r>
      <w:r w:rsidR="00F375BF" w:rsidRPr="00796736">
        <w:rPr>
          <w:rFonts w:ascii="Times New Roman" w:hAnsi="Times New Roman" w:cs="Times New Roman"/>
          <w:sz w:val="24"/>
          <w:szCs w:val="24"/>
        </w:rPr>
        <w:instrText xml:space="preserve"> \* MERGEFORMAT </w:instrText>
      </w:r>
      <w:r w:rsidR="00922AA1" w:rsidRPr="00796736">
        <w:rPr>
          <w:rFonts w:ascii="Times New Roman" w:hAnsi="Times New Roman" w:cs="Times New Roman"/>
          <w:sz w:val="24"/>
          <w:szCs w:val="24"/>
        </w:rPr>
      </w:r>
      <w:r w:rsidR="00922AA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133</w:t>
      </w:r>
      <w:r w:rsidR="00922AA1" w:rsidRPr="00796736">
        <w:rPr>
          <w:rFonts w:ascii="Times New Roman" w:hAnsi="Times New Roman" w:cs="Times New Roman"/>
          <w:sz w:val="24"/>
          <w:szCs w:val="24"/>
        </w:rPr>
        <w:fldChar w:fldCharType="end"/>
      </w:r>
      <w:r w:rsidR="00922AA1" w:rsidRPr="00796736">
        <w:rPr>
          <w:rFonts w:ascii="Times New Roman" w:hAnsi="Times New Roman" w:cs="Times New Roman"/>
          <w:sz w:val="24"/>
          <w:szCs w:val="24"/>
        </w:rPr>
        <w:t>.</w:t>
      </w:r>
    </w:p>
    <w:p w14:paraId="1DC826BB" w14:textId="4F56D681"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Vækstministeriet vurderer, at skæringsfristen i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_Ref236643746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2, ikke </w:t>
      </w:r>
      <w:r w:rsidR="00DE4A3D"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gælde ved udstedelse af påbud efter de foreslåede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_Ref232609511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119</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_Ref236145057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121</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Dette begrundes i disse påbuds indgribende karakter, herunder midlertidige påbud om at virksomheden eller personen ikke må udøve en af Spillemyndigheden nærmere afgrænset forretningsaktivitet, påbud om afhændelse af ejerandele eller påbud om afsættelse af en person fra den øverste ledelse.</w:t>
      </w:r>
    </w:p>
    <w:p w14:paraId="228295B9" w14:textId="77777777" w:rsidR="00922AA1" w:rsidRPr="00796736" w:rsidRDefault="00922AA1" w:rsidP="00A802A5">
      <w:pPr>
        <w:spacing w:line="360" w:lineRule="auto"/>
        <w:rPr>
          <w:rFonts w:ascii="Times New Roman" w:eastAsia="Times New Roman" w:hAnsi="Times New Roman" w:cs="Times New Roman"/>
          <w:sz w:val="24"/>
          <w:szCs w:val="24"/>
        </w:rPr>
      </w:pPr>
    </w:p>
    <w:p w14:paraId="06B6A01E" w14:textId="77777777" w:rsidR="00922AA1" w:rsidRPr="00796736" w:rsidRDefault="00922AA1"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rPr>
        <w:t>6</w:t>
      </w:r>
      <w:r w:rsidRPr="00796736">
        <w:rPr>
          <w:rFonts w:ascii="Times New Roman" w:hAnsi="Times New Roman" w:cs="Times New Roman"/>
          <w:sz w:val="24"/>
          <w:szCs w:val="24"/>
        </w:rPr>
        <w:t xml:space="preserve">. hvidvaskdirektiv stiller øgede krav til tilsynsmyndighedernes muligheder for at indskrænke eller begrænse forretningsaktiviteter, transaktioner eller netværk af institutter, der udgør den forpligtede enhed, eller kræve afhændelse af aktiviteter, når der konstateres alvorlige overtrædelser af relevante regler. </w:t>
      </w:r>
    </w:p>
    <w:p w14:paraId="2729646F" w14:textId="77777777" w:rsidR="00922AA1" w:rsidRPr="00796736" w:rsidRDefault="00922AA1" w:rsidP="00A802A5">
      <w:pPr>
        <w:spacing w:line="360" w:lineRule="auto"/>
        <w:rPr>
          <w:rFonts w:ascii="Times New Roman" w:hAnsi="Times New Roman" w:cs="Times New Roman"/>
          <w:sz w:val="24"/>
          <w:szCs w:val="24"/>
        </w:rPr>
      </w:pPr>
    </w:p>
    <w:p w14:paraId="543C877F" w14:textId="77777777" w:rsidR="00DE4A3D" w:rsidRPr="00796736" w:rsidRDefault="00DE4A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Skatte- og Vækstministeriet vurderer derfor, at der skal ske en udvidelse af Spillemyndighedens hjemmel, så Spillemyndigheden vil få mulighed for at påbyde virksomheder og personer, som Spillemyndigheden fører tilsyn med, en række yderligere foranstaltninger, når der konstateres en overtrædelse af relevante regler. Den foreslåede ordning vil indebære, at Spillemyndigheden kan påbyde midlertidig begrænsning eller indskrænkning af bestemte forretningsaktiviteter, af bestemte typer transaktioner og kræve afhændelse af aktiviteter. Formålet vil være at styrke Spillemyndighedens muligheder for at gribe hurtigt og effektivt ind over for virksomheder og personer, hvor der er konstateret alvorlige overtrædelser, og hvor andre og mildere indgrebsmuligheder ikke vurderes tilstrækkelige. </w:t>
      </w:r>
    </w:p>
    <w:p w14:paraId="2D13F892" w14:textId="77777777" w:rsidR="00922AA1" w:rsidRPr="00796736" w:rsidRDefault="00922AA1" w:rsidP="00A802A5">
      <w:pPr>
        <w:spacing w:line="360" w:lineRule="auto"/>
        <w:rPr>
          <w:rFonts w:ascii="Times New Roman" w:eastAsia="Times New Roman" w:hAnsi="Times New Roman" w:cs="Times New Roman"/>
          <w:sz w:val="24"/>
          <w:szCs w:val="24"/>
        </w:rPr>
      </w:pPr>
    </w:p>
    <w:p w14:paraId="210069C9" w14:textId="77777777" w:rsidR="00DE4A3D" w:rsidRPr="00796736" w:rsidRDefault="00DE4A3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Skatte- og Vækstministeriet vurderer, at det for at implementere artikel 6, stk. 5, i 6. hvidvaskdirektiv vil være nødvendigt at skabe hjemmel til, at Spillemyndigheden kan adskille en reel ejer fra en forpligtet enhed, hvis den pågældende er dømt for hvidvask af penge, de relevante underliggende lovovertrædelser eller finansiering af terrorisme. Dette vil i praksis skulle ske ved et påbud til den reelle ejer om at ophøre med at udøve kontrol med en virksomhed, herunder at afhænde sine ejerandele helt eller delvist.</w:t>
      </w:r>
    </w:p>
    <w:p w14:paraId="00FA4F40" w14:textId="77777777" w:rsidR="001961AE" w:rsidRPr="00796736" w:rsidRDefault="001961AE" w:rsidP="00A802A5">
      <w:pPr>
        <w:spacing w:line="360" w:lineRule="auto"/>
        <w:rPr>
          <w:rFonts w:ascii="Times New Roman" w:eastAsia="Times New Roman" w:hAnsi="Times New Roman" w:cs="Times New Roman"/>
          <w:sz w:val="24"/>
          <w:szCs w:val="24"/>
        </w:rPr>
      </w:pPr>
    </w:p>
    <w:p w14:paraId="1C0A0557" w14:textId="77777777" w:rsidR="00DE4A3D" w:rsidRPr="00796736" w:rsidRDefault="00DE4A3D" w:rsidP="00A802A5">
      <w:pPr>
        <w:spacing w:after="20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Et påbud om, at en reel ejer skal ophøre med at udøve kontrol, herunder afhænde sine ejerandele helt eller delvist, er meget indgribende, både for den reelle ejer, men også for virksomheden. Der er derfor tilstræbt at foreslå en så skånsom model som muligt, med henblik på at kunne adskille kriminelle fra forpligtede enheder, men samtidig kunne opretholde virksomhedens fortsatte mulige drift. Det er dog vurderet nødvendigt at indsætte en adgang for Spillemyndigheden til i sidste ende at kunne tilbagekalde en udbyder af spils tilladelse til at udbyde spil i Danmark i henhold til lov om spil, hvis den reelle ejer ikke efterkommer påbuddet for at sikre den fornødne adskillelse.</w:t>
      </w:r>
    </w:p>
    <w:p w14:paraId="56FE87D1" w14:textId="70D94F14" w:rsidR="00922AA1" w:rsidRPr="00796736" w:rsidRDefault="00922AA1" w:rsidP="00A802A5">
      <w:pPr>
        <w:spacing w:after="20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Spillemyndigheden</w:t>
      </w:r>
      <w:r w:rsidR="00DE4A3D" w:rsidRPr="00796736">
        <w:rPr>
          <w:rFonts w:ascii="Times New Roman" w:eastAsia="Calibri" w:hAnsi="Times New Roman" w:cs="Times New Roman"/>
          <w:sz w:val="24"/>
          <w:szCs w:val="24"/>
        </w:rPr>
        <w:t xml:space="preserve"> vil </w:t>
      </w:r>
      <w:r w:rsidRPr="00796736">
        <w:rPr>
          <w:rFonts w:ascii="Times New Roman" w:eastAsia="Calibri" w:hAnsi="Times New Roman" w:cs="Times New Roman"/>
          <w:sz w:val="24"/>
          <w:szCs w:val="24"/>
        </w:rPr>
        <w:t>efter den foreslåede ordning</w:t>
      </w:r>
      <w:r w:rsidR="00DE4A3D" w:rsidRPr="00796736">
        <w:rPr>
          <w:rFonts w:ascii="Times New Roman" w:eastAsia="Calibri" w:hAnsi="Times New Roman" w:cs="Times New Roman"/>
          <w:sz w:val="24"/>
          <w:szCs w:val="24"/>
        </w:rPr>
        <w:t xml:space="preserve"> kunne</w:t>
      </w:r>
      <w:r w:rsidRPr="00796736">
        <w:rPr>
          <w:rFonts w:ascii="Times New Roman" w:eastAsia="Calibri" w:hAnsi="Times New Roman" w:cs="Times New Roman"/>
          <w:sz w:val="24"/>
          <w:szCs w:val="24"/>
        </w:rPr>
        <w:t xml:space="preserve"> påbyde en reel ejer, der er dømt for hvidvask, de relevante underliggende overtrædelser eller finansiering af terrorisme, at ophøre med at udøve kontrol, herunder afhænde sine ejerandele helt eller delvist inden for en fastsat frist. </w:t>
      </w:r>
    </w:p>
    <w:p w14:paraId="7DAD484B" w14:textId="025D8F90" w:rsidR="00922AA1" w:rsidRPr="00796736" w:rsidRDefault="00922AA1" w:rsidP="00A802A5">
      <w:pPr>
        <w:spacing w:after="20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Spillemyndigheden </w:t>
      </w:r>
      <w:r w:rsidR="00DE4A3D" w:rsidRPr="00796736">
        <w:rPr>
          <w:rFonts w:ascii="Times New Roman" w:eastAsia="Calibri" w:hAnsi="Times New Roman" w:cs="Times New Roman"/>
          <w:sz w:val="24"/>
          <w:szCs w:val="24"/>
        </w:rPr>
        <w:t>vil</w:t>
      </w:r>
      <w:r w:rsidRPr="00796736">
        <w:rPr>
          <w:rFonts w:ascii="Times New Roman" w:eastAsia="Calibri" w:hAnsi="Times New Roman" w:cs="Times New Roman"/>
          <w:sz w:val="24"/>
          <w:szCs w:val="24"/>
        </w:rPr>
        <w:t xml:space="preserve"> samtidig</w:t>
      </w:r>
      <w:r w:rsidR="00DE4A3D" w:rsidRPr="00796736">
        <w:rPr>
          <w:rFonts w:ascii="Times New Roman" w:eastAsia="Calibri" w:hAnsi="Times New Roman" w:cs="Times New Roman"/>
          <w:sz w:val="24"/>
          <w:szCs w:val="24"/>
        </w:rPr>
        <w:t xml:space="preserve"> få</w:t>
      </w:r>
      <w:r w:rsidRPr="00796736">
        <w:rPr>
          <w:rFonts w:ascii="Times New Roman" w:eastAsia="Calibri" w:hAnsi="Times New Roman" w:cs="Times New Roman"/>
          <w:sz w:val="24"/>
          <w:szCs w:val="24"/>
        </w:rPr>
        <w:t xml:space="preserve"> mulighed for at påbyde den forpligtede enhed at indføre nødvendige foranstaltninger for at sikre, at den reelle ejer adskilles fra den forpligtede enhed. </w:t>
      </w:r>
    </w:p>
    <w:p w14:paraId="4703F102" w14:textId="77777777" w:rsidR="001961AE" w:rsidRPr="00796736" w:rsidRDefault="001961AE"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I lov om spil er der hjemmel til, at Spillemyndigheden kan træffe afgørelse om, at et medlem af bestyrelsen eller direktionen i selskaber m.v. (juridiske personer) skal udtræde af bestyrelsen eller direktionen, hvis medlemmet er dømt for et strafbart forhold, der begrunder nærliggende fare for misbrug af adgangen til at arbejde med spil, eller har forfalden gæld til det offentlige, der overstiger 100.000 kr.</w:t>
      </w:r>
    </w:p>
    <w:p w14:paraId="7D41B150" w14:textId="77777777" w:rsidR="001961AE" w:rsidRPr="00796736" w:rsidRDefault="001961AE" w:rsidP="00A802A5">
      <w:pPr>
        <w:spacing w:line="360" w:lineRule="auto"/>
        <w:rPr>
          <w:rFonts w:ascii="Times New Roman" w:eastAsia="Times New Roman" w:hAnsi="Times New Roman" w:cs="Times New Roman"/>
          <w:sz w:val="24"/>
          <w:szCs w:val="24"/>
        </w:rPr>
      </w:pPr>
    </w:p>
    <w:p w14:paraId="5C3C573A" w14:textId="77777777"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gældende hvidvasklovs § 66 giver mulighed for, at Spillemyndigheden kan udstede et midlertidigt forbud om, at personer i den daglige ledelse varetager ledelsen af opgaver i relation til opfyldelse af kravene i hvidvaskloven.</w:t>
      </w:r>
    </w:p>
    <w:p w14:paraId="11EB2E01" w14:textId="77777777" w:rsidR="001961AE" w:rsidRPr="00796736" w:rsidRDefault="001961AE" w:rsidP="00A802A5">
      <w:pPr>
        <w:spacing w:line="360" w:lineRule="auto"/>
        <w:rPr>
          <w:rFonts w:ascii="Times New Roman" w:eastAsia="Aptos" w:hAnsi="Times New Roman" w:cs="Times New Roman"/>
          <w:sz w:val="24"/>
          <w:szCs w:val="24"/>
        </w:rPr>
      </w:pPr>
    </w:p>
    <w:p w14:paraId="37D835D5" w14:textId="77777777" w:rsidR="00DE4A3D" w:rsidRPr="00796736" w:rsidRDefault="00DE4A3D"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Det er Skatte- og Vækstministeriets vurdering, at artikel 6, stk. 4, og artikel 56, stk. 2, litra g, i 6. hvidvaskdirektiv, skal implementeres ved en særskilt påbudsbestemmelse, så der vil blive skabt den nødvendige hjemmel til, at Spillemyndigheden kan påbyde virksomheder og personer under Spillemyndighedens tilsyn at afsætte en person fra den øverste ledelse eller påbyde et medlem af bestyrelsen at nedlægge sit hverv, hvis de er dømt for hvidvask af penge, de relevante underliggende lovovertrædelser eller finansiering af terrorisme. For udbydere af spil skal der ligeledes være hjemmel til at kunne påbyde virksomheden at afsætte en person fra den øverste ledelse eller påbyde et medlem af bestyrelsen at nedlægge sit hverv, hvis den pågældende ikke opfylder betingelserne om hæderlighed.</w:t>
      </w:r>
    </w:p>
    <w:p w14:paraId="10634B16" w14:textId="77777777" w:rsidR="00922AA1" w:rsidRPr="00796736" w:rsidRDefault="00922AA1" w:rsidP="00A802A5">
      <w:pPr>
        <w:spacing w:line="360" w:lineRule="auto"/>
        <w:rPr>
          <w:rFonts w:ascii="Times New Roman" w:eastAsia="Aptos" w:hAnsi="Times New Roman" w:cs="Times New Roman"/>
          <w:sz w:val="24"/>
          <w:szCs w:val="24"/>
        </w:rPr>
      </w:pPr>
    </w:p>
    <w:p w14:paraId="4C444C41" w14:textId="7CE9A1DA" w:rsidR="00922AA1" w:rsidRPr="00796736" w:rsidRDefault="00922AA1"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 xml:space="preserve">Det er således Skatte- og Vækstministeriets vurdering, at den gældende bestemmelse i § 28, stk. 3, i lov om spil, ikke indeholder den nødvendige hjemmel, ligesom ministeriet vurderer, at der bør skabes en klar hjemmel i </w:t>
      </w:r>
      <w:r w:rsidR="00DE4A3D" w:rsidRPr="00796736">
        <w:rPr>
          <w:rFonts w:ascii="Times New Roman" w:eastAsia="Aptos" w:hAnsi="Times New Roman" w:cs="Times New Roman"/>
          <w:sz w:val="24"/>
          <w:szCs w:val="24"/>
        </w:rPr>
        <w:t>den foreslåede lov</w:t>
      </w:r>
      <w:r w:rsidRPr="00796736">
        <w:rPr>
          <w:rFonts w:ascii="Times New Roman" w:eastAsia="Aptos" w:hAnsi="Times New Roman" w:cs="Times New Roman"/>
          <w:sz w:val="24"/>
          <w:szCs w:val="24"/>
        </w:rPr>
        <w:t xml:space="preserve">, da afsættelse og nedlæggelse af hverv permanent eller midlertidigt er krav, som følger af 6. hvidvaskdirektiv og ikke af lovgivning, der alene vedrører spilområdet. </w:t>
      </w:r>
    </w:p>
    <w:p w14:paraId="749FD70C" w14:textId="77777777" w:rsidR="001961AE" w:rsidRPr="00796736" w:rsidRDefault="001961AE" w:rsidP="00A802A5">
      <w:pPr>
        <w:spacing w:line="360" w:lineRule="auto"/>
        <w:rPr>
          <w:rFonts w:ascii="Times New Roman" w:eastAsia="Times New Roman" w:hAnsi="Times New Roman" w:cs="Times New Roman"/>
          <w:sz w:val="24"/>
          <w:szCs w:val="24"/>
        </w:rPr>
      </w:pPr>
    </w:p>
    <w:p w14:paraId="3309DCC6" w14:textId="58CE6193"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Bestemmelsen </w:t>
      </w:r>
      <w:r w:rsidR="00DE4A3D"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samtidig</w:t>
      </w:r>
      <w:r w:rsidR="00DE4A3D" w:rsidRPr="00796736">
        <w:rPr>
          <w:rFonts w:ascii="Times New Roman" w:eastAsia="Times New Roman" w:hAnsi="Times New Roman" w:cs="Times New Roman"/>
          <w:sz w:val="24"/>
          <w:szCs w:val="24"/>
        </w:rPr>
        <w:t xml:space="preserve"> være</w:t>
      </w:r>
      <w:r w:rsidRPr="00796736">
        <w:rPr>
          <w:rFonts w:ascii="Times New Roman" w:eastAsia="Times New Roman" w:hAnsi="Times New Roman" w:cs="Times New Roman"/>
          <w:sz w:val="24"/>
          <w:szCs w:val="24"/>
        </w:rPr>
        <w:t xml:space="preserve"> en udvidelse af den eksisterende adgang i hvidvaskloven for Spillemyndigheden til at udstede et midlertidigt forbud om, at personer i den daglige ledelse varetager ledelsen af opgaver i relation til opfyldelse af kravene i hvidvaskloven, idet det ikke længere vil være muligt alene at foretage en indskrænkning af vedkommende</w:t>
      </w:r>
      <w:r w:rsidR="00922AA1" w:rsidRPr="00796736">
        <w:rPr>
          <w:rFonts w:ascii="Times New Roman" w:eastAsia="Times New Roman" w:hAnsi="Times New Roman" w:cs="Times New Roman"/>
          <w:sz w:val="24"/>
          <w:szCs w:val="24"/>
        </w:rPr>
        <w:t>s</w:t>
      </w:r>
      <w:r w:rsidRPr="00796736">
        <w:rPr>
          <w:rFonts w:ascii="Times New Roman" w:eastAsia="Times New Roman" w:hAnsi="Times New Roman" w:cs="Times New Roman"/>
          <w:sz w:val="24"/>
          <w:szCs w:val="24"/>
        </w:rPr>
        <w:t xml:space="preserve"> ledelsesmæssige opgaver.</w:t>
      </w:r>
    </w:p>
    <w:p w14:paraId="317899A5" w14:textId="77777777" w:rsidR="00922AA1" w:rsidRPr="00796736" w:rsidRDefault="00922AA1" w:rsidP="00A802A5">
      <w:pPr>
        <w:spacing w:line="360" w:lineRule="auto"/>
        <w:rPr>
          <w:rFonts w:ascii="Times New Roman" w:eastAsia="Times New Roman" w:hAnsi="Times New Roman" w:cs="Times New Roman"/>
          <w:sz w:val="24"/>
          <w:szCs w:val="24"/>
        </w:rPr>
      </w:pPr>
    </w:p>
    <w:p w14:paraId="7AAB2C99" w14:textId="20DC9B20"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Skatte- og Vækstministeriet vurderer, at det fortsat skal være muligt for Spillemyndigheden at påbyde ændring i ledelsen på baggrund af konstaterede overtrædelser af hvidvaskforordningen og de</w:t>
      </w:r>
      <w:r w:rsidR="00DE4A3D" w:rsidRPr="00796736">
        <w:rPr>
          <w:rFonts w:ascii="Times New Roman" w:eastAsia="Times New Roman" w:hAnsi="Times New Roman" w:cs="Times New Roman"/>
          <w:sz w:val="24"/>
          <w:szCs w:val="24"/>
        </w:rPr>
        <w:t>n foreslåede</w:t>
      </w:r>
      <w:r w:rsidRPr="00796736">
        <w:rPr>
          <w:rFonts w:ascii="Times New Roman" w:eastAsia="Times New Roman" w:hAnsi="Times New Roman" w:cs="Times New Roman"/>
          <w:sz w:val="24"/>
          <w:szCs w:val="24"/>
        </w:rPr>
        <w:t xml:space="preserve"> lo</w:t>
      </w:r>
      <w:r w:rsidR="00DE4A3D" w:rsidRPr="00796736">
        <w:rPr>
          <w:rFonts w:ascii="Times New Roman" w:eastAsia="Times New Roman" w:hAnsi="Times New Roman" w:cs="Times New Roman"/>
          <w:sz w:val="24"/>
          <w:szCs w:val="24"/>
        </w:rPr>
        <w:t>v</w:t>
      </w:r>
      <w:r w:rsidRPr="00796736">
        <w:rPr>
          <w:rFonts w:ascii="Times New Roman" w:eastAsia="Times New Roman" w:hAnsi="Times New Roman" w:cs="Times New Roman"/>
          <w:sz w:val="24"/>
          <w:szCs w:val="24"/>
        </w:rPr>
        <w:t xml:space="preserve">, hvis Spillemyndigheden vurderer, at virksomhedens ledelse ikke iagttager sit ansvar og sine pligter til at sikre, at virksomheden efterlever reglerne og mitigerer den iboende risiko. </w:t>
      </w:r>
    </w:p>
    <w:p w14:paraId="13DAEBBC" w14:textId="77777777" w:rsidR="00922AA1" w:rsidRPr="00796736" w:rsidRDefault="00922AA1" w:rsidP="00A802A5">
      <w:pPr>
        <w:spacing w:line="360" w:lineRule="auto"/>
        <w:rPr>
          <w:rFonts w:ascii="Times New Roman" w:eastAsia="Times New Roman" w:hAnsi="Times New Roman" w:cs="Times New Roman"/>
          <w:sz w:val="24"/>
          <w:szCs w:val="24"/>
        </w:rPr>
      </w:pPr>
    </w:p>
    <w:p w14:paraId="4D2DB80C" w14:textId="77777777" w:rsidR="00DE4A3D" w:rsidRPr="00796736" w:rsidRDefault="00DE4A3D" w:rsidP="00A802A5">
      <w:pPr>
        <w:spacing w:after="20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 tre nye typer af påbud vil være af indgribende karakter for virksomhedens eller personens aktiviteter. For at sikre, at disse typer af påbud står i rimeligt forhold til overtrædelsen, vurderes det nødvendigt, at der vil blive stillet krav om, at disse påbud alene kan anvendes ved alvorlige overtrædelser, som følge af alvorlige og systematiske mangler og ved manglende efterlevelse af reglerne. </w:t>
      </w:r>
    </w:p>
    <w:p w14:paraId="187021B9" w14:textId="58DFDD2E" w:rsidR="00922AA1" w:rsidRPr="00796736" w:rsidRDefault="00922AA1" w:rsidP="00A802A5">
      <w:pPr>
        <w:spacing w:after="20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Ud fra karakteren af et påbud om midlertidige foranstaltninger er det Skatte- og Vækstministeriets vurdering, at en sådan foranstaltning og indskrænkning i forretningsaktiviteter og transaktioner ikke </w:t>
      </w:r>
      <w:r w:rsidR="00DE4A3D" w:rsidRPr="00796736">
        <w:rPr>
          <w:rFonts w:ascii="Times New Roman" w:eastAsia="Calibri" w:hAnsi="Times New Roman" w:cs="Times New Roman"/>
          <w:sz w:val="24"/>
          <w:szCs w:val="24"/>
        </w:rPr>
        <w:t>vil skulle</w:t>
      </w:r>
      <w:r w:rsidRPr="00796736">
        <w:rPr>
          <w:rFonts w:ascii="Times New Roman" w:eastAsia="Calibri" w:hAnsi="Times New Roman" w:cs="Times New Roman"/>
          <w:sz w:val="24"/>
          <w:szCs w:val="24"/>
        </w:rPr>
        <w:t xml:space="preserve"> anvendes længere, end det er nødvendigt. Det foreslås, at påbuddet som udgangspunkt iværksættes som en midlertidig foranstaltning, der ophører, når virksomheden eller personen retter op på forholdet og derved har inddæmmet den konstaterede risiko i det pågældende område af forretningen. </w:t>
      </w:r>
    </w:p>
    <w:p w14:paraId="20CA63B1" w14:textId="3BEA88DD" w:rsidR="00922AA1" w:rsidRPr="00796736" w:rsidRDefault="00922AA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Anvendelsen af påbud om midlertidige foranstaltninger, afhændelse af ejerandele og afsættelse af</w:t>
      </w:r>
      <w:r w:rsidR="00DE4A3D" w:rsidRPr="00796736">
        <w:rPr>
          <w:rFonts w:ascii="Times New Roman" w:eastAsia="Calibri" w:hAnsi="Times New Roman" w:cs="Times New Roman"/>
          <w:sz w:val="24"/>
          <w:szCs w:val="24"/>
        </w:rPr>
        <w:t xml:space="preserve"> den</w:t>
      </w:r>
      <w:r w:rsidRPr="00796736">
        <w:rPr>
          <w:rFonts w:ascii="Times New Roman" w:eastAsia="Calibri" w:hAnsi="Times New Roman" w:cs="Times New Roman"/>
          <w:sz w:val="24"/>
          <w:szCs w:val="24"/>
        </w:rPr>
        <w:t xml:space="preserve"> øverste ledelse </w:t>
      </w:r>
      <w:r w:rsidR="00DE4A3D" w:rsidRPr="00796736">
        <w:rPr>
          <w:rFonts w:ascii="Times New Roman" w:eastAsia="Calibri" w:hAnsi="Times New Roman" w:cs="Times New Roman"/>
          <w:sz w:val="24"/>
          <w:szCs w:val="24"/>
        </w:rPr>
        <w:t>vil skulle</w:t>
      </w:r>
      <w:r w:rsidRPr="00796736">
        <w:rPr>
          <w:rFonts w:ascii="Times New Roman" w:eastAsia="Calibri" w:hAnsi="Times New Roman" w:cs="Times New Roman"/>
          <w:sz w:val="24"/>
          <w:szCs w:val="24"/>
        </w:rPr>
        <w:t xml:space="preserve"> begrænses til tilfælde, hvor de konstaterede overtrædelser er af en sådan art, at virksomhedens eller personens fortsatte og uændrede drift vil indebære en væsentlig risiko.</w:t>
      </w:r>
    </w:p>
    <w:p w14:paraId="32791772" w14:textId="77777777" w:rsidR="001961AE" w:rsidRPr="00796736" w:rsidRDefault="001961AE" w:rsidP="00A802A5">
      <w:pPr>
        <w:spacing w:line="360" w:lineRule="auto"/>
        <w:rPr>
          <w:rFonts w:ascii="Times New Roman" w:eastAsia="Times New Roman" w:hAnsi="Times New Roman" w:cs="Times New Roman"/>
          <w:sz w:val="24"/>
          <w:szCs w:val="24"/>
        </w:rPr>
      </w:pPr>
    </w:p>
    <w:p w14:paraId="6A855005" w14:textId="4F391A2F"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er Skatte- og Vækstministeriets vurdering, at varigheden af påbud til den øverste ledelse og reelle ejere </w:t>
      </w:r>
      <w:r w:rsidR="00DE4A3D"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fremgå af påbuddet. Varigheden</w:t>
      </w:r>
      <w:r w:rsidR="00DE4A3D"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afhænge af en konkret vurdering af de bagvedliggende årsager til anvendelsen.</w:t>
      </w:r>
    </w:p>
    <w:p w14:paraId="175BC754" w14:textId="77777777" w:rsidR="001961AE" w:rsidRPr="00796736" w:rsidRDefault="001961AE" w:rsidP="00A802A5">
      <w:pPr>
        <w:spacing w:line="360" w:lineRule="auto"/>
        <w:rPr>
          <w:rFonts w:ascii="Times New Roman" w:eastAsia="Times New Roman" w:hAnsi="Times New Roman" w:cs="Times New Roman"/>
          <w:sz w:val="24"/>
          <w:szCs w:val="24"/>
        </w:rPr>
      </w:pPr>
    </w:p>
    <w:p w14:paraId="3A0B493B" w14:textId="2B6D35F6"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ordning skal sikre, at Spillemyndigheden har effektive redskaber til at håndhæve kravene til den øverste ledelse og beskytte tilliden til de virksomheder og personer, som er underlagt Spillemyndighedens tilsyn.</w:t>
      </w:r>
    </w:p>
    <w:p w14:paraId="5E0524AA" w14:textId="77777777" w:rsidR="00922AA1" w:rsidRPr="00796736" w:rsidRDefault="00922AA1" w:rsidP="00A802A5">
      <w:pPr>
        <w:spacing w:line="360" w:lineRule="auto"/>
        <w:rPr>
          <w:rFonts w:ascii="Times New Roman" w:eastAsia="Times New Roman" w:hAnsi="Times New Roman" w:cs="Times New Roman"/>
          <w:sz w:val="24"/>
          <w:szCs w:val="24"/>
        </w:rPr>
      </w:pPr>
    </w:p>
    <w:p w14:paraId="4B1D773D" w14:textId="77777777" w:rsidR="00DE4A3D" w:rsidRPr="00796736" w:rsidRDefault="00DE4A3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Skatte- og Vækstministeriet vurderer, at dele af artikel 56, stk. 2 og 3, i 6. hvidvaskdirektiv, skal implementeres i lov om spil. For så vidt angår direktivets artikel 56, stk. 2, litra f, om, at tilsynsmyndigheden skal have mulighed for at kunne trække en tilladelse tilbage eller suspendere den, når en forpligtet enhed er underlagt et krav om tilladelse, er det  Skatte- og Vækstministeriets opfattelse, at de foreslåede ændringer af lov om spil om Spillemyndighedens muligheder for at tilbagekalde en tilladelse til udbud af spil i Danmark vil leve op til direktivets krav, idet en tilsidesættelse af reglerne i hvidvaskforordningen, denne lov eller regler udstedt i medfør heraf efter omstændighederne vil kunne medføre en tilbagekaldelse af en tilladelse.</w:t>
      </w:r>
    </w:p>
    <w:p w14:paraId="6AD437F8" w14:textId="77777777" w:rsidR="001961AE" w:rsidRPr="00796736" w:rsidRDefault="001961AE" w:rsidP="00A802A5">
      <w:pPr>
        <w:spacing w:line="360" w:lineRule="auto"/>
        <w:rPr>
          <w:rFonts w:ascii="Times New Roman" w:eastAsia="Times New Roman" w:hAnsi="Times New Roman" w:cs="Times New Roman"/>
          <w:sz w:val="24"/>
          <w:szCs w:val="24"/>
        </w:rPr>
      </w:pPr>
    </w:p>
    <w:p w14:paraId="0A43FF87" w14:textId="7777777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at Spillemyndigheden inden for en fastsat frist skal kunne påbyde virksomheder og personer at foretage de nødvendige foranstaltninger i tilfælde af overtrædelser af bestemmelser i hvidvaskforordningen, denne lov og regler udstedt i medfør heraf, eller Europa-Parlamentets og Rådets forordninger indeholdende regler om finansielle sanktioner mod lande, personer, grupper, juridiske enheder eller organer. </w:t>
      </w:r>
    </w:p>
    <w:p w14:paraId="6DAE9B8E" w14:textId="77777777" w:rsidR="00922AA1" w:rsidRPr="00796736" w:rsidRDefault="00922AA1" w:rsidP="00A802A5">
      <w:pPr>
        <w:spacing w:line="360" w:lineRule="auto"/>
        <w:rPr>
          <w:rFonts w:ascii="Times New Roman" w:eastAsia="Times New Roman" w:hAnsi="Times New Roman" w:cs="Times New Roman"/>
          <w:sz w:val="24"/>
          <w:szCs w:val="24"/>
        </w:rPr>
      </w:pPr>
    </w:p>
    <w:p w14:paraId="5E929BA8" w14:textId="7777777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videre, at Spillemyndigheden skal kunne påbyde virksomheder og personer at foretage de nødvendige foranstaltninger i tilfælde af, at der konstateres svagheder i interne politikker, procedurer og kontroller, som sandsynligvis vil føre til en overtrædelse, eller hvis virksomhedens eller personens interne politikker, procedurer og kontroller ikke står i et rimeligt forhold til de risici for hvidvask, de underliggende lovovertrædelser eller finansiering af terrorisme, som virksomheden eller personen er eksponeret for.</w:t>
      </w:r>
    </w:p>
    <w:p w14:paraId="77F78EAE" w14:textId="77777777" w:rsidR="00922AA1" w:rsidRPr="00796736" w:rsidRDefault="00922AA1" w:rsidP="00A802A5">
      <w:pPr>
        <w:spacing w:line="360" w:lineRule="auto"/>
        <w:rPr>
          <w:rFonts w:ascii="Times New Roman" w:eastAsia="Times New Roman" w:hAnsi="Times New Roman" w:cs="Times New Roman"/>
          <w:sz w:val="24"/>
          <w:szCs w:val="24"/>
        </w:rPr>
      </w:pPr>
    </w:p>
    <w:p w14:paraId="2F55B040" w14:textId="6FCC9362" w:rsidR="00DE4A3D" w:rsidRPr="00796736" w:rsidRDefault="00DE4A3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i overensstemmelse med 6. hvidvaskdirektiv, at Spillemyndighedens mulighed for at udstede påbud udvides til også at ville skulle omfatte midlertidige påbud og påbud om indskrænkning eller begrænsning af forretningsaktiviteter, eller transaktioner, samt kræve afhændelse af aktiviteter.</w:t>
      </w:r>
    </w:p>
    <w:p w14:paraId="411B0538" w14:textId="77777777" w:rsidR="00922AA1" w:rsidRPr="00796736" w:rsidRDefault="00922AA1" w:rsidP="00A802A5">
      <w:pPr>
        <w:spacing w:line="360" w:lineRule="auto"/>
        <w:rPr>
          <w:rFonts w:ascii="Times New Roman" w:eastAsia="Times New Roman" w:hAnsi="Times New Roman" w:cs="Times New Roman"/>
          <w:sz w:val="24"/>
          <w:szCs w:val="24"/>
        </w:rPr>
      </w:pPr>
    </w:p>
    <w:p w14:paraId="49A86B91" w14:textId="77777777" w:rsidR="00D55072" w:rsidRPr="00796736" w:rsidRDefault="00D55072" w:rsidP="00A802A5">
      <w:pPr>
        <w:spacing w:after="20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som en ny bestemmelse, at Spillemyndigheden i tilfælde af, at der er konstateret en overtrædelse af hvidvaskreguleringen eller Europa-Parlamentets og Rådets forordninger om finansielle sanktioner, skal kunne påbyde virksomheder og personer, der er underlagt Spillemyndighedens tilsyn, midlertidigt at indskrænke eller begrænse forretningsaktiviteter, transaktioner, samt kræve afhændelse af aktiviteter.</w:t>
      </w:r>
    </w:p>
    <w:p w14:paraId="3E847DDC" w14:textId="16635691" w:rsidR="001961AE" w:rsidRPr="00796736" w:rsidRDefault="001961AE"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w:t>
      </w:r>
      <w:r w:rsidR="00C06E76" w:rsidRPr="00796736">
        <w:rPr>
          <w:rFonts w:ascii="Times New Roman" w:eastAsia="Calibri" w:hAnsi="Times New Roman" w:cs="Times New Roman"/>
          <w:sz w:val="24"/>
          <w:szCs w:val="24"/>
        </w:rPr>
        <w:t xml:space="preserve"> vil</w:t>
      </w:r>
      <w:r w:rsidRPr="00796736">
        <w:rPr>
          <w:rFonts w:ascii="Times New Roman" w:eastAsia="Calibri" w:hAnsi="Times New Roman" w:cs="Times New Roman"/>
          <w:sz w:val="24"/>
          <w:szCs w:val="24"/>
        </w:rPr>
        <w:t xml:space="preserve"> give Spillemyndigheden mulighed for at iværksætte målrettede foranstaltninger mod specifikke dele af virksomhedens eller personens aktiviteter og forretningsområder ud fra en konkret vurdering af den risiko, som virksomhedens manglende efterlevelse af reglerne indebærer. Formålet med anvendelsen af de pågældende typer af påbud</w:t>
      </w:r>
      <w:r w:rsidR="00C06E76" w:rsidRPr="00796736">
        <w:rPr>
          <w:rFonts w:ascii="Times New Roman" w:eastAsia="Calibri" w:hAnsi="Times New Roman" w:cs="Times New Roman"/>
          <w:sz w:val="24"/>
          <w:szCs w:val="24"/>
        </w:rPr>
        <w:t xml:space="preserve"> vil</w:t>
      </w:r>
      <w:r w:rsidRPr="00796736">
        <w:rPr>
          <w:rFonts w:ascii="Times New Roman" w:eastAsia="Calibri" w:hAnsi="Times New Roman" w:cs="Times New Roman"/>
          <w:sz w:val="24"/>
          <w:szCs w:val="24"/>
        </w:rPr>
        <w:t xml:space="preserve"> således</w:t>
      </w:r>
      <w:r w:rsidR="00C06E76" w:rsidRPr="00796736">
        <w:rPr>
          <w:rFonts w:ascii="Times New Roman" w:eastAsia="Calibri" w:hAnsi="Times New Roman" w:cs="Times New Roman"/>
          <w:sz w:val="24"/>
          <w:szCs w:val="24"/>
        </w:rPr>
        <w:t xml:space="preserve"> være</w:t>
      </w:r>
      <w:r w:rsidRPr="00796736">
        <w:rPr>
          <w:rFonts w:ascii="Times New Roman" w:eastAsia="Calibri" w:hAnsi="Times New Roman" w:cs="Times New Roman"/>
          <w:sz w:val="24"/>
          <w:szCs w:val="24"/>
        </w:rPr>
        <w:t xml:space="preserve"> at mitigere risikoen forbundet med de konkrete overtrædelser.</w:t>
      </w:r>
    </w:p>
    <w:p w14:paraId="7BDD4074" w14:textId="77777777" w:rsidR="001961AE" w:rsidRPr="00796736" w:rsidRDefault="001961AE" w:rsidP="00A802A5">
      <w:pPr>
        <w:spacing w:line="360" w:lineRule="auto"/>
        <w:rPr>
          <w:rFonts w:ascii="Times New Roman" w:eastAsia="Times New Roman" w:hAnsi="Times New Roman" w:cs="Times New Roman"/>
          <w:sz w:val="24"/>
          <w:szCs w:val="24"/>
        </w:rPr>
      </w:pPr>
    </w:p>
    <w:p w14:paraId="59DB761E" w14:textId="52AE4A25"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i overensstemmelse med 6. hvidvaskdirektiv, at Spillemyndigheden</w:t>
      </w:r>
      <w:r w:rsidR="00C06E76"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få mulighed for at udstede et påbud om afhændelse af ejerandele i de tilfælde, hvor en reel ejer bliver dømt for hvidvask, de relevante underliggende lovovertrædelser eller finansiering af terrorisme. </w:t>
      </w:r>
    </w:p>
    <w:p w14:paraId="534F32EA" w14:textId="77777777" w:rsidR="00922AA1" w:rsidRPr="00796736" w:rsidRDefault="00922AA1" w:rsidP="00A802A5">
      <w:pPr>
        <w:spacing w:line="360" w:lineRule="auto"/>
        <w:rPr>
          <w:rFonts w:ascii="Times New Roman" w:eastAsia="Times New Roman" w:hAnsi="Times New Roman" w:cs="Times New Roman"/>
          <w:sz w:val="24"/>
          <w:szCs w:val="24"/>
        </w:rPr>
      </w:pPr>
    </w:p>
    <w:p w14:paraId="206128EE" w14:textId="01CE1EAB"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endvidere i overensstemmelse med 6. hvidvaskdirektiv, at Spillemyndigheden </w:t>
      </w:r>
      <w:r w:rsidR="00C06E76" w:rsidRPr="00796736">
        <w:rPr>
          <w:rFonts w:ascii="Times New Roman" w:eastAsia="Times New Roman" w:hAnsi="Times New Roman" w:cs="Times New Roman"/>
          <w:sz w:val="24"/>
          <w:szCs w:val="24"/>
        </w:rPr>
        <w:t>vil kunne</w:t>
      </w:r>
      <w:r w:rsidRPr="00796736">
        <w:rPr>
          <w:rFonts w:ascii="Times New Roman" w:eastAsia="Times New Roman" w:hAnsi="Times New Roman" w:cs="Times New Roman"/>
          <w:sz w:val="24"/>
          <w:szCs w:val="24"/>
        </w:rPr>
        <w:t xml:space="preserve"> påbyde virksomheder og personer, som er omfattet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at afsætte en person fra den øverste ledelse inden for en af Spillemyndigheden fastsat frist, hvis personen er dømt for hvidvask af penge, de relevante underliggende lovovertrædelser eller finansiering af terrorisme. Det foreslås desuden, at Spillemyndigheden </w:t>
      </w:r>
      <w:r w:rsidR="00C06E76" w:rsidRPr="00796736">
        <w:rPr>
          <w:rFonts w:ascii="Times New Roman" w:eastAsia="Times New Roman" w:hAnsi="Times New Roman" w:cs="Times New Roman"/>
          <w:sz w:val="24"/>
          <w:szCs w:val="24"/>
        </w:rPr>
        <w:t>vil kunne</w:t>
      </w:r>
      <w:r w:rsidRPr="00796736">
        <w:rPr>
          <w:rFonts w:ascii="Times New Roman" w:eastAsia="Times New Roman" w:hAnsi="Times New Roman" w:cs="Times New Roman"/>
          <w:sz w:val="24"/>
          <w:szCs w:val="24"/>
        </w:rPr>
        <w:t xml:space="preserve"> påbyde en virksomhed eller person,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nr.1, at afsætte en person fra den øverste ledelse inden for en af Spillemyndigheden fastsat frist, hvis personen ikke opfylder betingelserne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_Ref236641619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1, nr. 1 og 2, der er nødvendige for at bestride stillingen. Spillemyndigheden</w:t>
      </w:r>
      <w:r w:rsidR="00C06E76"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under de samme betingelser</w:t>
      </w:r>
      <w:r w:rsidR="00C06E76"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påbyde et medlem af bestyrelsen hos virksomheder og personer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at nedlægge sit hverv inden for en af Spillemyndigheden fastsat frist. </w:t>
      </w:r>
    </w:p>
    <w:p w14:paraId="4A6BF7D8" w14:textId="77777777" w:rsidR="00922AA1" w:rsidRPr="00796736" w:rsidRDefault="00922AA1" w:rsidP="00A802A5">
      <w:pPr>
        <w:spacing w:line="360" w:lineRule="auto"/>
        <w:rPr>
          <w:rFonts w:ascii="Times New Roman" w:eastAsia="Times New Roman" w:hAnsi="Times New Roman" w:cs="Times New Roman"/>
          <w:i/>
          <w:iCs/>
          <w:sz w:val="24"/>
          <w:szCs w:val="24"/>
        </w:rPr>
      </w:pPr>
    </w:p>
    <w:p w14:paraId="671776B7" w14:textId="3D571AD8" w:rsidR="001961AE"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Dernæst foreslås det, at Spillemyndigheden </w:t>
      </w:r>
      <w:r w:rsidR="00C06E76" w:rsidRPr="00796736">
        <w:rPr>
          <w:rFonts w:ascii="Times New Roman" w:eastAsia="Times New Roman" w:hAnsi="Times New Roman" w:cs="Times New Roman"/>
          <w:sz w:val="24"/>
          <w:szCs w:val="24"/>
        </w:rPr>
        <w:t>vil kunne</w:t>
      </w:r>
      <w:r w:rsidRPr="00796736">
        <w:rPr>
          <w:rFonts w:ascii="Times New Roman" w:eastAsia="Times New Roman" w:hAnsi="Times New Roman" w:cs="Times New Roman"/>
          <w:sz w:val="24"/>
          <w:szCs w:val="24"/>
        </w:rPr>
        <w:t xml:space="preserve"> påbyde</w:t>
      </w:r>
      <w:r w:rsidR="00C06E76"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virksomheder og personer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midlertidigt at afsætte en person fra den øverste ledelse, hvis personen ikke opfylder betingelserne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_Ref236641619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og 2, der er nødvendige for at bestride stillingen, og at Spillemyndigheden under de samme betingelser som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_Ref236641619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og 2, </w:t>
      </w:r>
      <w:r w:rsidR="00C06E76" w:rsidRPr="00796736">
        <w:rPr>
          <w:rFonts w:ascii="Times New Roman" w:eastAsia="Times New Roman" w:hAnsi="Times New Roman" w:cs="Times New Roman"/>
          <w:sz w:val="24"/>
          <w:szCs w:val="24"/>
        </w:rPr>
        <w:t>vil kunne</w:t>
      </w:r>
      <w:r w:rsidRPr="00796736">
        <w:rPr>
          <w:rFonts w:ascii="Times New Roman" w:eastAsia="Times New Roman" w:hAnsi="Times New Roman" w:cs="Times New Roman"/>
          <w:sz w:val="24"/>
          <w:szCs w:val="24"/>
        </w:rPr>
        <w:t xml:space="preserve"> påbyde et medlem af bestyrelsen hosen virksomhed eller person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1, nr. 1, midlertidigt at nedlægge sit hverv inden for en af Spillemyndigheden fastsat frist.</w:t>
      </w:r>
    </w:p>
    <w:p w14:paraId="7C5037B5" w14:textId="77777777" w:rsidR="00922AA1" w:rsidRPr="00796736" w:rsidRDefault="00922AA1" w:rsidP="00A802A5">
      <w:pPr>
        <w:spacing w:line="360" w:lineRule="auto"/>
        <w:rPr>
          <w:rFonts w:ascii="Times New Roman" w:eastAsia="Times New Roman" w:hAnsi="Times New Roman" w:cs="Times New Roman"/>
          <w:sz w:val="24"/>
          <w:szCs w:val="24"/>
        </w:rPr>
      </w:pPr>
    </w:p>
    <w:p w14:paraId="26544FC4" w14:textId="4BEFDD0C" w:rsidR="001961AE" w:rsidRPr="00796736" w:rsidRDefault="001961AE"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henvises til lovforslagets §</w:t>
      </w:r>
      <w:r w:rsidR="00BE72EF" w:rsidRPr="00796736">
        <w:rPr>
          <w:rFonts w:ascii="Times New Roman" w:eastAsia="Times New Roman" w:hAnsi="Times New Roman" w:cs="Times New Roman"/>
          <w:sz w:val="24"/>
          <w:szCs w:val="24"/>
        </w:rPr>
        <w:fldChar w:fldCharType="begin"/>
      </w:r>
      <w:r w:rsidR="00BE72EF" w:rsidRPr="00796736">
        <w:rPr>
          <w:rFonts w:ascii="Times New Roman" w:eastAsia="Times New Roman" w:hAnsi="Times New Roman" w:cs="Times New Roman"/>
          <w:sz w:val="24"/>
          <w:szCs w:val="24"/>
        </w:rPr>
        <w:instrText xml:space="preserve"> REF _Ref236144985 \r \h  \* MERGEFORMAT </w:instrText>
      </w:r>
      <w:r w:rsidR="00BE72EF" w:rsidRPr="00796736">
        <w:rPr>
          <w:rFonts w:ascii="Times New Roman" w:eastAsia="Times New Roman" w:hAnsi="Times New Roman" w:cs="Times New Roman"/>
          <w:sz w:val="24"/>
          <w:szCs w:val="24"/>
        </w:rPr>
      </w:r>
      <w:r w:rsidR="00BE72E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117</w:t>
      </w:r>
      <w:r w:rsidR="00BE72EF"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w:t>
      </w:r>
      <w:r w:rsidR="00BE72EF" w:rsidRPr="00796736">
        <w:rPr>
          <w:rFonts w:ascii="Times New Roman" w:eastAsia="Times New Roman" w:hAnsi="Times New Roman" w:cs="Times New Roman"/>
          <w:sz w:val="24"/>
          <w:szCs w:val="24"/>
        </w:rPr>
        <w:fldChar w:fldCharType="begin"/>
      </w:r>
      <w:r w:rsidR="00BE72EF" w:rsidRPr="00796736">
        <w:rPr>
          <w:rFonts w:ascii="Times New Roman" w:eastAsia="Times New Roman" w:hAnsi="Times New Roman" w:cs="Times New Roman"/>
          <w:sz w:val="24"/>
          <w:szCs w:val="24"/>
        </w:rPr>
        <w:instrText xml:space="preserve"> REF _Ref236145057 \r \h  \* MERGEFORMAT </w:instrText>
      </w:r>
      <w:r w:rsidR="00BE72EF" w:rsidRPr="00796736">
        <w:rPr>
          <w:rFonts w:ascii="Times New Roman" w:eastAsia="Times New Roman" w:hAnsi="Times New Roman" w:cs="Times New Roman"/>
          <w:sz w:val="24"/>
          <w:szCs w:val="24"/>
        </w:rPr>
      </w:r>
      <w:r w:rsidR="00BE72E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121</w:t>
      </w:r>
      <w:r w:rsidR="00BE72EF"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og bemærkningerne hertil.</w:t>
      </w:r>
    </w:p>
    <w:p w14:paraId="19B2F94B" w14:textId="77777777" w:rsidR="009C423A" w:rsidRPr="00796736" w:rsidRDefault="009C423A" w:rsidP="00A802A5">
      <w:pPr>
        <w:spacing w:line="360" w:lineRule="auto"/>
        <w:rPr>
          <w:rFonts w:ascii="Times New Roman" w:eastAsia="Times New Roman" w:hAnsi="Times New Roman" w:cs="Times New Roman"/>
          <w:sz w:val="24"/>
          <w:szCs w:val="24"/>
        </w:rPr>
      </w:pPr>
    </w:p>
    <w:p w14:paraId="5E4C4150" w14:textId="2F7A8334" w:rsidR="009C423A" w:rsidRPr="00796736" w:rsidRDefault="009C423A" w:rsidP="00A802A5">
      <w:pPr>
        <w:pStyle w:val="Overskrift2"/>
        <w:rPr>
          <w:rFonts w:ascii="Times New Roman" w:hAnsi="Times New Roman"/>
          <w:sz w:val="24"/>
        </w:rPr>
      </w:pPr>
      <w:bookmarkStart w:id="1493" w:name="_Ref239324557"/>
      <w:bookmarkStart w:id="1494" w:name="_Toc244880796"/>
      <w:r w:rsidRPr="00796736">
        <w:rPr>
          <w:rFonts w:ascii="Times New Roman" w:hAnsi="Times New Roman"/>
          <w:sz w:val="24"/>
        </w:rPr>
        <w:t>Spillemyndighedens hjemmel til at påbyde i relation til partnerskaber</w:t>
      </w:r>
      <w:bookmarkEnd w:id="1493"/>
      <w:bookmarkEnd w:id="1494"/>
      <w:r w:rsidRPr="00796736">
        <w:rPr>
          <w:rFonts w:ascii="Times New Roman" w:hAnsi="Times New Roman"/>
          <w:sz w:val="24"/>
        </w:rPr>
        <w:t xml:space="preserve">  </w:t>
      </w:r>
    </w:p>
    <w:p w14:paraId="2E72862F" w14:textId="77777777" w:rsidR="009C423A" w:rsidRPr="00796736" w:rsidRDefault="009C423A"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7E429FFE" w14:textId="2C9B8708"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henhold til</w:t>
      </w:r>
      <w:r w:rsidR="00C06E76" w:rsidRPr="00796736">
        <w:rPr>
          <w:rFonts w:ascii="Times New Roman" w:hAnsi="Times New Roman" w:cs="Times New Roman"/>
          <w:sz w:val="24"/>
          <w:szCs w:val="24"/>
        </w:rPr>
        <w:t xml:space="preserve"> hvidvasklovens</w:t>
      </w:r>
      <w:r w:rsidRPr="00796736">
        <w:rPr>
          <w:rFonts w:ascii="Times New Roman" w:hAnsi="Times New Roman" w:cs="Times New Roman"/>
          <w:sz w:val="24"/>
          <w:szCs w:val="24"/>
        </w:rPr>
        <w:t xml:space="preserve"> § 74 har erhvervs</w:t>
      </w:r>
      <w:r w:rsidR="003D2A25">
        <w:rPr>
          <w:rFonts w:ascii="Times New Roman" w:hAnsi="Times New Roman" w:cs="Times New Roman"/>
          <w:sz w:val="24"/>
          <w:szCs w:val="24"/>
        </w:rPr>
        <w:t>ministeren</w:t>
      </w:r>
      <w:r w:rsidRPr="00796736">
        <w:rPr>
          <w:rFonts w:ascii="Times New Roman" w:hAnsi="Times New Roman" w:cs="Times New Roman"/>
          <w:sz w:val="24"/>
          <w:szCs w:val="24"/>
        </w:rPr>
        <w:t xml:space="preserve"> etableret et forum, HvidvaskForum, hvor tilsynsmyndighederne samt Hvidvasksekretariatet deltager med henblik på at koordinere myndighedernes risikovurderinger og indsats for at forebygge hvidvask og terrorfinansiering samt bidrage til den nationale risikovurdering. Under HvidvaskForum er der etableret en underarbejdsgruppe, HvidvaskForum+, hvor myndigheder og private aktører samarbejder på tværs. </w:t>
      </w:r>
    </w:p>
    <w:p w14:paraId="5D00C709" w14:textId="77777777" w:rsidR="009C423A" w:rsidRPr="00796736" w:rsidRDefault="009C423A" w:rsidP="00A802A5">
      <w:pPr>
        <w:spacing w:line="360" w:lineRule="auto"/>
        <w:rPr>
          <w:rFonts w:ascii="Times New Roman" w:hAnsi="Times New Roman" w:cs="Times New Roman"/>
          <w:sz w:val="24"/>
          <w:szCs w:val="24"/>
        </w:rPr>
      </w:pPr>
    </w:p>
    <w:p w14:paraId="01E0968A" w14:textId="6308BC72"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Endvidere er der i retsplejelovens § 110 b hjemmel til at oprette operative samarbejder mellem en række offentlige myndigheder og relevante private aktører, som skal forebygge og bekæmpe hvidvask og terrorfinansiering og andre kriminalitetsområder. Der er tale om offentlige-private partnerskaber, som f.eks. ODIN-samarbejdet. </w:t>
      </w:r>
    </w:p>
    <w:p w14:paraId="1FFBDFB0" w14:textId="77777777" w:rsidR="009C423A" w:rsidRPr="00796736" w:rsidRDefault="009C423A" w:rsidP="00A802A5">
      <w:pPr>
        <w:spacing w:line="360" w:lineRule="auto"/>
        <w:rPr>
          <w:rFonts w:ascii="Times New Roman" w:hAnsi="Times New Roman" w:cs="Times New Roman"/>
          <w:sz w:val="24"/>
          <w:szCs w:val="24"/>
        </w:rPr>
      </w:pPr>
    </w:p>
    <w:p w14:paraId="1CC11538" w14:textId="604C0DAE"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er i hvidvasklov</w:t>
      </w:r>
      <w:r w:rsidR="00C06E76" w:rsidRPr="00796736">
        <w:rPr>
          <w:rFonts w:ascii="Times New Roman" w:hAnsi="Times New Roman" w:cs="Times New Roman"/>
          <w:sz w:val="24"/>
          <w:szCs w:val="24"/>
        </w:rPr>
        <w:t>en</w:t>
      </w:r>
      <w:r w:rsidRPr="00796736">
        <w:rPr>
          <w:rFonts w:ascii="Times New Roman" w:hAnsi="Times New Roman" w:cs="Times New Roman"/>
          <w:sz w:val="24"/>
          <w:szCs w:val="24"/>
        </w:rPr>
        <w:t xml:space="preserve"> ikke hjemmel til at oprette </w:t>
      </w:r>
      <w:r w:rsidR="00C06E76" w:rsidRPr="00796736">
        <w:rPr>
          <w:rFonts w:ascii="Times New Roman" w:hAnsi="Times New Roman" w:cs="Times New Roman"/>
          <w:sz w:val="24"/>
          <w:szCs w:val="24"/>
        </w:rPr>
        <w:t>private-</w:t>
      </w:r>
      <w:r w:rsidRPr="00796736">
        <w:rPr>
          <w:rFonts w:ascii="Times New Roman" w:hAnsi="Times New Roman" w:cs="Times New Roman"/>
          <w:sz w:val="24"/>
          <w:szCs w:val="24"/>
        </w:rPr>
        <w:t xml:space="preserve">partnerskaber, hvor virksomheder og personer kan udveksle oplysninger med henblik på at forebygge eller bekæmpe hvidvask eller terrorfinansiering. </w:t>
      </w:r>
    </w:p>
    <w:p w14:paraId="14D38D3E" w14:textId="77777777" w:rsidR="009C423A" w:rsidRPr="00796736" w:rsidRDefault="009C423A" w:rsidP="00A802A5">
      <w:pPr>
        <w:spacing w:line="360" w:lineRule="auto"/>
        <w:rPr>
          <w:rFonts w:ascii="Times New Roman" w:hAnsi="Times New Roman" w:cs="Times New Roman"/>
          <w:sz w:val="24"/>
          <w:szCs w:val="24"/>
        </w:rPr>
      </w:pPr>
    </w:p>
    <w:p w14:paraId="3786FFBC" w14:textId="5FD8D3FC" w:rsidR="009C423A" w:rsidRPr="00796736" w:rsidRDefault="009C423A"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Hvidvaskforordningen</w:t>
      </w:r>
    </w:p>
    <w:p w14:paraId="4D8537C8" w14:textId="3F22648F"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w:t>
      </w:r>
      <w:r w:rsidR="00C06E76" w:rsidRPr="00796736">
        <w:rPr>
          <w:rFonts w:ascii="Times New Roman" w:hAnsi="Times New Roman" w:cs="Times New Roman"/>
          <w:sz w:val="24"/>
          <w:szCs w:val="24"/>
        </w:rPr>
        <w:t xml:space="preserve"> hvidvaskforordningens</w:t>
      </w:r>
      <w:r w:rsidRPr="00796736">
        <w:rPr>
          <w:rFonts w:ascii="Times New Roman" w:hAnsi="Times New Roman" w:cs="Times New Roman"/>
          <w:sz w:val="24"/>
          <w:szCs w:val="24"/>
        </w:rPr>
        <w:t xml:space="preserve"> artikel 75, at der skal kunne ske udveksling af oplysninger inden for rammerne af partnerskaber, hvis det er strengt nødvendigt. Oplysninger, som kan udveksles, er bl.a. oplysninger om kunden, kundetransaktioner, mistankegrundlag mv. Artikel 75 stiller en række krav til aktørerne i partnerskaberne om databeskyttelse mv. for at overholde forordningen.</w:t>
      </w:r>
    </w:p>
    <w:p w14:paraId="0AB9D8E3" w14:textId="77777777" w:rsidR="009C423A" w:rsidRPr="00796736" w:rsidRDefault="009C423A" w:rsidP="00A802A5">
      <w:pPr>
        <w:spacing w:line="360" w:lineRule="auto"/>
        <w:rPr>
          <w:rFonts w:ascii="Times New Roman" w:hAnsi="Times New Roman" w:cs="Times New Roman"/>
          <w:sz w:val="24"/>
          <w:szCs w:val="24"/>
        </w:rPr>
      </w:pPr>
    </w:p>
    <w:p w14:paraId="16C23F27" w14:textId="10D7123E"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w:t>
      </w:r>
      <w:r w:rsidR="00C06E76" w:rsidRPr="00796736">
        <w:rPr>
          <w:rFonts w:ascii="Times New Roman" w:hAnsi="Times New Roman" w:cs="Times New Roman"/>
          <w:sz w:val="24"/>
          <w:szCs w:val="24"/>
        </w:rPr>
        <w:t xml:space="preserve">hvidvaskforordningens </w:t>
      </w:r>
      <w:r w:rsidRPr="00796736">
        <w:rPr>
          <w:rFonts w:ascii="Times New Roman" w:hAnsi="Times New Roman" w:cs="Times New Roman"/>
          <w:sz w:val="24"/>
          <w:szCs w:val="24"/>
        </w:rPr>
        <w:t>artikel 75, stk. 7, at hvis tilsynsmyndighederne finder det nødvendigt, skal forpligtede enheder, der deltager i et partnerskab til udveksling af oplysninger, få foretaget en uafhængig revision af, hvordan dette partnerskab fungerer, og udveksle resultaterne med tilsynsmyndighederne.</w:t>
      </w:r>
    </w:p>
    <w:p w14:paraId="2BE76448" w14:textId="77777777" w:rsidR="009C423A" w:rsidRPr="00796736" w:rsidRDefault="009C423A" w:rsidP="00303E15">
      <w:pPr>
        <w:spacing w:line="360" w:lineRule="auto"/>
        <w:rPr>
          <w:rFonts w:ascii="Times New Roman" w:hAnsi="Times New Roman" w:cs="Times New Roman"/>
          <w:sz w:val="24"/>
          <w:szCs w:val="24"/>
        </w:rPr>
      </w:pPr>
    </w:p>
    <w:p w14:paraId="15E3C6BF" w14:textId="6DF7E412" w:rsidR="009C423A" w:rsidRPr="00796736" w:rsidRDefault="009C423A"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464A8BE3" w14:textId="77777777"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vedtagelsen af hvidvaskforordningen bliver det muligt for de forpligtede enheder at oprette partnerskaber til at udveksle oplysninger med henblik på at forebygge hvidvask og terrorfinansiering.  </w:t>
      </w:r>
    </w:p>
    <w:p w14:paraId="34E57069" w14:textId="77777777" w:rsidR="009C423A" w:rsidRPr="00796736" w:rsidRDefault="009C423A" w:rsidP="00A802A5">
      <w:pPr>
        <w:spacing w:line="360" w:lineRule="auto"/>
        <w:rPr>
          <w:rFonts w:ascii="Times New Roman" w:hAnsi="Times New Roman" w:cs="Times New Roman"/>
          <w:sz w:val="24"/>
          <w:szCs w:val="24"/>
        </w:rPr>
      </w:pPr>
    </w:p>
    <w:p w14:paraId="61164A07" w14:textId="77777777"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Tilsynsmyndighederne gives samtidig mulighed for at kunne kræve, at de forpligtede enheder får foretaget en uvildig revision af partnerskabet. </w:t>
      </w:r>
      <w:r w:rsidRPr="00796736">
        <w:rPr>
          <w:rFonts w:ascii="Times New Roman" w:eastAsia="Aptos" w:hAnsi="Times New Roman" w:cs="Times New Roman"/>
          <w:sz w:val="24"/>
          <w:szCs w:val="24"/>
        </w:rPr>
        <w:t xml:space="preserve">Skatte- og Vækstministeriet vurderer, at der er behov for, at dette reguleres i hvidvaskloven i form af en påbudshjemmel. </w:t>
      </w:r>
    </w:p>
    <w:p w14:paraId="2F22DF3D" w14:textId="77777777" w:rsidR="009C423A" w:rsidRPr="00796736" w:rsidRDefault="009C423A" w:rsidP="00A802A5">
      <w:pPr>
        <w:spacing w:line="360" w:lineRule="auto"/>
        <w:rPr>
          <w:rFonts w:ascii="Times New Roman" w:eastAsia="Aptos" w:hAnsi="Times New Roman" w:cs="Times New Roman"/>
          <w:sz w:val="24"/>
          <w:szCs w:val="24"/>
        </w:rPr>
      </w:pPr>
    </w:p>
    <w:p w14:paraId="67DAE1D4" w14:textId="4776924C" w:rsidR="009C423A" w:rsidRPr="00796736" w:rsidRDefault="009C423A" w:rsidP="00A802A5">
      <w:pPr>
        <w:spacing w:after="240" w:line="360" w:lineRule="auto"/>
        <w:rPr>
          <w:rFonts w:ascii="Times New Roman" w:eastAsia="Aptos" w:hAnsi="Times New Roman" w:cs="Times New Roman"/>
          <w:sz w:val="24"/>
          <w:szCs w:val="24"/>
        </w:rPr>
      </w:pPr>
      <w:r w:rsidRPr="00796736">
        <w:rPr>
          <w:rFonts w:ascii="Times New Roman" w:hAnsi="Times New Roman" w:cs="Times New Roman"/>
          <w:sz w:val="24"/>
          <w:szCs w:val="24"/>
        </w:rPr>
        <w:t xml:space="preserve">Det er Skatte- og Vækstministeriets vurdering, at, at et påbud </w:t>
      </w:r>
      <w:r w:rsidR="00C06E76" w:rsidRPr="00796736">
        <w:rPr>
          <w:rFonts w:ascii="Times New Roman" w:hAnsi="Times New Roman" w:cs="Times New Roman"/>
          <w:sz w:val="24"/>
          <w:szCs w:val="24"/>
        </w:rPr>
        <w:t>f.eks. vil kunne</w:t>
      </w:r>
      <w:r w:rsidRPr="00796736">
        <w:rPr>
          <w:rFonts w:ascii="Times New Roman" w:hAnsi="Times New Roman" w:cs="Times New Roman"/>
          <w:sz w:val="24"/>
          <w:szCs w:val="24"/>
        </w:rPr>
        <w:t xml:space="preserve">være relevant, hvis der er tvivl om, hvorvidt partnerskabet fungerer efter hensigten, hvis der opstår mistanke om manglende overholdelse af regler, eller hvis der er behov for at sikre, at informationsudvekslingen sker på en sikker og korrekt måde. </w:t>
      </w:r>
    </w:p>
    <w:p w14:paraId="53166478" w14:textId="77777777" w:rsidR="009C423A" w:rsidRPr="00796736" w:rsidRDefault="009C423A" w:rsidP="00A802A5">
      <w:pPr>
        <w:spacing w:line="360" w:lineRule="auto"/>
        <w:rPr>
          <w:rFonts w:ascii="Times New Roman" w:hAnsi="Times New Roman" w:cs="Times New Roman"/>
          <w:sz w:val="24"/>
          <w:szCs w:val="24"/>
        </w:rPr>
      </w:pPr>
      <w:r w:rsidRPr="00796736">
        <w:rPr>
          <w:rFonts w:ascii="Times New Roman" w:eastAsia="Aptos" w:hAnsi="Times New Roman" w:cs="Times New Roman"/>
          <w:sz w:val="24"/>
          <w:szCs w:val="24"/>
        </w:rPr>
        <w:t xml:space="preserve">Det foreslås derfor, at Spillemyndigheden får hjemmel til at kunne </w:t>
      </w:r>
      <w:r w:rsidRPr="00796736">
        <w:rPr>
          <w:rFonts w:ascii="Times New Roman" w:hAnsi="Times New Roman" w:cs="Times New Roman"/>
          <w:sz w:val="24"/>
          <w:szCs w:val="24"/>
        </w:rPr>
        <w:t>påbyde virksomheder og personer, der deltager i et partnerskab med henblik på udveksling af oplysninger, at få foretaget en uafhængig revision af, hvordan partnerskabet fungerer. Det foreslås også, at resultatet af den uafhængige revision skal kunne udveksles med Spillemyndigheden.</w:t>
      </w:r>
    </w:p>
    <w:p w14:paraId="1D19435C" w14:textId="77777777" w:rsidR="009C423A" w:rsidRPr="00796736" w:rsidRDefault="009C423A" w:rsidP="00A802A5">
      <w:pPr>
        <w:spacing w:line="360" w:lineRule="auto"/>
        <w:rPr>
          <w:rFonts w:ascii="Times New Roman" w:eastAsia="Aptos" w:hAnsi="Times New Roman" w:cs="Times New Roman"/>
          <w:sz w:val="24"/>
          <w:szCs w:val="24"/>
        </w:rPr>
      </w:pPr>
    </w:p>
    <w:p w14:paraId="6D39EC3F" w14:textId="63F83874" w:rsidR="009C423A" w:rsidRPr="00796736" w:rsidRDefault="009C423A" w:rsidP="00A802A5">
      <w:pPr>
        <w:spacing w:line="360" w:lineRule="auto"/>
        <w:rPr>
          <w:rFonts w:ascii="Times New Roman" w:eastAsia="Aptos" w:hAnsi="Times New Roman" w:cs="Times New Roman"/>
          <w:sz w:val="24"/>
          <w:szCs w:val="24"/>
        </w:rPr>
      </w:pPr>
      <w:r w:rsidRPr="00796736">
        <w:rPr>
          <w:rFonts w:ascii="Times New Roman" w:eastAsia="Aptos" w:hAnsi="Times New Roman" w:cs="Times New Roman"/>
          <w:sz w:val="24"/>
          <w:szCs w:val="24"/>
        </w:rPr>
        <w:t>Den foreslåede bestemmelse er ny og</w:t>
      </w:r>
      <w:r w:rsidR="00C06E76" w:rsidRPr="00796736">
        <w:rPr>
          <w:rFonts w:ascii="Times New Roman" w:eastAsia="Aptos" w:hAnsi="Times New Roman" w:cs="Times New Roman"/>
          <w:sz w:val="24"/>
          <w:szCs w:val="24"/>
        </w:rPr>
        <w:t xml:space="preserve"> vil</w:t>
      </w:r>
      <w:r w:rsidRPr="00796736">
        <w:rPr>
          <w:rFonts w:ascii="Times New Roman" w:eastAsia="Aptos" w:hAnsi="Times New Roman" w:cs="Times New Roman"/>
          <w:sz w:val="24"/>
          <w:szCs w:val="24"/>
        </w:rPr>
        <w:t xml:space="preserve"> sikre, at Spillemyndigheden har de fornødne reaktionsmuligheder i overensstemmelse med hvidvaskforordningens artikel 75, stk. 7.</w:t>
      </w:r>
    </w:p>
    <w:p w14:paraId="62292632" w14:textId="77777777" w:rsidR="009C423A" w:rsidRPr="00796736" w:rsidRDefault="009C423A" w:rsidP="00303E15">
      <w:pPr>
        <w:spacing w:line="360" w:lineRule="auto"/>
        <w:rPr>
          <w:rFonts w:ascii="Times New Roman" w:hAnsi="Times New Roman" w:cs="Times New Roman"/>
          <w:sz w:val="24"/>
          <w:szCs w:val="24"/>
        </w:rPr>
      </w:pPr>
    </w:p>
    <w:p w14:paraId="3B27F9CE" w14:textId="3695DEBD" w:rsidR="009C423A" w:rsidRPr="00796736" w:rsidRDefault="009C423A" w:rsidP="00A802A5">
      <w:pPr>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_Ref239324511 \r \h </w:instrText>
      </w:r>
      <w:r w:rsidR="00F375BF"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122</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og bemærkningerne hertil.</w:t>
      </w:r>
    </w:p>
    <w:p w14:paraId="694CF203" w14:textId="77777777" w:rsidR="009C423A" w:rsidRPr="00796736" w:rsidRDefault="009C423A" w:rsidP="00303E15">
      <w:pPr>
        <w:spacing w:line="360" w:lineRule="auto"/>
        <w:rPr>
          <w:rFonts w:ascii="Times New Roman" w:hAnsi="Times New Roman" w:cs="Times New Roman"/>
          <w:sz w:val="24"/>
          <w:szCs w:val="24"/>
        </w:rPr>
      </w:pPr>
    </w:p>
    <w:p w14:paraId="46C207FF" w14:textId="77777777" w:rsidR="001961AE" w:rsidRPr="00796736" w:rsidRDefault="001961AE" w:rsidP="00A802A5">
      <w:pPr>
        <w:spacing w:line="360" w:lineRule="auto"/>
        <w:rPr>
          <w:rFonts w:ascii="Times New Roman" w:eastAsia="Times New Roman" w:hAnsi="Times New Roman" w:cs="Times New Roman"/>
          <w:sz w:val="24"/>
          <w:szCs w:val="24"/>
        </w:rPr>
      </w:pPr>
    </w:p>
    <w:p w14:paraId="43A617DF" w14:textId="0E9F7F5F" w:rsidR="001961AE" w:rsidRPr="00796736" w:rsidRDefault="001961AE" w:rsidP="00A802A5">
      <w:pPr>
        <w:pStyle w:val="Overskrift2"/>
        <w:rPr>
          <w:rFonts w:ascii="Times New Roman" w:hAnsi="Times New Roman"/>
          <w:sz w:val="24"/>
        </w:rPr>
      </w:pPr>
      <w:bookmarkStart w:id="1495" w:name="_Toc244880797"/>
      <w:r w:rsidRPr="00796736">
        <w:rPr>
          <w:rFonts w:ascii="Times New Roman" w:hAnsi="Times New Roman"/>
          <w:sz w:val="24"/>
        </w:rPr>
        <w:t>Spillemyndigheden</w:t>
      </w:r>
      <w:r w:rsidR="00BE72EF" w:rsidRPr="00796736">
        <w:rPr>
          <w:rFonts w:ascii="Times New Roman" w:hAnsi="Times New Roman"/>
          <w:sz w:val="24"/>
        </w:rPr>
        <w:t>s offentliggørelse</w:t>
      </w:r>
      <w:bookmarkEnd w:id="1495"/>
      <w:r w:rsidR="00BE72EF" w:rsidRPr="00796736">
        <w:rPr>
          <w:rFonts w:ascii="Times New Roman" w:hAnsi="Times New Roman"/>
          <w:sz w:val="24"/>
        </w:rPr>
        <w:t xml:space="preserve"> </w:t>
      </w:r>
    </w:p>
    <w:p w14:paraId="55EEA6D2"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3F9862A1"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68, stk. 1, at reaktioner givet efter § 65, stk. 1, og § 66 skal offentliggøres af Spillemyndigheden på Spillemyndighedens hjemmeside, jf. dog stk. 6. Beslutninger om at overgive sager til politimæssig efterforskning offentliggøres som resumé, jf. dog stk. 6. Offentliggørelsen skal omfatte den juridiske eller fysiske persons navn, jf. dog stk. 3.</w:t>
      </w:r>
    </w:p>
    <w:p w14:paraId="540C8D22" w14:textId="77777777" w:rsidR="00F7751F" w:rsidRPr="00796736" w:rsidRDefault="00F7751F" w:rsidP="00A802A5">
      <w:pPr>
        <w:spacing w:line="360" w:lineRule="auto"/>
        <w:rPr>
          <w:rFonts w:ascii="Times New Roman" w:eastAsia="Times New Roman" w:hAnsi="Times New Roman" w:cs="Times New Roman"/>
          <w:sz w:val="24"/>
          <w:szCs w:val="24"/>
        </w:rPr>
      </w:pPr>
    </w:p>
    <w:p w14:paraId="008F389B"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68, stk. 2, at offentliggjorte reaktioner forbliver på Spillemyndighedens hjemmeside i 5 år efter offentliggørelse. Personoplysninger indeholdt i offentliggørelsen må dog kun forblive på Spillemyndighedens hjemmeside i det nødvendige tidsrum i overensstemmelse med de gældende databeskyttelsesregler.</w:t>
      </w:r>
    </w:p>
    <w:p w14:paraId="117B5154" w14:textId="77777777" w:rsidR="00F7751F" w:rsidRPr="00796736" w:rsidRDefault="00F7751F" w:rsidP="00A802A5">
      <w:pPr>
        <w:spacing w:line="360" w:lineRule="auto"/>
        <w:rPr>
          <w:rFonts w:ascii="Times New Roman" w:eastAsia="Times New Roman" w:hAnsi="Times New Roman" w:cs="Times New Roman"/>
          <w:sz w:val="24"/>
          <w:szCs w:val="24"/>
        </w:rPr>
      </w:pPr>
    </w:p>
    <w:p w14:paraId="42EBADC7"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68, stk. 3, at offentliggørelse efter stk. 1, der omfatter en fysisk persons navn, dog alene kan ske ved personens alvorlige, gentagne eller systematiske overtrædelser af § 10, nr. 1, 3, 4 og 5, § 11, stk. 1 og 2 og stk. 3, 1., 3. og 4. pkt., § 14, stk. 1, stk. 2, 2. pkt., stk. 4, 2. pkt., og stk. 5, § 17, stk. 1 og 2, § 18, § 21, stk. 1, 2. pkt., § 25, stk. 1, § 26, stk. 1 og 3, stk. 4, 1. pkt., og stk. 6, 1. pkt., og § 30.</w:t>
      </w:r>
    </w:p>
    <w:p w14:paraId="66767B5A" w14:textId="77777777" w:rsidR="00F7751F" w:rsidRPr="00796736" w:rsidRDefault="00F7751F" w:rsidP="00A802A5">
      <w:pPr>
        <w:spacing w:line="360" w:lineRule="auto"/>
        <w:rPr>
          <w:rFonts w:ascii="Times New Roman" w:eastAsia="Times New Roman" w:hAnsi="Times New Roman" w:cs="Times New Roman"/>
          <w:sz w:val="24"/>
          <w:szCs w:val="24"/>
        </w:rPr>
      </w:pPr>
    </w:p>
    <w:p w14:paraId="6A671BF0"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68, stk. 4, at indbringes reaktionen, der offentliggøres i henhold til stk. 1, 1. pkt., for Landsskatteretten eller domstolene, skal dette fremgå af Spillemyndighedens offentliggørelse, og det efterfølgende resultat af Landsskatterettens eller domstolenes afgørelse skal ligeledes offentliggøres på Spillemyndighedens hjemmeside hurtigst muligt.</w:t>
      </w:r>
    </w:p>
    <w:p w14:paraId="10A7A3C7" w14:textId="77777777" w:rsidR="00F7751F" w:rsidRPr="00796736" w:rsidRDefault="00F7751F" w:rsidP="00A802A5">
      <w:pPr>
        <w:spacing w:line="360" w:lineRule="auto"/>
        <w:rPr>
          <w:rFonts w:ascii="Times New Roman" w:eastAsia="Times New Roman" w:hAnsi="Times New Roman" w:cs="Times New Roman"/>
          <w:sz w:val="24"/>
          <w:szCs w:val="24"/>
        </w:rPr>
      </w:pPr>
    </w:p>
    <w:p w14:paraId="0A42B7C1"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68, stk. 5, at hvis Spillemyndigheden har overgivet en sag til politimæssig efterforskning, og er der afsagt fældende dom eller vedtaget bøde, skal Spillemyndigheden offentliggøre dommen, bødevedtagelsen eller et resumé heraf, jf. dog stk. 6.  Er dommen ikke endelig, eller er den anket eller genoptaget, skal dette fremgå af offentliggørelsen.</w:t>
      </w:r>
    </w:p>
    <w:p w14:paraId="3C900BE7" w14:textId="77777777" w:rsidR="00F7751F" w:rsidRPr="00796736" w:rsidRDefault="00F7751F" w:rsidP="00A802A5">
      <w:pPr>
        <w:spacing w:line="360" w:lineRule="auto"/>
        <w:rPr>
          <w:rFonts w:ascii="Times New Roman" w:eastAsia="Times New Roman" w:hAnsi="Times New Roman" w:cs="Times New Roman"/>
          <w:sz w:val="24"/>
          <w:szCs w:val="24"/>
        </w:rPr>
      </w:pPr>
    </w:p>
    <w:p w14:paraId="7D257DDF"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68, stk. 6, at offentliggørelse efter stk. 1 og 3-5 dog ikke kan ske, hvis det vil medføre uforholdsmæssig stor skade for virksomheden, eller efterforskningsmæssige hensyn taler imod offentliggørelse. Offentliggørelsen må ikke indeholde fortrolige oplysninger om kundeforhold eller oplysninger omfattet af bestemmelser i lov om offentlighed i forvaltningen om undtagelse af oplysninger om private forhold og drifts- eller forretningsforhold m.v. Offentliggørelsen må ikke indeholde fortrolige oplysninger, der hidrører fra et EU- eller EØS-land, medmindre de myndigheder, som har afgivet oplysningerne, har givet deres udtrykkelige tilladelse.</w:t>
      </w:r>
    </w:p>
    <w:p w14:paraId="225AD5DD" w14:textId="77777777" w:rsidR="00F7751F" w:rsidRPr="00796736" w:rsidRDefault="00F7751F" w:rsidP="00A802A5">
      <w:pPr>
        <w:spacing w:line="360" w:lineRule="auto"/>
        <w:rPr>
          <w:rFonts w:ascii="Times New Roman" w:eastAsia="Times New Roman" w:hAnsi="Times New Roman" w:cs="Times New Roman"/>
          <w:sz w:val="24"/>
          <w:szCs w:val="24"/>
        </w:rPr>
      </w:pPr>
    </w:p>
    <w:p w14:paraId="11CB50E3"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68, stk. 7, at hvis offentliggørelse er undladt i henhold til stk. 6, 1. pkt., skal der ske offentliggørelse efter stk. 1 og 3-5, når de hensyn, der nødvendiggjorde undladelsen, ikke længere er gældende. Efter 2 år fra datoen for reaktionen eller beslutningen om at overgive sagen til politimæssig efterforskning skal der dog ikke ske offentliggørelse uanset 1. pkt. Der skal alene ske offentliggørelse, hvis der ikke er sket påtaleopgivelse eller tiltalefrafald efter retsplejelovens regler.</w:t>
      </w:r>
    </w:p>
    <w:p w14:paraId="3FEAC086" w14:textId="77777777" w:rsidR="00F7751F" w:rsidRPr="00796736" w:rsidRDefault="00F7751F" w:rsidP="00A802A5">
      <w:pPr>
        <w:spacing w:line="360" w:lineRule="auto"/>
        <w:rPr>
          <w:rFonts w:ascii="Times New Roman" w:eastAsia="Times New Roman" w:hAnsi="Times New Roman" w:cs="Times New Roman"/>
          <w:sz w:val="24"/>
          <w:szCs w:val="24"/>
        </w:rPr>
      </w:pPr>
    </w:p>
    <w:p w14:paraId="2BE8A707"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68, stk. 8, at i sager, hvor Spillemyndigheden har offentliggjort en beslutning om at overgive en sag til politimæssig efterforskning efter stk. 1, 2. pkt., og der træffes afgørelse om påtaleopgivelse eller tiltalefrafald eller afsiges frifindende dom, skal Spillemyndigheden efter anmodning fra den fysiske eller juridiske person, som sagen vedrører, offentliggøre oplysninger herom. Den fysiske eller juridiske person skal indsende en kopi af afgørelsen om påtaleopgivelse eller tiltalefrafald eller en kopi af dommen til Spillemyndigheden samtidig med anmodning om offentliggørelse. Er påtaleopgivelsen, tiltalefrafaldet eller dommen ikke endelig, skal det fremgå af offentliggørelsen. Modtager Spillemyndigheden dokumentation for, at sagen er afsluttet ved endelig påtaleopgivelse eller tiltalefrafald eller afsigelse af endelig frifindende dom, skal Spillemyndigheden fjerne alle oplysninger om beslutningen om at overgive sagen til politimæssig efterforskning og eventuelle efterfølgende domme i sagen fra Spillemyndighedens hjemmeside.</w:t>
      </w:r>
    </w:p>
    <w:p w14:paraId="6F4B8774" w14:textId="77777777" w:rsidR="00F7751F" w:rsidRPr="00796736" w:rsidRDefault="00F7751F" w:rsidP="00A802A5">
      <w:pPr>
        <w:spacing w:line="360" w:lineRule="auto"/>
        <w:rPr>
          <w:rFonts w:ascii="Times New Roman" w:hAnsi="Times New Roman" w:cs="Times New Roman"/>
          <w:sz w:val="24"/>
          <w:szCs w:val="24"/>
        </w:rPr>
      </w:pPr>
    </w:p>
    <w:p w14:paraId="3F829F4E" w14:textId="292652CB" w:rsidR="001961AE" w:rsidRPr="00796736" w:rsidRDefault="00F7751F"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6. hvidvaskdirektiv</w:t>
      </w:r>
    </w:p>
    <w:p w14:paraId="60584026" w14:textId="77777777" w:rsidR="00F7751F" w:rsidRPr="00796736" w:rsidRDefault="00F7751F" w:rsidP="00A802A5">
      <w:pPr>
        <w:spacing w:line="360" w:lineRule="auto"/>
        <w:rPr>
          <w:rFonts w:ascii="Times New Roman" w:eastAsia="Aptos" w:hAnsi="Times New Roman" w:cs="Times New Roman"/>
          <w:color w:val="000000"/>
          <w:sz w:val="24"/>
          <w:szCs w:val="24"/>
        </w:rPr>
      </w:pPr>
      <w:r w:rsidRPr="00796736">
        <w:rPr>
          <w:rFonts w:ascii="Times New Roman" w:eastAsia="Aptos" w:hAnsi="Times New Roman" w:cs="Times New Roman"/>
          <w:color w:val="000000"/>
          <w:sz w:val="24"/>
          <w:szCs w:val="24"/>
        </w:rPr>
        <w:t>Artikel 58, stk. 1, i 6. hvidvaskdirektiv pålægger medlemsstaterne at sikre, at tilsynsorganerne offentliggør afgørelser om bøder, administrative reaktioner eller tvangsbøder i et tilgængeligt format på deres websted.</w:t>
      </w:r>
    </w:p>
    <w:p w14:paraId="34A1CD25" w14:textId="77777777" w:rsidR="00F7751F" w:rsidRPr="00796736" w:rsidRDefault="00F7751F" w:rsidP="00A802A5">
      <w:pPr>
        <w:spacing w:line="360" w:lineRule="auto"/>
        <w:rPr>
          <w:rFonts w:ascii="Times New Roman" w:eastAsia="Aptos" w:hAnsi="Times New Roman" w:cs="Times New Roman"/>
          <w:color w:val="000000"/>
          <w:sz w:val="24"/>
          <w:szCs w:val="24"/>
        </w:rPr>
      </w:pPr>
    </w:p>
    <w:p w14:paraId="3E47C807" w14:textId="2CED3F0F" w:rsidR="00F7751F" w:rsidRPr="00796736" w:rsidRDefault="00F7751F" w:rsidP="00A802A5">
      <w:pPr>
        <w:spacing w:line="360" w:lineRule="auto"/>
        <w:rPr>
          <w:rFonts w:ascii="Times New Roman" w:eastAsia="Aptos" w:hAnsi="Times New Roman" w:cs="Times New Roman"/>
          <w:color w:val="000000"/>
          <w:sz w:val="24"/>
          <w:szCs w:val="24"/>
        </w:rPr>
      </w:pPr>
      <w:r w:rsidRPr="00796736">
        <w:rPr>
          <w:rFonts w:ascii="Times New Roman" w:eastAsia="Aptos" w:hAnsi="Times New Roman" w:cs="Times New Roman"/>
          <w:color w:val="000000"/>
          <w:sz w:val="24"/>
          <w:szCs w:val="24"/>
        </w:rPr>
        <w:t xml:space="preserve">Det fremgår af artikel 58, stk. 2, i 6. hvidvaskdirektiv, at medlemsstaterne skal sikre, at de i stk. 1 omhandlede afgørelser offentliggøres af tilsynsorganet, umiddelbart efter at de personer, der er ansvarlige for overtrædelsen, er underrettet om de pågældende afgørelser. Uanset </w:t>
      </w:r>
      <w:r w:rsidR="00C06E76" w:rsidRPr="00796736">
        <w:rPr>
          <w:rFonts w:ascii="Times New Roman" w:eastAsia="Aptos" w:hAnsi="Times New Roman" w:cs="Times New Roman"/>
          <w:color w:val="000000"/>
          <w:sz w:val="24"/>
          <w:szCs w:val="24"/>
        </w:rPr>
        <w:t>1.</w:t>
      </w:r>
      <w:r w:rsidRPr="00796736">
        <w:rPr>
          <w:rFonts w:ascii="Times New Roman" w:eastAsia="Aptos" w:hAnsi="Times New Roman" w:cs="Times New Roman"/>
          <w:color w:val="000000"/>
          <w:sz w:val="24"/>
          <w:szCs w:val="24"/>
        </w:rPr>
        <w:t xml:space="preserve"> afsnit kan medlemsstaterne, hvis offentliggørelsen vedrører administrative foranstaltninger, som der er klaget over, og som ikke har til formål at afhjælpe alvorlige, gentagne og systematiske overtrædelser, tillade, at offentliggørelsen af disse administrative foranstaltninger udsættes indtil udløbet af klagefristen. Når offentliggørelsen vedrører afgørelser, der kan påklages, offentliggør tilsynsorganerne også omgående sådanne oplysninger og enhver efterfølgende oplysning om en klage og resultatet af en sådan klage på deres websted. Enhver afgørelse, der annullerer en tidligere afgørelse om pålæggelse af en bøde, om anvendelse af en administrativ foranstaltning eller om pålæggelse af en tvangsbøde, offentliggøres også.</w:t>
      </w:r>
    </w:p>
    <w:p w14:paraId="62D1883C" w14:textId="77777777" w:rsidR="00F7751F" w:rsidRPr="00796736" w:rsidRDefault="00F7751F" w:rsidP="00A802A5">
      <w:pPr>
        <w:spacing w:line="360" w:lineRule="auto"/>
        <w:rPr>
          <w:rFonts w:ascii="Times New Roman" w:eastAsia="Aptos" w:hAnsi="Times New Roman" w:cs="Times New Roman"/>
          <w:color w:val="000000"/>
          <w:sz w:val="24"/>
          <w:szCs w:val="24"/>
        </w:rPr>
      </w:pPr>
    </w:p>
    <w:p w14:paraId="1B6461E1" w14:textId="1DF6833B" w:rsidR="00F7751F" w:rsidRPr="00796736" w:rsidRDefault="00F7751F" w:rsidP="00A802A5">
      <w:pPr>
        <w:spacing w:line="360" w:lineRule="auto"/>
        <w:rPr>
          <w:rFonts w:ascii="Times New Roman" w:eastAsia="Aptos" w:hAnsi="Times New Roman" w:cs="Times New Roman"/>
          <w:color w:val="000000"/>
          <w:sz w:val="24"/>
          <w:szCs w:val="24"/>
        </w:rPr>
      </w:pPr>
      <w:r w:rsidRPr="00796736">
        <w:rPr>
          <w:rFonts w:ascii="Times New Roman" w:eastAsia="Aptos" w:hAnsi="Times New Roman" w:cs="Times New Roman"/>
          <w:color w:val="000000"/>
          <w:sz w:val="24"/>
          <w:szCs w:val="24"/>
        </w:rPr>
        <w:t>Det følger af artikel 58, stk. 3, i 6. hvidvaskdirektiv, at offentliggørelse af bøder, administrative foranstaltninger og tvangsbøder som minimum skal indeholde oplysninger om overtrædelsens type, art, identiteten af de personer, der er ansvarlige, og beløbets størrelse for så vidt angår bøder og tvangsbøder. Denne forpligtelse gælder ikke for afgørelser om anvendelse af administrative foranstaltninger af efterforskningsmæssig karakter eller ved henstillinger og udstedelse af en offentlig meddelelse, hvori den fysiske eller juridiske person og overtrædelsens art identificeres efter artikel 56, stk. 1, litra a og c, i 6. hvidvaskdirektiv.</w:t>
      </w:r>
    </w:p>
    <w:p w14:paraId="750BC6C8" w14:textId="77777777" w:rsidR="00F7751F" w:rsidRPr="00796736" w:rsidRDefault="00F7751F" w:rsidP="00A802A5">
      <w:pPr>
        <w:spacing w:line="360" w:lineRule="auto"/>
        <w:rPr>
          <w:rFonts w:ascii="Times New Roman" w:eastAsia="Aptos" w:hAnsi="Times New Roman" w:cs="Times New Roman"/>
          <w:color w:val="000000"/>
          <w:sz w:val="24"/>
          <w:szCs w:val="24"/>
        </w:rPr>
      </w:pPr>
    </w:p>
    <w:p w14:paraId="5FD5E2E3" w14:textId="0E2F35DB" w:rsidR="00F7751F" w:rsidRPr="00796736" w:rsidRDefault="00F7751F" w:rsidP="00A802A5">
      <w:pPr>
        <w:spacing w:line="360" w:lineRule="auto"/>
        <w:rPr>
          <w:rFonts w:ascii="Times New Roman" w:eastAsia="Aptos" w:hAnsi="Times New Roman" w:cs="Times New Roman"/>
          <w:color w:val="000000"/>
          <w:sz w:val="24"/>
          <w:szCs w:val="24"/>
        </w:rPr>
      </w:pPr>
      <w:r w:rsidRPr="00796736">
        <w:rPr>
          <w:rFonts w:ascii="Times New Roman" w:eastAsia="Aptos" w:hAnsi="Times New Roman" w:cs="Times New Roman"/>
          <w:color w:val="000000"/>
          <w:sz w:val="24"/>
          <w:szCs w:val="24"/>
        </w:rPr>
        <w:t xml:space="preserve">Det følger af artikel 58, stk. 3, </w:t>
      </w:r>
      <w:r w:rsidR="00C06E76" w:rsidRPr="00796736">
        <w:rPr>
          <w:rFonts w:ascii="Times New Roman" w:eastAsia="Aptos" w:hAnsi="Times New Roman" w:cs="Times New Roman"/>
          <w:color w:val="000000"/>
          <w:sz w:val="24"/>
          <w:szCs w:val="24"/>
        </w:rPr>
        <w:t>2.</w:t>
      </w:r>
      <w:r w:rsidRPr="00796736">
        <w:rPr>
          <w:rFonts w:ascii="Times New Roman" w:eastAsia="Aptos" w:hAnsi="Times New Roman" w:cs="Times New Roman"/>
          <w:color w:val="000000"/>
          <w:sz w:val="24"/>
          <w:szCs w:val="24"/>
        </w:rPr>
        <w:t xml:space="preserve"> afsnit, i 6. hvidvaskdirektiv, at hvis tilsynsorganerne anser offentliggørelsen af identiteten på de ansvarlige personer som omhandlet i </w:t>
      </w:r>
      <w:r w:rsidR="00C06E76" w:rsidRPr="00796736">
        <w:rPr>
          <w:rFonts w:ascii="Times New Roman" w:eastAsia="Aptos" w:hAnsi="Times New Roman" w:cs="Times New Roman"/>
          <w:color w:val="000000"/>
          <w:sz w:val="24"/>
          <w:szCs w:val="24"/>
        </w:rPr>
        <w:t>1.</w:t>
      </w:r>
      <w:r w:rsidRPr="00796736">
        <w:rPr>
          <w:rFonts w:ascii="Times New Roman" w:eastAsia="Aptos" w:hAnsi="Times New Roman" w:cs="Times New Roman"/>
          <w:color w:val="000000"/>
          <w:sz w:val="24"/>
          <w:szCs w:val="24"/>
        </w:rPr>
        <w:t xml:space="preserve"> afsnit eller sådanne personers personoplysninger for at være uforholdsmæssig efter en individuel vurdering, eller når offentliggørelsen bringer de finansielle markeders stabilitet eller en igangværende efterforskning i fare, skal tilsynsorganerne udsætte offentliggørelsen af afgørelsen, indtil begrundelsen for at undlade offentliggørelse ikke længere gør sig gældende, eller offentliggøre afgørelsen på anonymt grundlag på en måde, der er i overensstemmelse med national ret, hvis en sådan anonym offentliggørelse sikrer en effektiv beskyttelse af de pågældende personoplysninger. I så fald kan offentliggørelsen af de relevante oplysninger udsættes i et rimeligt tidsrum, hvis det forudsættes, at grundene til den anonyme offentliggørelse vil bortfalde inden for dette tidsrum. Tilsynsorganerne kan også helt undlade at offentliggøre afgørelsen, hvis mulighederne for udsættelse og offentliggørelse på anonymt grundlag anses for at være utilstrækkelige til at sikre, at de finansielle markeders stabilitet ikke bringes i fare, eller at offentliggørelsen af afgørelsen ikke står i et rimeligt forhold til bøder og administrative foranstaltninger for overtrædelser, der vurderes at være af mindre betydning. </w:t>
      </w:r>
    </w:p>
    <w:p w14:paraId="2B6DFE99" w14:textId="77777777" w:rsidR="00F7751F" w:rsidRPr="00796736" w:rsidRDefault="00F7751F" w:rsidP="00A802A5">
      <w:pPr>
        <w:spacing w:line="360" w:lineRule="auto"/>
        <w:rPr>
          <w:rFonts w:ascii="Times New Roman" w:eastAsia="Aptos" w:hAnsi="Times New Roman" w:cs="Times New Roman"/>
          <w:color w:val="000000"/>
          <w:sz w:val="24"/>
          <w:szCs w:val="24"/>
        </w:rPr>
      </w:pPr>
    </w:p>
    <w:p w14:paraId="35CD0F25" w14:textId="77777777" w:rsidR="00F7751F" w:rsidRPr="00796736" w:rsidRDefault="00F7751F" w:rsidP="00A802A5">
      <w:pPr>
        <w:spacing w:line="360" w:lineRule="auto"/>
        <w:rPr>
          <w:rFonts w:ascii="Times New Roman" w:eastAsia="Aptos" w:hAnsi="Times New Roman" w:cs="Times New Roman"/>
          <w:color w:val="000000"/>
          <w:sz w:val="24"/>
          <w:szCs w:val="24"/>
        </w:rPr>
      </w:pPr>
      <w:r w:rsidRPr="00796736">
        <w:rPr>
          <w:rFonts w:ascii="Times New Roman" w:eastAsia="Aptos" w:hAnsi="Times New Roman" w:cs="Times New Roman"/>
          <w:color w:val="000000"/>
          <w:sz w:val="24"/>
          <w:szCs w:val="24"/>
        </w:rPr>
        <w:t xml:space="preserve">Det følger af artikel 58, stk. 4, i 6. hvidvaskdirektiv, at medlemsstaterne sikrer, at enhver offentliggørelse forbliver på tilsynsorganernes websted i 5 år efter offentliggørelsen. For så vidt angår personoplysninger indeholdt i offentliggørelsen skal de dog kun forblive på webstedet i et tidsrum i overensstemmelse med de gældende databeskyttelsesregler og under ingen omstændigheder i mere end 5 år. </w:t>
      </w:r>
    </w:p>
    <w:p w14:paraId="290C8508" w14:textId="77777777" w:rsidR="00F7751F" w:rsidRPr="00796736" w:rsidRDefault="00F7751F" w:rsidP="00A802A5">
      <w:pPr>
        <w:spacing w:line="360" w:lineRule="auto"/>
        <w:rPr>
          <w:rFonts w:ascii="Times New Roman" w:hAnsi="Times New Roman" w:cs="Times New Roman"/>
          <w:sz w:val="24"/>
          <w:szCs w:val="24"/>
        </w:rPr>
      </w:pPr>
    </w:p>
    <w:p w14:paraId="11264516"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5225E3AD"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at videreføre gældende ret om offentliggørelse af reaktioner, dog med de ændringer, der er påkrævet for at foretage direktivnær implementering af artikel 58 i 6. hvidvaskdirektiv.</w:t>
      </w:r>
    </w:p>
    <w:p w14:paraId="129C5811" w14:textId="77777777" w:rsidR="00F7751F" w:rsidRPr="00796736" w:rsidRDefault="00F7751F" w:rsidP="00A802A5">
      <w:pPr>
        <w:spacing w:line="360" w:lineRule="auto"/>
        <w:rPr>
          <w:rFonts w:ascii="Times New Roman" w:eastAsia="Times New Roman" w:hAnsi="Times New Roman" w:cs="Times New Roman"/>
          <w:sz w:val="24"/>
          <w:szCs w:val="24"/>
        </w:rPr>
      </w:pPr>
    </w:p>
    <w:p w14:paraId="12EB2D17" w14:textId="35B5E6A0"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ordning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_Ref232609592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123</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w:t>
      </w:r>
      <w:r w:rsidR="00C06E76" w:rsidRPr="00796736">
        <w:rPr>
          <w:rFonts w:ascii="Times New Roman" w:eastAsia="Times New Roman" w:hAnsi="Times New Roman" w:cs="Times New Roman"/>
          <w:sz w:val="24"/>
          <w:szCs w:val="24"/>
        </w:rPr>
        <w:t>vil medføre en udvidelse af offentliggørelse af administrative reaktioner, da tvangsbøder også vil skulle offentliggøres på Spillemyndighedens hjemmeside.</w:t>
      </w:r>
    </w:p>
    <w:p w14:paraId="40F42C51" w14:textId="77777777" w:rsidR="00922AA1" w:rsidRPr="00796736" w:rsidRDefault="00922AA1" w:rsidP="00A802A5">
      <w:pPr>
        <w:spacing w:line="360" w:lineRule="auto"/>
        <w:rPr>
          <w:rFonts w:ascii="Times New Roman" w:eastAsia="Times New Roman" w:hAnsi="Times New Roman" w:cs="Times New Roman"/>
          <w:sz w:val="24"/>
          <w:szCs w:val="24"/>
        </w:rPr>
      </w:pPr>
    </w:p>
    <w:p w14:paraId="7EAAFFFC" w14:textId="77777777" w:rsidR="00C06E76"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bemærkningerne til hvidvasklovens § 68, </w:t>
      </w:r>
      <w:r w:rsidR="00C06E76" w:rsidRPr="00796736">
        <w:rPr>
          <w:rFonts w:ascii="Times New Roman" w:eastAsia="Times New Roman" w:hAnsi="Times New Roman" w:cs="Times New Roman"/>
          <w:sz w:val="24"/>
          <w:szCs w:val="24"/>
        </w:rPr>
        <w:t>at offentliggørelse som udgangspunkt skal ske, senest dagen efter, a</w:t>
      </w:r>
      <w:r w:rsidR="00C06E76" w:rsidRPr="00796736">
        <w:rPr>
          <w:rFonts w:ascii="Times New Roman" w:hAnsi="Times New Roman" w:cs="Times New Roman"/>
          <w:iCs/>
          <w:sz w:val="24"/>
          <w:szCs w:val="24"/>
        </w:rPr>
        <w:t>t der er truffet afgørelse eller beslutning om at meddele tilsynsreaktionen. Skatte- og Vækstministeriet har vurderet, at udgangspunktet vil skulle ændres til senest 2 dage efter,</w:t>
      </w:r>
      <w:r w:rsidR="00C06E76" w:rsidRPr="00796736">
        <w:rPr>
          <w:rFonts w:ascii="Times New Roman" w:eastAsia="Times New Roman" w:hAnsi="Times New Roman" w:cs="Times New Roman"/>
          <w:sz w:val="24"/>
          <w:szCs w:val="24"/>
        </w:rPr>
        <w:t xml:space="preserve"> a</w:t>
      </w:r>
      <w:r w:rsidR="00C06E76" w:rsidRPr="00796736">
        <w:rPr>
          <w:rFonts w:ascii="Times New Roman" w:hAnsi="Times New Roman" w:cs="Times New Roman"/>
          <w:iCs/>
          <w:sz w:val="24"/>
          <w:szCs w:val="24"/>
        </w:rPr>
        <w:t xml:space="preserve">t der er truffet afgørelse eller beslutning om at meddele tilsynsreaktionen. Dette bl.a. af hensyn til virksomhedernes og personernes mulighed for at kunne orientere sig i afgørelsen og den påtænkte offentliggørelse.  </w:t>
      </w:r>
    </w:p>
    <w:p w14:paraId="012B68ED" w14:textId="77777777" w:rsidR="00C06E76" w:rsidRPr="00796736" w:rsidRDefault="00C06E76" w:rsidP="00A802A5">
      <w:pPr>
        <w:spacing w:line="360" w:lineRule="auto"/>
        <w:rPr>
          <w:rFonts w:ascii="Times New Roman" w:eastAsia="Times New Roman" w:hAnsi="Times New Roman" w:cs="Times New Roman"/>
          <w:sz w:val="24"/>
          <w:szCs w:val="24"/>
        </w:rPr>
      </w:pPr>
    </w:p>
    <w:p w14:paraId="796501AB" w14:textId="77777777"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 så vidt angår en fysisk person vil offentliggørelse kun kunne ske, hvis Spillemyndigheden efter en individuel vurdering ikke anser offentliggørelsen af identiteten på den fysiske person for at være uforholdsmæssig.</w:t>
      </w:r>
    </w:p>
    <w:p w14:paraId="32FDF875" w14:textId="77777777" w:rsidR="00C06E76" w:rsidRPr="00796736" w:rsidRDefault="00C06E76" w:rsidP="00A802A5">
      <w:pPr>
        <w:spacing w:line="360" w:lineRule="auto"/>
        <w:rPr>
          <w:rFonts w:ascii="Times New Roman" w:eastAsia="Times New Roman" w:hAnsi="Times New Roman" w:cs="Times New Roman"/>
          <w:sz w:val="24"/>
          <w:szCs w:val="24"/>
        </w:rPr>
      </w:pPr>
    </w:p>
    <w:p w14:paraId="54315EC5" w14:textId="77777777"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Offentliggørelsen vil skulle fremgå af tilsynsmyndighedens hjemmeside i 5 år. For så vidt angår fysiske personer vil oplysningerne dog skulle fjernes, når oplysningerne ikke længere anses for nødvendige i forhold til de samfundsmæssige hensyn bag offentliggørelsen og kun forblive på hjemmesiden i et tidsrum i overensstemmelse med de gældende databeskyttelsesregler.</w:t>
      </w:r>
    </w:p>
    <w:p w14:paraId="050D833D" w14:textId="77777777" w:rsidR="00C06E76" w:rsidRPr="00796736" w:rsidRDefault="00C06E76" w:rsidP="00A802A5">
      <w:pPr>
        <w:spacing w:line="360" w:lineRule="auto"/>
        <w:rPr>
          <w:rFonts w:ascii="Times New Roman" w:eastAsia="Times New Roman" w:hAnsi="Times New Roman" w:cs="Times New Roman"/>
          <w:sz w:val="24"/>
          <w:szCs w:val="24"/>
        </w:rPr>
      </w:pPr>
    </w:p>
    <w:p w14:paraId="72705C33" w14:textId="77777777"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I de sager, hvor tilsynsmyndighederne vil have offentliggjort en beslutning om at overgive en sag vedrørende en juridisk eller en fysisk person til politimæssig efterforskning, og der herefter bliver truffet afgørelse om påtaleopgivelse eller tiltalefrafald eller afsagt frifindende dom, vil tilsynsmyndighederne skulle offentliggøre oplysninger herom.</w:t>
      </w:r>
    </w:p>
    <w:p w14:paraId="3848E8E5" w14:textId="5B8E14B3" w:rsidR="00F7751F" w:rsidRPr="00796736" w:rsidRDefault="00F7751F" w:rsidP="00A802A5">
      <w:pPr>
        <w:spacing w:line="360" w:lineRule="auto"/>
        <w:rPr>
          <w:rFonts w:ascii="Times New Roman" w:eastAsia="Times New Roman" w:hAnsi="Times New Roman" w:cs="Times New Roman"/>
          <w:sz w:val="24"/>
          <w:szCs w:val="24"/>
        </w:rPr>
      </w:pPr>
    </w:p>
    <w:p w14:paraId="601B64B8" w14:textId="7D566B7D"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henvises til lovforslagets </w:t>
      </w:r>
      <w:r w:rsidR="00BE72EF" w:rsidRPr="00796736">
        <w:rPr>
          <w:rFonts w:ascii="Times New Roman" w:eastAsia="Times New Roman" w:hAnsi="Times New Roman" w:cs="Times New Roman"/>
          <w:sz w:val="24"/>
          <w:szCs w:val="24"/>
        </w:rPr>
        <w:fldChar w:fldCharType="begin"/>
      </w:r>
      <w:r w:rsidR="00BE72EF" w:rsidRPr="00796736">
        <w:rPr>
          <w:rFonts w:ascii="Times New Roman" w:eastAsia="Times New Roman" w:hAnsi="Times New Roman" w:cs="Times New Roman"/>
          <w:sz w:val="24"/>
          <w:szCs w:val="24"/>
        </w:rPr>
        <w:instrText xml:space="preserve"> REF _Ref232609592 \r \h  \* MERGEFORMAT </w:instrText>
      </w:r>
      <w:r w:rsidR="00BE72EF" w:rsidRPr="00796736">
        <w:rPr>
          <w:rFonts w:ascii="Times New Roman" w:eastAsia="Times New Roman" w:hAnsi="Times New Roman" w:cs="Times New Roman"/>
          <w:sz w:val="24"/>
          <w:szCs w:val="24"/>
        </w:rPr>
      </w:r>
      <w:r w:rsidR="00BE72E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123</w:t>
      </w:r>
      <w:r w:rsidR="00BE72EF" w:rsidRPr="00796736">
        <w:rPr>
          <w:rFonts w:ascii="Times New Roman" w:eastAsia="Times New Roman" w:hAnsi="Times New Roman" w:cs="Times New Roman"/>
          <w:sz w:val="24"/>
          <w:szCs w:val="24"/>
        </w:rPr>
        <w:fldChar w:fldCharType="end"/>
      </w:r>
      <w:r w:rsidR="00BE72EF"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og bemærkningerne hertil.</w:t>
      </w:r>
    </w:p>
    <w:p w14:paraId="7EE7F0D3" w14:textId="77777777" w:rsidR="001961AE" w:rsidRPr="00796736" w:rsidRDefault="001961AE" w:rsidP="00A802A5">
      <w:pPr>
        <w:spacing w:line="360" w:lineRule="auto"/>
        <w:rPr>
          <w:rFonts w:ascii="Times New Roman" w:hAnsi="Times New Roman" w:cs="Times New Roman"/>
          <w:sz w:val="24"/>
          <w:szCs w:val="24"/>
        </w:rPr>
      </w:pPr>
    </w:p>
    <w:p w14:paraId="043516FE" w14:textId="43265D54" w:rsidR="001961AE" w:rsidRPr="00796736" w:rsidRDefault="001961AE" w:rsidP="00A802A5">
      <w:pPr>
        <w:pStyle w:val="Overskrift2"/>
        <w:rPr>
          <w:rFonts w:ascii="Times New Roman" w:hAnsi="Times New Roman"/>
          <w:sz w:val="24"/>
        </w:rPr>
      </w:pPr>
      <w:bookmarkStart w:id="1496" w:name="_Toc244880798"/>
      <w:r w:rsidRPr="00796736">
        <w:rPr>
          <w:rFonts w:ascii="Times New Roman" w:hAnsi="Times New Roman"/>
          <w:sz w:val="24"/>
        </w:rPr>
        <w:t>Spillemyndigheden</w:t>
      </w:r>
      <w:r w:rsidR="00EF468F" w:rsidRPr="00796736">
        <w:rPr>
          <w:rFonts w:ascii="Times New Roman" w:hAnsi="Times New Roman"/>
          <w:sz w:val="24"/>
        </w:rPr>
        <w:t>s tavshedspligt</w:t>
      </w:r>
      <w:bookmarkEnd w:id="1496"/>
    </w:p>
    <w:p w14:paraId="03BFB205"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0AE24CAB"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69, stk. 1, at Spillemyndighedens ansatte under ansvar efter straffelovens §§ 152-152 e er forpligtet til at hemmeligholde fortrolige oplysninger, som de får kendskab til gennem tilsynsvirksomheden. Det samme gælder personer, der udfører serviceopgaver som led i myndighedens drift, og eksperter, der handler på myndighedens vegne. Dette gælder også efter ansættelses- eller kontraktforholdets ophør.</w:t>
      </w:r>
    </w:p>
    <w:p w14:paraId="26A400E8" w14:textId="77777777" w:rsidR="00F7751F" w:rsidRPr="00796736" w:rsidRDefault="00F7751F" w:rsidP="00A802A5">
      <w:pPr>
        <w:spacing w:line="360" w:lineRule="auto"/>
        <w:rPr>
          <w:rFonts w:ascii="Times New Roman" w:eastAsia="Times New Roman" w:hAnsi="Times New Roman" w:cs="Times New Roman"/>
          <w:sz w:val="24"/>
          <w:szCs w:val="24"/>
        </w:rPr>
      </w:pPr>
    </w:p>
    <w:p w14:paraId="7CC39460"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69, stk. 2, at et samtykke fra den, som tavshedspligten tilsigter at beskytte, ikke berettiger personer som nævnt i stk. 1 til at videregive fortrolige oplysninger. </w:t>
      </w:r>
    </w:p>
    <w:p w14:paraId="76202DBE" w14:textId="77777777" w:rsidR="00F7751F" w:rsidRPr="00796736" w:rsidRDefault="00F7751F" w:rsidP="00A802A5">
      <w:pPr>
        <w:spacing w:line="360" w:lineRule="auto"/>
        <w:rPr>
          <w:rFonts w:ascii="Times New Roman" w:eastAsia="Times New Roman" w:hAnsi="Times New Roman" w:cs="Times New Roman"/>
          <w:sz w:val="24"/>
          <w:szCs w:val="24"/>
        </w:rPr>
      </w:pPr>
    </w:p>
    <w:p w14:paraId="4B87D06D"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69, stk. 3, at tavshedspligten i § 69, stk. 1, ikke er til hinder for, at fortrolige oplysninger kan videregives til de myndigheder m.v., der er oplistet i nr. 1-11, herunder andre tilsynsmyndigheder, domstolene, medlemmer af et samarbejdsforum og tilsynsmyndigheder i andre lande.</w:t>
      </w:r>
    </w:p>
    <w:p w14:paraId="3453CFEC" w14:textId="77777777" w:rsidR="00F7751F" w:rsidRPr="00796736" w:rsidRDefault="00F7751F" w:rsidP="00A802A5">
      <w:pPr>
        <w:spacing w:line="360" w:lineRule="auto"/>
        <w:rPr>
          <w:rFonts w:ascii="Times New Roman" w:eastAsia="Times New Roman" w:hAnsi="Times New Roman" w:cs="Times New Roman"/>
          <w:sz w:val="24"/>
          <w:szCs w:val="24"/>
        </w:rPr>
      </w:pPr>
    </w:p>
    <w:p w14:paraId="0E5C60E9"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69, stk. 4, at videregivelse til tilsynsmyndigheder i lande uden for EU eller EØS alene kan ske på baggrund af en international samarbejdsaftale, og under forudsætning af at modtagerne mindst er underlagt en lovbestemt tavshedspligt, der svarer til tavshedspligten i medfør af § 69, stk. 1, og har et væsentligt behov for oplysningerne til varetagelse af deres opgaver.</w:t>
      </w:r>
    </w:p>
    <w:p w14:paraId="08FE8BC3" w14:textId="77777777" w:rsidR="00F7751F" w:rsidRPr="00796736" w:rsidRDefault="00F7751F" w:rsidP="00A802A5">
      <w:pPr>
        <w:spacing w:line="360" w:lineRule="auto"/>
        <w:rPr>
          <w:rFonts w:ascii="Times New Roman" w:eastAsia="Times New Roman" w:hAnsi="Times New Roman" w:cs="Times New Roman"/>
          <w:sz w:val="24"/>
          <w:szCs w:val="24"/>
        </w:rPr>
      </w:pPr>
    </w:p>
    <w:p w14:paraId="28446566"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69, stk. 5, at alle de oplistede myndigheder i § 69, stk. 3, nr. 1-11, der modtager fortrolige oplysninger fra Spillemyndigheden, med hensyn til disse oplysninger er undergivet den i hvidvasklovens § 69, stk. 1, omhandlede tavshedspligt. </w:t>
      </w:r>
    </w:p>
    <w:p w14:paraId="62F2BE50" w14:textId="77777777" w:rsidR="00F7751F" w:rsidRPr="00796736" w:rsidRDefault="00F7751F" w:rsidP="00A802A5">
      <w:pPr>
        <w:spacing w:line="360" w:lineRule="auto"/>
        <w:rPr>
          <w:rFonts w:ascii="Times New Roman" w:eastAsia="Times New Roman" w:hAnsi="Times New Roman" w:cs="Times New Roman"/>
          <w:sz w:val="24"/>
          <w:szCs w:val="24"/>
        </w:rPr>
      </w:pPr>
    </w:p>
    <w:p w14:paraId="157BEF1D"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69, stk. 6, at videregivelse i henhold til stk. 3, nr. 1, 2, 7, 8, 10, 12 og 13, af fortrolige oplysninger, der hidrører fra et EU- eller EØS-land eller finansielle tilsynsmyndigheder i lande uden for EU eller EØS, alene kan ske, såfremt de myndigheder, som har afgivet oplysningerne, har givet deres udtrykkelige tilladelse, og at de udelukkende må benyttes til det formål, som tilladelsen vedrører.</w:t>
      </w:r>
    </w:p>
    <w:p w14:paraId="4E90DC2A" w14:textId="77777777" w:rsidR="00F7751F" w:rsidRPr="00796736" w:rsidRDefault="00F7751F" w:rsidP="00A802A5">
      <w:pPr>
        <w:spacing w:line="360" w:lineRule="auto"/>
        <w:rPr>
          <w:rFonts w:ascii="Times New Roman" w:eastAsia="Times New Roman" w:hAnsi="Times New Roman" w:cs="Times New Roman"/>
          <w:sz w:val="24"/>
          <w:szCs w:val="24"/>
        </w:rPr>
      </w:pPr>
    </w:p>
    <w:p w14:paraId="265B0CAE"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69, stk. 7, at fortrolige oplysninger, som Spillemyndigheden modtager, kun må anvendes i forbindelse med tilsynshvervet til at pålægge sanktioner, eller hvis tilsynsmyndighedens afgørelse påklages til højere administrativ myndighed eller indbringes for domstolene.</w:t>
      </w:r>
    </w:p>
    <w:p w14:paraId="538E0853" w14:textId="77777777" w:rsidR="00F7751F" w:rsidRPr="00796736" w:rsidRDefault="00F7751F" w:rsidP="00A802A5">
      <w:pPr>
        <w:spacing w:line="360" w:lineRule="auto"/>
        <w:rPr>
          <w:rFonts w:ascii="Times New Roman" w:hAnsi="Times New Roman" w:cs="Times New Roman"/>
          <w:sz w:val="24"/>
          <w:szCs w:val="24"/>
        </w:rPr>
      </w:pPr>
    </w:p>
    <w:p w14:paraId="6C1D0F94" w14:textId="6295B990" w:rsidR="001961AE" w:rsidRPr="00796736" w:rsidRDefault="00F7751F"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6. hvidvaskdirektiv</w:t>
      </w:r>
    </w:p>
    <w:p w14:paraId="24AA6FE9" w14:textId="5225A7F0"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51, stk. 1, i 6. hvidvaskdirektiv, at medlemsstaterne sikrer, at tilsynsorganer kan indgå samarbejdsaftaler vedrørende samarbejde og udveksling af fortrolige oplysninger med deres modparter i tredjelande. Samarbejdsaftalerne skal overholde gældende databeskyttelsesregler og være gensidige samt underlagt en garanti om krav til tavshedspligt, der mindst svarer til den, der er omtalt i artikel 67, stk. 1. Udvekslingen af fortrolige oplysninger inden for disse samarbejdsaftaler må kun anvendes med henblik på de pågældende myndigheders udførelse af deres tilsynsopgaver. </w:t>
      </w:r>
    </w:p>
    <w:p w14:paraId="51C23B91" w14:textId="77777777" w:rsidR="00F7751F" w:rsidRPr="00796736" w:rsidRDefault="00F7751F" w:rsidP="00A802A5">
      <w:pPr>
        <w:spacing w:line="360" w:lineRule="auto"/>
        <w:rPr>
          <w:rFonts w:ascii="Times New Roman" w:eastAsia="Aptos" w:hAnsi="Times New Roman" w:cs="Times New Roman"/>
          <w:color w:val="000000"/>
          <w:sz w:val="24"/>
          <w:szCs w:val="24"/>
        </w:rPr>
      </w:pPr>
    </w:p>
    <w:p w14:paraId="23741726"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artikel 67, stk. 1, i 6. hvidvaskdirektiv, at medlemsstaterne skal kræve, at alle personer, der arbejder for eller har arbejdet for en tilsynsmyndighed, er underlagt tavshedspligt. </w:t>
      </w:r>
    </w:p>
    <w:p w14:paraId="37A8CEBE" w14:textId="77777777" w:rsidR="00F7751F" w:rsidRPr="00796736" w:rsidRDefault="00F7751F" w:rsidP="00A802A5">
      <w:pPr>
        <w:spacing w:line="360" w:lineRule="auto"/>
        <w:rPr>
          <w:rFonts w:ascii="Times New Roman" w:eastAsia="Times New Roman" w:hAnsi="Times New Roman" w:cs="Times New Roman"/>
          <w:sz w:val="24"/>
          <w:szCs w:val="24"/>
        </w:rPr>
      </w:pPr>
    </w:p>
    <w:p w14:paraId="621022DE"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67, stk. 2, i 6. hvidvaskdirektiv, at tavshedspligten ikke er til hinder for, at der udveksles oplysninger med en række oplistede myndigheder, herunder andre tilsynsmyndigheder, uanset om de befinder sig i en medlemsstat eller i forskellige medlemsstater, herunder AMLA. Oplysninger kan endvidere udveksles med medlemsstaternes FIU’er, en offentlig myndighed, der har til opgave at efterforske eller retsforfølge i sager om hvidvask eller finansiering af terrorisme, samt offentlige myndigheder, der har fået til ansvar at bekæmpe hvidvask af penge og finansiering af terrorisme. </w:t>
      </w:r>
    </w:p>
    <w:p w14:paraId="2016824E" w14:textId="77777777" w:rsidR="00F7751F" w:rsidRPr="00796736" w:rsidRDefault="00F7751F" w:rsidP="00A802A5">
      <w:pPr>
        <w:spacing w:line="360" w:lineRule="auto"/>
        <w:rPr>
          <w:rFonts w:ascii="Times New Roman" w:eastAsia="Times New Roman" w:hAnsi="Times New Roman" w:cs="Times New Roman"/>
          <w:sz w:val="24"/>
          <w:szCs w:val="24"/>
        </w:rPr>
      </w:pPr>
    </w:p>
    <w:p w14:paraId="1A91B425"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at artikel 68, stk. 1, litra a og b, i 6. hvidvaskdirektiv, at med undtagelse af tilfælde nævnt i hvidvaskforordningens artikel 70, stk. 2, tillader medlemsstaterne udveksling af oplysninger mellem tilsynsorganer og offentlige myndigheder, der fører tilsyn med selvregulerende organer i henhold til direktivets kapitel 4, uanset om de befinder sig i samme medlemsstat eller i forskellige medlemsstater. Medlemsstaterne tillader endvidere udveksling af oplysninger mellem tilsynsorganer og de myndigheder, der ved lov er er ansvarlige for tilsynet med de finansielle markeder, i forbindelse med varetagelsen af deres respektive tilsynsopgaver. </w:t>
      </w:r>
    </w:p>
    <w:p w14:paraId="62B89FB2" w14:textId="77777777" w:rsidR="00F7751F" w:rsidRPr="00796736" w:rsidRDefault="00F7751F" w:rsidP="00A802A5">
      <w:pPr>
        <w:spacing w:line="360" w:lineRule="auto"/>
        <w:rPr>
          <w:rFonts w:ascii="Times New Roman" w:eastAsia="Times New Roman" w:hAnsi="Times New Roman" w:cs="Times New Roman"/>
          <w:sz w:val="24"/>
          <w:szCs w:val="24"/>
        </w:rPr>
      </w:pPr>
    </w:p>
    <w:p w14:paraId="5FD3489A" w14:textId="6CA435BD"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1, 2. afsnit, i 6. hvidvaskdirektiv, at de krav om tavshedspligt, der er fastsat i artikel 61, stk. 1 og 3, ikke er til hinder for en udveksling af oplysninger omhandlet i nærværende stykkes </w:t>
      </w:r>
      <w:r w:rsidR="00C06E76" w:rsidRPr="00796736">
        <w:rPr>
          <w:rFonts w:ascii="Times New Roman" w:eastAsia="Times New Roman" w:hAnsi="Times New Roman" w:cs="Times New Roman"/>
          <w:sz w:val="24"/>
          <w:szCs w:val="24"/>
        </w:rPr>
        <w:t>1.</w:t>
      </w:r>
      <w:r w:rsidRPr="00796736">
        <w:rPr>
          <w:rFonts w:ascii="Times New Roman" w:eastAsia="Times New Roman" w:hAnsi="Times New Roman" w:cs="Times New Roman"/>
          <w:sz w:val="24"/>
          <w:szCs w:val="24"/>
        </w:rPr>
        <w:t xml:space="preserve"> afsnit. </w:t>
      </w:r>
    </w:p>
    <w:p w14:paraId="47952D16" w14:textId="77777777" w:rsidR="00F7751F" w:rsidRPr="00796736" w:rsidRDefault="00F7751F" w:rsidP="00A802A5">
      <w:pPr>
        <w:spacing w:line="360" w:lineRule="auto"/>
        <w:rPr>
          <w:rFonts w:ascii="Times New Roman" w:eastAsia="Times New Roman" w:hAnsi="Times New Roman" w:cs="Times New Roman"/>
          <w:sz w:val="24"/>
          <w:szCs w:val="24"/>
        </w:rPr>
      </w:pPr>
    </w:p>
    <w:p w14:paraId="40EF8979"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1, 3. afsnit, i 6. hvidvaskdirektiv, at fortrolige oplysninger, der udveksles i henhold til dette stykke, kun må anvendes til varetagelse af de berørte myndigheders opgaver og i forbindelse med administrative eller retslige procedurer, der specifikt vedrører udøvelsen af disse funktioner. De modtagne oplysninger er under alle omstændigheder underlagt krav om tavshedspligt, der mindst svarer til de krav, som er omhandlet i artikel 67, stk. 1. </w:t>
      </w:r>
    </w:p>
    <w:p w14:paraId="4079B0B0" w14:textId="77777777" w:rsidR="00F7751F" w:rsidRPr="00796736" w:rsidRDefault="00F7751F" w:rsidP="00A802A5">
      <w:pPr>
        <w:spacing w:line="360" w:lineRule="auto"/>
        <w:rPr>
          <w:rFonts w:ascii="Times New Roman" w:eastAsia="Times New Roman" w:hAnsi="Times New Roman" w:cs="Times New Roman"/>
          <w:sz w:val="24"/>
          <w:szCs w:val="24"/>
        </w:rPr>
      </w:pPr>
    </w:p>
    <w:p w14:paraId="177C1F97"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68, stk. 2, i 6. hvidvaskdirektiv, at medlemsstaterne kan give tilladelse til, at visse oplysninger videregives til andre nationale myndigheder, som ved lov er ansvarlige for tilsyn med finansielle markeder, eller som er udpeget som ansvarlige for at bekæmpe eller efterforske hvidvask af penge, de underliggende lovovertrædelser eller finansiering af terrorisme. De krav om tavshedspligt fastsat i artikel 67, stk. 1 og 3, i 6. hvidvaskdirektiv, er ikke til hinder for en sådan videregivelse af oplysninger. Det fremgår herudover, at fortrolige oplysninger, der udveksles i henhold til artikel 68, stk. 2, i 6. hvidvaskdirektiv, dog kun må anvendes med henblik på varetagelse af de pågældende myndigheders lovmæssige opgaver. Personer, der har adgang til sådanne oplysninger, skal være underlagt krav om tavshedspligt, der mindst svarer til de krav, som er omhandlet i artikel 67, stk. 1, i 6. hvidvaskdirektiv. </w:t>
      </w:r>
    </w:p>
    <w:p w14:paraId="0FD49A8E" w14:textId="77777777" w:rsidR="00F7751F" w:rsidRPr="00796736" w:rsidRDefault="00F7751F" w:rsidP="00A802A5">
      <w:pPr>
        <w:spacing w:line="360" w:lineRule="auto"/>
        <w:rPr>
          <w:rFonts w:ascii="Times New Roman" w:eastAsia="Times New Roman" w:hAnsi="Times New Roman" w:cs="Times New Roman"/>
          <w:sz w:val="24"/>
          <w:szCs w:val="24"/>
        </w:rPr>
      </w:pPr>
    </w:p>
    <w:p w14:paraId="0D75E50A" w14:textId="641333E5"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68, stk. 3, i 6. hvidvaskdirektiv, at medlemsstaterne kan give tilladelse til, at visse oplysninger i forbindelse med tilsyn med forpligtede enheders overholdelse af hvidvaskforordningen videregives til parlamentariske undersøgelsesudvalg, revisionsretter og andre enheder med ansvar for undersøgelser i deres medlemsstat. Tilladelsen kan gives på betingelse af, at enhederne har et præcist mandat i henhold til national ret til at undersøge eller granske de aktiviteter, som udføres af tilsynsorganer eller myndigheder med ansvar for lovgivningen om dette tilsyn, at oplysningerne er strengt nødvendige for udøvelsen af det nævnte mandat</w:t>
      </w:r>
      <w:r w:rsidR="00C06E76"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at de personer, som har adgang til oplysningerne, er underlagt krav om tavshedspligt i henhold til national ret, der mindst svarer til dem, der er omhandlet i artikel 68, stk. 1, at oplysninger, der stammer fra en anden medlemsstat, ikke videregives uden udtrykkeligt samtykke fra den tilsynsmyndighed, som har videregivet dem, og i givet fald udelukkende til de formål, som den pågældende tilsynsmyndighed har givet sit samtykke til. Det fremgår endvidere, at medlemsstaterne også kan tillade videregivelse af oplysninger i henhold til nærværende stykkes første afsnit til midlertidige undersøgelsesudvalg nedsat af Europa-Parlamentet i overensstemmelse med artikel 226 i TEUF og artikel 2 i Europa-Parlamentets, Rådets og Kommissionens afgørelse 95/167/EF, Eurotom, EKSF, hvis videregivelsen er nødvendig for udførelsen af disse udvalgs aktiviteter.</w:t>
      </w:r>
    </w:p>
    <w:p w14:paraId="322638DC" w14:textId="77777777" w:rsidR="00F7751F" w:rsidRPr="00796736" w:rsidRDefault="00F7751F" w:rsidP="00A802A5">
      <w:pPr>
        <w:spacing w:line="360" w:lineRule="auto"/>
        <w:rPr>
          <w:rFonts w:ascii="Times New Roman" w:hAnsi="Times New Roman" w:cs="Times New Roman"/>
          <w:sz w:val="24"/>
          <w:szCs w:val="24"/>
        </w:rPr>
      </w:pPr>
    </w:p>
    <w:p w14:paraId="31EB8F96" w14:textId="77777777" w:rsidR="001961AE" w:rsidRPr="00796736" w:rsidRDefault="001961AE"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2A52B5F8"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at videreføre gældende ret i forhold til regler om tavshedspligt, dog med de ændringer, der er påkrævet for at foretage en direktivnær implementering af artikel 67, stk. 1 og 2, og artikel 68 i 6. hvidvaskdirektiv. </w:t>
      </w:r>
    </w:p>
    <w:p w14:paraId="421BC515" w14:textId="77777777" w:rsidR="00F7751F" w:rsidRPr="00796736" w:rsidRDefault="00F7751F" w:rsidP="00A802A5">
      <w:pPr>
        <w:spacing w:line="360" w:lineRule="auto"/>
        <w:rPr>
          <w:rFonts w:ascii="Times New Roman" w:eastAsia="Times New Roman" w:hAnsi="Times New Roman" w:cs="Times New Roman"/>
          <w:sz w:val="24"/>
          <w:szCs w:val="24"/>
        </w:rPr>
      </w:pPr>
    </w:p>
    <w:p w14:paraId="0FEF5015" w14:textId="3549562A"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ordning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_Ref232609613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124</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fastsætter Spillemyndighedens ansattes tavshedspligt og videregivelse af fortrolige oplysninger.</w:t>
      </w:r>
    </w:p>
    <w:p w14:paraId="0155623B" w14:textId="77777777" w:rsidR="001961AE" w:rsidRPr="00796736" w:rsidRDefault="001961AE" w:rsidP="00A802A5">
      <w:pPr>
        <w:spacing w:line="360" w:lineRule="auto"/>
        <w:rPr>
          <w:rFonts w:ascii="Times New Roman" w:hAnsi="Times New Roman" w:cs="Times New Roman"/>
          <w:sz w:val="24"/>
          <w:szCs w:val="24"/>
        </w:rPr>
      </w:pPr>
    </w:p>
    <w:p w14:paraId="7B103520" w14:textId="194152E2" w:rsidR="00F7751F" w:rsidRPr="00796736" w:rsidRDefault="00EF468F" w:rsidP="00A802A5">
      <w:pPr>
        <w:pStyle w:val="Overskrift2"/>
        <w:rPr>
          <w:rFonts w:ascii="Times New Roman" w:hAnsi="Times New Roman"/>
          <w:sz w:val="24"/>
        </w:rPr>
      </w:pPr>
      <w:bookmarkStart w:id="1497" w:name="_Toc244880799"/>
      <w:r w:rsidRPr="00796736">
        <w:rPr>
          <w:rFonts w:ascii="Times New Roman" w:hAnsi="Times New Roman"/>
          <w:sz w:val="24"/>
        </w:rPr>
        <w:t>Spillemyndighedens tavshedspligt vedrørende oplysninger om indberettere af overtrædelser</w:t>
      </w:r>
      <w:bookmarkEnd w:id="1497"/>
    </w:p>
    <w:p w14:paraId="37D3093B" w14:textId="77777777" w:rsidR="00F7751F" w:rsidRPr="00796736" w:rsidRDefault="00F7751F"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0EB4E072" w14:textId="6B8046C0"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Spillemyndighedens ansatte er efter</w:t>
      </w:r>
      <w:r w:rsidR="00C06E76" w:rsidRPr="00796736">
        <w:rPr>
          <w:rFonts w:ascii="Times New Roman" w:eastAsia="Times New Roman" w:hAnsi="Times New Roman" w:cs="Times New Roman"/>
          <w:sz w:val="24"/>
          <w:szCs w:val="24"/>
        </w:rPr>
        <w:t xml:space="preserve"> straffelovens</w:t>
      </w:r>
      <w:r w:rsidRPr="00796736">
        <w:rPr>
          <w:rFonts w:ascii="Times New Roman" w:eastAsia="Times New Roman" w:hAnsi="Times New Roman" w:cs="Times New Roman"/>
          <w:sz w:val="24"/>
          <w:szCs w:val="24"/>
        </w:rPr>
        <w:t xml:space="preserve"> §§ 152-152 e forpligtiget til at hemmeligholde fortrolige oplysninger, som de får kendskab til gennem tilsynsvirksomheden. Fortrolige oplysninger kan dog i henhold til den gældende hvidvasklovs § 69 under nærmere angivne betingelser videregives til f.eks. andre offentlige myndigheder, domstole og tilsynsmyndigheder i andre lande.</w:t>
      </w:r>
    </w:p>
    <w:p w14:paraId="4C132BD0" w14:textId="77777777" w:rsidR="00F7751F" w:rsidRPr="00796736" w:rsidRDefault="00F7751F" w:rsidP="00A802A5">
      <w:pPr>
        <w:spacing w:line="360" w:lineRule="auto"/>
        <w:rPr>
          <w:rFonts w:ascii="Times New Roman" w:eastAsia="Times New Roman" w:hAnsi="Times New Roman" w:cs="Times New Roman"/>
          <w:sz w:val="24"/>
          <w:szCs w:val="24"/>
        </w:rPr>
      </w:pPr>
    </w:p>
    <w:p w14:paraId="16849F76" w14:textId="40CE582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derudover af</w:t>
      </w:r>
      <w:r w:rsidR="00C06E76" w:rsidRPr="00796736">
        <w:rPr>
          <w:rFonts w:ascii="Times New Roman" w:eastAsia="Times New Roman" w:hAnsi="Times New Roman" w:cs="Times New Roman"/>
          <w:sz w:val="24"/>
          <w:szCs w:val="24"/>
        </w:rPr>
        <w:t xml:space="preserve"> hvidvasklovens</w:t>
      </w:r>
      <w:r w:rsidRPr="00796736">
        <w:rPr>
          <w:rFonts w:ascii="Times New Roman" w:eastAsia="Times New Roman" w:hAnsi="Times New Roman" w:cs="Times New Roman"/>
          <w:sz w:val="24"/>
          <w:szCs w:val="24"/>
        </w:rPr>
        <w:t xml:space="preserve"> § 69 a, at Spillemyndighedens ansatte ikke må videregive oplysninger om en person, når vedkommende har indberettet en virksomhed eller en person til Spillemyndigheden for overtrædelse eller potentiel overtrædelse af hvidvaskloven. </w:t>
      </w:r>
    </w:p>
    <w:p w14:paraId="4D1A8D8B" w14:textId="77777777" w:rsidR="00F7751F" w:rsidRPr="00796736" w:rsidRDefault="00F7751F" w:rsidP="00A802A5">
      <w:pPr>
        <w:spacing w:line="360" w:lineRule="auto"/>
        <w:rPr>
          <w:rFonts w:ascii="Times New Roman" w:hAnsi="Times New Roman" w:cs="Times New Roman"/>
          <w:sz w:val="24"/>
          <w:szCs w:val="24"/>
        </w:rPr>
      </w:pPr>
    </w:p>
    <w:p w14:paraId="3615F8F9" w14:textId="77777777" w:rsidR="00F7751F" w:rsidRPr="00796736" w:rsidRDefault="00F7751F"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6. hvidvaskdirektiv</w:t>
      </w:r>
    </w:p>
    <w:p w14:paraId="57E3CD29" w14:textId="53C99E6C"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60, stk. 2,</w:t>
      </w:r>
      <w:r w:rsidR="00C06E76" w:rsidRPr="00796736">
        <w:rPr>
          <w:rFonts w:ascii="Times New Roman" w:hAnsi="Times New Roman" w:cs="Times New Roman"/>
          <w:sz w:val="24"/>
          <w:szCs w:val="24"/>
        </w:rPr>
        <w:t xml:space="preserve"> i 6. hvidvaskdirektiv,</w:t>
      </w:r>
      <w:r w:rsidRPr="00796736">
        <w:rPr>
          <w:rFonts w:ascii="Times New Roman" w:hAnsi="Times New Roman" w:cs="Times New Roman"/>
          <w:sz w:val="24"/>
          <w:szCs w:val="24"/>
        </w:rPr>
        <w:t xml:space="preserve"> at tilsynsmyndighederne er de myndigheder, der har kompetence til at etablere eksterne indberetningskanaler og til at følge op på indberetninger for så vidt angår de krav, der gælder for forpligtede enheder, i overensstemmelse med direktiv (EU) 2019/1937.</w:t>
      </w:r>
    </w:p>
    <w:p w14:paraId="216F828B" w14:textId="77777777" w:rsidR="00EF468F" w:rsidRPr="00796736" w:rsidRDefault="00EF468F" w:rsidP="00A802A5">
      <w:pPr>
        <w:spacing w:line="360" w:lineRule="auto"/>
        <w:rPr>
          <w:rFonts w:ascii="Times New Roman" w:hAnsi="Times New Roman" w:cs="Times New Roman"/>
          <w:sz w:val="24"/>
          <w:szCs w:val="24"/>
        </w:rPr>
      </w:pPr>
    </w:p>
    <w:p w14:paraId="03FD2873" w14:textId="77777777" w:rsidR="00F7751F" w:rsidRPr="00796736" w:rsidRDefault="00F7751F"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33928D55" w14:textId="4CE6BB6A"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Vækstministeriet har med implementeringen af 6. hvidvaskdirektiv overvejet, hvorvidt der skal ske ændringer til de </w:t>
      </w:r>
      <w:r w:rsidR="00C06E76" w:rsidRPr="00796736">
        <w:rPr>
          <w:rFonts w:ascii="Times New Roman" w:eastAsia="Times New Roman" w:hAnsi="Times New Roman" w:cs="Times New Roman"/>
          <w:sz w:val="24"/>
          <w:szCs w:val="24"/>
        </w:rPr>
        <w:t>gældende</w:t>
      </w:r>
      <w:r w:rsidRPr="00796736">
        <w:rPr>
          <w:rFonts w:ascii="Times New Roman" w:eastAsia="Times New Roman" w:hAnsi="Times New Roman" w:cs="Times New Roman"/>
          <w:sz w:val="24"/>
          <w:szCs w:val="24"/>
        </w:rPr>
        <w:t xml:space="preserve"> bestemmelser i hvidvaskloven vedrørende tavshedspligten for Spillemyndighedens ansatte. </w:t>
      </w:r>
    </w:p>
    <w:p w14:paraId="1844C30F" w14:textId="77777777" w:rsidR="00F7751F" w:rsidRPr="00796736" w:rsidRDefault="00F7751F" w:rsidP="00A802A5">
      <w:pPr>
        <w:spacing w:line="360" w:lineRule="auto"/>
        <w:rPr>
          <w:rFonts w:ascii="Times New Roman" w:eastAsia="Times New Roman" w:hAnsi="Times New Roman" w:cs="Times New Roman"/>
          <w:sz w:val="24"/>
          <w:szCs w:val="24"/>
        </w:rPr>
      </w:pPr>
    </w:p>
    <w:p w14:paraId="20FBCD60" w14:textId="77777777"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er væsentligt, at fortrolige oplysninger fortsat beskyttes effektivt, og at videregivelse kun sker, hvor det er nødvendigt og hjemlet i lovgivningen. Samtidig er det vigtigt, at Spillemyndigheden har mulighed for at samarbejde med relevante myndigheder for at sikre en effektiv håndhævelse af reglerne om forebyggelse og bekæmpelse af hvidvask og finansiering af terrorisme.</w:t>
      </w:r>
    </w:p>
    <w:p w14:paraId="770294D1" w14:textId="77777777" w:rsidR="00F7751F" w:rsidRPr="00796736" w:rsidRDefault="00F7751F" w:rsidP="00A802A5">
      <w:pPr>
        <w:spacing w:line="360" w:lineRule="auto"/>
        <w:rPr>
          <w:rFonts w:ascii="Times New Roman" w:eastAsia="Times New Roman" w:hAnsi="Times New Roman" w:cs="Times New Roman"/>
          <w:sz w:val="24"/>
          <w:szCs w:val="24"/>
        </w:rPr>
      </w:pPr>
    </w:p>
    <w:p w14:paraId="391417ED" w14:textId="3D3B565F"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Vækstministeriet har vurderet, at rammerne for den generelle tavshedspligt efter den gældende hvidvasklovs § 69 i vid udstrækning </w:t>
      </w:r>
      <w:r w:rsidR="00C06E76" w:rsidRPr="00796736">
        <w:rPr>
          <w:rFonts w:ascii="Times New Roman" w:eastAsia="Times New Roman" w:hAnsi="Times New Roman" w:cs="Times New Roman"/>
          <w:sz w:val="24"/>
          <w:szCs w:val="24"/>
        </w:rPr>
        <w:t>vil kunne</w:t>
      </w:r>
      <w:r w:rsidRPr="00796736">
        <w:rPr>
          <w:rFonts w:ascii="Times New Roman" w:eastAsia="Times New Roman" w:hAnsi="Times New Roman" w:cs="Times New Roman"/>
          <w:sz w:val="24"/>
          <w:szCs w:val="24"/>
        </w:rPr>
        <w:t xml:space="preserve"> videreføres i sin eksisterende form med de fornødne tilføjelser påkrævet efter 6. hvidvaskdirektivs artikel 67 og</w:t>
      </w:r>
      <w:r w:rsidR="00C06E76"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68, herunder at der kan ske videregivelse af oplysninger til AMLA. </w:t>
      </w:r>
    </w:p>
    <w:p w14:paraId="52E6BEA1" w14:textId="77777777" w:rsidR="00F7751F" w:rsidRPr="00796736" w:rsidRDefault="00F7751F" w:rsidP="00A802A5">
      <w:pPr>
        <w:spacing w:line="360" w:lineRule="auto"/>
        <w:rPr>
          <w:rFonts w:ascii="Times New Roman" w:eastAsia="Times New Roman" w:hAnsi="Times New Roman" w:cs="Times New Roman"/>
          <w:sz w:val="24"/>
          <w:szCs w:val="24"/>
        </w:rPr>
      </w:pPr>
    </w:p>
    <w:p w14:paraId="41D21593" w14:textId="5682CFF1" w:rsidR="00F7751F" w:rsidRPr="00796736" w:rsidRDefault="00F7751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Vækstministeriet har vurderet, at der med implementeringen af 6. hvidvaskdirektiv ikke </w:t>
      </w:r>
      <w:r w:rsidR="00C06E76" w:rsidRPr="00796736">
        <w:rPr>
          <w:rFonts w:ascii="Times New Roman" w:eastAsia="Times New Roman" w:hAnsi="Times New Roman" w:cs="Times New Roman"/>
          <w:sz w:val="24"/>
          <w:szCs w:val="24"/>
        </w:rPr>
        <w:t>vil være</w:t>
      </w:r>
      <w:r w:rsidRPr="00796736">
        <w:rPr>
          <w:rFonts w:ascii="Times New Roman" w:eastAsia="Times New Roman" w:hAnsi="Times New Roman" w:cs="Times New Roman"/>
          <w:sz w:val="24"/>
          <w:szCs w:val="24"/>
        </w:rPr>
        <w:t xml:space="preserve"> behov for justeringer af den gældende hvidvasklovs § 69 a om særlig tavshedspligt vedrørende underretninger, hvorfor bestemmelsen foreslås videreført i sin </w:t>
      </w:r>
      <w:r w:rsidR="00C06E76" w:rsidRPr="00796736">
        <w:rPr>
          <w:rFonts w:ascii="Times New Roman" w:eastAsia="Times New Roman" w:hAnsi="Times New Roman" w:cs="Times New Roman"/>
          <w:sz w:val="24"/>
          <w:szCs w:val="24"/>
        </w:rPr>
        <w:t>gældende</w:t>
      </w:r>
      <w:r w:rsidRPr="00796736">
        <w:rPr>
          <w:rFonts w:ascii="Times New Roman" w:eastAsia="Times New Roman" w:hAnsi="Times New Roman" w:cs="Times New Roman"/>
          <w:sz w:val="24"/>
          <w:szCs w:val="24"/>
        </w:rPr>
        <w:t xml:space="preserve"> form uden ændringer.</w:t>
      </w:r>
    </w:p>
    <w:p w14:paraId="2EC8C1FA" w14:textId="77777777" w:rsidR="00506D8A" w:rsidRPr="00796736" w:rsidRDefault="00506D8A" w:rsidP="00A802A5">
      <w:pPr>
        <w:spacing w:line="360" w:lineRule="auto"/>
        <w:rPr>
          <w:rFonts w:ascii="Times New Roman" w:eastAsia="Times New Roman" w:hAnsi="Times New Roman" w:cs="Times New Roman"/>
          <w:sz w:val="24"/>
          <w:szCs w:val="24"/>
        </w:rPr>
      </w:pPr>
    </w:p>
    <w:p w14:paraId="2FB65EA5" w14:textId="6B6DA095"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henvises i øvrigt til lovforslagets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_Ref236648779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og bemærkningerne hertil.</w:t>
      </w:r>
    </w:p>
    <w:p w14:paraId="09769994" w14:textId="77777777" w:rsidR="00C06E76" w:rsidRPr="00796736" w:rsidRDefault="00C06E76" w:rsidP="00A802A5">
      <w:pPr>
        <w:spacing w:line="360" w:lineRule="auto"/>
        <w:rPr>
          <w:rFonts w:ascii="Times New Roman" w:eastAsia="Times New Roman" w:hAnsi="Times New Roman" w:cs="Times New Roman"/>
          <w:sz w:val="24"/>
          <w:szCs w:val="24"/>
        </w:rPr>
      </w:pPr>
    </w:p>
    <w:p w14:paraId="5DF9B54A" w14:textId="77777777" w:rsidR="00C06E76" w:rsidRPr="00796736" w:rsidRDefault="00C06E76" w:rsidP="00A802A5">
      <w:pPr>
        <w:spacing w:line="360" w:lineRule="auto"/>
        <w:rPr>
          <w:rFonts w:ascii="Times New Roman" w:eastAsia="Times New Roman" w:hAnsi="Times New Roman" w:cs="Times New Roman"/>
          <w:sz w:val="24"/>
          <w:szCs w:val="24"/>
        </w:rPr>
      </w:pPr>
    </w:p>
    <w:p w14:paraId="69CB1140" w14:textId="1C3F32A8" w:rsidR="00561EAD" w:rsidRPr="00796736" w:rsidRDefault="003F527C" w:rsidP="00A802A5">
      <w:pPr>
        <w:pStyle w:val="Overskrift2"/>
        <w:rPr>
          <w:rFonts w:ascii="Times New Roman" w:hAnsi="Times New Roman"/>
          <w:sz w:val="24"/>
        </w:rPr>
      </w:pPr>
      <w:bookmarkStart w:id="1498" w:name="_Toc232109287"/>
      <w:bookmarkStart w:id="1499" w:name="_Toc244880800"/>
      <w:r w:rsidRPr="00796736">
        <w:rPr>
          <w:rFonts w:ascii="Times New Roman" w:hAnsi="Times New Roman"/>
          <w:sz w:val="24"/>
        </w:rPr>
        <w:t>Kommunikation og samarbejdsforum</w:t>
      </w:r>
      <w:bookmarkEnd w:id="1498"/>
      <w:bookmarkEnd w:id="1499"/>
    </w:p>
    <w:p w14:paraId="38FB46A1" w14:textId="65B27D46" w:rsidR="00561EAD" w:rsidRPr="00796736" w:rsidRDefault="00561EAD" w:rsidP="00A802A5">
      <w:pPr>
        <w:pStyle w:val="Overskrift4"/>
        <w:rPr>
          <w:rFonts w:ascii="Times New Roman" w:hAnsi="Times New Roman" w:cs="Times New Roman"/>
          <w:sz w:val="24"/>
          <w:szCs w:val="24"/>
        </w:rPr>
      </w:pPr>
      <w:bookmarkStart w:id="1500" w:name="_Toc232109288"/>
      <w:r w:rsidRPr="00796736">
        <w:rPr>
          <w:rFonts w:ascii="Times New Roman" w:hAnsi="Times New Roman" w:cs="Times New Roman"/>
          <w:sz w:val="24"/>
          <w:szCs w:val="24"/>
        </w:rPr>
        <w:t>Gældende ret</w:t>
      </w:r>
      <w:bookmarkEnd w:id="1500"/>
    </w:p>
    <w:p w14:paraId="32EDC580" w14:textId="694D1D94"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hvidvasklovens § 70, stk. 1, at </w:t>
      </w:r>
      <w:r w:rsidR="00C06E76" w:rsidRPr="00796736">
        <w:rPr>
          <w:rFonts w:ascii="Times New Roman" w:eastAsia="Times New Roman" w:hAnsi="Times New Roman" w:cs="Times New Roman"/>
          <w:sz w:val="24"/>
          <w:szCs w:val="24"/>
        </w:rPr>
        <w:t>erhvervsministeren</w:t>
      </w:r>
      <w:r w:rsidRPr="00796736">
        <w:rPr>
          <w:rFonts w:ascii="Times New Roman" w:eastAsia="Times New Roman" w:hAnsi="Times New Roman" w:cs="Times New Roman"/>
          <w:sz w:val="24"/>
          <w:szCs w:val="24"/>
        </w:rPr>
        <w:t xml:space="preserve"> kan fastsætte regler om, at skriftlig kommunikation til og fra Finanstilsynet og til og fra Erhvervsstyrelsen om forhold, som er omfattet af denne lov eller regler udstedt i medfør af denne lov, skal foregå digitalt.</w:t>
      </w:r>
    </w:p>
    <w:p w14:paraId="66BE9BA9" w14:textId="77777777" w:rsidR="005C41B2" w:rsidRPr="00796736" w:rsidRDefault="005C41B2" w:rsidP="00A802A5">
      <w:pPr>
        <w:spacing w:line="360" w:lineRule="auto"/>
        <w:rPr>
          <w:rFonts w:ascii="Times New Roman" w:eastAsia="Times New Roman" w:hAnsi="Times New Roman" w:cs="Times New Roman"/>
          <w:sz w:val="24"/>
          <w:szCs w:val="24"/>
        </w:rPr>
      </w:pPr>
    </w:p>
    <w:p w14:paraId="39668C45" w14:textId="7C04A86C"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hvidvasklovens § 70, stk. 2, at </w:t>
      </w:r>
      <w:r w:rsidR="00C06E76" w:rsidRPr="00796736">
        <w:rPr>
          <w:rFonts w:ascii="Times New Roman" w:eastAsia="Times New Roman" w:hAnsi="Times New Roman" w:cs="Times New Roman"/>
          <w:sz w:val="24"/>
          <w:szCs w:val="24"/>
        </w:rPr>
        <w:t>erhvervsministeren</w:t>
      </w:r>
      <w:r w:rsidRPr="00796736">
        <w:rPr>
          <w:rFonts w:ascii="Times New Roman" w:eastAsia="Times New Roman" w:hAnsi="Times New Roman" w:cs="Times New Roman"/>
          <w:sz w:val="24"/>
          <w:szCs w:val="24"/>
        </w:rPr>
        <w:t xml:space="preserve"> kan fastsætte nærmere regler om digital kommunikation, herunder om anvendelse af bestemte </w:t>
      </w:r>
      <w:r w:rsidR="00922AA1" w:rsidRPr="00796736">
        <w:rPr>
          <w:rFonts w:ascii="Times New Roman" w:eastAsia="Times New Roman" w:hAnsi="Times New Roman" w:cs="Times New Roman"/>
          <w:sz w:val="24"/>
          <w:szCs w:val="24"/>
        </w:rPr>
        <w:t>IT</w:t>
      </w:r>
      <w:r w:rsidRPr="00796736">
        <w:rPr>
          <w:rFonts w:ascii="Times New Roman" w:eastAsia="Times New Roman" w:hAnsi="Times New Roman" w:cs="Times New Roman"/>
          <w:sz w:val="24"/>
          <w:szCs w:val="24"/>
        </w:rPr>
        <w:t>-systemer, særlige digitale formater og digital signatur el.lign.</w:t>
      </w:r>
    </w:p>
    <w:p w14:paraId="2E1FFFCB" w14:textId="77777777" w:rsidR="005C41B2" w:rsidRPr="00796736" w:rsidRDefault="005C41B2" w:rsidP="00A802A5">
      <w:pPr>
        <w:spacing w:line="360" w:lineRule="auto"/>
        <w:rPr>
          <w:rFonts w:ascii="Times New Roman" w:eastAsia="Times New Roman" w:hAnsi="Times New Roman" w:cs="Times New Roman"/>
          <w:sz w:val="24"/>
          <w:szCs w:val="24"/>
        </w:rPr>
      </w:pPr>
    </w:p>
    <w:p w14:paraId="1CA4E896" w14:textId="77777777"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71, at en digital meddelelse anses for at være kommet frem, når den er tilgængelig for adressaten for meddelelsen.</w:t>
      </w:r>
    </w:p>
    <w:p w14:paraId="7D7B9429" w14:textId="77777777" w:rsidR="005C41B2" w:rsidRPr="00796736" w:rsidRDefault="005C41B2" w:rsidP="00A802A5">
      <w:pPr>
        <w:spacing w:line="360" w:lineRule="auto"/>
        <w:rPr>
          <w:rFonts w:ascii="Times New Roman" w:eastAsia="Times New Roman" w:hAnsi="Times New Roman" w:cs="Times New Roman"/>
          <w:sz w:val="24"/>
          <w:szCs w:val="24"/>
        </w:rPr>
      </w:pPr>
    </w:p>
    <w:p w14:paraId="08EFE8A7" w14:textId="77777777"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72, stk. 1, at hvis det i denne lov eller i regler udstedt i medfør af denne lov er et krav, at et dokument, som er udstedt af andre end Finanstilsynet eller Erhvervsstyrelsen, skal være underskrevet, kan dette krav opfyldes ved anvendelse af en teknik, der sikrer entydig identifikation af den, som har udstedt dokumentet, jf. dog stk. 2. Sådanne dokumenter sidestilles med dokumenter med personlig underskrift.</w:t>
      </w:r>
    </w:p>
    <w:p w14:paraId="76BCF69A" w14:textId="77777777" w:rsidR="005C41B2" w:rsidRPr="00796736" w:rsidRDefault="005C41B2" w:rsidP="00A802A5">
      <w:pPr>
        <w:spacing w:line="360" w:lineRule="auto"/>
        <w:rPr>
          <w:rFonts w:ascii="Times New Roman" w:eastAsia="Times New Roman" w:hAnsi="Times New Roman" w:cs="Times New Roman"/>
          <w:sz w:val="24"/>
          <w:szCs w:val="24"/>
        </w:rPr>
      </w:pPr>
    </w:p>
    <w:p w14:paraId="4A4D6B07" w14:textId="35717527"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hvidvasklovens § 72, stk. 2, at </w:t>
      </w:r>
      <w:r w:rsidR="00C06E76" w:rsidRPr="00796736">
        <w:rPr>
          <w:rFonts w:ascii="Times New Roman" w:eastAsia="Times New Roman" w:hAnsi="Times New Roman" w:cs="Times New Roman"/>
          <w:sz w:val="24"/>
          <w:szCs w:val="24"/>
        </w:rPr>
        <w:t xml:space="preserve">erhvervsministeren </w:t>
      </w:r>
      <w:r w:rsidRPr="00796736">
        <w:rPr>
          <w:rFonts w:ascii="Times New Roman" w:eastAsia="Times New Roman" w:hAnsi="Times New Roman" w:cs="Times New Roman"/>
          <w:sz w:val="24"/>
          <w:szCs w:val="24"/>
        </w:rPr>
        <w:t>kan fastsætte nærmere regler om fravigelse af underskriftskrav. Det kan herunder bestemmes, at krav om personlig underskrift ikke kan fraviges for visse typer af dokumenter.</w:t>
      </w:r>
    </w:p>
    <w:p w14:paraId="170FD9C4" w14:textId="77777777" w:rsidR="005C41B2" w:rsidRPr="00796736" w:rsidRDefault="005C41B2" w:rsidP="00A802A5">
      <w:pPr>
        <w:spacing w:line="360" w:lineRule="auto"/>
        <w:rPr>
          <w:rFonts w:ascii="Times New Roman" w:eastAsia="Times New Roman" w:hAnsi="Times New Roman" w:cs="Times New Roman"/>
          <w:sz w:val="24"/>
          <w:szCs w:val="24"/>
        </w:rPr>
      </w:pPr>
    </w:p>
    <w:p w14:paraId="5621EF19" w14:textId="2F9A5D23"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73, at skatte</w:t>
      </w:r>
      <w:r w:rsidR="00C06E76" w:rsidRPr="00796736">
        <w:rPr>
          <w:rFonts w:ascii="Times New Roman" w:eastAsia="Times New Roman" w:hAnsi="Times New Roman" w:cs="Times New Roman"/>
          <w:sz w:val="24"/>
          <w:szCs w:val="24"/>
        </w:rPr>
        <w:t>- og vækst</w:t>
      </w:r>
      <w:r w:rsidRPr="00796736">
        <w:rPr>
          <w:rFonts w:ascii="Times New Roman" w:eastAsia="Times New Roman" w:hAnsi="Times New Roman" w:cs="Times New Roman"/>
          <w:sz w:val="24"/>
          <w:szCs w:val="24"/>
        </w:rPr>
        <w:t>ministeren i forhold til Spillemyndigheden og udbydere af spil, jf. § 1, stk. 1, nr. 19, kan fastsætte regler om digital kommunikation som nævnt i § 70 og om underskriftsformer samt fravigelse af underskriftskrav som nævnt i § 72.</w:t>
      </w:r>
    </w:p>
    <w:p w14:paraId="6EDE6314" w14:textId="77777777" w:rsidR="005C41B2" w:rsidRPr="00796736" w:rsidRDefault="005C41B2" w:rsidP="00A802A5">
      <w:pPr>
        <w:spacing w:line="360" w:lineRule="auto"/>
        <w:rPr>
          <w:rFonts w:ascii="Times New Roman" w:eastAsia="Times New Roman" w:hAnsi="Times New Roman" w:cs="Times New Roman"/>
          <w:sz w:val="24"/>
          <w:szCs w:val="24"/>
        </w:rPr>
      </w:pPr>
    </w:p>
    <w:p w14:paraId="648BDDAA" w14:textId="620F4642" w:rsidR="005C41B2" w:rsidRPr="00796736" w:rsidRDefault="005C41B2" w:rsidP="00A802A5">
      <w:pPr>
        <w:spacing w:line="360" w:lineRule="auto"/>
        <w:rPr>
          <w:rFonts w:ascii="Times New Roman" w:eastAsia="Times New Roman" w:hAnsi="Times New Roman" w:cs="Times New Roman"/>
          <w:i/>
          <w:iCs/>
          <w:sz w:val="24"/>
          <w:szCs w:val="24"/>
        </w:rPr>
      </w:pPr>
      <w:r w:rsidRPr="00796736">
        <w:rPr>
          <w:rFonts w:ascii="Times New Roman" w:eastAsia="Times New Roman" w:hAnsi="Times New Roman" w:cs="Times New Roman"/>
          <w:sz w:val="24"/>
          <w:szCs w:val="24"/>
        </w:rPr>
        <w:t xml:space="preserve">Det fremgår af hvidvasklovens § 74, stk. 1, at </w:t>
      </w:r>
      <w:r w:rsidR="00C06E76" w:rsidRPr="00796736">
        <w:rPr>
          <w:rFonts w:ascii="Times New Roman" w:eastAsia="Times New Roman" w:hAnsi="Times New Roman" w:cs="Times New Roman"/>
          <w:sz w:val="24"/>
          <w:szCs w:val="24"/>
        </w:rPr>
        <w:t>erhvervs</w:t>
      </w:r>
      <w:r w:rsidR="003D2A25">
        <w:rPr>
          <w:rFonts w:ascii="Times New Roman" w:eastAsia="Times New Roman" w:hAnsi="Times New Roman" w:cs="Times New Roman"/>
          <w:sz w:val="24"/>
          <w:szCs w:val="24"/>
        </w:rPr>
        <w:t>ministeren</w:t>
      </w:r>
      <w:r w:rsidRPr="00796736">
        <w:rPr>
          <w:rFonts w:ascii="Times New Roman" w:eastAsia="Times New Roman" w:hAnsi="Times New Roman" w:cs="Times New Roman"/>
          <w:sz w:val="24"/>
          <w:szCs w:val="24"/>
        </w:rPr>
        <w:t xml:space="preserve"> etablerer et forum med deltagelse af tilsynsmyndighederne i henhold til hvidvaskloven og Hvidvasksekretariatet. Dette forum skal koordinere myndighedernes risikovurderinger og generelle foranstaltninger mod hvidvask af udbytte og finansiering af terrorisme.</w:t>
      </w:r>
      <w:r w:rsidRPr="00796736">
        <w:rPr>
          <w:rFonts w:ascii="Times New Roman" w:eastAsia="Times New Roman" w:hAnsi="Times New Roman" w:cs="Times New Roman"/>
          <w:i/>
          <w:iCs/>
          <w:sz w:val="24"/>
          <w:szCs w:val="24"/>
        </w:rPr>
        <w:t> </w:t>
      </w:r>
    </w:p>
    <w:p w14:paraId="64C3B612" w14:textId="77777777" w:rsidR="005C41B2" w:rsidRPr="00796736" w:rsidRDefault="005C41B2" w:rsidP="00A802A5">
      <w:pPr>
        <w:spacing w:line="360" w:lineRule="auto"/>
        <w:rPr>
          <w:rFonts w:ascii="Times New Roman" w:eastAsia="Times New Roman" w:hAnsi="Times New Roman" w:cs="Times New Roman"/>
          <w:i/>
          <w:iCs/>
          <w:sz w:val="24"/>
          <w:szCs w:val="24"/>
        </w:rPr>
      </w:pPr>
    </w:p>
    <w:p w14:paraId="432CBF49" w14:textId="0853E53D"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hvidvasklovens § 74, stk. 2, at </w:t>
      </w:r>
      <w:r w:rsidR="00C06E76" w:rsidRPr="00796736">
        <w:rPr>
          <w:rFonts w:ascii="Times New Roman" w:eastAsia="Times New Roman" w:hAnsi="Times New Roman" w:cs="Times New Roman"/>
          <w:sz w:val="24"/>
          <w:szCs w:val="24"/>
        </w:rPr>
        <w:t>erhvervs</w:t>
      </w:r>
      <w:r w:rsidR="003D2A25">
        <w:rPr>
          <w:rFonts w:ascii="Times New Roman" w:eastAsia="Times New Roman" w:hAnsi="Times New Roman" w:cs="Times New Roman"/>
          <w:sz w:val="24"/>
          <w:szCs w:val="24"/>
        </w:rPr>
        <w:t>ministeren</w:t>
      </w:r>
      <w:r w:rsidRPr="00796736">
        <w:rPr>
          <w:rFonts w:ascii="Times New Roman" w:eastAsia="Times New Roman" w:hAnsi="Times New Roman" w:cs="Times New Roman"/>
          <w:sz w:val="24"/>
          <w:szCs w:val="24"/>
        </w:rPr>
        <w:t xml:space="preserve"> kan beslutte at udvide kredsen med repræsentanter for andre myndigheder.</w:t>
      </w:r>
      <w:r w:rsidRPr="00796736">
        <w:rPr>
          <w:rFonts w:ascii="Times New Roman" w:eastAsia="Times New Roman" w:hAnsi="Times New Roman" w:cs="Times New Roman"/>
          <w:i/>
          <w:iCs/>
          <w:sz w:val="24"/>
          <w:szCs w:val="24"/>
        </w:rPr>
        <w:t> </w:t>
      </w:r>
    </w:p>
    <w:p w14:paraId="26B318D4" w14:textId="77777777" w:rsidR="005C41B2" w:rsidRPr="00796736" w:rsidRDefault="005C41B2" w:rsidP="00A802A5">
      <w:pPr>
        <w:spacing w:line="360" w:lineRule="auto"/>
        <w:rPr>
          <w:rFonts w:ascii="Times New Roman" w:hAnsi="Times New Roman" w:cs="Times New Roman"/>
          <w:sz w:val="24"/>
          <w:szCs w:val="24"/>
        </w:rPr>
      </w:pPr>
    </w:p>
    <w:p w14:paraId="3FCC5788" w14:textId="7362BFA6" w:rsidR="005C41B2" w:rsidRPr="00796736" w:rsidRDefault="005C41B2" w:rsidP="00A802A5">
      <w:pPr>
        <w:pStyle w:val="Overskrift4"/>
        <w:rPr>
          <w:rFonts w:ascii="Times New Roman" w:hAnsi="Times New Roman" w:cs="Times New Roman"/>
          <w:sz w:val="24"/>
          <w:szCs w:val="24"/>
        </w:rPr>
      </w:pPr>
      <w:bookmarkStart w:id="1501" w:name="_Toc232109289"/>
      <w:r w:rsidRPr="00796736">
        <w:rPr>
          <w:rFonts w:ascii="Times New Roman" w:hAnsi="Times New Roman" w:cs="Times New Roman"/>
          <w:sz w:val="24"/>
          <w:szCs w:val="24"/>
        </w:rPr>
        <w:t>6. hvidvaskdirektiv</w:t>
      </w:r>
      <w:bookmarkEnd w:id="1501"/>
      <w:r w:rsidRPr="00796736">
        <w:rPr>
          <w:rFonts w:ascii="Times New Roman" w:hAnsi="Times New Roman" w:cs="Times New Roman"/>
          <w:sz w:val="24"/>
          <w:szCs w:val="24"/>
        </w:rPr>
        <w:t xml:space="preserve"> </w:t>
      </w:r>
    </w:p>
    <w:p w14:paraId="1D46C012" w14:textId="77777777"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37, stk. 4, andet afsnit, i 6. hvidvaskdirektiv, at hvis en medlemsstat har overdraget tilsynet med alle forpligtede enheder til mere end ét tilsynsorgan, opretter den en koordineringsmekanisme blandt disse tilsynsorganer for at sikre et effektivt tilsyn med forpligtede enheder efter de højeste standarder. </w:t>
      </w:r>
    </w:p>
    <w:p w14:paraId="3E4326D7" w14:textId="77777777" w:rsidR="005C41B2" w:rsidRPr="00796736" w:rsidRDefault="005C41B2" w:rsidP="00A802A5">
      <w:pPr>
        <w:spacing w:line="360" w:lineRule="auto"/>
        <w:rPr>
          <w:rFonts w:ascii="Times New Roman" w:eastAsia="Times New Roman" w:hAnsi="Times New Roman" w:cs="Times New Roman"/>
          <w:sz w:val="24"/>
          <w:szCs w:val="24"/>
        </w:rPr>
      </w:pPr>
    </w:p>
    <w:p w14:paraId="3135D7B4" w14:textId="77777777" w:rsidR="005C41B2" w:rsidRPr="00796736" w:rsidRDefault="005C41B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Koordineringsmekanismen skal omfatte alle tilsynsorganer, undtagen hvis tilsynet overdrages til et selvregulerende organ, hvorved den offentlige myndighed, der er omhandlet i direktivets artikel 52, deltager i koordineringsmekanismen. Det samme gælder, hvis tilsynet med kategorier af forpligtede enheder overdrages til flere tilsynsorganer, hvorved det ledende tilsynsorgan deltager i koordineringsmekanismen. Hvis der ikke er udpeget et ledende tilsynsorgan, udpeger tilsynsorganerne en repræsentant imellem dem. </w:t>
      </w:r>
    </w:p>
    <w:p w14:paraId="79A0E6CF" w14:textId="77777777" w:rsidR="005C41B2" w:rsidRPr="00796736" w:rsidRDefault="005C41B2" w:rsidP="00A802A5">
      <w:pPr>
        <w:spacing w:line="360" w:lineRule="auto"/>
        <w:rPr>
          <w:rFonts w:ascii="Times New Roman" w:hAnsi="Times New Roman" w:cs="Times New Roman"/>
          <w:sz w:val="24"/>
          <w:szCs w:val="24"/>
        </w:rPr>
      </w:pPr>
    </w:p>
    <w:p w14:paraId="2CC38BE9" w14:textId="210F91FB" w:rsidR="005C41B2" w:rsidRPr="00796736" w:rsidRDefault="008D3F2F" w:rsidP="00A802A5">
      <w:pPr>
        <w:pStyle w:val="Overskrift4"/>
        <w:rPr>
          <w:rFonts w:ascii="Times New Roman" w:hAnsi="Times New Roman" w:cs="Times New Roman"/>
          <w:sz w:val="24"/>
          <w:szCs w:val="24"/>
        </w:rPr>
      </w:pPr>
      <w:bookmarkStart w:id="1502" w:name="_Toc232109290"/>
      <w:r w:rsidRPr="00796736">
        <w:rPr>
          <w:rFonts w:ascii="Times New Roman" w:hAnsi="Times New Roman" w:cs="Times New Roman"/>
          <w:sz w:val="24"/>
          <w:szCs w:val="24"/>
        </w:rPr>
        <w:t>Skatte- og Vækstministeriets og Erhvervs</w:t>
      </w:r>
      <w:r w:rsidR="005C41B2" w:rsidRPr="00796736">
        <w:rPr>
          <w:rFonts w:ascii="Times New Roman" w:hAnsi="Times New Roman" w:cs="Times New Roman"/>
          <w:sz w:val="24"/>
          <w:szCs w:val="24"/>
        </w:rPr>
        <w:t>ministeriets overvejelser</w:t>
      </w:r>
      <w:bookmarkEnd w:id="1502"/>
    </w:p>
    <w:p w14:paraId="232C8655" w14:textId="77777777" w:rsidR="008D3F2F" w:rsidRPr="00796736" w:rsidRDefault="008D3F2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Baggrunden for lovforslaget er et ønske om at styrke digitaliseringen og effektiviteten i kommunikationen mellem virksomheder og de relevante myndigheder på området, herunder Finanstilsynet, Spillemyndigheden og Erhvervsstyrelsen. Udviklingen inden for digital forvaltning og de stigende krav til sikkerhed og effektivitet i myndighedskommunikationen har aktualiseret behovet for at fastsætte klare rammer for digital kommunikation og for at sikre, at denne kommunikation lever op til nutidens standarder for datasikkerhed og entydig identifikation.</w:t>
      </w:r>
    </w:p>
    <w:p w14:paraId="7E2A3D5F" w14:textId="77777777" w:rsidR="008D3F2F" w:rsidRPr="00796736" w:rsidRDefault="008D3F2F" w:rsidP="00A802A5">
      <w:pPr>
        <w:spacing w:line="360" w:lineRule="auto"/>
        <w:rPr>
          <w:rFonts w:ascii="Times New Roman" w:eastAsia="Times New Roman" w:hAnsi="Times New Roman" w:cs="Times New Roman"/>
          <w:sz w:val="24"/>
          <w:szCs w:val="24"/>
        </w:rPr>
      </w:pPr>
    </w:p>
    <w:p w14:paraId="35816531" w14:textId="6229F7D9" w:rsidR="008D3F2F" w:rsidRPr="00796736" w:rsidRDefault="008D3F2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Gældende ret indeholder allerede muligheder for digital kommunikation. Den foreslåede ordning er en videreførelse af gældende ret og vil indebære, at skriftlig kommunikation til og fra de nævnte myndigheder som udgangspunkt skal foregå digitalt. Ministrene vil få bemyndigelse til at fastsætte nærmere regler om, hvordan denne kommunikation skal foregå, herunder krav til </w:t>
      </w:r>
      <w:r w:rsidR="00922AA1" w:rsidRPr="00796736">
        <w:rPr>
          <w:rFonts w:ascii="Times New Roman" w:eastAsia="Times New Roman" w:hAnsi="Times New Roman" w:cs="Times New Roman"/>
          <w:sz w:val="24"/>
          <w:szCs w:val="24"/>
        </w:rPr>
        <w:t>IT</w:t>
      </w:r>
      <w:r w:rsidRPr="00796736">
        <w:rPr>
          <w:rFonts w:ascii="Times New Roman" w:eastAsia="Times New Roman" w:hAnsi="Times New Roman" w:cs="Times New Roman"/>
          <w:sz w:val="24"/>
          <w:szCs w:val="24"/>
        </w:rPr>
        <w:t>-systemer, digitale formater og signaturer. Dette vil sikre en ensartet og sikker kommunikation, der understøtter myndighedernes opgavevaretagelse og borgernes retssikkerhed.</w:t>
      </w:r>
    </w:p>
    <w:p w14:paraId="4013D00F" w14:textId="77777777" w:rsidR="008D3F2F" w:rsidRPr="00796736" w:rsidRDefault="008D3F2F" w:rsidP="00A802A5">
      <w:pPr>
        <w:spacing w:line="360" w:lineRule="auto"/>
        <w:rPr>
          <w:rFonts w:ascii="Times New Roman" w:eastAsia="Times New Roman" w:hAnsi="Times New Roman" w:cs="Times New Roman"/>
          <w:sz w:val="24"/>
          <w:szCs w:val="24"/>
        </w:rPr>
      </w:pPr>
    </w:p>
    <w:p w14:paraId="53219F52" w14:textId="77777777" w:rsidR="008D3F2F" w:rsidRPr="00796736" w:rsidRDefault="008D3F2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Endvidere vil det blive fastslået, at digitale meddelelser anses for at være kommet frem, når de er tilgængelige for adressaten. Dette vil skabe klarhed om retsstillingen og sikre forudsigelighed for både myndigheder og borgere.</w:t>
      </w:r>
    </w:p>
    <w:p w14:paraId="4BE9FEC1" w14:textId="77777777" w:rsidR="008D3F2F" w:rsidRPr="00796736" w:rsidRDefault="008D3F2F" w:rsidP="00A802A5">
      <w:pPr>
        <w:spacing w:line="360" w:lineRule="auto"/>
        <w:rPr>
          <w:rFonts w:ascii="Times New Roman" w:eastAsia="Times New Roman" w:hAnsi="Times New Roman" w:cs="Times New Roman"/>
          <w:sz w:val="24"/>
          <w:szCs w:val="24"/>
        </w:rPr>
      </w:pPr>
    </w:p>
    <w:p w14:paraId="6ADF1684" w14:textId="77777777" w:rsidR="008D3F2F" w:rsidRPr="00796736" w:rsidRDefault="008D3F2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 så vidt angår underskriftskrav, foreslås det, at krav om personlig underskrift kan opfyldes digitalt, forudsat at der anvendes teknikker, der sikrer entydig identifikation. Ministrene vil kunne fastsætte undtagelser, hvor personlig underskrift fortsat kræves, hvis det vurderes nødvendigt.</w:t>
      </w:r>
    </w:p>
    <w:p w14:paraId="0B6FAF15" w14:textId="77777777" w:rsidR="008D3F2F" w:rsidRPr="00796736" w:rsidRDefault="008D3F2F" w:rsidP="00A802A5">
      <w:pPr>
        <w:spacing w:line="360" w:lineRule="auto"/>
        <w:rPr>
          <w:rFonts w:ascii="Times New Roman" w:eastAsia="Times New Roman" w:hAnsi="Times New Roman" w:cs="Times New Roman"/>
          <w:sz w:val="24"/>
          <w:szCs w:val="24"/>
        </w:rPr>
      </w:pPr>
    </w:p>
    <w:p w14:paraId="569C661C" w14:textId="3AD821B2" w:rsidR="008D3F2F" w:rsidRPr="00796736" w:rsidRDefault="008D3F2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endvidere at videreføre den gældende bestemmelse om etablering af </w:t>
      </w:r>
      <w:r w:rsidR="00922AA1" w:rsidRPr="00796736">
        <w:rPr>
          <w:rFonts w:ascii="Times New Roman" w:eastAsia="Times New Roman" w:hAnsi="Times New Roman" w:cs="Times New Roman"/>
          <w:sz w:val="24"/>
          <w:szCs w:val="24"/>
        </w:rPr>
        <w:t>HvidvaskForum</w:t>
      </w:r>
      <w:r w:rsidRPr="00796736">
        <w:rPr>
          <w:rFonts w:ascii="Times New Roman" w:eastAsia="Times New Roman" w:hAnsi="Times New Roman" w:cs="Times New Roman"/>
          <w:sz w:val="24"/>
          <w:szCs w:val="24"/>
        </w:rPr>
        <w:t>.</w:t>
      </w:r>
    </w:p>
    <w:p w14:paraId="33B95102" w14:textId="77777777" w:rsidR="00847829" w:rsidRPr="00796736" w:rsidRDefault="00847829" w:rsidP="00A802A5">
      <w:pPr>
        <w:spacing w:line="360" w:lineRule="auto"/>
        <w:rPr>
          <w:rFonts w:ascii="Times New Roman" w:eastAsia="Times New Roman" w:hAnsi="Times New Roman" w:cs="Times New Roman"/>
          <w:sz w:val="24"/>
          <w:szCs w:val="24"/>
        </w:rPr>
      </w:pPr>
    </w:p>
    <w:p w14:paraId="554ED7A0" w14:textId="6D5FFD5B"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Deltagerkredsen består i dag af de fire tilsynsmyndigheder Finanstilsynet, Erhvervsstyrelsen, Spillemyndigheden og Advokatsamfundet, samt Hvidvasksekretariatet, Rigspolitiet, Politiets Efterretningstjeneste, Erhvervsministeriets departement, Justitsministeriets departement, Skatte- og Vækstministeriets departement, Udenrigsministeriets departement, Civilstyrelsen og Skatteforvaltningen.</w:t>
      </w:r>
    </w:p>
    <w:p w14:paraId="57BA8CF1" w14:textId="77777777" w:rsidR="005C41B2" w:rsidRPr="00796736" w:rsidRDefault="005C41B2" w:rsidP="00A802A5">
      <w:pPr>
        <w:spacing w:line="360" w:lineRule="auto"/>
        <w:rPr>
          <w:rFonts w:ascii="Times New Roman" w:eastAsia="Times New Roman" w:hAnsi="Times New Roman" w:cs="Times New Roman"/>
          <w:sz w:val="24"/>
          <w:szCs w:val="24"/>
        </w:rPr>
      </w:pPr>
    </w:p>
    <w:p w14:paraId="55082811" w14:textId="77777777" w:rsidR="008D3F2F" w:rsidRPr="00796736" w:rsidRDefault="008D3F2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 foreslåede ændringer vil samlet set styrke digitaliseringen, øge effektiviteten og sikkerheden i myndighedskommunikationen samt forbedre koordineringen mellem myndighederne på området. </w:t>
      </w:r>
    </w:p>
    <w:p w14:paraId="1753F088" w14:textId="77777777" w:rsidR="00847829" w:rsidRPr="00796736" w:rsidRDefault="00847829" w:rsidP="00A802A5">
      <w:pPr>
        <w:spacing w:line="360" w:lineRule="auto"/>
        <w:rPr>
          <w:rFonts w:ascii="Times New Roman" w:eastAsia="Times New Roman" w:hAnsi="Times New Roman" w:cs="Times New Roman"/>
          <w:sz w:val="24"/>
          <w:szCs w:val="24"/>
        </w:rPr>
      </w:pPr>
    </w:p>
    <w:p w14:paraId="39BAF2D5" w14:textId="35F838A5" w:rsidR="00847829" w:rsidRPr="00796736" w:rsidRDefault="0084782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henvises i øvrigt til lovforslagets §</w:t>
      </w:r>
      <w:r w:rsidR="008D3F2F" w:rsidRPr="00796736">
        <w:rPr>
          <w:rFonts w:ascii="Times New Roman" w:eastAsia="Times New Roman" w:hAnsi="Times New Roman" w:cs="Times New Roman"/>
          <w:sz w:val="24"/>
          <w:szCs w:val="24"/>
        </w:rPr>
        <w:fldChar w:fldCharType="begin"/>
      </w:r>
      <w:r w:rsidR="008D3F2F" w:rsidRPr="00796736">
        <w:rPr>
          <w:rFonts w:ascii="Times New Roman" w:eastAsia="Times New Roman" w:hAnsi="Times New Roman" w:cs="Times New Roman"/>
          <w:sz w:val="24"/>
          <w:szCs w:val="24"/>
        </w:rPr>
        <w:instrText xml:space="preserve"> REF _Ref232622220 \r \h </w:instrText>
      </w:r>
      <w:r w:rsidR="00967618" w:rsidRPr="00796736">
        <w:rPr>
          <w:rFonts w:ascii="Times New Roman" w:eastAsia="Times New Roman" w:hAnsi="Times New Roman" w:cs="Times New Roman"/>
          <w:sz w:val="24"/>
          <w:szCs w:val="24"/>
        </w:rPr>
        <w:instrText xml:space="preserve"> \* MERGEFORMAT </w:instrText>
      </w:r>
      <w:r w:rsidR="008D3F2F" w:rsidRPr="00796736">
        <w:rPr>
          <w:rFonts w:ascii="Times New Roman" w:eastAsia="Times New Roman" w:hAnsi="Times New Roman" w:cs="Times New Roman"/>
          <w:sz w:val="24"/>
          <w:szCs w:val="24"/>
        </w:rPr>
      </w:r>
      <w:r w:rsidR="008D3F2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126</w:t>
      </w:r>
      <w:r w:rsidR="008D3F2F" w:rsidRPr="00796736">
        <w:rPr>
          <w:rFonts w:ascii="Times New Roman" w:eastAsia="Times New Roman" w:hAnsi="Times New Roman" w:cs="Times New Roman"/>
          <w:sz w:val="24"/>
          <w:szCs w:val="24"/>
        </w:rPr>
        <w:fldChar w:fldCharType="end"/>
      </w:r>
      <w:r w:rsidR="008D3F2F" w:rsidRPr="00796736">
        <w:rPr>
          <w:rFonts w:ascii="Times New Roman" w:eastAsia="Times New Roman" w:hAnsi="Times New Roman" w:cs="Times New Roman"/>
          <w:sz w:val="24"/>
          <w:szCs w:val="24"/>
        </w:rPr>
        <w:t>-</w:t>
      </w:r>
      <w:r w:rsidR="008D3F2F" w:rsidRPr="00796736">
        <w:rPr>
          <w:rFonts w:ascii="Times New Roman" w:eastAsia="Times New Roman" w:hAnsi="Times New Roman" w:cs="Times New Roman"/>
          <w:sz w:val="24"/>
          <w:szCs w:val="24"/>
        </w:rPr>
        <w:fldChar w:fldCharType="begin"/>
      </w:r>
      <w:r w:rsidR="008D3F2F" w:rsidRPr="00796736">
        <w:rPr>
          <w:rFonts w:ascii="Times New Roman" w:eastAsia="Times New Roman" w:hAnsi="Times New Roman" w:cs="Times New Roman"/>
          <w:sz w:val="24"/>
          <w:szCs w:val="24"/>
        </w:rPr>
        <w:instrText xml:space="preserve"> REF _Ref232620750 \r \h </w:instrText>
      </w:r>
      <w:r w:rsidR="00967618" w:rsidRPr="00796736">
        <w:rPr>
          <w:rFonts w:ascii="Times New Roman" w:eastAsia="Times New Roman" w:hAnsi="Times New Roman" w:cs="Times New Roman"/>
          <w:sz w:val="24"/>
          <w:szCs w:val="24"/>
        </w:rPr>
        <w:instrText xml:space="preserve"> \* MERGEFORMAT </w:instrText>
      </w:r>
      <w:r w:rsidR="008D3F2F" w:rsidRPr="00796736">
        <w:rPr>
          <w:rFonts w:ascii="Times New Roman" w:eastAsia="Times New Roman" w:hAnsi="Times New Roman" w:cs="Times New Roman"/>
          <w:sz w:val="24"/>
          <w:szCs w:val="24"/>
        </w:rPr>
      </w:r>
      <w:r w:rsidR="008D3F2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129</w:t>
      </w:r>
      <w:r w:rsidR="008D3F2F" w:rsidRPr="00796736">
        <w:rPr>
          <w:rFonts w:ascii="Times New Roman" w:eastAsia="Times New Roman" w:hAnsi="Times New Roman" w:cs="Times New Roman"/>
          <w:sz w:val="24"/>
          <w:szCs w:val="24"/>
        </w:rPr>
        <w:fldChar w:fldCharType="end"/>
      </w:r>
      <w:r w:rsidR="008D3F2F" w:rsidRPr="00796736">
        <w:rPr>
          <w:rFonts w:ascii="Times New Roman" w:eastAsia="Times New Roman" w:hAnsi="Times New Roman" w:cs="Times New Roman"/>
          <w:sz w:val="24"/>
          <w:szCs w:val="24"/>
        </w:rPr>
        <w:t xml:space="preserve"> </w:t>
      </w:r>
      <w:r w:rsidR="001E1D33" w:rsidRPr="00796736">
        <w:rPr>
          <w:rFonts w:ascii="Times New Roman" w:eastAsia="Times New Roman" w:hAnsi="Times New Roman" w:cs="Times New Roman"/>
          <w:sz w:val="24"/>
          <w:szCs w:val="24"/>
        </w:rPr>
        <w:t xml:space="preserve">og bemærkningerne hertil. </w:t>
      </w:r>
    </w:p>
    <w:p w14:paraId="04CD4FC0" w14:textId="77777777" w:rsidR="001E1D33" w:rsidRPr="00796736" w:rsidRDefault="001E1D33" w:rsidP="00A802A5">
      <w:pPr>
        <w:spacing w:line="360" w:lineRule="auto"/>
        <w:rPr>
          <w:rFonts w:ascii="Times New Roman" w:eastAsia="Times New Roman" w:hAnsi="Times New Roman" w:cs="Times New Roman"/>
          <w:sz w:val="24"/>
          <w:szCs w:val="24"/>
        </w:rPr>
      </w:pPr>
    </w:p>
    <w:p w14:paraId="69F326A1" w14:textId="161F71E2" w:rsidR="001E1D33" w:rsidRPr="00796736" w:rsidRDefault="0090081B" w:rsidP="00A802A5">
      <w:pPr>
        <w:pStyle w:val="Overskrift2"/>
        <w:rPr>
          <w:rFonts w:ascii="Times New Roman" w:hAnsi="Times New Roman"/>
          <w:sz w:val="24"/>
        </w:rPr>
      </w:pPr>
      <w:bookmarkStart w:id="1503" w:name="_Toc232109291"/>
      <w:bookmarkStart w:id="1504" w:name="_Ref238404982"/>
      <w:bookmarkStart w:id="1505" w:name="_Toc244880801"/>
      <w:r w:rsidRPr="00796736">
        <w:rPr>
          <w:rFonts w:ascii="Times New Roman" w:hAnsi="Times New Roman"/>
          <w:sz w:val="24"/>
        </w:rPr>
        <w:t>Partsstatus og klageadgang hos Finanstilsynet</w:t>
      </w:r>
      <w:bookmarkEnd w:id="1503"/>
      <w:bookmarkEnd w:id="1504"/>
      <w:bookmarkEnd w:id="1505"/>
    </w:p>
    <w:p w14:paraId="534C38E9" w14:textId="6A0991F9" w:rsidR="000F0BE3" w:rsidRPr="00796736" w:rsidRDefault="0086467F" w:rsidP="00A802A5">
      <w:pPr>
        <w:pStyle w:val="Overskrift4"/>
        <w:rPr>
          <w:rFonts w:ascii="Times New Roman" w:hAnsi="Times New Roman" w:cs="Times New Roman"/>
          <w:sz w:val="24"/>
          <w:szCs w:val="24"/>
        </w:rPr>
      </w:pPr>
      <w:bookmarkStart w:id="1506" w:name="_Toc232109292"/>
      <w:r w:rsidRPr="00796736">
        <w:rPr>
          <w:rFonts w:ascii="Times New Roman" w:hAnsi="Times New Roman" w:cs="Times New Roman"/>
          <w:sz w:val="24"/>
          <w:szCs w:val="24"/>
        </w:rPr>
        <w:t>Gældende ret</w:t>
      </w:r>
      <w:bookmarkEnd w:id="1506"/>
    </w:p>
    <w:p w14:paraId="20847E6B" w14:textId="77777777" w:rsidR="009D331C" w:rsidRPr="00796736" w:rsidRDefault="009D331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hvidvasklovens § 75, at som part anses den virksomhed eller person, som en tilsynsmyndigheds afgørelse truffet i medfør af denne lov eller forskrifter fastsat i medfør af denne lov, Europa-Parlamentets og Rådets forordning om oplysninger, der skal medsendes ved pengeoverførsler og ved overførsler af visse kryptoaktiver, samt forordninger indeholdende regler om finansielle sanktioner mod lande, personer, grupper, juridiske enheder eller organer, retter sig mod.</w:t>
      </w:r>
    </w:p>
    <w:p w14:paraId="15F29ADA" w14:textId="77777777" w:rsidR="009D331C" w:rsidRPr="00796736" w:rsidRDefault="009D331C" w:rsidP="00A802A5">
      <w:pPr>
        <w:spacing w:line="360" w:lineRule="auto"/>
        <w:rPr>
          <w:rFonts w:ascii="Times New Roman" w:eastAsia="Times New Roman" w:hAnsi="Times New Roman" w:cs="Times New Roman"/>
          <w:sz w:val="24"/>
          <w:szCs w:val="24"/>
        </w:rPr>
      </w:pPr>
    </w:p>
    <w:p w14:paraId="7434C1C9" w14:textId="77777777" w:rsidR="00E35AF6" w:rsidRPr="00796736" w:rsidRDefault="009D331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Efter hvidvasklovens § 76 kan afgørelser truffet af Finanstilsynet og Erhvervsstyrelsen i henhold til denne lov og regler udstedt i medfør af loven, Europa-Parlamentets og Rådets forordning om oplysninger, der skal medsendes ved pengeoverførsler og ved overførsler af visse kryptoaktiver, samt forordninger indeholdende regler om finansielle sanktioner mod lande, personer, grupper, juridiske enheder eller organer, af den, som afgørelsen retter sig mod, indbringes for Erhvervsankenævnet senest 4 uger efter, at afgørelsen er meddelt den pågældende.</w:t>
      </w:r>
    </w:p>
    <w:p w14:paraId="31FF34CC" w14:textId="77777777" w:rsidR="00E35AF6" w:rsidRPr="00796736" w:rsidRDefault="00E35AF6" w:rsidP="00A802A5">
      <w:pPr>
        <w:spacing w:line="360" w:lineRule="auto"/>
        <w:rPr>
          <w:rFonts w:ascii="Times New Roman" w:hAnsi="Times New Roman" w:cs="Times New Roman"/>
          <w:sz w:val="24"/>
          <w:szCs w:val="24"/>
        </w:rPr>
      </w:pPr>
    </w:p>
    <w:p w14:paraId="38732535" w14:textId="19624668" w:rsidR="00561EAD" w:rsidRPr="00796736" w:rsidRDefault="00E35AF6" w:rsidP="00A802A5">
      <w:pPr>
        <w:pStyle w:val="Overskrift4"/>
        <w:rPr>
          <w:rFonts w:ascii="Times New Roman" w:hAnsi="Times New Roman" w:cs="Times New Roman"/>
          <w:sz w:val="24"/>
          <w:szCs w:val="24"/>
        </w:rPr>
      </w:pPr>
      <w:bookmarkStart w:id="1507" w:name="_Toc232109293"/>
      <w:r w:rsidRPr="00796736">
        <w:rPr>
          <w:rFonts w:ascii="Times New Roman" w:hAnsi="Times New Roman" w:cs="Times New Roman"/>
          <w:sz w:val="24"/>
          <w:szCs w:val="24"/>
        </w:rPr>
        <w:t>Skatte- og Vækstministeriets overvejelser og den foreslåede ordning</w:t>
      </w:r>
      <w:bookmarkEnd w:id="1507"/>
    </w:p>
    <w:p w14:paraId="6FB81FBF" w14:textId="177F7546" w:rsidR="004C2296" w:rsidRPr="00796736" w:rsidRDefault="004C2296"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Skatte- og Vækstministeriet vil generelt videreføre anvendelsesområdet i den nugældende hvidvasklov, således at partsstatus og klageadgang for virksomheder og personer, der er omfattet af loven, bevares. </w:t>
      </w:r>
    </w:p>
    <w:p w14:paraId="10F8E717" w14:textId="77777777" w:rsidR="009337EE" w:rsidRPr="00796736" w:rsidRDefault="009337E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partsbegrebet præciseres, så det omfatter både virksomheder og personer, som Finanstilsynet har truffet eller vil træffe afgørelse over for i medfør af denne lov, forskrifter fastsat i medfør af loven, samt relevante EU-forordninger om forebyggende foranstaltninger mod hvidvask, oplysninger ved pengeoverførsler og finansielle sanktioner. Præciseringen af partsbegrebet skal desuden ses i lyset af et ønske om at ensrette reguleringen med tilsvarende bestemmelser om partsstatus i den øvrige finansielle lovgivning.</w:t>
      </w:r>
    </w:p>
    <w:p w14:paraId="6E3B6D6E" w14:textId="77777777" w:rsidR="004C2296" w:rsidRPr="00796736" w:rsidRDefault="004C2296"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udgør en afvigelse fra det almindelige forvaltningsretlige partsbegreb og fastslår, hvem der er part i forhold til tilsynsmyndighedernes afgørelser. Det foreslås, at opregningen er udtømmende, og at partsstatus tillægges virksomheder og personer, der udøver aktiviteter uden registrering eller tilladelse, samt ledelsesmedlemmer og ejere af kvalificerede andele, når Finanstilsynet nægter tilladelse eller registrering eller vurderer egnethed og hæderlighed.</w:t>
      </w:r>
    </w:p>
    <w:p w14:paraId="78E20B32" w14:textId="77777777" w:rsidR="004C2296" w:rsidRPr="00796736" w:rsidRDefault="004C2296"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Ordningen sikrer, at de relevante aktører har adgang til klage over tilsynsmyndighedernes afgørelser til Erhvervsankenævnet, hvilket understøtter retssikkerheden og muligheden for uafhængig prøvelse af myndighedsafgørelser. </w:t>
      </w:r>
    </w:p>
    <w:p w14:paraId="12D46F48" w14:textId="5E42F4C2" w:rsidR="004C2296" w:rsidRPr="00796736" w:rsidRDefault="004C2296"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nærmere henvises til lovforslagets </w:t>
      </w:r>
      <w:r w:rsidR="00787EBE" w:rsidRPr="00796736">
        <w:rPr>
          <w:rFonts w:ascii="Times New Roman" w:eastAsia="Calibri" w:hAnsi="Times New Roman" w:cs="Times New Roman"/>
          <w:sz w:val="24"/>
          <w:szCs w:val="24"/>
        </w:rPr>
        <w:fldChar w:fldCharType="begin"/>
      </w:r>
      <w:r w:rsidR="00787EBE" w:rsidRPr="00796736">
        <w:rPr>
          <w:rFonts w:ascii="Times New Roman" w:eastAsia="Calibri" w:hAnsi="Times New Roman" w:cs="Times New Roman"/>
          <w:sz w:val="24"/>
          <w:szCs w:val="24"/>
        </w:rPr>
        <w:instrText xml:space="preserve"> REF _Ref232949113 \r \h </w:instrText>
      </w:r>
      <w:r w:rsidR="00967618" w:rsidRPr="00796736">
        <w:rPr>
          <w:rFonts w:ascii="Times New Roman" w:eastAsia="Calibri" w:hAnsi="Times New Roman" w:cs="Times New Roman"/>
          <w:sz w:val="24"/>
          <w:szCs w:val="24"/>
        </w:rPr>
        <w:instrText xml:space="preserve"> \* MERGEFORMAT </w:instrText>
      </w:r>
      <w:r w:rsidR="00787EBE" w:rsidRPr="00796736">
        <w:rPr>
          <w:rFonts w:ascii="Times New Roman" w:eastAsia="Calibri" w:hAnsi="Times New Roman" w:cs="Times New Roman"/>
          <w:sz w:val="24"/>
          <w:szCs w:val="24"/>
        </w:rPr>
      </w:r>
      <w:r w:rsidR="00787EBE"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130</w:t>
      </w:r>
      <w:r w:rsidR="00787EBE" w:rsidRPr="00796736">
        <w:rPr>
          <w:rFonts w:ascii="Times New Roman" w:eastAsia="Calibri" w:hAnsi="Times New Roman" w:cs="Times New Roman"/>
          <w:sz w:val="24"/>
          <w:szCs w:val="24"/>
        </w:rPr>
        <w:fldChar w:fldCharType="end"/>
      </w:r>
      <w:r w:rsidR="00787EBE"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samt </w:t>
      </w:r>
      <w:r w:rsidR="00494815" w:rsidRPr="00796736">
        <w:rPr>
          <w:rFonts w:ascii="Times New Roman" w:eastAsia="Calibri" w:hAnsi="Times New Roman" w:cs="Times New Roman"/>
          <w:sz w:val="24"/>
          <w:szCs w:val="24"/>
        </w:rPr>
        <w:fldChar w:fldCharType="begin"/>
      </w:r>
      <w:r w:rsidR="00494815" w:rsidRPr="00796736">
        <w:rPr>
          <w:rFonts w:ascii="Times New Roman" w:eastAsia="Calibri" w:hAnsi="Times New Roman" w:cs="Times New Roman"/>
          <w:sz w:val="24"/>
          <w:szCs w:val="24"/>
        </w:rPr>
        <w:instrText xml:space="preserve"> REF _Ref241677414 \r \h </w:instrText>
      </w:r>
      <w:r w:rsidR="001A2696" w:rsidRPr="00796736">
        <w:rPr>
          <w:rFonts w:ascii="Times New Roman" w:eastAsia="Calibri" w:hAnsi="Times New Roman" w:cs="Times New Roman"/>
          <w:sz w:val="24"/>
          <w:szCs w:val="24"/>
        </w:rPr>
        <w:instrText xml:space="preserve"> \* MERGEFORMAT </w:instrText>
      </w:r>
      <w:r w:rsidR="00494815" w:rsidRPr="00796736">
        <w:rPr>
          <w:rFonts w:ascii="Times New Roman" w:eastAsia="Calibri" w:hAnsi="Times New Roman" w:cs="Times New Roman"/>
          <w:sz w:val="24"/>
          <w:szCs w:val="24"/>
        </w:rPr>
      </w:r>
      <w:r w:rsidR="0049481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132</w:t>
      </w:r>
      <w:r w:rsidR="00494815" w:rsidRPr="00796736">
        <w:rPr>
          <w:rFonts w:ascii="Times New Roman" w:eastAsia="Calibri" w:hAnsi="Times New Roman" w:cs="Times New Roman"/>
          <w:sz w:val="24"/>
          <w:szCs w:val="24"/>
        </w:rPr>
        <w:fldChar w:fldCharType="end"/>
      </w:r>
      <w:r w:rsidR="00787EBE"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 bemærkningerne hertil.</w:t>
      </w:r>
    </w:p>
    <w:p w14:paraId="5CAD1517" w14:textId="568D8C56" w:rsidR="00B07E82" w:rsidRPr="00796736" w:rsidRDefault="00B07E82" w:rsidP="00A802A5">
      <w:pPr>
        <w:pStyle w:val="Overskrift2"/>
        <w:rPr>
          <w:rFonts w:ascii="Times New Roman" w:hAnsi="Times New Roman"/>
          <w:sz w:val="24"/>
        </w:rPr>
      </w:pPr>
      <w:bookmarkStart w:id="1508" w:name="_Toc232109294"/>
      <w:bookmarkStart w:id="1509" w:name="_Toc244880802"/>
      <w:r w:rsidRPr="00796736">
        <w:rPr>
          <w:rFonts w:ascii="Times New Roman" w:hAnsi="Times New Roman"/>
          <w:sz w:val="24"/>
        </w:rPr>
        <w:t>Partsstatus og klageadgang</w:t>
      </w:r>
      <w:bookmarkEnd w:id="1508"/>
      <w:r w:rsidR="00787EBE" w:rsidRPr="00796736">
        <w:rPr>
          <w:rFonts w:ascii="Times New Roman" w:hAnsi="Times New Roman"/>
          <w:sz w:val="24"/>
        </w:rPr>
        <w:t xml:space="preserve"> hos Erhvervsstyrelsen</w:t>
      </w:r>
      <w:bookmarkEnd w:id="1509"/>
      <w:r w:rsidRPr="00796736">
        <w:rPr>
          <w:rFonts w:ascii="Times New Roman" w:hAnsi="Times New Roman"/>
          <w:sz w:val="24"/>
        </w:rPr>
        <w:t xml:space="preserve"> </w:t>
      </w:r>
    </w:p>
    <w:p w14:paraId="770EF249" w14:textId="61DF349E" w:rsidR="00B07E82" w:rsidRPr="00796736" w:rsidRDefault="00B07E82" w:rsidP="00A802A5">
      <w:pPr>
        <w:pStyle w:val="Overskrift4"/>
        <w:rPr>
          <w:rFonts w:ascii="Times New Roman" w:hAnsi="Times New Roman" w:cs="Times New Roman"/>
          <w:sz w:val="24"/>
          <w:szCs w:val="24"/>
        </w:rPr>
      </w:pPr>
      <w:bookmarkStart w:id="1510" w:name="_Toc232109295"/>
      <w:r w:rsidRPr="00796736">
        <w:rPr>
          <w:rFonts w:ascii="Times New Roman" w:hAnsi="Times New Roman" w:cs="Times New Roman"/>
          <w:sz w:val="24"/>
          <w:szCs w:val="24"/>
        </w:rPr>
        <w:t>Gældende ret</w:t>
      </w:r>
      <w:bookmarkEnd w:id="1510"/>
    </w:p>
    <w:p w14:paraId="25997D00" w14:textId="77777777" w:rsidR="00A655BE" w:rsidRPr="00796736" w:rsidRDefault="00A655BE" w:rsidP="00A802A5">
      <w:pPr>
        <w:spacing w:after="240" w:line="360" w:lineRule="auto"/>
        <w:jc w:val="left"/>
        <w:rPr>
          <w:rFonts w:ascii="Times New Roman" w:hAnsi="Times New Roman" w:cs="Times New Roman"/>
          <w:sz w:val="24"/>
          <w:szCs w:val="24"/>
        </w:rPr>
      </w:pPr>
      <w:r w:rsidRPr="00796736">
        <w:rPr>
          <w:rFonts w:ascii="Times New Roman" w:hAnsi="Times New Roman" w:cs="Times New Roman"/>
          <w:sz w:val="24"/>
          <w:szCs w:val="24"/>
        </w:rPr>
        <w:t>Partsbegrebet defineres i den gældende hvidvasklovs § 75, som den virksomhed eller person, som en tilsynsmyndigheds afgørelse retter sig mod.</w:t>
      </w:r>
    </w:p>
    <w:p w14:paraId="0C5D38CD" w14:textId="77777777" w:rsidR="00A655BE" w:rsidRPr="00796736" w:rsidRDefault="00A655BE" w:rsidP="00A802A5">
      <w:pPr>
        <w:spacing w:after="240" w:line="360" w:lineRule="auto"/>
        <w:jc w:val="left"/>
        <w:rPr>
          <w:rFonts w:ascii="Times New Roman" w:hAnsi="Times New Roman" w:cs="Times New Roman"/>
          <w:sz w:val="24"/>
          <w:szCs w:val="24"/>
        </w:rPr>
      </w:pPr>
      <w:r w:rsidRPr="00796736">
        <w:rPr>
          <w:rFonts w:ascii="Times New Roman" w:hAnsi="Times New Roman" w:cs="Times New Roman"/>
          <w:sz w:val="24"/>
          <w:szCs w:val="24"/>
        </w:rPr>
        <w:t>Afgørelser truffet af Erhvervsstyrelsen kan jf. 76 i den gældende hvidvasklov, af den, som afgørelsen retter sig imod, indbringes for Erhvervsankenævnet senest 4 uger efter, at afgørelsen er meddel den pågældende.</w:t>
      </w:r>
    </w:p>
    <w:p w14:paraId="6F58D51B" w14:textId="4AE86F19" w:rsidR="00A655BE" w:rsidRPr="00796736" w:rsidRDefault="00A655BE" w:rsidP="00A802A5">
      <w:pPr>
        <w:pStyle w:val="Overskrift4"/>
        <w:rPr>
          <w:rFonts w:ascii="Times New Roman" w:hAnsi="Times New Roman" w:cs="Times New Roman"/>
          <w:sz w:val="24"/>
          <w:szCs w:val="24"/>
        </w:rPr>
      </w:pPr>
      <w:bookmarkStart w:id="1511" w:name="_Toc232109296"/>
      <w:r w:rsidRPr="00796736">
        <w:rPr>
          <w:rFonts w:ascii="Times New Roman" w:hAnsi="Times New Roman" w:cs="Times New Roman"/>
          <w:sz w:val="24"/>
          <w:szCs w:val="24"/>
        </w:rPr>
        <w:t>Erhvervsministeriets overvejelser og den foreslåede ordning</w:t>
      </w:r>
      <w:bookmarkEnd w:id="1511"/>
    </w:p>
    <w:p w14:paraId="3DF45556" w14:textId="77777777" w:rsidR="00A655BE" w:rsidRPr="00796736" w:rsidRDefault="00A655BE" w:rsidP="00A802A5">
      <w:pPr>
        <w:spacing w:after="240" w:line="360" w:lineRule="auto"/>
        <w:jc w:val="left"/>
        <w:rPr>
          <w:rFonts w:ascii="Times New Roman" w:hAnsi="Times New Roman" w:cs="Times New Roman"/>
          <w:sz w:val="24"/>
          <w:szCs w:val="24"/>
        </w:rPr>
      </w:pPr>
      <w:r w:rsidRPr="00796736">
        <w:rPr>
          <w:rFonts w:ascii="Times New Roman" w:hAnsi="Times New Roman" w:cs="Times New Roman"/>
          <w:sz w:val="24"/>
          <w:szCs w:val="24"/>
        </w:rPr>
        <w:t xml:space="preserve">Det foreslås, at gældende regler om parter og klager videreføres, med den justering, at bestemmelserne fremadrettet også vil henvise til afgørelser truffet i medfør af hvidvaskforordningen. </w:t>
      </w:r>
    </w:p>
    <w:p w14:paraId="617A86B4" w14:textId="77777777" w:rsidR="00A655BE" w:rsidRPr="00796736" w:rsidRDefault="00A655BE" w:rsidP="00A802A5">
      <w:pPr>
        <w:spacing w:after="240" w:line="360" w:lineRule="auto"/>
        <w:jc w:val="left"/>
        <w:rPr>
          <w:rFonts w:ascii="Times New Roman" w:hAnsi="Times New Roman" w:cs="Times New Roman"/>
          <w:sz w:val="24"/>
          <w:szCs w:val="24"/>
        </w:rPr>
      </w:pPr>
      <w:r w:rsidRPr="00796736">
        <w:rPr>
          <w:rFonts w:ascii="Times New Roman" w:hAnsi="Times New Roman" w:cs="Times New Roman"/>
          <w:sz w:val="24"/>
          <w:szCs w:val="24"/>
        </w:rPr>
        <w:t xml:space="preserve">Ændringen foreslås på baggrund af indførslen af hvidvaskforordningen, der træder i kraft 10. juli 2027. </w:t>
      </w:r>
    </w:p>
    <w:p w14:paraId="3FF5C977" w14:textId="63ADC13A" w:rsidR="00C6658C" w:rsidRPr="00796736" w:rsidRDefault="00C6658C" w:rsidP="00A802A5">
      <w:pPr>
        <w:pStyle w:val="Overskrift2"/>
        <w:rPr>
          <w:rFonts w:ascii="Times New Roman" w:hAnsi="Times New Roman"/>
          <w:sz w:val="24"/>
        </w:rPr>
      </w:pPr>
      <w:bookmarkStart w:id="1512" w:name="_Toc232109297"/>
      <w:bookmarkStart w:id="1513" w:name="_Toc244880803"/>
      <w:r w:rsidRPr="00796736">
        <w:rPr>
          <w:rFonts w:ascii="Times New Roman" w:hAnsi="Times New Roman"/>
          <w:sz w:val="24"/>
        </w:rPr>
        <w:t>Part</w:t>
      </w:r>
      <w:r w:rsidR="00787EBE" w:rsidRPr="00796736">
        <w:rPr>
          <w:rFonts w:ascii="Times New Roman" w:hAnsi="Times New Roman"/>
          <w:sz w:val="24"/>
        </w:rPr>
        <w:t>sstatus</w:t>
      </w:r>
      <w:r w:rsidRPr="00796736">
        <w:rPr>
          <w:rFonts w:ascii="Times New Roman" w:hAnsi="Times New Roman"/>
          <w:sz w:val="24"/>
        </w:rPr>
        <w:t xml:space="preserve"> og klage</w:t>
      </w:r>
      <w:bookmarkEnd w:id="1512"/>
      <w:r w:rsidR="00787EBE" w:rsidRPr="00796736">
        <w:rPr>
          <w:rFonts w:ascii="Times New Roman" w:hAnsi="Times New Roman"/>
          <w:sz w:val="24"/>
        </w:rPr>
        <w:t>adgang hos Spillemyndigheden</w:t>
      </w:r>
      <w:bookmarkEnd w:id="1513"/>
    </w:p>
    <w:p w14:paraId="533EBF15" w14:textId="6B578EF4" w:rsidR="00C6658C" w:rsidRPr="00796736" w:rsidRDefault="00C6658C" w:rsidP="00A802A5">
      <w:pPr>
        <w:pStyle w:val="Overskrift4"/>
        <w:rPr>
          <w:rFonts w:ascii="Times New Roman" w:hAnsi="Times New Roman" w:cs="Times New Roman"/>
          <w:sz w:val="24"/>
          <w:szCs w:val="24"/>
        </w:rPr>
      </w:pPr>
      <w:bookmarkStart w:id="1514" w:name="_Toc232109298"/>
      <w:r w:rsidRPr="00796736">
        <w:rPr>
          <w:rFonts w:ascii="Times New Roman" w:hAnsi="Times New Roman" w:cs="Times New Roman"/>
          <w:sz w:val="24"/>
          <w:szCs w:val="24"/>
        </w:rPr>
        <w:t>Gældende ret</w:t>
      </w:r>
      <w:bookmarkEnd w:id="1514"/>
    </w:p>
    <w:p w14:paraId="29357534" w14:textId="77777777" w:rsidR="00C6658C" w:rsidRPr="00796736" w:rsidRDefault="00C6658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hvidvasklovens § 75, at en part anses som den virksomhed eller person, som en tilsynsmyndigheds afgørelse truffet i medfør af denne lov eller forskrifter fastsat i medfør af denne lov, Europa-Parlamentets og Rådets forordning om oplysninger, der skal medsendes ved pengeoverførsler og ved overførsler af visse kryptoaktiver, og forordninger indeholdende regler om finansielle sanktioner mod lande, personer, grupper, juridiske enheder eller organer retter sig imod. </w:t>
      </w:r>
    </w:p>
    <w:p w14:paraId="02DE06F0" w14:textId="77777777" w:rsidR="00C6658C" w:rsidRPr="00796736" w:rsidRDefault="00C6658C" w:rsidP="00A802A5">
      <w:pPr>
        <w:spacing w:line="360" w:lineRule="auto"/>
        <w:rPr>
          <w:rFonts w:ascii="Times New Roman" w:eastAsia="Times New Roman" w:hAnsi="Times New Roman" w:cs="Times New Roman"/>
          <w:sz w:val="24"/>
          <w:szCs w:val="24"/>
        </w:rPr>
      </w:pPr>
    </w:p>
    <w:p w14:paraId="6AF9FDA2" w14:textId="05A54BDB" w:rsidR="00752259" w:rsidRPr="00796736" w:rsidRDefault="0075225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77, at afgørelser truffet af Spillemyndigheden i henhold til hvidvaskloven kan indbringes for Landsskatteretten efter kapitel 10 i lov om spil af den, som afgørelsen retter sig mod. Kapitel 11 i lov om spil finder tilsvarende anvendelse.</w:t>
      </w:r>
    </w:p>
    <w:p w14:paraId="5A943AA3" w14:textId="77777777" w:rsidR="00C6658C" w:rsidRPr="00796736" w:rsidRDefault="00C6658C" w:rsidP="00A802A5">
      <w:pPr>
        <w:spacing w:line="360" w:lineRule="auto"/>
        <w:rPr>
          <w:rFonts w:ascii="Times New Roman" w:hAnsi="Times New Roman" w:cs="Times New Roman"/>
          <w:sz w:val="24"/>
          <w:szCs w:val="24"/>
        </w:rPr>
      </w:pPr>
    </w:p>
    <w:p w14:paraId="039A63EC" w14:textId="745E4E44" w:rsidR="00C6658C" w:rsidRPr="00796736" w:rsidRDefault="00C6658C" w:rsidP="00A802A5">
      <w:pPr>
        <w:pStyle w:val="Overskrift4"/>
        <w:rPr>
          <w:rFonts w:ascii="Times New Roman" w:hAnsi="Times New Roman" w:cs="Times New Roman"/>
          <w:sz w:val="24"/>
          <w:szCs w:val="24"/>
        </w:rPr>
      </w:pPr>
      <w:bookmarkStart w:id="1515" w:name="_Toc232109299"/>
      <w:r w:rsidRPr="00796736">
        <w:rPr>
          <w:rFonts w:ascii="Times New Roman" w:hAnsi="Times New Roman" w:cs="Times New Roman"/>
          <w:sz w:val="24"/>
          <w:szCs w:val="24"/>
        </w:rPr>
        <w:t>Skatte</w:t>
      </w:r>
      <w:r w:rsidR="005D3ECE" w:rsidRPr="00796736">
        <w:rPr>
          <w:rFonts w:ascii="Times New Roman" w:hAnsi="Times New Roman" w:cs="Times New Roman"/>
          <w:sz w:val="24"/>
          <w:szCs w:val="24"/>
        </w:rPr>
        <w:t>- og Vækst</w:t>
      </w:r>
      <w:r w:rsidRPr="00796736">
        <w:rPr>
          <w:rFonts w:ascii="Times New Roman" w:hAnsi="Times New Roman" w:cs="Times New Roman"/>
          <w:sz w:val="24"/>
          <w:szCs w:val="24"/>
        </w:rPr>
        <w:t>ministeriets overvejelser og den foreslåede ordning</w:t>
      </w:r>
      <w:bookmarkEnd w:id="1515"/>
    </w:p>
    <w:p w14:paraId="4B17C903" w14:textId="13545D88" w:rsidR="00C6658C" w:rsidRPr="00796736" w:rsidRDefault="0075225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Vækstministeriet vurderer, at bestemmelsen om definitionen af partsbegrebet i den gældende hvidvasklovs § </w:t>
      </w:r>
      <w:r w:rsidR="00C06E76" w:rsidRPr="00796736">
        <w:rPr>
          <w:rFonts w:ascii="Times New Roman" w:eastAsia="Times New Roman" w:hAnsi="Times New Roman" w:cs="Times New Roman"/>
          <w:sz w:val="24"/>
          <w:szCs w:val="24"/>
        </w:rPr>
        <w:t xml:space="preserve">fortsat er relevant, og at reglen vil skulle videreføres </w:t>
      </w:r>
      <w:r w:rsidR="00C06E76" w:rsidRPr="00796736">
        <w:rPr>
          <w:rFonts w:ascii="Times New Roman" w:hAnsi="Times New Roman" w:cs="Times New Roman"/>
          <w:sz w:val="24"/>
          <w:szCs w:val="24"/>
        </w:rPr>
        <w:t xml:space="preserve">med den ændring, at bestemmelsen fremadrettet også vil henvise til afgørelser truffet i medfør af hvidvaskforordningen. </w:t>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Formålet er at sikre beskyttelsen af de forpligtede enheders oplysninger, samt for så vidt angår udbydere af spil at sikre en ensartet behandling i forbindelse med Spillemyndighedens udøvelse af tilsynsvirksomheden, idet udbydere af spil i forvejen er underlagt tilsyn af Spillemyndigheden i henhold til </w:t>
      </w:r>
      <w:r w:rsidR="00C06E76" w:rsidRPr="00796736">
        <w:rPr>
          <w:rFonts w:ascii="Times New Roman" w:eastAsia="Times New Roman" w:hAnsi="Times New Roman" w:cs="Times New Roman"/>
          <w:sz w:val="24"/>
          <w:szCs w:val="24"/>
        </w:rPr>
        <w:t>lov om spil</w:t>
      </w:r>
      <w:r w:rsidRPr="00796736">
        <w:rPr>
          <w:rFonts w:ascii="Times New Roman" w:eastAsia="Times New Roman" w:hAnsi="Times New Roman" w:cs="Times New Roman"/>
          <w:sz w:val="24"/>
          <w:szCs w:val="24"/>
        </w:rPr>
        <w:t>.</w:t>
      </w:r>
    </w:p>
    <w:p w14:paraId="623185BE" w14:textId="77777777" w:rsidR="00752259" w:rsidRPr="00796736" w:rsidRDefault="00752259" w:rsidP="00A802A5">
      <w:pPr>
        <w:spacing w:line="360" w:lineRule="auto"/>
        <w:rPr>
          <w:rFonts w:ascii="Times New Roman" w:eastAsia="Times New Roman" w:hAnsi="Times New Roman" w:cs="Times New Roman"/>
          <w:sz w:val="24"/>
          <w:szCs w:val="24"/>
        </w:rPr>
      </w:pPr>
    </w:p>
    <w:p w14:paraId="31D5DD8E" w14:textId="6EFCF8CF"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Partsstatus vil bl.a. indebære mulighed for efter </w:t>
      </w:r>
      <w:hyperlink r:id="rId21" w:history="1">
        <w:r w:rsidRPr="00796736">
          <w:rPr>
            <w:rFonts w:ascii="Times New Roman" w:eastAsia="Times New Roman" w:hAnsi="Times New Roman" w:cs="Times New Roman"/>
            <w:sz w:val="24"/>
            <w:szCs w:val="24"/>
          </w:rPr>
          <w:t>forvaltningsloven</w:t>
        </w:r>
      </w:hyperlink>
      <w:r w:rsidRPr="00796736">
        <w:rPr>
          <w:rFonts w:ascii="Times New Roman" w:eastAsia="Times New Roman" w:hAnsi="Times New Roman" w:cs="Times New Roman"/>
          <w:sz w:val="24"/>
          <w:szCs w:val="24"/>
        </w:rPr>
        <w:t xml:space="preserve"> at få aktindsigt i fortrolige oplysninger i den del af en sag, som vedrører den pågældende, samt mulighed for at klage over tilsynsmyndighedens afgørelse. </w:t>
      </w:r>
    </w:p>
    <w:p w14:paraId="1147F103" w14:textId="77777777" w:rsidR="00C6658C" w:rsidRPr="00796736" w:rsidRDefault="00C6658C" w:rsidP="00A802A5">
      <w:pPr>
        <w:spacing w:line="360" w:lineRule="auto"/>
        <w:rPr>
          <w:rFonts w:ascii="Times New Roman" w:eastAsia="Times New Roman" w:hAnsi="Times New Roman" w:cs="Times New Roman"/>
          <w:sz w:val="24"/>
          <w:szCs w:val="24"/>
        </w:rPr>
      </w:pPr>
    </w:p>
    <w:p w14:paraId="7E3C2E51" w14:textId="77777777"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Skatte- og Vækstministeriet vurderer, at bestemmelsen om, at Spillemyndighedens afgørelser kan indbringes for Landsskatteretten, vil skulle videreføres, dog med visse justeringer, så bestemmelsen ensrettes med bestemmelsen gældende for Finanstilsynet og Erhvervsstyrelsen. </w:t>
      </w:r>
    </w:p>
    <w:p w14:paraId="0B305445" w14:textId="77777777" w:rsidR="00752259" w:rsidRPr="00796736" w:rsidRDefault="00752259" w:rsidP="00A802A5">
      <w:pPr>
        <w:spacing w:line="360" w:lineRule="auto"/>
        <w:rPr>
          <w:rFonts w:ascii="Times New Roman" w:eastAsia="Times New Roman" w:hAnsi="Times New Roman" w:cs="Times New Roman"/>
          <w:sz w:val="24"/>
          <w:szCs w:val="24"/>
        </w:rPr>
      </w:pPr>
    </w:p>
    <w:p w14:paraId="581D852D" w14:textId="300B59D9" w:rsidR="00752259" w:rsidRPr="00796736" w:rsidRDefault="0075225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Da Spillemyndigheden fremadrettet også </w:t>
      </w:r>
      <w:r w:rsidR="00C06E76"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føre tilsyn med ikkefinansielle holdingselskaber med blandet aktivitet</w:t>
      </w:r>
      <w:r w:rsidR="00922AA1" w:rsidRPr="00796736">
        <w:rPr>
          <w:rFonts w:ascii="Times New Roman" w:eastAsia="Times New Roman" w:hAnsi="Times New Roman" w:cs="Times New Roman"/>
          <w:sz w:val="24"/>
          <w:szCs w:val="24"/>
        </w:rPr>
        <w:t xml:space="preserve">, jf. </w:t>
      </w:r>
      <w:r w:rsidR="00922AA1" w:rsidRPr="00796736">
        <w:rPr>
          <w:rFonts w:ascii="Times New Roman" w:eastAsia="Times New Roman" w:hAnsi="Times New Roman" w:cs="Times New Roman"/>
          <w:sz w:val="24"/>
          <w:szCs w:val="24"/>
        </w:rPr>
        <w:fldChar w:fldCharType="begin"/>
      </w:r>
      <w:r w:rsidR="00922AA1"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00922AA1" w:rsidRPr="00796736">
        <w:rPr>
          <w:rFonts w:ascii="Times New Roman" w:eastAsia="Times New Roman" w:hAnsi="Times New Roman" w:cs="Times New Roman"/>
          <w:sz w:val="24"/>
          <w:szCs w:val="24"/>
        </w:rPr>
      </w:r>
      <w:r w:rsidR="00922AA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922AA1" w:rsidRPr="00796736">
        <w:rPr>
          <w:rFonts w:ascii="Times New Roman" w:eastAsia="Times New Roman" w:hAnsi="Times New Roman" w:cs="Times New Roman"/>
          <w:sz w:val="24"/>
          <w:szCs w:val="24"/>
        </w:rPr>
        <w:fldChar w:fldCharType="end"/>
      </w:r>
      <w:r w:rsidR="00922AA1" w:rsidRPr="00796736">
        <w:rPr>
          <w:rFonts w:ascii="Times New Roman" w:eastAsia="Times New Roman" w:hAnsi="Times New Roman" w:cs="Times New Roman"/>
          <w:sz w:val="24"/>
          <w:szCs w:val="24"/>
        </w:rPr>
        <w:t>, stk. 1, nr. 2</w:t>
      </w:r>
      <w:r w:rsidRPr="00796736">
        <w:rPr>
          <w:rFonts w:ascii="Times New Roman" w:eastAsia="Times New Roman" w:hAnsi="Times New Roman" w:cs="Times New Roman"/>
          <w:sz w:val="24"/>
          <w:szCs w:val="24"/>
        </w:rPr>
        <w:t xml:space="preserve">, vil klager fra sådanne holdingselskaber over afgørelser truffet af Spillemyndigheden også skulle indbringes for Landsskatteretten efter reglerne i lov om spil. Skatte- og Vækstministeriet vurderer, at dette vil være mest hensigtsmæssigt, så alle afgørelser truffet af Spillemyndigheden i henhold til hvidvasklovgivningen, indbringes for den samme klageinstans. </w:t>
      </w:r>
    </w:p>
    <w:p w14:paraId="7F8AEC55" w14:textId="77777777" w:rsidR="00752259" w:rsidRPr="00796736" w:rsidRDefault="00752259" w:rsidP="00A802A5">
      <w:pPr>
        <w:spacing w:line="360" w:lineRule="auto"/>
        <w:rPr>
          <w:rFonts w:ascii="Times New Roman" w:eastAsia="Times New Roman" w:hAnsi="Times New Roman" w:cs="Times New Roman"/>
          <w:sz w:val="24"/>
          <w:szCs w:val="24"/>
        </w:rPr>
      </w:pPr>
    </w:p>
    <w:p w14:paraId="0F9962AE" w14:textId="77777777" w:rsidR="00752259" w:rsidRPr="00796736" w:rsidRDefault="0075225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Bestemmelserne implementerer ikke bestemmelser fra 6. hvidvaskdirektiv.</w:t>
      </w:r>
    </w:p>
    <w:p w14:paraId="0A6B72F9" w14:textId="77777777" w:rsidR="00752259" w:rsidRPr="00796736" w:rsidRDefault="00752259" w:rsidP="00A802A5">
      <w:pPr>
        <w:spacing w:line="360" w:lineRule="auto"/>
        <w:rPr>
          <w:rFonts w:ascii="Times New Roman" w:hAnsi="Times New Roman" w:cs="Times New Roman"/>
          <w:sz w:val="24"/>
          <w:szCs w:val="24"/>
        </w:rPr>
      </w:pPr>
    </w:p>
    <w:p w14:paraId="5726720E" w14:textId="77777777" w:rsidR="00752259" w:rsidRPr="00796736" w:rsidRDefault="0075225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således at videreføre den gældende definition af hvidvasklovens partsbegreb således, at det alene er den virksomhed eller person, som en afgørelse retter sig mod, der vil være part i en afgørelse truffet af Spillemyndigheden i medfør af hvidvaskforordningen, denne lov eller regler udstedt i medfør af denne lov og forordninger indeholdende regler om finansielle sanktioner mod lande, personer, grupper, juridiske enheder eller organer.</w:t>
      </w:r>
    </w:p>
    <w:p w14:paraId="78F25461" w14:textId="77777777" w:rsidR="00752259" w:rsidRPr="00796736" w:rsidRDefault="00752259" w:rsidP="00A802A5">
      <w:pPr>
        <w:spacing w:line="360" w:lineRule="auto"/>
        <w:rPr>
          <w:rFonts w:ascii="Times New Roman" w:eastAsia="Times New Roman" w:hAnsi="Times New Roman" w:cs="Times New Roman"/>
          <w:sz w:val="24"/>
          <w:szCs w:val="24"/>
        </w:rPr>
      </w:pPr>
    </w:p>
    <w:p w14:paraId="039C1084" w14:textId="11B215F8" w:rsidR="00752259" w:rsidRPr="00796736" w:rsidRDefault="0075225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Som en konsekvens heraf</w:t>
      </w:r>
      <w:r w:rsidR="00D55072"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vil en virksomheds eller persons kunder være afskåret fra at opnå partsstatus i forhold til tilsynsmyndigheden, uanset hvilken interesse den pågældende kunde måtte have i en given sag.</w:t>
      </w:r>
    </w:p>
    <w:p w14:paraId="3E6498C4" w14:textId="77777777" w:rsidR="00C6658C" w:rsidRPr="00796736" w:rsidRDefault="00C6658C" w:rsidP="00A802A5">
      <w:pPr>
        <w:spacing w:line="360" w:lineRule="auto"/>
        <w:rPr>
          <w:rFonts w:ascii="Times New Roman" w:eastAsia="Times New Roman" w:hAnsi="Times New Roman" w:cs="Times New Roman"/>
          <w:sz w:val="24"/>
          <w:szCs w:val="24"/>
        </w:rPr>
      </w:pPr>
    </w:p>
    <w:p w14:paraId="292C9013" w14:textId="77777777"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også, at gældende klageregler videreføres, men med de tilpasninger der er nødvendige som følge af, at Spillemyndigheden vil få tilsynskompetence med nye forpligtede enheder. Dette betyder, at alle virksomheder og personer, som Spillemyndighedens afgørelser retter sig mod, vil have klageadgang til Landsskatteretten.</w:t>
      </w:r>
    </w:p>
    <w:p w14:paraId="67AC9D8E" w14:textId="77777777" w:rsidR="00C6658C" w:rsidRPr="00796736" w:rsidRDefault="00C6658C" w:rsidP="00A802A5">
      <w:pPr>
        <w:spacing w:line="360" w:lineRule="auto"/>
        <w:rPr>
          <w:rFonts w:ascii="Times New Roman" w:eastAsia="Times New Roman" w:hAnsi="Times New Roman" w:cs="Times New Roman"/>
          <w:sz w:val="24"/>
          <w:szCs w:val="24"/>
        </w:rPr>
      </w:pPr>
    </w:p>
    <w:p w14:paraId="64252D7F" w14:textId="764FC8DA" w:rsidR="00C6658C" w:rsidRPr="00796736" w:rsidRDefault="00C6658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henvises i øvrigt til lovforslagets </w:t>
      </w:r>
      <w:r w:rsidR="00787EBE" w:rsidRPr="00796736">
        <w:rPr>
          <w:rFonts w:ascii="Times New Roman" w:eastAsia="Times New Roman" w:hAnsi="Times New Roman" w:cs="Times New Roman"/>
          <w:sz w:val="24"/>
          <w:szCs w:val="24"/>
        </w:rPr>
        <w:fldChar w:fldCharType="begin"/>
      </w:r>
      <w:r w:rsidR="00787EBE" w:rsidRPr="00796736">
        <w:rPr>
          <w:rFonts w:ascii="Times New Roman" w:eastAsia="Times New Roman" w:hAnsi="Times New Roman" w:cs="Times New Roman"/>
          <w:sz w:val="24"/>
          <w:szCs w:val="24"/>
        </w:rPr>
        <w:instrText xml:space="preserve"> REF _Ref232609879 \r \h </w:instrText>
      </w:r>
      <w:r w:rsidR="00967618" w:rsidRPr="00796736">
        <w:rPr>
          <w:rFonts w:ascii="Times New Roman" w:eastAsia="Times New Roman" w:hAnsi="Times New Roman" w:cs="Times New Roman"/>
          <w:sz w:val="24"/>
          <w:szCs w:val="24"/>
        </w:rPr>
        <w:instrText xml:space="preserve"> \* MERGEFORMAT </w:instrText>
      </w:r>
      <w:r w:rsidR="00787EBE" w:rsidRPr="00796736">
        <w:rPr>
          <w:rFonts w:ascii="Times New Roman" w:eastAsia="Times New Roman" w:hAnsi="Times New Roman" w:cs="Times New Roman"/>
          <w:sz w:val="24"/>
          <w:szCs w:val="24"/>
        </w:rPr>
      </w:r>
      <w:r w:rsidR="00787EBE"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131</w:t>
      </w:r>
      <w:r w:rsidR="00787EBE" w:rsidRPr="00796736">
        <w:rPr>
          <w:rFonts w:ascii="Times New Roman" w:eastAsia="Times New Roman" w:hAnsi="Times New Roman" w:cs="Times New Roman"/>
          <w:sz w:val="24"/>
          <w:szCs w:val="24"/>
        </w:rPr>
        <w:fldChar w:fldCharType="end"/>
      </w:r>
      <w:r w:rsidR="00787EBE"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og </w:t>
      </w:r>
      <w:r w:rsidR="00787EBE" w:rsidRPr="00796736">
        <w:rPr>
          <w:rFonts w:ascii="Times New Roman" w:eastAsia="Times New Roman" w:hAnsi="Times New Roman" w:cs="Times New Roman"/>
          <w:sz w:val="24"/>
          <w:szCs w:val="24"/>
        </w:rPr>
        <w:fldChar w:fldCharType="begin"/>
      </w:r>
      <w:r w:rsidR="00787EBE" w:rsidRPr="00796736">
        <w:rPr>
          <w:rFonts w:ascii="Times New Roman" w:eastAsia="Times New Roman" w:hAnsi="Times New Roman" w:cs="Times New Roman"/>
          <w:sz w:val="24"/>
          <w:szCs w:val="24"/>
        </w:rPr>
        <w:instrText xml:space="preserve"> REF _Ref232609949 \r \h </w:instrText>
      </w:r>
      <w:r w:rsidR="00967618" w:rsidRPr="00796736">
        <w:rPr>
          <w:rFonts w:ascii="Times New Roman" w:eastAsia="Times New Roman" w:hAnsi="Times New Roman" w:cs="Times New Roman"/>
          <w:sz w:val="24"/>
          <w:szCs w:val="24"/>
        </w:rPr>
        <w:instrText xml:space="preserve"> \* MERGEFORMAT </w:instrText>
      </w:r>
      <w:r w:rsidR="00787EBE" w:rsidRPr="00796736">
        <w:rPr>
          <w:rFonts w:ascii="Times New Roman" w:eastAsia="Times New Roman" w:hAnsi="Times New Roman" w:cs="Times New Roman"/>
          <w:sz w:val="24"/>
          <w:szCs w:val="24"/>
        </w:rPr>
      </w:r>
      <w:r w:rsidR="00787EBE"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133</w:t>
      </w:r>
      <w:r w:rsidR="00787EBE"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og bemærkningerne hertil.</w:t>
      </w:r>
    </w:p>
    <w:p w14:paraId="38B3BF26" w14:textId="77777777" w:rsidR="00184411" w:rsidRPr="00796736" w:rsidRDefault="00184411" w:rsidP="00A802A5">
      <w:pPr>
        <w:spacing w:line="360" w:lineRule="auto"/>
        <w:rPr>
          <w:rFonts w:ascii="Times New Roman" w:eastAsia="Times New Roman" w:hAnsi="Times New Roman" w:cs="Times New Roman"/>
          <w:sz w:val="24"/>
          <w:szCs w:val="24"/>
        </w:rPr>
      </w:pPr>
    </w:p>
    <w:p w14:paraId="6FBF063F" w14:textId="5BA65FBD" w:rsidR="00184411" w:rsidRPr="00796736" w:rsidRDefault="00262572" w:rsidP="00A802A5">
      <w:pPr>
        <w:pStyle w:val="Overskrift2"/>
        <w:rPr>
          <w:rFonts w:ascii="Times New Roman" w:hAnsi="Times New Roman"/>
          <w:sz w:val="24"/>
        </w:rPr>
      </w:pPr>
      <w:bookmarkStart w:id="1516" w:name="_Ref238406406"/>
      <w:bookmarkStart w:id="1517" w:name="_Toc244880804"/>
      <w:r w:rsidRPr="00796736">
        <w:rPr>
          <w:rFonts w:ascii="Times New Roman" w:hAnsi="Times New Roman"/>
          <w:sz w:val="24"/>
        </w:rPr>
        <w:t>Inddrivelse</w:t>
      </w:r>
      <w:r w:rsidR="00184411" w:rsidRPr="00796736">
        <w:rPr>
          <w:rFonts w:ascii="Times New Roman" w:hAnsi="Times New Roman"/>
          <w:sz w:val="24"/>
        </w:rPr>
        <w:t xml:space="preserve"> af gebyrer </w:t>
      </w:r>
      <w:r w:rsidRPr="00796736">
        <w:rPr>
          <w:rFonts w:ascii="Times New Roman" w:hAnsi="Times New Roman"/>
          <w:sz w:val="24"/>
        </w:rPr>
        <w:t>omfattet af</w:t>
      </w:r>
      <w:r w:rsidR="00184411" w:rsidRPr="00796736">
        <w:rPr>
          <w:rFonts w:ascii="Times New Roman" w:hAnsi="Times New Roman"/>
          <w:sz w:val="24"/>
        </w:rPr>
        <w:t xml:space="preserve"> AMLA-forordningen</w:t>
      </w:r>
      <w:bookmarkEnd w:id="1516"/>
      <w:bookmarkEnd w:id="1517"/>
      <w:r w:rsidRPr="00796736">
        <w:rPr>
          <w:rFonts w:ascii="Times New Roman" w:hAnsi="Times New Roman"/>
          <w:sz w:val="24"/>
        </w:rPr>
        <w:t xml:space="preserve">  </w:t>
      </w:r>
    </w:p>
    <w:p w14:paraId="0E5F9B6C" w14:textId="77777777" w:rsidR="00184411" w:rsidRPr="00796736" w:rsidRDefault="00184411"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32A138DE" w14:textId="77777777" w:rsidR="00184411" w:rsidRPr="00796736" w:rsidRDefault="00184411"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Hvidvaskloven indeholder ikke bestemmelser, der giver hjemmel til opkrævning eller inddrivelse af gebyrer.</w:t>
      </w:r>
    </w:p>
    <w:p w14:paraId="4996A0BC" w14:textId="77777777" w:rsidR="00184411" w:rsidRPr="00796736" w:rsidRDefault="00184411" w:rsidP="00A802A5">
      <w:pPr>
        <w:spacing w:line="360" w:lineRule="auto"/>
        <w:rPr>
          <w:rFonts w:ascii="Times New Roman" w:hAnsi="Times New Roman" w:cs="Times New Roman"/>
          <w:sz w:val="24"/>
          <w:szCs w:val="24"/>
        </w:rPr>
      </w:pPr>
    </w:p>
    <w:p w14:paraId="612644F0" w14:textId="1CC0996E" w:rsidR="00184411" w:rsidRPr="00796736" w:rsidRDefault="00184411"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AMLA-forordningen</w:t>
      </w:r>
    </w:p>
    <w:p w14:paraId="36CE3C32" w14:textId="77777777" w:rsidR="00184411" w:rsidRPr="00796736" w:rsidRDefault="001844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77, stk. 1, at AMLA opkræver et årligt tilsynsgebyr for alle de i artikel 13 omhandlede udvalgte forpligtede enheder og ikkeudvalgte forpligtede enheder, der opfylder kriterierne fastsat i artikel 12, stk. 1. Gebyrerne dækker myndighedens udgifter i forbindelse med opgaver, der er forbundet med tilsyn og er omhandlet i kapitel II afdeling 3 og 4. </w:t>
      </w:r>
    </w:p>
    <w:p w14:paraId="58D44886" w14:textId="77777777" w:rsidR="00184411" w:rsidRPr="00796736" w:rsidRDefault="00184411" w:rsidP="00A802A5">
      <w:pPr>
        <w:spacing w:line="360" w:lineRule="auto"/>
        <w:rPr>
          <w:rFonts w:ascii="Times New Roman" w:hAnsi="Times New Roman" w:cs="Times New Roman"/>
          <w:sz w:val="24"/>
          <w:szCs w:val="24"/>
        </w:rPr>
      </w:pPr>
    </w:p>
    <w:p w14:paraId="20E8256E" w14:textId="77777777" w:rsidR="00184411" w:rsidRPr="00796736" w:rsidRDefault="001844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77, stk. 2, at størrelsen af det gebyr, der opkræves hos hver af de forpligtede enheder, der er omhandlet i stk. 1, beregnes i overensstemmelse med de ordninger, der er fastsat i en delegeret retsakt. Efter artikel 77, stk. 3, beregnes gebyrerne på det højeste konsolideringsniveau i Unionen i overensstemmelse med gældende regnskabsstandarder.</w:t>
      </w:r>
    </w:p>
    <w:p w14:paraId="3C753323" w14:textId="77777777" w:rsidR="00184411" w:rsidRPr="00796736" w:rsidRDefault="00184411" w:rsidP="00A802A5">
      <w:pPr>
        <w:spacing w:line="360" w:lineRule="auto"/>
        <w:rPr>
          <w:rFonts w:ascii="Times New Roman" w:hAnsi="Times New Roman" w:cs="Times New Roman"/>
          <w:sz w:val="24"/>
          <w:szCs w:val="24"/>
        </w:rPr>
      </w:pPr>
    </w:p>
    <w:p w14:paraId="04F0A995" w14:textId="4174E4AA" w:rsidR="00184411" w:rsidRPr="00796736" w:rsidRDefault="001844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77, stk. 4, at beregningsgrundlaget for det årlige tilsynsgebyr for et givet kalenderår skal være udgifterne vedrørende det direkte og indirekte tilsyn med de udvalgte og ikkeudvalgte forpligtede enheder for det pågældende år. Medlemsstaterne sikrer, at pligten til at betale de gebyrer, der er fastsat i denne artikel, kan håndhæves efter national ret, og at forfaldne gebyrer betales fuldt ud.</w:t>
      </w:r>
    </w:p>
    <w:p w14:paraId="00BF360B" w14:textId="77777777" w:rsidR="00184411" w:rsidRPr="00796736" w:rsidRDefault="00184411" w:rsidP="00A802A5">
      <w:pPr>
        <w:spacing w:line="360" w:lineRule="auto"/>
        <w:rPr>
          <w:rFonts w:ascii="Times New Roman" w:hAnsi="Times New Roman" w:cs="Times New Roman"/>
          <w:sz w:val="24"/>
          <w:szCs w:val="24"/>
        </w:rPr>
      </w:pPr>
    </w:p>
    <w:p w14:paraId="1FA66A95" w14:textId="4C94BA63" w:rsidR="00184411" w:rsidRPr="00796736" w:rsidRDefault="001844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77, stk. 5, at AMLAs opkrævning af gebyrer ikke berører de finansielle tilsynsorganers ret til at opkræve gebyrer i henhold til national lovgivning og, i det omfang tilsynsopgaverne ikke er overdraget til AMLA eller i forbindelse med omkostningerne for at samarbejde med og bistå AMLA og handle efter dennes instrukser, i overensstemmelse med den relevante EU-ret.</w:t>
      </w:r>
    </w:p>
    <w:p w14:paraId="34B3B04D" w14:textId="77777777" w:rsidR="00184411" w:rsidRPr="00796736" w:rsidRDefault="00184411" w:rsidP="00A802A5">
      <w:pPr>
        <w:spacing w:line="360" w:lineRule="auto"/>
        <w:rPr>
          <w:rFonts w:ascii="Times New Roman" w:hAnsi="Times New Roman" w:cs="Times New Roman"/>
          <w:sz w:val="24"/>
          <w:szCs w:val="24"/>
        </w:rPr>
      </w:pPr>
    </w:p>
    <w:p w14:paraId="2A338406" w14:textId="4E61F614" w:rsidR="00184411" w:rsidRPr="00796736" w:rsidRDefault="00184411"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Vækstministeriets overvejelser og den foreslåede ordning</w:t>
      </w:r>
    </w:p>
    <w:p w14:paraId="4B1D65E7" w14:textId="77777777" w:rsidR="00BD65A7" w:rsidRPr="00796736" w:rsidRDefault="00BD65A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Skatte- og Vækstministeriets vurdering, at det er nødvendigt at sikre, at pligten til at betale de gebyrer, der følger af artikel 77 i AMLA-forordningen, kan håndhæves effektivt efter dansk ret. Artikel 77, stk. 4, pålægger medlemsstaterne at sikre, at gebyrpligten kan håndhæves nationalt, og at forfaldne gebyrer betales fuldt ud.</w:t>
      </w:r>
    </w:p>
    <w:p w14:paraId="41DB266F" w14:textId="77777777" w:rsidR="00BD65A7" w:rsidRPr="00796736" w:rsidRDefault="00BD65A7" w:rsidP="00A802A5">
      <w:pPr>
        <w:spacing w:line="360" w:lineRule="auto"/>
        <w:rPr>
          <w:rFonts w:ascii="Times New Roman" w:hAnsi="Times New Roman" w:cs="Times New Roman"/>
          <w:sz w:val="24"/>
          <w:szCs w:val="24"/>
        </w:rPr>
      </w:pPr>
    </w:p>
    <w:p w14:paraId="0F5E5029" w14:textId="77777777" w:rsidR="00BD65A7" w:rsidRPr="00796736" w:rsidRDefault="00BD65A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Betalingspligten og dermed selve fordringen følger direkte af AMLA-forordningen og består således uafhængigt af national gennemførelseslovgivning. Der er derfor ikke behov for at etablere en selvstændig national hjemmel for selve fordringen. Der er derimod behov for en national håndhævelsesbestemmelse, der sikrer, at forfaldne gebyrer kan inddrives efter dansk ret, hvis betaling ikke sker frivilligt.</w:t>
      </w:r>
    </w:p>
    <w:p w14:paraId="3035F496" w14:textId="77777777" w:rsidR="00BD65A7" w:rsidRPr="00796736" w:rsidRDefault="00BD65A7" w:rsidP="00A802A5">
      <w:pPr>
        <w:spacing w:line="360" w:lineRule="auto"/>
        <w:rPr>
          <w:rFonts w:ascii="Times New Roman" w:hAnsi="Times New Roman" w:cs="Times New Roman"/>
          <w:sz w:val="24"/>
          <w:szCs w:val="24"/>
        </w:rPr>
      </w:pPr>
    </w:p>
    <w:p w14:paraId="476E666B" w14:textId="20F4E11B" w:rsidR="00BD65A7" w:rsidRPr="00796736" w:rsidRDefault="00BD65A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på den baggrund, at gebyrer omfattet af artikel 77 i Europa-Parlamentets og Rådets forordning (EU) 2024/1620 kan inddrives efter reglerne i lov om inddrivelse af gæld til det offentlige.</w:t>
      </w:r>
    </w:p>
    <w:p w14:paraId="78A90E81" w14:textId="77777777" w:rsidR="00BD65A7" w:rsidRPr="00796736" w:rsidRDefault="00BD65A7" w:rsidP="00A802A5">
      <w:pPr>
        <w:spacing w:line="360" w:lineRule="auto"/>
        <w:rPr>
          <w:rFonts w:ascii="Times New Roman" w:hAnsi="Times New Roman" w:cs="Times New Roman"/>
          <w:sz w:val="24"/>
          <w:szCs w:val="24"/>
        </w:rPr>
      </w:pPr>
    </w:p>
    <w:p w14:paraId="7EA37EE2" w14:textId="421FA74E" w:rsidR="00184411" w:rsidRPr="00796736" w:rsidRDefault="0018441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henvises i øvrigt til lovforslagets</w:t>
      </w:r>
      <w:r w:rsidR="008C2EA1" w:rsidRPr="00796736">
        <w:rPr>
          <w:rFonts w:ascii="Times New Roman" w:eastAsia="Times New Roman" w:hAnsi="Times New Roman" w:cs="Times New Roman"/>
          <w:sz w:val="24"/>
          <w:szCs w:val="24"/>
        </w:rPr>
        <w:t xml:space="preserve"> </w:t>
      </w:r>
      <w:r w:rsidR="008C2EA1" w:rsidRPr="00796736">
        <w:rPr>
          <w:rFonts w:ascii="Times New Roman" w:eastAsia="Times New Roman" w:hAnsi="Times New Roman" w:cs="Times New Roman"/>
          <w:sz w:val="24"/>
          <w:szCs w:val="24"/>
        </w:rPr>
        <w:fldChar w:fldCharType="begin"/>
      </w:r>
      <w:r w:rsidR="008C2EA1" w:rsidRPr="00796736">
        <w:rPr>
          <w:rFonts w:ascii="Times New Roman" w:eastAsia="Times New Roman" w:hAnsi="Times New Roman" w:cs="Times New Roman"/>
          <w:sz w:val="24"/>
          <w:szCs w:val="24"/>
        </w:rPr>
        <w:instrText xml:space="preserve"> REF _Ref238145589 \r \h </w:instrText>
      </w:r>
      <w:r w:rsidR="006A012C" w:rsidRPr="00796736">
        <w:rPr>
          <w:rFonts w:ascii="Times New Roman" w:eastAsia="Times New Roman" w:hAnsi="Times New Roman" w:cs="Times New Roman"/>
          <w:sz w:val="24"/>
          <w:szCs w:val="24"/>
        </w:rPr>
        <w:instrText xml:space="preserve"> \* MERGEFORMAT </w:instrText>
      </w:r>
      <w:r w:rsidR="008C2EA1" w:rsidRPr="00796736">
        <w:rPr>
          <w:rFonts w:ascii="Times New Roman" w:eastAsia="Times New Roman" w:hAnsi="Times New Roman" w:cs="Times New Roman"/>
          <w:sz w:val="24"/>
          <w:szCs w:val="24"/>
        </w:rPr>
      </w:r>
      <w:r w:rsidR="008C2EA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134</w:t>
      </w:r>
      <w:r w:rsidR="008C2EA1" w:rsidRPr="00796736">
        <w:rPr>
          <w:rFonts w:ascii="Times New Roman" w:eastAsia="Times New Roman" w:hAnsi="Times New Roman" w:cs="Times New Roman"/>
          <w:sz w:val="24"/>
          <w:szCs w:val="24"/>
        </w:rPr>
        <w:fldChar w:fldCharType="end"/>
      </w:r>
      <w:r w:rsidR="008C2EA1"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og bemærkningerne hertil.</w:t>
      </w:r>
    </w:p>
    <w:p w14:paraId="0F5B631B" w14:textId="77777777" w:rsidR="00C6658C" w:rsidRPr="00796736" w:rsidRDefault="00C6658C" w:rsidP="00A802A5">
      <w:pPr>
        <w:spacing w:line="360" w:lineRule="auto"/>
        <w:rPr>
          <w:rFonts w:ascii="Times New Roman" w:hAnsi="Times New Roman" w:cs="Times New Roman"/>
          <w:sz w:val="24"/>
          <w:szCs w:val="24"/>
        </w:rPr>
      </w:pPr>
    </w:p>
    <w:p w14:paraId="52AE4A57" w14:textId="77777777" w:rsidR="001543C5" w:rsidRPr="00796736" w:rsidRDefault="001543C5" w:rsidP="00A802A5">
      <w:pPr>
        <w:pStyle w:val="Overskrift2"/>
        <w:rPr>
          <w:rFonts w:ascii="Times New Roman" w:hAnsi="Times New Roman"/>
          <w:sz w:val="24"/>
        </w:rPr>
      </w:pPr>
      <w:bookmarkStart w:id="1518" w:name="_Toc232109308"/>
      <w:bookmarkStart w:id="1519" w:name="_Ref244805644"/>
      <w:bookmarkStart w:id="1520" w:name="_Toc244880805"/>
      <w:r w:rsidRPr="00796736">
        <w:rPr>
          <w:rFonts w:ascii="Times New Roman" w:hAnsi="Times New Roman"/>
          <w:sz w:val="24"/>
        </w:rPr>
        <w:t>Finanstilsynets hjemmel til at pålægge tvangsbøder</w:t>
      </w:r>
      <w:bookmarkEnd w:id="1518"/>
      <w:bookmarkEnd w:id="1519"/>
      <w:bookmarkEnd w:id="1520"/>
    </w:p>
    <w:p w14:paraId="0366CD2B" w14:textId="77777777" w:rsidR="001543C5" w:rsidRPr="00796736" w:rsidRDefault="001543C5" w:rsidP="00A802A5">
      <w:pPr>
        <w:pStyle w:val="Overskrift4"/>
        <w:rPr>
          <w:rFonts w:ascii="Times New Roman" w:hAnsi="Times New Roman" w:cs="Times New Roman"/>
          <w:sz w:val="24"/>
          <w:szCs w:val="24"/>
        </w:rPr>
      </w:pPr>
      <w:bookmarkStart w:id="1521" w:name="_Toc232109309"/>
      <w:r w:rsidRPr="00796736">
        <w:rPr>
          <w:rFonts w:ascii="Times New Roman" w:hAnsi="Times New Roman" w:cs="Times New Roman"/>
          <w:sz w:val="24"/>
          <w:szCs w:val="24"/>
        </w:rPr>
        <w:t>Gældende ret</w:t>
      </w:r>
      <w:bookmarkEnd w:id="1521"/>
    </w:p>
    <w:p w14:paraId="483A9352" w14:textId="77777777" w:rsidR="00350378" w:rsidRPr="00350378" w:rsidRDefault="00350378" w:rsidP="00350378">
      <w:pPr>
        <w:spacing w:after="240" w:line="360" w:lineRule="auto"/>
        <w:jc w:val="left"/>
        <w:rPr>
          <w:rFonts w:ascii="Times New Roman" w:eastAsia="Calibri" w:hAnsi="Times New Roman" w:cs="Times New Roman"/>
          <w:sz w:val="24"/>
          <w:szCs w:val="24"/>
        </w:rPr>
      </w:pPr>
      <w:bookmarkStart w:id="1522" w:name="_Toc232109310"/>
      <w:r w:rsidRPr="00350378">
        <w:rPr>
          <w:rFonts w:ascii="Times New Roman" w:eastAsia="Calibri" w:hAnsi="Times New Roman" w:cs="Times New Roman"/>
          <w:sz w:val="24"/>
          <w:szCs w:val="24"/>
        </w:rPr>
        <w:t xml:space="preserve">Det følger af hvidvaskloven, at Finanstilsynet som tvangsmiddel kan pålægge en person, en virksomhed eller de for virksomheden ansvarlige personer daglige eller ugentlige bøder, hvis virksomheden eller personen undlader at give Finanstilsynet de for Finanstilsynets virksomhed nødvendige oplysninger. </w:t>
      </w:r>
    </w:p>
    <w:p w14:paraId="0A328C0E" w14:textId="77777777" w:rsidR="00350378" w:rsidRPr="00350378" w:rsidRDefault="00350378" w:rsidP="00350378">
      <w:pPr>
        <w:spacing w:after="240" w:line="360" w:lineRule="auto"/>
        <w:jc w:val="left"/>
        <w:rPr>
          <w:rFonts w:ascii="Times New Roman" w:eastAsia="Calibri" w:hAnsi="Times New Roman" w:cs="Times New Roman"/>
          <w:sz w:val="24"/>
          <w:szCs w:val="24"/>
        </w:rPr>
      </w:pPr>
      <w:r w:rsidRPr="00350378">
        <w:rPr>
          <w:rFonts w:ascii="Times New Roman" w:eastAsia="Calibri" w:hAnsi="Times New Roman" w:cs="Times New Roman"/>
          <w:sz w:val="24"/>
          <w:szCs w:val="24"/>
        </w:rPr>
        <w:t xml:space="preserve">Herudover har Finanstilsynet mulighed for at pålægge en valutavekslingsvirksomhed daglige eller ugentlige tvangsbøder, hvis virksomheden ikke efterkommer et påbud om at afsætte en direktør eller en hvidvaskansvarlig. </w:t>
      </w:r>
    </w:p>
    <w:p w14:paraId="1A1A6BB7" w14:textId="77777777" w:rsidR="001543C5" w:rsidRPr="00796736" w:rsidRDefault="001543C5"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6. hvidvaskdirektiv</w:t>
      </w:r>
      <w:bookmarkEnd w:id="1522"/>
    </w:p>
    <w:p w14:paraId="0D96CD9C" w14:textId="64351266" w:rsidR="00E15952" w:rsidRPr="00DE48B6" w:rsidRDefault="00E15952" w:rsidP="00E15952">
      <w:pPr>
        <w:spacing w:after="240" w:line="360" w:lineRule="auto"/>
        <w:rPr>
          <w:rFonts w:ascii="Times New Roman" w:hAnsi="Times New Roman" w:cs="Times New Roman"/>
          <w:sz w:val="24"/>
          <w:szCs w:val="24"/>
        </w:rPr>
      </w:pPr>
      <w:r w:rsidRPr="00DE48B6">
        <w:rPr>
          <w:rFonts w:ascii="Times New Roman" w:hAnsi="Times New Roman" w:cs="Times New Roman"/>
          <w:sz w:val="24"/>
          <w:szCs w:val="24"/>
        </w:rPr>
        <w:t xml:space="preserve">Det følger af artikel 57, stk. 1, i 6. hvidvaskdirektiv, at medlemsstaterne skal sikre, at tilsynsorganerne kan pålægge tvangsbøder, hvis de forpligtede </w:t>
      </w:r>
      <w:r w:rsidR="00DE48B6" w:rsidRPr="00DE48B6">
        <w:rPr>
          <w:rFonts w:ascii="Times New Roman" w:hAnsi="Times New Roman" w:cs="Times New Roman"/>
          <w:sz w:val="24"/>
          <w:szCs w:val="24"/>
        </w:rPr>
        <w:t>enheder,</w:t>
      </w:r>
      <w:r w:rsidRPr="00DE48B6">
        <w:rPr>
          <w:rFonts w:ascii="Times New Roman" w:hAnsi="Times New Roman" w:cs="Times New Roman"/>
          <w:sz w:val="24"/>
          <w:szCs w:val="24"/>
        </w:rPr>
        <w:t xml:space="preserve"> ikke inden for de gældende frister efterkommer administrative foranstaltninger efter direktivets artikel 56, stk. 2, litra b, d, e og g. Tvangsbøderne skal efter bestemmelsens stk. 2, være effektive og stå i et rimeligt forhold til overtrædelsen, og kunne pålægges, indtil den forpligtede enhed eller person efterkommer foranstaltningen. Efter stk. 3 må tvangsbøderne for juridiske personer ikke overstige 3 pct. af den gennemsnitlige daglige omsætning i det foregående regnskabsår og for fysiske personer 2 pct. af den gennemsnitlige daglige indtægt i det foregående kalenderår.</w:t>
      </w:r>
    </w:p>
    <w:p w14:paraId="6D5A96BC" w14:textId="77777777" w:rsidR="00E15952" w:rsidRPr="00DE48B6" w:rsidRDefault="00E15952" w:rsidP="00E15952">
      <w:pPr>
        <w:spacing w:after="240" w:line="360" w:lineRule="auto"/>
        <w:rPr>
          <w:rFonts w:ascii="Times New Roman" w:hAnsi="Times New Roman" w:cs="Times New Roman"/>
          <w:sz w:val="24"/>
          <w:szCs w:val="24"/>
        </w:rPr>
      </w:pPr>
      <w:r w:rsidRPr="00DE48B6">
        <w:rPr>
          <w:rFonts w:ascii="Times New Roman" w:hAnsi="Times New Roman" w:cs="Times New Roman"/>
          <w:sz w:val="24"/>
          <w:szCs w:val="24"/>
        </w:rPr>
        <w:t>Det følger af artikel 57, stk. 4, at tvangsbøderne kan pålægges i en periode på højst seks måneder fra meddelelsen af tilsynsorganets afgørelse. Har den forpligtede enhed ved periodens udløb ikke efterkommet foranstaltningen, skal tilsynsorganet kunne pålægge tvangsbøder i en yderligere periode på højst seks måneder. Efter bestemmelsens stk. 5 skal en afgørelse om tvangsbøder kunne træffes fra den dato, hvor den administrative foranstaltning anvendes, og tvangsbøden finder anvendelse fra den dato, hvor afgørelsen træffes.</w:t>
      </w:r>
    </w:p>
    <w:p w14:paraId="4755ABEC" w14:textId="77777777" w:rsidR="00E15952" w:rsidRPr="00DE48B6" w:rsidRDefault="00E15952" w:rsidP="00E15952">
      <w:pPr>
        <w:spacing w:after="240" w:line="360" w:lineRule="auto"/>
        <w:rPr>
          <w:rFonts w:ascii="Times New Roman" w:hAnsi="Times New Roman" w:cs="Times New Roman"/>
          <w:sz w:val="24"/>
          <w:szCs w:val="24"/>
        </w:rPr>
      </w:pPr>
      <w:r w:rsidRPr="00DE48B6">
        <w:rPr>
          <w:rFonts w:ascii="Times New Roman" w:hAnsi="Times New Roman" w:cs="Times New Roman"/>
          <w:sz w:val="24"/>
          <w:szCs w:val="24"/>
        </w:rPr>
        <w:t xml:space="preserve">Det fremgår af præambelbetragtning 106 i det 6. hvidvaskdirektiv, at forpligtede enheders rettidige overholdelse af administrative foranstaltninger, der finder anvendelse på dem, er afgørende for at sikre et tilstrækkeligt og konsekvent beskyttelsesniveau mod hvidvask af penge, de underliggende lovovertrædelser og finansiering af terrorisme i hele det indre marked. </w:t>
      </w:r>
    </w:p>
    <w:p w14:paraId="55FC2600" w14:textId="00582EF0" w:rsidR="009672D7" w:rsidRPr="009672D7" w:rsidRDefault="009672D7" w:rsidP="009672D7">
      <w:pPr>
        <w:spacing w:after="240" w:line="360" w:lineRule="auto"/>
        <w:rPr>
          <w:rFonts w:ascii="Times New Roman" w:hAnsi="Times New Roman" w:cs="Times New Roman"/>
          <w:sz w:val="24"/>
          <w:szCs w:val="24"/>
        </w:rPr>
      </w:pPr>
      <w:r w:rsidRPr="009672D7">
        <w:rPr>
          <w:rFonts w:ascii="Times New Roman" w:hAnsi="Times New Roman" w:cs="Times New Roman"/>
          <w:sz w:val="24"/>
          <w:szCs w:val="24"/>
        </w:rPr>
        <w:t>Af artikel 53, stk. 10, fremgår det, at AMLA senest den 10. juli 2026 udarbejder et udkast til reguleringsmæssige tekniske standarder og forelægger dem for Kommissionen med henblik på vedtagelse</w:t>
      </w:r>
      <w:r>
        <w:rPr>
          <w:rFonts w:ascii="Times New Roman" w:hAnsi="Times New Roman" w:cs="Times New Roman"/>
          <w:sz w:val="24"/>
          <w:szCs w:val="24"/>
        </w:rPr>
        <w:t xml:space="preserve">. </w:t>
      </w:r>
    </w:p>
    <w:p w14:paraId="454AB421" w14:textId="77777777" w:rsidR="009672D7" w:rsidRPr="009672D7" w:rsidRDefault="009672D7" w:rsidP="009672D7">
      <w:pPr>
        <w:spacing w:after="240" w:line="360" w:lineRule="auto"/>
        <w:rPr>
          <w:rFonts w:ascii="Times New Roman" w:hAnsi="Times New Roman" w:cs="Times New Roman"/>
          <w:sz w:val="24"/>
          <w:szCs w:val="24"/>
        </w:rPr>
      </w:pPr>
      <w:r w:rsidRPr="009672D7">
        <w:rPr>
          <w:rFonts w:ascii="Times New Roman" w:hAnsi="Times New Roman" w:cs="Times New Roman"/>
          <w:sz w:val="24"/>
          <w:szCs w:val="24"/>
        </w:rPr>
        <w:t>Den 25. august offentliggjorde AMLA det endelige udkast til reguleringsmæssig tekniske standard om bødesanktioner, administrative foranstaltninger og tvangsbøder i henhold til artikel 53, stk. 10.  Den reguleringsmæssig tekniske standard afventer endelig udstedelse af Kommissionen. </w:t>
      </w:r>
    </w:p>
    <w:p w14:paraId="7BB78709" w14:textId="77777777" w:rsidR="00E15952" w:rsidRPr="00DE48B6" w:rsidRDefault="00E15952" w:rsidP="00E15952">
      <w:pPr>
        <w:spacing w:after="240" w:line="360" w:lineRule="auto"/>
        <w:rPr>
          <w:rFonts w:ascii="Times New Roman" w:hAnsi="Times New Roman" w:cs="Times New Roman"/>
          <w:sz w:val="24"/>
          <w:szCs w:val="24"/>
        </w:rPr>
      </w:pPr>
      <w:r w:rsidRPr="00DE48B6">
        <w:rPr>
          <w:rFonts w:ascii="Times New Roman" w:hAnsi="Times New Roman" w:cs="Times New Roman"/>
          <w:sz w:val="24"/>
          <w:szCs w:val="24"/>
        </w:rPr>
        <w:t xml:space="preserve">Artikel 53, stk. 10 er en ny bestemmelse i forhold til 4. og 5. hvidvaskdirektiv. </w:t>
      </w:r>
    </w:p>
    <w:p w14:paraId="4AC457BC" w14:textId="77777777" w:rsidR="00E15952" w:rsidRPr="00DE48B6" w:rsidRDefault="00E15952" w:rsidP="00E15952">
      <w:pPr>
        <w:spacing w:after="240" w:line="360" w:lineRule="auto"/>
        <w:rPr>
          <w:rFonts w:ascii="Times New Roman" w:hAnsi="Times New Roman" w:cs="Times New Roman"/>
          <w:sz w:val="24"/>
          <w:szCs w:val="24"/>
        </w:rPr>
      </w:pPr>
      <w:r w:rsidRPr="00DE48B6">
        <w:rPr>
          <w:rFonts w:ascii="Times New Roman" w:hAnsi="Times New Roman" w:cs="Times New Roman"/>
          <w:sz w:val="24"/>
          <w:szCs w:val="24"/>
        </w:rPr>
        <w:t>Af artikel 6, stk. 1, følger, at medmindre andet er fastsat i retsakten og direktiv (EU) 2024/1640, skal den administrative proces for at pålægge og opkræve tvangsbøder som fastsat i artikel 57 i direktiv (EU) 2024/1640 være underlagt bestemmelser fastsat af national lovgivning gældende i den medlemsstat, hvor de periodiske bødestraffe pålægges og opkræves.</w:t>
      </w:r>
    </w:p>
    <w:p w14:paraId="69669DB0" w14:textId="77777777" w:rsidR="00E15952" w:rsidRPr="00DE48B6" w:rsidRDefault="00E15952" w:rsidP="00E15952">
      <w:pPr>
        <w:spacing w:line="360" w:lineRule="auto"/>
        <w:rPr>
          <w:rFonts w:ascii="Times New Roman" w:hAnsi="Times New Roman" w:cs="Times New Roman"/>
          <w:sz w:val="24"/>
          <w:szCs w:val="24"/>
        </w:rPr>
      </w:pPr>
    </w:p>
    <w:p w14:paraId="20BC5357"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Af stk. 2 følger, at henvisninger til direktiv (EU) 2024/1640 skal fortolkes som henvisninger til love, forskrifter og administrative bestemmelser, som medlemsstaterne skal implementere dette direktiv i henhold til artikel 78 heraf.</w:t>
      </w:r>
    </w:p>
    <w:p w14:paraId="73D5E162" w14:textId="77777777" w:rsidR="00E15952" w:rsidRPr="00DE48B6" w:rsidRDefault="00E15952" w:rsidP="00E15952">
      <w:pPr>
        <w:spacing w:line="360" w:lineRule="auto"/>
        <w:rPr>
          <w:rFonts w:ascii="Times New Roman" w:hAnsi="Times New Roman" w:cs="Times New Roman"/>
          <w:sz w:val="24"/>
          <w:szCs w:val="24"/>
        </w:rPr>
      </w:pPr>
    </w:p>
    <w:p w14:paraId="6F344FF4"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Af artikel 7 fremgår det, at før der træffes beslutning om at pålægge en tvangsbøde i henhold til artikel 57 i direktiv (EU) 2024/1640, skal tilsynsmyndigheder fremsende en agterskrivelse, svarende til udkast til afgørelse, til den fysiske eller juridiske person, der er berørt, med angivelse af begrundelsen for at pålægge den foreslåede tvangsbøde og det beløb, der skal anvendes til beregning heraf.</w:t>
      </w:r>
    </w:p>
    <w:p w14:paraId="44EC3E73" w14:textId="77777777" w:rsidR="00E15952" w:rsidRPr="00DE48B6" w:rsidRDefault="00E15952" w:rsidP="00E15952">
      <w:pPr>
        <w:spacing w:line="360" w:lineRule="auto"/>
        <w:rPr>
          <w:rFonts w:ascii="Times New Roman" w:hAnsi="Times New Roman" w:cs="Times New Roman"/>
          <w:sz w:val="24"/>
          <w:szCs w:val="24"/>
        </w:rPr>
      </w:pPr>
    </w:p>
    <w:p w14:paraId="36249087"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Det fremgår desuden, at agterskrivelsen skal fastsætte en frist på op til fire uger, inden for hvilken den berørte fysiske eller juridiske person kan fremsende skriftlige indlæg. Tilsynsmyndigheden er ikke forpligtet til at tage skriftlige indlæg modtaget efter fristens udløb i betragtning ved beslutning om tvangsbøde. Retten til at blive hørt for de berørte fysiske eller juridiske personer skal fuldt ud respekteres i overensstemmelse med den administrative proces angivet i artikel 6, stk. 1.</w:t>
      </w:r>
    </w:p>
    <w:p w14:paraId="33C96136" w14:textId="77777777" w:rsidR="00E15952" w:rsidRPr="00DE48B6" w:rsidRDefault="00E15952" w:rsidP="00E15952">
      <w:pPr>
        <w:spacing w:line="360" w:lineRule="auto"/>
        <w:rPr>
          <w:rFonts w:ascii="Times New Roman" w:hAnsi="Times New Roman" w:cs="Times New Roman"/>
          <w:sz w:val="24"/>
          <w:szCs w:val="24"/>
        </w:rPr>
      </w:pPr>
    </w:p>
    <w:p w14:paraId="4FA32A1C"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Af artikel 8, stk. 1, fremgår det, at beslutningen om at pålægge tvangsbøde kun skal baseres på fakta, hvor den berørte fysiske eller juridiske person har haft mulighed for at udøve sin ret til at blive hørt.</w:t>
      </w:r>
    </w:p>
    <w:p w14:paraId="419357AD" w14:textId="77777777" w:rsidR="00E15952" w:rsidRPr="00DE48B6" w:rsidRDefault="00E15952" w:rsidP="00E15952">
      <w:pPr>
        <w:spacing w:line="360" w:lineRule="auto"/>
        <w:rPr>
          <w:rFonts w:ascii="Times New Roman" w:hAnsi="Times New Roman" w:cs="Times New Roman"/>
          <w:sz w:val="24"/>
          <w:szCs w:val="24"/>
        </w:rPr>
      </w:pPr>
    </w:p>
    <w:p w14:paraId="4C976A14"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 xml:space="preserve">Af stk. 2 følger, at en beslutning om at pålægge en tvangsbøde i henhold til artikel 57 i direktiv (EU) 2024/1640 som minimum skal angive det juridiske grundlag, begrundelsen for beslutningen og det beløb, der vil blive anvendt til beregning af det endelige akkumulerede beløb for tvangsbøden. </w:t>
      </w:r>
    </w:p>
    <w:p w14:paraId="67CD601F" w14:textId="77777777" w:rsidR="00E15952" w:rsidRPr="00DE48B6" w:rsidRDefault="00E15952" w:rsidP="00E15952">
      <w:pPr>
        <w:spacing w:line="360" w:lineRule="auto"/>
        <w:rPr>
          <w:rFonts w:ascii="Times New Roman" w:hAnsi="Times New Roman" w:cs="Times New Roman"/>
          <w:sz w:val="24"/>
          <w:szCs w:val="24"/>
        </w:rPr>
      </w:pPr>
    </w:p>
    <w:p w14:paraId="4CED83D1"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Af stk. 3 følger, at når tilsynsmyndigheden beslutter det beløb, der vil blive anvendt til beregning af det endelige akkumulerede beløb for tvangsbøden, skal den tage alle følgende faktorer i betragtning:</w:t>
      </w:r>
    </w:p>
    <w:p w14:paraId="4EE6BABF" w14:textId="77777777" w:rsidR="00E15952" w:rsidRPr="00DE48B6" w:rsidRDefault="00E15952">
      <w:pPr>
        <w:pStyle w:val="Listeafsnit"/>
        <w:numPr>
          <w:ilvl w:val="0"/>
          <w:numId w:val="60"/>
        </w:numPr>
        <w:spacing w:before="120" w:after="240" w:line="360" w:lineRule="auto"/>
        <w:jc w:val="left"/>
        <w:rPr>
          <w:rFonts w:ascii="Times New Roman" w:hAnsi="Times New Roman" w:cs="Times New Roman"/>
          <w:sz w:val="24"/>
          <w:szCs w:val="24"/>
        </w:rPr>
      </w:pPr>
      <w:r w:rsidRPr="00DE48B6">
        <w:rPr>
          <w:rFonts w:ascii="Times New Roman" w:hAnsi="Times New Roman" w:cs="Times New Roman"/>
          <w:sz w:val="24"/>
          <w:szCs w:val="24"/>
        </w:rPr>
        <w:t>typen og formålet med den relevante administrative foranstaltning, der ikke er overholdt;</w:t>
      </w:r>
    </w:p>
    <w:p w14:paraId="049718B7" w14:textId="77777777" w:rsidR="00E15952" w:rsidRPr="00DE48B6" w:rsidRDefault="00E15952">
      <w:pPr>
        <w:pStyle w:val="Listeafsnit"/>
        <w:numPr>
          <w:ilvl w:val="0"/>
          <w:numId w:val="60"/>
        </w:numPr>
        <w:spacing w:before="120" w:after="240" w:line="360" w:lineRule="auto"/>
        <w:jc w:val="left"/>
        <w:rPr>
          <w:rFonts w:ascii="Times New Roman" w:hAnsi="Times New Roman" w:cs="Times New Roman"/>
          <w:sz w:val="24"/>
          <w:szCs w:val="24"/>
        </w:rPr>
      </w:pPr>
      <w:r w:rsidRPr="00DE48B6">
        <w:rPr>
          <w:rFonts w:ascii="Times New Roman" w:hAnsi="Times New Roman" w:cs="Times New Roman"/>
          <w:sz w:val="24"/>
          <w:szCs w:val="24"/>
        </w:rPr>
        <w:t>årsagerne til manglende overholdelse af den relevante administrative foranstaltning;</w:t>
      </w:r>
    </w:p>
    <w:p w14:paraId="339BEA77" w14:textId="77777777" w:rsidR="00E15952" w:rsidRPr="00DE48B6" w:rsidRDefault="00E15952">
      <w:pPr>
        <w:pStyle w:val="Listeafsnit"/>
        <w:numPr>
          <w:ilvl w:val="0"/>
          <w:numId w:val="60"/>
        </w:numPr>
        <w:spacing w:before="120" w:after="240" w:line="360" w:lineRule="auto"/>
        <w:jc w:val="left"/>
        <w:rPr>
          <w:rFonts w:ascii="Times New Roman" w:hAnsi="Times New Roman" w:cs="Times New Roman"/>
          <w:sz w:val="24"/>
          <w:szCs w:val="24"/>
        </w:rPr>
      </w:pPr>
      <w:r w:rsidRPr="00DE48B6">
        <w:rPr>
          <w:rFonts w:ascii="Times New Roman" w:hAnsi="Times New Roman" w:cs="Times New Roman"/>
          <w:sz w:val="24"/>
          <w:szCs w:val="24"/>
        </w:rPr>
        <w:t>tab for tredjepart forårsaget af manglende overholdelse af den relevante administrative foranstaltning, forudsat at de blev fastslået, da den relevante administrative foranstaltning blev pålagt;</w:t>
      </w:r>
    </w:p>
    <w:p w14:paraId="7F7EA3BB" w14:textId="77777777" w:rsidR="00E15952" w:rsidRPr="00DE48B6" w:rsidRDefault="00E15952">
      <w:pPr>
        <w:pStyle w:val="Listeafsnit"/>
        <w:numPr>
          <w:ilvl w:val="0"/>
          <w:numId w:val="60"/>
        </w:numPr>
        <w:spacing w:before="120" w:after="240" w:line="360" w:lineRule="auto"/>
        <w:jc w:val="left"/>
        <w:rPr>
          <w:rFonts w:ascii="Times New Roman" w:hAnsi="Times New Roman" w:cs="Times New Roman"/>
          <w:sz w:val="24"/>
          <w:szCs w:val="24"/>
        </w:rPr>
      </w:pPr>
      <w:r w:rsidRPr="00DE48B6">
        <w:rPr>
          <w:rFonts w:ascii="Times New Roman" w:hAnsi="Times New Roman" w:cs="Times New Roman"/>
          <w:sz w:val="24"/>
          <w:szCs w:val="24"/>
        </w:rPr>
        <w:t>fordel opnået ved manglende overholdelse af den relevante administrative foranstaltning, forudsat at de blev fastslået, da den relevante administrative foranstaltning blev pålagt;</w:t>
      </w:r>
    </w:p>
    <w:p w14:paraId="385C283B" w14:textId="77777777" w:rsidR="00E15952" w:rsidRPr="00DE48B6" w:rsidRDefault="00E15952">
      <w:pPr>
        <w:pStyle w:val="Listeafsnit"/>
        <w:numPr>
          <w:ilvl w:val="0"/>
          <w:numId w:val="60"/>
        </w:numPr>
        <w:spacing w:before="120" w:after="240" w:line="360" w:lineRule="auto"/>
        <w:jc w:val="left"/>
        <w:rPr>
          <w:rFonts w:ascii="Times New Roman" w:hAnsi="Times New Roman" w:cs="Times New Roman"/>
          <w:sz w:val="24"/>
          <w:szCs w:val="24"/>
        </w:rPr>
      </w:pPr>
      <w:r w:rsidRPr="00DE48B6">
        <w:rPr>
          <w:rFonts w:ascii="Times New Roman" w:hAnsi="Times New Roman" w:cs="Times New Roman"/>
          <w:sz w:val="24"/>
          <w:szCs w:val="24"/>
        </w:rPr>
        <w:t>den økonomiske styrke hos den berørte fysiske eller juridiske person, forudsat at dette blev fastslået, da den relevante administrative foranstaltning blev pålagt.</w:t>
      </w:r>
    </w:p>
    <w:p w14:paraId="42803D78"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Af artikel 9. stk. 1, fremgår det, at beløbet for den periodiske bødestraf kan fastsættes på daglig, ugentlig eller månedlig basis.</w:t>
      </w:r>
    </w:p>
    <w:p w14:paraId="4CC2FCDC" w14:textId="77777777" w:rsidR="00E15952" w:rsidRPr="00DE48B6" w:rsidRDefault="00E15952" w:rsidP="00E15952">
      <w:pPr>
        <w:spacing w:line="360" w:lineRule="auto"/>
        <w:rPr>
          <w:rFonts w:ascii="Times New Roman" w:hAnsi="Times New Roman" w:cs="Times New Roman"/>
          <w:sz w:val="24"/>
          <w:szCs w:val="24"/>
        </w:rPr>
      </w:pPr>
    </w:p>
    <w:p w14:paraId="6F6B5CB6"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Af stk. 2 følger, at tvangsbøde kun skal håndhæves og opkræves for perioden med manglende overholdelse af den relevante administrative foranstaltning nævnt i artikel 56, stk. 2, litra b, d, e og g, i direktiv (EU) 2024/1640. Perioden med manglende overholdelse af den relevante administrative foranstaltning nævnt i artikel 56, stk. 2, litra b, d, e og g, i direktiv (EU) 2024/1640 skal fastsættes af tilsynsmyndigheden.</w:t>
      </w:r>
    </w:p>
    <w:p w14:paraId="04D09554" w14:textId="77777777" w:rsidR="00E15952" w:rsidRPr="00DE48B6" w:rsidRDefault="00E15952" w:rsidP="00E15952">
      <w:pPr>
        <w:spacing w:line="360" w:lineRule="auto"/>
        <w:rPr>
          <w:rFonts w:ascii="Times New Roman" w:hAnsi="Times New Roman" w:cs="Times New Roman"/>
          <w:sz w:val="24"/>
          <w:szCs w:val="24"/>
        </w:rPr>
      </w:pPr>
    </w:p>
    <w:p w14:paraId="50FD5782"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Af artikel 10, stk. 1, fremgår det, at opkrævning af tvangsbøden skal være underlagt en forældelsesfrist på fem år. De fem år nævnt i 1. pkt. begynder at løbe dagen efter den dag, hvor beslutningen om fastsættelse af det endelige akkumulerede beløb for tvangsbøden, der skal betales, meddeles til den berørte fysiske eller juridiske person.</w:t>
      </w:r>
    </w:p>
    <w:p w14:paraId="22130592" w14:textId="77777777" w:rsidR="00E15952" w:rsidRPr="00DE48B6" w:rsidRDefault="00E15952" w:rsidP="00E15952">
      <w:pPr>
        <w:spacing w:line="360" w:lineRule="auto"/>
        <w:rPr>
          <w:rFonts w:ascii="Times New Roman" w:hAnsi="Times New Roman" w:cs="Times New Roman"/>
          <w:sz w:val="24"/>
          <w:szCs w:val="24"/>
        </w:rPr>
      </w:pPr>
    </w:p>
    <w:p w14:paraId="4EC988BB"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Af stk. 2 følger, at forældelsesfristen for opkrævning af tvangsbøder kan afbrydes eller suspenderes i overensstemmelse med bestemmelser fastsat af national lovgivning gældende i den medlemsstat, hvor tvangsbøderne opkræves.</w:t>
      </w:r>
    </w:p>
    <w:p w14:paraId="248F4DD8" w14:textId="77777777" w:rsidR="00E15952" w:rsidRPr="00DE48B6" w:rsidRDefault="00E15952" w:rsidP="00E15952">
      <w:pPr>
        <w:spacing w:line="360" w:lineRule="auto"/>
        <w:rPr>
          <w:rFonts w:ascii="Times New Roman" w:hAnsi="Times New Roman" w:cs="Times New Roman"/>
          <w:sz w:val="24"/>
          <w:szCs w:val="24"/>
        </w:rPr>
      </w:pPr>
    </w:p>
    <w:p w14:paraId="28AA1E21"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Det bemærkes, at de to bestemmelser i artikel 10 skal fortolkes i lyset af bl.a. præambelbetragtning nr. 104 til 6. hvidvaskdirektiv, hvorefter medlemsstaterne har forskellige systemer til pålæggelse af bøder, anvendelse af administrative foranstaltninger og pålæggelse af tvangsbøder. Desuden er visse administrative foranstaltninger, som tilsynsorganerne har beføjelse til at anvende, såsom inddragelse eller suspension af en godkendelse, afhængige af at andre myndigheder gennemfører disse foranstaltninger. For at tage højde for en så bred vifte af situationer er det hensigtsmæssig at give fleksibilitet med hensyn til de midler, som tilsynsmyndighederne har, til at pålægge bøder, anvende administrative foranstaltninger og pålægge tvangsbøder. Uanset de valgte midler påhviler det medlemsstaterne og de involverede myndigheder at sikre, at der med de gennemførte mekanismer opnås det tilsigtede resultat med hensyn til at genoprette overholdelsen og pålægge bøder, der er effektive, står i rimeligt forhold til overtrædelsen og har afskrækkende virkning.</w:t>
      </w:r>
    </w:p>
    <w:p w14:paraId="2152967B" w14:textId="77777777" w:rsidR="00E15952" w:rsidRPr="00DE48B6" w:rsidRDefault="00E15952" w:rsidP="00E15952">
      <w:pPr>
        <w:spacing w:line="360" w:lineRule="auto"/>
        <w:rPr>
          <w:rFonts w:ascii="Times New Roman" w:hAnsi="Times New Roman" w:cs="Times New Roman"/>
          <w:sz w:val="24"/>
          <w:szCs w:val="24"/>
        </w:rPr>
      </w:pPr>
    </w:p>
    <w:p w14:paraId="7863B2E3"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Efter den danske grundlovs § 3, 3. pkt., er den dømmende magt hos domstolene. Bestemmelsen i grundlovens § 3 må antages at indebære, at lovgivningsmagten ikke i almindelighed kan henlægge behandlingen af strafferetlige bødesager til administrative myndigheder (administrative bøder). Administrative tvangsbøder rejser dog ikke tilsvarende forfatningsretlige betænkeligheder. En administrativ tvangsbøde er således en afgørelse om, at en økonomisk sanktion vil blive pålagt, hvis en handlepligt ikke opfyldes – f.eks. et påbud eller en pligt til at udlevere bestemte oplysninger eller genstande. Formålet med administrative tvangsbøder er dermed lovliggørelse og ikke straf, hvorfor eventuelt ubetalte administrative tvangsbøder efter dansk ret vil bortfalde, hvis den, som er genstand for tvangsbøden, lovliggør det forhold, som har givet anledning til tvangsbøden. Hvis dette ikke er tilfældet, må bøden efter dansk ret antages at være en straf i form af en administrativ bøde pålagt i strid med grundlovens § 3.</w:t>
      </w:r>
    </w:p>
    <w:p w14:paraId="23D2B63D" w14:textId="77777777" w:rsidR="00E15952" w:rsidRPr="00DE48B6" w:rsidRDefault="00E15952" w:rsidP="00E15952">
      <w:pPr>
        <w:spacing w:line="360" w:lineRule="auto"/>
        <w:rPr>
          <w:rFonts w:ascii="Times New Roman" w:hAnsi="Times New Roman" w:cs="Times New Roman"/>
          <w:sz w:val="24"/>
          <w:szCs w:val="24"/>
        </w:rPr>
      </w:pPr>
    </w:p>
    <w:p w14:paraId="65A5FABB" w14:textId="77777777" w:rsidR="00E15952" w:rsidRPr="00DE48B6" w:rsidRDefault="00E15952" w:rsidP="00E15952">
      <w:pPr>
        <w:spacing w:line="360" w:lineRule="auto"/>
        <w:rPr>
          <w:rFonts w:ascii="Times New Roman" w:hAnsi="Times New Roman" w:cs="Times New Roman"/>
          <w:sz w:val="24"/>
          <w:szCs w:val="24"/>
        </w:rPr>
      </w:pPr>
      <w:r w:rsidRPr="00DE48B6">
        <w:rPr>
          <w:rFonts w:ascii="Times New Roman" w:hAnsi="Times New Roman" w:cs="Times New Roman"/>
          <w:sz w:val="24"/>
          <w:szCs w:val="24"/>
        </w:rPr>
        <w:t xml:space="preserve">RTS’ens artikel 10 smh. direktivet må forstås således, at artikel 10 ikke regulerer myndighedernes muligheder for at lade tvangsbøder bortfalde ved lovliggørelse, men kun regulerer forældelsen af tvangsbøder, som knytter sig til påbud el.lign., der ikke er efterkommet, er lovliggjort. </w:t>
      </w:r>
    </w:p>
    <w:p w14:paraId="6BA48167" w14:textId="2863CB4D" w:rsidR="00CB248D" w:rsidRDefault="00CB248D" w:rsidP="00A802A5">
      <w:pPr>
        <w:spacing w:line="360" w:lineRule="auto"/>
        <w:rPr>
          <w:rFonts w:ascii="Times New Roman" w:hAnsi="Times New Roman" w:cs="Times New Roman"/>
          <w:sz w:val="24"/>
          <w:szCs w:val="24"/>
        </w:rPr>
      </w:pPr>
    </w:p>
    <w:p w14:paraId="3AEDAE5E" w14:textId="77777777" w:rsidR="00CB248D" w:rsidRPr="00CB248D" w:rsidRDefault="00CB248D" w:rsidP="00A802A5">
      <w:pPr>
        <w:spacing w:line="360" w:lineRule="auto"/>
        <w:rPr>
          <w:rFonts w:ascii="Times New Roman" w:hAnsi="Times New Roman" w:cs="Times New Roman"/>
          <w:sz w:val="24"/>
          <w:szCs w:val="24"/>
        </w:rPr>
      </w:pPr>
    </w:p>
    <w:p w14:paraId="069B37D8" w14:textId="77777777" w:rsidR="001543C5" w:rsidRPr="00796736" w:rsidRDefault="001543C5" w:rsidP="00A802A5">
      <w:pPr>
        <w:pStyle w:val="Overskrift4"/>
        <w:rPr>
          <w:rFonts w:ascii="Times New Roman" w:hAnsi="Times New Roman" w:cs="Times New Roman"/>
          <w:sz w:val="24"/>
          <w:szCs w:val="24"/>
        </w:rPr>
      </w:pPr>
      <w:bookmarkStart w:id="1523" w:name="_Toc232109311"/>
      <w:r w:rsidRPr="00796736">
        <w:rPr>
          <w:rFonts w:ascii="Times New Roman" w:hAnsi="Times New Roman" w:cs="Times New Roman"/>
          <w:sz w:val="24"/>
          <w:szCs w:val="24"/>
        </w:rPr>
        <w:t>Skatte- og Vækstministeriets overvejelser og den foreslåede ordning</w:t>
      </w:r>
      <w:bookmarkEnd w:id="1523"/>
    </w:p>
    <w:p w14:paraId="42948FC0" w14:textId="77777777" w:rsidR="009E14D1" w:rsidRPr="009E14D1" w:rsidRDefault="009E14D1" w:rsidP="009E14D1">
      <w:pPr>
        <w:spacing w:line="360" w:lineRule="auto"/>
        <w:rPr>
          <w:rFonts w:ascii="Times New Roman" w:eastAsia="Calibri" w:hAnsi="Times New Roman" w:cs="Times New Roman"/>
          <w:sz w:val="24"/>
          <w:szCs w:val="24"/>
        </w:rPr>
      </w:pPr>
      <w:r w:rsidRPr="009E14D1">
        <w:rPr>
          <w:rFonts w:ascii="Times New Roman" w:hAnsi="Times New Roman" w:cs="Times New Roman"/>
          <w:sz w:val="24"/>
          <w:szCs w:val="24"/>
        </w:rPr>
        <w:t xml:space="preserve">Det er væsentligt, at Finanstilsynet har mulighed for at anvende tvangsbøder for at </w:t>
      </w:r>
      <w:r w:rsidRPr="009E14D1">
        <w:rPr>
          <w:rFonts w:ascii="Times New Roman" w:eastAsia="Calibri" w:hAnsi="Times New Roman" w:cs="Times New Roman"/>
          <w:sz w:val="24"/>
          <w:szCs w:val="24"/>
        </w:rPr>
        <w:t xml:space="preserve">tvinge personer og virksomheder til at efterleve regler, som følger af denne lov. Skatte-og Vækstministeriet vurderer, at tvangsbøder er et tvangsmiddel, der kan anvendes for at sikre et hurtigt og effektivt indgreb over for virksomheder og personer, der ikke efterlever regler efter hvidvaskloven, og er med til at forebygge hvidvask og terrorfinansiering. </w:t>
      </w:r>
    </w:p>
    <w:p w14:paraId="585B8F37" w14:textId="77777777" w:rsidR="009E14D1" w:rsidRPr="009E14D1" w:rsidRDefault="009E14D1" w:rsidP="009E14D1">
      <w:pPr>
        <w:spacing w:line="360" w:lineRule="auto"/>
        <w:rPr>
          <w:rFonts w:ascii="Times New Roman" w:eastAsia="Calibri" w:hAnsi="Times New Roman" w:cs="Times New Roman"/>
          <w:sz w:val="24"/>
          <w:szCs w:val="24"/>
        </w:rPr>
      </w:pPr>
      <w:r w:rsidRPr="009E14D1" w:rsidDel="003943E1">
        <w:rPr>
          <w:rFonts w:ascii="Times New Roman" w:eastAsia="Calibri" w:hAnsi="Times New Roman" w:cs="Times New Roman"/>
          <w:sz w:val="24"/>
          <w:szCs w:val="24"/>
        </w:rPr>
        <w:t xml:space="preserve"> </w:t>
      </w:r>
    </w:p>
    <w:p w14:paraId="4B922259" w14:textId="77777777" w:rsidR="009E14D1" w:rsidRPr="009E14D1" w:rsidRDefault="009E14D1" w:rsidP="009E14D1">
      <w:pPr>
        <w:spacing w:line="360" w:lineRule="auto"/>
        <w:rPr>
          <w:rFonts w:ascii="Times New Roman" w:eastAsia="Calibri" w:hAnsi="Times New Roman" w:cs="Times New Roman"/>
          <w:sz w:val="24"/>
          <w:szCs w:val="24"/>
          <w:highlight w:val="yellow"/>
        </w:rPr>
      </w:pPr>
      <w:r w:rsidRPr="009E14D1">
        <w:rPr>
          <w:rFonts w:ascii="Times New Roman" w:eastAsia="Calibri" w:hAnsi="Times New Roman" w:cs="Times New Roman"/>
          <w:sz w:val="24"/>
          <w:szCs w:val="24"/>
        </w:rPr>
        <w:t xml:space="preserve">Skatte-og Vækstministeriet vurderer, at der er behov for at videreføre og udvide Finanstilsynets mulighed for at anvende tvangsbøder som tvangsmiddel over for forpligtede enheder, der ikke i rette tid efterkommer påbud og de pligter, der følger af loven. Udvidelse sker som led i implementering af 6. hvidvaskdirektiv, hvor det er et krav, at tvangsbøder kan anvendes af tilsynsmyndighederne for at gennemtvinge overholdelsen af Finanstilsynets reaktioner. Skatte- og Vækstministeriet finder det hensigtsmæssigt, at bestemmelsen er opdelt efter personer og virksomheder, da det varierer, hvilke bestemmelser de enkelte personer og virksomheder kan få pålagt tvangsbøder efter, når disse ikke efterkommer et påbud eller en pligt. Opdelingen er med til at lette den praktiske forståelse af bestemmelsen. </w:t>
      </w:r>
    </w:p>
    <w:p w14:paraId="403C835A" w14:textId="77777777" w:rsidR="009E14D1" w:rsidRPr="009E14D1" w:rsidRDefault="009E14D1" w:rsidP="009E14D1">
      <w:pPr>
        <w:spacing w:line="360" w:lineRule="auto"/>
        <w:rPr>
          <w:rFonts w:ascii="Times New Roman" w:eastAsia="Calibri" w:hAnsi="Times New Roman" w:cs="Times New Roman"/>
          <w:sz w:val="24"/>
          <w:szCs w:val="24"/>
        </w:rPr>
      </w:pPr>
      <w:r w:rsidRPr="009E14D1">
        <w:rPr>
          <w:rFonts w:ascii="Times New Roman" w:eastAsia="Calibri" w:hAnsi="Times New Roman" w:cs="Times New Roman"/>
          <w:sz w:val="24"/>
          <w:szCs w:val="24"/>
        </w:rPr>
        <w:t xml:space="preserve"> </w:t>
      </w:r>
    </w:p>
    <w:p w14:paraId="6C87F76C" w14:textId="77777777" w:rsidR="009E14D1" w:rsidRPr="009E14D1" w:rsidRDefault="009E14D1" w:rsidP="009E14D1">
      <w:pPr>
        <w:spacing w:line="360" w:lineRule="auto"/>
        <w:rPr>
          <w:rFonts w:ascii="Times New Roman" w:eastAsia="Calibri" w:hAnsi="Times New Roman" w:cs="Times New Roman"/>
          <w:sz w:val="24"/>
          <w:szCs w:val="24"/>
        </w:rPr>
      </w:pPr>
      <w:r w:rsidRPr="009E14D1">
        <w:rPr>
          <w:rFonts w:ascii="Times New Roman" w:eastAsia="Calibri" w:hAnsi="Times New Roman" w:cs="Times New Roman"/>
          <w:sz w:val="24"/>
          <w:szCs w:val="24"/>
        </w:rPr>
        <w:t xml:space="preserve">Skatte-og Vækstministeriets vurderer, at en udvidelse af Finanstilsynets mulighed for at anvende tvangsbøder vil medvirke til at sikre, at der sker en øget regelhåndhævelse på området for forebyggelse af hvidvask og terrorfinansiering. Denne vurdering udspringer af en betragtning om, at anvendelse af tvangsbøder vil kunne lægge øget pres på personer og virksomheder for straks at efterleve de regler og pligter, der følger af forordninger mv. loven. </w:t>
      </w:r>
    </w:p>
    <w:p w14:paraId="372BE15F" w14:textId="77777777" w:rsidR="009E14D1" w:rsidRPr="009E14D1" w:rsidRDefault="009E14D1" w:rsidP="009E14D1">
      <w:pPr>
        <w:spacing w:line="360" w:lineRule="auto"/>
        <w:rPr>
          <w:rFonts w:ascii="Times New Roman" w:eastAsia="Calibri" w:hAnsi="Times New Roman" w:cs="Times New Roman"/>
          <w:sz w:val="24"/>
          <w:szCs w:val="24"/>
        </w:rPr>
      </w:pPr>
    </w:p>
    <w:p w14:paraId="2971CC29" w14:textId="77777777" w:rsidR="009E14D1" w:rsidRPr="009E14D1" w:rsidRDefault="009E14D1" w:rsidP="009E14D1">
      <w:pPr>
        <w:spacing w:line="360" w:lineRule="auto"/>
        <w:rPr>
          <w:rFonts w:ascii="Times New Roman" w:eastAsia="Calibri" w:hAnsi="Times New Roman" w:cs="Times New Roman"/>
          <w:bCs/>
          <w:sz w:val="24"/>
          <w:szCs w:val="24"/>
        </w:rPr>
      </w:pPr>
      <w:r w:rsidRPr="009E14D1">
        <w:rPr>
          <w:rFonts w:ascii="Times New Roman" w:eastAsia="Calibri" w:hAnsi="Times New Roman" w:cs="Times New Roman"/>
          <w:bCs/>
          <w:sz w:val="24"/>
          <w:szCs w:val="24"/>
        </w:rPr>
        <w:t xml:space="preserve">Det foreslås, at Finanstilsynet som tvangsmiddel kan pålægge personer eller virksomheder, som er omfattet af lovens anvendelsesområde, daglige eller ugentlige tvangsbøder, hvis de ikke i rette tid efterkommer påbud og de pligter samt regler, der følger af hvidvaskforordningen, pengeoverførselsforordningen eller forordninger indeholdende regler om finansielle sanktioner mod lande, personer, grupper, juridiske enheder eller organer. Det foreslås yderligere, at de for virksomhedens ansvarlige personer kan pålægges tvangsbøder, hvis de ikke i rette tid efterkommer pligter, der følger af denne lov, samt fysiske personer kan pålægges tvangsbøder, når disse ikke efterkommer et påbud, der vedrører afhændelse af ejerandele eller udøvelse af kontrol, samt nedlæggelse af hverv. </w:t>
      </w:r>
    </w:p>
    <w:p w14:paraId="054DD8A8" w14:textId="77777777" w:rsidR="001543C5" w:rsidRPr="00796736" w:rsidRDefault="001543C5" w:rsidP="00A802A5">
      <w:pPr>
        <w:spacing w:line="360" w:lineRule="auto"/>
        <w:rPr>
          <w:rFonts w:ascii="Times New Roman" w:hAnsi="Times New Roman" w:cs="Times New Roman"/>
          <w:sz w:val="24"/>
          <w:szCs w:val="24"/>
        </w:rPr>
      </w:pPr>
    </w:p>
    <w:p w14:paraId="167D5091" w14:textId="7B7BFB8C" w:rsidR="001543C5" w:rsidRPr="00796736" w:rsidRDefault="001543C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 nærmere om tvangsbøder henvises til lovforslagets</w:t>
      </w:r>
      <w:r w:rsidR="004B4571">
        <w:rPr>
          <w:rFonts w:ascii="Times New Roman" w:hAnsi="Times New Roman" w:cs="Times New Roman"/>
          <w:sz w:val="24"/>
          <w:szCs w:val="24"/>
        </w:rPr>
        <w:t xml:space="preserve"> </w:t>
      </w:r>
      <w:r w:rsidR="004B4571">
        <w:rPr>
          <w:rFonts w:ascii="Times New Roman" w:hAnsi="Times New Roman" w:cs="Times New Roman"/>
          <w:sz w:val="24"/>
          <w:szCs w:val="24"/>
        </w:rPr>
        <w:fldChar w:fldCharType="begin"/>
      </w:r>
      <w:r w:rsidR="004B4571">
        <w:rPr>
          <w:rFonts w:ascii="Times New Roman" w:hAnsi="Times New Roman" w:cs="Times New Roman"/>
          <w:sz w:val="24"/>
          <w:szCs w:val="24"/>
        </w:rPr>
        <w:instrText xml:space="preserve"> REF _Ref242963797 \r \h </w:instrText>
      </w:r>
      <w:r w:rsidR="004B4571">
        <w:rPr>
          <w:rFonts w:ascii="Times New Roman" w:hAnsi="Times New Roman" w:cs="Times New Roman"/>
          <w:sz w:val="24"/>
          <w:szCs w:val="24"/>
        </w:rPr>
      </w:r>
      <w:r w:rsidR="004B4571">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4B4571">
        <w:rPr>
          <w:rFonts w:ascii="Times New Roman" w:hAnsi="Times New Roman" w:cs="Times New Roman"/>
          <w:sz w:val="24"/>
          <w:szCs w:val="24"/>
        </w:rPr>
        <w:fldChar w:fldCharType="end"/>
      </w:r>
      <w:r w:rsidR="004B4571">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6088929B" w14:textId="77777777" w:rsidR="001543C5" w:rsidRPr="00796736" w:rsidRDefault="001543C5" w:rsidP="00A802A5">
      <w:pPr>
        <w:spacing w:line="360" w:lineRule="auto"/>
        <w:rPr>
          <w:rFonts w:ascii="Times New Roman" w:hAnsi="Times New Roman" w:cs="Times New Roman"/>
          <w:sz w:val="24"/>
          <w:szCs w:val="24"/>
        </w:rPr>
      </w:pPr>
    </w:p>
    <w:p w14:paraId="726D2C88" w14:textId="77777777" w:rsidR="001543C5" w:rsidRPr="00796736" w:rsidRDefault="001543C5" w:rsidP="00A802A5">
      <w:pPr>
        <w:pStyle w:val="Overskrift2"/>
        <w:rPr>
          <w:rFonts w:ascii="Times New Roman" w:hAnsi="Times New Roman"/>
          <w:sz w:val="24"/>
        </w:rPr>
      </w:pPr>
      <w:bookmarkStart w:id="1524" w:name="_Toc232109312"/>
      <w:bookmarkStart w:id="1525" w:name="_Toc244880806"/>
      <w:r w:rsidRPr="00796736">
        <w:rPr>
          <w:rFonts w:ascii="Times New Roman" w:hAnsi="Times New Roman"/>
          <w:sz w:val="24"/>
        </w:rPr>
        <w:t>Erhvervsstyrelsens hjemmel til at pålægge tvangsbøder</w:t>
      </w:r>
      <w:bookmarkEnd w:id="1524"/>
      <w:bookmarkEnd w:id="1525"/>
    </w:p>
    <w:p w14:paraId="615250A5" w14:textId="77777777" w:rsidR="001543C5" w:rsidRPr="00796736" w:rsidRDefault="001543C5" w:rsidP="00A802A5">
      <w:pPr>
        <w:pStyle w:val="Overskrift4"/>
        <w:rPr>
          <w:rFonts w:ascii="Times New Roman" w:hAnsi="Times New Roman" w:cs="Times New Roman"/>
          <w:sz w:val="24"/>
          <w:szCs w:val="24"/>
        </w:rPr>
      </w:pPr>
      <w:bookmarkStart w:id="1526" w:name="_Toc232109313"/>
      <w:r w:rsidRPr="00796736">
        <w:rPr>
          <w:rFonts w:ascii="Times New Roman" w:hAnsi="Times New Roman" w:cs="Times New Roman"/>
          <w:sz w:val="24"/>
          <w:szCs w:val="24"/>
        </w:rPr>
        <w:t>Gældende ret</w:t>
      </w:r>
      <w:bookmarkEnd w:id="1526"/>
    </w:p>
    <w:p w14:paraId="23C21CE5" w14:textId="77777777" w:rsidR="00113E46" w:rsidRPr="00796736" w:rsidRDefault="00113E4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gældende hvidvasklovs § 80, stk. 3 regulerer Erhvervsstyrelsens mulighed for at tildele daglige eller ugentlige bøder, hvis en virksomhed eller en person undlader at opfylde de pligter, som efter hvidvaskloven påhviler dem i medfør af hvidvasklovens § 58, stk. 7.</w:t>
      </w:r>
    </w:p>
    <w:p w14:paraId="68DB3370" w14:textId="77777777" w:rsidR="00113E46" w:rsidRPr="00796736" w:rsidRDefault="00113E46" w:rsidP="00A802A5">
      <w:pPr>
        <w:spacing w:line="360" w:lineRule="auto"/>
        <w:rPr>
          <w:rFonts w:ascii="Times New Roman" w:hAnsi="Times New Roman" w:cs="Times New Roman"/>
          <w:sz w:val="24"/>
          <w:szCs w:val="24"/>
        </w:rPr>
      </w:pPr>
    </w:p>
    <w:p w14:paraId="3C513D02" w14:textId="77777777" w:rsidR="00113E46" w:rsidRPr="00796736" w:rsidRDefault="00113E4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bemærkningerne, at bestemmelse medfører, at tvangsbøder kan anvendes til at gennemtvinge lovens oplysningsforpligtigelser over for tilsynsmyndighederne. Tvangsbøder kan ikke anvendes til at gennemtvinge et påbud. Tvangsbøden vil blive pålagt den, der har en handlepligt efter loven. Medlemmer af en virksomheds ledelse kan derfor ikke pålægges tvangsbøder i de tilfælde, hvor det er virksomheden, der har en pligt til at afgive oplysninger.</w:t>
      </w:r>
    </w:p>
    <w:p w14:paraId="139E5018" w14:textId="77777777" w:rsidR="00113E46" w:rsidRPr="00796736" w:rsidRDefault="00113E46" w:rsidP="00A802A5">
      <w:pPr>
        <w:spacing w:line="360" w:lineRule="auto"/>
        <w:rPr>
          <w:rFonts w:ascii="Times New Roman" w:hAnsi="Times New Roman" w:cs="Times New Roman"/>
          <w:sz w:val="24"/>
          <w:szCs w:val="24"/>
        </w:rPr>
      </w:pPr>
    </w:p>
    <w:p w14:paraId="3B735E71" w14:textId="77777777" w:rsidR="00113E46" w:rsidRPr="00796736" w:rsidRDefault="00113E4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Tilsynsmyndigheden kan ikke pålægge tvangsbøder, hvis denne har en konkret mistanke om, at en enkeltperson eller en juridisk person har begået en lovovertrædelse, jf. § 10 i lov nr. 442 af 9. juni 2004 om retssikkerhed ved forvaltningens anvendelse af tvangsindgreb og oplysningspligter (retssikkerhedsloven). Tvangsbøder kan dog anvendes, hvis det kan udelukkes, at de oplysninger, som søges tilvejebragt, kan have betydning for bedømmelsen af den formodede lovovertrædelse. Der henvises til retssikkerhedsloven for fortolkningen af denne bestemmelse.</w:t>
      </w:r>
    </w:p>
    <w:p w14:paraId="53FAF7F5" w14:textId="77777777" w:rsidR="00113E46" w:rsidRPr="00796736" w:rsidRDefault="00113E46" w:rsidP="00A802A5">
      <w:pPr>
        <w:spacing w:line="360" w:lineRule="auto"/>
        <w:rPr>
          <w:rFonts w:ascii="Times New Roman" w:hAnsi="Times New Roman" w:cs="Times New Roman"/>
          <w:sz w:val="24"/>
          <w:szCs w:val="24"/>
        </w:rPr>
      </w:pPr>
    </w:p>
    <w:p w14:paraId="5E0742DA" w14:textId="77777777" w:rsidR="00113E46" w:rsidRPr="00796736" w:rsidRDefault="00113E4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til Folketingstidende 2016-17, tillæg A, L 41 som fremsat, side 193.</w:t>
      </w:r>
    </w:p>
    <w:p w14:paraId="03B3CCBD" w14:textId="77777777" w:rsidR="00113E46" w:rsidRPr="00796736" w:rsidRDefault="00113E46" w:rsidP="00A802A5">
      <w:pPr>
        <w:spacing w:line="360" w:lineRule="auto"/>
        <w:rPr>
          <w:rFonts w:ascii="Times New Roman" w:hAnsi="Times New Roman" w:cs="Times New Roman"/>
          <w:sz w:val="24"/>
          <w:szCs w:val="24"/>
        </w:rPr>
      </w:pPr>
    </w:p>
    <w:p w14:paraId="2DECB1DE" w14:textId="77777777" w:rsidR="001543C5" w:rsidRPr="00796736" w:rsidRDefault="001543C5" w:rsidP="00A802A5">
      <w:pPr>
        <w:pStyle w:val="Overskrift4"/>
        <w:rPr>
          <w:rFonts w:ascii="Times New Roman" w:hAnsi="Times New Roman" w:cs="Times New Roman"/>
          <w:sz w:val="24"/>
          <w:szCs w:val="24"/>
        </w:rPr>
      </w:pPr>
      <w:bookmarkStart w:id="1527" w:name="_Toc232109314"/>
      <w:r w:rsidRPr="00796736">
        <w:rPr>
          <w:rFonts w:ascii="Times New Roman" w:hAnsi="Times New Roman" w:cs="Times New Roman"/>
          <w:sz w:val="24"/>
          <w:szCs w:val="24"/>
        </w:rPr>
        <w:t>6. hvidvaskdirektiv</w:t>
      </w:r>
      <w:bookmarkEnd w:id="1527"/>
    </w:p>
    <w:p w14:paraId="6D7E5C17"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6. hvidvaskdirektivs artikel 57, stk. 1, at medlemsstaterne skal sikre, at tilsynsorganerne kan pålægge tvangsbøder, hvis forpligtede enheder ikke efterkommer visse administrative foranstaltninger, for at gennemtvinge overholdelsen. Efter stk. 2, skal tvangsbøderne være effektive og stå i rimeligt forhold til overtrædelserne og pålægges indtil den forpligtede enhed efterkommer de relevante administrative foranstaltninger. Af stk. 3 fremgår det, at tvangsbøderne ikke må overstige 3 pct. af juridiske personer daglige omsætning i den foregående regnskabsår eller 2 pct. af fysiske personers gennemsnitlige daglige indtægt i det foregående kalenderår. Stk. 4 fastsætter at en tvangsbøde kun må pålægges for en bøde på 6 måneder, men kan forlænges med en ny periode på 6 måneder. Medlemsstaterne skal efter artikel 57, stk. stk. 5, sikre, at en afgørelse om pålæggelse af en tvangsbøde kan træffes fra datoen for anvendelsen af den administrative foranstaltning. Tvangsbøde finder anvendelse fra den dato, hvor denne afgørelse træffes.</w:t>
      </w:r>
    </w:p>
    <w:p w14:paraId="61935DB2" w14:textId="239FC3CF" w:rsidR="00940B1D" w:rsidRPr="00796736" w:rsidRDefault="00940B1D" w:rsidP="00A802A5">
      <w:pPr>
        <w:spacing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Det fremgår af præambelbetragtning nr.</w:t>
      </w:r>
      <w:r w:rsidRPr="00796736">
        <w:rPr>
          <w:rFonts w:ascii="Times New Roman" w:eastAsia="Calibri" w:hAnsi="Times New Roman" w:cs="Times New Roman"/>
          <w:sz w:val="24"/>
          <w:szCs w:val="24"/>
        </w:rPr>
        <w:t xml:space="preserve"> 106</w:t>
      </w:r>
      <w:r w:rsidRPr="00796736">
        <w:rPr>
          <w:rFonts w:ascii="Times New Roman" w:eastAsia="Calibri" w:hAnsi="Times New Roman" w:cs="Times New Roman"/>
          <w:iCs/>
          <w:sz w:val="24"/>
          <w:szCs w:val="24"/>
        </w:rPr>
        <w:t xml:space="preserve"> i 6. hvidvaskdirektiv, at forpligtede</w:t>
      </w:r>
      <w:r w:rsidRPr="00796736">
        <w:rPr>
          <w:rFonts w:ascii="Times New Roman" w:eastAsia="Calibri" w:hAnsi="Times New Roman" w:cs="Times New Roman"/>
          <w:sz w:val="24"/>
          <w:szCs w:val="24"/>
        </w:rPr>
        <w:t xml:space="preserve"> enheders </w:t>
      </w:r>
      <w:r w:rsidRPr="00796736">
        <w:rPr>
          <w:rFonts w:ascii="Times New Roman" w:hAnsi="Times New Roman" w:cs="Times New Roman"/>
          <w:sz w:val="24"/>
          <w:szCs w:val="24"/>
        </w:rPr>
        <w:t>rettidige overholdelse af administrative foranstaltninger, der finder anvendelse på dem, er afgørende for at sikre et tilstrækkeligt og konsekvent beskyttelsesniveau mod hvidvask af penge, de underliggende lovovertrædelser og finansiering af terrorisme i hele det indre marked. Hvis forpligtede enheder ikke overholder de administrative foranstaltninger inden for den fastsatte frist, skal tilsynsorganerne kunne lægge øget pres på den forpligtede enhed for straks at genoprette overholdelsen. Med henblik herpå bør det være muligt for tilsynsorganerne at pålægge tvangsbøder fra den frist, der er fastsat for at genoprette overholdelsen, herunder med tilbagevirkende kraft, når afgørelsen om at pålægge tvangsbøden træffes på et senere tidspunkt. Ved beregning af tvangsbødernes størrelse bør tilsynsorganerne tage hensyn til den forpligtede enheds samlede omsætning og typen og grovheden af den overtrædelse eller svaghed, som tilsynsforanstaltningen er rettet mod, for at sikre dens effektivitet og proportionalitet. I betragtning af målet med tvangsbøder om at presse en forpligtet enhed til at overholde en administrativ foranstaltning bør disse være tidsbegrænsede og finde anvendelse i højst seks måneder. Det bør være muligt for tilsynsorganerne at forlænge pålæggelsen af tvangsbøder med yderligere maksimalt seks måneder, men der bør overvejes alternative foranstaltninger til at afhjælpe en længerevarende situation med manglende overholdelse i overensstemmelse med den brede vifte af administrative foranstaltninger, som tilsynsorganerne kan anvende.</w:t>
      </w:r>
    </w:p>
    <w:p w14:paraId="64A76587" w14:textId="77777777" w:rsidR="00940B1D" w:rsidRPr="00796736" w:rsidRDefault="00940B1D" w:rsidP="00A802A5">
      <w:pPr>
        <w:spacing w:line="360" w:lineRule="auto"/>
        <w:rPr>
          <w:rFonts w:ascii="Times New Roman" w:hAnsi="Times New Roman" w:cs="Times New Roman"/>
          <w:sz w:val="24"/>
          <w:szCs w:val="24"/>
        </w:rPr>
      </w:pPr>
    </w:p>
    <w:p w14:paraId="6C706903" w14:textId="39FDA957" w:rsidR="001543C5" w:rsidRPr="00796736" w:rsidRDefault="001543C5" w:rsidP="00A802A5">
      <w:pPr>
        <w:pStyle w:val="Overskrift4"/>
        <w:rPr>
          <w:rFonts w:ascii="Times New Roman" w:hAnsi="Times New Roman" w:cs="Times New Roman"/>
          <w:sz w:val="24"/>
          <w:szCs w:val="24"/>
        </w:rPr>
      </w:pPr>
      <w:bookmarkStart w:id="1528" w:name="_Toc232109315"/>
      <w:r w:rsidRPr="00796736">
        <w:rPr>
          <w:rFonts w:ascii="Times New Roman" w:hAnsi="Times New Roman" w:cs="Times New Roman"/>
          <w:sz w:val="24"/>
          <w:szCs w:val="24"/>
        </w:rPr>
        <w:t>Erhverv</w:t>
      </w:r>
      <w:r w:rsidR="003D2A25">
        <w:rPr>
          <w:rFonts w:ascii="Times New Roman" w:hAnsi="Times New Roman" w:cs="Times New Roman"/>
          <w:sz w:val="24"/>
          <w:szCs w:val="24"/>
        </w:rPr>
        <w:t>s</w:t>
      </w:r>
      <w:r w:rsidRPr="00796736">
        <w:rPr>
          <w:rFonts w:ascii="Times New Roman" w:hAnsi="Times New Roman" w:cs="Times New Roman"/>
          <w:sz w:val="24"/>
          <w:szCs w:val="24"/>
        </w:rPr>
        <w:t>ministeriets overvejelser og den foreslåede ordning</w:t>
      </w:r>
      <w:bookmarkEnd w:id="1528"/>
    </w:p>
    <w:p w14:paraId="03153DF4" w14:textId="77777777" w:rsidR="00940B1D" w:rsidRPr="00796736" w:rsidRDefault="00940B1D"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Erhvervsministeriet vurderer yderligere, at der er behov for at indføre en udvidet adgang for Erhvervsstyrelsens til at pålægge tvangsbøder i overensstemmelse med kravene i 6. hvidvaskdirektivs artikel 57.</w:t>
      </w:r>
    </w:p>
    <w:p w14:paraId="60F67954" w14:textId="77777777" w:rsidR="00940B1D" w:rsidRPr="00796736" w:rsidRDefault="00940B1D" w:rsidP="00A802A5">
      <w:pPr>
        <w:spacing w:after="200" w:line="360" w:lineRule="auto"/>
        <w:rPr>
          <w:rFonts w:ascii="Times New Roman" w:hAnsi="Times New Roman" w:cs="Times New Roman"/>
          <w:sz w:val="24"/>
          <w:szCs w:val="24"/>
        </w:rPr>
      </w:pPr>
      <w:r w:rsidRPr="00796736">
        <w:rPr>
          <w:rFonts w:ascii="Times New Roman" w:hAnsi="Times New Roman" w:cs="Times New Roman"/>
          <w:sz w:val="24"/>
          <w:szCs w:val="24"/>
        </w:rPr>
        <w:t>Det foreslås i overensstemmelse med direktivets bestemmelser, at der indføres en ny bestemmelse om Erhvervsstyrelsens mulighed for at pålægge tvangsbøder.</w:t>
      </w:r>
    </w:p>
    <w:p w14:paraId="6A99747D" w14:textId="77777777" w:rsidR="00940B1D" w:rsidRPr="00796736" w:rsidRDefault="00940B1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medfører, at Erhvervsstyrelsen, ved konstatering af, at en person eller virksomhed ikke har efterkommet et afgivet påbud inden for den af Erhvervsstyrelsen fastsatte frist, får mulighed for at gennemtvinge efterkommelse af påbuddet ved at lægge et øget pres på vedkommende med henblik på at genoprette overholdelsen af lovgivningen. </w:t>
      </w:r>
    </w:p>
    <w:p w14:paraId="0CE4B635" w14:textId="78237261" w:rsidR="006F7733" w:rsidRPr="00796736" w:rsidRDefault="00940B1D"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Tvangsbøder udstedt af Erhvervsstyrelsen skal være effektive og proportionale. Tvangsbøderne pålægges som udgangspunkt indtil den pågældende person eller virksomhed efterkommer påbuddet, dog kan tvangsbøderne højst pålægges i en periode på seks måneder med mulighed for forlængelse til op til maksimalt en samlet periode på 12 måneder og kun inden for fastlagte beløbsgrænser.</w:t>
      </w:r>
    </w:p>
    <w:p w14:paraId="7FD797BA" w14:textId="44366F37" w:rsidR="006F7733" w:rsidRPr="00796736" w:rsidRDefault="006F773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tvangsbøder henvises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_Ref232610061 \r \h </w:instrText>
      </w:r>
      <w:r w:rsidR="00EA770E"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w:t>
      </w:r>
    </w:p>
    <w:p w14:paraId="2F79905A" w14:textId="77777777" w:rsidR="001543C5" w:rsidRPr="00796736" w:rsidRDefault="001543C5" w:rsidP="00A802A5">
      <w:pPr>
        <w:spacing w:line="360" w:lineRule="auto"/>
        <w:rPr>
          <w:rFonts w:ascii="Times New Roman" w:hAnsi="Times New Roman" w:cs="Times New Roman"/>
          <w:sz w:val="24"/>
          <w:szCs w:val="24"/>
        </w:rPr>
      </w:pPr>
    </w:p>
    <w:p w14:paraId="65A394B3" w14:textId="77777777" w:rsidR="001543C5" w:rsidRPr="00796736" w:rsidRDefault="001543C5" w:rsidP="00A802A5">
      <w:pPr>
        <w:pStyle w:val="Overskrift2"/>
        <w:rPr>
          <w:rFonts w:ascii="Times New Roman" w:hAnsi="Times New Roman"/>
          <w:sz w:val="24"/>
        </w:rPr>
      </w:pPr>
      <w:bookmarkStart w:id="1529" w:name="_Toc232109316"/>
      <w:bookmarkStart w:id="1530" w:name="_Toc244880807"/>
      <w:r w:rsidRPr="00796736">
        <w:rPr>
          <w:rFonts w:ascii="Times New Roman" w:hAnsi="Times New Roman"/>
          <w:sz w:val="24"/>
        </w:rPr>
        <w:t>Spillemyndighedens hjemmel til at pålægge tvangsbøder</w:t>
      </w:r>
      <w:bookmarkEnd w:id="1529"/>
      <w:bookmarkEnd w:id="1530"/>
    </w:p>
    <w:p w14:paraId="4F8C8638" w14:textId="77777777" w:rsidR="001543C5" w:rsidRPr="00796736" w:rsidRDefault="001543C5" w:rsidP="00A802A5">
      <w:pPr>
        <w:pStyle w:val="Overskrift4"/>
        <w:rPr>
          <w:rFonts w:ascii="Times New Roman" w:hAnsi="Times New Roman" w:cs="Times New Roman"/>
          <w:sz w:val="24"/>
          <w:szCs w:val="24"/>
        </w:rPr>
      </w:pPr>
      <w:bookmarkStart w:id="1531" w:name="_Toc232109317"/>
      <w:r w:rsidRPr="00796736">
        <w:rPr>
          <w:rFonts w:ascii="Times New Roman" w:hAnsi="Times New Roman" w:cs="Times New Roman"/>
          <w:sz w:val="24"/>
          <w:szCs w:val="24"/>
        </w:rPr>
        <w:t>Gældende ret</w:t>
      </w:r>
      <w:bookmarkEnd w:id="1531"/>
    </w:p>
    <w:p w14:paraId="5D060176" w14:textId="77777777" w:rsidR="001543C5" w:rsidRPr="00796736" w:rsidRDefault="001543C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hvidvasklovens § 80, stk. 4, at hvis en virksomhed eller person undlader at opfylde de pligter, som efter loven påhviler dem i medfør af hvidvasklovens § 65, stk. 2, kan Spillemyndigheden som tvangsmiddel pålægge personen, virksomheden eller de for virksomheden ansvarlige personer daglige eller ugentlige bøder.</w:t>
      </w:r>
    </w:p>
    <w:p w14:paraId="4A72F404" w14:textId="77777777" w:rsidR="001543C5" w:rsidRPr="00796736" w:rsidRDefault="001543C5" w:rsidP="00A802A5">
      <w:pPr>
        <w:spacing w:line="360" w:lineRule="auto"/>
        <w:rPr>
          <w:rFonts w:ascii="Times New Roman" w:hAnsi="Times New Roman" w:cs="Times New Roman"/>
          <w:sz w:val="24"/>
          <w:szCs w:val="24"/>
        </w:rPr>
      </w:pPr>
    </w:p>
    <w:p w14:paraId="370829BA" w14:textId="77777777" w:rsidR="001543C5" w:rsidRPr="00796736" w:rsidRDefault="001543C5" w:rsidP="00A802A5">
      <w:pPr>
        <w:pStyle w:val="Overskrift4"/>
        <w:rPr>
          <w:rFonts w:ascii="Times New Roman" w:hAnsi="Times New Roman" w:cs="Times New Roman"/>
          <w:sz w:val="24"/>
          <w:szCs w:val="24"/>
        </w:rPr>
      </w:pPr>
      <w:bookmarkStart w:id="1532" w:name="_Toc232109318"/>
      <w:r w:rsidRPr="00796736">
        <w:rPr>
          <w:rFonts w:ascii="Times New Roman" w:hAnsi="Times New Roman" w:cs="Times New Roman"/>
          <w:sz w:val="24"/>
          <w:szCs w:val="24"/>
        </w:rPr>
        <w:t>6. hvidvaskdirektiv</w:t>
      </w:r>
      <w:bookmarkEnd w:id="1532"/>
    </w:p>
    <w:p w14:paraId="5A9895BC" w14:textId="77777777" w:rsidR="007836CC" w:rsidRPr="00796736" w:rsidRDefault="007836C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53, stk. 1, i 6. hvidvaskdirektiv, at medlemsstaterne skal sikre, at forpligtede enheder kan drages til ansvar for overtrædelser af hvidvaskforordningen.</w:t>
      </w:r>
    </w:p>
    <w:p w14:paraId="2AB529C3" w14:textId="77777777" w:rsidR="007836CC" w:rsidRPr="00796736" w:rsidRDefault="007836CC" w:rsidP="00A802A5">
      <w:pPr>
        <w:spacing w:line="360" w:lineRule="auto"/>
        <w:rPr>
          <w:rFonts w:ascii="Times New Roman" w:eastAsia="Times New Roman" w:hAnsi="Times New Roman" w:cs="Times New Roman"/>
          <w:sz w:val="24"/>
          <w:szCs w:val="24"/>
        </w:rPr>
      </w:pPr>
    </w:p>
    <w:p w14:paraId="030FD6DD" w14:textId="77777777" w:rsidR="007836CC" w:rsidRPr="00796736" w:rsidRDefault="007836C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53, stk. 2, i 6. hvidvaskdirektiv, at uden at dette berører medlemsstaternes ret til at fastsætte og pålægge strafferetlige sanktioner, fastsætter medlemsstaterne regler for bøder og administrative foranstaltninger og sikrer, at tilsynsorganerne kan pålægge sådanne bøder og anvende administrative foranstaltninger i forbindelse med overtrædelser af hvidvaskforordningen, og sikre, at de håndhæves. Enhver bøde, som pålægges, eller foranstaltning, som anvendes, i henhold til denne afdeling, skal være effektiv, stå i rimeligt forhold til overtrædelsen og have afskrækkende virkning.</w:t>
      </w:r>
    </w:p>
    <w:p w14:paraId="53FFF6DD" w14:textId="77777777" w:rsidR="001543C5" w:rsidRPr="00796736" w:rsidRDefault="001543C5" w:rsidP="00A802A5">
      <w:pPr>
        <w:spacing w:line="360" w:lineRule="auto"/>
        <w:rPr>
          <w:rFonts w:ascii="Times New Roman" w:eastAsia="Times New Roman" w:hAnsi="Times New Roman" w:cs="Times New Roman"/>
          <w:sz w:val="24"/>
          <w:szCs w:val="24"/>
        </w:rPr>
      </w:pPr>
    </w:p>
    <w:p w14:paraId="1DAE59F3" w14:textId="67EEADE0" w:rsidR="001543C5" w:rsidRPr="00796736" w:rsidRDefault="001543C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53, stk. 6, i 6. hvidvaskdirektiv, at medlemsstaterne sikrer, at tilsynsorganerne ved fastsættelsen af typen og niveauet af bøderne eller de administrative foranstaltninger tager højde for alle relevante omstændigheder, herunder hvor det er relevant, overtrædelsens grovhed og varighed, antallet af gentagelser af overtrædelsen, den finansielle styrke hos den fysiske eller juridiske person, der holdes ansvarlig, herunder i lyset af dennes samlede omsætning eller årsindkomst, den fordel, der er opnået som følge af overtrædelsen, tredjemands tab, som følge af overtrædelsen, graden af ansvar hos den fysiske eller juridiske person, der holdes ansvarlig, graden af samarbejde mellem den fysiske eller juridiske person, der holdes ansvarlig, og den kompetente myndighed</w:t>
      </w:r>
      <w:r w:rsidR="00C06E76"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samt overtrædelser, som den fysiske eller juridiske person, der holdes ansvarlig, tidligere har begået. </w:t>
      </w:r>
    </w:p>
    <w:p w14:paraId="4271E491" w14:textId="77777777" w:rsidR="001543C5" w:rsidRPr="00796736" w:rsidRDefault="001543C5" w:rsidP="00A802A5">
      <w:pPr>
        <w:spacing w:line="360" w:lineRule="auto"/>
        <w:rPr>
          <w:rFonts w:ascii="Times New Roman" w:eastAsia="Times New Roman" w:hAnsi="Times New Roman" w:cs="Times New Roman"/>
          <w:sz w:val="24"/>
          <w:szCs w:val="24"/>
        </w:rPr>
      </w:pPr>
    </w:p>
    <w:p w14:paraId="05406051" w14:textId="4BE4F1EC" w:rsidR="001543C5" w:rsidRPr="00796736" w:rsidRDefault="001543C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53, stk. 10, litra c, i 6. hvidvaskdirektiv, at AMLA senest den 10. juli 2026 udarbejder udkast til reguleringsmæssige tekniske standarder om en metode til pålæggelse af tvangsbøder i henhold til artikel 57, herunder hyppigheden heraf.</w:t>
      </w:r>
    </w:p>
    <w:p w14:paraId="0ECFB4F7" w14:textId="77777777" w:rsidR="007836CC" w:rsidRPr="00796736" w:rsidRDefault="007836CC" w:rsidP="00A802A5">
      <w:pPr>
        <w:spacing w:line="360" w:lineRule="auto"/>
        <w:rPr>
          <w:rFonts w:ascii="Times New Roman" w:eastAsia="Times New Roman" w:hAnsi="Times New Roman" w:cs="Times New Roman"/>
          <w:sz w:val="24"/>
          <w:szCs w:val="24"/>
        </w:rPr>
      </w:pPr>
    </w:p>
    <w:p w14:paraId="11BBA6DF" w14:textId="7A7862AB" w:rsidR="001543C5" w:rsidRPr="00796736" w:rsidRDefault="001543C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Artikel 57, stk. 1, i 6. hvidvaskdirektiv pålægger medlemsstaterne at sikre, at tilsynsorganerne kan pålægge de forpligtede enheder tvangsbøder, hvis de ikke inden for de gældende frister efterlever de administrative foranstaltninger, som tilsynsorganerne anvender i henhold til direktivets artikel 56, stk. 2, litra b, d, e og g. </w:t>
      </w:r>
    </w:p>
    <w:p w14:paraId="66FD6943" w14:textId="77777777" w:rsidR="001543C5" w:rsidRPr="00796736" w:rsidRDefault="001543C5" w:rsidP="00A802A5">
      <w:pPr>
        <w:spacing w:line="360" w:lineRule="auto"/>
        <w:rPr>
          <w:rFonts w:ascii="Times New Roman" w:eastAsia="Times New Roman" w:hAnsi="Times New Roman" w:cs="Times New Roman"/>
          <w:sz w:val="24"/>
          <w:szCs w:val="24"/>
        </w:rPr>
      </w:pPr>
    </w:p>
    <w:p w14:paraId="22BC2EA5" w14:textId="77777777" w:rsidR="001543C5" w:rsidRPr="00796736" w:rsidRDefault="001543C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artikel 57, stk. 2, i 6. hvidvaskdirektiv, at tvangsbøderne skal være effektive og stå i et rimeligt forhold til overtrædelserne. Tvangsbøderne pålægges, indtil den forpligtede enhed eller person efterlever de relevante administrative foranstaltninger.  </w:t>
      </w:r>
    </w:p>
    <w:p w14:paraId="28563AB9" w14:textId="77777777" w:rsidR="001543C5" w:rsidRPr="00796736" w:rsidRDefault="001543C5" w:rsidP="00A802A5">
      <w:pPr>
        <w:spacing w:line="360" w:lineRule="auto"/>
        <w:rPr>
          <w:rFonts w:ascii="Times New Roman" w:eastAsia="Times New Roman" w:hAnsi="Times New Roman" w:cs="Times New Roman"/>
          <w:sz w:val="24"/>
          <w:szCs w:val="24"/>
        </w:rPr>
      </w:pPr>
    </w:p>
    <w:p w14:paraId="0F178953" w14:textId="2F55FA33" w:rsidR="001543C5" w:rsidRPr="00796736" w:rsidRDefault="001543C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artikel 57, stk. 3, i 6. hvidvaskdirektiv, at uanset stk. 2 må tvangsbøderne i forbindelse med juridiske personer ikke overstige 3 pct. af deres gennemsnitlige daglige omsætning i det foregående regnskabsår. I forbindelse med fysiske personer må tvangsbøde</w:t>
      </w:r>
      <w:r w:rsidR="00C06E76" w:rsidRPr="00796736">
        <w:rPr>
          <w:rFonts w:ascii="Times New Roman" w:eastAsia="Times New Roman" w:hAnsi="Times New Roman" w:cs="Times New Roman"/>
          <w:sz w:val="24"/>
          <w:szCs w:val="24"/>
        </w:rPr>
        <w:t>rne</w:t>
      </w:r>
      <w:r w:rsidRPr="00796736">
        <w:rPr>
          <w:rFonts w:ascii="Times New Roman" w:eastAsia="Times New Roman" w:hAnsi="Times New Roman" w:cs="Times New Roman"/>
          <w:sz w:val="24"/>
          <w:szCs w:val="24"/>
        </w:rPr>
        <w:t xml:space="preserve"> ikke overstige 2 pct. af deres gennemsnitlige daglige indtægt i det foregående kalenderår. </w:t>
      </w:r>
    </w:p>
    <w:p w14:paraId="14FBFEE2" w14:textId="77777777" w:rsidR="001543C5" w:rsidRPr="00796736" w:rsidRDefault="001543C5" w:rsidP="00A802A5">
      <w:pPr>
        <w:spacing w:line="360" w:lineRule="auto"/>
        <w:rPr>
          <w:rFonts w:ascii="Times New Roman" w:eastAsia="Times New Roman" w:hAnsi="Times New Roman" w:cs="Times New Roman"/>
          <w:sz w:val="24"/>
          <w:szCs w:val="24"/>
        </w:rPr>
      </w:pPr>
    </w:p>
    <w:p w14:paraId="226DF3C1" w14:textId="75A3C066" w:rsidR="001543C5" w:rsidRPr="00796736" w:rsidRDefault="001543C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artikel 57, stk. 4, i 6. hvidvaskdirektiv, at tvangsbøder kun må pålægges i en periode på højst 6 måneder. Artikel 57, stk. 4, pålægger samtidig medlemsstaterne at sikre, at tilsynsorganerne kan pålægge tvangsbøder i en yderligere periode på 6 måneder, hvis den forpligtede enhed ved udløbet af de første 6 måneder ikke har efterlevet den administrative foranstaltning.</w:t>
      </w:r>
    </w:p>
    <w:p w14:paraId="6F2CE9CF" w14:textId="77777777" w:rsidR="001543C5" w:rsidRPr="00796736" w:rsidRDefault="001543C5" w:rsidP="00A802A5">
      <w:pPr>
        <w:spacing w:line="360" w:lineRule="auto"/>
        <w:rPr>
          <w:rFonts w:ascii="Times New Roman" w:eastAsia="Times New Roman" w:hAnsi="Times New Roman" w:cs="Times New Roman"/>
          <w:sz w:val="24"/>
          <w:szCs w:val="24"/>
        </w:rPr>
      </w:pPr>
    </w:p>
    <w:p w14:paraId="29129AF8" w14:textId="6F357EDD" w:rsidR="001543C5" w:rsidRPr="00796736" w:rsidRDefault="001543C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Artikel 57, stk. 5, i 6. hvidvaskdirektiv pålægger medlemsstaterne at sikre, at en afgørelse om pålæggelse af en tvangsbøde kan træffes fra datoen for anvendelsen af den administrative foranstaltning. Det fremgår også, at tvangsbøden finder anvendelse fra den dato, hvor denne afgørelse træffes. </w:t>
      </w:r>
    </w:p>
    <w:p w14:paraId="49CFDDCE" w14:textId="77777777" w:rsidR="001543C5" w:rsidRPr="00796736" w:rsidRDefault="001543C5" w:rsidP="00A802A5">
      <w:pPr>
        <w:spacing w:line="360" w:lineRule="auto"/>
        <w:rPr>
          <w:rFonts w:ascii="Times New Roman" w:hAnsi="Times New Roman" w:cs="Times New Roman"/>
          <w:sz w:val="24"/>
          <w:szCs w:val="24"/>
        </w:rPr>
      </w:pPr>
    </w:p>
    <w:p w14:paraId="467D0D24" w14:textId="77777777" w:rsidR="001543C5" w:rsidRPr="00796736" w:rsidRDefault="001543C5" w:rsidP="00A802A5">
      <w:pPr>
        <w:pStyle w:val="Overskrift4"/>
        <w:rPr>
          <w:rFonts w:ascii="Times New Roman" w:hAnsi="Times New Roman" w:cs="Times New Roman"/>
          <w:sz w:val="24"/>
          <w:szCs w:val="24"/>
        </w:rPr>
      </w:pPr>
      <w:bookmarkStart w:id="1533" w:name="_Toc232109319"/>
      <w:r w:rsidRPr="00796736">
        <w:rPr>
          <w:rFonts w:ascii="Times New Roman" w:hAnsi="Times New Roman" w:cs="Times New Roman"/>
          <w:sz w:val="24"/>
          <w:szCs w:val="24"/>
        </w:rPr>
        <w:t>Skatte- og Vækstministeriets overvejelser og den foreslåede ordning</w:t>
      </w:r>
      <w:bookmarkEnd w:id="1533"/>
    </w:p>
    <w:p w14:paraId="3FE2B288" w14:textId="2E565EC0" w:rsidR="007836CC" w:rsidRPr="00796736" w:rsidRDefault="007836C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Hvidvasklovens § 80, stk. 4, indeholder alene hjemmel til at anvende tvangsbøder, hvis en virksomhed eller person undlader at opfylde de pligter, der følger af hvidvasklovens § 65, stk. 2, om at give Spillemyndigheden de oplysninger, der er nødvendige for myndighedens virksomhed. </w:t>
      </w:r>
    </w:p>
    <w:p w14:paraId="76E7E731" w14:textId="77777777" w:rsidR="007836CC" w:rsidRPr="00796736" w:rsidRDefault="007836CC" w:rsidP="00A802A5">
      <w:pPr>
        <w:spacing w:line="360" w:lineRule="auto"/>
        <w:rPr>
          <w:rFonts w:ascii="Times New Roman" w:eastAsia="Times New Roman" w:hAnsi="Times New Roman" w:cs="Times New Roman"/>
          <w:sz w:val="24"/>
          <w:szCs w:val="24"/>
        </w:rPr>
      </w:pPr>
    </w:p>
    <w:p w14:paraId="468F51E0" w14:textId="77777777"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er Skatte- og Vækstministeriets vurdering, at der vil være behov for at udvide Spillemyndighedens mulighed for at kunne pålægge tvangsbøder som tvangsmiddel over for forpligtede enheder, der ikke efterkommer de pligter og regler, der følger af hvidvaskreguleringen. Udvidelsen sker som følge af 6. hvidvaskdirektiv, der stiller krav om, at tilsynsmyndighederne skal kunne anvende tvangsbøder, hvis en virksomhed eller person ikke efterkommer tilsynsmyndighedens påbud inden for den frist, som myndigheden har fastsat. </w:t>
      </w:r>
    </w:p>
    <w:p w14:paraId="698721AB" w14:textId="77777777" w:rsidR="00C06E76" w:rsidRPr="00796736" w:rsidRDefault="00C06E76" w:rsidP="00A802A5">
      <w:pPr>
        <w:spacing w:line="360" w:lineRule="auto"/>
        <w:rPr>
          <w:rFonts w:ascii="Times New Roman" w:eastAsia="Times New Roman" w:hAnsi="Times New Roman" w:cs="Times New Roman"/>
          <w:sz w:val="24"/>
          <w:szCs w:val="24"/>
        </w:rPr>
      </w:pPr>
    </w:p>
    <w:p w14:paraId="6C412568" w14:textId="25147D9B" w:rsidR="00C06E76" w:rsidRPr="00796736" w:rsidRDefault="00C06E7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Forslaget om at udvide den gældende mulighed for at pålægge en administrativ tvangsbøde som tvangsmiddel er begrundet i Spillemyndighedens behov for at kunne håndhæve reglerne på området for forebyggelse af hvidvask og terrorfinansiering og kunne lægge øget pres på virksomheder og personer for straks at genoprette overholdelsen.</w:t>
      </w:r>
    </w:p>
    <w:p w14:paraId="5E4ECF7F" w14:textId="77777777" w:rsidR="007836CC" w:rsidRPr="00796736" w:rsidRDefault="007836CC" w:rsidP="00A802A5">
      <w:pPr>
        <w:spacing w:line="360" w:lineRule="auto"/>
        <w:rPr>
          <w:rFonts w:ascii="Times New Roman" w:eastAsia="Times New Roman" w:hAnsi="Times New Roman" w:cs="Times New Roman"/>
          <w:sz w:val="24"/>
          <w:szCs w:val="24"/>
        </w:rPr>
      </w:pPr>
    </w:p>
    <w:p w14:paraId="4834B5F2" w14:textId="77777777" w:rsidR="0098620D" w:rsidRPr="00796736" w:rsidRDefault="0098620D"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 xml:space="preserve">Tvangsbøder vil f.eks. kunne anvendes, når en virksomhed eller person ikke efterkommer et påbud, der er udstedt som følge af manglende overholdelse af de krav, der følger af hvidvaskforordningen. </w:t>
      </w:r>
      <w:r w:rsidRPr="00796736">
        <w:rPr>
          <w:rFonts w:ascii="Times New Roman" w:eastAsia="Calibri" w:hAnsi="Times New Roman" w:cs="Times New Roman"/>
          <w:sz w:val="24"/>
          <w:szCs w:val="24"/>
        </w:rPr>
        <w:t xml:space="preserve">Tvangsbøder vil kunne anvendes for at sikre et hurtigt og effektivt indgreb over for virksomheder og personer, der ikke efterkommer myndighedens reaktioner, og er dermed med til at forebygge hvidvask og terrorfinansiering. </w:t>
      </w:r>
    </w:p>
    <w:p w14:paraId="00CBFC94" w14:textId="77777777" w:rsidR="007836CC" w:rsidRPr="00796736" w:rsidRDefault="007836CC" w:rsidP="00A802A5">
      <w:pPr>
        <w:spacing w:line="360" w:lineRule="auto"/>
        <w:rPr>
          <w:rFonts w:ascii="Times New Roman" w:hAnsi="Times New Roman" w:cs="Times New Roman"/>
          <w:sz w:val="24"/>
          <w:szCs w:val="24"/>
        </w:rPr>
      </w:pPr>
    </w:p>
    <w:p w14:paraId="2CA56FCB" w14:textId="1DD38022" w:rsidR="007836CC" w:rsidRPr="00796736" w:rsidRDefault="007836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derfor, at Spillemyndigheden som tvangsmiddel </w:t>
      </w:r>
      <w:r w:rsidR="0098620D" w:rsidRPr="00796736">
        <w:rPr>
          <w:rFonts w:ascii="Times New Roman" w:hAnsi="Times New Roman" w:cs="Times New Roman"/>
          <w:sz w:val="24"/>
          <w:szCs w:val="24"/>
        </w:rPr>
        <w:t>vil kunne</w:t>
      </w:r>
      <w:r w:rsidRPr="00796736">
        <w:rPr>
          <w:rFonts w:ascii="Times New Roman" w:hAnsi="Times New Roman" w:cs="Times New Roman"/>
          <w:sz w:val="24"/>
          <w:szCs w:val="24"/>
        </w:rPr>
        <w:t xml:space="preserve"> pålægge daglige eller ugentlige bøder til virksomheder og personer eller de for virksomheden ansvarlige personer, hvis disse ikke efterkommer et påbud inden for den af Spillemyndigheden fastsatte frist. </w:t>
      </w:r>
    </w:p>
    <w:p w14:paraId="09088685" w14:textId="77777777" w:rsidR="007836CC" w:rsidRPr="00796736" w:rsidRDefault="007836CC" w:rsidP="00A802A5">
      <w:pPr>
        <w:spacing w:line="360" w:lineRule="auto"/>
        <w:rPr>
          <w:rFonts w:ascii="Times New Roman" w:hAnsi="Times New Roman" w:cs="Times New Roman"/>
          <w:sz w:val="24"/>
          <w:szCs w:val="24"/>
        </w:rPr>
      </w:pPr>
    </w:p>
    <w:p w14:paraId="61BE7C4C" w14:textId="77777777" w:rsidR="007836CC" w:rsidRPr="00796736" w:rsidRDefault="007836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artikel 57, stk. 1-4, i 6. hvidvaskdirektiv.</w:t>
      </w:r>
    </w:p>
    <w:p w14:paraId="09C6AFE2" w14:textId="77777777" w:rsidR="001543C5" w:rsidRPr="00796736" w:rsidRDefault="001543C5" w:rsidP="00A802A5">
      <w:pPr>
        <w:spacing w:line="360" w:lineRule="auto"/>
        <w:rPr>
          <w:rFonts w:ascii="Times New Roman" w:hAnsi="Times New Roman" w:cs="Times New Roman"/>
          <w:sz w:val="24"/>
          <w:szCs w:val="24"/>
        </w:rPr>
      </w:pPr>
    </w:p>
    <w:p w14:paraId="7606CCD6" w14:textId="20800807" w:rsidR="001543C5" w:rsidRPr="00796736" w:rsidRDefault="001543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nærmere</w:t>
      </w:r>
      <w:r w:rsidR="00922AA1" w:rsidRPr="00796736">
        <w:rPr>
          <w:rFonts w:ascii="Times New Roman" w:hAnsi="Times New Roman" w:cs="Times New Roman"/>
          <w:sz w:val="24"/>
          <w:szCs w:val="24"/>
        </w:rPr>
        <w:t xml:space="preserve"> om</w:t>
      </w:r>
      <w:r w:rsidRPr="00796736">
        <w:rPr>
          <w:rFonts w:ascii="Times New Roman" w:hAnsi="Times New Roman" w:cs="Times New Roman"/>
          <w:sz w:val="24"/>
          <w:szCs w:val="24"/>
        </w:rPr>
        <w:t xml:space="preserve"> tvangsbøder henvises til lovforslagets </w:t>
      </w:r>
      <w:r w:rsidR="006F7733" w:rsidRPr="00796736">
        <w:rPr>
          <w:rFonts w:ascii="Times New Roman" w:hAnsi="Times New Roman" w:cs="Times New Roman"/>
          <w:sz w:val="24"/>
          <w:szCs w:val="24"/>
        </w:rPr>
        <w:fldChar w:fldCharType="begin"/>
      </w:r>
      <w:r w:rsidR="006F7733" w:rsidRPr="00796736">
        <w:rPr>
          <w:rFonts w:ascii="Times New Roman" w:hAnsi="Times New Roman" w:cs="Times New Roman"/>
          <w:sz w:val="24"/>
          <w:szCs w:val="24"/>
        </w:rPr>
        <w:instrText xml:space="preserve"> REF _Ref232971154 \r \h </w:instrText>
      </w:r>
      <w:r w:rsidR="00EA770E" w:rsidRPr="00796736">
        <w:rPr>
          <w:rFonts w:ascii="Times New Roman" w:hAnsi="Times New Roman" w:cs="Times New Roman"/>
          <w:sz w:val="24"/>
          <w:szCs w:val="24"/>
        </w:rPr>
        <w:instrText xml:space="preserve"> \* MERGEFORMAT </w:instrText>
      </w:r>
      <w:r w:rsidR="006F7733" w:rsidRPr="00796736">
        <w:rPr>
          <w:rFonts w:ascii="Times New Roman" w:hAnsi="Times New Roman" w:cs="Times New Roman"/>
          <w:sz w:val="24"/>
          <w:szCs w:val="24"/>
        </w:rPr>
      </w:r>
      <w:r w:rsidR="006F7733"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137</w:t>
      </w:r>
      <w:r w:rsidR="006F7733" w:rsidRPr="00796736">
        <w:rPr>
          <w:rFonts w:ascii="Times New Roman" w:hAnsi="Times New Roman" w:cs="Times New Roman"/>
          <w:sz w:val="24"/>
          <w:szCs w:val="24"/>
        </w:rPr>
        <w:fldChar w:fldCharType="end"/>
      </w:r>
      <w:r w:rsidR="006F7733" w:rsidRPr="00796736">
        <w:rPr>
          <w:rFonts w:ascii="Times New Roman" w:hAnsi="Times New Roman" w:cs="Times New Roman"/>
          <w:sz w:val="24"/>
          <w:szCs w:val="24"/>
        </w:rPr>
        <w:t xml:space="preserve"> </w:t>
      </w:r>
      <w:r w:rsidRPr="00796736">
        <w:rPr>
          <w:rFonts w:ascii="Times New Roman" w:hAnsi="Times New Roman" w:cs="Times New Roman"/>
          <w:sz w:val="24"/>
          <w:szCs w:val="24"/>
        </w:rPr>
        <w:t>og bemærkningerne hertil.</w:t>
      </w:r>
    </w:p>
    <w:p w14:paraId="4537C1CD" w14:textId="77777777" w:rsidR="00841DB1" w:rsidRPr="00796736" w:rsidRDefault="00841DB1" w:rsidP="00A802A5">
      <w:pPr>
        <w:spacing w:line="360" w:lineRule="auto"/>
        <w:rPr>
          <w:rFonts w:ascii="Times New Roman" w:hAnsi="Times New Roman" w:cs="Times New Roman"/>
          <w:sz w:val="24"/>
          <w:szCs w:val="24"/>
        </w:rPr>
      </w:pPr>
    </w:p>
    <w:p w14:paraId="4385494B" w14:textId="3B05BFAD" w:rsidR="00841DB1" w:rsidRPr="00796736" w:rsidRDefault="00841DB1" w:rsidP="00A802A5">
      <w:pPr>
        <w:pStyle w:val="Overskrift2"/>
        <w:rPr>
          <w:rFonts w:ascii="Times New Roman" w:hAnsi="Times New Roman"/>
          <w:sz w:val="24"/>
        </w:rPr>
      </w:pPr>
      <w:bookmarkStart w:id="1534" w:name="_Toc244880808"/>
      <w:r w:rsidRPr="00796736">
        <w:rPr>
          <w:rFonts w:ascii="Times New Roman" w:hAnsi="Times New Roman"/>
          <w:sz w:val="24"/>
        </w:rPr>
        <w:t>Advokatnævnets hjemmel til at pålægge tvangsbøder</w:t>
      </w:r>
      <w:bookmarkEnd w:id="1534"/>
      <w:r w:rsidRPr="00796736">
        <w:rPr>
          <w:rFonts w:ascii="Times New Roman" w:hAnsi="Times New Roman"/>
          <w:sz w:val="24"/>
        </w:rPr>
        <w:t xml:space="preserve"> </w:t>
      </w:r>
    </w:p>
    <w:p w14:paraId="6B59AB71" w14:textId="77777777" w:rsidR="00841DB1" w:rsidRPr="00796736" w:rsidRDefault="00841DB1"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Gældende ret</w:t>
      </w:r>
    </w:p>
    <w:p w14:paraId="4D19A725" w14:textId="7777777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Retsplejelovens kapitel 15 b regulerer disciplinærsager vedrørende advokater, fællesskaber af advokater, advokatselskaber eller personer, som er nævnt i retsplejelovens § 124 c, stk. 1, nr. 2, og som ejer aktier eller anparter i et advokatselskab. </w:t>
      </w:r>
    </w:p>
    <w:p w14:paraId="6C2E1765" w14:textId="7777777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147 b, stk. 1, kan klager over, at en advokat, et fællesskab af advokater, et advokatselskab eller en af de personer, der er nævnt i § 124 c, stk. 1, nr. 2, og som ejer aktier eller anparter i et advokatselskab, har tilsidesat pligter, der følger af retsplejeloven eller af forskrifter fastsat i medfør heraf, indbringes for Advokatnævnet. </w:t>
      </w:r>
    </w:p>
    <w:p w14:paraId="3F447F8B" w14:textId="77777777"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 147 c, stk. 2, 1. pkt., at Advokatnævnet under anvendelse af tvangsbøder kan pålægge en advokat, et fællesskab af advokater, et advokatselskab eller en af de personer, der er nævnt i § 124 c, stk. 1, nr. 2, og som ejer aktier eller anparter i et advokatselskab, at opfylde en forpligtelse som nævnt i stk. 1.</w:t>
      </w:r>
    </w:p>
    <w:p w14:paraId="41DDC918" w14:textId="7DB54592" w:rsidR="00841DB1" w:rsidRPr="00796736" w:rsidRDefault="00841DB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 nærmere om Advokatnævnets praksis henvises til pkt.</w:t>
      </w:r>
      <w:r w:rsidR="00074750" w:rsidRPr="00796736">
        <w:rPr>
          <w:rFonts w:ascii="Times New Roman" w:hAnsi="Times New Roman" w:cs="Times New Roman"/>
          <w:sz w:val="24"/>
          <w:szCs w:val="24"/>
        </w:rPr>
        <w:t xml:space="preserve"> </w:t>
      </w:r>
      <w:r w:rsidR="00074750" w:rsidRPr="00796736">
        <w:rPr>
          <w:rFonts w:ascii="Times New Roman" w:hAnsi="Times New Roman" w:cs="Times New Roman"/>
          <w:sz w:val="24"/>
          <w:szCs w:val="24"/>
        </w:rPr>
        <w:fldChar w:fldCharType="begin"/>
      </w:r>
      <w:r w:rsidR="00074750" w:rsidRPr="00796736">
        <w:rPr>
          <w:rFonts w:ascii="Times New Roman" w:hAnsi="Times New Roman" w:cs="Times New Roman"/>
          <w:sz w:val="24"/>
          <w:szCs w:val="24"/>
        </w:rPr>
        <w:instrText xml:space="preserve"> REF _Ref242876780 \n \h </w:instrText>
      </w:r>
      <w:r w:rsidR="00AB17CC" w:rsidRPr="00796736">
        <w:rPr>
          <w:rFonts w:ascii="Times New Roman" w:hAnsi="Times New Roman" w:cs="Times New Roman"/>
          <w:sz w:val="24"/>
          <w:szCs w:val="24"/>
        </w:rPr>
        <w:instrText xml:space="preserve"> \* MERGEFORMAT </w:instrText>
      </w:r>
      <w:r w:rsidR="00074750" w:rsidRPr="00796736">
        <w:rPr>
          <w:rFonts w:ascii="Times New Roman" w:hAnsi="Times New Roman" w:cs="Times New Roman"/>
          <w:sz w:val="24"/>
          <w:szCs w:val="24"/>
        </w:rPr>
      </w:r>
      <w:r w:rsidR="0007475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3.66.1</w:t>
      </w:r>
      <w:r w:rsidR="0007475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ovenfor. </w:t>
      </w:r>
    </w:p>
    <w:p w14:paraId="0EE50387" w14:textId="77777777" w:rsidR="002128F7" w:rsidRPr="00D253F0"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Hvidvaskloven indeholder ikke</w:t>
      </w:r>
      <w:r>
        <w:rPr>
          <w:rFonts w:ascii="Times New Roman" w:hAnsi="Times New Roman" w:cs="Times New Roman"/>
          <w:sz w:val="24"/>
          <w:szCs w:val="24"/>
        </w:rPr>
        <w:t xml:space="preserve"> selvstændige</w:t>
      </w:r>
      <w:r w:rsidRPr="00D253F0">
        <w:rPr>
          <w:rFonts w:ascii="Times New Roman" w:hAnsi="Times New Roman" w:cs="Times New Roman"/>
          <w:sz w:val="24"/>
          <w:szCs w:val="24"/>
        </w:rPr>
        <w:t xml:space="preserve"> regler om Advokatnævnets muligheder for at pålægge advokater tvangsbøder for den manglende efterlevelse af hvidvaskreglerne</w:t>
      </w:r>
      <w:r>
        <w:rPr>
          <w:rFonts w:ascii="Times New Roman" w:hAnsi="Times New Roman" w:cs="Times New Roman"/>
          <w:sz w:val="24"/>
          <w:szCs w:val="24"/>
        </w:rPr>
        <w:t>, men Advokatnævnet vil efter retsplejelovens regler kunne pålægge sådanne tvangsbøder, hvis den manglende efterlevelse af hvidvaskreglerne tillige er i strid med god advokatskik</w:t>
      </w:r>
      <w:r w:rsidRPr="00D253F0">
        <w:rPr>
          <w:rFonts w:ascii="Times New Roman" w:hAnsi="Times New Roman" w:cs="Times New Roman"/>
          <w:sz w:val="24"/>
          <w:szCs w:val="24"/>
        </w:rPr>
        <w:t>.</w:t>
      </w:r>
    </w:p>
    <w:p w14:paraId="3476D016" w14:textId="77777777" w:rsidR="00841DB1" w:rsidRPr="00796736" w:rsidRDefault="00841DB1" w:rsidP="00A802A5">
      <w:pPr>
        <w:spacing w:line="360" w:lineRule="auto"/>
        <w:rPr>
          <w:rFonts w:ascii="Times New Roman" w:hAnsi="Times New Roman" w:cs="Times New Roman"/>
          <w:sz w:val="24"/>
          <w:szCs w:val="24"/>
        </w:rPr>
      </w:pPr>
    </w:p>
    <w:p w14:paraId="6A130F26" w14:textId="77777777" w:rsidR="00841DB1" w:rsidRPr="00796736" w:rsidRDefault="00841DB1"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6. hvidvaskdirektiv</w:t>
      </w:r>
    </w:p>
    <w:p w14:paraId="02BD087C" w14:textId="77777777"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Direktivets artikel 53 indeholder almindelige bestemmelser om bøder og administrative foranstaltninger. </w:t>
      </w:r>
    </w:p>
    <w:p w14:paraId="44C9B5A7" w14:textId="5A3C01DD"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stk. 1, at medlemsstaterne sikrer, at forpligtede enheder kan drages til ansvar for overtrædelser af hvidvaskforordningen og Europa-Parlamentets og Rådets forordning (EU) 2023/1113 af 31. maj 2023 om oplysninger, der skal medsendes ved pengeoverførsler og ved overførsler af visse kryptoaktiver. </w:t>
      </w:r>
    </w:p>
    <w:p w14:paraId="0CBE8573" w14:textId="53A41EBC"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57 regulerer tvangsbøder. Bestemmelsen er ny i forhold til 4. og 5. hvidvaskdirektiv.</w:t>
      </w:r>
    </w:p>
    <w:p w14:paraId="4A7737F3" w14:textId="0AF7A784"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stk. 1 sikrer medlemsstaterne, at tilsynsorganerne, hvis forpligtede enheder ikke efterkommer de administrative foranstaltninger, som tilsynsorganet anvender i henhold til artikel 56, stk. 2, litra b, d, e og g, inden for de gældende frister, er i stand til at pålægge tvangsbøder for at gennemtvinge overholdelsen af disse administrative foranstaltninger.</w:t>
      </w:r>
    </w:p>
    <w:p w14:paraId="51554749" w14:textId="59E224A1"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2, at tvangsbøderne skal være effektive og stå i et rimeligt forhold til overtrædelserne. Tvangsbøderne pålægges, indtil den pågældende forpligtede enhed eller person efterkommer de relevante administrative foranstaltninger.</w:t>
      </w:r>
    </w:p>
    <w:p w14:paraId="43DBAA73" w14:textId="6C42EDAF"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bestemmelsens stk. 3 fremgår det, at uanset stk. 2 må tvangsbøderne i forbindelse med juridiske personer ikke overstige 3 pct. af deres gennemsnitlige daglige omsætning i det foregående regnskabsår eller i forbindelse med fysiske personer 2 pct. af deres gennemsnitlige daglige indtægt i det foregående kalenderår.</w:t>
      </w:r>
    </w:p>
    <w:p w14:paraId="35A93FE4" w14:textId="5EA53E8B"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af stk. 4, at tvangsbøder kun må pålægges i en periode på højst 6 måneder efter meddelelsen af tilsynsorganets afgørelse. Hvis den forpligtede enhed ved udløbet af denne frist endnu ikke har efterkommet den administrative foranstaltning, sikrer medlemsstaterne, at tilsynsorganerne kan pålægge tvangsbøder i en yderligere periode på højst seks måneder.</w:t>
      </w:r>
    </w:p>
    <w:p w14:paraId="0B32C891" w14:textId="045D50F6"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stk. 5, at medlemsstaterne sikrer, at en afgørelse om pålæggelse af en tvangsbøde kan træffes fra datoen for anvendelsen af den administrative foranstaltning. Tvangsbøden finder anvendelse fra den dato, hvor denne afgørelse træffes.</w:t>
      </w:r>
    </w:p>
    <w:p w14:paraId="36450D16" w14:textId="0A0001F8"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106 følger det bl.a., at hvis forpligtede enheder ikke overholder de administrative foranstaltninger inden for den fastsatte frist, skal tilsynsorganerne kunne lægge øget pres på den forpligtede enhed for straks at genoprette overholdelsen. Med henblik herpå bør det være muligt for tilsynsorganerne at pålægge tvangsbøder fra den frist, der er fastsat for at genoprette overholdelsen, herunder med tilbagevirkende kraft, når afgørelsen om at pålægge tvangsbøden træffes på et senere tidspunkt. Ved beregning af tvangsbødernes størrelse bør tilsynsorganerne tage hensyn til den forpligtede enheds samlede omsætning og typen og grovheden af den overtrædelse eller svaghed, som tilsynsforanstaltningen er rettet mod, for at sikre dens effektivitet og proportionalitet. I betragtning af målet med tvangsbøder om at presse en forpligtet enhed til at overholde en administrativ foranstaltning bør disse være tidsbegrænsede og finde anvendelse i højst seks måneder. Det bør være muligt for tilsynsorganerne at forlænge pålæggelsen af tvangsbøder med yderligere maksimalt seks måneder, men der bør overvejes alternative foranstaltninger til at afhjælpe en længerevarende situation med manglende overholdelse i overensstemmelse med den brede vifte af administrative foranstaltninger, som tilsynsorganerne kan anvende.</w:t>
      </w:r>
    </w:p>
    <w:p w14:paraId="393A0ACC" w14:textId="77777777" w:rsidR="00074750" w:rsidRPr="00796736" w:rsidRDefault="00074750" w:rsidP="00A802A5">
      <w:pPr>
        <w:spacing w:line="360" w:lineRule="auto"/>
        <w:rPr>
          <w:rFonts w:ascii="Times New Roman" w:hAnsi="Times New Roman" w:cs="Times New Roman"/>
          <w:sz w:val="24"/>
          <w:szCs w:val="24"/>
        </w:rPr>
      </w:pPr>
    </w:p>
    <w:p w14:paraId="783923CE" w14:textId="01F4E302" w:rsidR="00841DB1" w:rsidRPr="00796736" w:rsidRDefault="00074750"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Justits</w:t>
      </w:r>
      <w:r w:rsidR="00841DB1" w:rsidRPr="00796736">
        <w:rPr>
          <w:rFonts w:ascii="Times New Roman" w:hAnsi="Times New Roman" w:cs="Times New Roman"/>
          <w:sz w:val="24"/>
          <w:szCs w:val="24"/>
        </w:rPr>
        <w:t>ministeriets overvejelser og den foreslåede ordning</w:t>
      </w:r>
    </w:p>
    <w:p w14:paraId="0C4757E9" w14:textId="1336E7A8"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det </w:t>
      </w:r>
      <w:r w:rsidR="002128F7">
        <w:rPr>
          <w:rFonts w:ascii="Times New Roman" w:hAnsi="Times New Roman" w:cs="Times New Roman"/>
          <w:sz w:val="24"/>
          <w:szCs w:val="24"/>
        </w:rPr>
        <w:t>6.</w:t>
      </w:r>
      <w:r w:rsidRPr="00796736">
        <w:rPr>
          <w:rFonts w:ascii="Times New Roman" w:hAnsi="Times New Roman" w:cs="Times New Roman"/>
          <w:sz w:val="24"/>
          <w:szCs w:val="24"/>
        </w:rPr>
        <w:t xml:space="preserve"> hvidvaskdirektiv er der som noget nyt er tilføjet en bestemmelse om tvangsbøder i artikel 57.</w:t>
      </w:r>
    </w:p>
    <w:p w14:paraId="4723F402" w14:textId="438BE1C6"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det fremgår af pkt. 3.6.1, har Advokatnævnet i dag mulighed for at pålægge tvangsbøder i sager om advokaters mv. overholdelse af de pligter, der gælder for advokathvervet, herunder god advokatskik. Dette kan efter omstændighederne omfatte overholdelse af hvidvaskreglerne som en del af god advokatskik, idet bestemmelsen dog ikke er nærmere knyttet til reglerne i f.eks. hvidvaskloven om Advokatrådets påbud mv. </w:t>
      </w:r>
    </w:p>
    <w:p w14:paraId="559586B7" w14:textId="183AF85C"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på denne baggrund af indføre en ny bestemmelse om tvangsbøder for den manglende efterlevelse af Advokatrådets påbud om at advokater skal overholde, herunder at gennemføre, specifikke korrigerende foranstaltninger og om, at advokater skal bringe den udviste adfærd til ophør og undlade at gentage en sådan adfærd, jf.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_Ref241670553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for den manglende efterlevelse af administrative foranstaltninger meddelt af Advokatnævnet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_Ref241670591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_Ref236998239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For så vidt angår tvangsbøder for den manglende efterlevelse af administrative foranstaltninger efter  bemærkes, at den foreslåede ordning efter sin ordlyd kun omfatter afgørelser, hvilket vil sige, at den ikke vil kunne anvendes for den manglende efterlevelse af henstillinger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_Ref241670553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1. pkt.</w:t>
      </w:r>
    </w:p>
    <w:p w14:paraId="072FF466" w14:textId="0C4116FC"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formålet med tvangsbøder er lovliggørelse og ikke straf, og at ubetalte tvangsbøder bortfalder ved udførelsen af den underliggende handlepligt eller undladelse. </w:t>
      </w:r>
    </w:p>
    <w:p w14:paraId="31CDD717" w14:textId="79B7CBEE" w:rsidR="001543C5"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den foreslåede bestemmelse henvises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_Ref239757742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 </w:t>
      </w:r>
    </w:p>
    <w:p w14:paraId="1B9C2F7D" w14:textId="350C221F" w:rsidR="006957A7" w:rsidRPr="00796736" w:rsidRDefault="00510694" w:rsidP="00A802A5">
      <w:pPr>
        <w:pStyle w:val="Overskrift2"/>
        <w:rPr>
          <w:rFonts w:ascii="Times New Roman" w:hAnsi="Times New Roman"/>
          <w:sz w:val="24"/>
        </w:rPr>
      </w:pPr>
      <w:bookmarkStart w:id="1535" w:name="_Toc232109300"/>
      <w:bookmarkStart w:id="1536" w:name="_Toc244880809"/>
      <w:r>
        <w:rPr>
          <w:rFonts w:ascii="Times New Roman" w:hAnsi="Times New Roman"/>
          <w:sz w:val="24"/>
        </w:rPr>
        <w:t>Bøder</w:t>
      </w:r>
      <w:bookmarkEnd w:id="1536"/>
      <w:r w:rsidR="00D76BBD" w:rsidRPr="00796736">
        <w:rPr>
          <w:rFonts w:ascii="Times New Roman" w:hAnsi="Times New Roman"/>
          <w:sz w:val="24"/>
        </w:rPr>
        <w:t xml:space="preserve"> </w:t>
      </w:r>
      <w:bookmarkEnd w:id="1535"/>
    </w:p>
    <w:p w14:paraId="085635FE" w14:textId="0B28FE77" w:rsidR="00DA710C" w:rsidRPr="00796736" w:rsidRDefault="00967618" w:rsidP="00A802A5">
      <w:pPr>
        <w:pStyle w:val="Overskrift4"/>
        <w:rPr>
          <w:rFonts w:ascii="Times New Roman" w:hAnsi="Times New Roman" w:cs="Times New Roman"/>
          <w:sz w:val="24"/>
          <w:szCs w:val="24"/>
        </w:rPr>
      </w:pPr>
      <w:bookmarkStart w:id="1537" w:name="_Ref242985364"/>
      <w:r w:rsidRPr="00796736">
        <w:rPr>
          <w:rFonts w:ascii="Times New Roman" w:hAnsi="Times New Roman" w:cs="Times New Roman"/>
          <w:sz w:val="24"/>
          <w:szCs w:val="24"/>
        </w:rPr>
        <w:t>Gældende ret</w:t>
      </w:r>
      <w:bookmarkEnd w:id="1537"/>
    </w:p>
    <w:p w14:paraId="7C1BDAD6"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Hvidvasklovens strafbestemmelser findes i kapitel 14 om straf. </w:t>
      </w:r>
    </w:p>
    <w:p w14:paraId="53A74FEF" w14:textId="77777777" w:rsidR="00A779DC" w:rsidRPr="00A779DC" w:rsidRDefault="00A779DC" w:rsidP="00A779DC">
      <w:pPr>
        <w:spacing w:line="360" w:lineRule="auto"/>
        <w:rPr>
          <w:rFonts w:ascii="Times New Roman" w:hAnsi="Times New Roman" w:cs="Times New Roman"/>
          <w:sz w:val="24"/>
          <w:szCs w:val="24"/>
        </w:rPr>
      </w:pPr>
    </w:p>
    <w:p w14:paraId="54B257F8"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Af § 78, stk. 1, 1. pkt., fremgår det, at overtrædelse af hvidvasklovens § 55, stk. 4, 1.-4. pkt., og stk. 5, 3.-7. pkt., straffes med bøde. Af 2. pkt. fremgår det, at forsætlig eller grov uagtsom overtrædelse af §§ 5 og 5 a, § 6, stk. 1, 2. pkt., § 6 a, § 7, stk. 1 og 2, § 8, stk. 1-4 og 6, §§ 9 og 10, § 11, stk. 1 og 2 og stk. 3, 1., 3. og 4. pkt., § 12, § 14, stk. 1, stk. 2, 2. pkt., stk. 3, stk. 4, 2. pkt., og stk. 5, §§ 15 og 16, § 17, stk. 1-4, §§ 18-20, § 21, stk. 1, 2. pkt., § 22, stk. 2 og 3, § 24, stk. 1, 2. pkt., stk. 2 og 3, § 25, stk. 1-3, § 26, stk. 1 og 3, stk. 4, 1. pkt., og stk. 6, 1. pkt., § 29, stk. 4 og 6, §§ 30 og 31, § 31 b, stk. 1, § 32, § 35, stk. 1, § 35 a, stk. 1, § 36, stk. 1 og 2, § 36 a, § 38, stk. 1, §§ 40, 43 og 44, § 45, stk. 5, § 48, stk. 1, § 49, stk. 1 og 2, § 57, stk. 2, § 58, stk. 1, § 59, stk. 1, og § 65, stk. 2, og artikel 4-8, 10-12, 14-17, 19-21 og 26 i Europa-Parlamentets og Rådets forordning om oplysninger, der skal medsendes ved pengeoverførsler og ved overførsler af visse kryptoaktiver, samt artikel 6, stk. 1, i Rådets forordning 2001/1338/EF af 28. juni 2001 om fastlæggelse af de foranstaltninger, der er nødvendige for at beskytte euroen mod falskmøntneri, som ændret ved forordning 2009/44/EF, jf. Rådets forordning 2001/1339/EF af 28. juni 2001 om udvidelse af virkningerne af forordning 2001/1338/EF om fastlæggelse af de foranstaltninger, der er nødvendige for at beskytte euroen mod falskmøntneri, til også at omfatte de medlemsstater, der ikke har indført euroen som fælles valuta, straffes med bøde, medmindre højere straf er forskyldt efter straffelovens regler.</w:t>
      </w:r>
    </w:p>
    <w:p w14:paraId="58E59E42" w14:textId="77777777" w:rsidR="00A779DC" w:rsidRPr="00A779DC" w:rsidRDefault="00A779DC" w:rsidP="00A779DC">
      <w:pPr>
        <w:spacing w:line="360" w:lineRule="auto"/>
        <w:rPr>
          <w:rFonts w:ascii="Times New Roman" w:hAnsi="Times New Roman" w:cs="Times New Roman"/>
          <w:sz w:val="24"/>
          <w:szCs w:val="24"/>
        </w:rPr>
      </w:pPr>
    </w:p>
    <w:p w14:paraId="7BF529A8"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Af § 78, stk. 2, fremgår det, at ved særligt grove eller omfattende forsætlige overtrædelser af hvidvasklovens § 5, § 9, stk. 2, § 10, § 11, stk. 1 og 2 og stk. 3, 1., 3. og 4. pkt., § 12, § 14, stk. 1, stk. 2, 2. pkt., og stk. 3 og 5, § 17, stk. 1-4, §§ 18-20, § 21, stk. 1, 2. pkt., § 25, stk. 1, § 26, stk. 1 og 3, stk. 4, 1. pkt., og stk. 6, 1. pkt., §§ 30, 31 og 40 og § 49, stk. 2, og artikel 4-8, 10-12, 14-17, 19-21 og 26 i Europa-Parlamentets og Rådets forordning om oplysninger, der skal medsendes ved pengeoverførsler og ved overførsler af visse kryptoaktiver, kan straffen stige til fængsel indtil 2 år, medmindre højere straf er forskyldt efter straffelovens § 290 b, stk. 2</w:t>
      </w:r>
    </w:p>
    <w:p w14:paraId="074C1084" w14:textId="77777777" w:rsidR="00A779DC" w:rsidRPr="00A779DC" w:rsidRDefault="00A779DC" w:rsidP="00A779DC">
      <w:pPr>
        <w:spacing w:line="360" w:lineRule="auto"/>
        <w:rPr>
          <w:rFonts w:ascii="Times New Roman" w:hAnsi="Times New Roman" w:cs="Times New Roman"/>
          <w:sz w:val="24"/>
          <w:szCs w:val="24"/>
        </w:rPr>
      </w:pPr>
    </w:p>
    <w:p w14:paraId="0C223C72"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Af § 78, stk. 3, fremgår det, at ved udmåling af bøder efter stk. 1 skal der lægges vægt på gerningspersonens økonomiske forhold. For overtrædelser begået af virksomheder lægges vægt på virksomhedens nettoomsætning på gerningstidspunktet. </w:t>
      </w:r>
    </w:p>
    <w:p w14:paraId="1875A680" w14:textId="77777777" w:rsidR="00A779DC" w:rsidRPr="00A779DC" w:rsidRDefault="00A779DC" w:rsidP="00A779DC">
      <w:pPr>
        <w:spacing w:line="360" w:lineRule="auto"/>
        <w:rPr>
          <w:rFonts w:ascii="Times New Roman" w:hAnsi="Times New Roman" w:cs="Times New Roman"/>
          <w:sz w:val="24"/>
          <w:szCs w:val="24"/>
        </w:rPr>
      </w:pPr>
    </w:p>
    <w:p w14:paraId="7481421B"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Bestemmelsen i stk. 3 blev indsat ved lov nr. 1535 af 18. december 2018 om ændring af hvidvaskloven (skærpelse af hvidvaskreglerne). I bemærkningerne til lovforslaget, jf. Folketingstidende 2018-19, tillæg A, L 47 som fremsat, side 46 ff., fastsættes de nærmere retningslinjer for udmåling af bøder for overtrædelse af hvidvaskloven. Formålet med lovændringen var markant at skærpe bødeniveauet for minimumsbøder for manglende interne retningslinjer og for systemiske mangler, hvorved der er opnået en økonomisk fordel. Samtidig blev principperne for bødefastsættelse på hvidvaskområdet gennemgået nærmere og indarbejdet i bemærkningerne til § 78, stk. 3, jf. herom i det følgende.</w:t>
      </w:r>
    </w:p>
    <w:p w14:paraId="1DD1FC33" w14:textId="77777777" w:rsidR="00A779DC" w:rsidRPr="00A779DC" w:rsidRDefault="00A779DC" w:rsidP="00A779DC">
      <w:pPr>
        <w:spacing w:line="360" w:lineRule="auto"/>
        <w:rPr>
          <w:rFonts w:ascii="Times New Roman" w:hAnsi="Times New Roman" w:cs="Times New Roman"/>
          <w:sz w:val="24"/>
          <w:szCs w:val="24"/>
        </w:rPr>
      </w:pPr>
    </w:p>
    <w:p w14:paraId="1BC4E3B5"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I bemærkningerne fremhæves fire kategorier af udmålingsprincipper, som alt efter typen af overtrædelse finder anvendelse for bødefastsættelsen. </w:t>
      </w:r>
    </w:p>
    <w:p w14:paraId="6B604C8D" w14:textId="77777777" w:rsidR="00A779DC" w:rsidRPr="00A779DC" w:rsidRDefault="00A779DC" w:rsidP="00A779DC">
      <w:pPr>
        <w:spacing w:line="360" w:lineRule="auto"/>
        <w:rPr>
          <w:rFonts w:ascii="Times New Roman" w:hAnsi="Times New Roman" w:cs="Times New Roman"/>
          <w:sz w:val="24"/>
          <w:szCs w:val="24"/>
        </w:rPr>
      </w:pPr>
    </w:p>
    <w:p w14:paraId="6865A718"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Af bemærkningerne fremgår det, at den første kategori angår overtrædelser vedrørende transaktioner. Herom fremgår det, at ved overtrædelser af hvidvaskloven, som kan henføres til konkrete transaktioner, f.eks. manglende udførelse af kundekendskabsprocedurer, ses bødeberegningen efter retspraksis at tage udgangspunkt i 25 pct. af transaktionsbeløbet (transaktionsprincippet), men således at en konkret vurdering af sagens samlede omstændigheder i enkelte sager har begrundet en fravigelse af dette udgangspunkt i nedadgående retning. Det fremgår af bemærkningerne, at lovforslaget ikke tilsigter at ændre på niveauet for bøder beregnet efter transaktionsprincippet. </w:t>
      </w:r>
    </w:p>
    <w:p w14:paraId="1EC836E3" w14:textId="77777777" w:rsidR="00A779DC" w:rsidRPr="00A779DC" w:rsidRDefault="00A779DC" w:rsidP="00A779DC">
      <w:pPr>
        <w:spacing w:line="360" w:lineRule="auto"/>
        <w:rPr>
          <w:rFonts w:ascii="Times New Roman" w:hAnsi="Times New Roman" w:cs="Times New Roman"/>
          <w:sz w:val="24"/>
          <w:szCs w:val="24"/>
        </w:rPr>
      </w:pPr>
    </w:p>
    <w:p w14:paraId="01EE5CEA"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Den anden kategori, som gennemgås i bemærkningerne, er overtrædelser vedrørende systemiske mangler. Herom følger det, at bøder for overtrædelser af systemisk karakter, som indebærer, at virksomheden har haft en besparelse, herunder ikke afholdte konkrete udgifter, fastsættes efter retspraksis i udgangspunktet til det dobbelte af virksomhedens besparelse, hvilket med loven blev modificeret. Der kan efter bemærkningerne eksempelvis være tale om situationer, hvor Finanstilsynet vurderer, at en virksomhed ikke har haft tilstrækkelige IT-redskaber og processer til at opfylde de lovpligtige krav, at der ikke er tilstrækkeligt personale til at håndtere de opgaver, der efter loven skal varetages i forhold til forebyggelsen af hvidvask og terrorfinansiering, at der ikke er udpeget en hvidvaskansvarlig, eller at personalet ikke løbende bliver uddannet inden for hvidvaskområdet. </w:t>
      </w:r>
    </w:p>
    <w:p w14:paraId="306F2432" w14:textId="77777777" w:rsidR="00A779DC" w:rsidRPr="00A779DC" w:rsidRDefault="00A779DC" w:rsidP="00A779DC">
      <w:pPr>
        <w:spacing w:line="360" w:lineRule="auto"/>
        <w:rPr>
          <w:rFonts w:ascii="Times New Roman" w:hAnsi="Times New Roman" w:cs="Times New Roman"/>
          <w:sz w:val="24"/>
          <w:szCs w:val="24"/>
        </w:rPr>
      </w:pPr>
    </w:p>
    <w:p w14:paraId="32CC6BEE"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Efter bemærkningerne indebærer ændringen af § 78, stk. 3, at der er sket en markant skærpelse af bødeniveauet for systemiske mangler, hvorved der er opnået en økonomisk fordel (besparelse/gevinst) for større virksomheder, der tager proportionalt hensyn til overtrædelsens karakter og virksomhedens størrelse, så bødeniveauet får den tilsigtede pønale og præventive effekt. Det </w:t>
      </w:r>
    </w:p>
    <w:p w14:paraId="67556B2A"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samme gælder i forhold til minimumsbøder for manglende interne retningslinjer. I praksis udmåles også bøder svarende til minimumsbøder for andre overtrædelser end hvidvasklovens § 8, hvis der ikke kan bevises en besparelse, f.eks. ved en overtrædelse af kundekendskabsreglerne eller manglende whistleblower-ordning. Er der i sådanne tilfælde tale om en virksomhed omfattet af § 78, stk. 3, med en høj nettoomsætning, vil minimumsbøden også i sådanne tilfælde skulle multipliceres.</w:t>
      </w:r>
    </w:p>
    <w:p w14:paraId="52FD2510" w14:textId="77777777" w:rsidR="00A779DC" w:rsidRPr="00A779DC" w:rsidRDefault="00A779DC" w:rsidP="00A779DC">
      <w:pPr>
        <w:spacing w:line="360" w:lineRule="auto"/>
        <w:rPr>
          <w:rFonts w:ascii="Times New Roman" w:hAnsi="Times New Roman" w:cs="Times New Roman"/>
          <w:sz w:val="24"/>
          <w:szCs w:val="24"/>
        </w:rPr>
      </w:pPr>
    </w:p>
    <w:p w14:paraId="5483CBD9"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Den tredje kategori angår overtrædelser vedrørende manglende politikker, procedurer mv. Herom fremgår det, at for så vidt angår de situationer, hvor virksomheder ikke har udarbejdet skriftlige politikker eller procedurer mv., eller hvor disse ikke er tilstrækkelige, findes det hensigtsmæssigt at fastholde praksis med en grundbøde. Af bemærkningerne følger det, at det vurderes, at bøden bør følge retningslinjerne for minimumsbøder på området, og således fastsættes til minimum 50.000 kr. for virksomheder, da de potentielle skadevirkninger for samfundet ved den manglende efterlevelse af helt grundlæggende regler, som skal forebygge hvidvask og terrorfinansiering, kan være meget alvorlige, og da den manglende efterlevelse mindsker virksomhedernes kapacitet, herunder de nødvendige organisatoriske strukturer til at varetage denne forebyggende indsats. </w:t>
      </w:r>
    </w:p>
    <w:p w14:paraId="5F303965" w14:textId="77777777" w:rsidR="00A779DC" w:rsidRPr="00A779DC" w:rsidRDefault="00A779DC" w:rsidP="00A779DC">
      <w:pPr>
        <w:spacing w:line="360" w:lineRule="auto"/>
        <w:rPr>
          <w:rFonts w:ascii="Times New Roman" w:hAnsi="Times New Roman" w:cs="Times New Roman"/>
          <w:sz w:val="24"/>
          <w:szCs w:val="24"/>
        </w:rPr>
      </w:pPr>
    </w:p>
    <w:p w14:paraId="5816B14E"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Den sidste kategori angår bøder til direktører eller overordnede ansatte. Herom fremgår det, at der i retspraksis er eksempler på, at bøden til fysiske personer med tilknytning til virksomheden som udgangspunkt er udmålt til et beløb svarende til 10 pct. af bøden til virksomheden. Det fremgår af bemærkningerne, at der ikke med lovforslaget tilsigtes en ændring af principperne for bødeudmålingen for sådanne personer. Sådanne bøder udmåles i praksis alene, når der er udvist grov uagtsomhed eller forsæt.</w:t>
      </w:r>
    </w:p>
    <w:p w14:paraId="799CE076" w14:textId="77777777" w:rsidR="00A779DC" w:rsidRPr="00A779DC" w:rsidRDefault="00A779DC" w:rsidP="00A779DC">
      <w:pPr>
        <w:spacing w:line="360" w:lineRule="auto"/>
        <w:rPr>
          <w:rFonts w:ascii="Times New Roman" w:hAnsi="Times New Roman" w:cs="Times New Roman"/>
          <w:sz w:val="24"/>
          <w:szCs w:val="24"/>
        </w:rPr>
      </w:pPr>
    </w:p>
    <w:p w14:paraId="125C1AFC"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Ifølge bemærkningerne er der ikke med stk. 3 tilsigtet at ændre på niveauet for bøder beregnet efter transaktionsprincippet, eller at ændre bødeniveauet for overtrædelse af hvidvasklovens § 5 (kontantforbudsreglen). Der er endvidere heller ikke tilsigtet at ændre på sanktionsniveauet for fysiske personer med tilknytning til virksomheden, herunder ledelsen og overordnede ansvarlige. Derimod skal der i de tilfælde, hvor virksomheden har opnået en økonomisk fordel i form af besparelser, ikke afholdte udgifter eller på anden måde en gevinst ved overtrædelsen af hvidvaskloven, tages hensyn til virksomhedens økonomiske forhold ved bødeudmålingen.</w:t>
      </w:r>
    </w:p>
    <w:p w14:paraId="728402CC" w14:textId="77777777" w:rsidR="00A779DC" w:rsidRPr="00A779DC" w:rsidRDefault="00A779DC" w:rsidP="00A779DC">
      <w:pPr>
        <w:spacing w:line="360" w:lineRule="auto"/>
        <w:rPr>
          <w:rFonts w:ascii="Times New Roman" w:hAnsi="Times New Roman" w:cs="Times New Roman"/>
          <w:sz w:val="24"/>
          <w:szCs w:val="24"/>
        </w:rPr>
      </w:pPr>
    </w:p>
    <w:p w14:paraId="4D6C305D"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Efter bemærkningerne til bestemmelsen, jf. Folketingstidende 2018-19, tillæg A, L 47 som fremsat, side 111 ff., skal der tages udgangspunkt i den eksisterende bødepraksis, så der ved bødeudmålingen skal tages hensyn til lovovertrædelsernes forskelligartede karakter, og at der herunder lægges vægt på omfanget og grovheden af overtrædelsen. Ved vurderingen af overtrædelsens omfang kan der blandt andet lægges vægt på overtrædelsernes varighed, hyppighed og beløbsmæssige størrelse. </w:t>
      </w:r>
    </w:p>
    <w:p w14:paraId="4A883B1F" w14:textId="77777777" w:rsidR="00A779DC" w:rsidRPr="00A779DC" w:rsidRDefault="00A779DC" w:rsidP="00A779DC">
      <w:pPr>
        <w:spacing w:line="360" w:lineRule="auto"/>
        <w:rPr>
          <w:rFonts w:ascii="Times New Roman" w:hAnsi="Times New Roman" w:cs="Times New Roman"/>
          <w:sz w:val="24"/>
          <w:szCs w:val="24"/>
        </w:rPr>
      </w:pPr>
    </w:p>
    <w:p w14:paraId="6750FE35"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fremgår videre, at der med bestemmelsen skal lægges særskilt vægt på den pågældende virksomheds økonomiske forhold, så bødens størrelse i de tilfælde, hvor virksomheden har opnået en økonomisk fordel ved overtrædelserne, eller hvor der skal udmåles en minimumsbøde for manglende interne retningslinjer, kommer til at afspejle den finansielle styrke hos den virksomhed, der har begået overtrædelsen. </w:t>
      </w:r>
    </w:p>
    <w:p w14:paraId="29353150" w14:textId="77777777" w:rsidR="00A779DC" w:rsidRPr="00A779DC" w:rsidRDefault="00A779DC" w:rsidP="00A779DC">
      <w:pPr>
        <w:spacing w:line="360" w:lineRule="auto"/>
        <w:rPr>
          <w:rFonts w:ascii="Times New Roman" w:hAnsi="Times New Roman" w:cs="Times New Roman"/>
          <w:sz w:val="24"/>
          <w:szCs w:val="24"/>
        </w:rPr>
      </w:pPr>
    </w:p>
    <w:p w14:paraId="78B19FC7"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Konkret indebærer bestemmelsen, at bødeniveauet for overtrædelse af hvidvaskloven, der indebærer en økonomisk fordel for virksomheden, og minimumsbøder fastsættes efter en model, hvor virksomheder, der er omfattet af hvidvaskloven, opdeles i fem kategorier efter deres økonomiske størrelse målt i nettoomsætning, og hvor der for hver kategori fastsættes et grundlæggende bødeniveau, således at bøderne for de mindste virksomheder udmåles efter den eksisterende praksis, mens bøderne for de større virksomheder i hver kategori udmåles med et stigende procenttillæg. </w:t>
      </w:r>
    </w:p>
    <w:p w14:paraId="514B8DB4" w14:textId="77777777" w:rsidR="00A779DC" w:rsidRPr="00A779DC" w:rsidRDefault="00A779DC" w:rsidP="00A779DC">
      <w:pPr>
        <w:spacing w:line="360" w:lineRule="auto"/>
        <w:rPr>
          <w:rFonts w:ascii="Times New Roman" w:hAnsi="Times New Roman" w:cs="Times New Roman"/>
          <w:sz w:val="24"/>
          <w:szCs w:val="24"/>
        </w:rPr>
      </w:pPr>
    </w:p>
    <w:p w14:paraId="5A880855"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Virksomhederne er inddelt på følgende måde: </w:t>
      </w:r>
    </w:p>
    <w:p w14:paraId="2FB48BD5" w14:textId="77777777" w:rsidR="00A779DC" w:rsidRPr="00A779DC" w:rsidRDefault="00A779DC" w:rsidP="00A779DC">
      <w:pPr>
        <w:spacing w:line="360" w:lineRule="auto"/>
        <w:rPr>
          <w:rFonts w:ascii="Times New Roman" w:hAnsi="Times New Roman" w:cs="Times New Roman"/>
          <w:sz w:val="24"/>
          <w:szCs w:val="24"/>
        </w:rPr>
      </w:pPr>
    </w:p>
    <w:tbl>
      <w:tblPr>
        <w:tblStyle w:val="Tabel-Gitter"/>
        <w:tblW w:w="10343" w:type="dxa"/>
        <w:tblLook w:val="04A0" w:firstRow="1" w:lastRow="0" w:firstColumn="1" w:lastColumn="0" w:noHBand="0" w:noVBand="1"/>
      </w:tblPr>
      <w:tblGrid>
        <w:gridCol w:w="1271"/>
        <w:gridCol w:w="1701"/>
        <w:gridCol w:w="1843"/>
        <w:gridCol w:w="1843"/>
        <w:gridCol w:w="1559"/>
        <w:gridCol w:w="2126"/>
      </w:tblGrid>
      <w:tr w:rsidR="00A779DC" w:rsidRPr="00A779DC" w14:paraId="1A90900C" w14:textId="77777777" w:rsidTr="00E07004">
        <w:tc>
          <w:tcPr>
            <w:tcW w:w="1271" w:type="dxa"/>
          </w:tcPr>
          <w:p w14:paraId="3C6533E2" w14:textId="77777777" w:rsidR="00A779DC" w:rsidRPr="00A779DC" w:rsidRDefault="00A779DC" w:rsidP="00A779DC">
            <w:pPr>
              <w:spacing w:line="360" w:lineRule="auto"/>
              <w:rPr>
                <w:rFonts w:ascii="Times New Roman" w:hAnsi="Times New Roman" w:cs="Times New Roman"/>
                <w:sz w:val="24"/>
                <w:szCs w:val="24"/>
              </w:rPr>
            </w:pPr>
          </w:p>
        </w:tc>
        <w:tc>
          <w:tcPr>
            <w:tcW w:w="1701" w:type="dxa"/>
          </w:tcPr>
          <w:p w14:paraId="11844636"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Små virksomheder</w:t>
            </w:r>
          </w:p>
        </w:tc>
        <w:tc>
          <w:tcPr>
            <w:tcW w:w="1843" w:type="dxa"/>
          </w:tcPr>
          <w:p w14:paraId="1A8648AE"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Mellemstore virksomheder</w:t>
            </w:r>
          </w:p>
        </w:tc>
        <w:tc>
          <w:tcPr>
            <w:tcW w:w="1843" w:type="dxa"/>
          </w:tcPr>
          <w:p w14:paraId="2C9F047E"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Store virksomheder A</w:t>
            </w:r>
          </w:p>
        </w:tc>
        <w:tc>
          <w:tcPr>
            <w:tcW w:w="1559" w:type="dxa"/>
          </w:tcPr>
          <w:p w14:paraId="6B7C21F9"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Store virksomheder B</w:t>
            </w:r>
          </w:p>
        </w:tc>
        <w:tc>
          <w:tcPr>
            <w:tcW w:w="2126" w:type="dxa"/>
          </w:tcPr>
          <w:p w14:paraId="1430433F"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Meget store virksomheder</w:t>
            </w:r>
          </w:p>
        </w:tc>
      </w:tr>
      <w:tr w:rsidR="00A779DC" w:rsidRPr="00A779DC" w14:paraId="1E426DD0" w14:textId="77777777" w:rsidTr="00E07004">
        <w:tc>
          <w:tcPr>
            <w:tcW w:w="1271" w:type="dxa"/>
          </w:tcPr>
          <w:p w14:paraId="36F2CCC4"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Nettoomsætning</w:t>
            </w:r>
          </w:p>
        </w:tc>
        <w:tc>
          <w:tcPr>
            <w:tcW w:w="1701" w:type="dxa"/>
          </w:tcPr>
          <w:p w14:paraId="1BA63BB8"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 xml:space="preserve">- 50 mio. kr. </w:t>
            </w:r>
          </w:p>
        </w:tc>
        <w:tc>
          <w:tcPr>
            <w:tcW w:w="1843" w:type="dxa"/>
          </w:tcPr>
          <w:p w14:paraId="534DC461"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+50 mio. kr. – 100 mio. kr.</w:t>
            </w:r>
          </w:p>
        </w:tc>
        <w:tc>
          <w:tcPr>
            <w:tcW w:w="1843" w:type="dxa"/>
          </w:tcPr>
          <w:p w14:paraId="6973A277"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+ 100 mio. kr. – 1. mia. kr.</w:t>
            </w:r>
          </w:p>
        </w:tc>
        <w:tc>
          <w:tcPr>
            <w:tcW w:w="1559" w:type="dxa"/>
          </w:tcPr>
          <w:p w14:paraId="142C9848"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+ 1 mia. kr. – 10 mia. kr.</w:t>
            </w:r>
          </w:p>
        </w:tc>
        <w:tc>
          <w:tcPr>
            <w:tcW w:w="2126" w:type="dxa"/>
          </w:tcPr>
          <w:p w14:paraId="0DDACEF6"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+ 10 mia. kr.</w:t>
            </w:r>
          </w:p>
        </w:tc>
      </w:tr>
      <w:tr w:rsidR="00A779DC" w:rsidRPr="00A779DC" w14:paraId="2915A595" w14:textId="77777777" w:rsidTr="00E07004">
        <w:tc>
          <w:tcPr>
            <w:tcW w:w="1271" w:type="dxa"/>
          </w:tcPr>
          <w:p w14:paraId="757B921C"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Bødeniveau</w:t>
            </w:r>
          </w:p>
        </w:tc>
        <w:tc>
          <w:tcPr>
            <w:tcW w:w="1701" w:type="dxa"/>
          </w:tcPr>
          <w:p w14:paraId="20A13C4D"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Intet tillæg</w:t>
            </w:r>
          </w:p>
        </w:tc>
        <w:tc>
          <w:tcPr>
            <w:tcW w:w="1843" w:type="dxa"/>
          </w:tcPr>
          <w:p w14:paraId="649320D3"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+ 50 pct.</w:t>
            </w:r>
          </w:p>
        </w:tc>
        <w:tc>
          <w:tcPr>
            <w:tcW w:w="1843" w:type="dxa"/>
          </w:tcPr>
          <w:p w14:paraId="7B5F2A19"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+ 100 pct.</w:t>
            </w:r>
          </w:p>
        </w:tc>
        <w:tc>
          <w:tcPr>
            <w:tcW w:w="1559" w:type="dxa"/>
          </w:tcPr>
          <w:p w14:paraId="0CDEED0F"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+ 300 pct.</w:t>
            </w:r>
          </w:p>
        </w:tc>
        <w:tc>
          <w:tcPr>
            <w:tcW w:w="2126" w:type="dxa"/>
          </w:tcPr>
          <w:p w14:paraId="5F39022F"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+ 700 pct.</w:t>
            </w:r>
          </w:p>
        </w:tc>
      </w:tr>
      <w:tr w:rsidR="00A779DC" w:rsidRPr="00A779DC" w14:paraId="6C366AA0" w14:textId="77777777" w:rsidTr="00E07004">
        <w:tc>
          <w:tcPr>
            <w:tcW w:w="1271" w:type="dxa"/>
          </w:tcPr>
          <w:p w14:paraId="3E7E1D2C"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Minimumsbøde</w:t>
            </w:r>
          </w:p>
        </w:tc>
        <w:tc>
          <w:tcPr>
            <w:tcW w:w="1701" w:type="dxa"/>
          </w:tcPr>
          <w:p w14:paraId="0731E4E0"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50.000 kr.</w:t>
            </w:r>
          </w:p>
        </w:tc>
        <w:tc>
          <w:tcPr>
            <w:tcW w:w="1843" w:type="dxa"/>
          </w:tcPr>
          <w:p w14:paraId="20260838"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75.000 kr.</w:t>
            </w:r>
          </w:p>
        </w:tc>
        <w:tc>
          <w:tcPr>
            <w:tcW w:w="1843" w:type="dxa"/>
          </w:tcPr>
          <w:p w14:paraId="6E161193"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100.000 kr.</w:t>
            </w:r>
          </w:p>
        </w:tc>
        <w:tc>
          <w:tcPr>
            <w:tcW w:w="1559" w:type="dxa"/>
          </w:tcPr>
          <w:p w14:paraId="5FAD2E4F"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200.000 kr.</w:t>
            </w:r>
          </w:p>
        </w:tc>
        <w:tc>
          <w:tcPr>
            <w:tcW w:w="2126" w:type="dxa"/>
          </w:tcPr>
          <w:p w14:paraId="11D67AEC" w14:textId="77777777" w:rsidR="00A779DC" w:rsidRPr="00A779DC" w:rsidRDefault="00A779DC" w:rsidP="00A779DC">
            <w:pPr>
              <w:spacing w:line="360" w:lineRule="auto"/>
              <w:rPr>
                <w:rFonts w:ascii="Times New Roman" w:hAnsi="Times New Roman" w:cs="Times New Roman"/>
                <w:i/>
                <w:iCs/>
                <w:sz w:val="24"/>
                <w:szCs w:val="24"/>
              </w:rPr>
            </w:pPr>
            <w:r w:rsidRPr="00A779DC">
              <w:rPr>
                <w:rFonts w:ascii="Times New Roman" w:hAnsi="Times New Roman" w:cs="Times New Roman"/>
                <w:i/>
                <w:iCs/>
                <w:sz w:val="24"/>
                <w:szCs w:val="24"/>
              </w:rPr>
              <w:t>400.000 kr.</w:t>
            </w:r>
          </w:p>
        </w:tc>
      </w:tr>
    </w:tbl>
    <w:p w14:paraId="7EA5737B" w14:textId="77777777" w:rsidR="00A779DC" w:rsidRPr="00A779DC" w:rsidRDefault="00A779DC" w:rsidP="00A779DC">
      <w:pPr>
        <w:spacing w:line="360" w:lineRule="auto"/>
        <w:rPr>
          <w:rFonts w:ascii="Times New Roman" w:hAnsi="Times New Roman" w:cs="Times New Roman"/>
          <w:sz w:val="24"/>
          <w:szCs w:val="24"/>
        </w:rPr>
      </w:pPr>
    </w:p>
    <w:p w14:paraId="2C4C4386"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Videre fremgår det af bemærkningerne, at hvis udmålingen af bøden med udgangspunkt i transaktionsprincippet giver et højere bødeniveau, skal bøden som udgangspunkt fastsættes efter dette udmålingsprincip. Det vil i praksis betyde, at såfremt det i en konkret sag er muligt at beregne en bøde efter begge udmålingsprincipper, fastsættes bøden efter det beregningsprincip, der medfører den højeste bøde. Undlader et vekselkontor eksempelvis at investere 500.000 kr. i tilstrækkelig IT-kapacitet til overvågning af kundetransaktioner og medfører dette, at der ikke sker afdækning af mistænkelige transaktioner for 10 mio. kr., vil virksomheden efter besparelsesprincippet ifalde en bøde på 1 mio. kr., mens beregningen af bøden efter transaktionsprincippet vil føre til fastsættelse af en bøde på 2,5 mio. kr. I dette tilfælde vil bøden skulle fastsættes med udgangspunkt i de 2,5 mio. kr. </w:t>
      </w:r>
    </w:p>
    <w:p w14:paraId="04C73FAE" w14:textId="77777777" w:rsidR="00A779DC" w:rsidRPr="00A779DC" w:rsidRDefault="00A779DC" w:rsidP="00A779DC">
      <w:pPr>
        <w:spacing w:line="360" w:lineRule="auto"/>
        <w:rPr>
          <w:rFonts w:ascii="Times New Roman" w:hAnsi="Times New Roman" w:cs="Times New Roman"/>
          <w:sz w:val="24"/>
          <w:szCs w:val="24"/>
        </w:rPr>
      </w:pPr>
    </w:p>
    <w:p w14:paraId="6AE29B13"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fremgår endvidere, at det bør tilstræbes, at der i vurderingen af størrelsen af den endelige bøde også indgår en vurdering af den pågældende virksomheds mulighed for at betale denne. </w:t>
      </w:r>
    </w:p>
    <w:p w14:paraId="12640FD5" w14:textId="77777777" w:rsidR="00A779DC" w:rsidRPr="00A779DC" w:rsidRDefault="00A779DC" w:rsidP="00A779DC">
      <w:pPr>
        <w:spacing w:line="360" w:lineRule="auto"/>
        <w:rPr>
          <w:rFonts w:ascii="Times New Roman" w:hAnsi="Times New Roman" w:cs="Times New Roman"/>
          <w:sz w:val="24"/>
          <w:szCs w:val="24"/>
        </w:rPr>
      </w:pPr>
    </w:p>
    <w:p w14:paraId="23C00F76"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På den baggrund kan nævnes, at der for virksomheder, som er underlagt soliditetskrav, foretages en beregning af virksomhedens soliditet efter hensyntagen til gældende kapitalkrav for at vurdere, om virksomhedens overlevelse trues. Dette gør sig dog ikke gældende, hvis overtrædelserne er af en sådan karakter, at de må anses for at have udgjort en central del af den pågældende virksomheds aktiviteter. Soliditetsvurderingen kan foretages på baggrund af en erklæring fra virksomhedens revisor og efter inddragelse af den relevante tilsynsmyndighed. I mindre sager, hvor der alene er tale om minimumsbøder, anvendes årsregnskab fra de forudgående år.</w:t>
      </w:r>
    </w:p>
    <w:p w14:paraId="1A1DD45F" w14:textId="77777777" w:rsidR="00A779DC" w:rsidRPr="00A779DC" w:rsidRDefault="00A779DC" w:rsidP="00A779DC">
      <w:pPr>
        <w:spacing w:line="360" w:lineRule="auto"/>
        <w:rPr>
          <w:rFonts w:ascii="Times New Roman" w:hAnsi="Times New Roman" w:cs="Times New Roman"/>
          <w:sz w:val="24"/>
          <w:szCs w:val="24"/>
        </w:rPr>
      </w:pPr>
    </w:p>
    <w:p w14:paraId="05690453"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Eksempelvis vil der ikke være tale om en ”central del af en virksomheds aktiviteter,” hvis en bogholder, der ikke er registreret i Erhvervsstyrelsen efter hvidvasklovens regler, har oprettet et stort antal virksomheder, men der ikke foreligger oplysninger om, at bogholderen konkret har medvirket til transaktioner, hvor der har været konkret risiko for hvidvask. Den konkrete risiko for misbrug til hvidvask er i denne situation almindeligvis ikke så stor, at en overtrædelse bør føre til, at virksomheden lukkes.</w:t>
      </w:r>
    </w:p>
    <w:p w14:paraId="28D7A664" w14:textId="77777777" w:rsidR="00A779DC" w:rsidRPr="00A779DC" w:rsidRDefault="00A779DC" w:rsidP="00A779DC">
      <w:pPr>
        <w:spacing w:line="360" w:lineRule="auto"/>
        <w:rPr>
          <w:rFonts w:ascii="Times New Roman" w:hAnsi="Times New Roman" w:cs="Times New Roman"/>
          <w:sz w:val="24"/>
          <w:szCs w:val="24"/>
        </w:rPr>
      </w:pPr>
    </w:p>
    <w:p w14:paraId="741713AE"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Af bemærkningerne fremgår det videre, at et eksempel, hvor resultatet vil være det modsatte, er et vekselkontor, der betjener turister, men også veksler penge fra kunder, hvor pengenes oprindelse er tvivlsom. Bevisførelsen viser, at 25-50 pct. af virksomhedens aktiviteter stammer fra turisters omveksling, mens den resterende del af virksomhedens aktiviteter, svarende til 50-75%, vedrører veksling af penge, der stammer fra kunder, som virksomheden ikke indhenter og opbevarer kundekendskabsmateriale på eller foretager underretninger om. I eksemplet vil den tvivlsomme del af virksomhedens aktiviteter udgøre en central del af virksomhedens aktiviteter, og der er således ikke en særlig beskyttelsesinteresse i forhold til virksomhedens fortsatte drift. </w:t>
      </w:r>
    </w:p>
    <w:p w14:paraId="345AF3BF" w14:textId="77777777" w:rsidR="00A779DC" w:rsidRPr="00A779DC" w:rsidRDefault="00A779DC" w:rsidP="00A779DC">
      <w:pPr>
        <w:spacing w:line="360" w:lineRule="auto"/>
        <w:rPr>
          <w:rFonts w:ascii="Times New Roman" w:hAnsi="Times New Roman" w:cs="Times New Roman"/>
          <w:sz w:val="24"/>
          <w:szCs w:val="24"/>
        </w:rPr>
      </w:pPr>
    </w:p>
    <w:p w14:paraId="2045B1D7"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bemærkes, at der overfor et vekselkontor, som tager imod penge hidrørende fra kriminalitet, hvor der er grundlag herfor, vil skulle rejses tiltale for overtrædelse af straffelovens § 290 a. </w:t>
      </w:r>
    </w:p>
    <w:p w14:paraId="2CC45B93" w14:textId="77777777" w:rsidR="00A779DC" w:rsidRPr="00A779DC" w:rsidRDefault="00A779DC" w:rsidP="00A779DC">
      <w:pPr>
        <w:spacing w:line="360" w:lineRule="auto"/>
        <w:rPr>
          <w:rFonts w:ascii="Times New Roman" w:hAnsi="Times New Roman" w:cs="Times New Roman"/>
          <w:sz w:val="24"/>
          <w:szCs w:val="24"/>
        </w:rPr>
      </w:pPr>
    </w:p>
    <w:p w14:paraId="03F9E169"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Tilsvarende gør sig ifølge bemærkningerne gældende, hvis det i forbindelse med bevisførelsen kan konstateres, at virksomhedens regnskaber over indtjening ikke er retvisende, f.eks. at der i forbindelse med pengeomveksling er opkrævet vekselgebyrer, der ikke figurerer i virksomhedens regnskaber, eller hvis fortjenesten for gennemførelse af transaktionerne er meget stor. Heller ikke i disse tilfælde vurderes der at være en særlig beskyttelsesinteresse i forhold til virksomhedens fortsatte drift. </w:t>
      </w:r>
    </w:p>
    <w:p w14:paraId="244925CE" w14:textId="77777777" w:rsidR="00A779DC" w:rsidRPr="00A779DC" w:rsidRDefault="00A779DC" w:rsidP="00A779DC">
      <w:pPr>
        <w:spacing w:line="360" w:lineRule="auto"/>
        <w:rPr>
          <w:rFonts w:ascii="Times New Roman" w:hAnsi="Times New Roman" w:cs="Times New Roman"/>
          <w:sz w:val="24"/>
          <w:szCs w:val="24"/>
        </w:rPr>
      </w:pPr>
    </w:p>
    <w:p w14:paraId="253C0D34"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fremgår af bemærkningerne, at uanset de ovenfor angivne retningslinjer for bødens fastsættelse, beror bødestraffen på domstolenes konkrete vurdering i det enkelte tilfælde af sagens omstændigheder, og det angivne bødeniveau vil således kunne fraviges i både op- og nedadgående retning, hvis der i den konkrete sag foreligger skærpende eller formildende omstændigheder, jf. herved de almindelige regler om straffens fastsættelse i straffelovens kapitel 10. </w:t>
      </w:r>
    </w:p>
    <w:p w14:paraId="0BD354AB" w14:textId="77777777" w:rsidR="00A779DC" w:rsidRPr="00A779DC" w:rsidRDefault="00A779DC" w:rsidP="00A779DC">
      <w:pPr>
        <w:spacing w:line="360" w:lineRule="auto"/>
        <w:rPr>
          <w:rFonts w:ascii="Times New Roman" w:hAnsi="Times New Roman" w:cs="Times New Roman"/>
          <w:sz w:val="24"/>
          <w:szCs w:val="24"/>
        </w:rPr>
      </w:pPr>
    </w:p>
    <w:p w14:paraId="4563D041"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I bemærkningerne er det også angivet, efter hvilke retningslinjer vurderingen af virksomhedens økonomiske størrelse skal foretages efter. </w:t>
      </w:r>
    </w:p>
    <w:p w14:paraId="213926EE" w14:textId="77777777" w:rsidR="00A779DC" w:rsidRPr="00A779DC" w:rsidRDefault="00A779DC" w:rsidP="00A779DC">
      <w:pPr>
        <w:spacing w:line="360" w:lineRule="auto"/>
        <w:rPr>
          <w:rFonts w:ascii="Times New Roman" w:hAnsi="Times New Roman" w:cs="Times New Roman"/>
          <w:sz w:val="24"/>
          <w:szCs w:val="24"/>
        </w:rPr>
      </w:pPr>
    </w:p>
    <w:p w14:paraId="28973FB8"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fremgår, at der lægges vægt på virksomhedens nettoomsætning på gerningstidspunktet. </w:t>
      </w:r>
    </w:p>
    <w:p w14:paraId="4D7445B8" w14:textId="77777777" w:rsidR="00A779DC" w:rsidRPr="00A779DC" w:rsidRDefault="00A779DC" w:rsidP="00A779DC">
      <w:pPr>
        <w:spacing w:line="360" w:lineRule="auto"/>
        <w:rPr>
          <w:rFonts w:ascii="Times New Roman" w:hAnsi="Times New Roman" w:cs="Times New Roman"/>
          <w:sz w:val="24"/>
          <w:szCs w:val="24"/>
        </w:rPr>
      </w:pPr>
    </w:p>
    <w:p w14:paraId="00A36F73"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For kreditinstitutter og andre finansielle virksomheder end forsikringsselskaber defineres nettoomsætningen som summen af nettorenteindtægter (indgående renteindtægter modregnet udgående renteudgifter) og netto gebyr- og provisionsindtægter (indgående gebyr- og provisionsudgifter modregnet udgående gebyr- og provisionsudgifter). For forsikringsselskaber defineres nettoomsætning som værdien af præmieindtægter og medlemsbidrag for egen regning (indgående medlemsbidrag og bruttopræmieindtægter modregnet for afgivne genforsikringspræmier samt erstatningsudgifter og pensionsydelser for egen regning). Nettoomsætningen skal opgøres på baggrund af årsregnskabet for det regnskabsår, hvor gerningen har fundet sted. Foreligger der endnu ikke et årsregnskab for dette regnskabsår, anvendes det seneste endelige årsregnskab i stedet. I tilfælde, hvor der er tale om en tilstandsforbrydelse, tages der ved bødeudmålingen udgangspunkt i den gennemsnitlige nettoomsætning i gerningsperioden. </w:t>
      </w:r>
    </w:p>
    <w:p w14:paraId="18F74CD2" w14:textId="77777777" w:rsidR="00A779DC" w:rsidRPr="00A779DC" w:rsidRDefault="00A779DC" w:rsidP="00A779DC">
      <w:pPr>
        <w:spacing w:line="360" w:lineRule="auto"/>
        <w:rPr>
          <w:rFonts w:ascii="Times New Roman" w:hAnsi="Times New Roman" w:cs="Times New Roman"/>
          <w:sz w:val="24"/>
          <w:szCs w:val="24"/>
        </w:rPr>
      </w:pPr>
    </w:p>
    <w:p w14:paraId="624AD70D"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fremgår endvidere, at for filialer af udenlandske virksomheder fastsættes omsætningen ud fra filialens omsætning. Dette forudsætter dog, at oplysninger om filialens nettoomsætning er umiddelbart tilgængelige for myndighederne, enten i kraft af virksomhedens offentlige regnskab eller en sædvanlig indberetning til Finanstilsynet eller evt. et tilsvarende tilsyn i virksomhedens hjemland eller anden offentlig myndighed. Derudover er det en forudsætning, at filialens omsætning er udtryk for filialens reelle aktivitet her i landet. Er disse forudsætninger ikke opfyldt, tages der udgangspunkt i hele den virksomheds nettoomsætning, som filialen er en del af. </w:t>
      </w:r>
    </w:p>
    <w:p w14:paraId="6C28ECFE" w14:textId="77777777" w:rsidR="00A779DC" w:rsidRPr="00A779DC" w:rsidRDefault="00A779DC" w:rsidP="00A779DC">
      <w:pPr>
        <w:spacing w:line="360" w:lineRule="auto"/>
        <w:rPr>
          <w:rFonts w:ascii="Times New Roman" w:hAnsi="Times New Roman" w:cs="Times New Roman"/>
          <w:sz w:val="24"/>
          <w:szCs w:val="24"/>
        </w:rPr>
      </w:pPr>
    </w:p>
    <w:p w14:paraId="7918B791"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For overtrædelser, der begås af udenlandske virksomheder, der her i landet udøver grænseoverskridende virksomhed, skal bøden udregnes ud fra hele den udenlandske virksomheds nettoomsætning inden for rammerne af bødeniveauerne i skemaet. </w:t>
      </w:r>
    </w:p>
    <w:p w14:paraId="44473A13" w14:textId="77777777" w:rsidR="00A779DC" w:rsidRPr="00A779DC" w:rsidRDefault="00A779DC" w:rsidP="00A779DC">
      <w:pPr>
        <w:spacing w:line="360" w:lineRule="auto"/>
        <w:rPr>
          <w:rFonts w:ascii="Times New Roman" w:hAnsi="Times New Roman" w:cs="Times New Roman"/>
          <w:sz w:val="24"/>
          <w:szCs w:val="24"/>
        </w:rPr>
      </w:pPr>
    </w:p>
    <w:p w14:paraId="7B8BC33D"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Nettoomsætningen for finansielle holdingvirksomheder eller forsikringsholdingvirksomheder opgøres som nettoomsætningen hos den af holdingvirksomhedens finansielle koncernvirksomheder, som har den største omsætning. </w:t>
      </w:r>
    </w:p>
    <w:p w14:paraId="3BCE0148" w14:textId="77777777" w:rsidR="00A779DC" w:rsidRPr="00A779DC" w:rsidRDefault="00A779DC" w:rsidP="00A779DC">
      <w:pPr>
        <w:spacing w:line="360" w:lineRule="auto"/>
        <w:rPr>
          <w:rFonts w:ascii="Times New Roman" w:hAnsi="Times New Roman" w:cs="Times New Roman"/>
          <w:sz w:val="24"/>
          <w:szCs w:val="24"/>
        </w:rPr>
      </w:pPr>
    </w:p>
    <w:p w14:paraId="69140663"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For øvrige virksomheder, dvs. de virksomheder, der er reguleret i hvidvaskloven, men som ikke er finansielle virksomheder, finansielle holdingselskaber eller forsikringsholdingselskaber, skal bøden ligeledes fastsættes ud fra disse virksomheders nettoomsætning. Fremgår posten nettoomsætning ikke af den enkelte type virksomheds regnskab, bør der på samme vis som ved ovennævnte beregning af nettoomsætningen for finansielle virksomheder tages udgangspunkt i de poster i virksomhedernes regnskab, der viser virksomhedens hovedindtægter og udgifter.</w:t>
      </w:r>
    </w:p>
    <w:p w14:paraId="4045FEFF" w14:textId="77777777" w:rsidR="00A779DC" w:rsidRPr="00A779DC" w:rsidRDefault="00A779DC" w:rsidP="00A779DC">
      <w:pPr>
        <w:spacing w:line="360" w:lineRule="auto"/>
        <w:rPr>
          <w:rFonts w:ascii="Times New Roman" w:hAnsi="Times New Roman" w:cs="Times New Roman"/>
          <w:sz w:val="24"/>
          <w:szCs w:val="24"/>
        </w:rPr>
      </w:pPr>
    </w:p>
    <w:p w14:paraId="58546037"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Endelig fremgår det af bemærkningerne, at hvis overtrædelsen begås af en virksomhed, der kun delvis er omfattet af hvidvasklovens § 1, skal bøden som udgangspunkt beregnes efter nettoomsætningen i den del af virksomheden, som er omfattet af hvidvaskloven.</w:t>
      </w:r>
    </w:p>
    <w:p w14:paraId="37FC072E" w14:textId="77777777" w:rsidR="00A779DC" w:rsidRPr="00A779DC" w:rsidRDefault="00A779DC" w:rsidP="00A779DC">
      <w:pPr>
        <w:spacing w:line="360" w:lineRule="auto"/>
        <w:rPr>
          <w:rFonts w:ascii="Times New Roman" w:hAnsi="Times New Roman" w:cs="Times New Roman"/>
          <w:sz w:val="24"/>
          <w:szCs w:val="24"/>
        </w:rPr>
      </w:pPr>
    </w:p>
    <w:p w14:paraId="5AAC4A73"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Der henvises for nærmere om de gældende regler til Folketingstidende 2018-19, tillæg A, L 47 som fremsat, side 46 ff. og side 111-114.</w:t>
      </w:r>
    </w:p>
    <w:p w14:paraId="1EB0F658" w14:textId="77777777" w:rsidR="00A779DC" w:rsidRPr="00A779DC" w:rsidRDefault="00A779DC" w:rsidP="00A779DC">
      <w:pPr>
        <w:spacing w:line="360" w:lineRule="auto"/>
        <w:rPr>
          <w:rFonts w:ascii="Times New Roman" w:hAnsi="Times New Roman" w:cs="Times New Roman"/>
          <w:sz w:val="24"/>
          <w:szCs w:val="24"/>
        </w:rPr>
      </w:pPr>
    </w:p>
    <w:p w14:paraId="05E75C46"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fremgår af hvidvasklovens § 78, stk. 4, at der kan pålægges selskaber m.v. (juridiske personer) strafansvar efter reglerne i straffelovens 5. kapitel. </w:t>
      </w:r>
    </w:p>
    <w:p w14:paraId="17CB95CA" w14:textId="77777777" w:rsidR="00A779DC" w:rsidRPr="00A779DC" w:rsidRDefault="00A779DC" w:rsidP="00A779DC">
      <w:pPr>
        <w:spacing w:line="360" w:lineRule="auto"/>
        <w:rPr>
          <w:rFonts w:ascii="Times New Roman" w:hAnsi="Times New Roman" w:cs="Times New Roman"/>
          <w:sz w:val="24"/>
          <w:szCs w:val="24"/>
        </w:rPr>
      </w:pPr>
    </w:p>
    <w:p w14:paraId="783E2E3C"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Af stk. 5 fremgår det, at forældelsesfristen for overtrædelse af lovens bestemmelser eller regler udstedt i medfør af loven er 5 år. Forældelsesfristen er dog 10 år ved overtrædelse af lovens §§ 6 og 6 a, § 7, stk. 1 og 2, § 10, § 11, stk. 1 og 2 og stk. 3, 1., 3. og 4. pkt., § 12, § 14, stk. 1, stk. 2, 2. pkt., stk. 3, stk. 4, 2. pkt., og stk. 5, § 15, § 17, stk. 1-4, § 18, stk. 1-6, §§ 19 og 20, § 22, stk. 2 og 3, § 24, stk. 1, 2. pkt., og stk. 2 og 3, § 25, stk. 1 og 2, § 26, stk. 1 og 3, stk. 4, 1. pkt., og stk. 6, 1. pkt., §§ 30, 31 og 31 b, § 32, 1. pkt., §§ 36 a og 43 og § 49, stk. 1 og 2.</w:t>
      </w:r>
    </w:p>
    <w:p w14:paraId="0480BB6C" w14:textId="77777777" w:rsidR="00A779DC" w:rsidRPr="00A779DC" w:rsidRDefault="00A779DC" w:rsidP="00A779DC">
      <w:pPr>
        <w:spacing w:line="360" w:lineRule="auto"/>
        <w:rPr>
          <w:rFonts w:ascii="Times New Roman" w:hAnsi="Times New Roman" w:cs="Times New Roman"/>
          <w:sz w:val="24"/>
          <w:szCs w:val="24"/>
        </w:rPr>
      </w:pPr>
    </w:p>
    <w:p w14:paraId="59A2C904"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Endelig fremgår det af § 78, stk. 6, at der i regler udstedt i medfør af loven kan fastsættes straf i form af bøde for overtrædelser af regler udstedt i medfør af loven. </w:t>
      </w:r>
    </w:p>
    <w:p w14:paraId="550693CA" w14:textId="77777777" w:rsidR="00A779DC" w:rsidRPr="00A779DC" w:rsidRDefault="00A779DC" w:rsidP="00A779DC">
      <w:pPr>
        <w:spacing w:line="360" w:lineRule="auto"/>
        <w:rPr>
          <w:rFonts w:ascii="Times New Roman" w:hAnsi="Times New Roman" w:cs="Times New Roman"/>
          <w:sz w:val="24"/>
          <w:szCs w:val="24"/>
        </w:rPr>
      </w:pPr>
    </w:p>
    <w:p w14:paraId="78609774"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følger af hvidvasklovens § 78 a, at Finanstilsynet under visse forudsætninger har hjemmel til at udstede administrative bødeforelæg. </w:t>
      </w:r>
    </w:p>
    <w:p w14:paraId="2C9F2CA3" w14:textId="77777777" w:rsidR="00A779DC" w:rsidRPr="00A779DC" w:rsidRDefault="00A779DC" w:rsidP="00A779DC">
      <w:pPr>
        <w:spacing w:line="360" w:lineRule="auto"/>
        <w:rPr>
          <w:rFonts w:ascii="Times New Roman" w:hAnsi="Times New Roman" w:cs="Times New Roman"/>
          <w:sz w:val="24"/>
          <w:szCs w:val="24"/>
        </w:rPr>
      </w:pPr>
    </w:p>
    <w:p w14:paraId="7180277A"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Af § 78 a, stk. 1, fremgår det, at skønnes en overtrædelse af § 7, stk. 1 eller 2, § 8, stk. 1-4 eller 6, § 9, stk. 1 eller 2, § 10, § 11, stk. 1 eller 2, eller stk. 3, 1., 3. eller 4. pkt., § 12, § 14, stk. 1, stk. 2, 2. pkt., stk. 3, stk. 4, 2. pkt., eller stk. 5, § 15, § 17, stk. 1 eller 2, § 18, stk. 1-6, § 19, § 20, § 22, stk. 2 eller 3, § 24, stk. 1, 2. pkt., stk. 2 eller 3, § 25, stk. 1 eller 2, § 26, stk. 1 eller 3, eller stk. 4, 1. pkt., og stk. 6, 1. pkt., §§ 30, 31, 40 eller 43 eller § 48, stk. 1 og 2, ikke at ville medføre højere straf end bøde, kan Finanstilsynet i et administrativt bødeforelæg tilkendegive, at sagen kan afgøres uden retssag, hvis den fysiske eller juridiske person, der har begået overtrædelsen, erklærer sig skyldig i overtrædelsen og erklærer sig rede til inden en nærmere angiven frist at betale en bøde som angivet i bødeforelægget, jf. dog stk. 2.</w:t>
      </w:r>
    </w:p>
    <w:p w14:paraId="5C777159" w14:textId="77777777" w:rsidR="00A779DC" w:rsidRPr="00A779DC" w:rsidRDefault="00A779DC" w:rsidP="00A779DC">
      <w:pPr>
        <w:spacing w:line="360" w:lineRule="auto"/>
        <w:rPr>
          <w:rFonts w:ascii="Times New Roman" w:hAnsi="Times New Roman" w:cs="Times New Roman"/>
          <w:sz w:val="24"/>
          <w:szCs w:val="24"/>
        </w:rPr>
      </w:pPr>
    </w:p>
    <w:p w14:paraId="6D445140"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Af § 78 a, stk. 2, fremgår det, at Finanstilsynet forud for udstedelsen af et administrativt bødeforelæg skal indhente samtykke fra National Enhed for Særlig Kriminalitet, hvis Finanstilsynet vurderer, at en overtrædelse giver anledning til en vis skønsmæssig vurdering, eller at udgangspunktet for bødeniveauet skal fraviges.</w:t>
      </w:r>
    </w:p>
    <w:p w14:paraId="70EDEFFF" w14:textId="77777777" w:rsidR="00A779DC" w:rsidRPr="00A779DC" w:rsidRDefault="00A779DC" w:rsidP="00A779DC">
      <w:pPr>
        <w:spacing w:line="360" w:lineRule="auto"/>
        <w:rPr>
          <w:rFonts w:ascii="Times New Roman" w:hAnsi="Times New Roman" w:cs="Times New Roman"/>
          <w:sz w:val="24"/>
          <w:szCs w:val="24"/>
        </w:rPr>
      </w:pPr>
    </w:p>
    <w:p w14:paraId="731CEB44"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Af § 78 a, stk. 3, fremgår det, at retsplejelovens regler om krav til indholdet af et anklageskrift og om, at en sigtet ikke er forpligtet til at udtale sig, finder tilsvarende anvendelse på bødeforelæg efter stk. 1.</w:t>
      </w:r>
    </w:p>
    <w:p w14:paraId="377A839E" w14:textId="77777777" w:rsidR="00A779DC" w:rsidRPr="00A779DC" w:rsidRDefault="00A779DC" w:rsidP="00A779DC">
      <w:pPr>
        <w:spacing w:line="360" w:lineRule="auto"/>
        <w:rPr>
          <w:rFonts w:ascii="Times New Roman" w:hAnsi="Times New Roman" w:cs="Times New Roman"/>
          <w:sz w:val="24"/>
          <w:szCs w:val="24"/>
        </w:rPr>
      </w:pPr>
    </w:p>
    <w:p w14:paraId="72181E3C"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Af § 78, stk. 4, 1. pkt., fremgår det, at vedtages et bødeforelæg, bortfalder videre forfølgning. Af 2. pkt. følger, at vedtagelsen har samme virkning som en dom.</w:t>
      </w:r>
    </w:p>
    <w:p w14:paraId="224CDBD6" w14:textId="77777777" w:rsidR="00A779DC" w:rsidRPr="00A779DC" w:rsidRDefault="00A779DC" w:rsidP="00A779DC">
      <w:pPr>
        <w:spacing w:line="360" w:lineRule="auto"/>
        <w:rPr>
          <w:rFonts w:ascii="Times New Roman" w:hAnsi="Times New Roman" w:cs="Times New Roman"/>
          <w:sz w:val="24"/>
          <w:szCs w:val="24"/>
        </w:rPr>
      </w:pPr>
    </w:p>
    <w:p w14:paraId="799A53EA"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Bestemmelsen blev i sin helhed indsat ved lov nr. 1563 af 27. december 2019 om ændring af hvidvaskloven, lov om finansiel virksomhed og forskellige andre love (Styrkelse af indsatsen mod finansiel kriminalitet og gennemførelse af 4. og 5. hvidvaskdirektiv). Bestemmelsen er siden ændret ved lov nr. 2601 af 28. december 2021 og lov nr. 480 af 12. maj 2023. Ændringerne er af redaktionel karakter. </w:t>
      </w:r>
    </w:p>
    <w:p w14:paraId="30923A89" w14:textId="77777777" w:rsidR="00A779DC" w:rsidRPr="00A779DC" w:rsidRDefault="00A779DC" w:rsidP="00A779DC">
      <w:pPr>
        <w:spacing w:line="360" w:lineRule="auto"/>
        <w:rPr>
          <w:rFonts w:ascii="Times New Roman" w:hAnsi="Times New Roman" w:cs="Times New Roman"/>
          <w:sz w:val="24"/>
          <w:szCs w:val="24"/>
        </w:rPr>
      </w:pPr>
    </w:p>
    <w:p w14:paraId="74DC5D6D"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Af bemærkningerne til lovforslaget, jf. Folketingstidende 2019-20, tillæg A, L 58 som fremsat, side 16 ff., fremgår, at bestemmelsen blev indsat som følge af den politiske aftale af 27. marts 2019 om styrkelse af indsatsen mod finansiel kriminalitet, hvorefter det blev besluttet, at Finanstilsynet skal have en ny og bred adgang til at udstede administrative bødeforelæg i forhold til overtrædelser af hvidvaskloven, for at sikre at Finanstilsynet kan håndhæve sager om overtrædelse af hvidvaskreguleringen mere effektivt. </w:t>
      </w:r>
    </w:p>
    <w:p w14:paraId="44F91FA0" w14:textId="77777777" w:rsidR="00A779DC" w:rsidRPr="00A779DC" w:rsidRDefault="00A779DC" w:rsidP="00A779DC">
      <w:pPr>
        <w:spacing w:line="360" w:lineRule="auto"/>
        <w:rPr>
          <w:rFonts w:ascii="Times New Roman" w:hAnsi="Times New Roman" w:cs="Times New Roman"/>
          <w:sz w:val="24"/>
          <w:szCs w:val="24"/>
        </w:rPr>
      </w:pPr>
    </w:p>
    <w:p w14:paraId="243F0EE0"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Af bemærkningerne fremgår det, at det som udgangspunkt er en betingelse for fastsættelse af bestemmelser om udstedelse af administrative bødeforelæg, at overtrædelserne generelt er ensartede, ukomplicerede og uden bevismæssige tvivlsspørgsmål. Sanktionsniveauet bør desuden ligge fast. Overtrædelserne bør således generelt være klare og umiddelbart konstaterbare, og sagens afgørelse, herunder fastsættelsen af bødens størrelse, bør være uden skønsmæssige elementer af betydning. </w:t>
      </w:r>
    </w:p>
    <w:p w14:paraId="222A615F" w14:textId="77777777" w:rsidR="00A779DC" w:rsidRPr="00A779DC" w:rsidRDefault="00A779DC" w:rsidP="00A779DC">
      <w:pPr>
        <w:spacing w:line="360" w:lineRule="auto"/>
        <w:rPr>
          <w:rFonts w:ascii="Times New Roman" w:hAnsi="Times New Roman" w:cs="Times New Roman"/>
          <w:sz w:val="24"/>
          <w:szCs w:val="24"/>
        </w:rPr>
      </w:pPr>
    </w:p>
    <w:p w14:paraId="4EE6439D"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Det er en betingelse for, at Finanstilsynet kan udstede et administrativt bødeforelæg, at tilståelsens rigtighed er bestyrket gennem oplysningerne i sagen og de i øvrigt foreliggende oplysninger, og at det derfor ikke vil være betænkeligt at afgøre sagen uden egentlig straffesag. Dette svarer til principperne for tilståelsessager ved domstolene, jf. retsplejelovens § 831, stk. 1, nr. 1 og 3. Det vil eksempelvis betyde, at Finanstilsynet ikke vil kunne udstede et administrativt bødeforelæg i en sag, hvor oplysningerne i sagen indikerer, at den pågældende ikke har begået en lovovertrædelse, uanset om den pågældende måtte erkende sig skyldig heri.</w:t>
      </w:r>
    </w:p>
    <w:p w14:paraId="72BCD086" w14:textId="77777777" w:rsidR="00A779DC" w:rsidRPr="00A779DC" w:rsidRDefault="00A779DC" w:rsidP="00A779DC">
      <w:pPr>
        <w:spacing w:line="360" w:lineRule="auto"/>
        <w:rPr>
          <w:rFonts w:ascii="Times New Roman" w:hAnsi="Times New Roman" w:cs="Times New Roman"/>
          <w:sz w:val="24"/>
          <w:szCs w:val="24"/>
        </w:rPr>
      </w:pPr>
    </w:p>
    <w:p w14:paraId="5098937F"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Det er endvidere en forudsætning for Finanstilsynets umiddelbare adgang til at udstede et administrativt bødeforelæg, at den pågældende overtrædelse er klar, selvom der måtte være tale om en overtrædelse af en mere skønspræget bestemmelse.</w:t>
      </w:r>
    </w:p>
    <w:p w14:paraId="085F61DB" w14:textId="77777777" w:rsidR="00A779DC" w:rsidRPr="00A779DC" w:rsidRDefault="00A779DC" w:rsidP="00A779DC">
      <w:pPr>
        <w:spacing w:line="360" w:lineRule="auto"/>
        <w:rPr>
          <w:rFonts w:ascii="Times New Roman" w:hAnsi="Times New Roman" w:cs="Times New Roman"/>
          <w:sz w:val="24"/>
          <w:szCs w:val="24"/>
        </w:rPr>
      </w:pPr>
    </w:p>
    <w:p w14:paraId="4E39C58E"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Af bemærkningerne følger endvidere, at i tilfælde hvor Finanstilsynet vurderer, at en overtrædelse ikke er klar, men giver anledning til en vis skønsmæssig vurdering, uden at den dog giver anledning til væsentlig bevismæssig tvivl, bør det efter Erhvervsministeriets vurdering være en yderligere betingelse for Finanstilsynets adgang til at udstede et administrativt bødeforelæg, at tilsynet indhenter et forudgående samtykke hertil fra Statsadvokaten for Særlig Økonomisk og International Kriminalitet (SØIK) (nu NSK).  </w:t>
      </w:r>
    </w:p>
    <w:p w14:paraId="195CBEDE" w14:textId="77777777" w:rsidR="00A779DC" w:rsidRPr="00A779DC" w:rsidRDefault="00A779DC" w:rsidP="00A779DC">
      <w:pPr>
        <w:spacing w:line="360" w:lineRule="auto"/>
        <w:rPr>
          <w:rFonts w:ascii="Times New Roman" w:hAnsi="Times New Roman" w:cs="Times New Roman"/>
          <w:sz w:val="24"/>
          <w:szCs w:val="24"/>
        </w:rPr>
      </w:pPr>
    </w:p>
    <w:p w14:paraId="1612FBCE"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Af bemærkningerne følger, at det forudsættes, at Finanstilsynet vil udvise en vis forsigtighed i denne vurdering og konsultere SØIK i grænsetilfælde, forinden der udstedes et administrativt bødeforelæg. </w:t>
      </w:r>
    </w:p>
    <w:p w14:paraId="7152C74E" w14:textId="77777777" w:rsidR="00A779DC" w:rsidRPr="00A779DC" w:rsidRDefault="00A779DC" w:rsidP="00A779DC">
      <w:pPr>
        <w:spacing w:line="360" w:lineRule="auto"/>
        <w:rPr>
          <w:rFonts w:ascii="Times New Roman" w:hAnsi="Times New Roman" w:cs="Times New Roman"/>
          <w:sz w:val="24"/>
          <w:szCs w:val="24"/>
        </w:rPr>
      </w:pPr>
    </w:p>
    <w:p w14:paraId="0FB4E164"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I den forbindelse forudsættes SØIK at påse følgende:</w:t>
      </w:r>
    </w:p>
    <w:p w14:paraId="29377C17"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Om lovovertrædelsen er egnet til at blive afgjort med et administrativt bødeforelæg, herunder om kriterierne i den foreslåede § 78 a, stk. 1, er opfyldt.</w:t>
      </w:r>
    </w:p>
    <w:p w14:paraId="50A05220"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Om indholdet af bødeforelægget opfylder kriterierne i</w:t>
      </w:r>
    </w:p>
    <w:p w14:paraId="317B7250"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den foreslåede § 78 a, stk. 2. </w:t>
      </w:r>
    </w:p>
    <w:p w14:paraId="67DD34FC"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Om det er hensigtsmæssigt at afslutte sagen med et administrativt</w:t>
      </w:r>
    </w:p>
    <w:p w14:paraId="2C46A427"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bødeforelæg, eller om dette vil have indflydelse på (andre) verserende straffesager mod de(n) sigtede.</w:t>
      </w:r>
    </w:p>
    <w:p w14:paraId="2D1448A2"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 Om der er valgt det rette bødeberegningsprincip, herunder i de situationer, hvor det er muligt at vælge mellem flere forskellige bødeberegningsprincipper. </w:t>
      </w:r>
    </w:p>
    <w:p w14:paraId="7E3327DE"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 Om der er valgt det rette bødeniveau, i situationer hvor der foreligger konkrete skærpende eller formildende omstændigheder. </w:t>
      </w:r>
    </w:p>
    <w:p w14:paraId="0B8D789F" w14:textId="77777777" w:rsidR="00A779DC" w:rsidRPr="00A779DC" w:rsidRDefault="00A779DC" w:rsidP="00A779DC">
      <w:pPr>
        <w:spacing w:line="360" w:lineRule="auto"/>
        <w:rPr>
          <w:rFonts w:ascii="Times New Roman" w:hAnsi="Times New Roman" w:cs="Times New Roman"/>
          <w:sz w:val="24"/>
          <w:szCs w:val="24"/>
        </w:rPr>
      </w:pPr>
    </w:p>
    <w:p w14:paraId="4D5920BC"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Er en eller flere betingelser ikke opfyldt, og vurderer SØIK således, at det vil være retssikkerhedsmæssigt betænkeligt, at Finanstilsynet udsteder et administrativt bødeforelæg, kan SØIK nægte at give sit samtykke hertil.</w:t>
      </w:r>
    </w:p>
    <w:p w14:paraId="6F49B63E" w14:textId="77777777" w:rsidR="00A779DC" w:rsidRPr="00A779DC" w:rsidRDefault="00A779DC" w:rsidP="00A779DC">
      <w:pPr>
        <w:spacing w:line="360" w:lineRule="auto"/>
        <w:rPr>
          <w:rFonts w:ascii="Times New Roman" w:hAnsi="Times New Roman" w:cs="Times New Roman"/>
          <w:sz w:val="24"/>
          <w:szCs w:val="24"/>
        </w:rPr>
      </w:pPr>
    </w:p>
    <w:p w14:paraId="79E16294"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Det fremgår, at SØIK skal svare Finanstilsynet så hurtigt, som sagens karakter og omfang tilsiger det. Dette vil sædvanligvis være inden for 10 dage. Det forudsættes i den forbindelse, at Finanstilsynet i forbindelse med forelæggelser af sager for SØIK i alle tilfælde udarbejder en indstilling om sagens afgørelse vedlagt en detaljeret sagsfremstilling med henvisning til relevante bevisligheder.</w:t>
      </w:r>
    </w:p>
    <w:p w14:paraId="568FC3EC" w14:textId="77777777" w:rsidR="00A779DC" w:rsidRPr="00A779DC" w:rsidRDefault="00A779DC" w:rsidP="00A779DC">
      <w:pPr>
        <w:spacing w:line="360" w:lineRule="auto"/>
        <w:rPr>
          <w:rFonts w:ascii="Times New Roman" w:hAnsi="Times New Roman" w:cs="Times New Roman"/>
          <w:sz w:val="24"/>
          <w:szCs w:val="24"/>
        </w:rPr>
      </w:pPr>
    </w:p>
    <w:p w14:paraId="645C0DD2"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fremgår endvidere, at i tilfælde, hvor en overtrædelse ikke er klar, men hvor Finanstilsynet vurderer, at sagen giver anledning til væsentlig bevismæssig tvivl, skal sagen overgå fra tilsynet til politiet og anklagemyndigheden. </w:t>
      </w:r>
    </w:p>
    <w:p w14:paraId="3A8B305E" w14:textId="77777777" w:rsidR="00A779DC" w:rsidRPr="00A779DC" w:rsidRDefault="00A779DC" w:rsidP="00A779DC">
      <w:pPr>
        <w:spacing w:line="360" w:lineRule="auto"/>
        <w:rPr>
          <w:rFonts w:ascii="Times New Roman" w:hAnsi="Times New Roman" w:cs="Times New Roman"/>
          <w:sz w:val="24"/>
          <w:szCs w:val="24"/>
        </w:rPr>
      </w:pPr>
    </w:p>
    <w:p w14:paraId="08CB6264"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Dette omfatter sager, hvor Finanstilsynet vurderer, at en fysisk eller juridisk person har handlet på en lovstridig måde, som kræver egentlig efterforskning og dermed yderligere bevisindsamling, end de beviser, som Finanstilsynet har indhentet på det foretagne tilsyn. Tilsvarende gælder i sager, hvor der er tvivl om den konkrete bødefastsættelse. I tilfælde, hvor det f.eks. ikke er muligt at foretage en bødeberegning efter det bødeberegningsprincip, der som udgangspunkt gælder for den overtrådte bestemmelse, skal sagen således overgå til politiet og anklagemyndigheden. sager, hvor det vurderes at der kan være grundlag for både at udstede en bøde til den juridiske person og idømme fængselsstraf for fysiske personer, skal hele sagen endvidere overgå til politiet og anklagemyndigheden med henblik på en samlet behandling. Det samme gælder i sager, hvor det vurderes, at der kan være sket andre strafbare overtrædelser af bestemmelser i hvidvaskloven, som ikke er omfattet af den foreslåede bestemmelse, og sager, hvor der som følge af sagens grovhed er grundlag for at antage, at der er sket en overtrædelse af straffeloven.</w:t>
      </w:r>
    </w:p>
    <w:p w14:paraId="7D8A3A71" w14:textId="77777777" w:rsidR="00A779DC" w:rsidRPr="00A779DC" w:rsidRDefault="00A779DC" w:rsidP="00A779DC">
      <w:pPr>
        <w:spacing w:line="360" w:lineRule="auto"/>
        <w:rPr>
          <w:rFonts w:ascii="Times New Roman" w:hAnsi="Times New Roman" w:cs="Times New Roman"/>
          <w:sz w:val="24"/>
          <w:szCs w:val="24"/>
        </w:rPr>
      </w:pPr>
    </w:p>
    <w:p w14:paraId="3AF0F005"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Det bemærkes, at Finanstilsynet i forbindelse med sagens oplysning løbende vil skulle vurdere, om sagen bør overgives til politiet eller anklagemyndigheden bl.a. med henblik på at undgå, at sikringen af beviser til brug for sagen eller andre sager vanskeliggøres. </w:t>
      </w:r>
    </w:p>
    <w:p w14:paraId="4834CA1B" w14:textId="77777777" w:rsidR="00A779DC" w:rsidRPr="00A779DC" w:rsidRDefault="00A779DC" w:rsidP="00A779DC">
      <w:pPr>
        <w:spacing w:line="360" w:lineRule="auto"/>
        <w:rPr>
          <w:rFonts w:ascii="Times New Roman" w:hAnsi="Times New Roman" w:cs="Times New Roman"/>
          <w:sz w:val="24"/>
          <w:szCs w:val="24"/>
        </w:rPr>
      </w:pPr>
    </w:p>
    <w:p w14:paraId="2C3A42EE"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Det bemærkes i øvrigt, at der ikke med den foreslåede bestemmelse er tilsigtet ændringer i politiets eller anklagemyndighedens kompetence til at rejse sigtelser eller tiltaler i sager om overtrædelse af hvidvaskloven. Politiet og anklagemyndigheden kan således fortsat i alle sager egenhændigt beslutte, at der indledes en straffesag. Det vil ligeledes fortsat være muligt for Finanstilsynet at foretage politianmeldelse af mulige overtrædelser af hvidvaskloven, hvis det ikke er muligt at udstede et administrativt bødeforelæg. Det forudsættes, at Finanstilsynet som det klare udgangspunkt vælger at udstede administrative bødeforelæg, hvis betingelserne herfor er opfyldt, i stedet for at foretage politianmeldelse til SØIK.</w:t>
      </w:r>
    </w:p>
    <w:p w14:paraId="52266520" w14:textId="77777777" w:rsidR="00A779DC" w:rsidRPr="00A779DC" w:rsidRDefault="00A779DC" w:rsidP="00A779DC">
      <w:pPr>
        <w:spacing w:line="360" w:lineRule="auto"/>
        <w:rPr>
          <w:rFonts w:ascii="Times New Roman" w:hAnsi="Times New Roman" w:cs="Times New Roman"/>
          <w:sz w:val="24"/>
          <w:szCs w:val="24"/>
        </w:rPr>
      </w:pPr>
    </w:p>
    <w:p w14:paraId="26024D1A"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 xml:space="preserve">Om bødeudmåling fremgår det af bemærkningerne, at retningslinjerne for udmåling af bøder for overtrædelse af hvidvaskloven er fastsat forarbejderne til lov nr. 1535 af 18. december 2018 om ændring af hvidvaskloven (Skærpelse af hvidvaskreglerne) som gennemgået ovenfor. </w:t>
      </w:r>
    </w:p>
    <w:p w14:paraId="41549511" w14:textId="77777777" w:rsidR="00A779DC" w:rsidRPr="00A779DC" w:rsidRDefault="00A779DC" w:rsidP="00A779DC">
      <w:pPr>
        <w:spacing w:line="360" w:lineRule="auto"/>
        <w:rPr>
          <w:rFonts w:ascii="Times New Roman" w:hAnsi="Times New Roman" w:cs="Times New Roman"/>
          <w:sz w:val="24"/>
          <w:szCs w:val="24"/>
        </w:rPr>
      </w:pPr>
    </w:p>
    <w:p w14:paraId="64E796F9"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Der henvises for nærmere om de gældende regler til Folketingstidende 2019-20, tillæg A, L 58 som fremsat, side 16 ff. og side 106-121.</w:t>
      </w:r>
    </w:p>
    <w:p w14:paraId="2397BA95" w14:textId="77777777" w:rsidR="00A779DC" w:rsidRPr="00A779DC" w:rsidRDefault="00A779DC" w:rsidP="00A779DC">
      <w:pPr>
        <w:spacing w:line="360" w:lineRule="auto"/>
        <w:rPr>
          <w:rFonts w:ascii="Times New Roman" w:hAnsi="Times New Roman" w:cs="Times New Roman"/>
          <w:sz w:val="24"/>
          <w:szCs w:val="24"/>
        </w:rPr>
      </w:pPr>
    </w:p>
    <w:p w14:paraId="0EDD9DBB" w14:textId="77777777" w:rsidR="00A779DC" w:rsidRPr="00A779DC" w:rsidRDefault="00A779DC" w:rsidP="00A779DC">
      <w:pPr>
        <w:spacing w:line="360" w:lineRule="auto"/>
        <w:rPr>
          <w:rFonts w:ascii="Times New Roman" w:hAnsi="Times New Roman" w:cs="Times New Roman"/>
          <w:sz w:val="24"/>
          <w:szCs w:val="24"/>
        </w:rPr>
      </w:pPr>
      <w:r w:rsidRPr="00A779DC">
        <w:rPr>
          <w:rFonts w:ascii="Times New Roman" w:hAnsi="Times New Roman" w:cs="Times New Roman"/>
          <w:sz w:val="24"/>
          <w:szCs w:val="24"/>
        </w:rPr>
        <w:t>Endelig fremgår det af hvidvasklovens § 79, at med bøde straffes en virksomhed eller en person, der ikke efterkommer et påbud, som er givet i medfør af §§ 51-51 b, § 54, stk. 1, eller §§ 60 eller 66. Med bøde straffes endvidere den, som ikke efterkommer et påbud, der er givet i medfør af § 51 c, stk. 1, 2. pkt., og stk. 2, 3. pkt.</w:t>
      </w:r>
    </w:p>
    <w:p w14:paraId="66F8B9DE" w14:textId="77777777" w:rsidR="00A779DC" w:rsidRPr="009552A0" w:rsidRDefault="00A779DC" w:rsidP="00A779DC"/>
    <w:p w14:paraId="74F86DF1" w14:textId="77777777" w:rsidR="00AA7E42" w:rsidRPr="00796736" w:rsidRDefault="00AA7E42" w:rsidP="00A802A5">
      <w:pPr>
        <w:spacing w:line="360" w:lineRule="auto"/>
        <w:rPr>
          <w:rFonts w:ascii="Times New Roman" w:hAnsi="Times New Roman" w:cs="Times New Roman"/>
          <w:sz w:val="24"/>
          <w:szCs w:val="24"/>
        </w:rPr>
      </w:pPr>
    </w:p>
    <w:p w14:paraId="7224C038" w14:textId="40F89B5E" w:rsidR="00DA710C" w:rsidRPr="00796736" w:rsidRDefault="00967618" w:rsidP="00A802A5">
      <w:pPr>
        <w:pStyle w:val="Overskrift4"/>
        <w:rPr>
          <w:rFonts w:ascii="Times New Roman" w:hAnsi="Times New Roman" w:cs="Times New Roman"/>
          <w:sz w:val="24"/>
          <w:szCs w:val="24"/>
        </w:rPr>
      </w:pPr>
      <w:bookmarkStart w:id="1538" w:name="_Ref242964888"/>
      <w:r w:rsidRPr="00796736">
        <w:rPr>
          <w:rFonts w:ascii="Times New Roman" w:hAnsi="Times New Roman" w:cs="Times New Roman"/>
          <w:sz w:val="24"/>
          <w:szCs w:val="24"/>
        </w:rPr>
        <w:t>6. hvidvaskdirektiv</w:t>
      </w:r>
      <w:bookmarkEnd w:id="1538"/>
    </w:p>
    <w:p w14:paraId="0712EFA6"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Hvidvaskdirektivets artikel 53 indeholder almindelige bestemmelser om bøder og administrative forskrifter. </w:t>
      </w:r>
    </w:p>
    <w:p w14:paraId="7C8059E4" w14:textId="77777777" w:rsidR="00E72E7B" w:rsidRPr="00882828" w:rsidRDefault="00E72E7B" w:rsidP="00E72E7B">
      <w:pPr>
        <w:spacing w:line="360" w:lineRule="auto"/>
        <w:rPr>
          <w:rFonts w:ascii="Times New Roman" w:hAnsi="Times New Roman" w:cs="Times New Roman"/>
          <w:sz w:val="24"/>
          <w:szCs w:val="24"/>
        </w:rPr>
      </w:pPr>
    </w:p>
    <w:p w14:paraId="63056E92"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Af artikel 53, stk. 2, følger det, at uden at dette berører medlemsstaternes ret til at fastsætte og pålægge strafferetlige sanktioner, fastsætter medlemsstaterne regler for bøder og administrative foranstaltninger og sikrer, at tilsynsorganerne kan pålægge sådanne bøder og anvende administrative foranstaltninger i forbindelse med overtrædelser af hvidvaskforordningen og forordning (EU) 2023/1113, og sikrer, at de håndhæves. Enhver bøde, som pålægges, eller foranstaltning, som anvendes, i henhold til denne afdeling, skal være effektiv, stå i rimeligt forhold til overtrædelsen og have afskrækkende virkning. </w:t>
      </w:r>
    </w:p>
    <w:p w14:paraId="626FC2DC" w14:textId="77777777" w:rsidR="00E72E7B" w:rsidRPr="00882828" w:rsidRDefault="00E72E7B" w:rsidP="00E72E7B">
      <w:pPr>
        <w:spacing w:line="360" w:lineRule="auto"/>
        <w:rPr>
          <w:rFonts w:ascii="Times New Roman" w:hAnsi="Times New Roman" w:cs="Times New Roman"/>
          <w:sz w:val="24"/>
          <w:szCs w:val="24"/>
        </w:rPr>
      </w:pPr>
    </w:p>
    <w:p w14:paraId="74935A5E"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følger af præambelbetragtning nr. 101, at vigtigheden af at bekæmpe hvidvask af penge og finansiering af terrorisme, bør føre til, at medlemsstaterne i deres nationale ret fastsætte bøder og administrative foranstaltninger, der er effektive, står i rimeligt forhold til overtrædelsen og har afskrækkende virkning, for manglende efterlevelse af hvidvaskforordningen. Medlemsstaterne bør give de nationale tilsynsorganer beføjelse til at anvende sådanne administrative foranstaltninger overfor forpligtede enheder for at afhjælpe situationen i tilfælde af overtrædelser og, hvis overtrædelsen berettiger det, pålægge bøder. Afhængigt af de organisatoriske systemer, der findes i medlemsstaterne, kunne sådanne foranstaltninger og sanktioner også anvendes i et samarbejde mellem tilsynsorganer og andre myndigheder, ved uddelegering fra tilsynsorganerne til andre myndigheder eller ved anmodning fra tilsynsorganerne til judicielle myndigheder. Bøderne og de administrative foranstaltninger bør være så brede, at medlemsstaterne og tilsynsorganerne kan tage højde for de forskelle, der er mellem forpligtede enheder, navnlig mellem kreditinstitutter og finansieringsinstitutter og andre forpligtede enheder, for så vidt angår deres størrelse og karakteristika samt forretningsaktiviteternes omfang.</w:t>
      </w:r>
    </w:p>
    <w:p w14:paraId="53FED04B" w14:textId="77777777" w:rsidR="00E72E7B" w:rsidRPr="00882828" w:rsidRDefault="00E72E7B" w:rsidP="00E72E7B">
      <w:pPr>
        <w:spacing w:line="360" w:lineRule="auto"/>
        <w:rPr>
          <w:rFonts w:ascii="Times New Roman" w:hAnsi="Times New Roman" w:cs="Times New Roman"/>
          <w:sz w:val="24"/>
          <w:szCs w:val="24"/>
        </w:rPr>
      </w:pPr>
    </w:p>
    <w:p w14:paraId="7189A8BB"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fremgår af artikel 53, stk. 3, at hvis en medlemsstats retssystem ikke giver mulighed for at pålægge administrative sanktioner, kan artikel 53, uanset stk. 2, anvendes på en sådan måde, at tilsynsorganet tager initiativ til bøden, som så pålægges af en judiciel myndighed, idet det sikres, at retsmidlerne er effektive, og at deres virkning svarer til virkningen af bøder pålagt af tilsynsorganer. Bøderne skal under alle omstændigheder være effektive, stå i rimeligt forhold til overtrædelsen og have afskrækkende virkning.</w:t>
      </w:r>
    </w:p>
    <w:p w14:paraId="491B05D2" w14:textId="77777777" w:rsidR="00E72E7B" w:rsidRPr="00882828" w:rsidRDefault="00E72E7B" w:rsidP="00E72E7B">
      <w:pPr>
        <w:spacing w:line="360" w:lineRule="auto"/>
        <w:rPr>
          <w:rFonts w:ascii="Times New Roman" w:hAnsi="Times New Roman" w:cs="Times New Roman"/>
          <w:sz w:val="24"/>
          <w:szCs w:val="24"/>
        </w:rPr>
      </w:pPr>
    </w:p>
    <w:p w14:paraId="2CBB14BE"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fremgår af præambelbetragtning nr. 107, at hvis medlemsstatens retssystem ikke giver mulighed for at pålægge bøder i henhold til dette direktiv ad administrativ vej, kan reglerne om bøder anvendes på en sådan måde, at sanktionen iværksættes af tilsynsorganet og pålægges af judicielle myndigheder. Det er derfor nødvendigt, at disse medlemsstater sikrer, at virkningen af de anvendte regler og bøder svarer til virkningen af de bøder, som tilsynsorganerne pålægger. Judicielle myndigheder bør, når de pålægger sådanne bøder, tage hensyn til anbefalingen fra det tilsynsorgan, der har taget initiativ til sanktionen. De pålagte bøder bør være effektive, stå i rimeligt forhold til overtrædelsen og have afskrækkende virkning.</w:t>
      </w:r>
    </w:p>
    <w:p w14:paraId="2017937E" w14:textId="77777777" w:rsidR="00E72E7B" w:rsidRPr="00882828" w:rsidRDefault="00E72E7B" w:rsidP="00E72E7B">
      <w:pPr>
        <w:spacing w:line="360" w:lineRule="auto"/>
        <w:rPr>
          <w:rFonts w:ascii="Times New Roman" w:hAnsi="Times New Roman" w:cs="Times New Roman"/>
          <w:sz w:val="24"/>
          <w:szCs w:val="24"/>
        </w:rPr>
      </w:pPr>
    </w:p>
    <w:p w14:paraId="438213C7"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Bestemmelserne i stk. 2 og 3 træder med visse ændringer i stedet for 4. og 5. hvidvaskdirektivs artikel 58, stk. 2. Det fremgår således eksplicit, at foranstaltninger og bøder, skal være effektive, stå i rimeligt forhold til overtrædelsen og have afskrækkende virkning, ligesom der i stk. 3 nu er taget højde for retssystemer, som ikke giver mulighed for at pålægge administrative bøder. Derudover er reglen i 4. og 5. hvidvaskdirektivs artikel 58, stk. 2, 3. afsnit om, at kompetente myndigheder, såfremt de identificerer overtrædelser, der er omfattet af strafferetlige sanktioner, underretter de retshåndhævende myndigheder rettidigt, nu flyttet til 6. hvidvaskdirektivs artikel 53, stk. 4, 2. afsnit. </w:t>
      </w:r>
    </w:p>
    <w:p w14:paraId="703D8C50" w14:textId="77777777" w:rsidR="00E72E7B" w:rsidRPr="00882828" w:rsidRDefault="00E72E7B" w:rsidP="00E72E7B">
      <w:pPr>
        <w:spacing w:line="360" w:lineRule="auto"/>
        <w:rPr>
          <w:rFonts w:ascii="Times New Roman" w:hAnsi="Times New Roman" w:cs="Times New Roman"/>
          <w:sz w:val="24"/>
          <w:szCs w:val="24"/>
        </w:rPr>
      </w:pPr>
    </w:p>
    <w:p w14:paraId="043CBCCC"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Af artikel 53, stk. 10, fremgår det, at AMLA senest den 10. juli 2026 udarbejder et udkast til reguleringsmæssige tekniske standarder og forelægger dem for Kommissionen med henblik på vedtagelse. </w:t>
      </w:r>
    </w:p>
    <w:p w14:paraId="29238898" w14:textId="77777777" w:rsidR="00E72E7B" w:rsidRPr="00882828" w:rsidRDefault="00E72E7B" w:rsidP="00E72E7B">
      <w:pPr>
        <w:spacing w:line="360" w:lineRule="auto"/>
        <w:rPr>
          <w:rFonts w:ascii="Times New Roman" w:hAnsi="Times New Roman" w:cs="Times New Roman"/>
          <w:sz w:val="24"/>
          <w:szCs w:val="24"/>
        </w:rPr>
      </w:pPr>
    </w:p>
    <w:p w14:paraId="533C08AF"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Disse udkast til reguleringsmæssige tekniske standarder fastsætter indikatorer til klassificering af niveauet af overtrædelsens grovhed (litra a), kriterier, der skal tages i betragtning, når bødeniveauet fastsættes, eller når der anvendes administrative foranstaltninger i henhold til denne afdeling (litra b) og en metode til pålæg af tvangsbøder i henhold til artikel 57, herunder hyppigheden heraf (litra c).</w:t>
      </w:r>
    </w:p>
    <w:p w14:paraId="4125F6C5" w14:textId="77777777" w:rsidR="00E72E7B" w:rsidRPr="00882828" w:rsidRDefault="00E72E7B" w:rsidP="00E72E7B">
      <w:pPr>
        <w:spacing w:line="360" w:lineRule="auto"/>
        <w:rPr>
          <w:rFonts w:ascii="Times New Roman" w:hAnsi="Times New Roman" w:cs="Times New Roman"/>
          <w:sz w:val="24"/>
          <w:szCs w:val="24"/>
        </w:rPr>
      </w:pPr>
    </w:p>
    <w:p w14:paraId="6878AB32"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følger videre, at Kommissionen tillægges beføjelser til at supplere direktivet ved at vedtage de reguleringsmæssige tekniske standarder, der er omhandlet i 1. afsnit, i overensstemmelse med artikel 49-52 i AMLA-forordningen. </w:t>
      </w:r>
    </w:p>
    <w:p w14:paraId="784C8FE0" w14:textId="77777777" w:rsidR="00E72E7B" w:rsidRPr="00882828" w:rsidRDefault="00E72E7B" w:rsidP="00E72E7B">
      <w:pPr>
        <w:spacing w:line="360" w:lineRule="auto"/>
        <w:rPr>
          <w:rFonts w:ascii="Times New Roman" w:hAnsi="Times New Roman" w:cs="Times New Roman"/>
          <w:sz w:val="24"/>
          <w:szCs w:val="24"/>
        </w:rPr>
      </w:pPr>
    </w:p>
    <w:p w14:paraId="2C38881A"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artikel 53, stk. 11, fremgår det, at AMLA senest den 10. juli 2026 udsteder retningslinjer for grundbeløbene for bøder i forhold til omsætningen, opdelt efter type overtrædelse og kategori af forpligtede enheder.</w:t>
      </w:r>
    </w:p>
    <w:p w14:paraId="0FCA0D83" w14:textId="77777777" w:rsidR="00E72E7B" w:rsidRPr="00882828" w:rsidRDefault="00E72E7B" w:rsidP="00E72E7B">
      <w:pPr>
        <w:spacing w:line="360" w:lineRule="auto"/>
        <w:rPr>
          <w:rFonts w:ascii="Times New Roman" w:hAnsi="Times New Roman" w:cs="Times New Roman"/>
          <w:sz w:val="24"/>
          <w:szCs w:val="24"/>
        </w:rPr>
      </w:pPr>
    </w:p>
    <w:p w14:paraId="557519AE"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53, stk. 10 og 11, er nye bestemmelser i forhold til 4. og 5. hvidvaskdirektiv. </w:t>
      </w:r>
    </w:p>
    <w:p w14:paraId="0866FFCE" w14:textId="77777777" w:rsidR="00E72E7B" w:rsidRPr="00882828" w:rsidRDefault="00E72E7B" w:rsidP="00E72E7B">
      <w:pPr>
        <w:spacing w:line="360" w:lineRule="auto"/>
        <w:rPr>
          <w:rFonts w:ascii="Times New Roman" w:hAnsi="Times New Roman" w:cs="Times New Roman"/>
          <w:sz w:val="24"/>
          <w:szCs w:val="24"/>
        </w:rPr>
      </w:pPr>
    </w:p>
    <w:p w14:paraId="72704246"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Den 25. august offentliggjorde AMLA det endelige udkast til reguleringsmæssig tekniske standard om bødesanktioner, administrative foranstaltninger og tvangsbøder i henhold til artikel 53, stk. 10.  Den reguleringsmæssig tekniske standard afventer endelig udstedelse af Kommissionen. </w:t>
      </w:r>
    </w:p>
    <w:p w14:paraId="57AB595C" w14:textId="77777777" w:rsidR="00E72E7B" w:rsidRPr="00882828" w:rsidRDefault="00E72E7B" w:rsidP="00E72E7B">
      <w:pPr>
        <w:spacing w:line="360" w:lineRule="auto"/>
        <w:rPr>
          <w:rFonts w:ascii="Times New Roman" w:hAnsi="Times New Roman" w:cs="Times New Roman"/>
          <w:sz w:val="24"/>
          <w:szCs w:val="24"/>
        </w:rPr>
      </w:pPr>
    </w:p>
    <w:p w14:paraId="639007D8"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følger af artikel 1, at tilsynsmyndighederne i det omfang de finder anvendelse skal inddrage de i litra a-l oplistede indikatorer ved klassificering af niveauet af overtrædelsens grovhed. </w:t>
      </w:r>
    </w:p>
    <w:p w14:paraId="2789D91D" w14:textId="77777777" w:rsidR="00E72E7B" w:rsidRPr="00882828" w:rsidRDefault="00E72E7B" w:rsidP="00E72E7B">
      <w:pPr>
        <w:spacing w:line="360" w:lineRule="auto"/>
        <w:rPr>
          <w:rFonts w:ascii="Times New Roman" w:hAnsi="Times New Roman" w:cs="Times New Roman"/>
          <w:sz w:val="24"/>
          <w:szCs w:val="24"/>
        </w:rPr>
      </w:pPr>
    </w:p>
    <w:p w14:paraId="6E5AF9BC"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Ved vurderingen af overtrædelsens alvor tages der hensyn til:</w:t>
      </w:r>
    </w:p>
    <w:p w14:paraId="332B9716" w14:textId="77777777" w:rsidR="00E72E7B" w:rsidRPr="00882828" w:rsidRDefault="00E72E7B" w:rsidP="00E72E7B">
      <w:pPr>
        <w:spacing w:line="360" w:lineRule="auto"/>
        <w:rPr>
          <w:rFonts w:ascii="Times New Roman" w:hAnsi="Times New Roman" w:cs="Times New Roman"/>
          <w:sz w:val="24"/>
          <w:szCs w:val="24"/>
        </w:rPr>
      </w:pPr>
    </w:p>
    <w:p w14:paraId="2A4FEF26"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Overtrædelsens varighed.</w:t>
      </w:r>
    </w:p>
    <w:p w14:paraId="57965B92"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Om overtrædelsen er gentaget.</w:t>
      </w:r>
    </w:p>
    <w:p w14:paraId="3E43D6EB"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Adfærden hos den fysiske eller juridiske person, der begik, tillod eller ikke forhindrede overtrædelsen.</w:t>
      </w:r>
    </w:p>
    <w:p w14:paraId="4B98B7E8"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Overtrædelsens indvirkning på den forpligtede enhed ved vurdering af:</w:t>
      </w:r>
    </w:p>
    <w:p w14:paraId="3CD42483" w14:textId="77777777" w:rsidR="00E72E7B" w:rsidRPr="00882828" w:rsidRDefault="00E72E7B">
      <w:pPr>
        <w:pStyle w:val="Listeafsnit"/>
        <w:numPr>
          <w:ilvl w:val="1"/>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om overtrædelsen vedrører den forpligtede enhed, og om den har indvirkning på koncernniveau eller grænseoverskridende indvirkning.</w:t>
      </w:r>
    </w:p>
    <w:p w14:paraId="31897847" w14:textId="77777777" w:rsidR="00E72E7B" w:rsidRPr="00882828" w:rsidRDefault="00E72E7B">
      <w:pPr>
        <w:pStyle w:val="Listeafsnit"/>
        <w:numPr>
          <w:ilvl w:val="1"/>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i hvilket omfang produkter og tjenesteydelser er berørt af overtrædelsen.</w:t>
      </w:r>
    </w:p>
    <w:p w14:paraId="01D80899" w14:textId="77777777" w:rsidR="00E72E7B" w:rsidRPr="00882828" w:rsidRDefault="00E72E7B">
      <w:pPr>
        <w:pStyle w:val="Listeafsnit"/>
        <w:numPr>
          <w:ilvl w:val="1"/>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det omtrentlige antal kunder, der er berørt af overtrædelsen.</w:t>
      </w:r>
    </w:p>
    <w:p w14:paraId="57CE9006" w14:textId="77777777" w:rsidR="00E72E7B" w:rsidRPr="00882828" w:rsidRDefault="00E72E7B">
      <w:pPr>
        <w:pStyle w:val="Listeafsnit"/>
        <w:numPr>
          <w:ilvl w:val="1"/>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i hvilket omfang effektiviteten af AML/CFT-systemer, kontroller og politikker er berørt af overtrædelsen.</w:t>
      </w:r>
    </w:p>
    <w:p w14:paraId="2A782A19"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Overtrædelsens indvirkning på den forpligtede enheds – eller den koncern, som den tilhører – eksponering for risici for hvidvask af penge og finansiering af terrorisme.</w:t>
      </w:r>
    </w:p>
    <w:p w14:paraId="5EF3CB7C"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Overtrædelsens karakter ved vurdering af, om overtrædelsen vedrører den forpligtede enheds interne politikker, procedurer og kontroller, kundekendskabsprocedurer, indberetningsforpligtelser eller opbevaring af registreringer.</w:t>
      </w:r>
    </w:p>
    <w:p w14:paraId="49D23C0C"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Om overtrædelsen kunne have lettet eller på anden måde ført til kriminelle aktiviteter som defineret i artikel 2, stk. 1, nr. 3, i hvidvaskforordningen.</w:t>
      </w:r>
    </w:p>
    <w:p w14:paraId="215676B2"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Om der foreligger en strukturel svigt i den forpligtede enhed med hensyn til AML/CFT-systemer, kontroller eller politikker, eller en væsentlig manglende etablering af tilstrækkelige AML/CFT-systemer, kontroller eller politikker hos enheden.</w:t>
      </w:r>
    </w:p>
    <w:p w14:paraId="0D145871"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Overtrædelsens faktiske eller potentielle indvirkning på den forpligtede enheds eller den koncern, som den forpligtede enhed er en del af, finansielle levedygtighed.</w:t>
      </w:r>
    </w:p>
    <w:p w14:paraId="6091AF5B"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Overtrædelsens faktiske eller potentielle indvirkning på:</w:t>
      </w:r>
    </w:p>
    <w:p w14:paraId="50011AC3" w14:textId="77777777" w:rsidR="00E72E7B" w:rsidRPr="00882828" w:rsidRDefault="00E72E7B">
      <w:pPr>
        <w:pStyle w:val="Listeafsnit"/>
        <w:numPr>
          <w:ilvl w:val="1"/>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integriteten, gennemsigtigheden og sikkerheden i en medlemsstats eller Unionens finansielle system som helhed eller på den finansielle stabilitet i en medlemsstat eller Unionen som helhed.</w:t>
      </w:r>
    </w:p>
    <w:p w14:paraId="556C8979" w14:textId="77777777" w:rsidR="00E72E7B" w:rsidRPr="00882828" w:rsidRDefault="00E72E7B">
      <w:pPr>
        <w:pStyle w:val="Listeafsnit"/>
        <w:numPr>
          <w:ilvl w:val="1"/>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det indre markeds ordnede funktion, herunder det finansielle marked.</w:t>
      </w:r>
    </w:p>
    <w:p w14:paraId="3FE2D09B"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Overtrædelsens systematiske karakter</w:t>
      </w:r>
    </w:p>
    <w:p w14:paraId="7B69A87D" w14:textId="77777777" w:rsidR="00E72E7B" w:rsidRPr="00882828" w:rsidRDefault="00E72E7B">
      <w:pPr>
        <w:pStyle w:val="Listeafsnit"/>
        <w:numPr>
          <w:ilvl w:val="0"/>
          <w:numId w:val="55"/>
        </w:numPr>
        <w:spacing w:line="360" w:lineRule="auto"/>
        <w:rPr>
          <w:rFonts w:ascii="Times New Roman" w:hAnsi="Times New Roman" w:cs="Times New Roman"/>
          <w:sz w:val="24"/>
          <w:szCs w:val="24"/>
        </w:rPr>
      </w:pPr>
      <w:r w:rsidRPr="00882828">
        <w:rPr>
          <w:rFonts w:ascii="Times New Roman" w:hAnsi="Times New Roman" w:cs="Times New Roman"/>
          <w:sz w:val="24"/>
          <w:szCs w:val="24"/>
        </w:rPr>
        <w:t>Enhver anden indikator, som tilsynsmyndighederne har identificeret.</w:t>
      </w:r>
    </w:p>
    <w:p w14:paraId="1F71CFFA" w14:textId="77777777" w:rsidR="00E72E7B" w:rsidRPr="00882828" w:rsidRDefault="00E72E7B" w:rsidP="00E72E7B">
      <w:pPr>
        <w:spacing w:line="360" w:lineRule="auto"/>
        <w:rPr>
          <w:rFonts w:ascii="Times New Roman" w:hAnsi="Times New Roman" w:cs="Times New Roman"/>
          <w:sz w:val="24"/>
          <w:szCs w:val="24"/>
        </w:rPr>
      </w:pPr>
    </w:p>
    <w:p w14:paraId="6C447A5E"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følger af præambel 2, 2. pkt., at tilsynsmyndighederne ved klassificeringen bør anvende deres tilsynsmæssige skøn til at analysere, om og i hvilket omfang disse indikatorer og kriterier er opfyldt. Endvidere følger det af præambel 3, 1. pkt., at listen over kriterier og indikatorer ikke er udtømmende. </w:t>
      </w:r>
    </w:p>
    <w:p w14:paraId="1A174C1B" w14:textId="77777777" w:rsidR="00E72E7B" w:rsidRPr="00882828" w:rsidRDefault="00E72E7B" w:rsidP="00E72E7B">
      <w:pPr>
        <w:spacing w:line="360" w:lineRule="auto"/>
        <w:rPr>
          <w:rFonts w:ascii="Times New Roman" w:hAnsi="Times New Roman" w:cs="Times New Roman"/>
          <w:sz w:val="24"/>
          <w:szCs w:val="24"/>
        </w:rPr>
      </w:pPr>
    </w:p>
    <w:p w14:paraId="0ACF6747"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artikel 2, stk. 1, fremgår det, at tilsynsmyndighederne ved klassificering af niveauet af overtrædelsens grovhed skal anvende fire kategorier i stigende grad af alvor: kategori ét, kategori to, kategori tre, kategori fire.</w:t>
      </w:r>
    </w:p>
    <w:p w14:paraId="51B9BC80" w14:textId="77777777" w:rsidR="00E72E7B" w:rsidRPr="00882828" w:rsidRDefault="00E72E7B" w:rsidP="00E72E7B">
      <w:pPr>
        <w:spacing w:line="360" w:lineRule="auto"/>
        <w:rPr>
          <w:rFonts w:ascii="Times New Roman" w:hAnsi="Times New Roman" w:cs="Times New Roman"/>
          <w:sz w:val="24"/>
          <w:szCs w:val="24"/>
        </w:rPr>
      </w:pPr>
    </w:p>
    <w:p w14:paraId="5D814CB2"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Af stk. 2 og 3 fremgår, at for at klassificere overtrædelserne i en af de fire kategorier nævnt i stk. 1, skal tilsynsmyndighederne vurdere, om og i hvilket omfang alle relevante indikatorer i artikel 1 i denne forordning er opfyldt, samt at andre overtrædelser end dem, der er beskrevet i stk. 4 til 7, kan klassificeres under disse kategorier. </w:t>
      </w:r>
    </w:p>
    <w:p w14:paraId="44682C78" w14:textId="77777777" w:rsidR="00E72E7B" w:rsidRPr="00882828" w:rsidRDefault="00E72E7B" w:rsidP="00E72E7B">
      <w:pPr>
        <w:spacing w:line="360" w:lineRule="auto"/>
        <w:rPr>
          <w:rFonts w:ascii="Times New Roman" w:hAnsi="Times New Roman" w:cs="Times New Roman"/>
          <w:sz w:val="24"/>
          <w:szCs w:val="24"/>
        </w:rPr>
      </w:pPr>
    </w:p>
    <w:p w14:paraId="6B7ECF55"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4 fremgår det, at en overtrædelse skal klassificeres under kategori 1, hvor der ikke er nogen direkte indvirkning eller indvirkningen er mindre på den forpligtede enhed ved vurdering af indikatorerne angivet i artikel 1, litra d, at overtrædelsen har varet i en kort periode, og at overtrædelsen er begået på ikke-gentagende basis. Tilsynsmyndighederne må ikke klassificere en overtrædelse som kategori 1, hvis indikatorerne angivet i artikel 1, litra g til k, er opfyldt.</w:t>
      </w:r>
    </w:p>
    <w:p w14:paraId="7AE4E49D" w14:textId="77777777" w:rsidR="00E72E7B" w:rsidRPr="00882828" w:rsidRDefault="00E72E7B" w:rsidP="00E72E7B">
      <w:pPr>
        <w:spacing w:line="360" w:lineRule="auto"/>
        <w:rPr>
          <w:rFonts w:ascii="Times New Roman" w:hAnsi="Times New Roman" w:cs="Times New Roman"/>
          <w:sz w:val="24"/>
          <w:szCs w:val="24"/>
        </w:rPr>
      </w:pPr>
    </w:p>
    <w:p w14:paraId="3A235B3D"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5 fremgår det, at en overtrædelse skal klassificeres som kategori 2, hvor indvirkningen i medfør af indikatorerne angivet i artikel 1, litra d eller e, er moderat, og ingen af indikatorerne (g) til (k) i artikel 1 er opfyldt.</w:t>
      </w:r>
    </w:p>
    <w:p w14:paraId="797004E7" w14:textId="77777777" w:rsidR="00E72E7B" w:rsidRPr="00882828" w:rsidRDefault="00E72E7B" w:rsidP="00E72E7B">
      <w:pPr>
        <w:spacing w:line="360" w:lineRule="auto"/>
        <w:rPr>
          <w:rFonts w:ascii="Times New Roman" w:hAnsi="Times New Roman" w:cs="Times New Roman"/>
          <w:sz w:val="24"/>
          <w:szCs w:val="24"/>
        </w:rPr>
      </w:pPr>
    </w:p>
    <w:p w14:paraId="597918A3"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6 fremgår det, at en overtrædelse skal klassificeres som mindst kategori 3, hvor en af indikatorerne angivet i artikel 1, litra b eller k, er opfyldt, eller indvirkningen i medfør af indikatorerne angivet i artikel 1, litra d eller e, er betydelig, samt overtrædelsen har varet over en betydelig periode.</w:t>
      </w:r>
    </w:p>
    <w:p w14:paraId="15B315D6" w14:textId="77777777" w:rsidR="00E72E7B" w:rsidRPr="00882828" w:rsidRDefault="00E72E7B" w:rsidP="00E72E7B">
      <w:pPr>
        <w:spacing w:line="360" w:lineRule="auto"/>
        <w:rPr>
          <w:rFonts w:ascii="Times New Roman" w:hAnsi="Times New Roman" w:cs="Times New Roman"/>
          <w:sz w:val="24"/>
          <w:szCs w:val="24"/>
        </w:rPr>
      </w:pPr>
    </w:p>
    <w:p w14:paraId="12596672"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7 fremgår det,  at en overtrædelse skal klassificeres som kategori 3, hvor indvirkningen af indikatorerne angivet i artikel 1, litra d eller e, er meget betydelig, eller når indikatoren angivet i artikel 1, litra h, er opfyldt, eller indikatoren angivet i artikel 1, litra g, overtrædelsen har lettet eller på anden måde ført til betydelige kriminelle aktiviteter som defineret i artikel 2, stk. 1, punkt (3), i forordning (EU) 2024/1624, eller at indvirkning i medfør af indikatorerne angivet i artikel 1, litra i eller j, er betydelig.</w:t>
      </w:r>
    </w:p>
    <w:p w14:paraId="0ABBE3A2" w14:textId="77777777" w:rsidR="00E72E7B" w:rsidRPr="00882828" w:rsidRDefault="00E72E7B" w:rsidP="00E72E7B">
      <w:pPr>
        <w:spacing w:line="360" w:lineRule="auto"/>
        <w:rPr>
          <w:rFonts w:ascii="Times New Roman" w:hAnsi="Times New Roman" w:cs="Times New Roman"/>
          <w:sz w:val="24"/>
          <w:szCs w:val="24"/>
        </w:rPr>
      </w:pPr>
    </w:p>
    <w:p w14:paraId="65186483"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8 fremgår, at overtrædelser, der ikke ville blive klassificeret som kategori 3 eller kategori 4, når de vurderes isoleret, kan udgøre en overtrædelse af kategori 3 eller 4, når de vurderes i kombination.</w:t>
      </w:r>
    </w:p>
    <w:p w14:paraId="73D4EB4D" w14:textId="77777777" w:rsidR="00E72E7B" w:rsidRPr="00882828" w:rsidRDefault="00E72E7B" w:rsidP="00E72E7B">
      <w:pPr>
        <w:spacing w:line="360" w:lineRule="auto"/>
        <w:rPr>
          <w:rFonts w:ascii="Times New Roman" w:hAnsi="Times New Roman" w:cs="Times New Roman"/>
          <w:sz w:val="24"/>
          <w:szCs w:val="24"/>
        </w:rPr>
      </w:pPr>
    </w:p>
    <w:p w14:paraId="4A53D086"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ovenstående om artikel 1 og 2 vil medføre, at Finanstilsynet, Erhvervsstyrelsen, Spillemyndigheden og Advokatrådet i en vurdering af overtrædelsens grovhed skal basere denne vurdering på kategoriseringen som følger af den reguleringsmæssige tekniske standard. </w:t>
      </w:r>
    </w:p>
    <w:p w14:paraId="0C737FB9" w14:textId="77777777" w:rsidR="00E72E7B" w:rsidRPr="00882828" w:rsidRDefault="00E72E7B" w:rsidP="00E72E7B">
      <w:pPr>
        <w:spacing w:line="360" w:lineRule="auto"/>
        <w:rPr>
          <w:rFonts w:ascii="Times New Roman" w:hAnsi="Times New Roman" w:cs="Times New Roman"/>
          <w:sz w:val="24"/>
          <w:szCs w:val="24"/>
        </w:rPr>
      </w:pPr>
    </w:p>
    <w:p w14:paraId="45F783EB"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artikel 3 følger det, at en overtrædelse, hvis alvor er klassificeret som kategori tre eller fire i henhold til artikel 2, skal anses for at være alvorlig, gentagen eller systematisk i henhold til artikel 55, stk. 1, i direktiv (EU) 2024/1640.</w:t>
      </w:r>
    </w:p>
    <w:p w14:paraId="438CB28D" w14:textId="77777777" w:rsidR="00E72E7B" w:rsidRPr="00882828" w:rsidRDefault="00E72E7B" w:rsidP="00E72E7B">
      <w:pPr>
        <w:spacing w:line="360" w:lineRule="auto"/>
        <w:rPr>
          <w:rFonts w:ascii="Times New Roman" w:hAnsi="Times New Roman" w:cs="Times New Roman"/>
          <w:sz w:val="24"/>
          <w:szCs w:val="24"/>
        </w:rPr>
      </w:pPr>
    </w:p>
    <w:p w14:paraId="07AA9F72"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Det vil betyde, at Finanstilsynet, Erhvervsstyrelsen, Spillemyndigheden og Advokatrådet skal overveje, om der er grundlag for strafferetlig forfølgning af overtrædelser, der kategoriseres som kategori 3 eller kategori 4.</w:t>
      </w:r>
    </w:p>
    <w:p w14:paraId="37B3922F" w14:textId="77777777" w:rsidR="00E72E7B" w:rsidRPr="00882828" w:rsidRDefault="00E72E7B" w:rsidP="00E72E7B">
      <w:pPr>
        <w:spacing w:line="360" w:lineRule="auto"/>
        <w:rPr>
          <w:rFonts w:ascii="Times New Roman" w:hAnsi="Times New Roman" w:cs="Times New Roman"/>
          <w:sz w:val="24"/>
          <w:szCs w:val="24"/>
        </w:rPr>
      </w:pPr>
    </w:p>
    <w:p w14:paraId="7EFBF0A2"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Endvidere vil artikel 1-3 have den praktiske betydning, at den tilsynsmyndighed, der indgiver politianmeldelsen, bør angive, hvilken kategori overtrædelsen efter myndighedens vurdering falder ind under, samt begrundelsen herfor. Politi og anklagemyndigheden kan herefter inddrage tilsynsmyndighedens vurdering i den videre strafferetlige behandling af sagen. Tilsynsmyndighedens kategorisering kan dog ikke anses for bindende. </w:t>
      </w:r>
    </w:p>
    <w:p w14:paraId="224B75B5" w14:textId="77777777" w:rsidR="00E72E7B" w:rsidRPr="00882828" w:rsidRDefault="00E72E7B" w:rsidP="00E72E7B">
      <w:pPr>
        <w:spacing w:line="360" w:lineRule="auto"/>
        <w:rPr>
          <w:rFonts w:ascii="Times New Roman" w:hAnsi="Times New Roman" w:cs="Times New Roman"/>
          <w:sz w:val="24"/>
          <w:szCs w:val="24"/>
        </w:rPr>
      </w:pPr>
    </w:p>
    <w:p w14:paraId="43EF6829"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Af artikel 4, stk. 1, fremgår det, at tilsynsmyndighederne ved vurderingen af indikatorerne i artikel 1 og 2, skal tage hensyn til omstændighederne nævnt i artikel 53(6) i direktiv (EU) 2024/1640, og kriterierne angivet i stk. 2-6. </w:t>
      </w:r>
    </w:p>
    <w:p w14:paraId="527BCAB4" w14:textId="77777777" w:rsidR="00E72E7B" w:rsidRPr="00882828" w:rsidRDefault="00E72E7B" w:rsidP="00E72E7B">
      <w:pPr>
        <w:spacing w:line="360" w:lineRule="auto"/>
        <w:rPr>
          <w:rFonts w:ascii="Times New Roman" w:hAnsi="Times New Roman" w:cs="Times New Roman"/>
          <w:sz w:val="24"/>
          <w:szCs w:val="24"/>
        </w:rPr>
      </w:pPr>
    </w:p>
    <w:p w14:paraId="721C451D"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2 følger, at der ved fastsættelsen af bødeniveauet skal ske nedsættelse under hensyntagen til hver af følgende kriterier, i det omfang de er relevante: (a) samarbejdsniveauet hos den fysiske eller juridiske person, der holdes ansvarlig, med tilsynsmyndigheden. Tilsynsmyndigheder skal især overveje, om den fysiske eller juridiske person hurtigt og effektivt har bragt hele overtrædelsen til tilsynsmyndighedens opmærksomhed, og om vedkommende aktivt og effektivt har bidraget til undersøgelsen af overtrædelsen foretaget af tilsynsmyndigheden; (b) adfærden hos den fysiske eller juridiske person, der holdes ansvarlig, siden overtrædelsen er identificeret enten af personen/enheden selv eller af tilsynsmyndigheden. Tilsynsmyndigheder skal især overveje, om den ansvarlige har taget effektive og rettidige afhjælpende handlinger for at afslutte overtrædelsen, eller har taget frivillige tilstrækkelige foranstaltninger for effektivt at forhindre lignende overtrædelser i fremtiden; (c) ethvert andet kriterium identificeret af tilsynsmyndigheden.</w:t>
      </w:r>
    </w:p>
    <w:p w14:paraId="41944EB0" w14:textId="77777777" w:rsidR="00E72E7B" w:rsidRPr="00882828" w:rsidRDefault="00E72E7B" w:rsidP="00E72E7B">
      <w:pPr>
        <w:spacing w:line="360" w:lineRule="auto"/>
        <w:rPr>
          <w:rFonts w:ascii="Times New Roman" w:hAnsi="Times New Roman" w:cs="Times New Roman"/>
          <w:sz w:val="24"/>
          <w:szCs w:val="24"/>
        </w:rPr>
      </w:pPr>
    </w:p>
    <w:p w14:paraId="719B982A"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3 følger, at der ved fastsættelse af bødeniveauet skal ske forøgelse under hensyntagen til hver af følgende kriterier, i det omfang de er relevante: (a) samarbejdsniveauet hos den fysiske eller juridiske person, der holdes ansvarlig, med tilsynsmyndigheden. Tilsynsmyndigheder skal især overveje, om den fysiske eller juridiske person har undladt at samarbejde med tilsynsmyndigheden, ikke har oplyst tilsynsmyndigheden om noget, tilsynsmyndigheden med rimelighed kunne forvente, eller har taget handlinger med henblik på delvist eller fuldt ud at skjule overtrædelsen for tilsynsmyndigheden eller vildlede tilsynsmyndigheden; (b) adfærden hos den fysiske eller juridiske person, der holdes ansvarlig, siden overtrædelsen blev identificeret enten af enheden selv eller af tilsynsmyndigheden, samt fraværet af afhjælpende handlinger eller foranstaltninger taget for at forhindre overtrædelser i fremtiden; (c) graden af ansvar hos den fysiske eller juridiske person, der holdes ansvarlig, og om overtrædelsen blev begået forsætligt.</w:t>
      </w:r>
    </w:p>
    <w:p w14:paraId="7929887A" w14:textId="77777777" w:rsidR="00E72E7B" w:rsidRPr="00882828" w:rsidRDefault="00E72E7B" w:rsidP="00E72E7B">
      <w:pPr>
        <w:spacing w:line="360" w:lineRule="auto"/>
        <w:rPr>
          <w:rFonts w:ascii="Times New Roman" w:hAnsi="Times New Roman" w:cs="Times New Roman"/>
          <w:sz w:val="24"/>
          <w:szCs w:val="24"/>
        </w:rPr>
      </w:pPr>
    </w:p>
    <w:p w14:paraId="4965AF06"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4 fremgår det, at ud over de kriterier, der er angivet i stk. 1 til 3, skal tilsynsmyndigheder ved fastsættelsen af bødeniveauet for fysiske personer, der ikke selv er forpligtede enheder, tage hensyn til, hvor relevant, deres rolle og effektive ansvar i den forpligtede enhed, omfanget af deres funktioner og graden af involvering i overtrædelsen.</w:t>
      </w:r>
    </w:p>
    <w:p w14:paraId="5CF85903" w14:textId="77777777" w:rsidR="00E72E7B" w:rsidRPr="00882828" w:rsidRDefault="00E72E7B" w:rsidP="00E72E7B">
      <w:pPr>
        <w:spacing w:line="360" w:lineRule="auto"/>
        <w:rPr>
          <w:rFonts w:ascii="Times New Roman" w:hAnsi="Times New Roman" w:cs="Times New Roman"/>
          <w:sz w:val="24"/>
          <w:szCs w:val="24"/>
        </w:rPr>
      </w:pPr>
    </w:p>
    <w:p w14:paraId="3E7BAE25"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5 fremgår det, at tilsynsmyndighederne ved fastsættelsen af bødeniveauet skal tage hensyn til den juridiske persons økonomiske styrke, herunder, hvor relevant, og i lyset af dens samlede årlige omsætning, enhver tilgængelig relevant information fra regnskaber for at vurdere finansiel kapacitet, information fra tilsynsmyndigheder om niveauet af regulatorisk kapital og likviditetskrav eller enhver tilgængelig pålidelig og relevant information.</w:t>
      </w:r>
    </w:p>
    <w:p w14:paraId="29D4840E" w14:textId="77777777" w:rsidR="00E72E7B" w:rsidRPr="00882828" w:rsidRDefault="00E72E7B" w:rsidP="00E72E7B">
      <w:pPr>
        <w:spacing w:line="360" w:lineRule="auto"/>
        <w:rPr>
          <w:rFonts w:ascii="Times New Roman" w:hAnsi="Times New Roman" w:cs="Times New Roman"/>
          <w:sz w:val="24"/>
          <w:szCs w:val="24"/>
        </w:rPr>
      </w:pPr>
    </w:p>
    <w:p w14:paraId="58DAD2EB"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Endeligt fremgår det af stk. 6, at tilsynsmyndighederne ved fastsættelsen af bødeniveauet skal tage hensyn til den fysiske persons økonomiske styrke ved at vurdere alle tilgængelige oplysninger. En sådan vurdering skal dække den årlige indkomst, uanset om den består af fast eller variabel løn, modtaget fra den forpligtede enhed eller koncern, som den forpligtede enhed er en del af, og hvor relevant, anden indkomst for den fysiske person, der holdes ansvarlig.</w:t>
      </w:r>
    </w:p>
    <w:p w14:paraId="5DDA664C" w14:textId="77777777" w:rsidR="00E72E7B" w:rsidRPr="00882828" w:rsidRDefault="00E72E7B" w:rsidP="00E72E7B">
      <w:pPr>
        <w:spacing w:line="360" w:lineRule="auto"/>
        <w:rPr>
          <w:rFonts w:ascii="Times New Roman" w:hAnsi="Times New Roman" w:cs="Times New Roman"/>
          <w:sz w:val="24"/>
          <w:szCs w:val="24"/>
        </w:rPr>
      </w:pPr>
    </w:p>
    <w:p w14:paraId="1E936527"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I dansk ret er udmåling af bødestørrelser ikke en kompetence, som tilkommer tilsynsmyndighederne. Finanstilsynets hjemmel til at afslutte sager med administrative bødeforelæg, jf. lovforslagets § 140, udgør i den forbindelse, under visse betingelser, en undtagelse hertil. Artiklens indhold er imidlertid i overensstemmende med straffelovens 10. kapitel om straffens fastsættelse. Hensyntagen til de i artiklen anførte kriterier vil således skulle ske på samme vis som anvendelsen af bestemmelserne i straffelovens 10. kapitel.  </w:t>
      </w:r>
    </w:p>
    <w:p w14:paraId="179C4018" w14:textId="77777777" w:rsidR="00E72E7B" w:rsidRPr="00882828" w:rsidRDefault="00E72E7B" w:rsidP="00E72E7B">
      <w:pPr>
        <w:spacing w:line="360" w:lineRule="auto"/>
        <w:rPr>
          <w:rFonts w:ascii="Times New Roman" w:hAnsi="Times New Roman" w:cs="Times New Roman"/>
          <w:sz w:val="24"/>
          <w:szCs w:val="24"/>
        </w:rPr>
      </w:pPr>
    </w:p>
    <w:p w14:paraId="605391AA"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Af artikel 5 fremgår de kriterier og overvejelser som tilsynsmyndighederne bør iagttage ved anvendelsen af andre tiltag end økonomisk straf. Det vil være tiltag såsom at begrænse eller indskrænke forretningsaktiviteter, jf. stk. 2, at suspendere autorisationer, jf. stk. 3, eller kræve ændring af ledelsesstrukturen, jf. stk. 4. </w:t>
      </w:r>
    </w:p>
    <w:p w14:paraId="01080266" w14:textId="77777777" w:rsidR="00E72E7B" w:rsidRPr="00882828" w:rsidRDefault="00E72E7B" w:rsidP="00E72E7B">
      <w:pPr>
        <w:spacing w:line="360" w:lineRule="auto"/>
        <w:rPr>
          <w:rFonts w:ascii="Times New Roman" w:hAnsi="Times New Roman" w:cs="Times New Roman"/>
          <w:sz w:val="24"/>
          <w:szCs w:val="24"/>
        </w:rPr>
      </w:pPr>
    </w:p>
    <w:p w14:paraId="2B50BC27"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følger af hvidvaskdirektivets artikel 53, stk. 11, at AMLA senest den 10. juli 2026 udsteder retningslinjer for grundbeløbene for bøder i forhold til omsætningen, opdelt efter type overtrædelse og kategori af forpligtede enheder. </w:t>
      </w:r>
    </w:p>
    <w:p w14:paraId="534EE761" w14:textId="77777777" w:rsidR="00E72E7B" w:rsidRPr="00882828" w:rsidRDefault="00E72E7B" w:rsidP="00E72E7B">
      <w:pPr>
        <w:spacing w:line="360" w:lineRule="auto"/>
        <w:rPr>
          <w:rFonts w:ascii="Times New Roman" w:hAnsi="Times New Roman" w:cs="Times New Roman"/>
          <w:sz w:val="24"/>
          <w:szCs w:val="24"/>
        </w:rPr>
      </w:pPr>
    </w:p>
    <w:p w14:paraId="150F56F6" w14:textId="77777777" w:rsidR="00E72E7B" w:rsidRPr="00882828" w:rsidRDefault="00E72E7B" w:rsidP="00E72E7B">
      <w:pPr>
        <w:spacing w:line="360" w:lineRule="auto"/>
        <w:rPr>
          <w:rFonts w:ascii="Times New Roman" w:hAnsi="Times New Roman" w:cs="Times New Roman"/>
          <w:sz w:val="24"/>
          <w:szCs w:val="24"/>
        </w:rPr>
      </w:pPr>
    </w:p>
    <w:p w14:paraId="0887C794"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Hvidvaskdirektivets artikel 55 indeholder regler om bøder. </w:t>
      </w:r>
    </w:p>
    <w:p w14:paraId="5C0032AF" w14:textId="77777777" w:rsidR="00E72E7B" w:rsidRPr="00882828" w:rsidRDefault="00E72E7B" w:rsidP="00E72E7B">
      <w:pPr>
        <w:spacing w:line="360" w:lineRule="auto"/>
        <w:rPr>
          <w:rFonts w:ascii="Times New Roman" w:hAnsi="Times New Roman" w:cs="Times New Roman"/>
          <w:sz w:val="24"/>
          <w:szCs w:val="24"/>
        </w:rPr>
      </w:pPr>
    </w:p>
    <w:p w14:paraId="0EA54D14"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Af artikel 55, stk. 1, fremgår det, at medlemsstaterne sikrer, at bøder pålægges forpligtede enheder i tilfælde af alvorlige, gentagne eller systematiske overtrædelser, uanset om de er begået forsætligt eller uagtsomt, af de krav, der er fastsat i hvidvaskforordningens kapitel II (Forpligtede enheders interne politikker, procedurer og kontroller) (litra a), kapitel III (Kundekendskabsprocedurer) (litra b), kapitel V (Indberetningsforpligtelser) (litra c), og artikel 77 (Opbevaring af fortegnelser) (litra d).</w:t>
      </w:r>
    </w:p>
    <w:p w14:paraId="768AA226" w14:textId="77777777" w:rsidR="00E72E7B" w:rsidRPr="00882828" w:rsidRDefault="00E72E7B" w:rsidP="00E72E7B">
      <w:pPr>
        <w:spacing w:line="360" w:lineRule="auto"/>
        <w:rPr>
          <w:rFonts w:ascii="Times New Roman" w:hAnsi="Times New Roman" w:cs="Times New Roman"/>
          <w:sz w:val="24"/>
          <w:szCs w:val="24"/>
        </w:rPr>
      </w:pPr>
    </w:p>
    <w:p w14:paraId="3F7B7A40"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fremgår videre, at medlemsstaterne også sikrer, at der kan pålægges bøder, hvis forpligtede enheder ikke har overholdt administrative foranstaltninger, der anvendes over for dem i henhold til dette direktivs artikel 56, eller for overtrædelser, der ikke er alvorlige, gentagne eller systematiske.</w:t>
      </w:r>
    </w:p>
    <w:p w14:paraId="7F0DB932" w14:textId="77777777" w:rsidR="00E72E7B" w:rsidRPr="00882828" w:rsidRDefault="00E72E7B" w:rsidP="00E72E7B">
      <w:pPr>
        <w:spacing w:line="360" w:lineRule="auto"/>
        <w:rPr>
          <w:rFonts w:ascii="Times New Roman" w:hAnsi="Times New Roman" w:cs="Times New Roman"/>
          <w:sz w:val="24"/>
          <w:szCs w:val="24"/>
        </w:rPr>
      </w:pPr>
    </w:p>
    <w:p w14:paraId="4C86AC19"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Bestemmelsen erstatter 4. og 5. hvidvaskdirektivs artikel 59, stk. 1, dog så det nu fremgår, at der også vil kunne straffes med bøder for uagtsomme overtrædelse og for overtrædelser, som ikke er alvorlige, gentagne eller systematiske, ligesom der vil kunne straffes for den manglende overholdelse af administrative foranstaltninger.</w:t>
      </w:r>
    </w:p>
    <w:p w14:paraId="65851B83" w14:textId="77777777" w:rsidR="00E72E7B" w:rsidRPr="00882828" w:rsidRDefault="00E72E7B" w:rsidP="00E72E7B">
      <w:pPr>
        <w:spacing w:line="360" w:lineRule="auto"/>
        <w:rPr>
          <w:rFonts w:ascii="Times New Roman" w:hAnsi="Times New Roman" w:cs="Times New Roman"/>
          <w:sz w:val="24"/>
          <w:szCs w:val="24"/>
        </w:rPr>
      </w:pPr>
    </w:p>
    <w:p w14:paraId="3E7D6807"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fremgår af artikel 55, stk. 2, at medlemsstaterne sikrer, at de maksimumbøder, der kan pålægges, i de tilfælde, der er omhandlet i stk. 1, 1. afsnit, beløber sig til mindst det dobbelte af den fordel, der er opnået som følge af overtrædelsen, hvis denne fordel kan beregnes, eller mindst 1.000.000 EUR, alt efter hvilket beløb der er højest. Det fremgår videre, at for medlemsstater, der ikke har euroen som valuta, er den i første afsnit omhandlede værdi den tilsvarende værdi i national valuta den 9. juli 2024.</w:t>
      </w:r>
    </w:p>
    <w:p w14:paraId="6C0C9C8C" w14:textId="77777777" w:rsidR="00E72E7B" w:rsidRPr="00882828" w:rsidRDefault="00E72E7B" w:rsidP="00E72E7B">
      <w:pPr>
        <w:spacing w:line="360" w:lineRule="auto"/>
        <w:rPr>
          <w:rFonts w:ascii="Times New Roman" w:hAnsi="Times New Roman" w:cs="Times New Roman"/>
          <w:sz w:val="24"/>
          <w:szCs w:val="24"/>
        </w:rPr>
      </w:pPr>
    </w:p>
    <w:p w14:paraId="3ADE960E"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Bestemmelsen erstatter med visse justeringer 4. og 5. hvidvaskdirektivs artikel 59, stk. 2, litra e.</w:t>
      </w:r>
    </w:p>
    <w:p w14:paraId="082F5FD8" w14:textId="77777777" w:rsidR="00E72E7B" w:rsidRPr="00882828" w:rsidRDefault="00E72E7B" w:rsidP="00E72E7B">
      <w:pPr>
        <w:spacing w:line="360" w:lineRule="auto"/>
        <w:rPr>
          <w:rFonts w:ascii="Times New Roman" w:hAnsi="Times New Roman" w:cs="Times New Roman"/>
          <w:sz w:val="24"/>
          <w:szCs w:val="24"/>
        </w:rPr>
      </w:pPr>
    </w:p>
    <w:p w14:paraId="1C7CA342"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Af artikel 55, stk. 3, fremgår det, at uanset stk. 2 sikrer medlemsstaterne, at følgende bøder også kan pålægges, hvis den pågældende forpligtede enhed er et kreditinstitut eller et finansieringsinstitut: </w:t>
      </w:r>
    </w:p>
    <w:p w14:paraId="748FE0E2" w14:textId="77777777" w:rsidR="00E72E7B" w:rsidRPr="00882828" w:rsidRDefault="00E72E7B" w:rsidP="00E72E7B">
      <w:pPr>
        <w:spacing w:line="360" w:lineRule="auto"/>
        <w:rPr>
          <w:rFonts w:ascii="Times New Roman" w:hAnsi="Times New Roman" w:cs="Times New Roman"/>
          <w:sz w:val="24"/>
          <w:szCs w:val="24"/>
        </w:rPr>
      </w:pPr>
    </w:p>
    <w:p w14:paraId="4EB329FF"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a) hvis der er tale om juridiske personer, maksimumbøder på mindst 10.000.000 EUR eller i de medlemsstater, der ikke har euroen som valuta, det tilsvarende beløb i national valuta den 9. juli 2024, eller 10 % af den samlede årsomsætning ifølge det seneste foreliggende regnskab, som ledelsesorganet har godkendt, alt efter hvilket beløb der er højest; hvis den forpligtede enhed er et moderselskab eller er datterselskab af et moderselskab, der skal udarbejde konsoliderede regnskaber i overensstemmelse med artikel 22 i Europa-Parlamentets og Rådets direktiv 2013/34/EU, er den relevante samlede årsomsætning den samlede årsomsætning eller den tilsvarende indkomsttype i overensstemmelse med den relevante regnskabsordning ifølge det seneste konsoliderede regnskab, som det øverste moderselskabs ledelsesorgan har godkendt, og</w:t>
      </w:r>
    </w:p>
    <w:p w14:paraId="4A5F0B0E" w14:textId="77777777" w:rsidR="00E72E7B" w:rsidRPr="00882828" w:rsidRDefault="00E72E7B" w:rsidP="00E72E7B">
      <w:pPr>
        <w:spacing w:line="360" w:lineRule="auto"/>
        <w:rPr>
          <w:rFonts w:ascii="Times New Roman" w:hAnsi="Times New Roman" w:cs="Times New Roman"/>
          <w:sz w:val="24"/>
          <w:szCs w:val="24"/>
        </w:rPr>
      </w:pPr>
    </w:p>
    <w:p w14:paraId="3B37F5BF"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b) hvis der er tale om fysiske personer, maksimumbøder på mindst 5.000.000 EUR eller i de medlemsstater, der ikke har euroen som valuta, det tilsvarende beløb i national valuta den 9. juli 2024.</w:t>
      </w:r>
    </w:p>
    <w:p w14:paraId="6CDB7C2C" w14:textId="77777777" w:rsidR="00E72E7B" w:rsidRPr="00882828" w:rsidRDefault="00E72E7B" w:rsidP="00E72E7B">
      <w:pPr>
        <w:spacing w:line="360" w:lineRule="auto"/>
        <w:rPr>
          <w:rFonts w:ascii="Times New Roman" w:hAnsi="Times New Roman" w:cs="Times New Roman"/>
          <w:sz w:val="24"/>
          <w:szCs w:val="24"/>
        </w:rPr>
      </w:pPr>
    </w:p>
    <w:p w14:paraId="3B379161"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Bestemmelsen erstatter 4. og 5. hvidvaskdirektivs artikel 59, stk. 3, dog således at beløbet for juridiske personer er forhøjet fra 5.000.000 euro til 10.000.000 euro.</w:t>
      </w:r>
    </w:p>
    <w:p w14:paraId="5DD11792" w14:textId="77777777" w:rsidR="00E72E7B" w:rsidRPr="00882828" w:rsidRDefault="00E72E7B" w:rsidP="00E72E7B">
      <w:pPr>
        <w:spacing w:line="360" w:lineRule="auto"/>
        <w:rPr>
          <w:rFonts w:ascii="Times New Roman" w:hAnsi="Times New Roman" w:cs="Times New Roman"/>
          <w:sz w:val="24"/>
          <w:szCs w:val="24"/>
        </w:rPr>
      </w:pPr>
    </w:p>
    <w:p w14:paraId="39821401"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fremgår af artikel 55, stk. 4, at medlemsstaterne kan give de kompetente myndigheder beføjelse til at pålægge bøder, der overstiger de beløb, der er omhandlet i stk. 2 og 3. </w:t>
      </w:r>
    </w:p>
    <w:p w14:paraId="4E464DA5" w14:textId="77777777" w:rsidR="00E72E7B" w:rsidRPr="00882828" w:rsidRDefault="00E72E7B" w:rsidP="00E72E7B">
      <w:pPr>
        <w:spacing w:line="360" w:lineRule="auto"/>
        <w:rPr>
          <w:rFonts w:ascii="Times New Roman" w:hAnsi="Times New Roman" w:cs="Times New Roman"/>
          <w:sz w:val="24"/>
          <w:szCs w:val="24"/>
        </w:rPr>
      </w:pPr>
    </w:p>
    <w:p w14:paraId="7A1D8044"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Bestemmelsen svarer med visse tilpasninger 4. og 5. hvidvaskdirektivs artikel 59, stk. 4.</w:t>
      </w:r>
    </w:p>
    <w:p w14:paraId="58CE9BED" w14:textId="77777777" w:rsidR="00E72E7B" w:rsidRPr="00882828" w:rsidRDefault="00E72E7B" w:rsidP="00E72E7B">
      <w:pPr>
        <w:spacing w:line="360" w:lineRule="auto"/>
        <w:rPr>
          <w:rFonts w:ascii="Times New Roman" w:hAnsi="Times New Roman" w:cs="Times New Roman"/>
          <w:sz w:val="24"/>
          <w:szCs w:val="24"/>
        </w:rPr>
      </w:pPr>
    </w:p>
    <w:p w14:paraId="0940AA3E"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Endelig fremgår det af stk. 5, at medlemsstaterne sikrer, at der ved fastsættelsen af bødens størrelse tages hensyn til den forpligtede enheds evne til at betale bøden, og at tilsynsorganerne, hvis bøden kan påvirke overholdelsen af tilsynsmæssig regulering, hører de myndigheder, der har kompetence til at føre tilsyn med de forpligtede enheders overholdelse af relevante EU-retsakter.</w:t>
      </w:r>
    </w:p>
    <w:p w14:paraId="10CFC985" w14:textId="77777777" w:rsidR="00E72E7B" w:rsidRPr="00882828" w:rsidRDefault="00E72E7B" w:rsidP="00E72E7B">
      <w:pPr>
        <w:spacing w:line="360" w:lineRule="auto"/>
        <w:rPr>
          <w:rFonts w:ascii="Times New Roman" w:hAnsi="Times New Roman" w:cs="Times New Roman"/>
          <w:sz w:val="24"/>
          <w:szCs w:val="24"/>
        </w:rPr>
      </w:pPr>
    </w:p>
    <w:p w14:paraId="0E72A140"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Bestemmelsen er ny i forhold til 4. og 5. hvidvaskdirektiv.</w:t>
      </w:r>
    </w:p>
    <w:p w14:paraId="5EA0D4FD" w14:textId="77777777" w:rsidR="00E72E7B" w:rsidRPr="00882828" w:rsidRDefault="00E72E7B" w:rsidP="00E72E7B">
      <w:pPr>
        <w:spacing w:line="360" w:lineRule="auto"/>
        <w:rPr>
          <w:rFonts w:ascii="Times New Roman" w:hAnsi="Times New Roman" w:cs="Times New Roman"/>
          <w:sz w:val="24"/>
          <w:szCs w:val="24"/>
        </w:rPr>
      </w:pPr>
    </w:p>
    <w:p w14:paraId="5B17C55A" w14:textId="77777777" w:rsidR="00E72E7B" w:rsidRPr="00882828" w:rsidRDefault="00E72E7B" w:rsidP="00E72E7B">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fremgår af præambelbetragtning nr. 103, at i tilfælde af forpligtede enheder, der er juridiske personer, sker overtrædelser af kravene til bekæmpelse af hvidvask af penge og finansiering af terrorisme som følge af handlinger, som fysiske personer, der har beføjelse til at lede deres aktiviteter, foretager eller har ansvaret for, herunder gennem agenter og distributører eller andre personer, der handler på den forpligtede enheds vegne. For at sikre, at tilsynstiltag som reaktion på sådanne overtrædelser er effektive, bør den forpligtede enhed også holdes ansvarlig for disse fysiske personers handlinger, uanset om de foretages forsætligt eller uagtsomt. Uden at det berører juridiske personers ansvar i straffesager, tyder enhver hensigt om at opnå en fordel for den forpligtede enhed ved hjælp af overtrædelser på mere omfattende mangler i den forpligtede enheds interne politikker, procedurer og kontroller med hensyn til at forebygge hvidvask af penge, de underliggende lovovertrædelser og finansiering af terrorisme. Sådanne mangler underminerer den forpligtede enheds rolle som gatekeeper i Unionens finansielle system. Enhver hensigt om at opnå en fordel ved hjælp af en overtrædelse af krav til bekæmpelse af hvidvask af penge og finansiering af terrorisme bør derfor være en skærpende omstændighed</w:t>
      </w:r>
    </w:p>
    <w:p w14:paraId="09F2F15D" w14:textId="77777777" w:rsidR="00AA7E42" w:rsidRPr="00796736" w:rsidRDefault="00AA7E42" w:rsidP="00A802A5">
      <w:pPr>
        <w:spacing w:line="360" w:lineRule="auto"/>
        <w:rPr>
          <w:rFonts w:ascii="Times New Roman" w:hAnsi="Times New Roman" w:cs="Times New Roman"/>
          <w:sz w:val="24"/>
          <w:szCs w:val="24"/>
        </w:rPr>
      </w:pPr>
    </w:p>
    <w:p w14:paraId="236C167B" w14:textId="5C620919" w:rsidR="00D76BBD" w:rsidRPr="00796736" w:rsidRDefault="00AA7E42" w:rsidP="00A802A5">
      <w:pPr>
        <w:pStyle w:val="Overskrift4"/>
        <w:rPr>
          <w:rFonts w:ascii="Times New Roman" w:hAnsi="Times New Roman" w:cs="Times New Roman"/>
          <w:sz w:val="24"/>
          <w:szCs w:val="24"/>
        </w:rPr>
      </w:pPr>
      <w:r w:rsidRPr="00796736">
        <w:rPr>
          <w:rFonts w:ascii="Times New Roman" w:hAnsi="Times New Roman" w:cs="Times New Roman"/>
          <w:sz w:val="24"/>
          <w:szCs w:val="24"/>
        </w:rPr>
        <w:t>Skatte- og Vækstministeriet samt Justits</w:t>
      </w:r>
      <w:r w:rsidR="00967618" w:rsidRPr="00796736">
        <w:rPr>
          <w:rFonts w:ascii="Times New Roman" w:hAnsi="Times New Roman" w:cs="Times New Roman"/>
          <w:sz w:val="24"/>
          <w:szCs w:val="24"/>
        </w:rPr>
        <w:t>ministeriets overvejelser og den foreslåede ordning</w:t>
      </w:r>
    </w:p>
    <w:p w14:paraId="64C1D83B"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Som det fremgår af pkt. 3.5.2, indeholder hvidvaskdirektivet i artikel 53 og 55 – ligesom 4. og 5. hvidvaskdirektivs artikel 58 og 59 – bestemmelser om, at medlemsstaterne skal fastsætte strafferegler på hvidvaskområdet. Der skal ifølge bestemmelserne fastsættes straf i form af bøde for overtrædelse af hvidvaskforordningens bestemmelser, ligesom der skal fastsættes regler om bødestraf for manglende overholdelse af administrative tilsynsreaktioner og -foranstaltninger mv. pålagt efter </w:t>
      </w:r>
      <w:r w:rsidRPr="00882828">
        <w:rPr>
          <w:rFonts w:ascii="Times New Roman" w:eastAsia="Times New Roman" w:hAnsi="Times New Roman" w:cs="Times New Roman"/>
          <w:sz w:val="24"/>
          <w:szCs w:val="24"/>
          <w:lang w:eastAsia="da-DK"/>
        </w:rPr>
        <w:t>§§ 62-67, §§ 86-91 samt § 93, §§ 102-104, § 105, stk. 1, og §§ 118-123.</w:t>
      </w:r>
    </w:p>
    <w:p w14:paraId="7B91388E" w14:textId="77777777" w:rsidR="00221125" w:rsidRPr="00882828" w:rsidRDefault="00221125" w:rsidP="00221125">
      <w:pPr>
        <w:spacing w:line="360" w:lineRule="auto"/>
        <w:rPr>
          <w:rFonts w:ascii="Times New Roman" w:hAnsi="Times New Roman" w:cs="Times New Roman"/>
          <w:sz w:val="24"/>
          <w:szCs w:val="24"/>
        </w:rPr>
      </w:pPr>
    </w:p>
    <w:p w14:paraId="0D3399B9"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Bestemmelserne om bødestraf i 4. og 5. hvidvaskdirektivs artikel 58 er i dansk ret implementeret i hvidvasklovens § 78. Foruden at implementere 4. og 5. hvidvaskdirektivs artikel 58, udgør hvidvasklovens § 78 med senere ændringer og bemærkningerne hertil også en videreførelse af den hidtidige sanktionspraksis på hvidvaskområdet. Som redegjort nærmere for under pkt. 3.5.1 omfatter det bl.a. de forskellige principper for fastsættelsen af bødebeløbet alt efter typen af gerningsperson og overtrædelse. Der henvises for nærmere herom til pkt. 3.5.1 ovenfor. </w:t>
      </w:r>
    </w:p>
    <w:p w14:paraId="0F9D04AF" w14:textId="77777777" w:rsidR="00221125" w:rsidRPr="00882828" w:rsidRDefault="00221125" w:rsidP="00221125">
      <w:pPr>
        <w:spacing w:line="360" w:lineRule="auto"/>
        <w:rPr>
          <w:rFonts w:ascii="Times New Roman" w:hAnsi="Times New Roman" w:cs="Times New Roman"/>
          <w:sz w:val="24"/>
          <w:szCs w:val="24"/>
        </w:rPr>
      </w:pPr>
    </w:p>
    <w:p w14:paraId="15C96313"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Hvidvaskdirektivets artikel 53 og 55 og 4. og 5. hvidvaskdirektivs artikel 58 og 49 adskiller sig som det fremgår af pkt. 3.5.2 på en række punkter. For det første følger det nu af artikel 53, stk. 10, at Europa-Kommissionen vil skulle vedtage reguleringsmæssige tekniske standarder, hvori der vil blive fastsat en række regler om, hvordan forskellige overtrædelser skal klassificeres og hvilken betydning det har for fastsættelsen af bødebeløbet. For det andet vil AMLA i medfør af artikel 53, stk. 11, udstede retningslinjer for grundbeløbene i forhold til omsætningen, opdelt efter type overtrædelse og kategori af forpligtede enheder. For det tredje fremgår det nu af artikel 55, stk. 1, at der også vil kunne pålægges bøder for overtrædelser, som ikke er alvorlige, gentagne eller systematiske.</w:t>
      </w:r>
    </w:p>
    <w:p w14:paraId="69EA9DE7" w14:textId="77777777" w:rsidR="00221125" w:rsidRPr="00882828" w:rsidRDefault="00221125" w:rsidP="00221125">
      <w:pPr>
        <w:spacing w:line="360" w:lineRule="auto"/>
        <w:rPr>
          <w:rFonts w:ascii="Times New Roman" w:hAnsi="Times New Roman" w:cs="Times New Roman"/>
          <w:sz w:val="24"/>
          <w:szCs w:val="24"/>
        </w:rPr>
      </w:pPr>
    </w:p>
    <w:p w14:paraId="68B88420"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Skatte- og Vækstministeriet og Justitsministeriet har i forbindelse med de nye straffebestemmelser i hvidvaskdirektivet overvejet den eksisterende ordning, herunder de gældende regler for kategoriseringen af overtrædelser og principperne for bødefastsættelse på hvidvaskområdet, som de fremgår af bemærkningerne til hvidvasklovens § 78, stk. 3, jf. Folketingstidende 2018-19, tillæg A, L 47 som fremsat, side 46 ff. og 111-114. Ministerierne har i den forbindelse lagt vægt på, at den eksisterende ordning efter ministeriernes opfattelse er udtryk for en effektiv og proportional sanktionspraksis, der samtidig har en afskrækkende virkning og sender et klart signal om vigtigheden af at overholde reglerne på hvidvaskområdet. Den foreslåede ordning er derfor udformet med henblik på i videst muligt omfang at videreføre de eksisterende rammer, herunder principperne for vurderingen af overtrædelsernes grovhed og bødefastsættelsen, som gennemgået under pkt. 3.5.1.</w:t>
      </w:r>
    </w:p>
    <w:p w14:paraId="09B1BE55" w14:textId="77777777" w:rsidR="00221125" w:rsidRPr="00882828" w:rsidRDefault="00221125" w:rsidP="00221125">
      <w:pPr>
        <w:spacing w:line="360" w:lineRule="auto"/>
        <w:rPr>
          <w:rFonts w:ascii="Times New Roman" w:hAnsi="Times New Roman" w:cs="Times New Roman"/>
          <w:sz w:val="24"/>
          <w:szCs w:val="24"/>
        </w:rPr>
      </w:pPr>
    </w:p>
    <w:p w14:paraId="02DF7C47"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Skatte- og Vækstministeriet og Justitsministeriet har i forbindelse med videreførelsen af de gældende strafbestemmelser i hvidvaskloven også overvejet Finanstilsynets hjemmel til at udstede administrative bødeforelæg. Det fremgår af den politiske aftale af 27. marts 2019 mellem Socialdemokratiet, Radikale Venstre, Socialistisk Folkeparti, Venstre, Liberal Alliance, Det Konservative Folkeparti og Dansk Folkeparti om styrkelse af indsatsen mod finansiel kriminalitet, at Finanstilsynet skulle have en bred adgang til at udstede administrative bødeforelæg for overtrædelser af hvidvaskloven. Formålet hermed var at sikre, at Finanstilsynet kunne håndhæve sager om overtrædelse af hvidvaskreguleringen mere effektivt. Med den politiske aftale af 27. marts 2019 blev det endvidere forudsat, at der også skulle kunne udstedes administrative bødeforelæg ved overtrædelser af bestemmelser i hvidvaskloven, som kræver en nærmere skønsmæssig vurdering, når der i den konkrete sag ikke foreligger væsentlig bevismæssig tvivl. Muligheden for, at Finanstilsynet kan udstede administrative bødeforelæg, foreslås på den baggrund videreført i lovforslagets § </w:t>
      </w:r>
      <w:r>
        <w:rPr>
          <w:rFonts w:cs="Times New Roman"/>
          <w:szCs w:val="24"/>
        </w:rPr>
        <w:t>140</w:t>
      </w:r>
      <w:r w:rsidRPr="00882828">
        <w:rPr>
          <w:rFonts w:ascii="Times New Roman" w:hAnsi="Times New Roman" w:cs="Times New Roman"/>
          <w:sz w:val="24"/>
          <w:szCs w:val="24"/>
        </w:rPr>
        <w:t>.</w:t>
      </w:r>
    </w:p>
    <w:p w14:paraId="52AF6883" w14:textId="77777777" w:rsidR="00221125" w:rsidRPr="00882828" w:rsidRDefault="00221125" w:rsidP="00221125">
      <w:pPr>
        <w:spacing w:line="360" w:lineRule="auto"/>
        <w:rPr>
          <w:rFonts w:ascii="Times New Roman" w:hAnsi="Times New Roman" w:cs="Times New Roman"/>
          <w:sz w:val="24"/>
          <w:szCs w:val="24"/>
        </w:rPr>
      </w:pPr>
    </w:p>
    <w:p w14:paraId="2E4956B0"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foreslås i overensstemmelse hermed at gennemføre hvidvaskdirektivets artikel 53, stk. 10 og 11, og artikel 55 ved i § </w:t>
      </w:r>
      <w:r>
        <w:rPr>
          <w:rFonts w:cs="Times New Roman"/>
          <w:szCs w:val="24"/>
        </w:rPr>
        <w:t>139</w:t>
      </w:r>
      <w:r w:rsidRPr="00882828">
        <w:rPr>
          <w:rFonts w:ascii="Times New Roman" w:hAnsi="Times New Roman" w:cs="Times New Roman"/>
          <w:sz w:val="24"/>
          <w:szCs w:val="24"/>
        </w:rPr>
        <w:t xml:space="preserve"> at indføre en bestemmelse om, at den, der begår alvorlige, gentagne eller systematiske overtrædelser af en række af hvidvaskforordningens bestemmelser eller ikke overholder påbud om administrative tilsynsreaktioner og -foranstaltninger straffes med bøde, medmindre højere straf er forskyldt efter anden lovgivning. </w:t>
      </w:r>
    </w:p>
    <w:p w14:paraId="4E8F7A66" w14:textId="77777777" w:rsidR="00221125" w:rsidRPr="00882828" w:rsidRDefault="00221125" w:rsidP="00221125">
      <w:pPr>
        <w:spacing w:line="360" w:lineRule="auto"/>
        <w:rPr>
          <w:rFonts w:ascii="Times New Roman" w:hAnsi="Times New Roman" w:cs="Times New Roman"/>
          <w:sz w:val="24"/>
          <w:szCs w:val="24"/>
        </w:rPr>
      </w:pPr>
    </w:p>
    <w:p w14:paraId="71577A70"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Tilregnelseskravet vil som noget nyt og i overensstemmelse med direktivet være simpel uagtsomhed. Det vil dog som udgangspunkt være et krav, at overtrædelsen kan karakteriseres som alvorlig, gentagen eller systematisk, hvilket efter dansk ret ikke er et krav for domfældelse for simpel uagtsomhed. Dertil kommer, at der ligesom i dag ved særligt grove eller omfattende forsætlige overtrædelser af visse bestemmelser vil være mulighed for, at straffen kan stige til fængsel i indtil 2 år. Som noget nyt vil der i medfør af den foreslåede bestemmelse endvidere være mulighed for at ifalde et bødeansvar for overtrædelser, som ikke er af alvorlig, gentagen eller systematisk karakter. Der henvises i øvrigt til den foreslåede § </w:t>
      </w:r>
      <w:r>
        <w:rPr>
          <w:rFonts w:cs="Times New Roman"/>
          <w:szCs w:val="24"/>
        </w:rPr>
        <w:t>139</w:t>
      </w:r>
      <w:r w:rsidRPr="00882828">
        <w:rPr>
          <w:rFonts w:ascii="Times New Roman" w:hAnsi="Times New Roman" w:cs="Times New Roman"/>
          <w:sz w:val="24"/>
          <w:szCs w:val="24"/>
        </w:rPr>
        <w:t xml:space="preserve">, stk. 1-9, og bemærkningerne hertil. </w:t>
      </w:r>
    </w:p>
    <w:p w14:paraId="4400FD4B" w14:textId="77777777" w:rsidR="00221125" w:rsidRPr="00882828" w:rsidRDefault="00221125" w:rsidP="00221125">
      <w:pPr>
        <w:spacing w:line="360" w:lineRule="auto"/>
        <w:rPr>
          <w:rFonts w:ascii="Times New Roman" w:hAnsi="Times New Roman" w:cs="Times New Roman"/>
          <w:sz w:val="24"/>
          <w:szCs w:val="24"/>
        </w:rPr>
      </w:pPr>
    </w:p>
    <w:p w14:paraId="75020195"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Lovforslagets § </w:t>
      </w:r>
      <w:r>
        <w:rPr>
          <w:rFonts w:cs="Times New Roman"/>
          <w:szCs w:val="24"/>
        </w:rPr>
        <w:t>139</w:t>
      </w:r>
      <w:r w:rsidRPr="00882828">
        <w:rPr>
          <w:rFonts w:ascii="Times New Roman" w:hAnsi="Times New Roman" w:cs="Times New Roman"/>
          <w:sz w:val="24"/>
          <w:szCs w:val="24"/>
        </w:rPr>
        <w:t xml:space="preserve">, stk. 6 og 7, indeholder reglerne om, hvordan overtrædelsens grovhed vil skulle vurderes og hvad der ved udmålingen af bøde efter den foreslåede ordning vil skulle lægges vægt på. Efter den foreslåede stk. 6 vil der ved vurderingen af overtrædelsens grovhed navnlig skulle tages hensyn til de kriterier og </w:t>
      </w:r>
      <w:r w:rsidRPr="00882828">
        <w:rPr>
          <w:rFonts w:ascii="Times New Roman" w:eastAsia="Times New Roman" w:hAnsi="Times New Roman" w:cs="Times New Roman"/>
          <w:sz w:val="24"/>
          <w:szCs w:val="24"/>
          <w:lang w:eastAsia="da-DK"/>
        </w:rPr>
        <w:t>indikatorer til klassificering af niveauet for overtrædelsen, som er fastsat i regler udstedt i medfør af AMLA-forordningens artikel 49, jf. hvidvaskdirektivets artikel 53, stk. 10.</w:t>
      </w:r>
    </w:p>
    <w:p w14:paraId="69039B13" w14:textId="77777777" w:rsidR="00221125" w:rsidRPr="00882828" w:rsidRDefault="00221125" w:rsidP="00221125">
      <w:pPr>
        <w:spacing w:line="360" w:lineRule="auto"/>
        <w:rPr>
          <w:rFonts w:ascii="Times New Roman" w:eastAsia="Times New Roman" w:hAnsi="Times New Roman" w:cs="Times New Roman"/>
          <w:sz w:val="24"/>
          <w:szCs w:val="24"/>
          <w:lang w:eastAsia="da-DK"/>
        </w:rPr>
      </w:pPr>
    </w:p>
    <w:p w14:paraId="4A61221C"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 xml:space="preserve">Efter den foreslåede stk. 7 vil der ved udmålingen af bøder efter stk. 1-5 navnlig skulle lægges </w:t>
      </w:r>
      <w:r w:rsidRPr="00882828">
        <w:rPr>
          <w:rFonts w:ascii="Times New Roman" w:hAnsi="Times New Roman" w:cs="Times New Roman"/>
          <w:sz w:val="24"/>
          <w:szCs w:val="24"/>
        </w:rPr>
        <w:t>vægt på overtrædelsens grovhed, jf. stk. 6, grundbeløb for bøder i forhold til omsætning, opdelt efter type af overtrædelse og kategori af forpligtet enhed fastsat i medfør af hvidvaskdirektivets artikel 53, stk. 11, og gerningspersonens økonomiske forhold, og for virksomheder, nettoomsætning på gerningstidspunktet.</w:t>
      </w:r>
    </w:p>
    <w:p w14:paraId="0B666FD4" w14:textId="77777777" w:rsidR="00221125" w:rsidRPr="00882828" w:rsidRDefault="00221125" w:rsidP="00221125">
      <w:pPr>
        <w:spacing w:line="360" w:lineRule="auto"/>
        <w:rPr>
          <w:rFonts w:ascii="Times New Roman" w:hAnsi="Times New Roman" w:cs="Times New Roman"/>
          <w:sz w:val="24"/>
          <w:szCs w:val="24"/>
        </w:rPr>
      </w:pPr>
    </w:p>
    <w:p w14:paraId="73DCE1D1" w14:textId="77777777" w:rsidR="00221125" w:rsidRPr="00882828" w:rsidRDefault="00221125" w:rsidP="00221125">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De forventede retningslinjer for grundbeløb for bøder, der fastsættes i medfør af hvidvaskdirektivets artikel 53, stk. 11, ses for nuværende ikke at være udstedt. Det er ministeriernes vurdering, at nærværende strafbestemmelse bør skal forholde sig til retningslinjerne, når indholdet heraf er kendt.</w:t>
      </w:r>
    </w:p>
    <w:p w14:paraId="7BD00BE7" w14:textId="77777777" w:rsidR="00221125" w:rsidRPr="00882828" w:rsidRDefault="00221125" w:rsidP="00221125">
      <w:pPr>
        <w:spacing w:line="360" w:lineRule="auto"/>
        <w:rPr>
          <w:rFonts w:ascii="Times New Roman" w:eastAsia="Times New Roman" w:hAnsi="Times New Roman" w:cs="Times New Roman"/>
          <w:sz w:val="24"/>
          <w:szCs w:val="24"/>
          <w:lang w:eastAsia="da-DK"/>
        </w:rPr>
      </w:pPr>
    </w:p>
    <w:p w14:paraId="77659C38"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 xml:space="preserve">Efter den foreslåede ordning vil der således </w:t>
      </w:r>
      <w:r w:rsidRPr="00882828">
        <w:rPr>
          <w:rFonts w:ascii="Times New Roman" w:hAnsi="Times New Roman" w:cs="Times New Roman"/>
          <w:sz w:val="24"/>
          <w:szCs w:val="24"/>
        </w:rPr>
        <w:t xml:space="preserve">fortsat skulle tages stilling til lovovertrædelsernes forskelligartede karakter og at der herunder lægges vægt på omfanget og grovheden af overtrædelsen. Ved vurderingen af overtrædelsens omfang kan der blandt andet lægges vægt på overtrædelsens varighed, hyppighed og beløbsmæssige størrelse. </w:t>
      </w:r>
    </w:p>
    <w:p w14:paraId="10270190" w14:textId="77777777" w:rsidR="00221125" w:rsidRPr="00882828" w:rsidRDefault="00221125" w:rsidP="00221125">
      <w:pPr>
        <w:spacing w:line="360" w:lineRule="auto"/>
        <w:rPr>
          <w:rFonts w:ascii="Times New Roman" w:hAnsi="Times New Roman" w:cs="Times New Roman"/>
          <w:sz w:val="24"/>
          <w:szCs w:val="24"/>
        </w:rPr>
      </w:pPr>
    </w:p>
    <w:p w14:paraId="4373B679"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Fastsættelsen af straffen vil fortsat bero på domstolenes konkrete vurdering i det enkelte tilfælde af samtlige omstændigheder i sagen, og det angivne strafniveau vil kunne fraviges i op- og nedadgående retning, hvis der i den konkrete sag foreligger skærpende eller formildende omstændigheder, jf. herved de almindelige regler om straffens fastsættelse i straffelovens kapitel 10.</w:t>
      </w:r>
    </w:p>
    <w:p w14:paraId="492C0C89" w14:textId="77777777" w:rsidR="00221125" w:rsidRPr="00882828" w:rsidRDefault="00221125" w:rsidP="00221125">
      <w:pPr>
        <w:spacing w:line="360" w:lineRule="auto"/>
        <w:rPr>
          <w:rFonts w:ascii="Times New Roman" w:hAnsi="Times New Roman" w:cs="Times New Roman"/>
          <w:sz w:val="24"/>
          <w:szCs w:val="24"/>
        </w:rPr>
      </w:pPr>
    </w:p>
    <w:p w14:paraId="39E9AFAC"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Der henvises i øvrigt til § </w:t>
      </w:r>
      <w:r w:rsidRPr="00882828">
        <w:rPr>
          <w:rFonts w:cs="Times New Roman"/>
          <w:szCs w:val="24"/>
        </w:rPr>
        <w:t>139</w:t>
      </w:r>
      <w:r w:rsidRPr="00882828">
        <w:rPr>
          <w:rFonts w:ascii="Times New Roman" w:hAnsi="Times New Roman" w:cs="Times New Roman"/>
          <w:sz w:val="24"/>
          <w:szCs w:val="24"/>
        </w:rPr>
        <w:t xml:space="preserve"> og bemærkningerne dertil. </w:t>
      </w:r>
    </w:p>
    <w:p w14:paraId="55053366" w14:textId="77777777" w:rsidR="00221125" w:rsidRPr="00882828" w:rsidRDefault="00221125" w:rsidP="00221125">
      <w:pPr>
        <w:spacing w:line="360" w:lineRule="auto"/>
        <w:rPr>
          <w:rFonts w:ascii="Times New Roman" w:hAnsi="Times New Roman" w:cs="Times New Roman"/>
          <w:sz w:val="24"/>
          <w:szCs w:val="24"/>
        </w:rPr>
      </w:pPr>
    </w:p>
    <w:p w14:paraId="4391A8B2"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Endelig foreslås det at videreføre de gældende forældelsesfrister på 5 og 10 år i hvidvasklovens § 78, stk. 5. Ministerierne har i den forbindelse lagt vægt på, at den 5-årige forældelsesfrist svarer til den almindeligt gældende forældelsesfrist i den finansielle lovgivning. Den forlængede forældelsesfrist er dermed begrundet i, at en række overtrædelser først opdages ved undersøgelser i virksomheden. Da tilsynsmyndighedernes undersøgelser ofte sker med mere end 2 års interval, kan der være indtruffet forældelse ved konstatering af disse overtrædelser. </w:t>
      </w:r>
    </w:p>
    <w:p w14:paraId="460189EF" w14:textId="77777777" w:rsidR="00221125" w:rsidRPr="00882828" w:rsidRDefault="00221125" w:rsidP="00221125">
      <w:pPr>
        <w:spacing w:line="360" w:lineRule="auto"/>
        <w:rPr>
          <w:rFonts w:ascii="Times New Roman" w:hAnsi="Times New Roman" w:cs="Times New Roman"/>
          <w:sz w:val="24"/>
          <w:szCs w:val="24"/>
        </w:rPr>
      </w:pPr>
    </w:p>
    <w:p w14:paraId="4415646D" w14:textId="77777777" w:rsidR="00221125" w:rsidRPr="00882828" w:rsidRDefault="00221125" w:rsidP="00221125">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Ministerierne har endvidere lagt vægt på, at fælles for de anførte bestemmelser i hvidvaskforordningen, hvor der foreslås at videreføre en 10-årsforældelsesfrist, er, at der er tale om overtrædelser, der særligt udsætter virksomheder og personer omfattet af hvidvaskloven for at blive brugt til hvidvask og terrorfinansiering, og hvor overholdelsen heraf derfor er afgørende for en virksomheds effektive forebyggelse af hvidvask og terrorfinansiering. En overtrædelse af disse bestemmelser, må anses som grove overtrædelser af hvidvaskforordningen og den foreslåede lov, og derfor bør disse bestemmelser omfattes af den forlængede forældelsesfrist. Bestemmelserne udgør nogle af de særligt vigtige pligter i hvidvaskforordningen og den foreslåede lov, og overtrædelser heraf betragtes som grove. Det er således hensigten, at den foreslåede forlængede forældelsesfrist skal medvirke til at forebygge hvidvask eller terrorfinansiering samt sikre en øget og styrket håndhævelses- og sanktioneringsmulighed over for grove overtrædelser af hvidvaskreguleringen. </w:t>
      </w:r>
    </w:p>
    <w:p w14:paraId="3611EBDF" w14:textId="77777777" w:rsidR="00946C69" w:rsidRPr="00796736" w:rsidRDefault="00946C69" w:rsidP="00A802A5">
      <w:pPr>
        <w:spacing w:line="360" w:lineRule="auto"/>
        <w:rPr>
          <w:rFonts w:ascii="Times New Roman" w:hAnsi="Times New Roman" w:cs="Times New Roman"/>
          <w:sz w:val="24"/>
          <w:szCs w:val="24"/>
        </w:rPr>
      </w:pPr>
    </w:p>
    <w:p w14:paraId="5FA694F9" w14:textId="43630A63" w:rsidR="004E1494" w:rsidRPr="00796736" w:rsidRDefault="004E1494" w:rsidP="00A802A5">
      <w:pPr>
        <w:pStyle w:val="Overskrift2"/>
        <w:rPr>
          <w:rFonts w:ascii="Times New Roman" w:hAnsi="Times New Roman"/>
          <w:sz w:val="24"/>
        </w:rPr>
      </w:pPr>
      <w:bookmarkStart w:id="1539" w:name="_Toc232109324"/>
      <w:bookmarkStart w:id="1540" w:name="_Ref236641701"/>
      <w:bookmarkStart w:id="1541" w:name="_Ref239330877"/>
      <w:bookmarkStart w:id="1542" w:name="_Toc244880810"/>
      <w:r w:rsidRPr="00796736">
        <w:rPr>
          <w:rFonts w:ascii="Times New Roman" w:hAnsi="Times New Roman"/>
          <w:sz w:val="24"/>
        </w:rPr>
        <w:t xml:space="preserve">Ændringer i </w:t>
      </w:r>
      <w:bookmarkEnd w:id="1539"/>
      <w:bookmarkEnd w:id="1540"/>
      <w:bookmarkEnd w:id="1541"/>
      <w:r w:rsidR="0098620D" w:rsidRPr="00796736">
        <w:rPr>
          <w:rFonts w:ascii="Times New Roman" w:hAnsi="Times New Roman"/>
          <w:sz w:val="24"/>
        </w:rPr>
        <w:t>lov om spil</w:t>
      </w:r>
      <w:bookmarkEnd w:id="1542"/>
      <w:r w:rsidRPr="00796736">
        <w:rPr>
          <w:rFonts w:ascii="Times New Roman" w:hAnsi="Times New Roman"/>
          <w:sz w:val="24"/>
        </w:rPr>
        <w:t xml:space="preserve"> </w:t>
      </w:r>
    </w:p>
    <w:p w14:paraId="14AE096C" w14:textId="40426C79" w:rsidR="004E1494" w:rsidRPr="00796736" w:rsidDel="00B40A3F" w:rsidRDefault="004E1494" w:rsidP="00A802A5">
      <w:pPr>
        <w:pStyle w:val="Overskrift4"/>
        <w:rPr>
          <w:rFonts w:ascii="Times New Roman" w:hAnsi="Times New Roman" w:cs="Times New Roman"/>
          <w:sz w:val="24"/>
          <w:szCs w:val="24"/>
        </w:rPr>
      </w:pPr>
      <w:bookmarkStart w:id="1543" w:name="_Toc232109325"/>
      <w:r w:rsidRPr="00796736">
        <w:rPr>
          <w:rFonts w:ascii="Times New Roman" w:hAnsi="Times New Roman" w:cs="Times New Roman"/>
          <w:sz w:val="24"/>
          <w:szCs w:val="24"/>
        </w:rPr>
        <w:t>Gældende ret</w:t>
      </w:r>
      <w:bookmarkEnd w:id="1543"/>
    </w:p>
    <w:p w14:paraId="225D8AE8" w14:textId="77777777" w:rsidR="00AD59FB" w:rsidRPr="00796736" w:rsidRDefault="00AD59F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29, stk. 1, i lov om spil, at tilladelse til udbud og arrangering af spil kun kan gives til ansøgere, der må antages at kunne udøve virksomhed med spil på økonomisk og faglig forsvarlig vis.</w:t>
      </w:r>
    </w:p>
    <w:p w14:paraId="79A6A36B" w14:textId="77777777" w:rsidR="00AD59FB" w:rsidRPr="00796736" w:rsidRDefault="00AD59FB" w:rsidP="00A802A5">
      <w:pPr>
        <w:spacing w:line="360" w:lineRule="auto"/>
        <w:rPr>
          <w:rFonts w:ascii="Times New Roman" w:hAnsi="Times New Roman" w:cs="Times New Roman"/>
          <w:sz w:val="24"/>
          <w:szCs w:val="24"/>
        </w:rPr>
      </w:pPr>
    </w:p>
    <w:p w14:paraId="08D84878" w14:textId="77777777" w:rsidR="00AD59FB" w:rsidRPr="00796736" w:rsidRDefault="00AD59F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29, stk. 2, i lov om spil, at tilladelse ikke kan gives, hvis ansøgeren, reelle ejere, medlemmer af direktion eller bestyrelse eller andre, der kan øve en bestemmende indflydelse på virksomhedens drift, har udvist en sådan adfærd, at der er grund til at antage, at virksomheden ikke vil blive drevet på forsvarlig måde.</w:t>
      </w:r>
    </w:p>
    <w:p w14:paraId="66F361D5" w14:textId="77777777" w:rsidR="004E1494" w:rsidRPr="00796736" w:rsidRDefault="004E1494" w:rsidP="00A802A5">
      <w:pPr>
        <w:spacing w:line="360" w:lineRule="auto"/>
        <w:rPr>
          <w:rFonts w:ascii="Times New Roman" w:hAnsi="Times New Roman" w:cs="Times New Roman"/>
          <w:sz w:val="24"/>
          <w:szCs w:val="24"/>
        </w:rPr>
      </w:pPr>
    </w:p>
    <w:p w14:paraId="21FD043E" w14:textId="77777777" w:rsidR="004E1494" w:rsidRPr="00796736" w:rsidRDefault="004E149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44, stk. 1, i lov om spil, at Spillemyndigheden kan tilbagekalde en tilladelse til udbud af spil, hvis tilladelsesindehaveren eller dennes repræsentant</w:t>
      </w:r>
    </w:p>
    <w:p w14:paraId="02988C87" w14:textId="08070388"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groft eller gentagne gange har overtrådt denne lov, bestemmelser fastsat i henhold til denne lov eller vilkår for tilladelsen,</w:t>
      </w:r>
    </w:p>
    <w:p w14:paraId="3153CDE4" w14:textId="4CB107E7"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er dømt for et strafbart forhold, der begrunder nærliggende fare for misbrug af adgangen til at arbejde med spil,</w:t>
      </w:r>
    </w:p>
    <w:p w14:paraId="770E7C2B" w14:textId="4B6160BC"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længere opfylder betingelsen i § 29,</w:t>
      </w:r>
    </w:p>
    <w:p w14:paraId="01BE7463" w14:textId="46164B1C"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groft eller gentagne gange ikke angiver afgifter efter lov om afgifter af spil, jf. §§ 21-25,</w:t>
      </w:r>
    </w:p>
    <w:p w14:paraId="0283A9B3" w14:textId="5653F465"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betaler forfaldne gebyrer efter § 42 g,</w:t>
      </w:r>
    </w:p>
    <w:p w14:paraId="1011E032" w14:textId="6C6E8E78"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groft eller gentagne gange ikke betaler forfaldne afgifter eller ikke stiller sikkerhed, jf. lov om afgifter af spil og lov om opkrævning af skatter og afgifter m.v.,</w:t>
      </w:r>
    </w:p>
    <w:p w14:paraId="18D29010" w14:textId="39C3F7B1"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betaler forfaldne gebyrer efter regler fastsat i medfør af §§ 42-42 b og 42 d,</w:t>
      </w:r>
    </w:p>
    <w:p w14:paraId="60ED86FA" w14:textId="473B69B2"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har forfalden gæld til det offentlige, der overstiger 100.000 kr.,</w:t>
      </w:r>
    </w:p>
    <w:p w14:paraId="13601250" w14:textId="72DF9BC0"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har anmeldt virksomheden til registrering hos</w:t>
      </w:r>
      <w:r w:rsidR="0098620D" w:rsidRPr="00796736">
        <w:rPr>
          <w:rFonts w:ascii="Times New Roman" w:hAnsi="Times New Roman" w:cs="Times New Roman"/>
          <w:sz w:val="24"/>
          <w:szCs w:val="24"/>
        </w:rPr>
        <w:t xml:space="preserve"> S</w:t>
      </w:r>
      <w:r w:rsidRPr="00796736">
        <w:rPr>
          <w:rFonts w:ascii="Times New Roman" w:hAnsi="Times New Roman" w:cs="Times New Roman"/>
          <w:sz w:val="24"/>
          <w:szCs w:val="24"/>
        </w:rPr>
        <w:t>katteforvaltningen, senest 4 uger efter at tilladelse er givet, jf. lov om afgifter af spil, eller</w:t>
      </w:r>
    </w:p>
    <w:p w14:paraId="67AB4121" w14:textId="76B21E1A" w:rsidR="004E1494" w:rsidRPr="00796736" w:rsidRDefault="004E1494">
      <w:pPr>
        <w:pStyle w:val="Listeafsnit"/>
        <w:numPr>
          <w:ilvl w:val="2"/>
          <w:numId w:val="39"/>
        </w:numPr>
        <w:spacing w:line="360" w:lineRule="auto"/>
        <w:rPr>
          <w:rFonts w:ascii="Times New Roman" w:hAnsi="Times New Roman" w:cs="Times New Roman"/>
          <w:sz w:val="24"/>
          <w:szCs w:val="24"/>
        </w:rPr>
      </w:pPr>
      <w:r w:rsidRPr="00796736">
        <w:rPr>
          <w:rFonts w:ascii="Times New Roman" w:hAnsi="Times New Roman" w:cs="Times New Roman"/>
          <w:sz w:val="24"/>
          <w:szCs w:val="24"/>
        </w:rPr>
        <w:t>ikke efterkommer afgørelser efter § 49 a.</w:t>
      </w:r>
    </w:p>
    <w:p w14:paraId="2FEE866D" w14:textId="77777777" w:rsidR="004E1494" w:rsidRPr="00796736" w:rsidRDefault="004E1494" w:rsidP="00A802A5">
      <w:pPr>
        <w:spacing w:line="360" w:lineRule="auto"/>
        <w:rPr>
          <w:rFonts w:ascii="Times New Roman" w:hAnsi="Times New Roman" w:cs="Times New Roman"/>
          <w:sz w:val="24"/>
          <w:szCs w:val="24"/>
        </w:rPr>
      </w:pPr>
    </w:p>
    <w:p w14:paraId="6CA7CB9A" w14:textId="77777777" w:rsidR="004E1494" w:rsidRPr="00796736" w:rsidRDefault="004E149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44, stk. 2, i lov om spil, at en tilladelse til udbud af spil endvidere kan tilbagekaldes, hvis tilladelsesindehaverens udbud eller arrangering af spil udgør en væsentlig forstyrrelse af den offentlige orden.</w:t>
      </w:r>
    </w:p>
    <w:p w14:paraId="7C3AC223" w14:textId="77777777" w:rsidR="004E1494" w:rsidRPr="00796736" w:rsidRDefault="004E1494" w:rsidP="00A802A5">
      <w:pPr>
        <w:spacing w:line="360" w:lineRule="auto"/>
        <w:rPr>
          <w:rFonts w:ascii="Times New Roman" w:hAnsi="Times New Roman" w:cs="Times New Roman"/>
          <w:sz w:val="24"/>
          <w:szCs w:val="24"/>
        </w:rPr>
      </w:pPr>
    </w:p>
    <w:p w14:paraId="4CD17E9B" w14:textId="6D5B6E1A" w:rsidR="004E1494" w:rsidRPr="00796736" w:rsidRDefault="004E149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51, stk. 1, i lov om spil, at klager over Spillemyndighedens afgørelser om tilbagekaldelse af tilladelser til udbud af spil, jf. § 44, stk. 1, nr. 1-3, og afgørelser om tilbagekaldelse af tilladelser til spilleverandører, jf. § 45 a, nr. 1-3, har opsættende virkning, medmindre Landsskatteretten eller skatteankeforvaltningen bestemmer andet.</w:t>
      </w:r>
    </w:p>
    <w:p w14:paraId="7A654B77" w14:textId="77777777" w:rsidR="004E1494" w:rsidRPr="00796736" w:rsidRDefault="004E1494" w:rsidP="00A802A5">
      <w:pPr>
        <w:spacing w:line="360" w:lineRule="auto"/>
        <w:rPr>
          <w:rFonts w:ascii="Times New Roman" w:hAnsi="Times New Roman" w:cs="Times New Roman"/>
          <w:sz w:val="24"/>
          <w:szCs w:val="24"/>
        </w:rPr>
      </w:pPr>
    </w:p>
    <w:p w14:paraId="1B0CFE42" w14:textId="783A9ACA" w:rsidR="004E1494" w:rsidRPr="00796736" w:rsidRDefault="004E1494" w:rsidP="00A802A5">
      <w:pPr>
        <w:pStyle w:val="Overskrift4"/>
        <w:rPr>
          <w:rFonts w:ascii="Times New Roman" w:hAnsi="Times New Roman" w:cs="Times New Roman"/>
          <w:sz w:val="24"/>
          <w:szCs w:val="24"/>
        </w:rPr>
      </w:pPr>
      <w:bookmarkStart w:id="1544" w:name="_Toc232109326"/>
      <w:r w:rsidRPr="00796736">
        <w:rPr>
          <w:rFonts w:ascii="Times New Roman" w:hAnsi="Times New Roman" w:cs="Times New Roman"/>
          <w:sz w:val="24"/>
          <w:szCs w:val="24"/>
        </w:rPr>
        <w:t>6. hvidvaskdirektiv</w:t>
      </w:r>
      <w:bookmarkEnd w:id="1544"/>
    </w:p>
    <w:p w14:paraId="4DF47A7E" w14:textId="77777777" w:rsidR="004E1494" w:rsidRPr="00796736" w:rsidRDefault="004E149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artikel 56, stk. 2, litra f, i 6. hvidvaskdirektiv, at medlemsstaterne sikrer, at tilsynsorganerne som minimum kan, hvor en forpligtet enhed er underlagt krav om en tilladelse, trække tilladelsen tilbage eller suspendere den.</w:t>
      </w:r>
    </w:p>
    <w:p w14:paraId="2B17CDA7" w14:textId="77777777" w:rsidR="004E1494" w:rsidRPr="00796736" w:rsidRDefault="004E1494" w:rsidP="00A802A5">
      <w:pPr>
        <w:spacing w:line="360" w:lineRule="auto"/>
        <w:rPr>
          <w:rFonts w:ascii="Times New Roman" w:hAnsi="Times New Roman" w:cs="Times New Roman"/>
          <w:sz w:val="24"/>
          <w:szCs w:val="24"/>
        </w:rPr>
      </w:pPr>
    </w:p>
    <w:p w14:paraId="4B395516" w14:textId="3DA14A5B" w:rsidR="004E1494" w:rsidRPr="00796736" w:rsidRDefault="004E1494" w:rsidP="00A802A5">
      <w:pPr>
        <w:pStyle w:val="Overskrift4"/>
        <w:rPr>
          <w:rFonts w:ascii="Times New Roman" w:hAnsi="Times New Roman" w:cs="Times New Roman"/>
          <w:sz w:val="24"/>
          <w:szCs w:val="24"/>
        </w:rPr>
      </w:pPr>
      <w:bookmarkStart w:id="1545" w:name="_Toc232109327"/>
      <w:r w:rsidRPr="00796736">
        <w:rPr>
          <w:rFonts w:ascii="Times New Roman" w:hAnsi="Times New Roman" w:cs="Times New Roman"/>
          <w:sz w:val="24"/>
          <w:szCs w:val="24"/>
        </w:rPr>
        <w:t>Skatte</w:t>
      </w:r>
      <w:r w:rsidR="00AD59FB" w:rsidRPr="00796736">
        <w:rPr>
          <w:rFonts w:ascii="Times New Roman" w:hAnsi="Times New Roman" w:cs="Times New Roman"/>
          <w:sz w:val="24"/>
          <w:szCs w:val="24"/>
        </w:rPr>
        <w:t>- og Vækst</w:t>
      </w:r>
      <w:r w:rsidRPr="00796736">
        <w:rPr>
          <w:rFonts w:ascii="Times New Roman" w:hAnsi="Times New Roman" w:cs="Times New Roman"/>
          <w:sz w:val="24"/>
          <w:szCs w:val="24"/>
        </w:rPr>
        <w:t>ministeriets overvejelser</w:t>
      </w:r>
      <w:r w:rsidR="009F0B66" w:rsidRPr="00796736">
        <w:rPr>
          <w:rFonts w:ascii="Times New Roman" w:hAnsi="Times New Roman" w:cs="Times New Roman"/>
          <w:sz w:val="24"/>
          <w:szCs w:val="24"/>
        </w:rPr>
        <w:t xml:space="preserve"> og den foreslåede ordning</w:t>
      </w:r>
      <w:bookmarkEnd w:id="1545"/>
    </w:p>
    <w:p w14:paraId="6CB95950" w14:textId="5C3A7558" w:rsidR="002A6435" w:rsidRPr="00796736" w:rsidRDefault="002A643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Skatte- og Vækstministeriet vurderer, at der bør ske en mindre justering af bemærkningerne til § 29, stk. 2, i lov om spil, så det tydeliggøres, at hæderligheds- og egnethedsvurderingen i forhold til bekæmpelse og forebyggelse af hvidvask og terrorfinansiering foretages med hjemmel i dette lovforslags</w:t>
      </w:r>
      <w:r w:rsidR="00922AA1" w:rsidRPr="00796736">
        <w:rPr>
          <w:rFonts w:ascii="Times New Roman" w:hAnsi="Times New Roman" w:cs="Times New Roman"/>
          <w:sz w:val="24"/>
          <w:szCs w:val="24"/>
        </w:rPr>
        <w:t xml:space="preserve"> </w:t>
      </w:r>
      <w:r w:rsidR="00922AA1" w:rsidRPr="00796736">
        <w:rPr>
          <w:rFonts w:ascii="Times New Roman" w:hAnsi="Times New Roman" w:cs="Times New Roman"/>
          <w:sz w:val="24"/>
          <w:szCs w:val="24"/>
        </w:rPr>
        <w:fldChar w:fldCharType="begin"/>
      </w:r>
      <w:r w:rsidR="00922AA1" w:rsidRPr="00796736">
        <w:rPr>
          <w:rFonts w:ascii="Times New Roman" w:hAnsi="Times New Roman" w:cs="Times New Roman"/>
          <w:sz w:val="24"/>
          <w:szCs w:val="24"/>
        </w:rPr>
        <w:instrText xml:space="preserve"> REF _Ref236641619 \r \h </w:instrText>
      </w:r>
      <w:r w:rsidR="00F375BF" w:rsidRPr="00796736">
        <w:rPr>
          <w:rFonts w:ascii="Times New Roman" w:hAnsi="Times New Roman" w:cs="Times New Roman"/>
          <w:sz w:val="24"/>
          <w:szCs w:val="24"/>
        </w:rPr>
        <w:instrText xml:space="preserve"> \* MERGEFORMAT </w:instrText>
      </w:r>
      <w:r w:rsidR="00922AA1" w:rsidRPr="00796736">
        <w:rPr>
          <w:rFonts w:ascii="Times New Roman" w:hAnsi="Times New Roman" w:cs="Times New Roman"/>
          <w:sz w:val="24"/>
          <w:szCs w:val="24"/>
        </w:rPr>
      </w:r>
      <w:r w:rsidR="00922AA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115</w:t>
      </w:r>
      <w:r w:rsidR="00922AA1"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 og 2, og at der er et overlap mellem denne vurdering og den vurdering, der foretages i relation til den nævnte personkreds’ egnethed og hæderlighed til at arbejde med virksomhed med spil.</w:t>
      </w:r>
    </w:p>
    <w:p w14:paraId="5F3490AE" w14:textId="77777777" w:rsidR="002A6435" w:rsidRPr="00796736" w:rsidRDefault="002A6435" w:rsidP="00A802A5">
      <w:pPr>
        <w:spacing w:line="360" w:lineRule="auto"/>
        <w:rPr>
          <w:rFonts w:ascii="Times New Roman" w:hAnsi="Times New Roman" w:cs="Times New Roman"/>
          <w:sz w:val="24"/>
          <w:szCs w:val="24"/>
        </w:rPr>
      </w:pPr>
    </w:p>
    <w:p w14:paraId="7E9F46CA" w14:textId="284CF3B6" w:rsidR="002A6435" w:rsidRPr="00796736" w:rsidRDefault="002A643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er i lov om spil mulighed for at tilbagekalde en tilladelse til udbud af spil i § 44. Skatte- og Vækstministeriet vurderer, at artikel 56, stk. 2, litra f, i 6. hvidvaskdirektiv </w:t>
      </w:r>
      <w:r w:rsidR="0098620D" w:rsidRPr="00796736">
        <w:rPr>
          <w:rFonts w:ascii="Times New Roman" w:hAnsi="Times New Roman" w:cs="Times New Roman"/>
          <w:sz w:val="24"/>
          <w:szCs w:val="24"/>
        </w:rPr>
        <w:t>vil skulle</w:t>
      </w:r>
      <w:r w:rsidRPr="00796736">
        <w:rPr>
          <w:rFonts w:ascii="Times New Roman" w:hAnsi="Times New Roman" w:cs="Times New Roman"/>
          <w:sz w:val="24"/>
          <w:szCs w:val="24"/>
        </w:rPr>
        <w:t xml:space="preserve"> særskilt implementeres i lov om spil, så det er tydeligt, at en overtrædelse af hvidvaskforordningen kan føre til en tilbagekaldelse af udbyderens af spils tilladelse.</w:t>
      </w:r>
    </w:p>
    <w:p w14:paraId="3F6B9C95" w14:textId="77777777" w:rsidR="002A6435" w:rsidRPr="00796736" w:rsidRDefault="002A6435" w:rsidP="00A802A5">
      <w:pPr>
        <w:spacing w:line="360" w:lineRule="auto"/>
        <w:rPr>
          <w:rFonts w:ascii="Times New Roman" w:hAnsi="Times New Roman" w:cs="Times New Roman"/>
          <w:sz w:val="24"/>
          <w:szCs w:val="24"/>
        </w:rPr>
      </w:pPr>
    </w:p>
    <w:p w14:paraId="1E62DADF" w14:textId="32CA247F" w:rsidR="002A6435" w:rsidRPr="00796736" w:rsidRDefault="002A643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Skatte- og Vækstministeriet vurderer desuden, at der med fordel </w:t>
      </w:r>
      <w:r w:rsidR="0098620D" w:rsidRPr="00796736">
        <w:rPr>
          <w:rFonts w:ascii="Times New Roman" w:hAnsi="Times New Roman" w:cs="Times New Roman"/>
          <w:sz w:val="24"/>
          <w:szCs w:val="24"/>
        </w:rPr>
        <w:t>vil kunne</w:t>
      </w:r>
      <w:r w:rsidRPr="00796736">
        <w:rPr>
          <w:rFonts w:ascii="Times New Roman" w:hAnsi="Times New Roman" w:cs="Times New Roman"/>
          <w:sz w:val="24"/>
          <w:szCs w:val="24"/>
        </w:rPr>
        <w:t xml:space="preserve"> indsættes et nyt stk. 3, i § 44 vedrørende muligheden for at tilbagekalde en tilladelse til udbud af spil, hvis en reel ejer af en udbyder af spil bliver dømt for hvidvask af penge, de relevante underliggende lovovertrædelser eller finansiering af terrorisme. Dette kan således være konsekvensen, hvis den reelle ejer ikke efterkommer et påbud om at afhænde ejerandele som foreslået i lovforslagets</w:t>
      </w:r>
      <w:r w:rsidR="00922AA1" w:rsidRPr="00796736">
        <w:rPr>
          <w:rFonts w:ascii="Times New Roman" w:hAnsi="Times New Roman" w:cs="Times New Roman"/>
          <w:sz w:val="24"/>
          <w:szCs w:val="24"/>
        </w:rPr>
        <w:t xml:space="preserve"> </w:t>
      </w:r>
      <w:r w:rsidR="00922AA1" w:rsidRPr="00796736">
        <w:rPr>
          <w:rFonts w:ascii="Times New Roman" w:hAnsi="Times New Roman" w:cs="Times New Roman"/>
          <w:sz w:val="24"/>
          <w:szCs w:val="24"/>
        </w:rPr>
        <w:fldChar w:fldCharType="begin"/>
      </w:r>
      <w:r w:rsidR="00922AA1" w:rsidRPr="00796736">
        <w:rPr>
          <w:rFonts w:ascii="Times New Roman" w:hAnsi="Times New Roman" w:cs="Times New Roman"/>
          <w:sz w:val="24"/>
          <w:szCs w:val="24"/>
        </w:rPr>
        <w:instrText xml:space="preserve"> REF _Ref236145057 \r \h </w:instrText>
      </w:r>
      <w:r w:rsidR="00F375BF" w:rsidRPr="00796736">
        <w:rPr>
          <w:rFonts w:ascii="Times New Roman" w:hAnsi="Times New Roman" w:cs="Times New Roman"/>
          <w:sz w:val="24"/>
          <w:szCs w:val="24"/>
        </w:rPr>
        <w:instrText xml:space="preserve"> \* MERGEFORMAT </w:instrText>
      </w:r>
      <w:r w:rsidR="00922AA1" w:rsidRPr="00796736">
        <w:rPr>
          <w:rFonts w:ascii="Times New Roman" w:hAnsi="Times New Roman" w:cs="Times New Roman"/>
          <w:sz w:val="24"/>
          <w:szCs w:val="24"/>
        </w:rPr>
      </w:r>
      <w:r w:rsidR="00922AA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121</w:t>
      </w:r>
      <w:r w:rsidR="00922AA1"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51734F37" w14:textId="77777777" w:rsidR="002A6435" w:rsidRPr="00796736" w:rsidRDefault="002A6435" w:rsidP="00A802A5">
      <w:pPr>
        <w:spacing w:line="360" w:lineRule="auto"/>
        <w:rPr>
          <w:rFonts w:ascii="Times New Roman" w:hAnsi="Times New Roman" w:cs="Times New Roman"/>
          <w:sz w:val="24"/>
          <w:szCs w:val="24"/>
        </w:rPr>
      </w:pPr>
    </w:p>
    <w:p w14:paraId="4FB2BF48" w14:textId="4495EAE7" w:rsidR="002A6435" w:rsidRPr="00796736" w:rsidRDefault="002A643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indsættelse i § 44, stk. 1, nr. 11, og indsættelsen af et stk. 3, i § 44, nødvendiggør en </w:t>
      </w:r>
      <w:r w:rsidR="0098620D" w:rsidRPr="00796736">
        <w:rPr>
          <w:rFonts w:ascii="Times New Roman" w:hAnsi="Times New Roman" w:cs="Times New Roman"/>
          <w:sz w:val="24"/>
          <w:szCs w:val="24"/>
        </w:rPr>
        <w:t>ændring</w:t>
      </w:r>
      <w:r w:rsidRPr="00796736">
        <w:rPr>
          <w:rFonts w:ascii="Times New Roman" w:hAnsi="Times New Roman" w:cs="Times New Roman"/>
          <w:sz w:val="24"/>
          <w:szCs w:val="24"/>
        </w:rPr>
        <w:t xml:space="preserve"> af § 51, stk. 1, i lov om spil. </w:t>
      </w:r>
    </w:p>
    <w:p w14:paraId="01E070EE" w14:textId="77777777" w:rsidR="002A6435" w:rsidRPr="00796736" w:rsidRDefault="002A6435" w:rsidP="00A802A5">
      <w:pPr>
        <w:spacing w:line="360" w:lineRule="auto"/>
        <w:rPr>
          <w:rFonts w:ascii="Times New Roman" w:hAnsi="Times New Roman" w:cs="Times New Roman"/>
          <w:sz w:val="24"/>
          <w:szCs w:val="24"/>
        </w:rPr>
      </w:pPr>
    </w:p>
    <w:p w14:paraId="1760FFE1" w14:textId="77777777" w:rsidR="002A6435" w:rsidRPr="00796736" w:rsidRDefault="002A643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at foretage en sproglig ændring i § 29, stk. 1 og stk. 2, som alene har til formål at give mulighed for i bemærkningerne at angive nogle hensyn i relation til forebyggelse og bekæmpelse af hvidvask og terrorfinansiering.</w:t>
      </w:r>
    </w:p>
    <w:p w14:paraId="7F452297" w14:textId="77777777" w:rsidR="002A6435" w:rsidRPr="00796736" w:rsidRDefault="002A6435" w:rsidP="00A802A5">
      <w:pPr>
        <w:spacing w:line="360" w:lineRule="auto"/>
        <w:rPr>
          <w:rFonts w:ascii="Times New Roman" w:hAnsi="Times New Roman" w:cs="Times New Roman"/>
          <w:sz w:val="24"/>
          <w:szCs w:val="24"/>
        </w:rPr>
      </w:pPr>
    </w:p>
    <w:p w14:paraId="1A4D027A" w14:textId="69187ED6" w:rsidR="002A6435" w:rsidRPr="00796736" w:rsidRDefault="002A643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 44, stk. 1, at indsætte nr. 11, hvorefter en tilladelse til udbud af spil </w:t>
      </w:r>
      <w:r w:rsidR="0098620D" w:rsidRPr="00796736">
        <w:rPr>
          <w:rFonts w:ascii="Times New Roman" w:hAnsi="Times New Roman" w:cs="Times New Roman"/>
          <w:sz w:val="24"/>
          <w:szCs w:val="24"/>
        </w:rPr>
        <w:t>vil kunne</w:t>
      </w:r>
      <w:r w:rsidRPr="00796736">
        <w:rPr>
          <w:rFonts w:ascii="Times New Roman" w:hAnsi="Times New Roman" w:cs="Times New Roman"/>
          <w:sz w:val="24"/>
          <w:szCs w:val="24"/>
        </w:rPr>
        <w:t xml:space="preserve"> tilbagekaldes, hvis tilladelsesindehaveren eller dennes repræsentant ved alvorlige, gentagne eller systematiske overtrædelser har overtrådt hvidvaskforordningen.  </w:t>
      </w:r>
    </w:p>
    <w:p w14:paraId="1764D378" w14:textId="77777777" w:rsidR="002A6435" w:rsidRPr="00796736" w:rsidRDefault="002A6435" w:rsidP="00A802A5">
      <w:pPr>
        <w:spacing w:line="360" w:lineRule="auto"/>
        <w:rPr>
          <w:rFonts w:ascii="Times New Roman" w:hAnsi="Times New Roman" w:cs="Times New Roman"/>
          <w:sz w:val="24"/>
          <w:szCs w:val="24"/>
        </w:rPr>
      </w:pPr>
    </w:p>
    <w:p w14:paraId="12117192" w14:textId="561F9837" w:rsidR="002A6435" w:rsidRPr="00796736" w:rsidRDefault="002A643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 44 at indsætte et stk. 3, hvorefter en tilladelse til udbud af spil også </w:t>
      </w:r>
      <w:r w:rsidR="0098620D" w:rsidRPr="00796736">
        <w:rPr>
          <w:rFonts w:ascii="Times New Roman" w:hAnsi="Times New Roman" w:cs="Times New Roman"/>
          <w:sz w:val="24"/>
          <w:szCs w:val="24"/>
        </w:rPr>
        <w:t>vil kunne</w:t>
      </w:r>
      <w:r w:rsidRPr="00796736">
        <w:rPr>
          <w:rFonts w:ascii="Times New Roman" w:hAnsi="Times New Roman" w:cs="Times New Roman"/>
          <w:sz w:val="24"/>
          <w:szCs w:val="24"/>
        </w:rPr>
        <w:t xml:space="preserve"> tilbagekaldes, hvis tilladelsesindehaverens reelle ejer bliver dømt for hvidvask af penge, de relevante underliggende lovovertrædelser eller finansiering af terrorisme.</w:t>
      </w:r>
    </w:p>
    <w:p w14:paraId="423EB2C0" w14:textId="77777777" w:rsidR="002A6435" w:rsidRPr="00796736" w:rsidRDefault="002A6435" w:rsidP="00A802A5">
      <w:pPr>
        <w:spacing w:line="360" w:lineRule="auto"/>
        <w:rPr>
          <w:rFonts w:ascii="Times New Roman" w:hAnsi="Times New Roman" w:cs="Times New Roman"/>
          <w:sz w:val="24"/>
          <w:szCs w:val="24"/>
        </w:rPr>
      </w:pPr>
    </w:p>
    <w:p w14:paraId="7A5C38E0" w14:textId="77777777" w:rsidR="002A6435" w:rsidRPr="00796736" w:rsidRDefault="002A643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herudover at foretage nødvendige tilpasninger af § 51, stk. 1, som følge af nye krav i den foreslåede § 44, stk. 1, nr. 11 og stk. 3. </w:t>
      </w:r>
    </w:p>
    <w:p w14:paraId="0EB8B93A" w14:textId="77777777" w:rsidR="004E1494" w:rsidRPr="00796736" w:rsidRDefault="004E1494" w:rsidP="00A802A5">
      <w:pPr>
        <w:spacing w:after="160" w:line="360" w:lineRule="auto"/>
        <w:rPr>
          <w:rFonts w:ascii="Times New Roman" w:eastAsia="Calibri" w:hAnsi="Times New Roman" w:cs="Times New Roman"/>
          <w:i/>
          <w:sz w:val="24"/>
          <w:szCs w:val="24"/>
        </w:rPr>
      </w:pPr>
    </w:p>
    <w:p w14:paraId="7E9C501A" w14:textId="127CDB7F" w:rsidR="000A36C6" w:rsidRPr="00796736" w:rsidRDefault="000A36C6" w:rsidP="00A802A5">
      <w:pPr>
        <w:pStyle w:val="Overskrift1"/>
        <w:spacing w:line="360" w:lineRule="auto"/>
        <w:rPr>
          <w:rFonts w:ascii="Times New Roman" w:hAnsi="Times New Roman" w:cs="Times New Roman"/>
          <w:sz w:val="24"/>
          <w:szCs w:val="24"/>
        </w:rPr>
      </w:pPr>
      <w:bookmarkStart w:id="1546" w:name="_Toc244880811"/>
      <w:r w:rsidRPr="00796736">
        <w:rPr>
          <w:rFonts w:ascii="Times New Roman" w:hAnsi="Times New Roman" w:cs="Times New Roman"/>
          <w:sz w:val="24"/>
          <w:szCs w:val="24"/>
        </w:rPr>
        <w:t>4. Forholdet til forvaltnings-, offentligheds-, og retssikkerhedsloven</w:t>
      </w:r>
      <w:bookmarkEnd w:id="1546"/>
    </w:p>
    <w:p w14:paraId="42106BE4" w14:textId="153787CF" w:rsidR="000A36C6" w:rsidRPr="00796736" w:rsidRDefault="000A36C6" w:rsidP="00A802A5">
      <w:pPr>
        <w:spacing w:after="160" w:line="360" w:lineRule="auto"/>
        <w:rPr>
          <w:rFonts w:ascii="Times New Roman" w:eastAsia="Calibri" w:hAnsi="Times New Roman" w:cs="Times New Roman"/>
          <w:i/>
          <w:sz w:val="24"/>
          <w:szCs w:val="24"/>
        </w:rPr>
      </w:pPr>
      <w:r w:rsidRPr="00796736">
        <w:rPr>
          <w:rFonts w:ascii="Times New Roman" w:eastAsia="Calibri" w:hAnsi="Times New Roman" w:cs="Times New Roman"/>
          <w:i/>
          <w:sz w:val="24"/>
          <w:szCs w:val="24"/>
        </w:rPr>
        <w:t>4.1. Forvaltningsloven</w:t>
      </w:r>
    </w:p>
    <w:p w14:paraId="04138EF0"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Lovforslaget indeholder flere bestemmelser, som af forskellige årsager giver de forskellige kompetente myndigheder mulighed for at træffe afgørelse, herunder påbud, forbud og frakendelser, overfor virksomheder og personer omfattet af loven. </w:t>
      </w:r>
    </w:p>
    <w:p w14:paraId="7D5F430F" w14:textId="77777777" w:rsidR="00E707D7" w:rsidRPr="00796736" w:rsidRDefault="00E707D7" w:rsidP="00A802A5">
      <w:pPr>
        <w:spacing w:line="360" w:lineRule="auto"/>
        <w:rPr>
          <w:rFonts w:ascii="Times New Roman" w:hAnsi="Times New Roman" w:cs="Times New Roman"/>
          <w:sz w:val="24"/>
          <w:szCs w:val="24"/>
        </w:rPr>
      </w:pPr>
    </w:p>
    <w:p w14:paraId="4A9C874A"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Forvaltningsloven vil derfor finde anvendelse for så vidt angår den del Finanstilsynets, Erhvervsstyrelsens, Advokatnævnets og Spillemyndighedens afgørelsesvirksomhed og virksomhed i øvrigt. Lovens kapitel 8 om tavshedspligt og 8 a om digital kommunikation gælder desuden for al virksomhed, der udøves inden for den offentlige forvaltning, jf. forvaltningslovens § 2, stk. 3. </w:t>
      </w:r>
    </w:p>
    <w:p w14:paraId="71FF1100" w14:textId="77777777" w:rsidR="00E707D7" w:rsidRPr="00796736" w:rsidRDefault="00E707D7" w:rsidP="00A802A5">
      <w:pPr>
        <w:spacing w:line="360" w:lineRule="auto"/>
        <w:rPr>
          <w:rFonts w:ascii="Times New Roman" w:hAnsi="Times New Roman" w:cs="Times New Roman"/>
          <w:sz w:val="24"/>
          <w:szCs w:val="24"/>
        </w:rPr>
      </w:pPr>
    </w:p>
    <w:p w14:paraId="613C1526"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er efter gældende ret ikke en del af den offentlige forvaltning, hvorfor forvaltningsloven ikke gælder for Advokatrådet. I praksis efterlever Advokatrådet imidlertid visse forvaltningsretlige principper i forbindelse med tilsynsvirksomheden såsom høring af parter over faktum og udkast til konklusion i tilsynssager. </w:t>
      </w:r>
    </w:p>
    <w:p w14:paraId="59043F3A" w14:textId="77777777" w:rsidR="00E707D7" w:rsidRPr="00796736" w:rsidRDefault="00E707D7" w:rsidP="00A802A5">
      <w:pPr>
        <w:spacing w:line="360" w:lineRule="auto"/>
        <w:rPr>
          <w:rFonts w:ascii="Times New Roman" w:hAnsi="Times New Roman" w:cs="Times New Roman"/>
          <w:sz w:val="24"/>
          <w:szCs w:val="24"/>
        </w:rPr>
      </w:pPr>
    </w:p>
    <w:p w14:paraId="12FA678B"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det følgende følger en kort gennemgang af forvaltningslovens almindelige regler, der som udgangspunkt vil finde anvendelse for afgørelser truffet i medfør af de foreslåede bestemmelser, som eventuelt vil supplere eller fravige forvaltningslovens regler. Sådanne supplerende elementer eller fravigelser vil blive gennemgået i bemærkningerne til de enkelte bestemmelser.</w:t>
      </w:r>
    </w:p>
    <w:p w14:paraId="2B630050" w14:textId="77777777" w:rsidR="00E707D7" w:rsidRPr="00796736" w:rsidRDefault="00E707D7" w:rsidP="00A802A5">
      <w:pPr>
        <w:spacing w:line="360" w:lineRule="auto"/>
        <w:rPr>
          <w:rFonts w:ascii="Times New Roman" w:hAnsi="Times New Roman" w:cs="Times New Roman"/>
          <w:sz w:val="24"/>
          <w:szCs w:val="24"/>
        </w:rPr>
      </w:pPr>
    </w:p>
    <w:p w14:paraId="100FB51D"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Forvaltningsloven, jf. lovbekendtgørelse nr. 433 af 22. april 2014 med senere ændringer, gælder efter lovens § 1, stk. 1, for alle dele af den offentlige forvaltning. Efter stk. 2, nr. 1 og 2, gælder loven desuden for al virksomhed, der udøves af selvejende institutioner, foreninger, fonde m.v., der er oprettet ved lov eller i henhold til lov og selvejende institutioner, foreninger, fonde m.v., der er oprettet på privatretligt grundlag, og som udøver offentlig virksomhed af mere omfattende karakter og er undergivet intensiv offentlig regulering, intensivt offentligt tilsyn og intensiv offentlig kontrol. </w:t>
      </w:r>
    </w:p>
    <w:p w14:paraId="2B549AAA" w14:textId="5AFD551A" w:rsidR="00E707D7" w:rsidRPr="00796736" w:rsidRDefault="00E707D7" w:rsidP="00A802A5">
      <w:pPr>
        <w:spacing w:line="360" w:lineRule="auto"/>
        <w:rPr>
          <w:rFonts w:ascii="Times New Roman" w:hAnsi="Times New Roman" w:cs="Times New Roman"/>
          <w:sz w:val="24"/>
          <w:szCs w:val="24"/>
        </w:rPr>
      </w:pPr>
    </w:p>
    <w:p w14:paraId="67BE46DE"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Forvaltningslovens § 2, stk. 1, fastsætter, at loven gælder for behandlingen af sager, hvori der er eller vil blive truffet afgørelse af en forvaltningsmyndighed.</w:t>
      </w:r>
    </w:p>
    <w:p w14:paraId="09B1AE0F" w14:textId="77777777" w:rsidR="00E707D7" w:rsidRPr="00796736" w:rsidRDefault="00E707D7" w:rsidP="00A802A5">
      <w:pPr>
        <w:spacing w:line="360" w:lineRule="auto"/>
        <w:rPr>
          <w:rFonts w:ascii="Times New Roman" w:hAnsi="Times New Roman" w:cs="Times New Roman"/>
          <w:sz w:val="24"/>
          <w:szCs w:val="24"/>
        </w:rPr>
      </w:pPr>
    </w:p>
    <w:p w14:paraId="006F2F26"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ikke ved lovens bestemmelser angivet, hvad forstås ved en afgørelse. Det forvaltningsretlige afgørelsesbegreb afgrænses traditionelt ved, at der skal være tale om en retsakt (udtalelse) fra en offentlig myndighed, som udstedes på offentligretligt grundlag, som går ud på ensidigt at bestemme, hvad der er eller skal være gældende ret, og som retter sig mod eksterne modtagere (i modsætning til internt mod myndigheden selv). Det kan tilføjes, at der – hvis der er tale om en afgørelsessag – som udgangspunkt ikke gælder bestemte formkrav til afgørelsens meddelelse. En afgørelse kan således i princippet meddeles både skriftligt og mundtligt. Det kan dog efter omstændighederne følge af god sagsbehandlings- og forvaltningsskik, at afgørelsen bør meddeles skriftligt.</w:t>
      </w:r>
    </w:p>
    <w:p w14:paraId="44707309" w14:textId="77777777" w:rsidR="00E707D7" w:rsidRPr="00796736" w:rsidRDefault="00E707D7" w:rsidP="00A802A5">
      <w:pPr>
        <w:spacing w:line="360" w:lineRule="auto"/>
        <w:rPr>
          <w:rFonts w:ascii="Times New Roman" w:hAnsi="Times New Roman" w:cs="Times New Roman"/>
          <w:sz w:val="24"/>
          <w:szCs w:val="24"/>
        </w:rPr>
      </w:pPr>
    </w:p>
    <w:p w14:paraId="28F9FCE2"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forvaltningslovens kapitel 2 fremgår reglerne om inhabilitet, hvor hovedbestemmelsen i § 3, stk. 1 og 2, fastlægger hvornår den, der virker inden for den offentlige forvaltning, er inhabil i forhold til en bestemt sag, samt stk. 3 om retsvirkningen af inhabilitet.</w:t>
      </w:r>
    </w:p>
    <w:p w14:paraId="19673C86" w14:textId="77777777" w:rsidR="00E707D7" w:rsidRPr="00796736" w:rsidRDefault="00E707D7" w:rsidP="00A802A5">
      <w:pPr>
        <w:spacing w:line="360" w:lineRule="auto"/>
        <w:rPr>
          <w:rFonts w:ascii="Times New Roman" w:hAnsi="Times New Roman" w:cs="Times New Roman"/>
          <w:sz w:val="24"/>
          <w:szCs w:val="24"/>
        </w:rPr>
      </w:pPr>
    </w:p>
    <w:p w14:paraId="2889B307"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Forvaltningslovens kapitel 3 indeholder regler om vejledning og repræsentation mv. </w:t>
      </w:r>
    </w:p>
    <w:p w14:paraId="45A5DEEC" w14:textId="77777777" w:rsidR="00E707D7" w:rsidRPr="00796736" w:rsidRDefault="00E707D7" w:rsidP="00A802A5">
      <w:pPr>
        <w:spacing w:line="360" w:lineRule="auto"/>
        <w:rPr>
          <w:rFonts w:ascii="Times New Roman" w:hAnsi="Times New Roman" w:cs="Times New Roman"/>
          <w:sz w:val="24"/>
          <w:szCs w:val="24"/>
        </w:rPr>
      </w:pPr>
    </w:p>
    <w:p w14:paraId="0765D33D"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 7, stk. 1, fremgår det, at en forvaltningsenhed i fornødent omfang skal yde vejledning og bistand til personer, der retter henvendelse om spørgsmål inden for myndighedens sagsområde. </w:t>
      </w:r>
    </w:p>
    <w:p w14:paraId="686573EB"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Af stk. 2, fremgår det, at modtager en forvaltningsmyndighed en skriftlig henvendelse, som ikke vedrører dens sagsområde, videresendes henvendelsen så vidt muligt til rette myndighed. </w:t>
      </w:r>
    </w:p>
    <w:p w14:paraId="171CF762" w14:textId="77777777" w:rsidR="00E707D7" w:rsidRPr="00796736" w:rsidRDefault="00E707D7" w:rsidP="00A802A5">
      <w:pPr>
        <w:spacing w:line="360" w:lineRule="auto"/>
        <w:rPr>
          <w:rFonts w:ascii="Times New Roman" w:hAnsi="Times New Roman" w:cs="Times New Roman"/>
          <w:sz w:val="24"/>
          <w:szCs w:val="24"/>
        </w:rPr>
      </w:pPr>
    </w:p>
    <w:p w14:paraId="4D4B2B7D"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 8, stk. 1, fremgår det, at den, der er part i en sag, på ethvert tidspunkt af sagens behandling kan lade sig repræsentere eller bistå af andre. Myndigheden kan dog kræve, at parten medvirker personligt, når det er af betydning for sagens afgørelse. Efter stk. 2 gælder bestemmelsen i stk. 1, 1. pkt., ikke, hvis partens interesse i at kunne lade sig repræsentere eller bistå findes at burde vige for væsentlige hensyn til offentlige eller private interesser, eller hvor andet er fastsat ved lov. </w:t>
      </w:r>
    </w:p>
    <w:p w14:paraId="57D03FC9" w14:textId="77777777" w:rsidR="00E707D7" w:rsidRPr="00796736" w:rsidRDefault="00E707D7" w:rsidP="00A802A5">
      <w:pPr>
        <w:spacing w:line="360" w:lineRule="auto"/>
        <w:rPr>
          <w:rFonts w:ascii="Times New Roman" w:hAnsi="Times New Roman" w:cs="Times New Roman"/>
          <w:sz w:val="24"/>
          <w:szCs w:val="24"/>
        </w:rPr>
      </w:pPr>
    </w:p>
    <w:p w14:paraId="6B2BF901"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Forvaltningslovens kapitel 4 indeholder regler om partens aktindsigt, herunder regler om retten til aktindsigt, identifikationskravet, udsættelse af sagen, meroffentlighedsprincippet, undtagelse af sager og dokumenter, meddelelse af faktiske oplysninger og eksterne faglige vurderinger, meddelelse af interne faglige vurderinger, undtagelse af oplysninger, meddelelse af aktindsigt i en del af et dokument, behandlingen af anmodninger om aktindsigt og klageadgang og aktindsigt i straffesager. </w:t>
      </w:r>
    </w:p>
    <w:p w14:paraId="10FC864A" w14:textId="77777777" w:rsidR="00E707D7" w:rsidRPr="00796736" w:rsidRDefault="00E707D7" w:rsidP="00A802A5">
      <w:pPr>
        <w:spacing w:line="360" w:lineRule="auto"/>
        <w:rPr>
          <w:rFonts w:ascii="Times New Roman" w:hAnsi="Times New Roman" w:cs="Times New Roman"/>
          <w:sz w:val="24"/>
          <w:szCs w:val="24"/>
        </w:rPr>
      </w:pPr>
    </w:p>
    <w:p w14:paraId="42B88027"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Forvaltningslovens kapitel 5 indeholder regler om partshøring. </w:t>
      </w:r>
    </w:p>
    <w:p w14:paraId="3B1925A5" w14:textId="77777777" w:rsidR="00E707D7" w:rsidRPr="00796736" w:rsidRDefault="00E707D7" w:rsidP="00A802A5">
      <w:pPr>
        <w:spacing w:line="360" w:lineRule="auto"/>
        <w:rPr>
          <w:rFonts w:ascii="Times New Roman" w:hAnsi="Times New Roman" w:cs="Times New Roman"/>
          <w:sz w:val="24"/>
          <w:szCs w:val="24"/>
        </w:rPr>
      </w:pPr>
    </w:p>
    <w:p w14:paraId="4EC5FDBD"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forvaltningslovens § 19, stk. 1, fremgår det, at kan en part ikke antages at være bekendt med, at myndigheden er i besiddelse af bestemte oplysninger om en sags faktiske grundlag eller eksterne faglige vurderinger, må der ikke træffes afgørelse, før myndigheden har gjort parten bekendt med oplysningerne eller vurderingerne og givet denne lejlighed til at fremkomme med en udtalelse. Det gælder dog kun, hvis oplysningerne eller vurderingerne er til ugunst for den pågældende part og er af væsentlig betydning for sagens afgørelse. Myndigheden kan fastsætte en frist for afgivelsen af den nævnte udtalelse.</w:t>
      </w:r>
    </w:p>
    <w:p w14:paraId="1CA40A7D" w14:textId="77777777" w:rsidR="00E707D7" w:rsidRPr="00796736" w:rsidRDefault="00E707D7" w:rsidP="00A802A5">
      <w:pPr>
        <w:spacing w:line="360" w:lineRule="auto"/>
        <w:rPr>
          <w:rFonts w:ascii="Times New Roman" w:hAnsi="Times New Roman" w:cs="Times New Roman"/>
          <w:sz w:val="24"/>
          <w:szCs w:val="24"/>
        </w:rPr>
      </w:pPr>
    </w:p>
    <w:p w14:paraId="5C33142E"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2, gælder bestemmelsen i stk. 1 ikke, hvis (1) det efter oplysningernes eller vurderingernes karakter og sagens beskaffenhed må anses for ubetænkeligt at træffe afgørelse i sagen på det foreliggende grundlag, (2) udsættelse vil medføre overskridelse af en lovbestemt frist for sagens afgørelse, (3) partens interesse i, at sagens afgørelse udsættes, findes at burde vige for væsentlige hensyn til offentlige eller private interesser, der taler imod en sådan udsættelse, (4) parten ikke har ret til aktindsigt efter reglerne i kapitel 4 med hensyn til de pågældende oplysninger, (5) den påtænkte afgørelse vil berøre en videre, ubestemt kreds af personer, virksomheder m.v., eller hvis forelæggelsen af oplysningerne eller vurderingerne for parten i øvrigt vil være forbundet med væsentlige vanskeligheder, eller (6) der ved lov er fastsat særlige bestemmelser, der sikrer parten adgang til at gøre sig bekendt med grundlaget for den påtænkte afgørelse og til at afgive en udtalelse til sagen, inden afgørelsen træffes.</w:t>
      </w:r>
    </w:p>
    <w:p w14:paraId="2E9A2073" w14:textId="77777777" w:rsidR="00E707D7" w:rsidRPr="00796736" w:rsidRDefault="00E707D7" w:rsidP="00A802A5">
      <w:pPr>
        <w:spacing w:line="360" w:lineRule="auto"/>
        <w:rPr>
          <w:rFonts w:ascii="Times New Roman" w:hAnsi="Times New Roman" w:cs="Times New Roman"/>
          <w:sz w:val="24"/>
          <w:szCs w:val="24"/>
        </w:rPr>
      </w:pPr>
    </w:p>
    <w:p w14:paraId="69DB994B"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forvaltningslovens § 20, stk. 1, at i sager, hvor myndigheden efter anmodning fra en part kan ændre afgørelsen, kan myndigheden undlade at foretage partshøring, hvis sagens karakter og hensynet til parten selv taler for det.</w:t>
      </w:r>
    </w:p>
    <w:p w14:paraId="2894B0F5" w14:textId="77777777" w:rsidR="00E707D7" w:rsidRPr="00796736" w:rsidRDefault="00E707D7" w:rsidP="00A802A5">
      <w:pPr>
        <w:spacing w:line="360" w:lineRule="auto"/>
        <w:rPr>
          <w:rFonts w:ascii="Times New Roman" w:hAnsi="Times New Roman" w:cs="Times New Roman"/>
          <w:sz w:val="24"/>
          <w:szCs w:val="24"/>
        </w:rPr>
      </w:pPr>
    </w:p>
    <w:p w14:paraId="47E6CB0A" w14:textId="43B6A89A"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stk. 2, at er partshøring undladt i medfør af stk. 1, skal afgørelsen ledsages af de oplysninger, som parten ellers skulle være gjort bekendt med efter bestemmelsen i § 19. Parten skal samtidig gøres bekendt med adgangen til at få sagen genoptaget. Myndigheden kan fastsætte en frist for fremsættelse af begæring om genoptagelse.</w:t>
      </w:r>
    </w:p>
    <w:p w14:paraId="7C08255B" w14:textId="77777777" w:rsidR="00E707D7" w:rsidRPr="00796736" w:rsidRDefault="00E707D7" w:rsidP="00A802A5">
      <w:pPr>
        <w:spacing w:line="360" w:lineRule="auto"/>
        <w:rPr>
          <w:rFonts w:ascii="Times New Roman" w:hAnsi="Times New Roman" w:cs="Times New Roman"/>
          <w:sz w:val="24"/>
          <w:szCs w:val="24"/>
        </w:rPr>
      </w:pPr>
    </w:p>
    <w:p w14:paraId="5F8E1562"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stk. 3, at hvor adgangen til at påklage den trufne afgørelse til en anden forvaltningsmyndighed er tidsbegrænset og begæringen om sagens genoptagelse fremsættes inden klagefristens udløb, afbrydes klagefristen. Klagefristen løber i så fald videre fra det tidspunkt, hvor den nye afgørelse er meddelt parten, dog med mindst 14 dage.</w:t>
      </w:r>
    </w:p>
    <w:p w14:paraId="68D73E38" w14:textId="77777777" w:rsidR="00E707D7" w:rsidRPr="00796736" w:rsidRDefault="00E707D7" w:rsidP="00A802A5">
      <w:pPr>
        <w:spacing w:line="360" w:lineRule="auto"/>
        <w:rPr>
          <w:rFonts w:ascii="Times New Roman" w:hAnsi="Times New Roman" w:cs="Times New Roman"/>
          <w:sz w:val="24"/>
          <w:szCs w:val="24"/>
        </w:rPr>
      </w:pPr>
    </w:p>
    <w:p w14:paraId="247AE095"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Forvaltningslovens § 21 regulerer retten til at afgive udtalelse, og det følger af stk. 1, at den, der er part i en sag, på ethvert tidspunkt af sagens behandling kan forlange, at sagens afgørelse udsættes, indtil parten har afgivet en udtalelse til sagen. Myndigheden kan fastsætte en frist for afgivelsen af den nævnte udtalelse.</w:t>
      </w:r>
    </w:p>
    <w:p w14:paraId="19067FBC" w14:textId="77777777" w:rsidR="00E707D7" w:rsidRPr="00796736" w:rsidRDefault="00E707D7" w:rsidP="00A802A5">
      <w:pPr>
        <w:spacing w:line="360" w:lineRule="auto"/>
        <w:rPr>
          <w:rFonts w:ascii="Times New Roman" w:hAnsi="Times New Roman" w:cs="Times New Roman"/>
          <w:sz w:val="24"/>
          <w:szCs w:val="24"/>
        </w:rPr>
      </w:pPr>
    </w:p>
    <w:p w14:paraId="295F0D57"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stk. 2 fremgår det, at bestemmelsens i stk. 1 ikke gælder, hvis (1) udsættelse vil medføre overskridelse af en lovbestemt frist for sagens afgørelse, (2) partens interesse i, at sagens afgørelse udsættes, findes at burde vige for væsentlige hensyn til offentlige eller private interesser, der taler imod en sådan udsættelse eller (3) der ved lov er fastsat særlige bestemmelser, der sikrer parten adgang til at afgive en udtalelse til sagen, inden afgørelsen træffes.</w:t>
      </w:r>
    </w:p>
    <w:p w14:paraId="3E8F855E" w14:textId="77777777" w:rsidR="00E707D7" w:rsidRPr="00796736" w:rsidRDefault="00E707D7" w:rsidP="00A802A5">
      <w:pPr>
        <w:spacing w:line="360" w:lineRule="auto"/>
        <w:rPr>
          <w:rFonts w:ascii="Times New Roman" w:hAnsi="Times New Roman" w:cs="Times New Roman"/>
          <w:sz w:val="24"/>
          <w:szCs w:val="24"/>
        </w:rPr>
      </w:pPr>
    </w:p>
    <w:p w14:paraId="22FC3AEC"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Forvaltningslovens kapitel 6 indeholder regler om begrundelse mv.</w:t>
      </w:r>
    </w:p>
    <w:p w14:paraId="416D260F" w14:textId="77777777" w:rsidR="00E707D7" w:rsidRPr="00796736" w:rsidRDefault="00E707D7" w:rsidP="00A802A5">
      <w:pPr>
        <w:spacing w:line="360" w:lineRule="auto"/>
        <w:rPr>
          <w:rFonts w:ascii="Times New Roman" w:hAnsi="Times New Roman" w:cs="Times New Roman"/>
          <w:sz w:val="24"/>
          <w:szCs w:val="24"/>
        </w:rPr>
      </w:pPr>
    </w:p>
    <w:p w14:paraId="1359DB61"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22 skal en afgørelse, når den meddeles skriftligt, være ledsaget af en begrundelse, medmindre afgørelsen fuldt ud giver en pågældende part medhold. </w:t>
      </w:r>
    </w:p>
    <w:p w14:paraId="7941C81D" w14:textId="77777777" w:rsidR="00E707D7" w:rsidRPr="00796736" w:rsidRDefault="00E707D7" w:rsidP="00A802A5">
      <w:pPr>
        <w:spacing w:line="360" w:lineRule="auto"/>
        <w:rPr>
          <w:rFonts w:ascii="Times New Roman" w:hAnsi="Times New Roman" w:cs="Times New Roman"/>
          <w:sz w:val="24"/>
          <w:szCs w:val="24"/>
        </w:rPr>
      </w:pPr>
    </w:p>
    <w:p w14:paraId="6BA7035C"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23, stk. 1, at den, der har fået en afgørelse meddelt mundtligt, kan forlange at få en skriftlig begrundelse for afgørelsen, medmindre afgørelsen fuldt ud giver den pågældende part medhold. En begæring herom skal fremsættes over for myndigheden inden 14 dage efter, at parten har modtaget underretning om afgørelsen.</w:t>
      </w:r>
    </w:p>
    <w:p w14:paraId="0138BFF6" w14:textId="77777777" w:rsidR="00E707D7" w:rsidRPr="00796736" w:rsidRDefault="00E707D7" w:rsidP="00A802A5">
      <w:pPr>
        <w:spacing w:line="360" w:lineRule="auto"/>
        <w:rPr>
          <w:rFonts w:ascii="Times New Roman" w:hAnsi="Times New Roman" w:cs="Times New Roman"/>
          <w:sz w:val="24"/>
          <w:szCs w:val="24"/>
        </w:rPr>
      </w:pPr>
    </w:p>
    <w:p w14:paraId="7928E441" w14:textId="265E57E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2, skal en begæring om skriftlig begrundelse efter stk. 1 besvares snarest muligt. Hvis begæringen ikke er besvaret inden 14 dage efter, at begæringen er modtaget af vedkommende myndighed, skal denne underrette parten om grunden hertil samt om, hvornår begæringen kan forventes besvaret.</w:t>
      </w:r>
    </w:p>
    <w:p w14:paraId="30C9920B" w14:textId="77777777" w:rsidR="00E707D7" w:rsidRPr="00796736" w:rsidRDefault="00E707D7" w:rsidP="00A802A5">
      <w:pPr>
        <w:spacing w:line="360" w:lineRule="auto"/>
        <w:rPr>
          <w:rFonts w:ascii="Times New Roman" w:hAnsi="Times New Roman" w:cs="Times New Roman"/>
          <w:sz w:val="24"/>
          <w:szCs w:val="24"/>
        </w:rPr>
      </w:pPr>
    </w:p>
    <w:p w14:paraId="3FF47BC0"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24, stk. 1, at en begrundelse for en afgørelse skal indeholde en henvisning til de retsregler, i henhold til hvilke afgørelsen er truffet. I det omfang, afgørelsen efter disse regler beror på et administrativt skøn, skal begrundelsen tillige angive de hovedhensyn, der har været bestemmende for skønsudøvelsen.</w:t>
      </w:r>
    </w:p>
    <w:p w14:paraId="213C40BB" w14:textId="77777777" w:rsidR="00E707D7" w:rsidRPr="00796736" w:rsidRDefault="00E707D7" w:rsidP="00A802A5">
      <w:pPr>
        <w:spacing w:line="360" w:lineRule="auto"/>
        <w:rPr>
          <w:rFonts w:ascii="Times New Roman" w:hAnsi="Times New Roman" w:cs="Times New Roman"/>
          <w:sz w:val="24"/>
          <w:szCs w:val="24"/>
        </w:rPr>
      </w:pPr>
    </w:p>
    <w:p w14:paraId="1F8C0074"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2 skal begrundelsen endvidere om fornødent indeholde en kort redegørelse for de oplysninger vedrørende sagens faktiske omstændigheder, som er tillagt væsentlig betydning for afgørelsen.</w:t>
      </w:r>
    </w:p>
    <w:p w14:paraId="58FA36A9" w14:textId="77777777" w:rsidR="00E707D7" w:rsidRPr="00796736" w:rsidRDefault="00E707D7" w:rsidP="00A802A5">
      <w:pPr>
        <w:spacing w:line="360" w:lineRule="auto"/>
        <w:rPr>
          <w:rFonts w:ascii="Times New Roman" w:hAnsi="Times New Roman" w:cs="Times New Roman"/>
          <w:sz w:val="24"/>
          <w:szCs w:val="24"/>
        </w:rPr>
      </w:pPr>
    </w:p>
    <w:p w14:paraId="120FC70A"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stk. 3, at stk. 1, 2. pkt., og stk. 2 ikke gælder i de sager, der er nævnt i § 11, stk. 2. Begrundelsens indhold kan i øvrigt begrænses i det omfang, hvori oplysninger kan undtages fra aktindsigt, jf. §§ 15-15 b.</w:t>
      </w:r>
    </w:p>
    <w:p w14:paraId="025395B7" w14:textId="77777777" w:rsidR="00E707D7" w:rsidRPr="00796736" w:rsidRDefault="00E707D7" w:rsidP="00A802A5">
      <w:pPr>
        <w:spacing w:line="360" w:lineRule="auto"/>
        <w:rPr>
          <w:rFonts w:ascii="Times New Roman" w:hAnsi="Times New Roman" w:cs="Times New Roman"/>
          <w:sz w:val="24"/>
          <w:szCs w:val="24"/>
        </w:rPr>
      </w:pPr>
    </w:p>
    <w:p w14:paraId="5BA3411B"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Forvaltningslovens kapitel 7 handler om klagevejledning. </w:t>
      </w:r>
    </w:p>
    <w:p w14:paraId="2105886C"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Af § 25, stk. 1, fremgår det, at afgørelser, som kan påklages til anden forvaltningsmyndighed, når de meddeles skriftligt, skal være ledsaget af en vejledning om klageadgang med angivelse af klageinstans og oplysning om fremgangsmåden ved indgivelse af klage, herunder om eventuel tidsfrist. Det gælder dog ikke, hvis afgørelsen fuldt ud giver den pågældende part medhold.</w:t>
      </w:r>
    </w:p>
    <w:p w14:paraId="6C4F5905" w14:textId="77777777" w:rsidR="00E707D7" w:rsidRPr="00796736" w:rsidRDefault="00E707D7" w:rsidP="00A802A5">
      <w:pPr>
        <w:spacing w:line="360" w:lineRule="auto"/>
        <w:rPr>
          <w:rFonts w:ascii="Times New Roman" w:hAnsi="Times New Roman" w:cs="Times New Roman"/>
          <w:sz w:val="24"/>
          <w:szCs w:val="24"/>
        </w:rPr>
      </w:pPr>
    </w:p>
    <w:p w14:paraId="3B170117" w14:textId="5B7574D0"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 26 fremgår det, at afgørelser, der kun kan indbringes for domstolene under iagttagelse af en lovbestemt frist for sagens anlæg</w:t>
      </w:r>
      <w:r w:rsidR="00CC4EBE">
        <w:rPr>
          <w:rFonts w:ascii="Times New Roman" w:hAnsi="Times New Roman" w:cs="Times New Roman"/>
          <w:sz w:val="24"/>
          <w:szCs w:val="24"/>
        </w:rPr>
        <w:t>,</w:t>
      </w:r>
      <w:r w:rsidRPr="00796736">
        <w:rPr>
          <w:rFonts w:ascii="Times New Roman" w:hAnsi="Times New Roman" w:cs="Times New Roman"/>
          <w:sz w:val="24"/>
          <w:szCs w:val="24"/>
        </w:rPr>
        <w:t xml:space="preserve"> skal være ledsaget af oplysning herom.</w:t>
      </w:r>
    </w:p>
    <w:p w14:paraId="7C9194F6" w14:textId="77777777" w:rsidR="00E707D7" w:rsidRPr="00796736" w:rsidRDefault="00E707D7" w:rsidP="00A802A5">
      <w:pPr>
        <w:spacing w:line="360" w:lineRule="auto"/>
        <w:rPr>
          <w:rFonts w:ascii="Times New Roman" w:hAnsi="Times New Roman" w:cs="Times New Roman"/>
          <w:sz w:val="24"/>
          <w:szCs w:val="24"/>
        </w:rPr>
      </w:pPr>
    </w:p>
    <w:p w14:paraId="780C97C0"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Forvaltningslovens kapitel 8 indeholder regler om tavshedspligt m.v. </w:t>
      </w:r>
    </w:p>
    <w:p w14:paraId="1626A0A8" w14:textId="77777777" w:rsidR="00E707D7" w:rsidRPr="00796736" w:rsidRDefault="00E707D7" w:rsidP="00A802A5">
      <w:pPr>
        <w:spacing w:line="360" w:lineRule="auto"/>
        <w:rPr>
          <w:rFonts w:ascii="Times New Roman" w:hAnsi="Times New Roman" w:cs="Times New Roman"/>
          <w:sz w:val="24"/>
          <w:szCs w:val="24"/>
        </w:rPr>
      </w:pPr>
    </w:p>
    <w:p w14:paraId="62EE02E7"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forvaltningslovens § 27, stk. 1, at den, der virker inden for den offentlige forvaltning, har tavshedspligt, jf. straffelovens 152 og §§ 152 c-152 f, med hensyn til oplysninger om (1) enkeltpersoners private, herunder økonomiske, forhold og (2) tekniske indretninger eller fremgangsmåder eller om drifts- eller forretningsforhold el.lign., for så vidt det er af væsentlig økonomisk betydning for den person eller virksomhed, oplysningerne angår, at oplysningerne ikke videregives. </w:t>
      </w:r>
    </w:p>
    <w:p w14:paraId="5FF248C2" w14:textId="77777777" w:rsidR="00E707D7" w:rsidRPr="00796736" w:rsidRDefault="00E707D7" w:rsidP="00A802A5">
      <w:pPr>
        <w:spacing w:line="360" w:lineRule="auto"/>
        <w:rPr>
          <w:rFonts w:ascii="Times New Roman" w:hAnsi="Times New Roman" w:cs="Times New Roman"/>
          <w:sz w:val="24"/>
          <w:szCs w:val="24"/>
        </w:rPr>
      </w:pPr>
    </w:p>
    <w:p w14:paraId="6CDE2971"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bestemmelsens stk. 2, har den, der virker inden for den offentlige forvaltning, desuden tavshedspligt, jf. straffelovens § 152 og §§ 152 c-152 f, når det er af væsentlig betydning for statens sikkerhed eller rigets forsvar. Det samme gælder, når en oplysning ved lov eller anden gyldig bestemmelse er betegnet som fortrolig, herunder når fortrolighed følger af en EU-retlig eller folkeretlig forpligtelse el.lign.</w:t>
      </w:r>
    </w:p>
    <w:p w14:paraId="21E8D4A1" w14:textId="77777777" w:rsidR="00E707D7" w:rsidRPr="00796736" w:rsidRDefault="00E707D7" w:rsidP="00A802A5">
      <w:pPr>
        <w:spacing w:line="360" w:lineRule="auto"/>
        <w:rPr>
          <w:rFonts w:ascii="Times New Roman" w:hAnsi="Times New Roman" w:cs="Times New Roman"/>
          <w:sz w:val="24"/>
          <w:szCs w:val="24"/>
        </w:rPr>
      </w:pPr>
    </w:p>
    <w:p w14:paraId="7C31F2A3"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bestemmelsens stk. 3, at den, der virker inden for den offentlige forvaltning, herudover har tavshedspligt, jf. straffelovens § 152 og §§ 152 c-152 f, når det er nødvendigt at hemmeligholde en oplysning til beskyttelse af væsentlige hensyn til rigets udenrigspolitiske interesser, herunder forholdet til andre lande eller internationale organisationer.</w:t>
      </w:r>
    </w:p>
    <w:p w14:paraId="2336425D" w14:textId="77777777" w:rsidR="00E707D7" w:rsidRPr="00796736" w:rsidRDefault="00E707D7" w:rsidP="00A802A5">
      <w:pPr>
        <w:spacing w:line="360" w:lineRule="auto"/>
        <w:rPr>
          <w:rFonts w:ascii="Times New Roman" w:hAnsi="Times New Roman" w:cs="Times New Roman"/>
          <w:sz w:val="24"/>
          <w:szCs w:val="24"/>
        </w:rPr>
      </w:pPr>
    </w:p>
    <w:p w14:paraId="739CBA08"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4, har den, der virker inden for den offentlige forvaltning, endvidere tavshedspligt, jf. straffelovens § 152 og §§ 152 c-152 f, med hensyn til oplysninger, som det i øvrigt er nødvendigt at hemmeligholde for at varetage væsentlige hensyn til (1) forebyggelse, efterforskning og forfølgning af lovovertrædelser samt straffuldbyrdelse og beskyttelse af sigtede, vidner eller andre i sager om strafferetlig eller disciplinær forfølgning, (2) gennemførelse af offentlig kontrol-, regulerings- eller planlægningsvirksomhed eller af påtænkte foranstaltninger i henhold til skatte- og afgiftslovgivningen, (3) det offentliges økonomiske interesser, herunder udførelsen af det offentliges forretningsvirksomhed, (4) forskeres og kunstneres originale ideer samt foreløbige forskningsresultater og manuskripter eller (5) private og offentlige interesser, hvor hemmeligholdelse efter forholdets særlige karakter er påkrævet. </w:t>
      </w:r>
    </w:p>
    <w:p w14:paraId="5E99B359" w14:textId="77777777" w:rsidR="00E707D7" w:rsidRPr="00796736" w:rsidRDefault="00E707D7" w:rsidP="00A802A5">
      <w:pPr>
        <w:spacing w:line="360" w:lineRule="auto"/>
        <w:rPr>
          <w:rFonts w:ascii="Times New Roman" w:hAnsi="Times New Roman" w:cs="Times New Roman"/>
          <w:sz w:val="24"/>
          <w:szCs w:val="24"/>
        </w:rPr>
      </w:pPr>
    </w:p>
    <w:p w14:paraId="498253A5"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forvaltningslovens § 27, stk. 5, at inden for den offentlige forvaltning kan der kun pålægges tavshedspligt med hensyn til en oplysning, når det er nødvendigt at hemmeligholde den for at varetage væsentlige hensyn til bestemte offentlige eller private interesser som nævnt i stk. 1-4. </w:t>
      </w:r>
    </w:p>
    <w:p w14:paraId="27CFB384" w14:textId="77777777" w:rsidR="00E707D7" w:rsidRPr="00796736" w:rsidRDefault="00E707D7" w:rsidP="00A802A5">
      <w:pPr>
        <w:spacing w:line="360" w:lineRule="auto"/>
        <w:rPr>
          <w:rFonts w:ascii="Times New Roman" w:hAnsi="Times New Roman" w:cs="Times New Roman"/>
          <w:sz w:val="24"/>
          <w:szCs w:val="24"/>
        </w:rPr>
      </w:pPr>
    </w:p>
    <w:p w14:paraId="662688DF"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dog af forvaltningslovens § 28, stk. 1, 1. pkt., at for manuel videregivelse af oplysninger om enkeltpersoner (personoplysninger) til en anden forvaltningsmyndighed gælder reglerne i databeskyttelseslovens §§ 6-8 og 10 og § 11, stk. 1, og artikel 5, stk. 1, litra a-c, artikel 6, artikel 7, stk. 3, 1. og 2. pkt., artikel 9 og 10 og artikel 77, stk. 1, i Europa-Parlamentets og Rådets forordning nr. 2016/679 af 27. april 2016 om beskyttelse af fysiske personer i forbindelse med behandling af personoplysning og om fri udveksling af sådanne oplysninger (databeskyttelsesforordningen), jf. databeskyttelseslovens § 2, stk. 1. Det fremgår derudover af forvaltningslovens § 28, stk. 1, 2. pkt., at for videregivelse af personoplysninger til en anden forvaltningsmyndighed, der helt eller delvis foretages ved hjælp af automatisk databehandling, finder reglerne i databeskyttelsesforordningen og databeskyttelsesloven anvendelse, medmindre videregivelse er reguleret af lov om retshåndhævendes myndigheders behandling af personoplysninger. </w:t>
      </w:r>
    </w:p>
    <w:p w14:paraId="6F5DBC82" w14:textId="77777777" w:rsidR="00E707D7" w:rsidRPr="00796736" w:rsidRDefault="00E707D7" w:rsidP="00A802A5">
      <w:pPr>
        <w:spacing w:line="360" w:lineRule="auto"/>
        <w:rPr>
          <w:rFonts w:ascii="Times New Roman" w:hAnsi="Times New Roman" w:cs="Times New Roman"/>
          <w:sz w:val="24"/>
          <w:szCs w:val="24"/>
        </w:rPr>
      </w:pPr>
    </w:p>
    <w:p w14:paraId="7A15BDD6"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forvaltningslovens § 28, stk. 2, fremgår det, at oplysninger af fortrolig karakter, som ikke er omfattet af stk. 1, kun må videregives til en anden forvaltningsmyndighed, når (1) den, oplysningen angår, udtrykkeligt har givet samtykke, (2) det følger af lov eller bestemmelser fastsat i henhold til lov, at oplysningen skal videregives, eller (3) det må antages, at oplysningen vil være af væsentlig betydning for myndighedens virksomhed eller for en afgørelse, myndigheden skal træffe.</w:t>
      </w:r>
    </w:p>
    <w:p w14:paraId="2F20A943" w14:textId="77777777" w:rsidR="00E707D7" w:rsidRPr="00796736" w:rsidRDefault="00E707D7" w:rsidP="00A802A5">
      <w:pPr>
        <w:spacing w:line="360" w:lineRule="auto"/>
        <w:rPr>
          <w:rFonts w:ascii="Times New Roman" w:hAnsi="Times New Roman" w:cs="Times New Roman"/>
          <w:sz w:val="24"/>
          <w:szCs w:val="24"/>
        </w:rPr>
      </w:pPr>
    </w:p>
    <w:p w14:paraId="130A462F"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forvaltningslovens § 28, stk. 3, at ved samtykke efter stk. 2, nr. 1, forstås enhver frivillig, specifik, informeret og utvetydig viljestilkendegivelse, hvorved den, oplysningen angår, ved erklæring eller klar bekræftelse indvilger i, at oplysningen videregives. </w:t>
      </w:r>
    </w:p>
    <w:p w14:paraId="0C33408F" w14:textId="77777777" w:rsidR="00E707D7" w:rsidRPr="00796736" w:rsidRDefault="00E707D7" w:rsidP="00A802A5">
      <w:pPr>
        <w:spacing w:line="360" w:lineRule="auto"/>
        <w:rPr>
          <w:rFonts w:ascii="Times New Roman" w:hAnsi="Times New Roman" w:cs="Times New Roman"/>
          <w:sz w:val="24"/>
          <w:szCs w:val="24"/>
        </w:rPr>
      </w:pPr>
    </w:p>
    <w:p w14:paraId="25406C5E"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fremgår det af forvaltningslovens § 28, stk. 4, at et samtykke efter stk. 3 kan tilbagekaldes. Inden der gives samtykke, skal den, oplysningen angår, oplyses om, at et samtykke kan trækkes tilbage. Det skal være lige så let at trække samtykket tilbage som at give det.</w:t>
      </w:r>
    </w:p>
    <w:p w14:paraId="338A1164" w14:textId="77777777" w:rsidR="00E707D7" w:rsidRPr="00796736" w:rsidRDefault="00E707D7" w:rsidP="00A802A5">
      <w:pPr>
        <w:spacing w:line="360" w:lineRule="auto"/>
        <w:rPr>
          <w:rFonts w:ascii="Times New Roman" w:hAnsi="Times New Roman" w:cs="Times New Roman"/>
          <w:sz w:val="24"/>
          <w:szCs w:val="24"/>
        </w:rPr>
      </w:pPr>
    </w:p>
    <w:p w14:paraId="52C9E87E"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forvaltningslovens § 31, stk. 1, at i det omfang en forvaltningsmyndighed er berettiget til at videregive en oplysning, skal myndigheden på begæring af en anden forvaltningsmyndighed videregive oplysningen, hvis den er af betydning for myndighedens virksomhed eller for en afgørelse, som myndigheden skal træffe.  </w:t>
      </w:r>
    </w:p>
    <w:p w14:paraId="7AC8CAA8" w14:textId="77777777" w:rsidR="00E707D7" w:rsidRPr="00796736" w:rsidRDefault="00E707D7" w:rsidP="00A802A5">
      <w:pPr>
        <w:spacing w:after="160" w:line="360" w:lineRule="auto"/>
        <w:rPr>
          <w:rFonts w:ascii="Times New Roman" w:eastAsia="Calibri" w:hAnsi="Times New Roman" w:cs="Times New Roman"/>
          <w:i/>
          <w:sz w:val="24"/>
          <w:szCs w:val="24"/>
        </w:rPr>
      </w:pPr>
    </w:p>
    <w:p w14:paraId="4445AB59" w14:textId="0E61C015" w:rsidR="000A36C6" w:rsidRPr="00796736" w:rsidRDefault="000A36C6" w:rsidP="00A802A5">
      <w:pPr>
        <w:spacing w:after="160" w:line="360" w:lineRule="auto"/>
        <w:rPr>
          <w:rFonts w:ascii="Times New Roman" w:eastAsia="Calibri" w:hAnsi="Times New Roman" w:cs="Times New Roman"/>
          <w:i/>
          <w:sz w:val="24"/>
          <w:szCs w:val="24"/>
        </w:rPr>
      </w:pPr>
      <w:r w:rsidRPr="00796736">
        <w:rPr>
          <w:rFonts w:ascii="Times New Roman" w:eastAsia="Calibri" w:hAnsi="Times New Roman" w:cs="Times New Roman"/>
          <w:i/>
          <w:sz w:val="24"/>
          <w:szCs w:val="24"/>
        </w:rPr>
        <w:t xml:space="preserve">4.2. Offentlighedsloven </w:t>
      </w:r>
    </w:p>
    <w:p w14:paraId="55BBF622"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 om offentlighed i forvaltningen, jf. lovbekendtgørelse nr. 145 af 24. februar 2020 med senere ændringer (offentlighedsloven) indeholder regler om offentlighed i den offentlige forvaltning. Loven er inddelt i 6 kapitler. I lovens kapitel 1 fastsættes lovens formål og anvendelsesområde. </w:t>
      </w:r>
    </w:p>
    <w:p w14:paraId="26DE61BA" w14:textId="77777777" w:rsidR="00E707D7" w:rsidRPr="00796736" w:rsidRDefault="00E707D7" w:rsidP="00A802A5">
      <w:pPr>
        <w:spacing w:line="360" w:lineRule="auto"/>
        <w:rPr>
          <w:rFonts w:ascii="Times New Roman" w:hAnsi="Times New Roman" w:cs="Times New Roman"/>
          <w:sz w:val="24"/>
          <w:szCs w:val="24"/>
        </w:rPr>
      </w:pPr>
    </w:p>
    <w:p w14:paraId="3C57DB36"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lovens § 1, stk. 1, har loven til formål at sikre</w:t>
      </w:r>
      <w:r w:rsidRPr="00796736">
        <w:rPr>
          <w:rFonts w:ascii="Times New Roman" w:hAnsi="Times New Roman" w:cs="Times New Roman"/>
          <w:color w:val="2F2F2B"/>
          <w:spacing w:val="2"/>
          <w:sz w:val="24"/>
          <w:szCs w:val="24"/>
          <w:shd w:val="clear" w:color="auto" w:fill="FFFFFF"/>
        </w:rPr>
        <w:t xml:space="preserve"> </w:t>
      </w:r>
      <w:r w:rsidRPr="00796736">
        <w:rPr>
          <w:rFonts w:ascii="Times New Roman" w:hAnsi="Times New Roman" w:cs="Times New Roman"/>
          <w:sz w:val="24"/>
          <w:szCs w:val="24"/>
        </w:rPr>
        <w:t>åbenhed hos myndigheder m.v. med henblik på navnlig at understøtte (1) informations- og ytringsfriheden, (2) borgernes deltagelse i demokratiet, (3) offentlighedens kontrol med den offentlige forvaltning, (4) mediernes formidling af informationer til offentligheden og (5) tilliden til den offentlige forvaltning. Efter stk. 2 skal myndigheder m.v., der er omfattet af loven, sørge for, at det i stk. 1 nævnte hensyn til åbenhed i videst muligt omfang varetages ved valg, etablering og udvikling af nye it-løsninger.</w:t>
      </w:r>
    </w:p>
    <w:p w14:paraId="11817AC4" w14:textId="77777777" w:rsidR="00E707D7" w:rsidRPr="00796736" w:rsidRDefault="00E707D7" w:rsidP="00A802A5">
      <w:pPr>
        <w:spacing w:line="360" w:lineRule="auto"/>
        <w:rPr>
          <w:rFonts w:ascii="Times New Roman" w:hAnsi="Times New Roman" w:cs="Times New Roman"/>
          <w:sz w:val="24"/>
          <w:szCs w:val="24"/>
        </w:rPr>
      </w:pPr>
    </w:p>
    <w:p w14:paraId="2F4F6401"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lovens § 2, stk. 1, finder loven anvendelse på al virksomhed, der udøves af myndigheder inden for den offentlige forvaltning. Efter bemærkningerne til bestemmelsen omfatter loven dermed al virksomhed, der udøves af myndigheder inden for den offentlige forvaltning, og loven omfatter således som udgangspunkt både sager om udstedelse af generelle eller konkrete retsakter (afgørelsessager) og enhver anden form for virksomhed, der udøves af den offentlige forvaltning, herunder såkaldt faktisk forvaltningsvirksomhed. En stor del af den virksomhed, der udøves af det offentlige på social-, sundheds- og undervisningsområdet, er eksempler på faktisk forvaltningsvirksomhed. Der henvises til Folketingstidende 2012-13, tillæg A, L 144 som fremsat, side 64.</w:t>
      </w:r>
    </w:p>
    <w:p w14:paraId="13BC5A0D" w14:textId="77777777" w:rsidR="00E707D7" w:rsidRPr="00796736" w:rsidRDefault="00E707D7" w:rsidP="00A802A5">
      <w:pPr>
        <w:spacing w:line="360" w:lineRule="auto"/>
        <w:rPr>
          <w:rFonts w:ascii="Times New Roman" w:hAnsi="Times New Roman" w:cs="Times New Roman"/>
          <w:sz w:val="24"/>
          <w:szCs w:val="24"/>
        </w:rPr>
      </w:pPr>
    </w:p>
    <w:p w14:paraId="3BD7567A"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Offentlighedslovens bestemmelser finder dermed anvendelse for Finanstilsynets, Erhvervsstyrelsens, Advokatnævnets og Spillemyndighedens virksomhed, hvilket også vil omfatte de pågældende myndigheders virksomhed efter denne lov. </w:t>
      </w:r>
    </w:p>
    <w:p w14:paraId="4F1D512C" w14:textId="77777777" w:rsidR="00E707D7" w:rsidRPr="00796736" w:rsidRDefault="00E707D7" w:rsidP="00A802A5">
      <w:pPr>
        <w:spacing w:line="360" w:lineRule="auto"/>
        <w:rPr>
          <w:rFonts w:ascii="Times New Roman" w:hAnsi="Times New Roman" w:cs="Times New Roman"/>
          <w:sz w:val="24"/>
          <w:szCs w:val="24"/>
        </w:rPr>
      </w:pPr>
    </w:p>
    <w:p w14:paraId="32BFF06F"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Lovens kapitel 2 indeholder regler om aktindsigt, kapitel 3 indeholder regler om journalisering, postlister og aktiv information og kapitel 4 indeholder regler om undtagelser fra retten til aktindsigt. </w:t>
      </w:r>
    </w:p>
    <w:p w14:paraId="087797F0"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Af særlig relevans for visse af lovforslagets bestemmelser om fortrolighed og tavshedspligt er reglen i offentlighedslovens § 35, hvorefter pligten til at meddele oplysninger er begrænset af særlige bestemmelser om tavshedspligt fastsat ved lov eller med hjemmel i lov for personer, der virker i offentlig tjeneste eller hverv. </w:t>
      </w:r>
    </w:p>
    <w:p w14:paraId="6F0C7BD8" w14:textId="77777777" w:rsidR="00E707D7" w:rsidRPr="00796736" w:rsidRDefault="00E707D7" w:rsidP="00A802A5">
      <w:pPr>
        <w:spacing w:line="360" w:lineRule="auto"/>
        <w:rPr>
          <w:rFonts w:ascii="Times New Roman" w:hAnsi="Times New Roman" w:cs="Times New Roman"/>
          <w:sz w:val="24"/>
          <w:szCs w:val="24"/>
        </w:rPr>
      </w:pPr>
    </w:p>
    <w:p w14:paraId="4CF80D5F"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bemærkningerne til bestemmelsen begrænses pligten til at meddele oplysninger efter offentlighedslovens regler om aktindsigt af særlige bestemmelse rom tavshedspligt fastsat ved lov eller med hjemmel i lov for personer, der virker i offentlig tjeneste eller hverv. </w:t>
      </w:r>
    </w:p>
    <w:p w14:paraId="6325D1BF" w14:textId="77777777" w:rsidR="00E707D7" w:rsidRPr="00796736" w:rsidRDefault="00E707D7" w:rsidP="00A802A5">
      <w:pPr>
        <w:spacing w:line="360" w:lineRule="auto"/>
        <w:rPr>
          <w:rFonts w:ascii="Times New Roman" w:hAnsi="Times New Roman" w:cs="Times New Roman"/>
          <w:sz w:val="24"/>
          <w:szCs w:val="24"/>
        </w:rPr>
      </w:pPr>
    </w:p>
    <w:p w14:paraId="3CEC7D3B" w14:textId="15B31822"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videre, at omfattet af udtrykket »særlige bestemmelser om tavshedspligt« er de tavshedspligtbestemmelser i særlovgivningen, der ud fra særlige hensyn har fastsat tavshedspligt med hensyn til nærmere angivne forhold. Således er de tavshedspligtbestemmelser i særlovgivningen, der alene gentager eller henviser til de almindelige tavshedspligtbestemmelser i straffeloven og forvaltningsloven, ikke omfattet af det nævnte udtryk. </w:t>
      </w:r>
    </w:p>
    <w:p w14:paraId="578D090A" w14:textId="77777777" w:rsidR="00E707D7" w:rsidRPr="00796736" w:rsidRDefault="00E707D7" w:rsidP="00A802A5">
      <w:pPr>
        <w:spacing w:line="360" w:lineRule="auto"/>
        <w:rPr>
          <w:rFonts w:ascii="Times New Roman" w:hAnsi="Times New Roman" w:cs="Times New Roman"/>
          <w:sz w:val="24"/>
          <w:szCs w:val="24"/>
        </w:rPr>
      </w:pPr>
    </w:p>
    <w:p w14:paraId="58A09ED8" w14:textId="12B1912B"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Vurderingen af, om en tavshedspligtbestemmelse i det enkelte tilfælde skal henregnes til de særlige tavshedspligtbestemmelser, vil bero på en fortolkning af den pågældende bestemmelse, hvor det under hensyn til bestemmelsens ordlyd og forarbejder må vurderes, om tavshedspligten er fastsat på baggrund af særlige hensyn. </w:t>
      </w:r>
    </w:p>
    <w:p w14:paraId="24FAB8FC" w14:textId="77777777" w:rsidR="00E707D7" w:rsidRPr="00796736" w:rsidRDefault="00E707D7" w:rsidP="00A802A5">
      <w:pPr>
        <w:spacing w:line="360" w:lineRule="auto"/>
        <w:rPr>
          <w:rFonts w:ascii="Times New Roman" w:hAnsi="Times New Roman" w:cs="Times New Roman"/>
          <w:sz w:val="24"/>
          <w:szCs w:val="24"/>
        </w:rPr>
      </w:pPr>
    </w:p>
    <w:p w14:paraId="41976055" w14:textId="411AD6AB"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Udtrykket »særlige bestemmelser om tavshedspligt« omfatter også tavshedspligtforskrifter, der er indeholdt i umiddelbart anvendelige EU-retsakter, navnlig forordninger. Det samme gælder tavshedspligtforskrifter i andre EU-retsakter eller i folkeretlige traktater, der ved lov eller i henhold til lov er tillagt gyldighed her i landet. Retsvirkningen af, at der foreligger en særlig tavshedspligt bestemmelse, er, at de forhold, der er omfattet af bestemmelsen, ikke er undergivet aktindsigt efter offentlighedsloven. Hvis kun en del af oplysningerne i et dokument er omfattet af en særlig tavshedspligtbestemmelse, vil myndigheden skulle meddele aktindsigt i dokumentets øvrige indhold. </w:t>
      </w:r>
    </w:p>
    <w:p w14:paraId="67576CFA" w14:textId="77777777" w:rsidR="00E707D7" w:rsidRPr="00796736" w:rsidRDefault="00E707D7" w:rsidP="00A802A5">
      <w:pPr>
        <w:spacing w:line="360" w:lineRule="auto"/>
        <w:rPr>
          <w:rFonts w:ascii="Times New Roman" w:hAnsi="Times New Roman" w:cs="Times New Roman"/>
          <w:sz w:val="24"/>
          <w:szCs w:val="24"/>
        </w:rPr>
      </w:pPr>
    </w:p>
    <w:p w14:paraId="1FFC9355" w14:textId="3DAA32DE"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Endvidere har en særlig tavshedspligtbestemmelse den konsekvens, at forvaltningsmyndigheden vil være afskåret fra efter eget skøn at give meroffentlighed, medmindre myndigheden selv er rådig over den interesse, der tilsigtes beskyttet ved tavshedspligten. Der henvises til Folketingstidende 2012-13, tillæg A, L 144 som fremsat, side 107.</w:t>
      </w:r>
    </w:p>
    <w:p w14:paraId="37ACD58F" w14:textId="77777777" w:rsidR="00E707D7" w:rsidRPr="00796736" w:rsidRDefault="00E707D7" w:rsidP="00A802A5">
      <w:pPr>
        <w:spacing w:line="360" w:lineRule="auto"/>
        <w:rPr>
          <w:rFonts w:ascii="Times New Roman" w:hAnsi="Times New Roman" w:cs="Times New Roman"/>
          <w:sz w:val="24"/>
          <w:szCs w:val="24"/>
        </w:rPr>
      </w:pPr>
    </w:p>
    <w:p w14:paraId="7C8992D5"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visse af de foreslåede bestemmelser om tavshedspligt for Hvidvasksekretariatet, Finanstilsynet, Erhvervsstyrelsen, Advokatnævnet og Spillemyndigheden vil udgøre en særlig tavshedspligt omfattet af offentlighedslovens § 35 og således være undtaget fra retten til aktindsigt, ligesom tilfældet er for den nugældende hvidvasklovs § 38 a. </w:t>
      </w:r>
    </w:p>
    <w:p w14:paraId="288D350E" w14:textId="77777777" w:rsidR="00E707D7" w:rsidRPr="00796736" w:rsidRDefault="00E707D7" w:rsidP="00A802A5">
      <w:pPr>
        <w:spacing w:after="160" w:line="360" w:lineRule="auto"/>
        <w:rPr>
          <w:rFonts w:ascii="Times New Roman" w:eastAsia="Calibri" w:hAnsi="Times New Roman" w:cs="Times New Roman"/>
          <w:i/>
          <w:sz w:val="24"/>
          <w:szCs w:val="24"/>
        </w:rPr>
      </w:pPr>
    </w:p>
    <w:p w14:paraId="643811EA" w14:textId="1F1C2155" w:rsidR="000A36C6" w:rsidRPr="00796736" w:rsidRDefault="000A36C6" w:rsidP="00A802A5">
      <w:pPr>
        <w:spacing w:after="160" w:line="360" w:lineRule="auto"/>
        <w:rPr>
          <w:rFonts w:ascii="Times New Roman" w:eastAsia="Calibri" w:hAnsi="Times New Roman" w:cs="Times New Roman"/>
          <w:i/>
          <w:sz w:val="24"/>
          <w:szCs w:val="24"/>
        </w:rPr>
      </w:pPr>
      <w:r w:rsidRPr="00796736">
        <w:rPr>
          <w:rFonts w:ascii="Times New Roman" w:eastAsia="Calibri" w:hAnsi="Times New Roman" w:cs="Times New Roman"/>
          <w:i/>
          <w:sz w:val="24"/>
          <w:szCs w:val="24"/>
        </w:rPr>
        <w:t>4.3. Retssikkerhedsloven</w:t>
      </w:r>
    </w:p>
    <w:p w14:paraId="3377CA2B" w14:textId="21364198" w:rsidR="005A265F"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Lovforslaget indeholder flere bestemmelser, som giver tilsynsorganerne mulighed for at iværksætte tvangsindgreb uden for strafferetsplejen af forskellig karakter overfor virksomheder og personer omfattet af loven. Sådanne tvangsindgreb vil som udgangspunkt være omfattet af retssikkerhedslovens bestemmelser for så vidt angår indgreb iværksat af de tilsynsorganer, som tilhører den offentlige forvaltning. I det følgende følger en kort gennemgang af visse af retssikkerhedslovens regler om tvangsindgreb uden for strafferetsplejen, idet der i bemærkningerne til de enkelte bestemmelser vil fremgå, i hvilket omfang det herved foreslås at supplere eller fravige retssikkerhedslovens almindelige regler. </w:t>
      </w:r>
    </w:p>
    <w:p w14:paraId="5D636653" w14:textId="77777777" w:rsidR="005A265F" w:rsidRDefault="005A265F" w:rsidP="00A802A5">
      <w:pPr>
        <w:spacing w:line="360" w:lineRule="auto"/>
        <w:rPr>
          <w:rFonts w:ascii="Times New Roman" w:hAnsi="Times New Roman" w:cs="Times New Roman"/>
          <w:sz w:val="24"/>
          <w:szCs w:val="24"/>
        </w:rPr>
      </w:pPr>
    </w:p>
    <w:p w14:paraId="38F0C330" w14:textId="49595F8F" w:rsidR="00E707D7" w:rsidRDefault="005A265F" w:rsidP="00A802A5">
      <w:pPr>
        <w:spacing w:line="360" w:lineRule="auto"/>
        <w:rPr>
          <w:rFonts w:ascii="Times New Roman" w:hAnsi="Times New Roman" w:cs="Times New Roman"/>
          <w:sz w:val="24"/>
          <w:szCs w:val="24"/>
        </w:rPr>
      </w:pPr>
      <w:r>
        <w:rPr>
          <w:rFonts w:ascii="Times New Roman" w:hAnsi="Times New Roman" w:cs="Times New Roman"/>
          <w:sz w:val="24"/>
          <w:szCs w:val="24"/>
        </w:rPr>
        <w:t>For så vidt angår tvangsindgreb iværksat af Erhvervsstyrelsen henvises til bemærkningerne til § 81, stk. 2.</w:t>
      </w:r>
    </w:p>
    <w:p w14:paraId="013AF044" w14:textId="77777777" w:rsidR="005A265F" w:rsidRPr="00796736" w:rsidRDefault="005A265F" w:rsidP="00A802A5">
      <w:pPr>
        <w:spacing w:line="360" w:lineRule="auto"/>
        <w:rPr>
          <w:rFonts w:ascii="Times New Roman" w:hAnsi="Times New Roman" w:cs="Times New Roman"/>
          <w:sz w:val="24"/>
          <w:szCs w:val="24"/>
        </w:rPr>
      </w:pPr>
    </w:p>
    <w:p w14:paraId="077CCD86" w14:textId="77777777" w:rsidR="00E707D7" w:rsidRPr="00796736" w:rsidRDefault="00E707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 om retssikkerhed ved forvaltningsanvendelse af tvangsindgreb, jf. lovbekendtgørelse nr. 1121 af 12. november 2019, om retssikkerhed ved forvaltningens anvendelse af tvangsindgreb og oplysningspligter, (retssikkerhedsloven) indeholder i lovens kapitel 1 regler om lovens anvendelsesområde. </w:t>
      </w:r>
    </w:p>
    <w:p w14:paraId="59E55349" w14:textId="77777777" w:rsidR="00E707D7" w:rsidRPr="00796736" w:rsidRDefault="00E707D7" w:rsidP="00A802A5">
      <w:pPr>
        <w:spacing w:line="360" w:lineRule="auto"/>
        <w:rPr>
          <w:rFonts w:ascii="Times New Roman" w:hAnsi="Times New Roman" w:cs="Times New Roman"/>
          <w:sz w:val="24"/>
          <w:szCs w:val="24"/>
        </w:rPr>
      </w:pPr>
    </w:p>
    <w:p w14:paraId="4DB90DE8"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Efter § 1, stk. 1, finder lovens kapitel 2 og 3 anvendelse ved tvangsindgreb, som foretages af den offentlige forvaltning uden for strafferetsplejen, og som består i (1) husundersøgelse eller (2) undersøgelse eller beslaglæggelse af breve og andre papirer. Efter stk. 2 finder lovens kapitel 3 også anvendelse ved tvangsindgreb, som foretages af den offentlige forvaltning uden for strafferetsplejen, og som består i (1) undersøgelse af andre lokaliteter, (2) undersøgelse eller beslaglæggelse af andre genstande, (3) brud på meddelelseshemmeligheden eller (4) eftersyn eller anden undersøgelse af personer.</w:t>
      </w:r>
    </w:p>
    <w:p w14:paraId="4F5756D2"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3 finder lovens kapitel 4 anvendelse i tilfælde, hvor der i lovgivningen m.v. er fastsat pligt til at meddele oplysninger til den offentlige forvaltning. </w:t>
      </w:r>
    </w:p>
    <w:p w14:paraId="64AA9273"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7EC12FA6"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Retssikkerhedslovens kapitel 2 regulerer gennemførelsen af tvangsindgreb. </w:t>
      </w:r>
    </w:p>
    <w:p w14:paraId="544DE665"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4B8C8A88"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overordnede bestemmelse om proportionalitetsprincippet i § 2 må tvangsindgreb kun anvendes, hvis mindre indgribende foranstaltninger ikke er tilstrækkelige, og hvis indgrebet står i rimeligt forhold til formålet med indgrebet. </w:t>
      </w:r>
    </w:p>
    <w:p w14:paraId="69AB5513"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6CEBB9A7"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Lovens §§ 3-8 indeholder regler om fremgangsmåden ved tvangsindgreb, herunder om i hvilket omfang forvaltningsloven finder tilsvarende anvendelse, om notat over vurderingerne, som ligger til grund for beslutningen om iværksættelse af tvangsindgreb, om rammerne for forudgående underretning om iværksættelse af tvangsindgreb og om udførelsen af tvangsindgrebet. </w:t>
      </w:r>
    </w:p>
    <w:p w14:paraId="2A3E3042"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2ECE1FBB"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Lovens kapitel 3 regulerer forholdet til strafferetsplejen ved gennemførelse af tvangsindgreb. </w:t>
      </w:r>
    </w:p>
    <w:p w14:paraId="34A414E9"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15C30F88"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lovens § 9, stk. 1, fremgår det, at hvis en enkeltperson eller juridisk person med rimelig grund mistænkes for at have begået en strafbar lovovertrædelse, kan tvangsindgreb over for den mistænkte med henblik på at tilvejebringe oplysninger om det eller de forhold, som mistanken omfatter, alene gennemføres efter reglerne i retsplejeloven om strafferetsplejen. </w:t>
      </w:r>
    </w:p>
    <w:p w14:paraId="7737828F"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2798A3F5"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2 gælder reglen i stk. 1 ikke, hvis tvangsindgrebet gennemføres med henblik på at tilvejebringe oplysninger til brug for behandlingen af andre spørgsmål end fastsættelse af straf. </w:t>
      </w:r>
    </w:p>
    <w:p w14:paraId="25D6B929"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398A147D"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3 finder reglerne i stk. 1 og 2 tilsvarende anvendelse, hvis der i sagen rettes et tvangsindgreb mod andre end den mistænkte. </w:t>
      </w:r>
    </w:p>
    <w:p w14:paraId="0140DAE7"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301A7B14"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stk. 4, at den mistænkte kan meddele samtykke til fravigelse af stk. 1 og 3. Samtykket skal være skriftligt og skal meddeles på et frivilligt, specifikt og informeret grundlag. Et samtykke kan til enhver tid tilbagekaldes. Meddeler den mistænkte samtykke til fravigelse af stk. 1 og 3, finder reglerne i §§ 2-8 tilsvarende anvendelse ved de i § 1, stk. 1, nævnte tvangsindgreb.</w:t>
      </w:r>
    </w:p>
    <w:p w14:paraId="02F079B9"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5E7A69D0"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Retssikkerhedslovens kapitel 4 regulerer retten til ikke at inkriminere sig selv m.v. </w:t>
      </w:r>
    </w:p>
    <w:p w14:paraId="193A2A38"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67726A60"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10, stk. 1, at hvis der er konkret mistanke om, at en enkeltperson eller juridisk person har begået en lovovertrædelse, der kan medføre straf, gælder bestemmelser i lovgivningen m.v. om pligt til at meddele oplysninger til myndigheden ikke i forhold til den mistænkte, medmindre det kan udelukkes, at de oplysninger, som søges tilvejebragt, kan have betydning for bedømmelsen af den formodede lovovertrædelse.</w:t>
      </w:r>
    </w:p>
    <w:p w14:paraId="2B67E262"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4B648698"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 10, stk. 2, at i forhold til andre end den mistænkte gælder bestemmelser i lovgivningen m.v. om pligt til at meddele oplysninger, i det omfang oplysningerne søges tilvejebragt til brug for behandlingen af andre spørgsmål end fastsættelse af straf. </w:t>
      </w:r>
    </w:p>
    <w:p w14:paraId="6A8C4983"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22ED0DB1" w14:textId="77777777"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3 skal en myndighed vejlede den mistænkte om, at vedkommende ikke har pligt til at meddele oplysninger, som kan have betydning for bedømmelsen af den formodede lovovertrædelse. Hvis den mistænkte meddeler samtykke til at afgive oplysninger, finder reglerne i § 9, stk. 4, 2. og 3. pkt., tilsvarende anvendelse.</w:t>
      </w:r>
    </w:p>
    <w:p w14:paraId="7B3316BD" w14:textId="77777777" w:rsidR="00E707D7" w:rsidRPr="00796736" w:rsidRDefault="00E707D7" w:rsidP="00A802A5">
      <w:pPr>
        <w:tabs>
          <w:tab w:val="num" w:pos="720"/>
        </w:tabs>
        <w:spacing w:line="360" w:lineRule="auto"/>
        <w:rPr>
          <w:rFonts w:ascii="Times New Roman" w:hAnsi="Times New Roman" w:cs="Times New Roman"/>
          <w:sz w:val="24"/>
          <w:szCs w:val="24"/>
        </w:rPr>
      </w:pPr>
    </w:p>
    <w:p w14:paraId="6FEC4F66" w14:textId="7A66436F" w:rsidR="00E707D7" w:rsidRPr="00796736" w:rsidRDefault="00E707D7"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Endelig fremgår det af stk. 4, at den mistænkte kan meddele samtykke til anvendelse af en oplysningspligt over for andre med henblik på at tilvejebringe oplysninger til brug for en straffesag mod den mistænkte. Reglerne i § 9, stk. 4, 2. og 3. pkt., finder tilsvarende anvendelse. </w:t>
      </w:r>
    </w:p>
    <w:p w14:paraId="5EA111F2" w14:textId="77777777" w:rsidR="000A36C6" w:rsidRPr="00796736" w:rsidRDefault="000A36C6" w:rsidP="00A802A5">
      <w:pPr>
        <w:spacing w:after="160" w:line="360" w:lineRule="auto"/>
        <w:rPr>
          <w:rFonts w:ascii="Times New Roman" w:eastAsia="Calibri" w:hAnsi="Times New Roman" w:cs="Times New Roman"/>
          <w:i/>
          <w:sz w:val="24"/>
          <w:szCs w:val="24"/>
        </w:rPr>
      </w:pPr>
    </w:p>
    <w:p w14:paraId="0934C1F6" w14:textId="38DE632A" w:rsidR="000A36C6" w:rsidRPr="00796736" w:rsidRDefault="000A36C6" w:rsidP="00A802A5">
      <w:pPr>
        <w:pStyle w:val="Overskrift1"/>
        <w:spacing w:line="360" w:lineRule="auto"/>
        <w:rPr>
          <w:rFonts w:ascii="Times New Roman" w:hAnsi="Times New Roman" w:cs="Times New Roman"/>
          <w:sz w:val="24"/>
          <w:szCs w:val="24"/>
        </w:rPr>
      </w:pPr>
      <w:bookmarkStart w:id="1547" w:name="_Toc244880812"/>
      <w:r w:rsidRPr="00796736">
        <w:rPr>
          <w:rFonts w:ascii="Times New Roman" w:hAnsi="Times New Roman" w:cs="Times New Roman"/>
          <w:sz w:val="24"/>
          <w:szCs w:val="24"/>
        </w:rPr>
        <w:t>5. </w:t>
      </w:r>
      <w:bookmarkStart w:id="1548" w:name="_Ref243908245"/>
      <w:r w:rsidRPr="00796736">
        <w:rPr>
          <w:rFonts w:ascii="Times New Roman" w:hAnsi="Times New Roman" w:cs="Times New Roman"/>
          <w:sz w:val="24"/>
          <w:szCs w:val="24"/>
        </w:rPr>
        <w:t>Forholdet til databeskyttelsesforordningen og databeskyttelsesloven</w:t>
      </w:r>
      <w:bookmarkEnd w:id="1547"/>
      <w:bookmarkEnd w:id="1548"/>
    </w:p>
    <w:p w14:paraId="2CB9D0D3" w14:textId="77777777" w:rsidR="00447F73" w:rsidRPr="00796736" w:rsidRDefault="000A36C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Behandling af personoplysninger i denne lov er omfattet af reglerne i databeskyttelsesforordningen og databeskyttelsesloven. </w:t>
      </w:r>
    </w:p>
    <w:p w14:paraId="00462720" w14:textId="77777777" w:rsidR="00C95839" w:rsidRPr="00C95839" w:rsidRDefault="00C95839" w:rsidP="00A802A5">
      <w:pPr>
        <w:spacing w:after="160" w:line="360" w:lineRule="auto"/>
        <w:rPr>
          <w:rFonts w:ascii="Times New Roman" w:hAnsi="Times New Roman" w:cs="Times New Roman"/>
          <w:sz w:val="24"/>
          <w:szCs w:val="24"/>
        </w:rPr>
      </w:pPr>
      <w:r w:rsidRPr="00C95839">
        <w:rPr>
          <w:rFonts w:ascii="Times New Roman" w:hAnsi="Times New Roman" w:cs="Times New Roman"/>
          <w:sz w:val="24"/>
          <w:szCs w:val="24"/>
        </w:rPr>
        <w:t>I henhold til databeskyttelsesforordningen er behandling af personoplysninger lovlig, hvis én af betingelserne i databeskyttelsesforordningens artikel 6, stk. 1, litra a-f, er opfyldt, herunder hvis behandling er nødvendig for at overholde en retlig forpligtelse, som påhviler den dataansvarlige (litra c), eller hvis behandling er nødvendig af hensyn til udførelse af opgaver i samfundets interesse eller som henhører under myndighedsudøvelse, som den dataansvarlige har fået pålagt (litra e).</w:t>
      </w:r>
    </w:p>
    <w:p w14:paraId="1E5798B8" w14:textId="77777777" w:rsidR="00C95839" w:rsidRPr="00C95839" w:rsidRDefault="00C95839" w:rsidP="00A802A5">
      <w:pPr>
        <w:spacing w:after="160" w:line="360" w:lineRule="auto"/>
        <w:rPr>
          <w:rFonts w:ascii="Times New Roman" w:hAnsi="Times New Roman" w:cs="Times New Roman"/>
          <w:sz w:val="24"/>
          <w:szCs w:val="24"/>
        </w:rPr>
      </w:pPr>
      <w:r w:rsidRPr="00C95839">
        <w:rPr>
          <w:rFonts w:ascii="Times New Roman" w:hAnsi="Times New Roman" w:cs="Times New Roman"/>
          <w:sz w:val="24"/>
          <w:szCs w:val="24"/>
        </w:rPr>
        <w:t>Behandling i medfør af databeskyttelsesforordningens artikel 6, stk. 1, litra c og e, skal have et såkaldt supplerende retsgrundlag, som forpligter eller berettiger den dataansvarlige til at foretage en bestemt behandlingsaktivitet. Det følger af forordningens artikel 6, stk. 3.</w:t>
      </w:r>
    </w:p>
    <w:p w14:paraId="218A9720" w14:textId="77777777" w:rsidR="00C95839" w:rsidRPr="00C95839" w:rsidRDefault="00C95839" w:rsidP="00A802A5">
      <w:pPr>
        <w:spacing w:after="160" w:line="360" w:lineRule="auto"/>
        <w:rPr>
          <w:rFonts w:ascii="Times New Roman" w:hAnsi="Times New Roman" w:cs="Times New Roman"/>
          <w:sz w:val="24"/>
          <w:szCs w:val="24"/>
        </w:rPr>
      </w:pPr>
      <w:r w:rsidRPr="00C95839">
        <w:rPr>
          <w:rFonts w:ascii="Times New Roman" w:hAnsi="Times New Roman" w:cs="Times New Roman"/>
          <w:sz w:val="24"/>
          <w:szCs w:val="24"/>
        </w:rPr>
        <w:t xml:space="preserve">Behandling af personoplysninger vedrørende straffedomme og lovovertrædelser eller tilknyttede sikkerhedsforanstaltninger på grundlag af forordningens artikel 6, stk. 1, må kun foretages under kontrol af en offentlig myndighed, eller hvis behandling har hjemmel i EU-retten eller medlemsstaternes nationale ret, som giver passende garantier for registreredes rettigheder og frihedsrettigheder. Ethvert omfattende register over straffedomme må kun føres under kontrol af en offentlig myndighed. Det følger af databeskyttelsesforordningens artikel 10. </w:t>
      </w:r>
    </w:p>
    <w:p w14:paraId="1A5613E2" w14:textId="0EAF1905" w:rsidR="00C95839" w:rsidRPr="00796736" w:rsidRDefault="00C95839" w:rsidP="00A802A5">
      <w:pPr>
        <w:spacing w:after="160" w:line="360" w:lineRule="auto"/>
        <w:rPr>
          <w:rFonts w:ascii="Times New Roman" w:hAnsi="Times New Roman" w:cs="Times New Roman"/>
          <w:sz w:val="24"/>
          <w:szCs w:val="24"/>
        </w:rPr>
      </w:pPr>
      <w:r w:rsidRPr="00C95839">
        <w:rPr>
          <w:rFonts w:ascii="Times New Roman" w:hAnsi="Times New Roman" w:cs="Times New Roman"/>
          <w:sz w:val="24"/>
          <w:szCs w:val="24"/>
        </w:rPr>
        <w:t>Behandling af følsomme personoplysninger er som udgangspunkt forbudt, jf. databeskyttelsesforordningens artikel 9, stk. 1. Dette forbud finder imidlertid ikke anvendelse, bl.a. hvis behandling er nødvendig af hensyn til væsentlige samfundsinteresser på grundlag af EU-retten eller medlemsstaternes nationale ret og står i rimeligt forhold til det mål, der forfølges.</w:t>
      </w:r>
    </w:p>
    <w:p w14:paraId="7222B06B" w14:textId="77777777" w:rsidR="005A265F" w:rsidRPr="00627D58" w:rsidRDefault="005A265F" w:rsidP="005A265F">
      <w:pPr>
        <w:spacing w:after="160" w:line="360" w:lineRule="auto"/>
        <w:rPr>
          <w:rFonts w:ascii="Times New Roman" w:hAnsi="Times New Roman" w:cs="Times New Roman"/>
          <w:sz w:val="24"/>
          <w:szCs w:val="24"/>
        </w:rPr>
      </w:pPr>
      <w:r w:rsidRPr="00627D58">
        <w:rPr>
          <w:rFonts w:ascii="Times New Roman" w:hAnsi="Times New Roman" w:cs="Times New Roman"/>
          <w:sz w:val="24"/>
          <w:szCs w:val="24"/>
        </w:rPr>
        <w:t xml:space="preserve">Lovforslagets bestemmelser om en registreringsordning for visse virksomheder samt krav om </w:t>
      </w:r>
      <w:r>
        <w:rPr>
          <w:rFonts w:ascii="Times New Roman" w:hAnsi="Times New Roman" w:cs="Times New Roman"/>
          <w:sz w:val="24"/>
          <w:szCs w:val="24"/>
        </w:rPr>
        <w:t xml:space="preserve">tilladelse til at udøve visse virksomheder </w:t>
      </w:r>
      <w:r w:rsidRPr="00627D58">
        <w:rPr>
          <w:rFonts w:ascii="Times New Roman" w:hAnsi="Times New Roman" w:cs="Times New Roman"/>
          <w:sz w:val="24"/>
          <w:szCs w:val="24"/>
        </w:rPr>
        <w:t xml:space="preserve">vil medføre, at </w:t>
      </w:r>
      <w:r>
        <w:rPr>
          <w:rFonts w:ascii="Times New Roman" w:hAnsi="Times New Roman" w:cs="Times New Roman"/>
          <w:sz w:val="24"/>
          <w:szCs w:val="24"/>
        </w:rPr>
        <w:t>tilsynsmyndighederne</w:t>
      </w:r>
      <w:r w:rsidRPr="00627D58">
        <w:rPr>
          <w:rFonts w:ascii="Times New Roman" w:hAnsi="Times New Roman" w:cs="Times New Roman"/>
          <w:sz w:val="24"/>
          <w:szCs w:val="24"/>
        </w:rPr>
        <w:t xml:space="preserve"> behandler personoplysninger.</w:t>
      </w:r>
    </w:p>
    <w:p w14:paraId="37D6FA0C" w14:textId="77777777" w:rsidR="005A265F" w:rsidRPr="00627D58" w:rsidRDefault="005A265F" w:rsidP="005A265F">
      <w:pPr>
        <w:spacing w:after="160" w:line="360" w:lineRule="auto"/>
        <w:rPr>
          <w:rFonts w:ascii="Times New Roman" w:hAnsi="Times New Roman" w:cs="Times New Roman"/>
          <w:sz w:val="24"/>
          <w:szCs w:val="24"/>
        </w:rPr>
      </w:pPr>
      <w:r w:rsidRPr="00627D58">
        <w:rPr>
          <w:rFonts w:ascii="Times New Roman" w:hAnsi="Times New Roman" w:cs="Times New Roman"/>
          <w:sz w:val="24"/>
          <w:szCs w:val="24"/>
        </w:rPr>
        <w:t xml:space="preserve">Ved vedtagelsen af lovforslaget pålægges </w:t>
      </w:r>
      <w:r>
        <w:rPr>
          <w:rFonts w:ascii="Times New Roman" w:hAnsi="Times New Roman" w:cs="Times New Roman"/>
          <w:sz w:val="24"/>
          <w:szCs w:val="24"/>
        </w:rPr>
        <w:t>tilsynsmyndighederne</w:t>
      </w:r>
      <w:r w:rsidRPr="00627D58">
        <w:rPr>
          <w:rFonts w:ascii="Times New Roman" w:hAnsi="Times New Roman" w:cs="Times New Roman"/>
          <w:sz w:val="24"/>
          <w:szCs w:val="24"/>
        </w:rPr>
        <w:t xml:space="preserve"> at behandle sådanne ansøgninger og anmodninger og dermed at udøve offentlig myndighed. </w:t>
      </w:r>
      <w:r>
        <w:rPr>
          <w:rFonts w:ascii="Times New Roman" w:hAnsi="Times New Roman" w:cs="Times New Roman"/>
          <w:sz w:val="24"/>
          <w:szCs w:val="24"/>
        </w:rPr>
        <w:t>Tilsynsmyndighedernes</w:t>
      </w:r>
      <w:r w:rsidRPr="00627D58">
        <w:rPr>
          <w:rFonts w:ascii="Times New Roman" w:hAnsi="Times New Roman" w:cs="Times New Roman"/>
          <w:sz w:val="24"/>
          <w:szCs w:val="24"/>
        </w:rPr>
        <w:t xml:space="preserve"> behandling af personoplysninger i denne forbindelse vil ske i overensstemmelse med databeskyttelsesforordningens artikel 6, stk. 1, litra e, jf. artikel 6, stk. 3, litra a, hvorefter grundlaget for behandling efter artikel 6, stk. 1, litra e, skal fremgå af den nationale ret, som den dataansvarlige er underlagt.</w:t>
      </w:r>
    </w:p>
    <w:p w14:paraId="4D437DE4" w14:textId="77777777" w:rsidR="005A265F" w:rsidRDefault="005A265F" w:rsidP="005A265F">
      <w:pPr>
        <w:spacing w:after="160" w:line="360" w:lineRule="auto"/>
        <w:rPr>
          <w:rFonts w:ascii="Times New Roman" w:hAnsi="Times New Roman" w:cs="Times New Roman"/>
          <w:sz w:val="24"/>
          <w:szCs w:val="24"/>
        </w:rPr>
      </w:pPr>
      <w:r>
        <w:rPr>
          <w:rFonts w:ascii="Times New Roman" w:hAnsi="Times New Roman" w:cs="Times New Roman"/>
          <w:sz w:val="24"/>
          <w:szCs w:val="24"/>
        </w:rPr>
        <w:t>Tilsynsmyndighederne</w:t>
      </w:r>
      <w:r w:rsidRPr="00627D58">
        <w:rPr>
          <w:rFonts w:ascii="Times New Roman" w:hAnsi="Times New Roman" w:cs="Times New Roman"/>
          <w:sz w:val="24"/>
          <w:szCs w:val="24"/>
        </w:rPr>
        <w:t xml:space="preserve"> vil ikke indsamle flere oplysninger, end hvad der er nødvendigt for at opfylde formålet med behandlingen, jf. princippet om dataminimering i databeskyttelsesforordningens artikel 5, stk. 1, litra c.</w:t>
      </w:r>
    </w:p>
    <w:p w14:paraId="0635E124" w14:textId="77777777" w:rsidR="0030207D" w:rsidRDefault="0030207D" w:rsidP="00A802A5">
      <w:pPr>
        <w:spacing w:after="160" w:line="360" w:lineRule="auto"/>
        <w:rPr>
          <w:rFonts w:ascii="Times New Roman" w:hAnsi="Times New Roman" w:cs="Times New Roman"/>
          <w:sz w:val="24"/>
          <w:szCs w:val="24"/>
        </w:rPr>
      </w:pPr>
    </w:p>
    <w:p w14:paraId="184F42BF" w14:textId="530944E6" w:rsidR="005A7320" w:rsidRPr="00796736" w:rsidRDefault="000A36C6" w:rsidP="00A802A5">
      <w:pPr>
        <w:pStyle w:val="Overskrift1"/>
        <w:spacing w:line="360" w:lineRule="auto"/>
        <w:rPr>
          <w:rFonts w:ascii="Times New Roman" w:hAnsi="Times New Roman" w:cs="Times New Roman"/>
          <w:sz w:val="24"/>
          <w:szCs w:val="24"/>
        </w:rPr>
      </w:pPr>
      <w:bookmarkStart w:id="1549" w:name="_Toc505180549"/>
      <w:bookmarkStart w:id="1550" w:name="_Toc505690202"/>
      <w:bookmarkStart w:id="1551" w:name="_Toc505701755"/>
      <w:bookmarkStart w:id="1552" w:name="_Toc505759547"/>
      <w:bookmarkStart w:id="1553" w:name="_Toc505759564"/>
      <w:bookmarkStart w:id="1554" w:name="_Toc505762657"/>
      <w:bookmarkStart w:id="1555" w:name="_Toc505785997"/>
      <w:bookmarkStart w:id="1556" w:name="_Toc506799582"/>
      <w:bookmarkStart w:id="1557" w:name="_Toc506799599"/>
      <w:bookmarkStart w:id="1558" w:name="_Toc506894558"/>
      <w:bookmarkStart w:id="1559" w:name="_Toc507486295"/>
      <w:bookmarkStart w:id="1560" w:name="_Toc515271230"/>
      <w:bookmarkStart w:id="1561" w:name="_Toc515271553"/>
      <w:bookmarkStart w:id="1562" w:name="_Toc515271581"/>
      <w:bookmarkStart w:id="1563" w:name="_Toc515280489"/>
      <w:bookmarkStart w:id="1564" w:name="_Toc515280640"/>
      <w:bookmarkStart w:id="1565" w:name="_Toc515352792"/>
      <w:bookmarkStart w:id="1566" w:name="_Toc515540865"/>
      <w:bookmarkStart w:id="1567" w:name="_Toc515543705"/>
      <w:bookmarkStart w:id="1568" w:name="_Toc515543890"/>
      <w:bookmarkStart w:id="1569" w:name="_Toc515551691"/>
      <w:bookmarkStart w:id="1570" w:name="_Toc515627633"/>
      <w:bookmarkStart w:id="1571" w:name="_Toc516039943"/>
      <w:bookmarkStart w:id="1572" w:name="_Toc516155366"/>
      <w:bookmarkStart w:id="1573" w:name="_Toc516490267"/>
      <w:bookmarkStart w:id="1574" w:name="_Toc518037949"/>
      <w:bookmarkStart w:id="1575" w:name="_Toc524599601"/>
      <w:bookmarkStart w:id="1576" w:name="_Toc526154934"/>
      <w:bookmarkStart w:id="1577" w:name="_Toc526155480"/>
      <w:bookmarkStart w:id="1578" w:name="_Toc526155553"/>
      <w:bookmarkStart w:id="1579" w:name="_Toc526253990"/>
      <w:bookmarkStart w:id="1580" w:name="_Toc526348415"/>
      <w:bookmarkStart w:id="1581" w:name="_Toc526374606"/>
      <w:bookmarkStart w:id="1582" w:name="_Toc526374622"/>
      <w:bookmarkStart w:id="1583" w:name="_Toc526406485"/>
      <w:bookmarkStart w:id="1584" w:name="_Toc526409511"/>
      <w:bookmarkStart w:id="1585" w:name="_Toc526491410"/>
      <w:bookmarkStart w:id="1586" w:name="_Toc526505522"/>
      <w:bookmarkStart w:id="1587" w:name="_Toc526756614"/>
      <w:bookmarkStart w:id="1588" w:name="_Toc229739655"/>
      <w:bookmarkStart w:id="1589" w:name="_Toc232109328"/>
      <w:bookmarkStart w:id="1590" w:name="_Toc244880813"/>
      <w:r w:rsidRPr="00796736">
        <w:rPr>
          <w:rFonts w:ascii="Times New Roman" w:hAnsi="Times New Roman" w:cs="Times New Roman"/>
          <w:sz w:val="24"/>
          <w:szCs w:val="24"/>
        </w:rPr>
        <w:t>6</w:t>
      </w:r>
      <w:r w:rsidR="005A7320" w:rsidRPr="00796736">
        <w:rPr>
          <w:rFonts w:ascii="Times New Roman" w:hAnsi="Times New Roman" w:cs="Times New Roman"/>
          <w:sz w:val="24"/>
          <w:szCs w:val="24"/>
        </w:rPr>
        <w:t>. Økonomiske konsekvenser og implementeringskonsekvenser for det offentlige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74A207F7" w14:textId="39E54468" w:rsidR="00B063EF" w:rsidRPr="00796736" w:rsidRDefault="00385E0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Lovforslaget vil medføre nye forpligtelser for tilsynsmyndighederne. Det skyldes bl.a., at flere virksomheder og personer vil blive underlagt hvidvasktilsyn, at der stilles krav om nye registreringsordninger til identifikation af tilsynspopulation og skærpelse af krav til eksisterende registreringer, at tilsynsmyndighederne får nye beføjelser til at sanktionere manglende overholdelse af reglerne, og at der stilles krav om øget samarbejde med andre myndigheder samt samarbejde med og rapportering til AMLA.</w:t>
      </w:r>
    </w:p>
    <w:p w14:paraId="5D56A19D" w14:textId="77777777" w:rsidR="00385E06" w:rsidRPr="00796736" w:rsidRDefault="00385E06" w:rsidP="00A802A5">
      <w:pPr>
        <w:spacing w:line="360" w:lineRule="auto"/>
        <w:rPr>
          <w:rFonts w:ascii="Times New Roman" w:hAnsi="Times New Roman" w:cs="Times New Roman"/>
          <w:sz w:val="24"/>
          <w:szCs w:val="24"/>
        </w:rPr>
      </w:pPr>
    </w:p>
    <w:p w14:paraId="07187F0D" w14:textId="26A6855A" w:rsidR="00B063EF" w:rsidRPr="00796736" w:rsidRDefault="00B063E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vurderes, at </w:t>
      </w:r>
      <w:r w:rsidR="00EF4510" w:rsidRPr="00796736">
        <w:rPr>
          <w:rFonts w:ascii="Times New Roman" w:hAnsi="Times New Roman" w:cs="Times New Roman"/>
          <w:sz w:val="24"/>
          <w:szCs w:val="24"/>
        </w:rPr>
        <w:t>udgiften hertil kan afholdes indenfor Finanstilsynets egen ramme</w:t>
      </w:r>
      <w:r w:rsidRPr="00796736">
        <w:rPr>
          <w:rFonts w:ascii="Times New Roman" w:hAnsi="Times New Roman" w:cs="Times New Roman"/>
          <w:sz w:val="24"/>
          <w:szCs w:val="24"/>
        </w:rPr>
        <w:t>.</w:t>
      </w:r>
    </w:p>
    <w:p w14:paraId="2C8984FC" w14:textId="77777777" w:rsidR="00285CCB" w:rsidRPr="00796736" w:rsidRDefault="00285CCB" w:rsidP="00A802A5">
      <w:pPr>
        <w:spacing w:line="360" w:lineRule="auto"/>
        <w:rPr>
          <w:rFonts w:ascii="Times New Roman" w:hAnsi="Times New Roman" w:cs="Times New Roman"/>
          <w:sz w:val="24"/>
          <w:szCs w:val="24"/>
        </w:rPr>
      </w:pPr>
    </w:p>
    <w:p w14:paraId="75512D26" w14:textId="24B906D1" w:rsidR="00285CCB" w:rsidRPr="00796736" w:rsidRDefault="00285CC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vurderes desuden, at lovforslagets nye forpligtelser for Spillemyndigheden vil kunne finansieres inden for Spillemyndighedens gebyrindtægter. </w:t>
      </w:r>
    </w:p>
    <w:p w14:paraId="5938E128" w14:textId="77777777" w:rsidR="00385E06" w:rsidRPr="00796736" w:rsidRDefault="00385E06" w:rsidP="00A802A5">
      <w:pPr>
        <w:spacing w:line="360" w:lineRule="auto"/>
        <w:rPr>
          <w:rFonts w:ascii="Times New Roman" w:hAnsi="Times New Roman" w:cs="Times New Roman"/>
          <w:sz w:val="24"/>
          <w:szCs w:val="24"/>
        </w:rPr>
      </w:pPr>
    </w:p>
    <w:p w14:paraId="7622A5B4" w14:textId="2CAB15A2" w:rsidR="00385E06" w:rsidRPr="00796736" w:rsidRDefault="00385E0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Lovforslaget vurderes at medføre økonomiske konsekvenser for Erhvervsstyrelsen, herunder it-udviklingsbehov til en ny generel registreringsordning som foreslået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_Hlk215566342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tilpasning af eksisterende registreringsløsning for tjenesteudbydere i medfør af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Yderligere forventes merudgifter til drift af tilsynet som følge af den udvidede tilsynspopulation efter den foreslåede </w:t>
      </w:r>
      <w:r w:rsidR="008438E0">
        <w:rPr>
          <w:rFonts w:ascii="Times New Roman" w:hAnsi="Times New Roman" w:cs="Times New Roman"/>
          <w:sz w:val="24"/>
          <w:szCs w:val="24"/>
        </w:rPr>
        <w:fldChar w:fldCharType="begin"/>
      </w:r>
      <w:r w:rsidR="008438E0">
        <w:rPr>
          <w:rFonts w:ascii="Times New Roman" w:hAnsi="Times New Roman" w:cs="Times New Roman"/>
          <w:sz w:val="24"/>
          <w:szCs w:val="24"/>
        </w:rPr>
        <w:instrText xml:space="preserve"> REF _Ref236730892 \r \h </w:instrText>
      </w:r>
      <w:r w:rsidR="008438E0">
        <w:rPr>
          <w:rFonts w:ascii="Times New Roman" w:hAnsi="Times New Roman" w:cs="Times New Roman"/>
          <w:sz w:val="24"/>
          <w:szCs w:val="24"/>
        </w:rPr>
      </w:r>
      <w:r w:rsidR="008438E0">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008438E0">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administration af registreringsordningen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_Hlk215566342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81</w:t>
      </w:r>
      <w:r w:rsidRPr="00796736">
        <w:rPr>
          <w:rFonts w:ascii="Times New Roman" w:hAnsi="Times New Roman" w:cs="Times New Roman"/>
          <w:sz w:val="24"/>
          <w:szCs w:val="24"/>
        </w:rPr>
        <w:fldChar w:fldCharType="end"/>
      </w:r>
      <w:r w:rsidR="008438E0">
        <w:rPr>
          <w:rFonts w:ascii="Times New Roman" w:hAnsi="Times New Roman" w:cs="Times New Roman"/>
          <w:sz w:val="24"/>
          <w:szCs w:val="24"/>
        </w:rPr>
        <w:t xml:space="preserve"> </w:t>
      </w:r>
      <w:r w:rsidRPr="00796736">
        <w:rPr>
          <w:rFonts w:ascii="Times New Roman" w:hAnsi="Times New Roman" w:cs="Times New Roman"/>
          <w:sz w:val="24"/>
          <w:szCs w:val="24"/>
        </w:rPr>
        <w:t xml:space="preserve">og skærpelse af kravene til registrering af ledelsesmedlemmer af tjenesteudbydere fsva. krav om vurdering af fornødne viden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4. Derudover indebærer hvidvaskdirektivets krav om øget samarbejde og rapportering til blandt andet AMLA et øget ressourcetræk.</w:t>
      </w:r>
    </w:p>
    <w:p w14:paraId="2A3BD2FE" w14:textId="77777777" w:rsidR="00385E06" w:rsidRPr="00796736" w:rsidRDefault="00385E06" w:rsidP="00A802A5">
      <w:pPr>
        <w:spacing w:line="360" w:lineRule="auto"/>
        <w:rPr>
          <w:rFonts w:ascii="Times New Roman" w:hAnsi="Times New Roman" w:cs="Times New Roman"/>
          <w:sz w:val="24"/>
          <w:szCs w:val="24"/>
        </w:rPr>
      </w:pPr>
    </w:p>
    <w:p w14:paraId="72D8927D" w14:textId="541A23A1" w:rsidR="00385E06" w:rsidRPr="00796736" w:rsidRDefault="00385E0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ikke muligt på det foreliggende oplysningsgrundlag at vurdere de præcise implementeringsmæssige og administrative konsekvenser af lovforslaget for Erhvervsstyrelsen. Udvidelsen af Erhvervsstyrelsens tilsynspopulation er beregnet til at medføre et estimeret øget ressourcetræk svarende til minimum to årsværk eller 1,6 mio. kr. årligt i løbende udgifter.</w:t>
      </w:r>
    </w:p>
    <w:p w14:paraId="51CED3FD" w14:textId="77777777" w:rsidR="00B063EF" w:rsidRPr="00796736" w:rsidRDefault="00B063EF" w:rsidP="00A802A5">
      <w:pPr>
        <w:spacing w:line="360" w:lineRule="auto"/>
        <w:rPr>
          <w:rFonts w:ascii="Times New Roman" w:hAnsi="Times New Roman" w:cs="Times New Roman"/>
          <w:sz w:val="24"/>
          <w:szCs w:val="24"/>
        </w:rPr>
      </w:pPr>
    </w:p>
    <w:p w14:paraId="224E5075" w14:textId="77777777" w:rsidR="00621618" w:rsidRDefault="00621618" w:rsidP="00A802A5">
      <w:pPr>
        <w:spacing w:line="360" w:lineRule="auto"/>
        <w:rPr>
          <w:rFonts w:ascii="Times New Roman" w:hAnsi="Times New Roman" w:cs="Times New Roman"/>
          <w:sz w:val="24"/>
          <w:szCs w:val="24"/>
        </w:rPr>
      </w:pPr>
      <w:r w:rsidRPr="00621618">
        <w:rPr>
          <w:rFonts w:ascii="Times New Roman" w:hAnsi="Times New Roman" w:cs="Times New Roman"/>
          <w:sz w:val="24"/>
          <w:szCs w:val="24"/>
        </w:rPr>
        <w:t>Lovforslaget vurderes at medføre økonomiske og implementeringsmæssige konsekvenser for Skatteforvaltningen, herunder ifm. tilkomst af ny opkrævningstype. Konkret vurdering af de implementeringsmæssige og administrative konsekvenser udestår.</w:t>
      </w:r>
    </w:p>
    <w:p w14:paraId="678473EA" w14:textId="77777777" w:rsidR="00621618" w:rsidRDefault="00621618" w:rsidP="00A802A5">
      <w:pPr>
        <w:spacing w:line="360" w:lineRule="auto"/>
        <w:rPr>
          <w:rFonts w:ascii="Times New Roman" w:hAnsi="Times New Roman" w:cs="Times New Roman"/>
          <w:sz w:val="24"/>
          <w:szCs w:val="24"/>
        </w:rPr>
      </w:pPr>
    </w:p>
    <w:p w14:paraId="1718F9CF" w14:textId="31716D8C" w:rsidR="00385E06" w:rsidRPr="00796736" w:rsidRDefault="00385E0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Lovforslaget vurderes ikke at have økonomiske eller implementeringsmæssige konsekvenser for kommuner og regioner.</w:t>
      </w:r>
    </w:p>
    <w:p w14:paraId="5F63BD2C" w14:textId="77777777" w:rsidR="00B063EF" w:rsidRPr="00796736" w:rsidRDefault="00B063EF" w:rsidP="00A802A5">
      <w:pPr>
        <w:spacing w:line="360" w:lineRule="auto"/>
        <w:rPr>
          <w:rFonts w:ascii="Times New Roman" w:hAnsi="Times New Roman" w:cs="Times New Roman"/>
          <w:sz w:val="24"/>
          <w:szCs w:val="24"/>
        </w:rPr>
      </w:pPr>
    </w:p>
    <w:p w14:paraId="0F3B35EC" w14:textId="77777777" w:rsidR="006A67B1" w:rsidRPr="006A67B1" w:rsidRDefault="006A67B1" w:rsidP="00A802A5">
      <w:pPr>
        <w:spacing w:line="360" w:lineRule="auto"/>
        <w:rPr>
          <w:rFonts w:ascii="Times New Roman" w:hAnsi="Times New Roman" w:cs="Times New Roman"/>
          <w:sz w:val="24"/>
          <w:szCs w:val="24"/>
        </w:rPr>
      </w:pPr>
      <w:r w:rsidRPr="006A67B1">
        <w:rPr>
          <w:rFonts w:ascii="Times New Roman" w:hAnsi="Times New Roman" w:cs="Times New Roman"/>
          <w:sz w:val="24"/>
          <w:szCs w:val="24"/>
        </w:rPr>
        <w:t>Lovforslaget vurderes at efterleve principperne om digitaliseringsklar</w:t>
      </w:r>
    </w:p>
    <w:p w14:paraId="3EBBFCDF" w14:textId="6D905162" w:rsidR="006A67B1" w:rsidRDefault="006A67B1" w:rsidP="00A802A5">
      <w:pPr>
        <w:spacing w:line="360" w:lineRule="auto"/>
        <w:rPr>
          <w:rFonts w:ascii="Times New Roman" w:hAnsi="Times New Roman" w:cs="Times New Roman"/>
          <w:sz w:val="24"/>
          <w:szCs w:val="24"/>
        </w:rPr>
      </w:pPr>
      <w:r w:rsidRPr="006A67B1">
        <w:rPr>
          <w:rFonts w:ascii="Times New Roman" w:hAnsi="Times New Roman" w:cs="Times New Roman"/>
          <w:sz w:val="24"/>
          <w:szCs w:val="24"/>
        </w:rPr>
        <w:t>lovgivning.</w:t>
      </w:r>
    </w:p>
    <w:p w14:paraId="357010B7" w14:textId="77777777" w:rsidR="006A67B1" w:rsidRDefault="006A67B1" w:rsidP="00A802A5">
      <w:pPr>
        <w:spacing w:line="360" w:lineRule="auto"/>
        <w:rPr>
          <w:rFonts w:ascii="Times New Roman" w:hAnsi="Times New Roman" w:cs="Times New Roman"/>
          <w:sz w:val="24"/>
          <w:szCs w:val="24"/>
        </w:rPr>
      </w:pPr>
    </w:p>
    <w:p w14:paraId="105D1ECC" w14:textId="0683319D" w:rsidR="00B063EF" w:rsidRPr="00796736" w:rsidRDefault="00385E0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dog fsva. princip 3, at Erhvervsstyrelsens vurdering af vidensniveauet for registrering af udbydere af tjenester til truster og virksomheder efter den foreslåede </w:t>
      </w:r>
      <w:r w:rsidR="008438E0" w:rsidRPr="00796736">
        <w:rPr>
          <w:rFonts w:ascii="Times New Roman" w:hAnsi="Times New Roman" w:cs="Times New Roman"/>
          <w:sz w:val="24"/>
          <w:szCs w:val="24"/>
        </w:rPr>
        <w:fldChar w:fldCharType="begin"/>
      </w:r>
      <w:r w:rsidR="008438E0" w:rsidRPr="00796736">
        <w:rPr>
          <w:rFonts w:ascii="Times New Roman" w:hAnsi="Times New Roman" w:cs="Times New Roman"/>
          <w:sz w:val="24"/>
          <w:szCs w:val="24"/>
        </w:rPr>
        <w:instrText xml:space="preserve"> REF _Ref232609012 \r \h  \* MERGEFORMAT </w:instrText>
      </w:r>
      <w:r w:rsidR="008438E0" w:rsidRPr="00796736">
        <w:rPr>
          <w:rFonts w:ascii="Times New Roman" w:hAnsi="Times New Roman" w:cs="Times New Roman"/>
          <w:sz w:val="24"/>
          <w:szCs w:val="24"/>
        </w:rPr>
      </w:r>
      <w:r w:rsidR="008438E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008438E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4, vil bero på en konkret og individuel afgørelse, hvorfor dette ikke kan automatiseres.</w:t>
      </w:r>
    </w:p>
    <w:p w14:paraId="69758155" w14:textId="77777777" w:rsidR="007F4BB9" w:rsidRPr="00796736" w:rsidRDefault="007F4BB9" w:rsidP="00A802A5">
      <w:pPr>
        <w:spacing w:line="360" w:lineRule="auto"/>
        <w:rPr>
          <w:rFonts w:ascii="Times New Roman" w:hAnsi="Times New Roman" w:cs="Times New Roman"/>
          <w:sz w:val="24"/>
          <w:szCs w:val="24"/>
        </w:rPr>
      </w:pPr>
    </w:p>
    <w:p w14:paraId="77901B12" w14:textId="68BB0887" w:rsidR="005A7320" w:rsidRPr="00796736" w:rsidRDefault="000A36C6" w:rsidP="00A802A5">
      <w:pPr>
        <w:pStyle w:val="Overskrift1"/>
        <w:spacing w:line="360" w:lineRule="auto"/>
        <w:rPr>
          <w:rFonts w:ascii="Times New Roman" w:hAnsi="Times New Roman" w:cs="Times New Roman"/>
          <w:sz w:val="24"/>
          <w:szCs w:val="24"/>
        </w:rPr>
      </w:pPr>
      <w:bookmarkStart w:id="1591" w:name="_Toc515271231"/>
      <w:bookmarkStart w:id="1592" w:name="_Toc515271554"/>
      <w:bookmarkStart w:id="1593" w:name="_Toc515271582"/>
      <w:bookmarkStart w:id="1594" w:name="_Toc515280490"/>
      <w:bookmarkStart w:id="1595" w:name="_Toc515280641"/>
      <w:bookmarkStart w:id="1596" w:name="_Toc515352793"/>
      <w:bookmarkStart w:id="1597" w:name="_Toc515540866"/>
      <w:bookmarkStart w:id="1598" w:name="_Toc515543706"/>
      <w:bookmarkStart w:id="1599" w:name="_Toc515543891"/>
      <w:bookmarkStart w:id="1600" w:name="_Toc515551692"/>
      <w:bookmarkStart w:id="1601" w:name="_Toc515627634"/>
      <w:bookmarkStart w:id="1602" w:name="_Toc516039944"/>
      <w:bookmarkStart w:id="1603" w:name="_Toc516155367"/>
      <w:bookmarkStart w:id="1604" w:name="_Toc516490268"/>
      <w:bookmarkStart w:id="1605" w:name="_Toc518037950"/>
      <w:bookmarkStart w:id="1606" w:name="_Toc524599602"/>
      <w:bookmarkStart w:id="1607" w:name="_Toc526154935"/>
      <w:bookmarkStart w:id="1608" w:name="_Toc526155481"/>
      <w:bookmarkStart w:id="1609" w:name="_Toc526155554"/>
      <w:bookmarkStart w:id="1610" w:name="_Toc526253991"/>
      <w:bookmarkStart w:id="1611" w:name="_Toc526348416"/>
      <w:bookmarkStart w:id="1612" w:name="_Toc526374607"/>
      <w:bookmarkStart w:id="1613" w:name="_Toc526374623"/>
      <w:bookmarkStart w:id="1614" w:name="_Toc526406486"/>
      <w:bookmarkStart w:id="1615" w:name="_Toc526409512"/>
      <w:bookmarkStart w:id="1616" w:name="_Toc526491411"/>
      <w:bookmarkStart w:id="1617" w:name="_Toc526505523"/>
      <w:bookmarkStart w:id="1618" w:name="_Toc526756615"/>
      <w:bookmarkStart w:id="1619" w:name="_Toc229739657"/>
      <w:bookmarkStart w:id="1620" w:name="_Toc232109329"/>
      <w:bookmarkStart w:id="1621" w:name="_Toc244880814"/>
      <w:r w:rsidRPr="00796736">
        <w:rPr>
          <w:rFonts w:ascii="Times New Roman" w:hAnsi="Times New Roman" w:cs="Times New Roman"/>
          <w:sz w:val="24"/>
          <w:szCs w:val="24"/>
        </w:rPr>
        <w:t>7</w:t>
      </w:r>
      <w:r w:rsidR="005A7320" w:rsidRPr="00796736">
        <w:rPr>
          <w:rFonts w:ascii="Times New Roman" w:hAnsi="Times New Roman" w:cs="Times New Roman"/>
          <w:sz w:val="24"/>
          <w:szCs w:val="24"/>
        </w:rPr>
        <w:t>. Økonomiske og administrative konsekvenser for erhvervslivet m.v.</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14:paraId="1AD9DA3B" w14:textId="6974A544" w:rsidR="007F4BB9" w:rsidRDefault="009D06C3" w:rsidP="00A802A5">
      <w:pPr>
        <w:spacing w:line="360" w:lineRule="auto"/>
        <w:rPr>
          <w:rFonts w:ascii="Times New Roman" w:hAnsi="Times New Roman" w:cs="Times New Roman"/>
          <w:sz w:val="24"/>
          <w:szCs w:val="24"/>
        </w:rPr>
      </w:pPr>
      <w:r w:rsidRPr="009D06C3">
        <w:rPr>
          <w:rFonts w:ascii="Times New Roman" w:hAnsi="Times New Roman" w:cs="Times New Roman"/>
          <w:sz w:val="24"/>
          <w:szCs w:val="24"/>
        </w:rPr>
        <w:t>Da tilsynspopulationen udvides med hvidvaskforordningen, og flere virksomheder kommer under tilsyn, kan lovforslaget medføre ikke-ubetydelige økonomiske og administrative konsekvenser for erhvervslivet som følge af kravene i 6. hvidvaskdirektiv. Erhvervsstyrelsens Område for Bedre Regulering (OBR) vil gennemføre en AMVAB-måling forud for fremsættelsen af lovforslaget med henblik på at belyse de nærmere konsekvenser</w:t>
      </w:r>
      <w:r>
        <w:rPr>
          <w:rFonts w:ascii="Times New Roman" w:hAnsi="Times New Roman" w:cs="Times New Roman"/>
          <w:sz w:val="24"/>
          <w:szCs w:val="24"/>
        </w:rPr>
        <w:t>.</w:t>
      </w:r>
    </w:p>
    <w:p w14:paraId="7E5D86C4" w14:textId="77777777" w:rsidR="009D06C3" w:rsidRPr="00796736" w:rsidRDefault="009D06C3" w:rsidP="00A802A5">
      <w:pPr>
        <w:spacing w:line="360" w:lineRule="auto"/>
        <w:rPr>
          <w:rFonts w:ascii="Times New Roman" w:hAnsi="Times New Roman" w:cs="Times New Roman"/>
          <w:sz w:val="24"/>
          <w:szCs w:val="24"/>
        </w:rPr>
      </w:pPr>
    </w:p>
    <w:p w14:paraId="29D0D0A4" w14:textId="008AAC03" w:rsidR="005A7320" w:rsidRPr="00796736" w:rsidRDefault="000A36C6" w:rsidP="00A802A5">
      <w:pPr>
        <w:pStyle w:val="Overskrift1"/>
        <w:spacing w:line="360" w:lineRule="auto"/>
        <w:rPr>
          <w:rFonts w:ascii="Times New Roman" w:hAnsi="Times New Roman" w:cs="Times New Roman"/>
          <w:sz w:val="24"/>
          <w:szCs w:val="24"/>
        </w:rPr>
      </w:pPr>
      <w:bookmarkStart w:id="1622" w:name="_Toc329931204"/>
      <w:bookmarkStart w:id="1623" w:name="_Toc329931315"/>
      <w:bookmarkStart w:id="1624" w:name="_Toc442277390"/>
      <w:bookmarkStart w:id="1625" w:name="_Toc442281308"/>
      <w:bookmarkStart w:id="1626" w:name="_Toc442281338"/>
      <w:bookmarkStart w:id="1627" w:name="_Toc442777848"/>
      <w:bookmarkStart w:id="1628" w:name="_Toc442787245"/>
      <w:bookmarkStart w:id="1629" w:name="_Toc442787537"/>
      <w:bookmarkStart w:id="1630" w:name="_Toc442953243"/>
      <w:bookmarkStart w:id="1631" w:name="_Toc443047627"/>
      <w:bookmarkStart w:id="1632" w:name="_Toc444095987"/>
      <w:bookmarkStart w:id="1633" w:name="_Toc444244513"/>
      <w:bookmarkStart w:id="1634" w:name="_Toc498557228"/>
      <w:bookmarkStart w:id="1635" w:name="_Toc498557298"/>
      <w:bookmarkStart w:id="1636" w:name="_Toc498590032"/>
      <w:bookmarkStart w:id="1637" w:name="_Toc498681515"/>
      <w:bookmarkStart w:id="1638" w:name="_Toc499152787"/>
      <w:bookmarkStart w:id="1639" w:name="_Toc499158746"/>
      <w:bookmarkStart w:id="1640" w:name="_Toc499648619"/>
      <w:bookmarkStart w:id="1641" w:name="_Toc499728112"/>
      <w:bookmarkStart w:id="1642" w:name="_Toc499732960"/>
      <w:bookmarkStart w:id="1643" w:name="_Toc499736991"/>
      <w:bookmarkStart w:id="1644" w:name="_Toc499812931"/>
      <w:bookmarkStart w:id="1645" w:name="_Toc499813734"/>
      <w:bookmarkStart w:id="1646" w:name="_Toc500921481"/>
      <w:bookmarkStart w:id="1647" w:name="_Toc500921507"/>
      <w:bookmarkStart w:id="1648" w:name="_Toc500921618"/>
      <w:bookmarkStart w:id="1649" w:name="_Toc501019228"/>
      <w:bookmarkStart w:id="1650" w:name="_Toc504483873"/>
      <w:bookmarkStart w:id="1651" w:name="_Toc505180551"/>
      <w:bookmarkStart w:id="1652" w:name="_Toc505690204"/>
      <w:bookmarkStart w:id="1653" w:name="_Toc505701757"/>
      <w:bookmarkStart w:id="1654" w:name="_Toc505759549"/>
      <w:bookmarkStart w:id="1655" w:name="_Toc505759566"/>
      <w:bookmarkStart w:id="1656" w:name="_Toc505762659"/>
      <w:bookmarkStart w:id="1657" w:name="_Toc505785999"/>
      <w:bookmarkStart w:id="1658" w:name="_Toc506799584"/>
      <w:bookmarkStart w:id="1659" w:name="_Toc506799601"/>
      <w:bookmarkStart w:id="1660" w:name="_Toc506894560"/>
      <w:bookmarkStart w:id="1661" w:name="_Toc507486297"/>
      <w:bookmarkStart w:id="1662" w:name="_Toc515271232"/>
      <w:bookmarkStart w:id="1663" w:name="_Toc515271555"/>
      <w:bookmarkStart w:id="1664" w:name="_Toc515271583"/>
      <w:bookmarkStart w:id="1665" w:name="_Toc515280491"/>
      <w:bookmarkStart w:id="1666" w:name="_Toc515280642"/>
      <w:bookmarkStart w:id="1667" w:name="_Toc515352794"/>
      <w:bookmarkStart w:id="1668" w:name="_Toc515540867"/>
      <w:bookmarkStart w:id="1669" w:name="_Toc515543707"/>
      <w:bookmarkStart w:id="1670" w:name="_Toc515543892"/>
      <w:bookmarkStart w:id="1671" w:name="_Toc515551693"/>
      <w:bookmarkStart w:id="1672" w:name="_Toc515627635"/>
      <w:bookmarkStart w:id="1673" w:name="_Toc516039945"/>
      <w:bookmarkStart w:id="1674" w:name="_Toc516155368"/>
      <w:bookmarkStart w:id="1675" w:name="_Toc516490269"/>
      <w:bookmarkStart w:id="1676" w:name="_Toc518037951"/>
      <w:bookmarkStart w:id="1677" w:name="_Toc524599603"/>
      <w:bookmarkStart w:id="1678" w:name="_Toc526154936"/>
      <w:bookmarkStart w:id="1679" w:name="_Toc526155482"/>
      <w:bookmarkStart w:id="1680" w:name="_Toc526155555"/>
      <w:bookmarkStart w:id="1681" w:name="_Toc526253992"/>
      <w:bookmarkStart w:id="1682" w:name="_Toc526348417"/>
      <w:bookmarkStart w:id="1683" w:name="_Toc526374608"/>
      <w:bookmarkStart w:id="1684" w:name="_Toc526374624"/>
      <w:bookmarkStart w:id="1685" w:name="_Toc526406487"/>
      <w:bookmarkStart w:id="1686" w:name="_Toc526409513"/>
      <w:bookmarkStart w:id="1687" w:name="_Toc526491412"/>
      <w:bookmarkStart w:id="1688" w:name="_Toc526505524"/>
      <w:bookmarkStart w:id="1689" w:name="_Toc526756616"/>
      <w:bookmarkStart w:id="1690" w:name="_Toc229739659"/>
      <w:bookmarkStart w:id="1691" w:name="_Toc232109330"/>
      <w:bookmarkStart w:id="1692" w:name="_Toc244880815"/>
      <w:r w:rsidRPr="00796736">
        <w:rPr>
          <w:rFonts w:ascii="Times New Roman" w:hAnsi="Times New Roman" w:cs="Times New Roman"/>
          <w:sz w:val="24"/>
          <w:szCs w:val="24"/>
        </w:rPr>
        <w:t>8</w:t>
      </w:r>
      <w:r w:rsidR="005A7320" w:rsidRPr="00796736">
        <w:rPr>
          <w:rFonts w:ascii="Times New Roman" w:hAnsi="Times New Roman" w:cs="Times New Roman"/>
          <w:sz w:val="24"/>
          <w:szCs w:val="24"/>
        </w:rPr>
        <w:t>. Administrative konsekvenser for borgerne</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14:paraId="4AE0DB8D" w14:textId="77777777" w:rsidR="005A7320" w:rsidRPr="00796736" w:rsidRDefault="005A7320" w:rsidP="00A802A5">
      <w:pPr>
        <w:spacing w:line="360" w:lineRule="auto"/>
        <w:rPr>
          <w:rFonts w:ascii="Times New Roman" w:hAnsi="Times New Roman" w:cs="Times New Roman"/>
          <w:sz w:val="24"/>
          <w:szCs w:val="24"/>
        </w:rPr>
      </w:pPr>
      <w:bookmarkStart w:id="1693" w:name="_Toc229739660"/>
      <w:r w:rsidRPr="00796736">
        <w:rPr>
          <w:rFonts w:ascii="Times New Roman" w:hAnsi="Times New Roman" w:cs="Times New Roman"/>
          <w:sz w:val="24"/>
          <w:szCs w:val="24"/>
        </w:rPr>
        <w:t>Lovforslaget medfører ikke administrative konsekvenser for borgerne.</w:t>
      </w:r>
      <w:bookmarkEnd w:id="1693"/>
      <w:r w:rsidRPr="00796736">
        <w:rPr>
          <w:rFonts w:ascii="Times New Roman" w:hAnsi="Times New Roman" w:cs="Times New Roman"/>
          <w:sz w:val="24"/>
          <w:szCs w:val="24"/>
        </w:rPr>
        <w:t xml:space="preserve"> </w:t>
      </w:r>
    </w:p>
    <w:p w14:paraId="1080E753" w14:textId="77777777" w:rsidR="007F4BB9" w:rsidRPr="00796736" w:rsidRDefault="007F4BB9" w:rsidP="00A802A5">
      <w:pPr>
        <w:spacing w:line="360" w:lineRule="auto"/>
        <w:rPr>
          <w:rFonts w:ascii="Times New Roman" w:hAnsi="Times New Roman" w:cs="Times New Roman"/>
          <w:sz w:val="24"/>
          <w:szCs w:val="24"/>
        </w:rPr>
      </w:pPr>
    </w:p>
    <w:p w14:paraId="2F537E00" w14:textId="06CBD94F" w:rsidR="005A7320" w:rsidRPr="00796736" w:rsidRDefault="000A36C6" w:rsidP="00A802A5">
      <w:pPr>
        <w:pStyle w:val="Overskrift1"/>
        <w:spacing w:line="360" w:lineRule="auto"/>
        <w:rPr>
          <w:rFonts w:ascii="Times New Roman" w:hAnsi="Times New Roman" w:cs="Times New Roman"/>
          <w:sz w:val="24"/>
          <w:szCs w:val="24"/>
        </w:rPr>
      </w:pPr>
      <w:bookmarkStart w:id="1694" w:name="_Toc329931205"/>
      <w:bookmarkStart w:id="1695" w:name="_Toc329931316"/>
      <w:bookmarkStart w:id="1696" w:name="_Toc442277391"/>
      <w:bookmarkStart w:id="1697" w:name="_Toc442281309"/>
      <w:bookmarkStart w:id="1698" w:name="_Toc442281339"/>
      <w:bookmarkStart w:id="1699" w:name="_Toc442777849"/>
      <w:bookmarkStart w:id="1700" w:name="_Toc442787246"/>
      <w:bookmarkStart w:id="1701" w:name="_Toc442787538"/>
      <w:bookmarkStart w:id="1702" w:name="_Toc442953244"/>
      <w:bookmarkStart w:id="1703" w:name="_Toc443047628"/>
      <w:bookmarkStart w:id="1704" w:name="_Toc444095988"/>
      <w:bookmarkStart w:id="1705" w:name="_Toc444244514"/>
      <w:bookmarkStart w:id="1706" w:name="_Toc498557229"/>
      <w:bookmarkStart w:id="1707" w:name="_Toc498557299"/>
      <w:bookmarkStart w:id="1708" w:name="_Toc498590033"/>
      <w:bookmarkStart w:id="1709" w:name="_Toc498681516"/>
      <w:bookmarkStart w:id="1710" w:name="_Toc499152788"/>
      <w:bookmarkStart w:id="1711" w:name="_Toc499158747"/>
      <w:bookmarkStart w:id="1712" w:name="_Toc499648620"/>
      <w:bookmarkStart w:id="1713" w:name="_Toc499728113"/>
      <w:bookmarkStart w:id="1714" w:name="_Toc499732961"/>
      <w:bookmarkStart w:id="1715" w:name="_Toc499736992"/>
      <w:bookmarkStart w:id="1716" w:name="_Toc499812932"/>
      <w:bookmarkStart w:id="1717" w:name="_Toc499813735"/>
      <w:bookmarkStart w:id="1718" w:name="_Toc500921482"/>
      <w:bookmarkStart w:id="1719" w:name="_Toc500921508"/>
      <w:bookmarkStart w:id="1720" w:name="_Toc500921619"/>
      <w:bookmarkStart w:id="1721" w:name="_Toc501019229"/>
      <w:bookmarkStart w:id="1722" w:name="_Toc504483874"/>
      <w:bookmarkStart w:id="1723" w:name="_Toc505180552"/>
      <w:bookmarkStart w:id="1724" w:name="_Toc505690205"/>
      <w:bookmarkStart w:id="1725" w:name="_Toc505701758"/>
      <w:bookmarkStart w:id="1726" w:name="_Toc505759550"/>
      <w:bookmarkStart w:id="1727" w:name="_Toc505759567"/>
      <w:bookmarkStart w:id="1728" w:name="_Toc505762660"/>
      <w:bookmarkStart w:id="1729" w:name="_Toc505786000"/>
      <w:bookmarkStart w:id="1730" w:name="_Toc506799585"/>
      <w:bookmarkStart w:id="1731" w:name="_Toc506799602"/>
      <w:bookmarkStart w:id="1732" w:name="_Toc506894561"/>
      <w:bookmarkStart w:id="1733" w:name="_Toc507486298"/>
      <w:bookmarkStart w:id="1734" w:name="_Toc515271233"/>
      <w:bookmarkStart w:id="1735" w:name="_Toc515271556"/>
      <w:bookmarkStart w:id="1736" w:name="_Toc515271584"/>
      <w:bookmarkStart w:id="1737" w:name="_Toc515280492"/>
      <w:bookmarkStart w:id="1738" w:name="_Toc515280643"/>
      <w:bookmarkStart w:id="1739" w:name="_Toc515352795"/>
      <w:bookmarkStart w:id="1740" w:name="_Toc515540868"/>
      <w:bookmarkStart w:id="1741" w:name="_Toc515543708"/>
      <w:bookmarkStart w:id="1742" w:name="_Toc515543893"/>
      <w:bookmarkStart w:id="1743" w:name="_Toc515551694"/>
      <w:bookmarkStart w:id="1744" w:name="_Toc515627636"/>
      <w:bookmarkStart w:id="1745" w:name="_Toc516039946"/>
      <w:bookmarkStart w:id="1746" w:name="_Toc516155369"/>
      <w:bookmarkStart w:id="1747" w:name="_Toc516490270"/>
      <w:bookmarkStart w:id="1748" w:name="_Toc518037952"/>
      <w:bookmarkStart w:id="1749" w:name="_Toc524599604"/>
      <w:bookmarkStart w:id="1750" w:name="_Toc526154937"/>
      <w:bookmarkStart w:id="1751" w:name="_Toc526155483"/>
      <w:bookmarkStart w:id="1752" w:name="_Toc526155556"/>
      <w:bookmarkStart w:id="1753" w:name="_Toc526253993"/>
      <w:bookmarkStart w:id="1754" w:name="_Toc526348418"/>
      <w:bookmarkStart w:id="1755" w:name="_Toc526374609"/>
      <w:bookmarkStart w:id="1756" w:name="_Toc526374625"/>
      <w:bookmarkStart w:id="1757" w:name="_Toc526406488"/>
      <w:bookmarkStart w:id="1758" w:name="_Toc526409514"/>
      <w:bookmarkStart w:id="1759" w:name="_Toc526491413"/>
      <w:bookmarkStart w:id="1760" w:name="_Toc526505525"/>
      <w:bookmarkStart w:id="1761" w:name="_Toc526756617"/>
      <w:bookmarkStart w:id="1762" w:name="_Toc229739661"/>
      <w:bookmarkStart w:id="1763" w:name="_Toc232109331"/>
      <w:bookmarkStart w:id="1764" w:name="_Toc244880816"/>
      <w:r w:rsidRPr="00796736">
        <w:rPr>
          <w:rFonts w:ascii="Times New Roman" w:hAnsi="Times New Roman" w:cs="Times New Roman"/>
          <w:sz w:val="24"/>
          <w:szCs w:val="24"/>
        </w:rPr>
        <w:t>9</w:t>
      </w:r>
      <w:r w:rsidR="005A7320" w:rsidRPr="00796736">
        <w:rPr>
          <w:rFonts w:ascii="Times New Roman" w:hAnsi="Times New Roman" w:cs="Times New Roman"/>
          <w:sz w:val="24"/>
          <w:szCs w:val="24"/>
        </w:rPr>
        <w:t>. Klimamæssige konsekvenser</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14:paraId="31158E4F" w14:textId="77777777" w:rsidR="005A7320" w:rsidRPr="00796736" w:rsidRDefault="005A7320" w:rsidP="00A802A5">
      <w:pPr>
        <w:spacing w:line="360" w:lineRule="auto"/>
        <w:rPr>
          <w:rFonts w:ascii="Times New Roman" w:hAnsi="Times New Roman" w:cs="Times New Roman"/>
          <w:sz w:val="24"/>
          <w:szCs w:val="24"/>
        </w:rPr>
      </w:pPr>
      <w:bookmarkStart w:id="1765" w:name="_Toc229739662"/>
      <w:r w:rsidRPr="00796736">
        <w:rPr>
          <w:rFonts w:ascii="Times New Roman" w:hAnsi="Times New Roman" w:cs="Times New Roman"/>
          <w:sz w:val="24"/>
          <w:szCs w:val="24"/>
        </w:rPr>
        <w:t>Lovforslaget medfører ikke klimamæssige konsekvenser.</w:t>
      </w:r>
      <w:bookmarkEnd w:id="1765"/>
      <w:r w:rsidRPr="00796736">
        <w:rPr>
          <w:rFonts w:ascii="Times New Roman" w:hAnsi="Times New Roman" w:cs="Times New Roman"/>
          <w:sz w:val="24"/>
          <w:szCs w:val="24"/>
        </w:rPr>
        <w:t xml:space="preserve"> </w:t>
      </w:r>
    </w:p>
    <w:p w14:paraId="562F0B55" w14:textId="77777777" w:rsidR="007F4BB9" w:rsidRPr="00796736" w:rsidRDefault="007F4BB9" w:rsidP="00A802A5">
      <w:pPr>
        <w:spacing w:line="360" w:lineRule="auto"/>
        <w:rPr>
          <w:rFonts w:ascii="Times New Roman" w:hAnsi="Times New Roman" w:cs="Times New Roman"/>
          <w:sz w:val="24"/>
          <w:szCs w:val="24"/>
        </w:rPr>
      </w:pPr>
    </w:p>
    <w:p w14:paraId="23012B0B" w14:textId="47DED26C" w:rsidR="005A7320" w:rsidRPr="00796736" w:rsidRDefault="000A36C6" w:rsidP="00A802A5">
      <w:pPr>
        <w:pStyle w:val="Overskrift1"/>
        <w:spacing w:line="360" w:lineRule="auto"/>
        <w:rPr>
          <w:rFonts w:ascii="Times New Roman" w:hAnsi="Times New Roman" w:cs="Times New Roman"/>
          <w:sz w:val="24"/>
          <w:szCs w:val="24"/>
        </w:rPr>
      </w:pPr>
      <w:bookmarkStart w:id="1766" w:name="_Toc229739663"/>
      <w:bookmarkStart w:id="1767" w:name="_Toc232109332"/>
      <w:bookmarkStart w:id="1768" w:name="_Toc329931206"/>
      <w:bookmarkStart w:id="1769" w:name="_Toc329931317"/>
      <w:bookmarkStart w:id="1770" w:name="_Toc442277392"/>
      <w:bookmarkStart w:id="1771" w:name="_Toc442281310"/>
      <w:bookmarkStart w:id="1772" w:name="_Toc442281340"/>
      <w:bookmarkStart w:id="1773" w:name="_Toc442777850"/>
      <w:bookmarkStart w:id="1774" w:name="_Toc442787247"/>
      <w:bookmarkStart w:id="1775" w:name="_Toc442787539"/>
      <w:bookmarkStart w:id="1776" w:name="_Toc442953245"/>
      <w:bookmarkStart w:id="1777" w:name="_Toc443047629"/>
      <w:bookmarkStart w:id="1778" w:name="_Toc444095989"/>
      <w:bookmarkStart w:id="1779" w:name="_Toc444244515"/>
      <w:bookmarkStart w:id="1780" w:name="_Toc498557230"/>
      <w:bookmarkStart w:id="1781" w:name="_Toc498557300"/>
      <w:bookmarkStart w:id="1782" w:name="_Toc498590034"/>
      <w:bookmarkStart w:id="1783" w:name="_Toc498681517"/>
      <w:bookmarkStart w:id="1784" w:name="_Toc499152789"/>
      <w:bookmarkStart w:id="1785" w:name="_Toc499158748"/>
      <w:bookmarkStart w:id="1786" w:name="_Toc499648621"/>
      <w:bookmarkStart w:id="1787" w:name="_Toc499728114"/>
      <w:bookmarkStart w:id="1788" w:name="_Toc499732962"/>
      <w:bookmarkStart w:id="1789" w:name="_Toc499736993"/>
      <w:bookmarkStart w:id="1790" w:name="_Toc499812933"/>
      <w:bookmarkStart w:id="1791" w:name="_Toc499813736"/>
      <w:bookmarkStart w:id="1792" w:name="_Toc500921483"/>
      <w:bookmarkStart w:id="1793" w:name="_Toc500921509"/>
      <w:bookmarkStart w:id="1794" w:name="_Toc500921620"/>
      <w:bookmarkStart w:id="1795" w:name="_Toc501019230"/>
      <w:bookmarkStart w:id="1796" w:name="_Toc504483875"/>
      <w:bookmarkStart w:id="1797" w:name="_Toc505180553"/>
      <w:bookmarkStart w:id="1798" w:name="_Toc505690206"/>
      <w:bookmarkStart w:id="1799" w:name="_Toc505701759"/>
      <w:bookmarkStart w:id="1800" w:name="_Toc505759551"/>
      <w:bookmarkStart w:id="1801" w:name="_Toc505759568"/>
      <w:bookmarkStart w:id="1802" w:name="_Toc505762661"/>
      <w:bookmarkStart w:id="1803" w:name="_Toc505786001"/>
      <w:bookmarkStart w:id="1804" w:name="_Toc506799586"/>
      <w:bookmarkStart w:id="1805" w:name="_Toc506799603"/>
      <w:bookmarkStart w:id="1806" w:name="_Toc506894562"/>
      <w:bookmarkStart w:id="1807" w:name="_Toc507486299"/>
      <w:bookmarkStart w:id="1808" w:name="_Toc515271234"/>
      <w:bookmarkStart w:id="1809" w:name="_Toc515271557"/>
      <w:bookmarkStart w:id="1810" w:name="_Toc515271585"/>
      <w:bookmarkStart w:id="1811" w:name="_Toc515280493"/>
      <w:bookmarkStart w:id="1812" w:name="_Toc515280644"/>
      <w:bookmarkStart w:id="1813" w:name="_Toc515352796"/>
      <w:bookmarkStart w:id="1814" w:name="_Toc515540869"/>
      <w:bookmarkStart w:id="1815" w:name="_Toc515543709"/>
      <w:bookmarkStart w:id="1816" w:name="_Toc515543894"/>
      <w:bookmarkStart w:id="1817" w:name="_Toc515551695"/>
      <w:bookmarkStart w:id="1818" w:name="_Toc515627637"/>
      <w:bookmarkStart w:id="1819" w:name="_Toc516039947"/>
      <w:bookmarkStart w:id="1820" w:name="_Toc516155370"/>
      <w:bookmarkStart w:id="1821" w:name="_Toc516490271"/>
      <w:bookmarkStart w:id="1822" w:name="_Toc518037953"/>
      <w:bookmarkStart w:id="1823" w:name="_Toc524599605"/>
      <w:bookmarkStart w:id="1824" w:name="_Toc526154938"/>
      <w:bookmarkStart w:id="1825" w:name="_Toc526155484"/>
      <w:bookmarkStart w:id="1826" w:name="_Toc526155557"/>
      <w:bookmarkStart w:id="1827" w:name="_Toc526253994"/>
      <w:bookmarkStart w:id="1828" w:name="_Toc526348419"/>
      <w:bookmarkStart w:id="1829" w:name="_Toc526374610"/>
      <w:bookmarkStart w:id="1830" w:name="_Toc526374626"/>
      <w:bookmarkStart w:id="1831" w:name="_Toc526406489"/>
      <w:bookmarkStart w:id="1832" w:name="_Toc526409515"/>
      <w:bookmarkStart w:id="1833" w:name="_Toc526491414"/>
      <w:bookmarkStart w:id="1834" w:name="_Toc526505526"/>
      <w:bookmarkStart w:id="1835" w:name="_Toc526756618"/>
      <w:bookmarkStart w:id="1836" w:name="_Toc244880817"/>
      <w:r w:rsidRPr="00796736">
        <w:rPr>
          <w:rFonts w:ascii="Times New Roman" w:hAnsi="Times New Roman" w:cs="Times New Roman"/>
          <w:sz w:val="24"/>
          <w:szCs w:val="24"/>
        </w:rPr>
        <w:t>10</w:t>
      </w:r>
      <w:r w:rsidR="005A7320" w:rsidRPr="00796736">
        <w:rPr>
          <w:rFonts w:ascii="Times New Roman" w:hAnsi="Times New Roman" w:cs="Times New Roman"/>
          <w:sz w:val="24"/>
          <w:szCs w:val="24"/>
        </w:rPr>
        <w:t>. Miljø- og naturmæssige konsekvenser</w:t>
      </w:r>
      <w:bookmarkEnd w:id="1766"/>
      <w:bookmarkEnd w:id="1767"/>
      <w:bookmarkEnd w:id="1836"/>
    </w:p>
    <w:p w14:paraId="7EDCFD44" w14:textId="77777777" w:rsidR="005A7320" w:rsidRPr="00796736" w:rsidRDefault="005A7320" w:rsidP="00A802A5">
      <w:pPr>
        <w:spacing w:line="360" w:lineRule="auto"/>
        <w:rPr>
          <w:rFonts w:ascii="Times New Roman" w:hAnsi="Times New Roman" w:cs="Times New Roman"/>
          <w:sz w:val="24"/>
          <w:szCs w:val="24"/>
        </w:rPr>
      </w:pPr>
      <w:bookmarkStart w:id="1837" w:name="_Toc229739664"/>
      <w:r w:rsidRPr="00796736">
        <w:rPr>
          <w:rFonts w:ascii="Times New Roman" w:hAnsi="Times New Roman" w:cs="Times New Roman"/>
          <w:sz w:val="24"/>
          <w:szCs w:val="24"/>
        </w:rPr>
        <w:t>Lovforslaget medfører ikke miljø- eller naturmæssige konsekvenser.</w:t>
      </w:r>
      <w:bookmarkEnd w:id="1837"/>
      <w:r w:rsidRPr="00796736">
        <w:rPr>
          <w:rFonts w:ascii="Times New Roman" w:hAnsi="Times New Roman" w:cs="Times New Roman"/>
          <w:sz w:val="24"/>
          <w:szCs w:val="24"/>
        </w:rPr>
        <w:t xml:space="preserve"> </w:t>
      </w:r>
    </w:p>
    <w:p w14:paraId="3403581A" w14:textId="77777777" w:rsidR="007F4BB9" w:rsidRPr="00796736" w:rsidRDefault="007F4BB9" w:rsidP="00A802A5">
      <w:pPr>
        <w:spacing w:line="360" w:lineRule="auto"/>
        <w:rPr>
          <w:rFonts w:ascii="Times New Roman" w:hAnsi="Times New Roman" w:cs="Times New Roman"/>
          <w:sz w:val="24"/>
          <w:szCs w:val="24"/>
        </w:rPr>
      </w:pPr>
    </w:p>
    <w:p w14:paraId="7EED0359" w14:textId="48B895EB" w:rsidR="005A7320" w:rsidRPr="00796736" w:rsidRDefault="000A36C6" w:rsidP="00A802A5">
      <w:pPr>
        <w:pStyle w:val="Overskrift1"/>
        <w:spacing w:line="360" w:lineRule="auto"/>
        <w:rPr>
          <w:rFonts w:ascii="Times New Roman" w:hAnsi="Times New Roman" w:cs="Times New Roman"/>
          <w:sz w:val="24"/>
          <w:szCs w:val="24"/>
        </w:rPr>
      </w:pPr>
      <w:bookmarkStart w:id="1838" w:name="_Toc229739665"/>
      <w:bookmarkStart w:id="1839" w:name="_Toc232109333"/>
      <w:bookmarkStart w:id="1840" w:name="_Toc244880818"/>
      <w:r w:rsidRPr="00796736">
        <w:rPr>
          <w:rFonts w:ascii="Times New Roman" w:hAnsi="Times New Roman" w:cs="Times New Roman"/>
          <w:sz w:val="24"/>
          <w:szCs w:val="24"/>
        </w:rPr>
        <w:t>11</w:t>
      </w:r>
      <w:r w:rsidR="005A7320" w:rsidRPr="00796736">
        <w:rPr>
          <w:rFonts w:ascii="Times New Roman" w:hAnsi="Times New Roman" w:cs="Times New Roman"/>
          <w:sz w:val="24"/>
          <w:szCs w:val="24"/>
        </w:rPr>
        <w:t>. Forholdet til EU-retten</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8"/>
      <w:bookmarkEnd w:id="1839"/>
      <w:bookmarkEnd w:id="1840"/>
    </w:p>
    <w:p w14:paraId="1246156F" w14:textId="77777777" w:rsidR="007F4BB9" w:rsidRPr="00796736" w:rsidRDefault="007F4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Lovforslaget gennemfører 6. hvidvaskdirektiv. Lovforslaget anvender derudover undtagelsesmulighederne i Europa-Parlamentets og Rådets forordning 2015/847/EU om oplysninger, der skal medsendes ved pengeoverførsler. </w:t>
      </w:r>
    </w:p>
    <w:p w14:paraId="1797F617" w14:textId="77777777" w:rsidR="00BC1A95" w:rsidRPr="00796736" w:rsidRDefault="00BC1A95" w:rsidP="00A802A5">
      <w:pPr>
        <w:spacing w:line="360" w:lineRule="auto"/>
        <w:rPr>
          <w:rFonts w:ascii="Times New Roman" w:hAnsi="Times New Roman" w:cs="Times New Roman"/>
          <w:sz w:val="24"/>
          <w:szCs w:val="24"/>
        </w:rPr>
      </w:pPr>
    </w:p>
    <w:p w14:paraId="2223C206" w14:textId="77777777" w:rsidR="00B063EF" w:rsidRPr="00796736" w:rsidRDefault="00B063E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Lovforslaget gennemfører desuden visse bestemmelser i hvidvaskforordningen, hvor medlemsstaterne har mulighed for at fastsætte nationale regler. Lovforslaget indeholder i den forbindelse en række bemyndigelsesbestemmelser, der navnlig giver mulighed for at fastsætte nærmere regler på områder, hvor der vurderes at være særlige risici for hvidvask eller finansiering af terrorisme. Det omfatter bl.a. regler om skærpede kundekendskabsprocedurer, krav til skriftlige politikker og forretningsgange, undtagelser fra visse kundekendskabskrav ved begrænset risiko samt regler om nationale kontaktpersoner for visse udenlandske udbydere. Bemyndigelsesbestemmelserne giver desuden mulighed for at fastsætte regler om lister over personer med højerestående offentlige hverv, supplerende modforanstaltninger over for højrisikotredjelande og yderligere opbevaring af oplysninger, når det er nødvendigt for at forebygge, opdage, efterforske eller retsforfølge hvidvask eller finansiering af terrorisme. Formålet er samlet set at sikre, at de relevante myndigheder har de nødvendige værktøjer til at håndtere konkrete risici og tilpasse reguleringen til udviklingen på området.</w:t>
      </w:r>
    </w:p>
    <w:p w14:paraId="50D7189A" w14:textId="77777777" w:rsidR="00B063EF" w:rsidRPr="00796736" w:rsidRDefault="00B063EF" w:rsidP="00A802A5">
      <w:pPr>
        <w:spacing w:line="360" w:lineRule="auto"/>
        <w:rPr>
          <w:rFonts w:ascii="Times New Roman" w:hAnsi="Times New Roman" w:cs="Times New Roman"/>
          <w:sz w:val="24"/>
          <w:szCs w:val="24"/>
        </w:rPr>
      </w:pPr>
    </w:p>
    <w:p w14:paraId="66D79D2A" w14:textId="13C0BB10" w:rsidR="00B063EF" w:rsidRPr="00796736" w:rsidRDefault="00B063E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Lovforslaget er som udgangspunkt udtryk for en direktivnær gennemførelse af 6. hvidvaskdirektiv. På enkelte områder er det dog vurderingen, at hvidvaskloven fortsat bør gå videre end direktivets krav for at sikre samme beskyttelsesniveau på hvidvask- og terrorfinansieringsområdet som efter de gældende regler.</w:t>
      </w:r>
      <w:r w:rsidR="00BC1A95" w:rsidRPr="00796736">
        <w:rPr>
          <w:rFonts w:ascii="Times New Roman" w:hAnsi="Times New Roman" w:cs="Times New Roman"/>
          <w:sz w:val="24"/>
          <w:szCs w:val="24"/>
        </w:rPr>
        <w:t xml:space="preserve"> Der er taget hensyn til proportionalitet, og omkostningerne anses for at være rimelige i forhold til formålet.</w:t>
      </w:r>
      <w:r w:rsidRPr="00796736">
        <w:rPr>
          <w:rFonts w:ascii="Times New Roman" w:hAnsi="Times New Roman" w:cs="Times New Roman"/>
          <w:sz w:val="24"/>
          <w:szCs w:val="24"/>
        </w:rPr>
        <w:t xml:space="preserve"> Det gælder bl.a. for valutavekslingsvirksomheder, hvor den gældende tilladelsesordning foreslås videreført. Efter den gældende ordning skal Finanstilsynet bl.a. godkende virksomhedernes forretningsmodel, politikker og procedurer, ligesom der stilles krav til ledelsens og ejere af kvalificerede andeles hæderlighed. Ordningen blev indført med henblik på at styrke tilsynet med valutavekslingsvirksomheder og mindske risikoen for, at sådanne virksomheder misbruges til hvidvask eller finansiering af terrorisme.</w:t>
      </w:r>
    </w:p>
    <w:p w14:paraId="4761728C" w14:textId="77777777" w:rsidR="00BC1A95" w:rsidRPr="00796736" w:rsidRDefault="00BC1A95" w:rsidP="00A802A5">
      <w:pPr>
        <w:spacing w:line="360" w:lineRule="auto"/>
        <w:rPr>
          <w:rFonts w:ascii="Times New Roman" w:hAnsi="Times New Roman" w:cs="Times New Roman"/>
          <w:sz w:val="24"/>
          <w:szCs w:val="24"/>
        </w:rPr>
      </w:pPr>
    </w:p>
    <w:p w14:paraId="69D49BD9" w14:textId="4523FDB8" w:rsidR="00BC1A95" w:rsidRPr="00796736" w:rsidRDefault="00BC1A9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Erhvervsstyrelsen indebærer lovforslaget en videreførelse af Erhvervsstyrelsens eksisterende adgang til at gå på tilsyn uden forudgående varsel, der allerede i den eksisterende implementering af 4. og 5. hvidvaskdirektiv gik videre end EU-retten foreskrev.  Bestemmelsen videreføres og går også videre end påkrævet i 6. hvidvaskdirektiv. Adgangen ønskes fastholdt af hensyn til at sikre et effektivt tilsyn. Adgangen anvendes yderst sjældent af Erhvervsstyrelsen og udgangspunktet er, at tilsyn afholdes efter forudgående varsel.</w:t>
      </w:r>
    </w:p>
    <w:p w14:paraId="5EE3361F" w14:textId="77777777" w:rsidR="00AA2E4D" w:rsidRPr="00796736" w:rsidRDefault="00AA2E4D" w:rsidP="00A802A5">
      <w:pPr>
        <w:spacing w:line="360" w:lineRule="auto"/>
        <w:rPr>
          <w:rFonts w:ascii="Times New Roman" w:hAnsi="Times New Roman" w:cs="Times New Roman"/>
          <w:sz w:val="24"/>
          <w:szCs w:val="24"/>
        </w:rPr>
      </w:pPr>
    </w:p>
    <w:p w14:paraId="2946DD5A" w14:textId="2A4C58C7" w:rsidR="00AA2E4D" w:rsidRPr="00796736" w:rsidRDefault="00AA2E4D" w:rsidP="00A802A5">
      <w:pPr>
        <w:pStyle w:val="Overskrift1"/>
        <w:spacing w:line="360" w:lineRule="auto"/>
        <w:rPr>
          <w:rFonts w:ascii="Times New Roman" w:hAnsi="Times New Roman" w:cs="Times New Roman"/>
          <w:sz w:val="24"/>
          <w:szCs w:val="24"/>
        </w:rPr>
      </w:pPr>
      <w:bookmarkStart w:id="1841" w:name="_Toc244880819"/>
      <w:r w:rsidRPr="00796736">
        <w:rPr>
          <w:rFonts w:ascii="Times New Roman" w:hAnsi="Times New Roman" w:cs="Times New Roman"/>
          <w:sz w:val="24"/>
          <w:szCs w:val="24"/>
        </w:rPr>
        <w:t>1</w:t>
      </w:r>
      <w:r w:rsidR="000A36C6" w:rsidRPr="00796736">
        <w:rPr>
          <w:rFonts w:ascii="Times New Roman" w:hAnsi="Times New Roman" w:cs="Times New Roman"/>
          <w:sz w:val="24"/>
          <w:szCs w:val="24"/>
        </w:rPr>
        <w:t>2</w:t>
      </w:r>
      <w:r w:rsidRPr="00796736">
        <w:rPr>
          <w:rFonts w:ascii="Times New Roman" w:hAnsi="Times New Roman" w:cs="Times New Roman"/>
          <w:sz w:val="24"/>
          <w:szCs w:val="24"/>
        </w:rPr>
        <w:t>. Hørte myndigheder og organisationer m.v.</w:t>
      </w:r>
      <w:bookmarkEnd w:id="1841"/>
      <w:r w:rsidRPr="00796736">
        <w:rPr>
          <w:rFonts w:ascii="Times New Roman" w:hAnsi="Times New Roman" w:cs="Times New Roman"/>
          <w:sz w:val="24"/>
          <w:szCs w:val="24"/>
        </w:rPr>
        <w:t> </w:t>
      </w:r>
    </w:p>
    <w:p w14:paraId="1EA69A4B" w14:textId="38BEC1DA" w:rsidR="00AA2E4D"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Et udkast til lovforslag har i perioden fra d</w:t>
      </w:r>
      <w:r w:rsidR="00451DFB">
        <w:rPr>
          <w:rFonts w:ascii="Times New Roman" w:hAnsi="Times New Roman" w:cs="Times New Roman"/>
          <w:sz w:val="24"/>
          <w:szCs w:val="24"/>
        </w:rPr>
        <w:t>en 6. november 2026</w:t>
      </w:r>
      <w:r w:rsidRPr="00796736">
        <w:rPr>
          <w:rFonts w:ascii="Times New Roman" w:hAnsi="Times New Roman" w:cs="Times New Roman"/>
          <w:sz w:val="24"/>
          <w:szCs w:val="24"/>
        </w:rPr>
        <w:t xml:space="preserve"> til den</w:t>
      </w:r>
      <w:r w:rsidR="00451DFB">
        <w:rPr>
          <w:rFonts w:ascii="Times New Roman" w:hAnsi="Times New Roman" w:cs="Times New Roman"/>
          <w:sz w:val="24"/>
          <w:szCs w:val="24"/>
        </w:rPr>
        <w:t xml:space="preserve"> 4. december 202</w:t>
      </w:r>
      <w:r w:rsidR="00251AF7">
        <w:rPr>
          <w:rFonts w:ascii="Times New Roman" w:hAnsi="Times New Roman" w:cs="Times New Roman"/>
          <w:sz w:val="24"/>
          <w:szCs w:val="24"/>
        </w:rPr>
        <w:t>6</w:t>
      </w:r>
      <w:r w:rsidRPr="00796736">
        <w:rPr>
          <w:rFonts w:ascii="Times New Roman" w:hAnsi="Times New Roman" w:cs="Times New Roman"/>
          <w:sz w:val="24"/>
          <w:szCs w:val="24"/>
        </w:rPr>
        <w:t xml:space="preserve"> været sendt i høring hos følgende myndigheder og organisationer m.v.: </w:t>
      </w:r>
    </w:p>
    <w:p w14:paraId="0AB16753" w14:textId="77777777" w:rsidR="00B37BBE" w:rsidRDefault="00B37BBE" w:rsidP="00B37BBE">
      <w:pPr>
        <w:rPr>
          <w:rFonts w:ascii="Times New Roman" w:hAnsi="Times New Roman" w:cs="Times New Roman"/>
        </w:rPr>
      </w:pPr>
    </w:p>
    <w:p w14:paraId="4D1C460A" w14:textId="4752EDAC" w:rsidR="00A73C61" w:rsidRPr="00A00144" w:rsidRDefault="00A73C61" w:rsidP="00B37BBE">
      <w:pPr>
        <w:rPr>
          <w:rFonts w:ascii="Times New Roman" w:hAnsi="Times New Roman" w:cs="Times New Roman"/>
          <w:sz w:val="24"/>
          <w:szCs w:val="24"/>
        </w:rPr>
      </w:pPr>
      <w:r w:rsidRPr="00A00144">
        <w:rPr>
          <w:rFonts w:ascii="Times New Roman" w:hAnsi="Times New Roman" w:cs="Times New Roman"/>
          <w:sz w:val="24"/>
          <w:szCs w:val="24"/>
        </w:rPr>
        <w:t>Aalborg Universitet, Aarhus BSS, Advokatrådet, Advokatsamfundet, Aiia A/S, Akademisk Arkitektforening, Akademikerne, Arbejderbevægelsens Erhvervsråd, Arbejdsmarkedets Erhvervssikring (AES), Arbejdsmarkedets Tillægspension (ATP), Arkitektforeningen, AU.CLOCK, Autobranchen Danmark, Bankoforeningerne i Danmark, Brancheforeningen for Aktive Ejere i Danmark, Brancheforeningen for Regnskab og Revision (BFRR), CBS, CEPOS, Computershare, CO:PLAY Advokatpartnerselskab, DAFINA, Danmarks Nationalbank, Danmarks Skibskredit A/S, Dansk Aktionærforening, Dansk Arbejdsgiverforening, Dansk Automat Brancheforening (DAB), Dansk Bilbrancheråd, Dansk Ejendomskredit, Dansk Ejendomsmæglerforening, Dansk Energi, Dansk Erhverv, Dansk Firmaidræt, Dansk Forening for International Motorkøretøjsforsikring (DFIM), Dansk Industri, Dansk Industri Ejendom, Dansk Iværksætter forening, Dansk InkassoBrancheforening, Dansk Investor Relations Forening - DIRF, Dansk Kredit Råd, Dansk Kunst- &amp; Antikvitetshandler Union (DKAU), Dansk Luftfart, Dansk Metal, Dansk Standard, Danske Advokater, Danske Forsikringsfunktionærers Landsforening, Danske Gallerier, Danske Maritime, Danske Rederier, Danske Regioner, Danske Soloselvstændige, De Samvirkende Købmænd, Den Danske Aktuarforening, Den Danske Dommerforening, Den Danske Finansanalytikerforening, Den danske Fondsmæglerforening, Den Sociale Retshjælp, Det økonomiske råds sekretariat (DØRS), DI Facility Management, DI Transport (Fly branchen), Drivkraft Danmark, e-nettet, EjendomDanmark, Equity Law Advokatanpartsselskab, Eurocard, Experian, Fagbevægelsens Hovedorganisation, FDFA – Foreningen af Danske Forsikringsmæglere og ForsikringsAgenturer, Finans Danmark, Finans og Leasing, Finansforbundet, Finanshuset i Fredensborg A/S, First North, Forbrugerrådet Tænk, Forbrugsforeningen, Foreningen af Forretningsførere for Udenlandske Forsikringsselskaber, Foreningen af Interne Revisorer, Foreningen Danske Revisorer, FOREX, Forsikring &amp; Pension, Forsikringsforbundet, Forsikringsmæglerforeningen, Frivilligrådet, (OBS – kun hvis det er relevant for den frivillige sektor), FSR – danske revisorer, Garantiformuen, Gode penge, HK, Horesta Arbejdsgiverorganisation, Håndværksrådet, Indsamlingsorganisationernes Brancheorganisation (ISOBRO), Intertrust (Denmark), ISACA Denmark Chapter, IT-branchen, Justitia, Kasinoforeningen, KommuneKredit, Kommunernes Landsforening, Komiteen for god selskabsledelse, Kraka, Kromann Reumert, Kunst, Antik &amp; Design Ringen (KAD), Kuratorforeningen, Københavns Universitet, Landbased Gambling Association Denmark (LGA), Landbrug &amp; Fødevarer, Landdistrikternes Fællesråd, Landsdækkende banker, Landsforeningen af forsvarsadvokater, Landsforeningen for Bæredygtigt Landbrug, Ledernes Hovedorganisation, Liberale Erhvervs Råd, Lokale Pengeinstitutter, Lønmodtagernes Dyrtidsfond (LD), Mellemfolkeligt Samvirke, Mobilepay, Mobility Denmark, Mybanker, Nets A/S, Nokas Kontantservice P/S, Nordic Blockchain Association, Nærbutikkernes Landsforening, Oxfam IBIS, Parcelhusejernes Landsforening, Penneo A/S, Revisornævnet, Rigsrevisionen, Roskilde Universitetscenter, Skattebetalerne, Skibs- og Bådebyggeriets Arbejdsgiverforening, SMVdanmark, Spillebranchen, SRF Skattefaglig Forening, Syddansk Universitet, Telekommunikationsindustrien i Danmark, Udbetaling Danmark, VISA, VP Securities A/S, Western Union, Worldline, Transparency International Danmark, Ældre sagen, Ørsted, Beskæftigelsesministeriet og ministeriet for ligestilling, By-, land- og transportministeriet, Børne-, ældre- og boligministeriet, Erhvervs- og konkurrencekraftsministeriet, Erhvervsstyrelsens Område for Bedre Regulering (OBR), Finansministeriet, Forsknings-, uddannelses- og digitaliseringsministeriet, Forsvarsministeriet, Justitsministeriet, Klima-, energi- og forsyningsministeriet, Kulturministeriet, Miljøministeriet, Ministeriet for natur og dyrevelfærd, Ministeriet for samfundssikkerhed og beredskab, Sundhedsministeriet og kirkeministeriet, Udenrigsministeriet, Udlændinge- og integrationsministeriet, Undervisningsministeriet, Økonomi- og indenrigsministeriet, Digitaliseringsstyrelsen, Erhvervsstyrelsen, Erhvervsstyrelsen (hvidvaskteam), Erhvervsstyrelsen (Nationale høringer), Erhvervsstyrelsen (EU-høringer), Finansiel Stabilitet, Forbrugerombudsmanden, Konkurrence- og Forbrugerstyrelsen, Landsskatteretten, Patent- og Varemærkestyrelsen, Sikkerhedsstyrelsen, Skatteankeforvaltningen, Skatteankestyrelsen, Spillemyndigheden, Søfartsstyrelsen, Datatilsynet, Nævnenes Hus, Økonomistyrelsen</w:t>
      </w:r>
      <w:r w:rsidR="00A00144" w:rsidRPr="00A00144">
        <w:rPr>
          <w:rFonts w:ascii="Times New Roman" w:hAnsi="Times New Roman" w:cs="Times New Roman"/>
          <w:sz w:val="24"/>
          <w:szCs w:val="24"/>
        </w:rPr>
        <w:t>.</w:t>
      </w:r>
    </w:p>
    <w:p w14:paraId="276D54A7" w14:textId="77777777" w:rsidR="00B37BBE" w:rsidRPr="00796736" w:rsidRDefault="00B37BBE" w:rsidP="00A802A5">
      <w:pPr>
        <w:spacing w:line="360" w:lineRule="auto"/>
        <w:rPr>
          <w:rFonts w:ascii="Times New Roman" w:hAnsi="Times New Roman" w:cs="Times New Roman"/>
          <w:sz w:val="24"/>
          <w:szCs w:val="24"/>
        </w:rPr>
      </w:pPr>
    </w:p>
    <w:p w14:paraId="7879E57E" w14:textId="5770B5B7" w:rsidR="00AA2E4D" w:rsidRPr="00796736" w:rsidRDefault="00AA2E4D" w:rsidP="00A802A5">
      <w:pPr>
        <w:spacing w:line="360" w:lineRule="auto"/>
        <w:rPr>
          <w:rFonts w:ascii="Times New Roman" w:hAnsi="Times New Roman" w:cs="Times New Roman"/>
          <w:sz w:val="24"/>
          <w:szCs w:val="24"/>
        </w:rPr>
      </w:pPr>
    </w:p>
    <w:p w14:paraId="2CA22B6C" w14:textId="49DF4E21" w:rsidR="00AF5C6E" w:rsidRPr="00796736" w:rsidRDefault="00AF5C6E" w:rsidP="00A802A5">
      <w:pPr>
        <w:pStyle w:val="Overskrift1"/>
        <w:spacing w:line="360" w:lineRule="auto"/>
        <w:rPr>
          <w:rFonts w:ascii="Times New Roman" w:hAnsi="Times New Roman" w:cs="Times New Roman"/>
          <w:sz w:val="24"/>
          <w:szCs w:val="24"/>
        </w:rPr>
      </w:pPr>
      <w:bookmarkStart w:id="1842" w:name="_Toc244880820"/>
      <w:r w:rsidRPr="00796736">
        <w:rPr>
          <w:rFonts w:ascii="Times New Roman" w:hAnsi="Times New Roman" w:cs="Times New Roman"/>
          <w:sz w:val="24"/>
          <w:szCs w:val="24"/>
        </w:rPr>
        <w:t>1</w:t>
      </w:r>
      <w:r w:rsidR="000A36C6" w:rsidRPr="00796736">
        <w:rPr>
          <w:rFonts w:ascii="Times New Roman" w:hAnsi="Times New Roman" w:cs="Times New Roman"/>
          <w:sz w:val="24"/>
          <w:szCs w:val="24"/>
        </w:rPr>
        <w:t>3</w:t>
      </w:r>
      <w:r w:rsidRPr="00796736">
        <w:rPr>
          <w:rFonts w:ascii="Times New Roman" w:hAnsi="Times New Roman" w:cs="Times New Roman"/>
          <w:sz w:val="24"/>
          <w:szCs w:val="24"/>
        </w:rPr>
        <w:t>. Sammenfattende skema</w:t>
      </w:r>
      <w:bookmarkEnd w:id="1842"/>
      <w:r w:rsidRPr="00796736">
        <w:rPr>
          <w:rFonts w:ascii="Times New Roman" w:hAnsi="Times New Roman" w:cs="Times New Roman"/>
          <w:sz w:val="24"/>
          <w:szCs w:val="24"/>
        </w:rPr>
        <w:t> </w:t>
      </w:r>
    </w:p>
    <w:tbl>
      <w:tblPr>
        <w:tblW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9"/>
        <w:gridCol w:w="2726"/>
        <w:gridCol w:w="47"/>
        <w:gridCol w:w="2835"/>
        <w:gridCol w:w="122"/>
        <w:gridCol w:w="113"/>
      </w:tblGrid>
      <w:tr w:rsidR="00AA2E4D" w:rsidRPr="00796736" w14:paraId="75374125" w14:textId="77777777">
        <w:trPr>
          <w:trHeight w:val="300"/>
        </w:trPr>
        <w:tc>
          <w:tcPr>
            <w:tcW w:w="8655" w:type="dxa"/>
            <w:gridSpan w:val="4"/>
            <w:tcBorders>
              <w:top w:val="single" w:sz="6" w:space="0" w:color="auto"/>
              <w:left w:val="single" w:sz="6" w:space="0" w:color="auto"/>
              <w:bottom w:val="single" w:sz="6" w:space="0" w:color="auto"/>
              <w:right w:val="nil"/>
            </w:tcBorders>
            <w:hideMark/>
          </w:tcPr>
          <w:p w14:paraId="77660017" w14:textId="7CA43D2E" w:rsidR="00AA2E4D" w:rsidRPr="00796736" w:rsidRDefault="00AA2E4D" w:rsidP="00A802A5">
            <w:pPr>
              <w:spacing w:line="360" w:lineRule="auto"/>
              <w:rPr>
                <w:rFonts w:ascii="Times New Roman" w:hAnsi="Times New Roman" w:cs="Times New Roman"/>
                <w:b/>
                <w:bCs/>
                <w:sz w:val="24"/>
                <w:szCs w:val="24"/>
              </w:rPr>
            </w:pPr>
            <w:r w:rsidRPr="00796736">
              <w:rPr>
                <w:rFonts w:ascii="Times New Roman" w:hAnsi="Times New Roman" w:cs="Times New Roman"/>
                <w:b/>
                <w:bCs/>
                <w:sz w:val="24"/>
                <w:szCs w:val="24"/>
              </w:rPr>
              <w:t>Sammenfattende skema </w:t>
            </w:r>
          </w:p>
        </w:tc>
        <w:tc>
          <w:tcPr>
            <w:tcW w:w="135" w:type="dxa"/>
            <w:tcBorders>
              <w:top w:val="single" w:sz="6" w:space="0" w:color="auto"/>
              <w:left w:val="nil"/>
              <w:bottom w:val="single" w:sz="6" w:space="0" w:color="auto"/>
              <w:right w:val="nil"/>
            </w:tcBorders>
            <w:hideMark/>
          </w:tcPr>
          <w:p w14:paraId="1F1E7329" w14:textId="77777777" w:rsidR="00AA2E4D" w:rsidRPr="00796736" w:rsidRDefault="00AA2E4D" w:rsidP="00A802A5">
            <w:pPr>
              <w:spacing w:line="360" w:lineRule="auto"/>
              <w:rPr>
                <w:rFonts w:ascii="Times New Roman" w:hAnsi="Times New Roman" w:cs="Times New Roman"/>
                <w:b/>
                <w:bCs/>
                <w:sz w:val="24"/>
                <w:szCs w:val="24"/>
              </w:rPr>
            </w:pPr>
            <w:r w:rsidRPr="00796736">
              <w:rPr>
                <w:rFonts w:ascii="Times New Roman" w:hAnsi="Times New Roman" w:cs="Times New Roman"/>
                <w:b/>
                <w:bCs/>
                <w:sz w:val="24"/>
                <w:szCs w:val="24"/>
              </w:rPr>
              <w:t> </w:t>
            </w:r>
          </w:p>
        </w:tc>
        <w:tc>
          <w:tcPr>
            <w:tcW w:w="120" w:type="dxa"/>
            <w:tcBorders>
              <w:top w:val="single" w:sz="6" w:space="0" w:color="auto"/>
              <w:left w:val="nil"/>
              <w:bottom w:val="single" w:sz="6" w:space="0" w:color="auto"/>
              <w:right w:val="single" w:sz="6" w:space="0" w:color="auto"/>
            </w:tcBorders>
            <w:hideMark/>
          </w:tcPr>
          <w:p w14:paraId="6E34A8A9" w14:textId="77777777" w:rsidR="00AA2E4D" w:rsidRPr="00796736" w:rsidRDefault="00AA2E4D" w:rsidP="00A802A5">
            <w:pPr>
              <w:spacing w:line="360" w:lineRule="auto"/>
              <w:rPr>
                <w:rFonts w:ascii="Times New Roman" w:hAnsi="Times New Roman" w:cs="Times New Roman"/>
                <w:b/>
                <w:bCs/>
                <w:sz w:val="24"/>
                <w:szCs w:val="24"/>
              </w:rPr>
            </w:pPr>
            <w:r w:rsidRPr="00796736">
              <w:rPr>
                <w:rFonts w:ascii="Times New Roman" w:hAnsi="Times New Roman" w:cs="Times New Roman"/>
                <w:b/>
                <w:bCs/>
                <w:sz w:val="24"/>
                <w:szCs w:val="24"/>
              </w:rPr>
              <w:t> </w:t>
            </w:r>
          </w:p>
        </w:tc>
      </w:tr>
      <w:tr w:rsidR="00AA2E4D" w:rsidRPr="00796736" w14:paraId="0116B6A8" w14:textId="77777777">
        <w:trPr>
          <w:trHeight w:val="300"/>
        </w:trPr>
        <w:tc>
          <w:tcPr>
            <w:tcW w:w="1605" w:type="dxa"/>
            <w:tcBorders>
              <w:top w:val="single" w:sz="6" w:space="0" w:color="000000"/>
              <w:left w:val="single" w:sz="6" w:space="0" w:color="000000"/>
              <w:bottom w:val="single" w:sz="6" w:space="0" w:color="000000"/>
              <w:right w:val="single" w:sz="6" w:space="0" w:color="000000"/>
            </w:tcBorders>
            <w:hideMark/>
          </w:tcPr>
          <w:p w14:paraId="63CB1C0E"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p>
        </w:tc>
        <w:tc>
          <w:tcPr>
            <w:tcW w:w="3450" w:type="dxa"/>
            <w:gridSpan w:val="2"/>
            <w:tcBorders>
              <w:top w:val="single" w:sz="6" w:space="0" w:color="000000"/>
              <w:left w:val="single" w:sz="6" w:space="0" w:color="000000"/>
              <w:bottom w:val="single" w:sz="6" w:space="0" w:color="000000"/>
              <w:right w:val="single" w:sz="6" w:space="0" w:color="000000"/>
            </w:tcBorders>
            <w:hideMark/>
          </w:tcPr>
          <w:p w14:paraId="0200296B"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Positive konsekvenser/mindreudgifter (hvis ja, angiv omfang/hvis nej, anfør »Ingen«) </w:t>
            </w:r>
          </w:p>
        </w:tc>
        <w:tc>
          <w:tcPr>
            <w:tcW w:w="3855" w:type="dxa"/>
            <w:gridSpan w:val="3"/>
            <w:tcBorders>
              <w:top w:val="single" w:sz="6" w:space="0" w:color="000000"/>
              <w:left w:val="single" w:sz="6" w:space="0" w:color="000000"/>
              <w:bottom w:val="single" w:sz="6" w:space="0" w:color="000000"/>
              <w:right w:val="single" w:sz="6" w:space="0" w:color="000000"/>
            </w:tcBorders>
            <w:hideMark/>
          </w:tcPr>
          <w:p w14:paraId="5B41A9AA"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Negative konsekvenser/merudgifter (hvis ja, angiv omfang/hvis nej, anfør »Ingen«) </w:t>
            </w:r>
          </w:p>
        </w:tc>
      </w:tr>
      <w:tr w:rsidR="00AA2E4D" w:rsidRPr="00796736" w14:paraId="29ACADA1" w14:textId="77777777">
        <w:trPr>
          <w:trHeight w:val="300"/>
        </w:trPr>
        <w:tc>
          <w:tcPr>
            <w:tcW w:w="1605" w:type="dxa"/>
            <w:tcBorders>
              <w:top w:val="single" w:sz="6" w:space="0" w:color="000000"/>
              <w:left w:val="single" w:sz="6" w:space="0" w:color="000000"/>
              <w:bottom w:val="single" w:sz="6" w:space="0" w:color="000000"/>
              <w:right w:val="single" w:sz="6" w:space="0" w:color="000000"/>
            </w:tcBorders>
            <w:hideMark/>
          </w:tcPr>
          <w:p w14:paraId="5F69F19E"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Økonomiske konsekvenser for stat, kommuner og regioner </w:t>
            </w:r>
          </w:p>
        </w:tc>
        <w:tc>
          <w:tcPr>
            <w:tcW w:w="3450" w:type="dxa"/>
            <w:gridSpan w:val="2"/>
            <w:tcBorders>
              <w:top w:val="single" w:sz="6" w:space="0" w:color="000000"/>
              <w:left w:val="single" w:sz="6" w:space="0" w:color="000000"/>
              <w:bottom w:val="single" w:sz="6" w:space="0" w:color="000000"/>
              <w:right w:val="single" w:sz="6" w:space="0" w:color="000000"/>
            </w:tcBorders>
            <w:hideMark/>
          </w:tcPr>
          <w:p w14:paraId="7E672924" w14:textId="117132FB"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 xml:space="preserve">Ingen. </w:t>
            </w:r>
          </w:p>
        </w:tc>
        <w:tc>
          <w:tcPr>
            <w:tcW w:w="3855" w:type="dxa"/>
            <w:gridSpan w:val="3"/>
            <w:tcBorders>
              <w:top w:val="single" w:sz="6" w:space="0" w:color="000000"/>
              <w:left w:val="single" w:sz="6" w:space="0" w:color="000000"/>
              <w:bottom w:val="single" w:sz="6" w:space="0" w:color="000000"/>
              <w:right w:val="single" w:sz="6" w:space="0" w:color="000000"/>
            </w:tcBorders>
            <w:hideMark/>
          </w:tcPr>
          <w:p w14:paraId="56A24137" w14:textId="2B60EA03"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 xml:space="preserve">Ingen. </w:t>
            </w:r>
          </w:p>
        </w:tc>
      </w:tr>
      <w:tr w:rsidR="00AA2E4D" w:rsidRPr="00796736" w14:paraId="5A03A8B8" w14:textId="77777777">
        <w:trPr>
          <w:trHeight w:val="300"/>
        </w:trPr>
        <w:tc>
          <w:tcPr>
            <w:tcW w:w="1605" w:type="dxa"/>
            <w:tcBorders>
              <w:top w:val="single" w:sz="6" w:space="0" w:color="000000"/>
              <w:left w:val="single" w:sz="6" w:space="0" w:color="000000"/>
              <w:bottom w:val="single" w:sz="6" w:space="0" w:color="000000"/>
              <w:right w:val="single" w:sz="6" w:space="0" w:color="000000"/>
            </w:tcBorders>
            <w:hideMark/>
          </w:tcPr>
          <w:p w14:paraId="608DBA60"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Implementeringskonsekvenser for stat, kommuner og regioner </w:t>
            </w:r>
          </w:p>
        </w:tc>
        <w:tc>
          <w:tcPr>
            <w:tcW w:w="3450" w:type="dxa"/>
            <w:gridSpan w:val="2"/>
            <w:tcBorders>
              <w:top w:val="single" w:sz="6" w:space="0" w:color="000000"/>
              <w:left w:val="single" w:sz="6" w:space="0" w:color="000000"/>
              <w:bottom w:val="single" w:sz="6" w:space="0" w:color="000000"/>
              <w:right w:val="single" w:sz="6" w:space="0" w:color="000000"/>
            </w:tcBorders>
            <w:hideMark/>
          </w:tcPr>
          <w:p w14:paraId="3833DA41" w14:textId="7ABD79BC"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Ingen.</w:t>
            </w:r>
          </w:p>
        </w:tc>
        <w:tc>
          <w:tcPr>
            <w:tcW w:w="3855" w:type="dxa"/>
            <w:gridSpan w:val="3"/>
            <w:tcBorders>
              <w:top w:val="single" w:sz="6" w:space="0" w:color="000000"/>
              <w:left w:val="single" w:sz="6" w:space="0" w:color="000000"/>
              <w:bottom w:val="single" w:sz="6" w:space="0" w:color="000000"/>
              <w:right w:val="single" w:sz="6" w:space="0" w:color="000000"/>
            </w:tcBorders>
            <w:hideMark/>
          </w:tcPr>
          <w:p w14:paraId="3848C03D" w14:textId="5B9B7013"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 xml:space="preserve">Ingen. </w:t>
            </w:r>
          </w:p>
        </w:tc>
      </w:tr>
      <w:tr w:rsidR="00AA2E4D" w:rsidRPr="00796736" w14:paraId="04657FE8" w14:textId="77777777">
        <w:trPr>
          <w:trHeight w:val="300"/>
        </w:trPr>
        <w:tc>
          <w:tcPr>
            <w:tcW w:w="1605" w:type="dxa"/>
            <w:tcBorders>
              <w:top w:val="single" w:sz="6" w:space="0" w:color="000000"/>
              <w:left w:val="single" w:sz="6" w:space="0" w:color="000000"/>
              <w:bottom w:val="single" w:sz="6" w:space="0" w:color="000000"/>
              <w:right w:val="single" w:sz="6" w:space="0" w:color="000000"/>
            </w:tcBorders>
            <w:hideMark/>
          </w:tcPr>
          <w:p w14:paraId="596C7C66"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Økonomiske konsekvenser for erhvervslivet m.v. </w:t>
            </w:r>
          </w:p>
        </w:tc>
        <w:tc>
          <w:tcPr>
            <w:tcW w:w="3450" w:type="dxa"/>
            <w:gridSpan w:val="2"/>
            <w:tcBorders>
              <w:top w:val="single" w:sz="6" w:space="0" w:color="000000"/>
              <w:left w:val="single" w:sz="6" w:space="0" w:color="000000"/>
              <w:bottom w:val="single" w:sz="6" w:space="0" w:color="000000"/>
              <w:right w:val="single" w:sz="6" w:space="0" w:color="000000"/>
            </w:tcBorders>
            <w:hideMark/>
          </w:tcPr>
          <w:p w14:paraId="31ED41ED" w14:textId="48B42D42"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 xml:space="preserve">Ingen. </w:t>
            </w:r>
          </w:p>
        </w:tc>
        <w:tc>
          <w:tcPr>
            <w:tcW w:w="3855" w:type="dxa"/>
            <w:gridSpan w:val="3"/>
            <w:tcBorders>
              <w:top w:val="single" w:sz="6" w:space="0" w:color="000000"/>
              <w:left w:val="single" w:sz="6" w:space="0" w:color="000000"/>
              <w:bottom w:val="single" w:sz="6" w:space="0" w:color="000000"/>
              <w:right w:val="single" w:sz="6" w:space="0" w:color="000000"/>
            </w:tcBorders>
            <w:hideMark/>
          </w:tcPr>
          <w:p w14:paraId="7606F803" w14:textId="1ABA9634"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8D3904">
              <w:rPr>
                <w:rFonts w:ascii="Times New Roman" w:hAnsi="Times New Roman" w:cs="Times New Roman"/>
                <w:sz w:val="24"/>
                <w:szCs w:val="24"/>
              </w:rPr>
              <w:t>Ja.</w:t>
            </w:r>
          </w:p>
        </w:tc>
      </w:tr>
      <w:tr w:rsidR="00AA2E4D" w:rsidRPr="00796736" w14:paraId="3CF2A40B" w14:textId="77777777">
        <w:trPr>
          <w:trHeight w:val="300"/>
        </w:trPr>
        <w:tc>
          <w:tcPr>
            <w:tcW w:w="1605" w:type="dxa"/>
            <w:tcBorders>
              <w:top w:val="single" w:sz="6" w:space="0" w:color="000000"/>
              <w:left w:val="single" w:sz="6" w:space="0" w:color="000000"/>
              <w:bottom w:val="single" w:sz="6" w:space="0" w:color="000000"/>
              <w:right w:val="single" w:sz="6" w:space="0" w:color="000000"/>
            </w:tcBorders>
            <w:hideMark/>
          </w:tcPr>
          <w:p w14:paraId="44E8A1A7"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Administrative konsekvenser for erhvervslivet m.v. </w:t>
            </w:r>
          </w:p>
        </w:tc>
        <w:tc>
          <w:tcPr>
            <w:tcW w:w="3450" w:type="dxa"/>
            <w:gridSpan w:val="2"/>
            <w:tcBorders>
              <w:top w:val="single" w:sz="6" w:space="0" w:color="000000"/>
              <w:left w:val="single" w:sz="6" w:space="0" w:color="000000"/>
              <w:bottom w:val="single" w:sz="6" w:space="0" w:color="000000"/>
              <w:right w:val="single" w:sz="6" w:space="0" w:color="000000"/>
            </w:tcBorders>
            <w:hideMark/>
          </w:tcPr>
          <w:p w14:paraId="2B8E4A41" w14:textId="0849BC5D"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 xml:space="preserve">Ingen. </w:t>
            </w:r>
          </w:p>
        </w:tc>
        <w:tc>
          <w:tcPr>
            <w:tcW w:w="3855" w:type="dxa"/>
            <w:gridSpan w:val="3"/>
            <w:tcBorders>
              <w:top w:val="single" w:sz="6" w:space="0" w:color="000000"/>
              <w:left w:val="single" w:sz="6" w:space="0" w:color="000000"/>
              <w:bottom w:val="single" w:sz="6" w:space="0" w:color="000000"/>
              <w:right w:val="single" w:sz="6" w:space="0" w:color="000000"/>
            </w:tcBorders>
            <w:hideMark/>
          </w:tcPr>
          <w:p w14:paraId="0CC35723" w14:textId="62AE5E7E"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8D3904">
              <w:rPr>
                <w:rFonts w:ascii="Times New Roman" w:hAnsi="Times New Roman" w:cs="Times New Roman"/>
                <w:sz w:val="24"/>
                <w:szCs w:val="24"/>
              </w:rPr>
              <w:t>Ja.</w:t>
            </w:r>
          </w:p>
        </w:tc>
      </w:tr>
      <w:tr w:rsidR="00AA2E4D" w:rsidRPr="00796736" w14:paraId="3568E252" w14:textId="77777777">
        <w:trPr>
          <w:trHeight w:val="300"/>
        </w:trPr>
        <w:tc>
          <w:tcPr>
            <w:tcW w:w="1605" w:type="dxa"/>
            <w:tcBorders>
              <w:top w:val="single" w:sz="6" w:space="0" w:color="000000"/>
              <w:left w:val="single" w:sz="6" w:space="0" w:color="000000"/>
              <w:bottom w:val="single" w:sz="6" w:space="0" w:color="000000"/>
              <w:right w:val="single" w:sz="6" w:space="0" w:color="000000"/>
            </w:tcBorders>
            <w:hideMark/>
          </w:tcPr>
          <w:p w14:paraId="438C1B07"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Administrative konsekvenser for borgerne </w:t>
            </w:r>
          </w:p>
        </w:tc>
        <w:tc>
          <w:tcPr>
            <w:tcW w:w="3450" w:type="dxa"/>
            <w:gridSpan w:val="2"/>
            <w:tcBorders>
              <w:top w:val="single" w:sz="6" w:space="0" w:color="000000"/>
              <w:left w:val="single" w:sz="6" w:space="0" w:color="000000"/>
              <w:bottom w:val="single" w:sz="6" w:space="0" w:color="000000"/>
              <w:right w:val="single" w:sz="6" w:space="0" w:color="000000"/>
            </w:tcBorders>
            <w:hideMark/>
          </w:tcPr>
          <w:p w14:paraId="70F5BDFF" w14:textId="5C13C00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 xml:space="preserve">Ingen. </w:t>
            </w:r>
          </w:p>
        </w:tc>
        <w:tc>
          <w:tcPr>
            <w:tcW w:w="3855" w:type="dxa"/>
            <w:gridSpan w:val="3"/>
            <w:tcBorders>
              <w:top w:val="single" w:sz="6" w:space="0" w:color="000000"/>
              <w:left w:val="single" w:sz="6" w:space="0" w:color="000000"/>
              <w:bottom w:val="single" w:sz="6" w:space="0" w:color="000000"/>
              <w:right w:val="single" w:sz="6" w:space="0" w:color="000000"/>
            </w:tcBorders>
            <w:hideMark/>
          </w:tcPr>
          <w:p w14:paraId="1E86D367" w14:textId="3060A674"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Ingen.</w:t>
            </w:r>
          </w:p>
        </w:tc>
      </w:tr>
      <w:tr w:rsidR="00AA2E4D" w:rsidRPr="00796736" w14:paraId="7C0E87F2" w14:textId="77777777">
        <w:trPr>
          <w:trHeight w:val="300"/>
        </w:trPr>
        <w:tc>
          <w:tcPr>
            <w:tcW w:w="1605" w:type="dxa"/>
            <w:tcBorders>
              <w:top w:val="single" w:sz="6" w:space="0" w:color="000000"/>
              <w:left w:val="single" w:sz="6" w:space="0" w:color="000000"/>
              <w:bottom w:val="single" w:sz="6" w:space="0" w:color="000000"/>
              <w:right w:val="single" w:sz="6" w:space="0" w:color="000000"/>
            </w:tcBorders>
            <w:hideMark/>
          </w:tcPr>
          <w:p w14:paraId="13BF3DB5"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Klimamæssige konsekvenser </w:t>
            </w:r>
          </w:p>
        </w:tc>
        <w:tc>
          <w:tcPr>
            <w:tcW w:w="3450" w:type="dxa"/>
            <w:gridSpan w:val="2"/>
            <w:tcBorders>
              <w:top w:val="single" w:sz="6" w:space="0" w:color="000000"/>
              <w:left w:val="single" w:sz="6" w:space="0" w:color="000000"/>
              <w:bottom w:val="single" w:sz="6" w:space="0" w:color="000000"/>
              <w:right w:val="single" w:sz="6" w:space="0" w:color="000000"/>
            </w:tcBorders>
            <w:hideMark/>
          </w:tcPr>
          <w:p w14:paraId="2AAEFB08" w14:textId="13A5537A"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Ingen.</w:t>
            </w:r>
          </w:p>
        </w:tc>
        <w:tc>
          <w:tcPr>
            <w:tcW w:w="3855" w:type="dxa"/>
            <w:gridSpan w:val="3"/>
            <w:tcBorders>
              <w:top w:val="single" w:sz="6" w:space="0" w:color="000000"/>
              <w:left w:val="single" w:sz="6" w:space="0" w:color="000000"/>
              <w:bottom w:val="single" w:sz="6" w:space="0" w:color="000000"/>
              <w:right w:val="single" w:sz="6" w:space="0" w:color="000000"/>
            </w:tcBorders>
            <w:hideMark/>
          </w:tcPr>
          <w:p w14:paraId="15E1372D" w14:textId="5DF9061A"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Ingen.</w:t>
            </w:r>
          </w:p>
        </w:tc>
      </w:tr>
      <w:tr w:rsidR="00AA2E4D" w:rsidRPr="00796736" w14:paraId="61349789" w14:textId="77777777">
        <w:trPr>
          <w:trHeight w:val="300"/>
        </w:trPr>
        <w:tc>
          <w:tcPr>
            <w:tcW w:w="1605" w:type="dxa"/>
            <w:tcBorders>
              <w:top w:val="single" w:sz="6" w:space="0" w:color="auto"/>
              <w:left w:val="single" w:sz="6" w:space="0" w:color="auto"/>
              <w:bottom w:val="single" w:sz="18" w:space="0" w:color="auto"/>
              <w:right w:val="single" w:sz="6" w:space="0" w:color="auto"/>
            </w:tcBorders>
            <w:hideMark/>
          </w:tcPr>
          <w:p w14:paraId="54823D82"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Miljø- og naturmæssige konsekvenser </w:t>
            </w:r>
          </w:p>
        </w:tc>
        <w:tc>
          <w:tcPr>
            <w:tcW w:w="3450" w:type="dxa"/>
            <w:gridSpan w:val="2"/>
            <w:tcBorders>
              <w:top w:val="single" w:sz="6" w:space="0" w:color="auto"/>
              <w:left w:val="single" w:sz="6" w:space="0" w:color="auto"/>
              <w:bottom w:val="single" w:sz="18" w:space="0" w:color="auto"/>
              <w:right w:val="single" w:sz="6" w:space="0" w:color="auto"/>
            </w:tcBorders>
            <w:hideMark/>
          </w:tcPr>
          <w:p w14:paraId="237E81F7" w14:textId="1183C4D0"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r w:rsidR="00A14438" w:rsidRPr="00796736">
              <w:rPr>
                <w:rFonts w:ascii="Times New Roman" w:hAnsi="Times New Roman" w:cs="Times New Roman"/>
                <w:sz w:val="24"/>
                <w:szCs w:val="24"/>
              </w:rPr>
              <w:t>Ingen.</w:t>
            </w:r>
          </w:p>
        </w:tc>
        <w:tc>
          <w:tcPr>
            <w:tcW w:w="3855" w:type="dxa"/>
            <w:gridSpan w:val="3"/>
            <w:tcBorders>
              <w:top w:val="single" w:sz="6" w:space="0" w:color="auto"/>
              <w:left w:val="single" w:sz="6" w:space="0" w:color="auto"/>
              <w:bottom w:val="single" w:sz="18" w:space="0" w:color="auto"/>
              <w:right w:val="single" w:sz="6" w:space="0" w:color="auto"/>
            </w:tcBorders>
            <w:hideMark/>
          </w:tcPr>
          <w:p w14:paraId="474C9D1F" w14:textId="123FA747" w:rsidR="00AA2E4D" w:rsidRPr="00796736" w:rsidRDefault="00A1443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Ingen.</w:t>
            </w:r>
            <w:r w:rsidR="00AA2E4D" w:rsidRPr="00796736">
              <w:rPr>
                <w:rFonts w:ascii="Times New Roman" w:hAnsi="Times New Roman" w:cs="Times New Roman"/>
                <w:sz w:val="24"/>
                <w:szCs w:val="24"/>
              </w:rPr>
              <w:t> </w:t>
            </w:r>
          </w:p>
        </w:tc>
      </w:tr>
      <w:tr w:rsidR="00AA2E4D" w:rsidRPr="00796736" w14:paraId="74A72FEF" w14:textId="77777777">
        <w:trPr>
          <w:trHeight w:val="300"/>
        </w:trPr>
        <w:tc>
          <w:tcPr>
            <w:tcW w:w="1605" w:type="dxa"/>
            <w:tcBorders>
              <w:top w:val="single" w:sz="18" w:space="0" w:color="auto"/>
              <w:left w:val="single" w:sz="6" w:space="0" w:color="auto"/>
              <w:bottom w:val="single" w:sz="6" w:space="0" w:color="auto"/>
              <w:right w:val="single" w:sz="6" w:space="0" w:color="auto"/>
            </w:tcBorders>
            <w:hideMark/>
          </w:tcPr>
          <w:p w14:paraId="39A6447A"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Forholdet til EU-retten </w:t>
            </w:r>
          </w:p>
        </w:tc>
        <w:tc>
          <w:tcPr>
            <w:tcW w:w="7185" w:type="dxa"/>
            <w:gridSpan w:val="4"/>
            <w:tcBorders>
              <w:top w:val="single" w:sz="18" w:space="0" w:color="auto"/>
              <w:left w:val="single" w:sz="6" w:space="0" w:color="auto"/>
              <w:bottom w:val="single" w:sz="6" w:space="0" w:color="auto"/>
              <w:right w:val="nil"/>
            </w:tcBorders>
            <w:hideMark/>
          </w:tcPr>
          <w:p w14:paraId="59E25017" w14:textId="65E04080" w:rsidR="00A14438" w:rsidRPr="00796736" w:rsidRDefault="00A1443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Lovforslaget implementerer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(6. hvidvaskdirektiv).</w:t>
            </w:r>
          </w:p>
          <w:p w14:paraId="5A2772F9" w14:textId="77777777" w:rsidR="00A14438" w:rsidRPr="00796736" w:rsidRDefault="00A14438" w:rsidP="00A802A5">
            <w:pPr>
              <w:spacing w:line="360" w:lineRule="auto"/>
              <w:rPr>
                <w:rFonts w:ascii="Times New Roman" w:hAnsi="Times New Roman" w:cs="Times New Roman"/>
                <w:sz w:val="24"/>
                <w:szCs w:val="24"/>
              </w:rPr>
            </w:pPr>
          </w:p>
          <w:p w14:paraId="18CE5638" w14:textId="144ACFC0" w:rsidR="00AA2E4D" w:rsidRPr="00796736" w:rsidRDefault="00A1443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Lovforslaget supplerer derudover Europa-Parlamentets og Rådets forordning (EU) nr. 2024/1624 af 31. maj 2024 om forebyggende foranstaltninger mod anvendelse af det finansielle system til hvidvask af penge eller finansiering af terrorisme (herefter hvidvaskforordningen) i det omfang, hvidvaskforordningen giver mulighed for supplerende nationale bestemmelser inden for det nationale råderum.</w:t>
            </w:r>
          </w:p>
          <w:p w14:paraId="3A9DD0C4" w14:textId="36729486" w:rsidR="00A14438" w:rsidRPr="00796736" w:rsidRDefault="00A14438" w:rsidP="00A802A5">
            <w:pPr>
              <w:spacing w:line="360" w:lineRule="auto"/>
              <w:rPr>
                <w:rFonts w:ascii="Times New Roman" w:hAnsi="Times New Roman" w:cs="Times New Roman"/>
                <w:sz w:val="24"/>
                <w:szCs w:val="24"/>
              </w:rPr>
            </w:pPr>
          </w:p>
        </w:tc>
        <w:tc>
          <w:tcPr>
            <w:tcW w:w="120" w:type="dxa"/>
            <w:tcBorders>
              <w:top w:val="single" w:sz="18" w:space="0" w:color="auto"/>
              <w:left w:val="nil"/>
              <w:bottom w:val="single" w:sz="6" w:space="0" w:color="auto"/>
              <w:right w:val="single" w:sz="6" w:space="0" w:color="auto"/>
            </w:tcBorders>
            <w:hideMark/>
          </w:tcPr>
          <w:p w14:paraId="535EBDE1"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p>
        </w:tc>
      </w:tr>
      <w:tr w:rsidR="00AA2E4D" w:rsidRPr="00796736" w14:paraId="71FE636E" w14:textId="77777777">
        <w:trPr>
          <w:trHeight w:val="300"/>
        </w:trPr>
        <w:tc>
          <w:tcPr>
            <w:tcW w:w="1605" w:type="dxa"/>
            <w:tcBorders>
              <w:top w:val="single" w:sz="6" w:space="0" w:color="auto"/>
              <w:left w:val="single" w:sz="6" w:space="0" w:color="auto"/>
              <w:bottom w:val="single" w:sz="6" w:space="0" w:color="auto"/>
              <w:right w:val="single" w:sz="6" w:space="0" w:color="auto"/>
            </w:tcBorders>
            <w:hideMark/>
          </w:tcPr>
          <w:p w14:paraId="4CE6E3CD"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Er i strid med de fem principper for implementering af erhvervsrettet EU-regulering (der i relevant omfang også gælder ved implementering af ikke-erhvervsrettet EU-regulering) (sæt X) </w:t>
            </w:r>
          </w:p>
        </w:tc>
        <w:tc>
          <w:tcPr>
            <w:tcW w:w="3390" w:type="dxa"/>
            <w:tcBorders>
              <w:top w:val="single" w:sz="6" w:space="0" w:color="auto"/>
              <w:left w:val="single" w:sz="6" w:space="0" w:color="auto"/>
              <w:bottom w:val="single" w:sz="6" w:space="0" w:color="auto"/>
              <w:right w:val="nil"/>
            </w:tcBorders>
            <w:hideMark/>
          </w:tcPr>
          <w:p w14:paraId="50BE129A"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Ja </w:t>
            </w:r>
          </w:p>
          <w:p w14:paraId="74B53720" w14:textId="4045394E"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p>
        </w:tc>
        <w:tc>
          <w:tcPr>
            <w:tcW w:w="3915" w:type="dxa"/>
            <w:gridSpan w:val="4"/>
            <w:tcBorders>
              <w:top w:val="single" w:sz="6" w:space="0" w:color="auto"/>
              <w:left w:val="nil"/>
              <w:bottom w:val="single" w:sz="6" w:space="0" w:color="auto"/>
              <w:right w:val="single" w:sz="6" w:space="0" w:color="auto"/>
            </w:tcBorders>
            <w:hideMark/>
          </w:tcPr>
          <w:p w14:paraId="6710C34E"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Nej </w:t>
            </w:r>
          </w:p>
          <w:p w14:paraId="09216AC5"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p>
          <w:p w14:paraId="6209BC77" w14:textId="696EA0D1" w:rsidR="00AA2E4D" w:rsidRPr="00796736" w:rsidRDefault="00A1443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r w:rsidR="00AA2E4D" w:rsidRPr="00796736">
              <w:rPr>
                <w:rFonts w:ascii="Times New Roman" w:hAnsi="Times New Roman" w:cs="Times New Roman"/>
                <w:sz w:val="24"/>
                <w:szCs w:val="24"/>
              </w:rPr>
              <w:t>X</w:t>
            </w:r>
          </w:p>
          <w:p w14:paraId="2A900436" w14:textId="77777777" w:rsidR="00AA2E4D" w:rsidRPr="00796736" w:rsidRDefault="00AA2E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w:t>
            </w:r>
          </w:p>
        </w:tc>
      </w:tr>
    </w:tbl>
    <w:p w14:paraId="75CB296A" w14:textId="2A2FA77C" w:rsidR="00A950E2" w:rsidRPr="00796736" w:rsidRDefault="00A950E2" w:rsidP="00A802A5">
      <w:pPr>
        <w:spacing w:line="360" w:lineRule="auto"/>
        <w:rPr>
          <w:rFonts w:ascii="Times New Roman" w:hAnsi="Times New Roman" w:cs="Times New Roman"/>
          <w:sz w:val="24"/>
          <w:szCs w:val="24"/>
        </w:rPr>
      </w:pPr>
    </w:p>
    <w:p w14:paraId="1B216B7D" w14:textId="77777777" w:rsidR="00A950E2" w:rsidRPr="00796736" w:rsidRDefault="00A950E2" w:rsidP="00A802A5">
      <w:pPr>
        <w:spacing w:line="360" w:lineRule="auto"/>
        <w:rPr>
          <w:rFonts w:ascii="Times New Roman" w:hAnsi="Times New Roman" w:cs="Times New Roman"/>
          <w:sz w:val="24"/>
          <w:szCs w:val="24"/>
        </w:rPr>
      </w:pPr>
    </w:p>
    <w:p w14:paraId="6AC1902E" w14:textId="77777777" w:rsidR="00A950E2" w:rsidRPr="00796736" w:rsidRDefault="00A950E2" w:rsidP="00A802A5">
      <w:pPr>
        <w:spacing w:after="200" w:line="360" w:lineRule="auto"/>
        <w:jc w:val="left"/>
        <w:rPr>
          <w:rFonts w:ascii="Times New Roman" w:hAnsi="Times New Roman" w:cs="Times New Roman"/>
          <w:sz w:val="24"/>
          <w:szCs w:val="24"/>
        </w:rPr>
      </w:pPr>
      <w:bookmarkStart w:id="1843" w:name="_Hlk221781428"/>
      <w:r w:rsidRPr="00796736">
        <w:rPr>
          <w:rFonts w:ascii="Times New Roman" w:hAnsi="Times New Roman" w:cs="Times New Roman"/>
          <w:sz w:val="24"/>
          <w:szCs w:val="24"/>
        </w:rPr>
        <w:br w:type="page"/>
      </w:r>
    </w:p>
    <w:p w14:paraId="3FDEAD71" w14:textId="61A746E9" w:rsidR="006D28E6" w:rsidRPr="008354AA" w:rsidRDefault="005F7E66" w:rsidP="00A802A5">
      <w:pPr>
        <w:pStyle w:val="Overskrift1"/>
        <w:spacing w:line="360" w:lineRule="auto"/>
        <w:jc w:val="center"/>
        <w:rPr>
          <w:rFonts w:ascii="Times New Roman" w:hAnsi="Times New Roman" w:cs="Times New Roman"/>
          <w:b w:val="0"/>
          <w:bCs w:val="0"/>
          <w:i/>
          <w:iCs/>
          <w:sz w:val="24"/>
          <w:szCs w:val="24"/>
        </w:rPr>
      </w:pPr>
      <w:bookmarkStart w:id="1844" w:name="_Toc232109335"/>
      <w:bookmarkStart w:id="1845" w:name="_Toc244879296"/>
      <w:bookmarkStart w:id="1846" w:name="_Toc244880821"/>
      <w:r w:rsidRPr="008354AA">
        <w:rPr>
          <w:rFonts w:ascii="Times New Roman" w:hAnsi="Times New Roman" w:cs="Times New Roman"/>
          <w:b w:val="0"/>
          <w:bCs w:val="0"/>
          <w:i/>
          <w:iCs/>
          <w:sz w:val="24"/>
          <w:szCs w:val="24"/>
        </w:rPr>
        <w:t>Bemærkninger til lovforslagets enkelte bestemmelser</w:t>
      </w:r>
      <w:bookmarkEnd w:id="1844"/>
      <w:bookmarkEnd w:id="1845"/>
      <w:bookmarkEnd w:id="1846"/>
    </w:p>
    <w:p w14:paraId="47BD36CE" w14:textId="77777777" w:rsidR="005B4EA8" w:rsidRPr="00796736" w:rsidRDefault="005B4EA8" w:rsidP="00A802A5">
      <w:pPr>
        <w:spacing w:line="360" w:lineRule="auto"/>
        <w:jc w:val="center"/>
        <w:rPr>
          <w:rFonts w:ascii="Times New Roman" w:hAnsi="Times New Roman" w:cs="Times New Roman"/>
          <w:i/>
          <w:iCs/>
          <w:sz w:val="24"/>
          <w:szCs w:val="24"/>
        </w:rPr>
      </w:pPr>
    </w:p>
    <w:p w14:paraId="4AEAE1A2" w14:textId="60337154" w:rsidR="00A950E2" w:rsidRPr="00796736" w:rsidRDefault="005F7E66" w:rsidP="00A802A5">
      <w:pPr>
        <w:pStyle w:val="Undertitel"/>
      </w:pPr>
      <w:bookmarkStart w:id="1847" w:name="_Toc232109336"/>
      <w:bookmarkStart w:id="1848" w:name="_Toc244879297"/>
      <w:bookmarkStart w:id="1849" w:name="_Toc244880822"/>
      <w:bookmarkEnd w:id="1843"/>
      <w:r w:rsidRPr="00796736">
        <w:t xml:space="preserve">Til </w:t>
      </w:r>
      <w:bookmarkEnd w:id="1847"/>
      <w:r w:rsidR="008A5E85" w:rsidRPr="00796736">
        <w:fldChar w:fldCharType="begin"/>
      </w:r>
      <w:r w:rsidR="008A5E85" w:rsidRPr="00796736">
        <w:instrText xml:space="preserve"> REF _Ref232592991 \r \h </w:instrText>
      </w:r>
      <w:r w:rsidR="00967618" w:rsidRPr="00796736">
        <w:instrText xml:space="preserve"> \* MERGEFORMAT </w:instrText>
      </w:r>
      <w:r w:rsidR="008A5E85" w:rsidRPr="00796736">
        <w:fldChar w:fldCharType="separate"/>
      </w:r>
      <w:r w:rsidR="008F29E5">
        <w:t>§ 1</w:t>
      </w:r>
      <w:bookmarkEnd w:id="1848"/>
      <w:bookmarkEnd w:id="1849"/>
      <w:r w:rsidR="008A5E85" w:rsidRPr="00796736">
        <w:fldChar w:fldCharType="end"/>
      </w:r>
    </w:p>
    <w:p w14:paraId="45A627A8" w14:textId="556406AF" w:rsidR="00C52F0D" w:rsidRPr="00796736" w:rsidRDefault="009862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w:t>
      </w:r>
      <w:r w:rsidR="00C52F0D" w:rsidRPr="00796736">
        <w:rPr>
          <w:rFonts w:ascii="Times New Roman" w:eastAsia="Calibri" w:hAnsi="Times New Roman" w:cs="Times New Roman"/>
          <w:sz w:val="24"/>
          <w:szCs w:val="24"/>
        </w:rPr>
        <w:t>vidvaskloven</w:t>
      </w:r>
      <w:r w:rsidRPr="00796736">
        <w:rPr>
          <w:rFonts w:ascii="Times New Roman" w:eastAsia="Calibri" w:hAnsi="Times New Roman" w:cs="Times New Roman"/>
          <w:sz w:val="24"/>
          <w:szCs w:val="24"/>
        </w:rPr>
        <w:t>s § 1</w:t>
      </w:r>
      <w:r w:rsidR="00C52F0D" w:rsidRPr="00796736">
        <w:rPr>
          <w:rFonts w:ascii="Times New Roman" w:eastAsia="Calibri" w:hAnsi="Times New Roman" w:cs="Times New Roman"/>
          <w:sz w:val="24"/>
          <w:szCs w:val="24"/>
        </w:rPr>
        <w:t xml:space="preserve"> fastlægger lovens anvendelsesområde og angiver, hvilke virksomheder og personer der er omfattet af lovens krav om forebyggelse af hvidvask og finansiering af terrorisme. Bestemmelsen opregner de virksomheder og personer, herunder blandt andet pengeinstitutter, realkreditinstitutter, fondsmæglerselskaber, livsforsikringsselskaber, tværgående pensionskasser, sparevirksomheder, udbydere af betalingstjenester og elektroniske penge, valutavekslingsvirksomheder, udbydere af kryptoaktivtjenester samt en række øvrige finansielle og ikkefinansielle virksomheder og personer.</w:t>
      </w:r>
    </w:p>
    <w:p w14:paraId="124C2E21" w14:textId="77777777" w:rsidR="00C52F0D" w:rsidRPr="00796736" w:rsidRDefault="00C52F0D" w:rsidP="00A802A5">
      <w:pPr>
        <w:spacing w:line="360" w:lineRule="auto"/>
        <w:rPr>
          <w:rFonts w:ascii="Times New Roman" w:eastAsia="Calibri" w:hAnsi="Times New Roman" w:cs="Times New Roman"/>
          <w:sz w:val="24"/>
          <w:szCs w:val="24"/>
        </w:rPr>
      </w:pPr>
    </w:p>
    <w:p w14:paraId="0F925027" w14:textId="0D38CD2E"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FD1E2E" w:rsidRPr="00796736">
        <w:rPr>
          <w:rFonts w:ascii="Times New Roman" w:eastAsia="Calibri" w:hAnsi="Times New Roman" w:cs="Times New Roman"/>
          <w:i/>
          <w:iCs/>
          <w:sz w:val="24"/>
          <w:szCs w:val="24"/>
        </w:rPr>
        <w:fldChar w:fldCharType="begin"/>
      </w:r>
      <w:r w:rsidR="00FD1E2E" w:rsidRPr="00796736">
        <w:rPr>
          <w:rFonts w:ascii="Times New Roman" w:eastAsia="Calibri" w:hAnsi="Times New Roman" w:cs="Times New Roman"/>
          <w:i/>
          <w:iCs/>
          <w:sz w:val="24"/>
          <w:szCs w:val="24"/>
        </w:rPr>
        <w:instrText xml:space="preserve"> REF _Ref232583170 \r \h  \* MERGEFORMAT </w:instrText>
      </w:r>
      <w:r w:rsidR="00FD1E2E" w:rsidRPr="00796736">
        <w:rPr>
          <w:rFonts w:ascii="Times New Roman" w:eastAsia="Calibri" w:hAnsi="Times New Roman" w:cs="Times New Roman"/>
          <w:i/>
          <w:iCs/>
          <w:sz w:val="24"/>
          <w:szCs w:val="24"/>
        </w:rPr>
      </w:r>
      <w:r w:rsidR="00FD1E2E"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w:t>
      </w:r>
      <w:r w:rsidR="00FD1E2E" w:rsidRPr="00796736">
        <w:rPr>
          <w:rFonts w:ascii="Times New Roman" w:eastAsia="Calibri" w:hAnsi="Times New Roman" w:cs="Times New Roman"/>
          <w:i/>
          <w:iCs/>
          <w:sz w:val="24"/>
          <w:szCs w:val="24"/>
        </w:rPr>
        <w:fldChar w:fldCharType="end"/>
      </w:r>
      <w:r w:rsidRPr="00796736">
        <w:rPr>
          <w:rFonts w:ascii="Times New Roman" w:eastAsia="Calibri" w:hAnsi="Times New Roman" w:cs="Times New Roman"/>
          <w:i/>
          <w:iCs/>
          <w:sz w:val="24"/>
          <w:szCs w:val="24"/>
        </w:rPr>
        <w:t>,</w:t>
      </w:r>
      <w:r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i/>
          <w:iCs/>
          <w:sz w:val="24"/>
          <w:szCs w:val="24"/>
        </w:rPr>
        <w:t>stk. 1</w:t>
      </w:r>
      <w:r w:rsidRPr="00796736">
        <w:rPr>
          <w:rFonts w:ascii="Times New Roman" w:eastAsia="Calibri" w:hAnsi="Times New Roman" w:cs="Times New Roman"/>
          <w:sz w:val="24"/>
          <w:szCs w:val="24"/>
        </w:rPr>
        <w:t>, at</w:t>
      </w:r>
      <w:r w:rsidR="0098620D" w:rsidRPr="00796736">
        <w:rPr>
          <w:rFonts w:ascii="Times New Roman" w:eastAsia="Calibri" w:hAnsi="Times New Roman" w:cs="Times New Roman"/>
          <w:sz w:val="24"/>
          <w:szCs w:val="24"/>
        </w:rPr>
        <w:t xml:space="preserve"> denne</w:t>
      </w:r>
      <w:r w:rsidRPr="00796736">
        <w:rPr>
          <w:rFonts w:ascii="Times New Roman" w:eastAsia="Calibri" w:hAnsi="Times New Roman" w:cs="Times New Roman"/>
          <w:sz w:val="24"/>
          <w:szCs w:val="24"/>
        </w:rPr>
        <w:t xml:space="preserve"> lov finder anvendelse på virksomheder og personer</w:t>
      </w:r>
      <w:r w:rsidR="00085DC3" w:rsidRPr="00796736">
        <w:rPr>
          <w:rFonts w:ascii="Times New Roman" w:eastAsia="Calibri" w:hAnsi="Times New Roman" w:cs="Times New Roman"/>
          <w:sz w:val="24"/>
          <w:szCs w:val="24"/>
        </w:rPr>
        <w:t xml:space="preserve"> her i landet</w:t>
      </w:r>
      <w:r w:rsidRPr="00796736">
        <w:rPr>
          <w:rFonts w:ascii="Times New Roman" w:eastAsia="Calibri" w:hAnsi="Times New Roman" w:cs="Times New Roman"/>
          <w:sz w:val="24"/>
          <w:szCs w:val="24"/>
        </w:rPr>
        <w:t>, der er omfattet af artikel 3, i Europa-Parlamentets og Rådets forordning (EU) 2024/1624</w:t>
      </w:r>
      <w:r w:rsidR="0098620D" w:rsidRPr="00796736">
        <w:rPr>
          <w:rFonts w:ascii="Times New Roman" w:eastAsia="Calibri" w:hAnsi="Times New Roman" w:cs="Times New Roman"/>
          <w:sz w:val="24"/>
          <w:szCs w:val="24"/>
        </w:rPr>
        <w:t xml:space="preserve"> af 31. maj 2024 om forebyggende foranstaltninger mod anvendelse af det finansielle system til hvidvask af penge eller finansiering af terrorisme med senere ændringer (hvidvaskforordningen).</w:t>
      </w:r>
    </w:p>
    <w:p w14:paraId="7B19A96D" w14:textId="77777777" w:rsidR="00C52F0D" w:rsidRPr="00796736" w:rsidRDefault="00C52F0D" w:rsidP="00A802A5">
      <w:pPr>
        <w:spacing w:line="360" w:lineRule="auto"/>
        <w:rPr>
          <w:rFonts w:ascii="Times New Roman" w:eastAsia="Calibri" w:hAnsi="Times New Roman" w:cs="Times New Roman"/>
          <w:sz w:val="24"/>
          <w:szCs w:val="24"/>
        </w:rPr>
      </w:pPr>
    </w:p>
    <w:p w14:paraId="2285C2D2" w14:textId="618197AB" w:rsidR="00C52F0D" w:rsidRPr="00796736" w:rsidRDefault="009862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w:t>
      </w:r>
      <w:r w:rsidR="00085DC3" w:rsidRPr="00796736">
        <w:rPr>
          <w:rFonts w:ascii="Times New Roman" w:eastAsia="Calibri" w:hAnsi="Times New Roman" w:cs="Times New Roman"/>
          <w:sz w:val="24"/>
          <w:szCs w:val="24"/>
        </w:rPr>
        <w:t>vidvaskforordningen</w:t>
      </w:r>
      <w:r w:rsidRPr="00796736">
        <w:rPr>
          <w:rFonts w:ascii="Times New Roman" w:eastAsia="Calibri" w:hAnsi="Times New Roman" w:cs="Times New Roman"/>
          <w:sz w:val="24"/>
          <w:szCs w:val="24"/>
        </w:rPr>
        <w:t>s artikel 3</w:t>
      </w:r>
      <w:r w:rsidR="00C52F0D" w:rsidRPr="00796736">
        <w:rPr>
          <w:rFonts w:ascii="Times New Roman" w:eastAsia="Calibri" w:hAnsi="Times New Roman" w:cs="Times New Roman"/>
          <w:sz w:val="24"/>
          <w:szCs w:val="24"/>
        </w:rPr>
        <w:t xml:space="preserve"> opregner de enheder, der anses for forpligtede med henblik på forordningens krav om forebyggelse af hvidvask og finansiering af terrorisme. Bestemmelsen omfatter både finansielle og ikkefinansielle virksomheder og personer, og den udvider kredsen af forpligtede enheder i forhold til tidligere regulering.</w:t>
      </w:r>
    </w:p>
    <w:p w14:paraId="008FAE76" w14:textId="77777777" w:rsidR="00C52F0D" w:rsidRPr="00796736" w:rsidRDefault="00C52F0D" w:rsidP="00A802A5">
      <w:pPr>
        <w:spacing w:line="360" w:lineRule="auto"/>
        <w:rPr>
          <w:rFonts w:ascii="Times New Roman" w:eastAsia="Calibri" w:hAnsi="Times New Roman" w:cs="Times New Roman"/>
          <w:sz w:val="24"/>
          <w:szCs w:val="24"/>
        </w:rPr>
      </w:pPr>
    </w:p>
    <w:p w14:paraId="232492E0" w14:textId="050D181F" w:rsidR="00C52F0D"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 forpligtede enheder omfatter blandt andet kreditinstitutter og finansieringsinstitutter, men også en bred vifte af erhvervsdrivende, herunder revisorer, eksterne regnskabskyndige, skatterådgivere, advokater, notarer og andre selvstændige retlige aktører, når de deltager i finansielle transaktioner eller bistår med rådgivning om skatteanliggender. Endvidere omfatter bestemmelsen udbydere af tjenester til truster og virksomheder, ejendomsmæglere, personer der handler med ædelmetaller, ædelsten og varer af høj værdi, udbydere af spiltjenester, crowdfundingtjenesteudbydere, personer der handler med kulturgoder, kreditformidlere, operatører på området investeringsmigration</w:t>
      </w:r>
      <w:r w:rsidR="00977063" w:rsidRPr="00796736">
        <w:rPr>
          <w:rFonts w:ascii="Times New Roman" w:eastAsia="Calibri" w:hAnsi="Times New Roman" w:cs="Times New Roman"/>
          <w:sz w:val="24"/>
          <w:szCs w:val="24"/>
        </w:rPr>
        <w:t xml:space="preserve"> samt</w:t>
      </w:r>
      <w:r w:rsidRPr="00796736">
        <w:rPr>
          <w:rFonts w:ascii="Times New Roman" w:eastAsia="Calibri" w:hAnsi="Times New Roman" w:cs="Times New Roman"/>
          <w:sz w:val="24"/>
          <w:szCs w:val="24"/>
        </w:rPr>
        <w:t xml:space="preserve"> ikkefinansielle holdingselskaber med blandet aktivitet</w:t>
      </w:r>
      <w:r w:rsidR="00BE684E">
        <w:rPr>
          <w:rFonts w:ascii="Times New Roman" w:eastAsia="Calibri" w:hAnsi="Times New Roman" w:cs="Times New Roman"/>
          <w:sz w:val="24"/>
          <w:szCs w:val="24"/>
        </w:rPr>
        <w:t>.</w:t>
      </w:r>
    </w:p>
    <w:p w14:paraId="7104DC00" w14:textId="77777777" w:rsidR="00BE684E" w:rsidRDefault="00BE684E" w:rsidP="00A802A5">
      <w:pPr>
        <w:spacing w:line="360" w:lineRule="auto"/>
        <w:rPr>
          <w:rFonts w:ascii="Times New Roman" w:eastAsia="Calibri" w:hAnsi="Times New Roman" w:cs="Times New Roman"/>
          <w:sz w:val="24"/>
          <w:szCs w:val="24"/>
        </w:rPr>
      </w:pPr>
    </w:p>
    <w:p w14:paraId="620753CC" w14:textId="53985624" w:rsidR="00BE684E" w:rsidRPr="00796736" w:rsidRDefault="00BE684E" w:rsidP="00BE684E">
      <w:pPr>
        <w:spacing w:line="360" w:lineRule="auto"/>
        <w:rPr>
          <w:rFonts w:ascii="Times New Roman" w:eastAsia="Calibri" w:hAnsi="Times New Roman" w:cs="Times New Roman"/>
          <w:sz w:val="24"/>
          <w:szCs w:val="24"/>
        </w:rPr>
      </w:pPr>
      <w:r>
        <w:rPr>
          <w:rFonts w:ascii="Times New Roman" w:eastAsia="Times New Roman" w:hAnsi="Times New Roman" w:cs="Times New Roman"/>
          <w:sz w:val="24"/>
          <w:szCs w:val="24"/>
        </w:rPr>
        <w:t>Det bemærkes, at ”hvidvask af penge” som ”finansiering af terrorisme” er defineret i hvidvaskforordningens artikel 2, stk. 1, nr. 1 og 2, og at begreberne ”hvidvask” og ”terrorfinansiering” vil blive anvendt om de i hvidvaskforordningen definerede begreber, som i en dansk sammenhæng endvidere vil skulle forstås i overensstemmelse med straffelovens §§ 290, 290 a og 114 b, for så vidt angår handlinger omfattet af straffelovens § 114.</w:t>
      </w:r>
    </w:p>
    <w:p w14:paraId="4D236315" w14:textId="77777777" w:rsidR="00C52F0D" w:rsidRPr="00796736" w:rsidRDefault="00C52F0D" w:rsidP="00A802A5">
      <w:pPr>
        <w:spacing w:line="360" w:lineRule="auto"/>
        <w:rPr>
          <w:rFonts w:ascii="Times New Roman" w:eastAsia="Calibri" w:hAnsi="Times New Roman" w:cs="Times New Roman"/>
          <w:sz w:val="24"/>
          <w:szCs w:val="24"/>
        </w:rPr>
      </w:pPr>
    </w:p>
    <w:p w14:paraId="619CFB73" w14:textId="521CEF02"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w:t>
      </w:r>
      <w:r w:rsidRPr="00796736">
        <w:rPr>
          <w:rFonts w:ascii="Times New Roman" w:eastAsia="Calibri" w:hAnsi="Times New Roman" w:cs="Times New Roman"/>
          <w:sz w:val="24"/>
          <w:szCs w:val="24"/>
        </w:rPr>
        <w:t xml:space="preserve">, at visse virksomheder og personer, som ikke er omfattet af </w:t>
      </w:r>
      <w:r w:rsidR="00085DC3" w:rsidRPr="00796736">
        <w:rPr>
          <w:rFonts w:ascii="Times New Roman" w:eastAsia="Calibri" w:hAnsi="Times New Roman" w:cs="Times New Roman"/>
          <w:sz w:val="24"/>
          <w:szCs w:val="24"/>
        </w:rPr>
        <w:t>hvidvaskforordningen</w:t>
      </w:r>
      <w:r w:rsidR="00922AA1" w:rsidRPr="00796736">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alligevel omfattes af lovens anvendelsesområde som led i national implementering og implementering, der medvirker til at gennemføre dele af CO2-auktioneringsforordningen.</w:t>
      </w:r>
    </w:p>
    <w:p w14:paraId="5E6752A0" w14:textId="77777777" w:rsidR="00C52F0D" w:rsidRPr="00796736" w:rsidRDefault="00C52F0D" w:rsidP="00A802A5">
      <w:pPr>
        <w:spacing w:line="360" w:lineRule="auto"/>
        <w:rPr>
          <w:rFonts w:ascii="Times New Roman" w:eastAsia="Calibri" w:hAnsi="Times New Roman" w:cs="Times New Roman"/>
          <w:sz w:val="24"/>
          <w:szCs w:val="24"/>
        </w:rPr>
      </w:pPr>
    </w:p>
    <w:p w14:paraId="3CD9BAE3"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 nr. 1</w:t>
      </w:r>
      <w:r w:rsidRPr="00796736">
        <w:rPr>
          <w:rFonts w:ascii="Times New Roman" w:eastAsia="Calibri" w:hAnsi="Times New Roman" w:cs="Times New Roman"/>
          <w:sz w:val="24"/>
          <w:szCs w:val="24"/>
        </w:rPr>
        <w:t xml:space="preserve">, at virksomheder og personer, der udbyder leasing af motorkøretøjer som defineret i § 1 i lov om visse udbydere af leasing af motorkøretøjer, jf. dog stk. 7, omfattes af lovens anvendelsesområde. En leasingvirksomhed skal have tilladelse af Finanstilsynet til at udøve virksomhed i overensstemmelse med § 3 i lov om visse udbydere af leasing af motorkøretøjer. </w:t>
      </w:r>
    </w:p>
    <w:p w14:paraId="07E36C7C" w14:textId="77777777" w:rsidR="00C52F0D" w:rsidRPr="00796736" w:rsidRDefault="00C52F0D" w:rsidP="00A802A5">
      <w:pPr>
        <w:spacing w:line="360" w:lineRule="auto"/>
        <w:rPr>
          <w:rFonts w:ascii="Times New Roman" w:eastAsia="Calibri" w:hAnsi="Times New Roman" w:cs="Times New Roman"/>
          <w:sz w:val="24"/>
          <w:szCs w:val="24"/>
        </w:rPr>
      </w:pPr>
    </w:p>
    <w:p w14:paraId="3AC5989B"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vil medføre, at virksomheder og personer, der udbyder leasing af motorkøretøjer på forholdsmæssig registreringsafgift efter § 3 b i registreringsafgiftsloven, omfattes af lovens anvendelsesområde. Udbydere af leasing af motorkøretøjer, som ikke sker på forholdsmæssig registreringsafgift efter § 3 b i registreringsafgiftsloven, er ikke omfattet af lov om visse udbydere af leasing af motorkøretøjer og vil således ikke være omfattet af den foreslåede bestemmelse i stk. 2.</w:t>
      </w:r>
    </w:p>
    <w:p w14:paraId="497C37B1" w14:textId="77777777" w:rsidR="00C52F0D" w:rsidRPr="00796736" w:rsidRDefault="00C52F0D" w:rsidP="00A802A5">
      <w:pPr>
        <w:spacing w:line="360" w:lineRule="auto"/>
        <w:rPr>
          <w:rFonts w:ascii="Times New Roman" w:eastAsia="Calibri" w:hAnsi="Times New Roman" w:cs="Times New Roman"/>
          <w:sz w:val="24"/>
          <w:szCs w:val="24"/>
        </w:rPr>
      </w:pPr>
    </w:p>
    <w:p w14:paraId="3D7162C8" w14:textId="77777777" w:rsidR="00C52F0D" w:rsidRPr="00796736" w:rsidRDefault="00C52F0D" w:rsidP="00A802A5">
      <w:pPr>
        <w:spacing w:line="360" w:lineRule="auto"/>
        <w:rPr>
          <w:rFonts w:ascii="Times New Roman" w:eastAsia="Calibri" w:hAnsi="Times New Roman" w:cs="Times New Roman"/>
          <w:sz w:val="24"/>
          <w:szCs w:val="24"/>
        </w:rPr>
      </w:pPr>
      <w:bookmarkStart w:id="1850" w:name="_Hlk221614119"/>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 nr. 2</w:t>
      </w:r>
      <w:r w:rsidRPr="00796736">
        <w:rPr>
          <w:rFonts w:ascii="Times New Roman" w:eastAsia="Calibri" w:hAnsi="Times New Roman" w:cs="Times New Roman"/>
          <w:sz w:val="24"/>
          <w:szCs w:val="24"/>
        </w:rPr>
        <w:t xml:space="preserve">, at operatører af regulerede markeder, der har fået tilladelse her i landet til at være auktionsplatform i henhold til Kommissionens delegerede forordning (EU) 2023/2830 af 17. oktober 2023 om det tidsmæssige og administrative forløb af auktioner over kvoter for drivhusgasemissioner og andre aspekter i forbindelse med sådanne auktioner i medfør af Europa-Parlamentets og Rådets direktiv 2003/87/EF om en ordning for handel med kvoter for drivhusgasemissioner i Fællesskabet, er omfattet af lovens anvendelsesområde. </w:t>
      </w:r>
    </w:p>
    <w:p w14:paraId="41E7788F" w14:textId="77777777" w:rsidR="00C52F0D" w:rsidRPr="00796736" w:rsidRDefault="00C52F0D" w:rsidP="00A802A5">
      <w:pPr>
        <w:spacing w:line="360" w:lineRule="auto"/>
        <w:rPr>
          <w:rFonts w:ascii="Times New Roman" w:eastAsia="Calibri" w:hAnsi="Times New Roman" w:cs="Times New Roman"/>
          <w:sz w:val="24"/>
          <w:szCs w:val="24"/>
        </w:rPr>
      </w:pPr>
    </w:p>
    <w:p w14:paraId="6808E0FC"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stk. 2, nr. 2, viderefører hvidvasklovens § 1, stk. 1, nr. 11, uændret. </w:t>
      </w:r>
    </w:p>
    <w:p w14:paraId="37AC17FC" w14:textId="77777777" w:rsidR="00C52F0D" w:rsidRPr="00796736" w:rsidRDefault="00C52F0D" w:rsidP="00A802A5">
      <w:pPr>
        <w:spacing w:line="360" w:lineRule="auto"/>
        <w:rPr>
          <w:rFonts w:ascii="Times New Roman" w:eastAsia="Calibri" w:hAnsi="Times New Roman" w:cs="Times New Roman"/>
          <w:sz w:val="24"/>
          <w:szCs w:val="24"/>
        </w:rPr>
      </w:pPr>
    </w:p>
    <w:p w14:paraId="602102B9"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 operatør af en markedsplads er herefter omfattet af hvidvaskloven, når operatøren handler via sin tilladelse til at være auktionsplatform i henhold til CO2-auktioneringsforordningen. Bestemmelsen medvirker til at gennemføre dele af CO2-auktioneringsforordningen.</w:t>
      </w:r>
    </w:p>
    <w:p w14:paraId="6D726DCA" w14:textId="77777777" w:rsidR="00C52F0D" w:rsidRPr="00796736" w:rsidRDefault="00C52F0D" w:rsidP="00A802A5">
      <w:pPr>
        <w:spacing w:line="360" w:lineRule="auto"/>
        <w:rPr>
          <w:rFonts w:ascii="Times New Roman" w:eastAsia="Calibri" w:hAnsi="Times New Roman" w:cs="Times New Roman"/>
          <w:sz w:val="24"/>
          <w:szCs w:val="24"/>
        </w:rPr>
      </w:pPr>
    </w:p>
    <w:p w14:paraId="59EABE84"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 nr. 3,</w:t>
      </w:r>
      <w:r w:rsidRPr="00796736">
        <w:rPr>
          <w:rFonts w:ascii="Times New Roman" w:eastAsia="Calibri" w:hAnsi="Times New Roman" w:cs="Times New Roman"/>
          <w:sz w:val="24"/>
          <w:szCs w:val="24"/>
        </w:rPr>
        <w:t xml:space="preserve"> at aktører, som har tilladelse til at byde direkte på auktioner, der er omfattet af Kommissionens delegerede forordning (EU) 2023/2830 af 17. oktober 2023 om det tidsmæssige og administrative forløb af auktioner over kvoter for drivhusgasemissioner og andre aspekter i forbindelse med sådanne auktioner i medfør af Europa-Parlamentets og Rådets direktiv 2003/87/EF om en ordning for handel med kvoter for drivhusgasemissioner i Fællesskabet, og som ikke er et fondsmæglerselskab eller et pengeinstitut med tilladelse som værdipapirhandler, er omfattet af lovens anvendelsesområde. </w:t>
      </w:r>
    </w:p>
    <w:p w14:paraId="1D9BA998" w14:textId="77777777" w:rsidR="00C52F0D" w:rsidRPr="00796736" w:rsidRDefault="00C52F0D" w:rsidP="00A802A5">
      <w:pPr>
        <w:spacing w:line="360" w:lineRule="auto"/>
        <w:rPr>
          <w:rFonts w:ascii="Times New Roman" w:eastAsia="Calibri" w:hAnsi="Times New Roman" w:cs="Times New Roman"/>
          <w:sz w:val="24"/>
          <w:szCs w:val="24"/>
        </w:rPr>
      </w:pPr>
    </w:p>
    <w:p w14:paraId="77C5E550"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stk. 2, nr. 3, viderefører hvidvasklovens § 1, stk. 1, nr. 12, uændret. </w:t>
      </w:r>
    </w:p>
    <w:p w14:paraId="7DFB17A2" w14:textId="77777777" w:rsidR="00C52F0D" w:rsidRPr="00796736" w:rsidRDefault="00C52F0D" w:rsidP="00A802A5">
      <w:pPr>
        <w:spacing w:line="360" w:lineRule="auto"/>
        <w:rPr>
          <w:rFonts w:ascii="Times New Roman" w:eastAsia="Calibri" w:hAnsi="Times New Roman" w:cs="Times New Roman"/>
          <w:sz w:val="24"/>
          <w:szCs w:val="24"/>
        </w:rPr>
      </w:pPr>
    </w:p>
    <w:p w14:paraId="24C69F82"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CO2-auktioneringsforordningen er der krav om, at nationale hvidvaskregler skal finde anvendelse på operatører af regulerede markeder, der fungerer som auktionsplatforme for emissionskvoter, samt på fysiske og juridiske personer med tilladelse til at byde direkte på sådanne auktioner. På den baggrund vurderes det hensigtsmæssigt at videreføre reguleringen af disse aktører i den kommende hvidvasktilsynslov, således at de fortsat omfattes af lovens anvendelsesområde. Dette sikrer overensstemmelse med gældende EU-ret og understøtter formålet om effektiv forebyggelse af hvidvask og finansiering af terrorisme.</w:t>
      </w:r>
    </w:p>
    <w:p w14:paraId="72E2093A" w14:textId="77777777" w:rsidR="00C52F0D" w:rsidRPr="00796736" w:rsidRDefault="00C52F0D" w:rsidP="00A802A5">
      <w:pPr>
        <w:spacing w:line="360" w:lineRule="auto"/>
        <w:rPr>
          <w:rFonts w:ascii="Times New Roman" w:eastAsia="Calibri" w:hAnsi="Times New Roman" w:cs="Times New Roman"/>
          <w:sz w:val="24"/>
          <w:szCs w:val="24"/>
        </w:rPr>
      </w:pPr>
    </w:p>
    <w:p w14:paraId="6488EF74" w14:textId="1F12E055"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Finanstilsynet skal i henhold til CO2-auktioneringsforordningen give tilladelse til fondsmæglerselskaber, pengeinstitutter med tilladelse som værdipapirhandler og CO2-kvotebydere til at byde direkte på auktioner. </w:t>
      </w:r>
      <w:bookmarkStart w:id="1851" w:name="_Hlk221614046"/>
      <w:r w:rsidRPr="00796736">
        <w:rPr>
          <w:rFonts w:ascii="Times New Roman" w:eastAsia="Calibri" w:hAnsi="Times New Roman" w:cs="Times New Roman"/>
          <w:sz w:val="24"/>
          <w:szCs w:val="24"/>
        </w:rPr>
        <w:t xml:space="preserve">Fondsmæglerselskaber og pengeinstitutter med tilladelse som værdipapirhandler er allerede omfattet af lovforslaget i medfør af </w:t>
      </w:r>
      <w:r w:rsidR="00FD1E2E" w:rsidRPr="00796736">
        <w:rPr>
          <w:rFonts w:ascii="Times New Roman" w:eastAsia="Calibri" w:hAnsi="Times New Roman" w:cs="Times New Roman"/>
          <w:sz w:val="24"/>
          <w:szCs w:val="24"/>
        </w:rPr>
        <w:fldChar w:fldCharType="begin"/>
      </w:r>
      <w:r w:rsidR="00FD1E2E" w:rsidRPr="00796736">
        <w:rPr>
          <w:rFonts w:ascii="Times New Roman" w:eastAsia="Calibri" w:hAnsi="Times New Roman" w:cs="Times New Roman"/>
          <w:sz w:val="24"/>
          <w:szCs w:val="24"/>
        </w:rPr>
        <w:instrText xml:space="preserve"> REF _Ref232592818 \r \h </w:instrText>
      </w:r>
      <w:r w:rsidR="00967618" w:rsidRPr="00796736">
        <w:rPr>
          <w:rFonts w:ascii="Times New Roman" w:eastAsia="Calibri" w:hAnsi="Times New Roman" w:cs="Times New Roman"/>
          <w:sz w:val="24"/>
          <w:szCs w:val="24"/>
        </w:rPr>
        <w:instrText xml:space="preserve"> \* MERGEFORMAT </w:instrText>
      </w:r>
      <w:r w:rsidR="00FD1E2E" w:rsidRPr="00796736">
        <w:rPr>
          <w:rFonts w:ascii="Times New Roman" w:eastAsia="Calibri" w:hAnsi="Times New Roman" w:cs="Times New Roman"/>
          <w:sz w:val="24"/>
          <w:szCs w:val="24"/>
        </w:rPr>
      </w:r>
      <w:r w:rsidR="00FD1E2E"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FD1E2E"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nr. 1 og </w:t>
      </w:r>
      <w:r w:rsidR="002B24E3" w:rsidRPr="00796736">
        <w:rPr>
          <w:rFonts w:ascii="Times New Roman" w:eastAsia="Calibri" w:hAnsi="Times New Roman" w:cs="Times New Roman"/>
          <w:sz w:val="24"/>
          <w:szCs w:val="24"/>
        </w:rPr>
        <w:t>4</w:t>
      </w:r>
      <w:r w:rsidRPr="00796736">
        <w:rPr>
          <w:rFonts w:ascii="Times New Roman" w:eastAsia="Calibri" w:hAnsi="Times New Roman" w:cs="Times New Roman"/>
          <w:sz w:val="24"/>
          <w:szCs w:val="24"/>
        </w:rPr>
        <w:t xml:space="preserve">. Den foreslåede bestemmelse sikrer, at juridiske personer, der har fået tilladelse til at byde på auktioner for CO2-kvoter, der er omfattet af CO2-auktioneringsforordningen, også bliver omfattet af loven. </w:t>
      </w:r>
      <w:bookmarkEnd w:id="1850"/>
      <w:bookmarkEnd w:id="1851"/>
    </w:p>
    <w:p w14:paraId="745718DE" w14:textId="77777777" w:rsidR="00C52F0D" w:rsidRPr="00796736" w:rsidRDefault="00C52F0D" w:rsidP="00A802A5">
      <w:pPr>
        <w:spacing w:line="360" w:lineRule="auto"/>
        <w:rPr>
          <w:rFonts w:ascii="Times New Roman" w:eastAsia="Calibri" w:hAnsi="Times New Roman" w:cs="Times New Roman"/>
          <w:sz w:val="24"/>
          <w:szCs w:val="24"/>
        </w:rPr>
      </w:pPr>
    </w:p>
    <w:p w14:paraId="4C61F3C9"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Virksomheder, der byder direkte på auktioner for kvoter for drivhusgasemissioner for egen regning eller for kunder som led i virksomhedens hovederhverv, skal have tilladelse fra Finanstilsynet som CO2-kvotebydere i henhold til § 343 v, jf. § 343 x, stk. 1, lov om finansiel virksomhed. Kravet om tilladelse gælder dog ikke for pengeinstitutter og fondsmæglerselskaber.</w:t>
      </w:r>
    </w:p>
    <w:p w14:paraId="64D238AA" w14:textId="77777777" w:rsidR="00C52F0D" w:rsidRPr="00796736" w:rsidRDefault="00C52F0D" w:rsidP="00A802A5">
      <w:pPr>
        <w:spacing w:line="360" w:lineRule="auto"/>
        <w:rPr>
          <w:rFonts w:ascii="Times New Roman" w:eastAsia="Calibri" w:hAnsi="Times New Roman" w:cs="Times New Roman"/>
          <w:sz w:val="24"/>
          <w:szCs w:val="24"/>
        </w:rPr>
      </w:pPr>
    </w:p>
    <w:p w14:paraId="6FD4B902"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Tilladelse kan gives til virksomheder, hvor aktiviteten med handel med råvarederivater eller emissionskvoter, eller med investeringsservice inden for disse områder, udgør en accessorisk aktivitet i forhold til virksomhedens hovederhverv på koncernniveau. Hovederhvervet må ikke bestå i investeringsservice, pengeinstitutvirksomhed eller prisstillerfunktion i forbindelse med råvarederivater, og virksomheden må ikke anvende algoritmisk højfrekvenshandelsteknik. Desuden skal virksomheden årligt meddele Finanstilsynet, at den er undtaget fra kravet om tilladelse til at udføre tjenesteydelser i forbindelse med værdipapirhandel på erhvervsmæssigt grundlag. Aktiviteten kan kun udøves af visse selskabsformer, herunder aktieselskaber, partnerselskaber, anpartsselskaber, kommanditselskaber, interessentskaber og enkeltmandsvirksomheder.</w:t>
      </w:r>
    </w:p>
    <w:p w14:paraId="4ECA671B" w14:textId="77777777" w:rsidR="00C52F0D" w:rsidRPr="00796736" w:rsidRDefault="00C52F0D" w:rsidP="00A802A5">
      <w:pPr>
        <w:spacing w:line="360" w:lineRule="auto"/>
        <w:rPr>
          <w:rFonts w:ascii="Times New Roman" w:eastAsia="Calibri" w:hAnsi="Times New Roman" w:cs="Times New Roman"/>
          <w:sz w:val="24"/>
          <w:szCs w:val="24"/>
        </w:rPr>
      </w:pPr>
    </w:p>
    <w:p w14:paraId="45E24782" w14:textId="77777777" w:rsidR="00C52F0D" w:rsidRPr="00796736" w:rsidRDefault="00C52F0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kan f.eks. være et energiselskab, hvis hovederhverv er handel med el og gas (for egen regning), der som en accessorisk aktivitet yder investeringsservice med råvarederivater til kunder for at afdække kundernes risici i relation til energipriserne, eller en grovvarevirksomhed, der handler med korn. </w:t>
      </w:r>
    </w:p>
    <w:p w14:paraId="1A2CA442" w14:textId="77777777" w:rsidR="00085DC3" w:rsidRPr="00796736" w:rsidRDefault="00085DC3" w:rsidP="00A802A5">
      <w:pPr>
        <w:spacing w:line="360" w:lineRule="auto"/>
        <w:rPr>
          <w:rFonts w:ascii="Times New Roman" w:eastAsia="Calibri" w:hAnsi="Times New Roman" w:cs="Times New Roman"/>
          <w:sz w:val="24"/>
          <w:szCs w:val="24"/>
        </w:rPr>
      </w:pPr>
    </w:p>
    <w:p w14:paraId="78F92287" w14:textId="0FDFEDD6" w:rsidR="00085DC3" w:rsidRPr="00796736" w:rsidRDefault="00085DC3"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stk. 3,</w:t>
      </w:r>
      <w:r w:rsidRPr="00796736">
        <w:rPr>
          <w:rFonts w:ascii="Times New Roman" w:eastAsia="Times New Roman" w:hAnsi="Times New Roman" w:cs="Times New Roman"/>
          <w:sz w:val="24"/>
          <w:szCs w:val="24"/>
          <w:lang w:eastAsia="da-DK"/>
        </w:rPr>
        <w:t xml:space="preserve"> at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_Ref232593034 \r \h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finder anvendelse på virksomheder og personer, der som led i deres virksomhed deltager i håndtering og udlevering af pengesedler og mønter til offentligheden, herunder personer og virksomheder, hvis aktivitet består i at veksle pengesedler og mønter i forskellige valutaer.</w:t>
      </w:r>
    </w:p>
    <w:p w14:paraId="08AE8C68" w14:textId="77777777" w:rsidR="00085DC3" w:rsidRPr="00796736" w:rsidRDefault="00085DC3" w:rsidP="00A802A5">
      <w:pPr>
        <w:spacing w:line="360" w:lineRule="auto"/>
        <w:rPr>
          <w:rFonts w:ascii="Times New Roman" w:eastAsia="Times New Roman" w:hAnsi="Times New Roman" w:cs="Times New Roman"/>
          <w:sz w:val="24"/>
          <w:szCs w:val="24"/>
          <w:lang w:eastAsia="da-DK"/>
        </w:rPr>
      </w:pPr>
    </w:p>
    <w:p w14:paraId="2B4D32E5" w14:textId="3B1BDF1F" w:rsidR="00085DC3" w:rsidRPr="00796736" w:rsidRDefault="00085DC3"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foreslås i </w:t>
      </w:r>
      <w:r w:rsidRPr="00796736">
        <w:rPr>
          <w:rFonts w:ascii="Times New Roman" w:eastAsia="Times New Roman" w:hAnsi="Times New Roman" w:cs="Times New Roman"/>
          <w:i/>
          <w:iCs/>
          <w:sz w:val="24"/>
          <w:szCs w:val="24"/>
          <w:lang w:eastAsia="da-DK"/>
        </w:rPr>
        <w:t>stk. 4,</w:t>
      </w:r>
      <w:r w:rsidRPr="00796736">
        <w:rPr>
          <w:rFonts w:ascii="Times New Roman" w:eastAsia="Times New Roman" w:hAnsi="Times New Roman" w:cs="Times New Roman"/>
          <w:sz w:val="24"/>
          <w:szCs w:val="24"/>
          <w:lang w:eastAsia="da-DK"/>
        </w:rPr>
        <w:t xml:space="preserve"> at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_Ref232595404 \r \h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finder anvendelse på alle juridiske og fysiske personer her i landet. </w:t>
      </w:r>
    </w:p>
    <w:p w14:paraId="4BA64F1C" w14:textId="77777777" w:rsidR="00085DC3" w:rsidRPr="00796736" w:rsidRDefault="00085DC3" w:rsidP="00A802A5">
      <w:pPr>
        <w:spacing w:line="360" w:lineRule="auto"/>
        <w:rPr>
          <w:rFonts w:ascii="Times New Roman" w:eastAsia="Times New Roman" w:hAnsi="Times New Roman" w:cs="Times New Roman"/>
          <w:sz w:val="24"/>
          <w:szCs w:val="24"/>
          <w:lang w:eastAsia="da-DK"/>
        </w:rPr>
      </w:pPr>
    </w:p>
    <w:p w14:paraId="0CF2231A" w14:textId="77777777" w:rsidR="00085DC3" w:rsidRPr="00796736" w:rsidRDefault="00085DC3" w:rsidP="00A802A5">
      <w:pPr>
        <w:spacing w:line="360" w:lineRule="auto"/>
        <w:rPr>
          <w:rFonts w:ascii="Times New Roman" w:eastAsia="Calibri" w:hAnsi="Times New Roman" w:cs="Times New Roman"/>
          <w:sz w:val="24"/>
          <w:szCs w:val="24"/>
        </w:rPr>
      </w:pPr>
    </w:p>
    <w:p w14:paraId="23A4D644" w14:textId="77777777" w:rsidR="00085DC3" w:rsidRPr="00796736" w:rsidRDefault="00085DC3" w:rsidP="00A802A5">
      <w:pPr>
        <w:spacing w:line="360" w:lineRule="auto"/>
        <w:rPr>
          <w:rFonts w:ascii="Times New Roman" w:eastAsia="Times New Roman" w:hAnsi="Times New Roman" w:cs="Times New Roman"/>
          <w:sz w:val="24"/>
          <w:szCs w:val="24"/>
          <w:lang w:eastAsia="da-DK"/>
        </w:rPr>
      </w:pPr>
    </w:p>
    <w:p w14:paraId="05BCB211" w14:textId="644CCDD3" w:rsidR="00085DC3" w:rsidRPr="00796736" w:rsidRDefault="00085DC3"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foreslås i </w:t>
      </w:r>
      <w:r w:rsidRPr="00796736">
        <w:rPr>
          <w:rFonts w:ascii="Times New Roman" w:eastAsia="Times New Roman" w:hAnsi="Times New Roman" w:cs="Times New Roman"/>
          <w:i/>
          <w:iCs/>
          <w:sz w:val="24"/>
          <w:szCs w:val="24"/>
          <w:lang w:eastAsia="da-DK"/>
        </w:rPr>
        <w:t>stk. 5,</w:t>
      </w:r>
      <w:r w:rsidRPr="00796736">
        <w:rPr>
          <w:rFonts w:ascii="Times New Roman" w:eastAsia="Times New Roman" w:hAnsi="Times New Roman" w:cs="Times New Roman"/>
          <w:sz w:val="24"/>
          <w:szCs w:val="24"/>
          <w:lang w:eastAsia="da-DK"/>
        </w:rPr>
        <w:t xml:space="preserve"> at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_Ref232596358 \r \h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35</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finder anvendelse på danske virksomheders udenlandske filialer. </w:t>
      </w:r>
      <w:bookmarkStart w:id="1852" w:name="_Hlk217293412"/>
    </w:p>
    <w:bookmarkEnd w:id="1852"/>
    <w:p w14:paraId="6ACE5EB3" w14:textId="77777777" w:rsidR="00085DC3" w:rsidRPr="00796736" w:rsidRDefault="00085DC3" w:rsidP="00A802A5">
      <w:pPr>
        <w:spacing w:line="360" w:lineRule="auto"/>
        <w:rPr>
          <w:rFonts w:ascii="Times New Roman" w:eastAsia="Times New Roman" w:hAnsi="Times New Roman" w:cs="Times New Roman"/>
          <w:sz w:val="24"/>
          <w:szCs w:val="24"/>
          <w:lang w:eastAsia="da-DK"/>
        </w:rPr>
      </w:pPr>
    </w:p>
    <w:p w14:paraId="1D717141" w14:textId="7F8B8917" w:rsidR="006A794F" w:rsidRPr="00796736" w:rsidRDefault="006A794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085DC3" w:rsidRPr="00796736">
        <w:rPr>
          <w:rFonts w:ascii="Times New Roman" w:eastAsia="Times New Roman" w:hAnsi="Times New Roman" w:cs="Times New Roman"/>
          <w:i/>
          <w:iCs/>
          <w:sz w:val="24"/>
          <w:szCs w:val="24"/>
          <w:lang w:eastAsia="da-DK"/>
        </w:rPr>
        <w:t>6</w:t>
      </w:r>
      <w:r w:rsidRPr="00796736">
        <w:rPr>
          <w:rFonts w:ascii="Times New Roman" w:eastAsia="Times New Roman" w:hAnsi="Times New Roman" w:cs="Times New Roman"/>
          <w:sz w:val="24"/>
          <w:szCs w:val="24"/>
          <w:lang w:eastAsia="da-DK"/>
        </w:rPr>
        <w:t xml:space="preserve">, at lovens </w:t>
      </w:r>
      <w:r w:rsidR="00FD1E2E" w:rsidRPr="00796736">
        <w:rPr>
          <w:rFonts w:ascii="Times New Roman" w:eastAsia="Times New Roman" w:hAnsi="Times New Roman" w:cs="Times New Roman"/>
          <w:sz w:val="24"/>
          <w:szCs w:val="24"/>
          <w:lang w:eastAsia="da-DK"/>
        </w:rPr>
        <w:fldChar w:fldCharType="begin"/>
      </w:r>
      <w:r w:rsidR="00FD1E2E" w:rsidRPr="00796736">
        <w:rPr>
          <w:rFonts w:ascii="Times New Roman" w:eastAsia="Times New Roman" w:hAnsi="Times New Roman" w:cs="Times New Roman"/>
          <w:sz w:val="24"/>
          <w:szCs w:val="24"/>
          <w:lang w:eastAsia="da-DK"/>
        </w:rPr>
        <w:instrText xml:space="preserve"> REF _Ref232597060 \r \h </w:instrText>
      </w:r>
      <w:r w:rsidR="00967618" w:rsidRPr="00796736">
        <w:rPr>
          <w:rFonts w:ascii="Times New Roman" w:eastAsia="Times New Roman" w:hAnsi="Times New Roman" w:cs="Times New Roman"/>
          <w:sz w:val="24"/>
          <w:szCs w:val="24"/>
          <w:lang w:eastAsia="da-DK"/>
        </w:rPr>
        <w:instrText xml:space="preserve"> \* MERGEFORMAT </w:instrText>
      </w:r>
      <w:r w:rsidR="00FD1E2E" w:rsidRPr="00796736">
        <w:rPr>
          <w:rFonts w:ascii="Times New Roman" w:eastAsia="Times New Roman" w:hAnsi="Times New Roman" w:cs="Times New Roman"/>
          <w:sz w:val="24"/>
          <w:szCs w:val="24"/>
          <w:lang w:eastAsia="da-DK"/>
        </w:rPr>
      </w:r>
      <w:r w:rsidR="00FD1E2E"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55</w:t>
      </w:r>
      <w:r w:rsidR="00FD1E2E" w:rsidRPr="00796736">
        <w:rPr>
          <w:rFonts w:ascii="Times New Roman" w:eastAsia="Times New Roman" w:hAnsi="Times New Roman" w:cs="Times New Roman"/>
          <w:sz w:val="24"/>
          <w:szCs w:val="24"/>
          <w:lang w:eastAsia="da-DK"/>
        </w:rPr>
        <w:fldChar w:fldCharType="end"/>
      </w:r>
      <w:r w:rsidR="00FD1E2E"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 xml:space="preserve">finder anvendelse for skadesforsikringsselskaber som defineret i § 9, stk. 1, nr. 1, litra a, i lov om forsikringsvirksomhed i tværgående pensionskasser, livsforsikringsselskaber og skadesforsikringsselskaber m.v. og filialer her i landet af sådanne udenlandske virksomheder. </w:t>
      </w:r>
    </w:p>
    <w:p w14:paraId="24129099" w14:textId="77777777" w:rsidR="006A794F" w:rsidRPr="00796736" w:rsidRDefault="006A794F" w:rsidP="00A802A5">
      <w:pPr>
        <w:spacing w:line="360" w:lineRule="auto"/>
        <w:rPr>
          <w:rFonts w:ascii="Times New Roman" w:eastAsia="Times New Roman" w:hAnsi="Times New Roman" w:cs="Times New Roman"/>
          <w:sz w:val="24"/>
          <w:szCs w:val="24"/>
          <w:lang w:eastAsia="da-DK"/>
        </w:rPr>
      </w:pPr>
    </w:p>
    <w:p w14:paraId="77420A15" w14:textId="77777777" w:rsidR="006A794F" w:rsidRPr="00796736" w:rsidRDefault="006A794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Bestemmelsen er en videreførelse af hvidvasklovens § 1, stk. 6. </w:t>
      </w:r>
    </w:p>
    <w:p w14:paraId="3B89B2ED" w14:textId="77777777" w:rsidR="006A794F" w:rsidRPr="00796736" w:rsidRDefault="006A794F" w:rsidP="00A802A5">
      <w:pPr>
        <w:spacing w:line="360" w:lineRule="auto"/>
        <w:rPr>
          <w:rFonts w:ascii="Times New Roman" w:eastAsia="Times New Roman" w:hAnsi="Times New Roman" w:cs="Times New Roman"/>
          <w:sz w:val="24"/>
          <w:szCs w:val="24"/>
          <w:lang w:eastAsia="da-DK"/>
        </w:rPr>
      </w:pPr>
    </w:p>
    <w:p w14:paraId="2CA20C22" w14:textId="77777777" w:rsidR="006A794F" w:rsidRPr="00796736" w:rsidRDefault="006A794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 foreslåede bestemmelse medfører, at skadesforsikringsselskaber og filialer her i landet af sådanne udenlandske virksomheder omfattes af hvidvasklovens anvendelsesområde, for så vidt angår Finanstilsynets tilsyn med overholdelsen af forordninger indeholdende regler om finansielle sanktioner mod lande, personer, grupper, juridiske enheder eller organer.</w:t>
      </w:r>
    </w:p>
    <w:p w14:paraId="5FB84C9E" w14:textId="77777777" w:rsidR="006A794F" w:rsidRPr="00796736" w:rsidRDefault="006A794F" w:rsidP="00A802A5">
      <w:pPr>
        <w:spacing w:line="360" w:lineRule="auto"/>
        <w:rPr>
          <w:rFonts w:ascii="Times New Roman" w:eastAsia="Times New Roman" w:hAnsi="Times New Roman" w:cs="Times New Roman"/>
          <w:sz w:val="24"/>
          <w:szCs w:val="24"/>
          <w:lang w:eastAsia="da-DK"/>
        </w:rPr>
      </w:pPr>
    </w:p>
    <w:p w14:paraId="3C602230" w14:textId="77777777" w:rsidR="006A794F" w:rsidRPr="00796736" w:rsidRDefault="006A794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er i § 9, stk. 1, nr. 1, litra a, i lov om forsikringsvirksomhed fastsat, at skadesforsikringsselskaber er aktieselskaber, der har tilladelse til at udøve skadesforsikringsvirksomhed. I bemærkningerne til bestemmelsen præciseres det, at skadesforsikringsvirksomhed skal forstås som den forsikringsvirksomhed, der er omfattet af lovens bilag 1.</w:t>
      </w:r>
    </w:p>
    <w:p w14:paraId="4F0C6EA4" w14:textId="77777777" w:rsidR="006A794F" w:rsidRPr="00796736" w:rsidRDefault="006A794F" w:rsidP="00A802A5">
      <w:pPr>
        <w:spacing w:line="360" w:lineRule="auto"/>
        <w:rPr>
          <w:rFonts w:ascii="Times New Roman" w:eastAsia="Times New Roman" w:hAnsi="Times New Roman" w:cs="Times New Roman"/>
          <w:sz w:val="24"/>
          <w:szCs w:val="24"/>
          <w:lang w:eastAsia="da-DK"/>
        </w:rPr>
      </w:pPr>
    </w:p>
    <w:p w14:paraId="2AFD764D" w14:textId="77777777" w:rsidR="006A794F" w:rsidRPr="00796736" w:rsidRDefault="006A794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En forordning er en bindende retsakt, der er direkte gældende for personer og virksomheder i EU fra datoen for offentliggørelse i EU-Tidende. Forordninger er direkte gældende i EU’s medlemsstater. Det betyder, at forordningens regler skal overholdes uden, at der fastsættes særskilt dansk lovgivning herom. Manglende overholdelse af sanktionerne er en overtrædelse af straffeloven og kan medføre bøde eller fængselsstraf.</w:t>
      </w:r>
    </w:p>
    <w:p w14:paraId="3D690BD9" w14:textId="77777777" w:rsidR="00CD23C3" w:rsidRPr="00796736" w:rsidRDefault="00CD23C3" w:rsidP="00A802A5">
      <w:pPr>
        <w:spacing w:line="360" w:lineRule="auto"/>
        <w:rPr>
          <w:rFonts w:ascii="Times New Roman" w:eastAsia="Times New Roman" w:hAnsi="Times New Roman" w:cs="Times New Roman"/>
          <w:sz w:val="24"/>
          <w:szCs w:val="24"/>
          <w:lang w:eastAsia="da-DK"/>
        </w:rPr>
      </w:pPr>
    </w:p>
    <w:p w14:paraId="03766EC1" w14:textId="7821768F" w:rsidR="005F37DA" w:rsidRPr="00796736" w:rsidRDefault="00CD23C3"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Finansielle virksomheder er forpligtede til at holde sig opdaterede om sanktionsforordningerne og i deres daglige arbejde sikre sig, at de ikke overtræder disse. Det betyder blandt andet, at de finansielle virksomheder skal indefryse alle pengemidler og økonomiske ressourcer, som ejes eller kontrolleres af de personer, der er oplistet i bilagene til forordningerne.</w:t>
      </w:r>
    </w:p>
    <w:p w14:paraId="08C1F932" w14:textId="77777777" w:rsidR="00085DC3" w:rsidRPr="00796736" w:rsidRDefault="00085DC3" w:rsidP="00A802A5">
      <w:pPr>
        <w:spacing w:line="360" w:lineRule="auto"/>
        <w:rPr>
          <w:rFonts w:ascii="Times New Roman" w:eastAsia="Times New Roman" w:hAnsi="Times New Roman" w:cs="Times New Roman"/>
          <w:sz w:val="24"/>
          <w:szCs w:val="24"/>
          <w:lang w:eastAsia="da-DK"/>
        </w:rPr>
      </w:pPr>
    </w:p>
    <w:p w14:paraId="502FE3A2" w14:textId="3EDB6F73" w:rsidR="00CD23C3" w:rsidRPr="00796736" w:rsidRDefault="00CD23C3" w:rsidP="00A802A5">
      <w:pPr>
        <w:spacing w:line="360" w:lineRule="auto"/>
        <w:jc w:val="left"/>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7</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sz w:val="24"/>
          <w:szCs w:val="24"/>
          <w:lang w:eastAsia="da-DK"/>
        </w:rPr>
        <w:t>Finanstilsynet kan fastsætte nærmere regler om, at juridiske eller fysiske personer som lejlighedsvist eller i et meget begrænset</w:t>
      </w:r>
      <w:r w:rsidR="00E60ECF"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omfang udøver en økonomisk aktivitet, som anført i bilag I, punkt 2-12, 14 og 15, til direktiv 2013/36/EU af 26. juni 2013 om adgang til at udøve virksomhed som kreditinstitut og om tilsyn med kreditinstitutter og investeringsselskaber, hvor der kun er begrænset risiko for hvidvask af penge eller finansiering af terrorisme, undtages helt eller delvist fra Europa-Parlamentets og Rådets forordning (EU) 2024/1624 om forebyggende foranstaltninger mod anvendelse af det finansielle system til hvidvask af penge eller finansiering af terrorisme.</w:t>
      </w:r>
    </w:p>
    <w:p w14:paraId="4723F9F2" w14:textId="583C93F1" w:rsidR="00CD23C3" w:rsidRPr="00796736" w:rsidRDefault="00CD23C3" w:rsidP="00A802A5">
      <w:pPr>
        <w:spacing w:line="360" w:lineRule="auto"/>
        <w:rPr>
          <w:rFonts w:ascii="Times New Roman" w:hAnsi="Times New Roman" w:cs="Times New Roman"/>
          <w:sz w:val="24"/>
          <w:szCs w:val="24"/>
        </w:rPr>
      </w:pPr>
    </w:p>
    <w:p w14:paraId="3D2F5082"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den gældende hvidvasklovs § 1, stk. 7, kan Finanstilsynet fastsætte regler om, at loven helt eller delvist ikke finder anvendelse for virksomheder og personer som er omfattet af lovens § 1, stk. 1, nr. 8 og 18, og som alene udøver finansiel aktivitet i begrænset omfang. Bestemmelsen gennemfører artikel 2, stk. 3, i 4. hvidvaskdirektiv.</w:t>
      </w:r>
    </w:p>
    <w:p w14:paraId="5B305F25" w14:textId="77777777" w:rsidR="00CD23C3" w:rsidRPr="00796736" w:rsidRDefault="00CD23C3" w:rsidP="00A802A5">
      <w:pPr>
        <w:spacing w:line="360" w:lineRule="auto"/>
        <w:rPr>
          <w:rFonts w:ascii="Times New Roman" w:hAnsi="Times New Roman" w:cs="Times New Roman"/>
          <w:sz w:val="24"/>
          <w:szCs w:val="24"/>
        </w:rPr>
      </w:pPr>
    </w:p>
    <w:p w14:paraId="69BEF910"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artikel 2 i 4. hvidvaskdirektiv er det kun muligt at undtage en fysisk eller juridisk person, hvis seks kumulative betingelser er opfyldt. Der kan alene ske fravigelser af loven på områder, hvor der er begrænset risiko for hvidvask og finansiering af terrorisme, samt hvor en aktivitet er lejlighedsvis eller udøves i meget begrænset omfang.</w:t>
      </w:r>
    </w:p>
    <w:p w14:paraId="5E65C6DC" w14:textId="77777777" w:rsidR="00CD23C3" w:rsidRPr="00796736" w:rsidRDefault="00CD23C3" w:rsidP="00A802A5">
      <w:pPr>
        <w:spacing w:line="360" w:lineRule="auto"/>
        <w:rPr>
          <w:rFonts w:ascii="Times New Roman" w:hAnsi="Times New Roman" w:cs="Times New Roman"/>
          <w:sz w:val="24"/>
          <w:szCs w:val="24"/>
        </w:rPr>
      </w:pPr>
    </w:p>
    <w:p w14:paraId="018ABCEB"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første betingelse er, at den finansielle aktivitet er begrænset målt i absolutte beløb. Det indebærer, at den samlede omsætning ikke må overstige den tærskel på baggrund af typen af finansiel aktivitet, der skal være tilstrækkelig lav, og som Finanstilsynet har fastsat i bekendtgørelse nr. 2364 af 9. december 2021 om, hvilke virksomheder og personer der kan undtages fra lov om forebyggende foranstaltninger mod hvidvask og finansiering af terrorisme </w:t>
      </w:r>
    </w:p>
    <w:p w14:paraId="427E326D" w14:textId="77777777" w:rsidR="00CD23C3" w:rsidRPr="00796736" w:rsidRDefault="00CD23C3" w:rsidP="00A802A5">
      <w:pPr>
        <w:spacing w:line="360" w:lineRule="auto"/>
        <w:rPr>
          <w:rFonts w:ascii="Times New Roman" w:hAnsi="Times New Roman" w:cs="Times New Roman"/>
          <w:sz w:val="24"/>
          <w:szCs w:val="24"/>
        </w:rPr>
      </w:pPr>
    </w:p>
    <w:p w14:paraId="7E615C22"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anden betingelse er, at den finansielle aktivitet er begrænset på transaktionsbasis og ikke må overstige 1000 euro pr. kunde, uanset om transaktionen udføres som en eller flere sammenhængende transaktioner. </w:t>
      </w:r>
    </w:p>
    <w:p w14:paraId="7818762A" w14:textId="77777777" w:rsidR="00CD23C3" w:rsidRPr="00796736" w:rsidRDefault="00CD23C3" w:rsidP="00A802A5">
      <w:pPr>
        <w:spacing w:line="360" w:lineRule="auto"/>
        <w:rPr>
          <w:rFonts w:ascii="Times New Roman" w:hAnsi="Times New Roman" w:cs="Times New Roman"/>
          <w:sz w:val="24"/>
          <w:szCs w:val="24"/>
        </w:rPr>
      </w:pPr>
    </w:p>
    <w:p w14:paraId="5D7A2629"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har fastsat en maksimumtærskel pr. kunde og pr. transaktion, hvad enten transaktionen gennemføres på én gang eller som flere transaktioner, der ser ud til at være indbyrdes forbundet. Tærsklen fastsættes afhængig af, hvilken type finansiel aktivitet der er tale om. Tærsklen skal være tilstrækkelig lav til at sikre, at de pågældende transaktionstyper er en upraktisk og ineffektiv metode til hvidvask af penge eller finansiering af terrorisme, og den må ikke overstige et beløb svarende til 1.000 euro. Finanstilsynet kan regulere tærsklen løbende op eller ned inden for et maksimum på 1.000 euro.</w:t>
      </w:r>
    </w:p>
    <w:p w14:paraId="1A1C73AD" w14:textId="77777777" w:rsidR="00E60ECF" w:rsidRPr="00796736" w:rsidRDefault="00E60ECF" w:rsidP="00A802A5">
      <w:pPr>
        <w:spacing w:line="360" w:lineRule="auto"/>
        <w:rPr>
          <w:rFonts w:ascii="Times New Roman" w:hAnsi="Times New Roman" w:cs="Times New Roman"/>
          <w:sz w:val="24"/>
          <w:szCs w:val="24"/>
        </w:rPr>
      </w:pPr>
    </w:p>
    <w:p w14:paraId="3216EB4E" w14:textId="034F73DC"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tredje betingelse er, at den finansielle aktivitet ikke er hovedaktiviteten og ikke må overstige 5 pct. af den pågældende fysiske eller juridiske persons samlede omsætning pr. år.</w:t>
      </w:r>
    </w:p>
    <w:p w14:paraId="344DE534" w14:textId="77777777" w:rsidR="00CD23C3" w:rsidRPr="00796736" w:rsidRDefault="00CD23C3" w:rsidP="00A802A5">
      <w:pPr>
        <w:spacing w:line="360" w:lineRule="auto"/>
        <w:rPr>
          <w:rFonts w:ascii="Times New Roman" w:hAnsi="Times New Roman" w:cs="Times New Roman"/>
          <w:sz w:val="24"/>
          <w:szCs w:val="24"/>
        </w:rPr>
      </w:pPr>
    </w:p>
    <w:p w14:paraId="2B5EDBE0"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Ifølge den fjerde betingelse skal den finansielle aktivitet være accessorisk virksomhed, som har direkte tilknytning til den juridiske eller fysiske persons hovedaktivitet. Betingelsen medfører, at den finansielle aktivitet skal have en form for tilknytning til hovedaktiviteten. Der kan f.eks. være tale om en virksomhed, som sælger elektronikvarer, og som samtidig udbyder små lån til finansiering af disse varer i tilfælde, hvor en kunde ønsker at få finansieret sit køb af en vare.</w:t>
      </w:r>
    </w:p>
    <w:p w14:paraId="7125EDFF" w14:textId="77777777" w:rsidR="00CD23C3" w:rsidRPr="00796736" w:rsidRDefault="00CD23C3" w:rsidP="00A802A5">
      <w:pPr>
        <w:spacing w:line="360" w:lineRule="auto"/>
        <w:rPr>
          <w:rFonts w:ascii="Times New Roman" w:hAnsi="Times New Roman" w:cs="Times New Roman"/>
          <w:sz w:val="24"/>
          <w:szCs w:val="24"/>
        </w:rPr>
      </w:pPr>
    </w:p>
    <w:p w14:paraId="572856BB" w14:textId="559EB9E9"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femte betingelse er, at virksomhedens eller personens hovedaktivitet ikke er en aktivitet omfattet af lovens § </w:t>
      </w:r>
      <w:r w:rsidR="00085DC3" w:rsidRPr="00796736">
        <w:rPr>
          <w:rFonts w:ascii="Times New Roman" w:hAnsi="Times New Roman" w:cs="Times New Roman"/>
          <w:sz w:val="24"/>
          <w:szCs w:val="24"/>
        </w:rPr>
        <w:t>1</w:t>
      </w:r>
      <w:r w:rsidRPr="00796736">
        <w:rPr>
          <w:rFonts w:ascii="Times New Roman" w:hAnsi="Times New Roman" w:cs="Times New Roman"/>
          <w:sz w:val="24"/>
          <w:szCs w:val="24"/>
        </w:rPr>
        <w:t>, stk. 1, nr. 13-17 og nr. 19. Det betyder, at finansielle aktiviteter, som er udbudt af advokater, når de er omfattet af stk. 1, nr. 13, revisorer og revisionsvirksomheder, ejendomsmæglere og ejendoms-mæglervirksomheder, udbydere af tjenesteydelser, udbud af spil og virksomheder, der erhvervsmæssigt leverer samme ydelser som førnævnte virksomheder, ikke kan blive undtaget.</w:t>
      </w:r>
    </w:p>
    <w:p w14:paraId="419430F4" w14:textId="77777777" w:rsidR="00CD23C3" w:rsidRPr="00796736" w:rsidRDefault="00CD23C3" w:rsidP="00A802A5">
      <w:pPr>
        <w:spacing w:line="360" w:lineRule="auto"/>
        <w:rPr>
          <w:rFonts w:ascii="Times New Roman" w:hAnsi="Times New Roman" w:cs="Times New Roman"/>
          <w:sz w:val="24"/>
          <w:szCs w:val="24"/>
        </w:rPr>
      </w:pPr>
    </w:p>
    <w:p w14:paraId="6D26E57E"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sjette betingelse er, at den finansielle aktivitet ikke udbydes til offentligheden generelt, men kun til kunder omfattet af virksomhedens hovedaktivitet. Betingelsen hænger sammen med den fjerde betingelse om, at hovedaktiviteten og den finansielle aktivitet skal hænge sammen. Den finansielle aktivitet må kun tilbydes kunder, som også modtager virksomhedens hovedydelse.</w:t>
      </w:r>
    </w:p>
    <w:p w14:paraId="083EFF59" w14:textId="77777777" w:rsidR="00CD23C3" w:rsidRPr="00796736" w:rsidRDefault="00CD23C3" w:rsidP="00A802A5">
      <w:pPr>
        <w:spacing w:line="360" w:lineRule="auto"/>
        <w:rPr>
          <w:rFonts w:ascii="Times New Roman" w:hAnsi="Times New Roman" w:cs="Times New Roman"/>
          <w:sz w:val="24"/>
          <w:szCs w:val="24"/>
        </w:rPr>
      </w:pPr>
    </w:p>
    <w:p w14:paraId="73D6B473"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således undtage virksomheder og personer fra loven helt eller delvist, således at virksomheder og personer f.eks. kan undtages fra kravene om kundekendskabsprocedurer, men ikke fra kravene om underretningspligt ved mistanke om, at en transaktion har tilknytning til hvidvask eller finansiering af terrorisme.</w:t>
      </w:r>
    </w:p>
    <w:p w14:paraId="0ED585AF" w14:textId="77777777" w:rsidR="00CD23C3" w:rsidRPr="00796736" w:rsidRDefault="00CD23C3" w:rsidP="00A802A5">
      <w:pPr>
        <w:spacing w:line="360" w:lineRule="auto"/>
        <w:rPr>
          <w:rFonts w:ascii="Times New Roman" w:hAnsi="Times New Roman" w:cs="Times New Roman"/>
          <w:sz w:val="24"/>
          <w:szCs w:val="24"/>
        </w:rPr>
      </w:pPr>
    </w:p>
    <w:p w14:paraId="30763F40"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bestemmelse kan Finanstilsynet fastsætte nærmere regler om, at juridiske eller fysiske personer som lejlighedsvist eller i et meget begrænset omfang udøver en økonomisk aktivitet, som anført i bilag I, punkt 2-12, 14 og 15, til direktiv 2013/36/EU af 26. juni 2013 om adgang til at udøve virksomhed som kreditinstitut og om tilsyn med kreditinstitutter og investeringsselskaber, hvor der kun er begrænset risiko for hvidvask af penge eller finansiering af terrorisme, undtages helt eller delvist fra Europa-Parlamentets og Rådets forordning (EU) 2024/1624 om forebyggende foranstaltninger mod anvendelse af det finansielle system til hvidvask af penge eller finansiering af terrorisme.</w:t>
      </w:r>
    </w:p>
    <w:p w14:paraId="43654853" w14:textId="77777777" w:rsidR="00CD23C3" w:rsidRPr="00796736" w:rsidRDefault="00CD23C3" w:rsidP="00A802A5">
      <w:pPr>
        <w:spacing w:line="360" w:lineRule="auto"/>
        <w:rPr>
          <w:rFonts w:ascii="Times New Roman" w:hAnsi="Times New Roman" w:cs="Times New Roman"/>
          <w:sz w:val="24"/>
          <w:szCs w:val="24"/>
        </w:rPr>
      </w:pPr>
    </w:p>
    <w:p w14:paraId="1F947C55"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er tale om en videreførelse af § 1, stk. 7, i den gældende hvidvasklov. </w:t>
      </w:r>
    </w:p>
    <w:p w14:paraId="1E729D1A" w14:textId="77777777" w:rsidR="00CD23C3" w:rsidRPr="00796736" w:rsidRDefault="00CD23C3" w:rsidP="00A802A5">
      <w:pPr>
        <w:spacing w:line="360" w:lineRule="auto"/>
        <w:rPr>
          <w:rFonts w:ascii="Times New Roman" w:hAnsi="Times New Roman" w:cs="Times New Roman"/>
          <w:sz w:val="24"/>
          <w:szCs w:val="24"/>
        </w:rPr>
      </w:pPr>
    </w:p>
    <w:p w14:paraId="2E01A837"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direktiv 2013/36/EU af 26. juni 2013 om adgang til at udøve virksomhed som kreditinstitut og om tilsyn med kreditinstitutter og investeringsselskaber, bilag I fremgår under punkt 2-12, 14 og 15 bl.a. aktiviteter som udlånsvirksomhed, forbrugerkreditter, realkreditlån, factoring og forfaitering, finansiel leasing, betalingstjenester, garantier og tilsagn, transaktioner for egen eller kunders regning vedrørende pengemarkedsinstrumenter (checks, veksler, indskudsbeviser m.v.), udenlandsk valuta, finansielle futures og options, valuta- og renteinstrumenter, værdipapirer, låneformidling, porteføljeforvaltning og -rådgivning, opbevaring og forvaltning af værdipapirer, boksudlejning samt udstedelse af elektroniske penge. </w:t>
      </w:r>
    </w:p>
    <w:p w14:paraId="109F218C" w14:textId="77777777" w:rsidR="00CD23C3" w:rsidRPr="00796736" w:rsidRDefault="00CD23C3" w:rsidP="00A802A5">
      <w:pPr>
        <w:spacing w:line="360" w:lineRule="auto"/>
        <w:rPr>
          <w:rFonts w:ascii="Times New Roman" w:hAnsi="Times New Roman" w:cs="Times New Roman"/>
          <w:sz w:val="24"/>
          <w:szCs w:val="24"/>
        </w:rPr>
      </w:pPr>
    </w:p>
    <w:p w14:paraId="43D6A9FD"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medfører, at Finanstilsynet ikke har mulighed for at kunne undtage personer som beskæftiger sig med pengeoverførsel, som defineret i artikel 4, nr. 22, i Europa-Parlamentets og Rådets direktiv 2015/2366/EU af 25. november 2015 om betalingstjenester i det indre marked.</w:t>
      </w:r>
    </w:p>
    <w:p w14:paraId="1D44163F" w14:textId="77777777" w:rsidR="00CD23C3" w:rsidRPr="00796736" w:rsidRDefault="00CD23C3" w:rsidP="00A802A5">
      <w:pPr>
        <w:spacing w:line="360" w:lineRule="auto"/>
        <w:rPr>
          <w:rFonts w:ascii="Times New Roman" w:hAnsi="Times New Roman" w:cs="Times New Roman"/>
          <w:sz w:val="24"/>
          <w:szCs w:val="24"/>
        </w:rPr>
      </w:pPr>
    </w:p>
    <w:p w14:paraId="58161F5D"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kan alene ske undtagelse på områder, hvor der er begrænset risiko for hvidvask og finansiering af terrorisme, samt hvor en aktivitet er lejlighedsvis eller udøves i meget begrænset omfang. </w:t>
      </w:r>
    </w:p>
    <w:p w14:paraId="63BE20A1" w14:textId="77777777" w:rsidR="00CD23C3" w:rsidRPr="00796736" w:rsidRDefault="00CD23C3" w:rsidP="00A802A5">
      <w:pPr>
        <w:spacing w:line="360" w:lineRule="auto"/>
        <w:rPr>
          <w:rFonts w:ascii="Times New Roman" w:hAnsi="Times New Roman" w:cs="Times New Roman"/>
          <w:sz w:val="24"/>
          <w:szCs w:val="24"/>
        </w:rPr>
      </w:pPr>
    </w:p>
    <w:p w14:paraId="0FF6A545"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Ifølge forordningens artikel 6, stk. 1, vil det alene være muligt at undtage juridiske og fysiske personer, som lejlighedsvist eller i meget begrænset omfang udøver en økonomisk aktivitet som anført i bilag I, punkt 2-12, 14 og 15, til direktiv 2013/36/EU, hvis seks kumulative betingelser er opfyldt, jf. forordningens artikel 6, stk. 1, litra a-f. </w:t>
      </w:r>
    </w:p>
    <w:p w14:paraId="042F074F" w14:textId="77777777" w:rsidR="00CD23C3" w:rsidRPr="00796736" w:rsidRDefault="00CD23C3" w:rsidP="00A802A5">
      <w:pPr>
        <w:spacing w:line="360" w:lineRule="auto"/>
        <w:rPr>
          <w:rFonts w:ascii="Times New Roman" w:hAnsi="Times New Roman" w:cs="Times New Roman"/>
          <w:sz w:val="24"/>
          <w:szCs w:val="24"/>
        </w:rPr>
      </w:pPr>
    </w:p>
    <w:p w14:paraId="1B3820DE"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i forordningen, at den første betingelse er, at den finansielle aktivitet er begrænset målt i absolutte beløb, jf. artikel 6, stk. 1, litra a og stk. 2. Det indebærer, at den samlede omsætning ikke må overstige en tærskel, som er fastsat af Finanstilsynet på baggrund af typen af finansiel aktivitet, der skal være tilstrækkelig lav.</w:t>
      </w:r>
    </w:p>
    <w:p w14:paraId="53519CD8" w14:textId="77777777" w:rsidR="00CD23C3" w:rsidRPr="00796736" w:rsidRDefault="00CD23C3" w:rsidP="00A802A5">
      <w:pPr>
        <w:spacing w:line="360" w:lineRule="auto"/>
        <w:rPr>
          <w:rFonts w:ascii="Times New Roman" w:hAnsi="Times New Roman" w:cs="Times New Roman"/>
          <w:sz w:val="24"/>
          <w:szCs w:val="24"/>
          <w:highlight w:val="yellow"/>
        </w:rPr>
      </w:pPr>
    </w:p>
    <w:p w14:paraId="7CFAED25" w14:textId="77777777" w:rsidR="00CD23C3" w:rsidRPr="00796736" w:rsidRDefault="00CD23C3" w:rsidP="00A802A5">
      <w:pPr>
        <w:spacing w:line="360" w:lineRule="auto"/>
        <w:rPr>
          <w:rFonts w:ascii="Times New Roman" w:hAnsi="Times New Roman" w:cs="Times New Roman"/>
          <w:sz w:val="24"/>
          <w:szCs w:val="24"/>
          <w:highlight w:val="yellow"/>
        </w:rPr>
      </w:pPr>
      <w:r w:rsidRPr="00796736">
        <w:rPr>
          <w:rFonts w:ascii="Times New Roman" w:hAnsi="Times New Roman" w:cs="Times New Roman"/>
          <w:sz w:val="24"/>
          <w:szCs w:val="24"/>
        </w:rPr>
        <w:t>Den anden betingelse er, at den finansielle aktivitet er begrænset på transaktionsbasis og ikke må overstige 1000 euro pr. kunde, uanset om transaktionen udføres som en eller flere sammenhængende transaktioner, jf. artikel 6, stk. 1, litra b og stk. 3. Finanstilsynet skal fastsætte en maksimumtærskel pr. kunde og pr. transaktion, hvad enten transaktionen gennemføres på én gang eller som flere transaktioner, der ser ud til at være indbyrdes forbundet. Tærsklen skal fastsættes afhængig af, hvilken type finansiel aktivitet der er tale om. Tærsklen skal være tilstrækkelig lav til at sikre, at de pågældende transaktionstyper er en upraktisk og ineffektiv metode til hvidvask af penge eller finansiering af terrorisme, og den må ikke overstige et beløb svarende til 1.000 euro. Finanstilsynet kan regulere tærsklen løbende op eller ned inden for et maksimum på 1.000 euro.</w:t>
      </w:r>
    </w:p>
    <w:p w14:paraId="4168AD1C" w14:textId="77777777" w:rsidR="00CD23C3" w:rsidRPr="00796736" w:rsidRDefault="00CD23C3" w:rsidP="00A802A5">
      <w:pPr>
        <w:spacing w:line="360" w:lineRule="auto"/>
        <w:rPr>
          <w:rFonts w:ascii="Times New Roman" w:hAnsi="Times New Roman" w:cs="Times New Roman"/>
          <w:sz w:val="24"/>
          <w:szCs w:val="24"/>
        </w:rPr>
      </w:pPr>
    </w:p>
    <w:p w14:paraId="67C5F0FF"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tredje betingelse er, at den finansielle aktivitet ikke er den juridiske eller fysiske persons hovedaktivitet og ikke må overstige 5 pct. af den pågældende fysiske eller juridiske persons samlede omsætning pr. år, jf. artikel 6, stk. 1, litra c og stk. 4.</w:t>
      </w:r>
    </w:p>
    <w:p w14:paraId="2FBB6112" w14:textId="77777777" w:rsidR="00CD23C3" w:rsidRPr="00796736" w:rsidRDefault="00CD23C3" w:rsidP="00A802A5">
      <w:pPr>
        <w:spacing w:line="360" w:lineRule="auto"/>
        <w:rPr>
          <w:rFonts w:ascii="Times New Roman" w:hAnsi="Times New Roman" w:cs="Times New Roman"/>
          <w:sz w:val="24"/>
          <w:szCs w:val="24"/>
        </w:rPr>
      </w:pPr>
    </w:p>
    <w:p w14:paraId="4287C1BC"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Ifølge den fjerde betingelse skal den finansielle aktivitet være accessorisk virksomhed, som har direkte tilknytning til den juridiske eller fysiske persons hovedaktivitet, jf. artikel 6, stk. 1, litra d. Betingelsen medfører, at den finansielle aktivitet skal have en form for tilknytning til hovedaktiviteten. Der kan f.eks. være tale om en virksomhed, som sælger elektronikvarer, og som samtidig udbyder små lån til finansiering af disse varer i tilfælde, hvor en kunde ønsker at få finansieret sit køb af en vare.</w:t>
      </w:r>
    </w:p>
    <w:p w14:paraId="6D202D19" w14:textId="77777777" w:rsidR="00CD23C3" w:rsidRPr="00796736" w:rsidRDefault="00CD23C3" w:rsidP="00A802A5">
      <w:pPr>
        <w:spacing w:line="360" w:lineRule="auto"/>
        <w:rPr>
          <w:rFonts w:ascii="Times New Roman" w:hAnsi="Times New Roman" w:cs="Times New Roman"/>
          <w:sz w:val="24"/>
          <w:szCs w:val="24"/>
        </w:rPr>
      </w:pPr>
    </w:p>
    <w:p w14:paraId="066F1631"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femte betingelse er, at virksomhedens eller personens hovedaktivitet ikke er en aktivitet omfattet af forordningens artikel 3, nr. 3, litra a-d eller g, jf. artikel 6, stk. 1, litra e. Det betyder, at finansielle aktiviteter, som er udbudt af revisorer, eksterne regnskabskyndige, skatterådgivere, notarer, advokater, udbydere af tjenester til truster eller virksomheder, ejendomsmæglere og andre professionelle ejendomsmæglervirksomheder, udbydere af spiltjenester ikke kan blive undtaget i henhold til forordningens artikel 6, stk. 1.</w:t>
      </w:r>
    </w:p>
    <w:p w14:paraId="6EB2FDE3" w14:textId="77777777" w:rsidR="00CD23C3" w:rsidRPr="00796736" w:rsidRDefault="00CD23C3" w:rsidP="00A802A5">
      <w:pPr>
        <w:spacing w:line="360" w:lineRule="auto"/>
        <w:rPr>
          <w:rFonts w:ascii="Times New Roman" w:hAnsi="Times New Roman" w:cs="Times New Roman"/>
          <w:sz w:val="24"/>
          <w:szCs w:val="24"/>
        </w:rPr>
      </w:pPr>
    </w:p>
    <w:p w14:paraId="63C2CE1F"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sjette betingelse er, at den finansielle aktivitet ikke udbydes til offentligheden generelt, men kun til kunder omfattet af virksomhedens hovedaktivitet, jf. artikel 6, stk. 1, litra f. Betingelsen hænger sammen med den fjerde betingelse om, at hovedaktiviteten og den finansielle aktivitet skal hænge sammen. Den finansielle aktivitet må kun tilbydes kunder, som også modtager virksomhedens hovedydelse.</w:t>
      </w:r>
    </w:p>
    <w:p w14:paraId="436A6164" w14:textId="77777777" w:rsidR="00CD23C3" w:rsidRPr="00796736" w:rsidRDefault="00CD23C3" w:rsidP="00A802A5">
      <w:pPr>
        <w:spacing w:line="360" w:lineRule="auto"/>
        <w:rPr>
          <w:rFonts w:ascii="Times New Roman" w:hAnsi="Times New Roman" w:cs="Times New Roman"/>
          <w:sz w:val="24"/>
          <w:szCs w:val="24"/>
        </w:rPr>
      </w:pPr>
    </w:p>
    <w:p w14:paraId="632702E8"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Forordningens artikel 6, stk. 1, er enslydende med 4. hvidvaskdirektivs artikel 2, stk. 3, hvorfor det foreslås at videreføre Finanstilsynets bemyndigelse til at udstede en bekendtgørelse, og hvor betingelserne i bekendtgørelsen videreføres, idet der er tale om samme kumulative betingelser for hvornår en juridiske eller fysiske person, helt eller delvist ikke finder anvendelse.</w:t>
      </w:r>
    </w:p>
    <w:p w14:paraId="6AA7665B" w14:textId="77777777" w:rsidR="00CD23C3" w:rsidRPr="00796736" w:rsidRDefault="00CD23C3" w:rsidP="00A802A5">
      <w:pPr>
        <w:spacing w:line="360" w:lineRule="auto"/>
        <w:rPr>
          <w:rFonts w:ascii="Times New Roman" w:hAnsi="Times New Roman" w:cs="Times New Roman"/>
          <w:sz w:val="24"/>
          <w:szCs w:val="24"/>
        </w:rPr>
      </w:pPr>
    </w:p>
    <w:p w14:paraId="330E965D"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medføre, at Finanstilsynet kan undtage virksomheder og personer helt eller delvist fra bestemmelserne i hvidvaskforordningen, således at de juridiske og fysiske personer f.eks. kan undtages fra kravene om kundekendskabsprocedurer. </w:t>
      </w:r>
    </w:p>
    <w:p w14:paraId="51AB3770" w14:textId="77777777" w:rsidR="00CD23C3" w:rsidRPr="00796736" w:rsidRDefault="00CD23C3" w:rsidP="00A802A5">
      <w:pPr>
        <w:spacing w:line="360" w:lineRule="auto"/>
        <w:rPr>
          <w:rFonts w:ascii="Times New Roman" w:hAnsi="Times New Roman" w:cs="Times New Roman"/>
          <w:sz w:val="24"/>
          <w:szCs w:val="24"/>
        </w:rPr>
      </w:pPr>
    </w:p>
    <w:p w14:paraId="307AB2BC"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noget nyt foreslås det, at Finanstilsynet i bekendtgørelsen også skal kunne undtage virksomheder og personer helt eller delvist fra kravene i hvidvaskforordningen om underretningspligt ved mistanke om, at en transaktion har tilknytning til hvidvask eller finansiering af terrorisme.</w:t>
      </w:r>
    </w:p>
    <w:p w14:paraId="6E27911D" w14:textId="77777777" w:rsidR="00CD23C3" w:rsidRPr="00796736" w:rsidRDefault="00CD23C3" w:rsidP="00A802A5">
      <w:pPr>
        <w:spacing w:line="360" w:lineRule="auto"/>
        <w:rPr>
          <w:rFonts w:ascii="Times New Roman" w:hAnsi="Times New Roman" w:cs="Times New Roman"/>
          <w:sz w:val="24"/>
          <w:szCs w:val="24"/>
        </w:rPr>
      </w:pPr>
    </w:p>
    <w:p w14:paraId="7EF6F5ED" w14:textId="7BD69CCD"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bemyndigelse vil kunne anvendes til at udstede en ny bekendtgørelse om hvilke virksomheder og personer, der kan undtages fra lov om forebyggende foranstaltninger mod hvidvask og finansiering af terrorisme. Indtil da foreslås det i lovforslagets §</w:t>
      </w:r>
      <w:r w:rsidR="00C96C71" w:rsidRPr="00796736">
        <w:rPr>
          <w:rFonts w:ascii="Times New Roman" w:hAnsi="Times New Roman" w:cs="Times New Roman"/>
          <w:sz w:val="24"/>
          <w:szCs w:val="24"/>
        </w:rPr>
        <w:t xml:space="preserve"> 1, stk. 7</w:t>
      </w:r>
      <w:r w:rsidRPr="00796736">
        <w:rPr>
          <w:rFonts w:ascii="Times New Roman" w:hAnsi="Times New Roman" w:cs="Times New Roman"/>
          <w:sz w:val="24"/>
          <w:szCs w:val="24"/>
        </w:rPr>
        <w:t>, at den gældende bekendtgørelse videreføres.</w:t>
      </w:r>
    </w:p>
    <w:p w14:paraId="6345709E" w14:textId="77777777" w:rsidR="00CD23C3" w:rsidRPr="00796736" w:rsidRDefault="00CD23C3" w:rsidP="00A802A5">
      <w:pPr>
        <w:spacing w:line="360" w:lineRule="auto"/>
        <w:rPr>
          <w:rFonts w:ascii="Times New Roman" w:hAnsi="Times New Roman" w:cs="Times New Roman"/>
          <w:sz w:val="24"/>
          <w:szCs w:val="24"/>
        </w:rPr>
      </w:pPr>
    </w:p>
    <w:p w14:paraId="79FE5069" w14:textId="77777777" w:rsidR="00CD23C3" w:rsidRPr="00796736" w:rsidRDefault="00CD23C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forbindelse med udmøntningen af bestemmelsen skal Finanstilsynet efter forordningens artikel 6, stk. 6, indføre risikobaserede foranstaltninger for at sikre, at undtagelser ikke misbruges. En foranstaltning kan f.eks. være en forpligtelse for virksomheder eller personer, der anvender undtagelsen, til at informere relevante myndighed om omfanget af anvendelsen af undtagelsen. Det foreslås ligeledes, at sådanne informationsforpligtelser vil blive fastsat på bekendtgørelsesniveau.</w:t>
      </w:r>
    </w:p>
    <w:p w14:paraId="2C5FC561" w14:textId="77777777" w:rsidR="00CD23C3" w:rsidRPr="00796736" w:rsidRDefault="00CD23C3" w:rsidP="00A802A5">
      <w:pPr>
        <w:spacing w:line="360" w:lineRule="auto"/>
        <w:rPr>
          <w:rFonts w:ascii="Times New Roman" w:hAnsi="Times New Roman" w:cs="Times New Roman"/>
          <w:sz w:val="24"/>
          <w:szCs w:val="24"/>
        </w:rPr>
      </w:pPr>
    </w:p>
    <w:p w14:paraId="497D67A9" w14:textId="4421C429" w:rsidR="001647CA" w:rsidRPr="00796736" w:rsidRDefault="001647CA"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stk. 8</w:t>
      </w:r>
      <w:r w:rsidRPr="00796736">
        <w:rPr>
          <w:rFonts w:ascii="Times New Roman" w:eastAsia="Times New Roman" w:hAnsi="Times New Roman" w:cs="Times New Roman"/>
          <w:sz w:val="24"/>
          <w:szCs w:val="24"/>
          <w:lang w:eastAsia="da-DK"/>
        </w:rPr>
        <w:t>, at skatte- og vækstministeren, når det på baggrund af en risikovurdering vurderes nødvendigt for at forebygge hvidvask eller finansiering af terrorisme, kan fastsætte regler om</w:t>
      </w:r>
      <w:r w:rsidR="0098620D"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at hele eller dele af Europa-Parlamentets og Rådets forordning (EU) 2024/1624 finder anvendelse for virksomheder eller personer, som ikke er omfattet af stk. 1. Regler fastsat i medfør af 1. pkt. fastsættes i overensstemmelse med artikel 3 i Europa-Parlamentets og Rådets direktiv (EU) 2024/1640. </w:t>
      </w:r>
    </w:p>
    <w:p w14:paraId="6AFEA9EA" w14:textId="77777777" w:rsidR="001647CA" w:rsidRPr="00796736" w:rsidRDefault="001647CA" w:rsidP="00A802A5">
      <w:pPr>
        <w:spacing w:line="360" w:lineRule="auto"/>
        <w:rPr>
          <w:rFonts w:ascii="Times New Roman" w:eastAsia="Times New Roman" w:hAnsi="Times New Roman" w:cs="Times New Roman"/>
          <w:sz w:val="24"/>
          <w:szCs w:val="24"/>
          <w:lang w:eastAsia="da-DK"/>
        </w:rPr>
      </w:pPr>
    </w:p>
    <w:p w14:paraId="46C968F3" w14:textId="5803421F" w:rsidR="001647CA" w:rsidRPr="00796736" w:rsidRDefault="001647CA"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implementerer</w:t>
      </w:r>
      <w:r w:rsidR="0053350E"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artikel 3, stk. 1</w:t>
      </w:r>
      <w:r w:rsidR="0053350E" w:rsidRPr="00796736">
        <w:rPr>
          <w:rFonts w:ascii="Times New Roman" w:eastAsia="Times New Roman" w:hAnsi="Times New Roman" w:cs="Times New Roman"/>
          <w:sz w:val="24"/>
          <w:szCs w:val="24"/>
          <w:lang w:eastAsia="da-DK"/>
        </w:rPr>
        <w:t>, 6. hvidvaskdirektiv</w:t>
      </w:r>
      <w:r w:rsidRPr="00796736">
        <w:rPr>
          <w:rFonts w:ascii="Times New Roman" w:eastAsia="Times New Roman" w:hAnsi="Times New Roman" w:cs="Times New Roman"/>
          <w:sz w:val="24"/>
          <w:szCs w:val="24"/>
          <w:lang w:eastAsia="da-DK"/>
        </w:rPr>
        <w:t>.</w:t>
      </w:r>
    </w:p>
    <w:p w14:paraId="37CBFE55" w14:textId="77777777" w:rsidR="001647CA" w:rsidRPr="00796736" w:rsidRDefault="001647CA" w:rsidP="00A802A5">
      <w:pPr>
        <w:spacing w:line="360" w:lineRule="auto"/>
        <w:rPr>
          <w:rFonts w:ascii="Times New Roman" w:eastAsia="Times New Roman" w:hAnsi="Times New Roman" w:cs="Times New Roman"/>
          <w:sz w:val="24"/>
          <w:szCs w:val="24"/>
          <w:lang w:eastAsia="da-DK"/>
        </w:rPr>
      </w:pPr>
    </w:p>
    <w:p w14:paraId="27E8C45E" w14:textId="4CE6BF4F" w:rsidR="001647CA" w:rsidRPr="00796736" w:rsidRDefault="001647CA" w:rsidP="00A802A5">
      <w:pPr>
        <w:spacing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sz w:val="24"/>
          <w:szCs w:val="24"/>
        </w:rPr>
        <w:t>Formålet er at sikre, at reglerne kan udvides til yderligere aktiviteter eller aktører, hvor der identificeres en forhøjet risiko, men som ikke allerede er omfattet af lovens anvendelsesområde. Det foreslås desuden, at regler fastsat i medfør af bemyndigelsen skal ske i overensstemmelse med artikel 3 i Europa-Parlamentets og Rådets direktiv (EU) 2024/1640. Herved sikres, at en eventuel udvidelse af anvendelsesområdet</w:t>
      </w:r>
      <w:r w:rsidR="0098620D" w:rsidRPr="00796736">
        <w:rPr>
          <w:rFonts w:ascii="Times New Roman" w:eastAsia="Calibri" w:hAnsi="Times New Roman" w:cs="Times New Roman"/>
          <w:sz w:val="24"/>
          <w:szCs w:val="24"/>
        </w:rPr>
        <w:t xml:space="preserve"> vil</w:t>
      </w:r>
      <w:r w:rsidRPr="00796736">
        <w:rPr>
          <w:rFonts w:ascii="Times New Roman" w:eastAsia="Calibri" w:hAnsi="Times New Roman" w:cs="Times New Roman"/>
          <w:sz w:val="24"/>
          <w:szCs w:val="24"/>
        </w:rPr>
        <w:t xml:space="preserve"> ske inden for de rammer og kriterier, der er fastsat på EU-niveau.</w:t>
      </w:r>
    </w:p>
    <w:p w14:paraId="77A204F0" w14:textId="77777777" w:rsidR="00CD23C3" w:rsidRPr="00796736" w:rsidRDefault="00CD23C3" w:rsidP="00A802A5">
      <w:pPr>
        <w:spacing w:line="360" w:lineRule="auto"/>
        <w:rPr>
          <w:rFonts w:ascii="Times New Roman" w:hAnsi="Times New Roman" w:cs="Times New Roman"/>
          <w:sz w:val="24"/>
          <w:szCs w:val="24"/>
        </w:rPr>
      </w:pPr>
    </w:p>
    <w:p w14:paraId="7CF376C5" w14:textId="41AE2D2B" w:rsidR="00977063" w:rsidRPr="00796736" w:rsidRDefault="0097706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9</w:t>
      </w:r>
      <w:r w:rsidRPr="00796736">
        <w:rPr>
          <w:rFonts w:ascii="Times New Roman" w:eastAsia="Times New Roman" w:hAnsi="Times New Roman" w:cs="Times New Roman"/>
          <w:color w:val="000000" w:themeColor="text1"/>
          <w:sz w:val="24"/>
          <w:szCs w:val="24"/>
        </w:rPr>
        <w:t xml:space="preserve">, at </w:t>
      </w:r>
      <w:r w:rsidRPr="00796736">
        <w:rPr>
          <w:rFonts w:ascii="Times New Roman" w:eastAsia="Times New Roman" w:hAnsi="Times New Roman" w:cs="Times New Roman"/>
          <w:sz w:val="24"/>
          <w:szCs w:val="24"/>
          <w:lang w:eastAsia="da-DK"/>
        </w:rPr>
        <w:t xml:space="preserve">skatte- og vækstministeren </w:t>
      </w:r>
      <w:r w:rsidRPr="00796736">
        <w:rPr>
          <w:rFonts w:ascii="Times New Roman" w:eastAsia="Times New Roman" w:hAnsi="Times New Roman" w:cs="Times New Roman"/>
          <w:color w:val="000000" w:themeColor="text1"/>
          <w:sz w:val="24"/>
          <w:szCs w:val="24"/>
        </w:rPr>
        <w:t>kan fastsætte regler om, at hvidvaskforordningen og denne lov helt eller delvis</w:t>
      </w:r>
      <w:r w:rsidR="00C96C71" w:rsidRPr="00796736">
        <w:rPr>
          <w:rFonts w:ascii="Times New Roman" w:eastAsia="Times New Roman" w:hAnsi="Times New Roman" w:cs="Times New Roman"/>
          <w:color w:val="000000" w:themeColor="text1"/>
          <w:sz w:val="24"/>
          <w:szCs w:val="24"/>
        </w:rPr>
        <w:t>t</w:t>
      </w:r>
      <w:r w:rsidRPr="00796736">
        <w:rPr>
          <w:rFonts w:ascii="Times New Roman" w:eastAsia="Times New Roman" w:hAnsi="Times New Roman" w:cs="Times New Roman"/>
          <w:color w:val="000000" w:themeColor="text1"/>
          <w:sz w:val="24"/>
          <w:szCs w:val="24"/>
        </w:rPr>
        <w:t xml:space="preserve"> ikke finder anvendelse for udbydere af spil, der udbyder spil på et område, der har en dokumenteret lav risiko for hvidvask og finansiering af terrorisme, jf. dog stk. 10.</w:t>
      </w:r>
    </w:p>
    <w:p w14:paraId="232062CC" w14:textId="77777777" w:rsidR="00977063" w:rsidRPr="00796736" w:rsidRDefault="00977063" w:rsidP="00A802A5">
      <w:pPr>
        <w:spacing w:line="360" w:lineRule="auto"/>
        <w:rPr>
          <w:rFonts w:ascii="Times New Roman" w:eastAsia="Times New Roman" w:hAnsi="Times New Roman" w:cs="Times New Roman"/>
          <w:color w:val="000000" w:themeColor="text1"/>
          <w:sz w:val="24"/>
          <w:szCs w:val="24"/>
        </w:rPr>
      </w:pPr>
    </w:p>
    <w:p w14:paraId="2C7AF012" w14:textId="075702CD" w:rsidR="00977063" w:rsidRPr="00796736" w:rsidRDefault="0097706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Efter den gældende hvidvasklovs § 1, stk. 8, kan </w:t>
      </w:r>
      <w:r w:rsidR="00922AA1" w:rsidRPr="00796736">
        <w:rPr>
          <w:rFonts w:ascii="Times New Roman" w:eastAsia="Times New Roman" w:hAnsi="Times New Roman" w:cs="Times New Roman"/>
          <w:color w:val="000000" w:themeColor="text1"/>
          <w:sz w:val="24"/>
          <w:szCs w:val="24"/>
        </w:rPr>
        <w:t>s</w:t>
      </w:r>
      <w:r w:rsidRPr="00796736">
        <w:rPr>
          <w:rFonts w:ascii="Times New Roman" w:eastAsia="Times New Roman" w:hAnsi="Times New Roman" w:cs="Times New Roman"/>
          <w:color w:val="000000" w:themeColor="text1"/>
          <w:sz w:val="24"/>
          <w:szCs w:val="24"/>
        </w:rPr>
        <w:t>katteministeren fastsætte regler om, at loven helt eller delvis ikke finder anvendelse for spil, dog ikke kasinoer, hvor der vurderes at være en begrænset risiko for hvidvask eller finansiering af terrorisme.</w:t>
      </w:r>
    </w:p>
    <w:p w14:paraId="3C20A70E" w14:textId="77777777" w:rsidR="00CD23C3" w:rsidRPr="00796736" w:rsidRDefault="00CD23C3" w:rsidP="00A802A5">
      <w:pPr>
        <w:spacing w:line="360" w:lineRule="auto"/>
        <w:rPr>
          <w:rFonts w:ascii="Times New Roman" w:eastAsia="Times New Roman" w:hAnsi="Times New Roman" w:cs="Times New Roman"/>
          <w:color w:val="000000" w:themeColor="text1"/>
          <w:sz w:val="24"/>
          <w:szCs w:val="24"/>
        </w:rPr>
      </w:pPr>
    </w:p>
    <w:p w14:paraId="10DFA604" w14:textId="29F4F9E5" w:rsidR="00977063" w:rsidRPr="00796736" w:rsidRDefault="0097706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Den foreslåede bestemmelse</w:t>
      </w:r>
      <w:r w:rsidR="0098620D" w:rsidRPr="00796736">
        <w:rPr>
          <w:rFonts w:ascii="Times New Roman" w:eastAsia="Times New Roman" w:hAnsi="Times New Roman" w:cs="Times New Roman"/>
          <w:color w:val="000000" w:themeColor="text1"/>
          <w:sz w:val="24"/>
          <w:szCs w:val="24"/>
        </w:rPr>
        <w:t xml:space="preserve"> vil</w:t>
      </w:r>
      <w:r w:rsidRPr="00796736">
        <w:rPr>
          <w:rFonts w:ascii="Times New Roman" w:eastAsia="Times New Roman" w:hAnsi="Times New Roman" w:cs="Times New Roman"/>
          <w:color w:val="000000" w:themeColor="text1"/>
          <w:sz w:val="24"/>
          <w:szCs w:val="24"/>
        </w:rPr>
        <w:t xml:space="preserve"> udmønte det nationale råderum i hvidvaskforordningens artikel 4, stk. 1, 1. afsnit. Efter forordningens artikel 4, stk. 1, 1. afsnit, kan medlemsstaterne beslutte at undtage udbydere af spiltjenester helt eller delvist fra forordningens krav, hvis undtagelsen sker på grundlag af en dokumenteret lav risiko, som karakteren og, hvor det er relevant, forretningsomfanget af sådanne tjenester udgør. </w:t>
      </w:r>
    </w:p>
    <w:p w14:paraId="135E28EB" w14:textId="77777777" w:rsidR="00CD23C3" w:rsidRPr="00796736" w:rsidRDefault="00CD23C3" w:rsidP="00A802A5">
      <w:pPr>
        <w:spacing w:line="360" w:lineRule="auto"/>
        <w:rPr>
          <w:rFonts w:ascii="Times New Roman" w:eastAsia="Times New Roman" w:hAnsi="Times New Roman" w:cs="Times New Roman"/>
          <w:color w:val="000000" w:themeColor="text1"/>
          <w:sz w:val="24"/>
          <w:szCs w:val="24"/>
        </w:rPr>
      </w:pPr>
    </w:p>
    <w:p w14:paraId="1E546C7B" w14:textId="5D75C048" w:rsidR="00CD23C3" w:rsidRPr="00796736" w:rsidRDefault="00CD23C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fremgår bl.a. af</w:t>
      </w:r>
      <w:r w:rsidR="0098620D" w:rsidRPr="00796736">
        <w:rPr>
          <w:rFonts w:ascii="Times New Roman" w:eastAsia="Times New Roman" w:hAnsi="Times New Roman" w:cs="Times New Roman"/>
          <w:color w:val="000000" w:themeColor="text1"/>
          <w:sz w:val="24"/>
          <w:szCs w:val="24"/>
        </w:rPr>
        <w:t xml:space="preserve"> hvidvaskforordningnes</w:t>
      </w:r>
      <w:r w:rsidRPr="00796736">
        <w:rPr>
          <w:rFonts w:ascii="Times New Roman" w:eastAsia="Times New Roman" w:hAnsi="Times New Roman" w:cs="Times New Roman"/>
          <w:color w:val="000000" w:themeColor="text1"/>
          <w:sz w:val="24"/>
          <w:szCs w:val="24"/>
        </w:rPr>
        <w:t xml:space="preserve"> præambelbetragtning nr. 63, at ”(f)or at sikre en forholdsmæssig og risikobaseret anvendelse af denne forordning bør det være muligt for medlemsstaterne at identificere spiltjenester, der er forbundet med lav risiko for hvidvask af penge og finansiering af terrorisme, såsom statslige eller private lotterier eller statsadministrerede spilaktiviteter, og beslutte ikke at anvende alle eller nogle af kravene i denne forordning på dem.” </w:t>
      </w:r>
    </w:p>
    <w:p w14:paraId="27D26B80" w14:textId="77777777" w:rsidR="00CD23C3" w:rsidRPr="00796736" w:rsidRDefault="00CD23C3" w:rsidP="00A802A5">
      <w:pPr>
        <w:spacing w:line="360" w:lineRule="auto"/>
        <w:rPr>
          <w:rFonts w:ascii="Times New Roman" w:eastAsia="Times New Roman" w:hAnsi="Times New Roman" w:cs="Times New Roman"/>
          <w:color w:val="000000" w:themeColor="text1"/>
          <w:sz w:val="24"/>
          <w:szCs w:val="24"/>
        </w:rPr>
      </w:pPr>
    </w:p>
    <w:p w14:paraId="2F40FCBA" w14:textId="77777777" w:rsidR="0098620D" w:rsidRPr="00796736" w:rsidRDefault="0098620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 xml:space="preserve">Det forudsættes, at når det i hvidvaskforordningen fremgår, at </w:t>
      </w:r>
      <w:r w:rsidRPr="00796736">
        <w:rPr>
          <w:rFonts w:ascii="Times New Roman" w:eastAsia="Times New Roman" w:hAnsi="Times New Roman" w:cs="Times New Roman"/>
          <w:sz w:val="24"/>
          <w:szCs w:val="24"/>
        </w:rPr>
        <w:t xml:space="preserve">»udbydere af spiltjenester« </w:t>
      </w:r>
      <w:r w:rsidRPr="00796736">
        <w:rPr>
          <w:rFonts w:ascii="Times New Roman" w:eastAsia="Times New Roman" w:hAnsi="Times New Roman" w:cs="Times New Roman"/>
          <w:color w:val="000000" w:themeColor="text1"/>
          <w:sz w:val="24"/>
          <w:szCs w:val="24"/>
        </w:rPr>
        <w:t xml:space="preserve">kan undtages fra forordningens krav, skal det forstås således, at udbyderen helt eller delvist kan undtages, hvis udbyderen udbyder et spil på et område, der udgør en dokumenteret lav risiko. Dette lægges til grund, da det er selve spilområdet, der kan udgøre en dokumenteret hvidvaskrisiko og ikke udbyderen af spillet. En udbyder af spil vil derudover kunne udbyde forskellige spil, som kan udgøre forskellige hvidvaskrisici. Dette vil betyde, at en udbyder af spil kun vil kunne være helt eller delvist undtaget for forpligtelser efter hvidvaskforordningen og </w:t>
      </w:r>
      <w:r w:rsidRPr="00796736">
        <w:rPr>
          <w:rFonts w:ascii="Times New Roman" w:eastAsia="Times New Roman" w:hAnsi="Times New Roman" w:cs="Times New Roman"/>
          <w:sz w:val="24"/>
          <w:szCs w:val="24"/>
        </w:rPr>
        <w:t>den foreslåede</w:t>
      </w:r>
      <w:r w:rsidRPr="00796736">
        <w:rPr>
          <w:rFonts w:ascii="Times New Roman" w:eastAsia="Times New Roman" w:hAnsi="Times New Roman" w:cs="Times New Roman"/>
          <w:color w:val="000000" w:themeColor="text1"/>
          <w:sz w:val="24"/>
          <w:szCs w:val="24"/>
        </w:rPr>
        <w:t xml:space="preserve"> lov for et spil på et område, hvor </w:t>
      </w:r>
      <w:r w:rsidRPr="00796736">
        <w:rPr>
          <w:rFonts w:ascii="Times New Roman" w:eastAsia="Times New Roman" w:hAnsi="Times New Roman" w:cs="Times New Roman"/>
          <w:sz w:val="24"/>
          <w:szCs w:val="24"/>
        </w:rPr>
        <w:t>der er en dokumenteret lav risiko for hvidvask eller finansiering af terrorisme.</w:t>
      </w:r>
    </w:p>
    <w:p w14:paraId="2411609B" w14:textId="77777777" w:rsidR="00CD23C3" w:rsidRPr="00796736" w:rsidRDefault="00CD23C3" w:rsidP="00A802A5">
      <w:pPr>
        <w:spacing w:line="360" w:lineRule="auto"/>
        <w:rPr>
          <w:rFonts w:ascii="Times New Roman" w:eastAsia="Times New Roman" w:hAnsi="Times New Roman" w:cs="Times New Roman"/>
          <w:color w:val="000000" w:themeColor="text1"/>
          <w:sz w:val="24"/>
          <w:szCs w:val="24"/>
        </w:rPr>
      </w:pPr>
    </w:p>
    <w:p w14:paraId="0E49F9BC" w14:textId="77777777" w:rsidR="0098620D" w:rsidRPr="00796736" w:rsidRDefault="0098620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Ved vurdering af, om spil på et område har en lav risiko for hvidvask og finansiering af terrorisme, vil der skulle tages hensyn til trusler om og sårbarheder i forhold til hvidvask af penge og finansiering af terrorisme og svagheder samt afbødende faktorer for spilområdet. </w:t>
      </w:r>
    </w:p>
    <w:p w14:paraId="46FE6A47" w14:textId="77777777" w:rsidR="0098620D" w:rsidRPr="00796736" w:rsidRDefault="0098620D" w:rsidP="00A802A5">
      <w:pPr>
        <w:spacing w:line="360" w:lineRule="auto"/>
        <w:rPr>
          <w:rFonts w:ascii="Times New Roman" w:eastAsia="Times New Roman" w:hAnsi="Times New Roman" w:cs="Times New Roman"/>
          <w:sz w:val="24"/>
          <w:szCs w:val="24"/>
        </w:rPr>
      </w:pPr>
    </w:p>
    <w:p w14:paraId="293FFC7D" w14:textId="77777777" w:rsidR="0098620D" w:rsidRPr="00796736" w:rsidRDefault="0098620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vil ligeledes ved vurderingen skulle tages hensyn til de risici, der er forbundet med transaktioner, herunder transaktionernes omfang og de anvendte betalingsmetoder. Der vil også skulle tages hensyn til det geografiske område, hvorfra spillet udbydes, herunder dets grænseoverskridende dimension og tilgængelighed fra andre medlemsstater eller tredjelande. Medlemsstaterne skal tage hensyn til resultaterne af den risikovurdering på EU-plan, som Kommissionen har foretaget i henhold til artikel 7 i 6. hvidvaskdirektiv.  </w:t>
      </w:r>
    </w:p>
    <w:p w14:paraId="279A25BF" w14:textId="77777777" w:rsidR="00CD23C3" w:rsidRPr="00796736" w:rsidRDefault="00CD23C3" w:rsidP="00A802A5">
      <w:pPr>
        <w:spacing w:line="360" w:lineRule="auto"/>
        <w:rPr>
          <w:rFonts w:ascii="Times New Roman" w:eastAsia="Times New Roman" w:hAnsi="Times New Roman" w:cs="Times New Roman"/>
          <w:sz w:val="24"/>
          <w:szCs w:val="24"/>
        </w:rPr>
      </w:pPr>
    </w:p>
    <w:p w14:paraId="5FA6CA28" w14:textId="4DF89084" w:rsidR="00CD23C3" w:rsidRPr="00796736" w:rsidRDefault="00CD23C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herudover af</w:t>
      </w:r>
      <w:r w:rsidR="0098620D" w:rsidRPr="00796736">
        <w:rPr>
          <w:rFonts w:ascii="Times New Roman" w:eastAsia="Times New Roman" w:hAnsi="Times New Roman" w:cs="Times New Roman"/>
          <w:sz w:val="24"/>
          <w:szCs w:val="24"/>
        </w:rPr>
        <w:t xml:space="preserve"> hvidvaskforordningens</w:t>
      </w:r>
      <w:r w:rsidRPr="00796736">
        <w:rPr>
          <w:rFonts w:ascii="Times New Roman" w:eastAsia="Times New Roman" w:hAnsi="Times New Roman" w:cs="Times New Roman"/>
          <w:sz w:val="24"/>
          <w:szCs w:val="24"/>
        </w:rPr>
        <w:t xml:space="preserve"> præambelbetragtning nr. 63, at ”(i) lyset af de risici for folkesundheden eller kriminelle handlinger, der kan være forbundet med spil, kan nationale foranstaltninger, der regulerer, hvordan spillet organiseres, drives og administreres, når de reelt forfølger mål vedrørende den offentlige orden, den offentlige sikkerhed eller folkesundheden, bidrage til at mindske risiciene forbundet med denne aktivitet.”</w:t>
      </w:r>
    </w:p>
    <w:p w14:paraId="1CA63C19" w14:textId="77777777" w:rsidR="00CD23C3" w:rsidRPr="00796736" w:rsidRDefault="00CD23C3" w:rsidP="00A802A5">
      <w:pPr>
        <w:spacing w:line="360" w:lineRule="auto"/>
        <w:rPr>
          <w:rFonts w:ascii="Times New Roman" w:eastAsia="Times New Roman" w:hAnsi="Times New Roman" w:cs="Times New Roman"/>
          <w:sz w:val="24"/>
          <w:szCs w:val="24"/>
        </w:rPr>
      </w:pPr>
    </w:p>
    <w:p w14:paraId="5FB42C6D" w14:textId="77777777" w:rsidR="0098620D" w:rsidRPr="00796736" w:rsidRDefault="0098620D" w:rsidP="00A802A5">
      <w:pPr>
        <w:spacing w:line="360" w:lineRule="auto"/>
        <w:rPr>
          <w:rFonts w:ascii="Times New Roman" w:eastAsia="Times New Roman" w:hAnsi="Times New Roman" w:cs="Times New Roman"/>
          <w:sz w:val="24"/>
          <w:szCs w:val="24"/>
        </w:rPr>
      </w:pPr>
    </w:p>
    <w:p w14:paraId="1E194211" w14:textId="7D3CB0D7" w:rsidR="0098620D" w:rsidRPr="00796736" w:rsidRDefault="0098620D"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Hvilke spil på et område, der udgør en dokumenteret lav risiko, er ikke statisk. Det kan ændre sig løbende på baggrund af f.eks. ny lovgivning eller nye anbefalinger. Det vil således være muligt, at et spil på et område, der hidtil har udgjort en lav risiko, på et senere tidspunkt ikke længere vurderes at udgøre en lav risiko, hvilket vil medføre, at udbydere af det pågældende spil omfattes fuldt ud af hvidvaskforordningens og den foreslåede lovs krav.</w:t>
      </w:r>
    </w:p>
    <w:p w14:paraId="06F57298" w14:textId="77777777" w:rsidR="00922AA1" w:rsidRPr="00796736" w:rsidRDefault="00922AA1" w:rsidP="00A802A5">
      <w:pPr>
        <w:spacing w:line="360" w:lineRule="auto"/>
        <w:rPr>
          <w:rFonts w:ascii="Times New Roman" w:eastAsia="Times New Roman" w:hAnsi="Times New Roman" w:cs="Times New Roman"/>
          <w:color w:val="000000" w:themeColor="text1"/>
          <w:sz w:val="24"/>
          <w:szCs w:val="24"/>
        </w:rPr>
      </w:pPr>
    </w:p>
    <w:p w14:paraId="1139F2A2" w14:textId="77777777"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Spillemyndigheden kan undtage udbydere af spil helt eller delvist fra bestemmelserne i hvidvaskforordningen, hvis der er en dokumenteret lav risiko for hvidvask af penge og finansiering af terrorisme. </w:t>
      </w:r>
    </w:p>
    <w:p w14:paraId="771DFA47" w14:textId="77777777" w:rsidR="00922AA1" w:rsidRPr="00796736" w:rsidRDefault="00922AA1" w:rsidP="00A802A5">
      <w:pPr>
        <w:spacing w:line="360" w:lineRule="auto"/>
        <w:rPr>
          <w:rFonts w:ascii="Times New Roman" w:eastAsia="Times New Roman" w:hAnsi="Times New Roman" w:cs="Times New Roman"/>
          <w:color w:val="000000" w:themeColor="text1"/>
          <w:sz w:val="24"/>
          <w:szCs w:val="24"/>
        </w:rPr>
      </w:pPr>
    </w:p>
    <w:p w14:paraId="5417764B" w14:textId="77777777" w:rsidR="00922AA1" w:rsidRPr="00796736" w:rsidRDefault="00922AA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bemyndigelse vil kunne anvendes til at udstede en ny bekendtgørelse om, hvilke spilområder der kan undtages.</w:t>
      </w:r>
    </w:p>
    <w:p w14:paraId="6D874F0A" w14:textId="77777777" w:rsidR="00977063" w:rsidRPr="00796736" w:rsidRDefault="00977063" w:rsidP="00A802A5">
      <w:pPr>
        <w:spacing w:line="360" w:lineRule="auto"/>
        <w:rPr>
          <w:rFonts w:ascii="Times New Roman" w:eastAsia="Times New Roman" w:hAnsi="Times New Roman" w:cs="Times New Roman"/>
          <w:color w:val="000000" w:themeColor="text1"/>
          <w:sz w:val="24"/>
          <w:szCs w:val="24"/>
        </w:rPr>
      </w:pPr>
    </w:p>
    <w:p w14:paraId="7AF02A4A" w14:textId="77777777" w:rsidR="00977063" w:rsidRPr="00796736" w:rsidRDefault="0097706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iCs/>
          <w:color w:val="000000" w:themeColor="text1"/>
          <w:sz w:val="24"/>
          <w:szCs w:val="24"/>
        </w:rPr>
        <w:t>Det foreslås i</w:t>
      </w:r>
      <w:r w:rsidRPr="00796736">
        <w:rPr>
          <w:rFonts w:ascii="Times New Roman" w:eastAsia="Times New Roman" w:hAnsi="Times New Roman" w:cs="Times New Roman"/>
          <w:i/>
          <w:color w:val="000000" w:themeColor="text1"/>
          <w:sz w:val="24"/>
          <w:szCs w:val="24"/>
        </w:rPr>
        <w:t xml:space="preserve"> stk. 10,</w:t>
      </w:r>
      <w:r w:rsidRPr="00796736">
        <w:rPr>
          <w:rFonts w:ascii="Times New Roman" w:eastAsia="Times New Roman" w:hAnsi="Times New Roman" w:cs="Times New Roman"/>
          <w:iCs/>
          <w:color w:val="000000" w:themeColor="text1"/>
          <w:sz w:val="24"/>
          <w:szCs w:val="24"/>
        </w:rPr>
        <w:t xml:space="preserve"> at</w:t>
      </w:r>
      <w:r w:rsidRPr="00796736">
        <w:rPr>
          <w:rFonts w:ascii="Times New Roman" w:eastAsia="Times New Roman" w:hAnsi="Times New Roman" w:cs="Times New Roman"/>
          <w:color w:val="000000" w:themeColor="text1"/>
          <w:sz w:val="24"/>
          <w:szCs w:val="24"/>
        </w:rPr>
        <w:t xml:space="preserve"> kasinoer og udbydere af spil, hvis hovedaktivitet er at udbyde sportsvæddemål eller onlinespil, ikke kan undtages, medmindre der er tale om et statsligt udbud af online lotteri.</w:t>
      </w:r>
    </w:p>
    <w:p w14:paraId="6A935C3B" w14:textId="77777777" w:rsidR="00977063" w:rsidRPr="00796736" w:rsidRDefault="00977063" w:rsidP="00A802A5">
      <w:pPr>
        <w:spacing w:line="360" w:lineRule="auto"/>
        <w:rPr>
          <w:rFonts w:ascii="Times New Roman" w:eastAsia="Times New Roman" w:hAnsi="Times New Roman" w:cs="Times New Roman"/>
          <w:color w:val="000000" w:themeColor="text1"/>
          <w:sz w:val="24"/>
          <w:szCs w:val="24"/>
        </w:rPr>
      </w:pPr>
    </w:p>
    <w:p w14:paraId="32462D4F" w14:textId="68DCA31B" w:rsidR="00977063" w:rsidRPr="00796736" w:rsidRDefault="0097706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Efter den gældende hvidvasklovs § 1, stk. 8, kan </w:t>
      </w:r>
      <w:r w:rsidR="00922AA1" w:rsidRPr="00796736">
        <w:rPr>
          <w:rFonts w:ascii="Times New Roman" w:eastAsia="Times New Roman" w:hAnsi="Times New Roman" w:cs="Times New Roman"/>
          <w:color w:val="000000" w:themeColor="text1"/>
          <w:sz w:val="24"/>
          <w:szCs w:val="24"/>
        </w:rPr>
        <w:t>s</w:t>
      </w:r>
      <w:r w:rsidRPr="00796736">
        <w:rPr>
          <w:rFonts w:ascii="Times New Roman" w:eastAsia="Times New Roman" w:hAnsi="Times New Roman" w:cs="Times New Roman"/>
          <w:color w:val="000000" w:themeColor="text1"/>
          <w:sz w:val="24"/>
          <w:szCs w:val="24"/>
        </w:rPr>
        <w:t>katte</w:t>
      </w:r>
      <w:r w:rsidR="0098620D" w:rsidRPr="00796736">
        <w:rPr>
          <w:rFonts w:ascii="Times New Roman" w:eastAsia="Times New Roman" w:hAnsi="Times New Roman" w:cs="Times New Roman"/>
          <w:color w:val="000000" w:themeColor="text1"/>
          <w:sz w:val="24"/>
          <w:szCs w:val="24"/>
        </w:rPr>
        <w:t>- og vækst</w:t>
      </w:r>
      <w:r w:rsidRPr="00796736">
        <w:rPr>
          <w:rFonts w:ascii="Times New Roman" w:eastAsia="Times New Roman" w:hAnsi="Times New Roman" w:cs="Times New Roman"/>
          <w:color w:val="000000" w:themeColor="text1"/>
          <w:sz w:val="24"/>
          <w:szCs w:val="24"/>
        </w:rPr>
        <w:t>ministeren fastsætte regler om, at loven helt eller delvis ikke finder anvendelse for spil, dog ikke kasinoer, hvor der vurderes at være en begrænset risiko for hvidvask eller finansiering af terrorisme.</w:t>
      </w:r>
    </w:p>
    <w:p w14:paraId="73D90768" w14:textId="77777777" w:rsidR="00DB523E" w:rsidRPr="00796736" w:rsidRDefault="00DB523E" w:rsidP="00A802A5">
      <w:pPr>
        <w:spacing w:line="360" w:lineRule="auto"/>
        <w:rPr>
          <w:rFonts w:ascii="Times New Roman" w:eastAsia="Times New Roman" w:hAnsi="Times New Roman" w:cs="Times New Roman"/>
          <w:color w:val="000000" w:themeColor="text1"/>
          <w:sz w:val="24"/>
          <w:szCs w:val="24"/>
        </w:rPr>
      </w:pPr>
    </w:p>
    <w:p w14:paraId="4CC37DB3" w14:textId="261EF830" w:rsidR="00DB523E" w:rsidRPr="00796736" w:rsidRDefault="00DB523E"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Den foreslåede </w:t>
      </w:r>
      <w:r w:rsidR="00922AA1" w:rsidRPr="00796736">
        <w:rPr>
          <w:rFonts w:ascii="Times New Roman" w:eastAsia="Times New Roman" w:hAnsi="Times New Roman" w:cs="Times New Roman"/>
          <w:color w:val="000000" w:themeColor="text1"/>
          <w:sz w:val="24"/>
          <w:szCs w:val="24"/>
        </w:rPr>
        <w:t>§ 1</w:t>
      </w:r>
      <w:r w:rsidRPr="00796736">
        <w:rPr>
          <w:rFonts w:ascii="Times New Roman" w:eastAsia="Times New Roman" w:hAnsi="Times New Roman" w:cs="Times New Roman"/>
          <w:color w:val="000000" w:themeColor="text1"/>
          <w:sz w:val="24"/>
          <w:szCs w:val="24"/>
        </w:rPr>
        <w:t>, stk. 10,</w:t>
      </w:r>
      <w:r w:rsidR="004E0C20" w:rsidRPr="00796736">
        <w:rPr>
          <w:rFonts w:ascii="Times New Roman" w:eastAsia="Times New Roman" w:hAnsi="Times New Roman" w:cs="Times New Roman"/>
          <w:color w:val="000000" w:themeColor="text1"/>
          <w:sz w:val="24"/>
          <w:szCs w:val="24"/>
        </w:rPr>
        <w:t xml:space="preserve"> vil</w:t>
      </w:r>
      <w:r w:rsidRPr="00796736">
        <w:rPr>
          <w:rFonts w:ascii="Times New Roman" w:eastAsia="Times New Roman" w:hAnsi="Times New Roman" w:cs="Times New Roman"/>
          <w:color w:val="000000" w:themeColor="text1"/>
          <w:sz w:val="24"/>
          <w:szCs w:val="24"/>
        </w:rPr>
        <w:t xml:space="preserve"> udmønte hvidvaskforordningens artikel 4, stk. 1, 2. afsnit. Bestemmelsen</w:t>
      </w:r>
      <w:r w:rsidR="004E0C20" w:rsidRPr="00796736">
        <w:rPr>
          <w:rFonts w:ascii="Times New Roman" w:eastAsia="Times New Roman" w:hAnsi="Times New Roman" w:cs="Times New Roman"/>
          <w:color w:val="000000" w:themeColor="text1"/>
          <w:sz w:val="24"/>
          <w:szCs w:val="24"/>
        </w:rPr>
        <w:t xml:space="preserve"> vil</w:t>
      </w:r>
      <w:r w:rsidRPr="00796736">
        <w:rPr>
          <w:rFonts w:ascii="Times New Roman" w:eastAsia="Times New Roman" w:hAnsi="Times New Roman" w:cs="Times New Roman"/>
          <w:color w:val="000000" w:themeColor="text1"/>
          <w:sz w:val="24"/>
          <w:szCs w:val="24"/>
        </w:rPr>
        <w:t xml:space="preserve"> fastsætte, at kasinoer og udbydere af spil, hvis hovedaktivitet er at udbyde sportsvæddemål eller onlinespil, ikke kan undtages, medmindre der er tale om et statsligt udbud af online lotteri. </w:t>
      </w:r>
    </w:p>
    <w:p w14:paraId="02BA19B1" w14:textId="77777777" w:rsidR="00DB523E" w:rsidRPr="00796736" w:rsidRDefault="00DB523E" w:rsidP="00A802A5">
      <w:pPr>
        <w:spacing w:line="360" w:lineRule="auto"/>
        <w:rPr>
          <w:rFonts w:ascii="Times New Roman" w:eastAsia="Times New Roman" w:hAnsi="Times New Roman" w:cs="Times New Roman"/>
          <w:color w:val="000000" w:themeColor="text1"/>
          <w:sz w:val="24"/>
          <w:szCs w:val="24"/>
        </w:rPr>
      </w:pPr>
    </w:p>
    <w:p w14:paraId="212EE452" w14:textId="4B2A5762" w:rsidR="00922AA1" w:rsidRPr="00796736" w:rsidRDefault="00922AA1"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Bestemmelsen</w:t>
      </w:r>
      <w:r w:rsidR="0076316D" w:rsidRPr="00796736">
        <w:rPr>
          <w:rFonts w:ascii="Times New Roman" w:eastAsia="Times New Roman" w:hAnsi="Times New Roman" w:cs="Times New Roman"/>
          <w:color w:val="000000" w:themeColor="text1"/>
          <w:sz w:val="24"/>
          <w:szCs w:val="24"/>
        </w:rPr>
        <w:t xml:space="preserve"> vil</w:t>
      </w:r>
      <w:r w:rsidRPr="00796736">
        <w:rPr>
          <w:rFonts w:ascii="Times New Roman" w:eastAsia="Times New Roman" w:hAnsi="Times New Roman" w:cs="Times New Roman"/>
          <w:color w:val="000000" w:themeColor="text1"/>
          <w:sz w:val="24"/>
          <w:szCs w:val="24"/>
        </w:rPr>
        <w:t xml:space="preserve"> således </w:t>
      </w:r>
      <w:r w:rsidR="0076316D" w:rsidRPr="00796736">
        <w:rPr>
          <w:rFonts w:ascii="Times New Roman" w:eastAsia="Times New Roman" w:hAnsi="Times New Roman" w:cs="Times New Roman"/>
          <w:color w:val="000000" w:themeColor="text1"/>
          <w:sz w:val="24"/>
          <w:szCs w:val="24"/>
        </w:rPr>
        <w:t xml:space="preserve">indskrænke </w:t>
      </w:r>
      <w:r w:rsidRPr="00796736">
        <w:rPr>
          <w:rFonts w:ascii="Times New Roman" w:eastAsia="Times New Roman" w:hAnsi="Times New Roman" w:cs="Times New Roman"/>
          <w:color w:val="000000" w:themeColor="text1"/>
          <w:sz w:val="24"/>
          <w:szCs w:val="24"/>
        </w:rPr>
        <w:t>området for, hvilke udbydere af spil der helt eller delvist kan undtages fra de krav, der følger af hvidvaskforordningen og dette lovforslag.</w:t>
      </w:r>
    </w:p>
    <w:p w14:paraId="1DB42F14" w14:textId="4944FC6D" w:rsidR="00CD23C3" w:rsidRPr="00796736" w:rsidRDefault="00CD23C3" w:rsidP="00A802A5">
      <w:pPr>
        <w:spacing w:line="360" w:lineRule="auto"/>
        <w:rPr>
          <w:rFonts w:ascii="Times New Roman" w:eastAsia="Times New Roman" w:hAnsi="Times New Roman" w:cs="Times New Roman"/>
          <w:color w:val="000000" w:themeColor="text1"/>
          <w:sz w:val="24"/>
          <w:szCs w:val="24"/>
        </w:rPr>
      </w:pPr>
    </w:p>
    <w:p w14:paraId="247ED16F" w14:textId="06BEC5BF" w:rsidR="00CD23C3" w:rsidRPr="00796736" w:rsidRDefault="00CD23C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w:t>
      </w:r>
      <w:r w:rsidR="0076316D" w:rsidRPr="00796736">
        <w:rPr>
          <w:rFonts w:ascii="Times New Roman" w:eastAsia="Times New Roman" w:hAnsi="Times New Roman" w:cs="Times New Roman"/>
          <w:color w:val="000000" w:themeColor="text1"/>
          <w:sz w:val="24"/>
          <w:szCs w:val="24"/>
        </w:rPr>
        <w:t>t</w:t>
      </w:r>
      <w:r w:rsidRPr="00796736">
        <w:rPr>
          <w:rFonts w:ascii="Times New Roman" w:eastAsia="Times New Roman" w:hAnsi="Times New Roman" w:cs="Times New Roman"/>
          <w:color w:val="000000" w:themeColor="text1"/>
          <w:sz w:val="24"/>
          <w:szCs w:val="24"/>
        </w:rPr>
        <w:t xml:space="preserve"> foreslåede</w:t>
      </w:r>
      <w:r w:rsidR="00922AA1" w:rsidRPr="00796736">
        <w:rPr>
          <w:rFonts w:ascii="Times New Roman" w:eastAsia="Times New Roman" w:hAnsi="Times New Roman" w:cs="Times New Roman"/>
          <w:color w:val="000000" w:themeColor="text1"/>
          <w:sz w:val="24"/>
          <w:szCs w:val="24"/>
        </w:rPr>
        <w:t xml:space="preserve"> </w:t>
      </w:r>
      <w:r w:rsidR="0076316D" w:rsidRPr="00796736">
        <w:rPr>
          <w:rFonts w:ascii="Times New Roman" w:eastAsia="Times New Roman" w:hAnsi="Times New Roman" w:cs="Times New Roman"/>
          <w:color w:val="000000" w:themeColor="text1"/>
          <w:sz w:val="24"/>
          <w:szCs w:val="24"/>
        </w:rPr>
        <w:t xml:space="preserve">§ </w:t>
      </w:r>
      <w:r w:rsidR="00922AA1" w:rsidRPr="00796736">
        <w:rPr>
          <w:rFonts w:ascii="Times New Roman" w:eastAsia="Times New Roman" w:hAnsi="Times New Roman" w:cs="Times New Roman"/>
          <w:color w:val="000000" w:themeColor="text1"/>
          <w:sz w:val="24"/>
          <w:szCs w:val="24"/>
        </w:rPr>
        <w:t>1</w:t>
      </w:r>
      <w:r w:rsidRPr="00796736">
        <w:rPr>
          <w:rFonts w:ascii="Times New Roman" w:eastAsia="Times New Roman" w:hAnsi="Times New Roman" w:cs="Times New Roman"/>
          <w:color w:val="000000" w:themeColor="text1"/>
          <w:sz w:val="24"/>
          <w:szCs w:val="24"/>
        </w:rPr>
        <w:t xml:space="preserve">, stk. </w:t>
      </w:r>
      <w:r w:rsidR="0077264B" w:rsidRPr="00796736">
        <w:rPr>
          <w:rFonts w:ascii="Times New Roman" w:eastAsia="Times New Roman" w:hAnsi="Times New Roman" w:cs="Times New Roman"/>
          <w:color w:val="000000" w:themeColor="text1"/>
          <w:sz w:val="24"/>
          <w:szCs w:val="24"/>
        </w:rPr>
        <w:t>10</w:t>
      </w:r>
      <w:r w:rsidRPr="00796736">
        <w:rPr>
          <w:rFonts w:ascii="Times New Roman" w:eastAsia="Times New Roman" w:hAnsi="Times New Roman" w:cs="Times New Roman"/>
          <w:color w:val="000000" w:themeColor="text1"/>
          <w:sz w:val="24"/>
          <w:szCs w:val="24"/>
        </w:rPr>
        <w:t xml:space="preserve">, medfører, at hverken landbaseret kasino eller udbydere af onlinekasino efter henholdsvis §§ 14 og 18 i lov om spil kan undtages. Den foreslåede bestemmelse </w:t>
      </w:r>
      <w:r w:rsidR="0076316D" w:rsidRPr="00796736">
        <w:rPr>
          <w:rFonts w:ascii="Times New Roman" w:eastAsia="Times New Roman" w:hAnsi="Times New Roman" w:cs="Times New Roman"/>
          <w:color w:val="000000" w:themeColor="text1"/>
          <w:sz w:val="24"/>
          <w:szCs w:val="24"/>
        </w:rPr>
        <w:t>vil</w:t>
      </w:r>
      <w:r w:rsidRPr="00796736">
        <w:rPr>
          <w:rFonts w:ascii="Times New Roman" w:eastAsia="Times New Roman" w:hAnsi="Times New Roman" w:cs="Times New Roman"/>
          <w:color w:val="000000" w:themeColor="text1"/>
          <w:sz w:val="24"/>
          <w:szCs w:val="24"/>
        </w:rPr>
        <w:t xml:space="preserve"> derudover</w:t>
      </w:r>
      <w:r w:rsidR="0076316D" w:rsidRPr="00796736">
        <w:rPr>
          <w:rFonts w:ascii="Times New Roman" w:eastAsia="Times New Roman" w:hAnsi="Times New Roman" w:cs="Times New Roman"/>
          <w:color w:val="000000" w:themeColor="text1"/>
          <w:sz w:val="24"/>
          <w:szCs w:val="24"/>
        </w:rPr>
        <w:t xml:space="preserve"> medføre</w:t>
      </w:r>
      <w:r w:rsidRPr="00796736">
        <w:rPr>
          <w:rFonts w:ascii="Times New Roman" w:eastAsia="Times New Roman" w:hAnsi="Times New Roman" w:cs="Times New Roman"/>
          <w:color w:val="000000" w:themeColor="text1"/>
          <w:sz w:val="24"/>
          <w:szCs w:val="24"/>
        </w:rPr>
        <w:t xml:space="preserve">, at udbydere af spil, hvis hovedaktivitet er at udbyde sportsvæddemål eller onlinespil, heller ikke kan undtages, medmindre der er tale om et statsligt udbud af online lotteri. </w:t>
      </w:r>
    </w:p>
    <w:p w14:paraId="30354786" w14:textId="77777777" w:rsidR="00CD23C3" w:rsidRPr="00796736" w:rsidRDefault="00CD23C3" w:rsidP="00A802A5">
      <w:pPr>
        <w:spacing w:line="360" w:lineRule="auto"/>
        <w:rPr>
          <w:rFonts w:ascii="Times New Roman" w:eastAsia="Times New Roman" w:hAnsi="Times New Roman" w:cs="Times New Roman"/>
          <w:color w:val="000000" w:themeColor="text1"/>
          <w:sz w:val="24"/>
          <w:szCs w:val="24"/>
        </w:rPr>
      </w:pPr>
    </w:p>
    <w:p w14:paraId="4BBC23D2" w14:textId="77777777" w:rsidR="0076316D" w:rsidRPr="00796736" w:rsidRDefault="0076316D"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forudsættes, at når der i hvidvaskforordningen henvises til onlinespil, der drives af staten, enten gennem en offentlig myndighed eller en virksomhed eller et organ, som kontrolleres af staten, eller hvis organisation, drift og administration drives af staten, forstås et statsligt udbud af lotteri, der udbydes online. Det er således hensigten, at et monopollotteri, der udbydes online, skal kunne undtages fra reglerne i hvidvaskforordningen helt eller delvist. Det er dog en forudsætning herfor, at der er en dokumenteret lav risiko for hvidvask af penge eller finansiering af terrorisme.</w:t>
      </w:r>
    </w:p>
    <w:p w14:paraId="7D3E67F0" w14:textId="77777777" w:rsidR="00CD23C3" w:rsidRPr="00796736" w:rsidRDefault="00CD23C3" w:rsidP="00A802A5">
      <w:pPr>
        <w:spacing w:line="360" w:lineRule="auto"/>
        <w:rPr>
          <w:rFonts w:ascii="Times New Roman" w:eastAsia="Times New Roman" w:hAnsi="Times New Roman" w:cs="Times New Roman"/>
          <w:color w:val="000000" w:themeColor="text1"/>
          <w:sz w:val="24"/>
          <w:szCs w:val="24"/>
        </w:rPr>
      </w:pPr>
    </w:p>
    <w:p w14:paraId="2B2B5355" w14:textId="14BE964C" w:rsidR="0076316D" w:rsidRPr="00796736" w:rsidRDefault="0076316D"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En virksomheds eller forenings hovedaktivitet vil blive defineret ud fra, hvad virksomheden eller foreningen primært beskæftiger sig med. Det forudsættes derfor, at hvis f.eks. en virksomhed udelukkende beskæftiger sig med udbud af spil, så er dette virksomhedens hovedaktivitet. Modsat hvis et nyhedsmedie får tilladelse til at udbyde spil, så er nyhedsmediets hovedaktivitet nyhedsformidling og ikke udbud af spil. Hvis det ikke umiddelbart er klart, hvad virksomhedens eller foreningens hovedaktivitet er, vil omsætningens fordeling mellem de forskellige aktiviteter, antal af medarbejdere, der er beskæftiget med udbud af spil i forhold til det samlede antal medarbejdere, vedtægter, årsrapporter, selskabsregistreringsoplysninger eller lignende oplysninger kunne indgå i vurderingen. Det vil bero på en konkret vurdering af den pågældende virksomheds eller forenings aktiviteter. </w:t>
      </w:r>
    </w:p>
    <w:p w14:paraId="03655363" w14:textId="77777777" w:rsidR="00CD23C3" w:rsidRPr="00796736" w:rsidRDefault="00CD23C3" w:rsidP="00A802A5">
      <w:pPr>
        <w:spacing w:line="360" w:lineRule="auto"/>
        <w:rPr>
          <w:rFonts w:ascii="Times New Roman" w:eastAsia="Times New Roman" w:hAnsi="Times New Roman" w:cs="Times New Roman"/>
          <w:color w:val="000000" w:themeColor="text1"/>
          <w:sz w:val="24"/>
          <w:szCs w:val="24"/>
        </w:rPr>
      </w:pPr>
    </w:p>
    <w:p w14:paraId="06BFB784" w14:textId="40D239A9" w:rsidR="00CD23C3" w:rsidRPr="00796736" w:rsidRDefault="00CD23C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henvises i øvrigt til pkt. </w:t>
      </w:r>
      <w:r w:rsidR="00740B11" w:rsidRPr="00796736">
        <w:rPr>
          <w:rFonts w:ascii="Times New Roman" w:eastAsia="Times New Roman" w:hAnsi="Times New Roman" w:cs="Times New Roman"/>
          <w:sz w:val="24"/>
          <w:szCs w:val="24"/>
        </w:rPr>
        <w:fldChar w:fldCharType="begin"/>
      </w:r>
      <w:r w:rsidR="00740B11" w:rsidRPr="00796736">
        <w:rPr>
          <w:rFonts w:ascii="Times New Roman" w:eastAsia="Times New Roman" w:hAnsi="Times New Roman" w:cs="Times New Roman"/>
          <w:sz w:val="24"/>
          <w:szCs w:val="24"/>
        </w:rPr>
        <w:instrText xml:space="preserve"> REF _Ref232789787 \n \h </w:instrText>
      </w:r>
      <w:r w:rsidR="00967618" w:rsidRPr="00796736">
        <w:rPr>
          <w:rFonts w:ascii="Times New Roman" w:eastAsia="Times New Roman" w:hAnsi="Times New Roman" w:cs="Times New Roman"/>
          <w:sz w:val="24"/>
          <w:szCs w:val="24"/>
        </w:rPr>
        <w:instrText xml:space="preserve"> \* MERGEFORMAT </w:instrText>
      </w:r>
      <w:r w:rsidR="00740B11" w:rsidRPr="00796736">
        <w:rPr>
          <w:rFonts w:ascii="Times New Roman" w:eastAsia="Times New Roman" w:hAnsi="Times New Roman" w:cs="Times New Roman"/>
          <w:sz w:val="24"/>
          <w:szCs w:val="24"/>
        </w:rPr>
      </w:r>
      <w:r w:rsidR="00740B1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3.1</w:t>
      </w:r>
      <w:r w:rsidR="00740B11" w:rsidRPr="00796736">
        <w:rPr>
          <w:rFonts w:ascii="Times New Roman" w:eastAsia="Times New Roman" w:hAnsi="Times New Roman" w:cs="Times New Roman"/>
          <w:sz w:val="24"/>
          <w:szCs w:val="24"/>
        </w:rPr>
        <w:fldChar w:fldCharType="end"/>
      </w:r>
      <w:r w:rsidR="00C54556"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i lovforslagets almindelige bemærkninger. </w:t>
      </w:r>
    </w:p>
    <w:p w14:paraId="771533C8" w14:textId="77777777" w:rsidR="003261B2" w:rsidRPr="00796736" w:rsidRDefault="003261B2" w:rsidP="00A802A5">
      <w:pPr>
        <w:spacing w:after="200" w:line="360" w:lineRule="auto"/>
        <w:rPr>
          <w:rFonts w:ascii="Times New Roman" w:eastAsia="Times New Roman" w:hAnsi="Times New Roman" w:cs="Times New Roman"/>
          <w:sz w:val="24"/>
          <w:szCs w:val="24"/>
          <w:lang w:eastAsia="da-DK"/>
        </w:rPr>
      </w:pPr>
    </w:p>
    <w:p w14:paraId="1CBFD140" w14:textId="448EF4E8" w:rsidR="004877E0" w:rsidRPr="00796736" w:rsidRDefault="00237F65" w:rsidP="00A802A5">
      <w:pPr>
        <w:pStyle w:val="Undertitel"/>
      </w:pPr>
      <w:bookmarkStart w:id="1853" w:name="_Toc232109337"/>
      <w:bookmarkStart w:id="1854" w:name="_Toc244879298"/>
      <w:bookmarkStart w:id="1855" w:name="_Toc244880823"/>
      <w:r w:rsidRPr="00796736">
        <w:t xml:space="preserve">Til </w:t>
      </w:r>
      <w:r w:rsidR="008A5E85" w:rsidRPr="00796736">
        <w:fldChar w:fldCharType="begin"/>
      </w:r>
      <w:r w:rsidR="008A5E85" w:rsidRPr="00796736">
        <w:instrText xml:space="preserve"> REF _Ref232592818 \r \h </w:instrText>
      </w:r>
      <w:r w:rsidR="00967618" w:rsidRPr="00796736">
        <w:instrText xml:space="preserve"> \* MERGEFORMAT </w:instrText>
      </w:r>
      <w:r w:rsidR="008A5E85" w:rsidRPr="00796736">
        <w:fldChar w:fldCharType="separate"/>
      </w:r>
      <w:r w:rsidR="008F29E5">
        <w:t>§ 2</w:t>
      </w:r>
      <w:bookmarkEnd w:id="1854"/>
      <w:bookmarkEnd w:id="1855"/>
      <w:r w:rsidR="008A5E85" w:rsidRPr="00796736">
        <w:fldChar w:fldCharType="end"/>
      </w:r>
      <w:r w:rsidR="00161898" w:rsidRPr="00796736">
        <w:t xml:space="preserve"> </w:t>
      </w:r>
      <w:bookmarkEnd w:id="1853"/>
    </w:p>
    <w:p w14:paraId="277FC376" w14:textId="77777777" w:rsidR="001D76D5" w:rsidRPr="00796736" w:rsidRDefault="001D76D5" w:rsidP="00A802A5">
      <w:pPr>
        <w:spacing w:line="360" w:lineRule="auto"/>
        <w:rPr>
          <w:rFonts w:ascii="Times New Roman" w:eastAsia="Calibri" w:hAnsi="Times New Roman" w:cs="Times New Roman"/>
          <w:sz w:val="24"/>
          <w:szCs w:val="24"/>
        </w:rPr>
      </w:pPr>
      <w:bookmarkStart w:id="1856" w:name="_Hlk221873481"/>
      <w:r w:rsidRPr="00796736">
        <w:rPr>
          <w:rFonts w:ascii="Times New Roman" w:eastAsia="Calibri" w:hAnsi="Times New Roman" w:cs="Times New Roman"/>
          <w:sz w:val="24"/>
          <w:szCs w:val="24"/>
        </w:rPr>
        <w:t>Hvidvasklovens § 2 fastlægger lovens definitioner og præciserer, hvordan centrale begreber skal forstås i relation til lovens anvendelsesområde og krav. </w:t>
      </w:r>
    </w:p>
    <w:p w14:paraId="6B7A4DCC" w14:textId="77777777" w:rsidR="001D76D5" w:rsidRPr="00796736" w:rsidRDefault="001D76D5" w:rsidP="00A802A5">
      <w:pPr>
        <w:spacing w:line="360" w:lineRule="auto"/>
        <w:rPr>
          <w:rFonts w:ascii="Times New Roman" w:eastAsia="Calibri" w:hAnsi="Times New Roman" w:cs="Times New Roman"/>
          <w:sz w:val="24"/>
          <w:szCs w:val="24"/>
        </w:rPr>
      </w:pPr>
    </w:p>
    <w:p w14:paraId="4E077356" w14:textId="13C29DCB"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w:t>
      </w:r>
      <w:r w:rsidR="0077264B" w:rsidRPr="00796736">
        <w:rPr>
          <w:rFonts w:ascii="Times New Roman" w:eastAsia="Calibri" w:hAnsi="Times New Roman" w:cs="Times New Roman"/>
          <w:sz w:val="24"/>
          <w:szCs w:val="24"/>
        </w:rPr>
        <w:fldChar w:fldCharType="begin"/>
      </w:r>
      <w:r w:rsidR="0077264B" w:rsidRPr="00796736">
        <w:rPr>
          <w:rFonts w:ascii="Times New Roman" w:eastAsia="Calibri" w:hAnsi="Times New Roman" w:cs="Times New Roman"/>
          <w:sz w:val="24"/>
          <w:szCs w:val="24"/>
        </w:rPr>
        <w:instrText xml:space="preserve"> REF _Ref232592818 \r \h </w:instrText>
      </w:r>
      <w:r w:rsidR="00967618" w:rsidRPr="00796736">
        <w:rPr>
          <w:rFonts w:ascii="Times New Roman" w:eastAsia="Calibri" w:hAnsi="Times New Roman" w:cs="Times New Roman"/>
          <w:sz w:val="24"/>
          <w:szCs w:val="24"/>
        </w:rPr>
        <w:instrText xml:space="preserve"> \* MERGEFORMAT </w:instrText>
      </w:r>
      <w:r w:rsidR="0077264B" w:rsidRPr="00796736">
        <w:rPr>
          <w:rFonts w:ascii="Times New Roman" w:eastAsia="Calibri" w:hAnsi="Times New Roman" w:cs="Times New Roman"/>
          <w:sz w:val="24"/>
          <w:szCs w:val="24"/>
        </w:rPr>
      </w:r>
      <w:r w:rsidR="0077264B"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77264B"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indebærer, at artikel 3 og artikel 2, stk. 1,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finder anvendelse i denne lov. </w:t>
      </w:r>
    </w:p>
    <w:p w14:paraId="0EE07732" w14:textId="77777777" w:rsidR="001D76D5" w:rsidRPr="00796736" w:rsidRDefault="001D76D5" w:rsidP="00A802A5">
      <w:pPr>
        <w:spacing w:line="360" w:lineRule="auto"/>
        <w:rPr>
          <w:rFonts w:ascii="Times New Roman" w:eastAsia="Calibri" w:hAnsi="Times New Roman" w:cs="Times New Roman"/>
          <w:sz w:val="24"/>
          <w:szCs w:val="24"/>
        </w:rPr>
      </w:pPr>
    </w:p>
    <w:p w14:paraId="5449818B" w14:textId="2053EB04" w:rsidR="001D76D5" w:rsidRPr="00796736" w:rsidRDefault="001D76D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medføre, at begreber, der nævnes i den foreslåede lovtekst, skal fortolkes i overensstemmelse med definitionerne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22FB9D2C" w14:textId="35B3BD02" w:rsidR="001D76D5" w:rsidRPr="00796736" w:rsidRDefault="001D76D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w:t>
      </w:r>
      <w:r w:rsidR="00911473" w:rsidRPr="00796736">
        <w:rPr>
          <w:rFonts w:ascii="Times New Roman" w:eastAsia="Calibri" w:hAnsi="Times New Roman" w:cs="Times New Roman"/>
          <w:sz w:val="24"/>
          <w:szCs w:val="24"/>
        </w:rPr>
        <w:t xml:space="preserve">n foreslåede </w:t>
      </w:r>
      <w:r w:rsidR="00911473" w:rsidRPr="00796736">
        <w:rPr>
          <w:rFonts w:ascii="Times New Roman" w:eastAsia="Calibri" w:hAnsi="Times New Roman" w:cs="Times New Roman"/>
          <w:sz w:val="24"/>
          <w:szCs w:val="24"/>
        </w:rPr>
        <w:fldChar w:fldCharType="begin"/>
      </w:r>
      <w:r w:rsidR="00911473" w:rsidRPr="00796736">
        <w:rPr>
          <w:rFonts w:ascii="Times New Roman" w:eastAsia="Calibri" w:hAnsi="Times New Roman" w:cs="Times New Roman"/>
          <w:sz w:val="24"/>
          <w:szCs w:val="24"/>
        </w:rPr>
        <w:instrText xml:space="preserve"> REF _Ref232592818 \r \h  \* MERGEFORMAT </w:instrText>
      </w:r>
      <w:r w:rsidR="00911473" w:rsidRPr="00796736">
        <w:rPr>
          <w:rFonts w:ascii="Times New Roman" w:eastAsia="Calibri" w:hAnsi="Times New Roman" w:cs="Times New Roman"/>
          <w:sz w:val="24"/>
          <w:szCs w:val="24"/>
        </w:rPr>
      </w:r>
      <w:r w:rsidR="00911473"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911473" w:rsidRPr="00796736">
        <w:rPr>
          <w:rFonts w:ascii="Times New Roman" w:eastAsia="Calibri" w:hAnsi="Times New Roman" w:cs="Times New Roman"/>
          <w:sz w:val="24"/>
          <w:szCs w:val="24"/>
        </w:rPr>
        <w:fldChar w:fldCharType="end"/>
      </w:r>
      <w:r w:rsidR="00911473"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fastsættes definitioner, der præciserer, hvordan specifikke typer af virksomheder og personer skal forstås i denne lov. Disse definitioner har til formål at sikre en klar og entydig afgrænsning af de enheder, der er omfattet af lovens krav om forebyggelse af hvidvask og finansiering af terrorisme.</w:t>
      </w:r>
    </w:p>
    <w:p w14:paraId="29C95523" w14:textId="416F6845"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w:t>
      </w:r>
      <w:r w:rsidR="00911473" w:rsidRPr="00796736">
        <w:rPr>
          <w:rFonts w:ascii="Times New Roman" w:eastAsia="Calibri" w:hAnsi="Times New Roman" w:cs="Times New Roman"/>
          <w:sz w:val="24"/>
          <w:szCs w:val="24"/>
        </w:rPr>
        <w:t>s</w:t>
      </w:r>
      <w:r w:rsidRPr="00796736">
        <w:rPr>
          <w:rFonts w:ascii="Times New Roman" w:eastAsia="Calibri" w:hAnsi="Times New Roman" w:cs="Times New Roman"/>
          <w:sz w:val="24"/>
          <w:szCs w:val="24"/>
        </w:rPr>
        <w:t xml:space="preserve"> </w:t>
      </w:r>
      <w:r w:rsidR="00911473" w:rsidRPr="00796736">
        <w:rPr>
          <w:rFonts w:ascii="Times New Roman" w:eastAsia="Calibri" w:hAnsi="Times New Roman" w:cs="Times New Roman"/>
          <w:sz w:val="24"/>
          <w:szCs w:val="24"/>
        </w:rPr>
        <w:t xml:space="preserve">i </w:t>
      </w:r>
      <w:r w:rsidR="00911473" w:rsidRPr="00796736">
        <w:rPr>
          <w:rFonts w:ascii="Times New Roman" w:eastAsia="Calibri" w:hAnsi="Times New Roman" w:cs="Times New Roman"/>
          <w:sz w:val="24"/>
          <w:szCs w:val="24"/>
        </w:rPr>
        <w:fldChar w:fldCharType="begin"/>
      </w:r>
      <w:r w:rsidR="00911473" w:rsidRPr="00796736">
        <w:rPr>
          <w:rFonts w:ascii="Times New Roman" w:eastAsia="Calibri" w:hAnsi="Times New Roman" w:cs="Times New Roman"/>
          <w:sz w:val="24"/>
          <w:szCs w:val="24"/>
        </w:rPr>
        <w:instrText xml:space="preserve"> REF _Ref232592818 \r \h  \* MERGEFORMAT </w:instrText>
      </w:r>
      <w:r w:rsidR="00911473" w:rsidRPr="00796736">
        <w:rPr>
          <w:rFonts w:ascii="Times New Roman" w:eastAsia="Calibri" w:hAnsi="Times New Roman" w:cs="Times New Roman"/>
          <w:sz w:val="24"/>
          <w:szCs w:val="24"/>
        </w:rPr>
      </w:r>
      <w:r w:rsidR="00911473"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911473" w:rsidRPr="00796736">
        <w:rPr>
          <w:rFonts w:ascii="Times New Roman" w:eastAsia="Calibri" w:hAnsi="Times New Roman" w:cs="Times New Roman"/>
          <w:sz w:val="24"/>
          <w:szCs w:val="24"/>
        </w:rPr>
        <w:fldChar w:fldCharType="end"/>
      </w:r>
      <w:r w:rsidR="00911473"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en samlet opregning af de forpligtede enheder og bygger på artikel 3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Oplistningen viderefører i vidt omfang den gældende afgrænsning af anvendelsesområdet, men omfatter samtidig nye virksomhedstyper som følge af forordningens udvidede definitioner. </w:t>
      </w:r>
    </w:p>
    <w:p w14:paraId="25FC42F3" w14:textId="77777777" w:rsidR="00922AA1" w:rsidRPr="00796736" w:rsidRDefault="00922AA1" w:rsidP="00A802A5">
      <w:pPr>
        <w:spacing w:line="360" w:lineRule="auto"/>
        <w:rPr>
          <w:rFonts w:ascii="Times New Roman" w:eastAsia="Calibri" w:hAnsi="Times New Roman" w:cs="Times New Roman"/>
          <w:sz w:val="24"/>
          <w:szCs w:val="24"/>
        </w:rPr>
      </w:pPr>
    </w:p>
    <w:p w14:paraId="59A12FF4" w14:textId="77777777" w:rsidR="00922AA1" w:rsidRPr="00796736" w:rsidRDefault="00922AA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 supplerende definitioner i stk. 1 tager udgangspunkt i forordningens begreber og tilpasser dem til dansk ret, hvor det er nødvendigt. Dette omfatter blandt andet pengeinstitutter, realkreditinstitutter, sparevirksomheder, fondsmæglerselskaber, livsforsikringsselskaber, tværgående pensionskasser, udstedere af elektroniske penge, udbydere af betalingstjenester, forsikringsformidlere, investeringsforvaltningsselskaber, crowdfundingtjenesteudbydere, crowdfundingformidlere, udbydere af spiltjenester, kreditformidlere, værdipapircentraler, finansielle holdingselskaber, blandede finansielle holdingselskaber, finansielle holdingselskaber med blandet aktivitet samt ikkefinansielle holdingselskaber med blandet aktivitet.</w:t>
      </w:r>
    </w:p>
    <w:p w14:paraId="3408E3BB" w14:textId="293A2EDD"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w:t>
      </w:r>
      <w:r w:rsidR="00C96C71" w:rsidRPr="00796736">
        <w:rPr>
          <w:rFonts w:ascii="Times New Roman" w:eastAsia="Calibri" w:hAnsi="Times New Roman" w:cs="Times New Roman"/>
          <w:sz w:val="24"/>
          <w:szCs w:val="24"/>
        </w:rPr>
        <w:t>i § 1, stk. 2</w:t>
      </w:r>
      <w:r w:rsidR="002B4BDE">
        <w:rPr>
          <w:rFonts w:ascii="Times New Roman" w:eastAsia="Calibri" w:hAnsi="Times New Roman" w:cs="Times New Roman"/>
          <w:sz w:val="24"/>
          <w:szCs w:val="24"/>
        </w:rPr>
        <w:t>, nr. 1-3</w:t>
      </w:r>
      <w:r w:rsidR="00C96C71" w:rsidRPr="00796736">
        <w:rPr>
          <w:rFonts w:ascii="Times New Roman" w:eastAsia="Calibri" w:hAnsi="Times New Roman" w:cs="Times New Roman"/>
          <w:sz w:val="24"/>
          <w:szCs w:val="24"/>
        </w:rPr>
        <w:t>, samt § 2, nr. 1-19 og 32, litra a</w:t>
      </w:r>
      <w:r w:rsidR="00AA5182" w:rsidRPr="00796736">
        <w:rPr>
          <w:rFonts w:ascii="Times New Roman" w:eastAsia="Calibri" w:hAnsi="Times New Roman" w:cs="Times New Roman"/>
          <w:sz w:val="24"/>
          <w:szCs w:val="24"/>
        </w:rPr>
        <w:t>,</w:t>
      </w:r>
      <w:r w:rsidR="00C96C71"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omfatter virksomheder og personer under tilsyn af Finanstilsynet, </w:t>
      </w:r>
      <w:r w:rsidR="00C96C71" w:rsidRPr="00796736">
        <w:rPr>
          <w:rFonts w:ascii="Times New Roman" w:eastAsia="Calibri" w:hAnsi="Times New Roman" w:cs="Times New Roman"/>
          <w:sz w:val="24"/>
          <w:szCs w:val="24"/>
        </w:rPr>
        <w:t>§ 2</w:t>
      </w:r>
      <w:r w:rsidRPr="00796736">
        <w:rPr>
          <w:rFonts w:ascii="Times New Roman" w:eastAsia="Calibri" w:hAnsi="Times New Roman" w:cs="Times New Roman"/>
          <w:sz w:val="24"/>
          <w:szCs w:val="24"/>
        </w:rPr>
        <w:t xml:space="preserve">, nr. </w:t>
      </w:r>
      <w:r w:rsidR="00AA5182" w:rsidRPr="00796736">
        <w:rPr>
          <w:rFonts w:ascii="Times New Roman" w:eastAsia="Calibri" w:hAnsi="Times New Roman" w:cs="Times New Roman"/>
          <w:sz w:val="24"/>
          <w:szCs w:val="24"/>
        </w:rPr>
        <w:t>20-29 og 32, litra b</w:t>
      </w:r>
      <w:r w:rsidRPr="00796736">
        <w:rPr>
          <w:rFonts w:ascii="Times New Roman" w:eastAsia="Calibri" w:hAnsi="Times New Roman" w:cs="Times New Roman"/>
          <w:sz w:val="24"/>
          <w:szCs w:val="24"/>
        </w:rPr>
        <w:t xml:space="preserve">, omfatter </w:t>
      </w:r>
      <w:r w:rsidR="00AA5182" w:rsidRPr="00796736">
        <w:rPr>
          <w:rFonts w:ascii="Times New Roman" w:eastAsia="Calibri" w:hAnsi="Times New Roman" w:cs="Times New Roman"/>
          <w:sz w:val="24"/>
          <w:szCs w:val="24"/>
        </w:rPr>
        <w:t xml:space="preserve">virksomheder og personer under tilsyn af Erhvervsstyrelsen, § 2, nr. 30 og 32, litra c, omfatter virksomheder og personer under tilsyn af Spillemyndigheden, og § 2, nr. 31, omfatter </w:t>
      </w:r>
      <w:r w:rsidRPr="00796736">
        <w:rPr>
          <w:rFonts w:ascii="Times New Roman" w:eastAsia="Calibri" w:hAnsi="Times New Roman" w:cs="Times New Roman"/>
          <w:sz w:val="24"/>
          <w:szCs w:val="24"/>
        </w:rPr>
        <w:t>advokater under tilsyn af Advokatrådet</w:t>
      </w:r>
      <w:r w:rsidR="00AA5182" w:rsidRPr="00796736">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w:t>
      </w:r>
    </w:p>
    <w:p w14:paraId="54154F6E" w14:textId="77777777" w:rsidR="001D76D5" w:rsidRPr="00796736" w:rsidRDefault="001D76D5" w:rsidP="00A802A5">
      <w:pPr>
        <w:spacing w:line="360" w:lineRule="auto"/>
        <w:rPr>
          <w:rFonts w:ascii="Times New Roman" w:eastAsia="Calibri" w:hAnsi="Times New Roman" w:cs="Times New Roman"/>
          <w:sz w:val="24"/>
          <w:szCs w:val="24"/>
        </w:rPr>
      </w:pPr>
    </w:p>
    <w:p w14:paraId="50950846" w14:textId="1E49F372"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Pr="00796736">
        <w:rPr>
          <w:rFonts w:ascii="Times New Roman" w:eastAsia="Calibri" w:hAnsi="Times New Roman" w:cs="Times New Roman"/>
          <w:i/>
          <w:iCs/>
          <w:sz w:val="24"/>
          <w:szCs w:val="24"/>
        </w:rPr>
        <w:t>, nr. 1</w:t>
      </w:r>
      <w:r w:rsidRPr="00796736">
        <w:rPr>
          <w:rFonts w:ascii="Times New Roman" w:eastAsia="Calibri" w:hAnsi="Times New Roman" w:cs="Times New Roman"/>
          <w:sz w:val="24"/>
          <w:szCs w:val="24"/>
        </w:rPr>
        <w:t xml:space="preserve">, at pengeinstitut defineres som et kreditinstitut omfattet af artikel 3, nr. 1, og artikel 2, stk. 1, nr. 5,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samt filialer af pengeinstitutter som defineret i artikel 4, stk. 1, nr. 17, i forordning (EU) nr. 575/2013, beliggende i Unionen, uanset om hovedsædet er beliggende i en medlemsstat eller i et tredjeland.</w:t>
      </w:r>
    </w:p>
    <w:p w14:paraId="006B530E" w14:textId="77777777" w:rsidR="001D76D5" w:rsidRPr="00796736" w:rsidRDefault="001D76D5" w:rsidP="00A802A5">
      <w:pPr>
        <w:spacing w:line="360" w:lineRule="auto"/>
        <w:rPr>
          <w:rFonts w:ascii="Times New Roman" w:eastAsia="Calibri" w:hAnsi="Times New Roman" w:cs="Times New Roman"/>
          <w:sz w:val="24"/>
          <w:szCs w:val="24"/>
        </w:rPr>
      </w:pPr>
    </w:p>
    <w:p w14:paraId="305DE999" w14:textId="00A10A8E"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stk. 1,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kreditinstitutter omfattet af forordningens anvendelsesområde. Ved kreditinstitutter forstås, jf. artikel 4, stk. 1, nr. 1, i Europa-Parlamentets og Rådets forordning (EU) nr. 575/2013, virksomheder, der udøver virksomhed, som består i at modtage indlån eller andre midler fra offentligheden, der skal tilbagebetales, samt i at yde lån for egen regning. I Danmark svarer dette til pengeinstitutter, som skal have tilladelse som pengeinstitut i henhold til § 7 i lov om finansiel virksomhed. Endvidere omfatter forordningen også filialer af kreditinstitutter, som defineret i artikel 4, stk. 1, nr. 17, i forordning (EU) nr. 575/2013, beliggende i et land inden for Unionen, uanset om hovedsædet er beliggende i en medlemsstat eller i et tredjeland. Af praktiske hensyn foreslås det at gengive forordningens definition af pengeinstitut i det foreslåede nr. 1.</w:t>
      </w:r>
    </w:p>
    <w:p w14:paraId="1DD75E30" w14:textId="77777777" w:rsidR="001D76D5" w:rsidRPr="00796736" w:rsidRDefault="001D76D5" w:rsidP="00A802A5">
      <w:pPr>
        <w:spacing w:line="360" w:lineRule="auto"/>
        <w:rPr>
          <w:rFonts w:ascii="Times New Roman" w:eastAsia="Calibri" w:hAnsi="Times New Roman" w:cs="Times New Roman"/>
          <w:sz w:val="24"/>
          <w:szCs w:val="24"/>
        </w:rPr>
      </w:pPr>
    </w:p>
    <w:p w14:paraId="59849DF4" w14:textId="0DF691B4" w:rsidR="0017649E"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2</w:t>
      </w:r>
      <w:r w:rsidRPr="00796736">
        <w:rPr>
          <w:rFonts w:ascii="Times New Roman" w:eastAsia="Calibri" w:hAnsi="Times New Roman" w:cs="Times New Roman"/>
          <w:sz w:val="24"/>
          <w:szCs w:val="24"/>
        </w:rPr>
        <w:t xml:space="preserve">, at realkreditinstitut defineres som et kreditinstitut omfattet af artikel 3, nr. 1, og artikel 2, stk. 1, nr. 5,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790F0E97" w14:textId="77777777" w:rsidR="001D76D5" w:rsidRPr="00796736" w:rsidRDefault="001D76D5" w:rsidP="00A802A5">
      <w:pPr>
        <w:spacing w:line="360" w:lineRule="auto"/>
        <w:rPr>
          <w:rFonts w:ascii="Times New Roman" w:eastAsia="Calibri" w:hAnsi="Times New Roman" w:cs="Times New Roman"/>
          <w:sz w:val="24"/>
          <w:szCs w:val="24"/>
        </w:rPr>
      </w:pPr>
    </w:p>
    <w:p w14:paraId="51AFB170" w14:textId="1E932E8C"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stk. 1,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kreditinstitutter omfattet af forordningens anvendelsesområde. Ved kreditinstitutter forstås efter artikel 2, stk. 1, nr. 5, et kreditinstitut som defineret i artikel 4, stk. 1, nr. 1, i Europa-Parlamentets og Rådets forordning (EU) nr. 575/2013. I Danmark er realkreditinstitutter omfattet af definitionen på et kreditinstitut i artikel 3, nr. 1, </w:t>
      </w:r>
      <w:r w:rsidR="00C96C71" w:rsidRPr="00796736">
        <w:rPr>
          <w:rFonts w:ascii="Times New Roman" w:eastAsia="Calibri" w:hAnsi="Times New Roman" w:cs="Times New Roman"/>
          <w:sz w:val="24"/>
          <w:szCs w:val="24"/>
        </w:rPr>
        <w:t>i hvidvaskforordningen</w:t>
      </w:r>
      <w:r w:rsidRPr="00796736">
        <w:rPr>
          <w:rFonts w:ascii="Times New Roman" w:eastAsia="Calibri" w:hAnsi="Times New Roman" w:cs="Times New Roman"/>
          <w:sz w:val="24"/>
          <w:szCs w:val="24"/>
        </w:rPr>
        <w:t>. Realkreditinstitutter er virksomheder, der yder lån mod registreret pant i fast ejendom på grundlag af udstedelse af realkreditobligationer og særligt dækkede realkreditobligationer eller særligt dækkede obligationer. I Danmark skal sådanne virksomheder have tilladelse som realkreditinstitut i henhold til § 8 i lov om finansiel virksomhed. Af praktiske hensyn foreslås det at gengive forordningens definition af realkreditinstitut i det foreslåede nr. 2.</w:t>
      </w:r>
    </w:p>
    <w:p w14:paraId="5C36F5D2" w14:textId="77777777" w:rsidR="001D76D5" w:rsidRPr="00796736" w:rsidRDefault="001D76D5" w:rsidP="00A802A5">
      <w:pPr>
        <w:spacing w:line="360" w:lineRule="auto"/>
        <w:rPr>
          <w:rFonts w:ascii="Times New Roman" w:eastAsia="Calibri" w:hAnsi="Times New Roman" w:cs="Times New Roman"/>
          <w:sz w:val="24"/>
          <w:szCs w:val="24"/>
        </w:rPr>
      </w:pPr>
    </w:p>
    <w:p w14:paraId="438154DA" w14:textId="09B3579C"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3</w:t>
      </w:r>
      <w:r w:rsidRPr="00796736">
        <w:rPr>
          <w:rFonts w:ascii="Times New Roman" w:eastAsia="Calibri" w:hAnsi="Times New Roman" w:cs="Times New Roman"/>
          <w:sz w:val="24"/>
          <w:szCs w:val="24"/>
        </w:rPr>
        <w:t xml:space="preserve">, at sparevirksomheder defineres som et kreditinstitut omfattet af artikel 3, nr. 1, og artikel 2, stk. 1, nr. 5, i </w:t>
      </w:r>
      <w:r w:rsidR="00C96C71" w:rsidRPr="00796736">
        <w:rPr>
          <w:rFonts w:ascii="Times New Roman" w:eastAsia="Calibri" w:hAnsi="Times New Roman" w:cs="Times New Roman"/>
          <w:sz w:val="24"/>
          <w:szCs w:val="24"/>
        </w:rPr>
        <w:t>hvidvaskforordningen</w:t>
      </w:r>
    </w:p>
    <w:p w14:paraId="53A107AF" w14:textId="77777777" w:rsidR="001D76D5" w:rsidRPr="00796736" w:rsidRDefault="001D76D5" w:rsidP="00A802A5">
      <w:pPr>
        <w:spacing w:line="360" w:lineRule="auto"/>
        <w:rPr>
          <w:rFonts w:ascii="Times New Roman" w:eastAsia="Calibri" w:hAnsi="Times New Roman" w:cs="Times New Roman"/>
          <w:sz w:val="24"/>
          <w:szCs w:val="24"/>
        </w:rPr>
      </w:pPr>
    </w:p>
    <w:p w14:paraId="63B0B244" w14:textId="0DD37A44"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1,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sparevirksomheder omfattet af forordningens anvendelsesområde. Ved sparevirksomheder forstås virksomheder, der erhvervsmæssigt eller som et væsentligt led i deres drift modtager indlån eller andre midler, der skal tilbagebetales fra offentligheden. I Danmark skal sådanne virksomheder have tilladelse som sparevirksomhed i henhold til § 334 i lov om finansiel virksomhed, medmindre virksomheden har tilladelse som pengeinstitut, realkreditinstitut eller investeringsforvaltningsselskab, er oprettet i henhold til særlig lov, eller hvis oprettelse er godkendt i henhold til særlig lov. Sparevirksomheder er omfattet af begrebet finansieringsinstitut i forordningen. Af praktiske hensyn foreslås det at gengive forordningens definition af sparevirksomheder i det foreslåede nr. 3.</w:t>
      </w:r>
    </w:p>
    <w:p w14:paraId="0CB3D7E9" w14:textId="77777777" w:rsidR="001D76D5" w:rsidRPr="00796736" w:rsidRDefault="001D76D5" w:rsidP="00A802A5">
      <w:pPr>
        <w:spacing w:line="360" w:lineRule="auto"/>
        <w:rPr>
          <w:rFonts w:ascii="Times New Roman" w:eastAsia="Calibri" w:hAnsi="Times New Roman" w:cs="Times New Roman"/>
          <w:sz w:val="24"/>
          <w:szCs w:val="24"/>
        </w:rPr>
      </w:pPr>
    </w:p>
    <w:p w14:paraId="6A6ECD20" w14:textId="414CA9AC"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4</w:t>
      </w:r>
      <w:r w:rsidRPr="00796736">
        <w:rPr>
          <w:rFonts w:ascii="Times New Roman" w:eastAsia="Calibri" w:hAnsi="Times New Roman" w:cs="Times New Roman"/>
          <w:sz w:val="24"/>
          <w:szCs w:val="24"/>
        </w:rPr>
        <w:t>, at fondsmæglerselskab defineres som et finansieringsinstitut omfattet af artikel 3, nr. 2, og artikel 2, stk. 1, nr. 6, litra d, i</w:t>
      </w:r>
      <w:r w:rsidR="00C96C71" w:rsidRPr="00796736">
        <w:rPr>
          <w:rFonts w:ascii="Times New Roman" w:eastAsia="Calibri" w:hAnsi="Times New Roman" w:cs="Times New Roman"/>
          <w:sz w:val="24"/>
          <w:szCs w:val="24"/>
        </w:rPr>
        <w:t xml:space="preserve"> hvidvaskforordningen</w:t>
      </w:r>
      <w:r w:rsidRPr="00796736">
        <w:rPr>
          <w:rFonts w:ascii="Times New Roman" w:eastAsia="Calibri" w:hAnsi="Times New Roman" w:cs="Times New Roman"/>
          <w:sz w:val="24"/>
          <w:szCs w:val="24"/>
        </w:rPr>
        <w:t xml:space="preserve">. </w:t>
      </w:r>
    </w:p>
    <w:p w14:paraId="37C02968" w14:textId="77777777" w:rsidR="001D76D5" w:rsidRPr="00796736" w:rsidRDefault="001D76D5" w:rsidP="00A802A5">
      <w:pPr>
        <w:spacing w:line="360" w:lineRule="auto"/>
        <w:rPr>
          <w:rFonts w:ascii="Times New Roman" w:eastAsia="Calibri" w:hAnsi="Times New Roman" w:cs="Times New Roman"/>
          <w:sz w:val="24"/>
          <w:szCs w:val="24"/>
        </w:rPr>
      </w:pPr>
    </w:p>
    <w:p w14:paraId="62013A05" w14:textId="1579B1E9"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2,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fondsmæglerselskaber omfattet af forordningens anvendelsesområde. Ved fondsmæglerselskaber forstås virksomheder, der over for tredjemand udøver aktiviteter, som omfatter værdipapirer i nærmere angivet omfang, og som ikke har tilladelse som pengeinstitut, realkreditinstitut eller investeringsforvaltningsselskab. I Danmark skal sådanne virksomheder have tilladelse som værdipapirhandler i henhold til § 13 i lov om fondsmæglerselskaber og investeringsservice og -aktiviteter. Fondsmæglerselskaber er omfattet af begrebet finansieringsinstitut i forordningen, idet investeringsselskab som defineret i artikel 4, stk. 1, nr. 1, i Europa-Parlamentets og Rådets direktiv 2014/65/EU, er omfattet af forordningens definition af et institut for kollektiv investering i artikel 2, stk. 1, litra e. Af praktiske hensyn foreslås det at gengive forordningens definition af fondsmæglerselskab i det foreslåede nr. 4.</w:t>
      </w:r>
    </w:p>
    <w:p w14:paraId="641BB758" w14:textId="77777777" w:rsidR="001D76D5" w:rsidRPr="00796736" w:rsidRDefault="001D76D5" w:rsidP="00A802A5">
      <w:pPr>
        <w:spacing w:line="360" w:lineRule="auto"/>
        <w:rPr>
          <w:rFonts w:ascii="Times New Roman" w:eastAsia="Calibri" w:hAnsi="Times New Roman" w:cs="Times New Roman"/>
          <w:sz w:val="24"/>
          <w:szCs w:val="24"/>
        </w:rPr>
      </w:pPr>
    </w:p>
    <w:p w14:paraId="16558988" w14:textId="2ADF5B6B"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5</w:t>
      </w:r>
      <w:r w:rsidRPr="00796736">
        <w:rPr>
          <w:rFonts w:ascii="Times New Roman" w:eastAsia="Calibri" w:hAnsi="Times New Roman" w:cs="Times New Roman"/>
          <w:sz w:val="24"/>
          <w:szCs w:val="24"/>
        </w:rPr>
        <w:t xml:space="preserve">, at livsforsikringsselskaber og tværgående pensionskasser defineres som et finansieringsinstitut omfattet af artikel 3, nr. 2, og artikel 2, stk. 1, nr. 6, litra b, i </w:t>
      </w:r>
      <w:r w:rsidR="00C96C71" w:rsidRPr="00796736">
        <w:rPr>
          <w:rFonts w:ascii="Times New Roman" w:eastAsia="Calibri" w:hAnsi="Times New Roman" w:cs="Times New Roman"/>
          <w:sz w:val="24"/>
          <w:szCs w:val="24"/>
        </w:rPr>
        <w:t>hvidvaskforordningen</w:t>
      </w:r>
    </w:p>
    <w:p w14:paraId="6A89E2B9" w14:textId="77777777" w:rsidR="001D76D5" w:rsidRPr="00796736" w:rsidRDefault="001D76D5" w:rsidP="00A802A5">
      <w:pPr>
        <w:spacing w:line="360" w:lineRule="auto"/>
        <w:rPr>
          <w:rFonts w:ascii="Times New Roman" w:eastAsia="Calibri" w:hAnsi="Times New Roman" w:cs="Times New Roman"/>
          <w:sz w:val="24"/>
          <w:szCs w:val="24"/>
        </w:rPr>
      </w:pPr>
    </w:p>
    <w:p w14:paraId="46CBB583"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artikel 3, nr. 2, i Europa-Parlamentets og Rådets forordning (EU) 2024/1624 er livsforsikringsselskaber og tværgående pensionskasser omfattet af forordningens anvendelsesområde. Livsforsikringsselskaber er aktieselskaber, der har tilladelse til at udøve livsforsikringsvirksomhed i henhold til § 14 i lov om forsikringsvirksomhed og dermed dække risici eller tegne forsikringer inden for de kategorier, der er nævnt i bilag 2 til lov om forsikringsvirksomhed. Det bemærkes, at selv om livsforsikringsselskaber siden 1995 har haft hjemmel til at tegne syge- og ulykkesforsikringer, er disse forsikringer ikke omfattet af anvendelsesområdet.</w:t>
      </w:r>
    </w:p>
    <w:p w14:paraId="0FFF486C" w14:textId="77777777" w:rsidR="001D76D5" w:rsidRPr="00796736" w:rsidRDefault="001D76D5" w:rsidP="00A802A5">
      <w:pPr>
        <w:spacing w:line="360" w:lineRule="auto"/>
        <w:rPr>
          <w:rFonts w:ascii="Times New Roman" w:eastAsia="Calibri" w:hAnsi="Times New Roman" w:cs="Times New Roman"/>
          <w:sz w:val="24"/>
          <w:szCs w:val="24"/>
        </w:rPr>
      </w:pPr>
    </w:p>
    <w:p w14:paraId="4F8A04F1"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Tværgående pensionskasser er defineret i § 247 i lov om forsikringsvirksomhed som foreninger eller sammenslutninger, hvis medlemmer enten er uddannet inden for bestemte uddannelsesområder eller er ansat i virksomheder af en bestemt art, og som har til formål at sikre pension efter ensartede regler for alle medlemmerne, enten som led i ansættelsesvilkårene eller som led i en anden tilknytning til en virksomhed. Dette gælder også, hvis medlemmerne er selvstændige erhvervsdrivende inden for samme branche.</w:t>
      </w:r>
    </w:p>
    <w:p w14:paraId="7CEC63BE" w14:textId="77777777" w:rsidR="001D76D5" w:rsidRPr="00796736" w:rsidRDefault="001D76D5" w:rsidP="00A802A5">
      <w:pPr>
        <w:spacing w:line="360" w:lineRule="auto"/>
        <w:rPr>
          <w:rFonts w:ascii="Times New Roman" w:eastAsia="Calibri" w:hAnsi="Times New Roman" w:cs="Times New Roman"/>
          <w:sz w:val="24"/>
          <w:szCs w:val="24"/>
        </w:rPr>
      </w:pPr>
    </w:p>
    <w:p w14:paraId="13BB7A32"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Livsforsikringsselskaber er omfattet af begrebet finansieringsinstitut i forordningen, idet forsikringsselskaber som defineret i artikel 13, nr. 1, i Europa-Parlamentets og Rådets direktiv 2009/138/EF, for så vidt de udøver livsforsikringsvirksomhed eller anden investeringsrelateret forsikringsvirksomhed, er omfattet af forordningens definition i artikel 2, stk. 1, litra b. Dette omfatter også forsikringsholdingselskaber og blandede forsikringsholdingselskaber som defineret i artikel 212, stk. 1, litra f og g, i direktiv 2009/138/EF.</w:t>
      </w:r>
    </w:p>
    <w:p w14:paraId="1A4B818B" w14:textId="77777777" w:rsidR="001D76D5" w:rsidRPr="00796736" w:rsidRDefault="001D76D5" w:rsidP="00A802A5">
      <w:pPr>
        <w:spacing w:line="360" w:lineRule="auto"/>
        <w:rPr>
          <w:rFonts w:ascii="Times New Roman" w:eastAsia="Calibri" w:hAnsi="Times New Roman" w:cs="Times New Roman"/>
          <w:sz w:val="24"/>
          <w:szCs w:val="24"/>
        </w:rPr>
      </w:pPr>
    </w:p>
    <w:p w14:paraId="5DB57FDF" w14:textId="207565DC"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Skadeforsikringsselskaber, herunder danske selskaber samt filialer i Danmark af udenlandske skadeforsikringsvirksomheder, er omfattet. Formålet hermed er at sikre, at de aktiviteter, som skadeforsikringsselskaber udøver, og som kan udgøre risiko for hvidvask eller finansiering af terrorisme, er omfattet af relevante forpligtelser. Anvendelsesområdet er afgrænset således, at loven alene finder anvendelse på de aktiviteter, hvor risikoen vurderes som relevant, uden at omfatte øvrige aktiviteter, der ligger uden for lovens formål. Af praktiske hensyn foreslås det at gengive forordningens definition af livsforsikringsselskaber og tværgående pensionskasser i det foreslåede nr. 5.</w:t>
      </w:r>
    </w:p>
    <w:p w14:paraId="16F767B4" w14:textId="77777777" w:rsidR="001D76D5" w:rsidRPr="00796736" w:rsidRDefault="001D76D5" w:rsidP="00A802A5">
      <w:pPr>
        <w:spacing w:line="360" w:lineRule="auto"/>
        <w:rPr>
          <w:rFonts w:ascii="Times New Roman" w:eastAsia="Calibri" w:hAnsi="Times New Roman" w:cs="Times New Roman"/>
          <w:sz w:val="24"/>
          <w:szCs w:val="24"/>
        </w:rPr>
      </w:pPr>
    </w:p>
    <w:p w14:paraId="2C522821" w14:textId="3021E2EC"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6</w:t>
      </w:r>
      <w:r w:rsidRPr="00796736">
        <w:rPr>
          <w:rFonts w:ascii="Times New Roman" w:eastAsia="Calibri" w:hAnsi="Times New Roman" w:cs="Times New Roman"/>
          <w:sz w:val="24"/>
          <w:szCs w:val="24"/>
        </w:rPr>
        <w:t xml:space="preserve">, at udsteder af elektroniske penge og udbyder af betalingstjenester defineres som et finansieringsinstitut omfattet af artikel 3, nr. 2, og artikel 2, stk. 1, nr. 6, litra a,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66DA3541" w14:textId="77777777" w:rsidR="001D76D5" w:rsidRPr="00796736" w:rsidRDefault="001D76D5" w:rsidP="00A802A5">
      <w:pPr>
        <w:spacing w:line="360" w:lineRule="auto"/>
        <w:rPr>
          <w:rFonts w:ascii="Times New Roman" w:eastAsia="Calibri" w:hAnsi="Times New Roman" w:cs="Times New Roman"/>
          <w:sz w:val="24"/>
          <w:szCs w:val="24"/>
        </w:rPr>
      </w:pPr>
    </w:p>
    <w:p w14:paraId="5C39F273" w14:textId="5E525474"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2, i </w:t>
      </w:r>
      <w:r w:rsidR="00C96C71" w:rsidRPr="00796736">
        <w:rPr>
          <w:rFonts w:ascii="Times New Roman" w:eastAsia="Calibri" w:hAnsi="Times New Roman" w:cs="Times New Roman"/>
          <w:sz w:val="24"/>
          <w:szCs w:val="24"/>
        </w:rPr>
        <w:t xml:space="preserve">hvidvaskforordningen </w:t>
      </w:r>
      <w:r w:rsidRPr="00796736">
        <w:rPr>
          <w:rFonts w:ascii="Times New Roman" w:eastAsia="Calibri" w:hAnsi="Times New Roman" w:cs="Times New Roman"/>
          <w:sz w:val="24"/>
          <w:szCs w:val="24"/>
        </w:rPr>
        <w:t xml:space="preserve">er udbydere af betalingstjenester og udstedere af elektroniske penge omfattet af forordningens anvendelsesområde. Betalingstjenester er defineret i artikel 4, nr. 3, i Europa-Parlamentets og Rådets direktiv (EU) 2007/64/EF og udgør en aktivitet, der er anført i bilag I, punkt 4, i Europa-Parlamentets og Rådets direktiv 2013/36/EU. </w:t>
      </w:r>
    </w:p>
    <w:p w14:paraId="36171EF0" w14:textId="77777777" w:rsidR="001D76D5" w:rsidRPr="00796736" w:rsidRDefault="001D76D5" w:rsidP="00A802A5">
      <w:pPr>
        <w:spacing w:line="360" w:lineRule="auto"/>
        <w:rPr>
          <w:rFonts w:ascii="Times New Roman" w:eastAsia="Calibri" w:hAnsi="Times New Roman" w:cs="Times New Roman"/>
          <w:sz w:val="24"/>
          <w:szCs w:val="24"/>
        </w:rPr>
      </w:pPr>
    </w:p>
    <w:p w14:paraId="300AAC03" w14:textId="1EBB01FD"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Udøvelse af denne type virksomhed kræver tilladelse i henhold til lov om betalinger, herunder § 9 for betalingsinstitutter, § 51 for udbydere af betalingsinstrumenter med begrænset anvendelse eller begrænsede transaktioner, § 10 for e-pengeinstitutter og § 50 for udstedere af elektroniske penge med begrænset anvendelse eller begrænsede transaktioner. Udbydere af betalingstjenester og udstedere af elektroniske penge, der leverer tjenester i andre medlemsstater gennem agenter, distributører eller anden infrastruktur, er også omfattet af forordningens anvendelsesområde. I henhold til artikel 8, stk. 5, i </w:t>
      </w:r>
      <w:r w:rsidR="00C96C71" w:rsidRPr="00796736">
        <w:rPr>
          <w:rFonts w:ascii="Times New Roman" w:eastAsia="Calibri" w:hAnsi="Times New Roman" w:cs="Times New Roman"/>
          <w:sz w:val="24"/>
          <w:szCs w:val="24"/>
        </w:rPr>
        <w:t xml:space="preserve">hvidvaskforordningen </w:t>
      </w:r>
      <w:r w:rsidRPr="00796736">
        <w:rPr>
          <w:rFonts w:ascii="Times New Roman" w:eastAsia="Calibri" w:hAnsi="Times New Roman" w:cs="Times New Roman"/>
          <w:sz w:val="24"/>
          <w:szCs w:val="24"/>
        </w:rPr>
        <w:t>og artikel 38, stk. 1, i direktiv (EU) 2024/1640, skal sådanne aktiviteter overholde reglerne i den medlemsstat, hvor tjenesten leveres, og er underlagt tilsyn af de relevante nationale myndigheder.</w:t>
      </w:r>
    </w:p>
    <w:p w14:paraId="2475CC3A" w14:textId="77777777" w:rsidR="001D76D5" w:rsidRPr="00796736" w:rsidRDefault="001D76D5" w:rsidP="00A802A5">
      <w:pPr>
        <w:spacing w:line="360" w:lineRule="auto"/>
        <w:rPr>
          <w:rFonts w:ascii="Times New Roman" w:eastAsia="Calibri" w:hAnsi="Times New Roman" w:cs="Times New Roman"/>
          <w:sz w:val="24"/>
          <w:szCs w:val="24"/>
        </w:rPr>
      </w:pPr>
    </w:p>
    <w:p w14:paraId="56289E71"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Udbydere af betalingstjenester tilbyder en eller flere af de betalingstjenester, der er nævnt i bilag 1 til lov om betalinger. En betalingstjeneste kan eksempelvis være en tjeneste, der muliggør, at kontantbeløb placeres på en betalingskonto, samt alle transaktioner, der er nødvendige for driften af en sådan konto. Pengeoverførselsvirksomhed er ligeledes omfattet af begrebet betalingstjeneste.</w:t>
      </w:r>
    </w:p>
    <w:p w14:paraId="6F5338ED" w14:textId="77777777" w:rsidR="001D76D5" w:rsidRPr="00796736" w:rsidRDefault="001D76D5" w:rsidP="00A802A5">
      <w:pPr>
        <w:spacing w:line="360" w:lineRule="auto"/>
        <w:rPr>
          <w:rFonts w:ascii="Times New Roman" w:eastAsia="Calibri" w:hAnsi="Times New Roman" w:cs="Times New Roman"/>
          <w:sz w:val="24"/>
          <w:szCs w:val="24"/>
        </w:rPr>
      </w:pPr>
    </w:p>
    <w:p w14:paraId="66BBE12B"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elektroniske penge forstås en elektronisk eller magnetisk lagret pengeværdi, der repræsenterer et krav på udstederen, og som udstedes ved modtagelse af betaling af midler med henblik på at gennemføre betalingstransaktioner. Elektroniske penge accepteres som betalingsmiddel af andre end udstederen og omfatter blandt andet bredt anvendelige gavekort og forudbetalte kort, eksempelvis til offentlig transport. </w:t>
      </w:r>
    </w:p>
    <w:p w14:paraId="50BA1F3D" w14:textId="77777777" w:rsidR="001D76D5" w:rsidRPr="00796736" w:rsidRDefault="001D76D5" w:rsidP="00A802A5">
      <w:pPr>
        <w:spacing w:line="360" w:lineRule="auto"/>
        <w:rPr>
          <w:rFonts w:ascii="Times New Roman" w:eastAsia="Calibri" w:hAnsi="Times New Roman" w:cs="Times New Roman"/>
          <w:sz w:val="24"/>
          <w:szCs w:val="24"/>
        </w:rPr>
      </w:pPr>
    </w:p>
    <w:p w14:paraId="0F4D413A" w14:textId="3FBE68ED"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Af praktiske hensyn foreslås det at gengive forordningens definition af at udsteder af elektroniske penge og udbyder af betalingstjenester i det foreslåede</w:t>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nr. 6.</w:t>
      </w:r>
    </w:p>
    <w:p w14:paraId="21CC0E49" w14:textId="77777777" w:rsidR="001D76D5" w:rsidRPr="00796736" w:rsidRDefault="001D76D5" w:rsidP="00A802A5">
      <w:pPr>
        <w:spacing w:line="360" w:lineRule="auto"/>
        <w:rPr>
          <w:rFonts w:ascii="Times New Roman" w:eastAsia="Calibri" w:hAnsi="Times New Roman" w:cs="Times New Roman"/>
          <w:sz w:val="24"/>
          <w:szCs w:val="24"/>
        </w:rPr>
      </w:pPr>
    </w:p>
    <w:p w14:paraId="2C4CD38C" w14:textId="105F24EA"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7</w:t>
      </w:r>
      <w:r w:rsidRPr="00796736">
        <w:rPr>
          <w:rFonts w:ascii="Times New Roman" w:eastAsia="Calibri" w:hAnsi="Times New Roman" w:cs="Times New Roman"/>
          <w:sz w:val="24"/>
          <w:szCs w:val="24"/>
        </w:rPr>
        <w:t>, at forsikringsformidler</w:t>
      </w:r>
      <w:r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 xml:space="preserve">defineres som et finansieringsinstitut omfattet af artikel 3, nr. 2, </w:t>
      </w:r>
      <w:r w:rsidR="00C96C71" w:rsidRPr="00796736">
        <w:rPr>
          <w:rFonts w:ascii="Times New Roman" w:eastAsia="Calibri" w:hAnsi="Times New Roman" w:cs="Times New Roman"/>
          <w:sz w:val="24"/>
          <w:szCs w:val="24"/>
        </w:rPr>
        <w:t>i hvidvaskforordningen</w:t>
      </w:r>
      <w:r w:rsidRPr="00796736">
        <w:rPr>
          <w:rFonts w:ascii="Times New Roman" w:eastAsia="Calibri" w:hAnsi="Times New Roman" w:cs="Times New Roman"/>
          <w:sz w:val="24"/>
          <w:szCs w:val="24"/>
        </w:rPr>
        <w:t>, og artikel 2, stk. 1, nr. 6, litra c, i det omfang de udøver formidling af livsforsikringsprodukter eller andre investerings-relaterede forsikringstjenester, med undtagelse af forsikringsformidlere, der hverken opkræver eller besidder præmier eller beløb fra kunder, og som udelukkende handler på vegne af et eller flere forsikringsselskaber eller en eller flere forsikringsformidlere for så vidt angår deres respektive produkter.</w:t>
      </w:r>
    </w:p>
    <w:p w14:paraId="1A5C7136" w14:textId="77777777" w:rsidR="001D76D5" w:rsidRPr="00796736" w:rsidRDefault="001D76D5" w:rsidP="00A802A5">
      <w:pPr>
        <w:spacing w:line="360" w:lineRule="auto"/>
        <w:rPr>
          <w:rFonts w:ascii="Times New Roman" w:eastAsia="Calibri" w:hAnsi="Times New Roman" w:cs="Times New Roman"/>
          <w:sz w:val="24"/>
          <w:szCs w:val="24"/>
        </w:rPr>
      </w:pPr>
    </w:p>
    <w:p w14:paraId="676FE5CD" w14:textId="03CE73E6"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2,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forsikringsformidlere omfattet af forordningens anvendelsesområde, når de formidler livsforsikring eller andre investeringsrelaterede forsikringer. Forsikringsformidlere skal have tilladelse i henhold til § 3 i lov om forsikringsformidling. Det bemærkes, at forsikringsformidlere, der ikke opkræver præmier eller beløb fra kunden, og som alene handler på vegne af et eller flere forsikringsselskaber eller en eller flere forsikringsformidlere for så vidt angår deres respektive produkter, ikke er omfattet.</w:t>
      </w:r>
    </w:p>
    <w:p w14:paraId="4ACFEAB9" w14:textId="77777777" w:rsidR="001D76D5" w:rsidRPr="00796736" w:rsidRDefault="001D76D5" w:rsidP="00A802A5">
      <w:pPr>
        <w:spacing w:line="360" w:lineRule="auto"/>
        <w:rPr>
          <w:rFonts w:ascii="Times New Roman" w:eastAsia="Calibri" w:hAnsi="Times New Roman" w:cs="Times New Roman"/>
          <w:sz w:val="24"/>
          <w:szCs w:val="24"/>
        </w:rPr>
      </w:pPr>
    </w:p>
    <w:p w14:paraId="256CA1B6" w14:textId="588C1F5E"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Forsikringsformidlere er omfattet af begrebet finansieringsinstitut i forordningen, idet en forsikringsformidler som defineret i artikel 2, stk. 1, nr. 3, i Europa-Parlamentets og Rådets direktiv (EU) 2016/97, for så vidt denne udøver livsforsikringsvirksomhed eller andre investeringsrelaterede forsikringstjenester, er omfattet af forordningens anvendelsesområde. Definitionen af forsikringsformidler i direktivet omfatter en bred vifte af fysiske og juridiske personer, der udøver forsikringsdistributionsvirksomhed. Forsikringsformidlere, der ikke opkræver præmier eller andre beløb fra kunder og som alene handler under ansvar og politikker fra et forsikringsselskab eller en anden forsikringsformidler, er ikke forpligtede enheder, da de ikke selvstændigt kan gennemføre kundekendskabsprocedurer eller identificere og indberette mistænkelige transaktioner. Endvidere betragtes forsikringsformidlere, der ikke håndterer midler som defineret i artikel 4, nr. 25, i Europa-Parlamentets og Rådets direktiv (EU) 2015/2366, ikke som forpligtede enheder i henhold til forordningen. Af praktiske hensyn foreslås det at gengive forordningens definition af forsikringsformidler</w:t>
      </w:r>
      <w:r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i det foreslåede nr. 7.</w:t>
      </w:r>
    </w:p>
    <w:p w14:paraId="5384892D" w14:textId="77777777" w:rsidR="001D76D5" w:rsidRPr="00796736" w:rsidRDefault="001D76D5" w:rsidP="00A802A5">
      <w:pPr>
        <w:spacing w:line="360" w:lineRule="auto"/>
        <w:rPr>
          <w:rFonts w:ascii="Times New Roman" w:eastAsia="Calibri" w:hAnsi="Times New Roman" w:cs="Times New Roman"/>
          <w:sz w:val="24"/>
          <w:szCs w:val="24"/>
        </w:rPr>
      </w:pPr>
    </w:p>
    <w:p w14:paraId="1E8F56D2" w14:textId="3B40C841"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8</w:t>
      </w:r>
      <w:r w:rsidRPr="00796736">
        <w:rPr>
          <w:rFonts w:ascii="Times New Roman" w:eastAsia="Calibri" w:hAnsi="Times New Roman" w:cs="Times New Roman"/>
          <w:sz w:val="24"/>
          <w:szCs w:val="24"/>
        </w:rPr>
        <w:t xml:space="preserve">, at øvrige virksomheder og personer, der dr erhvervsmæssigt udøver en eller flere af aktiviteterne oplistet i bilag 1 defineres som et finansieringsinstitut omfattet af artikel 3, nr. 2,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der erhvervsmæssigt udøver en eller flere af aktiviteterne oplistet i bilag 1, jf. dog lovforslagets </w:t>
      </w:r>
      <w:r w:rsidR="0077264B" w:rsidRPr="00796736">
        <w:rPr>
          <w:rFonts w:ascii="Times New Roman" w:eastAsia="Calibri" w:hAnsi="Times New Roman" w:cs="Times New Roman"/>
          <w:sz w:val="24"/>
          <w:szCs w:val="24"/>
        </w:rPr>
        <w:fldChar w:fldCharType="begin"/>
      </w:r>
      <w:r w:rsidR="0077264B" w:rsidRPr="00796736">
        <w:rPr>
          <w:rFonts w:ascii="Times New Roman" w:eastAsia="Calibri" w:hAnsi="Times New Roman" w:cs="Times New Roman"/>
          <w:sz w:val="24"/>
          <w:szCs w:val="24"/>
        </w:rPr>
        <w:instrText xml:space="preserve"> REF _Ref232583170 \r \h </w:instrText>
      </w:r>
      <w:r w:rsidR="00967618" w:rsidRPr="00796736">
        <w:rPr>
          <w:rFonts w:ascii="Times New Roman" w:eastAsia="Calibri" w:hAnsi="Times New Roman" w:cs="Times New Roman"/>
          <w:sz w:val="24"/>
          <w:szCs w:val="24"/>
        </w:rPr>
        <w:instrText xml:space="preserve"> \* MERGEFORMAT </w:instrText>
      </w:r>
      <w:r w:rsidR="0077264B" w:rsidRPr="00796736">
        <w:rPr>
          <w:rFonts w:ascii="Times New Roman" w:eastAsia="Calibri" w:hAnsi="Times New Roman" w:cs="Times New Roman"/>
          <w:sz w:val="24"/>
          <w:szCs w:val="24"/>
        </w:rPr>
      </w:r>
      <w:r w:rsidR="0077264B"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w:t>
      </w:r>
      <w:r w:rsidR="0077264B"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stk. 7.</w:t>
      </w:r>
    </w:p>
    <w:p w14:paraId="7C027719" w14:textId="77777777" w:rsidR="001D76D5" w:rsidRPr="00796736" w:rsidRDefault="001D76D5" w:rsidP="00A802A5">
      <w:pPr>
        <w:spacing w:line="360" w:lineRule="auto"/>
        <w:rPr>
          <w:rFonts w:ascii="Times New Roman" w:eastAsia="Calibri" w:hAnsi="Times New Roman" w:cs="Times New Roman"/>
          <w:sz w:val="24"/>
          <w:szCs w:val="24"/>
        </w:rPr>
      </w:pPr>
    </w:p>
    <w:p w14:paraId="059FFEDC" w14:textId="38423E49"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2,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virksomheder, der ikke er kreditinstitutter eller investeringsselskaber, men som udøver en eller flere af de aktiviteter, der er anført i bilag I, punkt 2-12, 14 og 15, til direktiv 2013/36/EU, omfattet af forordningens anvendelsesområde. Finansieringsinstitutter omfattet af forordningen omfatter således virksomheder og personer, der erhvervsmæssigt udøver én eller flere af de nævnte aktiviteter uden at være kreditinstitut eller investeringsselskab. Det er ikke en forudsætning, at aktiviteten udøves som hovedaktivitet, men der skal være tale om erhvervsmæssig virksomhed, hvilket vil sige, at aktiviteten udbydes til tredjemand, eller at den udgør en ikke ubetydelig del af virksomhedens omsætning. Det er alene de aktiviteter, der er nævnt i bilag 1, som er omfattet af lovens anvendelsesområde.</w:t>
      </w:r>
    </w:p>
    <w:p w14:paraId="6600EC4D" w14:textId="77777777" w:rsidR="001D76D5" w:rsidRPr="00796736" w:rsidRDefault="001D76D5" w:rsidP="00A802A5">
      <w:pPr>
        <w:spacing w:line="360" w:lineRule="auto"/>
        <w:rPr>
          <w:rFonts w:ascii="Times New Roman" w:eastAsia="Calibri" w:hAnsi="Times New Roman" w:cs="Times New Roman"/>
          <w:sz w:val="24"/>
          <w:szCs w:val="24"/>
        </w:rPr>
      </w:pPr>
    </w:p>
    <w:p w14:paraId="4C763085" w14:textId="5C174FC5"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Virksomheder og personer, der udøver sådanne aktiviteter, skal lade sig registrere hos Finanstilsynet, jf. forslagets </w:t>
      </w:r>
      <w:r w:rsidR="0077264B" w:rsidRPr="00796736">
        <w:rPr>
          <w:rFonts w:ascii="Times New Roman" w:eastAsia="Calibri" w:hAnsi="Times New Roman" w:cs="Times New Roman"/>
          <w:sz w:val="24"/>
          <w:szCs w:val="24"/>
        </w:rPr>
        <w:fldChar w:fldCharType="begin"/>
      </w:r>
      <w:r w:rsidR="0077264B" w:rsidRPr="00796736">
        <w:rPr>
          <w:rFonts w:ascii="Times New Roman" w:eastAsia="Calibri" w:hAnsi="Times New Roman" w:cs="Times New Roman"/>
          <w:sz w:val="24"/>
          <w:szCs w:val="24"/>
        </w:rPr>
        <w:instrText xml:space="preserve"> REF _Ref232596860 \r \h </w:instrText>
      </w:r>
      <w:r w:rsidR="00967618" w:rsidRPr="00796736">
        <w:rPr>
          <w:rFonts w:ascii="Times New Roman" w:eastAsia="Calibri" w:hAnsi="Times New Roman" w:cs="Times New Roman"/>
          <w:sz w:val="24"/>
          <w:szCs w:val="24"/>
        </w:rPr>
        <w:instrText xml:space="preserve"> \* MERGEFORMAT </w:instrText>
      </w:r>
      <w:r w:rsidR="0077264B" w:rsidRPr="00796736">
        <w:rPr>
          <w:rFonts w:ascii="Times New Roman" w:eastAsia="Calibri" w:hAnsi="Times New Roman" w:cs="Times New Roman"/>
          <w:sz w:val="24"/>
          <w:szCs w:val="24"/>
        </w:rPr>
      </w:r>
      <w:r w:rsidR="0077264B"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47</w:t>
      </w:r>
      <w:r w:rsidR="0077264B" w:rsidRPr="00796736">
        <w:rPr>
          <w:rFonts w:ascii="Times New Roman" w:eastAsia="Calibri" w:hAnsi="Times New Roman" w:cs="Times New Roman"/>
          <w:sz w:val="24"/>
          <w:szCs w:val="24"/>
        </w:rPr>
        <w:fldChar w:fldCharType="end"/>
      </w:r>
      <w:r w:rsidR="00514A6F" w:rsidRPr="00796736">
        <w:rPr>
          <w:rFonts w:ascii="Times New Roman" w:eastAsia="Calibri" w:hAnsi="Times New Roman" w:cs="Times New Roman"/>
          <w:sz w:val="24"/>
          <w:szCs w:val="24"/>
        </w:rPr>
        <w:t>, stk. 1</w:t>
      </w:r>
      <w:r w:rsidRPr="00796736">
        <w:rPr>
          <w:rFonts w:ascii="Times New Roman" w:eastAsia="Calibri" w:hAnsi="Times New Roman" w:cs="Times New Roman"/>
          <w:sz w:val="24"/>
          <w:szCs w:val="24"/>
        </w:rPr>
        <w:t>, som betingelse for at kunne udøve virksomheden. Det er karakteristisk for denne type virksomhed, at der ikke stilles krav om tilladelse efter lov om finansiel virksomhed eller anden finansiel regulering, men at aktiviteten er omfattet af definitionen af finansieringsinstitut i forordningen.</w:t>
      </w:r>
    </w:p>
    <w:p w14:paraId="6D304364" w14:textId="77777777" w:rsidR="001D76D5" w:rsidRPr="00796736" w:rsidRDefault="001D76D5" w:rsidP="00A802A5">
      <w:pPr>
        <w:spacing w:line="360" w:lineRule="auto"/>
        <w:rPr>
          <w:rFonts w:ascii="Times New Roman" w:eastAsia="Calibri" w:hAnsi="Times New Roman" w:cs="Times New Roman"/>
          <w:sz w:val="24"/>
          <w:szCs w:val="24"/>
        </w:rPr>
      </w:pPr>
    </w:p>
    <w:p w14:paraId="6F9654CD" w14:textId="5D7334B9"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Bilag 1 er en sammenskrivning af bilag 1 og bilag 2 til lov om finansiel virksomhed og oplister de relevante aktiviteter, dog med undtagelse af kreditoplysningsvirksomheder. Udlånsvirksomheder er generelt omfattet, uanset om der er tale om udlån til private eller erhverv. Kreditter, der ydes til erhvervskunder som led i salg af varer og tjenesteydelser, foreslås dog ikke omfattet. Der henvises i øvrigt til bemærkningerne til bilag 1. Af praktiske hensyn foreslås det at gengive forordningens definition af øvrige virksomheder og personer, der erhvervsmæssigt udøver en eller flere af aktiviteterne oplistet i bilag 1 i det foreslåede</w:t>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nr. 8.</w:t>
      </w:r>
    </w:p>
    <w:p w14:paraId="754037E0" w14:textId="77777777" w:rsidR="001D76D5" w:rsidRPr="00796736" w:rsidRDefault="001D76D5" w:rsidP="00A802A5">
      <w:pPr>
        <w:spacing w:line="360" w:lineRule="auto"/>
        <w:rPr>
          <w:rFonts w:ascii="Times New Roman" w:eastAsia="Calibri" w:hAnsi="Times New Roman" w:cs="Times New Roman"/>
          <w:sz w:val="24"/>
          <w:szCs w:val="24"/>
        </w:rPr>
      </w:pPr>
    </w:p>
    <w:p w14:paraId="3BAC92DF" w14:textId="3C5FA1BB"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9</w:t>
      </w:r>
      <w:r w:rsidRPr="00796736">
        <w:rPr>
          <w:rFonts w:ascii="Times New Roman" w:eastAsia="Calibri" w:hAnsi="Times New Roman" w:cs="Times New Roman"/>
          <w:sz w:val="24"/>
          <w:szCs w:val="24"/>
        </w:rPr>
        <w:t xml:space="preserve">, at investeringsforvaltningsselskab og forvalter af alternative investeringsfonde defineres som et finansieringsinstitut omfattet af artikel 3, nr. 2, og artikel 2, stk. 1, nr. 6, litra e,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668B50A6" w14:textId="77777777" w:rsidR="001D76D5" w:rsidRPr="00796736" w:rsidRDefault="001D76D5" w:rsidP="00A802A5">
      <w:pPr>
        <w:spacing w:line="360" w:lineRule="auto"/>
        <w:rPr>
          <w:rFonts w:ascii="Times New Roman" w:eastAsia="Calibri" w:hAnsi="Times New Roman" w:cs="Times New Roman"/>
          <w:sz w:val="24"/>
          <w:szCs w:val="24"/>
        </w:rPr>
      </w:pPr>
    </w:p>
    <w:p w14:paraId="09A1CFC4" w14:textId="2BF7F750"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2,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omfatter begrebet finansieringsinstitut også investeringsforvaltningsselskaber og forvaltere af alternative investeringsfonde. Disse enheder er dermed omfattet af forordningens anvendelsesområde. Investeringsforvaltningsselskaber skal have tilladelse i henhold til § 10 i lov om finansiel virksomhed. Forvaltere af alternative investeringsfonde skal enten registreres efter § 9 eller have tilladelse i henhold til § 11 i lov om forvaltere af alternative investeringsfonde m.v. Af praktiske hensyn foreslås det at gengive forordningens definition af investeringsforvaltningsselskab og forvalter af alternative investeringsfonde i det foreslåede</w:t>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nr. 9.</w:t>
      </w:r>
    </w:p>
    <w:p w14:paraId="1FAC556B" w14:textId="77777777" w:rsidR="001D76D5" w:rsidRPr="00796736" w:rsidRDefault="001D76D5" w:rsidP="00A802A5">
      <w:pPr>
        <w:spacing w:line="360" w:lineRule="auto"/>
        <w:rPr>
          <w:rFonts w:ascii="Times New Roman" w:eastAsia="Calibri" w:hAnsi="Times New Roman" w:cs="Times New Roman"/>
          <w:sz w:val="24"/>
          <w:szCs w:val="24"/>
        </w:rPr>
      </w:pPr>
    </w:p>
    <w:p w14:paraId="31559ABA" w14:textId="2C127274"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10</w:t>
      </w:r>
      <w:r w:rsidRPr="00796736">
        <w:rPr>
          <w:rFonts w:ascii="Times New Roman" w:eastAsia="Calibri" w:hAnsi="Times New Roman" w:cs="Times New Roman"/>
          <w:sz w:val="24"/>
          <w:szCs w:val="24"/>
        </w:rPr>
        <w:t xml:space="preserve">, at Dansk UCITS og alternativ investeringsfond defineres som et finansieringsinstitut omfattet af artikel 3, nr. 2, og artikel 2, stk. 1, nr. 6, litra e,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3C1D9588" w14:textId="77777777" w:rsidR="001D76D5" w:rsidRPr="00796736" w:rsidRDefault="001D76D5" w:rsidP="00A802A5">
      <w:pPr>
        <w:spacing w:line="360" w:lineRule="auto"/>
        <w:rPr>
          <w:rFonts w:ascii="Times New Roman" w:eastAsia="Calibri" w:hAnsi="Times New Roman" w:cs="Times New Roman"/>
          <w:sz w:val="24"/>
          <w:szCs w:val="24"/>
        </w:rPr>
      </w:pPr>
    </w:p>
    <w:p w14:paraId="55FE5294" w14:textId="0CC9A6A9"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2,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UCITS (Undertakings for Collective Investment in Transferable Securities) og alternative investeringsfonde ligeledes omfattet af begrebet finansieringsinstitut og dermed omfattet af forordningens anvendelsesområde. En UCITS er et investeringsinstitut omfattet af Europa-Parlamentets og Rådets direktiv 2009/65/EF om samordning af love og administrative bestemmelser om visse institutter for kollektiv investering i værdipapirer. Danske UCITS omfatter investeringsforeninger, SIKAV’er (selskaber for investering med variabel kapital) og værdipapirfonde, der reguleres i lov om investeringsforeninger m.v. Investeringsforeninger er som udgangspunkt selvadministrerende foreninger med bestyrelse og direktion, men bestyrelsen kan vælge at delegere den daglige ledelse til et investeringsforvaltningsselskab. SIKAV’er har en bestyrelse og skal udpege et investeringsforvaltningsselskab til at varetage administrationen. En værdipapirfond administreres af et investeringsforvaltningsselskab og er ikke en selvstændig juridisk enhed.</w:t>
      </w:r>
    </w:p>
    <w:p w14:paraId="18B2DF3F" w14:textId="77777777" w:rsidR="001D76D5" w:rsidRPr="00796736" w:rsidRDefault="001D76D5" w:rsidP="00A802A5">
      <w:pPr>
        <w:spacing w:line="360" w:lineRule="auto"/>
        <w:rPr>
          <w:rFonts w:ascii="Times New Roman" w:eastAsia="Calibri" w:hAnsi="Times New Roman" w:cs="Times New Roman"/>
          <w:sz w:val="24"/>
          <w:szCs w:val="24"/>
        </w:rPr>
      </w:pPr>
    </w:p>
    <w:p w14:paraId="212B2172" w14:textId="189A873F" w:rsidR="001D76D5" w:rsidRPr="00796736" w:rsidRDefault="001D76D5" w:rsidP="00A802A5">
      <w:pPr>
        <w:spacing w:line="360" w:lineRule="auto"/>
        <w:rPr>
          <w:rFonts w:ascii="Times New Roman" w:eastAsia="Calibri" w:hAnsi="Times New Roman" w:cs="Times New Roman"/>
          <w:i/>
          <w:iCs/>
          <w:sz w:val="24"/>
          <w:szCs w:val="24"/>
        </w:rPr>
      </w:pPr>
      <w:r w:rsidRPr="00796736">
        <w:rPr>
          <w:rFonts w:ascii="Times New Roman" w:eastAsia="Calibri" w:hAnsi="Times New Roman" w:cs="Times New Roman"/>
          <w:sz w:val="24"/>
          <w:szCs w:val="24"/>
        </w:rPr>
        <w:t>Alternative investeringsfonde er kollektive investeringsordninger, der rejser kapital fra investorer med henblik på at investere kapitalen i overensstemmelse med en defineret investeringspolitik til fordel for investorerne, og som ikke er en UCITS. Alternative investeringsfonde skal udpege en forvalter, der varetager forvaltningen af fonden, herunder porteføljepleje og risikostyring. Hvis fonden ikke udpeger en ekstern forvalter, betragtes fonden som selvforvaltende. Forvaltere af alternative investeringsfonde og selvforvaltende alternative investeringsfonde er reguleret i lov om forvaltere af alternative investeringsfonde m.v. Af praktiske hensyn foreslås det at gengive forordningens definition af kollektive investeringsordninger i det foreslåede nr. 10.</w:t>
      </w:r>
    </w:p>
    <w:p w14:paraId="0EAED6AD" w14:textId="77777777" w:rsidR="001D76D5" w:rsidRPr="00796736" w:rsidRDefault="001D76D5" w:rsidP="00A802A5">
      <w:pPr>
        <w:spacing w:line="360" w:lineRule="auto"/>
        <w:rPr>
          <w:rFonts w:ascii="Times New Roman" w:eastAsia="Calibri" w:hAnsi="Times New Roman" w:cs="Times New Roman"/>
          <w:sz w:val="24"/>
          <w:szCs w:val="24"/>
        </w:rPr>
      </w:pPr>
    </w:p>
    <w:p w14:paraId="646E7087" w14:textId="3733CFC3"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11</w:t>
      </w:r>
      <w:r w:rsidRPr="00796736">
        <w:rPr>
          <w:rFonts w:ascii="Times New Roman" w:eastAsia="Calibri" w:hAnsi="Times New Roman" w:cs="Times New Roman"/>
          <w:sz w:val="24"/>
          <w:szCs w:val="24"/>
        </w:rPr>
        <w:t xml:space="preserve">, at valutavekslingsvirksomhed defineres som et finansieringsinstitut omfattet af artikel 3, nr. 2, og artikel 2, stk. 1, nr. 6, litra a,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7BDFE865" w14:textId="77777777" w:rsidR="001D76D5" w:rsidRPr="00796736" w:rsidRDefault="001D76D5" w:rsidP="00A802A5">
      <w:pPr>
        <w:spacing w:line="360" w:lineRule="auto"/>
        <w:rPr>
          <w:rFonts w:ascii="Times New Roman" w:eastAsia="Calibri" w:hAnsi="Times New Roman" w:cs="Times New Roman"/>
          <w:sz w:val="24"/>
          <w:szCs w:val="24"/>
        </w:rPr>
      </w:pPr>
    </w:p>
    <w:p w14:paraId="57E36679" w14:textId="3F8942CC"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2, i </w:t>
      </w:r>
      <w:r w:rsidR="00C96C71" w:rsidRPr="00796736">
        <w:rPr>
          <w:rFonts w:ascii="Times New Roman" w:eastAsia="Calibri" w:hAnsi="Times New Roman" w:cs="Times New Roman"/>
          <w:sz w:val="24"/>
          <w:szCs w:val="24"/>
        </w:rPr>
        <w:t xml:space="preserve">hvidvaskforordningen </w:t>
      </w:r>
      <w:r w:rsidRPr="00796736">
        <w:rPr>
          <w:rFonts w:ascii="Times New Roman" w:eastAsia="Calibri" w:hAnsi="Times New Roman" w:cs="Times New Roman"/>
          <w:sz w:val="24"/>
          <w:szCs w:val="24"/>
        </w:rPr>
        <w:t>er valutavekslingsvirksomheder omfattet af forordningens anvendelsesområde. Ved valutavekslingsvirksomhed forstås enhver form for erhvervsmæssig veksling af valuta. For at udbyde valutaveksling her i landet skal virksomheden have tilladelse fra Finanstilsynet. Det er ikke et krav, at valutaveksling er virksomhedens hovedaktivitet, men almindelige tilfælde, hvor en butik modtager betaling i fremmed valuta og giver tilbage i danske kroner, er ikke omfattet. Af praktiske hensyn foreslås det at gengive forordningens definition af finansieringsinstitut, der omfatter valutavekslingsvirksomhed, i det foreslåede</w:t>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nr. 11.</w:t>
      </w:r>
    </w:p>
    <w:p w14:paraId="49DF0C7E" w14:textId="77777777" w:rsidR="001D76D5" w:rsidRPr="00796736" w:rsidRDefault="001D76D5" w:rsidP="00A802A5">
      <w:pPr>
        <w:spacing w:line="360" w:lineRule="auto"/>
        <w:rPr>
          <w:rFonts w:ascii="Times New Roman" w:eastAsia="Calibri" w:hAnsi="Times New Roman" w:cs="Times New Roman"/>
          <w:sz w:val="24"/>
          <w:szCs w:val="24"/>
        </w:rPr>
      </w:pPr>
    </w:p>
    <w:p w14:paraId="0CEF2421" w14:textId="41C40890"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w:t>
      </w:r>
      <w:r w:rsidRPr="00796736">
        <w:rPr>
          <w:rFonts w:ascii="Times New Roman" w:eastAsia="Calibri" w:hAnsi="Times New Roman" w:cs="Times New Roman"/>
          <w:i/>
          <w:iCs/>
          <w:sz w:val="24"/>
          <w:szCs w:val="24"/>
        </w:rPr>
        <w:t xml:space="preserve"> nr. 12</w:t>
      </w:r>
      <w:r w:rsidRPr="00796736">
        <w:rPr>
          <w:rFonts w:ascii="Times New Roman" w:eastAsia="Calibri" w:hAnsi="Times New Roman" w:cs="Times New Roman"/>
          <w:sz w:val="24"/>
          <w:szCs w:val="24"/>
        </w:rPr>
        <w:t xml:space="preserve">, at udbyder af kryptoaktivtjenester defineres som et finansieringsinstitut omfattet af artikel 3, nr. 2, og artikel 2, stk. 1, nr. 9,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herunder også disses agenter, distributører eller anden infrastruktur.</w:t>
      </w:r>
    </w:p>
    <w:p w14:paraId="4D49BE1C" w14:textId="77777777" w:rsidR="001D76D5" w:rsidRPr="00796736" w:rsidRDefault="001D76D5" w:rsidP="00A802A5">
      <w:pPr>
        <w:spacing w:line="360" w:lineRule="auto"/>
        <w:rPr>
          <w:rFonts w:ascii="Times New Roman" w:eastAsia="Calibri" w:hAnsi="Times New Roman" w:cs="Times New Roman"/>
          <w:sz w:val="24"/>
          <w:szCs w:val="24"/>
        </w:rPr>
      </w:pPr>
    </w:p>
    <w:p w14:paraId="210F13E3" w14:textId="317A9D3B"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2,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udbydere af kryptoaktivtjenester omfattet af forordningens anvendelsesområde. En udbyder af kryptoaktivtjenester defineres som en juridisk person eller anden virksomhed, hvis erhverv eller forretning består i at levere en eller flere kryptoaktivtjenester til kunder på et erhvervsmæssigt grundlag, og som har tilladelse til at levere sådanne tjenester i overensstemmelse med artikel 59 i Europa-Parlamentets og Rådets forordning (EU) 2023/1114. Kryptoaktivtjenester omfatter blandt andet levering af deponering og administration af kryptoaktiver på kunders vegne, drift af en handelsplatform for kryptoaktiver, veksling mellem kryptoaktiver og midler samt modtagelse og formidling af ordrer vedrørende kryptoaktiver på vegne af kunder. </w:t>
      </w:r>
    </w:p>
    <w:p w14:paraId="5A7AAB87" w14:textId="77777777" w:rsidR="001D76D5" w:rsidRPr="00796736" w:rsidRDefault="001D76D5" w:rsidP="00A802A5">
      <w:pPr>
        <w:spacing w:line="360" w:lineRule="auto"/>
        <w:rPr>
          <w:rFonts w:ascii="Times New Roman" w:eastAsia="Calibri" w:hAnsi="Times New Roman" w:cs="Times New Roman"/>
          <w:sz w:val="24"/>
          <w:szCs w:val="24"/>
        </w:rPr>
      </w:pPr>
    </w:p>
    <w:p w14:paraId="2F133F7F" w14:textId="3328F048"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Udbydere af kryptoaktivtjenester, der leverer tjenester i andre medlemsstater gennem agenter, distributører eller anden infrastruktur, er ligeledes omfattet af forordningens anvendelsesområde. Dette følger af artikel 8, stk. 5, i </w:t>
      </w:r>
      <w:r w:rsidR="0017649E">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hvorefter forpligtede enheder, herunder udbydere af kryptoaktivtjenester, skal overholde reglerne i den medlemsstat, hvor tjenesten leveres, når aktiviteterne udøves gennem agenter, distributører eller lignende. Tilsvarende fremgår det af artikel 38, stk. 1, i </w:t>
      </w:r>
      <w:r w:rsidR="0017649E">
        <w:rPr>
          <w:rFonts w:ascii="Times New Roman" w:eastAsia="Calibri" w:hAnsi="Times New Roman" w:cs="Times New Roman"/>
          <w:sz w:val="24"/>
          <w:szCs w:val="24"/>
        </w:rPr>
        <w:t>6. hvidvaskdirektiv</w:t>
      </w:r>
      <w:r w:rsidRPr="00796736">
        <w:rPr>
          <w:rFonts w:ascii="Times New Roman" w:eastAsia="Calibri" w:hAnsi="Times New Roman" w:cs="Times New Roman"/>
          <w:sz w:val="24"/>
          <w:szCs w:val="24"/>
        </w:rPr>
        <w:t>, at aktiviteter, der udøves gennem agenter eller distributører, er underlagt tilsyn af de nationale tilsynsmyndigheder i den medlemsstat, hvor aktiviteterne udøves.</w:t>
      </w:r>
    </w:p>
    <w:p w14:paraId="1077C2BB" w14:textId="77777777" w:rsidR="001D76D5" w:rsidRPr="00796736" w:rsidRDefault="001D76D5" w:rsidP="00A802A5">
      <w:pPr>
        <w:spacing w:line="360" w:lineRule="auto"/>
        <w:rPr>
          <w:rFonts w:ascii="Times New Roman" w:eastAsia="Calibri" w:hAnsi="Times New Roman" w:cs="Times New Roman"/>
          <w:sz w:val="24"/>
          <w:szCs w:val="24"/>
        </w:rPr>
      </w:pPr>
    </w:p>
    <w:p w14:paraId="5D76405F" w14:textId="4612449D"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Udbydere af kryptoaktivtjenester skal have tilladelse fra Finanstilsynet i henhold til § 332 c, stk. 1, i lov om finansiel virksomhed i overensstemmelse med artikel 63, jf. artikel 59, stk. 1, litra a, i forordning (EU) 2023/1114, jf. dog stk. 2. Af praktiske hensyn foreslås det at gengive forordningens definition af udbydere af kryptoaktivtjenester i det foreslåede</w:t>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nr. 12.</w:t>
      </w:r>
    </w:p>
    <w:p w14:paraId="1C905E72" w14:textId="77777777" w:rsidR="001D76D5" w:rsidRPr="00796736" w:rsidRDefault="001D76D5" w:rsidP="00A802A5">
      <w:pPr>
        <w:spacing w:line="360" w:lineRule="auto"/>
        <w:rPr>
          <w:rFonts w:ascii="Times New Roman" w:eastAsia="Calibri" w:hAnsi="Times New Roman" w:cs="Times New Roman"/>
          <w:sz w:val="24"/>
          <w:szCs w:val="24"/>
        </w:rPr>
      </w:pPr>
    </w:p>
    <w:p w14:paraId="6983FE66" w14:textId="674ACCE2"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w:t>
      </w:r>
      <w:r w:rsidRPr="00796736">
        <w:rPr>
          <w:rFonts w:ascii="Times New Roman" w:eastAsia="Calibri" w:hAnsi="Times New Roman" w:cs="Times New Roman"/>
          <w:i/>
          <w:iCs/>
          <w:sz w:val="24"/>
          <w:szCs w:val="24"/>
        </w:rPr>
        <w:t xml:space="preserve"> nr. 13</w:t>
      </w:r>
      <w:r w:rsidRPr="00796736">
        <w:rPr>
          <w:rFonts w:ascii="Times New Roman" w:eastAsia="Calibri" w:hAnsi="Times New Roman" w:cs="Times New Roman"/>
          <w:sz w:val="24"/>
          <w:szCs w:val="24"/>
        </w:rPr>
        <w:t xml:space="preserve">, at crowdfundingtjenesteudbyder defineres som en virksomhed omfattet af artikel 3, nr. 3, litra h, og artikel 2, stk. 1, nr. 15,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07C377BC" w14:textId="77777777" w:rsidR="001D76D5" w:rsidRPr="00796736" w:rsidRDefault="001D76D5" w:rsidP="00A802A5">
      <w:pPr>
        <w:spacing w:line="360" w:lineRule="auto"/>
        <w:rPr>
          <w:rFonts w:ascii="Times New Roman" w:eastAsia="Calibri" w:hAnsi="Times New Roman" w:cs="Times New Roman"/>
          <w:sz w:val="24"/>
          <w:szCs w:val="24"/>
        </w:rPr>
      </w:pPr>
    </w:p>
    <w:p w14:paraId="70D51141"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3, litra h, i Europa-Parlamentets og Rådets forordning (EU) 2024/1624 er crowdfundingtjenesteudbydere omfattet af forordningens anvendelsesområde. Ved crowdfundingtjenesteudbydere forstås virksomheder, der matcher investorers og projektejeres erhvervsfinansieringsinteresser ved anvendelse af en crowdfundingplatform, herunder formidling af långivning eller placering uden fast forpligtelse af værdipapirer og instrumenter, der er godkendt til crowdfunding, samt modtagelse og formidling af kundeordrer vedrørende sådanne værdipapirer og instrumenter. </w:t>
      </w:r>
    </w:p>
    <w:p w14:paraId="3903E007" w14:textId="77777777" w:rsidR="001D76D5" w:rsidRPr="00796736" w:rsidRDefault="001D76D5" w:rsidP="00A802A5">
      <w:pPr>
        <w:spacing w:line="360" w:lineRule="auto"/>
        <w:rPr>
          <w:rFonts w:ascii="Times New Roman" w:eastAsia="Calibri" w:hAnsi="Times New Roman" w:cs="Times New Roman"/>
          <w:sz w:val="24"/>
          <w:szCs w:val="24"/>
        </w:rPr>
      </w:pPr>
    </w:p>
    <w:p w14:paraId="64B6384B" w14:textId="22EE8A1C"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Crowdfundingtjenesteudbydere omfatter både lånebaseret og investeringsbaseret crowdfunding. Donationsbaseret crowdfunding samt rewardbaseret crowdfunding, hvor investorer får en fysisk vare retur, er omfattet af den foreslåede nr. </w:t>
      </w:r>
      <w:r w:rsidR="0077264B" w:rsidRPr="00796736">
        <w:rPr>
          <w:rFonts w:ascii="Times New Roman" w:eastAsia="Calibri" w:hAnsi="Times New Roman" w:cs="Times New Roman"/>
          <w:sz w:val="24"/>
          <w:szCs w:val="24"/>
        </w:rPr>
        <w:t>1</w:t>
      </w:r>
      <w:r w:rsidR="00523EC4" w:rsidRPr="00796736">
        <w:rPr>
          <w:rFonts w:ascii="Times New Roman" w:eastAsia="Calibri" w:hAnsi="Times New Roman" w:cs="Times New Roman"/>
          <w:sz w:val="24"/>
          <w:szCs w:val="24"/>
        </w:rPr>
        <w:t>4</w:t>
      </w:r>
      <w:r w:rsidRPr="00796736">
        <w:rPr>
          <w:rFonts w:ascii="Times New Roman" w:eastAsia="Calibri" w:hAnsi="Times New Roman" w:cs="Times New Roman"/>
          <w:sz w:val="24"/>
          <w:szCs w:val="24"/>
        </w:rPr>
        <w:t>. Udbydere af crowdfundingtjenester skal have tilladelse fra Finanstilsynet, jf. § 343 a, stk. 1, i lov om finansiel virksomhed. Af praktiske hensyn foreslås det at gengive forordningens definition i artikel 2, stk. 1, nr. 15, af crowdfundingtjenesteudbydere i det foreslåede</w:t>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nr. 13.</w:t>
      </w:r>
    </w:p>
    <w:p w14:paraId="3D9A8796" w14:textId="77777777" w:rsidR="001D76D5" w:rsidRPr="00796736" w:rsidRDefault="001D76D5" w:rsidP="00A802A5">
      <w:pPr>
        <w:spacing w:line="360" w:lineRule="auto"/>
        <w:rPr>
          <w:rFonts w:ascii="Times New Roman" w:eastAsia="Calibri" w:hAnsi="Times New Roman" w:cs="Times New Roman"/>
          <w:sz w:val="24"/>
          <w:szCs w:val="24"/>
        </w:rPr>
      </w:pPr>
    </w:p>
    <w:p w14:paraId="6C50665F" w14:textId="71AF2A74"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14</w:t>
      </w:r>
      <w:r w:rsidRPr="00796736">
        <w:rPr>
          <w:rFonts w:ascii="Times New Roman" w:eastAsia="Calibri" w:hAnsi="Times New Roman" w:cs="Times New Roman"/>
          <w:sz w:val="24"/>
          <w:szCs w:val="24"/>
        </w:rPr>
        <w:t xml:space="preserve">, at crowdfundingformidlere defineres som en virksomhed omfattet af artikel 3, nr. 3, litra h, og artikel 2, stk. 1, nr. 16, i </w:t>
      </w:r>
      <w:r w:rsidR="00C96C71" w:rsidRPr="00796736">
        <w:rPr>
          <w:rFonts w:ascii="Times New Roman" w:eastAsia="Calibri" w:hAnsi="Times New Roman" w:cs="Times New Roman"/>
          <w:sz w:val="24"/>
          <w:szCs w:val="24"/>
        </w:rPr>
        <w:t>hvidvaskforordningen</w:t>
      </w:r>
    </w:p>
    <w:p w14:paraId="63744564" w14:textId="77777777" w:rsidR="001D76D5" w:rsidRPr="00796736" w:rsidRDefault="001D76D5" w:rsidP="00A802A5">
      <w:pPr>
        <w:spacing w:line="360" w:lineRule="auto"/>
        <w:rPr>
          <w:rFonts w:ascii="Times New Roman" w:eastAsia="Calibri" w:hAnsi="Times New Roman" w:cs="Times New Roman"/>
          <w:sz w:val="24"/>
          <w:szCs w:val="24"/>
        </w:rPr>
      </w:pPr>
    </w:p>
    <w:p w14:paraId="7E970955"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3, litra h, i Europa-Parlamentets og Rådets forordning (EU) 2024/1624 er crowdfundingformidlere omfattet af forordningens anvendelsesområde. Begrebet crowdfundingformidler omfatter virksomheder, der ikke selv er crowdfundingtjenesteudbydere, men som gennem et internetbaseret informationssystem, tilgængeligt for offentligheden eller et begrænset antal finansieringsydere, matcher eller gør det lettere at matche projektejere og finansieringsydere. </w:t>
      </w:r>
    </w:p>
    <w:p w14:paraId="034DF353" w14:textId="77777777" w:rsidR="001D76D5" w:rsidRPr="00796736" w:rsidRDefault="001D76D5" w:rsidP="00A802A5">
      <w:pPr>
        <w:spacing w:line="360" w:lineRule="auto"/>
        <w:rPr>
          <w:rFonts w:ascii="Times New Roman" w:eastAsia="Calibri" w:hAnsi="Times New Roman" w:cs="Times New Roman"/>
          <w:sz w:val="24"/>
          <w:szCs w:val="24"/>
        </w:rPr>
      </w:pPr>
    </w:p>
    <w:p w14:paraId="607C6AED" w14:textId="5581E2E2"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Donationsbaseret crowdfunding samt rewardbaseret crowdfunding, hvor investorer får en fysisk vare retur, vil være omfattet af denne bestemmelse. Med projektejere forstås fysiske eller juridiske personer, der søger finansiering til et projekt bestående af en eller flere på forhånd definerede aktiviteter med et bestemt mål, herunder tilvejebringelse af midler til en sag eller begivenhed, uanset om projektet udbydes til offentligheden eller et begrænset antal finansieringsydere. Med finansieringsydere forstås fysiske eller juridiske personer, der bidrager til finansiering af projekter gennem lån, med eller uden renter, eller donationer, herunder donationer, der giver donor en immateriel fordel. Af praktiske hensyn foreslås det at gengive forordningens definition i artikel 2, stk. 1, nr. 16, af crowdfundingformidlere i det foreslåede</w:t>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nr. 14.</w:t>
      </w:r>
    </w:p>
    <w:p w14:paraId="201EF3A6" w14:textId="77777777" w:rsidR="001D76D5" w:rsidRPr="00796736" w:rsidRDefault="001D76D5" w:rsidP="00A802A5">
      <w:pPr>
        <w:spacing w:line="360" w:lineRule="auto"/>
        <w:rPr>
          <w:rFonts w:ascii="Times New Roman" w:eastAsia="Calibri" w:hAnsi="Times New Roman" w:cs="Times New Roman"/>
          <w:sz w:val="24"/>
          <w:szCs w:val="24"/>
        </w:rPr>
      </w:pPr>
    </w:p>
    <w:p w14:paraId="5E75E0D9" w14:textId="5DB329C2"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15</w:t>
      </w:r>
      <w:r w:rsidRPr="00796736">
        <w:rPr>
          <w:rFonts w:ascii="Times New Roman" w:eastAsia="Calibri" w:hAnsi="Times New Roman" w:cs="Times New Roman"/>
          <w:sz w:val="24"/>
          <w:szCs w:val="24"/>
        </w:rPr>
        <w:t xml:space="preserve">, at kreditformidlere defineres som en virksomhed omfattet af artikel 3, nr. 3, litra k,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6B3FD1DA" w14:textId="77777777" w:rsidR="001D76D5" w:rsidRPr="00796736" w:rsidRDefault="001D76D5" w:rsidP="00A802A5">
      <w:pPr>
        <w:spacing w:line="360" w:lineRule="auto"/>
        <w:rPr>
          <w:rFonts w:ascii="Times New Roman" w:eastAsia="Calibri" w:hAnsi="Times New Roman" w:cs="Times New Roman"/>
          <w:sz w:val="24"/>
          <w:szCs w:val="24"/>
        </w:rPr>
      </w:pPr>
    </w:p>
    <w:p w14:paraId="0A627D0D" w14:textId="053494FF"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artikel 3, nr. 3, litra k,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er kreditformidlere af realkreditlån (boligkreditformidlere) og kreditformidlere af forbrugerkreditter omfattet af forordningens anvendelsesområde. Det fremgår af artikel 2, stk. 1, nr. 6, litra h, i forordningen, at ved en kreditformidler forstås en kreditformidler som defineret i artikel 4, nr. 5), i direktiv 2014/17/EU og i artikel 3, litra f), i direktiv 2008/48/EF, når denne besidder midler som defineret i artikel 4, nr. 25), i direktiv (EU) 2015/2366 i forbindelse med kreditaftalen, med undtagelse af en kreditformidler, der udfører aktiviteter på en eller flere kreditgiveres eller kreditformidleres ansvar.</w:t>
      </w:r>
    </w:p>
    <w:p w14:paraId="7F642214" w14:textId="77777777" w:rsidR="001D76D5" w:rsidRPr="00796736" w:rsidRDefault="001D76D5" w:rsidP="00A802A5">
      <w:pPr>
        <w:spacing w:line="360" w:lineRule="auto"/>
        <w:rPr>
          <w:rFonts w:ascii="Times New Roman" w:eastAsia="Calibri" w:hAnsi="Times New Roman" w:cs="Times New Roman"/>
          <w:sz w:val="24"/>
          <w:szCs w:val="24"/>
        </w:rPr>
      </w:pPr>
    </w:p>
    <w:p w14:paraId="3F7C489C"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Boligkreditformidlere er implementeret i lov om investeringsrådgivere og boligkreditformidlere. Boligkreditformidlere skal have tilladelse som boligkreditformidler, jf. § 3, stk. 1. En boligkreditformidler defineres i lov om investeringsrådgivere og boligkreditformidlere som en virksomhed, der som led i sin erhvervsmæssige hoved- eller bibeskæftigelse præsenterer eller tilbyder boligkreditaftaler til forbrugere, indgår sådanne aftaler med en forbruger på vegne af en kreditgiver eller bistår en forbruger med rådgivning, administration eller andet forberedende arbejde forud for indgåelsen af en boligkreditaftale.</w:t>
      </w:r>
    </w:p>
    <w:p w14:paraId="1DFA5F84" w14:textId="77777777" w:rsidR="001D76D5" w:rsidRPr="00796736" w:rsidRDefault="001D76D5" w:rsidP="00A802A5">
      <w:pPr>
        <w:spacing w:line="360" w:lineRule="auto"/>
        <w:rPr>
          <w:rFonts w:ascii="Times New Roman" w:eastAsia="Calibri" w:hAnsi="Times New Roman" w:cs="Times New Roman"/>
          <w:sz w:val="24"/>
          <w:szCs w:val="24"/>
        </w:rPr>
      </w:pPr>
    </w:p>
    <w:p w14:paraId="292F1270" w14:textId="77777777"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Kreditformidlere af forbrugerkreditter er defineret i artikel 3, litra f, i direktiv 2008/48/EF og omfatter en fysisk eller juridisk person, der ikke selv er kreditgiver, men som mod betaling af et honorar – enten i form af penge eller en anden aftalt finansiel modydelse – udøver erhvervsmæssig virksomhed, hvor vedkommende enten præsenterer eller tilbyder kreditaftaler til forbrugere, bistår forbrugere med andet forberedende arbejde i forbindelse med kreditaftaler end selve præsentationen eller tilbuddet, eller indgår kreditaftaler med forbrugere på vegne af kreditgiveren. </w:t>
      </w:r>
    </w:p>
    <w:p w14:paraId="0DE3111B" w14:textId="77777777" w:rsidR="001D76D5" w:rsidRPr="00796736" w:rsidRDefault="001D76D5" w:rsidP="00A802A5">
      <w:pPr>
        <w:spacing w:line="360" w:lineRule="auto"/>
        <w:rPr>
          <w:rFonts w:ascii="Times New Roman" w:eastAsia="Calibri" w:hAnsi="Times New Roman" w:cs="Times New Roman"/>
          <w:sz w:val="24"/>
          <w:szCs w:val="24"/>
        </w:rPr>
      </w:pPr>
    </w:p>
    <w:p w14:paraId="5B13F80C" w14:textId="6DF5FE33" w:rsidR="001D76D5" w:rsidRPr="00796736" w:rsidRDefault="001D76D5" w:rsidP="00A802A5">
      <w:pPr>
        <w:spacing w:line="360" w:lineRule="auto"/>
        <w:rPr>
          <w:rFonts w:ascii="Times New Roman" w:eastAsia="Calibri" w:hAnsi="Times New Roman" w:cs="Times New Roman"/>
          <w:i/>
          <w:iCs/>
          <w:sz w:val="24"/>
          <w:szCs w:val="24"/>
        </w:rPr>
      </w:pPr>
      <w:r w:rsidRPr="00796736">
        <w:rPr>
          <w:rFonts w:ascii="Times New Roman" w:eastAsia="Calibri" w:hAnsi="Times New Roman" w:cs="Times New Roman"/>
          <w:sz w:val="24"/>
          <w:szCs w:val="24"/>
        </w:rPr>
        <w:t>Kreditformidlere af forbrugerkreditter er implementeret i lov om forbrugslånsvirksomheder og har ikke tidligere været omfattet af hvidvasklovens anvendelsesområde. Med indførelsen af § 3 a i lov om forbrugslånsvirksomhed er der etableret et registreringskrav for kreditformidlere, som gennemfører kravet om en godkendelsesprocedure efter artikel 37, stk. 1, i direktiv 2008/48/EF. En kreditformidler skal registreres hos Finanstilsynet, før virksomheden må udøve virksomhed. Visse accessoriske kreditformidlere er undtaget fra bl.a. registreringskravet. Af praktiske hensyn foreslås det at gengive forordningens definition i det foreslåede nr. 15</w:t>
      </w:r>
      <w:r w:rsidRPr="00796736">
        <w:rPr>
          <w:rFonts w:ascii="Times New Roman" w:eastAsia="Calibri" w:hAnsi="Times New Roman" w:cs="Times New Roman"/>
          <w:i/>
          <w:iCs/>
          <w:sz w:val="24"/>
          <w:szCs w:val="24"/>
        </w:rPr>
        <w:t>.</w:t>
      </w:r>
    </w:p>
    <w:p w14:paraId="281FC9E4" w14:textId="77777777" w:rsidR="001D76D5" w:rsidRPr="00796736" w:rsidRDefault="001D76D5" w:rsidP="00A802A5">
      <w:pPr>
        <w:spacing w:line="360" w:lineRule="auto"/>
        <w:rPr>
          <w:rFonts w:ascii="Times New Roman" w:eastAsia="Calibri" w:hAnsi="Times New Roman" w:cs="Times New Roman"/>
          <w:sz w:val="24"/>
          <w:szCs w:val="24"/>
        </w:rPr>
      </w:pPr>
    </w:p>
    <w:p w14:paraId="6690E806" w14:textId="21E6EF9B"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nr. 16</w:t>
      </w:r>
      <w:r w:rsidRPr="00796736">
        <w:rPr>
          <w:rFonts w:ascii="Times New Roman" w:eastAsia="Calibri" w:hAnsi="Times New Roman" w:cs="Times New Roman"/>
          <w:sz w:val="24"/>
          <w:szCs w:val="24"/>
        </w:rPr>
        <w:t xml:space="preserve">, at værdipapircentral defineres som et finansieringsinstitut omfattet af artikel 3, nr. 2, og artikel 2, stk. 1, nr. 6, litra f, i </w:t>
      </w:r>
      <w:r w:rsidR="00C96C71" w:rsidRPr="00796736">
        <w:rPr>
          <w:rFonts w:ascii="Times New Roman" w:eastAsia="Calibri" w:hAnsi="Times New Roman" w:cs="Times New Roman"/>
          <w:sz w:val="24"/>
          <w:szCs w:val="24"/>
        </w:rPr>
        <w:t>hvidvaskforordningen.</w:t>
      </w:r>
    </w:p>
    <w:p w14:paraId="602210DC" w14:textId="77777777" w:rsidR="001D76D5" w:rsidRPr="00796736" w:rsidRDefault="001D76D5" w:rsidP="00A802A5">
      <w:pPr>
        <w:spacing w:line="360" w:lineRule="auto"/>
        <w:rPr>
          <w:rFonts w:ascii="Times New Roman" w:eastAsia="Calibri" w:hAnsi="Times New Roman" w:cs="Times New Roman"/>
          <w:sz w:val="24"/>
          <w:szCs w:val="24"/>
        </w:rPr>
      </w:pPr>
    </w:p>
    <w:p w14:paraId="15EDAA3B" w14:textId="10E902D8" w:rsidR="001D76D5" w:rsidRPr="00796736" w:rsidRDefault="001D76D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I henhold til artikel 2, stk. 1, nr. 6, litra f, i </w:t>
      </w:r>
      <w:r w:rsidR="00C96C7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indgår værdipapircentraler i definitionen af finansieringsinstitutter i artikel 3, nr. 2. Værdipapircentraler er dermed omfattet af forordningens anvendelsesområde. </w:t>
      </w:r>
      <w:r w:rsidRPr="00796736">
        <w:rPr>
          <w:rFonts w:ascii="Times New Roman" w:eastAsia="Times New Roman" w:hAnsi="Times New Roman" w:cs="Times New Roman"/>
          <w:sz w:val="24"/>
          <w:szCs w:val="24"/>
          <w:lang w:eastAsia="da-DK"/>
        </w:rPr>
        <w:t xml:space="preserve">Efter artikel 2, stk. 1, nr. 1, i Europa-Parlamentets og Rådets forordning (EU) nr. 909/2014 er værdipapircentraler (CSD’er) omfattet af lovens anvendelsesområde. En værdipapircentral er en juridisk person, der har tilladelse til at udøve hovedaktiviteter såsom udstedelse, opbevaring og drift af afviklingssystemer for værdipapirer i henhold til forordningen. </w:t>
      </w:r>
    </w:p>
    <w:p w14:paraId="59A858E6"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p>
    <w:p w14:paraId="2A6743A0" w14:textId="31F5C5C9" w:rsidR="001D76D5" w:rsidRPr="00796736" w:rsidRDefault="001D76D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Personer eller enheder, der alene stiller systemer til rådighed for andre finansielle virksomheder, såsom clearing- og afviklingssystemer, eller som kun konverterer papirdokumenter til elektroniske data eller leverer meddelelsessystemer, er ikke omfattet af lovens anvendelsesområde. Dette afspejler principperne i betragtning nr. 158 i </w:t>
      </w:r>
      <w:r w:rsidR="00C96C71" w:rsidRPr="00796736">
        <w:rPr>
          <w:rFonts w:ascii="Times New Roman" w:eastAsia="Calibri" w:hAnsi="Times New Roman" w:cs="Times New Roman"/>
          <w:sz w:val="24"/>
          <w:szCs w:val="24"/>
        </w:rPr>
        <w:t>hvidvaskforordningen</w:t>
      </w:r>
      <w:r w:rsidRPr="00796736">
        <w:rPr>
          <w:rFonts w:ascii="Times New Roman" w:eastAsia="Times New Roman" w:hAnsi="Times New Roman" w:cs="Times New Roman"/>
          <w:sz w:val="24"/>
          <w:szCs w:val="24"/>
          <w:lang w:eastAsia="da-DK"/>
        </w:rPr>
        <w:t xml:space="preserve">, hvorefter forpligtede enheder kan benytte sig af tjenesteydelser fra andre private operatører, men ansvaret for overholdelse af kravene til bekæmpelse af hvidvask og terrorfinansiering forbliver hos de forpligtede enheder. Det foreslås derfor, at værdipapircentraler omfattes af loven, primært for så vidt angår de accessoriske aktiviteter, der kan give anledning til risiko, mens hovedaktiviteterne – at stille systemer til rådighed for andre finansielle virksomheder – ikke er omfattet. Af praktiske hensyn foreslås det at gengive forordningens definition af finansieringsinstitut, som omfatter værdipapircentraler, i </w:t>
      </w:r>
      <w:r w:rsidRPr="00796736">
        <w:rPr>
          <w:rFonts w:ascii="Times New Roman" w:eastAsia="Calibri" w:hAnsi="Times New Roman" w:cs="Times New Roman"/>
          <w:sz w:val="24"/>
          <w:szCs w:val="24"/>
        </w:rPr>
        <w:t>det foreslåede</w:t>
      </w:r>
      <w:r w:rsidRPr="00796736">
        <w:rPr>
          <w:rFonts w:ascii="Times New Roman" w:eastAsia="Times New Roman" w:hAnsi="Times New Roman" w:cs="Times New Roman"/>
          <w:i/>
          <w:iCs/>
          <w:sz w:val="24"/>
          <w:szCs w:val="24"/>
          <w:lang w:eastAsia="da-DK"/>
        </w:rPr>
        <w:t xml:space="preserve"> </w:t>
      </w:r>
      <w:r w:rsidRPr="00796736">
        <w:rPr>
          <w:rFonts w:ascii="Times New Roman" w:eastAsia="Times New Roman" w:hAnsi="Times New Roman" w:cs="Times New Roman"/>
          <w:sz w:val="24"/>
          <w:szCs w:val="24"/>
          <w:lang w:eastAsia="da-DK"/>
        </w:rPr>
        <w:t>nr. 16.</w:t>
      </w:r>
    </w:p>
    <w:p w14:paraId="569A2352"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p>
    <w:p w14:paraId="7249E497" w14:textId="3DC5672E" w:rsidR="001D76D5" w:rsidRPr="00796736" w:rsidRDefault="001D76D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00911473" w:rsidRPr="00796736">
        <w:rPr>
          <w:rFonts w:ascii="Times New Roman" w:eastAsia="Calibri" w:hAnsi="Times New Roman" w:cs="Times New Roman"/>
          <w:i/>
          <w:iCs/>
          <w:sz w:val="24"/>
          <w:szCs w:val="24"/>
        </w:rPr>
        <w:fldChar w:fldCharType="begin"/>
      </w:r>
      <w:r w:rsidR="00911473" w:rsidRPr="00796736">
        <w:rPr>
          <w:rFonts w:ascii="Times New Roman" w:eastAsia="Calibri" w:hAnsi="Times New Roman" w:cs="Times New Roman"/>
          <w:i/>
          <w:iCs/>
          <w:sz w:val="24"/>
          <w:szCs w:val="24"/>
        </w:rPr>
        <w:instrText xml:space="preserve"> REF _Ref232592818 \r \h  \* MERGEFORMAT </w:instrText>
      </w:r>
      <w:r w:rsidR="00911473" w:rsidRPr="00796736">
        <w:rPr>
          <w:rFonts w:ascii="Times New Roman" w:eastAsia="Calibri" w:hAnsi="Times New Roman" w:cs="Times New Roman"/>
          <w:i/>
          <w:iCs/>
          <w:sz w:val="24"/>
          <w:szCs w:val="24"/>
        </w:rPr>
      </w:r>
      <w:r w:rsidR="0091147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2</w:t>
      </w:r>
      <w:r w:rsidR="00911473" w:rsidRPr="00796736">
        <w:rPr>
          <w:rFonts w:ascii="Times New Roman" w:eastAsia="Calibri" w:hAnsi="Times New Roman" w:cs="Times New Roman"/>
          <w:i/>
          <w:iCs/>
          <w:sz w:val="24"/>
          <w:szCs w:val="24"/>
        </w:rPr>
        <w:fldChar w:fldCharType="end"/>
      </w:r>
      <w:r w:rsidR="00911473" w:rsidRPr="00796736">
        <w:rPr>
          <w:rFonts w:ascii="Times New Roman" w:eastAsia="Calibri" w:hAnsi="Times New Roman" w:cs="Times New Roman"/>
          <w:i/>
          <w:iCs/>
          <w:sz w:val="24"/>
          <w:szCs w:val="24"/>
        </w:rPr>
        <w:t xml:space="preserve">, </w:t>
      </w:r>
      <w:r w:rsidRPr="00796736">
        <w:rPr>
          <w:rFonts w:ascii="Times New Roman" w:eastAsia="Times New Roman" w:hAnsi="Times New Roman" w:cs="Times New Roman"/>
          <w:i/>
          <w:iCs/>
          <w:sz w:val="24"/>
          <w:szCs w:val="24"/>
          <w:lang w:eastAsia="da-DK"/>
        </w:rPr>
        <w:t xml:space="preserve"> nr. 17-19</w:t>
      </w:r>
      <w:r w:rsidRPr="00796736">
        <w:rPr>
          <w:rFonts w:ascii="Times New Roman" w:eastAsia="Times New Roman" w:hAnsi="Times New Roman" w:cs="Times New Roman"/>
          <w:sz w:val="24"/>
          <w:szCs w:val="24"/>
          <w:lang w:eastAsia="da-DK"/>
        </w:rPr>
        <w:t xml:space="preserve">, at finansielle holdingselskaber, blandede finansielle holdingselskaber og finansielle holdingselskaber med blandet aktivitet er defineres som et finansieringsinstitut </w:t>
      </w:r>
      <w:r w:rsidRPr="00796736">
        <w:rPr>
          <w:rFonts w:ascii="Times New Roman" w:eastAsia="Calibri" w:hAnsi="Times New Roman" w:cs="Times New Roman"/>
          <w:sz w:val="24"/>
          <w:szCs w:val="24"/>
        </w:rPr>
        <w:t>omfattet af</w:t>
      </w:r>
      <w:r w:rsidRPr="00796736">
        <w:rPr>
          <w:rFonts w:ascii="Times New Roman" w:eastAsia="Times New Roman" w:hAnsi="Times New Roman" w:cs="Times New Roman"/>
          <w:sz w:val="24"/>
          <w:szCs w:val="24"/>
          <w:lang w:eastAsia="da-DK"/>
        </w:rPr>
        <w:t xml:space="preserve"> artikel 3, nr. 2, jf. artikel 2, stk. 1, nr. 6, litra a, i </w:t>
      </w:r>
      <w:r w:rsidR="00C96C71" w:rsidRPr="00796736">
        <w:rPr>
          <w:rFonts w:ascii="Times New Roman" w:eastAsia="Calibri" w:hAnsi="Times New Roman" w:cs="Times New Roman"/>
          <w:sz w:val="24"/>
          <w:szCs w:val="24"/>
        </w:rPr>
        <w:t>hvidvaskforordningen</w:t>
      </w:r>
      <w:r w:rsidRPr="00796736">
        <w:rPr>
          <w:rFonts w:ascii="Times New Roman" w:eastAsia="Times New Roman" w:hAnsi="Times New Roman" w:cs="Times New Roman"/>
          <w:sz w:val="24"/>
          <w:szCs w:val="24"/>
          <w:lang w:eastAsia="da-DK"/>
        </w:rPr>
        <w:t xml:space="preserve">. </w:t>
      </w:r>
    </w:p>
    <w:p w14:paraId="17D372F6"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p>
    <w:p w14:paraId="25EE15D2"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Ved finansielt holdingselskab forstås en virksomhed, hvis hovedaktivitet er at eje andele i dattervirksomheder, hvor disse dattervirksomheder primært er kreditinstitutter, finansielle virksomheder eller forsikringsselskaber, jf. artikel 4, stk. 1, nr. 20, i forordning (EU) nr. 575/2013.</w:t>
      </w:r>
    </w:p>
    <w:p w14:paraId="39C7D395"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p>
    <w:p w14:paraId="420CE11B"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Et blandet finansielt holdingselskab er en modervirksomhed, der ikke selv er underlagt finansiel regulering, men som sammen med sine dattervirksomheder udgør et finansielt konglomerat, jf. artikel 2, nr. 15, i Europa-Parlamentets og Rådets direktiv 2002/87/EF. Blandt dattervirksomhederne skal mindst én være en reguleret virksomhed med hovedkontor i EU. </w:t>
      </w:r>
    </w:p>
    <w:p w14:paraId="0324AAD2"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p>
    <w:p w14:paraId="30B9DDE2"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Et finansielt konglomerat er en gruppe af virksomheder, hvor aktiviteterne hovedsageligt foregår inden for den finansielle sektor, og hvor gruppen omfatter mindst én virksomhed i forsikringssektoren og mindst én virksomhed i bank- eller investeringssektoren. Aktiviteterne inden for både forsikringssektoren og bank- eller investeringssektoren skal være væsentlige for gruppen.</w:t>
      </w:r>
    </w:p>
    <w:p w14:paraId="6581E54B"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p>
    <w:p w14:paraId="434655F2" w14:textId="1723435D" w:rsidR="001D76D5" w:rsidRPr="00796736" w:rsidRDefault="001D76D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Ved finansielt holdingselskab med blandet aktivitet forstås en virksomhed, som ikke er et finansielt holdingselskab eller et blandet finansielt holdingselskab, og som ikke er datterselskab af en anden virksomhed, og hvis datterselskaber omfatter mindst ét kreditinstitut eller finansieringsinstitut, jf. artikel 2, stk. 1, nr. 10, i </w:t>
      </w:r>
      <w:r w:rsidR="00CB2DE8" w:rsidRPr="00796736">
        <w:rPr>
          <w:rFonts w:ascii="Times New Roman" w:eastAsia="Calibri" w:hAnsi="Times New Roman" w:cs="Times New Roman"/>
          <w:sz w:val="24"/>
          <w:szCs w:val="24"/>
        </w:rPr>
        <w:t>hvidvaskforordningen</w:t>
      </w:r>
      <w:r w:rsidRPr="00796736">
        <w:rPr>
          <w:rFonts w:ascii="Times New Roman" w:eastAsia="Times New Roman" w:hAnsi="Times New Roman" w:cs="Times New Roman"/>
          <w:sz w:val="24"/>
          <w:szCs w:val="24"/>
          <w:lang w:eastAsia="da-DK"/>
        </w:rPr>
        <w:t>. Inddragelsen af finansielle holdingselskaber med blandet aktivitet skal ses i sammenhæng med formålet i betragtning nr. 10 i forordningen, hvorefter holdingselskaber, der udøver blandede aktiviteter, og hvis datterselskaber omfatter mindst én forpligtet enhed efter forordningen, omfattes af forordningens anvendelsesområde.</w:t>
      </w:r>
    </w:p>
    <w:p w14:paraId="7C5C0DBC" w14:textId="77777777" w:rsidR="001D76D5" w:rsidRPr="00796736" w:rsidRDefault="001D76D5" w:rsidP="00A802A5">
      <w:pPr>
        <w:spacing w:line="360" w:lineRule="auto"/>
        <w:rPr>
          <w:rFonts w:ascii="Times New Roman" w:eastAsia="Times New Roman" w:hAnsi="Times New Roman" w:cs="Times New Roman"/>
          <w:sz w:val="24"/>
          <w:szCs w:val="24"/>
          <w:lang w:eastAsia="da-DK"/>
        </w:rPr>
      </w:pPr>
    </w:p>
    <w:p w14:paraId="275F3B1E" w14:textId="7A37B1B4" w:rsidR="00940B1D" w:rsidRPr="00796736" w:rsidRDefault="001D76D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Af praktiske hensyn foreslås det at gengive forordningens definition af finansieringsinstitut, der omfatter de nævnte holdingselskaber, i </w:t>
      </w:r>
      <w:r w:rsidRPr="00796736">
        <w:rPr>
          <w:rFonts w:ascii="Times New Roman" w:eastAsia="Calibri" w:hAnsi="Times New Roman" w:cs="Times New Roman"/>
          <w:sz w:val="24"/>
          <w:szCs w:val="24"/>
        </w:rPr>
        <w:t>de foreslåede</w:t>
      </w:r>
      <w:r w:rsidRPr="00796736">
        <w:rPr>
          <w:rFonts w:ascii="Times New Roman" w:eastAsia="Times New Roman" w:hAnsi="Times New Roman" w:cs="Times New Roman"/>
          <w:sz w:val="24"/>
          <w:szCs w:val="24"/>
          <w:lang w:eastAsia="da-DK"/>
        </w:rPr>
        <w:t xml:space="preserve"> nr. 17-19.</w:t>
      </w:r>
    </w:p>
    <w:p w14:paraId="75183461" w14:textId="5045CB0B"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br/>
        <w:t xml:space="preserve">Det foreslås i </w:t>
      </w:r>
      <w:r w:rsidRPr="00796736">
        <w:rPr>
          <w:rFonts w:ascii="Times New Roman" w:eastAsia="Times New Roman" w:hAnsi="Times New Roman" w:cs="Times New Roman"/>
          <w:i/>
          <w:iCs/>
          <w:sz w:val="24"/>
          <w:szCs w:val="24"/>
          <w:lang w:eastAsia="da-DK"/>
        </w:rPr>
        <w:t>§</w:t>
      </w:r>
      <w:r w:rsidRPr="00796736">
        <w:rPr>
          <w:rFonts w:ascii="Times New Roman" w:eastAsia="Times New Roman" w:hAnsi="Times New Roman" w:cs="Times New Roman"/>
          <w:i/>
          <w:sz w:val="24"/>
          <w:szCs w:val="24"/>
          <w:lang w:eastAsia="da-DK"/>
        </w:rPr>
        <w:t xml:space="preserve"> </w:t>
      </w:r>
      <w:r w:rsidRPr="00796736">
        <w:rPr>
          <w:rFonts w:ascii="Times New Roman" w:eastAsia="Times New Roman" w:hAnsi="Times New Roman" w:cs="Times New Roman"/>
          <w:i/>
          <w:iCs/>
          <w:sz w:val="24"/>
          <w:szCs w:val="24"/>
          <w:lang w:eastAsia="da-DK"/>
        </w:rPr>
        <w:t>2, nr. 20,</w:t>
      </w:r>
      <w:r w:rsidRPr="00796736">
        <w:rPr>
          <w:rFonts w:ascii="Times New Roman" w:eastAsia="Times New Roman" w:hAnsi="Times New Roman" w:cs="Times New Roman"/>
          <w:sz w:val="24"/>
          <w:szCs w:val="24"/>
          <w:lang w:eastAsia="da-DK"/>
        </w:rPr>
        <w:t xml:space="preserve"> at revisorer defineres som revisorer omfattet af hvidvaskforordningens artikel 3, nr. 3. litra a, herunder revisorer og revisionsvirksomheder godkendt i henhold til revisorloven.</w:t>
      </w:r>
    </w:p>
    <w:p w14:paraId="3C9E547D"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11C24F1"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Efter artikel 3, nr. 3, litra a, i hvidvaskforordningen er revisorer anset som forpligtede enheder efter hvidvaskforordningen. </w:t>
      </w:r>
    </w:p>
    <w:p w14:paraId="4FC1E9BF"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5D312711"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foreslåede vil medføre, at revisorer og revisionsvirksomheder, der er godkendt i henhold revisorloven skal anses som revisorer omfattet af hvidvaskforordningens artikel 3, nr. 3, litra a. </w:t>
      </w:r>
    </w:p>
    <w:p w14:paraId="4E624B00"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41B4997B"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2, nr. 21,</w:t>
      </w:r>
      <w:r w:rsidRPr="00796736">
        <w:rPr>
          <w:rFonts w:ascii="Times New Roman" w:eastAsia="Times New Roman" w:hAnsi="Times New Roman" w:cs="Times New Roman"/>
          <w:sz w:val="24"/>
          <w:szCs w:val="24"/>
          <w:lang w:eastAsia="da-DK"/>
        </w:rPr>
        <w:t xml:space="preserve"> eksterne regnskabskyndige defineres som eksterne regnskabskyndige omfattet af hvidvaskforordningens artikel 3, nr. 3, litra a, herunder eksterne bogholdere og revisorer, som ikke er godkendt i henhold til revisorloven. </w:t>
      </w:r>
    </w:p>
    <w:p w14:paraId="4870E983"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EBB1AA9"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Efter artikel 3, nr. 3, litra a, i hvidvaskforordningen er eksterne regnskabskyndige anset som forpligtede enheder efter hvidvaskforordningen.</w:t>
      </w:r>
    </w:p>
    <w:p w14:paraId="5AFA979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5A965FA9"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foreslåede vil medføre, at blandt andet eksterne bogholdere og revisorer, som ikke er godkendt i henhold til revisorloven skal anses om eksterne regnskabskyndige, der er omfattet af hvidvaskforordningens artikel 3, nr. 3, litra a. </w:t>
      </w:r>
    </w:p>
    <w:p w14:paraId="55E0AE22"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7854317" w14:textId="1BA56A82"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præambelbetragtning nr. 42 til hvidvaskforordningen, at situationer kunne opstå, hvor enkeltpersoner, der betragtes som forpligtede enheder, leverer deres tjenester internt til virksomheder, hvis aktiviteter ikke falder ind under hvidvaskforordningens anvendelsesområde. Da disse virksomheder ikke fungerer som gatekeepere i forhold til Unionens finansielle system, er det vigtigt at præcisere, at sådanne ansatte, f.eks. interne advokater, ikke er omfattet af kravene i denne forordning. Tilsvarende bør enkeltpersoner, der udfører aktiviteter, der er omfattet af hvidvaskforordningens anvendelsesområde, ikke i sig selv betragtes som forpligtede enheder, når disse aktiviteter udføres i forbindelse med deres ansættelse hos en forpligtet enhed, f.eks. af advokater eller revisorer, der er ansat i et advokatfirma eller et revisionsfirma.</w:t>
      </w:r>
    </w:p>
    <w:p w14:paraId="3E6BA30C"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425AC718"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 2, nr. 22, </w:t>
      </w:r>
      <w:r w:rsidRPr="00796736">
        <w:rPr>
          <w:rFonts w:ascii="Times New Roman" w:eastAsia="Times New Roman" w:hAnsi="Times New Roman" w:cs="Times New Roman"/>
          <w:sz w:val="24"/>
          <w:szCs w:val="24"/>
          <w:lang w:eastAsia="da-DK"/>
        </w:rPr>
        <w:t>at skatterådgivere defineres om skatterådgivere og enhver anden fysik eller juridisk person omfattet af hvidvaskforordningens artikel 3, nr. 3, litra a.</w:t>
      </w:r>
    </w:p>
    <w:p w14:paraId="2F94C55A"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7963DB2B"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artikel 3, nr. 3, litra a, i hvidvaskforordningen, at skatterådgivere og enhver anden fysisk eller juridisk person, der forpligter sig til yde, enten direkte eller ved hjælp af andre personer, som denne anden person har tilknytning til, materiel hjælp, bistand eller rådgivning om skatteanliggender som vigtigste forretnings- eller erhvervsmæssige virksomhed, er anset som forpligtede enheder efter hvidvaskforordningen.</w:t>
      </w:r>
    </w:p>
    <w:p w14:paraId="06DBF9C9" w14:textId="77777777" w:rsidR="00940B1D" w:rsidRPr="00796736" w:rsidRDefault="00940B1D" w:rsidP="00A802A5">
      <w:pPr>
        <w:tabs>
          <w:tab w:val="left" w:pos="2190"/>
        </w:tabs>
        <w:spacing w:line="360" w:lineRule="auto"/>
        <w:rPr>
          <w:rFonts w:ascii="Times New Roman" w:eastAsia="Times New Roman" w:hAnsi="Times New Roman" w:cs="Times New Roman"/>
          <w:sz w:val="24"/>
          <w:szCs w:val="24"/>
          <w:lang w:eastAsia="da-DK"/>
        </w:rPr>
      </w:pPr>
    </w:p>
    <w:p w14:paraId="400A3C8E"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foreslåede vil medføre, at skatterådgivere og enhver anden fysisk eller juridisk person, der forpligter sig til yde, enten direkte eller ved hjælp af andre personer, som denne anden person har tilknytning til, materiel hjælp, bistand eller rådgivning om skatteanliggender som vigtigste forretnings- eller erhvervsmæssige virksomhed, skal anses som skatterådgivere, der er omfattet af hvidvaskforordningens artikel 3, nr. 3, litra a.</w:t>
      </w:r>
    </w:p>
    <w:p w14:paraId="63C1F7B0"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3480E8E"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2, nr. 23,</w:t>
      </w:r>
      <w:r w:rsidRPr="00796736">
        <w:rPr>
          <w:rFonts w:ascii="Times New Roman" w:eastAsia="Times New Roman" w:hAnsi="Times New Roman" w:cs="Times New Roman"/>
          <w:sz w:val="24"/>
          <w:szCs w:val="24"/>
          <w:lang w:eastAsia="da-DK"/>
        </w:rPr>
        <w:t xml:space="preserve"> at andre selvstændige retlige aktører defineres som andre selvstændige retlige aktører omfattet af henholdsvis hvidvaskforordningens artikel 3, nr. 3, litra a, og artikel 3, nr. 3, litra b, for så vidt at disse ikke er enten notarer eller advokater.</w:t>
      </w:r>
    </w:p>
    <w:p w14:paraId="1E631B7B"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5B21F282"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Efter artikel 3, nr. 3, litra i hvidvaskforordningen fremgår det, at selvstændige retlige aktører, der forpligter sig til at yde, enten direkte eller ved hjælp af andre personer, som denne anden person har tilknytning til, materiel hjælp, bistand eller rådgivning om skatteanliggender som vigtigste forretnings- eller erhvervsmæssige virksomhed, er anset som forpligtede enheder efter hvidvaskforordningen. </w:t>
      </w:r>
    </w:p>
    <w:p w14:paraId="4061413D"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6E109D18"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artikel 3, nr. 3, litra b i hvidvaskforordningen, at andre selvstændige retlige aktører end notar og advokater, når de på deres kundes vegne og for dennes regning deltager i en hvilken som helst finansiel transaktion eller en transaktion vedrørende fast ejendom eller bistår ved planlægning eller gennemførelsen af transaktioner for deres kunde i forbindelse med én af følgende: i) køb og salg af fast ejendom eller virksomheder, ii) forvaltning af kunders penge, værdipapirer eller andre aktiver, herunder kryptoaktiver, iii) åbning eller forvaltning af bank-, opsparings-, værdipapir- eller kryptoaktivkonti, iv) tilvejebringelse af nødvendig kapital til oprettelse, drift eller ledelse af selskaber, v) oprettelse, drift eller ledelse af truster, selskaber, fonde eller lignende strukturer, er anset som forpligtede enheder efter hvidvaskforordningen.</w:t>
      </w:r>
    </w:p>
    <w:p w14:paraId="0E679D0E"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3800D4F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foreslåede vil medføre at ved andre selvstændige retlige aktører skal forstås selvstændige retlige aktører som nævnt i hvidvaskforordningens artikel 3, nr. 3, litra a og b, men undtagelse af notarer og advokater.</w:t>
      </w:r>
    </w:p>
    <w:p w14:paraId="12F6C806"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0643BD0"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2, nr. 24,</w:t>
      </w:r>
      <w:r w:rsidRPr="00796736">
        <w:rPr>
          <w:rFonts w:ascii="Times New Roman" w:eastAsia="Times New Roman" w:hAnsi="Times New Roman" w:cs="Times New Roman"/>
          <w:sz w:val="24"/>
          <w:szCs w:val="24"/>
          <w:lang w:eastAsia="da-DK"/>
        </w:rPr>
        <w:t xml:space="preserve"> at ejendomsmæglere og andre professionelle i forbindelse med fast ejendom defineres som ejendomsmæglere og andre professionelle i forbindelse med fast ejendom omfattet af hvidvaskforordningens artikel 3, nr. 3, litra d.</w:t>
      </w:r>
    </w:p>
    <w:p w14:paraId="405765CA"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73E8DE4E"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fremgår af artikel 3, nr. 3, litra d i hvidvaskforordningen, at ejendomsmæglere og andre professionelle i forbindelse med fastejendom, for så vidt de optræder som formidlere ved transaktioner vedrørende fast ejendom, herunder i forbindelse med udlejning af fast ejendom i relation til transaktioner, for hvilke den månedlige leje beløber sig til mindst 10.000 EUR eller et tilsvarende beløb i national valuta, uanset betalingsmiddel, anses som forpligtede enheder efter hvidvaskforordningen. </w:t>
      </w:r>
    </w:p>
    <w:p w14:paraId="47A55411"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C96E239"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foreslåede vil medføre, at ved ejendomsmæglere og andre professionelle i forbindelse med fast ejendom skal forstås ejendomsmæglere og andre professionelle i forbindelse med fast ejendom som nævnt i hvidvaskforordningens artikel 3, nr. 3, litra d.</w:t>
      </w:r>
    </w:p>
    <w:p w14:paraId="33717A93"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3783963"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 2, nr. 25, </w:t>
      </w:r>
      <w:r w:rsidRPr="00796736">
        <w:rPr>
          <w:rFonts w:ascii="Times New Roman" w:eastAsia="Times New Roman" w:hAnsi="Times New Roman" w:cs="Times New Roman"/>
          <w:sz w:val="24"/>
          <w:szCs w:val="24"/>
          <w:lang w:eastAsia="da-DK"/>
        </w:rPr>
        <w:t>at forhandlere af ædelmetaller og ædelsten defineres som fysiske eller juridiske personer omfattet af hvidvaskforordningens artikel 3, nr. 3, litra e, der som regelmæssig eller vigtigste erhvervsmæssige virksomhed handler med ædelmetaller og ædelsten, som oplistet i bilag V til hvidvaskforordningen.</w:t>
      </w:r>
    </w:p>
    <w:p w14:paraId="563E589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30D9799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Efter hvidvaskforordningens artikel 3, nr. 3, litra e, er personer, der som regelmæssige eller vigtigste erhvervsmæssige virksomhed handler med ædelmetaller og ædelsten anset som forpligtede enheder efter hvidvask forordningen.</w:t>
      </w:r>
    </w:p>
    <w:p w14:paraId="221A5C71"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68591292"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hvidvaskforordningens artikel 2, stk. 1, nr. 55, at ædelmetaller og ædelsten skal forstås som metaller og sten, der er anført i bilag V til hvidvaskforordningen.</w:t>
      </w:r>
    </w:p>
    <w:p w14:paraId="3C2A5BBB"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400DF5F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Af bilag V fremgår det, at ædelmetaller, der er omhandlet i artikel 2, stk. 1, nr. 55 omfatter: </w:t>
      </w:r>
    </w:p>
    <w:p w14:paraId="72A1E72F" w14:textId="77777777" w:rsidR="00940B1D" w:rsidRPr="00796736" w:rsidRDefault="00940B1D">
      <w:pPr>
        <w:pStyle w:val="Listeafsnit"/>
        <w:numPr>
          <w:ilvl w:val="1"/>
          <w:numId w:val="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Guld</w:t>
      </w:r>
    </w:p>
    <w:p w14:paraId="482EE9D7" w14:textId="77777777" w:rsidR="00940B1D" w:rsidRPr="00796736" w:rsidRDefault="00940B1D">
      <w:pPr>
        <w:pStyle w:val="Listeafsnit"/>
        <w:numPr>
          <w:ilvl w:val="1"/>
          <w:numId w:val="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Sølv</w:t>
      </w:r>
    </w:p>
    <w:p w14:paraId="4ACDA902" w14:textId="77777777" w:rsidR="00940B1D" w:rsidRPr="00796736" w:rsidRDefault="00940B1D">
      <w:pPr>
        <w:pStyle w:val="Listeafsnit"/>
        <w:numPr>
          <w:ilvl w:val="1"/>
          <w:numId w:val="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Platin</w:t>
      </w:r>
    </w:p>
    <w:p w14:paraId="4ED98BA4" w14:textId="77777777" w:rsidR="00940B1D" w:rsidRPr="00796736" w:rsidRDefault="00940B1D">
      <w:pPr>
        <w:pStyle w:val="Listeafsnit"/>
        <w:numPr>
          <w:ilvl w:val="1"/>
          <w:numId w:val="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Iridium</w:t>
      </w:r>
    </w:p>
    <w:p w14:paraId="0ACEEB39" w14:textId="77777777" w:rsidR="00940B1D" w:rsidRPr="00796736" w:rsidRDefault="00940B1D">
      <w:pPr>
        <w:pStyle w:val="Listeafsnit"/>
        <w:numPr>
          <w:ilvl w:val="1"/>
          <w:numId w:val="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Osmium</w:t>
      </w:r>
    </w:p>
    <w:p w14:paraId="3F22989D" w14:textId="77777777" w:rsidR="00940B1D" w:rsidRPr="00796736" w:rsidRDefault="00940B1D">
      <w:pPr>
        <w:pStyle w:val="Listeafsnit"/>
        <w:numPr>
          <w:ilvl w:val="1"/>
          <w:numId w:val="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Palladium</w:t>
      </w:r>
    </w:p>
    <w:p w14:paraId="2D458DA3" w14:textId="77777777" w:rsidR="00940B1D" w:rsidRPr="00796736" w:rsidRDefault="00940B1D">
      <w:pPr>
        <w:pStyle w:val="Listeafsnit"/>
        <w:numPr>
          <w:ilvl w:val="1"/>
          <w:numId w:val="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Rhodium</w:t>
      </w:r>
    </w:p>
    <w:p w14:paraId="60576E72" w14:textId="77777777" w:rsidR="00940B1D" w:rsidRPr="00796736" w:rsidRDefault="00940B1D">
      <w:pPr>
        <w:pStyle w:val="Listeafsnit"/>
        <w:numPr>
          <w:ilvl w:val="1"/>
          <w:numId w:val="8"/>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Ruthenium</w:t>
      </w:r>
    </w:p>
    <w:p w14:paraId="1534E92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9E13990"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fremgår ydermere af bilag V, at ædelsten, der er omhandlet i artikel 2, stk. 1, nr. 55 omfatter: </w:t>
      </w:r>
    </w:p>
    <w:p w14:paraId="406A0C39" w14:textId="77777777" w:rsidR="00940B1D" w:rsidRPr="00796736" w:rsidRDefault="00940B1D">
      <w:pPr>
        <w:pStyle w:val="Listeafsnit"/>
        <w:numPr>
          <w:ilvl w:val="1"/>
          <w:numId w:val="19"/>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Diamant</w:t>
      </w:r>
    </w:p>
    <w:p w14:paraId="3F63C86A" w14:textId="77777777" w:rsidR="00940B1D" w:rsidRPr="00796736" w:rsidRDefault="00940B1D">
      <w:pPr>
        <w:pStyle w:val="Listeafsnit"/>
        <w:numPr>
          <w:ilvl w:val="1"/>
          <w:numId w:val="19"/>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Rubin</w:t>
      </w:r>
    </w:p>
    <w:p w14:paraId="720C5EF3" w14:textId="77777777" w:rsidR="00940B1D" w:rsidRPr="00796736" w:rsidRDefault="00940B1D">
      <w:pPr>
        <w:pStyle w:val="Listeafsnit"/>
        <w:numPr>
          <w:ilvl w:val="1"/>
          <w:numId w:val="19"/>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Safir</w:t>
      </w:r>
    </w:p>
    <w:p w14:paraId="5FA38550" w14:textId="77777777" w:rsidR="00940B1D" w:rsidRPr="00796736" w:rsidRDefault="00940B1D">
      <w:pPr>
        <w:pStyle w:val="Listeafsnit"/>
        <w:numPr>
          <w:ilvl w:val="1"/>
          <w:numId w:val="19"/>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Smaragd</w:t>
      </w:r>
    </w:p>
    <w:p w14:paraId="1F3E43C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32BAEA7B"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foreslåede vil medføre, at en forhandler af ædelmetaller og ædelsten skal forstås som en fysisk eller juridisk person omfattet af hvidvaskforordningens artikel 3, nr. 3, litra e, som handler med ædelmetaller og ædelsten, som oplistet i bilag V til hvidvaskforordningen.</w:t>
      </w:r>
    </w:p>
    <w:p w14:paraId="47C24B92"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03DA068C"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2, nr. 26,</w:t>
      </w:r>
      <w:r w:rsidRPr="00796736">
        <w:rPr>
          <w:rFonts w:ascii="Times New Roman" w:hAnsi="Times New Roman" w:cs="Times New Roman"/>
          <w:sz w:val="24"/>
          <w:szCs w:val="24"/>
        </w:rPr>
        <w:t xml:space="preserve"> at forhandlere af højværdivarer defineres som fysiske eller juridiske personer omfattet af hvidvaskforordningens artikel 3, nr. 3, litra f, der som regelmæssig eller vigtigste erhvervsmæssige virksomhed handler med varer af høj værdi, som oplistet i bilag IV til hvidvaskforordningen. </w:t>
      </w:r>
    </w:p>
    <w:p w14:paraId="5E39C88D" w14:textId="77777777" w:rsidR="00940B1D" w:rsidRPr="00796736" w:rsidRDefault="00940B1D" w:rsidP="00A802A5">
      <w:pPr>
        <w:spacing w:line="360" w:lineRule="auto"/>
        <w:rPr>
          <w:rFonts w:ascii="Times New Roman" w:hAnsi="Times New Roman" w:cs="Times New Roman"/>
          <w:sz w:val="24"/>
          <w:szCs w:val="24"/>
        </w:rPr>
      </w:pPr>
    </w:p>
    <w:p w14:paraId="69CFC30E"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3, nr. 3, litra f, i hvidvaskforordningen, at personer, der som regelmæssig eller vigtigste erhvervsmæssige virksomhed handler med varer af høj værdi er anset som forpligtede enheder efter hvidvaskloven.</w:t>
      </w:r>
    </w:p>
    <w:p w14:paraId="627AD743"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Af </w:t>
      </w:r>
      <w:r w:rsidRPr="00796736">
        <w:rPr>
          <w:rFonts w:ascii="Times New Roman" w:eastAsia="Times New Roman" w:hAnsi="Times New Roman" w:cs="Times New Roman"/>
          <w:sz w:val="24"/>
          <w:szCs w:val="24"/>
          <w:lang w:eastAsia="da-DK"/>
        </w:rPr>
        <w:t xml:space="preserve">hvidvaskforordningens </w:t>
      </w:r>
      <w:r w:rsidRPr="00796736">
        <w:rPr>
          <w:rFonts w:ascii="Times New Roman" w:hAnsi="Times New Roman" w:cs="Times New Roman"/>
          <w:sz w:val="24"/>
          <w:szCs w:val="24"/>
        </w:rPr>
        <w:t>artikel 2, stk. 1, nr. 54, fremgår det, at varer af høj værdi skal forstås som varer, der er anført i bilag IV til hvidvaskforordningen.</w:t>
      </w:r>
    </w:p>
    <w:p w14:paraId="1DA103C0" w14:textId="77777777" w:rsidR="00940B1D" w:rsidRPr="00796736" w:rsidRDefault="00940B1D" w:rsidP="00A802A5">
      <w:pPr>
        <w:spacing w:line="360" w:lineRule="auto"/>
        <w:rPr>
          <w:rFonts w:ascii="Times New Roman" w:hAnsi="Times New Roman" w:cs="Times New Roman"/>
          <w:sz w:val="24"/>
          <w:szCs w:val="24"/>
        </w:rPr>
      </w:pPr>
    </w:p>
    <w:p w14:paraId="4519B17E"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bilag IV til hvidvaskforordningen fremgår det, at varer af høj værdi som omhandlet i artikel 2, stk. 1, nr. 54 omfatter:</w:t>
      </w:r>
    </w:p>
    <w:p w14:paraId="05BB1953" w14:textId="77777777" w:rsidR="00940B1D" w:rsidRPr="00796736" w:rsidRDefault="00940B1D">
      <w:pPr>
        <w:pStyle w:val="Listeafsnit"/>
        <w:numPr>
          <w:ilvl w:val="2"/>
          <w:numId w:val="8"/>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smykker, guld- eller sølvsmedevarer med en værdi på over 10.000 EUR eller et tilsvarende beløb i national valuta</w:t>
      </w:r>
    </w:p>
    <w:p w14:paraId="75C743DD" w14:textId="77777777" w:rsidR="00940B1D" w:rsidRPr="00796736" w:rsidRDefault="00940B1D">
      <w:pPr>
        <w:pStyle w:val="Listeafsnit"/>
        <w:numPr>
          <w:ilvl w:val="2"/>
          <w:numId w:val="8"/>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ure med en værdi på 10.000 EUR eller et tilsvarende beløb i national valuta</w:t>
      </w:r>
    </w:p>
    <w:p w14:paraId="788376C2" w14:textId="77777777" w:rsidR="00940B1D" w:rsidRPr="00796736" w:rsidRDefault="00940B1D">
      <w:pPr>
        <w:pStyle w:val="Listeafsnit"/>
        <w:numPr>
          <w:ilvl w:val="2"/>
          <w:numId w:val="8"/>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 xml:space="preserve">motorkøretøjer til en pris på over 250.000 EUR eller et tilsvarende beløb i national valuta </w:t>
      </w:r>
    </w:p>
    <w:p w14:paraId="666FEBE2" w14:textId="77777777" w:rsidR="00940B1D" w:rsidRPr="00796736" w:rsidRDefault="00940B1D">
      <w:pPr>
        <w:pStyle w:val="Listeafsnit"/>
        <w:numPr>
          <w:ilvl w:val="2"/>
          <w:numId w:val="8"/>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luftfartøjer til en pris på over 7.500.000 EUR eller et tilsvarende beløb i national valuta</w:t>
      </w:r>
    </w:p>
    <w:p w14:paraId="6EB91D3B" w14:textId="77777777" w:rsidR="00940B1D" w:rsidRPr="00796736" w:rsidRDefault="00940B1D">
      <w:pPr>
        <w:pStyle w:val="Listeafsnit"/>
        <w:numPr>
          <w:ilvl w:val="2"/>
          <w:numId w:val="8"/>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 xml:space="preserve">vandfartøjer til en pris på over 7.500.000 EUR eller er tilsvarende beløb i national valuta. </w:t>
      </w:r>
    </w:p>
    <w:p w14:paraId="4EA3625C" w14:textId="77777777" w:rsidR="00940B1D" w:rsidRPr="00796736" w:rsidRDefault="00940B1D" w:rsidP="00A802A5">
      <w:pPr>
        <w:spacing w:line="360" w:lineRule="auto"/>
        <w:rPr>
          <w:rFonts w:ascii="Times New Roman" w:hAnsi="Times New Roman" w:cs="Times New Roman"/>
          <w:sz w:val="24"/>
          <w:szCs w:val="24"/>
        </w:rPr>
      </w:pPr>
    </w:p>
    <w:p w14:paraId="6D013C0F"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foreslåede vil medføre, at en forhandler af højværdivarer skal forstås som en fysisk eller juridisk person omfattet af hvidvaskforordningens artikel 3, nr. 3, litra f, som handler med varer af høj værdi, som oplistet i bilag IV til hvidvaskforordningen med tilhørende tærskelværdier.</w:t>
      </w:r>
    </w:p>
    <w:p w14:paraId="636A0714" w14:textId="77777777" w:rsidR="00940B1D" w:rsidRPr="00796736" w:rsidRDefault="00940B1D" w:rsidP="00A802A5">
      <w:pPr>
        <w:spacing w:line="360" w:lineRule="auto"/>
        <w:rPr>
          <w:rFonts w:ascii="Times New Roman" w:hAnsi="Times New Roman" w:cs="Times New Roman"/>
          <w:sz w:val="24"/>
          <w:szCs w:val="24"/>
        </w:rPr>
      </w:pPr>
    </w:p>
    <w:p w14:paraId="759E7F60"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2, nr. 27,</w:t>
      </w:r>
      <w:r w:rsidRPr="00796736">
        <w:rPr>
          <w:rFonts w:ascii="Times New Roman" w:eastAsia="Times New Roman" w:hAnsi="Times New Roman" w:cs="Times New Roman"/>
          <w:sz w:val="24"/>
          <w:szCs w:val="24"/>
          <w:lang w:eastAsia="da-DK"/>
        </w:rPr>
        <w:t xml:space="preserve"> at forhandlere af kulturgoder defineres som fysiske eller juridiske personer omfattet af hvidvaskforordningens artikel 3, nr. 3, litra i, som handler med eller formidler handel med kulturgoder, som nærmere defineret i hvidvaskforordningens artikel 2, stk. 1, nr. 56, herunder når dette udføres af kunstgallerier og auktionshuse, hvor værdien af transaktionen eller indbyrdes forbundne transaktioner beløber sig til mindst 10.000 EUR eller et tilsvarende beløb i national valuta. </w:t>
      </w:r>
    </w:p>
    <w:p w14:paraId="5C898268"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25CA56D"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artikel 3, nr. 3, litra i, i hvidvaskforordningen at personer, som handler med eller formidler handel med kulturgoder, herunder når dette udføres af kunstgallerier og auktionshuse, hvor værdien af transaktionen eller indbyrdes forbundne transaktioner beløber sig til mindst 10.000 EUR eller et tilsvarende beløb i national valuta, anses som forpligtede enheder efter hvidvaskforordningen.</w:t>
      </w:r>
    </w:p>
    <w:p w14:paraId="574311AD"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4309F3D6"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Indbyrdes forbundne transaktioner defineres i hvidvaskforordningens artikel 2, stk. 1, nr. 20, som to eller flere transaktioner med enten identisk eller lignende oprindelse, bestemmelsessted og formål eller andre relevante karakteristika over en bestemt periode. </w:t>
      </w:r>
    </w:p>
    <w:p w14:paraId="6FDC3859"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6E6AA5D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hvidvaskforordningens artikel 2, stk. 1, nr. 56, at kulturgoder skal forstås som goder, der er anført i bilag I til Rådets forordning (EF) nr. 116/2009 af 18. december 2008 om udførsel af kulturgoder (EUR L 39 af 10. februar 2009 s. 1).</w:t>
      </w:r>
    </w:p>
    <w:p w14:paraId="0C691E86"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37C4A012"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Rådets forordning (EF) nr. 116/2009 af 18. december 2008 om udførsel af kulturgode indeholder i bilag I en oplistning af en række kategorier af genstande, der hører under begrebet ”kulturgoder”. Dette omfatter blandt andet genstande som malerier, skulpturer og fotografier ligesom det også omfatter genstande som bøger, som er over 100 år gamle, og befordringsmidler, der er over 75 år gamle. Oplistningen af genstandene i det omtalte bilag I er i bilagets punkt B ledsaget af en række økonomiske tærskler for, hvornår genstandene er omfattet af Rådets forordning nr. 116/2009 om udførsel af kulturgoder. Disse tærskelværdier i bilagets punkt B er ikke relevante for, om de pågældende genstandstyper er omfattet af hvidvaskforordningens anvendelsesområde, idet der i hvidvaskforordningens artikel 3, nr. 3, litra i, allerede foreligger en særskilt tærskelværdi for de af hvidvaskforordningen omfattede kulturgoder på 10.000 EUR. </w:t>
      </w:r>
    </w:p>
    <w:p w14:paraId="0D3D9E85"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0FF70ED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foreslåede vil medføre, at en forhandler af kulturgoder skal forstås som en fysisk eller juridisk person omfattet af hvidvaskforordningens artikel 3, nr. 3, litra i, som handler med eller formidler handel med kulturgoder, som nærmere defineret i hvidvaskforordningens artikel 2, stk. 1, nr. 56 og oplistet i bilag I til Rådets forordning (EF) nr. 116/2009 af 18. december 2008 om udførsel af kulturgoder, hvor værdien af transaktionen eller indbyrdes forbundne transaktioner beløber sig til mindst 10.000 EUR.</w:t>
      </w:r>
    </w:p>
    <w:p w14:paraId="1400FC44"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04DA6BFD"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2, nr. 28,</w:t>
      </w:r>
      <w:r w:rsidRPr="00796736">
        <w:rPr>
          <w:rFonts w:ascii="Times New Roman" w:eastAsia="Times New Roman" w:hAnsi="Times New Roman" w:cs="Times New Roman"/>
          <w:sz w:val="24"/>
          <w:szCs w:val="24"/>
          <w:lang w:eastAsia="da-DK"/>
        </w:rPr>
        <w:t xml:space="preserve"> at forhandlere og formidlere af højværdivarer og kulturgoder inden for frizoner og toldoplag defineres som fysiske eller juridiske personer omfattet af hvidvaskforordningens artikel 3, nr. 3, litra j, som opbevarer, handler med eller formidler handel med eller formidler handel med kulturgoder, som nærmere defineret i hvidvaskforordningens artikel 2, stk. 1, nr. 56, og varer af høj værdi, som oplistet i bilag IV, når dette udføres inden for frizoner og toldoplag, hvor værdien af transaktionen eller indbyrdes forbundne transaktioner beløber sig til mindst 10.000 EUR eller et tilsvarende beløb i national valuta. </w:t>
      </w:r>
    </w:p>
    <w:p w14:paraId="4A6D6DA0"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63136D1D"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artikel 3, nr. 3, litra j, i hvidvaskforordningen, at personer, som opbevarer, handler med eller formidler handel med kulturgoder og varer af høj værdi, når dette udføres inden for frizoner og toldoplag, hvor værdien af transaktionen eller indbyrdes forbundne transaktioner beløber til mindst 10.000 EUR eller et tilsvarende beløb i national valuta, skal anses som forpligtede enheder efter hvidvaskforordningen.</w:t>
      </w:r>
    </w:p>
    <w:p w14:paraId="7B4DD124"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735D4996"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Indbyrdes forbundne transaktioner defineres i hvidvaskforordningens artikel 2, stk. 1, nr. 20, som to eller flere transaktioner med enten identisk eller lignende oprindelse, bestemmelsessted og formål eller andre relevante karakteristika over en bestemt periode. </w:t>
      </w:r>
    </w:p>
    <w:p w14:paraId="5CDCF4E7" w14:textId="77777777" w:rsidR="00940B1D" w:rsidRPr="00796736" w:rsidRDefault="00940B1D" w:rsidP="00A802A5">
      <w:pPr>
        <w:spacing w:line="360" w:lineRule="auto"/>
        <w:rPr>
          <w:rFonts w:ascii="Times New Roman" w:hAnsi="Times New Roman" w:cs="Times New Roman"/>
          <w:sz w:val="24"/>
          <w:szCs w:val="24"/>
        </w:rPr>
      </w:pPr>
    </w:p>
    <w:p w14:paraId="23AC3409"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hvidvaskforordningens artikel 2, stk. 1, nr. 56, at kulturgoder skal forstås som goder, der er anført i bilag I til Rådets forordning (EF) nr. 116/2009 af 18. december 2008 om udførsel af kulturgoder (EUR L 39 af 10. februar 2009 s. 1).</w:t>
      </w:r>
    </w:p>
    <w:p w14:paraId="20550940"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795096C4"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Rådets forordning (EF) nr. 116/2009 af 18. december 2008 om udførsel af kulturgode indeholder i bilag I en oplistning af en række kategorier af genstande, der hører under begrebet ”kulturgoder”. Dette omfatter blandt andet genstande som malerier, skulpturer og fotografier ligesom det også omfatter genstande som bøger, som er over 100 år gamle, og befordringsmidler, der er over 75 år gamle. Oplistningen af genstandene i det omtalte bilag I er i bilagets punkt B ledsaget af en række økonomiske tærskler for, hvornår genstandene er omfattet af Rådets forordning nr. 116/2009 om udførsel af kulturgoder. Disse tærskelværdier i bilagets punkt B er ikke relevante for, om de pågældende genstandstyper er omfattet af hvidvaskforordningens anvendelsesområde, idet der i hvidvaskforordningens artikel 3, nr. 3, litra i, allerede foreligger en særskilt tærskelværdi for de af hvidvaskforordningen omfattede kulturgoder på 10.000 EUR. </w:t>
      </w:r>
    </w:p>
    <w:p w14:paraId="4711692D" w14:textId="77777777" w:rsidR="00D33F8F" w:rsidRPr="00796736" w:rsidRDefault="00D33F8F" w:rsidP="00A802A5">
      <w:pPr>
        <w:spacing w:line="360" w:lineRule="auto"/>
        <w:rPr>
          <w:rFonts w:ascii="Times New Roman" w:eastAsia="Times New Roman" w:hAnsi="Times New Roman" w:cs="Times New Roman"/>
          <w:sz w:val="24"/>
          <w:szCs w:val="24"/>
          <w:lang w:eastAsia="da-DK"/>
        </w:rPr>
      </w:pPr>
    </w:p>
    <w:p w14:paraId="23B4D816"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w:t>
      </w:r>
      <w:r w:rsidRPr="00796736">
        <w:rPr>
          <w:rFonts w:ascii="Times New Roman" w:eastAsia="Times New Roman" w:hAnsi="Times New Roman" w:cs="Times New Roman"/>
          <w:sz w:val="24"/>
          <w:szCs w:val="24"/>
          <w:lang w:eastAsia="da-DK"/>
        </w:rPr>
        <w:t>hvidvaskforordningens</w:t>
      </w:r>
      <w:r w:rsidRPr="00796736">
        <w:rPr>
          <w:rFonts w:ascii="Times New Roman" w:hAnsi="Times New Roman" w:cs="Times New Roman"/>
          <w:sz w:val="24"/>
          <w:szCs w:val="24"/>
        </w:rPr>
        <w:t xml:space="preserve"> artikel 2, stk. 1, nr. 54, fremgår det, at varer af høj værdi skal forstås som varer, der er anført i bilag IV til hvidvaskforordningen.</w:t>
      </w:r>
    </w:p>
    <w:p w14:paraId="6BD299A2" w14:textId="77777777" w:rsidR="00940B1D" w:rsidRPr="00796736" w:rsidRDefault="00940B1D" w:rsidP="00A802A5">
      <w:pPr>
        <w:spacing w:line="360" w:lineRule="auto"/>
        <w:rPr>
          <w:rFonts w:ascii="Times New Roman" w:hAnsi="Times New Roman" w:cs="Times New Roman"/>
          <w:sz w:val="24"/>
          <w:szCs w:val="24"/>
        </w:rPr>
      </w:pPr>
    </w:p>
    <w:p w14:paraId="095CCD4C"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bilag IV til hvidvaskforordningen fremgår det, at varer af høj værdi som omhandlet i artikel 2, stk. 1, nr. 54 omfatter:</w:t>
      </w:r>
    </w:p>
    <w:p w14:paraId="483C9062" w14:textId="77777777" w:rsidR="00940B1D" w:rsidRPr="00796736" w:rsidRDefault="00940B1D">
      <w:pPr>
        <w:pStyle w:val="Listeafsnit"/>
        <w:numPr>
          <w:ilvl w:val="0"/>
          <w:numId w:val="44"/>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smykker, guld- eller sølvsmedevarer med en værdi på over 10.000 EUR eller et tilsvarende beløb i national valuta</w:t>
      </w:r>
    </w:p>
    <w:p w14:paraId="567BED25" w14:textId="77777777" w:rsidR="00940B1D" w:rsidRPr="00796736" w:rsidRDefault="00940B1D">
      <w:pPr>
        <w:pStyle w:val="Listeafsnit"/>
        <w:numPr>
          <w:ilvl w:val="0"/>
          <w:numId w:val="44"/>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ure med en værdi på 10.000 EUR eller et tilsvarende beløb i national valuta</w:t>
      </w:r>
    </w:p>
    <w:p w14:paraId="6B4593B5" w14:textId="77777777" w:rsidR="00940B1D" w:rsidRPr="00796736" w:rsidRDefault="00940B1D">
      <w:pPr>
        <w:pStyle w:val="Listeafsnit"/>
        <w:numPr>
          <w:ilvl w:val="0"/>
          <w:numId w:val="44"/>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 xml:space="preserve">motorkøretøjer til en pris på over 250.000 EUR eller et tilsvarende beløb i national valuta </w:t>
      </w:r>
    </w:p>
    <w:p w14:paraId="67407CD7" w14:textId="77777777" w:rsidR="00940B1D" w:rsidRPr="00796736" w:rsidRDefault="00940B1D">
      <w:pPr>
        <w:pStyle w:val="Listeafsnit"/>
        <w:numPr>
          <w:ilvl w:val="0"/>
          <w:numId w:val="44"/>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luftfartøjer til en pris på over 7.500.000 EUR eller et tilsvarende beløb i national valuta</w:t>
      </w:r>
    </w:p>
    <w:p w14:paraId="30022823" w14:textId="77777777" w:rsidR="00940B1D" w:rsidRPr="00796736" w:rsidRDefault="00940B1D">
      <w:pPr>
        <w:pStyle w:val="Listeafsnit"/>
        <w:numPr>
          <w:ilvl w:val="0"/>
          <w:numId w:val="44"/>
        </w:numPr>
        <w:spacing w:line="360" w:lineRule="auto"/>
        <w:ind w:left="1276" w:hanging="425"/>
        <w:rPr>
          <w:rFonts w:ascii="Times New Roman" w:hAnsi="Times New Roman" w:cs="Times New Roman"/>
          <w:sz w:val="24"/>
          <w:szCs w:val="24"/>
        </w:rPr>
      </w:pPr>
      <w:r w:rsidRPr="00796736">
        <w:rPr>
          <w:rFonts w:ascii="Times New Roman" w:hAnsi="Times New Roman" w:cs="Times New Roman"/>
          <w:sz w:val="24"/>
          <w:szCs w:val="24"/>
        </w:rPr>
        <w:t xml:space="preserve">vandfartøjer til en pris på over 7.500.000 EUR eller er tilsvarende beløb i national valuta. </w:t>
      </w:r>
    </w:p>
    <w:p w14:paraId="5DCA8CFF" w14:textId="77777777" w:rsidR="00940B1D" w:rsidRPr="00796736" w:rsidRDefault="00940B1D" w:rsidP="00A802A5">
      <w:pPr>
        <w:spacing w:line="360" w:lineRule="auto"/>
        <w:rPr>
          <w:rFonts w:ascii="Times New Roman" w:hAnsi="Times New Roman" w:cs="Times New Roman"/>
          <w:sz w:val="24"/>
          <w:szCs w:val="24"/>
        </w:rPr>
      </w:pPr>
    </w:p>
    <w:p w14:paraId="3E8FFB03"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foreslåede vil medføre, at en forhandler eller en formidler af højværdivarer og kulturgoder inden for frizoner og toldoplag skal forstås som en fysisk eller juridisk person omfattet af hvidvaskforordningens artikel 3, nr. 3, litra j, som opbevarer, handler med eller formidler handel med kulturgoder, som nærmere defineret i hvidvaskforordningens artikel 2, stk. 1, nr. 56, og/eller varer af høj værdi, som oplistet i bilag IV til hvidvaskforordningen, når denne opbevaring, forhandling eller formidling af handlen sker inden for frizoner og toldoplag, hvor værdien af transaktionen eller indbyrdes forbundne transaktioner beløber sig til mindst 10.000 EUR eller et tilsvarende beløb i national valuta. </w:t>
      </w:r>
    </w:p>
    <w:p w14:paraId="349D7CE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18CD8974"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2, nr. 29,</w:t>
      </w:r>
      <w:r w:rsidRPr="00796736">
        <w:rPr>
          <w:rFonts w:ascii="Times New Roman" w:eastAsia="Times New Roman" w:hAnsi="Times New Roman" w:cs="Times New Roman"/>
          <w:sz w:val="24"/>
          <w:szCs w:val="24"/>
          <w:lang w:eastAsia="da-DK"/>
        </w:rPr>
        <w:t xml:space="preserve"> udbydere af tjenester til truster eller virksomheder defineres som udbydere af tjenester til truster eller virksomheder, som omfattet af hvidvaskforordningens artikel 3, nr. 3, litra c og som nærmere defineret i hvidvaskforordningens artikel 2, stk. 1, nr. 11. </w:t>
      </w:r>
    </w:p>
    <w:p w14:paraId="201EF152"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5E1CA9E2"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fremgår af artikel 3, nr. 3, litra c, i hvidvaskforordningen, at udbydere af tjenester til truster eller virksomheder anses som forpligtede enheder efter hvidvaskforordningen.</w:t>
      </w:r>
    </w:p>
    <w:p w14:paraId="0CAE2DCE"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111FDE21" w14:textId="202F7719"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Af hvidvaskforordningens artikel 2, stk. 1, nr. 11</w:t>
      </w:r>
      <w:r w:rsidR="007B6F66" w:rsidRPr="00796736">
        <w:rPr>
          <w:rFonts w:ascii="Times New Roman" w:eastAsia="Times New Roman" w:hAnsi="Times New Roman" w:cs="Times New Roman"/>
          <w:sz w:val="24"/>
          <w:szCs w:val="24"/>
          <w:lang w:eastAsia="da-DK"/>
        </w:rPr>
        <w:t xml:space="preserve"> fremgår</w:t>
      </w:r>
      <w:r w:rsidRPr="00796736">
        <w:rPr>
          <w:rFonts w:ascii="Times New Roman" w:eastAsia="Times New Roman" w:hAnsi="Times New Roman" w:cs="Times New Roman"/>
          <w:sz w:val="24"/>
          <w:szCs w:val="24"/>
          <w:lang w:eastAsia="da-DK"/>
        </w:rPr>
        <w:t>, at ved udbyder af tjenester til truster eller virksomheder forstås en fysisk eller juridisk person, der som led i sit erhverv leverer en af følgende tjenester til tredjemand:</w:t>
      </w:r>
    </w:p>
    <w:p w14:paraId="0E994480" w14:textId="77777777" w:rsidR="00940B1D" w:rsidRPr="00796736" w:rsidRDefault="00940B1D">
      <w:pPr>
        <w:pStyle w:val="Listeafsnit"/>
        <w:numPr>
          <w:ilvl w:val="0"/>
          <w:numId w:val="45"/>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danner virksomheder eller andre juridiske personer</w:t>
      </w:r>
    </w:p>
    <w:p w14:paraId="28E591EE" w14:textId="77777777" w:rsidR="00940B1D" w:rsidRPr="00796736" w:rsidRDefault="00940B1D">
      <w:pPr>
        <w:pStyle w:val="Listeafsnit"/>
        <w:numPr>
          <w:ilvl w:val="0"/>
          <w:numId w:val="45"/>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fungerer som eller sørger for, at en anden person fungerer som medlem af ledelsen i et selskab, deltager i et interessentskab eller beklæder en tilsvarende post i andre juridiske personer</w:t>
      </w:r>
    </w:p>
    <w:p w14:paraId="0A1C307B" w14:textId="77777777" w:rsidR="00940B1D" w:rsidRPr="00796736" w:rsidRDefault="00940B1D">
      <w:pPr>
        <w:pStyle w:val="Listeafsnit"/>
        <w:numPr>
          <w:ilvl w:val="0"/>
          <w:numId w:val="45"/>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sørger for et vedtægtsmæssigt hjemsted, en forretnings-, post- eller forvaltningsadresse såvel som andre dertil knyttede tjenester til et selskab, et interessentskab eller enhver anden juridisk person eller ethvert andet juridisk arrangement</w:t>
      </w:r>
    </w:p>
    <w:p w14:paraId="767C8A10" w14:textId="77777777" w:rsidR="00940B1D" w:rsidRPr="00796736" w:rsidRDefault="00940B1D">
      <w:pPr>
        <w:pStyle w:val="Listeafsnit"/>
        <w:numPr>
          <w:ilvl w:val="0"/>
          <w:numId w:val="45"/>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fungerer som eller sørger for, at en anden person fungerer som forvalter af en viljesbestemt trust eller varetager en tilsvarende funktion for et tilsvarende juridiske arrangement</w:t>
      </w:r>
    </w:p>
    <w:p w14:paraId="22C98E89" w14:textId="77777777" w:rsidR="00940B1D" w:rsidRPr="00796736" w:rsidRDefault="00940B1D">
      <w:pPr>
        <w:pStyle w:val="Listeafsnit"/>
        <w:numPr>
          <w:ilvl w:val="0"/>
          <w:numId w:val="45"/>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fungerer som eller sørger for, at en anden person fungerer som nominee-kapitalejer eller tilsvarende for en anden person</w:t>
      </w:r>
    </w:p>
    <w:p w14:paraId="296DE806"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5A7FD4EB" w14:textId="043545C9"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foreslåede vil medføre, at en udbyder af tjenester til truster eller virksomheder skal forstås som en udbyder af tjenester til truster eller virksomheder, som omfattet af hvidvaskforordningens artikel 3, nr. 3, litra c og som nærmere defineret i hvidvaskforordningens artikel 2, stk. 1, nr. 11.</w:t>
      </w:r>
    </w:p>
    <w:p w14:paraId="49ED48A2" w14:textId="77777777" w:rsidR="00AD59FB" w:rsidRPr="00796736" w:rsidRDefault="00AD59FB" w:rsidP="00A802A5">
      <w:pPr>
        <w:spacing w:line="360" w:lineRule="auto"/>
        <w:rPr>
          <w:rFonts w:ascii="Times New Roman" w:hAnsi="Times New Roman" w:cs="Times New Roman"/>
          <w:sz w:val="24"/>
          <w:szCs w:val="24"/>
        </w:rPr>
      </w:pPr>
    </w:p>
    <w:p w14:paraId="1B718DB3" w14:textId="77777777" w:rsidR="007B6F66" w:rsidRPr="00796736" w:rsidRDefault="007B6F6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30</w:t>
      </w:r>
      <w:r w:rsidRPr="00796736">
        <w:rPr>
          <w:rFonts w:ascii="Times New Roman" w:hAnsi="Times New Roman" w:cs="Times New Roman"/>
          <w:sz w:val="24"/>
          <w:szCs w:val="24"/>
        </w:rPr>
        <w:t>, at udbydere af spil defineres som udbydere af spiltjenester omfattet af hvidvaskforordningens artikel 3, nr. 3, litra g, og som defineret i lov om spil.</w:t>
      </w:r>
    </w:p>
    <w:p w14:paraId="0034BDE6" w14:textId="77777777" w:rsidR="00E67671" w:rsidRPr="00796736" w:rsidRDefault="00E67671" w:rsidP="00A802A5">
      <w:pPr>
        <w:spacing w:line="360" w:lineRule="auto"/>
        <w:rPr>
          <w:rFonts w:ascii="Times New Roman" w:hAnsi="Times New Roman" w:cs="Times New Roman"/>
          <w:sz w:val="24"/>
          <w:szCs w:val="24"/>
        </w:rPr>
      </w:pPr>
    </w:p>
    <w:p w14:paraId="1153D21E" w14:textId="197C5D62" w:rsidR="007B6F66" w:rsidRPr="00796736" w:rsidRDefault="007B6F6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hvidvaskforordningens artikel 3, nr. 3, litra g, er udbydere af spiltjenester omfattet af forordningens anvendelsesområde.</w:t>
      </w:r>
    </w:p>
    <w:p w14:paraId="16EBAF70" w14:textId="77777777" w:rsidR="00E67671" w:rsidRPr="00796736" w:rsidRDefault="00E67671" w:rsidP="00A802A5">
      <w:pPr>
        <w:spacing w:line="360" w:lineRule="auto"/>
        <w:rPr>
          <w:rFonts w:ascii="Times New Roman" w:hAnsi="Times New Roman" w:cs="Times New Roman"/>
          <w:sz w:val="24"/>
          <w:szCs w:val="24"/>
        </w:rPr>
      </w:pPr>
    </w:p>
    <w:p w14:paraId="223F2731" w14:textId="54D2F5F9" w:rsidR="00DB523E" w:rsidRPr="00796736" w:rsidRDefault="00E67671" w:rsidP="00A802A5">
      <w:pPr>
        <w:spacing w:line="360" w:lineRule="auto"/>
        <w:rPr>
          <w:rFonts w:ascii="Times New Roman" w:hAnsi="Times New Roman" w:cs="Times New Roman"/>
          <w:color w:val="FF0000"/>
          <w:sz w:val="24"/>
          <w:szCs w:val="24"/>
        </w:rPr>
      </w:pPr>
      <w:r w:rsidRPr="00796736">
        <w:rPr>
          <w:rFonts w:ascii="Times New Roman" w:hAnsi="Times New Roman" w:cs="Times New Roman"/>
          <w:sz w:val="24"/>
          <w:szCs w:val="24"/>
        </w:rPr>
        <w:t>Det lægges til grund, at der ved en »udbyder af spil« forstås en virksomhed eller en person,</w:t>
      </w:r>
      <w:r w:rsidR="00AD59FB" w:rsidRPr="00796736">
        <w:rPr>
          <w:rFonts w:ascii="Times New Roman" w:hAnsi="Times New Roman" w:cs="Times New Roman"/>
          <w:sz w:val="24"/>
          <w:szCs w:val="24"/>
        </w:rPr>
        <w:t xml:space="preserve"> der udbyder spil erhvervsmæssigt i eget navn, og</w:t>
      </w:r>
      <w:r w:rsidRPr="00796736">
        <w:rPr>
          <w:rFonts w:ascii="Times New Roman" w:hAnsi="Times New Roman" w:cs="Times New Roman"/>
          <w:sz w:val="24"/>
          <w:szCs w:val="24"/>
        </w:rPr>
        <w:t xml:space="preserve"> som har opnået tilladelse til at udbyde spil i Danmark. </w:t>
      </w:r>
      <w:r w:rsidR="00AD59FB" w:rsidRPr="00796736">
        <w:rPr>
          <w:rFonts w:ascii="Times New Roman" w:hAnsi="Times New Roman" w:cs="Times New Roman"/>
          <w:sz w:val="24"/>
          <w:szCs w:val="24"/>
        </w:rPr>
        <w:t xml:space="preserve">Udbud af ikke-erhvervsmæssigt spil, f.eks. spil omfattet af lov om offentligt hasardspil i turneringsform er ikke omfattet af </w:t>
      </w:r>
      <w:r w:rsidR="007B6F66" w:rsidRPr="00796736">
        <w:rPr>
          <w:rFonts w:ascii="Times New Roman" w:hAnsi="Times New Roman" w:cs="Times New Roman"/>
          <w:sz w:val="24"/>
          <w:szCs w:val="24"/>
        </w:rPr>
        <w:t>hvidvask</w:t>
      </w:r>
      <w:r w:rsidR="00AD59FB" w:rsidRPr="00796736">
        <w:rPr>
          <w:rFonts w:ascii="Times New Roman" w:hAnsi="Times New Roman" w:cs="Times New Roman"/>
          <w:sz w:val="24"/>
          <w:szCs w:val="24"/>
        </w:rPr>
        <w:t xml:space="preserve">forordningens anvendelsesområde. </w:t>
      </w:r>
      <w:r w:rsidRPr="00796736">
        <w:rPr>
          <w:rFonts w:ascii="Times New Roman" w:hAnsi="Times New Roman" w:cs="Times New Roman"/>
          <w:sz w:val="24"/>
          <w:szCs w:val="24"/>
        </w:rPr>
        <w:t>Hvidvaskforordningens artikel 2, stk. 1, nr. 12, definerer begrebet »spiltjenester«. Det forudsættes, at når begrebet »udbyder af spil« anvendes i denne lov, er dette defineret i overensstemmelse med definitionen af begrebet »spiltjenester» i hvidvaskforordningens artikel 2, stk. 1, nr. 12.</w:t>
      </w:r>
      <w:r w:rsidRPr="00796736">
        <w:rPr>
          <w:rFonts w:ascii="Times New Roman" w:hAnsi="Times New Roman" w:cs="Times New Roman"/>
          <w:color w:val="FF0000"/>
          <w:sz w:val="24"/>
          <w:szCs w:val="24"/>
        </w:rPr>
        <w:t xml:space="preserve">  </w:t>
      </w:r>
      <w:bookmarkEnd w:id="1856"/>
    </w:p>
    <w:p w14:paraId="68260D86" w14:textId="77777777" w:rsidR="00DB523E" w:rsidRPr="00796736" w:rsidRDefault="00DB523E" w:rsidP="00A802A5">
      <w:pPr>
        <w:spacing w:line="360" w:lineRule="auto"/>
        <w:rPr>
          <w:rFonts w:ascii="Times New Roman" w:hAnsi="Times New Roman" w:cs="Times New Roman"/>
          <w:color w:val="FF0000"/>
          <w:sz w:val="24"/>
          <w:szCs w:val="24"/>
        </w:rPr>
      </w:pPr>
    </w:p>
    <w:p w14:paraId="459B0D71" w14:textId="77777777" w:rsidR="007B6F66" w:rsidRPr="00796736" w:rsidRDefault="007B6F6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vil omfatte udbydere af spil. Bestemmelsen vil ikke omfatte de enkelte forhandlere af spil i butikker, kiosker m.v.  Bestemmelsen vil heller ikke omfatte leverandører af spil, som er leverandører af onlinekasinospil til udbydere af spil eller leverandører, der leverer væddemål, hvis leverandøren håndterer afvikling og afgørelse af væddemål for udbyderen af spil. Forhandlere og leverandører er således ikke forpligtede enheder omfattet af hvidvaskforordningen eller denne lov.</w:t>
      </w:r>
    </w:p>
    <w:p w14:paraId="77CE4738" w14:textId="77777777" w:rsidR="00940B1D" w:rsidRPr="00796736" w:rsidRDefault="00940B1D" w:rsidP="00A802A5">
      <w:pPr>
        <w:spacing w:line="360" w:lineRule="auto"/>
        <w:rPr>
          <w:rFonts w:ascii="Times New Roman" w:hAnsi="Times New Roman" w:cs="Times New Roman"/>
          <w:sz w:val="24"/>
          <w:szCs w:val="24"/>
        </w:rPr>
      </w:pPr>
    </w:p>
    <w:p w14:paraId="3855A275" w14:textId="5032E872"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31, at ved ”advokater” defineres som advokater, fællesskaber af advokater og advokatselskaber omfattet af hvidvaskforordningens artikel 3, nr. 3, litra a og b.</w:t>
      </w:r>
    </w:p>
    <w:p w14:paraId="48463EE4" w14:textId="77777777" w:rsidR="00074750" w:rsidRPr="00796736" w:rsidRDefault="00074750" w:rsidP="00A802A5">
      <w:pPr>
        <w:spacing w:line="360" w:lineRule="auto"/>
        <w:rPr>
          <w:rFonts w:ascii="Times New Roman" w:hAnsi="Times New Roman" w:cs="Times New Roman"/>
          <w:sz w:val="24"/>
          <w:szCs w:val="24"/>
        </w:rPr>
      </w:pPr>
    </w:p>
    <w:p w14:paraId="49E7893E"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der med formuleringen ”advokater” og beslægtede formuleringer sigtes til en opregning af advokater, fællesskaber af advokater og advokatselskaber omfattet af retsplejelovens kapitel 12. Den foreslåede bestemmelse vil således indebære, at den foreslåede afgrænsning af advokater baserer sig på retsplejelovens afgrænsning heraf, og finder anvendelse for de samme retlige aktører som retsplejelovens bestemmelser herom. </w:t>
      </w:r>
    </w:p>
    <w:p w14:paraId="5288F640" w14:textId="77777777" w:rsidR="00074750" w:rsidRPr="00796736" w:rsidRDefault="00074750" w:rsidP="00A802A5">
      <w:pPr>
        <w:spacing w:line="360" w:lineRule="auto"/>
        <w:rPr>
          <w:rFonts w:ascii="Times New Roman" w:hAnsi="Times New Roman" w:cs="Times New Roman"/>
          <w:sz w:val="24"/>
          <w:szCs w:val="24"/>
        </w:rPr>
      </w:pPr>
    </w:p>
    <w:p w14:paraId="6B5BD036"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at advokater kun vil være omfattet af den foreslåede definitionsbestemmelse og dermed loven, idet omfang de er omfattet som forpligtede enheder af hvidvaskforordningens artikel 3, nr. 3, litra a eller b.</w:t>
      </w:r>
    </w:p>
    <w:p w14:paraId="3C4F9517" w14:textId="77777777" w:rsidR="00074750" w:rsidRPr="00796736" w:rsidRDefault="00074750" w:rsidP="00A802A5">
      <w:pPr>
        <w:spacing w:line="360" w:lineRule="auto"/>
        <w:rPr>
          <w:rFonts w:ascii="Times New Roman" w:hAnsi="Times New Roman" w:cs="Times New Roman"/>
          <w:sz w:val="24"/>
          <w:szCs w:val="24"/>
        </w:rPr>
      </w:pPr>
    </w:p>
    <w:p w14:paraId="5417555E"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så vidt angår artikel 3, nr. 3, litra a, vil denne afgrænsning for advokaters vedkommende indebære, at advokater er forpligtede enheder, når de som deres vigtigste forretnings- eller erhvervsmæssige virksomhed yder materiel hjælp, bistand eller rådgivning om skatteanliggender. Det bemærkes på den baggrund, at advokater omfattet heraf, kun omfattes af hvidvaskforordningen og den foreslåede definitionsbestemmelse og lov for så vidt angår disse aktiviteter, mens den pågældendes øvrige aktiviteter ikke er omfattet, medmindre de omfattes af artikel 3, nr. 3, litra b. For advokater, som omfattes af forordningens artikel 3, nr. 3, litra b, gælder det tilsvarende, at disse advokaters aktiviteter mv. kun omfattes af hvidvaskreguleringen, herunder de foreslåede tilsynsbestemmelser, i det omfang den pågældende omfattes af denne afgrænsning.  </w:t>
      </w:r>
    </w:p>
    <w:p w14:paraId="1E32D1F7" w14:textId="77777777" w:rsidR="00074750" w:rsidRPr="00796736" w:rsidRDefault="00074750" w:rsidP="00A802A5">
      <w:pPr>
        <w:spacing w:line="360" w:lineRule="auto"/>
        <w:rPr>
          <w:rFonts w:ascii="Times New Roman" w:hAnsi="Times New Roman" w:cs="Times New Roman"/>
          <w:sz w:val="24"/>
          <w:szCs w:val="24"/>
        </w:rPr>
      </w:pPr>
    </w:p>
    <w:p w14:paraId="1EADA9E7" w14:textId="76EFCBF5"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der kan opstå situationer, hvor advokater som enkeltpersoner vil betragtes som forpligtede enheder efter forordningen, men leverer tjenester internt til virksomheder, hvis aktiviteter ikke falder ind under forordningens anvendelsesområde. Sådanne ansatte, f.eks. </w:t>
      </w:r>
      <w:r w:rsidR="002128F7">
        <w:rPr>
          <w:rFonts w:ascii="Times New Roman" w:hAnsi="Times New Roman" w:cs="Times New Roman"/>
          <w:sz w:val="24"/>
          <w:szCs w:val="24"/>
        </w:rPr>
        <w:t>virksomheds</w:t>
      </w:r>
      <w:r w:rsidRPr="00796736">
        <w:rPr>
          <w:rFonts w:ascii="Times New Roman" w:hAnsi="Times New Roman" w:cs="Times New Roman"/>
          <w:sz w:val="24"/>
          <w:szCs w:val="24"/>
        </w:rPr>
        <w:t>advokater, vil i sådanne situationer ikke være omfattet af forordningen. Tilsvarende gælder for advokater, der udfører aktiviteter, der er omfattet af forordningens anvendelsesområder, men som udføres i forbindelse med ansættelse hos en forpligtet enhed i form af eksempelvis et advokatselskab eller et fællesskab af advokater. I sådanne tilfælde vil det være advokatselskabet eller fællesskabet af advokater, der som forpligtede enheder omfattes af hvidvaskreguleringen, herunder de foreslåede tilsynsbestemmelser, og ikke enkeltpersonerne.</w:t>
      </w:r>
    </w:p>
    <w:p w14:paraId="075BCD1A" w14:textId="77777777" w:rsidR="00074750" w:rsidRPr="00796736" w:rsidRDefault="00074750" w:rsidP="00A802A5">
      <w:pPr>
        <w:spacing w:line="360" w:lineRule="auto"/>
        <w:rPr>
          <w:rFonts w:ascii="Times New Roman" w:hAnsi="Times New Roman" w:cs="Times New Roman"/>
          <w:sz w:val="24"/>
          <w:szCs w:val="24"/>
        </w:rPr>
      </w:pPr>
    </w:p>
    <w:p w14:paraId="67D80B2D" w14:textId="1A76A1D4"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definitionsbestemmelse vil i det væsentligste udgøre en videreførelse af gældende ret, idet der dog med forordningens artikel 3, nr. 3, litra a, er sket en vis udvidelse af, hvornår advokater omfattes af hvidvaskreguleringen</w:t>
      </w:r>
      <w:r w:rsidR="002128F7">
        <w:rPr>
          <w:rFonts w:ascii="Times New Roman" w:hAnsi="Times New Roman" w:cs="Times New Roman"/>
          <w:sz w:val="24"/>
          <w:szCs w:val="24"/>
        </w:rPr>
        <w:t>, ligesom ansvarssubjektet for visse af hvidvaskreglerne ændres fra den ansatte advokat som forpligtet enhed til det advokatselskab eller fællesskab af advokater, hvor den pågældende er ansat</w:t>
      </w:r>
      <w:r w:rsidR="002128F7" w:rsidRPr="00D253F0">
        <w:rPr>
          <w:rFonts w:ascii="Times New Roman" w:hAnsi="Times New Roman" w:cs="Times New Roman"/>
          <w:sz w:val="24"/>
          <w:szCs w:val="24"/>
        </w:rPr>
        <w:t>.</w:t>
      </w:r>
    </w:p>
    <w:p w14:paraId="246FAE6A" w14:textId="77777777" w:rsidR="00940B1D" w:rsidRPr="00796736" w:rsidRDefault="00940B1D" w:rsidP="00A802A5">
      <w:pPr>
        <w:spacing w:line="360" w:lineRule="auto"/>
        <w:rPr>
          <w:rFonts w:ascii="Times New Roman" w:hAnsi="Times New Roman" w:cs="Times New Roman"/>
          <w:sz w:val="24"/>
          <w:szCs w:val="24"/>
        </w:rPr>
      </w:pPr>
    </w:p>
    <w:p w14:paraId="01F07168" w14:textId="12D25DCF"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2, nr. 32</w:t>
      </w:r>
      <w:r w:rsidRPr="00796736">
        <w:rPr>
          <w:rFonts w:ascii="Times New Roman" w:eastAsia="Times New Roman" w:hAnsi="Times New Roman" w:cs="Times New Roman"/>
          <w:sz w:val="24"/>
          <w:szCs w:val="24"/>
          <w:lang w:eastAsia="da-DK"/>
        </w:rPr>
        <w:t xml:space="preserve">, at et ikkefinansielt holdingselskab med blandet aktivitet, defineres som en virksomhed </w:t>
      </w:r>
      <w:r w:rsidRPr="00796736">
        <w:rPr>
          <w:rFonts w:ascii="Times New Roman" w:eastAsia="Calibri" w:hAnsi="Times New Roman" w:cs="Times New Roman"/>
          <w:sz w:val="24"/>
          <w:szCs w:val="24"/>
        </w:rPr>
        <w:t xml:space="preserve">omfattet af hvidvaskforordningens </w:t>
      </w:r>
      <w:r w:rsidRPr="00796736">
        <w:rPr>
          <w:rFonts w:ascii="Times New Roman" w:eastAsia="Times New Roman" w:hAnsi="Times New Roman" w:cs="Times New Roman"/>
          <w:sz w:val="24"/>
          <w:szCs w:val="24"/>
          <w:lang w:eastAsia="da-DK"/>
        </w:rPr>
        <w:t xml:space="preserve">artikel 3, nr. 3, litra m, som nærmere defineret i hvidvaskforordningens artikel 2, stk. 1, nr. 13, hvor mindst ét datterselskab udgør en af de i nr. </w:t>
      </w:r>
      <w:r w:rsidR="00A63431" w:rsidRPr="00796736">
        <w:rPr>
          <w:rFonts w:ascii="Times New Roman" w:eastAsia="Times New Roman" w:hAnsi="Times New Roman" w:cs="Times New Roman"/>
          <w:sz w:val="24"/>
          <w:szCs w:val="24"/>
          <w:lang w:eastAsia="da-DK"/>
        </w:rPr>
        <w:t xml:space="preserve">13-15, 20-29 samt nr. 30, </w:t>
      </w:r>
      <w:r w:rsidRPr="00796736">
        <w:rPr>
          <w:rFonts w:ascii="Times New Roman" w:eastAsia="Times New Roman" w:hAnsi="Times New Roman" w:cs="Times New Roman"/>
          <w:sz w:val="24"/>
          <w:szCs w:val="24"/>
          <w:lang w:eastAsia="da-DK"/>
        </w:rPr>
        <w:t>oplistede typer af forpligtede enheder.</w:t>
      </w:r>
    </w:p>
    <w:p w14:paraId="003B64DF"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7BC9F8A2" w14:textId="52D8578E"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Efter artikel 3, stk. 1, litra m, i </w:t>
      </w:r>
      <w:r w:rsidR="00D33F8F" w:rsidRPr="00796736">
        <w:rPr>
          <w:rFonts w:ascii="Times New Roman" w:eastAsia="Times New Roman" w:hAnsi="Times New Roman" w:cs="Times New Roman"/>
          <w:sz w:val="24"/>
          <w:szCs w:val="24"/>
          <w:lang w:eastAsia="da-DK"/>
        </w:rPr>
        <w:t>hvidvaskforordningen</w:t>
      </w:r>
      <w:r w:rsidRPr="00796736">
        <w:rPr>
          <w:rFonts w:ascii="Times New Roman" w:eastAsia="Times New Roman" w:hAnsi="Times New Roman" w:cs="Times New Roman"/>
          <w:sz w:val="24"/>
          <w:szCs w:val="24"/>
          <w:lang w:eastAsia="da-DK"/>
        </w:rPr>
        <w:t xml:space="preserve"> er ikkefinansielle holdingselskaber med blandet aktivitet omfattet af forordningens anvendelsesområde. Et ikkefinansielt holdingselskab med blandet aktivitet er en virksomhed, som ikke er et finansielt holdingselskab eller et blandet finansielt holdingselskab, og som har mindst ét datterselskab, der er</w:t>
      </w:r>
      <w:r w:rsidR="007B6F66" w:rsidRPr="00796736">
        <w:rPr>
          <w:rFonts w:ascii="Times New Roman" w:eastAsia="Times New Roman" w:hAnsi="Times New Roman" w:cs="Times New Roman"/>
          <w:sz w:val="24"/>
          <w:szCs w:val="24"/>
          <w:lang w:eastAsia="da-DK"/>
        </w:rPr>
        <w:t xml:space="preserve"> en</w:t>
      </w:r>
      <w:r w:rsidRPr="00796736">
        <w:rPr>
          <w:rFonts w:ascii="Times New Roman" w:eastAsia="Times New Roman" w:hAnsi="Times New Roman" w:cs="Times New Roman"/>
          <w:sz w:val="24"/>
          <w:szCs w:val="24"/>
          <w:lang w:eastAsia="da-DK"/>
        </w:rPr>
        <w:t xml:space="preserve"> forpligtet enhed omfattet af forordningen, samtidig med at virksomheden eller koncernen udøver anden ikke-finansiel aktivitet. Af praktiske hensyn foreslås det at gengive forordningens definition af ikkefinansielt holdingselskab med blandet aktivitet i </w:t>
      </w:r>
      <w:r w:rsidRPr="00796736">
        <w:rPr>
          <w:rFonts w:ascii="Times New Roman" w:eastAsia="Calibri" w:hAnsi="Times New Roman" w:cs="Times New Roman"/>
          <w:sz w:val="24"/>
          <w:szCs w:val="24"/>
        </w:rPr>
        <w:t>det foreslåede</w:t>
      </w:r>
      <w:r w:rsidRPr="00796736">
        <w:rPr>
          <w:rFonts w:ascii="Times New Roman" w:eastAsia="Times New Roman" w:hAnsi="Times New Roman" w:cs="Times New Roman"/>
          <w:i/>
          <w:iCs/>
          <w:sz w:val="24"/>
          <w:szCs w:val="24"/>
          <w:lang w:eastAsia="da-DK"/>
        </w:rPr>
        <w:t xml:space="preserve"> </w:t>
      </w:r>
      <w:r w:rsidRPr="00796736">
        <w:rPr>
          <w:rFonts w:ascii="Times New Roman" w:eastAsia="Times New Roman" w:hAnsi="Times New Roman" w:cs="Times New Roman"/>
          <w:sz w:val="24"/>
          <w:szCs w:val="24"/>
          <w:lang w:eastAsia="da-DK"/>
        </w:rPr>
        <w:t xml:space="preserve">nr. </w:t>
      </w:r>
      <w:r w:rsidR="00D33F8F" w:rsidRPr="00796736">
        <w:rPr>
          <w:rFonts w:ascii="Times New Roman" w:eastAsia="Times New Roman" w:hAnsi="Times New Roman" w:cs="Times New Roman"/>
          <w:sz w:val="24"/>
          <w:szCs w:val="24"/>
          <w:lang w:eastAsia="da-DK"/>
        </w:rPr>
        <w:t>32</w:t>
      </w:r>
      <w:r w:rsidRPr="00796736">
        <w:rPr>
          <w:rFonts w:ascii="Times New Roman" w:eastAsia="Times New Roman" w:hAnsi="Times New Roman" w:cs="Times New Roman"/>
          <w:sz w:val="24"/>
          <w:szCs w:val="24"/>
          <w:lang w:eastAsia="da-DK"/>
        </w:rPr>
        <w:t>.</w:t>
      </w:r>
    </w:p>
    <w:p w14:paraId="77FAC05E"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4784811D" w14:textId="4DB64359" w:rsidR="00AA5182"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nr. 32, litra a</w:t>
      </w:r>
      <w:r w:rsidRPr="00796736">
        <w:rPr>
          <w:rFonts w:ascii="Times New Roman" w:eastAsia="Times New Roman" w:hAnsi="Times New Roman" w:cs="Times New Roman"/>
          <w:sz w:val="24"/>
          <w:szCs w:val="24"/>
          <w:lang w:eastAsia="da-DK"/>
        </w:rPr>
        <w:t xml:space="preserve">, </w:t>
      </w:r>
      <w:r w:rsidR="00AA5182" w:rsidRPr="00796736">
        <w:rPr>
          <w:rFonts w:ascii="Times New Roman" w:eastAsia="Times New Roman" w:hAnsi="Times New Roman" w:cs="Times New Roman"/>
          <w:sz w:val="24"/>
          <w:szCs w:val="24"/>
          <w:lang w:eastAsia="da-DK"/>
        </w:rPr>
        <w:t>at et ikkefinansielt holdingselskab med blandet aktivitet, som er omfattet af hvidvaskforordningens artikel 3, nr. 3, litra m, omfattes af lovens anvendelsesområde, hvis mindst ét af selskabets datterselskaber udgør en af de typer forpligtede enheder, der er oplistet i nr. 13-15.</w:t>
      </w:r>
    </w:p>
    <w:p w14:paraId="1DA41C26" w14:textId="77777777" w:rsidR="00746976" w:rsidRPr="00796736" w:rsidRDefault="00746976" w:rsidP="00A802A5">
      <w:pPr>
        <w:spacing w:line="360" w:lineRule="auto"/>
        <w:rPr>
          <w:rFonts w:ascii="Times New Roman" w:eastAsia="Times New Roman" w:hAnsi="Times New Roman" w:cs="Times New Roman"/>
          <w:sz w:val="24"/>
          <w:szCs w:val="24"/>
          <w:lang w:eastAsia="da-DK"/>
        </w:rPr>
      </w:pPr>
    </w:p>
    <w:p w14:paraId="7F35FE38" w14:textId="763AF2C9" w:rsidR="00746976" w:rsidRPr="00796736" w:rsidRDefault="00746976" w:rsidP="00A802A5">
      <w:pPr>
        <w:spacing w:line="360" w:lineRule="auto"/>
        <w:rPr>
          <w:rFonts w:ascii="Times New Roman" w:eastAsia="Times New Roman" w:hAnsi="Times New Roman" w:cs="Times New Roman"/>
          <w:color w:val="000000" w:themeColor="text1"/>
          <w:sz w:val="24"/>
          <w:szCs w:val="24"/>
          <w:lang w:eastAsia="da-DK"/>
        </w:rPr>
      </w:pPr>
      <w:r w:rsidRPr="00796736">
        <w:rPr>
          <w:rFonts w:ascii="Times New Roman" w:eastAsia="Times New Roman" w:hAnsi="Times New Roman" w:cs="Times New Roman"/>
          <w:color w:val="000000" w:themeColor="text1"/>
          <w:sz w:val="24"/>
          <w:szCs w:val="24"/>
          <w:lang w:eastAsia="da-DK"/>
        </w:rPr>
        <w:t xml:space="preserve">Det foreslåede vil medføre, at </w:t>
      </w:r>
      <w:r w:rsidR="00CA3B61" w:rsidRPr="00796736">
        <w:rPr>
          <w:rFonts w:ascii="Times New Roman" w:eastAsia="Times New Roman" w:hAnsi="Times New Roman" w:cs="Times New Roman"/>
          <w:color w:val="000000" w:themeColor="text1"/>
          <w:sz w:val="24"/>
          <w:szCs w:val="24"/>
          <w:lang w:eastAsia="da-DK"/>
        </w:rPr>
        <w:t>hvis</w:t>
      </w:r>
      <w:r w:rsidRPr="00796736">
        <w:rPr>
          <w:rFonts w:ascii="Times New Roman" w:eastAsia="Times New Roman" w:hAnsi="Times New Roman" w:cs="Times New Roman"/>
          <w:color w:val="000000" w:themeColor="text1"/>
          <w:sz w:val="24"/>
          <w:szCs w:val="24"/>
          <w:lang w:eastAsia="da-DK"/>
        </w:rPr>
        <w:t xml:space="preserve"> en </w:t>
      </w:r>
      <w:r w:rsidR="00CA3B61" w:rsidRPr="00796736">
        <w:rPr>
          <w:rFonts w:ascii="Times New Roman" w:eastAsia="Times New Roman" w:hAnsi="Times New Roman" w:cs="Times New Roman"/>
          <w:color w:val="000000" w:themeColor="text1"/>
          <w:sz w:val="24"/>
          <w:szCs w:val="24"/>
          <w:lang w:eastAsia="da-DK"/>
        </w:rPr>
        <w:t>virksomhed</w:t>
      </w:r>
      <w:r w:rsidRPr="00796736">
        <w:rPr>
          <w:rFonts w:ascii="Times New Roman" w:eastAsia="Times New Roman" w:hAnsi="Times New Roman" w:cs="Times New Roman"/>
          <w:color w:val="000000" w:themeColor="text1"/>
          <w:sz w:val="24"/>
          <w:szCs w:val="24"/>
          <w:lang w:eastAsia="da-DK"/>
        </w:rPr>
        <w:t xml:space="preserve">, der er oplistet i nr. 13-15, ejes af et ikkefinansielt holdingselskab, vil selve holdingselskabet selvstændigt også anses som omfattet af lovens anvendelsesområde. Et ikkefinansielt holdingselskab, hvis datterselskab udgør en af de i nr. 13-15 oplistede typer af virksomheder, vil være omfattet af Finanstilsynet tilsyn, da datterselskabet vil høre under Finanstilsynets område. Der henvises i nr. 32, litra a, således til de typer af ikke-finansielle holdingselskaber, der vil være underlagt </w:t>
      </w:r>
      <w:r w:rsidR="004A72D6" w:rsidRPr="00796736">
        <w:rPr>
          <w:rFonts w:ascii="Times New Roman" w:eastAsia="Times New Roman" w:hAnsi="Times New Roman" w:cs="Times New Roman"/>
          <w:color w:val="000000" w:themeColor="text1"/>
          <w:sz w:val="24"/>
          <w:szCs w:val="24"/>
          <w:lang w:eastAsia="da-DK"/>
        </w:rPr>
        <w:t xml:space="preserve">Finanstilsynets </w:t>
      </w:r>
      <w:r w:rsidRPr="00796736">
        <w:rPr>
          <w:rFonts w:ascii="Times New Roman" w:eastAsia="Times New Roman" w:hAnsi="Times New Roman" w:cs="Times New Roman"/>
          <w:color w:val="000000" w:themeColor="text1"/>
          <w:sz w:val="24"/>
          <w:szCs w:val="24"/>
          <w:lang w:eastAsia="da-DK"/>
        </w:rPr>
        <w:t xml:space="preserve">tilsynsområde. </w:t>
      </w:r>
    </w:p>
    <w:p w14:paraId="0EB82690"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2F10E7A7" w14:textId="7FC36FA1"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 2, nr. 32, litra b, </w:t>
      </w:r>
      <w:r w:rsidRPr="00796736">
        <w:rPr>
          <w:rFonts w:ascii="Times New Roman" w:eastAsia="Times New Roman" w:hAnsi="Times New Roman" w:cs="Times New Roman"/>
          <w:sz w:val="24"/>
          <w:szCs w:val="24"/>
          <w:lang w:eastAsia="da-DK"/>
        </w:rPr>
        <w:t>at et ikke finansielt holdingselskab med blandet aktivitet defineres som en virksomhed omfattet af hvidvaskforordningens artikel 3, nr. 3, litra m, såfremt mindst ét datterselskab udgør en af de nr. 20-29 oplistede typer af forpligtede enheder.</w:t>
      </w:r>
    </w:p>
    <w:p w14:paraId="3693D0E7" w14:textId="77777777" w:rsidR="00940B1D" w:rsidRPr="00796736" w:rsidRDefault="00940B1D" w:rsidP="00A802A5">
      <w:pPr>
        <w:spacing w:line="360" w:lineRule="auto"/>
        <w:rPr>
          <w:rFonts w:ascii="Times New Roman" w:eastAsia="Times New Roman" w:hAnsi="Times New Roman" w:cs="Times New Roman"/>
          <w:color w:val="FF0000"/>
          <w:sz w:val="24"/>
          <w:szCs w:val="24"/>
          <w:lang w:eastAsia="da-DK"/>
        </w:rPr>
      </w:pPr>
    </w:p>
    <w:p w14:paraId="751B3017" w14:textId="0C955A84" w:rsidR="00940B1D" w:rsidRPr="00796736" w:rsidRDefault="00940B1D" w:rsidP="00A802A5">
      <w:pPr>
        <w:spacing w:line="360" w:lineRule="auto"/>
        <w:rPr>
          <w:rFonts w:ascii="Times New Roman" w:eastAsia="Times New Roman" w:hAnsi="Times New Roman" w:cs="Times New Roman"/>
          <w:color w:val="000000" w:themeColor="text1"/>
          <w:sz w:val="24"/>
          <w:szCs w:val="24"/>
          <w:lang w:eastAsia="da-DK"/>
        </w:rPr>
      </w:pPr>
      <w:r w:rsidRPr="00796736">
        <w:rPr>
          <w:rFonts w:ascii="Times New Roman" w:eastAsia="Times New Roman" w:hAnsi="Times New Roman" w:cs="Times New Roman"/>
          <w:color w:val="000000" w:themeColor="text1"/>
          <w:sz w:val="24"/>
          <w:szCs w:val="24"/>
          <w:lang w:eastAsia="da-DK"/>
        </w:rPr>
        <w:t xml:space="preserve">Det foreslåede vil medføre, at såfremt en forpligtet enhed, der er oplistet i nr. 20-29, ejes af et ikke-finansielt holdingselskab, vil selve holdingselskabet selvstændigt også anses som en forpligtet enhed. Et ikke-finansielt holdingselskab, hvis datterselskab udgør en af de i nr. 20-29 oplistede typer af forpligtede enheder, vil være omfattet af Erhvervsstyrelsens tilsyn, da datterselskabet vil høre under Erhvervsstyrelsens område. Der henvises i nr. 32, litra b således til de typer af ikke-finansielle holdingselskaber, der vil være underlagt Erhvervsstyrelsens tilsynsområde. </w:t>
      </w:r>
    </w:p>
    <w:p w14:paraId="310CFDBD"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7F0816C6" w14:textId="457BF99F" w:rsidR="00922AA1"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foreslås i</w:t>
      </w:r>
      <w:r w:rsidR="007B6F66" w:rsidRPr="00796736">
        <w:rPr>
          <w:rFonts w:ascii="Times New Roman" w:eastAsia="Times New Roman" w:hAnsi="Times New Roman" w:cs="Times New Roman"/>
          <w:sz w:val="24"/>
          <w:szCs w:val="24"/>
          <w:lang w:eastAsia="da-DK"/>
        </w:rPr>
        <w:t xml:space="preserve"> § 2,</w:t>
      </w:r>
      <w:r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i/>
          <w:iCs/>
          <w:sz w:val="24"/>
          <w:szCs w:val="24"/>
          <w:lang w:eastAsia="da-DK"/>
        </w:rPr>
        <w:t xml:space="preserve">nr. 32, litra c, </w:t>
      </w:r>
      <w:r w:rsidRPr="00796736">
        <w:rPr>
          <w:rFonts w:ascii="Times New Roman" w:eastAsia="Times New Roman" w:hAnsi="Times New Roman" w:cs="Times New Roman"/>
          <w:sz w:val="24"/>
          <w:szCs w:val="24"/>
          <w:lang w:eastAsia="da-DK"/>
        </w:rPr>
        <w:t xml:space="preserve">at et ikkefinansielt holdingselskab med blandet aktivitet, når selskabet har et datterselskab, der er en udbyder af spil, som nævnt i § 2, nr. </w:t>
      </w:r>
      <w:r w:rsidR="007A4BBA" w:rsidRPr="00796736">
        <w:rPr>
          <w:rFonts w:ascii="Times New Roman" w:eastAsia="Times New Roman" w:hAnsi="Times New Roman" w:cs="Times New Roman"/>
          <w:sz w:val="24"/>
          <w:szCs w:val="24"/>
          <w:lang w:eastAsia="da-DK"/>
        </w:rPr>
        <w:t>30</w:t>
      </w:r>
      <w:r w:rsidR="00922AA1" w:rsidRPr="00796736">
        <w:rPr>
          <w:rFonts w:ascii="Times New Roman" w:eastAsia="Times New Roman" w:hAnsi="Times New Roman" w:cs="Times New Roman"/>
          <w:sz w:val="24"/>
          <w:szCs w:val="24"/>
          <w:lang w:eastAsia="da-DK"/>
        </w:rPr>
        <w:t>, der har tilladelse til at udbyde spil i Danmark, er omfattet af lovens anvendelsesområde.</w:t>
      </w:r>
    </w:p>
    <w:p w14:paraId="745EAE1A" w14:textId="77777777" w:rsidR="00922AA1" w:rsidRPr="00796736" w:rsidRDefault="00922AA1" w:rsidP="00A802A5">
      <w:pPr>
        <w:spacing w:line="360" w:lineRule="auto"/>
        <w:rPr>
          <w:rFonts w:ascii="Times New Roman" w:eastAsia="Times New Roman" w:hAnsi="Times New Roman" w:cs="Times New Roman"/>
          <w:sz w:val="24"/>
          <w:szCs w:val="24"/>
          <w:lang w:eastAsia="da-DK"/>
        </w:rPr>
      </w:pPr>
    </w:p>
    <w:p w14:paraId="6F4A052B" w14:textId="77777777" w:rsidR="00922AA1" w:rsidRPr="00796736" w:rsidRDefault="00922AA1"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Ikkefinansielle holdingselskaber med blandet aktivitet, der har en udbyder af spil som datterselskab, vil således være omfattet af Spillemyndighedens tilsyn, da datterselskabet vil høre under Spillemyndighedens tilsyn. </w:t>
      </w:r>
    </w:p>
    <w:p w14:paraId="46FBA7F7" w14:textId="05B527DA" w:rsidR="004877E0" w:rsidRPr="00796736" w:rsidRDefault="004877E0" w:rsidP="00A802A5">
      <w:pPr>
        <w:spacing w:line="360" w:lineRule="auto"/>
        <w:rPr>
          <w:rFonts w:ascii="Times New Roman" w:hAnsi="Times New Roman" w:cs="Times New Roman"/>
          <w:i/>
          <w:iCs/>
          <w:sz w:val="24"/>
          <w:szCs w:val="24"/>
        </w:rPr>
      </w:pPr>
    </w:p>
    <w:p w14:paraId="08EB568A" w14:textId="0B20D0C1" w:rsidR="00203A07" w:rsidRPr="00796736" w:rsidRDefault="00203A0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w:t>
      </w:r>
      <w:r w:rsidR="00580D1B" w:rsidRPr="00796736">
        <w:rPr>
          <w:rFonts w:ascii="Times New Roman" w:hAnsi="Times New Roman" w:cs="Times New Roman"/>
          <w:sz w:val="24"/>
          <w:szCs w:val="24"/>
        </w:rPr>
        <w:fldChar w:fldCharType="begin"/>
      </w:r>
      <w:r w:rsidR="00580D1B" w:rsidRPr="00796736">
        <w:rPr>
          <w:rFonts w:ascii="Times New Roman" w:hAnsi="Times New Roman" w:cs="Times New Roman"/>
          <w:sz w:val="24"/>
          <w:szCs w:val="24"/>
        </w:rPr>
        <w:instrText xml:space="preserve"> REF _Ref232942509 \n \h </w:instrText>
      </w:r>
      <w:r w:rsidR="00967618" w:rsidRPr="00796736">
        <w:rPr>
          <w:rFonts w:ascii="Times New Roman" w:hAnsi="Times New Roman" w:cs="Times New Roman"/>
          <w:sz w:val="24"/>
          <w:szCs w:val="24"/>
        </w:rPr>
        <w:instrText xml:space="preserve"> \* MERGEFORMAT </w:instrText>
      </w:r>
      <w:r w:rsidR="00580D1B" w:rsidRPr="00796736">
        <w:rPr>
          <w:rFonts w:ascii="Times New Roman" w:hAnsi="Times New Roman" w:cs="Times New Roman"/>
          <w:sz w:val="24"/>
          <w:szCs w:val="24"/>
        </w:rPr>
      </w:r>
      <w:r w:rsidR="00580D1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w:t>
      </w:r>
      <w:r w:rsidR="00580D1B" w:rsidRPr="00796736">
        <w:rPr>
          <w:rFonts w:ascii="Times New Roman" w:hAnsi="Times New Roman" w:cs="Times New Roman"/>
          <w:sz w:val="24"/>
          <w:szCs w:val="24"/>
        </w:rPr>
        <w:fldChar w:fldCharType="end"/>
      </w:r>
      <w:r w:rsidR="00580D1B"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631F69F8" w14:textId="77777777" w:rsidR="004877E0" w:rsidRPr="00796736" w:rsidRDefault="004877E0" w:rsidP="00A802A5">
      <w:pPr>
        <w:spacing w:line="360" w:lineRule="auto"/>
        <w:rPr>
          <w:rFonts w:ascii="Times New Roman" w:hAnsi="Times New Roman" w:cs="Times New Roman"/>
          <w:i/>
          <w:iCs/>
          <w:sz w:val="24"/>
          <w:szCs w:val="24"/>
        </w:rPr>
      </w:pPr>
    </w:p>
    <w:p w14:paraId="6E6AD6DE" w14:textId="4F406DBB" w:rsidR="00DB523E" w:rsidRPr="00796736" w:rsidRDefault="00237F65" w:rsidP="00A802A5">
      <w:pPr>
        <w:pStyle w:val="Undertitel"/>
      </w:pPr>
      <w:bookmarkStart w:id="1857" w:name="_Toc232109338"/>
      <w:bookmarkStart w:id="1858" w:name="_Toc244879299"/>
      <w:bookmarkStart w:id="1859" w:name="_Toc244880824"/>
      <w:r w:rsidRPr="00796736">
        <w:t xml:space="preserve">Til </w:t>
      </w:r>
      <w:r w:rsidR="008A5E85" w:rsidRPr="00796736">
        <w:fldChar w:fldCharType="begin"/>
      </w:r>
      <w:r w:rsidR="008A5E85" w:rsidRPr="00796736">
        <w:instrText xml:space="preserve"> REF _Ref232592944 \r \h </w:instrText>
      </w:r>
      <w:r w:rsidR="00967618" w:rsidRPr="00796736">
        <w:instrText xml:space="preserve"> \* MERGEFORMAT </w:instrText>
      </w:r>
      <w:r w:rsidR="008A5E85" w:rsidRPr="00796736">
        <w:fldChar w:fldCharType="separate"/>
      </w:r>
      <w:r w:rsidR="008F29E5">
        <w:t>§ 3</w:t>
      </w:r>
      <w:bookmarkEnd w:id="1858"/>
      <w:bookmarkEnd w:id="1859"/>
      <w:r w:rsidR="008A5E85" w:rsidRPr="00796736">
        <w:fldChar w:fldCharType="end"/>
      </w:r>
      <w:r w:rsidR="00161898" w:rsidRPr="00796736">
        <w:t xml:space="preserve"> </w:t>
      </w:r>
      <w:bookmarkEnd w:id="1857"/>
    </w:p>
    <w:p w14:paraId="71A1E1D8" w14:textId="77777777"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gældende § 5 i hvidvaskloven må erhvervsdrivende, som ikke er omfattet af hvidvaskloven, ikke modtage kontantbetalinger på 15.000 kr. eller derover, hvad enten betalingen sker på én gang eller som flere betalinger, der er eller ser ud til at være indbyrdes forbundet. </w:t>
      </w:r>
    </w:p>
    <w:p w14:paraId="7555EC7F" w14:textId="77777777" w:rsidR="00E67671" w:rsidRPr="00796736" w:rsidRDefault="00E67671" w:rsidP="00A802A5">
      <w:pPr>
        <w:spacing w:line="360" w:lineRule="auto"/>
        <w:rPr>
          <w:rFonts w:ascii="Times New Roman" w:hAnsi="Times New Roman" w:cs="Times New Roman"/>
          <w:sz w:val="24"/>
          <w:szCs w:val="24"/>
        </w:rPr>
      </w:pPr>
    </w:p>
    <w:p w14:paraId="6A6222DD" w14:textId="77777777"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Forbuddet omfatter erhvervsdrivende, som ikke er omfattet af hvidvaskloven, og som derved heller ikke er forpligtet til at gennemføre kundekendskabsprocedurer, overvåge deres kunders aktiviteter samt undersøge, hvor en kundes midler kommer fra, eller underrette Hvidvasksekretariatet ved mistanke om hvidvask eller terrorfinansiering. </w:t>
      </w:r>
    </w:p>
    <w:p w14:paraId="5BFDBF93" w14:textId="77777777" w:rsidR="00E67671" w:rsidRPr="00796736" w:rsidRDefault="00E67671" w:rsidP="00A802A5">
      <w:pPr>
        <w:spacing w:line="360" w:lineRule="auto"/>
        <w:rPr>
          <w:rFonts w:ascii="Times New Roman" w:hAnsi="Times New Roman" w:cs="Times New Roman"/>
          <w:sz w:val="24"/>
          <w:szCs w:val="24"/>
        </w:rPr>
      </w:pPr>
    </w:p>
    <w:p w14:paraId="51E05AD1" w14:textId="434AF7D6"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Hvidvaskforordningens artikel 80, stk. 1, fastsætter, at erhvervsdrivende, som sælger varer eller tjenesteydelser, kun må acceptere eller modtage betalinger på 10.000 EUR i kontanter, uanset om de gennemføres på én gang eller som flere transaktioner. </w:t>
      </w:r>
    </w:p>
    <w:p w14:paraId="1CB891DD" w14:textId="77777777" w:rsidR="00E67671" w:rsidRPr="00796736" w:rsidRDefault="00E67671" w:rsidP="00A802A5">
      <w:pPr>
        <w:spacing w:line="360" w:lineRule="auto"/>
        <w:rPr>
          <w:rFonts w:ascii="Times New Roman" w:hAnsi="Times New Roman" w:cs="Times New Roman"/>
          <w:sz w:val="24"/>
          <w:szCs w:val="24"/>
        </w:rPr>
      </w:pPr>
    </w:p>
    <w:p w14:paraId="2708D84C" w14:textId="77777777"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Undtaget fra bestemmelsen er betalinger eller indskud, der foretages i kreditinstitutter, som defineret i forordningens artikel 2, stk. 1, nr. 5, udstedere af elektroniske penge som defineret i artikel 2, nr. 3, i direktiv 2009/110/EF og betalingstjenesteudbydere som defineret i artikel 4, nr. 11, i direktiv (EU) 2015/2366. </w:t>
      </w:r>
    </w:p>
    <w:p w14:paraId="48F6978D" w14:textId="77777777" w:rsidR="00E67671" w:rsidRPr="00796736" w:rsidRDefault="00E67671" w:rsidP="00A802A5">
      <w:pPr>
        <w:spacing w:line="360" w:lineRule="auto"/>
        <w:rPr>
          <w:rFonts w:ascii="Times New Roman" w:hAnsi="Times New Roman" w:cs="Times New Roman"/>
          <w:sz w:val="24"/>
          <w:szCs w:val="24"/>
        </w:rPr>
      </w:pPr>
    </w:p>
    <w:p w14:paraId="033C646B" w14:textId="77777777"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gældende kontantforbud i hvidvasklovens § 5 omfatter ikke erhvervsdrivende, som er omfattet af hvidvaskloven, hvor forordningens kontantforbud alene undtager kreditinstitutter, udstedere af elektroniske penge og betalingsinstitutter fra kontantforbuddet. </w:t>
      </w:r>
    </w:p>
    <w:p w14:paraId="195EA352" w14:textId="3720DFF4"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p>
    <w:p w14:paraId="0B18CB2C" w14:textId="52047E9B" w:rsidR="00E72BFF" w:rsidRPr="00796736" w:rsidRDefault="00E67671"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Det foreslås i </w:t>
      </w:r>
      <w:r w:rsidR="00203A07"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w:t>
      </w:r>
      <w:r w:rsidR="00E72BFF" w:rsidRPr="00796736">
        <w:rPr>
          <w:rFonts w:ascii="Times New Roman" w:eastAsia="Calibri" w:hAnsi="Times New Roman" w:cs="Times New Roman"/>
          <w:sz w:val="24"/>
          <w:szCs w:val="24"/>
        </w:rPr>
        <w:t>virksomheder og personer nævnt i § 1, stk. 2</w:t>
      </w:r>
      <w:r w:rsidR="002B4BDE">
        <w:rPr>
          <w:rFonts w:ascii="Times New Roman" w:eastAsia="Calibri" w:hAnsi="Times New Roman" w:cs="Times New Roman"/>
          <w:sz w:val="24"/>
          <w:szCs w:val="24"/>
        </w:rPr>
        <w:t>, nr. 1-3</w:t>
      </w:r>
      <w:r w:rsidR="00E72BFF" w:rsidRPr="00796736">
        <w:rPr>
          <w:rFonts w:ascii="Times New Roman" w:eastAsia="Calibri" w:hAnsi="Times New Roman" w:cs="Times New Roman"/>
          <w:sz w:val="24"/>
          <w:szCs w:val="24"/>
        </w:rPr>
        <w:t xml:space="preserve">, </w:t>
      </w:r>
      <w:r w:rsidR="002B4BDE">
        <w:rPr>
          <w:rFonts w:ascii="Times New Roman" w:eastAsia="Calibri" w:hAnsi="Times New Roman" w:cs="Times New Roman"/>
          <w:sz w:val="24"/>
          <w:szCs w:val="24"/>
        </w:rPr>
        <w:t>samt</w:t>
      </w:r>
      <w:r w:rsidR="00E72BFF" w:rsidRPr="00796736">
        <w:rPr>
          <w:rFonts w:ascii="Times New Roman" w:eastAsia="Calibri" w:hAnsi="Times New Roman" w:cs="Times New Roman"/>
          <w:sz w:val="24"/>
          <w:szCs w:val="24"/>
        </w:rPr>
        <w:t xml:space="preserve"> </w:t>
      </w:r>
      <w:r w:rsidR="00E72BFF" w:rsidRPr="00796736">
        <w:rPr>
          <w:rFonts w:ascii="Times New Roman" w:eastAsia="Calibri" w:hAnsi="Times New Roman" w:cs="Times New Roman"/>
          <w:sz w:val="24"/>
          <w:szCs w:val="24"/>
        </w:rPr>
        <w:fldChar w:fldCharType="begin"/>
      </w:r>
      <w:r w:rsidR="00E72BFF" w:rsidRPr="00796736">
        <w:rPr>
          <w:rFonts w:ascii="Times New Roman" w:eastAsia="Calibri" w:hAnsi="Times New Roman" w:cs="Times New Roman"/>
          <w:sz w:val="24"/>
          <w:szCs w:val="24"/>
        </w:rPr>
        <w:instrText xml:space="preserve"> REF _Ref232592818 \r \h  \* MERGEFORMAT </w:instrText>
      </w:r>
      <w:r w:rsidR="00E72BFF" w:rsidRPr="00796736">
        <w:rPr>
          <w:rFonts w:ascii="Times New Roman" w:eastAsia="Calibri" w:hAnsi="Times New Roman" w:cs="Times New Roman"/>
          <w:sz w:val="24"/>
          <w:szCs w:val="24"/>
        </w:rPr>
      </w:r>
      <w:r w:rsidR="00E72BF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E72BFF" w:rsidRPr="00796736">
        <w:rPr>
          <w:rFonts w:ascii="Times New Roman" w:eastAsia="Calibri" w:hAnsi="Times New Roman" w:cs="Times New Roman"/>
          <w:sz w:val="24"/>
          <w:szCs w:val="24"/>
        </w:rPr>
        <w:fldChar w:fldCharType="end"/>
      </w:r>
      <w:r w:rsidR="00E72BFF" w:rsidRPr="00796736">
        <w:rPr>
          <w:rFonts w:ascii="Times New Roman" w:eastAsia="Calibri" w:hAnsi="Times New Roman" w:cs="Times New Roman"/>
          <w:sz w:val="24"/>
          <w:szCs w:val="24"/>
        </w:rPr>
        <w:t xml:space="preserve">, nr. 4-5, 7-11 </w:t>
      </w:r>
      <w:r w:rsidR="002B4BDE">
        <w:rPr>
          <w:rFonts w:ascii="Times New Roman" w:eastAsia="Calibri" w:hAnsi="Times New Roman" w:cs="Times New Roman"/>
          <w:sz w:val="24"/>
          <w:szCs w:val="24"/>
        </w:rPr>
        <w:t>og</w:t>
      </w:r>
      <w:r w:rsidR="00E72BFF" w:rsidRPr="00796736">
        <w:rPr>
          <w:rFonts w:ascii="Times New Roman" w:eastAsia="Calibri" w:hAnsi="Times New Roman" w:cs="Times New Roman"/>
          <w:sz w:val="24"/>
          <w:szCs w:val="24"/>
        </w:rPr>
        <w:t xml:space="preserve"> nr. 13-32, litra a-c, der erhvervsmæssigt handler med varer eller leverer tjenesteydelser, må kun acceptere eller foretage kontantbetalinger på højest 10.000 EUR eller et tilsvarende beløb i anden valuta, uanset om betalingen gennemføres på én gang eller som flere betalinger, der er eller ser ud til at være indbyrdes forbundet, jf. artikel 80 i hvidvaskforordningen.</w:t>
      </w:r>
    </w:p>
    <w:p w14:paraId="364A30E4" w14:textId="77777777" w:rsidR="00203A07" w:rsidRPr="00796736" w:rsidRDefault="00203A07" w:rsidP="00A802A5">
      <w:pPr>
        <w:spacing w:line="360" w:lineRule="auto"/>
        <w:rPr>
          <w:rFonts w:ascii="Times New Roman" w:eastAsia="Calibri" w:hAnsi="Times New Roman" w:cs="Times New Roman"/>
          <w:sz w:val="24"/>
          <w:szCs w:val="24"/>
        </w:rPr>
      </w:pPr>
    </w:p>
    <w:p w14:paraId="0E63D1A1" w14:textId="77777777"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der indføres et kontantforbud for erhvervsdrivende omfattet af hvidvaskreglerne, der ikke er et kreditinstitut, </w:t>
      </w:r>
      <w:r w:rsidRPr="00796736">
        <w:rPr>
          <w:rFonts w:ascii="Times New Roman" w:eastAsia="Calibri" w:hAnsi="Times New Roman" w:cs="Times New Roman"/>
          <w:sz w:val="24"/>
          <w:szCs w:val="24"/>
        </w:rPr>
        <w:t>udstedere af elektroniske penge eller betalingstjenesteudbydere,</w:t>
      </w:r>
      <w:r w:rsidRPr="00796736">
        <w:rPr>
          <w:rFonts w:ascii="Times New Roman" w:hAnsi="Times New Roman" w:cs="Times New Roman"/>
          <w:sz w:val="24"/>
          <w:szCs w:val="24"/>
        </w:rPr>
        <w:t xml:space="preserve"> på 10.000 EUR eller et tilsvarende beløb i en anden valuta.</w:t>
      </w:r>
    </w:p>
    <w:p w14:paraId="739744AD" w14:textId="77777777" w:rsidR="00E67671" w:rsidRPr="00796736" w:rsidRDefault="00E67671" w:rsidP="00A802A5">
      <w:pPr>
        <w:spacing w:line="360" w:lineRule="auto"/>
        <w:rPr>
          <w:rFonts w:ascii="Times New Roman" w:hAnsi="Times New Roman" w:cs="Times New Roman"/>
          <w:sz w:val="24"/>
          <w:szCs w:val="24"/>
        </w:rPr>
      </w:pPr>
    </w:p>
    <w:p w14:paraId="266DCDC7" w14:textId="77777777"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alle andre erhvervsdrivende, som ikke er omfattet af hvidvaskreglerne, og som handler med varer og tjenesteydelser alene må modtage eller foretage en kontantbetaling på 14.999 kr. eller et tilsvarende beløb i en anden valuta. </w:t>
      </w:r>
    </w:p>
    <w:p w14:paraId="6B02D9E9" w14:textId="77777777" w:rsidR="00E67671" w:rsidRPr="00796736" w:rsidRDefault="00E67671" w:rsidP="00A802A5">
      <w:pPr>
        <w:spacing w:line="360" w:lineRule="auto"/>
        <w:rPr>
          <w:rFonts w:ascii="Times New Roman" w:hAnsi="Times New Roman" w:cs="Times New Roman"/>
          <w:sz w:val="24"/>
          <w:szCs w:val="24"/>
        </w:rPr>
      </w:pPr>
    </w:p>
    <w:p w14:paraId="5D7C1F49" w14:textId="77777777"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er en videreførelse af det gældende kontantforbud, hvor erhvervsdrivende, som ikke er omfattet af hvidvaskloven ikke må modtage kontantbetalinger på 15.000 kr. eller derover, hvad enten betalingen sker på én gang eller som flere betalinger, der er eller ser ud til at være indbyrdes forbundne. </w:t>
      </w:r>
    </w:p>
    <w:p w14:paraId="1ED6D8C0" w14:textId="77777777" w:rsidR="00E67671" w:rsidRPr="00796736" w:rsidRDefault="00E67671" w:rsidP="00A802A5">
      <w:pPr>
        <w:spacing w:line="360" w:lineRule="auto"/>
        <w:rPr>
          <w:rFonts w:ascii="Times New Roman" w:hAnsi="Times New Roman" w:cs="Times New Roman"/>
          <w:sz w:val="24"/>
          <w:szCs w:val="24"/>
        </w:rPr>
      </w:pPr>
    </w:p>
    <w:p w14:paraId="7DC9251B" w14:textId="77777777"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Både kontantforbuddet efter det foreslåede stk. 1 og stk. 2 omfatter flere betalinger, der for den erhvervsdrivende er eller ser ud til at være indbyrdes forbundet, hvis den samlede betaling efter den foreslåede bestemmelses stk. 1, udgør 10.001 EUR eller derover og for den foreslåede bestemmelses stk. 2, udgør 15.000 kr. eller derudover. Det er for at forhindre omgåelsestilfælde. Det forudsættes herved, at løbende ydelser ikke i sig selv skal anses for at være indbyrdes forbundet. Kontantforbuddet vil således kun ramme betaling af f.eks. leje af hus eller husrum, leje af bil eller levering af vand, varme og gas eller elektricitet, hvis betalingen for en enkelt periode udgør 10.001 EUR eller 15.000 kr. eller derover. Hvis der derimod er tale om ratevis betaling, eksempelvis i forbindelse med køb af en løsøregenstand eller en fast ejendom eller i forbindelse med betaling for en entrepriseydelse eller en rejse, vil de enkelte rater være indbyrdes forbundet, og kontantforbuddet vil dermed ramme tilfælde, hvor den samlede betaling udgør enten 10.001 EUR eller 15.000 kr. eller derover.</w:t>
      </w:r>
    </w:p>
    <w:p w14:paraId="20B6880B" w14:textId="77777777" w:rsidR="00E67671" w:rsidRPr="00796736" w:rsidRDefault="00E67671" w:rsidP="00A802A5">
      <w:pPr>
        <w:spacing w:line="360" w:lineRule="auto"/>
        <w:rPr>
          <w:rFonts w:ascii="Times New Roman" w:hAnsi="Times New Roman" w:cs="Times New Roman"/>
          <w:sz w:val="24"/>
          <w:szCs w:val="24"/>
        </w:rPr>
      </w:pPr>
    </w:p>
    <w:p w14:paraId="28A18B19" w14:textId="23371D9A"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således, at realkreditinstitutter, pengeinstitutter, udstedere af elektroniske penge og betalingstjenesteudbydere ingen kontantgrænse har. At alle andre erhvervsdrivende, som ikke er realkreditinstitut, pengeinstitut, udsteder af elektroniske penge eller betalingstjenesteudbyder og som er omfattet af hvidvaskloven kun må acceptere 10.000 EUR i kontanter, mens erhvervsdrivende som ikke er omfattet af </w:t>
      </w:r>
      <w:r w:rsidR="00203A07"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kun må acceptere 14.999 </w:t>
      </w:r>
      <w:r w:rsidR="00203A07" w:rsidRPr="00796736">
        <w:rPr>
          <w:rFonts w:ascii="Times New Roman" w:hAnsi="Times New Roman" w:cs="Times New Roman"/>
          <w:sz w:val="24"/>
          <w:szCs w:val="24"/>
        </w:rPr>
        <w:t xml:space="preserve">kr. i </w:t>
      </w:r>
      <w:r w:rsidRPr="00796736">
        <w:rPr>
          <w:rFonts w:ascii="Times New Roman" w:hAnsi="Times New Roman" w:cs="Times New Roman"/>
          <w:sz w:val="24"/>
          <w:szCs w:val="24"/>
        </w:rPr>
        <w:t xml:space="preserve">kontanter. </w:t>
      </w:r>
    </w:p>
    <w:p w14:paraId="58621586" w14:textId="77777777" w:rsidR="00E67671" w:rsidRPr="00796736" w:rsidRDefault="00E67671" w:rsidP="00A802A5">
      <w:pPr>
        <w:spacing w:line="360" w:lineRule="auto"/>
        <w:rPr>
          <w:rFonts w:ascii="Times New Roman" w:hAnsi="Times New Roman" w:cs="Times New Roman"/>
          <w:sz w:val="24"/>
          <w:szCs w:val="24"/>
        </w:rPr>
      </w:pPr>
    </w:p>
    <w:p w14:paraId="7A526FFB" w14:textId="0275BE51"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foreslås det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w:t>
      </w:r>
      <w:r w:rsidR="00AE2F00" w:rsidRPr="00796736">
        <w:rPr>
          <w:rFonts w:ascii="Times New Roman" w:eastAsia="Calibri" w:hAnsi="Times New Roman" w:cs="Times New Roman"/>
          <w:i/>
          <w:iCs/>
          <w:sz w:val="24"/>
          <w:szCs w:val="24"/>
        </w:rPr>
        <w:t>s</w:t>
      </w:r>
      <w:r w:rsidR="00AE2F00" w:rsidRPr="00796736">
        <w:rPr>
          <w:rFonts w:ascii="Times New Roman" w:eastAsia="Calibri" w:hAnsi="Times New Roman" w:cs="Times New Roman"/>
          <w:sz w:val="24"/>
          <w:szCs w:val="24"/>
        </w:rPr>
        <w:t>katte- og vækstministeren og erhvervs- og konkurrencekraftsministeren, eller den, som ministrene bemyndiger dertil, kan i særlige tilfælde træffe afgørelse om, at stk. 1 og 2 ikke finder anvendelse.</w:t>
      </w:r>
    </w:p>
    <w:p w14:paraId="2BC67469" w14:textId="77777777" w:rsidR="00AE2F00" w:rsidRPr="00796736" w:rsidRDefault="00AE2F00" w:rsidP="00A802A5">
      <w:pPr>
        <w:spacing w:line="360" w:lineRule="auto"/>
        <w:ind w:firstLine="238"/>
        <w:rPr>
          <w:rFonts w:ascii="Times New Roman" w:hAnsi="Times New Roman" w:cs="Times New Roman"/>
          <w:sz w:val="24"/>
          <w:szCs w:val="24"/>
        </w:rPr>
      </w:pPr>
    </w:p>
    <w:p w14:paraId="3C98CC82" w14:textId="77777777" w:rsidR="00A6343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medføre, at </w:t>
      </w:r>
      <w:r w:rsidR="00AE2F00" w:rsidRPr="00796736">
        <w:rPr>
          <w:rFonts w:ascii="Times New Roman" w:eastAsia="Calibri" w:hAnsi="Times New Roman" w:cs="Times New Roman"/>
          <w:i/>
          <w:iCs/>
          <w:sz w:val="24"/>
          <w:szCs w:val="24"/>
        </w:rPr>
        <w:t>s</w:t>
      </w:r>
      <w:r w:rsidR="00AE2F00" w:rsidRPr="00796736">
        <w:rPr>
          <w:rFonts w:ascii="Times New Roman" w:eastAsia="Calibri" w:hAnsi="Times New Roman" w:cs="Times New Roman"/>
          <w:sz w:val="24"/>
          <w:szCs w:val="24"/>
        </w:rPr>
        <w:t xml:space="preserve">katte- og vækstministeren og erhvervs- og konkurrencekraftsministeren, </w:t>
      </w:r>
      <w:r w:rsidRPr="00796736">
        <w:rPr>
          <w:rFonts w:ascii="Times New Roman" w:hAnsi="Times New Roman" w:cs="Times New Roman"/>
          <w:sz w:val="24"/>
          <w:szCs w:val="24"/>
        </w:rPr>
        <w:t xml:space="preserve">eller den, som </w:t>
      </w:r>
      <w:r w:rsidR="00AE2F00" w:rsidRPr="00796736">
        <w:rPr>
          <w:rFonts w:ascii="Times New Roman" w:eastAsia="Calibri" w:hAnsi="Times New Roman" w:cs="Times New Roman"/>
          <w:sz w:val="24"/>
          <w:szCs w:val="24"/>
        </w:rPr>
        <w:t>ministrene</w:t>
      </w:r>
      <w:r w:rsidR="00AE2F0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bemyndiger hertil, kan suspendere kontantforbuddet i særlige tilfælde. </w:t>
      </w:r>
    </w:p>
    <w:p w14:paraId="6DBDD101" w14:textId="77777777" w:rsidR="00A63431" w:rsidRPr="00796736" w:rsidRDefault="00A63431" w:rsidP="00A802A5">
      <w:pPr>
        <w:spacing w:line="360" w:lineRule="auto"/>
        <w:rPr>
          <w:rFonts w:ascii="Times New Roman" w:hAnsi="Times New Roman" w:cs="Times New Roman"/>
          <w:sz w:val="24"/>
          <w:szCs w:val="24"/>
        </w:rPr>
      </w:pPr>
    </w:p>
    <w:p w14:paraId="52C954AB" w14:textId="2A6B3430"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»særlige tilfælde« i den foreslåede bestemmelse forstås for eksempelvis force majeure situationer, hvor andre betalingsmidler end kontanter midlertidigt ikke kan anvendes. Force majeure situationer kan være situationer, hvor der er tale om en udefrakommende og uforudsigelig omstændighed, hvor f.eks. elektroniske betalingstransaktioner i hele eller i store dele af landet ikke kan gennemføres. Som typiske eksempler på tilfælde, hvor force majeure navnlig vil være relevant kan nævnes udbrud af krig, oprør, brand og uroligheder mv.</w:t>
      </w:r>
    </w:p>
    <w:p w14:paraId="4493A005" w14:textId="77777777" w:rsidR="00203A07" w:rsidRPr="00796736" w:rsidRDefault="00203A07" w:rsidP="00A802A5">
      <w:pPr>
        <w:spacing w:line="360" w:lineRule="auto"/>
        <w:rPr>
          <w:rFonts w:ascii="Times New Roman" w:hAnsi="Times New Roman" w:cs="Times New Roman"/>
          <w:sz w:val="24"/>
          <w:szCs w:val="24"/>
        </w:rPr>
      </w:pPr>
    </w:p>
    <w:p w14:paraId="7F6EDE8F" w14:textId="0AFD721E" w:rsidR="00E67671" w:rsidRPr="00796736" w:rsidRDefault="00E6767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i øvrigt til pkt</w:t>
      </w:r>
      <w:bookmarkStart w:id="1860" w:name="_Hlk198818840"/>
      <w:r w:rsidRPr="00796736">
        <w:rPr>
          <w:rFonts w:ascii="Times New Roman" w:hAnsi="Times New Roman" w:cs="Times New Roman"/>
          <w:sz w:val="24"/>
          <w:szCs w:val="24"/>
        </w:rPr>
        <w:t xml:space="preserve">. </w:t>
      </w:r>
      <w:r w:rsidR="00580D1B" w:rsidRPr="00796736">
        <w:rPr>
          <w:rFonts w:ascii="Times New Roman" w:hAnsi="Times New Roman" w:cs="Times New Roman"/>
          <w:sz w:val="24"/>
          <w:szCs w:val="24"/>
        </w:rPr>
        <w:fldChar w:fldCharType="begin"/>
      </w:r>
      <w:r w:rsidR="00580D1B" w:rsidRPr="00796736">
        <w:rPr>
          <w:rFonts w:ascii="Times New Roman" w:hAnsi="Times New Roman" w:cs="Times New Roman"/>
          <w:sz w:val="24"/>
          <w:szCs w:val="24"/>
        </w:rPr>
        <w:instrText xml:space="preserve"> REF _Ref232942535 \n \h </w:instrText>
      </w:r>
      <w:r w:rsidR="00967618" w:rsidRPr="00796736">
        <w:rPr>
          <w:rFonts w:ascii="Times New Roman" w:hAnsi="Times New Roman" w:cs="Times New Roman"/>
          <w:sz w:val="24"/>
          <w:szCs w:val="24"/>
        </w:rPr>
        <w:instrText xml:space="preserve"> \* MERGEFORMAT </w:instrText>
      </w:r>
      <w:r w:rsidR="00580D1B" w:rsidRPr="00796736">
        <w:rPr>
          <w:rFonts w:ascii="Times New Roman" w:hAnsi="Times New Roman" w:cs="Times New Roman"/>
          <w:sz w:val="24"/>
          <w:szCs w:val="24"/>
        </w:rPr>
      </w:r>
      <w:r w:rsidR="00580D1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w:t>
      </w:r>
      <w:r w:rsidR="00580D1B" w:rsidRPr="00796736">
        <w:rPr>
          <w:rFonts w:ascii="Times New Roman" w:hAnsi="Times New Roman" w:cs="Times New Roman"/>
          <w:sz w:val="24"/>
          <w:szCs w:val="24"/>
        </w:rPr>
        <w:fldChar w:fldCharType="end"/>
      </w:r>
      <w:r w:rsidR="00580D1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 </w:t>
      </w:r>
      <w:bookmarkEnd w:id="1860"/>
      <w:r w:rsidRPr="00796736">
        <w:rPr>
          <w:rFonts w:ascii="Times New Roman" w:hAnsi="Times New Roman" w:cs="Times New Roman"/>
          <w:sz w:val="24"/>
          <w:szCs w:val="24"/>
        </w:rPr>
        <w:t>lovforslagets almindelige bemærkninger.</w:t>
      </w:r>
    </w:p>
    <w:p w14:paraId="4429E462" w14:textId="77777777" w:rsidR="00051C99" w:rsidRPr="00796736" w:rsidRDefault="00051C99" w:rsidP="00A802A5">
      <w:pPr>
        <w:spacing w:line="360" w:lineRule="auto"/>
        <w:rPr>
          <w:rFonts w:ascii="Times New Roman" w:hAnsi="Times New Roman" w:cs="Times New Roman"/>
          <w:sz w:val="24"/>
          <w:szCs w:val="24"/>
        </w:rPr>
      </w:pPr>
    </w:p>
    <w:p w14:paraId="6A77E976" w14:textId="77A50D8C" w:rsidR="00A950E2" w:rsidRPr="00796736" w:rsidRDefault="00051C99" w:rsidP="00A802A5">
      <w:pPr>
        <w:pStyle w:val="Undertitel"/>
      </w:pPr>
      <w:bookmarkStart w:id="1861" w:name="_Toc232109339"/>
      <w:bookmarkStart w:id="1862" w:name="_Toc244879300"/>
      <w:bookmarkStart w:id="1863" w:name="_Toc244880825"/>
      <w:r w:rsidRPr="00796736">
        <w:t xml:space="preserve">Til </w:t>
      </w:r>
      <w:r w:rsidR="008A5E85" w:rsidRPr="00796736">
        <w:fldChar w:fldCharType="begin"/>
      </w:r>
      <w:r w:rsidR="008A5E85" w:rsidRPr="00796736">
        <w:instrText xml:space="preserve"> REF _Ref232593034 \r \h </w:instrText>
      </w:r>
      <w:r w:rsidR="00967618" w:rsidRPr="00796736">
        <w:instrText xml:space="preserve"> \* MERGEFORMAT </w:instrText>
      </w:r>
      <w:r w:rsidR="008A5E85" w:rsidRPr="00796736">
        <w:fldChar w:fldCharType="separate"/>
      </w:r>
      <w:r w:rsidR="008F29E5">
        <w:t>§ 4</w:t>
      </w:r>
      <w:bookmarkEnd w:id="1862"/>
      <w:bookmarkEnd w:id="1863"/>
      <w:r w:rsidR="008A5E85" w:rsidRPr="00796736">
        <w:fldChar w:fldCharType="end"/>
      </w:r>
      <w:r w:rsidR="00161898" w:rsidRPr="00796736">
        <w:t xml:space="preserve"> </w:t>
      </w:r>
      <w:bookmarkEnd w:id="1861"/>
    </w:p>
    <w:p w14:paraId="5D422234" w14:textId="2F89EC4E"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 6, stk. 1, i hvidvaskloven, at virksomheder og personer, der som led i deres virksomhed deltager i håndtering og udlevering af pengesedler og mønter til offentligheden, herunder personer og virksomheder, hvis aktivitet består i at veksle pengesedler og mønter i forskellig valuta, har pligt til at tage alle sedler og mønter, som de ved eller har grund til at tro er falske, ud af omløb. Sedler og mønter, der er taget ud af omløb i overensstemmelse med 1. pkt., skal straks overgives til politiet. Det fremgår af stk. 2, at stk. 1 ikke finder anvendelse på sedler og mønter i euro, jf. artikel 6, stk. 1, i Rådets forordning 2009/44/EF af 18. december 2008 om ændring af forordning 2001/1338/EF om fastlæggelse af de foranstaltninger, der er nødvendige for at beskytte euroen mod falskmøntneri, der indeholder en lignende forpligtelse for eurosedler og euromønter.</w:t>
      </w:r>
    </w:p>
    <w:p w14:paraId="4D2715A8" w14:textId="77777777" w:rsidR="0013679B" w:rsidRPr="00796736" w:rsidRDefault="0013679B" w:rsidP="00A802A5">
      <w:pPr>
        <w:spacing w:line="360" w:lineRule="auto"/>
        <w:rPr>
          <w:rFonts w:ascii="Times New Roman" w:eastAsia="Calibri" w:hAnsi="Times New Roman" w:cs="Times New Roman"/>
          <w:sz w:val="24"/>
          <w:szCs w:val="24"/>
        </w:rPr>
      </w:pPr>
    </w:p>
    <w:p w14:paraId="55FD2AF1" w14:textId="77777777" w:rsidR="00A47D29"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Rådets forordning 2001/1338/EF af 28. juni 2001 om fastlæggelse af de foranstaltninger, der er nødvendige for at beskytte euroen mod falskmøntneri som ændret ved forordning 2009/44/EF af 18. december 2008 indeholder i artikel 6, stk. 1, blandt andet en forpligtelse for en række aktører. Dette omfatter kreditinstitutter og andre udbydere af betalingstjenester i relation til deres betalingsaktivitet. Forpligtelsen gælder også alle andre økonomiske aktører, der deltager i håndtering og udlevering af pengesedler og mønter til offentligheden. Dette omfatter blandt andet institutter, hvis aktivitet består i veksling af pengesedler og mønter i forskellig valuta, som f.eks. vekselkontorer, pengetransportvirksomheder og andre økonomiske aktører, herunder handlende og kasinoer, der accessorisk håndterer og leverer pengesedler til offentligheden via bankernes pengeautomater (kontantautomater). </w:t>
      </w:r>
    </w:p>
    <w:p w14:paraId="0168EDBD" w14:textId="77777777" w:rsidR="00A47D29" w:rsidRPr="00796736" w:rsidRDefault="00A47D29" w:rsidP="00A802A5">
      <w:pPr>
        <w:spacing w:line="360" w:lineRule="auto"/>
        <w:rPr>
          <w:rFonts w:ascii="Times New Roman" w:eastAsia="Calibri" w:hAnsi="Times New Roman" w:cs="Times New Roman"/>
          <w:sz w:val="24"/>
          <w:szCs w:val="24"/>
        </w:rPr>
      </w:pPr>
    </w:p>
    <w:p w14:paraId="6F76B607" w14:textId="6C65332B"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Forpligtelsen består i, at de pågældende institutter m.v. inden for rammerne af disse accessoriske aktiviteter har pligt til at sikre, at eurosedler og euromønter, som de har modtaget, og som de har til hensigt at bringe i omløb igen, kontrolleres med henblik på ægthed, og til at påse, at falske eurosedler og euromønter afsløres. Institutterne m.v. skal straks overgive de omhandlede eurosedler eller euromønter til de kompetente nationale myndigheder.</w:t>
      </w:r>
    </w:p>
    <w:p w14:paraId="38322F3E" w14:textId="77777777" w:rsidR="0013679B" w:rsidRPr="00796736" w:rsidRDefault="0013679B" w:rsidP="00A802A5">
      <w:pPr>
        <w:spacing w:line="360" w:lineRule="auto"/>
        <w:rPr>
          <w:rFonts w:ascii="Times New Roman" w:eastAsia="Calibri" w:hAnsi="Times New Roman" w:cs="Times New Roman"/>
          <w:sz w:val="24"/>
          <w:szCs w:val="24"/>
        </w:rPr>
      </w:pPr>
    </w:p>
    <w:p w14:paraId="6896C1F4" w14:textId="77777777" w:rsidR="00A47D29"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Derudover indeholder forordningen i artikel 6, stk. 2, en forpligtelse for medlemsstaterne til at træffe de nødvendige foranstaltninger for at sikre, at de pågældende institutter, der undlader at opfylde deres forpligtelser efter bestemmelsen, kan pålægges sanktioner, der skal være effektive, stå i et rimeligt forhold til overtrædelsen og have afskrækkende virkning. </w:t>
      </w:r>
    </w:p>
    <w:p w14:paraId="3C83C187" w14:textId="77777777" w:rsidR="00A47D29" w:rsidRPr="00796736" w:rsidRDefault="00A47D29" w:rsidP="00A802A5">
      <w:pPr>
        <w:spacing w:line="360" w:lineRule="auto"/>
        <w:rPr>
          <w:rFonts w:ascii="Times New Roman" w:eastAsia="Calibri" w:hAnsi="Times New Roman" w:cs="Times New Roman"/>
          <w:sz w:val="24"/>
          <w:szCs w:val="24"/>
        </w:rPr>
      </w:pPr>
    </w:p>
    <w:p w14:paraId="784B2B5F" w14:textId="1726CB0B"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786F13" w:rsidRPr="00796736">
        <w:rPr>
          <w:rFonts w:ascii="Times New Roman" w:eastAsia="Calibri" w:hAnsi="Times New Roman" w:cs="Times New Roman"/>
          <w:i/>
          <w:iCs/>
          <w:sz w:val="24"/>
          <w:szCs w:val="24"/>
        </w:rPr>
        <w:fldChar w:fldCharType="begin"/>
      </w:r>
      <w:r w:rsidR="00786F13" w:rsidRPr="00796736">
        <w:rPr>
          <w:rFonts w:ascii="Times New Roman" w:eastAsia="Calibri" w:hAnsi="Times New Roman" w:cs="Times New Roman"/>
          <w:i/>
          <w:iCs/>
          <w:sz w:val="24"/>
          <w:szCs w:val="24"/>
        </w:rPr>
        <w:instrText xml:space="preserve"> REF _Ref232593034 \r \h  \* MERGEFORMAT </w:instrText>
      </w:r>
      <w:r w:rsidR="00786F13" w:rsidRPr="00796736">
        <w:rPr>
          <w:rFonts w:ascii="Times New Roman" w:eastAsia="Calibri" w:hAnsi="Times New Roman" w:cs="Times New Roman"/>
          <w:i/>
          <w:iCs/>
          <w:sz w:val="24"/>
          <w:szCs w:val="24"/>
        </w:rPr>
      </w:r>
      <w:r w:rsidR="00786F1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4</w:t>
      </w:r>
      <w:r w:rsidR="00786F13" w:rsidRPr="00796736">
        <w:rPr>
          <w:rFonts w:ascii="Times New Roman" w:eastAsia="Calibri" w:hAnsi="Times New Roman" w:cs="Times New Roman"/>
          <w:i/>
          <w:iCs/>
          <w:sz w:val="24"/>
          <w:szCs w:val="24"/>
        </w:rPr>
        <w:fldChar w:fldCharType="end"/>
      </w:r>
      <w:r w:rsidR="00786F13"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at videreføre § 6 i den gældende hvidvasklov. Den foreslåede bestemmelse medfører ikke materielle ændringer.</w:t>
      </w:r>
    </w:p>
    <w:p w14:paraId="04237F8B" w14:textId="77777777" w:rsidR="0013679B" w:rsidRPr="00796736" w:rsidRDefault="0013679B" w:rsidP="00A802A5">
      <w:pPr>
        <w:spacing w:line="360" w:lineRule="auto"/>
        <w:rPr>
          <w:rFonts w:ascii="Times New Roman" w:eastAsia="Calibri" w:hAnsi="Times New Roman" w:cs="Times New Roman"/>
          <w:sz w:val="24"/>
          <w:szCs w:val="24"/>
        </w:rPr>
      </w:pPr>
    </w:p>
    <w:p w14:paraId="60E097CA" w14:textId="77777777"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derfor i </w:t>
      </w:r>
      <w:r w:rsidRPr="00796736">
        <w:rPr>
          <w:rFonts w:ascii="Times New Roman" w:eastAsia="Calibri" w:hAnsi="Times New Roman" w:cs="Times New Roman"/>
          <w:i/>
          <w:iCs/>
          <w:sz w:val="24"/>
          <w:szCs w:val="24"/>
        </w:rPr>
        <w:t>stk. 1</w:t>
      </w:r>
      <w:r w:rsidRPr="00796736">
        <w:rPr>
          <w:rFonts w:ascii="Times New Roman" w:eastAsia="Calibri" w:hAnsi="Times New Roman" w:cs="Times New Roman"/>
          <w:sz w:val="24"/>
          <w:szCs w:val="24"/>
        </w:rPr>
        <w:t xml:space="preserve">, at virksomheder og personer, der som led i deres virksomhed deltager i håndtering og udlevering af pengesedler og mønter til offentligheden, herunder personer og virksomheder, hvis aktivitet består i at veksle pengesedler og mønter i forskellig valuta, har pligt til at tage alle sedler og mønter, som de ved eller har tilstrækkelig grund til at tro er falske, ud af omløb. Sedler og mønter, der er taget ud af omløb i overensstemmelse med 1. pkt., skal straks overgives til politiet. </w:t>
      </w:r>
    </w:p>
    <w:p w14:paraId="232C053D" w14:textId="77777777" w:rsidR="0013679B" w:rsidRPr="00796736" w:rsidRDefault="0013679B" w:rsidP="00A802A5">
      <w:pPr>
        <w:spacing w:line="360" w:lineRule="auto"/>
        <w:rPr>
          <w:rFonts w:ascii="Times New Roman" w:eastAsia="Calibri" w:hAnsi="Times New Roman" w:cs="Times New Roman"/>
          <w:sz w:val="24"/>
          <w:szCs w:val="24"/>
        </w:rPr>
      </w:pPr>
    </w:p>
    <w:p w14:paraId="6AD1BB5E" w14:textId="231C239C"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medfører, at pligten til straks at overgive formodede falske sedler og mønter til politiet en hvilken som helst valuta, herunder også danske kroner. Forpligtelser for euro er reguleret i Rådets forordning 2001/1338/EF af 28. juni, hvilket bemærkes under forarbejderne til bestemmelsens stk. 2. </w:t>
      </w:r>
    </w:p>
    <w:p w14:paraId="0B0DE68F" w14:textId="77777777" w:rsidR="0013679B" w:rsidRPr="00796736" w:rsidRDefault="0013679B" w:rsidP="00A802A5">
      <w:pPr>
        <w:spacing w:line="360" w:lineRule="auto"/>
        <w:rPr>
          <w:rFonts w:ascii="Times New Roman" w:eastAsia="Calibri" w:hAnsi="Times New Roman" w:cs="Times New Roman"/>
          <w:sz w:val="24"/>
          <w:szCs w:val="24"/>
        </w:rPr>
      </w:pPr>
    </w:p>
    <w:p w14:paraId="2F52B485" w14:textId="77777777"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Overgivelse kan ske til enhver politikreds. Politiet sørger for at videresende til Rigspolitichefen med henblik på videre analyser.</w:t>
      </w:r>
    </w:p>
    <w:p w14:paraId="12E4317A" w14:textId="77777777" w:rsidR="0013679B" w:rsidRPr="00796736" w:rsidRDefault="0013679B" w:rsidP="00A802A5">
      <w:pPr>
        <w:spacing w:line="360" w:lineRule="auto"/>
        <w:rPr>
          <w:rFonts w:ascii="Times New Roman" w:eastAsia="Calibri" w:hAnsi="Times New Roman" w:cs="Times New Roman"/>
          <w:sz w:val="24"/>
          <w:szCs w:val="24"/>
        </w:rPr>
      </w:pPr>
    </w:p>
    <w:p w14:paraId="574AE305" w14:textId="098EE72D"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Særligt for mønter, der ikke som sedler indeholder sikkerhedselementer, bemærkes det, at pengeinstitutterne, hvis der ikke er tilstrækkelig grund til at tro, at mønterne er falske, men hvor der er mistanke herom, kan indsende de pågældende mønter til Danmarks Nationalbank i henhold til gældende praksis herfor med henblik på en vurdering af mønternes ægthed. Danmarks Nationalbank vil herefter vurdere, hvorvidt mønterne bør overgives til politiet. </w:t>
      </w:r>
    </w:p>
    <w:p w14:paraId="6EF41E84" w14:textId="77777777" w:rsidR="0013679B" w:rsidRPr="00796736" w:rsidRDefault="0013679B" w:rsidP="00A802A5">
      <w:pPr>
        <w:spacing w:line="360" w:lineRule="auto"/>
        <w:rPr>
          <w:rFonts w:ascii="Times New Roman" w:eastAsia="Calibri" w:hAnsi="Times New Roman" w:cs="Times New Roman"/>
          <w:sz w:val="24"/>
          <w:szCs w:val="24"/>
        </w:rPr>
      </w:pPr>
    </w:p>
    <w:p w14:paraId="264396C8" w14:textId="77777777"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Overtrædelse af den foreslåede bestemmelse er strafbelagt i henhold til lovforslagets</w:t>
      </w:r>
      <w:r w:rsidRPr="00796736" w:rsidDel="00BA7AA9">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w:t>
      </w:r>
      <w:r w:rsidRPr="00796736">
        <w:rPr>
          <w:rFonts w:ascii="Times New Roman" w:eastAsia="Calibri" w:hAnsi="Times New Roman" w:cs="Times New Roman"/>
          <w:sz w:val="24"/>
          <w:szCs w:val="24"/>
          <w:highlight w:val="yellow"/>
        </w:rPr>
        <w:t>straffebestemmelsen</w:t>
      </w:r>
      <w:r w:rsidRPr="00796736">
        <w:rPr>
          <w:rFonts w:ascii="Times New Roman" w:eastAsia="Calibri" w:hAnsi="Times New Roman" w:cs="Times New Roman"/>
          <w:sz w:val="24"/>
          <w:szCs w:val="24"/>
        </w:rPr>
        <w:t xml:space="preserve">]. </w:t>
      </w:r>
    </w:p>
    <w:p w14:paraId="09FC2EA2" w14:textId="77777777" w:rsidR="0013679B" w:rsidRPr="00796736" w:rsidRDefault="0013679B" w:rsidP="00A802A5">
      <w:pPr>
        <w:spacing w:line="360" w:lineRule="auto"/>
        <w:rPr>
          <w:rFonts w:ascii="Times New Roman" w:eastAsia="Calibri" w:hAnsi="Times New Roman" w:cs="Times New Roman"/>
          <w:sz w:val="24"/>
          <w:szCs w:val="24"/>
        </w:rPr>
      </w:pPr>
    </w:p>
    <w:p w14:paraId="2A95A444" w14:textId="565B7194"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Ansvarssubjekterne for overtrædelse af </w:t>
      </w:r>
      <w:r w:rsidR="00786F13" w:rsidRPr="00796736">
        <w:rPr>
          <w:rFonts w:ascii="Times New Roman" w:eastAsia="Calibri" w:hAnsi="Times New Roman" w:cs="Times New Roman"/>
          <w:sz w:val="24"/>
          <w:szCs w:val="24"/>
        </w:rPr>
        <w:fldChar w:fldCharType="begin"/>
      </w:r>
      <w:r w:rsidR="00786F13" w:rsidRPr="00796736">
        <w:rPr>
          <w:rFonts w:ascii="Times New Roman" w:eastAsia="Calibri" w:hAnsi="Times New Roman" w:cs="Times New Roman"/>
          <w:sz w:val="24"/>
          <w:szCs w:val="24"/>
        </w:rPr>
        <w:instrText xml:space="preserve"> REF _Ref232593034 \r \h </w:instrText>
      </w:r>
      <w:r w:rsidR="00967618" w:rsidRPr="00796736">
        <w:rPr>
          <w:rFonts w:ascii="Times New Roman" w:eastAsia="Calibri" w:hAnsi="Times New Roman" w:cs="Times New Roman"/>
          <w:sz w:val="24"/>
          <w:szCs w:val="24"/>
        </w:rPr>
        <w:instrText xml:space="preserve"> \* MERGEFORMAT </w:instrText>
      </w:r>
      <w:r w:rsidR="00786F13" w:rsidRPr="00796736">
        <w:rPr>
          <w:rFonts w:ascii="Times New Roman" w:eastAsia="Calibri" w:hAnsi="Times New Roman" w:cs="Times New Roman"/>
          <w:sz w:val="24"/>
          <w:szCs w:val="24"/>
        </w:rPr>
      </w:r>
      <w:r w:rsidR="00786F13"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w:t>
      </w:r>
      <w:r w:rsidR="00786F13"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er virksomheder og personer, der som led i deres virksomhed deltager i håndtering og udlevering af pengesedler og mønter til offentligheden, og den strafbare handling består i ikke straks at videregive sedler og mønter, der er taget ud af omløb, til politiet. Et eksempel på overtrædelse af bestemmelsen er en valutavekslingsvirksomhed, der modtager en falsk seddel, men venter én måned med at overgive sedlen til politiet.</w:t>
      </w:r>
    </w:p>
    <w:p w14:paraId="49CB8D02" w14:textId="77777777" w:rsidR="0013679B" w:rsidRPr="00796736" w:rsidRDefault="0013679B" w:rsidP="00A802A5">
      <w:pPr>
        <w:spacing w:line="360" w:lineRule="auto"/>
        <w:rPr>
          <w:rFonts w:ascii="Times New Roman" w:eastAsia="Calibri" w:hAnsi="Times New Roman" w:cs="Times New Roman"/>
          <w:sz w:val="24"/>
          <w:szCs w:val="24"/>
        </w:rPr>
      </w:pPr>
    </w:p>
    <w:p w14:paraId="20ED6A6F" w14:textId="76E65D7B"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w:t>
      </w:r>
      <w:r w:rsidRPr="00796736">
        <w:rPr>
          <w:rFonts w:ascii="Times New Roman" w:eastAsia="Calibri" w:hAnsi="Times New Roman" w:cs="Times New Roman"/>
          <w:sz w:val="24"/>
          <w:szCs w:val="24"/>
        </w:rPr>
        <w:t xml:space="preserve">, at </w:t>
      </w:r>
      <w:r w:rsidR="00A63431" w:rsidRPr="00796736">
        <w:rPr>
          <w:rFonts w:ascii="Times New Roman" w:eastAsia="Calibri" w:hAnsi="Times New Roman" w:cs="Times New Roman"/>
          <w:sz w:val="24"/>
          <w:szCs w:val="24"/>
        </w:rPr>
        <w:t xml:space="preserve">bestemmelsen i </w:t>
      </w:r>
      <w:r w:rsidRPr="00796736">
        <w:rPr>
          <w:rFonts w:ascii="Times New Roman" w:eastAsia="Calibri" w:hAnsi="Times New Roman" w:cs="Times New Roman"/>
          <w:sz w:val="24"/>
          <w:szCs w:val="24"/>
        </w:rPr>
        <w:t>stk. 1 ikke finder anvendelse på sedler og mønter i euro</w:t>
      </w:r>
      <w:r w:rsidR="00A63431" w:rsidRPr="00796736">
        <w:rPr>
          <w:rFonts w:ascii="Times New Roman" w:eastAsia="Calibri" w:hAnsi="Times New Roman" w:cs="Times New Roman"/>
          <w:sz w:val="24"/>
          <w:szCs w:val="24"/>
        </w:rPr>
        <w:t xml:space="preserve">, </w:t>
      </w:r>
      <w:r w:rsidR="00A63431" w:rsidRPr="00796736">
        <w:rPr>
          <w:rFonts w:ascii="Times New Roman" w:hAnsi="Times New Roman" w:cs="Times New Roman"/>
          <w:sz w:val="24"/>
          <w:szCs w:val="24"/>
        </w:rPr>
        <w:t>der i stedet er reguleret i artikel 6, stk. 1, i Rådets forordning 2001/1338/EF om fastlæggelse af de foranstaltninger, der er nødvendige for at beskytte euroen mod falskmøntneri med senere ændringer</w:t>
      </w:r>
      <w:r w:rsidRPr="00796736">
        <w:rPr>
          <w:rFonts w:ascii="Times New Roman" w:eastAsia="Calibri" w:hAnsi="Times New Roman" w:cs="Times New Roman"/>
          <w:sz w:val="24"/>
          <w:szCs w:val="24"/>
        </w:rPr>
        <w:t xml:space="preserve">. </w:t>
      </w:r>
    </w:p>
    <w:p w14:paraId="4F18DC98" w14:textId="77777777" w:rsidR="0013679B" w:rsidRPr="00796736" w:rsidRDefault="0013679B" w:rsidP="00A802A5">
      <w:pPr>
        <w:spacing w:line="360" w:lineRule="auto"/>
        <w:rPr>
          <w:rFonts w:ascii="Times New Roman" w:eastAsia="Calibri" w:hAnsi="Times New Roman" w:cs="Times New Roman"/>
          <w:sz w:val="24"/>
          <w:szCs w:val="24"/>
        </w:rPr>
      </w:pPr>
    </w:p>
    <w:p w14:paraId="07D39CDF" w14:textId="77777777" w:rsidR="0013679B" w:rsidRPr="00796736" w:rsidRDefault="0013679B"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Baggrunden herfor er, at forpligtelsen, der følger af det foreslåede stk. 1, er fastsat i artikel 6 i forordning 2001/1338/EF af 28. juni 2001 om fastlæggelse af de foranstaltninger, der er nødvendige for at beskytte euroen mod falskmøntneri med senere ændringer. Forordning 2001/1338/EF blev ved forordning 2001/1339/EF udvidet til også at omfatte medlemsstater, der ikke har indført euroen som fælles valuta, herunder Danmark.</w:t>
      </w:r>
    </w:p>
    <w:p w14:paraId="0653BD10" w14:textId="77777777" w:rsidR="006B5078" w:rsidRPr="00796736" w:rsidRDefault="006B5078" w:rsidP="00A802A5">
      <w:pPr>
        <w:spacing w:line="360" w:lineRule="auto"/>
        <w:rPr>
          <w:rFonts w:ascii="Times New Roman" w:eastAsia="Calibri" w:hAnsi="Times New Roman" w:cs="Times New Roman"/>
          <w:sz w:val="24"/>
          <w:szCs w:val="24"/>
        </w:rPr>
      </w:pPr>
    </w:p>
    <w:p w14:paraId="6357D589" w14:textId="48B8D4A3" w:rsidR="006B5078" w:rsidRPr="00796736" w:rsidRDefault="006B507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80D1B" w:rsidRPr="00796736">
        <w:rPr>
          <w:rFonts w:ascii="Times New Roman" w:hAnsi="Times New Roman" w:cs="Times New Roman"/>
          <w:sz w:val="24"/>
          <w:szCs w:val="24"/>
        </w:rPr>
        <w:fldChar w:fldCharType="begin"/>
      </w:r>
      <w:r w:rsidR="00580D1B" w:rsidRPr="00796736">
        <w:rPr>
          <w:rFonts w:ascii="Times New Roman" w:hAnsi="Times New Roman" w:cs="Times New Roman"/>
          <w:sz w:val="24"/>
          <w:szCs w:val="24"/>
        </w:rPr>
        <w:instrText xml:space="preserve"> REF _Ref232942548 \n \h </w:instrText>
      </w:r>
      <w:r w:rsidR="00967618" w:rsidRPr="00796736">
        <w:rPr>
          <w:rFonts w:ascii="Times New Roman" w:hAnsi="Times New Roman" w:cs="Times New Roman"/>
          <w:sz w:val="24"/>
          <w:szCs w:val="24"/>
        </w:rPr>
        <w:instrText xml:space="preserve"> \* MERGEFORMAT </w:instrText>
      </w:r>
      <w:r w:rsidR="00580D1B" w:rsidRPr="00796736">
        <w:rPr>
          <w:rFonts w:ascii="Times New Roman" w:hAnsi="Times New Roman" w:cs="Times New Roman"/>
          <w:sz w:val="24"/>
          <w:szCs w:val="24"/>
        </w:rPr>
      </w:r>
      <w:r w:rsidR="00580D1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w:t>
      </w:r>
      <w:r w:rsidR="00580D1B" w:rsidRPr="00796736">
        <w:rPr>
          <w:rFonts w:ascii="Times New Roman" w:hAnsi="Times New Roman" w:cs="Times New Roman"/>
          <w:sz w:val="24"/>
          <w:szCs w:val="24"/>
        </w:rPr>
        <w:fldChar w:fldCharType="end"/>
      </w:r>
      <w:r w:rsidR="00203A07" w:rsidRPr="00796736">
        <w:rPr>
          <w:rFonts w:ascii="Times New Roman" w:hAnsi="Times New Roman" w:cs="Times New Roman"/>
          <w:sz w:val="24"/>
          <w:szCs w:val="24"/>
        </w:rPr>
        <w:t>.</w:t>
      </w:r>
      <w:r w:rsidRPr="00796736">
        <w:rPr>
          <w:rFonts w:ascii="Times New Roman" w:hAnsi="Times New Roman" w:cs="Times New Roman"/>
          <w:sz w:val="24"/>
          <w:szCs w:val="24"/>
        </w:rPr>
        <w:t xml:space="preserve"> i lovforslagets almindelige bemærkninger.</w:t>
      </w:r>
    </w:p>
    <w:p w14:paraId="774ACF34" w14:textId="77777777" w:rsidR="00203A07" w:rsidRPr="00796736" w:rsidRDefault="00203A07" w:rsidP="00A802A5">
      <w:pPr>
        <w:spacing w:line="360" w:lineRule="auto"/>
        <w:rPr>
          <w:rFonts w:ascii="Times New Roman" w:hAnsi="Times New Roman" w:cs="Times New Roman"/>
          <w:sz w:val="24"/>
          <w:szCs w:val="24"/>
        </w:rPr>
      </w:pPr>
    </w:p>
    <w:p w14:paraId="232A0206" w14:textId="38F17354" w:rsidR="00A1423D" w:rsidRPr="00796736" w:rsidRDefault="001B6FDC" w:rsidP="00A802A5">
      <w:pPr>
        <w:pStyle w:val="Undertitel"/>
      </w:pPr>
      <w:bookmarkStart w:id="1864" w:name="_Toc232109340"/>
      <w:bookmarkStart w:id="1865" w:name="_Toc244879301"/>
      <w:bookmarkStart w:id="1866" w:name="_Toc244880826"/>
      <w:r w:rsidRPr="00796736">
        <w:t xml:space="preserve">Til </w:t>
      </w:r>
      <w:r w:rsidR="00161898" w:rsidRPr="00796736">
        <w:fldChar w:fldCharType="begin"/>
      </w:r>
      <w:r w:rsidR="00161898" w:rsidRPr="00796736">
        <w:instrText xml:space="preserve"> REF _Ref232595404 \r \h </w:instrText>
      </w:r>
      <w:r w:rsidR="00967618" w:rsidRPr="00796736">
        <w:instrText xml:space="preserve"> \* MERGEFORMAT </w:instrText>
      </w:r>
      <w:r w:rsidR="00161898" w:rsidRPr="00796736">
        <w:fldChar w:fldCharType="separate"/>
      </w:r>
      <w:r w:rsidR="008F29E5">
        <w:t>§ 5</w:t>
      </w:r>
      <w:bookmarkEnd w:id="1865"/>
      <w:bookmarkEnd w:id="1866"/>
      <w:r w:rsidR="00161898" w:rsidRPr="00796736">
        <w:fldChar w:fldCharType="end"/>
      </w:r>
      <w:r w:rsidRPr="00796736">
        <w:t xml:space="preserve"> </w:t>
      </w:r>
      <w:bookmarkEnd w:id="1864"/>
    </w:p>
    <w:p w14:paraId="7D4C8C1A" w14:textId="77777777"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6 a må 500-eurosedler ikke anvendes, herunder udleveres, indleveres, veksles, bruges som betalingsmiddel eller overdrages, i Danmark. </w:t>
      </w:r>
    </w:p>
    <w:p w14:paraId="7CA7C863" w14:textId="4D240DE5"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786F13" w:rsidRPr="00796736">
        <w:rPr>
          <w:rFonts w:ascii="Times New Roman" w:hAnsi="Times New Roman" w:cs="Times New Roman"/>
          <w:i/>
          <w:iCs/>
          <w:sz w:val="24"/>
          <w:szCs w:val="24"/>
        </w:rPr>
        <w:fldChar w:fldCharType="begin"/>
      </w:r>
      <w:r w:rsidR="00786F13" w:rsidRPr="00796736">
        <w:rPr>
          <w:rFonts w:ascii="Times New Roman" w:hAnsi="Times New Roman" w:cs="Times New Roman"/>
          <w:i/>
          <w:iCs/>
          <w:sz w:val="24"/>
          <w:szCs w:val="24"/>
        </w:rPr>
        <w:instrText xml:space="preserve"> REF _Ref232595404 \r \h  \* MERGEFORMAT </w:instrText>
      </w:r>
      <w:r w:rsidR="00786F13" w:rsidRPr="00796736">
        <w:rPr>
          <w:rFonts w:ascii="Times New Roman" w:hAnsi="Times New Roman" w:cs="Times New Roman"/>
          <w:i/>
          <w:iCs/>
          <w:sz w:val="24"/>
          <w:szCs w:val="24"/>
        </w:rPr>
      </w:r>
      <w:r w:rsidR="00786F13"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w:t>
      </w:r>
      <w:r w:rsidR="00786F13"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stk. 1, </w:t>
      </w:r>
      <w:r w:rsidRPr="00796736">
        <w:rPr>
          <w:rFonts w:ascii="Times New Roman" w:hAnsi="Times New Roman" w:cs="Times New Roman"/>
          <w:sz w:val="24"/>
          <w:szCs w:val="24"/>
        </w:rPr>
        <w:t>at 500-eurosedler</w:t>
      </w:r>
      <w:r w:rsidR="002128F7">
        <w:rPr>
          <w:rFonts w:ascii="Times New Roman" w:hAnsi="Times New Roman" w:cs="Times New Roman"/>
          <w:sz w:val="24"/>
          <w:szCs w:val="24"/>
        </w:rPr>
        <w:t xml:space="preserve"> </w:t>
      </w:r>
      <w:r w:rsidRPr="00796736">
        <w:rPr>
          <w:rFonts w:ascii="Times New Roman" w:hAnsi="Times New Roman" w:cs="Times New Roman"/>
          <w:sz w:val="24"/>
          <w:szCs w:val="24"/>
        </w:rPr>
        <w:t>ikke</w:t>
      </w:r>
      <w:r w:rsidR="002128F7">
        <w:rPr>
          <w:rFonts w:ascii="Times New Roman" w:hAnsi="Times New Roman" w:cs="Times New Roman"/>
          <w:sz w:val="24"/>
          <w:szCs w:val="24"/>
        </w:rPr>
        <w:t xml:space="preserve"> må</w:t>
      </w:r>
      <w:r w:rsidRPr="00796736">
        <w:rPr>
          <w:rFonts w:ascii="Times New Roman" w:hAnsi="Times New Roman" w:cs="Times New Roman"/>
          <w:sz w:val="24"/>
          <w:szCs w:val="24"/>
        </w:rPr>
        <w:t xml:space="preserve"> anvendes, herunder udleveres, indleveres, veksles, bruges som betalingsmiddel eller overdrages, i Danmark, jf. dog stk. 2.</w:t>
      </w:r>
    </w:p>
    <w:p w14:paraId="4BBF8369" w14:textId="575069F0"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Forbuddet vil omfatte anvendelse af 500-eurosedler, herunder udlevering, indlevering, veksling, betaling og overdragelse. Der er tale om ikke udtømmende liste.</w:t>
      </w:r>
    </w:p>
    <w:p w14:paraId="0D214052" w14:textId="77777777"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Forbuddet vil alene gælde i Danmark. Det er således udelukkende anvendelse af 500-eurosedler i Danmark, som vil være omfattet af bestemmelsen. Bestemmelsen medfører dermed ikke indskrænkninger i forhold til at anvende 500-eurosedler i andre lande end Danmark. Det vil fortsat være lovligt at besidde 500-eurosedler med henblik på anvendelse i udlandet, herunder at ind- og udføre dem i forbindelse med f.eks. udlandsrejser. Den blotte besiddelse af 500-eurosedler vil ikke være omfattet af forbuddet, og det vil således ikke være ulovligt eksempelvis at besidde 500-eurosedler grundet ophold i udlandet med legitime formål, f.eks. ferie eller forretningsrejse.</w:t>
      </w:r>
    </w:p>
    <w:p w14:paraId="4FAD2FDA" w14:textId="77777777"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Ved begrebet anvendelse forstås enhver handling, hvori en eller flere 500-eurosedler overgår fra én juridisk eller fysisk person til en anden juridisk eller fysisk person, uanset omstændighederne omkring overdragelsen. Eksempelvis vil det være anvendelse i strid med forbuddet, hvis et pengeinstitut hæver et beløb i kroner på en konto svarende til værdien af en 500-euroseddel og udleverer en 500-euroseddel til kunden. Den omvendte situation, hvor kunden indleverer en 500-euroseddel til pengeinstituttet med henblik på, at værdien af 500-eurosedlen eksempelvis skal indsættes på kundens konto, vil ligeledes udgøre anvendelse i strid med forbuddet.</w:t>
      </w:r>
    </w:p>
    <w:p w14:paraId="4211A286" w14:textId="77777777"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modtagelse og efterfølgende veksling af en 500-euroseddel til andre seddelværdier eller til anden valuta i blandt andre pengeinstitutter og valutavekslingsvirksomheder vil også være en anvendelse i strid med forbuddet. Enhver betaling med en 500-euroseddel vil være anvendelse i strid med forbuddet, herunder f.eks. betaling med 500-eurosedler i supermarkeder og andre virksomheder, men også køb mellem ikke-erhvervsdrivende er omfattet af bestemmelsen, således at både overdragelse og modtagelse af 500-eurosedler i forbindelse med salg af et aktiv mellem to private parter er omfattet af forbuddet, ligesom en overdragelse af en 500-euroseddel i form af f.eks. gave vil være en overdragelse i strid med forbuddet, både i relation til at give og modtage 500-eurosedlen.</w:t>
      </w:r>
    </w:p>
    <w:p w14:paraId="3994D0D6" w14:textId="77777777"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forbud indebærer tillige, at fysiske og juridiske personer ikke kan anvende 500-eurosedler til at nedbringe de pågældendes skyld til det offentlige.  </w:t>
      </w:r>
    </w:p>
    <w:p w14:paraId="1D1C79A3" w14:textId="609614C1"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forbuddet i </w:t>
      </w:r>
      <w:r w:rsidR="00D93B3D" w:rsidRPr="00796736">
        <w:rPr>
          <w:rFonts w:ascii="Times New Roman" w:hAnsi="Times New Roman" w:cs="Times New Roman"/>
          <w:sz w:val="24"/>
          <w:szCs w:val="24"/>
        </w:rPr>
        <w:fldChar w:fldCharType="begin"/>
      </w:r>
      <w:r w:rsidR="00D93B3D" w:rsidRPr="00796736">
        <w:rPr>
          <w:rFonts w:ascii="Times New Roman" w:hAnsi="Times New Roman" w:cs="Times New Roman"/>
          <w:sz w:val="24"/>
          <w:szCs w:val="24"/>
        </w:rPr>
        <w:instrText xml:space="preserve"> REF _Ref232595404 \r \h </w:instrText>
      </w:r>
      <w:r w:rsidR="00967618" w:rsidRPr="00796736">
        <w:rPr>
          <w:rFonts w:ascii="Times New Roman" w:hAnsi="Times New Roman" w:cs="Times New Roman"/>
          <w:sz w:val="24"/>
          <w:szCs w:val="24"/>
        </w:rPr>
        <w:instrText xml:space="preserve"> \* MERGEFORMAT </w:instrText>
      </w:r>
      <w:r w:rsidR="00D93B3D" w:rsidRPr="00796736">
        <w:rPr>
          <w:rFonts w:ascii="Times New Roman" w:hAnsi="Times New Roman" w:cs="Times New Roman"/>
          <w:sz w:val="24"/>
          <w:szCs w:val="24"/>
        </w:rPr>
      </w:r>
      <w:r w:rsidR="00D93B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w:t>
      </w:r>
      <w:r w:rsidR="00D93B3D" w:rsidRPr="00796736">
        <w:rPr>
          <w:rFonts w:ascii="Times New Roman" w:hAnsi="Times New Roman" w:cs="Times New Roman"/>
          <w:sz w:val="24"/>
          <w:szCs w:val="24"/>
        </w:rPr>
        <w:fldChar w:fldCharType="end"/>
      </w:r>
      <w:r w:rsidR="00D93B3D"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ikke finder anvendelse for så vidt angår overdragelse af 500-eurosedler i forbindelse med boskifte i henhold til anden lovgivning og deraf følgende udlodning af boets midler, herunder eksempelvis i forbindelse med boskifte efter arveloven eller konkursloven. </w:t>
      </w:r>
    </w:p>
    <w:p w14:paraId="68731829" w14:textId="77777777"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Forbuddet mod anvendelse af 500-eurosedler gælder, uanset om anvendelse sker som led i udførelse af erhvervsvirksomhed eller i privat øjemed.</w:t>
      </w:r>
    </w:p>
    <w:p w14:paraId="2272D4B5" w14:textId="77777777" w:rsidR="003E2238" w:rsidRPr="00796736" w:rsidRDefault="003E223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udgør en videreførelse af gældende ret for så vidt angår enhver anden anvendelse end den, som fremgår af stk. 2</w:t>
      </w:r>
    </w:p>
    <w:p w14:paraId="137B3D37" w14:textId="45C3A288"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1. pkt.,</w:t>
      </w:r>
      <w:r w:rsidRPr="00796736">
        <w:rPr>
          <w:rFonts w:ascii="Times New Roman" w:hAnsi="Times New Roman" w:cs="Times New Roman"/>
          <w:sz w:val="24"/>
          <w:szCs w:val="24"/>
        </w:rPr>
        <w:t xml:space="preserve"> at forbuddet i stk. 1 ikke gælder for politiet, anklagemyndigheden og told- og skatteforvaltningens anvendelse af 500-eurosedler, som myndighederne som led i myndighedsudøvelse kommer i besiddelse af.</w:t>
      </w:r>
    </w:p>
    <w:p w14:paraId="69530B5A" w14:textId="77777777" w:rsidR="002128F7" w:rsidRPr="00D253F0"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Den foreslåede bestemmelse indebærer, at forbuddet i stk. 1 ikke gælder for politiets, anklagemyndighedens og told- og skatteforvaltningens anvendelse af 500-eurosedler, når myndighederne som følge af deres myndighedsudøvelse kommer i besiddelse heraf</w:t>
      </w:r>
      <w:r>
        <w:rPr>
          <w:rFonts w:ascii="Times New Roman" w:hAnsi="Times New Roman" w:cs="Times New Roman"/>
          <w:sz w:val="24"/>
          <w:szCs w:val="24"/>
        </w:rPr>
        <w:t>, f.eks. hvis politiet beslaglægger 500-eurosedler</w:t>
      </w:r>
      <w:r w:rsidRPr="00D253F0">
        <w:rPr>
          <w:rFonts w:ascii="Times New Roman" w:hAnsi="Times New Roman" w:cs="Times New Roman"/>
          <w:sz w:val="24"/>
          <w:szCs w:val="24"/>
        </w:rPr>
        <w:t xml:space="preserve">. Dette vil medføre, at pengesedlerne, som myndighederne er eller kommer i besiddelse af kan håndteres af de pågældende myndigheder med henblik på omveksling eller ombytning til andre betalingsmidler. </w:t>
      </w:r>
    </w:p>
    <w:p w14:paraId="13C1BE27" w14:textId="77777777" w:rsidR="00EF75A5" w:rsidRPr="00796736" w:rsidRDefault="00EF75A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bemærkes, at forbuddet, ligesom i dag, vil indebære, at personer med gæld til det offentlige, uanset om der f.eks. er tale om en skattegæld eller en gæld pådraget ved bødeansvar, ikke kan nedbringe denne gæld ved frivillig betaling med 500-eurosedler. Frivillig betaling kendetegnes ved, at den ikke med sikkerhed kan henføres til en aktiv myndighedsudøvelse, som myndigheden har iværksat, f.eks. en inddrivelsesindsats fra restanceinddrivelsesmyndigheden i form af f.eks. en rykker eller en afdragsordning. En betaling anses heller ikke som frivillig, hvis den sker, efter at skyldneren er blevet tilsagt til en udlægsforretning eller under selve udlægsforretningen</w:t>
      </w:r>
    </w:p>
    <w:p w14:paraId="321CF8CB" w14:textId="77777777"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2. pkt.,</w:t>
      </w:r>
      <w:r w:rsidRPr="00796736">
        <w:rPr>
          <w:rFonts w:ascii="Times New Roman" w:hAnsi="Times New Roman" w:cs="Times New Roman"/>
          <w:sz w:val="24"/>
          <w:szCs w:val="24"/>
        </w:rPr>
        <w:t xml:space="preserve"> at forbuddet heller ikke gælder for anvendelsen hos det pengeinstitut, værdihåndteringsselskab, valutavekslingsvirksomhed eller lignende, der som led i myndighedernes håndtering af 500-eurosedler kommer i besiddelse heraf. </w:t>
      </w:r>
    </w:p>
    <w:p w14:paraId="048BF7D3"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undtagelse vil således indebære, at myndighederne kan indlevere 500-eurosedler, som de kommer eller er i besiddelse af som følge af deres myndighedsudøvelse, til et pengeinstitut, værdihåndteringsselskab, valutavekslingsvirksomhed eller lignende med henblik på veksling eller anden håndtering på vegne af myndigheden. </w:t>
      </w:r>
    </w:p>
    <w:p w14:paraId="60EE315F" w14:textId="77777777" w:rsidR="00EF75A5" w:rsidRPr="00796736" w:rsidRDefault="00EF75A5" w:rsidP="00A802A5">
      <w:pPr>
        <w:spacing w:line="360" w:lineRule="auto"/>
        <w:rPr>
          <w:rFonts w:ascii="Times New Roman" w:hAnsi="Times New Roman" w:cs="Times New Roman"/>
          <w:sz w:val="24"/>
          <w:szCs w:val="24"/>
        </w:rPr>
      </w:pPr>
    </w:p>
    <w:p w14:paraId="6F569DA8"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Forbuddet vil som en konsekvens heraf heller ikke omfatte den anvendelse, der finder sted hos det pengeinstitut mv., der står for den videre håndtering, veksling mv. af 500-eurosedler. Forbuddet vil imidlertid fortsat finde anvendelse for pengeinstitutternes mv. øvrige anvendelse, herunder udlevering, indlevering, veksling, brug som betalingsmiddel eller overdragelse af 500-eurosedler, som ikke hidrører fra myndighederne. Det vil således fortsat være forbudt for de nævnte virksomheder i øvrigt at håndtere 500-eurosedler.</w:t>
      </w:r>
    </w:p>
    <w:p w14:paraId="001B9D35" w14:textId="77777777" w:rsidR="00EF75A5" w:rsidRPr="00796736" w:rsidRDefault="00EF75A5" w:rsidP="00A802A5">
      <w:pPr>
        <w:spacing w:line="360" w:lineRule="auto"/>
        <w:rPr>
          <w:rFonts w:ascii="Times New Roman" w:hAnsi="Times New Roman" w:cs="Times New Roman"/>
          <w:sz w:val="24"/>
          <w:szCs w:val="24"/>
        </w:rPr>
      </w:pPr>
    </w:p>
    <w:p w14:paraId="3E6AA87C" w14:textId="77777777" w:rsidR="00EF75A5" w:rsidRPr="00796736" w:rsidRDefault="00EF75A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forudsættes, at myndighederne som led i samarbejdet med de omhandlede virksomheder bidrager med at sikre behørig dokumentation for indleverede 500-eurosedler mv.</w:t>
      </w:r>
    </w:p>
    <w:p w14:paraId="1CCE79AA" w14:textId="3C8E97CB" w:rsidR="00EF75A5" w:rsidRPr="00796736" w:rsidRDefault="00EF75A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foreslås med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_Ref239330523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142</w:t>
      </w:r>
      <w:r w:rsidRPr="00796736">
        <w:rPr>
          <w:rFonts w:ascii="Times New Roman" w:eastAsia="Calibri" w:hAnsi="Times New Roman" w:cs="Times New Roman"/>
          <w:sz w:val="24"/>
          <w:szCs w:val="24"/>
        </w:rPr>
        <w:fldChar w:fldCharType="end"/>
      </w:r>
      <w:r w:rsidRPr="00796736">
        <w:rPr>
          <w:rFonts w:ascii="Times New Roman" w:hAnsi="Times New Roman" w:cs="Times New Roman"/>
          <w:sz w:val="24"/>
          <w:szCs w:val="24"/>
        </w:rPr>
        <w:t>, stk. 4, en virkningsbestemmelse, der indebærer, at</w:t>
      </w:r>
      <w:r w:rsidRPr="00796736">
        <w:rPr>
          <w:rFonts w:ascii="Times New Roman" w:eastAsia="Times New Roman" w:hAnsi="Times New Roman" w:cs="Times New Roman"/>
          <w:sz w:val="24"/>
          <w:szCs w:val="24"/>
        </w:rPr>
        <w:t xml:space="preserve"> </w:t>
      </w:r>
      <w:r w:rsidRPr="00796736">
        <w:rPr>
          <w:rFonts w:ascii="Times New Roman" w:hAnsi="Times New Roman" w:cs="Times New Roman"/>
          <w:sz w:val="24"/>
          <w:szCs w:val="24"/>
        </w:rPr>
        <w:t xml:space="preserve">politiet, anklagemyndigheden og told- og skatteforvaltningen </w:t>
      </w:r>
      <w:r w:rsidRPr="00796736">
        <w:rPr>
          <w:rFonts w:ascii="Times New Roman" w:eastAsia="Times New Roman" w:hAnsi="Times New Roman" w:cs="Times New Roman"/>
          <w:sz w:val="24"/>
          <w:szCs w:val="24"/>
        </w:rPr>
        <w:t>lovligt vil være kommet i besiddelse af de 500-eurosedler, som myndighederne ved lovens ikrafttrædelse den 10. juli 2027 er i besiddelse af.</w:t>
      </w:r>
    </w:p>
    <w:p w14:paraId="351B24EA" w14:textId="611E6570" w:rsidR="00203A07" w:rsidRPr="00796736" w:rsidRDefault="00203A0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80D1B" w:rsidRPr="00796736">
        <w:rPr>
          <w:rFonts w:ascii="Times New Roman" w:hAnsi="Times New Roman" w:cs="Times New Roman"/>
          <w:sz w:val="24"/>
          <w:szCs w:val="24"/>
        </w:rPr>
        <w:fldChar w:fldCharType="begin"/>
      </w:r>
      <w:r w:rsidR="00580D1B" w:rsidRPr="00796736">
        <w:rPr>
          <w:rFonts w:ascii="Times New Roman" w:hAnsi="Times New Roman" w:cs="Times New Roman"/>
          <w:sz w:val="24"/>
          <w:szCs w:val="24"/>
        </w:rPr>
        <w:instrText xml:space="preserve"> REF _Ref232942571 \n \h </w:instrText>
      </w:r>
      <w:r w:rsidR="00967618" w:rsidRPr="00796736">
        <w:rPr>
          <w:rFonts w:ascii="Times New Roman" w:hAnsi="Times New Roman" w:cs="Times New Roman"/>
          <w:sz w:val="24"/>
          <w:szCs w:val="24"/>
        </w:rPr>
        <w:instrText xml:space="preserve"> \* MERGEFORMAT </w:instrText>
      </w:r>
      <w:r w:rsidR="00580D1B" w:rsidRPr="00796736">
        <w:rPr>
          <w:rFonts w:ascii="Times New Roman" w:hAnsi="Times New Roman" w:cs="Times New Roman"/>
          <w:sz w:val="24"/>
          <w:szCs w:val="24"/>
        </w:rPr>
      </w:r>
      <w:r w:rsidR="00580D1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w:t>
      </w:r>
      <w:r w:rsidR="00580D1B" w:rsidRPr="00796736">
        <w:rPr>
          <w:rFonts w:ascii="Times New Roman" w:hAnsi="Times New Roman" w:cs="Times New Roman"/>
          <w:sz w:val="24"/>
          <w:szCs w:val="24"/>
        </w:rPr>
        <w:fldChar w:fldCharType="end"/>
      </w:r>
      <w:r w:rsidR="00580D1B"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2778FAE4" w14:textId="77777777" w:rsidR="00203A07" w:rsidRPr="00796736" w:rsidRDefault="00203A07" w:rsidP="00A802A5">
      <w:pPr>
        <w:spacing w:line="360" w:lineRule="auto"/>
        <w:rPr>
          <w:rFonts w:ascii="Times New Roman" w:hAnsi="Times New Roman" w:cs="Times New Roman"/>
          <w:i/>
          <w:iCs/>
          <w:sz w:val="24"/>
          <w:szCs w:val="24"/>
        </w:rPr>
      </w:pPr>
    </w:p>
    <w:p w14:paraId="28149606" w14:textId="77777777" w:rsidR="00040288" w:rsidRPr="00796736" w:rsidRDefault="00040288" w:rsidP="00A802A5">
      <w:pPr>
        <w:spacing w:line="360" w:lineRule="auto"/>
        <w:rPr>
          <w:rFonts w:ascii="Times New Roman" w:hAnsi="Times New Roman" w:cs="Times New Roman"/>
          <w:i/>
          <w:iCs/>
          <w:sz w:val="24"/>
          <w:szCs w:val="24"/>
        </w:rPr>
      </w:pPr>
    </w:p>
    <w:p w14:paraId="246E66CC" w14:textId="69AF5912" w:rsidR="00A950E2" w:rsidRPr="00796736" w:rsidRDefault="001B6FDC" w:rsidP="00A802A5">
      <w:pPr>
        <w:pStyle w:val="Undertitel"/>
      </w:pPr>
      <w:bookmarkStart w:id="1867" w:name="_Toc232109341"/>
      <w:bookmarkStart w:id="1868" w:name="_Toc244879302"/>
      <w:bookmarkStart w:id="1869" w:name="_Toc244880827"/>
      <w:r w:rsidRPr="00796736">
        <w:t xml:space="preserve">Til </w:t>
      </w:r>
      <w:r w:rsidR="00161898" w:rsidRPr="00796736">
        <w:fldChar w:fldCharType="begin"/>
      </w:r>
      <w:r w:rsidR="00161898" w:rsidRPr="00796736">
        <w:instrText xml:space="preserve"> REF _Ref232595428 \r \h </w:instrText>
      </w:r>
      <w:r w:rsidR="00967618" w:rsidRPr="00796736">
        <w:instrText xml:space="preserve"> \* MERGEFORMAT </w:instrText>
      </w:r>
      <w:r w:rsidR="00161898" w:rsidRPr="00796736">
        <w:fldChar w:fldCharType="separate"/>
      </w:r>
      <w:r w:rsidR="008F29E5">
        <w:t>§ 6</w:t>
      </w:r>
      <w:bookmarkEnd w:id="1868"/>
      <w:bookmarkEnd w:id="1869"/>
      <w:r w:rsidR="00161898" w:rsidRPr="00796736">
        <w:fldChar w:fldCharType="end"/>
      </w:r>
      <w:bookmarkEnd w:id="1867"/>
    </w:p>
    <w:p w14:paraId="113C3277" w14:textId="0F208E4B" w:rsidR="00ED0C47" w:rsidRPr="00796736" w:rsidRDefault="00ED0C4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Virksomheder og personer skal efter hvidvasklov</w:t>
      </w:r>
      <w:r w:rsidR="00D93B3D" w:rsidRPr="00796736">
        <w:rPr>
          <w:rFonts w:ascii="Times New Roman" w:hAnsi="Times New Roman" w:cs="Times New Roman"/>
          <w:sz w:val="24"/>
          <w:szCs w:val="24"/>
        </w:rPr>
        <w:t>en</w:t>
      </w:r>
      <w:r w:rsidRPr="00796736">
        <w:rPr>
          <w:rFonts w:ascii="Times New Roman" w:hAnsi="Times New Roman" w:cs="Times New Roman"/>
          <w:sz w:val="24"/>
          <w:szCs w:val="24"/>
        </w:rPr>
        <w:t xml:space="preserve">s § 17, stk. 1, gennemføre skærpede kundekendskabsprocedurer, hvor der vurderes at være øget risiko for hvidvask og terrorfinansiering. Endvidere skal virksomhederne og personerne gennemføre skærpede kundekendskabsprocedurer, hvis kunden har hjemsted i et land, der er opført på Europa-Kommissionens liste over lande, hvor der vurderes at være en øget risiko for hvidvask eller finansiering af terrorisme, jf. § 17. stk. 2, eller hvis forretningsforbindelser eller transaktioner involverer højrisikotredjelande, jf. § 17, stk. 3.  </w:t>
      </w:r>
    </w:p>
    <w:p w14:paraId="4D68ABE3" w14:textId="77777777" w:rsidR="00ED0C47" w:rsidRPr="00796736" w:rsidRDefault="00ED0C47" w:rsidP="00A802A5">
      <w:pPr>
        <w:spacing w:line="360" w:lineRule="auto"/>
        <w:rPr>
          <w:rFonts w:ascii="Times New Roman" w:hAnsi="Times New Roman" w:cs="Times New Roman"/>
          <w:sz w:val="24"/>
          <w:szCs w:val="24"/>
        </w:rPr>
      </w:pPr>
    </w:p>
    <w:p w14:paraId="43970732" w14:textId="26F871EE" w:rsidR="00ED0C47" w:rsidRPr="00796736" w:rsidRDefault="00A6343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Virksomheder og personer omfattet af hvidvaskforordningen skal</w:t>
      </w:r>
      <w:r w:rsidR="00ED0C47" w:rsidRPr="00796736">
        <w:rPr>
          <w:rFonts w:ascii="Times New Roman" w:eastAsia="Calibri" w:hAnsi="Times New Roman" w:cs="Times New Roman"/>
          <w:sz w:val="24"/>
          <w:szCs w:val="24"/>
        </w:rPr>
        <w:t xml:space="preserve"> fortsat gennemføre skærpede kundekendskabsprocedurer i situationer med øget risiko. </w:t>
      </w:r>
    </w:p>
    <w:p w14:paraId="13FBD9F1" w14:textId="191AACE9" w:rsidR="00ED0C47" w:rsidRPr="00796736" w:rsidRDefault="00ED0C4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hvidvaskforordningens artikel 34, stk. 1, skal forpligtede enheder gennemføre skærpede kundekendskabsprocedurer, når den forpligtede enhed identificerer en forøget risiko for hvidvask eller finansiering af terrorisme, jf. forordningens artikel 20, stk. 2, eller hvis den forpligtede enhed identificerer situationer med højere risiko omhandlet i forordningens artikel 29, 30, 31 og 36-46. </w:t>
      </w:r>
    </w:p>
    <w:p w14:paraId="6AB3BC7C" w14:textId="5A6C6593" w:rsidR="008867A3" w:rsidRPr="00796736" w:rsidRDefault="00ED0C4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Forordningens artikel 20, stk. 2, omhandler situationer, hvor den forpligtede enhed identificerer en forøget risiko for hvidvask eller terrorfinansiering, hvorefter den forpligtede enhed skal gennemføre skærpede kundekendskabsprocedurer. Forordningens artikel 29, 30, 31 og 36-46 omhandler situationer med tredjelandspolitik og trusler, for så vidt angår hvidvask og terrorfinansiering fra lande uden for Unionen samt specifikke skærpede kundekendskabskrav for bestemte type kundegrupper.  </w:t>
      </w:r>
    </w:p>
    <w:p w14:paraId="450E7F3B" w14:textId="3F5E1DC6" w:rsidR="008867A3" w:rsidRPr="00796736" w:rsidRDefault="008867A3"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bCs/>
          <w:sz w:val="24"/>
          <w:szCs w:val="24"/>
        </w:rPr>
        <w:t xml:space="preserve">Det foreslås i </w:t>
      </w:r>
      <w:r w:rsidRPr="00796736">
        <w:rPr>
          <w:rFonts w:ascii="Times New Roman" w:eastAsia="Calibri" w:hAnsi="Times New Roman" w:cs="Times New Roman"/>
          <w:bCs/>
          <w:i/>
          <w:iCs/>
          <w:sz w:val="24"/>
          <w:szCs w:val="24"/>
        </w:rPr>
        <w:t>§ 6</w:t>
      </w:r>
      <w:r w:rsidRPr="00796736">
        <w:rPr>
          <w:rFonts w:ascii="Times New Roman" w:eastAsia="Calibri" w:hAnsi="Times New Roman" w:cs="Times New Roman"/>
          <w:bCs/>
          <w:sz w:val="24"/>
          <w:szCs w:val="24"/>
        </w:rPr>
        <w:t>, at</w:t>
      </w:r>
      <w:r w:rsidRPr="00796736">
        <w:rPr>
          <w:rFonts w:ascii="Times New Roman" w:hAnsi="Times New Roman" w:cs="Times New Roman"/>
          <w:sz w:val="24"/>
          <w:szCs w:val="24"/>
        </w:rPr>
        <w:t xml:space="preserve"> skatte- og vækstministeren og erhvervs- og konkurrencekraftsministeren </w:t>
      </w:r>
      <w:r w:rsidRPr="00796736">
        <w:rPr>
          <w:rFonts w:ascii="Times New Roman" w:hAnsi="Times New Roman" w:cs="Times New Roman"/>
          <w:bCs/>
          <w:sz w:val="24"/>
          <w:szCs w:val="24"/>
        </w:rPr>
        <w:t xml:space="preserve">inden for deres respektive ressortområder kan fastsætte regler om, at virksomheder og personer skal anvende skærpede kundekendskabsprocedurer på de sektorer eller </w:t>
      </w:r>
      <w:r w:rsidRPr="00796736">
        <w:rPr>
          <w:rFonts w:ascii="Times New Roman" w:hAnsi="Times New Roman" w:cs="Times New Roman"/>
          <w:sz w:val="24"/>
          <w:szCs w:val="24"/>
        </w:rPr>
        <w:t>områder,</w:t>
      </w:r>
      <w:r w:rsidR="004A72D6" w:rsidRPr="00796736">
        <w:rPr>
          <w:rFonts w:ascii="Times New Roman" w:eastAsia="Calibri" w:hAnsi="Times New Roman" w:cs="Times New Roman"/>
          <w:sz w:val="24"/>
          <w:szCs w:val="24"/>
        </w:rPr>
        <w:t xml:space="preserve"> hvor </w:t>
      </w:r>
      <w:r w:rsidR="004A72D6" w:rsidRPr="00796736">
        <w:rPr>
          <w:rFonts w:ascii="Times New Roman" w:eastAsia="Calibri" w:hAnsi="Times New Roman" w:cs="Times New Roman"/>
          <w:bCs/>
          <w:sz w:val="24"/>
          <w:szCs w:val="24"/>
        </w:rPr>
        <w:t>den relevante minister identificerer</w:t>
      </w:r>
      <w:r w:rsidR="004A72D6" w:rsidRPr="00796736">
        <w:rPr>
          <w:rFonts w:ascii="Times New Roman" w:eastAsia="Calibri" w:hAnsi="Times New Roman" w:cs="Times New Roman"/>
          <w:sz w:val="24"/>
          <w:szCs w:val="24"/>
        </w:rPr>
        <w:t xml:space="preserve"> højere risici.</w:t>
      </w:r>
      <w:r w:rsidR="003D2A25">
        <w:rPr>
          <w:rFonts w:ascii="Times New Roman" w:hAnsi="Times New Roman" w:cs="Times New Roman"/>
          <w:sz w:val="24"/>
          <w:szCs w:val="24"/>
        </w:rPr>
        <w:t xml:space="preserve"> </w:t>
      </w:r>
      <w:r w:rsidRPr="00796736">
        <w:rPr>
          <w:rFonts w:ascii="Times New Roman" w:hAnsi="Times New Roman" w:cs="Times New Roman"/>
          <w:sz w:val="24"/>
          <w:szCs w:val="24"/>
        </w:rPr>
        <w:t>Det foreslås endvidere, at skatte- og vækstministeren og erhvervs- og konkurrencekraftsministeren herunder kan fastsætte nærmere regler om, at virksomheder og personer skal have tilstrækkelige skriftlige politikker, forretningsgange til effektiv forebyggelse, begrænsning og styring af risici for hvidvask og finansiering af terrorisme for de identificerede sektorer eller områder.</w:t>
      </w:r>
    </w:p>
    <w:p w14:paraId="1A328A16" w14:textId="786E8BED" w:rsidR="00ED0C47" w:rsidRPr="00796736" w:rsidRDefault="00ED0C4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vil medføre, at </w:t>
      </w:r>
      <w:r w:rsidRPr="00796736">
        <w:rPr>
          <w:rFonts w:ascii="Times New Roman" w:eastAsia="Calibri" w:hAnsi="Times New Roman" w:cs="Times New Roman"/>
          <w:bCs/>
          <w:sz w:val="24"/>
          <w:szCs w:val="24"/>
        </w:rPr>
        <w:t>skatte- og vækstministeren</w:t>
      </w:r>
      <w:r w:rsidR="00E40528" w:rsidRPr="00796736">
        <w:rPr>
          <w:rFonts w:ascii="Times New Roman" w:eastAsia="Calibri" w:hAnsi="Times New Roman" w:cs="Times New Roman"/>
          <w:bCs/>
          <w:sz w:val="24"/>
          <w:szCs w:val="24"/>
        </w:rPr>
        <w:t xml:space="preserve"> </w:t>
      </w:r>
      <w:r w:rsidR="00E40528" w:rsidRPr="00796736">
        <w:rPr>
          <w:rFonts w:ascii="Times New Roman" w:hAnsi="Times New Roman" w:cs="Times New Roman"/>
          <w:sz w:val="24"/>
          <w:szCs w:val="24"/>
        </w:rPr>
        <w:t xml:space="preserve">og </w:t>
      </w:r>
      <w:r w:rsidR="00E40528" w:rsidRPr="00796736">
        <w:rPr>
          <w:rFonts w:ascii="Times New Roman" w:eastAsia="Calibri" w:hAnsi="Times New Roman" w:cs="Times New Roman"/>
          <w:sz w:val="24"/>
          <w:szCs w:val="24"/>
        </w:rPr>
        <w:t>erhvervs- og konkurrencekraftsministeren</w:t>
      </w:r>
      <w:r w:rsidRPr="00796736">
        <w:rPr>
          <w:rFonts w:ascii="Times New Roman" w:eastAsia="Calibri" w:hAnsi="Times New Roman" w:cs="Times New Roman"/>
          <w:bCs/>
          <w:sz w:val="24"/>
          <w:szCs w:val="24"/>
        </w:rPr>
        <w:t xml:space="preserve"> </w:t>
      </w:r>
      <w:r w:rsidRPr="00796736">
        <w:rPr>
          <w:rFonts w:ascii="Times New Roman" w:eastAsia="Calibri" w:hAnsi="Times New Roman" w:cs="Times New Roman"/>
          <w:sz w:val="24"/>
          <w:szCs w:val="24"/>
        </w:rPr>
        <w:t>kan identificere tilfælde eller situationer med højere risici, og fastsætte, at forpligtede enheder i disse tilfælde eller situationer skal anvende skærpede kundekendskabsprocedurer, som fastsat i forordningens kapitel 3, afdeling 4, jf. forordningens artikel 34, stk. 6.</w:t>
      </w:r>
    </w:p>
    <w:p w14:paraId="1FE83DDE" w14:textId="77777777" w:rsidR="00ED0C47" w:rsidRPr="00796736" w:rsidRDefault="00ED0C4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omhandler tilfælde eller situationer som identificeres udover de situationer nævnt i forordningens artikel 20, stk. 2, og artikel 29, 30, 31 og 36-46. Det kan f.eks. være situationer med forøget risiko som identificeres i den nationale risikovurdering for hvidvask og terrorfinansiering eller i en sektorspecifik risikovurdering, hvorefter forpligtede enheder bør pålægges at gennemføre skærpede kundekendskabsprocedurer. </w:t>
      </w:r>
    </w:p>
    <w:p w14:paraId="2B9A3941" w14:textId="77777777" w:rsidR="00ED0C47" w:rsidRPr="00796736" w:rsidRDefault="00ED0C4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indebærer dermed, at de identificerede situationer med øget risici kan underlægges krav om skærpede kundekendskabsprocedure, hvilket sikrer en effektiv forebyggelse, begrænsning og styring af risici for hvidvask og finansiering af terrorisme. </w:t>
      </w:r>
    </w:p>
    <w:p w14:paraId="287E45A4" w14:textId="4E2E6277" w:rsidR="009028C0" w:rsidRPr="00796736" w:rsidRDefault="00ED0C4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80D1B" w:rsidRPr="00796736">
        <w:rPr>
          <w:rFonts w:ascii="Times New Roman" w:hAnsi="Times New Roman" w:cs="Times New Roman"/>
          <w:sz w:val="24"/>
          <w:szCs w:val="24"/>
        </w:rPr>
        <w:fldChar w:fldCharType="begin"/>
      </w:r>
      <w:r w:rsidR="00580D1B" w:rsidRPr="00796736">
        <w:rPr>
          <w:rFonts w:ascii="Times New Roman" w:hAnsi="Times New Roman" w:cs="Times New Roman"/>
          <w:sz w:val="24"/>
          <w:szCs w:val="24"/>
        </w:rPr>
        <w:instrText xml:space="preserve"> REF _Ref232942587 \n \h </w:instrText>
      </w:r>
      <w:r w:rsidR="00967618" w:rsidRPr="00796736">
        <w:rPr>
          <w:rFonts w:ascii="Times New Roman" w:hAnsi="Times New Roman" w:cs="Times New Roman"/>
          <w:sz w:val="24"/>
          <w:szCs w:val="24"/>
        </w:rPr>
        <w:instrText xml:space="preserve"> \* MERGEFORMAT </w:instrText>
      </w:r>
      <w:r w:rsidR="00580D1B" w:rsidRPr="00796736">
        <w:rPr>
          <w:rFonts w:ascii="Times New Roman" w:hAnsi="Times New Roman" w:cs="Times New Roman"/>
          <w:sz w:val="24"/>
          <w:szCs w:val="24"/>
        </w:rPr>
      </w:r>
      <w:r w:rsidR="00580D1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w:t>
      </w:r>
      <w:r w:rsidR="00580D1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 lovforslagets almindelige bemærkninger.</w:t>
      </w:r>
    </w:p>
    <w:p w14:paraId="67381F75" w14:textId="77777777" w:rsidR="00796736" w:rsidRPr="00796736" w:rsidRDefault="00796736" w:rsidP="00A802A5">
      <w:pPr>
        <w:spacing w:after="240" w:line="360" w:lineRule="auto"/>
        <w:rPr>
          <w:rFonts w:ascii="Times New Roman" w:hAnsi="Times New Roman" w:cs="Times New Roman"/>
          <w:sz w:val="24"/>
          <w:szCs w:val="24"/>
        </w:rPr>
      </w:pPr>
    </w:p>
    <w:p w14:paraId="797CD61C" w14:textId="42BEB00E" w:rsidR="00A950E2" w:rsidRPr="00796736" w:rsidRDefault="00D92FAA" w:rsidP="00A802A5">
      <w:pPr>
        <w:pStyle w:val="Undertitel"/>
      </w:pPr>
      <w:bookmarkStart w:id="1870" w:name="_Toc232109342"/>
      <w:bookmarkStart w:id="1871" w:name="_Toc244879303"/>
      <w:bookmarkStart w:id="1872" w:name="_Toc244880828"/>
      <w:r w:rsidRPr="00796736">
        <w:t xml:space="preserve">Til </w:t>
      </w:r>
      <w:r w:rsidR="00161898" w:rsidRPr="00796736">
        <w:fldChar w:fldCharType="begin"/>
      </w:r>
      <w:r w:rsidR="00161898" w:rsidRPr="00796736">
        <w:instrText xml:space="preserve"> REF _Ref232595459 \r \h </w:instrText>
      </w:r>
      <w:r w:rsidR="00967618" w:rsidRPr="00796736">
        <w:instrText xml:space="preserve"> \* MERGEFORMAT </w:instrText>
      </w:r>
      <w:r w:rsidR="00161898" w:rsidRPr="00796736">
        <w:fldChar w:fldCharType="separate"/>
      </w:r>
      <w:r w:rsidR="008F29E5">
        <w:t>§ 7</w:t>
      </w:r>
      <w:bookmarkEnd w:id="1871"/>
      <w:bookmarkEnd w:id="1872"/>
      <w:r w:rsidR="00161898" w:rsidRPr="00796736">
        <w:fldChar w:fldCharType="end"/>
      </w:r>
      <w:r w:rsidR="00161898" w:rsidRPr="00796736">
        <w:t xml:space="preserve"> </w:t>
      </w:r>
      <w:bookmarkEnd w:id="1870"/>
    </w:p>
    <w:p w14:paraId="645F9578" w14:textId="28CA9714"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kan i henhold til § 21, stk. 2, i hvidvaskloven fastsætte regler om, at visse krav i kundekendskabsproceduren i henhold til §§ 10-21 ikke finder anvendelse for udstedere af elektroniske penge på områder, hvor der vurderes at være en begrænset risiko for hvidvask og finansiering af terrorisme. </w:t>
      </w:r>
    </w:p>
    <w:p w14:paraId="41F5F5D5" w14:textId="77777777" w:rsidR="00FC3BB9" w:rsidRPr="00796736" w:rsidRDefault="00FC3BB9" w:rsidP="00A802A5">
      <w:pPr>
        <w:spacing w:line="360" w:lineRule="auto"/>
        <w:rPr>
          <w:rFonts w:ascii="Times New Roman" w:hAnsi="Times New Roman" w:cs="Times New Roman"/>
          <w:sz w:val="24"/>
          <w:szCs w:val="24"/>
        </w:rPr>
      </w:pPr>
    </w:p>
    <w:p w14:paraId="13E4D309"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Denne bemyndigelse er udmøntet i bekendtgørelse nr. 311 af 26. marts 2020 om lempede krav til kundekendskabsproceduren efter lov om forebyggende foranstaltninger mod hvidvask og finansiering af terrorisme (hvidvaskloven) for udstedere af elektroniske penge. </w:t>
      </w:r>
    </w:p>
    <w:p w14:paraId="4C80ADE7" w14:textId="77777777" w:rsidR="00FC3BB9" w:rsidRPr="00796736" w:rsidRDefault="00FC3BB9" w:rsidP="00A802A5">
      <w:pPr>
        <w:spacing w:line="360" w:lineRule="auto"/>
        <w:rPr>
          <w:rFonts w:ascii="Times New Roman" w:hAnsi="Times New Roman" w:cs="Times New Roman"/>
          <w:sz w:val="24"/>
          <w:szCs w:val="24"/>
        </w:rPr>
      </w:pPr>
    </w:p>
    <w:p w14:paraId="7F9C4224"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bekendtgørelse nr. 311 af 26. marts 2020 om lempede krav til kundekendskabsproceduren efter lov om forebyggende foranstaltninger mod hvidvask og finansiering af terrorisme (hvidvaskloven) for udstedere af elektroniske penge fremgår en række kumulative betingelser, som skal være opfyldt for at udstedere af elektroniske penge undtages fra at gennemføre kundekendskabsprocedurer efter den nugældende hvidvasklovs § 11, stk. 1, nr. 1-4, og § 14. </w:t>
      </w:r>
    </w:p>
    <w:p w14:paraId="28A26D5E" w14:textId="77777777" w:rsidR="00FC3BB9" w:rsidRPr="00796736" w:rsidRDefault="00FC3BB9" w:rsidP="00A802A5">
      <w:pPr>
        <w:spacing w:line="360" w:lineRule="auto"/>
        <w:rPr>
          <w:rFonts w:ascii="Times New Roman" w:hAnsi="Times New Roman" w:cs="Times New Roman"/>
          <w:sz w:val="24"/>
          <w:szCs w:val="24"/>
        </w:rPr>
      </w:pPr>
    </w:p>
    <w:p w14:paraId="7A4A8696"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Betingelserne er, at betalingsinstrumentet ikke er genopfyldeligt eller har en maksimal månedlig betalingstransaktionsgrænse på 150 euro, som udelukkende kan anvendes i Danmark, at det maksimale elektronisk lagrede beløb ikke må overstige 150 euro, at betalingsinstrumentet udelukkende kan anvendes til køb af varer eller tjenesteydelser, at betalingsinstrumentet ikke kan finansieres med anonyme elektroniske penge, og at udstederen skal foretage tilstrækkelig overvågning af transaktioner eller forretningsforbindelser til at kunne opdage usædvanlige eller mistænkelige transaktioner. </w:t>
      </w:r>
    </w:p>
    <w:p w14:paraId="181A27B9" w14:textId="77777777" w:rsidR="00FC3BB9" w:rsidRPr="00796736" w:rsidRDefault="00FC3BB9" w:rsidP="00A802A5">
      <w:pPr>
        <w:spacing w:line="360" w:lineRule="auto"/>
        <w:rPr>
          <w:rFonts w:ascii="Times New Roman" w:hAnsi="Times New Roman" w:cs="Times New Roman"/>
          <w:sz w:val="24"/>
          <w:szCs w:val="24"/>
        </w:rPr>
      </w:pPr>
    </w:p>
    <w:p w14:paraId="3E72A82B" w14:textId="2EF6C68E"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Finanstilsynet kan fastsætte regler om at undtage forpligtede enheder fra helt eller delvist at anvende de i artikel 20, stk. 1, litra a-c, i </w:t>
      </w:r>
      <w:r w:rsidR="000F7C95" w:rsidRPr="00796736">
        <w:rPr>
          <w:rFonts w:ascii="Times New Roman" w:hAnsi="Times New Roman" w:cs="Times New Roman"/>
          <w:sz w:val="24"/>
          <w:szCs w:val="24"/>
        </w:rPr>
        <w:t xml:space="preserve">hvidvaskforordningen </w:t>
      </w:r>
      <w:r w:rsidRPr="00796736">
        <w:rPr>
          <w:rFonts w:ascii="Times New Roman" w:hAnsi="Times New Roman" w:cs="Times New Roman"/>
          <w:sz w:val="24"/>
          <w:szCs w:val="24"/>
        </w:rPr>
        <w:t>omhandlede kundekendskabsprocedurer, for så vidt angår elektroniske penge, hvor der vurderes at være en begrænset risiko for hvidvask og finansiering af terrorisme.</w:t>
      </w:r>
    </w:p>
    <w:p w14:paraId="2BEE4C89" w14:textId="77777777" w:rsidR="00FC3BB9" w:rsidRPr="00796736" w:rsidRDefault="00FC3BB9" w:rsidP="00A802A5">
      <w:pPr>
        <w:spacing w:line="360" w:lineRule="auto"/>
        <w:rPr>
          <w:rFonts w:ascii="Times New Roman" w:hAnsi="Times New Roman" w:cs="Times New Roman"/>
          <w:sz w:val="24"/>
          <w:szCs w:val="24"/>
        </w:rPr>
      </w:pPr>
    </w:p>
    <w:p w14:paraId="4FAA49CB"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forordningens artikel 19, stk. 7, litra a-d, fremgår det, at en række risikobegrænsende betingelser skal være opfyldt for, at forpligtede enheder er undtaget fra at gennemføre kundekendskabsprocedurer fastsat i forordningens artikel 20, stk. 1, litra a-c.</w:t>
      </w:r>
    </w:p>
    <w:p w14:paraId="2C4CA005" w14:textId="77777777" w:rsidR="00FC3BB9" w:rsidRPr="00796736" w:rsidRDefault="00FC3BB9" w:rsidP="00A802A5">
      <w:pPr>
        <w:spacing w:line="360" w:lineRule="auto"/>
        <w:rPr>
          <w:rFonts w:ascii="Times New Roman" w:hAnsi="Times New Roman" w:cs="Times New Roman"/>
          <w:sz w:val="24"/>
          <w:szCs w:val="24"/>
        </w:rPr>
      </w:pPr>
    </w:p>
    <w:p w14:paraId="52DDD839"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første betingelse er, at betalingsinstrumentet ikke er genopfyldeligt, og det elektronisk lagrede beløb ikke overstiger 150 EUR eller et tilsvarende beløb i national valuta. Et genopfyldeligt betalingsinstrument er f.eks. et gavekort, hvor der efter udstedelsen kan indsættes yderligere midler.</w:t>
      </w:r>
    </w:p>
    <w:p w14:paraId="0DFE9B7A" w14:textId="77777777" w:rsidR="00FC3BB9" w:rsidRPr="00796736" w:rsidRDefault="00FC3BB9" w:rsidP="00A802A5">
      <w:pPr>
        <w:spacing w:line="360" w:lineRule="auto"/>
        <w:rPr>
          <w:rFonts w:ascii="Times New Roman" w:hAnsi="Times New Roman" w:cs="Times New Roman"/>
          <w:sz w:val="24"/>
          <w:szCs w:val="24"/>
        </w:rPr>
      </w:pPr>
    </w:p>
    <w:p w14:paraId="23BCD6A1"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anden betingelse er, at betalingsinstrumentet anvendes udelukkende til at købe varer eller tjenesteydelser, der leveres af udstederen, eller inden for et net af tjenesteudbydere. </w:t>
      </w:r>
    </w:p>
    <w:p w14:paraId="51B3F3C4" w14:textId="77777777" w:rsidR="00FC3BB9" w:rsidRPr="00796736" w:rsidRDefault="00FC3BB9" w:rsidP="00A802A5">
      <w:pPr>
        <w:spacing w:line="360" w:lineRule="auto"/>
        <w:rPr>
          <w:rFonts w:ascii="Times New Roman" w:hAnsi="Times New Roman" w:cs="Times New Roman"/>
          <w:sz w:val="24"/>
          <w:szCs w:val="24"/>
        </w:rPr>
      </w:pPr>
    </w:p>
    <w:p w14:paraId="1E82A2C0"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tredje betingelse er, at betalingsinstrumentet ikke er knyttet til en betalingskonto og ikke giver mulighed for at veksle lagrede beløb til kontanter eller kryptoaktiver. </w:t>
      </w:r>
    </w:p>
    <w:p w14:paraId="1F436194" w14:textId="77777777" w:rsidR="00FC3BB9" w:rsidRPr="00796736" w:rsidRDefault="00FC3BB9" w:rsidP="00A802A5">
      <w:pPr>
        <w:spacing w:line="360" w:lineRule="auto"/>
        <w:rPr>
          <w:rFonts w:ascii="Times New Roman" w:hAnsi="Times New Roman" w:cs="Times New Roman"/>
          <w:sz w:val="24"/>
          <w:szCs w:val="24"/>
        </w:rPr>
      </w:pPr>
    </w:p>
    <w:p w14:paraId="14AA6570"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fjerde betingelse er, at udstederen foretager tilstrækkelig overvågning af transaktionerne eller forretningsforbindelsen til at kunne opdage usædvanlige eller mistænkelige transaktioner.</w:t>
      </w:r>
    </w:p>
    <w:p w14:paraId="18879401" w14:textId="77777777" w:rsidR="00FC3BB9" w:rsidRPr="00796736" w:rsidRDefault="00FC3BB9" w:rsidP="00A802A5">
      <w:pPr>
        <w:spacing w:line="360" w:lineRule="auto"/>
        <w:rPr>
          <w:rFonts w:ascii="Times New Roman" w:hAnsi="Times New Roman" w:cs="Times New Roman"/>
          <w:sz w:val="24"/>
          <w:szCs w:val="24"/>
        </w:rPr>
      </w:pPr>
    </w:p>
    <w:p w14:paraId="68022A50"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Opfylder en forpligtet enhed ovenstående kumulative betingelser kan de undtages fra at gennemføre de kundekendskabsprocedurer, som fremgår af forordningens artikel 20, stk. 1, litra a-c. </w:t>
      </w:r>
    </w:p>
    <w:p w14:paraId="234FF02B" w14:textId="77777777" w:rsidR="00FC3BB9" w:rsidRPr="00796736" w:rsidRDefault="00FC3BB9" w:rsidP="00A802A5">
      <w:pPr>
        <w:spacing w:line="360" w:lineRule="auto"/>
        <w:rPr>
          <w:rFonts w:ascii="Times New Roman" w:hAnsi="Times New Roman" w:cs="Times New Roman"/>
          <w:sz w:val="24"/>
          <w:szCs w:val="24"/>
        </w:rPr>
      </w:pPr>
    </w:p>
    <w:p w14:paraId="361E3AD8"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forordningens artikel 20, stk. 1, litra a, skal forpligtede enheder indhente oplysninger om identifikation af kunden og kontrol af kundens identitet. </w:t>
      </w:r>
    </w:p>
    <w:p w14:paraId="1A6F0325" w14:textId="77777777" w:rsidR="00FC3BB9" w:rsidRPr="00796736" w:rsidRDefault="00FC3BB9" w:rsidP="00A802A5">
      <w:pPr>
        <w:spacing w:line="360" w:lineRule="auto"/>
        <w:rPr>
          <w:rFonts w:ascii="Times New Roman" w:hAnsi="Times New Roman" w:cs="Times New Roman"/>
          <w:sz w:val="24"/>
          <w:szCs w:val="24"/>
        </w:rPr>
      </w:pPr>
    </w:p>
    <w:p w14:paraId="40C44D01"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forordningens artikel 20, stk. 1, litra b, skal forpligtede enheder indhenteoplysninger om identifikation af kundens reelle ejere og gennemførelse af rimelige foranstaltninger til at kontrollere deres identitet, således, at den forpligtede enhed er overbevist om, at den ved, hvem de reelle ejere er, og forstår kundens ejerskabsforhold og kontrolstrukturer. </w:t>
      </w:r>
    </w:p>
    <w:p w14:paraId="78FA152C" w14:textId="77777777" w:rsidR="00FC3BB9" w:rsidRPr="00796736" w:rsidRDefault="00FC3BB9" w:rsidP="00A802A5">
      <w:pPr>
        <w:spacing w:line="360" w:lineRule="auto"/>
        <w:rPr>
          <w:rFonts w:ascii="Times New Roman" w:hAnsi="Times New Roman" w:cs="Times New Roman"/>
          <w:sz w:val="24"/>
          <w:szCs w:val="24"/>
        </w:rPr>
      </w:pPr>
    </w:p>
    <w:p w14:paraId="45CB05B7"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forordningens artikel 20, stk. 1, litra c, skal forpligtede gennemføre en vurdering og eventuelt indhente oplysninger om og forståelse af forretningsforbindelsens eller de lejlighedsvise transaktioners formål og tilsigtede beskaffenhed. </w:t>
      </w:r>
    </w:p>
    <w:p w14:paraId="1599519F" w14:textId="77777777" w:rsidR="00FC3BB9" w:rsidRPr="00796736" w:rsidRDefault="00FC3BB9" w:rsidP="00A802A5">
      <w:pPr>
        <w:spacing w:line="360" w:lineRule="auto"/>
        <w:rPr>
          <w:rFonts w:ascii="Times New Roman" w:hAnsi="Times New Roman" w:cs="Times New Roman"/>
          <w:sz w:val="24"/>
          <w:szCs w:val="24"/>
        </w:rPr>
      </w:pPr>
    </w:p>
    <w:p w14:paraId="18A71BF8"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medfører, at Finanstilsynet kan fastsætte regler om undtagelse af kravene i forordningens artikel 20, stk. 1, litra a-c, hvis betingelserne i artikel 19, stk. 7, litra a-d, ses at være opfyldt. </w:t>
      </w:r>
    </w:p>
    <w:p w14:paraId="382B9619" w14:textId="77777777" w:rsidR="00FC3BB9" w:rsidRPr="00796736" w:rsidRDefault="00FC3BB9" w:rsidP="00A802A5">
      <w:pPr>
        <w:spacing w:line="360" w:lineRule="auto"/>
        <w:rPr>
          <w:rFonts w:ascii="Times New Roman" w:hAnsi="Times New Roman" w:cs="Times New Roman"/>
          <w:sz w:val="24"/>
          <w:szCs w:val="24"/>
        </w:rPr>
      </w:pPr>
    </w:p>
    <w:p w14:paraId="5DE8AE71" w14:textId="77777777"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er tale om en videreførelse af bemyndigelsesbestemmelsen i den gældende hvidvasklovs § 21, stk. 2. </w:t>
      </w:r>
    </w:p>
    <w:p w14:paraId="64883545" w14:textId="77777777" w:rsidR="00FC3BB9" w:rsidRPr="00796736" w:rsidRDefault="00FC3BB9" w:rsidP="00A802A5">
      <w:pPr>
        <w:spacing w:line="360" w:lineRule="auto"/>
        <w:rPr>
          <w:rFonts w:ascii="Times New Roman" w:hAnsi="Times New Roman" w:cs="Times New Roman"/>
          <w:sz w:val="24"/>
          <w:szCs w:val="24"/>
        </w:rPr>
      </w:pPr>
    </w:p>
    <w:p w14:paraId="42790B7A" w14:textId="264DD2F6"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samtidigt at videreføre bekendtgørelse nr. 311 af 26. marts 2020 om lempede krav til kundekendskabsproceduren efter lov om forebyggende foranstaltninger mod hvidvask og finansiering af terrorisme (hvidvaskloven) for udstedere af elektroniske penge, idet de kumulative betingelser fastsat i bekendtgørelsen stort set svarer til de kumulative betingelser fastsat i forordningens artikel 19, stk. 7, med få tilpasninger.  </w:t>
      </w:r>
    </w:p>
    <w:p w14:paraId="0DD1D536" w14:textId="77777777" w:rsidR="00FC3BB9" w:rsidRPr="00796736" w:rsidRDefault="00FC3BB9" w:rsidP="00A802A5">
      <w:pPr>
        <w:spacing w:line="360" w:lineRule="auto"/>
        <w:rPr>
          <w:rFonts w:ascii="Times New Roman" w:hAnsi="Times New Roman" w:cs="Times New Roman"/>
          <w:sz w:val="24"/>
          <w:szCs w:val="24"/>
        </w:rPr>
      </w:pPr>
    </w:p>
    <w:p w14:paraId="7E5B5874" w14:textId="7266D389" w:rsidR="00FC3BB9" w:rsidRPr="00796736" w:rsidRDefault="00FC3B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i øvrigt til pkt.</w:t>
      </w:r>
      <w:r w:rsidR="00580D1B" w:rsidRPr="00796736">
        <w:rPr>
          <w:rFonts w:ascii="Times New Roman" w:hAnsi="Times New Roman" w:cs="Times New Roman"/>
          <w:sz w:val="24"/>
          <w:szCs w:val="24"/>
        </w:rPr>
        <w:t xml:space="preserve"> </w:t>
      </w:r>
      <w:r w:rsidR="00580D1B" w:rsidRPr="00796736">
        <w:rPr>
          <w:rFonts w:ascii="Times New Roman" w:hAnsi="Times New Roman" w:cs="Times New Roman"/>
          <w:sz w:val="24"/>
          <w:szCs w:val="24"/>
        </w:rPr>
        <w:fldChar w:fldCharType="begin"/>
      </w:r>
      <w:r w:rsidR="00580D1B" w:rsidRPr="00796736">
        <w:rPr>
          <w:rFonts w:ascii="Times New Roman" w:hAnsi="Times New Roman" w:cs="Times New Roman"/>
          <w:sz w:val="24"/>
          <w:szCs w:val="24"/>
        </w:rPr>
        <w:instrText xml:space="preserve"> REF _Ref232942610 \n \h </w:instrText>
      </w:r>
      <w:r w:rsidR="00967618" w:rsidRPr="00796736">
        <w:rPr>
          <w:rFonts w:ascii="Times New Roman" w:hAnsi="Times New Roman" w:cs="Times New Roman"/>
          <w:sz w:val="24"/>
          <w:szCs w:val="24"/>
        </w:rPr>
        <w:instrText xml:space="preserve"> \* MERGEFORMAT </w:instrText>
      </w:r>
      <w:r w:rsidR="00580D1B" w:rsidRPr="00796736">
        <w:rPr>
          <w:rFonts w:ascii="Times New Roman" w:hAnsi="Times New Roman" w:cs="Times New Roman"/>
          <w:sz w:val="24"/>
          <w:szCs w:val="24"/>
        </w:rPr>
      </w:r>
      <w:r w:rsidR="00580D1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w:t>
      </w:r>
      <w:r w:rsidR="00580D1B" w:rsidRPr="00796736">
        <w:rPr>
          <w:rFonts w:ascii="Times New Roman" w:hAnsi="Times New Roman" w:cs="Times New Roman"/>
          <w:sz w:val="24"/>
          <w:szCs w:val="24"/>
        </w:rPr>
        <w:fldChar w:fldCharType="end"/>
      </w:r>
      <w:r w:rsidR="00580D1B"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6036C98D" w14:textId="77777777" w:rsidR="009028C0" w:rsidRPr="00796736" w:rsidRDefault="009028C0" w:rsidP="00A802A5">
      <w:pPr>
        <w:spacing w:line="360" w:lineRule="auto"/>
        <w:rPr>
          <w:rFonts w:ascii="Times New Roman" w:hAnsi="Times New Roman" w:cs="Times New Roman"/>
          <w:sz w:val="24"/>
          <w:szCs w:val="24"/>
        </w:rPr>
      </w:pPr>
    </w:p>
    <w:p w14:paraId="74812D76" w14:textId="15694C32" w:rsidR="009028C0" w:rsidRPr="00796736" w:rsidRDefault="009028C0" w:rsidP="00A802A5">
      <w:pPr>
        <w:pStyle w:val="Undertitel"/>
        <w:rPr>
          <w:iCs/>
        </w:rPr>
      </w:pPr>
      <w:bookmarkStart w:id="1873" w:name="_Toc232109343"/>
      <w:bookmarkStart w:id="1874" w:name="_Toc244879304"/>
      <w:bookmarkStart w:id="1875" w:name="_Toc244880829"/>
      <w:r w:rsidRPr="00796736">
        <w:t xml:space="preserve">Til </w:t>
      </w:r>
      <w:r w:rsidR="00161898" w:rsidRPr="00796736">
        <w:fldChar w:fldCharType="begin"/>
      </w:r>
      <w:r w:rsidR="00161898" w:rsidRPr="00796736">
        <w:instrText xml:space="preserve"> REF _Ref232595479 \r \h </w:instrText>
      </w:r>
      <w:r w:rsidR="00967618" w:rsidRPr="00796736">
        <w:instrText xml:space="preserve"> \* MERGEFORMAT </w:instrText>
      </w:r>
      <w:r w:rsidR="00161898" w:rsidRPr="00796736">
        <w:fldChar w:fldCharType="separate"/>
      </w:r>
      <w:r w:rsidR="008F29E5">
        <w:t>§ 8</w:t>
      </w:r>
      <w:bookmarkEnd w:id="1874"/>
      <w:bookmarkEnd w:id="1875"/>
      <w:r w:rsidR="00161898" w:rsidRPr="00796736">
        <w:fldChar w:fldCharType="end"/>
      </w:r>
      <w:r w:rsidR="00161898" w:rsidRPr="00796736">
        <w:t xml:space="preserve"> </w:t>
      </w:r>
      <w:bookmarkEnd w:id="1873"/>
    </w:p>
    <w:p w14:paraId="1AB9F1AB" w14:textId="12000C0E" w:rsidR="009028C0" w:rsidRPr="00796736" w:rsidRDefault="009028C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hvidvasklov</w:t>
      </w:r>
      <w:r w:rsidR="00B1686D" w:rsidRPr="00796736">
        <w:rPr>
          <w:rFonts w:ascii="Times New Roman" w:eastAsia="Calibri" w:hAnsi="Times New Roman" w:cs="Times New Roman"/>
          <w:sz w:val="24"/>
          <w:szCs w:val="24"/>
        </w:rPr>
        <w:t>en</w:t>
      </w:r>
      <w:r w:rsidRPr="00796736">
        <w:rPr>
          <w:rFonts w:ascii="Times New Roman" w:eastAsia="Calibri" w:hAnsi="Times New Roman" w:cs="Times New Roman"/>
          <w:sz w:val="24"/>
          <w:szCs w:val="24"/>
        </w:rPr>
        <w:t xml:space="preserve">s § 18, stk. 7-9, at erhvervsministeren skal føre og offentliggøre en liste med navne, fødselsdatoer og stillingsbetegnelser på de personer, som er omfattet af lovens § 2, nr. 8, samt at Erhvervsministeren skal fastsætte nærmere regler om listen, herunder om indberetning, offentliggørelse m.v. </w:t>
      </w:r>
    </w:p>
    <w:p w14:paraId="6A78F2E1" w14:textId="401EAF99"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Definitionen af højerestående offentlige hverv (politisk eksponerede personer) fremgår af artikel 2, stk. 1, nr. 34, i </w:t>
      </w:r>
      <w:r w:rsidR="000F7C95" w:rsidRPr="00796736">
        <w:rPr>
          <w:rFonts w:ascii="Times New Roman" w:eastAsia="Calibri" w:hAnsi="Times New Roman" w:cs="Times New Roman"/>
          <w:sz w:val="24"/>
          <w:szCs w:val="24"/>
        </w:rPr>
        <w:t xml:space="preserve">hvidvaskforordningen </w:t>
      </w:r>
      <w:r w:rsidRPr="00796736">
        <w:rPr>
          <w:rFonts w:ascii="Times New Roman" w:eastAsia="Calibri" w:hAnsi="Times New Roman" w:cs="Times New Roman"/>
          <w:sz w:val="24"/>
          <w:szCs w:val="24"/>
        </w:rPr>
        <w:t xml:space="preserve">samt af Kommissionens eventuelle vedtagne delegerede retsakter, som supplerer listen. Listen fastslår, at der er tale om personer, der bestrider et særligt offentligt tillidshverv, og som i kraft af dette hverv kan have adgang til offentlige eller betroede midler eller kan være modtagelig for bestikkelse. </w:t>
      </w:r>
    </w:p>
    <w:p w14:paraId="3D0A7FB3" w14:textId="77777777" w:rsidR="009028C0" w:rsidRPr="00796736" w:rsidRDefault="009028C0" w:rsidP="00A802A5">
      <w:pPr>
        <w:spacing w:line="360" w:lineRule="auto"/>
        <w:rPr>
          <w:rFonts w:ascii="Times New Roman" w:eastAsia="Calibri" w:hAnsi="Times New Roman" w:cs="Times New Roman"/>
          <w:sz w:val="24"/>
          <w:szCs w:val="24"/>
        </w:rPr>
      </w:pPr>
    </w:p>
    <w:p w14:paraId="56D1C753"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Hvidvaskforordningen stiller i artikel 43, stk. 1, krav om, at hver medlemsstat udarbejder og ajourfører en liste, som præcist angiver de hverv, der udgør højerestående offentlige hverv efter forordningens artikel 2, stk. 1, nr. 34. Medlemsstaterne skal meddele Kommissionen og AMLA disse lister samt eventuelle ændringer heraf.</w:t>
      </w:r>
    </w:p>
    <w:p w14:paraId="48D89810" w14:textId="77777777" w:rsidR="009028C0" w:rsidRPr="00796736" w:rsidRDefault="009028C0" w:rsidP="00A802A5">
      <w:pPr>
        <w:spacing w:line="360" w:lineRule="auto"/>
        <w:rPr>
          <w:rFonts w:ascii="Times New Roman" w:eastAsia="Calibri" w:hAnsi="Times New Roman" w:cs="Times New Roman"/>
          <w:sz w:val="24"/>
          <w:szCs w:val="24"/>
        </w:rPr>
      </w:pPr>
    </w:p>
    <w:p w14:paraId="384E80A5"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Endvidere fremgår det af hvidvaskforordningens artikel 43, stk. 3, at Kommissionen kan vedtage delegerede retsakter med henblik på at supplere artikel 2, stk. 1, nr. 34. </w:t>
      </w:r>
    </w:p>
    <w:p w14:paraId="36AA03D2" w14:textId="77777777" w:rsidR="009028C0" w:rsidRPr="00796736" w:rsidRDefault="009028C0" w:rsidP="00A802A5">
      <w:pPr>
        <w:spacing w:line="360" w:lineRule="auto"/>
        <w:rPr>
          <w:rFonts w:ascii="Times New Roman" w:eastAsia="Calibri" w:hAnsi="Times New Roman" w:cs="Times New Roman"/>
          <w:sz w:val="24"/>
          <w:szCs w:val="24"/>
        </w:rPr>
      </w:pPr>
    </w:p>
    <w:p w14:paraId="33616CE0" w14:textId="3B889C94"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Det foreslås i </w:t>
      </w:r>
      <w:r w:rsidR="00B1686D" w:rsidRPr="00796736">
        <w:rPr>
          <w:rFonts w:ascii="Times New Roman" w:hAnsi="Times New Roman" w:cs="Times New Roman"/>
          <w:i/>
          <w:iCs/>
          <w:sz w:val="24"/>
          <w:szCs w:val="24"/>
        </w:rPr>
        <w:fldChar w:fldCharType="begin"/>
      </w:r>
      <w:r w:rsidR="00B1686D" w:rsidRPr="00796736">
        <w:rPr>
          <w:rFonts w:ascii="Times New Roman" w:hAnsi="Times New Roman" w:cs="Times New Roman"/>
          <w:i/>
          <w:iCs/>
          <w:sz w:val="24"/>
          <w:szCs w:val="24"/>
        </w:rPr>
        <w:instrText xml:space="preserve"> REF _Ref232595479 \r \h  \* MERGEFORMAT </w:instrText>
      </w:r>
      <w:r w:rsidR="00B1686D" w:rsidRPr="00796736">
        <w:rPr>
          <w:rFonts w:ascii="Times New Roman" w:hAnsi="Times New Roman" w:cs="Times New Roman"/>
          <w:i/>
          <w:iCs/>
          <w:sz w:val="24"/>
          <w:szCs w:val="24"/>
        </w:rPr>
      </w:r>
      <w:r w:rsidR="00B1686D"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8</w:t>
      </w:r>
      <w:r w:rsidR="00B1686D"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w:t>
      </w:r>
      <w:r w:rsidR="00B36BCA" w:rsidRPr="00796736">
        <w:rPr>
          <w:rFonts w:ascii="Times New Roman" w:eastAsia="Calibri" w:hAnsi="Times New Roman" w:cs="Times New Roman"/>
          <w:sz w:val="24"/>
          <w:szCs w:val="24"/>
        </w:rPr>
        <w:t>skatte- og vækstministeren</w:t>
      </w:r>
      <w:r w:rsidRPr="00796736">
        <w:rPr>
          <w:rFonts w:ascii="Times New Roman" w:eastAsia="Calibri" w:hAnsi="Times New Roman" w:cs="Times New Roman"/>
          <w:sz w:val="24"/>
          <w:szCs w:val="24"/>
        </w:rPr>
        <w:t xml:space="preserve"> fører og offentliggør en liste med navne, fødselsdatoer og stillingsbetegnelser på de personer, som </w:t>
      </w:r>
      <w:r w:rsidR="000F7C95" w:rsidRPr="00796736">
        <w:rPr>
          <w:rFonts w:ascii="Times New Roman" w:eastAsia="Calibri" w:hAnsi="Times New Roman" w:cs="Times New Roman"/>
          <w:sz w:val="24"/>
          <w:szCs w:val="24"/>
        </w:rPr>
        <w:t>besidder</w:t>
      </w:r>
      <w:r w:rsidRPr="00796736">
        <w:rPr>
          <w:rFonts w:ascii="Times New Roman" w:eastAsia="Calibri" w:hAnsi="Times New Roman" w:cs="Times New Roman"/>
          <w:sz w:val="24"/>
          <w:szCs w:val="24"/>
        </w:rPr>
        <w:t xml:space="preserve"> højerestående offentlige hverv i henhold til artikel 2, stk. 1, nr. 34, i </w:t>
      </w:r>
      <w:r w:rsidR="000F7C95"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samt af Kommissionen vedtaget delegerede retsakter, som supplerer listen. Endvidere forslås det, at </w:t>
      </w:r>
      <w:r w:rsidR="00B36BCA" w:rsidRPr="00796736">
        <w:rPr>
          <w:rFonts w:ascii="Times New Roman" w:eastAsia="Calibri" w:hAnsi="Times New Roman" w:cs="Times New Roman"/>
          <w:sz w:val="24"/>
          <w:szCs w:val="24"/>
        </w:rPr>
        <w:t xml:space="preserve">skatte- og vækstministeren </w:t>
      </w:r>
      <w:r w:rsidRPr="00796736">
        <w:rPr>
          <w:rFonts w:ascii="Times New Roman" w:eastAsia="Calibri" w:hAnsi="Times New Roman" w:cs="Times New Roman"/>
          <w:sz w:val="24"/>
          <w:szCs w:val="24"/>
        </w:rPr>
        <w:t>sender denne liste til Europa-Kommissionen.</w:t>
      </w:r>
    </w:p>
    <w:p w14:paraId="3B9AA232" w14:textId="77777777" w:rsidR="009028C0" w:rsidRPr="00796736" w:rsidRDefault="009028C0" w:rsidP="00A802A5">
      <w:pPr>
        <w:spacing w:line="360" w:lineRule="auto"/>
        <w:rPr>
          <w:rFonts w:ascii="Times New Roman" w:eastAsia="Calibri" w:hAnsi="Times New Roman" w:cs="Times New Roman"/>
          <w:sz w:val="24"/>
          <w:szCs w:val="24"/>
        </w:rPr>
      </w:pPr>
    </w:p>
    <w:p w14:paraId="364D2351" w14:textId="0ACC7AB8"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Definitionen af højerestående offentlige hverv (politisk eksponerede personer) fremgår af artikel 2, stk. 1, nr. 34, i </w:t>
      </w:r>
      <w:r w:rsidR="000F7C95"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samt af Kommissionens eventuelle vedtagne delegerede retsakter, som supplerer listen. Listen fastslår, at der er tale om personer, der bestrider et særligt offentligt tillidshverv, og som i kraft af dette hverv kan have adgang til offentlige eller betroede midler eller kan være modtagelig for bestikkelse. </w:t>
      </w:r>
    </w:p>
    <w:p w14:paraId="4850BB62" w14:textId="77777777" w:rsidR="009028C0" w:rsidRPr="00796736" w:rsidRDefault="009028C0" w:rsidP="00A802A5">
      <w:pPr>
        <w:spacing w:line="360" w:lineRule="auto"/>
        <w:rPr>
          <w:rFonts w:ascii="Times New Roman" w:eastAsia="Calibri" w:hAnsi="Times New Roman" w:cs="Times New Roman"/>
          <w:sz w:val="24"/>
          <w:szCs w:val="24"/>
        </w:rPr>
      </w:pPr>
    </w:p>
    <w:p w14:paraId="5C317A16"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Hvidvaskforordningen stiller i artikel 43, stk. 1, krav om, at hver medlemsstat udarbejder og ajourfører en liste, som præcist angiver de hverv, der udgør højerestående offentlige hverv efter forordningens artikel 2, stk. 1, nr. 34. Medlemsstaterne skal meddele Kommissionen og AMLA disse lister samt eventuelle ændringer heraf.</w:t>
      </w:r>
    </w:p>
    <w:p w14:paraId="712595E0" w14:textId="77777777" w:rsidR="009028C0" w:rsidRPr="00796736" w:rsidRDefault="009028C0" w:rsidP="00A802A5">
      <w:pPr>
        <w:spacing w:line="360" w:lineRule="auto"/>
        <w:rPr>
          <w:rFonts w:ascii="Times New Roman" w:eastAsia="Calibri" w:hAnsi="Times New Roman" w:cs="Times New Roman"/>
          <w:sz w:val="24"/>
          <w:szCs w:val="24"/>
        </w:rPr>
      </w:pPr>
    </w:p>
    <w:p w14:paraId="49F3A431"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vil medføre, at det på europæisk plan bliver tydeliggjort hvilke funktioner, der giver en person status som politisk eksponeret person. </w:t>
      </w:r>
    </w:p>
    <w:p w14:paraId="22EEC258" w14:textId="77777777" w:rsidR="009028C0" w:rsidRPr="00796736" w:rsidRDefault="009028C0" w:rsidP="00A802A5">
      <w:pPr>
        <w:spacing w:line="360" w:lineRule="auto"/>
        <w:rPr>
          <w:rFonts w:ascii="Times New Roman" w:eastAsia="Calibri" w:hAnsi="Times New Roman" w:cs="Times New Roman"/>
          <w:sz w:val="24"/>
          <w:szCs w:val="24"/>
        </w:rPr>
      </w:pPr>
    </w:p>
    <w:p w14:paraId="3CA27BF1"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er i øvrigt tale om en videreførelse af den gældende hvidvasklovs § 18, stk. 7. </w:t>
      </w:r>
    </w:p>
    <w:p w14:paraId="40799B73" w14:textId="77777777" w:rsidR="009028C0" w:rsidRPr="00796736" w:rsidRDefault="009028C0" w:rsidP="00A802A5">
      <w:pPr>
        <w:spacing w:line="360" w:lineRule="auto"/>
        <w:rPr>
          <w:rFonts w:ascii="Times New Roman" w:hAnsi="Times New Roman" w:cs="Times New Roman"/>
          <w:sz w:val="24"/>
          <w:szCs w:val="24"/>
        </w:rPr>
      </w:pPr>
    </w:p>
    <w:p w14:paraId="144D6EE2" w14:textId="27D0E0B6" w:rsidR="009028C0" w:rsidRPr="00796736" w:rsidRDefault="009028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internationale organisationer, der er akkrediteret af Danmark, skal udarbejde og ajourføre en liste over højerestående offentlige hverv inden for den pågældende international organisation i henhold til artikel 2, stk. 1, nr. 34, i </w:t>
      </w:r>
      <w:r w:rsidR="000F7C95"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Det foreslås endvidere, at de internationale organisationer skal sende deres liste til </w:t>
      </w:r>
      <w:r w:rsidR="003839B2" w:rsidRPr="00796736">
        <w:rPr>
          <w:rFonts w:ascii="Times New Roman" w:eastAsia="Calibri" w:hAnsi="Times New Roman" w:cs="Times New Roman"/>
          <w:sz w:val="24"/>
          <w:szCs w:val="24"/>
        </w:rPr>
        <w:t>skatte- og vækstministeren</w:t>
      </w:r>
      <w:r w:rsidRPr="00796736">
        <w:rPr>
          <w:rFonts w:ascii="Times New Roman" w:hAnsi="Times New Roman" w:cs="Times New Roman"/>
          <w:sz w:val="24"/>
          <w:szCs w:val="24"/>
        </w:rPr>
        <w:t>.</w:t>
      </w:r>
    </w:p>
    <w:p w14:paraId="79A3A159" w14:textId="77777777" w:rsidR="009028C0" w:rsidRPr="00796736" w:rsidRDefault="009028C0" w:rsidP="00A802A5">
      <w:pPr>
        <w:spacing w:line="360" w:lineRule="auto"/>
        <w:rPr>
          <w:rFonts w:ascii="Times New Roman" w:eastAsia="Calibri" w:hAnsi="Times New Roman" w:cs="Times New Roman"/>
          <w:sz w:val="24"/>
          <w:szCs w:val="24"/>
        </w:rPr>
      </w:pPr>
    </w:p>
    <w:p w14:paraId="1571DDF4" w14:textId="613FD334"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medføre, at de internationale organisationer efter udarbejdelsen af listen skal sende denne til </w:t>
      </w:r>
      <w:r w:rsidR="003839B2" w:rsidRPr="00796736">
        <w:rPr>
          <w:rFonts w:ascii="Times New Roman" w:eastAsia="Calibri" w:hAnsi="Times New Roman" w:cs="Times New Roman"/>
          <w:sz w:val="24"/>
          <w:szCs w:val="24"/>
        </w:rPr>
        <w:t>skatte- og vækstministeren</w:t>
      </w:r>
      <w:r w:rsidRPr="00796736">
        <w:rPr>
          <w:rFonts w:ascii="Times New Roman" w:eastAsia="Calibri" w:hAnsi="Times New Roman" w:cs="Times New Roman"/>
          <w:sz w:val="24"/>
          <w:szCs w:val="24"/>
        </w:rPr>
        <w:t>, modsat gældende ret, hvorefter organisation skal sende listen direkte til Europa-Kommissionen.</w:t>
      </w:r>
    </w:p>
    <w:p w14:paraId="4C5C8E9D" w14:textId="77777777" w:rsidR="009028C0" w:rsidRPr="00796736" w:rsidRDefault="009028C0" w:rsidP="00A802A5">
      <w:pPr>
        <w:spacing w:line="360" w:lineRule="auto"/>
        <w:rPr>
          <w:rFonts w:ascii="Times New Roman" w:eastAsia="Calibri" w:hAnsi="Times New Roman" w:cs="Times New Roman"/>
          <w:sz w:val="24"/>
          <w:szCs w:val="24"/>
        </w:rPr>
      </w:pPr>
    </w:p>
    <w:p w14:paraId="15D806FD"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Der er for den øvrige del af bestemmelsen tale om en videreførelse af den gældende hvidvasklovs § 18, stk. 8.</w:t>
      </w:r>
    </w:p>
    <w:p w14:paraId="1B90C53F" w14:textId="77777777" w:rsidR="009028C0" w:rsidRPr="00796736" w:rsidRDefault="009028C0" w:rsidP="00A802A5">
      <w:pPr>
        <w:spacing w:line="360" w:lineRule="auto"/>
        <w:rPr>
          <w:rFonts w:ascii="Times New Roman" w:eastAsia="Calibri" w:hAnsi="Times New Roman" w:cs="Times New Roman"/>
          <w:sz w:val="24"/>
          <w:szCs w:val="24"/>
        </w:rPr>
      </w:pPr>
    </w:p>
    <w:p w14:paraId="1BEBB13E" w14:textId="6AB001E9" w:rsidR="009028C0" w:rsidRPr="00796736" w:rsidRDefault="009028C0"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3</w:t>
      </w:r>
      <w:r w:rsidRPr="00796736">
        <w:rPr>
          <w:rFonts w:ascii="Times New Roman" w:eastAsia="Calibri" w:hAnsi="Times New Roman" w:cs="Times New Roman"/>
          <w:sz w:val="24"/>
          <w:szCs w:val="24"/>
        </w:rPr>
        <w:t xml:space="preserve">, at </w:t>
      </w:r>
      <w:r w:rsidR="003839B2" w:rsidRPr="00796736">
        <w:rPr>
          <w:rFonts w:ascii="Times New Roman" w:eastAsia="Calibri" w:hAnsi="Times New Roman" w:cs="Times New Roman"/>
          <w:sz w:val="24"/>
          <w:szCs w:val="24"/>
        </w:rPr>
        <w:t xml:space="preserve">skatte- og vækstministeren </w:t>
      </w:r>
      <w:r w:rsidRPr="00796736">
        <w:rPr>
          <w:rFonts w:ascii="Times New Roman" w:eastAsia="Calibri" w:hAnsi="Times New Roman" w:cs="Times New Roman"/>
          <w:sz w:val="24"/>
          <w:szCs w:val="24"/>
        </w:rPr>
        <w:t>kan fastsætte nærmere regler om de i stk. 1 og 2 omhandlede lister, herunder personkredsen, regler om indberetning, offentliggørelse m.v.</w:t>
      </w:r>
    </w:p>
    <w:p w14:paraId="3BFB6992"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bemyndigelse kan bl.a. anvendes til at fastsætte bestemmelser om hvem der skal foretage indberetningen, fristen for indberetning af oplysningerne og hvordan manglende indberetning sanktioneres. </w:t>
      </w:r>
    </w:p>
    <w:p w14:paraId="370DDBE8" w14:textId="77777777" w:rsidR="009028C0" w:rsidRPr="00796736" w:rsidRDefault="009028C0" w:rsidP="00A802A5">
      <w:pPr>
        <w:spacing w:line="360" w:lineRule="auto"/>
        <w:rPr>
          <w:rFonts w:ascii="Times New Roman" w:eastAsia="Calibri" w:hAnsi="Times New Roman" w:cs="Times New Roman"/>
          <w:sz w:val="24"/>
          <w:szCs w:val="24"/>
        </w:rPr>
      </w:pPr>
    </w:p>
    <w:p w14:paraId="29BA3344" w14:textId="4EC2C31A"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forordningens artikel 2, stk. 1, nr. 34, ix</w:t>
      </w:r>
      <w:r w:rsidR="000F7C95" w:rsidRPr="00796736">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kan medlemsstaterne fastsætte om der er andre højerestående hverv som skal betragtes som værende en politisk eksponeret person. </w:t>
      </w:r>
    </w:p>
    <w:p w14:paraId="674D8554" w14:textId="77777777" w:rsidR="009028C0" w:rsidRPr="00796736" w:rsidRDefault="009028C0" w:rsidP="00A802A5">
      <w:pPr>
        <w:spacing w:line="360" w:lineRule="auto"/>
        <w:rPr>
          <w:rFonts w:ascii="Times New Roman" w:eastAsia="Calibri" w:hAnsi="Times New Roman" w:cs="Times New Roman"/>
          <w:sz w:val="24"/>
          <w:szCs w:val="24"/>
        </w:rPr>
      </w:pPr>
    </w:p>
    <w:p w14:paraId="2400C840"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foreslåede vil derfor desuden indebære fastsættelse af andre højerestående hverv omfattes. Et eksempel herpå er ministres særlige rådgivere, som i dag er omfattet af den nationale definition på en politisk eksponeret person, men som ikke omfattet af definitionen på en politisk eksponeret person i forordningen.</w:t>
      </w:r>
    </w:p>
    <w:p w14:paraId="4D0F05D5" w14:textId="77777777" w:rsidR="009028C0" w:rsidRPr="00796736" w:rsidRDefault="009028C0" w:rsidP="00A802A5">
      <w:pPr>
        <w:spacing w:line="360" w:lineRule="auto"/>
        <w:rPr>
          <w:rFonts w:ascii="Times New Roman" w:eastAsia="Calibri" w:hAnsi="Times New Roman" w:cs="Times New Roman"/>
          <w:sz w:val="24"/>
          <w:szCs w:val="24"/>
        </w:rPr>
      </w:pPr>
    </w:p>
    <w:p w14:paraId="545F9A43"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foreslås endvidere en videreførelse af bekendtgørelse nr. 658 af 30. maj 2023 om indberetning og offentliggørelse af oplysninger om indenlandske politisk eksponerede personer for så vidt angår bestemmelserne om, at det er Finanstilsynet der fører og offentliggør listen, hvem der skal foretage indberetningen, fristen for indberetning af oplysningerne og hvordan manglende indberetning sanktioneres. Det foreslås at videreføre det nuværende sanktionsniveau for manglende indberetning af oplysningerne til listen over højerestående offentlige hverv. </w:t>
      </w:r>
    </w:p>
    <w:p w14:paraId="72ADED07" w14:textId="77777777" w:rsidR="009028C0" w:rsidRPr="00796736" w:rsidRDefault="009028C0" w:rsidP="00A802A5">
      <w:pPr>
        <w:spacing w:line="360" w:lineRule="auto"/>
        <w:rPr>
          <w:rFonts w:ascii="Times New Roman" w:eastAsia="Calibri" w:hAnsi="Times New Roman" w:cs="Times New Roman"/>
          <w:sz w:val="24"/>
          <w:szCs w:val="24"/>
        </w:rPr>
      </w:pPr>
    </w:p>
    <w:p w14:paraId="156B2CF1" w14:textId="77777777" w:rsidR="009028C0" w:rsidRPr="00796736" w:rsidRDefault="009028C0"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Dette vil medføre, </w:t>
      </w:r>
      <w:r w:rsidRPr="00796736">
        <w:rPr>
          <w:rFonts w:ascii="Times New Roman" w:eastAsia="Calibri" w:hAnsi="Times New Roman" w:cs="Times New Roman"/>
          <w:sz w:val="24"/>
          <w:szCs w:val="24"/>
        </w:rPr>
        <w:t>at myndigheder og virksomheder som har højerestående offentlige hverv i overensstemmelse med hvidvaskforordningens artikel 2, stk. 1, nr. 34, skal indberette navn, fødselsdato og stillingsbetegnelse til Finanstilsynet, således at Finanstilsynet kan ajourføre og offentliggøre en liste over politisk eksponerede personer.</w:t>
      </w:r>
    </w:p>
    <w:p w14:paraId="4BA7D5B8" w14:textId="77777777" w:rsidR="009028C0" w:rsidRPr="00796736" w:rsidRDefault="009028C0"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Af forordningens præambel 94 fremgår det, at når en kunde ikke længere varetager et højerestående offentligt hverv, kan de stadig udgøre en højere risiko, f.eks. på grund af den uformelle indflydelse de stadig kan udøve. Forpligtede enheder skal derfor tage hensyn til sådanne vedvarende risici og anvende en eller flere skærpede kundekendskabsprocedurer i mindst 12 måneder efter det tidspunkt, hvor de har ophørt med at varetage et højerestående offentligt hverv. Det foreslås at denne liste også ajourføres og offentliggøres af Finanstilsynet. </w:t>
      </w:r>
    </w:p>
    <w:p w14:paraId="00BEC838" w14:textId="77777777" w:rsidR="009028C0" w:rsidRPr="00796736" w:rsidRDefault="009028C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Førelsen og offentliggørelse af listen over politisk eksponerede personer skal ske i overensstemmelse med databeskyttelsesforordningens bestemmelser. </w:t>
      </w:r>
    </w:p>
    <w:p w14:paraId="3213ADB0" w14:textId="77777777" w:rsidR="009028C0" w:rsidRPr="00796736" w:rsidRDefault="009028C0" w:rsidP="00A802A5">
      <w:pPr>
        <w:spacing w:line="360" w:lineRule="auto"/>
        <w:rPr>
          <w:rFonts w:ascii="Times New Roman" w:eastAsia="Calibri" w:hAnsi="Times New Roman" w:cs="Times New Roman"/>
          <w:sz w:val="24"/>
          <w:szCs w:val="24"/>
        </w:rPr>
      </w:pPr>
    </w:p>
    <w:p w14:paraId="78CF97ED" w14:textId="268FBBE8" w:rsidR="009028C0" w:rsidRPr="00796736" w:rsidRDefault="009028C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467CE8" w:rsidRPr="00796736">
        <w:rPr>
          <w:rFonts w:ascii="Times New Roman" w:eastAsia="Calibri" w:hAnsi="Times New Roman" w:cs="Times New Roman"/>
          <w:sz w:val="24"/>
          <w:szCs w:val="24"/>
        </w:rPr>
        <w:fldChar w:fldCharType="begin"/>
      </w:r>
      <w:r w:rsidR="00467CE8" w:rsidRPr="00796736">
        <w:rPr>
          <w:rFonts w:ascii="Times New Roman" w:hAnsi="Times New Roman" w:cs="Times New Roman"/>
          <w:sz w:val="24"/>
          <w:szCs w:val="24"/>
        </w:rPr>
        <w:instrText xml:space="preserve"> REF _Ref232942714 \n \h </w:instrText>
      </w:r>
      <w:r w:rsidR="00967618" w:rsidRPr="00796736">
        <w:rPr>
          <w:rFonts w:ascii="Times New Roman" w:eastAsia="Calibri" w:hAnsi="Times New Roman" w:cs="Times New Roman"/>
          <w:sz w:val="24"/>
          <w:szCs w:val="24"/>
        </w:rPr>
        <w:instrText xml:space="preserve"> \* MERGEFORMAT </w:instrText>
      </w:r>
      <w:r w:rsidR="00467CE8" w:rsidRPr="00796736">
        <w:rPr>
          <w:rFonts w:ascii="Times New Roman" w:eastAsia="Calibri" w:hAnsi="Times New Roman" w:cs="Times New Roman"/>
          <w:sz w:val="24"/>
          <w:szCs w:val="24"/>
        </w:rPr>
      </w:r>
      <w:r w:rsidR="00467CE8" w:rsidRPr="00796736">
        <w:rPr>
          <w:rFonts w:ascii="Times New Roman" w:eastAsia="Calibri" w:hAnsi="Times New Roman" w:cs="Times New Roman"/>
          <w:sz w:val="24"/>
          <w:szCs w:val="24"/>
        </w:rPr>
        <w:fldChar w:fldCharType="separate"/>
      </w:r>
      <w:r w:rsidR="008F29E5">
        <w:rPr>
          <w:rFonts w:ascii="Times New Roman" w:hAnsi="Times New Roman" w:cs="Times New Roman"/>
          <w:sz w:val="24"/>
          <w:szCs w:val="24"/>
        </w:rPr>
        <w:t>3.8</w:t>
      </w:r>
      <w:r w:rsidR="00467CE8" w:rsidRPr="00796736">
        <w:rPr>
          <w:rFonts w:ascii="Times New Roman" w:eastAsia="Calibri" w:hAnsi="Times New Roman" w:cs="Times New Roman"/>
          <w:sz w:val="24"/>
          <w:szCs w:val="24"/>
        </w:rPr>
        <w:fldChar w:fldCharType="end"/>
      </w:r>
      <w:r w:rsidR="00467CE8" w:rsidRPr="00796736">
        <w:rPr>
          <w:rFonts w:ascii="Times New Roman" w:eastAsia="Calibri"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503FAA53" w14:textId="77777777" w:rsidR="00FC3BB9" w:rsidRPr="00796736" w:rsidRDefault="00FC3BB9" w:rsidP="00A802A5">
      <w:pPr>
        <w:spacing w:line="360" w:lineRule="auto"/>
        <w:jc w:val="center"/>
        <w:rPr>
          <w:rFonts w:ascii="Times New Roman" w:hAnsi="Times New Roman" w:cs="Times New Roman"/>
          <w:i/>
          <w:iCs/>
          <w:sz w:val="24"/>
          <w:szCs w:val="24"/>
        </w:rPr>
      </w:pPr>
    </w:p>
    <w:p w14:paraId="7AE1B890" w14:textId="72484EA3" w:rsidR="009028C0" w:rsidRPr="00796736" w:rsidRDefault="00D92FAA" w:rsidP="00A802A5">
      <w:pPr>
        <w:pStyle w:val="Undertitel"/>
      </w:pPr>
      <w:bookmarkStart w:id="1876" w:name="_Toc232109344"/>
      <w:bookmarkStart w:id="1877" w:name="_Toc244879305"/>
      <w:bookmarkStart w:id="1878" w:name="_Toc244880830"/>
      <w:r w:rsidRPr="00796736">
        <w:t xml:space="preserve">Til </w:t>
      </w:r>
      <w:r w:rsidR="00161898" w:rsidRPr="00796736">
        <w:fldChar w:fldCharType="begin"/>
      </w:r>
      <w:r w:rsidR="00161898" w:rsidRPr="00796736">
        <w:instrText xml:space="preserve"> REF _Ref232595515 \r \h </w:instrText>
      </w:r>
      <w:r w:rsidR="00967618" w:rsidRPr="00796736">
        <w:instrText xml:space="preserve"> \* MERGEFORMAT </w:instrText>
      </w:r>
      <w:r w:rsidR="00161898" w:rsidRPr="00796736">
        <w:fldChar w:fldCharType="separate"/>
      </w:r>
      <w:r w:rsidR="008F29E5">
        <w:t>§ 9</w:t>
      </w:r>
      <w:bookmarkEnd w:id="1877"/>
      <w:bookmarkEnd w:id="1878"/>
      <w:r w:rsidR="00161898" w:rsidRPr="00796736">
        <w:fldChar w:fldCharType="end"/>
      </w:r>
      <w:r w:rsidR="00161898" w:rsidRPr="00796736">
        <w:t xml:space="preserve"> </w:t>
      </w:r>
      <w:bookmarkEnd w:id="1876"/>
    </w:p>
    <w:p w14:paraId="62C82C9C" w14:textId="77777777" w:rsidR="009028C0" w:rsidRPr="00796736" w:rsidRDefault="009028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 33 i hvidvaskloven, at Finanstilsynet kan fastsætte regler om, at udbydere af betalingstjenester, udstedere af elektroniske penge og udbydere af kryptoaktivtjenester, der er registreret i et EU- eller EØS-land, og som er etableret her i landet på anden måde end ved en filial, har pligt til at udpege en person med ansvar for at sikre, at virksomheden eller personen overholder reglerne i denne lov. Finanstilsynet kan endvidere fastsætte regler om, at personen skal have tilstedeværelse her i landet, og hvilke funktioner den pågældende person skal udføre på vegne af virksomheden.</w:t>
      </w:r>
    </w:p>
    <w:p w14:paraId="3464474C" w14:textId="77777777" w:rsidR="009028C0" w:rsidRPr="00796736" w:rsidRDefault="009028C0" w:rsidP="00A802A5">
      <w:pPr>
        <w:spacing w:line="360" w:lineRule="auto"/>
        <w:rPr>
          <w:rFonts w:ascii="Times New Roman" w:hAnsi="Times New Roman" w:cs="Times New Roman"/>
          <w:sz w:val="24"/>
          <w:szCs w:val="24"/>
        </w:rPr>
      </w:pPr>
    </w:p>
    <w:p w14:paraId="060FF44C" w14:textId="77777777" w:rsidR="009028C0" w:rsidRPr="00796736" w:rsidRDefault="009028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foreslås videreført med redaktionelle ændringer. Der er ikke tilsigtet materielle ændringer med den foreslåede bestemmelse.</w:t>
      </w:r>
    </w:p>
    <w:p w14:paraId="2D1BB83D" w14:textId="77777777" w:rsidR="009028C0" w:rsidRPr="00796736" w:rsidRDefault="009028C0" w:rsidP="00A802A5">
      <w:pPr>
        <w:spacing w:line="360" w:lineRule="auto"/>
        <w:rPr>
          <w:rFonts w:ascii="Times New Roman" w:hAnsi="Times New Roman" w:cs="Times New Roman"/>
          <w:sz w:val="24"/>
          <w:szCs w:val="24"/>
        </w:rPr>
      </w:pPr>
    </w:p>
    <w:p w14:paraId="2E01E592" w14:textId="77777777" w:rsidR="00AF5947" w:rsidRPr="00796736" w:rsidRDefault="007D7B01"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Efter artikel 41, stk. 1, i 6. hvidvaskdirektiv kan medlemsstaterne med henblik på artikel 37, stk. 1, og artikel 38, stk. 1, kræve, at udstedere af elektroniske penge, betalingstjenesteudbydere og udbydere af kryptoaktivtjenester, der driver etableringssteder på deres område, bortset fra et datterselskab eller en filial, eller som driver virksomhed på deres område gennem agenter eller distributører, eller gennem andre typer infrastruktur, i henhold til reglerne om fri udveksling af tjenesteydelser, udpeger et centralt kontaktpunkt på deres område. Det centrale kontaktpunkt sikrer på vegne af de forpligtede enheder overholdelse af reglerne om bekæmpelse af hvidvask af penge og finansiering af terrorisme og letter tilsynsorganernes tilsyn, herunder ved på anmodning at give tilsynsorganerne dokumenter og oplysninger. </w:t>
      </w:r>
    </w:p>
    <w:p w14:paraId="7A63FD0B" w14:textId="77777777" w:rsidR="00AF5947" w:rsidRPr="00796736" w:rsidRDefault="00AF5947" w:rsidP="00A802A5">
      <w:pPr>
        <w:spacing w:line="360" w:lineRule="auto"/>
        <w:rPr>
          <w:rFonts w:ascii="Times New Roman" w:eastAsia="Times New Roman" w:hAnsi="Times New Roman" w:cs="Times New Roman"/>
          <w:sz w:val="24"/>
          <w:szCs w:val="24"/>
          <w:lang w:eastAsia="da-DK"/>
        </w:rPr>
      </w:pPr>
    </w:p>
    <w:p w14:paraId="7BCF010B" w14:textId="19D0CD63" w:rsidR="007D7B01" w:rsidRPr="00796736" w:rsidRDefault="007D7B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indholdsmæssigt til artikel 45, stk. 9, i 4. hvidvaskdirektiv, dog præciseres bestemmelsen anvendelsesområde, idet det fremgår, at bestemmelsen omfatter agenter og distributører eller enhver form for fysisk infrastruktur.    </w:t>
      </w:r>
    </w:p>
    <w:p w14:paraId="1E1DEDA4" w14:textId="77777777" w:rsidR="009028C0" w:rsidRPr="00796736" w:rsidRDefault="009028C0" w:rsidP="00A802A5">
      <w:pPr>
        <w:spacing w:line="360" w:lineRule="auto"/>
        <w:rPr>
          <w:rFonts w:ascii="Times New Roman" w:hAnsi="Times New Roman" w:cs="Times New Roman"/>
          <w:sz w:val="24"/>
          <w:szCs w:val="24"/>
        </w:rPr>
      </w:pPr>
    </w:p>
    <w:p w14:paraId="0BEA3EF0" w14:textId="471F3072" w:rsidR="007D7B01" w:rsidRPr="00796736" w:rsidRDefault="009028C0"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w:t>
      </w:r>
      <w:r w:rsidR="00FD70EA" w:rsidRPr="00796736">
        <w:rPr>
          <w:rFonts w:ascii="Times New Roman" w:hAnsi="Times New Roman" w:cs="Times New Roman"/>
          <w:i/>
          <w:iCs/>
          <w:sz w:val="24"/>
          <w:szCs w:val="24"/>
        </w:rPr>
        <w:fldChar w:fldCharType="begin"/>
      </w:r>
      <w:r w:rsidR="00FD70EA" w:rsidRPr="00796736">
        <w:rPr>
          <w:rFonts w:ascii="Times New Roman" w:hAnsi="Times New Roman" w:cs="Times New Roman"/>
          <w:i/>
          <w:iCs/>
          <w:sz w:val="24"/>
          <w:szCs w:val="24"/>
        </w:rPr>
        <w:instrText xml:space="preserve"> REF _Ref232595515 \r \h  \* MERGEFORMAT </w:instrText>
      </w:r>
      <w:r w:rsidR="00FD70EA" w:rsidRPr="00796736">
        <w:rPr>
          <w:rFonts w:ascii="Times New Roman" w:hAnsi="Times New Roman" w:cs="Times New Roman"/>
          <w:i/>
          <w:iCs/>
          <w:sz w:val="24"/>
          <w:szCs w:val="24"/>
        </w:rPr>
      </w:r>
      <w:r w:rsidR="00FD70EA"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9</w:t>
      </w:r>
      <w:r w:rsidR="00FD70EA"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1. pkt.</w:t>
      </w:r>
      <w:r w:rsidRPr="00796736">
        <w:rPr>
          <w:rFonts w:ascii="Times New Roman" w:hAnsi="Times New Roman" w:cs="Times New Roman"/>
          <w:sz w:val="24"/>
          <w:szCs w:val="24"/>
        </w:rPr>
        <w:t xml:space="preserve">, at </w:t>
      </w:r>
      <w:r w:rsidR="007D7B01" w:rsidRPr="00796736">
        <w:rPr>
          <w:rFonts w:ascii="Times New Roman" w:eastAsia="Times New Roman" w:hAnsi="Times New Roman" w:cs="Times New Roman"/>
          <w:sz w:val="24"/>
          <w:szCs w:val="24"/>
          <w:lang w:eastAsia="da-DK"/>
        </w:rPr>
        <w:t xml:space="preserve">Finanstilsynet kan fastsætte regler om, at udbydere af betalingstjenester, udstedere af elektroniske penge og udbydere af kryptoaktivtjenester, der er registreret i et EU- eller EØS-land, og som er etableret her i landet på anden måde end ved et datterselskab eller en filial, har pligt til at udpege en person med ansvar for at sikre, at virksomheden eller personen overholder reglerne i hvidvaskforordningen, pengeoverførselsforordningen, loven og regler fastsat i medfør heraf </w:t>
      </w:r>
      <w:r w:rsidR="007D7B01" w:rsidRPr="00796736">
        <w:rPr>
          <w:rFonts w:ascii="Times New Roman" w:hAnsi="Times New Roman" w:cs="Times New Roman"/>
          <w:color w:val="212529"/>
          <w:sz w:val="24"/>
          <w:szCs w:val="24"/>
          <w:shd w:val="clear" w:color="auto" w:fill="F9F9FB"/>
        </w:rPr>
        <w:t xml:space="preserve"> </w:t>
      </w:r>
      <w:r w:rsidR="007D7B01" w:rsidRPr="00796736">
        <w:rPr>
          <w:rFonts w:ascii="Times New Roman" w:eastAsia="Times New Roman" w:hAnsi="Times New Roman" w:cs="Times New Roman"/>
          <w:sz w:val="24"/>
          <w:szCs w:val="24"/>
          <w:lang w:eastAsia="da-DK"/>
        </w:rPr>
        <w:t xml:space="preserve">og love og forordninger indeholdende regler om finansielle sanktioner mod lande, personer, grupper, juridiske enheder eller organer. </w:t>
      </w:r>
    </w:p>
    <w:p w14:paraId="10E3A787" w14:textId="77777777" w:rsidR="009028C0" w:rsidRPr="00796736" w:rsidRDefault="009028C0" w:rsidP="00A802A5">
      <w:pPr>
        <w:spacing w:line="360" w:lineRule="auto"/>
        <w:rPr>
          <w:rFonts w:ascii="Times New Roman" w:hAnsi="Times New Roman" w:cs="Times New Roman"/>
          <w:sz w:val="24"/>
          <w:szCs w:val="24"/>
        </w:rPr>
      </w:pPr>
    </w:p>
    <w:p w14:paraId="55C44D17" w14:textId="08D0D3BE" w:rsidR="008B2E48" w:rsidRPr="00796736" w:rsidRDefault="008B2E4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skal sikre, at udpegningen af en central kontaktperson, der handler på vegne af det udpegende institut, bidrager til, at etableringsstederne overholder reglerne om bekæmpelse af hvidvask og finansiering af terrorisme. Bestemmelsen indebærer samtidig, at tilsynsmyndighederne får en klar og effektiv indgang til virksomheden. Det sikrer, at myndighederne på en enkel og rettidig måde kan indhente og modtage relevante dokumenter og oplysninger, hvilket understøtter et mere effektivt tilsyn med etableringsstederne. Kravet om en central kontaktperson omfatter alene de forpligtelser, der er nødvendige for at sikre overholdelsen af reglerne om bekæmpelse af hvidvask og finansiering af terrorisme og for at lette tilsynsmyndighedernes opgavevaretagelse. Kravet er dermed forholdsmæssigt og må ikke gå videre, end hvad der er nødvendigt for at opfylde disse formål.</w:t>
      </w:r>
    </w:p>
    <w:p w14:paraId="4934C0D0" w14:textId="77777777" w:rsidR="009028C0" w:rsidRPr="00796736" w:rsidRDefault="009028C0" w:rsidP="00A802A5">
      <w:pPr>
        <w:spacing w:line="360" w:lineRule="auto"/>
        <w:jc w:val="left"/>
        <w:rPr>
          <w:rFonts w:ascii="Times New Roman" w:hAnsi="Times New Roman" w:cs="Times New Roman"/>
          <w:sz w:val="24"/>
          <w:szCs w:val="24"/>
        </w:rPr>
      </w:pPr>
    </w:p>
    <w:p w14:paraId="305602D5" w14:textId="11B6B0CF" w:rsidR="009028C0" w:rsidRPr="00796736" w:rsidRDefault="009028C0" w:rsidP="00A802A5">
      <w:pPr>
        <w:spacing w:line="360" w:lineRule="auto"/>
        <w:jc w:val="left"/>
        <w:rPr>
          <w:rFonts w:ascii="Times New Roman" w:hAnsi="Times New Roman" w:cs="Times New Roman"/>
          <w:sz w:val="24"/>
          <w:szCs w:val="24"/>
        </w:rPr>
      </w:pPr>
      <w:r w:rsidRPr="00796736">
        <w:rPr>
          <w:rFonts w:ascii="Times New Roman" w:hAnsi="Times New Roman" w:cs="Times New Roman"/>
          <w:sz w:val="24"/>
          <w:szCs w:val="24"/>
        </w:rPr>
        <w:t xml:space="preserve">Det foreslås </w:t>
      </w:r>
      <w:r w:rsidR="00FD70EA" w:rsidRPr="00796736">
        <w:rPr>
          <w:rFonts w:ascii="Times New Roman" w:hAnsi="Times New Roman" w:cs="Times New Roman"/>
          <w:sz w:val="24"/>
          <w:szCs w:val="24"/>
        </w:rPr>
        <w:t>i</w:t>
      </w:r>
      <w:r w:rsidR="00FD70EA" w:rsidRPr="00796736">
        <w:rPr>
          <w:rFonts w:ascii="Times New Roman" w:hAnsi="Times New Roman" w:cs="Times New Roman"/>
          <w:i/>
          <w:iCs/>
          <w:sz w:val="24"/>
          <w:szCs w:val="24"/>
        </w:rPr>
        <w:t xml:space="preserve"> </w:t>
      </w:r>
      <w:r w:rsidR="00FD70EA" w:rsidRPr="00796736">
        <w:rPr>
          <w:rFonts w:ascii="Times New Roman" w:hAnsi="Times New Roman" w:cs="Times New Roman"/>
          <w:i/>
          <w:iCs/>
          <w:sz w:val="24"/>
          <w:szCs w:val="24"/>
        </w:rPr>
        <w:fldChar w:fldCharType="begin"/>
      </w:r>
      <w:r w:rsidR="00FD70EA" w:rsidRPr="00796736">
        <w:rPr>
          <w:rFonts w:ascii="Times New Roman" w:hAnsi="Times New Roman" w:cs="Times New Roman"/>
          <w:i/>
          <w:iCs/>
          <w:sz w:val="24"/>
          <w:szCs w:val="24"/>
        </w:rPr>
        <w:instrText xml:space="preserve"> REF _Ref232595515 \r \h  \* MERGEFORMAT </w:instrText>
      </w:r>
      <w:r w:rsidR="00FD70EA" w:rsidRPr="00796736">
        <w:rPr>
          <w:rFonts w:ascii="Times New Roman" w:hAnsi="Times New Roman" w:cs="Times New Roman"/>
          <w:i/>
          <w:iCs/>
          <w:sz w:val="24"/>
          <w:szCs w:val="24"/>
        </w:rPr>
      </w:r>
      <w:r w:rsidR="00FD70EA"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9</w:t>
      </w:r>
      <w:r w:rsidR="00FD70EA" w:rsidRPr="00796736">
        <w:rPr>
          <w:rFonts w:ascii="Times New Roman" w:hAnsi="Times New Roman" w:cs="Times New Roman"/>
          <w:i/>
          <w:iCs/>
          <w:sz w:val="24"/>
          <w:szCs w:val="24"/>
        </w:rPr>
        <w:fldChar w:fldCharType="end"/>
      </w:r>
      <w:r w:rsidR="00FD70EA" w:rsidRPr="00796736">
        <w:rPr>
          <w:rFonts w:ascii="Times New Roman" w:hAnsi="Times New Roman" w:cs="Times New Roman"/>
          <w:i/>
          <w:iCs/>
          <w:sz w:val="24"/>
          <w:szCs w:val="24"/>
        </w:rPr>
        <w:t xml:space="preserve">, </w:t>
      </w:r>
      <w:r w:rsidRPr="00796736">
        <w:rPr>
          <w:rFonts w:ascii="Times New Roman" w:hAnsi="Times New Roman" w:cs="Times New Roman"/>
          <w:i/>
          <w:iCs/>
          <w:sz w:val="24"/>
          <w:szCs w:val="24"/>
        </w:rPr>
        <w:t>2. pkt.</w:t>
      </w:r>
      <w:r w:rsidRPr="00796736">
        <w:rPr>
          <w:rFonts w:ascii="Times New Roman" w:hAnsi="Times New Roman" w:cs="Times New Roman"/>
          <w:sz w:val="24"/>
          <w:szCs w:val="24"/>
        </w:rPr>
        <w:t>, at Finanstilsynet endvidere kan fastsætte regler om, at personen skal have tilstedeværelse her i landet, og hvilke funktioner den pågældende person skal udføre på vegne af virksomheden.</w:t>
      </w:r>
    </w:p>
    <w:p w14:paraId="0CA4868B" w14:textId="77777777" w:rsidR="009028C0" w:rsidRPr="00796736" w:rsidRDefault="009028C0" w:rsidP="00A802A5">
      <w:pPr>
        <w:spacing w:line="360" w:lineRule="auto"/>
        <w:rPr>
          <w:rFonts w:ascii="Times New Roman" w:hAnsi="Times New Roman" w:cs="Times New Roman"/>
          <w:i/>
          <w:iCs/>
          <w:sz w:val="24"/>
          <w:szCs w:val="24"/>
        </w:rPr>
      </w:pPr>
    </w:p>
    <w:p w14:paraId="5C9813A6" w14:textId="11ACF005" w:rsidR="004232C0" w:rsidRPr="00796736" w:rsidRDefault="001727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92113C" w:rsidRPr="00796736">
        <w:rPr>
          <w:rFonts w:ascii="Times New Roman" w:hAnsi="Times New Roman" w:cs="Times New Roman"/>
          <w:sz w:val="24"/>
          <w:szCs w:val="24"/>
        </w:rPr>
        <w:fldChar w:fldCharType="begin"/>
      </w:r>
      <w:r w:rsidR="0092113C" w:rsidRPr="00796736">
        <w:rPr>
          <w:rFonts w:ascii="Times New Roman" w:hAnsi="Times New Roman" w:cs="Times New Roman"/>
          <w:sz w:val="24"/>
          <w:szCs w:val="24"/>
        </w:rPr>
        <w:instrText xml:space="preserve"> REF _Ref232942753 \n \h </w:instrText>
      </w:r>
      <w:r w:rsidR="00AB17CC" w:rsidRPr="00796736">
        <w:rPr>
          <w:rFonts w:ascii="Times New Roman" w:hAnsi="Times New Roman" w:cs="Times New Roman"/>
          <w:sz w:val="24"/>
          <w:szCs w:val="24"/>
        </w:rPr>
        <w:instrText xml:space="preserve"> \* MERGEFORMAT </w:instrText>
      </w:r>
      <w:r w:rsidR="0092113C" w:rsidRPr="00796736">
        <w:rPr>
          <w:rFonts w:ascii="Times New Roman" w:hAnsi="Times New Roman" w:cs="Times New Roman"/>
          <w:sz w:val="24"/>
          <w:szCs w:val="24"/>
        </w:rPr>
      </w:r>
      <w:r w:rsidR="009211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3.9</w:t>
      </w:r>
      <w:r w:rsidR="0092113C" w:rsidRPr="00796736">
        <w:rPr>
          <w:rFonts w:ascii="Times New Roman" w:hAnsi="Times New Roman" w:cs="Times New Roman"/>
          <w:sz w:val="24"/>
          <w:szCs w:val="24"/>
        </w:rPr>
        <w:fldChar w:fldCharType="end"/>
      </w:r>
      <w:r w:rsidR="008B2E48"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2AA3ECF1" w14:textId="77777777" w:rsidR="00796736" w:rsidRPr="00796736" w:rsidRDefault="00796736" w:rsidP="00A802A5">
      <w:pPr>
        <w:spacing w:after="240" w:line="360" w:lineRule="auto"/>
        <w:rPr>
          <w:rFonts w:ascii="Times New Roman" w:hAnsi="Times New Roman" w:cs="Times New Roman"/>
          <w:sz w:val="24"/>
          <w:szCs w:val="24"/>
        </w:rPr>
      </w:pPr>
    </w:p>
    <w:p w14:paraId="3F31C592" w14:textId="0DBA3244" w:rsidR="00A800FC" w:rsidRPr="00796736" w:rsidRDefault="00A800FC" w:rsidP="00A802A5">
      <w:pPr>
        <w:pStyle w:val="Undertitel"/>
      </w:pPr>
      <w:bookmarkStart w:id="1879" w:name="_Toc232109345"/>
      <w:bookmarkStart w:id="1880" w:name="_Toc244879306"/>
      <w:bookmarkStart w:id="1881" w:name="_Toc244880831"/>
      <w:r w:rsidRPr="00796736">
        <w:t xml:space="preserve">Til </w:t>
      </w:r>
      <w:r w:rsidR="00161898" w:rsidRPr="00796736">
        <w:fldChar w:fldCharType="begin"/>
      </w:r>
      <w:r w:rsidR="00161898" w:rsidRPr="00796736">
        <w:instrText xml:space="preserve"> REF _Ref232595541 \r \h </w:instrText>
      </w:r>
      <w:r w:rsidR="00967618" w:rsidRPr="00796736">
        <w:instrText xml:space="preserve"> \* MERGEFORMAT </w:instrText>
      </w:r>
      <w:r w:rsidR="00161898" w:rsidRPr="00796736">
        <w:fldChar w:fldCharType="separate"/>
      </w:r>
      <w:r w:rsidR="008F29E5">
        <w:t>§ 10</w:t>
      </w:r>
      <w:bookmarkEnd w:id="1880"/>
      <w:bookmarkEnd w:id="1881"/>
      <w:r w:rsidR="00161898" w:rsidRPr="00796736">
        <w:fldChar w:fldCharType="end"/>
      </w:r>
      <w:r w:rsidR="00161898" w:rsidRPr="00796736">
        <w:t xml:space="preserve"> </w:t>
      </w:r>
      <w:bookmarkEnd w:id="1879"/>
    </w:p>
    <w:p w14:paraId="73755877" w14:textId="69FDC8B5"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Efter § 7 i hvidvaskloven skal virksomheder og personer omfattet af loven udarbejde en risikovurdering for hvidvask og terrorfinansiering. Risikovurderingen skal udarbejdes med udgangspunkt i virksomhedens eller personens forretningsmodel og skal identificere og vurdere risikoen for, at virksomheden kan blive misbrugt til hvidvask eller finansiering af terrorisme. Risikovurderingen skal hertil omfatte en vurdering af risikofaktorer, der er forbundet med kunder, produkter, tjenesteydelser og transaktioner samt leveringskanaler og lande eller geografiske områder, hvor forretningsaktiviteterne udøves. Virksomhedernes og personernes risikovurdering skal dokumenteres og løbende opdateres.  </w:t>
      </w:r>
    </w:p>
    <w:p w14:paraId="4889417E" w14:textId="77777777" w:rsidR="00710F02" w:rsidRPr="00796736" w:rsidRDefault="00710F02" w:rsidP="00A802A5">
      <w:pPr>
        <w:spacing w:line="360" w:lineRule="auto"/>
        <w:rPr>
          <w:rFonts w:ascii="Times New Roman" w:eastAsia="Calibri" w:hAnsi="Times New Roman" w:cs="Times New Roman"/>
          <w:sz w:val="24"/>
          <w:szCs w:val="24"/>
        </w:rPr>
      </w:pPr>
    </w:p>
    <w:p w14:paraId="77CFB2AE" w14:textId="175AA4A1" w:rsidR="00A800FC" w:rsidRPr="00796736" w:rsidRDefault="00710F0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desuden af hvidvasklovs § 7, stk. 3, at </w:t>
      </w:r>
      <w:r w:rsidR="000F7C95" w:rsidRPr="00796736">
        <w:rPr>
          <w:rFonts w:ascii="Times New Roman" w:eastAsia="Calibri" w:hAnsi="Times New Roman" w:cs="Times New Roman"/>
          <w:sz w:val="24"/>
          <w:szCs w:val="24"/>
        </w:rPr>
        <w:t>e</w:t>
      </w:r>
      <w:r w:rsidRPr="00796736">
        <w:rPr>
          <w:rFonts w:ascii="Times New Roman" w:eastAsia="Calibri" w:hAnsi="Times New Roman" w:cs="Times New Roman"/>
          <w:sz w:val="24"/>
          <w:szCs w:val="24"/>
        </w:rPr>
        <w:t xml:space="preserve">rhvervsministeren og </w:t>
      </w:r>
      <w:r w:rsidR="000F7C95" w:rsidRPr="00796736">
        <w:rPr>
          <w:rFonts w:ascii="Times New Roman" w:eastAsia="Calibri" w:hAnsi="Times New Roman" w:cs="Times New Roman"/>
          <w:sz w:val="24"/>
          <w:szCs w:val="24"/>
        </w:rPr>
        <w:t>skatteministeren</w:t>
      </w:r>
      <w:r w:rsidRPr="00796736">
        <w:rPr>
          <w:rFonts w:ascii="Times New Roman" w:eastAsia="Calibri" w:hAnsi="Times New Roman" w:cs="Times New Roman"/>
          <w:sz w:val="24"/>
          <w:szCs w:val="24"/>
        </w:rPr>
        <w:t xml:space="preserve"> indenfor deres respektive ressortområder</w:t>
      </w:r>
      <w:r w:rsidR="00911473" w:rsidRPr="00796736">
        <w:rPr>
          <w:rFonts w:ascii="Times New Roman" w:eastAsia="Calibri" w:hAnsi="Times New Roman" w:cs="Times New Roman"/>
          <w:sz w:val="24"/>
          <w:szCs w:val="24"/>
        </w:rPr>
        <w:t xml:space="preserve"> kan</w:t>
      </w:r>
      <w:r w:rsidRPr="00796736">
        <w:rPr>
          <w:rFonts w:ascii="Times New Roman" w:eastAsia="Calibri" w:hAnsi="Times New Roman" w:cs="Times New Roman"/>
          <w:sz w:val="24"/>
          <w:szCs w:val="24"/>
        </w:rPr>
        <w:t xml:space="preserve"> fastsætte regler om undtagelser fra kravene i § 7, stk. 1, angående krav om risikovurdering.  </w:t>
      </w:r>
    </w:p>
    <w:p w14:paraId="3896D1AB" w14:textId="0CF66504" w:rsidR="00710F02"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Hvidvaskforordningens artikel 10, stk. 1, fastslår, at forpligtede enheder skal identificere og vurdere de risici for hvidvask af penge og finansiering af terrorisme, som de er eksponeret for, samt risici for manglende gennemførelse og omgåelse af målrettede finansielle sanktioner.</w:t>
      </w:r>
    </w:p>
    <w:p w14:paraId="59B240DD" w14:textId="77777777" w:rsidR="00710F02" w:rsidRPr="00796736" w:rsidRDefault="00710F02" w:rsidP="00A802A5">
      <w:pPr>
        <w:spacing w:line="360" w:lineRule="auto"/>
        <w:rPr>
          <w:rFonts w:ascii="Times New Roman" w:eastAsia="Calibri" w:hAnsi="Times New Roman" w:cs="Times New Roman"/>
          <w:sz w:val="24"/>
          <w:szCs w:val="24"/>
        </w:rPr>
      </w:pPr>
    </w:p>
    <w:p w14:paraId="67E7232D" w14:textId="77777777" w:rsidR="00710F02" w:rsidRPr="00796736" w:rsidRDefault="00710F0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hvidvaskforordningens artikel 10, stk. 3, at med undtagelse af kreditinstitutter, finansieringsinstitutter, crowdfundingtjenesteudbydere og crowdfundingformidlere kan tilsynsorganerne beslutte, at der ikke stilles krav om individuelle dokumenterede risikovurderinger på virksomhedsplan, hvis de specifikke risici i forbindelse med sektoren er klare og forståelige. Det fremgår ydermere af det 6. hvidvaskdirektivs artikel 37, stk. 5, litra b, at medlemsstaterne skal sikre, at de nationale tilsynsorganer afgør i hvilke tilfælde de specifikke risici i forbindelse med en sektor er klare og forståelige, og individuelle dokumenterede risikovurderinger i henhold til artikel 10 i hvidvaskforordningen ikke er påkrævet.</w:t>
      </w:r>
    </w:p>
    <w:p w14:paraId="293D7241" w14:textId="0173E7BF" w:rsidR="00710F02" w:rsidRPr="00796736" w:rsidRDefault="00710F0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Hvidvaskforordningen indeholder derved et nationalt råderum for de nationale tilsynsorganer til at beslutte, at der ikke skal stilles krav om individuel risikovurdering, i det tilfælde at sektoren specifikke risici er klare og forståelige. Det foreslås på denne baggrund at indføre en bestemmelse, der gør det muligt for skatte- og vækstministeren og erhvervs- og konkurrencekraftministeren at fastsætte sådanne undtagelser.</w:t>
      </w:r>
    </w:p>
    <w:p w14:paraId="7301DD9D" w14:textId="20A54898" w:rsidR="00710F02" w:rsidRPr="00796736" w:rsidRDefault="00710F0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FD70EA" w:rsidRPr="00796736">
        <w:rPr>
          <w:rFonts w:ascii="Times New Roman" w:eastAsia="Calibri" w:hAnsi="Times New Roman" w:cs="Times New Roman"/>
          <w:i/>
          <w:iCs/>
          <w:sz w:val="24"/>
          <w:szCs w:val="24"/>
        </w:rPr>
        <w:fldChar w:fldCharType="begin"/>
      </w:r>
      <w:r w:rsidR="00FD70EA" w:rsidRPr="00796736">
        <w:rPr>
          <w:rFonts w:ascii="Times New Roman" w:eastAsia="Calibri" w:hAnsi="Times New Roman" w:cs="Times New Roman"/>
          <w:i/>
          <w:iCs/>
          <w:sz w:val="24"/>
          <w:szCs w:val="24"/>
        </w:rPr>
        <w:instrText xml:space="preserve"> REF _Ref232595541 \r \h  \* MERGEFORMAT </w:instrText>
      </w:r>
      <w:r w:rsidR="00FD70EA" w:rsidRPr="00796736">
        <w:rPr>
          <w:rFonts w:ascii="Times New Roman" w:eastAsia="Calibri" w:hAnsi="Times New Roman" w:cs="Times New Roman"/>
          <w:i/>
          <w:iCs/>
          <w:sz w:val="24"/>
          <w:szCs w:val="24"/>
        </w:rPr>
      </w:r>
      <w:r w:rsidR="00FD70EA"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10</w:t>
      </w:r>
      <w:r w:rsidR="00FD70EA" w:rsidRPr="00796736">
        <w:rPr>
          <w:rFonts w:ascii="Times New Roman" w:eastAsia="Calibri" w:hAnsi="Times New Roman" w:cs="Times New Roman"/>
          <w:i/>
          <w:iCs/>
          <w:sz w:val="24"/>
          <w:szCs w:val="24"/>
        </w:rPr>
        <w:fldChar w:fldCharType="end"/>
      </w:r>
      <w:r w:rsidR="00FD70EA"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at skatte- og vækstministeren og erhvervs- og konkurrencekraftministeren i medfør a</w:t>
      </w:r>
      <w:r w:rsidR="00911473" w:rsidRPr="00796736">
        <w:rPr>
          <w:rFonts w:ascii="Times New Roman" w:eastAsia="Calibri" w:hAnsi="Times New Roman" w:cs="Times New Roman"/>
          <w:sz w:val="24"/>
          <w:szCs w:val="24"/>
        </w:rPr>
        <w:t>f</w:t>
      </w:r>
      <w:r w:rsidRPr="00796736">
        <w:rPr>
          <w:rFonts w:ascii="Times New Roman" w:eastAsia="Calibri" w:hAnsi="Times New Roman" w:cs="Times New Roman"/>
          <w:sz w:val="24"/>
          <w:szCs w:val="24"/>
        </w:rPr>
        <w:t xml:space="preserve"> hvidvaskforordningens artikel 10, stk. 3, inden for deres respektive ressortområder, </w:t>
      </w:r>
      <w:r w:rsidR="00911473" w:rsidRPr="00796736">
        <w:rPr>
          <w:rFonts w:ascii="Times New Roman" w:eastAsia="Calibri" w:hAnsi="Times New Roman" w:cs="Times New Roman"/>
          <w:sz w:val="24"/>
          <w:szCs w:val="24"/>
        </w:rPr>
        <w:t xml:space="preserve">kan </w:t>
      </w:r>
      <w:r w:rsidRPr="00796736">
        <w:rPr>
          <w:rFonts w:ascii="Times New Roman" w:eastAsia="Calibri" w:hAnsi="Times New Roman" w:cs="Times New Roman"/>
          <w:sz w:val="24"/>
          <w:szCs w:val="24"/>
        </w:rPr>
        <w:t xml:space="preserve">fastsætte regler om undtagelser fra kravene i hvidvaskforordningens artikel 10, </w:t>
      </w:r>
      <w:r w:rsidR="000F7C95" w:rsidRPr="00796736">
        <w:rPr>
          <w:rFonts w:ascii="Times New Roman" w:eastAsia="Calibri" w:hAnsi="Times New Roman" w:cs="Times New Roman"/>
          <w:sz w:val="24"/>
          <w:szCs w:val="24"/>
        </w:rPr>
        <w:t>hvis</w:t>
      </w:r>
      <w:r w:rsidRPr="00796736">
        <w:rPr>
          <w:rFonts w:ascii="Times New Roman" w:eastAsia="Calibri" w:hAnsi="Times New Roman" w:cs="Times New Roman"/>
          <w:sz w:val="24"/>
          <w:szCs w:val="24"/>
        </w:rPr>
        <w:t xml:space="preserve"> de individuelle risikovurderinger på virksomhedsplan ikke er påkrævet, idet de specifikke risici i forbindelse med en sektor er klare og forståelige. </w:t>
      </w:r>
    </w:p>
    <w:p w14:paraId="2A1616E4" w14:textId="50A5FD94" w:rsidR="00710F02" w:rsidRPr="00796736" w:rsidRDefault="00710F02"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er ny. </w:t>
      </w:r>
    </w:p>
    <w:p w14:paraId="4B5D57F9" w14:textId="77777777" w:rsidR="00710F02" w:rsidRPr="00796736" w:rsidRDefault="00710F02" w:rsidP="00A802A5">
      <w:pPr>
        <w:spacing w:line="360" w:lineRule="auto"/>
        <w:rPr>
          <w:rFonts w:ascii="Times New Roman" w:eastAsia="Calibri" w:hAnsi="Times New Roman" w:cs="Times New Roman"/>
          <w:sz w:val="24"/>
          <w:szCs w:val="24"/>
        </w:rPr>
      </w:pPr>
    </w:p>
    <w:p w14:paraId="716A8D6A" w14:textId="77777777" w:rsidR="00911473" w:rsidRPr="00796736" w:rsidRDefault="0091147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indebære, at skatte- og vækstministeren og erhvervs- og konkurrencekraftsministeren kan fastsætte regler om undtagelser til kravene i artikel 10 for virksomheder og personer, hvor de specifikke risici for hvidvask eller terrorfinansiering er klare og forståelige. </w:t>
      </w:r>
    </w:p>
    <w:p w14:paraId="164FE66F" w14:textId="77777777" w:rsidR="00710F02" w:rsidRPr="00796736" w:rsidRDefault="00710F0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vil derfor kun være muligt at fastsætte regler om undtagelser, hvor sektorer er bekendt med de specifikke risici for hvidvask ellert terrorfinansiering og disse er klare og forståelige.  </w:t>
      </w:r>
    </w:p>
    <w:p w14:paraId="3C93DE7C" w14:textId="77777777" w:rsidR="004A72D6" w:rsidRPr="00796736" w:rsidRDefault="004A72D6"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 udmøntning af bestemmelsen vil skulle ske i samarbejde mellem virksomheder og personer, der ønsker en undtagelse, og relevante myndigheder, herunder Hvidvasksekretariatet som ansvarlig myndighed for den nationale risikovurdering.</w:t>
      </w:r>
    </w:p>
    <w:p w14:paraId="6B1ABCE9" w14:textId="77777777" w:rsidR="00710F02" w:rsidRPr="00796736" w:rsidRDefault="00710F02" w:rsidP="00A802A5">
      <w:pPr>
        <w:spacing w:line="360" w:lineRule="auto"/>
        <w:rPr>
          <w:rFonts w:ascii="Times New Roman" w:eastAsia="Calibri" w:hAnsi="Times New Roman" w:cs="Times New Roman"/>
          <w:sz w:val="24"/>
          <w:szCs w:val="24"/>
        </w:rPr>
      </w:pPr>
    </w:p>
    <w:p w14:paraId="01BF8D14" w14:textId="77777777" w:rsidR="004A72D6" w:rsidRPr="00796736" w:rsidRDefault="004A72D6"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Af de af forordningens forpligtede enheder som hører under Finanstilsynets tilsyn vurderes undtagelsen at omfatte visse kreditformidlere af realkreditlån og forbrugskredit samt ikkefinansielle holdingselskaber med blandede aktiviteter, hvis koncernforbundne datterselskab udbyder finansiel aktivitet, som er omfattet af Finanstilsynets tilsyn. Efter den foreslåede bemyndigelse kan Finanstilsynet fastsætte nærmere regler om, at visse kreditformidlere af realkreditlån og forbrugskredit samt ikkefinansielle holdingselskaber med blandede aktiviteter, hvis koncernforbundne datterselskab udbyder finansiel aktivitet, som er omfattet af Finanstilsynets tilsyn, kan undtages fra at skulle udarbejde en individuel risikovurdering på virksomhedsplan, hvis sektorens specifikke risici er klare og forståelige.  </w:t>
      </w:r>
    </w:p>
    <w:p w14:paraId="4B7EB9B2" w14:textId="77777777" w:rsidR="00A800FC" w:rsidRPr="00796736" w:rsidRDefault="00A800FC" w:rsidP="00A802A5">
      <w:pPr>
        <w:spacing w:line="360" w:lineRule="auto"/>
        <w:rPr>
          <w:rFonts w:ascii="Times New Roman" w:eastAsia="Calibri" w:hAnsi="Times New Roman" w:cs="Times New Roman"/>
          <w:sz w:val="24"/>
          <w:szCs w:val="24"/>
        </w:rPr>
      </w:pPr>
    </w:p>
    <w:p w14:paraId="57A6D0EE"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 specifikke risici kan eksempelvis omfatte risici, der er identificeret i nationale risikovurderinger eller i relevante sektorspecifikke risikovurderinger, hvor de relevante risici er klare og forståelige i den sektor, som virksomheden eller personen operer i, og hvor det vurderes, at virksomhedernes eller personernes særlige karakteristika, behov, art og eventuel størrelse gør, at de kan undtages fra at skulle udarbejde en individuel og dokumenteret risikovurdering på virksomhedsplan.    </w:t>
      </w:r>
    </w:p>
    <w:p w14:paraId="35AA308D" w14:textId="77777777" w:rsidR="00A800FC" w:rsidRPr="00796736" w:rsidRDefault="00A800FC" w:rsidP="00A802A5">
      <w:pPr>
        <w:spacing w:line="360" w:lineRule="auto"/>
        <w:rPr>
          <w:rFonts w:ascii="Times New Roman" w:eastAsia="Calibri" w:hAnsi="Times New Roman" w:cs="Times New Roman"/>
          <w:sz w:val="24"/>
          <w:szCs w:val="24"/>
        </w:rPr>
      </w:pPr>
    </w:p>
    <w:p w14:paraId="1580471D" w14:textId="1E67320F"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henvises i øvrigt til pkt. </w:t>
      </w:r>
      <w:r w:rsidR="00467CE8" w:rsidRPr="00796736">
        <w:rPr>
          <w:rFonts w:ascii="Times New Roman" w:eastAsia="Calibri" w:hAnsi="Times New Roman" w:cs="Times New Roman"/>
          <w:sz w:val="24"/>
          <w:szCs w:val="24"/>
        </w:rPr>
        <w:fldChar w:fldCharType="begin"/>
      </w:r>
      <w:r w:rsidR="00467CE8" w:rsidRPr="00796736">
        <w:rPr>
          <w:rFonts w:ascii="Times New Roman" w:eastAsia="Calibri" w:hAnsi="Times New Roman" w:cs="Times New Roman"/>
          <w:sz w:val="24"/>
          <w:szCs w:val="24"/>
        </w:rPr>
        <w:instrText xml:space="preserve"> REF _Ref232942753 \n \h </w:instrText>
      </w:r>
      <w:r w:rsidR="00967618" w:rsidRPr="00796736">
        <w:rPr>
          <w:rFonts w:ascii="Times New Roman" w:eastAsia="Calibri" w:hAnsi="Times New Roman" w:cs="Times New Roman"/>
          <w:sz w:val="24"/>
          <w:szCs w:val="24"/>
        </w:rPr>
        <w:instrText xml:space="preserve"> \* MERGEFORMAT </w:instrText>
      </w:r>
      <w:r w:rsidR="00467CE8" w:rsidRPr="00796736">
        <w:rPr>
          <w:rFonts w:ascii="Times New Roman" w:eastAsia="Calibri" w:hAnsi="Times New Roman" w:cs="Times New Roman"/>
          <w:sz w:val="24"/>
          <w:szCs w:val="24"/>
        </w:rPr>
      </w:r>
      <w:r w:rsidR="00467CE8"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3.9</w:t>
      </w:r>
      <w:r w:rsidR="00467CE8" w:rsidRPr="00796736">
        <w:rPr>
          <w:rFonts w:ascii="Times New Roman" w:eastAsia="Calibri" w:hAnsi="Times New Roman" w:cs="Times New Roman"/>
          <w:sz w:val="24"/>
          <w:szCs w:val="24"/>
        </w:rPr>
        <w:fldChar w:fldCharType="end"/>
      </w:r>
      <w:r w:rsidR="00467CE8"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i lovforslagets almindelige bemærkninger.</w:t>
      </w:r>
    </w:p>
    <w:p w14:paraId="4D248A09" w14:textId="77777777" w:rsidR="00A800FC" w:rsidRPr="00796736" w:rsidRDefault="00A800FC" w:rsidP="00A802A5">
      <w:pPr>
        <w:spacing w:line="360" w:lineRule="auto"/>
        <w:jc w:val="center"/>
        <w:rPr>
          <w:rFonts w:ascii="Times New Roman" w:hAnsi="Times New Roman" w:cs="Times New Roman"/>
          <w:i/>
          <w:iCs/>
          <w:sz w:val="24"/>
          <w:szCs w:val="24"/>
        </w:rPr>
      </w:pPr>
    </w:p>
    <w:p w14:paraId="0CAB815B" w14:textId="0599F4D7" w:rsidR="00A800FC" w:rsidRPr="00796736" w:rsidRDefault="00A800FC" w:rsidP="00A802A5">
      <w:pPr>
        <w:pStyle w:val="Undertitel"/>
      </w:pPr>
      <w:bookmarkStart w:id="1882" w:name="_Toc232109346"/>
      <w:bookmarkStart w:id="1883" w:name="_Toc244879307"/>
      <w:bookmarkStart w:id="1884" w:name="_Toc244880832"/>
      <w:r w:rsidRPr="00796736">
        <w:t xml:space="preserve">Til </w:t>
      </w:r>
      <w:r w:rsidR="00161898" w:rsidRPr="00796736">
        <w:fldChar w:fldCharType="begin"/>
      </w:r>
      <w:r w:rsidR="00161898" w:rsidRPr="00796736">
        <w:instrText xml:space="preserve"> REF _Ref232595563 \r \h </w:instrText>
      </w:r>
      <w:r w:rsidR="00967618" w:rsidRPr="00796736">
        <w:instrText xml:space="preserve"> \* MERGEFORMAT </w:instrText>
      </w:r>
      <w:r w:rsidR="00161898" w:rsidRPr="00796736">
        <w:fldChar w:fldCharType="separate"/>
      </w:r>
      <w:r w:rsidR="008F29E5">
        <w:t>§ 11</w:t>
      </w:r>
      <w:bookmarkEnd w:id="1883"/>
      <w:bookmarkEnd w:id="1884"/>
      <w:r w:rsidR="00161898" w:rsidRPr="00796736">
        <w:fldChar w:fldCharType="end"/>
      </w:r>
      <w:r w:rsidR="00161898" w:rsidRPr="00796736">
        <w:t xml:space="preserve"> </w:t>
      </w:r>
      <w:bookmarkEnd w:id="1882"/>
    </w:p>
    <w:p w14:paraId="2A8E36E8"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gældende ret skal virksomheder og personer gennemføre skærpede kundekendskabsprocedurer, når personen eller virksomheden identificerer en øget risiko i relation til en kunde eller en forretningsforbindelse. Dette følger af den gældende § 17, stk. 1, i hvidvaskloven.</w:t>
      </w:r>
    </w:p>
    <w:p w14:paraId="2CDD3AA0"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 </w:t>
      </w:r>
    </w:p>
    <w:p w14:paraId="3E1EC585"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Endvidere skal virksomheder og personer altid gennemføre skærpede kundekendskabsprocedurer, når en kunde har hjemsted i et land, der er opført på Europa-Kommissionens liste over højrisikolande og yderligere risikobegrænsede foranstaltninger, når fysiske personer eller juridiske enheder gennemfører transaktioner, der involverer lande, som er opført på Europa-Kommissionens liste over højrisikotredjelande. Dette følger af den gældende § 17, stk. 2 og 3, i hvidvaskloven.</w:t>
      </w:r>
    </w:p>
    <w:p w14:paraId="3D8C5E67"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 </w:t>
      </w:r>
    </w:p>
    <w:p w14:paraId="4D0E5C26" w14:textId="6C35A8A5"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Yderligere kan </w:t>
      </w:r>
      <w:r w:rsidR="005E34F1" w:rsidRPr="00796736">
        <w:rPr>
          <w:rFonts w:ascii="Times New Roman" w:eastAsia="Calibri" w:hAnsi="Times New Roman" w:cs="Times New Roman"/>
          <w:sz w:val="24"/>
          <w:szCs w:val="24"/>
        </w:rPr>
        <w:t xml:space="preserve">den myndighed, der fører tilsyn med en virksomheds eller persons overholdelse af </w:t>
      </w:r>
      <w:r w:rsidRPr="00796736">
        <w:rPr>
          <w:rFonts w:ascii="Times New Roman" w:eastAsia="Calibri" w:hAnsi="Times New Roman" w:cs="Times New Roman"/>
          <w:sz w:val="24"/>
          <w:szCs w:val="24"/>
        </w:rPr>
        <w:t>hvidvasklovens § 31 a, stk. 2, og § 31 b, stk. 3, fastsætte regler om, hvilke betingelser der skal være opfyldt, før virksomheder og personer, der har hjemsted i et højrisikotredjeland kan etablere et datterselskab, en filial eller et repræsentationskontor i Danmark, samt fastsætte regler, der pålægger virksomheden eller personen at tage hensyn til, hvis den pågældende filial eller det pågældende repræsentationskontor placeres i et land, hvor der ikke findes tilstrækkelige ordninger til forebyggelse af hvidvask og finansiering af terrorisme.</w:t>
      </w:r>
    </w:p>
    <w:p w14:paraId="3AF209A1" w14:textId="77777777" w:rsidR="00A800FC" w:rsidRPr="00796736" w:rsidRDefault="00A800FC" w:rsidP="00A802A5">
      <w:pPr>
        <w:spacing w:line="360" w:lineRule="auto"/>
        <w:rPr>
          <w:rFonts w:ascii="Times New Roman" w:eastAsia="Calibri" w:hAnsi="Times New Roman" w:cs="Times New Roman"/>
          <w:sz w:val="24"/>
          <w:szCs w:val="24"/>
        </w:rPr>
      </w:pPr>
    </w:p>
    <w:p w14:paraId="72682793"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Hvidvaskforordningens artikel 20, stk. 2, 2. led, fastslår, at forpligtede enheder skal gennemføre skærpede kundekendskabsprocedurer fastsat i forordningens kapitel 3, afdeling 4, når den forpligtede enhed identificerer en forøget risiko for hvidvask eller terrorfinansiering.</w:t>
      </w:r>
    </w:p>
    <w:p w14:paraId="20C31430" w14:textId="77777777" w:rsidR="00A800FC" w:rsidRPr="00796736" w:rsidRDefault="00A800FC" w:rsidP="00A802A5">
      <w:pPr>
        <w:spacing w:line="360" w:lineRule="auto"/>
        <w:rPr>
          <w:rFonts w:ascii="Times New Roman" w:eastAsia="Calibri" w:hAnsi="Times New Roman" w:cs="Times New Roman"/>
          <w:sz w:val="24"/>
          <w:szCs w:val="24"/>
        </w:rPr>
      </w:pPr>
    </w:p>
    <w:p w14:paraId="76EA2A8F"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Endvidere fastslår forordningen, at forpligtede enheder altid skal gennemføre skærpede kundekendskabsprocedurer, når der er tale om situation som omhandler højrisikotredjelande, identificeret af Kommissionen i henhold til forordningens artikel 29, 30 og 31 samt situationer, som omhandler grænseoverskridende korrespondentforbindelser og tredjelandsrespondentinstitutter, transaktioner med selvhostede adresser, ansøgere om opholdsret gennem investeringer og politisk eksponerede personer samt deres familiemedlemmer og nære samarbejdspartnere til politisk eksponerede personer. </w:t>
      </w:r>
    </w:p>
    <w:p w14:paraId="106FA7D6" w14:textId="77777777" w:rsidR="00A800FC" w:rsidRPr="00796736" w:rsidRDefault="00A800FC" w:rsidP="00A802A5">
      <w:pPr>
        <w:spacing w:line="360" w:lineRule="auto"/>
        <w:rPr>
          <w:rFonts w:ascii="Times New Roman" w:eastAsia="Calibri" w:hAnsi="Times New Roman" w:cs="Times New Roman"/>
          <w:sz w:val="24"/>
          <w:szCs w:val="24"/>
        </w:rPr>
      </w:pPr>
    </w:p>
    <w:p w14:paraId="26868832"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I hvidvaskforordningens artikel 29, stk. 6, fastsættes det, at hvis en medlemsstat identificerer en specifik risiko for hvidvask eller terrorfinansiering, der hidrører fra et tredjeland, som Kommissionen har identificeret som et højrisikoland, og som ikke er omfattet af specifikke modforanstaltninger fastsat i artikel 35 eller i en supplerende delegeret retsakt, jf. forordningens artikel 29, stk. 2, kan medlemsstaten kræve, at virksomheder og personer skal anvende specifikke supplerende modforanstaltninger for at afbøde de identificerede specifikke risici. </w:t>
      </w:r>
    </w:p>
    <w:p w14:paraId="1223BCA2" w14:textId="77777777" w:rsidR="00A800FC" w:rsidRPr="00796736" w:rsidRDefault="00A800FC" w:rsidP="00A802A5">
      <w:pPr>
        <w:spacing w:line="360" w:lineRule="auto"/>
        <w:rPr>
          <w:rFonts w:ascii="Times New Roman" w:eastAsia="Calibri" w:hAnsi="Times New Roman" w:cs="Times New Roman"/>
          <w:sz w:val="24"/>
          <w:szCs w:val="24"/>
        </w:rPr>
      </w:pPr>
    </w:p>
    <w:p w14:paraId="00085DDC"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Forordningens artikel 29, stk. 2, giver Kommissionen mulighed til at vedtage delegerede retsakter for at supplere forordningen i de tilfælde, hvor der identificeres væsentlige strategiske mangler i et tredjeland, mens artikel 35 fastsætter de modforanstaltninger, der skal afbøde trusler i forbindelse med hvidvask og terrorfinansiering fra lande udenfor Unionen, som Kommissionen kan pålægge i de delegerede retsakter. </w:t>
      </w:r>
    </w:p>
    <w:p w14:paraId="5C056D94" w14:textId="77777777" w:rsidR="00A800FC" w:rsidRPr="00796736" w:rsidRDefault="00A800FC" w:rsidP="00A802A5">
      <w:pPr>
        <w:spacing w:line="360" w:lineRule="auto"/>
        <w:rPr>
          <w:rFonts w:ascii="Times New Roman" w:eastAsia="Calibri" w:hAnsi="Times New Roman" w:cs="Times New Roman"/>
          <w:sz w:val="24"/>
          <w:szCs w:val="24"/>
        </w:rPr>
      </w:pPr>
    </w:p>
    <w:p w14:paraId="5749AA7F"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Af forordningens artikel 35 fremgår, hvilke modforanstaltninger som Kommissionen kan vælge at pålægge for at afbøde trusler om hvidvask og finansiering af terrorisme fra lande uden for EU, herunder højrisikotredjelande. Bestemmelsen giver Kommissionen mulighed for at vælge mellem to hovedtyper af modforanstaltninger. Den ene er modforanstaltninger rettet mod forpligtede enheder, f.eks. krav om yderligere skærpede kundekendskabsforanstaltninger, skærpede indberetningsmekanismer eller begrænsning af forretningsforbindelser og transaktioner. Den anden er modforanstaltninger rettet mod medlemsstaterne, f.eks. afvisning af etablering af datterselskaber, filialer eller repræsentationskontorer fra højrisikotredjelande, forbud mod at forpligtede enheder etablerer sig i sådanne lande, krav om øget tilsyn eller ekstern revision, samt påbud om at undersøge og eventuelt bringe korrespondentforbindelser til ophør</w:t>
      </w:r>
    </w:p>
    <w:p w14:paraId="401EA88C" w14:textId="77777777" w:rsidR="00A800FC" w:rsidRPr="00796736" w:rsidRDefault="00A800FC" w:rsidP="00A802A5">
      <w:pPr>
        <w:spacing w:line="360" w:lineRule="auto"/>
        <w:rPr>
          <w:rFonts w:ascii="Times New Roman" w:eastAsia="Calibri" w:hAnsi="Times New Roman" w:cs="Times New Roman"/>
          <w:sz w:val="24"/>
          <w:szCs w:val="24"/>
        </w:rPr>
      </w:pPr>
    </w:p>
    <w:p w14:paraId="279572E6" w14:textId="77777777" w:rsidR="005E34F1"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Udover Kommissionens mulighed for at identificere højrisikotredjeland fastsættes det således i forordningens artikel 29, stk. 6, at medlemsstaterne, hvis de identificerer specifikke risici i et af de højrisikotredjelande som Kommissionen har identificeret, kan kræve at forpligtede enheder anvender specifikke supplerende modforanstaltninger for at afbøde disse specifikke risici.</w:t>
      </w:r>
    </w:p>
    <w:p w14:paraId="75230183" w14:textId="77777777" w:rsidR="005E34F1" w:rsidRPr="00796736" w:rsidRDefault="005E34F1" w:rsidP="00A802A5">
      <w:pPr>
        <w:spacing w:line="360" w:lineRule="auto"/>
        <w:rPr>
          <w:rFonts w:ascii="Times New Roman" w:eastAsia="Calibri" w:hAnsi="Times New Roman" w:cs="Times New Roman"/>
          <w:sz w:val="24"/>
          <w:szCs w:val="24"/>
        </w:rPr>
      </w:pPr>
    </w:p>
    <w:p w14:paraId="6F9E4D15" w14:textId="1E57D3A4" w:rsidR="005E34F1" w:rsidRPr="00796736" w:rsidRDefault="00A800FC" w:rsidP="00A802A5">
      <w:pPr>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På baggrund af forordningens artikel 29, stk. 6, foreslås det</w:t>
      </w:r>
      <w:r w:rsidR="00FD70EA" w:rsidRPr="00796736">
        <w:rPr>
          <w:rFonts w:ascii="Times New Roman" w:eastAsia="Calibri" w:hAnsi="Times New Roman" w:cs="Times New Roman"/>
          <w:sz w:val="24"/>
          <w:szCs w:val="24"/>
        </w:rPr>
        <w:t xml:space="preserve"> i </w:t>
      </w:r>
      <w:r w:rsidR="00FD70EA" w:rsidRPr="00796736">
        <w:rPr>
          <w:rFonts w:ascii="Times New Roman" w:eastAsia="Calibri" w:hAnsi="Times New Roman" w:cs="Times New Roman"/>
          <w:i/>
          <w:iCs/>
          <w:sz w:val="24"/>
          <w:szCs w:val="24"/>
        </w:rPr>
        <w:fldChar w:fldCharType="begin"/>
      </w:r>
      <w:r w:rsidR="00FD70EA" w:rsidRPr="00796736">
        <w:rPr>
          <w:rFonts w:ascii="Times New Roman" w:eastAsia="Calibri" w:hAnsi="Times New Roman" w:cs="Times New Roman"/>
          <w:i/>
          <w:iCs/>
          <w:sz w:val="24"/>
          <w:szCs w:val="24"/>
        </w:rPr>
        <w:instrText xml:space="preserve"> REF _Ref232595563 \r \h  \* MERGEFORMAT </w:instrText>
      </w:r>
      <w:r w:rsidR="00FD70EA" w:rsidRPr="00796736">
        <w:rPr>
          <w:rFonts w:ascii="Times New Roman" w:eastAsia="Calibri" w:hAnsi="Times New Roman" w:cs="Times New Roman"/>
          <w:i/>
          <w:iCs/>
          <w:sz w:val="24"/>
          <w:szCs w:val="24"/>
        </w:rPr>
      </w:r>
      <w:r w:rsidR="00FD70EA"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11</w:t>
      </w:r>
      <w:r w:rsidR="00FD70EA" w:rsidRPr="00796736">
        <w:rPr>
          <w:rFonts w:ascii="Times New Roman" w:eastAsia="Calibri" w:hAnsi="Times New Roman" w:cs="Times New Roman"/>
          <w:i/>
          <w:iCs/>
          <w:sz w:val="24"/>
          <w:szCs w:val="24"/>
        </w:rPr>
        <w:fldChar w:fldCharType="end"/>
      </w:r>
      <w:r w:rsidR="00FD70EA" w:rsidRPr="00796736">
        <w:rPr>
          <w:rFonts w:ascii="Times New Roman" w:eastAsia="Calibri" w:hAnsi="Times New Roman" w:cs="Times New Roman"/>
          <w:i/>
          <w:iCs/>
          <w:sz w:val="24"/>
          <w:szCs w:val="24"/>
        </w:rPr>
        <w:t>, stk. 1</w:t>
      </w:r>
      <w:r w:rsidRPr="00796736">
        <w:rPr>
          <w:rFonts w:ascii="Times New Roman" w:eastAsia="Calibri" w:hAnsi="Times New Roman" w:cs="Times New Roman"/>
          <w:sz w:val="24"/>
          <w:szCs w:val="24"/>
        </w:rPr>
        <w:t xml:space="preserve">, at </w:t>
      </w:r>
      <w:r w:rsidR="005E34F1" w:rsidRPr="00796736">
        <w:rPr>
          <w:rFonts w:ascii="Times New Roman" w:hAnsi="Times New Roman" w:cs="Times New Roman"/>
          <w:sz w:val="24"/>
          <w:szCs w:val="24"/>
        </w:rPr>
        <w:t xml:space="preserve">Finanstilsynet, Erhvervsstyrelsen og Spillemyndigheden kan, inden for deres respektive områder, fastsætte nærmere regler om specifikke supplerende modforanstaltninger, som virksomheder og personer skal anvende, hvis der er identificeret specifikke risici for hvidvask eller terrorfinansiering, som hidrører fra et højrisikotredjeland. </w:t>
      </w:r>
    </w:p>
    <w:p w14:paraId="4DEAD50D" w14:textId="77777777" w:rsidR="00A800FC" w:rsidRPr="00796736" w:rsidRDefault="00A800FC" w:rsidP="00A802A5">
      <w:pPr>
        <w:spacing w:line="360" w:lineRule="auto"/>
        <w:rPr>
          <w:rFonts w:ascii="Times New Roman" w:eastAsia="Calibri" w:hAnsi="Times New Roman" w:cs="Times New Roman"/>
          <w:sz w:val="24"/>
          <w:szCs w:val="24"/>
        </w:rPr>
      </w:pPr>
    </w:p>
    <w:p w14:paraId="44FC2086"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medfører, at bemyndigelsen kan anvendes til at fastsætte specifikke krav til f.eks. kundekendskabsproceduren, til virksomhedernes og personernes overvågning af kundeforhold og transaktioner, begrænsninger i kundeforhold eller forretningsforbindelser eller gennemførelse af specifikke kontroller, som relaterer sig til den specifikke identificerede risici. </w:t>
      </w:r>
    </w:p>
    <w:p w14:paraId="1778957D" w14:textId="77777777" w:rsidR="00A800FC" w:rsidRPr="00796736" w:rsidRDefault="00A800FC" w:rsidP="00A802A5">
      <w:pPr>
        <w:spacing w:line="360" w:lineRule="auto"/>
        <w:rPr>
          <w:rFonts w:ascii="Times New Roman" w:eastAsia="Calibri" w:hAnsi="Times New Roman" w:cs="Times New Roman"/>
          <w:sz w:val="24"/>
          <w:szCs w:val="24"/>
        </w:rPr>
      </w:pPr>
    </w:p>
    <w:p w14:paraId="080BA9F7" w14:textId="0AA2B106"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Med undtagelse af de tilfælde, der er omfattet af dette kapitels afdeling 2, kan medlemsstaterne, når de identificerer tilfælde med højere risici i henhold til artikel 8 i </w:t>
      </w:r>
      <w:r w:rsidR="000F7C95" w:rsidRPr="00796736">
        <w:rPr>
          <w:rFonts w:ascii="Times New Roman" w:eastAsia="Calibri" w:hAnsi="Times New Roman" w:cs="Times New Roman"/>
          <w:sz w:val="24"/>
          <w:szCs w:val="24"/>
        </w:rPr>
        <w:t>6. hvidvaskdirektiv</w:t>
      </w:r>
      <w:r w:rsidRPr="00796736">
        <w:rPr>
          <w:rFonts w:ascii="Times New Roman" w:eastAsia="Calibri" w:hAnsi="Times New Roman" w:cs="Times New Roman"/>
          <w:sz w:val="24"/>
          <w:szCs w:val="24"/>
        </w:rPr>
        <w:t xml:space="preserve">, herunder som resultat af sektorspecifikke risikovurderinger, som medlemsstater har foretaget, pålægge forpligtede enheder at anvende skærpede kundekendskabsprocedurer og i givet fald beskrive disse procedurer. Medlemsstaterne underretter Kommissionen og AMLA om deres beslutninger, der pålægger skærpede kundekendskabskrav for forpligtede enheder, der er etableret på deres område, inden for én måned efter vedtagelsen heraf, ledsaget af en begrundelse for de risici for hvidvask af penge og finansiering af terrorisme, som ligger til grund for en sådan beslutning. </w:t>
      </w:r>
    </w:p>
    <w:p w14:paraId="42841C22" w14:textId="77777777" w:rsidR="00A800FC" w:rsidRPr="00796736" w:rsidRDefault="00A800FC" w:rsidP="00A802A5">
      <w:pPr>
        <w:spacing w:line="360" w:lineRule="auto"/>
        <w:rPr>
          <w:rFonts w:ascii="Times New Roman" w:eastAsia="Calibri" w:hAnsi="Times New Roman" w:cs="Times New Roman"/>
          <w:sz w:val="24"/>
          <w:szCs w:val="24"/>
        </w:rPr>
      </w:pPr>
    </w:p>
    <w:p w14:paraId="61380F0E"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 specifikke identificerede risici kan eksempelvis omfatte risici, der er identificeret i nationale risikovurderinger eller i relevante sektorspecifikke risikovurderinger. De supplerende specifikke modforanstaltninger skal relatere sig til de identificerede specifikke risici, således at modforanstaltningerne afbøder de identificerede risici.</w:t>
      </w:r>
    </w:p>
    <w:p w14:paraId="3EA66999"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 </w:t>
      </w:r>
    </w:p>
    <w:p w14:paraId="112DE070" w14:textId="6D9CBFC2"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w:t>
      </w:r>
      <w:r w:rsidRPr="00796736">
        <w:rPr>
          <w:rFonts w:ascii="Times New Roman" w:eastAsia="Calibri" w:hAnsi="Times New Roman" w:cs="Times New Roman"/>
          <w:sz w:val="24"/>
          <w:szCs w:val="24"/>
        </w:rPr>
        <w:t xml:space="preserve">, at </w:t>
      </w:r>
      <w:r w:rsidR="00915A6B" w:rsidRPr="00796736">
        <w:rPr>
          <w:rFonts w:ascii="Times New Roman" w:hAnsi="Times New Roman" w:cs="Times New Roman"/>
          <w:sz w:val="24"/>
          <w:szCs w:val="24"/>
        </w:rPr>
        <w:t xml:space="preserve">Finanstilsynet, Erhvervsstyrelsen og Spillemyndigheden kan, inden for deres respektive områder, </w:t>
      </w:r>
      <w:r w:rsidRPr="00796736">
        <w:rPr>
          <w:rFonts w:ascii="Times New Roman" w:eastAsia="Calibri" w:hAnsi="Times New Roman" w:cs="Times New Roman"/>
          <w:sz w:val="24"/>
          <w:szCs w:val="24"/>
        </w:rPr>
        <w:t xml:space="preserve">fastsætte regler om, at virksomheder og personer, der har hjemsted i et land, der er opført på Europa-Kommissionens liste over højrisikotredjelande, kun kan etablere et datterselskab, en filial eller et repræsentationskontor i Danmark, hvis særlige betingelser er opfyldt. </w:t>
      </w:r>
    </w:p>
    <w:p w14:paraId="2807D19A" w14:textId="77777777" w:rsidR="00A800FC" w:rsidRPr="00796736" w:rsidRDefault="00A800FC" w:rsidP="00A802A5">
      <w:pPr>
        <w:spacing w:line="360" w:lineRule="auto"/>
        <w:rPr>
          <w:rFonts w:ascii="Times New Roman" w:eastAsia="Calibri" w:hAnsi="Times New Roman" w:cs="Times New Roman"/>
          <w:sz w:val="24"/>
          <w:szCs w:val="24"/>
        </w:rPr>
      </w:pPr>
    </w:p>
    <w:p w14:paraId="4F00BB2A"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kan anvendes til at fastsætte regler svarende til den gældende hvidvasklovs § 31 a, stk. 2 og § 31 b, stk. 3, indtil Kommissionen i henhold til forordningens artikel 29, stk. 2, udsteder delegerede retsakter indeholdende anvendelsen af skærpede kundekendskabsprocedurer og yderligere modforanstaltninger, som skal afbøde de risici, der er i forbindelse med højrisikotredjelande. </w:t>
      </w:r>
    </w:p>
    <w:p w14:paraId="6A191944" w14:textId="77777777" w:rsidR="00A800FC" w:rsidRPr="00796736" w:rsidRDefault="00A800FC" w:rsidP="00A802A5">
      <w:pPr>
        <w:spacing w:line="360" w:lineRule="auto"/>
        <w:rPr>
          <w:rFonts w:ascii="Times New Roman" w:eastAsia="Calibri" w:hAnsi="Times New Roman" w:cs="Times New Roman"/>
          <w:sz w:val="24"/>
          <w:szCs w:val="24"/>
        </w:rPr>
      </w:pPr>
    </w:p>
    <w:p w14:paraId="5FEB2BD4" w14:textId="03DD500D"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således medføre, at </w:t>
      </w:r>
      <w:r w:rsidR="00915A6B" w:rsidRPr="00796736">
        <w:rPr>
          <w:rFonts w:ascii="Times New Roman" w:hAnsi="Times New Roman" w:cs="Times New Roman"/>
          <w:sz w:val="24"/>
          <w:szCs w:val="24"/>
        </w:rPr>
        <w:t xml:space="preserve">Finanstilsynet, Erhvervsstyrelsen og Spillemyndigheden kan, inden for deres respektive områder, </w:t>
      </w:r>
      <w:r w:rsidRPr="00796736">
        <w:rPr>
          <w:rFonts w:ascii="Times New Roman" w:eastAsia="Calibri" w:hAnsi="Times New Roman" w:cs="Times New Roman"/>
          <w:sz w:val="24"/>
          <w:szCs w:val="24"/>
        </w:rPr>
        <w:t>fastsætte regler om, at etablering af datterselskaber, filialer eller repræsentationskontorer i Danmark for virksomheder og personer, der har hjemsted i et land, der er opført på Kommissionens liste over lande, hvor der vurderes at være en øget risiko for hvidvask eller finansiering af terrorisme, kan ske i landet under særlige forudsætninger.</w:t>
      </w:r>
    </w:p>
    <w:p w14:paraId="5BFD53F5" w14:textId="77777777" w:rsidR="00A800FC" w:rsidRPr="00796736" w:rsidRDefault="00A800FC" w:rsidP="00A802A5">
      <w:pPr>
        <w:spacing w:line="360" w:lineRule="auto"/>
        <w:rPr>
          <w:rFonts w:ascii="Times New Roman" w:eastAsia="Calibri" w:hAnsi="Times New Roman" w:cs="Times New Roman"/>
          <w:sz w:val="24"/>
          <w:szCs w:val="24"/>
        </w:rPr>
      </w:pPr>
    </w:p>
    <w:p w14:paraId="208AC615" w14:textId="604B9088"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vil give </w:t>
      </w:r>
      <w:r w:rsidR="00915A6B" w:rsidRPr="00796736">
        <w:rPr>
          <w:rFonts w:ascii="Times New Roman" w:hAnsi="Times New Roman" w:cs="Times New Roman"/>
          <w:sz w:val="24"/>
          <w:szCs w:val="24"/>
        </w:rPr>
        <w:t xml:space="preserve">Finanstilsynet, Erhvervsstyrelsen og Spillemyndigheden, inden for deres respektive områder, </w:t>
      </w:r>
      <w:r w:rsidRPr="00796736">
        <w:rPr>
          <w:rFonts w:ascii="Times New Roman" w:eastAsia="Calibri" w:hAnsi="Times New Roman" w:cs="Times New Roman"/>
          <w:sz w:val="24"/>
          <w:szCs w:val="24"/>
        </w:rPr>
        <w:t>hjemmel til under særlige forudsætninger at godkende etablering af et datterselskab af en virksomhed, der har hjemsted i et land, der er opført på Kommissionens liste over højrisikolande. Denne mulighed begrundes i, at det skal være muligt for en virksomhed eller person fra et land, der er opført på Kommissionens liste over højrisikolande, at etablere sig i Danmark under særlige forudsætninger. Hvorvidt dette er tilfældet, må bero på en konkret vurdering. Der kan i vurderingen for eksempel lægges vægt på, om højrisikotredjelandet på højt politisk plan har forpligtet sig til at afhjælpe de identificerede mangler samt besluttet at anmode om teknisk bistand for at gennemføre FATF’s handlingsplan, og som er identificeret ved FATF’s offentlige erklæring.</w:t>
      </w:r>
    </w:p>
    <w:p w14:paraId="06DDD293" w14:textId="77777777" w:rsidR="00A800FC" w:rsidRPr="00796736" w:rsidRDefault="00A800FC" w:rsidP="00A802A5">
      <w:pPr>
        <w:spacing w:line="360" w:lineRule="auto"/>
        <w:rPr>
          <w:rFonts w:ascii="Times New Roman" w:eastAsia="Calibri" w:hAnsi="Times New Roman" w:cs="Times New Roman"/>
          <w:sz w:val="24"/>
          <w:szCs w:val="24"/>
        </w:rPr>
      </w:pPr>
    </w:p>
    <w:p w14:paraId="06E3F4B3" w14:textId="6F66083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endvidere i</w:t>
      </w:r>
      <w:r w:rsidRPr="00796736">
        <w:rPr>
          <w:rFonts w:ascii="Times New Roman" w:eastAsia="Calibri" w:hAnsi="Times New Roman" w:cs="Times New Roman"/>
          <w:i/>
          <w:iCs/>
          <w:sz w:val="24"/>
          <w:szCs w:val="24"/>
        </w:rPr>
        <w:t> stk. 3</w:t>
      </w:r>
      <w:r w:rsidRPr="00796736">
        <w:rPr>
          <w:rFonts w:ascii="Times New Roman" w:eastAsia="Calibri" w:hAnsi="Times New Roman" w:cs="Times New Roman"/>
          <w:sz w:val="24"/>
          <w:szCs w:val="24"/>
        </w:rPr>
        <w:t xml:space="preserve">, at </w:t>
      </w:r>
      <w:r w:rsidR="00915A6B" w:rsidRPr="00796736">
        <w:rPr>
          <w:rFonts w:ascii="Times New Roman" w:hAnsi="Times New Roman" w:cs="Times New Roman"/>
          <w:sz w:val="24"/>
          <w:szCs w:val="24"/>
        </w:rPr>
        <w:t xml:space="preserve">Finanstilsynet, Erhvervsstyrelsen og Spillemyndigheden kan, inden for deres respektive områder, </w:t>
      </w:r>
      <w:r w:rsidRPr="00796736">
        <w:rPr>
          <w:rFonts w:ascii="Times New Roman" w:eastAsia="Calibri" w:hAnsi="Times New Roman" w:cs="Times New Roman"/>
          <w:sz w:val="24"/>
          <w:szCs w:val="24"/>
        </w:rPr>
        <w:t>fastsætte regler om, at virksomheden eller personen skal tage højde for, at den pågældende filial eller det pågældende repræsentationskontor vil komme til at ligge i et land, der ikke har tilstrækkelige ordninger til bekæmpelse af hvidvask af penge og finansiering af terrorisme.</w:t>
      </w:r>
    </w:p>
    <w:p w14:paraId="722F1957" w14:textId="77777777" w:rsidR="00A800FC" w:rsidRPr="00796736" w:rsidRDefault="00A800FC" w:rsidP="00A802A5">
      <w:pPr>
        <w:spacing w:line="360" w:lineRule="auto"/>
        <w:rPr>
          <w:rFonts w:ascii="Times New Roman" w:eastAsia="Calibri" w:hAnsi="Times New Roman" w:cs="Times New Roman"/>
          <w:sz w:val="24"/>
          <w:szCs w:val="24"/>
        </w:rPr>
      </w:pPr>
    </w:p>
    <w:p w14:paraId="13EC2627" w14:textId="377B983E"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betyder, at </w:t>
      </w:r>
      <w:r w:rsidR="00915A6B" w:rsidRPr="00796736">
        <w:rPr>
          <w:rFonts w:ascii="Times New Roman" w:hAnsi="Times New Roman" w:cs="Times New Roman"/>
          <w:sz w:val="24"/>
          <w:szCs w:val="24"/>
        </w:rPr>
        <w:t xml:space="preserve">Finanstilsynet, Erhvervsstyrelsen og Spillemyndigheden kan, inden for deres respektive områder, </w:t>
      </w:r>
      <w:r w:rsidRPr="00796736">
        <w:rPr>
          <w:rFonts w:ascii="Times New Roman" w:eastAsia="Calibri" w:hAnsi="Times New Roman" w:cs="Times New Roman"/>
          <w:sz w:val="24"/>
          <w:szCs w:val="24"/>
        </w:rPr>
        <w:t>fastsætte regler om, at en eller flere foranstaltninger skal iværksættes, hvis en virksomhed eller person ønsker at etablere en filial eller repræsentationskontor i et land, der ikke har tilstrækkelige ordninger til bekæmpelse af hvidvask og finansiering af terrorisme.</w:t>
      </w:r>
    </w:p>
    <w:p w14:paraId="65807045" w14:textId="77777777" w:rsidR="00A800FC" w:rsidRPr="00796736" w:rsidRDefault="00A800FC" w:rsidP="00A802A5">
      <w:pPr>
        <w:spacing w:line="360" w:lineRule="auto"/>
        <w:rPr>
          <w:rFonts w:ascii="Times New Roman" w:eastAsia="Calibri" w:hAnsi="Times New Roman" w:cs="Times New Roman"/>
          <w:sz w:val="24"/>
          <w:szCs w:val="24"/>
        </w:rPr>
      </w:pPr>
    </w:p>
    <w:p w14:paraId="0B5FF98F" w14:textId="77777777" w:rsidR="00A800FC"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 foreslåede bemyndigelser i bestemmelsens stk. 2 og 3, foreslås alene anvendt til at fastsætte regler svarende til bekendtgørelse nr. 1064 af 27. september 2024 om betingelser for etablering af datterselskaber, filialer eller repræsentationskontorer af virksomheder og personer fra højrisikotredjelande i Danmark og for etablering af filialer og repræsentationskontorer i højrisikotredjelande, indtil Kommissionen i henhold til forordningens artikel 29, stk. 2, udsteder delegerede retsakter indeholdende anvendelsen af skærpede kundekendskabsprocedurer og yderligere modforanstaltninger som skal afbøde de risici der er i forbindelse med højrisikotredjelande. </w:t>
      </w:r>
    </w:p>
    <w:p w14:paraId="7BF5AB67" w14:textId="77777777" w:rsidR="00A800FC" w:rsidRPr="00796736" w:rsidRDefault="00A800FC" w:rsidP="00A802A5">
      <w:pPr>
        <w:spacing w:line="360" w:lineRule="auto"/>
        <w:rPr>
          <w:rFonts w:ascii="Times New Roman" w:eastAsia="Calibri" w:hAnsi="Times New Roman" w:cs="Times New Roman"/>
          <w:sz w:val="24"/>
          <w:szCs w:val="24"/>
        </w:rPr>
      </w:pPr>
    </w:p>
    <w:p w14:paraId="5946A92E" w14:textId="18692F0B" w:rsidR="0058057A" w:rsidRPr="00796736" w:rsidRDefault="00A800FC"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henvises i øvrigt til pkt. </w:t>
      </w:r>
      <w:r w:rsidR="00467CE8" w:rsidRPr="00796736">
        <w:rPr>
          <w:rFonts w:ascii="Times New Roman" w:eastAsia="Calibri" w:hAnsi="Times New Roman" w:cs="Times New Roman"/>
          <w:sz w:val="24"/>
          <w:szCs w:val="24"/>
        </w:rPr>
        <w:fldChar w:fldCharType="begin"/>
      </w:r>
      <w:r w:rsidR="00467CE8" w:rsidRPr="00796736">
        <w:rPr>
          <w:rFonts w:ascii="Times New Roman" w:eastAsia="Calibri" w:hAnsi="Times New Roman" w:cs="Times New Roman"/>
          <w:sz w:val="24"/>
          <w:szCs w:val="24"/>
        </w:rPr>
        <w:instrText xml:space="preserve"> REF _Ref232942788 \n \h </w:instrText>
      </w:r>
      <w:r w:rsidR="00967618" w:rsidRPr="00796736">
        <w:rPr>
          <w:rFonts w:ascii="Times New Roman" w:eastAsia="Calibri" w:hAnsi="Times New Roman" w:cs="Times New Roman"/>
          <w:sz w:val="24"/>
          <w:szCs w:val="24"/>
        </w:rPr>
        <w:instrText xml:space="preserve"> \* MERGEFORMAT </w:instrText>
      </w:r>
      <w:r w:rsidR="00467CE8" w:rsidRPr="00796736">
        <w:rPr>
          <w:rFonts w:ascii="Times New Roman" w:eastAsia="Calibri" w:hAnsi="Times New Roman" w:cs="Times New Roman"/>
          <w:sz w:val="24"/>
          <w:szCs w:val="24"/>
        </w:rPr>
      </w:r>
      <w:r w:rsidR="00467CE8"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3.10</w:t>
      </w:r>
      <w:r w:rsidR="00467CE8" w:rsidRPr="00796736">
        <w:rPr>
          <w:rFonts w:ascii="Times New Roman" w:eastAsia="Calibri" w:hAnsi="Times New Roman" w:cs="Times New Roman"/>
          <w:sz w:val="24"/>
          <w:szCs w:val="24"/>
        </w:rPr>
        <w:fldChar w:fldCharType="end"/>
      </w:r>
      <w:r w:rsidR="00467CE8"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i lovforslagets almindelige bemærkninger.</w:t>
      </w:r>
    </w:p>
    <w:p w14:paraId="60E650F8" w14:textId="77777777" w:rsidR="004232C0" w:rsidRPr="00796736" w:rsidRDefault="004232C0" w:rsidP="00A802A5">
      <w:pPr>
        <w:spacing w:after="240" w:line="360" w:lineRule="auto"/>
        <w:rPr>
          <w:rFonts w:ascii="Times New Roman" w:hAnsi="Times New Roman" w:cs="Times New Roman"/>
          <w:sz w:val="24"/>
          <w:szCs w:val="24"/>
        </w:rPr>
      </w:pPr>
    </w:p>
    <w:p w14:paraId="55D9E83D" w14:textId="7563BDA6" w:rsidR="004232C0" w:rsidRPr="00796736" w:rsidRDefault="004232C0" w:rsidP="00A802A5">
      <w:pPr>
        <w:pStyle w:val="Undertitel"/>
      </w:pPr>
      <w:bookmarkStart w:id="1885" w:name="_Toc244879308"/>
      <w:bookmarkStart w:id="1886" w:name="_Toc244880833"/>
      <w:r w:rsidRPr="00796736">
        <w:t xml:space="preserve">Til </w:t>
      </w:r>
      <w:r w:rsidR="0092113C" w:rsidRPr="00796736">
        <w:fldChar w:fldCharType="begin"/>
      </w:r>
      <w:r w:rsidR="0092113C" w:rsidRPr="00796736">
        <w:instrText xml:space="preserve"> REF _Ref242815842 \r \h </w:instrText>
      </w:r>
      <w:r w:rsidR="00AB17CC" w:rsidRPr="00796736">
        <w:instrText xml:space="preserve"> \* MERGEFORMAT </w:instrText>
      </w:r>
      <w:r w:rsidR="0092113C" w:rsidRPr="00796736">
        <w:fldChar w:fldCharType="separate"/>
      </w:r>
      <w:r w:rsidR="008F29E5">
        <w:t>§ 12</w:t>
      </w:r>
      <w:bookmarkEnd w:id="1885"/>
      <w:bookmarkEnd w:id="1886"/>
      <w:r w:rsidR="0092113C" w:rsidRPr="00796736">
        <w:fldChar w:fldCharType="end"/>
      </w:r>
    </w:p>
    <w:p w14:paraId="6D9A077A" w14:textId="77777777" w:rsidR="00074750" w:rsidRPr="00796736" w:rsidRDefault="00074750"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lang w:eastAsia="da-DK"/>
        </w:rPr>
        <w:t>Hvidvaskforordningens artikel 77 regulerer opbevaring af fortegnelser. Efter artikel 77, stk. 1, skal forpligtede enheder opbevare en række dokumenter og oplysninger. Efter stk. 2 kan forpligtede enheder, uanset stk. 1, beslutte at erstatte opbevaringen af kopier af oplysningerne med en opbevaring af henvisninger til sådanne oplysninger, forudsat at karakteren af og metoden til opbevaring af sådanne oplysninger sikrer, at de forpligtede enheder omgående kan forelægge oplysningerne for kompetente myndigheder, og at oplysningerne ikke kan modificeres eller ændres. Efter stk. 3 opbevares oplysningerne nævnt i stk. 1 og 2 i en periode på 5 år regnet fra datoen for forretningsforbindelsens ophør eller datoen for gennemførelsen af den lejlighedsvise transaktion. Uden at det berører opbevaringsperioderne for data, der er indhentet med henblik på andre EU-retsakter eller national ret, der er i overensstemmelse med databeskyttelsesforordningen, sletter forpligtede enheder personoplysninger ved udløbet af denne periode på fem år. Det følger endvidere, at de kompetente myndigheder i det enkelte tilfælde kan kræve yderligere opbevaring af de oplysninger, der er omhandlet i første afsnit, forudsat at sådan opbevaring er nødvendig for at forebygge, opdage, efterforske eller retsforfølge for hvidvask af penge eller finansiering af terrorisme. Den yderligere opbevaring må ikke overstige en periode på fem år.</w:t>
      </w:r>
    </w:p>
    <w:p w14:paraId="7A85D99D" w14:textId="77777777" w:rsidR="00EB31D7" w:rsidRPr="00796736" w:rsidRDefault="00EB31D7" w:rsidP="00A802A5">
      <w:pPr>
        <w:spacing w:line="360" w:lineRule="auto"/>
        <w:rPr>
          <w:rFonts w:ascii="Times New Roman" w:eastAsia="Calibri" w:hAnsi="Times New Roman" w:cs="Times New Roman"/>
          <w:sz w:val="24"/>
          <w:szCs w:val="24"/>
        </w:rPr>
      </w:pPr>
    </w:p>
    <w:p w14:paraId="46D892BA" w14:textId="684E6E25" w:rsidR="00074750" w:rsidRPr="00796736" w:rsidRDefault="00074750" w:rsidP="00A802A5">
      <w:pPr>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Det foreslås i </w:t>
      </w:r>
      <w:r w:rsidR="00796736" w:rsidRPr="00796736">
        <w:rPr>
          <w:rFonts w:ascii="Times New Roman" w:hAnsi="Times New Roman" w:cs="Times New Roman"/>
          <w:i/>
          <w:iCs/>
          <w:sz w:val="24"/>
          <w:szCs w:val="24"/>
        </w:rPr>
        <w:fldChar w:fldCharType="begin"/>
      </w:r>
      <w:r w:rsidR="00796736" w:rsidRPr="00796736">
        <w:rPr>
          <w:rFonts w:ascii="Times New Roman" w:hAnsi="Times New Roman" w:cs="Times New Roman"/>
          <w:i/>
          <w:iCs/>
          <w:sz w:val="24"/>
          <w:szCs w:val="24"/>
        </w:rPr>
        <w:instrText xml:space="preserve"> REF _Ref242815842 \r \h  \* MERGEFORMAT </w:instrText>
      </w:r>
      <w:r w:rsidR="00796736" w:rsidRPr="00796736">
        <w:rPr>
          <w:rFonts w:ascii="Times New Roman" w:hAnsi="Times New Roman" w:cs="Times New Roman"/>
          <w:i/>
          <w:iCs/>
          <w:sz w:val="24"/>
          <w:szCs w:val="24"/>
        </w:rPr>
      </w:r>
      <w:r w:rsidR="00796736"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12</w:t>
      </w:r>
      <w:r w:rsidR="00796736" w:rsidRPr="00796736">
        <w:rPr>
          <w:rFonts w:ascii="Times New Roman" w:hAnsi="Times New Roman" w:cs="Times New Roman"/>
          <w:i/>
          <w:iCs/>
          <w:sz w:val="24"/>
          <w:szCs w:val="24"/>
        </w:rPr>
        <w:fldChar w:fldCharType="end"/>
      </w:r>
      <w:r w:rsidRPr="00796736">
        <w:rPr>
          <w:rFonts w:ascii="Times New Roman" w:eastAsia="Calibri" w:hAnsi="Times New Roman" w:cs="Times New Roman"/>
          <w:sz w:val="24"/>
          <w:szCs w:val="24"/>
        </w:rPr>
        <w:t xml:space="preserve">, at efter </w:t>
      </w:r>
      <w:r w:rsidRPr="00796736">
        <w:rPr>
          <w:rFonts w:ascii="Times New Roman" w:hAnsi="Times New Roman" w:cs="Times New Roman"/>
          <w:sz w:val="24"/>
          <w:szCs w:val="24"/>
        </w:rPr>
        <w:t xml:space="preserve">hvidvaskforordningens artikel 77, stk. 3, kan Finanstilsynet, Erhvervsstyrelsen, Spillemyndigheden og Advokatrådet i det enkelte tilfælde kræve yderligere opbevaring af oplysninger nævnt i hvidvaskforordningens artikel 77, stk. 1 og 2, forudsat at en sådan opbevaring er nødvendig for at forebygge, opdage, efterforske eller retsforfølge hvidvask og terrorfinansiering. Den yderligere opbevaring må ikke overstige en periode på 5 år. </w:t>
      </w:r>
    </w:p>
    <w:p w14:paraId="4DBFECC5" w14:textId="77777777" w:rsidR="00EB31D7" w:rsidRPr="00796736" w:rsidRDefault="00EB31D7" w:rsidP="00A802A5">
      <w:pPr>
        <w:spacing w:line="360" w:lineRule="auto"/>
        <w:rPr>
          <w:rFonts w:ascii="Times New Roman" w:hAnsi="Times New Roman" w:cs="Times New Roman"/>
          <w:sz w:val="24"/>
          <w:szCs w:val="24"/>
        </w:rPr>
      </w:pPr>
    </w:p>
    <w:p w14:paraId="56EB22E6" w14:textId="77777777" w:rsidR="00EB31D7" w:rsidRPr="00796736" w:rsidRDefault="00EB31D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giver således de kompetente myndigheder mulighed for i konkrete tilfælde at sikre, at oplysninger, som ellers skulle slettes efter udløbet af den almindelige opbevaringsperiode, fortsat kan opbevares, hvis oplysningerne vurderes at kunne have betydning for forebyggelse, opdagelse, efterforskning eller retsforfølgning af hvidvask eller finansiering af terrorisme.</w:t>
      </w:r>
    </w:p>
    <w:p w14:paraId="15A6A986" w14:textId="77777777" w:rsidR="00EB31D7" w:rsidRPr="00796736" w:rsidRDefault="00EB31D7" w:rsidP="00A802A5">
      <w:pPr>
        <w:spacing w:line="360" w:lineRule="auto"/>
        <w:rPr>
          <w:rFonts w:ascii="Times New Roman" w:eastAsia="Calibri" w:hAnsi="Times New Roman" w:cs="Times New Roman"/>
          <w:sz w:val="24"/>
          <w:szCs w:val="24"/>
        </w:rPr>
      </w:pPr>
    </w:p>
    <w:p w14:paraId="35C23699" w14:textId="77777777" w:rsidR="00EB31D7" w:rsidRPr="00796736" w:rsidRDefault="00EB31D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Adgangen er begrænset til tilfælde, hvor yderligere opbevaring er nødvendig, og bestemmelsen giver ikke hjemmel til en generel eller systematisk forlængelse af opbevaringsperioden for alle oplysninger eller for alle forpligtede enheder.</w:t>
      </w:r>
    </w:p>
    <w:p w14:paraId="76B558E8" w14:textId="77777777" w:rsidR="00EB31D7" w:rsidRPr="00796736" w:rsidRDefault="00EB31D7" w:rsidP="00A802A5">
      <w:pPr>
        <w:spacing w:line="360" w:lineRule="auto"/>
        <w:rPr>
          <w:rFonts w:ascii="Times New Roman" w:eastAsia="Calibri" w:hAnsi="Times New Roman" w:cs="Times New Roman"/>
          <w:sz w:val="24"/>
          <w:szCs w:val="24"/>
        </w:rPr>
      </w:pPr>
    </w:p>
    <w:p w14:paraId="2620A781" w14:textId="77777777" w:rsidR="00EB31D7" w:rsidRPr="00796736" w:rsidRDefault="00EB31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omfatter de oplysninger og dokumenter, som en forpligtet enhed opbevarer efter hvidvaskforordningens artikel 77, stk. 1 og 2. Det kan bl.a. være oplysninger og dokumenter indhentet som led i kundekendskabsprocedurer, oplysninger om vurderinger og resultater af eventuel mistanke, dokumentation for og fortegnelser over transaktioner samt øvrige oplysninger og dokumenter, der er omfattet af forordningens opbevaringsregler.</w:t>
      </w:r>
    </w:p>
    <w:p w14:paraId="4DC6D701" w14:textId="77777777" w:rsidR="00EB31D7" w:rsidRPr="00796736" w:rsidRDefault="00EB31D7" w:rsidP="00A802A5">
      <w:pPr>
        <w:spacing w:line="360" w:lineRule="auto"/>
        <w:rPr>
          <w:rFonts w:ascii="Times New Roman" w:eastAsia="Calibri" w:hAnsi="Times New Roman" w:cs="Times New Roman"/>
          <w:sz w:val="24"/>
          <w:szCs w:val="24"/>
        </w:rPr>
      </w:pPr>
    </w:p>
    <w:p w14:paraId="603324B7" w14:textId="77777777" w:rsidR="00EB31D7" w:rsidRPr="00796736" w:rsidRDefault="00EB31D7"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Det vil efter bestemmelsen være et krav, at den fortsatte opbevaring er nødvendig af hensyn til at forebygge, opdage, efterforske eller retsforfølge hvidvask og terrorfinansiering. </w:t>
      </w:r>
      <w:r w:rsidRPr="00796736">
        <w:rPr>
          <w:rFonts w:ascii="Times New Roman" w:eastAsia="Calibri" w:hAnsi="Times New Roman" w:cs="Times New Roman"/>
          <w:sz w:val="24"/>
          <w:szCs w:val="24"/>
        </w:rPr>
        <w:t>Vurderingen af, om yderligere opbevaring er nødvendig, vil skulle foretages konkret. Der vil bl.a. kunne lægges vægt på oplysningernes karakter, deres mulige betydning for en verserende eller forventet undersøgelse, analyse, tilsynssag, efterforskning eller retsforfølgning samt risikoen for, at sletning af oplysningerne vil kunne vanskeliggøre myndighedernes opgavevaretagelse på hvidvask- og terrorfinansieringsområdet.</w:t>
      </w:r>
    </w:p>
    <w:p w14:paraId="25147B24" w14:textId="77777777" w:rsidR="00EB31D7" w:rsidRPr="00796736" w:rsidRDefault="00EB31D7" w:rsidP="00A802A5">
      <w:pPr>
        <w:spacing w:line="360" w:lineRule="auto"/>
        <w:rPr>
          <w:rFonts w:ascii="Times New Roman" w:eastAsia="Calibri" w:hAnsi="Times New Roman" w:cs="Times New Roman"/>
          <w:sz w:val="24"/>
          <w:szCs w:val="24"/>
        </w:rPr>
      </w:pPr>
    </w:p>
    <w:p w14:paraId="1DC4D4D2" w14:textId="77777777" w:rsidR="00EB31D7" w:rsidRPr="00796736" w:rsidRDefault="00EB31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Uden for de tilfælde, hvor tilsynsorganet selv er i færd med enten politianmeldelse eller vedtagelse af administrativt bødeforelæg, forudsættes bestemmelsen relevant i de tilfælde, hvor politiet eller anklagemyndigheden gør tilsynsorganet opmærksomme på sagsforholdet.</w:t>
      </w:r>
    </w:p>
    <w:p w14:paraId="23252D5F" w14:textId="77777777" w:rsidR="00EB31D7" w:rsidRPr="00796736" w:rsidRDefault="00EB31D7" w:rsidP="00A802A5">
      <w:pPr>
        <w:spacing w:line="360" w:lineRule="auto"/>
        <w:rPr>
          <w:rFonts w:ascii="Times New Roman" w:hAnsi="Times New Roman" w:cs="Times New Roman"/>
          <w:sz w:val="24"/>
          <w:szCs w:val="24"/>
        </w:rPr>
      </w:pPr>
    </w:p>
    <w:p w14:paraId="64A35E4F" w14:textId="033398F8" w:rsidR="004232C0" w:rsidRPr="00796736" w:rsidRDefault="00EB31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vil ved Finanstilsynets, Erhvervsstyrelsens og Spillemyndighedens udnyttelse af den foreslåede bestemmelse være tale om en afgørelse i forvaltningslovens forstand.</w:t>
      </w:r>
    </w:p>
    <w:p w14:paraId="04830014" w14:textId="77777777" w:rsidR="00EB31D7" w:rsidRPr="00796736" w:rsidRDefault="00EB31D7" w:rsidP="00A802A5">
      <w:pPr>
        <w:spacing w:line="360" w:lineRule="auto"/>
        <w:rPr>
          <w:rFonts w:ascii="Times New Roman" w:hAnsi="Times New Roman" w:cs="Times New Roman"/>
          <w:sz w:val="24"/>
          <w:szCs w:val="24"/>
        </w:rPr>
      </w:pPr>
    </w:p>
    <w:p w14:paraId="6280D303" w14:textId="0F939106" w:rsidR="004232C0" w:rsidRPr="00796736" w:rsidRDefault="004232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_Ref232950217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lovforslagets almindelige bemærkninger.</w:t>
      </w:r>
    </w:p>
    <w:p w14:paraId="199ABBEB" w14:textId="77777777" w:rsidR="004232C0" w:rsidRPr="00796736" w:rsidRDefault="004232C0" w:rsidP="00A802A5">
      <w:pPr>
        <w:spacing w:line="360" w:lineRule="auto"/>
        <w:rPr>
          <w:rFonts w:ascii="Times New Roman" w:hAnsi="Times New Roman" w:cs="Times New Roman"/>
          <w:sz w:val="24"/>
          <w:szCs w:val="24"/>
          <w:lang w:eastAsia="da-DK"/>
        </w:rPr>
      </w:pPr>
    </w:p>
    <w:p w14:paraId="0A754089" w14:textId="4F8B4EA4" w:rsidR="00A43B0D" w:rsidRPr="00796736" w:rsidRDefault="00A43B0D" w:rsidP="00A802A5">
      <w:pPr>
        <w:pStyle w:val="Undertitel"/>
      </w:pPr>
      <w:bookmarkStart w:id="1887" w:name="_Toc232109455"/>
      <w:bookmarkStart w:id="1888" w:name="_Toc232109347"/>
      <w:bookmarkStart w:id="1889" w:name="_Toc244879309"/>
      <w:bookmarkStart w:id="1890" w:name="_Toc244880834"/>
      <w:r w:rsidRPr="00796736">
        <w:t xml:space="preserve">Til </w:t>
      </w:r>
      <w:r w:rsidRPr="00796736">
        <w:fldChar w:fldCharType="begin"/>
      </w:r>
      <w:r w:rsidRPr="00796736">
        <w:instrText xml:space="preserve"> REF _Ref232610117 \r \h </w:instrText>
      </w:r>
      <w:r w:rsidR="00967618" w:rsidRPr="00796736">
        <w:instrText xml:space="preserve"> \* MERGEFORMAT </w:instrText>
      </w:r>
      <w:r w:rsidRPr="00796736">
        <w:fldChar w:fldCharType="separate"/>
      </w:r>
      <w:r w:rsidR="008F29E5">
        <w:t>§ 13</w:t>
      </w:r>
      <w:bookmarkEnd w:id="1889"/>
      <w:bookmarkEnd w:id="1890"/>
      <w:r w:rsidRPr="00796736">
        <w:fldChar w:fldCharType="end"/>
      </w:r>
      <w:r w:rsidRPr="00796736">
        <w:t xml:space="preserve"> </w:t>
      </w:r>
      <w:bookmarkEnd w:id="1887"/>
    </w:p>
    <w:p w14:paraId="217BA0BE"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34 a i den gældende hvidvasklov omhandler indefrysning af midler, forud for EU’s implementering af FN’s sanktionslister. Bestemmelsen videreføres med den ændring, at virksomheder og personer omfattet af hvidvaskloven også er forpligtet til uden ugrundet ophold at indefryse midler eller aktiver, hvis midlerne eller aktiverne ejes, besiddes eller kontrolleres af nogen, der handler på vegne af eller under instruks fra fysiske eller juridiske personer, grupper eller enheder, der er opført på listen i bestemmelsens stk. 1. Ændringen indføres for at imødegå anbefalinger fra The Financial Action Task Force (FATF).</w:t>
      </w:r>
    </w:p>
    <w:p w14:paraId="24851371"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FN’s Sikkerhedsråd vedtager sanktioner om bl.a. indefrysning af midler i form af sikkerhedsrådsresolutioner. EU gennemfører på vegne af EU’s medlemslande bestemmelserne i Sikkerhedsrådets resolutioner ved at udstede en EU-retsakt, som er direkte gældende for medlemsstaterne ved offentliggørelse i EU-Tidende. Det betyder, at bl.a. danske virksomheder og personer er forpligtet til uden ugrundet ophold at indefryse midler, som ejes, besiddes eller kontrolleres af de fysiske eller juridiske personer, grupper eller enheder, som er opført på FN’s sanktionslister, når EU har implementeret og offentliggjort den relevante EU-retsakt i EU-Tidende. Fra FN’s opdatering af en sanktionsliste, og indtil denne er implementeret og offentliggjort i EU-Tidende, går der som udgangspunkt typisk 24-48 timer.</w:t>
      </w:r>
    </w:p>
    <w:p w14:paraId="5C29F094"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person, enhed eller gruppe, hvis midler indefryses, har mulighed for at anlægge sag ved de nationale domstole i det land, hvor midlerne er indefrosset, med påstand om uretmæssig indefrysning af dennes midler. Dette gælder, uanset om indefrysningen er sket i henhold til en national mekanisme eller i henhold til en EU-retsakt, som er offentliggjort i EU-Tidende. Såfremt man er berørt af en indefrysning foretaget af et pengeinstitut, realkreditinstitut eller investeringsfond har man mulighed for at indgive en klage til Det finansielle ankenævn. </w:t>
      </w:r>
    </w:p>
    <w:p w14:paraId="3C4171C0" w14:textId="084C29D8"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00FD70EA" w:rsidRPr="00796736">
        <w:rPr>
          <w:rFonts w:ascii="Times New Roman" w:hAnsi="Times New Roman" w:cs="Times New Roman"/>
          <w:i/>
          <w:iCs/>
          <w:sz w:val="24"/>
          <w:szCs w:val="24"/>
        </w:rPr>
        <w:fldChar w:fldCharType="begin"/>
      </w:r>
      <w:r w:rsidR="00FD70EA" w:rsidRPr="00796736">
        <w:rPr>
          <w:rFonts w:ascii="Times New Roman" w:hAnsi="Times New Roman" w:cs="Times New Roman"/>
          <w:i/>
          <w:iCs/>
          <w:sz w:val="24"/>
          <w:szCs w:val="24"/>
        </w:rPr>
        <w:instrText xml:space="preserve"> REF _Ref232610117 \r \h  \* MERGEFORMAT </w:instrText>
      </w:r>
      <w:r w:rsidR="00FD70EA" w:rsidRPr="00796736">
        <w:rPr>
          <w:rFonts w:ascii="Times New Roman" w:hAnsi="Times New Roman" w:cs="Times New Roman"/>
          <w:i/>
          <w:iCs/>
          <w:sz w:val="24"/>
          <w:szCs w:val="24"/>
        </w:rPr>
      </w:r>
      <w:r w:rsidR="00FD70EA"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13</w:t>
      </w:r>
      <w:r w:rsidR="00FD70EA"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w:t>
      </w:r>
      <w:r w:rsidRPr="00796736">
        <w:rPr>
          <w:rFonts w:ascii="Times New Roman" w:hAnsi="Times New Roman" w:cs="Times New Roman"/>
          <w:i/>
          <w:iCs/>
          <w:sz w:val="24"/>
          <w:szCs w:val="24"/>
        </w:rPr>
        <w:t>1. pkt.,</w:t>
      </w:r>
      <w:r w:rsidRPr="00796736">
        <w:rPr>
          <w:rFonts w:ascii="Times New Roman" w:hAnsi="Times New Roman" w:cs="Times New Roman"/>
          <w:sz w:val="24"/>
          <w:szCs w:val="24"/>
        </w:rPr>
        <w:t> at erhvervs</w:t>
      </w:r>
      <w:r w:rsidR="00911473" w:rsidRPr="00796736">
        <w:rPr>
          <w:rFonts w:ascii="Times New Roman" w:hAnsi="Times New Roman" w:cs="Times New Roman"/>
          <w:sz w:val="24"/>
          <w:szCs w:val="24"/>
        </w:rPr>
        <w:t>- og konkurrencekrafts</w:t>
      </w:r>
      <w:r w:rsidRPr="00796736">
        <w:rPr>
          <w:rFonts w:ascii="Times New Roman" w:hAnsi="Times New Roman" w:cs="Times New Roman"/>
          <w:sz w:val="24"/>
          <w:szCs w:val="24"/>
        </w:rPr>
        <w:t>ministeren kan udpege en myndighed, som er ansvarlig for at offentliggøre navne på fysiske eller juridiske personer, grupper eller enheder, der opføres på FN’s sanktionslister.</w:t>
      </w:r>
    </w:p>
    <w:p w14:paraId="35B59822" w14:textId="77777777"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Pligten til indefrysning vil således træde i kraft, når myndigheden offentliggør navnene på de fysiske eller juridiske personer, grupper eller enheder, der opføres på FN’s sanktionslister.</w:t>
      </w:r>
    </w:p>
    <w:p w14:paraId="129A31D6" w14:textId="77777777"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Det foreslås endvidere i </w:t>
      </w:r>
      <w:r w:rsidRPr="00796736">
        <w:rPr>
          <w:rFonts w:ascii="Times New Roman" w:hAnsi="Times New Roman" w:cs="Times New Roman"/>
          <w:i/>
          <w:iCs/>
          <w:sz w:val="24"/>
          <w:szCs w:val="24"/>
        </w:rPr>
        <w:t>stk. 1, 2. pkt</w:t>
      </w:r>
      <w:r w:rsidRPr="00796736">
        <w:rPr>
          <w:rFonts w:ascii="Times New Roman" w:hAnsi="Times New Roman" w:cs="Times New Roman"/>
          <w:sz w:val="24"/>
          <w:szCs w:val="24"/>
        </w:rPr>
        <w:t>., at navnene offentliggøres på myndighedens hjemmeside.</w:t>
      </w:r>
    </w:p>
    <w:p w14:paraId="40769E48" w14:textId="77777777"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Det forudsættes, at myndigheden løbende ajourfører navnene på hjemmesiden, hvilket kan indebære, at hjemmesiden opdateres flere gange dagligt.</w:t>
      </w:r>
    </w:p>
    <w:p w14:paraId="21A30B32" w14:textId="505F1CC3"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w:t>
      </w:r>
      <w:r w:rsidR="004A72D6" w:rsidRPr="00796736">
        <w:rPr>
          <w:rFonts w:ascii="Times New Roman" w:hAnsi="Times New Roman" w:cs="Times New Roman"/>
          <w:sz w:val="24"/>
          <w:szCs w:val="24"/>
        </w:rPr>
        <w:t xml:space="preserve">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at et navn, som er offentliggjort efter stk. 1, fjernes fra den danske myndigheds hjemmeside, hvis navnet optages på en retsakt udstedt af Den Europæiske Union, som er offentliggjort i EU-Tidende, hvis det besluttes, at navnet ikke skal optages på en sådan EU-retsakt, eller hvis navnet fjernes fra FN’s sanktionslister.</w:t>
      </w:r>
    </w:p>
    <w:p w14:paraId="06F14B3E" w14:textId="182B5491"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w:t>
      </w:r>
      <w:r w:rsidR="00911473" w:rsidRPr="00796736">
        <w:rPr>
          <w:rFonts w:ascii="Times New Roman" w:hAnsi="Times New Roman" w:cs="Times New Roman"/>
          <w:sz w:val="24"/>
          <w:szCs w:val="24"/>
        </w:rPr>
        <w:t>t</w:t>
      </w:r>
      <w:r w:rsidRPr="00796736">
        <w:rPr>
          <w:rFonts w:ascii="Times New Roman" w:hAnsi="Times New Roman" w:cs="Times New Roman"/>
          <w:sz w:val="24"/>
          <w:szCs w:val="24"/>
        </w:rPr>
        <w:t xml:space="preserve"> forudsættes, at den løbende ajourføring af navnene på den danske myndigheds hjemmeside også foretages i forhold til fjernelse af navne.</w:t>
      </w:r>
    </w:p>
    <w:p w14:paraId="7F0531CA"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Det kan i princippet rent undtagelsesvist forekomme, at et navn opført på en FN-sanktionsliste ikke efterfølgende besluttes optaget på en sådan EU-retsakt. I et sådant tilfælde, hvor der måtte blive besluttet, at det pågældende navn ikke skal opføres på en EU-sanktionsliste, skal den danske myndighed straks fjerne navnet fra myndighedens hjemmeside, hvorefter forpligtelsen for virksomheder og personer til at indefryse midler, som ejes, besiddes eller kontrolleres af den pågældende fysiske eller juridiske person, gruppe eller enhed, bortfalder.</w:t>
      </w:r>
    </w:p>
    <w:p w14:paraId="702BC875"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w:t>
      </w:r>
      <w:r w:rsidRPr="00796736">
        <w:rPr>
          <w:rFonts w:ascii="Times New Roman" w:hAnsi="Times New Roman" w:cs="Times New Roman"/>
          <w:i/>
          <w:iCs/>
          <w:sz w:val="24"/>
          <w:szCs w:val="24"/>
        </w:rPr>
        <w:t>1. pkt.,</w:t>
      </w:r>
      <w:r w:rsidRPr="00796736">
        <w:rPr>
          <w:rFonts w:ascii="Times New Roman" w:hAnsi="Times New Roman" w:cs="Times New Roman"/>
          <w:sz w:val="24"/>
          <w:szCs w:val="24"/>
        </w:rPr>
        <w:t> at virksomheder og personer omfattet af denne lov er forpligtet til uden ugrundet ophold at indefryse midler, som ejes, besiddes eller kontrolleres af fysiske eller juridiske personer, grupper eller enheder, hvis navne er offentliggjort på den danske myndigheds hjemmeside, jf. stk. 1.</w:t>
      </w:r>
    </w:p>
    <w:p w14:paraId="40E286C9" w14:textId="77777777"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Ved ”indefrysning” forstås i forhold til pengemidler hindring af enhver bevægelse, overførsel, ændring og brug af pengemidler på en hvilken som helst måde, der vil føre til ændring i omfang, beløb, placering, ejerforhold, rådighed, art, bestemmelse, eller en hvilken som helst anden ændring, der vil gøre det muligt at anvende de pågældende pengemidler. I forhold til økonomiske ressourcer forstås ved ”indefrysning” hindring af enhver anvendelse til at opnå pengemidler, varer og tjenesteydelser.</w:t>
      </w:r>
    </w:p>
    <w:p w14:paraId="4D59A895" w14:textId="77777777"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Indefrysning skal ske ”uden ugrundet ophold”. Det indebærer, at midlerne skal indefryses straks efter, at der er sket offentliggørelse af navnet på den fysiske eller juridiske person, gruppe eller enhed, som ejer eller besidder midlerne, på den danske myndigheds hjemmeside efter stk. 1. Det beror i øvrigt på en konkret vurdering, om en virksomhed eller person har iagttaget sin pligt til indefrysning af en kundes midler uden ugrundet ophold.</w:t>
      </w:r>
    </w:p>
    <w:p w14:paraId="03A534A0" w14:textId="77777777"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de virksomheder og personer, som er omfattet af hvidvaskloven, vil skulle holde sig orienteret om opdateringer af den danske myndigheds hjemmeside. Dette vil virksomheder og personer kunne gøre ved løbende at undersøge, om der er sket opdatering af den danske myndigheds hjemmeside, og i så fald sammenholde navnene på den pågældende hjemmeside med virksomhedens eller personens kunder. Det forudsættes i den forbindelse, at myndigheden, som er ansvarlig for føring af hjemmesiden, stiller en notifikationsløsning til rådighed på sin hjemmeside, således at virksomheder og personer ved tilmelding kan blive notificeret om ændringer i forhold til navne opført på hjemmesiden.</w:t>
      </w:r>
    </w:p>
    <w:p w14:paraId="73E07F17" w14:textId="77777777"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Ved ”midler” forstås pengemidler og økonomiske ressourcer. Ved pengemidler forstås finansielle aktiver og økonomiske fordele af enhver art, f.eks. kontante pengebeløb, checks, fordringer og værdipapirer mv. Ved økonomiske ressourcer forstås aktiver af enhver art, som ikke er pengemidler, men som kan bruges til at opnå pengemidler. Aktiverne kan være både materielle og immaterielle. Materielle aktiver kan være f.eks. fast ejendom eller løsøre. Immaterielle aktiver kan være f.eks. patenter eller kildekoder.</w:t>
      </w:r>
    </w:p>
    <w:p w14:paraId="77F7E19F"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Ved ”ejes” forstås blandt andet at være i besiddelse af 50 % eller derover af ejendomsretten til juridiske personer, enheder eller organer, eller at have en majoritetsinteresse deri. Definitionen svarer til den betydning af ”at eje”, som findes i artikel 1, stk. 1, litra i, i Rådets Forordning (EU) nr. 269/2014.</w:t>
      </w:r>
    </w:p>
    <w:p w14:paraId="45B8C7ED"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Ved ”besiddes” forstås den, der har ejendomsret eller rådighed over det pågældende aktiv. Der henvises i øvrigt til den betydning af ”rådighed”, som anvendes i retsplejelovens kapitel 74 om beslaglæggelse og edition.</w:t>
      </w:r>
    </w:p>
    <w:p w14:paraId="475D1655" w14:textId="6F22F428"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Ved ”kontrolleres” forstås blandt andet, at juridiske personer, enheder eller organer ikke er i besiddelse af 50 % eller derover af ejendomsretten til juridiske personer, eller har en majoritetsinteresse deri, men alligevel gennem andre beføjelser, kan udøve indflydelse over en juridiske person, enhed eller organ. Der henvises i øvrigt til den betydning af ”at kontrollere”, som findes i artikel 1, stk. 1, litra j, i Rådets Forordning (EU) nr. 269/2014, der positivt bestemmer, hvad der skal anses for kontrol, men som ikke er udtømmende. Kontrolleres skal dog også forstås i den forstand, at man fysisk kontrollerer et aktiv.</w:t>
      </w:r>
    </w:p>
    <w:p w14:paraId="169FE166" w14:textId="5C8346C4"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”FN’s sanktionslister” forstås en sanktionsliste under et FN-sanktionsregime, der er vedtaget i henhold til FN-Chartrets kapitel VII, og som fremgår af FN’s hjemmeside: (aktuelt på denne side) </w:t>
      </w:r>
      <w:hyperlink r:id="rId22" w:history="1">
        <w:r w:rsidRPr="00796736">
          <w:rPr>
            <w:rStyle w:val="Hyperlink"/>
            <w:rFonts w:ascii="Times New Roman" w:hAnsi="Times New Roman" w:cs="Times New Roman"/>
            <w:sz w:val="24"/>
            <w:szCs w:val="24"/>
          </w:rPr>
          <w:t>https://www.un.org/securitycouncil/sanctions/information</w:t>
        </w:r>
      </w:hyperlink>
      <w:r w:rsidRPr="00796736">
        <w:rPr>
          <w:rFonts w:ascii="Times New Roman" w:hAnsi="Times New Roman" w:cs="Times New Roman"/>
          <w:sz w:val="24"/>
          <w:szCs w:val="24"/>
        </w:rPr>
        <w:t xml:space="preserve">. </w:t>
      </w:r>
    </w:p>
    <w:p w14:paraId="17C7BFB6" w14:textId="0035D2F2"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Har en virksomhed indefrosset midler i henhold til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_Ref232610117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skal virksomheden, når forpligtelsen til indefrysning implementeres i en EU-retsakt og offentliggøres i EU-Tidende, følge de krav til indefrysning, der følger af Erhvervsstyrelsens ”Vejledning om indefrysning”, herunder indberetning om indefrysningen til Erhvervsstyrelsen.</w:t>
      </w:r>
    </w:p>
    <w:p w14:paraId="65126176"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Der påtænkes med lovforslaget ingen ændring i de nuværende regler om indefrysning på grundlag af en sanktionsliste, hvorefter Erhvervsstyrelsen, der er den kompetente myndighed på området og administrerer reglerne om indefrysning, straks skal underrettes, når fysiske eller juridiske personer foretager indefrysning af midler på baggrund af EU's lister, ligesom der parallelt skal foretages en underretning til Hvidvasksekretariatet, hvis der opstår mistanke om finansiering af terrorisme (TFR).</w:t>
      </w:r>
    </w:p>
    <w:p w14:paraId="0D31DC7D" w14:textId="51B68F36"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virksomhed eller person omfattet af hvidvaskloven, som ikke foretager indefrysning af midler i overensstemmelse med den foreslåede bestemmelse i hvidvasklovens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_Ref232610117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3, kan straffes i medfør af straffelovens § 110 c, stk. 2, hvorefter den, som overtræder bestemmelser eller forbud, som i henhold til lov måtte være givet til gennemførelse af statens forpligtelser som medlem af Forenede Nationer, straffes med bøde eller fængsel indtil 5 år eller under særligt skærpende omstændigheder med fængsel indtil 8 år. </w:t>
      </w:r>
    </w:p>
    <w:p w14:paraId="4CE45B1C"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Efter § 110 c, stk. 6, straffes uagtsomme overtrædelser af § 110 c, stk. 2, med bøde eller fængsel indtil 3 år.</w:t>
      </w:r>
    </w:p>
    <w:p w14:paraId="6F8827BF"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Der vil således være strafbart, hvis en virksomhed eller person omfattet af bestemmelserne i hvidvaskloven ikke uden ugrundet ophold efter offentliggørelsen af et navn på den danske myndigheds hjemmeside har indefrosset midler, som ejes eller besiddes af den pågældende fysiske eller juridiske person, gruppe eller enhed.</w:t>
      </w:r>
    </w:p>
    <w:p w14:paraId="5569BDC6"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Kravet om indefrysning af midler uden ugrundet ophold indebærer, at midlerne skal indefryses umiddelbart efter, at der er sket offentliggørelse af navnet på den fysiske eller juridisk person, gruppe eller enhed, som ejer eller besidder midlerne, på den danske myndigheds hjemmeside. Det bemærkes dog, at virksomheden eller personen i almindelighed bør indrømmes en vis kortere tidsperiode, fra en ændring af den danske myndigheds hjemmeside offentliggøres, til forpligtelsen til indefrysning kan kræves opfyldt og til, at der dermed kan blive tale om strafansvar for manglende opfyldelse. Det beror i øvrigt på en konkret vurdering, om en virksomhed eller person ville kunne straffes for manglende indefrysning af en kundes midler uden ugrundet ophold. Ved vurderingen skal der bl.a. tages hensyn til offentliggørelsestidspunktet for den relevante ændring af den danske myndigheds hjemmeside og forholdene i øvrigt.</w:t>
      </w:r>
    </w:p>
    <w:p w14:paraId="54A24AA4"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4, </w:t>
      </w:r>
      <w:r w:rsidRPr="00796736">
        <w:rPr>
          <w:rFonts w:ascii="Times New Roman" w:hAnsi="Times New Roman" w:cs="Times New Roman"/>
          <w:sz w:val="24"/>
          <w:szCs w:val="24"/>
        </w:rPr>
        <w:t>at virksomheder og personer omfattet af denne lov ligeledes er forpligtet til at indefryse midler eller andre aktiver uden ugrundet ophold, hvis midlerne eller aktiverne ejes, besiddes eller kontrolleres af nogen, der handler på vegne af eller under instruktion fra fysiske eller juridiske personer, grupper eller enheder, hvis navne er offentliggjort på den danske myndigheds hjemmeside, jf. stk. 1.</w:t>
      </w:r>
    </w:p>
    <w:p w14:paraId="71165D20" w14:textId="77777777" w:rsidR="004A72D6" w:rsidRPr="00796736" w:rsidRDefault="004A72D6" w:rsidP="00A802A5">
      <w:pPr>
        <w:spacing w:line="360" w:lineRule="auto"/>
        <w:rPr>
          <w:rFonts w:ascii="Times New Roman" w:hAnsi="Times New Roman" w:cs="Times New Roman"/>
          <w:sz w:val="24"/>
          <w:szCs w:val="24"/>
        </w:rPr>
      </w:pPr>
    </w:p>
    <w:p w14:paraId="01FF95E1" w14:textId="2C9AE7B6"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enheder forpligtet efter loven fremover også skal foretage indefrysning af midler eller andre aktiver, hvis </w:t>
      </w:r>
      <w:r w:rsidRPr="00796736">
        <w:rPr>
          <w:rFonts w:ascii="Times New Roman" w:eastAsia="Times New Roman" w:hAnsi="Times New Roman" w:cs="Times New Roman"/>
          <w:sz w:val="24"/>
          <w:szCs w:val="24"/>
          <w:lang w:eastAsia="da-DK"/>
        </w:rPr>
        <w:t>midlerne eller aktiverne ejes, besiddes eller kontrolleres af nogen, der handler på vegne af eller under instruktion fra nogen, hvis navne er offentliggjort på den danske myndigheds hjemmeside. Med udtrykkene ”på vegne af” og ”under instruktion fra ”henvises der til ordenes sproglige betydning. Der kan eksempelvis være tale om, at nogen handler for en andens regning, eller at man agerer som repræsentant for nogen, som er opført på listen omtalt i</w:t>
      </w:r>
      <w:r w:rsidR="00FA6C24" w:rsidRPr="00796736">
        <w:rPr>
          <w:rFonts w:ascii="Times New Roman" w:eastAsia="Times New Roman" w:hAnsi="Times New Roman" w:cs="Times New Roman"/>
          <w:sz w:val="24"/>
          <w:szCs w:val="24"/>
          <w:lang w:eastAsia="da-DK"/>
        </w:rPr>
        <w:t xml:space="preserve"> </w:t>
      </w:r>
      <w:r w:rsidR="00FA6C24" w:rsidRPr="00796736">
        <w:rPr>
          <w:rFonts w:ascii="Times New Roman" w:eastAsia="Times New Roman" w:hAnsi="Times New Roman" w:cs="Times New Roman"/>
          <w:sz w:val="24"/>
          <w:szCs w:val="24"/>
          <w:lang w:eastAsia="da-DK"/>
        </w:rPr>
        <w:fldChar w:fldCharType="begin"/>
      </w:r>
      <w:r w:rsidR="00FA6C24" w:rsidRPr="00796736">
        <w:rPr>
          <w:rFonts w:ascii="Times New Roman" w:eastAsia="Times New Roman" w:hAnsi="Times New Roman" w:cs="Times New Roman"/>
          <w:sz w:val="24"/>
          <w:szCs w:val="24"/>
          <w:lang w:eastAsia="da-DK"/>
        </w:rPr>
        <w:instrText xml:space="preserve"> REF _Ref242815842 \r \h </w:instrText>
      </w:r>
      <w:r w:rsidR="00AB17CC" w:rsidRPr="00796736">
        <w:rPr>
          <w:rFonts w:ascii="Times New Roman" w:eastAsia="Times New Roman" w:hAnsi="Times New Roman" w:cs="Times New Roman"/>
          <w:sz w:val="24"/>
          <w:szCs w:val="24"/>
          <w:lang w:eastAsia="da-DK"/>
        </w:rPr>
        <w:instrText xml:space="preserve"> \* MERGEFORMAT </w:instrText>
      </w:r>
      <w:r w:rsidR="00FA6C24" w:rsidRPr="00796736">
        <w:rPr>
          <w:rFonts w:ascii="Times New Roman" w:eastAsia="Times New Roman" w:hAnsi="Times New Roman" w:cs="Times New Roman"/>
          <w:sz w:val="24"/>
          <w:szCs w:val="24"/>
          <w:lang w:eastAsia="da-DK"/>
        </w:rPr>
      </w:r>
      <w:r w:rsidR="00FA6C24"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12</w:t>
      </w:r>
      <w:r w:rsidR="00FA6C24"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1. I de tilfælde vil de forpligtede enheder være forpligtet til at foretage indefrysning, også selvom aktivet ikke ejes, besiddes eller kontrolleres fysisk af den sanktionerede opført på listen. Med ”under instruktion fra” henvises der til den situation, hvor nogen</w:t>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udfører opgaver eller foretager handlinger efter vejledning, ordre eller anvisninger fra en person opført på listen i</w:t>
      </w:r>
      <w:r w:rsidR="00FA6C24" w:rsidRPr="00796736">
        <w:rPr>
          <w:rFonts w:ascii="Times New Roman" w:eastAsia="Times New Roman" w:hAnsi="Times New Roman" w:cs="Times New Roman"/>
          <w:sz w:val="24"/>
          <w:szCs w:val="24"/>
          <w:lang w:eastAsia="da-DK"/>
        </w:rPr>
        <w:t xml:space="preserve"> </w:t>
      </w:r>
      <w:r w:rsidR="00FA6C24" w:rsidRPr="00796736">
        <w:rPr>
          <w:rFonts w:ascii="Times New Roman" w:eastAsia="Times New Roman" w:hAnsi="Times New Roman" w:cs="Times New Roman"/>
          <w:sz w:val="24"/>
          <w:szCs w:val="24"/>
          <w:lang w:eastAsia="da-DK"/>
        </w:rPr>
        <w:fldChar w:fldCharType="begin"/>
      </w:r>
      <w:r w:rsidR="00FA6C24" w:rsidRPr="00796736">
        <w:rPr>
          <w:rFonts w:ascii="Times New Roman" w:eastAsia="Times New Roman" w:hAnsi="Times New Roman" w:cs="Times New Roman"/>
          <w:sz w:val="24"/>
          <w:szCs w:val="24"/>
          <w:lang w:eastAsia="da-DK"/>
        </w:rPr>
        <w:instrText xml:space="preserve"> REF _Ref242815842 \r \h </w:instrText>
      </w:r>
      <w:r w:rsidR="00AB17CC" w:rsidRPr="00796736">
        <w:rPr>
          <w:rFonts w:ascii="Times New Roman" w:eastAsia="Times New Roman" w:hAnsi="Times New Roman" w:cs="Times New Roman"/>
          <w:sz w:val="24"/>
          <w:szCs w:val="24"/>
          <w:lang w:eastAsia="da-DK"/>
        </w:rPr>
        <w:instrText xml:space="preserve"> \* MERGEFORMAT </w:instrText>
      </w:r>
      <w:r w:rsidR="00FA6C24" w:rsidRPr="00796736">
        <w:rPr>
          <w:rFonts w:ascii="Times New Roman" w:eastAsia="Times New Roman" w:hAnsi="Times New Roman" w:cs="Times New Roman"/>
          <w:sz w:val="24"/>
          <w:szCs w:val="24"/>
          <w:lang w:eastAsia="da-DK"/>
        </w:rPr>
      </w:r>
      <w:r w:rsidR="00FA6C24"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12</w:t>
      </w:r>
      <w:r w:rsidR="00FA6C24"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1. Ændringen i stk. 4 indføres for at imødekomme kritik fra FATF, der har kritiseret, at den danske implementering ikke tog højde for situationer, hvor den sanktionsdesignerede, der giver anledning til indefrysning, ikke selv har kontrol med aktivet eller midlet, der skal indefryses, men f.eks. anvender en stråmand til at håndtere det, der skal indefryses. Der henvises her til FATF’s standarder på R.6 og R.7</w:t>
      </w:r>
      <w:r w:rsidRPr="00796736">
        <w:rPr>
          <w:rFonts w:ascii="Times New Roman" w:hAnsi="Times New Roman" w:cs="Times New Roman"/>
          <w:sz w:val="24"/>
          <w:szCs w:val="24"/>
        </w:rPr>
        <w:t>, der har til formål at forhindre, at penge og værdier havner hos personer eller enheder, der er involveret i terrorisme eller spredning af masseødelæggelsesvåben.</w:t>
      </w:r>
    </w:p>
    <w:p w14:paraId="452598F4" w14:textId="77777777" w:rsidR="004A72D6" w:rsidRPr="00796736" w:rsidRDefault="004A72D6" w:rsidP="00A802A5">
      <w:pPr>
        <w:spacing w:line="360" w:lineRule="auto"/>
        <w:rPr>
          <w:rFonts w:ascii="Times New Roman" w:hAnsi="Times New Roman" w:cs="Times New Roman"/>
          <w:sz w:val="24"/>
          <w:szCs w:val="24"/>
        </w:rPr>
      </w:pPr>
    </w:p>
    <w:p w14:paraId="4E6995AB"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Indefrysning skal ligesom i stk. 3, ske ”uden ugrundet ophold”. Det indebærer, at midlerne skal indefryses straks efter, at den forpligtede enhed har konstateret, at der handles på vegne af eller under instruktion fra nogen, hvis navn er offentliggjort, på den danske myndigheds hjemmeside efter stk. 1. Det beror i øvrigt på en konkret vurdering, om en virksomhed eller person har iagttaget sin pligt til indefrysning af en kundes midler uden ugrundet ophold.</w:t>
      </w:r>
    </w:p>
    <w:p w14:paraId="439FA779" w14:textId="77777777" w:rsidR="004A72D6" w:rsidRPr="00796736" w:rsidRDefault="004A72D6" w:rsidP="00A802A5">
      <w:pPr>
        <w:spacing w:line="360" w:lineRule="auto"/>
        <w:rPr>
          <w:rFonts w:ascii="Times New Roman" w:hAnsi="Times New Roman" w:cs="Times New Roman"/>
          <w:sz w:val="24"/>
          <w:szCs w:val="24"/>
        </w:rPr>
      </w:pPr>
    </w:p>
    <w:p w14:paraId="5EE8AB71" w14:textId="27E831EB"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Har en virksomhed indefrosset midler i henhold til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_Ref232610117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skal virksomheden, når forpligtelsen til indefrysning implementeres i en EU-retsakt og offentliggøres i EU-Tidende, følge de krav til indefrysning, der følger af Erhvervsstyrelsens ”Vejledning om indefrysning”, herunder indberetning om indefrysningen til Erhvervsstyrelsen.</w:t>
      </w:r>
    </w:p>
    <w:p w14:paraId="1F05E9C4"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Der påtænkes med lovforslaget ingen ændring i de nuværende regler om indefrysning på grundlag af en sanktionsliste, hvorefter Erhvervsstyrelsen, der er den kompetente myndighed på området og administrerer reglerne om indefrysning, straks skal underrettes, når fysiske eller juridiske personer foretager indefrysning af midler på baggrund af EU's lister, ligesom der parallelt skal foretages en underretning til Hvidvasksekretariatet, hvis der opstår mistanke om finansiering af terrorisme (TFR).</w:t>
      </w:r>
    </w:p>
    <w:p w14:paraId="40E5C444" w14:textId="6E924F0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virksomhed eller person omfattet af hvidvaskloven, som ikke foretager indefrysning af midler i overensstemmelse med den foreslåede bestemmelse i hvidvasklovens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_Ref232610117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4, kan straffes i medfør af straffelovens § 110 c, stk. 2, hvorefter den, som overtræder bestemmelser eller forbud, som i henhold til lov måtte være givet til gennemførelse af statens forpligtelser som medlem af Forenede Nationer, straffes med bøde eller fængsel indtil 5 år eller under særligt skærpende omstændigheder med fængsel indtil 8 år. </w:t>
      </w:r>
    </w:p>
    <w:p w14:paraId="49A74A28"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Efter § 110 c, stk. 6, straffes uagtsomme overtrædelser af § 110 c, stk. 2, med bøde eller fængsel indtil 3 år.</w:t>
      </w:r>
    </w:p>
    <w:p w14:paraId="31D4B820"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Der vil således være strafbart, hvis en virksomhed eller person omfattet af bestemmelserne i hvidvaskloven ikke uden ugrundet ophold efter offentliggørelsen af et navn på den danske myndigheds hjemmeside har indefrosset midler, som ejes eller besiddes af den pågældende fysiske eller juridiske person, gruppe eller enhed.</w:t>
      </w:r>
    </w:p>
    <w:p w14:paraId="18014D50" w14:textId="428CD023"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Kravet om indefrysning af midler uden ugrundet ophold indebærer, at midlerne skal indefryses umiddelbart efter, at der er sket offentliggørelse af navnet på den fysiske eller juridisk person, gruppe eller enhed, som ejer eller besidder midlerne, på den danske myndigheds hjemmeside. Det bemærkes dog, at virksomheden eller personen i almindelighed bør indrømmes en vis kortere tidsperiode, fra en ændring af den danske myndigheds hjemmeside offentliggøres, til forpligtelsen til indefrysning kan kræves opfyldt og til, at der dermed kan blive tale om strafansvar for manglende opfyldelse. Det beror i øvrigt på en konkret vurdering, om en virksomhed eller person ville kunne straffes for manglende indefrysning af en kundes midler uden ugrundet ophold. Ved vurderingen skal der bl.a. tages hensyn til offentliggørelsestidspunktet for den relevante ændring af den danske myndigheds hjemmeside og forholdene i øvrigt.</w:t>
      </w:r>
    </w:p>
    <w:p w14:paraId="48E3479C" w14:textId="5E7C19DC"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at forpligtelsen til at indefryse bortfalder, hvis den fysiske eller juridiske person, gruppe eller enhed fjernes fra hjemmesiden.</w:t>
      </w:r>
    </w:p>
    <w:p w14:paraId="7D6D9707"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Forpligtelsen efter stk. 3 og stk. 4 er gældende, indtil den fysiske eller juridiske person, gruppe eller enhed fjernes fra den danske myndigheds hjemmeside. </w:t>
      </w:r>
    </w:p>
    <w:p w14:paraId="487D9AE3" w14:textId="59F8E75C"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Forpligtelsen skal endvidere anses for bortfaldet, hvis navnet fjernes fra FN’s sanktionslister, uanset om den danske myndighed endnu har fjernet det pågældende navn fra myndighedens hjemmeside.</w:t>
      </w:r>
    </w:p>
    <w:p w14:paraId="15ABD181" w14:textId="77777777" w:rsidR="00A43B0D" w:rsidRPr="00796736" w:rsidRDefault="00A43B0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Hvis et navn måtte blive fjernet fra FN’s sanktionslister, men fortsat fremgår af den danske myndigheds hjemmeside, f.eks. grundet myndighedens mangelfulde ajourføring af hjemmesiden, forudsættes det, at forpligtelsen til at indefryse midler tilhørende den pågældende skal anses for bortfaldet.</w:t>
      </w:r>
    </w:p>
    <w:p w14:paraId="31697679" w14:textId="49F16323" w:rsidR="00FD70EA" w:rsidRPr="00796736" w:rsidRDefault="00FD70EA"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henvises i øvrigt til pkt. </w:t>
      </w:r>
      <w:r w:rsidR="004A72D6" w:rsidRPr="00796736">
        <w:rPr>
          <w:rFonts w:ascii="Times New Roman" w:eastAsia="Calibri" w:hAnsi="Times New Roman" w:cs="Times New Roman"/>
          <w:sz w:val="24"/>
          <w:szCs w:val="24"/>
        </w:rPr>
        <w:fldChar w:fldCharType="begin"/>
      </w:r>
      <w:r w:rsidR="004A72D6" w:rsidRPr="00796736">
        <w:rPr>
          <w:rFonts w:ascii="Times New Roman" w:eastAsia="Calibri" w:hAnsi="Times New Roman" w:cs="Times New Roman"/>
          <w:sz w:val="24"/>
          <w:szCs w:val="24"/>
        </w:rPr>
        <w:instrText xml:space="preserve"> REF _Ref241668840 \n \h </w:instrText>
      </w:r>
      <w:r w:rsidR="001A2696" w:rsidRPr="00796736">
        <w:rPr>
          <w:rFonts w:ascii="Times New Roman" w:eastAsia="Calibri" w:hAnsi="Times New Roman" w:cs="Times New Roman"/>
          <w:sz w:val="24"/>
          <w:szCs w:val="24"/>
        </w:rPr>
        <w:instrText xml:space="preserve"> \* MERGEFORMAT </w:instrText>
      </w:r>
      <w:r w:rsidR="004A72D6" w:rsidRPr="00796736">
        <w:rPr>
          <w:rFonts w:ascii="Times New Roman" w:eastAsia="Calibri" w:hAnsi="Times New Roman" w:cs="Times New Roman"/>
          <w:sz w:val="24"/>
          <w:szCs w:val="24"/>
        </w:rPr>
      </w:r>
      <w:r w:rsidR="004A72D6"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3.12</w:t>
      </w:r>
      <w:r w:rsidR="004A72D6" w:rsidRPr="00796736">
        <w:rPr>
          <w:rFonts w:ascii="Times New Roman" w:eastAsia="Calibri" w:hAnsi="Times New Roman" w:cs="Times New Roman"/>
          <w:sz w:val="24"/>
          <w:szCs w:val="24"/>
        </w:rPr>
        <w:fldChar w:fldCharType="end"/>
      </w:r>
      <w:r w:rsidR="004A72D6"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i lovforslagets almindelige bemærkninger.</w:t>
      </w:r>
    </w:p>
    <w:p w14:paraId="77F81289" w14:textId="77777777" w:rsidR="00A43B0D" w:rsidRPr="00796736" w:rsidRDefault="00A43B0D" w:rsidP="00A802A5">
      <w:pPr>
        <w:spacing w:line="360" w:lineRule="auto"/>
        <w:rPr>
          <w:rFonts w:ascii="Times New Roman" w:hAnsi="Times New Roman" w:cs="Times New Roman"/>
          <w:sz w:val="24"/>
          <w:szCs w:val="24"/>
          <w:lang w:eastAsia="da-DK"/>
        </w:rPr>
      </w:pPr>
    </w:p>
    <w:p w14:paraId="5FFB471A" w14:textId="3FC62492" w:rsidR="0060613B" w:rsidRPr="00796736" w:rsidRDefault="00D92FAA" w:rsidP="00A802A5">
      <w:pPr>
        <w:pStyle w:val="Undertitel"/>
      </w:pPr>
      <w:bookmarkStart w:id="1891" w:name="_Toc244879310"/>
      <w:bookmarkStart w:id="1892" w:name="_Toc244880835"/>
      <w:r w:rsidRPr="00796736">
        <w:t xml:space="preserve">Til </w:t>
      </w:r>
      <w:r w:rsidR="00161898" w:rsidRPr="00796736">
        <w:fldChar w:fldCharType="begin"/>
      </w:r>
      <w:r w:rsidR="00161898" w:rsidRPr="00796736">
        <w:instrText xml:space="preserve"> REF _Ref232595580 \r \h </w:instrText>
      </w:r>
      <w:r w:rsidR="00967618" w:rsidRPr="00796736">
        <w:instrText xml:space="preserve"> \* MERGEFORMAT </w:instrText>
      </w:r>
      <w:r w:rsidR="00161898" w:rsidRPr="00796736">
        <w:fldChar w:fldCharType="separate"/>
      </w:r>
      <w:r w:rsidR="008F29E5">
        <w:t>§ 14</w:t>
      </w:r>
      <w:bookmarkEnd w:id="1891"/>
      <w:bookmarkEnd w:id="1892"/>
      <w:r w:rsidR="00161898" w:rsidRPr="00796736">
        <w:fldChar w:fldCharType="end"/>
      </w:r>
      <w:r w:rsidR="00161898" w:rsidRPr="00796736">
        <w:t xml:space="preserve"> </w:t>
      </w:r>
      <w:bookmarkEnd w:id="1888"/>
    </w:p>
    <w:p w14:paraId="58E1DDB6" w14:textId="34F979F0"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Hvidvasklovens § 29, stk. 1 og 2, samt FIU-cirkulærets § 2</w:t>
      </w:r>
      <w:r w:rsidR="00027849">
        <w:rPr>
          <w:rFonts w:ascii="Times New Roman" w:hAnsi="Times New Roman" w:cs="Times New Roman"/>
          <w:sz w:val="24"/>
          <w:szCs w:val="24"/>
          <w:bdr w:val="none" w:sz="0" w:space="0" w:color="auto" w:frame="1"/>
        </w:rPr>
        <w:t>,</w:t>
      </w:r>
      <w:r w:rsidRPr="00796736">
        <w:rPr>
          <w:rFonts w:ascii="Times New Roman" w:hAnsi="Times New Roman" w:cs="Times New Roman"/>
          <w:sz w:val="24"/>
          <w:szCs w:val="24"/>
          <w:bdr w:val="none" w:sz="0" w:space="0" w:color="auto" w:frame="1"/>
        </w:rPr>
        <w:t xml:space="preserve"> regulerer oprettelsen af Hvidvasksekretariatet som FIU og fastsætter rammerne for sekretariatets opgaver og organisation mv. </w:t>
      </w:r>
    </w:p>
    <w:p w14:paraId="6C036F66"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5AD5858D" w14:textId="77777777" w:rsidR="00A4469C" w:rsidRPr="00796736"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Efter hvidvasklovens § 29, stk. 1, er den danske finansielle efterretningsenhed Hvidvasksekretariatet hos National enhed for Særlig Kriminalitet. Hvidvasksekretariatet er operationelt uafhængigt og selvstændigt virkende, hvorved forstås, at sekretariatet har kompetence og kapacitet til at udføre sine opgaver frit og selvstændigt kan træffe beslutninger om at analysere, anmode om og formidle specifikke oplysninger som beskrevet i lovens § 29, stk. 2. </w:t>
      </w:r>
    </w:p>
    <w:p w14:paraId="4C7168D5" w14:textId="77777777" w:rsidR="00A4469C" w:rsidRPr="00796736"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Efter hvidvasklovs § 29, stk. 2, nr. 1, har Hvidvasksekretariatet som central national enhed til opgave at modtage og analysere underretninger om mistænkelige transaktioner og andre oplysninger af relevans for hvidvask af penge, tilknyttede underliggende forbrydelser eller finansiering af terrorisme.</w:t>
      </w:r>
    </w:p>
    <w:p w14:paraId="35CFA1D3" w14:textId="77777777" w:rsidR="00A4469C" w:rsidRPr="00796736"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Efter hvidvasklovens § 29, stk. 2, nr. 2, har Hvidvasksekretariatet endvidere til opgave at formidle resultaterne af sin analyse og alle yderligere relevante oplysninger til kompetente myndigheder, organer og instanser ved mistanke om hvidvask af penge, tilknyttede underliggende forbrydelser eller finansiering af terrorisme. </w:t>
      </w:r>
    </w:p>
    <w:p w14:paraId="797FEB73" w14:textId="77777777" w:rsidR="00A4469C" w:rsidRPr="00796736"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fremgår af § 2 i FIU-cirkulæret, at Hvidvasksekretariatets analysefunktion består af operativ analyse, som fokuserer på individuelle tilfælde og bestemte mål eller relevante udvalgte oplysninger, afhængig af typen og mængden af de modtagne oplysninger og den forventede anvendelse af oplysningerne efter formidling (nr. 1), og strategisk analyse, som vedrører tendenser og mønstre for hvidvask af penge og finansiering af terrorisme (nr. 2). </w:t>
      </w:r>
    </w:p>
    <w:p w14:paraId="3B7885C7" w14:textId="4AA4B229"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For en nærmere beskrivelse af gældende ret henvises til pkt. </w:t>
      </w:r>
      <w:r w:rsidR="00C62376" w:rsidRPr="00796736">
        <w:rPr>
          <w:rFonts w:ascii="Times New Roman" w:hAnsi="Times New Roman" w:cs="Times New Roman"/>
          <w:sz w:val="24"/>
          <w:szCs w:val="24"/>
          <w:bdr w:val="none" w:sz="0" w:space="0" w:color="auto" w:frame="1"/>
        </w:rPr>
        <w:fldChar w:fldCharType="begin"/>
      </w:r>
      <w:r w:rsidR="00C62376" w:rsidRPr="00796736">
        <w:rPr>
          <w:rFonts w:ascii="Times New Roman" w:hAnsi="Times New Roman" w:cs="Times New Roman"/>
          <w:sz w:val="24"/>
          <w:szCs w:val="24"/>
          <w:bdr w:val="none" w:sz="0" w:space="0" w:color="auto" w:frame="1"/>
        </w:rPr>
        <w:instrText xml:space="preserve"> REF _Ref232944928 \n \h </w:instrText>
      </w:r>
      <w:r w:rsidR="00967618" w:rsidRPr="00796736">
        <w:rPr>
          <w:rFonts w:ascii="Times New Roman" w:hAnsi="Times New Roman" w:cs="Times New Roman"/>
          <w:sz w:val="24"/>
          <w:szCs w:val="24"/>
          <w:bdr w:val="none" w:sz="0" w:space="0" w:color="auto" w:frame="1"/>
        </w:rPr>
        <w:instrText xml:space="preserve"> \* MERGEFORMAT </w:instrText>
      </w:r>
      <w:r w:rsidR="00C62376" w:rsidRPr="00796736">
        <w:rPr>
          <w:rFonts w:ascii="Times New Roman" w:hAnsi="Times New Roman" w:cs="Times New Roman"/>
          <w:sz w:val="24"/>
          <w:szCs w:val="24"/>
          <w:bdr w:val="none" w:sz="0" w:space="0" w:color="auto" w:frame="1"/>
        </w:rPr>
      </w:r>
      <w:r w:rsidR="00C6237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3.13.1</w:t>
      </w:r>
      <w:r w:rsidR="00C62376" w:rsidRPr="00796736">
        <w:rPr>
          <w:rFonts w:ascii="Times New Roman" w:hAnsi="Times New Roman" w:cs="Times New Roman"/>
          <w:sz w:val="24"/>
          <w:szCs w:val="24"/>
          <w:bdr w:val="none" w:sz="0" w:space="0" w:color="auto" w:frame="1"/>
        </w:rPr>
        <w:fldChar w:fldCharType="end"/>
      </w:r>
      <w:r w:rsidR="00C62376" w:rsidRPr="00796736">
        <w:rPr>
          <w:rFonts w:ascii="Times New Roman" w:hAnsi="Times New Roman" w:cs="Times New Roman"/>
          <w:sz w:val="24"/>
          <w:szCs w:val="24"/>
          <w:bdr w:val="none" w:sz="0" w:space="0" w:color="auto" w:frame="1"/>
        </w:rPr>
        <w:t xml:space="preserve"> </w:t>
      </w:r>
      <w:r w:rsidRPr="00796736">
        <w:rPr>
          <w:rFonts w:ascii="Times New Roman" w:hAnsi="Times New Roman" w:cs="Times New Roman"/>
          <w:sz w:val="24"/>
          <w:szCs w:val="24"/>
          <w:bdr w:val="none" w:sz="0" w:space="0" w:color="auto" w:frame="1"/>
        </w:rPr>
        <w:t>i lovforslagets almindelige bemærkninger.</w:t>
      </w:r>
    </w:p>
    <w:p w14:paraId="19B0E575"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325F7BE4" w14:textId="466E2416"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Med den foreslåede </w:t>
      </w:r>
      <w:r w:rsidR="00FD70EA" w:rsidRPr="00796736">
        <w:rPr>
          <w:rFonts w:ascii="Times New Roman" w:hAnsi="Times New Roman" w:cs="Times New Roman"/>
          <w:sz w:val="24"/>
          <w:szCs w:val="24"/>
          <w:bdr w:val="none" w:sz="0" w:space="0" w:color="auto" w:frame="1"/>
        </w:rPr>
        <w:fldChar w:fldCharType="begin"/>
      </w:r>
      <w:r w:rsidR="00FD70EA" w:rsidRPr="00796736">
        <w:rPr>
          <w:rFonts w:ascii="Times New Roman" w:hAnsi="Times New Roman" w:cs="Times New Roman"/>
          <w:sz w:val="24"/>
          <w:szCs w:val="24"/>
          <w:bdr w:val="none" w:sz="0" w:space="0" w:color="auto" w:frame="1"/>
        </w:rPr>
        <w:instrText xml:space="preserve"> REF _Ref232595580 \r \h </w:instrText>
      </w:r>
      <w:r w:rsidR="00967618" w:rsidRPr="00796736">
        <w:rPr>
          <w:rFonts w:ascii="Times New Roman" w:hAnsi="Times New Roman" w:cs="Times New Roman"/>
          <w:sz w:val="24"/>
          <w:szCs w:val="24"/>
          <w:bdr w:val="none" w:sz="0" w:space="0" w:color="auto" w:frame="1"/>
        </w:rPr>
        <w:instrText xml:space="preserve"> \* MERGEFORMAT </w:instrText>
      </w:r>
      <w:r w:rsidR="00FD70EA" w:rsidRPr="00796736">
        <w:rPr>
          <w:rFonts w:ascii="Times New Roman" w:hAnsi="Times New Roman" w:cs="Times New Roman"/>
          <w:sz w:val="24"/>
          <w:szCs w:val="24"/>
          <w:bdr w:val="none" w:sz="0" w:space="0" w:color="auto" w:frame="1"/>
        </w:rPr>
      </w:r>
      <w:r w:rsidR="00FD70EA"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14</w:t>
      </w:r>
      <w:r w:rsidR="00FD70EA" w:rsidRPr="00796736">
        <w:rPr>
          <w:rFonts w:ascii="Times New Roman" w:hAnsi="Times New Roman" w:cs="Times New Roman"/>
          <w:sz w:val="24"/>
          <w:szCs w:val="24"/>
          <w:bdr w:val="none" w:sz="0" w:space="0" w:color="auto" w:frame="1"/>
        </w:rPr>
        <w:fldChar w:fldCharType="end"/>
      </w:r>
      <w:r w:rsidR="00FD70EA" w:rsidRPr="00796736">
        <w:rPr>
          <w:rFonts w:ascii="Times New Roman" w:hAnsi="Times New Roman" w:cs="Times New Roman"/>
          <w:sz w:val="24"/>
          <w:szCs w:val="24"/>
          <w:bdr w:val="none" w:sz="0" w:space="0" w:color="auto" w:frame="1"/>
        </w:rPr>
        <w:t xml:space="preserve"> </w:t>
      </w:r>
      <w:r w:rsidRPr="00796736">
        <w:rPr>
          <w:rFonts w:ascii="Times New Roman" w:hAnsi="Times New Roman" w:cs="Times New Roman"/>
          <w:sz w:val="24"/>
          <w:szCs w:val="24"/>
          <w:bdr w:val="none" w:sz="0" w:space="0" w:color="auto" w:frame="1"/>
        </w:rPr>
        <w:t>lægges der op til at fastsætte regler om at Hvidvasksekretariatet er FIU. Bestemmelsen vil endvidere indeholde regler om sekretariatets opgaver, uafhængighed, fortrolighed m.v.</w:t>
      </w:r>
    </w:p>
    <w:p w14:paraId="1420B11F"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185D6684" w14:textId="77777777" w:rsidR="00381C08" w:rsidRPr="00796736" w:rsidRDefault="00381C08" w:rsidP="00381C08">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foreslås med </w:t>
      </w:r>
      <w:r w:rsidRPr="00796736">
        <w:rPr>
          <w:rFonts w:ascii="Times New Roman" w:hAnsi="Times New Roman" w:cs="Times New Roman"/>
          <w:i/>
          <w:iCs/>
          <w:sz w:val="24"/>
          <w:szCs w:val="24"/>
          <w:bdr w:val="none" w:sz="0" w:space="0" w:color="auto" w:frame="1"/>
        </w:rPr>
        <w:t>stk. 1</w:t>
      </w:r>
      <w:r w:rsidRPr="00796736">
        <w:rPr>
          <w:rFonts w:ascii="Times New Roman" w:hAnsi="Times New Roman" w:cs="Times New Roman"/>
          <w:sz w:val="24"/>
          <w:szCs w:val="24"/>
          <w:bdr w:val="none" w:sz="0" w:space="0" w:color="auto" w:frame="1"/>
        </w:rPr>
        <w:t xml:space="preserve">, at den danske finansielle efterretningsenhed er Hvidvasksekretariatet hos National enhed for Særlig Kriminalitet. Hvidvasksekretariatet har til opgave at forebygge, opdage og effektivt bekæmpe hvidvask og </w:t>
      </w:r>
      <w:r>
        <w:rPr>
          <w:rFonts w:ascii="Times New Roman" w:hAnsi="Times New Roman" w:cs="Times New Roman"/>
          <w:sz w:val="24"/>
          <w:szCs w:val="24"/>
          <w:bdr w:val="none" w:sz="0" w:space="0" w:color="auto" w:frame="1"/>
        </w:rPr>
        <w:t>terrorfinansiering</w:t>
      </w:r>
      <w:r w:rsidRPr="00796736">
        <w:rPr>
          <w:rFonts w:ascii="Times New Roman" w:hAnsi="Times New Roman" w:cs="Times New Roman"/>
          <w:sz w:val="24"/>
          <w:szCs w:val="24"/>
          <w:bdr w:val="none" w:sz="0" w:space="0" w:color="auto" w:frame="1"/>
        </w:rPr>
        <w:t>.</w:t>
      </w:r>
    </w:p>
    <w:p w14:paraId="0661CCDB"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70FCAF0B" w14:textId="14188044" w:rsidR="00A4469C" w:rsidRPr="00796736"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Den foreslåede bestemmelse vil indebære, at Hvidvasksekretariatet hos National enhed for Særlig Kriminalitet, ligesom efter hvidvasklovens § 29, stk. 1, 1. pkt., vil være den danske FIU. Bestemmelsen vil endvidere indebære, at sekretariatet har til opgave at forebygge, opdage og effektivt bekæmpe hvidvask og finansiering af terrorisme.</w:t>
      </w:r>
    </w:p>
    <w:p w14:paraId="25022AD8" w14:textId="77777777" w:rsidR="009E74F1" w:rsidRPr="00796736" w:rsidRDefault="009E74F1" w:rsidP="009E74F1">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foreslås med </w:t>
      </w:r>
      <w:r w:rsidRPr="00796736">
        <w:rPr>
          <w:rFonts w:ascii="Times New Roman" w:hAnsi="Times New Roman" w:cs="Times New Roman"/>
          <w:i/>
          <w:iCs/>
          <w:sz w:val="24"/>
          <w:szCs w:val="24"/>
          <w:bdr w:val="none" w:sz="0" w:space="0" w:color="auto" w:frame="1"/>
        </w:rPr>
        <w:t>stk. 2, nr. 1</w:t>
      </w:r>
      <w:r w:rsidRPr="00796736">
        <w:rPr>
          <w:rFonts w:ascii="Times New Roman" w:hAnsi="Times New Roman" w:cs="Times New Roman"/>
          <w:sz w:val="24"/>
          <w:szCs w:val="24"/>
          <w:bdr w:val="none" w:sz="0" w:space="0" w:color="auto" w:frame="1"/>
        </w:rPr>
        <w:t xml:space="preserve">, at Hvidvasksekretariatet som fælles central national enhed er ansvarlig for at modtage og analysere underretninger, der indgives af </w:t>
      </w:r>
      <w:r>
        <w:rPr>
          <w:rFonts w:ascii="Times New Roman" w:hAnsi="Times New Roman" w:cs="Times New Roman"/>
          <w:sz w:val="24"/>
          <w:szCs w:val="24"/>
          <w:bdr w:val="none" w:sz="0" w:space="0" w:color="auto" w:frame="1"/>
        </w:rPr>
        <w:t>virksomheder og personer omfattet af loven</w:t>
      </w:r>
      <w:r w:rsidRPr="00796736">
        <w:rPr>
          <w:rFonts w:ascii="Times New Roman" w:hAnsi="Times New Roman" w:cs="Times New Roman"/>
          <w:sz w:val="24"/>
          <w:szCs w:val="24"/>
          <w:bdr w:val="none" w:sz="0" w:space="0" w:color="auto" w:frame="1"/>
        </w:rPr>
        <w:t xml:space="preserve"> i overensstemmelse med artikel 69 i hvidvaskforordningen, underretninger, der indgives af </w:t>
      </w:r>
      <w:r>
        <w:rPr>
          <w:rFonts w:ascii="Times New Roman" w:hAnsi="Times New Roman" w:cs="Times New Roman"/>
          <w:sz w:val="24"/>
          <w:szCs w:val="24"/>
          <w:bdr w:val="none" w:sz="0" w:space="0" w:color="auto" w:frame="1"/>
        </w:rPr>
        <w:t>virksomheder og personer</w:t>
      </w:r>
      <w:r w:rsidRPr="00796736">
        <w:rPr>
          <w:rFonts w:ascii="Times New Roman" w:hAnsi="Times New Roman" w:cs="Times New Roman"/>
          <w:sz w:val="24"/>
          <w:szCs w:val="24"/>
          <w:bdr w:val="none" w:sz="0" w:space="0" w:color="auto" w:frame="1"/>
        </w:rPr>
        <w:t xml:space="preserve"> i overensstemmelse med hvidvaskforordningens artikel 74 og artikel 80, stk. 4, litra b, og alle andre oplysninger, der er relevante for hvidvask, de underliggende lovovertrædelser eller terrorfinansiering, herunder oplysninger, der fremsendes af Skatteforvaltningen, samt oplysninger indgivet af tilsynsmyndigheder eller andre myndigheder.</w:t>
      </w:r>
    </w:p>
    <w:p w14:paraId="6F38FB91" w14:textId="6D6082EB" w:rsidR="00A4469C" w:rsidRPr="00796736"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Den foreslåede bestemmelse vil videreføre hvidvasklovens § 29, stk. 2, nr. 1, dog således at det er tilføjet, hvilke </w:t>
      </w:r>
      <w:r w:rsidR="00FB132B" w:rsidRPr="00796736">
        <w:rPr>
          <w:rFonts w:ascii="Times New Roman" w:hAnsi="Times New Roman" w:cs="Times New Roman"/>
          <w:sz w:val="24"/>
          <w:szCs w:val="24"/>
          <w:bdr w:val="none" w:sz="0" w:space="0" w:color="auto" w:frame="1"/>
        </w:rPr>
        <w:t>underretninger</w:t>
      </w:r>
      <w:r w:rsidRPr="00796736">
        <w:rPr>
          <w:rFonts w:ascii="Times New Roman" w:hAnsi="Times New Roman" w:cs="Times New Roman"/>
          <w:sz w:val="24"/>
          <w:szCs w:val="24"/>
          <w:bdr w:val="none" w:sz="0" w:space="0" w:color="auto" w:frame="1"/>
        </w:rPr>
        <w:t xml:space="preserve"> og oplysninger Hvidvasksekretariatet er ansvarlig for at modtage og analysere.</w:t>
      </w:r>
    </w:p>
    <w:p w14:paraId="737B4BB3" w14:textId="57FD7E76" w:rsidR="00FB132B" w:rsidRPr="00796736" w:rsidRDefault="00FB132B"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Med oplysninger der fremsendes af Skatteforvaltningen sigtes til oplysninger fremsendt i henhold til artikel 9 i forordning (EU) nr. 2018/1672 af 23. oktober 2018 om kontrol med likvide midler, der føres ind i eller ud af Unionen.</w:t>
      </w:r>
    </w:p>
    <w:p w14:paraId="0582533D" w14:textId="77777777" w:rsidR="00993BC3" w:rsidRPr="00796736" w:rsidRDefault="00993BC3" w:rsidP="00993BC3">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Underretninger, der indgives af </w:t>
      </w:r>
      <w:r>
        <w:rPr>
          <w:rFonts w:ascii="Times New Roman" w:hAnsi="Times New Roman" w:cs="Times New Roman"/>
          <w:sz w:val="24"/>
          <w:szCs w:val="24"/>
          <w:bdr w:val="none" w:sz="0" w:space="0" w:color="auto" w:frame="1"/>
        </w:rPr>
        <w:t>virksomheder og personer omfattet af loven</w:t>
      </w:r>
      <w:r w:rsidRPr="00796736">
        <w:rPr>
          <w:rFonts w:ascii="Times New Roman" w:hAnsi="Times New Roman" w:cs="Times New Roman"/>
          <w:sz w:val="24"/>
          <w:szCs w:val="24"/>
          <w:bdr w:val="none" w:sz="0" w:space="0" w:color="auto" w:frame="1"/>
        </w:rPr>
        <w:t xml:space="preserve"> i overensstemmelse med artikel 69 i hvidvaskforordningen, vil angå underretninger, som </w:t>
      </w:r>
      <w:r>
        <w:rPr>
          <w:rFonts w:ascii="Times New Roman" w:hAnsi="Times New Roman" w:cs="Times New Roman"/>
          <w:sz w:val="24"/>
          <w:szCs w:val="24"/>
          <w:bdr w:val="none" w:sz="0" w:space="0" w:color="auto" w:frame="1"/>
        </w:rPr>
        <w:t>virksomheder og personer</w:t>
      </w:r>
      <w:r w:rsidRPr="00796736">
        <w:rPr>
          <w:rFonts w:ascii="Times New Roman" w:hAnsi="Times New Roman" w:cs="Times New Roman"/>
          <w:sz w:val="24"/>
          <w:szCs w:val="24"/>
          <w:bdr w:val="none" w:sz="0" w:space="0" w:color="auto" w:frame="1"/>
        </w:rPr>
        <w:t xml:space="preserve"> underretter til FIU’en på eget initiativ, hvor den forpligtede enhed får kendskab til, har mistanke om eller har rimelig grund til mistanke om, at midler eller aktiviteter, uanset det pågældende beløbs størrelse, er udbytte fra kriminelle handlinger eller er forbundet med finansiering af terrorisme eller kriminelle handlinger. </w:t>
      </w:r>
    </w:p>
    <w:p w14:paraId="2E3C3945" w14:textId="77777777" w:rsidR="008F03C5" w:rsidRPr="00796736" w:rsidRDefault="008F03C5" w:rsidP="008F03C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Underretninger, der indgives af </w:t>
      </w:r>
      <w:r>
        <w:rPr>
          <w:rFonts w:ascii="Times New Roman" w:hAnsi="Times New Roman" w:cs="Times New Roman"/>
          <w:sz w:val="24"/>
          <w:szCs w:val="24"/>
          <w:bdr w:val="none" w:sz="0" w:space="0" w:color="auto" w:frame="1"/>
        </w:rPr>
        <w:t>virksomheder og personer</w:t>
      </w:r>
      <w:r w:rsidRPr="00796736">
        <w:rPr>
          <w:rFonts w:ascii="Times New Roman" w:hAnsi="Times New Roman" w:cs="Times New Roman"/>
          <w:sz w:val="24"/>
          <w:szCs w:val="24"/>
          <w:bdr w:val="none" w:sz="0" w:space="0" w:color="auto" w:frame="1"/>
        </w:rPr>
        <w:t xml:space="preserve"> i overensstemmelse med artikel 74 i hvidvaskforordningen, vil angå indberetninger af transaktioner, der involverer en række varer af høj værdi, når varerne erhverves til ikkekommercielle formål.  </w:t>
      </w:r>
    </w:p>
    <w:p w14:paraId="576DE754" w14:textId="77777777" w:rsidR="008F03C5" w:rsidRPr="00796736" w:rsidRDefault="008F03C5" w:rsidP="008F03C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Underretninger, der indgives af virksomheder og personer i overensstemmelse med artikel 80, stk. 4, litra b, i hvidvaskforordningen vil angå betalinger eller indskud kontant på over 10.000 </w:t>
      </w:r>
      <w:r>
        <w:rPr>
          <w:rFonts w:ascii="Times New Roman" w:hAnsi="Times New Roman" w:cs="Times New Roman"/>
          <w:sz w:val="24"/>
          <w:szCs w:val="24"/>
          <w:bdr w:val="none" w:sz="0" w:space="0" w:color="auto" w:frame="1"/>
        </w:rPr>
        <w:t>€</w:t>
      </w:r>
      <w:r w:rsidRPr="00796736">
        <w:rPr>
          <w:rFonts w:ascii="Times New Roman" w:hAnsi="Times New Roman" w:cs="Times New Roman"/>
          <w:sz w:val="24"/>
          <w:szCs w:val="24"/>
          <w:bdr w:val="none" w:sz="0" w:space="0" w:color="auto" w:frame="1"/>
        </w:rPr>
        <w:t xml:space="preserve"> eller et tilsvarende beløb i national eller udenlandsk valuta, der accepteres eller betales af personer, der handler med varer eller leverer tjenesteydelser og som foretages i lokaler tilhørende kreditinstitutter, udstedere af elektroniske penge og betalingstjenesteudbydere. Det fremgår endvidere af artikel 80, stk. 4, at sådanne underretninger om sådanne betalinger eller indskud skal ske inden for fristerne pålagt af FIU’en.</w:t>
      </w:r>
    </w:p>
    <w:p w14:paraId="2E50647F" w14:textId="4DB07C65" w:rsidR="008F03C5" w:rsidRPr="00796736" w:rsidRDefault="008F03C5" w:rsidP="008F03C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fremgår i den forbindelse af præambelbetragtning nr. 162, at det bør være muligt for FIU’er at kræve, at indberetningerne foretages inden for en bestemt frist, som kan omfatte periodisk indgivelse på aggregeret grundlag. Det forudsættes i den forbindelse, at </w:t>
      </w:r>
      <w:r>
        <w:rPr>
          <w:rFonts w:ascii="Times New Roman" w:hAnsi="Times New Roman" w:cs="Times New Roman"/>
          <w:sz w:val="24"/>
          <w:szCs w:val="24"/>
          <w:bdr w:val="none" w:sz="0" w:space="0" w:color="auto" w:frame="1"/>
        </w:rPr>
        <w:t>skatte- og vækstministeret</w:t>
      </w:r>
      <w:r w:rsidRPr="00796736">
        <w:rPr>
          <w:rFonts w:ascii="Times New Roman" w:hAnsi="Times New Roman" w:cs="Times New Roman"/>
          <w:sz w:val="24"/>
          <w:szCs w:val="24"/>
          <w:bdr w:val="none" w:sz="0" w:space="0" w:color="auto" w:frame="1"/>
        </w:rPr>
        <w:t xml:space="preserve"> i medfør af den foreslåede </w:t>
      </w:r>
      <w:r>
        <w:rPr>
          <w:rFonts w:ascii="Times New Roman" w:hAnsi="Times New Roman" w:cs="Times New Roman"/>
          <w:sz w:val="24"/>
          <w:szCs w:val="24"/>
          <w:bdr w:val="none" w:sz="0" w:space="0" w:color="auto" w:frame="1"/>
        </w:rPr>
        <w:fldChar w:fldCharType="begin"/>
      </w:r>
      <w:r>
        <w:rPr>
          <w:rFonts w:ascii="Times New Roman" w:hAnsi="Times New Roman" w:cs="Times New Roman"/>
          <w:sz w:val="24"/>
          <w:szCs w:val="24"/>
          <w:bdr w:val="none" w:sz="0" w:space="0" w:color="auto" w:frame="1"/>
        </w:rPr>
        <w:instrText xml:space="preserve"> REF _Ref232592944 \r \h </w:instrText>
      </w:r>
      <w:r>
        <w:rPr>
          <w:rFonts w:ascii="Times New Roman" w:hAnsi="Times New Roman" w:cs="Times New Roman"/>
          <w:sz w:val="24"/>
          <w:szCs w:val="24"/>
          <w:bdr w:val="none" w:sz="0" w:space="0" w:color="auto" w:frame="1"/>
        </w:rPr>
      </w:r>
      <w:r>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3</w:t>
      </w:r>
      <w:r>
        <w:rPr>
          <w:rFonts w:ascii="Times New Roman" w:hAnsi="Times New Roman" w:cs="Times New Roman"/>
          <w:sz w:val="24"/>
          <w:szCs w:val="24"/>
          <w:bdr w:val="none" w:sz="0" w:space="0" w:color="auto" w:frame="1"/>
        </w:rPr>
        <w:fldChar w:fldCharType="end"/>
      </w:r>
      <w:r>
        <w:rPr>
          <w:rFonts w:ascii="Times New Roman" w:hAnsi="Times New Roman" w:cs="Times New Roman"/>
          <w:sz w:val="24"/>
          <w:szCs w:val="24"/>
          <w:bdr w:val="none" w:sz="0" w:space="0" w:color="auto" w:frame="1"/>
        </w:rPr>
        <w:t xml:space="preserve">, stk. 4, </w:t>
      </w:r>
      <w:r w:rsidRPr="00796736">
        <w:rPr>
          <w:rFonts w:ascii="Times New Roman" w:hAnsi="Times New Roman" w:cs="Times New Roman"/>
          <w:sz w:val="24"/>
          <w:szCs w:val="24"/>
          <w:bdr w:val="none" w:sz="0" w:space="0" w:color="auto" w:frame="1"/>
        </w:rPr>
        <w:t xml:space="preserve">efter forhandling med Hvidvasksekretariatet fastsætter nærmere regler om fristerne for underretningerne.  </w:t>
      </w:r>
    </w:p>
    <w:p w14:paraId="14FB2791" w14:textId="77777777" w:rsidR="00A4469C" w:rsidRPr="00796736"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Oplysninger, der fremsendes af told- og skatteforvaltningen i henhold til artikel 9 i forordning (EU) nr. 2018/1672 af 23. oktober 2018 om kontrol med likvide midler, der føres ind i eller ud af Unionen, vil angå indberetninger om ledsagede og uledsagede likvide midler af et vist beløb.  </w:t>
      </w:r>
    </w:p>
    <w:p w14:paraId="314E4533" w14:textId="46857A90" w:rsidR="00FB132B" w:rsidRPr="00796736" w:rsidRDefault="00FB132B"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Ved ”alle andre oplysninger” menes oplysninger og underretninger, som Hvidvasksekretariatet i øvrigt modtager, herunder underretninger fra ikke-forpligtede enheder. Dette svarer til de nugældende rammer for Hvidvasksekretariatets forpligtelser til at modtage underretninger. </w:t>
      </w:r>
    </w:p>
    <w:p w14:paraId="123B5AB7" w14:textId="77777777" w:rsidR="00F719B2" w:rsidRPr="00796736" w:rsidRDefault="00F719B2" w:rsidP="00F719B2">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Den foreslåede bestemmelse skal ses i sammenhæng med hvidvaskdirektivets præambelbetragtning nr. 64, hvorefter medlemsstaterne har oprettet eller bør oprette operationelt uafhængige og selvstændige FIU’er, der skal indsamle og analysere oplysninger, med henblik på at påvise forbindelser mellem mistænkelige transaktioner og aktiviteter og underliggende kriminelle handlinger for at forebygge og bekæmpe hvidvask af penge og finansiering af terrorisme. FIU’en bør være den fælles centrale nationale enhed, der er ansvarlig for modtagelse og analyse af rapporter om mistænkelige transaktioner og rapporter om grænseoverskridende fysiske bevægelser af kontanter via toldinformationssystemet, af transaktioner, der indberettes, når visse tærskler overskrides (tærskelbaserede oplysninger) samt af andre oplysninger, der er relevante for hvidvask, de underliggende lovovertrædelser eller </w:t>
      </w:r>
      <w:r>
        <w:rPr>
          <w:rFonts w:ascii="Times New Roman" w:hAnsi="Times New Roman" w:cs="Times New Roman"/>
          <w:sz w:val="24"/>
          <w:szCs w:val="24"/>
          <w:bdr w:val="none" w:sz="0" w:space="0" w:color="auto" w:frame="1"/>
        </w:rPr>
        <w:t>terror</w:t>
      </w:r>
      <w:r w:rsidRPr="00796736">
        <w:rPr>
          <w:rFonts w:ascii="Times New Roman" w:hAnsi="Times New Roman" w:cs="Times New Roman"/>
          <w:sz w:val="24"/>
          <w:szCs w:val="24"/>
          <w:bdr w:val="none" w:sz="0" w:space="0" w:color="auto" w:frame="1"/>
        </w:rPr>
        <w:t xml:space="preserve">finansiering, indgivet af </w:t>
      </w:r>
      <w:r>
        <w:rPr>
          <w:rFonts w:ascii="Times New Roman" w:hAnsi="Times New Roman" w:cs="Times New Roman"/>
          <w:sz w:val="24"/>
          <w:szCs w:val="24"/>
          <w:bdr w:val="none" w:sz="0" w:space="0" w:color="auto" w:frame="1"/>
        </w:rPr>
        <w:t>virksomheder og personer omfattet af loven.</w:t>
      </w:r>
    </w:p>
    <w:p w14:paraId="0F782F44" w14:textId="6B89B46A" w:rsidR="00A4469C" w:rsidRPr="00796736"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Hvidvasksekretariatet</w:t>
      </w:r>
      <w:r w:rsidR="00074750" w:rsidRPr="00796736">
        <w:rPr>
          <w:rFonts w:ascii="Times New Roman" w:hAnsi="Times New Roman" w:cs="Times New Roman"/>
          <w:sz w:val="24"/>
          <w:szCs w:val="24"/>
          <w:bdr w:val="none" w:sz="0" w:space="0" w:color="auto" w:frame="1"/>
        </w:rPr>
        <w:t xml:space="preserve"> vil</w:t>
      </w:r>
      <w:r w:rsidRPr="00796736">
        <w:rPr>
          <w:rFonts w:ascii="Times New Roman" w:hAnsi="Times New Roman" w:cs="Times New Roman"/>
          <w:sz w:val="24"/>
          <w:szCs w:val="24"/>
          <w:bdr w:val="none" w:sz="0" w:space="0" w:color="auto" w:frame="1"/>
        </w:rPr>
        <w:t xml:space="preserve"> i overensstemmelse med gældende ret også være ansvarlig for at modtage og analysere andre oplysninger, der er relevante for hvidvask af penge, de underliggende lovovertrædelser eller finansiering af terrorisme, fra andre kilder, herunder danske myndigheder, politiets systemer, open source intelligence og samarbejdspartnere i udlandet.</w:t>
      </w:r>
    </w:p>
    <w:p w14:paraId="40A27AA8" w14:textId="77777777" w:rsidR="005F0D29" w:rsidRPr="00796736" w:rsidRDefault="005F0D29" w:rsidP="005F0D29">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forudsættes, at Hvidvasksekretariatet i overensstemmelse med gældende ret vil anvende en risikobaseret tilgang i forbindelse med behandlingen af indberetninger med henblik på at yde en fokuseret og målrettet indsats på området. Hvidvasksekretariatet forudsættes at visitere modtagne indberetninger og kvalificere indberetningerne, herunder ved anvendelse af operative og strategiske analyser, med henblik på vurdering af, om oplysningerne skal føre til udsendelse af efterretning eller egentligt efterforskningsoplæg til politikredsene, herunder National enhed for Særlig Kriminalitet (NSK) i forhold til mistanke om hvidvask af udbytte fra strafbare handlinger, udsendelse af efterretning til Politiets Efterretningstjeneste (PET) i forhold til mistanke om </w:t>
      </w:r>
      <w:r>
        <w:rPr>
          <w:rFonts w:ascii="Times New Roman" w:hAnsi="Times New Roman" w:cs="Times New Roman"/>
          <w:sz w:val="24"/>
          <w:szCs w:val="24"/>
          <w:bdr w:val="none" w:sz="0" w:space="0" w:color="auto" w:frame="1"/>
        </w:rPr>
        <w:t>terror</w:t>
      </w:r>
      <w:r w:rsidRPr="00796736">
        <w:rPr>
          <w:rFonts w:ascii="Times New Roman" w:hAnsi="Times New Roman" w:cs="Times New Roman"/>
          <w:sz w:val="24"/>
          <w:szCs w:val="24"/>
          <w:bdr w:val="none" w:sz="0" w:space="0" w:color="auto" w:frame="1"/>
        </w:rPr>
        <w:t>finansiering eller udsendelse af efterretning til skattemyndighederne, kommunerne andre myndigheder eller samarbejdspartnere i udlandet</w:t>
      </w:r>
      <w:r>
        <w:rPr>
          <w:rFonts w:ascii="Times New Roman" w:hAnsi="Times New Roman" w:cs="Times New Roman"/>
          <w:sz w:val="24"/>
          <w:szCs w:val="24"/>
          <w:bdr w:val="none" w:sz="0" w:space="0" w:color="auto" w:frame="1"/>
        </w:rPr>
        <w:t>, såfremt den pågældende myndighed har til opgave at bekæmpe hvidvask og terrorfinansiering og oplysningerne deles med henblik herpå</w:t>
      </w:r>
      <w:r w:rsidRPr="00796736">
        <w:rPr>
          <w:rFonts w:ascii="Times New Roman" w:hAnsi="Times New Roman" w:cs="Times New Roman"/>
          <w:sz w:val="24"/>
          <w:szCs w:val="24"/>
          <w:bdr w:val="none" w:sz="0" w:space="0" w:color="auto" w:frame="1"/>
        </w:rPr>
        <w:t>. Se hertil også bemærkningerne til den gældende bestemmelse i hvidvasklovens § 29, stk. 2, nr. 1, jf. Folketingstidende 2019-20, tillæg A, L 58 som fremsat, side 45.</w:t>
      </w:r>
    </w:p>
    <w:p w14:paraId="4CECFE9D"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06D47453" w14:textId="77777777" w:rsidR="00FD4EE3" w:rsidRPr="00D253F0" w:rsidRDefault="00FD4EE3" w:rsidP="00FD4EE3">
      <w:pPr>
        <w:spacing w:line="360" w:lineRule="auto"/>
        <w:rPr>
          <w:rFonts w:ascii="Times New Roman" w:hAnsi="Times New Roman" w:cs="Times New Roman"/>
          <w:sz w:val="24"/>
          <w:szCs w:val="24"/>
          <w:bdr w:val="none" w:sz="0" w:space="0" w:color="auto" w:frame="1"/>
        </w:rPr>
      </w:pPr>
      <w:r w:rsidRPr="00D253F0">
        <w:rPr>
          <w:rFonts w:ascii="Times New Roman" w:hAnsi="Times New Roman" w:cs="Times New Roman"/>
          <w:sz w:val="24"/>
          <w:szCs w:val="24"/>
          <w:bdr w:val="none" w:sz="0" w:space="0" w:color="auto" w:frame="1"/>
        </w:rPr>
        <w:t xml:space="preserve">Det foreslås med </w:t>
      </w:r>
      <w:r w:rsidRPr="00D253F0">
        <w:rPr>
          <w:rFonts w:ascii="Times New Roman" w:hAnsi="Times New Roman" w:cs="Times New Roman"/>
          <w:i/>
          <w:iCs/>
          <w:sz w:val="24"/>
          <w:szCs w:val="24"/>
          <w:bdr w:val="none" w:sz="0" w:space="0" w:color="auto" w:frame="1"/>
        </w:rPr>
        <w:t>stk. 2, nr. 2</w:t>
      </w:r>
      <w:r w:rsidRPr="00D253F0">
        <w:rPr>
          <w:rFonts w:ascii="Times New Roman" w:hAnsi="Times New Roman" w:cs="Times New Roman"/>
          <w:sz w:val="24"/>
          <w:szCs w:val="24"/>
          <w:bdr w:val="none" w:sz="0" w:space="0" w:color="auto" w:frame="1"/>
        </w:rPr>
        <w:t xml:space="preserve">, at Hvidvasksekretariatet er ansvarlig for at formidle resultaterne af sine analyser og alle yderligere oplysninger til relevante kompetente myndigheder </w:t>
      </w:r>
      <w:r>
        <w:rPr>
          <w:rFonts w:ascii="Times New Roman" w:hAnsi="Times New Roman" w:cs="Times New Roman"/>
          <w:sz w:val="24"/>
          <w:szCs w:val="24"/>
          <w:bdr w:val="none" w:sz="0" w:space="0" w:color="auto" w:frame="1"/>
        </w:rPr>
        <w:t>og tilsynsorganer</w:t>
      </w:r>
      <w:r w:rsidRPr="00D253F0">
        <w:rPr>
          <w:rFonts w:ascii="Times New Roman" w:hAnsi="Times New Roman" w:cs="Times New Roman"/>
          <w:sz w:val="24"/>
          <w:szCs w:val="24"/>
          <w:bdr w:val="none" w:sz="0" w:space="0" w:color="auto" w:frame="1"/>
        </w:rPr>
        <w:t xml:space="preserve">, når der er mistanke om hvidvask, de underliggende lovovertrædelser eller </w:t>
      </w:r>
      <w:r>
        <w:rPr>
          <w:rFonts w:ascii="Times New Roman" w:hAnsi="Times New Roman" w:cs="Times New Roman"/>
          <w:sz w:val="24"/>
          <w:szCs w:val="24"/>
          <w:bdr w:val="none" w:sz="0" w:space="0" w:color="auto" w:frame="1"/>
        </w:rPr>
        <w:t>terror</w:t>
      </w:r>
      <w:r w:rsidRPr="00D253F0">
        <w:rPr>
          <w:rFonts w:ascii="Times New Roman" w:hAnsi="Times New Roman" w:cs="Times New Roman"/>
          <w:sz w:val="24"/>
          <w:szCs w:val="24"/>
          <w:bdr w:val="none" w:sz="0" w:space="0" w:color="auto" w:frame="1"/>
        </w:rPr>
        <w:t xml:space="preserve">finansiering. Hvidvasksekretariatet kan indhente yderligere oplysninger hos forpligtede enheder til brug for sit arbejde efter denne bestemmelse.  </w:t>
      </w:r>
    </w:p>
    <w:p w14:paraId="663843A7"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31B49DCB" w14:textId="77777777" w:rsidR="002128F7" w:rsidRPr="00D253F0" w:rsidRDefault="002128F7" w:rsidP="00A802A5">
      <w:pPr>
        <w:spacing w:line="360" w:lineRule="auto"/>
        <w:rPr>
          <w:rFonts w:ascii="Times New Roman" w:hAnsi="Times New Roman" w:cs="Times New Roman"/>
          <w:sz w:val="24"/>
          <w:szCs w:val="24"/>
          <w:bdr w:val="none" w:sz="0" w:space="0" w:color="auto" w:frame="1"/>
        </w:rPr>
      </w:pPr>
      <w:r w:rsidRPr="00D253F0">
        <w:rPr>
          <w:rFonts w:ascii="Times New Roman" w:hAnsi="Times New Roman" w:cs="Times New Roman"/>
          <w:sz w:val="24"/>
          <w:szCs w:val="24"/>
          <w:bdr w:val="none" w:sz="0" w:space="0" w:color="auto" w:frame="1"/>
        </w:rPr>
        <w:t xml:space="preserve">Bestemmelsen vil indebære, at Hvidvasksekretariatet vil være ansvarlig for at formidle resultaterne af sine analyser og alle yderligere oplysninger til relevante kompetente myndigheder. Hvidvasksekretariatet vil i den forbindelse </w:t>
      </w:r>
      <w:r>
        <w:rPr>
          <w:rFonts w:ascii="Times New Roman" w:hAnsi="Times New Roman" w:cs="Times New Roman"/>
          <w:sz w:val="24"/>
          <w:szCs w:val="24"/>
          <w:bdr w:val="none" w:sz="0" w:space="0" w:color="auto" w:frame="1"/>
        </w:rPr>
        <w:t xml:space="preserve">også </w:t>
      </w:r>
      <w:r w:rsidRPr="00D253F0">
        <w:rPr>
          <w:rFonts w:ascii="Times New Roman" w:hAnsi="Times New Roman" w:cs="Times New Roman"/>
          <w:sz w:val="24"/>
          <w:szCs w:val="24"/>
          <w:bdr w:val="none" w:sz="0" w:space="0" w:color="auto" w:frame="1"/>
        </w:rPr>
        <w:t xml:space="preserve">kunne indhente yderligere oplysninger hos </w:t>
      </w:r>
      <w:r>
        <w:rPr>
          <w:rFonts w:ascii="Times New Roman" w:hAnsi="Times New Roman" w:cs="Times New Roman"/>
          <w:sz w:val="24"/>
          <w:szCs w:val="24"/>
          <w:bdr w:val="none" w:sz="0" w:space="0" w:color="auto" w:frame="1"/>
        </w:rPr>
        <w:t>virksomheder og personer</w:t>
      </w:r>
      <w:r w:rsidRPr="00D253F0">
        <w:rPr>
          <w:rFonts w:ascii="Times New Roman" w:hAnsi="Times New Roman" w:cs="Times New Roman"/>
          <w:sz w:val="24"/>
          <w:szCs w:val="24"/>
          <w:bdr w:val="none" w:sz="0" w:space="0" w:color="auto" w:frame="1"/>
        </w:rPr>
        <w:t xml:space="preserve">. </w:t>
      </w:r>
    </w:p>
    <w:p w14:paraId="602243C2"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11B329C0" w14:textId="67DC780F" w:rsidR="00FA3904"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Med bestemmelsen videreføres hvidvasklovens § 29, stk. 2, nr. 2, og FIU-cirkulærets § 2, </w:t>
      </w:r>
      <w:r w:rsidR="00151013" w:rsidRPr="00796736">
        <w:rPr>
          <w:rFonts w:ascii="Times New Roman" w:hAnsi="Times New Roman" w:cs="Times New Roman"/>
          <w:sz w:val="24"/>
          <w:szCs w:val="24"/>
          <w:bdr w:val="none" w:sz="0" w:space="0" w:color="auto" w:frame="1"/>
        </w:rPr>
        <w:t xml:space="preserve">dog således, at </w:t>
      </w:r>
      <w:r w:rsidR="00151013">
        <w:rPr>
          <w:rFonts w:ascii="Times New Roman" w:hAnsi="Times New Roman" w:cs="Times New Roman"/>
          <w:sz w:val="24"/>
          <w:szCs w:val="24"/>
          <w:bdr w:val="none" w:sz="0" w:space="0" w:color="auto" w:frame="1"/>
        </w:rPr>
        <w:t xml:space="preserve">det nu fremgår, at </w:t>
      </w:r>
      <w:r w:rsidR="00151013" w:rsidRPr="00796736">
        <w:rPr>
          <w:rFonts w:ascii="Times New Roman" w:hAnsi="Times New Roman" w:cs="Times New Roman"/>
          <w:sz w:val="24"/>
          <w:szCs w:val="24"/>
          <w:bdr w:val="none" w:sz="0" w:space="0" w:color="auto" w:frame="1"/>
        </w:rPr>
        <w:t>den operationelle analyse skal prioriteres på grundlag af risiko, typen og mængden af de modtagne oplysninger og den forventede anvendelse af oplysningerne efter formidling, samt at den strategiske analyse også skal vedrøre udviklingen af tendenser og mønstre for hvidvask af penge og finansiering af terrorisme. Sidstnævnte fremgår imidlertid i dag af cirkulæret.</w:t>
      </w:r>
    </w:p>
    <w:p w14:paraId="780CC4A4" w14:textId="77777777" w:rsidR="00C50819" w:rsidRDefault="00C50819" w:rsidP="00A802A5">
      <w:pPr>
        <w:spacing w:line="360" w:lineRule="auto"/>
        <w:rPr>
          <w:rFonts w:ascii="Times New Roman" w:hAnsi="Times New Roman" w:cs="Times New Roman"/>
          <w:sz w:val="24"/>
          <w:szCs w:val="24"/>
          <w:bdr w:val="none" w:sz="0" w:space="0" w:color="auto" w:frame="1"/>
        </w:rPr>
      </w:pPr>
    </w:p>
    <w:p w14:paraId="767CB40D" w14:textId="42E7C01A" w:rsidR="00C50819" w:rsidRPr="00796736" w:rsidRDefault="00C50819"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Indholdet af Hvidvasksekretariatets finansielle analysefunktion forudsættes ligesom i dag fastsat </w:t>
      </w:r>
      <w:r>
        <w:rPr>
          <w:rFonts w:ascii="Times New Roman" w:hAnsi="Times New Roman" w:cs="Times New Roman"/>
          <w:sz w:val="24"/>
          <w:szCs w:val="24"/>
          <w:bdr w:val="none" w:sz="0" w:space="0" w:color="auto" w:frame="1"/>
        </w:rPr>
        <w:t xml:space="preserve">nærmere </w:t>
      </w:r>
      <w:r w:rsidRPr="00796736">
        <w:rPr>
          <w:rFonts w:ascii="Times New Roman" w:hAnsi="Times New Roman" w:cs="Times New Roman"/>
          <w:sz w:val="24"/>
          <w:szCs w:val="24"/>
          <w:bdr w:val="none" w:sz="0" w:space="0" w:color="auto" w:frame="1"/>
        </w:rPr>
        <w:t>ved cirkulære</w:t>
      </w:r>
      <w:r>
        <w:rPr>
          <w:rFonts w:ascii="Times New Roman" w:hAnsi="Times New Roman" w:cs="Times New Roman"/>
          <w:sz w:val="24"/>
          <w:szCs w:val="24"/>
          <w:bdr w:val="none" w:sz="0" w:space="0" w:color="auto" w:frame="1"/>
        </w:rPr>
        <w:t>, herunder nærmere regler om arbejdsgangene for udveksling af information med andre danske kompetente myndigheder</w:t>
      </w:r>
      <w:r w:rsidRPr="00796736">
        <w:rPr>
          <w:rFonts w:ascii="Times New Roman" w:hAnsi="Times New Roman" w:cs="Times New Roman"/>
          <w:sz w:val="24"/>
          <w:szCs w:val="24"/>
          <w:bdr w:val="none" w:sz="0" w:space="0" w:color="auto" w:frame="1"/>
        </w:rPr>
        <w:t xml:space="preserve">. Det forudsættes i den forbindelse fastsat, at FIU’ens finansielle analysefunktion består af en operativ analyse, som fokuserer på individuelle tilfælde og bestemte mål eller relevante udvalgte oplysninger, der er prioriteret på grundlag af risiko afhængig af typen og mængden af de modtagne oplysninger og den forventede anvendelse af oplysningerne efter formidling, og en strategisk analyse, som vedrører tendenser og mønstre for hvidvask af penge og finansiering af terrorisme og udviklingen heraf. </w:t>
      </w:r>
    </w:p>
    <w:p w14:paraId="78E3E7A0"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54FBED9D" w14:textId="5BA10A32" w:rsidR="00986983" w:rsidRDefault="00986983"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Det foreslås med bestemmelsen i overensstemmelse med hvidvaskdirektivets artikel 19, stk. 3, at Hvidvasksekretariatet vil skulle formidle resultaterne af sine analyser og alle yderligere oplysninger, når der er »mistanke«. I overensstemmelse med gældende ret stilles ikke krav om nærmere konkretisering af Hvidvasksekretariatets mistanke i forhold til nærmere angivne forbrydelser. Se hertil også bemærkningerne til den gældende bestemmelse i hvidvasklovens § 29, stk. 2, nr. 2, jf. Folketingstidende 2019-20, tillæg A, L 58 som fremsat, side 48.</w:t>
      </w:r>
    </w:p>
    <w:p w14:paraId="4159AF6B" w14:textId="77777777" w:rsidR="00A57A74" w:rsidRDefault="00A57A74" w:rsidP="00A57A74">
      <w:pPr>
        <w:spacing w:line="360" w:lineRule="auto"/>
        <w:rPr>
          <w:rFonts w:ascii="Times New Roman" w:hAnsi="Times New Roman" w:cs="Times New Roman"/>
          <w:sz w:val="24"/>
          <w:szCs w:val="24"/>
          <w:bdr w:val="none" w:sz="0" w:space="0" w:color="auto" w:frame="1"/>
        </w:rPr>
      </w:pPr>
    </w:p>
    <w:p w14:paraId="3DBEB718" w14:textId="481DFC02" w:rsidR="00A57A74" w:rsidRDefault="00A57A74" w:rsidP="00A57A74">
      <w:pPr>
        <w:spacing w:line="360" w:lineRule="auto"/>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”Kompetente myndigheder” skal forstås i overensstemmelse med definitionen i hvidvaskforordningens artikel 2, stk. 1, nr. 44.</w:t>
      </w:r>
    </w:p>
    <w:p w14:paraId="3307651C" w14:textId="77777777" w:rsidR="00A57A74" w:rsidRPr="00796736" w:rsidRDefault="00A57A74" w:rsidP="00A802A5">
      <w:pPr>
        <w:spacing w:line="360" w:lineRule="auto"/>
        <w:rPr>
          <w:rFonts w:ascii="Times New Roman" w:hAnsi="Times New Roman" w:cs="Times New Roman"/>
          <w:sz w:val="24"/>
          <w:szCs w:val="24"/>
          <w:bdr w:val="none" w:sz="0" w:space="0" w:color="auto" w:frame="1"/>
        </w:rPr>
      </w:pPr>
    </w:p>
    <w:p w14:paraId="5FD770F5" w14:textId="77777777" w:rsidR="00986983" w:rsidRPr="00796736" w:rsidRDefault="00986983" w:rsidP="00A802A5">
      <w:pPr>
        <w:spacing w:line="360" w:lineRule="auto"/>
        <w:rPr>
          <w:rFonts w:ascii="Times New Roman" w:hAnsi="Times New Roman" w:cs="Times New Roman"/>
          <w:sz w:val="24"/>
          <w:szCs w:val="24"/>
          <w:bdr w:val="none" w:sz="0" w:space="0" w:color="auto" w:frame="1"/>
        </w:rPr>
      </w:pPr>
    </w:p>
    <w:p w14:paraId="4F4D5698" w14:textId="77777777" w:rsidR="00B718BF" w:rsidRPr="00796736" w:rsidRDefault="00B718BF" w:rsidP="00B718BF">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For</w:t>
      </w:r>
      <w:r>
        <w:rPr>
          <w:rFonts w:ascii="Times New Roman" w:hAnsi="Times New Roman" w:cs="Times New Roman"/>
          <w:sz w:val="24"/>
          <w:szCs w:val="24"/>
          <w:bdr w:val="none" w:sz="0" w:space="0" w:color="auto" w:frame="1"/>
        </w:rPr>
        <w:t>uden tilsynsmyndighederne, forudsættes det, at</w:t>
      </w:r>
      <w:r w:rsidRPr="00796736">
        <w:rPr>
          <w:rFonts w:ascii="Times New Roman" w:hAnsi="Times New Roman" w:cs="Times New Roman"/>
          <w:sz w:val="24"/>
          <w:szCs w:val="24"/>
          <w:bdr w:val="none" w:sz="0" w:space="0" w:color="auto" w:frame="1"/>
        </w:rPr>
        <w:t xml:space="preserve"> Hvidvasksekretariatet </w:t>
      </w:r>
      <w:r>
        <w:rPr>
          <w:rFonts w:ascii="Times New Roman" w:hAnsi="Times New Roman" w:cs="Times New Roman"/>
          <w:sz w:val="24"/>
          <w:szCs w:val="24"/>
          <w:bdr w:val="none" w:sz="0" w:space="0" w:color="auto" w:frame="1"/>
        </w:rPr>
        <w:t xml:space="preserve">i overensstemmelse med gældende ret vil </w:t>
      </w:r>
      <w:r w:rsidRPr="00796736">
        <w:rPr>
          <w:rFonts w:ascii="Times New Roman" w:hAnsi="Times New Roman" w:cs="Times New Roman"/>
          <w:sz w:val="24"/>
          <w:szCs w:val="24"/>
          <w:bdr w:val="none" w:sz="0" w:space="0" w:color="auto" w:frame="1"/>
        </w:rPr>
        <w:t>sk</w:t>
      </w:r>
      <w:r>
        <w:rPr>
          <w:rFonts w:ascii="Times New Roman" w:hAnsi="Times New Roman" w:cs="Times New Roman"/>
          <w:sz w:val="24"/>
          <w:szCs w:val="24"/>
          <w:bdr w:val="none" w:sz="0" w:space="0" w:color="auto" w:frame="1"/>
        </w:rPr>
        <w:t>ulle</w:t>
      </w:r>
      <w:r w:rsidRPr="00796736">
        <w:rPr>
          <w:rFonts w:ascii="Times New Roman" w:hAnsi="Times New Roman" w:cs="Times New Roman"/>
          <w:sz w:val="24"/>
          <w:szCs w:val="24"/>
          <w:bdr w:val="none" w:sz="0" w:space="0" w:color="auto" w:frame="1"/>
        </w:rPr>
        <w:t xml:space="preserve"> formidle oplysninger mv. til eksempelvis politikredsene, herunder National enhed for Særlig Kriminalitet, anklagemyndigheden, andre EU-medlemsstaters finansielle efterretningsenheder, Politiets Efterretningstjeneste (PET) og skattemyndighederne samt domstolene</w:t>
      </w:r>
      <w:r>
        <w:rPr>
          <w:rFonts w:ascii="Times New Roman" w:hAnsi="Times New Roman" w:cs="Times New Roman"/>
          <w:sz w:val="24"/>
          <w:szCs w:val="24"/>
          <w:bdr w:val="none" w:sz="0" w:space="0" w:color="auto" w:frame="1"/>
        </w:rPr>
        <w:t xml:space="preserve"> og andre offentlige myndigheder, når videregivelsen sker</w:t>
      </w:r>
      <w:r w:rsidRPr="00796736">
        <w:rPr>
          <w:rFonts w:ascii="Times New Roman" w:hAnsi="Times New Roman" w:cs="Times New Roman"/>
          <w:sz w:val="24"/>
          <w:szCs w:val="24"/>
          <w:bdr w:val="none" w:sz="0" w:space="0" w:color="auto" w:frame="1"/>
        </w:rPr>
        <w:t xml:space="preserve"> med henblik på at fremme myndighedernes kriminalitetsforebyggende, retshåndhævende og sikkerhedsfremmende arbejde</w:t>
      </w:r>
      <w:r>
        <w:rPr>
          <w:rFonts w:ascii="Times New Roman" w:hAnsi="Times New Roman" w:cs="Times New Roman"/>
          <w:sz w:val="24"/>
          <w:szCs w:val="24"/>
          <w:bdr w:val="none" w:sz="0" w:space="0" w:color="auto" w:frame="1"/>
        </w:rPr>
        <w:t xml:space="preserve"> med et bekæmpe hvidvask og terrorfinansiering</w:t>
      </w:r>
      <w:r w:rsidRPr="00796736">
        <w:rPr>
          <w:rFonts w:ascii="Times New Roman" w:hAnsi="Times New Roman" w:cs="Times New Roman"/>
          <w:sz w:val="24"/>
          <w:szCs w:val="24"/>
          <w:bdr w:val="none" w:sz="0" w:space="0" w:color="auto" w:frame="1"/>
        </w:rPr>
        <w:t>.</w:t>
      </w:r>
      <w:r>
        <w:rPr>
          <w:rFonts w:ascii="Times New Roman" w:hAnsi="Times New Roman" w:cs="Times New Roman"/>
          <w:sz w:val="24"/>
          <w:szCs w:val="24"/>
          <w:bdr w:val="none" w:sz="0" w:space="0" w:color="auto" w:frame="1"/>
        </w:rPr>
        <w:t xml:space="preserve"> Hvidvasksekretariatet vil endvidere kunne videregive oplysningerne til tilsynsorganer i form af f.eks. Advokatrådet.</w:t>
      </w:r>
    </w:p>
    <w:p w14:paraId="20BE67A7" w14:textId="77777777" w:rsidR="00074750" w:rsidRPr="00796736" w:rsidRDefault="00074750" w:rsidP="00A802A5">
      <w:pPr>
        <w:spacing w:line="360" w:lineRule="auto"/>
        <w:rPr>
          <w:rFonts w:ascii="Times New Roman" w:hAnsi="Times New Roman" w:cs="Times New Roman"/>
          <w:sz w:val="24"/>
          <w:szCs w:val="24"/>
          <w:bdr w:val="none" w:sz="0" w:space="0" w:color="auto" w:frame="1"/>
        </w:rPr>
      </w:pPr>
    </w:p>
    <w:p w14:paraId="33E482E5" w14:textId="77777777" w:rsidR="00942B39" w:rsidRPr="00D253F0" w:rsidRDefault="00942B39" w:rsidP="00942B39">
      <w:pPr>
        <w:spacing w:line="360" w:lineRule="auto"/>
        <w:rPr>
          <w:rFonts w:ascii="Times New Roman" w:hAnsi="Times New Roman" w:cs="Times New Roman"/>
          <w:sz w:val="24"/>
          <w:szCs w:val="24"/>
          <w:bdr w:val="none" w:sz="0" w:space="0" w:color="auto" w:frame="1"/>
        </w:rPr>
      </w:pPr>
      <w:r w:rsidRPr="00D253F0">
        <w:rPr>
          <w:rFonts w:ascii="Times New Roman" w:hAnsi="Times New Roman" w:cs="Times New Roman"/>
          <w:sz w:val="24"/>
          <w:szCs w:val="24"/>
          <w:bdr w:val="none" w:sz="0" w:space="0" w:color="auto" w:frame="1"/>
        </w:rPr>
        <w:t>Hvidvasksekretariatet vil i øvrigt kunne dele resultaterne af deres operationelle eller strategiske analyser med øvrige myndigheder i andre medlemsstater</w:t>
      </w:r>
      <w:r>
        <w:rPr>
          <w:rFonts w:ascii="Times New Roman" w:hAnsi="Times New Roman" w:cs="Times New Roman"/>
          <w:sz w:val="24"/>
          <w:szCs w:val="24"/>
          <w:bdr w:val="none" w:sz="0" w:space="0" w:color="auto" w:frame="1"/>
        </w:rPr>
        <w:t xml:space="preserve"> via disse medlemsstaters FIU’er efter de foreslåede regler om videregivelse af oplysninger til andre FIU’er, når sådanne myndigheder har</w:t>
      </w:r>
      <w:r w:rsidRPr="00D253F0">
        <w:rPr>
          <w:rFonts w:ascii="Times New Roman" w:hAnsi="Times New Roman" w:cs="Times New Roman"/>
          <w:sz w:val="24"/>
          <w:szCs w:val="24"/>
          <w:bdr w:val="none" w:sz="0" w:space="0" w:color="auto" w:frame="1"/>
        </w:rPr>
        <w:t xml:space="preserve"> særlige roller i forbindelse med bekæmpelsen af hvidvask, terrorfinansiering og de underliggende lovovertrædelser, hvis </w:t>
      </w:r>
      <w:r>
        <w:rPr>
          <w:rFonts w:ascii="Times New Roman" w:hAnsi="Times New Roman" w:cs="Times New Roman"/>
          <w:sz w:val="24"/>
          <w:szCs w:val="24"/>
          <w:bdr w:val="none" w:sz="0" w:space="0" w:color="auto" w:frame="1"/>
        </w:rPr>
        <w:t>sekretariatet vurderer</w:t>
      </w:r>
      <w:r w:rsidRPr="00D253F0">
        <w:rPr>
          <w:rFonts w:ascii="Times New Roman" w:hAnsi="Times New Roman" w:cs="Times New Roman"/>
          <w:sz w:val="24"/>
          <w:szCs w:val="24"/>
          <w:bdr w:val="none" w:sz="0" w:space="0" w:color="auto" w:frame="1"/>
        </w:rPr>
        <w:t>, at disse resultater er relevante for deres funktioner.</w:t>
      </w:r>
    </w:p>
    <w:p w14:paraId="1525C038" w14:textId="6E29B489" w:rsidR="00FA3904" w:rsidRPr="00796736" w:rsidRDefault="00FA3904"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br/>
      </w:r>
      <w:r w:rsidR="002128F7" w:rsidRPr="00D253F0">
        <w:rPr>
          <w:rFonts w:ascii="Times New Roman" w:hAnsi="Times New Roman" w:cs="Times New Roman"/>
          <w:sz w:val="24"/>
          <w:szCs w:val="24"/>
          <w:bdr w:val="none" w:sz="0" w:space="0" w:color="auto" w:frame="1"/>
        </w:rPr>
        <w:t>Fælles for omfanget af oplysningspligterne vil være, at kilden til rapporten om mistænkelige transaktioner eller aktiviteter ikke bør oplyses i formidlingen</w:t>
      </w:r>
      <w:r w:rsidR="002128F7">
        <w:rPr>
          <w:rFonts w:ascii="Times New Roman" w:hAnsi="Times New Roman" w:cs="Times New Roman"/>
          <w:sz w:val="24"/>
          <w:szCs w:val="24"/>
          <w:bdr w:val="none" w:sz="0" w:space="0" w:color="auto" w:frame="1"/>
        </w:rPr>
        <w:t xml:space="preserve">, jf. herved også den foreslåede </w:t>
      </w:r>
      <w:r w:rsidR="002128F7">
        <w:rPr>
          <w:rFonts w:ascii="Times New Roman" w:hAnsi="Times New Roman" w:cs="Times New Roman"/>
          <w:sz w:val="24"/>
          <w:szCs w:val="24"/>
          <w:bdr w:val="none" w:sz="0" w:space="0" w:color="auto" w:frame="1"/>
        </w:rPr>
        <w:fldChar w:fldCharType="begin"/>
      </w:r>
      <w:r w:rsidR="002128F7">
        <w:rPr>
          <w:rFonts w:ascii="Times New Roman" w:hAnsi="Times New Roman" w:cs="Times New Roman"/>
          <w:sz w:val="24"/>
          <w:szCs w:val="24"/>
          <w:bdr w:val="none" w:sz="0" w:space="0" w:color="auto" w:frame="1"/>
        </w:rPr>
        <w:instrText xml:space="preserve"> REF _Ref239689115 \r \h </w:instrText>
      </w:r>
      <w:r w:rsidR="00CB248D">
        <w:rPr>
          <w:rFonts w:ascii="Times New Roman" w:hAnsi="Times New Roman" w:cs="Times New Roman"/>
          <w:sz w:val="24"/>
          <w:szCs w:val="24"/>
          <w:bdr w:val="none" w:sz="0" w:space="0" w:color="auto" w:frame="1"/>
        </w:rPr>
        <w:instrText xml:space="preserve"> \* MERGEFORMAT </w:instrText>
      </w:r>
      <w:r w:rsidR="002128F7">
        <w:rPr>
          <w:rFonts w:ascii="Times New Roman" w:hAnsi="Times New Roman" w:cs="Times New Roman"/>
          <w:sz w:val="24"/>
          <w:szCs w:val="24"/>
          <w:bdr w:val="none" w:sz="0" w:space="0" w:color="auto" w:frame="1"/>
        </w:rPr>
      </w:r>
      <w:r w:rsidR="002128F7">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30</w:t>
      </w:r>
      <w:r w:rsidR="002128F7">
        <w:rPr>
          <w:rFonts w:ascii="Times New Roman" w:hAnsi="Times New Roman" w:cs="Times New Roman"/>
          <w:sz w:val="24"/>
          <w:szCs w:val="24"/>
          <w:bdr w:val="none" w:sz="0" w:space="0" w:color="auto" w:frame="1"/>
        </w:rPr>
        <w:fldChar w:fldCharType="end"/>
      </w:r>
      <w:r w:rsidR="002128F7">
        <w:rPr>
          <w:rFonts w:ascii="Times New Roman" w:hAnsi="Times New Roman" w:cs="Times New Roman"/>
          <w:sz w:val="24"/>
          <w:szCs w:val="24"/>
          <w:bdr w:val="none" w:sz="0" w:space="0" w:color="auto" w:frame="1"/>
        </w:rPr>
        <w:t xml:space="preserve"> om pligt til at beskytte kilden til underretninger</w:t>
      </w:r>
      <w:r w:rsidR="002128F7" w:rsidRPr="00D253F0">
        <w:rPr>
          <w:rFonts w:ascii="Times New Roman" w:hAnsi="Times New Roman" w:cs="Times New Roman"/>
          <w:sz w:val="24"/>
          <w:szCs w:val="24"/>
          <w:bdr w:val="none" w:sz="0" w:space="0" w:color="auto" w:frame="1"/>
        </w:rPr>
        <w:t>. Dette bør dog ikke være til hinder for, at Hvidvasksekretariatet formidler relevante oplysninger, herunder f.eks. oplysninger om IBAN-numre, BIC- eller SWIFT-koder, jf. herved også præambelbetragtning nr. 66.</w:t>
      </w:r>
    </w:p>
    <w:p w14:paraId="149CE544" w14:textId="77777777" w:rsidR="00074750" w:rsidRPr="00796736" w:rsidRDefault="00074750" w:rsidP="00A802A5">
      <w:pPr>
        <w:spacing w:line="360" w:lineRule="auto"/>
        <w:rPr>
          <w:rFonts w:ascii="Times New Roman" w:hAnsi="Times New Roman" w:cs="Times New Roman"/>
          <w:sz w:val="24"/>
          <w:szCs w:val="24"/>
          <w:bdr w:val="none" w:sz="0" w:space="0" w:color="auto" w:frame="1"/>
        </w:rPr>
      </w:pPr>
    </w:p>
    <w:p w14:paraId="4123B64B" w14:textId="2DBF0B6A" w:rsidR="00FA3904" w:rsidRPr="00796736" w:rsidRDefault="00FA3904"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Se hertil også bemærkningerne til den gældende bestemmelse i hvidvasklovens § 29, stk. 2, nr. 2, jf. Folketingstidende 2019-20, tillæg A, L 58 som fremsat, side 47.</w:t>
      </w:r>
    </w:p>
    <w:p w14:paraId="3479E0A7"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0DC7FFEB" w14:textId="0F0550DA" w:rsidR="00074750" w:rsidRPr="00796736" w:rsidRDefault="0007475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Det bemærkes, at Hvidvasksekretariatets opgavevaretagelse ligesom i dag vil indebære, at sekretariatets virksomhed, i overensstemmelse med gældende ret, i et vist omfang sker inden for strafferetsplejen. I det omfang Hvidvasksekretariatets virksomhed eller opgavevaretagelse på den baggrund omfattes af retsplejelovens bestemmelser, vil Hvidvasksekretariatet skulle iagttage disse</w:t>
      </w:r>
      <w:r w:rsidR="00942B39">
        <w:rPr>
          <w:rFonts w:ascii="Times New Roman" w:hAnsi="Times New Roman" w:cs="Times New Roman"/>
          <w:sz w:val="24"/>
          <w:szCs w:val="24"/>
          <w:bdr w:val="none" w:sz="0" w:space="0" w:color="auto" w:frame="1"/>
        </w:rPr>
        <w:t xml:space="preserve">. </w:t>
      </w:r>
    </w:p>
    <w:p w14:paraId="3C1E6388" w14:textId="77777777" w:rsidR="00074750" w:rsidRPr="00796736" w:rsidRDefault="00074750" w:rsidP="00A802A5">
      <w:pPr>
        <w:spacing w:line="360" w:lineRule="auto"/>
        <w:rPr>
          <w:rFonts w:ascii="Times New Roman" w:hAnsi="Times New Roman" w:cs="Times New Roman"/>
          <w:sz w:val="24"/>
          <w:szCs w:val="24"/>
          <w:bdr w:val="none" w:sz="0" w:space="0" w:color="auto" w:frame="1"/>
        </w:rPr>
      </w:pPr>
    </w:p>
    <w:p w14:paraId="6655FB9D" w14:textId="5C107196" w:rsidR="00074750" w:rsidRPr="00796736" w:rsidRDefault="0007475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Formidling af oplysninger efter den foreslåede bestemmelse vil efter omstændighederne være videregivelse af oplysninger efter forvaltningslovens § 28, stk. 1 og 2. </w:t>
      </w:r>
    </w:p>
    <w:p w14:paraId="6156B963"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5712E28E" w14:textId="04EA02C2"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Der er ikke med </w:t>
      </w:r>
      <w:r w:rsidR="00FD70EA" w:rsidRPr="00796736">
        <w:rPr>
          <w:rFonts w:ascii="Times New Roman" w:hAnsi="Times New Roman" w:cs="Times New Roman"/>
          <w:sz w:val="24"/>
          <w:szCs w:val="24"/>
          <w:bdr w:val="none" w:sz="0" w:space="0" w:color="auto" w:frame="1"/>
        </w:rPr>
        <w:fldChar w:fldCharType="begin"/>
      </w:r>
      <w:r w:rsidR="00FD70EA" w:rsidRPr="00796736">
        <w:rPr>
          <w:rFonts w:ascii="Times New Roman" w:hAnsi="Times New Roman" w:cs="Times New Roman"/>
          <w:sz w:val="24"/>
          <w:szCs w:val="24"/>
          <w:bdr w:val="none" w:sz="0" w:space="0" w:color="auto" w:frame="1"/>
        </w:rPr>
        <w:instrText xml:space="preserve"> REF _Ref232595580 \r \h </w:instrText>
      </w:r>
      <w:r w:rsidR="00967618" w:rsidRPr="00796736">
        <w:rPr>
          <w:rFonts w:ascii="Times New Roman" w:hAnsi="Times New Roman" w:cs="Times New Roman"/>
          <w:sz w:val="24"/>
          <w:szCs w:val="24"/>
          <w:bdr w:val="none" w:sz="0" w:space="0" w:color="auto" w:frame="1"/>
        </w:rPr>
        <w:instrText xml:space="preserve"> \* MERGEFORMAT </w:instrText>
      </w:r>
      <w:r w:rsidR="00FD70EA" w:rsidRPr="00796736">
        <w:rPr>
          <w:rFonts w:ascii="Times New Roman" w:hAnsi="Times New Roman" w:cs="Times New Roman"/>
          <w:sz w:val="24"/>
          <w:szCs w:val="24"/>
          <w:bdr w:val="none" w:sz="0" w:space="0" w:color="auto" w:frame="1"/>
        </w:rPr>
      </w:r>
      <w:r w:rsidR="00FD70EA"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14</w:t>
      </w:r>
      <w:r w:rsidR="00FD70EA" w:rsidRPr="00796736">
        <w:rPr>
          <w:rFonts w:ascii="Times New Roman" w:hAnsi="Times New Roman" w:cs="Times New Roman"/>
          <w:sz w:val="24"/>
          <w:szCs w:val="24"/>
          <w:bdr w:val="none" w:sz="0" w:space="0" w:color="auto" w:frame="1"/>
        </w:rPr>
        <w:fldChar w:fldCharType="end"/>
      </w:r>
      <w:r w:rsidR="00FD70EA" w:rsidRPr="00796736">
        <w:rPr>
          <w:rFonts w:ascii="Times New Roman" w:hAnsi="Times New Roman" w:cs="Times New Roman"/>
          <w:sz w:val="24"/>
          <w:szCs w:val="24"/>
          <w:bdr w:val="none" w:sz="0" w:space="0" w:color="auto" w:frame="1"/>
        </w:rPr>
        <w:t xml:space="preserve">, </w:t>
      </w:r>
      <w:r w:rsidRPr="00796736">
        <w:rPr>
          <w:rFonts w:ascii="Times New Roman" w:hAnsi="Times New Roman" w:cs="Times New Roman"/>
          <w:sz w:val="24"/>
          <w:szCs w:val="24"/>
          <w:bdr w:val="none" w:sz="0" w:space="0" w:color="auto" w:frame="1"/>
        </w:rPr>
        <w:t xml:space="preserve">stk. 2, tilsigtet en udtømmende opregning af Hvidvasksekretariatets </w:t>
      </w:r>
      <w:r w:rsidR="00942B39">
        <w:rPr>
          <w:rFonts w:ascii="Times New Roman" w:hAnsi="Times New Roman" w:cs="Times New Roman"/>
          <w:sz w:val="24"/>
          <w:szCs w:val="24"/>
          <w:bdr w:val="none" w:sz="0" w:space="0" w:color="auto" w:frame="1"/>
        </w:rPr>
        <w:t xml:space="preserve">ansvarsområder. </w:t>
      </w:r>
    </w:p>
    <w:p w14:paraId="0A8A4864"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7607DFE5"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foreslås med </w:t>
      </w:r>
      <w:r w:rsidRPr="00796736">
        <w:rPr>
          <w:rFonts w:ascii="Times New Roman" w:hAnsi="Times New Roman" w:cs="Times New Roman"/>
          <w:i/>
          <w:iCs/>
          <w:sz w:val="24"/>
          <w:szCs w:val="24"/>
          <w:bdr w:val="none" w:sz="0" w:space="0" w:color="auto" w:frame="1"/>
        </w:rPr>
        <w:t>stk. 3</w:t>
      </w:r>
      <w:r w:rsidRPr="00796736">
        <w:rPr>
          <w:rFonts w:ascii="Times New Roman" w:hAnsi="Times New Roman" w:cs="Times New Roman"/>
          <w:sz w:val="24"/>
          <w:szCs w:val="24"/>
          <w:bdr w:val="none" w:sz="0" w:space="0" w:color="auto" w:frame="1"/>
        </w:rPr>
        <w:t>, at Hvidvasksekretariatet er operationelt uafhængig og selvstændig, hvorved forstås, at sekretariatet har kompetence og kapacitet til at udføre sine opgaver frit og kan træffe selvstændige beslutninger om at analysere, anmode om og, i overensstemmelse med stk. 2, formidle specifikke oplysninger. Hvidvasksekretariatet skal være fri for utilbørlig politisk eller statslig påvirkning eller indblanding eller påvirkning eller indblanding fra erhvervslivet. Hvidvasksekretariatets centrale funktioner skal være uafhængige og operationelt adskilt fra National enhed for Særlig Kriminalitets øvrige funktioner.</w:t>
      </w:r>
    </w:p>
    <w:p w14:paraId="27253D8B"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1F521584" w14:textId="77777777" w:rsidR="007A47BF" w:rsidRDefault="007A47BF" w:rsidP="007A47BF">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Bestemmelserne har til formål at sikre Hvidvasksekretariatets operationelle autonomi og uafhængighed. Bestemmelsen viderefører hvidvasklovens § 29, stk. 1, 2. pkt., dog således, at det nu fremgår, at Hvidvasksekretariatet skal være fri for bl.a. utilbørlig politisk påvirkning eller indblanding og at Hvidvasksekretariatet skal være adskilt fra </w:t>
      </w:r>
      <w:r>
        <w:rPr>
          <w:rFonts w:ascii="Times New Roman" w:hAnsi="Times New Roman" w:cs="Times New Roman"/>
          <w:sz w:val="24"/>
          <w:szCs w:val="24"/>
          <w:bdr w:val="none" w:sz="0" w:space="0" w:color="auto" w:frame="1"/>
        </w:rPr>
        <w:t>National Enhed for Særlig Kriminalitets</w:t>
      </w:r>
      <w:r w:rsidRPr="00796736">
        <w:rPr>
          <w:rFonts w:ascii="Times New Roman" w:hAnsi="Times New Roman" w:cs="Times New Roman"/>
          <w:sz w:val="24"/>
          <w:szCs w:val="24"/>
          <w:bdr w:val="none" w:sz="0" w:space="0" w:color="auto" w:frame="1"/>
        </w:rPr>
        <w:t xml:space="preserve"> øvrige funktioner.</w:t>
      </w:r>
    </w:p>
    <w:p w14:paraId="34F11F2C" w14:textId="592BCBC8" w:rsidR="002128F7" w:rsidRPr="00796736" w:rsidRDefault="002128F7" w:rsidP="00A802A5">
      <w:pPr>
        <w:spacing w:after="240" w:line="360" w:lineRule="auto"/>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Det forudsættes, at </w:t>
      </w:r>
      <w:r w:rsidRPr="00D253F0">
        <w:rPr>
          <w:rFonts w:ascii="Times New Roman" w:hAnsi="Times New Roman" w:cs="Times New Roman"/>
          <w:sz w:val="24"/>
          <w:szCs w:val="24"/>
          <w:bdr w:val="none" w:sz="0" w:space="0" w:color="auto" w:frame="1"/>
        </w:rPr>
        <w:t>Hvidvasksekretariatet sikrer, at sekretariatets personale fastholder høje faglige standarder, herunder høje standarder for databeskyttelse, udviser høj grad af integritet og er tilstrækkeligt kvalificeret for så vidt angår den etiske behandling af store datasæt. Hvidvasksekretariatet sikrer endvidere, at der er indført procedurer til forebyggelse og håndtering af interessekonflikter samt regler for oplysningers sikkerhed og fortrolighed.</w:t>
      </w:r>
      <w:r>
        <w:rPr>
          <w:rFonts w:ascii="Times New Roman" w:hAnsi="Times New Roman" w:cs="Times New Roman"/>
          <w:sz w:val="24"/>
          <w:szCs w:val="24"/>
          <w:bdr w:val="none" w:sz="0" w:space="0" w:color="auto" w:frame="1"/>
        </w:rPr>
        <w:t xml:space="preserve"> </w:t>
      </w:r>
      <w:r w:rsidRPr="00D253F0">
        <w:rPr>
          <w:rFonts w:ascii="Times New Roman" w:hAnsi="Times New Roman" w:cs="Times New Roman"/>
          <w:sz w:val="24"/>
          <w:szCs w:val="24"/>
          <w:bdr w:val="none" w:sz="0" w:space="0" w:color="auto" w:frame="1"/>
        </w:rPr>
        <w:t>Det forudsættes, at Hvidvasksekretariatet fastsætter interne procedurer og retningslinjer, som sikrer overholdelsen af bestemmelsen.</w:t>
      </w:r>
    </w:p>
    <w:p w14:paraId="2FEEF844" w14:textId="77777777" w:rsidR="00A4469C" w:rsidRDefault="00A4469C" w:rsidP="00A802A5">
      <w:pPr>
        <w:spacing w:after="240"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Den foreslåede bestemmelse skal ses i sammenhæng med hvidvaskdirektivets præambelbetragtning nr. 64, hvoraf fremgår, at FIU’ens operationelle uafhængighed og selvstændighed bør sikres ved at give FIU’en kompetence og kapacitet til at udføre sine opgaver frit, herunder evnen til at træffe selvstændige beslutninger med hensyn til analyse, anmodninger og formidling af specifikke oplysninger. FIU’en bør under alle omstændigheder have selvstændig ret til at fremsende eller formidle oplysninger til de relevante kompetente myndigheder. FIU’en bør gives tilstrækkelige finansielle, menneskelige og tekniske ressourcer på en måde, der sikrer dens selvstændighed og uafhængighed og sætter den i stand til at udøve sit mandat effektivt. FIU’en bør være i stand til at tilvejebringe og anvende de ressourcer, der er nødvendige for, at den kan udføre sine opgaver, på individuelt eller rutinemæssigt grundlag, fri for utilbørlig politisk eller statslig påvirkning eller indblanding eller påvirkning eller indblanding fra erhvervslivet, som kan bringe dens operationelle uafhængighed i fare. </w:t>
      </w:r>
    </w:p>
    <w:p w14:paraId="1093621E" w14:textId="5F901555" w:rsidR="002128F7" w:rsidRPr="00796736" w:rsidRDefault="002128F7" w:rsidP="00A802A5">
      <w:pPr>
        <w:spacing w:after="240" w:line="360" w:lineRule="auto"/>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Den foreslåede bestemmelse skal endvidere ses i lyset af præambelbetragtning nr. 65, hvorefter F</w:t>
      </w:r>
      <w:r w:rsidRPr="00C06086">
        <w:rPr>
          <w:rFonts w:ascii="Times New Roman" w:hAnsi="Times New Roman" w:cs="Times New Roman"/>
          <w:sz w:val="24"/>
          <w:szCs w:val="24"/>
          <w:bdr w:val="none" w:sz="0" w:space="0" w:color="auto" w:frame="1"/>
        </w:rPr>
        <w:t>IU'ers personale bør udvise en høj grad af integritet, have passende kvalifikationer og fastholde en høj professionel standard. FIU'erne bør have indført procedurer til effektiv forebyggelse og håndtering af interessekonflikter. I betragtning af karakteren af deres arbejde er FIU'er modtagere af og har adgang til store mængder følsomme personlige og finansielle oplysninger. Derfor bør FIU'ers personale have de nødvendige færdigheder med hensyn til etisk anvendelse af big data-analyseværktøjer.</w:t>
      </w:r>
    </w:p>
    <w:p w14:paraId="7DB70F82"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forudsættes, i overensstemmelse med gældende ret, at Hvidvasksekretariatet opretholder sikkerhedssystemer og særligt tilpassede sikkerhedspolitikker, at det hermed effektivt sikres, at sekretariatets opgaver holdes adskilt fra de øvrige af NSK’s opgaver. Se hertil også bemærkningerne til den gældende bestemmelse i hvidvasklovens § 29, stk. 1, jf. Folketingstidende 2019-20, tillæg A, L 58 som fremsat, side 47. </w:t>
      </w:r>
    </w:p>
    <w:p w14:paraId="72DAE104"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5E499EDE" w14:textId="138F4B07" w:rsidR="00074750" w:rsidRPr="00796736" w:rsidRDefault="0007475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Ved selvstændigt virkende forstås i overensstemmelse med gældende ret, at Hvidvasksekretariatet selvstændigt har kompetence til at udføre sine centrale funktioner med at modtage, analysere og videreformidle underretninger samt til at indgå aftaler og i øvrigt samarbejde med andre myndigheder, herunder andre medlemsstaters FIU’er, vedrørende udveksling af oplysninger mv. </w:t>
      </w:r>
    </w:p>
    <w:p w14:paraId="1496ECE4"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19C4499A" w14:textId="77777777" w:rsidR="00074750" w:rsidRPr="00796736" w:rsidRDefault="0007475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forudsættes fastsat ved cirkulære, at Rigspolitiet skal sikre, at Hvidvasksekretariatet tildeles tilstrækkelige finansielle, menneskelige og tekniske ressourcer til, at de kan udføre deres opgaver og at Hvidvasksekretariatet skal være i stand til at tilvejebringe og anvende de ressourcer, der er nødvendige for, at de kan udføre deres opgaver.  </w:t>
      </w:r>
    </w:p>
    <w:p w14:paraId="1B8F0B58"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387513B0" w14:textId="77777777" w:rsidR="00CA160D" w:rsidRPr="00796736" w:rsidRDefault="00CA160D" w:rsidP="00CA160D">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w:t>
      </w:r>
      <w:r>
        <w:rPr>
          <w:rFonts w:ascii="Times New Roman" w:hAnsi="Times New Roman" w:cs="Times New Roman"/>
          <w:sz w:val="24"/>
          <w:szCs w:val="24"/>
          <w:bdr w:val="none" w:sz="0" w:space="0" w:color="auto" w:frame="1"/>
        </w:rPr>
        <w:t>forudsættes</w:t>
      </w:r>
      <w:r w:rsidRPr="00796736">
        <w:rPr>
          <w:rFonts w:ascii="Times New Roman" w:hAnsi="Times New Roman" w:cs="Times New Roman"/>
          <w:sz w:val="24"/>
          <w:szCs w:val="24"/>
          <w:bdr w:val="none" w:sz="0" w:space="0" w:color="auto" w:frame="1"/>
        </w:rPr>
        <w:t xml:space="preserve"> endvidere, at der ved cirkulære indføres nærmere regler om indholdet af bestemmelsen, herunder regler om procedurer for ansættelse og afskedigelse af lederen af Hvidvasksekretariatet</w:t>
      </w:r>
      <w:r>
        <w:rPr>
          <w:rFonts w:ascii="Times New Roman" w:hAnsi="Times New Roman" w:cs="Times New Roman"/>
          <w:sz w:val="24"/>
          <w:szCs w:val="24"/>
          <w:bdr w:val="none" w:sz="0" w:space="0" w:color="auto" w:frame="1"/>
        </w:rPr>
        <w:t>,</w:t>
      </w:r>
      <w:r w:rsidRPr="00796736">
        <w:rPr>
          <w:rFonts w:ascii="Times New Roman" w:hAnsi="Times New Roman" w:cs="Times New Roman"/>
          <w:sz w:val="24"/>
          <w:szCs w:val="24"/>
          <w:bdr w:val="none" w:sz="0" w:space="0" w:color="auto" w:frame="1"/>
        </w:rPr>
        <w:t xml:space="preserve"> drift og arbejdsgange for Hvidvasksekretariatet henset til den organisatoriske placering under NSK, tildeling af ressourcer til Hvidvasksekretariatet, samt hvordan Hvidvasksekretariatet opnår og forvalter ressourcerne, herunder hvordan Hvidvasksekretariatet anmoder om de nødvendige ressourcer. </w:t>
      </w:r>
    </w:p>
    <w:p w14:paraId="599E0113"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1D9C1F1B" w14:textId="6EA4C64A"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Det foreslås med </w:t>
      </w:r>
      <w:r w:rsidRPr="00796736">
        <w:rPr>
          <w:rFonts w:ascii="Times New Roman" w:hAnsi="Times New Roman" w:cs="Times New Roman"/>
          <w:i/>
          <w:iCs/>
          <w:sz w:val="24"/>
          <w:szCs w:val="24"/>
          <w:bdr w:val="none" w:sz="0" w:space="0" w:color="auto" w:frame="1"/>
        </w:rPr>
        <w:t xml:space="preserve">stk. </w:t>
      </w:r>
      <w:r w:rsidR="00B46F79" w:rsidRPr="00796736">
        <w:rPr>
          <w:rFonts w:ascii="Times New Roman" w:hAnsi="Times New Roman" w:cs="Times New Roman"/>
          <w:i/>
          <w:iCs/>
          <w:sz w:val="24"/>
          <w:szCs w:val="24"/>
          <w:bdr w:val="none" w:sz="0" w:space="0" w:color="auto" w:frame="1"/>
        </w:rPr>
        <w:t>4</w:t>
      </w:r>
      <w:r w:rsidRPr="00796736">
        <w:rPr>
          <w:rFonts w:ascii="Times New Roman" w:hAnsi="Times New Roman" w:cs="Times New Roman"/>
          <w:sz w:val="24"/>
          <w:szCs w:val="24"/>
          <w:bdr w:val="none" w:sz="0" w:space="0" w:color="auto" w:frame="1"/>
        </w:rPr>
        <w:t xml:space="preserve">, at </w:t>
      </w:r>
      <w:r w:rsidR="00B46F79" w:rsidRPr="00796736">
        <w:rPr>
          <w:rFonts w:ascii="Times New Roman" w:hAnsi="Times New Roman" w:cs="Times New Roman"/>
          <w:sz w:val="24"/>
          <w:szCs w:val="24"/>
          <w:bdr w:val="none" w:sz="0" w:space="0" w:color="auto" w:frame="1"/>
        </w:rPr>
        <w:t>Justits</w:t>
      </w:r>
      <w:r w:rsidRPr="00796736">
        <w:rPr>
          <w:rFonts w:ascii="Times New Roman" w:hAnsi="Times New Roman" w:cs="Times New Roman"/>
          <w:sz w:val="24"/>
          <w:szCs w:val="24"/>
          <w:bdr w:val="none" w:sz="0" w:space="0" w:color="auto" w:frame="1"/>
        </w:rPr>
        <w:t xml:space="preserve">ministeren fastsætter regler, som er nødvendige af hensyn til at gennemføre, anvende eller håndhæve retsakter vedtaget af EU’s institutioner om følgende forhold: </w:t>
      </w:r>
    </w:p>
    <w:p w14:paraId="09620330" w14:textId="77777777" w:rsidR="00A4469C" w:rsidRPr="00796736" w:rsidRDefault="00A4469C">
      <w:pPr>
        <w:pStyle w:val="Listeafsnit"/>
        <w:numPr>
          <w:ilvl w:val="0"/>
          <w:numId w:val="20"/>
        </w:num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 foranstaltninger, der skal indføres for at bevare FIU’ens operationelle selvstændighed og uafhængighed, herunder foranstaltninger til at forhindre, at interessekonflikter påvirker dens operationelle selvstændighed og uafhængigheden.</w:t>
      </w:r>
    </w:p>
    <w:p w14:paraId="1020FAA5" w14:textId="77777777" w:rsidR="00A4469C" w:rsidRPr="00796736" w:rsidRDefault="00A4469C">
      <w:pPr>
        <w:pStyle w:val="Listeafsnit"/>
        <w:numPr>
          <w:ilvl w:val="0"/>
          <w:numId w:val="20"/>
        </w:num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Arten af, elementerne i og målene for den operationelle og strategiske analyse.</w:t>
      </w:r>
    </w:p>
    <w:p w14:paraId="5C3C33E0" w14:textId="77777777" w:rsidR="00A4469C" w:rsidRPr="00796736" w:rsidRDefault="00A4469C">
      <w:pPr>
        <w:pStyle w:val="Listeafsnit"/>
        <w:numPr>
          <w:ilvl w:val="0"/>
          <w:numId w:val="20"/>
        </w:num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Værktøjer og metoder til brug og krydstjek af finansielle oplysninger, administrative oplysninger og oplysninger om retshåndhævelse, som FIU’erne har adgang til.</w:t>
      </w:r>
    </w:p>
    <w:p w14:paraId="0C9F1176" w14:textId="77777777" w:rsidR="00A4469C" w:rsidRPr="00796736" w:rsidRDefault="00A4469C">
      <w:pPr>
        <w:pStyle w:val="Listeafsnit"/>
        <w:numPr>
          <w:ilvl w:val="0"/>
          <w:numId w:val="20"/>
        </w:num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Praksis og procedurer for udøvelse af suspension eller tilbageholdelse af godkendelse af en transaktion og suspension eller overvågning af en konto eller forretningsforbindelse i henhold til artikel 24 og 25 i hvidvaskdirektivet.</w:t>
      </w:r>
    </w:p>
    <w:p w14:paraId="4D6DA3B9"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32F946E5" w14:textId="77777777" w:rsidR="007E7957" w:rsidRPr="00796736" w:rsidRDefault="007E7957" w:rsidP="007E7957">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Den foreslåede bemyndigelsesbestemmelse skal ses i sammenhæng med hvidvaskdirektivets artikel 19, stk. 10, hvorefter AMLA senest den 10. juli 2028 udsteder retningslinjer til FIU’erne om de foranstaltninger, der skal indføres for at bevare FIU'ens operationelle selvstændighed og uafhængighed, herunder foranstaltninger til at forhindre, at interessekonflikter påvirker dens operationelle selvstændighed og uafhængighed, arten af, elementerne i og målene for den operationelle og strategiske analyse, værktøjer og metoder til brug og krydstjek af finansielle oplysninger, administrative oplysninger og oplysninger om retshåndhævelse, som FIU'erne har adgang til, og praksis og procedurer for udøvelse af suspension eller tilbageholdelse af godkendelse af en transaktion og suspension eller overvågning af en konto eller forretningsforbindelse i henhold til hvidvaskdirektivets artikel 24 og 25 (om h</w:t>
      </w:r>
      <w:r>
        <w:rPr>
          <w:rFonts w:ascii="Times New Roman" w:hAnsi="Times New Roman" w:cs="Times New Roman"/>
          <w:sz w:val="24"/>
          <w:szCs w:val="24"/>
          <w:bdr w:val="none" w:sz="0" w:space="0" w:color="auto" w:frame="1"/>
        </w:rPr>
        <w:t>enholdsvis</w:t>
      </w:r>
      <w:r w:rsidRPr="00796736">
        <w:rPr>
          <w:rFonts w:ascii="Times New Roman" w:hAnsi="Times New Roman" w:cs="Times New Roman"/>
          <w:sz w:val="24"/>
          <w:szCs w:val="24"/>
          <w:bdr w:val="none" w:sz="0" w:space="0" w:color="auto" w:frame="1"/>
        </w:rPr>
        <w:t xml:space="preserve"> FIU’ernes beføjelse i</w:t>
      </w:r>
      <w:r>
        <w:rPr>
          <w:rFonts w:ascii="Times New Roman" w:hAnsi="Times New Roman" w:cs="Times New Roman"/>
          <w:sz w:val="24"/>
          <w:szCs w:val="24"/>
          <w:bdr w:val="none" w:sz="0" w:space="0" w:color="auto" w:frame="1"/>
        </w:rPr>
        <w:t xml:space="preserve"> forbindelse med</w:t>
      </w:r>
      <w:r w:rsidRPr="00796736">
        <w:rPr>
          <w:rFonts w:ascii="Times New Roman" w:hAnsi="Times New Roman" w:cs="Times New Roman"/>
          <w:sz w:val="24"/>
          <w:szCs w:val="24"/>
          <w:bdr w:val="none" w:sz="0" w:space="0" w:color="auto" w:frame="1"/>
        </w:rPr>
        <w:t xml:space="preserve"> suspension eller tilbageholdelse af godkendelse og instrukser om overvågning af transaktioner eller aktiviteter).</w:t>
      </w:r>
    </w:p>
    <w:p w14:paraId="5926933A"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37EAFF79" w14:textId="350CEB51"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Efter den foreslåede bemyndigelsesbestemmelse vil </w:t>
      </w:r>
      <w:r w:rsidR="00B46F79" w:rsidRPr="00796736">
        <w:rPr>
          <w:rFonts w:ascii="Times New Roman" w:hAnsi="Times New Roman" w:cs="Times New Roman"/>
          <w:sz w:val="24"/>
          <w:szCs w:val="24"/>
          <w:bdr w:val="none" w:sz="0" w:space="0" w:color="auto" w:frame="1"/>
        </w:rPr>
        <w:t>Justits</w:t>
      </w:r>
      <w:r w:rsidRPr="00796736">
        <w:rPr>
          <w:rFonts w:ascii="Times New Roman" w:hAnsi="Times New Roman" w:cs="Times New Roman"/>
          <w:sz w:val="24"/>
          <w:szCs w:val="24"/>
          <w:bdr w:val="none" w:sz="0" w:space="0" w:color="auto" w:frame="1"/>
        </w:rPr>
        <w:t xml:space="preserve">ministeren således kunne fastsatte de regler, som er nødvendige med henblik på efterlevelse af hvidvaskdirektivets artikel 19, stk. 10. </w:t>
      </w:r>
    </w:p>
    <w:p w14:paraId="4D57A8E9" w14:textId="77777777" w:rsidR="00A4469C" w:rsidRPr="00796736" w:rsidRDefault="00A4469C" w:rsidP="00A802A5">
      <w:pPr>
        <w:spacing w:line="360" w:lineRule="auto"/>
        <w:rPr>
          <w:rFonts w:ascii="Times New Roman" w:hAnsi="Times New Roman" w:cs="Times New Roman"/>
          <w:sz w:val="24"/>
          <w:szCs w:val="24"/>
          <w:bdr w:val="none" w:sz="0" w:space="0" w:color="auto" w:frame="1"/>
        </w:rPr>
      </w:pPr>
    </w:p>
    <w:p w14:paraId="5B70A87E" w14:textId="09A7FB05" w:rsidR="0092113C" w:rsidRDefault="0092113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Med den foreslåede </w:t>
      </w:r>
      <w:r w:rsidRPr="00796736">
        <w:rPr>
          <w:rFonts w:ascii="Times New Roman" w:hAnsi="Times New Roman" w:cs="Times New Roman"/>
          <w:sz w:val="24"/>
          <w:szCs w:val="24"/>
          <w:bdr w:val="none" w:sz="0" w:space="0" w:color="auto" w:frame="1"/>
        </w:rPr>
        <w:fldChar w:fldCharType="begin"/>
      </w:r>
      <w:r w:rsidRPr="00796736">
        <w:rPr>
          <w:rFonts w:ascii="Times New Roman" w:hAnsi="Times New Roman" w:cs="Times New Roman"/>
          <w:sz w:val="24"/>
          <w:szCs w:val="24"/>
          <w:bdr w:val="none" w:sz="0" w:space="0" w:color="auto" w:frame="1"/>
        </w:rPr>
        <w:instrText xml:space="preserve"> REF _Ref232595580 \r \h  \* MERGEFORMAT </w:instrText>
      </w:r>
      <w:r w:rsidRPr="00796736">
        <w:rPr>
          <w:rFonts w:ascii="Times New Roman" w:hAnsi="Times New Roman" w:cs="Times New Roman"/>
          <w:sz w:val="24"/>
          <w:szCs w:val="24"/>
          <w:bdr w:val="none" w:sz="0" w:space="0" w:color="auto" w:frame="1"/>
        </w:rPr>
      </w:r>
      <w:r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14</w:t>
      </w:r>
      <w:r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gennemføres sammen med den foreslåede </w:t>
      </w:r>
      <w:r w:rsidRPr="00796736">
        <w:rPr>
          <w:rFonts w:ascii="Times New Roman" w:hAnsi="Times New Roman" w:cs="Times New Roman"/>
          <w:sz w:val="24"/>
          <w:szCs w:val="24"/>
          <w:bdr w:val="none" w:sz="0" w:space="0" w:color="auto" w:frame="1"/>
        </w:rPr>
        <w:fldChar w:fldCharType="begin"/>
      </w:r>
      <w:r w:rsidRPr="00796736">
        <w:rPr>
          <w:rFonts w:ascii="Times New Roman" w:hAnsi="Times New Roman" w:cs="Times New Roman"/>
          <w:sz w:val="24"/>
          <w:szCs w:val="24"/>
          <w:bdr w:val="none" w:sz="0" w:space="0" w:color="auto" w:frame="1"/>
        </w:rPr>
        <w:instrText xml:space="preserve"> REF _Ref240556942 \r \h </w:instrText>
      </w:r>
      <w:r w:rsidR="00AB17CC" w:rsidRPr="00796736">
        <w:rPr>
          <w:rFonts w:ascii="Times New Roman" w:hAnsi="Times New Roman" w:cs="Times New Roman"/>
          <w:sz w:val="24"/>
          <w:szCs w:val="24"/>
          <w:bdr w:val="none" w:sz="0" w:space="0" w:color="auto" w:frame="1"/>
        </w:rPr>
        <w:instrText xml:space="preserve"> \* MERGEFORMAT </w:instrText>
      </w:r>
      <w:r w:rsidRPr="00796736">
        <w:rPr>
          <w:rFonts w:ascii="Times New Roman" w:hAnsi="Times New Roman" w:cs="Times New Roman"/>
          <w:sz w:val="24"/>
          <w:szCs w:val="24"/>
          <w:bdr w:val="none" w:sz="0" w:space="0" w:color="auto" w:frame="1"/>
        </w:rPr>
      </w:r>
      <w:r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 39</w:t>
      </w:r>
      <w:r w:rsidRPr="00796736">
        <w:rPr>
          <w:rFonts w:ascii="Times New Roman" w:hAnsi="Times New Roman" w:cs="Times New Roman"/>
          <w:sz w:val="24"/>
          <w:szCs w:val="24"/>
          <w:bdr w:val="none" w:sz="0" w:space="0" w:color="auto" w:frame="1"/>
        </w:rPr>
        <w:fldChar w:fldCharType="end"/>
      </w:r>
      <w:r w:rsidRPr="00796736">
        <w:rPr>
          <w:rFonts w:ascii="Times New Roman" w:hAnsi="Times New Roman" w:cs="Times New Roman"/>
          <w:sz w:val="24"/>
          <w:szCs w:val="24"/>
          <w:bdr w:val="none" w:sz="0" w:space="0" w:color="auto" w:frame="1"/>
        </w:rPr>
        <w:t xml:space="preserve"> </w:t>
      </w:r>
      <w:r w:rsidR="00074750" w:rsidRPr="00796736">
        <w:rPr>
          <w:rFonts w:ascii="Times New Roman" w:hAnsi="Times New Roman" w:cs="Times New Roman"/>
          <w:sz w:val="24"/>
          <w:szCs w:val="24"/>
          <w:bdr w:val="none" w:sz="0" w:space="0" w:color="auto" w:frame="1"/>
        </w:rPr>
        <w:t xml:space="preserve">og </w:t>
      </w:r>
      <w:r w:rsidRPr="00796736">
        <w:rPr>
          <w:rFonts w:ascii="Times New Roman" w:hAnsi="Times New Roman" w:cs="Times New Roman"/>
          <w:sz w:val="24"/>
          <w:szCs w:val="24"/>
          <w:bdr w:val="none" w:sz="0" w:space="0" w:color="auto" w:frame="1"/>
        </w:rPr>
        <w:t xml:space="preserve">6. hvidvaskdirektivets artikel 19. </w:t>
      </w:r>
    </w:p>
    <w:p w14:paraId="0AF2E6DA" w14:textId="77777777" w:rsidR="00B14134" w:rsidRPr="00B14134" w:rsidRDefault="00B14134" w:rsidP="00B14134">
      <w:pPr>
        <w:spacing w:line="360" w:lineRule="auto"/>
        <w:rPr>
          <w:rFonts w:ascii="Times New Roman" w:hAnsi="Times New Roman" w:cs="Times New Roman"/>
          <w:sz w:val="24"/>
          <w:szCs w:val="24"/>
          <w:bdr w:val="none" w:sz="0" w:space="0" w:color="auto" w:frame="1"/>
        </w:rPr>
      </w:pPr>
    </w:p>
    <w:p w14:paraId="09069E48"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Det følger af hvidvasklovens § 26, stk. 1, at virksomheder og personer omfattet af hvidvaskloven omgående skal underrette Hvidvasksekretariatet, hvis virksomheden eller personen er vidende om, har mistanke om eller rimelig grund til at formode, at en transaktion, midler eller en aktivitet har eller har haft tilknytning til hvidvask eller finansiering af terrorisme. Det samme gælder ved mistanke, der er opstået i forbindelse med kundens forsøg på at foretage en transaktion eller en henvendelse fra en mulig kunde med ønske om gennemførelse af en transaktion eller aktivitet.</w:t>
      </w:r>
    </w:p>
    <w:p w14:paraId="5DF2D40C"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Det følger af § 26, stk. 8, i hvidvaskloven, at Finanstilsynet kan fastsætte nærmere regler om den tekniske opfyldelse af underretningspligten til Hvidvasksekretariatet, jf. stk. 1.</w:t>
      </w:r>
    </w:p>
    <w:p w14:paraId="47BDAA6C"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Regler om den tekniske opfyldelse af underretningspligten til Hvidvasksekretariatet er fastsat i bekendtgørelse nr. 657 af 26. maj 2023 om indsendelse af underretninger m.v. til Hvidvasksekretariatet.</w:t>
      </w:r>
    </w:p>
    <w:p w14:paraId="523FD7CF"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For nærmere om gældende ret henvises i øvrigt til pkt. 3.6.2.1 i lovforslagets almindelige bemærkninger.</w:t>
      </w:r>
    </w:p>
    <w:p w14:paraId="76471396"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 xml:space="preserve">Det foreslås i </w:t>
      </w:r>
      <w:r w:rsidRPr="00B14134">
        <w:rPr>
          <w:rFonts w:ascii="Times New Roman" w:eastAsia="Calibri" w:hAnsi="Times New Roman" w:cs="Times New Roman"/>
          <w:i/>
          <w:sz w:val="24"/>
          <w:szCs w:val="24"/>
        </w:rPr>
        <w:t xml:space="preserve">stk. 5, </w:t>
      </w:r>
      <w:r w:rsidRPr="00B14134">
        <w:rPr>
          <w:rFonts w:ascii="Times New Roman" w:eastAsia="Calibri" w:hAnsi="Times New Roman" w:cs="Times New Roman"/>
          <w:iCs/>
          <w:sz w:val="24"/>
          <w:szCs w:val="24"/>
        </w:rPr>
        <w:t>at virksomheder og personer omfattet af underretningsforpligtelsen i hvidvaskforordningens artikel 69 skal registrere sig i det til enhver tid gældende system til underretninger. Justitsministeren kan fastsætte nærmere regler om den tekniske opfyldelse registreringspligten efter stk. 1.</w:t>
      </w:r>
    </w:p>
    <w:p w14:paraId="1FC75735"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Med at registrere sig forstås, at virksomheder og personer omfattet af underretningspligten i hvidvaskforordningens artikel 69 skal oprette en eller flere brugere i det system til underretninger, som til hver tid er gældende.</w:t>
      </w:r>
    </w:p>
    <w:p w14:paraId="3D694D84"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Med til enhver tid forstås, at registreringspligten gælder for det system, som på det pågældende tidspunktbliver anvendt, jf. regler udstedt i medfør af det foreslåede stk. 2 og efter gældende ret er reguleret i bekendtgørelse nr. 657 af 26. maj 2023 om indsendelse af underretninger mv. til Hvidvasksekretariatet.</w:t>
      </w:r>
    </w:p>
    <w:p w14:paraId="0BCFA2D0"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 xml:space="preserve">Den foreslåede registreringsforpligtelse omfatter at forpligtede enheder og hvis relevant deres direktører og ansatte. Ved forpligtede enheder forstås de fysiske og juridiske personer mv., som er opregnet i hvidvaskforordningens artikel 3. </w:t>
      </w:r>
    </w:p>
    <w:p w14:paraId="37A5C195" w14:textId="77777777" w:rsidR="00B14134"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 xml:space="preserve">Den foreslåede bestemmelse indebærer, at justitsminsiteren eller den myndighed, til hvem bemyndigelsen delegeres, vil kunne fastsætte nærmere regler om den tekniske opfyldelse af registreringspligten efter stk. 1. </w:t>
      </w:r>
    </w:p>
    <w:p w14:paraId="5D32AE49" w14:textId="3B922586" w:rsidR="00A4469C" w:rsidRPr="00B14134" w:rsidRDefault="00B14134" w:rsidP="00B14134">
      <w:pPr>
        <w:spacing w:after="240" w:line="360" w:lineRule="auto"/>
        <w:rPr>
          <w:rFonts w:ascii="Times New Roman" w:eastAsia="Calibri" w:hAnsi="Times New Roman" w:cs="Times New Roman"/>
          <w:iCs/>
          <w:sz w:val="24"/>
          <w:szCs w:val="24"/>
        </w:rPr>
      </w:pPr>
      <w:r w:rsidRPr="00B14134">
        <w:rPr>
          <w:rFonts w:ascii="Times New Roman" w:eastAsia="Calibri" w:hAnsi="Times New Roman" w:cs="Times New Roman"/>
          <w:iCs/>
          <w:sz w:val="24"/>
          <w:szCs w:val="24"/>
        </w:rPr>
        <w:t>Det forudsættes, at der vil blive fastsat nærmere regler om den tekniske opfyldelse af underretningspligten til Hvidvasksekretariatet, og at der i den forbindelse ligeledes vil kunne fastsætte regler om den tekniske opfyldelse af registreringspligten, herunder hvilket system registrering skal ske i.</w:t>
      </w:r>
    </w:p>
    <w:p w14:paraId="7C5500F4" w14:textId="4C9904E9" w:rsidR="00A4469C" w:rsidRPr="00796736" w:rsidRDefault="00A4469C"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Der henvises i øvrigt til pkt. </w:t>
      </w:r>
      <w:r w:rsidR="008C44D6" w:rsidRPr="00796736">
        <w:rPr>
          <w:rFonts w:ascii="Times New Roman" w:hAnsi="Times New Roman" w:cs="Times New Roman"/>
          <w:sz w:val="24"/>
          <w:szCs w:val="24"/>
          <w:bdr w:val="none" w:sz="0" w:space="0" w:color="auto" w:frame="1"/>
        </w:rPr>
        <w:fldChar w:fldCharType="begin"/>
      </w:r>
      <w:r w:rsidR="008C44D6" w:rsidRPr="00796736">
        <w:rPr>
          <w:rFonts w:ascii="Times New Roman" w:hAnsi="Times New Roman" w:cs="Times New Roman"/>
          <w:sz w:val="24"/>
          <w:szCs w:val="24"/>
          <w:bdr w:val="none" w:sz="0" w:space="0" w:color="auto" w:frame="1"/>
        </w:rPr>
        <w:instrText xml:space="preserve"> REF _Ref232942899 \n \h </w:instrText>
      </w:r>
      <w:r w:rsidR="00967618" w:rsidRPr="00796736">
        <w:rPr>
          <w:rFonts w:ascii="Times New Roman" w:hAnsi="Times New Roman" w:cs="Times New Roman"/>
          <w:sz w:val="24"/>
          <w:szCs w:val="24"/>
          <w:bdr w:val="none" w:sz="0" w:space="0" w:color="auto" w:frame="1"/>
        </w:rPr>
        <w:instrText xml:space="preserve"> \* MERGEFORMAT </w:instrText>
      </w:r>
      <w:r w:rsidR="008C44D6" w:rsidRPr="00796736">
        <w:rPr>
          <w:rFonts w:ascii="Times New Roman" w:hAnsi="Times New Roman" w:cs="Times New Roman"/>
          <w:sz w:val="24"/>
          <w:szCs w:val="24"/>
          <w:bdr w:val="none" w:sz="0" w:space="0" w:color="auto" w:frame="1"/>
        </w:rPr>
      </w:r>
      <w:r w:rsidR="008C44D6" w:rsidRPr="00796736">
        <w:rPr>
          <w:rFonts w:ascii="Times New Roman" w:hAnsi="Times New Roman" w:cs="Times New Roman"/>
          <w:sz w:val="24"/>
          <w:szCs w:val="24"/>
          <w:bdr w:val="none" w:sz="0" w:space="0" w:color="auto" w:frame="1"/>
        </w:rPr>
        <w:fldChar w:fldCharType="separate"/>
      </w:r>
      <w:r w:rsidR="008F29E5">
        <w:rPr>
          <w:rFonts w:ascii="Times New Roman" w:hAnsi="Times New Roman" w:cs="Times New Roman"/>
          <w:sz w:val="24"/>
          <w:szCs w:val="24"/>
          <w:bdr w:val="none" w:sz="0" w:space="0" w:color="auto" w:frame="1"/>
        </w:rPr>
        <w:t>3.13</w:t>
      </w:r>
      <w:r w:rsidR="008C44D6" w:rsidRPr="00796736">
        <w:rPr>
          <w:rFonts w:ascii="Times New Roman" w:hAnsi="Times New Roman" w:cs="Times New Roman"/>
          <w:sz w:val="24"/>
          <w:szCs w:val="24"/>
          <w:bdr w:val="none" w:sz="0" w:space="0" w:color="auto" w:frame="1"/>
        </w:rPr>
        <w:fldChar w:fldCharType="end"/>
      </w:r>
      <w:r w:rsidR="008C44D6" w:rsidRPr="00796736">
        <w:rPr>
          <w:rFonts w:ascii="Times New Roman" w:hAnsi="Times New Roman" w:cs="Times New Roman"/>
          <w:sz w:val="24"/>
          <w:szCs w:val="24"/>
          <w:bdr w:val="none" w:sz="0" w:space="0" w:color="auto" w:frame="1"/>
        </w:rPr>
        <w:t xml:space="preserve"> </w:t>
      </w:r>
      <w:r w:rsidRPr="00796736">
        <w:rPr>
          <w:rFonts w:ascii="Times New Roman" w:hAnsi="Times New Roman" w:cs="Times New Roman"/>
          <w:sz w:val="24"/>
          <w:szCs w:val="24"/>
          <w:bdr w:val="none" w:sz="0" w:space="0" w:color="auto" w:frame="1"/>
        </w:rPr>
        <w:t>i lovforslagets almindelige bemærkninger.</w:t>
      </w:r>
    </w:p>
    <w:p w14:paraId="25015BD1" w14:textId="77777777" w:rsidR="009F210A" w:rsidRPr="00796736" w:rsidRDefault="009F210A" w:rsidP="00A802A5">
      <w:pPr>
        <w:spacing w:after="240" w:line="360" w:lineRule="auto"/>
        <w:rPr>
          <w:rFonts w:ascii="Times New Roman" w:eastAsia="Calibri" w:hAnsi="Times New Roman" w:cs="Times New Roman"/>
          <w:iCs/>
          <w:sz w:val="24"/>
          <w:szCs w:val="24"/>
        </w:rPr>
      </w:pPr>
    </w:p>
    <w:p w14:paraId="662D5682" w14:textId="28B2B55A" w:rsidR="00C454BF" w:rsidRPr="00796736" w:rsidRDefault="00C454BF" w:rsidP="00A802A5">
      <w:pPr>
        <w:pStyle w:val="Undertitel"/>
      </w:pPr>
      <w:bookmarkStart w:id="1893" w:name="_Toc232109349"/>
      <w:bookmarkStart w:id="1894" w:name="_Toc244879311"/>
      <w:bookmarkStart w:id="1895" w:name="_Toc244880836"/>
      <w:r w:rsidRPr="00796736">
        <w:t xml:space="preserve">Til </w:t>
      </w:r>
      <w:r w:rsidR="005424F4" w:rsidRPr="00796736">
        <w:fldChar w:fldCharType="begin"/>
      </w:r>
      <w:r w:rsidR="005424F4" w:rsidRPr="00796736">
        <w:instrText xml:space="preserve"> REF _Ref232595629 \r \h </w:instrText>
      </w:r>
      <w:r w:rsidR="00F375BF" w:rsidRPr="00796736">
        <w:instrText xml:space="preserve"> \* MERGEFORMAT </w:instrText>
      </w:r>
      <w:r w:rsidR="005424F4" w:rsidRPr="00796736">
        <w:fldChar w:fldCharType="separate"/>
      </w:r>
      <w:r w:rsidR="008F29E5">
        <w:t>§ 15</w:t>
      </w:r>
      <w:bookmarkEnd w:id="1894"/>
      <w:bookmarkEnd w:id="1895"/>
      <w:r w:rsidR="005424F4" w:rsidRPr="00796736">
        <w:fldChar w:fldCharType="end"/>
      </w:r>
      <w:r w:rsidR="00161898" w:rsidRPr="00796736">
        <w:t xml:space="preserve"> </w:t>
      </w:r>
      <w:bookmarkEnd w:id="1893"/>
    </w:p>
    <w:p w14:paraId="02D7BC3E" w14:textId="7777777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Der findes ikke i hvidvaskloven regler om, at Hvidvasksekretariatet skal udpege en ansvarlig for grundlæggende rettigheder.</w:t>
      </w:r>
    </w:p>
    <w:p w14:paraId="295D56AA" w14:textId="77777777" w:rsidR="00C454BF" w:rsidRPr="00796736" w:rsidRDefault="00C454BF" w:rsidP="00A802A5">
      <w:pPr>
        <w:spacing w:line="360" w:lineRule="auto"/>
        <w:rPr>
          <w:rFonts w:ascii="Times New Roman" w:hAnsi="Times New Roman" w:cs="Times New Roman"/>
          <w:sz w:val="24"/>
          <w:szCs w:val="24"/>
          <w:lang w:eastAsia="da-DK"/>
        </w:rPr>
      </w:pPr>
    </w:p>
    <w:p w14:paraId="7CD27DD1" w14:textId="452046C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i </w:t>
      </w:r>
      <w:r w:rsidR="005424F4" w:rsidRPr="00796736">
        <w:rPr>
          <w:rFonts w:ascii="Times New Roman" w:hAnsi="Times New Roman" w:cs="Times New Roman"/>
          <w:i/>
          <w:iCs/>
          <w:sz w:val="24"/>
          <w:szCs w:val="24"/>
          <w:lang w:eastAsia="da-DK"/>
        </w:rPr>
        <w:fldChar w:fldCharType="begin"/>
      </w:r>
      <w:r w:rsidR="005424F4" w:rsidRPr="00796736">
        <w:rPr>
          <w:rFonts w:ascii="Times New Roman" w:hAnsi="Times New Roman" w:cs="Times New Roman"/>
          <w:sz w:val="24"/>
          <w:szCs w:val="24"/>
          <w:lang w:eastAsia="da-DK"/>
        </w:rPr>
        <w:instrText xml:space="preserve"> REF _Ref232595629 \r \h </w:instrText>
      </w:r>
      <w:r w:rsidR="00F375BF" w:rsidRPr="00796736">
        <w:rPr>
          <w:rFonts w:ascii="Times New Roman" w:hAnsi="Times New Roman" w:cs="Times New Roman"/>
          <w:i/>
          <w:iCs/>
          <w:sz w:val="24"/>
          <w:szCs w:val="24"/>
          <w:lang w:eastAsia="da-DK"/>
        </w:rPr>
        <w:instrText xml:space="preserve"> \* MERGEFORMAT </w:instrText>
      </w:r>
      <w:r w:rsidR="005424F4" w:rsidRPr="00796736">
        <w:rPr>
          <w:rFonts w:ascii="Times New Roman" w:hAnsi="Times New Roman" w:cs="Times New Roman"/>
          <w:i/>
          <w:iCs/>
          <w:sz w:val="24"/>
          <w:szCs w:val="24"/>
          <w:lang w:eastAsia="da-DK"/>
        </w:rPr>
      </w:r>
      <w:r w:rsidR="005424F4" w:rsidRPr="00796736">
        <w:rPr>
          <w:rFonts w:ascii="Times New Roman" w:hAnsi="Times New Roman" w:cs="Times New Roman"/>
          <w:i/>
          <w:iCs/>
          <w:sz w:val="24"/>
          <w:szCs w:val="24"/>
          <w:lang w:eastAsia="da-DK"/>
        </w:rPr>
        <w:fldChar w:fldCharType="separate"/>
      </w:r>
      <w:r w:rsidR="008F29E5">
        <w:rPr>
          <w:rFonts w:ascii="Times New Roman" w:hAnsi="Times New Roman" w:cs="Times New Roman"/>
          <w:sz w:val="24"/>
          <w:szCs w:val="24"/>
          <w:lang w:eastAsia="da-DK"/>
        </w:rPr>
        <w:t>§ 15</w:t>
      </w:r>
      <w:r w:rsidR="005424F4" w:rsidRPr="00796736">
        <w:rPr>
          <w:rFonts w:ascii="Times New Roman" w:hAnsi="Times New Roman" w:cs="Times New Roman"/>
          <w:i/>
          <w:iCs/>
          <w:sz w:val="24"/>
          <w:szCs w:val="24"/>
          <w:lang w:eastAsia="da-DK"/>
        </w:rPr>
        <w:fldChar w:fldCharType="end"/>
      </w:r>
      <w:r w:rsidR="005424F4" w:rsidRPr="00796736">
        <w:rPr>
          <w:rFonts w:ascii="Times New Roman" w:hAnsi="Times New Roman" w:cs="Times New Roman"/>
          <w:i/>
          <w:iCs/>
          <w:sz w:val="24"/>
          <w:szCs w:val="24"/>
          <w:lang w:eastAsia="da-DK"/>
        </w:rPr>
        <w:t xml:space="preserve">, </w:t>
      </w:r>
      <w:r w:rsidRPr="00796736">
        <w:rPr>
          <w:rFonts w:ascii="Times New Roman" w:hAnsi="Times New Roman" w:cs="Times New Roman"/>
          <w:i/>
          <w:iCs/>
          <w:sz w:val="24"/>
          <w:szCs w:val="24"/>
          <w:lang w:eastAsia="da-DK"/>
        </w:rPr>
        <w:t xml:space="preserve">stk. 1, </w:t>
      </w:r>
      <w:r w:rsidRPr="00796736">
        <w:rPr>
          <w:rFonts w:ascii="Times New Roman" w:hAnsi="Times New Roman" w:cs="Times New Roman"/>
          <w:sz w:val="24"/>
          <w:szCs w:val="24"/>
          <w:lang w:eastAsia="da-DK"/>
        </w:rPr>
        <w:t xml:space="preserve">at Hvidvasksekretariatet udpeger en ansvarlig for grundlæggende rettigheder. </w:t>
      </w:r>
    </w:p>
    <w:p w14:paraId="3231A566" w14:textId="77777777" w:rsidR="00C454BF" w:rsidRPr="00796736" w:rsidRDefault="00C454BF" w:rsidP="00A802A5">
      <w:pPr>
        <w:spacing w:line="360" w:lineRule="auto"/>
        <w:rPr>
          <w:rFonts w:ascii="Times New Roman" w:hAnsi="Times New Roman" w:cs="Times New Roman"/>
          <w:sz w:val="24"/>
          <w:szCs w:val="24"/>
          <w:lang w:eastAsia="da-DK"/>
        </w:rPr>
      </w:pPr>
    </w:p>
    <w:p w14:paraId="35A3183E" w14:textId="7777777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vil indebære, at Hvidvasksekretariatet vil skulle udpege en person, som er ansvarlig for at udføre de opgaverne nævnt i det foreslåede stk. 2. </w:t>
      </w:r>
    </w:p>
    <w:p w14:paraId="4CE5C25D" w14:textId="77777777" w:rsidR="00C454BF" w:rsidRPr="00796736" w:rsidRDefault="00C454BF" w:rsidP="00A802A5">
      <w:pPr>
        <w:spacing w:line="360" w:lineRule="auto"/>
        <w:rPr>
          <w:rFonts w:ascii="Times New Roman" w:hAnsi="Times New Roman" w:cs="Times New Roman"/>
          <w:sz w:val="24"/>
          <w:szCs w:val="24"/>
          <w:lang w:eastAsia="da-DK"/>
        </w:rPr>
      </w:pPr>
    </w:p>
    <w:p w14:paraId="255E3A56" w14:textId="5E940959"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Hvidvasksekretariatets personale vil i almindelighed skulle udvise en høj grad af integritet, have passende kvalifikationer og fastholde en høj professionel standard. Det forudsættes som led heri, at ansatte i Hvidvasksekretariatet i forbindelse med udførelsen af deres opgaver udviser den påpasselighed, som omgang med følsomme oplysninger </w:t>
      </w:r>
      <w:r w:rsidR="00C60F91">
        <w:rPr>
          <w:rFonts w:ascii="Times New Roman" w:hAnsi="Times New Roman" w:cs="Times New Roman"/>
          <w:sz w:val="24"/>
          <w:szCs w:val="24"/>
          <w:lang w:eastAsia="da-DK"/>
        </w:rPr>
        <w:t>kræver</w:t>
      </w:r>
      <w:r w:rsidRPr="00796736">
        <w:rPr>
          <w:rFonts w:ascii="Times New Roman" w:hAnsi="Times New Roman" w:cs="Times New Roman"/>
          <w:sz w:val="24"/>
          <w:szCs w:val="24"/>
          <w:lang w:eastAsia="da-DK"/>
        </w:rPr>
        <w:t xml:space="preserve">, herunder i relation til de risici det indebærer for enkeltpersoners grundlæggende rettigheder. Med grundlæggende rettigheder sigtes navnlig til rettighederne i EU’s Charter om grundlæggende rettigheder (chartret), herunder retten til beskyttelse af personoplysninger, retten til privatlivets fred og ejendomsretten. </w:t>
      </w:r>
    </w:p>
    <w:p w14:paraId="2AF0B2D6" w14:textId="77777777" w:rsidR="00C454BF" w:rsidRPr="00796736" w:rsidRDefault="00C454BF" w:rsidP="00A802A5">
      <w:pPr>
        <w:spacing w:line="360" w:lineRule="auto"/>
        <w:rPr>
          <w:rFonts w:ascii="Times New Roman" w:hAnsi="Times New Roman" w:cs="Times New Roman"/>
          <w:sz w:val="24"/>
          <w:szCs w:val="24"/>
          <w:lang w:eastAsia="da-DK"/>
        </w:rPr>
      </w:pPr>
    </w:p>
    <w:p w14:paraId="727E0157" w14:textId="77777777" w:rsidR="000B7531" w:rsidRPr="00796736" w:rsidRDefault="000B7531" w:rsidP="000B7531">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Efter den foreslåede bestemmelse vil Hvidvasksekretariatet skulle udpege en ansvarlig for grundlæggende rettigheder. Den ansvarlige for grundlæggende rettigheder vil kunne være ansat i Hvidvasksekretariatet, men Hvidvasksekretariatet vil også kunne indgå aftale med en advokat eller anden ekstern person med </w:t>
      </w:r>
      <w:r>
        <w:rPr>
          <w:rFonts w:ascii="Times New Roman" w:hAnsi="Times New Roman" w:cs="Times New Roman"/>
          <w:sz w:val="24"/>
          <w:szCs w:val="24"/>
          <w:lang w:eastAsia="da-DK"/>
        </w:rPr>
        <w:t>relevante</w:t>
      </w:r>
      <w:r w:rsidRPr="00796736">
        <w:rPr>
          <w:rFonts w:ascii="Times New Roman" w:hAnsi="Times New Roman" w:cs="Times New Roman"/>
          <w:sz w:val="24"/>
          <w:szCs w:val="24"/>
          <w:lang w:eastAsia="da-DK"/>
        </w:rPr>
        <w:t xml:space="preserve"> kvalifikationer og de fornødne kompetencer. Vedkommende vil også kunne være den samme, som varetager opgaven som Data Protection Officer (DPO).</w:t>
      </w:r>
    </w:p>
    <w:p w14:paraId="59C2B495" w14:textId="77777777" w:rsidR="00C454BF" w:rsidRPr="00796736" w:rsidRDefault="00C454BF" w:rsidP="00A802A5">
      <w:pPr>
        <w:spacing w:line="360" w:lineRule="auto"/>
        <w:rPr>
          <w:rFonts w:ascii="Times New Roman" w:hAnsi="Times New Roman" w:cs="Times New Roman"/>
          <w:sz w:val="24"/>
          <w:szCs w:val="24"/>
          <w:lang w:eastAsia="da-DK"/>
        </w:rPr>
      </w:pPr>
    </w:p>
    <w:p w14:paraId="1D969292" w14:textId="20E355C3"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i </w:t>
      </w:r>
      <w:r w:rsidR="005424F4" w:rsidRPr="00796736">
        <w:rPr>
          <w:rFonts w:ascii="Times New Roman" w:hAnsi="Times New Roman" w:cs="Times New Roman"/>
          <w:i/>
          <w:iCs/>
          <w:sz w:val="24"/>
          <w:szCs w:val="24"/>
          <w:lang w:eastAsia="da-DK"/>
        </w:rPr>
        <w:fldChar w:fldCharType="begin"/>
      </w:r>
      <w:r w:rsidR="005424F4" w:rsidRPr="00796736">
        <w:rPr>
          <w:rFonts w:ascii="Times New Roman" w:hAnsi="Times New Roman" w:cs="Times New Roman"/>
          <w:sz w:val="24"/>
          <w:szCs w:val="24"/>
          <w:lang w:eastAsia="da-DK"/>
        </w:rPr>
        <w:instrText xml:space="preserve"> REF _Ref232595629 \r \h </w:instrText>
      </w:r>
      <w:r w:rsidR="00F375BF" w:rsidRPr="00796736">
        <w:rPr>
          <w:rFonts w:ascii="Times New Roman" w:hAnsi="Times New Roman" w:cs="Times New Roman"/>
          <w:i/>
          <w:iCs/>
          <w:sz w:val="24"/>
          <w:szCs w:val="24"/>
          <w:lang w:eastAsia="da-DK"/>
        </w:rPr>
        <w:instrText xml:space="preserve"> \* MERGEFORMAT </w:instrText>
      </w:r>
      <w:r w:rsidR="005424F4" w:rsidRPr="00796736">
        <w:rPr>
          <w:rFonts w:ascii="Times New Roman" w:hAnsi="Times New Roman" w:cs="Times New Roman"/>
          <w:i/>
          <w:iCs/>
          <w:sz w:val="24"/>
          <w:szCs w:val="24"/>
          <w:lang w:eastAsia="da-DK"/>
        </w:rPr>
      </w:r>
      <w:r w:rsidR="005424F4" w:rsidRPr="00796736">
        <w:rPr>
          <w:rFonts w:ascii="Times New Roman" w:hAnsi="Times New Roman" w:cs="Times New Roman"/>
          <w:i/>
          <w:iCs/>
          <w:sz w:val="24"/>
          <w:szCs w:val="24"/>
          <w:lang w:eastAsia="da-DK"/>
        </w:rPr>
        <w:fldChar w:fldCharType="separate"/>
      </w:r>
      <w:r w:rsidR="008F29E5">
        <w:rPr>
          <w:rFonts w:ascii="Times New Roman" w:hAnsi="Times New Roman" w:cs="Times New Roman"/>
          <w:sz w:val="24"/>
          <w:szCs w:val="24"/>
          <w:lang w:eastAsia="da-DK"/>
        </w:rPr>
        <w:t>§ 15</w:t>
      </w:r>
      <w:r w:rsidR="005424F4" w:rsidRPr="00796736">
        <w:rPr>
          <w:rFonts w:ascii="Times New Roman" w:hAnsi="Times New Roman" w:cs="Times New Roman"/>
          <w:i/>
          <w:iCs/>
          <w:sz w:val="24"/>
          <w:szCs w:val="24"/>
          <w:lang w:eastAsia="da-DK"/>
        </w:rPr>
        <w:fldChar w:fldCharType="end"/>
      </w:r>
      <w:r w:rsidRPr="00796736">
        <w:rPr>
          <w:rFonts w:ascii="Times New Roman" w:hAnsi="Times New Roman" w:cs="Times New Roman"/>
          <w:i/>
          <w:iCs/>
          <w:sz w:val="24"/>
          <w:szCs w:val="24"/>
          <w:lang w:eastAsia="da-DK"/>
        </w:rPr>
        <w:t>, stk. 2,</w:t>
      </w:r>
      <w:r w:rsidRPr="00796736">
        <w:rPr>
          <w:rFonts w:ascii="Times New Roman" w:hAnsi="Times New Roman" w:cs="Times New Roman"/>
          <w:sz w:val="24"/>
          <w:szCs w:val="24"/>
          <w:lang w:eastAsia="da-DK"/>
        </w:rPr>
        <w:t xml:space="preserve"> at den ansvarlige for grundlæggende rettigheder udfører de opgaver, som opregnes i bestemmelsen. </w:t>
      </w:r>
    </w:p>
    <w:p w14:paraId="3481A7BB" w14:textId="77777777" w:rsidR="00C454BF" w:rsidRPr="00796736" w:rsidRDefault="00C454BF" w:rsidP="00A802A5">
      <w:pPr>
        <w:spacing w:line="360" w:lineRule="auto"/>
        <w:rPr>
          <w:rFonts w:ascii="Times New Roman" w:hAnsi="Times New Roman" w:cs="Times New Roman"/>
          <w:sz w:val="24"/>
          <w:szCs w:val="24"/>
          <w:lang w:eastAsia="da-DK"/>
        </w:rPr>
      </w:pPr>
    </w:p>
    <w:p w14:paraId="6D0C8FB7" w14:textId="7777777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ansvarlige for grundlæggende rettigheder vil skulle udføre opgaverne uden at hindre eller forsinke Hvidvasksekretariatets aktiviteter.  </w:t>
      </w:r>
    </w:p>
    <w:p w14:paraId="15F25712" w14:textId="77777777" w:rsidR="00C454BF" w:rsidRPr="00796736" w:rsidRDefault="00C454BF" w:rsidP="00A802A5">
      <w:pPr>
        <w:spacing w:line="360" w:lineRule="auto"/>
        <w:rPr>
          <w:rFonts w:ascii="Times New Roman" w:hAnsi="Times New Roman" w:cs="Times New Roman"/>
          <w:sz w:val="24"/>
          <w:szCs w:val="24"/>
          <w:lang w:eastAsia="da-DK"/>
        </w:rPr>
      </w:pPr>
    </w:p>
    <w:p w14:paraId="0D02FD1F" w14:textId="7777777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i </w:t>
      </w:r>
      <w:r w:rsidRPr="00796736">
        <w:rPr>
          <w:rFonts w:ascii="Times New Roman" w:hAnsi="Times New Roman" w:cs="Times New Roman"/>
          <w:i/>
          <w:iCs/>
          <w:sz w:val="24"/>
          <w:szCs w:val="24"/>
          <w:lang w:eastAsia="da-DK"/>
        </w:rPr>
        <w:t>stk. 2, nr. 1,</w:t>
      </w:r>
      <w:r w:rsidRPr="00796736">
        <w:rPr>
          <w:rFonts w:ascii="Times New Roman" w:hAnsi="Times New Roman" w:cs="Times New Roman"/>
          <w:sz w:val="24"/>
          <w:szCs w:val="24"/>
          <w:lang w:eastAsia="da-DK"/>
        </w:rPr>
        <w:t xml:space="preserve"> at den ansvarlige for grundlæggende rettigheder rådgiver Hvidvasksekretariatets personale om enhver aktivitet, der udføres af sekretariatet, hvis den ansvarlige for grundlæggende rettigheder finder det nødvendigt, eller hvis personalet anmoder herom, uden at de pågældende aktiviteter hindres eller forsinkes. </w:t>
      </w:r>
    </w:p>
    <w:p w14:paraId="46B54EDA" w14:textId="77777777" w:rsidR="00C454BF" w:rsidRPr="00796736" w:rsidRDefault="00C454BF" w:rsidP="00A802A5">
      <w:pPr>
        <w:spacing w:line="360" w:lineRule="auto"/>
        <w:rPr>
          <w:rFonts w:ascii="Times New Roman" w:hAnsi="Times New Roman" w:cs="Times New Roman"/>
          <w:sz w:val="24"/>
          <w:szCs w:val="24"/>
          <w:lang w:eastAsia="da-DK"/>
        </w:rPr>
      </w:pPr>
    </w:p>
    <w:p w14:paraId="63D80E17" w14:textId="77777777" w:rsidR="005F2B80" w:rsidRPr="00796736" w:rsidRDefault="005F2B80" w:rsidP="005F2B80">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Den foreslåede bestemmelse vil indebære, at den ansvarlige for grundlæggende rettigheder vil skulle rådgive Hvidvasksekretariatets personale, hvis vedkommende anmodes herom i relation til en konkret problemstilling eller af egen drift, hvis vedkommende som led i sin opgavevaretagelse bliver opmærksom på en problemstilling, som vedkommende vurderer nødvendiggør rådgivning om grundlæggende rettigheder. Det kunne eksempelvis være rådgivning og vejledning til Hvidvasksekretariatet om konsekvenserne af sekretariatets politikker og praksis med hensyn til de grundlæggende rettigheder</w:t>
      </w:r>
      <w:r>
        <w:rPr>
          <w:rFonts w:ascii="Times New Roman" w:hAnsi="Times New Roman" w:cs="Times New Roman"/>
          <w:sz w:val="24"/>
          <w:szCs w:val="24"/>
          <w:lang w:eastAsia="da-DK"/>
        </w:rPr>
        <w:t xml:space="preserve"> eller</w:t>
      </w:r>
      <w:r w:rsidRPr="00796736">
        <w:rPr>
          <w:rFonts w:ascii="Times New Roman" w:hAnsi="Times New Roman" w:cs="Times New Roman"/>
          <w:sz w:val="24"/>
          <w:szCs w:val="24"/>
          <w:lang w:eastAsia="da-DK"/>
        </w:rPr>
        <w:t xml:space="preserve"> kontrol af lovligheden af sekretariatets aktiviteter.</w:t>
      </w:r>
    </w:p>
    <w:p w14:paraId="4AD31622" w14:textId="77777777" w:rsidR="00C454BF" w:rsidRPr="00796736" w:rsidRDefault="00C454BF" w:rsidP="00A802A5">
      <w:pPr>
        <w:spacing w:line="360" w:lineRule="auto"/>
        <w:rPr>
          <w:rFonts w:ascii="Times New Roman" w:hAnsi="Times New Roman" w:cs="Times New Roman"/>
          <w:sz w:val="24"/>
          <w:szCs w:val="24"/>
          <w:lang w:eastAsia="da-DK"/>
        </w:rPr>
      </w:pPr>
    </w:p>
    <w:p w14:paraId="1F04FFC7" w14:textId="7777777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i </w:t>
      </w:r>
      <w:r w:rsidRPr="00796736">
        <w:rPr>
          <w:rFonts w:ascii="Times New Roman" w:hAnsi="Times New Roman" w:cs="Times New Roman"/>
          <w:i/>
          <w:iCs/>
          <w:sz w:val="24"/>
          <w:szCs w:val="24"/>
          <w:lang w:eastAsia="da-DK"/>
        </w:rPr>
        <w:t xml:space="preserve">stk. 2, nr. 2, </w:t>
      </w:r>
      <w:r w:rsidRPr="00796736">
        <w:rPr>
          <w:rFonts w:ascii="Times New Roman" w:hAnsi="Times New Roman" w:cs="Times New Roman"/>
          <w:sz w:val="24"/>
          <w:szCs w:val="24"/>
          <w:lang w:eastAsia="da-DK"/>
        </w:rPr>
        <w:t xml:space="preserve">at den ansvarlige for grundlæggende rettigheder fremmer og overvåger Hvidvasksekretariatets overholdelse af grundlæggende rettigheder. </w:t>
      </w:r>
    </w:p>
    <w:p w14:paraId="1DD53E93" w14:textId="77777777" w:rsidR="00C454BF" w:rsidRPr="00796736" w:rsidRDefault="00C454BF" w:rsidP="00A802A5">
      <w:pPr>
        <w:spacing w:line="360" w:lineRule="auto"/>
        <w:rPr>
          <w:rFonts w:ascii="Times New Roman" w:hAnsi="Times New Roman" w:cs="Times New Roman"/>
          <w:sz w:val="24"/>
          <w:szCs w:val="24"/>
          <w:lang w:eastAsia="da-DK"/>
        </w:rPr>
      </w:pPr>
    </w:p>
    <w:p w14:paraId="3F505EBC" w14:textId="74272C7D" w:rsidR="00C454BF" w:rsidRPr="00796736" w:rsidRDefault="005F2B80" w:rsidP="00A802A5">
      <w:pPr>
        <w:spacing w:line="360" w:lineRule="auto"/>
        <w:rPr>
          <w:rFonts w:ascii="Times New Roman" w:hAnsi="Times New Roman" w:cs="Times New Roman"/>
          <w:sz w:val="24"/>
          <w:szCs w:val="24"/>
          <w:lang w:eastAsia="da-DK"/>
        </w:rPr>
      </w:pPr>
      <w:r>
        <w:rPr>
          <w:rFonts w:ascii="Times New Roman" w:hAnsi="Times New Roman" w:cs="Times New Roman"/>
          <w:sz w:val="24"/>
          <w:szCs w:val="24"/>
          <w:lang w:eastAsia="da-DK"/>
        </w:rPr>
        <w:t>F</w:t>
      </w:r>
      <w:r w:rsidR="009B79DC" w:rsidRPr="00796736">
        <w:rPr>
          <w:rFonts w:ascii="Times New Roman" w:hAnsi="Times New Roman" w:cs="Times New Roman"/>
          <w:sz w:val="24"/>
          <w:szCs w:val="24"/>
          <w:lang w:eastAsia="da-DK"/>
        </w:rPr>
        <w:t>remme Hvidvasksekretariatets overholdelse af grundlæggende rettigheder vil eksempelvis kunne ske ved undervisning eller oplægsvirksomhed, hvor der fokuseres på de problemstillinger, som kan opstå i relation til Hvidvasksekretariatets opgavevaretagelse i forhold til grundlæggende rettigheder.</w:t>
      </w:r>
    </w:p>
    <w:p w14:paraId="41C2E0D8" w14:textId="77777777" w:rsidR="009B79DC" w:rsidRPr="00796736" w:rsidRDefault="009B79DC" w:rsidP="00A802A5">
      <w:pPr>
        <w:spacing w:line="360" w:lineRule="auto"/>
        <w:rPr>
          <w:rFonts w:ascii="Times New Roman" w:hAnsi="Times New Roman" w:cs="Times New Roman"/>
          <w:sz w:val="24"/>
          <w:szCs w:val="24"/>
          <w:lang w:eastAsia="da-DK"/>
        </w:rPr>
      </w:pPr>
    </w:p>
    <w:p w14:paraId="0E571C84" w14:textId="77777777" w:rsidR="00FC4487" w:rsidRPr="00796736" w:rsidRDefault="00FC4487" w:rsidP="00FC4487">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At den ansvarlige for grundlæggende rettigheder vil skulle overvåge Hvidvasksekretariatets overholdelse af grundlæggende rettigheder, vil f.eks. indebære en kontrol med de tilfælde, hvor den ansvarlige gennem sin rådgivning efter det foreslåede nr. 1 er blevet involveret i en konkret problemstilling, som vedrørte eller kunne antages at vedrøre grundlæggende rettigheder. Overvågningen kan også omfatte en opfølgning</w:t>
      </w:r>
      <w:r>
        <w:rPr>
          <w:rFonts w:ascii="Times New Roman" w:hAnsi="Times New Roman" w:cs="Times New Roman"/>
          <w:sz w:val="24"/>
          <w:szCs w:val="24"/>
          <w:lang w:eastAsia="da-DK"/>
        </w:rPr>
        <w:t xml:space="preserve"> med lederen af Hvidvasksekretariatet</w:t>
      </w:r>
      <w:r w:rsidRPr="00796736">
        <w:rPr>
          <w:rFonts w:ascii="Times New Roman" w:hAnsi="Times New Roman" w:cs="Times New Roman"/>
          <w:sz w:val="24"/>
          <w:szCs w:val="24"/>
          <w:lang w:eastAsia="da-DK"/>
        </w:rPr>
        <w:t xml:space="preserve"> på en underretning efter det foreslåede nr. 4. </w:t>
      </w:r>
    </w:p>
    <w:p w14:paraId="3AB6AAE9" w14:textId="77777777" w:rsidR="00C454BF" w:rsidRPr="00796736" w:rsidRDefault="00C454BF" w:rsidP="00A802A5">
      <w:pPr>
        <w:spacing w:line="360" w:lineRule="auto"/>
        <w:rPr>
          <w:rFonts w:ascii="Times New Roman" w:hAnsi="Times New Roman" w:cs="Times New Roman"/>
          <w:sz w:val="24"/>
          <w:szCs w:val="24"/>
          <w:lang w:eastAsia="da-DK"/>
        </w:rPr>
      </w:pPr>
    </w:p>
    <w:p w14:paraId="0CC76D29" w14:textId="7777777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i </w:t>
      </w:r>
      <w:r w:rsidRPr="00796736">
        <w:rPr>
          <w:rFonts w:ascii="Times New Roman" w:hAnsi="Times New Roman" w:cs="Times New Roman"/>
          <w:i/>
          <w:iCs/>
          <w:sz w:val="24"/>
          <w:szCs w:val="24"/>
          <w:lang w:eastAsia="da-DK"/>
        </w:rPr>
        <w:t>stk. 2, nr. 3,</w:t>
      </w:r>
      <w:r w:rsidRPr="00796736">
        <w:rPr>
          <w:rFonts w:ascii="Times New Roman" w:hAnsi="Times New Roman" w:cs="Times New Roman"/>
          <w:sz w:val="24"/>
          <w:szCs w:val="24"/>
          <w:lang w:eastAsia="da-DK"/>
        </w:rPr>
        <w:t xml:space="preserve"> at den ansvarlige for grundlæggende rettigheder afgiver ikke-bindende udtalelser om Hvidvasksekretariatets aktiviteters overensstemmelse med grundlæggende rettigheder. </w:t>
      </w:r>
    </w:p>
    <w:p w14:paraId="0BDA2DE2" w14:textId="77777777" w:rsidR="002128F7" w:rsidRPr="00D253F0" w:rsidRDefault="002128F7" w:rsidP="00A802A5">
      <w:pPr>
        <w:spacing w:line="360" w:lineRule="auto"/>
        <w:rPr>
          <w:rFonts w:ascii="Times New Roman" w:hAnsi="Times New Roman" w:cs="Times New Roman"/>
          <w:sz w:val="24"/>
          <w:szCs w:val="24"/>
          <w:lang w:eastAsia="da-DK"/>
        </w:rPr>
      </w:pPr>
    </w:p>
    <w:p w14:paraId="4C1EE6FB" w14:textId="059DF376" w:rsidR="002128F7" w:rsidRPr="00D253F0" w:rsidRDefault="002128F7" w:rsidP="00A802A5">
      <w:pPr>
        <w:spacing w:line="360" w:lineRule="auto"/>
        <w:rPr>
          <w:rFonts w:ascii="Times New Roman" w:hAnsi="Times New Roman" w:cs="Times New Roman"/>
          <w:sz w:val="24"/>
          <w:szCs w:val="24"/>
          <w:lang w:eastAsia="da-DK"/>
        </w:rPr>
      </w:pPr>
      <w:r w:rsidRPr="00D253F0">
        <w:rPr>
          <w:rFonts w:ascii="Times New Roman" w:hAnsi="Times New Roman" w:cs="Times New Roman"/>
          <w:sz w:val="24"/>
          <w:szCs w:val="24"/>
          <w:lang w:eastAsia="da-DK"/>
        </w:rPr>
        <w:t>Udtalelserne vil ikke være bindende for Hvidvasksekretariatet, men vil være udtryk for den ansvarlige persons vurdering af sekretariatets overensstemmelse med grundlæggende rettigheder. Der vil ikke gælde nærmere formkrav for udtalelsen eller krav til, hvor ofte der vil skulle afgives en udtalelse</w:t>
      </w:r>
      <w:r>
        <w:rPr>
          <w:rFonts w:ascii="Times New Roman" w:hAnsi="Times New Roman" w:cs="Times New Roman"/>
          <w:sz w:val="24"/>
          <w:szCs w:val="24"/>
          <w:lang w:eastAsia="da-DK"/>
        </w:rPr>
        <w:t>.</w:t>
      </w:r>
      <w:r w:rsidRPr="00D253F0">
        <w:rPr>
          <w:rFonts w:ascii="Times New Roman" w:hAnsi="Times New Roman" w:cs="Times New Roman"/>
          <w:sz w:val="24"/>
          <w:szCs w:val="24"/>
          <w:lang w:eastAsia="da-DK"/>
        </w:rPr>
        <w:t xml:space="preserve"> Det forudsættes, at udtalelserne som udgangspunkt ikke offentliggøres, men tilgængeliggøres til Hvidvasksekretariatets personale. </w:t>
      </w:r>
    </w:p>
    <w:p w14:paraId="4495D77D" w14:textId="77777777" w:rsidR="00C454BF" w:rsidRPr="00796736" w:rsidRDefault="00C454BF" w:rsidP="00A802A5">
      <w:pPr>
        <w:spacing w:line="360" w:lineRule="auto"/>
        <w:rPr>
          <w:rFonts w:ascii="Times New Roman" w:hAnsi="Times New Roman" w:cs="Times New Roman"/>
          <w:sz w:val="24"/>
          <w:szCs w:val="24"/>
          <w:lang w:eastAsia="da-DK"/>
        </w:rPr>
      </w:pPr>
    </w:p>
    <w:p w14:paraId="282C453E" w14:textId="77777777" w:rsidR="004B1515" w:rsidRPr="00796736" w:rsidRDefault="004B1515" w:rsidP="004B151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forudsættes, at den ansvarlige vil afgive ikke-bindende udtalelser </w:t>
      </w:r>
      <w:r>
        <w:rPr>
          <w:rFonts w:ascii="Times New Roman" w:hAnsi="Times New Roman" w:cs="Times New Roman"/>
          <w:sz w:val="24"/>
          <w:szCs w:val="24"/>
          <w:lang w:eastAsia="da-DK"/>
        </w:rPr>
        <w:t xml:space="preserve">i relevant omfang, f.eks. </w:t>
      </w:r>
      <w:r w:rsidRPr="00796736">
        <w:rPr>
          <w:rFonts w:ascii="Times New Roman" w:hAnsi="Times New Roman" w:cs="Times New Roman"/>
          <w:sz w:val="24"/>
          <w:szCs w:val="24"/>
          <w:lang w:eastAsia="da-DK"/>
        </w:rPr>
        <w:t xml:space="preserve">hvis en konkret aktivitet eller problemstilling har givet anledning hertil. Som nævnt indledningsvist vil den ansvarliges opgaver ikke skulle hindre eller forsinke sekretariatets aktiviteter, hvilket indebærer, at efterforskningsmæssige eller operative hensyn efter omstændighederne vil kunne indebære, at den ansvarlige for grundlæggende rettigheder må afvente med afgivelsen af udtalelsen.  </w:t>
      </w:r>
    </w:p>
    <w:p w14:paraId="6D90EA42" w14:textId="77777777" w:rsidR="009B79DC" w:rsidRPr="00796736" w:rsidRDefault="009B79DC" w:rsidP="00A802A5">
      <w:pPr>
        <w:spacing w:line="360" w:lineRule="auto"/>
        <w:rPr>
          <w:rFonts w:ascii="Times New Roman" w:hAnsi="Times New Roman" w:cs="Times New Roman"/>
          <w:sz w:val="24"/>
          <w:szCs w:val="24"/>
          <w:lang w:eastAsia="da-DK"/>
        </w:rPr>
      </w:pPr>
    </w:p>
    <w:p w14:paraId="2F679B53" w14:textId="77777777" w:rsidR="002128F7" w:rsidRPr="00D253F0" w:rsidRDefault="002128F7" w:rsidP="00A802A5">
      <w:pPr>
        <w:spacing w:line="360" w:lineRule="auto"/>
        <w:rPr>
          <w:rFonts w:ascii="Times New Roman" w:hAnsi="Times New Roman" w:cs="Times New Roman"/>
          <w:sz w:val="24"/>
          <w:szCs w:val="24"/>
          <w:lang w:eastAsia="da-DK"/>
        </w:rPr>
      </w:pPr>
      <w:r w:rsidRPr="00D253F0">
        <w:rPr>
          <w:rFonts w:ascii="Times New Roman" w:hAnsi="Times New Roman" w:cs="Times New Roman"/>
          <w:sz w:val="24"/>
          <w:szCs w:val="24"/>
          <w:lang w:eastAsia="da-DK"/>
        </w:rPr>
        <w:t>Det forudsættes, at udtalelsen skal basere sig på en faglig juridisk vurdering, som foretages på baggrund af gældende re</w:t>
      </w:r>
      <w:r>
        <w:rPr>
          <w:rFonts w:ascii="Times New Roman" w:hAnsi="Times New Roman" w:cs="Times New Roman"/>
          <w:sz w:val="24"/>
          <w:szCs w:val="24"/>
          <w:lang w:eastAsia="da-DK"/>
        </w:rPr>
        <w:t xml:space="preserve">t på området for grundlæggende rettigheder. </w:t>
      </w:r>
    </w:p>
    <w:p w14:paraId="061A2F6E" w14:textId="125F501C"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br/>
        <w:t xml:space="preserve">Det foreslås i </w:t>
      </w:r>
      <w:r w:rsidRPr="00796736">
        <w:rPr>
          <w:rFonts w:ascii="Times New Roman" w:hAnsi="Times New Roman" w:cs="Times New Roman"/>
          <w:i/>
          <w:iCs/>
          <w:sz w:val="24"/>
          <w:szCs w:val="24"/>
          <w:lang w:eastAsia="da-DK"/>
        </w:rPr>
        <w:t xml:space="preserve">stk. 2, nr. 4, </w:t>
      </w:r>
      <w:r w:rsidRPr="00796736">
        <w:rPr>
          <w:rFonts w:ascii="Times New Roman" w:hAnsi="Times New Roman" w:cs="Times New Roman"/>
          <w:sz w:val="24"/>
          <w:szCs w:val="24"/>
          <w:lang w:eastAsia="da-DK"/>
        </w:rPr>
        <w:t xml:space="preserve">at den ansvarlige for grundlæggende rettigheder informerer lederen af Hvidvasksekretariatet om mulige krænkelser af grundlæggende rettigheder i forbindelse med sekretariatets aktiviteter. </w:t>
      </w:r>
    </w:p>
    <w:p w14:paraId="359A3626" w14:textId="77777777" w:rsidR="00C454BF" w:rsidRPr="00796736" w:rsidRDefault="00C454BF" w:rsidP="00A802A5">
      <w:pPr>
        <w:spacing w:line="360" w:lineRule="auto"/>
        <w:rPr>
          <w:rFonts w:ascii="Times New Roman" w:hAnsi="Times New Roman" w:cs="Times New Roman"/>
          <w:sz w:val="24"/>
          <w:szCs w:val="24"/>
          <w:lang w:eastAsia="da-DK"/>
        </w:rPr>
      </w:pPr>
    </w:p>
    <w:p w14:paraId="781C2991" w14:textId="7777777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vil navnlig omfatte mulige krænkelser, som den ansvarlige bliver opmærksom på som led i sin rådgivnings-, kontrol- og overvågningsvirksomhed. </w:t>
      </w:r>
    </w:p>
    <w:p w14:paraId="6B7390BE" w14:textId="77777777" w:rsidR="00C454BF" w:rsidRPr="00796736" w:rsidRDefault="00C454BF" w:rsidP="00A802A5">
      <w:pPr>
        <w:spacing w:line="360" w:lineRule="auto"/>
        <w:rPr>
          <w:rFonts w:ascii="Times New Roman" w:hAnsi="Times New Roman" w:cs="Times New Roman"/>
          <w:sz w:val="24"/>
          <w:szCs w:val="24"/>
          <w:lang w:eastAsia="da-DK"/>
        </w:rPr>
      </w:pPr>
    </w:p>
    <w:p w14:paraId="7EC7FB18" w14:textId="77777777" w:rsidR="009B79DC" w:rsidRPr="00796736" w:rsidRDefault="009B79DC"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Ved lederen af Hvidvasksekretariatet forstås en person, der har det overordnede ansvar for at sætte retningen, træffe beslutninger, prioritere ressourcer samt sikre koordinering, udvikling og efterlevelse af Hvidvasksekretariatets formål og forpligtelser.</w:t>
      </w:r>
      <w:r w:rsidRPr="00796736" w:rsidDel="0005744D">
        <w:rPr>
          <w:rFonts w:ascii="Times New Roman" w:hAnsi="Times New Roman" w:cs="Times New Roman"/>
          <w:sz w:val="24"/>
          <w:szCs w:val="24"/>
          <w:lang w:eastAsia="da-DK"/>
        </w:rPr>
        <w:t xml:space="preserve"> </w:t>
      </w:r>
    </w:p>
    <w:p w14:paraId="3AF88391" w14:textId="77777777" w:rsidR="00C454BF" w:rsidRPr="00796736" w:rsidRDefault="00C454BF" w:rsidP="00A802A5">
      <w:pPr>
        <w:spacing w:line="360" w:lineRule="auto"/>
        <w:rPr>
          <w:rFonts w:ascii="Times New Roman" w:hAnsi="Times New Roman" w:cs="Times New Roman"/>
          <w:sz w:val="24"/>
          <w:szCs w:val="24"/>
          <w:lang w:eastAsia="da-DK"/>
        </w:rPr>
      </w:pPr>
    </w:p>
    <w:p w14:paraId="6ADC23CB" w14:textId="77777777"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i </w:t>
      </w:r>
      <w:r w:rsidRPr="00796736">
        <w:rPr>
          <w:rFonts w:ascii="Times New Roman" w:hAnsi="Times New Roman" w:cs="Times New Roman"/>
          <w:i/>
          <w:iCs/>
          <w:sz w:val="24"/>
          <w:szCs w:val="24"/>
          <w:lang w:eastAsia="da-DK"/>
        </w:rPr>
        <w:t xml:space="preserve">stk. 3, </w:t>
      </w:r>
      <w:r w:rsidRPr="00796736">
        <w:rPr>
          <w:rFonts w:ascii="Times New Roman" w:hAnsi="Times New Roman" w:cs="Times New Roman"/>
          <w:sz w:val="24"/>
          <w:szCs w:val="24"/>
          <w:lang w:eastAsia="da-DK"/>
        </w:rPr>
        <w:t xml:space="preserve">at </w:t>
      </w:r>
      <w:r w:rsidRPr="00796736">
        <w:rPr>
          <w:rFonts w:ascii="Times New Roman" w:eastAsia="Times New Roman" w:hAnsi="Times New Roman" w:cs="Times New Roman"/>
          <w:sz w:val="24"/>
          <w:szCs w:val="24"/>
          <w:lang w:eastAsia="da-DK"/>
        </w:rPr>
        <w:t>den ansvarlige for grundlæggende rettigheder ikke må modtage instrukser vedrørende udførelsen af dennes opgaver.</w:t>
      </w:r>
    </w:p>
    <w:p w14:paraId="1A5625F3" w14:textId="77777777" w:rsidR="00C454BF" w:rsidRPr="00796736" w:rsidRDefault="00C454BF" w:rsidP="00A802A5">
      <w:pPr>
        <w:spacing w:line="360" w:lineRule="auto"/>
        <w:rPr>
          <w:rFonts w:ascii="Times New Roman" w:hAnsi="Times New Roman" w:cs="Times New Roman"/>
          <w:sz w:val="24"/>
          <w:szCs w:val="24"/>
          <w:lang w:eastAsia="da-DK"/>
        </w:rPr>
      </w:pPr>
    </w:p>
    <w:p w14:paraId="75FA90D9" w14:textId="28B7321A"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Den foreslåede bestemmelse skal forstås på samme måde som databeskyttelsesforordningens artikel 38, stk. 3, 1. pkt., idet den ansvarlige således alene</w:t>
      </w:r>
      <w:r w:rsidR="002128F7">
        <w:rPr>
          <w:rFonts w:ascii="Times New Roman" w:hAnsi="Times New Roman" w:cs="Times New Roman"/>
          <w:sz w:val="24"/>
          <w:szCs w:val="24"/>
          <w:lang w:eastAsia="da-DK"/>
        </w:rPr>
        <w:t xml:space="preserve"> har</w:t>
      </w:r>
      <w:r w:rsidRPr="00796736">
        <w:rPr>
          <w:rFonts w:ascii="Times New Roman" w:hAnsi="Times New Roman" w:cs="Times New Roman"/>
          <w:sz w:val="24"/>
          <w:szCs w:val="24"/>
          <w:lang w:eastAsia="da-DK"/>
        </w:rPr>
        <w:t xml:space="preserve"> at rette sig efter den foreslåede bestemmelses anvisninger i relation til sine rådgivnings- og kontrolopgaver forbundet med grundlæggende rettigheder. </w:t>
      </w:r>
    </w:p>
    <w:p w14:paraId="2893D02A" w14:textId="77777777" w:rsidR="00C454BF" w:rsidRPr="00796736" w:rsidRDefault="00C454BF" w:rsidP="00A802A5">
      <w:pPr>
        <w:spacing w:line="360" w:lineRule="auto"/>
        <w:rPr>
          <w:rFonts w:ascii="Times New Roman" w:hAnsi="Times New Roman" w:cs="Times New Roman"/>
          <w:sz w:val="24"/>
          <w:szCs w:val="24"/>
          <w:lang w:eastAsia="da-DK"/>
        </w:rPr>
      </w:pPr>
    </w:p>
    <w:p w14:paraId="0E6EB8DA" w14:textId="0E791D56" w:rsidR="00C454BF" w:rsidRPr="00796736" w:rsidRDefault="00C454B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bemærkes, at hvor den ansvarlige er en ansat i Hvidvasksekretariatet og varetager andre opgaver end opgaverne i medfør af den foreslåede bestemmelse, vil den ansvarlige i relation til disse andre opgaver fortsat være underlagt den sædvanlige instruktionsbeføjelse som led i sit ansættelsesforhold. Hvidvasksekretariatet vil imidlertid være afskåret fra at anvende instruktionsbeføjelsen overfor den pågældende på en sådan måde, at vedkommende reelt instrueres i sine opgaver i medfør af den foreslåede bestemmelse. </w:t>
      </w:r>
    </w:p>
    <w:p w14:paraId="128CE873" w14:textId="77777777" w:rsidR="00C454BF" w:rsidRPr="00796736" w:rsidRDefault="00C454BF" w:rsidP="00A802A5">
      <w:pPr>
        <w:spacing w:line="360" w:lineRule="auto"/>
        <w:rPr>
          <w:rFonts w:ascii="Times New Roman" w:hAnsi="Times New Roman" w:cs="Times New Roman"/>
          <w:i/>
          <w:iCs/>
          <w:sz w:val="24"/>
          <w:szCs w:val="24"/>
        </w:rPr>
      </w:pPr>
    </w:p>
    <w:p w14:paraId="662123F0" w14:textId="47B40CEB" w:rsidR="00BF3BC5" w:rsidRPr="00796736" w:rsidRDefault="00C454BF" w:rsidP="00A802A5">
      <w:pPr>
        <w:pStyle w:val="Undertitel"/>
      </w:pPr>
      <w:bookmarkStart w:id="1896" w:name="_Toc244879312"/>
      <w:bookmarkStart w:id="1897" w:name="_Toc244880837"/>
      <w:r w:rsidRPr="00796736">
        <w:t xml:space="preserve">Til </w:t>
      </w:r>
      <w:r w:rsidR="005424F4" w:rsidRPr="00796736">
        <w:fldChar w:fldCharType="begin"/>
      </w:r>
      <w:r w:rsidR="005424F4" w:rsidRPr="00796736">
        <w:instrText xml:space="preserve"> REF _Ref238544108 \r \h </w:instrText>
      </w:r>
      <w:r w:rsidR="00F375BF" w:rsidRPr="00796736">
        <w:instrText xml:space="preserve"> \* MERGEFORMAT </w:instrText>
      </w:r>
      <w:r w:rsidR="005424F4" w:rsidRPr="00796736">
        <w:fldChar w:fldCharType="separate"/>
      </w:r>
      <w:r w:rsidR="008F29E5">
        <w:t>§ 16</w:t>
      </w:r>
      <w:bookmarkEnd w:id="1896"/>
      <w:bookmarkEnd w:id="1897"/>
      <w:r w:rsidR="005424F4" w:rsidRPr="00796736">
        <w:fldChar w:fldCharType="end"/>
      </w:r>
      <w:r w:rsidR="00161898" w:rsidRPr="00796736">
        <w:t xml:space="preserve"> </w:t>
      </w:r>
    </w:p>
    <w:p w14:paraId="0FD2FA0F" w14:textId="77777777" w:rsidR="002128F7"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Hvidvasklovens § 29, stk. 4, samt FIU-cirkulærets § 1 regulerer i dag Hvidvasksekretariatets adgang til oplysninger.</w:t>
      </w:r>
      <w:r w:rsidR="002128F7">
        <w:rPr>
          <w:rFonts w:ascii="Times New Roman" w:hAnsi="Times New Roman" w:cs="Times New Roman"/>
          <w:sz w:val="24"/>
          <w:szCs w:val="24"/>
        </w:rPr>
        <w:t xml:space="preserve"> Forvaltningslovens § 28, stk. 1, regulerer videregivelsen af personoplysninger forvaltningsmyndigheder imellem og foreskriver overordnet, at sådanne videregivelser skal følge reglerne i retsplejeloven. Forvaltningslovens § 28, stk. 2, regulerer videregivelse af oplysninger af fortrolig karakter, som ikke er omfattet af stk. 1.</w:t>
      </w:r>
    </w:p>
    <w:p w14:paraId="615D19B5" w14:textId="77777777" w:rsidR="002128F7" w:rsidRDefault="002128F7"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Det følger endvidere af § 31, stk. 1, at i</w:t>
      </w:r>
      <w:r w:rsidRPr="00E80039">
        <w:rPr>
          <w:rFonts w:ascii="Times New Roman" w:hAnsi="Times New Roman" w:cs="Times New Roman"/>
          <w:sz w:val="24"/>
          <w:szCs w:val="24"/>
        </w:rPr>
        <w:t xml:space="preserve"> det omfang en forvaltningsmyndighed er berettiget til at videregive en oplysning, skal myndigheden på begæring af en anden forvaltningsmyndighed videregive oplysningen, hvis den er af betydning for myndighedens virksomhed eller for en afgørelse, som myndigheden skal træffe</w:t>
      </w:r>
      <w:r>
        <w:rPr>
          <w:rFonts w:ascii="Times New Roman" w:hAnsi="Times New Roman" w:cs="Times New Roman"/>
          <w:sz w:val="24"/>
          <w:szCs w:val="24"/>
        </w:rPr>
        <w:t xml:space="preserve">. </w:t>
      </w:r>
    </w:p>
    <w:p w14:paraId="4F9D6189" w14:textId="6A2FD9D1" w:rsidR="00E86A02" w:rsidRPr="00796736" w:rsidRDefault="002128F7"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Efter stk. 2, finder b</w:t>
      </w:r>
      <w:r w:rsidRPr="00E80039">
        <w:rPr>
          <w:rFonts w:ascii="Times New Roman" w:hAnsi="Times New Roman" w:cs="Times New Roman"/>
          <w:sz w:val="24"/>
          <w:szCs w:val="24"/>
        </w:rPr>
        <w:t>estemmelsen i stk. 1 finder dog ikke anvendelse, hvis videregivelsen påfører myndigheden et merarbejde, der væsentligt overstiger den interesse, den anden myndighed har i at få oplysningerne</w:t>
      </w:r>
      <w:r>
        <w:rPr>
          <w:rFonts w:ascii="Times New Roman" w:hAnsi="Times New Roman" w:cs="Times New Roman"/>
          <w:sz w:val="24"/>
          <w:szCs w:val="24"/>
        </w:rPr>
        <w:t>.</w:t>
      </w:r>
      <w:r w:rsidR="00E86A02" w:rsidRPr="00796736">
        <w:rPr>
          <w:rFonts w:ascii="Times New Roman" w:hAnsi="Times New Roman" w:cs="Times New Roman"/>
          <w:sz w:val="24"/>
          <w:szCs w:val="24"/>
        </w:rPr>
        <w:t xml:space="preserve"> </w:t>
      </w:r>
    </w:p>
    <w:p w14:paraId="63B3AB58" w14:textId="495C1888"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en nærmere beskrivelse af gældende ret henvises til pkt. </w:t>
      </w:r>
      <w:r w:rsidR="008C44D6" w:rsidRPr="00796736">
        <w:rPr>
          <w:rFonts w:ascii="Times New Roman" w:hAnsi="Times New Roman" w:cs="Times New Roman"/>
          <w:sz w:val="24"/>
          <w:szCs w:val="24"/>
        </w:rPr>
        <w:fldChar w:fldCharType="begin"/>
      </w:r>
      <w:r w:rsidR="008C44D6" w:rsidRPr="00796736">
        <w:rPr>
          <w:rFonts w:ascii="Times New Roman" w:hAnsi="Times New Roman" w:cs="Times New Roman"/>
          <w:sz w:val="24"/>
          <w:szCs w:val="24"/>
        </w:rPr>
        <w:instrText xml:space="preserve"> REF _Ref232943005 \n \h </w:instrText>
      </w:r>
      <w:r w:rsidR="00967618" w:rsidRPr="00796736">
        <w:rPr>
          <w:rFonts w:ascii="Times New Roman" w:hAnsi="Times New Roman" w:cs="Times New Roman"/>
          <w:sz w:val="24"/>
          <w:szCs w:val="24"/>
        </w:rPr>
        <w:instrText xml:space="preserve"> \* MERGEFORMAT </w:instrText>
      </w:r>
      <w:r w:rsidR="008C44D6" w:rsidRPr="00796736">
        <w:rPr>
          <w:rFonts w:ascii="Times New Roman" w:hAnsi="Times New Roman" w:cs="Times New Roman"/>
          <w:sz w:val="24"/>
          <w:szCs w:val="24"/>
        </w:rPr>
      </w:r>
      <w:r w:rsidR="008C44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3.15</w:t>
      </w:r>
      <w:r w:rsidR="008C44D6" w:rsidRPr="00796736">
        <w:rPr>
          <w:rFonts w:ascii="Times New Roman" w:hAnsi="Times New Roman" w:cs="Times New Roman"/>
          <w:sz w:val="24"/>
          <w:szCs w:val="24"/>
        </w:rPr>
        <w:fldChar w:fldCharType="end"/>
      </w:r>
      <w:r w:rsidR="002128F7">
        <w:rPr>
          <w:rFonts w:ascii="Times New Roman" w:hAnsi="Times New Roman" w:cs="Times New Roman"/>
          <w:sz w:val="24"/>
          <w:szCs w:val="24"/>
        </w:rPr>
        <w:t xml:space="preserve"> og 4.1</w:t>
      </w:r>
      <w:r w:rsidR="008C44D6"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EC1425B" w14:textId="77777777" w:rsidR="00E86A02" w:rsidRPr="00796736" w:rsidRDefault="00E86A02" w:rsidP="00A802A5">
      <w:pPr>
        <w:spacing w:line="360" w:lineRule="auto"/>
        <w:rPr>
          <w:rFonts w:ascii="Times New Roman" w:hAnsi="Times New Roman" w:cs="Times New Roman"/>
          <w:sz w:val="24"/>
          <w:szCs w:val="24"/>
        </w:rPr>
      </w:pPr>
    </w:p>
    <w:p w14:paraId="1434ECFB" w14:textId="669DAAC7"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indføre </w:t>
      </w:r>
      <w:r w:rsidR="005424F4" w:rsidRPr="00796736">
        <w:rPr>
          <w:rFonts w:ascii="Times New Roman" w:hAnsi="Times New Roman" w:cs="Times New Roman"/>
          <w:i/>
          <w:iCs/>
          <w:sz w:val="24"/>
          <w:szCs w:val="24"/>
        </w:rPr>
        <w:fldChar w:fldCharType="begin"/>
      </w:r>
      <w:r w:rsidR="005424F4" w:rsidRPr="00796736">
        <w:rPr>
          <w:rFonts w:ascii="Times New Roman" w:hAnsi="Times New Roman" w:cs="Times New Roman"/>
          <w:sz w:val="24"/>
          <w:szCs w:val="24"/>
        </w:rPr>
        <w:instrText xml:space="preserve"> REF _Ref238544108 \r \h </w:instrText>
      </w:r>
      <w:r w:rsidR="00F375BF" w:rsidRPr="00796736">
        <w:rPr>
          <w:rFonts w:ascii="Times New Roman" w:hAnsi="Times New Roman" w:cs="Times New Roman"/>
          <w:i/>
          <w:iCs/>
          <w:sz w:val="24"/>
          <w:szCs w:val="24"/>
        </w:rPr>
        <w:instrText xml:space="preserve"> \* MERGEFORMAT </w:instrText>
      </w:r>
      <w:r w:rsidR="005424F4" w:rsidRPr="00796736">
        <w:rPr>
          <w:rFonts w:ascii="Times New Roman" w:hAnsi="Times New Roman" w:cs="Times New Roman"/>
          <w:i/>
          <w:iCs/>
          <w:sz w:val="24"/>
          <w:szCs w:val="24"/>
        </w:rPr>
      </w:r>
      <w:r w:rsidR="005424F4" w:rsidRPr="00796736">
        <w:rPr>
          <w:rFonts w:ascii="Times New Roman" w:hAnsi="Times New Roman" w:cs="Times New Roman"/>
          <w:i/>
          <w:iCs/>
          <w:sz w:val="24"/>
          <w:szCs w:val="24"/>
        </w:rPr>
        <w:fldChar w:fldCharType="separate"/>
      </w:r>
      <w:r w:rsidR="008F29E5">
        <w:rPr>
          <w:rFonts w:ascii="Times New Roman" w:hAnsi="Times New Roman" w:cs="Times New Roman"/>
          <w:sz w:val="24"/>
          <w:szCs w:val="24"/>
        </w:rPr>
        <w:t>§ 16</w:t>
      </w:r>
      <w:r w:rsidR="005424F4"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w:t>
      </w:r>
    </w:p>
    <w:p w14:paraId="4D742769" w14:textId="77777777" w:rsidR="009B79DC" w:rsidRPr="00796736" w:rsidRDefault="009B79DC" w:rsidP="00A802A5">
      <w:pPr>
        <w:spacing w:line="360" w:lineRule="auto"/>
        <w:rPr>
          <w:rFonts w:ascii="Times New Roman" w:hAnsi="Times New Roman" w:cs="Times New Roman"/>
          <w:sz w:val="24"/>
          <w:szCs w:val="24"/>
        </w:rPr>
      </w:pPr>
    </w:p>
    <w:p w14:paraId="7C18B2E5" w14:textId="4A710BC0"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lægges op til at videreføre hvidvasklovens § 29, stk. 4, og FIU-cirkulærets §1 med en række tilføjelser som følge af hvidvaskdirektivet. Den foreslåede bestemmelse vil således fastsætte regler om Hvidvasksekretariatets adgang til en række nærmere oplistede oplysninger og rammerne herfor. </w:t>
      </w:r>
    </w:p>
    <w:p w14:paraId="57DA7731" w14:textId="77777777" w:rsidR="00E86A02" w:rsidRPr="00796736" w:rsidRDefault="00E86A02" w:rsidP="00A802A5">
      <w:pPr>
        <w:spacing w:line="360" w:lineRule="auto"/>
        <w:rPr>
          <w:rFonts w:ascii="Times New Roman" w:hAnsi="Times New Roman" w:cs="Times New Roman"/>
          <w:sz w:val="24"/>
          <w:szCs w:val="24"/>
        </w:rPr>
      </w:pPr>
    </w:p>
    <w:p w14:paraId="731B74A8" w14:textId="1FD3C417"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5424F4" w:rsidRPr="00796736">
        <w:rPr>
          <w:rFonts w:ascii="Times New Roman" w:hAnsi="Times New Roman" w:cs="Times New Roman"/>
          <w:i/>
          <w:iCs/>
          <w:sz w:val="24"/>
          <w:szCs w:val="24"/>
        </w:rPr>
        <w:fldChar w:fldCharType="begin"/>
      </w:r>
      <w:r w:rsidR="005424F4" w:rsidRPr="00796736">
        <w:rPr>
          <w:rFonts w:ascii="Times New Roman" w:hAnsi="Times New Roman" w:cs="Times New Roman"/>
          <w:sz w:val="24"/>
          <w:szCs w:val="24"/>
        </w:rPr>
        <w:instrText xml:space="preserve"> REF _Ref238544108 \r \h </w:instrText>
      </w:r>
      <w:r w:rsidR="00F375BF" w:rsidRPr="00796736">
        <w:rPr>
          <w:rFonts w:ascii="Times New Roman" w:hAnsi="Times New Roman" w:cs="Times New Roman"/>
          <w:i/>
          <w:iCs/>
          <w:sz w:val="24"/>
          <w:szCs w:val="24"/>
        </w:rPr>
        <w:instrText xml:space="preserve"> \* MERGEFORMAT </w:instrText>
      </w:r>
      <w:r w:rsidR="005424F4" w:rsidRPr="00796736">
        <w:rPr>
          <w:rFonts w:ascii="Times New Roman" w:hAnsi="Times New Roman" w:cs="Times New Roman"/>
          <w:i/>
          <w:iCs/>
          <w:sz w:val="24"/>
          <w:szCs w:val="24"/>
        </w:rPr>
      </w:r>
      <w:r w:rsidR="005424F4" w:rsidRPr="00796736">
        <w:rPr>
          <w:rFonts w:ascii="Times New Roman" w:hAnsi="Times New Roman" w:cs="Times New Roman"/>
          <w:i/>
          <w:iCs/>
          <w:sz w:val="24"/>
          <w:szCs w:val="24"/>
        </w:rPr>
        <w:fldChar w:fldCharType="separate"/>
      </w:r>
      <w:r w:rsidR="008F29E5">
        <w:rPr>
          <w:rFonts w:ascii="Times New Roman" w:hAnsi="Times New Roman" w:cs="Times New Roman"/>
          <w:sz w:val="24"/>
          <w:szCs w:val="24"/>
        </w:rPr>
        <w:t>§ 16</w:t>
      </w:r>
      <w:r w:rsidR="005424F4"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w:t>
      </w:r>
      <w:r w:rsidR="00074750" w:rsidRPr="00796736">
        <w:rPr>
          <w:rFonts w:ascii="Times New Roman" w:hAnsi="Times New Roman" w:cs="Times New Roman"/>
          <w:sz w:val="24"/>
          <w:szCs w:val="24"/>
        </w:rPr>
        <w:t>at Hvidvasksekretariatet har adgang til de oplysninger, som sekretariatet skal bruge for at kunne udføre sine opgaver, herunder ved at indehavere af oplysningerne indsender dem til Hvidvasksekretariatet, jf. stk. 4.</w:t>
      </w:r>
      <w:r w:rsidR="002128F7">
        <w:rPr>
          <w:rFonts w:ascii="Times New Roman" w:hAnsi="Times New Roman" w:cs="Times New Roman"/>
          <w:sz w:val="24"/>
          <w:szCs w:val="24"/>
        </w:rPr>
        <w:t xml:space="preserve"> Forvaltningslovens § 31, stk. 2, gælder ikke for Hvidvasksekretariatets anmodninger om at dele oplysninger efter stk. 1.</w:t>
      </w:r>
    </w:p>
    <w:p w14:paraId="7F573369" w14:textId="77777777" w:rsidR="00E86A02" w:rsidRPr="00796736" w:rsidRDefault="00E86A02" w:rsidP="00A802A5">
      <w:pPr>
        <w:spacing w:line="360" w:lineRule="auto"/>
        <w:rPr>
          <w:rFonts w:ascii="Times New Roman" w:hAnsi="Times New Roman" w:cs="Times New Roman"/>
          <w:sz w:val="24"/>
          <w:szCs w:val="24"/>
        </w:rPr>
      </w:pPr>
    </w:p>
    <w:p w14:paraId="5D8F3C07" w14:textId="77777777" w:rsidR="002128F7" w:rsidRPr="00D253F0"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Den foreslåede bestemmelse viderefører</w:t>
      </w:r>
      <w:r>
        <w:rPr>
          <w:rFonts w:ascii="Times New Roman" w:hAnsi="Times New Roman" w:cs="Times New Roman"/>
          <w:sz w:val="24"/>
          <w:szCs w:val="24"/>
        </w:rPr>
        <w:t xml:space="preserve"> i sammenhæng med det foreslåede stk. 5</w:t>
      </w:r>
      <w:r w:rsidRPr="00D253F0">
        <w:rPr>
          <w:rFonts w:ascii="Times New Roman" w:hAnsi="Times New Roman" w:cs="Times New Roman"/>
          <w:sz w:val="24"/>
          <w:szCs w:val="24"/>
        </w:rPr>
        <w:t xml:space="preserve"> gældende ret og vil indebære, at Hvidvasksekretariatet har adgang til alle oplysninger, som er nødvendige for, at sekretariatet kan udføre sine opgaver. Det omfatter bl.a. finansielle oplysninger, administrative oplysninger og oplysninger om retshåndhævelse. </w:t>
      </w:r>
    </w:p>
    <w:p w14:paraId="0043FEF3" w14:textId="77777777" w:rsidR="00074750" w:rsidRPr="00796736" w:rsidRDefault="00074750" w:rsidP="00A802A5">
      <w:pPr>
        <w:spacing w:line="360" w:lineRule="auto"/>
        <w:rPr>
          <w:rFonts w:ascii="Times New Roman" w:hAnsi="Times New Roman" w:cs="Times New Roman"/>
          <w:sz w:val="24"/>
          <w:szCs w:val="24"/>
        </w:rPr>
      </w:pPr>
    </w:p>
    <w:p w14:paraId="690C4149" w14:textId="172E8CDB" w:rsidR="009B79DC"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endvidere en pligt for de relevante indehavere af de pågældende oplysninger til at indsende de pågældende oplysninger til Hvidvasksekretariatet på en hurtig måde uden at gribe ind i indholdet af de ønskede data eller oplysninger, jf. det foreslåede stk. 4 om en direkte og umiddelbar adgang. Den foreslåede bestemmelse omfatter også private enheder, som i henhold til den foreslåede bestemmelse vil være forpligtede til at efterkomme Hvidvasksekretariatets anmodning om oplysninger. </w:t>
      </w:r>
    </w:p>
    <w:p w14:paraId="406011E6" w14:textId="77777777" w:rsidR="00074750" w:rsidRPr="00796736" w:rsidRDefault="00074750" w:rsidP="00A802A5">
      <w:pPr>
        <w:spacing w:line="360" w:lineRule="auto"/>
        <w:rPr>
          <w:rFonts w:ascii="Times New Roman" w:hAnsi="Times New Roman" w:cs="Times New Roman"/>
          <w:sz w:val="24"/>
          <w:szCs w:val="24"/>
        </w:rPr>
      </w:pPr>
    </w:p>
    <w:p w14:paraId="07B402FA" w14:textId="77777777"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endvidere en pligt til at indsende de pågældende oplysninger til Hvidvasksekretariatet for de relevante indehavere af de pågældende oplysninger på en hurtig måde uden at gribe ind i indholdet af de ønskede data eller oplysninger, jf. det foreslåede stk. 4 om en direkte og umiddelbar adgang. Den foreslåede bestemmelse omfatter bl.a. ikke-offentlige enheder, som i henhold til den foreslåede bestemmelse vil være forpligtede til at efterkomme Hvidvasksekretariatets anmodning om oplysninger. </w:t>
      </w:r>
    </w:p>
    <w:p w14:paraId="1FE2F3E3" w14:textId="77777777" w:rsidR="009B79DC" w:rsidRPr="00796736" w:rsidRDefault="009B79DC" w:rsidP="00A802A5">
      <w:pPr>
        <w:spacing w:line="360" w:lineRule="auto"/>
        <w:rPr>
          <w:rFonts w:ascii="Times New Roman" w:hAnsi="Times New Roman" w:cs="Times New Roman"/>
          <w:sz w:val="24"/>
          <w:szCs w:val="24"/>
        </w:rPr>
      </w:pPr>
    </w:p>
    <w:p w14:paraId="60B30560" w14:textId="585EEFD2" w:rsidR="009B79DC"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i relation hertil, at der ved kravet om indsendelse af sådanne oplysninger til Hvidvasksekretariatet vil være tale om en oplysningspligt</w:t>
      </w:r>
      <w:r w:rsidR="009B79DC" w:rsidRPr="00796736">
        <w:rPr>
          <w:rFonts w:ascii="Times New Roman" w:hAnsi="Times New Roman" w:cs="Times New Roman"/>
          <w:sz w:val="24"/>
          <w:szCs w:val="24"/>
        </w:rPr>
        <w:t>, jf. § 1, stk. 3, i lov om retssikkerhed ved forvaltningens anvendelse af tvangsindgreb og oplysningspligter (retssikkerhedsloven). Det indebærer, at oplysningspligten vil være omfattet af retssikkerhedslovens kapitel 4, som medfører, at oplysningspligten ikke gælder i det tilfælde, hvor der er en konkret mistanke om, at den pågældende indehaver af oplysningerne har begået en lovovertrædelse, der kan medføre straf, medmindre det kan udelukkes, at de oplysninger, der søges tilvejebragt, kan have betydning for bedømmelsen af den formodede lovovertrædelse, jf. retssikkerhedslovens § 10, stk. 1.</w:t>
      </w:r>
    </w:p>
    <w:p w14:paraId="009A20DE" w14:textId="77777777" w:rsidR="002128F7" w:rsidRDefault="002128F7" w:rsidP="00A802A5">
      <w:pPr>
        <w:spacing w:line="360" w:lineRule="auto"/>
        <w:rPr>
          <w:rFonts w:ascii="Times New Roman" w:hAnsi="Times New Roman" w:cs="Times New Roman"/>
          <w:sz w:val="24"/>
          <w:szCs w:val="24"/>
        </w:rPr>
      </w:pPr>
    </w:p>
    <w:p w14:paraId="1C97B77E" w14:textId="4D56F415" w:rsidR="002128F7" w:rsidRPr="00796736" w:rsidRDefault="002128F7"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For så vidt angår de offentlige myndigheder, som er indehavere af oplysninger efter den foreslåede bestemmelse og dermed pligtige at aflevere dem til Hvidvasksekretariatet efter anmodning herom, vil den foreslåede bestemmelse udgøre en fravigelse af undtagelsesreglen i forvaltningslovens § 31, stk. 2. </w:t>
      </w:r>
    </w:p>
    <w:p w14:paraId="17F06FE1" w14:textId="77777777" w:rsidR="009B79DC" w:rsidRPr="00796736" w:rsidRDefault="009B79DC" w:rsidP="00A802A5">
      <w:pPr>
        <w:spacing w:line="360" w:lineRule="auto"/>
        <w:rPr>
          <w:rFonts w:ascii="Times New Roman" w:hAnsi="Times New Roman" w:cs="Times New Roman"/>
          <w:sz w:val="24"/>
          <w:szCs w:val="24"/>
        </w:rPr>
      </w:pPr>
    </w:p>
    <w:p w14:paraId="4F5C3004" w14:textId="1FDCA9ED"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w:t>
      </w:r>
      <w:r w:rsidR="009B79DC" w:rsidRPr="00796736">
        <w:rPr>
          <w:rFonts w:ascii="Times New Roman" w:hAnsi="Times New Roman" w:cs="Times New Roman"/>
          <w:sz w:val="24"/>
          <w:szCs w:val="24"/>
        </w:rPr>
        <w:t xml:space="preserve"> foreslåede</w:t>
      </w:r>
      <w:r w:rsidRPr="00796736">
        <w:rPr>
          <w:rFonts w:ascii="Times New Roman" w:hAnsi="Times New Roman" w:cs="Times New Roman"/>
          <w:sz w:val="24"/>
          <w:szCs w:val="24"/>
        </w:rPr>
        <w:t xml:space="preserve"> indebærer, at Hvidvasksekretariatet fortsat vil skulle have adgang til de relevante oplysninger, jf. også den foreslåede stk. 5, som gennemgås nærmere nedenfor. Bestemmelsen skal for så vidt angå forpligtede enheder ses i lyset af hvidvaskforordningens artikel 69, stk. 1, litra b, hvorefter forpligtede enheder og hvis relevant deres direktører og ansatte skal samarbejde fuldt ud med FIU’en ved omgående efter anmodning fra FIU’en at give denne alle nødvendige oplysninger, herunder oplysninger om transaktionsfortegnelser, inden for de fastsatte frister.  </w:t>
      </w:r>
    </w:p>
    <w:p w14:paraId="1EAAE072" w14:textId="77777777" w:rsidR="00E86A02" w:rsidRPr="00796736" w:rsidRDefault="00E86A02" w:rsidP="00A802A5">
      <w:pPr>
        <w:spacing w:line="360" w:lineRule="auto"/>
        <w:rPr>
          <w:rFonts w:ascii="Times New Roman" w:hAnsi="Times New Roman" w:cs="Times New Roman"/>
          <w:sz w:val="24"/>
          <w:szCs w:val="24"/>
        </w:rPr>
      </w:pPr>
    </w:p>
    <w:p w14:paraId="37E68FA3" w14:textId="77777777"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opregne de finansielle, administrative og retshåndhævelsesmæssige oplysninger, som Hvidvasksekretariatet som minimum skal have adgang til. </w:t>
      </w:r>
    </w:p>
    <w:p w14:paraId="2321400D" w14:textId="15AFE55A"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r>
      <w:r w:rsidR="00074750" w:rsidRPr="00796736">
        <w:rPr>
          <w:rFonts w:ascii="Times New Roman" w:hAnsi="Times New Roman" w:cs="Times New Roman"/>
          <w:sz w:val="24"/>
          <w:szCs w:val="24"/>
        </w:rPr>
        <w:t>Den foreslåede bestemmelse indeholder en ikke-udtømmende opregning, hvorved forstås, at Hvidvasksekretariatet også efter anden lovgivning kan være eller vil kunne tillægges adgang til at modtage oplysninger.</w:t>
      </w:r>
    </w:p>
    <w:p w14:paraId="0D529C39" w14:textId="42B1A537" w:rsidR="009B79DC" w:rsidRPr="00796736" w:rsidRDefault="009B7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 i stk. 2,</w:t>
      </w:r>
      <w:r w:rsidRPr="00796736">
        <w:rPr>
          <w:rFonts w:ascii="Times New Roman" w:hAnsi="Times New Roman" w:cs="Times New Roman"/>
          <w:i/>
          <w:iCs/>
          <w:sz w:val="24"/>
          <w:szCs w:val="24"/>
        </w:rPr>
        <w:t xml:space="preserve"> nr. 1,</w:t>
      </w:r>
      <w:r w:rsidRPr="00796736">
        <w:rPr>
          <w:rFonts w:ascii="Times New Roman" w:hAnsi="Times New Roman" w:cs="Times New Roman"/>
          <w:sz w:val="24"/>
          <w:szCs w:val="24"/>
        </w:rPr>
        <w:t xml:space="preserve"> at Hvidvasksekretariatet har u</w:t>
      </w:r>
      <w:r w:rsidRPr="00796736">
        <w:rPr>
          <w:rFonts w:ascii="Times New Roman" w:eastAsia="Times New Roman" w:hAnsi="Times New Roman" w:cs="Times New Roman"/>
          <w:sz w:val="24"/>
          <w:szCs w:val="24"/>
          <w:lang w:eastAsia="da-DK"/>
        </w:rPr>
        <w:t>middelbar og direkte adgang til følgende finansielle oplysninger:</w:t>
      </w:r>
    </w:p>
    <w:p w14:paraId="4150A9EA" w14:textId="6B049E0F" w:rsidR="00E86A02" w:rsidRPr="00796736" w:rsidRDefault="00E86A02">
      <w:pPr>
        <w:pStyle w:val="Listeafsnit"/>
        <w:numPr>
          <w:ilvl w:val="0"/>
          <w:numId w:val="24"/>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Oplysninger i den centrale automatiske mekanisme etableret i henhold til </w:t>
      </w:r>
      <w:r w:rsidR="005424F4" w:rsidRPr="00796736">
        <w:rPr>
          <w:rFonts w:ascii="Times New Roman" w:eastAsia="Times New Roman" w:hAnsi="Times New Roman" w:cs="Times New Roman"/>
          <w:sz w:val="24"/>
          <w:szCs w:val="24"/>
          <w:lang w:eastAsia="da-DK"/>
        </w:rPr>
        <w:fldChar w:fldCharType="begin"/>
      </w:r>
      <w:r w:rsidR="005424F4" w:rsidRPr="00796736">
        <w:rPr>
          <w:rFonts w:ascii="Times New Roman" w:eastAsia="Times New Roman" w:hAnsi="Times New Roman" w:cs="Times New Roman"/>
          <w:sz w:val="24"/>
          <w:szCs w:val="24"/>
          <w:lang w:eastAsia="da-DK"/>
        </w:rPr>
        <w:instrText xml:space="preserve"> REF _Ref232596233 \r \h </w:instrText>
      </w:r>
      <w:r w:rsidR="00F375BF" w:rsidRPr="00796736">
        <w:rPr>
          <w:rFonts w:ascii="Times New Roman" w:eastAsia="Times New Roman" w:hAnsi="Times New Roman" w:cs="Times New Roman"/>
          <w:sz w:val="24"/>
          <w:szCs w:val="24"/>
          <w:lang w:eastAsia="da-DK"/>
        </w:rPr>
        <w:instrText xml:space="preserve"> \* MERGEFORMAT </w:instrText>
      </w:r>
      <w:r w:rsidR="005424F4" w:rsidRPr="00796736">
        <w:rPr>
          <w:rFonts w:ascii="Times New Roman" w:eastAsia="Times New Roman" w:hAnsi="Times New Roman" w:cs="Times New Roman"/>
          <w:sz w:val="24"/>
          <w:szCs w:val="24"/>
          <w:lang w:eastAsia="da-DK"/>
        </w:rPr>
      </w:r>
      <w:r w:rsidR="005424F4"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32</w:t>
      </w:r>
      <w:r w:rsidR="005424F4"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w:t>
      </w:r>
    </w:p>
    <w:p w14:paraId="4E935C5C" w14:textId="77777777" w:rsidR="00E86A02" w:rsidRPr="00796736" w:rsidRDefault="00E86A02">
      <w:pPr>
        <w:pStyle w:val="Listeafsnit"/>
        <w:numPr>
          <w:ilvl w:val="0"/>
          <w:numId w:val="24"/>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fra forpligtede enheder, herunder oplysninger om pengeoverførsler som defineret i artikel 3, nr. 9, i forordning (EU) nr. 2023/1113 af 31. maj 2023 om oplysninger, der skal medsendes ved pengeoverførsler og ved overførsler af visse kryptoaktiver og overførsler af kryptoaktiver som defineret i nævnte forordnings artikel 3, nr. 10).</w:t>
      </w:r>
    </w:p>
    <w:p w14:paraId="064B13E9" w14:textId="77777777" w:rsidR="00E86A02" w:rsidRPr="00796736" w:rsidRDefault="00E86A02">
      <w:pPr>
        <w:pStyle w:val="Listeafsnit"/>
        <w:numPr>
          <w:ilvl w:val="0"/>
          <w:numId w:val="24"/>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om realkreditlån og lån.</w:t>
      </w:r>
    </w:p>
    <w:p w14:paraId="094786FF" w14:textId="77777777" w:rsidR="00E86A02" w:rsidRPr="00796736" w:rsidRDefault="00E86A02">
      <w:pPr>
        <w:pStyle w:val="Listeafsnit"/>
        <w:numPr>
          <w:ilvl w:val="0"/>
          <w:numId w:val="24"/>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i de nationale databaser over valuta og valutaveksling [udstedt af Nationalbanken].</w:t>
      </w:r>
    </w:p>
    <w:p w14:paraId="1812A4B4" w14:textId="77777777" w:rsidR="00E86A02" w:rsidRPr="00796736" w:rsidRDefault="00E86A02">
      <w:pPr>
        <w:pStyle w:val="Listeafsnit"/>
        <w:numPr>
          <w:ilvl w:val="0"/>
          <w:numId w:val="24"/>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om værdipapirer.</w:t>
      </w:r>
    </w:p>
    <w:p w14:paraId="1E454C7C" w14:textId="77777777" w:rsidR="00E86A02" w:rsidRPr="00796736" w:rsidRDefault="00E86A02" w:rsidP="00A802A5">
      <w:pPr>
        <w:spacing w:line="360" w:lineRule="auto"/>
        <w:rPr>
          <w:rFonts w:ascii="Times New Roman" w:eastAsia="Times New Roman" w:hAnsi="Times New Roman" w:cs="Times New Roman"/>
          <w:sz w:val="24"/>
          <w:szCs w:val="24"/>
          <w:lang w:eastAsia="da-DK"/>
        </w:rPr>
      </w:pPr>
    </w:p>
    <w:p w14:paraId="6393E246" w14:textId="77777777"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 som noget nyt i forhold til gældende ret – indebære, at det nærmere fastsættes, hvilke finansielle oplysninger Hvidvasksekretariatet skal kunne indhente fra de enheder eller myndigheder, der er i besiddelse af oplysningerne, direkte og umiddelbart. For så vidt angår begrebet »direkte og umiddelbar« henvises til den foreslåede stk. 4. </w:t>
      </w:r>
    </w:p>
    <w:p w14:paraId="3B5C7E3B" w14:textId="0330565A"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en »forpligtet enhed« efter </w:t>
      </w:r>
      <w:r w:rsidR="005424F4" w:rsidRPr="00796736">
        <w:rPr>
          <w:rFonts w:ascii="Times New Roman" w:hAnsi="Times New Roman" w:cs="Times New Roman"/>
          <w:sz w:val="24"/>
          <w:szCs w:val="24"/>
        </w:rPr>
        <w:fldChar w:fldCharType="begin"/>
      </w:r>
      <w:r w:rsidR="005424F4" w:rsidRPr="00796736">
        <w:rPr>
          <w:rFonts w:ascii="Times New Roman" w:hAnsi="Times New Roman" w:cs="Times New Roman"/>
          <w:sz w:val="24"/>
          <w:szCs w:val="24"/>
        </w:rPr>
        <w:instrText xml:space="preserve"> REF _Ref238544108 \r \h </w:instrText>
      </w:r>
      <w:r w:rsidR="00F375BF" w:rsidRPr="00796736">
        <w:rPr>
          <w:rFonts w:ascii="Times New Roman" w:hAnsi="Times New Roman" w:cs="Times New Roman"/>
          <w:sz w:val="24"/>
          <w:szCs w:val="24"/>
        </w:rPr>
        <w:instrText xml:space="preserve"> \* MERGEFORMAT </w:instrText>
      </w:r>
      <w:r w:rsidR="005424F4" w:rsidRPr="00796736">
        <w:rPr>
          <w:rFonts w:ascii="Times New Roman" w:hAnsi="Times New Roman" w:cs="Times New Roman"/>
          <w:sz w:val="24"/>
          <w:szCs w:val="24"/>
        </w:rPr>
      </w:r>
      <w:r w:rsidR="005424F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5424F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1, litra b, forstås i overensstemmelse med definitionen i hvidvaskdirektivets artikel 2, nr. 4, den fysiske eller juridiske person, der er opført i artikel 3 i hvidvaskforordningen, som ikke er undtaget i henhold til hvidvaskforordningens artikel 4, 5, 6 eller 7. </w:t>
      </w:r>
    </w:p>
    <w:p w14:paraId="66637F5D" w14:textId="30A7057B"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Ved »</w:t>
      </w:r>
      <w:r w:rsidRPr="00796736">
        <w:rPr>
          <w:rFonts w:ascii="Times New Roman" w:eastAsia="Times New Roman" w:hAnsi="Times New Roman" w:cs="Times New Roman"/>
          <w:sz w:val="24"/>
          <w:szCs w:val="24"/>
          <w:lang w:eastAsia="da-DK"/>
        </w:rPr>
        <w:t>oplysninger om pengeoverførsler</w:t>
      </w:r>
      <w:r w:rsidRPr="00796736">
        <w:rPr>
          <w:rFonts w:ascii="Times New Roman" w:hAnsi="Times New Roman" w:cs="Times New Roman"/>
          <w:sz w:val="24"/>
          <w:szCs w:val="24"/>
        </w:rPr>
        <w:t xml:space="preserve">« efter </w:t>
      </w:r>
      <w:r w:rsidR="005424F4" w:rsidRPr="00796736">
        <w:rPr>
          <w:rFonts w:ascii="Times New Roman" w:hAnsi="Times New Roman" w:cs="Times New Roman"/>
          <w:sz w:val="24"/>
          <w:szCs w:val="24"/>
        </w:rPr>
        <w:fldChar w:fldCharType="begin"/>
      </w:r>
      <w:r w:rsidR="005424F4" w:rsidRPr="00796736">
        <w:rPr>
          <w:rFonts w:ascii="Times New Roman" w:hAnsi="Times New Roman" w:cs="Times New Roman"/>
          <w:sz w:val="24"/>
          <w:szCs w:val="24"/>
        </w:rPr>
        <w:instrText xml:space="preserve"> REF _Ref238544108 \r \h </w:instrText>
      </w:r>
      <w:r w:rsidR="00F375BF" w:rsidRPr="00796736">
        <w:rPr>
          <w:rFonts w:ascii="Times New Roman" w:hAnsi="Times New Roman" w:cs="Times New Roman"/>
          <w:sz w:val="24"/>
          <w:szCs w:val="24"/>
        </w:rPr>
        <w:instrText xml:space="preserve"> \* MERGEFORMAT </w:instrText>
      </w:r>
      <w:r w:rsidR="005424F4" w:rsidRPr="00796736">
        <w:rPr>
          <w:rFonts w:ascii="Times New Roman" w:hAnsi="Times New Roman" w:cs="Times New Roman"/>
          <w:sz w:val="24"/>
          <w:szCs w:val="24"/>
        </w:rPr>
      </w:r>
      <w:r w:rsidR="005424F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5424F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1, litra b, forstås i overensstemmelse med definitionen på »</w:t>
      </w:r>
      <w:r w:rsidRPr="00796736">
        <w:rPr>
          <w:rFonts w:ascii="Times New Roman" w:eastAsia="Times New Roman" w:hAnsi="Times New Roman" w:cs="Times New Roman"/>
          <w:sz w:val="24"/>
          <w:szCs w:val="24"/>
          <w:lang w:eastAsia="da-DK"/>
        </w:rPr>
        <w:t>pengeoverførsel</w:t>
      </w:r>
      <w:r w:rsidRPr="00796736">
        <w:rPr>
          <w:rFonts w:ascii="Times New Roman" w:hAnsi="Times New Roman" w:cs="Times New Roman"/>
          <w:sz w:val="24"/>
          <w:szCs w:val="24"/>
        </w:rPr>
        <w:t xml:space="preserve">« efter </w:t>
      </w:r>
      <w:r w:rsidRPr="00796736">
        <w:rPr>
          <w:rFonts w:ascii="Times New Roman" w:eastAsia="Times New Roman" w:hAnsi="Times New Roman" w:cs="Times New Roman"/>
          <w:sz w:val="24"/>
          <w:szCs w:val="24"/>
          <w:lang w:eastAsia="da-DK"/>
        </w:rPr>
        <w:t xml:space="preserve">artikel 3, nr. 9, i forordning (EU) nr. 2023/1113 af 31. maj 2023 om oplysninger, der skal medsendes ved pengeoverførsler og ved overførsler af visse kryptoaktiver, </w:t>
      </w:r>
      <w:r w:rsidRPr="00796736">
        <w:rPr>
          <w:rFonts w:ascii="Times New Roman" w:hAnsi="Times New Roman" w:cs="Times New Roman"/>
          <w:sz w:val="24"/>
          <w:szCs w:val="24"/>
        </w:rPr>
        <w:t>en transaktion, der helt eller delvist gennemføres elektronisk på en betalers vegne gennem en betalingstjenesteudbyder med henblik på at stille midler til rådighed for en betalingsmodtager gennem en betalingstjenesteudbyder, uanset om betaler og betalingsmodtager er en og samme person, og uanset om betalerens og betalingsmodtagerens betalingstjenesteudbyder er en og samme, herunder:</w:t>
      </w:r>
    </w:p>
    <w:p w14:paraId="169437D5" w14:textId="77777777" w:rsidR="009B79DC" w:rsidRPr="00796736" w:rsidRDefault="009B79DC">
      <w:pPr>
        <w:pStyle w:val="Listeafsnit"/>
        <w:numPr>
          <w:ilvl w:val="0"/>
          <w:numId w:val="2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kreditoverførsel som defineret i artikel 4, nr. 24, i direktiv (EU) nr. 2015/2366 (om betalingstjenester i det indre marked,).</w:t>
      </w:r>
    </w:p>
    <w:p w14:paraId="4F2E92F6" w14:textId="77777777" w:rsidR="009B79DC" w:rsidRPr="00796736" w:rsidRDefault="009B79DC">
      <w:pPr>
        <w:pStyle w:val="Listeafsnit"/>
        <w:numPr>
          <w:ilvl w:val="0"/>
          <w:numId w:val="2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direkte debitering som defineret i artikel 4, nr. 23, i direktiv (EU) nr. 2015/2366.</w:t>
      </w:r>
    </w:p>
    <w:p w14:paraId="48C8C421" w14:textId="77777777" w:rsidR="009B79DC" w:rsidRPr="00796736" w:rsidRDefault="009B79DC">
      <w:pPr>
        <w:pStyle w:val="Listeafsnit"/>
        <w:numPr>
          <w:ilvl w:val="0"/>
          <w:numId w:val="2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Pengeoverførsler som defineret i artikel 4, nr. 22, i direktiv (EU) nr. 2015/2366, uanset om de er indenlandske eller grænseoverskridende.</w:t>
      </w:r>
    </w:p>
    <w:p w14:paraId="5918FAE1" w14:textId="77777777" w:rsidR="009B79DC" w:rsidRPr="00796736" w:rsidRDefault="009B79DC">
      <w:pPr>
        <w:pStyle w:val="Listeafsnit"/>
        <w:numPr>
          <w:ilvl w:val="0"/>
          <w:numId w:val="23"/>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overførsel gennemført ved hjælp af et betalingskort, et elektronisk pengeinstrument eller en mobiltelefon eller andet digitalt udstyr eller IT-udstyr, der anvender teknologi med forud- eller efterbetaling og har tilsvarende karakteristika.</w:t>
      </w:r>
    </w:p>
    <w:p w14:paraId="34095997" w14:textId="53D36E9A" w:rsidR="00074750" w:rsidRPr="00796736" w:rsidRDefault="0007475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w:t>
      </w:r>
      <w:r w:rsidR="002128F7" w:rsidRPr="00D253F0">
        <w:rPr>
          <w:rFonts w:ascii="Times New Roman" w:hAnsi="Times New Roman" w:cs="Times New Roman"/>
          <w:sz w:val="24"/>
          <w:szCs w:val="24"/>
        </w:rPr>
        <w:t xml:space="preserve"> foreslåede bestemmelse vil indebære, at i det omfang Hvidvasksekretariatet ikke selv har adgang til de pågældende oplysninger, vil indehaverne heraf være forpligtede til at videregive disse oplysninger til Hvidvasksekretariatet uden at gribe ind i indholdet af de ønskede data eller de oplysninger, der skal gives</w:t>
      </w:r>
      <w:r w:rsidR="002128F7">
        <w:rPr>
          <w:rFonts w:ascii="Times New Roman" w:hAnsi="Times New Roman" w:cs="Times New Roman"/>
          <w:sz w:val="24"/>
          <w:szCs w:val="24"/>
        </w:rPr>
        <w:t>, jf. herved det foreslåede stk. 4</w:t>
      </w:r>
      <w:r w:rsidR="002128F7" w:rsidRPr="00D253F0">
        <w:rPr>
          <w:rFonts w:ascii="Times New Roman" w:hAnsi="Times New Roman" w:cs="Times New Roman"/>
          <w:sz w:val="24"/>
          <w:szCs w:val="24"/>
        </w:rPr>
        <w:t xml:space="preserve">. Det vil f.eks. kunne omfatte såkaldte Payment Service Providers, PSP’er, eller andre indehavere af oplysninger omfattet af bestemmelsen. </w:t>
      </w:r>
    </w:p>
    <w:p w14:paraId="15C102B5" w14:textId="77777777"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stk. 2</w:t>
      </w:r>
      <w:r w:rsidRPr="00796736">
        <w:rPr>
          <w:rFonts w:ascii="Times New Roman" w:hAnsi="Times New Roman" w:cs="Times New Roman"/>
          <w:i/>
          <w:iCs/>
          <w:sz w:val="24"/>
          <w:szCs w:val="24"/>
        </w:rPr>
        <w:t>, nr. 2,</w:t>
      </w:r>
      <w:r w:rsidRPr="00796736">
        <w:rPr>
          <w:rFonts w:ascii="Times New Roman" w:hAnsi="Times New Roman" w:cs="Times New Roman"/>
          <w:sz w:val="24"/>
          <w:szCs w:val="24"/>
        </w:rPr>
        <w:t xml:space="preserve"> at Hvidvasksekretariatet har umiddelbar og direkte adgang til følgende administrative oplysninger: </w:t>
      </w:r>
    </w:p>
    <w:p w14:paraId="28919EC4"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Skatteoplysninger, herunder oplysninger, som opbevares af skattemyndighederne, samt oplysninger, der er indhentet i henhold til artikel 8, stk. 3a, i Rådets direktiv nr. 2011/16/EU af 11. februar 2011 om administrativt samarbejde på beskatningsområdet. </w:t>
      </w:r>
    </w:p>
    <w:p w14:paraId="758483D7"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om udbudsprocedurer vedrørende varer, tjenesteydelser eller koncessioner.</w:t>
      </w:r>
    </w:p>
    <w:p w14:paraId="77C2C99C" w14:textId="53AF21A2"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Oplysninger fra bankkontoregistrets sammenkoblingssystem i henhold </w:t>
      </w:r>
      <w:r w:rsidR="003F06C7" w:rsidRPr="00796736">
        <w:rPr>
          <w:rFonts w:ascii="Times New Roman" w:eastAsia="Times New Roman" w:hAnsi="Times New Roman" w:cs="Times New Roman"/>
          <w:sz w:val="24"/>
          <w:szCs w:val="24"/>
          <w:lang w:eastAsia="da-DK"/>
        </w:rPr>
        <w:t xml:space="preserve">til </w:t>
      </w:r>
      <w:r w:rsidR="009B79DC" w:rsidRPr="00796736">
        <w:rPr>
          <w:rFonts w:ascii="Times New Roman" w:eastAsia="Times New Roman" w:hAnsi="Times New Roman" w:cs="Times New Roman"/>
          <w:sz w:val="24"/>
          <w:szCs w:val="24"/>
          <w:lang w:eastAsia="da-DK"/>
        </w:rPr>
        <w:fldChar w:fldCharType="begin"/>
      </w:r>
      <w:r w:rsidR="009B79DC" w:rsidRPr="00796736">
        <w:rPr>
          <w:rFonts w:ascii="Times New Roman" w:eastAsia="Times New Roman" w:hAnsi="Times New Roman" w:cs="Times New Roman"/>
          <w:sz w:val="24"/>
          <w:szCs w:val="24"/>
          <w:lang w:eastAsia="da-DK"/>
        </w:rPr>
        <w:instrText xml:space="preserve"> REF _Ref232596233 \r \h </w:instrText>
      </w:r>
      <w:r w:rsidR="00F375BF" w:rsidRPr="00796736">
        <w:rPr>
          <w:rFonts w:ascii="Times New Roman" w:eastAsia="Times New Roman" w:hAnsi="Times New Roman" w:cs="Times New Roman"/>
          <w:sz w:val="24"/>
          <w:szCs w:val="24"/>
          <w:lang w:eastAsia="da-DK"/>
        </w:rPr>
        <w:instrText xml:space="preserve"> \* MERGEFORMAT </w:instrText>
      </w:r>
      <w:r w:rsidR="009B79DC" w:rsidRPr="00796736">
        <w:rPr>
          <w:rFonts w:ascii="Times New Roman" w:eastAsia="Times New Roman" w:hAnsi="Times New Roman" w:cs="Times New Roman"/>
          <w:sz w:val="24"/>
          <w:szCs w:val="24"/>
          <w:lang w:eastAsia="da-DK"/>
        </w:rPr>
      </w:r>
      <w:r w:rsidR="009B79D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32</w:t>
      </w:r>
      <w:r w:rsidR="009B79DC" w:rsidRPr="00796736">
        <w:rPr>
          <w:rFonts w:ascii="Times New Roman" w:eastAsia="Times New Roman" w:hAnsi="Times New Roman" w:cs="Times New Roman"/>
          <w:sz w:val="24"/>
          <w:szCs w:val="24"/>
          <w:lang w:eastAsia="da-DK"/>
        </w:rPr>
        <w:fldChar w:fldCharType="end"/>
      </w:r>
      <w:r w:rsidR="009B79DC"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samt fra nationale ejendomsregistre eller elektroniske systemer til dataudtræk og matrikelregistre.</w:t>
      </w:r>
    </w:p>
    <w:p w14:paraId="06BD6547"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Oplysninger </w:t>
      </w:r>
      <w:r w:rsidRPr="00796736">
        <w:rPr>
          <w:rFonts w:ascii="Times New Roman" w:hAnsi="Times New Roman" w:cs="Times New Roman"/>
          <w:sz w:val="24"/>
          <w:szCs w:val="24"/>
        </w:rPr>
        <w:t>i</w:t>
      </w:r>
      <w:r w:rsidRPr="00796736">
        <w:rPr>
          <w:rFonts w:ascii="Times New Roman" w:eastAsia="Times New Roman" w:hAnsi="Times New Roman" w:cs="Times New Roman"/>
          <w:sz w:val="24"/>
          <w:szCs w:val="24"/>
          <w:lang w:eastAsia="da-DK"/>
        </w:rPr>
        <w:t xml:space="preserve"> Det Centrale Personregister (CPR).</w:t>
      </w:r>
    </w:p>
    <w:p w14:paraId="2AE31528"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i nationale pas- og visumregistre.</w:t>
      </w:r>
    </w:p>
    <w:p w14:paraId="64AF7A7E"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i databaser over rejser på tværs af grænserne.</w:t>
      </w:r>
    </w:p>
    <w:p w14:paraId="3AFB213F"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i Det Centrale Virksomhedsregister (CVR) og oplysninger på listen over politisk eksponerede personer (PEP-listen)</w:t>
      </w:r>
    </w:p>
    <w:p w14:paraId="4F372FD3"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Oplysninger i nationale registre over motorkøretøjer, luftfartøjer og fartøjer. </w:t>
      </w:r>
    </w:p>
    <w:p w14:paraId="13328580"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i nationale socialsikringsregistre.</w:t>
      </w:r>
    </w:p>
    <w:p w14:paraId="14383CCB"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Tolddata, herunder grænseoverskridende fysiske overførsler af kontanter.</w:t>
      </w:r>
    </w:p>
    <w:p w14:paraId="4C81018D"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i politiets register over våbentilladelser.</w:t>
      </w:r>
    </w:p>
    <w:p w14:paraId="0C2554D8"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i nationale registre over reelt ejerskab.</w:t>
      </w:r>
    </w:p>
    <w:p w14:paraId="37D6DEFA" w14:textId="77777777" w:rsidR="009B79DC" w:rsidRPr="00796736" w:rsidRDefault="009B79DC">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om reelt ejerskab i den europæiske centrale platform.</w:t>
      </w:r>
    </w:p>
    <w:p w14:paraId="6F46B823"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vedrørende nonprofitorganisationer i Det Centrale Virksomhedsregister (CVR).</w:t>
      </w:r>
    </w:p>
    <w:p w14:paraId="0712FB33"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som opbevares af nationale finansielle tilsynsorganer og regulerende myndigheder, i overensstemmelse med artikel 61 og artikel 67, stk. 2 i hvidvaskdirektivet.</w:t>
      </w:r>
    </w:p>
    <w:p w14:paraId="7E3B76F7"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Databaser til lagring af data om handel med CO2-emissioner oprettet i henhold til Kommissionens forordning (EU) nr. 389/2013 af 2. maj 2013 om oprettelse af et EU-register i henhold til Europa-Parlamentets og Rådets direktiv 2003/87/EF og Europa-Parlamentets og Rådets beslutning nr. 280/2004/EF og nr. 406/2009/EF.</w:t>
      </w:r>
    </w:p>
    <w:p w14:paraId="4A4FDEB6"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om virksomheders årsregnskaber.</w:t>
      </w:r>
    </w:p>
    <w:p w14:paraId="751FC50E"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Nationale migrations- og immigrationsregistre.</w:t>
      </w:r>
    </w:p>
    <w:p w14:paraId="5ED79B3A"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som opbevares af handelsretter.</w:t>
      </w:r>
    </w:p>
    <w:p w14:paraId="106AE4B4"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som findes i insolvensdatabaser, og som insolvensbehandlere er i besiddelse af.</w:t>
      </w:r>
    </w:p>
    <w:p w14:paraId="6FD47EB1" w14:textId="77777777" w:rsidR="00E86A02" w:rsidRPr="00796736" w:rsidRDefault="00E86A02">
      <w:pPr>
        <w:pStyle w:val="Listeafsnit"/>
        <w:numPr>
          <w:ilvl w:val="0"/>
          <w:numId w:val="25"/>
        </w:numPr>
        <w:spacing w:line="360" w:lineRule="auto"/>
        <w:ind w:left="720"/>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Oplysninger om pengemidler eller andre aktiver, der er indefrosset eller immobiliseret i henhold til målrettede finansielle sanktioner.</w:t>
      </w:r>
    </w:p>
    <w:p w14:paraId="460D3A12" w14:textId="77777777" w:rsidR="00E86A02" w:rsidRPr="00796736" w:rsidRDefault="00E86A02" w:rsidP="00A802A5">
      <w:pPr>
        <w:spacing w:line="360" w:lineRule="auto"/>
        <w:rPr>
          <w:rFonts w:ascii="Times New Roman" w:eastAsia="Times New Roman" w:hAnsi="Times New Roman" w:cs="Times New Roman"/>
          <w:sz w:val="24"/>
          <w:szCs w:val="24"/>
          <w:lang w:eastAsia="da-DK"/>
        </w:rPr>
      </w:pPr>
    </w:p>
    <w:p w14:paraId="0479A26E" w14:textId="7927FB2E"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 som noget </w:t>
      </w:r>
      <w:r w:rsidR="009B79DC" w:rsidRPr="00796736">
        <w:rPr>
          <w:rFonts w:ascii="Times New Roman" w:hAnsi="Times New Roman" w:cs="Times New Roman"/>
          <w:sz w:val="24"/>
          <w:szCs w:val="24"/>
        </w:rPr>
        <w:t xml:space="preserve">nyt </w:t>
      </w:r>
      <w:r w:rsidRPr="00796736">
        <w:rPr>
          <w:rFonts w:ascii="Times New Roman" w:hAnsi="Times New Roman" w:cs="Times New Roman"/>
          <w:sz w:val="24"/>
          <w:szCs w:val="24"/>
        </w:rPr>
        <w:t xml:space="preserve">i forhold til gældende ret – indebære, at det nærmere fastsættes, hvilke administrative oplysninger Hvidvasksekretariatet skal kunne indhente fra de enheder eller myndigheder, der er i besiddelse af oplysningerne, direkte og umiddelbart. For så vidt angår begrebet »direkte og umiddelbar« henvises til den foreslåede stk. 4. </w:t>
      </w:r>
    </w:p>
    <w:p w14:paraId="4958F9ED" w14:textId="77777777" w:rsidR="00E86A02" w:rsidRDefault="00E86A02"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bemærkes for så vidt angår stk. 2, nr. 2, litra g, at </w:t>
      </w:r>
      <w:r w:rsidRPr="00796736">
        <w:rPr>
          <w:rFonts w:ascii="Times New Roman" w:eastAsia="Times New Roman" w:hAnsi="Times New Roman" w:cs="Times New Roman"/>
          <w:sz w:val="24"/>
          <w:szCs w:val="24"/>
          <w:lang w:eastAsia="da-DK"/>
        </w:rPr>
        <w:t>oplysninger på listen over politisk eksponerede personer (PEP-listen) er reguleret i henhold til bekendtgørelse nr. 658 af 30. maj 2023.</w:t>
      </w:r>
    </w:p>
    <w:p w14:paraId="7D854B93" w14:textId="2B698480" w:rsidR="002B0E08" w:rsidRPr="00796736" w:rsidRDefault="002B0E08"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Oplysningerne nævnt i det foreslåede stk. 2, nr. 2, litra i, omfatter bl.a. ydelser, der koordineres efter forordning (EF) nr. 883/2004 om koordinering af de sociale sikringsordninger, som falder inden for forordningens materielle anvendelsesområde, jf. artikel 3, stk. 1. Dette omfatter </w:t>
      </w:r>
      <w:r w:rsidRPr="001B280D">
        <w:rPr>
          <w:rFonts w:ascii="Times New Roman" w:hAnsi="Times New Roman" w:cs="Times New Roman"/>
          <w:sz w:val="24"/>
          <w:szCs w:val="24"/>
        </w:rPr>
        <w:t>Folkepension, førtidspension, tidlig pension, seniorpension, fleksydelse, ATP Livslang</w:t>
      </w:r>
      <w:r>
        <w:rPr>
          <w:rFonts w:ascii="Times New Roman" w:hAnsi="Times New Roman" w:cs="Times New Roman"/>
          <w:sz w:val="24"/>
          <w:szCs w:val="24"/>
        </w:rPr>
        <w:t xml:space="preserve">, </w:t>
      </w:r>
      <w:r w:rsidRPr="001B280D">
        <w:rPr>
          <w:rFonts w:ascii="Times New Roman" w:hAnsi="Times New Roman" w:cs="Times New Roman"/>
          <w:sz w:val="24"/>
          <w:szCs w:val="24"/>
        </w:rPr>
        <w:t>Pension, barselsdagpenge, familieydelser, ydelser vedrørende international sygesikring samt ydelser ved arbejdsulykker og erhvervssygdom, som administreres af Arbejdsmarkedets Erhvervssikring,</w:t>
      </w:r>
      <w:r>
        <w:rPr>
          <w:rFonts w:ascii="Times New Roman" w:hAnsi="Times New Roman" w:cs="Times New Roman"/>
          <w:sz w:val="24"/>
          <w:szCs w:val="24"/>
        </w:rPr>
        <w:t xml:space="preserve"> </w:t>
      </w:r>
      <w:r w:rsidRPr="001B280D">
        <w:rPr>
          <w:rFonts w:ascii="Times New Roman" w:hAnsi="Times New Roman" w:cs="Times New Roman"/>
          <w:sz w:val="24"/>
          <w:szCs w:val="24"/>
        </w:rPr>
        <w:t xml:space="preserve">mens ydelser som eksempelvis boligstøtte og SU </w:t>
      </w:r>
      <w:r>
        <w:rPr>
          <w:rFonts w:ascii="Times New Roman" w:hAnsi="Times New Roman" w:cs="Times New Roman"/>
          <w:sz w:val="24"/>
          <w:szCs w:val="24"/>
        </w:rPr>
        <w:t>vil ikke være</w:t>
      </w:r>
      <w:r w:rsidRPr="001B280D">
        <w:rPr>
          <w:rFonts w:ascii="Times New Roman" w:hAnsi="Times New Roman" w:cs="Times New Roman"/>
          <w:sz w:val="24"/>
          <w:szCs w:val="24"/>
        </w:rPr>
        <w:t xml:space="preserve"> omfattet.</w:t>
      </w:r>
      <w:r>
        <w:rPr>
          <w:rFonts w:ascii="Times New Roman" w:hAnsi="Times New Roman" w:cs="Times New Roman"/>
          <w:sz w:val="24"/>
          <w:szCs w:val="24"/>
        </w:rPr>
        <w:t xml:space="preserve"> Den foreslåede bestemmelse vil således i nogen grad omfatte oplysninger, som allerede er tilgængelige for Skatteforvaltningen eller indberettes hertil i dag. </w:t>
      </w:r>
    </w:p>
    <w:p w14:paraId="7578DA20" w14:textId="77777777" w:rsidR="00E86A02" w:rsidRPr="00796736" w:rsidRDefault="00E86A02"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Det foreslås i stk. 2</w:t>
      </w:r>
      <w:r w:rsidRPr="00796736">
        <w:rPr>
          <w:rFonts w:ascii="Times New Roman" w:hAnsi="Times New Roman" w:cs="Times New Roman"/>
          <w:i/>
          <w:iCs/>
          <w:sz w:val="24"/>
          <w:szCs w:val="24"/>
        </w:rPr>
        <w:t>, nr. 3,</w:t>
      </w:r>
      <w:r w:rsidRPr="00796736">
        <w:rPr>
          <w:rFonts w:ascii="Times New Roman" w:hAnsi="Times New Roman" w:cs="Times New Roman"/>
          <w:sz w:val="24"/>
          <w:szCs w:val="24"/>
        </w:rPr>
        <w:t xml:space="preserve"> at Hvidvasksekretariatet har d</w:t>
      </w:r>
      <w:r w:rsidRPr="00796736">
        <w:rPr>
          <w:rFonts w:ascii="Times New Roman" w:eastAsia="Times New Roman" w:hAnsi="Times New Roman" w:cs="Times New Roman"/>
          <w:sz w:val="24"/>
          <w:szCs w:val="24"/>
          <w:lang w:eastAsia="da-DK"/>
        </w:rPr>
        <w:t>irekte eller indirekte adgang til følgende retshåndhævelsesoplysninger, jf. dog stk. 3:</w:t>
      </w:r>
    </w:p>
    <w:p w14:paraId="38550672" w14:textId="77777777" w:rsidR="00E86A02" w:rsidRPr="00796736" w:rsidRDefault="00E86A02">
      <w:pPr>
        <w:pStyle w:val="Listeafsnit"/>
        <w:numPr>
          <w:ilvl w:val="0"/>
          <w:numId w:val="26"/>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Enhver form for oplysninger eller data, som allerede opbevares af de kompetente myndigheder i forbindelse med forebyggelse, afsløring, efterforskning eller retsforfølgning af strafbare handlinger.</w:t>
      </w:r>
    </w:p>
    <w:p w14:paraId="30E510F7" w14:textId="77777777" w:rsidR="00E86A02" w:rsidRPr="00796736" w:rsidRDefault="00E86A02">
      <w:pPr>
        <w:pStyle w:val="Listeafsnit"/>
        <w:numPr>
          <w:ilvl w:val="0"/>
          <w:numId w:val="26"/>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Enhver form for oplysninger eller data, som opbevares af offentlige myndigheder eller private enheder i forbindelse med forebyggelse, afsløring, efterforskning eller retsforfølgning af strafbare handlinger, og som er til rådighed for de kompetente myndigheder uden at foretage tvangsindgreb.</w:t>
      </w:r>
    </w:p>
    <w:p w14:paraId="5EC8AD7E" w14:textId="77777777" w:rsidR="00E86A02" w:rsidRPr="00796736" w:rsidRDefault="00E86A02" w:rsidP="00A802A5">
      <w:pPr>
        <w:spacing w:line="360" w:lineRule="auto"/>
        <w:rPr>
          <w:rFonts w:ascii="Times New Roman" w:eastAsia="Times New Roman" w:hAnsi="Times New Roman" w:cs="Times New Roman"/>
          <w:sz w:val="24"/>
          <w:szCs w:val="24"/>
          <w:lang w:eastAsia="da-DK"/>
        </w:rPr>
      </w:pPr>
    </w:p>
    <w:p w14:paraId="53B4ABD7" w14:textId="77777777"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 som noget nyt i forhold til gældende ret – indebære, at det nærmere fastsættes, hvilke retshåndhævelsesoplysninger, Hvidvasksekretariatet skal kunne indhente de oplistede oplysninger fra de enheder eller myndigheder, der er i besiddelse af oplysningerne, direkte eller indirekte. </w:t>
      </w:r>
    </w:p>
    <w:p w14:paraId="5531349D" w14:textId="77777777"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så vidt angår begrebet »direkte adgang« henvises til den foreslåede stk. 4. </w:t>
      </w:r>
    </w:p>
    <w:p w14:paraId="5BBC5F3F" w14:textId="1805AF34"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»kompetent myndighed« efter </w:t>
      </w:r>
      <w:r w:rsidR="005424F4" w:rsidRPr="00796736">
        <w:rPr>
          <w:rFonts w:ascii="Times New Roman" w:hAnsi="Times New Roman" w:cs="Times New Roman"/>
          <w:sz w:val="24"/>
          <w:szCs w:val="24"/>
        </w:rPr>
        <w:fldChar w:fldCharType="begin"/>
      </w:r>
      <w:r w:rsidR="005424F4" w:rsidRPr="00796736">
        <w:rPr>
          <w:rFonts w:ascii="Times New Roman" w:hAnsi="Times New Roman" w:cs="Times New Roman"/>
          <w:sz w:val="24"/>
          <w:szCs w:val="24"/>
        </w:rPr>
        <w:instrText xml:space="preserve"> REF _Ref238544108 \r \h </w:instrText>
      </w:r>
      <w:r w:rsidR="00F375BF" w:rsidRPr="00796736">
        <w:rPr>
          <w:rFonts w:ascii="Times New Roman" w:hAnsi="Times New Roman" w:cs="Times New Roman"/>
          <w:sz w:val="24"/>
          <w:szCs w:val="24"/>
        </w:rPr>
        <w:instrText xml:space="preserve"> \* MERGEFORMAT </w:instrText>
      </w:r>
      <w:r w:rsidR="005424F4" w:rsidRPr="00796736">
        <w:rPr>
          <w:rFonts w:ascii="Times New Roman" w:hAnsi="Times New Roman" w:cs="Times New Roman"/>
          <w:sz w:val="24"/>
          <w:szCs w:val="24"/>
        </w:rPr>
      </w:r>
      <w:r w:rsidR="005424F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5424F4" w:rsidRPr="00796736">
        <w:rPr>
          <w:rFonts w:ascii="Times New Roman" w:hAnsi="Times New Roman" w:cs="Times New Roman"/>
          <w:sz w:val="24"/>
          <w:szCs w:val="24"/>
        </w:rPr>
        <w:fldChar w:fldCharType="end"/>
      </w:r>
      <w:r w:rsidR="005424F4" w:rsidRPr="00796736">
        <w:rPr>
          <w:rFonts w:ascii="Times New Roman" w:hAnsi="Times New Roman" w:cs="Times New Roman"/>
          <w:sz w:val="24"/>
          <w:szCs w:val="24"/>
        </w:rPr>
        <w:t xml:space="preserve">, </w:t>
      </w:r>
      <w:r w:rsidRPr="00796736">
        <w:rPr>
          <w:rFonts w:ascii="Times New Roman" w:hAnsi="Times New Roman" w:cs="Times New Roman"/>
          <w:sz w:val="24"/>
          <w:szCs w:val="24"/>
        </w:rPr>
        <w:t>stk. 2, nr. 3, litra a og b, forstås efter definitionen i hvidvaskforordningens artikel 2, nr. 44, Hvidvasksekretariatet (litra a), en tilsynsmyndighed (litra b), en offentlig myndighed, der har til opgave at efterforske eller retsforfølge i sager om hvidvask af penge, de underliggende lovovertrædelser eller finansiering af terrorisme, eller som har til opgave at opspore, beslaglægge eller indefryse og konfiskere kriminelle aktiver (litra c) eller en offentlig myndighed, der har fået til ansvar at bekæmpe hvidvask af penge og finansiering af terrorisme (litra d). Foruden Hvidvasksekretariatet, Finanstilsynet, Erhvervsstyrelsen og Spillemyndigheden vil kompetente myndigheder således f.eks. kunne omfatte</w:t>
      </w:r>
      <w:r w:rsidR="009B79DC" w:rsidRPr="00796736">
        <w:rPr>
          <w:rFonts w:ascii="Times New Roman" w:hAnsi="Times New Roman" w:cs="Times New Roman"/>
          <w:sz w:val="24"/>
          <w:szCs w:val="24"/>
        </w:rPr>
        <w:t xml:space="preserve"> politiet og</w:t>
      </w:r>
      <w:r w:rsidRPr="00796736">
        <w:rPr>
          <w:rFonts w:ascii="Times New Roman" w:hAnsi="Times New Roman" w:cs="Times New Roman"/>
          <w:sz w:val="24"/>
          <w:szCs w:val="24"/>
        </w:rPr>
        <w:t xml:space="preserve"> anklagemyndigheden.</w:t>
      </w:r>
    </w:p>
    <w:p w14:paraId="7F39B8F7" w14:textId="77777777" w:rsidR="009B79DC" w:rsidRPr="00796736" w:rsidRDefault="009B79DC" w:rsidP="00A802A5">
      <w:pPr>
        <w:spacing w:line="360" w:lineRule="auto"/>
        <w:rPr>
          <w:rFonts w:ascii="Times New Roman" w:hAnsi="Times New Roman" w:cs="Times New Roman"/>
          <w:sz w:val="24"/>
          <w:szCs w:val="24"/>
        </w:rPr>
      </w:pPr>
    </w:p>
    <w:p w14:paraId="765C3731"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”offentlig myndighed” i den foreslåede nr. 3, litra b, skal forstås øvrige offentlige myndigheder, dvs. statslige, regionale og kommunale, som er indehavere af oplysninger i forbindelse med forebyggelse, afsløring, efterforskning eller retsforfølgning af strafbare handlinger, og som er til rådighed for de kompetente myndigheder uden at foretage tvangsindgreb. Det kunne f.eks. være optegnelser hos Skatteforvaltningen eller tekniske- og miljørelaterende oplysninger hos kommunen.</w:t>
      </w:r>
    </w:p>
    <w:p w14:paraId="37D098BF" w14:textId="77777777" w:rsidR="009B79DC" w:rsidRPr="00796736" w:rsidRDefault="009B79DC" w:rsidP="00A802A5">
      <w:pPr>
        <w:spacing w:line="360" w:lineRule="auto"/>
        <w:rPr>
          <w:rFonts w:ascii="Times New Roman" w:hAnsi="Times New Roman" w:cs="Times New Roman"/>
          <w:sz w:val="24"/>
          <w:szCs w:val="24"/>
        </w:rPr>
      </w:pPr>
    </w:p>
    <w:p w14:paraId="58AB1035"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”private enheder” skal forstås ikke-offentlige enheder, herunder borgere, foreninger og virksomheder mv., som ikke desto mindre er i besiddelse af oplysninger i forbindelse med forebyggelse, afsløringer efterforskning eller retsforfølgning af strafbare handlinger. Det kunne f.eks. optegnelser, som en advokat eller revisor er kommet i besiddelse af i forbindelse med behandlingen af et konkursbo, og som har relevans for en senere efterforskning eller retsforfølgning af strafbare handlinger begået i relation til det konkursramte selskab.  </w:t>
      </w:r>
    </w:p>
    <w:p w14:paraId="649EE986" w14:textId="77777777" w:rsidR="00E86A02" w:rsidRPr="00796736" w:rsidRDefault="00E86A02" w:rsidP="00A802A5">
      <w:pPr>
        <w:spacing w:line="360" w:lineRule="auto"/>
        <w:rPr>
          <w:rFonts w:ascii="Times New Roman" w:hAnsi="Times New Roman" w:cs="Times New Roman"/>
          <w:sz w:val="24"/>
          <w:szCs w:val="24"/>
        </w:rPr>
      </w:pPr>
    </w:p>
    <w:p w14:paraId="7FD16E46" w14:textId="1ACAAD42"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At Hvidvasksekretariatet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_Ref238544108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3, litra b, har adgang til oplysninger som opbevares af private enheder, betyder, at sekretariatet har adgang til oplysninger, som er til rådighed for de kompetente myndigheder, uden at de skal foretage tvangsindgreb overfor den private enhed. Med tvangsindgreb menes såvel tilsynsmyndighedernes tilsyns- og kontrolbeføjelser efter denne lov, som reglerne om retshåndhævende myndigheders tvangsindgreb inden for strafferetsplejen. Den foreslåede bestemmelse er således afgrænset til retshåndhævelsesoplysninger, som offentlige myndigheder måtte være i besiddelse af, uden at myndighederne skal foretage tvangsindgreb. Det bemærkes, at der vil være tale om en oplysningspligt for de pågældende private enheder, som vil være omfattet af retssikkerhedslovens bestemmelser, navnlig kapitel 4 om forbuddet mod selvinkriminering</w:t>
      </w:r>
    </w:p>
    <w:p w14:paraId="7AC140F1" w14:textId="77777777" w:rsidR="00074750" w:rsidRPr="00796736" w:rsidRDefault="00074750" w:rsidP="00A802A5">
      <w:pPr>
        <w:spacing w:line="360" w:lineRule="auto"/>
        <w:rPr>
          <w:rFonts w:ascii="Times New Roman" w:hAnsi="Times New Roman" w:cs="Times New Roman"/>
          <w:sz w:val="24"/>
          <w:szCs w:val="24"/>
        </w:rPr>
      </w:pPr>
    </w:p>
    <w:p w14:paraId="0437DB5A" w14:textId="208072CF"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w:t>
      </w:r>
      <w:r w:rsidR="009B79DC" w:rsidRPr="00796736">
        <w:rPr>
          <w:rFonts w:ascii="Times New Roman" w:hAnsi="Times New Roman" w:cs="Times New Roman"/>
          <w:sz w:val="24"/>
          <w:szCs w:val="24"/>
        </w:rPr>
        <w:t>a</w:t>
      </w:r>
      <w:r w:rsidRPr="00796736">
        <w:rPr>
          <w:rFonts w:ascii="Times New Roman" w:hAnsi="Times New Roman" w:cs="Times New Roman"/>
          <w:sz w:val="24"/>
          <w:szCs w:val="24"/>
        </w:rPr>
        <w:t>dgangen til oplysninger omfattet af stk. 2, nr. 3, kan begrænses ud fra en konkret vurdering, hvis videregivelsen af sådanne oplysninger sandsynligvis vil bringe en igangværende efterforskning i fare. Hvidvasksekretariatet skal så vidt muligt have direkte adgang til disse oplysninger direkte. Har Hvidvasksekretariatet adgang til disse oplysninger indirekte, giver den enhed eller myndighed, der er i besiddelse af de ønskede oplysninger, disse oplysninger rettidigt.</w:t>
      </w:r>
    </w:p>
    <w:p w14:paraId="63C59726" w14:textId="77777777" w:rsidR="00074750" w:rsidRPr="00796736" w:rsidRDefault="00074750" w:rsidP="00A802A5">
      <w:pPr>
        <w:spacing w:line="360" w:lineRule="auto"/>
        <w:rPr>
          <w:rFonts w:ascii="Times New Roman" w:hAnsi="Times New Roman" w:cs="Times New Roman"/>
          <w:sz w:val="24"/>
          <w:szCs w:val="24"/>
        </w:rPr>
      </w:pPr>
    </w:p>
    <w:p w14:paraId="153EAA48" w14:textId="6C6944D8"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Oplysninger omfattet af stk. 2, nr. 3, udgøres bl.a. af strafferegistre, oplysninger om efterforskninger, oplysninger om indefrysning eller beslaglæggelse af aktiver eller andre efterforskningsmæssige eller midlertidige foranstaltninger, samt oplysninger om domfældelser og konfiskationer.</w:t>
      </w:r>
    </w:p>
    <w:p w14:paraId="6DE6CB75" w14:textId="77777777" w:rsidR="00E86A02" w:rsidRPr="00796736" w:rsidRDefault="00E86A02" w:rsidP="00A802A5">
      <w:pPr>
        <w:spacing w:line="360" w:lineRule="auto"/>
        <w:rPr>
          <w:rFonts w:ascii="Times New Roman" w:hAnsi="Times New Roman" w:cs="Times New Roman"/>
          <w:sz w:val="24"/>
          <w:szCs w:val="24"/>
        </w:rPr>
      </w:pPr>
    </w:p>
    <w:p w14:paraId="4A183772" w14:textId="77777777"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er ny i forhold til gældende ret og vil indebære, at der oplistes eksempler på de retshåndhævende oplysninger, som Hvidvasksekretariatet skal have adgang til så vidt muligt direkte, og hvis indirekte, rettidigt. Efter bestemmelsen vil der være mulighed for at begrænse Hvidvasksekretariatets adgang til retshåndhævende oplysninger ud fra en konkret vurdering, hvis videregivelsen af sådanne oplysninger sandsynligvis vil bringe en igangværende efterforskning i fare.</w:t>
      </w:r>
    </w:p>
    <w:p w14:paraId="7F367873" w14:textId="77777777"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 så vidt angår begrebet »direkte adgang« henvises til bemærkningerne til den foreslåede stk. 4</w:t>
      </w:r>
    </w:p>
    <w:p w14:paraId="591D6BEC" w14:textId="0B3D2C61" w:rsidR="009B79DC"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Hvor Hvidvasksekretariatet har adgang til oplysningerne indirekte forudsættes det, at Hvidvasksekretariatet fastsætter en passende tidsfrist med henblik på at sikre, at oplysningerne oplistet i lovforslagets</w:t>
      </w:r>
      <w:r w:rsidR="005424F4" w:rsidRPr="00796736">
        <w:rPr>
          <w:rFonts w:ascii="Times New Roman" w:hAnsi="Times New Roman" w:cs="Times New Roman"/>
          <w:sz w:val="24"/>
          <w:szCs w:val="24"/>
        </w:rPr>
        <w:fldChar w:fldCharType="begin"/>
      </w:r>
      <w:r w:rsidR="005424F4" w:rsidRPr="00796736">
        <w:rPr>
          <w:rFonts w:ascii="Times New Roman" w:hAnsi="Times New Roman" w:cs="Times New Roman"/>
          <w:sz w:val="24"/>
          <w:szCs w:val="24"/>
        </w:rPr>
        <w:instrText xml:space="preserve"> REF _Ref238544108 \r \h </w:instrText>
      </w:r>
      <w:r w:rsidR="00F375BF" w:rsidRPr="00796736">
        <w:rPr>
          <w:rFonts w:ascii="Times New Roman" w:hAnsi="Times New Roman" w:cs="Times New Roman"/>
          <w:sz w:val="24"/>
          <w:szCs w:val="24"/>
        </w:rPr>
        <w:instrText xml:space="preserve"> \* MERGEFORMAT </w:instrText>
      </w:r>
      <w:r w:rsidR="005424F4" w:rsidRPr="00796736">
        <w:rPr>
          <w:rFonts w:ascii="Times New Roman" w:hAnsi="Times New Roman" w:cs="Times New Roman"/>
          <w:sz w:val="24"/>
          <w:szCs w:val="24"/>
        </w:rPr>
      </w:r>
      <w:r w:rsidR="005424F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5424F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w:t>
      </w:r>
      <w:r w:rsidR="009B79DC" w:rsidRPr="00796736">
        <w:rPr>
          <w:rFonts w:ascii="Times New Roman" w:hAnsi="Times New Roman" w:cs="Times New Roman"/>
          <w:sz w:val="24"/>
          <w:szCs w:val="24"/>
        </w:rPr>
        <w:t>nr. 3, litra a og b, gives til sekretariatet rettidigt.</w:t>
      </w:r>
    </w:p>
    <w:p w14:paraId="1462BDE1" w14:textId="58C210F4" w:rsidR="00E86A02" w:rsidRPr="00796736" w:rsidRDefault="00E86A0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det foreslåede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indsættes en definition af, hvad der forstås ved direkte og umiddelbar adgang. Efter bestemmelsen er adgangen til de oplysninger, der er anført i stk. 1-3, direkte og umiddelbar, når oplysningerne er indeholdt i en IT-database, et register eller et system til dataudtræk, hvorfra Hvidvasksekretariatet kan hente oplysningerne uden mellemliggende skridt, eller hvor følgende betingelser er opfyldt: </w:t>
      </w:r>
    </w:p>
    <w:p w14:paraId="2B1B1B7C" w14:textId="77777777" w:rsidR="00E86A02" w:rsidRPr="00796736" w:rsidRDefault="00E86A02">
      <w:pPr>
        <w:pStyle w:val="Listeafsnit"/>
        <w:numPr>
          <w:ilvl w:val="0"/>
          <w:numId w:val="27"/>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enheder eller myndigheder, der er i besiddelse af oplysningerne, indsender dem hurtigt til Hvidvasksekretariatet. </w:t>
      </w:r>
    </w:p>
    <w:p w14:paraId="49FA271B" w14:textId="77777777" w:rsidR="00E86A02" w:rsidRPr="00796736" w:rsidRDefault="00E86A02">
      <w:pPr>
        <w:pStyle w:val="Listeafsnit"/>
        <w:numPr>
          <w:ilvl w:val="0"/>
          <w:numId w:val="27"/>
        </w:numPr>
        <w:spacing w:line="360" w:lineRule="auto"/>
        <w:rPr>
          <w:rFonts w:ascii="Times New Roman" w:hAnsi="Times New Roman" w:cs="Times New Roman"/>
          <w:sz w:val="24"/>
          <w:szCs w:val="24"/>
        </w:rPr>
      </w:pPr>
      <w:r w:rsidRPr="00796736">
        <w:rPr>
          <w:rFonts w:ascii="Times New Roman" w:hAnsi="Times New Roman" w:cs="Times New Roman"/>
          <w:sz w:val="24"/>
          <w:szCs w:val="24"/>
        </w:rPr>
        <w:t>Ingen enhed, myndighed eller tredjepart er i stand til at gribe ind for så vidt angår de anmodede data eller de oplysninger, der skal gives.</w:t>
      </w:r>
    </w:p>
    <w:p w14:paraId="1CBB2674" w14:textId="77777777" w:rsidR="00E86A02" w:rsidRPr="00796736" w:rsidRDefault="00E86A02" w:rsidP="00A802A5">
      <w:pPr>
        <w:spacing w:line="360" w:lineRule="auto"/>
        <w:rPr>
          <w:rFonts w:ascii="Times New Roman" w:hAnsi="Times New Roman" w:cs="Times New Roman"/>
          <w:sz w:val="24"/>
          <w:szCs w:val="24"/>
        </w:rPr>
      </w:pPr>
    </w:p>
    <w:p w14:paraId="4C4DBADA" w14:textId="51448176" w:rsidR="009B79DC"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fastsætter således rammen for, hvordan Hvidvasksekretariatet skal have adgang til oplysningerne, som oplistes i </w:t>
      </w:r>
      <w:r w:rsidR="00984BD7" w:rsidRPr="00796736">
        <w:rPr>
          <w:rFonts w:ascii="Times New Roman" w:hAnsi="Times New Roman" w:cs="Times New Roman"/>
          <w:sz w:val="24"/>
          <w:szCs w:val="24"/>
        </w:rPr>
        <w:fldChar w:fldCharType="begin"/>
      </w:r>
      <w:r w:rsidR="00984BD7" w:rsidRPr="00796736">
        <w:rPr>
          <w:rFonts w:ascii="Times New Roman" w:hAnsi="Times New Roman" w:cs="Times New Roman"/>
          <w:sz w:val="24"/>
          <w:szCs w:val="24"/>
        </w:rPr>
        <w:instrText xml:space="preserve"> REF _Ref232595704 \r \h </w:instrText>
      </w:r>
      <w:r w:rsidR="00967618" w:rsidRPr="00796736">
        <w:rPr>
          <w:rFonts w:ascii="Times New Roman" w:hAnsi="Times New Roman" w:cs="Times New Roman"/>
          <w:sz w:val="24"/>
          <w:szCs w:val="24"/>
        </w:rPr>
        <w:instrText xml:space="preserve"> \* MERGEFORMAT </w:instrText>
      </w:r>
      <w:r w:rsidR="00984BD7" w:rsidRPr="00796736">
        <w:rPr>
          <w:rFonts w:ascii="Times New Roman" w:hAnsi="Times New Roman" w:cs="Times New Roman"/>
          <w:sz w:val="24"/>
          <w:szCs w:val="24"/>
        </w:rPr>
      </w:r>
      <w:r w:rsidR="00984BD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984BD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1 og 2</w:t>
      </w:r>
      <w:r w:rsidR="009B79DC" w:rsidRPr="00796736">
        <w:rPr>
          <w:rFonts w:ascii="Times New Roman" w:hAnsi="Times New Roman" w:cs="Times New Roman"/>
          <w:sz w:val="24"/>
          <w:szCs w:val="24"/>
        </w:rPr>
        <w:t xml:space="preserve">, og delvist nr. 3. Bestemmelsen skal ses i sammenhæng med den foreslåede stk. 1, hvorefter indehavere af oplysninger omfattet af den foreslåede bestemmelse om nødvendigt indsender disse til Hvidvasksekretariatet. </w:t>
      </w:r>
    </w:p>
    <w:p w14:paraId="03E38B66" w14:textId="625CAF75"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p>
    <w:p w14:paraId="510D66B3" w14:textId="77777777" w:rsidR="009B79DC"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i sammenhæng med præambelbetragtning nr. 70, hvoraf det bl.a. fremgår, at adgang betragtes som direkte og umiddelbar, når oplysningerne er indeholdt i en database, et register eller et elektronisk system til dataudtræk, der gør det muligt for FIU'en at indhente dem direkte gennem en automatisk mekanisme uden inddragelse af en formidler. Hvis oplysningerne opbevares af en anden enhed eller myndighed, indebærer direkte adgang, at disse myndigheder eller enheder videregiver dem til FIU'en hurtigt uden at gribe ind i indholdet af de ønskede data eller de oplysninger, der skal gives. </w:t>
      </w:r>
      <w:r w:rsidR="009B79DC" w:rsidRPr="00796736">
        <w:rPr>
          <w:rFonts w:ascii="Times New Roman" w:hAnsi="Times New Roman" w:cs="Times New Roman"/>
          <w:sz w:val="24"/>
          <w:szCs w:val="24"/>
        </w:rPr>
        <w:t>Oplysningerne bør ikke filtreres. I nogle situationer er det dog muligt, at de fortrolighedskrav, der er knyttet til oplysningerne, ikke tillader videregivelse af oplysningerne på en ufiltreret måde. Dette er f.eks. tilfældet, hvor skatteoplysninger kun kan gives til FIU'er efter aftale med en skattemyndighed i et tredjeland, hvor direkte adgang til retshåndhævelsesoplysninger kunne bringe en igangværende efterforskning i fare, samt i forbindelse med passagerlisteoplysninger indsamlet i henhold til Europa-Parlamentets og Rådets direktiv (EU) 2016/681. I sådanne tilfælde bør medlemsstaterne gøre deres yderste for at sikre, at FIU'erne har effektiv adgang til oplysningerne, herunder ved at give FIU'er mulighed for at få adgang på betingelser svarende til dem, der tilbydes andre myndigheder på nationalt plan for at lette deres analytiske aktiviteter.</w:t>
      </w:r>
    </w:p>
    <w:p w14:paraId="1F63326E" w14:textId="77777777" w:rsidR="00EA2647" w:rsidRDefault="00EA2647" w:rsidP="00A802A5">
      <w:pPr>
        <w:spacing w:line="360" w:lineRule="auto"/>
        <w:rPr>
          <w:rFonts w:ascii="Times New Roman" w:hAnsi="Times New Roman" w:cs="Times New Roman"/>
          <w:sz w:val="24"/>
          <w:szCs w:val="24"/>
        </w:rPr>
      </w:pPr>
    </w:p>
    <w:p w14:paraId="78FC69AA" w14:textId="6FDD8BC0" w:rsidR="00EA2647" w:rsidRPr="00796736" w:rsidRDefault="00EA2647"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Bestemmelsen vil for videregivelsen af PNR-oplysningers vedkommende indebære, at kravene om retskendelse mv. i PNR-loven ikke vil skulle være opfyldt ved videregivelse til Hvidvasksekretariatet. De materielle betingelser for videregivelse i PNR-loven, herunder kravet om streng nødvendighed, vil imidlertid fortsat skulle være opfyldte. </w:t>
      </w:r>
    </w:p>
    <w:p w14:paraId="0A29D445" w14:textId="77777777" w:rsidR="009B79DC" w:rsidRPr="00796736" w:rsidRDefault="009B79DC" w:rsidP="00A802A5">
      <w:pPr>
        <w:spacing w:line="360" w:lineRule="auto"/>
        <w:rPr>
          <w:rFonts w:ascii="Times New Roman" w:hAnsi="Times New Roman" w:cs="Times New Roman"/>
          <w:sz w:val="24"/>
          <w:szCs w:val="24"/>
        </w:rPr>
      </w:pPr>
    </w:p>
    <w:p w14:paraId="59548099" w14:textId="0F1B639A" w:rsidR="00E86A02"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”hurtigt” forstås, at Hvidvasksekretariatet skal modtage oplysningerne tids nok til at kunne varetage den opgave, med henblik på hvilken oplysningen skal indhentes. Dette tidsrum vil variere alt efter oplysningens og opgavens karakter. </w:t>
      </w:r>
    </w:p>
    <w:p w14:paraId="38F03EE4" w14:textId="77777777" w:rsidR="009B79DC" w:rsidRPr="00796736" w:rsidRDefault="009B79DC" w:rsidP="00A802A5">
      <w:pPr>
        <w:spacing w:line="360" w:lineRule="auto"/>
        <w:rPr>
          <w:rFonts w:ascii="Times New Roman" w:hAnsi="Times New Roman" w:cs="Times New Roman"/>
          <w:sz w:val="24"/>
          <w:szCs w:val="24"/>
        </w:rPr>
      </w:pPr>
    </w:p>
    <w:p w14:paraId="19D65476" w14:textId="1D506F9F" w:rsidR="00E86A02" w:rsidRPr="00796736" w:rsidRDefault="00E86A02"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med </w:t>
      </w:r>
      <w:r w:rsidRPr="00796736">
        <w:rPr>
          <w:rFonts w:ascii="Times New Roman" w:eastAsia="Times New Roman" w:hAnsi="Times New Roman" w:cs="Times New Roman"/>
          <w:i/>
          <w:iCs/>
          <w:sz w:val="24"/>
          <w:szCs w:val="24"/>
          <w:lang w:eastAsia="da-DK"/>
        </w:rPr>
        <w:t>stk. 5</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i/>
          <w:iCs/>
          <w:sz w:val="24"/>
          <w:szCs w:val="24"/>
          <w:lang w:eastAsia="da-DK"/>
        </w:rPr>
        <w:t xml:space="preserve"> </w:t>
      </w:r>
      <w:r w:rsidRPr="00796736">
        <w:rPr>
          <w:rFonts w:ascii="Times New Roman" w:eastAsia="Times New Roman" w:hAnsi="Times New Roman" w:cs="Times New Roman"/>
          <w:sz w:val="24"/>
          <w:szCs w:val="24"/>
          <w:lang w:eastAsia="da-DK"/>
        </w:rPr>
        <w:t>at</w:t>
      </w:r>
      <w:r w:rsidRPr="00796736">
        <w:rPr>
          <w:rFonts w:ascii="Times New Roman" w:eastAsia="Times New Roman" w:hAnsi="Times New Roman" w:cs="Times New Roman"/>
          <w:i/>
          <w:iCs/>
          <w:sz w:val="24"/>
          <w:szCs w:val="24"/>
          <w:lang w:eastAsia="da-DK"/>
        </w:rPr>
        <w:t xml:space="preserve"> </w:t>
      </w:r>
      <w:r w:rsidRPr="00796736">
        <w:rPr>
          <w:rFonts w:ascii="Times New Roman" w:eastAsia="Times New Roman" w:hAnsi="Times New Roman" w:cs="Times New Roman"/>
          <w:sz w:val="24"/>
          <w:szCs w:val="24"/>
          <w:lang w:eastAsia="da-DK"/>
        </w:rPr>
        <w:t xml:space="preserve">Hvidvasksekretariatet kan anmode om, indhente og anvende oplysninger fra enhver forpligtet enhed med henblik på at udføre sine opgaver i henhold til denne lovs </w:t>
      </w:r>
      <w:r w:rsidR="00984BD7" w:rsidRPr="00796736">
        <w:rPr>
          <w:rFonts w:ascii="Times New Roman" w:eastAsia="Times New Roman" w:hAnsi="Times New Roman" w:cs="Times New Roman"/>
          <w:sz w:val="24"/>
          <w:szCs w:val="24"/>
          <w:lang w:eastAsia="da-DK"/>
        </w:rPr>
        <w:fldChar w:fldCharType="begin"/>
      </w:r>
      <w:r w:rsidR="00984BD7" w:rsidRPr="00796736">
        <w:rPr>
          <w:rFonts w:ascii="Times New Roman" w:eastAsia="Times New Roman" w:hAnsi="Times New Roman" w:cs="Times New Roman"/>
          <w:sz w:val="24"/>
          <w:szCs w:val="24"/>
          <w:lang w:eastAsia="da-DK"/>
        </w:rPr>
        <w:instrText xml:space="preserve"> REF _Ref232595580 \r \h </w:instrText>
      </w:r>
      <w:r w:rsidR="00967618" w:rsidRPr="00796736">
        <w:rPr>
          <w:rFonts w:ascii="Times New Roman" w:eastAsia="Times New Roman" w:hAnsi="Times New Roman" w:cs="Times New Roman"/>
          <w:sz w:val="24"/>
          <w:szCs w:val="24"/>
          <w:lang w:eastAsia="da-DK"/>
        </w:rPr>
        <w:instrText xml:space="preserve"> \* MERGEFORMAT </w:instrText>
      </w:r>
      <w:r w:rsidR="00984BD7" w:rsidRPr="00796736">
        <w:rPr>
          <w:rFonts w:ascii="Times New Roman" w:eastAsia="Times New Roman" w:hAnsi="Times New Roman" w:cs="Times New Roman"/>
          <w:sz w:val="24"/>
          <w:szCs w:val="24"/>
          <w:lang w:eastAsia="da-DK"/>
        </w:rPr>
      </w:r>
      <w:r w:rsidR="00984BD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00984BD7"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2, selv om der ikke er indgivet en forudgående indberetning i henhold til</w:t>
      </w:r>
      <w:r w:rsidR="009B79DC" w:rsidRPr="00796736">
        <w:rPr>
          <w:rFonts w:ascii="Times New Roman" w:eastAsia="Times New Roman" w:hAnsi="Times New Roman" w:cs="Times New Roman"/>
          <w:sz w:val="24"/>
          <w:szCs w:val="24"/>
          <w:lang w:eastAsia="da-DK"/>
        </w:rPr>
        <w:t xml:space="preserve"> hvidvaskforordningens</w:t>
      </w:r>
      <w:r w:rsidRPr="00796736">
        <w:rPr>
          <w:rFonts w:ascii="Times New Roman" w:eastAsia="Times New Roman" w:hAnsi="Times New Roman" w:cs="Times New Roman"/>
          <w:sz w:val="24"/>
          <w:szCs w:val="24"/>
          <w:lang w:eastAsia="da-DK"/>
        </w:rPr>
        <w:t xml:space="preserve"> artikel 69, stk. 1, første afsnit, litra a, eller artikel 70, stk. 1. </w:t>
      </w:r>
      <w:r w:rsidR="009B79DC" w:rsidRPr="00796736">
        <w:rPr>
          <w:rFonts w:ascii="Times New Roman" w:eastAsia="Times New Roman" w:hAnsi="Times New Roman" w:cs="Times New Roman"/>
          <w:sz w:val="24"/>
          <w:szCs w:val="24"/>
          <w:lang w:eastAsia="da-DK"/>
        </w:rPr>
        <w:t>Advokater</w:t>
      </w:r>
      <w:r w:rsidR="00074750"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er ikke forpligtet til at efterkomme anmodninger om oplysninger i henhold til 1. pkt., når de vedrører oplysninger, der er indhentet i de situationer, der er omhandlet i nævnte forordnings artikel 70, stk. 2.</w:t>
      </w:r>
    </w:p>
    <w:p w14:paraId="4E72F567" w14:textId="77777777" w:rsidR="00E86A02" w:rsidRPr="00796736" w:rsidRDefault="00E86A02" w:rsidP="00A802A5">
      <w:pPr>
        <w:spacing w:line="360" w:lineRule="auto"/>
        <w:rPr>
          <w:rFonts w:ascii="Times New Roman" w:eastAsia="Times New Roman" w:hAnsi="Times New Roman" w:cs="Times New Roman"/>
          <w:sz w:val="24"/>
          <w:szCs w:val="24"/>
          <w:lang w:eastAsia="da-DK"/>
        </w:rPr>
      </w:pPr>
    </w:p>
    <w:p w14:paraId="1513548D" w14:textId="1A2EAB75" w:rsidR="009B79DC" w:rsidRPr="00796736" w:rsidRDefault="009B7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inden for rammerne af sine opgaver har adgang til at anmode om, indhente og anvende oplysninger for forpligtede enheder </w:t>
      </w:r>
      <w:r w:rsidRPr="00796736">
        <w:rPr>
          <w:rFonts w:ascii="Times New Roman" w:eastAsia="Times New Roman" w:hAnsi="Times New Roman" w:cs="Times New Roman"/>
          <w:sz w:val="24"/>
          <w:szCs w:val="24"/>
          <w:lang w:eastAsia="da-DK"/>
        </w:rPr>
        <w:t xml:space="preserve">med henblik på at udføre sine opgaver </w:t>
      </w:r>
      <w:r w:rsidR="00E86A02" w:rsidRPr="00796736">
        <w:rPr>
          <w:rFonts w:ascii="Times New Roman" w:eastAsia="Times New Roman" w:hAnsi="Times New Roman" w:cs="Times New Roman"/>
          <w:sz w:val="24"/>
          <w:szCs w:val="24"/>
          <w:lang w:eastAsia="da-DK"/>
        </w:rPr>
        <w:t xml:space="preserve">efter lovens </w:t>
      </w:r>
      <w:r w:rsidR="00984BD7" w:rsidRPr="00796736">
        <w:rPr>
          <w:rFonts w:ascii="Times New Roman" w:eastAsia="Times New Roman" w:hAnsi="Times New Roman" w:cs="Times New Roman"/>
          <w:sz w:val="24"/>
          <w:szCs w:val="24"/>
          <w:lang w:eastAsia="da-DK"/>
        </w:rPr>
        <w:fldChar w:fldCharType="begin"/>
      </w:r>
      <w:r w:rsidR="00984BD7" w:rsidRPr="00796736">
        <w:rPr>
          <w:rFonts w:ascii="Times New Roman" w:eastAsia="Times New Roman" w:hAnsi="Times New Roman" w:cs="Times New Roman"/>
          <w:sz w:val="24"/>
          <w:szCs w:val="24"/>
          <w:lang w:eastAsia="da-DK"/>
        </w:rPr>
        <w:instrText xml:space="preserve"> REF _Ref232595580 \r \h </w:instrText>
      </w:r>
      <w:r w:rsidR="00967618" w:rsidRPr="00796736">
        <w:rPr>
          <w:rFonts w:ascii="Times New Roman" w:eastAsia="Times New Roman" w:hAnsi="Times New Roman" w:cs="Times New Roman"/>
          <w:sz w:val="24"/>
          <w:szCs w:val="24"/>
          <w:lang w:eastAsia="da-DK"/>
        </w:rPr>
        <w:instrText xml:space="preserve"> \* MERGEFORMAT </w:instrText>
      </w:r>
      <w:r w:rsidR="00984BD7" w:rsidRPr="00796736">
        <w:rPr>
          <w:rFonts w:ascii="Times New Roman" w:eastAsia="Times New Roman" w:hAnsi="Times New Roman" w:cs="Times New Roman"/>
          <w:sz w:val="24"/>
          <w:szCs w:val="24"/>
          <w:lang w:eastAsia="da-DK"/>
        </w:rPr>
      </w:r>
      <w:r w:rsidR="00984BD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00984BD7" w:rsidRPr="00796736">
        <w:rPr>
          <w:rFonts w:ascii="Times New Roman" w:eastAsia="Times New Roman" w:hAnsi="Times New Roman" w:cs="Times New Roman"/>
          <w:sz w:val="24"/>
          <w:szCs w:val="24"/>
          <w:lang w:eastAsia="da-DK"/>
        </w:rPr>
        <w:fldChar w:fldCharType="end"/>
      </w:r>
      <w:r w:rsidR="00E86A02" w:rsidRPr="00796736">
        <w:rPr>
          <w:rFonts w:ascii="Times New Roman" w:eastAsia="Times New Roman" w:hAnsi="Times New Roman" w:cs="Times New Roman"/>
          <w:sz w:val="24"/>
          <w:szCs w:val="24"/>
          <w:lang w:eastAsia="da-DK"/>
        </w:rPr>
        <w:t>, stk. 2</w:t>
      </w:r>
      <w:r w:rsidRPr="00796736">
        <w:rPr>
          <w:rFonts w:ascii="Times New Roman" w:hAnsi="Times New Roman" w:cs="Times New Roman"/>
          <w:sz w:val="24"/>
          <w:szCs w:val="24"/>
        </w:rPr>
        <w:t xml:space="preserve"> Efter den foreslåede bestemmelse tilkommer det Hvidvasksekretariatet at foretage en vurdering af, om betingelserne for videregivelse er opfyldt. Bestemmelsen indebærer således en umiddelbar forpligtelse for de forpligtede enheder til, efter anmodning fra Hvidvasksekretariatet, omgående at give sekretariatet alle nødvendige oplysninger, medmindre forholdet omfattes af det foreslåede 2. pkt.</w:t>
      </w:r>
    </w:p>
    <w:p w14:paraId="4E7E2E97" w14:textId="2290B6CC" w:rsidR="009B79DC" w:rsidRPr="00796736" w:rsidRDefault="009B79D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forudsættes, at Hvidvasksekretariatet i forbindelse med anmodningen om oplysninger fastsætter en passende tidsfrist for opfyldelse af oplysningsforpligtelsen.</w:t>
      </w:r>
    </w:p>
    <w:p w14:paraId="7128D810" w14:textId="142402E6" w:rsidR="009B79DC" w:rsidRPr="00796736" w:rsidRDefault="009B79DC" w:rsidP="00A802A5">
      <w:pPr>
        <w:spacing w:after="240"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t>Advokater er således ikke forpligtet til at efterkomme anmodninger om oplysninger, der er indhentet i de situationer, der er omhandlet i hvidvaskforordningens artikel 70, stk. 2.</w:t>
      </w:r>
      <w:r w:rsidRPr="00796736">
        <w:rPr>
          <w:rFonts w:ascii="Times New Roman" w:hAnsi="Times New Roman" w:cs="Times New Roman"/>
          <w:sz w:val="24"/>
          <w:szCs w:val="24"/>
        </w:rPr>
        <w:t xml:space="preserve"> Ved en »forpligtet enhed« forstås i overensstemmelse med definitionen i hvidvaskdirektivets artikel 2, nr. 4, den fysiske eller juridiske person, der er opført i artikel 3 i hvidvaskforordningen, som ikke er undtaget i henhold til hvidvaskforordningens artikel 4, 5, 6 eller 7. </w:t>
      </w:r>
    </w:p>
    <w:p w14:paraId="33D37413" w14:textId="77777777"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Forordningens artikel 70, stk. 2, er en undtagelse, der gælder for visse kategorier af forpligtede enheders indberetning af mistænkelige transaktioner, herunder notarer og advokater for så vidt angår oplysninger som de modtager fra en kunde, når de f.eks. forsvarer kundens retsstilling m.v. Det følger således af Hvidvaskforordningens artikel 70, stk. 2, at notarer, advokater, andre selvstændige retlige aktører, revisorer, eksterne regnskabskyndige og skatterådgivere undtages fra kravene i hvidvaskforordningens artikel 69, stk. 1 (om indberetning af mistanke til FIU’er), for så vidt som sådanne undtagelser vedrører oplysninger, som disse modtager fra eller indhenter om en kunde, når de vurderer den pågældende kundes retsstilling eller forsvarer eller repræsenterer denne under eller i forbindelse med retssager, herunder rådgiver om indledning eller undgåelse af sådanne retssager, uanset om sådanne oplysninger er modtaget eller indhentet før, under eller efter sådanne retssager. Undtagelsen i første afsnit finder ikke anvendelse, når de deri omhandlede forpligtede enheder: </w:t>
      </w:r>
    </w:p>
    <w:p w14:paraId="5218DDC9" w14:textId="77777777" w:rsidR="00E86A02" w:rsidRPr="00796736" w:rsidRDefault="00E86A02">
      <w:pPr>
        <w:pStyle w:val="Listeafsnit"/>
        <w:numPr>
          <w:ilvl w:val="0"/>
          <w:numId w:val="28"/>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deltager i hvidvask af penge, de underliggende lovovertrædelser eller finansiering af terrorisme </w:t>
      </w:r>
    </w:p>
    <w:p w14:paraId="1F013C8A" w14:textId="77777777" w:rsidR="00E86A02" w:rsidRPr="00796736" w:rsidRDefault="00E86A02">
      <w:pPr>
        <w:pStyle w:val="Listeafsnit"/>
        <w:numPr>
          <w:ilvl w:val="0"/>
          <w:numId w:val="28"/>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yder juridisk rådgivning med henblik på hvidvask af penge, de underliggende lovovertrædelser eller finansiering af terrorisme, eller </w:t>
      </w:r>
    </w:p>
    <w:p w14:paraId="0D7C4FC7" w14:textId="77777777" w:rsidR="00E86A02" w:rsidRPr="00796736" w:rsidRDefault="00E86A02">
      <w:pPr>
        <w:pStyle w:val="Listeafsnit"/>
        <w:numPr>
          <w:ilvl w:val="0"/>
          <w:numId w:val="28"/>
        </w:numPr>
        <w:spacing w:line="360" w:lineRule="auto"/>
        <w:rPr>
          <w:rFonts w:ascii="Times New Roman" w:hAnsi="Times New Roman" w:cs="Times New Roman"/>
          <w:sz w:val="24"/>
          <w:szCs w:val="24"/>
        </w:rPr>
      </w:pPr>
      <w:r w:rsidRPr="00796736">
        <w:rPr>
          <w:rFonts w:ascii="Times New Roman" w:hAnsi="Times New Roman" w:cs="Times New Roman"/>
          <w:sz w:val="24"/>
          <w:szCs w:val="24"/>
        </w:rPr>
        <w:t>har kendskab til, at kunden søger juridisk rådgivning med henblik på hvidvask af penge, de underliggende lovovertrædelser eller finansiering af terrorisme; kendskab eller formål kan udledes af objektive, faktiske forhold.</w:t>
      </w:r>
    </w:p>
    <w:p w14:paraId="750D505E" w14:textId="77777777" w:rsidR="00E86A02" w:rsidRPr="00796736" w:rsidRDefault="00E86A02" w:rsidP="00A802A5">
      <w:pPr>
        <w:spacing w:line="360" w:lineRule="auto"/>
        <w:rPr>
          <w:rFonts w:ascii="Times New Roman" w:hAnsi="Times New Roman" w:cs="Times New Roman"/>
          <w:sz w:val="24"/>
          <w:szCs w:val="24"/>
        </w:rPr>
      </w:pPr>
    </w:p>
    <w:p w14:paraId="1AD12681" w14:textId="09CD611E"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w:t>
      </w:r>
      <w:r w:rsidRPr="00796736">
        <w:rPr>
          <w:rFonts w:ascii="Times New Roman" w:eastAsia="Calibri" w:hAnsi="Times New Roman" w:cs="Times New Roman"/>
          <w:sz w:val="24"/>
          <w:szCs w:val="24"/>
        </w:rPr>
        <w:t xml:space="preserve">hvidvasklovens § 29, stk. 4, dog således at </w:t>
      </w:r>
      <w:r w:rsidRPr="00796736">
        <w:rPr>
          <w:rFonts w:ascii="Times New Roman" w:hAnsi="Times New Roman" w:cs="Times New Roman"/>
          <w:sz w:val="24"/>
          <w:szCs w:val="24"/>
        </w:rPr>
        <w:t xml:space="preserve">der alene henvises til Hvidvasksekretariatet analysefunktion i </w:t>
      </w:r>
      <w:r w:rsidR="00984BD7" w:rsidRPr="00796736">
        <w:rPr>
          <w:rFonts w:ascii="Times New Roman" w:eastAsia="Times New Roman" w:hAnsi="Times New Roman" w:cs="Times New Roman"/>
          <w:sz w:val="24"/>
          <w:szCs w:val="24"/>
          <w:lang w:eastAsia="da-DK"/>
        </w:rPr>
        <w:fldChar w:fldCharType="begin"/>
      </w:r>
      <w:r w:rsidR="00984BD7" w:rsidRPr="00796736">
        <w:rPr>
          <w:rFonts w:ascii="Times New Roman" w:eastAsia="Times New Roman" w:hAnsi="Times New Roman" w:cs="Times New Roman"/>
          <w:sz w:val="24"/>
          <w:szCs w:val="24"/>
          <w:lang w:eastAsia="da-DK"/>
        </w:rPr>
        <w:instrText xml:space="preserve"> REF _Ref232595580 \r \h </w:instrText>
      </w:r>
      <w:r w:rsidR="00967618" w:rsidRPr="00796736">
        <w:rPr>
          <w:rFonts w:ascii="Times New Roman" w:eastAsia="Times New Roman" w:hAnsi="Times New Roman" w:cs="Times New Roman"/>
          <w:sz w:val="24"/>
          <w:szCs w:val="24"/>
          <w:lang w:eastAsia="da-DK"/>
        </w:rPr>
        <w:instrText xml:space="preserve"> \* MERGEFORMAT </w:instrText>
      </w:r>
      <w:r w:rsidR="00984BD7" w:rsidRPr="00796736">
        <w:rPr>
          <w:rFonts w:ascii="Times New Roman" w:eastAsia="Times New Roman" w:hAnsi="Times New Roman" w:cs="Times New Roman"/>
          <w:sz w:val="24"/>
          <w:szCs w:val="24"/>
          <w:lang w:eastAsia="da-DK"/>
        </w:rPr>
      </w:r>
      <w:r w:rsidR="00984BD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00984BD7"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2, nr. 2</w:t>
      </w:r>
      <w:r w:rsidRPr="00796736">
        <w:rPr>
          <w:rFonts w:ascii="Times New Roman" w:hAnsi="Times New Roman" w:cs="Times New Roman"/>
          <w:sz w:val="24"/>
          <w:szCs w:val="24"/>
        </w:rPr>
        <w:t xml:space="preserve">.  </w:t>
      </w:r>
    </w:p>
    <w:p w14:paraId="64BEDC2E" w14:textId="77777777" w:rsidR="00E86A02" w:rsidRPr="00796736" w:rsidRDefault="00E86A02" w:rsidP="00A802A5">
      <w:pPr>
        <w:spacing w:line="360" w:lineRule="auto"/>
        <w:rPr>
          <w:rFonts w:ascii="Times New Roman" w:hAnsi="Times New Roman" w:cs="Times New Roman"/>
          <w:sz w:val="24"/>
          <w:szCs w:val="24"/>
        </w:rPr>
      </w:pPr>
    </w:p>
    <w:p w14:paraId="0911CF32" w14:textId="77777777"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i dag vil Hvidvasksekretariatets behov for at indhente yderligere oplysninger fra forpligtede enheder inden for rammerne af sine opgaver kunne være udløst af en forudgående underretning til Hvidvasksekretariatet, men vil også kunne udløses af andre mekanismer, f.eks. Hvidvasksekretariatets egen undersøgelse, efterretninger fra kompetente myndigheder eller oplysninger fra en anden finansiel efterretningsenhed. Se hertil også bemærkningerne til den gældende bestemmelse i hvidvasklovens § 29, stk. 4, jf. Folketingstidende 2019-20, tillæg A, L 58 som fremsat, side 71.  </w:t>
      </w:r>
    </w:p>
    <w:p w14:paraId="0B4655A8" w14:textId="77777777" w:rsidR="00E86A02" w:rsidRPr="00796736" w:rsidRDefault="00E86A02" w:rsidP="00A802A5">
      <w:pPr>
        <w:spacing w:line="360" w:lineRule="auto"/>
        <w:rPr>
          <w:rFonts w:ascii="Times New Roman" w:hAnsi="Times New Roman" w:cs="Times New Roman"/>
          <w:sz w:val="24"/>
          <w:szCs w:val="24"/>
        </w:rPr>
      </w:pPr>
    </w:p>
    <w:p w14:paraId="72F1A825" w14:textId="77777777" w:rsidR="003F06C7" w:rsidRPr="00796736" w:rsidRDefault="003F06C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Oplysningspligten vil i overensstemmelse med gældende ret ikke finde anvendelse, hvis der foreligger en konkret mistanke om, at en fysisk eller juridisk person har begået en strafbar lovovertrædelse, og oplysningerne søges tilvejebragt til brug for behandlingen af spørgsmålet om fastsættelse af straf, jf. § 10, stk. 2, i lov om retssikkerhed ved forvaltningens anvendelse af tvangsindgreb og oplysningspligter (retssikkerhedsloven). I disse tilfælde skal indhentelsen af oplysninger ligesom i dag ske efter retsplejelovens regler om strafprocessuelle tvangsindgreb, herunder reglerne om ransagning, beslaglæggelse og edition. Retter mistanken sig mod den fysiske eller juridiske person, hos hvem oplysningerne søges tilvejebragt, vil oplysningspligten ikke gælde, medmindre det kan udelukkes, at de oplysninger, som søges tilvejebragt, kan have betydning for bedømmelsen af den formodede lovovertrædelse, jf. retssikkerhedslovens § 10, stk. 1. Hvidvasksekretariatet vil således eksempelvis ikke kunne anvende oplysningspligten over for et pengeinstitut for at sikre beviser til en straffesag mod pengeinstituttet for overtrædelse af hvidvaskloven. Se hertil også bemærkningerne til den gældende bestemmelse i hvidvasklovens § 29, stk. 4, nr. 1, jf. Folketingstidende 2019-20, tillæg A, L 58 som fremsat, side 72.</w:t>
      </w:r>
    </w:p>
    <w:p w14:paraId="4BBFEB82" w14:textId="77777777"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Hvidvasksekretariatets indsamling af oplysninger vil som efter den gældende bestemmelse være underlagt forvaltningslovens § 32 og de almindelige forvaltningsretlige principper om saglighed og proportionalitet samt og for så vidt angår personoplysninger de grundlæggende behandlingsregler og behandlingsprincipper i retshåndhævelsesloven. Som i dag vil lovligheden af Hvidvasksekretariatets behandling af personoplysninger kunne efterprøves af Datatilsynet. Se hertil også bemærkningerne til den gældende bestemmelse i hvidvasklovens § 29, stk. 4, nr. 1, jf. Folketingstidende 2019-20, tillæg A, L 58 som fremsat, side 72.</w:t>
      </w:r>
    </w:p>
    <w:p w14:paraId="1CBAAA41" w14:textId="77777777" w:rsidR="00E86A02" w:rsidRPr="00796736" w:rsidRDefault="00E86A02" w:rsidP="00A802A5">
      <w:pPr>
        <w:spacing w:line="360" w:lineRule="auto"/>
        <w:rPr>
          <w:rFonts w:ascii="Times New Roman" w:hAnsi="Times New Roman" w:cs="Times New Roman"/>
          <w:sz w:val="24"/>
          <w:szCs w:val="24"/>
        </w:rPr>
      </w:pPr>
    </w:p>
    <w:p w14:paraId="402232CA" w14:textId="30CF7A19" w:rsidR="00E86A02" w:rsidRPr="00796736" w:rsidRDefault="00E86A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984BD7" w:rsidRPr="00796736">
        <w:rPr>
          <w:rFonts w:ascii="Times New Roman" w:hAnsi="Times New Roman" w:cs="Times New Roman"/>
          <w:sz w:val="24"/>
          <w:szCs w:val="24"/>
        </w:rPr>
        <w:fldChar w:fldCharType="begin"/>
      </w:r>
      <w:r w:rsidR="00984BD7" w:rsidRPr="00796736">
        <w:rPr>
          <w:rFonts w:ascii="Times New Roman" w:hAnsi="Times New Roman" w:cs="Times New Roman"/>
          <w:sz w:val="24"/>
          <w:szCs w:val="24"/>
        </w:rPr>
        <w:instrText xml:space="preserve"> REF _Ref232595704 \r \h </w:instrText>
      </w:r>
      <w:r w:rsidR="00967618" w:rsidRPr="00796736">
        <w:rPr>
          <w:rFonts w:ascii="Times New Roman" w:hAnsi="Times New Roman" w:cs="Times New Roman"/>
          <w:sz w:val="24"/>
          <w:szCs w:val="24"/>
        </w:rPr>
        <w:instrText xml:space="preserve"> \* MERGEFORMAT </w:instrText>
      </w:r>
      <w:r w:rsidR="00984BD7" w:rsidRPr="00796736">
        <w:rPr>
          <w:rFonts w:ascii="Times New Roman" w:hAnsi="Times New Roman" w:cs="Times New Roman"/>
          <w:sz w:val="24"/>
          <w:szCs w:val="24"/>
        </w:rPr>
      </w:r>
      <w:r w:rsidR="00984BD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984BD7" w:rsidRPr="00796736">
        <w:rPr>
          <w:rFonts w:ascii="Times New Roman" w:hAnsi="Times New Roman" w:cs="Times New Roman"/>
          <w:sz w:val="24"/>
          <w:szCs w:val="24"/>
        </w:rPr>
        <w:fldChar w:fldCharType="end"/>
      </w:r>
      <w:r w:rsidR="00984BD7"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til formål at gennemføre </w:t>
      </w:r>
      <w:r w:rsidR="00183F18" w:rsidRPr="00796736">
        <w:rPr>
          <w:rFonts w:ascii="Times New Roman" w:hAnsi="Times New Roman" w:cs="Times New Roman"/>
          <w:sz w:val="24"/>
          <w:szCs w:val="24"/>
        </w:rPr>
        <w:t>6. hvidvask</w:t>
      </w:r>
      <w:r w:rsidRPr="00796736">
        <w:rPr>
          <w:rFonts w:ascii="Times New Roman" w:hAnsi="Times New Roman" w:cs="Times New Roman"/>
          <w:sz w:val="24"/>
          <w:szCs w:val="24"/>
        </w:rPr>
        <w:t xml:space="preserve">direktivets artikel 21. </w:t>
      </w:r>
    </w:p>
    <w:p w14:paraId="7B034B8B" w14:textId="77777777" w:rsidR="00E86A02" w:rsidRPr="00796736" w:rsidRDefault="00E86A02" w:rsidP="00A802A5">
      <w:pPr>
        <w:spacing w:line="360" w:lineRule="auto"/>
        <w:rPr>
          <w:rFonts w:ascii="Times New Roman" w:hAnsi="Times New Roman" w:cs="Times New Roman"/>
          <w:sz w:val="24"/>
          <w:szCs w:val="24"/>
        </w:rPr>
      </w:pPr>
    </w:p>
    <w:p w14:paraId="25FC7569" w14:textId="6BB1FD8F" w:rsidR="00356C29" w:rsidRPr="00796736" w:rsidRDefault="00E86A02"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henvises i øvrigt til pkt. </w:t>
      </w:r>
      <w:r w:rsidR="008C44D6" w:rsidRPr="00796736">
        <w:rPr>
          <w:rFonts w:ascii="Times New Roman" w:eastAsia="Times New Roman" w:hAnsi="Times New Roman" w:cs="Times New Roman"/>
          <w:sz w:val="24"/>
          <w:szCs w:val="24"/>
          <w:lang w:eastAsia="da-DK"/>
        </w:rPr>
        <w:fldChar w:fldCharType="begin"/>
      </w:r>
      <w:r w:rsidR="008C44D6" w:rsidRPr="00796736">
        <w:rPr>
          <w:rFonts w:ascii="Times New Roman" w:eastAsia="Times New Roman" w:hAnsi="Times New Roman" w:cs="Times New Roman"/>
          <w:sz w:val="24"/>
          <w:szCs w:val="24"/>
          <w:lang w:eastAsia="da-DK"/>
        </w:rPr>
        <w:instrText xml:space="preserve"> REF _Ref232943114 \n \h </w:instrText>
      </w:r>
      <w:r w:rsidR="00967618" w:rsidRPr="00796736">
        <w:rPr>
          <w:rFonts w:ascii="Times New Roman" w:eastAsia="Times New Roman" w:hAnsi="Times New Roman" w:cs="Times New Roman"/>
          <w:sz w:val="24"/>
          <w:szCs w:val="24"/>
          <w:lang w:eastAsia="da-DK"/>
        </w:rPr>
        <w:instrText xml:space="preserve"> \* MERGEFORMAT </w:instrText>
      </w:r>
      <w:r w:rsidR="008C44D6" w:rsidRPr="00796736">
        <w:rPr>
          <w:rFonts w:ascii="Times New Roman" w:eastAsia="Times New Roman" w:hAnsi="Times New Roman" w:cs="Times New Roman"/>
          <w:sz w:val="24"/>
          <w:szCs w:val="24"/>
          <w:lang w:eastAsia="da-DK"/>
        </w:rPr>
      </w:r>
      <w:r w:rsidR="008C44D6"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3.15</w:t>
      </w:r>
      <w:r w:rsidR="008C44D6" w:rsidRPr="00796736">
        <w:rPr>
          <w:rFonts w:ascii="Times New Roman" w:eastAsia="Times New Roman" w:hAnsi="Times New Roman" w:cs="Times New Roman"/>
          <w:sz w:val="24"/>
          <w:szCs w:val="24"/>
          <w:lang w:eastAsia="da-DK"/>
        </w:rPr>
        <w:fldChar w:fldCharType="end"/>
      </w:r>
      <w:r w:rsidR="00183F18"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i lovforslagets almindelige bemærkninger.</w:t>
      </w:r>
    </w:p>
    <w:p w14:paraId="5E750340" w14:textId="77777777" w:rsidR="00BF3BC5" w:rsidRPr="00796736" w:rsidRDefault="00BF3BC5" w:rsidP="00A802A5">
      <w:pPr>
        <w:spacing w:line="360" w:lineRule="auto"/>
        <w:jc w:val="center"/>
        <w:rPr>
          <w:rFonts w:ascii="Times New Roman" w:hAnsi="Times New Roman" w:cs="Times New Roman"/>
          <w:i/>
          <w:iCs/>
          <w:sz w:val="24"/>
          <w:szCs w:val="24"/>
        </w:rPr>
      </w:pPr>
    </w:p>
    <w:p w14:paraId="74C399A4" w14:textId="4CEFBF39" w:rsidR="00BF3BC5" w:rsidRPr="00796736" w:rsidRDefault="00C454BF" w:rsidP="00A802A5">
      <w:pPr>
        <w:pStyle w:val="Undertitel"/>
      </w:pPr>
      <w:bookmarkStart w:id="1898" w:name="_Toc244879313"/>
      <w:bookmarkStart w:id="1899" w:name="_Toc244880838"/>
      <w:r w:rsidRPr="00796736">
        <w:t xml:space="preserve">Til </w:t>
      </w:r>
      <w:r w:rsidR="00161898" w:rsidRPr="00796736">
        <w:fldChar w:fldCharType="begin"/>
      </w:r>
      <w:r w:rsidR="00161898" w:rsidRPr="00796736">
        <w:instrText xml:space="preserve"> REF _Ref232595727 \r \h </w:instrText>
      </w:r>
      <w:r w:rsidR="00967618" w:rsidRPr="00796736">
        <w:instrText xml:space="preserve"> \* MERGEFORMAT </w:instrText>
      </w:r>
      <w:r w:rsidR="00161898" w:rsidRPr="00796736">
        <w:fldChar w:fldCharType="separate"/>
      </w:r>
      <w:r w:rsidR="008F29E5">
        <w:t>§ 17</w:t>
      </w:r>
      <w:bookmarkEnd w:id="1898"/>
      <w:bookmarkEnd w:id="1899"/>
      <w:r w:rsidR="00161898" w:rsidRPr="00796736">
        <w:fldChar w:fldCharType="end"/>
      </w:r>
      <w:r w:rsidR="00161898" w:rsidRPr="00796736">
        <w:t xml:space="preserve"> </w:t>
      </w:r>
    </w:p>
    <w:p w14:paraId="4284B405" w14:textId="77777777" w:rsidR="00074750" w:rsidRPr="00796736" w:rsidRDefault="00074750" w:rsidP="00A802A5">
      <w:pPr>
        <w:spacing w:line="360" w:lineRule="auto"/>
        <w:rPr>
          <w:rFonts w:ascii="Times New Roman" w:hAnsi="Times New Roman" w:cs="Times New Roman"/>
          <w:sz w:val="24"/>
          <w:szCs w:val="24"/>
        </w:rPr>
      </w:pPr>
      <w:bookmarkStart w:id="1900" w:name="_Hlk231287543"/>
      <w:r w:rsidRPr="00796736">
        <w:rPr>
          <w:rFonts w:ascii="Times New Roman" w:hAnsi="Times New Roman" w:cs="Times New Roman"/>
          <w:sz w:val="24"/>
          <w:szCs w:val="24"/>
        </w:rPr>
        <w:t>Det fremgår af forvaltningslovens § 31, stk. 1, at i det omfang en forvaltningsmyndighed er berettiget til at videregive en oplysning, skal myndigheden på begæring af en anden forvaltningsmyndighed videregive oplysningen, hvis den er af betydning for myndighedens virksomhed eller for en afgørelse, som myndigheden skal træffe. Efter stk. 2 finder bestemmelsen i stk. 1 dog ikke anvendelse, hvis videregivelsen påfører myndigheden et merarbejde, der væsentligt overstiger den interesse, den anden myndighed har i at få oplysningerne.</w:t>
      </w:r>
    </w:p>
    <w:p w14:paraId="62D30D3A" w14:textId="77777777" w:rsidR="00074750" w:rsidRPr="00796736" w:rsidRDefault="00074750" w:rsidP="00A802A5">
      <w:pPr>
        <w:spacing w:line="360" w:lineRule="auto"/>
        <w:rPr>
          <w:rFonts w:ascii="Times New Roman" w:hAnsi="Times New Roman" w:cs="Times New Roman"/>
          <w:sz w:val="24"/>
          <w:szCs w:val="24"/>
        </w:rPr>
      </w:pPr>
    </w:p>
    <w:p w14:paraId="1C0DC125" w14:textId="448FFC68"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Hvidvasksekretariatets samarbejde og udveksling af oplysninger med andre kompetente danske myndigheder reguleres i dag i FIU-cirkulærets § 4. </w:t>
      </w:r>
    </w:p>
    <w:p w14:paraId="56B75985" w14:textId="77777777" w:rsidR="00BF3BC5" w:rsidRPr="00796736" w:rsidRDefault="00BF3BC5" w:rsidP="00A802A5">
      <w:pPr>
        <w:spacing w:line="360" w:lineRule="auto"/>
        <w:rPr>
          <w:rFonts w:ascii="Times New Roman" w:hAnsi="Times New Roman" w:cs="Times New Roman"/>
          <w:sz w:val="24"/>
          <w:szCs w:val="24"/>
        </w:rPr>
      </w:pPr>
    </w:p>
    <w:p w14:paraId="52F21C2E" w14:textId="0A8B9A2E" w:rsidR="00BF3BC5" w:rsidRPr="00796736" w:rsidRDefault="00BF3BC5" w:rsidP="00A802A5">
      <w:pPr>
        <w:spacing w:line="360" w:lineRule="auto"/>
        <w:rPr>
          <w:rFonts w:ascii="Times New Roman" w:hAnsi="Times New Roman" w:cs="Times New Roman"/>
          <w:sz w:val="24"/>
          <w:szCs w:val="24"/>
          <w:shd w:val="clear" w:color="auto" w:fill="FFFFFF"/>
        </w:rPr>
      </w:pPr>
      <w:r w:rsidRPr="00796736">
        <w:rPr>
          <w:rFonts w:ascii="Times New Roman" w:hAnsi="Times New Roman" w:cs="Times New Roman"/>
          <w:sz w:val="24"/>
          <w:szCs w:val="24"/>
          <w:shd w:val="clear" w:color="auto" w:fill="FFFFFF"/>
        </w:rPr>
        <w:t>For en nærmere en nærmere beskrivelse af gældende ret henvises til pkt.</w:t>
      </w:r>
      <w:r w:rsidRPr="00796736">
        <w:rPr>
          <w:rFonts w:ascii="Times New Roman" w:hAnsi="Times New Roman" w:cs="Times New Roman"/>
          <w:sz w:val="24"/>
          <w:szCs w:val="24"/>
        </w:rPr>
        <w:br/>
      </w:r>
      <w:r w:rsidR="008C44D6" w:rsidRPr="00796736">
        <w:rPr>
          <w:rFonts w:ascii="Times New Roman" w:hAnsi="Times New Roman" w:cs="Times New Roman"/>
          <w:sz w:val="24"/>
          <w:szCs w:val="24"/>
          <w:shd w:val="clear" w:color="auto" w:fill="FFFFFF"/>
        </w:rPr>
        <w:fldChar w:fldCharType="begin"/>
      </w:r>
      <w:r w:rsidR="008C44D6" w:rsidRPr="00796736">
        <w:rPr>
          <w:rFonts w:ascii="Times New Roman" w:hAnsi="Times New Roman" w:cs="Times New Roman"/>
          <w:sz w:val="24"/>
          <w:szCs w:val="24"/>
          <w:shd w:val="clear" w:color="auto" w:fill="FFFFFF"/>
        </w:rPr>
        <w:instrText xml:space="preserve"> REF _Ref232943126 \n \h </w:instrText>
      </w:r>
      <w:r w:rsidR="00967618" w:rsidRPr="00796736">
        <w:rPr>
          <w:rFonts w:ascii="Times New Roman" w:hAnsi="Times New Roman" w:cs="Times New Roman"/>
          <w:sz w:val="24"/>
          <w:szCs w:val="24"/>
          <w:shd w:val="clear" w:color="auto" w:fill="FFFFFF"/>
        </w:rPr>
        <w:instrText xml:space="preserve"> \* MERGEFORMAT </w:instrText>
      </w:r>
      <w:r w:rsidR="008C44D6" w:rsidRPr="00796736">
        <w:rPr>
          <w:rFonts w:ascii="Times New Roman" w:hAnsi="Times New Roman" w:cs="Times New Roman"/>
          <w:sz w:val="24"/>
          <w:szCs w:val="24"/>
          <w:shd w:val="clear" w:color="auto" w:fill="FFFFFF"/>
        </w:rPr>
      </w:r>
      <w:r w:rsidR="008C44D6" w:rsidRPr="00796736">
        <w:rPr>
          <w:rFonts w:ascii="Times New Roman" w:hAnsi="Times New Roman" w:cs="Times New Roman"/>
          <w:sz w:val="24"/>
          <w:szCs w:val="24"/>
          <w:shd w:val="clear" w:color="auto" w:fill="FFFFFF"/>
        </w:rPr>
        <w:fldChar w:fldCharType="separate"/>
      </w:r>
      <w:r w:rsidR="008F29E5">
        <w:rPr>
          <w:rFonts w:ascii="Times New Roman" w:hAnsi="Times New Roman" w:cs="Times New Roman"/>
          <w:sz w:val="24"/>
          <w:szCs w:val="24"/>
          <w:shd w:val="clear" w:color="auto" w:fill="FFFFFF"/>
        </w:rPr>
        <w:t>3.16.1</w:t>
      </w:r>
      <w:r w:rsidR="008C44D6" w:rsidRPr="00796736">
        <w:rPr>
          <w:rFonts w:ascii="Times New Roman" w:hAnsi="Times New Roman" w:cs="Times New Roman"/>
          <w:sz w:val="24"/>
          <w:szCs w:val="24"/>
          <w:shd w:val="clear" w:color="auto" w:fill="FFFFFF"/>
        </w:rPr>
        <w:fldChar w:fldCharType="end"/>
      </w:r>
      <w:r w:rsidR="008C44D6" w:rsidRPr="00796736">
        <w:rPr>
          <w:rFonts w:ascii="Times New Roman" w:hAnsi="Times New Roman" w:cs="Times New Roman"/>
          <w:sz w:val="24"/>
          <w:szCs w:val="24"/>
          <w:shd w:val="clear" w:color="auto" w:fill="FFFFFF"/>
        </w:rPr>
        <w:t xml:space="preserve"> </w:t>
      </w:r>
      <w:r w:rsidRPr="00796736">
        <w:rPr>
          <w:rFonts w:ascii="Times New Roman" w:hAnsi="Times New Roman" w:cs="Times New Roman"/>
          <w:sz w:val="24"/>
          <w:szCs w:val="24"/>
          <w:shd w:val="clear" w:color="auto" w:fill="FFFFFF"/>
        </w:rPr>
        <w:t>i lovforslagets almindelige bemærkninger.</w:t>
      </w:r>
    </w:p>
    <w:p w14:paraId="58C6FABF" w14:textId="77777777" w:rsidR="00BF3BC5" w:rsidRPr="00796736" w:rsidRDefault="00BF3BC5" w:rsidP="00A802A5">
      <w:pPr>
        <w:spacing w:line="360" w:lineRule="auto"/>
        <w:rPr>
          <w:rFonts w:ascii="Times New Roman" w:hAnsi="Times New Roman" w:cs="Times New Roman"/>
          <w:sz w:val="24"/>
          <w:szCs w:val="24"/>
        </w:rPr>
      </w:pPr>
    </w:p>
    <w:p w14:paraId="14E0CE27" w14:textId="58BC65F9" w:rsidR="002128F7" w:rsidRDefault="00BF3BC5"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bookmarkEnd w:id="1900"/>
      <w:r w:rsidR="00984BD7" w:rsidRPr="00796736">
        <w:rPr>
          <w:rFonts w:ascii="Times New Roman" w:hAnsi="Times New Roman" w:cs="Times New Roman"/>
          <w:i/>
          <w:iCs/>
          <w:sz w:val="24"/>
          <w:szCs w:val="24"/>
        </w:rPr>
        <w:fldChar w:fldCharType="begin"/>
      </w:r>
      <w:r w:rsidR="00984BD7" w:rsidRPr="00796736">
        <w:rPr>
          <w:rFonts w:ascii="Times New Roman" w:hAnsi="Times New Roman" w:cs="Times New Roman"/>
          <w:i/>
          <w:iCs/>
          <w:sz w:val="24"/>
          <w:szCs w:val="24"/>
        </w:rPr>
        <w:instrText xml:space="preserve"> REF _Ref232595727 \r \h  \* MERGEFORMAT </w:instrText>
      </w:r>
      <w:r w:rsidR="00984BD7" w:rsidRPr="00796736">
        <w:rPr>
          <w:rFonts w:ascii="Times New Roman" w:hAnsi="Times New Roman" w:cs="Times New Roman"/>
          <w:i/>
          <w:iCs/>
          <w:sz w:val="24"/>
          <w:szCs w:val="24"/>
        </w:rPr>
      </w:r>
      <w:r w:rsidR="00984BD7"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17</w:t>
      </w:r>
      <w:r w:rsidR="00984BD7"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sz w:val="24"/>
          <w:szCs w:val="24"/>
          <w:lang w:eastAsia="da-DK"/>
        </w:rPr>
        <w:t>Hvidvasksekretariatet rettidigt skal besvare begrundede anmodninger om oplysninger, som er berettiget af bekymringer vedrørende hvidvask af penge, de underliggende lovovertrædelser eller finansiering af terrorisme, fra de nationale kompetente myndigheder, der er omhandlet i artikel 2, stk. 1, nr. 44, litra c og d, i hvidvaskforordningen, hvor de pågældende oplysninger allerede besiddes af Hvidvasksekretariatet og er nødvendige i det enkelte tilfælde, jf. dog stk. 2. Beslutningen om at formidle oplysninger træffes af Hvidvasksekretariatet.</w:t>
      </w:r>
    </w:p>
    <w:p w14:paraId="1A6BC697" w14:textId="77777777" w:rsidR="002128F7" w:rsidRPr="00796736" w:rsidRDefault="002128F7" w:rsidP="00A802A5">
      <w:pPr>
        <w:spacing w:line="360" w:lineRule="auto"/>
        <w:rPr>
          <w:rFonts w:ascii="Times New Roman" w:hAnsi="Times New Roman" w:cs="Times New Roman"/>
          <w:sz w:val="24"/>
          <w:szCs w:val="24"/>
          <w:shd w:val="clear" w:color="auto" w:fill="FFFFFF"/>
        </w:rPr>
      </w:pPr>
    </w:p>
    <w:p w14:paraId="40EC634E" w14:textId="0DB8F0E3" w:rsidR="002128F7" w:rsidRPr="002128F7" w:rsidRDefault="002128F7" w:rsidP="00A802A5">
      <w:pPr>
        <w:spacing w:line="360" w:lineRule="auto"/>
        <w:rPr>
          <w:rFonts w:ascii="Times New Roman" w:hAnsi="Times New Roman" w:cs="Times New Roman"/>
          <w:sz w:val="24"/>
          <w:szCs w:val="24"/>
        </w:rPr>
      </w:pPr>
      <w:r w:rsidRPr="00796736">
        <w:rPr>
          <w:rStyle w:val="markedcontent"/>
          <w:rFonts w:ascii="Times New Roman" w:hAnsi="Times New Roman" w:cs="Times New Roman"/>
          <w:sz w:val="24"/>
          <w:szCs w:val="24"/>
          <w:shd w:val="clear" w:color="auto" w:fill="FFFFFF"/>
        </w:rPr>
        <w:t xml:space="preserve">Med den foreslåede </w:t>
      </w:r>
      <w:r w:rsidRPr="00796736">
        <w:rPr>
          <w:rStyle w:val="markedcontent"/>
          <w:rFonts w:ascii="Times New Roman" w:hAnsi="Times New Roman" w:cs="Times New Roman"/>
          <w:sz w:val="24"/>
          <w:szCs w:val="24"/>
          <w:shd w:val="clear" w:color="auto" w:fill="FFFFFF"/>
        </w:rPr>
        <w:fldChar w:fldCharType="begin"/>
      </w:r>
      <w:r w:rsidRPr="00796736">
        <w:rPr>
          <w:rStyle w:val="markedcontent"/>
          <w:rFonts w:ascii="Times New Roman" w:hAnsi="Times New Roman" w:cs="Times New Roman"/>
          <w:sz w:val="24"/>
          <w:szCs w:val="24"/>
          <w:shd w:val="clear" w:color="auto" w:fill="FFFFFF"/>
        </w:rPr>
        <w:instrText xml:space="preserve"> REF _Ref232595727 \r \h  \* MERGEFORMAT </w:instrText>
      </w:r>
      <w:r w:rsidRPr="00796736">
        <w:rPr>
          <w:rStyle w:val="markedcontent"/>
          <w:rFonts w:ascii="Times New Roman" w:hAnsi="Times New Roman" w:cs="Times New Roman"/>
          <w:sz w:val="24"/>
          <w:szCs w:val="24"/>
          <w:shd w:val="clear" w:color="auto" w:fill="FFFFFF"/>
        </w:rPr>
      </w:r>
      <w:r w:rsidRPr="00796736">
        <w:rPr>
          <w:rStyle w:val="markedcontent"/>
          <w:rFonts w:ascii="Times New Roman" w:hAnsi="Times New Roman" w:cs="Times New Roman"/>
          <w:sz w:val="24"/>
          <w:szCs w:val="24"/>
          <w:shd w:val="clear" w:color="auto" w:fill="FFFFFF"/>
        </w:rPr>
        <w:fldChar w:fldCharType="separate"/>
      </w:r>
      <w:r w:rsidR="008F29E5">
        <w:rPr>
          <w:rStyle w:val="markedcontent"/>
          <w:rFonts w:ascii="Times New Roman" w:hAnsi="Times New Roman" w:cs="Times New Roman"/>
          <w:sz w:val="24"/>
          <w:szCs w:val="24"/>
          <w:shd w:val="clear" w:color="auto" w:fill="FFFFFF"/>
        </w:rPr>
        <w:t>§ 17</w:t>
      </w:r>
      <w:r w:rsidRPr="00796736">
        <w:rPr>
          <w:rStyle w:val="markedcontent"/>
          <w:rFonts w:ascii="Times New Roman" w:hAnsi="Times New Roman" w:cs="Times New Roman"/>
          <w:sz w:val="24"/>
          <w:szCs w:val="24"/>
          <w:shd w:val="clear" w:color="auto" w:fill="FFFFFF"/>
        </w:rPr>
        <w:fldChar w:fldCharType="end"/>
      </w:r>
      <w:r w:rsidRPr="00796736">
        <w:rPr>
          <w:rStyle w:val="markedcontent"/>
          <w:rFonts w:ascii="Times New Roman" w:hAnsi="Times New Roman" w:cs="Times New Roman"/>
          <w:sz w:val="24"/>
          <w:szCs w:val="24"/>
          <w:shd w:val="clear" w:color="auto" w:fill="FFFFFF"/>
        </w:rPr>
        <w:t xml:space="preserve"> lægges op til at videreføre FIU-cirkulærets § 4 med en række tilføjelser. Den foreslåede bestemmelse vil regulere </w:t>
      </w:r>
      <w:bookmarkStart w:id="1901" w:name="_Hlk231291884"/>
      <w:r w:rsidRPr="00796736">
        <w:rPr>
          <w:rStyle w:val="markedcontent"/>
          <w:rFonts w:ascii="Times New Roman" w:hAnsi="Times New Roman" w:cs="Times New Roman"/>
          <w:sz w:val="24"/>
          <w:szCs w:val="24"/>
          <w:shd w:val="clear" w:color="auto" w:fill="FFFFFF"/>
        </w:rPr>
        <w:t>Hvidvasksekretariatets svar på anmodninger om oplysninger fra visse kompetente myndigheder, og de kompetente myndigheders feedback til sekretariatet</w:t>
      </w:r>
      <w:bookmarkEnd w:id="1901"/>
      <w:r w:rsidRPr="00796736">
        <w:rPr>
          <w:rStyle w:val="markedcontent"/>
          <w:rFonts w:ascii="Times New Roman" w:hAnsi="Times New Roman" w:cs="Times New Roman"/>
          <w:sz w:val="24"/>
          <w:szCs w:val="24"/>
          <w:shd w:val="clear" w:color="auto" w:fill="FFFFFF"/>
        </w:rPr>
        <w:t xml:space="preserve">. </w:t>
      </w:r>
    </w:p>
    <w:p w14:paraId="40E8ED41"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42E29F25"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Hvor Hvidvasksekretariatet efter FIU-cirkulærets § 4, stk. 1, i dag kan imødekomme anmodninger om udlevering af oplysninger fra</w:t>
      </w:r>
      <w:r w:rsidRPr="00796736">
        <w:rPr>
          <w:rFonts w:ascii="Times New Roman" w:eastAsia="Times New Roman" w:hAnsi="Times New Roman" w:cs="Times New Roman"/>
          <w:sz w:val="24"/>
          <w:szCs w:val="24"/>
          <w:lang w:eastAsia="da-DK"/>
        </w:rPr>
        <w:t xml:space="preserve"> »andre kompetente myndigheder« vil den foreslåede bestemmelse i overensstemmelse med hvidvaskdirektivets artikel 22, stk. 1, 1. afsnit, alene vedrøre anmodninger fra de kompetente myndigheder, der er omhandlet i </w:t>
      </w:r>
      <w:r w:rsidRPr="00796736">
        <w:rPr>
          <w:rFonts w:ascii="Times New Roman" w:hAnsi="Times New Roman" w:cs="Times New Roman"/>
          <w:sz w:val="24"/>
          <w:szCs w:val="24"/>
        </w:rPr>
        <w:t>hvidvaskforordningens artikel 2, stk. 1, nr. 44, litra c og d.</w:t>
      </w:r>
      <w:r w:rsidRPr="00796736">
        <w:rPr>
          <w:rFonts w:ascii="Times New Roman" w:eastAsia="Times New Roman" w:hAnsi="Times New Roman" w:cs="Times New Roman"/>
          <w:sz w:val="24"/>
          <w:szCs w:val="24"/>
          <w:lang w:eastAsia="da-DK"/>
        </w:rPr>
        <w:t xml:space="preserve"> Ved »kompetent myndighed« efter bestemmelsen skal således efter definitionen i hvidvaskforordningens artikel 2, nr. 44, forstås en offentlig myndighed, der har til opgave at efterforske eller retsforfølge i sager om hvidvask af penge, de underliggende lovovertrædelser eller finansiering af terrorisme, eller som har til opgave at opspore, beslaglægge eller indefryse og konfiskere kriminelle aktiver (litra c) eller en offentlig myndighed, der har fået til ansvar at bekæmpe hvidvask af penge og finansiering af terrorisme (litra d). </w:t>
      </w:r>
    </w:p>
    <w:p w14:paraId="0B0021B1" w14:textId="77777777" w:rsidR="00BF3BC5" w:rsidRPr="00796736" w:rsidRDefault="00BF3BC5" w:rsidP="00A802A5">
      <w:pPr>
        <w:spacing w:line="360" w:lineRule="auto"/>
        <w:rPr>
          <w:rFonts w:ascii="Times New Roman" w:hAnsi="Times New Roman" w:cs="Times New Roman"/>
          <w:sz w:val="24"/>
          <w:szCs w:val="24"/>
        </w:rPr>
      </w:pPr>
    </w:p>
    <w:p w14:paraId="249345DD"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forhold til det nugældende FIU-cirkulærets § 4, stk. 1, foreslås det endvidere tilføjet, at FIU’en skal være i stand til </w:t>
      </w:r>
      <w:r w:rsidRPr="00796736">
        <w:rPr>
          <w:rFonts w:ascii="Times New Roman" w:eastAsia="Times New Roman" w:hAnsi="Times New Roman" w:cs="Times New Roman"/>
          <w:sz w:val="24"/>
          <w:szCs w:val="24"/>
          <w:lang w:eastAsia="da-DK"/>
        </w:rPr>
        <w:t xml:space="preserve">»rettidigt« </w:t>
      </w:r>
      <w:r w:rsidRPr="00796736">
        <w:rPr>
          <w:rFonts w:ascii="Times New Roman" w:hAnsi="Times New Roman" w:cs="Times New Roman"/>
          <w:sz w:val="24"/>
          <w:szCs w:val="24"/>
        </w:rPr>
        <w:t xml:space="preserve">at besvare anmodningen og at anmodningen skal være begrundet. Endvidere vil anmodningen, ligesom i dag skulle være affødt af bekymringer vedrørende hvidvask af penge, de underliggende lovovertrædelser eller finansiering af terrorisme. Derudover foreslås det, at bestemmelsen alene vedrører situationer, hvor de pågældende oplysninger allerede besiddes af FIU’en og er nødvendige i det enkelte tilfælde. </w:t>
      </w:r>
    </w:p>
    <w:p w14:paraId="2434EF07" w14:textId="77777777" w:rsidR="00BF3BC5" w:rsidRPr="00796736" w:rsidRDefault="00BF3BC5" w:rsidP="00A802A5">
      <w:pPr>
        <w:spacing w:line="360" w:lineRule="auto"/>
        <w:rPr>
          <w:rFonts w:ascii="Times New Roman" w:hAnsi="Times New Roman" w:cs="Times New Roman"/>
          <w:sz w:val="24"/>
          <w:szCs w:val="24"/>
        </w:rPr>
      </w:pPr>
    </w:p>
    <w:p w14:paraId="1DC2B32A"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forudsættes, at Hvidvasksekretariatet sikrer, at besvarelsen sker </w:t>
      </w:r>
      <w:r w:rsidRPr="00796736">
        <w:rPr>
          <w:rFonts w:ascii="Times New Roman" w:eastAsia="Times New Roman" w:hAnsi="Times New Roman" w:cs="Times New Roman"/>
          <w:sz w:val="24"/>
          <w:szCs w:val="24"/>
          <w:lang w:eastAsia="da-DK"/>
        </w:rPr>
        <w:t xml:space="preserve">rettidigt. </w:t>
      </w:r>
    </w:p>
    <w:p w14:paraId="51602102" w14:textId="77777777" w:rsidR="00BF3BC5" w:rsidRPr="00796736" w:rsidRDefault="00BF3BC5" w:rsidP="00A802A5">
      <w:pPr>
        <w:spacing w:line="360" w:lineRule="auto"/>
        <w:rPr>
          <w:rFonts w:ascii="Times New Roman" w:hAnsi="Times New Roman" w:cs="Times New Roman"/>
          <w:sz w:val="24"/>
          <w:szCs w:val="24"/>
        </w:rPr>
      </w:pPr>
    </w:p>
    <w:p w14:paraId="72281939" w14:textId="77777777" w:rsidR="0058302B" w:rsidRPr="00971DF9" w:rsidRDefault="0058302B" w:rsidP="00042C24">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ses i lyset af, at det af hvidvaskdirektivets præambelbetragtning nr. 66 bl.a. fremgår, at FIU’er bør kunne formidle oplysninger til kompetente myndigheder, der har til opgave at bekæmpe hvidvask, de underliggende lovovertrædelser og </w:t>
      </w:r>
      <w:r>
        <w:rPr>
          <w:rFonts w:ascii="Times New Roman" w:hAnsi="Times New Roman" w:cs="Times New Roman"/>
          <w:sz w:val="24"/>
          <w:szCs w:val="24"/>
        </w:rPr>
        <w:t>terror</w:t>
      </w:r>
      <w:r w:rsidRPr="00796736">
        <w:rPr>
          <w:rFonts w:ascii="Times New Roman" w:hAnsi="Times New Roman" w:cs="Times New Roman"/>
          <w:sz w:val="24"/>
          <w:szCs w:val="24"/>
        </w:rPr>
        <w:t xml:space="preserve">finansiering. Sådanne myndigheder bør forstås således, at det omfatter myndigheder med en efterforsknings-, retsforfølgnings- eller domstolsfunktion. I de forskellige medlemsstater har andre myndigheder særlige roller i forbindelse med bekæmpelsen af hvidvask af penge, de underliggende lovovertrædelser og finansiering af terrorisme, og FIU’er bør også kunne give dem resultaterne af deres operationelle eller strategiske analyser, hvis de mener, at disse resultater er relevante for deres funktioner. Resultaterne af disse analyser giver meningsfulde efterretninger, der skal anvendes til udvikling af spor i forbindelse med efterforsknings- og retsforfølgningsarbejde. Kilden til rapporten om mistænkelige transaktioner eller aktiviteter bør ikke oplyses i formidlingen. Dette bør dog ikke være til hinder for, at FIU’er formidler relevante oplysninger, herunder f.eks. oplysninger om IBAN-numre, BIC- eller SWIFT-koder. Desuden bør FIU’er kunne dele andre oplysninger, som de er i besiddelse af, herunder efter anmodning fra andre kompetente myndigheder. </w:t>
      </w:r>
      <w:r w:rsidRPr="00971DF9">
        <w:rPr>
          <w:rFonts w:ascii="Times New Roman" w:hAnsi="Times New Roman" w:cs="Times New Roman"/>
          <w:sz w:val="24"/>
          <w:szCs w:val="24"/>
        </w:rPr>
        <w:t xml:space="preserve">Hvidvasksekretariatet vil skulle tage hensyn til, hvordan en afvisning af at give oplysninger kunne påvirke samarbejdet og det bredere mål om at bekæmpe hvidvask, de underliggende lovovertrædelser og </w:t>
      </w:r>
      <w:r>
        <w:rPr>
          <w:rFonts w:ascii="Times New Roman" w:hAnsi="Times New Roman" w:cs="Times New Roman"/>
          <w:sz w:val="24"/>
          <w:szCs w:val="24"/>
        </w:rPr>
        <w:t>terror</w:t>
      </w:r>
      <w:r w:rsidRPr="00971DF9">
        <w:rPr>
          <w:rFonts w:ascii="Times New Roman" w:hAnsi="Times New Roman" w:cs="Times New Roman"/>
          <w:sz w:val="24"/>
          <w:szCs w:val="24"/>
        </w:rPr>
        <w:t>finansiering af terrorisme. Afslag bør begrænses til ekstraordinære omstændigheder, f.eks. når oplysningerne stammer fra en anden FIU, der ikke har givet samtykke til videreformidling heraf, eller hvis Hvidvasksekretariatet har grund til at tro, at oplysningerne ikke vil blive anvendt til formålene med anmodningen. I sådanne tilfælde bør FIU'en begrunde afslaget. En sådan begrundelse kunne omfatte den præcisering at oplysningerne ikke er i FIU'ens besiddelse, eller at der ikke er givet samtykke til videreformidling, jf. herved også præambelbetragtning nr. 66.</w:t>
      </w:r>
    </w:p>
    <w:p w14:paraId="5DD769AF"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2BFE4228" w14:textId="0C2DA270"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overensstemmelse med </w:t>
      </w:r>
      <w:r w:rsidR="009B79DC" w:rsidRPr="00796736">
        <w:rPr>
          <w:rFonts w:ascii="Times New Roman" w:hAnsi="Times New Roman" w:cs="Times New Roman"/>
          <w:sz w:val="24"/>
          <w:szCs w:val="24"/>
        </w:rPr>
        <w:t xml:space="preserve">det nugældende </w:t>
      </w:r>
      <w:r w:rsidRPr="00796736">
        <w:rPr>
          <w:rFonts w:ascii="Times New Roman" w:hAnsi="Times New Roman" w:cs="Times New Roman"/>
          <w:sz w:val="24"/>
          <w:szCs w:val="24"/>
        </w:rPr>
        <w:t>FIU-cirkulærets § 4, stk. 1, vil Hvidvasksekretariatets besvarelse af en anmodning om oplysninger efter den foreslåede bestemmelse fortsat skulle være i overensstemmelse med gældende ret, herunder databeskyttelsesreglerne.</w:t>
      </w:r>
    </w:p>
    <w:p w14:paraId="543CBB5E"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63642060" w14:textId="77777777" w:rsidR="00074750" w:rsidRPr="00796736" w:rsidRDefault="00074750" w:rsidP="00A802A5">
      <w:pPr>
        <w:spacing w:line="360" w:lineRule="auto"/>
        <w:rPr>
          <w:rFonts w:ascii="Times New Roman" w:eastAsia="Times New Roman" w:hAnsi="Times New Roman" w:cs="Times New Roman"/>
          <w:sz w:val="24"/>
          <w:szCs w:val="24"/>
          <w:lang w:eastAsia="da-DK"/>
        </w:rPr>
      </w:pPr>
      <w:bookmarkStart w:id="1902" w:name="_Hlk225403980"/>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xml:space="preserve"> at er der faktuelle årsager til at antage, at videregivelse af oplysninger efter stk. 1 vil få en negativ indvirkning på igangværende efterforskninger eller analyser, eller i særlige tilfælde, hvor videregivelse af oplysningerne vil stå i klart misforhold til en fysisk eller juridisk persons legitime interesser eller være irrelevant i forhold til formålet med anmodningen, er Hvidvasksekretariatet ikke forpligtet til at imødekomme anmodningen om oplysninger. I sådanne tilfælde giver Hvidvasksekretariatet den anmodende myndighed en skriftlig begrundelse herfor.</w:t>
      </w:r>
    </w:p>
    <w:p w14:paraId="7255E007"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63806134"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Hvor det i FIU-cirkulærets § 4, stk. 2, fremgår, at Hvidvasksekretariatet kan meddele afslag på anmodninger om udlevering af oplysninger »i overensstemmelse med gældende ret, herunder reglerne i databeskyttelseslovgivningen«, vil den foreslåede bestemmelse indebære, at Hvidvasksekretariatet vil være </w:t>
      </w:r>
      <w:r w:rsidRPr="00796736">
        <w:rPr>
          <w:rFonts w:ascii="Times New Roman" w:eastAsia="Times New Roman" w:hAnsi="Times New Roman" w:cs="Times New Roman"/>
          <w:sz w:val="24"/>
          <w:szCs w:val="24"/>
          <w:lang w:eastAsia="da-DK"/>
        </w:rPr>
        <w:t>forpligtet til at imødekomme anmodningen om oplysninger, medmindre der er faktuelle årsager til at antage, at videregivelse af oplysninger efter stk. 1 vil få en negativ indvirkning på igangværende efterforskninger eller analyser, eller i særlige tilfælde, hvor videregivelse af oplysningerne vil stå i klart misforhold til en fysisk eller juridisk persons legitime interesser eller være irrelevant i forhold til formålet med anmodningen.</w:t>
      </w:r>
    </w:p>
    <w:p w14:paraId="4F1E010D"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04658AF1" w14:textId="77777777" w:rsidR="00074750" w:rsidRPr="00796736" w:rsidRDefault="0007475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Som noget nyt i forhold til gældende ret skal Hvidvasksekretariatet, hvis sekretariatet ikke imødekommer en anmodning om oplysninger, give den anmodende myndighed en skriftlig begrundelse herfor. Det forudsættes, at forvaltningslovens § 24, stk. 3, vil finde anvendelse for sådanne afslag på anmodninger, hvilket vil indebære, at Hvidvasksekretariatet vil have mulighed for, at begrundelsens indhold kan begrænses i det omfang, hvori oplysninger kan undtages fra aktindsigt efter forvaltningslovens §§ 15-15 b. </w:t>
      </w:r>
    </w:p>
    <w:p w14:paraId="246FBDFF"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6DD8B102"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t xml:space="preserve">Den foreslåede bestemmelse skal ses i lyset af, at det af </w:t>
      </w:r>
      <w:r w:rsidRPr="00796736">
        <w:rPr>
          <w:rFonts w:ascii="Times New Roman" w:hAnsi="Times New Roman" w:cs="Times New Roman"/>
          <w:sz w:val="24"/>
          <w:szCs w:val="24"/>
        </w:rPr>
        <w:t>hvidvaskdirektivets præambelbetragtning nr. 66 fremgår bl.a., at når FIU’erne udøver deres selvstændighed og uafhængighed, bør de tage hensyn til, hvordan en afvisning af at give oplysninger kunne påvirke samarbejdet og det bredere mål om at bekæmpe hvidvask af penge, de underliggende lovovertrædelser og finansiering af terrorisme. Afslag bør begrænses til ekstraordinære omstændigheder, f.eks. når oplysningerne stammer fra en anden FIU, der ikke har givet samtykke til videreformidling heraf, eller hvis FIU’en har grund til at tro, at oplysningerne ikke vil blive anvendt til formålene med anmodningen. I sådanne tilfælde bør FIU’en begrunde afslaget. En sådan begrundelse kunne omfatte den præcisering at oplysningerne ikke er i FIU’ens besiddelse, eller at der ikke er givet samtykke til videreformidling.</w:t>
      </w:r>
    </w:p>
    <w:p w14:paraId="2D0B7D9C"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2CDE8218" w14:textId="2B975A72"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overensstemmelse med</w:t>
      </w:r>
      <w:r w:rsidR="009B79DC" w:rsidRPr="00796736">
        <w:rPr>
          <w:rFonts w:ascii="Times New Roman" w:hAnsi="Times New Roman" w:cs="Times New Roman"/>
          <w:sz w:val="24"/>
          <w:szCs w:val="24"/>
        </w:rPr>
        <w:t xml:space="preserve"> det nugældende</w:t>
      </w:r>
      <w:r w:rsidRPr="00796736">
        <w:rPr>
          <w:rFonts w:ascii="Times New Roman" w:hAnsi="Times New Roman" w:cs="Times New Roman"/>
          <w:sz w:val="24"/>
          <w:szCs w:val="24"/>
        </w:rPr>
        <w:t xml:space="preserve"> FIU-cirkulærets § 4, stk. 2, vil Hvidvasksekretariatets meddelelse af et afslag på en anmodning om oplysninger efter den foreslåede bestemmelse fortsat skulle være i overensstemmelse med gældende ret, herunder databeskyttelsesreglerne.</w:t>
      </w:r>
    </w:p>
    <w:bookmarkEnd w:id="1902"/>
    <w:p w14:paraId="6F31A3F0" w14:textId="77777777" w:rsidR="00BF3BC5" w:rsidRPr="00796736" w:rsidRDefault="00BF3BC5" w:rsidP="00A802A5">
      <w:pPr>
        <w:spacing w:line="360" w:lineRule="auto"/>
        <w:rPr>
          <w:rFonts w:ascii="Times New Roman" w:hAnsi="Times New Roman" w:cs="Times New Roman"/>
          <w:sz w:val="24"/>
          <w:szCs w:val="24"/>
          <w:highlight w:val="cyan"/>
        </w:rPr>
      </w:pPr>
    </w:p>
    <w:p w14:paraId="44842D39" w14:textId="48FFE280" w:rsidR="009B79DC" w:rsidRPr="00796736" w:rsidRDefault="009B79DC"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foreslås i</w:t>
      </w:r>
      <w:r w:rsidRPr="00796736">
        <w:rPr>
          <w:rFonts w:ascii="Times New Roman" w:eastAsia="Times New Roman" w:hAnsi="Times New Roman" w:cs="Times New Roman"/>
          <w:i/>
          <w:iCs/>
          <w:sz w:val="24"/>
          <w:szCs w:val="24"/>
          <w:lang w:eastAsia="da-DK"/>
        </w:rPr>
        <w:t xml:space="preserve"> stk. 3</w:t>
      </w:r>
      <w:r w:rsidRPr="00796736">
        <w:rPr>
          <w:rFonts w:ascii="Times New Roman" w:eastAsia="Times New Roman" w:hAnsi="Times New Roman" w:cs="Times New Roman"/>
          <w:sz w:val="24"/>
          <w:szCs w:val="24"/>
          <w:lang w:eastAsia="da-DK"/>
        </w:rPr>
        <w:t xml:space="preserve">, at de nationale kompetente myndigheder nævnt i stk. 1 giver Hvidvasksekretariatet feedback om anvendelsen og nytteværdien af de oplysninger, der er videregivet i overensstemmelse med stk. 1 og 2 samt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_Ref239689279 \r \h </w:instrText>
      </w:r>
      <w:r w:rsidR="00F375BF"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stk. 2, om resultatet af de foranstaltninger, der er truffet, og om de efterforskninger, der er udført på grundlag af de pågældende oplysninger. En sådan feedback gives så hurtigt som muligt og under alle omstændigheder mindst én gang om året i sammenfattet form på en sådan måde, at Hvidvasksekretariatet kan forbedre sin operationelle analysefunktion. </w:t>
      </w:r>
    </w:p>
    <w:p w14:paraId="504A0ACD"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438D2AF2" w14:textId="0EE5FE55"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med en række tilføjelser til FIU-cirkulærets § 4, stk. 3. Hvor det efter FIU-cirkulærets § 4, stk. 3, fremgår, at Hvidvasksekretariatet indhenter feedback fra de kompetente danske myndigheder vedrørende </w:t>
      </w:r>
      <w:r w:rsidRPr="00796736">
        <w:rPr>
          <w:rFonts w:ascii="Times New Roman" w:eastAsia="Times New Roman" w:hAnsi="Times New Roman" w:cs="Times New Roman"/>
          <w:sz w:val="24"/>
          <w:szCs w:val="24"/>
          <w:lang w:eastAsia="da-DK"/>
        </w:rPr>
        <w:t>»</w:t>
      </w:r>
      <w:r w:rsidRPr="00796736">
        <w:rPr>
          <w:rFonts w:ascii="Times New Roman" w:hAnsi="Times New Roman" w:cs="Times New Roman"/>
          <w:sz w:val="24"/>
          <w:szCs w:val="24"/>
        </w:rPr>
        <w:t>anvendeligheden af og opfølgningen på oplysninger fra underretninger</w:t>
      </w:r>
      <w:r w:rsidRPr="00796736">
        <w:rPr>
          <w:rFonts w:ascii="Times New Roman" w:eastAsia="Times New Roman" w:hAnsi="Times New Roman" w:cs="Times New Roman"/>
          <w:sz w:val="24"/>
          <w:szCs w:val="24"/>
          <w:lang w:eastAsia="da-DK"/>
        </w:rPr>
        <w:t xml:space="preserve">« foreslås det med den nye bestemmelse i overensstemmelse med hvidvaskdirektivets artikel 22, stk. 2, at </w:t>
      </w:r>
      <w:r w:rsidR="009B79DC" w:rsidRPr="00796736">
        <w:rPr>
          <w:rFonts w:ascii="Times New Roman" w:eastAsia="Times New Roman" w:hAnsi="Times New Roman" w:cs="Times New Roman"/>
          <w:sz w:val="24"/>
          <w:szCs w:val="24"/>
          <w:lang w:eastAsia="da-DK"/>
        </w:rPr>
        <w:t xml:space="preserve">de nationale kompetente myndigheder nævnt i stk. 1 </w:t>
      </w:r>
      <w:r w:rsidRPr="00796736">
        <w:rPr>
          <w:rFonts w:ascii="Times New Roman" w:eastAsia="Times New Roman" w:hAnsi="Times New Roman" w:cs="Times New Roman"/>
          <w:sz w:val="24"/>
          <w:szCs w:val="24"/>
          <w:lang w:eastAsia="da-DK"/>
        </w:rPr>
        <w:t xml:space="preserve">giver feedback om anvendelsen og nytteværdien af de oplysninger, der er videregivet i overensstemmelse med denne bestemmelse og </w:t>
      </w:r>
      <w:r w:rsidR="00984BD7" w:rsidRPr="00796736">
        <w:rPr>
          <w:rFonts w:ascii="Times New Roman" w:eastAsia="Times New Roman" w:hAnsi="Times New Roman" w:cs="Times New Roman"/>
          <w:sz w:val="24"/>
          <w:szCs w:val="24"/>
          <w:lang w:eastAsia="da-DK"/>
        </w:rPr>
        <w:fldChar w:fldCharType="begin"/>
      </w:r>
      <w:r w:rsidR="00984BD7" w:rsidRPr="00796736">
        <w:rPr>
          <w:rFonts w:ascii="Times New Roman" w:eastAsia="Times New Roman" w:hAnsi="Times New Roman" w:cs="Times New Roman"/>
          <w:sz w:val="24"/>
          <w:szCs w:val="24"/>
          <w:lang w:eastAsia="da-DK"/>
        </w:rPr>
        <w:instrText xml:space="preserve"> REF _Ref232595580 \r \h </w:instrText>
      </w:r>
      <w:r w:rsidR="00967618" w:rsidRPr="00796736">
        <w:rPr>
          <w:rFonts w:ascii="Times New Roman" w:eastAsia="Times New Roman" w:hAnsi="Times New Roman" w:cs="Times New Roman"/>
          <w:sz w:val="24"/>
          <w:szCs w:val="24"/>
          <w:lang w:eastAsia="da-DK"/>
        </w:rPr>
        <w:instrText xml:space="preserve"> \* MERGEFORMAT </w:instrText>
      </w:r>
      <w:r w:rsidR="00984BD7" w:rsidRPr="00796736">
        <w:rPr>
          <w:rFonts w:ascii="Times New Roman" w:eastAsia="Times New Roman" w:hAnsi="Times New Roman" w:cs="Times New Roman"/>
          <w:sz w:val="24"/>
          <w:szCs w:val="24"/>
          <w:lang w:eastAsia="da-DK"/>
        </w:rPr>
      </w:r>
      <w:r w:rsidR="00984BD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00984BD7"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stk. 2, nr. 2, og om resultatet af de foranstaltninger, der er truffet, og de efterforskninger, der er udført på grundlag af de pågældende oplysninger. Efter den foreslåede bestemmelse skal der bl.a. således gives feedback ikke kun om anvendelsen, men også nytteværdien af oplysningerne. </w:t>
      </w:r>
    </w:p>
    <w:p w14:paraId="19B562E7"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p>
    <w:p w14:paraId="5E9FFB5A"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Hvor det efter FIU-cirkulærets § 4, stk. 3, er Hvidvasksekretariatet der </w:t>
      </w:r>
      <w:r w:rsidRPr="00796736">
        <w:rPr>
          <w:rFonts w:ascii="Times New Roman" w:eastAsia="Times New Roman" w:hAnsi="Times New Roman" w:cs="Times New Roman"/>
          <w:sz w:val="24"/>
          <w:szCs w:val="24"/>
          <w:lang w:eastAsia="da-DK"/>
        </w:rPr>
        <w:t xml:space="preserve">»så vidt muligt« </w:t>
      </w:r>
      <w:r w:rsidRPr="00796736">
        <w:rPr>
          <w:rFonts w:ascii="Times New Roman" w:hAnsi="Times New Roman" w:cs="Times New Roman"/>
          <w:sz w:val="24"/>
          <w:szCs w:val="24"/>
        </w:rPr>
        <w:t xml:space="preserve">indhenter feedbacken, foreslås det nu i overensstemmelse med hvidvaskdirektivets artikel 22, stk. 2, at det er de kompetente myndigheder selv, der er ansvarlige for at give Hvidvasksekretariatet feedback. Endvidere foreslås det tilføjet, at feedbacken skal gives så hurtigt som muligt og i sammenfattende form mindst én gang om året. </w:t>
      </w:r>
    </w:p>
    <w:p w14:paraId="3A7A97D1" w14:textId="77777777" w:rsidR="00BF3BC5" w:rsidRPr="00796736" w:rsidRDefault="00BF3BC5" w:rsidP="00A802A5">
      <w:pPr>
        <w:spacing w:line="360" w:lineRule="auto"/>
        <w:rPr>
          <w:rFonts w:ascii="Times New Roman" w:hAnsi="Times New Roman" w:cs="Times New Roman"/>
          <w:sz w:val="24"/>
          <w:szCs w:val="24"/>
        </w:rPr>
      </w:pPr>
    </w:p>
    <w:p w14:paraId="0C1F0AE4" w14:textId="77777777" w:rsidR="00BF3BC5" w:rsidRPr="00796736" w:rsidRDefault="00BF3BC5"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Ved »kompetent myndighed« efter bestemmelsen skal efter definitionen i hvidvaskforordningens artikel 2, nr. 44, og i sammenhæng med afgrænsningen i stk. 1, forstås en offentlig myndighed, der har til opgave at efterforske eller retsforfølge i sager om hvidvask af penge, de underliggende lovovertrædelser eller finansiering af terrorisme, eller som har til opgave at opspore, beslaglægge eller indefryse og konfiskere kriminelle aktiver (litra c) eller en offentlig myndighed, der har fået til ansvar at bekæmpe hvidvask af penge og finansiering af terrorisme (litra d). Efter den foreslåede bestemmelse vil det alene være disse kompetente myndigheder, der er forpligtet til at give Hvidvasksekretariatet feedback.</w:t>
      </w:r>
    </w:p>
    <w:p w14:paraId="1DF177C4" w14:textId="77777777" w:rsidR="00BF3BC5" w:rsidRPr="00796736" w:rsidRDefault="00BF3BC5" w:rsidP="00A802A5">
      <w:pPr>
        <w:spacing w:line="360" w:lineRule="auto"/>
        <w:rPr>
          <w:rFonts w:ascii="Times New Roman" w:hAnsi="Times New Roman" w:cs="Times New Roman"/>
          <w:sz w:val="24"/>
          <w:szCs w:val="24"/>
        </w:rPr>
      </w:pPr>
    </w:p>
    <w:p w14:paraId="538C50C0"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ses i lyset af, at feedbacken har til formål at sikre, at Hvidvasksekretariatets operationelle analysefunktion forbedres, og at sekretariatet kan dække de kompetente retshåndhævende myndigheders behov. </w:t>
      </w:r>
    </w:p>
    <w:p w14:paraId="4902B895" w14:textId="77777777" w:rsidR="00BF3BC5" w:rsidRPr="00796736" w:rsidRDefault="00BF3BC5" w:rsidP="00A802A5">
      <w:pPr>
        <w:spacing w:line="360" w:lineRule="auto"/>
        <w:rPr>
          <w:rFonts w:ascii="Times New Roman" w:hAnsi="Times New Roman" w:cs="Times New Roman"/>
          <w:sz w:val="24"/>
          <w:szCs w:val="24"/>
        </w:rPr>
      </w:pPr>
    </w:p>
    <w:p w14:paraId="086FF603" w14:textId="68EC5818" w:rsidR="00BF3BC5" w:rsidRPr="00796736" w:rsidRDefault="00BF3BC5" w:rsidP="00A802A5">
      <w:pPr>
        <w:spacing w:line="360" w:lineRule="auto"/>
        <w:rPr>
          <w:rFonts w:ascii="Times New Roman" w:hAnsi="Times New Roman" w:cs="Times New Roman"/>
          <w:sz w:val="24"/>
          <w:szCs w:val="24"/>
        </w:rPr>
      </w:pPr>
      <w:bookmarkStart w:id="1903" w:name="_Hlk231291755"/>
      <w:r w:rsidRPr="00796736">
        <w:rPr>
          <w:rFonts w:ascii="Times New Roman" w:hAnsi="Times New Roman" w:cs="Times New Roman"/>
          <w:sz w:val="24"/>
          <w:szCs w:val="24"/>
        </w:rPr>
        <w:t xml:space="preserve">For så vidt angår fremlæggelse af oplysninger for tilsynsorganer henvises der til bemærkningerne til </w:t>
      </w:r>
      <w:r w:rsidR="00984BD7" w:rsidRPr="00796736">
        <w:rPr>
          <w:rFonts w:ascii="Times New Roman" w:hAnsi="Times New Roman" w:cs="Times New Roman"/>
          <w:sz w:val="24"/>
          <w:szCs w:val="24"/>
        </w:rPr>
        <w:fldChar w:fldCharType="begin"/>
      </w:r>
      <w:r w:rsidR="00984BD7" w:rsidRPr="00796736">
        <w:rPr>
          <w:rFonts w:ascii="Times New Roman" w:hAnsi="Times New Roman" w:cs="Times New Roman"/>
          <w:sz w:val="24"/>
          <w:szCs w:val="24"/>
        </w:rPr>
        <w:instrText xml:space="preserve"> REF _Ref232595750 \r \h </w:instrText>
      </w:r>
      <w:r w:rsidR="00967618" w:rsidRPr="00796736">
        <w:rPr>
          <w:rFonts w:ascii="Times New Roman" w:hAnsi="Times New Roman" w:cs="Times New Roman"/>
          <w:sz w:val="24"/>
          <w:szCs w:val="24"/>
        </w:rPr>
        <w:instrText xml:space="preserve"> \* MERGEFORMAT </w:instrText>
      </w:r>
      <w:r w:rsidR="00984BD7" w:rsidRPr="00796736">
        <w:rPr>
          <w:rFonts w:ascii="Times New Roman" w:hAnsi="Times New Roman" w:cs="Times New Roman"/>
          <w:sz w:val="24"/>
          <w:szCs w:val="24"/>
        </w:rPr>
      </w:r>
      <w:r w:rsidR="00984BD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18</w:t>
      </w:r>
      <w:r w:rsidR="00984BD7" w:rsidRPr="00796736">
        <w:rPr>
          <w:rFonts w:ascii="Times New Roman" w:hAnsi="Times New Roman" w:cs="Times New Roman"/>
          <w:sz w:val="24"/>
          <w:szCs w:val="24"/>
        </w:rPr>
        <w:fldChar w:fldCharType="end"/>
      </w:r>
      <w:r w:rsidR="00984BD7"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pkt. </w:t>
      </w:r>
      <w:r w:rsidR="00B93B86" w:rsidRPr="00796736">
        <w:rPr>
          <w:rFonts w:ascii="Times New Roman" w:hAnsi="Times New Roman" w:cs="Times New Roman"/>
          <w:sz w:val="24"/>
          <w:szCs w:val="24"/>
        </w:rPr>
        <w:fldChar w:fldCharType="begin"/>
      </w:r>
      <w:r w:rsidR="00B93B86" w:rsidRPr="00796736">
        <w:rPr>
          <w:rFonts w:ascii="Times New Roman" w:hAnsi="Times New Roman" w:cs="Times New Roman"/>
          <w:sz w:val="24"/>
          <w:szCs w:val="24"/>
        </w:rPr>
        <w:instrText xml:space="preserve"> REF _Ref232943185 \n \h </w:instrText>
      </w:r>
      <w:r w:rsidR="00967618" w:rsidRPr="00796736">
        <w:rPr>
          <w:rFonts w:ascii="Times New Roman" w:hAnsi="Times New Roman" w:cs="Times New Roman"/>
          <w:sz w:val="24"/>
          <w:szCs w:val="24"/>
        </w:rPr>
        <w:instrText xml:space="preserve"> \* MERGEFORMAT </w:instrText>
      </w:r>
      <w:r w:rsidR="00B93B86" w:rsidRPr="00796736">
        <w:rPr>
          <w:rFonts w:ascii="Times New Roman" w:hAnsi="Times New Roman" w:cs="Times New Roman"/>
          <w:sz w:val="24"/>
          <w:szCs w:val="24"/>
        </w:rPr>
      </w:r>
      <w:r w:rsidR="00B93B8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3.17</w:t>
      </w:r>
      <w:r w:rsidR="00B93B86"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lovforslagets almindelige bemærkninger. </w:t>
      </w:r>
    </w:p>
    <w:bookmarkEnd w:id="1903"/>
    <w:p w14:paraId="4A3D8850" w14:textId="77777777" w:rsidR="00BF3BC5" w:rsidRPr="00796736" w:rsidRDefault="00BF3BC5" w:rsidP="00A802A5">
      <w:pPr>
        <w:spacing w:line="360" w:lineRule="auto"/>
        <w:rPr>
          <w:rFonts w:ascii="Times New Roman" w:hAnsi="Times New Roman" w:cs="Times New Roman"/>
          <w:sz w:val="24"/>
          <w:szCs w:val="24"/>
        </w:rPr>
      </w:pPr>
    </w:p>
    <w:p w14:paraId="35A339E2" w14:textId="5A153BF2"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984BD7" w:rsidRPr="00796736">
        <w:rPr>
          <w:rFonts w:ascii="Times New Roman" w:hAnsi="Times New Roman" w:cs="Times New Roman"/>
          <w:sz w:val="24"/>
          <w:szCs w:val="24"/>
        </w:rPr>
        <w:fldChar w:fldCharType="begin"/>
      </w:r>
      <w:r w:rsidR="00984BD7" w:rsidRPr="00796736">
        <w:rPr>
          <w:rFonts w:ascii="Times New Roman" w:hAnsi="Times New Roman" w:cs="Times New Roman"/>
          <w:sz w:val="24"/>
          <w:szCs w:val="24"/>
        </w:rPr>
        <w:instrText xml:space="preserve"> REF _Ref232595727 \r \h  \* MERGEFORMAT </w:instrText>
      </w:r>
      <w:r w:rsidR="00984BD7" w:rsidRPr="00796736">
        <w:rPr>
          <w:rFonts w:ascii="Times New Roman" w:hAnsi="Times New Roman" w:cs="Times New Roman"/>
          <w:sz w:val="24"/>
          <w:szCs w:val="24"/>
        </w:rPr>
      </w:r>
      <w:r w:rsidR="00984BD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00984BD7" w:rsidRPr="00796736">
        <w:rPr>
          <w:rFonts w:ascii="Times New Roman" w:hAnsi="Times New Roman" w:cs="Times New Roman"/>
          <w:sz w:val="24"/>
          <w:szCs w:val="24"/>
        </w:rPr>
        <w:fldChar w:fldCharType="end"/>
      </w:r>
      <w:r w:rsidR="00984BD7"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 xml:space="preserve">har til formål at gennemføre hvidvaskdirektivets artikel 22. </w:t>
      </w:r>
    </w:p>
    <w:p w14:paraId="51F05E41" w14:textId="77777777" w:rsidR="00BF3BC5" w:rsidRPr="00796736" w:rsidRDefault="00BF3BC5" w:rsidP="00A802A5">
      <w:pPr>
        <w:spacing w:line="360" w:lineRule="auto"/>
        <w:rPr>
          <w:rFonts w:ascii="Times New Roman" w:hAnsi="Times New Roman" w:cs="Times New Roman"/>
          <w:sz w:val="24"/>
          <w:szCs w:val="24"/>
        </w:rPr>
      </w:pPr>
    </w:p>
    <w:p w14:paraId="0D5CC493" w14:textId="343BA642"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B93B86" w:rsidRPr="00796736">
        <w:rPr>
          <w:rFonts w:ascii="Times New Roman" w:hAnsi="Times New Roman" w:cs="Times New Roman"/>
          <w:sz w:val="24"/>
          <w:szCs w:val="24"/>
        </w:rPr>
        <w:fldChar w:fldCharType="begin"/>
      </w:r>
      <w:r w:rsidR="00B93B86" w:rsidRPr="00796736">
        <w:rPr>
          <w:rFonts w:ascii="Times New Roman" w:hAnsi="Times New Roman" w:cs="Times New Roman"/>
          <w:sz w:val="24"/>
          <w:szCs w:val="24"/>
        </w:rPr>
        <w:instrText xml:space="preserve"> REF _Ref232943201 \n \h </w:instrText>
      </w:r>
      <w:r w:rsidR="00967618" w:rsidRPr="00796736">
        <w:rPr>
          <w:rFonts w:ascii="Times New Roman" w:hAnsi="Times New Roman" w:cs="Times New Roman"/>
          <w:sz w:val="24"/>
          <w:szCs w:val="24"/>
        </w:rPr>
        <w:instrText xml:space="preserve"> \* MERGEFORMAT </w:instrText>
      </w:r>
      <w:r w:rsidR="00B93B86" w:rsidRPr="00796736">
        <w:rPr>
          <w:rFonts w:ascii="Times New Roman" w:hAnsi="Times New Roman" w:cs="Times New Roman"/>
          <w:sz w:val="24"/>
          <w:szCs w:val="24"/>
        </w:rPr>
      </w:r>
      <w:r w:rsidR="00B93B8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3.16</w:t>
      </w:r>
      <w:r w:rsidR="00B93B86" w:rsidRPr="00796736">
        <w:rPr>
          <w:rFonts w:ascii="Times New Roman" w:hAnsi="Times New Roman" w:cs="Times New Roman"/>
          <w:sz w:val="24"/>
          <w:szCs w:val="24"/>
        </w:rPr>
        <w:fldChar w:fldCharType="end"/>
      </w:r>
      <w:r w:rsidR="00B93B86"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A6B0735" w14:textId="77777777" w:rsidR="00BF3BC5" w:rsidRPr="00796736" w:rsidRDefault="00BF3BC5" w:rsidP="00A802A5">
      <w:pPr>
        <w:spacing w:line="360" w:lineRule="auto"/>
        <w:rPr>
          <w:rFonts w:ascii="Times New Roman" w:hAnsi="Times New Roman" w:cs="Times New Roman"/>
          <w:i/>
          <w:iCs/>
          <w:sz w:val="24"/>
          <w:szCs w:val="24"/>
        </w:rPr>
      </w:pPr>
    </w:p>
    <w:p w14:paraId="143E0F5A" w14:textId="77777777" w:rsidR="00BF3BC5" w:rsidRPr="00796736" w:rsidRDefault="00BF3BC5" w:rsidP="00A802A5">
      <w:pPr>
        <w:spacing w:line="360" w:lineRule="auto"/>
        <w:jc w:val="center"/>
        <w:rPr>
          <w:rFonts w:ascii="Times New Roman" w:hAnsi="Times New Roman" w:cs="Times New Roman"/>
          <w:i/>
          <w:iCs/>
          <w:sz w:val="24"/>
          <w:szCs w:val="24"/>
        </w:rPr>
      </w:pPr>
    </w:p>
    <w:p w14:paraId="28449873" w14:textId="378CF1DC" w:rsidR="00BF3BC5" w:rsidRPr="00796736" w:rsidRDefault="00C454BF" w:rsidP="00A802A5">
      <w:pPr>
        <w:pStyle w:val="Undertitel"/>
      </w:pPr>
      <w:bookmarkStart w:id="1904" w:name="_Toc232109350"/>
      <w:bookmarkStart w:id="1905" w:name="_Toc244879314"/>
      <w:bookmarkStart w:id="1906" w:name="_Toc244880839"/>
      <w:r w:rsidRPr="00796736">
        <w:t xml:space="preserve">Til </w:t>
      </w:r>
      <w:r w:rsidR="00161898" w:rsidRPr="00796736">
        <w:fldChar w:fldCharType="begin"/>
      </w:r>
      <w:r w:rsidR="00161898" w:rsidRPr="00796736">
        <w:instrText xml:space="preserve"> REF _Ref232595750 \r \h </w:instrText>
      </w:r>
      <w:r w:rsidR="00967618" w:rsidRPr="00796736">
        <w:instrText xml:space="preserve"> \* MERGEFORMAT </w:instrText>
      </w:r>
      <w:r w:rsidR="00161898" w:rsidRPr="00796736">
        <w:fldChar w:fldCharType="separate"/>
      </w:r>
      <w:r w:rsidR="008F29E5">
        <w:t>§ 18</w:t>
      </w:r>
      <w:bookmarkEnd w:id="1905"/>
      <w:bookmarkEnd w:id="1906"/>
      <w:r w:rsidR="00161898" w:rsidRPr="00796736">
        <w:fldChar w:fldCharType="end"/>
      </w:r>
      <w:r w:rsidR="00161898" w:rsidRPr="00796736">
        <w:t xml:space="preserve"> </w:t>
      </w:r>
      <w:bookmarkEnd w:id="1904"/>
    </w:p>
    <w:p w14:paraId="37144C42" w14:textId="481CCA08"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bdr w:val="none" w:sz="0" w:space="0" w:color="auto" w:frame="1"/>
        </w:rPr>
        <w:t>Hvidvasksekretariatets svar på anmodninger om oplysninger er i dag reguleret i FIU-cirkulærets § 4</w:t>
      </w:r>
      <w:r w:rsidR="003F06C7" w:rsidRPr="00796736">
        <w:rPr>
          <w:rFonts w:ascii="Times New Roman" w:hAnsi="Times New Roman" w:cs="Times New Roman"/>
          <w:sz w:val="24"/>
          <w:szCs w:val="24"/>
          <w:bdr w:val="none" w:sz="0" w:space="0" w:color="auto" w:frame="1"/>
        </w:rPr>
        <w:t xml:space="preserve">. </w:t>
      </w:r>
      <w:r w:rsidR="003F06C7" w:rsidRPr="00796736">
        <w:rPr>
          <w:rFonts w:ascii="Times New Roman" w:hAnsi="Times New Roman" w:cs="Times New Roman"/>
          <w:sz w:val="24"/>
          <w:szCs w:val="24"/>
        </w:rPr>
        <w:t>Bestemmelsen omfatter også samarbejde og udveksling af oplysninger med tilsynsorganer.</w:t>
      </w:r>
    </w:p>
    <w:p w14:paraId="0F855501" w14:textId="77777777" w:rsidR="00074750" w:rsidRPr="00796736" w:rsidRDefault="00074750" w:rsidP="00A802A5">
      <w:pPr>
        <w:spacing w:line="360" w:lineRule="auto"/>
        <w:rPr>
          <w:rFonts w:ascii="Times New Roman" w:hAnsi="Times New Roman" w:cs="Times New Roman"/>
          <w:sz w:val="24"/>
          <w:szCs w:val="24"/>
        </w:rPr>
      </w:pPr>
    </w:p>
    <w:p w14:paraId="62BDAD6C" w14:textId="21B2E48C" w:rsidR="00074750" w:rsidRPr="00796736" w:rsidRDefault="0007475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rPr>
        <w:t>Dertil kommer, at forvaltningslovens §§ 28 og 31 indeholder regler om henholdsvis forvaltningsmyndighedernes videregivelse af fortrolige oplysninger og omfanget af myndighedens pligt til videregivelse af oplysninger til en anden myndighed.</w:t>
      </w:r>
    </w:p>
    <w:p w14:paraId="20BE52D9" w14:textId="77777777" w:rsidR="00BF3BC5" w:rsidRPr="00796736" w:rsidRDefault="00BF3BC5" w:rsidP="00A802A5">
      <w:pPr>
        <w:spacing w:line="360" w:lineRule="auto"/>
        <w:rPr>
          <w:rFonts w:ascii="Times New Roman" w:hAnsi="Times New Roman" w:cs="Times New Roman"/>
          <w:sz w:val="24"/>
          <w:szCs w:val="24"/>
        </w:rPr>
      </w:pPr>
    </w:p>
    <w:p w14:paraId="407D24A0" w14:textId="42213504" w:rsidR="00BF3BC5" w:rsidRPr="00796736" w:rsidRDefault="00BF3BC5" w:rsidP="00A802A5">
      <w:pPr>
        <w:spacing w:line="360" w:lineRule="auto"/>
        <w:rPr>
          <w:rFonts w:ascii="Times New Roman" w:hAnsi="Times New Roman" w:cs="Times New Roman"/>
          <w:sz w:val="24"/>
          <w:szCs w:val="24"/>
          <w:shd w:val="clear" w:color="auto" w:fill="FFFFFF"/>
        </w:rPr>
      </w:pPr>
      <w:r w:rsidRPr="00796736">
        <w:rPr>
          <w:rFonts w:ascii="Times New Roman" w:hAnsi="Times New Roman" w:cs="Times New Roman"/>
          <w:sz w:val="24"/>
          <w:szCs w:val="24"/>
          <w:shd w:val="clear" w:color="auto" w:fill="FFFFFF"/>
        </w:rPr>
        <w:t>For en nærmere en nærmere beskrivelse af gældende ret henvises til pkt.</w:t>
      </w:r>
      <w:r w:rsidRPr="00796736">
        <w:rPr>
          <w:rFonts w:ascii="Times New Roman" w:hAnsi="Times New Roman" w:cs="Times New Roman"/>
          <w:sz w:val="24"/>
          <w:szCs w:val="24"/>
        </w:rPr>
        <w:br/>
      </w:r>
      <w:r w:rsidR="00B93B86" w:rsidRPr="00796736">
        <w:rPr>
          <w:rFonts w:ascii="Times New Roman" w:hAnsi="Times New Roman" w:cs="Times New Roman"/>
          <w:sz w:val="24"/>
          <w:szCs w:val="24"/>
          <w:shd w:val="clear" w:color="auto" w:fill="FFFFFF"/>
        </w:rPr>
        <w:fldChar w:fldCharType="begin"/>
      </w:r>
      <w:r w:rsidR="00B93B86" w:rsidRPr="00796736">
        <w:rPr>
          <w:rFonts w:ascii="Times New Roman" w:hAnsi="Times New Roman" w:cs="Times New Roman"/>
          <w:sz w:val="24"/>
          <w:szCs w:val="24"/>
          <w:shd w:val="clear" w:color="auto" w:fill="FFFFFF"/>
        </w:rPr>
        <w:instrText xml:space="preserve"> REF _Ref232943211 \n \h </w:instrText>
      </w:r>
      <w:r w:rsidR="00967618" w:rsidRPr="00796736">
        <w:rPr>
          <w:rFonts w:ascii="Times New Roman" w:hAnsi="Times New Roman" w:cs="Times New Roman"/>
          <w:sz w:val="24"/>
          <w:szCs w:val="24"/>
          <w:shd w:val="clear" w:color="auto" w:fill="FFFFFF"/>
        </w:rPr>
        <w:instrText xml:space="preserve"> \* MERGEFORMAT </w:instrText>
      </w:r>
      <w:r w:rsidR="00B93B86" w:rsidRPr="00796736">
        <w:rPr>
          <w:rFonts w:ascii="Times New Roman" w:hAnsi="Times New Roman" w:cs="Times New Roman"/>
          <w:sz w:val="24"/>
          <w:szCs w:val="24"/>
          <w:shd w:val="clear" w:color="auto" w:fill="FFFFFF"/>
        </w:rPr>
      </w:r>
      <w:r w:rsidR="00B93B86" w:rsidRPr="00796736">
        <w:rPr>
          <w:rFonts w:ascii="Times New Roman" w:hAnsi="Times New Roman" w:cs="Times New Roman"/>
          <w:sz w:val="24"/>
          <w:szCs w:val="24"/>
          <w:shd w:val="clear" w:color="auto" w:fill="FFFFFF"/>
        </w:rPr>
        <w:fldChar w:fldCharType="separate"/>
      </w:r>
      <w:r w:rsidR="008F29E5">
        <w:rPr>
          <w:rFonts w:ascii="Times New Roman" w:hAnsi="Times New Roman" w:cs="Times New Roman"/>
          <w:sz w:val="24"/>
          <w:szCs w:val="24"/>
          <w:shd w:val="clear" w:color="auto" w:fill="FFFFFF"/>
        </w:rPr>
        <w:t>3.17</w:t>
      </w:r>
      <w:r w:rsidR="00B93B86" w:rsidRPr="00796736">
        <w:rPr>
          <w:rFonts w:ascii="Times New Roman" w:hAnsi="Times New Roman" w:cs="Times New Roman"/>
          <w:sz w:val="24"/>
          <w:szCs w:val="24"/>
          <w:shd w:val="clear" w:color="auto" w:fill="FFFFFF"/>
        </w:rPr>
        <w:fldChar w:fldCharType="end"/>
      </w:r>
      <w:r w:rsidR="00B93B86" w:rsidRPr="00796736">
        <w:rPr>
          <w:rFonts w:ascii="Times New Roman" w:hAnsi="Times New Roman" w:cs="Times New Roman"/>
          <w:sz w:val="24"/>
          <w:szCs w:val="24"/>
          <w:shd w:val="clear" w:color="auto" w:fill="FFFFFF"/>
        </w:rPr>
        <w:t xml:space="preserve"> </w:t>
      </w:r>
      <w:r w:rsidRPr="00796736">
        <w:rPr>
          <w:rFonts w:ascii="Times New Roman" w:hAnsi="Times New Roman" w:cs="Times New Roman"/>
          <w:sz w:val="24"/>
          <w:szCs w:val="24"/>
          <w:shd w:val="clear" w:color="auto" w:fill="FFFFFF"/>
        </w:rPr>
        <w:t>i lovforslagets almindelige bemærkninger.</w:t>
      </w:r>
    </w:p>
    <w:p w14:paraId="44107C03" w14:textId="77777777" w:rsidR="00BF3BC5" w:rsidRPr="00796736" w:rsidRDefault="00BF3BC5" w:rsidP="00A802A5">
      <w:pPr>
        <w:spacing w:line="360" w:lineRule="auto"/>
        <w:rPr>
          <w:rFonts w:ascii="Times New Roman" w:hAnsi="Times New Roman" w:cs="Times New Roman"/>
          <w:sz w:val="24"/>
          <w:szCs w:val="24"/>
        </w:rPr>
      </w:pPr>
    </w:p>
    <w:p w14:paraId="47724932" w14:textId="6B09955B"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910120" w:rsidRPr="00796736">
        <w:rPr>
          <w:rFonts w:ascii="Times New Roman" w:hAnsi="Times New Roman" w:cs="Times New Roman"/>
          <w:i/>
          <w:iCs/>
          <w:sz w:val="24"/>
          <w:szCs w:val="24"/>
        </w:rPr>
        <w:fldChar w:fldCharType="begin"/>
      </w:r>
      <w:r w:rsidR="00910120" w:rsidRPr="00796736">
        <w:rPr>
          <w:rFonts w:ascii="Times New Roman" w:hAnsi="Times New Roman" w:cs="Times New Roman"/>
          <w:i/>
          <w:iCs/>
          <w:sz w:val="24"/>
          <w:szCs w:val="24"/>
        </w:rPr>
        <w:instrText xml:space="preserve"> REF _Ref232595750 \r \h  \* MERGEFORMAT </w:instrText>
      </w:r>
      <w:r w:rsidR="00910120" w:rsidRPr="00796736">
        <w:rPr>
          <w:rFonts w:ascii="Times New Roman" w:hAnsi="Times New Roman" w:cs="Times New Roman"/>
          <w:i/>
          <w:iCs/>
          <w:sz w:val="24"/>
          <w:szCs w:val="24"/>
        </w:rPr>
      </w:r>
      <w:r w:rsidR="0091012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18</w:t>
      </w:r>
      <w:r w:rsidR="00910120"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Hvidvasksekretariatet uopfordret eller efter anmodning giver tilsynsorganerne oplysninger, der kan være relevante med henblik på tilsyn efter </w:t>
      </w:r>
      <w:r w:rsidR="00074750" w:rsidRPr="00796736">
        <w:rPr>
          <w:rFonts w:ascii="Times New Roman" w:hAnsi="Times New Roman" w:cs="Times New Roman"/>
          <w:sz w:val="24"/>
          <w:szCs w:val="24"/>
        </w:rPr>
        <w:t>denne lov</w:t>
      </w:r>
      <w:r w:rsidRPr="00796736">
        <w:rPr>
          <w:rFonts w:ascii="Times New Roman" w:hAnsi="Times New Roman" w:cs="Times New Roman"/>
          <w:sz w:val="24"/>
          <w:szCs w:val="24"/>
        </w:rPr>
        <w:t>, herunder mindst oplysninger om</w:t>
      </w:r>
      <w:r w:rsidR="009B79DC" w:rsidRPr="00796736">
        <w:rPr>
          <w:rFonts w:ascii="Times New Roman" w:hAnsi="Times New Roman" w:cs="Times New Roman"/>
          <w:sz w:val="24"/>
          <w:szCs w:val="24"/>
        </w:rPr>
        <w:t xml:space="preserve"> følgende</w:t>
      </w:r>
      <w:r w:rsidRPr="00796736">
        <w:rPr>
          <w:rFonts w:ascii="Times New Roman" w:hAnsi="Times New Roman" w:cs="Times New Roman"/>
          <w:sz w:val="24"/>
          <w:szCs w:val="24"/>
        </w:rPr>
        <w:t>:</w:t>
      </w:r>
    </w:p>
    <w:p w14:paraId="066ECF4C" w14:textId="77777777" w:rsidR="00BF3BC5" w:rsidRPr="00796736" w:rsidRDefault="00BF3BC5">
      <w:pPr>
        <w:pStyle w:val="Listeafsnit"/>
        <w:numPr>
          <w:ilvl w:val="0"/>
          <w:numId w:val="21"/>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Kvaliteten og kvantiteten af rapporter om mistænkelige transaktioner indgivet af forpligtede enheder. </w:t>
      </w:r>
    </w:p>
    <w:p w14:paraId="3B199BBB" w14:textId="77777777" w:rsidR="009B79DC" w:rsidRPr="00796736" w:rsidRDefault="009B79DC">
      <w:pPr>
        <w:pStyle w:val="Listeafsnit"/>
        <w:numPr>
          <w:ilvl w:val="0"/>
          <w:numId w:val="21"/>
        </w:numPr>
        <w:spacing w:line="360" w:lineRule="auto"/>
        <w:rPr>
          <w:rFonts w:ascii="Times New Roman" w:hAnsi="Times New Roman" w:cs="Times New Roman"/>
          <w:sz w:val="24"/>
          <w:szCs w:val="24"/>
        </w:rPr>
      </w:pPr>
      <w:r w:rsidRPr="00796736">
        <w:rPr>
          <w:rFonts w:ascii="Times New Roman" w:hAnsi="Times New Roman" w:cs="Times New Roman"/>
          <w:sz w:val="24"/>
          <w:szCs w:val="24"/>
        </w:rPr>
        <w:t>Kvaliteten og rettidigheden af forpligtede enheders svar på anmodninger fra Hvidvasksekretariatet i henhold til hvidvaskforordningens artikel 69, stk. 1, første afsnit, litra b.</w:t>
      </w:r>
    </w:p>
    <w:p w14:paraId="50731DAB" w14:textId="2E9A25D1" w:rsidR="00BF3BC5" w:rsidRPr="00796736" w:rsidRDefault="00BF3BC5">
      <w:pPr>
        <w:pStyle w:val="Listeafsnit"/>
        <w:numPr>
          <w:ilvl w:val="0"/>
          <w:numId w:val="21"/>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Relevante resultater af strategiske analyser, der er foretaget i henhold til lovens </w:t>
      </w:r>
      <w:r w:rsidR="00910120" w:rsidRPr="00796736">
        <w:rPr>
          <w:rFonts w:ascii="Times New Roman" w:hAnsi="Times New Roman" w:cs="Times New Roman"/>
          <w:sz w:val="24"/>
          <w:szCs w:val="24"/>
        </w:rPr>
        <w:fldChar w:fldCharType="begin"/>
      </w:r>
      <w:r w:rsidR="00910120" w:rsidRPr="00796736">
        <w:rPr>
          <w:rFonts w:ascii="Times New Roman" w:hAnsi="Times New Roman" w:cs="Times New Roman"/>
          <w:sz w:val="24"/>
          <w:szCs w:val="24"/>
        </w:rPr>
        <w:instrText xml:space="preserve"> REF _Ref232595580 \r \h </w:instrText>
      </w:r>
      <w:r w:rsidR="00967618" w:rsidRPr="00796736">
        <w:rPr>
          <w:rFonts w:ascii="Times New Roman" w:hAnsi="Times New Roman" w:cs="Times New Roman"/>
          <w:sz w:val="24"/>
          <w:szCs w:val="24"/>
        </w:rPr>
        <w:instrText xml:space="preserve"> \* MERGEFORMAT </w:instrText>
      </w:r>
      <w:r w:rsidR="00910120" w:rsidRPr="00796736">
        <w:rPr>
          <w:rFonts w:ascii="Times New Roman" w:hAnsi="Times New Roman" w:cs="Times New Roman"/>
          <w:sz w:val="24"/>
          <w:szCs w:val="24"/>
        </w:rPr>
      </w:r>
      <w:r w:rsidR="0091012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14</w:t>
      </w:r>
      <w:r w:rsidR="0091012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2, samt alle relevante oplysninger om tendenser og metoder for hvidvask af penge, de underliggende lovovertrædelser og finansiering af terrorisme, herunder geografiske, grænseoverskridende og nye risici. </w:t>
      </w:r>
    </w:p>
    <w:p w14:paraId="6B45FF83" w14:textId="77777777" w:rsidR="00BF3BC5" w:rsidRPr="00796736" w:rsidRDefault="00BF3BC5" w:rsidP="00A802A5">
      <w:pPr>
        <w:spacing w:line="360" w:lineRule="auto"/>
        <w:rPr>
          <w:rFonts w:ascii="Times New Roman" w:hAnsi="Times New Roman" w:cs="Times New Roman"/>
          <w:sz w:val="24"/>
          <w:szCs w:val="24"/>
        </w:rPr>
      </w:pPr>
    </w:p>
    <w:p w14:paraId="77682EFC"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t xml:space="preserve">Den foreslåede bestemmelse, som er ny, vil indebære, at fremlæggelse af oplysninger for tilsynsorganer reguleres i en særskilt bestemmelse. Efter den foreslåede bestemmelse vil </w:t>
      </w:r>
      <w:r w:rsidRPr="00796736">
        <w:rPr>
          <w:rFonts w:ascii="Times New Roman" w:hAnsi="Times New Roman" w:cs="Times New Roman"/>
          <w:sz w:val="24"/>
          <w:szCs w:val="24"/>
          <w:bdr w:val="none" w:sz="0" w:space="0" w:color="auto" w:frame="1"/>
        </w:rPr>
        <w:t xml:space="preserve">Hvidvasksekretariatet uopfordret eller efter anmodning skulle give tilsynsorganerne oplysninger, </w:t>
      </w:r>
      <w:r w:rsidRPr="00796736">
        <w:rPr>
          <w:rFonts w:ascii="Times New Roman" w:hAnsi="Times New Roman" w:cs="Times New Roman"/>
          <w:sz w:val="24"/>
          <w:szCs w:val="24"/>
        </w:rPr>
        <w:t xml:space="preserve">der kan være relevante med henblik på tilsyn med bekæmpelse af hvidvask af penge, herunder mindst de oplysninger, der oplistes i bestemmelsen. </w:t>
      </w:r>
    </w:p>
    <w:p w14:paraId="72DF770D" w14:textId="77777777" w:rsidR="00BF3BC5" w:rsidRPr="00796736" w:rsidRDefault="00BF3BC5" w:rsidP="00A802A5">
      <w:pPr>
        <w:spacing w:line="360" w:lineRule="auto"/>
        <w:rPr>
          <w:rFonts w:ascii="Times New Roman" w:hAnsi="Times New Roman" w:cs="Times New Roman"/>
          <w:sz w:val="24"/>
          <w:szCs w:val="24"/>
        </w:rPr>
      </w:pPr>
    </w:p>
    <w:p w14:paraId="3A4918D5" w14:textId="214A665E"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Hvidvasksekretariatet vil efter den foreslåede bestemmelse være forpligtet til efter anmodning at videregive de pågældende oplysninger, hvis betingelserne i bestemmelsen er opfyldt. Derudover vil Hvidvasksekretariatet uopfordret kunne videregive oplysningerne. Dette vil ikke indebære en forpligtelse til af egen drift løbende at overveje, om videregivelse er påkrævet, men at Hvidvasksekretariatet er beføjet til at videregive oplysninger omfattet af bestemmelsen, hvis Hvidvasksekretariatet får kendskab til og skønner, at en sådan videregivelse konkret er hensigtsmæssig.</w:t>
      </w:r>
    </w:p>
    <w:p w14:paraId="1889E082" w14:textId="77777777" w:rsidR="00BF3BC5" w:rsidRPr="00796736" w:rsidRDefault="00BF3BC5" w:rsidP="00A802A5">
      <w:pPr>
        <w:spacing w:line="360" w:lineRule="auto"/>
        <w:rPr>
          <w:rFonts w:ascii="Times New Roman" w:hAnsi="Times New Roman" w:cs="Times New Roman"/>
          <w:sz w:val="24"/>
          <w:szCs w:val="24"/>
        </w:rPr>
      </w:pPr>
    </w:p>
    <w:p w14:paraId="3326E2FE" w14:textId="036F30BD"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»tilsynsorganer« efter </w:t>
      </w:r>
      <w:r w:rsidR="00910120" w:rsidRPr="00796736">
        <w:rPr>
          <w:rFonts w:ascii="Times New Roman" w:hAnsi="Times New Roman" w:cs="Times New Roman"/>
          <w:sz w:val="24"/>
          <w:szCs w:val="24"/>
        </w:rPr>
        <w:fldChar w:fldCharType="begin"/>
      </w:r>
      <w:r w:rsidR="00910120" w:rsidRPr="00796736">
        <w:rPr>
          <w:rFonts w:ascii="Times New Roman" w:hAnsi="Times New Roman" w:cs="Times New Roman"/>
          <w:sz w:val="24"/>
          <w:szCs w:val="24"/>
        </w:rPr>
        <w:instrText xml:space="preserve"> REF _Ref232595750 \r \h </w:instrText>
      </w:r>
      <w:r w:rsidR="00967618" w:rsidRPr="00796736">
        <w:rPr>
          <w:rFonts w:ascii="Times New Roman" w:hAnsi="Times New Roman" w:cs="Times New Roman"/>
          <w:sz w:val="24"/>
          <w:szCs w:val="24"/>
        </w:rPr>
        <w:instrText xml:space="preserve"> \* MERGEFORMAT </w:instrText>
      </w:r>
      <w:r w:rsidR="00910120" w:rsidRPr="00796736">
        <w:rPr>
          <w:rFonts w:ascii="Times New Roman" w:hAnsi="Times New Roman" w:cs="Times New Roman"/>
          <w:sz w:val="24"/>
          <w:szCs w:val="24"/>
        </w:rPr>
      </w:r>
      <w:r w:rsidR="0091012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18</w:t>
      </w:r>
      <w:r w:rsidR="0091012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forstås i overensstemmelse med definitionen i hvidvaskforordningens artikel 2, nr. 45, det organ, som har fået overdraget ansvarsområder med henblik på at sikre forpligtede enheders overholdelse af kravene i hvidvaskforordningen, herunder AMLA, når denne udfører de opgaver, som den har fået overdraget i medfør af artikel 5,</w:t>
      </w:r>
      <w:r w:rsidR="003F06C7" w:rsidRPr="00796736">
        <w:rPr>
          <w:rFonts w:ascii="Times New Roman" w:hAnsi="Times New Roman" w:cs="Times New Roman"/>
          <w:sz w:val="24"/>
          <w:szCs w:val="24"/>
        </w:rPr>
        <w:t xml:space="preserve"> </w:t>
      </w:r>
      <w:r w:rsidRPr="00796736">
        <w:rPr>
          <w:rFonts w:ascii="Times New Roman" w:hAnsi="Times New Roman" w:cs="Times New Roman"/>
          <w:sz w:val="24"/>
          <w:szCs w:val="24"/>
        </w:rPr>
        <w:t>stk. 2, i AML-forordningen. Ud over AMLA vil det således i dansk kontekst</w:t>
      </w:r>
      <w:r w:rsidR="003F06C7" w:rsidRPr="00796736">
        <w:rPr>
          <w:rFonts w:ascii="Times New Roman" w:hAnsi="Times New Roman" w:cs="Times New Roman"/>
          <w:sz w:val="24"/>
          <w:szCs w:val="24"/>
        </w:rPr>
        <w:t xml:space="preserve"> </w:t>
      </w:r>
      <w:r w:rsidRPr="00796736">
        <w:rPr>
          <w:rFonts w:ascii="Times New Roman" w:hAnsi="Times New Roman" w:cs="Times New Roman"/>
          <w:sz w:val="24"/>
          <w:szCs w:val="24"/>
        </w:rPr>
        <w:t>være Finanstilsynet, Erhvervsstyrelsen, Spillemyndigheden og Advokatrådet.</w:t>
      </w:r>
    </w:p>
    <w:p w14:paraId="75DEFD37" w14:textId="77777777" w:rsidR="00BF3BC5" w:rsidRPr="00796736" w:rsidRDefault="00BF3BC5" w:rsidP="00A802A5">
      <w:pPr>
        <w:spacing w:line="360" w:lineRule="auto"/>
        <w:rPr>
          <w:rFonts w:ascii="Times New Roman" w:hAnsi="Times New Roman" w:cs="Times New Roman"/>
          <w:sz w:val="24"/>
          <w:szCs w:val="24"/>
        </w:rPr>
      </w:pPr>
    </w:p>
    <w:p w14:paraId="06A52A1C" w14:textId="28F8CA1F"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en »forpligtet enhed« efter </w:t>
      </w:r>
      <w:r w:rsidR="00910120" w:rsidRPr="00796736">
        <w:rPr>
          <w:rFonts w:ascii="Times New Roman" w:hAnsi="Times New Roman" w:cs="Times New Roman"/>
          <w:sz w:val="24"/>
          <w:szCs w:val="24"/>
        </w:rPr>
        <w:fldChar w:fldCharType="begin"/>
      </w:r>
      <w:r w:rsidR="00910120" w:rsidRPr="00796736">
        <w:rPr>
          <w:rFonts w:ascii="Times New Roman" w:hAnsi="Times New Roman" w:cs="Times New Roman"/>
          <w:sz w:val="24"/>
          <w:szCs w:val="24"/>
        </w:rPr>
        <w:instrText xml:space="preserve"> REF _Ref232595750 \r \h </w:instrText>
      </w:r>
      <w:r w:rsidR="00967618" w:rsidRPr="00796736">
        <w:rPr>
          <w:rFonts w:ascii="Times New Roman" w:hAnsi="Times New Roman" w:cs="Times New Roman"/>
          <w:sz w:val="24"/>
          <w:szCs w:val="24"/>
        </w:rPr>
        <w:instrText xml:space="preserve"> \* MERGEFORMAT </w:instrText>
      </w:r>
      <w:r w:rsidR="00910120" w:rsidRPr="00796736">
        <w:rPr>
          <w:rFonts w:ascii="Times New Roman" w:hAnsi="Times New Roman" w:cs="Times New Roman"/>
          <w:sz w:val="24"/>
          <w:szCs w:val="24"/>
        </w:rPr>
      </w:r>
      <w:r w:rsidR="0091012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18</w:t>
      </w:r>
      <w:r w:rsidR="0091012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 og 2, forstås i overensstemmelse med definitionen i hvidvaskdirektivets artikel 2, nr. 4, den fysiske eller juridiske person, der er opført i artikel 3 i hvidvaskforordningen, som ikke er undtaget i henhold til hvidvaskforordningens artikel 4, 5, 6 eller 7.</w:t>
      </w:r>
    </w:p>
    <w:p w14:paraId="094D22DB" w14:textId="77777777" w:rsidR="00BF3BC5" w:rsidRPr="00796736" w:rsidRDefault="00BF3BC5" w:rsidP="00A802A5">
      <w:pPr>
        <w:spacing w:line="360" w:lineRule="auto"/>
        <w:rPr>
          <w:rFonts w:ascii="Times New Roman" w:hAnsi="Times New Roman" w:cs="Times New Roman"/>
          <w:sz w:val="24"/>
          <w:szCs w:val="24"/>
        </w:rPr>
      </w:pPr>
    </w:p>
    <w:p w14:paraId="0563CA11" w14:textId="77777777"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”rapporter om mistænkelige transaktioner mv.” skal forstås rapporter om underretninger om mistænkelige transaktioner (STR), rapporter om underretninger af mistænkelige aktiviteter (SAR) og rapporter om underretninger om mulig terrorfinansiering (TFR). </w:t>
      </w:r>
    </w:p>
    <w:p w14:paraId="235A4D32" w14:textId="77777777" w:rsidR="009B79DC" w:rsidRPr="00796736" w:rsidRDefault="009B79DC" w:rsidP="00A802A5">
      <w:pPr>
        <w:spacing w:line="360" w:lineRule="auto"/>
        <w:rPr>
          <w:rFonts w:ascii="Times New Roman" w:hAnsi="Times New Roman" w:cs="Times New Roman"/>
          <w:sz w:val="24"/>
          <w:szCs w:val="24"/>
        </w:rPr>
      </w:pPr>
    </w:p>
    <w:p w14:paraId="6F3EE540"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ses i lyset af, at det af hvidvaskdirektivets præambelbetragtning nr. 67 følger bl.a., at oplysninger i FIU’ernes besiddelse kan hjælpe tilsynsorganerne med at identificere områder, hvor risiciene er højere, eller hvor overholdelsen er svag, og dermed give dem et indblik i, hvorvidt tilsynet skal styrkes i forhold til specifikke forpligtede enheder eller sektorer. </w:t>
      </w:r>
    </w:p>
    <w:p w14:paraId="5AEDC335" w14:textId="77777777" w:rsidR="00BF3BC5" w:rsidRPr="00796736" w:rsidRDefault="00BF3BC5" w:rsidP="00A802A5">
      <w:pPr>
        <w:spacing w:line="360" w:lineRule="auto"/>
        <w:rPr>
          <w:rFonts w:ascii="Times New Roman" w:hAnsi="Times New Roman" w:cs="Times New Roman"/>
          <w:sz w:val="24"/>
          <w:szCs w:val="24"/>
        </w:rPr>
      </w:pPr>
    </w:p>
    <w:p w14:paraId="6E66A4F0" w14:textId="329202B8"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at</w:t>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Hvidvasksekretariatet underretter tilsynsorganerne, når der i de oplysninger, de er i besiddelse af, er tegn på, at forpligtede enheder muligvis har overtrådt hvidvaskforordningen og forordning (EU) nr. 2023/1113 om oplysninger, der skal medsendes ved pengeoverførsler og ved overførsler af visse kryptoaktiver</w:t>
      </w:r>
      <w:r w:rsidR="009B79DC" w:rsidRPr="00796736">
        <w:rPr>
          <w:rFonts w:ascii="Times New Roman" w:hAnsi="Times New Roman" w:cs="Times New Roman"/>
          <w:sz w:val="24"/>
          <w:szCs w:val="24"/>
        </w:rPr>
        <w:t xml:space="preserve"> med senere ændringer.</w:t>
      </w:r>
    </w:p>
    <w:p w14:paraId="72D27F79" w14:textId="77777777" w:rsidR="00BF3BC5" w:rsidRPr="00796736" w:rsidRDefault="00BF3BC5" w:rsidP="00A802A5">
      <w:pPr>
        <w:spacing w:line="360" w:lineRule="auto"/>
        <w:rPr>
          <w:rFonts w:ascii="Times New Roman" w:hAnsi="Times New Roman" w:cs="Times New Roman"/>
          <w:sz w:val="24"/>
          <w:szCs w:val="24"/>
        </w:rPr>
      </w:pPr>
    </w:p>
    <w:p w14:paraId="10714191" w14:textId="77777777" w:rsidR="00BF3BC5" w:rsidRPr="00796736" w:rsidRDefault="00BF3BC5"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t xml:space="preserve">Den foreslåede bestemmelse, som er ny, vil indebære, at sekretariatet vil skulle underrette </w:t>
      </w:r>
      <w:r w:rsidRPr="00796736">
        <w:rPr>
          <w:rFonts w:ascii="Times New Roman" w:hAnsi="Times New Roman" w:cs="Times New Roman"/>
          <w:sz w:val="24"/>
          <w:szCs w:val="24"/>
        </w:rPr>
        <w:t xml:space="preserve">underretter tilsynsorganerne, når der i de oplysninger, de er i besiddelse af, er tegn på, at forpligtede enheder muligvis har overtrådt hvidvaskforordningen og forordning (EU) nr. 2023/1113 om oplysninger, der skal medsendes ved pengeoverførsler og ved overførsler af visse kryptoaktiver. </w:t>
      </w:r>
    </w:p>
    <w:p w14:paraId="632DFD8F" w14:textId="77777777" w:rsidR="00BF3BC5" w:rsidRPr="00796736" w:rsidRDefault="00BF3BC5" w:rsidP="00A802A5">
      <w:pPr>
        <w:spacing w:line="360" w:lineRule="auto"/>
        <w:rPr>
          <w:rFonts w:ascii="Times New Roman" w:hAnsi="Times New Roman" w:cs="Times New Roman"/>
          <w:sz w:val="24"/>
          <w:szCs w:val="24"/>
        </w:rPr>
      </w:pPr>
    </w:p>
    <w:p w14:paraId="1DE354D2" w14:textId="148B38FA"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»tilsynsorganer« efter </w:t>
      </w:r>
      <w:r w:rsidR="00910120" w:rsidRPr="00796736">
        <w:rPr>
          <w:rFonts w:ascii="Times New Roman" w:hAnsi="Times New Roman" w:cs="Times New Roman"/>
          <w:sz w:val="24"/>
          <w:szCs w:val="24"/>
        </w:rPr>
        <w:fldChar w:fldCharType="begin"/>
      </w:r>
      <w:r w:rsidR="00910120" w:rsidRPr="00796736">
        <w:rPr>
          <w:rFonts w:ascii="Times New Roman" w:hAnsi="Times New Roman" w:cs="Times New Roman"/>
          <w:sz w:val="24"/>
          <w:szCs w:val="24"/>
        </w:rPr>
        <w:instrText xml:space="preserve"> REF _Ref232595750 \r \h </w:instrText>
      </w:r>
      <w:r w:rsidR="00967618" w:rsidRPr="00796736">
        <w:rPr>
          <w:rFonts w:ascii="Times New Roman" w:hAnsi="Times New Roman" w:cs="Times New Roman"/>
          <w:sz w:val="24"/>
          <w:szCs w:val="24"/>
        </w:rPr>
        <w:instrText xml:space="preserve"> \* MERGEFORMAT </w:instrText>
      </w:r>
      <w:r w:rsidR="00910120" w:rsidRPr="00796736">
        <w:rPr>
          <w:rFonts w:ascii="Times New Roman" w:hAnsi="Times New Roman" w:cs="Times New Roman"/>
          <w:sz w:val="24"/>
          <w:szCs w:val="24"/>
        </w:rPr>
      </w:r>
      <w:r w:rsidR="0091012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18</w:t>
      </w:r>
      <w:r w:rsidR="0091012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forstås i overensstemmelse med definitionen i hvidvaskforordningens artikel 2, nr. 45, det organ, som har fået overdraget ansvarsområder med henblik på at sikre forpligtede enheders overholdelse af kravene i hvidvaskforordningen, herunder AMLA, når denne udfører de opgaver, som den har fået overdraget i medfør af artikel 5,</w:t>
      </w:r>
      <w:r w:rsidR="00C62376" w:rsidRPr="00796736">
        <w:rPr>
          <w:rFonts w:ascii="Times New Roman" w:hAnsi="Times New Roman" w:cs="Times New Roman"/>
          <w:sz w:val="24"/>
          <w:szCs w:val="24"/>
        </w:rPr>
        <w:t xml:space="preserve"> </w:t>
      </w:r>
      <w:r w:rsidRPr="00796736">
        <w:rPr>
          <w:rFonts w:ascii="Times New Roman" w:hAnsi="Times New Roman" w:cs="Times New Roman"/>
          <w:sz w:val="24"/>
          <w:szCs w:val="24"/>
        </w:rPr>
        <w:t>stk. 2, i AML-forordningen. Ud over AMLA vil det således i dansk kontekst</w:t>
      </w:r>
      <w:r w:rsidR="00C62376" w:rsidRPr="00796736">
        <w:rPr>
          <w:rFonts w:ascii="Times New Roman" w:hAnsi="Times New Roman" w:cs="Times New Roman"/>
          <w:sz w:val="24"/>
          <w:szCs w:val="24"/>
        </w:rPr>
        <w:t xml:space="preserve"> </w:t>
      </w:r>
      <w:r w:rsidRPr="00796736">
        <w:rPr>
          <w:rFonts w:ascii="Times New Roman" w:hAnsi="Times New Roman" w:cs="Times New Roman"/>
          <w:sz w:val="24"/>
          <w:szCs w:val="24"/>
        </w:rPr>
        <w:t>være Finanstilsynet, Erhvervsstyrelsen, Spillemyndigheden og Advokatrådet.</w:t>
      </w:r>
    </w:p>
    <w:p w14:paraId="3539B47C" w14:textId="77777777" w:rsidR="00BF3BC5" w:rsidRPr="00796736" w:rsidRDefault="00BF3BC5" w:rsidP="00A802A5">
      <w:pPr>
        <w:spacing w:line="360" w:lineRule="auto"/>
        <w:rPr>
          <w:rFonts w:ascii="Times New Roman" w:hAnsi="Times New Roman" w:cs="Times New Roman"/>
          <w:sz w:val="24"/>
          <w:szCs w:val="24"/>
        </w:rPr>
      </w:pPr>
    </w:p>
    <w:p w14:paraId="073E19B9" w14:textId="77777777"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at underretninger efter stk. 2 ikke må indeholde oplysninger om specifikke fysiske eller juridiske personer eller sager, som omfatter fysiske eller juridiske personer, der er genstand for en igangværende analyse eller efterforskning, eller som kan føre til identifikation af fysiske eller juridiske personer, medmindre det er strengt nødvendigt af hensyn til underretningen efter stk. 2.</w:t>
      </w:r>
    </w:p>
    <w:p w14:paraId="517350E0" w14:textId="77777777" w:rsidR="00BF3BC5" w:rsidRPr="00796736" w:rsidRDefault="00BF3BC5" w:rsidP="00A802A5">
      <w:pPr>
        <w:spacing w:line="360" w:lineRule="auto"/>
        <w:rPr>
          <w:rFonts w:ascii="Times New Roman" w:hAnsi="Times New Roman" w:cs="Times New Roman"/>
          <w:sz w:val="24"/>
          <w:szCs w:val="24"/>
        </w:rPr>
      </w:pPr>
    </w:p>
    <w:p w14:paraId="4FF28734" w14:textId="1707CE74" w:rsidR="00BF3BC5" w:rsidRPr="00796736" w:rsidRDefault="00BF3BC5"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t xml:space="preserve">Den foreslåede bestemmelse, som er ny, vil indebære, at de oplysninger, som Hvidvasksekretariatet giver tilsynsorganerne, ikke må indeholde </w:t>
      </w:r>
      <w:r w:rsidRPr="00796736">
        <w:rPr>
          <w:rFonts w:ascii="Times New Roman" w:hAnsi="Times New Roman" w:cs="Times New Roman"/>
          <w:sz w:val="24"/>
          <w:szCs w:val="24"/>
        </w:rPr>
        <w:t>oplysninger som kan føre til identifikation af fysiske eller juridiske personer, medmindre det er strengt nødvendigt med henblik på at underrette tilsynsorganerne om tegn på overtrædelse af hvidvaskforordningen eller forordning (EU) nr. 2023/1113 om oplysninger, der skal medsendes ved pengeoverførsler og ved overførsler af</w:t>
      </w:r>
      <w:r w:rsidR="009B79DC" w:rsidRPr="00796736">
        <w:rPr>
          <w:rFonts w:ascii="Times New Roman" w:hAnsi="Times New Roman" w:cs="Times New Roman"/>
          <w:sz w:val="24"/>
          <w:szCs w:val="24"/>
        </w:rPr>
        <w:t xml:space="preserve"> kryptoaktiver</w:t>
      </w:r>
      <w:r w:rsidRPr="00796736">
        <w:rPr>
          <w:rFonts w:ascii="Times New Roman" w:hAnsi="Times New Roman" w:cs="Times New Roman"/>
          <w:sz w:val="24"/>
          <w:szCs w:val="24"/>
        </w:rPr>
        <w:t xml:space="preserve"> visse </w:t>
      </w:r>
      <w:r w:rsidR="009B79DC" w:rsidRPr="00796736">
        <w:rPr>
          <w:rFonts w:ascii="Times New Roman" w:hAnsi="Times New Roman" w:cs="Times New Roman"/>
          <w:sz w:val="24"/>
          <w:szCs w:val="24"/>
        </w:rPr>
        <w:t>med senere ændringer.</w:t>
      </w:r>
    </w:p>
    <w:p w14:paraId="721215E1" w14:textId="77777777" w:rsidR="009B79DC" w:rsidRPr="00796736" w:rsidRDefault="009B79DC" w:rsidP="00A802A5">
      <w:pPr>
        <w:spacing w:line="360" w:lineRule="auto"/>
        <w:rPr>
          <w:rFonts w:ascii="Times New Roman" w:hAnsi="Times New Roman" w:cs="Times New Roman"/>
          <w:sz w:val="24"/>
          <w:szCs w:val="24"/>
        </w:rPr>
      </w:pPr>
    </w:p>
    <w:p w14:paraId="32E2A780" w14:textId="77777777"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den foreslåede bestemmelse ikke indebærer, at Hvidvasksekretariatet vil skulle undersøge, om der er igangsat en efterforskning, men at Hvidvasksekretariatet vil skulle iagttage bestemmelsen, såfremt de er i besiddelse af oplysninger herom. </w:t>
      </w:r>
    </w:p>
    <w:p w14:paraId="46A4B88D" w14:textId="77777777" w:rsidR="00BF3BC5" w:rsidRPr="00796736" w:rsidRDefault="00BF3BC5" w:rsidP="00A802A5">
      <w:pPr>
        <w:spacing w:line="360" w:lineRule="auto"/>
        <w:rPr>
          <w:rFonts w:ascii="Times New Roman" w:hAnsi="Times New Roman" w:cs="Times New Roman"/>
          <w:sz w:val="24"/>
          <w:szCs w:val="24"/>
        </w:rPr>
      </w:pPr>
    </w:p>
    <w:p w14:paraId="0FBFA0A5" w14:textId="437145F1" w:rsidR="00074750"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så vidt angår Hvidvasksekretariatets svar på anmodninger om oplysninger fra visse kompetente myndigheder, og de kompetente myndigheders feedback til sekretariatet</w:t>
      </w:r>
      <w:r w:rsidRPr="00796736" w:rsidDel="00A508B7">
        <w:rPr>
          <w:rFonts w:ascii="Times New Roman" w:hAnsi="Times New Roman" w:cs="Times New Roman"/>
          <w:sz w:val="24"/>
          <w:szCs w:val="24"/>
        </w:rPr>
        <w:t xml:space="preserve"> </w:t>
      </w:r>
      <w:r w:rsidRPr="00796736">
        <w:rPr>
          <w:rFonts w:ascii="Times New Roman" w:hAnsi="Times New Roman" w:cs="Times New Roman"/>
          <w:sz w:val="24"/>
          <w:szCs w:val="24"/>
        </w:rPr>
        <w:t xml:space="preserve">henvises der til bemærkningerne til </w:t>
      </w:r>
      <w:r w:rsidR="00910120" w:rsidRPr="00796736">
        <w:rPr>
          <w:rFonts w:ascii="Times New Roman" w:hAnsi="Times New Roman" w:cs="Times New Roman"/>
          <w:sz w:val="24"/>
          <w:szCs w:val="24"/>
        </w:rPr>
        <w:fldChar w:fldCharType="begin"/>
      </w:r>
      <w:r w:rsidR="00910120" w:rsidRPr="00796736">
        <w:rPr>
          <w:rFonts w:ascii="Times New Roman" w:hAnsi="Times New Roman" w:cs="Times New Roman"/>
          <w:sz w:val="24"/>
          <w:szCs w:val="24"/>
        </w:rPr>
        <w:instrText xml:space="preserve"> REF _Ref232595750 \r \h </w:instrText>
      </w:r>
      <w:r w:rsidR="00967618" w:rsidRPr="00796736">
        <w:rPr>
          <w:rFonts w:ascii="Times New Roman" w:hAnsi="Times New Roman" w:cs="Times New Roman"/>
          <w:sz w:val="24"/>
          <w:szCs w:val="24"/>
        </w:rPr>
        <w:instrText xml:space="preserve"> \* MERGEFORMAT </w:instrText>
      </w:r>
      <w:r w:rsidR="00910120" w:rsidRPr="00796736">
        <w:rPr>
          <w:rFonts w:ascii="Times New Roman" w:hAnsi="Times New Roman" w:cs="Times New Roman"/>
          <w:sz w:val="24"/>
          <w:szCs w:val="24"/>
        </w:rPr>
      </w:r>
      <w:r w:rsidR="0091012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18</w:t>
      </w:r>
      <w:r w:rsidR="00910120" w:rsidRPr="00796736">
        <w:rPr>
          <w:rFonts w:ascii="Times New Roman" w:hAnsi="Times New Roman" w:cs="Times New Roman"/>
          <w:sz w:val="24"/>
          <w:szCs w:val="24"/>
        </w:rPr>
        <w:fldChar w:fldCharType="end"/>
      </w:r>
      <w:r w:rsidR="00910120" w:rsidRPr="00796736">
        <w:rPr>
          <w:rFonts w:ascii="Times New Roman" w:hAnsi="Times New Roman" w:cs="Times New Roman"/>
          <w:sz w:val="24"/>
          <w:szCs w:val="24"/>
        </w:rPr>
        <w:t xml:space="preserve"> </w:t>
      </w:r>
      <w:r w:rsidRPr="00796736">
        <w:rPr>
          <w:rFonts w:ascii="Times New Roman" w:hAnsi="Times New Roman" w:cs="Times New Roman"/>
          <w:sz w:val="24"/>
          <w:szCs w:val="24"/>
        </w:rPr>
        <w:t>og pkt</w:t>
      </w:r>
      <w:r w:rsidR="00B93B86" w:rsidRPr="00796736">
        <w:rPr>
          <w:rFonts w:ascii="Times New Roman" w:hAnsi="Times New Roman" w:cs="Times New Roman"/>
          <w:sz w:val="24"/>
          <w:szCs w:val="24"/>
        </w:rPr>
        <w:t xml:space="preserve">. </w:t>
      </w:r>
      <w:r w:rsidR="003F06C7" w:rsidRPr="00796736">
        <w:rPr>
          <w:rFonts w:ascii="Times New Roman" w:hAnsi="Times New Roman" w:cs="Times New Roman"/>
          <w:sz w:val="24"/>
          <w:szCs w:val="24"/>
        </w:rPr>
        <w:fldChar w:fldCharType="begin"/>
      </w:r>
      <w:r w:rsidR="003F06C7" w:rsidRPr="00796736">
        <w:rPr>
          <w:rFonts w:ascii="Times New Roman" w:hAnsi="Times New Roman" w:cs="Times New Roman"/>
          <w:sz w:val="24"/>
          <w:szCs w:val="24"/>
        </w:rPr>
        <w:instrText xml:space="preserve"> REF _Ref237005099 \n \h  \* MERGEFORMAT </w:instrText>
      </w:r>
      <w:r w:rsidR="003F06C7" w:rsidRPr="00796736">
        <w:rPr>
          <w:rFonts w:ascii="Times New Roman" w:hAnsi="Times New Roman" w:cs="Times New Roman"/>
          <w:sz w:val="24"/>
          <w:szCs w:val="24"/>
        </w:rPr>
      </w:r>
      <w:r w:rsidR="003F06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3.16</w:t>
      </w:r>
      <w:r w:rsidR="003F06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 lovforslagets almindelige bemærkninger, som vedrører direktivets artikel 22.</w:t>
      </w:r>
    </w:p>
    <w:p w14:paraId="3ED69841" w14:textId="77777777" w:rsidR="00074750" w:rsidRPr="00796736" w:rsidRDefault="00074750" w:rsidP="00A802A5">
      <w:pPr>
        <w:spacing w:line="360" w:lineRule="auto"/>
        <w:rPr>
          <w:rFonts w:ascii="Times New Roman" w:hAnsi="Times New Roman" w:cs="Times New Roman"/>
          <w:sz w:val="24"/>
          <w:szCs w:val="24"/>
        </w:rPr>
      </w:pPr>
    </w:p>
    <w:p w14:paraId="3848D0E4" w14:textId="7D770A67" w:rsidR="00BF3BC5"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videregivelse af oplysninger i medfør af den foreslåede bestemmelse efter omstændighederne vil være omfattet af forvaltningslovens § 28 og at videregivelsen i sådanne tilfælde vil skulle ske i overensstemmelse med betingelserne heri. </w:t>
      </w:r>
      <w:r w:rsidR="00BF3BC5" w:rsidRPr="00796736">
        <w:rPr>
          <w:rFonts w:ascii="Times New Roman" w:hAnsi="Times New Roman" w:cs="Times New Roman"/>
          <w:sz w:val="24"/>
          <w:szCs w:val="24"/>
        </w:rPr>
        <w:t xml:space="preserve"> </w:t>
      </w:r>
    </w:p>
    <w:p w14:paraId="5C82823C" w14:textId="77777777" w:rsidR="00BF3BC5" w:rsidRPr="00796736" w:rsidRDefault="00BF3BC5" w:rsidP="00A802A5">
      <w:pPr>
        <w:spacing w:line="360" w:lineRule="auto"/>
        <w:rPr>
          <w:rFonts w:ascii="Times New Roman" w:hAnsi="Times New Roman" w:cs="Times New Roman"/>
          <w:sz w:val="24"/>
          <w:szCs w:val="24"/>
        </w:rPr>
      </w:pPr>
    </w:p>
    <w:p w14:paraId="15CB159C" w14:textId="50726A5C"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910120" w:rsidRPr="00796736">
        <w:rPr>
          <w:rFonts w:ascii="Times New Roman" w:hAnsi="Times New Roman" w:cs="Times New Roman"/>
          <w:sz w:val="24"/>
          <w:szCs w:val="24"/>
        </w:rPr>
        <w:fldChar w:fldCharType="begin"/>
      </w:r>
      <w:r w:rsidR="00910120" w:rsidRPr="00796736">
        <w:rPr>
          <w:rFonts w:ascii="Times New Roman" w:hAnsi="Times New Roman" w:cs="Times New Roman"/>
          <w:sz w:val="24"/>
          <w:szCs w:val="24"/>
        </w:rPr>
        <w:instrText xml:space="preserve"> REF _Ref232595750 \r \h </w:instrText>
      </w:r>
      <w:r w:rsidR="00967618" w:rsidRPr="00796736">
        <w:rPr>
          <w:rFonts w:ascii="Times New Roman" w:hAnsi="Times New Roman" w:cs="Times New Roman"/>
          <w:sz w:val="24"/>
          <w:szCs w:val="24"/>
        </w:rPr>
        <w:instrText xml:space="preserve"> \* MERGEFORMAT </w:instrText>
      </w:r>
      <w:r w:rsidR="00910120" w:rsidRPr="00796736">
        <w:rPr>
          <w:rFonts w:ascii="Times New Roman" w:hAnsi="Times New Roman" w:cs="Times New Roman"/>
          <w:sz w:val="24"/>
          <w:szCs w:val="24"/>
        </w:rPr>
      </w:r>
      <w:r w:rsidR="0091012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18</w:t>
      </w:r>
      <w:r w:rsidR="00910120" w:rsidRPr="00796736">
        <w:rPr>
          <w:rFonts w:ascii="Times New Roman" w:hAnsi="Times New Roman" w:cs="Times New Roman"/>
          <w:sz w:val="24"/>
          <w:szCs w:val="24"/>
        </w:rPr>
        <w:fldChar w:fldCharType="end"/>
      </w:r>
      <w:r w:rsidR="0091012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har til formål at gennemføre hvidvaskdirektivets artikel 23. </w:t>
      </w:r>
    </w:p>
    <w:p w14:paraId="2B08C509" w14:textId="77777777" w:rsidR="00BF3BC5" w:rsidRPr="00796736" w:rsidRDefault="00BF3BC5" w:rsidP="00A802A5">
      <w:pPr>
        <w:spacing w:line="360" w:lineRule="auto"/>
        <w:rPr>
          <w:rFonts w:ascii="Times New Roman" w:hAnsi="Times New Roman" w:cs="Times New Roman"/>
          <w:sz w:val="24"/>
          <w:szCs w:val="24"/>
        </w:rPr>
      </w:pPr>
    </w:p>
    <w:p w14:paraId="0A7BA910" w14:textId="21E4B7CE" w:rsidR="00BF3BC5" w:rsidRPr="00796736" w:rsidRDefault="00BF3BC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B93B86" w:rsidRPr="00796736">
        <w:rPr>
          <w:rFonts w:ascii="Times New Roman" w:hAnsi="Times New Roman" w:cs="Times New Roman"/>
          <w:sz w:val="24"/>
          <w:szCs w:val="24"/>
        </w:rPr>
        <w:fldChar w:fldCharType="begin"/>
      </w:r>
      <w:r w:rsidR="00B93B86" w:rsidRPr="00796736">
        <w:rPr>
          <w:rFonts w:ascii="Times New Roman" w:hAnsi="Times New Roman" w:cs="Times New Roman"/>
          <w:sz w:val="24"/>
          <w:szCs w:val="24"/>
        </w:rPr>
        <w:instrText xml:space="preserve"> REF _Ref232943286 \n \h </w:instrText>
      </w:r>
      <w:r w:rsidR="00967618" w:rsidRPr="00796736">
        <w:rPr>
          <w:rFonts w:ascii="Times New Roman" w:hAnsi="Times New Roman" w:cs="Times New Roman"/>
          <w:sz w:val="24"/>
          <w:szCs w:val="24"/>
        </w:rPr>
        <w:instrText xml:space="preserve"> \* MERGEFORMAT </w:instrText>
      </w:r>
      <w:r w:rsidR="00B93B86" w:rsidRPr="00796736">
        <w:rPr>
          <w:rFonts w:ascii="Times New Roman" w:hAnsi="Times New Roman" w:cs="Times New Roman"/>
          <w:sz w:val="24"/>
          <w:szCs w:val="24"/>
        </w:rPr>
      </w:r>
      <w:r w:rsidR="00B93B8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3.17</w:t>
      </w:r>
      <w:r w:rsidR="00B93B86" w:rsidRPr="00796736">
        <w:rPr>
          <w:rFonts w:ascii="Times New Roman" w:hAnsi="Times New Roman" w:cs="Times New Roman"/>
          <w:sz w:val="24"/>
          <w:szCs w:val="24"/>
        </w:rPr>
        <w:fldChar w:fldCharType="end"/>
      </w:r>
      <w:r w:rsidR="00B93B86"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82970A9" w14:textId="77777777" w:rsidR="00BF3BC5" w:rsidRPr="00796736" w:rsidRDefault="00BF3BC5" w:rsidP="00A802A5">
      <w:pPr>
        <w:spacing w:line="360" w:lineRule="auto"/>
        <w:rPr>
          <w:rFonts w:ascii="Times New Roman" w:hAnsi="Times New Roman" w:cs="Times New Roman"/>
          <w:i/>
          <w:iCs/>
          <w:sz w:val="24"/>
          <w:szCs w:val="24"/>
        </w:rPr>
      </w:pPr>
    </w:p>
    <w:p w14:paraId="279B18D8" w14:textId="77777777" w:rsidR="00BF3BC5" w:rsidRPr="00796736" w:rsidRDefault="00BF3BC5" w:rsidP="00A802A5">
      <w:pPr>
        <w:spacing w:line="360" w:lineRule="auto"/>
        <w:jc w:val="center"/>
        <w:rPr>
          <w:rFonts w:ascii="Times New Roman" w:hAnsi="Times New Roman" w:cs="Times New Roman"/>
          <w:i/>
          <w:iCs/>
          <w:sz w:val="24"/>
          <w:szCs w:val="24"/>
        </w:rPr>
      </w:pPr>
    </w:p>
    <w:p w14:paraId="5D0E96FB" w14:textId="7469AF29" w:rsidR="00B42CB6" w:rsidRPr="00796736" w:rsidRDefault="001D0A32" w:rsidP="00A802A5">
      <w:pPr>
        <w:pStyle w:val="Undertitel"/>
      </w:pPr>
      <w:bookmarkStart w:id="1907" w:name="_Toc232109351"/>
      <w:bookmarkStart w:id="1908" w:name="_Toc244879315"/>
      <w:bookmarkStart w:id="1909" w:name="_Toc244880840"/>
      <w:r w:rsidRPr="00796736">
        <w:t xml:space="preserve">Til </w:t>
      </w:r>
      <w:r w:rsidR="00161898" w:rsidRPr="00796736">
        <w:fldChar w:fldCharType="begin"/>
      </w:r>
      <w:r w:rsidR="00161898" w:rsidRPr="00796736">
        <w:instrText xml:space="preserve"> REF _Ref232595777 \r \h </w:instrText>
      </w:r>
      <w:r w:rsidR="00967618" w:rsidRPr="00796736">
        <w:instrText xml:space="preserve"> \* MERGEFORMAT </w:instrText>
      </w:r>
      <w:r w:rsidR="00161898" w:rsidRPr="00796736">
        <w:fldChar w:fldCharType="separate"/>
      </w:r>
      <w:r w:rsidR="008F29E5">
        <w:t>§ 19</w:t>
      </w:r>
      <w:bookmarkEnd w:id="1908"/>
      <w:bookmarkEnd w:id="1909"/>
      <w:r w:rsidR="00161898" w:rsidRPr="00796736">
        <w:fldChar w:fldCharType="end"/>
      </w:r>
      <w:bookmarkEnd w:id="1907"/>
    </w:p>
    <w:p w14:paraId="0C6F658A"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 indeholder ikke i dag regler om Hvidvasksekretariatets adgang til at suspendere eller tilbageholde godkendelse af en transaktion m.v., men der er i hvidvasklovens § 26, stk. 4 og 6, fastsat regler om, at der i visse situationer skal indhentes godkendelse fra Hvidvasksekretariatet, før en transaktion kan gennemføres. </w:t>
      </w:r>
    </w:p>
    <w:p w14:paraId="7AA65983" w14:textId="77777777" w:rsidR="009B79DC" w:rsidRPr="00796736" w:rsidRDefault="009B79DC" w:rsidP="00A802A5">
      <w:pPr>
        <w:spacing w:line="360" w:lineRule="auto"/>
        <w:rPr>
          <w:rFonts w:ascii="Times New Roman" w:hAnsi="Times New Roman" w:cs="Times New Roman"/>
          <w:sz w:val="24"/>
          <w:szCs w:val="24"/>
        </w:rPr>
      </w:pPr>
    </w:p>
    <w:p w14:paraId="5AC4F3F2" w14:textId="77777777" w:rsidR="009B79DC" w:rsidRPr="00796736"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af hvidvaskforordningens artikel 71, at forpligtede enheder skal undlade at gennemføre transaktioner, som de ved har eller mitænker for at have tilknytning til udbytte fra kriminelle handlinger eller til finansiering af terrorisme, indtil de har truffet de nødvendige foranstaltninger, jf. forordningens artikel 69, stk. 1, første afsnit, litra a, og efterkommet eventuelle yderligere specifikke instrukser fra FIU’er eller en anden kompetent myndighed i overensstemmelse med gældende ret. Forpligtede enheder kan gennemføre den pågældende transaktion efter at have vurderet risiciene ved at gå videre med transaktionen, hvis de ikke har modtaget instrukser om det modsatte fra FIU'en senest tre arbejdsdage efter indgivelsen af indberetningen.</w:t>
      </w:r>
    </w:p>
    <w:p w14:paraId="50CF6068" w14:textId="77777777" w:rsidR="009B79DC" w:rsidRPr="00796736" w:rsidRDefault="009B79DC" w:rsidP="00A802A5">
      <w:pPr>
        <w:spacing w:line="360" w:lineRule="auto"/>
        <w:rPr>
          <w:rFonts w:ascii="Times New Roman" w:hAnsi="Times New Roman" w:cs="Times New Roman"/>
          <w:sz w:val="24"/>
          <w:szCs w:val="24"/>
        </w:rPr>
      </w:pPr>
    </w:p>
    <w:p w14:paraId="7E6B1227" w14:textId="5FDF133A" w:rsidR="009B79DC" w:rsidRDefault="009B7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stk. 2 underretter den forpligtede enhed FIU'en umiddelbart efter at have gennemført transaktionen, hvis det ikke er muligt for en forpligtet enhed at undlade at gennemføre en transaktion som omhandlet i stk. 1, eller hvis det er sandsynligt, at undladelse ville være til hinder for bestræbelser for retsforfølgning af de personer, der drager fordel af en mistænkelig transaktion</w:t>
      </w:r>
      <w:r w:rsidR="002128F7">
        <w:rPr>
          <w:rFonts w:ascii="Times New Roman" w:hAnsi="Times New Roman" w:cs="Times New Roman"/>
          <w:sz w:val="24"/>
          <w:szCs w:val="24"/>
        </w:rPr>
        <w:t>.</w:t>
      </w:r>
    </w:p>
    <w:p w14:paraId="21BB50A8" w14:textId="77777777" w:rsidR="002128F7" w:rsidRDefault="002128F7" w:rsidP="00A802A5">
      <w:pPr>
        <w:spacing w:line="360" w:lineRule="auto"/>
        <w:rPr>
          <w:rFonts w:ascii="Times New Roman" w:hAnsi="Times New Roman" w:cs="Times New Roman"/>
          <w:sz w:val="24"/>
          <w:szCs w:val="24"/>
        </w:rPr>
      </w:pPr>
    </w:p>
    <w:p w14:paraId="7869EE77" w14:textId="5EF84AFB" w:rsidR="002128F7" w:rsidRPr="00796736" w:rsidRDefault="002128F7" w:rsidP="00A802A5">
      <w:pPr>
        <w:spacing w:line="360" w:lineRule="auto"/>
        <w:rPr>
          <w:rFonts w:ascii="Times New Roman" w:hAnsi="Times New Roman" w:cs="Times New Roman"/>
          <w:sz w:val="24"/>
          <w:szCs w:val="24"/>
        </w:rPr>
      </w:pPr>
      <w:r>
        <w:rPr>
          <w:rFonts w:ascii="Times New Roman" w:hAnsi="Times New Roman" w:cs="Times New Roman"/>
          <w:sz w:val="24"/>
          <w:szCs w:val="24"/>
        </w:rPr>
        <w:t>Bestemmelsen i artikel 71 viderefører og udbygger, hvad der følger af gældende ret i medfør af hvidvasklovens § 26. Pengeinstitutter mv. er således fortsat forpligtet til at undlade at gennemføre transaktioner efter reglerne i bestemmelsen.</w:t>
      </w:r>
    </w:p>
    <w:p w14:paraId="13EF0446" w14:textId="77777777" w:rsidR="009B79DC" w:rsidRPr="00796736" w:rsidRDefault="009B79DC" w:rsidP="00A802A5">
      <w:pPr>
        <w:spacing w:line="360" w:lineRule="auto"/>
        <w:rPr>
          <w:rFonts w:ascii="Times New Roman" w:hAnsi="Times New Roman" w:cs="Times New Roman"/>
          <w:sz w:val="24"/>
          <w:szCs w:val="24"/>
        </w:rPr>
      </w:pPr>
    </w:p>
    <w:p w14:paraId="4863C8D1" w14:textId="0C440CA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beskrivelse af gældende ret henvises til pkt. </w:t>
      </w:r>
      <w:r w:rsidR="00B93B86" w:rsidRPr="00796736">
        <w:rPr>
          <w:rFonts w:ascii="Times New Roman" w:hAnsi="Times New Roman" w:cs="Times New Roman"/>
          <w:sz w:val="24"/>
          <w:szCs w:val="24"/>
        </w:rPr>
        <w:fldChar w:fldCharType="begin"/>
      </w:r>
      <w:r w:rsidR="00B93B86" w:rsidRPr="00796736">
        <w:rPr>
          <w:rFonts w:ascii="Times New Roman" w:hAnsi="Times New Roman" w:cs="Times New Roman"/>
          <w:sz w:val="24"/>
          <w:szCs w:val="24"/>
        </w:rPr>
        <w:instrText xml:space="preserve"> REF _Ref232943303 \n \h </w:instrText>
      </w:r>
      <w:r w:rsidR="00967618" w:rsidRPr="00796736">
        <w:rPr>
          <w:rFonts w:ascii="Times New Roman" w:hAnsi="Times New Roman" w:cs="Times New Roman"/>
          <w:sz w:val="24"/>
          <w:szCs w:val="24"/>
        </w:rPr>
        <w:instrText xml:space="preserve"> \* MERGEFORMAT </w:instrText>
      </w:r>
      <w:r w:rsidR="00B93B86" w:rsidRPr="00796736">
        <w:rPr>
          <w:rFonts w:ascii="Times New Roman" w:hAnsi="Times New Roman" w:cs="Times New Roman"/>
          <w:sz w:val="24"/>
          <w:szCs w:val="24"/>
        </w:rPr>
      </w:r>
      <w:r w:rsidR="00B93B8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3.18.1</w:t>
      </w:r>
      <w:r w:rsidR="00B93B86" w:rsidRPr="00796736">
        <w:rPr>
          <w:rFonts w:ascii="Times New Roman" w:hAnsi="Times New Roman" w:cs="Times New Roman"/>
          <w:sz w:val="24"/>
          <w:szCs w:val="24"/>
        </w:rPr>
        <w:fldChar w:fldCharType="end"/>
      </w:r>
      <w:r w:rsidR="00B93B86"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6864CC7" w14:textId="77777777" w:rsidR="001D0A32" w:rsidRPr="00796736" w:rsidRDefault="001D0A32" w:rsidP="00A802A5">
      <w:pPr>
        <w:spacing w:line="360" w:lineRule="auto"/>
        <w:rPr>
          <w:rFonts w:ascii="Times New Roman" w:hAnsi="Times New Roman" w:cs="Times New Roman"/>
          <w:sz w:val="24"/>
          <w:szCs w:val="24"/>
        </w:rPr>
      </w:pPr>
    </w:p>
    <w:p w14:paraId="60469271" w14:textId="77777777" w:rsidR="00D9257D" w:rsidRPr="00D253F0" w:rsidRDefault="00D9257D" w:rsidP="00D9257D">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Det foreslås med </w:t>
      </w:r>
      <w:r w:rsidRPr="00D253F0">
        <w:rPr>
          <w:rFonts w:ascii="Times New Roman" w:hAnsi="Times New Roman" w:cs="Times New Roman"/>
          <w:i/>
          <w:iCs/>
          <w:sz w:val="24"/>
          <w:szCs w:val="24"/>
        </w:rPr>
        <w:t>stk. 1</w:t>
      </w:r>
      <w:r w:rsidRPr="00D253F0">
        <w:rPr>
          <w:rFonts w:ascii="Times New Roman" w:hAnsi="Times New Roman" w:cs="Times New Roman"/>
          <w:sz w:val="24"/>
          <w:szCs w:val="24"/>
        </w:rPr>
        <w:t xml:space="preserve">, at Hvidvasksekretariatet kan </w:t>
      </w:r>
      <w:r>
        <w:rPr>
          <w:rFonts w:ascii="Times New Roman" w:hAnsi="Times New Roman" w:cs="Times New Roman"/>
          <w:sz w:val="24"/>
          <w:szCs w:val="24"/>
        </w:rPr>
        <w:t xml:space="preserve">tage hastende tiltag ved at </w:t>
      </w:r>
      <w:r w:rsidRPr="00D253F0">
        <w:rPr>
          <w:rFonts w:ascii="Times New Roman" w:hAnsi="Times New Roman" w:cs="Times New Roman"/>
          <w:sz w:val="24"/>
          <w:szCs w:val="24"/>
        </w:rPr>
        <w:t xml:space="preserve">påbyde </w:t>
      </w:r>
      <w:r>
        <w:rPr>
          <w:rFonts w:ascii="Times New Roman" w:hAnsi="Times New Roman" w:cs="Times New Roman"/>
          <w:sz w:val="24"/>
          <w:szCs w:val="24"/>
        </w:rPr>
        <w:t>virksomheder eller personer</w:t>
      </w:r>
      <w:r w:rsidRPr="00D253F0">
        <w:rPr>
          <w:rFonts w:ascii="Times New Roman" w:hAnsi="Times New Roman" w:cs="Times New Roman"/>
          <w:sz w:val="24"/>
          <w:szCs w:val="24"/>
        </w:rPr>
        <w:t xml:space="preserve"> </w:t>
      </w:r>
      <w:r>
        <w:rPr>
          <w:rFonts w:ascii="Times New Roman" w:hAnsi="Times New Roman" w:cs="Times New Roman"/>
          <w:sz w:val="24"/>
          <w:szCs w:val="24"/>
        </w:rPr>
        <w:t xml:space="preserve">at </w:t>
      </w:r>
      <w:r w:rsidRPr="00D253F0">
        <w:rPr>
          <w:rFonts w:ascii="Times New Roman" w:hAnsi="Times New Roman" w:cs="Times New Roman"/>
          <w:sz w:val="24"/>
          <w:szCs w:val="24"/>
        </w:rPr>
        <w:t>suspendere gennemførelsen af en transaktion</w:t>
      </w:r>
      <w:r>
        <w:rPr>
          <w:rFonts w:ascii="Times New Roman" w:hAnsi="Times New Roman" w:cs="Times New Roman"/>
          <w:sz w:val="24"/>
          <w:szCs w:val="24"/>
        </w:rPr>
        <w:t xml:space="preserve"> eller</w:t>
      </w:r>
      <w:r w:rsidRPr="00D253F0">
        <w:rPr>
          <w:rFonts w:ascii="Times New Roman" w:hAnsi="Times New Roman" w:cs="Times New Roman"/>
          <w:sz w:val="24"/>
          <w:szCs w:val="24"/>
        </w:rPr>
        <w:t xml:space="preserve"> tilbageholde godkendelsen af transaktionen, når der er mistanke om, at en transaktion er forbundet med hvidvask, de underliggende lovovertrædelser eller </w:t>
      </w:r>
      <w:r>
        <w:rPr>
          <w:rFonts w:ascii="Times New Roman" w:hAnsi="Times New Roman" w:cs="Times New Roman"/>
          <w:sz w:val="24"/>
          <w:szCs w:val="24"/>
        </w:rPr>
        <w:t>terror</w:t>
      </w:r>
      <w:r w:rsidRPr="00D253F0">
        <w:rPr>
          <w:rFonts w:ascii="Times New Roman" w:hAnsi="Times New Roman" w:cs="Times New Roman"/>
          <w:sz w:val="24"/>
          <w:szCs w:val="24"/>
        </w:rPr>
        <w:t>finansiering med henblik på</w:t>
      </w:r>
      <w:r>
        <w:rPr>
          <w:rFonts w:ascii="Times New Roman" w:hAnsi="Times New Roman" w:cs="Times New Roman"/>
          <w:sz w:val="24"/>
          <w:szCs w:val="24"/>
        </w:rPr>
        <w:t>,</w:t>
      </w:r>
      <w:r w:rsidRPr="00D253F0">
        <w:rPr>
          <w:rFonts w:ascii="Times New Roman" w:hAnsi="Times New Roman" w:cs="Times New Roman"/>
          <w:sz w:val="24"/>
          <w:szCs w:val="24"/>
        </w:rPr>
        <w:t xml:space="preserve"> at </w:t>
      </w:r>
      <w:r>
        <w:rPr>
          <w:rFonts w:ascii="Times New Roman" w:hAnsi="Times New Roman" w:cs="Times New Roman"/>
          <w:sz w:val="24"/>
          <w:szCs w:val="24"/>
        </w:rPr>
        <w:t xml:space="preserve">midlerne </w:t>
      </w:r>
      <w:r w:rsidRPr="00D253F0">
        <w:rPr>
          <w:rFonts w:ascii="Times New Roman" w:hAnsi="Times New Roman" w:cs="Times New Roman"/>
          <w:sz w:val="24"/>
          <w:szCs w:val="24"/>
        </w:rPr>
        <w:t>bevare</w:t>
      </w:r>
      <w:r>
        <w:rPr>
          <w:rFonts w:ascii="Times New Roman" w:hAnsi="Times New Roman" w:cs="Times New Roman"/>
          <w:sz w:val="24"/>
          <w:szCs w:val="24"/>
        </w:rPr>
        <w:t>s</w:t>
      </w:r>
      <w:r w:rsidRPr="00D253F0">
        <w:rPr>
          <w:rFonts w:ascii="Times New Roman" w:hAnsi="Times New Roman" w:cs="Times New Roman"/>
          <w:sz w:val="24"/>
          <w:szCs w:val="24"/>
        </w:rPr>
        <w:t>, foretage sine analyser, herunder analyse af transaktionen, og vurdere, om mistanken kan bekræftes. Vurderer Hvidvasksekretariatet, at mistanken kan bekræftes, formidler Hvidvasksekretariatet resultaterne af analyserne til de relevante kompetente myndigheder</w:t>
      </w:r>
      <w:r>
        <w:rPr>
          <w:rFonts w:ascii="Times New Roman" w:hAnsi="Times New Roman" w:cs="Times New Roman"/>
          <w:sz w:val="24"/>
          <w:szCs w:val="24"/>
        </w:rPr>
        <w:t xml:space="preserve"> og tilsynsorganer</w:t>
      </w:r>
      <w:r w:rsidRPr="00D253F0">
        <w:rPr>
          <w:rFonts w:ascii="Times New Roman" w:hAnsi="Times New Roman" w:cs="Times New Roman"/>
          <w:sz w:val="24"/>
          <w:szCs w:val="24"/>
        </w:rPr>
        <w:t xml:space="preserve">, således at der kan træffes passende foranstaltninger. </w:t>
      </w:r>
    </w:p>
    <w:p w14:paraId="7B04A994" w14:textId="77777777" w:rsidR="002128F7" w:rsidRPr="00D253F0" w:rsidRDefault="002128F7" w:rsidP="00A802A5">
      <w:pPr>
        <w:spacing w:line="360" w:lineRule="auto"/>
        <w:rPr>
          <w:rFonts w:ascii="Times New Roman" w:hAnsi="Times New Roman" w:cs="Times New Roman"/>
          <w:sz w:val="24"/>
          <w:szCs w:val="24"/>
        </w:rPr>
      </w:pPr>
    </w:p>
    <w:p w14:paraId="7CEA92D1" w14:textId="77777777" w:rsidR="002128F7" w:rsidRPr="00D253F0"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Den foreslåede bestemmelse vil indebære, at Hvidvasksekretariatet vil kunne meddele påbud til </w:t>
      </w:r>
      <w:r>
        <w:rPr>
          <w:rFonts w:ascii="Times New Roman" w:hAnsi="Times New Roman" w:cs="Times New Roman"/>
          <w:sz w:val="24"/>
          <w:szCs w:val="24"/>
        </w:rPr>
        <w:t>virksomheder eller personer</w:t>
      </w:r>
      <w:r w:rsidRPr="00D253F0">
        <w:rPr>
          <w:rFonts w:ascii="Times New Roman" w:hAnsi="Times New Roman" w:cs="Times New Roman"/>
          <w:sz w:val="24"/>
          <w:szCs w:val="24"/>
        </w:rPr>
        <w:t xml:space="preserve"> om at tage hastende tiltag til at suspendere</w:t>
      </w:r>
      <w:r>
        <w:rPr>
          <w:rFonts w:ascii="Times New Roman" w:hAnsi="Times New Roman" w:cs="Times New Roman"/>
          <w:sz w:val="24"/>
          <w:szCs w:val="24"/>
        </w:rPr>
        <w:t xml:space="preserve"> gennemførelsen af en transaktion</w:t>
      </w:r>
      <w:r w:rsidRPr="00D253F0">
        <w:rPr>
          <w:rFonts w:ascii="Times New Roman" w:hAnsi="Times New Roman" w:cs="Times New Roman"/>
          <w:sz w:val="24"/>
          <w:szCs w:val="24"/>
        </w:rPr>
        <w:t xml:space="preserve"> eller vil kunne tilbageholde en godkendelse</w:t>
      </w:r>
      <w:r>
        <w:rPr>
          <w:rFonts w:ascii="Times New Roman" w:hAnsi="Times New Roman" w:cs="Times New Roman"/>
          <w:sz w:val="24"/>
          <w:szCs w:val="24"/>
        </w:rPr>
        <w:t>n her</w:t>
      </w:r>
      <w:r w:rsidRPr="00D253F0">
        <w:rPr>
          <w:rFonts w:ascii="Times New Roman" w:hAnsi="Times New Roman" w:cs="Times New Roman"/>
          <w:sz w:val="24"/>
          <w:szCs w:val="24"/>
        </w:rPr>
        <w:t xml:space="preserve">af, når der er mistanke om, at en transaktion er forbundet med </w:t>
      </w:r>
      <w:r>
        <w:rPr>
          <w:rFonts w:ascii="Times New Roman" w:hAnsi="Times New Roman" w:cs="Times New Roman"/>
          <w:sz w:val="24"/>
          <w:szCs w:val="24"/>
        </w:rPr>
        <w:t>hvidvask</w:t>
      </w:r>
      <w:r w:rsidRPr="00D253F0">
        <w:rPr>
          <w:rFonts w:ascii="Times New Roman" w:hAnsi="Times New Roman" w:cs="Times New Roman"/>
          <w:sz w:val="24"/>
          <w:szCs w:val="24"/>
        </w:rPr>
        <w:t xml:space="preserve">, de underliggende lovovertrædelser eller </w:t>
      </w:r>
      <w:r>
        <w:rPr>
          <w:rFonts w:ascii="Times New Roman" w:hAnsi="Times New Roman" w:cs="Times New Roman"/>
          <w:sz w:val="24"/>
          <w:szCs w:val="24"/>
        </w:rPr>
        <w:t>terror</w:t>
      </w:r>
      <w:r w:rsidRPr="00D253F0">
        <w:rPr>
          <w:rFonts w:ascii="Times New Roman" w:hAnsi="Times New Roman" w:cs="Times New Roman"/>
          <w:sz w:val="24"/>
          <w:szCs w:val="24"/>
        </w:rPr>
        <w:t xml:space="preserve">finansiering. </w:t>
      </w:r>
    </w:p>
    <w:p w14:paraId="45300283" w14:textId="77777777" w:rsidR="001A67B5" w:rsidRPr="00796736" w:rsidRDefault="001A67B5" w:rsidP="00A802A5">
      <w:pPr>
        <w:spacing w:line="360" w:lineRule="auto"/>
        <w:rPr>
          <w:rFonts w:ascii="Times New Roman" w:hAnsi="Times New Roman" w:cs="Times New Roman"/>
          <w:sz w:val="24"/>
          <w:szCs w:val="24"/>
        </w:rPr>
      </w:pPr>
    </w:p>
    <w:p w14:paraId="0FA6346D" w14:textId="77777777" w:rsidR="002128F7" w:rsidRPr="00D253F0"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Foruden mistankekravet til transaktionen, vil et påbud </w:t>
      </w:r>
      <w:r>
        <w:rPr>
          <w:rFonts w:ascii="Times New Roman" w:hAnsi="Times New Roman" w:cs="Times New Roman"/>
          <w:sz w:val="24"/>
          <w:szCs w:val="24"/>
        </w:rPr>
        <w:t xml:space="preserve">eller tilbageholdelse af en godkendelse </w:t>
      </w:r>
      <w:r w:rsidRPr="00D253F0">
        <w:rPr>
          <w:rFonts w:ascii="Times New Roman" w:hAnsi="Times New Roman" w:cs="Times New Roman"/>
          <w:sz w:val="24"/>
          <w:szCs w:val="24"/>
        </w:rPr>
        <w:t xml:space="preserve">endvidere skulle være nødvendigt af hensyn til en række kumulative betingelser. For det første vil det være et krav, at påbuddet </w:t>
      </w:r>
      <w:r>
        <w:rPr>
          <w:rFonts w:ascii="Times New Roman" w:hAnsi="Times New Roman" w:cs="Times New Roman"/>
          <w:sz w:val="24"/>
          <w:szCs w:val="24"/>
        </w:rPr>
        <w:t xml:space="preserve">eller tilbageholdelsen af godkendelsen </w:t>
      </w:r>
      <w:r w:rsidRPr="00D253F0">
        <w:rPr>
          <w:rFonts w:ascii="Times New Roman" w:hAnsi="Times New Roman" w:cs="Times New Roman"/>
          <w:sz w:val="24"/>
          <w:szCs w:val="24"/>
        </w:rPr>
        <w:t xml:space="preserve">sker med henblik på at bevare midlerne. Herved forstås, at midlerne ikke gøres til genstand for transaktion, overførsel eller anden disposition, men forbliver på den konto mv. eller det sted, som de befandt sig på ved påbuddets meddelelse. </w:t>
      </w:r>
    </w:p>
    <w:p w14:paraId="09A83686" w14:textId="77777777" w:rsidR="001A67B5" w:rsidRPr="00796736" w:rsidRDefault="001A67B5" w:rsidP="00A802A5">
      <w:pPr>
        <w:spacing w:line="360" w:lineRule="auto"/>
        <w:rPr>
          <w:rFonts w:ascii="Times New Roman" w:hAnsi="Times New Roman" w:cs="Times New Roman"/>
          <w:sz w:val="24"/>
          <w:szCs w:val="24"/>
        </w:rPr>
      </w:pPr>
    </w:p>
    <w:p w14:paraId="15407AEA" w14:textId="629B4766" w:rsidR="001A67B5" w:rsidRPr="00796736"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Det vil for det andet være et krav, at påbuddet </w:t>
      </w:r>
      <w:r>
        <w:rPr>
          <w:rFonts w:ascii="Times New Roman" w:hAnsi="Times New Roman" w:cs="Times New Roman"/>
          <w:sz w:val="24"/>
          <w:szCs w:val="24"/>
        </w:rPr>
        <w:t xml:space="preserve">eller tilbageholdelsen </w:t>
      </w:r>
      <w:r w:rsidRPr="00D253F0">
        <w:rPr>
          <w:rFonts w:ascii="Times New Roman" w:hAnsi="Times New Roman" w:cs="Times New Roman"/>
          <w:sz w:val="24"/>
          <w:szCs w:val="24"/>
        </w:rPr>
        <w:t xml:space="preserve">meddeles med henblik på Hvidvasksekretariatets analyse, herunder analyse af transaktionen. Med analyse forstås Hvidvasksekretariatets opgaver, jf. nærmere herom den foreslåede </w:t>
      </w:r>
      <w:r w:rsidR="001A67B5" w:rsidRPr="00796736">
        <w:rPr>
          <w:rFonts w:ascii="Times New Roman" w:hAnsi="Times New Roman" w:cs="Times New Roman"/>
          <w:sz w:val="24"/>
          <w:szCs w:val="24"/>
        </w:rPr>
        <w:fldChar w:fldCharType="begin"/>
      </w:r>
      <w:r w:rsidR="001A67B5" w:rsidRPr="00796736">
        <w:rPr>
          <w:rFonts w:ascii="Times New Roman" w:hAnsi="Times New Roman" w:cs="Times New Roman"/>
          <w:sz w:val="24"/>
          <w:szCs w:val="24"/>
        </w:rPr>
        <w:instrText xml:space="preserve"> REF _Ref239689279 \r \h </w:instrText>
      </w:r>
      <w:r w:rsidR="00F375BF" w:rsidRPr="00796736">
        <w:rPr>
          <w:rFonts w:ascii="Times New Roman" w:hAnsi="Times New Roman" w:cs="Times New Roman"/>
          <w:sz w:val="24"/>
          <w:szCs w:val="24"/>
        </w:rPr>
        <w:instrText xml:space="preserve"> \* MERGEFORMAT </w:instrText>
      </w:r>
      <w:r w:rsidR="001A67B5" w:rsidRPr="00796736">
        <w:rPr>
          <w:rFonts w:ascii="Times New Roman" w:hAnsi="Times New Roman" w:cs="Times New Roman"/>
          <w:sz w:val="24"/>
          <w:szCs w:val="24"/>
        </w:rPr>
      </w:r>
      <w:r w:rsidR="001A67B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14</w:t>
      </w:r>
      <w:r w:rsidR="001A67B5" w:rsidRPr="00796736">
        <w:rPr>
          <w:rFonts w:ascii="Times New Roman" w:hAnsi="Times New Roman" w:cs="Times New Roman"/>
          <w:sz w:val="24"/>
          <w:szCs w:val="24"/>
        </w:rPr>
        <w:fldChar w:fldCharType="end"/>
      </w:r>
      <w:r w:rsidR="001A67B5" w:rsidRPr="00796736">
        <w:rPr>
          <w:rFonts w:ascii="Times New Roman" w:hAnsi="Times New Roman" w:cs="Times New Roman"/>
          <w:sz w:val="24"/>
          <w:szCs w:val="24"/>
        </w:rPr>
        <w:t>, stk. 2.</w:t>
      </w:r>
    </w:p>
    <w:p w14:paraId="65B81A61" w14:textId="77777777" w:rsidR="001A67B5" w:rsidRPr="00796736" w:rsidRDefault="001A67B5" w:rsidP="00A802A5">
      <w:pPr>
        <w:spacing w:line="360" w:lineRule="auto"/>
        <w:rPr>
          <w:rFonts w:ascii="Times New Roman" w:hAnsi="Times New Roman" w:cs="Times New Roman"/>
          <w:sz w:val="24"/>
          <w:szCs w:val="24"/>
        </w:rPr>
      </w:pPr>
    </w:p>
    <w:p w14:paraId="62D8DDFE" w14:textId="197FF9FD"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På denne baggrund vil Hvidvasksekretariatet skulle vurdere, om mistanken kan bekræftes, og i så fald formidle resultaterne af analyserne til de relevante kompetente myndigheder, således at der kan træffes passende foranstaltninger.  </w:t>
      </w:r>
    </w:p>
    <w:p w14:paraId="27C8A415" w14:textId="77777777" w:rsidR="001D0A32" w:rsidRPr="00796736" w:rsidRDefault="001D0A32" w:rsidP="00A802A5">
      <w:pPr>
        <w:spacing w:line="360" w:lineRule="auto"/>
        <w:rPr>
          <w:rFonts w:ascii="Times New Roman" w:hAnsi="Times New Roman" w:cs="Times New Roman"/>
          <w:sz w:val="24"/>
          <w:szCs w:val="24"/>
        </w:rPr>
      </w:pPr>
    </w:p>
    <w:p w14:paraId="7F1C0729" w14:textId="5D6B012E"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»hastende tiltag« forstås, at Hvidvasksekretariatet hurtigst muligt, og i tilfælde omfattet af stk. 2, jf. stk. 1, inden 3 arbejdsdage, </w:t>
      </w:r>
      <w:r w:rsidR="002128F7" w:rsidRPr="00D253F0">
        <w:rPr>
          <w:rFonts w:ascii="Times New Roman" w:hAnsi="Times New Roman" w:cs="Times New Roman"/>
          <w:sz w:val="24"/>
          <w:szCs w:val="24"/>
        </w:rPr>
        <w:t>vil skulle meddele et påbud</w:t>
      </w:r>
      <w:r w:rsidR="002128F7">
        <w:rPr>
          <w:rFonts w:ascii="Times New Roman" w:hAnsi="Times New Roman" w:cs="Times New Roman"/>
          <w:sz w:val="24"/>
          <w:szCs w:val="24"/>
        </w:rPr>
        <w:t xml:space="preserve"> suspension eller beslutte at tilbageholde godkendelsen af transaktionen</w:t>
      </w:r>
      <w:r w:rsidR="002128F7" w:rsidRPr="00D253F0">
        <w:rPr>
          <w:rFonts w:ascii="Times New Roman" w:hAnsi="Times New Roman" w:cs="Times New Roman"/>
          <w:sz w:val="24"/>
          <w:szCs w:val="24"/>
        </w:rPr>
        <w:t>.</w:t>
      </w:r>
      <w:r w:rsidR="002128F7">
        <w:rPr>
          <w:rFonts w:ascii="Times New Roman" w:hAnsi="Times New Roman" w:cs="Times New Roman"/>
          <w:sz w:val="24"/>
          <w:szCs w:val="24"/>
        </w:rPr>
        <w:t xml:space="preserve"> Det bemærkes, at den relevante virksomhed eller person – ligesom efter hvidvasklovens § 29, stk. 4 – i medfør af hvidvaskforordningens artikel 71 vil være forpligtet til at undlade at gennemføre de relevante transaktioner og foretage indberetning til Hvidvasksekretariatet efter forordningens artikel 69, stk. 1, litra a, hvis den pågældende ved eller har mistænke om, at en transaktion har tilknytning til udbytte fra kriminelle handlinger eller terrorfinansiering. Den pågældende virksomhed eller person vil herefter som udgangspunkt efter tre dage kunne gennemføre transaktionen, </w:t>
      </w:r>
      <w:r w:rsidR="002128F7" w:rsidRPr="00002795">
        <w:rPr>
          <w:rFonts w:ascii="Times New Roman" w:hAnsi="Times New Roman" w:cs="Times New Roman"/>
          <w:sz w:val="24"/>
          <w:szCs w:val="24"/>
        </w:rPr>
        <w:t xml:space="preserve">har modtaget instrukser om det modsatte fra </w:t>
      </w:r>
      <w:r w:rsidR="002128F7">
        <w:rPr>
          <w:rFonts w:ascii="Times New Roman" w:hAnsi="Times New Roman" w:cs="Times New Roman"/>
          <w:sz w:val="24"/>
          <w:szCs w:val="24"/>
        </w:rPr>
        <w:t>Hvidvasksekretariatet</w:t>
      </w:r>
      <w:r w:rsidR="002128F7" w:rsidRPr="00002795">
        <w:rPr>
          <w:rFonts w:ascii="Times New Roman" w:hAnsi="Times New Roman" w:cs="Times New Roman"/>
          <w:sz w:val="24"/>
          <w:szCs w:val="24"/>
        </w:rPr>
        <w:t xml:space="preserve"> senest tre arbejdsdage efter indgivelsen af indberetningen</w:t>
      </w:r>
      <w:r w:rsidR="002128F7">
        <w:rPr>
          <w:rFonts w:ascii="Times New Roman" w:hAnsi="Times New Roman" w:cs="Times New Roman"/>
          <w:sz w:val="24"/>
          <w:szCs w:val="24"/>
        </w:rPr>
        <w:t>. En suspension af transaktionen eller tilbageholdelse af godkendelse efter den foreslåede bestemmelse vil udgøre sådanne instrukser.  Der henvises for yderligere herom til den foreslåede stk. 2.</w:t>
      </w:r>
    </w:p>
    <w:p w14:paraId="57DFB5D3" w14:textId="77777777" w:rsidR="00B42CB6" w:rsidRPr="00796736" w:rsidRDefault="00B42CB6" w:rsidP="00A802A5">
      <w:pPr>
        <w:spacing w:line="360" w:lineRule="auto"/>
        <w:rPr>
          <w:rFonts w:ascii="Times New Roman" w:hAnsi="Times New Roman" w:cs="Times New Roman"/>
          <w:sz w:val="24"/>
          <w:szCs w:val="24"/>
        </w:rPr>
      </w:pPr>
    </w:p>
    <w:p w14:paraId="3DAB70D5" w14:textId="09393BD3" w:rsidR="001D0A32"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Hvidvasksekretariatet vil med den foreslåede bestemmelse kunne meddele påbud direkte, hvorved forstås, at de meddeles </w:t>
      </w:r>
      <w:r>
        <w:rPr>
          <w:rFonts w:ascii="Times New Roman" w:hAnsi="Times New Roman" w:cs="Times New Roman"/>
          <w:sz w:val="24"/>
          <w:szCs w:val="24"/>
        </w:rPr>
        <w:t>virksomheder eller personer</w:t>
      </w:r>
      <w:r w:rsidRPr="00D253F0">
        <w:rPr>
          <w:rFonts w:ascii="Times New Roman" w:hAnsi="Times New Roman" w:cs="Times New Roman"/>
          <w:sz w:val="24"/>
          <w:szCs w:val="24"/>
        </w:rPr>
        <w:t xml:space="preserve"> uden mellemled. </w:t>
      </w:r>
    </w:p>
    <w:p w14:paraId="104A8C77" w14:textId="77777777" w:rsidR="002128F7" w:rsidRPr="00796736" w:rsidRDefault="002128F7" w:rsidP="00A802A5">
      <w:pPr>
        <w:spacing w:line="360" w:lineRule="auto"/>
        <w:rPr>
          <w:rFonts w:ascii="Times New Roman" w:hAnsi="Times New Roman" w:cs="Times New Roman"/>
          <w:sz w:val="24"/>
          <w:szCs w:val="24"/>
        </w:rPr>
      </w:pPr>
    </w:p>
    <w:p w14:paraId="0C5F72CD" w14:textId="77777777" w:rsidR="006D2968" w:rsidRPr="00796736" w:rsidRDefault="006D2968" w:rsidP="006D2968">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»relevante kompetente myndighed« forstås i overensstemmelse med definitionen i hvidvaskforordningens artikel 2, nr. 44 en tilsynsmyndighed (litra b), en offentlig myndighed, der har til opgave at efterforske eller retsforfølge i sager om hvidvask af penge, de underliggende lovovertrædelser eller finansiering af terrorisme, eller som har til opgave at opspore, beslaglægge eller indefryse og konfiskere kriminelle aktiver (litra c) eller en offentlig myndighed, der har fået til ansvar at bekæmpe hvidvask af penge og finansiering af terrorisme (litra d). Det forudsættes, at der med »relevante kompetente myndigheder i en dansk sammenhæng navnlig vil være tale om politiet, anklagemyndigheden, </w:t>
      </w:r>
      <w:r>
        <w:rPr>
          <w:rFonts w:ascii="Times New Roman" w:hAnsi="Times New Roman" w:cs="Times New Roman"/>
          <w:sz w:val="24"/>
          <w:szCs w:val="24"/>
        </w:rPr>
        <w:t>Hvidvaskenheden</w:t>
      </w:r>
      <w:r w:rsidRPr="00796736">
        <w:rPr>
          <w:rFonts w:ascii="Times New Roman" w:hAnsi="Times New Roman" w:cs="Times New Roman"/>
          <w:sz w:val="24"/>
          <w:szCs w:val="24"/>
        </w:rPr>
        <w:t>, Skatteforvaltningen, Finanstilsynet og Erhvervsstyrelsen.</w:t>
      </w:r>
      <w:r>
        <w:rPr>
          <w:rFonts w:ascii="Times New Roman" w:hAnsi="Times New Roman" w:cs="Times New Roman"/>
          <w:sz w:val="24"/>
          <w:szCs w:val="24"/>
        </w:rPr>
        <w:t xml:space="preserve"> Ved tilsynsorganer sigtes til Advokatrådet.</w:t>
      </w:r>
    </w:p>
    <w:p w14:paraId="7A85B04B" w14:textId="77777777" w:rsidR="001A67B5" w:rsidRPr="00796736" w:rsidRDefault="001A67B5" w:rsidP="00A802A5">
      <w:pPr>
        <w:spacing w:line="360" w:lineRule="auto"/>
        <w:rPr>
          <w:rFonts w:ascii="Times New Roman" w:hAnsi="Times New Roman" w:cs="Times New Roman"/>
          <w:sz w:val="24"/>
          <w:szCs w:val="24"/>
        </w:rPr>
      </w:pPr>
    </w:p>
    <w:p w14:paraId="7A6968DA" w14:textId="77777777" w:rsidR="002128F7" w:rsidRPr="00D253F0"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Hvidvasksekretariatet vil </w:t>
      </w:r>
      <w:r>
        <w:rPr>
          <w:rFonts w:ascii="Times New Roman" w:hAnsi="Times New Roman" w:cs="Times New Roman"/>
          <w:sz w:val="24"/>
          <w:szCs w:val="24"/>
        </w:rPr>
        <w:t>kunne</w:t>
      </w:r>
      <w:r w:rsidRPr="00D253F0">
        <w:rPr>
          <w:rFonts w:ascii="Times New Roman" w:hAnsi="Times New Roman" w:cs="Times New Roman"/>
          <w:sz w:val="24"/>
          <w:szCs w:val="24"/>
        </w:rPr>
        <w:t xml:space="preserve"> ophæve suspensionen eller </w:t>
      </w:r>
      <w:r>
        <w:rPr>
          <w:rFonts w:ascii="Times New Roman" w:hAnsi="Times New Roman" w:cs="Times New Roman"/>
          <w:sz w:val="24"/>
          <w:szCs w:val="24"/>
        </w:rPr>
        <w:t>godkende gennemførelsen af transaktionen</w:t>
      </w:r>
      <w:r w:rsidRPr="00D253F0">
        <w:rPr>
          <w:rFonts w:ascii="Times New Roman" w:hAnsi="Times New Roman" w:cs="Times New Roman"/>
          <w:sz w:val="24"/>
          <w:szCs w:val="24"/>
        </w:rPr>
        <w:t xml:space="preserve"> på et hvilket som helst tidspunkt, hvis de konkluderer, at suspensionen eller tilbageholdelsen ikke længere er nødvendig for at opfylde formålet hermed.</w:t>
      </w:r>
    </w:p>
    <w:p w14:paraId="6F1FE8E4" w14:textId="77777777" w:rsidR="001A67B5" w:rsidRPr="00796736" w:rsidRDefault="001A67B5" w:rsidP="00A802A5">
      <w:pPr>
        <w:spacing w:line="360" w:lineRule="auto"/>
        <w:rPr>
          <w:rFonts w:ascii="Times New Roman" w:hAnsi="Times New Roman" w:cs="Times New Roman"/>
          <w:sz w:val="24"/>
          <w:szCs w:val="24"/>
        </w:rPr>
      </w:pPr>
    </w:p>
    <w:p w14:paraId="36367415"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at Hvidvasksekretariatet løbende følger og monitorerer suspensionsprocessen, herunder opbevarer fortegnelser over, hvilke transaktioner der er suspenderet, og hvornår. Det forudsættes endvidere, at Hvidvasksekretariatet løbende overvejer, om suspensionen eller tilbageholdelsen af en godkendelse fortsat er nødvendig.</w:t>
      </w:r>
    </w:p>
    <w:p w14:paraId="621009D7" w14:textId="77777777" w:rsidR="001A67B5" w:rsidRPr="00796736" w:rsidRDefault="001A67B5" w:rsidP="00A802A5">
      <w:pPr>
        <w:spacing w:line="360" w:lineRule="auto"/>
        <w:rPr>
          <w:rFonts w:ascii="Times New Roman" w:hAnsi="Times New Roman" w:cs="Times New Roman"/>
          <w:sz w:val="24"/>
          <w:szCs w:val="24"/>
        </w:rPr>
      </w:pPr>
    </w:p>
    <w:p w14:paraId="2DC3CFD5" w14:textId="25FCB708" w:rsidR="00074750" w:rsidRPr="00796736" w:rsidRDefault="002128F7"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Det vil f.eks. kunne være relevant at ophæve en suspension eller </w:t>
      </w:r>
      <w:r>
        <w:rPr>
          <w:rFonts w:ascii="Times New Roman" w:hAnsi="Times New Roman" w:cs="Times New Roman"/>
          <w:sz w:val="24"/>
          <w:szCs w:val="24"/>
        </w:rPr>
        <w:t>godkende gennemførelsen af en transaktion</w:t>
      </w:r>
      <w:r w:rsidRPr="00D253F0">
        <w:rPr>
          <w:rFonts w:ascii="Times New Roman" w:hAnsi="Times New Roman" w:cs="Times New Roman"/>
          <w:sz w:val="24"/>
          <w:szCs w:val="24"/>
        </w:rPr>
        <w:t xml:space="preserve"> i tilfælde, hvor der ikke længere er risiko for, at midlerne forlader landet</w:t>
      </w:r>
      <w:r w:rsidR="001A67B5" w:rsidRPr="00796736">
        <w:rPr>
          <w:rFonts w:ascii="Times New Roman" w:hAnsi="Times New Roman" w:cs="Times New Roman"/>
          <w:sz w:val="24"/>
          <w:szCs w:val="24"/>
        </w:rPr>
        <w:t xml:space="preserve">, eller hvor indefrysning eller beslaglæggelse er blevet iværksat af en anden kompetent myndighed og det er blevet håndhævet på en sådan måde, at aktiverne herved at sikret. Bestemmelsen skal ses i sammenhæng med hvidvaskforordningens artikel 71 om undladelse af at gennemføre transaktioner, hvorefter en virksomhed eller person under visse omstændigheder vil skulle undlade at gennemføre en transaktion, indtil de har truffet de nødvendige foranstaltninger og efterkommet eventuelle yderligere specifikke instrukser fra FIU’en. Det forudsættes, at Hvidvasksekretariatet i sådanne tilfælde – ligesom efter gældende ret – inden for bestemmelsens frister vil kunne godkende gennemførelsen af en transaktion eller efter den foreslåede bestemmelse tilbageholde en sådan godkendelse. </w:t>
      </w:r>
    </w:p>
    <w:p w14:paraId="34C31EF0" w14:textId="710EBCEA" w:rsidR="00074750" w:rsidRPr="00796736" w:rsidRDefault="00074750"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Der vil ved påbud efter den foreslåede bestemmelse være tale om en afgørelse i forvaltningslovens forstand, hvilket </w:t>
      </w:r>
      <w:r w:rsidRPr="00796736">
        <w:rPr>
          <w:rFonts w:ascii="Times New Roman" w:eastAsia="Calibri" w:hAnsi="Times New Roman" w:cs="Times New Roman"/>
          <w:sz w:val="24"/>
          <w:szCs w:val="24"/>
        </w:rPr>
        <w:t>vil indebære, at Hvidvasksekretariatet vil skulle iagttage forvaltningslovens regler om partsrettigheder, herunder bl.a. vejledningspligt, partshøring, begrundelse og klagevejledning, og at der som udgangspunkt vil kunne anmodes om aktindsigt i afgørelserne efter forvaltningsloven.</w:t>
      </w:r>
      <w:r w:rsidR="002128F7">
        <w:rPr>
          <w:rFonts w:ascii="Times New Roman" w:eastAsia="Calibri" w:hAnsi="Times New Roman" w:cs="Times New Roman"/>
          <w:sz w:val="24"/>
          <w:szCs w:val="24"/>
        </w:rPr>
        <w:t xml:space="preserve"> Der henvises til pkt. 4.1 i lovforslagets almindelige bemærkninger for nærmere om forvaltningslovens regler.</w:t>
      </w:r>
    </w:p>
    <w:p w14:paraId="2A58143F" w14:textId="57FD69DF" w:rsidR="001D0A32" w:rsidRPr="00796736" w:rsidRDefault="00074750"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Det bemærkes i relation hertil, at det følger af forvaltningslovens § 24, stk. 3, 2. pkt., at indholdet af en begrundelse i en forvaltningsretlig afgørelse kan begrænses i det omfang, hvori oplysninger kan undtages fra aktindsigt, jf. §§ 15-15 b, hvilket efter omstændighederne vil kunne relevant for afgørelser efter den foreslåede bestemmelse med henblik på at sikre formålet med suspensionen eller tilbageholdelsen af godkendelsen. </w:t>
      </w:r>
    </w:p>
    <w:p w14:paraId="574D9D05" w14:textId="2AE5CF10"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2128F7" w:rsidRPr="00D253F0">
        <w:rPr>
          <w:rFonts w:ascii="Times New Roman" w:hAnsi="Times New Roman" w:cs="Times New Roman"/>
          <w:sz w:val="24"/>
          <w:szCs w:val="24"/>
        </w:rPr>
        <w:t xml:space="preserve">at </w:t>
      </w:r>
      <w:r w:rsidR="002128F7">
        <w:rPr>
          <w:rFonts w:ascii="Times New Roman" w:hAnsi="Times New Roman" w:cs="Times New Roman"/>
          <w:sz w:val="24"/>
          <w:szCs w:val="24"/>
        </w:rPr>
        <w:t>en suspension eller tilbageholdelsen af godkendelsen af en transaktion</w:t>
      </w:r>
      <w:r w:rsidR="002128F7" w:rsidRPr="00D253F0">
        <w:rPr>
          <w:rFonts w:ascii="Times New Roman" w:hAnsi="Times New Roman" w:cs="Times New Roman"/>
          <w:sz w:val="24"/>
          <w:szCs w:val="24"/>
        </w:rPr>
        <w:t xml:space="preserve"> efter stk. 1, som sker på grundlag af en mistanke, der er underrettet efter hvidvaskforordningens artikel 69</w:t>
      </w:r>
      <w:r w:rsidR="00BB1774">
        <w:rPr>
          <w:rFonts w:ascii="Times New Roman" w:hAnsi="Times New Roman" w:cs="Times New Roman"/>
          <w:sz w:val="24"/>
          <w:szCs w:val="24"/>
        </w:rPr>
        <w:t xml:space="preserve"> eller </w:t>
      </w:r>
      <w:r w:rsidR="00BB1774">
        <w:rPr>
          <w:rFonts w:ascii="Times New Roman" w:hAnsi="Times New Roman" w:cs="Times New Roman"/>
          <w:sz w:val="24"/>
          <w:szCs w:val="24"/>
        </w:rPr>
        <w:fldChar w:fldCharType="begin"/>
      </w:r>
      <w:r w:rsidR="00BB1774">
        <w:rPr>
          <w:rFonts w:ascii="Times New Roman" w:hAnsi="Times New Roman" w:cs="Times New Roman"/>
          <w:sz w:val="24"/>
          <w:szCs w:val="24"/>
        </w:rPr>
        <w:instrText xml:space="preserve"> REF _Ref232609412 \r \h </w:instrText>
      </w:r>
      <w:r w:rsidR="00BB1774">
        <w:rPr>
          <w:rFonts w:ascii="Times New Roman" w:hAnsi="Times New Roman" w:cs="Times New Roman"/>
          <w:sz w:val="24"/>
          <w:szCs w:val="24"/>
        </w:rPr>
      </w:r>
      <w:r w:rsidR="00BB1774">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00BB1774">
        <w:rPr>
          <w:rFonts w:ascii="Times New Roman" w:hAnsi="Times New Roman" w:cs="Times New Roman"/>
          <w:sz w:val="24"/>
          <w:szCs w:val="24"/>
        </w:rPr>
        <w:fldChar w:fldCharType="end"/>
      </w:r>
      <w:r w:rsidR="00BB1774">
        <w:rPr>
          <w:rFonts w:ascii="Times New Roman" w:hAnsi="Times New Roman" w:cs="Times New Roman"/>
          <w:sz w:val="24"/>
          <w:szCs w:val="24"/>
        </w:rPr>
        <w:t>, stk. 1</w:t>
      </w:r>
      <w:r w:rsidR="002128F7" w:rsidRPr="00D253F0">
        <w:rPr>
          <w:rFonts w:ascii="Times New Roman" w:hAnsi="Times New Roman" w:cs="Times New Roman"/>
          <w:sz w:val="24"/>
          <w:szCs w:val="24"/>
        </w:rPr>
        <w:t>, skal meddeles den forpligtede enhed senest 3 arbejdsdage efter indgivelsen af underretningen. Er behovet for at suspendere en transaktion</w:t>
      </w:r>
      <w:r w:rsidR="002128F7">
        <w:rPr>
          <w:rFonts w:ascii="Times New Roman" w:hAnsi="Times New Roman" w:cs="Times New Roman"/>
          <w:sz w:val="24"/>
          <w:szCs w:val="24"/>
        </w:rPr>
        <w:t xml:space="preserve"> eller tilbageholde godkendelsen heraf</w:t>
      </w:r>
      <w:r w:rsidR="002128F7" w:rsidRPr="00D253F0">
        <w:rPr>
          <w:rFonts w:ascii="Times New Roman" w:hAnsi="Times New Roman" w:cs="Times New Roman"/>
          <w:sz w:val="24"/>
          <w:szCs w:val="24"/>
        </w:rPr>
        <w:t xml:space="preserve"> baseret på Hvidvasksekretariatets analytiske arbejde, uanset om den forpligtede enhed har indgivet en forudgående underretning, meddeler sekretariatet et påbud så hurtigt som muligt.</w:t>
      </w:r>
    </w:p>
    <w:p w14:paraId="6EF077DE" w14:textId="77777777" w:rsidR="001D0A32" w:rsidRPr="00796736" w:rsidRDefault="001D0A32" w:rsidP="00A802A5">
      <w:pPr>
        <w:spacing w:line="360" w:lineRule="auto"/>
        <w:rPr>
          <w:rFonts w:ascii="Times New Roman" w:hAnsi="Times New Roman" w:cs="Times New Roman"/>
          <w:sz w:val="24"/>
          <w:szCs w:val="24"/>
        </w:rPr>
      </w:pPr>
    </w:p>
    <w:p w14:paraId="1A336807"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Hvidvasksekretariatet senest 3 arbejdsdage efter, at en indberetning er indgivet i henhold til artikel 69 i hvidvaskforordningen (om forpligtede enheders indberetning til FIU’er ved mistanke m.v. om, at midler eller aktiviteter er udbytte fra kriminelle handlinger eller er forbundet med finansiering af terrorisme eller kriminelle handlinger), skal pålægge en eventuel suspension eller</w:t>
      </w:r>
      <w:r w:rsidRPr="00796736">
        <w:rPr>
          <w:rFonts w:ascii="Times New Roman" w:hAnsi="Times New Roman" w:cs="Times New Roman"/>
          <w:b/>
          <w:bCs/>
          <w:sz w:val="24"/>
          <w:szCs w:val="24"/>
        </w:rPr>
        <w:t xml:space="preserve"> </w:t>
      </w:r>
      <w:r w:rsidRPr="00796736">
        <w:rPr>
          <w:rFonts w:ascii="Times New Roman" w:hAnsi="Times New Roman" w:cs="Times New Roman"/>
          <w:sz w:val="24"/>
          <w:szCs w:val="24"/>
        </w:rPr>
        <w:t xml:space="preserve">tilbageholdelse af en godkendelse. Er suspensionen eller tilbageholdelsen af godkendelsen iværksat på baggrund af en mistanke opstået i forbindelse med Hvidvasksekretariatets analytiske arbejde, skal suspensionen eller tilbageholdelsen af godkendelsen pålægges hurtigst muligt.  </w:t>
      </w:r>
    </w:p>
    <w:p w14:paraId="412A8911" w14:textId="77777777" w:rsidR="001D0A32" w:rsidRPr="00796736" w:rsidRDefault="001D0A32" w:rsidP="00A802A5">
      <w:pPr>
        <w:spacing w:line="360" w:lineRule="auto"/>
        <w:rPr>
          <w:rFonts w:ascii="Times New Roman" w:hAnsi="Times New Roman" w:cs="Times New Roman"/>
          <w:sz w:val="24"/>
          <w:szCs w:val="24"/>
        </w:rPr>
      </w:pPr>
    </w:p>
    <w:p w14:paraId="42BA7BF6" w14:textId="22FB2DF0"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2128F7" w:rsidRPr="00D253F0">
        <w:rPr>
          <w:rFonts w:ascii="Times New Roman" w:hAnsi="Times New Roman" w:cs="Times New Roman"/>
          <w:sz w:val="24"/>
          <w:szCs w:val="24"/>
        </w:rPr>
        <w:t>at varigheden af e</w:t>
      </w:r>
      <w:r w:rsidR="002128F7">
        <w:rPr>
          <w:rFonts w:ascii="Times New Roman" w:hAnsi="Times New Roman" w:cs="Times New Roman"/>
          <w:sz w:val="24"/>
          <w:szCs w:val="24"/>
        </w:rPr>
        <w:t>n suspension eller</w:t>
      </w:r>
      <w:r w:rsidR="007346C6">
        <w:rPr>
          <w:rFonts w:ascii="Times New Roman" w:hAnsi="Times New Roman" w:cs="Times New Roman"/>
          <w:sz w:val="24"/>
          <w:szCs w:val="24"/>
        </w:rPr>
        <w:t xml:space="preserve"> en</w:t>
      </w:r>
      <w:r w:rsidR="002128F7">
        <w:rPr>
          <w:rFonts w:ascii="Times New Roman" w:hAnsi="Times New Roman" w:cs="Times New Roman"/>
          <w:sz w:val="24"/>
          <w:szCs w:val="24"/>
        </w:rPr>
        <w:t xml:space="preserve"> tilbageholdelsen af godkendelsen af transaktionen </w:t>
      </w:r>
      <w:r w:rsidR="002128F7" w:rsidRPr="00D253F0">
        <w:rPr>
          <w:rFonts w:ascii="Times New Roman" w:hAnsi="Times New Roman" w:cs="Times New Roman"/>
          <w:sz w:val="24"/>
          <w:szCs w:val="24"/>
        </w:rPr>
        <w:t xml:space="preserve">efter stk. 1, som er begrundet i Hvidvasksekretariatets analytiske arbejde, ikke kan overstige 10 arbejdsdage. Er </w:t>
      </w:r>
      <w:r w:rsidR="002128F7">
        <w:rPr>
          <w:rFonts w:ascii="Times New Roman" w:hAnsi="Times New Roman" w:cs="Times New Roman"/>
          <w:sz w:val="24"/>
          <w:szCs w:val="24"/>
        </w:rPr>
        <w:t>suspensionen eller tilbageholdelsen af godkendelsen</w:t>
      </w:r>
      <w:r w:rsidR="002128F7" w:rsidRPr="00D253F0">
        <w:rPr>
          <w:rFonts w:ascii="Times New Roman" w:hAnsi="Times New Roman" w:cs="Times New Roman"/>
          <w:sz w:val="24"/>
          <w:szCs w:val="24"/>
        </w:rPr>
        <w:t xml:space="preserve"> begrundet i Hvidvasksekretariatets eller politiets opgave med at spore, beslaglægge, indefryse eller konfiskere kriminelle aktiver, kan Hvidvasksekretariatet dog fastsætte en længere frist.  </w:t>
      </w:r>
    </w:p>
    <w:p w14:paraId="0339D446" w14:textId="77777777" w:rsidR="001D0A32" w:rsidRPr="00796736" w:rsidRDefault="001D0A32" w:rsidP="00A802A5">
      <w:pPr>
        <w:spacing w:line="360" w:lineRule="auto"/>
        <w:rPr>
          <w:rFonts w:ascii="Times New Roman" w:hAnsi="Times New Roman" w:cs="Times New Roman"/>
          <w:sz w:val="24"/>
          <w:szCs w:val="24"/>
        </w:rPr>
      </w:pPr>
    </w:p>
    <w:p w14:paraId="43E45EF7" w14:textId="77777777" w:rsidR="002128F7" w:rsidRPr="00D253F0"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Den foreslåede bestemmelse vil fastsætte rammerne for, hvor længe en suspension eller tilbageholdelse af godkendelse efter stk. 1, der er iværksat på baggrund af en mistanke opstået i forbindelse med Hvidvasksekretariatets analytiske arbejde, kan vare. Efter den foreslåede bestemmelse vil e</w:t>
      </w:r>
      <w:r>
        <w:rPr>
          <w:rFonts w:ascii="Times New Roman" w:hAnsi="Times New Roman" w:cs="Times New Roman"/>
          <w:sz w:val="24"/>
          <w:szCs w:val="24"/>
        </w:rPr>
        <w:t>n suspension eller tilbageholdelsen af en godkendels</w:t>
      </w:r>
      <w:r w:rsidRPr="00D253F0">
        <w:rPr>
          <w:rFonts w:ascii="Times New Roman" w:hAnsi="Times New Roman" w:cs="Times New Roman"/>
          <w:sz w:val="24"/>
          <w:szCs w:val="24"/>
        </w:rPr>
        <w:t xml:space="preserve"> ikke kunne overstige 10 dage og forudsættes i almindelighed at skulle fastsættes en periode, som er nødvendig og tilstrækkelig inden for denne maksimale frist. </w:t>
      </w:r>
    </w:p>
    <w:p w14:paraId="48B324F3" w14:textId="77777777" w:rsidR="001D0A32" w:rsidRPr="00796736" w:rsidRDefault="001D0A32" w:rsidP="00A802A5">
      <w:pPr>
        <w:spacing w:line="360" w:lineRule="auto"/>
        <w:rPr>
          <w:rFonts w:ascii="Times New Roman" w:hAnsi="Times New Roman" w:cs="Times New Roman"/>
          <w:sz w:val="24"/>
          <w:szCs w:val="24"/>
        </w:rPr>
      </w:pPr>
    </w:p>
    <w:p w14:paraId="1B9D4D54" w14:textId="77777777" w:rsidR="001D0A32"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ses i lyset af, at det følger af direktivets præambelbetragtning nr. 71 bl.a., at eftersom suspension vil kunne have indvirkning på ejendomsretten, bør FIU’er kunne suspendere transaktioner, konti eller forretningsforbindelser i en begrænset periode for at bevare midlerne, foretage de nødvendige analyser og formidle resultaterne af analyserne til de kompetente myndigheder med henblik på eventuel vedtagelse af passende foranstaltninger. </w:t>
      </w:r>
    </w:p>
    <w:p w14:paraId="2B95CC85" w14:textId="77777777" w:rsidR="002128F7" w:rsidRDefault="002128F7" w:rsidP="00A802A5">
      <w:pPr>
        <w:spacing w:line="360" w:lineRule="auto"/>
        <w:rPr>
          <w:rFonts w:ascii="Times New Roman" w:hAnsi="Times New Roman" w:cs="Times New Roman"/>
          <w:sz w:val="24"/>
          <w:szCs w:val="24"/>
        </w:rPr>
      </w:pPr>
    </w:p>
    <w:p w14:paraId="352B8FE4" w14:textId="458AAC77" w:rsidR="002128F7" w:rsidRPr="00796736" w:rsidRDefault="002128F7" w:rsidP="00A802A5">
      <w:pPr>
        <w:spacing w:line="360" w:lineRule="auto"/>
        <w:rPr>
          <w:rFonts w:ascii="Times New Roman" w:hAnsi="Times New Roman" w:cs="Times New Roman"/>
          <w:sz w:val="24"/>
          <w:szCs w:val="24"/>
        </w:rPr>
      </w:pPr>
      <w:r>
        <w:rPr>
          <w:rFonts w:ascii="Times New Roman" w:hAnsi="Times New Roman" w:cs="Times New Roman"/>
          <w:sz w:val="24"/>
          <w:szCs w:val="24"/>
        </w:rPr>
        <w:t>Det bemærkes, at der i medfør af det foreslåede 2. pkt. vil være muligt at fastsætte en længere frist, hvis suspensionen eller tilbageholdelsen er begrundet i Hvidvasksekretariatets opgave med at spore, beslaglægge, indefryse eller konfiskere kriminelle aktiver. Dette omfatter også Hvidvasksekretariatets og politiets opgaver med at analysere og vurdere, om der er behov for at indlede sådanne skridt, ligesom fristen efter omstændighederne vil kunne fastsættes under hensyntagen til Hvidvasksekretariatets eller politiets indhentelse af oplysninger fra udenlandske myndigheder.</w:t>
      </w:r>
    </w:p>
    <w:p w14:paraId="7CAC5B31" w14:textId="77777777" w:rsidR="001D0A32" w:rsidRPr="00796736" w:rsidRDefault="001D0A32" w:rsidP="00A802A5">
      <w:pPr>
        <w:spacing w:line="360" w:lineRule="auto"/>
        <w:rPr>
          <w:rFonts w:ascii="Times New Roman" w:hAnsi="Times New Roman" w:cs="Times New Roman"/>
          <w:sz w:val="24"/>
          <w:szCs w:val="24"/>
        </w:rPr>
      </w:pPr>
    </w:p>
    <w:p w14:paraId="0A8D6381" w14:textId="77777777" w:rsidR="00B34C82" w:rsidRPr="00796736" w:rsidRDefault="00B34C82" w:rsidP="00B34C82">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w:t>
      </w:r>
      <w:r w:rsidRPr="00D253F0">
        <w:rPr>
          <w:rFonts w:ascii="Times New Roman" w:hAnsi="Times New Roman" w:cs="Times New Roman"/>
          <w:sz w:val="24"/>
          <w:szCs w:val="24"/>
        </w:rPr>
        <w:t>en Hvidvasksekretariatet kan</w:t>
      </w:r>
      <w:r>
        <w:rPr>
          <w:rFonts w:ascii="Times New Roman" w:hAnsi="Times New Roman" w:cs="Times New Roman"/>
          <w:sz w:val="24"/>
          <w:szCs w:val="24"/>
        </w:rPr>
        <w:t xml:space="preserve"> tage hastende tiltag ved at</w:t>
      </w:r>
      <w:r w:rsidRPr="00D253F0">
        <w:rPr>
          <w:rFonts w:ascii="Times New Roman" w:hAnsi="Times New Roman" w:cs="Times New Roman"/>
          <w:sz w:val="24"/>
          <w:szCs w:val="24"/>
        </w:rPr>
        <w:t xml:space="preserve"> påbyde </w:t>
      </w:r>
      <w:r>
        <w:rPr>
          <w:rFonts w:ascii="Times New Roman" w:hAnsi="Times New Roman" w:cs="Times New Roman"/>
          <w:sz w:val="24"/>
          <w:szCs w:val="24"/>
        </w:rPr>
        <w:t>virksomheder og personer omfattet af loven at</w:t>
      </w:r>
      <w:r w:rsidRPr="00D253F0">
        <w:rPr>
          <w:rFonts w:ascii="Times New Roman" w:hAnsi="Times New Roman" w:cs="Times New Roman"/>
          <w:sz w:val="24"/>
          <w:szCs w:val="24"/>
        </w:rPr>
        <w:t xml:space="preserve"> suspendere anvendelsen af en konto eller suspendere en forretningsforbindelse, når der er mistanke om, at en bankkonto eller betalingskonto, en kryptoaktivkonto eller en forretningsforbindelse er forbundet med hvidvask eller finansiering af terrorisme, med henblik på</w:t>
      </w:r>
      <w:r>
        <w:rPr>
          <w:rFonts w:ascii="Times New Roman" w:hAnsi="Times New Roman" w:cs="Times New Roman"/>
          <w:sz w:val="24"/>
          <w:szCs w:val="24"/>
        </w:rPr>
        <w:t>,</w:t>
      </w:r>
      <w:r w:rsidRPr="00D253F0">
        <w:rPr>
          <w:rFonts w:ascii="Times New Roman" w:hAnsi="Times New Roman" w:cs="Times New Roman"/>
          <w:sz w:val="24"/>
          <w:szCs w:val="24"/>
        </w:rPr>
        <w:t xml:space="preserve"> at</w:t>
      </w:r>
      <w:r>
        <w:rPr>
          <w:rFonts w:ascii="Times New Roman" w:hAnsi="Times New Roman" w:cs="Times New Roman"/>
          <w:sz w:val="24"/>
          <w:szCs w:val="24"/>
        </w:rPr>
        <w:t xml:space="preserve"> midlerne</w:t>
      </w:r>
      <w:r w:rsidRPr="00D253F0">
        <w:rPr>
          <w:rFonts w:ascii="Times New Roman" w:hAnsi="Times New Roman" w:cs="Times New Roman"/>
          <w:sz w:val="24"/>
          <w:szCs w:val="24"/>
        </w:rPr>
        <w:t xml:space="preserve"> bevare</w:t>
      </w:r>
      <w:r>
        <w:rPr>
          <w:rFonts w:ascii="Times New Roman" w:hAnsi="Times New Roman" w:cs="Times New Roman"/>
          <w:sz w:val="24"/>
          <w:szCs w:val="24"/>
        </w:rPr>
        <w:t>s</w:t>
      </w:r>
      <w:r w:rsidRPr="00D253F0">
        <w:rPr>
          <w:rFonts w:ascii="Times New Roman" w:hAnsi="Times New Roman" w:cs="Times New Roman"/>
          <w:sz w:val="24"/>
          <w:szCs w:val="24"/>
        </w:rPr>
        <w:t xml:space="preserve"> foretage sine analyser</w:t>
      </w:r>
      <w:r w:rsidRPr="00D253F0">
        <w:rPr>
          <w:rStyle w:val="Kommentarhenvisning"/>
          <w:rFonts w:ascii="Times New Roman" w:hAnsi="Times New Roman" w:cs="Times New Roman"/>
          <w:sz w:val="24"/>
          <w:szCs w:val="24"/>
        </w:rPr>
        <w:t/>
      </w:r>
      <w:r w:rsidRPr="00D253F0">
        <w:rPr>
          <w:rFonts w:ascii="Times New Roman" w:hAnsi="Times New Roman" w:cs="Times New Roman"/>
          <w:sz w:val="24"/>
          <w:szCs w:val="24"/>
        </w:rPr>
        <w:t xml:space="preserve"> og vurdere, om mistanken kan bekræftes. Vurderer Hvidvasksekretariatet, at mistanken kan bekræftes, formidler Hvidvasksekretariatet resultaterne af analyserne til de relevante kompetente myndigheder</w:t>
      </w:r>
      <w:r>
        <w:rPr>
          <w:rFonts w:ascii="Times New Roman" w:hAnsi="Times New Roman" w:cs="Times New Roman"/>
          <w:sz w:val="24"/>
          <w:szCs w:val="24"/>
        </w:rPr>
        <w:t xml:space="preserve"> og tilsynsorganer</w:t>
      </w:r>
      <w:r w:rsidRPr="00D253F0">
        <w:rPr>
          <w:rFonts w:ascii="Times New Roman" w:hAnsi="Times New Roman" w:cs="Times New Roman"/>
          <w:sz w:val="24"/>
          <w:szCs w:val="24"/>
        </w:rPr>
        <w:t>, således at der kan træffes passende foranstaltninger.</w:t>
      </w:r>
    </w:p>
    <w:p w14:paraId="506EADC9" w14:textId="77777777" w:rsidR="00074750" w:rsidRPr="00796736" w:rsidRDefault="00074750" w:rsidP="00A802A5">
      <w:pPr>
        <w:spacing w:line="360" w:lineRule="auto"/>
        <w:rPr>
          <w:rFonts w:ascii="Times New Roman" w:hAnsi="Times New Roman" w:cs="Times New Roman"/>
          <w:sz w:val="24"/>
          <w:szCs w:val="24"/>
        </w:rPr>
      </w:pPr>
    </w:p>
    <w:p w14:paraId="5E0FFEE2"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kan påbyde en forpligtede enhed at tage hastende tiltag, herunder suspendere anvendelsen af en bank-, betalings-, eller kryptoaktivkonto eller en forretningsforbindelse, når der er mistanke om, at kontoen eller forretningsforbindelsen er forbundet med hvidvask, de underliggende lovovertrædelser eller finansiering af terrorisme. Ved ”forretningsforbindelse” menes et forretningsmæssigt, erhvervsmæssigt eller kommercielt forhold, som er knyttet til en forpligtet enheds erhvervsmæssige virksomhed, og som er etableret mellem en forpligtet enhed og en kunde, herunder uden en skriftlig kontrakt, og som på det tidspunkt, hvor kontakten etableres, forventes at have eller efterfølgende får en gentagende karakter eller en vis varighed, jf. definitionen i hvidvaskforordningens artikel 2, stk. 1, nr. 19. </w:t>
      </w:r>
    </w:p>
    <w:p w14:paraId="124A8F1F" w14:textId="77777777" w:rsidR="001A67B5" w:rsidRPr="00796736" w:rsidRDefault="001A67B5" w:rsidP="00A802A5">
      <w:pPr>
        <w:spacing w:line="360" w:lineRule="auto"/>
        <w:rPr>
          <w:rFonts w:ascii="Times New Roman" w:hAnsi="Times New Roman" w:cs="Times New Roman"/>
          <w:sz w:val="24"/>
          <w:szCs w:val="24"/>
        </w:rPr>
      </w:pPr>
    </w:p>
    <w:p w14:paraId="621142B7"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Foruden mistankekravet til, vil et påbud endvidere skulle være nødvendigt af hensyn til en række kumulative betingelser. For det første vil det være et krav, at påbuddet sker med henblik på at bevare midlerne. Herved forstås, at midlerne ikke gøres til genstand for transaktion, overførsel eller anden disposition, men forbliver på den konto mv. eller det sted, som de befandt sig på ved påbuddets meddelelse. </w:t>
      </w:r>
    </w:p>
    <w:p w14:paraId="4B395E5E" w14:textId="77777777" w:rsidR="001A67B5" w:rsidRPr="00796736" w:rsidRDefault="001A67B5" w:rsidP="00A802A5">
      <w:pPr>
        <w:spacing w:line="360" w:lineRule="auto"/>
        <w:rPr>
          <w:rFonts w:ascii="Times New Roman" w:hAnsi="Times New Roman" w:cs="Times New Roman"/>
          <w:sz w:val="24"/>
          <w:szCs w:val="24"/>
        </w:rPr>
      </w:pPr>
    </w:p>
    <w:p w14:paraId="72E60799" w14:textId="7897AD04"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for det andet være et krav, at påbuddet meddeles med henblik på Hvidvasksekretariatets analyse, herunder en nærmere analyse af de transaktioner, der er foretaget via kontoen eller forretningsforbindelsen. Med analyse forstås i øvrigt Hvidvasksekretariatets opgaver, jf. nærmere herom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_Ref239689279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w:t>
      </w:r>
    </w:p>
    <w:p w14:paraId="7DBE7569" w14:textId="77777777" w:rsidR="001A67B5" w:rsidRPr="00796736" w:rsidRDefault="001A67B5" w:rsidP="00A802A5">
      <w:pPr>
        <w:spacing w:line="360" w:lineRule="auto"/>
        <w:rPr>
          <w:rFonts w:ascii="Times New Roman" w:hAnsi="Times New Roman" w:cs="Times New Roman"/>
          <w:sz w:val="24"/>
          <w:szCs w:val="24"/>
        </w:rPr>
      </w:pPr>
    </w:p>
    <w:p w14:paraId="0EAB2EAA"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På denne baggrund vil Hvidvasksekretariatet skulle vurdere, om mistanken kan bekræftes, og i så fald formidle resultaterne af analyserne til de relevante kompetente myndigheder og organer, således at der kan træffes passende foranstaltninger.  </w:t>
      </w:r>
    </w:p>
    <w:p w14:paraId="5829EA6D" w14:textId="77777777" w:rsidR="001A67B5" w:rsidRPr="00796736" w:rsidRDefault="001A67B5" w:rsidP="00A802A5">
      <w:pPr>
        <w:spacing w:line="360" w:lineRule="auto"/>
        <w:rPr>
          <w:rFonts w:ascii="Times New Roman" w:hAnsi="Times New Roman" w:cs="Times New Roman"/>
          <w:sz w:val="24"/>
          <w:szCs w:val="24"/>
        </w:rPr>
      </w:pPr>
    </w:p>
    <w:p w14:paraId="5B133A0D"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»hastende tiltag« forstås, at Hvidvasksekretariatet hurtigst muligt, og i tilfælde omfattet af stk. 2, jf. stk. 1, inden 3 arbejdsdage, vil skulle meddele et påbud.</w:t>
      </w:r>
    </w:p>
    <w:p w14:paraId="0BA6F87E" w14:textId="77777777" w:rsidR="001A67B5" w:rsidRPr="00796736" w:rsidRDefault="001A67B5" w:rsidP="00A802A5">
      <w:pPr>
        <w:spacing w:line="360" w:lineRule="auto"/>
        <w:rPr>
          <w:rFonts w:ascii="Times New Roman" w:hAnsi="Times New Roman" w:cs="Times New Roman"/>
          <w:sz w:val="24"/>
          <w:szCs w:val="24"/>
        </w:rPr>
      </w:pPr>
    </w:p>
    <w:p w14:paraId="1F979F3D"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 vil med den foreslåede bestemmelse kunne meddele påbud direkte, hvorved forstås, at de meddeles forpligtede enheder uden mellemled. </w:t>
      </w:r>
    </w:p>
    <w:p w14:paraId="16C4BA1C" w14:textId="77777777" w:rsidR="001A67B5" w:rsidRPr="00796736" w:rsidRDefault="001A67B5" w:rsidP="00A802A5">
      <w:pPr>
        <w:spacing w:line="360" w:lineRule="auto"/>
        <w:rPr>
          <w:rFonts w:ascii="Times New Roman" w:hAnsi="Times New Roman" w:cs="Times New Roman"/>
          <w:sz w:val="24"/>
          <w:szCs w:val="24"/>
        </w:rPr>
      </w:pPr>
    </w:p>
    <w:p w14:paraId="14247A93"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at Hvidvasksekretariatet løbende følger og monitorerer suspensionsprocessen, herunder opbevarer fortegnelser over, hvilke konti og forretningsforbindelser, der er suspenderet, og hvornår.</w:t>
      </w:r>
    </w:p>
    <w:p w14:paraId="567F07EF" w14:textId="77777777" w:rsidR="001A67B5" w:rsidRPr="00796736" w:rsidRDefault="001A67B5" w:rsidP="00A802A5">
      <w:pPr>
        <w:spacing w:line="360" w:lineRule="auto"/>
        <w:rPr>
          <w:rFonts w:ascii="Times New Roman" w:hAnsi="Times New Roman" w:cs="Times New Roman"/>
          <w:sz w:val="24"/>
          <w:szCs w:val="24"/>
        </w:rPr>
      </w:pPr>
    </w:p>
    <w:p w14:paraId="06D8D03D" w14:textId="77777777" w:rsidR="00BA212A" w:rsidRPr="00796736" w:rsidRDefault="00BA212A" w:rsidP="00BA212A">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»kompetent myndighed« forstås i overensstemmelse med definitionen i hvidvaskforordningens artikel 2, nr. 44 en tilsynsmyndighed (litra b), en offentlig myndighed, der har til opgave at efterforske eller retsforfølge i sager om hvidvask af penge, de underliggende lovovertrædelser eller finansiering af terrorisme, eller som har til opgave at opspore, beslaglægge eller indefryse og konfiskere kriminelle aktiver (litra c) eller en offentlig myndighed, der har fået til ansvar at bekæmpe hvidvask af penge og finansiering af terrorisme (litra d). Det forudsættes, at der med »relevante kompetente myndigheder og organer« navnlig vil være tale om politiet, anklagemyndigheden, </w:t>
      </w:r>
      <w:r>
        <w:rPr>
          <w:rFonts w:ascii="Times New Roman" w:hAnsi="Times New Roman" w:cs="Times New Roman"/>
          <w:sz w:val="24"/>
          <w:szCs w:val="24"/>
        </w:rPr>
        <w:t>Hvidvaskenheden</w:t>
      </w:r>
      <w:r w:rsidRPr="00796736">
        <w:rPr>
          <w:rFonts w:ascii="Times New Roman" w:hAnsi="Times New Roman" w:cs="Times New Roman"/>
          <w:sz w:val="24"/>
          <w:szCs w:val="24"/>
        </w:rPr>
        <w:t>, Told- og Skatteforvaltningen, Finanstilsynet og Erhvervsstyrelsen.</w:t>
      </w:r>
      <w:r>
        <w:rPr>
          <w:rFonts w:ascii="Times New Roman" w:hAnsi="Times New Roman" w:cs="Times New Roman"/>
          <w:sz w:val="24"/>
          <w:szCs w:val="24"/>
        </w:rPr>
        <w:t xml:space="preserve"> Ved ”tilsynsorganer” forstås Advokatrådet i sin egenskab af tilsynsorgan på hvidvaskområdet. </w:t>
      </w:r>
    </w:p>
    <w:p w14:paraId="1ECF79C1" w14:textId="77777777" w:rsidR="001A67B5" w:rsidRPr="00796736" w:rsidRDefault="001A67B5" w:rsidP="00A802A5">
      <w:pPr>
        <w:spacing w:line="360" w:lineRule="auto"/>
        <w:rPr>
          <w:rFonts w:ascii="Times New Roman" w:hAnsi="Times New Roman" w:cs="Times New Roman"/>
          <w:sz w:val="24"/>
          <w:szCs w:val="24"/>
        </w:rPr>
      </w:pPr>
    </w:p>
    <w:p w14:paraId="187E969D"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med påbud efter det foreslåede stk. 1, vil Hvidvasksekretariatet skulle ophæve suspensionen på et hvilket som helst tidspunkt, hvis de konkluderer, at suspensionen ikke længere er nødvendig for at opfylde formålet hermed. </w:t>
      </w:r>
    </w:p>
    <w:p w14:paraId="4B64D309" w14:textId="77777777" w:rsidR="001A67B5" w:rsidRPr="00796736" w:rsidRDefault="001A67B5" w:rsidP="00A802A5">
      <w:pPr>
        <w:spacing w:line="360" w:lineRule="auto"/>
        <w:rPr>
          <w:rFonts w:ascii="Times New Roman" w:hAnsi="Times New Roman" w:cs="Times New Roman"/>
          <w:sz w:val="24"/>
          <w:szCs w:val="24"/>
        </w:rPr>
      </w:pPr>
    </w:p>
    <w:p w14:paraId="7600DD7A"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at Hvidvasksekretariatet løbende følger og monitorerer suspensionsprocessen, herunder opbevarer fortegnelser over, hvilke konti der er suspenderet, og hvornår. Det forudsættes endvidere, at Hvidvasksekretariatet løbende overvejer, om suspensionen fortsat er nødvendig.</w:t>
      </w:r>
    </w:p>
    <w:p w14:paraId="1A3D9007" w14:textId="77777777" w:rsidR="001A67B5" w:rsidRPr="00796736" w:rsidRDefault="001A67B5" w:rsidP="00A802A5">
      <w:pPr>
        <w:spacing w:line="360" w:lineRule="auto"/>
        <w:rPr>
          <w:rFonts w:ascii="Times New Roman" w:hAnsi="Times New Roman" w:cs="Times New Roman"/>
          <w:sz w:val="24"/>
          <w:szCs w:val="24"/>
        </w:rPr>
      </w:pPr>
    </w:p>
    <w:p w14:paraId="202FBA78" w14:textId="46CB1603"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vil f.eks. kunne være relevant at ophæve en suspension i tilfælde, hvor der ikke længere er risiko for, at midlerne forlader landet, eller hvor indefrysning eller beslaglæggelse er blevet iværksat af en anden kompetent myndighed og det er blevet håndhævet på en sådan måde, at aktiverne herved at sikret.</w:t>
      </w:r>
    </w:p>
    <w:p w14:paraId="6180485A" w14:textId="77777777" w:rsidR="00074750" w:rsidRPr="00796736" w:rsidRDefault="00074750" w:rsidP="00A802A5">
      <w:pPr>
        <w:spacing w:line="360" w:lineRule="auto"/>
        <w:rPr>
          <w:rFonts w:ascii="Times New Roman" w:hAnsi="Times New Roman" w:cs="Times New Roman"/>
          <w:sz w:val="24"/>
          <w:szCs w:val="24"/>
        </w:rPr>
      </w:pPr>
    </w:p>
    <w:p w14:paraId="31E9C6B1" w14:textId="77777777" w:rsidR="00074750" w:rsidRPr="00796736" w:rsidRDefault="00074750"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Der vil ved påbud efter den foreslåede bestemmelse være tale om en afgørelse i forvaltningslovens forstand, hvilket </w:t>
      </w:r>
      <w:r w:rsidRPr="00796736">
        <w:rPr>
          <w:rFonts w:ascii="Times New Roman" w:eastAsia="Calibri" w:hAnsi="Times New Roman" w:cs="Times New Roman"/>
          <w:sz w:val="24"/>
          <w:szCs w:val="24"/>
        </w:rPr>
        <w:t>vil indebære, at Hvidvasksekretariatet vil skulle iagttage forvaltningslovens regler om partsrettigheder, herunder bl.a. vejledningspligt, partshøring, begrundelse og klagevejledning, og at der som udgangspunkt vil kunne anmodes om aktindsigt i afgørelserne efter forvaltningsloven.</w:t>
      </w:r>
    </w:p>
    <w:p w14:paraId="66FD18EC" w14:textId="74204A33" w:rsidR="001A67B5" w:rsidRPr="00796736" w:rsidRDefault="00074750"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Det bemærkes i relation hertil, at det følger af forvaltningslovens § 24, stk. 3, 2. pkt., at indholdet af en begrundelse i en forvaltningsretlig afgørelse kan begrænses i det omfang, hvori oplysninger kan undtages fra aktindsigt, jf. §§ 15-15 b, hvilket efter omstændighederne vil kunne relevant for afgørelser efter den foreslåede bestemmelse med henblik på at sikre formålet med suspensionen eller tilbageholdelsen af godkendelsen. </w:t>
      </w:r>
    </w:p>
    <w:p w14:paraId="36C84615"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at påbud efter stk. 4, som er begrundet i Hvidvasksekretariatets analytiske arbejde, ikke kan overstige 5 arbejdsdage. Er påbuddet begrundet i Hvidvasksekretariatets eller politiets opgave med at spore, beslaglægge, indefryse eller konfiskere kriminelle aktiver, kan Hvidvasksekretariatet dog fastsætte en længere frist. </w:t>
      </w:r>
    </w:p>
    <w:p w14:paraId="35319BC0" w14:textId="77777777" w:rsidR="001D0A32" w:rsidRPr="00796736" w:rsidRDefault="001D0A32" w:rsidP="00A802A5">
      <w:pPr>
        <w:spacing w:line="360" w:lineRule="auto"/>
        <w:rPr>
          <w:rFonts w:ascii="Times New Roman" w:hAnsi="Times New Roman" w:cs="Times New Roman"/>
          <w:sz w:val="24"/>
          <w:szCs w:val="24"/>
        </w:rPr>
      </w:pPr>
    </w:p>
    <w:p w14:paraId="4B30E8E5"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fastsætte rammerne for, hvor længe en suspension efter stk. 4, der er iværksat på baggrund af en mistanke opstået i forbindelse med Hvidvasksekretariatets analytiske arbejde, kan vare. </w:t>
      </w:r>
    </w:p>
    <w:p w14:paraId="2E63725C" w14:textId="77777777" w:rsidR="001D0A32" w:rsidRPr="00796736" w:rsidRDefault="001D0A32" w:rsidP="00A802A5">
      <w:pPr>
        <w:spacing w:line="360" w:lineRule="auto"/>
        <w:rPr>
          <w:rFonts w:ascii="Times New Roman" w:hAnsi="Times New Roman" w:cs="Times New Roman"/>
          <w:sz w:val="24"/>
          <w:szCs w:val="24"/>
        </w:rPr>
      </w:pPr>
    </w:p>
    <w:p w14:paraId="3826ECBE"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ses i lyset af, at det følger af direktivets præambelbetragtning nr. 71 bl.a., at i betragtning af den mere betydelige indvirkning på en berørt persons grundlæggende rettigheder bør suspensionen af en konto eller forretningsforbindelse pålægges en mere begrænset periode, som bør fastsættes til fem arbejdsdage. </w:t>
      </w:r>
    </w:p>
    <w:p w14:paraId="5C99C4B5" w14:textId="77777777" w:rsidR="001D0A32" w:rsidRPr="00796736" w:rsidRDefault="001D0A32" w:rsidP="00A802A5">
      <w:pPr>
        <w:spacing w:line="360" w:lineRule="auto"/>
        <w:rPr>
          <w:rFonts w:ascii="Times New Roman" w:hAnsi="Times New Roman" w:cs="Times New Roman"/>
          <w:sz w:val="24"/>
          <w:szCs w:val="24"/>
        </w:rPr>
      </w:pPr>
    </w:p>
    <w:p w14:paraId="743D93AB" w14:textId="77777777" w:rsidR="00503E6E" w:rsidRPr="00796736" w:rsidRDefault="00503E6E" w:rsidP="00503E6E">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w:t>
      </w:r>
      <w:r w:rsidRPr="00796736" w:rsidDel="000B3613">
        <w:rPr>
          <w:rFonts w:ascii="Times New Roman" w:hAnsi="Times New Roman" w:cs="Times New Roman"/>
          <w:i/>
          <w:iCs/>
          <w:sz w:val="24"/>
          <w:szCs w:val="24"/>
        </w:rPr>
        <w:t xml:space="preserve">tk. </w:t>
      </w:r>
      <w:r w:rsidRPr="00796736">
        <w:rPr>
          <w:rFonts w:ascii="Times New Roman" w:hAnsi="Times New Roman" w:cs="Times New Roman"/>
          <w:i/>
          <w:iCs/>
          <w:sz w:val="24"/>
          <w:szCs w:val="24"/>
        </w:rPr>
        <w:t>6</w:t>
      </w:r>
      <w:r w:rsidRPr="00796736">
        <w:rPr>
          <w:rFonts w:ascii="Times New Roman" w:hAnsi="Times New Roman" w:cs="Times New Roman"/>
          <w:sz w:val="24"/>
          <w:szCs w:val="24"/>
        </w:rPr>
        <w:t>, at H</w:t>
      </w:r>
      <w:r w:rsidRPr="00796736" w:rsidDel="000B3613">
        <w:rPr>
          <w:rFonts w:ascii="Times New Roman" w:hAnsi="Times New Roman" w:cs="Times New Roman"/>
          <w:sz w:val="24"/>
          <w:szCs w:val="24"/>
        </w:rPr>
        <w:t xml:space="preserve">vidvasksekretariatet </w:t>
      </w:r>
      <w:r w:rsidRPr="00796736">
        <w:rPr>
          <w:rFonts w:ascii="Times New Roman" w:hAnsi="Times New Roman" w:cs="Times New Roman"/>
          <w:sz w:val="24"/>
          <w:szCs w:val="24"/>
        </w:rPr>
        <w:t>på anmodning fra en FIU fra en anden medlemsstat</w:t>
      </w:r>
      <w:r w:rsidRPr="00796736" w:rsidDel="000B3613">
        <w:rPr>
          <w:rFonts w:ascii="Times New Roman" w:hAnsi="Times New Roman" w:cs="Times New Roman"/>
          <w:sz w:val="24"/>
          <w:szCs w:val="24"/>
        </w:rPr>
        <w:t xml:space="preserve"> kan</w:t>
      </w:r>
      <w:r w:rsidRPr="00796736">
        <w:rPr>
          <w:rFonts w:ascii="Times New Roman" w:hAnsi="Times New Roman" w:cs="Times New Roman"/>
          <w:sz w:val="24"/>
          <w:szCs w:val="24"/>
        </w:rPr>
        <w:t xml:space="preserve"> meddele påbud</w:t>
      </w:r>
      <w:r>
        <w:rPr>
          <w:rFonts w:ascii="Times New Roman" w:hAnsi="Times New Roman" w:cs="Times New Roman"/>
          <w:sz w:val="24"/>
          <w:szCs w:val="24"/>
        </w:rPr>
        <w:t xml:space="preserve"> eller tilbageholde godkendelse</w:t>
      </w:r>
      <w:r w:rsidRPr="00796736">
        <w:rPr>
          <w:rFonts w:ascii="Times New Roman" w:hAnsi="Times New Roman" w:cs="Times New Roman"/>
          <w:sz w:val="24"/>
          <w:szCs w:val="24"/>
        </w:rPr>
        <w:t xml:space="preserve"> efter stk. 1 og 4. </w:t>
      </w:r>
      <w:r>
        <w:rPr>
          <w:rFonts w:ascii="Times New Roman" w:hAnsi="Times New Roman" w:cs="Times New Roman"/>
          <w:sz w:val="24"/>
          <w:szCs w:val="24"/>
        </w:rPr>
        <w:t>Hvidvasksekretariatet kan endvidere anmode en FIU i en anden medlemsstat om at tage hastende tiltag, som svarer til dem i stk. 1 og 4.</w:t>
      </w:r>
    </w:p>
    <w:p w14:paraId="189BABEE" w14:textId="77777777" w:rsidR="001D0A32" w:rsidRPr="00796736" w:rsidRDefault="001D0A32" w:rsidP="00A802A5">
      <w:pPr>
        <w:spacing w:line="360" w:lineRule="auto"/>
        <w:rPr>
          <w:rFonts w:ascii="Times New Roman" w:hAnsi="Times New Roman" w:cs="Times New Roman"/>
          <w:sz w:val="24"/>
          <w:szCs w:val="24"/>
        </w:rPr>
      </w:pPr>
    </w:p>
    <w:p w14:paraId="271F9AC3" w14:textId="77777777" w:rsidR="001D0A32"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medføre, at Hvidvasksekretariatet – hvis betingelserne efter stk. 1 og 4 er opfyldt – på anmodning fra en FIU fra en anden medlemsstat kan iværksætte tiltag.</w:t>
      </w:r>
    </w:p>
    <w:p w14:paraId="660FCF4D" w14:textId="77777777" w:rsidR="00426194" w:rsidRDefault="00426194" w:rsidP="00426194">
      <w:pPr>
        <w:spacing w:line="360" w:lineRule="auto"/>
        <w:rPr>
          <w:rFonts w:ascii="Times New Roman" w:hAnsi="Times New Roman" w:cs="Times New Roman"/>
          <w:sz w:val="24"/>
          <w:szCs w:val="24"/>
        </w:rPr>
      </w:pPr>
    </w:p>
    <w:p w14:paraId="6012FDEC" w14:textId="57B56C7D" w:rsidR="00426194" w:rsidRPr="00796736" w:rsidRDefault="00426194" w:rsidP="00426194">
      <w:pPr>
        <w:spacing w:line="360" w:lineRule="auto"/>
        <w:rPr>
          <w:rFonts w:ascii="Times New Roman" w:hAnsi="Times New Roman" w:cs="Times New Roman"/>
          <w:sz w:val="24"/>
          <w:szCs w:val="24"/>
        </w:rPr>
      </w:pPr>
      <w:r>
        <w:rPr>
          <w:rFonts w:ascii="Times New Roman" w:hAnsi="Times New Roman" w:cs="Times New Roman"/>
          <w:sz w:val="24"/>
          <w:szCs w:val="24"/>
        </w:rPr>
        <w:t xml:space="preserve">Den foreslåede bestemmelse vil endvidere medføre, at Hvidvasksekretariatet vil kunne anmode en anden medlemsstats FIU om at iværksætte hastende tiltag efter regler i den pågældende medlemsstat, som implementerer 6. hvidvaskdirektivs artikel 24, stk. 1 og 2, og som svarer til den foreslåede bestemmelses stk. 1 og 4. Det vil for sådanne anmodninger være et krav, at betingelserne for at kunne suspendere eller tilbageholde godkendelsen af en transaktion er til stede. </w:t>
      </w:r>
    </w:p>
    <w:p w14:paraId="0D49388E" w14:textId="77777777" w:rsidR="00426194" w:rsidRDefault="00426194" w:rsidP="00A802A5">
      <w:pPr>
        <w:spacing w:line="360" w:lineRule="auto"/>
        <w:rPr>
          <w:rFonts w:ascii="Times New Roman" w:hAnsi="Times New Roman" w:cs="Times New Roman"/>
          <w:sz w:val="24"/>
          <w:szCs w:val="24"/>
        </w:rPr>
      </w:pPr>
    </w:p>
    <w:p w14:paraId="793DB57F" w14:textId="77777777" w:rsidR="003D7972" w:rsidRPr="00796736" w:rsidRDefault="003D7972" w:rsidP="003D7972">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7</w:t>
      </w:r>
      <w:r w:rsidRPr="00796736">
        <w:rPr>
          <w:rFonts w:ascii="Times New Roman" w:hAnsi="Times New Roman" w:cs="Times New Roman"/>
          <w:sz w:val="24"/>
          <w:szCs w:val="24"/>
        </w:rPr>
        <w:t>, at Hvidvasksekretariatet, dets sekretariats ledelse og øvrige ansatte ikke kan pålægges ansvar for en suspension eller tilbageholdelse efter</w:t>
      </w:r>
      <w:r>
        <w:rPr>
          <w:rFonts w:ascii="Times New Roman" w:hAnsi="Times New Roman" w:cs="Times New Roman"/>
          <w:sz w:val="24"/>
          <w:szCs w:val="24"/>
        </w:rPr>
        <w:t xml:space="preserve"> reglerne i</w:t>
      </w:r>
      <w:r w:rsidRPr="00796736">
        <w:rPr>
          <w:rFonts w:ascii="Times New Roman" w:hAnsi="Times New Roman" w:cs="Times New Roman"/>
          <w:sz w:val="24"/>
          <w:szCs w:val="24"/>
        </w:rPr>
        <w:t xml:space="preserve"> stk. 1</w:t>
      </w:r>
      <w:r>
        <w:rPr>
          <w:rFonts w:ascii="Times New Roman" w:hAnsi="Times New Roman" w:cs="Times New Roman"/>
          <w:sz w:val="24"/>
          <w:szCs w:val="24"/>
        </w:rPr>
        <w:t>-6.</w:t>
      </w:r>
    </w:p>
    <w:p w14:paraId="22D15C41" w14:textId="77777777" w:rsidR="001D0A32" w:rsidRPr="00796736" w:rsidRDefault="001D0A32" w:rsidP="00A802A5">
      <w:pPr>
        <w:spacing w:line="360" w:lineRule="auto"/>
        <w:rPr>
          <w:rFonts w:ascii="Times New Roman" w:hAnsi="Times New Roman" w:cs="Times New Roman"/>
          <w:sz w:val="24"/>
          <w:szCs w:val="24"/>
        </w:rPr>
      </w:pPr>
    </w:p>
    <w:p w14:paraId="54CCF597"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har til formål at gennemføre hvidvaskdirektivets artikel 24, stk. 3, hvoraf det fremgår, at pålæg af en suspension eller tilbageholdelse af en godkendelse i overensstemmelse med denne artikel ikke må pådrage FIU’en eller dens ledelse eller ansatte nogen form for ansvar. </w:t>
      </w:r>
    </w:p>
    <w:p w14:paraId="55F682BD" w14:textId="77777777" w:rsidR="001D0A32" w:rsidRPr="00796736" w:rsidRDefault="001D0A32" w:rsidP="00A802A5">
      <w:pPr>
        <w:spacing w:line="360" w:lineRule="auto"/>
        <w:rPr>
          <w:rFonts w:ascii="Times New Roman" w:hAnsi="Times New Roman" w:cs="Times New Roman"/>
          <w:sz w:val="24"/>
          <w:szCs w:val="24"/>
        </w:rPr>
      </w:pPr>
    </w:p>
    <w:p w14:paraId="1587AFDF" w14:textId="77777777" w:rsidR="00B53CEE" w:rsidRPr="00796736" w:rsidRDefault="00B53CEE" w:rsidP="00B53CEE">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indebære, at hverken Hvidvasksekretariatets ledelse eller ansatte strafferetligt eller civilretligt vil kunne holdes ansvarlig for skade, som en kontoejer, klient, medkontrahent eller anden tredjepart i god tro har lidt som følge af et påbud om suspension eller tilbageholdelse af en godkendelse, forudsat at afgørelsen om suspension eller tilbageholdelse af en godkendelse er udført i overensstemmelse med den foreslåede </w:t>
      </w:r>
      <w:r>
        <w:rPr>
          <w:rFonts w:ascii="Times New Roman" w:hAnsi="Times New Roman" w:cs="Times New Roman"/>
          <w:sz w:val="24"/>
          <w:szCs w:val="24"/>
        </w:rPr>
        <w:t>stk.1-6</w:t>
      </w:r>
      <w:r w:rsidRPr="00796736">
        <w:rPr>
          <w:rFonts w:ascii="Times New Roman" w:hAnsi="Times New Roman" w:cs="Times New Roman"/>
          <w:sz w:val="24"/>
          <w:szCs w:val="24"/>
        </w:rPr>
        <w:t xml:space="preserve">. </w:t>
      </w:r>
    </w:p>
    <w:p w14:paraId="0F56F75B" w14:textId="77777777" w:rsidR="001D0A32" w:rsidRPr="00796736" w:rsidRDefault="001D0A32" w:rsidP="00A802A5">
      <w:pPr>
        <w:spacing w:line="360" w:lineRule="auto"/>
        <w:rPr>
          <w:rFonts w:ascii="Times New Roman" w:hAnsi="Times New Roman" w:cs="Times New Roman"/>
          <w:sz w:val="24"/>
          <w:szCs w:val="24"/>
        </w:rPr>
      </w:pPr>
    </w:p>
    <w:p w14:paraId="165C2937" w14:textId="2D608E06"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7E6510" w:rsidRPr="00796736">
        <w:rPr>
          <w:rFonts w:ascii="Times New Roman" w:hAnsi="Times New Roman" w:cs="Times New Roman"/>
          <w:sz w:val="24"/>
          <w:szCs w:val="24"/>
        </w:rPr>
        <w:fldChar w:fldCharType="begin"/>
      </w:r>
      <w:r w:rsidR="007E6510" w:rsidRPr="00796736">
        <w:rPr>
          <w:rFonts w:ascii="Times New Roman" w:hAnsi="Times New Roman" w:cs="Times New Roman"/>
          <w:sz w:val="24"/>
          <w:szCs w:val="24"/>
        </w:rPr>
        <w:instrText xml:space="preserve"> REF _Ref232595777 \r \h </w:instrText>
      </w:r>
      <w:r w:rsidR="00967618" w:rsidRPr="00796736">
        <w:rPr>
          <w:rFonts w:ascii="Times New Roman" w:hAnsi="Times New Roman" w:cs="Times New Roman"/>
          <w:sz w:val="24"/>
          <w:szCs w:val="24"/>
        </w:rPr>
        <w:instrText xml:space="preserve"> \* MERGEFORMAT </w:instrText>
      </w:r>
      <w:r w:rsidR="007E6510" w:rsidRPr="00796736">
        <w:rPr>
          <w:rFonts w:ascii="Times New Roman" w:hAnsi="Times New Roman" w:cs="Times New Roman"/>
          <w:sz w:val="24"/>
          <w:szCs w:val="24"/>
        </w:rPr>
      </w:r>
      <w:r w:rsidR="007E651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19</w:t>
      </w:r>
      <w:r w:rsidR="007E6510" w:rsidRPr="00796736">
        <w:rPr>
          <w:rFonts w:ascii="Times New Roman" w:hAnsi="Times New Roman" w:cs="Times New Roman"/>
          <w:sz w:val="24"/>
          <w:szCs w:val="24"/>
        </w:rPr>
        <w:fldChar w:fldCharType="end"/>
      </w:r>
      <w:r w:rsidR="007E6510" w:rsidRPr="00796736">
        <w:rPr>
          <w:rFonts w:ascii="Times New Roman" w:hAnsi="Times New Roman" w:cs="Times New Roman"/>
          <w:sz w:val="24"/>
          <w:szCs w:val="24"/>
        </w:rPr>
        <w:t xml:space="preserve"> </w:t>
      </w:r>
      <w:r w:rsidRPr="00796736">
        <w:rPr>
          <w:rFonts w:ascii="Times New Roman" w:hAnsi="Times New Roman" w:cs="Times New Roman"/>
          <w:sz w:val="24"/>
          <w:szCs w:val="24"/>
        </w:rPr>
        <w:t>har til formål at gennemføre hvidvaskdirektivets artikel</w:t>
      </w:r>
    </w:p>
    <w:p w14:paraId="68A5DD92" w14:textId="77777777"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24.</w:t>
      </w:r>
    </w:p>
    <w:p w14:paraId="3E322BE4" w14:textId="77777777" w:rsidR="001D0A32" w:rsidRPr="00796736" w:rsidRDefault="001D0A32" w:rsidP="00A802A5">
      <w:pPr>
        <w:spacing w:line="360" w:lineRule="auto"/>
        <w:rPr>
          <w:rFonts w:ascii="Times New Roman" w:hAnsi="Times New Roman" w:cs="Times New Roman"/>
          <w:sz w:val="24"/>
          <w:szCs w:val="24"/>
        </w:rPr>
      </w:pPr>
    </w:p>
    <w:p w14:paraId="25CA9B5A" w14:textId="55D2C83F" w:rsidR="001D0A32" w:rsidRPr="00796736" w:rsidRDefault="001D0A3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7E6510" w:rsidRPr="00796736">
        <w:rPr>
          <w:rFonts w:ascii="Times New Roman" w:hAnsi="Times New Roman" w:cs="Times New Roman"/>
          <w:sz w:val="24"/>
          <w:szCs w:val="24"/>
        </w:rPr>
        <w:fldChar w:fldCharType="begin"/>
      </w:r>
      <w:r w:rsidR="007E6510" w:rsidRPr="00796736">
        <w:rPr>
          <w:rFonts w:ascii="Times New Roman" w:hAnsi="Times New Roman" w:cs="Times New Roman"/>
          <w:sz w:val="24"/>
          <w:szCs w:val="24"/>
        </w:rPr>
        <w:instrText xml:space="preserve"> REF _Ref232943375 \n \h </w:instrText>
      </w:r>
      <w:r w:rsidR="00967618" w:rsidRPr="00796736">
        <w:rPr>
          <w:rFonts w:ascii="Times New Roman" w:hAnsi="Times New Roman" w:cs="Times New Roman"/>
          <w:sz w:val="24"/>
          <w:szCs w:val="24"/>
        </w:rPr>
        <w:instrText xml:space="preserve"> \* MERGEFORMAT </w:instrText>
      </w:r>
      <w:r w:rsidR="007E6510" w:rsidRPr="00796736">
        <w:rPr>
          <w:rFonts w:ascii="Times New Roman" w:hAnsi="Times New Roman" w:cs="Times New Roman"/>
          <w:sz w:val="24"/>
          <w:szCs w:val="24"/>
        </w:rPr>
      </w:r>
      <w:r w:rsidR="007E651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3.18</w:t>
      </w:r>
      <w:r w:rsidR="007E6510" w:rsidRPr="00796736">
        <w:rPr>
          <w:rFonts w:ascii="Times New Roman" w:hAnsi="Times New Roman" w:cs="Times New Roman"/>
          <w:sz w:val="24"/>
          <w:szCs w:val="24"/>
        </w:rPr>
        <w:fldChar w:fldCharType="end"/>
      </w:r>
      <w:r w:rsidR="007E651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 lovforslagets almindelige bemærkninger. </w:t>
      </w:r>
    </w:p>
    <w:p w14:paraId="54EEC2E1" w14:textId="77777777" w:rsidR="001D0A32" w:rsidRPr="00796736" w:rsidRDefault="001D0A32" w:rsidP="00A802A5">
      <w:pPr>
        <w:spacing w:line="360" w:lineRule="auto"/>
        <w:jc w:val="center"/>
        <w:rPr>
          <w:rFonts w:ascii="Times New Roman" w:hAnsi="Times New Roman" w:cs="Times New Roman"/>
          <w:i/>
          <w:iCs/>
          <w:sz w:val="24"/>
          <w:szCs w:val="24"/>
        </w:rPr>
      </w:pPr>
    </w:p>
    <w:p w14:paraId="2F528B30" w14:textId="77777777" w:rsidR="00CD0721" w:rsidRPr="00796736" w:rsidRDefault="00CD0721" w:rsidP="00A802A5">
      <w:pPr>
        <w:spacing w:line="360" w:lineRule="auto"/>
        <w:jc w:val="center"/>
        <w:rPr>
          <w:rFonts w:ascii="Times New Roman" w:hAnsi="Times New Roman" w:cs="Times New Roman"/>
          <w:i/>
          <w:iCs/>
          <w:sz w:val="24"/>
          <w:szCs w:val="24"/>
        </w:rPr>
      </w:pPr>
    </w:p>
    <w:p w14:paraId="784A6F05" w14:textId="79421CCA" w:rsidR="00CD0721" w:rsidRPr="00796736" w:rsidRDefault="00291BD0" w:rsidP="00A802A5">
      <w:pPr>
        <w:pStyle w:val="Undertitel"/>
      </w:pPr>
      <w:bookmarkStart w:id="1910" w:name="_Toc232109352"/>
      <w:bookmarkStart w:id="1911" w:name="_Toc244879316"/>
      <w:bookmarkStart w:id="1912" w:name="_Toc244880841"/>
      <w:r w:rsidRPr="00796736">
        <w:t xml:space="preserve">Til </w:t>
      </w:r>
      <w:r w:rsidR="00161898" w:rsidRPr="00796736">
        <w:fldChar w:fldCharType="begin"/>
      </w:r>
      <w:r w:rsidR="00161898" w:rsidRPr="00796736">
        <w:instrText xml:space="preserve"> REF _Ref232595829 \r \h </w:instrText>
      </w:r>
      <w:r w:rsidR="00967618" w:rsidRPr="00796736">
        <w:instrText xml:space="preserve"> \* MERGEFORMAT </w:instrText>
      </w:r>
      <w:r w:rsidR="00161898" w:rsidRPr="00796736">
        <w:fldChar w:fldCharType="separate"/>
      </w:r>
      <w:r w:rsidR="008F29E5">
        <w:t>§ 20</w:t>
      </w:r>
      <w:bookmarkEnd w:id="1911"/>
      <w:bookmarkEnd w:id="1912"/>
      <w:r w:rsidR="00161898" w:rsidRPr="00796736">
        <w:fldChar w:fldCharType="end"/>
      </w:r>
      <w:r w:rsidR="00161898" w:rsidRPr="00796736">
        <w:t xml:space="preserve"> </w:t>
      </w:r>
      <w:bookmarkEnd w:id="1910"/>
    </w:p>
    <w:p w14:paraId="43DC2867" w14:textId="77777777" w:rsidR="00291BD0" w:rsidRPr="00796736" w:rsidRDefault="00291B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 indeholder ikke i dag regler om, at Hvidvasksekretariatet kan give forpligtede enheder instrukser eller pålæg om at overvåge transaktioner eller aktiviteter der gennemføres via bankkonti, betalingskonti, kryptoaktivkonti eller forretningsforbindelser, som forvaltes af den forpligtede enhed. </w:t>
      </w:r>
    </w:p>
    <w:p w14:paraId="7006D48D" w14:textId="77777777" w:rsidR="00291BD0" w:rsidRPr="00796736" w:rsidRDefault="00291BD0" w:rsidP="00A802A5">
      <w:pPr>
        <w:spacing w:line="360" w:lineRule="auto"/>
        <w:rPr>
          <w:rFonts w:ascii="Times New Roman" w:hAnsi="Times New Roman" w:cs="Times New Roman"/>
          <w:sz w:val="24"/>
          <w:szCs w:val="24"/>
          <w:lang w:eastAsia="da-DK"/>
        </w:rPr>
      </w:pPr>
    </w:p>
    <w:p w14:paraId="51151CF5" w14:textId="75E70620" w:rsidR="00291BD0" w:rsidRPr="00796736" w:rsidRDefault="00291BD0"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For nærmere om gældende ret henvises til pkt. </w:t>
      </w:r>
      <w:r w:rsidR="0000180D" w:rsidRPr="00796736">
        <w:rPr>
          <w:rFonts w:ascii="Times New Roman" w:hAnsi="Times New Roman" w:cs="Times New Roman"/>
          <w:sz w:val="24"/>
          <w:szCs w:val="24"/>
          <w:lang w:eastAsia="da-DK"/>
        </w:rPr>
        <w:fldChar w:fldCharType="begin"/>
      </w:r>
      <w:r w:rsidR="0000180D" w:rsidRPr="00796736">
        <w:rPr>
          <w:rFonts w:ascii="Times New Roman" w:hAnsi="Times New Roman" w:cs="Times New Roman"/>
          <w:sz w:val="24"/>
          <w:szCs w:val="24"/>
          <w:lang w:eastAsia="da-DK"/>
        </w:rPr>
        <w:instrText xml:space="preserve"> REF _Ref232943392 \n \h </w:instrText>
      </w:r>
      <w:r w:rsidR="00967618" w:rsidRPr="00796736">
        <w:rPr>
          <w:rFonts w:ascii="Times New Roman" w:hAnsi="Times New Roman" w:cs="Times New Roman"/>
          <w:sz w:val="24"/>
          <w:szCs w:val="24"/>
          <w:lang w:eastAsia="da-DK"/>
        </w:rPr>
        <w:instrText xml:space="preserve"> \* MERGEFORMAT </w:instrText>
      </w:r>
      <w:r w:rsidR="0000180D" w:rsidRPr="00796736">
        <w:rPr>
          <w:rFonts w:ascii="Times New Roman" w:hAnsi="Times New Roman" w:cs="Times New Roman"/>
          <w:sz w:val="24"/>
          <w:szCs w:val="24"/>
          <w:lang w:eastAsia="da-DK"/>
        </w:rPr>
      </w:r>
      <w:r w:rsidR="0000180D"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3.19</w:t>
      </w:r>
      <w:r w:rsidR="0000180D" w:rsidRPr="00796736">
        <w:rPr>
          <w:rFonts w:ascii="Times New Roman" w:hAnsi="Times New Roman" w:cs="Times New Roman"/>
          <w:sz w:val="24"/>
          <w:szCs w:val="24"/>
          <w:lang w:eastAsia="da-DK"/>
        </w:rPr>
        <w:fldChar w:fldCharType="end"/>
      </w:r>
      <w:r w:rsidR="0000180D"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 xml:space="preserve">i de almindelige bemærkninger. </w:t>
      </w:r>
    </w:p>
    <w:p w14:paraId="3204C709" w14:textId="77777777" w:rsidR="00291BD0" w:rsidRPr="00796736" w:rsidRDefault="00291BD0" w:rsidP="00A802A5">
      <w:pPr>
        <w:spacing w:line="360" w:lineRule="auto"/>
        <w:rPr>
          <w:rFonts w:ascii="Times New Roman" w:hAnsi="Times New Roman" w:cs="Times New Roman"/>
          <w:sz w:val="24"/>
          <w:szCs w:val="24"/>
          <w:lang w:eastAsia="da-DK"/>
        </w:rPr>
      </w:pPr>
    </w:p>
    <w:p w14:paraId="4D888B99" w14:textId="30D928DD" w:rsidR="00291BD0" w:rsidRPr="00796736" w:rsidRDefault="00291BD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lang w:eastAsia="da-DK"/>
        </w:rPr>
        <w:t xml:space="preserve">Det foreslås i </w:t>
      </w:r>
      <w:r w:rsidR="0000180D" w:rsidRPr="00796736">
        <w:rPr>
          <w:rFonts w:ascii="Times New Roman" w:hAnsi="Times New Roman" w:cs="Times New Roman"/>
          <w:i/>
          <w:iCs/>
          <w:sz w:val="24"/>
          <w:szCs w:val="24"/>
        </w:rPr>
        <w:fldChar w:fldCharType="begin"/>
      </w:r>
      <w:r w:rsidR="0000180D" w:rsidRPr="00796736">
        <w:rPr>
          <w:rFonts w:ascii="Times New Roman" w:hAnsi="Times New Roman" w:cs="Times New Roman"/>
          <w:i/>
          <w:iCs/>
          <w:sz w:val="24"/>
          <w:szCs w:val="24"/>
        </w:rPr>
        <w:instrText xml:space="preserve"> REF _Ref232595829 \r \h  \* MERGEFORMAT </w:instrText>
      </w:r>
      <w:r w:rsidR="0000180D" w:rsidRPr="00796736">
        <w:rPr>
          <w:rFonts w:ascii="Times New Roman" w:hAnsi="Times New Roman" w:cs="Times New Roman"/>
          <w:i/>
          <w:iCs/>
          <w:sz w:val="24"/>
          <w:szCs w:val="24"/>
        </w:rPr>
      </w:r>
      <w:r w:rsidR="0000180D"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20</w:t>
      </w:r>
      <w:r w:rsidR="0000180D"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lang w:eastAsia="da-DK"/>
        </w:rPr>
        <w:t>, stk. 1,</w:t>
      </w:r>
      <w:r w:rsidRPr="00796736">
        <w:rPr>
          <w:rFonts w:ascii="Times New Roman" w:hAnsi="Times New Roman" w:cs="Times New Roman"/>
          <w:sz w:val="24"/>
          <w:szCs w:val="24"/>
          <w:lang w:eastAsia="da-DK"/>
        </w:rPr>
        <w:t xml:space="preserve"> </w:t>
      </w:r>
      <w:r w:rsidR="006E255A" w:rsidRPr="00796736">
        <w:rPr>
          <w:rFonts w:ascii="Times New Roman" w:hAnsi="Times New Roman" w:cs="Times New Roman"/>
          <w:sz w:val="24"/>
          <w:szCs w:val="24"/>
        </w:rPr>
        <w:t xml:space="preserve">Hvidvasksekretariatet kan påbyde </w:t>
      </w:r>
      <w:r w:rsidR="006E255A">
        <w:rPr>
          <w:rFonts w:ascii="Times New Roman" w:hAnsi="Times New Roman" w:cs="Times New Roman"/>
          <w:sz w:val="24"/>
          <w:szCs w:val="24"/>
        </w:rPr>
        <w:t>virksomheder og personer omfattet af loven</w:t>
      </w:r>
      <w:r w:rsidR="006E255A" w:rsidRPr="00796736">
        <w:rPr>
          <w:rFonts w:ascii="Times New Roman" w:hAnsi="Times New Roman" w:cs="Times New Roman"/>
          <w:sz w:val="24"/>
          <w:szCs w:val="24"/>
        </w:rPr>
        <w:t xml:space="preserve"> i en periode at overvåge de transaktioner eller aktiviteter, som gennemføres via en eller flere bankkonti eller betalingskonti eller kryptoaktivkonti eller andre forretningsforbindelser, der forvaltes af den </w:t>
      </w:r>
      <w:r w:rsidR="006E255A">
        <w:rPr>
          <w:rFonts w:ascii="Times New Roman" w:hAnsi="Times New Roman" w:cs="Times New Roman"/>
          <w:sz w:val="24"/>
          <w:szCs w:val="24"/>
        </w:rPr>
        <w:t>pågældende</w:t>
      </w:r>
      <w:r w:rsidR="006E255A" w:rsidRPr="00796736">
        <w:rPr>
          <w:rFonts w:ascii="Times New Roman" w:hAnsi="Times New Roman" w:cs="Times New Roman"/>
          <w:sz w:val="24"/>
          <w:szCs w:val="24"/>
        </w:rPr>
        <w:t>, for personer, der udgør en betydelig risiko for hvidvask af penge, de underliggende lovovertrædelser eller finansiering af terrorisme.</w:t>
      </w:r>
    </w:p>
    <w:p w14:paraId="417642E1" w14:textId="77777777" w:rsidR="001A67B5" w:rsidRPr="00796736" w:rsidRDefault="001A67B5" w:rsidP="00A802A5">
      <w:pPr>
        <w:spacing w:line="360" w:lineRule="auto"/>
        <w:rPr>
          <w:rFonts w:ascii="Times New Roman" w:hAnsi="Times New Roman" w:cs="Times New Roman"/>
          <w:sz w:val="24"/>
          <w:szCs w:val="24"/>
        </w:rPr>
      </w:pPr>
    </w:p>
    <w:p w14:paraId="3ED9E947" w14:textId="77777777" w:rsidR="00B8476B" w:rsidRPr="002128F7" w:rsidRDefault="00B8476B" w:rsidP="00B8476B">
      <w:pPr>
        <w:spacing w:after="240" w:line="360" w:lineRule="auto"/>
        <w:rPr>
          <w:rFonts w:ascii="Times New Roman" w:eastAsia="Calibri" w:hAnsi="Times New Roman" w:cs="Times New Roman"/>
          <w:sz w:val="24"/>
          <w:szCs w:val="24"/>
        </w:rPr>
      </w:pPr>
      <w:r w:rsidRPr="00D253F0">
        <w:rPr>
          <w:rFonts w:ascii="Times New Roman" w:hAnsi="Times New Roman" w:cs="Times New Roman"/>
          <w:sz w:val="24"/>
          <w:szCs w:val="24"/>
        </w:rPr>
        <w:t>Der vil ved påbud efter den foreslåede bestemmelse være tale om en afgørelse i forvaltningslovens forstand</w:t>
      </w:r>
      <w:r>
        <w:rPr>
          <w:rFonts w:ascii="Times New Roman" w:hAnsi="Times New Roman" w:cs="Times New Roman"/>
          <w:sz w:val="24"/>
          <w:szCs w:val="24"/>
        </w:rPr>
        <w:t xml:space="preserve"> over for den virksomhed eller person, som forpligtes til at foretage overvågning</w:t>
      </w:r>
      <w:r w:rsidRPr="00D253F0">
        <w:rPr>
          <w:rFonts w:ascii="Times New Roman" w:hAnsi="Times New Roman" w:cs="Times New Roman"/>
          <w:sz w:val="24"/>
          <w:szCs w:val="24"/>
        </w:rPr>
        <w:t xml:space="preserve">, hvilket </w:t>
      </w:r>
      <w:r w:rsidRPr="00D253F0">
        <w:rPr>
          <w:rFonts w:ascii="Times New Roman" w:eastAsia="Calibri" w:hAnsi="Times New Roman" w:cs="Times New Roman"/>
          <w:sz w:val="24"/>
          <w:szCs w:val="24"/>
        </w:rPr>
        <w:t>vil indebære, at Hvidvasksekretariatet vil skulle iagttage forvaltningslovens regler om partsrettigheder, herunder bl.a. vejledningspligt, partshøring, begrundelse og klagevejledning, og at der som udgangspunkt vil kunne anmodes om aktindsigt i afgørelserne efter forvaltningsloven</w:t>
      </w:r>
      <w:r>
        <w:rPr>
          <w:rFonts w:ascii="Times New Roman" w:eastAsia="Calibri" w:hAnsi="Times New Roman" w:cs="Times New Roman"/>
          <w:sz w:val="24"/>
          <w:szCs w:val="24"/>
        </w:rPr>
        <w:t>, jf. nærmere herom pkt. 4.1 i lovforslagets almindelige bemærkninger</w:t>
      </w:r>
      <w:r w:rsidRPr="00D253F0">
        <w:rPr>
          <w:rFonts w:ascii="Times New Roman" w:eastAsia="Calibri" w:hAnsi="Times New Roman" w:cs="Times New Roman"/>
          <w:sz w:val="24"/>
          <w:szCs w:val="24"/>
        </w:rPr>
        <w:t>.</w:t>
      </w:r>
      <w:r>
        <w:rPr>
          <w:rFonts w:ascii="Times New Roman" w:eastAsia="Calibri" w:hAnsi="Times New Roman" w:cs="Times New Roman"/>
          <w:sz w:val="24"/>
          <w:szCs w:val="24"/>
        </w:rPr>
        <w:t xml:space="preserve"> Der vil derimod ikke i almindelighed være tale om en afgørelse overfor den eller de personer, der udgør en betydelig risiko for hvidvask, terrorfinansiering eller de underliggende lovovertrædelser, og hvis bankkonti, betalingskonti, kryptoaktivkonti eller andre forretningsforbindelser virksomheden eller personen, som er adressat for påbuddet, forvalter.</w:t>
      </w:r>
    </w:p>
    <w:p w14:paraId="3C43ADB1"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Påbud efter den foreslåede bestemmelse vil skulle ledsages af konkrete instrukser eller retningslinjer om, hvorledes overvågningen nærmere skal udføres. Det vil efter den foreslåede bestemmelse være et krav, at der er tale om transaktioner eller aktiviteter, som gennemføres via enten bank-, betalings- eller kryptoaktivkonti eller andre forretningsforbindelser, som den forpligtede enhed forvalter for personer, der udgør en betydelig risiko for hvidvask af penge, de underliggende lovovertrædelser eller finansiering af terrorisme. </w:t>
      </w:r>
    </w:p>
    <w:p w14:paraId="0B6B3D1D" w14:textId="77777777" w:rsidR="001A67B5" w:rsidRPr="00796736" w:rsidRDefault="001A67B5" w:rsidP="00A802A5">
      <w:pPr>
        <w:spacing w:line="360" w:lineRule="auto"/>
        <w:rPr>
          <w:rFonts w:ascii="Times New Roman" w:hAnsi="Times New Roman" w:cs="Times New Roman"/>
          <w:sz w:val="24"/>
          <w:szCs w:val="24"/>
        </w:rPr>
      </w:pPr>
    </w:p>
    <w:p w14:paraId="2C1444E6" w14:textId="3A66C840"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således efter bestemmelsen være et krav, at der er tale om en person </w:t>
      </w:r>
      <w:r w:rsidR="002128F7">
        <w:rPr>
          <w:rFonts w:ascii="Times New Roman" w:hAnsi="Times New Roman" w:cs="Times New Roman"/>
          <w:sz w:val="24"/>
          <w:szCs w:val="24"/>
        </w:rPr>
        <w:t xml:space="preserve">eller virksomhed </w:t>
      </w:r>
      <w:r w:rsidRPr="00796736">
        <w:rPr>
          <w:rFonts w:ascii="Times New Roman" w:hAnsi="Times New Roman" w:cs="Times New Roman"/>
          <w:sz w:val="24"/>
          <w:szCs w:val="24"/>
        </w:rPr>
        <w:t xml:space="preserve">der udgør en betydelig risiko, som nødvendiggør at iværksætte overvågningsforanstaltninger. </w:t>
      </w:r>
      <w:bookmarkStart w:id="1913" w:name="_Hlk229143514"/>
      <w:r w:rsidRPr="00796736">
        <w:rPr>
          <w:rFonts w:ascii="Times New Roman" w:hAnsi="Times New Roman" w:cs="Times New Roman"/>
          <w:sz w:val="24"/>
          <w:szCs w:val="24"/>
        </w:rPr>
        <w:t>Betingelsen vil i almindelighed kunne anses for opfyldt, hvis der er tale om en person, som eksempelvis er tidligere dømt, sigtet, eller er under mistanke for hvidvask, hæleri, terrorfinansiering eller anden alvorlig kriminalitet eller Hvidvasksekretariatet på anden vis på baggrund af sin efterretningsvirksomhed har konkret anledning til at antage, at personen udgør en betydelig risiko for hvidvask eller terrorfinansiering</w:t>
      </w:r>
      <w:bookmarkEnd w:id="1913"/>
      <w:r w:rsidRPr="00796736">
        <w:rPr>
          <w:rFonts w:ascii="Times New Roman" w:hAnsi="Times New Roman" w:cs="Times New Roman"/>
          <w:sz w:val="24"/>
          <w:szCs w:val="24"/>
        </w:rPr>
        <w:t xml:space="preserve">. Det forudsættes, at den juridiske eller fysiske person, som giver anledning til den pågældende overvågning ikke vil skulle orienteres om overvågningen, medmindre det efter en konkret vurdering ikke vil forstyrre overvågningens øjemed. </w:t>
      </w:r>
    </w:p>
    <w:p w14:paraId="6D077F4C" w14:textId="77777777" w:rsidR="001A67B5" w:rsidRPr="00796736" w:rsidRDefault="001A67B5" w:rsidP="00A802A5">
      <w:pPr>
        <w:spacing w:line="360" w:lineRule="auto"/>
        <w:rPr>
          <w:rFonts w:ascii="Times New Roman" w:hAnsi="Times New Roman" w:cs="Times New Roman"/>
          <w:sz w:val="24"/>
          <w:szCs w:val="24"/>
          <w:lang w:eastAsia="da-DK"/>
        </w:rPr>
      </w:pPr>
    </w:p>
    <w:p w14:paraId="4FDFF560" w14:textId="77777777" w:rsidR="002128F7" w:rsidRPr="00D253F0" w:rsidRDefault="002128F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Det forudsættes, at Hvidvasksekretariatet, forinden der skrides til påbud efter den foreslåede bestemmelse, vejleder de </w:t>
      </w:r>
      <w:r>
        <w:rPr>
          <w:rFonts w:ascii="Times New Roman" w:hAnsi="Times New Roman" w:cs="Times New Roman"/>
          <w:sz w:val="24"/>
          <w:szCs w:val="24"/>
        </w:rPr>
        <w:t>relevante personer og virksomheder om at søge vejledning hos Erhvervsministeriet eller Skatte- og Vækstministeriet</w:t>
      </w:r>
      <w:r w:rsidRPr="00D253F0">
        <w:rPr>
          <w:rFonts w:ascii="Times New Roman" w:hAnsi="Times New Roman" w:cs="Times New Roman"/>
          <w:sz w:val="24"/>
          <w:szCs w:val="24"/>
        </w:rPr>
        <w:t xml:space="preserve"> om kravene til kundekendskabsprocedure og overvågning af transaktioner og forretningsforbindelser mv. i hvidvaskforordningens kapitel III og, såfremt en efterlevelse af disse krav efter Hvidvasksekretariatets vurdering vil være tilstrækkeligt.  Et påbud efter den foreslåede bestemmelse vil være en afgørelse i forvaltningslovens forstand. Hvidvasksekretariatet vil derfor skulle iagttage forvaltningslovens regler i forbindelse med pålæg, herunder bl.a. reglerne om vejledningspligt, partshøring, begrundelse og klagevejledning.</w:t>
      </w:r>
    </w:p>
    <w:p w14:paraId="2EA3FB45" w14:textId="77777777" w:rsidR="001A67B5" w:rsidRPr="00796736" w:rsidRDefault="001A67B5" w:rsidP="00A802A5">
      <w:pPr>
        <w:spacing w:line="360" w:lineRule="auto"/>
        <w:rPr>
          <w:rFonts w:ascii="Times New Roman" w:hAnsi="Times New Roman" w:cs="Times New Roman"/>
          <w:sz w:val="24"/>
          <w:szCs w:val="24"/>
        </w:rPr>
      </w:pPr>
    </w:p>
    <w:p w14:paraId="63EB53C4"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Påbud efter den foreslåede bestemmelse vil skulle gælde i en vis periode, som fastsættes af Hvidvasksekretariatet. Perioden vil skulle fastsættes under hensyntagen til, hvad der i den konkrete situation er nødvendigt i relation til den betydelige risiko, og forudsættes at kunne forlænges, hvis der konkret er grundlag herfor. </w:t>
      </w:r>
    </w:p>
    <w:p w14:paraId="486575DB" w14:textId="77777777" w:rsidR="003F06C7" w:rsidRPr="00796736" w:rsidRDefault="003F06C7" w:rsidP="00A802A5">
      <w:pPr>
        <w:spacing w:line="360" w:lineRule="auto"/>
        <w:rPr>
          <w:rFonts w:ascii="Times New Roman" w:hAnsi="Times New Roman" w:cs="Times New Roman"/>
          <w:sz w:val="24"/>
          <w:szCs w:val="24"/>
        </w:rPr>
      </w:pPr>
    </w:p>
    <w:p w14:paraId="73EFC664" w14:textId="3256349C" w:rsidR="002128F7"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2, </w:t>
      </w:r>
      <w:r w:rsidR="00BA37A1" w:rsidRPr="00796736">
        <w:rPr>
          <w:rFonts w:ascii="Times New Roman" w:hAnsi="Times New Roman" w:cs="Times New Roman"/>
          <w:sz w:val="24"/>
          <w:szCs w:val="24"/>
        </w:rPr>
        <w:t xml:space="preserve">at Hvidvasksekretariatet i forbindelse med påbud efter stk. 1 kan påbyde </w:t>
      </w:r>
      <w:r w:rsidR="00BA37A1">
        <w:rPr>
          <w:rFonts w:ascii="Times New Roman" w:hAnsi="Times New Roman" w:cs="Times New Roman"/>
          <w:sz w:val="24"/>
          <w:szCs w:val="24"/>
        </w:rPr>
        <w:t xml:space="preserve">virksomheden eller personen </w:t>
      </w:r>
      <w:r w:rsidR="00BA37A1" w:rsidRPr="00796736">
        <w:rPr>
          <w:rFonts w:ascii="Times New Roman" w:hAnsi="Times New Roman" w:cs="Times New Roman"/>
          <w:sz w:val="24"/>
          <w:szCs w:val="24"/>
        </w:rPr>
        <w:t>at rapportere om resultaterne af overvågningen.</w:t>
      </w:r>
    </w:p>
    <w:p w14:paraId="3C653DFF" w14:textId="77777777" w:rsidR="002128F7" w:rsidRPr="00D253F0" w:rsidRDefault="002128F7" w:rsidP="00A802A5">
      <w:pPr>
        <w:spacing w:line="360" w:lineRule="auto"/>
        <w:rPr>
          <w:rFonts w:ascii="Times New Roman" w:hAnsi="Times New Roman" w:cs="Times New Roman"/>
          <w:sz w:val="24"/>
          <w:szCs w:val="24"/>
        </w:rPr>
      </w:pPr>
    </w:p>
    <w:p w14:paraId="04DF2093" w14:textId="77777777" w:rsidR="005C798A" w:rsidRPr="00D253F0" w:rsidRDefault="005C798A" w:rsidP="005C798A">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Den foreslåede bestemmelse indebærer en indrapporteringsforpligtelse, som Hvidvasksekretariatet vil kunne pålægge uanset om der som følge af den iværksatte overvågning er identificeret mistænksomme transaktioner eller aktiviteter. Den foreslåede påbudsadgang forudsættes i almindelighed anvendt i kombination med påbud efter det foreslåede stk. 1. Den foreslåede indrapporteringsforpligtelse vil ikke træde i stedet for den forpligtede enheds almindelige underretningsforpligtelse, men vil udgøre et supplement hertil. Et pålæg efter den foreslåede bestemmelse vil være en afgørelse i forvaltningslovens forstand. </w:t>
      </w:r>
      <w:r w:rsidRPr="00D253F0">
        <w:rPr>
          <w:rFonts w:ascii="Times New Roman" w:eastAsia="Calibri" w:hAnsi="Times New Roman" w:cs="Times New Roman"/>
          <w:sz w:val="24"/>
          <w:szCs w:val="24"/>
        </w:rPr>
        <w:t xml:space="preserve">Hvidvasksekretariatet vil </w:t>
      </w:r>
      <w:r>
        <w:rPr>
          <w:rFonts w:ascii="Times New Roman" w:eastAsia="Calibri" w:hAnsi="Times New Roman" w:cs="Times New Roman"/>
          <w:sz w:val="24"/>
          <w:szCs w:val="24"/>
        </w:rPr>
        <w:t xml:space="preserve">derfor </w:t>
      </w:r>
      <w:r w:rsidRPr="00D253F0">
        <w:rPr>
          <w:rFonts w:ascii="Times New Roman" w:eastAsia="Calibri" w:hAnsi="Times New Roman" w:cs="Times New Roman"/>
          <w:sz w:val="24"/>
          <w:szCs w:val="24"/>
        </w:rPr>
        <w:t>skulle iagttage forvaltningslovens regler om partsrettigheder, herunder bl.a. vejledningspligt, partshøring, begrundelse og klagevejledning, og at der som udgangspunkt vil kunne anmodes om aktindsigt i afgørelserne efter forvaltningsloven</w:t>
      </w:r>
      <w:r>
        <w:rPr>
          <w:rFonts w:ascii="Times New Roman" w:eastAsia="Calibri" w:hAnsi="Times New Roman" w:cs="Times New Roman"/>
          <w:sz w:val="24"/>
          <w:szCs w:val="24"/>
        </w:rPr>
        <w:t>, jf. nærmere herom pkt. 4.1 i lovforslagets almindelige bemærkninger</w:t>
      </w:r>
      <w:r w:rsidRPr="00D253F0">
        <w:rPr>
          <w:rFonts w:ascii="Times New Roman" w:eastAsia="Calibri" w:hAnsi="Times New Roman" w:cs="Times New Roman"/>
          <w:sz w:val="24"/>
          <w:szCs w:val="24"/>
        </w:rPr>
        <w:t>.</w:t>
      </w:r>
      <w:r>
        <w:rPr>
          <w:rFonts w:ascii="Times New Roman" w:eastAsia="Calibri" w:hAnsi="Times New Roman" w:cs="Times New Roman"/>
          <w:sz w:val="24"/>
          <w:szCs w:val="24"/>
        </w:rPr>
        <w:t xml:space="preserve"> Der vil derimod ikke i almindelighed være tale om en afgørelse overfor den eller de personer, der udgør en betydelig risiko for hvidvask, terrorfinansiering eller de underliggende lovovertrædelser, og hvis bankkonti, betalingskonti, kryptoaktivkonti eller andre forretningsforbindelser virksomheden eller personen, som er adressat for påbuddet, forvalter.</w:t>
      </w:r>
    </w:p>
    <w:p w14:paraId="1D46FE23" w14:textId="77777777" w:rsidR="001A67B5" w:rsidRPr="00796736" w:rsidRDefault="001A67B5" w:rsidP="00A802A5">
      <w:pPr>
        <w:spacing w:line="360" w:lineRule="auto"/>
        <w:rPr>
          <w:rFonts w:ascii="Times New Roman" w:hAnsi="Times New Roman" w:cs="Times New Roman"/>
          <w:sz w:val="24"/>
          <w:szCs w:val="24"/>
        </w:rPr>
      </w:pPr>
    </w:p>
    <w:p w14:paraId="0EAABA87"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i øvrigt, at et påbud i medfør af den foreslåede bestemmelse vil skulle respektere advokater og lignende fysiske og juridiske personers tavshedspligt. De pågældende forpligtede enheder vil således ikke kunne pålægges at rapportere om resultaterne af overvågningen i strid med deres tavshedspligt, medmindre rapporteringen må anses for omfattet af hvidvaskforordningens artikel 70, stk. 2. </w:t>
      </w:r>
    </w:p>
    <w:p w14:paraId="46C29353" w14:textId="77777777" w:rsidR="00074750" w:rsidRPr="00796736" w:rsidRDefault="00074750" w:rsidP="00A802A5">
      <w:pPr>
        <w:spacing w:line="360" w:lineRule="auto"/>
        <w:rPr>
          <w:rFonts w:ascii="Times New Roman" w:hAnsi="Times New Roman" w:cs="Times New Roman"/>
          <w:sz w:val="24"/>
          <w:szCs w:val="24"/>
        </w:rPr>
      </w:pPr>
    </w:p>
    <w:p w14:paraId="319ABF87"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vil med et påbud efter stk. 2 være tale om en oplysningspligt omfattet af retssikkerhedslovens regler herom, navnlig lovens kapitel 4 om retten til ikke at inkriminere sig selv. </w:t>
      </w:r>
    </w:p>
    <w:p w14:paraId="2B567698" w14:textId="77777777" w:rsidR="001A67B5" w:rsidRPr="00796736" w:rsidRDefault="001A67B5" w:rsidP="00A802A5">
      <w:pPr>
        <w:spacing w:line="360" w:lineRule="auto"/>
        <w:rPr>
          <w:rFonts w:ascii="Times New Roman" w:hAnsi="Times New Roman" w:cs="Times New Roman"/>
          <w:sz w:val="24"/>
          <w:szCs w:val="24"/>
        </w:rPr>
      </w:pPr>
    </w:p>
    <w:p w14:paraId="2F106908" w14:textId="22E3000A"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w:t>
      </w:r>
      <w:r w:rsidRPr="00796736">
        <w:rPr>
          <w:rFonts w:ascii="Times New Roman" w:hAnsi="Times New Roman" w:cs="Times New Roman"/>
          <w:sz w:val="24"/>
          <w:szCs w:val="24"/>
        </w:rPr>
        <w:t>at Hvidvasksekretariatet efter anmodning fra en FIU fra en anden medlemsstat kan påbyde overvågningsforanstaltninger efter stk. 1 og 2.</w:t>
      </w:r>
      <w:r w:rsidR="00EB57D1">
        <w:rPr>
          <w:rFonts w:ascii="Times New Roman" w:hAnsi="Times New Roman" w:cs="Times New Roman"/>
          <w:sz w:val="24"/>
          <w:szCs w:val="24"/>
        </w:rPr>
        <w:t xml:space="preserve"> Hvidvasksekretariatet kan endvidere anmode en FIU i en anden medlemsstat at iværksætte overvågningsforanstaltninger, som svarer til dem i stk. 1 og 2.</w:t>
      </w:r>
    </w:p>
    <w:p w14:paraId="239A1A25" w14:textId="77777777" w:rsidR="001A67B5" w:rsidRPr="00796736" w:rsidRDefault="001A67B5" w:rsidP="00A802A5">
      <w:pPr>
        <w:spacing w:line="360" w:lineRule="auto"/>
        <w:rPr>
          <w:rFonts w:ascii="Times New Roman" w:hAnsi="Times New Roman" w:cs="Times New Roman"/>
          <w:sz w:val="24"/>
          <w:szCs w:val="24"/>
        </w:rPr>
      </w:pPr>
    </w:p>
    <w:p w14:paraId="69E9C6CB"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efter den foreslåede bestemmelse være et krav, at Hvidvasksekretariatet i forbindelse med en anmodning fra en FIU i en anden medlemsstat påser, at betingelserne for at kunne meddele et påbud omfattet af den foreslåede bestemmelse oplyses af den anmodende FIU og umiddelbart vurderes at være opfyldt, uden at Hvidvasksekretariatet i almindelighed selv vil skulle foretage en selvstændig vurdering heraf. </w:t>
      </w:r>
    </w:p>
    <w:p w14:paraId="3A0F0EC6" w14:textId="77777777" w:rsidR="00291BD0" w:rsidRPr="00796736" w:rsidRDefault="00291BD0" w:rsidP="00A802A5">
      <w:pPr>
        <w:spacing w:line="360" w:lineRule="auto"/>
        <w:rPr>
          <w:rFonts w:ascii="Times New Roman" w:hAnsi="Times New Roman" w:cs="Times New Roman"/>
          <w:sz w:val="24"/>
          <w:szCs w:val="24"/>
        </w:rPr>
      </w:pPr>
    </w:p>
    <w:p w14:paraId="6EB681EA" w14:textId="77777777" w:rsidR="00291BD0" w:rsidRPr="00796736" w:rsidRDefault="00291BD0"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forudsættes, at Hvidvasksekretariatet i almindelighed vil kunne formode, at betingelserne for at kunne iværksætte overvågning er opfyldt, når anmodningen kommer fra en FIU i en anden medlemsstat. Konstaterer Hvidvasksekretariatet imidlertid, at anmodningen fra den anden FIU ikke indeholder fyldestgørende oplysninger herom, vil Hvidvasksekretariatet skulle anmode FIU’en om at tilvejebringe det fornødne materiale. </w:t>
      </w:r>
    </w:p>
    <w:p w14:paraId="16B724C7" w14:textId="77777777" w:rsidR="001D0A32" w:rsidRPr="00796736" w:rsidRDefault="001D0A32" w:rsidP="00A802A5">
      <w:pPr>
        <w:spacing w:line="360" w:lineRule="auto"/>
        <w:jc w:val="center"/>
        <w:rPr>
          <w:rFonts w:ascii="Times New Roman" w:hAnsi="Times New Roman" w:cs="Times New Roman"/>
          <w:i/>
          <w:iCs/>
          <w:sz w:val="24"/>
          <w:szCs w:val="24"/>
        </w:rPr>
      </w:pPr>
    </w:p>
    <w:p w14:paraId="0456000B" w14:textId="77777777" w:rsidR="00CD0721" w:rsidRPr="00796736" w:rsidRDefault="00CD0721" w:rsidP="00A802A5">
      <w:pPr>
        <w:spacing w:line="360" w:lineRule="auto"/>
        <w:jc w:val="center"/>
        <w:rPr>
          <w:rFonts w:ascii="Times New Roman" w:hAnsi="Times New Roman" w:cs="Times New Roman"/>
          <w:i/>
          <w:iCs/>
          <w:sz w:val="24"/>
          <w:szCs w:val="24"/>
        </w:rPr>
      </w:pPr>
    </w:p>
    <w:p w14:paraId="003A1E37" w14:textId="51EDC52F" w:rsidR="00CD0721" w:rsidRPr="00796736" w:rsidRDefault="00CD0721" w:rsidP="00A802A5">
      <w:pPr>
        <w:pStyle w:val="Undertitel"/>
      </w:pPr>
      <w:bookmarkStart w:id="1914" w:name="_Toc232109353"/>
      <w:bookmarkStart w:id="1915" w:name="_Toc244879317"/>
      <w:bookmarkStart w:id="1916" w:name="_Toc244880842"/>
      <w:r w:rsidRPr="00796736">
        <w:t>Til</w:t>
      </w:r>
      <w:r w:rsidR="002128F7">
        <w:t xml:space="preserve"> </w:t>
      </w:r>
      <w:r w:rsidR="002128F7">
        <w:fldChar w:fldCharType="begin"/>
      </w:r>
      <w:r w:rsidR="002128F7">
        <w:instrText xml:space="preserve"> REF _Ref243864504 \r \h </w:instrText>
      </w:r>
      <w:r w:rsidR="00CB248D">
        <w:instrText xml:space="preserve"> \* MERGEFORMAT </w:instrText>
      </w:r>
      <w:r w:rsidR="002128F7">
        <w:fldChar w:fldCharType="separate"/>
      </w:r>
      <w:r w:rsidR="008F29E5">
        <w:t>§ 21</w:t>
      </w:r>
      <w:bookmarkEnd w:id="1915"/>
      <w:bookmarkEnd w:id="1916"/>
      <w:r w:rsidR="002128F7">
        <w:fldChar w:fldCharType="end"/>
      </w:r>
      <w:r w:rsidR="00161898" w:rsidRPr="00796736">
        <w:t xml:space="preserve"> </w:t>
      </w:r>
      <w:bookmarkEnd w:id="1914"/>
    </w:p>
    <w:p w14:paraId="21B8A4C9" w14:textId="77777777" w:rsidR="001A67B5" w:rsidRPr="00796736" w:rsidRDefault="001A67B5"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Hvidvaskloven indeholder ikke i dag regler om, at Hvidvasksekretariatet skal udstede varsler til forpligtede enheder el.lign., men Hvidvasksekretariatet deltager i dag i en række fora, hvor Hvidvasksekretariatet giver generel feedback og foretager relevant orientering inden for hvidvaskområdet.</w:t>
      </w:r>
    </w:p>
    <w:p w14:paraId="7F7FA7E7" w14:textId="77777777" w:rsidR="00CD0721" w:rsidRPr="00796736" w:rsidRDefault="00CD0721" w:rsidP="00A802A5">
      <w:pPr>
        <w:spacing w:line="360" w:lineRule="auto"/>
        <w:rPr>
          <w:rFonts w:ascii="Times New Roman" w:hAnsi="Times New Roman" w:cs="Times New Roman"/>
          <w:sz w:val="24"/>
          <w:szCs w:val="24"/>
          <w:lang w:eastAsia="da-DK"/>
        </w:rPr>
      </w:pPr>
    </w:p>
    <w:p w14:paraId="5F594107" w14:textId="203B061A" w:rsidR="00CD0721" w:rsidRPr="00796736" w:rsidRDefault="00CD0721"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For nærmere om gældende ret henvises til pkt. </w:t>
      </w:r>
      <w:r w:rsidR="0000180D" w:rsidRPr="00796736">
        <w:rPr>
          <w:rFonts w:ascii="Times New Roman" w:hAnsi="Times New Roman" w:cs="Times New Roman"/>
          <w:sz w:val="24"/>
          <w:szCs w:val="24"/>
          <w:lang w:eastAsia="da-DK"/>
        </w:rPr>
        <w:fldChar w:fldCharType="begin"/>
      </w:r>
      <w:r w:rsidR="0000180D" w:rsidRPr="00796736">
        <w:rPr>
          <w:rFonts w:ascii="Times New Roman" w:hAnsi="Times New Roman" w:cs="Times New Roman"/>
          <w:sz w:val="24"/>
          <w:szCs w:val="24"/>
          <w:lang w:eastAsia="da-DK"/>
        </w:rPr>
        <w:instrText xml:space="preserve"> REF _Ref232943434 \n \h </w:instrText>
      </w:r>
      <w:r w:rsidR="00967618" w:rsidRPr="00796736">
        <w:rPr>
          <w:rFonts w:ascii="Times New Roman" w:hAnsi="Times New Roman" w:cs="Times New Roman"/>
          <w:sz w:val="24"/>
          <w:szCs w:val="24"/>
          <w:lang w:eastAsia="da-DK"/>
        </w:rPr>
        <w:instrText xml:space="preserve"> \* MERGEFORMAT </w:instrText>
      </w:r>
      <w:r w:rsidR="0000180D" w:rsidRPr="00796736">
        <w:rPr>
          <w:rFonts w:ascii="Times New Roman" w:hAnsi="Times New Roman" w:cs="Times New Roman"/>
          <w:sz w:val="24"/>
          <w:szCs w:val="24"/>
          <w:lang w:eastAsia="da-DK"/>
        </w:rPr>
      </w:r>
      <w:r w:rsidR="0000180D"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3.20.1</w:t>
      </w:r>
      <w:r w:rsidR="0000180D" w:rsidRPr="00796736">
        <w:rPr>
          <w:rFonts w:ascii="Times New Roman" w:hAnsi="Times New Roman" w:cs="Times New Roman"/>
          <w:sz w:val="24"/>
          <w:szCs w:val="24"/>
          <w:lang w:eastAsia="da-DK"/>
        </w:rPr>
        <w:fldChar w:fldCharType="end"/>
      </w:r>
      <w:r w:rsidR="0000180D"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 xml:space="preserve">i lovforslagets almindelige bemærkninger. </w:t>
      </w:r>
    </w:p>
    <w:p w14:paraId="7E209583" w14:textId="42482083" w:rsidR="00CD0721" w:rsidRPr="00796736" w:rsidRDefault="00CD07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lang w:eastAsia="da-DK"/>
        </w:rPr>
        <w:br/>
        <w:t>Det foreslås i</w:t>
      </w:r>
      <w:r w:rsidR="002128F7">
        <w:rPr>
          <w:rFonts w:ascii="Times New Roman" w:hAnsi="Times New Roman" w:cs="Times New Roman"/>
          <w:i/>
          <w:iCs/>
          <w:sz w:val="24"/>
          <w:szCs w:val="24"/>
        </w:rPr>
        <w:t xml:space="preserve"> </w:t>
      </w:r>
      <w:r w:rsidR="002128F7">
        <w:rPr>
          <w:rFonts w:ascii="Times New Roman" w:hAnsi="Times New Roman" w:cs="Times New Roman"/>
          <w:i/>
          <w:iCs/>
          <w:sz w:val="24"/>
          <w:szCs w:val="24"/>
        </w:rPr>
        <w:fldChar w:fldCharType="begin"/>
      </w:r>
      <w:r w:rsidR="002128F7">
        <w:rPr>
          <w:rFonts w:ascii="Times New Roman" w:hAnsi="Times New Roman" w:cs="Times New Roman"/>
          <w:i/>
          <w:iCs/>
          <w:sz w:val="24"/>
          <w:szCs w:val="24"/>
        </w:rPr>
        <w:instrText xml:space="preserve"> REF _Ref243864504 \r \h </w:instrText>
      </w:r>
      <w:r w:rsidR="00CB248D">
        <w:rPr>
          <w:rFonts w:ascii="Times New Roman" w:hAnsi="Times New Roman" w:cs="Times New Roman"/>
          <w:i/>
          <w:iCs/>
          <w:sz w:val="24"/>
          <w:szCs w:val="24"/>
        </w:rPr>
        <w:instrText xml:space="preserve"> \* MERGEFORMAT </w:instrText>
      </w:r>
      <w:r w:rsidR="002128F7">
        <w:rPr>
          <w:rFonts w:ascii="Times New Roman" w:hAnsi="Times New Roman" w:cs="Times New Roman"/>
          <w:i/>
          <w:iCs/>
          <w:sz w:val="24"/>
          <w:szCs w:val="24"/>
        </w:rPr>
      </w:r>
      <w:r w:rsidR="002128F7">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21</w:t>
      </w:r>
      <w:r w:rsidR="002128F7">
        <w:rPr>
          <w:rFonts w:ascii="Times New Roman" w:hAnsi="Times New Roman" w:cs="Times New Roman"/>
          <w:i/>
          <w:iCs/>
          <w:sz w:val="24"/>
          <w:szCs w:val="24"/>
        </w:rPr>
        <w:fldChar w:fldCharType="end"/>
      </w:r>
      <w:r w:rsidRPr="00796736">
        <w:rPr>
          <w:rFonts w:ascii="Times New Roman" w:hAnsi="Times New Roman" w:cs="Times New Roman"/>
          <w:i/>
          <w:iCs/>
          <w:sz w:val="24"/>
          <w:szCs w:val="24"/>
          <w:lang w:eastAsia="da-DK"/>
        </w:rPr>
        <w:t>, stk. 1, 1. pkt.,</w:t>
      </w:r>
      <w:r w:rsidRPr="00796736">
        <w:rPr>
          <w:rFonts w:ascii="Times New Roman" w:hAnsi="Times New Roman" w:cs="Times New Roman"/>
          <w:sz w:val="24"/>
          <w:szCs w:val="24"/>
          <w:lang w:eastAsia="da-DK"/>
        </w:rPr>
        <w:t xml:space="preserve"> </w:t>
      </w:r>
      <w:r w:rsidR="001717E1" w:rsidRPr="00796736">
        <w:rPr>
          <w:rFonts w:ascii="Times New Roman" w:hAnsi="Times New Roman" w:cs="Times New Roman"/>
          <w:sz w:val="24"/>
          <w:szCs w:val="24"/>
          <w:lang w:eastAsia="da-DK"/>
        </w:rPr>
        <w:t xml:space="preserve">at </w:t>
      </w:r>
      <w:r w:rsidR="001717E1" w:rsidRPr="00796736">
        <w:rPr>
          <w:rFonts w:ascii="Times New Roman" w:hAnsi="Times New Roman" w:cs="Times New Roman"/>
          <w:sz w:val="24"/>
          <w:szCs w:val="24"/>
        </w:rPr>
        <w:t xml:space="preserve">Hvidvasksekretariatet kan varsle </w:t>
      </w:r>
      <w:r w:rsidR="001717E1">
        <w:rPr>
          <w:rFonts w:ascii="Times New Roman" w:hAnsi="Times New Roman" w:cs="Times New Roman"/>
          <w:sz w:val="24"/>
          <w:szCs w:val="24"/>
        </w:rPr>
        <w:t>virksomheder og personer omfattet loven</w:t>
      </w:r>
      <w:r w:rsidR="001717E1" w:rsidRPr="00796736">
        <w:rPr>
          <w:rFonts w:ascii="Times New Roman" w:hAnsi="Times New Roman" w:cs="Times New Roman"/>
          <w:sz w:val="24"/>
          <w:szCs w:val="24"/>
        </w:rPr>
        <w:t xml:space="preserve"> om oplysninger, der er relevante for gennemførelsen af kundekendskabsprocedurer i henhold til kapitel III i hvidvaskforordningen.</w:t>
      </w:r>
    </w:p>
    <w:p w14:paraId="4314B8FA" w14:textId="77777777" w:rsidR="00CD0721" w:rsidRPr="00796736" w:rsidRDefault="00CD0721" w:rsidP="00A802A5">
      <w:pPr>
        <w:spacing w:line="360" w:lineRule="auto"/>
        <w:rPr>
          <w:rFonts w:ascii="Times New Roman" w:hAnsi="Times New Roman" w:cs="Times New Roman"/>
          <w:sz w:val="24"/>
          <w:szCs w:val="24"/>
        </w:rPr>
      </w:pPr>
    </w:p>
    <w:p w14:paraId="4DAC3CE2" w14:textId="77777777" w:rsidR="00524595" w:rsidRPr="00796736" w:rsidRDefault="00524595" w:rsidP="0052459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som noget nyt vil kunne varsle </w:t>
      </w:r>
      <w:r>
        <w:rPr>
          <w:rFonts w:ascii="Times New Roman" w:hAnsi="Times New Roman" w:cs="Times New Roman"/>
          <w:sz w:val="24"/>
          <w:szCs w:val="24"/>
        </w:rPr>
        <w:t>virksomheder og personer omfattet af loven</w:t>
      </w:r>
      <w:r w:rsidRPr="00796736">
        <w:rPr>
          <w:rFonts w:ascii="Times New Roman" w:hAnsi="Times New Roman" w:cs="Times New Roman"/>
          <w:sz w:val="24"/>
          <w:szCs w:val="24"/>
        </w:rPr>
        <w:t xml:space="preserve"> om oplysninger, som Hvidvasksekretariatet vurderer er relevante for de pågældende</w:t>
      </w:r>
      <w:r>
        <w:rPr>
          <w:rFonts w:ascii="Times New Roman" w:hAnsi="Times New Roman" w:cs="Times New Roman"/>
          <w:sz w:val="24"/>
          <w:szCs w:val="24"/>
        </w:rPr>
        <w:t>s</w:t>
      </w:r>
      <w:r w:rsidRPr="00796736">
        <w:rPr>
          <w:rFonts w:ascii="Times New Roman" w:hAnsi="Times New Roman" w:cs="Times New Roman"/>
          <w:sz w:val="24"/>
          <w:szCs w:val="24"/>
        </w:rPr>
        <w:t xml:space="preserve"> gennemførelse af kundekendskabsprocedurer, dvs. en række identifikations-, kontrol- og oplysningsforanstaltninger, som forpligtede enheder skal iværksætte overfor kunder mv. i medfør af reglerne i hvidvaskforordningens kapitel III. Det vil være op til Hvidvasksekretariatet på baggrund af generelle tendenser og lignende at vurdere, i hvilket omfang og for hvilke sektorer det er hensigtsmæssigt at udstede varslinger. Hvidvasksekretariatet kan i den forbindelse vurdere, om der skal udstedes varslinger, som gælder flere eller alle </w:t>
      </w:r>
      <w:r>
        <w:rPr>
          <w:rFonts w:ascii="Times New Roman" w:hAnsi="Times New Roman" w:cs="Times New Roman"/>
          <w:sz w:val="24"/>
          <w:szCs w:val="24"/>
        </w:rPr>
        <w:t>virksomheder og personer omfattet af loven</w:t>
      </w:r>
      <w:r w:rsidRPr="00796736">
        <w:rPr>
          <w:rFonts w:ascii="Times New Roman" w:hAnsi="Times New Roman" w:cs="Times New Roman"/>
          <w:sz w:val="24"/>
          <w:szCs w:val="24"/>
        </w:rPr>
        <w:t xml:space="preserve">, eller om Hvidvasksekretariatet vil udstede varslinger på sektor- eller enhedsniveau. Varslingerne vil således også kunne supplere hinanden. </w:t>
      </w:r>
    </w:p>
    <w:p w14:paraId="335E2D96" w14:textId="77777777" w:rsidR="00CD0721" w:rsidRPr="00796736" w:rsidRDefault="00CD0721" w:rsidP="00A802A5">
      <w:pPr>
        <w:spacing w:line="360" w:lineRule="auto"/>
        <w:rPr>
          <w:rFonts w:ascii="Times New Roman" w:hAnsi="Times New Roman" w:cs="Times New Roman"/>
          <w:sz w:val="24"/>
          <w:szCs w:val="24"/>
        </w:rPr>
      </w:pPr>
    </w:p>
    <w:p w14:paraId="4E767FB4" w14:textId="77777777" w:rsidR="001A67B5" w:rsidRPr="00796736" w:rsidRDefault="001A67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Varslingen vil skulle finde sted på baggrund af konkrete erfaringer eller efterretninger, og vil indebære, at der kan varsles om supplerende oplysninger, som er relevante for gennemførelsen af kundekendskabsprocedurer efter forordningen.</w:t>
      </w:r>
    </w:p>
    <w:p w14:paraId="2138CE18" w14:textId="77777777" w:rsidR="00CD0721" w:rsidRPr="00796736" w:rsidRDefault="00CD0721" w:rsidP="00A802A5">
      <w:pPr>
        <w:spacing w:line="360" w:lineRule="auto"/>
        <w:rPr>
          <w:rFonts w:ascii="Times New Roman" w:hAnsi="Times New Roman" w:cs="Times New Roman"/>
          <w:sz w:val="24"/>
          <w:szCs w:val="24"/>
        </w:rPr>
      </w:pPr>
    </w:p>
    <w:p w14:paraId="6165A68D" w14:textId="77777777" w:rsidR="00CA7B02" w:rsidRPr="00796736" w:rsidRDefault="00CA7B02" w:rsidP="00CA7B02">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w:t>
      </w:r>
      <w:r>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i relevant omfang indretter gennemførelsen af deres kundekendskabsprocedure i overensstemmelse med oplysningerne i varslingen, og at de </w:t>
      </w:r>
      <w:r>
        <w:rPr>
          <w:rFonts w:ascii="Times New Roman" w:hAnsi="Times New Roman" w:cs="Times New Roman"/>
          <w:sz w:val="24"/>
          <w:szCs w:val="24"/>
        </w:rPr>
        <w:t>pågældende</w:t>
      </w:r>
      <w:r w:rsidRPr="00796736">
        <w:rPr>
          <w:rFonts w:ascii="Times New Roman" w:hAnsi="Times New Roman" w:cs="Times New Roman"/>
          <w:sz w:val="24"/>
          <w:szCs w:val="24"/>
        </w:rPr>
        <w:t xml:space="preserve"> sikrer, at deres procedurer er i overensstemmelse med relevante risici, ajourfører deres risikovurderings- og risikostyringssystemer i overensstemmelse hermed og efter omstændighederne iværksætter skærpede kundekendskabsprocedurer overfor visse kunder eller transaktioner, der udgør en højere risiko. Det forudsættes endvidere, at Hvidvasksekretariatet orienterer den relevante tilsynsmyndighed eller -organ om et meddelt varsel. </w:t>
      </w:r>
    </w:p>
    <w:p w14:paraId="55D66B25" w14:textId="77777777" w:rsidR="001A67B5" w:rsidRPr="00796736" w:rsidRDefault="001A67B5" w:rsidP="00A802A5">
      <w:pPr>
        <w:spacing w:line="360" w:lineRule="auto"/>
        <w:rPr>
          <w:rFonts w:ascii="Times New Roman" w:hAnsi="Times New Roman" w:cs="Times New Roman"/>
          <w:sz w:val="24"/>
          <w:szCs w:val="24"/>
        </w:rPr>
      </w:pPr>
    </w:p>
    <w:p w14:paraId="27EFDFA4" w14:textId="77777777" w:rsidR="006A7ADF" w:rsidRPr="00796736" w:rsidRDefault="006A7ADF" w:rsidP="006A7ADF">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de tilfælde, hvor Hvidvasksekretariatet har afgivet et varsel, vil indholdet af et sådant efter omstændighederne kunne have betydning for en efterfølgende vurdering af, om </w:t>
      </w:r>
      <w:r>
        <w:rPr>
          <w:rFonts w:ascii="Times New Roman" w:hAnsi="Times New Roman" w:cs="Times New Roman"/>
          <w:sz w:val="24"/>
          <w:szCs w:val="24"/>
        </w:rPr>
        <w:t>virksomhederne og personerne</w:t>
      </w:r>
      <w:r w:rsidRPr="00796736">
        <w:rPr>
          <w:rFonts w:ascii="Times New Roman" w:hAnsi="Times New Roman" w:cs="Times New Roman"/>
          <w:sz w:val="24"/>
          <w:szCs w:val="24"/>
        </w:rPr>
        <w:t xml:space="preserve"> har levet op til kravene i reglerne om kundekendskabsprocedurer i forordningens kapitel III. Indholdet af varslinger i medfør af den foreslåede bestemmelse vil således supplere de generelle kriterier i forordningen, og tilsyns</w:t>
      </w:r>
      <w:r>
        <w:rPr>
          <w:rFonts w:ascii="Times New Roman" w:hAnsi="Times New Roman" w:cs="Times New Roman"/>
          <w:sz w:val="24"/>
          <w:szCs w:val="24"/>
        </w:rPr>
        <w:t>organerne</w:t>
      </w:r>
      <w:r w:rsidRPr="00796736">
        <w:rPr>
          <w:rFonts w:ascii="Times New Roman" w:hAnsi="Times New Roman" w:cs="Times New Roman"/>
          <w:sz w:val="24"/>
          <w:szCs w:val="24"/>
        </w:rPr>
        <w:t xml:space="preserve"> vil i forbindelse med deres tilsyn af </w:t>
      </w:r>
      <w:r>
        <w:rPr>
          <w:rFonts w:ascii="Times New Roman" w:hAnsi="Times New Roman" w:cs="Times New Roman"/>
          <w:sz w:val="24"/>
          <w:szCs w:val="24"/>
        </w:rPr>
        <w:t>virksomhederne og personerne</w:t>
      </w:r>
      <w:r w:rsidRPr="00796736">
        <w:rPr>
          <w:rFonts w:ascii="Times New Roman" w:hAnsi="Times New Roman" w:cs="Times New Roman"/>
          <w:sz w:val="24"/>
          <w:szCs w:val="24"/>
        </w:rPr>
        <w:t xml:space="preserve"> blandt andet skulle påse, at de forpligtede enheder har taget behørigt hensyn til de oplysninger, som er indeholdt i varslingerne.</w:t>
      </w:r>
    </w:p>
    <w:p w14:paraId="787DF693" w14:textId="77777777" w:rsidR="00CD0721" w:rsidRPr="00796736" w:rsidRDefault="00CD0721" w:rsidP="00A802A5">
      <w:pPr>
        <w:spacing w:line="360" w:lineRule="auto"/>
        <w:rPr>
          <w:rFonts w:ascii="Times New Roman" w:hAnsi="Times New Roman" w:cs="Times New Roman"/>
          <w:sz w:val="24"/>
          <w:szCs w:val="24"/>
        </w:rPr>
      </w:pPr>
    </w:p>
    <w:p w14:paraId="13695785" w14:textId="77777777" w:rsidR="00CD0721" w:rsidRPr="00796736" w:rsidRDefault="00CD07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bemærkes, at Hvidvasksekretariatet ikke vil skulle varsle i medfør af den foreslåede bestemmelse, hvis varslingen vil bringe en igangværende efterforskning eller straffesag i fare eller på anden måde kompromittere igangværende eller potentielle efterforskningsskridt. </w:t>
      </w:r>
    </w:p>
    <w:p w14:paraId="4B4F555E" w14:textId="77777777" w:rsidR="00CD0721" w:rsidRPr="00796736" w:rsidRDefault="00CD07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w:t>
      </w:r>
    </w:p>
    <w:p w14:paraId="27B68BD3" w14:textId="77777777" w:rsidR="006638F8" w:rsidRPr="00796736" w:rsidRDefault="006638F8" w:rsidP="006638F8">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1, 2. pkt., </w:t>
      </w:r>
      <w:r w:rsidRPr="00796736">
        <w:rPr>
          <w:rFonts w:ascii="Times New Roman" w:hAnsi="Times New Roman" w:cs="Times New Roman"/>
          <w:sz w:val="24"/>
          <w:szCs w:val="24"/>
        </w:rPr>
        <w:t>at varslinger efter 1. pkt. kan gælde i en periode på op til 6 måneder og indeholde</w:t>
      </w:r>
      <w:r>
        <w:rPr>
          <w:rFonts w:ascii="Times New Roman" w:hAnsi="Times New Roman" w:cs="Times New Roman"/>
          <w:sz w:val="24"/>
          <w:szCs w:val="24"/>
        </w:rPr>
        <w:t>r</w:t>
      </w:r>
      <w:r w:rsidRPr="00796736">
        <w:rPr>
          <w:rFonts w:ascii="Times New Roman" w:hAnsi="Times New Roman" w:cs="Times New Roman"/>
          <w:sz w:val="24"/>
          <w:szCs w:val="24"/>
        </w:rPr>
        <w:t xml:space="preserve"> oplysninger, som er opregnet i bestemmelsens nr. 1-3. </w:t>
      </w:r>
    </w:p>
    <w:p w14:paraId="211EE1D7" w14:textId="77777777" w:rsidR="006638F8" w:rsidRPr="00796736" w:rsidRDefault="006638F8" w:rsidP="006638F8">
      <w:pPr>
        <w:spacing w:line="360" w:lineRule="auto"/>
        <w:ind w:firstLine="340"/>
        <w:rPr>
          <w:rFonts w:ascii="Times New Roman" w:hAnsi="Times New Roman" w:cs="Times New Roman"/>
          <w:sz w:val="24"/>
          <w:szCs w:val="24"/>
        </w:rPr>
      </w:pPr>
    </w:p>
    <w:p w14:paraId="38CAB3D2" w14:textId="77777777" w:rsidR="006638F8" w:rsidRPr="00796736" w:rsidRDefault="006638F8" w:rsidP="006638F8">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på baggrund af f.eks. underretninger eller udvikling i efterretningsbilledet kan varsle </w:t>
      </w:r>
      <w:r>
        <w:rPr>
          <w:rFonts w:ascii="Times New Roman" w:hAnsi="Times New Roman" w:cs="Times New Roman"/>
          <w:sz w:val="24"/>
          <w:szCs w:val="24"/>
        </w:rPr>
        <w:t>virksomheder og personer omfattet af loven</w:t>
      </w:r>
      <w:r w:rsidRPr="00796736">
        <w:rPr>
          <w:rFonts w:ascii="Times New Roman" w:hAnsi="Times New Roman" w:cs="Times New Roman"/>
          <w:sz w:val="24"/>
          <w:szCs w:val="24"/>
        </w:rPr>
        <w:t xml:space="preserve"> om, præcis hvilke transaktioner eller aktiviteter de skal være særligt opmærksomme på. Hvidvasksekretariatet vil i den forbindelse kunne udstede varslinger til forskellige typer af enheder, alt efter hvilken type transaktion, som efter sekretariatets vurdering frembyder risici. </w:t>
      </w:r>
    </w:p>
    <w:p w14:paraId="026E8E77" w14:textId="77777777" w:rsidR="00CD0721" w:rsidRPr="00796736" w:rsidRDefault="00CD0721" w:rsidP="00A802A5">
      <w:pPr>
        <w:spacing w:line="360" w:lineRule="auto"/>
        <w:rPr>
          <w:rFonts w:ascii="Times New Roman" w:hAnsi="Times New Roman" w:cs="Times New Roman"/>
          <w:sz w:val="24"/>
          <w:szCs w:val="24"/>
        </w:rPr>
      </w:pPr>
    </w:p>
    <w:p w14:paraId="191AD487" w14:textId="77777777" w:rsidR="00F316B4" w:rsidRPr="00796736" w:rsidRDefault="00F316B4" w:rsidP="00F316B4">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1, 2. pkt., nr. 1, </w:t>
      </w:r>
      <w:r w:rsidRPr="00796736">
        <w:rPr>
          <w:rFonts w:ascii="Times New Roman" w:hAnsi="Times New Roman" w:cs="Times New Roman"/>
          <w:sz w:val="24"/>
          <w:szCs w:val="24"/>
        </w:rPr>
        <w:t xml:space="preserve">at varslingen efter 1. pkt. skal indeholde oplysninger, som omfatter typer af transaktioner eller aktiviteter, der udgør en betydelig risiko for hvidvask, de underliggende lovovertrædelser og </w:t>
      </w:r>
      <w:r>
        <w:rPr>
          <w:rFonts w:ascii="Times New Roman" w:hAnsi="Times New Roman" w:cs="Times New Roman"/>
          <w:sz w:val="24"/>
          <w:szCs w:val="24"/>
        </w:rPr>
        <w:t>terror</w:t>
      </w:r>
      <w:r w:rsidRPr="00796736">
        <w:rPr>
          <w:rFonts w:ascii="Times New Roman" w:hAnsi="Times New Roman" w:cs="Times New Roman"/>
          <w:sz w:val="24"/>
          <w:szCs w:val="24"/>
        </w:rPr>
        <w:t xml:space="preserve">finansiering. </w:t>
      </w:r>
    </w:p>
    <w:p w14:paraId="74021ABB" w14:textId="77777777" w:rsidR="00CD0721" w:rsidRPr="00796736" w:rsidRDefault="00CD0721" w:rsidP="00A802A5">
      <w:pPr>
        <w:spacing w:line="360" w:lineRule="auto"/>
        <w:rPr>
          <w:rFonts w:ascii="Times New Roman" w:hAnsi="Times New Roman" w:cs="Times New Roman"/>
          <w:sz w:val="24"/>
          <w:szCs w:val="24"/>
        </w:rPr>
      </w:pPr>
    </w:p>
    <w:p w14:paraId="610DD972" w14:textId="77777777" w:rsidR="00CB596F" w:rsidRPr="00796736" w:rsidRDefault="00CB596F" w:rsidP="00CB596F">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på baggrund af f.eks. underretninger eller udvikling i kriminalitetsbillede kan varsle </w:t>
      </w:r>
      <w:r>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om, præcis hvilke transaktioner eller aktiviteter de skal være særligt opmærksomme på. Hvidvasksekretariatet vil i den forbindelse kunne udstede varslinger til forskellige typer af </w:t>
      </w:r>
      <w:r>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alt efter hvilken type transaktion, som efter sekretariatets vurdering frembyder risici. </w:t>
      </w:r>
    </w:p>
    <w:p w14:paraId="18372E28" w14:textId="7F3238CC" w:rsidR="00CD0721" w:rsidRPr="00796736" w:rsidRDefault="00CD07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Det foreslås i </w:t>
      </w:r>
      <w:r w:rsidRPr="00796736">
        <w:rPr>
          <w:rFonts w:ascii="Times New Roman" w:hAnsi="Times New Roman" w:cs="Times New Roman"/>
          <w:i/>
          <w:iCs/>
          <w:sz w:val="24"/>
          <w:szCs w:val="24"/>
        </w:rPr>
        <w:t>stk. 1, 2. pkt., nr. 2,</w:t>
      </w:r>
      <w:r w:rsidRPr="00796736">
        <w:rPr>
          <w:rFonts w:ascii="Times New Roman" w:hAnsi="Times New Roman" w:cs="Times New Roman"/>
          <w:sz w:val="24"/>
          <w:szCs w:val="24"/>
        </w:rPr>
        <w:t xml:space="preserve"> </w:t>
      </w:r>
      <w:r w:rsidR="00827B4F" w:rsidRPr="00796736">
        <w:rPr>
          <w:rFonts w:ascii="Times New Roman" w:hAnsi="Times New Roman" w:cs="Times New Roman"/>
          <w:sz w:val="24"/>
          <w:szCs w:val="24"/>
        </w:rPr>
        <w:t xml:space="preserve">at varslingen efter 1. pkt. skal indeholde oplysninger, som omfatter bestemte personer, der udgør en betydelig risiko for hvidvask, de underliggende lovovertrædelser og </w:t>
      </w:r>
      <w:r w:rsidR="00827B4F">
        <w:rPr>
          <w:rFonts w:ascii="Times New Roman" w:hAnsi="Times New Roman" w:cs="Times New Roman"/>
          <w:sz w:val="24"/>
          <w:szCs w:val="24"/>
        </w:rPr>
        <w:t>terror</w:t>
      </w:r>
      <w:r w:rsidR="00827B4F" w:rsidRPr="00796736">
        <w:rPr>
          <w:rFonts w:ascii="Times New Roman" w:hAnsi="Times New Roman" w:cs="Times New Roman"/>
          <w:sz w:val="24"/>
          <w:szCs w:val="24"/>
        </w:rPr>
        <w:t>finansiering.</w:t>
      </w:r>
    </w:p>
    <w:p w14:paraId="17F2640A" w14:textId="77777777" w:rsidR="00CD0721" w:rsidRPr="00796736" w:rsidRDefault="00CD0721" w:rsidP="00A802A5">
      <w:pPr>
        <w:spacing w:line="360" w:lineRule="auto"/>
        <w:rPr>
          <w:rFonts w:ascii="Times New Roman" w:hAnsi="Times New Roman" w:cs="Times New Roman"/>
          <w:sz w:val="24"/>
          <w:szCs w:val="24"/>
        </w:rPr>
      </w:pPr>
    </w:p>
    <w:p w14:paraId="5A6CA06C" w14:textId="77777777" w:rsidR="002E6906" w:rsidRPr="00796736" w:rsidRDefault="002E6906" w:rsidP="002E6906">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vil kunne udstede varslinger angående bestemte personer. For at være omfattet af den foreslåede bestemmelse vil den pågældende person skulle udgøre en betydelig risiko for hvidvask, de underliggende lovovertrædelser </w:t>
      </w:r>
      <w:r>
        <w:rPr>
          <w:rFonts w:ascii="Times New Roman" w:hAnsi="Times New Roman" w:cs="Times New Roman"/>
          <w:sz w:val="24"/>
          <w:szCs w:val="24"/>
        </w:rPr>
        <w:t>eller</w:t>
      </w:r>
      <w:r w:rsidRPr="00796736">
        <w:rPr>
          <w:rFonts w:ascii="Times New Roman" w:hAnsi="Times New Roman" w:cs="Times New Roman"/>
          <w:sz w:val="24"/>
          <w:szCs w:val="24"/>
        </w:rPr>
        <w:t xml:space="preserve"> </w:t>
      </w:r>
      <w:r>
        <w:rPr>
          <w:rFonts w:ascii="Times New Roman" w:hAnsi="Times New Roman" w:cs="Times New Roman"/>
          <w:sz w:val="24"/>
          <w:szCs w:val="24"/>
        </w:rPr>
        <w:t>terror</w:t>
      </w:r>
      <w:r w:rsidRPr="00796736">
        <w:rPr>
          <w:rFonts w:ascii="Times New Roman" w:hAnsi="Times New Roman" w:cs="Times New Roman"/>
          <w:sz w:val="24"/>
          <w:szCs w:val="24"/>
        </w:rPr>
        <w:t xml:space="preserve">finansiering. Dette vil f.eks. være tilfældet, hvor en person er tidligere dømt, sigtet eller har været under begrundet mistanke for hvidvask, de underliggende lovovertrædelser, terrorfinansiering eller anden alvorlig kriminalitet eller Hvidvasksekretariatet på anden vis på baggrund af sin efterretningsvirksomhed har konkret anledning til at antage, at personen udgør en betydelig risiko for hvidvask af penge. </w:t>
      </w:r>
    </w:p>
    <w:p w14:paraId="1453227C" w14:textId="77777777" w:rsidR="002E6906" w:rsidRPr="00796736" w:rsidRDefault="002E6906" w:rsidP="002E6906">
      <w:pPr>
        <w:spacing w:line="360" w:lineRule="auto"/>
        <w:ind w:firstLine="340"/>
        <w:rPr>
          <w:rFonts w:ascii="Times New Roman" w:hAnsi="Times New Roman" w:cs="Times New Roman"/>
          <w:sz w:val="24"/>
          <w:szCs w:val="24"/>
        </w:rPr>
      </w:pPr>
    </w:p>
    <w:p w14:paraId="545E9AF4" w14:textId="77777777" w:rsidR="002E6906" w:rsidRPr="00796736" w:rsidRDefault="002E6906" w:rsidP="002E6906">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Hvidvasksekretariatet vil skulle foretage en konkret nødvendigheds- og proportionalitetsvurdering ved udstedelsen af sådanne varslinger, idet der vil være tale om udbredelse af identificerbare enkeltpersoners forhold. Det følger heraf, at Hvidvasksekretariatet vil skulle foretage en afvejning af på den ene side den risiko, som personen frembyder og på den anden side omfanget af </w:t>
      </w:r>
      <w:r>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som modtager et varsel efter den foreslåede bestemmelse. </w:t>
      </w:r>
    </w:p>
    <w:p w14:paraId="07076FC7" w14:textId="77777777" w:rsidR="00CD0721" w:rsidRPr="00796736" w:rsidRDefault="00CD0721" w:rsidP="00A802A5">
      <w:pPr>
        <w:spacing w:line="360" w:lineRule="auto"/>
        <w:rPr>
          <w:rFonts w:ascii="Times New Roman" w:hAnsi="Times New Roman" w:cs="Times New Roman"/>
          <w:sz w:val="24"/>
          <w:szCs w:val="24"/>
        </w:rPr>
      </w:pPr>
    </w:p>
    <w:p w14:paraId="0A1702D4" w14:textId="77777777" w:rsidR="00EA7E9A" w:rsidRPr="00796736" w:rsidRDefault="00EA7E9A" w:rsidP="00EA7E9A">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w:t>
      </w:r>
      <w:r>
        <w:rPr>
          <w:rFonts w:ascii="Times New Roman" w:hAnsi="Times New Roman" w:cs="Times New Roman"/>
          <w:sz w:val="24"/>
          <w:szCs w:val="24"/>
        </w:rPr>
        <w:t xml:space="preserve">i stk. 1, 2. pkt., nr. 2, </w:t>
      </w:r>
      <w:r w:rsidRPr="00796736">
        <w:rPr>
          <w:rFonts w:ascii="Times New Roman" w:hAnsi="Times New Roman" w:cs="Times New Roman"/>
          <w:sz w:val="24"/>
          <w:szCs w:val="24"/>
        </w:rPr>
        <w:t xml:space="preserve">vil således i almindelighed ikke kunne anvendes til varslinger af generel art, men vil forudsættes anvendt overfor enkelte </w:t>
      </w:r>
      <w:r>
        <w:rPr>
          <w:rFonts w:ascii="Times New Roman" w:hAnsi="Times New Roman" w:cs="Times New Roman"/>
          <w:sz w:val="24"/>
          <w:szCs w:val="24"/>
        </w:rPr>
        <w:t>virksomheder eller personer</w:t>
      </w:r>
      <w:r w:rsidRPr="00796736">
        <w:rPr>
          <w:rFonts w:ascii="Times New Roman" w:hAnsi="Times New Roman" w:cs="Times New Roman"/>
          <w:sz w:val="24"/>
          <w:szCs w:val="24"/>
        </w:rPr>
        <w:t xml:space="preserve"> eller, hvis særlige forhold taler derfor, på sektorniveau. Særlige forhold vil f.eks. kunne foreligge, hvis der er tale om en person, som erfaringsmæssigt er tilknyttet flere </w:t>
      </w:r>
      <w:r>
        <w:rPr>
          <w:rFonts w:ascii="Times New Roman" w:hAnsi="Times New Roman" w:cs="Times New Roman"/>
          <w:sz w:val="24"/>
          <w:szCs w:val="24"/>
        </w:rPr>
        <w:t>virksomheder eller personer</w:t>
      </w:r>
      <w:r w:rsidRPr="00796736">
        <w:rPr>
          <w:rFonts w:ascii="Times New Roman" w:hAnsi="Times New Roman" w:cs="Times New Roman"/>
          <w:sz w:val="24"/>
          <w:szCs w:val="24"/>
        </w:rPr>
        <w:t xml:space="preserve"> indenfor samme sektor eller der er tale om en person, som har for vane at skifte mellem flere forskellige </w:t>
      </w:r>
      <w:r>
        <w:rPr>
          <w:rFonts w:ascii="Times New Roman" w:hAnsi="Times New Roman" w:cs="Times New Roman"/>
          <w:sz w:val="24"/>
          <w:szCs w:val="24"/>
        </w:rPr>
        <w:t>virksomheder eller personer</w:t>
      </w:r>
      <w:r w:rsidRPr="00796736">
        <w:rPr>
          <w:rFonts w:ascii="Times New Roman" w:hAnsi="Times New Roman" w:cs="Times New Roman"/>
          <w:sz w:val="24"/>
          <w:szCs w:val="24"/>
        </w:rPr>
        <w:t xml:space="preserve"> inden for samme sektor. </w:t>
      </w:r>
    </w:p>
    <w:p w14:paraId="1CBF0842" w14:textId="77777777" w:rsidR="00CD0721" w:rsidRPr="00796736" w:rsidRDefault="00CD0721" w:rsidP="00A802A5">
      <w:pPr>
        <w:spacing w:line="360" w:lineRule="auto"/>
        <w:rPr>
          <w:rFonts w:ascii="Times New Roman" w:hAnsi="Times New Roman" w:cs="Times New Roman"/>
          <w:sz w:val="24"/>
          <w:szCs w:val="24"/>
        </w:rPr>
      </w:pPr>
    </w:p>
    <w:p w14:paraId="67AC86A5" w14:textId="77777777" w:rsidR="00CD0721" w:rsidRPr="00796736" w:rsidRDefault="00CD07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Varslinger efter den foreslåede bestemmelse vil i øvrigt skulle ske indenfor rammerne af de almindelige databeskyttelsesretlige regler.</w:t>
      </w:r>
    </w:p>
    <w:p w14:paraId="60B64A65" w14:textId="77777777" w:rsidR="00CD0721" w:rsidRPr="00796736" w:rsidRDefault="00CD0721" w:rsidP="00A802A5">
      <w:pPr>
        <w:spacing w:line="360" w:lineRule="auto"/>
        <w:rPr>
          <w:rFonts w:ascii="Times New Roman" w:hAnsi="Times New Roman" w:cs="Times New Roman"/>
          <w:sz w:val="24"/>
          <w:szCs w:val="24"/>
        </w:rPr>
      </w:pPr>
    </w:p>
    <w:p w14:paraId="6ACDC056" w14:textId="77777777" w:rsidR="00845374" w:rsidRPr="00796736" w:rsidRDefault="00845374" w:rsidP="00845374">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1, 2. pkt., nr. 3, </w:t>
      </w:r>
      <w:r w:rsidRPr="00796736">
        <w:rPr>
          <w:rFonts w:ascii="Times New Roman" w:hAnsi="Times New Roman" w:cs="Times New Roman"/>
          <w:sz w:val="24"/>
          <w:szCs w:val="24"/>
        </w:rPr>
        <w:t xml:space="preserve">at varslingen efter 1. pkt. skal indeholde oplysninger, som omfatter bestemte geografiske områder, der udgør en betydelig risiko for hvidvask, de underliggende lovovertrædelser og </w:t>
      </w:r>
      <w:r>
        <w:rPr>
          <w:rFonts w:ascii="Times New Roman" w:hAnsi="Times New Roman" w:cs="Times New Roman"/>
          <w:sz w:val="24"/>
          <w:szCs w:val="24"/>
        </w:rPr>
        <w:t>terror</w:t>
      </w:r>
      <w:r w:rsidRPr="00796736">
        <w:rPr>
          <w:rFonts w:ascii="Times New Roman" w:hAnsi="Times New Roman" w:cs="Times New Roman"/>
          <w:sz w:val="24"/>
          <w:szCs w:val="24"/>
        </w:rPr>
        <w:t>finansiering.</w:t>
      </w:r>
    </w:p>
    <w:p w14:paraId="59586C55" w14:textId="77777777" w:rsidR="00CD0721" w:rsidRPr="00796736" w:rsidRDefault="00CD0721" w:rsidP="00A802A5">
      <w:pPr>
        <w:spacing w:line="360" w:lineRule="auto"/>
        <w:rPr>
          <w:rFonts w:ascii="Times New Roman" w:hAnsi="Times New Roman" w:cs="Times New Roman"/>
          <w:sz w:val="24"/>
          <w:szCs w:val="24"/>
        </w:rPr>
      </w:pPr>
    </w:p>
    <w:p w14:paraId="3040CBD3" w14:textId="7FC449B0" w:rsidR="00CD0721" w:rsidRPr="00796736" w:rsidRDefault="00CD07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et varsel efter den foreslåede bestemmelse vil skulle indeholde oplysninger om risikofyldte geografiske områder. </w:t>
      </w:r>
      <w:r w:rsidR="001A67B5" w:rsidRPr="00796736">
        <w:rPr>
          <w:rFonts w:ascii="Times New Roman" w:hAnsi="Times New Roman" w:cs="Times New Roman"/>
          <w:sz w:val="24"/>
          <w:szCs w:val="24"/>
        </w:rPr>
        <w:t>Med ”geografisk område” menes såvel områder i Danmark som andre stater, grupper af stater eller regioner.</w:t>
      </w:r>
    </w:p>
    <w:p w14:paraId="40D83A6A" w14:textId="77777777" w:rsidR="00CD0721" w:rsidRPr="00796736" w:rsidRDefault="00CD0721" w:rsidP="00A802A5">
      <w:pPr>
        <w:spacing w:line="360" w:lineRule="auto"/>
        <w:rPr>
          <w:rFonts w:ascii="Times New Roman" w:hAnsi="Times New Roman" w:cs="Times New Roman"/>
          <w:sz w:val="24"/>
          <w:szCs w:val="24"/>
        </w:rPr>
      </w:pPr>
    </w:p>
    <w:p w14:paraId="4245C967" w14:textId="77777777" w:rsidR="00CD0721" w:rsidRPr="00796736" w:rsidRDefault="00CD07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være op til Hvidvasksekretariatet at fastlægge, hvilke geografiske områder, som indebærer en risiko for hvidvask af penge, de underliggende lovovertrædelser og finansiering af terrorisme. Hvidvasksekretariatet vil i den forbindelse bl.a. kunne lægge vægt på efterretninger eller kendte rejsemønstre eller internationale pengestrømme. </w:t>
      </w:r>
    </w:p>
    <w:p w14:paraId="0A4C468B" w14:textId="77777777" w:rsidR="00CD0721" w:rsidRPr="00796736" w:rsidRDefault="00CD0721" w:rsidP="00A802A5">
      <w:pPr>
        <w:spacing w:line="360" w:lineRule="auto"/>
        <w:rPr>
          <w:rFonts w:ascii="Times New Roman" w:hAnsi="Times New Roman" w:cs="Times New Roman"/>
          <w:sz w:val="24"/>
          <w:szCs w:val="24"/>
        </w:rPr>
      </w:pPr>
    </w:p>
    <w:p w14:paraId="2B3AF8F8" w14:textId="77777777" w:rsidR="00CD0721" w:rsidRPr="00796736" w:rsidRDefault="00CD07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Varsler efter den foreslåede bestemmelse vil navnlig være relevant overfor forpligtede enheder, som udfører grænseoverskridende aktiviteter. </w:t>
      </w:r>
    </w:p>
    <w:p w14:paraId="106E1DF6" w14:textId="77777777" w:rsidR="00CD0721" w:rsidRPr="00796736" w:rsidRDefault="00CD0721" w:rsidP="00A802A5">
      <w:pPr>
        <w:spacing w:line="360" w:lineRule="auto"/>
        <w:rPr>
          <w:rFonts w:ascii="Times New Roman" w:hAnsi="Times New Roman" w:cs="Times New Roman"/>
          <w:sz w:val="24"/>
          <w:szCs w:val="24"/>
        </w:rPr>
      </w:pPr>
    </w:p>
    <w:p w14:paraId="407DDDDC" w14:textId="77777777" w:rsidR="00EB57D1" w:rsidRPr="00D253F0" w:rsidRDefault="00EB57D1"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Det bemærkes, at oplysningerne nævnt i de foreslåede nr. 1-3 ikke er kumulative på den måde, at </w:t>
      </w:r>
      <w:r>
        <w:rPr>
          <w:rFonts w:ascii="Times New Roman" w:hAnsi="Times New Roman" w:cs="Times New Roman"/>
          <w:sz w:val="24"/>
          <w:szCs w:val="24"/>
        </w:rPr>
        <w:t xml:space="preserve">det er et krav for Hvidvasksekretariatets </w:t>
      </w:r>
      <w:r w:rsidRPr="00D253F0">
        <w:rPr>
          <w:rFonts w:ascii="Times New Roman" w:hAnsi="Times New Roman" w:cs="Times New Roman"/>
          <w:sz w:val="24"/>
          <w:szCs w:val="24"/>
        </w:rPr>
        <w:t>varsling</w:t>
      </w:r>
      <w:r>
        <w:rPr>
          <w:rFonts w:ascii="Times New Roman" w:hAnsi="Times New Roman" w:cs="Times New Roman"/>
          <w:sz w:val="24"/>
          <w:szCs w:val="24"/>
        </w:rPr>
        <w:t xml:space="preserve">, at der nødvendigvis er </w:t>
      </w:r>
      <w:r w:rsidRPr="00D253F0">
        <w:rPr>
          <w:rFonts w:ascii="Times New Roman" w:hAnsi="Times New Roman" w:cs="Times New Roman"/>
          <w:sz w:val="24"/>
          <w:szCs w:val="24"/>
        </w:rPr>
        <w:t xml:space="preserve">oplysninger om alle tre kategorier. Såfremt Hvidvasksekretariatet vurderer, at der meningsfuldt kan udstedes en varsling om en bestemt geografisk lokation og en bestemt transaktionstype, men i relation hertil ikke er grundlag for at varsle om bestemte personer, vil Hvidvasksekretariatet udstede et varsel, som indeholder de to første oplysninger. </w:t>
      </w:r>
    </w:p>
    <w:p w14:paraId="2AA61993" w14:textId="77777777" w:rsidR="00CD0721" w:rsidRPr="00796736" w:rsidRDefault="00CD0721" w:rsidP="00A802A5">
      <w:pPr>
        <w:spacing w:line="360" w:lineRule="auto"/>
        <w:rPr>
          <w:rFonts w:ascii="Times New Roman" w:hAnsi="Times New Roman" w:cs="Times New Roman"/>
          <w:sz w:val="24"/>
          <w:szCs w:val="24"/>
        </w:rPr>
      </w:pPr>
    </w:p>
    <w:p w14:paraId="412FF4BE" w14:textId="77777777" w:rsidR="00CD0721" w:rsidRPr="00796736" w:rsidRDefault="00CD0721"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Hvidvasksekretariatet hvert år giver forpligtede enheder strategiske oplysninger indenfor hvidvask af penge og finansiering af terrorisme.  </w:t>
      </w:r>
      <w:r w:rsidRPr="00796736">
        <w:rPr>
          <w:rFonts w:ascii="Times New Roman" w:hAnsi="Times New Roman" w:cs="Times New Roman"/>
          <w:sz w:val="24"/>
          <w:szCs w:val="24"/>
          <w:lang w:eastAsia="da-DK"/>
        </w:rPr>
        <w:t xml:space="preserve">  </w:t>
      </w:r>
    </w:p>
    <w:p w14:paraId="1DDE207A" w14:textId="77777777" w:rsidR="00CD0721" w:rsidRPr="00796736" w:rsidRDefault="00CD0721" w:rsidP="00A802A5">
      <w:pPr>
        <w:spacing w:line="360" w:lineRule="auto"/>
        <w:rPr>
          <w:rFonts w:ascii="Times New Roman" w:hAnsi="Times New Roman" w:cs="Times New Roman"/>
          <w:sz w:val="24"/>
          <w:szCs w:val="24"/>
          <w:lang w:eastAsia="da-DK"/>
        </w:rPr>
      </w:pPr>
    </w:p>
    <w:p w14:paraId="695E5770" w14:textId="77777777" w:rsidR="00A97B47" w:rsidRPr="00796736" w:rsidRDefault="00A97B47" w:rsidP="00A97B47">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bestemmelse vil de strategiske oplysninger skulle omfatte oplysninger om typologier, risikoindikatorer og tendenser inden for hvidvask af penge og finansiering af terrorisme og vil kunne gives oftere, hvis Hvidvasksekretariatet vurderer det nødvendigt. Det forudsættes, at forpligtelsen opfyldes ved Hvidvasksekretariatets kvartalsrapporter, årsrapporter og via Røde Flag (indikatorer), og at Politiets Efterretningstjeneste (PET) i relevant omfang leverer bidrag til Hvidvasksekretariatet om strategiske oplysninger inden for </w:t>
      </w:r>
      <w:r>
        <w:rPr>
          <w:rFonts w:ascii="Times New Roman" w:hAnsi="Times New Roman" w:cs="Times New Roman"/>
          <w:sz w:val="24"/>
          <w:szCs w:val="24"/>
        </w:rPr>
        <w:t>terror</w:t>
      </w:r>
      <w:r w:rsidRPr="00796736">
        <w:rPr>
          <w:rFonts w:ascii="Times New Roman" w:hAnsi="Times New Roman" w:cs="Times New Roman"/>
          <w:sz w:val="24"/>
          <w:szCs w:val="24"/>
        </w:rPr>
        <w:t>finansiering.</w:t>
      </w:r>
    </w:p>
    <w:p w14:paraId="7F2AC3C1" w14:textId="77777777" w:rsidR="00240DBE" w:rsidRPr="00796736" w:rsidRDefault="00240DBE" w:rsidP="00A802A5">
      <w:pPr>
        <w:spacing w:line="360" w:lineRule="auto"/>
        <w:rPr>
          <w:rFonts w:ascii="Times New Roman" w:hAnsi="Times New Roman" w:cs="Times New Roman"/>
          <w:i/>
          <w:iCs/>
          <w:sz w:val="24"/>
          <w:szCs w:val="24"/>
        </w:rPr>
      </w:pPr>
    </w:p>
    <w:p w14:paraId="7D04C9A3" w14:textId="77777777" w:rsidR="00C63146" w:rsidRPr="00796736" w:rsidRDefault="00C63146" w:rsidP="00A802A5">
      <w:pPr>
        <w:spacing w:line="360" w:lineRule="auto"/>
        <w:rPr>
          <w:rFonts w:ascii="Times New Roman" w:hAnsi="Times New Roman" w:cs="Times New Roman"/>
          <w:i/>
          <w:iCs/>
          <w:sz w:val="24"/>
          <w:szCs w:val="24"/>
        </w:rPr>
      </w:pPr>
    </w:p>
    <w:p w14:paraId="5CB03616" w14:textId="6FEEF957" w:rsidR="00240DBE" w:rsidRPr="00796736" w:rsidRDefault="00C454BF" w:rsidP="00A802A5">
      <w:pPr>
        <w:pStyle w:val="Undertitel"/>
      </w:pPr>
      <w:bookmarkStart w:id="1917" w:name="_Toc232109354"/>
      <w:bookmarkStart w:id="1918" w:name="_Toc244879318"/>
      <w:bookmarkStart w:id="1919" w:name="_Toc244880843"/>
      <w:r w:rsidRPr="00796736">
        <w:t xml:space="preserve">Til </w:t>
      </w:r>
      <w:r w:rsidR="00161898" w:rsidRPr="00796736">
        <w:fldChar w:fldCharType="begin"/>
      </w:r>
      <w:r w:rsidR="00161898" w:rsidRPr="00796736">
        <w:instrText xml:space="preserve"> REF _Ref232595975 \r \h </w:instrText>
      </w:r>
      <w:r w:rsidR="00967618" w:rsidRPr="00796736">
        <w:instrText xml:space="preserve"> \* MERGEFORMAT </w:instrText>
      </w:r>
      <w:r w:rsidR="00161898" w:rsidRPr="00796736">
        <w:fldChar w:fldCharType="separate"/>
      </w:r>
      <w:r w:rsidR="008F29E5">
        <w:t>§ 22</w:t>
      </w:r>
      <w:bookmarkEnd w:id="1918"/>
      <w:bookmarkEnd w:id="1919"/>
      <w:r w:rsidR="00161898" w:rsidRPr="00796736">
        <w:fldChar w:fldCharType="end"/>
      </w:r>
      <w:r w:rsidRPr="00796736">
        <w:t xml:space="preserve"> </w:t>
      </w:r>
      <w:bookmarkEnd w:id="1917"/>
    </w:p>
    <w:p w14:paraId="21DFDFA6" w14:textId="7CAEE5BB"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 indeholder ikke i dag regler om, at Hvidvasksekretariatet skal offentliggøre en årlig rapport om sine aktiviteter. </w:t>
      </w:r>
    </w:p>
    <w:p w14:paraId="2493986E" w14:textId="77777777" w:rsidR="00240DBE" w:rsidRPr="00796736" w:rsidRDefault="00240DBE" w:rsidP="00A802A5">
      <w:pPr>
        <w:spacing w:line="360" w:lineRule="auto"/>
        <w:rPr>
          <w:rFonts w:ascii="Times New Roman" w:hAnsi="Times New Roman" w:cs="Times New Roman"/>
          <w:sz w:val="24"/>
          <w:szCs w:val="24"/>
        </w:rPr>
      </w:pPr>
    </w:p>
    <w:p w14:paraId="4D4B857C" w14:textId="50A3EAB1"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en nærmere beskrivelse af gældende ret henvises til pkt.  </w:t>
      </w:r>
      <w:r w:rsidR="0000180D" w:rsidRPr="00796736">
        <w:rPr>
          <w:rFonts w:ascii="Times New Roman" w:hAnsi="Times New Roman" w:cs="Times New Roman"/>
          <w:sz w:val="24"/>
          <w:szCs w:val="24"/>
        </w:rPr>
        <w:fldChar w:fldCharType="begin"/>
      </w:r>
      <w:r w:rsidR="0000180D" w:rsidRPr="00796736">
        <w:rPr>
          <w:rFonts w:ascii="Times New Roman" w:hAnsi="Times New Roman" w:cs="Times New Roman"/>
          <w:sz w:val="24"/>
          <w:szCs w:val="24"/>
        </w:rPr>
        <w:instrText xml:space="preserve"> REF _Ref232943470 \n \h </w:instrText>
      </w:r>
      <w:r w:rsidR="00967618" w:rsidRPr="00796736">
        <w:rPr>
          <w:rFonts w:ascii="Times New Roman" w:hAnsi="Times New Roman" w:cs="Times New Roman"/>
          <w:sz w:val="24"/>
          <w:szCs w:val="24"/>
        </w:rPr>
        <w:instrText xml:space="preserve"> \* MERGEFORMAT </w:instrText>
      </w:r>
      <w:r w:rsidR="0000180D" w:rsidRPr="00796736">
        <w:rPr>
          <w:rFonts w:ascii="Times New Roman" w:hAnsi="Times New Roman" w:cs="Times New Roman"/>
          <w:sz w:val="24"/>
          <w:szCs w:val="24"/>
        </w:rPr>
      </w:r>
      <w:r w:rsidR="0000180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3.21.1</w:t>
      </w:r>
      <w:r w:rsidR="0000180D" w:rsidRPr="00796736">
        <w:rPr>
          <w:rFonts w:ascii="Times New Roman" w:hAnsi="Times New Roman" w:cs="Times New Roman"/>
          <w:sz w:val="24"/>
          <w:szCs w:val="24"/>
        </w:rPr>
        <w:fldChar w:fldCharType="end"/>
      </w:r>
      <w:r w:rsidR="0000180D"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654CB17F" w14:textId="77777777" w:rsidR="00240DBE" w:rsidRPr="00796736" w:rsidRDefault="00240DBE" w:rsidP="00A802A5">
      <w:pPr>
        <w:spacing w:line="360" w:lineRule="auto"/>
        <w:rPr>
          <w:rFonts w:ascii="Times New Roman" w:hAnsi="Times New Roman" w:cs="Times New Roman"/>
          <w:sz w:val="24"/>
          <w:szCs w:val="24"/>
        </w:rPr>
      </w:pPr>
    </w:p>
    <w:p w14:paraId="4A4251F8" w14:textId="3C1D44DA"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w:t>
      </w:r>
      <w:r w:rsidR="0000180D" w:rsidRPr="00796736">
        <w:rPr>
          <w:rFonts w:ascii="Times New Roman" w:hAnsi="Times New Roman" w:cs="Times New Roman"/>
          <w:sz w:val="24"/>
          <w:szCs w:val="24"/>
        </w:rPr>
        <w:fldChar w:fldCharType="begin"/>
      </w:r>
      <w:r w:rsidR="0000180D" w:rsidRPr="00796736">
        <w:rPr>
          <w:rFonts w:ascii="Times New Roman" w:hAnsi="Times New Roman" w:cs="Times New Roman"/>
          <w:sz w:val="24"/>
          <w:szCs w:val="24"/>
        </w:rPr>
        <w:instrText xml:space="preserve"> REF _Ref232595975 \r \h </w:instrText>
      </w:r>
      <w:r w:rsidR="00967618" w:rsidRPr="00796736">
        <w:rPr>
          <w:rFonts w:ascii="Times New Roman" w:hAnsi="Times New Roman" w:cs="Times New Roman"/>
          <w:sz w:val="24"/>
          <w:szCs w:val="24"/>
        </w:rPr>
        <w:instrText xml:space="preserve"> \* MERGEFORMAT </w:instrText>
      </w:r>
      <w:r w:rsidR="0000180D" w:rsidRPr="00796736">
        <w:rPr>
          <w:rFonts w:ascii="Times New Roman" w:hAnsi="Times New Roman" w:cs="Times New Roman"/>
          <w:sz w:val="24"/>
          <w:szCs w:val="24"/>
        </w:rPr>
      </w:r>
      <w:r w:rsidR="0000180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22</w:t>
      </w:r>
      <w:r w:rsidR="0000180D" w:rsidRPr="00796736">
        <w:rPr>
          <w:rFonts w:ascii="Times New Roman" w:hAnsi="Times New Roman" w:cs="Times New Roman"/>
          <w:sz w:val="24"/>
          <w:szCs w:val="24"/>
        </w:rPr>
        <w:fldChar w:fldCharType="end"/>
      </w:r>
      <w:r w:rsidR="0000180D" w:rsidRPr="00796736">
        <w:rPr>
          <w:rFonts w:ascii="Times New Roman" w:hAnsi="Times New Roman" w:cs="Times New Roman"/>
          <w:sz w:val="24"/>
          <w:szCs w:val="24"/>
        </w:rPr>
        <w:t xml:space="preserve"> </w:t>
      </w:r>
      <w:r w:rsidRPr="00796736">
        <w:rPr>
          <w:rFonts w:ascii="Times New Roman" w:hAnsi="Times New Roman" w:cs="Times New Roman"/>
          <w:sz w:val="24"/>
          <w:szCs w:val="24"/>
        </w:rPr>
        <w:t>lægges der som noget nyt op til at fastsætte regler om, at Hvidvasksekretariatet årligt skal offentliggøre en rapport om sine aktiviteter. Denne rapport skal indeholde oplysninger om tendenser og typologier samt en række statistikker m.v.</w:t>
      </w:r>
    </w:p>
    <w:p w14:paraId="6D4F6218" w14:textId="77777777" w:rsidR="00240DBE" w:rsidRPr="00796736" w:rsidRDefault="00240DBE" w:rsidP="00A802A5">
      <w:pPr>
        <w:spacing w:line="360" w:lineRule="auto"/>
        <w:rPr>
          <w:rFonts w:ascii="Times New Roman" w:hAnsi="Times New Roman" w:cs="Times New Roman"/>
          <w:sz w:val="24"/>
          <w:szCs w:val="24"/>
        </w:rPr>
      </w:pPr>
    </w:p>
    <w:p w14:paraId="19732C1B" w14:textId="471F18F5"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00180D" w:rsidRPr="00796736">
        <w:rPr>
          <w:rFonts w:ascii="Times New Roman" w:hAnsi="Times New Roman" w:cs="Times New Roman"/>
          <w:i/>
          <w:iCs/>
          <w:sz w:val="24"/>
          <w:szCs w:val="24"/>
        </w:rPr>
        <w:fldChar w:fldCharType="begin"/>
      </w:r>
      <w:r w:rsidR="0000180D" w:rsidRPr="00796736">
        <w:rPr>
          <w:rFonts w:ascii="Times New Roman" w:hAnsi="Times New Roman" w:cs="Times New Roman"/>
          <w:i/>
          <w:iCs/>
          <w:sz w:val="24"/>
          <w:szCs w:val="24"/>
        </w:rPr>
        <w:instrText xml:space="preserve"> REF _Ref232595975 \r \h  \* MERGEFORMAT </w:instrText>
      </w:r>
      <w:r w:rsidR="0000180D" w:rsidRPr="00796736">
        <w:rPr>
          <w:rFonts w:ascii="Times New Roman" w:hAnsi="Times New Roman" w:cs="Times New Roman"/>
          <w:i/>
          <w:iCs/>
          <w:sz w:val="24"/>
          <w:szCs w:val="24"/>
        </w:rPr>
      </w:r>
      <w:r w:rsidR="0000180D"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22</w:t>
      </w:r>
      <w:r w:rsidR="0000180D"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Hvidvasksekretariatet årligt skal offentliggøre en rapport om sine aktiviteter. Rapporten skal indeholde oplysninger om de tendenser og typologier, der er identificeret i de</w:t>
      </w:r>
      <w:r w:rsidR="0050440D" w:rsidRPr="00796736">
        <w:rPr>
          <w:rFonts w:ascii="Times New Roman" w:hAnsi="Times New Roman" w:cs="Times New Roman"/>
          <w:sz w:val="24"/>
          <w:szCs w:val="24"/>
        </w:rPr>
        <w:t xml:space="preserve"> efterretninger</w:t>
      </w:r>
      <w:r w:rsidRPr="00796736">
        <w:rPr>
          <w:rFonts w:ascii="Times New Roman" w:hAnsi="Times New Roman" w:cs="Times New Roman"/>
          <w:sz w:val="24"/>
          <w:szCs w:val="24"/>
        </w:rPr>
        <w:t xml:space="preserve">, som formidles til andre kompetente myndigheder, samt statistikker over: </w:t>
      </w:r>
    </w:p>
    <w:p w14:paraId="5B38B5B6" w14:textId="77777777" w:rsidR="0050440D" w:rsidRPr="00796736" w:rsidRDefault="0050440D">
      <w:pPr>
        <w:pStyle w:val="Listeafsnit"/>
        <w:numPr>
          <w:ilvl w:val="0"/>
          <w:numId w:val="22"/>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Hvidvasksekretariatets opfølgning på underretninger, herunder rapporter, om mistænkelige transaktioner og aktiviteter, som sekretariatet har modtaget. </w:t>
      </w:r>
    </w:p>
    <w:p w14:paraId="44EC201F" w14:textId="77777777" w:rsidR="00240DBE" w:rsidRPr="00796736" w:rsidRDefault="00240DBE">
      <w:pPr>
        <w:pStyle w:val="Listeafsnit"/>
        <w:numPr>
          <w:ilvl w:val="0"/>
          <w:numId w:val="22"/>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Rapporter om mistænkelige transaktioner indgivet af forpligtede enheder. </w:t>
      </w:r>
    </w:p>
    <w:p w14:paraId="26F03C2B" w14:textId="77777777" w:rsidR="00074750" w:rsidRPr="00796736" w:rsidRDefault="00074750">
      <w:pPr>
        <w:pStyle w:val="Listeafsnit"/>
        <w:numPr>
          <w:ilvl w:val="0"/>
          <w:numId w:val="22"/>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Videregivelse af oplysninger fra tilsynsorganer og centrale registre. </w:t>
      </w:r>
    </w:p>
    <w:p w14:paraId="236F05EE" w14:textId="77777777" w:rsidR="00074750" w:rsidRPr="00796736" w:rsidRDefault="00074750">
      <w:pPr>
        <w:pStyle w:val="Listeafsnit"/>
        <w:numPr>
          <w:ilvl w:val="0"/>
          <w:numId w:val="22"/>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Formidlinger til kompetente myndigheder og den videre behandling af disse formidlinger. </w:t>
      </w:r>
    </w:p>
    <w:p w14:paraId="2F0274C9" w14:textId="77777777" w:rsidR="00240DBE" w:rsidRPr="00796736" w:rsidRDefault="00240DBE">
      <w:pPr>
        <w:pStyle w:val="Listeafsnit"/>
        <w:numPr>
          <w:ilvl w:val="0"/>
          <w:numId w:val="22"/>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Anmodninger indgivet til og modtaget fra andre FIU'er. </w:t>
      </w:r>
    </w:p>
    <w:p w14:paraId="169C3494" w14:textId="77777777" w:rsidR="00074750" w:rsidRPr="00796736" w:rsidRDefault="00074750">
      <w:pPr>
        <w:pStyle w:val="Listeafsnit"/>
        <w:numPr>
          <w:ilvl w:val="0"/>
          <w:numId w:val="22"/>
        </w:numPr>
        <w:spacing w:line="360" w:lineRule="auto"/>
        <w:rPr>
          <w:rFonts w:ascii="Times New Roman" w:hAnsi="Times New Roman" w:cs="Times New Roman"/>
          <w:sz w:val="24"/>
          <w:szCs w:val="24"/>
        </w:rPr>
      </w:pPr>
      <w:r w:rsidRPr="00796736">
        <w:rPr>
          <w:rFonts w:ascii="Times New Roman" w:hAnsi="Times New Roman" w:cs="Times New Roman"/>
          <w:sz w:val="24"/>
          <w:szCs w:val="24"/>
        </w:rPr>
        <w:t>Anmodninger, der er indgivet til og modtaget fra kompetente myndigheder omhandlet i artikel 2, stk. 1, nr. 44, litra c, i hvidvaskforordningen.</w:t>
      </w:r>
    </w:p>
    <w:p w14:paraId="44C81A8F" w14:textId="4269173F" w:rsidR="00074750" w:rsidRPr="00796736" w:rsidRDefault="00074750">
      <w:pPr>
        <w:pStyle w:val="Listeafsnit"/>
        <w:numPr>
          <w:ilvl w:val="0"/>
          <w:numId w:val="22"/>
        </w:numPr>
        <w:spacing w:line="360" w:lineRule="auto"/>
        <w:rPr>
          <w:rFonts w:ascii="Times New Roman" w:hAnsi="Times New Roman" w:cs="Times New Roman"/>
          <w:sz w:val="24"/>
          <w:szCs w:val="24"/>
        </w:rPr>
      </w:pPr>
      <w:r w:rsidRPr="00796736">
        <w:rPr>
          <w:rFonts w:ascii="Times New Roman" w:hAnsi="Times New Roman" w:cs="Times New Roman"/>
          <w:sz w:val="24"/>
          <w:szCs w:val="24"/>
        </w:rPr>
        <w:t>Allokerede årsværk</w:t>
      </w:r>
      <w:r w:rsidR="00A97B47">
        <w:rPr>
          <w:rFonts w:ascii="Times New Roman" w:hAnsi="Times New Roman" w:cs="Times New Roman"/>
          <w:sz w:val="24"/>
          <w:szCs w:val="24"/>
        </w:rPr>
        <w:t xml:space="preserve"> i Hvidvasksekretariatet</w:t>
      </w:r>
      <w:r w:rsidRPr="00796736">
        <w:rPr>
          <w:rFonts w:ascii="Times New Roman" w:hAnsi="Times New Roman" w:cs="Times New Roman"/>
          <w:sz w:val="24"/>
          <w:szCs w:val="24"/>
        </w:rPr>
        <w:t>.</w:t>
      </w:r>
    </w:p>
    <w:p w14:paraId="5247C10E" w14:textId="77777777" w:rsidR="00240DBE" w:rsidRPr="00796736" w:rsidRDefault="00240DBE">
      <w:pPr>
        <w:pStyle w:val="Listeafsnit"/>
        <w:numPr>
          <w:ilvl w:val="0"/>
          <w:numId w:val="22"/>
        </w:numPr>
        <w:spacing w:line="360" w:lineRule="auto"/>
        <w:rPr>
          <w:rFonts w:ascii="Times New Roman" w:hAnsi="Times New Roman" w:cs="Times New Roman"/>
          <w:sz w:val="24"/>
          <w:szCs w:val="24"/>
        </w:rPr>
      </w:pPr>
      <w:r w:rsidRPr="00796736">
        <w:rPr>
          <w:rFonts w:ascii="Times New Roman" w:hAnsi="Times New Roman" w:cs="Times New Roman"/>
          <w:sz w:val="24"/>
          <w:szCs w:val="24"/>
        </w:rPr>
        <w:t>Data om grænseoverskridende fysiske overførsler af kontanter fremsendt af toldmyndighederne i henhold til artikel 9 i forordning (EU) nr. 2018/1672 om kontrol med likvide midler, der føres ind i eller ud af Unionen.</w:t>
      </w:r>
    </w:p>
    <w:p w14:paraId="25C622F5" w14:textId="77777777" w:rsidR="00240DBE" w:rsidRPr="00796736" w:rsidRDefault="00240DBE" w:rsidP="00A802A5">
      <w:pPr>
        <w:spacing w:line="360" w:lineRule="auto"/>
        <w:rPr>
          <w:rFonts w:ascii="Times New Roman" w:hAnsi="Times New Roman" w:cs="Times New Roman"/>
          <w:sz w:val="24"/>
          <w:szCs w:val="24"/>
        </w:rPr>
      </w:pPr>
    </w:p>
    <w:p w14:paraId="3D37E7EC" w14:textId="77777777"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rapporten vil skulle indeholde en række oplysninger, som belyser Hvidvasksekretariatets aktiviteter i det forgangne år, herunder samarbejdet med andre FIU’er, jf. nærmere oplistningen ovenfor. </w:t>
      </w:r>
      <w:r w:rsidRPr="00796736" w:rsidDel="00501D64">
        <w:rPr>
          <w:rFonts w:ascii="Times New Roman" w:hAnsi="Times New Roman" w:cs="Times New Roman"/>
          <w:sz w:val="24"/>
          <w:szCs w:val="24"/>
        </w:rPr>
        <w:t xml:space="preserve"> </w:t>
      </w:r>
    </w:p>
    <w:p w14:paraId="24C91730" w14:textId="77777777" w:rsidR="00240DBE" w:rsidRPr="00796736" w:rsidRDefault="00240DBE" w:rsidP="00A802A5">
      <w:pPr>
        <w:spacing w:line="360" w:lineRule="auto"/>
        <w:rPr>
          <w:rFonts w:ascii="Times New Roman" w:hAnsi="Times New Roman" w:cs="Times New Roman"/>
          <w:sz w:val="24"/>
          <w:szCs w:val="24"/>
        </w:rPr>
      </w:pPr>
    </w:p>
    <w:p w14:paraId="518B46BB" w14:textId="0CC44BBB"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»tilsynsorganer« efter </w:t>
      </w:r>
      <w:r w:rsidR="0000180D" w:rsidRPr="00796736">
        <w:rPr>
          <w:rFonts w:ascii="Times New Roman" w:hAnsi="Times New Roman" w:cs="Times New Roman"/>
          <w:sz w:val="24"/>
          <w:szCs w:val="24"/>
        </w:rPr>
        <w:fldChar w:fldCharType="begin"/>
      </w:r>
      <w:r w:rsidR="0000180D" w:rsidRPr="00796736">
        <w:rPr>
          <w:rFonts w:ascii="Times New Roman" w:hAnsi="Times New Roman" w:cs="Times New Roman"/>
          <w:sz w:val="24"/>
          <w:szCs w:val="24"/>
        </w:rPr>
        <w:instrText xml:space="preserve"> REF _Ref232595975 \r \h </w:instrText>
      </w:r>
      <w:r w:rsidR="00967618" w:rsidRPr="00796736">
        <w:rPr>
          <w:rFonts w:ascii="Times New Roman" w:hAnsi="Times New Roman" w:cs="Times New Roman"/>
          <w:sz w:val="24"/>
          <w:szCs w:val="24"/>
        </w:rPr>
        <w:instrText xml:space="preserve"> \* MERGEFORMAT </w:instrText>
      </w:r>
      <w:r w:rsidR="0000180D" w:rsidRPr="00796736">
        <w:rPr>
          <w:rFonts w:ascii="Times New Roman" w:hAnsi="Times New Roman" w:cs="Times New Roman"/>
          <w:sz w:val="24"/>
          <w:szCs w:val="24"/>
        </w:rPr>
      </w:r>
      <w:r w:rsidR="0000180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22</w:t>
      </w:r>
      <w:r w:rsidR="0000180D" w:rsidRPr="00796736">
        <w:rPr>
          <w:rFonts w:ascii="Times New Roman" w:hAnsi="Times New Roman" w:cs="Times New Roman"/>
          <w:sz w:val="24"/>
          <w:szCs w:val="24"/>
        </w:rPr>
        <w:fldChar w:fldCharType="end"/>
      </w:r>
      <w:r w:rsidR="00615294" w:rsidRPr="00796736">
        <w:rPr>
          <w:rFonts w:ascii="Times New Roman" w:hAnsi="Times New Roman" w:cs="Times New Roman"/>
          <w:sz w:val="24"/>
          <w:szCs w:val="24"/>
        </w:rPr>
        <w:t>,</w:t>
      </w:r>
      <w:r w:rsidRPr="00796736">
        <w:rPr>
          <w:rFonts w:ascii="Times New Roman" w:hAnsi="Times New Roman" w:cs="Times New Roman"/>
          <w:sz w:val="24"/>
          <w:szCs w:val="24"/>
        </w:rPr>
        <w:t xml:space="preserve"> stk. 1, nr. 3, forstås i overensstemmelse med definitionen i hvidvaskforordningens artikel 2, nr. 45, det organ, som har fået overdraget ansvarsområder med henblik på at sikre forpligtede enheders overholdelse af kravene i hvidvaskforordningen, herunder AMLA, når denne udfører de opgaver, som den har fået overdraget i medfør af artikel 5, stk. 2, i AML-forordningen. Ud over AMLA vil det således i dansk kontekst være Finanstilsynet, Erhvervsstyrelsen, Spillemyndigheden og Advokatrådet.</w:t>
      </w:r>
    </w:p>
    <w:p w14:paraId="1188FE3B" w14:textId="77777777" w:rsidR="0050440D" w:rsidRPr="00796736" w:rsidRDefault="0050440D" w:rsidP="00A802A5">
      <w:pPr>
        <w:spacing w:line="360" w:lineRule="auto"/>
        <w:rPr>
          <w:rFonts w:ascii="Times New Roman" w:hAnsi="Times New Roman" w:cs="Times New Roman"/>
          <w:sz w:val="24"/>
          <w:szCs w:val="24"/>
        </w:rPr>
      </w:pPr>
    </w:p>
    <w:p w14:paraId="6060CD2C" w14:textId="50D61AC2"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Hvidvasksekretariatet vil skulle føre statistik over antallet af gange Hvidvasksekretariatet har modtaget oplysninger fra tilsynsorganer og centrale registre</w:t>
      </w:r>
      <w:r w:rsidR="00525DA3">
        <w:rPr>
          <w:rFonts w:ascii="Times New Roman" w:hAnsi="Times New Roman" w:cs="Times New Roman"/>
          <w:sz w:val="24"/>
          <w:szCs w:val="24"/>
        </w:rPr>
        <w:t>.</w:t>
      </w:r>
    </w:p>
    <w:p w14:paraId="09D2CDA0" w14:textId="77777777" w:rsidR="00240DBE" w:rsidRPr="00796736" w:rsidRDefault="00240DBE" w:rsidP="00A802A5">
      <w:pPr>
        <w:spacing w:line="360" w:lineRule="auto"/>
        <w:rPr>
          <w:rFonts w:ascii="Times New Roman" w:hAnsi="Times New Roman" w:cs="Times New Roman"/>
          <w:sz w:val="24"/>
          <w:szCs w:val="24"/>
        </w:rPr>
      </w:pPr>
    </w:p>
    <w:p w14:paraId="28AFBB29" w14:textId="68FE7B48" w:rsidR="0050440D"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»kompetent myndighed« efter </w:t>
      </w:r>
      <w:r w:rsidR="0000180D" w:rsidRPr="00796736">
        <w:rPr>
          <w:rFonts w:ascii="Times New Roman" w:hAnsi="Times New Roman" w:cs="Times New Roman"/>
          <w:sz w:val="24"/>
          <w:szCs w:val="24"/>
        </w:rPr>
        <w:fldChar w:fldCharType="begin"/>
      </w:r>
      <w:r w:rsidR="0000180D" w:rsidRPr="00796736">
        <w:rPr>
          <w:rFonts w:ascii="Times New Roman" w:hAnsi="Times New Roman" w:cs="Times New Roman"/>
          <w:sz w:val="24"/>
          <w:szCs w:val="24"/>
        </w:rPr>
        <w:instrText xml:space="preserve"> REF _Ref232595975 \r \h </w:instrText>
      </w:r>
      <w:r w:rsidR="00967618" w:rsidRPr="00796736">
        <w:rPr>
          <w:rFonts w:ascii="Times New Roman" w:hAnsi="Times New Roman" w:cs="Times New Roman"/>
          <w:sz w:val="24"/>
          <w:szCs w:val="24"/>
        </w:rPr>
        <w:instrText xml:space="preserve"> \* MERGEFORMAT </w:instrText>
      </w:r>
      <w:r w:rsidR="0000180D" w:rsidRPr="00796736">
        <w:rPr>
          <w:rFonts w:ascii="Times New Roman" w:hAnsi="Times New Roman" w:cs="Times New Roman"/>
          <w:sz w:val="24"/>
          <w:szCs w:val="24"/>
        </w:rPr>
      </w:r>
      <w:r w:rsidR="0000180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22</w:t>
      </w:r>
      <w:r w:rsidR="0000180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4 og 6, forstås efter definitionen i hvidvaskforordningens artikel 2, nr. 44, </w:t>
      </w:r>
      <w:r w:rsidR="0050440D" w:rsidRPr="00796736">
        <w:rPr>
          <w:rFonts w:ascii="Times New Roman" w:hAnsi="Times New Roman" w:cs="Times New Roman"/>
          <w:sz w:val="24"/>
          <w:szCs w:val="24"/>
        </w:rPr>
        <w:t>en tilsynsmyndighed (litra b), en offentlig myndighed, der har til opgave at efterforske eller retsforfølge i sager om hvidvask af penge, de underliggende lovovertrædelser eller finansiering af terrorisme, eller som har til opgave at opspore, beslaglægge eller indefryse og konfiskere kriminelle aktiver (litra c) eller en offentlig myndighed, der har fået til ansvar at bekæmpe hvidvask af penge og finansiering af terrorisme (litra d). Foruden Finanstilsynet, Erhvervsstyrelsen, Datatilsynet og Spillemyndigheden vil kompetente myndigheder således f.eks. kunne omfatte Told- og skatteforvaltningen, politiet og anklagemyndigheden.</w:t>
      </w:r>
    </w:p>
    <w:p w14:paraId="0961D913" w14:textId="77777777" w:rsidR="0050440D" w:rsidRPr="00796736" w:rsidRDefault="0050440D" w:rsidP="00A802A5">
      <w:pPr>
        <w:spacing w:line="360" w:lineRule="auto"/>
        <w:rPr>
          <w:rFonts w:ascii="Times New Roman" w:hAnsi="Times New Roman" w:cs="Times New Roman"/>
          <w:sz w:val="24"/>
          <w:szCs w:val="24"/>
        </w:rPr>
      </w:pPr>
    </w:p>
    <w:p w14:paraId="43015BD9" w14:textId="388FD3C9" w:rsidR="0050440D" w:rsidRPr="00796736" w:rsidRDefault="00EB57D1"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Den foreslåede bestemmelse i stk. 1, nr. 4, vil indebære, at Hvidvasksekretariatet vil skulle føre statistik over formidlinger til kompetente myndigheder og den videre behandling af disse formidlinger. Den foreslåede bestemmelse vil indebære, at modtagerne af formidlingerne vil være forpligtede til at orientere Hvidvasksekretariatet om den videre behandling af formidlingerne. </w:t>
      </w:r>
      <w:r>
        <w:rPr>
          <w:rFonts w:ascii="Times New Roman" w:hAnsi="Times New Roman" w:cs="Times New Roman"/>
          <w:sz w:val="24"/>
          <w:szCs w:val="24"/>
        </w:rPr>
        <w:t xml:space="preserve">Der sigtes til Hvidvasksekretariatets formidling af oplysninger efter bestemmelserne i denne lov, herunder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_Ref239689279 \r \h </w:instrText>
      </w:r>
      <w:r w:rsidR="00CB248D">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0035C0">
        <w:rPr>
          <w:rFonts w:ascii="Times New Roman" w:hAnsi="Times New Roman" w:cs="Times New Roman"/>
          <w:sz w:val="24"/>
          <w:szCs w:val="24"/>
        </w:rPr>
        <w:fldChar w:fldCharType="begin"/>
      </w:r>
      <w:r w:rsidR="000035C0">
        <w:rPr>
          <w:rFonts w:ascii="Times New Roman" w:hAnsi="Times New Roman" w:cs="Times New Roman"/>
          <w:sz w:val="24"/>
          <w:szCs w:val="24"/>
        </w:rPr>
        <w:instrText xml:space="preserve"> REF _Ref243942719 \r \h </w:instrText>
      </w:r>
      <w:r w:rsidR="000035C0">
        <w:rPr>
          <w:rFonts w:ascii="Times New Roman" w:hAnsi="Times New Roman" w:cs="Times New Roman"/>
          <w:sz w:val="24"/>
          <w:szCs w:val="24"/>
        </w:rPr>
      </w:r>
      <w:r w:rsidR="000035C0">
        <w:rPr>
          <w:rFonts w:ascii="Times New Roman" w:hAnsi="Times New Roman" w:cs="Times New Roman"/>
          <w:sz w:val="24"/>
          <w:szCs w:val="24"/>
        </w:rPr>
        <w:fldChar w:fldCharType="separate"/>
      </w:r>
      <w:r w:rsidR="008F29E5">
        <w:rPr>
          <w:rFonts w:ascii="Times New Roman" w:hAnsi="Times New Roman" w:cs="Times New Roman"/>
          <w:sz w:val="24"/>
          <w:szCs w:val="24"/>
        </w:rPr>
        <w:t>§ 17</w:t>
      </w:r>
      <w:r w:rsidR="000035C0">
        <w:rPr>
          <w:rFonts w:ascii="Times New Roman" w:hAnsi="Times New Roman" w:cs="Times New Roman"/>
          <w:sz w:val="24"/>
          <w:szCs w:val="24"/>
        </w:rPr>
        <w:fldChar w:fldCharType="end"/>
      </w:r>
      <w:r w:rsidR="000035C0">
        <w:rPr>
          <w:rFonts w:ascii="Times New Roman" w:hAnsi="Times New Roman" w:cs="Times New Roman"/>
          <w:sz w:val="24"/>
          <w:szCs w:val="24"/>
        </w:rPr>
        <w:t xml:space="preserve"> </w:t>
      </w:r>
      <w:r>
        <w:rPr>
          <w:rFonts w:ascii="Times New Roman" w:hAnsi="Times New Roman" w:cs="Times New Roman"/>
          <w:sz w:val="24"/>
          <w:szCs w:val="24"/>
        </w:rPr>
        <w:t xml:space="preserve">og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_Ref232595777 \r \h </w:instrText>
      </w:r>
      <w:r w:rsidR="00CB248D">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D253F0">
        <w:rPr>
          <w:rFonts w:ascii="Times New Roman" w:hAnsi="Times New Roman" w:cs="Times New Roman"/>
          <w:sz w:val="24"/>
          <w:szCs w:val="24"/>
        </w:rPr>
        <w:t xml:space="preserve">Det forudsættes, at Hvidvasksekretariatet vil kunne gruppere de forskellige kategorier af behandlinger og føre statistik på dette grundlag. </w:t>
      </w:r>
    </w:p>
    <w:p w14:paraId="359BC120" w14:textId="78ABE0D8" w:rsidR="00240DBE" w:rsidRPr="00796736" w:rsidRDefault="00240DBE" w:rsidP="00A802A5">
      <w:pPr>
        <w:spacing w:line="360" w:lineRule="auto"/>
        <w:rPr>
          <w:rFonts w:ascii="Times New Roman" w:hAnsi="Times New Roman" w:cs="Times New Roman"/>
          <w:sz w:val="24"/>
          <w:szCs w:val="24"/>
        </w:rPr>
      </w:pPr>
    </w:p>
    <w:p w14:paraId="0F5F2210" w14:textId="5D87610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»told- og skatteforvaltningen«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_Ref232595975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8, forstås i overensstemmelse med definitionen på »kompetente myndigheder« efter artikel 2, stk. 1, nr. g, i forordning (EU) nr. 2018/1672 om kontrol med likvide midler, der føres ind i eller ud af Unionen, medlemsstaternes toldmyndigheder og alle andre myndigheder, der af medlemsstaterne er bemyndiget til at anvende denne forordning. </w:t>
      </w:r>
      <w:r w:rsidR="00EB57D1" w:rsidRPr="00D253F0">
        <w:rPr>
          <w:rFonts w:ascii="Times New Roman" w:hAnsi="Times New Roman" w:cs="Times New Roman"/>
          <w:sz w:val="24"/>
          <w:szCs w:val="24"/>
        </w:rPr>
        <w:t xml:space="preserve">Det vil i dansk kontekst være </w:t>
      </w:r>
      <w:r w:rsidR="00EB57D1">
        <w:rPr>
          <w:rFonts w:ascii="Times New Roman" w:hAnsi="Times New Roman" w:cs="Times New Roman"/>
          <w:sz w:val="24"/>
          <w:szCs w:val="24"/>
        </w:rPr>
        <w:t>t</w:t>
      </w:r>
      <w:r w:rsidR="00EB57D1" w:rsidRPr="00D253F0">
        <w:rPr>
          <w:rFonts w:ascii="Times New Roman" w:hAnsi="Times New Roman" w:cs="Times New Roman"/>
          <w:sz w:val="24"/>
          <w:szCs w:val="24"/>
        </w:rPr>
        <w:t xml:space="preserve">old- og </w:t>
      </w:r>
      <w:r w:rsidR="00EB57D1">
        <w:rPr>
          <w:rFonts w:ascii="Times New Roman" w:hAnsi="Times New Roman" w:cs="Times New Roman"/>
          <w:sz w:val="24"/>
          <w:szCs w:val="24"/>
        </w:rPr>
        <w:t>s</w:t>
      </w:r>
      <w:r w:rsidR="00EB57D1" w:rsidRPr="00D253F0">
        <w:rPr>
          <w:rFonts w:ascii="Times New Roman" w:hAnsi="Times New Roman" w:cs="Times New Roman"/>
          <w:sz w:val="24"/>
          <w:szCs w:val="24"/>
        </w:rPr>
        <w:t xml:space="preserve">katteforvaltningen.  </w:t>
      </w:r>
    </w:p>
    <w:p w14:paraId="20AAF97A" w14:textId="77777777" w:rsidR="00240DBE" w:rsidRPr="00796736" w:rsidRDefault="00240DBE" w:rsidP="00A802A5">
      <w:pPr>
        <w:spacing w:line="360" w:lineRule="auto"/>
        <w:rPr>
          <w:rFonts w:ascii="Times New Roman" w:hAnsi="Times New Roman" w:cs="Times New Roman"/>
          <w:sz w:val="24"/>
          <w:szCs w:val="24"/>
        </w:rPr>
      </w:pPr>
    </w:p>
    <w:p w14:paraId="04FA830F" w14:textId="2E1C8A49" w:rsidR="004B6FE7"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skal ses i lyset af hvidvaskdirektivets præambelbetragtning nr. 73, hvoraf det bl.a. følger, at FIU’erne med henblik på større gennemsigtighed og ansvarlighed og for at øge bevidstheden om deres aktiviteter hvert år bør udarbejde aktivitetsrapporter. Disse rapporter bør offentliggøres med undtagelse af de dele, der indeholder følsomme og klassificerede oplysninge</w:t>
      </w:r>
      <w:r w:rsidR="004B6FE7">
        <w:rPr>
          <w:rFonts w:ascii="Times New Roman" w:hAnsi="Times New Roman" w:cs="Times New Roman"/>
          <w:sz w:val="24"/>
          <w:szCs w:val="24"/>
        </w:rPr>
        <w:t xml:space="preserve">r. </w:t>
      </w:r>
    </w:p>
    <w:p w14:paraId="2B3D1ABE" w14:textId="77777777" w:rsidR="00240DBE" w:rsidRPr="00796736" w:rsidRDefault="00240DBE"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o</w:t>
      </w:r>
      <w:r w:rsidRPr="00796736">
        <w:rPr>
          <w:rFonts w:ascii="Times New Roman" w:eastAsia="Times New Roman" w:hAnsi="Times New Roman" w:cs="Times New Roman"/>
          <w:sz w:val="24"/>
          <w:szCs w:val="24"/>
          <w:lang w:eastAsia="da-DK"/>
        </w:rPr>
        <w:t xml:space="preserve">plysningerne i rapporten efter stk. 1 ikke må gøre det muligt at identificere nogen fysisk eller juridisk person. </w:t>
      </w:r>
    </w:p>
    <w:p w14:paraId="6237B8F2" w14:textId="77777777" w:rsidR="00240DBE" w:rsidRPr="00796736" w:rsidRDefault="00240DBE" w:rsidP="00A802A5">
      <w:pPr>
        <w:spacing w:line="360" w:lineRule="auto"/>
        <w:rPr>
          <w:rFonts w:ascii="Times New Roman" w:eastAsia="Times New Roman" w:hAnsi="Times New Roman" w:cs="Times New Roman"/>
          <w:sz w:val="24"/>
          <w:szCs w:val="24"/>
          <w:lang w:eastAsia="da-DK"/>
        </w:rPr>
      </w:pPr>
    </w:p>
    <w:p w14:paraId="0EBF1886" w14:textId="77777777"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vil skulle sikre, at de oplysninger, som fremgår af rapporten, der årligt offentliggøres af Hvidvasksekretariatet efter den foreslåede stk. 1, ikke indeholder oplysninger, der gør det muligt, at identificere fysiske eller juridiske personer ud fra disse oplysninger. Det vil f.eks. kunne være navne, adresser eller andre oplysninger, der gør det muligt at identificere fysiske eller juridiske personer. </w:t>
      </w:r>
    </w:p>
    <w:p w14:paraId="541C82C7" w14:textId="77777777" w:rsidR="00240DBE" w:rsidRPr="00796736" w:rsidRDefault="00240DBE" w:rsidP="00A802A5">
      <w:pPr>
        <w:spacing w:line="360" w:lineRule="auto"/>
        <w:rPr>
          <w:rFonts w:ascii="Times New Roman" w:hAnsi="Times New Roman" w:cs="Times New Roman"/>
          <w:sz w:val="24"/>
          <w:szCs w:val="24"/>
        </w:rPr>
      </w:pPr>
    </w:p>
    <w:p w14:paraId="02BD3678"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overensstemmelse med hvidvaskdirektivets præambelbetragtning nr. 73, må rapporterne endvidere ikke indeholde klassificerede oplysninger. Dette omfatter oplysninger, som er klassificeret efter cirkulære nr. 10338 af 17. december 2014 om sikkerhedsbeskyttelse af informationer af fælles interesse for landene i NATO eller EU, andre klassificerede informationer samt informationer af sikkerhedsmæssig beskyttelsesinteresse i øvrigt (sikkerhedscirkulæret). </w:t>
      </w:r>
    </w:p>
    <w:p w14:paraId="2FDF52B1" w14:textId="77777777" w:rsidR="00074750" w:rsidRPr="00796736" w:rsidRDefault="00074750" w:rsidP="00A802A5">
      <w:pPr>
        <w:spacing w:line="360" w:lineRule="auto"/>
        <w:rPr>
          <w:rFonts w:ascii="Times New Roman" w:hAnsi="Times New Roman" w:cs="Times New Roman"/>
          <w:sz w:val="24"/>
          <w:szCs w:val="24"/>
        </w:rPr>
      </w:pPr>
    </w:p>
    <w:p w14:paraId="25741384" w14:textId="3FFAC653"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_Ref232595975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har til formål at gennemføre 6. hvidvaskdirektivets artikel 27.</w:t>
      </w:r>
    </w:p>
    <w:p w14:paraId="04267946" w14:textId="77777777" w:rsidR="00240DBE" w:rsidRPr="00796736" w:rsidRDefault="00240DBE" w:rsidP="00A802A5">
      <w:pPr>
        <w:spacing w:line="360" w:lineRule="auto"/>
        <w:rPr>
          <w:rFonts w:ascii="Times New Roman" w:hAnsi="Times New Roman" w:cs="Times New Roman"/>
          <w:sz w:val="24"/>
          <w:szCs w:val="24"/>
        </w:rPr>
      </w:pPr>
    </w:p>
    <w:p w14:paraId="53071FC3" w14:textId="4DE181BB"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00180D" w:rsidRPr="00796736">
        <w:rPr>
          <w:rFonts w:ascii="Times New Roman" w:hAnsi="Times New Roman" w:cs="Times New Roman"/>
          <w:sz w:val="24"/>
          <w:szCs w:val="24"/>
        </w:rPr>
        <w:fldChar w:fldCharType="begin"/>
      </w:r>
      <w:r w:rsidR="0000180D" w:rsidRPr="00796736">
        <w:rPr>
          <w:rFonts w:ascii="Times New Roman" w:hAnsi="Times New Roman" w:cs="Times New Roman"/>
          <w:sz w:val="24"/>
          <w:szCs w:val="24"/>
        </w:rPr>
        <w:instrText xml:space="preserve"> REF _Ref232943537 \n \h </w:instrText>
      </w:r>
      <w:r w:rsidR="00967618" w:rsidRPr="00796736">
        <w:rPr>
          <w:rFonts w:ascii="Times New Roman" w:hAnsi="Times New Roman" w:cs="Times New Roman"/>
          <w:sz w:val="24"/>
          <w:szCs w:val="24"/>
        </w:rPr>
        <w:instrText xml:space="preserve"> \* MERGEFORMAT </w:instrText>
      </w:r>
      <w:r w:rsidR="0000180D" w:rsidRPr="00796736">
        <w:rPr>
          <w:rFonts w:ascii="Times New Roman" w:hAnsi="Times New Roman" w:cs="Times New Roman"/>
          <w:sz w:val="24"/>
          <w:szCs w:val="24"/>
        </w:rPr>
      </w:r>
      <w:r w:rsidR="0000180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3.21</w:t>
      </w:r>
      <w:r w:rsidR="0000180D" w:rsidRPr="00796736">
        <w:rPr>
          <w:rFonts w:ascii="Times New Roman" w:hAnsi="Times New Roman" w:cs="Times New Roman"/>
          <w:sz w:val="24"/>
          <w:szCs w:val="24"/>
        </w:rPr>
        <w:fldChar w:fldCharType="end"/>
      </w:r>
      <w:r w:rsidR="0000180D"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93B569D" w14:textId="77777777" w:rsidR="00C63146" w:rsidRPr="00796736" w:rsidRDefault="00C63146" w:rsidP="00A802A5">
      <w:pPr>
        <w:spacing w:line="360" w:lineRule="auto"/>
        <w:rPr>
          <w:rFonts w:ascii="Times New Roman" w:hAnsi="Times New Roman" w:cs="Times New Roman"/>
          <w:i/>
          <w:iCs/>
          <w:sz w:val="24"/>
          <w:szCs w:val="24"/>
        </w:rPr>
      </w:pPr>
    </w:p>
    <w:p w14:paraId="0A23763A" w14:textId="77777777" w:rsidR="00C63146" w:rsidRPr="00796736" w:rsidRDefault="00C63146" w:rsidP="00A802A5">
      <w:pPr>
        <w:spacing w:line="360" w:lineRule="auto"/>
        <w:jc w:val="center"/>
        <w:rPr>
          <w:rFonts w:ascii="Times New Roman" w:hAnsi="Times New Roman" w:cs="Times New Roman"/>
          <w:i/>
          <w:iCs/>
          <w:sz w:val="24"/>
          <w:szCs w:val="24"/>
        </w:rPr>
      </w:pPr>
    </w:p>
    <w:p w14:paraId="3372393F" w14:textId="6B322C0E" w:rsidR="00240DBE" w:rsidRPr="00796736" w:rsidRDefault="00C454BF" w:rsidP="00A802A5">
      <w:pPr>
        <w:pStyle w:val="Undertitel"/>
      </w:pPr>
      <w:bookmarkStart w:id="1920" w:name="_Toc232109355"/>
      <w:bookmarkStart w:id="1921" w:name="_Toc244879319"/>
      <w:bookmarkStart w:id="1922" w:name="_Toc244880844"/>
      <w:r w:rsidRPr="00796736">
        <w:t xml:space="preserve">Til </w:t>
      </w:r>
      <w:r w:rsidR="006719DB" w:rsidRPr="00796736">
        <w:fldChar w:fldCharType="begin"/>
      </w:r>
      <w:r w:rsidR="006719DB" w:rsidRPr="00796736">
        <w:instrText xml:space="preserve"> REF _Ref232596008 \r \h </w:instrText>
      </w:r>
      <w:r w:rsidR="00967618" w:rsidRPr="00796736">
        <w:instrText xml:space="preserve"> \* MERGEFORMAT </w:instrText>
      </w:r>
      <w:r w:rsidR="006719DB" w:rsidRPr="00796736">
        <w:fldChar w:fldCharType="separate"/>
      </w:r>
      <w:r w:rsidR="008F29E5">
        <w:t>§ 23</w:t>
      </w:r>
      <w:bookmarkEnd w:id="1921"/>
      <w:bookmarkEnd w:id="1922"/>
      <w:r w:rsidR="006719DB" w:rsidRPr="00796736">
        <w:fldChar w:fldCharType="end"/>
      </w:r>
      <w:r w:rsidR="00240DBE" w:rsidRPr="00796736">
        <w:t xml:space="preserve"> </w:t>
      </w:r>
      <w:bookmarkEnd w:id="1920"/>
    </w:p>
    <w:p w14:paraId="4FE611A9" w14:textId="77777777"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Hvidvasksekretariatets mulighed for at give feedback til forpligtede enheder er reguleret i hvidvasklovens § 29, stk. 5 og 6, samt FIU-cirkulærets § 3.</w:t>
      </w:r>
    </w:p>
    <w:p w14:paraId="4840555D" w14:textId="77777777" w:rsidR="00240DBE" w:rsidRPr="00796736" w:rsidRDefault="00240DBE" w:rsidP="00A802A5">
      <w:pPr>
        <w:spacing w:line="360" w:lineRule="auto"/>
        <w:rPr>
          <w:rFonts w:ascii="Times New Roman" w:hAnsi="Times New Roman" w:cs="Times New Roman"/>
          <w:sz w:val="24"/>
          <w:szCs w:val="24"/>
        </w:rPr>
      </w:pPr>
    </w:p>
    <w:p w14:paraId="57D56EB2" w14:textId="7223FC22"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beskrivelse af gældende ret henvises til pkt. </w:t>
      </w:r>
      <w:r w:rsidR="0000180D" w:rsidRPr="00796736">
        <w:rPr>
          <w:rFonts w:ascii="Times New Roman" w:hAnsi="Times New Roman" w:cs="Times New Roman"/>
          <w:sz w:val="24"/>
          <w:szCs w:val="24"/>
        </w:rPr>
        <w:fldChar w:fldCharType="begin"/>
      </w:r>
      <w:r w:rsidR="0000180D" w:rsidRPr="00796736">
        <w:rPr>
          <w:rFonts w:ascii="Times New Roman" w:hAnsi="Times New Roman" w:cs="Times New Roman"/>
          <w:sz w:val="24"/>
          <w:szCs w:val="24"/>
        </w:rPr>
        <w:instrText xml:space="preserve"> REF _Ref232943553 \n \h </w:instrText>
      </w:r>
      <w:r w:rsidR="00967618" w:rsidRPr="00796736">
        <w:rPr>
          <w:rFonts w:ascii="Times New Roman" w:hAnsi="Times New Roman" w:cs="Times New Roman"/>
          <w:sz w:val="24"/>
          <w:szCs w:val="24"/>
        </w:rPr>
        <w:instrText xml:space="preserve"> \* MERGEFORMAT </w:instrText>
      </w:r>
      <w:r w:rsidR="0000180D" w:rsidRPr="00796736">
        <w:rPr>
          <w:rFonts w:ascii="Times New Roman" w:hAnsi="Times New Roman" w:cs="Times New Roman"/>
          <w:sz w:val="24"/>
          <w:szCs w:val="24"/>
        </w:rPr>
      </w:r>
      <w:r w:rsidR="0000180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3.22.1</w:t>
      </w:r>
      <w:r w:rsidR="0000180D" w:rsidRPr="00796736">
        <w:rPr>
          <w:rFonts w:ascii="Times New Roman" w:hAnsi="Times New Roman" w:cs="Times New Roman"/>
          <w:sz w:val="24"/>
          <w:szCs w:val="24"/>
        </w:rPr>
        <w:fldChar w:fldCharType="end"/>
      </w:r>
      <w:r w:rsidR="0000180D"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22599A9B" w14:textId="77777777" w:rsidR="0050440D" w:rsidRPr="00796736" w:rsidRDefault="0050440D" w:rsidP="00A802A5">
      <w:pPr>
        <w:spacing w:line="360" w:lineRule="auto"/>
        <w:rPr>
          <w:rFonts w:ascii="Times New Roman" w:hAnsi="Times New Roman" w:cs="Times New Roman"/>
          <w:sz w:val="24"/>
          <w:szCs w:val="24"/>
        </w:rPr>
      </w:pPr>
    </w:p>
    <w:p w14:paraId="320491A2" w14:textId="528C1907"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0000180D" w:rsidRPr="00796736">
        <w:rPr>
          <w:rFonts w:ascii="Times New Roman" w:hAnsi="Times New Roman" w:cs="Times New Roman"/>
          <w:i/>
          <w:iCs/>
          <w:sz w:val="24"/>
          <w:szCs w:val="24"/>
        </w:rPr>
        <w:fldChar w:fldCharType="begin"/>
      </w:r>
      <w:r w:rsidR="0000180D" w:rsidRPr="00796736">
        <w:rPr>
          <w:rFonts w:ascii="Times New Roman" w:hAnsi="Times New Roman" w:cs="Times New Roman"/>
          <w:i/>
          <w:iCs/>
          <w:sz w:val="24"/>
          <w:szCs w:val="24"/>
        </w:rPr>
        <w:instrText xml:space="preserve"> REF _Ref232596008 \r \h  \* MERGEFORMAT </w:instrText>
      </w:r>
      <w:r w:rsidR="0000180D" w:rsidRPr="00796736">
        <w:rPr>
          <w:rFonts w:ascii="Times New Roman" w:hAnsi="Times New Roman" w:cs="Times New Roman"/>
          <w:i/>
          <w:iCs/>
          <w:sz w:val="24"/>
          <w:szCs w:val="24"/>
        </w:rPr>
      </w:r>
      <w:r w:rsidR="0000180D"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23</w:t>
      </w:r>
      <w:r w:rsidR="0000180D"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w:t>
      </w:r>
      <w:r w:rsidR="008D60CC" w:rsidRPr="00796736">
        <w:rPr>
          <w:rFonts w:ascii="Times New Roman" w:hAnsi="Times New Roman" w:cs="Times New Roman"/>
          <w:sz w:val="24"/>
          <w:szCs w:val="24"/>
        </w:rPr>
        <w:t xml:space="preserve">at Hvidvasksekretariatet i relevant omfang, dog minimum én gang årligt, skal give </w:t>
      </w:r>
      <w:r w:rsidR="008D60CC">
        <w:rPr>
          <w:rFonts w:ascii="Times New Roman" w:hAnsi="Times New Roman" w:cs="Times New Roman"/>
          <w:sz w:val="24"/>
          <w:szCs w:val="24"/>
        </w:rPr>
        <w:t>virksomheder og personer omfattet af loven</w:t>
      </w:r>
      <w:r w:rsidR="008D60CC" w:rsidRPr="00796736">
        <w:rPr>
          <w:rFonts w:ascii="Times New Roman" w:hAnsi="Times New Roman" w:cs="Times New Roman"/>
          <w:sz w:val="24"/>
          <w:szCs w:val="24"/>
        </w:rPr>
        <w:t xml:space="preserve"> feedback om indberetning af mistanke i henhold til artikel 69 i hvidvaskforordningen. Feedbacken gives til den enkelte </w:t>
      </w:r>
      <w:r w:rsidR="008D60CC">
        <w:rPr>
          <w:rFonts w:ascii="Times New Roman" w:hAnsi="Times New Roman" w:cs="Times New Roman"/>
          <w:sz w:val="24"/>
          <w:szCs w:val="24"/>
        </w:rPr>
        <w:t>virksomhed eller person</w:t>
      </w:r>
      <w:r w:rsidR="008D60CC" w:rsidRPr="00796736">
        <w:rPr>
          <w:rFonts w:ascii="Times New Roman" w:hAnsi="Times New Roman" w:cs="Times New Roman"/>
          <w:sz w:val="24"/>
          <w:szCs w:val="24"/>
        </w:rPr>
        <w:t xml:space="preserve"> eller til koncerner eller kategorier af </w:t>
      </w:r>
      <w:r w:rsidR="008D60CC">
        <w:rPr>
          <w:rFonts w:ascii="Times New Roman" w:hAnsi="Times New Roman" w:cs="Times New Roman"/>
          <w:sz w:val="24"/>
          <w:szCs w:val="24"/>
        </w:rPr>
        <w:t>virksomheder og personer</w:t>
      </w:r>
      <w:r w:rsidR="008D60CC" w:rsidRPr="00796736">
        <w:rPr>
          <w:rFonts w:ascii="Times New Roman" w:hAnsi="Times New Roman" w:cs="Times New Roman"/>
          <w:sz w:val="24"/>
          <w:szCs w:val="24"/>
        </w:rPr>
        <w:t xml:space="preserve"> under hensyntagen til det samlede antal mistænkelige transaktioner, som indberettes af de </w:t>
      </w:r>
      <w:r w:rsidR="008D60CC">
        <w:rPr>
          <w:rFonts w:ascii="Times New Roman" w:hAnsi="Times New Roman" w:cs="Times New Roman"/>
          <w:sz w:val="24"/>
          <w:szCs w:val="24"/>
        </w:rPr>
        <w:t>pågældende</w:t>
      </w:r>
      <w:r w:rsidR="008D60CC" w:rsidRPr="00796736">
        <w:rPr>
          <w:rFonts w:ascii="Times New Roman" w:hAnsi="Times New Roman" w:cs="Times New Roman"/>
          <w:sz w:val="24"/>
          <w:szCs w:val="24"/>
        </w:rPr>
        <w:t>.</w:t>
      </w:r>
    </w:p>
    <w:p w14:paraId="701F7EA2" w14:textId="77777777" w:rsidR="0050440D" w:rsidRPr="00796736" w:rsidRDefault="0050440D" w:rsidP="00A802A5">
      <w:pPr>
        <w:spacing w:line="360" w:lineRule="auto"/>
        <w:rPr>
          <w:rFonts w:ascii="Times New Roman" w:hAnsi="Times New Roman" w:cs="Times New Roman"/>
          <w:sz w:val="24"/>
          <w:szCs w:val="24"/>
        </w:rPr>
      </w:pPr>
    </w:p>
    <w:p w14:paraId="1BF7E6CE" w14:textId="6364DFEC"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_Ref232596031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2F74E7" w:rsidRPr="00796736">
        <w:rPr>
          <w:rFonts w:ascii="Times New Roman" w:hAnsi="Times New Roman" w:cs="Times New Roman"/>
          <w:sz w:val="24"/>
          <w:szCs w:val="24"/>
        </w:rPr>
        <w:t xml:space="preserve">lægges der op til at fastsætte regler om Hvidvasksekretariatets forpligtelse til årligt og i relevant omfang at give feedback til </w:t>
      </w:r>
      <w:r w:rsidR="002F74E7">
        <w:rPr>
          <w:rFonts w:ascii="Times New Roman" w:hAnsi="Times New Roman" w:cs="Times New Roman"/>
          <w:sz w:val="24"/>
          <w:szCs w:val="24"/>
        </w:rPr>
        <w:t>virksomheder og personer omfattet af loven</w:t>
      </w:r>
      <w:r w:rsidR="002F74E7" w:rsidRPr="00796736">
        <w:rPr>
          <w:rFonts w:ascii="Times New Roman" w:hAnsi="Times New Roman" w:cs="Times New Roman"/>
          <w:sz w:val="24"/>
          <w:szCs w:val="24"/>
        </w:rPr>
        <w:t xml:space="preserve"> om underretninger om mistænkelige transaktioner indberettet af de </w:t>
      </w:r>
      <w:r w:rsidR="002F74E7">
        <w:rPr>
          <w:rFonts w:ascii="Times New Roman" w:hAnsi="Times New Roman" w:cs="Times New Roman"/>
          <w:sz w:val="24"/>
          <w:szCs w:val="24"/>
        </w:rPr>
        <w:t>pågældende</w:t>
      </w:r>
      <w:r w:rsidR="002F74E7" w:rsidRPr="00796736">
        <w:rPr>
          <w:rFonts w:ascii="Times New Roman" w:hAnsi="Times New Roman" w:cs="Times New Roman"/>
          <w:sz w:val="24"/>
          <w:szCs w:val="24"/>
        </w:rPr>
        <w:t xml:space="preserve">, samt at dele denne feedback og statistik med visse myndigheder og organer.  </w:t>
      </w:r>
    </w:p>
    <w:p w14:paraId="7453CE10" w14:textId="77777777" w:rsidR="00240DBE" w:rsidRPr="00796736" w:rsidRDefault="00240DBE" w:rsidP="00A802A5">
      <w:pPr>
        <w:spacing w:line="360" w:lineRule="auto"/>
        <w:rPr>
          <w:rFonts w:ascii="Times New Roman" w:hAnsi="Times New Roman" w:cs="Times New Roman"/>
          <w:sz w:val="24"/>
          <w:szCs w:val="24"/>
        </w:rPr>
      </w:pPr>
    </w:p>
    <w:p w14:paraId="4E153053" w14:textId="77777777"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skal ses i lyset af, at det af hvidvaskdirektivets præambelbetragtning nr. 74 bl.a. fremgår, at feedback kan gives til individuelle forpligtede enheder eller koncerner af forpligtede enheder og bør sigte mod yderligere at forbedre de forpligtede enheders evne til at opdage og identificere mistænkelige transaktioner og aktiviteter, forbedre kvaliteten af rapporter om mistænkelige transaktioner, forbedre de overordnede indberetningsmekanismer og give forpligtede enheder vigtig indsigt i tendenser, typologier og risici i forbindelse med hvidvask af penge, de underliggende lovovertrædelser og finansiering af terrorisme. Ved fastlæggelsen af typen og hyppigheden af feedback bør FIU’erne så vidt muligt tage hensyn til områder, hvor der kunne være behov for forbedringer i indberetningsaktiviteterne. Hvis dette ikke vil bringe det analytiske eller efterforskningsmæssige arbejde i fare, kunne FIU’erne overveje at give feedback om anvendelsen eller resultatet af rapporter om mistænkelige transaktioner, enten om individuelle indberetninger eller på en aggregeret måde.</w:t>
      </w:r>
    </w:p>
    <w:p w14:paraId="1DEBCB61" w14:textId="77777777" w:rsidR="00240DBE" w:rsidRPr="00796736" w:rsidRDefault="00240DBE" w:rsidP="00A802A5">
      <w:pPr>
        <w:spacing w:line="360" w:lineRule="auto"/>
        <w:rPr>
          <w:rFonts w:ascii="Times New Roman" w:hAnsi="Times New Roman" w:cs="Times New Roman"/>
          <w:sz w:val="24"/>
          <w:szCs w:val="24"/>
        </w:rPr>
      </w:pPr>
    </w:p>
    <w:p w14:paraId="273C95C9" w14:textId="77777777" w:rsidR="00E842B1" w:rsidRPr="00796736" w:rsidRDefault="00E842B1" w:rsidP="00E842B1">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 vil på baggrund af den foreslåede bestemmelse være i stand til at fastlægge feedbackens type og hyppighed på en måde der sikrer, at fokus kan rettes mod de områder, hvor der kunne være behov for forbedringer i indberetningsaktiviteterne. Feedbacken efter den foreslåede bestemmelse vil skulle gives i relevant omfang, hvilket indebærer, at forpligtelsen ikke omfatter hver enkelt underretning, der indgives af forpligtede enheder. Feedbacken vil dog overfor enten den enkelte </w:t>
      </w:r>
      <w:r>
        <w:rPr>
          <w:rFonts w:ascii="Times New Roman" w:hAnsi="Times New Roman" w:cs="Times New Roman"/>
          <w:sz w:val="24"/>
          <w:szCs w:val="24"/>
        </w:rPr>
        <w:t>virksomhed eller person</w:t>
      </w:r>
      <w:r w:rsidRPr="00796736">
        <w:rPr>
          <w:rFonts w:ascii="Times New Roman" w:hAnsi="Times New Roman" w:cs="Times New Roman"/>
          <w:sz w:val="24"/>
          <w:szCs w:val="24"/>
        </w:rPr>
        <w:t>, koncern elle kategori af forpligtede enheder skulle ske minimum én gang om året.</w:t>
      </w:r>
    </w:p>
    <w:p w14:paraId="6836B1A2" w14:textId="77777777" w:rsidR="006727B9" w:rsidRPr="00796736" w:rsidRDefault="006727B9" w:rsidP="006727B9">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Til forskel fra hvidvasklovens § 29, stk. 5, og FIU-cirkulærets § 3, hvorefter der ikke er krav om, hvor ofte feedback mindst skal gives, men blot at det skal gives så vidt muligt, vil Hvidvasksekretariatet med den foreslåede bestemmelse være forpligtet til at give feedback mindst én gang årligt. Hvidvasksekretariatet kan under hensyntagen til det samlede antal mistænkelige transaktioner, som </w:t>
      </w:r>
      <w:r>
        <w:rPr>
          <w:rFonts w:ascii="Times New Roman" w:hAnsi="Times New Roman" w:cs="Times New Roman"/>
          <w:sz w:val="24"/>
          <w:szCs w:val="24"/>
        </w:rPr>
        <w:t>underrettes</w:t>
      </w:r>
      <w:r w:rsidRPr="00796736">
        <w:rPr>
          <w:rFonts w:ascii="Times New Roman" w:hAnsi="Times New Roman" w:cs="Times New Roman"/>
          <w:sz w:val="24"/>
          <w:szCs w:val="24"/>
        </w:rPr>
        <w:t xml:space="preserve">, selv beslutte, om feedback skal gives til den enkelte </w:t>
      </w:r>
      <w:r>
        <w:rPr>
          <w:rFonts w:ascii="Times New Roman" w:hAnsi="Times New Roman" w:cs="Times New Roman"/>
          <w:sz w:val="24"/>
          <w:szCs w:val="24"/>
        </w:rPr>
        <w:t>virksomhed eller person</w:t>
      </w:r>
      <w:r w:rsidRPr="00796736">
        <w:rPr>
          <w:rFonts w:ascii="Times New Roman" w:hAnsi="Times New Roman" w:cs="Times New Roman"/>
          <w:sz w:val="24"/>
          <w:szCs w:val="24"/>
        </w:rPr>
        <w:t xml:space="preserve"> eller til koncerner eller kategorier af </w:t>
      </w:r>
      <w:r>
        <w:rPr>
          <w:rFonts w:ascii="Times New Roman" w:hAnsi="Times New Roman" w:cs="Times New Roman"/>
          <w:sz w:val="24"/>
          <w:szCs w:val="24"/>
        </w:rPr>
        <w:t>virksomheder eller personer</w:t>
      </w:r>
      <w:r w:rsidRPr="00796736">
        <w:rPr>
          <w:rFonts w:ascii="Times New Roman" w:hAnsi="Times New Roman" w:cs="Times New Roman"/>
          <w:sz w:val="24"/>
          <w:szCs w:val="24"/>
        </w:rPr>
        <w:t xml:space="preserve"> samlet. </w:t>
      </w:r>
    </w:p>
    <w:p w14:paraId="132A8450" w14:textId="77777777" w:rsidR="0045172F" w:rsidRPr="00796736" w:rsidRDefault="0045172F" w:rsidP="0045172F">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ligger ikke i bestemmelsen et krav om, at der skal gives feedback vedrørende hver enkelt </w:t>
      </w:r>
      <w:r>
        <w:rPr>
          <w:rFonts w:ascii="Times New Roman" w:hAnsi="Times New Roman" w:cs="Times New Roman"/>
          <w:sz w:val="24"/>
          <w:szCs w:val="24"/>
        </w:rPr>
        <w:t>underretning</w:t>
      </w:r>
      <w:r w:rsidRPr="00796736">
        <w:rPr>
          <w:rFonts w:ascii="Times New Roman" w:hAnsi="Times New Roman" w:cs="Times New Roman"/>
          <w:sz w:val="24"/>
          <w:szCs w:val="24"/>
        </w:rPr>
        <w:t xml:space="preserve">, der indgives af </w:t>
      </w:r>
      <w:r>
        <w:rPr>
          <w:rFonts w:ascii="Times New Roman" w:hAnsi="Times New Roman" w:cs="Times New Roman"/>
          <w:sz w:val="24"/>
          <w:szCs w:val="24"/>
        </w:rPr>
        <w:t>omfattede virksomheder eller personer</w:t>
      </w:r>
      <w:r w:rsidRPr="00796736">
        <w:rPr>
          <w:rFonts w:ascii="Times New Roman" w:hAnsi="Times New Roman" w:cs="Times New Roman"/>
          <w:sz w:val="24"/>
          <w:szCs w:val="24"/>
        </w:rPr>
        <w:t xml:space="preserve">. Hvidvasksekretariatet kan således give tilbagemelding på såvel konkrete underretninger som generelt om kvalitet og omfang af underretninger fra en virksomhed, person eller myndighed. </w:t>
      </w:r>
    </w:p>
    <w:p w14:paraId="7622668A" w14:textId="4E29162E"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vurderingen af hvorvidt der i det enkelte tilfælde bør gives en tilbagemelding på en konkret underretning, vil der i overensstemmelse med gældende ret skulle indgå en afvejning af på den ene side hensynet til den person, der er indgivet underretning om, og på den anden side den underrettendes behov for tilbagemelding. I afvejningen indgår, om den underrettende har tavshedspligt og har et egentligt kundeforhold til den pågældende, ligesom det kan indgå, om den underrettende er underlagt særlige etiske regler. </w:t>
      </w:r>
      <w:r w:rsidR="0050440D" w:rsidRPr="00796736">
        <w:rPr>
          <w:rFonts w:ascii="Times New Roman" w:hAnsi="Times New Roman" w:cs="Times New Roman"/>
          <w:sz w:val="24"/>
          <w:szCs w:val="24"/>
        </w:rPr>
        <w:t>Feedback</w:t>
      </w:r>
      <w:r w:rsidRPr="00796736">
        <w:rPr>
          <w:rFonts w:ascii="Times New Roman" w:hAnsi="Times New Roman" w:cs="Times New Roman"/>
          <w:sz w:val="24"/>
          <w:szCs w:val="24"/>
        </w:rPr>
        <w:t xml:space="preserve"> kan også gives, såfremt det vurderes, at dette kan forebygge eller standse kriminalitet rettet mod den underrettende. Specifik tilbagemelding kan således især være aktuelt i den finansielle sektor og andre erhverv med tavshedspligt og etiske krav, hvorimod det på andre områder i vidt omfang vil være tilstrækkeligt at orientere neutralt om eksempler på hvidvaskunderretninger og afgørelser. </w:t>
      </w:r>
      <w:r w:rsidR="0050440D" w:rsidRPr="00796736">
        <w:rPr>
          <w:rFonts w:ascii="Times New Roman" w:hAnsi="Times New Roman" w:cs="Times New Roman"/>
          <w:sz w:val="24"/>
          <w:szCs w:val="24"/>
        </w:rPr>
        <w:t>Dette svarer til vurderingen efter den gældende bestemmelse i hvidvasklovens § 29, stk. 5, jf. Folketingstidende 2016-17, tillæg A, L 41 som fremsat, side 132. Hvor det vurderes, at der ikke er behov for en konkret tilbagemelding, skal feedback gives i aggregeret eller opsummeret form i overensstemmelse med databeskyttelsesreglerne og regler om fortrolighed, jf. også nedenfor under bemærkningerne til bestemmelsens stk. 3 og 5. Hvidvasksekretariatet vil endvidere kunne lægge vægt på omfanget af underretninger, således at der ved en forpligtet enhed eller branche, som foretager et betydeligt antal underretninger, vil kunne gives feedback af mere overordnet karakter.</w:t>
      </w:r>
    </w:p>
    <w:p w14:paraId="72410903" w14:textId="77777777" w:rsidR="0055217A" w:rsidRPr="00796736" w:rsidRDefault="0055217A" w:rsidP="0055217A">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Hvor feedback gives til den enkelte </w:t>
      </w:r>
      <w:r>
        <w:rPr>
          <w:rFonts w:ascii="Times New Roman" w:hAnsi="Times New Roman" w:cs="Times New Roman"/>
          <w:sz w:val="24"/>
          <w:szCs w:val="24"/>
        </w:rPr>
        <w:t>virksomhed eller person</w:t>
      </w:r>
      <w:r w:rsidRPr="00796736">
        <w:rPr>
          <w:rFonts w:ascii="Times New Roman" w:hAnsi="Times New Roman" w:cs="Times New Roman"/>
          <w:sz w:val="24"/>
          <w:szCs w:val="24"/>
        </w:rPr>
        <w:t xml:space="preserve">, skal udtrykket i overensstemmelse med gældende ret forstås bredt, idet det ofte er en person i ledelsen af </w:t>
      </w:r>
      <w:r>
        <w:rPr>
          <w:rFonts w:ascii="Times New Roman" w:hAnsi="Times New Roman" w:cs="Times New Roman"/>
          <w:sz w:val="24"/>
          <w:szCs w:val="24"/>
        </w:rPr>
        <w:t>virksomheden</w:t>
      </w:r>
      <w:r w:rsidRPr="00796736">
        <w:rPr>
          <w:rFonts w:ascii="Times New Roman" w:hAnsi="Times New Roman" w:cs="Times New Roman"/>
          <w:sz w:val="24"/>
          <w:szCs w:val="24"/>
        </w:rPr>
        <w:t>, der formelt står for underretning på baggrund af oplysninger fra ansatte i virksomheden. Begrebet omfatter alle personer, der har været et led i underretningskæden.</w:t>
      </w:r>
    </w:p>
    <w:p w14:paraId="698B053A"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en underretning i overensstemmelse med gældende ret er en information til Hvidvasksekretariatet og har ikke karakter af en anmeldelse til politiet. Dette betyder blandt andet, at § 724 i retsplejeloven om tilbagemelding til anmeldere ikke finder anvendelse i forbindelse med underretning. </w:t>
      </w:r>
    </w:p>
    <w:p w14:paraId="46843EA4" w14:textId="77777777" w:rsidR="00240DBE" w:rsidRPr="00796736" w:rsidRDefault="00240DBE" w:rsidP="00A802A5">
      <w:pPr>
        <w:spacing w:line="360" w:lineRule="auto"/>
        <w:rPr>
          <w:rFonts w:ascii="Times New Roman" w:hAnsi="Times New Roman" w:cs="Times New Roman"/>
          <w:sz w:val="24"/>
          <w:szCs w:val="24"/>
        </w:rPr>
      </w:pPr>
    </w:p>
    <w:p w14:paraId="5A63FB0F" w14:textId="68819CD4"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feedbacken efter stk. 1 som minimum skal omfatte kvaliteten af de oplysninger, der gives, </w:t>
      </w:r>
      <w:r w:rsidR="00EB57D1">
        <w:rPr>
          <w:rFonts w:ascii="Times New Roman" w:hAnsi="Times New Roman" w:cs="Times New Roman"/>
          <w:sz w:val="24"/>
          <w:szCs w:val="24"/>
        </w:rPr>
        <w:t>underretningens</w:t>
      </w:r>
      <w:r w:rsidRPr="00796736">
        <w:rPr>
          <w:rFonts w:ascii="Times New Roman" w:hAnsi="Times New Roman" w:cs="Times New Roman"/>
          <w:sz w:val="24"/>
          <w:szCs w:val="24"/>
        </w:rPr>
        <w:t xml:space="preserve"> rettidighed, beskrivelsen af mistanken og den dokumentation, der er fremlagt i indgivelsesfasen. </w:t>
      </w:r>
    </w:p>
    <w:p w14:paraId="0809973B" w14:textId="77777777" w:rsidR="0050440D" w:rsidRPr="00796736" w:rsidRDefault="0050440D" w:rsidP="00A802A5">
      <w:pPr>
        <w:spacing w:line="360" w:lineRule="auto"/>
        <w:rPr>
          <w:rFonts w:ascii="Times New Roman" w:hAnsi="Times New Roman" w:cs="Times New Roman"/>
          <w:sz w:val="24"/>
          <w:szCs w:val="24"/>
        </w:rPr>
      </w:pPr>
    </w:p>
    <w:p w14:paraId="4777CC97"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regulerer indholdet af den feedback, som Hvidvasksekretariatet vælger at afgive. Bestemmelsen finder således anvendelse i det omfang Hvidvasksekretariatet efter stk. 1 afgiver feedback, og ændrer ikke på, at det efter den foreslåede stk. 1 ikke vil være et krav, at Hvidvasksekretariatets feedbackforpligtelse omfatter hver enkelt underretning. </w:t>
      </w:r>
    </w:p>
    <w:p w14:paraId="48A3545A" w14:textId="77777777" w:rsidR="00240DBE" w:rsidRPr="00796736" w:rsidRDefault="00240DBE" w:rsidP="00A802A5">
      <w:pPr>
        <w:spacing w:line="360" w:lineRule="auto"/>
        <w:rPr>
          <w:rFonts w:ascii="Times New Roman" w:hAnsi="Times New Roman" w:cs="Times New Roman"/>
          <w:sz w:val="24"/>
          <w:szCs w:val="24"/>
        </w:rPr>
      </w:pPr>
    </w:p>
    <w:p w14:paraId="3CE7DBBC" w14:textId="313B0199"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Hvor det efter FIU-cirkulærets § 3 fremgår, at der så vidt muligt skal gives feedback vedrørende anvendeligheden af og opfølgningen på underretninger om mistanke om hvidvask og finansiering af terrorisme, vil feedbacken efter den foreslåede</w:t>
      </w:r>
      <w:r w:rsidR="0050440D" w:rsidRPr="00796736">
        <w:rPr>
          <w:rFonts w:ascii="Times New Roman" w:hAnsi="Times New Roman" w:cs="Times New Roman"/>
          <w:sz w:val="24"/>
          <w:szCs w:val="24"/>
        </w:rPr>
        <w:t xml:space="preserve"> bestemmelse altid</w:t>
      </w:r>
      <w:r w:rsidRPr="00796736">
        <w:rPr>
          <w:rFonts w:ascii="Times New Roman" w:hAnsi="Times New Roman" w:cs="Times New Roman"/>
          <w:sz w:val="24"/>
          <w:szCs w:val="24"/>
        </w:rPr>
        <w:t xml:space="preserve"> skulle omfatte mindst kvaliteten af de oplysninger, der gives, indberetningens rettidighed, beskrivelsen af mistanken og den dokumentation, der er fremlagt i indgivelsesfasen. Det vil som efter hvidvasklovens § 29, stk. 5, fortsat være muligt, men ikke påkrævet, at Hvidvasksekretariatet giver en status i sagen, herunder om der er rejst sigtelse, om der foreligger endelig afgørelse, eller om sagen er henlagt. Hvor det f.eks. af hensyn til den interne undervisning og virksomhedens eller personens mulighed for at optimere risikovurdering, procedurer m.v. vil være hensigtsmæssigt, at give en tilbagemelding om endelig afgørelse, navnlig hvor dommens indhold er særligt oplysende omkring udbytte og hvidvask, sker i form af en dom eller en domsekstrakt, vil dette således i overensstemmelse med gældende ret fortsat være muligt. </w:t>
      </w:r>
    </w:p>
    <w:p w14:paraId="25E58960" w14:textId="2E3CD29F"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Selvom der kan tænkes situationer, hvor det kan have betydning for vurderingen af et kundeforhold at få mere detaljerede oplysninger om sigtelsen, skønnes der i overensstemmelse med gældende ret ikke generelt at være et behov for, at det skal være et almindeligt led i tilbagemeldingen. Hensynet til den mistænkte eller sigtede taler imod en detaljeret tilbagemelding. En sådan tilbagemelding bør derfor være en absolut undtagelse, der især kan være aktuel, hvor der er tale om meget små forhold, eller hvor den aktuelle kriminalitet vedrører bedrageri over for pengeinstitutter og lignende. Uden for disse situationer vurderes det at være tilstrækkeligt, at der så vidt muligt gives oplysning om, hvorvidt der er mistanke om f.eks. narkotikakriminalitet, økonomisk kriminalitet eller eventuel anden form for kriminalitet.  Dette svarer til vurderingen efter den gældende bestemmelse i hvidvasklovens § 29, stk. 5, jf. Folketingstidende 2016-17, tillæg A, L 41 som fremsat, side 131. </w:t>
      </w:r>
      <w:r w:rsidR="0050440D" w:rsidRPr="00796736">
        <w:rPr>
          <w:rFonts w:ascii="Times New Roman" w:hAnsi="Times New Roman" w:cs="Times New Roman"/>
          <w:sz w:val="24"/>
          <w:szCs w:val="24"/>
        </w:rPr>
        <w:t>Det bemærkes, at det fortsat vil være udgangspunktet, at Hvidvasksekretariatet ikke i forbindelse med sin feedback angiver, hvad underretningen har ført til. I det omfang Hvidvasksekretariatet alligevel vælger at gøre dette, kan sådanne oplysninger begrænses til karakteren af den underliggende kriminalitet.</w:t>
      </w:r>
    </w:p>
    <w:p w14:paraId="13EC2023" w14:textId="77777777" w:rsidR="0095771F" w:rsidRPr="00796736" w:rsidRDefault="0095771F" w:rsidP="0095771F">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3</w:t>
      </w:r>
      <w:r w:rsidRPr="00633CE2">
        <w:rPr>
          <w:rFonts w:ascii="Times New Roman" w:hAnsi="Times New Roman" w:cs="Times New Roman"/>
          <w:i/>
          <w:iCs/>
          <w:sz w:val="24"/>
          <w:szCs w:val="24"/>
        </w:rPr>
        <w:t>,</w:t>
      </w:r>
      <w:r w:rsidRPr="00796736">
        <w:rPr>
          <w:rFonts w:ascii="Times New Roman" w:hAnsi="Times New Roman" w:cs="Times New Roman"/>
          <w:sz w:val="24"/>
          <w:szCs w:val="24"/>
        </w:rPr>
        <w:t xml:space="preserve"> at Hvidvasksekretariatet stiller feedbacken efter stk. 1 til rådighed for tilsynsorganerne, så de kan udføre risikobaseret tilsyn i overensstemmelse med denne lov. </w:t>
      </w:r>
    </w:p>
    <w:p w14:paraId="691F8B85" w14:textId="77777777" w:rsidR="00240DBE" w:rsidRPr="00796736" w:rsidRDefault="00240DBE" w:rsidP="00A802A5">
      <w:pPr>
        <w:spacing w:line="360" w:lineRule="auto"/>
        <w:rPr>
          <w:rFonts w:ascii="Times New Roman" w:hAnsi="Times New Roman" w:cs="Times New Roman"/>
          <w:sz w:val="24"/>
          <w:szCs w:val="24"/>
        </w:rPr>
      </w:pPr>
    </w:p>
    <w:p w14:paraId="7A384D72" w14:textId="521C093B"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vil skulle stille feedback til rådighed for tilsynsorganerne, så de kan udføre risikobaseret tilsyn. Også efter hvidvasklovens § 29, stk. 5, kan der i dag gives tilbagemelding til de underrettende offentlige myndigheder, som har foretaget underretningen efter </w:t>
      </w:r>
      <w:r w:rsidR="003F06C7" w:rsidRPr="00796736">
        <w:rPr>
          <w:rFonts w:ascii="Times New Roman" w:hAnsi="Times New Roman" w:cs="Times New Roman"/>
          <w:sz w:val="24"/>
          <w:szCs w:val="24"/>
        </w:rPr>
        <w:t>lovens § 28</w:t>
      </w:r>
      <w:r w:rsidRPr="00796736">
        <w:rPr>
          <w:rFonts w:ascii="Times New Roman" w:hAnsi="Times New Roman" w:cs="Times New Roman"/>
          <w:sz w:val="24"/>
          <w:szCs w:val="24"/>
        </w:rPr>
        <w:t xml:space="preserve">. Efter den foreslåede bestemmelse, vil Hvidvasksekretariatet dog have en pligt til at stille feedbacken til rådighed i det omfang det er nødvendigt for, at de kan udføre risikobaseret tilsyn. </w:t>
      </w:r>
    </w:p>
    <w:p w14:paraId="5D001057" w14:textId="77777777" w:rsidR="00240DBE" w:rsidRPr="00796736" w:rsidRDefault="00240DBE" w:rsidP="00A802A5">
      <w:pPr>
        <w:spacing w:line="360" w:lineRule="auto"/>
        <w:rPr>
          <w:rFonts w:ascii="Times New Roman" w:hAnsi="Times New Roman" w:cs="Times New Roman"/>
          <w:sz w:val="24"/>
          <w:szCs w:val="24"/>
        </w:rPr>
      </w:pPr>
    </w:p>
    <w:p w14:paraId="4F3AFD21" w14:textId="6FB40A2F"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»tilsynsorganer« efter bestemmelsen, forstås efter definitionen i hvidvaskforordningens artikel 2, nr. 45, det organ, som har fået overdraget ansvarsområder med henblik på at sikre forpligtede enheders overholdelse af</w:t>
      </w:r>
      <w:r w:rsidR="00C62376" w:rsidRPr="00796736">
        <w:rPr>
          <w:rFonts w:ascii="Times New Roman" w:hAnsi="Times New Roman" w:cs="Times New Roman"/>
          <w:sz w:val="24"/>
          <w:szCs w:val="24"/>
        </w:rPr>
        <w:t xml:space="preserve"> k</w:t>
      </w:r>
      <w:r w:rsidRPr="00796736">
        <w:rPr>
          <w:rFonts w:ascii="Times New Roman" w:hAnsi="Times New Roman" w:cs="Times New Roman"/>
          <w:sz w:val="24"/>
          <w:szCs w:val="24"/>
        </w:rPr>
        <w:t>ravene i hvidvaskforordningen, herunder AMLA, når denne udfører de op</w:t>
      </w:r>
      <w:r w:rsidR="00C62376" w:rsidRPr="00796736">
        <w:rPr>
          <w:rFonts w:ascii="Times New Roman" w:hAnsi="Times New Roman" w:cs="Times New Roman"/>
          <w:sz w:val="24"/>
          <w:szCs w:val="24"/>
        </w:rPr>
        <w:t>g</w:t>
      </w:r>
      <w:r w:rsidRPr="00796736">
        <w:rPr>
          <w:rFonts w:ascii="Times New Roman" w:hAnsi="Times New Roman" w:cs="Times New Roman"/>
          <w:sz w:val="24"/>
          <w:szCs w:val="24"/>
        </w:rPr>
        <w:t>aver, som den har fået overdraget i medfør af artikel 5, stk. 2, i AML-forordningen. Ud over AMLA vil det således i dansk kontekst være Finanstilsynet, Erhvervsstyrelsen, Spillemyndigheden og Advokatrådet.</w:t>
      </w:r>
    </w:p>
    <w:p w14:paraId="250DC996" w14:textId="77777777" w:rsidR="00240DBE" w:rsidRPr="00796736" w:rsidRDefault="00240DBE" w:rsidP="00A802A5">
      <w:pPr>
        <w:spacing w:line="360" w:lineRule="auto"/>
        <w:rPr>
          <w:rFonts w:ascii="Times New Roman" w:hAnsi="Times New Roman" w:cs="Times New Roman"/>
          <w:sz w:val="24"/>
          <w:szCs w:val="24"/>
        </w:rPr>
      </w:pPr>
    </w:p>
    <w:p w14:paraId="1A923DC8" w14:textId="77777777" w:rsidR="00346D8A" w:rsidRPr="00796736" w:rsidRDefault="00346D8A" w:rsidP="00346D8A">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4</w:t>
      </w:r>
      <w:r w:rsidRPr="00C76AD8">
        <w:rPr>
          <w:rFonts w:ascii="Times New Roman" w:hAnsi="Times New Roman" w:cs="Times New Roman"/>
          <w:i/>
          <w:iCs/>
          <w:sz w:val="24"/>
          <w:szCs w:val="24"/>
        </w:rPr>
        <w:t>,</w:t>
      </w:r>
      <w:r w:rsidRPr="00796736">
        <w:rPr>
          <w:rFonts w:ascii="Times New Roman" w:hAnsi="Times New Roman" w:cs="Times New Roman"/>
          <w:sz w:val="24"/>
          <w:szCs w:val="24"/>
        </w:rPr>
        <w:t xml:space="preserve"> at Hvidvasksekretariatet årligt rapporterer til AMLA om den feedback, sekretariatet har givet til forpligtede enheder i henhold til denne bestemmelse. Hvidvasksekretariatet forelægger også årligt statistikker over antallet af rapporter af mistænkelige transaktioner indgivet af kategorierne af forpligtede enheder.</w:t>
      </w:r>
    </w:p>
    <w:p w14:paraId="6C749F0A" w14:textId="77777777" w:rsidR="00240DBE" w:rsidRPr="00796736" w:rsidRDefault="00240DBE" w:rsidP="00A802A5">
      <w:pPr>
        <w:spacing w:line="360" w:lineRule="auto"/>
        <w:rPr>
          <w:rFonts w:ascii="Times New Roman" w:hAnsi="Times New Roman" w:cs="Times New Roman"/>
          <w:sz w:val="24"/>
          <w:szCs w:val="24"/>
        </w:rPr>
      </w:pPr>
    </w:p>
    <w:p w14:paraId="51062BE8" w14:textId="77777777"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som er ny, vil indebære, at Hvidvasksekretariatet årligt skal afrapportere til AMLA og forelægge statistikker.  </w:t>
      </w:r>
    </w:p>
    <w:p w14:paraId="74CF450F" w14:textId="77777777" w:rsidR="00240DBE" w:rsidRPr="00796736" w:rsidRDefault="00240DBE" w:rsidP="00A802A5">
      <w:pPr>
        <w:spacing w:line="360" w:lineRule="auto"/>
        <w:rPr>
          <w:rFonts w:ascii="Times New Roman" w:hAnsi="Times New Roman" w:cs="Times New Roman"/>
          <w:sz w:val="24"/>
          <w:szCs w:val="24"/>
        </w:rPr>
      </w:pPr>
    </w:p>
    <w:p w14:paraId="542F5783" w14:textId="77777777" w:rsidR="00BA0F73" w:rsidRPr="00796736" w:rsidRDefault="00BA0F73" w:rsidP="00BA0F73">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5</w:t>
      </w:r>
      <w:r w:rsidRPr="00CB4CBE">
        <w:rPr>
          <w:rFonts w:ascii="Times New Roman" w:hAnsi="Times New Roman" w:cs="Times New Roman"/>
          <w:i/>
          <w:iCs/>
          <w:sz w:val="24"/>
          <w:szCs w:val="24"/>
        </w:rPr>
        <w:t>,</w:t>
      </w:r>
      <w:r w:rsidRPr="00796736">
        <w:rPr>
          <w:rFonts w:ascii="Times New Roman" w:hAnsi="Times New Roman" w:cs="Times New Roman"/>
          <w:sz w:val="24"/>
          <w:szCs w:val="24"/>
        </w:rPr>
        <w:t xml:space="preserve"> at Hvidvasksekretariatets forpligtelse til at give feedback efter stk. 1 ikke må bringe det igangværende analytiske arbejde, der udføres af sekretariatet, eller eventuelle efterforskninger eller administrative foranstaltninger, der er foretaget efter Hvidvasksekretariatets formidling, i fare. Hvidvasksekretariatet skal sikre, at feedbacken gives i overensstemmelse med databeskyttelsesreglerne og regler om fortrolighed. </w:t>
      </w:r>
    </w:p>
    <w:p w14:paraId="6AF4459F" w14:textId="77777777" w:rsidR="00240DBE" w:rsidRPr="00796736" w:rsidRDefault="00240DBE" w:rsidP="00A802A5">
      <w:pPr>
        <w:spacing w:line="360" w:lineRule="auto"/>
        <w:rPr>
          <w:rFonts w:ascii="Times New Roman" w:hAnsi="Times New Roman" w:cs="Times New Roman"/>
          <w:sz w:val="24"/>
          <w:szCs w:val="24"/>
        </w:rPr>
      </w:pPr>
    </w:p>
    <w:p w14:paraId="56D80CD0"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fastsætter en begrænsning af omfanget af Hvidvasksekretariatets feedbackforpligtelse. Som det i dag følger af hvidvasklovens § 29, stk. 5, vil feedback efter den foreslåede bestemmelse fortsat kun skulle gives, hvor efterforskningsmæssige hensyn m.v. ikke taler herimod. Som noget nyt vil det af den foreslåede bestemmelse fremgå, at Hvidvasksekretariatet ved iagttagelsen af sin feedbackforpligtelse vil skulle tage hensyn til, at den ikke bringer det igangværende analytiske arbejde eller administrative foranstaltninger, der er foretaget efter sekretariatets formidling i fare. Det bemærkes, at Hvidvasksekretariatet forinden feedback vil kunne høre den relevante myndighed eller organ, om en feedback vil indebære sådanne konsekvenser for eventuelle efterforskninger eller administrative foranstaltninger.</w:t>
      </w:r>
    </w:p>
    <w:p w14:paraId="111B13EC" w14:textId="77777777" w:rsidR="0050440D" w:rsidRPr="00796736" w:rsidRDefault="0050440D" w:rsidP="00A802A5">
      <w:pPr>
        <w:spacing w:line="360" w:lineRule="auto"/>
        <w:rPr>
          <w:rFonts w:ascii="Times New Roman" w:hAnsi="Times New Roman" w:cs="Times New Roman"/>
          <w:sz w:val="24"/>
          <w:szCs w:val="24"/>
        </w:rPr>
      </w:pPr>
    </w:p>
    <w:p w14:paraId="09020B8F" w14:textId="77777777" w:rsidR="006B74C0" w:rsidRPr="00796736" w:rsidRDefault="006B74C0" w:rsidP="006B74C0">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indebærer den foreslåede bestemmelse en præcisering af, at Hvidvasksekretariatet vil skulle sikre, at feedbacken gives i overensstemmelse med databeskyttelsesreglerne og regler om fortrolighed, herunder de grundlæggende principper for behandling af personoplysninger, bl.a. princippet om dataminimering i retshåndhævelseslovens § 4, stk. 3, og princippet om fortrolighed og integritet i retshåndhævelseslovens § 4, stk. 7.  Det vil i praksis indebære, at feedback som udgangspunkt skal gives i aggregeret eller opsummeret form fremfor på individniveau som tilbagemelding på en konkret underretning, jf. også nærmere herom ovenfor under bemærkningerne til bestemmelsens stk. 1. For så vidt angår Hvidvasksekretariatets behandling af personoplysninger henvises i øvrigt til pkt. </w:t>
      </w:r>
      <w:r>
        <w:rPr>
          <w:rFonts w:ascii="Times New Roman" w:hAnsi="Times New Roman" w:cs="Times New Roman"/>
          <w:sz w:val="24"/>
          <w:szCs w:val="24"/>
        </w:rPr>
        <w:t>5</w:t>
      </w:r>
      <w:r w:rsidRPr="00796736">
        <w:rPr>
          <w:rFonts w:ascii="Times New Roman" w:hAnsi="Times New Roman" w:cs="Times New Roman"/>
          <w:sz w:val="24"/>
          <w:szCs w:val="24"/>
        </w:rPr>
        <w:t xml:space="preserve"> om forholdet til databeskyttelseslovgivningen</w:t>
      </w:r>
      <w:r>
        <w:rPr>
          <w:rFonts w:ascii="Times New Roman" w:hAnsi="Times New Roman" w:cs="Times New Roman"/>
          <w:sz w:val="24"/>
          <w:szCs w:val="24"/>
        </w:rPr>
        <w:t>, herunder retshåndhævelsesloven</w:t>
      </w:r>
      <w:r w:rsidRPr="00796736">
        <w:rPr>
          <w:rFonts w:ascii="Times New Roman" w:hAnsi="Times New Roman" w:cs="Times New Roman"/>
          <w:sz w:val="24"/>
          <w:szCs w:val="24"/>
        </w:rPr>
        <w:t xml:space="preserve">.  </w:t>
      </w:r>
    </w:p>
    <w:p w14:paraId="6EDBD6D7" w14:textId="77777777" w:rsidR="0050440D" w:rsidRPr="00796736" w:rsidRDefault="0050440D" w:rsidP="00A802A5">
      <w:pPr>
        <w:spacing w:line="360" w:lineRule="auto"/>
        <w:rPr>
          <w:rFonts w:ascii="Times New Roman" w:hAnsi="Times New Roman" w:cs="Times New Roman"/>
          <w:sz w:val="24"/>
          <w:szCs w:val="24"/>
        </w:rPr>
      </w:pPr>
    </w:p>
    <w:p w14:paraId="01C21417" w14:textId="77777777" w:rsidR="0050440D" w:rsidRPr="00796736" w:rsidRDefault="0050440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endvidere i overensstemmelse med gældende ret indebære, at feedback først kan gives, når det med sikkerhed ikke kan skade efterforskningen m.v., eller administrative foranstaltninger, der er foretaget efter Hvidvasksekretariatets formidling. Uanset hvilke regler, der gives om tavshedspligt, og uanset at mange af de virksomheder, der er omfattet af loven, allerede er undergivet tavshedspligt, gælder det for nogle efterforskningssituationer, at der i en periode kun sker den for efterforskningen nødvendige videregivelse af oplysninger. Feedback bør ikke ske i en sådan periode, end ikke til de virksomheder, der er vant til at efterleve en omfattende tavshedspligt. I øvrigt kan der tillige ved et fortsat kundeforhold være det problem, at oplysningen måske vil være medvirkende til, at forretningsforbindelsen opsiges, hvilket kan henlede kundens opmærksomhed på en eventuel efterforskning. Der vil ikke ved en tilbagemelding kunne gives pålæg om, at forretningsforbindelsen ikke må opsiges. Se hertil også bemærkningerne til den gældende bestemmelse i hvidvasklovens § 29, stk. 5, jf. Folketingstidende 2016-17, tillæg A, L 41 som fremsat, side 132. </w:t>
      </w:r>
    </w:p>
    <w:p w14:paraId="1BEDB5FC" w14:textId="77777777" w:rsidR="0050440D" w:rsidRDefault="0050440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kan også tænkes at forekomme andre situationer, hvor feedback konkret skønnes ikke at skulle ske eller først bør ske på et senere tidspunkt, hvor det respektive analytiske arbejde, efterforskning eller den administrative foranstaltning er afsluttet. Det bemærkes, at bestemmelsen – ligesom i dag – ikke vil indebære, at Hvidvasksekretariatet vil skulle give feedback på, hvad der er sket med de enkelte underretninger. </w:t>
      </w:r>
    </w:p>
    <w:p w14:paraId="68C6A287" w14:textId="3AB7AA67" w:rsidR="00EB57D1" w:rsidRPr="00796736" w:rsidRDefault="00EB57D1"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Den foreslåede bestemmelse ændrer ikke på, at det som nævnt i bemærkningerne til den foreslåede stk. 1 ikke vil være et krav, at der gives feedback for så vidt angår hver enkelt underretning.</w:t>
      </w:r>
    </w:p>
    <w:p w14:paraId="566B0C61" w14:textId="77777777" w:rsidR="00122E01" w:rsidRPr="00796736" w:rsidRDefault="00122E01" w:rsidP="00122E01">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6</w:t>
      </w:r>
      <w:r w:rsidRPr="00796736">
        <w:rPr>
          <w:rFonts w:ascii="Times New Roman" w:hAnsi="Times New Roman" w:cs="Times New Roman"/>
          <w:sz w:val="24"/>
          <w:szCs w:val="24"/>
        </w:rPr>
        <w:t xml:space="preserve">, at </w:t>
      </w:r>
      <w:r>
        <w:rPr>
          <w:rFonts w:ascii="Times New Roman" w:hAnsi="Times New Roman" w:cs="Times New Roman"/>
          <w:sz w:val="24"/>
          <w:szCs w:val="24"/>
        </w:rPr>
        <w:t>virksomheder og personer samt</w:t>
      </w:r>
      <w:r w:rsidRPr="00796736">
        <w:rPr>
          <w:rFonts w:ascii="Times New Roman" w:hAnsi="Times New Roman" w:cs="Times New Roman"/>
          <w:sz w:val="24"/>
          <w:szCs w:val="24"/>
        </w:rPr>
        <w:t xml:space="preserve"> tilsynsorganer ikke må videregive modtagne meddelelser som nævnt i stk. 1 og 3 til uvedkommende.</w:t>
      </w:r>
    </w:p>
    <w:p w14:paraId="6472323A" w14:textId="77777777" w:rsidR="00240DBE" w:rsidRPr="00796736" w:rsidRDefault="00240DBE" w:rsidP="00A802A5">
      <w:pPr>
        <w:spacing w:line="360" w:lineRule="auto"/>
        <w:rPr>
          <w:rFonts w:ascii="Times New Roman" w:hAnsi="Times New Roman" w:cs="Times New Roman"/>
          <w:sz w:val="24"/>
          <w:szCs w:val="24"/>
        </w:rPr>
      </w:pPr>
    </w:p>
    <w:p w14:paraId="0BFDC506" w14:textId="5D07263D"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hvidvasklovens § 29, stk. 6, </w:t>
      </w:r>
      <w:r w:rsidR="00EB57D1" w:rsidRPr="00D253F0">
        <w:rPr>
          <w:rFonts w:ascii="Times New Roman" w:hAnsi="Times New Roman" w:cs="Times New Roman"/>
          <w:sz w:val="24"/>
          <w:szCs w:val="24"/>
        </w:rPr>
        <w:t xml:space="preserve">dog således, at bestemmelsen kun regulerer forpligtede </w:t>
      </w:r>
      <w:r w:rsidR="00EB57D1">
        <w:rPr>
          <w:rFonts w:ascii="Times New Roman" w:hAnsi="Times New Roman" w:cs="Times New Roman"/>
          <w:sz w:val="24"/>
          <w:szCs w:val="24"/>
        </w:rPr>
        <w:t>virksomheder og personer og tilsynsorganer</w:t>
      </w:r>
      <w:r w:rsidR="00EB57D1" w:rsidRPr="00D253F0">
        <w:rPr>
          <w:rFonts w:ascii="Times New Roman" w:hAnsi="Times New Roman" w:cs="Times New Roman"/>
          <w:sz w:val="24"/>
          <w:szCs w:val="24"/>
        </w:rPr>
        <w:t>. Bestemmelsen vil indebære, at de forpligtede enheder, som modtager feedback, ikke må videregive de oplysninger, som de modtager fra Hvidvasksekretariatet i forbindelse med feedbacken til uvedkommende.</w:t>
      </w:r>
    </w:p>
    <w:p w14:paraId="217C2483" w14:textId="77777777" w:rsidR="00240DBE" w:rsidRPr="00796736" w:rsidRDefault="00240DBE" w:rsidP="00A802A5">
      <w:pPr>
        <w:spacing w:line="360" w:lineRule="auto"/>
        <w:rPr>
          <w:rFonts w:ascii="Times New Roman" w:hAnsi="Times New Roman" w:cs="Times New Roman"/>
          <w:sz w:val="24"/>
          <w:szCs w:val="24"/>
        </w:rPr>
      </w:pPr>
    </w:p>
    <w:p w14:paraId="32918B4F" w14:textId="77777777" w:rsidR="00240DBE" w:rsidRPr="00796736" w:rsidRDefault="00240DBE"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overensstemmelse med gældende ret skal bestemmelsen fortolkes i overensstemmelse med straffelovens § 264 d om uberettiget videregivelse af blandt andet meddelelser om en andens private forhold. På grund af oplysningernes art vil udgangspunktet være, at enhver videregivelse, herunder videregivelse til andre personer i en virksomhed, er uberettiget, medmindre formålet med videregivelsen er at forhindre, at virksomheden misbruges af den samme kunde. Dette vil som udgangspunkt alene være tilfældet, hvis der stadig eksisterer en forretningsforbindelse. Oplysningerne kan dog videregives i anonymiseret form til alle i virksomheden i undervisningssammenhæng.</w:t>
      </w:r>
    </w:p>
    <w:p w14:paraId="09FCADA9" w14:textId="3FAF070D"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overensstemmelse med gældende ret, at overtrædelse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_Ref232596008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6, er strafbelagt, jf.</w:t>
      </w:r>
      <w:r w:rsidR="00122E01">
        <w:rPr>
          <w:rFonts w:ascii="Times New Roman" w:hAnsi="Times New Roman" w:cs="Times New Roman"/>
          <w:sz w:val="24"/>
          <w:szCs w:val="24"/>
        </w:rPr>
        <w:t xml:space="preserve"> </w:t>
      </w:r>
      <w:r w:rsidR="00122E01">
        <w:rPr>
          <w:rFonts w:ascii="Times New Roman" w:hAnsi="Times New Roman" w:cs="Times New Roman"/>
          <w:sz w:val="24"/>
          <w:szCs w:val="24"/>
        </w:rPr>
        <w:fldChar w:fldCharType="begin"/>
      </w:r>
      <w:r w:rsidR="00122E01">
        <w:rPr>
          <w:rFonts w:ascii="Times New Roman" w:hAnsi="Times New Roman" w:cs="Times New Roman"/>
          <w:sz w:val="24"/>
          <w:szCs w:val="24"/>
        </w:rPr>
        <w:instrText xml:space="preserve"> REF _Ref242963797 \r \h </w:instrText>
      </w:r>
      <w:r w:rsidR="00122E01">
        <w:rPr>
          <w:rFonts w:ascii="Times New Roman" w:hAnsi="Times New Roman" w:cs="Times New Roman"/>
          <w:sz w:val="24"/>
          <w:szCs w:val="24"/>
        </w:rPr>
      </w:r>
      <w:r w:rsidR="00122E01">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122E01">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Ansvarssubjekterne for overtrædelse af bestemmelsen er virksomheder og personer omfattet af hvidvaskforordningen og denne lov, og den strafbare handling består i uberettiget videregivelse af oplysninger modtaget fra Hvidvasksekretariatet. </w:t>
      </w:r>
    </w:p>
    <w:p w14:paraId="78F3A040" w14:textId="77777777" w:rsidR="00240DBE" w:rsidRPr="00796736" w:rsidRDefault="00240DBE" w:rsidP="00A802A5">
      <w:pPr>
        <w:spacing w:line="360" w:lineRule="auto"/>
        <w:rPr>
          <w:rFonts w:ascii="Times New Roman" w:hAnsi="Times New Roman" w:cs="Times New Roman"/>
          <w:sz w:val="24"/>
          <w:szCs w:val="24"/>
        </w:rPr>
      </w:pPr>
    </w:p>
    <w:p w14:paraId="501D9EDE"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Et eksempel på overtrædelse af bestemmelsen er en person, der på baggrund af oplysninger modtaget fra Hvidvasksekretariatet fortæller en kunde, at denne er under efterforskning af politiet.</w:t>
      </w:r>
    </w:p>
    <w:p w14:paraId="02116449" w14:textId="77777777" w:rsidR="00240DBE" w:rsidRPr="00796736" w:rsidRDefault="00240DBE" w:rsidP="00A802A5">
      <w:pPr>
        <w:spacing w:line="360" w:lineRule="auto"/>
        <w:rPr>
          <w:rFonts w:ascii="Times New Roman" w:hAnsi="Times New Roman" w:cs="Times New Roman"/>
          <w:sz w:val="24"/>
          <w:szCs w:val="24"/>
        </w:rPr>
      </w:pPr>
    </w:p>
    <w:p w14:paraId="5EBDFB97" w14:textId="14F74EC1" w:rsidR="001C197D" w:rsidRPr="00796736" w:rsidRDefault="001C197D" w:rsidP="001C197D">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_Ref242963797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139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796736">
        <w:rPr>
          <w:rFonts w:ascii="Times New Roman" w:hAnsi="Times New Roman" w:cs="Times New Roman"/>
          <w:sz w:val="24"/>
          <w:szCs w:val="24"/>
        </w:rPr>
        <w:t xml:space="preserve">fastlægger, at </w:t>
      </w:r>
      <w:r>
        <w:rPr>
          <w:rFonts w:ascii="Times New Roman" w:hAnsi="Times New Roman" w:cs="Times New Roman"/>
          <w:sz w:val="24"/>
          <w:szCs w:val="24"/>
        </w:rPr>
        <w:t>ved alvorlige, gentagne eller systematiske overtrædelser</w:t>
      </w:r>
      <w:r w:rsidRPr="00796736">
        <w:rPr>
          <w:rFonts w:ascii="Times New Roman" w:hAnsi="Times New Roman" w:cs="Times New Roman"/>
          <w:sz w:val="24"/>
          <w:szCs w:val="24"/>
        </w:rPr>
        <w:t xml:space="preserve"> </w:t>
      </w:r>
      <w:r>
        <w:rPr>
          <w:rFonts w:ascii="Times New Roman" w:hAnsi="Times New Roman" w:cs="Times New Roman"/>
          <w:sz w:val="24"/>
          <w:szCs w:val="24"/>
        </w:rPr>
        <w:t xml:space="preserve">af den foreslåede bestemmelse </w:t>
      </w:r>
      <w:r w:rsidRPr="00796736">
        <w:rPr>
          <w:rFonts w:ascii="Times New Roman" w:hAnsi="Times New Roman" w:cs="Times New Roman"/>
          <w:sz w:val="24"/>
          <w:szCs w:val="24"/>
        </w:rPr>
        <w:t>kan straffes med bøde, medmindre højere straf er forskyldt efter anden lovgivning. I overensstemmelse med gældende ret er det en forudsætning for anvendelsen af bestemmelsen, at den pågældende ikke kan straffes for handlingen eller undladelsen efter andre alvorligere bestemmelser i straffeloven, f.eks. § 290 i straffeloven om hæleri eller § 114 b, nr. 3, i straffeloven om bistand ved finansiering af terrorisme. Bestemmelsen vil således udgøre et supplement til blandt andet disse bestemmelser.</w:t>
      </w:r>
    </w:p>
    <w:p w14:paraId="098A8B64" w14:textId="77777777" w:rsidR="00240DBE" w:rsidRPr="00796736" w:rsidRDefault="00240DBE" w:rsidP="00A802A5">
      <w:pPr>
        <w:spacing w:line="360" w:lineRule="auto"/>
        <w:rPr>
          <w:rFonts w:ascii="Times New Roman" w:hAnsi="Times New Roman" w:cs="Times New Roman"/>
          <w:sz w:val="24"/>
          <w:szCs w:val="24"/>
        </w:rPr>
      </w:pPr>
    </w:p>
    <w:p w14:paraId="4B9BADE1" w14:textId="77777777" w:rsidR="005A693C" w:rsidRPr="00796736" w:rsidRDefault="005A693C" w:rsidP="005A693C">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i øvrigt, at </w:t>
      </w:r>
      <w:r>
        <w:rPr>
          <w:rFonts w:ascii="Times New Roman" w:hAnsi="Times New Roman" w:cs="Times New Roman"/>
          <w:sz w:val="24"/>
          <w:szCs w:val="24"/>
        </w:rPr>
        <w:t>virksomheder og personer</w:t>
      </w:r>
      <w:r w:rsidRPr="00796736">
        <w:rPr>
          <w:rFonts w:ascii="Times New Roman" w:hAnsi="Times New Roman" w:cs="Times New Roman"/>
          <w:sz w:val="24"/>
          <w:szCs w:val="24"/>
        </w:rPr>
        <w:t xml:space="preserve"> overholder hvidvaskforordningens artikel 76 om behandling af personoplysninger, herunder ved behandling af personoplysninger i forbindelse med modtagelse af feedback efter denne bestemmelse. Der henvises i øvrigt til pkt. 3 om forholdet til databeskyttelseslovgivningen. </w:t>
      </w:r>
    </w:p>
    <w:p w14:paraId="599427F0"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7</w:t>
      </w:r>
      <w:r w:rsidRPr="00796736">
        <w:rPr>
          <w:rFonts w:ascii="Times New Roman" w:hAnsi="Times New Roman" w:cs="Times New Roman"/>
          <w:sz w:val="24"/>
          <w:szCs w:val="24"/>
        </w:rPr>
        <w:t>, at Hvidvasksekretariatet årligt skal give told- og skatteforvaltningen feedback om effektiviteten og opfølgningen af de oplysninger, der er fremsendt i henhold til artikel 9 i forordning (EU) nr. 2018/1672 af 23. oktober 2018 om kontrol med likvide midler, der føres ind i eller ud af Unionen.</w:t>
      </w:r>
    </w:p>
    <w:p w14:paraId="5932FE94" w14:textId="77777777" w:rsidR="00240DBE" w:rsidRPr="00796736" w:rsidRDefault="00240DBE" w:rsidP="00A802A5">
      <w:pPr>
        <w:spacing w:line="360" w:lineRule="auto"/>
        <w:rPr>
          <w:rFonts w:ascii="Times New Roman" w:hAnsi="Times New Roman" w:cs="Times New Roman"/>
          <w:sz w:val="24"/>
          <w:szCs w:val="24"/>
        </w:rPr>
      </w:pPr>
    </w:p>
    <w:p w14:paraId="5C069301" w14:textId="20DB04D9"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som er ny, vil indebære, at Hvidvasksekretariatet årligt skal give feedback til toldmyndigheder vedrørende de oplysninger som toldmyndighederne har fremsendt til Hvidvasksekretariatet. </w:t>
      </w:r>
    </w:p>
    <w:p w14:paraId="5D25C73C" w14:textId="77777777" w:rsidR="007678F7" w:rsidRDefault="007678F7" w:rsidP="007678F7">
      <w:pPr>
        <w:spacing w:line="360" w:lineRule="auto"/>
        <w:rPr>
          <w:rFonts w:ascii="Times New Roman" w:hAnsi="Times New Roman" w:cs="Times New Roman"/>
          <w:sz w:val="24"/>
          <w:szCs w:val="24"/>
        </w:rPr>
      </w:pPr>
    </w:p>
    <w:p w14:paraId="4904EB60" w14:textId="62B59E00" w:rsidR="007678F7" w:rsidRPr="00796736" w:rsidRDefault="007678F7" w:rsidP="007678F7">
      <w:pPr>
        <w:spacing w:line="360" w:lineRule="auto"/>
        <w:rPr>
          <w:rFonts w:ascii="Times New Roman" w:hAnsi="Times New Roman" w:cs="Times New Roman"/>
          <w:sz w:val="24"/>
          <w:szCs w:val="24"/>
        </w:rPr>
      </w:pPr>
      <w:r w:rsidRPr="00796736">
        <w:rPr>
          <w:rFonts w:ascii="Times New Roman" w:hAnsi="Times New Roman" w:cs="Times New Roman"/>
          <w:sz w:val="24"/>
          <w:szCs w:val="24"/>
        </w:rPr>
        <w:t>Ved »told</w:t>
      </w:r>
      <w:r>
        <w:rPr>
          <w:rFonts w:ascii="Times New Roman" w:hAnsi="Times New Roman" w:cs="Times New Roman"/>
          <w:sz w:val="24"/>
          <w:szCs w:val="24"/>
        </w:rPr>
        <w:t>- og skatteforvaltningen</w:t>
      </w:r>
      <w:r w:rsidRPr="00796736">
        <w:rPr>
          <w:rFonts w:ascii="Times New Roman" w:hAnsi="Times New Roman" w:cs="Times New Roman"/>
          <w:sz w:val="24"/>
          <w:szCs w:val="24"/>
        </w:rPr>
        <w:t xml:space="preserve">«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_Ref232596008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7, forstås i overensstemmelse med definitionen på »kompetente myndigheder« efter artikel 2, stk. 1, nr. g, i forordning (EU) nr. 2018/1672 om kontrol med likvide midler, der føres ind i eller ud af Unionen, medlemsstaternes toldmyndigheder og alle andre myndigheder, der af medlemsstaterne er bemyndiget til at anvende denne forordning. Det vil</w:t>
      </w:r>
      <w:r>
        <w:rPr>
          <w:rFonts w:ascii="Times New Roman" w:hAnsi="Times New Roman" w:cs="Times New Roman"/>
          <w:sz w:val="24"/>
          <w:szCs w:val="24"/>
        </w:rPr>
        <w:t xml:space="preserve"> således</w:t>
      </w:r>
      <w:r w:rsidRPr="00796736">
        <w:rPr>
          <w:rFonts w:ascii="Times New Roman" w:hAnsi="Times New Roman" w:cs="Times New Roman"/>
          <w:sz w:val="24"/>
          <w:szCs w:val="24"/>
        </w:rPr>
        <w:t xml:space="preserve"> i dansk kontekst være Skatteforvaltningen.</w:t>
      </w:r>
    </w:p>
    <w:p w14:paraId="50B59DD3" w14:textId="77777777" w:rsidR="003F06C7" w:rsidRPr="00796736" w:rsidRDefault="003F06C7" w:rsidP="00A802A5">
      <w:pPr>
        <w:spacing w:line="360" w:lineRule="auto"/>
        <w:rPr>
          <w:rFonts w:ascii="Times New Roman" w:hAnsi="Times New Roman" w:cs="Times New Roman"/>
          <w:sz w:val="24"/>
          <w:szCs w:val="24"/>
        </w:rPr>
      </w:pPr>
    </w:p>
    <w:p w14:paraId="62747713" w14:textId="7B1A1281" w:rsidR="003F06C7" w:rsidRPr="00796736" w:rsidRDefault="003F06C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8</w:t>
      </w:r>
      <w:r w:rsidRPr="00796736">
        <w:rPr>
          <w:rFonts w:ascii="Times New Roman" w:hAnsi="Times New Roman" w:cs="Times New Roman"/>
          <w:sz w:val="24"/>
          <w:szCs w:val="24"/>
        </w:rPr>
        <w:t>, at</w:t>
      </w:r>
      <w:r w:rsidR="00F66172">
        <w:rPr>
          <w:rFonts w:ascii="Times New Roman" w:hAnsi="Times New Roman" w:cs="Times New Roman"/>
          <w:sz w:val="24"/>
          <w:szCs w:val="24"/>
        </w:rPr>
        <w:t xml:space="preserve"> justits</w:t>
      </w:r>
      <w:r w:rsidR="00074750" w:rsidRPr="00796736">
        <w:rPr>
          <w:rFonts w:ascii="Times New Roman" w:hAnsi="Times New Roman" w:cs="Times New Roman"/>
          <w:sz w:val="24"/>
          <w:szCs w:val="24"/>
        </w:rPr>
        <w:t xml:space="preserve">ministeren fastsætter regler, som er nødvendige af hensyn til at gennemføre, anvende eller håndhæve retsakter vedtaget af EU’s institutioner om forhold vedrørende bedste praksis og tilgange til at give feedback, herunder om typen og hyppigheden af feedback. </w:t>
      </w:r>
    </w:p>
    <w:p w14:paraId="2909026C" w14:textId="77777777" w:rsidR="003F06C7" w:rsidRPr="00796736" w:rsidRDefault="003F06C7" w:rsidP="00A802A5">
      <w:pPr>
        <w:spacing w:line="360" w:lineRule="auto"/>
        <w:rPr>
          <w:rFonts w:ascii="Times New Roman" w:hAnsi="Times New Roman" w:cs="Times New Roman"/>
          <w:sz w:val="24"/>
          <w:szCs w:val="24"/>
        </w:rPr>
      </w:pPr>
    </w:p>
    <w:p w14:paraId="59AEC000" w14:textId="77777777" w:rsidR="003F06C7" w:rsidRPr="00796736" w:rsidRDefault="003F06C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bemyndigelsesbestemmelse skal ses i sammenhæng med hvidvaskdirektivets artikel 28, stk. 1, 6. afsnit, hvorefter AMLA senest den 10. juli 2028 udsteder henstillinger til FIU’erne om bedste praksis og tilgange til at give feedback, herunder om typen og hyppigheden af feedback.</w:t>
      </w:r>
    </w:p>
    <w:p w14:paraId="2008A6E1" w14:textId="77777777" w:rsidR="003F06C7" w:rsidRPr="00796736" w:rsidRDefault="003F06C7" w:rsidP="00A802A5">
      <w:pPr>
        <w:spacing w:line="360" w:lineRule="auto"/>
        <w:rPr>
          <w:rFonts w:ascii="Times New Roman" w:hAnsi="Times New Roman" w:cs="Times New Roman"/>
          <w:sz w:val="24"/>
          <w:szCs w:val="24"/>
        </w:rPr>
      </w:pPr>
    </w:p>
    <w:p w14:paraId="06F6C847" w14:textId="2E246CE3" w:rsidR="003F06C7" w:rsidRPr="00796736" w:rsidRDefault="003F06C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bemyndigelsesbestemmelse vil</w:t>
      </w:r>
      <w:r w:rsidR="005141B0">
        <w:rPr>
          <w:rFonts w:ascii="Times New Roman" w:hAnsi="Times New Roman" w:cs="Times New Roman"/>
          <w:sz w:val="24"/>
          <w:szCs w:val="24"/>
        </w:rPr>
        <w:t xml:space="preserve"> </w:t>
      </w:r>
      <w:r w:rsidRPr="00796736">
        <w:rPr>
          <w:rFonts w:ascii="Times New Roman" w:hAnsi="Times New Roman" w:cs="Times New Roman"/>
          <w:sz w:val="24"/>
          <w:szCs w:val="24"/>
        </w:rPr>
        <w:t>ministeren således kunne fastsatte de regler, som er nødvendige med henblik på efterlevelse af</w:t>
      </w:r>
    </w:p>
    <w:p w14:paraId="446E0AA8" w14:textId="77777777" w:rsidR="003F06C7" w:rsidRPr="00796736" w:rsidRDefault="003F06C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28, stk. 1, 6. afsnit.</w:t>
      </w:r>
    </w:p>
    <w:p w14:paraId="7DE48DCB" w14:textId="77777777" w:rsidR="00240DBE" w:rsidRPr="00796736" w:rsidRDefault="00240DBE" w:rsidP="00A802A5">
      <w:pPr>
        <w:spacing w:line="360" w:lineRule="auto"/>
        <w:rPr>
          <w:rFonts w:ascii="Times New Roman" w:hAnsi="Times New Roman" w:cs="Times New Roman"/>
          <w:sz w:val="24"/>
          <w:szCs w:val="24"/>
        </w:rPr>
      </w:pPr>
    </w:p>
    <w:p w14:paraId="4420B06A" w14:textId="53467EFF"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_Ref232596008 \r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23</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w:t>
      </w:r>
      <w:r w:rsidRPr="00796736">
        <w:rPr>
          <w:rFonts w:ascii="Times New Roman" w:hAnsi="Times New Roman" w:cs="Times New Roman"/>
          <w:sz w:val="24"/>
          <w:szCs w:val="24"/>
        </w:rPr>
        <w:t>har til formål at gennemføre hvidvaskdirektivets artikel 28.</w:t>
      </w:r>
    </w:p>
    <w:p w14:paraId="0105EB97" w14:textId="77777777" w:rsidR="00240DBE" w:rsidRPr="00796736" w:rsidRDefault="00240DBE" w:rsidP="00A802A5">
      <w:pPr>
        <w:spacing w:line="360" w:lineRule="auto"/>
        <w:rPr>
          <w:rFonts w:ascii="Times New Roman" w:hAnsi="Times New Roman" w:cs="Times New Roman"/>
          <w:sz w:val="24"/>
          <w:szCs w:val="24"/>
        </w:rPr>
      </w:pPr>
    </w:p>
    <w:p w14:paraId="36FB7569" w14:textId="00315A95" w:rsidR="00240DBE" w:rsidRPr="00796736" w:rsidRDefault="00240DB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_Ref232943746 \n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3.22</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C1663D3" w14:textId="77777777" w:rsidR="00EA1B80" w:rsidRPr="00796736" w:rsidRDefault="00EA1B80" w:rsidP="00A802A5">
      <w:pPr>
        <w:spacing w:line="360" w:lineRule="auto"/>
        <w:rPr>
          <w:rFonts w:ascii="Times New Roman" w:hAnsi="Times New Roman" w:cs="Times New Roman"/>
          <w:i/>
          <w:iCs/>
          <w:sz w:val="24"/>
          <w:szCs w:val="24"/>
        </w:rPr>
      </w:pPr>
    </w:p>
    <w:p w14:paraId="04D6B447" w14:textId="77777777" w:rsidR="002645AB" w:rsidRPr="00796736" w:rsidRDefault="002645AB" w:rsidP="00A802A5">
      <w:pPr>
        <w:spacing w:line="360" w:lineRule="auto"/>
        <w:rPr>
          <w:rFonts w:ascii="Times New Roman" w:hAnsi="Times New Roman" w:cs="Times New Roman"/>
          <w:i/>
          <w:iCs/>
          <w:sz w:val="24"/>
          <w:szCs w:val="24"/>
        </w:rPr>
      </w:pPr>
    </w:p>
    <w:p w14:paraId="258E48C6" w14:textId="66E277ED" w:rsidR="00EA1B80" w:rsidRPr="00796736" w:rsidRDefault="00C454BF" w:rsidP="00A802A5">
      <w:pPr>
        <w:pStyle w:val="Undertitel"/>
      </w:pPr>
      <w:bookmarkStart w:id="1923" w:name="_Toc232109356"/>
      <w:bookmarkStart w:id="1924" w:name="_Toc244879320"/>
      <w:bookmarkStart w:id="1925" w:name="_Toc244880845"/>
      <w:r w:rsidRPr="00796736">
        <w:t xml:space="preserve">Til </w:t>
      </w:r>
      <w:r w:rsidR="006719DB" w:rsidRPr="00796736">
        <w:fldChar w:fldCharType="begin"/>
      </w:r>
      <w:r w:rsidR="006719DB" w:rsidRPr="00796736">
        <w:instrText xml:space="preserve"> REF _Ref232596031 \r \h </w:instrText>
      </w:r>
      <w:r w:rsidR="00967618" w:rsidRPr="00796736">
        <w:instrText xml:space="preserve"> \* MERGEFORMAT </w:instrText>
      </w:r>
      <w:r w:rsidR="006719DB" w:rsidRPr="00796736">
        <w:fldChar w:fldCharType="separate"/>
      </w:r>
      <w:r w:rsidR="008F29E5">
        <w:t>§ 24</w:t>
      </w:r>
      <w:bookmarkEnd w:id="1924"/>
      <w:bookmarkEnd w:id="1925"/>
      <w:r w:rsidR="006719DB" w:rsidRPr="00796736">
        <w:fldChar w:fldCharType="end"/>
      </w:r>
      <w:r w:rsidR="00EA1B80" w:rsidRPr="00796736">
        <w:t xml:space="preserve"> </w:t>
      </w:r>
      <w:bookmarkEnd w:id="1923"/>
    </w:p>
    <w:p w14:paraId="4605C571" w14:textId="77777777"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Beskyttede kommunikationskanaler til udveksling af oplysninger mellem Hvidvasksekretariatet og andre FIU’er er i dag reguleret i FIU-cirkulærets § 8. Det fremgår således af FIU-cirkulærets § 8, stk. 1, at kommunikation og udveksling af oplysninger med andre EU-medlemsstaters FIU’er sker ved anvendelse af FIU.net eller andre beskyttede kommunikationskanaler som aftalt mellem FIU’erne. Derudover regulerer bestemmelsens stk. 2 Hvidvasksekretariatets samarbejde med andre FIU’er i forhold til at anvende de mest avancerede teknologier til brug for deres opgavevaretagelse, mens stk. 3 fastsætter krav til de teknologier, der anvendes. </w:t>
      </w:r>
    </w:p>
    <w:p w14:paraId="6674614E" w14:textId="77777777" w:rsidR="00EA1B80" w:rsidRPr="00796736" w:rsidRDefault="00EA1B80" w:rsidP="00A802A5">
      <w:pPr>
        <w:spacing w:line="360" w:lineRule="auto"/>
        <w:rPr>
          <w:rFonts w:ascii="Times New Roman" w:hAnsi="Times New Roman" w:cs="Times New Roman"/>
          <w:sz w:val="24"/>
          <w:szCs w:val="24"/>
        </w:rPr>
      </w:pPr>
    </w:p>
    <w:p w14:paraId="19C5E4B3" w14:textId="1AF904D1"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beskrivelse af gældende ret henvises til pkt. </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_Ref232943764 \n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3.24.1</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42FB75F" w14:textId="77777777" w:rsidR="00EA1B80" w:rsidRPr="00796736" w:rsidRDefault="00EA1B80" w:rsidP="00A802A5">
      <w:pPr>
        <w:spacing w:line="360" w:lineRule="auto"/>
        <w:rPr>
          <w:rFonts w:ascii="Times New Roman" w:hAnsi="Times New Roman" w:cs="Times New Roman"/>
          <w:sz w:val="24"/>
          <w:szCs w:val="24"/>
        </w:rPr>
      </w:pPr>
    </w:p>
    <w:p w14:paraId="259A7CD3" w14:textId="6911AE2E"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000C2245">
        <w:rPr>
          <w:rFonts w:ascii="Times New Roman" w:hAnsi="Times New Roman" w:cs="Times New Roman"/>
          <w:sz w:val="24"/>
          <w:szCs w:val="24"/>
        </w:rPr>
        <w:fldChar w:fldCharType="begin"/>
      </w:r>
      <w:r w:rsidR="000C2245">
        <w:rPr>
          <w:rFonts w:ascii="Times New Roman" w:hAnsi="Times New Roman" w:cs="Times New Roman"/>
          <w:sz w:val="24"/>
          <w:szCs w:val="24"/>
        </w:rPr>
        <w:instrText xml:space="preserve"> REF _Ref232596031 \r \h </w:instrText>
      </w:r>
      <w:r w:rsidR="000C2245">
        <w:rPr>
          <w:rFonts w:ascii="Times New Roman" w:hAnsi="Times New Roman" w:cs="Times New Roman"/>
          <w:sz w:val="24"/>
          <w:szCs w:val="24"/>
        </w:rPr>
      </w:r>
      <w:r w:rsidR="000C2245">
        <w:rPr>
          <w:rFonts w:ascii="Times New Roman" w:hAnsi="Times New Roman" w:cs="Times New Roman"/>
          <w:sz w:val="24"/>
          <w:szCs w:val="24"/>
        </w:rPr>
        <w:fldChar w:fldCharType="separate"/>
      </w:r>
      <w:r w:rsidR="008F29E5">
        <w:rPr>
          <w:rFonts w:ascii="Times New Roman" w:hAnsi="Times New Roman" w:cs="Times New Roman"/>
          <w:sz w:val="24"/>
          <w:szCs w:val="24"/>
        </w:rPr>
        <w:t>§ 24</w:t>
      </w:r>
      <w:r w:rsidR="000C2245">
        <w:rPr>
          <w:rFonts w:ascii="Times New Roman" w:hAnsi="Times New Roman" w:cs="Times New Roman"/>
          <w:sz w:val="24"/>
          <w:szCs w:val="24"/>
        </w:rPr>
        <w:fldChar w:fldCharType="end"/>
      </w:r>
      <w:r w:rsidR="000C2245">
        <w:rPr>
          <w:rFonts w:ascii="Times New Roman" w:hAnsi="Times New Roman" w:cs="Times New Roman"/>
          <w:sz w:val="24"/>
          <w:szCs w:val="24"/>
        </w:rPr>
        <w:t xml:space="preserve">, </w:t>
      </w:r>
      <w:r w:rsidRPr="00796736">
        <w:rPr>
          <w:rFonts w:ascii="Times New Roman" w:hAnsi="Times New Roman" w:cs="Times New Roman"/>
          <w:i/>
          <w:iCs/>
          <w:sz w:val="24"/>
          <w:szCs w:val="24"/>
        </w:rPr>
        <w:t xml:space="preserve">stk. 1, </w:t>
      </w:r>
      <w:r w:rsidRPr="00796736">
        <w:rPr>
          <w:rFonts w:ascii="Times New Roman" w:hAnsi="Times New Roman" w:cs="Times New Roman"/>
          <w:sz w:val="24"/>
          <w:szCs w:val="24"/>
        </w:rPr>
        <w:t xml:space="preserve">at Hvidvasksekretariatet anvender FIU.net til udveksling af oplysninger med andre FIU’er og AMLA med henblik på fælles analyser i henhold til </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artikel 40 i AMLA-forordningen. Hvidvasksekretariatet udveksler endvidere oplysninger med andre FIU’er i henhold til </w:t>
      </w:r>
      <w:r w:rsidR="002645AB" w:rsidRPr="00796736">
        <w:rPr>
          <w:rFonts w:ascii="Times New Roman" w:hAnsi="Times New Roman" w:cs="Times New Roman"/>
          <w:sz w:val="24"/>
          <w:szCs w:val="24"/>
        </w:rPr>
        <w:t>§</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w:t>
      </w:r>
      <w:r w:rsidRPr="00796736">
        <w:rPr>
          <w:rFonts w:ascii="Times New Roman" w:hAnsi="Times New Roman" w:cs="Times New Roman"/>
          <w:sz w:val="24"/>
          <w:szCs w:val="24"/>
        </w:rPr>
        <w:t>og</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3B04F6">
        <w:rPr>
          <w:rFonts w:ascii="Times New Roman" w:hAnsi="Times New Roman" w:cs="Times New Roman"/>
          <w:sz w:val="24"/>
          <w:szCs w:val="24"/>
        </w:rPr>
        <w:t xml:space="preserve"> </w:t>
      </w:r>
      <w:r w:rsidR="008F29E5">
        <w:rPr>
          <w:rFonts w:ascii="Times New Roman" w:hAnsi="Times New Roman" w:cs="Times New Roman"/>
          <w:sz w:val="24"/>
          <w:szCs w:val="24"/>
        </w:rPr>
        <w:t>26</w:t>
      </w:r>
      <w:r w:rsidR="002645A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via FIU.net.</w:t>
      </w:r>
    </w:p>
    <w:p w14:paraId="32B35ECE" w14:textId="77777777" w:rsidR="00EA1B80" w:rsidRPr="00796736" w:rsidRDefault="00EA1B80" w:rsidP="00A802A5">
      <w:pPr>
        <w:spacing w:line="360" w:lineRule="auto"/>
        <w:rPr>
          <w:rFonts w:ascii="Times New Roman" w:hAnsi="Times New Roman" w:cs="Times New Roman"/>
          <w:sz w:val="24"/>
          <w:szCs w:val="24"/>
        </w:rPr>
      </w:pPr>
    </w:p>
    <w:p w14:paraId="2648C880" w14:textId="77777777"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som noget nyt i forhold til FIU-cirkulærets § 8, stk. 1, indebære, at Hvidvasksekretariatet vil skulle anvende FIU.net til at udveksle oplysninger med andre FIU’er samt med AMLA. </w:t>
      </w:r>
    </w:p>
    <w:p w14:paraId="51408ACD" w14:textId="77777777" w:rsidR="00EA1B80" w:rsidRPr="00796736" w:rsidRDefault="00EA1B80" w:rsidP="00A802A5">
      <w:pPr>
        <w:spacing w:line="360" w:lineRule="auto"/>
        <w:rPr>
          <w:rFonts w:ascii="Times New Roman" w:hAnsi="Times New Roman" w:cs="Times New Roman"/>
          <w:sz w:val="24"/>
          <w:szCs w:val="24"/>
        </w:rPr>
      </w:pPr>
    </w:p>
    <w:p w14:paraId="3419AC12" w14:textId="5EA4DCD5"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omfatte udveksling af oplysninger mellem FIU'er og AMLA med henblik på fælles analyser i henhold til</w:t>
      </w:r>
      <w:r w:rsidR="002645AB" w:rsidRPr="00796736">
        <w:rPr>
          <w:rFonts w:ascii="Times New Roman" w:hAnsi="Times New Roman" w:cs="Times New Roman"/>
          <w:sz w:val="24"/>
          <w:szCs w:val="24"/>
        </w:rPr>
        <w:t xml:space="preserve"> </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artikel 40 i AMLA-forordningen, ligesom bestemmelsen vil omfatte udveksling af oplysninger med andre FIU’er i henhold til </w:t>
      </w:r>
      <w:r w:rsidR="002645AB" w:rsidRPr="00796736">
        <w:rPr>
          <w:rFonts w:ascii="Times New Roman" w:hAnsi="Times New Roman" w:cs="Times New Roman"/>
          <w:sz w:val="24"/>
          <w:szCs w:val="24"/>
        </w:rPr>
        <w:t>§</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og</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3B04F6">
        <w:rPr>
          <w:rFonts w:ascii="Times New Roman" w:hAnsi="Times New Roman" w:cs="Times New Roman"/>
          <w:sz w:val="24"/>
          <w:szCs w:val="24"/>
        </w:rPr>
        <w:t xml:space="preserve"> </w:t>
      </w:r>
      <w:r w:rsidR="008F29E5">
        <w:rPr>
          <w:rFonts w:ascii="Times New Roman" w:hAnsi="Times New Roman" w:cs="Times New Roman"/>
          <w:sz w:val="24"/>
          <w:szCs w:val="24"/>
        </w:rPr>
        <w:t>26</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w:t>
      </w:r>
    </w:p>
    <w:p w14:paraId="57EB00F6" w14:textId="77777777" w:rsidR="00EA1B80" w:rsidRPr="00796736" w:rsidRDefault="00EA1B80" w:rsidP="00A802A5">
      <w:pPr>
        <w:spacing w:line="360" w:lineRule="auto"/>
        <w:rPr>
          <w:rFonts w:ascii="Times New Roman" w:hAnsi="Times New Roman" w:cs="Times New Roman"/>
          <w:sz w:val="24"/>
          <w:szCs w:val="24"/>
        </w:rPr>
      </w:pPr>
    </w:p>
    <w:p w14:paraId="6D90AFB6" w14:textId="77777777"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FIU.net er et system, der forvaltes af AMLA, som skal sikre sikker kommunikation og udveksling af oplysninger og skal være i stand til at efterlade et skriftligt spor af alle behandlingsaktiviteter, jf. herved hvidvaskdirektivets artikel 30, stk. 1, 1. afsnit. </w:t>
      </w:r>
    </w:p>
    <w:p w14:paraId="62B1CADB" w14:textId="77777777" w:rsidR="00EA1B80" w:rsidRPr="00796736" w:rsidRDefault="00EA1B80" w:rsidP="00A802A5">
      <w:pPr>
        <w:spacing w:line="360" w:lineRule="auto"/>
        <w:rPr>
          <w:rFonts w:ascii="Times New Roman" w:hAnsi="Times New Roman" w:cs="Times New Roman"/>
          <w:sz w:val="24"/>
          <w:szCs w:val="24"/>
        </w:rPr>
      </w:pPr>
    </w:p>
    <w:p w14:paraId="59C02992" w14:textId="77777777"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skal ses i lyset af hvidvaskdirektivets præambelbetragtning nr. 77, hvorefter at FIU'er bør anvende sikre faciliteter, herunder beskyttede kommunikationskanaler, til at samarbejde og udveksle oplysninger indbyrdes, og at FIU.net bør sikre det højeste sikkerhedsniveau og fuld kryptering af de udvekslede oplysninger. Det fremgår videre af præambelbetragtningen, at FIU.net, hvor det er relevant og med forbehold af en afgørelse truffet af AMLA, bør anvendes til at udveksle oplysninger med FIU'er i tredjelande og med andre myndigheder og EU-organer, -kontorer og -agenturer.</w:t>
      </w:r>
    </w:p>
    <w:p w14:paraId="3C07A31A" w14:textId="77777777" w:rsidR="00EA1B80" w:rsidRPr="00796736" w:rsidRDefault="00EA1B80" w:rsidP="00A802A5">
      <w:pPr>
        <w:spacing w:line="360" w:lineRule="auto"/>
        <w:rPr>
          <w:rFonts w:ascii="Times New Roman" w:hAnsi="Times New Roman" w:cs="Times New Roman"/>
          <w:sz w:val="24"/>
          <w:szCs w:val="24"/>
        </w:rPr>
      </w:pPr>
    </w:p>
    <w:p w14:paraId="0C08E6DA" w14:textId="77777777"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i tilfælde af tekniske fejl i FIU.net fremsendes oplysningerne efter stk. 1 på anden hensigtsmæssig måde, der sikrer et højt niveau af datasikkerhed og databeskyttelse.</w:t>
      </w:r>
    </w:p>
    <w:p w14:paraId="4C8CFAD5" w14:textId="77777777" w:rsidR="00EA1B80" w:rsidRPr="00796736" w:rsidRDefault="00EA1B80" w:rsidP="00A802A5">
      <w:pPr>
        <w:spacing w:line="360" w:lineRule="auto"/>
        <w:rPr>
          <w:rFonts w:ascii="Times New Roman" w:hAnsi="Times New Roman" w:cs="Times New Roman"/>
          <w:sz w:val="24"/>
          <w:szCs w:val="24"/>
        </w:rPr>
      </w:pPr>
    </w:p>
    <w:p w14:paraId="577F9BB6" w14:textId="77777777"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oplysningerne – hvor FIU.net ikke kan anvendes – vil skulle fremsendes på anden hensigtsmæssig måde, der sikrer et højt niveau af datasikkerhed og databeskyttelse, jf. herved også hvidvaskdirektivets artikel 30, stk. 2, 1. afsnit, 2. pkt.</w:t>
      </w:r>
    </w:p>
    <w:p w14:paraId="6E84D92B" w14:textId="77777777" w:rsidR="0050440D" w:rsidRPr="00796736" w:rsidRDefault="0050440D" w:rsidP="00A802A5">
      <w:pPr>
        <w:spacing w:line="360" w:lineRule="auto"/>
        <w:rPr>
          <w:rFonts w:ascii="Times New Roman" w:hAnsi="Times New Roman" w:cs="Times New Roman"/>
          <w:sz w:val="24"/>
          <w:szCs w:val="24"/>
        </w:rPr>
      </w:pPr>
    </w:p>
    <w:p w14:paraId="48607BC9"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træffes tekniske og organisatoriske foranstaltninger for at garantere, at datasikkerheden opfylder høje teknologiske standarder. Dette indebærer bl.a. tilstrækkelig kryptering ”at rest”, hvorved forstås sikring af lagrede data ved at omdanne dem til ulæselig ciffertekst ved hjælp af en algoritme, hvor kun indehavere af den korrekte dekrypteringsnøgle vil kunne tilgå oplysningerne.</w:t>
      </w:r>
    </w:p>
    <w:p w14:paraId="55858941" w14:textId="77777777" w:rsidR="00EA1B80" w:rsidRPr="00796736" w:rsidRDefault="00EA1B80" w:rsidP="00A802A5">
      <w:pPr>
        <w:spacing w:line="360" w:lineRule="auto"/>
        <w:rPr>
          <w:rFonts w:ascii="Times New Roman" w:hAnsi="Times New Roman" w:cs="Times New Roman"/>
          <w:sz w:val="24"/>
          <w:szCs w:val="24"/>
        </w:rPr>
      </w:pPr>
    </w:p>
    <w:p w14:paraId="7EEF7147" w14:textId="33A3334C" w:rsidR="00EA1B8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w:t>
      </w:r>
      <w:r w:rsidR="00EA1B80" w:rsidRPr="00796736">
        <w:rPr>
          <w:rFonts w:ascii="Times New Roman" w:hAnsi="Times New Roman" w:cs="Times New Roman"/>
          <w:sz w:val="24"/>
          <w:szCs w:val="24"/>
        </w:rPr>
        <w:t>at Hvidvasksekretariatet kan anvende FIU.net til kommunikation med FIU’er i tredjelande og med andre myndigheder og med EU-organer, -kontorer og -agenturer. Udveksling af oplysninger mellem Hvidvasksekretariatet og FIU’er i tredjelande, der ikke er forbundet med FIU.net, skal finde sted via beskyttede kommunikationskanaler.</w:t>
      </w:r>
    </w:p>
    <w:p w14:paraId="42D9BBDC" w14:textId="77777777" w:rsidR="00EA1B80" w:rsidRPr="00796736" w:rsidRDefault="00EA1B80" w:rsidP="00A802A5">
      <w:pPr>
        <w:spacing w:line="360" w:lineRule="auto"/>
        <w:rPr>
          <w:rFonts w:ascii="Times New Roman" w:hAnsi="Times New Roman" w:cs="Times New Roman"/>
          <w:sz w:val="24"/>
          <w:szCs w:val="24"/>
        </w:rPr>
      </w:pPr>
    </w:p>
    <w:p w14:paraId="6DCC1F2A"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som noget nyt i forhold til gældende ret medføre, at Hvidvasksekretariatet vil kunne anvende FIU.net til kommunikation med FIU’er i tredjelande og med andre myndigheder og med EU-organer, -kontorer og -agenturer. Det forudsætter, at AMLA har givet pågældende myndighed adgang til FIU-net. Når Hvidvasksekretariatet udveksler oplysninger med FIU’er i tredjelande, der ikke er forbundet med FIU.net, vil udvekslingen skulle finde sted via beskyttede kommunikationskanaler. Det forudsættes, at Hvidvasksekretariatets eksisterende kanaler i form af Egmont Secure Net eller lignende vil kunne anvendes efter den foreslåede bestemmelse. </w:t>
      </w:r>
    </w:p>
    <w:p w14:paraId="098FC23D" w14:textId="77777777" w:rsidR="00EA1B80" w:rsidRPr="00796736" w:rsidRDefault="00EA1B80" w:rsidP="00A802A5">
      <w:pPr>
        <w:spacing w:line="360" w:lineRule="auto"/>
        <w:rPr>
          <w:rFonts w:ascii="Times New Roman" w:hAnsi="Times New Roman" w:cs="Times New Roman"/>
          <w:sz w:val="24"/>
          <w:szCs w:val="24"/>
        </w:rPr>
      </w:pPr>
    </w:p>
    <w:p w14:paraId="6B1B55FB" w14:textId="77DF265D"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det foreslåede </w:t>
      </w:r>
      <w:r w:rsidRPr="00796736">
        <w:rPr>
          <w:rFonts w:ascii="Times New Roman" w:hAnsi="Times New Roman" w:cs="Times New Roman"/>
          <w:i/>
          <w:iCs/>
          <w:sz w:val="24"/>
          <w:szCs w:val="24"/>
        </w:rPr>
        <w:t>stk. 4</w:t>
      </w:r>
      <w:r w:rsidR="00B165FD">
        <w:rPr>
          <w:rFonts w:ascii="Times New Roman" w:hAnsi="Times New Roman" w:cs="Times New Roman"/>
          <w:i/>
          <w:iCs/>
          <w:sz w:val="24"/>
          <w:szCs w:val="24"/>
        </w:rPr>
        <w:t>,</w:t>
      </w:r>
      <w:r w:rsidRPr="00796736">
        <w:rPr>
          <w:rFonts w:ascii="Times New Roman" w:hAnsi="Times New Roman" w:cs="Times New Roman"/>
          <w:sz w:val="24"/>
          <w:szCs w:val="24"/>
        </w:rPr>
        <w:t xml:space="preserve"> foreslås det, at Hvidvasksekretariatet i videst muligt omfang skal samarbejde med andre FIU’er om at anvende de mest avancerede teknologier i overensstemmelse med dansk ret med henblik på at varetage sekretariatets opgaver i henhold til hvidvaskdirektivet samt om anvendelse af løsninger, der er udviklet og forvaltes af AMLA i overensstemmelse med artikel 5, stk. 5, litra i, artikel 45, stk. 1, litra d, og artikel 47 i AMLA-forordningen.</w:t>
      </w:r>
    </w:p>
    <w:p w14:paraId="12BE6464" w14:textId="77777777" w:rsidR="00EA1B80" w:rsidRPr="00796736" w:rsidRDefault="00EA1B80" w:rsidP="00A802A5">
      <w:pPr>
        <w:spacing w:line="360" w:lineRule="auto"/>
        <w:rPr>
          <w:rFonts w:ascii="Times New Roman" w:hAnsi="Times New Roman" w:cs="Times New Roman"/>
          <w:sz w:val="24"/>
          <w:szCs w:val="24"/>
        </w:rPr>
      </w:pPr>
    </w:p>
    <w:p w14:paraId="7B5F6BD0" w14:textId="77777777" w:rsidR="0050440D"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 det væsentligste have karakter af en videreførelse af FIU-cirkulærets § 8, stk. 2, men vil som noget nyt indebære, at Hvidvasksekretariatet i videst muligt omfang ligeledes vil skulle samarbejde om anvendelse af løsninger, der er udviklet og forvaltes af AMLA i overensstemmelse med artikel 5, stk. 5, litra i, artikel 45, stk. 1, litra d, og artikel 47 i AMLA-forordningen.</w:t>
      </w:r>
      <w:r w:rsidR="0050440D" w:rsidRPr="00796736">
        <w:rPr>
          <w:rFonts w:ascii="Times New Roman" w:hAnsi="Times New Roman" w:cs="Times New Roman"/>
          <w:sz w:val="24"/>
          <w:szCs w:val="24"/>
        </w:rPr>
        <w:t xml:space="preserve"> Det foreslåede ændrer ikke på, at Hvidvasksekretariatet ligesom i dag samarbejder om anvendelsen af de nyeste teknologier.</w:t>
      </w:r>
    </w:p>
    <w:p w14:paraId="7220578B" w14:textId="77777777" w:rsidR="00EA1B80" w:rsidRPr="00796736" w:rsidRDefault="00EA1B80" w:rsidP="00A802A5">
      <w:pPr>
        <w:spacing w:line="360" w:lineRule="auto"/>
        <w:rPr>
          <w:rFonts w:ascii="Times New Roman" w:hAnsi="Times New Roman" w:cs="Times New Roman"/>
          <w:sz w:val="24"/>
          <w:szCs w:val="24"/>
        </w:rPr>
      </w:pPr>
    </w:p>
    <w:p w14:paraId="5DCB552C" w14:textId="77777777"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AMLA-forordningens artikel 5, stk. 5, litra i, vedrører udvikling af og tilrådighedsstillelse for FIU’erne af værktøjer og tjenester til forbedring af deres analysekapacitet samt af IT-tjenester og -værktøjer og tjenester og værktøjer til kunstig intelligens med henblik på sikker udveksling af oplysninger, herunder gennem hosting af FIU.net. Artikel 45, stk. 1, litra d, i forordningen, vedrører udvikling eller indkøb af IT-værktøjer og -tjenester til forbedring af FIU’ernes analysekapacitet. Artikel 47 i AMLA-forordningen vedrører bl.a. hosting, forvaltning, vedligeholdelse og udvikling af FIU.net. </w:t>
      </w:r>
    </w:p>
    <w:p w14:paraId="5C8F658E" w14:textId="77777777" w:rsidR="00EA1B80" w:rsidRPr="00796736" w:rsidRDefault="00EA1B80" w:rsidP="00A802A5">
      <w:pPr>
        <w:spacing w:line="360" w:lineRule="auto"/>
        <w:rPr>
          <w:rFonts w:ascii="Times New Roman" w:hAnsi="Times New Roman" w:cs="Times New Roman"/>
          <w:sz w:val="24"/>
          <w:szCs w:val="24"/>
        </w:rPr>
      </w:pPr>
    </w:p>
    <w:p w14:paraId="39C1678F"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Derudover foreslås det med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at Hvidvasksekretariatet kan anvende FIU.nets funktioner til at krydstjekke de data, som sekretariatet stiller til rådighed på FIU.net, med de data, som FIU’er eller modparter i tredjelande eller EU-organer, -kontorer og -agenturer gør tilgængelige i dette system.</w:t>
      </w:r>
    </w:p>
    <w:p w14:paraId="4BAE9EB5" w14:textId="77777777" w:rsidR="0050440D" w:rsidRPr="00796736" w:rsidRDefault="0050440D" w:rsidP="00A802A5">
      <w:pPr>
        <w:spacing w:line="360" w:lineRule="auto"/>
        <w:rPr>
          <w:rFonts w:ascii="Times New Roman" w:hAnsi="Times New Roman" w:cs="Times New Roman"/>
          <w:sz w:val="24"/>
          <w:szCs w:val="24"/>
        </w:rPr>
      </w:pPr>
    </w:p>
    <w:p w14:paraId="050B63B8"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Hvidvasksekretariatet skal kunne anvende FIU.nets funktioner til på et hit/intet hit-grundlag at krydstjekke de data, som sekretariatet stiller til rådighed på FIU.net, med de data, som FIU’er eller modparter i tredjelande eller EU-organer, -kontorer og -agenturer gør tilgængelige i dette system. Det bemærkes, at den foreslåede bestemmelse kun vil kunne omfatte krydstjek af data i det omfang et sådant krydstjek falder inden for de pågældende EU-organer, -kontorer eller -agenturers respektive mandater. Den foreslåede bestemmelse vil videreføre FIU-cirkulærets § 8, stk. 3, dog således at det som noget nyt er tilføjet, at Hvidvasksekretariatet skal være i stand til at anvende FIU.nets funktioner til at krydstjekke data med oplysninger, som EU-organer, -kontorer og -agenturer gør tilgængelige i dette system.</w:t>
      </w:r>
    </w:p>
    <w:p w14:paraId="609C245B" w14:textId="77777777" w:rsidR="00EA1B80" w:rsidRPr="00796736" w:rsidRDefault="00EA1B80" w:rsidP="00A802A5">
      <w:pPr>
        <w:spacing w:line="360" w:lineRule="auto"/>
        <w:rPr>
          <w:rFonts w:ascii="Times New Roman" w:hAnsi="Times New Roman" w:cs="Times New Roman"/>
          <w:sz w:val="24"/>
          <w:szCs w:val="24"/>
        </w:rPr>
      </w:pPr>
    </w:p>
    <w:p w14:paraId="612BACC5" w14:textId="77777777"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skal ses i sammenhæng med hvidvaskdirektivets præambelbetragtning nr. 77, hvoraf det fremgår bl.a., at FIU.nets funktionaliteter bør give FIU'er mulighed for på en pseudonym måde at sammenholde deres data med andre FIU'ers data med det formål at opdage personer af interesse for FIU'en i andre medlemsstater og identificere deres udbytte og midler, samtidig med at der sikres fuld beskyttelse af personoplysninger. Det fremgår herudover af præambelbetragtning nr. 77, at FIU'er bør kunne anvende FIU.nets funktionaliteter til på en pseudonym måde at matche deres data med oplysninger, som EU-organer, -kontorer og -agenturer er i besiddelse af, for så vidt som et sådant krydstjek falder inden for sidstnævntes respektive retlige mandater og under fuld overholdelse af de gældende databeskyttelsesregler.</w:t>
      </w:r>
    </w:p>
    <w:p w14:paraId="638FE91E" w14:textId="77777777" w:rsidR="00EA1B80" w:rsidRPr="00796736" w:rsidRDefault="00EA1B80" w:rsidP="00A802A5">
      <w:pPr>
        <w:spacing w:line="360" w:lineRule="auto"/>
        <w:rPr>
          <w:rFonts w:ascii="Times New Roman" w:hAnsi="Times New Roman" w:cs="Times New Roman"/>
          <w:sz w:val="24"/>
          <w:szCs w:val="24"/>
        </w:rPr>
      </w:pPr>
    </w:p>
    <w:p w14:paraId="22EEFECA" w14:textId="6CC3A28F"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har til formål at gennemføre 6. hvidvaskdirektivets artikel 30. </w:t>
      </w:r>
    </w:p>
    <w:p w14:paraId="45B14B85" w14:textId="77777777" w:rsidR="00EA1B80" w:rsidRPr="00796736" w:rsidRDefault="00EA1B80" w:rsidP="00A802A5">
      <w:pPr>
        <w:spacing w:line="360" w:lineRule="auto"/>
        <w:rPr>
          <w:rFonts w:ascii="Times New Roman" w:hAnsi="Times New Roman" w:cs="Times New Roman"/>
          <w:sz w:val="24"/>
          <w:szCs w:val="24"/>
        </w:rPr>
      </w:pPr>
    </w:p>
    <w:p w14:paraId="3DAB19BD" w14:textId="0590837C" w:rsidR="00EA1B80" w:rsidRPr="00796736" w:rsidRDefault="00EA1B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_Ref232943930 \n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3.24</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07ABFF5F" w14:textId="77777777" w:rsidR="00EA1B80" w:rsidRPr="00796736" w:rsidRDefault="00EA1B80" w:rsidP="00A802A5">
      <w:pPr>
        <w:spacing w:line="360" w:lineRule="auto"/>
        <w:rPr>
          <w:rFonts w:ascii="Times New Roman" w:hAnsi="Times New Roman" w:cs="Times New Roman"/>
          <w:i/>
          <w:iCs/>
          <w:sz w:val="24"/>
          <w:szCs w:val="24"/>
        </w:rPr>
      </w:pPr>
    </w:p>
    <w:p w14:paraId="58ED7458" w14:textId="77777777" w:rsidR="0011152E" w:rsidRPr="00796736" w:rsidRDefault="0011152E" w:rsidP="00A802A5">
      <w:pPr>
        <w:spacing w:line="360" w:lineRule="auto"/>
        <w:rPr>
          <w:rFonts w:ascii="Times New Roman" w:hAnsi="Times New Roman" w:cs="Times New Roman"/>
          <w:i/>
          <w:iCs/>
          <w:sz w:val="24"/>
          <w:szCs w:val="24"/>
        </w:rPr>
      </w:pPr>
    </w:p>
    <w:p w14:paraId="7D1C9A9A" w14:textId="6431224F" w:rsidR="0011152E" w:rsidRPr="00796736" w:rsidRDefault="00240DBE" w:rsidP="00A802A5">
      <w:pPr>
        <w:pStyle w:val="Undertitel"/>
      </w:pPr>
      <w:bookmarkStart w:id="1926" w:name="_Toc232109357"/>
      <w:bookmarkStart w:id="1927" w:name="_Toc244879321"/>
      <w:bookmarkStart w:id="1928" w:name="_Toc244880846"/>
      <w:r w:rsidRPr="00796736">
        <w:t xml:space="preserve">Til </w:t>
      </w:r>
      <w:r w:rsidR="006719DB" w:rsidRPr="00796736">
        <w:fldChar w:fldCharType="begin"/>
      </w:r>
      <w:r w:rsidR="006719DB" w:rsidRPr="00796736">
        <w:instrText xml:space="preserve"> REF _Ref232596055 \r \h </w:instrText>
      </w:r>
      <w:r w:rsidR="00967618" w:rsidRPr="00796736">
        <w:instrText xml:space="preserve"> \* MERGEFORMAT </w:instrText>
      </w:r>
      <w:r w:rsidR="006719DB" w:rsidRPr="00796736">
        <w:fldChar w:fldCharType="separate"/>
      </w:r>
      <w:r w:rsidR="008F29E5">
        <w:t>§ 25</w:t>
      </w:r>
      <w:bookmarkEnd w:id="1927"/>
      <w:bookmarkEnd w:id="1928"/>
      <w:r w:rsidR="006719DB" w:rsidRPr="00796736">
        <w:fldChar w:fldCharType="end"/>
      </w:r>
      <w:r w:rsidR="009D4710" w:rsidRPr="00796736">
        <w:t xml:space="preserve"> </w:t>
      </w:r>
      <w:bookmarkEnd w:id="1926"/>
    </w:p>
    <w:p w14:paraId="4ADA5E68"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29 a indeholder visse regler for Hvidvasksekretariatets udveksling af oplysninger med andre landes FIU’er. </w:t>
      </w:r>
    </w:p>
    <w:p w14:paraId="3664995E" w14:textId="77777777" w:rsidR="0050440D" w:rsidRPr="00796736" w:rsidRDefault="0050440D" w:rsidP="00A802A5">
      <w:pPr>
        <w:spacing w:line="360" w:lineRule="auto"/>
        <w:rPr>
          <w:rFonts w:ascii="Times New Roman" w:hAnsi="Times New Roman" w:cs="Times New Roman"/>
          <w:sz w:val="24"/>
          <w:szCs w:val="24"/>
        </w:rPr>
      </w:pPr>
    </w:p>
    <w:p w14:paraId="4C5C7FF8"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Dertil kommer, at Hvidvasksekretariatets samarbejde og udveksling af oplysninger med andre medlemsstaters FIU’er er nærmere reguleret i FIU-cirkulærets §§ 5-7. </w:t>
      </w:r>
    </w:p>
    <w:p w14:paraId="20E4BAF3" w14:textId="77777777" w:rsidR="0011152E" w:rsidRPr="00796736" w:rsidRDefault="0011152E" w:rsidP="00A802A5">
      <w:pPr>
        <w:spacing w:line="360" w:lineRule="auto"/>
        <w:rPr>
          <w:rFonts w:ascii="Times New Roman" w:hAnsi="Times New Roman" w:cs="Times New Roman"/>
          <w:sz w:val="24"/>
          <w:szCs w:val="24"/>
        </w:rPr>
      </w:pPr>
    </w:p>
    <w:p w14:paraId="01E4B5D4" w14:textId="66B7D46B"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beskrivelse af gældende ret henvises til pkt. </w:t>
      </w:r>
      <w:r w:rsidR="002645AB" w:rsidRPr="00796736">
        <w:rPr>
          <w:rFonts w:ascii="Times New Roman" w:hAnsi="Times New Roman" w:cs="Times New Roman"/>
          <w:sz w:val="24"/>
          <w:szCs w:val="24"/>
        </w:rPr>
        <w:fldChar w:fldCharType="begin"/>
      </w:r>
      <w:r w:rsidR="002645AB" w:rsidRPr="00796736">
        <w:rPr>
          <w:rFonts w:ascii="Times New Roman" w:hAnsi="Times New Roman" w:cs="Times New Roman"/>
          <w:sz w:val="24"/>
          <w:szCs w:val="24"/>
        </w:rPr>
        <w:instrText xml:space="preserve"> REF _Ref232943939 \n \h </w:instrText>
      </w:r>
      <w:r w:rsidR="00967618" w:rsidRPr="00796736">
        <w:rPr>
          <w:rFonts w:ascii="Times New Roman" w:hAnsi="Times New Roman" w:cs="Times New Roman"/>
          <w:sz w:val="24"/>
          <w:szCs w:val="24"/>
        </w:rPr>
        <w:instrText xml:space="preserve"> \* MERGEFORMAT </w:instrText>
      </w:r>
      <w:r w:rsidR="002645AB" w:rsidRPr="00796736">
        <w:rPr>
          <w:rFonts w:ascii="Times New Roman" w:hAnsi="Times New Roman" w:cs="Times New Roman"/>
          <w:sz w:val="24"/>
          <w:szCs w:val="24"/>
        </w:rPr>
      </w:r>
      <w:r w:rsidR="002645A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3.23.1</w:t>
      </w:r>
      <w:r w:rsidR="002645AB" w:rsidRPr="00796736">
        <w:rPr>
          <w:rFonts w:ascii="Times New Roman" w:hAnsi="Times New Roman" w:cs="Times New Roman"/>
          <w:sz w:val="24"/>
          <w:szCs w:val="24"/>
        </w:rPr>
        <w:fldChar w:fldCharType="end"/>
      </w:r>
      <w:r w:rsidR="002645AB"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E20264F" w14:textId="77777777" w:rsidR="0011152E" w:rsidRPr="00796736" w:rsidRDefault="0011152E" w:rsidP="00A802A5">
      <w:pPr>
        <w:spacing w:line="360" w:lineRule="auto"/>
        <w:rPr>
          <w:rFonts w:ascii="Times New Roman" w:hAnsi="Times New Roman" w:cs="Times New Roman"/>
          <w:sz w:val="24"/>
          <w:szCs w:val="24"/>
        </w:rPr>
      </w:pPr>
    </w:p>
    <w:p w14:paraId="2BE40374" w14:textId="4C4A34E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at indsætte</w:t>
      </w:r>
      <w:r w:rsidRPr="00796736">
        <w:rPr>
          <w:rFonts w:ascii="Times New Roman" w:hAnsi="Times New Roman" w:cs="Times New Roman"/>
          <w:i/>
          <w:iCs/>
          <w:sz w:val="24"/>
          <w:szCs w:val="24"/>
        </w:rPr>
        <w:t xml:space="preserve"> </w:t>
      </w:r>
      <w:r w:rsidR="00074750" w:rsidRPr="00796736">
        <w:rPr>
          <w:rFonts w:ascii="Times New Roman" w:hAnsi="Times New Roman" w:cs="Times New Roman"/>
          <w:i/>
          <w:iCs/>
          <w:sz w:val="24"/>
          <w:szCs w:val="24"/>
        </w:rPr>
        <w:fldChar w:fldCharType="begin"/>
      </w:r>
      <w:r w:rsidR="00074750" w:rsidRPr="00796736">
        <w:rPr>
          <w:rFonts w:ascii="Times New Roman" w:hAnsi="Times New Roman" w:cs="Times New Roman"/>
          <w:i/>
          <w:iCs/>
          <w:sz w:val="24"/>
          <w:szCs w:val="24"/>
        </w:rPr>
        <w:instrText xml:space="preserve"> REF _Ref232596055 \r \h </w:instrText>
      </w:r>
      <w:r w:rsidR="00AB17CC" w:rsidRPr="00796736">
        <w:rPr>
          <w:rFonts w:ascii="Times New Roman" w:hAnsi="Times New Roman" w:cs="Times New Roman"/>
          <w:i/>
          <w:iCs/>
          <w:sz w:val="24"/>
          <w:szCs w:val="24"/>
        </w:rPr>
        <w:instrText xml:space="preserve"> \* MERGEFORMAT </w:instrText>
      </w:r>
      <w:r w:rsidR="00074750" w:rsidRPr="00796736">
        <w:rPr>
          <w:rFonts w:ascii="Times New Roman" w:hAnsi="Times New Roman" w:cs="Times New Roman"/>
          <w:i/>
          <w:iCs/>
          <w:sz w:val="24"/>
          <w:szCs w:val="24"/>
        </w:rPr>
      </w:r>
      <w:r w:rsidR="0007475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25</w:t>
      </w:r>
      <w:r w:rsidR="00074750" w:rsidRPr="00796736">
        <w:rPr>
          <w:rFonts w:ascii="Times New Roman" w:hAnsi="Times New Roman" w:cs="Times New Roman"/>
          <w:i/>
          <w:iCs/>
          <w:sz w:val="24"/>
          <w:szCs w:val="24"/>
        </w:rPr>
        <w:fldChar w:fldCharType="end"/>
      </w:r>
      <w:r w:rsidR="00796736" w:rsidRPr="00796736">
        <w:rPr>
          <w:rFonts w:ascii="Times New Roman" w:hAnsi="Times New Roman" w:cs="Times New Roman"/>
          <w:i/>
          <w:iCs/>
          <w:sz w:val="24"/>
          <w:szCs w:val="24"/>
        </w:rPr>
        <w:t>.</w:t>
      </w:r>
    </w:p>
    <w:p w14:paraId="65653AA0" w14:textId="77777777" w:rsidR="0050440D" w:rsidRPr="00796736" w:rsidRDefault="0050440D" w:rsidP="00A802A5">
      <w:pPr>
        <w:spacing w:line="360" w:lineRule="auto"/>
        <w:rPr>
          <w:rFonts w:ascii="Times New Roman" w:hAnsi="Times New Roman" w:cs="Times New Roman"/>
          <w:sz w:val="24"/>
          <w:szCs w:val="24"/>
        </w:rPr>
      </w:pPr>
    </w:p>
    <w:p w14:paraId="778702E2"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w:t>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lægges der op til at fastsætte regler om udveksling af oplysninger mellem FIU'er og samarbejdet mellem FIU’er i øvrigt.</w:t>
      </w:r>
    </w:p>
    <w:p w14:paraId="7C2BE9CB" w14:textId="77777777" w:rsidR="0011152E" w:rsidRPr="00796736" w:rsidRDefault="0011152E" w:rsidP="00A802A5">
      <w:pPr>
        <w:spacing w:line="360" w:lineRule="auto"/>
        <w:rPr>
          <w:rFonts w:ascii="Times New Roman" w:hAnsi="Times New Roman" w:cs="Times New Roman"/>
          <w:sz w:val="24"/>
          <w:szCs w:val="24"/>
        </w:rPr>
      </w:pPr>
    </w:p>
    <w:p w14:paraId="3BB50F73" w14:textId="77777777"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Hvidvasksekretariatet skal samarbejde med FIU’er i andre medlemsstater i videst muligt omfang, uanset FIU’ernes organisatoriske status.</w:t>
      </w:r>
    </w:p>
    <w:p w14:paraId="2C1E8E9D" w14:textId="77777777" w:rsidR="0011152E" w:rsidRPr="00796736" w:rsidRDefault="0011152E" w:rsidP="00A802A5">
      <w:pPr>
        <w:spacing w:line="360" w:lineRule="auto"/>
        <w:rPr>
          <w:rFonts w:ascii="Times New Roman" w:hAnsi="Times New Roman" w:cs="Times New Roman"/>
          <w:sz w:val="24"/>
          <w:szCs w:val="24"/>
        </w:rPr>
      </w:pPr>
    </w:p>
    <w:p w14:paraId="2B51DCBA" w14:textId="06D1C918"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være en videreførelse af FIU-cirkulærets § 5, stk. 1, og vil indebære, at Hvidvasksekretariatet i videst muligt omfang skal samarbejde med FIU’er i andre medlemsstater. Dette vil gælde uanset FIU’ernes organisatoriske status.</w:t>
      </w:r>
      <w:r w:rsidR="0050440D" w:rsidRPr="00796736">
        <w:rPr>
          <w:rFonts w:ascii="Times New Roman" w:hAnsi="Times New Roman" w:cs="Times New Roman"/>
          <w:sz w:val="24"/>
          <w:szCs w:val="24"/>
        </w:rPr>
        <w:t xml:space="preserve"> Den foreslåede bestemmelse gennemfører 6. hvidvaskdirektivs artikel 29.</w:t>
      </w:r>
    </w:p>
    <w:p w14:paraId="1945B58E" w14:textId="77777777" w:rsidR="0050440D" w:rsidRPr="00796736" w:rsidRDefault="0050440D" w:rsidP="00A802A5">
      <w:pPr>
        <w:spacing w:line="360" w:lineRule="auto"/>
        <w:rPr>
          <w:rFonts w:ascii="Times New Roman" w:hAnsi="Times New Roman" w:cs="Times New Roman"/>
          <w:sz w:val="24"/>
          <w:szCs w:val="24"/>
        </w:rPr>
      </w:pPr>
    </w:p>
    <w:p w14:paraId="481719F5" w14:textId="77777777" w:rsidR="004839F3" w:rsidRPr="00796736" w:rsidRDefault="004839F3" w:rsidP="004839F3">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Hvidvasksekretariatet af egen drift eller efter anmodning videregiver alle oplysninger, som måtte være relevante for FIU’ernes behandling eller analyse af oplysninger om hvidvask, de underliggende lovovertrædelser eller </w:t>
      </w:r>
      <w:r>
        <w:rPr>
          <w:rFonts w:ascii="Times New Roman" w:hAnsi="Times New Roman" w:cs="Times New Roman"/>
          <w:sz w:val="24"/>
          <w:szCs w:val="24"/>
        </w:rPr>
        <w:t>terror</w:t>
      </w:r>
      <w:r w:rsidRPr="00796736">
        <w:rPr>
          <w:rFonts w:ascii="Times New Roman" w:hAnsi="Times New Roman" w:cs="Times New Roman"/>
          <w:sz w:val="24"/>
          <w:szCs w:val="24"/>
        </w:rPr>
        <w:t>finansiering og de fysiske eller juridiske personer, der er involveret.</w:t>
      </w:r>
    </w:p>
    <w:p w14:paraId="333CB736" w14:textId="77777777" w:rsidR="0011152E" w:rsidRPr="00796736" w:rsidRDefault="0011152E" w:rsidP="00A802A5">
      <w:pPr>
        <w:spacing w:line="360" w:lineRule="auto"/>
        <w:rPr>
          <w:rFonts w:ascii="Times New Roman" w:hAnsi="Times New Roman" w:cs="Times New Roman"/>
          <w:sz w:val="24"/>
          <w:szCs w:val="24"/>
        </w:rPr>
      </w:pPr>
    </w:p>
    <w:p w14:paraId="0E6AAF03" w14:textId="33500A74"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 det væsentligste være en videreførelse af FIU-cirkulærets § 6, stk. 1, og vil medføre, at Hvidvasksekretariatet af egen drift eller efter anmodning vil skulle videregive alle oplysninger, som måtte være relevante for FIU’ernes behandling eller analyse af oplysninger om hvidvask, de underliggende lovovertrædelser eller </w:t>
      </w:r>
      <w:r w:rsidR="00EB57D1">
        <w:rPr>
          <w:rFonts w:ascii="Times New Roman" w:hAnsi="Times New Roman" w:cs="Times New Roman"/>
          <w:sz w:val="24"/>
          <w:szCs w:val="24"/>
        </w:rPr>
        <w:t>terror</w:t>
      </w:r>
      <w:r w:rsidRPr="00796736">
        <w:rPr>
          <w:rFonts w:ascii="Times New Roman" w:hAnsi="Times New Roman" w:cs="Times New Roman"/>
          <w:sz w:val="24"/>
          <w:szCs w:val="24"/>
        </w:rPr>
        <w:t>finansiering og de fysiske eller juridiske personer, der er involveret. Med FIU’er forstås andre EU-medlemsstaters FIU’er. Den foreslåede bestemmelse skal dermed forstås i overensstemmelse med den nugældende regel i FIU-cirkulærets § 6, stk. 1, og praksis herom, med de ændringer, som følger af den foreslåede bestemmelse.</w:t>
      </w:r>
    </w:p>
    <w:p w14:paraId="2E79CF9F" w14:textId="77777777" w:rsidR="0011152E" w:rsidRPr="00796736" w:rsidRDefault="0011152E" w:rsidP="00A802A5">
      <w:pPr>
        <w:spacing w:line="360" w:lineRule="auto"/>
        <w:rPr>
          <w:rFonts w:ascii="Times New Roman" w:hAnsi="Times New Roman" w:cs="Times New Roman"/>
          <w:sz w:val="24"/>
          <w:szCs w:val="24"/>
        </w:rPr>
      </w:pPr>
    </w:p>
    <w:p w14:paraId="270081F9" w14:textId="77777777" w:rsidR="00EB57D1" w:rsidRPr="00D253F0" w:rsidRDefault="00EB57D1"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Den foreslåede bestemmelse skal bl.a. ses i lyset af hvidvaskdirektivets præambelbetragtning nr. 75, hvorefter formålet med FIU'en er at indsamle og analysere oplysninger med henblik på at påvise forbindelser mellem mistænkelige transaktioner eller aktiviteter og underliggende kriminelle handlinger for at forebygge og bekæmpe hvidvask og </w:t>
      </w:r>
      <w:r>
        <w:rPr>
          <w:rFonts w:ascii="Times New Roman" w:hAnsi="Times New Roman" w:cs="Times New Roman"/>
          <w:sz w:val="24"/>
          <w:szCs w:val="24"/>
        </w:rPr>
        <w:t>terror</w:t>
      </w:r>
      <w:r w:rsidRPr="00D253F0">
        <w:rPr>
          <w:rFonts w:ascii="Times New Roman" w:hAnsi="Times New Roman" w:cs="Times New Roman"/>
          <w:sz w:val="24"/>
          <w:szCs w:val="24"/>
        </w:rPr>
        <w:t xml:space="preserve">finansiering og at videreformidle analyseresultaterne sammen med supplerende oplysninger til de kompetente myndigheder, når der er begrundet mistanke om hvidvask, de underliggende lovovertrædelser eller </w:t>
      </w:r>
      <w:r>
        <w:rPr>
          <w:rFonts w:ascii="Times New Roman" w:hAnsi="Times New Roman" w:cs="Times New Roman"/>
          <w:sz w:val="24"/>
          <w:szCs w:val="24"/>
        </w:rPr>
        <w:t>terror</w:t>
      </w:r>
      <w:r w:rsidRPr="00D253F0">
        <w:rPr>
          <w:rFonts w:ascii="Times New Roman" w:hAnsi="Times New Roman" w:cs="Times New Roman"/>
          <w:sz w:val="24"/>
          <w:szCs w:val="24"/>
        </w:rPr>
        <w:t>finansiering af terrorisme.</w:t>
      </w:r>
    </w:p>
    <w:p w14:paraId="704F094F" w14:textId="77777777" w:rsidR="0050440D" w:rsidRPr="00796736" w:rsidRDefault="0050440D" w:rsidP="00A802A5">
      <w:pPr>
        <w:spacing w:line="360" w:lineRule="auto"/>
        <w:rPr>
          <w:rFonts w:ascii="Times New Roman" w:hAnsi="Times New Roman" w:cs="Times New Roman"/>
          <w:sz w:val="24"/>
          <w:szCs w:val="24"/>
        </w:rPr>
      </w:pPr>
    </w:p>
    <w:p w14:paraId="7504592B"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skal endvidere ses i sammenhæng med den foreslåede stk. 4, hvorefter videregivelser vil kunne foretages, uanset hvilken type underliggende lovovertrædelse, det måtte dreje sig om, og selv hvis det på tidspunktet for videregivelsen ikke er konstateret, hvilken type underliggende lovovertrædelser der evt. er tale om. </w:t>
      </w:r>
    </w:p>
    <w:p w14:paraId="42DDC95F" w14:textId="77777777" w:rsidR="0050440D" w:rsidRPr="00796736" w:rsidRDefault="0050440D" w:rsidP="00A802A5">
      <w:pPr>
        <w:spacing w:line="360" w:lineRule="auto"/>
        <w:rPr>
          <w:rFonts w:ascii="Times New Roman" w:hAnsi="Times New Roman" w:cs="Times New Roman"/>
          <w:sz w:val="24"/>
          <w:szCs w:val="24"/>
        </w:rPr>
      </w:pPr>
    </w:p>
    <w:p w14:paraId="51831A00"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bl.a. indebære, at Hvidvasksekretariatet også af egen drift kan videregive de pågældende oplysninger. Hermed sigtes navnlig til tilfælde omfattet af det foreslåede stk. 6 eller andre lignende tilfælde, hvor Hvidvasksekretariatet bliver opmærksom på forhold, som klart er at betragte som relevante for en anden medlemsstats FIU. </w:t>
      </w:r>
    </w:p>
    <w:p w14:paraId="2D895FB2" w14:textId="77777777" w:rsidR="0050440D" w:rsidRPr="00796736" w:rsidRDefault="0050440D" w:rsidP="00A802A5">
      <w:pPr>
        <w:spacing w:line="360" w:lineRule="auto"/>
        <w:rPr>
          <w:rFonts w:ascii="Times New Roman" w:hAnsi="Times New Roman" w:cs="Times New Roman"/>
          <w:sz w:val="24"/>
          <w:szCs w:val="24"/>
        </w:rPr>
      </w:pPr>
    </w:p>
    <w:p w14:paraId="0A290682"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den foreslåede bestemmelse i stk. 2 udgør den generelle bestemmelse om Hvidvasksekretariatets videregivelse, som suppleres af de mere specifikke regler i de foreslåede stk. 6, og stk. 8, 2. pkt. Der henvises til disse bestemmelser og bemærkningerne hertil.  </w:t>
      </w:r>
    </w:p>
    <w:p w14:paraId="40B5FE01" w14:textId="77777777" w:rsidR="0011152E" w:rsidRPr="00796736" w:rsidRDefault="0011152E" w:rsidP="00A802A5">
      <w:pPr>
        <w:spacing w:line="360" w:lineRule="auto"/>
        <w:rPr>
          <w:rFonts w:ascii="Times New Roman" w:hAnsi="Times New Roman" w:cs="Times New Roman"/>
          <w:sz w:val="24"/>
          <w:szCs w:val="24"/>
        </w:rPr>
      </w:pPr>
    </w:p>
    <w:p w14:paraId="2EC132BE"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Hvidvasksekretariatet kan anmode en anden FIU om at modtage alle oplysninger, som måtte være relevante for Hvidvasksekretariatets behandling eller analyse af oplysninger om hvidvask, de underliggende lovovertrædelser eller finansiering af terrorisme og de fysiske eller juridiske personer, der er involveret. </w:t>
      </w:r>
    </w:p>
    <w:p w14:paraId="0332222E" w14:textId="77777777" w:rsidR="0050440D" w:rsidRPr="00796736" w:rsidRDefault="0050440D" w:rsidP="00A802A5">
      <w:pPr>
        <w:spacing w:line="360" w:lineRule="auto"/>
        <w:rPr>
          <w:rFonts w:ascii="Times New Roman" w:hAnsi="Times New Roman" w:cs="Times New Roman"/>
          <w:sz w:val="24"/>
          <w:szCs w:val="24"/>
        </w:rPr>
      </w:pPr>
    </w:p>
    <w:p w14:paraId="3627A31D"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angår Hvidvasksekretariatets muligheder for at anmode en anden FIU om at modtage oplysninger. Bestemmelsens skal ses i sammenhæng med den foreslåede stk. 5, som nærmere konkretiserer indholdet af anmodningerne efter den foreslåede bestemmelse. </w:t>
      </w:r>
    </w:p>
    <w:p w14:paraId="29A96ACD" w14:textId="77777777" w:rsidR="0050440D" w:rsidRPr="00796736" w:rsidRDefault="0050440D" w:rsidP="00A802A5">
      <w:pPr>
        <w:spacing w:line="360" w:lineRule="auto"/>
        <w:rPr>
          <w:rFonts w:ascii="Times New Roman" w:hAnsi="Times New Roman" w:cs="Times New Roman"/>
          <w:sz w:val="24"/>
          <w:szCs w:val="24"/>
        </w:rPr>
      </w:pPr>
    </w:p>
    <w:p w14:paraId="6372F716"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vil efter bestemmelsen være et krav, at de pågældende oplysninger er relevante for Hvidvasksekretariatets behandling eller analyse af oplysninger om hvidvask, de underliggende lovovertrædelser eller terrorfinansiering. Heri ligger der et krav om nødvendighed, som indebærer, at anmodningen skal være begrundet i en sådan behandling eller analyse.</w:t>
      </w:r>
    </w:p>
    <w:p w14:paraId="4C7E052C" w14:textId="77777777" w:rsidR="0050440D" w:rsidRPr="00796736" w:rsidRDefault="0050440D" w:rsidP="00A802A5">
      <w:pPr>
        <w:spacing w:line="360" w:lineRule="auto"/>
        <w:rPr>
          <w:rFonts w:ascii="Times New Roman" w:hAnsi="Times New Roman" w:cs="Times New Roman"/>
          <w:sz w:val="24"/>
          <w:szCs w:val="24"/>
        </w:rPr>
      </w:pPr>
    </w:p>
    <w:p w14:paraId="19993E55"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4, </w:t>
      </w:r>
      <w:r w:rsidRPr="00796736">
        <w:rPr>
          <w:rFonts w:ascii="Times New Roman" w:hAnsi="Times New Roman" w:cs="Times New Roman"/>
          <w:sz w:val="24"/>
          <w:szCs w:val="24"/>
        </w:rPr>
        <w:t>at videregivelser efter stk. 2 og anmodninger efter stk. 3 kan foretages, uanset hvilken type underliggende lovovertrædelse det måtte dreje sig om, og selv hvis det på tidspunktet for udvekslingen ikke er konstateret, hvilken type underliggende lovovertrædelse der eventuelt er tale om.</w:t>
      </w:r>
    </w:p>
    <w:p w14:paraId="26F8F216" w14:textId="77777777" w:rsidR="0050440D" w:rsidRPr="00796736" w:rsidRDefault="0050440D" w:rsidP="00A802A5">
      <w:pPr>
        <w:spacing w:line="360" w:lineRule="auto"/>
        <w:rPr>
          <w:rFonts w:ascii="Times New Roman" w:hAnsi="Times New Roman" w:cs="Times New Roman"/>
          <w:sz w:val="24"/>
          <w:szCs w:val="24"/>
        </w:rPr>
      </w:pPr>
    </w:p>
    <w:p w14:paraId="376BFA1A"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Hvidvasksekretariatet vil kunne videregive oplysninger efter det foreslåede stk. 2 og fremsætte anmodninger efter det foreslåede stk. 3, uanset hvilken type underliggende lovovertrædelse, som den pågældende videregivelse eller anmodning måtte dreje sig om. Dette indebærer, at der ikke gælder et krav om en vis grovhed eller forbrydelsestype, førend en videregivelse kan imødekommes eller anmodning fremsættes. </w:t>
      </w:r>
    </w:p>
    <w:p w14:paraId="4466958E" w14:textId="77777777" w:rsidR="0050440D" w:rsidRPr="00796736" w:rsidRDefault="0050440D" w:rsidP="00A802A5">
      <w:pPr>
        <w:spacing w:line="360" w:lineRule="auto"/>
        <w:rPr>
          <w:rFonts w:ascii="Times New Roman" w:hAnsi="Times New Roman" w:cs="Times New Roman"/>
          <w:sz w:val="24"/>
          <w:szCs w:val="24"/>
        </w:rPr>
      </w:pPr>
    </w:p>
    <w:p w14:paraId="2E8447D2"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efter den foreslåede bestemmelse heller ikke være et krav, at det på tidspunktet for udvekslingen er konstateret, hvilken type underliggende lovovertrædelse der eventuelt er tale om. Den anmodende FIU, henholdsvis Hvidvasksekretariatet, vil således alene skulle begrunde en anmodning under henvisning til, at den har relation til behandling eller analyse af oplysninger om underliggende lovovertrædelser, uanset at disse hverken kan kvalificeres eller karakteriseres nærmere. </w:t>
      </w:r>
    </w:p>
    <w:p w14:paraId="23C417F6" w14:textId="77777777" w:rsidR="0050440D" w:rsidRPr="00796736" w:rsidRDefault="0050440D" w:rsidP="00A802A5">
      <w:pPr>
        <w:spacing w:line="360" w:lineRule="auto"/>
        <w:rPr>
          <w:rFonts w:ascii="Times New Roman" w:hAnsi="Times New Roman" w:cs="Times New Roman"/>
          <w:sz w:val="24"/>
          <w:szCs w:val="24"/>
        </w:rPr>
      </w:pPr>
    </w:p>
    <w:p w14:paraId="34D7F596"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5, </w:t>
      </w:r>
      <w:r w:rsidRPr="00796736">
        <w:rPr>
          <w:rFonts w:ascii="Times New Roman" w:hAnsi="Times New Roman" w:cs="Times New Roman"/>
          <w:sz w:val="24"/>
          <w:szCs w:val="24"/>
        </w:rPr>
        <w:t>at Hvidvasksekretariatets anmodninger efter stk. 3 skal indeholde de relevante kendsgerninger, baggrundsoplysninger, en begrundelse for anmodningen, oplysningernes forbindelse til det land, hvor den anmodede FIU er hjemmehørende, og en beskrivelse af, hvordan de ønskede oplysninger vil blive brugt.</w:t>
      </w:r>
    </w:p>
    <w:p w14:paraId="09355635" w14:textId="77777777" w:rsidR="0011152E" w:rsidRPr="00796736" w:rsidRDefault="0011152E" w:rsidP="00A802A5">
      <w:pPr>
        <w:spacing w:line="360" w:lineRule="auto"/>
        <w:rPr>
          <w:rFonts w:ascii="Times New Roman" w:hAnsi="Times New Roman" w:cs="Times New Roman"/>
          <w:sz w:val="24"/>
          <w:szCs w:val="24"/>
        </w:rPr>
      </w:pPr>
    </w:p>
    <w:p w14:paraId="5E38D58A" w14:textId="77777777"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udgøre en videreførelse af FIU-cirkulærets § 7, stk. 2, dog således at det som noget nyt er tilføjet, at anmodningen også skal indeholde oplysninger om forbindelser med det land, hvor den anmodede FIU er hjemmehørende.</w:t>
      </w:r>
    </w:p>
    <w:p w14:paraId="4565085E" w14:textId="77777777" w:rsidR="0011152E" w:rsidRPr="00796736" w:rsidRDefault="0011152E" w:rsidP="00A802A5">
      <w:pPr>
        <w:spacing w:line="360" w:lineRule="auto"/>
        <w:rPr>
          <w:rFonts w:ascii="Times New Roman" w:hAnsi="Times New Roman" w:cs="Times New Roman"/>
          <w:sz w:val="24"/>
          <w:szCs w:val="24"/>
        </w:rPr>
      </w:pPr>
    </w:p>
    <w:p w14:paraId="4FFED3F1" w14:textId="6FC22134"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skal ses i lyset af hvidvaskdirektivets præambelbetragtning nr. 75, hvoraf bl.a. fremgår, at en FIU ikke bør afholde sig fra eller nægte at udveksle oplysninger med en anden FIU, hverken spontant eller efter anmodning, på grundlag såsom manglende identifikation af en underliggende lovovertrædelse, særlige bestemmelser i national strafferet og forskelle i definitionerne af underliggende lovovertrædelser eller manglende henvisning til bestemte underliggende lovovertrædelser. Der henvises i den forbindelse til lovforslagets</w:t>
      </w:r>
      <w:r w:rsidR="00C17822"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 </w:t>
      </w:r>
      <w:r w:rsidR="00001AC7" w:rsidRPr="00796736">
        <w:rPr>
          <w:rFonts w:ascii="Times New Roman" w:hAnsi="Times New Roman" w:cs="Times New Roman"/>
          <w:sz w:val="24"/>
          <w:szCs w:val="24"/>
        </w:rPr>
        <w:t>28</w:t>
      </w:r>
      <w:r w:rsidRPr="00796736">
        <w:rPr>
          <w:rFonts w:ascii="Times New Roman" w:hAnsi="Times New Roman" w:cs="Times New Roman"/>
          <w:sz w:val="24"/>
          <w:szCs w:val="24"/>
        </w:rPr>
        <w:t>, der vil gennemføre hvidvaskdirektivets artikel 35.</w:t>
      </w:r>
    </w:p>
    <w:p w14:paraId="7E159D90" w14:textId="77777777" w:rsidR="0011152E" w:rsidRPr="00796736" w:rsidRDefault="0011152E" w:rsidP="00A802A5">
      <w:pPr>
        <w:spacing w:line="360" w:lineRule="auto"/>
        <w:rPr>
          <w:rFonts w:ascii="Times New Roman" w:hAnsi="Times New Roman" w:cs="Times New Roman"/>
          <w:sz w:val="24"/>
          <w:szCs w:val="24"/>
        </w:rPr>
      </w:pPr>
    </w:p>
    <w:p w14:paraId="2E5330AB" w14:textId="6E7C1AAC" w:rsidR="0011152E"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6, </w:t>
      </w:r>
      <w:r w:rsidRPr="00796736">
        <w:rPr>
          <w:rFonts w:ascii="Times New Roman" w:hAnsi="Times New Roman" w:cs="Times New Roman"/>
          <w:sz w:val="24"/>
          <w:szCs w:val="24"/>
        </w:rPr>
        <w:t>at modtager Hvidvasksekretariatet en underretning efter hvidvaskforordningens artikel 69, stk. 1, 1. afsnit, litra a, der vedrører en anden medlemsstat, fremsender Hvidvasksekretariatet omgående underretningen eller alle relevante oplysninger fra underretningen, til FIU’en i den pågældende medlemsstat.</w:t>
      </w:r>
    </w:p>
    <w:p w14:paraId="09802C6C" w14:textId="77777777" w:rsidR="00EB57D1" w:rsidRPr="00796736" w:rsidRDefault="00EB57D1" w:rsidP="00A802A5">
      <w:pPr>
        <w:spacing w:line="360" w:lineRule="auto"/>
        <w:rPr>
          <w:rFonts w:ascii="Times New Roman" w:hAnsi="Times New Roman" w:cs="Times New Roman"/>
          <w:sz w:val="24"/>
          <w:szCs w:val="24"/>
        </w:rPr>
      </w:pPr>
    </w:p>
    <w:p w14:paraId="377F6BA6"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 det væsentligste udgøre en videreførelse af FIU-cirkulærets § 6, stk. 2, og vil medføre, at Hvidvasksekretariatet omgående vil skulle fremsende en indberetning modtaget i henhold til artikel 69, stk. 1, 1. afsnit, litra a, i hvidvaskforordningen, der vedrører en anden medlemsstat, eller alle relevante oplysninger indhentet herfra, til FIU’en i den anden medlemsstat. Det bemærkes, at Hvidvasksekretariatet efter den foreslåede bestemmelse – i stedet for indberetningen – vil kunne fremsende alle relevante oplysninger fra underretningen, hvilket er nyt i forhold til gældende ret. Dette vil efter omstændighederne tillige kunne omfatte yderligere indhentede oplysninger, såfremt sådanne oplysninger opfylder betingelserne for videregivelse. Med ”omgående” menes, at Hvidvasksekretariatet ufortøvet skal søge at videregive pågældende oplysninger så hurtigt som muligt.  </w:t>
      </w:r>
    </w:p>
    <w:p w14:paraId="4692032C" w14:textId="77777777" w:rsidR="0011152E" w:rsidRPr="00796736" w:rsidRDefault="0011152E" w:rsidP="00A802A5">
      <w:pPr>
        <w:spacing w:line="360" w:lineRule="auto"/>
        <w:rPr>
          <w:rFonts w:ascii="Times New Roman" w:hAnsi="Times New Roman" w:cs="Times New Roman"/>
          <w:sz w:val="24"/>
          <w:szCs w:val="24"/>
        </w:rPr>
      </w:pPr>
    </w:p>
    <w:p w14:paraId="435155AE" w14:textId="224352BF" w:rsidR="0011152E" w:rsidRDefault="00700BC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 xml:space="preserve">stk. </w:t>
      </w:r>
      <w:r>
        <w:rPr>
          <w:rFonts w:ascii="Times New Roman" w:hAnsi="Times New Roman" w:cs="Times New Roman"/>
          <w:i/>
          <w:iCs/>
          <w:sz w:val="24"/>
          <w:szCs w:val="24"/>
        </w:rPr>
        <w:t>7</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w:t>
      </w:r>
      <w:r>
        <w:rPr>
          <w:rFonts w:ascii="Times New Roman" w:hAnsi="Times New Roman" w:cs="Times New Roman"/>
          <w:sz w:val="24"/>
          <w:szCs w:val="24"/>
        </w:rPr>
        <w:t>Hvidvasksekretariatet</w:t>
      </w:r>
      <w:r w:rsidRPr="00796736">
        <w:rPr>
          <w:rFonts w:ascii="Times New Roman" w:hAnsi="Times New Roman" w:cs="Times New Roman"/>
          <w:sz w:val="24"/>
          <w:szCs w:val="24"/>
        </w:rPr>
        <w:t>anvender alle de eksisterende beføjelser, som sekretariatet normalt ville gøre brug af til at modtage og analysere oplysninger, når sekretariatet besvarer en anmodning om videregivelse fra en anden EU-medlemsstats FIU efter stk. 2.</w:t>
      </w:r>
    </w:p>
    <w:p w14:paraId="7D9A00F5" w14:textId="77777777" w:rsidR="00700BC7" w:rsidRPr="00796736" w:rsidRDefault="00700BC7" w:rsidP="00A802A5">
      <w:pPr>
        <w:spacing w:line="360" w:lineRule="auto"/>
        <w:rPr>
          <w:rFonts w:ascii="Times New Roman" w:hAnsi="Times New Roman" w:cs="Times New Roman"/>
          <w:sz w:val="24"/>
          <w:szCs w:val="24"/>
        </w:rPr>
      </w:pPr>
    </w:p>
    <w:p w14:paraId="2250DC5D" w14:textId="77777777"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Hvidvasksekretariatet – som efter FIU-cirkulærets § 6, stk. 3, 1. pkt. – vil skulle anvende alle de eksisterende beføjelser, som sekretariatet normalt ville gøre brug af til at modtage og analysere oplysninger, når sekretariatet besvarer en anmodning fra en anden FIU efter stk. 2.</w:t>
      </w:r>
    </w:p>
    <w:p w14:paraId="1322A1B2" w14:textId="77777777" w:rsidR="0011152E" w:rsidRPr="00796736" w:rsidRDefault="0011152E" w:rsidP="00A802A5">
      <w:pPr>
        <w:spacing w:line="360" w:lineRule="auto"/>
        <w:rPr>
          <w:rFonts w:ascii="Times New Roman" w:hAnsi="Times New Roman" w:cs="Times New Roman"/>
          <w:sz w:val="24"/>
          <w:szCs w:val="24"/>
        </w:rPr>
      </w:pPr>
    </w:p>
    <w:p w14:paraId="4FD8C197" w14:textId="77777777" w:rsidR="00AB7464" w:rsidRPr="00796736" w:rsidRDefault="00AB7464" w:rsidP="00AB7464">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 xml:space="preserve">stk. </w:t>
      </w:r>
      <w:r>
        <w:rPr>
          <w:rFonts w:ascii="Times New Roman" w:hAnsi="Times New Roman" w:cs="Times New Roman"/>
          <w:i/>
          <w:iCs/>
          <w:sz w:val="24"/>
          <w:szCs w:val="24"/>
        </w:rPr>
        <w:t>8</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når Hvidvasksekretariatet søger at indhente yderligere oplysninger hos en </w:t>
      </w:r>
      <w:r>
        <w:rPr>
          <w:rFonts w:ascii="Times New Roman" w:hAnsi="Times New Roman" w:cs="Times New Roman"/>
          <w:sz w:val="24"/>
          <w:szCs w:val="24"/>
        </w:rPr>
        <w:t>virksomhed eller person omfattet af loven</w:t>
      </w:r>
      <w:r w:rsidRPr="00796736">
        <w:rPr>
          <w:rFonts w:ascii="Times New Roman" w:hAnsi="Times New Roman" w:cs="Times New Roman"/>
          <w:sz w:val="24"/>
          <w:szCs w:val="24"/>
        </w:rPr>
        <w:t xml:space="preserve">, der er etableret i en anden medlemsstat og som driver virksomhed på dens medlemsstats område, skal anmodningen rettes til FIU’en i den medlemsstat, på hvis område den </w:t>
      </w:r>
      <w:r>
        <w:rPr>
          <w:rFonts w:ascii="Times New Roman" w:hAnsi="Times New Roman" w:cs="Times New Roman"/>
          <w:sz w:val="24"/>
          <w:szCs w:val="24"/>
        </w:rPr>
        <w:t>pågældende virksomhed eller person</w:t>
      </w:r>
      <w:r w:rsidRPr="00796736">
        <w:rPr>
          <w:rFonts w:ascii="Times New Roman" w:hAnsi="Times New Roman" w:cs="Times New Roman"/>
          <w:sz w:val="24"/>
          <w:szCs w:val="24"/>
        </w:rPr>
        <w:t xml:space="preserve"> er etableret. Modtager Hvidvasksekretariatet en anmodning som beskrevet i 1. pkt. fra en anden FIU, indhenter Hvidvasksekretariatet oplysningerne i overensstemmelse med artikel 69, stk. 1, i hvidvaskforordningen, og svarer omgående.</w:t>
      </w:r>
    </w:p>
    <w:p w14:paraId="09624096" w14:textId="77777777" w:rsidR="0011152E" w:rsidRPr="00796736" w:rsidRDefault="0011152E" w:rsidP="00A802A5">
      <w:pPr>
        <w:spacing w:line="360" w:lineRule="auto"/>
        <w:rPr>
          <w:rFonts w:ascii="Times New Roman" w:hAnsi="Times New Roman" w:cs="Times New Roman"/>
          <w:sz w:val="24"/>
          <w:szCs w:val="24"/>
        </w:rPr>
      </w:pPr>
    </w:p>
    <w:p w14:paraId="32BCE8DD" w14:textId="77777777" w:rsidR="00881770" w:rsidRPr="00796736" w:rsidRDefault="00881770" w:rsidP="00881770">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FIU-cirkulærets § 6, stk. 4, og vil indebære, at Hvidvasksekretariatet skal rette en anmodning til FIU’en i den medlemsstat, på hvis område den forpligtede </w:t>
      </w:r>
      <w:r>
        <w:rPr>
          <w:rFonts w:ascii="Times New Roman" w:hAnsi="Times New Roman" w:cs="Times New Roman"/>
          <w:sz w:val="24"/>
          <w:szCs w:val="24"/>
        </w:rPr>
        <w:t>virksomhed eller person</w:t>
      </w:r>
      <w:r w:rsidRPr="00796736">
        <w:rPr>
          <w:rFonts w:ascii="Times New Roman" w:hAnsi="Times New Roman" w:cs="Times New Roman"/>
          <w:sz w:val="24"/>
          <w:szCs w:val="24"/>
        </w:rPr>
        <w:t xml:space="preserve"> er etableret, når Hvidvasksekretariatet søger at indhente yderligere oplysninger hos en </w:t>
      </w:r>
      <w:r>
        <w:rPr>
          <w:rFonts w:ascii="Times New Roman" w:hAnsi="Times New Roman" w:cs="Times New Roman"/>
          <w:sz w:val="24"/>
          <w:szCs w:val="24"/>
        </w:rPr>
        <w:t>virksomhed eller person</w:t>
      </w:r>
      <w:r w:rsidRPr="00796736">
        <w:rPr>
          <w:rFonts w:ascii="Times New Roman" w:hAnsi="Times New Roman" w:cs="Times New Roman"/>
          <w:sz w:val="24"/>
          <w:szCs w:val="24"/>
        </w:rPr>
        <w:t xml:space="preserve">, der er etableret i en anden medlemsstat og som driver virksomhed på dens medlemsstats område. Den foreslåede bestemmelse vil ligeledes indebære, at når Hvidvasksekretariatet modtager en anmodning som beskrevet i 1. pkt. om en i Danmark etableret </w:t>
      </w:r>
      <w:r>
        <w:rPr>
          <w:rFonts w:ascii="Times New Roman" w:hAnsi="Times New Roman" w:cs="Times New Roman"/>
          <w:sz w:val="24"/>
          <w:szCs w:val="24"/>
        </w:rPr>
        <w:t>virksomhed eller person</w:t>
      </w:r>
      <w:r w:rsidRPr="00796736">
        <w:rPr>
          <w:rFonts w:ascii="Times New Roman" w:hAnsi="Times New Roman" w:cs="Times New Roman"/>
          <w:sz w:val="24"/>
          <w:szCs w:val="24"/>
        </w:rPr>
        <w:t xml:space="preserve"> fra en anden FIU, skal sekretariatet indhente oplysningerne i overensstemmelse med artikel 69, stk. 1, i hvidvaskforordningen, og videregive de indhentede oplysninger omgående. Med omgående menes, at Hvidvasksekretariatet ufortøvet skal søge at indhente og videregive pågældende oplysninger så hurtigt som muligt.  </w:t>
      </w:r>
    </w:p>
    <w:p w14:paraId="733C9213" w14:textId="77777777" w:rsidR="0050440D" w:rsidRPr="00796736" w:rsidRDefault="0050440D" w:rsidP="00A802A5">
      <w:pPr>
        <w:spacing w:line="360" w:lineRule="auto"/>
        <w:rPr>
          <w:rFonts w:ascii="Times New Roman" w:hAnsi="Times New Roman" w:cs="Times New Roman"/>
          <w:sz w:val="24"/>
          <w:szCs w:val="24"/>
        </w:rPr>
      </w:pPr>
    </w:p>
    <w:p w14:paraId="75BCD10B"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9,</w:t>
      </w:r>
      <w:r w:rsidRPr="00796736">
        <w:rPr>
          <w:rFonts w:ascii="Times New Roman" w:hAnsi="Times New Roman" w:cs="Times New Roman"/>
          <w:sz w:val="24"/>
          <w:szCs w:val="24"/>
        </w:rPr>
        <w:t xml:space="preserve"> at Hvidvasksekretariatet skal besvare en anmodning i henhold til stk. 2 hurtigst muligt og senest 5 arbejdsdage efter modtagelsen af anmodningen, hvis sekretariatet enten er i besiddelse af de ønskede oplysninger, eller de ønskede oplysninger opbevares i en database eller et register, som Hvidvasksekretariatet har direkte adgang til. Fristen kan forlænges til højst 10 arbejdsdage i ekstraordinære, behørigt begrundede tilfælde. Er Hvidvasksekretariatet ikke i stand til at indhente de ønskede oplysninger, skal sekretariatet underrette den anmodende FIU herom. </w:t>
      </w:r>
    </w:p>
    <w:p w14:paraId="36591BC9" w14:textId="77777777" w:rsidR="0011152E" w:rsidRPr="00796736" w:rsidRDefault="0011152E" w:rsidP="00A802A5">
      <w:pPr>
        <w:spacing w:line="360" w:lineRule="auto"/>
        <w:rPr>
          <w:rFonts w:ascii="Times New Roman" w:hAnsi="Times New Roman" w:cs="Times New Roman"/>
          <w:sz w:val="24"/>
          <w:szCs w:val="24"/>
        </w:rPr>
      </w:pPr>
    </w:p>
    <w:p w14:paraId="138BC5FD" w14:textId="77777777"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som noget nyt indebære, at der vil blive fastsat konkrete frister for, hvornår Hvidvasksekretariatet skal besvare en anmodning i henhold til stk. 2. </w:t>
      </w:r>
    </w:p>
    <w:p w14:paraId="743737D3" w14:textId="77777777" w:rsidR="0011152E" w:rsidRPr="00796736" w:rsidRDefault="0011152E" w:rsidP="00A802A5">
      <w:pPr>
        <w:spacing w:line="360" w:lineRule="auto"/>
        <w:rPr>
          <w:rFonts w:ascii="Times New Roman" w:hAnsi="Times New Roman" w:cs="Times New Roman"/>
          <w:sz w:val="24"/>
          <w:szCs w:val="24"/>
        </w:rPr>
      </w:pPr>
    </w:p>
    <w:p w14:paraId="05658D58" w14:textId="03EC59CE"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Hvidvasksekretariatet vil i medfør af det foreslåede stk. </w:t>
      </w:r>
      <w:r w:rsidR="0050440D" w:rsidRPr="00796736">
        <w:rPr>
          <w:rFonts w:ascii="Times New Roman" w:hAnsi="Times New Roman" w:cs="Times New Roman"/>
          <w:sz w:val="24"/>
          <w:szCs w:val="24"/>
        </w:rPr>
        <w:t xml:space="preserve">9 </w:t>
      </w:r>
      <w:r w:rsidRPr="00796736">
        <w:rPr>
          <w:rFonts w:ascii="Times New Roman" w:hAnsi="Times New Roman" w:cs="Times New Roman"/>
          <w:sz w:val="24"/>
          <w:szCs w:val="24"/>
        </w:rPr>
        <w:t>skulle besvare en anmodning i henhold til stk. 2 hurtigst muligt og senest 5 arbejdsdage efter modtagelsen af anmodningen, hvis sekretariatet enten er i besiddelse af de ønskede oplysninger, eller de ønskede oplysninger opbevares i en database eller et register, som Hvidvasksekretariatet har direkte adgang til</w:t>
      </w:r>
      <w:r w:rsidR="0050440D" w:rsidRPr="00796736">
        <w:rPr>
          <w:rFonts w:ascii="Times New Roman" w:hAnsi="Times New Roman" w:cs="Times New Roman"/>
          <w:sz w:val="24"/>
          <w:szCs w:val="24"/>
        </w:rPr>
        <w:t xml:space="preserve">, jf. </w:t>
      </w:r>
      <w:r w:rsidR="0050440D" w:rsidRPr="00796736">
        <w:rPr>
          <w:rFonts w:ascii="Times New Roman" w:hAnsi="Times New Roman" w:cs="Times New Roman"/>
          <w:sz w:val="24"/>
          <w:szCs w:val="24"/>
        </w:rPr>
        <w:fldChar w:fldCharType="begin"/>
      </w:r>
      <w:r w:rsidR="0050440D" w:rsidRPr="00796736">
        <w:rPr>
          <w:rFonts w:ascii="Times New Roman" w:hAnsi="Times New Roman" w:cs="Times New Roman"/>
          <w:sz w:val="24"/>
          <w:szCs w:val="24"/>
        </w:rPr>
        <w:instrText xml:space="preserve"> REF _Ref238544108 \r \h </w:instrText>
      </w:r>
      <w:r w:rsidR="00F375BF" w:rsidRPr="00796736">
        <w:rPr>
          <w:rFonts w:ascii="Times New Roman" w:hAnsi="Times New Roman" w:cs="Times New Roman"/>
          <w:sz w:val="24"/>
          <w:szCs w:val="24"/>
        </w:rPr>
        <w:instrText xml:space="preserve"> \* MERGEFORMAT </w:instrText>
      </w:r>
      <w:r w:rsidR="0050440D" w:rsidRPr="00796736">
        <w:rPr>
          <w:rFonts w:ascii="Times New Roman" w:hAnsi="Times New Roman" w:cs="Times New Roman"/>
          <w:sz w:val="24"/>
          <w:szCs w:val="24"/>
        </w:rPr>
      </w:r>
      <w:r w:rsidR="0050440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16</w:t>
      </w:r>
      <w:r w:rsidR="0050440D" w:rsidRPr="00796736">
        <w:rPr>
          <w:rFonts w:ascii="Times New Roman" w:hAnsi="Times New Roman" w:cs="Times New Roman"/>
          <w:sz w:val="24"/>
          <w:szCs w:val="24"/>
        </w:rPr>
        <w:fldChar w:fldCharType="end"/>
      </w:r>
      <w:r w:rsidRPr="00796736">
        <w:rPr>
          <w:rFonts w:ascii="Times New Roman" w:hAnsi="Times New Roman" w:cs="Times New Roman"/>
          <w:sz w:val="24"/>
          <w:szCs w:val="24"/>
        </w:rPr>
        <w:t>. Fristen vil kunne forlænges til højst 10 arbejdsdage i ekstraordinære, behørigt begrundede tilfælde. Er Hvidvasksekretariatet ikke i stand til at indhente de ønskede oplysninger, skal sekretariatet underrette den anmodende FIU herom.</w:t>
      </w:r>
    </w:p>
    <w:p w14:paraId="23EC2DD4" w14:textId="77777777" w:rsidR="0011152E" w:rsidRPr="00796736" w:rsidRDefault="0011152E" w:rsidP="00A802A5">
      <w:pPr>
        <w:spacing w:line="360" w:lineRule="auto"/>
        <w:rPr>
          <w:rFonts w:ascii="Times New Roman" w:hAnsi="Times New Roman" w:cs="Times New Roman"/>
          <w:sz w:val="24"/>
          <w:szCs w:val="24"/>
        </w:rPr>
      </w:pPr>
    </w:p>
    <w:p w14:paraId="36A6F515" w14:textId="77777777"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i den forbindelse af hvidvaskdirektivets præambelbetragtning nr. 80, at der bør fastsættes tidsfrister for at sikre effektiv udveksling af oplysninger inden for en rimelig frist eller for at opfylde proceduremæssige krav, og at der bør fastsættes kortere tidsfrister i ekstraordinære, begrundede og hastende tilfælde, hvor den anmodede FIU er i stand til at få direkte adgang til de databaser, hvor de ønskede oplysninger opbevares, jf. nærmere nedenfor.</w:t>
      </w:r>
    </w:p>
    <w:p w14:paraId="3E150304" w14:textId="77777777" w:rsidR="0011152E" w:rsidRPr="00796736" w:rsidRDefault="0011152E" w:rsidP="00A802A5">
      <w:pPr>
        <w:spacing w:line="360" w:lineRule="auto"/>
        <w:rPr>
          <w:rFonts w:ascii="Times New Roman" w:hAnsi="Times New Roman" w:cs="Times New Roman"/>
          <w:sz w:val="24"/>
          <w:szCs w:val="24"/>
        </w:rPr>
      </w:pPr>
    </w:p>
    <w:p w14:paraId="442E758E"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10,</w:t>
      </w:r>
      <w:r w:rsidRPr="00796736">
        <w:rPr>
          <w:rFonts w:ascii="Times New Roman" w:hAnsi="Times New Roman" w:cs="Times New Roman"/>
          <w:sz w:val="24"/>
          <w:szCs w:val="24"/>
        </w:rPr>
        <w:t xml:space="preserve"> at uanset stk. 9 skal Hvidvasksekretariatet i ekstraordinære, behørigt begrundede og hastende tilfælde give oplysningerne, der er anmodet om efter stk. 2, senest 1 arbejdsdag efter modtagelsen af anmodningen, hvis oplysningerne enten opbevares i en database eller et register, som Hvidvasksekretariatet har direkte adgang til, eller oplysningerne allerede er i Hvidvasksekretariatets besiddelse. Hvidvasksekretariatet skal give en begrundelse, hvis det ikke er i stand til at svare inden for 1 arbejdsdag eller ikke kan få direkte adgang til oplysningerne. Hvidvasksekretariatet kan forlænge fristen for besvarelse af en anmodning om oplysninger til højst 3 arbejdsdage, hvis fremlæggelsen af de ønskede oplysninger inden for 1 arbejdsdag vil pålægge Hvidvasksekretariatet en uforholdsmæssig stor byrde. Hvidvasksekretariatet underretter straks den anmodende FIU om udsættelsen. </w:t>
      </w:r>
    </w:p>
    <w:p w14:paraId="6C8C935F" w14:textId="77777777" w:rsidR="0011152E" w:rsidRPr="00796736" w:rsidRDefault="0011152E" w:rsidP="00A802A5">
      <w:pPr>
        <w:spacing w:line="360" w:lineRule="auto"/>
        <w:rPr>
          <w:rFonts w:ascii="Times New Roman" w:hAnsi="Times New Roman" w:cs="Times New Roman"/>
          <w:sz w:val="24"/>
          <w:szCs w:val="24"/>
        </w:rPr>
      </w:pPr>
    </w:p>
    <w:p w14:paraId="4C84FDDD"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bl.a. som noget nyt indebære, at fristerne i henhold til det foreslåede stk. 7 efter omstændighederne vil skulle fraviges i ekstraordinære, behørigt begrundede og hastende tilfælde for at sikre effektiv udveksling af oplysninger, jf. også hvidvaskdirektivets præambelbetragtning nr. 80. Det vil imidlertid være et krav, at oplysningerne enten er umiddelbart tilgængelige for Hvidvasksekretariatet eller Hvidvasksekretariatet i forvejen er i besiddelse af pågældende oplysninger. </w:t>
      </w:r>
    </w:p>
    <w:p w14:paraId="2F06935D" w14:textId="77777777" w:rsidR="0011152E" w:rsidRPr="00796736" w:rsidRDefault="0011152E" w:rsidP="00A802A5">
      <w:pPr>
        <w:spacing w:line="360" w:lineRule="auto"/>
        <w:rPr>
          <w:rFonts w:ascii="Times New Roman" w:hAnsi="Times New Roman" w:cs="Times New Roman"/>
          <w:sz w:val="24"/>
          <w:szCs w:val="24"/>
        </w:rPr>
      </w:pPr>
    </w:p>
    <w:p w14:paraId="4708CDEC"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11,</w:t>
      </w:r>
      <w:r w:rsidRPr="00796736">
        <w:rPr>
          <w:rFonts w:ascii="Times New Roman" w:hAnsi="Times New Roman" w:cs="Times New Roman"/>
          <w:sz w:val="24"/>
          <w:szCs w:val="24"/>
        </w:rPr>
        <w:t xml:space="preserve"> at Hvidvasksekretariatet kun kan nægte at videregive oplysninger efter stk. 1 og 6 og stk. 8, 2. pkt., under ekstraordinære omstændigheder, hvor der er bestemte grunde til at antage, at udvekslingen vil kunne vanskeliggøre forebyggelse, afsløring eller efterforskning af strafbare handlinger eller fuldbyrdelse af strafferetlige sanktioner, eller at udvekslingen på anden måde ikke vil være i overensstemmelse med grundlæggende principper i dansk ret. </w:t>
      </w:r>
    </w:p>
    <w:p w14:paraId="5FE7ECFF" w14:textId="77777777" w:rsidR="0011152E" w:rsidRPr="00796736" w:rsidRDefault="0011152E" w:rsidP="00A802A5">
      <w:pPr>
        <w:spacing w:line="360" w:lineRule="auto"/>
        <w:rPr>
          <w:rFonts w:ascii="Times New Roman" w:hAnsi="Times New Roman" w:cs="Times New Roman"/>
          <w:sz w:val="24"/>
          <w:szCs w:val="24"/>
        </w:rPr>
      </w:pPr>
    </w:p>
    <w:p w14:paraId="5F7BD70A" w14:textId="77777777"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at Hvidvasksekretariatet vil kunne nægte at udveksle oplysninger efter den foreslåede bestemmelse med henvisning til at den konkrete udveksling af oplysninger ikke vil være i overensstemmelse med grundlæggende principper i dansk ret, i tilfælde hvor der er bestemte grunde til at antage, at videregivelsen vil kunne lægge hindringer i vejen for officielle eller retlige undersøgelser eller procedurer, eller hvis den vil kunne udgøre en trussel mod den offentlige sikkerhed eller mod statens sikkerhed.</w:t>
      </w:r>
    </w:p>
    <w:p w14:paraId="08A645A6" w14:textId="77777777" w:rsidR="00074750" w:rsidRPr="00796736" w:rsidRDefault="00074750" w:rsidP="00A802A5">
      <w:pPr>
        <w:spacing w:line="360" w:lineRule="auto"/>
        <w:rPr>
          <w:rFonts w:ascii="Times New Roman" w:hAnsi="Times New Roman" w:cs="Times New Roman"/>
          <w:sz w:val="24"/>
          <w:szCs w:val="24"/>
        </w:rPr>
      </w:pPr>
    </w:p>
    <w:p w14:paraId="2261DF4F"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Hvidvasksekretariatet efter forvaltningslovens § 31, stk. 1, som udgangspunkt er forpligtet til at videregive oplysninger til en anden forvaltningsmyndighed, som begærer herom, hvis Hvidvasksekretariatet er berettiget hertil og videregivelsen er af betydning for myndighedens virksomhed eller en afgørelse, som denne skal træffe. Efter stk. 2 finder stk. 1 ikke anvendelse, hvis videregivelsen påfører Hvidvasksekretariatet merarbejde, der væsentligt overstiger den interesse, som den anden myndighed har i at få oplysningerne. </w:t>
      </w:r>
    </w:p>
    <w:p w14:paraId="1FC095CB" w14:textId="77777777" w:rsidR="00074750" w:rsidRPr="00796736" w:rsidRDefault="00074750" w:rsidP="00A802A5">
      <w:pPr>
        <w:spacing w:line="360" w:lineRule="auto"/>
        <w:rPr>
          <w:rFonts w:ascii="Times New Roman" w:hAnsi="Times New Roman" w:cs="Times New Roman"/>
          <w:sz w:val="24"/>
          <w:szCs w:val="24"/>
        </w:rPr>
      </w:pPr>
    </w:p>
    <w:p w14:paraId="115FC6FF" w14:textId="7B21389A"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udgør en udvidelse af Hvidvasksekretariatets almindelige muligheder for at undlade at efterkomme begæringer om at videre oplysninger efter den foreslåede bestemmelse. </w:t>
      </w:r>
    </w:p>
    <w:p w14:paraId="2CF583C2" w14:textId="77777777" w:rsidR="0011152E" w:rsidRPr="00796736" w:rsidRDefault="0011152E" w:rsidP="00A802A5">
      <w:pPr>
        <w:spacing w:line="360" w:lineRule="auto"/>
        <w:rPr>
          <w:rFonts w:ascii="Times New Roman" w:hAnsi="Times New Roman" w:cs="Times New Roman"/>
          <w:sz w:val="24"/>
          <w:szCs w:val="24"/>
        </w:rPr>
      </w:pPr>
    </w:p>
    <w:p w14:paraId="61CC7D3F" w14:textId="0F513AD4"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1</w:t>
      </w:r>
      <w:r w:rsidR="0022066A">
        <w:rPr>
          <w:rFonts w:ascii="Times New Roman" w:hAnsi="Times New Roman" w:cs="Times New Roman"/>
          <w:i/>
          <w:iCs/>
          <w:sz w:val="24"/>
          <w:szCs w:val="24"/>
        </w:rPr>
        <w:t>2</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w:t>
      </w:r>
      <w:r w:rsidR="00F66172">
        <w:rPr>
          <w:rFonts w:ascii="Times New Roman" w:hAnsi="Times New Roman" w:cs="Times New Roman"/>
          <w:sz w:val="24"/>
          <w:szCs w:val="24"/>
        </w:rPr>
        <w:t>justits</w:t>
      </w:r>
      <w:r w:rsidRPr="00796736">
        <w:rPr>
          <w:rFonts w:ascii="Times New Roman" w:hAnsi="Times New Roman" w:cs="Times New Roman"/>
          <w:sz w:val="24"/>
          <w:szCs w:val="24"/>
        </w:rPr>
        <w:t xml:space="preserve">ministeren fastsætter regler, som er nødvendige af hensyn til at gennemføre, anvende eller håndhæve retsakter vedtaget af EU’s institutioner om forhold vedrørende udveksling af oplysninger mellem FIU’er, herunder om det format, der anvendes til udveksling af oplysninger efter stk. 2, om relevansen og udvælgelseskriterierne ved afgørelsen af, om en indberetning indgivet i henhold til artikel 69, stk. 1, første afsnit, litra a, i hvidvaskforordningen vedrører en anden medlemsstat, jf. stk. 4, og procedurer ved fremsendelse og modtagelse af en sådan indberetning og opfølgning på indberetningen. </w:t>
      </w:r>
    </w:p>
    <w:p w14:paraId="7CEDB692" w14:textId="77777777" w:rsidR="0011152E" w:rsidRPr="00796736" w:rsidRDefault="0011152E" w:rsidP="00A802A5">
      <w:pPr>
        <w:spacing w:line="360" w:lineRule="auto"/>
        <w:rPr>
          <w:rFonts w:ascii="Times New Roman" w:hAnsi="Times New Roman" w:cs="Times New Roman"/>
          <w:sz w:val="24"/>
          <w:szCs w:val="24"/>
        </w:rPr>
      </w:pPr>
    </w:p>
    <w:p w14:paraId="4681F354" w14:textId="1C396229"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bemyndigelsesbestemmelse skal ses i sammenhæng med hvidvaskdirektivets artikel 31, stk. 2-4, hvorefter Kommissionen er tillagt beføjelser til at vedtage visse gennemførelsesmæssige og reguleringsmæssige tekniske standarder i overensstemmelse med AMLA-forordningen. Herudover fremgår det, at AMLA senest den 10. juli 2028 udsteder retningslinjer til FIU'er om de procedurer, der skal indføres, ved fremsendelse og modtagelse af en indberetning i henhold til artikel 69, stk. 1, første afsnit, litra a, i hvidvaskforordningen, som vedrører en anden medlemsstat, og den opfølgning af denne indberetning, der skal foretages. Efter den foreslåede bemyndigelsesbestemmelse vil </w:t>
      </w:r>
      <w:r w:rsidR="00C46C93">
        <w:rPr>
          <w:rFonts w:ascii="Times New Roman" w:hAnsi="Times New Roman" w:cs="Times New Roman"/>
          <w:sz w:val="24"/>
          <w:szCs w:val="24"/>
        </w:rPr>
        <w:t>justits</w:t>
      </w:r>
      <w:r w:rsidRPr="00796736">
        <w:rPr>
          <w:rFonts w:ascii="Times New Roman" w:hAnsi="Times New Roman" w:cs="Times New Roman"/>
          <w:sz w:val="24"/>
          <w:szCs w:val="24"/>
        </w:rPr>
        <w:t xml:space="preserve">ministeren således kunne fastsatte de regler, som er nødvendige med henblik på efterlevelse af hvidvaskdirektivets artikel 31, stk. 2-4. </w:t>
      </w:r>
    </w:p>
    <w:p w14:paraId="0260B3C3" w14:textId="77777777" w:rsidR="0011152E" w:rsidRPr="00796736" w:rsidRDefault="0011152E" w:rsidP="00A802A5">
      <w:pPr>
        <w:spacing w:line="360" w:lineRule="auto"/>
        <w:rPr>
          <w:rFonts w:ascii="Times New Roman" w:hAnsi="Times New Roman" w:cs="Times New Roman"/>
          <w:sz w:val="24"/>
          <w:szCs w:val="24"/>
        </w:rPr>
      </w:pPr>
    </w:p>
    <w:p w14:paraId="52DCF5F0" w14:textId="6A7DFE21"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har til formål at gennemføre 6. hvidvaskdirektivets artikel 29 og 31.</w:t>
      </w:r>
    </w:p>
    <w:p w14:paraId="01D3D794" w14:textId="77777777" w:rsidR="0011152E" w:rsidRPr="00796736" w:rsidRDefault="0011152E" w:rsidP="00A802A5">
      <w:pPr>
        <w:spacing w:line="360" w:lineRule="auto"/>
        <w:rPr>
          <w:rFonts w:ascii="Times New Roman" w:hAnsi="Times New Roman" w:cs="Times New Roman"/>
          <w:sz w:val="24"/>
          <w:szCs w:val="24"/>
        </w:rPr>
      </w:pPr>
    </w:p>
    <w:p w14:paraId="3701F5A6" w14:textId="3BE69945" w:rsidR="0011152E" w:rsidRPr="00796736" w:rsidRDefault="0011152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_Ref232944020 \n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3.23</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ED17EA7" w14:textId="77777777" w:rsidR="004F342F" w:rsidRPr="00796736" w:rsidRDefault="004F342F" w:rsidP="00A802A5">
      <w:pPr>
        <w:spacing w:line="360" w:lineRule="auto"/>
        <w:rPr>
          <w:rFonts w:ascii="Times New Roman" w:hAnsi="Times New Roman" w:cs="Times New Roman"/>
          <w:i/>
          <w:iCs/>
          <w:sz w:val="24"/>
          <w:szCs w:val="24"/>
        </w:rPr>
      </w:pPr>
    </w:p>
    <w:p w14:paraId="3AC21EAA" w14:textId="505AB6FD" w:rsidR="004F342F" w:rsidRPr="00796736" w:rsidRDefault="004F342F" w:rsidP="00A802A5">
      <w:pPr>
        <w:pStyle w:val="Undertitel"/>
      </w:pPr>
      <w:bookmarkStart w:id="1929" w:name="_Toc232109358"/>
      <w:bookmarkStart w:id="1930" w:name="_Toc244879322"/>
      <w:bookmarkStart w:id="1931" w:name="_Toc244880847"/>
      <w:r w:rsidRPr="00796736">
        <w:t xml:space="preserve">Til </w:t>
      </w:r>
      <w:r w:rsidR="006719DB" w:rsidRPr="00796736">
        <w:fldChar w:fldCharType="begin"/>
      </w:r>
      <w:r w:rsidR="006719DB" w:rsidRPr="00796736">
        <w:instrText xml:space="preserve"> REF _Ref232596098 \r \h </w:instrText>
      </w:r>
      <w:r w:rsidR="00967618" w:rsidRPr="00796736">
        <w:instrText xml:space="preserve"> \* MERGEFORMAT </w:instrText>
      </w:r>
      <w:r w:rsidR="006719DB" w:rsidRPr="00796736">
        <w:fldChar w:fldCharType="separate"/>
      </w:r>
      <w:r w:rsidR="008F29E5">
        <w:t>§ 26</w:t>
      </w:r>
      <w:bookmarkEnd w:id="1930"/>
      <w:bookmarkEnd w:id="1931"/>
      <w:r w:rsidR="006719DB" w:rsidRPr="00796736">
        <w:fldChar w:fldCharType="end"/>
      </w:r>
      <w:r w:rsidRPr="00796736">
        <w:t xml:space="preserve"> </w:t>
      </w:r>
      <w:bookmarkEnd w:id="1929"/>
    </w:p>
    <w:p w14:paraId="53D7014F"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 indeholder ikke i dag regler om Hvidvasksekretariatets deltagelse i fælles analyser med bl.a. andre FIU’er af mistænkelige transaktioner og aktiviteter. </w:t>
      </w:r>
    </w:p>
    <w:p w14:paraId="7A5A1627" w14:textId="77777777" w:rsidR="004F342F" w:rsidRPr="00796736" w:rsidRDefault="004F342F" w:rsidP="00A802A5">
      <w:pPr>
        <w:spacing w:line="360" w:lineRule="auto"/>
        <w:rPr>
          <w:rFonts w:ascii="Times New Roman" w:hAnsi="Times New Roman" w:cs="Times New Roman"/>
          <w:sz w:val="24"/>
          <w:szCs w:val="24"/>
        </w:rPr>
      </w:pPr>
    </w:p>
    <w:p w14:paraId="6D10C9EE" w14:textId="37AF909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beskrivelse af gældende ret henvises til pkt.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_Ref232944040 \n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3.25.1</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81FA1BA" w14:textId="77777777" w:rsidR="004F342F" w:rsidRPr="00796736" w:rsidRDefault="004F342F" w:rsidP="00A802A5">
      <w:pPr>
        <w:spacing w:line="360" w:lineRule="auto"/>
        <w:rPr>
          <w:rFonts w:ascii="Times New Roman" w:hAnsi="Times New Roman" w:cs="Times New Roman"/>
          <w:sz w:val="24"/>
          <w:szCs w:val="24"/>
        </w:rPr>
      </w:pPr>
    </w:p>
    <w:p w14:paraId="308C368F" w14:textId="010423B4"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lægges der op til at fastsætte regler om fælles analyser mellem bl.a. FIU’er af mistænkelige transaktioner og aktiviteter.</w:t>
      </w:r>
    </w:p>
    <w:p w14:paraId="0E15EB90" w14:textId="77777777" w:rsidR="004F342F" w:rsidRPr="00796736" w:rsidRDefault="004F342F" w:rsidP="00A802A5">
      <w:pPr>
        <w:spacing w:line="360" w:lineRule="auto"/>
        <w:rPr>
          <w:rFonts w:ascii="Times New Roman" w:hAnsi="Times New Roman" w:cs="Times New Roman"/>
          <w:sz w:val="24"/>
          <w:szCs w:val="24"/>
        </w:rPr>
      </w:pPr>
    </w:p>
    <w:p w14:paraId="1E8FF40F" w14:textId="3090DBC7" w:rsidR="004F342F"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Hvidvasksekretariatet kan deltage i eller oprette fælles analysehold med andre EU-medlemsstaters FIU’er til et specifikt formål og i en begrænset periode at foretage operationelle analyser af mistænkelige transaktioner eller aktiviteter, der involverer en eller flere af de FIU'er, som opretter holdet. Perioden kan forlænges efter fælles overenskomst. </w:t>
      </w:r>
    </w:p>
    <w:p w14:paraId="446EDC97" w14:textId="77777777" w:rsidR="0050440D" w:rsidRPr="00796736" w:rsidRDefault="0050440D" w:rsidP="00A802A5">
      <w:pPr>
        <w:spacing w:line="360" w:lineRule="auto"/>
        <w:rPr>
          <w:rFonts w:ascii="Times New Roman" w:hAnsi="Times New Roman" w:cs="Times New Roman"/>
          <w:sz w:val="24"/>
          <w:szCs w:val="24"/>
        </w:rPr>
      </w:pPr>
    </w:p>
    <w:p w14:paraId="1392A850" w14:textId="77777777"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medføre, at Hvidvasksekretariatet vil kunne foretage fælles analyser af mistænkelige transaktioner og aktiviteter. Det forudsættes, at Hvidvasksekretariatet og de relevante FIU’er bistået af AMLA i overensstemmelse med artikel 40 i AMLA-forordningen, når det er relevant, jf. også det foreslåede stk. 2, opretter et fælles analysehold til et specifikt formål og for en begrænset periode, som kan forlænges efter fælles overenskomst, til at foretage operationelle analyser af mistænkelige transaktioner eller aktiviteter, der involverer en eller flere af de FIU'er, som opretter holdet, jf. hvidvaskdirektivets artikel 32, stk. 2.</w:t>
      </w:r>
    </w:p>
    <w:p w14:paraId="7C4FB5C3" w14:textId="77777777" w:rsidR="004F342F" w:rsidRPr="00796736" w:rsidRDefault="004F342F" w:rsidP="00A802A5">
      <w:pPr>
        <w:spacing w:line="360" w:lineRule="auto"/>
        <w:rPr>
          <w:rFonts w:ascii="Times New Roman" w:hAnsi="Times New Roman" w:cs="Times New Roman"/>
          <w:sz w:val="24"/>
          <w:szCs w:val="24"/>
        </w:rPr>
      </w:pPr>
    </w:p>
    <w:p w14:paraId="2070450F" w14:textId="77777777" w:rsidR="001A4546" w:rsidRPr="00796736" w:rsidRDefault="001A4546" w:rsidP="001A4546">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ses i lyset af hvidvaskdirektivets præambelbetragtning nr. 81, hvoraf det fremgår bl.a., at </w:t>
      </w:r>
      <w:r w:rsidRPr="00796736">
        <w:rPr>
          <w:rFonts w:ascii="Times New Roman" w:hAnsi="Times New Roman" w:cs="Times New Roman"/>
          <w:sz w:val="24"/>
          <w:szCs w:val="24"/>
          <w:shd w:val="clear" w:color="auto" w:fill="FFFFFF"/>
        </w:rPr>
        <w:t xml:space="preserve">overførsel af ulovlige midler sker på tværs af grænser og kan påvirke forskellige medlemsstater, og at de grænseoverskridende sager, der involverer flere jurisdiktioner, bliver stadig hyppigere og mere betydningsfulde, også på grund af de aktiviteter, som </w:t>
      </w:r>
      <w:r>
        <w:rPr>
          <w:rFonts w:ascii="Times New Roman" w:hAnsi="Times New Roman" w:cs="Times New Roman"/>
          <w:sz w:val="24"/>
          <w:szCs w:val="24"/>
          <w:shd w:val="clear" w:color="auto" w:fill="FFFFFF"/>
        </w:rPr>
        <w:t>virksomheder og personer omfattet af loven</w:t>
      </w:r>
      <w:r w:rsidRPr="00796736">
        <w:rPr>
          <w:rFonts w:ascii="Times New Roman" w:hAnsi="Times New Roman" w:cs="Times New Roman"/>
          <w:sz w:val="24"/>
          <w:szCs w:val="24"/>
          <w:shd w:val="clear" w:color="auto" w:fill="FFFFFF"/>
        </w:rPr>
        <w:t xml:space="preserve"> udfører på tværs af grænserne. F</w:t>
      </w:r>
      <w:r w:rsidRPr="00796736">
        <w:rPr>
          <w:rFonts w:ascii="Times New Roman" w:hAnsi="Times New Roman" w:cs="Times New Roman"/>
          <w:sz w:val="24"/>
          <w:szCs w:val="24"/>
        </w:rPr>
        <w:t xml:space="preserve">or effektivt at kunne håndtere sager, der vedrører flere medlemsstater, bør FIU’er således kunne gå videre end blot udveksle oplysninger med henblik på at opdage og analysere mistænkelige transaktioner og aktiviteter og udføre selve analyseaktiviteten i fællesskab. Det følger videre af præambelbetragtningen, at FIU’er bør være i stand til at foretage fælles analyser af mistænkelige transaktioner og aktiviteter og til at oprette og deltage i fælles analysehold til specifikke formål og i en begrænset periode med bistand fra AMLA. </w:t>
      </w:r>
    </w:p>
    <w:p w14:paraId="2E361105" w14:textId="77777777" w:rsidR="00074750" w:rsidRPr="00796736" w:rsidRDefault="00074750" w:rsidP="00A802A5">
      <w:pPr>
        <w:spacing w:line="360" w:lineRule="auto"/>
        <w:rPr>
          <w:rFonts w:ascii="Times New Roman" w:hAnsi="Times New Roman" w:cs="Times New Roman"/>
          <w:sz w:val="24"/>
          <w:szCs w:val="24"/>
        </w:rPr>
      </w:pPr>
    </w:p>
    <w:p w14:paraId="5377079A" w14:textId="71D1ABB5"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muliggør, at Hvidvasksekretariatet kan deltage i og initiere oprettelsen af et fælles analysehold. Deltagelse i et fælles analysehold er nærmere reguleret i den foreslåede stk. 3, og reglerne for, hvornår Hvidvasksekretariatet kan anmode om oprettelsen følge af den foreslåede stk. 2, hvortil der henvises. </w:t>
      </w:r>
    </w:p>
    <w:p w14:paraId="3C730559" w14:textId="77777777" w:rsidR="004F342F" w:rsidRPr="00796736" w:rsidRDefault="004F342F" w:rsidP="00A802A5">
      <w:pPr>
        <w:spacing w:line="360" w:lineRule="auto"/>
        <w:rPr>
          <w:rFonts w:ascii="Times New Roman" w:hAnsi="Times New Roman" w:cs="Times New Roman"/>
          <w:sz w:val="24"/>
          <w:szCs w:val="24"/>
        </w:rPr>
      </w:pPr>
    </w:p>
    <w:p w14:paraId="74E6C493"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indsætte et nyt </w:t>
      </w:r>
      <w:r w:rsidRPr="00796736">
        <w:rPr>
          <w:rFonts w:ascii="Times New Roman" w:hAnsi="Times New Roman" w:cs="Times New Roman"/>
          <w:i/>
          <w:iCs/>
          <w:sz w:val="24"/>
          <w:szCs w:val="24"/>
        </w:rPr>
        <w:t xml:space="preserve">stk. 2, </w:t>
      </w:r>
      <w:r w:rsidRPr="00796736">
        <w:rPr>
          <w:rFonts w:ascii="Times New Roman" w:hAnsi="Times New Roman" w:cs="Times New Roman"/>
          <w:sz w:val="24"/>
          <w:szCs w:val="24"/>
        </w:rPr>
        <w:t xml:space="preserve">om under hvilke betingelser Hvidvasksekretariatet kan anmode om oprettelsen af et fælles analysehold. </w:t>
      </w:r>
    </w:p>
    <w:p w14:paraId="6FF0C699" w14:textId="77777777" w:rsidR="004F342F" w:rsidRPr="00796736" w:rsidRDefault="004F342F" w:rsidP="00A802A5">
      <w:pPr>
        <w:spacing w:line="360" w:lineRule="auto"/>
        <w:rPr>
          <w:rFonts w:ascii="Times New Roman" w:hAnsi="Times New Roman" w:cs="Times New Roman"/>
          <w:sz w:val="24"/>
          <w:szCs w:val="24"/>
        </w:rPr>
      </w:pPr>
    </w:p>
    <w:p w14:paraId="4C564708"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med stk. 2,</w:t>
      </w:r>
      <w:r w:rsidRPr="00796736">
        <w:rPr>
          <w:rFonts w:ascii="Times New Roman" w:hAnsi="Times New Roman" w:cs="Times New Roman"/>
          <w:i/>
          <w:iCs/>
          <w:sz w:val="24"/>
          <w:szCs w:val="24"/>
        </w:rPr>
        <w:t xml:space="preserve"> nr. 1,</w:t>
      </w:r>
      <w:r w:rsidRPr="00796736">
        <w:rPr>
          <w:rFonts w:ascii="Times New Roman" w:hAnsi="Times New Roman" w:cs="Times New Roman"/>
          <w:sz w:val="24"/>
          <w:szCs w:val="24"/>
        </w:rPr>
        <w:t xml:space="preserve"> at Hvidvasksekretariatet kan anmode om oprettelsen af et fælles analysehold, hvis operationelle analyser kræver vanskelige og krævende analyser med tilknytning til andre medlemsstater. </w:t>
      </w:r>
    </w:p>
    <w:p w14:paraId="24EFD3A0" w14:textId="77777777" w:rsidR="0050440D" w:rsidRPr="00796736" w:rsidRDefault="0050440D" w:rsidP="00A802A5">
      <w:pPr>
        <w:spacing w:line="360" w:lineRule="auto"/>
        <w:rPr>
          <w:rFonts w:ascii="Times New Roman" w:hAnsi="Times New Roman" w:cs="Times New Roman"/>
          <w:sz w:val="24"/>
          <w:szCs w:val="24"/>
        </w:rPr>
      </w:pPr>
    </w:p>
    <w:p w14:paraId="1F96732C"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 xml:space="preserve">stk. 2, nr. 2, </w:t>
      </w:r>
      <w:r w:rsidRPr="00796736">
        <w:rPr>
          <w:rFonts w:ascii="Times New Roman" w:hAnsi="Times New Roman" w:cs="Times New Roman"/>
          <w:sz w:val="24"/>
          <w:szCs w:val="24"/>
        </w:rPr>
        <w:t>at Hvidvasksekretariatet kan anmode om oprettelsen af et fælles analysehold, hvis en række FIU’er er i gang med at foretage operationelle analyser, hvor sagens omstændigheder berettiger en samordnet indsats i de involverede medlemsstater.</w:t>
      </w:r>
    </w:p>
    <w:p w14:paraId="69CD34DA" w14:textId="77777777" w:rsidR="0050440D" w:rsidRPr="00796736" w:rsidRDefault="0050440D" w:rsidP="00A802A5">
      <w:pPr>
        <w:spacing w:line="360" w:lineRule="auto"/>
        <w:rPr>
          <w:rFonts w:ascii="Times New Roman" w:hAnsi="Times New Roman" w:cs="Times New Roman"/>
          <w:sz w:val="24"/>
          <w:szCs w:val="24"/>
        </w:rPr>
      </w:pPr>
    </w:p>
    <w:p w14:paraId="00716F2F"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fælles analysehold vil således kunne oprettes, hvis enten operationelle analyser kræver vanskelige og krævende analyser med tilknytning til andre medlemsstater, eller en række FIU’er er i gang med at foretage operationelle analyser, hvor sagens omstændigheder berettiger en samordnet indsats i de involverede medlemsstater. Betingelserne er ikke kumulative. </w:t>
      </w:r>
    </w:p>
    <w:p w14:paraId="1AC30557" w14:textId="77777777" w:rsidR="0050440D" w:rsidRPr="00796736" w:rsidRDefault="0050440D" w:rsidP="00A802A5">
      <w:pPr>
        <w:spacing w:line="360" w:lineRule="auto"/>
        <w:rPr>
          <w:rFonts w:ascii="Times New Roman" w:hAnsi="Times New Roman" w:cs="Times New Roman"/>
          <w:sz w:val="24"/>
          <w:szCs w:val="24"/>
        </w:rPr>
      </w:pPr>
    </w:p>
    <w:p w14:paraId="46B094FA"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i forlængelse heraf, at enhver FIU, som er berørt, og AMLA, vil kunne fremsætte en anmodning om oprettelse af et fælles analysehold i henhold til artikel 44 i AMLA-forordningen, jf. hvidvaskdirektivets artikel 32, stk. 3, 2. afsnit. </w:t>
      </w:r>
    </w:p>
    <w:p w14:paraId="7F500CE7" w14:textId="77777777" w:rsidR="0050440D" w:rsidRPr="00796736" w:rsidRDefault="0050440D" w:rsidP="00A802A5">
      <w:pPr>
        <w:spacing w:line="360" w:lineRule="auto"/>
        <w:rPr>
          <w:rFonts w:ascii="Times New Roman" w:hAnsi="Times New Roman" w:cs="Times New Roman"/>
          <w:sz w:val="24"/>
          <w:szCs w:val="24"/>
        </w:rPr>
      </w:pPr>
    </w:p>
    <w:p w14:paraId="3D0BE66A"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w:t>
      </w:r>
      <w:r w:rsidRPr="00796736">
        <w:rPr>
          <w:rFonts w:ascii="Times New Roman" w:hAnsi="Times New Roman" w:cs="Times New Roman"/>
          <w:sz w:val="24"/>
          <w:szCs w:val="24"/>
        </w:rPr>
        <w:t xml:space="preserve">at Hvidvasksekretariatet kan deltage i et fælles analysehold under tilsvarende betingelser som dem nævnt i stk. 2, herunder ved at udveksle oplysninger med analyseholdet og fremsætte anmodninger til andre FIU’er om at slutte sig til analyseholdet eller fremsende finansielle efterretninger og finansielle oplysninger til det fælles analysehold. </w:t>
      </w:r>
    </w:p>
    <w:p w14:paraId="0C934AF3" w14:textId="77777777" w:rsidR="0050440D" w:rsidRPr="00796736" w:rsidRDefault="0050440D" w:rsidP="00A802A5">
      <w:pPr>
        <w:spacing w:line="360" w:lineRule="auto"/>
        <w:rPr>
          <w:rFonts w:ascii="Times New Roman" w:hAnsi="Times New Roman" w:cs="Times New Roman"/>
          <w:sz w:val="24"/>
          <w:szCs w:val="24"/>
        </w:rPr>
      </w:pPr>
    </w:p>
    <w:p w14:paraId="09AF08F9"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for det første indebære, at Hvidvasksekretariatet kan deltage i et fælles analysehold efter under tilsvarende betingelser som dem nævnt i stk. 2. Dette krav vil være opfyldt i tilfælde, hvor et fælles analysehold f.eks. har brug for bistand fra Hvidvasksekretariatet og i den forbindelse anmodes om at deltage i det fælles analysehold.</w:t>
      </w:r>
    </w:p>
    <w:p w14:paraId="1AF7F0E1" w14:textId="77777777" w:rsidR="0050440D" w:rsidRPr="00796736" w:rsidRDefault="0050440D" w:rsidP="00A802A5">
      <w:pPr>
        <w:spacing w:line="360" w:lineRule="auto"/>
        <w:rPr>
          <w:rFonts w:ascii="Times New Roman" w:hAnsi="Times New Roman" w:cs="Times New Roman"/>
          <w:sz w:val="24"/>
          <w:szCs w:val="24"/>
        </w:rPr>
      </w:pPr>
    </w:p>
    <w:p w14:paraId="34E0B8F6"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Deltagelsen i et fælles analysehold vil bl.a. bestå i at stille oplysninger til rådighed for analyseholdet og fremsætte anmodninger til andre, ikke-deltagende FIU’er om at slutte sig til analyseholdet eller fremsende finansielle efterretninger og finansielle oplysninger til det fælles analysehold. Udvekslingen af oplysninger vil skulle ske i overensstemmelse med dansk ret og inden for rammerne af medarbejderens kompetence er i stand til at give det fælles analysehold de oplysninger, der er til rådighed for Hvidvasksekretariatet, med henblik på den analyse, som holdet foretager. </w:t>
      </w:r>
    </w:p>
    <w:p w14:paraId="2C248B50" w14:textId="77777777" w:rsidR="0050440D" w:rsidRPr="00796736" w:rsidRDefault="0050440D" w:rsidP="00A802A5">
      <w:pPr>
        <w:spacing w:line="360" w:lineRule="auto"/>
        <w:rPr>
          <w:rFonts w:ascii="Times New Roman" w:hAnsi="Times New Roman" w:cs="Times New Roman"/>
          <w:sz w:val="24"/>
          <w:szCs w:val="24"/>
        </w:rPr>
      </w:pPr>
    </w:p>
    <w:p w14:paraId="6A07DF0F" w14:textId="77777777" w:rsidR="00EB57D1" w:rsidRPr="00D253F0" w:rsidRDefault="00EB57D1"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Dette indebærer, at Hvidvasksekretariatet ikke vil kunne udveksle oplysninger i strid med forvaltningsloven, databeskyttelsesforordningen, retshåndhævelsesloven eller en tavshedspligt</w:t>
      </w:r>
      <w:r>
        <w:rPr>
          <w:rFonts w:ascii="Times New Roman" w:hAnsi="Times New Roman" w:cs="Times New Roman"/>
          <w:sz w:val="24"/>
          <w:szCs w:val="24"/>
        </w:rPr>
        <w:t>, medmindre en sådan udveksling følger af denne lov</w:t>
      </w:r>
      <w:r w:rsidRPr="00D253F0">
        <w:rPr>
          <w:rFonts w:ascii="Times New Roman" w:hAnsi="Times New Roman" w:cs="Times New Roman"/>
          <w:sz w:val="24"/>
          <w:szCs w:val="24"/>
        </w:rPr>
        <w:t xml:space="preserve">. </w:t>
      </w:r>
    </w:p>
    <w:p w14:paraId="77809C2B"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Det bemærkes, at det vil være op til Hvidvasksekretariatet, om Hvidvasksekretariatet vil deltage i det fælles analysehold, eller om Hvidvasksekretariatet vil fremsende finansielle efterretninger og finansielle oplysninger til det fælles analysehold, jf. det foreslåede stk. 4. I et sådant tilfælde vil det i almindelighed være påkrævet, at Hvidvasksekretariatet kan imødekomme det fælles analyseholds behov for bistand.</w:t>
      </w:r>
    </w:p>
    <w:p w14:paraId="1BF42518" w14:textId="77777777" w:rsidR="0050440D" w:rsidRPr="00796736" w:rsidRDefault="0050440D" w:rsidP="00A802A5">
      <w:pPr>
        <w:spacing w:line="360" w:lineRule="auto"/>
        <w:rPr>
          <w:rFonts w:ascii="Times New Roman" w:hAnsi="Times New Roman" w:cs="Times New Roman"/>
          <w:sz w:val="24"/>
          <w:szCs w:val="24"/>
        </w:rPr>
      </w:pPr>
    </w:p>
    <w:p w14:paraId="003FCCC9"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at Hvidvasksekretariatet kan fremsende finansielle efterretninger og finansielle oplysninger til et fælles analysehold, som Hvidvasksekretariatet ikke deltager i, hvis analyseholdet har brug for pågældende oplysninger.</w:t>
      </w:r>
    </w:p>
    <w:p w14:paraId="2A9FDDF0" w14:textId="77777777" w:rsidR="0050440D" w:rsidRPr="00796736" w:rsidRDefault="0050440D" w:rsidP="00A802A5">
      <w:pPr>
        <w:spacing w:line="360" w:lineRule="auto"/>
        <w:rPr>
          <w:rFonts w:ascii="Times New Roman" w:hAnsi="Times New Roman" w:cs="Times New Roman"/>
          <w:sz w:val="24"/>
          <w:szCs w:val="24"/>
        </w:rPr>
      </w:pPr>
    </w:p>
    <w:p w14:paraId="52120C64" w14:textId="7E503061"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 overensstemmelse med hvidvaskdirektivets artikel 32, stk. 5, litra b, skulle sikre, at Hvidvasksekretariatet kan fremsende efterretninger og oplysninger til et fælles analyseholde, som har brug for bistand fra Hvidvasksekretariatet. </w:t>
      </w:r>
      <w:r w:rsidR="00074750" w:rsidRPr="00796736">
        <w:rPr>
          <w:rFonts w:ascii="Times New Roman" w:hAnsi="Times New Roman" w:cs="Times New Roman"/>
          <w:sz w:val="24"/>
          <w:szCs w:val="24"/>
        </w:rPr>
        <w:t>Bestemmelsen indebærer, at Hvidvasksekretariatet ikke vil kunne dele oplysninger i samme omfang i forbindelse med sekretariatets deltagelse efter den foreslåede stk. 3.</w:t>
      </w:r>
    </w:p>
    <w:p w14:paraId="19723624" w14:textId="77777777" w:rsidR="0050440D" w:rsidRPr="00796736" w:rsidRDefault="0050440D" w:rsidP="00A802A5">
      <w:pPr>
        <w:spacing w:line="360" w:lineRule="auto"/>
        <w:rPr>
          <w:rFonts w:ascii="Times New Roman" w:hAnsi="Times New Roman" w:cs="Times New Roman"/>
          <w:sz w:val="24"/>
          <w:szCs w:val="24"/>
        </w:rPr>
      </w:pPr>
    </w:p>
    <w:p w14:paraId="4D93C670"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at Hvidvasksekretariatet kan indbyde tredjeparter, herunder EU-organer, -kontorer og -agenturer, til at deltage i de fælles analyser, hvis det er relevant i denne forbindelse, og hvis en sådan deltagelse falder ind under disse tredjeparters respektive mandater. Hvidvasksekretariatet fastsætter i den forbindelse betingelserne for tredjeparternes deltagelse og indfører foranstaltninger, der garanterer de udvekslede oplysningers fortrolighed og sikkerhed, samt at oplysningerne udelukkende anvendes til de formål, hvortil den fælles analyse blev iværksat.</w:t>
      </w:r>
    </w:p>
    <w:p w14:paraId="39309BD7" w14:textId="77777777" w:rsidR="0050440D" w:rsidRPr="00796736" w:rsidRDefault="0050440D" w:rsidP="00A802A5">
      <w:pPr>
        <w:spacing w:line="360" w:lineRule="auto"/>
        <w:rPr>
          <w:rFonts w:ascii="Times New Roman" w:hAnsi="Times New Roman" w:cs="Times New Roman"/>
          <w:sz w:val="24"/>
          <w:szCs w:val="24"/>
        </w:rPr>
      </w:pPr>
    </w:p>
    <w:p w14:paraId="18D76930"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bestemmelse vil Hvidvasksekretariatet som led i sin deltagelse i de fælles analysehold kunne indbyde tredjeparter, dvs. parter, der ikke er FIU’er, til at deltage i den fælles analyse, hvis en sådan deltagelse falder inden for disse tredjeparters respektive mandater. Deltagelse af tredjeparter i analyseprocessen vil således kunne bidrage til at identificere forbindelser mellem finansielle efterretninger og strafferetlige oplysninger og efterretninger, forbedre analysen og fastslå, om der er tegn på, at der er begået en strafbar handling, jf. også hvidvaskdirektivets præambelbetragtning nr. 82. </w:t>
      </w:r>
    </w:p>
    <w:p w14:paraId="1AEB275D" w14:textId="77777777" w:rsidR="0050440D" w:rsidRPr="00796736" w:rsidRDefault="0050440D" w:rsidP="00A802A5">
      <w:pPr>
        <w:spacing w:line="360" w:lineRule="auto"/>
        <w:rPr>
          <w:rFonts w:ascii="Times New Roman" w:hAnsi="Times New Roman" w:cs="Times New Roman"/>
          <w:sz w:val="24"/>
          <w:szCs w:val="24"/>
        </w:rPr>
      </w:pPr>
    </w:p>
    <w:p w14:paraId="4A51D4DB" w14:textId="77541A3B"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endvidere, at Hvidvasksekretariatet som led i sin deltagelse i analyseholdet medvirker til at fastsætte betingelserne for disse tredjeparters deltagelse og indfører foranstaltninger, der garanterer de udvekslede oplysningers fortrolighed og sikkerhed samt foranstaltninger til at sikre, at udvekslede oplysninger kun anvendes til de formål, hvortil den fælles analyse blev iværksat. Det bemærkes, at Hvidvasksekretariatet ikke forudsættes at efterse, at en sådan begrænsning i anvendelsen af oplysningerne iagttages, men derimod at Hvidvasksekretariatet bidrager til i regi af det fælles analysehold at indføre sådanne foranstaltninger, som varetager dette hensyn og reagerer, hvis sekretariatet bliver opmærksomt på, at udvekslede oplysninger anvendes til andre formål end de formål, hvortil den fælles analyse blev iværksat.</w:t>
      </w:r>
    </w:p>
    <w:p w14:paraId="639DF595" w14:textId="77777777" w:rsidR="004F342F" w:rsidRPr="00796736" w:rsidRDefault="004F342F" w:rsidP="00A802A5">
      <w:pPr>
        <w:spacing w:line="360" w:lineRule="auto"/>
        <w:rPr>
          <w:rFonts w:ascii="Times New Roman" w:hAnsi="Times New Roman" w:cs="Times New Roman"/>
          <w:sz w:val="24"/>
          <w:szCs w:val="24"/>
        </w:rPr>
      </w:pPr>
    </w:p>
    <w:p w14:paraId="3DE34825" w14:textId="51F41BCE"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har til formål at gennemføre 6. hvidvaskdirektivets artikel 32.</w:t>
      </w:r>
    </w:p>
    <w:p w14:paraId="53538650" w14:textId="77777777" w:rsidR="004F342F" w:rsidRPr="00796736" w:rsidRDefault="004F342F" w:rsidP="00A802A5">
      <w:pPr>
        <w:spacing w:line="360" w:lineRule="auto"/>
        <w:rPr>
          <w:rFonts w:ascii="Times New Roman" w:hAnsi="Times New Roman" w:cs="Times New Roman"/>
          <w:sz w:val="24"/>
          <w:szCs w:val="24"/>
        </w:rPr>
      </w:pPr>
    </w:p>
    <w:p w14:paraId="465480DB" w14:textId="2EC6C46A" w:rsidR="004F342F" w:rsidRPr="00796736" w:rsidRDefault="004F342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_Ref232944092 \n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3.25</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48C54EF5" w14:textId="77777777" w:rsidR="009D4710" w:rsidRPr="00796736" w:rsidRDefault="009D4710" w:rsidP="00A802A5">
      <w:pPr>
        <w:spacing w:line="360" w:lineRule="auto"/>
        <w:rPr>
          <w:rFonts w:ascii="Times New Roman" w:hAnsi="Times New Roman" w:cs="Times New Roman"/>
          <w:i/>
          <w:iCs/>
          <w:sz w:val="24"/>
          <w:szCs w:val="24"/>
        </w:rPr>
      </w:pPr>
    </w:p>
    <w:p w14:paraId="484FE0B8" w14:textId="77777777" w:rsidR="00F3784D" w:rsidRPr="00796736" w:rsidRDefault="00F3784D" w:rsidP="00A802A5">
      <w:pPr>
        <w:spacing w:line="360" w:lineRule="auto"/>
        <w:rPr>
          <w:rFonts w:ascii="Times New Roman" w:hAnsi="Times New Roman" w:cs="Times New Roman"/>
          <w:i/>
          <w:iCs/>
          <w:sz w:val="24"/>
          <w:szCs w:val="24"/>
        </w:rPr>
      </w:pPr>
    </w:p>
    <w:p w14:paraId="58094657" w14:textId="6A6D7813" w:rsidR="00F3784D" w:rsidRPr="00796736" w:rsidRDefault="00240DBE" w:rsidP="00A802A5">
      <w:pPr>
        <w:pStyle w:val="Undertitel"/>
      </w:pPr>
      <w:bookmarkStart w:id="1932" w:name="_Toc232109359"/>
      <w:bookmarkStart w:id="1933" w:name="_Toc244879323"/>
      <w:bookmarkStart w:id="1934" w:name="_Toc244880848"/>
      <w:r w:rsidRPr="00796736">
        <w:t xml:space="preserve">Til </w:t>
      </w:r>
      <w:r w:rsidR="006719DB" w:rsidRPr="00796736">
        <w:fldChar w:fldCharType="begin"/>
      </w:r>
      <w:r w:rsidR="006719DB" w:rsidRPr="00796736">
        <w:instrText xml:space="preserve"> REF _Ref232596117 \r \h </w:instrText>
      </w:r>
      <w:r w:rsidR="00967618" w:rsidRPr="00796736">
        <w:instrText xml:space="preserve"> \* MERGEFORMAT </w:instrText>
      </w:r>
      <w:r w:rsidR="006719DB" w:rsidRPr="00796736">
        <w:fldChar w:fldCharType="separate"/>
      </w:r>
      <w:r w:rsidR="008F29E5">
        <w:t>§ 27</w:t>
      </w:r>
      <w:bookmarkEnd w:id="1933"/>
      <w:bookmarkEnd w:id="1934"/>
      <w:r w:rsidR="006719DB" w:rsidRPr="00796736">
        <w:fldChar w:fldCharType="end"/>
      </w:r>
      <w:r w:rsidR="00F3784D" w:rsidRPr="00796736">
        <w:t xml:space="preserve"> </w:t>
      </w:r>
      <w:bookmarkEnd w:id="1932"/>
    </w:p>
    <w:p w14:paraId="3D16E762"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29 a regulerer Hvidvasksekretariatets mulighed for at anvende oplysninger fra andre FIU’er samt Hvidvasksekretariatets behandling af anmodninger fra andre FIU’er om videregivelse af oplysninger fra Hvidvasksekretariatet, herunder sekretariatets mulighed for at fastsætte begrænsninger i andre FIU’ers anvendelse af oplysninger videregivet fra Hvidvasksekretariatet. </w:t>
      </w:r>
    </w:p>
    <w:p w14:paraId="32B78261" w14:textId="77777777" w:rsidR="00F3784D" w:rsidRPr="00796736" w:rsidRDefault="00F3784D" w:rsidP="00A802A5">
      <w:pPr>
        <w:spacing w:line="360" w:lineRule="auto"/>
        <w:rPr>
          <w:rFonts w:ascii="Times New Roman" w:hAnsi="Times New Roman" w:cs="Times New Roman"/>
          <w:sz w:val="24"/>
          <w:szCs w:val="24"/>
        </w:rPr>
      </w:pPr>
    </w:p>
    <w:p w14:paraId="45118CAB"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 29 a, stk. 1, at Hvidvasksekretariatet i forbindelse med videregivelse af oplysninger til en anden EU-medlemsstats </w:t>
      </w:r>
      <w:bookmarkStart w:id="1935" w:name="_Hlk230853566"/>
      <w:r w:rsidRPr="00796736">
        <w:rPr>
          <w:rFonts w:ascii="Times New Roman" w:hAnsi="Times New Roman" w:cs="Times New Roman"/>
          <w:sz w:val="24"/>
          <w:szCs w:val="24"/>
        </w:rPr>
        <w:t xml:space="preserve">finansielle efterretningsenhed </w:t>
      </w:r>
      <w:bookmarkEnd w:id="1935"/>
      <w:r w:rsidRPr="00796736">
        <w:rPr>
          <w:rFonts w:ascii="Times New Roman" w:hAnsi="Times New Roman" w:cs="Times New Roman"/>
          <w:sz w:val="24"/>
          <w:szCs w:val="24"/>
        </w:rPr>
        <w:t xml:space="preserve">kan fastsætte begrænsninger og betingelser for anvendelsen af de pågældende oplysninger. Derudover følger det af § 29 a, stk. 4, 1. pkt., at Hvidvasksekretariatet skal overholde eventuelle fastsatte begrænsninger og betingelser for anvendelsen af oplysninger, som sekretariatet modtager fra en anden EU-medlemsstats finansielle efterretningsenhed.  </w:t>
      </w:r>
    </w:p>
    <w:p w14:paraId="4D4E5642" w14:textId="77777777" w:rsidR="00F3784D" w:rsidRPr="00796736" w:rsidRDefault="00F3784D" w:rsidP="00A802A5">
      <w:pPr>
        <w:spacing w:line="360" w:lineRule="auto"/>
        <w:rPr>
          <w:rFonts w:ascii="Times New Roman" w:hAnsi="Times New Roman" w:cs="Times New Roman"/>
          <w:sz w:val="24"/>
          <w:szCs w:val="24"/>
        </w:rPr>
      </w:pPr>
    </w:p>
    <w:p w14:paraId="51500F85" w14:textId="3E91D2D1"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beskrivelse af gældende ret henvises til pkt.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_Ref232944112 \n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3.26.1</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07705097" w14:textId="77777777" w:rsidR="00F3784D" w:rsidRPr="00796736" w:rsidRDefault="00F3784D" w:rsidP="00A802A5">
      <w:pPr>
        <w:spacing w:line="360" w:lineRule="auto"/>
        <w:rPr>
          <w:rFonts w:ascii="Times New Roman" w:hAnsi="Times New Roman" w:cs="Times New Roman"/>
          <w:sz w:val="24"/>
          <w:szCs w:val="24"/>
        </w:rPr>
      </w:pPr>
    </w:p>
    <w:p w14:paraId="7AD05A36" w14:textId="7BD297E5"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_Ref232596117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27</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lægges der op til at fastsætte regler om Hvidvasksekretariatets mulighed for at fastsætte begrænsninger og betingelser for anvendelsen af oplysninger og dokumenter der udveksles mellem FIU’er.</w:t>
      </w:r>
    </w:p>
    <w:p w14:paraId="2621D403" w14:textId="77777777" w:rsidR="00F3784D" w:rsidRPr="00796736" w:rsidRDefault="00F3784D" w:rsidP="00A802A5">
      <w:pPr>
        <w:spacing w:line="360" w:lineRule="auto"/>
        <w:rPr>
          <w:rFonts w:ascii="Times New Roman" w:hAnsi="Times New Roman" w:cs="Times New Roman"/>
          <w:sz w:val="24"/>
          <w:szCs w:val="24"/>
        </w:rPr>
      </w:pPr>
    </w:p>
    <w:p w14:paraId="7ACF3D72" w14:textId="4A4279B4"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Hvidvasksekretariatet anvender oplysninger og dokumenter, som modtages i medfør af </w:t>
      </w:r>
      <w:r w:rsidR="00587E0E" w:rsidRPr="00796736">
        <w:rPr>
          <w:rFonts w:ascii="Times New Roman" w:hAnsi="Times New Roman" w:cs="Times New Roman"/>
          <w:sz w:val="24"/>
          <w:szCs w:val="24"/>
        </w:rPr>
        <w:t>§</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og</w:t>
      </w:r>
      <w:r w:rsidR="0050440D" w:rsidRPr="00796736">
        <w:rPr>
          <w:rFonts w:ascii="Times New Roman" w:hAnsi="Times New Roman" w:cs="Times New Roman"/>
          <w:sz w:val="24"/>
          <w:szCs w:val="24"/>
        </w:rPr>
        <w:t xml:space="preserve">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26</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(om udveksling af oplysninger mellem FIU'er og fælles analyser), </w:t>
      </w:r>
      <w:r w:rsidR="0050440D" w:rsidRPr="00796736">
        <w:rPr>
          <w:rFonts w:ascii="Times New Roman" w:hAnsi="Times New Roman" w:cs="Times New Roman"/>
          <w:sz w:val="24"/>
          <w:szCs w:val="24"/>
        </w:rPr>
        <w:t>til varetagelse af Hvidvasksekretariatets opgaver som omhandlet i denne lov og regler udstedt i medfør af samt i tilknytning til denne lov.</w:t>
      </w:r>
    </w:p>
    <w:p w14:paraId="7B752DC1" w14:textId="77777777" w:rsidR="00F3784D" w:rsidRPr="00796736" w:rsidRDefault="00F3784D" w:rsidP="00A802A5">
      <w:pPr>
        <w:spacing w:line="360" w:lineRule="auto"/>
        <w:rPr>
          <w:rFonts w:ascii="Times New Roman" w:hAnsi="Times New Roman" w:cs="Times New Roman"/>
          <w:sz w:val="24"/>
          <w:szCs w:val="24"/>
        </w:rPr>
      </w:pPr>
    </w:p>
    <w:p w14:paraId="59694251" w14:textId="0BE0C00A"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således fastsætte rammerne for Hvidvasksekretariatets anvendelse af oplysninger og dokumenter, som modtages i medfør af </w:t>
      </w:r>
      <w:r w:rsidR="00587E0E" w:rsidRPr="00796736">
        <w:rPr>
          <w:rFonts w:ascii="Times New Roman" w:hAnsi="Times New Roman" w:cs="Times New Roman"/>
          <w:sz w:val="24"/>
          <w:szCs w:val="24"/>
        </w:rPr>
        <w:t>§</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og</w:t>
      </w:r>
      <w:r w:rsidR="0050440D" w:rsidRPr="00796736">
        <w:rPr>
          <w:rFonts w:ascii="Times New Roman" w:hAnsi="Times New Roman" w:cs="Times New Roman"/>
          <w:sz w:val="24"/>
          <w:szCs w:val="24"/>
        </w:rPr>
        <w:t xml:space="preserve">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26</w:t>
      </w:r>
      <w:r w:rsidR="00587E0E"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dvs. </w:t>
      </w:r>
      <w:r w:rsidR="0050440D" w:rsidRPr="00796736">
        <w:rPr>
          <w:rFonts w:ascii="Times New Roman" w:hAnsi="Times New Roman" w:cs="Times New Roman"/>
          <w:sz w:val="24"/>
          <w:szCs w:val="24"/>
        </w:rPr>
        <w:t>i situationer, hvor Hvidvasksekretariatet udveksler oplysninger med andre EU-medlemsstaters FIU'er og deltager i fælles analyser. Bestemmelsen vil indebære, at Hvidvasksekretariatet kun må anvende de pågældende oplysninger til løsning af opgaver som omhandlet i den foreslåede, regler udstedt i medfør af loven eller i tilknytning til loven, herunder cirkulærer, som forudsættes udstedt i tilknytning til den foreslåede lov.</w:t>
      </w:r>
    </w:p>
    <w:p w14:paraId="36220B59" w14:textId="77777777" w:rsidR="00F3784D" w:rsidRPr="00796736" w:rsidRDefault="00F3784D" w:rsidP="00A802A5">
      <w:pPr>
        <w:spacing w:line="360" w:lineRule="auto"/>
        <w:rPr>
          <w:rFonts w:ascii="Times New Roman" w:hAnsi="Times New Roman" w:cs="Times New Roman"/>
          <w:sz w:val="24"/>
          <w:szCs w:val="24"/>
        </w:rPr>
      </w:pPr>
    </w:p>
    <w:p w14:paraId="531A1AB7" w14:textId="052591AF"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Hvidvasksekretariatet</w:t>
      </w:r>
      <w:r w:rsidR="0050440D" w:rsidRPr="00796736">
        <w:rPr>
          <w:rFonts w:ascii="Times New Roman" w:hAnsi="Times New Roman" w:cs="Times New Roman"/>
          <w:sz w:val="24"/>
          <w:szCs w:val="24"/>
        </w:rPr>
        <w:t xml:space="preserve"> ved videregivelse af oplysninger og dokumenter til andre FIU’er i </w:t>
      </w:r>
      <w:r w:rsidRPr="00796736">
        <w:rPr>
          <w:rFonts w:ascii="Times New Roman" w:hAnsi="Times New Roman" w:cs="Times New Roman"/>
          <w:sz w:val="24"/>
          <w:szCs w:val="24"/>
        </w:rPr>
        <w:t xml:space="preserve">medfør af </w:t>
      </w:r>
      <w:r w:rsidR="00C62376" w:rsidRPr="00796736">
        <w:rPr>
          <w:rFonts w:ascii="Times New Roman" w:hAnsi="Times New Roman" w:cs="Times New Roman"/>
          <w:sz w:val="24"/>
          <w:szCs w:val="24"/>
        </w:rPr>
        <w:fldChar w:fldCharType="begin"/>
      </w:r>
      <w:r w:rsidR="00C62376"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C62376" w:rsidRPr="00796736">
        <w:rPr>
          <w:rFonts w:ascii="Times New Roman" w:hAnsi="Times New Roman" w:cs="Times New Roman"/>
          <w:sz w:val="24"/>
          <w:szCs w:val="24"/>
        </w:rPr>
      </w:r>
      <w:r w:rsidR="00C623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C62376" w:rsidRPr="00796736">
        <w:rPr>
          <w:rFonts w:ascii="Times New Roman" w:hAnsi="Times New Roman" w:cs="Times New Roman"/>
          <w:sz w:val="24"/>
          <w:szCs w:val="24"/>
        </w:rPr>
        <w:fldChar w:fldCharType="end"/>
      </w:r>
      <w:r w:rsidRPr="00796736">
        <w:rPr>
          <w:rFonts w:ascii="Times New Roman" w:hAnsi="Times New Roman" w:cs="Times New Roman"/>
          <w:sz w:val="24"/>
          <w:szCs w:val="24"/>
        </w:rPr>
        <w:t>, kan pålægge begrænsninger og betingelser for anvendelsen af de pågældende oplysninger, jf. dog stk. 3.</w:t>
      </w:r>
    </w:p>
    <w:p w14:paraId="2B7FBFF7" w14:textId="77777777" w:rsidR="00F3784D" w:rsidRPr="00796736" w:rsidRDefault="00F3784D" w:rsidP="00A802A5">
      <w:pPr>
        <w:spacing w:line="360" w:lineRule="auto"/>
        <w:rPr>
          <w:rFonts w:ascii="Times New Roman" w:hAnsi="Times New Roman" w:cs="Times New Roman"/>
          <w:sz w:val="24"/>
          <w:szCs w:val="24"/>
        </w:rPr>
      </w:pPr>
    </w:p>
    <w:p w14:paraId="5EF42645" w14:textId="32579424"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videreføre hvidvasklovens § 29 a, stk. 1, og medføre, at Hvidvasksekretariatet som udgangspunkt vil kunne pålægge begrænsninger og betingelser for anvendelsen af oplysninger, når sekretariatet videregiver oplysninger og dokumenter til andre</w:t>
      </w:r>
      <w:r w:rsidR="0050440D" w:rsidRPr="00796736">
        <w:rPr>
          <w:rFonts w:ascii="Times New Roman" w:hAnsi="Times New Roman" w:cs="Times New Roman"/>
          <w:sz w:val="24"/>
          <w:szCs w:val="24"/>
        </w:rPr>
        <w:t xml:space="preserve"> EU-medlemsstaters</w:t>
      </w:r>
      <w:r w:rsidRPr="00796736">
        <w:rPr>
          <w:rFonts w:ascii="Times New Roman" w:hAnsi="Times New Roman" w:cs="Times New Roman"/>
          <w:sz w:val="24"/>
          <w:szCs w:val="24"/>
        </w:rPr>
        <w:t xml:space="preserve"> FIU’er i medfør af </w:t>
      </w:r>
      <w:r w:rsidR="00C62376" w:rsidRPr="00796736">
        <w:rPr>
          <w:rFonts w:ascii="Times New Roman" w:hAnsi="Times New Roman" w:cs="Times New Roman"/>
          <w:sz w:val="24"/>
          <w:szCs w:val="24"/>
        </w:rPr>
        <w:fldChar w:fldCharType="begin"/>
      </w:r>
      <w:r w:rsidR="00C62376"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C62376" w:rsidRPr="00796736">
        <w:rPr>
          <w:rFonts w:ascii="Times New Roman" w:hAnsi="Times New Roman" w:cs="Times New Roman"/>
          <w:sz w:val="24"/>
          <w:szCs w:val="24"/>
        </w:rPr>
      </w:r>
      <w:r w:rsidR="00C623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C62376" w:rsidRPr="00796736">
        <w:rPr>
          <w:rFonts w:ascii="Times New Roman" w:hAnsi="Times New Roman" w:cs="Times New Roman"/>
          <w:sz w:val="24"/>
          <w:szCs w:val="24"/>
        </w:rPr>
        <w:fldChar w:fldCharType="end"/>
      </w:r>
      <w:r w:rsidR="00C62376" w:rsidRPr="00796736">
        <w:rPr>
          <w:rFonts w:ascii="Times New Roman" w:hAnsi="Times New Roman" w:cs="Times New Roman"/>
          <w:sz w:val="24"/>
          <w:szCs w:val="24"/>
        </w:rPr>
        <w:t xml:space="preserve"> </w:t>
      </w:r>
      <w:r w:rsidRPr="00796736">
        <w:rPr>
          <w:rFonts w:ascii="Times New Roman" w:hAnsi="Times New Roman" w:cs="Times New Roman"/>
          <w:sz w:val="24"/>
          <w:szCs w:val="24"/>
        </w:rPr>
        <w:t>om udveksling af oplysninger mellem FIU'er.</w:t>
      </w:r>
    </w:p>
    <w:p w14:paraId="576D001A" w14:textId="77777777" w:rsidR="00F3784D" w:rsidRPr="00796736" w:rsidRDefault="00F3784D" w:rsidP="00A802A5">
      <w:pPr>
        <w:spacing w:line="360" w:lineRule="auto"/>
        <w:rPr>
          <w:rFonts w:ascii="Times New Roman" w:hAnsi="Times New Roman" w:cs="Times New Roman"/>
          <w:sz w:val="24"/>
          <w:szCs w:val="24"/>
        </w:rPr>
      </w:pPr>
    </w:p>
    <w:p w14:paraId="0BA9D9E3"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i den forbindelse af hvidvaskdirektivets præambelbetragtning nr. 76 bl.a., at en FIU kan indføre visse restriktioner og begrænsninger med hensyn til den videre anvendelse af de oplysninger, den stiller til rådighed for en anden FIU.</w:t>
      </w:r>
    </w:p>
    <w:p w14:paraId="0E189749" w14:textId="77777777" w:rsidR="00F3784D" w:rsidRPr="00796736" w:rsidRDefault="00F3784D" w:rsidP="00A802A5">
      <w:pPr>
        <w:spacing w:line="360" w:lineRule="auto"/>
        <w:rPr>
          <w:rFonts w:ascii="Times New Roman" w:hAnsi="Times New Roman" w:cs="Times New Roman"/>
          <w:sz w:val="24"/>
          <w:szCs w:val="24"/>
        </w:rPr>
      </w:pPr>
    </w:p>
    <w:p w14:paraId="60707960"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at der med den foreslåede bestemmelse ikke vil kunne fastsættes særlige vilkår alene som følge af, at der er tale om videregivelse til en FIU. Der kan i den forbindelse henvises til bemærkningerne til den gældende bestemmelse i hvidvasklovens § 29 a, stk. 1, jf. Folketingstidende 2019-20, tillæg A, L 58 som fremsat, side 73.</w:t>
      </w:r>
    </w:p>
    <w:p w14:paraId="55ED3802" w14:textId="77777777" w:rsidR="00F3784D" w:rsidRPr="00796736" w:rsidRDefault="00F3784D" w:rsidP="00A802A5">
      <w:pPr>
        <w:spacing w:line="360" w:lineRule="auto"/>
        <w:rPr>
          <w:rFonts w:ascii="Times New Roman" w:hAnsi="Times New Roman" w:cs="Times New Roman"/>
          <w:sz w:val="24"/>
          <w:szCs w:val="24"/>
        </w:rPr>
      </w:pPr>
    </w:p>
    <w:p w14:paraId="78D9E89C" w14:textId="77777777" w:rsidR="00074750" w:rsidRPr="00796736" w:rsidRDefault="0007475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Hvidvasksekretariatet ikke kan pålægge begrænsninger og betingelser for anvendelsen, når videregivelsen udgøres af en underretning fra en virksomhed eller person i henhold til hvidvaskforordningens artikel 69, stk. 1, eller oplysninger derfra, som vedrører en anden medlemsstat, hvor den pågældende driver virksomhed i henhold til reglerne om fri udveksling af tjenesteydelser, og som ikke indeholder nogen forbindelse til Danmark. </w:t>
      </w:r>
    </w:p>
    <w:p w14:paraId="44686F60" w14:textId="77777777" w:rsidR="00F3784D" w:rsidRPr="00796736" w:rsidRDefault="00F3784D" w:rsidP="00A802A5">
      <w:pPr>
        <w:spacing w:line="360" w:lineRule="auto"/>
        <w:rPr>
          <w:rFonts w:ascii="Times New Roman" w:hAnsi="Times New Roman" w:cs="Times New Roman"/>
          <w:sz w:val="24"/>
          <w:szCs w:val="24"/>
        </w:rPr>
      </w:pPr>
    </w:p>
    <w:p w14:paraId="075E76B1" w14:textId="77777777" w:rsidR="002573F1" w:rsidRPr="00796736" w:rsidRDefault="002573F1" w:rsidP="002573F1">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som noget nyt i forhold til gældende ret indebære, at Hvidvasksekretariatet ikke vil kunne pålægge begrænsninger og betingelser for anvendelsen af de pågældende oplysninger i de tilfælde, hvor Hvidvasksekretariatet videregiver en indberetning fra en </w:t>
      </w:r>
      <w:r>
        <w:rPr>
          <w:rFonts w:ascii="Times New Roman" w:hAnsi="Times New Roman" w:cs="Times New Roman"/>
          <w:sz w:val="24"/>
          <w:szCs w:val="24"/>
        </w:rPr>
        <w:t>virksomhed eller person omfattet af loven</w:t>
      </w:r>
      <w:r w:rsidRPr="00796736">
        <w:rPr>
          <w:rFonts w:ascii="Times New Roman" w:hAnsi="Times New Roman" w:cs="Times New Roman"/>
          <w:sz w:val="24"/>
          <w:szCs w:val="24"/>
        </w:rPr>
        <w:t xml:space="preserve"> i henhold til artikel 69, stk. 1, i hvidvaskforordningen eller oplysninger derfra, der vedrører en anden medlemsstat, hvor den </w:t>
      </w:r>
      <w:r>
        <w:rPr>
          <w:rFonts w:ascii="Times New Roman" w:hAnsi="Times New Roman" w:cs="Times New Roman"/>
          <w:sz w:val="24"/>
          <w:szCs w:val="24"/>
        </w:rPr>
        <w:t>pågældende virksomhed eller person</w:t>
      </w:r>
      <w:r w:rsidRPr="00796736">
        <w:rPr>
          <w:rFonts w:ascii="Times New Roman" w:hAnsi="Times New Roman" w:cs="Times New Roman"/>
          <w:sz w:val="24"/>
          <w:szCs w:val="24"/>
        </w:rPr>
        <w:t xml:space="preserve"> driver virksomhed i henhold til reglerne om fri udveksling af tjenesteydelser, og som ikke indeholder nogen dansk forbindelse.</w:t>
      </w:r>
    </w:p>
    <w:p w14:paraId="1D213119" w14:textId="77777777" w:rsidR="00F3784D" w:rsidRPr="00796736" w:rsidRDefault="00F3784D" w:rsidP="00A802A5">
      <w:pPr>
        <w:spacing w:line="360" w:lineRule="auto"/>
        <w:rPr>
          <w:rFonts w:ascii="Times New Roman" w:hAnsi="Times New Roman" w:cs="Times New Roman"/>
          <w:sz w:val="24"/>
          <w:szCs w:val="24"/>
        </w:rPr>
      </w:pPr>
    </w:p>
    <w:p w14:paraId="6AB92D7B" w14:textId="3F4B5738" w:rsidR="00C62376" w:rsidRPr="00796736" w:rsidRDefault="00514E8D" w:rsidP="00A802A5">
      <w:pPr>
        <w:spacing w:line="360" w:lineRule="auto"/>
        <w:rPr>
          <w:rFonts w:ascii="Times New Roman" w:hAnsi="Times New Roman" w:cs="Times New Roman"/>
          <w:sz w:val="24"/>
          <w:szCs w:val="24"/>
        </w:rPr>
      </w:pPr>
      <w:bookmarkStart w:id="1936" w:name="_Hlk230879549"/>
      <w:r w:rsidRPr="00796736">
        <w:rPr>
          <w:rFonts w:ascii="Times New Roman" w:hAnsi="Times New Roman" w:cs="Times New Roman"/>
          <w:sz w:val="24"/>
          <w:szCs w:val="24"/>
        </w:rPr>
        <w:t>Ved en »</w:t>
      </w:r>
      <w:r>
        <w:rPr>
          <w:rFonts w:ascii="Times New Roman" w:hAnsi="Times New Roman" w:cs="Times New Roman"/>
          <w:sz w:val="24"/>
          <w:szCs w:val="24"/>
        </w:rPr>
        <w:t>virksomhed eller person omfattet af loven</w:t>
      </w:r>
      <w:r w:rsidRPr="00796736">
        <w:rPr>
          <w:rFonts w:ascii="Times New Roman" w:hAnsi="Times New Roman" w:cs="Times New Roman"/>
          <w:sz w:val="24"/>
          <w:szCs w:val="24"/>
        </w:rPr>
        <w:t xml:space="preserve">« </w:t>
      </w:r>
      <w:r w:rsidR="00F3784D" w:rsidRPr="00796736">
        <w:rPr>
          <w:rFonts w:ascii="Times New Roman" w:hAnsi="Times New Roman" w:cs="Times New Roman"/>
          <w:sz w:val="24"/>
          <w:szCs w:val="24"/>
        </w:rPr>
        <w:t xml:space="preserve">efter </w:t>
      </w:r>
      <w:r w:rsidR="00C62376" w:rsidRPr="00796736">
        <w:rPr>
          <w:rFonts w:ascii="Times New Roman" w:hAnsi="Times New Roman" w:cs="Times New Roman"/>
          <w:sz w:val="24"/>
          <w:szCs w:val="24"/>
        </w:rPr>
        <w:fldChar w:fldCharType="begin"/>
      </w:r>
      <w:r w:rsidR="00C62376" w:rsidRPr="00796736">
        <w:rPr>
          <w:rFonts w:ascii="Times New Roman" w:hAnsi="Times New Roman" w:cs="Times New Roman"/>
          <w:sz w:val="24"/>
          <w:szCs w:val="24"/>
        </w:rPr>
        <w:instrText xml:space="preserve"> REF _Ref232596117 \r \h </w:instrText>
      </w:r>
      <w:r w:rsidR="00967618" w:rsidRPr="00796736">
        <w:rPr>
          <w:rFonts w:ascii="Times New Roman" w:hAnsi="Times New Roman" w:cs="Times New Roman"/>
          <w:sz w:val="24"/>
          <w:szCs w:val="24"/>
        </w:rPr>
        <w:instrText xml:space="preserve"> \* MERGEFORMAT </w:instrText>
      </w:r>
      <w:r w:rsidR="00C62376" w:rsidRPr="00796736">
        <w:rPr>
          <w:rFonts w:ascii="Times New Roman" w:hAnsi="Times New Roman" w:cs="Times New Roman"/>
          <w:sz w:val="24"/>
          <w:szCs w:val="24"/>
        </w:rPr>
      </w:r>
      <w:r w:rsidR="00C623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27</w:t>
      </w:r>
      <w:r w:rsidR="00C62376" w:rsidRPr="00796736">
        <w:rPr>
          <w:rFonts w:ascii="Times New Roman" w:hAnsi="Times New Roman" w:cs="Times New Roman"/>
          <w:sz w:val="24"/>
          <w:szCs w:val="24"/>
        </w:rPr>
        <w:fldChar w:fldCharType="end"/>
      </w:r>
      <w:r w:rsidR="00F3784D" w:rsidRPr="00796736">
        <w:rPr>
          <w:rFonts w:ascii="Times New Roman" w:hAnsi="Times New Roman" w:cs="Times New Roman"/>
          <w:sz w:val="24"/>
          <w:szCs w:val="24"/>
        </w:rPr>
        <w:t xml:space="preserve">, stk. 3, forstås i overensstemmelse med definitionen i hvidvaskdirektivets artikel 2, nr. 4, den fysiske eller juridiske person, der er opført i artikel 3 i hvidvaskforordningen, som ikke er undtaget i henhold til hvidvaskforordningens artikel 4, 5, 6 eller 7. </w:t>
      </w:r>
    </w:p>
    <w:bookmarkEnd w:id="1936"/>
    <w:p w14:paraId="53467FF6" w14:textId="77777777" w:rsidR="00F3784D" w:rsidRPr="00796736" w:rsidRDefault="00F3784D" w:rsidP="00A802A5">
      <w:pPr>
        <w:spacing w:line="360" w:lineRule="auto"/>
        <w:rPr>
          <w:rFonts w:ascii="Times New Roman" w:hAnsi="Times New Roman" w:cs="Times New Roman"/>
          <w:sz w:val="24"/>
          <w:szCs w:val="24"/>
        </w:rPr>
      </w:pPr>
    </w:p>
    <w:p w14:paraId="52A7E1D9"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at Hvidvasksekretariatet skal overholde eventuelle fastsatte begrænsninger og betingelser for anvendelsen af oplysninger, som sekretariatet modtager fra en anden FIU.</w:t>
      </w:r>
    </w:p>
    <w:p w14:paraId="0D9027BD" w14:textId="77777777" w:rsidR="00F3784D" w:rsidRPr="00796736" w:rsidRDefault="00F3784D" w:rsidP="00A802A5">
      <w:pPr>
        <w:spacing w:line="360" w:lineRule="auto"/>
        <w:rPr>
          <w:rFonts w:ascii="Times New Roman" w:hAnsi="Times New Roman" w:cs="Times New Roman"/>
          <w:sz w:val="24"/>
          <w:szCs w:val="24"/>
        </w:rPr>
      </w:pPr>
    </w:p>
    <w:p w14:paraId="6E513255" w14:textId="7777777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vil – som efter hvidvasklovens § 29 a, stk. 4, 1. pkt. – indebære, at Hvidvasksekretariatet vil skulle overholde eventuelle fastsatte begrænsninger og betingelser for anvendelsen af oplysninger, som sekretariatet modtager fra andre FIU’er. Der er tale om en videreførelse af gældende ret. </w:t>
      </w:r>
    </w:p>
    <w:p w14:paraId="3C04DB51" w14:textId="77777777" w:rsidR="00F3784D" w:rsidRPr="00796736" w:rsidRDefault="00F3784D" w:rsidP="00A802A5">
      <w:pPr>
        <w:spacing w:line="360" w:lineRule="auto"/>
        <w:rPr>
          <w:rFonts w:ascii="Times New Roman" w:hAnsi="Times New Roman" w:cs="Times New Roman"/>
          <w:sz w:val="24"/>
          <w:szCs w:val="24"/>
        </w:rPr>
      </w:pPr>
    </w:p>
    <w:p w14:paraId="215E96C2" w14:textId="4A65D3EE"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_Ref232596117 \r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27</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har til formål at gennemføre 6. hvidvaskdirektivets artikel 33. </w:t>
      </w:r>
    </w:p>
    <w:p w14:paraId="44CA4C45" w14:textId="77777777" w:rsidR="00F3784D" w:rsidRPr="00796736" w:rsidRDefault="00F3784D" w:rsidP="00A802A5">
      <w:pPr>
        <w:spacing w:line="360" w:lineRule="auto"/>
        <w:rPr>
          <w:rFonts w:ascii="Times New Roman" w:hAnsi="Times New Roman" w:cs="Times New Roman"/>
          <w:sz w:val="24"/>
          <w:szCs w:val="24"/>
        </w:rPr>
      </w:pPr>
    </w:p>
    <w:p w14:paraId="1FDCCAF6" w14:textId="35C75B17" w:rsidR="00F3784D" w:rsidRPr="00796736" w:rsidRDefault="00F3784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87E0E" w:rsidRPr="00796736">
        <w:rPr>
          <w:rFonts w:ascii="Times New Roman" w:hAnsi="Times New Roman" w:cs="Times New Roman"/>
          <w:sz w:val="24"/>
          <w:szCs w:val="24"/>
        </w:rPr>
        <w:fldChar w:fldCharType="begin"/>
      </w:r>
      <w:r w:rsidR="00587E0E" w:rsidRPr="00796736">
        <w:rPr>
          <w:rFonts w:ascii="Times New Roman" w:hAnsi="Times New Roman" w:cs="Times New Roman"/>
          <w:sz w:val="24"/>
          <w:szCs w:val="24"/>
        </w:rPr>
        <w:instrText xml:space="preserve"> REF _Ref232944257 \n \h </w:instrText>
      </w:r>
      <w:r w:rsidR="00967618" w:rsidRPr="00796736">
        <w:rPr>
          <w:rFonts w:ascii="Times New Roman" w:hAnsi="Times New Roman" w:cs="Times New Roman"/>
          <w:sz w:val="24"/>
          <w:szCs w:val="24"/>
        </w:rPr>
        <w:instrText xml:space="preserve"> \* MERGEFORMAT </w:instrText>
      </w:r>
      <w:r w:rsidR="00587E0E" w:rsidRPr="00796736">
        <w:rPr>
          <w:rFonts w:ascii="Times New Roman" w:hAnsi="Times New Roman" w:cs="Times New Roman"/>
          <w:sz w:val="24"/>
          <w:szCs w:val="24"/>
        </w:rPr>
      </w:r>
      <w:r w:rsidR="00587E0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3.26</w:t>
      </w:r>
      <w:r w:rsidR="00587E0E" w:rsidRPr="00796736">
        <w:rPr>
          <w:rFonts w:ascii="Times New Roman" w:hAnsi="Times New Roman" w:cs="Times New Roman"/>
          <w:sz w:val="24"/>
          <w:szCs w:val="24"/>
        </w:rPr>
        <w:fldChar w:fldCharType="end"/>
      </w:r>
      <w:r w:rsidR="00587E0E"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2FD65BCA" w14:textId="77777777" w:rsidR="00F3784D" w:rsidRPr="00796736" w:rsidRDefault="00F3784D" w:rsidP="00A802A5">
      <w:pPr>
        <w:spacing w:line="360" w:lineRule="auto"/>
        <w:jc w:val="center"/>
        <w:rPr>
          <w:rFonts w:ascii="Times New Roman" w:hAnsi="Times New Roman" w:cs="Times New Roman"/>
          <w:i/>
          <w:iCs/>
          <w:sz w:val="24"/>
          <w:szCs w:val="24"/>
        </w:rPr>
      </w:pPr>
    </w:p>
    <w:p w14:paraId="14354522" w14:textId="77777777" w:rsidR="00F3784D" w:rsidRPr="00796736" w:rsidRDefault="00F3784D" w:rsidP="00A802A5">
      <w:pPr>
        <w:spacing w:line="360" w:lineRule="auto"/>
        <w:jc w:val="center"/>
        <w:rPr>
          <w:rFonts w:ascii="Times New Roman" w:hAnsi="Times New Roman" w:cs="Times New Roman"/>
          <w:i/>
          <w:iCs/>
          <w:sz w:val="24"/>
          <w:szCs w:val="24"/>
        </w:rPr>
      </w:pPr>
    </w:p>
    <w:p w14:paraId="680D1B3A" w14:textId="26B5AD95" w:rsidR="00863F1A" w:rsidRPr="00796736" w:rsidRDefault="00240DBE" w:rsidP="00A802A5">
      <w:pPr>
        <w:pStyle w:val="Undertitel"/>
        <w:rPr>
          <w:iCs/>
        </w:rPr>
      </w:pPr>
      <w:bookmarkStart w:id="1937" w:name="_Toc232109360"/>
      <w:bookmarkStart w:id="1938" w:name="_Toc244879324"/>
      <w:bookmarkStart w:id="1939" w:name="_Toc244880849"/>
      <w:r w:rsidRPr="00796736">
        <w:t xml:space="preserve">Til </w:t>
      </w:r>
      <w:r w:rsidR="006719DB" w:rsidRPr="00796736">
        <w:fldChar w:fldCharType="begin"/>
      </w:r>
      <w:r w:rsidR="006719DB" w:rsidRPr="00796736">
        <w:instrText xml:space="preserve"> REF _Ref232596141 \r \h </w:instrText>
      </w:r>
      <w:r w:rsidR="00967618" w:rsidRPr="00796736">
        <w:instrText xml:space="preserve"> \* MERGEFORMAT </w:instrText>
      </w:r>
      <w:r w:rsidR="006719DB" w:rsidRPr="00796736">
        <w:fldChar w:fldCharType="separate"/>
      </w:r>
      <w:r w:rsidR="008F29E5">
        <w:t>§ 28</w:t>
      </w:r>
      <w:bookmarkEnd w:id="1938"/>
      <w:bookmarkEnd w:id="1939"/>
      <w:r w:rsidR="006719DB" w:rsidRPr="00796736">
        <w:fldChar w:fldCharType="end"/>
      </w:r>
      <w:r w:rsidR="00863F1A" w:rsidRPr="00796736">
        <w:t xml:space="preserve"> </w:t>
      </w:r>
      <w:bookmarkEnd w:id="1937"/>
    </w:p>
    <w:p w14:paraId="0FDC9DCE" w14:textId="1ABFC0B9"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29 a, stk. 2, 1. pkt., at Hvidvasksekretariatet omgående skal besvare og i videst mulig</w:t>
      </w:r>
      <w:r w:rsidR="00796736" w:rsidRPr="00796736">
        <w:rPr>
          <w:rFonts w:ascii="Times New Roman" w:hAnsi="Times New Roman" w:cs="Times New Roman"/>
          <w:sz w:val="24"/>
          <w:szCs w:val="24"/>
        </w:rPr>
        <w:t>t</w:t>
      </w:r>
      <w:r w:rsidRPr="00796736">
        <w:rPr>
          <w:rFonts w:ascii="Times New Roman" w:hAnsi="Times New Roman" w:cs="Times New Roman"/>
          <w:sz w:val="24"/>
          <w:szCs w:val="24"/>
        </w:rPr>
        <w:t xml:space="preserve"> omfang imødekomme en anmodning fra en anden EU-medlemsstats finansielle efterretningsenhed om tilladelse til at videregive oplysninger til kompetente myndigheder, organer eller instanser, som den pågældende finansielle efterretningsenhed har modtaget fra Hvidvasksekretariatet, uanset typen af den tilknyttede underliggende forbrydelse. </w:t>
      </w:r>
    </w:p>
    <w:p w14:paraId="1D9EA7E7" w14:textId="77777777" w:rsidR="00863F1A" w:rsidRPr="00796736" w:rsidRDefault="00863F1A" w:rsidP="00A802A5">
      <w:pPr>
        <w:spacing w:line="360" w:lineRule="auto"/>
        <w:rPr>
          <w:rFonts w:ascii="Times New Roman" w:hAnsi="Times New Roman" w:cs="Times New Roman"/>
          <w:sz w:val="24"/>
          <w:szCs w:val="24"/>
        </w:rPr>
      </w:pPr>
    </w:p>
    <w:p w14:paraId="6A9C0801"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bestemmelsens stk. 2, 2. pkt., fremgår det, at Hvidvasksekretariatet i den forbindelse ikke må nægte at imødekomme en sådan anmodning, medmindre formålet med videregivelsen falder uden for en sådan opgavevaretagelse, som er beskrevet i § 29, stk. 2, eller der er bestemte grunde til at antage, at videregivelsen vil kunne vanskeliggøre forebyggelse, afsløring eller efterforskning af strafbare handlinger eller fuldbyrdelse af strafferetlige sanktioner eller på anden måde ikke vil være i overensstemmelse med grundlæggende principper i dansk ret.</w:t>
      </w:r>
    </w:p>
    <w:p w14:paraId="7EEC0C50" w14:textId="77777777" w:rsidR="00863F1A" w:rsidRPr="00796736" w:rsidRDefault="00863F1A" w:rsidP="00A802A5">
      <w:pPr>
        <w:spacing w:line="360" w:lineRule="auto"/>
        <w:rPr>
          <w:rFonts w:ascii="Times New Roman" w:hAnsi="Times New Roman" w:cs="Times New Roman"/>
          <w:sz w:val="24"/>
          <w:szCs w:val="24"/>
        </w:rPr>
      </w:pPr>
    </w:p>
    <w:p w14:paraId="40A1663A"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herudover af § 29 a, stk. 3, at afslag på anmodninger efter stk. 2 skal begrundes behørigt. </w:t>
      </w:r>
    </w:p>
    <w:p w14:paraId="0ADBA101" w14:textId="77777777" w:rsidR="00863F1A" w:rsidRPr="00796736" w:rsidRDefault="00863F1A" w:rsidP="00A802A5">
      <w:pPr>
        <w:spacing w:line="360" w:lineRule="auto"/>
        <w:rPr>
          <w:rFonts w:ascii="Times New Roman" w:hAnsi="Times New Roman" w:cs="Times New Roman"/>
          <w:sz w:val="24"/>
          <w:szCs w:val="24"/>
        </w:rPr>
      </w:pPr>
    </w:p>
    <w:p w14:paraId="26BC665A"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Endvidere fremgår det af § 29 a, stk. 4, 2. pkt., at Hvidvasksekretariatet kun må anvende oplysninger, som sekretariatet modtager fra en anden EU-medlemsstats finansielle efterretningsenhed, til de formål, hvortil oplysningerne er indhentet eller er blevet udleveret. Det fremgår videre af stk. 4, 3. pkt., at Hvidvasksekretariatets videregivelse af sådanne oplysninger til kompetente myndigheder, organer eller instanser eller anvendelse af sådanne oplysninger til andre formål er betinget af, at den afgivende EU-medlemsstats finansielle efterretningsenhed på forhånd meddeler samtykke hertil. </w:t>
      </w:r>
    </w:p>
    <w:p w14:paraId="24AF4D02" w14:textId="77777777" w:rsidR="00863F1A" w:rsidRPr="00796736" w:rsidRDefault="00863F1A" w:rsidP="00A802A5">
      <w:pPr>
        <w:spacing w:line="360" w:lineRule="auto"/>
        <w:rPr>
          <w:rFonts w:ascii="Times New Roman" w:hAnsi="Times New Roman" w:cs="Times New Roman"/>
          <w:sz w:val="24"/>
          <w:szCs w:val="24"/>
        </w:rPr>
      </w:pPr>
    </w:p>
    <w:p w14:paraId="742A160C" w14:textId="57D55279"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en nærmere beskrivelse af gældende ret henvises til pkt. </w:t>
      </w:r>
      <w:r w:rsidR="0018349A" w:rsidRPr="00796736">
        <w:rPr>
          <w:rFonts w:ascii="Times New Roman" w:hAnsi="Times New Roman" w:cs="Times New Roman"/>
          <w:sz w:val="24"/>
          <w:szCs w:val="24"/>
        </w:rPr>
        <w:fldChar w:fldCharType="begin"/>
      </w:r>
      <w:r w:rsidR="0018349A" w:rsidRPr="00796736">
        <w:rPr>
          <w:rFonts w:ascii="Times New Roman" w:hAnsi="Times New Roman" w:cs="Times New Roman"/>
          <w:sz w:val="24"/>
          <w:szCs w:val="24"/>
        </w:rPr>
        <w:instrText xml:space="preserve"> REF _Ref232944736 \n \h </w:instrText>
      </w:r>
      <w:r w:rsidR="00967618" w:rsidRPr="00796736">
        <w:rPr>
          <w:rFonts w:ascii="Times New Roman" w:hAnsi="Times New Roman" w:cs="Times New Roman"/>
          <w:sz w:val="24"/>
          <w:szCs w:val="24"/>
        </w:rPr>
        <w:instrText xml:space="preserve"> \* MERGEFORMAT </w:instrText>
      </w:r>
      <w:r w:rsidR="0018349A" w:rsidRPr="00796736">
        <w:rPr>
          <w:rFonts w:ascii="Times New Roman" w:hAnsi="Times New Roman" w:cs="Times New Roman"/>
          <w:sz w:val="24"/>
          <w:szCs w:val="24"/>
        </w:rPr>
      </w:r>
      <w:r w:rsidR="0018349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3.27.1</w:t>
      </w:r>
      <w:r w:rsidR="0018349A" w:rsidRPr="00796736">
        <w:rPr>
          <w:rFonts w:ascii="Times New Roman" w:hAnsi="Times New Roman" w:cs="Times New Roman"/>
          <w:sz w:val="24"/>
          <w:szCs w:val="24"/>
        </w:rPr>
        <w:fldChar w:fldCharType="end"/>
      </w:r>
      <w:r w:rsidR="0018349A"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0D9CBFC7" w14:textId="77777777" w:rsidR="00863F1A" w:rsidRPr="00796736" w:rsidRDefault="00863F1A" w:rsidP="00A802A5">
      <w:pPr>
        <w:spacing w:line="360" w:lineRule="auto"/>
        <w:rPr>
          <w:rFonts w:ascii="Times New Roman" w:hAnsi="Times New Roman" w:cs="Times New Roman"/>
          <w:sz w:val="24"/>
          <w:szCs w:val="24"/>
        </w:rPr>
      </w:pPr>
    </w:p>
    <w:p w14:paraId="5175DAAE" w14:textId="3325B8B8"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w:t>
      </w:r>
      <w:r w:rsidR="0018349A" w:rsidRPr="00796736">
        <w:rPr>
          <w:rFonts w:ascii="Times New Roman" w:hAnsi="Times New Roman" w:cs="Times New Roman"/>
          <w:sz w:val="24"/>
          <w:szCs w:val="24"/>
        </w:rPr>
        <w:fldChar w:fldCharType="begin"/>
      </w:r>
      <w:r w:rsidR="0018349A" w:rsidRPr="00796736">
        <w:rPr>
          <w:rFonts w:ascii="Times New Roman" w:hAnsi="Times New Roman" w:cs="Times New Roman"/>
          <w:sz w:val="24"/>
          <w:szCs w:val="24"/>
        </w:rPr>
        <w:instrText xml:space="preserve"> REF _Ref232596141 \r \h </w:instrText>
      </w:r>
      <w:r w:rsidR="00967618" w:rsidRPr="00796736">
        <w:rPr>
          <w:rFonts w:ascii="Times New Roman" w:hAnsi="Times New Roman" w:cs="Times New Roman"/>
          <w:sz w:val="24"/>
          <w:szCs w:val="24"/>
        </w:rPr>
        <w:instrText xml:space="preserve"> \* MERGEFORMAT </w:instrText>
      </w:r>
      <w:r w:rsidR="0018349A" w:rsidRPr="00796736">
        <w:rPr>
          <w:rFonts w:ascii="Times New Roman" w:hAnsi="Times New Roman" w:cs="Times New Roman"/>
          <w:sz w:val="24"/>
          <w:szCs w:val="24"/>
        </w:rPr>
      </w:r>
      <w:r w:rsidR="0018349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28</w:t>
      </w:r>
      <w:r w:rsidR="0018349A" w:rsidRPr="00796736">
        <w:rPr>
          <w:rFonts w:ascii="Times New Roman" w:hAnsi="Times New Roman" w:cs="Times New Roman"/>
          <w:sz w:val="24"/>
          <w:szCs w:val="24"/>
        </w:rPr>
        <w:fldChar w:fldCharType="end"/>
      </w:r>
      <w:r w:rsidR="0018349A" w:rsidRPr="00796736">
        <w:rPr>
          <w:rFonts w:ascii="Times New Roman" w:hAnsi="Times New Roman" w:cs="Times New Roman"/>
          <w:sz w:val="24"/>
          <w:szCs w:val="24"/>
        </w:rPr>
        <w:t xml:space="preserve"> </w:t>
      </w:r>
      <w:r w:rsidRPr="00796736">
        <w:rPr>
          <w:rFonts w:ascii="Times New Roman" w:hAnsi="Times New Roman" w:cs="Times New Roman"/>
          <w:sz w:val="24"/>
          <w:szCs w:val="24"/>
        </w:rPr>
        <w:t>lægges der op til at fastsætte regler om samtykke til yderligere formidling (videregivelse) af oplysninger, der udveksles mellem Hvidvasksekretariatet og andre FIU'er.</w:t>
      </w:r>
    </w:p>
    <w:p w14:paraId="3153378D" w14:textId="77777777" w:rsidR="00863F1A" w:rsidRPr="00796736" w:rsidRDefault="00863F1A" w:rsidP="00A802A5">
      <w:pPr>
        <w:spacing w:line="360" w:lineRule="auto"/>
        <w:rPr>
          <w:rFonts w:ascii="Times New Roman" w:hAnsi="Times New Roman" w:cs="Times New Roman"/>
          <w:sz w:val="24"/>
          <w:szCs w:val="24"/>
        </w:rPr>
      </w:pPr>
    </w:p>
    <w:p w14:paraId="6086FD1A" w14:textId="7496645A"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Hvidvasksekretariatet kun må anvende oplysninger, sekretariatet modtager fra andre</w:t>
      </w:r>
      <w:r w:rsidR="0050440D" w:rsidRPr="00796736">
        <w:rPr>
          <w:rFonts w:ascii="Times New Roman" w:hAnsi="Times New Roman" w:cs="Times New Roman"/>
          <w:sz w:val="24"/>
          <w:szCs w:val="24"/>
        </w:rPr>
        <w:t xml:space="preserve"> EU-medlemsstaters</w:t>
      </w:r>
      <w:r w:rsidRPr="00796736">
        <w:rPr>
          <w:rFonts w:ascii="Times New Roman" w:hAnsi="Times New Roman" w:cs="Times New Roman"/>
          <w:sz w:val="24"/>
          <w:szCs w:val="24"/>
        </w:rPr>
        <w:t xml:space="preserve"> FIU’er i medfør af §</w:t>
      </w:r>
      <w:r w:rsidR="0018349A" w:rsidRPr="00796736">
        <w:rPr>
          <w:rFonts w:ascii="Times New Roman" w:hAnsi="Times New Roman" w:cs="Times New Roman"/>
          <w:sz w:val="24"/>
          <w:szCs w:val="24"/>
        </w:rPr>
        <w:fldChar w:fldCharType="begin"/>
      </w:r>
      <w:r w:rsidR="0018349A" w:rsidRPr="00796736">
        <w:rPr>
          <w:rFonts w:ascii="Times New Roman" w:hAnsi="Times New Roman" w:cs="Times New Roman"/>
          <w:sz w:val="24"/>
          <w:szCs w:val="24"/>
        </w:rPr>
        <w:instrText xml:space="preserve"> REF _Ref232596031 \r \h </w:instrText>
      </w:r>
      <w:r w:rsidR="00967618" w:rsidRPr="00796736">
        <w:rPr>
          <w:rFonts w:ascii="Times New Roman" w:hAnsi="Times New Roman" w:cs="Times New Roman"/>
          <w:sz w:val="24"/>
          <w:szCs w:val="24"/>
        </w:rPr>
        <w:instrText xml:space="preserve"> \* MERGEFORMAT </w:instrText>
      </w:r>
      <w:r w:rsidR="0018349A" w:rsidRPr="00796736">
        <w:rPr>
          <w:rFonts w:ascii="Times New Roman" w:hAnsi="Times New Roman" w:cs="Times New Roman"/>
          <w:sz w:val="24"/>
          <w:szCs w:val="24"/>
        </w:rPr>
      </w:r>
      <w:r w:rsidR="0018349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24</w:t>
      </w:r>
      <w:r w:rsidR="0018349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eller</w:t>
      </w:r>
      <w:r w:rsidR="00186D81" w:rsidRPr="00796736">
        <w:rPr>
          <w:rFonts w:ascii="Times New Roman" w:hAnsi="Times New Roman" w:cs="Times New Roman"/>
          <w:sz w:val="24"/>
          <w:szCs w:val="24"/>
        </w:rPr>
        <w:fldChar w:fldCharType="begin"/>
      </w:r>
      <w:r w:rsidR="00186D81" w:rsidRPr="00796736">
        <w:rPr>
          <w:rFonts w:ascii="Times New Roman" w:hAnsi="Times New Roman" w:cs="Times New Roman"/>
          <w:sz w:val="24"/>
          <w:szCs w:val="24"/>
        </w:rPr>
        <w:instrText xml:space="preserve"> REF _Ref232596098 \n \h </w:instrText>
      </w:r>
      <w:r w:rsidR="00967618" w:rsidRPr="00796736">
        <w:rPr>
          <w:rFonts w:ascii="Times New Roman" w:hAnsi="Times New Roman" w:cs="Times New Roman"/>
          <w:sz w:val="24"/>
          <w:szCs w:val="24"/>
        </w:rPr>
        <w:instrText xml:space="preserve"> \* MERGEFORMAT </w:instrText>
      </w:r>
      <w:r w:rsidR="00186D81" w:rsidRPr="00796736">
        <w:rPr>
          <w:rFonts w:ascii="Times New Roman" w:hAnsi="Times New Roman" w:cs="Times New Roman"/>
          <w:sz w:val="24"/>
          <w:szCs w:val="24"/>
        </w:rPr>
      </w:r>
      <w:r w:rsidR="00186D81" w:rsidRPr="00796736">
        <w:rPr>
          <w:rFonts w:ascii="Times New Roman" w:hAnsi="Times New Roman" w:cs="Times New Roman"/>
          <w:sz w:val="24"/>
          <w:szCs w:val="24"/>
        </w:rPr>
        <w:fldChar w:fldCharType="separate"/>
      </w:r>
      <w:r w:rsidR="003B04F6">
        <w:rPr>
          <w:rFonts w:ascii="Times New Roman" w:hAnsi="Times New Roman" w:cs="Times New Roman"/>
          <w:sz w:val="24"/>
          <w:szCs w:val="24"/>
        </w:rPr>
        <w:t xml:space="preserve"> </w:t>
      </w:r>
      <w:r w:rsidR="008F29E5">
        <w:rPr>
          <w:rFonts w:ascii="Times New Roman" w:hAnsi="Times New Roman" w:cs="Times New Roman"/>
          <w:sz w:val="24"/>
          <w:szCs w:val="24"/>
        </w:rPr>
        <w:t>26</w:t>
      </w:r>
      <w:r w:rsidR="00186D81" w:rsidRPr="00796736">
        <w:rPr>
          <w:rFonts w:ascii="Times New Roman" w:hAnsi="Times New Roman" w:cs="Times New Roman"/>
          <w:sz w:val="24"/>
          <w:szCs w:val="24"/>
        </w:rPr>
        <w:fldChar w:fldCharType="end"/>
      </w:r>
      <w:r w:rsidRPr="00796736">
        <w:rPr>
          <w:rFonts w:ascii="Times New Roman" w:hAnsi="Times New Roman" w:cs="Times New Roman"/>
          <w:sz w:val="24"/>
          <w:szCs w:val="24"/>
        </w:rPr>
        <w:t>, til det formål, hvortil oplysningerne er indhentet eller er blevet udleveret. Hvidvasksekretariatets videregivelse af disse oplysninger til andre myndigheder, organer eller instanser eller anvendelse af disse oplysninger til andre formål er betinget af en forhåndsgodkendelse fra den FIU, som udleverede oplysningerne.</w:t>
      </w:r>
    </w:p>
    <w:p w14:paraId="35A8C954" w14:textId="77777777" w:rsidR="00863F1A" w:rsidRPr="00796736" w:rsidRDefault="00863F1A" w:rsidP="00A802A5">
      <w:pPr>
        <w:spacing w:line="360" w:lineRule="auto"/>
        <w:rPr>
          <w:rFonts w:ascii="Times New Roman" w:hAnsi="Times New Roman" w:cs="Times New Roman"/>
          <w:sz w:val="24"/>
          <w:szCs w:val="24"/>
        </w:rPr>
      </w:pPr>
    </w:p>
    <w:p w14:paraId="27407129"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 det væsentligste være en videreførelse af hvidvasklovens § 29 a, stk. 4, 2. og 3. pkt., og vil indebære, at Hvidvasksekretariatet kun må anvende sådanne oplysninger til de formål, hvortil oplysningerne er indhentet eller er blevet udleveret, og at Hvidvasksekretariatets videregivelse af sådanne oplysninger til kompetente myndigheder, organer eller instanser eller anvendelse af sådanne oplysninger til andre formål er betinget af, at den afgivende EU-medlemsstats FIU på forhånd meddeler samtykke hertil. Bestemmelsen fastsætter således rammerne for anvendelse og videregivelse de af oplysninger, som Hvidvasksekretariatet modtager fra andre FIU’er.</w:t>
      </w:r>
    </w:p>
    <w:p w14:paraId="6E41FCF8" w14:textId="77777777" w:rsidR="00863F1A" w:rsidRPr="00796736" w:rsidRDefault="00863F1A" w:rsidP="00A802A5">
      <w:pPr>
        <w:spacing w:line="360" w:lineRule="auto"/>
        <w:rPr>
          <w:rFonts w:ascii="Times New Roman" w:hAnsi="Times New Roman" w:cs="Times New Roman"/>
          <w:sz w:val="24"/>
          <w:szCs w:val="24"/>
        </w:rPr>
      </w:pPr>
    </w:p>
    <w:p w14:paraId="7492B671" w14:textId="0EBD4923"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Henvisningen til </w:t>
      </w:r>
      <w:r w:rsidR="00186D81" w:rsidRPr="00796736">
        <w:rPr>
          <w:rFonts w:ascii="Times New Roman" w:hAnsi="Times New Roman" w:cs="Times New Roman"/>
          <w:sz w:val="24"/>
          <w:szCs w:val="24"/>
        </w:rPr>
        <w:t>§</w:t>
      </w:r>
      <w:r w:rsidR="00186D81" w:rsidRPr="00796736">
        <w:rPr>
          <w:rFonts w:ascii="Times New Roman" w:hAnsi="Times New Roman" w:cs="Times New Roman"/>
          <w:sz w:val="24"/>
          <w:szCs w:val="24"/>
        </w:rPr>
        <w:fldChar w:fldCharType="begin"/>
      </w:r>
      <w:r w:rsidR="00186D81" w:rsidRPr="00796736">
        <w:rPr>
          <w:rFonts w:ascii="Times New Roman" w:hAnsi="Times New Roman" w:cs="Times New Roman"/>
          <w:sz w:val="24"/>
          <w:szCs w:val="24"/>
        </w:rPr>
        <w:instrText xml:space="preserve"> REF _Ref232596031 \r \h </w:instrText>
      </w:r>
      <w:r w:rsidR="00967618" w:rsidRPr="00796736">
        <w:rPr>
          <w:rFonts w:ascii="Times New Roman" w:hAnsi="Times New Roman" w:cs="Times New Roman"/>
          <w:sz w:val="24"/>
          <w:szCs w:val="24"/>
        </w:rPr>
        <w:instrText xml:space="preserve"> \* MERGEFORMAT </w:instrText>
      </w:r>
      <w:r w:rsidR="00186D81" w:rsidRPr="00796736">
        <w:rPr>
          <w:rFonts w:ascii="Times New Roman" w:hAnsi="Times New Roman" w:cs="Times New Roman"/>
          <w:sz w:val="24"/>
          <w:szCs w:val="24"/>
        </w:rPr>
      </w:r>
      <w:r w:rsidR="00186D8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24</w:t>
      </w:r>
      <w:r w:rsidR="00186D81" w:rsidRPr="00796736">
        <w:rPr>
          <w:rFonts w:ascii="Times New Roman" w:hAnsi="Times New Roman" w:cs="Times New Roman"/>
          <w:sz w:val="24"/>
          <w:szCs w:val="24"/>
        </w:rPr>
        <w:fldChar w:fldCharType="end"/>
      </w:r>
      <w:r w:rsidR="00186D81" w:rsidRPr="00796736">
        <w:rPr>
          <w:rFonts w:ascii="Times New Roman" w:hAnsi="Times New Roman" w:cs="Times New Roman"/>
          <w:sz w:val="24"/>
          <w:szCs w:val="24"/>
        </w:rPr>
        <w:t xml:space="preserve"> eller</w:t>
      </w:r>
      <w:r w:rsidR="0050440D" w:rsidRPr="00796736">
        <w:rPr>
          <w:rFonts w:ascii="Times New Roman" w:hAnsi="Times New Roman" w:cs="Times New Roman"/>
          <w:sz w:val="24"/>
          <w:szCs w:val="24"/>
        </w:rPr>
        <w:t xml:space="preserve"> </w:t>
      </w:r>
      <w:r w:rsidR="00186D81" w:rsidRPr="00796736">
        <w:rPr>
          <w:rFonts w:ascii="Times New Roman" w:hAnsi="Times New Roman" w:cs="Times New Roman"/>
          <w:sz w:val="24"/>
          <w:szCs w:val="24"/>
        </w:rPr>
        <w:fldChar w:fldCharType="begin"/>
      </w:r>
      <w:r w:rsidR="00186D81" w:rsidRPr="00796736">
        <w:rPr>
          <w:rFonts w:ascii="Times New Roman" w:hAnsi="Times New Roman" w:cs="Times New Roman"/>
          <w:sz w:val="24"/>
          <w:szCs w:val="24"/>
        </w:rPr>
        <w:instrText xml:space="preserve"> REF _Ref232596098 \n \h </w:instrText>
      </w:r>
      <w:r w:rsidR="00967618" w:rsidRPr="00796736">
        <w:rPr>
          <w:rFonts w:ascii="Times New Roman" w:hAnsi="Times New Roman" w:cs="Times New Roman"/>
          <w:sz w:val="24"/>
          <w:szCs w:val="24"/>
        </w:rPr>
        <w:instrText xml:space="preserve"> \* MERGEFORMAT </w:instrText>
      </w:r>
      <w:r w:rsidR="00186D81" w:rsidRPr="00796736">
        <w:rPr>
          <w:rFonts w:ascii="Times New Roman" w:hAnsi="Times New Roman" w:cs="Times New Roman"/>
          <w:sz w:val="24"/>
          <w:szCs w:val="24"/>
        </w:rPr>
      </w:r>
      <w:r w:rsidR="00186D8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26</w:t>
      </w:r>
      <w:r w:rsidR="00186D81" w:rsidRPr="00796736">
        <w:rPr>
          <w:rFonts w:ascii="Times New Roman" w:hAnsi="Times New Roman" w:cs="Times New Roman"/>
          <w:sz w:val="24"/>
          <w:szCs w:val="24"/>
        </w:rPr>
        <w:fldChar w:fldCharType="end"/>
      </w:r>
      <w:r w:rsidR="00186D81"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vil indebære, at bestemmelsen vil omfatte udveksling af oplysninger mellem FIU'er i henhold til </w:t>
      </w:r>
      <w:r w:rsidR="00186D81" w:rsidRPr="00796736">
        <w:rPr>
          <w:rFonts w:ascii="Times New Roman" w:hAnsi="Times New Roman" w:cs="Times New Roman"/>
          <w:sz w:val="24"/>
          <w:szCs w:val="24"/>
        </w:rPr>
        <w:fldChar w:fldCharType="begin"/>
      </w:r>
      <w:r w:rsidR="00186D81" w:rsidRPr="00796736">
        <w:rPr>
          <w:rFonts w:ascii="Times New Roman" w:hAnsi="Times New Roman" w:cs="Times New Roman"/>
          <w:sz w:val="24"/>
          <w:szCs w:val="24"/>
        </w:rPr>
        <w:instrText xml:space="preserve"> REF _Ref232596031 \r \h </w:instrText>
      </w:r>
      <w:r w:rsidR="00967618" w:rsidRPr="00796736">
        <w:rPr>
          <w:rFonts w:ascii="Times New Roman" w:hAnsi="Times New Roman" w:cs="Times New Roman"/>
          <w:sz w:val="24"/>
          <w:szCs w:val="24"/>
        </w:rPr>
        <w:instrText xml:space="preserve"> \* MERGEFORMAT </w:instrText>
      </w:r>
      <w:r w:rsidR="00186D81" w:rsidRPr="00796736">
        <w:rPr>
          <w:rFonts w:ascii="Times New Roman" w:hAnsi="Times New Roman" w:cs="Times New Roman"/>
          <w:sz w:val="24"/>
          <w:szCs w:val="24"/>
        </w:rPr>
      </w:r>
      <w:r w:rsidR="00186D8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24</w:t>
      </w:r>
      <w:r w:rsidR="00186D81" w:rsidRPr="00796736">
        <w:rPr>
          <w:rFonts w:ascii="Times New Roman" w:hAnsi="Times New Roman" w:cs="Times New Roman"/>
          <w:sz w:val="24"/>
          <w:szCs w:val="24"/>
        </w:rPr>
        <w:fldChar w:fldCharType="end"/>
      </w:r>
      <w:r w:rsidR="00186D81"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(om udveksling af oplysninger mellem FIU'er) og </w:t>
      </w:r>
      <w:r w:rsidR="00186D81" w:rsidRPr="00796736">
        <w:rPr>
          <w:rFonts w:ascii="Times New Roman" w:hAnsi="Times New Roman" w:cs="Times New Roman"/>
          <w:sz w:val="24"/>
          <w:szCs w:val="24"/>
        </w:rPr>
        <w:fldChar w:fldCharType="begin"/>
      </w:r>
      <w:r w:rsidR="00186D81" w:rsidRPr="00796736">
        <w:rPr>
          <w:rFonts w:ascii="Times New Roman" w:hAnsi="Times New Roman" w:cs="Times New Roman"/>
          <w:sz w:val="24"/>
          <w:szCs w:val="24"/>
        </w:rPr>
        <w:instrText xml:space="preserve"> REF _Ref232596098 \n \h </w:instrText>
      </w:r>
      <w:r w:rsidR="00967618" w:rsidRPr="00796736">
        <w:rPr>
          <w:rFonts w:ascii="Times New Roman" w:hAnsi="Times New Roman" w:cs="Times New Roman"/>
          <w:sz w:val="24"/>
          <w:szCs w:val="24"/>
        </w:rPr>
        <w:instrText xml:space="preserve"> \* MERGEFORMAT </w:instrText>
      </w:r>
      <w:r w:rsidR="00186D81" w:rsidRPr="00796736">
        <w:rPr>
          <w:rFonts w:ascii="Times New Roman" w:hAnsi="Times New Roman" w:cs="Times New Roman"/>
          <w:sz w:val="24"/>
          <w:szCs w:val="24"/>
        </w:rPr>
      </w:r>
      <w:r w:rsidR="00186D8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186D81" w:rsidRPr="00796736">
        <w:rPr>
          <w:rFonts w:ascii="Times New Roman" w:hAnsi="Times New Roman" w:cs="Times New Roman"/>
          <w:sz w:val="24"/>
          <w:szCs w:val="24"/>
        </w:rPr>
        <w:fldChar w:fldCharType="end"/>
      </w:r>
      <w:r w:rsidR="00186D81" w:rsidRPr="00796736">
        <w:rPr>
          <w:rFonts w:ascii="Times New Roman" w:hAnsi="Times New Roman" w:cs="Times New Roman"/>
          <w:sz w:val="24"/>
          <w:szCs w:val="24"/>
        </w:rPr>
        <w:t xml:space="preserve"> </w:t>
      </w:r>
      <w:r w:rsidRPr="00796736">
        <w:rPr>
          <w:rFonts w:ascii="Times New Roman" w:hAnsi="Times New Roman" w:cs="Times New Roman"/>
          <w:sz w:val="24"/>
          <w:szCs w:val="24"/>
        </w:rPr>
        <w:t>(om fælles analyser).</w:t>
      </w:r>
    </w:p>
    <w:p w14:paraId="1CCC9F51"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”myndigheder, organer eller instanser” henvises foruden kompetente myndigheder og tilsynsorganer tillige til kommuner, regioner, nævn eller øvrige statslige, regionale eller kommunale aktører, herunder statslige, regionale eller kommunale selskaber, der opfylder betingelserne for at kunne modtage og anvende de pågældende oplysninger i henhold til de foreslåede regler herom eller regler i anden lovgivning, som giver Hvidvasksekretariatet mulighed for at formidle oplysninger omfattet af bestemmelsen.</w:t>
      </w:r>
    </w:p>
    <w:p w14:paraId="3B6E1319" w14:textId="77777777" w:rsidR="00863F1A" w:rsidRPr="00796736" w:rsidRDefault="00863F1A" w:rsidP="00A802A5">
      <w:pPr>
        <w:spacing w:line="360" w:lineRule="auto"/>
        <w:rPr>
          <w:rFonts w:ascii="Times New Roman" w:hAnsi="Times New Roman" w:cs="Times New Roman"/>
          <w:sz w:val="24"/>
          <w:szCs w:val="24"/>
        </w:rPr>
      </w:pPr>
    </w:p>
    <w:p w14:paraId="091B3ABB" w14:textId="77777777" w:rsidR="0073279D" w:rsidRPr="00796736" w:rsidRDefault="0073279D" w:rsidP="0073279D">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med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kravene i stk. 1 ikke gælder, hvis der er tale om en underretning indgivet af en </w:t>
      </w:r>
      <w:r>
        <w:rPr>
          <w:rFonts w:ascii="Times New Roman" w:hAnsi="Times New Roman" w:cs="Times New Roman"/>
          <w:sz w:val="24"/>
          <w:szCs w:val="24"/>
        </w:rPr>
        <w:t>virksomhed eller person omfattet af loven</w:t>
      </w:r>
      <w:r w:rsidRPr="00796736">
        <w:rPr>
          <w:rFonts w:ascii="Times New Roman" w:hAnsi="Times New Roman" w:cs="Times New Roman"/>
          <w:sz w:val="24"/>
          <w:szCs w:val="24"/>
        </w:rPr>
        <w:t xml:space="preserve"> i henhold til hvidvaskforordningens artikel 69, stk. 1, eller oplysninger derfra, der vedrører en anden medlemsstat, hvor den forpligtede enhed driver virksomhed i henhold til reglerne om fri udveksling af tjenesteydelser, og som ikke indeholder nogen forbindelse til medlemsstaten for den FIU, der videregav indberetningen.</w:t>
      </w:r>
    </w:p>
    <w:p w14:paraId="2A8B4835" w14:textId="77777777" w:rsidR="0050440D" w:rsidRPr="00796736" w:rsidRDefault="0050440D" w:rsidP="00A802A5">
      <w:pPr>
        <w:spacing w:line="360" w:lineRule="auto"/>
        <w:rPr>
          <w:rFonts w:ascii="Times New Roman" w:hAnsi="Times New Roman" w:cs="Times New Roman"/>
          <w:sz w:val="24"/>
          <w:szCs w:val="24"/>
        </w:rPr>
      </w:pPr>
    </w:p>
    <w:p w14:paraId="3C5DD366"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det når fremgår direkte af lovens ordlyd, at Hvidvasksekretariatets formidling af oplysninger til andre myndigheder, organer eller instanser eller anvendelse af disse oplysninger til andre formål ikke er betinget af en forhåndsgodkendelse fra den FIU, som leverede oplysningerne, hvis oplysningerne, som Hvidvasksekretariatet modtager, vedrører en indberetning fra en forpligtet enhed i henhold til artikel 69, stk. 1 (om indberetning af mistanke), i hvidvaskforordningen, der angår en anden medlemsstat, hvor den forpligtede enhed driver virksomhed i henhold til reglerne om fri udveksling af tjenesteydelser, og som ikke indeholder nogen forbindelse til medlemsstaten for den FIU, der videregav oplysningen.</w:t>
      </w:r>
    </w:p>
    <w:p w14:paraId="557036C0" w14:textId="77777777" w:rsidR="00863F1A" w:rsidRPr="00796736" w:rsidRDefault="00863F1A" w:rsidP="00A802A5">
      <w:pPr>
        <w:spacing w:line="360" w:lineRule="auto"/>
        <w:rPr>
          <w:rFonts w:ascii="Times New Roman" w:hAnsi="Times New Roman" w:cs="Times New Roman"/>
          <w:sz w:val="24"/>
          <w:szCs w:val="24"/>
        </w:rPr>
      </w:pPr>
    </w:p>
    <w:p w14:paraId="12DAFB13"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Hvidvasksekretariatet omgående skal besvare og i videst muligt omfang imødekomme en anmodning fra en anden FIU om forhåndsgodkendelse til at videregive oplysninger til kompetente myndigheder, som den pågældende FIU har modtaget fra Hvidvasksekretariatet, uanset typen af den underliggende lovovertrædelse, og uanset om den underliggende lovovertrædelse er blevet identificeret.</w:t>
      </w:r>
    </w:p>
    <w:p w14:paraId="5D8CBEC2" w14:textId="77777777" w:rsidR="00863F1A" w:rsidRPr="00796736" w:rsidRDefault="00863F1A" w:rsidP="00A802A5">
      <w:pPr>
        <w:spacing w:line="360" w:lineRule="auto"/>
        <w:rPr>
          <w:rFonts w:ascii="Times New Roman" w:hAnsi="Times New Roman" w:cs="Times New Roman"/>
          <w:sz w:val="24"/>
          <w:szCs w:val="24"/>
        </w:rPr>
      </w:pPr>
    </w:p>
    <w:p w14:paraId="7B7F0C2A"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 det væsentligste være en videreførelse af hvidvasklovens § 29 a, stk. 2, 1. pkt., og vil bevirke, at Hvidvasksekretariatet omgående skal besvare og i videst muligt omfang imødekomme en anmodning fra en anden FIU om forhåndsgodkendelse til at videregive oplysninger til kompetente myndigheder, som den pågældende FIU har modtaget fra Hvidvasksekretariatet, og at dette vil gælde uanset typen af den underliggende lovovertrædelse, og – som noget nyt – uanset om den underliggende lovovertrædelse er blevet identificeret.</w:t>
      </w:r>
    </w:p>
    <w:p w14:paraId="62D90559" w14:textId="77777777" w:rsidR="0050440D" w:rsidRPr="00796736" w:rsidRDefault="0050440D" w:rsidP="00A802A5">
      <w:pPr>
        <w:spacing w:line="360" w:lineRule="auto"/>
        <w:rPr>
          <w:rFonts w:ascii="Times New Roman" w:hAnsi="Times New Roman" w:cs="Times New Roman"/>
          <w:sz w:val="24"/>
          <w:szCs w:val="24"/>
        </w:rPr>
      </w:pPr>
    </w:p>
    <w:p w14:paraId="34A0FC74" w14:textId="77777777" w:rsidR="0050440D" w:rsidRPr="00796736" w:rsidRDefault="005044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”kompetente myndigheder” menes myndigheder omfattet af hvidvaskforordningens artikel 2, stk. 1, nr. 44, i den pågældende medlemsstat</w:t>
      </w:r>
    </w:p>
    <w:p w14:paraId="5402927B" w14:textId="77777777" w:rsidR="00863F1A" w:rsidRPr="00796736" w:rsidRDefault="00863F1A" w:rsidP="00A802A5">
      <w:pPr>
        <w:spacing w:line="360" w:lineRule="auto"/>
        <w:rPr>
          <w:rFonts w:ascii="Times New Roman" w:hAnsi="Times New Roman" w:cs="Times New Roman"/>
          <w:sz w:val="24"/>
          <w:szCs w:val="24"/>
        </w:rPr>
      </w:pPr>
    </w:p>
    <w:p w14:paraId="01BA4FD4"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i den forbindelse af hvidvasksdirektivets præambelbetragtning nr. 76 bl.a., at en FIU bør give sit forudgående samtykke til en anden FIU til at fremsende oplysningerne til andre kompetente myndigheder uanset typen af eventuel underliggende lovovertrædelse, og uanset om den underliggende lovovertrædelse er blevet identificeret på tidspunktet for udvekslingen, med henblik på at gøre det muligt at gennemføre formidlingsfunktionen på en effektiv måde. Det fremgår af præambelbetragtningen derudover bl.a., at et sådant forudgående samtykke til yderligere formidling bør gives omgående og bør ikke afslås, medmindre det falder uden for anvendelsesområdet for bestemmelserne om bekæmpelse af hvidvask af penge og finansiering af terrorisme eller ikke er i overensstemmelse med grundlæggende principper i national ret, jf. nærmere under den foreslåede stk. 4. </w:t>
      </w:r>
    </w:p>
    <w:p w14:paraId="63953501" w14:textId="77777777" w:rsidR="00863F1A" w:rsidRPr="00796736" w:rsidRDefault="00863F1A" w:rsidP="00A802A5">
      <w:pPr>
        <w:spacing w:line="360" w:lineRule="auto"/>
        <w:rPr>
          <w:rFonts w:ascii="Times New Roman" w:hAnsi="Times New Roman" w:cs="Times New Roman"/>
          <w:sz w:val="24"/>
          <w:szCs w:val="24"/>
        </w:rPr>
      </w:pPr>
    </w:p>
    <w:p w14:paraId="6E1F6205"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foreslås med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at Hvidvasksekretariatet kun kan nægte at imødekomme en anmodning efter stk. 3, hvis formålet med den anmodende FIU’s videregivelse falder uden for anvendelsesområdet for bestemmelserne om bekæmpelse af hvidvask af penge og finansiering af terrorisme i denne lov og hvidvaskforordningen, der er bestemte grunde til at antage, at videregivelsen vil kunne vanskeliggøre forebyggelse, afsløring eller efterforskning af strafbare handlinger eller fuldbyrdelse af strafferetlige sanktioner, eller at videregivelsen på anden måde ikke vil være i overensstemmelse med grundlæggende principper i dansk ret. Afslag på anmodninger efter stk. 3 skal begrundes behørigt.</w:t>
      </w:r>
    </w:p>
    <w:p w14:paraId="450057EC" w14:textId="77777777" w:rsidR="00863F1A" w:rsidRPr="00796736" w:rsidRDefault="00863F1A" w:rsidP="00A802A5">
      <w:pPr>
        <w:spacing w:line="360" w:lineRule="auto"/>
        <w:rPr>
          <w:rFonts w:ascii="Times New Roman" w:hAnsi="Times New Roman" w:cs="Times New Roman"/>
          <w:sz w:val="24"/>
          <w:szCs w:val="24"/>
          <w:highlight w:val="yellow"/>
        </w:rPr>
      </w:pPr>
    </w:p>
    <w:p w14:paraId="3939C72F"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således fastsætte rammerne for, hvornår Hvidvasksekretariatet vil kunne nægte at imødekomme en anmodning efter det foreslåede stk. 3. Det forudsættes, at der – ligesom efter den gældende bestemmelse i hvidvasklovens § 29 a, stk. 2, 2. pkt. – navnlig vil kunne ske afslag på godkendelse af anmodninger efter stk. 3 med henvisning til, at den konkrete videregivelse af oplysninger ikke vil være i overensstemmelse med grundlæggende principper i dansk ret, i tilfælde hvor der er bestemte grunde til at antage, at videregivelsen vil kunne lægge hindringer i vejen for officielle eller retlige undersøgelser eller procedurer, eller hvis den vil kunne udgøre en trussel mod den offentlige sikkerhed eller mod statens sikkerhed. Der kan i den forbindelse henvises til bemærkningerne til hvidvasklovens § 29 a, stk. 2, 2. pkt., jf. Folketingstidende 2019-20, tillæg A, L 58 som fremsat, side 73. </w:t>
      </w:r>
    </w:p>
    <w:p w14:paraId="789B36BB" w14:textId="77777777" w:rsidR="00863F1A" w:rsidRPr="00796736" w:rsidRDefault="00863F1A" w:rsidP="00A802A5">
      <w:pPr>
        <w:spacing w:line="360" w:lineRule="auto"/>
        <w:rPr>
          <w:rFonts w:ascii="Times New Roman" w:hAnsi="Times New Roman" w:cs="Times New Roman"/>
          <w:sz w:val="24"/>
          <w:szCs w:val="24"/>
        </w:rPr>
      </w:pPr>
    </w:p>
    <w:p w14:paraId="758F89E8" w14:textId="77777777"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herudover – ligesom efter hvidvasklovens § 29 a, stk. 3 – indebære, at afslag på anmodninger skal begrundes behørigt.</w:t>
      </w:r>
    </w:p>
    <w:p w14:paraId="1EAA91BA" w14:textId="77777777" w:rsidR="00863F1A" w:rsidRPr="00796736" w:rsidRDefault="00863F1A" w:rsidP="00A802A5">
      <w:pPr>
        <w:spacing w:line="360" w:lineRule="auto"/>
        <w:rPr>
          <w:rFonts w:ascii="Times New Roman" w:hAnsi="Times New Roman" w:cs="Times New Roman"/>
          <w:sz w:val="24"/>
          <w:szCs w:val="24"/>
        </w:rPr>
      </w:pPr>
    </w:p>
    <w:p w14:paraId="10A55D92" w14:textId="7A2B2673"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186D81" w:rsidRPr="00796736">
        <w:rPr>
          <w:rFonts w:ascii="Times New Roman" w:hAnsi="Times New Roman" w:cs="Times New Roman"/>
          <w:sz w:val="24"/>
          <w:szCs w:val="24"/>
        </w:rPr>
        <w:fldChar w:fldCharType="begin"/>
      </w:r>
      <w:r w:rsidR="00186D81" w:rsidRPr="00796736">
        <w:rPr>
          <w:rFonts w:ascii="Times New Roman" w:hAnsi="Times New Roman" w:cs="Times New Roman"/>
          <w:sz w:val="24"/>
          <w:szCs w:val="24"/>
        </w:rPr>
        <w:instrText xml:space="preserve"> REF _Ref232596141 \r \h </w:instrText>
      </w:r>
      <w:r w:rsidR="00967618" w:rsidRPr="00796736">
        <w:rPr>
          <w:rFonts w:ascii="Times New Roman" w:hAnsi="Times New Roman" w:cs="Times New Roman"/>
          <w:sz w:val="24"/>
          <w:szCs w:val="24"/>
        </w:rPr>
        <w:instrText xml:space="preserve"> \* MERGEFORMAT </w:instrText>
      </w:r>
      <w:r w:rsidR="00186D81" w:rsidRPr="00796736">
        <w:rPr>
          <w:rFonts w:ascii="Times New Roman" w:hAnsi="Times New Roman" w:cs="Times New Roman"/>
          <w:sz w:val="24"/>
          <w:szCs w:val="24"/>
        </w:rPr>
      </w:r>
      <w:r w:rsidR="00186D8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28</w:t>
      </w:r>
      <w:r w:rsidR="00186D81" w:rsidRPr="00796736">
        <w:rPr>
          <w:rFonts w:ascii="Times New Roman" w:hAnsi="Times New Roman" w:cs="Times New Roman"/>
          <w:sz w:val="24"/>
          <w:szCs w:val="24"/>
        </w:rPr>
        <w:fldChar w:fldCharType="end"/>
      </w:r>
      <w:r w:rsidR="00186D81"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har til formål at gennemføre hvidvaskdirektivets artikel 34. </w:t>
      </w:r>
    </w:p>
    <w:p w14:paraId="33036B14" w14:textId="77777777" w:rsidR="00863F1A" w:rsidRPr="00796736" w:rsidRDefault="00863F1A" w:rsidP="00A802A5">
      <w:pPr>
        <w:spacing w:line="360" w:lineRule="auto"/>
        <w:rPr>
          <w:rFonts w:ascii="Times New Roman" w:hAnsi="Times New Roman" w:cs="Times New Roman"/>
          <w:sz w:val="24"/>
          <w:szCs w:val="24"/>
        </w:rPr>
      </w:pPr>
    </w:p>
    <w:p w14:paraId="252FAB38" w14:textId="0EFC20AE" w:rsidR="00863F1A" w:rsidRPr="00796736" w:rsidRDefault="00863F1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186D81" w:rsidRPr="00796736">
        <w:rPr>
          <w:rFonts w:ascii="Times New Roman" w:hAnsi="Times New Roman" w:cs="Times New Roman"/>
          <w:sz w:val="24"/>
          <w:szCs w:val="24"/>
        </w:rPr>
        <w:fldChar w:fldCharType="begin"/>
      </w:r>
      <w:r w:rsidR="00186D81" w:rsidRPr="00796736">
        <w:rPr>
          <w:rFonts w:ascii="Times New Roman" w:hAnsi="Times New Roman" w:cs="Times New Roman"/>
          <w:sz w:val="24"/>
          <w:szCs w:val="24"/>
        </w:rPr>
        <w:instrText xml:space="preserve"> REF _Ref232946003 \n \h </w:instrText>
      </w:r>
      <w:r w:rsidR="00967618" w:rsidRPr="00796736">
        <w:rPr>
          <w:rFonts w:ascii="Times New Roman" w:hAnsi="Times New Roman" w:cs="Times New Roman"/>
          <w:sz w:val="24"/>
          <w:szCs w:val="24"/>
        </w:rPr>
        <w:instrText xml:space="preserve"> \* MERGEFORMAT </w:instrText>
      </w:r>
      <w:r w:rsidR="00186D81" w:rsidRPr="00796736">
        <w:rPr>
          <w:rFonts w:ascii="Times New Roman" w:hAnsi="Times New Roman" w:cs="Times New Roman"/>
          <w:sz w:val="24"/>
          <w:szCs w:val="24"/>
        </w:rPr>
      </w:r>
      <w:r w:rsidR="00186D8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3.27</w:t>
      </w:r>
      <w:r w:rsidR="00186D81" w:rsidRPr="00796736">
        <w:rPr>
          <w:rFonts w:ascii="Times New Roman" w:hAnsi="Times New Roman" w:cs="Times New Roman"/>
          <w:sz w:val="24"/>
          <w:szCs w:val="24"/>
        </w:rPr>
        <w:fldChar w:fldCharType="end"/>
      </w:r>
      <w:r w:rsidR="00186D81"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0C84BBA" w14:textId="77777777" w:rsidR="00863F1A" w:rsidRPr="00796736" w:rsidRDefault="00863F1A" w:rsidP="00A802A5">
      <w:pPr>
        <w:spacing w:line="360" w:lineRule="auto"/>
        <w:rPr>
          <w:rFonts w:ascii="Times New Roman" w:hAnsi="Times New Roman" w:cs="Times New Roman"/>
          <w:sz w:val="24"/>
          <w:szCs w:val="24"/>
        </w:rPr>
      </w:pPr>
    </w:p>
    <w:p w14:paraId="3A28C6A2" w14:textId="77777777" w:rsidR="00863F1A" w:rsidRPr="00796736" w:rsidRDefault="00863F1A" w:rsidP="00A802A5">
      <w:pPr>
        <w:spacing w:line="360" w:lineRule="auto"/>
        <w:jc w:val="center"/>
        <w:rPr>
          <w:rFonts w:ascii="Times New Roman" w:hAnsi="Times New Roman" w:cs="Times New Roman"/>
          <w:i/>
          <w:iCs/>
          <w:sz w:val="24"/>
          <w:szCs w:val="24"/>
        </w:rPr>
      </w:pPr>
    </w:p>
    <w:p w14:paraId="7E078899" w14:textId="0327893D" w:rsidR="001819DC" w:rsidRPr="00796736" w:rsidRDefault="00240DBE" w:rsidP="00A802A5">
      <w:pPr>
        <w:pStyle w:val="Undertitel"/>
        <w:rPr>
          <w:iCs/>
        </w:rPr>
      </w:pPr>
      <w:bookmarkStart w:id="1940" w:name="_Toc232109361"/>
      <w:bookmarkStart w:id="1941" w:name="_Toc244879325"/>
      <w:bookmarkStart w:id="1942" w:name="_Toc244880850"/>
      <w:r w:rsidRPr="00796736">
        <w:t xml:space="preserve">Til </w:t>
      </w:r>
      <w:r w:rsidR="006719DB" w:rsidRPr="00796736">
        <w:fldChar w:fldCharType="begin"/>
      </w:r>
      <w:r w:rsidR="006719DB" w:rsidRPr="00796736">
        <w:instrText xml:space="preserve"> REF _Ref232596168 \r \h </w:instrText>
      </w:r>
      <w:r w:rsidR="00967618" w:rsidRPr="00796736">
        <w:instrText xml:space="preserve"> \* MERGEFORMAT </w:instrText>
      </w:r>
      <w:r w:rsidR="006719DB" w:rsidRPr="00796736">
        <w:fldChar w:fldCharType="separate"/>
      </w:r>
      <w:r w:rsidR="008F29E5">
        <w:t>§ 29</w:t>
      </w:r>
      <w:bookmarkEnd w:id="1941"/>
      <w:bookmarkEnd w:id="1942"/>
      <w:r w:rsidR="006719DB" w:rsidRPr="00796736">
        <w:fldChar w:fldCharType="end"/>
      </w:r>
      <w:r w:rsidR="001819DC" w:rsidRPr="00796736">
        <w:t xml:space="preserve"> </w:t>
      </w:r>
      <w:bookmarkEnd w:id="1940"/>
    </w:p>
    <w:p w14:paraId="216A897E"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5, stk. 2, i FIU-cirkulæret, at Hvidvasksekretariatet skal udveksle oplysninger og yde bistand til andre EU-medlemsstaters FIU’er i videst muligt omfang uanset eventuelle forskelle i nationale retlige definitioner af underliggende forbrydelser.</w:t>
      </w:r>
    </w:p>
    <w:p w14:paraId="0F297DFE" w14:textId="77777777" w:rsidR="001819DC" w:rsidRPr="00796736" w:rsidRDefault="001819DC" w:rsidP="00A802A5">
      <w:pPr>
        <w:spacing w:line="360" w:lineRule="auto"/>
        <w:rPr>
          <w:rFonts w:ascii="Times New Roman" w:hAnsi="Times New Roman" w:cs="Times New Roman"/>
          <w:sz w:val="24"/>
          <w:szCs w:val="24"/>
        </w:rPr>
      </w:pPr>
    </w:p>
    <w:p w14:paraId="45D33D3C" w14:textId="02A72590"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en nærmere beskrivelse af gældende ret henvises til pkt. 3.2</w:t>
      </w:r>
      <w:r w:rsidR="007C6F2C" w:rsidRPr="00796736">
        <w:rPr>
          <w:rFonts w:ascii="Times New Roman" w:hAnsi="Times New Roman" w:cs="Times New Roman"/>
          <w:sz w:val="24"/>
          <w:szCs w:val="24"/>
        </w:rPr>
        <w:t>7</w:t>
      </w:r>
      <w:r w:rsidRPr="00796736">
        <w:rPr>
          <w:rFonts w:ascii="Times New Roman" w:hAnsi="Times New Roman" w:cs="Times New Roman"/>
          <w:sz w:val="24"/>
          <w:szCs w:val="24"/>
        </w:rPr>
        <w:t>.1 i lovforslagets almindelige bemærkninger.</w:t>
      </w:r>
    </w:p>
    <w:p w14:paraId="53E0F6F8" w14:textId="77777777" w:rsidR="001819DC" w:rsidRPr="00796736" w:rsidRDefault="001819DC" w:rsidP="00A802A5">
      <w:pPr>
        <w:spacing w:line="360" w:lineRule="auto"/>
        <w:rPr>
          <w:rFonts w:ascii="Times New Roman" w:hAnsi="Times New Roman" w:cs="Times New Roman"/>
          <w:sz w:val="24"/>
          <w:szCs w:val="24"/>
        </w:rPr>
      </w:pPr>
    </w:p>
    <w:p w14:paraId="786F6F91" w14:textId="7DF8BD42"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w:t>
      </w:r>
      <w:r w:rsidR="00186D81" w:rsidRPr="00796736">
        <w:rPr>
          <w:rFonts w:ascii="Times New Roman" w:hAnsi="Times New Roman" w:cs="Times New Roman"/>
          <w:sz w:val="24"/>
          <w:szCs w:val="24"/>
        </w:rPr>
        <w:fldChar w:fldCharType="begin"/>
      </w:r>
      <w:r w:rsidR="00186D81" w:rsidRPr="00796736">
        <w:rPr>
          <w:rFonts w:ascii="Times New Roman" w:hAnsi="Times New Roman" w:cs="Times New Roman"/>
          <w:sz w:val="24"/>
          <w:szCs w:val="24"/>
        </w:rPr>
        <w:instrText xml:space="preserve"> REF _Ref232596168 \r \h </w:instrText>
      </w:r>
      <w:r w:rsidR="00967618" w:rsidRPr="00796736">
        <w:rPr>
          <w:rFonts w:ascii="Times New Roman" w:hAnsi="Times New Roman" w:cs="Times New Roman"/>
          <w:sz w:val="24"/>
          <w:szCs w:val="24"/>
        </w:rPr>
        <w:instrText xml:space="preserve"> \* MERGEFORMAT </w:instrText>
      </w:r>
      <w:r w:rsidR="00186D81" w:rsidRPr="00796736">
        <w:rPr>
          <w:rFonts w:ascii="Times New Roman" w:hAnsi="Times New Roman" w:cs="Times New Roman"/>
          <w:sz w:val="24"/>
          <w:szCs w:val="24"/>
        </w:rPr>
      </w:r>
      <w:r w:rsidR="00186D8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29</w:t>
      </w:r>
      <w:r w:rsidR="00186D81" w:rsidRPr="00796736">
        <w:rPr>
          <w:rFonts w:ascii="Times New Roman" w:hAnsi="Times New Roman" w:cs="Times New Roman"/>
          <w:sz w:val="24"/>
          <w:szCs w:val="24"/>
        </w:rPr>
        <w:fldChar w:fldCharType="end"/>
      </w:r>
      <w:r w:rsidR="00186D81"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lægges der op til at fastsætte regler om virkningen af strafferetlige bestemmelser i forhold til Hvidvasksekretariatets oplysningspligt. </w:t>
      </w:r>
    </w:p>
    <w:p w14:paraId="661807F5" w14:textId="77777777" w:rsidR="001819DC" w:rsidRPr="00796736" w:rsidRDefault="001819DC" w:rsidP="00A802A5">
      <w:pPr>
        <w:spacing w:line="360" w:lineRule="auto"/>
        <w:rPr>
          <w:rFonts w:ascii="Times New Roman" w:hAnsi="Times New Roman" w:cs="Times New Roman"/>
          <w:sz w:val="24"/>
          <w:szCs w:val="24"/>
        </w:rPr>
      </w:pPr>
    </w:p>
    <w:p w14:paraId="42F62CA1" w14:textId="64307726"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med</w:t>
      </w:r>
      <w:r w:rsidRPr="00796736">
        <w:rPr>
          <w:rFonts w:ascii="Times New Roman" w:hAnsi="Times New Roman" w:cs="Times New Roman"/>
          <w:i/>
          <w:iCs/>
          <w:sz w:val="24"/>
          <w:szCs w:val="24"/>
        </w:rPr>
        <w:t xml:space="preserve"> </w:t>
      </w:r>
      <w:r w:rsidR="00186D81" w:rsidRPr="00796736">
        <w:rPr>
          <w:rFonts w:ascii="Times New Roman" w:hAnsi="Times New Roman" w:cs="Times New Roman"/>
          <w:i/>
          <w:iCs/>
          <w:sz w:val="24"/>
          <w:szCs w:val="24"/>
        </w:rPr>
        <w:fldChar w:fldCharType="begin"/>
      </w:r>
      <w:r w:rsidR="00186D81" w:rsidRPr="00796736">
        <w:rPr>
          <w:rFonts w:ascii="Times New Roman" w:hAnsi="Times New Roman" w:cs="Times New Roman"/>
          <w:i/>
          <w:iCs/>
          <w:sz w:val="24"/>
          <w:szCs w:val="24"/>
        </w:rPr>
        <w:instrText xml:space="preserve"> REF _Ref232596168 \r \h  \* MERGEFORMAT </w:instrText>
      </w:r>
      <w:r w:rsidR="00186D81" w:rsidRPr="00796736">
        <w:rPr>
          <w:rFonts w:ascii="Times New Roman" w:hAnsi="Times New Roman" w:cs="Times New Roman"/>
          <w:i/>
          <w:iCs/>
          <w:sz w:val="24"/>
          <w:szCs w:val="24"/>
        </w:rPr>
      </w:r>
      <w:r w:rsidR="00186D81"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29</w:t>
      </w:r>
      <w:r w:rsidR="00186D81"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Hvidvasksekretariatet skal yde bistand til andre FIU’er og udveksle, formidle og anvende oplysninger efter </w:t>
      </w:r>
      <w:r w:rsidR="00A55427" w:rsidRPr="00796736">
        <w:rPr>
          <w:rFonts w:ascii="Times New Roman" w:hAnsi="Times New Roman" w:cs="Times New Roman"/>
          <w:sz w:val="24"/>
          <w:szCs w:val="24"/>
        </w:rPr>
        <w:t>§</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A55427"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_Ref232596141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28</w:t>
      </w:r>
      <w:r w:rsidR="00A5542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uanset eventuelle forskelle i nationale retlige definitioner af underliggende lovovertrædelser.</w:t>
      </w:r>
    </w:p>
    <w:p w14:paraId="791AE22B" w14:textId="77777777" w:rsidR="001819DC" w:rsidRPr="00796736" w:rsidRDefault="001819DC" w:rsidP="00A802A5">
      <w:pPr>
        <w:spacing w:line="360" w:lineRule="auto"/>
        <w:rPr>
          <w:rFonts w:ascii="Times New Roman" w:hAnsi="Times New Roman" w:cs="Times New Roman"/>
          <w:sz w:val="24"/>
          <w:szCs w:val="24"/>
        </w:rPr>
      </w:pPr>
    </w:p>
    <w:p w14:paraId="176388FB" w14:textId="71BC1C70"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Hvidvasksekretariatet vil være forpligtet til at yde bistand til andre FIU’er og udveksle, formidle og anvende oplysninger efter </w:t>
      </w:r>
      <w:r w:rsidR="00A55427" w:rsidRPr="00796736">
        <w:rPr>
          <w:rFonts w:ascii="Times New Roman" w:hAnsi="Times New Roman" w:cs="Times New Roman"/>
          <w:sz w:val="24"/>
          <w:szCs w:val="24"/>
        </w:rPr>
        <w:t>§</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A55427" w:rsidRPr="00796736">
        <w:rPr>
          <w:rFonts w:ascii="Times New Roman" w:hAnsi="Times New Roman" w:cs="Times New Roman"/>
          <w:sz w:val="24"/>
          <w:szCs w:val="24"/>
        </w:rPr>
        <w:fldChar w:fldCharType="end"/>
      </w:r>
      <w:r w:rsidR="00A55427" w:rsidRPr="00796736">
        <w:rPr>
          <w:rFonts w:ascii="Times New Roman" w:hAnsi="Times New Roman" w:cs="Times New Roman"/>
          <w:sz w:val="24"/>
          <w:szCs w:val="24"/>
        </w:rPr>
        <w:t>-</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_Ref232596141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28</w:t>
      </w:r>
      <w:r w:rsidR="00A55427" w:rsidRPr="00796736">
        <w:rPr>
          <w:rFonts w:ascii="Times New Roman" w:hAnsi="Times New Roman" w:cs="Times New Roman"/>
          <w:sz w:val="24"/>
          <w:szCs w:val="24"/>
        </w:rPr>
        <w:fldChar w:fldCharType="end"/>
      </w:r>
      <w:r w:rsidR="00A55427" w:rsidRPr="00796736">
        <w:rPr>
          <w:rFonts w:ascii="Times New Roman" w:hAnsi="Times New Roman" w:cs="Times New Roman"/>
          <w:sz w:val="24"/>
          <w:szCs w:val="24"/>
        </w:rPr>
        <w:t xml:space="preserve"> </w:t>
      </w:r>
      <w:r w:rsidRPr="00796736">
        <w:rPr>
          <w:rFonts w:ascii="Times New Roman" w:hAnsi="Times New Roman" w:cs="Times New Roman"/>
          <w:sz w:val="24"/>
          <w:szCs w:val="24"/>
        </w:rPr>
        <w:t>uanset eventuelle forskelle i nationale retlige definitioner af underliggende lovovertrædelser.</w:t>
      </w:r>
    </w:p>
    <w:p w14:paraId="608AB450" w14:textId="77777777" w:rsidR="001819DC" w:rsidRPr="00796736" w:rsidRDefault="001819DC" w:rsidP="00A802A5">
      <w:pPr>
        <w:spacing w:line="360" w:lineRule="auto"/>
        <w:rPr>
          <w:rFonts w:ascii="Times New Roman" w:hAnsi="Times New Roman" w:cs="Times New Roman"/>
          <w:sz w:val="24"/>
          <w:szCs w:val="24"/>
        </w:rPr>
      </w:pPr>
    </w:p>
    <w:p w14:paraId="44344491" w14:textId="731434E1"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Henvisningen til </w:t>
      </w:r>
      <w:r w:rsidR="00A55427" w:rsidRPr="00796736">
        <w:rPr>
          <w:rFonts w:ascii="Times New Roman" w:hAnsi="Times New Roman" w:cs="Times New Roman"/>
          <w:sz w:val="24"/>
          <w:szCs w:val="24"/>
        </w:rPr>
        <w:t>§</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A55427" w:rsidRPr="00796736">
        <w:rPr>
          <w:rFonts w:ascii="Times New Roman" w:hAnsi="Times New Roman" w:cs="Times New Roman"/>
          <w:sz w:val="24"/>
          <w:szCs w:val="24"/>
        </w:rPr>
        <w:fldChar w:fldCharType="end"/>
      </w:r>
      <w:r w:rsidR="00A55427" w:rsidRPr="00796736">
        <w:rPr>
          <w:rFonts w:ascii="Times New Roman" w:hAnsi="Times New Roman" w:cs="Times New Roman"/>
          <w:sz w:val="24"/>
          <w:szCs w:val="24"/>
        </w:rPr>
        <w:t>-</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_Ref232596141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28</w:t>
      </w:r>
      <w:r w:rsidR="00A55427" w:rsidRPr="00796736">
        <w:rPr>
          <w:rFonts w:ascii="Times New Roman" w:hAnsi="Times New Roman" w:cs="Times New Roman"/>
          <w:sz w:val="24"/>
          <w:szCs w:val="24"/>
        </w:rPr>
        <w:fldChar w:fldCharType="end"/>
      </w:r>
      <w:r w:rsidR="00A55427"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vil indebære, at bestemmelsen vil omfatte udveksling af oplysninger mellem FIU'er </w:t>
      </w:r>
      <w:r w:rsidR="00A55427" w:rsidRPr="00796736">
        <w:rPr>
          <w:rFonts w:ascii="Times New Roman" w:hAnsi="Times New Roman" w:cs="Times New Roman"/>
          <w:sz w:val="24"/>
          <w:szCs w:val="24"/>
        </w:rPr>
        <w:t>(</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_Ref232596055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25</w:t>
      </w:r>
      <w:r w:rsidR="00A5542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fælles analyser (</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_Ref232596098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26</w:t>
      </w:r>
      <w:r w:rsidR="00A5542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FIU'ers brug af oplysninger, der udveksles mellem dem (</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_Ref232596117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27</w:t>
      </w:r>
      <w:r w:rsidR="00A5542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og samtykke til yderligere formidling af oplysninger, der udveksles mellem FIU'er (</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_Ref232596141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28</w:t>
      </w:r>
      <w:r w:rsidR="00A55427"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243750E9" w14:textId="77777777" w:rsidR="001819DC" w:rsidRPr="00796736" w:rsidRDefault="001819DC" w:rsidP="00A802A5">
      <w:pPr>
        <w:spacing w:line="360" w:lineRule="auto"/>
        <w:rPr>
          <w:rFonts w:ascii="Times New Roman" w:hAnsi="Times New Roman" w:cs="Times New Roman"/>
          <w:sz w:val="24"/>
          <w:szCs w:val="24"/>
        </w:rPr>
      </w:pPr>
    </w:p>
    <w:p w14:paraId="7927B323" w14:textId="6D907865"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skal ses i lyset af hvidvaskdirektivets præambelbetragtning nr. 75, hvorefter en FIU ikke bør afholde sig fra eller nægte at udveksle oplysninger med en anden FIU, hverken spontant eller efter anmodning, på grundlag såsom manglende identifikation af en underliggende lovovertrædelse, særlige bestemmelser i national strafferet og forskelle i definitionerne af underliggende lovovertrædelser eller manglende henvisning til bestemte underliggende lovovertrædelser.</w:t>
      </w:r>
    </w:p>
    <w:p w14:paraId="03104446" w14:textId="77777777" w:rsidR="001819DC" w:rsidRPr="00796736" w:rsidRDefault="001819DC" w:rsidP="00A802A5">
      <w:pPr>
        <w:spacing w:line="360" w:lineRule="auto"/>
        <w:rPr>
          <w:rFonts w:ascii="Times New Roman" w:hAnsi="Times New Roman" w:cs="Times New Roman"/>
          <w:sz w:val="24"/>
          <w:szCs w:val="24"/>
        </w:rPr>
      </w:pPr>
    </w:p>
    <w:p w14:paraId="2217DCF7" w14:textId="77777777"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udgøre en videreførelse af det gældende § 5, stk. 2, i FIU-cirkulæret, men bestemmelsen vil som noget nyt også omfatte samarbejdet i regi af fælles analysehold i henhold til hvidvaskdirektivets artikel 32 om fælles analyser.</w:t>
      </w:r>
    </w:p>
    <w:p w14:paraId="0884B7AB" w14:textId="77777777" w:rsidR="001819DC" w:rsidRPr="00796736" w:rsidRDefault="001819DC" w:rsidP="00A802A5">
      <w:pPr>
        <w:spacing w:line="360" w:lineRule="auto"/>
        <w:rPr>
          <w:rFonts w:ascii="Times New Roman" w:hAnsi="Times New Roman" w:cs="Times New Roman"/>
          <w:sz w:val="24"/>
          <w:szCs w:val="24"/>
        </w:rPr>
      </w:pPr>
    </w:p>
    <w:p w14:paraId="6686CD9F" w14:textId="78CD290A" w:rsidR="001819DC"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_Ref232596168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29</w:t>
      </w:r>
      <w:r w:rsidR="00A55427" w:rsidRPr="00796736">
        <w:rPr>
          <w:rFonts w:ascii="Times New Roman" w:hAnsi="Times New Roman" w:cs="Times New Roman"/>
          <w:sz w:val="24"/>
          <w:szCs w:val="24"/>
        </w:rPr>
        <w:fldChar w:fldCharType="end"/>
      </w:r>
      <w:r w:rsidR="00A55427" w:rsidRPr="00796736">
        <w:rPr>
          <w:rFonts w:ascii="Times New Roman" w:hAnsi="Times New Roman" w:cs="Times New Roman"/>
          <w:sz w:val="24"/>
          <w:szCs w:val="24"/>
        </w:rPr>
        <w:t xml:space="preserve"> </w:t>
      </w:r>
      <w:r w:rsidRPr="00796736">
        <w:rPr>
          <w:rFonts w:ascii="Times New Roman" w:hAnsi="Times New Roman" w:cs="Times New Roman"/>
          <w:sz w:val="24"/>
          <w:szCs w:val="24"/>
        </w:rPr>
        <w:t>har til formål at gennemføre 6. hvidvaskdirektivets artikel 35.</w:t>
      </w:r>
    </w:p>
    <w:p w14:paraId="5C8B36EF" w14:textId="77777777" w:rsidR="001819DC" w:rsidRPr="00796736" w:rsidRDefault="001819DC" w:rsidP="00A802A5">
      <w:pPr>
        <w:spacing w:line="360" w:lineRule="auto"/>
        <w:rPr>
          <w:rFonts w:ascii="Times New Roman" w:hAnsi="Times New Roman" w:cs="Times New Roman"/>
          <w:sz w:val="24"/>
          <w:szCs w:val="24"/>
        </w:rPr>
      </w:pPr>
    </w:p>
    <w:p w14:paraId="297F07FE" w14:textId="7CBC6209" w:rsidR="003B4C97" w:rsidRPr="00796736" w:rsidRDefault="001819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672FE" w:rsidRPr="00796736">
        <w:rPr>
          <w:rFonts w:ascii="Times New Roman" w:hAnsi="Times New Roman" w:cs="Times New Roman"/>
          <w:sz w:val="24"/>
          <w:szCs w:val="24"/>
        </w:rPr>
        <w:fldChar w:fldCharType="begin"/>
      </w:r>
      <w:r w:rsidR="005672FE" w:rsidRPr="00796736">
        <w:rPr>
          <w:rFonts w:ascii="Times New Roman" w:hAnsi="Times New Roman" w:cs="Times New Roman"/>
          <w:sz w:val="24"/>
          <w:szCs w:val="24"/>
        </w:rPr>
        <w:instrText xml:space="preserve"> REF _Ref240022016 \r \h </w:instrText>
      </w:r>
      <w:r w:rsidR="00F375BF" w:rsidRPr="00796736">
        <w:rPr>
          <w:rFonts w:ascii="Times New Roman" w:hAnsi="Times New Roman" w:cs="Times New Roman"/>
          <w:sz w:val="24"/>
          <w:szCs w:val="24"/>
        </w:rPr>
        <w:instrText xml:space="preserve"> \* MERGEFORMAT </w:instrText>
      </w:r>
      <w:r w:rsidR="005672FE" w:rsidRPr="00796736">
        <w:rPr>
          <w:rFonts w:ascii="Times New Roman" w:hAnsi="Times New Roman" w:cs="Times New Roman"/>
          <w:sz w:val="24"/>
          <w:szCs w:val="24"/>
        </w:rPr>
      </w:r>
      <w:r w:rsidR="005672F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3.28</w:t>
      </w:r>
      <w:r w:rsidR="005672FE" w:rsidRPr="00796736">
        <w:rPr>
          <w:rFonts w:ascii="Times New Roman" w:hAnsi="Times New Roman" w:cs="Times New Roman"/>
          <w:sz w:val="24"/>
          <w:szCs w:val="24"/>
        </w:rPr>
        <w:fldChar w:fldCharType="end"/>
      </w:r>
      <w:r w:rsidR="005672FE"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670F2918" w14:textId="77777777" w:rsidR="001819DC" w:rsidRPr="00796736" w:rsidRDefault="001819DC" w:rsidP="00A802A5">
      <w:pPr>
        <w:spacing w:line="360" w:lineRule="auto"/>
        <w:rPr>
          <w:rFonts w:ascii="Times New Roman" w:hAnsi="Times New Roman" w:cs="Times New Roman"/>
          <w:i/>
          <w:iCs/>
          <w:sz w:val="24"/>
          <w:szCs w:val="24"/>
        </w:rPr>
      </w:pPr>
    </w:p>
    <w:p w14:paraId="216CF80C" w14:textId="331EB715" w:rsidR="0030356F" w:rsidRPr="00796736" w:rsidRDefault="00240DBE" w:rsidP="00A802A5">
      <w:pPr>
        <w:pStyle w:val="Undertitel"/>
      </w:pPr>
      <w:bookmarkStart w:id="1943" w:name="_Toc232109362"/>
      <w:bookmarkStart w:id="1944" w:name="_Toc244879326"/>
      <w:bookmarkStart w:id="1945" w:name="_Toc244880851"/>
      <w:r w:rsidRPr="00796736">
        <w:t xml:space="preserve">Til </w:t>
      </w:r>
      <w:r w:rsidR="006719DB" w:rsidRPr="00796736">
        <w:fldChar w:fldCharType="begin"/>
      </w:r>
      <w:r w:rsidR="006719DB" w:rsidRPr="00796736">
        <w:instrText xml:space="preserve"> REF _Ref232596193 \r \h </w:instrText>
      </w:r>
      <w:r w:rsidR="00967618" w:rsidRPr="00796736">
        <w:instrText xml:space="preserve"> \* MERGEFORMAT </w:instrText>
      </w:r>
      <w:r w:rsidR="006719DB" w:rsidRPr="00796736">
        <w:fldChar w:fldCharType="separate"/>
      </w:r>
      <w:r w:rsidR="008F29E5">
        <w:t>§ 30</w:t>
      </w:r>
      <w:bookmarkEnd w:id="1944"/>
      <w:bookmarkEnd w:id="1945"/>
      <w:r w:rsidR="006719DB" w:rsidRPr="00796736">
        <w:fldChar w:fldCharType="end"/>
      </w:r>
      <w:r w:rsidR="001819DC" w:rsidRPr="00796736">
        <w:t xml:space="preserve"> </w:t>
      </w:r>
      <w:bookmarkEnd w:id="1943"/>
    </w:p>
    <w:p w14:paraId="18BF1628" w14:textId="39C9A630" w:rsidR="00F264FD" w:rsidRPr="00796736" w:rsidRDefault="00F264F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Hvidvaskloven indeholder ikke i dag bestemmelser om særlige regler om fortrolighed af indberetninger ved videregivelse af oplysninger. </w:t>
      </w:r>
      <w:r w:rsidR="00EB57D1">
        <w:rPr>
          <w:rFonts w:ascii="Times New Roman" w:eastAsia="Calibri" w:hAnsi="Times New Roman" w:cs="Times New Roman"/>
          <w:sz w:val="24"/>
          <w:szCs w:val="24"/>
        </w:rPr>
        <w:t>Det følger dog af hvidvasklovens § 38 a, at p</w:t>
      </w:r>
      <w:r w:rsidR="00EB57D1" w:rsidRPr="00783294">
        <w:rPr>
          <w:rFonts w:ascii="Times New Roman" w:eastAsia="Calibri" w:hAnsi="Times New Roman" w:cs="Times New Roman"/>
          <w:sz w:val="24"/>
          <w:szCs w:val="24"/>
        </w:rPr>
        <w:t>ersoner, der virker inden for den offentlige for</w:t>
      </w:r>
      <w:r w:rsidR="00EB57D1" w:rsidRPr="00EB57D1">
        <w:rPr>
          <w:rFonts w:ascii="Times New Roman" w:eastAsia="Calibri" w:hAnsi="Times New Roman" w:cs="Times New Roman"/>
          <w:sz w:val="24"/>
          <w:szCs w:val="24"/>
        </w:rPr>
        <w:t xml:space="preserve">valtning, er under ansvar efter </w:t>
      </w:r>
      <w:hyperlink r:id="rId23" w:history="1">
        <w:r w:rsidR="00EB57D1" w:rsidRPr="00EB57D1">
          <w:rPr>
            <w:rFonts w:ascii="Times New Roman" w:hAnsi="Times New Roman" w:cs="Times New Roman"/>
            <w:sz w:val="24"/>
            <w:szCs w:val="24"/>
          </w:rPr>
          <w:t>straffelovens §§ 152</w:t>
        </w:r>
      </w:hyperlink>
      <w:r w:rsidR="00EB57D1" w:rsidRPr="00EB57D1">
        <w:rPr>
          <w:rFonts w:ascii="Times New Roman" w:eastAsia="Calibri" w:hAnsi="Times New Roman" w:cs="Times New Roman"/>
          <w:sz w:val="24"/>
          <w:szCs w:val="24"/>
        </w:rPr>
        <w:t>-</w:t>
      </w:r>
      <w:hyperlink r:id="rId24" w:history="1">
        <w:r w:rsidR="00EB57D1" w:rsidRPr="00EB57D1">
          <w:rPr>
            <w:rFonts w:ascii="Times New Roman" w:hAnsi="Times New Roman" w:cs="Times New Roman"/>
            <w:sz w:val="24"/>
            <w:szCs w:val="24"/>
          </w:rPr>
          <w:t>152 e</w:t>
        </w:r>
      </w:hyperlink>
      <w:r w:rsidR="00EB57D1" w:rsidRPr="00EB57D1">
        <w:rPr>
          <w:rFonts w:ascii="Times New Roman" w:eastAsia="Calibri" w:hAnsi="Times New Roman" w:cs="Times New Roman"/>
          <w:sz w:val="24"/>
          <w:szCs w:val="24"/>
        </w:rPr>
        <w:t xml:space="preserve"> forpligtet til at hemmeligholde oplysninger, som hidrører fra en underretning efter § 26 eller § 28.</w:t>
      </w:r>
    </w:p>
    <w:p w14:paraId="75C1AFA1" w14:textId="77777777" w:rsidR="00F264FD" w:rsidRPr="00796736" w:rsidRDefault="00F264F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en nærmere en nærmere beskrivelse af gældende ret henvises til pkt.</w:t>
      </w:r>
    </w:p>
    <w:p w14:paraId="227BAF0C" w14:textId="622092E2" w:rsidR="00F264FD" w:rsidRPr="00796736" w:rsidRDefault="00A5542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_Ref232946178 \n \h </w:instrText>
      </w:r>
      <w:r w:rsidR="00967618"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F264FD" w:rsidRPr="00796736">
        <w:rPr>
          <w:rFonts w:ascii="Times New Roman" w:hAnsi="Times New Roman" w:cs="Times New Roman"/>
          <w:sz w:val="24"/>
          <w:szCs w:val="24"/>
        </w:rPr>
        <w:t>i lovforslagets almindelige bemærkninger.</w:t>
      </w:r>
    </w:p>
    <w:p w14:paraId="7DF72710" w14:textId="77777777" w:rsidR="00F264FD" w:rsidRPr="00796736" w:rsidRDefault="00F264FD" w:rsidP="00A802A5">
      <w:pPr>
        <w:spacing w:line="360" w:lineRule="auto"/>
        <w:rPr>
          <w:rFonts w:ascii="Times New Roman" w:hAnsi="Times New Roman" w:cs="Times New Roman"/>
          <w:sz w:val="24"/>
          <w:szCs w:val="24"/>
        </w:rPr>
      </w:pPr>
    </w:p>
    <w:p w14:paraId="0DA28A80" w14:textId="730EB504" w:rsidR="00F264FD" w:rsidRPr="00796736" w:rsidRDefault="00F264FD"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00A55427" w:rsidRPr="00796736">
        <w:rPr>
          <w:rFonts w:ascii="Times New Roman" w:hAnsi="Times New Roman" w:cs="Times New Roman"/>
          <w:i/>
          <w:iCs/>
          <w:sz w:val="24"/>
          <w:szCs w:val="24"/>
        </w:rPr>
        <w:fldChar w:fldCharType="begin"/>
      </w:r>
      <w:r w:rsidR="00A55427" w:rsidRPr="00796736">
        <w:rPr>
          <w:rFonts w:ascii="Times New Roman" w:hAnsi="Times New Roman" w:cs="Times New Roman"/>
          <w:i/>
          <w:iCs/>
          <w:sz w:val="24"/>
          <w:szCs w:val="24"/>
        </w:rPr>
        <w:instrText xml:space="preserve"> REF _Ref232596193 \r \h  \* MERGEFORMAT </w:instrText>
      </w:r>
      <w:r w:rsidR="00A55427" w:rsidRPr="00796736">
        <w:rPr>
          <w:rFonts w:ascii="Times New Roman" w:hAnsi="Times New Roman" w:cs="Times New Roman"/>
          <w:i/>
          <w:iCs/>
          <w:sz w:val="24"/>
          <w:szCs w:val="24"/>
        </w:rPr>
      </w:r>
      <w:r w:rsidR="00A55427"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30</w:t>
      </w:r>
      <w:r w:rsidR="00A55427"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w:t>
      </w:r>
      <w:r w:rsidR="00B23930" w:rsidRPr="00796736">
        <w:rPr>
          <w:rFonts w:ascii="Times New Roman" w:hAnsi="Times New Roman" w:cs="Times New Roman"/>
          <w:sz w:val="24"/>
          <w:szCs w:val="24"/>
        </w:rPr>
        <w:t xml:space="preserve">at </w:t>
      </w:r>
      <w:r w:rsidR="00B23930" w:rsidRPr="00796736">
        <w:rPr>
          <w:rFonts w:ascii="Times New Roman" w:eastAsia="Times New Roman" w:hAnsi="Times New Roman" w:cs="Times New Roman"/>
          <w:sz w:val="24"/>
          <w:szCs w:val="24"/>
          <w:lang w:eastAsia="da-DK"/>
        </w:rPr>
        <w:t>Hvidvasksekretariatet beskytter identiteten af de virksomheder og personer</w:t>
      </w:r>
      <w:r w:rsidR="009A2288">
        <w:rPr>
          <w:rFonts w:ascii="Times New Roman" w:eastAsia="Times New Roman" w:hAnsi="Times New Roman" w:cs="Times New Roman"/>
          <w:sz w:val="24"/>
          <w:szCs w:val="24"/>
          <w:lang w:eastAsia="da-DK"/>
        </w:rPr>
        <w:t xml:space="preserve"> omfattet af loven</w:t>
      </w:r>
      <w:r w:rsidR="00B23930" w:rsidRPr="00796736">
        <w:rPr>
          <w:rFonts w:ascii="Times New Roman" w:eastAsia="Times New Roman" w:hAnsi="Times New Roman" w:cs="Times New Roman"/>
          <w:sz w:val="24"/>
          <w:szCs w:val="24"/>
          <w:lang w:eastAsia="da-DK"/>
        </w:rPr>
        <w:t xml:space="preserve"> samt deres ansatte eller personer i tilsvarende stillinger, herunder agenter og distributører, der foretager underretninger om mistanke efter hvidvaskforordningens artikel 69, stk. 1, første afsnit, litra a, herunder ved ikke at oplyse kilden til den pågældende underretning, når Hvidvasksekretariatet besvarer anmodninger om oplysninger fra kompetente myndigheder efter </w:t>
      </w:r>
      <w:r w:rsidR="0050440D" w:rsidRPr="00796736">
        <w:rPr>
          <w:rFonts w:ascii="Times New Roman" w:eastAsia="Times New Roman" w:hAnsi="Times New Roman" w:cs="Times New Roman"/>
          <w:sz w:val="24"/>
          <w:szCs w:val="24"/>
          <w:lang w:eastAsia="da-DK"/>
        </w:rPr>
        <w:fldChar w:fldCharType="begin"/>
      </w:r>
      <w:r w:rsidR="0050440D" w:rsidRPr="00796736">
        <w:rPr>
          <w:rFonts w:ascii="Times New Roman" w:eastAsia="Times New Roman" w:hAnsi="Times New Roman" w:cs="Times New Roman"/>
          <w:sz w:val="24"/>
          <w:szCs w:val="24"/>
          <w:lang w:eastAsia="da-DK"/>
        </w:rPr>
        <w:instrText xml:space="preserve"> REF _Ref232595727 \r \h </w:instrText>
      </w:r>
      <w:r w:rsidR="00F375BF" w:rsidRPr="00796736">
        <w:rPr>
          <w:rFonts w:ascii="Times New Roman" w:eastAsia="Times New Roman" w:hAnsi="Times New Roman" w:cs="Times New Roman"/>
          <w:sz w:val="24"/>
          <w:szCs w:val="24"/>
          <w:lang w:eastAsia="da-DK"/>
        </w:rPr>
        <w:instrText xml:space="preserve"> \* MERGEFORMAT </w:instrText>
      </w:r>
      <w:r w:rsidR="0050440D" w:rsidRPr="00796736">
        <w:rPr>
          <w:rFonts w:ascii="Times New Roman" w:eastAsia="Times New Roman" w:hAnsi="Times New Roman" w:cs="Times New Roman"/>
          <w:sz w:val="24"/>
          <w:szCs w:val="24"/>
          <w:lang w:eastAsia="da-DK"/>
        </w:rPr>
      </w:r>
      <w:r w:rsidR="0050440D"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17</w:t>
      </w:r>
      <w:r w:rsidR="0050440D" w:rsidRPr="00796736">
        <w:rPr>
          <w:rFonts w:ascii="Times New Roman" w:eastAsia="Times New Roman" w:hAnsi="Times New Roman" w:cs="Times New Roman"/>
          <w:sz w:val="24"/>
          <w:szCs w:val="24"/>
          <w:lang w:eastAsia="da-DK"/>
        </w:rPr>
        <w:fldChar w:fldCharType="end"/>
      </w:r>
      <w:r w:rsidR="0050440D" w:rsidRPr="00796736">
        <w:rPr>
          <w:rFonts w:ascii="Times New Roman" w:eastAsia="Times New Roman" w:hAnsi="Times New Roman" w:cs="Times New Roman"/>
          <w:sz w:val="24"/>
          <w:szCs w:val="24"/>
          <w:lang w:eastAsia="da-DK"/>
        </w:rPr>
        <w:t xml:space="preserve">, eller når sekretariatet formidler resultaterne af deres analyser i henhold til </w:t>
      </w:r>
      <w:r w:rsidR="0050440D" w:rsidRPr="00796736">
        <w:rPr>
          <w:rFonts w:ascii="Times New Roman" w:eastAsia="Times New Roman" w:hAnsi="Times New Roman" w:cs="Times New Roman"/>
          <w:sz w:val="24"/>
          <w:szCs w:val="24"/>
          <w:lang w:eastAsia="da-DK"/>
        </w:rPr>
        <w:fldChar w:fldCharType="begin"/>
      </w:r>
      <w:r w:rsidR="0050440D" w:rsidRPr="00796736">
        <w:rPr>
          <w:rFonts w:ascii="Times New Roman" w:eastAsia="Times New Roman" w:hAnsi="Times New Roman" w:cs="Times New Roman"/>
          <w:sz w:val="24"/>
          <w:szCs w:val="24"/>
          <w:lang w:eastAsia="da-DK"/>
        </w:rPr>
        <w:instrText xml:space="preserve"> REF _Ref239689279 \r \h </w:instrText>
      </w:r>
      <w:r w:rsidR="00F375BF" w:rsidRPr="00796736">
        <w:rPr>
          <w:rFonts w:ascii="Times New Roman" w:eastAsia="Times New Roman" w:hAnsi="Times New Roman" w:cs="Times New Roman"/>
          <w:sz w:val="24"/>
          <w:szCs w:val="24"/>
          <w:lang w:eastAsia="da-DK"/>
        </w:rPr>
        <w:instrText xml:space="preserve"> \* MERGEFORMAT </w:instrText>
      </w:r>
      <w:r w:rsidR="0050440D" w:rsidRPr="00796736">
        <w:rPr>
          <w:rFonts w:ascii="Times New Roman" w:eastAsia="Times New Roman" w:hAnsi="Times New Roman" w:cs="Times New Roman"/>
          <w:sz w:val="24"/>
          <w:szCs w:val="24"/>
          <w:lang w:eastAsia="da-DK"/>
        </w:rPr>
      </w:r>
      <w:r w:rsidR="0050440D"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0050440D" w:rsidRPr="00796736">
        <w:rPr>
          <w:rFonts w:ascii="Times New Roman" w:eastAsia="Times New Roman" w:hAnsi="Times New Roman" w:cs="Times New Roman"/>
          <w:sz w:val="24"/>
          <w:szCs w:val="24"/>
          <w:lang w:eastAsia="da-DK"/>
        </w:rPr>
        <w:fldChar w:fldCharType="end"/>
      </w:r>
      <w:r w:rsidR="0050440D" w:rsidRPr="00796736">
        <w:rPr>
          <w:rFonts w:ascii="Times New Roman" w:eastAsia="Times New Roman" w:hAnsi="Times New Roman" w:cs="Times New Roman"/>
          <w:sz w:val="24"/>
          <w:szCs w:val="24"/>
          <w:lang w:eastAsia="da-DK"/>
        </w:rPr>
        <w:t>.</w:t>
      </w:r>
    </w:p>
    <w:p w14:paraId="2FA80361" w14:textId="77777777" w:rsidR="00F264FD" w:rsidRPr="00796736" w:rsidRDefault="00F264FD" w:rsidP="00A802A5">
      <w:pPr>
        <w:spacing w:line="360" w:lineRule="auto"/>
        <w:rPr>
          <w:rFonts w:ascii="Times New Roman" w:hAnsi="Times New Roman" w:cs="Times New Roman"/>
          <w:sz w:val="24"/>
          <w:szCs w:val="24"/>
        </w:rPr>
      </w:pPr>
    </w:p>
    <w:p w14:paraId="3B33D437" w14:textId="77777777" w:rsidR="002A6A20" w:rsidRPr="00796736" w:rsidRDefault="002A6A20" w:rsidP="002A6A20">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t xml:space="preserve">Den foreslåede bestemmelse vil indebære, at </w:t>
      </w:r>
      <w:r w:rsidRPr="00796736">
        <w:rPr>
          <w:rFonts w:ascii="Times New Roman" w:hAnsi="Times New Roman" w:cs="Times New Roman"/>
          <w:sz w:val="24"/>
          <w:szCs w:val="24"/>
        </w:rPr>
        <w:t xml:space="preserve">Hvidvasksekretariatet skal indføre mekanismer til beskyttelse af identiteten af </w:t>
      </w:r>
      <w:r>
        <w:rPr>
          <w:rFonts w:ascii="Times New Roman" w:hAnsi="Times New Roman" w:cs="Times New Roman"/>
          <w:sz w:val="24"/>
          <w:szCs w:val="24"/>
        </w:rPr>
        <w:t>virksomheder og personer omfattet af loven</w:t>
      </w:r>
      <w:r w:rsidRPr="00796736">
        <w:rPr>
          <w:rFonts w:ascii="Times New Roman" w:hAnsi="Times New Roman" w:cs="Times New Roman"/>
          <w:sz w:val="24"/>
          <w:szCs w:val="24"/>
        </w:rPr>
        <w:t xml:space="preserve"> og deres ansatte eller personer i tilsvarende stillinger, herunder agenter og distributører, der indberetter mistanker i henhold til hvidvaskforordningens artikel 69, stk. 1, første afsnit, litra a. Den foreslåede bestemmelse har til formål at sikre, at identiteten på den underrettende beskyttes, men knytter sig ikke som sådan til indholdet af</w:t>
      </w:r>
      <w:r>
        <w:rPr>
          <w:rFonts w:ascii="Times New Roman" w:hAnsi="Times New Roman" w:cs="Times New Roman"/>
          <w:sz w:val="24"/>
          <w:szCs w:val="24"/>
        </w:rPr>
        <w:t xml:space="preserve"> underretningen</w:t>
      </w:r>
      <w:r w:rsidRPr="00796736">
        <w:rPr>
          <w:rFonts w:ascii="Times New Roman" w:hAnsi="Times New Roman" w:cs="Times New Roman"/>
          <w:sz w:val="24"/>
          <w:szCs w:val="24"/>
        </w:rPr>
        <w:t xml:space="preserve">. Det bemærkes imidlertid, at beskyttelsen af identiteten i praksis vil kunne indebære, at Hvidvasksekretariatet også vil skulle tage stilling til indholdet af den pågældende underretning, f.eks. hvis der er tale om en underretning, som meningsfuldt kun kan indgives af én bestemt person eller virksomhed.    </w:t>
      </w:r>
    </w:p>
    <w:p w14:paraId="595268D9" w14:textId="77777777" w:rsidR="00F264FD" w:rsidRPr="00796736" w:rsidRDefault="00F264FD" w:rsidP="00A802A5">
      <w:pPr>
        <w:spacing w:line="360" w:lineRule="auto"/>
        <w:rPr>
          <w:rFonts w:ascii="Times New Roman" w:eastAsia="Times New Roman" w:hAnsi="Times New Roman" w:cs="Times New Roman"/>
          <w:sz w:val="24"/>
          <w:szCs w:val="24"/>
          <w:lang w:eastAsia="da-DK"/>
        </w:rPr>
      </w:pPr>
    </w:p>
    <w:p w14:paraId="498D2446" w14:textId="6DEB6673" w:rsidR="00F264FD" w:rsidRPr="00796736" w:rsidRDefault="0050440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 foreslåede</w:t>
      </w:r>
      <w:r w:rsidR="00B23930" w:rsidRPr="00796736">
        <w:rPr>
          <w:rFonts w:ascii="Times New Roman" w:eastAsia="Times New Roman" w:hAnsi="Times New Roman" w:cs="Times New Roman"/>
          <w:sz w:val="24"/>
          <w:szCs w:val="24"/>
          <w:lang w:eastAsia="da-DK"/>
        </w:rPr>
        <w:t xml:space="preserve"> endvidere</w:t>
      </w:r>
      <w:r w:rsidRPr="00796736">
        <w:rPr>
          <w:rFonts w:ascii="Times New Roman" w:eastAsia="Times New Roman" w:hAnsi="Times New Roman" w:cs="Times New Roman"/>
          <w:sz w:val="24"/>
          <w:szCs w:val="24"/>
          <w:lang w:eastAsia="da-DK"/>
        </w:rPr>
        <w:t xml:space="preserve"> bestemmelse vil indebære, at </w:t>
      </w:r>
      <w:r w:rsidRPr="00796736">
        <w:rPr>
          <w:rFonts w:ascii="Times New Roman" w:hAnsi="Times New Roman" w:cs="Times New Roman"/>
          <w:sz w:val="24"/>
          <w:szCs w:val="24"/>
        </w:rPr>
        <w:t xml:space="preserve">Hvidvasksekretariatet ikke må oplyse kilden til en underretning, herunder når sekretariatet </w:t>
      </w:r>
      <w:r w:rsidRPr="00796736">
        <w:rPr>
          <w:rFonts w:ascii="Times New Roman" w:eastAsia="Times New Roman" w:hAnsi="Times New Roman" w:cs="Times New Roman"/>
          <w:sz w:val="24"/>
          <w:szCs w:val="24"/>
          <w:lang w:eastAsia="da-DK"/>
        </w:rPr>
        <w:t xml:space="preserve">besvarer anmodninger om oplysninger fra kompetente myndigheder efter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_Ref232595727 \r \h </w:instrText>
      </w:r>
      <w:r w:rsidR="00F375BF"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17</w:t>
      </w:r>
      <w:r w:rsidRPr="00796736">
        <w:rPr>
          <w:rFonts w:ascii="Times New Roman" w:eastAsia="Times New Roman" w:hAnsi="Times New Roman" w:cs="Times New Roman"/>
          <w:sz w:val="24"/>
          <w:szCs w:val="24"/>
          <w:lang w:eastAsia="da-DK"/>
        </w:rPr>
        <w:fldChar w:fldCharType="end"/>
      </w:r>
      <w:r w:rsidR="00A55427" w:rsidRPr="00796736">
        <w:rPr>
          <w:rFonts w:ascii="Times New Roman" w:eastAsia="Times New Roman" w:hAnsi="Times New Roman" w:cs="Times New Roman"/>
          <w:sz w:val="24"/>
          <w:szCs w:val="24"/>
          <w:lang w:eastAsia="da-DK"/>
        </w:rPr>
        <w:t xml:space="preserve"> eller når sekretariatet formidler resultaterne af deres analyser i henhold til </w:t>
      </w:r>
      <w:r w:rsidR="00A55427" w:rsidRPr="00796736">
        <w:rPr>
          <w:rFonts w:ascii="Times New Roman" w:eastAsia="Times New Roman" w:hAnsi="Times New Roman" w:cs="Times New Roman"/>
          <w:sz w:val="24"/>
          <w:szCs w:val="24"/>
          <w:lang w:eastAsia="da-DK"/>
        </w:rPr>
        <w:fldChar w:fldCharType="begin"/>
      </w:r>
      <w:r w:rsidR="00A55427" w:rsidRPr="00796736">
        <w:rPr>
          <w:rFonts w:ascii="Times New Roman" w:eastAsia="Times New Roman" w:hAnsi="Times New Roman" w:cs="Times New Roman"/>
          <w:sz w:val="24"/>
          <w:szCs w:val="24"/>
          <w:lang w:eastAsia="da-DK"/>
        </w:rPr>
        <w:instrText xml:space="preserve"> REF _Ref232595580 \r \h </w:instrText>
      </w:r>
      <w:r w:rsidR="00967618" w:rsidRPr="00796736">
        <w:rPr>
          <w:rFonts w:ascii="Times New Roman" w:eastAsia="Times New Roman" w:hAnsi="Times New Roman" w:cs="Times New Roman"/>
          <w:sz w:val="24"/>
          <w:szCs w:val="24"/>
          <w:lang w:eastAsia="da-DK"/>
        </w:rPr>
        <w:instrText xml:space="preserve"> \* MERGEFORMAT </w:instrText>
      </w:r>
      <w:r w:rsidR="00A55427" w:rsidRPr="00796736">
        <w:rPr>
          <w:rFonts w:ascii="Times New Roman" w:eastAsia="Times New Roman" w:hAnsi="Times New Roman" w:cs="Times New Roman"/>
          <w:sz w:val="24"/>
          <w:szCs w:val="24"/>
          <w:lang w:eastAsia="da-DK"/>
        </w:rPr>
      </w:r>
      <w:r w:rsidR="00A5542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00A55427" w:rsidRPr="00796736">
        <w:rPr>
          <w:rFonts w:ascii="Times New Roman" w:eastAsia="Times New Roman" w:hAnsi="Times New Roman" w:cs="Times New Roman"/>
          <w:sz w:val="24"/>
          <w:szCs w:val="24"/>
          <w:lang w:eastAsia="da-DK"/>
        </w:rPr>
        <w:fldChar w:fldCharType="end"/>
      </w:r>
      <w:r w:rsidR="00A55427" w:rsidRPr="00796736">
        <w:rPr>
          <w:rFonts w:ascii="Times New Roman" w:eastAsia="Times New Roman" w:hAnsi="Times New Roman" w:cs="Times New Roman"/>
          <w:sz w:val="24"/>
          <w:szCs w:val="24"/>
          <w:lang w:eastAsia="da-DK"/>
        </w:rPr>
        <w:t>.</w:t>
      </w:r>
    </w:p>
    <w:p w14:paraId="7111BF5F" w14:textId="77777777" w:rsidR="0050440D" w:rsidRPr="00796736" w:rsidRDefault="0050440D" w:rsidP="00A802A5">
      <w:pPr>
        <w:spacing w:line="360" w:lineRule="auto"/>
        <w:rPr>
          <w:rFonts w:ascii="Times New Roman" w:eastAsia="Times New Roman" w:hAnsi="Times New Roman" w:cs="Times New Roman"/>
          <w:sz w:val="24"/>
          <w:szCs w:val="24"/>
          <w:lang w:eastAsia="da-DK"/>
        </w:rPr>
      </w:pPr>
    </w:p>
    <w:p w14:paraId="7681C0B5" w14:textId="77777777" w:rsidR="00D55058" w:rsidRPr="00796736" w:rsidRDefault="00D55058" w:rsidP="00D55058">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endvidere i </w:t>
      </w:r>
      <w:r w:rsidRPr="00796736">
        <w:rPr>
          <w:rFonts w:ascii="Times New Roman" w:eastAsia="Times New Roman" w:hAnsi="Times New Roman" w:cs="Times New Roman"/>
          <w:i/>
          <w:iCs/>
          <w:sz w:val="24"/>
          <w:szCs w:val="24"/>
          <w:lang w:eastAsia="da-DK"/>
        </w:rPr>
        <w:t>2. pkt.,</w:t>
      </w:r>
      <w:r w:rsidRPr="00796736">
        <w:rPr>
          <w:rFonts w:ascii="Times New Roman" w:eastAsia="Times New Roman" w:hAnsi="Times New Roman" w:cs="Times New Roman"/>
          <w:sz w:val="24"/>
          <w:szCs w:val="24"/>
          <w:lang w:eastAsia="da-DK"/>
        </w:rPr>
        <w:t xml:space="preserve"> at 1. pkt. ikke finder anvendelse for videregivelser af oplysninger </w:t>
      </w:r>
      <w:r>
        <w:rPr>
          <w:rFonts w:ascii="Times New Roman" w:eastAsia="Times New Roman" w:hAnsi="Times New Roman" w:cs="Times New Roman"/>
          <w:sz w:val="24"/>
          <w:szCs w:val="24"/>
          <w:lang w:eastAsia="da-DK"/>
        </w:rPr>
        <w:t>til retshåndhævende myndigheder</w:t>
      </w:r>
      <w:r w:rsidRPr="00796736">
        <w:rPr>
          <w:rFonts w:ascii="Times New Roman" w:eastAsia="Times New Roman" w:hAnsi="Times New Roman" w:cs="Times New Roman"/>
          <w:sz w:val="24"/>
          <w:szCs w:val="24"/>
          <w:lang w:eastAsia="da-DK"/>
        </w:rPr>
        <w:t xml:space="preserve">. </w:t>
      </w:r>
    </w:p>
    <w:p w14:paraId="45365927" w14:textId="77777777" w:rsidR="0050440D" w:rsidRPr="00796736" w:rsidRDefault="0050440D" w:rsidP="00A802A5">
      <w:pPr>
        <w:spacing w:line="360" w:lineRule="auto"/>
        <w:rPr>
          <w:rFonts w:ascii="Times New Roman" w:eastAsia="Times New Roman" w:hAnsi="Times New Roman" w:cs="Times New Roman"/>
          <w:sz w:val="24"/>
          <w:szCs w:val="24"/>
          <w:lang w:eastAsia="da-DK"/>
        </w:rPr>
      </w:pPr>
    </w:p>
    <w:p w14:paraId="7C4D7E9B" w14:textId="77777777" w:rsidR="00437ED9" w:rsidRPr="00796736" w:rsidRDefault="00437ED9" w:rsidP="00437ED9">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 foreslåede bestemmelse vil indebære, at Hvidvasksekretariatets videregivelse af oplysninger til</w:t>
      </w:r>
      <w:r>
        <w:rPr>
          <w:rFonts w:ascii="Times New Roman" w:eastAsia="Times New Roman" w:hAnsi="Times New Roman" w:cs="Times New Roman"/>
          <w:sz w:val="24"/>
          <w:szCs w:val="24"/>
          <w:lang w:eastAsia="da-DK"/>
        </w:rPr>
        <w:t xml:space="preserve"> bl.a.</w:t>
      </w:r>
      <w:r w:rsidRPr="00796736">
        <w:rPr>
          <w:rFonts w:ascii="Times New Roman" w:eastAsia="Times New Roman" w:hAnsi="Times New Roman" w:cs="Times New Roman"/>
          <w:sz w:val="24"/>
          <w:szCs w:val="24"/>
          <w:lang w:eastAsia="da-DK"/>
        </w:rPr>
        <w:t xml:space="preserve"> politiet, PET</w:t>
      </w:r>
      <w:r>
        <w:rPr>
          <w:rFonts w:ascii="Times New Roman" w:eastAsia="Times New Roman" w:hAnsi="Times New Roman" w:cs="Times New Roman"/>
          <w:sz w:val="24"/>
          <w:szCs w:val="24"/>
          <w:lang w:eastAsia="da-DK"/>
        </w:rPr>
        <w:t xml:space="preserve"> og</w:t>
      </w:r>
      <w:r w:rsidRPr="00796736">
        <w:rPr>
          <w:rFonts w:ascii="Times New Roman" w:eastAsia="Times New Roman" w:hAnsi="Times New Roman" w:cs="Times New Roman"/>
          <w:sz w:val="24"/>
          <w:szCs w:val="24"/>
          <w:lang w:eastAsia="da-DK"/>
        </w:rPr>
        <w:t>, anklagemyndigheden med henblik på efterforskning, forebyggelse eller retsforfølgning af strafbare forhold, ikke er omfattet af bestemmelsen.</w:t>
      </w:r>
      <w:r>
        <w:rPr>
          <w:rFonts w:ascii="Times New Roman" w:eastAsia="Times New Roman" w:hAnsi="Times New Roman" w:cs="Times New Roman"/>
          <w:sz w:val="24"/>
          <w:szCs w:val="24"/>
          <w:lang w:eastAsia="da-DK"/>
        </w:rPr>
        <w:t xml:space="preserve"> Hvidvasksekretariatet vil således ikke skulle beskytte identiteten på den underretningspligtige ved videreformidling af en underretning til politiet. </w:t>
      </w:r>
    </w:p>
    <w:p w14:paraId="46B56A4B" w14:textId="77777777" w:rsidR="00F264FD" w:rsidRPr="00796736" w:rsidRDefault="00F264FD" w:rsidP="00A802A5">
      <w:pPr>
        <w:spacing w:line="360" w:lineRule="auto"/>
        <w:rPr>
          <w:rFonts w:ascii="Times New Roman" w:eastAsia="Times New Roman" w:hAnsi="Times New Roman" w:cs="Times New Roman"/>
          <w:sz w:val="24"/>
          <w:szCs w:val="24"/>
          <w:lang w:eastAsia="da-DK"/>
        </w:rPr>
      </w:pPr>
    </w:p>
    <w:p w14:paraId="38BBA96C" w14:textId="77777777" w:rsidR="00F264FD" w:rsidRPr="00796736" w:rsidRDefault="00F264F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vil i overensstemmelse med hvidvaskdirektivets artikel 36, stk. 2, 2. pkt., ikke berøre gældende nationale strafferetsplejeregler.</w:t>
      </w:r>
    </w:p>
    <w:p w14:paraId="125F5679" w14:textId="77777777" w:rsidR="00F264FD" w:rsidRPr="00796736" w:rsidRDefault="00F264FD" w:rsidP="00A802A5">
      <w:pPr>
        <w:spacing w:line="360" w:lineRule="auto"/>
        <w:rPr>
          <w:rFonts w:ascii="Times New Roman" w:hAnsi="Times New Roman" w:cs="Times New Roman"/>
          <w:sz w:val="24"/>
          <w:szCs w:val="24"/>
        </w:rPr>
      </w:pPr>
    </w:p>
    <w:p w14:paraId="6E85294F" w14:textId="20370037" w:rsidR="00F264FD" w:rsidRPr="00796736" w:rsidRDefault="00F264FD" w:rsidP="00A802A5">
      <w:pPr>
        <w:spacing w:line="360" w:lineRule="auto"/>
        <w:jc w:val="left"/>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_Ref232596193 \r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30</w:t>
      </w:r>
      <w:r w:rsidR="00A55427" w:rsidRPr="00796736">
        <w:rPr>
          <w:rFonts w:ascii="Times New Roman" w:hAnsi="Times New Roman" w:cs="Times New Roman"/>
          <w:sz w:val="24"/>
          <w:szCs w:val="24"/>
        </w:rPr>
        <w:fldChar w:fldCharType="end"/>
      </w:r>
      <w:r w:rsidR="00A55427" w:rsidRPr="00796736">
        <w:rPr>
          <w:rFonts w:ascii="Times New Roman" w:hAnsi="Times New Roman" w:cs="Times New Roman"/>
          <w:sz w:val="24"/>
          <w:szCs w:val="24"/>
        </w:rPr>
        <w:t xml:space="preserve"> </w:t>
      </w:r>
      <w:r w:rsidRPr="00796736">
        <w:rPr>
          <w:rFonts w:ascii="Times New Roman" w:hAnsi="Times New Roman" w:cs="Times New Roman"/>
          <w:sz w:val="24"/>
          <w:szCs w:val="24"/>
        </w:rPr>
        <w:t>har til formål at gennemføre hvidvaskdirektivets artikel 36.</w:t>
      </w:r>
    </w:p>
    <w:p w14:paraId="058EB53D" w14:textId="77777777" w:rsidR="00F264FD" w:rsidRPr="00796736" w:rsidRDefault="00F264FD" w:rsidP="00A802A5">
      <w:pPr>
        <w:spacing w:line="360" w:lineRule="auto"/>
        <w:jc w:val="left"/>
        <w:rPr>
          <w:rFonts w:ascii="Times New Roman" w:hAnsi="Times New Roman" w:cs="Times New Roman"/>
          <w:sz w:val="24"/>
          <w:szCs w:val="24"/>
        </w:rPr>
      </w:pPr>
    </w:p>
    <w:p w14:paraId="0942D926" w14:textId="787D2FD2" w:rsidR="001819DC" w:rsidRPr="00796736" w:rsidRDefault="00F264FD" w:rsidP="00A802A5">
      <w:pPr>
        <w:spacing w:line="360" w:lineRule="auto"/>
        <w:jc w:val="left"/>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A55427" w:rsidRPr="00796736">
        <w:rPr>
          <w:rFonts w:ascii="Times New Roman" w:hAnsi="Times New Roman" w:cs="Times New Roman"/>
          <w:sz w:val="24"/>
          <w:szCs w:val="24"/>
        </w:rPr>
        <w:fldChar w:fldCharType="begin"/>
      </w:r>
      <w:r w:rsidR="00A55427" w:rsidRPr="00796736">
        <w:rPr>
          <w:rFonts w:ascii="Times New Roman" w:hAnsi="Times New Roman" w:cs="Times New Roman"/>
          <w:sz w:val="24"/>
          <w:szCs w:val="24"/>
        </w:rPr>
        <w:instrText xml:space="preserve"> REF _Ref232946272 \n \h </w:instrText>
      </w:r>
      <w:r w:rsidR="00967618" w:rsidRPr="00796736">
        <w:rPr>
          <w:rFonts w:ascii="Times New Roman" w:hAnsi="Times New Roman" w:cs="Times New Roman"/>
          <w:sz w:val="24"/>
          <w:szCs w:val="24"/>
        </w:rPr>
        <w:instrText xml:space="preserve"> \* MERGEFORMAT </w:instrText>
      </w:r>
      <w:r w:rsidR="00A55427" w:rsidRPr="00796736">
        <w:rPr>
          <w:rFonts w:ascii="Times New Roman" w:hAnsi="Times New Roman" w:cs="Times New Roman"/>
          <w:sz w:val="24"/>
          <w:szCs w:val="24"/>
        </w:rPr>
      </w:r>
      <w:r w:rsidR="00A5542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3.29</w:t>
      </w:r>
      <w:r w:rsidR="00A55427" w:rsidRPr="00796736">
        <w:rPr>
          <w:rFonts w:ascii="Times New Roman" w:hAnsi="Times New Roman" w:cs="Times New Roman"/>
          <w:sz w:val="24"/>
          <w:szCs w:val="24"/>
        </w:rPr>
        <w:fldChar w:fldCharType="end"/>
      </w:r>
      <w:r w:rsidR="00A55427"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68DFD917" w14:textId="77777777" w:rsidR="00D835F3" w:rsidRPr="00796736" w:rsidRDefault="00D835F3" w:rsidP="00A802A5">
      <w:pPr>
        <w:spacing w:line="360" w:lineRule="auto"/>
        <w:jc w:val="center"/>
        <w:rPr>
          <w:rFonts w:ascii="Times New Roman" w:hAnsi="Times New Roman" w:cs="Times New Roman"/>
          <w:i/>
          <w:iCs/>
          <w:sz w:val="24"/>
          <w:szCs w:val="24"/>
        </w:rPr>
      </w:pPr>
    </w:p>
    <w:p w14:paraId="6DEB0E09" w14:textId="2B2B317D" w:rsidR="00D835F3" w:rsidRPr="00796736" w:rsidRDefault="00D835F3" w:rsidP="00A802A5">
      <w:pPr>
        <w:pStyle w:val="Undertitel"/>
      </w:pPr>
      <w:bookmarkStart w:id="1946" w:name="_Toc232109363"/>
      <w:bookmarkStart w:id="1947" w:name="_Toc244879327"/>
      <w:bookmarkStart w:id="1948" w:name="_Toc244880852"/>
      <w:r w:rsidRPr="00796736">
        <w:t xml:space="preserve">Til </w:t>
      </w:r>
      <w:r w:rsidR="006719DB" w:rsidRPr="00796736">
        <w:fldChar w:fldCharType="begin"/>
      </w:r>
      <w:r w:rsidR="006719DB" w:rsidRPr="00796736">
        <w:instrText xml:space="preserve"> REF _Ref232596210 \r \h </w:instrText>
      </w:r>
      <w:r w:rsidR="00967618" w:rsidRPr="00796736">
        <w:instrText xml:space="preserve"> \* MERGEFORMAT </w:instrText>
      </w:r>
      <w:r w:rsidR="006719DB" w:rsidRPr="00796736">
        <w:fldChar w:fldCharType="separate"/>
      </w:r>
      <w:r w:rsidR="008F29E5">
        <w:t>§ 31</w:t>
      </w:r>
      <w:bookmarkEnd w:id="1947"/>
      <w:bookmarkEnd w:id="1948"/>
      <w:r w:rsidR="006719DB" w:rsidRPr="00796736">
        <w:fldChar w:fldCharType="end"/>
      </w:r>
      <w:r w:rsidR="006719DB" w:rsidRPr="00796736">
        <w:t xml:space="preserve"> </w:t>
      </w:r>
      <w:bookmarkEnd w:id="1946"/>
    </w:p>
    <w:p w14:paraId="1F7D9D4B" w14:textId="2F985505" w:rsidR="00D835F3" w:rsidRPr="00796736" w:rsidRDefault="00D835F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Efter hvidvasklovens § 29, stk. 3, har Hvidvasksekretariatet ansvaret for i samarbejde med andre myndigheder at udarbejde og opdatere den nationale risikovurdering på hvidvaskområdet med henblik på at identificere, vurdere, forstå og begrænse de aktuelle risici for hvidvask af penge. </w:t>
      </w:r>
    </w:p>
    <w:p w14:paraId="2706BFE0" w14:textId="76F2C3BE" w:rsidR="0050440D" w:rsidRPr="00796736" w:rsidRDefault="0050440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Der er efter gældende ret ikke nogen forpligtelse til at udarbejde eller udgive nationale risikovurderinger vedrørende terrorfinansiering. I praksis har PET siden 2016 udgivet nationale risikovurderinger af terrorfinansiering, hvoraf den seneste er udgivet i januar 2024.</w:t>
      </w:r>
    </w:p>
    <w:p w14:paraId="31081A04" w14:textId="77777777" w:rsidR="00D835F3" w:rsidRPr="00796736" w:rsidRDefault="00D835F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Der er i § 9 i cirkulære nr. 9752 af 26. september 2023 om Danmarks Finansielle Efterretningsenhed (FIU) (herefter FIU-cirkulæret) fastsat nærmere regler for Hvidvasksekretariatets udarbejdelse af den nationale risikovurdering. Derudover er der i cirkulærets § 10 fastsat regler om statistik til brug for den nationale risikovurdering.</w:t>
      </w:r>
    </w:p>
    <w:p w14:paraId="1EDAE824" w14:textId="71A109AA" w:rsidR="00D835F3" w:rsidRPr="00796736" w:rsidRDefault="00D835F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For en nærmere beskrivelse af gældende ret henvises til pkt. </w:t>
      </w:r>
      <w:r w:rsidR="00A55427" w:rsidRPr="00796736">
        <w:rPr>
          <w:rFonts w:ascii="Times New Roman" w:eastAsia="Calibri" w:hAnsi="Times New Roman" w:cs="Times New Roman"/>
          <w:iCs/>
          <w:sz w:val="24"/>
          <w:szCs w:val="24"/>
        </w:rPr>
        <w:fldChar w:fldCharType="begin"/>
      </w:r>
      <w:r w:rsidR="00A55427" w:rsidRPr="00796736">
        <w:rPr>
          <w:rFonts w:ascii="Times New Roman" w:eastAsia="Calibri" w:hAnsi="Times New Roman" w:cs="Times New Roman"/>
          <w:iCs/>
          <w:sz w:val="24"/>
          <w:szCs w:val="24"/>
        </w:rPr>
        <w:instrText xml:space="preserve"> REF _Ref232946286 \n \h </w:instrText>
      </w:r>
      <w:r w:rsidR="00967618" w:rsidRPr="00796736">
        <w:rPr>
          <w:rFonts w:ascii="Times New Roman" w:eastAsia="Calibri" w:hAnsi="Times New Roman" w:cs="Times New Roman"/>
          <w:iCs/>
          <w:sz w:val="24"/>
          <w:szCs w:val="24"/>
        </w:rPr>
        <w:instrText xml:space="preserve"> \* MERGEFORMAT </w:instrText>
      </w:r>
      <w:r w:rsidR="00A55427" w:rsidRPr="00796736">
        <w:rPr>
          <w:rFonts w:ascii="Times New Roman" w:eastAsia="Calibri" w:hAnsi="Times New Roman" w:cs="Times New Roman"/>
          <w:iCs/>
          <w:sz w:val="24"/>
          <w:szCs w:val="24"/>
        </w:rPr>
      </w:r>
      <w:r w:rsidR="00A5542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3.30.1</w:t>
      </w:r>
      <w:r w:rsidR="00A55427" w:rsidRPr="00796736">
        <w:rPr>
          <w:rFonts w:ascii="Times New Roman" w:eastAsia="Calibri" w:hAnsi="Times New Roman" w:cs="Times New Roman"/>
          <w:iCs/>
          <w:sz w:val="24"/>
          <w:szCs w:val="24"/>
        </w:rPr>
        <w:fldChar w:fldCharType="end"/>
      </w:r>
      <w:r w:rsidR="00A55427"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 xml:space="preserve">i lovforslagets almindelige bemærkninger.   </w:t>
      </w:r>
    </w:p>
    <w:p w14:paraId="4F087B01" w14:textId="7F3400C0" w:rsidR="00D835F3" w:rsidRPr="00796736" w:rsidRDefault="00D835F3" w:rsidP="00A802A5">
      <w:pPr>
        <w:spacing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iCs/>
          <w:sz w:val="24"/>
          <w:szCs w:val="24"/>
        </w:rPr>
        <w:t xml:space="preserve">Det foreslås i </w:t>
      </w:r>
      <w:r w:rsidR="00A55427" w:rsidRPr="00796736">
        <w:rPr>
          <w:rFonts w:ascii="Times New Roman" w:hAnsi="Times New Roman" w:cs="Times New Roman"/>
          <w:i/>
          <w:iCs/>
          <w:sz w:val="24"/>
          <w:szCs w:val="24"/>
        </w:rPr>
        <w:fldChar w:fldCharType="begin"/>
      </w:r>
      <w:r w:rsidR="00A55427" w:rsidRPr="00796736">
        <w:rPr>
          <w:rFonts w:ascii="Times New Roman" w:hAnsi="Times New Roman" w:cs="Times New Roman"/>
          <w:i/>
          <w:iCs/>
          <w:sz w:val="24"/>
          <w:szCs w:val="24"/>
        </w:rPr>
        <w:instrText xml:space="preserve"> REF _Ref232596210 \r \h  \* MERGEFORMAT </w:instrText>
      </w:r>
      <w:r w:rsidR="00A55427" w:rsidRPr="00796736">
        <w:rPr>
          <w:rFonts w:ascii="Times New Roman" w:hAnsi="Times New Roman" w:cs="Times New Roman"/>
          <w:i/>
          <w:iCs/>
          <w:sz w:val="24"/>
          <w:szCs w:val="24"/>
        </w:rPr>
      </w:r>
      <w:r w:rsidR="00A55427"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31</w:t>
      </w:r>
      <w:r w:rsidR="00A55427" w:rsidRPr="00796736">
        <w:rPr>
          <w:rFonts w:ascii="Times New Roman" w:hAnsi="Times New Roman" w:cs="Times New Roman"/>
          <w:i/>
          <w:iCs/>
          <w:sz w:val="24"/>
          <w:szCs w:val="24"/>
        </w:rPr>
        <w:fldChar w:fldCharType="end"/>
      </w:r>
      <w:r w:rsidRPr="00796736">
        <w:rPr>
          <w:rFonts w:ascii="Times New Roman" w:eastAsia="Calibri" w:hAnsi="Times New Roman" w:cs="Times New Roman"/>
          <w:i/>
          <w:sz w:val="24"/>
          <w:szCs w:val="24"/>
        </w:rPr>
        <w:t xml:space="preserve">, stk. 1, </w:t>
      </w:r>
      <w:r w:rsidR="0050440D" w:rsidRPr="00796736">
        <w:rPr>
          <w:rFonts w:ascii="Times New Roman" w:eastAsia="Calibri" w:hAnsi="Times New Roman" w:cs="Times New Roman"/>
          <w:iCs/>
          <w:sz w:val="24"/>
          <w:szCs w:val="24"/>
        </w:rPr>
        <w:t xml:space="preserve">at </w:t>
      </w:r>
      <w:r w:rsidR="0050440D" w:rsidRPr="00796736">
        <w:rPr>
          <w:rFonts w:ascii="Times New Roman" w:eastAsia="Times New Roman" w:hAnsi="Times New Roman" w:cs="Times New Roman"/>
          <w:sz w:val="24"/>
          <w:szCs w:val="24"/>
          <w:lang w:eastAsia="da-DK"/>
        </w:rPr>
        <w:t>Hvidvasksekretariatet og Politiets Efterretningstjeneste (PET) har ansvaret for under passende deltagelse af andre kompetente myndigheder og relevante interessenter at udarbejde, opdatere og offentliggøre nationale risikovurderinger med henblik på at identificere, vurdere, forstå og begrænse de risici for henholdsvis hvidvask af penge, finansiering af terrorisme og for manglende gennemførelse og omgåelse af målrettede finansielle sanktioner, der påvirker Danmark.</w:t>
      </w:r>
    </w:p>
    <w:p w14:paraId="1363AB9C" w14:textId="77777777" w:rsidR="00D835F3" w:rsidRPr="00796736" w:rsidRDefault="00D835F3" w:rsidP="00A802A5">
      <w:pPr>
        <w:spacing w:line="360" w:lineRule="auto"/>
        <w:rPr>
          <w:rFonts w:ascii="Times New Roman" w:eastAsia="Times New Roman" w:hAnsi="Times New Roman" w:cs="Times New Roman"/>
          <w:sz w:val="24"/>
          <w:szCs w:val="24"/>
          <w:lang w:eastAsia="da-DK"/>
        </w:rPr>
      </w:pPr>
    </w:p>
    <w:p w14:paraId="3C41686D" w14:textId="77777777" w:rsidR="0050440D" w:rsidRPr="00796736" w:rsidRDefault="0050440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 vil indebære, at Hvidvasksekretariatet ligesom efter gældende ret vil være den ansvarlige myndighed i forhold til udarbejdelsen af den nationale risikovurdering på hvidvaskområdet </w:t>
      </w:r>
      <w:r w:rsidRPr="00796736">
        <w:rPr>
          <w:rFonts w:ascii="Times New Roman" w:eastAsia="Calibri" w:hAnsi="Times New Roman" w:cs="Times New Roman"/>
          <w:sz w:val="24"/>
          <w:szCs w:val="24"/>
        </w:rPr>
        <w:t>de risici for manglende gennemførelse og omgåelse af målrettede finansielle sanktioner, der påvirker Danmark</w:t>
      </w:r>
      <w:r w:rsidRPr="00796736">
        <w:rPr>
          <w:rFonts w:ascii="Times New Roman" w:eastAsia="Times New Roman" w:hAnsi="Times New Roman" w:cs="Times New Roman"/>
          <w:sz w:val="24"/>
          <w:szCs w:val="24"/>
          <w:lang w:eastAsia="da-DK"/>
        </w:rPr>
        <w:t xml:space="preserve">. Der vil ligesom i dag ikke være tale om en udtømmende </w:t>
      </w:r>
      <w:r w:rsidRPr="00796736">
        <w:rPr>
          <w:rFonts w:ascii="Times New Roman" w:hAnsi="Times New Roman" w:cs="Times New Roman"/>
          <w:sz w:val="24"/>
          <w:szCs w:val="24"/>
        </w:rPr>
        <w:t>angivelse af Hvidvasksekretariatets opgaver.</w:t>
      </w:r>
      <w:r w:rsidRPr="00796736">
        <w:rPr>
          <w:rFonts w:ascii="Times New Roman" w:eastAsia="Times New Roman" w:hAnsi="Times New Roman" w:cs="Times New Roman"/>
          <w:sz w:val="24"/>
          <w:szCs w:val="24"/>
          <w:lang w:eastAsia="da-DK"/>
        </w:rPr>
        <w:t xml:space="preserve"> Det fremgår som noget nyt af den foreslåede bestemmelse, at risikovurderingen vil skulle udarbejdes under passende deltagelse af kompetente myndigheder og relevante interessenter. Efter den foreslåede bestemmelse vil Hvidvasksekretariatet skulle sikre en passende deltagelse af kompetente myndigheder og relevante interessenter, når de foretager den nationale risikovurdering. Dette kan bl.a. ske i regi af Hvidvaskforum eller andre tilsvarende fora. </w:t>
      </w:r>
    </w:p>
    <w:p w14:paraId="360AA5F3" w14:textId="77777777" w:rsidR="00D835F3" w:rsidRPr="00796736" w:rsidRDefault="00D835F3" w:rsidP="00A802A5">
      <w:pPr>
        <w:spacing w:line="360" w:lineRule="auto"/>
        <w:rPr>
          <w:rFonts w:ascii="Times New Roman" w:eastAsia="Times New Roman" w:hAnsi="Times New Roman" w:cs="Times New Roman"/>
          <w:sz w:val="24"/>
          <w:szCs w:val="24"/>
          <w:lang w:eastAsia="da-DK"/>
        </w:rPr>
      </w:pPr>
    </w:p>
    <w:p w14:paraId="518D3DF5" w14:textId="77777777" w:rsidR="00D835F3" w:rsidRDefault="00D835F3" w:rsidP="00A802A5">
      <w:pPr>
        <w:spacing w:line="360" w:lineRule="auto"/>
        <w:rPr>
          <w:rFonts w:ascii="Times New Roman" w:eastAsia="Calibri" w:hAnsi="Times New Roman" w:cs="Times New Roman"/>
          <w:sz w:val="24"/>
          <w:szCs w:val="24"/>
        </w:rPr>
      </w:pPr>
      <w:r w:rsidRPr="00796736">
        <w:rPr>
          <w:rFonts w:ascii="Times New Roman" w:eastAsia="Times New Roman" w:hAnsi="Times New Roman" w:cs="Times New Roman"/>
          <w:sz w:val="24"/>
          <w:szCs w:val="24"/>
          <w:lang w:eastAsia="da-DK"/>
        </w:rPr>
        <w:t xml:space="preserve">Det foreslås endvidere, at </w:t>
      </w:r>
      <w:r w:rsidRPr="00796736">
        <w:rPr>
          <w:rFonts w:ascii="Times New Roman" w:eastAsia="Calibri" w:hAnsi="Times New Roman" w:cs="Times New Roman"/>
          <w:sz w:val="24"/>
          <w:szCs w:val="24"/>
        </w:rPr>
        <w:t>PET ligesom i dag forestår risikovurderingen for så vidt angår finansiering af terrorisme og de risici for manglende gennemførelse og omgåelse af målrettede finansielle sanktioner, der påvirker Danmark.</w:t>
      </w:r>
    </w:p>
    <w:p w14:paraId="6C70CB12" w14:textId="77777777" w:rsidR="006039CB" w:rsidRDefault="006039CB" w:rsidP="00A802A5">
      <w:pPr>
        <w:spacing w:line="360" w:lineRule="auto"/>
        <w:rPr>
          <w:rFonts w:ascii="Times New Roman" w:eastAsia="Calibri" w:hAnsi="Times New Roman" w:cs="Times New Roman"/>
          <w:sz w:val="24"/>
          <w:szCs w:val="24"/>
        </w:rPr>
      </w:pPr>
    </w:p>
    <w:p w14:paraId="2391F987" w14:textId="6AC016F1" w:rsidR="006039CB" w:rsidRDefault="006039CB" w:rsidP="00A802A5">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Det forudsættes således, at myndighederne udarbejder hver deres risikovurdering efter reglerne i den foreslåede bestemmelse.</w:t>
      </w:r>
    </w:p>
    <w:p w14:paraId="5C3E18F8" w14:textId="77777777" w:rsidR="00EE6D69" w:rsidRPr="00796736" w:rsidRDefault="00EE6D69" w:rsidP="00A802A5">
      <w:pPr>
        <w:spacing w:line="360" w:lineRule="auto"/>
        <w:rPr>
          <w:rFonts w:ascii="Times New Roman" w:eastAsia="Times New Roman" w:hAnsi="Times New Roman" w:cs="Times New Roman"/>
          <w:sz w:val="24"/>
          <w:szCs w:val="24"/>
          <w:lang w:eastAsia="da-DK"/>
        </w:rPr>
      </w:pPr>
    </w:p>
    <w:p w14:paraId="02D5F603" w14:textId="77777777" w:rsidR="00295FEB" w:rsidRPr="00796736" w:rsidRDefault="00295FEB" w:rsidP="00295FEB">
      <w:pPr>
        <w:spacing w:after="240" w:line="360" w:lineRule="auto"/>
        <w:rPr>
          <w:rFonts w:ascii="Times New Roman" w:eastAsia="Calibri" w:hAnsi="Times New Roman" w:cs="Times New Roman"/>
          <w:iCs/>
          <w:sz w:val="24"/>
          <w:szCs w:val="24"/>
        </w:rPr>
      </w:pPr>
      <w:r w:rsidRPr="00796736">
        <w:rPr>
          <w:rFonts w:ascii="Times New Roman" w:eastAsia="Times New Roman" w:hAnsi="Times New Roman" w:cs="Times New Roman"/>
          <w:sz w:val="24"/>
          <w:szCs w:val="24"/>
          <w:lang w:eastAsia="da-DK"/>
        </w:rPr>
        <w:t xml:space="preserve">De nationale risikovurderinger vil for det </w:t>
      </w:r>
      <w:r w:rsidRPr="00796736">
        <w:rPr>
          <w:rFonts w:ascii="Times New Roman" w:eastAsia="Calibri" w:hAnsi="Times New Roman" w:cs="Times New Roman"/>
          <w:iCs/>
          <w:sz w:val="24"/>
          <w:szCs w:val="24"/>
        </w:rPr>
        <w:t xml:space="preserve">første skulle anvendes til at forbedre den danske ordning for bekæmpelse af hvidvask, </w:t>
      </w:r>
      <w:r>
        <w:rPr>
          <w:rFonts w:ascii="Times New Roman" w:eastAsia="Calibri" w:hAnsi="Times New Roman" w:cs="Times New Roman"/>
          <w:iCs/>
          <w:sz w:val="24"/>
          <w:szCs w:val="24"/>
        </w:rPr>
        <w:t>terror</w:t>
      </w:r>
      <w:r w:rsidRPr="00796736">
        <w:rPr>
          <w:rFonts w:ascii="Times New Roman" w:eastAsia="Calibri" w:hAnsi="Times New Roman" w:cs="Times New Roman"/>
          <w:iCs/>
          <w:sz w:val="24"/>
          <w:szCs w:val="24"/>
        </w:rPr>
        <w:t xml:space="preserve">finansiering og den manglende gennemførelse eller omgåelse af målrettede finansielle sanktioner på henholdsvis hvidvaskområdet og området for terrorfinansiering, navnlig ved at identificere områder, hvor </w:t>
      </w:r>
      <w:r>
        <w:rPr>
          <w:rFonts w:ascii="Times New Roman" w:eastAsia="Calibri" w:hAnsi="Times New Roman" w:cs="Times New Roman"/>
          <w:iCs/>
          <w:sz w:val="24"/>
          <w:szCs w:val="24"/>
        </w:rPr>
        <w:t>virksomheder og personer omfattet af loven</w:t>
      </w:r>
      <w:r w:rsidRPr="00796736">
        <w:rPr>
          <w:rFonts w:ascii="Times New Roman" w:eastAsia="Calibri" w:hAnsi="Times New Roman" w:cs="Times New Roman"/>
          <w:iCs/>
          <w:sz w:val="24"/>
          <w:szCs w:val="24"/>
        </w:rPr>
        <w:t xml:space="preserve"> skal anvende skærpede foranstaltninger i overensstemmelse med en risikobaseret tilgang og, hvor det er relevant, præcisere, hvilke foranstaltninger der skal træffes, jf. hvidvaskdirektivets artikel 8, stk. 4, litra a. Risikovurderingerne vil således skulle identificere trusler og sårbarheder, som kan danne grundlag for en kvalificering af eventuelle relevante foranstaltninger. </w:t>
      </w:r>
    </w:p>
    <w:p w14:paraId="4EDF57FA" w14:textId="77777777" w:rsidR="000D164A" w:rsidRPr="00796736" w:rsidRDefault="000D164A" w:rsidP="000D164A">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Risikovurderingerne vil for det andet, hvor det er relevant, skulle anvendes til at identificere sektorer eller områder med lavere eller større risiko for hvidvask, </w:t>
      </w:r>
      <w:r>
        <w:rPr>
          <w:rFonts w:ascii="Times New Roman" w:eastAsia="Calibri" w:hAnsi="Times New Roman" w:cs="Times New Roman"/>
          <w:iCs/>
          <w:sz w:val="24"/>
          <w:szCs w:val="24"/>
        </w:rPr>
        <w:t>terror</w:t>
      </w:r>
      <w:r w:rsidRPr="00796736">
        <w:rPr>
          <w:rFonts w:ascii="Times New Roman" w:eastAsia="Calibri" w:hAnsi="Times New Roman" w:cs="Times New Roman"/>
          <w:iCs/>
          <w:sz w:val="24"/>
          <w:szCs w:val="24"/>
        </w:rPr>
        <w:t>finansiering eller manglende gennemførelse eller omgåelse af målrettede finansielle sanktioner, jf. hvidvaskdirektivets artikel 8, stk. 4, litra b.</w:t>
      </w:r>
    </w:p>
    <w:p w14:paraId="693EF5EC" w14:textId="77777777" w:rsidR="000D164A" w:rsidRPr="00796736" w:rsidRDefault="000D164A" w:rsidP="000D164A">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For det tredje vil risikovurdering</w:t>
      </w:r>
      <w:r>
        <w:rPr>
          <w:rFonts w:ascii="Times New Roman" w:eastAsia="Calibri" w:hAnsi="Times New Roman" w:cs="Times New Roman"/>
          <w:iCs/>
          <w:sz w:val="24"/>
          <w:szCs w:val="24"/>
        </w:rPr>
        <w:t>e</w:t>
      </w:r>
      <w:r w:rsidRPr="00796736">
        <w:rPr>
          <w:rFonts w:ascii="Times New Roman" w:eastAsia="Calibri" w:hAnsi="Times New Roman" w:cs="Times New Roman"/>
          <w:iCs/>
          <w:sz w:val="24"/>
          <w:szCs w:val="24"/>
        </w:rPr>
        <w:t xml:space="preserve">rne skulle anvendes til at vurdere risiciene for hvidvask og </w:t>
      </w:r>
      <w:r>
        <w:rPr>
          <w:rFonts w:ascii="Times New Roman" w:eastAsia="Calibri" w:hAnsi="Times New Roman" w:cs="Times New Roman"/>
          <w:iCs/>
          <w:sz w:val="24"/>
          <w:szCs w:val="24"/>
        </w:rPr>
        <w:t>terror</w:t>
      </w:r>
      <w:r w:rsidRPr="00796736">
        <w:rPr>
          <w:rFonts w:ascii="Times New Roman" w:eastAsia="Calibri" w:hAnsi="Times New Roman" w:cs="Times New Roman"/>
          <w:iCs/>
          <w:sz w:val="24"/>
          <w:szCs w:val="24"/>
        </w:rPr>
        <w:t>finansiering af terrorisme i forbindelse med hver type juridisk person, der er etableret på dansk område, og hver type juridisk arrangement, som reguleres i henhold til dansk ret, eller som administreres på dansk område, eller hvis trustforvaltere eller personer, der varetager tilsvarende stillinger i lignende juridiske arrangementer, er bosiddende i Danmark, og have en forståelse af eksponeringen for risici, der hidrører fra udenlandske juridiske personer og udenlandske juridiske arrangementer, jf. artikel 8, stk. 4, litra c.</w:t>
      </w:r>
    </w:p>
    <w:p w14:paraId="279F00D1" w14:textId="77777777" w:rsidR="00D835F3" w:rsidRPr="00796736" w:rsidRDefault="00D835F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w:t>
      </w:r>
      <w:r w:rsidRPr="00796736">
        <w:rPr>
          <w:rFonts w:ascii="Times New Roman" w:eastAsia="Calibri" w:hAnsi="Times New Roman" w:cs="Times New Roman"/>
          <w:bCs/>
          <w:sz w:val="24"/>
          <w:szCs w:val="24"/>
        </w:rPr>
        <w:t>»</w:t>
      </w:r>
      <w:r w:rsidRPr="00796736">
        <w:rPr>
          <w:rFonts w:ascii="Times New Roman" w:eastAsia="Calibri" w:hAnsi="Times New Roman" w:cs="Times New Roman"/>
          <w:sz w:val="24"/>
          <w:szCs w:val="24"/>
        </w:rPr>
        <w:t>juridisk arrangement« forstås efter definitionen i hvidvaskforordningens artikel 2, nr. 32, en viljesbestemt trust eller et arrangement, som har en struktur eller funktion, der ligner en viljesbestemt trust, herunder fiducia, visse Treuhand-typer eller fideikommisser.</w:t>
      </w:r>
    </w:p>
    <w:p w14:paraId="19EF0A46" w14:textId="2276E4D9" w:rsidR="00D835F3" w:rsidRPr="00796736" w:rsidRDefault="00D835F3"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Risikovurdering</w:t>
      </w:r>
      <w:r w:rsidR="0050440D" w:rsidRPr="00796736">
        <w:rPr>
          <w:rFonts w:ascii="Times New Roman" w:eastAsia="Calibri" w:hAnsi="Times New Roman" w:cs="Times New Roman"/>
          <w:iCs/>
          <w:sz w:val="24"/>
          <w:szCs w:val="24"/>
        </w:rPr>
        <w:t>erne</w:t>
      </w:r>
      <w:r w:rsidRPr="00796736">
        <w:rPr>
          <w:rFonts w:ascii="Times New Roman" w:eastAsia="Calibri" w:hAnsi="Times New Roman" w:cs="Times New Roman"/>
          <w:iCs/>
          <w:sz w:val="24"/>
          <w:szCs w:val="24"/>
        </w:rPr>
        <w:t xml:space="preserve"> vil endvidere skulle anvendes til at træffe afgørelse om tildeling og prioritering af ressourcer til bekæmpelse af hvidvask af penge og finansiering af terrorisme samt manglende gennemførelse og omgåelse af målrettede finansielle sanktioner, jf. artikel 8, stk. 4, litra d, og til at sikre, at der vedtages passende bestemmelser for hver sektor eller hvert område i overensstemmelse med risiciene for hvidvask af penge og finansiering af terrorisme, jf. litra e. </w:t>
      </w:r>
    </w:p>
    <w:p w14:paraId="0269E9B0" w14:textId="77777777" w:rsidR="00D835F3" w:rsidRPr="00796736" w:rsidRDefault="00D835F3" w:rsidP="00A802A5">
      <w:pPr>
        <w:spacing w:line="360" w:lineRule="auto"/>
        <w:rPr>
          <w:rFonts w:ascii="Times New Roman" w:eastAsia="Calibri" w:hAnsi="Times New Roman" w:cs="Times New Roman"/>
          <w:iCs/>
          <w:sz w:val="24"/>
          <w:szCs w:val="24"/>
        </w:rPr>
      </w:pPr>
    </w:p>
    <w:p w14:paraId="12876DBC" w14:textId="77777777" w:rsidR="000F07CD" w:rsidRPr="00796736" w:rsidRDefault="000F07CD" w:rsidP="000F07CD">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Endelig vil risikovurderingerne skulle anvendes til omgående at stille passende oplysninger til rådighed for kompetente myndigheder</w:t>
      </w:r>
      <w:r>
        <w:rPr>
          <w:rFonts w:ascii="Times New Roman" w:eastAsia="Calibri" w:hAnsi="Times New Roman" w:cs="Times New Roman"/>
          <w:iCs/>
          <w:sz w:val="24"/>
          <w:szCs w:val="24"/>
        </w:rPr>
        <w:t>, tilsynsorganer</w:t>
      </w:r>
      <w:r w:rsidRPr="00796736">
        <w:rPr>
          <w:rFonts w:ascii="Times New Roman" w:eastAsia="Calibri" w:hAnsi="Times New Roman" w:cs="Times New Roman"/>
          <w:iCs/>
          <w:sz w:val="24"/>
          <w:szCs w:val="24"/>
        </w:rPr>
        <w:t xml:space="preserve"> og </w:t>
      </w:r>
      <w:r>
        <w:rPr>
          <w:rFonts w:ascii="Times New Roman" w:eastAsia="Calibri" w:hAnsi="Times New Roman" w:cs="Times New Roman"/>
          <w:iCs/>
          <w:sz w:val="24"/>
          <w:szCs w:val="24"/>
        </w:rPr>
        <w:t>virksomheder og personer omfattet af loven</w:t>
      </w:r>
      <w:r w:rsidRPr="00796736">
        <w:rPr>
          <w:rFonts w:ascii="Times New Roman" w:eastAsia="Calibri" w:hAnsi="Times New Roman" w:cs="Times New Roman"/>
          <w:iCs/>
          <w:sz w:val="24"/>
          <w:szCs w:val="24"/>
        </w:rPr>
        <w:t xml:space="preserve"> for at lette gennemførelsen af deres egne vurderinger af risiciene for hvidvask af penge og finansiering af terrorisme samt vurderingen af risiciene for manglende gennemførelse og omgåelse af målrettede finansielle sanktioner, jf. hvidvaskforordningens artikel 10 risikovurdering på virksomhedsplan, jf. artikel 8, stk. 4, litra f. Dette vil indebære, at Hvidvasksekretariatet indenfor rammerne af deres beføjelser efter en konkret vurdering vil kunne give kompetente myndigheder</w:t>
      </w:r>
      <w:r>
        <w:rPr>
          <w:rFonts w:ascii="Times New Roman" w:eastAsia="Calibri" w:hAnsi="Times New Roman" w:cs="Times New Roman"/>
          <w:iCs/>
          <w:sz w:val="24"/>
          <w:szCs w:val="24"/>
        </w:rPr>
        <w:t>, tilsynsorganer</w:t>
      </w:r>
      <w:r w:rsidRPr="00796736">
        <w:rPr>
          <w:rFonts w:ascii="Times New Roman" w:eastAsia="Calibri" w:hAnsi="Times New Roman" w:cs="Times New Roman"/>
          <w:iCs/>
          <w:sz w:val="24"/>
          <w:szCs w:val="24"/>
        </w:rPr>
        <w:t xml:space="preserve"> eller </w:t>
      </w:r>
      <w:r>
        <w:rPr>
          <w:rFonts w:ascii="Times New Roman" w:eastAsia="Calibri" w:hAnsi="Times New Roman" w:cs="Times New Roman"/>
          <w:iCs/>
          <w:sz w:val="24"/>
          <w:szCs w:val="24"/>
        </w:rPr>
        <w:t>virksomheder og personer</w:t>
      </w:r>
      <w:r w:rsidRPr="00796736">
        <w:rPr>
          <w:rFonts w:ascii="Times New Roman" w:eastAsia="Calibri" w:hAnsi="Times New Roman" w:cs="Times New Roman"/>
          <w:iCs/>
          <w:sz w:val="24"/>
          <w:szCs w:val="24"/>
        </w:rPr>
        <w:t xml:space="preserve"> yderligere oplysninger end den offentliggjorte risikovurdering.</w:t>
      </w:r>
    </w:p>
    <w:p w14:paraId="32562BCC" w14:textId="77777777" w:rsidR="00D835F3" w:rsidRPr="00796736" w:rsidRDefault="00D835F3" w:rsidP="00A802A5">
      <w:pPr>
        <w:spacing w:line="360" w:lineRule="auto"/>
        <w:rPr>
          <w:rFonts w:ascii="Times New Roman" w:eastAsia="Times New Roman" w:hAnsi="Times New Roman" w:cs="Times New Roman"/>
          <w:sz w:val="24"/>
          <w:szCs w:val="24"/>
          <w:lang w:eastAsia="da-DK"/>
        </w:rPr>
      </w:pPr>
    </w:p>
    <w:p w14:paraId="1DB4725C" w14:textId="77777777" w:rsidR="0050440D" w:rsidRPr="00796736" w:rsidRDefault="0050440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Hvidvasksekretariatet og PET forudsættes til brug for udarbejdelsen af de nationale risikovurderinger at tage hensyn til resultaterne i den rapport, som Europa-Kommissionen senest den 10. juli 2028 udarbejder, og som derefter ajourføres hvert fjerde år, med en vurdering af de risici for hvidvask af penge og finansiering af terrorisme og for manglende gennemførelse og omgåelse af målrettede finansielle sanktioner, der påvirker det indre marked og som vedrører grænseoverskridende aktiviteter. </w:t>
      </w:r>
    </w:p>
    <w:p w14:paraId="2E93F3DD" w14:textId="77777777" w:rsidR="0050440D" w:rsidRPr="00796736" w:rsidRDefault="0050440D" w:rsidP="00A802A5">
      <w:pPr>
        <w:spacing w:line="360" w:lineRule="auto"/>
        <w:rPr>
          <w:rFonts w:ascii="Times New Roman" w:eastAsia="Times New Roman" w:hAnsi="Times New Roman" w:cs="Times New Roman"/>
          <w:sz w:val="24"/>
          <w:szCs w:val="24"/>
          <w:lang w:eastAsia="da-DK"/>
        </w:rPr>
      </w:pPr>
    </w:p>
    <w:p w14:paraId="7CFF20DA" w14:textId="77777777" w:rsidR="0050440D" w:rsidRPr="00796736" w:rsidRDefault="0050440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Hvidvasksekretariatet og PET forudsættes endvidere i risikovurderingerne at beskrive den institutionelle struktur og overordnede procedurer i Danmark for bekæmpelse af hvidvask af penge og finansiering af terrorisme, dvs. bl.a. beskrive politiets, Hvidvasksekretariatets, PET’s, anklagemyndighedens og skattemyndighedernes opgaver, mekanismer til samarbejde med modparter i EU eller i tredjelande, samt de tildelte menneskelige og finansielle ressourcer, i det omfang der foreligger oplysninger herom. </w:t>
      </w:r>
    </w:p>
    <w:p w14:paraId="629C348B" w14:textId="77777777" w:rsidR="0050440D" w:rsidRPr="00796736" w:rsidRDefault="0050440D" w:rsidP="00A802A5">
      <w:pPr>
        <w:spacing w:line="360" w:lineRule="auto"/>
        <w:rPr>
          <w:rFonts w:ascii="Times New Roman" w:eastAsia="Times New Roman" w:hAnsi="Times New Roman" w:cs="Times New Roman"/>
          <w:sz w:val="24"/>
          <w:szCs w:val="24"/>
          <w:lang w:eastAsia="da-DK"/>
        </w:rPr>
      </w:pPr>
    </w:p>
    <w:p w14:paraId="1D98A153" w14:textId="77777777" w:rsidR="0050440D" w:rsidRPr="00796736" w:rsidRDefault="0050440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forudsættes, at resultaterne af risikovurderingerne på samme måde som i dag stilles til rådighed for de forpligtede enheder i tilstrækkelig god tid, således at de kan identificere, forstå, håndtere og afbøde deres egne risici. </w:t>
      </w:r>
    </w:p>
    <w:p w14:paraId="0371A50E" w14:textId="77777777" w:rsidR="0050440D" w:rsidRPr="00796736" w:rsidRDefault="0050440D"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 xml:space="preserve">Det forudsættes derudover, at </w:t>
      </w:r>
      <w:r w:rsidRPr="00796736">
        <w:rPr>
          <w:rFonts w:ascii="Times New Roman" w:hAnsi="Times New Roman" w:cs="Times New Roman"/>
          <w:sz w:val="24"/>
          <w:szCs w:val="24"/>
        </w:rPr>
        <w:t xml:space="preserve">Hvidvasksekretariatet stiller resultaterne af de nationale risikovurderinger, herunder med ajourføringer og revisioner, til rådighed for Kommissionen, AMLA og de øvrige medlemsstater. Hvidvasksekretariatet vil, hvis det vurderes hensigtsmæssigt, kunne give yderligere relevante oplysninger til den medlemsstat, der foretager den nationale risikovurdering. </w:t>
      </w:r>
      <w:r w:rsidRPr="00796736">
        <w:rPr>
          <w:rFonts w:ascii="Times New Roman" w:eastAsia="Calibri" w:hAnsi="Times New Roman" w:cs="Times New Roman"/>
          <w:iCs/>
          <w:sz w:val="24"/>
          <w:szCs w:val="24"/>
        </w:rPr>
        <w:t>Det forudsættes herudover, at risikovurderingerne ledsages af et resumé, der offentliggøres. Resuméet må ikke indeholde klassificerede oplysninger</w:t>
      </w:r>
      <w:r w:rsidRPr="00796736">
        <w:rPr>
          <w:rFonts w:ascii="Times New Roman" w:hAnsi="Times New Roman" w:cs="Times New Roman"/>
          <w:sz w:val="24"/>
          <w:szCs w:val="24"/>
        </w:rPr>
        <w:t>. Ethvert dokument, der formidles eller offentliggøres i forbindelse med, at Hvidvasksekretariatets stiller resultaterne af den nationale risikovurderinger eller resuméerne heraf til rådighed mv., må ikke indeholde oplysninger, der gør det muligt at identificere nogen fysisk person eller sætte navn på nogen juridisk person.</w:t>
      </w:r>
    </w:p>
    <w:p w14:paraId="39D5AA88" w14:textId="77777777" w:rsidR="0050440D" w:rsidRPr="00796736" w:rsidRDefault="0050440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Ovenstående elementer i risikovurderingen på hvidvaskområdet vil ligesom i dag blive nærmere udmøntet i FIU-cirkulæret </w:t>
      </w:r>
      <w:r w:rsidRPr="00796736">
        <w:rPr>
          <w:rFonts w:ascii="Times New Roman" w:eastAsia="Calibri" w:hAnsi="Times New Roman" w:cs="Times New Roman"/>
          <w:sz w:val="24"/>
          <w:szCs w:val="24"/>
        </w:rPr>
        <w:t>om Hvidvasksekretariatet</w:t>
      </w:r>
      <w:r w:rsidRPr="00796736">
        <w:rPr>
          <w:rFonts w:ascii="Times New Roman" w:eastAsia="Calibri" w:hAnsi="Times New Roman" w:cs="Times New Roman"/>
          <w:iCs/>
          <w:sz w:val="24"/>
          <w:szCs w:val="24"/>
        </w:rPr>
        <w:t xml:space="preserve">. </w:t>
      </w:r>
    </w:p>
    <w:p w14:paraId="5C566479" w14:textId="77777777" w:rsidR="0050440D" w:rsidRPr="00796736" w:rsidRDefault="0050440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2, </w:t>
      </w:r>
      <w:r w:rsidRPr="00796736">
        <w:rPr>
          <w:rFonts w:ascii="Times New Roman" w:eastAsia="Calibri" w:hAnsi="Times New Roman" w:cs="Times New Roman"/>
          <w:iCs/>
          <w:sz w:val="24"/>
          <w:szCs w:val="24"/>
        </w:rPr>
        <w:t>at r</w:t>
      </w:r>
      <w:r w:rsidRPr="00796736">
        <w:rPr>
          <w:rFonts w:ascii="Times New Roman" w:eastAsia="Times New Roman" w:hAnsi="Times New Roman" w:cs="Times New Roman"/>
          <w:sz w:val="24"/>
          <w:szCs w:val="24"/>
          <w:lang w:eastAsia="da-DK"/>
        </w:rPr>
        <w:t xml:space="preserve">isikovurderingerne ajourføres og revideres mindst hvert fjerde år.  </w:t>
      </w:r>
    </w:p>
    <w:p w14:paraId="7CDFFD01" w14:textId="77777777" w:rsidR="0050440D" w:rsidRPr="00796736" w:rsidRDefault="0050440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er ny og vil indebære, at Hvidvasksekretariatet og PET vil være forpligtet til at ajourføre og revidere risikovurderingerne mindst hvert 4. år. At risikovurderingerne som minimum skal ajourføres og revideres hvert fjerde år indebærer, at </w:t>
      </w:r>
      <w:r w:rsidRPr="00796736">
        <w:rPr>
          <w:rFonts w:ascii="Times New Roman" w:hAnsi="Times New Roman" w:cs="Times New Roman"/>
          <w:sz w:val="24"/>
          <w:szCs w:val="24"/>
        </w:rPr>
        <w:t>hvis Hvidvasksekretariatet og PET mener, at risikosituationen kræver det, kan de nationale risikovurderinger revideres hyppigere.</w:t>
      </w:r>
    </w:p>
    <w:p w14:paraId="431079F1" w14:textId="77777777" w:rsidR="00D835F3" w:rsidRPr="00796736" w:rsidRDefault="00D835F3"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 foreslåede bestemmelser i stk. 1 og 2 gennemfører direktivets artikel 8. </w:t>
      </w:r>
    </w:p>
    <w:p w14:paraId="463A6A69" w14:textId="77777777" w:rsidR="0050440D" w:rsidRPr="00796736" w:rsidRDefault="0050440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3,</w:t>
      </w:r>
      <w:r w:rsidRPr="00796736">
        <w:rPr>
          <w:rFonts w:ascii="Times New Roman" w:eastAsia="Calibri" w:hAnsi="Times New Roman" w:cs="Times New Roman"/>
          <w:iCs/>
          <w:sz w:val="24"/>
          <w:szCs w:val="24"/>
        </w:rPr>
        <w:t xml:space="preserve"> at </w:t>
      </w:r>
      <w:r w:rsidRPr="00796736">
        <w:rPr>
          <w:rFonts w:ascii="Times New Roman" w:eastAsia="Times New Roman" w:hAnsi="Times New Roman" w:cs="Times New Roman"/>
          <w:sz w:val="24"/>
          <w:szCs w:val="24"/>
          <w:lang w:eastAsia="da-DK"/>
        </w:rPr>
        <w:t xml:space="preserve">Hvidvasksekretariatet i samarbejde med andre kompetente myndigheder og organer fører statistikker over forhold, som er relevante for effektiviteten af rammerne for bekæmpelse af hvidvask og finansiering af terrorisme, for at kontrollere, hvor effektive rammerne er.  </w:t>
      </w:r>
    </w:p>
    <w:p w14:paraId="5AE19255" w14:textId="77777777" w:rsidR="00D835F3" w:rsidRPr="00796736" w:rsidRDefault="00D835F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er ny og vil indebære, at Hvidvasksekretariatet i samarbejde med andre myndigheder vil skulle føre omfattende statistik over forhold, som er relevante for effektiviteten af rammerne for bekæmpelse af hvidvask og finansiering af terrorisme, for at kontrollere, hvor effektive rammerne er. </w:t>
      </w:r>
    </w:p>
    <w:p w14:paraId="1AB7AD62" w14:textId="77777777" w:rsidR="00D835F3" w:rsidRPr="00796736" w:rsidRDefault="00D835F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Bestemmelsen implementerer direktivets artikel 9 om statistik. </w:t>
      </w:r>
    </w:p>
    <w:p w14:paraId="28A01CC9" w14:textId="77777777" w:rsidR="00B23930" w:rsidRPr="00796736" w:rsidRDefault="00B23930"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Hvidvasksekretariatet er ikke i besiddelse af alle de oplysninger, som efter direktivet vil skulle omfattes af statistikken, og udarbejdelsen vil skulle ske i samarbejde med de myndigheder, som råder over de pågældende oplysninger mv. Myndigheder, som er i besiddelse af oplysninger opregnet i artikel 9, stk. 2, litra a og litra e-k, vil således skulle levere disse til Hvidvasksekretariatet. </w:t>
      </w:r>
    </w:p>
    <w:p w14:paraId="2F6D7CDE" w14:textId="77777777" w:rsidR="00D835F3" w:rsidRPr="00796736" w:rsidRDefault="00D835F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forudsættes, at der ved cirkulære ligesom i dag vil blive fastsat nærmere regler om, at den statistik, som skal føres efter den foreslåede bestemmelse omfatter de oplysninger, der fremgår af hvidvaskdirektivets artikel 9, stk. 2, litra a-k, herunder regler om, at myndigheder, som er i besiddelse af oplysninger opregnet i artikel 9, stk. 2, litra a og litra e-k, vil skulle levere disse til [Hvidvasksekretariatet].</w:t>
      </w:r>
    </w:p>
    <w:p w14:paraId="593FBC57" w14:textId="6F815E0B" w:rsidR="001B2F2B" w:rsidRPr="00796736" w:rsidRDefault="00D835F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forudsættes endvidere, at de indsamlede statistikker i overensstemmelse med direktivets artikel 9, stk. 3, vil blive indsendt til Europa-Kommissionen og at visse af statistikkerne vil blive indsendt til AMLA. For nærmere om kravene, som følger af direktivets artikel 9, henvises til de almindelige bemærkninger pkt. </w:t>
      </w:r>
      <w:r w:rsidR="00A55427" w:rsidRPr="00796736">
        <w:rPr>
          <w:rFonts w:ascii="Times New Roman" w:eastAsia="Calibri" w:hAnsi="Times New Roman" w:cs="Times New Roman"/>
          <w:iCs/>
          <w:sz w:val="24"/>
          <w:szCs w:val="24"/>
        </w:rPr>
        <w:fldChar w:fldCharType="begin"/>
      </w:r>
      <w:r w:rsidR="00A55427" w:rsidRPr="00796736">
        <w:rPr>
          <w:rFonts w:ascii="Times New Roman" w:eastAsia="Calibri" w:hAnsi="Times New Roman" w:cs="Times New Roman"/>
          <w:iCs/>
          <w:sz w:val="24"/>
          <w:szCs w:val="24"/>
        </w:rPr>
        <w:instrText xml:space="preserve"> REF _Ref232946329 \n \h </w:instrText>
      </w:r>
      <w:r w:rsidR="00967618" w:rsidRPr="00796736">
        <w:rPr>
          <w:rFonts w:ascii="Times New Roman" w:eastAsia="Calibri" w:hAnsi="Times New Roman" w:cs="Times New Roman"/>
          <w:iCs/>
          <w:sz w:val="24"/>
          <w:szCs w:val="24"/>
        </w:rPr>
        <w:instrText xml:space="preserve"> \* MERGEFORMAT </w:instrText>
      </w:r>
      <w:r w:rsidR="00A55427" w:rsidRPr="00796736">
        <w:rPr>
          <w:rFonts w:ascii="Times New Roman" w:eastAsia="Calibri" w:hAnsi="Times New Roman" w:cs="Times New Roman"/>
          <w:iCs/>
          <w:sz w:val="24"/>
          <w:szCs w:val="24"/>
        </w:rPr>
      </w:r>
      <w:r w:rsidR="00A5542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3.30.2</w:t>
      </w:r>
      <w:r w:rsidR="00A55427"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w:t>
      </w:r>
    </w:p>
    <w:p w14:paraId="5BDE27C0" w14:textId="4C76B8B0" w:rsidR="00A50BAC" w:rsidRPr="00796736" w:rsidRDefault="009A5388" w:rsidP="00A802A5">
      <w:pPr>
        <w:pStyle w:val="Undertitel"/>
      </w:pPr>
      <w:bookmarkStart w:id="1949" w:name="_Toc232109364"/>
      <w:bookmarkStart w:id="1950" w:name="_Toc244879328"/>
      <w:bookmarkStart w:id="1951" w:name="_Toc244880853"/>
      <w:r w:rsidRPr="00796736">
        <w:t xml:space="preserve">Til </w:t>
      </w:r>
      <w:r w:rsidR="006719DB" w:rsidRPr="00796736">
        <w:fldChar w:fldCharType="begin"/>
      </w:r>
      <w:r w:rsidR="006719DB" w:rsidRPr="00796736">
        <w:instrText xml:space="preserve"> REF _Ref232596233 \r \h </w:instrText>
      </w:r>
      <w:r w:rsidR="00967618" w:rsidRPr="00796736">
        <w:instrText xml:space="preserve"> \* MERGEFORMAT </w:instrText>
      </w:r>
      <w:r w:rsidR="006719DB" w:rsidRPr="00796736">
        <w:fldChar w:fldCharType="separate"/>
      </w:r>
      <w:r w:rsidR="008F29E5">
        <w:t>§ 32</w:t>
      </w:r>
      <w:bookmarkEnd w:id="1950"/>
      <w:bookmarkEnd w:id="1951"/>
      <w:r w:rsidR="006719DB" w:rsidRPr="00796736">
        <w:fldChar w:fldCharType="end"/>
      </w:r>
      <w:r w:rsidRPr="00796736">
        <w:t xml:space="preserve"> </w:t>
      </w:r>
      <w:bookmarkEnd w:id="1949"/>
    </w:p>
    <w:p w14:paraId="310C78F1" w14:textId="77777777" w:rsidR="009F18E1" w:rsidRPr="00796736" w:rsidRDefault="009F18E1"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 xml:space="preserve">Efter hvidvasklovens § 30 a kan erhvervsministeren </w:t>
      </w:r>
      <w:r w:rsidRPr="00796736">
        <w:rPr>
          <w:rFonts w:ascii="Times New Roman" w:hAnsi="Times New Roman" w:cs="Times New Roman"/>
          <w:sz w:val="24"/>
          <w:szCs w:val="24"/>
        </w:rPr>
        <w:t xml:space="preserve">fastsætte nærmere regler om centrale automatiske mekanismer, som muliggør identifikation af alle fysiske eller juridiske personer, som har eller kontrollere betalingskonti og bankkonti, der identificeres ved IBAN som defineret i Europa-Parlamentets og Rådets forordning 260/2012/EU af 14. marts 2012 om tekniske og forretningsmæssige krav til kreditoverførsler og direkte debiteringer i euro og om ændring af forordning (EF) nr. 924/2009, samt deponeringsbokse, som indehaves af et kreditinstitut med hjemsted i Danmark. Ministeren kan herunder fastsætte nærmere regler om, at de centrale automatiske mekanismer kan føres i offentligt eller privat regi, samt hvilke oplysninger der skal være tilgængelige og søgbare gennem de centrale automatiske mekanismer. </w:t>
      </w:r>
    </w:p>
    <w:p w14:paraId="468877CA" w14:textId="77777777" w:rsidR="009F18E1" w:rsidRDefault="009F18E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Bemyndigelsen er udnyttet ved udstedelse af bekendtgørelse nr. 1114 af 25. august 2023 om en central automatisk mekanisme for oplysninger om betalingskonti, bankkonti og deponeringsbokse.</w:t>
      </w:r>
    </w:p>
    <w:p w14:paraId="39E6579E" w14:textId="62C959AC" w:rsidR="00A74B7C" w:rsidRPr="00796736" w:rsidRDefault="00A74B7C" w:rsidP="00A802A5">
      <w:pPr>
        <w:spacing w:after="240" w:line="360" w:lineRule="auto"/>
        <w:rPr>
          <w:rFonts w:ascii="Times New Roman" w:hAnsi="Times New Roman" w:cs="Times New Roman"/>
          <w:sz w:val="24"/>
          <w:szCs w:val="24"/>
        </w:rPr>
      </w:pPr>
      <w:r w:rsidRPr="00A74B7C">
        <w:rPr>
          <w:rFonts w:ascii="Times New Roman" w:hAnsi="Times New Roman" w:cs="Times New Roman"/>
          <w:sz w:val="24"/>
          <w:szCs w:val="24"/>
        </w:rPr>
        <w:t xml:space="preserve">Den foreslåede </w:t>
      </w:r>
      <w:r w:rsidRPr="006C2232">
        <w:rPr>
          <w:rFonts w:ascii="Times New Roman" w:hAnsi="Times New Roman" w:cs="Times New Roman"/>
          <w:sz w:val="24"/>
          <w:szCs w:val="24"/>
        </w:rPr>
        <w:t xml:space="preserve">bestemmelse i </w:t>
      </w:r>
      <w:r w:rsidR="00913EFA" w:rsidRPr="006C2232">
        <w:rPr>
          <w:rFonts w:ascii="Times New Roman" w:hAnsi="Times New Roman" w:cs="Times New Roman"/>
          <w:sz w:val="24"/>
          <w:szCs w:val="24"/>
        </w:rPr>
        <w:fldChar w:fldCharType="begin"/>
      </w:r>
      <w:r w:rsidR="00913EFA" w:rsidRPr="00DF7610">
        <w:rPr>
          <w:rFonts w:ascii="Times New Roman" w:hAnsi="Times New Roman" w:cs="Times New Roman"/>
          <w:sz w:val="24"/>
          <w:szCs w:val="24"/>
        </w:rPr>
        <w:instrText xml:space="preserve"> REF _Ref232596233 \r \h  \* MERGEFORMAT </w:instrText>
      </w:r>
      <w:r w:rsidR="00913EFA" w:rsidRPr="006C2232">
        <w:rPr>
          <w:rFonts w:ascii="Times New Roman" w:hAnsi="Times New Roman" w:cs="Times New Roman"/>
          <w:sz w:val="24"/>
          <w:szCs w:val="24"/>
        </w:rPr>
      </w:r>
      <w:r w:rsidR="00913EFA" w:rsidRPr="006C2232">
        <w:rPr>
          <w:rFonts w:ascii="Times New Roman" w:hAnsi="Times New Roman" w:cs="Times New Roman"/>
          <w:sz w:val="24"/>
          <w:szCs w:val="24"/>
        </w:rPr>
        <w:fldChar w:fldCharType="separate"/>
      </w:r>
      <w:r w:rsidR="008F29E5">
        <w:rPr>
          <w:rFonts w:ascii="Times New Roman" w:hAnsi="Times New Roman" w:cs="Times New Roman"/>
          <w:sz w:val="24"/>
          <w:szCs w:val="24"/>
        </w:rPr>
        <w:t>§ 32</w:t>
      </w:r>
      <w:r w:rsidR="00913EFA" w:rsidRPr="006C2232">
        <w:rPr>
          <w:rFonts w:ascii="Times New Roman" w:hAnsi="Times New Roman" w:cs="Times New Roman"/>
          <w:sz w:val="24"/>
          <w:szCs w:val="24"/>
        </w:rPr>
        <w:fldChar w:fldCharType="end"/>
      </w:r>
      <w:r w:rsidR="00913EFA" w:rsidRPr="006C2232">
        <w:rPr>
          <w:rFonts w:ascii="Times New Roman" w:hAnsi="Times New Roman" w:cs="Times New Roman"/>
          <w:sz w:val="24"/>
          <w:szCs w:val="24"/>
        </w:rPr>
        <w:t xml:space="preserve"> </w:t>
      </w:r>
      <w:r w:rsidR="002D42D8" w:rsidRPr="006C2232">
        <w:rPr>
          <w:rFonts w:ascii="Times New Roman" w:eastAsia="Calibri" w:hAnsi="Times New Roman" w:cs="Times New Roman"/>
          <w:iCs/>
          <w:sz w:val="24"/>
          <w:szCs w:val="24"/>
        </w:rPr>
        <w:t>gennemfører</w:t>
      </w:r>
      <w:r w:rsidR="002D42D8" w:rsidRPr="00796736">
        <w:rPr>
          <w:rFonts w:ascii="Times New Roman" w:eastAsia="Calibri" w:hAnsi="Times New Roman" w:cs="Times New Roman"/>
          <w:iCs/>
          <w:sz w:val="24"/>
          <w:szCs w:val="24"/>
        </w:rPr>
        <w:t xml:space="preserve"> artikel 16, stk. 1, i 6. hvidvaskdirektiv</w:t>
      </w:r>
      <w:r w:rsidR="002D42D8">
        <w:rPr>
          <w:rFonts w:ascii="Times New Roman" w:eastAsia="Calibri" w:hAnsi="Times New Roman" w:cs="Times New Roman"/>
          <w:iCs/>
          <w:sz w:val="24"/>
          <w:szCs w:val="24"/>
        </w:rPr>
        <w:t xml:space="preserve"> og</w:t>
      </w:r>
      <w:r w:rsidR="002D42D8" w:rsidRPr="00A74B7C">
        <w:rPr>
          <w:rFonts w:ascii="Times New Roman" w:hAnsi="Times New Roman" w:cs="Times New Roman"/>
          <w:sz w:val="24"/>
          <w:szCs w:val="24"/>
        </w:rPr>
        <w:t xml:space="preserve"> </w:t>
      </w:r>
      <w:r w:rsidRPr="00A74B7C">
        <w:rPr>
          <w:rFonts w:ascii="Times New Roman" w:hAnsi="Times New Roman" w:cs="Times New Roman"/>
          <w:sz w:val="24"/>
          <w:szCs w:val="24"/>
        </w:rPr>
        <w:t>viderefører de</w:t>
      </w:r>
      <w:r w:rsidR="002D42D8">
        <w:rPr>
          <w:rFonts w:ascii="Times New Roman" w:hAnsi="Times New Roman" w:cs="Times New Roman"/>
          <w:sz w:val="24"/>
          <w:szCs w:val="24"/>
        </w:rPr>
        <w:t>n</w:t>
      </w:r>
      <w:r w:rsidRPr="00A74B7C">
        <w:rPr>
          <w:rFonts w:ascii="Times New Roman" w:hAnsi="Times New Roman" w:cs="Times New Roman"/>
          <w:sz w:val="24"/>
          <w:szCs w:val="24"/>
        </w:rPr>
        <w:t xml:space="preserve"> gældende reg</w:t>
      </w:r>
      <w:r w:rsidR="002D42D8">
        <w:rPr>
          <w:rFonts w:ascii="Times New Roman" w:hAnsi="Times New Roman" w:cs="Times New Roman"/>
          <w:sz w:val="24"/>
          <w:szCs w:val="24"/>
        </w:rPr>
        <w:t>el</w:t>
      </w:r>
      <w:r w:rsidRPr="00A74B7C">
        <w:rPr>
          <w:rFonts w:ascii="Times New Roman" w:hAnsi="Times New Roman" w:cs="Times New Roman"/>
          <w:sz w:val="24"/>
          <w:szCs w:val="24"/>
        </w:rPr>
        <w:t xml:space="preserve"> i § 30</w:t>
      </w:r>
      <w:r>
        <w:rPr>
          <w:rFonts w:ascii="Times New Roman" w:hAnsi="Times New Roman" w:cs="Times New Roman"/>
          <w:sz w:val="24"/>
          <w:szCs w:val="24"/>
        </w:rPr>
        <w:t xml:space="preserve"> a </w:t>
      </w:r>
      <w:r w:rsidRPr="00A74B7C">
        <w:rPr>
          <w:rFonts w:ascii="Times New Roman" w:hAnsi="Times New Roman" w:cs="Times New Roman"/>
          <w:sz w:val="24"/>
          <w:szCs w:val="24"/>
        </w:rPr>
        <w:t>med en række materielle og redaktionelle ændringer. Ændringe</w:t>
      </w:r>
      <w:r w:rsidR="002D42D8">
        <w:rPr>
          <w:rFonts w:ascii="Times New Roman" w:hAnsi="Times New Roman" w:cs="Times New Roman"/>
          <w:sz w:val="24"/>
          <w:szCs w:val="24"/>
        </w:rPr>
        <w:t>r</w:t>
      </w:r>
      <w:r w:rsidRPr="00A74B7C">
        <w:rPr>
          <w:rFonts w:ascii="Times New Roman" w:hAnsi="Times New Roman" w:cs="Times New Roman"/>
          <w:sz w:val="24"/>
          <w:szCs w:val="24"/>
        </w:rPr>
        <w:t>n</w:t>
      </w:r>
      <w:r w:rsidR="002D42D8">
        <w:rPr>
          <w:rFonts w:ascii="Times New Roman" w:hAnsi="Times New Roman" w:cs="Times New Roman"/>
          <w:sz w:val="24"/>
          <w:szCs w:val="24"/>
        </w:rPr>
        <w:t>e</w:t>
      </w:r>
      <w:r w:rsidRPr="00A74B7C">
        <w:rPr>
          <w:rFonts w:ascii="Times New Roman" w:hAnsi="Times New Roman" w:cs="Times New Roman"/>
          <w:sz w:val="24"/>
          <w:szCs w:val="24"/>
        </w:rPr>
        <w:t xml:space="preserve"> har til formål at</w:t>
      </w:r>
      <w:r w:rsidR="002D42D8">
        <w:rPr>
          <w:rFonts w:ascii="Times New Roman" w:hAnsi="Times New Roman" w:cs="Times New Roman"/>
          <w:sz w:val="24"/>
          <w:szCs w:val="24"/>
        </w:rPr>
        <w:t xml:space="preserve"> fastlægge bemyndigelsen udvides, idet artikel 16, stk. 1, i 6. hvidvaskdirektiv, medfører, at yderligere oplysninger skal være tilgængelige, at flere virksomheder og personer omfattes af forpligtelsen, samt at oplysningerne skal være til rådighed for </w:t>
      </w:r>
      <w:r w:rsidR="00913EFA" w:rsidRPr="00796736">
        <w:rPr>
          <w:rFonts w:ascii="Times New Roman" w:hAnsi="Times New Roman" w:cs="Times New Roman"/>
          <w:sz w:val="24"/>
          <w:szCs w:val="24"/>
        </w:rPr>
        <w:t xml:space="preserve">Hvidvasksekretariatet, AMLA eller tilsynsmyndighedernes </w:t>
      </w:r>
      <w:r w:rsidR="00913EFA">
        <w:rPr>
          <w:rFonts w:ascii="Times New Roman" w:hAnsi="Times New Roman" w:cs="Times New Roman"/>
          <w:sz w:val="24"/>
          <w:szCs w:val="24"/>
        </w:rPr>
        <w:t xml:space="preserve">til brug for disses </w:t>
      </w:r>
      <w:r w:rsidR="00913EFA" w:rsidRPr="00796736">
        <w:rPr>
          <w:rFonts w:ascii="Times New Roman" w:hAnsi="Times New Roman" w:cs="Times New Roman"/>
          <w:sz w:val="24"/>
          <w:szCs w:val="24"/>
        </w:rPr>
        <w:t>opgavevaretagelse.</w:t>
      </w:r>
    </w:p>
    <w:p w14:paraId="4EC1DA56" w14:textId="05078BA9" w:rsidR="009970AA" w:rsidRDefault="009F18E1"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1</w:t>
      </w:r>
      <w:r w:rsidR="009970AA">
        <w:rPr>
          <w:rFonts w:ascii="Times New Roman" w:eastAsia="Calibri" w:hAnsi="Times New Roman" w:cs="Times New Roman"/>
          <w:i/>
          <w:sz w:val="24"/>
          <w:szCs w:val="24"/>
        </w:rPr>
        <w:t>, 1. pkt.</w:t>
      </w:r>
      <w:r w:rsidRPr="00796736">
        <w:rPr>
          <w:rFonts w:ascii="Times New Roman" w:eastAsia="Calibri" w:hAnsi="Times New Roman" w:cs="Times New Roman"/>
          <w:i/>
          <w:sz w:val="24"/>
          <w:szCs w:val="24"/>
        </w:rPr>
        <w:t>,</w:t>
      </w:r>
      <w:r w:rsidRPr="00796736">
        <w:rPr>
          <w:rFonts w:ascii="Times New Roman" w:eastAsia="Calibri" w:hAnsi="Times New Roman" w:cs="Times New Roman"/>
          <w:iCs/>
          <w:sz w:val="24"/>
          <w:szCs w:val="24"/>
        </w:rPr>
        <w:t xml:space="preserve"> at </w:t>
      </w:r>
      <w:r w:rsidR="009970AA">
        <w:rPr>
          <w:rFonts w:ascii="Times New Roman" w:hAnsi="Times New Roman" w:cs="Times New Roman"/>
          <w:sz w:val="24"/>
          <w:szCs w:val="24"/>
          <w:lang w:eastAsia="da-DK"/>
        </w:rPr>
        <w:t>s</w:t>
      </w:r>
      <w:r w:rsidR="009970AA" w:rsidRPr="00796736">
        <w:rPr>
          <w:rFonts w:ascii="Times New Roman" w:hAnsi="Times New Roman" w:cs="Times New Roman"/>
          <w:sz w:val="24"/>
          <w:szCs w:val="24"/>
          <w:lang w:eastAsia="da-DK"/>
        </w:rPr>
        <w:t xml:space="preserve">katte- og vækstministeren </w:t>
      </w:r>
      <w:r w:rsidR="009970AA" w:rsidRPr="00796736">
        <w:rPr>
          <w:rFonts w:ascii="Times New Roman" w:hAnsi="Times New Roman" w:cs="Times New Roman"/>
          <w:sz w:val="24"/>
          <w:szCs w:val="24"/>
        </w:rPr>
        <w:t>kan fastsætte nærmere regler om centrale automatiske mekanisme</w:t>
      </w:r>
      <w:r w:rsidR="009970AA">
        <w:rPr>
          <w:rFonts w:ascii="Times New Roman" w:hAnsi="Times New Roman" w:cs="Times New Roman"/>
          <w:sz w:val="24"/>
          <w:szCs w:val="24"/>
        </w:rPr>
        <w:t xml:space="preserve">r, </w:t>
      </w:r>
      <w:r w:rsidR="009970AA" w:rsidRPr="00DF7610">
        <w:rPr>
          <w:rFonts w:ascii="Times New Roman" w:hAnsi="Times New Roman" w:cs="Times New Roman"/>
          <w:sz w:val="24"/>
          <w:szCs w:val="24"/>
          <w:lang w:eastAsia="da-DK"/>
        </w:rPr>
        <w:t>som muliggør rettidig identifikation af alle fysiske og juridiske personer, som har eller kontrollerer betalingskonti eller bankkonti, der identificeres ved IBAN, herunder virtuelle IBAN-numre, værdipapirkonti, kryptoaktivkonti og deponeringsbokse</w:t>
      </w:r>
      <w:r w:rsidR="009970AA">
        <w:rPr>
          <w:rFonts w:ascii="Times New Roman" w:hAnsi="Times New Roman" w:cs="Times New Roman"/>
          <w:sz w:val="24"/>
          <w:szCs w:val="24"/>
          <w:lang w:eastAsia="da-DK"/>
        </w:rPr>
        <w:t>, som indehaves af et kredit- eller finansieringsinstitut med hjemsted i Danmark.</w:t>
      </w:r>
      <w:r w:rsidR="009970AA">
        <w:rPr>
          <w:rFonts w:ascii="Times New Roman" w:hAnsi="Times New Roman" w:cs="Times New Roman"/>
          <w:sz w:val="24"/>
          <w:szCs w:val="24"/>
        </w:rPr>
        <w:t xml:space="preserve"> </w:t>
      </w:r>
    </w:p>
    <w:p w14:paraId="084FABE8" w14:textId="77777777" w:rsidR="009970AA" w:rsidRPr="00796736" w:rsidRDefault="009970AA" w:rsidP="009970AA">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s</w:t>
      </w:r>
      <w:r w:rsidRPr="00796736">
        <w:rPr>
          <w:rFonts w:ascii="Times New Roman" w:hAnsi="Times New Roman" w:cs="Times New Roman"/>
          <w:sz w:val="24"/>
          <w:szCs w:val="24"/>
          <w:lang w:eastAsia="da-DK"/>
        </w:rPr>
        <w:t xml:space="preserve">katte- og vækstministeren </w:t>
      </w:r>
      <w:r>
        <w:rPr>
          <w:rFonts w:ascii="Times New Roman" w:eastAsia="Calibri" w:hAnsi="Times New Roman" w:cs="Times New Roman"/>
          <w:iCs/>
          <w:sz w:val="24"/>
          <w:szCs w:val="24"/>
        </w:rPr>
        <w:t>får muligheden for at fastsætte nærmere krav til d</w:t>
      </w:r>
      <w:r w:rsidRPr="00796736">
        <w:rPr>
          <w:rFonts w:ascii="Times New Roman" w:eastAsia="Calibri" w:hAnsi="Times New Roman" w:cs="Times New Roman"/>
          <w:iCs/>
          <w:sz w:val="24"/>
          <w:szCs w:val="24"/>
        </w:rPr>
        <w:t>en central</w:t>
      </w:r>
      <w:r>
        <w:rPr>
          <w:rFonts w:ascii="Times New Roman" w:eastAsia="Calibri" w:hAnsi="Times New Roman" w:cs="Times New Roman"/>
          <w:iCs/>
          <w:sz w:val="24"/>
          <w:szCs w:val="24"/>
        </w:rPr>
        <w:t>e</w:t>
      </w:r>
      <w:r w:rsidRPr="00796736">
        <w:rPr>
          <w:rFonts w:ascii="Times New Roman" w:eastAsia="Calibri" w:hAnsi="Times New Roman" w:cs="Times New Roman"/>
          <w:iCs/>
          <w:sz w:val="24"/>
          <w:szCs w:val="24"/>
        </w:rPr>
        <w:t xml:space="preserve"> automatisk mekanisme</w:t>
      </w:r>
      <w:r>
        <w:rPr>
          <w:rFonts w:ascii="Times New Roman" w:eastAsia="Calibri" w:hAnsi="Times New Roman" w:cs="Times New Roman"/>
          <w:iCs/>
          <w:sz w:val="24"/>
          <w:szCs w:val="24"/>
        </w:rPr>
        <w:t xml:space="preserve">, som kan være </w:t>
      </w:r>
      <w:r w:rsidRPr="00796736">
        <w:rPr>
          <w:rFonts w:ascii="Times New Roman" w:eastAsia="Calibri" w:hAnsi="Times New Roman" w:cs="Times New Roman"/>
          <w:iCs/>
          <w:sz w:val="24"/>
          <w:szCs w:val="24"/>
        </w:rPr>
        <w:t>et centralt register eller et centralt elektronisk system til dataudtræk</w:t>
      </w:r>
      <w:r>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Førelsen af centrale automatiske mekanismer kan være i form af et centralt register eller et centralt elektronisk system for dataudtræk og kan udvikles og føres af offentlige eller private aktører.</w:t>
      </w:r>
    </w:p>
    <w:p w14:paraId="27D7BED3" w14:textId="27A2DD40" w:rsidR="00B11BC3" w:rsidRPr="00B11BC3" w:rsidRDefault="00B11BC3" w:rsidP="00A802A5">
      <w:pPr>
        <w:spacing w:after="240" w:line="360" w:lineRule="auto"/>
        <w:rPr>
          <w:rFonts w:ascii="Times New Roman" w:eastAsia="Calibri" w:hAnsi="Times New Roman" w:cs="Times New Roman"/>
          <w:iCs/>
          <w:sz w:val="24"/>
          <w:szCs w:val="24"/>
        </w:rPr>
      </w:pPr>
      <w:r w:rsidRPr="00B11BC3">
        <w:rPr>
          <w:rFonts w:ascii="Times New Roman" w:eastAsia="Calibri" w:hAnsi="Times New Roman" w:cs="Times New Roman"/>
          <w:iCs/>
          <w:sz w:val="24"/>
          <w:szCs w:val="24"/>
        </w:rPr>
        <w:t xml:space="preserve">Den foreslåede bestemmelse indebærer, at der etableres en central automatisk mekanisme, hvor oplysningerne skal være tilgængelige og søgbare. </w:t>
      </w:r>
    </w:p>
    <w:p w14:paraId="120A764B" w14:textId="13DA858E" w:rsidR="00DC3B17" w:rsidRPr="00796736" w:rsidRDefault="00DC3B1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Oplysningerne skal være direkte tilgængelige på en hurtig og ufiltreret måde. Det betyder, at de relevante myndigheder skal have direkte og uhindret adgang til oplysningerne, som skal være tilgængelige i deres fulde og uredigerede form.</w:t>
      </w:r>
    </w:p>
    <w:p w14:paraId="6697DD80" w14:textId="28393CB7" w:rsidR="009970AA" w:rsidRDefault="00DC3B17"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w:t>
      </w:r>
      <w:r w:rsidR="009970AA">
        <w:rPr>
          <w:rFonts w:ascii="Times New Roman" w:eastAsia="Calibri" w:hAnsi="Times New Roman" w:cs="Times New Roman"/>
          <w:i/>
          <w:sz w:val="24"/>
          <w:szCs w:val="24"/>
        </w:rPr>
        <w:t>1</w:t>
      </w:r>
      <w:r w:rsidRPr="00796736">
        <w:rPr>
          <w:rFonts w:ascii="Times New Roman" w:eastAsia="Calibri" w:hAnsi="Times New Roman" w:cs="Times New Roman"/>
          <w:i/>
          <w:sz w:val="24"/>
          <w:szCs w:val="24"/>
        </w:rPr>
        <w:t xml:space="preserve">, </w:t>
      </w:r>
      <w:r w:rsidR="009970AA">
        <w:rPr>
          <w:rFonts w:ascii="Times New Roman" w:eastAsia="Calibri" w:hAnsi="Times New Roman" w:cs="Times New Roman"/>
          <w:i/>
          <w:sz w:val="24"/>
          <w:szCs w:val="24"/>
        </w:rPr>
        <w:t>2</w:t>
      </w:r>
      <w:r w:rsidRPr="00796736">
        <w:rPr>
          <w:rFonts w:ascii="Times New Roman" w:eastAsia="Calibri" w:hAnsi="Times New Roman" w:cs="Times New Roman"/>
          <w:i/>
          <w:sz w:val="24"/>
          <w:szCs w:val="24"/>
        </w:rPr>
        <w:t>. pkt</w:t>
      </w:r>
      <w:r w:rsidRPr="00796736">
        <w:rPr>
          <w:rFonts w:ascii="Times New Roman" w:eastAsia="Calibri" w:hAnsi="Times New Roman" w:cs="Times New Roman"/>
          <w:iCs/>
          <w:sz w:val="24"/>
          <w:szCs w:val="24"/>
        </w:rPr>
        <w:t>., at</w:t>
      </w:r>
      <w:r w:rsidRPr="00796736">
        <w:rPr>
          <w:rFonts w:ascii="Times New Roman" w:hAnsi="Times New Roman" w:cs="Times New Roman"/>
          <w:i/>
          <w:iCs/>
          <w:sz w:val="24"/>
          <w:szCs w:val="24"/>
          <w:lang w:eastAsia="da-DK"/>
        </w:rPr>
        <w:t xml:space="preserve"> </w:t>
      </w:r>
      <w:r w:rsidR="00134172">
        <w:rPr>
          <w:rFonts w:ascii="Times New Roman" w:hAnsi="Times New Roman" w:cs="Times New Roman"/>
          <w:sz w:val="24"/>
          <w:szCs w:val="24"/>
          <w:lang w:eastAsia="da-DK"/>
        </w:rPr>
        <w:t>ministeren</w:t>
      </w:r>
      <w:r w:rsidRPr="00796736">
        <w:rPr>
          <w:rFonts w:ascii="Times New Roman" w:hAnsi="Times New Roman" w:cs="Times New Roman"/>
          <w:sz w:val="24"/>
          <w:szCs w:val="24"/>
          <w:lang w:eastAsia="da-DK"/>
        </w:rPr>
        <w:t xml:space="preserve"> </w:t>
      </w:r>
      <w:r w:rsidR="009970AA" w:rsidRPr="004607D5">
        <w:rPr>
          <w:rFonts w:ascii="Times New Roman" w:hAnsi="Times New Roman" w:cs="Times New Roman"/>
          <w:sz w:val="24"/>
          <w:szCs w:val="24"/>
        </w:rPr>
        <w:t xml:space="preserve">herunder </w:t>
      </w:r>
      <w:r w:rsidR="00134172" w:rsidRPr="004607D5">
        <w:rPr>
          <w:rFonts w:ascii="Times New Roman" w:hAnsi="Times New Roman" w:cs="Times New Roman"/>
          <w:sz w:val="24"/>
          <w:szCs w:val="24"/>
        </w:rPr>
        <w:t xml:space="preserve">kan </w:t>
      </w:r>
      <w:r w:rsidR="009970AA" w:rsidRPr="004607D5">
        <w:rPr>
          <w:rFonts w:ascii="Times New Roman" w:hAnsi="Times New Roman" w:cs="Times New Roman"/>
          <w:sz w:val="24"/>
          <w:szCs w:val="24"/>
        </w:rPr>
        <w:t xml:space="preserve">fastsætte nærmere regler om, at de centrale automatiske mekanismer kan føres i offentligt eller privat regi, samt hvilke oplysninger der skal være tilgængelige og søgbare gennem </w:t>
      </w:r>
      <w:r w:rsidR="009970AA">
        <w:rPr>
          <w:rFonts w:ascii="Times New Roman" w:hAnsi="Times New Roman" w:cs="Times New Roman"/>
          <w:sz w:val="24"/>
          <w:szCs w:val="24"/>
        </w:rPr>
        <w:t>den</w:t>
      </w:r>
      <w:r w:rsidR="009970AA" w:rsidRPr="004607D5">
        <w:rPr>
          <w:rFonts w:ascii="Times New Roman" w:hAnsi="Times New Roman" w:cs="Times New Roman"/>
          <w:sz w:val="24"/>
          <w:szCs w:val="24"/>
        </w:rPr>
        <w:t xml:space="preserve"> centrale automatiske mekanisme.</w:t>
      </w:r>
    </w:p>
    <w:p w14:paraId="0B15AAB2" w14:textId="7D42F2AF" w:rsidR="00D23F1D" w:rsidRPr="00D23F1D" w:rsidRDefault="00D23F1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er hensigten, at der i en bekendtgørelse fastsættes nærmere regler om, hvilke oplysninger der skal gøres tilgængelige for Hvidvasksekretariatet, AMLA og nationale myndigheder med henblik på, at de kan opfylde deres forpligtelser. Dette forventes bl.a. at være relevant for tilsynsmyndighederne, politi- og skattemyndigheder.</w:t>
      </w:r>
      <w:r>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 xml:space="preserve">Det forudsættes, at </w:t>
      </w:r>
      <w:r>
        <w:rPr>
          <w:rFonts w:ascii="Times New Roman" w:eastAsia="Calibri" w:hAnsi="Times New Roman" w:cs="Times New Roman"/>
          <w:iCs/>
          <w:sz w:val="24"/>
          <w:szCs w:val="24"/>
        </w:rPr>
        <w:t>skatte- og vækstministeren</w:t>
      </w:r>
      <w:r w:rsidRPr="00796736">
        <w:rPr>
          <w:rFonts w:ascii="Times New Roman" w:eastAsia="Calibri" w:hAnsi="Times New Roman" w:cs="Times New Roman"/>
          <w:iCs/>
          <w:sz w:val="24"/>
          <w:szCs w:val="24"/>
        </w:rPr>
        <w:t xml:space="preserve"> med bemyndigelsen vil fastsætte regler om, hvilke oplysninger som er omfattet af indlæggelsespligten, herunder om oplysninger omfattet af hvidvaskdirektivets artikel 16, stk. 3, litra a-g.</w:t>
      </w:r>
    </w:p>
    <w:p w14:paraId="02898849" w14:textId="77777777" w:rsidR="00FA69C1" w:rsidRPr="00796736" w:rsidRDefault="004E6B2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eksempel på oplysninger, der efter artikel 16, stk. 3, i 6. hvidvaskdirektiv skal være tilgængelige i et sådant centralt register eller elektronisk system for dataudtræk, kan nævnes oplysninger om kundekontohavere og personer, der handler på en kundekontohavers vegne, herunder navn og øvrige identitetsoplysninger eller et individuelt identifikationsnummer samt datoer for beføjelsens begyndelse og eventuelle ophør. Det samme gælder oplysninger om kundekontohaveres reelle ejere, herunder navn og øvrige identitetsoplysninger eller individuelt identifikationsnummer samt datoer for, hvornår den pågældende blev og eventuelt ophørte med at være reel ejer. </w:t>
      </w:r>
    </w:p>
    <w:p w14:paraId="768CAE38" w14:textId="77777777" w:rsidR="00FA69C1" w:rsidRPr="00796736" w:rsidRDefault="00FA69C1" w:rsidP="00A802A5">
      <w:pPr>
        <w:spacing w:line="360" w:lineRule="auto"/>
        <w:rPr>
          <w:rFonts w:ascii="Times New Roman" w:hAnsi="Times New Roman" w:cs="Times New Roman"/>
          <w:sz w:val="24"/>
          <w:szCs w:val="24"/>
        </w:rPr>
      </w:pPr>
    </w:p>
    <w:p w14:paraId="6039CF29" w14:textId="77777777" w:rsidR="00FA69C1" w:rsidRPr="00796736" w:rsidRDefault="004E6B2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bankkonti og betalingskonti omfatter oplysningerne bl.a. IBAN-nummer eller anden entydig kontoidentifikator samt datoer for kontoens åbning og eventuelle lukning. </w:t>
      </w:r>
    </w:p>
    <w:p w14:paraId="6E83F045" w14:textId="77777777" w:rsidR="00FA69C1" w:rsidRPr="00796736" w:rsidRDefault="00FA69C1" w:rsidP="00A802A5">
      <w:pPr>
        <w:spacing w:line="360" w:lineRule="auto"/>
        <w:rPr>
          <w:rFonts w:ascii="Times New Roman" w:hAnsi="Times New Roman" w:cs="Times New Roman"/>
          <w:sz w:val="24"/>
          <w:szCs w:val="24"/>
        </w:rPr>
      </w:pPr>
    </w:p>
    <w:p w14:paraId="23C53BF6" w14:textId="77777777" w:rsidR="00FA69C1" w:rsidRPr="00796736" w:rsidRDefault="004E6B2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virtuelle IBAN-numre udstedt af kreditinstitutter eller finansieringsinstitutter omfatter oplysningerne det virtuelle IBAN-nummer, den entydige kontoidentifikator, som betalinger til det virtuelle IBAN-nummer automatisk omdirigeres til, samt datoer for kontoens åbning og lukning. </w:t>
      </w:r>
    </w:p>
    <w:p w14:paraId="114058E4" w14:textId="77777777" w:rsidR="00FA69C1" w:rsidRPr="00796736" w:rsidRDefault="00FA69C1" w:rsidP="00A802A5">
      <w:pPr>
        <w:spacing w:line="360" w:lineRule="auto"/>
        <w:rPr>
          <w:rFonts w:ascii="Times New Roman" w:hAnsi="Times New Roman" w:cs="Times New Roman"/>
          <w:sz w:val="24"/>
          <w:szCs w:val="24"/>
        </w:rPr>
      </w:pPr>
    </w:p>
    <w:p w14:paraId="259B93FB" w14:textId="77777777" w:rsidR="00FA69C1" w:rsidRPr="00796736" w:rsidRDefault="004E6B2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værdipapirkonti og kryptoaktivkonti omfatter oplysningerne den entydige kontoidentifikator samt datoer for kontoens åbning og lukning. </w:t>
      </w:r>
    </w:p>
    <w:p w14:paraId="09BA5DDB" w14:textId="77777777" w:rsidR="00FA69C1" w:rsidRPr="00796736" w:rsidRDefault="00FA69C1" w:rsidP="00A802A5">
      <w:pPr>
        <w:spacing w:line="360" w:lineRule="auto"/>
        <w:rPr>
          <w:rFonts w:ascii="Times New Roman" w:hAnsi="Times New Roman" w:cs="Times New Roman"/>
          <w:sz w:val="24"/>
          <w:szCs w:val="24"/>
        </w:rPr>
      </w:pPr>
    </w:p>
    <w:p w14:paraId="642EF80E" w14:textId="5C88DE05" w:rsidR="004E6B25" w:rsidRDefault="004E6B2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deponeringsbokse omfatter oplysningerne lejerens navn og øvrige identitetsoplysninger eller individuelt identifikationsnummer samt lejeperiodens startdato og eventuelle slutdato.</w:t>
      </w:r>
    </w:p>
    <w:p w14:paraId="79E7CA46" w14:textId="77777777" w:rsidR="009970AA" w:rsidRDefault="009970AA" w:rsidP="00A802A5">
      <w:pPr>
        <w:spacing w:line="360" w:lineRule="auto"/>
        <w:rPr>
          <w:rFonts w:ascii="Times New Roman" w:hAnsi="Times New Roman" w:cs="Times New Roman"/>
          <w:sz w:val="24"/>
          <w:szCs w:val="24"/>
        </w:rPr>
      </w:pPr>
    </w:p>
    <w:p w14:paraId="7BB32B08" w14:textId="5B14C518" w:rsidR="004E6B25" w:rsidRPr="002C25ED" w:rsidRDefault="009970AA" w:rsidP="002C25ED">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Den foreslåede bestemmelse indebærer desuden, at skatte- og vækstministeren kan fastsætte regler om, at den centrale automatiske mekanisme kan drives i privat regi. </w:t>
      </w:r>
      <w:r w:rsidRPr="00796736">
        <w:rPr>
          <w:rFonts w:ascii="Times New Roman" w:eastAsia="Times New Roman" w:hAnsi="Times New Roman" w:cs="Times New Roman"/>
          <w:sz w:val="24"/>
          <w:szCs w:val="24"/>
          <w:lang w:eastAsia="da-DK"/>
        </w:rPr>
        <w:t xml:space="preserve">Det vil være en betingelse, at den private aktør lever op til visse krav, herunder at der fastholdes høje faglige standarder for fortrolighed og databeskyttelse og udvises en høj grad af integritet og har passende kvalifikationer, hvilket ministeren tillige vil kunne fastsætte regler om. </w:t>
      </w:r>
    </w:p>
    <w:p w14:paraId="6AAFE336" w14:textId="4D95C34A" w:rsidR="009970AA" w:rsidRDefault="00DC3B17"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w:t>
      </w:r>
      <w:r w:rsidR="002C25ED">
        <w:rPr>
          <w:rFonts w:ascii="Times New Roman" w:eastAsia="Calibri" w:hAnsi="Times New Roman" w:cs="Times New Roman"/>
          <w:i/>
          <w:sz w:val="24"/>
          <w:szCs w:val="24"/>
        </w:rPr>
        <w:t xml:space="preserve"> 2</w:t>
      </w:r>
      <w:r w:rsidRPr="00796736">
        <w:rPr>
          <w:rFonts w:ascii="Times New Roman" w:eastAsia="Calibri" w:hAnsi="Times New Roman" w:cs="Times New Roman"/>
          <w:iCs/>
          <w:sz w:val="24"/>
          <w:szCs w:val="24"/>
        </w:rPr>
        <w:t xml:space="preserve">, at </w:t>
      </w:r>
      <w:r w:rsidRPr="00796736">
        <w:rPr>
          <w:rFonts w:ascii="Times New Roman" w:hAnsi="Times New Roman" w:cs="Times New Roman"/>
          <w:sz w:val="24"/>
          <w:szCs w:val="24"/>
          <w:lang w:eastAsia="da-DK"/>
        </w:rPr>
        <w:t xml:space="preserve">skatte- og vækstministeren </w:t>
      </w:r>
      <w:r w:rsidR="004E6B25" w:rsidRPr="00796736">
        <w:rPr>
          <w:rFonts w:ascii="Times New Roman" w:hAnsi="Times New Roman" w:cs="Times New Roman"/>
          <w:sz w:val="24"/>
          <w:szCs w:val="24"/>
        </w:rPr>
        <w:t>kan</w:t>
      </w:r>
      <w:r w:rsidRPr="00796736">
        <w:rPr>
          <w:rFonts w:ascii="Times New Roman" w:hAnsi="Times New Roman" w:cs="Times New Roman"/>
          <w:sz w:val="24"/>
          <w:szCs w:val="24"/>
        </w:rPr>
        <w:t xml:space="preserve"> fastsætte regler om andre myndigheders rettidige adgang til at indhente oplysninger til opfyldelse af deres forpligtelser efter loven samt om, at andre oplysninger skal gøres tilgængelige og søgbare</w:t>
      </w:r>
      <w:r w:rsidR="00D23F1D">
        <w:rPr>
          <w:rFonts w:ascii="Times New Roman" w:hAnsi="Times New Roman" w:cs="Times New Roman"/>
          <w:sz w:val="24"/>
          <w:szCs w:val="24"/>
        </w:rPr>
        <w:t xml:space="preserve"> </w:t>
      </w:r>
      <w:r w:rsidRPr="00796736">
        <w:rPr>
          <w:rFonts w:ascii="Times New Roman" w:hAnsi="Times New Roman" w:cs="Times New Roman"/>
          <w:sz w:val="24"/>
          <w:szCs w:val="24"/>
        </w:rPr>
        <w:t>for Hvidvasksekretariatet, AMLA eller tilsynsmyndighedernes opgavevaretagelse.</w:t>
      </w:r>
    </w:p>
    <w:p w14:paraId="5CDEE528" w14:textId="5AEDCCF9" w:rsidR="004E6B25" w:rsidRPr="00796736" w:rsidRDefault="004E6B25"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Med bestemmelsen foreslås det at bemyndige skatte- og vækstministeren til at fastsætte regler om, at andre myndigheder end dem, der allerede er omfattet af ordningen, kan få adgang til at indhente oplysninger i den centrale automatiske mekanisme. Herved sigtes navnlig til myndigheder, som efter lovgivningen har opgaver, hvor adgang til oplysningerne kan være nødvendig for at opfylde deres forpligtelser. Det kan f.eks. omfatte skatteforvaltningen, i det omfang skatteforvaltningen har behov for at foretage opslag i oplysninger omfattet af ordningen som led i varetagelsen af sine opgaver.</w:t>
      </w:r>
    </w:p>
    <w:p w14:paraId="6A5E9D06" w14:textId="77777777" w:rsidR="009014C5" w:rsidRPr="00796736" w:rsidRDefault="009014C5" w:rsidP="00A802A5">
      <w:pPr>
        <w:spacing w:line="360" w:lineRule="auto"/>
        <w:rPr>
          <w:rFonts w:ascii="Times New Roman" w:eastAsia="Calibri" w:hAnsi="Times New Roman" w:cs="Times New Roman"/>
          <w:iCs/>
          <w:sz w:val="24"/>
          <w:szCs w:val="24"/>
        </w:rPr>
      </w:pPr>
    </w:p>
    <w:p w14:paraId="4B4F0082" w14:textId="4A03836F" w:rsidR="004E6B25" w:rsidRPr="00796736" w:rsidRDefault="009014C5" w:rsidP="00A802A5">
      <w:pPr>
        <w:spacing w:after="240" w:line="360" w:lineRule="auto"/>
        <w:rPr>
          <w:rFonts w:ascii="Times New Roman" w:eastAsia="Calibri" w:hAnsi="Times New Roman" w:cs="Times New Roman"/>
          <w:iCs/>
          <w:sz w:val="24"/>
          <w:szCs w:val="24"/>
        </w:rPr>
      </w:pPr>
      <w:r w:rsidRPr="00796736">
        <w:rPr>
          <w:rFonts w:ascii="Times New Roman" w:eastAsia="Times New Roman" w:hAnsi="Times New Roman" w:cs="Times New Roman"/>
          <w:sz w:val="24"/>
          <w:szCs w:val="24"/>
          <w:lang w:eastAsia="da-DK"/>
        </w:rPr>
        <w:t>Det forudsættes, at den etablerede adgang efter den foreslåede bestemmelse ledsages med visse krav til Hvidvasksekretariatets og øvrige myndigheder med adgang, herunder at der fastholdes høje faglige standarder for fortrolighed og databeskyttelse og udvises en høj grad af integritet og har passende kvalifikationer, jf. også artikel 16, stk. 9, 2. afsnit, i 6. hvidvaskdirektiv.</w:t>
      </w:r>
    </w:p>
    <w:p w14:paraId="07BB4B20" w14:textId="207C96B0" w:rsidR="004E6B25" w:rsidRPr="00796736" w:rsidRDefault="004E6B25"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Skatte- og vækstministeren vil efter den foreslåede bestemmelse kunne fastsætte nærmere regler om betingelserne for sådanne myndigheders adgang, herunder hvilke myndigheder der kan få adgang, hvilke oplysninger de kan tilgå, til hvilke formål oplysningerne kan anvendes, og hvordan adgangen teknisk og organisatorisk skal tilrettelægges. Reglerne vil desuden kunne fastsætte krav, der sikrer, at adgangen sker rettidigt og på en måde, som understøtter myndighedernes mulighed for effektivt at opfylde deres lovbestemte forpligtelser.</w:t>
      </w:r>
    </w:p>
    <w:p w14:paraId="373DAFF1" w14:textId="77777777" w:rsidR="004E6B25" w:rsidRPr="00796736" w:rsidRDefault="004E6B25" w:rsidP="00A802A5">
      <w:pPr>
        <w:spacing w:line="360" w:lineRule="auto"/>
        <w:rPr>
          <w:rFonts w:ascii="Times New Roman" w:eastAsia="Calibri" w:hAnsi="Times New Roman" w:cs="Times New Roman"/>
          <w:iCs/>
          <w:sz w:val="24"/>
          <w:szCs w:val="24"/>
        </w:rPr>
      </w:pPr>
    </w:p>
    <w:p w14:paraId="3EBE471A" w14:textId="2C2638CF" w:rsidR="009014C5" w:rsidRPr="00796736" w:rsidRDefault="004E6B25"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indebærer desuden, at skatte- og vækstministeren vil kunne fastsætte regler om, at andre oplysninger end dem, der er omfattet af artikel 16, stk. 3, i 6. hvidvaskdirektiv, gøres tilgængelige og søgbare gennem den centrale automatiske mekanisme. Det vil være en betingelse, at adgangen til sådanne oplysninger gennem den centrale automatiske mekanisme er af afgørende betydning for Hvidvasksekretariatets opgaver, for AMLA’s analyser i henhold til artikel 40 i AMLA-forordningen eller for tilsynsmyndighedernes opfyldelse af deres forpligtelser efter loven.</w:t>
      </w:r>
    </w:p>
    <w:p w14:paraId="0513A0A8" w14:textId="77777777" w:rsidR="009014C5" w:rsidRPr="00796736" w:rsidRDefault="009014C5" w:rsidP="00A802A5">
      <w:pPr>
        <w:spacing w:line="360" w:lineRule="auto"/>
        <w:rPr>
          <w:rFonts w:ascii="Times New Roman" w:eastAsia="Calibri" w:hAnsi="Times New Roman" w:cs="Times New Roman"/>
          <w:iCs/>
          <w:sz w:val="24"/>
          <w:szCs w:val="24"/>
        </w:rPr>
      </w:pPr>
    </w:p>
    <w:p w14:paraId="260AE5FA" w14:textId="5F69DDB2" w:rsidR="009014C5" w:rsidRPr="00796736" w:rsidRDefault="009014C5"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w:t>
      </w:r>
      <w:r w:rsidR="002C25ED">
        <w:rPr>
          <w:rFonts w:ascii="Times New Roman" w:eastAsia="Calibri" w:hAnsi="Times New Roman" w:cs="Times New Roman"/>
          <w:i/>
          <w:sz w:val="24"/>
          <w:szCs w:val="24"/>
        </w:rPr>
        <w:t>3</w:t>
      </w:r>
      <w:r w:rsidRPr="00796736">
        <w:rPr>
          <w:rFonts w:ascii="Times New Roman" w:eastAsia="Calibri" w:hAnsi="Times New Roman" w:cs="Times New Roman"/>
          <w:i/>
          <w:sz w:val="24"/>
          <w:szCs w:val="24"/>
        </w:rPr>
        <w:t xml:space="preserve">, </w:t>
      </w:r>
      <w:r w:rsidRPr="00796736">
        <w:rPr>
          <w:rFonts w:ascii="Times New Roman" w:eastAsia="Calibri" w:hAnsi="Times New Roman" w:cs="Times New Roman"/>
          <w:iCs/>
          <w:sz w:val="24"/>
          <w:szCs w:val="24"/>
        </w:rPr>
        <w:t>at skatte- og vækstministeren</w:t>
      </w:r>
      <w:r w:rsidR="00D23F1D">
        <w:rPr>
          <w:rFonts w:ascii="Times New Roman" w:eastAsia="Calibri" w:hAnsi="Times New Roman" w:cs="Times New Roman"/>
          <w:iCs/>
          <w:sz w:val="24"/>
          <w:szCs w:val="24"/>
        </w:rPr>
        <w:t xml:space="preserve"> kan</w:t>
      </w:r>
      <w:r w:rsidRPr="00796736">
        <w:rPr>
          <w:rFonts w:ascii="Times New Roman" w:eastAsia="Calibri" w:hAnsi="Times New Roman" w:cs="Times New Roman"/>
          <w:iCs/>
          <w:sz w:val="24"/>
          <w:szCs w:val="24"/>
        </w:rPr>
        <w:t xml:space="preserve"> </w:t>
      </w:r>
      <w:r w:rsidRPr="00796736">
        <w:rPr>
          <w:rFonts w:ascii="Times New Roman" w:eastAsia="Times New Roman" w:hAnsi="Times New Roman" w:cs="Times New Roman"/>
          <w:sz w:val="24"/>
          <w:szCs w:val="24"/>
          <w:lang w:eastAsia="da-DK"/>
        </w:rPr>
        <w:t>fastsætte regler, som er nødvendige af hensyn til at gennemføre, anvende eller håndhæve retsakter vedtaget af EU’s institutioner om forhold vedrørende den centrale automatiske mekanisme og oplysningerne heri og om bankkontoregistrets sammenkoblingssystem, herunder om, at oplysninger i den centrale automatiske mekanisme efter stk. 1 er tilgængelige via bankkontoregistrets sammenkoblingssystem og om at der træffes tekniske og organisatoriske foranstaltninger for at datasikkerheden opfylder høje teknologiske standarder.</w:t>
      </w:r>
    </w:p>
    <w:p w14:paraId="553D30F8" w14:textId="53F79619" w:rsidR="009014C5" w:rsidRPr="00796736" w:rsidRDefault="009014C5"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gennemfører hvidvaskdirektivets artikel 16, stk. 6, 7 og 10.</w:t>
      </w:r>
    </w:p>
    <w:p w14:paraId="0B2564E4" w14:textId="77777777" w:rsidR="009014C5" w:rsidRPr="00796736" w:rsidRDefault="009014C5"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indebære, at skatte- og vækstministeren bemyndiges til at fastsætte regler, som er nødvendige for at gennemføres og håndhæve delegerede retsakter og gennemførelsesretsakter fastsat af Europa-Kommissionen, herunder om hvordan den nationale centrale automatiske mekanisme kan kobles sammen med det af EU etablerede bankkontoregistrets sammenkoblingssystem og om de fornødne tekniske, organisatoriske, strukturelle og it-mæssige foranstaltninger, bl.a. for at sikre datasikkerheden. </w:t>
      </w:r>
    </w:p>
    <w:p w14:paraId="349C33BB" w14:textId="059C5FD3" w:rsidR="009014C5" w:rsidRPr="00796736" w:rsidRDefault="009014C5"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 xml:space="preserve">Det vil i den forbindelse være et krav, at kun de oplysninger, som er omfattet af regler udstedt i medfør af stk. </w:t>
      </w:r>
      <w:r w:rsidR="002C25ED">
        <w:rPr>
          <w:rFonts w:ascii="Times New Roman" w:eastAsia="Calibri" w:hAnsi="Times New Roman" w:cs="Times New Roman"/>
          <w:iCs/>
          <w:sz w:val="24"/>
          <w:szCs w:val="24"/>
        </w:rPr>
        <w:t>1</w:t>
      </w:r>
      <w:r w:rsidRPr="00796736">
        <w:rPr>
          <w:rFonts w:ascii="Times New Roman" w:eastAsia="Calibri" w:hAnsi="Times New Roman" w:cs="Times New Roman"/>
          <w:iCs/>
          <w:sz w:val="24"/>
          <w:szCs w:val="24"/>
        </w:rPr>
        <w:t xml:space="preserve">, og som er ajourførte og </w:t>
      </w:r>
      <w:r w:rsidRPr="00796736">
        <w:rPr>
          <w:rFonts w:ascii="Times New Roman" w:hAnsi="Times New Roman" w:cs="Times New Roman"/>
          <w:sz w:val="24"/>
          <w:szCs w:val="24"/>
        </w:rPr>
        <w:t>vedrører den faktiske bankkonto og betalingskonto, herunder virtuelt IBAN-nummer, værdipapirkonto, kryptoaktivkonto og deponeringsboks, gøres tilgængelige via den nationale centrale automatiske mekanismer og via bankkontoregistrets sammenkoblingssystem. Adgang til disse oplysninger gives i overensstemmelse med databeskyttelsesreglerne.</w:t>
      </w:r>
    </w:p>
    <w:p w14:paraId="434363EE" w14:textId="538A6D5B" w:rsidR="004E6B25" w:rsidRPr="00796736" w:rsidRDefault="004E6B25"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For nærmere om gældende ret henvises til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_Ref232946351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3.31.1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lovforslagets de almindelige bemærkninger. </w:t>
      </w:r>
    </w:p>
    <w:p w14:paraId="69B01D0B" w14:textId="77777777" w:rsidR="0099753D" w:rsidRPr="00796736" w:rsidRDefault="0099753D" w:rsidP="00A802A5">
      <w:pPr>
        <w:spacing w:after="240" w:line="360" w:lineRule="auto"/>
        <w:rPr>
          <w:rFonts w:ascii="Times New Roman" w:eastAsia="Calibri" w:hAnsi="Times New Roman" w:cs="Times New Roman"/>
          <w:iCs/>
          <w:sz w:val="24"/>
          <w:szCs w:val="24"/>
        </w:rPr>
      </w:pPr>
    </w:p>
    <w:p w14:paraId="1B9A9B41" w14:textId="0044DFE2" w:rsidR="009A5388" w:rsidRPr="00796736" w:rsidRDefault="009A5388" w:rsidP="00A802A5">
      <w:pPr>
        <w:pStyle w:val="Undertitel"/>
      </w:pPr>
      <w:bookmarkStart w:id="1952" w:name="_Toc232109365"/>
      <w:bookmarkStart w:id="1953" w:name="_Toc244879329"/>
      <w:bookmarkStart w:id="1954" w:name="_Toc244880854"/>
      <w:r w:rsidRPr="00796736">
        <w:t xml:space="preserve">Til </w:t>
      </w:r>
      <w:r w:rsidR="006719DB" w:rsidRPr="00796736">
        <w:fldChar w:fldCharType="begin"/>
      </w:r>
      <w:r w:rsidR="006719DB" w:rsidRPr="00796736">
        <w:instrText xml:space="preserve"> REF _Ref232596271 \r \h </w:instrText>
      </w:r>
      <w:r w:rsidR="00967618" w:rsidRPr="00796736">
        <w:instrText xml:space="preserve"> \* MERGEFORMAT </w:instrText>
      </w:r>
      <w:r w:rsidR="006719DB" w:rsidRPr="00796736">
        <w:fldChar w:fldCharType="separate"/>
      </w:r>
      <w:r w:rsidR="008F29E5">
        <w:t>§ 33</w:t>
      </w:r>
      <w:bookmarkEnd w:id="1953"/>
      <w:bookmarkEnd w:id="1954"/>
      <w:r w:rsidR="006719DB" w:rsidRPr="00796736">
        <w:fldChar w:fldCharType="end"/>
      </w:r>
      <w:r w:rsidRPr="00796736">
        <w:t xml:space="preserve"> </w:t>
      </w:r>
      <w:bookmarkEnd w:id="1952"/>
    </w:p>
    <w:p w14:paraId="41A2717A" w14:textId="77777777" w:rsidR="00BF6876" w:rsidRPr="00796736" w:rsidRDefault="00BF6876"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fremgår af hvidvasklovens § 30 b, at Hvidvasksekretariatet og andre kompetente nationale myndigheder i henhold til denne lov sikres adgang til oplysninger, som muliggør rettidig identifikation af alle fysiske eller juridiske personer, der ejer fast ejendom i Danmark.</w:t>
      </w:r>
    </w:p>
    <w:p w14:paraId="580A1EE1" w14:textId="77777777" w:rsidR="00BF6876" w:rsidRPr="00796736" w:rsidRDefault="00BF6876" w:rsidP="00A802A5">
      <w:pPr>
        <w:spacing w:line="360" w:lineRule="auto"/>
        <w:rPr>
          <w:rFonts w:ascii="Times New Roman" w:hAnsi="Times New Roman" w:cs="Times New Roman"/>
          <w:sz w:val="24"/>
          <w:szCs w:val="24"/>
          <w:lang w:eastAsia="da-DK"/>
        </w:rPr>
      </w:pPr>
    </w:p>
    <w:p w14:paraId="174F7376" w14:textId="0BAAE882" w:rsidR="00BF6876" w:rsidRPr="00796736" w:rsidRDefault="00BF6876"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For nærmere om gældende ret henvises i øvrigt til pkt. </w:t>
      </w:r>
      <w:r w:rsidR="0095255A" w:rsidRPr="00796736">
        <w:rPr>
          <w:rFonts w:ascii="Times New Roman" w:hAnsi="Times New Roman" w:cs="Times New Roman"/>
          <w:sz w:val="24"/>
          <w:szCs w:val="24"/>
          <w:lang w:eastAsia="da-DK"/>
        </w:rPr>
        <w:fldChar w:fldCharType="begin"/>
      </w:r>
      <w:r w:rsidR="0095255A" w:rsidRPr="00796736">
        <w:rPr>
          <w:rFonts w:ascii="Times New Roman" w:hAnsi="Times New Roman" w:cs="Times New Roman"/>
          <w:sz w:val="24"/>
          <w:szCs w:val="24"/>
          <w:lang w:eastAsia="da-DK"/>
        </w:rPr>
        <w:instrText xml:space="preserve"> REF _Ref232946432 \n \h </w:instrText>
      </w:r>
      <w:r w:rsidR="00967618" w:rsidRPr="00796736">
        <w:rPr>
          <w:rFonts w:ascii="Times New Roman" w:hAnsi="Times New Roman" w:cs="Times New Roman"/>
          <w:sz w:val="24"/>
          <w:szCs w:val="24"/>
          <w:lang w:eastAsia="da-DK"/>
        </w:rPr>
        <w:instrText xml:space="preserve"> \* MERGEFORMAT </w:instrText>
      </w:r>
      <w:r w:rsidR="0095255A" w:rsidRPr="00796736">
        <w:rPr>
          <w:rFonts w:ascii="Times New Roman" w:hAnsi="Times New Roman" w:cs="Times New Roman"/>
          <w:sz w:val="24"/>
          <w:szCs w:val="24"/>
          <w:lang w:eastAsia="da-DK"/>
        </w:rPr>
      </w:r>
      <w:r w:rsidR="0095255A"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3.32.1</w:t>
      </w:r>
      <w:r w:rsidR="0095255A" w:rsidRPr="00796736">
        <w:rPr>
          <w:rFonts w:ascii="Times New Roman" w:hAnsi="Times New Roman" w:cs="Times New Roman"/>
          <w:sz w:val="24"/>
          <w:szCs w:val="24"/>
          <w:lang w:eastAsia="da-DK"/>
        </w:rPr>
        <w:fldChar w:fldCharType="end"/>
      </w:r>
      <w:r w:rsidR="0095255A"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 xml:space="preserve">i de almindelige bemærkninger. </w:t>
      </w:r>
    </w:p>
    <w:p w14:paraId="5E0D218D" w14:textId="2BA6033F"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lang w:eastAsia="da-DK"/>
        </w:rPr>
        <w:br/>
        <w:t xml:space="preserve">Det forslås i </w:t>
      </w:r>
      <w:r w:rsidR="0095255A" w:rsidRPr="00796736">
        <w:rPr>
          <w:rFonts w:ascii="Times New Roman" w:hAnsi="Times New Roman" w:cs="Times New Roman"/>
          <w:i/>
          <w:iCs/>
          <w:sz w:val="24"/>
          <w:szCs w:val="24"/>
        </w:rPr>
        <w:fldChar w:fldCharType="begin"/>
      </w:r>
      <w:r w:rsidR="0095255A" w:rsidRPr="00796736">
        <w:rPr>
          <w:rFonts w:ascii="Times New Roman" w:hAnsi="Times New Roman" w:cs="Times New Roman"/>
          <w:i/>
          <w:iCs/>
          <w:sz w:val="24"/>
          <w:szCs w:val="24"/>
        </w:rPr>
        <w:instrText xml:space="preserve"> REF _Ref232596271 \r \h  \* MERGEFORMAT </w:instrText>
      </w:r>
      <w:r w:rsidR="0095255A" w:rsidRPr="00796736">
        <w:rPr>
          <w:rFonts w:ascii="Times New Roman" w:hAnsi="Times New Roman" w:cs="Times New Roman"/>
          <w:i/>
          <w:iCs/>
          <w:sz w:val="24"/>
          <w:szCs w:val="24"/>
        </w:rPr>
      </w:r>
      <w:r w:rsidR="0095255A"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33</w:t>
      </w:r>
      <w:r w:rsidR="0095255A"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lang w:eastAsia="da-DK"/>
        </w:rPr>
        <w:t>, stk. 1,</w:t>
      </w:r>
      <w:r w:rsidRPr="00796736">
        <w:rPr>
          <w:rFonts w:ascii="Times New Roman" w:hAnsi="Times New Roman" w:cs="Times New Roman"/>
          <w:sz w:val="24"/>
          <w:szCs w:val="24"/>
          <w:lang w:eastAsia="da-DK"/>
        </w:rPr>
        <w:t xml:space="preserve"> at </w:t>
      </w:r>
      <w:r w:rsidRPr="00796736">
        <w:rPr>
          <w:rFonts w:ascii="Times New Roman" w:eastAsia="Times New Roman" w:hAnsi="Times New Roman" w:cs="Times New Roman"/>
          <w:sz w:val="24"/>
          <w:szCs w:val="24"/>
          <w:lang w:eastAsia="da-DK"/>
        </w:rPr>
        <w:t>kompetente myndigheder i henhold til hvidvaskforordningen, denne lov eller regler udstedt i medfør af denne lov, gennem ét f</w:t>
      </w:r>
      <w:r w:rsidR="0050440D" w:rsidRPr="00796736">
        <w:rPr>
          <w:rFonts w:ascii="Times New Roman" w:eastAsia="Times New Roman" w:hAnsi="Times New Roman" w:cs="Times New Roman"/>
          <w:sz w:val="24"/>
          <w:szCs w:val="24"/>
          <w:lang w:eastAsia="da-DK"/>
        </w:rPr>
        <w:t>ælles</w:t>
      </w:r>
      <w:r w:rsidRPr="00796736">
        <w:rPr>
          <w:rFonts w:ascii="Times New Roman" w:eastAsia="Times New Roman" w:hAnsi="Times New Roman" w:cs="Times New Roman"/>
          <w:sz w:val="24"/>
          <w:szCs w:val="24"/>
          <w:lang w:eastAsia="da-DK"/>
        </w:rPr>
        <w:t xml:space="preserve"> adgangspunkt har en umiddelbar, direkte og vederlagsfri adgang til oplysninger, som muliggør rettidig identifikation af fast ejendom, af de fysiske eller juridiske personer m.v., der ejer fast ejendom, og til oplysninger om transaktioner vedrørende fast ejendom.</w:t>
      </w:r>
    </w:p>
    <w:p w14:paraId="38CCF417"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1E4A8F36" w14:textId="4CBDDCD8" w:rsidR="00134213" w:rsidRPr="00D253F0" w:rsidRDefault="00134213" w:rsidP="00A802A5">
      <w:pPr>
        <w:spacing w:line="360" w:lineRule="auto"/>
        <w:rPr>
          <w:rFonts w:ascii="Times New Roman" w:eastAsia="Times New Roman" w:hAnsi="Times New Roman" w:cs="Times New Roman"/>
          <w:sz w:val="24"/>
          <w:szCs w:val="24"/>
          <w:lang w:eastAsia="da-DK"/>
        </w:rPr>
      </w:pPr>
      <w:r w:rsidRPr="00D253F0">
        <w:rPr>
          <w:rFonts w:ascii="Times New Roman" w:eastAsia="Times New Roman" w:hAnsi="Times New Roman" w:cs="Times New Roman"/>
          <w:sz w:val="24"/>
          <w:szCs w:val="24"/>
          <w:lang w:eastAsia="da-DK"/>
        </w:rPr>
        <w:t xml:space="preserve">Efter den foreslåede bestemmelse vil kompetente myndigheder, herunder Hvidvasksekretariatet, have en umiddelbar, direkte og vederlagsfri adgang til en række oplysninger gennem ét fast adgangspunkt. Det forudsættes, at det fælles adgangspunkt vil skulle </w:t>
      </w:r>
      <w:r>
        <w:rPr>
          <w:rFonts w:ascii="Times New Roman" w:eastAsia="Times New Roman" w:hAnsi="Times New Roman" w:cs="Times New Roman"/>
          <w:sz w:val="24"/>
          <w:szCs w:val="24"/>
          <w:lang w:eastAsia="da-DK"/>
        </w:rPr>
        <w:t>administreres af Tinglysningsretten og forankres i tinglysningssystemet.</w:t>
      </w:r>
      <w:r w:rsidRPr="00D253F0">
        <w:rPr>
          <w:rFonts w:ascii="Times New Roman" w:eastAsia="Times New Roman" w:hAnsi="Times New Roman" w:cs="Times New Roman"/>
          <w:sz w:val="24"/>
          <w:szCs w:val="24"/>
          <w:lang w:eastAsia="da-DK"/>
        </w:rPr>
        <w:t xml:space="preserve"> </w:t>
      </w:r>
    </w:p>
    <w:p w14:paraId="5143353B"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0E7A99B9" w14:textId="50F5CC6F" w:rsidR="005424F4" w:rsidRPr="00796736" w:rsidRDefault="005424F4"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forudsættes, at der kun vil kunne foretages opslag og søgninger mv. i det fælles adgangspunkt, hvis det konkret er nødvendigt af hensyn til den pågældende myndigheds udførelse af en opgave i medfør af hvidvaskforordningen, den foreslåede lov eller regler udstedt i medfør heraf samt anden lovgivning, som har til formål at bekæmpe hvidvask af penge, de underliggende lovovertrædelser og finansiering af terrorisme. Det foreslåede vil f.eks. omfatte Hvidvasksekretariatets behov for korrekt og rettidigt at fastslå, hvem som ejer en bestemt fast ejendom med henblik på opdagelse af hvidvaskordninger og at politiet og anklagemyndigheden foranstalter indefrysning, beslaglæggelse og konfiskation af aktiver eller Hvidvasksekretariatets øvrige behov i relation til sekretariatets analytiske opgaver efter de foreslåede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_Ref239689279 \r \h </w:instrText>
      </w:r>
      <w:r w:rsidR="00F375BF"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_Ref232596168 \r \h </w:instrText>
      </w:r>
      <w:r w:rsidR="00F375BF"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29</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w:t>
      </w:r>
    </w:p>
    <w:p w14:paraId="222CAD35"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26FD81C7" w14:textId="646E4331"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Ved ” kompetente myndigheder” forstås i overensstemmelse med hvidvaskforordningens artikel 2, stk. 1, nr. 44, Hvidvasksekretariatet (litra a), en tilsynsmyndighed (litra b), en offentlig myndighed, der har til opgave at efterforske eller retsforfølge i sager om hvidvask af penge, de underliggende lovovertrædelser eller finansiering af terrorisme, eller som har it logpave at opspore, beslaglægge eller indefryse og konfiskere kriminelle aktiver (litra c) eller en offentlig myndighed, der har fået til ansvar at bekæmpe hvidvask af penge og finansiering af terrorisme. Foruden Hvidvasksekretariatet, Finanstilsynet, Erhvervsstyrelsen og Spillemyndigheden vil regler udstedt i medfør af loven således f.eks. kunne omfatte </w:t>
      </w:r>
      <w:r w:rsidR="005424F4" w:rsidRPr="00796736">
        <w:rPr>
          <w:rFonts w:ascii="Times New Roman" w:eastAsia="Times New Roman" w:hAnsi="Times New Roman" w:cs="Times New Roman"/>
          <w:sz w:val="24"/>
          <w:szCs w:val="24"/>
          <w:lang w:eastAsia="da-DK"/>
        </w:rPr>
        <w:t xml:space="preserve">politiet og </w:t>
      </w:r>
      <w:r w:rsidRPr="00796736">
        <w:rPr>
          <w:rFonts w:ascii="Times New Roman" w:eastAsia="Times New Roman" w:hAnsi="Times New Roman" w:cs="Times New Roman"/>
          <w:sz w:val="24"/>
          <w:szCs w:val="24"/>
          <w:lang w:eastAsia="da-DK"/>
        </w:rPr>
        <w:t>anklagemyndigheden.</w:t>
      </w:r>
    </w:p>
    <w:p w14:paraId="6668799F"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510EA9CB" w14:textId="77777777" w:rsidR="00BF6876" w:rsidRPr="00796736" w:rsidRDefault="00BF6876" w:rsidP="00A802A5">
      <w:pPr>
        <w:spacing w:line="360" w:lineRule="auto"/>
        <w:rPr>
          <w:rFonts w:ascii="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 vil indebære, at myndighederne får en umiddelbar, direkte og vederlagsfri adgang til oplysningerne i tingbogen. Herved forstås i overensstemmelse med præambelbetragtning nr. 70, at </w:t>
      </w:r>
      <w:r w:rsidRPr="00796736">
        <w:rPr>
          <w:rFonts w:ascii="Times New Roman" w:hAnsi="Times New Roman" w:cs="Times New Roman"/>
          <w:sz w:val="24"/>
          <w:szCs w:val="24"/>
        </w:rPr>
        <w:t xml:space="preserve">oplysningerne er indeholdt i en database, et register eller et elektronisk system til dataudtræk, der gør det muligt at indhente dem direkte gennem en automatisk mekanisme uden inddragelse af en formidler. </w:t>
      </w:r>
      <w:r w:rsidRPr="00796736">
        <w:rPr>
          <w:rFonts w:ascii="Times New Roman" w:eastAsia="Times New Roman" w:hAnsi="Times New Roman" w:cs="Times New Roman"/>
          <w:sz w:val="24"/>
          <w:szCs w:val="24"/>
          <w:lang w:eastAsia="da-DK"/>
        </w:rPr>
        <w:t xml:space="preserve">  </w:t>
      </w:r>
    </w:p>
    <w:p w14:paraId="3A94B334"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 </w:t>
      </w:r>
    </w:p>
    <w:p w14:paraId="75AB9F4A"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Ved ”oplysninger, som muliggør rettidig identifikation af fast ejendom, af de fysiske eller juridiske personer m.v., der ejer fast ejendom, og til oplysninger om transaktioner vedrørende fast ejendom” forstås oplysninger om den faste ejendom, oplysninger om ejerforhold, oplysninger om behæftelser, historiske oplysninger og relevante dokumenter, jf. direktivets artikel 18, stk. 2. </w:t>
      </w:r>
    </w:p>
    <w:p w14:paraId="540ACC13"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3D43C7D9"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I forhold til oplysninger om den faste ejendom omfatter det følgende: (1) matrikulær parcel og matrikelreference, (2) geografisk beliggenhed, herunder formuegodets adresse, (3) formuegodets areal eller størrelse og (4) formuegodets art, herunder om der er tale om et bebygget eller ikkebebygget formuegode og anvendelsesformål. </w:t>
      </w:r>
    </w:p>
    <w:p w14:paraId="6C56AC97" w14:textId="77777777" w:rsidR="00BF6876" w:rsidRPr="00796736" w:rsidRDefault="00BF6876" w:rsidP="00A802A5">
      <w:pPr>
        <w:spacing w:line="360" w:lineRule="auto"/>
        <w:rPr>
          <w:rFonts w:ascii="Times New Roman" w:hAnsi="Times New Roman" w:cs="Times New Roman"/>
          <w:sz w:val="24"/>
          <w:szCs w:val="24"/>
        </w:rPr>
      </w:pPr>
    </w:p>
    <w:p w14:paraId="5428181D"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I forhold til oplysninger om ejerforhold omfatter det følgende: (1) navnet på ejeren og enhver person, der foregiver at handle på ejerens vegne, (2) hvor ejeren er en juridisk enhed, dennes navn og juridiske form samt virksomhedens individuelle identifikationsnummer og skatteregisterringsnummeret, (3) hvis ejeren er et juridisk arrangement, det juridiske arrangements navn og skatteregistreringsnummeret, (4) den pris, som formuegodet er erhvervet til og (5) alle rettigheder eller begrænsninger, hvor det er relevant. </w:t>
      </w:r>
    </w:p>
    <w:p w14:paraId="2131E2BC"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11D403BE"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Myndighederne vil endvidere skulle have adgang til oplysninger om behæftelser for så vidt angår (1) realkreditlån, (2) retlige begrænsninger, (3) ejendomsrettigheder og (4) eventuelle andre garantier. </w:t>
      </w:r>
    </w:p>
    <w:p w14:paraId="0DA04168"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57F9DACB"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Endelig vil myndighederne skulle have adgang til historiske oplysninger om formuegodets ejerforhold, pris og dermed forbundne behæfter samt andre relevante dokumenter. De </w:t>
      </w:r>
      <w:r w:rsidRPr="00796736">
        <w:rPr>
          <w:rFonts w:ascii="Times New Roman" w:hAnsi="Times New Roman" w:cs="Times New Roman"/>
          <w:sz w:val="24"/>
          <w:szCs w:val="24"/>
        </w:rPr>
        <w:t>historiske oplysninger i henhold vil mindst skulle dække perioden fra den 8. juli 2019.</w:t>
      </w:r>
    </w:p>
    <w:p w14:paraId="274B7770"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1531C76D"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bemærkes, at hvis en matrikulær parcel omfatter flere formuegoder, vil oplysningerne skulle gives for hvert enkelt formuegode på den pågældende matrikulære parcel. </w:t>
      </w:r>
    </w:p>
    <w:p w14:paraId="31BC5BDE"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221D2120"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forudsættes, at justitsministeren fastsætter regler om, at de af oplysningerne nævnt ovenfor, som ikke i dag indgår i tinglysningssystemet, vil skulle tilgå tinglysningssystemet efter den foreslåede stk. 2. Opregningen ovenfor er ikke udtømmende, og justitsministeren vil også efter omstændighederne kunne fastsætte regler om, at yderligere kategorier af oplysninger vil skulle gøres tilgængelige. Der henvises til det foreslåede stk. 2 og bemærkningerne hertil. </w:t>
      </w:r>
    </w:p>
    <w:p w14:paraId="528C9B6C"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77334D0E" w14:textId="42A607C3"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xml:space="preserve"> at justitsministeren fastsætter nærmere regler om adgangspunktet efter stk. 1, herunder om, hvilke oplysninger som skal gøres tilgængelige i det fælles adgangspunkt, om betingelserne for opslag i det fælles adgangspunkt og om, at andre myndigheder</w:t>
      </w:r>
      <w:r w:rsidR="00134213">
        <w:rPr>
          <w:rFonts w:ascii="Times New Roman" w:eastAsia="Times New Roman" w:hAnsi="Times New Roman" w:cs="Times New Roman"/>
          <w:sz w:val="24"/>
          <w:szCs w:val="24"/>
          <w:lang w:eastAsia="da-DK"/>
        </w:rPr>
        <w:t xml:space="preserve"> eller organer</w:t>
      </w:r>
      <w:r w:rsidRPr="00796736">
        <w:rPr>
          <w:rFonts w:ascii="Times New Roman" w:eastAsia="Times New Roman" w:hAnsi="Times New Roman" w:cs="Times New Roman"/>
          <w:sz w:val="24"/>
          <w:szCs w:val="24"/>
          <w:lang w:eastAsia="da-DK"/>
        </w:rPr>
        <w:t xml:space="preserve"> tillægges adgang.</w:t>
      </w:r>
    </w:p>
    <w:p w14:paraId="06201597"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17E8ECF1"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 foreslåede bestemmelse vil overordnet skulle udnyttes af justitsministeren til at fastsætte regler, som sikrer, at det er muligt at identificere og analysere transaktionerne vedrørende fast ejendom.</w:t>
      </w:r>
    </w:p>
    <w:p w14:paraId="5DD69E09"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0D7999DC" w14:textId="065B5925"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bemærkes, at den foreslåede bestemmelse i stk. 1 omfatter </w:t>
      </w:r>
      <w:r w:rsidR="00134213">
        <w:rPr>
          <w:rFonts w:ascii="Times New Roman" w:eastAsia="Times New Roman" w:hAnsi="Times New Roman" w:cs="Times New Roman"/>
          <w:sz w:val="24"/>
          <w:szCs w:val="24"/>
          <w:lang w:eastAsia="da-DK"/>
        </w:rPr>
        <w:t xml:space="preserve">visse </w:t>
      </w:r>
      <w:r w:rsidRPr="00796736">
        <w:rPr>
          <w:rFonts w:ascii="Times New Roman" w:eastAsia="Times New Roman" w:hAnsi="Times New Roman" w:cs="Times New Roman"/>
          <w:sz w:val="24"/>
          <w:szCs w:val="24"/>
          <w:lang w:eastAsia="da-DK"/>
        </w:rPr>
        <w:t>oplysninger, som ikke i dag er i tinglysningssystemet, og at den foreslåede ordning derfor vil omfatte oplysninger fra forskellige kilder. Ministeren vil derfor i medfør af den foreslåede bestemmelse skulle fastsætte sådanne regler, som muliggør, at relevante myndigheder leverer de fornødne oplysninger til det fælles adgangspunkt forankret i tinglysningssystemet, således at de kan tilgås af de kompetente myndigheder i medfør af stk. 1. Det forudsættes, at ministeren i den forbindelse fastsætter regler om, at oplysninger, som ikke opbevares elektronisk, videregives rettidigt og på en sådan måde, at den anmodende kompetente myndigheds aktiviteter ikke undergraves.</w:t>
      </w:r>
    </w:p>
    <w:p w14:paraId="0D10578E"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46FB92C4"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forudsættes, at justitsministeren i medfør af den foreslåede bestemmelse vil skulle fastsætte nærmere regler om, at der </w:t>
      </w:r>
      <w:r w:rsidRPr="00796736">
        <w:rPr>
          <w:rFonts w:ascii="Times New Roman" w:hAnsi="Times New Roman" w:cs="Times New Roman"/>
          <w:sz w:val="24"/>
          <w:szCs w:val="24"/>
        </w:rPr>
        <w:t>også gives en særlig adgang til tingbogen til AMLA med henblik på fælles analyser i henhold til artikel 32 i hvidvaskdirektivet og AMLA-forordningens artikel 40. Det forudsættes, at Hvidvasksekretariatet eller en anden relevant kompetent myndighed yder den fornødne bistand til AMLA og at justitsministeren i den forbindelse fastsætter nærmere regler herom.</w:t>
      </w:r>
    </w:p>
    <w:p w14:paraId="3C3A3B2D" w14:textId="77777777" w:rsidR="00BF6876" w:rsidRPr="00796736" w:rsidRDefault="00BF6876" w:rsidP="00A802A5">
      <w:pPr>
        <w:spacing w:line="360" w:lineRule="auto"/>
        <w:rPr>
          <w:rFonts w:ascii="Times New Roman" w:eastAsia="Times New Roman" w:hAnsi="Times New Roman" w:cs="Times New Roman"/>
          <w:sz w:val="24"/>
          <w:szCs w:val="24"/>
          <w:lang w:eastAsia="da-DK"/>
        </w:rPr>
      </w:pPr>
    </w:p>
    <w:p w14:paraId="32AE6A96" w14:textId="225F6C8E" w:rsidR="00556301" w:rsidRPr="00796736" w:rsidRDefault="00BF687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Med den foreslåede bestemmelse gennemføres hvidvaskdirektivets artikel 18.</w:t>
      </w:r>
    </w:p>
    <w:p w14:paraId="02614453" w14:textId="77777777" w:rsidR="0099753D" w:rsidRPr="00796736" w:rsidRDefault="0099753D" w:rsidP="00A802A5">
      <w:pPr>
        <w:spacing w:line="360" w:lineRule="auto"/>
        <w:rPr>
          <w:rFonts w:ascii="Times New Roman" w:hAnsi="Times New Roman" w:cs="Times New Roman"/>
          <w:i/>
          <w:iCs/>
          <w:sz w:val="24"/>
          <w:szCs w:val="24"/>
        </w:rPr>
      </w:pPr>
    </w:p>
    <w:p w14:paraId="671FF39A" w14:textId="13FDBB96" w:rsidR="005424F4" w:rsidRPr="00796736" w:rsidRDefault="005424F4" w:rsidP="00A802A5">
      <w:pPr>
        <w:pStyle w:val="Undertitel"/>
      </w:pPr>
      <w:bookmarkStart w:id="1955" w:name="_Toc244879330"/>
      <w:bookmarkStart w:id="1956" w:name="_Toc244880855"/>
      <w:r w:rsidRPr="00796736">
        <w:t xml:space="preserve">Til </w:t>
      </w:r>
      <w:r w:rsidRPr="00796736">
        <w:fldChar w:fldCharType="begin"/>
      </w:r>
      <w:r w:rsidRPr="00796736">
        <w:instrText xml:space="preserve"> REF _Ref239690743 \r \h </w:instrText>
      </w:r>
      <w:r w:rsidR="00F375BF" w:rsidRPr="00796736">
        <w:instrText xml:space="preserve"> \* MERGEFORMAT </w:instrText>
      </w:r>
      <w:r w:rsidRPr="00796736">
        <w:fldChar w:fldCharType="separate"/>
      </w:r>
      <w:r w:rsidR="008F29E5">
        <w:t>§ 34</w:t>
      </w:r>
      <w:bookmarkEnd w:id="1955"/>
      <w:bookmarkEnd w:id="1956"/>
      <w:r w:rsidRPr="00796736">
        <w:fldChar w:fldCharType="end"/>
      </w:r>
      <w:r w:rsidRPr="00796736">
        <w:t xml:space="preserve"> </w:t>
      </w:r>
    </w:p>
    <w:p w14:paraId="5243DE5C"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35-36 indeholder i dag regler om pligt til for virksomheder og personer omfattet af § 1, stk. 1, nr. 5, 8 og 10, for så vidt angår alternative investeringsfonde, og nr. 12-19, 21 og 22, at etablere interne indberetningskanaler til overtrædelse eller potentielle overtrædelser af hvidvaskloven eller regler udstedt i medfør heraf, særlige regler for indgåelse af aftaler indeholdende tavshedsklausuler i den forbindelse og beskyttelse mod ufordelagtig behandling eller ufordelagtige følger som følge af en ansat eller tidligere ansat persons indberetning. </w:t>
      </w:r>
    </w:p>
    <w:p w14:paraId="10B656E7" w14:textId="77777777" w:rsidR="005424F4" w:rsidRPr="00796736" w:rsidRDefault="005424F4" w:rsidP="00A802A5">
      <w:pPr>
        <w:spacing w:line="360" w:lineRule="auto"/>
        <w:rPr>
          <w:rFonts w:ascii="Times New Roman" w:hAnsi="Times New Roman" w:cs="Times New Roman"/>
          <w:sz w:val="24"/>
          <w:szCs w:val="24"/>
        </w:rPr>
      </w:pPr>
    </w:p>
    <w:p w14:paraId="3E30897A"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hvidvaskforordningens artikel 14, stk. 1, finder Europa-Parlamentet og Rådets direktiv (EU) 2019/1937 af 23. oktober 2019 om beskyttelse af personer, der indberetter overtrædelser af EU-retten med senere ændringer (herefter whistleblowerdirektivet) anvendelse for indberetninger af overtrædelser af hvidvaskforordningen, forordning (EU) 2023/1113 og eventuelle administrative retsakter udstedt af et tilsynsorgan og på beskyttelse af personer, de rindberetter sådanne overtrædelser. Efter artikel 14, stk. 2 og 3, skal forpligtede enheder der er fysiske eller juridiske personer og hvis aktiviteter udføres af mere end én fysisk person, etablere interne indberetningskanaler, som opfylder kravene i whistleblowerdirektivet.</w:t>
      </w:r>
    </w:p>
    <w:p w14:paraId="6716D194" w14:textId="77777777" w:rsidR="005424F4" w:rsidRPr="00796736" w:rsidRDefault="005424F4" w:rsidP="00A802A5">
      <w:pPr>
        <w:spacing w:line="360" w:lineRule="auto"/>
        <w:rPr>
          <w:rFonts w:ascii="Times New Roman" w:hAnsi="Times New Roman" w:cs="Times New Roman"/>
          <w:sz w:val="24"/>
          <w:szCs w:val="24"/>
        </w:rPr>
      </w:pPr>
    </w:p>
    <w:p w14:paraId="717306CF" w14:textId="398C77AA"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gældende ret henvises til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_Ref239757187 \n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3.33.1</w:t>
      </w:r>
      <w:r w:rsidRPr="00796736">
        <w:rPr>
          <w:rFonts w:ascii="Times New Roman" w:hAnsi="Times New Roman" w:cs="Times New Roman"/>
          <w:sz w:val="24"/>
          <w:szCs w:val="24"/>
        </w:rPr>
        <w:fldChar w:fldCharType="end"/>
      </w:r>
    </w:p>
    <w:p w14:paraId="64D9308D" w14:textId="77777777" w:rsidR="005424F4" w:rsidRPr="00796736" w:rsidRDefault="005424F4" w:rsidP="00A802A5">
      <w:pPr>
        <w:spacing w:line="360" w:lineRule="auto"/>
        <w:rPr>
          <w:rFonts w:ascii="Times New Roman" w:hAnsi="Times New Roman" w:cs="Times New Roman"/>
          <w:sz w:val="24"/>
          <w:szCs w:val="24"/>
        </w:rPr>
      </w:pPr>
    </w:p>
    <w:p w14:paraId="7B288D13" w14:textId="54A763CE"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_Ref239690743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34</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w:t>
      </w:r>
      <w:r w:rsidR="00496DAC" w:rsidRPr="00796736">
        <w:rPr>
          <w:rFonts w:ascii="Times New Roman" w:hAnsi="Times New Roman" w:cs="Times New Roman"/>
          <w:sz w:val="24"/>
          <w:szCs w:val="24"/>
        </w:rPr>
        <w:t>at lov om beskyttelse af whistleblowere finder tilsvarende anvendelse for virksomheder eller personer omfattet af hvidvaskforordningen og denne lov samt regler udstedt i medfør heraf, samt for ansatte og tidligere ansatte hos sådanne virksomheder eller personer, hvis aktiviteten hos den pågældende virksomhed eller person udføres af mere end én fysisk person</w:t>
      </w:r>
      <w:r w:rsidR="00496DAC">
        <w:rPr>
          <w:rFonts w:ascii="Times New Roman" w:hAnsi="Times New Roman" w:cs="Times New Roman"/>
          <w:sz w:val="24"/>
          <w:szCs w:val="24"/>
        </w:rPr>
        <w:t>,</w:t>
      </w:r>
      <w:r w:rsidR="00496DAC" w:rsidRPr="00796736">
        <w:rPr>
          <w:rFonts w:ascii="Times New Roman" w:hAnsi="Times New Roman" w:cs="Times New Roman"/>
          <w:sz w:val="24"/>
          <w:szCs w:val="24"/>
        </w:rPr>
        <w:t xml:space="preserve"> for indberetninger om overtrædelser af hvidvaskforordningen, forordning (EU) 2023/1113 og regler udstedt i medfør heraf</w:t>
      </w:r>
      <w:r w:rsidR="00496DAC">
        <w:rPr>
          <w:rFonts w:ascii="Times New Roman" w:hAnsi="Times New Roman" w:cs="Times New Roman"/>
          <w:sz w:val="24"/>
          <w:szCs w:val="24"/>
        </w:rPr>
        <w:t>, jf. dog § 2 i lov om beskyttelse af whistleblowere</w:t>
      </w:r>
      <w:r w:rsidR="00496DAC" w:rsidRPr="00796736">
        <w:rPr>
          <w:rFonts w:ascii="Times New Roman" w:hAnsi="Times New Roman" w:cs="Times New Roman"/>
          <w:sz w:val="24"/>
          <w:szCs w:val="24"/>
        </w:rPr>
        <w:t xml:space="preserve">. Finanstilsynet, Erhvervsstyrelsen, Spillemyndigheden eller </w:t>
      </w:r>
      <w:r w:rsidR="00496DAC">
        <w:rPr>
          <w:rFonts w:ascii="Times New Roman" w:hAnsi="Times New Roman" w:cs="Times New Roman"/>
          <w:sz w:val="24"/>
          <w:szCs w:val="24"/>
        </w:rPr>
        <w:t>Hvidvaskenheden</w:t>
      </w:r>
      <w:r w:rsidR="00496DAC" w:rsidRPr="00796736">
        <w:rPr>
          <w:rFonts w:ascii="Times New Roman" w:hAnsi="Times New Roman" w:cs="Times New Roman"/>
          <w:sz w:val="24"/>
          <w:szCs w:val="24"/>
        </w:rPr>
        <w:t xml:space="preserve"> kan etablere eksterne indberetningskanaler og følge op på indberetninger efter reglerne i lov om beskyttelse af whistleblowere.  </w:t>
      </w:r>
    </w:p>
    <w:p w14:paraId="5DB91BC5" w14:textId="77777777" w:rsidR="005424F4" w:rsidRPr="00796736" w:rsidRDefault="005424F4" w:rsidP="00A802A5">
      <w:pPr>
        <w:spacing w:line="360" w:lineRule="auto"/>
        <w:rPr>
          <w:rFonts w:ascii="Times New Roman" w:hAnsi="Times New Roman" w:cs="Times New Roman"/>
          <w:i/>
          <w:iCs/>
          <w:sz w:val="24"/>
          <w:szCs w:val="24"/>
        </w:rPr>
      </w:pPr>
    </w:p>
    <w:p w14:paraId="216B36CD"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 sammenhæng med hvidvaskforordningens artikel 14 indebære, at alle virksomheder og personer omfattet af hvidvaskforordningen eller denne lov eller regler udstedt i medfør af hvidvaskforordningen eller denne lov, samt ansatte og tidligere ansatte hos sådanne virksomheder eller personer, hvor aktiviteten hos den pågældende udføres af mere end én fysisk person, vil være omfattet af whistleblowerlovens bestemmelser, herunder kravene til etableringen af interne whistleblowerkanaler og at personer, som foretager indberetninger omfattet af loven, vil være omfattet af lovens beskyttelse, herunder beskyttelsen mod repressalier.</w:t>
      </w:r>
    </w:p>
    <w:p w14:paraId="29220EF8" w14:textId="77777777" w:rsidR="005424F4" w:rsidRPr="00796736" w:rsidRDefault="005424F4" w:rsidP="00A802A5">
      <w:pPr>
        <w:spacing w:line="360" w:lineRule="auto"/>
        <w:rPr>
          <w:rFonts w:ascii="Times New Roman" w:hAnsi="Times New Roman" w:cs="Times New Roman"/>
          <w:sz w:val="24"/>
          <w:szCs w:val="24"/>
        </w:rPr>
      </w:pPr>
    </w:p>
    <w:p w14:paraId="1AA51849"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vurderingen af, om en person er tidligere ansat i virksomheden, kan der bl.a. lægges vægt på aftalegrundlaget for en persons ansættelse, f.eks. om en person har en ansættelseskontrakt, om virksomheden eller personen har instruksbeføjelse over personen, om virksomheden eller personen bestemmer personens arbejdstider, om personen aflønnes som en ansat, om personen i overvejende grad har én og samme arbejdsgiver, om virksomheden eller personen fører tilsyn og kontrol med personens arbejde, om virksomheden eller personen afholder udgifter forbundet med personens arbejde, eller om personen har ret til opsigelsesvarsel. Opregningen er ikke udtømmende, og andre forhold vil ligeledes kunne indgå i vurderingen.</w:t>
      </w:r>
    </w:p>
    <w:p w14:paraId="4AA17A57" w14:textId="77777777" w:rsidR="005424F4" w:rsidRPr="00796736" w:rsidRDefault="005424F4" w:rsidP="00A802A5">
      <w:pPr>
        <w:spacing w:line="360" w:lineRule="auto"/>
        <w:rPr>
          <w:rFonts w:ascii="Times New Roman" w:hAnsi="Times New Roman" w:cs="Times New Roman"/>
          <w:sz w:val="24"/>
          <w:szCs w:val="24"/>
        </w:rPr>
      </w:pPr>
    </w:p>
    <w:p w14:paraId="2FDF42EF" w14:textId="1ECF2849"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bl.a. indebære, at bestemmelsen i whistleblowerlovens § 4 om at loven ikke kan fraviges til skade for whistlebloweren eller berørte personer</w:t>
      </w:r>
      <w:r w:rsidR="00496DAC">
        <w:rPr>
          <w:rFonts w:ascii="Times New Roman" w:hAnsi="Times New Roman" w:cs="Times New Roman"/>
          <w:sz w:val="24"/>
          <w:szCs w:val="24"/>
        </w:rPr>
        <w:t>.</w:t>
      </w:r>
      <w:r w:rsidRPr="00796736">
        <w:rPr>
          <w:rFonts w:ascii="Times New Roman" w:hAnsi="Times New Roman" w:cs="Times New Roman"/>
          <w:sz w:val="24"/>
          <w:szCs w:val="24"/>
        </w:rPr>
        <w:t xml:space="preserve"> </w:t>
      </w:r>
    </w:p>
    <w:p w14:paraId="231790CF" w14:textId="77777777" w:rsidR="005424F4" w:rsidRPr="00796736" w:rsidRDefault="005424F4" w:rsidP="00A802A5">
      <w:pPr>
        <w:spacing w:line="360" w:lineRule="auto"/>
        <w:rPr>
          <w:rFonts w:ascii="Times New Roman" w:hAnsi="Times New Roman" w:cs="Times New Roman"/>
          <w:sz w:val="24"/>
          <w:szCs w:val="24"/>
        </w:rPr>
      </w:pPr>
    </w:p>
    <w:p w14:paraId="1E00B8B6" w14:textId="77777777" w:rsidR="00B7771B" w:rsidRDefault="00B7771B" w:rsidP="00B7771B">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ordning vil Finanstilsynet, Erhvervsstyrelsen, Spillemyndigheden og </w:t>
      </w:r>
      <w:r>
        <w:rPr>
          <w:rFonts w:ascii="Times New Roman" w:hAnsi="Times New Roman" w:cs="Times New Roman"/>
          <w:sz w:val="24"/>
          <w:szCs w:val="24"/>
        </w:rPr>
        <w:t>Hvidvaskenheden</w:t>
      </w:r>
      <w:r w:rsidRPr="00796736">
        <w:rPr>
          <w:rFonts w:ascii="Times New Roman" w:hAnsi="Times New Roman" w:cs="Times New Roman"/>
          <w:sz w:val="24"/>
          <w:szCs w:val="24"/>
        </w:rPr>
        <w:t xml:space="preserve"> være kompetente til at etablere eksterne indberetningskanaler og følge op på indberetninger efter reglerne i lov om beskyttelse af whistleblowere. Det forudsættes i den forbindelse, at den eksisterende uafhængige og selvstændige eksterne whistleblowerordning etableret af Datatilsynet efter whistleblowerlovens § 17, stk. 1, vil udgøre en ekstern indberetningskanal for de virksomheder og personer, for hvem whistleblowerloven efter den foreslåede ordning vil få tilsvarende anvendelse.</w:t>
      </w:r>
    </w:p>
    <w:p w14:paraId="3AEC519C" w14:textId="77777777" w:rsidR="009F7349" w:rsidRDefault="009F7349" w:rsidP="00B7771B">
      <w:pPr>
        <w:spacing w:line="360" w:lineRule="auto"/>
        <w:rPr>
          <w:rFonts w:ascii="Times New Roman" w:hAnsi="Times New Roman" w:cs="Times New Roman"/>
          <w:sz w:val="24"/>
          <w:szCs w:val="24"/>
        </w:rPr>
      </w:pPr>
    </w:p>
    <w:p w14:paraId="0521921C" w14:textId="77777777" w:rsidR="009F7349" w:rsidRPr="00796736" w:rsidRDefault="009F7349" w:rsidP="009F7349">
      <w:pPr>
        <w:spacing w:line="360" w:lineRule="auto"/>
        <w:rPr>
          <w:rFonts w:ascii="Times New Roman" w:hAnsi="Times New Roman" w:cs="Times New Roman"/>
          <w:sz w:val="24"/>
          <w:szCs w:val="24"/>
        </w:rPr>
      </w:pPr>
      <w:r>
        <w:rPr>
          <w:rFonts w:ascii="Times New Roman" w:eastAsia="Calibri" w:hAnsi="Times New Roman" w:cs="Times New Roman"/>
          <w:sz w:val="24"/>
          <w:szCs w:val="24"/>
        </w:rPr>
        <w:t>Den foreslåede bestemmelse indebærer endvidere, at reglerne i hvidvaskloven eller hvidvaskforordningen har forrang, når de giver whistlebloweren en bedre beskyttelse, end whistlebloweren vil få i medfør af lov om beskyttelse af whistleblowere, jf. herved henvisningen til denne lovs § 2. Det foreslåede indebærer endvidere, at udover at leve op til kravene i hvidvaskforordningen og hvidvaskloven, vil virksomheder og personer omfattet af bestemmelsen tillige skulle opfylde minimumskravene i lov om beskyttelse af whistleblowere i det omfang, kravene giver de ansatte en bedre beskyttelse end den foreslåede hvidvasklov eller forordningen.</w:t>
      </w:r>
    </w:p>
    <w:p w14:paraId="5DE8BB53" w14:textId="77777777" w:rsidR="005424F4" w:rsidRPr="00796736" w:rsidRDefault="005424F4" w:rsidP="00A802A5">
      <w:pPr>
        <w:spacing w:line="360" w:lineRule="auto"/>
        <w:rPr>
          <w:rFonts w:ascii="Times New Roman" w:hAnsi="Times New Roman" w:cs="Times New Roman"/>
          <w:sz w:val="24"/>
          <w:szCs w:val="24"/>
        </w:rPr>
      </w:pPr>
    </w:p>
    <w:p w14:paraId="44673D30" w14:textId="77777777" w:rsidR="005424F4"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tilsynsorganerne i henhold til den foreslåede lov som led i deres tilsyn vil skulle påse, at virksomheder og personer under deres tilsyn, som er omfattet af den foreslåede bestemmelse har etableret interne indberetningskanaler, men ikke i øvrigt vil skulle føre tilsyn med, om virksomhederne og personerne lever op til whistleblowerlovens krav. Dette svarer til myndighedernes nuværende tilsyn med overholdelsen af hvidvasklovens §§ 35-36. </w:t>
      </w:r>
    </w:p>
    <w:p w14:paraId="6D0A2E90" w14:textId="77777777" w:rsidR="00A54AC9" w:rsidRDefault="00A54AC9" w:rsidP="00A802A5">
      <w:pPr>
        <w:spacing w:line="360" w:lineRule="auto"/>
        <w:rPr>
          <w:rFonts w:ascii="Times New Roman" w:hAnsi="Times New Roman" w:cs="Times New Roman"/>
          <w:sz w:val="24"/>
          <w:szCs w:val="24"/>
        </w:rPr>
      </w:pPr>
    </w:p>
    <w:p w14:paraId="7A82D9DA" w14:textId="5EF65BDD" w:rsidR="00A54AC9" w:rsidRPr="00303E15" w:rsidRDefault="00A54AC9" w:rsidP="00303E15">
      <w:pPr>
        <w:spacing w:after="24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Det foreslåede ændrer ikke på, at tilsynsorganerne og tilsynsmyndighederne i medfør af den foreslåede lov fører tilsyn med hvidvaskreguleringen. Disse vil således have kompetence til at føre tilsyn med den foreslåede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_Ref239690743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34</w:t>
      </w:r>
      <w:r w:rsidRPr="00796736">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herunder kravet om at have en intern whistleblowerordning. Organerne og myndighederne vil imidlertid ikke have kompetence til at føre tilsyn med reglerne i lov om beskyttelse af whistleblowere eller overholdelsen heraf. </w:t>
      </w:r>
    </w:p>
    <w:p w14:paraId="0B51BF11" w14:textId="77777777" w:rsidR="00A54AC9" w:rsidRPr="00796736" w:rsidRDefault="00A54AC9" w:rsidP="00A802A5">
      <w:pPr>
        <w:spacing w:line="360" w:lineRule="auto"/>
        <w:rPr>
          <w:rFonts w:ascii="Times New Roman" w:hAnsi="Times New Roman" w:cs="Times New Roman"/>
          <w:sz w:val="24"/>
          <w:szCs w:val="24"/>
        </w:rPr>
      </w:pPr>
    </w:p>
    <w:p w14:paraId="47A332B4" w14:textId="77777777" w:rsidR="005424F4" w:rsidRPr="00796736" w:rsidRDefault="005424F4" w:rsidP="00A802A5">
      <w:pPr>
        <w:spacing w:line="360" w:lineRule="auto"/>
        <w:rPr>
          <w:rFonts w:ascii="Times New Roman" w:hAnsi="Times New Roman" w:cs="Times New Roman"/>
          <w:sz w:val="24"/>
          <w:szCs w:val="24"/>
        </w:rPr>
      </w:pPr>
    </w:p>
    <w:p w14:paraId="5ADCFC2E"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supplerer hvidvaskforordningens artikel 14 og gennemfører 6. hvidvaskdirektivs artikel 60.</w:t>
      </w:r>
    </w:p>
    <w:p w14:paraId="1A504B58" w14:textId="77777777" w:rsidR="005424F4" w:rsidRPr="00796736" w:rsidRDefault="005424F4" w:rsidP="00A802A5">
      <w:pPr>
        <w:spacing w:line="360" w:lineRule="auto"/>
        <w:rPr>
          <w:rFonts w:ascii="Times New Roman" w:hAnsi="Times New Roman" w:cs="Times New Roman"/>
          <w:sz w:val="24"/>
          <w:szCs w:val="24"/>
        </w:rPr>
      </w:pPr>
    </w:p>
    <w:p w14:paraId="62BDDF01" w14:textId="77777777" w:rsidR="004A72D6" w:rsidRPr="00796736" w:rsidRDefault="004A72D6" w:rsidP="00A802A5">
      <w:pPr>
        <w:spacing w:line="360" w:lineRule="auto"/>
        <w:rPr>
          <w:rFonts w:ascii="Times New Roman" w:hAnsi="Times New Roman" w:cs="Times New Roman"/>
          <w:i/>
          <w:iCs/>
          <w:sz w:val="24"/>
          <w:szCs w:val="24"/>
        </w:rPr>
      </w:pPr>
    </w:p>
    <w:p w14:paraId="7B7A7C62" w14:textId="2689C1C2" w:rsidR="00F63423" w:rsidRPr="00796736" w:rsidRDefault="00240DBE" w:rsidP="00A802A5">
      <w:pPr>
        <w:pStyle w:val="Undertitel"/>
      </w:pPr>
      <w:bookmarkStart w:id="1957" w:name="_Toc232109367"/>
      <w:bookmarkStart w:id="1958" w:name="_Toc244879331"/>
      <w:bookmarkStart w:id="1959" w:name="_Toc244880856"/>
      <w:r w:rsidRPr="00796736">
        <w:t xml:space="preserve">Til </w:t>
      </w:r>
      <w:r w:rsidR="006719DB" w:rsidRPr="00796736">
        <w:fldChar w:fldCharType="begin"/>
      </w:r>
      <w:r w:rsidR="006719DB" w:rsidRPr="00796736">
        <w:instrText xml:space="preserve"> REF _Ref232596358 \r \h </w:instrText>
      </w:r>
      <w:r w:rsidR="00967618" w:rsidRPr="00796736">
        <w:instrText xml:space="preserve"> \* MERGEFORMAT </w:instrText>
      </w:r>
      <w:r w:rsidR="006719DB" w:rsidRPr="00796736">
        <w:fldChar w:fldCharType="separate"/>
      </w:r>
      <w:r w:rsidR="008F29E5">
        <w:t>§ 35</w:t>
      </w:r>
      <w:bookmarkEnd w:id="1958"/>
      <w:bookmarkEnd w:id="1959"/>
      <w:r w:rsidR="006719DB" w:rsidRPr="00796736">
        <w:fldChar w:fldCharType="end"/>
      </w:r>
      <w:r w:rsidR="006719DB" w:rsidRPr="00796736">
        <w:t xml:space="preserve"> </w:t>
      </w:r>
      <w:bookmarkEnd w:id="1957"/>
    </w:p>
    <w:p w14:paraId="536CB72A" w14:textId="77777777" w:rsidR="00556301" w:rsidRPr="00796736" w:rsidRDefault="00556301" w:rsidP="00A802A5">
      <w:pPr>
        <w:spacing w:line="360" w:lineRule="auto"/>
        <w:jc w:val="left"/>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 36 a, stk. 1, i hvidvaskloven, at den daglige ledelse uden unødigt ophold skal rapportere advarsler om hvidvask eller terrorfinansiering modtaget fra andre, herunder udenlandske myndigheder, eksterne revisorer og konsulenter samt whistleblowere til virksomhedens øverste ledelsesorgan.</w:t>
      </w:r>
    </w:p>
    <w:p w14:paraId="0CBBABCA" w14:textId="77777777" w:rsidR="00556301" w:rsidRPr="00796736" w:rsidRDefault="00556301" w:rsidP="00A802A5">
      <w:pPr>
        <w:spacing w:line="360" w:lineRule="auto"/>
        <w:jc w:val="left"/>
        <w:rPr>
          <w:rFonts w:ascii="Times New Roman" w:eastAsia="Calibri" w:hAnsi="Times New Roman" w:cs="Times New Roman"/>
          <w:sz w:val="24"/>
          <w:szCs w:val="24"/>
        </w:rPr>
      </w:pPr>
    </w:p>
    <w:p w14:paraId="16BA1C95" w14:textId="77777777" w:rsidR="00556301" w:rsidRPr="00796736" w:rsidRDefault="00556301" w:rsidP="00A802A5">
      <w:pPr>
        <w:spacing w:line="360" w:lineRule="auto"/>
        <w:jc w:val="left"/>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endvidere af samme bestemmelses stk. 2, at nøglepersoner i virksomheder omfattet af § 1, stk. 1, tilsvarende uden unødigt ophold skal rapportere til den daglige ledelse eller virksomhedens øverste ledelsesorgan om advarsler om hvidvask eller terrorfinansiering modtaget fra andre, herunder fra udenlandske myndigheder, eksterne revisorer og konsulenter samt whistleblowere. Modtager den daglige ledelse en rapportering om en modtaget advarsel fra medarbejdere, skal den daglige ledelse vidererapportere advarslen til virksomhedens øverste ledelsesorgan.</w:t>
      </w:r>
    </w:p>
    <w:p w14:paraId="7CE73C71" w14:textId="77777777" w:rsidR="00556301" w:rsidRPr="00796736" w:rsidRDefault="00556301" w:rsidP="00A802A5">
      <w:pPr>
        <w:spacing w:line="360" w:lineRule="auto"/>
        <w:jc w:val="left"/>
        <w:rPr>
          <w:rFonts w:ascii="Times New Roman" w:eastAsia="Calibri" w:hAnsi="Times New Roman" w:cs="Times New Roman"/>
          <w:sz w:val="24"/>
          <w:szCs w:val="24"/>
        </w:rPr>
      </w:pPr>
      <w:r w:rsidRPr="00796736">
        <w:rPr>
          <w:rFonts w:ascii="Times New Roman" w:eastAsia="Calibri" w:hAnsi="Times New Roman" w:cs="Times New Roman"/>
          <w:sz w:val="24"/>
          <w:szCs w:val="24"/>
        </w:rPr>
        <w:br/>
        <w:t>Bestemmelsen i hvidvasklovens § 36 a forslås videreført.</w:t>
      </w:r>
    </w:p>
    <w:p w14:paraId="4E06C3B8" w14:textId="77777777" w:rsidR="00556301" w:rsidRPr="00796736" w:rsidRDefault="00556301" w:rsidP="00A802A5">
      <w:pPr>
        <w:spacing w:line="360" w:lineRule="auto"/>
        <w:rPr>
          <w:rFonts w:ascii="Times New Roman" w:eastAsia="Calibri" w:hAnsi="Times New Roman" w:cs="Times New Roman"/>
          <w:sz w:val="24"/>
          <w:szCs w:val="24"/>
        </w:rPr>
      </w:pPr>
    </w:p>
    <w:p w14:paraId="748F4FAB" w14:textId="6C45A775"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5255A" w:rsidRPr="00796736">
        <w:rPr>
          <w:rFonts w:ascii="Times New Roman" w:hAnsi="Times New Roman" w:cs="Times New Roman"/>
          <w:i/>
          <w:iCs/>
          <w:sz w:val="24"/>
          <w:szCs w:val="24"/>
        </w:rPr>
        <w:fldChar w:fldCharType="begin"/>
      </w:r>
      <w:r w:rsidR="0095255A" w:rsidRPr="00796736">
        <w:rPr>
          <w:rFonts w:ascii="Times New Roman" w:hAnsi="Times New Roman" w:cs="Times New Roman"/>
          <w:i/>
          <w:iCs/>
          <w:sz w:val="24"/>
          <w:szCs w:val="24"/>
        </w:rPr>
        <w:instrText xml:space="preserve"> REF _Ref232596358 \r \h  \* MERGEFORMAT </w:instrText>
      </w:r>
      <w:r w:rsidR="0095255A" w:rsidRPr="00796736">
        <w:rPr>
          <w:rFonts w:ascii="Times New Roman" w:hAnsi="Times New Roman" w:cs="Times New Roman"/>
          <w:i/>
          <w:iCs/>
          <w:sz w:val="24"/>
          <w:szCs w:val="24"/>
        </w:rPr>
      </w:r>
      <w:r w:rsidR="0095255A"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35</w:t>
      </w:r>
      <w:r w:rsidR="0095255A" w:rsidRPr="00796736">
        <w:rPr>
          <w:rFonts w:ascii="Times New Roman" w:hAnsi="Times New Roman" w:cs="Times New Roman"/>
          <w:i/>
          <w:iCs/>
          <w:sz w:val="24"/>
          <w:szCs w:val="24"/>
        </w:rPr>
        <w:fldChar w:fldCharType="end"/>
      </w:r>
      <w:r w:rsidRPr="00796736">
        <w:rPr>
          <w:rFonts w:ascii="Times New Roman" w:eastAsia="Calibri" w:hAnsi="Times New Roman" w:cs="Times New Roman"/>
          <w:i/>
          <w:iCs/>
          <w:sz w:val="24"/>
          <w:szCs w:val="24"/>
        </w:rPr>
        <w:t>, stk. 1</w:t>
      </w:r>
      <w:r w:rsidRPr="00796736">
        <w:rPr>
          <w:rFonts w:ascii="Times New Roman" w:eastAsia="Calibri" w:hAnsi="Times New Roman" w:cs="Times New Roman"/>
          <w:sz w:val="24"/>
          <w:szCs w:val="24"/>
        </w:rPr>
        <w:t xml:space="preserve">, at den daglige ledelse i virksomheder nævnt i lovforslagets </w:t>
      </w:r>
      <w:r w:rsidR="00D06F9F" w:rsidRPr="00796736">
        <w:rPr>
          <w:rFonts w:ascii="Times New Roman" w:hAnsi="Times New Roman" w:cs="Times New Roman"/>
          <w:sz w:val="24"/>
          <w:szCs w:val="24"/>
        </w:rPr>
        <w:t xml:space="preserve">nævnt i </w:t>
      </w:r>
      <w:r w:rsidR="005424F4" w:rsidRPr="00796736">
        <w:rPr>
          <w:rFonts w:ascii="Times New Roman" w:hAnsi="Times New Roman" w:cs="Times New Roman"/>
          <w:sz w:val="24"/>
          <w:szCs w:val="24"/>
        </w:rPr>
        <w:fldChar w:fldCharType="begin"/>
      </w:r>
      <w:r w:rsidR="005424F4" w:rsidRPr="00796736">
        <w:rPr>
          <w:rFonts w:ascii="Times New Roman" w:hAnsi="Times New Roman" w:cs="Times New Roman"/>
          <w:sz w:val="24"/>
          <w:szCs w:val="24"/>
        </w:rPr>
        <w:instrText xml:space="preserve"> REF _Ref232583170 \r \h </w:instrText>
      </w:r>
      <w:r w:rsidR="00F375BF" w:rsidRPr="00796736">
        <w:rPr>
          <w:rFonts w:ascii="Times New Roman" w:hAnsi="Times New Roman" w:cs="Times New Roman"/>
          <w:sz w:val="24"/>
          <w:szCs w:val="24"/>
        </w:rPr>
        <w:instrText xml:space="preserve"> \* MERGEFORMAT </w:instrText>
      </w:r>
      <w:r w:rsidR="005424F4" w:rsidRPr="00796736">
        <w:rPr>
          <w:rFonts w:ascii="Times New Roman" w:hAnsi="Times New Roman" w:cs="Times New Roman"/>
          <w:sz w:val="24"/>
          <w:szCs w:val="24"/>
        </w:rPr>
      </w:r>
      <w:r w:rsidR="005424F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005424F4" w:rsidRPr="00796736">
        <w:rPr>
          <w:rFonts w:ascii="Times New Roman" w:hAnsi="Times New Roman" w:cs="Times New Roman"/>
          <w:sz w:val="24"/>
          <w:szCs w:val="24"/>
        </w:rPr>
        <w:fldChar w:fldCharType="end"/>
      </w:r>
      <w:r w:rsidR="00D06F9F" w:rsidRPr="00796736">
        <w:rPr>
          <w:rFonts w:ascii="Times New Roman" w:hAnsi="Times New Roman" w:cs="Times New Roman"/>
          <w:sz w:val="24"/>
          <w:szCs w:val="24"/>
        </w:rPr>
        <w:t>, stk. 2</w:t>
      </w:r>
      <w:r w:rsidR="002B4BDE">
        <w:rPr>
          <w:rFonts w:ascii="Times New Roman" w:hAnsi="Times New Roman" w:cs="Times New Roman"/>
          <w:sz w:val="24"/>
          <w:szCs w:val="24"/>
        </w:rPr>
        <w:t>, nr. 1-3</w:t>
      </w:r>
      <w:r w:rsidR="00D06F9F" w:rsidRPr="00796736">
        <w:rPr>
          <w:rFonts w:ascii="Times New Roman" w:hAnsi="Times New Roman" w:cs="Times New Roman"/>
          <w:sz w:val="24"/>
          <w:szCs w:val="24"/>
        </w:rPr>
        <w:t xml:space="preserve">, samt </w:t>
      </w:r>
      <w:r w:rsidR="005424F4" w:rsidRPr="00796736">
        <w:rPr>
          <w:rFonts w:ascii="Times New Roman" w:hAnsi="Times New Roman" w:cs="Times New Roman"/>
          <w:sz w:val="24"/>
          <w:szCs w:val="24"/>
        </w:rPr>
        <w:fldChar w:fldCharType="begin"/>
      </w:r>
      <w:r w:rsidR="005424F4" w:rsidRPr="00796736">
        <w:rPr>
          <w:rFonts w:ascii="Times New Roman" w:hAnsi="Times New Roman" w:cs="Times New Roman"/>
          <w:sz w:val="24"/>
          <w:szCs w:val="24"/>
        </w:rPr>
        <w:instrText xml:space="preserve"> REF _Ref232592818 \r \h </w:instrText>
      </w:r>
      <w:r w:rsidR="00F375BF" w:rsidRPr="00796736">
        <w:rPr>
          <w:rFonts w:ascii="Times New Roman" w:hAnsi="Times New Roman" w:cs="Times New Roman"/>
          <w:sz w:val="24"/>
          <w:szCs w:val="24"/>
        </w:rPr>
        <w:instrText xml:space="preserve"> \* MERGEFORMAT </w:instrText>
      </w:r>
      <w:r w:rsidR="005424F4" w:rsidRPr="00796736">
        <w:rPr>
          <w:rFonts w:ascii="Times New Roman" w:hAnsi="Times New Roman" w:cs="Times New Roman"/>
          <w:sz w:val="24"/>
          <w:szCs w:val="24"/>
        </w:rPr>
      </w:r>
      <w:r w:rsidR="005424F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5424F4" w:rsidRPr="00796736">
        <w:rPr>
          <w:rFonts w:ascii="Times New Roman" w:hAnsi="Times New Roman" w:cs="Times New Roman"/>
          <w:sz w:val="24"/>
          <w:szCs w:val="24"/>
        </w:rPr>
        <w:fldChar w:fldCharType="end"/>
      </w:r>
      <w:r w:rsidR="00D06F9F" w:rsidRPr="00796736">
        <w:rPr>
          <w:rFonts w:ascii="Times New Roman" w:hAnsi="Times New Roman" w:cs="Times New Roman"/>
          <w:sz w:val="24"/>
          <w:szCs w:val="24"/>
        </w:rPr>
        <w:t>, nr. 1-</w:t>
      </w:r>
      <w:r w:rsidR="00586D2B">
        <w:rPr>
          <w:rFonts w:ascii="Times New Roman" w:hAnsi="Times New Roman" w:cs="Times New Roman"/>
          <w:sz w:val="24"/>
          <w:szCs w:val="24"/>
        </w:rPr>
        <w:t>32, litra a-c</w:t>
      </w:r>
      <w:r w:rsidRPr="00796736">
        <w:rPr>
          <w:rFonts w:ascii="Times New Roman" w:eastAsia="Calibri" w:hAnsi="Times New Roman" w:cs="Times New Roman"/>
          <w:sz w:val="24"/>
          <w:szCs w:val="24"/>
        </w:rPr>
        <w:t>, til virksomhedens øverste ledelsesorgan uden unødigt ophold skal rapportere om advarsler om hvidvask eller terrorfinansiering modtaget fra andre, herunder fra udenlandske myndigheder, eksterne revisorer og konsulenter samt whistleblowere.</w:t>
      </w:r>
    </w:p>
    <w:p w14:paraId="38F04D8E" w14:textId="77777777" w:rsidR="00556301" w:rsidRPr="00796736" w:rsidRDefault="00556301" w:rsidP="00A802A5">
      <w:pPr>
        <w:spacing w:line="360" w:lineRule="auto"/>
        <w:rPr>
          <w:rFonts w:ascii="Times New Roman" w:eastAsia="Calibri" w:hAnsi="Times New Roman" w:cs="Times New Roman"/>
          <w:sz w:val="24"/>
          <w:szCs w:val="24"/>
        </w:rPr>
      </w:pPr>
    </w:p>
    <w:p w14:paraId="75DC12EE"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foreslåede indebærer, at rapporteringspligten til virksomhedens øverste ledelsesorgan om advarsler om hvidvask eller terrorfinansiering påhviler den daglige ledelse.</w:t>
      </w:r>
    </w:p>
    <w:p w14:paraId="16CF2634" w14:textId="77777777" w:rsidR="00556301" w:rsidRPr="00796736" w:rsidRDefault="00556301" w:rsidP="00A802A5">
      <w:pPr>
        <w:spacing w:line="360" w:lineRule="auto"/>
        <w:rPr>
          <w:rFonts w:ascii="Times New Roman" w:eastAsia="Calibri" w:hAnsi="Times New Roman" w:cs="Times New Roman"/>
          <w:sz w:val="24"/>
          <w:szCs w:val="24"/>
        </w:rPr>
      </w:pPr>
    </w:p>
    <w:p w14:paraId="23F9688B"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daglige ledelse omfatter personer, der har ansvaret for en juridisk persons daglige ledelse, herunder for drift, omsætning og øvrige resultater. En juridisk persons daglige ledelse vil typisk varetages af den juridiske persons direktion. </w:t>
      </w:r>
    </w:p>
    <w:p w14:paraId="322C5332" w14:textId="77777777" w:rsidR="00556301" w:rsidRPr="00796736" w:rsidRDefault="00556301" w:rsidP="00A802A5">
      <w:pPr>
        <w:spacing w:line="360" w:lineRule="auto"/>
        <w:rPr>
          <w:rFonts w:ascii="Times New Roman" w:eastAsia="Calibri" w:hAnsi="Times New Roman" w:cs="Times New Roman"/>
          <w:sz w:val="24"/>
          <w:szCs w:val="24"/>
        </w:rPr>
      </w:pPr>
    </w:p>
    <w:p w14:paraId="69806F91"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Rapporteringen til virksomhedens øverste ledelsesorgan skal ske uden unødigt ophold. Det betyder, at advarsler om hvidvask eller terrorfinansiering skal rapporteres til bestyrelsen hurtigst muligt efter, at advarslen om hvidvask eller terrorfinansiering modtages i virksomheden.</w:t>
      </w:r>
    </w:p>
    <w:p w14:paraId="7F44F5AC" w14:textId="77777777" w:rsidR="00556301" w:rsidRPr="00796736" w:rsidRDefault="00556301" w:rsidP="00A802A5">
      <w:pPr>
        <w:spacing w:line="360" w:lineRule="auto"/>
        <w:rPr>
          <w:rFonts w:ascii="Times New Roman" w:eastAsia="Calibri" w:hAnsi="Times New Roman" w:cs="Times New Roman"/>
          <w:sz w:val="24"/>
          <w:szCs w:val="24"/>
        </w:rPr>
      </w:pPr>
    </w:p>
    <w:p w14:paraId="1391CC2F"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rapportering forstås, at virksomhedens øverste ledelsesorgan gøres bekendt med alle relevante oplysninger om advarslen om hvidvask eller terrorfinansiering, herunder dennes indhold, afsender af advarslen og under hvilke omstændigheder, advarslen er modtaget. </w:t>
      </w:r>
    </w:p>
    <w:p w14:paraId="5B52F4EC" w14:textId="77777777" w:rsidR="00556301" w:rsidRPr="00796736" w:rsidRDefault="00556301" w:rsidP="00A802A5">
      <w:pPr>
        <w:spacing w:line="360" w:lineRule="auto"/>
        <w:rPr>
          <w:rFonts w:ascii="Times New Roman" w:eastAsia="Calibri" w:hAnsi="Times New Roman" w:cs="Times New Roman"/>
          <w:sz w:val="24"/>
          <w:szCs w:val="24"/>
        </w:rPr>
      </w:pPr>
    </w:p>
    <w:p w14:paraId="188AF760"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er hensigten, at de virksomheder, som er omfattet af rapporteringsforpligtelsen, skal vurdere, om en given advarsel om hvidvask eller finansiering af terrorisme har en sådan forbindelse og relevans for virksomheden, dennes kunder, ansatte, koncernforbundne selskaber m.v., at det medfører, at der skal ske rapportering i overensstemmelse med den foreslåede bestemmelse. Der skal i den forbindelse ikke stilles strenge krav til graden af tilknytning til virksomheden m.fl., førend forpligtelsen finder anvendelse, idet selv en advarsel om hvidvask eller finansiering af terrorisme med mindre tilknytning til virksomheden kan have relevans og betydning for virksomheden. </w:t>
      </w:r>
    </w:p>
    <w:p w14:paraId="2640D819" w14:textId="77777777" w:rsidR="00556301" w:rsidRPr="00796736" w:rsidRDefault="00556301" w:rsidP="00A802A5">
      <w:pPr>
        <w:spacing w:line="360" w:lineRule="auto"/>
        <w:rPr>
          <w:rFonts w:ascii="Times New Roman" w:eastAsia="Calibri" w:hAnsi="Times New Roman" w:cs="Times New Roman"/>
          <w:sz w:val="24"/>
          <w:szCs w:val="24"/>
        </w:rPr>
      </w:pPr>
    </w:p>
    <w:p w14:paraId="20AEEFBB"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en advarsel om hvidvask eller terrorfinansiering forstås enhver meddelelse fra andre, herunder de oplistede afsendere, som vedrører en viden eller mistanke om en tidligere, nuværende eller eventuelt kommende overtrædelse af reglerne om hvidvask og terrorfinansiering med forbindelse til virksomheden, dennes kunder, ansatte, koncernforbundne selskaber m.v. </w:t>
      </w:r>
    </w:p>
    <w:p w14:paraId="722F98B2" w14:textId="77777777" w:rsidR="00556301" w:rsidRPr="00796736" w:rsidRDefault="00556301" w:rsidP="00A802A5">
      <w:pPr>
        <w:spacing w:line="360" w:lineRule="auto"/>
        <w:rPr>
          <w:rFonts w:ascii="Times New Roman" w:eastAsia="Calibri" w:hAnsi="Times New Roman" w:cs="Times New Roman"/>
          <w:sz w:val="24"/>
          <w:szCs w:val="24"/>
        </w:rPr>
      </w:pPr>
    </w:p>
    <w:p w14:paraId="2701D49C"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Meddelelser, der er åbenlyst grundløse, f.eks. hvor meddelelsen vedrører et forhold, som ikke er tilstrækkeligt konkret, eller hvor meddelelsen kommer fra en afsender, som må formodes ikke at have indsigt i truslen om hvidvask eller terrorfinansiering, vil falde uden for advarselsbegrebet og dermed ikke indebære en rapporteringsforpligtelse.</w:t>
      </w:r>
    </w:p>
    <w:p w14:paraId="0C46268A" w14:textId="77777777" w:rsidR="00556301" w:rsidRPr="00796736" w:rsidRDefault="00556301" w:rsidP="00A802A5">
      <w:pPr>
        <w:spacing w:line="360" w:lineRule="auto"/>
        <w:rPr>
          <w:rFonts w:ascii="Times New Roman" w:eastAsia="Calibri" w:hAnsi="Times New Roman" w:cs="Times New Roman"/>
          <w:sz w:val="24"/>
          <w:szCs w:val="24"/>
        </w:rPr>
      </w:pPr>
    </w:p>
    <w:p w14:paraId="7A4122A5"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Omfattet af rapporteringsforpligtelsen er advarsler fra andre, herunder udenlandske myndigheder, eksterne revisorer og konsulenter samt whistleblowere. </w:t>
      </w:r>
    </w:p>
    <w:p w14:paraId="2FDAFBB8" w14:textId="77777777" w:rsidR="00556301" w:rsidRPr="00796736" w:rsidRDefault="00556301" w:rsidP="00A802A5">
      <w:pPr>
        <w:spacing w:line="360" w:lineRule="auto"/>
        <w:rPr>
          <w:rFonts w:ascii="Times New Roman" w:eastAsia="Calibri" w:hAnsi="Times New Roman" w:cs="Times New Roman"/>
          <w:sz w:val="24"/>
          <w:szCs w:val="24"/>
        </w:rPr>
      </w:pPr>
    </w:p>
    <w:p w14:paraId="7EF78B58"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Som udenlandsk myndighed anses enhver institution, som er en del af den offentlige forvaltning i et andet land end Danmark. Dette kan omfatte andre landes tilsyns-, skatte-, politi og anklagemyndigheder, men begrebet er ikke begrænset til at omfatte disse typer af myndigheder. Advarsler fra andre landes centralbanker vil også være omfattet af rapporteringsforpligtelsen. Advarsler modtaget fra institutioner, som er en del af den offentlige forvaltning i Danmark, sidestilles med advarsler modtaget fra udenlandske myndigheder.</w:t>
      </w:r>
    </w:p>
    <w:p w14:paraId="79A9B670" w14:textId="77777777" w:rsidR="00556301" w:rsidRPr="00796736" w:rsidRDefault="00556301" w:rsidP="00A802A5">
      <w:pPr>
        <w:spacing w:line="360" w:lineRule="auto"/>
        <w:rPr>
          <w:rFonts w:ascii="Times New Roman" w:eastAsia="Calibri" w:hAnsi="Times New Roman" w:cs="Times New Roman"/>
          <w:sz w:val="24"/>
          <w:szCs w:val="24"/>
        </w:rPr>
      </w:pPr>
    </w:p>
    <w:p w14:paraId="7EC8D01C"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eksterne revisorer forstås personer eller virksomheder, der er godkendt efter §§ 3, 10 eller 11 i revisorloven, som udfører revisionsydelser eller lignende ydelser for virksomheden, og som ikke indgår i et ansættelsesforhold med virksomheden. </w:t>
      </w:r>
    </w:p>
    <w:p w14:paraId="78E4B1E3" w14:textId="77777777" w:rsidR="00556301" w:rsidRPr="00796736" w:rsidRDefault="00556301" w:rsidP="00A802A5">
      <w:pPr>
        <w:spacing w:line="360" w:lineRule="auto"/>
        <w:rPr>
          <w:rFonts w:ascii="Times New Roman" w:eastAsia="Calibri" w:hAnsi="Times New Roman" w:cs="Times New Roman"/>
          <w:sz w:val="24"/>
          <w:szCs w:val="24"/>
        </w:rPr>
      </w:pPr>
    </w:p>
    <w:p w14:paraId="78894B12"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Ved konsulenter forstås enhver virksomhed eller person, som udfører tjenesteydelser for virksomheden i form af rådgivning eller lignende, herunder blandt andet advokater, og som ikke indgår i et ansættelsesforhold med virksomheden. Det er ligeledes ikke en forudsætning, at der er indgået aftale om udførelse af tjenesteydelser med konsulenten.</w:t>
      </w:r>
    </w:p>
    <w:p w14:paraId="4611EA40" w14:textId="77777777" w:rsidR="00556301" w:rsidRPr="00796736" w:rsidRDefault="00556301" w:rsidP="00A802A5">
      <w:pPr>
        <w:spacing w:line="360" w:lineRule="auto"/>
        <w:rPr>
          <w:rFonts w:ascii="Times New Roman" w:eastAsia="Calibri" w:hAnsi="Times New Roman" w:cs="Times New Roman"/>
          <w:sz w:val="24"/>
          <w:szCs w:val="24"/>
        </w:rPr>
      </w:pPr>
    </w:p>
    <w:p w14:paraId="385464B4" w14:textId="0436E645"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advarsler fra whistleblowere forstås advarsler om hvidvask eller terrorfinansiering, som modtages gennem den ordning, som følger af </w:t>
      </w:r>
      <w:r w:rsidR="0099753D" w:rsidRPr="00796736">
        <w:rPr>
          <w:rFonts w:ascii="Times New Roman" w:eastAsia="Calibri" w:hAnsi="Times New Roman" w:cs="Times New Roman"/>
          <w:sz w:val="24"/>
          <w:szCs w:val="24"/>
        </w:rPr>
        <w:t xml:space="preserve">foreslåede </w:t>
      </w:r>
      <w:r w:rsidR="0099753D" w:rsidRPr="00796736">
        <w:rPr>
          <w:rFonts w:ascii="Times New Roman" w:hAnsi="Times New Roman" w:cs="Times New Roman"/>
          <w:sz w:val="24"/>
          <w:szCs w:val="24"/>
        </w:rPr>
        <w:fldChar w:fldCharType="begin"/>
      </w:r>
      <w:r w:rsidR="0099753D" w:rsidRPr="00796736">
        <w:rPr>
          <w:rFonts w:ascii="Times New Roman" w:hAnsi="Times New Roman" w:cs="Times New Roman"/>
          <w:sz w:val="24"/>
          <w:szCs w:val="24"/>
        </w:rPr>
        <w:instrText xml:space="preserve"> REF _Ref232596358 \r \h  \* MERGEFORMAT </w:instrText>
      </w:r>
      <w:r w:rsidR="0099753D" w:rsidRPr="00796736">
        <w:rPr>
          <w:rFonts w:ascii="Times New Roman" w:hAnsi="Times New Roman" w:cs="Times New Roman"/>
          <w:sz w:val="24"/>
          <w:szCs w:val="24"/>
        </w:rPr>
      </w:r>
      <w:r w:rsidR="009975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35</w:t>
      </w:r>
      <w:r w:rsidR="0099753D" w:rsidRPr="00796736">
        <w:rPr>
          <w:rFonts w:ascii="Times New Roman" w:hAnsi="Times New Roman" w:cs="Times New Roman"/>
          <w:sz w:val="24"/>
          <w:szCs w:val="24"/>
        </w:rPr>
        <w:fldChar w:fldCharType="end"/>
      </w:r>
      <w:r w:rsidRPr="00796736">
        <w:rPr>
          <w:rFonts w:ascii="Times New Roman" w:eastAsia="Calibri" w:hAnsi="Times New Roman" w:cs="Times New Roman"/>
          <w:sz w:val="24"/>
          <w:szCs w:val="24"/>
        </w:rPr>
        <w:t>, eller advarsler fra whistleblowere, som modtages på anden vis.</w:t>
      </w:r>
    </w:p>
    <w:p w14:paraId="18A823DC" w14:textId="77777777" w:rsidR="00556301" w:rsidRPr="00796736" w:rsidRDefault="00556301" w:rsidP="00A802A5">
      <w:pPr>
        <w:spacing w:line="360" w:lineRule="auto"/>
        <w:rPr>
          <w:rFonts w:ascii="Times New Roman" w:eastAsia="Calibri" w:hAnsi="Times New Roman" w:cs="Times New Roman"/>
          <w:sz w:val="24"/>
          <w:szCs w:val="24"/>
        </w:rPr>
      </w:pPr>
    </w:p>
    <w:p w14:paraId="057479EE"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andre forstås, at der efter omstændighederne kan være andre afsendere, end de eksplicit nævnte, som sender en advarsel om hvidvask eller terrorfinansiering, hvis indhold har en sådan karakter og alvor, at bestyrelsen skal orienteres herom. </w:t>
      </w:r>
    </w:p>
    <w:p w14:paraId="60764C1E" w14:textId="77777777" w:rsidR="00556301" w:rsidRPr="00796736" w:rsidRDefault="00556301" w:rsidP="00A802A5">
      <w:pPr>
        <w:spacing w:line="360" w:lineRule="auto"/>
        <w:rPr>
          <w:rFonts w:ascii="Times New Roman" w:eastAsia="Calibri" w:hAnsi="Times New Roman" w:cs="Times New Roman"/>
          <w:sz w:val="24"/>
          <w:szCs w:val="24"/>
        </w:rPr>
      </w:pPr>
    </w:p>
    <w:p w14:paraId="3552FEA1" w14:textId="4BEB2070"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95255A" w:rsidRPr="00796736">
        <w:rPr>
          <w:rFonts w:ascii="Times New Roman" w:hAnsi="Times New Roman" w:cs="Times New Roman"/>
          <w:i/>
          <w:iCs/>
          <w:sz w:val="24"/>
          <w:szCs w:val="24"/>
        </w:rPr>
        <w:fldChar w:fldCharType="begin"/>
      </w:r>
      <w:r w:rsidR="0095255A" w:rsidRPr="00796736">
        <w:rPr>
          <w:rFonts w:ascii="Times New Roman" w:hAnsi="Times New Roman" w:cs="Times New Roman"/>
          <w:i/>
          <w:iCs/>
          <w:sz w:val="24"/>
          <w:szCs w:val="24"/>
        </w:rPr>
        <w:instrText xml:space="preserve"> REF _Ref232596358 \r \h  \* MERGEFORMAT </w:instrText>
      </w:r>
      <w:r w:rsidR="0095255A" w:rsidRPr="00796736">
        <w:rPr>
          <w:rFonts w:ascii="Times New Roman" w:hAnsi="Times New Roman" w:cs="Times New Roman"/>
          <w:i/>
          <w:iCs/>
          <w:sz w:val="24"/>
          <w:szCs w:val="24"/>
        </w:rPr>
      </w:r>
      <w:r w:rsidR="0095255A"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35</w:t>
      </w:r>
      <w:r w:rsidR="0095255A" w:rsidRPr="00796736">
        <w:rPr>
          <w:rFonts w:ascii="Times New Roman" w:hAnsi="Times New Roman" w:cs="Times New Roman"/>
          <w:i/>
          <w:iCs/>
          <w:sz w:val="24"/>
          <w:szCs w:val="24"/>
        </w:rPr>
        <w:fldChar w:fldCharType="end"/>
      </w:r>
      <w:r w:rsidRPr="00796736">
        <w:rPr>
          <w:rFonts w:ascii="Times New Roman" w:eastAsia="Calibri" w:hAnsi="Times New Roman" w:cs="Times New Roman"/>
          <w:i/>
          <w:iCs/>
          <w:sz w:val="24"/>
          <w:szCs w:val="24"/>
        </w:rPr>
        <w:t>, stk. 2</w:t>
      </w:r>
      <w:r w:rsidRPr="00796736">
        <w:rPr>
          <w:rFonts w:ascii="Times New Roman" w:eastAsia="Calibri" w:hAnsi="Times New Roman" w:cs="Times New Roman"/>
          <w:sz w:val="24"/>
          <w:szCs w:val="24"/>
        </w:rPr>
        <w:t xml:space="preserve">, at nøglepersoner tilsvarende uden unødvendigt ophold skal rapportere til den daglige ledelse eller virksomhedens øverste ledelsesorgan om advarsler om hvidvask eller finansiering af terrorisme modtaget fra andre, herunder fra udenlandske myndigheder, eksterne revisorer og konsulenter samt whistleblowere. Det foreslås endvidere, at modtager den daglige ledelse en rapportering om en modtaget advarsel fra medarbejdere, skal ledelsen vidererapportere advarslen til virksomhedens øverste ledelsesorgan. </w:t>
      </w:r>
    </w:p>
    <w:p w14:paraId="4BFF3743" w14:textId="77777777" w:rsidR="00556301" w:rsidRPr="00796736" w:rsidRDefault="00556301" w:rsidP="00A802A5">
      <w:pPr>
        <w:spacing w:line="360" w:lineRule="auto"/>
        <w:rPr>
          <w:rFonts w:ascii="Times New Roman" w:eastAsia="Calibri" w:hAnsi="Times New Roman" w:cs="Times New Roman"/>
          <w:sz w:val="24"/>
          <w:szCs w:val="24"/>
        </w:rPr>
      </w:pPr>
    </w:p>
    <w:p w14:paraId="18F7D7D7" w14:textId="77777777" w:rsidR="00556301" w:rsidRPr="00796736" w:rsidRDefault="00556301" w:rsidP="00A802A5">
      <w:pPr>
        <w:spacing w:line="360" w:lineRule="auto"/>
        <w:rPr>
          <w:rFonts w:ascii="Times New Roman" w:eastAsia="Calibri" w:hAnsi="Times New Roman" w:cs="Times New Roman"/>
          <w:sz w:val="24"/>
          <w:szCs w:val="24"/>
        </w:rPr>
      </w:pPr>
      <w:bookmarkStart w:id="1960" w:name="_Hlk219115140"/>
      <w:r w:rsidRPr="00796736">
        <w:rPr>
          <w:rFonts w:ascii="Times New Roman" w:eastAsia="Calibri" w:hAnsi="Times New Roman" w:cs="Times New Roman"/>
          <w:sz w:val="24"/>
          <w:szCs w:val="24"/>
        </w:rPr>
        <w:t xml:space="preserve">Nøglepersoner skal forstås i overensstemmelse med begrebet i lov om finansiel virksomhed. Det følger blandt andet af bemærkningerne til lov nr. 1549 af 13. december 2016, jf. Folketingstidende 2016-2017, A, L 39, som fremsat, side 26-27, at </w:t>
      </w:r>
      <w:bookmarkEnd w:id="1960"/>
      <w:r w:rsidRPr="00796736">
        <w:rPr>
          <w:rFonts w:ascii="Times New Roman" w:eastAsia="Calibri" w:hAnsi="Times New Roman" w:cs="Times New Roman"/>
          <w:sz w:val="24"/>
          <w:szCs w:val="24"/>
        </w:rPr>
        <w:t>nøglepersoner dels er ansatte, der er en del af den faktiske ledelse af selskabet, dels ansatte, der er ansvarlige for en nøglefunktion i selskabet. En ansat vil være en del af den faktiske ledelse, hvis den ansatte indgår i instituttets øverste ledelse. Eksempelvis vil en ansat, der på direktionsniveau medvirker til at træffe beslutninger om instituttets daglige ledelse på baggrund af bestyrelsens strategiske mål eller medvirker til at sikre, at de af bestyrelsen vedtagne politikker og retningslinjer implementeres i instituttets daglige drift, skulle identificeres som en nøgleperson. Nøglefunktioner vil være funktioner, som er vigtige og afgørende for instituttets drift. Kreditområdet, risikostyringsfunktionen, compliance-funktionen og den interne revision vil til enhver tid blive anset for nøglefunktioner, og den ansvarlige for en af disse funktioner vil dermed altid skulle identificeres som nøgleperson.</w:t>
      </w:r>
    </w:p>
    <w:p w14:paraId="7720060E" w14:textId="77777777" w:rsidR="00556301" w:rsidRPr="00796736" w:rsidRDefault="00556301" w:rsidP="00A802A5">
      <w:pPr>
        <w:spacing w:line="360" w:lineRule="auto"/>
        <w:rPr>
          <w:rFonts w:ascii="Times New Roman" w:eastAsia="Calibri" w:hAnsi="Times New Roman" w:cs="Times New Roman"/>
          <w:sz w:val="24"/>
          <w:szCs w:val="24"/>
        </w:rPr>
      </w:pPr>
    </w:p>
    <w:p w14:paraId="229534B5"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nøglepersoner bør rapporteringspligten således følge virksomhedens almindelige arbejdsgange. En nøgleperson kan således med frigørende virkning rapportere om de omhandlede advarsler til den daglige ledelse, hvis dette i øvrigt følger af de almindelige arbejdsgange i virksomheden. Pligten til at rapportere til virksomhedens øverste ledelsesorgan påhviler herefter den daglige ledelse, jf. den foreslåede bestemmelses stk. 2, 2. pkt. </w:t>
      </w:r>
    </w:p>
    <w:p w14:paraId="5113D3B4" w14:textId="77777777" w:rsidR="00556301" w:rsidRPr="00796736" w:rsidRDefault="00556301" w:rsidP="00A802A5">
      <w:pPr>
        <w:spacing w:line="360" w:lineRule="auto"/>
        <w:rPr>
          <w:rFonts w:ascii="Times New Roman" w:eastAsia="Calibri" w:hAnsi="Times New Roman" w:cs="Times New Roman"/>
          <w:sz w:val="24"/>
          <w:szCs w:val="24"/>
        </w:rPr>
      </w:pPr>
    </w:p>
    <w:p w14:paraId="00AD72F7"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Når virksomhedens øverste ledelsesorgan modtager en rapportering om en advarsel om hvidvask eller terrorfinansiering, skal denne i overensstemmelse med principperne i lov om finansiel virksomhed § 71 og regler udstedt i medfør af denne, forholde sig til rapporteringen og dennes indhold og på baggrund heraf foranledige nødvendige og passende foranstaltninger. </w:t>
      </w:r>
    </w:p>
    <w:p w14:paraId="192027A7" w14:textId="77777777" w:rsidR="00556301" w:rsidRPr="00796736" w:rsidRDefault="00556301" w:rsidP="00A802A5">
      <w:pPr>
        <w:spacing w:line="360" w:lineRule="auto"/>
        <w:rPr>
          <w:rFonts w:ascii="Times New Roman" w:eastAsia="Calibri" w:hAnsi="Times New Roman" w:cs="Times New Roman"/>
          <w:sz w:val="24"/>
          <w:szCs w:val="24"/>
        </w:rPr>
      </w:pPr>
    </w:p>
    <w:p w14:paraId="019DF4CF"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Foranstaltninger skal være egnede til at undersøge, forebygge, imødegå eller standse en tidligere, nuværende eller eventuelt kommende overtrædelse af reglerne om hvidvask og terrorfinansiering. En foranstaltning kan efter omstændighederne eksempelvis bestå i at standse mistænkelige transaktioner, at underrette Hvidvasksekretariatet eller at foranledige en intern undersøgelse af mistænkelige forhold.</w:t>
      </w:r>
    </w:p>
    <w:p w14:paraId="23C55E96" w14:textId="77777777" w:rsidR="00556301" w:rsidRPr="00796736" w:rsidRDefault="00556301" w:rsidP="00A802A5">
      <w:pPr>
        <w:spacing w:line="360" w:lineRule="auto"/>
        <w:rPr>
          <w:rFonts w:ascii="Times New Roman" w:eastAsia="Calibri" w:hAnsi="Times New Roman" w:cs="Times New Roman"/>
          <w:sz w:val="24"/>
          <w:szCs w:val="24"/>
        </w:rPr>
      </w:pPr>
    </w:p>
    <w:p w14:paraId="65CA7739" w14:textId="6FCAC894"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 så vidt angår udenlandske virksomheders danske filialer, følger det af den foreslåede bestemmelse i § 1 stk.</w:t>
      </w:r>
      <w:r w:rsidR="005A2055">
        <w:rPr>
          <w:rFonts w:ascii="Times New Roman" w:eastAsia="Calibri" w:hAnsi="Times New Roman" w:cs="Times New Roman"/>
          <w:sz w:val="24"/>
          <w:szCs w:val="24"/>
        </w:rPr>
        <w:t xml:space="preserve"> 5</w:t>
      </w:r>
      <w:r w:rsidRPr="00796736">
        <w:rPr>
          <w:rFonts w:ascii="Times New Roman" w:eastAsia="Calibri" w:hAnsi="Times New Roman" w:cs="Times New Roman"/>
          <w:sz w:val="24"/>
          <w:szCs w:val="24"/>
        </w:rPr>
        <w:t xml:space="preserve">, at disse er omfattet af hvidvasklovens anvendelsesområde. For disse filialer skal bestemmelsen i </w:t>
      </w:r>
      <w:r w:rsidR="0099753D" w:rsidRPr="00796736">
        <w:rPr>
          <w:rFonts w:ascii="Times New Roman" w:hAnsi="Times New Roman" w:cs="Times New Roman"/>
          <w:sz w:val="24"/>
          <w:szCs w:val="24"/>
        </w:rPr>
        <w:fldChar w:fldCharType="begin"/>
      </w:r>
      <w:r w:rsidR="0099753D" w:rsidRPr="00796736">
        <w:rPr>
          <w:rFonts w:ascii="Times New Roman" w:hAnsi="Times New Roman" w:cs="Times New Roman"/>
          <w:sz w:val="24"/>
          <w:szCs w:val="24"/>
        </w:rPr>
        <w:instrText xml:space="preserve"> REF _Ref232596358 \r \h  \* MERGEFORMAT </w:instrText>
      </w:r>
      <w:r w:rsidR="0099753D" w:rsidRPr="00796736">
        <w:rPr>
          <w:rFonts w:ascii="Times New Roman" w:hAnsi="Times New Roman" w:cs="Times New Roman"/>
          <w:sz w:val="24"/>
          <w:szCs w:val="24"/>
        </w:rPr>
      </w:r>
      <w:r w:rsidR="009975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35</w:t>
      </w:r>
      <w:r w:rsidR="0099753D" w:rsidRPr="00796736">
        <w:rPr>
          <w:rFonts w:ascii="Times New Roman" w:hAnsi="Times New Roman" w:cs="Times New Roman"/>
          <w:sz w:val="24"/>
          <w:szCs w:val="24"/>
        </w:rPr>
        <w:fldChar w:fldCharType="end"/>
      </w:r>
      <w:r w:rsidR="0099753D"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forstås således, at rapportering skal ske til det øverste ledelsesorgan i virksomhedens hovedkontor i filialens hjemland.</w:t>
      </w:r>
    </w:p>
    <w:p w14:paraId="234CA16C" w14:textId="77777777" w:rsidR="00556301" w:rsidRPr="00796736" w:rsidRDefault="00556301" w:rsidP="00A802A5">
      <w:pPr>
        <w:spacing w:line="360" w:lineRule="auto"/>
        <w:rPr>
          <w:rFonts w:ascii="Times New Roman" w:eastAsia="Calibri" w:hAnsi="Times New Roman" w:cs="Times New Roman"/>
          <w:sz w:val="24"/>
          <w:szCs w:val="24"/>
        </w:rPr>
      </w:pPr>
    </w:p>
    <w:p w14:paraId="4DD96C4C" w14:textId="6349FFA1"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Med den foreslåede bestemmelse i § 1 stk. </w:t>
      </w:r>
      <w:r w:rsidR="002E5C4E" w:rsidRPr="00796736">
        <w:rPr>
          <w:rFonts w:ascii="Times New Roman" w:eastAsia="Calibri" w:hAnsi="Times New Roman" w:cs="Times New Roman"/>
          <w:sz w:val="24"/>
          <w:szCs w:val="24"/>
        </w:rPr>
        <w:t>5</w:t>
      </w:r>
      <w:r w:rsidRPr="00796736">
        <w:rPr>
          <w:rFonts w:ascii="Times New Roman" w:eastAsia="Calibri" w:hAnsi="Times New Roman" w:cs="Times New Roman"/>
          <w:sz w:val="24"/>
          <w:szCs w:val="24"/>
        </w:rPr>
        <w:t xml:space="preserve">, omfattes danske virksomheders udenlandske filialer tillige af forpligtelsen i </w:t>
      </w:r>
      <w:r w:rsidR="0095255A" w:rsidRPr="00796736">
        <w:rPr>
          <w:rFonts w:ascii="Times New Roman" w:hAnsi="Times New Roman" w:cs="Times New Roman"/>
          <w:sz w:val="24"/>
          <w:szCs w:val="24"/>
        </w:rPr>
        <w:fldChar w:fldCharType="begin"/>
      </w:r>
      <w:r w:rsidR="0095255A" w:rsidRPr="00796736">
        <w:rPr>
          <w:rFonts w:ascii="Times New Roman" w:hAnsi="Times New Roman" w:cs="Times New Roman"/>
          <w:sz w:val="24"/>
          <w:szCs w:val="24"/>
        </w:rPr>
        <w:instrText xml:space="preserve"> REF _Ref232596358 \r \h  \* MERGEFORMAT </w:instrText>
      </w:r>
      <w:r w:rsidR="0095255A" w:rsidRPr="00796736">
        <w:rPr>
          <w:rFonts w:ascii="Times New Roman" w:hAnsi="Times New Roman" w:cs="Times New Roman"/>
          <w:sz w:val="24"/>
          <w:szCs w:val="24"/>
        </w:rPr>
      </w:r>
      <w:r w:rsidR="009525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35</w:t>
      </w:r>
      <w:r w:rsidR="0095255A" w:rsidRPr="00796736">
        <w:rPr>
          <w:rFonts w:ascii="Times New Roman" w:hAnsi="Times New Roman" w:cs="Times New Roman"/>
          <w:sz w:val="24"/>
          <w:szCs w:val="24"/>
        </w:rPr>
        <w:fldChar w:fldCharType="end"/>
      </w:r>
      <w:r w:rsidR="0095255A" w:rsidRPr="00796736">
        <w:rPr>
          <w:rFonts w:ascii="Times New Roman" w:hAnsi="Times New Roman" w:cs="Times New Roman"/>
          <w:i/>
          <w:iCs/>
          <w:sz w:val="24"/>
          <w:szCs w:val="24"/>
        </w:rPr>
        <w:t xml:space="preserve"> </w:t>
      </w:r>
      <w:r w:rsidRPr="00796736">
        <w:rPr>
          <w:rFonts w:ascii="Times New Roman" w:eastAsia="Calibri" w:hAnsi="Times New Roman" w:cs="Times New Roman"/>
          <w:sz w:val="24"/>
          <w:szCs w:val="24"/>
        </w:rPr>
        <w:t>til at foretage rapportering til det øverste ledelsesorgan i virksomhedens danske hovedkontor.</w:t>
      </w:r>
    </w:p>
    <w:p w14:paraId="291C8510" w14:textId="77777777" w:rsidR="00556301" w:rsidRPr="00796736" w:rsidRDefault="00556301" w:rsidP="00A802A5">
      <w:pPr>
        <w:spacing w:line="360" w:lineRule="auto"/>
        <w:rPr>
          <w:rFonts w:ascii="Times New Roman" w:eastAsia="Calibri" w:hAnsi="Times New Roman" w:cs="Times New Roman"/>
          <w:sz w:val="24"/>
          <w:szCs w:val="24"/>
        </w:rPr>
      </w:pPr>
    </w:p>
    <w:p w14:paraId="46298E67" w14:textId="3B6B5D4D"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586D2B">
        <w:rPr>
          <w:rFonts w:ascii="Times New Roman" w:eastAsia="Calibri" w:hAnsi="Times New Roman" w:cs="Times New Roman"/>
          <w:sz w:val="24"/>
          <w:szCs w:val="24"/>
        </w:rPr>
        <w:fldChar w:fldCharType="begin"/>
      </w:r>
      <w:r w:rsidR="00586D2B">
        <w:rPr>
          <w:rFonts w:ascii="Times New Roman" w:eastAsia="Calibri" w:hAnsi="Times New Roman" w:cs="Times New Roman"/>
          <w:sz w:val="24"/>
          <w:szCs w:val="24"/>
        </w:rPr>
        <w:instrText xml:space="preserve"> REF _Ref242963797 \r \h </w:instrText>
      </w:r>
      <w:r w:rsidR="00CB248D">
        <w:rPr>
          <w:rFonts w:ascii="Times New Roman" w:eastAsia="Calibri" w:hAnsi="Times New Roman" w:cs="Times New Roman"/>
          <w:sz w:val="24"/>
          <w:szCs w:val="24"/>
        </w:rPr>
        <w:instrText xml:space="preserve"> \* MERGEFORMAT </w:instrText>
      </w:r>
      <w:r w:rsidR="00586D2B">
        <w:rPr>
          <w:rFonts w:ascii="Times New Roman" w:eastAsia="Calibri" w:hAnsi="Times New Roman" w:cs="Times New Roman"/>
          <w:sz w:val="24"/>
          <w:szCs w:val="24"/>
        </w:rPr>
      </w:r>
      <w:r w:rsidR="00586D2B">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139</w:t>
      </w:r>
      <w:r w:rsidR="00586D2B">
        <w:rPr>
          <w:rFonts w:ascii="Times New Roman" w:eastAsia="Calibri" w:hAnsi="Times New Roman" w:cs="Times New Roman"/>
          <w:sz w:val="24"/>
          <w:szCs w:val="24"/>
        </w:rPr>
        <w:fldChar w:fldCharType="end"/>
      </w:r>
      <w:r w:rsidR="00586D2B">
        <w:rPr>
          <w:rFonts w:ascii="Times New Roman" w:eastAsia="Calibri" w:hAnsi="Times New Roman" w:cs="Times New Roman"/>
          <w:sz w:val="24"/>
          <w:szCs w:val="24"/>
        </w:rPr>
        <w:t>, stk. 1, nr. 5</w:t>
      </w:r>
      <w:r w:rsidRPr="00796736">
        <w:rPr>
          <w:rFonts w:ascii="Times New Roman" w:eastAsia="Calibri" w:hAnsi="Times New Roman" w:cs="Times New Roman"/>
          <w:sz w:val="24"/>
          <w:szCs w:val="24"/>
        </w:rPr>
        <w:t xml:space="preserve">, at den foreslåede </w:t>
      </w:r>
      <w:r w:rsidR="0099753D" w:rsidRPr="00796736">
        <w:rPr>
          <w:rFonts w:ascii="Times New Roman" w:hAnsi="Times New Roman" w:cs="Times New Roman"/>
          <w:sz w:val="24"/>
          <w:szCs w:val="24"/>
        </w:rPr>
        <w:fldChar w:fldCharType="begin"/>
      </w:r>
      <w:r w:rsidR="0099753D" w:rsidRPr="00796736">
        <w:rPr>
          <w:rFonts w:ascii="Times New Roman" w:hAnsi="Times New Roman" w:cs="Times New Roman"/>
          <w:sz w:val="24"/>
          <w:szCs w:val="24"/>
        </w:rPr>
        <w:instrText xml:space="preserve"> REF _Ref232596358 \r \h  \* MERGEFORMAT </w:instrText>
      </w:r>
      <w:r w:rsidR="0099753D" w:rsidRPr="00796736">
        <w:rPr>
          <w:rFonts w:ascii="Times New Roman" w:hAnsi="Times New Roman" w:cs="Times New Roman"/>
          <w:sz w:val="24"/>
          <w:szCs w:val="24"/>
        </w:rPr>
      </w:r>
      <w:r w:rsidR="0099753D"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35</w:t>
      </w:r>
      <w:r w:rsidR="0099753D" w:rsidRPr="00796736">
        <w:rPr>
          <w:rFonts w:ascii="Times New Roman" w:hAnsi="Times New Roman" w:cs="Times New Roman"/>
          <w:sz w:val="24"/>
          <w:szCs w:val="24"/>
        </w:rPr>
        <w:fldChar w:fldCharType="end"/>
      </w:r>
      <w:r w:rsidR="0099753D"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 xml:space="preserve">strafbelægges. </w:t>
      </w:r>
    </w:p>
    <w:p w14:paraId="4348EC38" w14:textId="77777777" w:rsidR="00556301" w:rsidRPr="00796736" w:rsidRDefault="00556301" w:rsidP="00A802A5">
      <w:pPr>
        <w:spacing w:line="360" w:lineRule="auto"/>
        <w:rPr>
          <w:rFonts w:ascii="Times New Roman" w:eastAsia="Calibri" w:hAnsi="Times New Roman" w:cs="Times New Roman"/>
          <w:sz w:val="24"/>
          <w:szCs w:val="24"/>
        </w:rPr>
      </w:pPr>
    </w:p>
    <w:p w14:paraId="5F9B0246" w14:textId="602A93AC"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Ansvarssubjekterne for overtrædelse af </w:t>
      </w:r>
      <w:r w:rsidR="0095255A" w:rsidRPr="00796736">
        <w:rPr>
          <w:rFonts w:ascii="Times New Roman" w:hAnsi="Times New Roman" w:cs="Times New Roman"/>
          <w:sz w:val="24"/>
          <w:szCs w:val="24"/>
        </w:rPr>
        <w:fldChar w:fldCharType="begin"/>
      </w:r>
      <w:r w:rsidR="0095255A" w:rsidRPr="00796736">
        <w:rPr>
          <w:rFonts w:ascii="Times New Roman" w:hAnsi="Times New Roman" w:cs="Times New Roman"/>
          <w:sz w:val="24"/>
          <w:szCs w:val="24"/>
        </w:rPr>
        <w:instrText xml:space="preserve"> REF _Ref232596358 \r \h  \* MERGEFORMAT </w:instrText>
      </w:r>
      <w:r w:rsidR="0095255A" w:rsidRPr="00796736">
        <w:rPr>
          <w:rFonts w:ascii="Times New Roman" w:hAnsi="Times New Roman" w:cs="Times New Roman"/>
          <w:sz w:val="24"/>
          <w:szCs w:val="24"/>
        </w:rPr>
      </w:r>
      <w:r w:rsidR="009525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35</w:t>
      </w:r>
      <w:r w:rsidR="0095255A" w:rsidRPr="00796736">
        <w:rPr>
          <w:rFonts w:ascii="Times New Roman" w:hAnsi="Times New Roman" w:cs="Times New Roman"/>
          <w:sz w:val="24"/>
          <w:szCs w:val="24"/>
        </w:rPr>
        <w:fldChar w:fldCharType="end"/>
      </w:r>
      <w:r w:rsidR="0095255A" w:rsidRPr="00796736">
        <w:rPr>
          <w:rFonts w:ascii="Times New Roman" w:hAnsi="Times New Roman" w:cs="Times New Roman"/>
          <w:i/>
          <w:iCs/>
          <w:sz w:val="24"/>
          <w:szCs w:val="24"/>
        </w:rPr>
        <w:t xml:space="preserve"> </w:t>
      </w:r>
      <w:r w:rsidRPr="00796736">
        <w:rPr>
          <w:rFonts w:ascii="Times New Roman" w:eastAsia="Calibri" w:hAnsi="Times New Roman" w:cs="Times New Roman"/>
          <w:sz w:val="24"/>
          <w:szCs w:val="24"/>
        </w:rPr>
        <w:t>er de fysiske personer, som udgør den daglige ledelse samt nøglepersoner, og den strafbare handling består i at have undladt uden unødigt ophold at rapportere advarsler om hvidvask eller terrorfinansiering fra blandt andre udenlandske myndigheder, eksterne revisorer og konsulenter samt whistleblowere til virksomhedens øverste ledelsesorgan.</w:t>
      </w:r>
    </w:p>
    <w:p w14:paraId="58B320C7" w14:textId="77777777" w:rsidR="00556301" w:rsidRPr="00796736" w:rsidRDefault="00556301" w:rsidP="00A802A5">
      <w:pPr>
        <w:spacing w:line="360" w:lineRule="auto"/>
        <w:rPr>
          <w:rFonts w:ascii="Times New Roman" w:eastAsia="Calibri" w:hAnsi="Times New Roman" w:cs="Times New Roman"/>
          <w:sz w:val="24"/>
          <w:szCs w:val="24"/>
        </w:rPr>
      </w:pPr>
    </w:p>
    <w:p w14:paraId="6AFD5AF7" w14:textId="77777777" w:rsidR="00556301" w:rsidRPr="00796736" w:rsidRDefault="0055630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eksempel på overtrædelse af bestemmelsen er, hvis et medlem af direktionen eller en nøgleperson modtager en advarsel, der er omfattet af bestemmelsen, fra en relevant afsender. </w:t>
      </w:r>
      <w:r w:rsidRPr="00796736">
        <w:rPr>
          <w:rFonts w:ascii="Times New Roman" w:hAnsi="Times New Roman" w:cs="Times New Roman"/>
          <w:sz w:val="24"/>
          <w:szCs w:val="24"/>
        </w:rPr>
        <w:t>Overtrædelsen kan bestå i, at personen enten undlader at rapportere advarslen i overensstemmelse med bestemmelsen, eller at rapporteringen sker for sent.</w:t>
      </w:r>
    </w:p>
    <w:p w14:paraId="19307468" w14:textId="77777777" w:rsidR="0030356F" w:rsidRPr="00796736" w:rsidRDefault="0030356F" w:rsidP="00A802A5">
      <w:pPr>
        <w:spacing w:line="360" w:lineRule="auto"/>
        <w:rPr>
          <w:rFonts w:ascii="Times New Roman" w:hAnsi="Times New Roman" w:cs="Times New Roman"/>
          <w:i/>
          <w:iCs/>
          <w:sz w:val="24"/>
          <w:szCs w:val="24"/>
        </w:rPr>
      </w:pPr>
    </w:p>
    <w:p w14:paraId="715366FB" w14:textId="52F51461"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A56039" w:rsidRPr="00796736">
        <w:rPr>
          <w:rFonts w:ascii="Times New Roman" w:hAnsi="Times New Roman" w:cs="Times New Roman"/>
          <w:sz w:val="24"/>
          <w:szCs w:val="24"/>
        </w:rPr>
        <w:fldChar w:fldCharType="begin"/>
      </w:r>
      <w:r w:rsidR="00A56039" w:rsidRPr="00796736">
        <w:rPr>
          <w:rFonts w:ascii="Times New Roman" w:hAnsi="Times New Roman" w:cs="Times New Roman"/>
          <w:sz w:val="24"/>
          <w:szCs w:val="24"/>
        </w:rPr>
        <w:instrText xml:space="preserve"> REF _Ref232946534 \n \h </w:instrText>
      </w:r>
      <w:r w:rsidR="00967618" w:rsidRPr="00796736">
        <w:rPr>
          <w:rFonts w:ascii="Times New Roman" w:hAnsi="Times New Roman" w:cs="Times New Roman"/>
          <w:sz w:val="24"/>
          <w:szCs w:val="24"/>
        </w:rPr>
        <w:instrText xml:space="preserve"> \* MERGEFORMAT </w:instrText>
      </w:r>
      <w:r w:rsidR="00A56039" w:rsidRPr="00796736">
        <w:rPr>
          <w:rFonts w:ascii="Times New Roman" w:hAnsi="Times New Roman" w:cs="Times New Roman"/>
          <w:sz w:val="24"/>
          <w:szCs w:val="24"/>
        </w:rPr>
      </w:r>
      <w:r w:rsidR="00A560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3.34</w:t>
      </w:r>
      <w:r w:rsidR="00A56039" w:rsidRPr="00796736">
        <w:rPr>
          <w:rFonts w:ascii="Times New Roman" w:hAnsi="Times New Roman" w:cs="Times New Roman"/>
          <w:sz w:val="24"/>
          <w:szCs w:val="24"/>
        </w:rPr>
        <w:fldChar w:fldCharType="end"/>
      </w:r>
      <w:r w:rsidR="00A56039"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42A28EF7" w14:textId="77777777" w:rsidR="0030356F" w:rsidRPr="00796736" w:rsidRDefault="0030356F" w:rsidP="00A802A5">
      <w:pPr>
        <w:spacing w:line="360" w:lineRule="auto"/>
        <w:rPr>
          <w:rFonts w:ascii="Times New Roman" w:hAnsi="Times New Roman" w:cs="Times New Roman"/>
          <w:i/>
          <w:iCs/>
          <w:sz w:val="24"/>
          <w:szCs w:val="24"/>
        </w:rPr>
      </w:pPr>
    </w:p>
    <w:p w14:paraId="7F94B94C" w14:textId="77777777" w:rsidR="003D2894" w:rsidRPr="00796736" w:rsidRDefault="003D2894" w:rsidP="00A802A5">
      <w:pPr>
        <w:spacing w:line="360" w:lineRule="auto"/>
        <w:rPr>
          <w:rFonts w:ascii="Times New Roman" w:hAnsi="Times New Roman" w:cs="Times New Roman"/>
          <w:i/>
          <w:iCs/>
          <w:sz w:val="24"/>
          <w:szCs w:val="24"/>
        </w:rPr>
      </w:pPr>
    </w:p>
    <w:p w14:paraId="2A1B78C4" w14:textId="06D66E8C" w:rsidR="00240DBE" w:rsidRPr="00796736" w:rsidRDefault="00240DBE" w:rsidP="00A802A5">
      <w:pPr>
        <w:pStyle w:val="Undertitel"/>
      </w:pPr>
      <w:bookmarkStart w:id="1961" w:name="_Toc232109368"/>
      <w:bookmarkStart w:id="1962" w:name="_Toc244879332"/>
      <w:bookmarkStart w:id="1963" w:name="_Toc244880857"/>
      <w:r w:rsidRPr="00796736">
        <w:t>Til</w:t>
      </w:r>
      <w:r w:rsidR="00AE20F9" w:rsidRPr="00796736">
        <w:t xml:space="preserve"> </w:t>
      </w:r>
      <w:bookmarkEnd w:id="1961"/>
      <w:r w:rsidR="00CD3E4C">
        <w:fldChar w:fldCharType="begin"/>
      </w:r>
      <w:r w:rsidR="00CD3E4C">
        <w:instrText xml:space="preserve"> REF _Ref236655813 \r \h </w:instrText>
      </w:r>
      <w:r w:rsidR="00CD3E4C">
        <w:fldChar w:fldCharType="separate"/>
      </w:r>
      <w:r w:rsidR="008F29E5">
        <w:t>§ 36</w:t>
      </w:r>
      <w:bookmarkEnd w:id="1962"/>
      <w:bookmarkEnd w:id="1963"/>
      <w:r w:rsidR="00CD3E4C">
        <w:fldChar w:fldCharType="end"/>
      </w:r>
    </w:p>
    <w:p w14:paraId="3210DD9E"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Hvidvasklovens § 38 b regulerer advokaters behandling af midler på en samleklientbankkonto med hensyn til indhentelse og kontrol af klienters identitetsoplysninger og videregivelse af oplysningerne til pengeinstitutterne. Hvidvaskforordningen indeholder krav til gennemførelse af kundekendskabsprocedurer, som bl.a. indebærer, at når klienten har midler stående på advokatens samleklientbankkonto, skal pengeinstituttet indhente identitetsoplysninger på en advokats klient (den eller de reelle ejere) og gennemføre rimelige foranstaltninger for at kontrollere klientens identitet, så pengeinstituttet med sikkerhed ved, hvem den eller de reelle ejere er. Samtidig er advokater underlagt tavshedspligt efter retsplejelovens § 129, jf. straffelovens § 152-152 e. </w:t>
      </w:r>
    </w:p>
    <w:p w14:paraId="4C12D70E" w14:textId="77777777" w:rsidR="00D4505D" w:rsidRPr="00A4589A" w:rsidRDefault="00D4505D" w:rsidP="00D4505D">
      <w:pPr>
        <w:spacing w:line="360" w:lineRule="auto"/>
        <w:rPr>
          <w:rFonts w:ascii="Times New Roman" w:hAnsi="Times New Roman" w:cs="Times New Roman"/>
          <w:sz w:val="24"/>
          <w:szCs w:val="24"/>
        </w:rPr>
      </w:pPr>
    </w:p>
    <w:p w14:paraId="09D11A11" w14:textId="1A64794E"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For nærmere om gældende ret henvises til pkt.</w:t>
      </w:r>
      <w:r>
        <w:rPr>
          <w:rFonts w:ascii="Times New Roman" w:hAnsi="Times New Roman" w:cs="Times New Roman"/>
          <w:sz w:val="24"/>
          <w:szCs w:val="24"/>
        </w:rPr>
        <w:t xml:space="preserve"> </w:t>
      </w:r>
      <w:r w:rsidR="0066276F">
        <w:rPr>
          <w:rFonts w:ascii="Times New Roman" w:hAnsi="Times New Roman" w:cs="Times New Roman"/>
          <w:sz w:val="24"/>
          <w:szCs w:val="24"/>
        </w:rPr>
        <w:fldChar w:fldCharType="begin"/>
      </w:r>
      <w:r w:rsidR="0066276F">
        <w:rPr>
          <w:rFonts w:ascii="Times New Roman" w:hAnsi="Times New Roman" w:cs="Times New Roman"/>
          <w:sz w:val="24"/>
          <w:szCs w:val="24"/>
        </w:rPr>
        <w:instrText xml:space="preserve"> REF _Ref244811767 \n \h </w:instrText>
      </w:r>
      <w:r w:rsidR="0066276F">
        <w:rPr>
          <w:rFonts w:ascii="Times New Roman" w:hAnsi="Times New Roman" w:cs="Times New Roman"/>
          <w:sz w:val="24"/>
          <w:szCs w:val="24"/>
        </w:rPr>
      </w:r>
      <w:r w:rsidR="0066276F">
        <w:rPr>
          <w:rFonts w:ascii="Times New Roman" w:hAnsi="Times New Roman" w:cs="Times New Roman"/>
          <w:sz w:val="24"/>
          <w:szCs w:val="24"/>
        </w:rPr>
        <w:fldChar w:fldCharType="separate"/>
      </w:r>
      <w:r w:rsidR="008F29E5">
        <w:rPr>
          <w:rFonts w:ascii="Times New Roman" w:hAnsi="Times New Roman" w:cs="Times New Roman"/>
          <w:sz w:val="24"/>
          <w:szCs w:val="24"/>
        </w:rPr>
        <w:t>3.35.1</w:t>
      </w:r>
      <w:r w:rsidR="0066276F">
        <w:rPr>
          <w:rFonts w:ascii="Times New Roman" w:hAnsi="Times New Roman" w:cs="Times New Roman"/>
          <w:sz w:val="24"/>
          <w:szCs w:val="24"/>
        </w:rPr>
        <w:fldChar w:fldCharType="end"/>
      </w:r>
      <w:r>
        <w:rPr>
          <w:rFonts w:ascii="Times New Roman" w:hAnsi="Times New Roman" w:cs="Times New Roman"/>
          <w:sz w:val="24"/>
          <w:szCs w:val="24"/>
        </w:rPr>
        <w:t>.</w:t>
      </w:r>
      <w:r w:rsidRPr="00A4589A">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_Ref244811408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sidRPr="00796736">
        <w:rPr>
          <w:rFonts w:ascii="Times New Roman" w:hAnsi="Times New Roman"/>
          <w:sz w:val="24"/>
        </w:rPr>
        <w:t>Pengeinstitutters behandling af advokaters sameklientkonti</w:t>
      </w:r>
      <w:r>
        <w:rPr>
          <w:rFonts w:ascii="Times New Roman" w:hAnsi="Times New Roman" w:cs="Times New Roman"/>
          <w:sz w:val="24"/>
          <w:szCs w:val="24"/>
        </w:rPr>
        <w:fldChar w:fldCharType="end"/>
      </w:r>
      <w:r w:rsidRPr="00A4589A">
        <w:rPr>
          <w:rFonts w:ascii="Times New Roman" w:hAnsi="Times New Roman" w:cs="Times New Roman"/>
          <w:sz w:val="24"/>
          <w:szCs w:val="24"/>
        </w:rPr>
        <w:t xml:space="preserve"> i de almindelige bemærkninger. </w:t>
      </w:r>
    </w:p>
    <w:p w14:paraId="35E1B9D2" w14:textId="77777777" w:rsidR="00D4505D" w:rsidRPr="00A4589A" w:rsidRDefault="00D4505D" w:rsidP="00D4505D">
      <w:pPr>
        <w:spacing w:line="360" w:lineRule="auto"/>
        <w:rPr>
          <w:rFonts w:ascii="Times New Roman" w:hAnsi="Times New Roman" w:cs="Times New Roman"/>
          <w:sz w:val="24"/>
          <w:szCs w:val="24"/>
        </w:rPr>
      </w:pPr>
    </w:p>
    <w:p w14:paraId="2FA2773F" w14:textId="435BA269" w:rsidR="00D4505D" w:rsidRPr="00A4589A" w:rsidRDefault="00D4505D" w:rsidP="00D4505D">
      <w:pPr>
        <w:spacing w:line="360" w:lineRule="auto"/>
        <w:rPr>
          <w:rFonts w:ascii="Times New Roman" w:eastAsia="Calibri" w:hAnsi="Times New Roman" w:cs="Times New Roman"/>
          <w:bCs/>
          <w:sz w:val="24"/>
          <w:szCs w:val="24"/>
        </w:rPr>
      </w:pPr>
      <w:r w:rsidRPr="00A4589A">
        <w:rPr>
          <w:rFonts w:ascii="Times New Roman" w:hAnsi="Times New Roman" w:cs="Times New Roman"/>
          <w:sz w:val="24"/>
          <w:szCs w:val="24"/>
        </w:rPr>
        <w:t xml:space="preserve">Det foreslås i </w:t>
      </w:r>
      <w:r>
        <w:rPr>
          <w:rFonts w:ascii="Times New Roman" w:hAnsi="Times New Roman" w:cs="Times New Roman"/>
          <w:i/>
          <w:iCs/>
          <w:sz w:val="24"/>
          <w:szCs w:val="24"/>
        </w:rPr>
        <w:fldChar w:fldCharType="begin"/>
      </w:r>
      <w:r>
        <w:rPr>
          <w:rFonts w:ascii="Times New Roman" w:hAnsi="Times New Roman" w:cs="Times New Roman"/>
          <w:sz w:val="24"/>
          <w:szCs w:val="24"/>
        </w:rPr>
        <w:instrText xml:space="preserve"> REF _Ref236655813 \r \h </w:instrText>
      </w:r>
      <w:r>
        <w:rPr>
          <w:rFonts w:ascii="Times New Roman" w:hAnsi="Times New Roman" w:cs="Times New Roman"/>
          <w:i/>
          <w:iCs/>
          <w:sz w:val="24"/>
          <w:szCs w:val="24"/>
        </w:rPr>
      </w:r>
      <w:r>
        <w:rPr>
          <w:rFonts w:ascii="Times New Roman" w:hAnsi="Times New Roman" w:cs="Times New Roman"/>
          <w:i/>
          <w:iCs/>
          <w:sz w:val="24"/>
          <w:szCs w:val="24"/>
        </w:rPr>
        <w:fldChar w:fldCharType="separate"/>
      </w:r>
      <w:r w:rsidR="008F29E5">
        <w:rPr>
          <w:rFonts w:ascii="Times New Roman" w:hAnsi="Times New Roman" w:cs="Times New Roman"/>
          <w:sz w:val="24"/>
          <w:szCs w:val="24"/>
        </w:rPr>
        <w:t>§ 36</w:t>
      </w:r>
      <w:r>
        <w:rPr>
          <w:rFonts w:ascii="Times New Roman" w:hAnsi="Times New Roman" w:cs="Times New Roman"/>
          <w:i/>
          <w:iCs/>
          <w:sz w:val="24"/>
          <w:szCs w:val="24"/>
        </w:rPr>
        <w:fldChar w:fldCharType="end"/>
      </w:r>
      <w:r w:rsidRPr="00A4589A">
        <w:rPr>
          <w:rFonts w:ascii="Times New Roman" w:hAnsi="Times New Roman" w:cs="Times New Roman"/>
          <w:i/>
          <w:iCs/>
          <w:sz w:val="24"/>
          <w:szCs w:val="24"/>
        </w:rPr>
        <w:t>, stk. 1,</w:t>
      </w:r>
      <w:r w:rsidRPr="00A4589A">
        <w:rPr>
          <w:rFonts w:ascii="Times New Roman" w:hAnsi="Times New Roman" w:cs="Times New Roman"/>
          <w:sz w:val="24"/>
          <w:szCs w:val="24"/>
        </w:rPr>
        <w:t xml:space="preserve"> at </w:t>
      </w:r>
      <w:r w:rsidRPr="00A4589A">
        <w:rPr>
          <w:rFonts w:ascii="Times New Roman" w:eastAsia="Calibri" w:hAnsi="Times New Roman" w:cs="Times New Roman"/>
          <w:bCs/>
          <w:sz w:val="24"/>
          <w:szCs w:val="24"/>
        </w:rPr>
        <w:t>advokater, fællesskaber af advokater og advokatselskaber ved behandling af betroede midler på en samleklientbankkonto skal indhente identitetsoplysninger på den eller de reelle ejere af midlerne, uanset om der ydes bistand m.v. omfattet af hvidvaskforordningens artikel 3, stk. 3, litra a eller b.</w:t>
      </w:r>
    </w:p>
    <w:p w14:paraId="06C56A15" w14:textId="77777777" w:rsidR="00D4505D" w:rsidRPr="00A4589A" w:rsidRDefault="00D4505D" w:rsidP="00D4505D">
      <w:pPr>
        <w:spacing w:line="360" w:lineRule="auto"/>
        <w:rPr>
          <w:rFonts w:ascii="Times New Roman" w:eastAsia="Calibri" w:hAnsi="Times New Roman" w:cs="Times New Roman"/>
          <w:bCs/>
          <w:sz w:val="24"/>
          <w:szCs w:val="24"/>
        </w:rPr>
      </w:pPr>
    </w:p>
    <w:p w14:paraId="5E8351F6"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Udtrykket ”reelle ejere” skal forstås i overensstemmelse med definitionen i hvidvaskforordningens artikel 2, stk. 1, nr. 28, hvilket i denne sammenhæng navnlig vil være advokatens mv. klienter, da det i almindelighed vil være klienternes midler, som indestår på samleklientbankkontoen. Advokaten mv. vil imidlertid også skulle indhente identitetsoplysninger og kontroldokumenter på andre fysiske og juridiske personer, der har betroede midler stående på advokatens samleklientbankkonto, hvis disse er at betragte som reelle ejere heraf. Det afgørende er således ikke, om der består et advokat-klientforhold mellem ejeren af midlerne og advokaten mv., men hvem der faktisk må anses for den reelle ejer af midlerne.  </w:t>
      </w:r>
    </w:p>
    <w:p w14:paraId="6EEC3C41" w14:textId="77777777" w:rsidR="00D4505D" w:rsidRPr="00A4589A" w:rsidRDefault="00D4505D" w:rsidP="00D4505D">
      <w:pPr>
        <w:spacing w:line="360" w:lineRule="auto"/>
        <w:rPr>
          <w:rFonts w:ascii="Times New Roman" w:hAnsi="Times New Roman" w:cs="Times New Roman"/>
          <w:sz w:val="24"/>
          <w:szCs w:val="24"/>
        </w:rPr>
      </w:pPr>
    </w:p>
    <w:p w14:paraId="77D08D69"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Forpligtelsen vil ligesom i dag gælde den til enhver tid gældende reelle ejer af midlerne. Dette indebærer, at såfremt der efter indbetalingen sker et skifte i ejerskab af betroede midler på en samleklientbankkonto, vil advokaten mv. skulle stille identitetsoplysninger om den ny reelle ejer til rådighed for det pågældende pengeinstitut uden ugrundet ophold, jf. det foreslåede stk. 3. </w:t>
      </w:r>
    </w:p>
    <w:p w14:paraId="16CDE278" w14:textId="77777777" w:rsidR="00D4505D" w:rsidRPr="00A4589A" w:rsidRDefault="00D4505D" w:rsidP="00D4505D">
      <w:pPr>
        <w:spacing w:line="360" w:lineRule="auto"/>
        <w:rPr>
          <w:rFonts w:ascii="Times New Roman" w:hAnsi="Times New Roman" w:cs="Times New Roman"/>
          <w:sz w:val="24"/>
          <w:szCs w:val="24"/>
        </w:rPr>
      </w:pPr>
    </w:p>
    <w:p w14:paraId="7375C9AB"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De oplysninger, der for fysiske personer skal indhentes efter den foreslåede bestemmelse, vil være sammenfaldende med identitetsoplysningerne nævnt i hvidvaskforordningens artikel 22, stk. 7, og vil ligesom i dag kunne opfyldes ved at indhente navn og CPR-nummer el.lign., hvis den pågældende ikke har et cpr-nummer. Har den pågældende ikke et cpr-nummer el.lign., skal identitetsoplysninger omfatte fødselsdato. </w:t>
      </w:r>
    </w:p>
    <w:p w14:paraId="08C6882E" w14:textId="77777777" w:rsidR="00D4505D" w:rsidRPr="00A4589A" w:rsidRDefault="00D4505D" w:rsidP="00D4505D">
      <w:pPr>
        <w:spacing w:line="360" w:lineRule="auto"/>
        <w:rPr>
          <w:rFonts w:ascii="Times New Roman" w:hAnsi="Times New Roman" w:cs="Times New Roman"/>
          <w:sz w:val="24"/>
          <w:szCs w:val="24"/>
        </w:rPr>
      </w:pPr>
    </w:p>
    <w:p w14:paraId="43630548"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For personer, der ikke er hjemmehørende i Danmark, vil et alternativ til cpr-nummer f.eks. kunne være et lignende nationalt id-nummer eller, hvis et sådan ikke haves, oplysning om fødselsdato. Såfremt advokaten mv. vil anvende en klients nationale id-nummer, er det væsentligt, at denne kan sikre, at der er tale om et unikt nummer, og at nummeret er varigt eller i hvert fald klientens aktive nationale nummer, idet det i enkelte lande er muligt at få et nyt nationalt id-nummer. Fødselsdato vil alene kunne anvendes i det relativt sjældne tilfælde, hvor der ikke i øvrigt foreligger et unikt nummer. </w:t>
      </w:r>
    </w:p>
    <w:p w14:paraId="48CE7A51" w14:textId="77777777" w:rsidR="00D4505D" w:rsidRPr="00A4589A" w:rsidRDefault="00D4505D" w:rsidP="00D4505D">
      <w:pPr>
        <w:spacing w:line="360" w:lineRule="auto"/>
        <w:rPr>
          <w:rFonts w:ascii="Times New Roman" w:hAnsi="Times New Roman" w:cs="Times New Roman"/>
          <w:sz w:val="24"/>
          <w:szCs w:val="24"/>
        </w:rPr>
      </w:pPr>
    </w:p>
    <w:p w14:paraId="34374321"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I de tilfælde, hvor advokatens mv. klient er en juridisk person eller enhed, vil de oplysninger, som advokaten skal indhente efter den foreslåede bestemmelse omfatte navn og cvr-nummer el.lign., hvis den juridiske person ikke har et cvr-nummer. Det samme gælder, hvor advokatens mv. klient er trustforvalter eller en person, der varetager en tilsvarende stilling i et lignende juridisk arrangement eller andre organisationer, som har rets- og handleevne i henhold til dansk ret.</w:t>
      </w:r>
    </w:p>
    <w:p w14:paraId="47170A53" w14:textId="77777777" w:rsidR="00D4505D" w:rsidRPr="00A4589A" w:rsidRDefault="00D4505D" w:rsidP="00D4505D">
      <w:pPr>
        <w:spacing w:line="360" w:lineRule="auto"/>
        <w:rPr>
          <w:rFonts w:ascii="Times New Roman" w:hAnsi="Times New Roman" w:cs="Times New Roman"/>
          <w:sz w:val="24"/>
          <w:szCs w:val="24"/>
        </w:rPr>
      </w:pPr>
    </w:p>
    <w:p w14:paraId="59F3FAFA"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For juridiske personer, der ikke er hjemmehørende i Danmark, kan lignende identifikation være en anden form for identificerbart registreringsnummer, f.eks. TIN-nummer (Tax Identification Number), LEI-kode (Legal Entity Identifier) eller et nationalt unikt registreringsnummer. Ligesom efter gældende ret vil det for klienter, der ikke har et cvr-nummer, endvidere være afgørende, at advokaten har oplysninger om klientens juridiske status.</w:t>
      </w:r>
    </w:p>
    <w:p w14:paraId="7FF02714" w14:textId="77777777" w:rsidR="00D4505D" w:rsidRPr="00A4589A" w:rsidRDefault="00D4505D" w:rsidP="00D4505D">
      <w:pPr>
        <w:spacing w:line="360" w:lineRule="auto"/>
        <w:rPr>
          <w:rFonts w:ascii="Times New Roman" w:hAnsi="Times New Roman" w:cs="Times New Roman"/>
          <w:sz w:val="24"/>
          <w:szCs w:val="24"/>
        </w:rPr>
      </w:pPr>
    </w:p>
    <w:p w14:paraId="3B181770"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Advokaten mv. vil i tilfælde, hvor vedkommende er i besiddelse af nyere oplysninger på den pågældende klient fra et tidligere sagsforløb, kunne indhente en bekræftelse fra klienten af, at oplysningerne og dokumenterne i fortegnelsen ikke har ændret sig og vil på baggrund af en sådan bekræftelse kunne indsende pågældende dokumentation til pengeinstituttet. Sådanne bekræftelser og eventuelle ændringer vil skulle registreres. </w:t>
      </w:r>
      <w:r w:rsidRPr="00A4589A">
        <w:rPr>
          <w:rFonts w:ascii="Times New Roman" w:eastAsia="Calibri" w:hAnsi="Times New Roman" w:cs="Times New Roman"/>
          <w:sz w:val="24"/>
          <w:szCs w:val="24"/>
        </w:rPr>
        <w:t>Det samme gælder, hvis advokaten mv. på grund af en tidligere sag, som ikke er omfattet af hvidvaskforordningens krav, er i besiddelse af oplysninger, som er tilstrækkelige. I sådanne tilfælde vil advokaten mv. ikke skulle iværksætte en ny procedure, men alene sikre sig, at oplysningerne fortsat er retvisende.</w:t>
      </w:r>
    </w:p>
    <w:p w14:paraId="2647F031" w14:textId="77777777" w:rsidR="00D4505D" w:rsidRPr="00A4589A" w:rsidRDefault="00D4505D" w:rsidP="00D4505D">
      <w:pPr>
        <w:spacing w:line="360" w:lineRule="auto"/>
        <w:rPr>
          <w:rFonts w:ascii="Times New Roman" w:hAnsi="Times New Roman" w:cs="Times New Roman"/>
          <w:sz w:val="24"/>
          <w:szCs w:val="24"/>
        </w:rPr>
      </w:pPr>
    </w:p>
    <w:p w14:paraId="30D64CBC"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Den foreslåede bestemmelse berører ikke kravene til advokaters mv. opbevaring og sletning af indhentede identitetsoplysninger m.v. efter hvidvaskforordningens artikel 77. En advokat mv. vil således kun være omfattet af bestemmelsen i tilfælde, hvor der ydes bistand m.v. omfattet af forordningens artikel 3, nr. 3, litra b. </w:t>
      </w:r>
    </w:p>
    <w:p w14:paraId="284AA655" w14:textId="77777777" w:rsidR="00D4505D" w:rsidRPr="00A4589A" w:rsidRDefault="00D4505D" w:rsidP="00D4505D">
      <w:pPr>
        <w:spacing w:line="360" w:lineRule="auto"/>
        <w:rPr>
          <w:rFonts w:ascii="Times New Roman" w:hAnsi="Times New Roman" w:cs="Times New Roman"/>
          <w:sz w:val="24"/>
          <w:szCs w:val="24"/>
        </w:rPr>
      </w:pPr>
    </w:p>
    <w:p w14:paraId="52DBE325" w14:textId="77777777" w:rsidR="00D4505D" w:rsidRPr="00A4589A" w:rsidRDefault="00D4505D" w:rsidP="00D4505D">
      <w:pPr>
        <w:spacing w:line="360" w:lineRule="auto"/>
        <w:rPr>
          <w:rFonts w:ascii="Times New Roman" w:eastAsia="Calibri" w:hAnsi="Times New Roman" w:cs="Times New Roman"/>
          <w:bCs/>
          <w:sz w:val="24"/>
          <w:szCs w:val="24"/>
        </w:rPr>
      </w:pPr>
      <w:r w:rsidRPr="00A4589A">
        <w:rPr>
          <w:rFonts w:ascii="Times New Roman" w:hAnsi="Times New Roman" w:cs="Times New Roman"/>
          <w:sz w:val="24"/>
          <w:szCs w:val="24"/>
        </w:rPr>
        <w:t xml:space="preserve">Det foreslås i </w:t>
      </w:r>
      <w:r w:rsidRPr="00A4589A">
        <w:rPr>
          <w:rFonts w:ascii="Times New Roman" w:hAnsi="Times New Roman" w:cs="Times New Roman"/>
          <w:i/>
          <w:iCs/>
          <w:sz w:val="24"/>
          <w:szCs w:val="24"/>
        </w:rPr>
        <w:t>stk. 2,</w:t>
      </w:r>
      <w:r w:rsidRPr="00A4589A">
        <w:rPr>
          <w:rFonts w:ascii="Times New Roman" w:hAnsi="Times New Roman" w:cs="Times New Roman"/>
          <w:sz w:val="24"/>
          <w:szCs w:val="24"/>
        </w:rPr>
        <w:t xml:space="preserve"> at </w:t>
      </w:r>
      <w:r w:rsidRPr="00A4589A">
        <w:rPr>
          <w:rFonts w:ascii="Times New Roman" w:eastAsia="Calibri" w:hAnsi="Times New Roman" w:cs="Times New Roman"/>
          <w:bCs/>
          <w:sz w:val="24"/>
          <w:szCs w:val="24"/>
        </w:rPr>
        <w:t>advokater, fællesskaber af advokater og advokatselskaber endvidere ved behandling efter stk. 1 skal gennemføre rimelige foranstaltninger for at kontrollere den eller de reelle ejeres identitet, således at advokaten mv. med sikkerhed ved, hvem den eller de reelle ejere af midlerne er, uanset om der ydes bistand m.v. omfattet af hvidvaskforordningens artikel 3, stk. 3, litra a eller b.</w:t>
      </w:r>
    </w:p>
    <w:p w14:paraId="58A5DB3B" w14:textId="77777777" w:rsidR="00D4505D" w:rsidRPr="00A4589A" w:rsidRDefault="00D4505D" w:rsidP="00D4505D">
      <w:pPr>
        <w:spacing w:line="360" w:lineRule="auto"/>
        <w:rPr>
          <w:rFonts w:ascii="Times New Roman" w:eastAsia="Calibri" w:hAnsi="Times New Roman" w:cs="Times New Roman"/>
          <w:bCs/>
          <w:sz w:val="24"/>
          <w:szCs w:val="24"/>
        </w:rPr>
      </w:pPr>
    </w:p>
    <w:p w14:paraId="6DD849A3"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 identitetsoplysninger, som skal indhentes om den eller de reelle ejere af midlerne skal af advokaten mv. kontrolleres ved dokumenter, data eller oplysninger. </w:t>
      </w:r>
    </w:p>
    <w:p w14:paraId="1D8DDEF0" w14:textId="77777777" w:rsidR="00D4505D" w:rsidRPr="00A4589A" w:rsidRDefault="00D4505D" w:rsidP="00D4505D">
      <w:pPr>
        <w:spacing w:line="360" w:lineRule="auto"/>
        <w:rPr>
          <w:rFonts w:ascii="Times New Roman" w:eastAsia="Calibri" w:hAnsi="Times New Roman" w:cs="Times New Roman"/>
          <w:sz w:val="24"/>
          <w:szCs w:val="24"/>
        </w:rPr>
      </w:pPr>
    </w:p>
    <w:p w14:paraId="66AE663E"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hAnsi="Times New Roman" w:cs="Times New Roman"/>
          <w:sz w:val="24"/>
          <w:szCs w:val="24"/>
        </w:rPr>
        <w:t>Kontrollen vil kunne gennemføres ved forelæggelse af et identifikationsdokument, pas eller tilsvarende og, hvor det er relevant, indhentning af oplysninger fra pålidelige og uafhængige kilder, uanset om de tilgås direkte eller forelægges af kunden eller ved anvendelse af elektroniske identifikationsmidler, som opfylder kravene i forordning (EU) nr. 910/2014 med hensyn til sikringsniveauet »betydelig« eller »høj«, og relevante kvalificerede tillidstjenester som fastsat i nævnte forordning samt ved at træffe rimelige foranstaltninger til at indhente de nødvendige oplysninger, dokumenter og data fra kunden eller andre pålidelige kilder, herunder andre offentlige registre end de centrale registre.</w:t>
      </w:r>
    </w:p>
    <w:p w14:paraId="4B95362F" w14:textId="77777777" w:rsidR="00D4505D" w:rsidRPr="00A4589A" w:rsidRDefault="00D4505D" w:rsidP="00D4505D">
      <w:pPr>
        <w:spacing w:line="360" w:lineRule="auto"/>
        <w:rPr>
          <w:rFonts w:ascii="Times New Roman" w:hAnsi="Times New Roman" w:cs="Times New Roman"/>
          <w:sz w:val="24"/>
          <w:szCs w:val="24"/>
        </w:rPr>
      </w:pPr>
    </w:p>
    <w:p w14:paraId="364C84DD"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Kontrollen kan f.eks. bestå i en undersøgelse af offentligt udstedte legitimationsdokumenter, som f.eks. pas, kørekort, legitimationskort, sundhedskort, dåbs- eller navneattest. Efter omstændigheder kan der endvidere, hvor det er relevant, ske indhentning af oplysninger fra pålidelige og uafhængige kilder, uanset om de tilgås direkte eller forelægges af den reelle ejer af midlerne. </w:t>
      </w:r>
    </w:p>
    <w:p w14:paraId="3091D952" w14:textId="77777777" w:rsidR="00D4505D" w:rsidRPr="00A4589A" w:rsidRDefault="00D4505D" w:rsidP="00D4505D">
      <w:pPr>
        <w:spacing w:line="360" w:lineRule="auto"/>
        <w:rPr>
          <w:rFonts w:ascii="Times New Roman" w:hAnsi="Times New Roman" w:cs="Times New Roman"/>
          <w:sz w:val="24"/>
          <w:szCs w:val="24"/>
        </w:rPr>
      </w:pPr>
    </w:p>
    <w:p w14:paraId="664AD9C1"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 xml:space="preserve">Elektroniske identifikationsmidler kan benyttes, herunder eksempelvis relevante tillidstjenester eller enhver anden sikker form for fjernidentifikationsproces eller elektronisk identifikationsproces, der er reguleret, anerkendt, godkendt eller accepteret af de kompetente nationale myndigheder og som i øvrigt opfylder kravene i Europa-Parlamentets og Rådets forordning (EU) 910/2014 af 23. juli om elektronisk identifikation og tillidstjenester til brug for elektroniske transaktioner på det indre marked med senere ændringer med hensyn til sikringsniveauet ”betydelig” eller ”høj”, og relevante kvalificerede tillidstjenester som fastsat i denne forordning.  </w:t>
      </w:r>
    </w:p>
    <w:p w14:paraId="6090BF71" w14:textId="77777777" w:rsidR="00D4505D" w:rsidRPr="00A4589A" w:rsidRDefault="00D4505D" w:rsidP="00D4505D">
      <w:pPr>
        <w:spacing w:line="360" w:lineRule="auto"/>
        <w:rPr>
          <w:rFonts w:ascii="Times New Roman" w:hAnsi="Times New Roman" w:cs="Times New Roman"/>
          <w:sz w:val="24"/>
          <w:szCs w:val="24"/>
        </w:rPr>
      </w:pPr>
    </w:p>
    <w:p w14:paraId="2C0D3555" w14:textId="77777777" w:rsidR="00D4505D" w:rsidRPr="00A4589A" w:rsidRDefault="00D4505D" w:rsidP="00D4505D">
      <w:pPr>
        <w:spacing w:line="360" w:lineRule="auto"/>
        <w:rPr>
          <w:rFonts w:ascii="Times New Roman" w:hAnsi="Times New Roman" w:cs="Times New Roman"/>
          <w:sz w:val="24"/>
          <w:szCs w:val="24"/>
        </w:rPr>
      </w:pPr>
      <w:r w:rsidRPr="00A4589A">
        <w:rPr>
          <w:rFonts w:ascii="Times New Roman" w:hAnsi="Times New Roman" w:cs="Times New Roman"/>
          <w:sz w:val="24"/>
          <w:szCs w:val="24"/>
        </w:rPr>
        <w:t>Kontrollen af den pågældendes identitet kan også bestå i, at advokaten mv. træffer rimelige foranstaltninger til at indhente de nødvendige oplysninger, dokumenter og data fra den reelle ejer af midlerne eller andre pålidelige kilder, herunder andre offentlige registre end de centrale registre.</w:t>
      </w:r>
    </w:p>
    <w:p w14:paraId="11C3CB35" w14:textId="77777777" w:rsidR="00D4505D" w:rsidRPr="00A4589A" w:rsidRDefault="00D4505D" w:rsidP="00D4505D">
      <w:pPr>
        <w:spacing w:line="360" w:lineRule="auto"/>
        <w:rPr>
          <w:rFonts w:ascii="Times New Roman" w:hAnsi="Times New Roman" w:cs="Times New Roman"/>
          <w:sz w:val="24"/>
          <w:szCs w:val="24"/>
        </w:rPr>
      </w:pPr>
    </w:p>
    <w:p w14:paraId="1F57751E"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Det bemærkes, at advokater mv. i visse tilfælde af offentligt skiftede dødsboer modtager indbetalinger til samleklientbankkontoen, hvorefter bobestyreren vil være at anse som den reelle ejer af dødsboet. Bobestyreren vil i den forbindelse skulle stille egne identitetsoplysninger til rådighed for pengeinstituttet, og i den forbindelse vil et udskrift af skifterettens udpegning af den pågældende kunne tjene som kontroldokument. Den samme situation med hensyn til indbetalinger af midler kan forekomme i forbindelse med advokaters indsættelse som kuratorer i konkursboer, hvor et udskrift af skifterettens udpegning af den pågældende advokat som kurator ligeledes vil kunne tjene som fornødent kontroldokument overfor pengeinstituttet. </w:t>
      </w:r>
    </w:p>
    <w:p w14:paraId="7934B099" w14:textId="77777777" w:rsidR="00D4505D" w:rsidRPr="00A4589A" w:rsidRDefault="00D4505D" w:rsidP="00D4505D">
      <w:pPr>
        <w:spacing w:line="360" w:lineRule="auto"/>
        <w:rPr>
          <w:rFonts w:ascii="Times New Roman" w:eastAsia="Calibri" w:hAnsi="Times New Roman" w:cs="Times New Roman"/>
          <w:sz w:val="24"/>
          <w:szCs w:val="24"/>
        </w:rPr>
      </w:pPr>
    </w:p>
    <w:p w14:paraId="7567E054"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I de tilfælde, hvor advokatens mv. klient mv. er en juridisk person eller enhed, kan kontrollen bestå af opslag i Det Centrale Virksomhedsregister, udskrifter fra SKAT indeholdende oplysninger om klientens identitet eller et sammenskrevet selskabsresumé fra Erhvervsstyrelsen. </w:t>
      </w:r>
    </w:p>
    <w:p w14:paraId="2D15F55F" w14:textId="77777777" w:rsidR="00D4505D" w:rsidRPr="00A4589A" w:rsidRDefault="00D4505D" w:rsidP="00D4505D">
      <w:pPr>
        <w:spacing w:line="360" w:lineRule="auto"/>
        <w:rPr>
          <w:rFonts w:ascii="Times New Roman" w:eastAsia="Calibri" w:hAnsi="Times New Roman" w:cs="Times New Roman"/>
          <w:sz w:val="24"/>
          <w:szCs w:val="24"/>
        </w:rPr>
      </w:pPr>
    </w:p>
    <w:p w14:paraId="3E7304EB"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Der må i den konkrete situation ikke være anledning til tvivl om den eller de reelle ejeres identitet. </w:t>
      </w:r>
    </w:p>
    <w:p w14:paraId="5D90892E" w14:textId="77777777" w:rsidR="00D4505D" w:rsidRPr="00A4589A" w:rsidRDefault="00D4505D" w:rsidP="00D4505D">
      <w:pPr>
        <w:spacing w:line="360" w:lineRule="auto"/>
        <w:rPr>
          <w:rFonts w:ascii="Times New Roman" w:eastAsia="Calibri" w:hAnsi="Times New Roman" w:cs="Times New Roman"/>
          <w:sz w:val="24"/>
          <w:szCs w:val="24"/>
        </w:rPr>
      </w:pPr>
    </w:p>
    <w:p w14:paraId="0CEB9370"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Kravet om gennemførsel af ”rimelige foranstaltninger” for at kontrollere en reel ejers identitetsoplysninger, jf. hvidvaskforordningens artikel 20, stk. 1, litra b, og artikel 22, stk. 7, litra b, vil ligesom i dag eksempelvis kunne opfyldes ved, at der indhentes legitimationsdokumenter fra en pålidelig og uafhængig kilde. Begrebet ”med sikkerhed ved” skal forstås således, at der ikke må foreligge omstændigheder, som giver anledning til tvivl om, at oplysningerne om den eller de reelle ejere er forkerte. Der henvises i øvrigt til den gældende bestemmelse i hvidvasklovens § 11, stk. 1, nr. 3, og bemærkningerne hertil, jf. Folketingstidende 2016-17, tillæg A, L 41 som fremsat, side 100 f.</w:t>
      </w:r>
    </w:p>
    <w:p w14:paraId="4483EE7A" w14:textId="77777777" w:rsidR="00D4505D" w:rsidRPr="00A4589A" w:rsidRDefault="00D4505D" w:rsidP="00D4505D">
      <w:pPr>
        <w:spacing w:line="360" w:lineRule="auto"/>
        <w:rPr>
          <w:rFonts w:ascii="Times New Roman" w:eastAsia="Calibri" w:hAnsi="Times New Roman" w:cs="Times New Roman"/>
          <w:sz w:val="24"/>
          <w:szCs w:val="24"/>
        </w:rPr>
      </w:pPr>
    </w:p>
    <w:p w14:paraId="1460A068"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 de tilfælde, hvor betroede klientmidler bliver indsat på en samleklientbankkonto af en anden end advokatens klient, f.eks. en modpart som opfølgning på et forlig eller en retsafgørelse eller en inkassodebitor som led i afvikling af skyldforhold, vil advokatens klient være at anse som den reelle ejer af midlerne. Derfor vil advokaten også efter den foreslåede bestemmelse skulle indhente og kontrollere advokatens klients identitetsoplysninger – og ikke den indbetalende tredjemands identitetsoplysninger, forudsat at klienten altså er at betragte som den reelle ejer af midlerne.</w:t>
      </w:r>
    </w:p>
    <w:p w14:paraId="59F66057" w14:textId="77777777" w:rsidR="00D4505D" w:rsidRPr="00A4589A" w:rsidRDefault="00D4505D" w:rsidP="00D4505D">
      <w:pPr>
        <w:spacing w:line="360" w:lineRule="auto"/>
        <w:rPr>
          <w:rFonts w:ascii="Times New Roman" w:hAnsi="Times New Roman" w:cs="Times New Roman"/>
          <w:sz w:val="24"/>
          <w:szCs w:val="24"/>
        </w:rPr>
      </w:pPr>
    </w:p>
    <w:p w14:paraId="5BDACA09"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Som også nævnt ovenfor vil det foreslåede endvidere indebære, at i det omvendte tilfælde, når midler, der er indbetalt til advokatens mv. samleklientbankonto af advokatens mv. klient, skifter reel ejer, f.eks. ved indfrielse af en given betingelse i en aftale, vil advokaten mv. være forpligtet til at indhente identitetsoplysninger og kontroldokumenter samt at tilgængeliggøre disse vedrørende den nye reelle ejer af midlerne. Alt efter omstændighederne vil advokaten mv. kunne gøre dette enten på indbetalingstidspunktet eller successivt, når midlerne har skiftet ejerskab, jf. herved også det foreslåede stk. 3. </w:t>
      </w:r>
    </w:p>
    <w:p w14:paraId="7385B2B4" w14:textId="77777777" w:rsidR="00D4505D" w:rsidRPr="00A4589A" w:rsidRDefault="00D4505D" w:rsidP="00D4505D">
      <w:pPr>
        <w:spacing w:line="360" w:lineRule="auto"/>
        <w:rPr>
          <w:rFonts w:ascii="Times New Roman" w:hAnsi="Times New Roman" w:cs="Times New Roman"/>
          <w:sz w:val="24"/>
          <w:szCs w:val="24"/>
        </w:rPr>
      </w:pPr>
    </w:p>
    <w:p w14:paraId="6B2591C2" w14:textId="77777777" w:rsidR="00D4505D" w:rsidRPr="00A4589A" w:rsidRDefault="00D4505D" w:rsidP="00D4505D">
      <w:pPr>
        <w:spacing w:line="360" w:lineRule="auto"/>
        <w:rPr>
          <w:rFonts w:ascii="Times New Roman" w:eastAsia="Calibri" w:hAnsi="Times New Roman" w:cs="Times New Roman"/>
          <w:bCs/>
          <w:sz w:val="24"/>
          <w:szCs w:val="24"/>
        </w:rPr>
      </w:pPr>
      <w:r w:rsidRPr="00A4589A">
        <w:rPr>
          <w:rFonts w:ascii="Times New Roman" w:hAnsi="Times New Roman" w:cs="Times New Roman"/>
          <w:sz w:val="24"/>
          <w:szCs w:val="24"/>
        </w:rPr>
        <w:t xml:space="preserve">Det foreslås i </w:t>
      </w:r>
      <w:r w:rsidRPr="00A4589A">
        <w:rPr>
          <w:rFonts w:ascii="Times New Roman" w:hAnsi="Times New Roman" w:cs="Times New Roman"/>
          <w:i/>
          <w:iCs/>
          <w:sz w:val="24"/>
          <w:szCs w:val="24"/>
        </w:rPr>
        <w:t xml:space="preserve">stk. 3, 1. pkt., </w:t>
      </w:r>
      <w:r w:rsidRPr="00A4589A">
        <w:rPr>
          <w:rFonts w:ascii="Times New Roman" w:eastAsia="Calibri" w:hAnsi="Times New Roman" w:cs="Times New Roman"/>
          <w:bCs/>
          <w:sz w:val="24"/>
          <w:szCs w:val="24"/>
        </w:rPr>
        <w:t>advokater, deres autoriserede fuldmægtige, fællesskaber af advokater og advokatselskaber ved behandling efter stk. 1 uden ugrundet ophold efter indbetalingen skal stille identitetsoplysninger og kopi af dokumenter, data eller oplysninger efter stk. 2 til rådighed for det pengeinstitut, hvori samleklientbankkontoen føres.</w:t>
      </w:r>
    </w:p>
    <w:p w14:paraId="1B55AEBF" w14:textId="77777777" w:rsidR="00D4505D" w:rsidRPr="00A4589A" w:rsidRDefault="00D4505D" w:rsidP="00D4505D">
      <w:pPr>
        <w:spacing w:line="360" w:lineRule="auto"/>
        <w:rPr>
          <w:rFonts w:ascii="Times New Roman" w:eastAsia="Calibri" w:hAnsi="Times New Roman" w:cs="Times New Roman"/>
          <w:bCs/>
          <w:sz w:val="24"/>
          <w:szCs w:val="24"/>
        </w:rPr>
      </w:pPr>
    </w:p>
    <w:p w14:paraId="411DA530"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Den foreslåede bestemmelse vil indebære, at en advokats mv. indhentelse, kontrol og tilgængeliggørelse af identitetsoplysninger og kontroldokumenter</w:t>
      </w:r>
      <w:r w:rsidRPr="00A4589A">
        <w:rPr>
          <w:rFonts w:ascii="Times New Roman" w:hAnsi="Times New Roman" w:cs="Times New Roman"/>
          <w:color w:val="212529"/>
          <w:sz w:val="24"/>
          <w:szCs w:val="24"/>
          <w:shd w:val="clear" w:color="auto" w:fill="F9F9FB"/>
        </w:rPr>
        <w:t xml:space="preserve"> </w:t>
      </w:r>
      <w:r w:rsidRPr="00A4589A">
        <w:rPr>
          <w:rFonts w:ascii="Times New Roman" w:eastAsia="Calibri" w:hAnsi="Times New Roman" w:cs="Times New Roman"/>
          <w:sz w:val="24"/>
          <w:szCs w:val="24"/>
        </w:rPr>
        <w:t xml:space="preserve">vil kunne ske forud for, at klientens midler indsættes på advokatens samleklientbankkonto. En advokat eller et selskab vil således kunne indhente de pågældende oplysninger og dokumenter allerede ved en sags påtagelse, hvis advokaten mv. på baggrund af de indledende drøftelser med klienten eller de øvrige foreliggende oplysninger i sagen vurderer, at der er en mulighed for, at advokatens mv. samleklientbankkonto kan komme i anvendelse i forbindelse med advokatens behandling af sagen. Advokaten mv. bør dog først stille de pågældende identitetsoplysninger og kontroldokumenter til rådighed for pengeinstituttet inden for en vis tidsmæssig sammenhæng med indbetalingen, hvor advokaten mv. ligeledes vil skulle sikre sig, at oplysningerne er retvisende. </w:t>
      </w:r>
    </w:p>
    <w:p w14:paraId="2956E713" w14:textId="77777777" w:rsidR="00D4505D" w:rsidRPr="00A4589A" w:rsidRDefault="00D4505D" w:rsidP="00D4505D">
      <w:pPr>
        <w:spacing w:line="360" w:lineRule="auto"/>
        <w:rPr>
          <w:rFonts w:ascii="Times New Roman" w:hAnsi="Times New Roman" w:cs="Times New Roman"/>
          <w:sz w:val="24"/>
          <w:szCs w:val="24"/>
        </w:rPr>
      </w:pPr>
    </w:p>
    <w:p w14:paraId="05EB8611"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En antagelse om, at en klient sandsynligvis på et senere tidspunkt vil modtage midler, som skal indsættes på kontoen, vil ikke være tilstrækkelig til, at et pengeinstitut vil kunne betragte klienten som reel ejer af midler på samleklientbankkontoen. Der vil således skulle være en vis aktualitet i advokatens mv. dokumentation for klienter med midler på kontoen, som advokaten mv. vil skulle stille rådighed for pengeinstituttet. I forbindelse med tilgængeliggørelsen vil advokaten skulle sikre sig, at identitetsoplysninger og kontroldokumenter, der er indhentet på et tidligere tidspunkt, forsat er aktuelle og gyldige, da klientens identitetsoplysninger, f.eks. navn, vil kunne have ændret sig, og kontroldokumenter vil kunne være udløbet. </w:t>
      </w:r>
    </w:p>
    <w:p w14:paraId="3782FC90" w14:textId="77777777" w:rsidR="00D4505D" w:rsidRPr="00A4589A" w:rsidRDefault="00D4505D" w:rsidP="00D4505D">
      <w:pPr>
        <w:spacing w:line="360" w:lineRule="auto"/>
        <w:rPr>
          <w:rFonts w:ascii="Times New Roman" w:hAnsi="Times New Roman" w:cs="Times New Roman"/>
          <w:sz w:val="24"/>
          <w:szCs w:val="24"/>
        </w:rPr>
      </w:pPr>
    </w:p>
    <w:p w14:paraId="371FF79B"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I tilfælde, hvor der løbende indbetales midler tilhørende en klient på samleklientbankkontoen, vil advokaten mv. ikke være forpligtet til at gennemføre rimelige foranstaltninger for at kontrollere klientens identitet ved hver indbetaling. Advokaten mv. vil dog skulle foretage kontrol i et omfang, der er tilstrækkeligt til at sikre, at identitetsoplysningerne og kontroldokumenterne fortsat er aktuelle og gyldige. Advokaten mv. vil desuden i forbindelse med hver indbetaling til klienten skulle stille identitetsoplysninger og kontroldokumenter til rådighed for pengeinstituttet, men vil også efter aftale med pengeinstituttet konkret kunne indsende oplysninger og dokumenter mv. med større mellemrum.</w:t>
      </w:r>
    </w:p>
    <w:p w14:paraId="606AC03C" w14:textId="77777777" w:rsidR="00D4505D" w:rsidRPr="00A4589A" w:rsidRDefault="00D4505D" w:rsidP="00D4505D">
      <w:pPr>
        <w:spacing w:line="360" w:lineRule="auto"/>
        <w:rPr>
          <w:rFonts w:ascii="Times New Roman" w:eastAsia="Calibri" w:hAnsi="Times New Roman" w:cs="Times New Roman"/>
          <w:sz w:val="24"/>
          <w:szCs w:val="24"/>
        </w:rPr>
      </w:pPr>
    </w:p>
    <w:p w14:paraId="7A5DB036" w14:textId="0AC64578" w:rsidR="00D4505D" w:rsidRPr="00A4589A" w:rsidRDefault="00D4505D" w:rsidP="00D4505D">
      <w:pPr>
        <w:spacing w:line="360" w:lineRule="auto"/>
        <w:rPr>
          <w:rFonts w:ascii="Times New Roman" w:eastAsia="Calibri" w:hAnsi="Times New Roman" w:cs="Times New Roman"/>
          <w:sz w:val="24"/>
          <w:szCs w:val="24"/>
        </w:rPr>
      </w:pPr>
      <w:bookmarkStart w:id="1964" w:name="_Hlk244777724"/>
      <w:r w:rsidRPr="00A4589A">
        <w:rPr>
          <w:rFonts w:ascii="Times New Roman" w:eastAsia="Calibri" w:hAnsi="Times New Roman" w:cs="Times New Roman"/>
          <w:sz w:val="24"/>
          <w:szCs w:val="24"/>
        </w:rPr>
        <w:t>Efter den foreslåede bestemmelse vil advokaten mv. skulle stille identitetsoplysningerne mv. til rådighed for det relevante pengeinstitut uden ugrundet ophold. Det forudsættes, at advokaterne mv. som udgangspunkt vil skulle stille oplysningerne til rådighed for pengeinstituttet samme dag, som midlerne indsættes på samleklientbankkontoen. Herved forstås betalinger modtaget den pågældende dag indenfor almindelig kontortid, hvilket svarer til det tidsrum, hvori indkomne betalinger efter klientkontoreglerne dagligt håndteres</w:t>
      </w:r>
      <w:r w:rsidR="00EF0469">
        <w:rPr>
          <w:rFonts w:ascii="Times New Roman" w:eastAsia="Calibri" w:hAnsi="Times New Roman" w:cs="Times New Roman"/>
          <w:sz w:val="24"/>
          <w:szCs w:val="24"/>
        </w:rPr>
        <w:t>, herunder bogføres,</w:t>
      </w:r>
      <w:r w:rsidRPr="00A4589A">
        <w:rPr>
          <w:rFonts w:ascii="Times New Roman" w:eastAsia="Calibri" w:hAnsi="Times New Roman" w:cs="Times New Roman"/>
          <w:sz w:val="24"/>
          <w:szCs w:val="24"/>
        </w:rPr>
        <w:t xml:space="preserve"> af advokaterne mv. </w:t>
      </w:r>
      <w:bookmarkEnd w:id="1964"/>
    </w:p>
    <w:p w14:paraId="773DEF77" w14:textId="77777777" w:rsidR="00D4505D" w:rsidRPr="00A4589A" w:rsidRDefault="00D4505D" w:rsidP="00D4505D">
      <w:pPr>
        <w:spacing w:line="360" w:lineRule="auto"/>
        <w:rPr>
          <w:rFonts w:ascii="Times New Roman" w:hAnsi="Times New Roman" w:cs="Times New Roman"/>
          <w:sz w:val="24"/>
          <w:szCs w:val="24"/>
        </w:rPr>
      </w:pPr>
    </w:p>
    <w:p w14:paraId="1E189F25"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Det foreslås i </w:t>
      </w:r>
      <w:r w:rsidRPr="00A4589A">
        <w:rPr>
          <w:rFonts w:ascii="Times New Roman" w:eastAsia="Calibri" w:hAnsi="Times New Roman" w:cs="Times New Roman"/>
          <w:i/>
          <w:iCs/>
          <w:sz w:val="24"/>
          <w:szCs w:val="24"/>
        </w:rPr>
        <w:t>stk. 3, 2. pkt.,</w:t>
      </w:r>
      <w:r w:rsidRPr="00A4589A">
        <w:rPr>
          <w:rFonts w:ascii="Times New Roman" w:eastAsia="Calibri" w:hAnsi="Times New Roman" w:cs="Times New Roman"/>
          <w:sz w:val="24"/>
          <w:szCs w:val="24"/>
        </w:rPr>
        <w:t xml:space="preserve"> at i særlige tilfælde kan advokaten mv. stille oplysninger efter 1. pkt. til rådighed for pengeinstituttet inden for rimelig tid efter indbetalingen, forudsat at advokaten mv. uden ugrundet ophold giver pengeinstituttet skriftlig meddelelse med angivelse af forhold, der ligger til grund herfor.</w:t>
      </w:r>
    </w:p>
    <w:p w14:paraId="319E0C1C" w14:textId="77777777" w:rsidR="00D4505D" w:rsidRPr="00A4589A" w:rsidRDefault="00D4505D" w:rsidP="00D4505D">
      <w:pPr>
        <w:spacing w:line="360" w:lineRule="auto"/>
        <w:rPr>
          <w:rFonts w:ascii="Times New Roman" w:eastAsia="Calibri" w:hAnsi="Times New Roman" w:cs="Times New Roman"/>
          <w:sz w:val="24"/>
          <w:szCs w:val="24"/>
        </w:rPr>
      </w:pPr>
    </w:p>
    <w:p w14:paraId="17435475"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Der vil kunne være tilfælde, hvor det ikke viser sig muligt for advokaten mv. at stille identitetsoplysningerne og kontroldokumenterne til rådighed forud for indbetalingen. Det vil f.eks. kunne være tilfældet, hvis klienten har indbetalt midler til advokatens mv. samleklientbankkonto, uden at advokaten mv. har anmodet herom eller har været bekendt med det. Da formålet med at indhente identitetsoplysninger på klienterne (den eller de reelle ejere) og gennemføre rimelige foranstaltninger for at kontrollere deres identitet imidlertid er at sikre øget gennemsigtighed i ejerforhold, der skal medvirke til at hindre hvidvask og finansiering af terrorisme, anses en hurtig tilgængeliggørelse for at være nødvendig. Tilgængeliggørelse vil derfor ikke uden særlig anerkendelsesværdig grund kunne vente flere dage, men skal som udgangspunkt som nævnt under bemærkningerne til det foreslåede stk. 1 ske samme dag, som midlerne indbetales på kontoen for at sikre aktualitet i pengeinstituttets oversigt over reelle ejere af midler på advokatens mv. samleklientbankkonto. </w:t>
      </w:r>
    </w:p>
    <w:p w14:paraId="0D0BCE85" w14:textId="77777777" w:rsidR="00D4505D" w:rsidRPr="00A4589A" w:rsidRDefault="00D4505D" w:rsidP="00D4505D">
      <w:pPr>
        <w:spacing w:line="360" w:lineRule="auto"/>
        <w:rPr>
          <w:rFonts w:ascii="Times New Roman" w:eastAsia="Calibri" w:hAnsi="Times New Roman" w:cs="Times New Roman"/>
          <w:sz w:val="24"/>
          <w:szCs w:val="24"/>
        </w:rPr>
      </w:pPr>
    </w:p>
    <w:p w14:paraId="18FE78C5"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I situationer, hvor det ikke er muligt for advokaten mv. at stille identitetsoplysninger og kontroldokumenter til rådighed i umiddelbar tidsmæssig sammenhæng med indbetalingen af midlerne, vil advokaten eller selskabet uden ugrundet ophold skulle give pengeinstituttet skriftlig meddelelse herom med angivelse af de forhold, der ligger til grund herfor. En sådan meddelelse vil også kunne afgives forud for en periode, hvor advokaten eller selskabet vil kunne påregne, at det i en pågældende periode ikke vil være muligt at stille identitetsoplysninger og kontroldokumenter til rådighed for pengeinstituttet i umiddelbar tidsmæssig sammenhæng med indbetalinger, som advokaten eller selskabet på tidspunktet for meddelelsen ikke med sikkerhed ved om og hvornår vil forekomme. Hermed sikres, at pengeinstituttet i forbindelse med Finanstilsynets tilsyn med pengeinstituttets overholdelse af hvidvaskloven vil kunne godtgøre over for Finanstilsynet, hvorfor oplysningerne om den eller de reelle ejere ikke var til rådighed for pengeinstituttet i umiddelbar tidsmæssig sammenhæng med indbetalingen af midlerne. </w:t>
      </w:r>
    </w:p>
    <w:p w14:paraId="756BD6BC" w14:textId="77777777" w:rsidR="00D4505D" w:rsidRPr="00A4589A" w:rsidRDefault="00D4505D" w:rsidP="00D4505D">
      <w:pPr>
        <w:spacing w:line="360" w:lineRule="auto"/>
        <w:rPr>
          <w:rFonts w:ascii="Times New Roman" w:eastAsia="Calibri" w:hAnsi="Times New Roman" w:cs="Times New Roman"/>
          <w:sz w:val="24"/>
          <w:szCs w:val="24"/>
        </w:rPr>
      </w:pPr>
    </w:p>
    <w:p w14:paraId="4519DAD7"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Det foreslås i </w:t>
      </w:r>
      <w:r w:rsidRPr="00A4589A">
        <w:rPr>
          <w:rFonts w:ascii="Times New Roman" w:eastAsia="Calibri" w:hAnsi="Times New Roman" w:cs="Times New Roman"/>
          <w:i/>
          <w:iCs/>
          <w:sz w:val="24"/>
          <w:szCs w:val="24"/>
        </w:rPr>
        <w:t>stk. 4,</w:t>
      </w:r>
      <w:r w:rsidRPr="00A4589A">
        <w:rPr>
          <w:rFonts w:ascii="Times New Roman" w:eastAsia="Calibri" w:hAnsi="Times New Roman" w:cs="Times New Roman"/>
          <w:sz w:val="24"/>
          <w:szCs w:val="24"/>
        </w:rPr>
        <w:t xml:space="preserve"> at advokater, fællesskaber af advokater og advokatselskaber overfor Advokatrådet skal kunne godtgøre overholdelse af stk. 1-3.</w:t>
      </w:r>
    </w:p>
    <w:p w14:paraId="0BED3D5B" w14:textId="77777777" w:rsidR="00D4505D" w:rsidRPr="00A4589A" w:rsidRDefault="00D4505D" w:rsidP="00D4505D">
      <w:pPr>
        <w:spacing w:line="360" w:lineRule="auto"/>
        <w:rPr>
          <w:rFonts w:ascii="Times New Roman" w:eastAsia="Calibri" w:hAnsi="Times New Roman" w:cs="Times New Roman"/>
          <w:sz w:val="24"/>
          <w:szCs w:val="24"/>
        </w:rPr>
      </w:pPr>
    </w:p>
    <w:p w14:paraId="275777F8" w14:textId="77777777"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sz w:val="24"/>
          <w:szCs w:val="24"/>
        </w:rPr>
        <w:t xml:space="preserve">Den foreslåede bestemmelse vil indebære, at advokater, , fællesskaber af advokater og advokatselskaber er forpligtede til at kunne godtgøre overholdelsen af de foreslåede regler i stk. 1-3 overfor Advokatrådet. </w:t>
      </w:r>
    </w:p>
    <w:p w14:paraId="61A22980" w14:textId="77777777" w:rsidR="00D4505D" w:rsidRPr="00A4589A" w:rsidRDefault="00D4505D" w:rsidP="00D4505D">
      <w:pPr>
        <w:spacing w:line="360" w:lineRule="auto"/>
        <w:rPr>
          <w:rFonts w:ascii="Times New Roman" w:eastAsia="Calibri" w:hAnsi="Times New Roman" w:cs="Times New Roman"/>
          <w:bCs/>
          <w:sz w:val="24"/>
          <w:szCs w:val="24"/>
        </w:rPr>
      </w:pPr>
    </w:p>
    <w:p w14:paraId="251F0D7C" w14:textId="3BB9A3CD" w:rsidR="00D4505D" w:rsidRPr="00A4589A" w:rsidRDefault="00D4505D" w:rsidP="00D4505D">
      <w:pPr>
        <w:spacing w:line="360" w:lineRule="auto"/>
        <w:rPr>
          <w:rFonts w:ascii="Times New Roman" w:eastAsia="Calibri" w:hAnsi="Times New Roman" w:cs="Times New Roman"/>
          <w:sz w:val="24"/>
          <w:szCs w:val="24"/>
        </w:rPr>
      </w:pPr>
      <w:r w:rsidRPr="00A4589A">
        <w:rPr>
          <w:rFonts w:ascii="Times New Roman" w:eastAsia="Calibri" w:hAnsi="Times New Roman" w:cs="Times New Roman"/>
          <w:bCs/>
          <w:sz w:val="24"/>
          <w:szCs w:val="24"/>
        </w:rPr>
        <w:t>Forslaget skal ses i sammenhæng med den foreslåede</w:t>
      </w:r>
      <w:r w:rsidR="00EF0469">
        <w:rPr>
          <w:rFonts w:ascii="Times New Roman" w:eastAsia="Calibri" w:hAnsi="Times New Roman" w:cs="Times New Roman"/>
          <w:bCs/>
          <w:sz w:val="24"/>
          <w:szCs w:val="24"/>
        </w:rPr>
        <w:t xml:space="preserve"> </w:t>
      </w:r>
      <w:r w:rsidR="00EF0469">
        <w:rPr>
          <w:rFonts w:ascii="Times New Roman" w:eastAsia="Calibri" w:hAnsi="Times New Roman" w:cs="Times New Roman"/>
          <w:bCs/>
          <w:sz w:val="24"/>
          <w:szCs w:val="24"/>
        </w:rPr>
        <w:fldChar w:fldCharType="begin"/>
      </w:r>
      <w:r w:rsidR="00EF0469">
        <w:rPr>
          <w:rFonts w:ascii="Times New Roman" w:eastAsia="Calibri" w:hAnsi="Times New Roman" w:cs="Times New Roman"/>
          <w:bCs/>
          <w:sz w:val="24"/>
          <w:szCs w:val="24"/>
        </w:rPr>
        <w:instrText xml:space="preserve"> REF _Ref232609193 \r \h </w:instrText>
      </w:r>
      <w:r w:rsidR="00EF0469">
        <w:rPr>
          <w:rFonts w:ascii="Times New Roman" w:eastAsia="Calibri" w:hAnsi="Times New Roman" w:cs="Times New Roman"/>
          <w:bCs/>
          <w:sz w:val="24"/>
          <w:szCs w:val="24"/>
        </w:rPr>
      </w:r>
      <w:r w:rsidR="00EF0469">
        <w:rPr>
          <w:rFonts w:ascii="Times New Roman" w:eastAsia="Calibri" w:hAnsi="Times New Roman" w:cs="Times New Roman"/>
          <w:bCs/>
          <w:sz w:val="24"/>
          <w:szCs w:val="24"/>
        </w:rPr>
        <w:fldChar w:fldCharType="separate"/>
      </w:r>
      <w:r w:rsidR="008F29E5">
        <w:rPr>
          <w:rFonts w:ascii="Times New Roman" w:eastAsia="Calibri" w:hAnsi="Times New Roman" w:cs="Times New Roman"/>
          <w:bCs/>
          <w:sz w:val="24"/>
          <w:szCs w:val="24"/>
        </w:rPr>
        <w:t>§ 97</w:t>
      </w:r>
      <w:r w:rsidR="00EF0469">
        <w:rPr>
          <w:rFonts w:ascii="Times New Roman" w:eastAsia="Calibri" w:hAnsi="Times New Roman" w:cs="Times New Roman"/>
          <w:bCs/>
          <w:sz w:val="24"/>
          <w:szCs w:val="24"/>
        </w:rPr>
        <w:fldChar w:fldCharType="end"/>
      </w:r>
      <w:r w:rsidRPr="00A4589A">
        <w:rPr>
          <w:rFonts w:ascii="Times New Roman" w:eastAsia="Calibri" w:hAnsi="Times New Roman" w:cs="Times New Roman"/>
          <w:bCs/>
          <w:sz w:val="24"/>
          <w:szCs w:val="24"/>
        </w:rPr>
        <w:t xml:space="preserve">, stk. 1, </w:t>
      </w:r>
      <w:r w:rsidRPr="00A4589A">
        <w:rPr>
          <w:rFonts w:ascii="Times New Roman" w:eastAsia="Calibri" w:hAnsi="Times New Roman" w:cs="Times New Roman"/>
          <w:sz w:val="24"/>
          <w:szCs w:val="24"/>
        </w:rPr>
        <w:t xml:space="preserve">hvorefter Advokatrådet som led i sin tilsynsvirksomhed bl.a. vil kunne påse, at lever op til deres forpligtelser efter hvidvaskforordningen og den foreslåede </w:t>
      </w:r>
      <w:r w:rsidRPr="00A4589A">
        <w:rPr>
          <w:rFonts w:ascii="Times New Roman" w:hAnsi="Times New Roman" w:cs="Times New Roman"/>
          <w:sz w:val="24"/>
          <w:szCs w:val="24"/>
        </w:rPr>
        <w:fldChar w:fldCharType="begin"/>
      </w:r>
      <w:r w:rsidRPr="00A4589A">
        <w:rPr>
          <w:rFonts w:ascii="Times New Roman" w:hAnsi="Times New Roman" w:cs="Times New Roman"/>
          <w:sz w:val="24"/>
          <w:szCs w:val="24"/>
        </w:rPr>
        <w:instrText xml:space="preserve"> REF _Ref236655813 \r \h  \* MERGEFORMAT </w:instrText>
      </w:r>
      <w:r w:rsidRPr="00A4589A">
        <w:rPr>
          <w:rFonts w:ascii="Times New Roman" w:hAnsi="Times New Roman" w:cs="Times New Roman"/>
          <w:sz w:val="24"/>
          <w:szCs w:val="24"/>
        </w:rPr>
      </w:r>
      <w:r w:rsidRPr="00A4589A">
        <w:rPr>
          <w:rFonts w:ascii="Times New Roman" w:hAnsi="Times New Roman" w:cs="Times New Roman"/>
          <w:sz w:val="24"/>
          <w:szCs w:val="24"/>
        </w:rPr>
        <w:fldChar w:fldCharType="separate"/>
      </w:r>
      <w:r w:rsidR="008F29E5">
        <w:rPr>
          <w:rFonts w:ascii="Times New Roman" w:hAnsi="Times New Roman" w:cs="Times New Roman"/>
          <w:sz w:val="24"/>
          <w:szCs w:val="24"/>
        </w:rPr>
        <w:t>§ 36</w:t>
      </w:r>
      <w:r w:rsidRPr="00A4589A">
        <w:rPr>
          <w:rFonts w:ascii="Times New Roman" w:hAnsi="Times New Roman" w:cs="Times New Roman"/>
          <w:sz w:val="24"/>
          <w:szCs w:val="24"/>
        </w:rPr>
        <w:fldChar w:fldCharType="end"/>
      </w:r>
      <w:r w:rsidRPr="00A4589A">
        <w:rPr>
          <w:rFonts w:ascii="Times New Roman" w:eastAsia="Calibri" w:hAnsi="Times New Roman" w:cs="Times New Roman"/>
          <w:sz w:val="24"/>
          <w:szCs w:val="24"/>
        </w:rPr>
        <w:t xml:space="preserve">, herunder om der er indhentet identitetsoplysninger på den eller de reelle ejere efter stk. 1, gennemført rimelige kontrolforanstaltninger af identiteten efter stk. 2, og rettidigt er stillet identitetsoplysninger mv. til rådighed for pengeinstitut, hvor samleklientbankkontoen føres efter stk. 3.  </w:t>
      </w:r>
    </w:p>
    <w:p w14:paraId="33551CCC" w14:textId="77777777" w:rsidR="00D4505D" w:rsidRPr="00A4589A" w:rsidRDefault="00D4505D" w:rsidP="00D4505D">
      <w:pPr>
        <w:spacing w:line="360" w:lineRule="auto"/>
        <w:rPr>
          <w:rFonts w:ascii="Times New Roman" w:eastAsia="Calibri" w:hAnsi="Times New Roman" w:cs="Times New Roman"/>
          <w:bCs/>
          <w:sz w:val="24"/>
          <w:szCs w:val="24"/>
        </w:rPr>
      </w:pPr>
    </w:p>
    <w:p w14:paraId="633E9446" w14:textId="7D161D3F" w:rsidR="00D4505D" w:rsidRPr="00A4589A" w:rsidRDefault="00D4505D" w:rsidP="00D4505D">
      <w:pPr>
        <w:spacing w:line="360" w:lineRule="auto"/>
        <w:rPr>
          <w:rFonts w:ascii="Times New Roman" w:hAnsi="Times New Roman" w:cs="Times New Roman"/>
          <w:sz w:val="24"/>
          <w:szCs w:val="24"/>
        </w:rPr>
      </w:pPr>
      <w:r w:rsidRPr="00A4589A">
        <w:rPr>
          <w:rFonts w:ascii="Times New Roman" w:eastAsia="Calibri" w:hAnsi="Times New Roman" w:cs="Times New Roman"/>
          <w:bCs/>
          <w:sz w:val="24"/>
          <w:szCs w:val="24"/>
        </w:rPr>
        <w:t xml:space="preserve">Bliver Advokatrådet som led i sit tilsyn eller på anden vis opmærksom på, at en advokat mv. ikke lever op til sine forpligtelser, vil Advokatrådet kunne henstille den pågældende advokat mv. til at dokumentere overfor Advokatrådet, at pligterne i </w:t>
      </w:r>
      <w:r>
        <w:rPr>
          <w:rFonts w:ascii="Times New Roman" w:hAnsi="Times New Roman" w:cs="Times New Roman"/>
          <w:sz w:val="24"/>
          <w:szCs w:val="24"/>
        </w:rPr>
        <w:fldChar w:fldCharType="begin"/>
      </w:r>
      <w:r>
        <w:rPr>
          <w:rFonts w:ascii="Times New Roman" w:eastAsia="Calibri" w:hAnsi="Times New Roman" w:cs="Times New Roman"/>
          <w:bCs/>
          <w:sz w:val="24"/>
          <w:szCs w:val="24"/>
        </w:rPr>
        <w:instrText xml:space="preserve"> REF _Ref236655813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eastAsia="Calibri" w:hAnsi="Times New Roman" w:cs="Times New Roman"/>
          <w:bCs/>
          <w:sz w:val="24"/>
          <w:szCs w:val="24"/>
        </w:rPr>
        <w:t>§ 36</w:t>
      </w:r>
      <w:r>
        <w:rPr>
          <w:rFonts w:ascii="Times New Roman" w:hAnsi="Times New Roman" w:cs="Times New Roman"/>
          <w:sz w:val="24"/>
          <w:szCs w:val="24"/>
        </w:rPr>
        <w:fldChar w:fldCharType="end"/>
      </w:r>
      <w:r w:rsidRPr="00A4589A">
        <w:rPr>
          <w:rFonts w:ascii="Times New Roman" w:hAnsi="Times New Roman" w:cs="Times New Roman"/>
          <w:sz w:val="24"/>
          <w:szCs w:val="24"/>
        </w:rPr>
        <w:t xml:space="preserve"> </w:t>
      </w:r>
      <w:r w:rsidRPr="00A4589A">
        <w:rPr>
          <w:rFonts w:ascii="Times New Roman" w:eastAsia="Calibri" w:hAnsi="Times New Roman" w:cs="Times New Roman"/>
          <w:bCs/>
          <w:sz w:val="24"/>
          <w:szCs w:val="24"/>
        </w:rPr>
        <w:t xml:space="preserve">er opfyldt. En advokats mv. manglende efterlevelse af en sådan henstilling kan efter omstændighederne være i strid med god advokatskik, som er undergivet sædvanlige disciplinære sanktioner pålagt af Advokatnævnet. </w:t>
      </w:r>
    </w:p>
    <w:p w14:paraId="72CB3D49" w14:textId="77777777" w:rsidR="00D4505D" w:rsidRPr="00921287" w:rsidRDefault="00D4505D" w:rsidP="00D4505D">
      <w:pPr>
        <w:rPr>
          <w:rFonts w:ascii="Times New Roman" w:hAnsi="Times New Roman" w:cs="Times New Roman"/>
          <w:sz w:val="24"/>
          <w:szCs w:val="24"/>
        </w:rPr>
      </w:pPr>
    </w:p>
    <w:p w14:paraId="02CDBC1C" w14:textId="77777777" w:rsidR="0030356F" w:rsidRPr="00796736" w:rsidRDefault="0030356F" w:rsidP="00A802A5">
      <w:pPr>
        <w:spacing w:line="360" w:lineRule="auto"/>
        <w:rPr>
          <w:rFonts w:ascii="Times New Roman" w:hAnsi="Times New Roman" w:cs="Times New Roman"/>
          <w:i/>
          <w:iCs/>
          <w:sz w:val="24"/>
          <w:szCs w:val="24"/>
        </w:rPr>
      </w:pPr>
    </w:p>
    <w:p w14:paraId="60DD562E" w14:textId="70B81912" w:rsidR="0030356F" w:rsidRPr="00796736" w:rsidRDefault="00240DBE" w:rsidP="00A802A5">
      <w:pPr>
        <w:pStyle w:val="Undertitel"/>
        <w:rPr>
          <w:iCs/>
        </w:rPr>
      </w:pPr>
      <w:bookmarkStart w:id="1965" w:name="_Toc232109369"/>
      <w:bookmarkStart w:id="1966" w:name="_Toc244879333"/>
      <w:bookmarkStart w:id="1967" w:name="_Toc244880858"/>
      <w:r w:rsidRPr="00796736">
        <w:t xml:space="preserve">Til </w:t>
      </w:r>
      <w:r w:rsidR="006719DB" w:rsidRPr="00796736">
        <w:fldChar w:fldCharType="begin"/>
      </w:r>
      <w:r w:rsidR="006719DB" w:rsidRPr="00796736">
        <w:instrText xml:space="preserve"> REF _Ref232596454 \r \h </w:instrText>
      </w:r>
      <w:r w:rsidR="00967618" w:rsidRPr="00796736">
        <w:instrText xml:space="preserve"> \* MERGEFORMAT </w:instrText>
      </w:r>
      <w:r w:rsidR="006719DB" w:rsidRPr="00796736">
        <w:fldChar w:fldCharType="separate"/>
      </w:r>
      <w:r w:rsidR="008F29E5">
        <w:t>§ 37</w:t>
      </w:r>
      <w:bookmarkEnd w:id="1966"/>
      <w:bookmarkEnd w:id="1967"/>
      <w:r w:rsidR="006719DB" w:rsidRPr="00796736">
        <w:fldChar w:fldCharType="end"/>
      </w:r>
      <w:r w:rsidR="0030356F" w:rsidRPr="00796736">
        <w:t xml:space="preserve"> </w:t>
      </w:r>
      <w:bookmarkEnd w:id="1965"/>
    </w:p>
    <w:p w14:paraId="1C1D05CA"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39, stk. 1, i hvidvaskloven finder Europa-Parlamentets og Rådets forordning om oplysninger, der skal medsendes ved pengeoverførsler og ved overførsel af visse kryptoaktiver (3. pengeoverførselsforordning) ikke anvendelse på pengeoverførsler inden for Danmark eller til og fra Færøerne og Grønland i forbindelse med køb af varer og tjenesteydelser, når beløbet ikke overstiger et beløb, der modsvarer værdien af 1.000 euro, modtagerens betalingstjenesteudbyder er omfattet af denne lov eller tilsvarende regler for Færøerne eller Grønland  og modtagerens betalingstjenesteudbyder ved hjælp af et entydigt referencenummer kan finde frem til den juridiske eller fysiske person, som betalingsmodtageren har aftale med om levering af varer eller tjenesteydelser. </w:t>
      </w:r>
    </w:p>
    <w:p w14:paraId="2073CECE" w14:textId="77777777" w:rsidR="0030356F" w:rsidRPr="00796736" w:rsidRDefault="0030356F" w:rsidP="00A802A5">
      <w:pPr>
        <w:spacing w:line="360" w:lineRule="auto"/>
        <w:rPr>
          <w:rFonts w:ascii="Times New Roman" w:hAnsi="Times New Roman" w:cs="Times New Roman"/>
          <w:sz w:val="24"/>
          <w:szCs w:val="24"/>
        </w:rPr>
      </w:pPr>
    </w:p>
    <w:p w14:paraId="15D18610"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39, stk. 2, gælder de regler, der gælder for pengeoverførsler inden for Danmark ifølge Europa-Parlamentets og Rådets forordning om oplysninger, der skal medsendes ved pengeoverførsler og ved overførsler af visse kryptoaktiver, tilsvarende anvendelse ved pengeoverførsler til eller fra Færøerne og Grønland. </w:t>
      </w:r>
    </w:p>
    <w:p w14:paraId="2210C365" w14:textId="77777777" w:rsidR="0030356F" w:rsidRPr="00796736" w:rsidRDefault="0030356F" w:rsidP="00A802A5">
      <w:pPr>
        <w:spacing w:line="360" w:lineRule="auto"/>
        <w:rPr>
          <w:rFonts w:ascii="Times New Roman" w:hAnsi="Times New Roman" w:cs="Times New Roman"/>
          <w:sz w:val="24"/>
          <w:szCs w:val="24"/>
        </w:rPr>
      </w:pPr>
    </w:p>
    <w:p w14:paraId="7824BA47"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udnytter muligheden i artikel 2, stk. 5, i 3. pengeoverførselsforordning til at fastsætte undtagelser til forordningen i national ret.</w:t>
      </w:r>
    </w:p>
    <w:p w14:paraId="340B25A9" w14:textId="77777777" w:rsidR="0030356F" w:rsidRPr="00796736" w:rsidRDefault="0030356F" w:rsidP="00A802A5">
      <w:pPr>
        <w:spacing w:line="360" w:lineRule="auto"/>
        <w:rPr>
          <w:rFonts w:ascii="Times New Roman" w:hAnsi="Times New Roman" w:cs="Times New Roman"/>
          <w:sz w:val="24"/>
          <w:szCs w:val="24"/>
        </w:rPr>
      </w:pPr>
    </w:p>
    <w:p w14:paraId="2AB0A594"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 hvidvasklovens § 39 foreslås videreført. </w:t>
      </w:r>
    </w:p>
    <w:p w14:paraId="55CCE8CB" w14:textId="77777777" w:rsidR="0030356F" w:rsidRPr="00796736" w:rsidRDefault="0030356F" w:rsidP="00A802A5">
      <w:pPr>
        <w:spacing w:line="360" w:lineRule="auto"/>
        <w:rPr>
          <w:rFonts w:ascii="Times New Roman" w:hAnsi="Times New Roman" w:cs="Times New Roman"/>
          <w:sz w:val="24"/>
          <w:szCs w:val="24"/>
        </w:rPr>
      </w:pPr>
    </w:p>
    <w:p w14:paraId="310B9F45" w14:textId="57737548"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A56039" w:rsidRPr="00796736">
        <w:rPr>
          <w:rFonts w:ascii="Times New Roman" w:hAnsi="Times New Roman" w:cs="Times New Roman"/>
          <w:i/>
          <w:iCs/>
          <w:sz w:val="24"/>
          <w:szCs w:val="24"/>
        </w:rPr>
        <w:fldChar w:fldCharType="begin"/>
      </w:r>
      <w:r w:rsidR="00A56039" w:rsidRPr="00796736">
        <w:rPr>
          <w:rFonts w:ascii="Times New Roman" w:hAnsi="Times New Roman" w:cs="Times New Roman"/>
          <w:i/>
          <w:iCs/>
          <w:sz w:val="24"/>
          <w:szCs w:val="24"/>
        </w:rPr>
        <w:instrText xml:space="preserve"> REF _Ref232596454 \r \h  \* MERGEFORMAT </w:instrText>
      </w:r>
      <w:r w:rsidR="00A56039" w:rsidRPr="00796736">
        <w:rPr>
          <w:rFonts w:ascii="Times New Roman" w:hAnsi="Times New Roman" w:cs="Times New Roman"/>
          <w:i/>
          <w:iCs/>
          <w:sz w:val="24"/>
          <w:szCs w:val="24"/>
        </w:rPr>
      </w:r>
      <w:r w:rsidR="00A5603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37</w:t>
      </w:r>
      <w:r w:rsidR="00A56039"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udnytte muligheden i artikel 2, stk. 5, i Europa-Parlamentets og Rådets forordning om oplysninger, der skal medsendes ved pengeoverførsler og ved overførsler af visse kryptoaktiver for at undtage nationale pengeoverførsler. </w:t>
      </w:r>
    </w:p>
    <w:p w14:paraId="25E9E6A5" w14:textId="77777777" w:rsidR="0030356F" w:rsidRPr="00796736" w:rsidRDefault="0030356F" w:rsidP="00A802A5">
      <w:pPr>
        <w:spacing w:line="360" w:lineRule="auto"/>
        <w:rPr>
          <w:rFonts w:ascii="Times New Roman" w:hAnsi="Times New Roman" w:cs="Times New Roman"/>
          <w:sz w:val="24"/>
          <w:szCs w:val="24"/>
        </w:rPr>
      </w:pPr>
    </w:p>
    <w:p w14:paraId="194213D9" w14:textId="25DDE980"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medfører, at forordningens regler om pengeoverførsler ikke finder anvendelse ved pengeoverførsler inden for Danmark eller til og fra Færøerne og Grønland i forbindelse med køb af varer og tjenesteydelser, når tre betingelser er opfyldt. Det er ikke hensigten med forslaget at fastsætte regler for modtagers eller afsenders betalingstjenesteudbyder, hvis denne er placeret på Færøerne eller i Grønland. Undtagelsens anvendelsesområde er derfor alene modtagers eller afsenders betalingstjenesteudbyder, der er placeret i Danmark. Det vil sige pengeoverførsler, der afsendes fra eller modtages i Danmark. Ifølge forslaget til stk. 1 finder 3. pengeoverførselsforordning ikke anvendelse på pengeoverførsler inden for Danmark eller til og fra Færøerne og Grønland i forbindelse med køb af varer og tjenesteydelser, hvis betingelserne i den foreslåede </w:t>
      </w:r>
      <w:r w:rsidR="00A56039" w:rsidRPr="00796736">
        <w:rPr>
          <w:rFonts w:ascii="Times New Roman" w:hAnsi="Times New Roman" w:cs="Times New Roman"/>
          <w:sz w:val="24"/>
          <w:szCs w:val="24"/>
        </w:rPr>
        <w:fldChar w:fldCharType="begin"/>
      </w:r>
      <w:r w:rsidR="00A56039" w:rsidRPr="00796736">
        <w:rPr>
          <w:rFonts w:ascii="Times New Roman" w:hAnsi="Times New Roman" w:cs="Times New Roman"/>
          <w:sz w:val="24"/>
          <w:szCs w:val="24"/>
        </w:rPr>
        <w:instrText xml:space="preserve"> REF _Ref232596454 \r \h </w:instrText>
      </w:r>
      <w:r w:rsidR="00967618" w:rsidRPr="00796736">
        <w:rPr>
          <w:rFonts w:ascii="Times New Roman" w:hAnsi="Times New Roman" w:cs="Times New Roman"/>
          <w:sz w:val="24"/>
          <w:szCs w:val="24"/>
        </w:rPr>
        <w:instrText xml:space="preserve"> \* MERGEFORMAT </w:instrText>
      </w:r>
      <w:r w:rsidR="00A56039" w:rsidRPr="00796736">
        <w:rPr>
          <w:rFonts w:ascii="Times New Roman" w:hAnsi="Times New Roman" w:cs="Times New Roman"/>
          <w:sz w:val="24"/>
          <w:szCs w:val="24"/>
        </w:rPr>
      </w:r>
      <w:r w:rsidR="00A560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37</w:t>
      </w:r>
      <w:r w:rsidR="00A5603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1-3, er opfyldt. </w:t>
      </w:r>
    </w:p>
    <w:p w14:paraId="17001F63" w14:textId="77777777" w:rsidR="0030356F" w:rsidRPr="00796736" w:rsidRDefault="0030356F" w:rsidP="00A802A5">
      <w:pPr>
        <w:spacing w:line="360" w:lineRule="auto"/>
        <w:rPr>
          <w:rFonts w:ascii="Times New Roman" w:hAnsi="Times New Roman" w:cs="Times New Roman"/>
          <w:sz w:val="24"/>
          <w:szCs w:val="24"/>
        </w:rPr>
      </w:pPr>
    </w:p>
    <w:p w14:paraId="7AC0CB3D"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w:t>
      </w:r>
      <w:r w:rsidRPr="00796736">
        <w:rPr>
          <w:rFonts w:ascii="Times New Roman" w:hAnsi="Times New Roman" w:cs="Times New Roman"/>
          <w:sz w:val="24"/>
          <w:szCs w:val="24"/>
        </w:rPr>
        <w:t>, som den første betingelse for, at 3. pengeoverførselsforordning ikke finder anvendelse, at beløbet ikke må overstige et beløb, der modsvarer værdien af 1.000 euro. Undtagelsesmuligheden er ifølge artikel 2, stk. 5, i 3. pengeoverførselsforordning betinget af, at den person eller virksomhed, der formidler betalingen, er omfattet af kravene i 4. hvidvaskdirektiv.</w:t>
      </w:r>
    </w:p>
    <w:p w14:paraId="5141DECB" w14:textId="77777777" w:rsidR="0030356F" w:rsidRPr="00796736" w:rsidRDefault="0030356F" w:rsidP="00A802A5">
      <w:pPr>
        <w:spacing w:line="360" w:lineRule="auto"/>
        <w:rPr>
          <w:rFonts w:ascii="Times New Roman" w:hAnsi="Times New Roman" w:cs="Times New Roman"/>
          <w:sz w:val="24"/>
          <w:szCs w:val="24"/>
        </w:rPr>
      </w:pPr>
    </w:p>
    <w:p w14:paraId="670CE07E" w14:textId="15AFC4F5"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forlængelse heraf i </w:t>
      </w:r>
      <w:r w:rsidRPr="00796736">
        <w:rPr>
          <w:rFonts w:ascii="Times New Roman" w:hAnsi="Times New Roman" w:cs="Times New Roman"/>
          <w:i/>
          <w:iCs/>
          <w:sz w:val="24"/>
          <w:szCs w:val="24"/>
        </w:rPr>
        <w:t>stk. 1, nr. 2</w:t>
      </w:r>
      <w:r w:rsidRPr="00796736">
        <w:rPr>
          <w:rFonts w:ascii="Times New Roman" w:hAnsi="Times New Roman" w:cs="Times New Roman"/>
          <w:sz w:val="24"/>
          <w:szCs w:val="24"/>
        </w:rPr>
        <w:t xml:space="preserve">, at betalingstjenesteudbyderen, for at undtagelsen finder anvendelse, skal være omfattet af </w:t>
      </w:r>
      <w:r w:rsidR="004C23A6"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eller tilsvarende regler for Færøerne eller Grønland. Er den person, der formidler en betaling, omfattet af anvendelsesområdet af den foreslåede § </w:t>
      </w:r>
      <w:r w:rsidR="004C23A6" w:rsidRPr="00796736">
        <w:rPr>
          <w:rFonts w:ascii="Times New Roman" w:hAnsi="Times New Roman" w:cs="Times New Roman"/>
          <w:sz w:val="24"/>
          <w:szCs w:val="24"/>
        </w:rPr>
        <w:t>2</w:t>
      </w:r>
      <w:r w:rsidRPr="00796736">
        <w:rPr>
          <w:rFonts w:ascii="Times New Roman" w:hAnsi="Times New Roman" w:cs="Times New Roman"/>
          <w:sz w:val="24"/>
          <w:szCs w:val="24"/>
        </w:rPr>
        <w:t xml:space="preserve">, vil betingelsen i forordningen dermed være opfyldt. </w:t>
      </w:r>
    </w:p>
    <w:p w14:paraId="740D3E4D" w14:textId="77777777" w:rsidR="0030356F" w:rsidRPr="00796736" w:rsidRDefault="0030356F" w:rsidP="00A802A5">
      <w:pPr>
        <w:spacing w:line="360" w:lineRule="auto"/>
        <w:rPr>
          <w:rFonts w:ascii="Times New Roman" w:hAnsi="Times New Roman" w:cs="Times New Roman"/>
          <w:sz w:val="24"/>
          <w:szCs w:val="24"/>
        </w:rPr>
      </w:pPr>
    </w:p>
    <w:p w14:paraId="3B1C0BD4"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3</w:t>
      </w:r>
      <w:r w:rsidRPr="00796736">
        <w:rPr>
          <w:rFonts w:ascii="Times New Roman" w:hAnsi="Times New Roman" w:cs="Times New Roman"/>
          <w:sz w:val="24"/>
          <w:szCs w:val="24"/>
        </w:rPr>
        <w:t>, at det derudover er en betingelse, at modtagerens betalingstjenesteudbyder ved hjælp af et entydigt referencenummer kan finde frem til den juridiske eller fysiske person, som betalingsmodtageren har aftale med om levering af varer eller tjenesteydelser. Det er derfor et krav, at betalingsmodtageren og betaleren har indgået en aftale, der ved hjælp af oplysninger fra betalingsmodtageren gør det muligt at finde frem til betaleren. Inden en vare eller tjenesteydelse leveres, vil der derfor skulle foreligge en aftale mellem den, der betaler ydelsen (kunden), og den, der modtager betalingen (leverandøren). Ved et entydigt referencenummer forstås en kombination af bogstaver, tal eller symboler, der er fastlagt af betalingstjenesteudbyderen i overensstemmelse med protokollerne for de betalings- og afviklingssystemer eller meddelelsessystemer, der anvendes til at foretage pengeoverførslen, der gør det muligt at spore transaktionen tilbage til betaleren og betalingsmodtageren.</w:t>
      </w:r>
    </w:p>
    <w:p w14:paraId="3DFEA799" w14:textId="77777777" w:rsidR="0030356F" w:rsidRPr="00796736" w:rsidRDefault="0030356F" w:rsidP="00A802A5">
      <w:pPr>
        <w:spacing w:line="360" w:lineRule="auto"/>
        <w:rPr>
          <w:rFonts w:ascii="Times New Roman" w:hAnsi="Times New Roman" w:cs="Times New Roman"/>
          <w:sz w:val="24"/>
          <w:szCs w:val="24"/>
        </w:rPr>
      </w:pPr>
    </w:p>
    <w:p w14:paraId="6D705B6A"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Giroindbetalingssystemet i Danmark giver mulighed for, at en person kan betale en anden persons regninger. Forslaget indebærer, at den mulighed stadig kan opretholdes.</w:t>
      </w:r>
    </w:p>
    <w:p w14:paraId="0A6FF29D" w14:textId="77777777" w:rsidR="0030356F" w:rsidRPr="00796736" w:rsidRDefault="0030356F" w:rsidP="00A802A5">
      <w:pPr>
        <w:spacing w:line="360" w:lineRule="auto"/>
        <w:rPr>
          <w:rFonts w:ascii="Times New Roman" w:hAnsi="Times New Roman" w:cs="Times New Roman"/>
          <w:sz w:val="24"/>
          <w:szCs w:val="24"/>
        </w:rPr>
      </w:pPr>
    </w:p>
    <w:p w14:paraId="03BB2351"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at de regler, der gælder for pengeoverførsler inden for Danmark, finder tilsvarende anvendelse ved pengeoverførsler til eller fra Færøerne og Grønland. Det fastsættes således, at de regler, der gælder for betalingstjenesteudbydere i Danmark, ved pengeoverførsler inden for Danmark i medfør af 3. pengeoverførselsforordning, finder tilsvarende anvendelse for betalingstjenesteudbydere i Danmark, der sender pengeoverførsler til eller modtager pengeoverførsler fra Færøerne og Grønland. Regler for betalingstjenesteudbydere i de pågældende lande er gennemført, for så vidt angår Færøerne ved lov nr. 1601 af 17. december 2024 for Færøerne om oplysninger, der skal medsendes ved overførsel af midler, og for så vidt angår Grønland ved lov nr. 1448 af 10. december 2024 for Grønland om oplysninger, der skal medsendes ved overførsel af midler. Som nævnt under stk. 1 regulerer bestemmelsen ikke forhold i Grønland eller på Færøerne, men alene modtagers eller afsenders betalingstjenesteudbyder, der er placeret i Danmark.</w:t>
      </w:r>
    </w:p>
    <w:p w14:paraId="3D468955" w14:textId="77777777" w:rsidR="0030356F" w:rsidRPr="00796736" w:rsidRDefault="0030356F" w:rsidP="00A802A5">
      <w:pPr>
        <w:spacing w:line="360" w:lineRule="auto"/>
        <w:rPr>
          <w:rFonts w:ascii="Times New Roman" w:hAnsi="Times New Roman" w:cs="Times New Roman"/>
          <w:sz w:val="24"/>
          <w:szCs w:val="24"/>
        </w:rPr>
      </w:pPr>
    </w:p>
    <w:p w14:paraId="560F507A"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betyder eksempelvis, at kravet i artikel 4, stk. 1 og 2, i 3. pengeoverførselsforordning om, at en pengeoverførsel skal ledsages af fuldstændige oplysninger om henholdsvis betaler og betalingsmodtager, ikke gælder, når betalers betalingsformidler befinder sig i Danmark, og modtagers betalingstjenesteudbyder befinder sig på Færøerne eller i Grønland, og pengeoverførslen ledsages af betalers kontonummer eller en entydig identifikator, der gør det muligt at spore transaktionen tilbage til betaler. Hvis modtagers betalingsformidler anmoder herom, skal betalers betalingstjenesteudbyder dog stille de fuldstændige oplysninger om betaler og betalingsmodtager til rådighed for modtagers betalingstjenesteudbyder inden for tre arbejdsdage efter, at anmodningen er modtaget.</w:t>
      </w:r>
    </w:p>
    <w:p w14:paraId="248F46EB" w14:textId="77777777" w:rsidR="0030356F" w:rsidRPr="00796736" w:rsidRDefault="0030356F" w:rsidP="00A802A5">
      <w:pPr>
        <w:spacing w:line="360" w:lineRule="auto"/>
        <w:rPr>
          <w:rFonts w:ascii="Times New Roman" w:hAnsi="Times New Roman" w:cs="Times New Roman"/>
          <w:sz w:val="24"/>
          <w:szCs w:val="24"/>
        </w:rPr>
      </w:pPr>
    </w:p>
    <w:p w14:paraId="27A05CBF" w14:textId="7777777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betyder eksempelvis også, at når en betalingstjenesteudbyder i Danmark modtager en pengeoverførsel fra Færøerne eller Grønland, skal den danske betalingstjenesteudbyder konstatere, om felterne vedrørende oplysninger om betaler og betalingsmodtager i det meddelelses- eller betalings- og afviklingssystem, der anvendes til en pengeoverførsel, er udfyldt med karakterer eller input, der er tilladt ifølge reglerne i det pågældende meddelelses- eller betalings- og afviklingssystem. En betalingstjenesteudbyder i Danmark skal ved modtagelse af pengeoverførsler fra Færøerne eller Grønland have effektive procedurer til at konstatere, hvorvidt der mangler de oplysninger, som kræves efter artikel 5, det vil sige kontonummer eller anden entydig identifikator.</w:t>
      </w:r>
    </w:p>
    <w:p w14:paraId="4E12C7C7" w14:textId="77777777" w:rsidR="0030356F" w:rsidRPr="00796736" w:rsidRDefault="0030356F" w:rsidP="00A802A5">
      <w:pPr>
        <w:spacing w:line="360" w:lineRule="auto"/>
        <w:rPr>
          <w:rFonts w:ascii="Times New Roman" w:hAnsi="Times New Roman" w:cs="Times New Roman"/>
          <w:sz w:val="24"/>
          <w:szCs w:val="24"/>
        </w:rPr>
      </w:pPr>
    </w:p>
    <w:p w14:paraId="5EF74607" w14:textId="2D495642"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Europa-Kommissionen har ved gennemførselsafgørelse 2019/1738/EU af 16. oktober 2019 godkendt, at Danmark kan indgå en aftale med Færøerne og Grønland om, at pengeoverførsler mellem Danmark og Færøerne og mellem Danmark og Grønland kan sidestilles med pengeoverførsler inden for EU/EØS-området.</w:t>
      </w:r>
    </w:p>
    <w:p w14:paraId="2DF16539" w14:textId="77777777" w:rsidR="0030356F" w:rsidRPr="00796736" w:rsidRDefault="0030356F" w:rsidP="00A802A5">
      <w:pPr>
        <w:spacing w:line="360" w:lineRule="auto"/>
        <w:rPr>
          <w:rFonts w:ascii="Times New Roman" w:hAnsi="Times New Roman" w:cs="Times New Roman"/>
          <w:sz w:val="24"/>
          <w:szCs w:val="24"/>
        </w:rPr>
      </w:pPr>
    </w:p>
    <w:p w14:paraId="679A80BA" w14:textId="1DDD37E7" w:rsidR="0030356F" w:rsidRPr="00796736" w:rsidRDefault="003035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_Ref232946639 \n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3.36</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 lovforslagets almindelige bemærkninger.</w:t>
      </w:r>
    </w:p>
    <w:p w14:paraId="581A4588" w14:textId="77777777" w:rsidR="0030356F" w:rsidRPr="00796736" w:rsidRDefault="0030356F" w:rsidP="00A802A5">
      <w:pPr>
        <w:spacing w:line="360" w:lineRule="auto"/>
        <w:rPr>
          <w:rFonts w:ascii="Times New Roman" w:hAnsi="Times New Roman" w:cs="Times New Roman"/>
          <w:i/>
          <w:iCs/>
          <w:sz w:val="24"/>
          <w:szCs w:val="24"/>
        </w:rPr>
      </w:pPr>
    </w:p>
    <w:p w14:paraId="745B2DF7" w14:textId="4E97D09F" w:rsidR="00B7635A" w:rsidRPr="00796736" w:rsidRDefault="00240DBE" w:rsidP="00A802A5">
      <w:pPr>
        <w:pStyle w:val="Undertitel"/>
      </w:pPr>
      <w:bookmarkStart w:id="1968" w:name="_Toc232109370"/>
      <w:bookmarkStart w:id="1969" w:name="_Toc244879334"/>
      <w:bookmarkStart w:id="1970" w:name="_Toc244880859"/>
      <w:r w:rsidRPr="00796736">
        <w:t xml:space="preserve">Til </w:t>
      </w:r>
      <w:r w:rsidR="006719DB" w:rsidRPr="00796736">
        <w:fldChar w:fldCharType="begin"/>
      </w:r>
      <w:r w:rsidR="006719DB" w:rsidRPr="00796736">
        <w:instrText xml:space="preserve"> REF _Ref232596476 \r \h </w:instrText>
      </w:r>
      <w:r w:rsidR="00967618" w:rsidRPr="00796736">
        <w:instrText xml:space="preserve"> \* MERGEFORMAT </w:instrText>
      </w:r>
      <w:r w:rsidR="006719DB" w:rsidRPr="00796736">
        <w:fldChar w:fldCharType="separate"/>
      </w:r>
      <w:r w:rsidR="008F29E5">
        <w:t>§ 38</w:t>
      </w:r>
      <w:bookmarkEnd w:id="1969"/>
      <w:bookmarkEnd w:id="1970"/>
      <w:r w:rsidR="006719DB" w:rsidRPr="00796736">
        <w:fldChar w:fldCharType="end"/>
      </w:r>
      <w:r w:rsidR="009E05E4" w:rsidRPr="00796736">
        <w:t xml:space="preserve"> </w:t>
      </w:r>
      <w:bookmarkEnd w:id="1968"/>
    </w:p>
    <w:p w14:paraId="74B280CE" w14:textId="77777777" w:rsidR="002A0B0F" w:rsidRPr="00796736" w:rsidRDefault="002A0B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hvidvasklovens § 38 a, stk. 1, at personer, der virker inden for den offentlige forvaltning, under ansvar efter straffelovens §§ 152-152 e er forpligtet til at hemmeligholde oplysninger, som hidrører fra en underretning efter § 26 eller § 28. Det følger af stk. 2, at forvaltningslovens § 9 om partsaktindsigt, § 19 om partshøring, § 24 om begrundelsespligt og §§ 28 og 31 om videregivelse af oplysninger mellem forvaltningsmyndigheder finder ikke anvendelse på de oplysninger, der er nævnt i stk. 1.</w:t>
      </w:r>
    </w:p>
    <w:p w14:paraId="7F045D76" w14:textId="77777777" w:rsidR="002A0B0F" w:rsidRPr="00796736" w:rsidRDefault="002A0B0F" w:rsidP="00A802A5">
      <w:pPr>
        <w:spacing w:line="360" w:lineRule="auto"/>
        <w:rPr>
          <w:rFonts w:ascii="Times New Roman" w:hAnsi="Times New Roman" w:cs="Times New Roman"/>
          <w:sz w:val="24"/>
          <w:szCs w:val="24"/>
        </w:rPr>
      </w:pPr>
    </w:p>
    <w:p w14:paraId="6582772B" w14:textId="77777777" w:rsidR="002A0B0F" w:rsidRPr="00796736" w:rsidRDefault="002A0B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en nærmere en nærmere beskrivelse af gældende ret henvises til pkt.</w:t>
      </w:r>
    </w:p>
    <w:p w14:paraId="59229DD6" w14:textId="386C3295" w:rsidR="002A0B0F" w:rsidRPr="00796736" w:rsidRDefault="003B128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_Ref232946656 \n \h </w:instrText>
      </w:r>
      <w:r w:rsidR="00967618"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3.37.1</w:t>
      </w:r>
      <w:r w:rsidRPr="00796736">
        <w:rPr>
          <w:rFonts w:ascii="Times New Roman" w:hAnsi="Times New Roman" w:cs="Times New Roman"/>
          <w:sz w:val="24"/>
          <w:szCs w:val="24"/>
        </w:rPr>
        <w:fldChar w:fldCharType="end"/>
      </w:r>
      <w:r w:rsidR="00A74E7F" w:rsidRPr="00796736">
        <w:rPr>
          <w:rFonts w:ascii="Times New Roman" w:hAnsi="Times New Roman" w:cs="Times New Roman"/>
          <w:sz w:val="24"/>
          <w:szCs w:val="24"/>
        </w:rPr>
        <w:t>.</w:t>
      </w:r>
      <w:r w:rsidR="002A0B0F" w:rsidRPr="00796736">
        <w:rPr>
          <w:rFonts w:ascii="Times New Roman" w:hAnsi="Times New Roman" w:cs="Times New Roman"/>
          <w:sz w:val="24"/>
          <w:szCs w:val="24"/>
        </w:rPr>
        <w:t xml:space="preserve"> i lovforslagets almindelige bemærkninger.</w:t>
      </w:r>
    </w:p>
    <w:p w14:paraId="200E0631" w14:textId="77777777" w:rsidR="002A0B0F" w:rsidRPr="00796736" w:rsidRDefault="002A0B0F" w:rsidP="00A802A5">
      <w:pPr>
        <w:spacing w:line="360" w:lineRule="auto"/>
        <w:rPr>
          <w:rFonts w:ascii="Times New Roman" w:hAnsi="Times New Roman" w:cs="Times New Roman"/>
          <w:sz w:val="24"/>
          <w:szCs w:val="24"/>
        </w:rPr>
      </w:pPr>
    </w:p>
    <w:p w14:paraId="55104B69" w14:textId="2BACD4F5" w:rsidR="002A0B0F" w:rsidRPr="00796736" w:rsidRDefault="002A0B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_Ref232596476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38</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lægges op til at videreføre den nuværende bestemmelse i hvidvasklovens § 38 a med de ændringer, som er nødvendige som følge af hvidvaskdirektivet og hvidvaskforordningen. </w:t>
      </w:r>
    </w:p>
    <w:p w14:paraId="6D29CB2A" w14:textId="77777777" w:rsidR="002A0B0F" w:rsidRPr="00796736" w:rsidRDefault="002A0B0F" w:rsidP="00A802A5">
      <w:pPr>
        <w:spacing w:line="360" w:lineRule="auto"/>
        <w:rPr>
          <w:rFonts w:ascii="Times New Roman" w:hAnsi="Times New Roman" w:cs="Times New Roman"/>
          <w:sz w:val="24"/>
          <w:szCs w:val="24"/>
        </w:rPr>
      </w:pPr>
    </w:p>
    <w:p w14:paraId="2CC70BB7" w14:textId="64082E49" w:rsidR="005424F4" w:rsidRPr="00796736" w:rsidRDefault="002A0B0F"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003B1280" w:rsidRPr="00796736">
        <w:rPr>
          <w:rFonts w:ascii="Times New Roman" w:hAnsi="Times New Roman" w:cs="Times New Roman"/>
          <w:i/>
          <w:iCs/>
          <w:sz w:val="24"/>
          <w:szCs w:val="24"/>
        </w:rPr>
        <w:fldChar w:fldCharType="begin"/>
      </w:r>
      <w:r w:rsidR="003B1280" w:rsidRPr="00796736">
        <w:rPr>
          <w:rFonts w:ascii="Times New Roman" w:hAnsi="Times New Roman" w:cs="Times New Roman"/>
          <w:i/>
          <w:iCs/>
          <w:sz w:val="24"/>
          <w:szCs w:val="24"/>
        </w:rPr>
        <w:instrText xml:space="preserve"> REF _Ref232596476 \r \h  \* MERGEFORMAT </w:instrText>
      </w:r>
      <w:r w:rsidR="003B1280" w:rsidRPr="00796736">
        <w:rPr>
          <w:rFonts w:ascii="Times New Roman" w:hAnsi="Times New Roman" w:cs="Times New Roman"/>
          <w:i/>
          <w:iCs/>
          <w:sz w:val="24"/>
          <w:szCs w:val="24"/>
        </w:rPr>
      </w:r>
      <w:r w:rsidR="003B128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38</w:t>
      </w:r>
      <w:r w:rsidR="003B1280"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w:t>
      </w:r>
      <w:r w:rsidR="005424F4" w:rsidRPr="00796736">
        <w:rPr>
          <w:rFonts w:ascii="Times New Roman" w:hAnsi="Times New Roman" w:cs="Times New Roman"/>
          <w:i/>
          <w:iCs/>
          <w:sz w:val="24"/>
          <w:szCs w:val="24"/>
        </w:rPr>
        <w:t xml:space="preserve"> stk. 1, 1. pkt., </w:t>
      </w:r>
      <w:r w:rsidR="005424F4" w:rsidRPr="00796736">
        <w:rPr>
          <w:rFonts w:ascii="Times New Roman" w:hAnsi="Times New Roman" w:cs="Times New Roman"/>
          <w:sz w:val="24"/>
          <w:szCs w:val="24"/>
        </w:rPr>
        <w:t>at p</w:t>
      </w:r>
      <w:r w:rsidR="005424F4" w:rsidRPr="00796736">
        <w:rPr>
          <w:rFonts w:ascii="Times New Roman" w:eastAsia="Times New Roman" w:hAnsi="Times New Roman" w:cs="Times New Roman"/>
          <w:sz w:val="24"/>
          <w:szCs w:val="24"/>
          <w:lang w:eastAsia="da-DK"/>
        </w:rPr>
        <w:t xml:space="preserve">ersoner der virker inden for den offentlige forvaltning, under ansvar efter straffelovens § 152-152 f er forpligtet til at hemmeligholde oplysninger, som hidrører fra en underretning hvidvaskforordningens artikel 69, stk. 1, første afsnit, litra a, eller efter </w:t>
      </w:r>
      <w:r w:rsidR="0092113C" w:rsidRPr="00796736">
        <w:rPr>
          <w:rFonts w:ascii="Times New Roman" w:eastAsia="Times New Roman" w:hAnsi="Times New Roman" w:cs="Times New Roman"/>
          <w:sz w:val="24"/>
          <w:szCs w:val="24"/>
          <w:lang w:eastAsia="da-DK"/>
        </w:rPr>
        <w:fldChar w:fldCharType="begin"/>
      </w:r>
      <w:r w:rsidR="0092113C" w:rsidRPr="00796736">
        <w:rPr>
          <w:rFonts w:ascii="Times New Roman" w:eastAsia="Times New Roman" w:hAnsi="Times New Roman" w:cs="Times New Roman"/>
          <w:sz w:val="24"/>
          <w:szCs w:val="24"/>
          <w:lang w:eastAsia="da-DK"/>
        </w:rPr>
        <w:instrText xml:space="preserve"> REF _Ref238570475 \r \h </w:instrText>
      </w:r>
      <w:r w:rsidR="00AB17CC" w:rsidRPr="00796736">
        <w:rPr>
          <w:rFonts w:ascii="Times New Roman" w:eastAsia="Times New Roman" w:hAnsi="Times New Roman" w:cs="Times New Roman"/>
          <w:sz w:val="24"/>
          <w:szCs w:val="24"/>
          <w:lang w:eastAsia="da-DK"/>
        </w:rPr>
        <w:instrText xml:space="preserve"> \* MERGEFORMAT </w:instrText>
      </w:r>
      <w:r w:rsidR="0092113C" w:rsidRPr="00796736">
        <w:rPr>
          <w:rFonts w:ascii="Times New Roman" w:eastAsia="Times New Roman" w:hAnsi="Times New Roman" w:cs="Times New Roman"/>
          <w:sz w:val="24"/>
          <w:szCs w:val="24"/>
          <w:lang w:eastAsia="da-DK"/>
        </w:rPr>
      </w:r>
      <w:r w:rsidR="0092113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39</w:t>
      </w:r>
      <w:r w:rsidR="0092113C" w:rsidRPr="00796736">
        <w:rPr>
          <w:rFonts w:ascii="Times New Roman" w:eastAsia="Times New Roman" w:hAnsi="Times New Roman" w:cs="Times New Roman"/>
          <w:sz w:val="24"/>
          <w:szCs w:val="24"/>
          <w:lang w:eastAsia="da-DK"/>
        </w:rPr>
        <w:fldChar w:fldCharType="end"/>
      </w:r>
      <w:r w:rsidR="0092113C" w:rsidRPr="00796736">
        <w:rPr>
          <w:rFonts w:ascii="Times New Roman" w:eastAsia="Times New Roman" w:hAnsi="Times New Roman" w:cs="Times New Roman"/>
          <w:sz w:val="24"/>
          <w:szCs w:val="24"/>
          <w:lang w:eastAsia="da-DK"/>
        </w:rPr>
        <w:t>.</w:t>
      </w:r>
    </w:p>
    <w:p w14:paraId="5D68A25E" w14:textId="77777777" w:rsidR="005424F4" w:rsidRPr="00796736" w:rsidRDefault="005424F4" w:rsidP="00A802A5">
      <w:pPr>
        <w:spacing w:line="360" w:lineRule="auto"/>
        <w:rPr>
          <w:rFonts w:ascii="Times New Roman" w:eastAsia="Times New Roman" w:hAnsi="Times New Roman" w:cs="Times New Roman"/>
          <w:sz w:val="24"/>
          <w:szCs w:val="24"/>
          <w:lang w:eastAsia="da-DK"/>
        </w:rPr>
      </w:pPr>
    </w:p>
    <w:p w14:paraId="520D19E8" w14:textId="661961AC" w:rsidR="002A0B0F" w:rsidRPr="00796736" w:rsidRDefault="002A0B0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 viderefører hvidvasklovens § 38 a, stk. 1, og vil indebære, at tavshedspligten vedrørende oplysninger, </w:t>
      </w:r>
      <w:r w:rsidRPr="00796736">
        <w:rPr>
          <w:rFonts w:ascii="Times New Roman" w:eastAsia="Calibri" w:hAnsi="Times New Roman" w:cs="Times New Roman"/>
          <w:sz w:val="24"/>
          <w:szCs w:val="24"/>
        </w:rPr>
        <w:t>som hidrører fra underretninger efter </w:t>
      </w:r>
      <w:r w:rsidR="0092113C" w:rsidRPr="00796736">
        <w:rPr>
          <w:rFonts w:ascii="Times New Roman" w:eastAsia="Calibri" w:hAnsi="Times New Roman" w:cs="Times New Roman"/>
          <w:sz w:val="24"/>
          <w:szCs w:val="24"/>
        </w:rPr>
        <w:fldChar w:fldCharType="begin"/>
      </w:r>
      <w:r w:rsidR="0092113C" w:rsidRPr="00796736">
        <w:rPr>
          <w:rFonts w:ascii="Times New Roman" w:eastAsia="Calibri" w:hAnsi="Times New Roman" w:cs="Times New Roman"/>
          <w:sz w:val="24"/>
          <w:szCs w:val="24"/>
        </w:rPr>
        <w:instrText xml:space="preserve"> REF _Ref238570475 \r \h </w:instrText>
      </w:r>
      <w:r w:rsidR="00AB17CC" w:rsidRPr="00796736">
        <w:rPr>
          <w:rFonts w:ascii="Times New Roman" w:eastAsia="Calibri" w:hAnsi="Times New Roman" w:cs="Times New Roman"/>
          <w:sz w:val="24"/>
          <w:szCs w:val="24"/>
        </w:rPr>
        <w:instrText xml:space="preserve"> \* MERGEFORMAT </w:instrText>
      </w:r>
      <w:r w:rsidR="0092113C" w:rsidRPr="00796736">
        <w:rPr>
          <w:rFonts w:ascii="Times New Roman" w:eastAsia="Calibri" w:hAnsi="Times New Roman" w:cs="Times New Roman"/>
          <w:sz w:val="24"/>
          <w:szCs w:val="24"/>
        </w:rPr>
      </w:r>
      <w:r w:rsidR="0092113C"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39</w:t>
      </w:r>
      <w:r w:rsidR="0092113C" w:rsidRPr="00796736">
        <w:rPr>
          <w:rFonts w:ascii="Times New Roman" w:eastAsia="Calibri" w:hAnsi="Times New Roman" w:cs="Times New Roman"/>
          <w:sz w:val="24"/>
          <w:szCs w:val="24"/>
        </w:rPr>
        <w:fldChar w:fldCharType="end"/>
      </w:r>
      <w:r w:rsidRPr="00796736">
        <w:rPr>
          <w:rFonts w:ascii="Times New Roman" w:eastAsia="Times New Roman" w:hAnsi="Times New Roman" w:cs="Times New Roman"/>
          <w:sz w:val="24"/>
          <w:szCs w:val="24"/>
          <w:lang w:eastAsia="da-DK"/>
        </w:rPr>
        <w:t>, hvidvaskforordningens artikel 69, stk. 1, første afsnit, litra a, eller underretninger til Hvidvasksekretariatet foretaget i medfør af anden lovgivning</w:t>
      </w:r>
      <w:r w:rsidRPr="00796736">
        <w:rPr>
          <w:rFonts w:ascii="Times New Roman" w:eastAsia="Calibri" w:hAnsi="Times New Roman" w:cs="Times New Roman"/>
          <w:sz w:val="24"/>
          <w:szCs w:val="24"/>
        </w:rPr>
        <w:t>, på samme måde som efter gældende ret vil omfatte ansatte ved alle offentlige myndigheder</w:t>
      </w:r>
      <w:r w:rsidRPr="00796736">
        <w:rPr>
          <w:rFonts w:ascii="Times New Roman" w:eastAsia="Times New Roman" w:hAnsi="Times New Roman" w:cs="Times New Roman"/>
          <w:sz w:val="24"/>
          <w:szCs w:val="24"/>
          <w:lang w:eastAsia="da-DK"/>
        </w:rPr>
        <w:t xml:space="preserve">. </w:t>
      </w:r>
    </w:p>
    <w:p w14:paraId="57306831" w14:textId="77777777" w:rsidR="002A0B0F" w:rsidRPr="00796736" w:rsidRDefault="002A0B0F" w:rsidP="00A802A5">
      <w:pPr>
        <w:spacing w:line="360" w:lineRule="auto"/>
        <w:rPr>
          <w:rFonts w:ascii="Times New Roman" w:eastAsia="Times New Roman" w:hAnsi="Times New Roman" w:cs="Times New Roman"/>
          <w:sz w:val="24"/>
          <w:szCs w:val="24"/>
          <w:lang w:eastAsia="da-DK"/>
        </w:rPr>
      </w:pPr>
    </w:p>
    <w:p w14:paraId="771A076C" w14:textId="330E64B6" w:rsidR="002A0B0F" w:rsidRPr="00796736" w:rsidRDefault="002A0B0F"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lang w:eastAsia="da-DK"/>
        </w:rPr>
        <w:t xml:space="preserve">At der i den foreslåede bestemmelse henvises til en underretning efter </w:t>
      </w:r>
      <w:r w:rsidR="0092113C" w:rsidRPr="00796736">
        <w:rPr>
          <w:rFonts w:ascii="Times New Roman" w:eastAsia="Calibri" w:hAnsi="Times New Roman" w:cs="Times New Roman"/>
          <w:sz w:val="24"/>
          <w:szCs w:val="24"/>
        </w:rPr>
        <w:fldChar w:fldCharType="begin"/>
      </w:r>
      <w:r w:rsidR="0092113C" w:rsidRPr="00796736">
        <w:rPr>
          <w:rFonts w:ascii="Times New Roman" w:eastAsia="Times New Roman" w:hAnsi="Times New Roman" w:cs="Times New Roman"/>
          <w:sz w:val="24"/>
          <w:szCs w:val="24"/>
          <w:lang w:eastAsia="da-DK"/>
        </w:rPr>
        <w:instrText xml:space="preserve"> REF _Ref238570475 \r \h </w:instrText>
      </w:r>
      <w:r w:rsidR="00AB17CC" w:rsidRPr="00796736">
        <w:rPr>
          <w:rFonts w:ascii="Times New Roman" w:eastAsia="Calibri" w:hAnsi="Times New Roman" w:cs="Times New Roman"/>
          <w:sz w:val="24"/>
          <w:szCs w:val="24"/>
        </w:rPr>
        <w:instrText xml:space="preserve"> \* MERGEFORMAT </w:instrText>
      </w:r>
      <w:r w:rsidR="0092113C" w:rsidRPr="00796736">
        <w:rPr>
          <w:rFonts w:ascii="Times New Roman" w:eastAsia="Calibri" w:hAnsi="Times New Roman" w:cs="Times New Roman"/>
          <w:sz w:val="24"/>
          <w:szCs w:val="24"/>
        </w:rPr>
      </w:r>
      <w:r w:rsidR="0092113C" w:rsidRPr="00796736">
        <w:rPr>
          <w:rFonts w:ascii="Times New Roman" w:eastAsia="Calibri" w:hAnsi="Times New Roman" w:cs="Times New Roman"/>
          <w:sz w:val="24"/>
          <w:szCs w:val="24"/>
        </w:rPr>
        <w:fldChar w:fldCharType="separate"/>
      </w:r>
      <w:r w:rsidR="008F29E5">
        <w:rPr>
          <w:rFonts w:ascii="Times New Roman" w:eastAsia="Times New Roman" w:hAnsi="Times New Roman" w:cs="Times New Roman"/>
          <w:sz w:val="24"/>
          <w:szCs w:val="24"/>
          <w:lang w:eastAsia="da-DK"/>
        </w:rPr>
        <w:t>§ 39</w:t>
      </w:r>
      <w:r w:rsidR="0092113C" w:rsidRPr="00796736">
        <w:rPr>
          <w:rFonts w:ascii="Times New Roman" w:eastAsia="Calibri" w:hAnsi="Times New Roman" w:cs="Times New Roman"/>
          <w:sz w:val="24"/>
          <w:szCs w:val="24"/>
        </w:rPr>
        <w:fldChar w:fldCharType="end"/>
      </w:r>
      <w:r w:rsidRPr="00796736">
        <w:rPr>
          <w:rFonts w:ascii="Times New Roman" w:eastAsia="Times New Roman" w:hAnsi="Times New Roman" w:cs="Times New Roman"/>
          <w:sz w:val="24"/>
          <w:szCs w:val="24"/>
          <w:lang w:eastAsia="da-DK"/>
        </w:rPr>
        <w:t xml:space="preserve"> og hvidvaskforordningens artikel 69, stk. 1,</w:t>
      </w:r>
      <w:r w:rsidR="00F70277" w:rsidRPr="00F70277">
        <w:rPr>
          <w:rFonts w:ascii="Times New Roman" w:eastAsia="Times New Roman" w:hAnsi="Times New Roman" w:cs="Times New Roman"/>
          <w:sz w:val="24"/>
          <w:szCs w:val="24"/>
          <w:lang w:eastAsia="da-DK"/>
        </w:rPr>
        <w:t xml:space="preserve"> </w:t>
      </w:r>
      <w:r w:rsidR="00F70277" w:rsidRPr="00796736">
        <w:rPr>
          <w:rFonts w:ascii="Times New Roman" w:eastAsia="Times New Roman" w:hAnsi="Times New Roman" w:cs="Times New Roman"/>
          <w:sz w:val="24"/>
          <w:szCs w:val="24"/>
          <w:lang w:eastAsia="da-DK"/>
        </w:rPr>
        <w:t xml:space="preserve">første afsnit, litra a, skyldes, at underretningspligten for </w:t>
      </w:r>
      <w:r w:rsidR="00F70277">
        <w:rPr>
          <w:rFonts w:ascii="Times New Roman" w:eastAsia="Times New Roman" w:hAnsi="Times New Roman" w:cs="Times New Roman"/>
          <w:sz w:val="24"/>
          <w:szCs w:val="24"/>
          <w:lang w:eastAsia="da-DK"/>
        </w:rPr>
        <w:t>virksomheder og personer omfattet af loven</w:t>
      </w:r>
      <w:r w:rsidRPr="00796736">
        <w:rPr>
          <w:rFonts w:ascii="Times New Roman" w:eastAsia="Times New Roman" w:hAnsi="Times New Roman" w:cs="Times New Roman"/>
          <w:sz w:val="24"/>
          <w:szCs w:val="24"/>
          <w:lang w:eastAsia="da-DK"/>
        </w:rPr>
        <w:t xml:space="preserve">, der i dag fremgår af hvidvasklovens § 26, fremover vil følge af hvidvaskforordningens artikel 69, stk. 1, første afsnit, litra a, og </w:t>
      </w:r>
      <w:r w:rsidR="005424F4" w:rsidRPr="00796736">
        <w:rPr>
          <w:rFonts w:ascii="Times New Roman" w:eastAsia="Times New Roman" w:hAnsi="Times New Roman" w:cs="Times New Roman"/>
          <w:sz w:val="24"/>
          <w:szCs w:val="24"/>
          <w:lang w:eastAsia="da-DK"/>
        </w:rPr>
        <w:t>underretningspligten for offentlige myndigheder</w:t>
      </w:r>
      <w:r w:rsidR="00EB57D1">
        <w:rPr>
          <w:rFonts w:ascii="Times New Roman" w:eastAsia="Times New Roman" w:hAnsi="Times New Roman" w:cs="Times New Roman"/>
          <w:sz w:val="24"/>
          <w:szCs w:val="24"/>
          <w:lang w:eastAsia="da-DK"/>
        </w:rPr>
        <w:t xml:space="preserve"> eller tilsynsorganer</w:t>
      </w:r>
      <w:r w:rsidR="005424F4" w:rsidRPr="00796736">
        <w:rPr>
          <w:rFonts w:ascii="Times New Roman" w:eastAsia="Times New Roman" w:hAnsi="Times New Roman" w:cs="Times New Roman"/>
          <w:sz w:val="24"/>
          <w:szCs w:val="24"/>
          <w:lang w:eastAsia="da-DK"/>
        </w:rPr>
        <w:t>, fremover vil følge af den foreslåede</w:t>
      </w:r>
      <w:r w:rsidR="0092113C" w:rsidRPr="00796736">
        <w:rPr>
          <w:rFonts w:ascii="Times New Roman" w:eastAsia="Times New Roman" w:hAnsi="Times New Roman" w:cs="Times New Roman"/>
          <w:sz w:val="24"/>
          <w:szCs w:val="24"/>
          <w:lang w:eastAsia="da-DK"/>
        </w:rPr>
        <w:t xml:space="preserve"> </w:t>
      </w:r>
      <w:r w:rsidR="0092113C" w:rsidRPr="00796736">
        <w:rPr>
          <w:rFonts w:ascii="Times New Roman" w:eastAsia="Times New Roman" w:hAnsi="Times New Roman" w:cs="Times New Roman"/>
          <w:sz w:val="24"/>
          <w:szCs w:val="24"/>
          <w:lang w:eastAsia="da-DK"/>
        </w:rPr>
        <w:fldChar w:fldCharType="begin"/>
      </w:r>
      <w:r w:rsidR="0092113C" w:rsidRPr="00796736">
        <w:rPr>
          <w:rFonts w:ascii="Times New Roman" w:eastAsia="Times New Roman" w:hAnsi="Times New Roman" w:cs="Times New Roman"/>
          <w:sz w:val="24"/>
          <w:szCs w:val="24"/>
          <w:lang w:eastAsia="da-DK"/>
        </w:rPr>
        <w:instrText xml:space="preserve"> REF _Ref238570475 \r \h </w:instrText>
      </w:r>
      <w:r w:rsidR="00AB17CC" w:rsidRPr="00796736">
        <w:rPr>
          <w:rFonts w:ascii="Times New Roman" w:eastAsia="Times New Roman" w:hAnsi="Times New Roman" w:cs="Times New Roman"/>
          <w:sz w:val="24"/>
          <w:szCs w:val="24"/>
          <w:lang w:eastAsia="da-DK"/>
        </w:rPr>
        <w:instrText xml:space="preserve"> \* MERGEFORMAT </w:instrText>
      </w:r>
      <w:r w:rsidR="0092113C" w:rsidRPr="00796736">
        <w:rPr>
          <w:rFonts w:ascii="Times New Roman" w:eastAsia="Times New Roman" w:hAnsi="Times New Roman" w:cs="Times New Roman"/>
          <w:sz w:val="24"/>
          <w:szCs w:val="24"/>
          <w:lang w:eastAsia="da-DK"/>
        </w:rPr>
      </w:r>
      <w:r w:rsidR="0092113C"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39</w:t>
      </w:r>
      <w:r w:rsidR="0092113C"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Bestemmelsen vil således som i dag omfatte</w:t>
      </w:r>
      <w:r w:rsidRPr="00796736">
        <w:rPr>
          <w:rFonts w:ascii="Times New Roman" w:hAnsi="Times New Roman" w:cs="Times New Roman"/>
          <w:sz w:val="24"/>
          <w:szCs w:val="24"/>
        </w:rPr>
        <w:t xml:space="preserve"> både oplysninger fra </w:t>
      </w:r>
      <w:r w:rsidR="00EB57D1">
        <w:rPr>
          <w:rFonts w:ascii="Times New Roman" w:hAnsi="Times New Roman" w:cs="Times New Roman"/>
          <w:sz w:val="24"/>
          <w:szCs w:val="24"/>
        </w:rPr>
        <w:t>virksomheder og personers</w:t>
      </w:r>
      <w:r w:rsidRPr="00796736">
        <w:rPr>
          <w:rFonts w:ascii="Times New Roman" w:hAnsi="Times New Roman" w:cs="Times New Roman"/>
          <w:sz w:val="24"/>
          <w:szCs w:val="24"/>
        </w:rPr>
        <w:t xml:space="preserve"> underretninger samt underretninger, som tilsynsmyndigheder sender til Hvidvasksekretariatet. Derudover vil den foreslåede bestemmelse – på samme måde som efter gældende ret – </w:t>
      </w:r>
      <w:r w:rsidRPr="00796736">
        <w:rPr>
          <w:rFonts w:ascii="Times New Roman" w:eastAsia="Times New Roman" w:hAnsi="Times New Roman" w:cs="Times New Roman"/>
          <w:sz w:val="24"/>
          <w:szCs w:val="24"/>
          <w:lang w:eastAsia="da-DK"/>
        </w:rPr>
        <w:t>også omfatte underretninger indgivet af andre myndigheder end tilsynsmyndigheder.</w:t>
      </w:r>
    </w:p>
    <w:p w14:paraId="3C9BC274" w14:textId="77777777" w:rsidR="002A0B0F" w:rsidRPr="00796736" w:rsidRDefault="002A0B0F" w:rsidP="00A802A5">
      <w:pPr>
        <w:spacing w:line="360" w:lineRule="auto"/>
        <w:rPr>
          <w:rFonts w:ascii="Times New Roman" w:hAnsi="Times New Roman" w:cs="Times New Roman"/>
          <w:color w:val="FF0000"/>
          <w:sz w:val="24"/>
          <w:szCs w:val="24"/>
        </w:rPr>
      </w:pPr>
    </w:p>
    <w:p w14:paraId="3E7FBEAC" w14:textId="77777777" w:rsidR="002A0B0F" w:rsidRPr="00796736" w:rsidRDefault="002A0B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bdr w:val="none" w:sz="0" w:space="0" w:color="auto" w:frame="1"/>
        </w:rPr>
        <w:t>Som i dag vil den foreslåede tavshedspligt ikke være til hinder for, at underretningerne efterfølgende videregives til politiet i forbindelse med en anmeldelse.</w:t>
      </w:r>
      <w:r w:rsidRPr="00796736">
        <w:rPr>
          <w:rFonts w:ascii="Times New Roman" w:hAnsi="Times New Roman" w:cs="Times New Roman"/>
          <w:sz w:val="24"/>
          <w:szCs w:val="24"/>
        </w:rPr>
        <w:t xml:space="preserve"> </w:t>
      </w:r>
      <w:r w:rsidRPr="00796736">
        <w:rPr>
          <w:rFonts w:ascii="Times New Roman" w:hAnsi="Times New Roman" w:cs="Times New Roman"/>
          <w:sz w:val="24"/>
          <w:szCs w:val="24"/>
          <w:bdr w:val="none" w:sz="0" w:space="0" w:color="auto" w:frame="1"/>
        </w:rPr>
        <w:t xml:space="preserve">Se hertil også bemærkningerne til den gældende bestemmelse i hvidvasklovens § 38 a, jf. </w:t>
      </w:r>
      <w:r w:rsidRPr="00796736">
        <w:rPr>
          <w:rFonts w:ascii="Times New Roman" w:hAnsi="Times New Roman" w:cs="Times New Roman"/>
          <w:sz w:val="24"/>
          <w:szCs w:val="24"/>
        </w:rPr>
        <w:t>Folketingstidende 2021-22, tillæg A, L 14 som fremsat, side 71.</w:t>
      </w:r>
    </w:p>
    <w:p w14:paraId="45C2A0DB" w14:textId="77777777" w:rsidR="002A0B0F" w:rsidRPr="00796736" w:rsidRDefault="002A0B0F" w:rsidP="00A802A5">
      <w:pPr>
        <w:spacing w:line="360" w:lineRule="auto"/>
        <w:rPr>
          <w:rFonts w:ascii="Times New Roman" w:hAnsi="Times New Roman" w:cs="Times New Roman"/>
          <w:sz w:val="24"/>
          <w:szCs w:val="24"/>
        </w:rPr>
      </w:pPr>
    </w:p>
    <w:p w14:paraId="6FA74FE6" w14:textId="77777777" w:rsidR="00EB57D1" w:rsidRDefault="00EB57D1"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Den foreslåede bestemmelse indebære</w:t>
      </w:r>
      <w:r>
        <w:rPr>
          <w:rFonts w:ascii="Times New Roman" w:hAnsi="Times New Roman" w:cs="Times New Roman"/>
          <w:sz w:val="24"/>
          <w:szCs w:val="24"/>
        </w:rPr>
        <w:t>r</w:t>
      </w:r>
      <w:r w:rsidRPr="00D253F0">
        <w:rPr>
          <w:rFonts w:ascii="Times New Roman" w:hAnsi="Times New Roman" w:cs="Times New Roman"/>
          <w:sz w:val="24"/>
          <w:szCs w:val="24"/>
        </w:rPr>
        <w:t xml:space="preserve">, at politiet i forbindelse med en bekymringssamtale </w:t>
      </w:r>
      <w:r>
        <w:rPr>
          <w:rFonts w:ascii="Times New Roman" w:hAnsi="Times New Roman" w:cs="Times New Roman"/>
          <w:sz w:val="24"/>
          <w:szCs w:val="24"/>
        </w:rPr>
        <w:t>efter omstændighederne vil kunne</w:t>
      </w:r>
      <w:r w:rsidRPr="00D253F0">
        <w:rPr>
          <w:rFonts w:ascii="Times New Roman" w:hAnsi="Times New Roman" w:cs="Times New Roman"/>
          <w:sz w:val="24"/>
          <w:szCs w:val="24"/>
        </w:rPr>
        <w:t xml:space="preserve"> videregive oplysninger</w:t>
      </w:r>
      <w:r>
        <w:rPr>
          <w:rFonts w:ascii="Times New Roman" w:hAnsi="Times New Roman" w:cs="Times New Roman"/>
          <w:sz w:val="24"/>
          <w:szCs w:val="24"/>
        </w:rPr>
        <w:t xml:space="preserve"> eller dele heraf</w:t>
      </w:r>
      <w:r w:rsidRPr="00D253F0">
        <w:rPr>
          <w:rFonts w:ascii="Times New Roman" w:hAnsi="Times New Roman" w:cs="Times New Roman"/>
          <w:sz w:val="24"/>
          <w:szCs w:val="24"/>
        </w:rPr>
        <w:t>, som hidrører fra en hvidvaskunderretning omfattet af den foreslåede bestemmelse, som er blevet delt med politiet</w:t>
      </w:r>
      <w:r>
        <w:rPr>
          <w:rFonts w:ascii="Times New Roman" w:hAnsi="Times New Roman" w:cs="Times New Roman"/>
          <w:sz w:val="24"/>
          <w:szCs w:val="24"/>
        </w:rPr>
        <w:t>, men kun idet omfang hensynet bag tavshedspligten – ikke at afsløre eller kompromittere den underretningspligtiges identitet – ikke tilsidesættes, eller oplysningerne af andre årsager ikke bør deles</w:t>
      </w:r>
      <w:r w:rsidRPr="00D253F0">
        <w:rPr>
          <w:rFonts w:ascii="Times New Roman" w:hAnsi="Times New Roman" w:cs="Times New Roman"/>
          <w:sz w:val="24"/>
          <w:szCs w:val="24"/>
        </w:rPr>
        <w:t xml:space="preserve">. </w:t>
      </w:r>
    </w:p>
    <w:p w14:paraId="06D716C4" w14:textId="640F2A1B" w:rsidR="00EA0C65" w:rsidRPr="00D253F0" w:rsidRDefault="00EA0C65"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At oplysninger hidrører fra en hvidvaskunderretning omfatter tillige oplysninger, som er indeholdt i sådanne underretninger. Dette indebærer, at et tilsynsorgans eller en offentlig myndigheds underretning til Hvidvasksekretariatet også vil omfattet af den særlige tavshedspligt for det tilsynsorgan eller den myndighed, som foretager underretningen. </w:t>
      </w:r>
    </w:p>
    <w:p w14:paraId="6185E17B" w14:textId="77777777" w:rsidR="00B23930" w:rsidRPr="00796736" w:rsidRDefault="00B23930" w:rsidP="00A802A5">
      <w:pPr>
        <w:spacing w:line="360" w:lineRule="auto"/>
        <w:rPr>
          <w:rFonts w:ascii="Times New Roman" w:hAnsi="Times New Roman" w:cs="Times New Roman"/>
          <w:sz w:val="24"/>
          <w:szCs w:val="24"/>
        </w:rPr>
      </w:pPr>
    </w:p>
    <w:p w14:paraId="68282417" w14:textId="77777777" w:rsidR="00B23930"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endvidere indebære, at politiet i forbindelse med konkrete efterforskningsskridt har mulighed for at dele indholdet eller dele af indholdet af en hvidvaskunderretning med andre kompetente myndigheder, herunder Skatteforvaltningen.</w:t>
      </w:r>
    </w:p>
    <w:p w14:paraId="40CB4D09" w14:textId="77777777" w:rsidR="00EB57D1" w:rsidRPr="00796736" w:rsidRDefault="00EB57D1" w:rsidP="00A802A5">
      <w:pPr>
        <w:spacing w:line="360" w:lineRule="auto"/>
        <w:rPr>
          <w:rFonts w:ascii="Times New Roman" w:hAnsi="Times New Roman" w:cs="Times New Roman"/>
          <w:sz w:val="24"/>
          <w:szCs w:val="24"/>
        </w:rPr>
      </w:pPr>
    </w:p>
    <w:p w14:paraId="64189A2D" w14:textId="77777777" w:rsidR="000F6C23" w:rsidRPr="00D253F0" w:rsidRDefault="000F6C23" w:rsidP="000F6C23">
      <w:pPr>
        <w:spacing w:line="360" w:lineRule="auto"/>
        <w:rPr>
          <w:rFonts w:ascii="Times New Roman" w:hAnsi="Times New Roman" w:cs="Times New Roman"/>
          <w:sz w:val="24"/>
          <w:szCs w:val="24"/>
        </w:rPr>
      </w:pPr>
      <w:r w:rsidRPr="00D253F0">
        <w:rPr>
          <w:rFonts w:ascii="Times New Roman" w:hAnsi="Times New Roman" w:cs="Times New Roman"/>
          <w:sz w:val="24"/>
          <w:szCs w:val="24"/>
        </w:rPr>
        <w:t>Ligesom i dag vil den foreslåede bestemmelse omfatte indholdet af underretningerne og efter omstændighederne også selve det faktum, at der er foretaget en underretning</w:t>
      </w:r>
      <w:r>
        <w:rPr>
          <w:rFonts w:ascii="Times New Roman" w:hAnsi="Times New Roman" w:cs="Times New Roman"/>
          <w:sz w:val="24"/>
          <w:szCs w:val="24"/>
        </w:rPr>
        <w:t xml:space="preserve">, såfremt oplysning herom risikerer at afsløre eller kompromittere den underretningsforpligtede eller i øvrigt er af en sådan karakter, at den bør hemmeligholdes, f.eks. af hensyn til en igangværende tilsynssag eller kontrolsag. Uden for disse tilfælde vil selve oplysningen om, at der er foretaget en underretning eller at en underretning er blevet videreformidlet ikke være omfattet af den særlige tavshedspligt. </w:t>
      </w:r>
    </w:p>
    <w:p w14:paraId="3641F92F" w14:textId="77777777" w:rsidR="005424F4" w:rsidRPr="00796736" w:rsidRDefault="005424F4" w:rsidP="00A802A5">
      <w:pPr>
        <w:spacing w:line="360" w:lineRule="auto"/>
        <w:rPr>
          <w:rFonts w:ascii="Times New Roman" w:hAnsi="Times New Roman" w:cs="Times New Roman"/>
          <w:sz w:val="24"/>
          <w:szCs w:val="24"/>
        </w:rPr>
      </w:pPr>
    </w:p>
    <w:p w14:paraId="1C014DC7" w14:textId="4EB31C0C"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skal endvidere ses i sammenhæng med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_Ref239689115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om Hvidvasksekretariatets forpligtelse til at beskytte identiteten på kilder, som foretager underretninger, idet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_Ref239689115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30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057C19" w:rsidRPr="00796736">
        <w:rPr>
          <w:rFonts w:ascii="Times New Roman" w:hAnsi="Times New Roman" w:cs="Times New Roman"/>
          <w:sz w:val="24"/>
          <w:szCs w:val="24"/>
        </w:rPr>
        <w:t>ikke angår indholdet af underretningen som sådan, men omfatter en forpligtelse til for Hvidvasksekretariatet til at beskytte</w:t>
      </w:r>
      <w:r w:rsidR="00057C19">
        <w:rPr>
          <w:rFonts w:ascii="Times New Roman" w:hAnsi="Times New Roman" w:cs="Times New Roman"/>
          <w:sz w:val="24"/>
          <w:szCs w:val="24"/>
        </w:rPr>
        <w:t xml:space="preserve"> identiteten på</w:t>
      </w:r>
      <w:r w:rsidR="00057C19" w:rsidRPr="00796736">
        <w:rPr>
          <w:rFonts w:ascii="Times New Roman" w:hAnsi="Times New Roman" w:cs="Times New Roman"/>
          <w:sz w:val="24"/>
          <w:szCs w:val="24"/>
        </w:rPr>
        <w:t xml:space="preserve"> kilden.</w:t>
      </w:r>
    </w:p>
    <w:p w14:paraId="45A38D80" w14:textId="77777777" w:rsidR="00B23930" w:rsidRPr="00796736" w:rsidRDefault="00B23930" w:rsidP="00A802A5">
      <w:pPr>
        <w:spacing w:line="360" w:lineRule="auto"/>
        <w:rPr>
          <w:rFonts w:ascii="Times New Roman" w:hAnsi="Times New Roman" w:cs="Times New Roman"/>
          <w:sz w:val="24"/>
          <w:szCs w:val="24"/>
        </w:rPr>
      </w:pPr>
    </w:p>
    <w:p w14:paraId="56FC51F0" w14:textId="145C0E38"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ligesom den gældende § 38 a være </w:t>
      </w:r>
      <w:r w:rsidRPr="00796736">
        <w:rPr>
          <w:rFonts w:ascii="Times New Roman" w:hAnsi="Times New Roman" w:cs="Times New Roman"/>
          <w:sz w:val="24"/>
          <w:szCs w:val="24"/>
          <w:bdr w:val="none" w:sz="0" w:space="0" w:color="auto" w:frame="1"/>
        </w:rPr>
        <w:t>en særlig tavshedspligtsbestemmelse omfattet af databeskyttelsesforordningens artikel 14, stk. 5, litra b, og offentlighedslovens § 35.</w:t>
      </w:r>
      <w:r w:rsidR="007B7BA4">
        <w:rPr>
          <w:rFonts w:ascii="Times New Roman" w:hAnsi="Times New Roman" w:cs="Times New Roman"/>
          <w:sz w:val="24"/>
          <w:szCs w:val="24"/>
          <w:bdr w:val="none" w:sz="0" w:space="0" w:color="auto" w:frame="1"/>
        </w:rPr>
        <w:t xml:space="preserve"> </w:t>
      </w:r>
      <w:r w:rsidR="007B7BA4" w:rsidRPr="00A262A6">
        <w:rPr>
          <w:rFonts w:ascii="Times New Roman" w:hAnsi="Times New Roman" w:cs="Times New Roman"/>
          <w:sz w:val="24"/>
          <w:szCs w:val="24"/>
        </w:rPr>
        <w:t>Se nærmere h</w:t>
      </w:r>
      <w:r w:rsidR="007B7BA4">
        <w:rPr>
          <w:rFonts w:ascii="Times New Roman" w:hAnsi="Times New Roman" w:cs="Times New Roman"/>
          <w:sz w:val="24"/>
          <w:szCs w:val="24"/>
        </w:rPr>
        <w:t>erom</w:t>
      </w:r>
      <w:r w:rsidR="007B7BA4" w:rsidRPr="00A262A6">
        <w:rPr>
          <w:rFonts w:ascii="Times New Roman" w:hAnsi="Times New Roman" w:cs="Times New Roman"/>
          <w:sz w:val="24"/>
          <w:szCs w:val="24"/>
        </w:rPr>
        <w:t xml:space="preserve"> i de almindelige bemærkninger</w:t>
      </w:r>
      <w:r w:rsidR="007B7BA4">
        <w:rPr>
          <w:rFonts w:ascii="Times New Roman" w:hAnsi="Times New Roman" w:cs="Times New Roman"/>
          <w:sz w:val="24"/>
          <w:szCs w:val="24"/>
        </w:rPr>
        <w:t xml:space="preserve"> pkt. 4.2</w:t>
      </w:r>
      <w:r w:rsidR="007B7BA4" w:rsidRPr="00A262A6">
        <w:rPr>
          <w:rFonts w:ascii="Times New Roman" w:hAnsi="Times New Roman" w:cs="Times New Roman"/>
          <w:sz w:val="24"/>
          <w:szCs w:val="24"/>
        </w:rPr>
        <w:t>.</w:t>
      </w:r>
    </w:p>
    <w:p w14:paraId="79118CA1" w14:textId="77777777" w:rsidR="005424F4" w:rsidRPr="00796736" w:rsidRDefault="005424F4" w:rsidP="00A802A5">
      <w:pPr>
        <w:spacing w:line="360" w:lineRule="auto"/>
        <w:rPr>
          <w:rFonts w:ascii="Times New Roman" w:hAnsi="Times New Roman" w:cs="Times New Roman"/>
          <w:sz w:val="24"/>
          <w:szCs w:val="24"/>
        </w:rPr>
      </w:pPr>
    </w:p>
    <w:p w14:paraId="0016F147" w14:textId="229D9E1B" w:rsidR="00EB57D1" w:rsidRPr="00EB57D1" w:rsidRDefault="00EB57D1" w:rsidP="00A802A5">
      <w:pPr>
        <w:spacing w:line="360" w:lineRule="auto"/>
        <w:rPr>
          <w:rFonts w:ascii="Times New Roman" w:hAnsi="Times New Roman" w:cs="Times New Roman"/>
          <w:i/>
          <w:iCs/>
          <w:sz w:val="24"/>
          <w:szCs w:val="24"/>
        </w:rPr>
      </w:pPr>
      <w:r w:rsidRPr="00D253F0">
        <w:rPr>
          <w:rFonts w:ascii="Times New Roman" w:hAnsi="Times New Roman" w:cs="Times New Roman"/>
          <w:sz w:val="24"/>
          <w:szCs w:val="24"/>
        </w:rPr>
        <w:t xml:space="preserve">Det foreslås i </w:t>
      </w:r>
      <w:r w:rsidRPr="00D253F0">
        <w:rPr>
          <w:rFonts w:ascii="Times New Roman" w:hAnsi="Times New Roman" w:cs="Times New Roman"/>
          <w:i/>
          <w:iCs/>
          <w:sz w:val="24"/>
          <w:szCs w:val="24"/>
        </w:rPr>
        <w:t xml:space="preserve">stk. 1, 2. pkt., </w:t>
      </w:r>
      <w:r w:rsidRPr="00D253F0">
        <w:rPr>
          <w:rFonts w:ascii="Times New Roman" w:hAnsi="Times New Roman" w:cs="Times New Roman"/>
          <w:sz w:val="24"/>
          <w:szCs w:val="24"/>
        </w:rPr>
        <w:t xml:space="preserve">at </w:t>
      </w:r>
      <w:r>
        <w:rPr>
          <w:rFonts w:ascii="Times New Roman" w:hAnsi="Times New Roman" w:cs="Times New Roman"/>
          <w:sz w:val="24"/>
          <w:szCs w:val="24"/>
        </w:rPr>
        <w:t>1. pkt. ikke er til hinder for videregivelse af oplysninger efter reglerne i denne lov.</w:t>
      </w:r>
      <w:r w:rsidRPr="00D253F0">
        <w:rPr>
          <w:rFonts w:ascii="Times New Roman" w:eastAsia="Times New Roman" w:hAnsi="Times New Roman" w:cs="Times New Roman"/>
          <w:sz w:val="24"/>
          <w:szCs w:val="24"/>
          <w:lang w:eastAsia="da-DK"/>
        </w:rPr>
        <w:t xml:space="preserve">  </w:t>
      </w:r>
      <w:r w:rsidRPr="00D253F0">
        <w:rPr>
          <w:rFonts w:ascii="Times New Roman" w:hAnsi="Times New Roman" w:cs="Times New Roman"/>
          <w:i/>
          <w:iCs/>
          <w:sz w:val="24"/>
          <w:szCs w:val="24"/>
        </w:rPr>
        <w:t xml:space="preserve"> </w:t>
      </w:r>
      <w:r w:rsidRPr="00D253F0">
        <w:rPr>
          <w:rFonts w:ascii="Times New Roman" w:eastAsia="Times New Roman" w:hAnsi="Times New Roman" w:cs="Times New Roman"/>
          <w:sz w:val="24"/>
          <w:szCs w:val="24"/>
          <w:lang w:eastAsia="da-DK"/>
        </w:rPr>
        <w:t xml:space="preserve"> </w:t>
      </w:r>
    </w:p>
    <w:p w14:paraId="4682A1AF" w14:textId="095A1D8B" w:rsidR="00EB57D1" w:rsidRDefault="00EB57D1" w:rsidP="00A802A5">
      <w:pPr>
        <w:spacing w:line="360" w:lineRule="auto"/>
        <w:rPr>
          <w:rFonts w:ascii="Times New Roman" w:eastAsia="Times New Roman" w:hAnsi="Times New Roman" w:cs="Times New Roman"/>
          <w:sz w:val="24"/>
          <w:szCs w:val="24"/>
          <w:lang w:eastAsia="da-DK"/>
        </w:rPr>
      </w:pPr>
      <w:r w:rsidRPr="00D253F0">
        <w:rPr>
          <w:rFonts w:ascii="Times New Roman" w:hAnsi="Times New Roman" w:cs="Times New Roman"/>
          <w:sz w:val="24"/>
          <w:szCs w:val="24"/>
        </w:rPr>
        <w:t xml:space="preserve">Den foreslåede bestemmelse skal ses i sammenhæng med de foreslåede bestemmelser </w:t>
      </w:r>
      <w:r>
        <w:rPr>
          <w:rFonts w:ascii="Times New Roman" w:hAnsi="Times New Roman" w:cs="Times New Roman"/>
          <w:sz w:val="24"/>
          <w:szCs w:val="24"/>
        </w:rPr>
        <w:t>om videregivelse af tavshedsbelagte oplysninger i kapitel 3 og de forskellige kapitler om Finanstilsynet, Erhvervsstyrelsen, Advokatrådet og Spillemyndigheden,</w:t>
      </w:r>
      <w:r w:rsidRPr="00D253F0">
        <w:rPr>
          <w:rFonts w:ascii="Times New Roman" w:eastAsia="Times New Roman" w:hAnsi="Times New Roman" w:cs="Times New Roman"/>
          <w:sz w:val="24"/>
          <w:szCs w:val="24"/>
          <w:lang w:eastAsia="da-DK"/>
        </w:rPr>
        <w:t xml:space="preserve"> som for de omfattede tilsynsorganer udgør implementering af 6. hvidvaskdirektivs artikel 67 og 68, og vil indebære, at tavshedspligten i den foreslåede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_Ref239689412 \r \h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38</w:t>
      </w:r>
      <w:r w:rsidRPr="00796736">
        <w:rPr>
          <w:rFonts w:ascii="Times New Roman" w:eastAsia="Times New Roman" w:hAnsi="Times New Roman" w:cs="Times New Roman"/>
          <w:sz w:val="24"/>
          <w:szCs w:val="24"/>
          <w:lang w:eastAsia="da-DK"/>
        </w:rPr>
        <w:fldChar w:fldCharType="end"/>
      </w:r>
      <w:r w:rsidRPr="00D253F0">
        <w:rPr>
          <w:rFonts w:ascii="Times New Roman" w:eastAsia="Times New Roman" w:hAnsi="Times New Roman" w:cs="Times New Roman"/>
          <w:sz w:val="24"/>
          <w:szCs w:val="24"/>
          <w:lang w:eastAsia="da-DK"/>
        </w:rPr>
        <w:t xml:space="preserve"> skal forstås i overensstemmelse med de bestemmelser om videregivelse og begrænsninger i relation hertil, som følger af bestemmelserne. </w:t>
      </w:r>
    </w:p>
    <w:p w14:paraId="37172D9E" w14:textId="77777777" w:rsidR="00EB57D1" w:rsidRDefault="00EB57D1" w:rsidP="00A802A5">
      <w:pPr>
        <w:spacing w:line="360" w:lineRule="auto"/>
        <w:rPr>
          <w:rFonts w:ascii="Times New Roman" w:eastAsia="Times New Roman" w:hAnsi="Times New Roman" w:cs="Times New Roman"/>
          <w:sz w:val="24"/>
          <w:szCs w:val="24"/>
          <w:lang w:eastAsia="da-DK"/>
        </w:rPr>
      </w:pPr>
    </w:p>
    <w:p w14:paraId="7FBD017F" w14:textId="77777777" w:rsidR="000311BC" w:rsidRPr="00D253F0" w:rsidRDefault="000311BC" w:rsidP="000311BC">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Det foreslåede vil </w:t>
      </w:r>
      <w:r>
        <w:rPr>
          <w:rFonts w:ascii="Times New Roman" w:hAnsi="Times New Roman" w:cs="Times New Roman"/>
          <w:sz w:val="24"/>
          <w:szCs w:val="24"/>
        </w:rPr>
        <w:t xml:space="preserve">for </w:t>
      </w:r>
      <w:r w:rsidRPr="00D253F0">
        <w:rPr>
          <w:rFonts w:ascii="Times New Roman" w:hAnsi="Times New Roman" w:cs="Times New Roman"/>
          <w:sz w:val="24"/>
          <w:szCs w:val="24"/>
        </w:rPr>
        <w:t>Hvidvasksekretariatets</w:t>
      </w:r>
      <w:r>
        <w:rPr>
          <w:rFonts w:ascii="Times New Roman" w:hAnsi="Times New Roman" w:cs="Times New Roman"/>
          <w:sz w:val="24"/>
          <w:szCs w:val="24"/>
        </w:rPr>
        <w:t xml:space="preserve"> vedkommende betyde, at sekretariatets</w:t>
      </w:r>
      <w:r w:rsidRPr="00D253F0">
        <w:rPr>
          <w:rFonts w:ascii="Times New Roman" w:hAnsi="Times New Roman" w:cs="Times New Roman"/>
          <w:sz w:val="24"/>
          <w:szCs w:val="24"/>
        </w:rPr>
        <w:t xml:space="preserve"> tavshedspligt er underlagt tilsvarende modifikationer som tilfældet er for </w:t>
      </w:r>
      <w:r>
        <w:rPr>
          <w:rFonts w:ascii="Times New Roman" w:hAnsi="Times New Roman" w:cs="Times New Roman"/>
          <w:sz w:val="24"/>
          <w:szCs w:val="24"/>
        </w:rPr>
        <w:t>tilsynsorganern</w:t>
      </w:r>
      <w:r w:rsidRPr="00D253F0">
        <w:rPr>
          <w:rFonts w:ascii="Times New Roman" w:hAnsi="Times New Roman" w:cs="Times New Roman"/>
          <w:sz w:val="24"/>
          <w:szCs w:val="24"/>
        </w:rPr>
        <w:t>e, og at Hvidvasksekretariatet således indenfor rammerne af denne lovs bestemmelser om videregivelse af oplysninger og underretninger mv. er underlagt krav om tavshedspligt svarende til dem, der gælder for tilsyns</w:t>
      </w:r>
      <w:r>
        <w:rPr>
          <w:rFonts w:ascii="Times New Roman" w:hAnsi="Times New Roman" w:cs="Times New Roman"/>
          <w:sz w:val="24"/>
          <w:szCs w:val="24"/>
        </w:rPr>
        <w:t>organerne</w:t>
      </w:r>
      <w:r w:rsidRPr="00D253F0">
        <w:rPr>
          <w:rFonts w:ascii="Times New Roman" w:hAnsi="Times New Roman" w:cs="Times New Roman"/>
          <w:sz w:val="24"/>
          <w:szCs w:val="24"/>
        </w:rPr>
        <w:t>.</w:t>
      </w:r>
      <w:r>
        <w:rPr>
          <w:rFonts w:ascii="Times New Roman" w:hAnsi="Times New Roman" w:cs="Times New Roman"/>
          <w:sz w:val="24"/>
          <w:szCs w:val="24"/>
        </w:rPr>
        <w:t xml:space="preserve"> Dette indebærer, at oplysningen om, at Hvidvasksekretariatets har videregivet underretninger til tilsynsmyndigheder, andre offentlige myndigheder eller Advokatrådet, efter omstændighederne vil kunne omfattes af tavshedspligten, såfremt en sådan oplysning konkret kan afsløre eller kompromittere identiteten på den underretningspligtige.</w:t>
      </w:r>
    </w:p>
    <w:p w14:paraId="53E3065F" w14:textId="77777777" w:rsidR="00EB57D1" w:rsidRPr="00D253F0" w:rsidRDefault="00EB57D1" w:rsidP="00A802A5">
      <w:pPr>
        <w:spacing w:line="360" w:lineRule="auto"/>
        <w:rPr>
          <w:rFonts w:ascii="Times New Roman" w:hAnsi="Times New Roman" w:cs="Times New Roman"/>
          <w:sz w:val="24"/>
          <w:szCs w:val="24"/>
        </w:rPr>
      </w:pPr>
    </w:p>
    <w:p w14:paraId="66A5620A" w14:textId="77777777" w:rsidR="005446AE" w:rsidRPr="00EB57D1" w:rsidRDefault="005446AE" w:rsidP="005446AE">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Den foreslåede bestemmelse implementerer sammen med det foreslåede </w:t>
      </w:r>
      <w:r>
        <w:rPr>
          <w:rFonts w:ascii="Times New Roman" w:hAnsi="Times New Roman" w:cs="Times New Roman"/>
          <w:sz w:val="24"/>
          <w:szCs w:val="24"/>
        </w:rPr>
        <w:t>1. pkt.</w:t>
      </w:r>
      <w:r w:rsidRPr="00D253F0">
        <w:rPr>
          <w:rFonts w:ascii="Times New Roman" w:hAnsi="Times New Roman" w:cs="Times New Roman"/>
          <w:sz w:val="24"/>
          <w:szCs w:val="24"/>
        </w:rPr>
        <w:t xml:space="preserve"> 6. hvidvaskdirektivs artikel 19, stk. 6. </w:t>
      </w:r>
    </w:p>
    <w:p w14:paraId="407FA50B" w14:textId="77777777" w:rsidR="005424F4" w:rsidRPr="00796736" w:rsidRDefault="005424F4" w:rsidP="00A802A5">
      <w:pPr>
        <w:spacing w:line="360" w:lineRule="auto"/>
        <w:rPr>
          <w:rFonts w:ascii="Times New Roman" w:hAnsi="Times New Roman" w:cs="Times New Roman"/>
          <w:sz w:val="24"/>
          <w:szCs w:val="24"/>
        </w:rPr>
      </w:pPr>
    </w:p>
    <w:p w14:paraId="5ACF6023" w14:textId="77777777" w:rsidR="00B23930" w:rsidRPr="00796736" w:rsidRDefault="00B2393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stk. 2</w:t>
      </w:r>
      <w:r w:rsidRPr="00796736">
        <w:rPr>
          <w:rFonts w:ascii="Times New Roman" w:eastAsia="Times New Roman" w:hAnsi="Times New Roman" w:cs="Times New Roman"/>
          <w:sz w:val="24"/>
          <w:szCs w:val="24"/>
          <w:lang w:eastAsia="da-DK"/>
        </w:rPr>
        <w:t>, at forvaltningslovens § 9 om partsaktindsigt, § 19 om partshøring, § 24 om begrundelsespligt samt §§ 28 og 31 om videregivelse af oplysninger mellem forvaltningsmyndigheder ikke finder anvendelse på de oplysninger, der er nævnt i stk. 1.</w:t>
      </w:r>
    </w:p>
    <w:p w14:paraId="154D3907" w14:textId="77777777" w:rsidR="002A0B0F" w:rsidRPr="00796736" w:rsidRDefault="002A0B0F" w:rsidP="00A802A5">
      <w:pPr>
        <w:spacing w:line="360" w:lineRule="auto"/>
        <w:rPr>
          <w:rFonts w:ascii="Times New Roman" w:eastAsia="Times New Roman" w:hAnsi="Times New Roman" w:cs="Times New Roman"/>
          <w:sz w:val="24"/>
          <w:szCs w:val="24"/>
          <w:lang w:eastAsia="da-DK"/>
        </w:rPr>
      </w:pPr>
    </w:p>
    <w:p w14:paraId="4E91746B" w14:textId="77777777" w:rsidR="002A0B0F" w:rsidRPr="00796736" w:rsidRDefault="002A0B0F"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 viderefører hvidvasklovens § 38 a, stk. 2, og vil indebære, at </w:t>
      </w:r>
      <w:r w:rsidRPr="00796736">
        <w:rPr>
          <w:rFonts w:ascii="Times New Roman" w:hAnsi="Times New Roman" w:cs="Times New Roman"/>
          <w:sz w:val="24"/>
          <w:szCs w:val="24"/>
          <w:bdr w:val="none" w:sz="0" w:space="0" w:color="auto" w:frame="1"/>
        </w:rPr>
        <w:t xml:space="preserve">der bl.a. sker en fravigelse af forvaltningslovens partsrettigheder, som ellers ville indebære, at oplysningerne skulle udleveres til de pågældende. </w:t>
      </w:r>
      <w:r w:rsidRPr="00796736">
        <w:rPr>
          <w:rFonts w:ascii="Times New Roman" w:eastAsia="Times New Roman" w:hAnsi="Times New Roman" w:cs="Times New Roman"/>
          <w:sz w:val="24"/>
          <w:szCs w:val="24"/>
          <w:lang w:eastAsia="da-DK"/>
        </w:rPr>
        <w:t xml:space="preserve"> </w:t>
      </w:r>
    </w:p>
    <w:p w14:paraId="3D2C1386" w14:textId="77777777" w:rsidR="002A0B0F" w:rsidRPr="00796736" w:rsidRDefault="002A0B0F" w:rsidP="00A802A5">
      <w:pPr>
        <w:spacing w:line="360" w:lineRule="auto"/>
        <w:rPr>
          <w:rFonts w:ascii="Times New Roman" w:hAnsi="Times New Roman" w:cs="Times New Roman"/>
          <w:sz w:val="24"/>
          <w:szCs w:val="24"/>
          <w:bdr w:val="none" w:sz="0" w:space="0" w:color="auto" w:frame="1"/>
        </w:rPr>
      </w:pPr>
    </w:p>
    <w:p w14:paraId="354D054C" w14:textId="73B924EF" w:rsidR="00B23930" w:rsidRPr="00796736" w:rsidRDefault="00B2393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Herudover vil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bdr w:val="none" w:sz="0" w:space="0" w:color="auto" w:frame="1"/>
        </w:rPr>
        <w:instrText xml:space="preserve"> REF _Ref239689412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bdr w:val="none" w:sz="0" w:space="0" w:color="auto" w:frame="1"/>
        </w:rPr>
        <w:t>§ 38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sz w:val="24"/>
          <w:szCs w:val="24"/>
          <w:bdr w:val="none" w:sz="0" w:space="0" w:color="auto" w:frame="1"/>
        </w:rPr>
        <w:t>være en særlig tavshedspligtsbestemmelse omfattet af databeskyttelsesforordningens artikel 14, stk. 5, litra d, og offentlighedslovens § 35.</w:t>
      </w:r>
    </w:p>
    <w:p w14:paraId="66D11258" w14:textId="77777777" w:rsidR="00B23930" w:rsidRPr="00796736" w:rsidRDefault="00B23930" w:rsidP="00A802A5">
      <w:pPr>
        <w:spacing w:line="360" w:lineRule="auto"/>
        <w:rPr>
          <w:rFonts w:ascii="Times New Roman" w:hAnsi="Times New Roman" w:cs="Times New Roman"/>
          <w:sz w:val="24"/>
          <w:szCs w:val="24"/>
          <w:bdr w:val="none" w:sz="0" w:space="0" w:color="auto" w:frame="1"/>
        </w:rPr>
      </w:pPr>
    </w:p>
    <w:p w14:paraId="7DB99CB9" w14:textId="77777777" w:rsidR="00B23930" w:rsidRPr="00796736" w:rsidRDefault="00B2393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Det følger bl.a. af databeskyttelsesforordningens artikel 14, stk. 5, litra d, at oplysningspligten efter databeskyttelsesforordningens artikel 14, stk. 1-4, ikke finder anvendelse, hvis og i det omfang, personoplysninger, der indsamles, skal forblive fortrolige som følge af tavshedspligt i henhold til national ret, herunder lovbestemt tavshedspligt.</w:t>
      </w:r>
    </w:p>
    <w:p w14:paraId="54BE4E7B" w14:textId="77777777" w:rsidR="00B23930" w:rsidRPr="00796736" w:rsidRDefault="00B23930" w:rsidP="00A802A5">
      <w:pPr>
        <w:spacing w:line="360" w:lineRule="auto"/>
        <w:rPr>
          <w:rFonts w:ascii="Times New Roman" w:hAnsi="Times New Roman" w:cs="Times New Roman"/>
          <w:sz w:val="24"/>
          <w:szCs w:val="24"/>
          <w:bdr w:val="none" w:sz="0" w:space="0" w:color="auto" w:frame="1"/>
        </w:rPr>
      </w:pPr>
    </w:p>
    <w:p w14:paraId="23D5A678" w14:textId="73DDD189" w:rsidR="00B23930" w:rsidRPr="00796736" w:rsidRDefault="00B2393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 xml:space="preserve">Endvidere følger det af offentlighedslovens </w:t>
      </w:r>
      <w:r w:rsidR="005446AE">
        <w:rPr>
          <w:rFonts w:ascii="Times New Roman" w:hAnsi="Times New Roman" w:cs="Times New Roman"/>
          <w:sz w:val="24"/>
          <w:szCs w:val="24"/>
        </w:rPr>
        <w:t>§ 35</w:t>
      </w:r>
      <w:r w:rsidRPr="00796736">
        <w:rPr>
          <w:rFonts w:ascii="Times New Roman" w:hAnsi="Times New Roman" w:cs="Times New Roman"/>
          <w:sz w:val="24"/>
          <w:szCs w:val="24"/>
          <w:bdr w:val="none" w:sz="0" w:space="0" w:color="auto" w:frame="1"/>
        </w:rPr>
        <w:t>, at oplysninger omfattet af særlige bestemmelser om tavshedspligt fastsat ved lov eller med hjemmel i lov for personer, der virker i offentlig tjeneste eller hverv, er undtaget fra retten til aktindsigt og egenacces efter offentlighedslovens §§ 7 og 8 og undtaget fra retten til indsigt efter databeskyttelsesforordningens artikel 15, jf. databeskyttelseslovens § 22, stk. 3.</w:t>
      </w:r>
    </w:p>
    <w:p w14:paraId="565FFEA4" w14:textId="77777777" w:rsidR="00B23930" w:rsidRPr="00796736" w:rsidRDefault="00B23930" w:rsidP="00A802A5">
      <w:pPr>
        <w:spacing w:line="360" w:lineRule="auto"/>
        <w:rPr>
          <w:rFonts w:ascii="Times New Roman" w:hAnsi="Times New Roman" w:cs="Times New Roman"/>
          <w:sz w:val="24"/>
          <w:szCs w:val="24"/>
          <w:bdr w:val="none" w:sz="0" w:space="0" w:color="auto" w:frame="1"/>
        </w:rPr>
      </w:pPr>
    </w:p>
    <w:p w14:paraId="3BB8CA7F" w14:textId="77777777" w:rsidR="00B23930" w:rsidRPr="00796736" w:rsidRDefault="00B2393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Herved sikres en beskyttelse af de ansatte hos virksomheder omfattet af hvidvaskloven, der er forpligtet til at foretage underretninger til Hvidvasksekretariatet.</w:t>
      </w:r>
    </w:p>
    <w:p w14:paraId="3B3D39B6" w14:textId="77777777" w:rsidR="00B23930" w:rsidRPr="00796736" w:rsidRDefault="00B23930" w:rsidP="00A802A5">
      <w:pPr>
        <w:spacing w:line="360" w:lineRule="auto"/>
        <w:rPr>
          <w:rFonts w:ascii="Times New Roman" w:hAnsi="Times New Roman" w:cs="Times New Roman"/>
          <w:sz w:val="24"/>
          <w:szCs w:val="24"/>
          <w:bdr w:val="none" w:sz="0" w:space="0" w:color="auto" w:frame="1"/>
        </w:rPr>
      </w:pPr>
    </w:p>
    <w:p w14:paraId="36DBD136" w14:textId="77777777" w:rsidR="00B23930" w:rsidRPr="00796736" w:rsidRDefault="00B23930" w:rsidP="00A802A5">
      <w:pPr>
        <w:spacing w:line="360" w:lineRule="auto"/>
        <w:rPr>
          <w:rFonts w:ascii="Times New Roman" w:hAnsi="Times New Roman" w:cs="Times New Roman"/>
          <w:sz w:val="24"/>
          <w:szCs w:val="24"/>
          <w:bdr w:val="none" w:sz="0" w:space="0" w:color="auto" w:frame="1"/>
        </w:rPr>
      </w:pPr>
      <w:r w:rsidRPr="00796736">
        <w:rPr>
          <w:rFonts w:ascii="Times New Roman" w:hAnsi="Times New Roman" w:cs="Times New Roman"/>
          <w:sz w:val="24"/>
          <w:szCs w:val="24"/>
          <w:bdr w:val="none" w:sz="0" w:space="0" w:color="auto" w:frame="1"/>
        </w:rPr>
        <w:t>Den foreslåede tavshedspligt vil ikke være til hinder for, at underretningerne efterfølgende videregives til politiet i forbindelse med en anmeldelse.</w:t>
      </w:r>
    </w:p>
    <w:p w14:paraId="3F9F231E" w14:textId="77777777" w:rsidR="005424F4" w:rsidRPr="00796736" w:rsidRDefault="005424F4" w:rsidP="00A802A5">
      <w:pPr>
        <w:spacing w:line="360" w:lineRule="auto"/>
        <w:rPr>
          <w:rFonts w:ascii="Times New Roman" w:hAnsi="Times New Roman" w:cs="Times New Roman"/>
          <w:i/>
          <w:iCs/>
          <w:sz w:val="24"/>
          <w:szCs w:val="24"/>
        </w:rPr>
      </w:pPr>
    </w:p>
    <w:p w14:paraId="6E69F2FC" w14:textId="22EF0D39"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_Ref232946707 \n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3.37</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2CB31CF0" w14:textId="77777777" w:rsidR="009F7862" w:rsidRPr="00796736" w:rsidRDefault="009F7862" w:rsidP="00A802A5">
      <w:pPr>
        <w:spacing w:line="360" w:lineRule="auto"/>
        <w:jc w:val="center"/>
        <w:rPr>
          <w:rFonts w:ascii="Times New Roman" w:hAnsi="Times New Roman" w:cs="Times New Roman"/>
          <w:i/>
          <w:iCs/>
          <w:sz w:val="24"/>
          <w:szCs w:val="24"/>
        </w:rPr>
      </w:pPr>
    </w:p>
    <w:p w14:paraId="4DCB7243" w14:textId="77777777" w:rsidR="009F7862" w:rsidRPr="00796736" w:rsidRDefault="009F7862" w:rsidP="00A802A5">
      <w:pPr>
        <w:spacing w:line="360" w:lineRule="auto"/>
        <w:jc w:val="center"/>
        <w:rPr>
          <w:rFonts w:ascii="Times New Roman" w:hAnsi="Times New Roman" w:cs="Times New Roman"/>
          <w:i/>
          <w:iCs/>
          <w:sz w:val="24"/>
          <w:szCs w:val="24"/>
        </w:rPr>
      </w:pPr>
    </w:p>
    <w:p w14:paraId="31EA1634" w14:textId="38E199DF" w:rsidR="003423B4" w:rsidRPr="00796736" w:rsidRDefault="00240DBE" w:rsidP="00A802A5">
      <w:pPr>
        <w:pStyle w:val="Undertitel"/>
      </w:pPr>
      <w:bookmarkStart w:id="1971" w:name="_Toc232109371"/>
      <w:bookmarkStart w:id="1972" w:name="_Toc244879335"/>
      <w:bookmarkStart w:id="1973" w:name="_Toc244880860"/>
      <w:r w:rsidRPr="00796736">
        <w:t xml:space="preserve">Til </w:t>
      </w:r>
      <w:r w:rsidR="0092113C" w:rsidRPr="00796736">
        <w:fldChar w:fldCharType="begin"/>
      </w:r>
      <w:r w:rsidR="0092113C" w:rsidRPr="00796736">
        <w:instrText xml:space="preserve"> REF _Ref238570475 \r \h </w:instrText>
      </w:r>
      <w:r w:rsidR="00AB17CC" w:rsidRPr="00796736">
        <w:instrText xml:space="preserve"> \* MERGEFORMAT </w:instrText>
      </w:r>
      <w:r w:rsidR="0092113C" w:rsidRPr="00796736">
        <w:fldChar w:fldCharType="separate"/>
      </w:r>
      <w:r w:rsidR="008F29E5">
        <w:t>§ 39</w:t>
      </w:r>
      <w:bookmarkEnd w:id="1972"/>
      <w:bookmarkEnd w:id="1973"/>
      <w:r w:rsidR="0092113C" w:rsidRPr="00796736">
        <w:fldChar w:fldCharType="end"/>
      </w:r>
      <w:r w:rsidR="0092113C" w:rsidRPr="00796736">
        <w:t xml:space="preserve"> </w:t>
      </w:r>
      <w:bookmarkEnd w:id="1971"/>
    </w:p>
    <w:p w14:paraId="47F62BBB" w14:textId="5C572539" w:rsidR="005703DC" w:rsidRPr="00796736" w:rsidRDefault="005703D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Efter hvidvasklovens § 28 skal en tilsynsmyndighed i henhold til hvidvaskloven eller andre myndigheder underrette Hvidvasksekretariatet, hvis myndigheden får kendskab til forhold, der giver grund til at tro, at disse kan have tilknytning til hvidvask eller finansiering af terrorisme, som er omfattet af underretningspligten i § 26, stk. 1. </w:t>
      </w:r>
    </w:p>
    <w:p w14:paraId="5F940789" w14:textId="0C619FFE" w:rsidR="005703DC" w:rsidRPr="00796736" w:rsidRDefault="005703D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videreføre § 28 i hvidvaskloven. </w:t>
      </w:r>
    </w:p>
    <w:p w14:paraId="7504DDD8" w14:textId="77777777" w:rsidR="003B1280" w:rsidRPr="00796736" w:rsidRDefault="003B1280" w:rsidP="00A802A5">
      <w:pPr>
        <w:spacing w:line="360" w:lineRule="auto"/>
        <w:rPr>
          <w:rFonts w:ascii="Times New Roman" w:hAnsi="Times New Roman" w:cs="Times New Roman"/>
          <w:sz w:val="24"/>
          <w:szCs w:val="24"/>
        </w:rPr>
      </w:pPr>
    </w:p>
    <w:p w14:paraId="4CF2069C" w14:textId="724FABB8" w:rsidR="005703DC" w:rsidRPr="00796736" w:rsidRDefault="005703DC"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 xml:space="preserve">Det foreslås i </w:t>
      </w:r>
      <w:r w:rsidR="0092113C" w:rsidRPr="00796736">
        <w:rPr>
          <w:rFonts w:ascii="Times New Roman" w:eastAsia="Calibri" w:hAnsi="Times New Roman" w:cs="Times New Roman"/>
          <w:iCs/>
          <w:sz w:val="24"/>
          <w:szCs w:val="24"/>
        </w:rPr>
        <w:fldChar w:fldCharType="begin"/>
      </w:r>
      <w:r w:rsidR="0092113C" w:rsidRPr="00796736">
        <w:rPr>
          <w:rFonts w:ascii="Times New Roman" w:eastAsia="Calibri" w:hAnsi="Times New Roman" w:cs="Times New Roman"/>
          <w:iCs/>
          <w:sz w:val="24"/>
          <w:szCs w:val="24"/>
        </w:rPr>
        <w:instrText xml:space="preserve"> REF _Ref238570475 \r \h </w:instrText>
      </w:r>
      <w:r w:rsidR="00AB17CC" w:rsidRPr="00796736">
        <w:rPr>
          <w:rFonts w:ascii="Times New Roman" w:eastAsia="Calibri" w:hAnsi="Times New Roman" w:cs="Times New Roman"/>
          <w:iCs/>
          <w:sz w:val="24"/>
          <w:szCs w:val="24"/>
        </w:rPr>
        <w:instrText xml:space="preserve"> \* MERGEFORMAT </w:instrText>
      </w:r>
      <w:r w:rsidR="0092113C" w:rsidRPr="00796736">
        <w:rPr>
          <w:rFonts w:ascii="Times New Roman" w:eastAsia="Calibri" w:hAnsi="Times New Roman" w:cs="Times New Roman"/>
          <w:iCs/>
          <w:sz w:val="24"/>
          <w:szCs w:val="24"/>
        </w:rPr>
      </w:r>
      <w:r w:rsidR="0092113C"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39</w:t>
      </w:r>
      <w:r w:rsidR="0092113C"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
          <w:sz w:val="24"/>
          <w:szCs w:val="24"/>
        </w:rPr>
        <w:t xml:space="preserve">, stk. 1, </w:t>
      </w:r>
      <w:r w:rsidRPr="00796736">
        <w:rPr>
          <w:rFonts w:ascii="Times New Roman" w:eastAsia="Calibri" w:hAnsi="Times New Roman" w:cs="Times New Roman"/>
          <w:iCs/>
          <w:sz w:val="24"/>
          <w:szCs w:val="24"/>
        </w:rPr>
        <w:t xml:space="preserve">at får </w:t>
      </w:r>
      <w:r w:rsidRPr="00796736">
        <w:rPr>
          <w:rFonts w:ascii="Times New Roman" w:eastAsia="Times New Roman" w:hAnsi="Times New Roman" w:cs="Times New Roman"/>
          <w:sz w:val="24"/>
          <w:szCs w:val="24"/>
          <w:lang w:eastAsia="da-DK"/>
        </w:rPr>
        <w:t>en tilsynsmyndighed efter loven eller andre myndigheder gennem kontrol med forpligtede enheder eller på anden måde kendskab til forhold, som kan mistænkes for at have tilknytning til hvidvask, de underliggende lovovertrædelser eller finansiering af terrorisme, skal myndigheden omgående underrette Hvidvasksekretariatet herom</w:t>
      </w:r>
      <w:r w:rsidR="00655D61"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w:t>
      </w:r>
    </w:p>
    <w:p w14:paraId="7BF46177" w14:textId="5550D928" w:rsidR="005703DC" w:rsidRPr="00796736" w:rsidRDefault="005703D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som det er tilfældet i dag indebære, at tilsynsmyndighederne pålægges en underretningspligt. </w:t>
      </w:r>
      <w:r w:rsidR="005424F4" w:rsidRPr="00796736">
        <w:rPr>
          <w:rFonts w:ascii="Times New Roman" w:eastAsia="Calibri" w:hAnsi="Times New Roman" w:cs="Times New Roman"/>
          <w:iCs/>
          <w:sz w:val="24"/>
          <w:szCs w:val="24"/>
        </w:rPr>
        <w:t>Bestemmelsen udgør således med visse tilpasninger en videreførelse af den nugældende § 28, herunder i relation til myndighederne omfattet af bestemmelsen.</w:t>
      </w:r>
    </w:p>
    <w:p w14:paraId="694C076B" w14:textId="77777777" w:rsidR="005703DC" w:rsidRPr="00796736" w:rsidRDefault="005703D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Tilsynsmyndighederne kan ved inspektioner eller på anden måde få kendskab til forhold, der kan have tilknytning til hvidvask af udbytte eller finansiering af terrorisme. Den foreslåede bestemmelse medfører, at tilsynsmyndighederne skal underrette Hvidvasksekretariatet, hvis de får kendskab til sådanne forhold, der kan have tilknytning til hvidvask af udbytte eller finansiering af terrorisme. Dette kan f.eks. være tilfældet ved kendskab til store beholdninger af kontanter ved personers ud- eller indrejse af landet eller uledsagede forsendelser af stor værdi, som sendes ud af eller ind i landet.</w:t>
      </w:r>
    </w:p>
    <w:p w14:paraId="24C57102" w14:textId="77777777" w:rsidR="005703DC" w:rsidRPr="00796736" w:rsidRDefault="005703D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Bestemmelsen vil desuden indebære, at tilsynsmyndighederne vil skulle underrette Hvidvasksekretariatet, hvis der opdages oplysninger, som kan være knyttet til hvidvask af penge eller finansiering af terrorisme i forbindelse med overvågning af aktie-, valuta- og finansderivatmarkederne. Der henvises til direktivets artikel 42, stk. 2.   </w:t>
      </w:r>
    </w:p>
    <w:p w14:paraId="458D2B19" w14:textId="4AFCEFAC" w:rsidR="005703DC" w:rsidRPr="00796736" w:rsidRDefault="005703DC"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Bestemmelsen vil derudover, ligesom i dag</w:t>
      </w:r>
      <w:r w:rsidR="00B23930" w:rsidRPr="00796736">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t xml:space="preserve"> omfatte alle myndigheder</w:t>
      </w:r>
      <w:r w:rsidRPr="00796736">
        <w:rPr>
          <w:rFonts w:ascii="Times New Roman" w:hAnsi="Times New Roman" w:cs="Times New Roman"/>
          <w:sz w:val="24"/>
          <w:szCs w:val="24"/>
        </w:rPr>
        <w:t>, som vil skulle underrette Hvidvasksekretariatet, hvis myndigheden får kendskab til forhold, der giver grund til at tro, at disse kan have tilknytning til hvidvask eller terrorfinansiering.</w:t>
      </w:r>
      <w:r w:rsidRPr="00796736">
        <w:rPr>
          <w:rFonts w:ascii="Times New Roman" w:eastAsia="Calibri" w:hAnsi="Times New Roman" w:cs="Times New Roman"/>
          <w:iCs/>
          <w:sz w:val="24"/>
          <w:szCs w:val="24"/>
        </w:rPr>
        <w:t xml:space="preserve"> </w:t>
      </w:r>
      <w:r w:rsidRPr="00796736">
        <w:rPr>
          <w:rFonts w:ascii="Times New Roman" w:hAnsi="Times New Roman" w:cs="Times New Roman"/>
          <w:sz w:val="24"/>
          <w:szCs w:val="24"/>
        </w:rPr>
        <w:t xml:space="preserve">Der vil være tale om oplysninger, som myndighederne bliver bekendt med ved varetagelsen af deres almindelige opgaver, f.eks. sagsbehandling, udførelse af kontrolopgaver og lignende. </w:t>
      </w:r>
    </w:p>
    <w:p w14:paraId="53BB41F6" w14:textId="77777777" w:rsidR="005703DC" w:rsidRPr="00796736" w:rsidRDefault="005703DC"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Underretningen skal ikke forstås som en erstatning for forpligtelsen for tilsynsmyndighederne til at underrette enhver kriminel handling, som de afslører eller får kendskab til under udførelsen af deres opgaver, til de relevante kompetente myndigheder.</w:t>
      </w:r>
      <w:r w:rsidRPr="00796736">
        <w:rPr>
          <w:rFonts w:ascii="Times New Roman" w:eastAsia="Calibri" w:hAnsi="Times New Roman" w:cs="Times New Roman"/>
          <w:iCs/>
          <w:sz w:val="24"/>
          <w:szCs w:val="24"/>
        </w:rPr>
        <w:t xml:space="preserve"> Forslaget viderefører gældende praksis. </w:t>
      </w:r>
    </w:p>
    <w:p w14:paraId="51DE5913" w14:textId="77777777" w:rsidR="005703DC" w:rsidRPr="00796736" w:rsidRDefault="005703D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Tilsynsmyndighedernes underretning i medfør af den foreslåede bestemmelse vil efter omstændighederne kunne udgøre videregivelse af personoplysninger omfattet af forvaltningslovens § 28, stk. 1, om videregivelse af personoplysninger mellem offentlige myndigheder og databeskyttelsesforordningen og -loven. Underretninger i medfør af den foreslåede bestemmelse vil endvidere kunne omfatte fortrolige oplysninger, hvorefter forvaltningslovens § 28, stk. 2, vil finde anvendelse.  </w:t>
      </w:r>
    </w:p>
    <w:p w14:paraId="13CA0388" w14:textId="3CFBBAE4" w:rsidR="005703DC" w:rsidRPr="00796736" w:rsidRDefault="005703D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Med den foreslåede bestemmelse gennemføres direktivets artikel 42.</w:t>
      </w:r>
    </w:p>
    <w:p w14:paraId="542E6AF4" w14:textId="25140BFD" w:rsidR="00A46CE6" w:rsidRPr="00796736" w:rsidRDefault="00A46CE6"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2, </w:t>
      </w:r>
      <w:r w:rsidRPr="00796736">
        <w:rPr>
          <w:rFonts w:ascii="Times New Roman" w:eastAsia="Calibri" w:hAnsi="Times New Roman" w:cs="Times New Roman"/>
          <w:iCs/>
          <w:sz w:val="24"/>
          <w:szCs w:val="24"/>
        </w:rPr>
        <w:t xml:space="preserve">at underretningspligten efter stk. 1 ikke finder anvendelse for oplysninger, som er modtaget før, under eller efter retssager eller i forbindelse med forpligtede enheders vurdering af en kundes retsstilling, medmindre oplysningerne er omfattet af hvidvaskforordningens artikel 70, stk. 2, 2. afsnit, regler udstedt i medfør af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_Ref232609412 \r \h </w:instrText>
      </w:r>
      <w:r w:rsidR="00AB17CC"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111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2, eller der i øvrigt er grundlag for alligevel at foretage underretning efter hvidvaskforordningen.</w:t>
      </w:r>
    </w:p>
    <w:p w14:paraId="13C9FADE" w14:textId="77777777" w:rsidR="00A46CE6" w:rsidRPr="00796736" w:rsidRDefault="00A46CE6" w:rsidP="00A802A5">
      <w:pPr>
        <w:spacing w:line="360" w:lineRule="auto"/>
        <w:rPr>
          <w:rFonts w:ascii="Times New Roman" w:eastAsia="Calibri" w:hAnsi="Times New Roman" w:cs="Times New Roman"/>
          <w:iCs/>
          <w:sz w:val="24"/>
          <w:szCs w:val="24"/>
        </w:rPr>
      </w:pPr>
    </w:p>
    <w:p w14:paraId="46A9E386" w14:textId="77777777" w:rsidR="00A46CE6" w:rsidRPr="00796736" w:rsidRDefault="00A46CE6"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Den foreslåede bestemmelse indebærer, at underretningspligten efter stk. 1 som udgangspunkt ikke gælder for oplysninger, som uafhængige retlige aktører, revisorer, eksterne regnskabskyndige og skatterådgivere modtager fra eller indhenter om en kunde, når de vurderer den pågældende kundes retsstilling eller forsvarer eller repræsenterer denne under eller i forbindelse med retssager, herunder rådgiver om indledning eller undgåelse af sådanne retssager, uanset om sådanne oplysninger er modtaget eller indhentet før, under eller efter sådanne retssager. Den foreslåede bestemmelse skal således ses i sammenhæng med hvidvaskforordningens artikel 70, stk. 2.</w:t>
      </w:r>
    </w:p>
    <w:p w14:paraId="7E8A7374" w14:textId="1FECF984" w:rsidR="00A46CE6" w:rsidRPr="00796736" w:rsidRDefault="00A46CE6"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Denne undtagelse gælder imidlertid ikke, hvor den pågældende oplysning må anses for omfattet af hvidvaskforordningens artikel 70, stk. 2, 2. afsnit, eller regler udstedt i medfør af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_Ref232609412 \r \h </w:instrText>
      </w:r>
      <w:r w:rsidR="00AB17CC"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111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2. Her vil oplysningerne, såfremt de kommer i besiddelse af sådanne, være omfattet af underretningspligten. </w:t>
      </w:r>
    </w:p>
    <w:p w14:paraId="207C18F0" w14:textId="77777777" w:rsidR="00A46CE6" w:rsidRDefault="00A46CE6"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bemærkes, at underretning om fortrolige oplysninger om fysiske personer i medfør af den foreslåede bestemmelse efter omstændighederne vil være omfattet af forvaltningslovens regler om videregivelse af personoplysninger efter § 28, stk. 1 og af databeskyttelsesforordningen og -lovens regler om videregivelse af personoplysninger samt af forvaltningslovens § 28, stk. 2, for så vidt angår andre fortrolige oplysninger. </w:t>
      </w:r>
    </w:p>
    <w:p w14:paraId="33FFD609" w14:textId="77777777" w:rsidR="00EB57D1" w:rsidRDefault="00EB57D1" w:rsidP="00A802A5">
      <w:pPr>
        <w:spacing w:after="240" w:line="36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Det foreslås i </w:t>
      </w:r>
      <w:r>
        <w:rPr>
          <w:rFonts w:ascii="Times New Roman" w:eastAsia="Calibri" w:hAnsi="Times New Roman" w:cs="Times New Roman"/>
          <w:i/>
          <w:sz w:val="24"/>
          <w:szCs w:val="24"/>
        </w:rPr>
        <w:t xml:space="preserve">stk. 3, </w:t>
      </w:r>
      <w:r>
        <w:rPr>
          <w:rFonts w:ascii="Times New Roman" w:eastAsia="Calibri" w:hAnsi="Times New Roman" w:cs="Times New Roman"/>
          <w:iCs/>
          <w:sz w:val="24"/>
          <w:szCs w:val="24"/>
        </w:rPr>
        <w:t xml:space="preserve">at underretningspligten efter stk. 1 endvidere ikke finder anvendelse for oplysninger, som politiet får kendskab til som led i sin virksomhed. </w:t>
      </w:r>
    </w:p>
    <w:p w14:paraId="78C2E9EA" w14:textId="15B9EA7F" w:rsidR="00EB57D1" w:rsidRDefault="00EB57D1" w:rsidP="00A802A5">
      <w:pPr>
        <w:spacing w:after="240" w:line="36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Den foreslåede bestemmelse vil indebære, at politiet ikke er forpligtet til at foretage underretninger efter det foreslåede stk. 1 vedrørende oplysninger omfattet af bestemmelsen. Hvidvasksekretariatet er forankret hos i politiet, men er som nævnt i bemærkningerne til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_Ref232610117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 er operationelt uafhængige og selvstændige. Bestemmelsen sigter dermed til de øvrige dele af politiet.</w:t>
      </w:r>
    </w:p>
    <w:p w14:paraId="454BB886" w14:textId="42476279" w:rsidR="00EB57D1" w:rsidRPr="00796736" w:rsidRDefault="00EB57D1" w:rsidP="00A802A5">
      <w:pPr>
        <w:spacing w:after="240" w:line="36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Politiet vil dog fortsat have mulighed for at foretage sådanne underretninger til Hvidvasksekretariatet, hvis det efter en politifaglig vurdering skønnes relevant. </w:t>
      </w:r>
    </w:p>
    <w:p w14:paraId="245F2001" w14:textId="043EA427" w:rsidR="00A46CE6" w:rsidRPr="00796736" w:rsidRDefault="00A46CE6"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Med de foreslåede bestemmelser i stk. 1 og 2 gennemføres direktivets artikel 42.</w:t>
      </w:r>
    </w:p>
    <w:p w14:paraId="6E3625BE" w14:textId="12AC3BC3"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_Ref232946748 \n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3.38</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 lovforslagets almindelige bemærkninger.</w:t>
      </w:r>
    </w:p>
    <w:p w14:paraId="01B29BEE" w14:textId="77777777" w:rsidR="009E05E4" w:rsidRPr="00796736" w:rsidRDefault="009E05E4" w:rsidP="00A802A5">
      <w:pPr>
        <w:spacing w:line="360" w:lineRule="auto"/>
        <w:rPr>
          <w:rFonts w:ascii="Times New Roman" w:hAnsi="Times New Roman" w:cs="Times New Roman"/>
          <w:i/>
          <w:iCs/>
          <w:sz w:val="24"/>
          <w:szCs w:val="24"/>
        </w:rPr>
      </w:pPr>
    </w:p>
    <w:p w14:paraId="1F1E7333" w14:textId="77777777" w:rsidR="009F7862" w:rsidRPr="00796736" w:rsidRDefault="009F7862" w:rsidP="00A802A5">
      <w:pPr>
        <w:spacing w:line="360" w:lineRule="auto"/>
        <w:rPr>
          <w:rFonts w:ascii="Times New Roman" w:hAnsi="Times New Roman" w:cs="Times New Roman"/>
          <w:i/>
          <w:iCs/>
          <w:sz w:val="24"/>
          <w:szCs w:val="24"/>
        </w:rPr>
      </w:pPr>
    </w:p>
    <w:p w14:paraId="487AEFD2" w14:textId="086A00FF" w:rsidR="00CF6BD2" w:rsidRPr="00796736" w:rsidRDefault="00240DBE" w:rsidP="00A802A5">
      <w:pPr>
        <w:pStyle w:val="Undertitel"/>
      </w:pPr>
      <w:bookmarkStart w:id="1974" w:name="_Toc232109372"/>
      <w:bookmarkStart w:id="1975" w:name="_Toc244879336"/>
      <w:bookmarkStart w:id="1976" w:name="_Toc244880861"/>
      <w:r w:rsidRPr="00796736">
        <w:t xml:space="preserve">Til </w:t>
      </w:r>
      <w:r w:rsidR="006719DB" w:rsidRPr="00796736">
        <w:fldChar w:fldCharType="begin"/>
      </w:r>
      <w:r w:rsidR="006719DB" w:rsidRPr="00796736">
        <w:instrText xml:space="preserve"> REF _Ref232596532 \r \h </w:instrText>
      </w:r>
      <w:r w:rsidR="00967618" w:rsidRPr="00796736">
        <w:instrText xml:space="preserve"> \* MERGEFORMAT </w:instrText>
      </w:r>
      <w:r w:rsidR="006719DB" w:rsidRPr="00796736">
        <w:fldChar w:fldCharType="separate"/>
      </w:r>
      <w:r w:rsidR="008F29E5">
        <w:t>§ 40</w:t>
      </w:r>
      <w:bookmarkEnd w:id="1975"/>
      <w:bookmarkEnd w:id="1976"/>
      <w:r w:rsidR="006719DB" w:rsidRPr="00796736">
        <w:fldChar w:fldCharType="end"/>
      </w:r>
      <w:r w:rsidR="009E05E4" w:rsidRPr="00796736">
        <w:t xml:space="preserve"> </w:t>
      </w:r>
      <w:bookmarkEnd w:id="1974"/>
    </w:p>
    <w:p w14:paraId="636B2152" w14:textId="77777777" w:rsidR="009F7862" w:rsidRPr="00796736" w:rsidRDefault="009F7862"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Ifølge § 40 i hvidvaskloven må valutavekslingsvirksomhed kun udøves her i landet af virksomheder, der har tilladelse som valutavekslingsvirksomhed, eller af pengeinstitutter, Danmarks Nationalbank og offentlige myndigheder. Bestemmelsen har til formål at sikre, at kun virksomheder, der opfylder nærmere fastsatte krav, kan udøve valutavekslingsvirksomhed i Danmark.</w:t>
      </w:r>
    </w:p>
    <w:p w14:paraId="1FEA3A7B" w14:textId="77777777" w:rsidR="009F7862" w:rsidRPr="00796736" w:rsidRDefault="009F7862" w:rsidP="00A802A5">
      <w:pPr>
        <w:suppressAutoHyphens/>
        <w:spacing w:line="360" w:lineRule="auto"/>
        <w:rPr>
          <w:rFonts w:ascii="Times New Roman" w:eastAsia="Calibri" w:hAnsi="Times New Roman" w:cs="Times New Roman"/>
          <w:sz w:val="24"/>
          <w:szCs w:val="24"/>
        </w:rPr>
      </w:pPr>
    </w:p>
    <w:p w14:paraId="77D2458A" w14:textId="77777777" w:rsidR="009F7862" w:rsidRPr="00796736" w:rsidRDefault="009F7862"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foreslås videreført uden ændringer.</w:t>
      </w:r>
    </w:p>
    <w:p w14:paraId="58C2BC90" w14:textId="77777777" w:rsidR="009F7862" w:rsidRPr="00796736" w:rsidRDefault="009F7862" w:rsidP="00A802A5">
      <w:pPr>
        <w:suppressAutoHyphens/>
        <w:spacing w:line="360" w:lineRule="auto"/>
        <w:rPr>
          <w:rFonts w:ascii="Times New Roman" w:eastAsia="Calibri" w:hAnsi="Times New Roman" w:cs="Times New Roman"/>
          <w:sz w:val="24"/>
          <w:szCs w:val="24"/>
        </w:rPr>
      </w:pPr>
    </w:p>
    <w:p w14:paraId="41C8BCD9" w14:textId="77777777" w:rsidR="009F7862" w:rsidRPr="00796736" w:rsidRDefault="009F7862"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implementerer artikel 4, stk. 1, i 6. hvidvaskdirektiv.</w:t>
      </w:r>
    </w:p>
    <w:p w14:paraId="4D01B72F" w14:textId="77777777" w:rsidR="009F7862" w:rsidRPr="00796736" w:rsidRDefault="009F7862" w:rsidP="00A802A5">
      <w:pPr>
        <w:suppressAutoHyphens/>
        <w:spacing w:line="360" w:lineRule="auto"/>
        <w:rPr>
          <w:rFonts w:ascii="Times New Roman" w:eastAsia="Calibri" w:hAnsi="Times New Roman" w:cs="Times New Roman"/>
          <w:sz w:val="24"/>
          <w:szCs w:val="24"/>
        </w:rPr>
      </w:pPr>
    </w:p>
    <w:p w14:paraId="55DD648F" w14:textId="0C84087F" w:rsidR="009F7862" w:rsidRPr="00796736" w:rsidRDefault="009F7862"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003B1280" w:rsidRPr="00796736">
        <w:rPr>
          <w:rFonts w:ascii="Times New Roman" w:hAnsi="Times New Roman" w:cs="Times New Roman"/>
          <w:i/>
          <w:iCs/>
          <w:sz w:val="24"/>
          <w:szCs w:val="24"/>
        </w:rPr>
        <w:fldChar w:fldCharType="begin"/>
      </w:r>
      <w:r w:rsidR="003B1280" w:rsidRPr="00796736">
        <w:rPr>
          <w:rFonts w:ascii="Times New Roman" w:hAnsi="Times New Roman" w:cs="Times New Roman"/>
          <w:i/>
          <w:iCs/>
          <w:sz w:val="24"/>
          <w:szCs w:val="24"/>
        </w:rPr>
        <w:instrText xml:space="preserve"> REF _Ref232596532 \r \h  \* MERGEFORMAT </w:instrText>
      </w:r>
      <w:r w:rsidR="003B1280" w:rsidRPr="00796736">
        <w:rPr>
          <w:rFonts w:ascii="Times New Roman" w:hAnsi="Times New Roman" w:cs="Times New Roman"/>
          <w:i/>
          <w:iCs/>
          <w:sz w:val="24"/>
          <w:szCs w:val="24"/>
        </w:rPr>
      </w:r>
      <w:r w:rsidR="003B128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40</w:t>
      </w:r>
      <w:r w:rsidR="003B1280" w:rsidRPr="00796736">
        <w:rPr>
          <w:rFonts w:ascii="Times New Roman" w:hAnsi="Times New Roman" w:cs="Times New Roman"/>
          <w:i/>
          <w:iCs/>
          <w:sz w:val="24"/>
          <w:szCs w:val="24"/>
        </w:rPr>
        <w:fldChar w:fldCharType="end"/>
      </w:r>
      <w:r w:rsidRPr="00796736">
        <w:rPr>
          <w:rFonts w:ascii="Times New Roman" w:eastAsia="Calibri" w:hAnsi="Times New Roman" w:cs="Times New Roman"/>
          <w:sz w:val="24"/>
          <w:szCs w:val="24"/>
        </w:rPr>
        <w:t xml:space="preserve">, at valutavekslingsvirksomhed kun må udøves her i landet af virksomheder, der har tilladelse som valutavekslingsvirksomhed, eller af pengeinstitutter, Danmarks Nationalbank og offentlige myndigheder. </w:t>
      </w:r>
    </w:p>
    <w:p w14:paraId="29679DAA" w14:textId="77777777" w:rsidR="009F7862" w:rsidRPr="00796736" w:rsidRDefault="009F7862" w:rsidP="00A802A5">
      <w:pPr>
        <w:suppressAutoHyphens/>
        <w:spacing w:line="360" w:lineRule="auto"/>
        <w:rPr>
          <w:rFonts w:ascii="Times New Roman" w:eastAsia="Calibri" w:hAnsi="Times New Roman" w:cs="Times New Roman"/>
          <w:sz w:val="24"/>
          <w:szCs w:val="24"/>
        </w:rPr>
      </w:pPr>
    </w:p>
    <w:p w14:paraId="071842D3" w14:textId="71B1C7B0" w:rsidR="009F7862" w:rsidRPr="00796736" w:rsidRDefault="009F7862"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Dette indebærer, at andre virksomheder ikke må påbegynde valutavekslingsvirksomhed, før Finanstilsynet har meddelt tilladelse hertil i medfør af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_Ref232596532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003B1280" w:rsidRPr="00796736">
        <w:rPr>
          <w:rFonts w:ascii="Times New Roman" w:hAnsi="Times New Roman" w:cs="Times New Roman"/>
          <w:sz w:val="24"/>
          <w:szCs w:val="24"/>
        </w:rPr>
        <w:fldChar w:fldCharType="end"/>
      </w:r>
      <w:r w:rsidRPr="00796736">
        <w:rPr>
          <w:rFonts w:ascii="Times New Roman" w:eastAsia="Calibri" w:hAnsi="Times New Roman" w:cs="Times New Roman"/>
          <w:sz w:val="24"/>
          <w:szCs w:val="24"/>
        </w:rPr>
        <w:t xml:space="preserve">. </w:t>
      </w:r>
    </w:p>
    <w:p w14:paraId="48C857BE" w14:textId="77777777" w:rsidR="009F7862" w:rsidRPr="00796736" w:rsidRDefault="009F7862" w:rsidP="00A802A5">
      <w:pPr>
        <w:suppressAutoHyphens/>
        <w:spacing w:line="360" w:lineRule="auto"/>
        <w:rPr>
          <w:rFonts w:ascii="Times New Roman" w:eastAsia="Calibri" w:hAnsi="Times New Roman" w:cs="Times New Roman"/>
          <w:sz w:val="24"/>
          <w:szCs w:val="24"/>
        </w:rPr>
      </w:pPr>
    </w:p>
    <w:p w14:paraId="48DAEB9D" w14:textId="77777777" w:rsidR="009F7862" w:rsidRPr="00796736" w:rsidRDefault="009F7862"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Formålet med bestemmelsen er at sikre, at der ikke udøves valutavekslingsvirksomhed uden tilladelse fra Finanstilsynet.</w:t>
      </w:r>
    </w:p>
    <w:p w14:paraId="118DCCD7" w14:textId="77777777" w:rsidR="009F7862" w:rsidRPr="00796736" w:rsidRDefault="009F7862" w:rsidP="00A802A5">
      <w:pPr>
        <w:suppressAutoHyphens/>
        <w:spacing w:line="360" w:lineRule="auto"/>
        <w:rPr>
          <w:rFonts w:ascii="Times New Roman" w:eastAsia="Calibri" w:hAnsi="Times New Roman" w:cs="Times New Roman"/>
          <w:sz w:val="24"/>
          <w:szCs w:val="24"/>
        </w:rPr>
      </w:pPr>
    </w:p>
    <w:p w14:paraId="07F80FAD" w14:textId="77777777"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valutavekslingsvirksomhed forstås enhver form for veksling af valuta, hvor valutavekslingen udøves erhvervsmæssigt. Dette omfatter eksempelvis virksomheder, der opstiller vekselautomater, hvor personer kan veksle valuta. Hvis en butik modtager betaling i fremmed valuta og giver tilbage i danske kroner, anses dette ikke for valutavekslingsvirksomhed i lovens forstand. Det er ikke et krav, at valutaveksling er virksomhedens hovedaktivitet for at være omfattet af lovforslaget.</w:t>
      </w:r>
    </w:p>
    <w:p w14:paraId="527E22D5" w14:textId="77777777" w:rsidR="009F7862" w:rsidRPr="00796736" w:rsidRDefault="009F7862" w:rsidP="00A802A5">
      <w:pPr>
        <w:spacing w:line="360" w:lineRule="auto"/>
        <w:rPr>
          <w:rFonts w:ascii="Times New Roman" w:hAnsi="Times New Roman" w:cs="Times New Roman"/>
          <w:sz w:val="24"/>
          <w:szCs w:val="24"/>
        </w:rPr>
      </w:pPr>
    </w:p>
    <w:p w14:paraId="4C0B2E0E" w14:textId="0779E791"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Pengeinstitutter må i medfør af § 7, stk. 1, jf. bilag 1, nr. 13, i lov om finansiel virksomhed udøve valutavekslingsvirksomhed. Pengeinstitutter skal således ikke have en tilladelse fra Finanstilsynet i medfør af forslagets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_Ref232596532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_Ref232596553 \n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3B04F6">
        <w:rPr>
          <w:rFonts w:ascii="Times New Roman" w:hAnsi="Times New Roman" w:cs="Times New Roman"/>
          <w:sz w:val="24"/>
          <w:szCs w:val="24"/>
        </w:rPr>
        <w:t xml:space="preserve"> </w:t>
      </w:r>
      <w:r w:rsidR="008F29E5">
        <w:rPr>
          <w:rFonts w:ascii="Times New Roman" w:hAnsi="Times New Roman" w:cs="Times New Roman"/>
          <w:sz w:val="24"/>
          <w:szCs w:val="24"/>
        </w:rPr>
        <w:t>41</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til at udøve valutavekslingsvirksomhed. Danmarks Nationalbank og offentlige myndigheder udøver ikke valutavekslingsvirksomhed på erhvervsmæssigt grundlag, hvorfor den foreslåede bestemmelse ikke finder anvendelse på Danmarks Nationalbank og offentlige myndigheder. Vil Nationalbanken og offentlige myndigheder udøve valutavekslingsvirksomhed i erhvervsmæssige øjemed, må valutavekslingsvirksomheden drives i et særskilt selskab, som da vil være omfattet af lovens anvendelsesområde. </w:t>
      </w:r>
    </w:p>
    <w:p w14:paraId="63F29F68" w14:textId="77777777" w:rsidR="009F7862" w:rsidRPr="00796736" w:rsidRDefault="009F7862" w:rsidP="00A802A5">
      <w:pPr>
        <w:spacing w:line="360" w:lineRule="auto"/>
        <w:rPr>
          <w:rFonts w:ascii="Times New Roman" w:hAnsi="Times New Roman" w:cs="Times New Roman"/>
          <w:sz w:val="24"/>
          <w:szCs w:val="24"/>
        </w:rPr>
      </w:pPr>
    </w:p>
    <w:p w14:paraId="6AF69FD7" w14:textId="5E90B5F7"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Overtrædelse af bestemmelsen foreslås strafbelagt, således at virksomheder og personer, der uden tilladelse fra Finanstilsynet, jf.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_Ref232596532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udøver valutavekslingsvirksomhed, kan straffes med bøde. Den strafbare handling består i at drive valutavekslingsvirksomhed uden tilladelse. Et eksempel på overtrædelse af bestemmelsen er således, hvis man driver valutavekslingsvirksomhed uden at have tilladelse fra Finanstilsynet. Et eksempel på en særlig grov overtrædelse kan være, at der forsætligt drives valutavekslingsvirksomhed i betydeligt omfang uden tilladelse. Ansvarssubjekterne for overtrædelse af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_Ref232596532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er virksomheder og personer. Udgangspunktet er, at der rejses tiltale mod virksomheden (dvs. den juridiske person) for overtrædelsen, men dette kan kombineres med tiltale mod en eller flere personer med tilknytning til virksomheden, hvis en eller flere af disse personer har medvirket forsætligt eller groft uagtsomt til overtrædelsen, og overtrædelsen ikke er af underordnet karakter. </w:t>
      </w:r>
    </w:p>
    <w:p w14:paraId="0AD430A7" w14:textId="77777777" w:rsidR="009F7862" w:rsidRPr="00796736" w:rsidRDefault="009F7862" w:rsidP="00A802A5">
      <w:pPr>
        <w:spacing w:line="360" w:lineRule="auto"/>
        <w:rPr>
          <w:rFonts w:ascii="Times New Roman" w:hAnsi="Times New Roman" w:cs="Times New Roman"/>
          <w:sz w:val="24"/>
          <w:szCs w:val="24"/>
        </w:rPr>
      </w:pPr>
    </w:p>
    <w:p w14:paraId="0478A3FC" w14:textId="04CB6784" w:rsidR="009E05E4"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_Ref232946848 \n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3.39</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66BDF87" w14:textId="77777777" w:rsidR="009F7862" w:rsidRPr="00796736" w:rsidRDefault="009F7862" w:rsidP="00A802A5">
      <w:pPr>
        <w:spacing w:line="360" w:lineRule="auto"/>
        <w:jc w:val="center"/>
        <w:rPr>
          <w:rFonts w:ascii="Times New Roman" w:hAnsi="Times New Roman" w:cs="Times New Roman"/>
          <w:i/>
          <w:iCs/>
          <w:sz w:val="24"/>
          <w:szCs w:val="24"/>
        </w:rPr>
      </w:pPr>
    </w:p>
    <w:p w14:paraId="33AF3A6B" w14:textId="0E35EF4B" w:rsidR="009F7862" w:rsidRPr="00796736" w:rsidRDefault="00240DBE" w:rsidP="00A802A5">
      <w:pPr>
        <w:pStyle w:val="Undertitel"/>
      </w:pPr>
      <w:bookmarkStart w:id="1977" w:name="_Toc232109373"/>
      <w:bookmarkStart w:id="1978" w:name="_Toc244879337"/>
      <w:bookmarkStart w:id="1979" w:name="_Toc244880862"/>
      <w:r w:rsidRPr="00796736">
        <w:t xml:space="preserve">Til </w:t>
      </w:r>
      <w:r w:rsidR="006719DB" w:rsidRPr="00796736">
        <w:fldChar w:fldCharType="begin"/>
      </w:r>
      <w:r w:rsidR="006719DB" w:rsidRPr="00796736">
        <w:instrText xml:space="preserve"> REF _Ref232596553 \r \h </w:instrText>
      </w:r>
      <w:r w:rsidR="00967618" w:rsidRPr="00796736">
        <w:instrText xml:space="preserve"> \* MERGEFORMAT </w:instrText>
      </w:r>
      <w:r w:rsidR="006719DB" w:rsidRPr="00796736">
        <w:fldChar w:fldCharType="separate"/>
      </w:r>
      <w:r w:rsidR="008F29E5">
        <w:t>§ 41</w:t>
      </w:r>
      <w:bookmarkEnd w:id="1978"/>
      <w:bookmarkEnd w:id="1979"/>
      <w:r w:rsidR="006719DB" w:rsidRPr="00796736">
        <w:fldChar w:fldCharType="end"/>
      </w:r>
      <w:r w:rsidR="009E05E4" w:rsidRPr="00796736">
        <w:t xml:space="preserve"> </w:t>
      </w:r>
      <w:bookmarkEnd w:id="1977"/>
    </w:p>
    <w:p w14:paraId="47DC1AB3"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41 i hvidvaskloven, at Finanstilsynet kan give tilladelse til valutavekslingsvirksomhed, når nærmere fastsatte betingelser er opfyldt.</w:t>
      </w:r>
    </w:p>
    <w:p w14:paraId="61F910EE" w14:textId="77777777" w:rsidR="009F7862" w:rsidRPr="00796736" w:rsidRDefault="009F7862" w:rsidP="00A802A5">
      <w:pPr>
        <w:suppressAutoHyphens/>
        <w:spacing w:line="360" w:lineRule="auto"/>
        <w:rPr>
          <w:rFonts w:ascii="Times New Roman" w:hAnsi="Times New Roman" w:cs="Times New Roman"/>
          <w:sz w:val="24"/>
          <w:szCs w:val="24"/>
        </w:rPr>
      </w:pPr>
    </w:p>
    <w:p w14:paraId="2B0B5460" w14:textId="186D5C06"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videreføres overvejende uændret, men suppleres med enkelte ændringer. I nr. 4 præciseres det, at virksomhedens kontrolforanstaltninger og procedurer skal være i overensstemmelse med kravene i </w:t>
      </w:r>
      <w:r w:rsidR="00796736">
        <w:rPr>
          <w:rFonts w:ascii="Times New Roman" w:hAnsi="Times New Roman" w:cs="Times New Roman"/>
          <w:sz w:val="24"/>
          <w:szCs w:val="24"/>
        </w:rPr>
        <w:t>hvidvaskforordningen</w:t>
      </w:r>
      <w:r w:rsidRPr="00796736">
        <w:rPr>
          <w:rFonts w:ascii="Times New Roman" w:hAnsi="Times New Roman" w:cs="Times New Roman"/>
          <w:sz w:val="24"/>
          <w:szCs w:val="24"/>
        </w:rPr>
        <w:t>. Endvidere ændres nr. 5, således at Finanstilsynet kan nægte at give tilladelse, hvis virksomheden tidligere har været pålagt strafansvar for overtrædelse af straffeloven, den finansielle lovgivning eller anden relevant lovgivning, og overtrædelsen indebærer en risiko for, at virksomheden kan misbruge tilladelsen. Med denne ændring sikres det, at også bødeforelæg kan indgå i Finanstilsynets vurdering af, om en virksomhed kan opnå tilladelse til at udøve valutavekslingsvirksomhed i Danmark.</w:t>
      </w:r>
    </w:p>
    <w:p w14:paraId="6CB0BF83" w14:textId="77777777" w:rsidR="009F7862" w:rsidRPr="00796736" w:rsidRDefault="009F7862" w:rsidP="00A802A5">
      <w:pPr>
        <w:suppressAutoHyphens/>
        <w:spacing w:line="360" w:lineRule="auto"/>
        <w:rPr>
          <w:rFonts w:ascii="Times New Roman" w:hAnsi="Times New Roman" w:cs="Times New Roman"/>
          <w:sz w:val="24"/>
          <w:szCs w:val="24"/>
        </w:rPr>
      </w:pPr>
    </w:p>
    <w:p w14:paraId="53B00038"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artikel 4, stk. 1, i 6. hvidvaskdirektiv.</w:t>
      </w:r>
    </w:p>
    <w:p w14:paraId="22055975" w14:textId="77777777" w:rsidR="009F7862" w:rsidRPr="00796736" w:rsidRDefault="009F7862" w:rsidP="00A802A5">
      <w:pPr>
        <w:suppressAutoHyphens/>
        <w:spacing w:line="360" w:lineRule="auto"/>
        <w:rPr>
          <w:rFonts w:ascii="Times New Roman" w:hAnsi="Times New Roman" w:cs="Times New Roman"/>
          <w:sz w:val="24"/>
          <w:szCs w:val="24"/>
        </w:rPr>
      </w:pPr>
    </w:p>
    <w:p w14:paraId="4245B3AC" w14:textId="31BB2B6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3B1280" w:rsidRPr="00796736">
        <w:rPr>
          <w:rFonts w:ascii="Times New Roman" w:hAnsi="Times New Roman" w:cs="Times New Roman"/>
          <w:i/>
          <w:iCs/>
          <w:sz w:val="24"/>
          <w:szCs w:val="24"/>
        </w:rPr>
        <w:fldChar w:fldCharType="begin"/>
      </w:r>
      <w:r w:rsidR="003B1280" w:rsidRPr="00796736">
        <w:rPr>
          <w:rFonts w:ascii="Times New Roman" w:hAnsi="Times New Roman" w:cs="Times New Roman"/>
          <w:i/>
          <w:iCs/>
          <w:sz w:val="24"/>
          <w:szCs w:val="24"/>
        </w:rPr>
        <w:instrText xml:space="preserve"> REF _Ref232596553 \r \h  \* MERGEFORMAT </w:instrText>
      </w:r>
      <w:r w:rsidR="003B1280" w:rsidRPr="00796736">
        <w:rPr>
          <w:rFonts w:ascii="Times New Roman" w:hAnsi="Times New Roman" w:cs="Times New Roman"/>
          <w:i/>
          <w:iCs/>
          <w:sz w:val="24"/>
          <w:szCs w:val="24"/>
        </w:rPr>
      </w:r>
      <w:r w:rsidR="003B128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41</w:t>
      </w:r>
      <w:r w:rsidR="003B1280" w:rsidRPr="00796736">
        <w:rPr>
          <w:rFonts w:ascii="Times New Roman" w:hAnsi="Times New Roman" w:cs="Times New Roman"/>
          <w:i/>
          <w:iCs/>
          <w:sz w:val="24"/>
          <w:szCs w:val="24"/>
        </w:rPr>
        <w:fldChar w:fldCharType="end"/>
      </w:r>
      <w:r w:rsidRPr="00796736">
        <w:rPr>
          <w:rFonts w:ascii="Times New Roman" w:hAnsi="Times New Roman" w:cs="Times New Roman"/>
          <w:sz w:val="24"/>
          <w:szCs w:val="24"/>
        </w:rPr>
        <w:t xml:space="preserve">, at Finanstilsynet kan give tilladelse til valutavekslingsvirksomhed, når kravene i nr. 1-5 er opfyldt. </w:t>
      </w:r>
    </w:p>
    <w:p w14:paraId="070AA2FB" w14:textId="77777777" w:rsidR="009F7862" w:rsidRPr="00796736" w:rsidRDefault="009F7862" w:rsidP="00A802A5">
      <w:pPr>
        <w:suppressAutoHyphens/>
        <w:spacing w:line="360" w:lineRule="auto"/>
        <w:rPr>
          <w:rFonts w:ascii="Times New Roman" w:hAnsi="Times New Roman" w:cs="Times New Roman"/>
          <w:sz w:val="24"/>
          <w:szCs w:val="24"/>
        </w:rPr>
      </w:pPr>
    </w:p>
    <w:p w14:paraId="3E1B3453"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indebærer, at virksomheder skal opfylde de fastsatte krav til blandt andet hovedkontor og hjemsted, ledelse og ejere, forvaltning, interne kontrolforanstaltninger samt hæderlighed, før der kan meddeles tilladelse. </w:t>
      </w:r>
    </w:p>
    <w:p w14:paraId="34B33662" w14:textId="77777777" w:rsidR="009F7862" w:rsidRPr="00796736" w:rsidRDefault="009F7862" w:rsidP="00A802A5">
      <w:pPr>
        <w:suppressAutoHyphens/>
        <w:spacing w:line="360" w:lineRule="auto"/>
        <w:rPr>
          <w:rFonts w:ascii="Times New Roman" w:hAnsi="Times New Roman" w:cs="Times New Roman"/>
          <w:sz w:val="24"/>
          <w:szCs w:val="24"/>
        </w:rPr>
      </w:pPr>
    </w:p>
    <w:p w14:paraId="5A3A2C76" w14:textId="77777777" w:rsidR="009F7862"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Forslaget har til formål at sikre, at kun virksomheder, der opfylder de relevante krav, kan udøve valutavekslingsvirksomhed i Danmark, og at Finanstilsynet har mulighed for at inddrage alle relevante oplysninger i vurderingen af, om en virksomhed kan opnå tilladelse.</w:t>
      </w:r>
    </w:p>
    <w:p w14:paraId="65309517" w14:textId="77777777" w:rsidR="002A4E01" w:rsidRDefault="002A4E01" w:rsidP="00A802A5">
      <w:pPr>
        <w:suppressAutoHyphens/>
        <w:spacing w:line="360" w:lineRule="auto"/>
        <w:rPr>
          <w:rFonts w:ascii="Times New Roman" w:hAnsi="Times New Roman" w:cs="Times New Roman"/>
          <w:sz w:val="24"/>
          <w:szCs w:val="24"/>
        </w:rPr>
      </w:pPr>
    </w:p>
    <w:p w14:paraId="580EE198" w14:textId="67500538" w:rsidR="002A4E01" w:rsidRPr="00796736" w:rsidRDefault="002A4E01" w:rsidP="00A802A5">
      <w:pPr>
        <w:suppressAutoHyphens/>
        <w:spacing w:line="360" w:lineRule="auto"/>
        <w:rPr>
          <w:rFonts w:ascii="Times New Roman" w:hAnsi="Times New Roman" w:cs="Times New Roman"/>
          <w:sz w:val="24"/>
          <w:szCs w:val="24"/>
        </w:rPr>
      </w:pPr>
      <w:r w:rsidRPr="002A4E01">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04C88310" w14:textId="77777777" w:rsidR="009F7862" w:rsidRPr="00796736" w:rsidRDefault="009F7862" w:rsidP="00A802A5">
      <w:pPr>
        <w:suppressAutoHyphens/>
        <w:spacing w:line="360" w:lineRule="auto"/>
        <w:rPr>
          <w:rFonts w:ascii="Times New Roman" w:hAnsi="Times New Roman" w:cs="Times New Roman"/>
          <w:sz w:val="24"/>
          <w:szCs w:val="24"/>
        </w:rPr>
      </w:pPr>
    </w:p>
    <w:p w14:paraId="1B58A846"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1</w:t>
      </w:r>
      <w:r w:rsidRPr="00796736">
        <w:rPr>
          <w:rFonts w:ascii="Times New Roman" w:hAnsi="Times New Roman" w:cs="Times New Roman"/>
          <w:sz w:val="24"/>
          <w:szCs w:val="24"/>
        </w:rPr>
        <w:t xml:space="preserve">, at virksomheden skal have hovedkontor og hjemsted i Danmark. Ved hovedkontor og hjemsted forstås det sted, hvor valutavekslingsvirksomheden ledes og eventuelt har sit vedtægtsmæssige hjemsted. Dette betyder, at hvis en udenlandsk valutavekslingsvirksomhed har et datterselskab i Danmark, skal datterselskabet bl.a. have hovedkontor og hjemsted i Danmark for at få tilladelse til at udøve valutavekslingsvirksomhed. </w:t>
      </w:r>
    </w:p>
    <w:p w14:paraId="333C4665" w14:textId="77777777" w:rsidR="009F7862" w:rsidRPr="00796736" w:rsidRDefault="009F7862" w:rsidP="00A802A5">
      <w:pPr>
        <w:suppressAutoHyphens/>
        <w:spacing w:line="360" w:lineRule="auto"/>
        <w:rPr>
          <w:rFonts w:ascii="Times New Roman" w:hAnsi="Times New Roman" w:cs="Times New Roman"/>
          <w:sz w:val="24"/>
          <w:szCs w:val="24"/>
        </w:rPr>
      </w:pPr>
    </w:p>
    <w:p w14:paraId="2A6556AD" w14:textId="74493BC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2</w:t>
      </w:r>
      <w:r w:rsidRPr="00796736">
        <w:rPr>
          <w:rFonts w:ascii="Times New Roman" w:hAnsi="Times New Roman" w:cs="Times New Roman"/>
          <w:sz w:val="24"/>
          <w:szCs w:val="24"/>
        </w:rPr>
        <w:t xml:space="preserve">, at virksomhedens bestyrelse og direktion eller, hvor valutaveksling udøves af en enkeltmandsvirksomhed, indehaveren, eller hvor virksomheden drives som juridisk person uden bestyrelse og direktion, den eller de for virksomheden ledelsesansvarlige samt virksomhedens ejere af kvalificerede andele skal opfylde kravene i den foreslåede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0CBAF75A" w14:textId="77777777" w:rsidR="009F7862" w:rsidRPr="00796736" w:rsidRDefault="009F7862" w:rsidP="00A802A5">
      <w:pPr>
        <w:suppressAutoHyphens/>
        <w:spacing w:line="360" w:lineRule="auto"/>
        <w:rPr>
          <w:rFonts w:ascii="Times New Roman" w:hAnsi="Times New Roman" w:cs="Times New Roman"/>
          <w:sz w:val="24"/>
          <w:szCs w:val="24"/>
        </w:rPr>
      </w:pPr>
    </w:p>
    <w:p w14:paraId="7BAFFCA0" w14:textId="1AEB4700"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fastsætter krav om, at medlemmer af bestyrelsen eller direktionen i en valutavekslingsvirksomhed skal være egnede og hæderlige for at bestride stillingen. Det samme gælder for indehaveren af en enkeltmandsvirksomhed, som udbyder valutaveksling, og den ledelsesansvarlige i en valutavekslingsvirksomhed, der drives som en juridisk person uden bestyrelse eller direktion samt ejere af kvalificerede andele, som defineret i § 5, stk. 3, i lov om finansiel virksomhed. Der stilles desuden bl.a. krav om, at de pågældende personer skal have tilstrækkelig viden, faglig kompetence og erfaring til at kunne varetage hvervet eller stillingen, at vedkommende skal have tilstrækkeligt godt omdømme og kunne udvise hæderlighed, integritet og tilstrækkelig uafhængighed ved varetagelsen af hvervet eller stillingen, og at vedkommende ikke må være pålagt strafansvar for overtrædelse af straffeloven, den finansielle lovgivning eller anden relevant lovgivning. Der henvises til bemærkningerne til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297B8A86" w14:textId="77777777" w:rsidR="009F7862" w:rsidRPr="00796736" w:rsidRDefault="009F7862" w:rsidP="00A802A5">
      <w:pPr>
        <w:suppressAutoHyphens/>
        <w:spacing w:line="360" w:lineRule="auto"/>
        <w:rPr>
          <w:rFonts w:ascii="Times New Roman" w:hAnsi="Times New Roman" w:cs="Times New Roman"/>
          <w:sz w:val="24"/>
          <w:szCs w:val="24"/>
        </w:rPr>
      </w:pPr>
    </w:p>
    <w:p w14:paraId="037E0F06"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3</w:t>
      </w:r>
      <w:r w:rsidRPr="00796736">
        <w:rPr>
          <w:rFonts w:ascii="Times New Roman" w:hAnsi="Times New Roman" w:cs="Times New Roman"/>
          <w:sz w:val="24"/>
          <w:szCs w:val="24"/>
        </w:rPr>
        <w:t xml:space="preserve">, at det stilles som betingelse, at virksomhedens ejere af kvalificerede andele, jf. § 5, stk. 3, i lov om finansiel virksomhed, og indehaveren ved enkeltmandsvirksomhed ikke skønnes at ville modvirke en fornuftig og forsvarlig forvaltning af virksomheden. Dette betyder, at virksomhedens ejere af kvalificerede ejerandele eller indehaveren skal bidrage til en fornuftig og forsvarlig forvaltning af virksomheden. En ejer af kvalificerede andele må eksempelvis ikke tilskynde til ulovlige aktiviteter i virksomheden, eksempelvis overtrædelse af skattelovgivningen. Finanstilsynet kan i sin afgørelse af, om en virksomhed skal have tilladelse, lægge vægt på, hvorvidt virksomhedens ejere af kvalificerede andele eller indehaveren i forbindelse med ejerskab eller deltagelse i ledelsen af andre finansielle virksomheder har vist sig uegnede til at drive finansiel virksomhed fornuftigt og forsvarligt. </w:t>
      </w:r>
    </w:p>
    <w:p w14:paraId="16131294" w14:textId="77777777" w:rsidR="009F7862" w:rsidRPr="00796736" w:rsidRDefault="009F7862" w:rsidP="00A802A5">
      <w:pPr>
        <w:suppressAutoHyphens/>
        <w:spacing w:line="360" w:lineRule="auto"/>
        <w:rPr>
          <w:rFonts w:ascii="Times New Roman" w:hAnsi="Times New Roman" w:cs="Times New Roman"/>
          <w:sz w:val="24"/>
          <w:szCs w:val="24"/>
        </w:rPr>
      </w:pPr>
    </w:p>
    <w:p w14:paraId="74BC707C" w14:textId="598DB85C"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4,</w:t>
      </w:r>
      <w:r w:rsidRPr="00796736">
        <w:rPr>
          <w:rFonts w:ascii="Times New Roman" w:hAnsi="Times New Roman" w:cs="Times New Roman"/>
          <w:sz w:val="24"/>
          <w:szCs w:val="24"/>
        </w:rPr>
        <w:t xml:space="preserve"> at virksomheden skal have tilstrækkelige procedurer på alle væsentlige områder, herunder forebyggelse af hvidvask og terrorfinansiering i overensstemmelse med kravene i artikel 9 i </w:t>
      </w:r>
      <w:r w:rsidR="00796736">
        <w:rPr>
          <w:rFonts w:ascii="Times New Roman" w:eastAsia="Calibri" w:hAnsi="Times New Roman" w:cs="Times New Roman"/>
          <w:sz w:val="24"/>
          <w:szCs w:val="24"/>
        </w:rPr>
        <w:t>hvidvaskforordningen.</w:t>
      </w:r>
    </w:p>
    <w:p w14:paraId="7C343224" w14:textId="77777777" w:rsidR="009F7862" w:rsidRPr="00796736" w:rsidRDefault="009F7862" w:rsidP="00A802A5">
      <w:pPr>
        <w:suppressAutoHyphens/>
        <w:spacing w:line="360" w:lineRule="auto"/>
        <w:rPr>
          <w:rFonts w:ascii="Times New Roman" w:hAnsi="Times New Roman" w:cs="Times New Roman"/>
          <w:sz w:val="24"/>
          <w:szCs w:val="24"/>
        </w:rPr>
      </w:pPr>
    </w:p>
    <w:p w14:paraId="79747AE6" w14:textId="249E5004" w:rsidR="009F7862" w:rsidRPr="00796736" w:rsidRDefault="009F7862" w:rsidP="00A802A5">
      <w:pPr>
        <w:suppressAutoHyphens/>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Efter det foreslåede nr. 4 er det en betingelse for at opnå tilladelse, at virksomheden har tilstrækkelige kontrolforanstaltninger og procedurer på alle væsentlige områder, herunder forebyggelse af hvidvask og terrorfinansiering. Forslaget indebærer, at valutavekslingsvirksomheden for at opfylde kravene til at få en tilladelse i medfør af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skal udarbejde skriftlige politikker, procedurer og kontroller, som skal omfatte risikostyring, kundekendskabsprocedurer, undersøgelses-, noterings- og underretningspligt, opbevaring af oplysninger, screening af medarbejdere og interne kontrolprocedurer. Opbevaring af oplysninger kan eksempelvis være om konkrete kundeforhold. Valutavekslingsvirksomhedens politikker, procedurer og kontroller skal udarbejdes med udgangspunkt i den risikovurdering, som virksomheden skal udarbejde i henhold til artikel 10, stk. 1, i </w:t>
      </w:r>
      <w:r w:rsid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w:t>
      </w:r>
    </w:p>
    <w:p w14:paraId="049BB215" w14:textId="77777777" w:rsidR="009F7862" w:rsidRPr="00796736" w:rsidRDefault="009F7862" w:rsidP="00A802A5">
      <w:pPr>
        <w:suppressAutoHyphens/>
        <w:spacing w:line="360" w:lineRule="auto"/>
        <w:rPr>
          <w:rFonts w:ascii="Times New Roman" w:eastAsia="Calibri" w:hAnsi="Times New Roman" w:cs="Times New Roman"/>
          <w:sz w:val="24"/>
          <w:szCs w:val="24"/>
        </w:rPr>
      </w:pPr>
    </w:p>
    <w:p w14:paraId="640B9217"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5</w:t>
      </w:r>
      <w:r w:rsidRPr="00796736">
        <w:rPr>
          <w:rFonts w:ascii="Times New Roman" w:hAnsi="Times New Roman" w:cs="Times New Roman"/>
          <w:sz w:val="24"/>
          <w:szCs w:val="24"/>
        </w:rPr>
        <w:t>, at Finanstilsynet kan nægte at give tilladelse til valutavekslingsvirksomhed, hvis virksomheden tidligere har været pålagt strafansvar for overtrædelse af straffeloven, den finansielle lovgivning eller anden relevant lovgivning, og overtrædelsen indebærer en risiko for, at virksomheden kan misbruge tilladelsen.</w:t>
      </w:r>
    </w:p>
    <w:p w14:paraId="2AF05A9E" w14:textId="77777777" w:rsidR="009F7862" w:rsidRPr="00796736" w:rsidRDefault="009F7862" w:rsidP="00A802A5">
      <w:pPr>
        <w:suppressAutoHyphens/>
        <w:spacing w:line="360" w:lineRule="auto"/>
        <w:rPr>
          <w:rFonts w:ascii="Times New Roman" w:hAnsi="Times New Roman" w:cs="Times New Roman"/>
          <w:sz w:val="24"/>
          <w:szCs w:val="24"/>
        </w:rPr>
      </w:pPr>
    </w:p>
    <w:p w14:paraId="61D12634"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Formålet med denne bestemmelse er at sikre, at kun virksomheder, der udviser den fornødne hæderlighed og integritet, kan opnå tilladelse til at udøve valutavekslingsvirksomhed. Bestemmelsen skal beskytte den finansielle sektor mod aktører, der tidligere har udvist adfærd, som kan give anledning til tvivl om virksomhedens evne eller vilje til at overholde gældende regler.</w:t>
      </w:r>
    </w:p>
    <w:p w14:paraId="2FB38BAF" w14:textId="77777777" w:rsidR="009F7862" w:rsidRPr="00796736" w:rsidRDefault="009F7862" w:rsidP="00A802A5">
      <w:pPr>
        <w:suppressAutoHyphens/>
        <w:spacing w:line="360" w:lineRule="auto"/>
        <w:rPr>
          <w:rFonts w:ascii="Times New Roman" w:hAnsi="Times New Roman" w:cs="Times New Roman"/>
          <w:sz w:val="24"/>
          <w:szCs w:val="24"/>
        </w:rPr>
      </w:pPr>
    </w:p>
    <w:p w14:paraId="1602768B"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Det betyder, at Finanstilsynet kan nægte at give tilladelse, hvis virksomheden er pålagt strafansvar for overtrædelse af straffeloven, den finansielle lovgivning eller anden relevant lovgivning, og overtrædelsen vurderes at indebære en risiko for, at virksomheden kan misbruge tilladelsen.</w:t>
      </w:r>
    </w:p>
    <w:p w14:paraId="778A6E49" w14:textId="77777777" w:rsidR="009F7862" w:rsidRPr="00796736" w:rsidRDefault="009F7862" w:rsidP="00A802A5">
      <w:pPr>
        <w:suppressAutoHyphens/>
        <w:spacing w:line="360" w:lineRule="auto"/>
        <w:rPr>
          <w:rFonts w:ascii="Times New Roman" w:hAnsi="Times New Roman" w:cs="Times New Roman"/>
          <w:sz w:val="24"/>
          <w:szCs w:val="24"/>
        </w:rPr>
      </w:pPr>
    </w:p>
    <w:p w14:paraId="14B5E4C7"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Ved vurderingen af hæderlighed vil det være afgørende, at der er sket en overtrædelse af relevant lovgivning. Et vedtaget bødeforelæg har samme retsvirkning som en endelig dom, og kan derfor indgå i vurderingen på samme måde som en dom. Dette gælder også bødeforelæg udstedt af Finanstilsynet i henhold til hvidvaskloven. Det indebærer, at også administrative afgørelser, der ikke nødvendigvis har været behandlet ved domstolene, kan indgå i vurderingen af, om virksomheden opfylder kravene til hæderlighed.</w:t>
      </w:r>
    </w:p>
    <w:p w14:paraId="21165C52" w14:textId="77777777" w:rsidR="009F7862" w:rsidRPr="00796736" w:rsidRDefault="009F7862" w:rsidP="00A802A5">
      <w:pPr>
        <w:suppressAutoHyphens/>
        <w:spacing w:line="360" w:lineRule="auto"/>
        <w:rPr>
          <w:rFonts w:ascii="Times New Roman" w:hAnsi="Times New Roman" w:cs="Times New Roman"/>
          <w:sz w:val="24"/>
          <w:szCs w:val="24"/>
        </w:rPr>
      </w:pPr>
    </w:p>
    <w:p w14:paraId="71E067D7"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Hvis virksomheden har vedtaget et bødeforelæg, skal Finanstilsynet vurdere, om overtrædelsen indebærer en risiko for, at tilladelsen kan misbruges. Vurderingen foretages efter samme principper, som domstolene anvender i forbindelse med rettighedsfrakendelse, og Finanstilsynet vil inddrage relevant retspraksis. Der foretages en samlet vurdering af overtrædelsens karakter, omfang og betydning for virksomhedens fremtidige drift.</w:t>
      </w:r>
    </w:p>
    <w:p w14:paraId="48FC89D5" w14:textId="77777777" w:rsidR="009F7862" w:rsidRPr="00796736" w:rsidRDefault="009F7862" w:rsidP="00A802A5">
      <w:pPr>
        <w:suppressAutoHyphens/>
        <w:spacing w:line="360" w:lineRule="auto"/>
        <w:rPr>
          <w:rFonts w:ascii="Times New Roman" w:hAnsi="Times New Roman" w:cs="Times New Roman"/>
          <w:sz w:val="24"/>
          <w:szCs w:val="24"/>
        </w:rPr>
      </w:pPr>
    </w:p>
    <w:p w14:paraId="1B408B6B"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Herudover vil hensynet til at opretholde tilliden til den finansielle sektor indgå i vurderingen. Hvis en strafbar overtrædelse vurderes at kunne skade tilliden til sektoren, vil dette tale for, at virksomheden ikke bør meddeles tilladelse. Det er således ikke alene risikoen for konkret misbrug, men også hensynet til sektorens omdømme og integritet, der indgår i vurderingen.</w:t>
      </w:r>
    </w:p>
    <w:p w14:paraId="163155F3" w14:textId="77777777" w:rsidR="009F7862" w:rsidRPr="00796736" w:rsidRDefault="009F7862" w:rsidP="00A802A5">
      <w:pPr>
        <w:suppressAutoHyphens/>
        <w:spacing w:line="360" w:lineRule="auto"/>
        <w:rPr>
          <w:rFonts w:ascii="Times New Roman" w:hAnsi="Times New Roman" w:cs="Times New Roman"/>
          <w:sz w:val="24"/>
          <w:szCs w:val="24"/>
        </w:rPr>
      </w:pPr>
    </w:p>
    <w:p w14:paraId="7DBB0917" w14:textId="77777777" w:rsidR="009F7862" w:rsidRPr="00796736" w:rsidRDefault="009F7862"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giver dermed Finanstilsynet mulighed for at nægte tilladelse på baggrund af oplysninger om sager, der er afsluttet med bødeforelæg eller administrative bøder. Herved sikres det, at også administrative afgørelser kan indgå i vurderingen af, om virksomheden opfylder kravene til hæderlighed og dermed kan opnå tilladelse til valutavekslingsvirksomhed.</w:t>
      </w:r>
    </w:p>
    <w:p w14:paraId="395E619A" w14:textId="77777777" w:rsidR="009E05E4" w:rsidRPr="00796736" w:rsidRDefault="009E05E4" w:rsidP="00A802A5">
      <w:pPr>
        <w:spacing w:line="360" w:lineRule="auto"/>
        <w:rPr>
          <w:rFonts w:ascii="Times New Roman" w:hAnsi="Times New Roman" w:cs="Times New Roman"/>
          <w:i/>
          <w:iCs/>
          <w:sz w:val="24"/>
          <w:szCs w:val="24"/>
        </w:rPr>
      </w:pPr>
    </w:p>
    <w:p w14:paraId="0B1EEBE8" w14:textId="3A703F36"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_Ref232947055 \n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3.40</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 lovforslagets almindelige bemærkninger.</w:t>
      </w:r>
    </w:p>
    <w:p w14:paraId="6BEB95BB" w14:textId="77777777" w:rsidR="009F7862" w:rsidRPr="00796736" w:rsidRDefault="009F7862" w:rsidP="00A802A5">
      <w:pPr>
        <w:spacing w:line="360" w:lineRule="auto"/>
        <w:rPr>
          <w:rFonts w:ascii="Times New Roman" w:hAnsi="Times New Roman" w:cs="Times New Roman"/>
          <w:i/>
          <w:iCs/>
          <w:sz w:val="24"/>
          <w:szCs w:val="24"/>
        </w:rPr>
      </w:pPr>
    </w:p>
    <w:p w14:paraId="77A619B3" w14:textId="4CB49A3D" w:rsidR="006A74DC" w:rsidRPr="00796736" w:rsidRDefault="00240DBE" w:rsidP="00A802A5">
      <w:pPr>
        <w:pStyle w:val="Undertitel"/>
      </w:pPr>
      <w:bookmarkStart w:id="1980" w:name="_Toc232109374"/>
      <w:bookmarkStart w:id="1981" w:name="_Toc244879338"/>
      <w:bookmarkStart w:id="1982" w:name="_Toc244880863"/>
      <w:r w:rsidRPr="00796736">
        <w:t xml:space="preserve">Til </w:t>
      </w:r>
      <w:r w:rsidR="006719DB" w:rsidRPr="00796736">
        <w:fldChar w:fldCharType="begin"/>
      </w:r>
      <w:r w:rsidR="006719DB" w:rsidRPr="00796736">
        <w:instrText xml:space="preserve"> REF _Ref232596584 \r \h </w:instrText>
      </w:r>
      <w:r w:rsidR="00967618" w:rsidRPr="00796736">
        <w:instrText xml:space="preserve"> \* MERGEFORMAT </w:instrText>
      </w:r>
      <w:r w:rsidR="006719DB" w:rsidRPr="00796736">
        <w:fldChar w:fldCharType="separate"/>
      </w:r>
      <w:r w:rsidR="008F29E5">
        <w:t>§ 42</w:t>
      </w:r>
      <w:bookmarkEnd w:id="1981"/>
      <w:bookmarkEnd w:id="1982"/>
      <w:r w:rsidR="006719DB" w:rsidRPr="00796736">
        <w:fldChar w:fldCharType="end"/>
      </w:r>
      <w:r w:rsidR="009E05E4" w:rsidRPr="00796736">
        <w:t xml:space="preserve"> </w:t>
      </w:r>
      <w:bookmarkEnd w:id="1980"/>
    </w:p>
    <w:p w14:paraId="702D51FE"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42 i hvidvaskloven, at en ansøgning om tilladelse som valutavekslingsvirksomhed skal indeholde en række nærmere angivne oplysninger.</w:t>
      </w:r>
    </w:p>
    <w:p w14:paraId="15AF7F21" w14:textId="77777777" w:rsidR="00446E41" w:rsidRPr="00796736" w:rsidRDefault="00446E41" w:rsidP="00A802A5">
      <w:pPr>
        <w:suppressAutoHyphens/>
        <w:spacing w:line="360" w:lineRule="auto"/>
        <w:rPr>
          <w:rFonts w:ascii="Times New Roman" w:hAnsi="Times New Roman" w:cs="Times New Roman"/>
          <w:sz w:val="24"/>
          <w:szCs w:val="24"/>
        </w:rPr>
      </w:pPr>
    </w:p>
    <w:p w14:paraId="08ACC03A"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foreslås videreført med enkelte tilpasninger.</w:t>
      </w:r>
    </w:p>
    <w:p w14:paraId="66571D20" w14:textId="77777777" w:rsidR="00446E41" w:rsidRPr="00796736" w:rsidRDefault="00446E41" w:rsidP="00A802A5">
      <w:pPr>
        <w:suppressAutoHyphens/>
        <w:spacing w:line="360" w:lineRule="auto"/>
        <w:rPr>
          <w:rFonts w:ascii="Times New Roman" w:hAnsi="Times New Roman" w:cs="Times New Roman"/>
          <w:sz w:val="24"/>
          <w:szCs w:val="24"/>
        </w:rPr>
      </w:pPr>
    </w:p>
    <w:p w14:paraId="37054D56" w14:textId="21FDFAC1"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3B1280" w:rsidRPr="00796736">
        <w:rPr>
          <w:rFonts w:ascii="Times New Roman" w:hAnsi="Times New Roman" w:cs="Times New Roman"/>
          <w:i/>
          <w:iCs/>
          <w:sz w:val="24"/>
          <w:szCs w:val="24"/>
        </w:rPr>
        <w:fldChar w:fldCharType="begin"/>
      </w:r>
      <w:r w:rsidR="003B1280" w:rsidRPr="00796736">
        <w:rPr>
          <w:rFonts w:ascii="Times New Roman" w:hAnsi="Times New Roman" w:cs="Times New Roman"/>
          <w:i/>
          <w:iCs/>
          <w:sz w:val="24"/>
          <w:szCs w:val="24"/>
        </w:rPr>
        <w:instrText xml:space="preserve"> REF _Ref232596584 \r \h  \* MERGEFORMAT </w:instrText>
      </w:r>
      <w:r w:rsidR="003B1280" w:rsidRPr="00796736">
        <w:rPr>
          <w:rFonts w:ascii="Times New Roman" w:hAnsi="Times New Roman" w:cs="Times New Roman"/>
          <w:i/>
          <w:iCs/>
          <w:sz w:val="24"/>
          <w:szCs w:val="24"/>
        </w:rPr>
      </w:r>
      <w:r w:rsidR="003B128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42</w:t>
      </w:r>
      <w:r w:rsidR="003B1280" w:rsidRPr="00796736">
        <w:rPr>
          <w:rFonts w:ascii="Times New Roman" w:hAnsi="Times New Roman" w:cs="Times New Roman"/>
          <w:i/>
          <w:iCs/>
          <w:sz w:val="24"/>
          <w:szCs w:val="24"/>
        </w:rPr>
        <w:fldChar w:fldCharType="end"/>
      </w:r>
      <w:r w:rsidRPr="00796736">
        <w:rPr>
          <w:rFonts w:ascii="Times New Roman" w:hAnsi="Times New Roman" w:cs="Times New Roman"/>
          <w:sz w:val="24"/>
          <w:szCs w:val="24"/>
        </w:rPr>
        <w:t xml:space="preserve">, at en ansøgning som minimum skal indeholde de oplysninger, der er angivet i nr. 1-7. </w:t>
      </w:r>
    </w:p>
    <w:p w14:paraId="6174A79E" w14:textId="77777777" w:rsidR="00446E41" w:rsidRPr="00796736" w:rsidRDefault="00446E41" w:rsidP="00A802A5">
      <w:pPr>
        <w:suppressAutoHyphens/>
        <w:spacing w:line="360" w:lineRule="auto"/>
        <w:rPr>
          <w:rFonts w:ascii="Times New Roman" w:hAnsi="Times New Roman" w:cs="Times New Roman"/>
          <w:sz w:val="24"/>
          <w:szCs w:val="24"/>
        </w:rPr>
      </w:pPr>
    </w:p>
    <w:p w14:paraId="534F4E43"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fastlægger dermed, hvilke oplysninger en virksomheds ansøgning om tilladelse til at udøve valutavekslingsvirksomhed som minimum skal indeholde. Oplysningerne i nr. 1-7 er ikke udtømmende, og Finanstilsynet kan anmode om yderligere oplysninger, hvis dette vurderes nødvendigt for behandlingen af ansøgningen.</w:t>
      </w:r>
    </w:p>
    <w:p w14:paraId="247A2F77" w14:textId="77777777" w:rsidR="00446E41" w:rsidRPr="00796736" w:rsidRDefault="00446E41" w:rsidP="00A802A5">
      <w:pPr>
        <w:suppressAutoHyphens/>
        <w:spacing w:line="360" w:lineRule="auto"/>
        <w:rPr>
          <w:rFonts w:ascii="Times New Roman" w:hAnsi="Times New Roman" w:cs="Times New Roman"/>
          <w:sz w:val="24"/>
          <w:szCs w:val="24"/>
        </w:rPr>
      </w:pPr>
    </w:p>
    <w:p w14:paraId="7E7BBADF"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angiver således de specifikke nationale krav, der gælder for ansøgning om tilladelse til at udøve valutavekslingsvirksomhed.</w:t>
      </w:r>
    </w:p>
    <w:p w14:paraId="6BBD0AA0" w14:textId="77777777" w:rsidR="00446E41" w:rsidRPr="00796736" w:rsidRDefault="00446E41" w:rsidP="00A802A5">
      <w:pPr>
        <w:suppressAutoHyphens/>
        <w:spacing w:line="360" w:lineRule="auto"/>
        <w:rPr>
          <w:rFonts w:ascii="Times New Roman" w:hAnsi="Times New Roman" w:cs="Times New Roman"/>
          <w:sz w:val="24"/>
          <w:szCs w:val="24"/>
        </w:rPr>
      </w:pPr>
    </w:p>
    <w:p w14:paraId="4E4D81A7" w14:textId="29129B10"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det foreslåede i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_Ref232596584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42</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en ansøgning om tilladelse til valutavekslingsvirksomhed skal indeholde de oplysninger, der er nødvendige til brug for Finanstilsynets vurdering af, om betingelserne i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er opfyldt. Ansøgningen skal indeholde en række oplysninger. </w:t>
      </w:r>
    </w:p>
    <w:p w14:paraId="0E73C24E" w14:textId="77777777" w:rsidR="00446E41" w:rsidRPr="00796736" w:rsidRDefault="00446E41" w:rsidP="00A802A5">
      <w:pPr>
        <w:suppressAutoHyphens/>
        <w:spacing w:line="360" w:lineRule="auto"/>
        <w:rPr>
          <w:rFonts w:ascii="Times New Roman" w:hAnsi="Times New Roman" w:cs="Times New Roman"/>
          <w:sz w:val="24"/>
          <w:szCs w:val="24"/>
        </w:rPr>
      </w:pPr>
    </w:p>
    <w:p w14:paraId="09F1EDA0"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1</w:t>
      </w:r>
      <w:r w:rsidRPr="00796736">
        <w:rPr>
          <w:rFonts w:ascii="Times New Roman" w:hAnsi="Times New Roman" w:cs="Times New Roman"/>
          <w:sz w:val="24"/>
          <w:szCs w:val="24"/>
        </w:rPr>
        <w:t xml:space="preserve">, at virksomhedens ansøgning skal indeholde oplysninger om virksomhedens juridiske struktur med kopi af stiftelsesdokument og vedtægter, hvor udarbejdelsen af disse dokumenter er påkrævet i medfør af lovgivningen. </w:t>
      </w:r>
    </w:p>
    <w:p w14:paraId="2135CAF3" w14:textId="77777777" w:rsidR="00446E41" w:rsidRPr="00796736" w:rsidRDefault="00446E41" w:rsidP="00A802A5">
      <w:pPr>
        <w:suppressAutoHyphens/>
        <w:spacing w:line="360" w:lineRule="auto"/>
        <w:rPr>
          <w:rFonts w:ascii="Times New Roman" w:hAnsi="Times New Roman" w:cs="Times New Roman"/>
          <w:sz w:val="24"/>
          <w:szCs w:val="24"/>
        </w:rPr>
      </w:pPr>
    </w:p>
    <w:p w14:paraId="27B78C1E"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Efter det foreslåede nr. 1 skal virksomheden sende oplysninger om virksomhedens juridiske struktur med kopi af eventuelt stiftelsesdokument og vedtægter sammen med sin ansøgning til Finanstilsynet. Oplysningerne kan både fremgå direkte af ansøgningen eller vedlægges som bilag til ansøgningen.</w:t>
      </w:r>
    </w:p>
    <w:p w14:paraId="47872B72" w14:textId="77777777" w:rsidR="00446E41" w:rsidRPr="00796736" w:rsidRDefault="00446E41" w:rsidP="00A802A5">
      <w:pPr>
        <w:suppressAutoHyphens/>
        <w:spacing w:line="360" w:lineRule="auto"/>
        <w:rPr>
          <w:rFonts w:ascii="Times New Roman" w:hAnsi="Times New Roman" w:cs="Times New Roman"/>
          <w:sz w:val="24"/>
          <w:szCs w:val="24"/>
        </w:rPr>
      </w:pPr>
    </w:p>
    <w:p w14:paraId="279A985F"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juridisk struktur forstås, i hvilken form virksomheden drives, eksempelvis som aktieselskab eller enkeltmandsvirksomhed. </w:t>
      </w:r>
    </w:p>
    <w:p w14:paraId="70D433D3" w14:textId="77777777" w:rsidR="00446E41" w:rsidRPr="00796736" w:rsidRDefault="00446E41" w:rsidP="00A802A5">
      <w:pPr>
        <w:suppressAutoHyphens/>
        <w:spacing w:line="360" w:lineRule="auto"/>
        <w:rPr>
          <w:rFonts w:ascii="Times New Roman" w:hAnsi="Times New Roman" w:cs="Times New Roman"/>
          <w:sz w:val="24"/>
          <w:szCs w:val="24"/>
        </w:rPr>
      </w:pPr>
    </w:p>
    <w:p w14:paraId="17D51227" w14:textId="52A47EE5"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tilfælde, hvor en virksomhed har udarbejdet stiftelsesdokumenter og vedtægter, skal virksomheden vedlægge kopi af disse dokumenter med sin ansøgning til Finanstilsynet. Formålet med nr. 1 er at sikre, at Finanstilsynet får oplysning om den juridiske struktur af den virksomhed, hvortil der ønskes en tilladelse i henhold til lovforslagets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p>
    <w:p w14:paraId="6426163E" w14:textId="77777777" w:rsidR="00446E41" w:rsidRPr="00796736" w:rsidRDefault="00446E41" w:rsidP="00A802A5">
      <w:pPr>
        <w:suppressAutoHyphens/>
        <w:spacing w:line="360" w:lineRule="auto"/>
        <w:rPr>
          <w:rFonts w:ascii="Times New Roman" w:hAnsi="Times New Roman" w:cs="Times New Roman"/>
          <w:sz w:val="24"/>
          <w:szCs w:val="24"/>
        </w:rPr>
      </w:pPr>
    </w:p>
    <w:p w14:paraId="24302B95"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2</w:t>
      </w:r>
      <w:r w:rsidRPr="00796736">
        <w:rPr>
          <w:rFonts w:ascii="Times New Roman" w:hAnsi="Times New Roman" w:cs="Times New Roman"/>
          <w:sz w:val="24"/>
          <w:szCs w:val="24"/>
        </w:rPr>
        <w:t xml:space="preserve">, at virksomhedens ansøgning skal indeholde oplysninger om adressen på virksomhedens hovedkontor. </w:t>
      </w:r>
    </w:p>
    <w:p w14:paraId="6704AB8C" w14:textId="77777777" w:rsidR="00446E41" w:rsidRPr="00796736" w:rsidRDefault="00446E41" w:rsidP="00A802A5">
      <w:pPr>
        <w:suppressAutoHyphens/>
        <w:spacing w:line="360" w:lineRule="auto"/>
        <w:rPr>
          <w:rFonts w:ascii="Times New Roman" w:hAnsi="Times New Roman" w:cs="Times New Roman"/>
          <w:sz w:val="24"/>
          <w:szCs w:val="24"/>
        </w:rPr>
      </w:pPr>
    </w:p>
    <w:p w14:paraId="39361172" w14:textId="503E62E8"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betyder, at virksomheden skal indsende oplysninger om adressen på virksomhedens hovedkontor. Bestemmelsen skal ses i sammenhæng med ændringsforslaget til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3B128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 som fastslår, at det er en betingelse for tilladelse, at virksomheden har hovedkontor og hjemsted i Danmark. </w:t>
      </w:r>
    </w:p>
    <w:p w14:paraId="6A48185B" w14:textId="77777777" w:rsidR="00446E41" w:rsidRPr="00796736" w:rsidRDefault="00446E41" w:rsidP="00A802A5">
      <w:pPr>
        <w:suppressAutoHyphens/>
        <w:spacing w:line="360" w:lineRule="auto"/>
        <w:rPr>
          <w:rFonts w:ascii="Times New Roman" w:hAnsi="Times New Roman" w:cs="Times New Roman"/>
          <w:sz w:val="24"/>
          <w:szCs w:val="24"/>
        </w:rPr>
      </w:pPr>
    </w:p>
    <w:p w14:paraId="6ADB4202"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hovedkontor forstås det sted, hvor valutavekslingsvirksomheden ledes og eventuelt har sit vedtægtsmæssige hjemsted. </w:t>
      </w:r>
    </w:p>
    <w:p w14:paraId="78803697" w14:textId="77777777" w:rsidR="00446E41" w:rsidRPr="00796736" w:rsidRDefault="00446E41" w:rsidP="00A802A5">
      <w:pPr>
        <w:suppressAutoHyphens/>
        <w:spacing w:line="360" w:lineRule="auto"/>
        <w:rPr>
          <w:rFonts w:ascii="Times New Roman" w:hAnsi="Times New Roman" w:cs="Times New Roman"/>
          <w:sz w:val="24"/>
          <w:szCs w:val="24"/>
        </w:rPr>
      </w:pPr>
    </w:p>
    <w:p w14:paraId="69BB4666"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3</w:t>
      </w:r>
      <w:r w:rsidRPr="00796736">
        <w:rPr>
          <w:rFonts w:ascii="Times New Roman" w:hAnsi="Times New Roman" w:cs="Times New Roman"/>
          <w:sz w:val="24"/>
          <w:szCs w:val="24"/>
        </w:rPr>
        <w:t xml:space="preserve">, at virksomhedens ansøgning skal indeholde en beskrivelse af virksomhedens forretningsmodel. </w:t>
      </w:r>
    </w:p>
    <w:p w14:paraId="5088A785" w14:textId="77777777" w:rsidR="00446E41" w:rsidRPr="00796736" w:rsidRDefault="00446E41" w:rsidP="00A802A5">
      <w:pPr>
        <w:suppressAutoHyphens/>
        <w:spacing w:line="360" w:lineRule="auto"/>
        <w:rPr>
          <w:rFonts w:ascii="Times New Roman" w:hAnsi="Times New Roman" w:cs="Times New Roman"/>
          <w:sz w:val="24"/>
          <w:szCs w:val="24"/>
        </w:rPr>
      </w:pPr>
    </w:p>
    <w:p w14:paraId="258F8BCF"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Virksomhedens forretningsmodel skal omhandle virksomhedens aktiviteter. Eksempelvis bør forretningsmodellen omhandle valutavekslingsvirksomhed, såfremt en virksomhed ønsker at opnå tilladelse til at udøve valutavekslingsvirksomhed. I tilfælde, hvor en virksomhed udøver andre former for virksomhed, eksempelvis udbud af betalingstjenester, bør dette ligeledes fremgå af forretningsmodellen. </w:t>
      </w:r>
    </w:p>
    <w:p w14:paraId="0EF34CA8" w14:textId="77777777" w:rsidR="00446E41" w:rsidRPr="00796736" w:rsidRDefault="00446E41" w:rsidP="00A802A5">
      <w:pPr>
        <w:suppressAutoHyphens/>
        <w:spacing w:line="360" w:lineRule="auto"/>
        <w:rPr>
          <w:rFonts w:ascii="Times New Roman" w:hAnsi="Times New Roman" w:cs="Times New Roman"/>
          <w:sz w:val="24"/>
          <w:szCs w:val="24"/>
        </w:rPr>
      </w:pPr>
    </w:p>
    <w:p w14:paraId="26D0954F"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betyder, at virksomhedens forretningsmodel skal indeholde en grundig beskrivelse af virksomhedens nuværende og planlagte forretningsaktiviteter. En beskrivelse af virksomhedens forretningsmodel kan enten indgå direkte i ansøgningen om tilladelse til at udøve valutavekslingsvirksomhed eller vedlægges som bilag til ansøgningen. </w:t>
      </w:r>
    </w:p>
    <w:p w14:paraId="2AFCCE18" w14:textId="77777777" w:rsidR="00446E41" w:rsidRPr="00796736" w:rsidRDefault="00446E41" w:rsidP="00A802A5">
      <w:pPr>
        <w:suppressAutoHyphens/>
        <w:spacing w:line="360" w:lineRule="auto"/>
        <w:rPr>
          <w:rFonts w:ascii="Times New Roman" w:hAnsi="Times New Roman" w:cs="Times New Roman"/>
          <w:sz w:val="24"/>
          <w:szCs w:val="24"/>
        </w:rPr>
      </w:pPr>
    </w:p>
    <w:p w14:paraId="3F7B32C1"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nr. 3 er at give Finanstilsynet mulighed for at vurdere omfanget af virksomhedens planlagte aktiviteter og holdbarheden af virksomhedens forretningsmodel. </w:t>
      </w:r>
    </w:p>
    <w:p w14:paraId="7456ED41" w14:textId="77777777" w:rsidR="00446E41" w:rsidRPr="00796736" w:rsidRDefault="00446E41" w:rsidP="00A802A5">
      <w:pPr>
        <w:suppressAutoHyphens/>
        <w:spacing w:line="360" w:lineRule="auto"/>
        <w:rPr>
          <w:rFonts w:ascii="Times New Roman" w:hAnsi="Times New Roman" w:cs="Times New Roman"/>
          <w:sz w:val="24"/>
          <w:szCs w:val="24"/>
        </w:rPr>
      </w:pPr>
    </w:p>
    <w:p w14:paraId="45D8B9F8"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Virksomheden skal tilstræbe at beskrive virksomhedens forretningsmodel så nøjagtig og realistisk som muligt. </w:t>
      </w:r>
    </w:p>
    <w:p w14:paraId="2663338A" w14:textId="77777777" w:rsidR="00446E41" w:rsidRPr="00796736" w:rsidRDefault="00446E41" w:rsidP="00A802A5">
      <w:pPr>
        <w:suppressAutoHyphens/>
        <w:spacing w:line="360" w:lineRule="auto"/>
        <w:rPr>
          <w:rFonts w:ascii="Times New Roman" w:hAnsi="Times New Roman" w:cs="Times New Roman"/>
          <w:sz w:val="24"/>
          <w:szCs w:val="24"/>
        </w:rPr>
      </w:pPr>
    </w:p>
    <w:p w14:paraId="46BD03CF" w14:textId="128B007A"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4</w:t>
      </w:r>
      <w:r w:rsidRPr="00796736">
        <w:rPr>
          <w:rFonts w:ascii="Times New Roman" w:hAnsi="Times New Roman" w:cs="Times New Roman"/>
          <w:sz w:val="24"/>
          <w:szCs w:val="24"/>
        </w:rPr>
        <w:t xml:space="preserve">, at virksomhedens ansøgning skal indeholde en budgetprognose for de tre kommende regnskabsår og det senest reviderede årsregnskab, </w:t>
      </w:r>
      <w:r w:rsidR="002E5C4E" w:rsidRPr="00796736">
        <w:rPr>
          <w:rFonts w:ascii="Times New Roman" w:hAnsi="Times New Roman" w:cs="Times New Roman"/>
          <w:sz w:val="24"/>
          <w:szCs w:val="24"/>
        </w:rPr>
        <w:t>hvis</w:t>
      </w:r>
      <w:r w:rsidRPr="00796736">
        <w:rPr>
          <w:rFonts w:ascii="Times New Roman" w:hAnsi="Times New Roman" w:cs="Times New Roman"/>
          <w:sz w:val="24"/>
          <w:szCs w:val="24"/>
        </w:rPr>
        <w:t xml:space="preserve"> et sådant er udarbejdet. </w:t>
      </w:r>
    </w:p>
    <w:p w14:paraId="5C47EB66" w14:textId="77777777" w:rsidR="00446E41" w:rsidRPr="00796736" w:rsidRDefault="00446E41" w:rsidP="00A802A5">
      <w:pPr>
        <w:suppressAutoHyphens/>
        <w:spacing w:line="360" w:lineRule="auto"/>
        <w:rPr>
          <w:rFonts w:ascii="Times New Roman" w:hAnsi="Times New Roman" w:cs="Times New Roman"/>
          <w:sz w:val="24"/>
          <w:szCs w:val="24"/>
        </w:rPr>
      </w:pPr>
    </w:p>
    <w:p w14:paraId="4E1E81AB" w14:textId="7A84B448"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budgetprognose bør beskrive virksomhedens forventede budget for de kommende tre regnskabsår fra ansøgningstidspunktet. </w:t>
      </w:r>
      <w:r w:rsidR="002E5C4E" w:rsidRPr="00796736">
        <w:rPr>
          <w:rFonts w:ascii="Times New Roman" w:hAnsi="Times New Roman" w:cs="Times New Roman"/>
          <w:sz w:val="24"/>
          <w:szCs w:val="24"/>
        </w:rPr>
        <w:t>Hvis</w:t>
      </w:r>
      <w:r w:rsidRPr="00796736">
        <w:rPr>
          <w:rFonts w:ascii="Times New Roman" w:hAnsi="Times New Roman" w:cs="Times New Roman"/>
          <w:sz w:val="24"/>
          <w:szCs w:val="24"/>
        </w:rPr>
        <w:t xml:space="preserve"> en virksomhed har et revideret årsregnskab fra det foregående regnskabsår, skal dette vedlægges ansøgningen til Finanstilsynet. </w:t>
      </w:r>
    </w:p>
    <w:p w14:paraId="03616041" w14:textId="77777777" w:rsidR="00446E41" w:rsidRPr="00796736" w:rsidRDefault="00446E41" w:rsidP="00A802A5">
      <w:pPr>
        <w:suppressAutoHyphens/>
        <w:spacing w:line="360" w:lineRule="auto"/>
        <w:rPr>
          <w:rFonts w:ascii="Times New Roman" w:hAnsi="Times New Roman" w:cs="Times New Roman"/>
          <w:sz w:val="24"/>
          <w:szCs w:val="24"/>
        </w:rPr>
      </w:pPr>
    </w:p>
    <w:p w14:paraId="49B65D01"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nr. 4 er at give Finanstilsynet et overblik over den økonomiske side af virksomhedens planlagte aktiviteter. </w:t>
      </w:r>
    </w:p>
    <w:p w14:paraId="741ABC76" w14:textId="77777777" w:rsidR="00446E41" w:rsidRPr="00796736" w:rsidRDefault="00446E41" w:rsidP="00A802A5">
      <w:pPr>
        <w:suppressAutoHyphens/>
        <w:spacing w:line="360" w:lineRule="auto"/>
        <w:rPr>
          <w:rFonts w:ascii="Times New Roman" w:hAnsi="Times New Roman" w:cs="Times New Roman"/>
          <w:sz w:val="24"/>
          <w:szCs w:val="24"/>
        </w:rPr>
      </w:pPr>
    </w:p>
    <w:p w14:paraId="40BCF78C"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Pligten for virksomheder til at indsende en grundigt udarbejdet budget-prognose gør sig gældende for alle valutavekslingsvirksomheder. Virksomheder, der i medfør af anden lovgivning er pålagt at få revideret deres årsregnskab, skal således både indsende en grundigt udarbejdet budgetprognose og det senest reviderede årsregnskab. </w:t>
      </w:r>
    </w:p>
    <w:p w14:paraId="2C71994A" w14:textId="77777777" w:rsidR="00446E41" w:rsidRPr="00796736" w:rsidRDefault="00446E41" w:rsidP="00A802A5">
      <w:pPr>
        <w:suppressAutoHyphens/>
        <w:spacing w:line="360" w:lineRule="auto"/>
        <w:rPr>
          <w:rFonts w:ascii="Times New Roman" w:hAnsi="Times New Roman" w:cs="Times New Roman"/>
          <w:sz w:val="24"/>
          <w:szCs w:val="24"/>
        </w:rPr>
      </w:pPr>
    </w:p>
    <w:p w14:paraId="1D128726" w14:textId="3C5A3596"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5</w:t>
      </w:r>
      <w:r w:rsidRPr="00796736">
        <w:rPr>
          <w:rFonts w:ascii="Times New Roman" w:hAnsi="Times New Roman" w:cs="Times New Roman"/>
          <w:sz w:val="24"/>
          <w:szCs w:val="24"/>
        </w:rPr>
        <w:t xml:space="preserve">, at virksomhedens ansøgning skal indeholde oplysninger om medlemmer af virksomhedens bestyrelse og direktion, eller hvor valutaveksling udøves af en enkeltmandsvirksomhed, indehaveren eller, hvor virksomheden drives som juridisk person uden bestyrelse og direktion, den eller de ledelsesansvarlige for virksomheden og virksomhedens ejere af kvalificerede andele, jf. § 5, stk. 3, i lov om finansiel virksomhed, der dokumenterer, at kravene i henhold til </w:t>
      </w:r>
      <w:r w:rsidR="003B1280" w:rsidRPr="00796736">
        <w:rPr>
          <w:rFonts w:ascii="Times New Roman" w:hAnsi="Times New Roman" w:cs="Times New Roman"/>
          <w:sz w:val="24"/>
          <w:szCs w:val="24"/>
        </w:rPr>
        <w:fldChar w:fldCharType="begin"/>
      </w:r>
      <w:r w:rsidR="003B1280"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3B1280" w:rsidRPr="00796736">
        <w:rPr>
          <w:rFonts w:ascii="Times New Roman" w:hAnsi="Times New Roman" w:cs="Times New Roman"/>
          <w:sz w:val="24"/>
          <w:szCs w:val="24"/>
        </w:rPr>
      </w:r>
      <w:r w:rsidR="003B128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3B1280" w:rsidRPr="00796736">
        <w:rPr>
          <w:rFonts w:ascii="Times New Roman" w:hAnsi="Times New Roman" w:cs="Times New Roman"/>
          <w:sz w:val="24"/>
          <w:szCs w:val="24"/>
        </w:rPr>
        <w:fldChar w:fldCharType="end"/>
      </w:r>
      <w:r w:rsidR="003B128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om egnethed og hæderlighed er opfyldt. </w:t>
      </w:r>
    </w:p>
    <w:p w14:paraId="6AD7796B" w14:textId="77777777" w:rsidR="00446E41" w:rsidRPr="00796736" w:rsidRDefault="00446E41" w:rsidP="00A802A5">
      <w:pPr>
        <w:suppressAutoHyphens/>
        <w:spacing w:line="360" w:lineRule="auto"/>
        <w:rPr>
          <w:rFonts w:ascii="Times New Roman" w:hAnsi="Times New Roman" w:cs="Times New Roman"/>
          <w:sz w:val="24"/>
          <w:szCs w:val="24"/>
        </w:rPr>
      </w:pPr>
    </w:p>
    <w:p w14:paraId="6759FC0C" w14:textId="3BF9F3F3"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nr. 5 relaterer sig dels til den foreslåede </w:t>
      </w:r>
      <w:r w:rsidR="001C1FBA" w:rsidRPr="00796736">
        <w:rPr>
          <w:rFonts w:ascii="Times New Roman" w:hAnsi="Times New Roman" w:cs="Times New Roman"/>
          <w:sz w:val="24"/>
          <w:szCs w:val="24"/>
        </w:rPr>
        <w:fldChar w:fldCharType="begin"/>
      </w:r>
      <w:r w:rsidR="001C1FBA"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1C1FBA" w:rsidRPr="00796736">
        <w:rPr>
          <w:rFonts w:ascii="Times New Roman" w:hAnsi="Times New Roman" w:cs="Times New Roman"/>
          <w:sz w:val="24"/>
          <w:szCs w:val="24"/>
        </w:rPr>
      </w:r>
      <w:r w:rsidR="001C1F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1C1F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3, hvori det fastslås, at det er en betingelse for tilladelse, at virksomhedens ejere af kvalificerede andele eller indehaveren ved enkeltmandsvirksomhed ikke skønnes at ville modvirke en fornuftig og forsvarlig forvaltning af virksomheden, og dels til den foreslåede § </w:t>
      </w:r>
      <w:r w:rsidR="006A74DC" w:rsidRPr="00796736">
        <w:rPr>
          <w:rFonts w:ascii="Times New Roman" w:hAnsi="Times New Roman" w:cs="Times New Roman"/>
          <w:sz w:val="24"/>
          <w:szCs w:val="24"/>
        </w:rPr>
        <w:t>44</w:t>
      </w:r>
      <w:r w:rsidRPr="00796736">
        <w:rPr>
          <w:rFonts w:ascii="Times New Roman" w:hAnsi="Times New Roman" w:cs="Times New Roman"/>
          <w:sz w:val="24"/>
          <w:szCs w:val="24"/>
        </w:rPr>
        <w:t xml:space="preserve"> om kravene til egnethed og hæderlighed. Der henvises til bemærkningerne til disse bestemmelser. </w:t>
      </w:r>
    </w:p>
    <w:p w14:paraId="02275412" w14:textId="77777777" w:rsidR="00446E41" w:rsidRPr="00796736" w:rsidRDefault="00446E41" w:rsidP="00A802A5">
      <w:pPr>
        <w:suppressAutoHyphens/>
        <w:spacing w:line="360" w:lineRule="auto"/>
        <w:rPr>
          <w:rFonts w:ascii="Times New Roman" w:hAnsi="Times New Roman" w:cs="Times New Roman"/>
          <w:sz w:val="24"/>
          <w:szCs w:val="24"/>
        </w:rPr>
      </w:pPr>
    </w:p>
    <w:p w14:paraId="39D0E5BF"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6</w:t>
      </w:r>
      <w:r w:rsidRPr="00796736">
        <w:rPr>
          <w:rFonts w:ascii="Times New Roman" w:hAnsi="Times New Roman" w:cs="Times New Roman"/>
          <w:sz w:val="24"/>
          <w:szCs w:val="24"/>
        </w:rPr>
        <w:t xml:space="preserve">, at virksomhedens ansøgning skal indeholde oplysninger om ejere af en kvalificeret ejerandel i virksomheden, jf. § 5, stk. 3, i lov om finansiel virksomhed, eller indehaveren ved enkeltmandsvirksomhed, og størrelsen af disses andele. </w:t>
      </w:r>
    </w:p>
    <w:p w14:paraId="1E0A9480" w14:textId="77777777" w:rsidR="00446E41" w:rsidRPr="00796736" w:rsidRDefault="00446E41" w:rsidP="00A802A5">
      <w:pPr>
        <w:suppressAutoHyphens/>
        <w:spacing w:line="360" w:lineRule="auto"/>
        <w:rPr>
          <w:rFonts w:ascii="Times New Roman" w:hAnsi="Times New Roman" w:cs="Times New Roman"/>
          <w:sz w:val="24"/>
          <w:szCs w:val="24"/>
        </w:rPr>
      </w:pPr>
    </w:p>
    <w:p w14:paraId="16EFC141" w14:textId="36A4E75E"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medfører, at virksomheden skal indsende oplysninger om ejere af en kvalificeret ejerandel i virksomheden og størrelsen af disses andele, samt at de pågældende oplysninger indgår som en del af de oplysninger, en ansøgning om tilladelse til valutavekslingsvirksomhed som minimum skal indeholde, og som er nødvendige for Finanstilsynets vurdering af, om betingelserne i </w:t>
      </w:r>
      <w:r w:rsidR="001C1FBA" w:rsidRPr="00796736">
        <w:rPr>
          <w:rFonts w:ascii="Times New Roman" w:hAnsi="Times New Roman" w:cs="Times New Roman"/>
          <w:sz w:val="24"/>
          <w:szCs w:val="24"/>
        </w:rPr>
        <w:fldChar w:fldCharType="begin"/>
      </w:r>
      <w:r w:rsidR="001C1FBA"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1C1FBA" w:rsidRPr="00796736">
        <w:rPr>
          <w:rFonts w:ascii="Times New Roman" w:hAnsi="Times New Roman" w:cs="Times New Roman"/>
          <w:sz w:val="24"/>
          <w:szCs w:val="24"/>
        </w:rPr>
      </w:r>
      <w:r w:rsidR="001C1F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1C1FBA" w:rsidRPr="00796736">
        <w:rPr>
          <w:rFonts w:ascii="Times New Roman" w:hAnsi="Times New Roman" w:cs="Times New Roman"/>
          <w:sz w:val="24"/>
          <w:szCs w:val="24"/>
        </w:rPr>
        <w:fldChar w:fldCharType="end"/>
      </w:r>
      <w:r w:rsidR="001C1FB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er opfyldt. Oplysningerne kan indgå i selve ansøgningen eller vedlægges som bilag. </w:t>
      </w:r>
    </w:p>
    <w:p w14:paraId="06D58A6C" w14:textId="77777777" w:rsidR="00446E41" w:rsidRPr="00796736" w:rsidRDefault="00446E41" w:rsidP="00A802A5">
      <w:pPr>
        <w:spacing w:line="360" w:lineRule="auto"/>
        <w:rPr>
          <w:rFonts w:ascii="Times New Roman" w:hAnsi="Times New Roman" w:cs="Times New Roman"/>
          <w:sz w:val="24"/>
          <w:szCs w:val="24"/>
        </w:rPr>
      </w:pPr>
    </w:p>
    <w:p w14:paraId="492C005D" w14:textId="71157D9E"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hvidvasklovens </w:t>
      </w:r>
      <w:r w:rsidR="001C1FBA" w:rsidRPr="00796736">
        <w:rPr>
          <w:rFonts w:ascii="Times New Roman" w:hAnsi="Times New Roman" w:cs="Times New Roman"/>
          <w:sz w:val="24"/>
          <w:szCs w:val="24"/>
        </w:rPr>
        <w:fldChar w:fldCharType="begin"/>
      </w:r>
      <w:r w:rsidR="001C1FBA"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1C1FBA" w:rsidRPr="00796736">
        <w:rPr>
          <w:rFonts w:ascii="Times New Roman" w:hAnsi="Times New Roman" w:cs="Times New Roman"/>
          <w:sz w:val="24"/>
          <w:szCs w:val="24"/>
        </w:rPr>
      </w:r>
      <w:r w:rsidR="001C1F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1C1F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6, at en ansøgning om tilladelse til valutavekslingsvirksomhed skal indeholde oplysninger om ejere af en kvalificeret andel i virksomheden, jf. § 5, stk. 3, i lov om finansiel virksomhed, eller, hvor valutaveksling udøves af en enkeltmandsvirksomhed, indehaveren, størrelsen af disses ejerandele og dokumentation for ejernes egnethed til at sikre en fornuftig og forsvarlig forvaltning af virksomheden. </w:t>
      </w:r>
    </w:p>
    <w:p w14:paraId="3816D34A" w14:textId="77777777" w:rsidR="00446E41" w:rsidRPr="00796736" w:rsidRDefault="00446E41" w:rsidP="00A802A5">
      <w:pPr>
        <w:spacing w:line="360" w:lineRule="auto"/>
        <w:rPr>
          <w:rFonts w:ascii="Times New Roman" w:hAnsi="Times New Roman" w:cs="Times New Roman"/>
          <w:sz w:val="24"/>
          <w:szCs w:val="24"/>
        </w:rPr>
      </w:pPr>
    </w:p>
    <w:p w14:paraId="5EB4A01D"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definition af ejere af kvalificerede andele henvises til § 5, stk. 3, i lov om finansiel virksomhed.</w:t>
      </w:r>
    </w:p>
    <w:p w14:paraId="526F5765" w14:textId="77777777" w:rsidR="00446E41" w:rsidRPr="00796736" w:rsidRDefault="00446E41" w:rsidP="00A802A5">
      <w:pPr>
        <w:suppressAutoHyphens/>
        <w:spacing w:line="360" w:lineRule="auto"/>
        <w:rPr>
          <w:rFonts w:ascii="Times New Roman" w:hAnsi="Times New Roman" w:cs="Times New Roman"/>
          <w:sz w:val="24"/>
          <w:szCs w:val="24"/>
        </w:rPr>
      </w:pPr>
    </w:p>
    <w:p w14:paraId="147895E3"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7</w:t>
      </w:r>
      <w:r w:rsidRPr="00796736">
        <w:rPr>
          <w:rFonts w:ascii="Times New Roman" w:hAnsi="Times New Roman" w:cs="Times New Roman"/>
          <w:sz w:val="24"/>
          <w:szCs w:val="24"/>
        </w:rPr>
        <w:t xml:space="preserve">, at virksomhedens ansøgning skal indeholde oplysninger om virksomhedens forretningsgange og interne kontrolmekanismer, herunder administrative, risikostyringsmæssige og regnskabsmæssige procedurer, omfattende, men ikke begrænset til de i litra a og b angivne politikker og forretningsgange. Ved vurderingen af, om kravet til forretningsgangene er opfyldt, vil der blive taget hensyn til den enkelte virksomheds størrelse og udbud af aktiviteter. </w:t>
      </w:r>
    </w:p>
    <w:p w14:paraId="711AD0EC" w14:textId="77777777" w:rsidR="00446E41" w:rsidRPr="00796736" w:rsidRDefault="00446E41" w:rsidP="00A802A5">
      <w:pPr>
        <w:suppressAutoHyphens/>
        <w:spacing w:line="360" w:lineRule="auto"/>
        <w:rPr>
          <w:rFonts w:ascii="Times New Roman" w:hAnsi="Times New Roman" w:cs="Times New Roman"/>
          <w:sz w:val="24"/>
          <w:szCs w:val="24"/>
        </w:rPr>
      </w:pPr>
    </w:p>
    <w:p w14:paraId="2CCDD510"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litra a</w:t>
      </w:r>
      <w:r w:rsidRPr="00796736">
        <w:rPr>
          <w:rFonts w:ascii="Times New Roman" w:hAnsi="Times New Roman" w:cs="Times New Roman"/>
          <w:sz w:val="24"/>
          <w:szCs w:val="24"/>
        </w:rPr>
        <w:t xml:space="preserve">, at virksomhedens ansøgning skal indeholde oplysninger om virksomhedens it-sikkerhedspolitik, herunder en detaljeret risikovurdering af de planlagte aktiviteter, og en beskrivelse af de forebyggende foranstaltninger, som virksomheden har foretaget for at imødegå de identificerede risici, herunder svig og misbrug af personoplysninger. </w:t>
      </w:r>
    </w:p>
    <w:p w14:paraId="6F738CDE" w14:textId="77777777" w:rsidR="00446E41" w:rsidRPr="00796736" w:rsidRDefault="00446E41" w:rsidP="00A802A5">
      <w:pPr>
        <w:suppressAutoHyphens/>
        <w:spacing w:line="360" w:lineRule="auto"/>
        <w:rPr>
          <w:rFonts w:ascii="Times New Roman" w:hAnsi="Times New Roman" w:cs="Times New Roman"/>
          <w:sz w:val="24"/>
          <w:szCs w:val="24"/>
        </w:rPr>
      </w:pPr>
    </w:p>
    <w:p w14:paraId="3EF01A7B"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så vidt angår virksomhedens forretningsgange om it-sikkerhed, lægger Finanstilsynet i sin vurdering vægt på, at forretningsgangene skal afspejle virksomhedens konkrete forhold, herunder de iboende risici, der findes på it-området inden for virksomhedens konkrete aktiviteter. </w:t>
      </w:r>
    </w:p>
    <w:p w14:paraId="1C34C803" w14:textId="77777777" w:rsidR="00446E41" w:rsidRPr="00796736" w:rsidRDefault="00446E41" w:rsidP="00A802A5">
      <w:pPr>
        <w:suppressAutoHyphens/>
        <w:spacing w:line="360" w:lineRule="auto"/>
        <w:rPr>
          <w:rFonts w:ascii="Times New Roman" w:hAnsi="Times New Roman" w:cs="Times New Roman"/>
          <w:sz w:val="24"/>
          <w:szCs w:val="24"/>
        </w:rPr>
      </w:pPr>
    </w:p>
    <w:p w14:paraId="2FE9E113"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Virksomheden skal indsende en it-risikovurdering og en it-sikkerhedspolitik. Disse skal tage udgangspunkt i beskrivelsen af virksomhedens it-anvendelse, hvilke iboende risici virksomheden har på it-området, og hvilke tiltag virksomheden vil iværksætte for at imødekomme disse risici. </w:t>
      </w:r>
    </w:p>
    <w:p w14:paraId="3A6C6268" w14:textId="77777777" w:rsidR="00446E41" w:rsidRPr="00796736" w:rsidRDefault="00446E41" w:rsidP="00A802A5">
      <w:pPr>
        <w:suppressAutoHyphens/>
        <w:spacing w:line="360" w:lineRule="auto"/>
        <w:rPr>
          <w:rFonts w:ascii="Times New Roman" w:hAnsi="Times New Roman" w:cs="Times New Roman"/>
          <w:sz w:val="24"/>
          <w:szCs w:val="24"/>
        </w:rPr>
      </w:pPr>
    </w:p>
    <w:p w14:paraId="6B07F4B7"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Benytter virksomheden ikke it-systemer, skal dette oplyses i forbindelse med ansøgning om tilladelse med en beskrivelse af, hvordan det sikres, at personoplysninger opbevares og sikres på tilstrækkelig vis. </w:t>
      </w:r>
    </w:p>
    <w:p w14:paraId="2B43EE84" w14:textId="77777777" w:rsidR="00446E41" w:rsidRPr="00796736" w:rsidRDefault="00446E41" w:rsidP="00A802A5">
      <w:pPr>
        <w:suppressAutoHyphens/>
        <w:spacing w:line="360" w:lineRule="auto"/>
        <w:rPr>
          <w:rFonts w:ascii="Times New Roman" w:hAnsi="Times New Roman" w:cs="Times New Roman"/>
          <w:sz w:val="24"/>
          <w:szCs w:val="24"/>
        </w:rPr>
      </w:pPr>
    </w:p>
    <w:p w14:paraId="6822164B"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litra b</w:t>
      </w:r>
      <w:r w:rsidRPr="00796736">
        <w:rPr>
          <w:rFonts w:ascii="Times New Roman" w:hAnsi="Times New Roman" w:cs="Times New Roman"/>
          <w:sz w:val="24"/>
          <w:szCs w:val="24"/>
        </w:rPr>
        <w:t xml:space="preserve">, at virksomhedens ansøgning skal indeholde virksomhedens forretningsgang for forebyggelse af hvidvask og terrorfinansiering, herunder en detaljeret risikovurdering af de planlagte aktiviteter, og de forebyggende foranstaltninger, som virksomheden vil foretage for at imødegå de identificerede risici. </w:t>
      </w:r>
    </w:p>
    <w:p w14:paraId="7EBE1B00" w14:textId="77777777" w:rsidR="00446E41" w:rsidRPr="00796736" w:rsidRDefault="00446E41" w:rsidP="00A802A5">
      <w:pPr>
        <w:suppressAutoHyphens/>
        <w:spacing w:line="360" w:lineRule="auto"/>
        <w:rPr>
          <w:rFonts w:ascii="Times New Roman" w:hAnsi="Times New Roman" w:cs="Times New Roman"/>
          <w:sz w:val="24"/>
          <w:szCs w:val="24"/>
        </w:rPr>
      </w:pPr>
    </w:p>
    <w:p w14:paraId="5E1ED472"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interne regler bør tage udgangspunkt i virksomhedens egne forhold, dvs. risikoanalysen af virksomhedens forretningsmodel, kundetyper og produkter m.v., og beskrive, hvad der forstås ved hvidvask og finansiering af terrorisme, hvordan dette kan tænkes at forekomme netop i denne virksomhed, og de krav, som virksomheden er underlagt i henhold til denne lov. De interne regler kan bestå af en samling af dokumenter, der tilsammen udgør de interne regler. Der stilles ikke krav om, at der skal foreligge et samlet dokument, selv om dette ofte vil være anbefalelsesværdigt. </w:t>
      </w:r>
    </w:p>
    <w:p w14:paraId="5FC90695" w14:textId="77777777" w:rsidR="00446E41" w:rsidRPr="00796736" w:rsidRDefault="00446E41" w:rsidP="00A802A5">
      <w:pPr>
        <w:suppressAutoHyphens/>
        <w:spacing w:line="360" w:lineRule="auto"/>
        <w:rPr>
          <w:rFonts w:ascii="Times New Roman" w:hAnsi="Times New Roman" w:cs="Times New Roman"/>
          <w:sz w:val="24"/>
          <w:szCs w:val="24"/>
        </w:rPr>
      </w:pPr>
    </w:p>
    <w:p w14:paraId="3E0E74EB"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Til brug for behandlingen af virksomhedens ansøgning om tilladelse efter denne lov skal virksomheden udarbejde og indsende deres skriftlige interne regler om kundelegitimation, opmærksomhedsundersøgelses-, og underretningspligt, opbevaring af registreringer, intern kontrol, risikovurdering, risikostyring, ledelseskontrol og kommunikation samt uddannelses- og instruktionsprogrammer for medarbejderne for at forebygge og forhindre hvidvask og finansiering af terrorisme. </w:t>
      </w:r>
    </w:p>
    <w:p w14:paraId="4BA83FB3" w14:textId="77777777" w:rsidR="00446E41" w:rsidRPr="00796736" w:rsidRDefault="00446E41" w:rsidP="00A802A5">
      <w:pPr>
        <w:suppressAutoHyphens/>
        <w:spacing w:line="360" w:lineRule="auto"/>
        <w:rPr>
          <w:rFonts w:ascii="Times New Roman" w:hAnsi="Times New Roman" w:cs="Times New Roman"/>
          <w:sz w:val="24"/>
          <w:szCs w:val="24"/>
        </w:rPr>
      </w:pPr>
    </w:p>
    <w:p w14:paraId="10A09830"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Virksomheden skal endvidere udarbejde og indsende skriftlige interne regler om overholdelse af Europa-Parlamentets og Rådets forordninger om oplysninger, der skal medsendes om betaler ved pengeoverførsler, hvor dette er relevant, og forordninger indeholdende regler om finansielle sanktioner mod lande, personer, grupper, juridiske enheder eller organer. </w:t>
      </w:r>
    </w:p>
    <w:p w14:paraId="7BFB1AF6" w14:textId="77777777" w:rsidR="00446E41" w:rsidRPr="00796736" w:rsidRDefault="00446E41" w:rsidP="00A802A5">
      <w:pPr>
        <w:suppressAutoHyphens/>
        <w:spacing w:line="360" w:lineRule="auto"/>
        <w:rPr>
          <w:rFonts w:ascii="Times New Roman" w:hAnsi="Times New Roman" w:cs="Times New Roman"/>
          <w:sz w:val="24"/>
          <w:szCs w:val="24"/>
        </w:rPr>
      </w:pPr>
    </w:p>
    <w:p w14:paraId="579BDAE2" w14:textId="4F591137" w:rsidR="009E05E4"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Nr. 7 relaterer sig til kravet i </w:t>
      </w:r>
      <w:r w:rsidR="001C1FBA" w:rsidRPr="00796736">
        <w:rPr>
          <w:rFonts w:ascii="Times New Roman" w:hAnsi="Times New Roman" w:cs="Times New Roman"/>
          <w:sz w:val="24"/>
          <w:szCs w:val="24"/>
        </w:rPr>
        <w:fldChar w:fldCharType="begin"/>
      </w:r>
      <w:r w:rsidR="001C1FBA"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1C1FBA" w:rsidRPr="00796736">
        <w:rPr>
          <w:rFonts w:ascii="Times New Roman" w:hAnsi="Times New Roman" w:cs="Times New Roman"/>
          <w:sz w:val="24"/>
          <w:szCs w:val="24"/>
        </w:rPr>
      </w:r>
      <w:r w:rsidR="001C1F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1C1F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4, om, at virksomheden skal have tilstrækkelige kontrolforanstaltninger og tilstrækkelige forretningsgange på alle væsentlige områder.</w:t>
      </w:r>
    </w:p>
    <w:p w14:paraId="31A4F4CE" w14:textId="77777777" w:rsidR="009F7862" w:rsidRPr="00796736" w:rsidRDefault="009F7862" w:rsidP="00A802A5">
      <w:pPr>
        <w:spacing w:line="360" w:lineRule="auto"/>
        <w:jc w:val="center"/>
        <w:rPr>
          <w:rFonts w:ascii="Times New Roman" w:hAnsi="Times New Roman" w:cs="Times New Roman"/>
          <w:i/>
          <w:iCs/>
          <w:sz w:val="24"/>
          <w:szCs w:val="24"/>
        </w:rPr>
      </w:pPr>
    </w:p>
    <w:p w14:paraId="4400818A" w14:textId="50A11F20"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1C1FBA" w:rsidRPr="00796736">
        <w:rPr>
          <w:rFonts w:ascii="Times New Roman" w:hAnsi="Times New Roman" w:cs="Times New Roman"/>
          <w:sz w:val="24"/>
          <w:szCs w:val="24"/>
        </w:rPr>
        <w:fldChar w:fldCharType="begin"/>
      </w:r>
      <w:r w:rsidR="001C1FBA" w:rsidRPr="00796736">
        <w:rPr>
          <w:rFonts w:ascii="Times New Roman" w:hAnsi="Times New Roman" w:cs="Times New Roman"/>
          <w:sz w:val="24"/>
          <w:szCs w:val="24"/>
        </w:rPr>
        <w:instrText xml:space="preserve"> REF _Ref232947246 \n \h </w:instrText>
      </w:r>
      <w:r w:rsidR="00967618" w:rsidRPr="00796736">
        <w:rPr>
          <w:rFonts w:ascii="Times New Roman" w:hAnsi="Times New Roman" w:cs="Times New Roman"/>
          <w:sz w:val="24"/>
          <w:szCs w:val="24"/>
        </w:rPr>
        <w:instrText xml:space="preserve"> \* MERGEFORMAT </w:instrText>
      </w:r>
      <w:r w:rsidR="001C1FBA" w:rsidRPr="00796736">
        <w:rPr>
          <w:rFonts w:ascii="Times New Roman" w:hAnsi="Times New Roman" w:cs="Times New Roman"/>
          <w:sz w:val="24"/>
          <w:szCs w:val="24"/>
        </w:rPr>
      </w:r>
      <w:r w:rsidR="001C1FB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3.41</w:t>
      </w:r>
      <w:r w:rsidR="001C1FB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 lovforslagets almindelige bemærkninger.</w:t>
      </w:r>
    </w:p>
    <w:p w14:paraId="6DA5C60D" w14:textId="77777777" w:rsidR="009E05E4" w:rsidRPr="00796736" w:rsidRDefault="009E05E4" w:rsidP="00A802A5">
      <w:pPr>
        <w:spacing w:line="360" w:lineRule="auto"/>
        <w:jc w:val="center"/>
        <w:rPr>
          <w:rFonts w:ascii="Times New Roman" w:hAnsi="Times New Roman" w:cs="Times New Roman"/>
          <w:i/>
          <w:iCs/>
          <w:sz w:val="24"/>
          <w:szCs w:val="24"/>
        </w:rPr>
      </w:pPr>
    </w:p>
    <w:p w14:paraId="3AC91A9D" w14:textId="7227D1E0" w:rsidR="00446E41" w:rsidRPr="00796736" w:rsidRDefault="00240DBE" w:rsidP="00A802A5">
      <w:pPr>
        <w:pStyle w:val="Undertitel"/>
      </w:pPr>
      <w:bookmarkStart w:id="1983" w:name="_Toc232109375"/>
      <w:bookmarkStart w:id="1984" w:name="_Toc244879339"/>
      <w:bookmarkStart w:id="1985" w:name="_Toc244880864"/>
      <w:r w:rsidRPr="00796736">
        <w:t xml:space="preserve">Til </w:t>
      </w:r>
      <w:r w:rsidR="00465705" w:rsidRPr="00796736">
        <w:fldChar w:fldCharType="begin"/>
      </w:r>
      <w:r w:rsidR="00465705" w:rsidRPr="00796736">
        <w:instrText xml:space="preserve"> REF _Ref232596750 \r \h </w:instrText>
      </w:r>
      <w:r w:rsidR="00967618" w:rsidRPr="00796736">
        <w:instrText xml:space="preserve"> \* MERGEFORMAT </w:instrText>
      </w:r>
      <w:r w:rsidR="00465705" w:rsidRPr="00796736">
        <w:fldChar w:fldCharType="separate"/>
      </w:r>
      <w:r w:rsidR="008F29E5">
        <w:t>§ 43</w:t>
      </w:r>
      <w:bookmarkEnd w:id="1984"/>
      <w:bookmarkEnd w:id="1985"/>
      <w:r w:rsidR="00465705" w:rsidRPr="00796736">
        <w:fldChar w:fldCharType="end"/>
      </w:r>
      <w:bookmarkEnd w:id="1983"/>
    </w:p>
    <w:p w14:paraId="500ED7E5"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43 i hvidvaskloven, at virksomheder med tilladelse til valutavekslingsvirksomhed skal underrette Finanstilsynet, hvis der sker ændringer i de oplysninger, som Finanstilsynet har modtaget og lagt til grund ved meddelelse af tilladelsen. Underretning skal ske senest 2 uger efter, at ændringen er indtrådt.</w:t>
      </w:r>
    </w:p>
    <w:p w14:paraId="647D4461" w14:textId="77777777" w:rsidR="00446E41" w:rsidRPr="00796736" w:rsidRDefault="00446E41" w:rsidP="00A802A5">
      <w:pPr>
        <w:spacing w:line="360" w:lineRule="auto"/>
        <w:rPr>
          <w:rFonts w:ascii="Times New Roman" w:hAnsi="Times New Roman" w:cs="Times New Roman"/>
          <w:sz w:val="24"/>
          <w:szCs w:val="24"/>
        </w:rPr>
      </w:pPr>
    </w:p>
    <w:p w14:paraId="34B5356D"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foreslås videreført uden materielle ændringer, men med mindre sproglige tilpasninger.</w:t>
      </w:r>
    </w:p>
    <w:p w14:paraId="26CF5790" w14:textId="77777777" w:rsidR="00446E41" w:rsidRPr="00796736" w:rsidRDefault="00446E41" w:rsidP="00A802A5">
      <w:pPr>
        <w:spacing w:line="360" w:lineRule="auto"/>
        <w:rPr>
          <w:rFonts w:ascii="Times New Roman" w:hAnsi="Times New Roman" w:cs="Times New Roman"/>
          <w:sz w:val="24"/>
          <w:szCs w:val="24"/>
        </w:rPr>
      </w:pPr>
    </w:p>
    <w:p w14:paraId="7B5EF54B" w14:textId="2313B79E"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865239" w:rsidRPr="00796736">
        <w:rPr>
          <w:rFonts w:ascii="Times New Roman" w:hAnsi="Times New Roman" w:cs="Times New Roman"/>
          <w:i/>
          <w:iCs/>
          <w:sz w:val="24"/>
          <w:szCs w:val="24"/>
        </w:rPr>
        <w:fldChar w:fldCharType="begin"/>
      </w:r>
      <w:r w:rsidR="00865239" w:rsidRPr="00796736">
        <w:rPr>
          <w:rFonts w:ascii="Times New Roman" w:hAnsi="Times New Roman" w:cs="Times New Roman"/>
          <w:i/>
          <w:iCs/>
          <w:sz w:val="24"/>
          <w:szCs w:val="24"/>
        </w:rPr>
        <w:instrText xml:space="preserve"> REF _Ref232596750 \r \h  \* MERGEFORMAT </w:instrText>
      </w:r>
      <w:r w:rsidR="00865239" w:rsidRPr="00796736">
        <w:rPr>
          <w:rFonts w:ascii="Times New Roman" w:hAnsi="Times New Roman" w:cs="Times New Roman"/>
          <w:i/>
          <w:iCs/>
          <w:sz w:val="24"/>
          <w:szCs w:val="24"/>
        </w:rPr>
      </w:r>
      <w:r w:rsidR="0086523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43</w:t>
      </w:r>
      <w:r w:rsidR="00865239"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v</w:t>
      </w:r>
      <w:r w:rsidRPr="00796736">
        <w:rPr>
          <w:rFonts w:ascii="Times New Roman" w:eastAsia="Calibri" w:hAnsi="Times New Roman" w:cs="Times New Roman"/>
          <w:sz w:val="24"/>
          <w:szCs w:val="24"/>
        </w:rPr>
        <w:t>irksomheder med tilladelse til valutavekslingsvirksomhed skal underrette Finanstilsynet, hvis der indtræder ændringer i forhold til de oplysninger, som Finanstilsynet har modtaget og lagt til grund ved meddelelse af tilladelse. Endvidere foreslås, at underretningen skal foretages senest 2 uger efter ændringen.</w:t>
      </w:r>
    </w:p>
    <w:p w14:paraId="04F5311D" w14:textId="77777777" w:rsidR="00446E41" w:rsidRPr="00796736" w:rsidRDefault="00446E41" w:rsidP="00A802A5">
      <w:pPr>
        <w:spacing w:line="360" w:lineRule="auto"/>
        <w:rPr>
          <w:rFonts w:ascii="Times New Roman" w:hAnsi="Times New Roman" w:cs="Times New Roman"/>
          <w:sz w:val="24"/>
          <w:szCs w:val="24"/>
        </w:rPr>
      </w:pPr>
    </w:p>
    <w:p w14:paraId="4D69EA8B"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betyder, at en virksomhed med tilladelse til at udøve valutavekslingsvirksomhed vil være forpligtet til at underrette Finanstilsynet, hvis der indtræder ændringer i forhold til de oplysninger, som Finanstilsynet har modtaget ved meddelelse af tilladelse. Hvis Finanstilsynet i forbindelse med behandlingen af ansøgningen har indhentet yderligere oplysninger og lagt disse til grund ved meddelelse af tilladelse, skal Finanstilsynet underrettes om ændringer af disse oplysninger af virksomheden. Underretningen skal foretages senest 2 uger efter ændringen. </w:t>
      </w:r>
    </w:p>
    <w:p w14:paraId="7357BB7F" w14:textId="77777777" w:rsidR="00446E41" w:rsidRPr="00796736" w:rsidRDefault="00446E41" w:rsidP="00A802A5">
      <w:pPr>
        <w:spacing w:line="360" w:lineRule="auto"/>
        <w:rPr>
          <w:rFonts w:ascii="Times New Roman" w:hAnsi="Times New Roman" w:cs="Times New Roman"/>
          <w:sz w:val="24"/>
          <w:szCs w:val="24"/>
        </w:rPr>
      </w:pPr>
    </w:p>
    <w:p w14:paraId="07C0F1A6"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bestemmelsen, at kun ændringer i oplysninger, som Finanstilsynet har lagt til grund ved meddelelse af tilladelse, skal meddeles til Finanstilsynet. Meddelelsespligten omfatter derfor ikke enhver ændring i oplysninger, som er indeholdt i det materiale, som Finanstilsynet har modtaget. </w:t>
      </w:r>
    </w:p>
    <w:p w14:paraId="1003202F" w14:textId="77777777" w:rsidR="00446E41" w:rsidRPr="00796736" w:rsidRDefault="00446E41" w:rsidP="00A802A5">
      <w:pPr>
        <w:spacing w:line="360" w:lineRule="auto"/>
        <w:rPr>
          <w:rFonts w:ascii="Times New Roman" w:hAnsi="Times New Roman" w:cs="Times New Roman"/>
          <w:sz w:val="24"/>
          <w:szCs w:val="24"/>
        </w:rPr>
      </w:pPr>
    </w:p>
    <w:p w14:paraId="62F66B5C" w14:textId="2719C043"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Eksempler på ændringer, der ikke skal meddeles Finanstilsynet, kan være ændringer i telefonnummer og e-mailadresse samt ændringer i forretningsgange, der ikke har betydning for at sikre efterlevelsen af lovgivningen. Sker der derimod ændringer i virksomhedens procedurer i henhold til </w:t>
      </w:r>
      <w:r w:rsidR="002A4E01">
        <w:rPr>
          <w:rFonts w:ascii="Times New Roman" w:hAnsi="Times New Roman" w:cs="Times New Roman"/>
          <w:sz w:val="24"/>
          <w:szCs w:val="24"/>
        </w:rPr>
        <w:t>hvidvaskforordningen</w:t>
      </w:r>
      <w:r w:rsidRPr="00796736">
        <w:rPr>
          <w:rFonts w:ascii="Times New Roman" w:hAnsi="Times New Roman" w:cs="Times New Roman"/>
          <w:sz w:val="24"/>
          <w:szCs w:val="24"/>
        </w:rPr>
        <w:t xml:space="preserve">, eller indtræder der et nyt bestyrelsesmedlem, skal Finanstilsynet underrettes. </w:t>
      </w:r>
    </w:p>
    <w:p w14:paraId="2281A2C8" w14:textId="77777777" w:rsidR="00446E41" w:rsidRPr="00796736" w:rsidRDefault="00446E41" w:rsidP="00A802A5">
      <w:pPr>
        <w:spacing w:line="360" w:lineRule="auto"/>
        <w:rPr>
          <w:rFonts w:ascii="Times New Roman" w:hAnsi="Times New Roman" w:cs="Times New Roman"/>
          <w:sz w:val="24"/>
          <w:szCs w:val="24"/>
        </w:rPr>
      </w:pPr>
    </w:p>
    <w:p w14:paraId="34087A4F" w14:textId="26E9F7A0" w:rsidR="009F7862"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Overtrædelse af bestemmelsen foreslås strafbelagt. Den strafbare handling består i at undlade at underrette Finanstilsynet, senest 2 uger efter at der er indtruffet ændringer i forhold til de oplysninger, som Finanstilsynet har modtaget og lagt til grund ved meddelelse af tilladelse. Et eksempel på overtrædelse af bestemmelsen er således, hvis man undlader rettidigt at underrette Finanstilsynet om, at virksomheden ikke længere har hovedkontor og hjemsted i Danmark. Et andet eksempel er, hvis man undlader rettidigt at underrette Finanstilsynet om, at virksomheden er blevet dømt for et strafbart forhold, der begrunder en nærliggende fare for misbrug af tilladelsen. Et tredje eksempel er, hvis man undlader rettidigt at underrette Finanstilsynet om, at betingelserne i </w:t>
      </w:r>
      <w:r w:rsidR="00865239" w:rsidRPr="00796736">
        <w:rPr>
          <w:rFonts w:ascii="Times New Roman" w:hAnsi="Times New Roman" w:cs="Times New Roman"/>
          <w:sz w:val="24"/>
          <w:szCs w:val="24"/>
        </w:rPr>
        <w:fldChar w:fldCharType="begin"/>
      </w:r>
      <w:r w:rsidR="0086523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865239" w:rsidRPr="00796736">
        <w:rPr>
          <w:rFonts w:ascii="Times New Roman" w:hAnsi="Times New Roman" w:cs="Times New Roman"/>
          <w:sz w:val="24"/>
          <w:szCs w:val="24"/>
        </w:rPr>
      </w:r>
      <w:r w:rsidR="008652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865239" w:rsidRPr="00796736">
        <w:rPr>
          <w:rFonts w:ascii="Times New Roman" w:hAnsi="Times New Roman" w:cs="Times New Roman"/>
          <w:sz w:val="24"/>
          <w:szCs w:val="24"/>
        </w:rPr>
        <w:fldChar w:fldCharType="end"/>
      </w:r>
      <w:r w:rsidR="00865239"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ikke længere er opfyldt for medlemmer af bestyrelsen, direktionen, indehaveren eller ejere af kvalificerede ejerandele. Ansvarssubjektet for overtrædelse af </w:t>
      </w:r>
      <w:r w:rsidR="00865239" w:rsidRPr="00796736">
        <w:rPr>
          <w:rFonts w:ascii="Times New Roman" w:hAnsi="Times New Roman" w:cs="Times New Roman"/>
          <w:sz w:val="24"/>
          <w:szCs w:val="24"/>
        </w:rPr>
        <w:fldChar w:fldCharType="begin"/>
      </w:r>
      <w:r w:rsidR="00865239" w:rsidRPr="00796736">
        <w:rPr>
          <w:rFonts w:ascii="Times New Roman" w:hAnsi="Times New Roman" w:cs="Times New Roman"/>
          <w:sz w:val="24"/>
          <w:szCs w:val="24"/>
        </w:rPr>
        <w:instrText xml:space="preserve"> REF _Ref232596750 \r \h </w:instrText>
      </w:r>
      <w:r w:rsidR="00967618" w:rsidRPr="00796736">
        <w:rPr>
          <w:rFonts w:ascii="Times New Roman" w:hAnsi="Times New Roman" w:cs="Times New Roman"/>
          <w:sz w:val="24"/>
          <w:szCs w:val="24"/>
        </w:rPr>
        <w:instrText xml:space="preserve"> \* MERGEFORMAT </w:instrText>
      </w:r>
      <w:r w:rsidR="00865239" w:rsidRPr="00796736">
        <w:rPr>
          <w:rFonts w:ascii="Times New Roman" w:hAnsi="Times New Roman" w:cs="Times New Roman"/>
          <w:sz w:val="24"/>
          <w:szCs w:val="24"/>
        </w:rPr>
      </w:r>
      <w:r w:rsidR="008652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43</w:t>
      </w:r>
      <w:r w:rsidR="00865239" w:rsidRPr="00796736">
        <w:rPr>
          <w:rFonts w:ascii="Times New Roman" w:hAnsi="Times New Roman" w:cs="Times New Roman"/>
          <w:sz w:val="24"/>
          <w:szCs w:val="24"/>
        </w:rPr>
        <w:fldChar w:fldCharType="end"/>
      </w:r>
      <w:r w:rsidR="00865239" w:rsidRPr="00796736">
        <w:rPr>
          <w:rFonts w:ascii="Times New Roman" w:hAnsi="Times New Roman" w:cs="Times New Roman"/>
          <w:sz w:val="24"/>
          <w:szCs w:val="24"/>
        </w:rPr>
        <w:t xml:space="preserve"> </w:t>
      </w:r>
      <w:r w:rsidRPr="00796736">
        <w:rPr>
          <w:rFonts w:ascii="Times New Roman" w:hAnsi="Times New Roman" w:cs="Times New Roman"/>
          <w:sz w:val="24"/>
          <w:szCs w:val="24"/>
        </w:rPr>
        <w:t>er virksomheden. Der skal således rejses tiltale mod virksomheden (dvs. den juridiske person) for overtrædelsen.</w:t>
      </w:r>
    </w:p>
    <w:p w14:paraId="5F83D341" w14:textId="77777777" w:rsidR="009F7862" w:rsidRPr="00796736" w:rsidRDefault="009F7862" w:rsidP="00A802A5">
      <w:pPr>
        <w:spacing w:line="360" w:lineRule="auto"/>
        <w:jc w:val="center"/>
        <w:rPr>
          <w:rFonts w:ascii="Times New Roman" w:hAnsi="Times New Roman" w:cs="Times New Roman"/>
          <w:i/>
          <w:iCs/>
          <w:sz w:val="24"/>
          <w:szCs w:val="24"/>
        </w:rPr>
      </w:pPr>
    </w:p>
    <w:p w14:paraId="1601582E" w14:textId="7C18A345"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865239" w:rsidRPr="00796736">
        <w:rPr>
          <w:rFonts w:ascii="Times New Roman" w:hAnsi="Times New Roman" w:cs="Times New Roman"/>
          <w:sz w:val="24"/>
          <w:szCs w:val="24"/>
        </w:rPr>
        <w:fldChar w:fldCharType="begin"/>
      </w:r>
      <w:r w:rsidR="00865239" w:rsidRPr="00796736">
        <w:rPr>
          <w:rFonts w:ascii="Times New Roman" w:hAnsi="Times New Roman" w:cs="Times New Roman"/>
          <w:sz w:val="24"/>
          <w:szCs w:val="24"/>
        </w:rPr>
        <w:instrText xml:space="preserve"> REF _Ref232947318 \n \h </w:instrText>
      </w:r>
      <w:r w:rsidR="00967618" w:rsidRPr="00796736">
        <w:rPr>
          <w:rFonts w:ascii="Times New Roman" w:hAnsi="Times New Roman" w:cs="Times New Roman"/>
          <w:sz w:val="24"/>
          <w:szCs w:val="24"/>
        </w:rPr>
        <w:instrText xml:space="preserve"> \* MERGEFORMAT </w:instrText>
      </w:r>
      <w:r w:rsidR="00865239" w:rsidRPr="00796736">
        <w:rPr>
          <w:rFonts w:ascii="Times New Roman" w:hAnsi="Times New Roman" w:cs="Times New Roman"/>
          <w:sz w:val="24"/>
          <w:szCs w:val="24"/>
        </w:rPr>
      </w:r>
      <w:r w:rsidR="0086523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3.42</w:t>
      </w:r>
      <w:r w:rsidR="00865239" w:rsidRPr="00796736">
        <w:rPr>
          <w:rFonts w:ascii="Times New Roman" w:hAnsi="Times New Roman" w:cs="Times New Roman"/>
          <w:sz w:val="24"/>
          <w:szCs w:val="24"/>
        </w:rPr>
        <w:fldChar w:fldCharType="end"/>
      </w:r>
      <w:r w:rsidR="00865239"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1DFBE49C" w14:textId="77777777" w:rsidR="009F7862" w:rsidRPr="00796736" w:rsidRDefault="009F7862" w:rsidP="00A802A5">
      <w:pPr>
        <w:spacing w:line="360" w:lineRule="auto"/>
        <w:rPr>
          <w:rFonts w:ascii="Times New Roman" w:hAnsi="Times New Roman" w:cs="Times New Roman"/>
          <w:i/>
          <w:iCs/>
          <w:sz w:val="24"/>
          <w:szCs w:val="24"/>
        </w:rPr>
      </w:pPr>
    </w:p>
    <w:p w14:paraId="455DB9DA" w14:textId="77777777" w:rsidR="00446E41" w:rsidRPr="00796736" w:rsidRDefault="00446E41" w:rsidP="00A802A5">
      <w:pPr>
        <w:spacing w:line="360" w:lineRule="auto"/>
        <w:rPr>
          <w:rFonts w:ascii="Times New Roman" w:hAnsi="Times New Roman" w:cs="Times New Roman"/>
          <w:i/>
          <w:iCs/>
          <w:sz w:val="24"/>
          <w:szCs w:val="24"/>
        </w:rPr>
      </w:pPr>
    </w:p>
    <w:p w14:paraId="12D87C16" w14:textId="22B566A6" w:rsidR="009F7862" w:rsidRPr="00796736" w:rsidRDefault="00240DBE" w:rsidP="00A802A5">
      <w:pPr>
        <w:pStyle w:val="Undertitel"/>
      </w:pPr>
      <w:bookmarkStart w:id="1986" w:name="_Toc232109376"/>
      <w:bookmarkStart w:id="1987" w:name="_Toc244879340"/>
      <w:bookmarkStart w:id="1988" w:name="_Toc244880865"/>
      <w:r w:rsidRPr="00796736">
        <w:t xml:space="preserve">Til </w:t>
      </w:r>
      <w:r w:rsidR="00465705" w:rsidRPr="00796736">
        <w:fldChar w:fldCharType="begin"/>
      </w:r>
      <w:r w:rsidR="00465705" w:rsidRPr="00796736">
        <w:instrText xml:space="preserve"> REF _Ref232596786 \r \h </w:instrText>
      </w:r>
      <w:r w:rsidR="00967618" w:rsidRPr="00796736">
        <w:instrText xml:space="preserve"> \* MERGEFORMAT </w:instrText>
      </w:r>
      <w:r w:rsidR="00465705" w:rsidRPr="00796736">
        <w:fldChar w:fldCharType="separate"/>
      </w:r>
      <w:r w:rsidR="008F29E5">
        <w:t>§ 44</w:t>
      </w:r>
      <w:bookmarkEnd w:id="1987"/>
      <w:bookmarkEnd w:id="1988"/>
      <w:r w:rsidR="00465705" w:rsidRPr="00796736">
        <w:fldChar w:fldCharType="end"/>
      </w:r>
      <w:r w:rsidR="009F7862" w:rsidRPr="00796736">
        <w:t xml:space="preserve"> </w:t>
      </w:r>
      <w:bookmarkEnd w:id="1986"/>
    </w:p>
    <w:p w14:paraId="32B34D8D" w14:textId="48AB0B11"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44 i hvidvaskloven, at virksomheder med tilladelse til at udøve valutavekslingsvirksomhed senest den 1. april hvert år skal indsende en erklæring om, at virksomheden opfylder betingelserne for at opnå tilladelse efter § 36, og en oversigt over virksomhedens ledelse og eventuelle ejere af kvalificerede andele.</w:t>
      </w:r>
    </w:p>
    <w:p w14:paraId="23B2F3D7" w14:textId="77777777" w:rsidR="00446E41" w:rsidRPr="00796736" w:rsidRDefault="00446E41" w:rsidP="00A802A5">
      <w:pPr>
        <w:spacing w:line="360" w:lineRule="auto"/>
        <w:rPr>
          <w:rFonts w:ascii="Times New Roman" w:hAnsi="Times New Roman" w:cs="Times New Roman"/>
          <w:sz w:val="24"/>
          <w:szCs w:val="24"/>
        </w:rPr>
      </w:pPr>
    </w:p>
    <w:p w14:paraId="23413BE0"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foreslås videreført uden materielle ændringer, men med mindre sproglige tilpasninger.</w:t>
      </w:r>
    </w:p>
    <w:p w14:paraId="18A2BFC4" w14:textId="77777777" w:rsidR="00446E41" w:rsidRPr="00796736" w:rsidRDefault="00446E41" w:rsidP="00A802A5">
      <w:pPr>
        <w:spacing w:line="360" w:lineRule="auto"/>
        <w:rPr>
          <w:rFonts w:ascii="Times New Roman" w:hAnsi="Times New Roman" w:cs="Times New Roman"/>
          <w:sz w:val="24"/>
          <w:szCs w:val="24"/>
        </w:rPr>
      </w:pPr>
    </w:p>
    <w:p w14:paraId="36A38F4E"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artikel 6, stk. 3, i 6. hvidvaskdirektiv.</w:t>
      </w:r>
    </w:p>
    <w:p w14:paraId="3BBD79A7" w14:textId="77777777" w:rsidR="00446E41" w:rsidRPr="00796736" w:rsidRDefault="00446E41" w:rsidP="00A802A5">
      <w:pPr>
        <w:spacing w:line="360" w:lineRule="auto"/>
        <w:rPr>
          <w:rFonts w:ascii="Times New Roman" w:hAnsi="Times New Roman" w:cs="Times New Roman"/>
          <w:sz w:val="24"/>
          <w:szCs w:val="24"/>
        </w:rPr>
      </w:pPr>
    </w:p>
    <w:p w14:paraId="6EF0DF18" w14:textId="4C466687" w:rsidR="00446E41" w:rsidRPr="00796736" w:rsidRDefault="00446E41" w:rsidP="00A802A5">
      <w:pPr>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Der foreslås i </w:t>
      </w:r>
      <w:r w:rsidR="007A6E39" w:rsidRPr="00796736">
        <w:rPr>
          <w:rFonts w:ascii="Times New Roman" w:hAnsi="Times New Roman" w:cs="Times New Roman"/>
          <w:i/>
          <w:iCs/>
          <w:sz w:val="24"/>
          <w:szCs w:val="24"/>
        </w:rPr>
        <w:fldChar w:fldCharType="begin"/>
      </w:r>
      <w:r w:rsidR="007A6E39" w:rsidRPr="00796736">
        <w:rPr>
          <w:rFonts w:ascii="Times New Roman" w:hAnsi="Times New Roman" w:cs="Times New Roman"/>
          <w:i/>
          <w:iCs/>
          <w:sz w:val="24"/>
          <w:szCs w:val="24"/>
        </w:rPr>
        <w:instrText xml:space="preserve"> REF _Ref232596786 \r \h  \* MERGEFORMAT </w:instrText>
      </w:r>
      <w:r w:rsidR="007A6E39" w:rsidRPr="00796736">
        <w:rPr>
          <w:rFonts w:ascii="Times New Roman" w:hAnsi="Times New Roman" w:cs="Times New Roman"/>
          <w:i/>
          <w:iCs/>
          <w:sz w:val="24"/>
          <w:szCs w:val="24"/>
        </w:rPr>
      </w:r>
      <w:r w:rsidR="007A6E3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44</w:t>
      </w:r>
      <w:r w:rsidR="007A6E39" w:rsidRPr="00796736">
        <w:rPr>
          <w:rFonts w:ascii="Times New Roman" w:hAnsi="Times New Roman" w:cs="Times New Roman"/>
          <w:i/>
          <w:iCs/>
          <w:sz w:val="24"/>
          <w:szCs w:val="24"/>
        </w:rPr>
        <w:fldChar w:fldCharType="end"/>
      </w:r>
      <w:r w:rsidRPr="00796736">
        <w:rPr>
          <w:rFonts w:ascii="Times New Roman" w:eastAsia="Calibri" w:hAnsi="Times New Roman" w:cs="Times New Roman"/>
          <w:sz w:val="24"/>
          <w:szCs w:val="24"/>
        </w:rPr>
        <w:t>, at virksomheder med tilladelse til valutavekslingsvirksomhed senest den 1. april hvert år skal indsende en erklæring om, at virksomheden opfylder betingelserne for at opnå tilladelse efter §</w:t>
      </w:r>
      <w:r w:rsidR="005C4979" w:rsidRPr="00796736">
        <w:rPr>
          <w:rFonts w:ascii="Times New Roman" w:eastAsia="Calibri" w:hAnsi="Times New Roman" w:cs="Times New Roman"/>
          <w:sz w:val="24"/>
          <w:szCs w:val="24"/>
        </w:rPr>
        <w:fldChar w:fldCharType="begin"/>
      </w:r>
      <w:r w:rsidR="005C4979" w:rsidRPr="00796736">
        <w:rPr>
          <w:rFonts w:ascii="Times New Roman" w:eastAsia="Calibri" w:hAnsi="Times New Roman" w:cs="Times New Roman"/>
          <w:sz w:val="24"/>
          <w:szCs w:val="24"/>
        </w:rPr>
        <w:instrText xml:space="preserve"> REF _Ref232596532 \r \h </w:instrText>
      </w:r>
      <w:r w:rsidR="00967618" w:rsidRPr="00796736">
        <w:rPr>
          <w:rFonts w:ascii="Times New Roman" w:eastAsia="Calibri" w:hAnsi="Times New Roman" w:cs="Times New Roman"/>
          <w:sz w:val="24"/>
          <w:szCs w:val="24"/>
        </w:rPr>
        <w:instrText xml:space="preserve"> \* MERGEFORMAT </w:instrText>
      </w:r>
      <w:r w:rsidR="005C4979" w:rsidRPr="00796736">
        <w:rPr>
          <w:rFonts w:ascii="Times New Roman" w:eastAsia="Calibri" w:hAnsi="Times New Roman" w:cs="Times New Roman"/>
          <w:sz w:val="24"/>
          <w:szCs w:val="24"/>
        </w:rPr>
      </w:r>
      <w:r w:rsidR="005C4979"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40</w:t>
      </w:r>
      <w:r w:rsidR="005C4979" w:rsidRPr="00796736">
        <w:rPr>
          <w:rFonts w:ascii="Times New Roman" w:eastAsia="Calibri" w:hAnsi="Times New Roman" w:cs="Times New Roman"/>
          <w:sz w:val="24"/>
          <w:szCs w:val="24"/>
        </w:rPr>
        <w:fldChar w:fldCharType="end"/>
      </w:r>
      <w:r w:rsidR="005C4979"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og</w:t>
      </w:r>
      <w:r w:rsidR="002E5C4E" w:rsidRPr="00796736">
        <w:rPr>
          <w:rFonts w:ascii="Times New Roman" w:eastAsia="Calibri" w:hAnsi="Times New Roman" w:cs="Times New Roman"/>
          <w:sz w:val="24"/>
          <w:szCs w:val="24"/>
        </w:rPr>
        <w:t xml:space="preserve"> </w:t>
      </w:r>
      <w:r w:rsidR="005C4979" w:rsidRPr="00796736">
        <w:rPr>
          <w:rFonts w:ascii="Times New Roman" w:eastAsia="Calibri" w:hAnsi="Times New Roman" w:cs="Times New Roman"/>
          <w:sz w:val="24"/>
          <w:szCs w:val="24"/>
        </w:rPr>
        <w:fldChar w:fldCharType="begin"/>
      </w:r>
      <w:r w:rsidR="005C4979" w:rsidRPr="00796736">
        <w:rPr>
          <w:rFonts w:ascii="Times New Roman" w:eastAsia="Calibri" w:hAnsi="Times New Roman" w:cs="Times New Roman"/>
          <w:sz w:val="24"/>
          <w:szCs w:val="24"/>
        </w:rPr>
        <w:instrText xml:space="preserve"> REF _Ref232596553 \r \h </w:instrText>
      </w:r>
      <w:r w:rsidR="00967618" w:rsidRPr="00796736">
        <w:rPr>
          <w:rFonts w:ascii="Times New Roman" w:eastAsia="Calibri" w:hAnsi="Times New Roman" w:cs="Times New Roman"/>
          <w:sz w:val="24"/>
          <w:szCs w:val="24"/>
        </w:rPr>
        <w:instrText xml:space="preserve"> \* MERGEFORMAT </w:instrText>
      </w:r>
      <w:r w:rsidR="005C4979" w:rsidRPr="00796736">
        <w:rPr>
          <w:rFonts w:ascii="Times New Roman" w:eastAsia="Calibri" w:hAnsi="Times New Roman" w:cs="Times New Roman"/>
          <w:sz w:val="24"/>
          <w:szCs w:val="24"/>
        </w:rPr>
      </w:r>
      <w:r w:rsidR="005C4979"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41</w:t>
      </w:r>
      <w:r w:rsidR="005C4979"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og en oversigt over virksomhedens ledelse og eventuelle ejere af kvalificerede andele, jf. § 5, stk. 3, i lov om finansiel virksomhed. Endvidere foreslås, at erklæringen skal være underskrevet af virksomhedens bestyrelse og direktion. Endelig foreslås det, at hvis virksomheden drives som juridisk person uden bestyrelse og direktion, skal erklæringen underskrives af den eller de ledelsesansvarlige for virksomheden eller af indehaveren, hvis valutaveksling udøves af en enkeltmandsvirksomhed.</w:t>
      </w:r>
    </w:p>
    <w:p w14:paraId="29AB9D59" w14:textId="77777777" w:rsidR="00446E41" w:rsidRPr="00796736" w:rsidRDefault="00446E41" w:rsidP="00A802A5">
      <w:pPr>
        <w:spacing w:line="360" w:lineRule="auto"/>
        <w:rPr>
          <w:rFonts w:ascii="Times New Roman" w:hAnsi="Times New Roman" w:cs="Times New Roman"/>
          <w:sz w:val="24"/>
          <w:szCs w:val="24"/>
        </w:rPr>
      </w:pPr>
    </w:p>
    <w:p w14:paraId="37C01C1A"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virksomheder med tilladelse til at udøve valutavekslingsvirksomhed én gang årligt skal indsende en erklæring om, at betingelserne for tilladelse fortsat er opfyldt.</w:t>
      </w:r>
    </w:p>
    <w:p w14:paraId="6002D0D5" w14:textId="77777777" w:rsidR="00446E41" w:rsidRPr="00796736" w:rsidRDefault="00446E41" w:rsidP="00A802A5">
      <w:pPr>
        <w:spacing w:line="360" w:lineRule="auto"/>
        <w:rPr>
          <w:rFonts w:ascii="Times New Roman" w:hAnsi="Times New Roman" w:cs="Times New Roman"/>
          <w:sz w:val="24"/>
          <w:szCs w:val="24"/>
        </w:rPr>
      </w:pPr>
    </w:p>
    <w:p w14:paraId="67126ED7" w14:textId="5C985A0D"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Erklæringen skal være underskrevet af virksomhedens bestyrelse og direktion. Hvis virksomheden ikke drives i selskabsform, skal erklæringen underskrives af den daglige ledelse eller indehaveren af en enkeltmandsvirksomhed. Selv om en virksomhed er forpligtet til løbende at sikre, at betingelserne for at opretholde en tilladelse er opfyldt, sikrer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_Ref232596786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44</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virksomheden over for Finanstilsynet en gang om året erklærer, at dette er tilfældet. </w:t>
      </w:r>
    </w:p>
    <w:p w14:paraId="49332AC9" w14:textId="77777777" w:rsidR="00446E41" w:rsidRPr="00796736" w:rsidRDefault="00446E41" w:rsidP="00A802A5">
      <w:pPr>
        <w:spacing w:line="360" w:lineRule="auto"/>
        <w:rPr>
          <w:rFonts w:ascii="Times New Roman" w:hAnsi="Times New Roman" w:cs="Times New Roman"/>
          <w:sz w:val="24"/>
          <w:szCs w:val="24"/>
        </w:rPr>
      </w:pPr>
    </w:p>
    <w:p w14:paraId="4AFD4473" w14:textId="2880E600"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Overtrædelse af bestemmelsen foreslås strafbelagt. I henhold til den foreslåede </w:t>
      </w:r>
      <w:r w:rsidR="002A4E01">
        <w:rPr>
          <w:rFonts w:ascii="Times New Roman" w:hAnsi="Times New Roman" w:cs="Times New Roman"/>
          <w:sz w:val="24"/>
          <w:szCs w:val="24"/>
        </w:rPr>
        <w:fldChar w:fldCharType="begin"/>
      </w:r>
      <w:r w:rsidR="002A4E01">
        <w:rPr>
          <w:rFonts w:ascii="Times New Roman" w:hAnsi="Times New Roman" w:cs="Times New Roman"/>
          <w:sz w:val="24"/>
          <w:szCs w:val="24"/>
        </w:rPr>
        <w:instrText xml:space="preserve"> REF _Ref242963797 \n \h </w:instrText>
      </w:r>
      <w:r w:rsidR="00CB248D">
        <w:rPr>
          <w:rFonts w:ascii="Times New Roman" w:hAnsi="Times New Roman" w:cs="Times New Roman"/>
          <w:sz w:val="24"/>
          <w:szCs w:val="24"/>
        </w:rPr>
        <w:instrText xml:space="preserve"> \* MERGEFORMAT </w:instrText>
      </w:r>
      <w:r w:rsidR="002A4E01">
        <w:rPr>
          <w:rFonts w:ascii="Times New Roman" w:hAnsi="Times New Roman" w:cs="Times New Roman"/>
          <w:sz w:val="24"/>
          <w:szCs w:val="24"/>
        </w:rPr>
      </w:r>
      <w:r w:rsidR="002A4E01">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2A4E01">
        <w:rPr>
          <w:rFonts w:ascii="Times New Roman" w:hAnsi="Times New Roman" w:cs="Times New Roman"/>
          <w:sz w:val="24"/>
          <w:szCs w:val="24"/>
        </w:rPr>
        <w:fldChar w:fldCharType="end"/>
      </w:r>
      <w:r w:rsidR="002A4E01">
        <w:rPr>
          <w:rFonts w:ascii="Times New Roman" w:hAnsi="Times New Roman" w:cs="Times New Roman"/>
          <w:sz w:val="24"/>
          <w:szCs w:val="24"/>
        </w:rPr>
        <w:t>, stk. 1, nr. 5,</w:t>
      </w:r>
      <w:r w:rsidRPr="00796736">
        <w:rPr>
          <w:rFonts w:ascii="Times New Roman" w:hAnsi="Times New Roman" w:cs="Times New Roman"/>
          <w:sz w:val="24"/>
          <w:szCs w:val="24"/>
        </w:rPr>
        <w:t xml:space="preserve"> kan virksomheder, der undlader senest den 1. april hvert år at indsende en erklæring om, at virksomheden opfylder betingelserne for at opnå tilladelse efter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en oversigt over virksomhedens ledelse og eventuelle ejere af kvalificerede andele, straffes med bøde. Den strafbare handling består i at undlade at indsende en erklæring om, at virksomheden opfylder betingelserne for at opnå tilladelse efter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en oversigt over virksomhedens ledelse og eventuelle ejere af kvalificerede andele. Ansvarssubjektet for overtrædelse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_Ref232596786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44</w:t>
      </w:r>
      <w:r w:rsidR="005C4979" w:rsidRPr="00796736">
        <w:rPr>
          <w:rFonts w:ascii="Times New Roman" w:hAnsi="Times New Roman" w:cs="Times New Roman"/>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hAnsi="Times New Roman" w:cs="Times New Roman"/>
          <w:sz w:val="24"/>
          <w:szCs w:val="24"/>
        </w:rPr>
        <w:t>er virksomheden. Der skal således rejses tiltale mod virksomheden (dvs. den juridiske person) for overtrædelsen.</w:t>
      </w:r>
    </w:p>
    <w:p w14:paraId="7B98574A" w14:textId="77777777" w:rsidR="009F7862" w:rsidRPr="00796736" w:rsidRDefault="009F7862" w:rsidP="00A802A5">
      <w:pPr>
        <w:spacing w:line="360" w:lineRule="auto"/>
        <w:rPr>
          <w:rFonts w:ascii="Times New Roman" w:hAnsi="Times New Roman" w:cs="Times New Roman"/>
          <w:i/>
          <w:iCs/>
          <w:sz w:val="24"/>
          <w:szCs w:val="24"/>
        </w:rPr>
      </w:pPr>
    </w:p>
    <w:p w14:paraId="4CA08D6A" w14:textId="6405A355"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_Ref232948039 \n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3.43</w:t>
      </w:r>
      <w:r w:rsidR="005C4979" w:rsidRPr="00796736">
        <w:rPr>
          <w:rFonts w:ascii="Times New Roman" w:hAnsi="Times New Roman" w:cs="Times New Roman"/>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56FF3B1" w14:textId="77777777" w:rsidR="009F7862" w:rsidRPr="00796736" w:rsidRDefault="009F7862" w:rsidP="00A802A5">
      <w:pPr>
        <w:spacing w:line="360" w:lineRule="auto"/>
        <w:jc w:val="center"/>
        <w:rPr>
          <w:rFonts w:ascii="Times New Roman" w:hAnsi="Times New Roman" w:cs="Times New Roman"/>
          <w:i/>
          <w:iCs/>
          <w:sz w:val="24"/>
          <w:szCs w:val="24"/>
        </w:rPr>
      </w:pPr>
    </w:p>
    <w:p w14:paraId="1443D135" w14:textId="77777777" w:rsidR="009F7862" w:rsidRPr="00796736" w:rsidRDefault="009F7862" w:rsidP="00A802A5">
      <w:pPr>
        <w:spacing w:line="360" w:lineRule="auto"/>
        <w:jc w:val="center"/>
        <w:rPr>
          <w:rFonts w:ascii="Times New Roman" w:hAnsi="Times New Roman" w:cs="Times New Roman"/>
          <w:i/>
          <w:iCs/>
          <w:sz w:val="24"/>
          <w:szCs w:val="24"/>
        </w:rPr>
      </w:pPr>
    </w:p>
    <w:p w14:paraId="28DD3B4C" w14:textId="124D318C" w:rsidR="009F7862" w:rsidRPr="00796736" w:rsidRDefault="00240DBE" w:rsidP="00A802A5">
      <w:pPr>
        <w:pStyle w:val="Undertitel"/>
        <w:rPr>
          <w:iCs/>
        </w:rPr>
      </w:pPr>
      <w:bookmarkStart w:id="1989" w:name="_Toc232109377"/>
      <w:bookmarkStart w:id="1990" w:name="_Toc244879341"/>
      <w:bookmarkStart w:id="1991" w:name="_Toc244880866"/>
      <w:r w:rsidRPr="00796736">
        <w:t xml:space="preserve">Til </w:t>
      </w:r>
      <w:r w:rsidR="00465705" w:rsidRPr="00796736">
        <w:fldChar w:fldCharType="begin"/>
      </w:r>
      <w:r w:rsidR="00465705" w:rsidRPr="00796736">
        <w:instrText xml:space="preserve"> REF _Ref232596808 \r \h </w:instrText>
      </w:r>
      <w:r w:rsidR="00967618" w:rsidRPr="00796736">
        <w:instrText xml:space="preserve"> \* MERGEFORMAT </w:instrText>
      </w:r>
      <w:r w:rsidR="00465705" w:rsidRPr="00796736">
        <w:fldChar w:fldCharType="separate"/>
      </w:r>
      <w:r w:rsidR="008F29E5">
        <w:t>§ 45</w:t>
      </w:r>
      <w:bookmarkEnd w:id="1990"/>
      <w:bookmarkEnd w:id="1991"/>
      <w:r w:rsidR="00465705" w:rsidRPr="00796736">
        <w:fldChar w:fldCharType="end"/>
      </w:r>
      <w:r w:rsidR="009F7862" w:rsidRPr="00796736">
        <w:t xml:space="preserve"> </w:t>
      </w:r>
      <w:bookmarkEnd w:id="1989"/>
    </w:p>
    <w:p w14:paraId="2A6A02AF"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45 i hvidvaskloven, at der stilles krav om egnethed og hæderlighed til medlemmer af den øverste ledelse samt til indehavere af kvalificerede ejerandele i valutavekslingsvirksomheder.</w:t>
      </w:r>
    </w:p>
    <w:p w14:paraId="3FF5C10D" w14:textId="77777777" w:rsidR="00446E41" w:rsidRPr="00796736" w:rsidRDefault="00446E41" w:rsidP="00A802A5">
      <w:pPr>
        <w:spacing w:line="360" w:lineRule="auto"/>
        <w:rPr>
          <w:rFonts w:ascii="Times New Roman" w:hAnsi="Times New Roman" w:cs="Times New Roman"/>
          <w:sz w:val="24"/>
          <w:szCs w:val="24"/>
        </w:rPr>
      </w:pPr>
    </w:p>
    <w:p w14:paraId="51FBE285"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foreslås videreført med enkelte materielle tilpasninger.</w:t>
      </w:r>
    </w:p>
    <w:p w14:paraId="472DD724" w14:textId="77777777" w:rsidR="00446E41" w:rsidRPr="00796736" w:rsidRDefault="00446E41" w:rsidP="00A802A5">
      <w:pPr>
        <w:spacing w:line="360" w:lineRule="auto"/>
        <w:rPr>
          <w:rFonts w:ascii="Times New Roman" w:hAnsi="Times New Roman" w:cs="Times New Roman"/>
          <w:sz w:val="24"/>
          <w:szCs w:val="24"/>
        </w:rPr>
      </w:pPr>
    </w:p>
    <w:p w14:paraId="44A35D37"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implementerer artikel 6, stk. 1, i 6. hvidvaskdirektiv. </w:t>
      </w:r>
    </w:p>
    <w:p w14:paraId="4A3BD85A" w14:textId="77777777" w:rsidR="00446E41" w:rsidRPr="00796736" w:rsidRDefault="00446E41" w:rsidP="00A802A5">
      <w:pPr>
        <w:spacing w:line="360" w:lineRule="auto"/>
        <w:rPr>
          <w:rFonts w:ascii="Times New Roman" w:hAnsi="Times New Roman" w:cs="Times New Roman"/>
          <w:sz w:val="24"/>
          <w:szCs w:val="24"/>
        </w:rPr>
      </w:pPr>
    </w:p>
    <w:p w14:paraId="74E7D892" w14:textId="5910B8F6"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5C4979" w:rsidRPr="00796736">
        <w:rPr>
          <w:rFonts w:ascii="Times New Roman" w:hAnsi="Times New Roman" w:cs="Times New Roman"/>
          <w:i/>
          <w:iCs/>
          <w:sz w:val="24"/>
          <w:szCs w:val="24"/>
        </w:rPr>
        <w:fldChar w:fldCharType="begin"/>
      </w:r>
      <w:r w:rsidR="005C4979" w:rsidRPr="00796736">
        <w:rPr>
          <w:rFonts w:ascii="Times New Roman" w:hAnsi="Times New Roman" w:cs="Times New Roman"/>
          <w:i/>
          <w:iCs/>
          <w:sz w:val="24"/>
          <w:szCs w:val="24"/>
        </w:rPr>
        <w:instrText xml:space="preserve"> REF _Ref232596808 \r \h  \* MERGEFORMAT </w:instrText>
      </w:r>
      <w:r w:rsidR="005C4979" w:rsidRPr="00796736">
        <w:rPr>
          <w:rFonts w:ascii="Times New Roman" w:hAnsi="Times New Roman" w:cs="Times New Roman"/>
          <w:i/>
          <w:iCs/>
          <w:sz w:val="24"/>
          <w:szCs w:val="24"/>
        </w:rPr>
      </w:r>
      <w:r w:rsidR="005C497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45</w:t>
      </w:r>
      <w:r w:rsidR="005C4979"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der fastsættes regler om egnethed og hæderlighed for både medlemmer af øverste ledelse, </w:t>
      </w:r>
      <w:r w:rsidRPr="00796736">
        <w:rPr>
          <w:rFonts w:ascii="Times New Roman" w:eastAsia="Calibri" w:hAnsi="Times New Roman" w:cs="Times New Roman"/>
          <w:sz w:val="24"/>
          <w:szCs w:val="24"/>
        </w:rPr>
        <w:t>herunder bestyrelsen eller direktionen</w:t>
      </w:r>
      <w:r w:rsidRPr="00796736">
        <w:rPr>
          <w:rFonts w:ascii="Times New Roman" w:hAnsi="Times New Roman" w:cs="Times New Roman"/>
          <w:sz w:val="24"/>
          <w:szCs w:val="24"/>
        </w:rPr>
        <w:t xml:space="preserve"> i en valutavekslingsvirksomhed </w:t>
      </w:r>
      <w:r w:rsidRPr="00796736">
        <w:rPr>
          <w:rFonts w:ascii="Times New Roman" w:eastAsia="Calibri" w:hAnsi="Times New Roman" w:cs="Times New Roman"/>
          <w:sz w:val="24"/>
          <w:szCs w:val="24"/>
        </w:rPr>
        <w:t>eller, hvor valutaveksling udøves af en enkeltmandsvirksomhed, indehaveren eller, hvor valutavekslingsvirksomheden drives som juridisk person uden bestyrelse eller direktion, den eller de ledelsesansvarlige</w:t>
      </w:r>
      <w:r w:rsidRPr="00796736">
        <w:rPr>
          <w:rFonts w:ascii="Times New Roman" w:hAnsi="Times New Roman" w:cs="Times New Roman"/>
          <w:sz w:val="24"/>
          <w:szCs w:val="24"/>
        </w:rPr>
        <w:t>.</w:t>
      </w:r>
    </w:p>
    <w:p w14:paraId="7D6C5E1C" w14:textId="77777777" w:rsidR="00446E41" w:rsidRPr="00796736" w:rsidRDefault="00446E41" w:rsidP="00A802A5">
      <w:pPr>
        <w:spacing w:line="360" w:lineRule="auto"/>
        <w:rPr>
          <w:rFonts w:ascii="Times New Roman" w:hAnsi="Times New Roman" w:cs="Times New Roman"/>
          <w:sz w:val="24"/>
          <w:szCs w:val="24"/>
        </w:rPr>
      </w:pPr>
    </w:p>
    <w:p w14:paraId="416348CA" w14:textId="272C130D" w:rsidR="00446E41" w:rsidRPr="00796736" w:rsidRDefault="002E5C4E"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I hvidvaskforordningen </w:t>
      </w:r>
      <w:r w:rsidR="00446E41" w:rsidRPr="00796736">
        <w:rPr>
          <w:rFonts w:ascii="Times New Roman" w:eastAsia="Calibri" w:hAnsi="Times New Roman" w:cs="Times New Roman"/>
          <w:sz w:val="24"/>
          <w:szCs w:val="24"/>
        </w:rPr>
        <w:t>defineres "øverste ledelse" i artikel 2, stk. 1, nr. 40.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18EC4786" w14:textId="5FB9C4F3"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w:t>
      </w:r>
      <w:r w:rsidRPr="00796736">
        <w:rPr>
          <w:rFonts w:ascii="Times New Roman" w:hAnsi="Times New Roman" w:cs="Times New Roman"/>
          <w:sz w:val="24"/>
          <w:szCs w:val="24"/>
        </w:rPr>
        <w:t xml:space="preserve">, at et medlem af </w:t>
      </w:r>
      <w:r w:rsidR="002E5C4E" w:rsidRPr="00796736">
        <w:rPr>
          <w:rFonts w:ascii="Times New Roman" w:hAnsi="Times New Roman" w:cs="Times New Roman"/>
          <w:sz w:val="24"/>
          <w:szCs w:val="24"/>
        </w:rPr>
        <w:t xml:space="preserve">den </w:t>
      </w:r>
      <w:r w:rsidRPr="00796736">
        <w:rPr>
          <w:rFonts w:ascii="Times New Roman" w:hAnsi="Times New Roman" w:cs="Times New Roman"/>
          <w:sz w:val="24"/>
          <w:szCs w:val="24"/>
        </w:rPr>
        <w:t>øverste ledelse, herunder bestyrelsen eller direktionen i en valutavekslingsvirksomhed eller, hvor valutaveksling udøves af en enkeltmandsvirksomhed, indehaveren eller, hvor valutavekslingsvirksomheden drives som juridisk person uden bestyrelse eller direktion, den eller de ledelsesansvarlige, skal have tilstrækkelig viden, faglig kompetence og erfaring til at kunne varetage hvervet eller stillingen.</w:t>
      </w:r>
    </w:p>
    <w:p w14:paraId="3B80A6DD" w14:textId="77777777" w:rsidR="00446E41" w:rsidRPr="00796736" w:rsidRDefault="00446E41" w:rsidP="00A802A5">
      <w:pPr>
        <w:spacing w:line="360" w:lineRule="auto"/>
        <w:rPr>
          <w:rFonts w:ascii="Times New Roman" w:hAnsi="Times New Roman" w:cs="Times New Roman"/>
          <w:sz w:val="24"/>
          <w:szCs w:val="24"/>
        </w:rPr>
      </w:pPr>
    </w:p>
    <w:p w14:paraId="518E3531"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Kravene skal være opfyldt til enhver tid, hvilket indebærer, at de skal opfyldes fra det tidspunkt, hvor bestyrelsesmedlemmet, direktøren eller den eller de ledelsesansvarlige tiltræder hvervet eller stillingen, eller, hvor valutaveksling udøves af en enkeltmandsvirksomhed, fra det tidspunkt, hvor indehaveren søger om tilladelse til at udøve valutavekslingsvirksomhed og i hele den periode, hvori den pågældende varetager hvervet eller stillingen.</w:t>
      </w:r>
    </w:p>
    <w:p w14:paraId="579B6886" w14:textId="77777777" w:rsidR="00446E41" w:rsidRPr="00796736" w:rsidRDefault="00446E41" w:rsidP="00A802A5">
      <w:pPr>
        <w:spacing w:line="360" w:lineRule="auto"/>
        <w:rPr>
          <w:rFonts w:ascii="Times New Roman" w:hAnsi="Times New Roman" w:cs="Times New Roman"/>
          <w:sz w:val="24"/>
          <w:szCs w:val="24"/>
        </w:rPr>
      </w:pPr>
    </w:p>
    <w:p w14:paraId="0005C0B7"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Når en person tiltræder et hverv som bestyrelsesmedlem i, en stilling som direktør for eller bliver ledelsesansvarlig i en valutavekslingsvirksomhed, påser Finanstilsynet, at vedkommende har tilstrækkelig viden, faglig kompetence og erfaring til at kunne udøve hvervet eller varetage stillingen i virksomheden, og dermed, at den pågældende opfylder kravene i det foreslåede stk. 1, nr. 1. Der opstilles ikke generelle kriterier for, hvilke teoretiske eller praktiske krav personen skal opfylde. Disse varierer, afhængigt af om der er tale om en direktørpost, et bestyrelseshverv eller ledelsesansvar, og hvilken type virksomhed der er tale om.</w:t>
      </w:r>
    </w:p>
    <w:p w14:paraId="77BECC66" w14:textId="77777777" w:rsidR="00446E41" w:rsidRPr="00796736" w:rsidRDefault="00446E41" w:rsidP="00A802A5">
      <w:pPr>
        <w:spacing w:line="360" w:lineRule="auto"/>
        <w:rPr>
          <w:rFonts w:ascii="Times New Roman" w:hAnsi="Times New Roman" w:cs="Times New Roman"/>
          <w:sz w:val="24"/>
          <w:szCs w:val="24"/>
        </w:rPr>
      </w:pPr>
    </w:p>
    <w:p w14:paraId="6DB44D6E"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vurderingen kan bl.a. indgå, om personen har en relevant uddannelse, og om vedkommende har ledelseserfaring. Der stilles i praksis mindre krav til et bestyrelsesmedlem end til en direktør, ligesom kravene skærpes, hvis der er tale om en stor og kompleks valutavekslingsvirksomhed. Der stilles ikke et ubetinget krav om, at et bestyrelsesmedlem har særlig indsigt i forhold for valutavekslingsvirksomheder. Her vil en særlig indsigt i en anden branche, som er relevant for den pågældende valutavekslingsvirksomhed, kunne være tilstrækkelig. De øvrige kompetencer i bestyrelsen eller direktionen inddrages ikke i forbindelse med vurderingen af, om et bestyrelsesmedlem eller en direktør opfylder kravene. Egnetheds- og hæderlighedsvurderingen er knyttet til stillingen eller hvervet i den konkrete valutavekslingsvirksomhed. Det er således muligt, at en person på baggrund af dennes uddannelsesmæssige baggrund og hidtidige ledelseserfaring opfylder kravet om fyldestgørende erfaring til at lede en valutavekslingsvirksomhed med begrænset forretningsmæssigt omfang, men at det ikke gør sig gældende i forhold til en større valutavekslingsvirksomhed. Derfor kan man ikke overføre egnetheds- og hæderlighedsvurderingen fra den ene valutavekslingsvirksomhed til den anden valutavekslingsvirksomhed.</w:t>
      </w:r>
    </w:p>
    <w:p w14:paraId="390B5DA3" w14:textId="77777777" w:rsidR="00446E41" w:rsidRPr="00796736" w:rsidRDefault="00446E41" w:rsidP="00A802A5">
      <w:pPr>
        <w:spacing w:line="360" w:lineRule="auto"/>
        <w:rPr>
          <w:rFonts w:ascii="Times New Roman" w:hAnsi="Times New Roman" w:cs="Times New Roman"/>
          <w:sz w:val="24"/>
          <w:szCs w:val="24"/>
        </w:rPr>
      </w:pPr>
    </w:p>
    <w:p w14:paraId="0414069E"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indehaver af en valutavekslingsvirksomhed, der er en enkeltmandsvirksomhed, skal på tilsvarende vis som direktører og bestyrelsesmedlemmer have tilstrækkelig viden, faglig kompetence og erfaring til at kunne varetage hvervet som indehaver af valutavekslingsvirksomhed. Ved vurderingen af indehaverens viden, faglige kompetencer og erfaring vil der blive lagt vægt på, om vedkommende har de fornødne kompetencer og ressourcer til at løfte opgaven som udøver af valutavekslingsvirksomheden.</w:t>
      </w:r>
    </w:p>
    <w:p w14:paraId="0F4E8B0E" w14:textId="77777777" w:rsidR="00446E41" w:rsidRPr="00796736" w:rsidRDefault="00446E41" w:rsidP="00A802A5">
      <w:pPr>
        <w:spacing w:line="360" w:lineRule="auto"/>
        <w:rPr>
          <w:rFonts w:ascii="Times New Roman" w:hAnsi="Times New Roman" w:cs="Times New Roman"/>
          <w:sz w:val="24"/>
          <w:szCs w:val="24"/>
        </w:rPr>
      </w:pPr>
    </w:p>
    <w:p w14:paraId="53395FA4"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2</w:t>
      </w:r>
      <w:r w:rsidRPr="00796736">
        <w:rPr>
          <w:rFonts w:ascii="Times New Roman" w:hAnsi="Times New Roman" w:cs="Times New Roman"/>
          <w:sz w:val="24"/>
          <w:szCs w:val="24"/>
        </w:rPr>
        <w:t>, at et medlem af øverste ledelse, herunder bestyrelsen eller direktionen i en valutavekslingsvirksomhed eller, hvor valutaveksling udøves af en enkeltmandsvirksomhed, indehaveren eller, hvor valutavekslingsvirksomheden drives som juridisk person uden bestyrelse eller direktion, den eller de ledelsesansvarlige, skal have et tilstrækkeligt godt omdømme og kunne udvise hæderlighed, integritet og tilstrækkelig uafhængighed ved varetagelsen af hvervet eller stillingen.</w:t>
      </w:r>
    </w:p>
    <w:p w14:paraId="5B170253" w14:textId="77777777" w:rsidR="00446E41" w:rsidRPr="00796736" w:rsidRDefault="00446E41" w:rsidP="00A802A5">
      <w:pPr>
        <w:spacing w:line="360" w:lineRule="auto"/>
        <w:rPr>
          <w:rFonts w:ascii="Times New Roman" w:hAnsi="Times New Roman" w:cs="Times New Roman"/>
          <w:sz w:val="24"/>
          <w:szCs w:val="24"/>
        </w:rPr>
      </w:pPr>
    </w:p>
    <w:p w14:paraId="1CC10BA3"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de personer, der er en del af ledelsen i en valutavekslingsvirksomhed, skal have en høj standard, både når det gælder deres faglige og ledelsesmæssige kompetencer og deres personlige adfærd. Det er vigtigt, at ledelsesmedlemmer generelt udviser en høj grad af hæderlighed og integritet samt tilstrækkelig uafhængighed ved varetagelse af hvervet eller stillingen.</w:t>
      </w:r>
    </w:p>
    <w:p w14:paraId="34E82BC1" w14:textId="77777777" w:rsidR="00446E41" w:rsidRPr="00796736" w:rsidRDefault="00446E41" w:rsidP="00A802A5">
      <w:pPr>
        <w:spacing w:line="360" w:lineRule="auto"/>
        <w:rPr>
          <w:rFonts w:ascii="Times New Roman" w:hAnsi="Times New Roman" w:cs="Times New Roman"/>
          <w:sz w:val="24"/>
          <w:szCs w:val="24"/>
        </w:rPr>
      </w:pPr>
    </w:p>
    <w:p w14:paraId="49E36627"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Kravet om, at et ledelsesmedlem skal udvise tilstrækkelig uafhængighed ved varetagelse af hvervet eller stillingen, indebærer, at ledelsesmedlemmet i forbindelse med udførelsen af det konkrete hverv eller stillingen skal udvise den fornødne uafhængighed, som stillingen eller hvervet nødvendiggør. For bestyrelsesmedlemmer betyder det eksempelvis, at det enkelte bestyrelsesmedlem i tilstrækkelig grad skal kunne agere uafhængigt af den daglige ledelse i valutavekslingsvirksomheden og således i tilstrækkelig grad kunne udfordre og overvåge direktionens arbejde. Tilsvarende betyder det for direktionsmedlemmer, at det enkelte medlem i tilstrækkelig grad løbende skal kunne overvåge, udfordre og føre tilsyn med ledende medarbejderes arbejde.</w:t>
      </w:r>
    </w:p>
    <w:p w14:paraId="33D2B43F" w14:textId="77777777" w:rsidR="00446E41" w:rsidRPr="00796736" w:rsidRDefault="00446E41" w:rsidP="00A802A5">
      <w:pPr>
        <w:spacing w:line="360" w:lineRule="auto"/>
        <w:rPr>
          <w:rFonts w:ascii="Times New Roman" w:hAnsi="Times New Roman" w:cs="Times New Roman"/>
          <w:sz w:val="24"/>
          <w:szCs w:val="24"/>
        </w:rPr>
      </w:pPr>
    </w:p>
    <w:p w14:paraId="355992B4"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Ledelsesmedlemmer skal endvidere have et godt omdømme. Det er vigtigt at opretholde den finansielle sektors omdømme og det omgivende samfunds tillid til sektoren, og hensynet hertil tilsiger, at også medlemmer af bestyrelsen og direktionen samt, hvor valutaveksling udøves af en enkeltmandsvirksomhed, indehaveren, skal have et tilstrækkeligt godt omdømme i samfundet. Manglende tillid til enkelte ledelsesmedlemmer i dele af den finansielle sektor vil kunne have en afsmittende effekt på hele den finansielle sektors omdømme og tilliden til den samlede branche. Ved vurderingen af, om det pågældende bestyrelses- eller direktionsmedlem eller, hvor valutaveksling udøves af en enkeltmandsvirksomhed, indehaveren, eller, hvor valutavekslingsvirksomheden drives som juridisk person uden bestyrelse eller direktion, den eller de ledelsesansvarlige, lever op til kravene i det foreslåede stk. 1, nr. 2, skal der derfor lægges vægt på hensynet til at opretholde tilliden til den finansielle sektor.</w:t>
      </w:r>
    </w:p>
    <w:p w14:paraId="485DD79C" w14:textId="77777777" w:rsidR="00446E41" w:rsidRPr="00796736" w:rsidRDefault="00446E41" w:rsidP="00A802A5">
      <w:pPr>
        <w:spacing w:line="360" w:lineRule="auto"/>
        <w:rPr>
          <w:rFonts w:ascii="Times New Roman" w:hAnsi="Times New Roman" w:cs="Times New Roman"/>
          <w:sz w:val="24"/>
          <w:szCs w:val="24"/>
        </w:rPr>
      </w:pPr>
    </w:p>
    <w:p w14:paraId="53255BCE"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Et medlem af bestyrelsen eller direktionen eller, hvor valutaveksling udøves af en enkeltmandsvirksomhed, indehaveren eller, hvor valutavekslingsvirksomheden drives som juridisk person uden bestyrelse eller direktion, den eller de ledelsesansvarlige, anses for at have et godt omdømme, hvis andet ikke er påvist, og hvis der ikke er nogen grund til at nære begrundet tvivl om vedkommendes gode omdømme. Finanstilsynet lægger alle relevante oplysninger til grund for vurderingen af, om bestyrelses- eller direktionsmedlemmet, indehaveren eller den eller de ledelsesansvarlige har et godt omdømme. Medlemmet, henholdsvis indehaveren eller den eller de ledelsesansvarlige, anses ikke for at have et godt omdømme, hvis vedkommendes personlige eller forretningsmæssige adfærd giver anledning til begrundet tvivl om vedkommendes evner til at sikre en sund og sikker ledelse af valutavekslingsvirksomheden.</w:t>
      </w:r>
    </w:p>
    <w:p w14:paraId="5B3FC966" w14:textId="77777777" w:rsidR="00446E41" w:rsidRPr="00796736" w:rsidRDefault="00446E41" w:rsidP="00A802A5">
      <w:pPr>
        <w:spacing w:line="360" w:lineRule="auto"/>
        <w:rPr>
          <w:rFonts w:ascii="Times New Roman" w:hAnsi="Times New Roman" w:cs="Times New Roman"/>
          <w:sz w:val="24"/>
          <w:szCs w:val="24"/>
        </w:rPr>
      </w:pPr>
    </w:p>
    <w:p w14:paraId="391E268C" w14:textId="4C34955E"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Denne vurdering baseres bl.a. på alle kriminelle og administrative overtrædelser, inddragelse af tidligere tilladelser, licenser </w:t>
      </w:r>
      <w:r w:rsidR="00D04B2A" w:rsidRPr="00796736">
        <w:rPr>
          <w:rFonts w:ascii="Times New Roman" w:hAnsi="Times New Roman" w:cs="Times New Roman"/>
          <w:sz w:val="24"/>
          <w:szCs w:val="24"/>
        </w:rPr>
        <w:t>el.lign.</w:t>
      </w:r>
      <w:r w:rsidRPr="00796736">
        <w:rPr>
          <w:rFonts w:ascii="Times New Roman" w:hAnsi="Times New Roman" w:cs="Times New Roman"/>
          <w:sz w:val="24"/>
          <w:szCs w:val="24"/>
        </w:rPr>
        <w:t>, tidligere afskedigelser og baggrunden herfor. I vurderingen af medlemmets henholdsvis indehaverens omdømme tager Finanstilsynet hensyn til alvoren af overtrædelsen, den tid, der er gået siden overtrædelsen, og personens opførsel i mellemtiden, herunder om der er tale om gentagne overtrædelser. Specielt i forhold til direktører vil det være vanskeligt at opretholde tilliden til vedkommende, hvis den virksomhed, som vedkommende leder, har modtaget gentagne påbud for manglende overholdelse af den finansielle lovgivning.</w:t>
      </w:r>
    </w:p>
    <w:p w14:paraId="54B99031" w14:textId="77777777" w:rsidR="00446E41" w:rsidRPr="00796736" w:rsidRDefault="00446E41" w:rsidP="00A802A5">
      <w:pPr>
        <w:spacing w:line="360" w:lineRule="auto"/>
        <w:rPr>
          <w:rFonts w:ascii="Times New Roman" w:hAnsi="Times New Roman" w:cs="Times New Roman"/>
          <w:sz w:val="24"/>
          <w:szCs w:val="24"/>
        </w:rPr>
      </w:pPr>
    </w:p>
    <w:p w14:paraId="6DDD7EA4"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Kravene i stk. 1, nr. 2, skal være opfyldt til enhver tid. Dette indebærer, at kravene skal være opfyldt fra det tidspunkt, hvor bestyrelsesmedlemmet eller direktøren tiltræder hvervet eller stillingen, hvor valutaveksling udøves som en enkeltmandsvirksomhed, indehaveren, eller hvor valutavekslingsvirksomheden drives som juridisk person uden bestyrelse eller direktion, fra det tidspunkt, hvor den eller de ledelsesansvarlige søger om tilladelse til at udøve valutavekslingsvirksomhed, og i hele den periode, hvori den eller de pågældende varetager hvervet eller stillingen. Når en person tiltræder et hverv som bestyrelsesmedlem i eller en stilling som direktør for, eller, hvor valutaveksling udøves af en enkeltmandsvirksomhed, som indehaver, påser Finanstilsynet, om vedkommende har et tilstrækkeligt godt omdømme, og om vedkommende vil kunne udvise hæderlighed, integritet og tilstrækkelig uafhængighed ved varetagelse af hvervet eller stillingen.</w:t>
      </w:r>
    </w:p>
    <w:p w14:paraId="6550476C" w14:textId="77777777" w:rsidR="00446E41" w:rsidRPr="00796736" w:rsidRDefault="00446E41" w:rsidP="00A802A5">
      <w:pPr>
        <w:spacing w:line="360" w:lineRule="auto"/>
        <w:rPr>
          <w:rFonts w:ascii="Times New Roman" w:hAnsi="Times New Roman" w:cs="Times New Roman"/>
          <w:sz w:val="24"/>
          <w:szCs w:val="24"/>
        </w:rPr>
      </w:pPr>
    </w:p>
    <w:p w14:paraId="53D0DF29"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vil i forbindelse med vurderingen af, om et medlem af direktionen eller bestyrelsen har et tilstrækkeligt godt omdømme og udviser hæderlighed, integritet og tilstrækkelig uafhængighed, tage hensyn til, i hvilken type valutavekslingsvirksomhed den pågældende besidder en direktions- eller bestyrelsespost. </w:t>
      </w:r>
    </w:p>
    <w:p w14:paraId="0F0E1B70" w14:textId="77777777" w:rsidR="00446E41" w:rsidRPr="00796736" w:rsidRDefault="00446E41" w:rsidP="00A802A5">
      <w:pPr>
        <w:spacing w:line="360" w:lineRule="auto"/>
        <w:rPr>
          <w:rFonts w:ascii="Times New Roman" w:hAnsi="Times New Roman" w:cs="Times New Roman"/>
          <w:sz w:val="24"/>
          <w:szCs w:val="24"/>
        </w:rPr>
      </w:pPr>
    </w:p>
    <w:p w14:paraId="2B3F4E9D"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3,</w:t>
      </w:r>
      <w:r w:rsidRPr="00796736">
        <w:rPr>
          <w:rFonts w:ascii="Times New Roman" w:hAnsi="Times New Roman" w:cs="Times New Roman"/>
          <w:sz w:val="24"/>
          <w:szCs w:val="24"/>
        </w:rPr>
        <w:t xml:space="preserve"> at et medlem af øverste ledelse, herunder bestyrelsen eller direktionen i en valutavekslingsvirksomhed eller, hvor valutaveksling udøves af en enkeltmandsvirksomhed, indehaveren eller, hvor valutavekslingsvirksomheden drives som juridisk person uden bestyrelse eller direktion, den eller de ledelsesansvarlige ikke må være pålagt strafansvar for overtrædelse af straffeloven, den finansielle lovgivning eller anden relevant lovgivning, hvis overtrædelsen indebærer risiko for, at vedkommende ikke kan varetage sit hverv eller sin stilling på betryggende måde. </w:t>
      </w:r>
    </w:p>
    <w:p w14:paraId="36B795FB" w14:textId="77777777" w:rsidR="00446E41" w:rsidRPr="00796736" w:rsidRDefault="00446E41" w:rsidP="00A802A5">
      <w:pPr>
        <w:spacing w:line="360" w:lineRule="auto"/>
        <w:rPr>
          <w:rFonts w:ascii="Times New Roman" w:hAnsi="Times New Roman" w:cs="Times New Roman"/>
          <w:sz w:val="24"/>
          <w:szCs w:val="24"/>
        </w:rPr>
      </w:pPr>
    </w:p>
    <w:p w14:paraId="3C0199D2"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betyder, at en person som udgangspunkt ikke kan udpeges som henholdsvis bestyrelsesmedlem, ledelsesansvarlig eller direktør eller, hvor valutaveksling udøves af en enkeltmandsvirksomhed, være indehaver, hvis den pågældende er pålagt strafansvar for en overtrædelse af straffeloven eller anden lovgivning på det finansielle område, ligesom man som udgangspunkt må forlade sin stilling eller sit hverv, hvis man bliver pålagt strafansvar for sådanne overtrædelser, efter at man er udnævnt.</w:t>
      </w:r>
    </w:p>
    <w:p w14:paraId="2476ECC0" w14:textId="77777777" w:rsidR="00446E41" w:rsidRPr="00796736" w:rsidRDefault="00446E41" w:rsidP="00A802A5">
      <w:pPr>
        <w:spacing w:line="360" w:lineRule="auto"/>
        <w:rPr>
          <w:rFonts w:ascii="Times New Roman" w:hAnsi="Times New Roman" w:cs="Times New Roman"/>
          <w:sz w:val="24"/>
          <w:szCs w:val="24"/>
        </w:rPr>
      </w:pPr>
    </w:p>
    <w:p w14:paraId="016544F7"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vurderingen af, om en strafbar overtrædelse skal føre til, at den pågældende ikke kan udnævnes henholdsvis skal fratræde, vil indgå, om det udviste forhold begrunder en nærliggende fare for efterfølgende misbrug af hvervet eller stillingen, eller om den pågældende har handlet på en så retsstridig og uetisk måde, at der er grundlag for at antage, at den pågældende ikke vil varetage hvervet eller stillingen som henholdsvis bestyrelsesmedlem eller direktør på betryggende vis. Herudover vil hensynet til at opretholde tilliden til den finansielle sektor indgå i vurderingen af, om en strafbar overtrædelse skal medføre, at den pågældende ikke kan varetage hvervet eller stillingen. Det er således ikke enhver overtrædelse af straffe- og særlovgivningen, der vil føre til en reaktion fra Finanstilsynets side.</w:t>
      </w:r>
    </w:p>
    <w:p w14:paraId="25136896" w14:textId="77777777" w:rsidR="00446E41" w:rsidRPr="00796736" w:rsidRDefault="00446E41" w:rsidP="00A802A5">
      <w:pPr>
        <w:spacing w:line="360" w:lineRule="auto"/>
        <w:rPr>
          <w:rFonts w:ascii="Times New Roman" w:hAnsi="Times New Roman" w:cs="Times New Roman"/>
          <w:sz w:val="24"/>
          <w:szCs w:val="24"/>
        </w:rPr>
      </w:pPr>
    </w:p>
    <w:p w14:paraId="74A00673"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Bestyrelsesmedlemmer og direktører har efter Finanstilsynets praksis pligt til at indberette, hvis de er dømt for overtrædelse af straffelovens regler i kapitel 28 og 29 om berigelsesforbrydelser og andre strafbare formuekrænkelser. Hertil kommer, at der også skal ske en vurdering i forhold til andre overtrædelser af lovgivning af relevans for den finansielle sektor. Det kan eksempelvis være overtrædelser af strafbelagte bestemmelser i skattelovgivningen og selskabsretten. Det strafbare forhold skal være fastslået ved dom eller ved, at bestyrelsesmedlemmet eller direktøren har vedtaget et bødeforlæg, jf. retsplejelovens § 832. Er det strafbare forhold pådømt i udlandet, vil dette kunne begrunde Finanstilsynets indgriben efter stk. 1, nr. 5.</w:t>
      </w:r>
    </w:p>
    <w:p w14:paraId="3A246BD1" w14:textId="77777777" w:rsidR="00446E41" w:rsidRPr="00796736" w:rsidRDefault="00446E41" w:rsidP="00A802A5">
      <w:pPr>
        <w:spacing w:line="360" w:lineRule="auto"/>
        <w:rPr>
          <w:rFonts w:ascii="Times New Roman" w:hAnsi="Times New Roman" w:cs="Times New Roman"/>
          <w:sz w:val="24"/>
          <w:szCs w:val="24"/>
        </w:rPr>
      </w:pPr>
    </w:p>
    <w:p w14:paraId="224900BA" w14:textId="6DD61870"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vedtaget bødeforelæg har samme retsvirkning som en endelig dom, ligesom vedtagelsen har samme gentagelsesvirkning som en dom, jf. retsplejeloven § 832, stk. 4. Dette gælder ligeledes bødeforlæg udstedt af Finanstilsynet i henhold til </w:t>
      </w:r>
      <w:r w:rsidR="002A4E01">
        <w:rPr>
          <w:rFonts w:ascii="Times New Roman" w:hAnsi="Times New Roman" w:cs="Times New Roman"/>
          <w:sz w:val="24"/>
          <w:szCs w:val="24"/>
        </w:rPr>
        <w:t xml:space="preserve">lovforslagets </w:t>
      </w:r>
      <w:r w:rsidR="005E6C5E">
        <w:rPr>
          <w:rFonts w:ascii="Times New Roman" w:hAnsi="Times New Roman" w:cs="Times New Roman"/>
          <w:sz w:val="24"/>
          <w:szCs w:val="24"/>
        </w:rPr>
        <w:fldChar w:fldCharType="begin"/>
      </w:r>
      <w:r w:rsidR="005E6C5E">
        <w:rPr>
          <w:rFonts w:ascii="Times New Roman" w:hAnsi="Times New Roman" w:cs="Times New Roman"/>
          <w:sz w:val="24"/>
          <w:szCs w:val="24"/>
        </w:rPr>
        <w:instrText xml:space="preserve"> REF _Ref244689890 \r \h </w:instrText>
      </w:r>
      <w:r w:rsidR="005E6C5E">
        <w:rPr>
          <w:rFonts w:ascii="Times New Roman" w:hAnsi="Times New Roman" w:cs="Times New Roman"/>
          <w:sz w:val="24"/>
          <w:szCs w:val="24"/>
        </w:rPr>
      </w:r>
      <w:r w:rsidR="005E6C5E">
        <w:rPr>
          <w:rFonts w:ascii="Times New Roman" w:hAnsi="Times New Roman" w:cs="Times New Roman"/>
          <w:sz w:val="24"/>
          <w:szCs w:val="24"/>
        </w:rPr>
        <w:fldChar w:fldCharType="separate"/>
      </w:r>
      <w:r w:rsidR="008F29E5">
        <w:rPr>
          <w:rFonts w:ascii="Times New Roman" w:hAnsi="Times New Roman" w:cs="Times New Roman"/>
          <w:sz w:val="24"/>
          <w:szCs w:val="24"/>
        </w:rPr>
        <w:t>§ 140</w:t>
      </w:r>
      <w:r w:rsidR="005E6C5E">
        <w:rPr>
          <w:rFonts w:ascii="Times New Roman" w:hAnsi="Times New Roman" w:cs="Times New Roman"/>
          <w:sz w:val="24"/>
          <w:szCs w:val="24"/>
        </w:rPr>
        <w:fldChar w:fldCharType="end"/>
      </w:r>
      <w:r w:rsidR="005E6C5E">
        <w:rPr>
          <w:rFonts w:ascii="Times New Roman" w:hAnsi="Times New Roman" w:cs="Times New Roman"/>
          <w:sz w:val="24"/>
          <w:szCs w:val="24"/>
        </w:rPr>
        <w:t>, stk. 1.</w:t>
      </w:r>
    </w:p>
    <w:p w14:paraId="65ADA434" w14:textId="77777777" w:rsidR="00446E41" w:rsidRPr="00796736" w:rsidRDefault="00446E41" w:rsidP="00A802A5">
      <w:pPr>
        <w:spacing w:line="360" w:lineRule="auto"/>
        <w:rPr>
          <w:rFonts w:ascii="Times New Roman" w:hAnsi="Times New Roman" w:cs="Times New Roman"/>
          <w:sz w:val="24"/>
          <w:szCs w:val="24"/>
        </w:rPr>
      </w:pPr>
    </w:p>
    <w:p w14:paraId="5181476A"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4</w:t>
      </w:r>
      <w:r w:rsidRPr="00796736">
        <w:rPr>
          <w:rFonts w:ascii="Times New Roman" w:hAnsi="Times New Roman" w:cs="Times New Roman"/>
          <w:sz w:val="24"/>
          <w:szCs w:val="24"/>
        </w:rPr>
        <w:t>, at et medlem af øverste ledelse, herunder bestyrelsen eller direktionen i en valutavekslingsvirksomhed eller, hvor valutaveksling udøves af en enkeltmandsvirksomhed, indehaveren eller, hvor valutavekslingsvirksomheden drives som juridisk person uden bestyrelse eller direktion, den eller de ledelsesansvarlige ikke må have indgivet begæring om eller være under rekonstruktionsbehandling, konkurs eller gældssanering. Det foreslås således, at et ledelsesmedlem eller ledelsesansvarlig eller, hvor valutaveksling udøves af en enkeltmandsvirksomhed, indehaveren ikke kan varetage hvervet eller stillingen som henholdsvis bestyrelsesmedlem eller direktør, hvis den pågældende har indgivet begæring om rekonstruktionsbehandling, konkurs eller gældssanering eller er under rekonstruktionsbehandling, konkurs eller gældssanering.</w:t>
      </w:r>
    </w:p>
    <w:p w14:paraId="679D9641" w14:textId="77777777" w:rsidR="00446E41" w:rsidRPr="00796736" w:rsidRDefault="00446E41" w:rsidP="00A802A5">
      <w:pPr>
        <w:spacing w:line="360" w:lineRule="auto"/>
        <w:rPr>
          <w:rFonts w:ascii="Times New Roman" w:hAnsi="Times New Roman" w:cs="Times New Roman"/>
          <w:sz w:val="24"/>
          <w:szCs w:val="24"/>
        </w:rPr>
      </w:pPr>
    </w:p>
    <w:p w14:paraId="239A3945"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Finanstilsynet kan gribe ind, uanset på hvilket stadium i rekonstruktionsbehandlingen eller de respektive insolvensbehandlinger vedkommende befinder sig.</w:t>
      </w:r>
    </w:p>
    <w:p w14:paraId="6E93D6FE" w14:textId="77777777" w:rsidR="00446E41" w:rsidRPr="00796736" w:rsidRDefault="00446E41" w:rsidP="00A802A5">
      <w:pPr>
        <w:spacing w:line="360" w:lineRule="auto"/>
        <w:rPr>
          <w:rFonts w:ascii="Times New Roman" w:hAnsi="Times New Roman" w:cs="Times New Roman"/>
          <w:sz w:val="24"/>
          <w:szCs w:val="24"/>
        </w:rPr>
      </w:pPr>
    </w:p>
    <w:p w14:paraId="38ABC0B1"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5</w:t>
      </w:r>
      <w:r w:rsidRPr="00796736">
        <w:rPr>
          <w:rFonts w:ascii="Times New Roman" w:hAnsi="Times New Roman" w:cs="Times New Roman"/>
          <w:sz w:val="24"/>
          <w:szCs w:val="24"/>
        </w:rPr>
        <w:t>, at et medlem af øverste ledelse, herunder bestyrelsen eller direktionen i en valutavekslingsvirksomhed eller, hvor valutaveksling udøves af en enkeltmandsvirksomhed, indehaveren eller, hvor valutavekslingsvirksomheden drives som juridisk person uden bestyrelse eller direktion, den eller de ledelsesansvarlige ikke må have udvist en sådan adfærd, at der er grund til at antage, at vedkommende ikke vil varetage hvervet eller stillingen på forsvarlig måde.</w:t>
      </w:r>
    </w:p>
    <w:p w14:paraId="300C07DD" w14:textId="77777777" w:rsidR="00446E41" w:rsidRPr="00796736" w:rsidRDefault="00446E41" w:rsidP="00A802A5">
      <w:pPr>
        <w:spacing w:line="360" w:lineRule="auto"/>
        <w:rPr>
          <w:rFonts w:ascii="Times New Roman" w:hAnsi="Times New Roman" w:cs="Times New Roman"/>
          <w:sz w:val="24"/>
          <w:szCs w:val="24"/>
        </w:rPr>
      </w:pPr>
    </w:p>
    <w:p w14:paraId="589680A6"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vurderingen af, om den pågældende har udvist en adfærd, hvor der er grund til at antage, at vedkommende ikke vil varetage hvervet eller stillingen på forsvarlig måde, vil der blive lagt vægt på hensynet til at opretholde tilliden til den finansielle sektor.</w:t>
      </w:r>
    </w:p>
    <w:p w14:paraId="20D25891" w14:textId="77777777" w:rsidR="00446E41" w:rsidRPr="00796736" w:rsidRDefault="00446E41" w:rsidP="00A802A5">
      <w:pPr>
        <w:spacing w:line="360" w:lineRule="auto"/>
        <w:rPr>
          <w:rFonts w:ascii="Times New Roman" w:hAnsi="Times New Roman" w:cs="Times New Roman"/>
          <w:sz w:val="24"/>
          <w:szCs w:val="24"/>
        </w:rPr>
      </w:pPr>
    </w:p>
    <w:p w14:paraId="409C7A9B"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foreslås bl.a. anvendt i den situation, hvor bestyrelsesmedlemmets, direktørens eller de ledelsesansvarliges private økonomi er i en sådan uorden, at selve det forhold må anses for særdeles belastende for varetagelsen af den overordnede ledelse af en valutavekslingsvirksomhed. Som eksempler på økonomisk uorden kan nævnes, at vedkommende har restancer eller er indberettet som dårlig betaler el. lign. Herudover vil Finanstilsynet i vurderingen af et ledelsesmedlem eller ledelsesansvarliges adfærd kunne lægge vægt på, om den pågældende på grund af sin private økonomiske situation eller via et selskab, som vedkommende ejer eller deltager i driften af eller har en væsentlig indflydelse på, har påført valutavekslingsvirksomheden tab eller risiko for tab. Endvidere kan viden om, at den pågældende i gentagne tilfælde har været en del af ledelsen i virksomheder, der er gået konkurs, begrunde, at Finanstilsynet vurderer, at en person ikke opfylder kravet.</w:t>
      </w:r>
    </w:p>
    <w:p w14:paraId="4E187489" w14:textId="77777777" w:rsidR="00446E41" w:rsidRPr="00796736" w:rsidRDefault="00446E41" w:rsidP="00A802A5">
      <w:pPr>
        <w:spacing w:line="360" w:lineRule="auto"/>
        <w:rPr>
          <w:rFonts w:ascii="Times New Roman" w:hAnsi="Times New Roman" w:cs="Times New Roman"/>
          <w:sz w:val="24"/>
          <w:szCs w:val="24"/>
        </w:rPr>
      </w:pPr>
    </w:p>
    <w:p w14:paraId="1B3B78A6"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skal dog foretages en individuel vurdering, hvor Finanstilsynet bl.a. kan lægge vægt på, hvilken rolle den pågældende person har spillet i ledelsen af den eller de virksomheder, der er gået konkurs. Der vil således være personer, f.eks. advokater og andre professionelle bestyrelsesmedlemmer, der ikke har været med til at drive virksomheden, men som alene er blevet indsat i en konkurstruet virksomheds ledelse med det formål at lukke virksomheden på en så hensigtsmæssig måde som muligt. I sådanne tilfælde vil det ikke komme en person til skade, at vedkommende har deltaget i ledelsen af en eller flere virksomheder, der er gået konkurs. Andre eksempler på en tidligere udvist uforsvarlig adfærd kan være situationer, hvor det er åbenbart, at ledelsesmæssige svigt, manglende overholdelse af påbud fra en offentlig myndighed eller grovere misbrugssituationer har været årsag til problemer i de virksomheder, som den pågældende tidligere har deltaget i ledelsen af som bestyrelsesmedlem eller direktør.</w:t>
      </w:r>
    </w:p>
    <w:p w14:paraId="539039B7" w14:textId="77777777" w:rsidR="00446E41" w:rsidRPr="00796736" w:rsidRDefault="00446E41" w:rsidP="00A802A5">
      <w:pPr>
        <w:spacing w:line="360" w:lineRule="auto"/>
        <w:rPr>
          <w:rFonts w:ascii="Times New Roman" w:hAnsi="Times New Roman" w:cs="Times New Roman"/>
          <w:sz w:val="24"/>
          <w:szCs w:val="24"/>
        </w:rPr>
      </w:pPr>
    </w:p>
    <w:p w14:paraId="5F031146"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skal endvidere løbende vurdere, om ledelsen af en valutavekslingsvirksomhed sker på betryggende vis og gribe ind, hvis bestyrelsen, direktionen eller indehaveren har handlet til skade for virksomheden. Det kan eksempelvis være tilfældet, hvis ledelsen ikke har sikret en ordentlig styring, har undladt at efterleve krav om god administrativ praksis, herunder forretningsgange på alle væsentlige områder, og regnskabspraksis, eller har undladt at iværksætte fyldestgørende kontrolprocedurer.</w:t>
      </w:r>
    </w:p>
    <w:p w14:paraId="13BA8492" w14:textId="77777777" w:rsidR="00446E41" w:rsidRPr="00796736" w:rsidRDefault="00446E41" w:rsidP="00A802A5">
      <w:pPr>
        <w:spacing w:line="360" w:lineRule="auto"/>
        <w:rPr>
          <w:rFonts w:ascii="Times New Roman" w:hAnsi="Times New Roman" w:cs="Times New Roman"/>
          <w:sz w:val="24"/>
          <w:szCs w:val="24"/>
        </w:rPr>
      </w:pPr>
    </w:p>
    <w:p w14:paraId="757C9C38" w14:textId="53135310" w:rsidR="00446E41" w:rsidRPr="00796736" w:rsidRDefault="00446E41"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w:t>
      </w:r>
      <w:r w:rsidRPr="00796736">
        <w:rPr>
          <w:rFonts w:ascii="Times New Roman" w:eastAsia="Calibri" w:hAnsi="Times New Roman" w:cs="Times New Roman"/>
          <w:sz w:val="24"/>
          <w:szCs w:val="24"/>
        </w:rPr>
        <w:t xml:space="preserve">stk. 1, nr. 2-5 finder tilsvarende anvendelse for </w:t>
      </w:r>
      <w:r w:rsidR="002E5C4E" w:rsidRPr="00796736">
        <w:rPr>
          <w:rFonts w:ascii="Times New Roman" w:eastAsia="Calibri" w:hAnsi="Times New Roman" w:cs="Times New Roman"/>
          <w:sz w:val="24"/>
          <w:szCs w:val="24"/>
        </w:rPr>
        <w:t xml:space="preserve">valutavekslingsvirksomheders </w:t>
      </w:r>
      <w:r w:rsidRPr="00796736">
        <w:rPr>
          <w:rFonts w:ascii="Times New Roman" w:eastAsia="Calibri" w:hAnsi="Times New Roman" w:cs="Times New Roman"/>
          <w:sz w:val="24"/>
          <w:szCs w:val="24"/>
        </w:rPr>
        <w:t>ejere af kvalificerede andele, jf. § 5, stk. 3, i lov om finansiel virksomhed.</w:t>
      </w:r>
    </w:p>
    <w:p w14:paraId="4881FF9D" w14:textId="77777777" w:rsidR="00446E41" w:rsidRPr="00796736" w:rsidRDefault="00446E41" w:rsidP="00A802A5">
      <w:pPr>
        <w:spacing w:line="360" w:lineRule="auto"/>
        <w:rPr>
          <w:rFonts w:ascii="Times New Roman" w:eastAsia="Calibri" w:hAnsi="Times New Roman" w:cs="Times New Roman"/>
          <w:sz w:val="24"/>
          <w:szCs w:val="24"/>
        </w:rPr>
      </w:pPr>
    </w:p>
    <w:p w14:paraId="3E37F9D6"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medføre, at personer, der har mulighed for at udøve en betydelig indflydelse på ledelsen af en valutavekslingsvirksomhed gennem ejerskab af kvalificerede andele, også skal opfylde kravene om hæderlighed, integritet, uafhængighed og godt omdømme i medfør af § 5, stk. 3, i lov om finansiel virksomhed. Det er væsentligt, at kvalificerede ejere ikke har pådraget sig strafansvar for overtrædelse af straffeloven, den finansielle lovgivning eller anden relevant lovgivning, ikke er under rekonstruktionsbehandling, konkurs eller gældssanering, og ikke har udvist en sådan adfærd, at der er grund til at antage, at de ikke vil kunne udøve ejerskabet på forsvarlig måde.</w:t>
      </w:r>
    </w:p>
    <w:p w14:paraId="04784B61" w14:textId="77777777" w:rsidR="00446E41" w:rsidRPr="00796736" w:rsidRDefault="00446E41" w:rsidP="00A802A5">
      <w:pPr>
        <w:spacing w:line="360" w:lineRule="auto"/>
        <w:rPr>
          <w:rFonts w:ascii="Times New Roman" w:hAnsi="Times New Roman" w:cs="Times New Roman"/>
          <w:sz w:val="24"/>
          <w:szCs w:val="24"/>
        </w:rPr>
      </w:pPr>
    </w:p>
    <w:p w14:paraId="15F08A67"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vurderingen af, om en kvalificeret ejer opfylder kravene, lægger Finanstilsynet vægt på de samme forhold som for ledelsesmedlemmer, herunder alle relevante oplysninger om personens personlige og forretningsmæssige adfærd, tidligere overtrædelser, inddragelse af tilladelser, licenser mv., samt om der er grund til at nære begrundet tvivl om vedkommendes evne til at sikre en sund og sikker ledelse af virksomheden gennem sit ejerskab.</w:t>
      </w:r>
    </w:p>
    <w:p w14:paraId="47FA53CE" w14:textId="77777777" w:rsidR="00446E41" w:rsidRPr="00796736" w:rsidRDefault="00446E41" w:rsidP="00A802A5">
      <w:pPr>
        <w:spacing w:line="360" w:lineRule="auto"/>
        <w:rPr>
          <w:rFonts w:ascii="Times New Roman" w:hAnsi="Times New Roman" w:cs="Times New Roman"/>
          <w:sz w:val="24"/>
          <w:szCs w:val="24"/>
        </w:rPr>
      </w:pPr>
    </w:p>
    <w:p w14:paraId="696DDD20"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Kravene skal være opfyldt fra det tidspunkt, hvor den kvalificerede ejer erhverver ejerandelen, og i hele den periode, hvor vedkommende besidder denne. Finanstilsynet påser, at kvalificerede ejere opfylder kravene, og kan gribe ind, hvis dette ikke er tilfældet.</w:t>
      </w:r>
    </w:p>
    <w:p w14:paraId="36C905EB" w14:textId="77777777" w:rsidR="00446E41" w:rsidRPr="00796736" w:rsidRDefault="00446E41" w:rsidP="00A802A5">
      <w:pPr>
        <w:spacing w:line="360" w:lineRule="auto"/>
        <w:rPr>
          <w:rFonts w:ascii="Times New Roman" w:hAnsi="Times New Roman" w:cs="Times New Roman"/>
          <w:sz w:val="24"/>
          <w:szCs w:val="24"/>
        </w:rPr>
      </w:pPr>
    </w:p>
    <w:p w14:paraId="58F4D46C"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at når en person tiltræder et hverv som bestyrelsesmedlem eller en stilling som direktør i en valutavekslingsvirksomhed, påser Finanstilsynet, at personen opfylder egnetheds- og hæderlighedskravene i stk. 1. Det foreslås desuden, at Finanstilsynet træffer afgørelse om, hvorvidt personen kan bestride hvervet eller stillingen i den pågældende virksomhed 1. og 2. pkt. finder tilsvarende anvendelse for indehaveren af en valutavekslingsvirksomhed, der er en enkeltmandsvirksomhed, ledelsesansvarlige i en valutavekslingsvirksomhed, der drives uden direktion og bestyrelse, samt ejere af kvalificerede andele i en valutavekslingsvirksomhed, jf. § 5, stk. 3, i lov om finansiel virksomhed.</w:t>
      </w:r>
    </w:p>
    <w:p w14:paraId="43861B16" w14:textId="77777777" w:rsidR="00446E41" w:rsidRPr="00796736" w:rsidRDefault="00446E41" w:rsidP="00A802A5">
      <w:pPr>
        <w:spacing w:line="360" w:lineRule="auto"/>
        <w:rPr>
          <w:rFonts w:ascii="Times New Roman" w:hAnsi="Times New Roman" w:cs="Times New Roman"/>
          <w:sz w:val="24"/>
          <w:szCs w:val="24"/>
        </w:rPr>
      </w:pPr>
    </w:p>
    <w:p w14:paraId="0AC9EB65" w14:textId="12A19DAF" w:rsidR="00446E41"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praksis på området, at et ledelsesmedlem i forbindelse med sin tiltrædelse afgiver de nødvendige oplysninger til Finanstilsynet, som vurderer, om kravene til egnethed og hæderlighed er opfyldt. Hvis der ansøges om tilladelse til at drive virksomhed omfattet af loven fremgår det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_Ref232596584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42</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at ansøgningen skal indeholde de oplysninger, der er nødvendige til brug for Finanstilsynets vurdering af, om betingelserne i for opnåelse af tilladelsen er opfyldt. </w:t>
      </w:r>
    </w:p>
    <w:p w14:paraId="22ED606C" w14:textId="77777777" w:rsidR="002A4E01" w:rsidRDefault="002A4E01" w:rsidP="00A802A5">
      <w:pPr>
        <w:spacing w:line="360" w:lineRule="auto"/>
        <w:rPr>
          <w:rFonts w:ascii="Times New Roman" w:hAnsi="Times New Roman" w:cs="Times New Roman"/>
          <w:sz w:val="24"/>
          <w:szCs w:val="24"/>
        </w:rPr>
      </w:pPr>
    </w:p>
    <w:p w14:paraId="0E71EF41" w14:textId="19F66BD4" w:rsidR="002A4E01" w:rsidRPr="00796736" w:rsidRDefault="002A4E01" w:rsidP="00A802A5">
      <w:pPr>
        <w:spacing w:line="360" w:lineRule="auto"/>
        <w:rPr>
          <w:rFonts w:ascii="Times New Roman" w:hAnsi="Times New Roman" w:cs="Times New Roman"/>
          <w:sz w:val="24"/>
          <w:szCs w:val="24"/>
        </w:rPr>
      </w:pPr>
      <w:r w:rsidRPr="002A4E01">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7569EAE3" w14:textId="77777777" w:rsidR="00446E41" w:rsidRPr="00796736" w:rsidRDefault="00446E41" w:rsidP="00A802A5">
      <w:pPr>
        <w:spacing w:line="360" w:lineRule="auto"/>
        <w:rPr>
          <w:rFonts w:ascii="Times New Roman" w:hAnsi="Times New Roman" w:cs="Times New Roman"/>
          <w:sz w:val="24"/>
          <w:szCs w:val="24"/>
        </w:rPr>
      </w:pPr>
    </w:p>
    <w:p w14:paraId="7B64F249" w14:textId="58081609"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1. pkt. vil medføre en lovfæstning af Finanstilsynets praksis, hvorefter Finanstilsynet påser, at ledelsesmedlemmer opfylder egnetheds- og hæderlighedskravene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i forbindelse med at den pågældende tiltræder et hverv som bestyrelsesmedlem eller en stilling som direktør i en valutavekslingsvirksomhed. Finanstilsynet påser på samme vis, at kravene er opfyldt for så vidt angår indehavere af valutavekslingsvirksomheder, der er enkelt mandsvirksomheder, ledelsesmedlemmer af valutavekslings virksomheder, der drives som en juridisk person uden en bestyrelse eller direktion, samt ejere af kvalificerede ejendele i valutavekslingsvirksomheder. Den foreslåede bestemmelse indebærer ingen materielle ændringer. </w:t>
      </w:r>
    </w:p>
    <w:p w14:paraId="6AAFC30B" w14:textId="77777777" w:rsidR="00446E41" w:rsidRPr="00796736" w:rsidRDefault="00446E41" w:rsidP="00A802A5">
      <w:pPr>
        <w:spacing w:line="360" w:lineRule="auto"/>
        <w:rPr>
          <w:rFonts w:ascii="Times New Roman" w:hAnsi="Times New Roman" w:cs="Times New Roman"/>
          <w:sz w:val="24"/>
          <w:szCs w:val="24"/>
        </w:rPr>
      </w:pPr>
    </w:p>
    <w:p w14:paraId="73DA65D1" w14:textId="0C34A768"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Ledelsesmedlemmer og de øvrige personer omfattet bestemmelsen kan i forbindelse med deres tiltrædelse vælge at udfylde et oplysningsskema via virk.dk, som indsendes til Finanstilsynet. Finanstilsynet modtager i den forbindelse de oplysninger, som er nødvendige for Finanstilsynets vurdering af, om vedkommende opfylder kravene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i forhold til den konkrete stilling. Når Finanstilsynet har modtaget alle relevante oplysninger, træffer Finanstilsynet afgørelse om, hvorvidt det pågældende ledelsesmedlem op fylder kravene til egnethed og hæderlighed</w:t>
      </w:r>
    </w:p>
    <w:p w14:paraId="1C81078D" w14:textId="77777777" w:rsidR="00446E41" w:rsidRPr="00796736" w:rsidRDefault="00446E41" w:rsidP="00A802A5">
      <w:pPr>
        <w:spacing w:line="360" w:lineRule="auto"/>
        <w:rPr>
          <w:rFonts w:ascii="Times New Roman" w:hAnsi="Times New Roman" w:cs="Times New Roman"/>
          <w:sz w:val="24"/>
          <w:szCs w:val="24"/>
        </w:rPr>
      </w:pPr>
    </w:p>
    <w:p w14:paraId="1D0B732F"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2. pkt. vil medføre en lovfæstning af Finanstilsynet praksis og afgørelseskompetence. Det er en betingelse for, at et ledelsesmedlemmer og eller øvrige per soner omfattet af bestemmelsen kan indtræde i virksomheden, at Finanstilsynet kan egnet- og hæderlighedsgodkende vedkommende. </w:t>
      </w:r>
    </w:p>
    <w:p w14:paraId="5B4E8613" w14:textId="77777777" w:rsidR="00446E41" w:rsidRPr="00796736" w:rsidRDefault="00446E41" w:rsidP="00A802A5">
      <w:pPr>
        <w:spacing w:line="360" w:lineRule="auto"/>
        <w:rPr>
          <w:rFonts w:ascii="Times New Roman" w:hAnsi="Times New Roman" w:cs="Times New Roman"/>
          <w:sz w:val="24"/>
          <w:szCs w:val="24"/>
        </w:rPr>
      </w:pPr>
    </w:p>
    <w:p w14:paraId="6E7A62FD" w14:textId="6DE51018"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Finanstilsynet vurderer, at den pågældende ikke opfylder kravene til egnethed og hæderlighed, træffer Finanstil synet afgørelse om, at den pågældende ikke kan bestride hvervet eller stillingen i den pågældende virksomhed. Inden Finanstilsynet afslår en ansøgning om egnet- og hæderlighedsgodkendelse, skal der i henhold til reglerne i forvaltningsloven foretages en partshøring af virksomheden og af den, som afgørelsen retter sig mod. Sagen forelægges efter følgende for Finanstilsynets bestyrelse til endelig afgørelse i medfør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_Ref232597084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jf. § 345, stk. 12, nr. 4, i lov om finansiel virksomhed. Som part i Finanstilsynets afgørelser om egnethed og hæderlighed anses både den berørte virksomhed og den person som afgørelsen vedrører, jf. </w:t>
      </w:r>
      <w:r w:rsidR="002A4E01">
        <w:rPr>
          <w:rFonts w:ascii="Times New Roman" w:hAnsi="Times New Roman" w:cs="Times New Roman"/>
          <w:sz w:val="24"/>
          <w:szCs w:val="24"/>
        </w:rPr>
        <w:fldChar w:fldCharType="begin"/>
      </w:r>
      <w:r w:rsidR="002A4E01">
        <w:rPr>
          <w:rFonts w:ascii="Times New Roman" w:hAnsi="Times New Roman" w:cs="Times New Roman"/>
          <w:sz w:val="24"/>
          <w:szCs w:val="24"/>
        </w:rPr>
        <w:instrText xml:space="preserve"> REF _Ref232949113 \n \h </w:instrText>
      </w:r>
      <w:r w:rsidR="00CB248D">
        <w:rPr>
          <w:rFonts w:ascii="Times New Roman" w:hAnsi="Times New Roman" w:cs="Times New Roman"/>
          <w:sz w:val="24"/>
          <w:szCs w:val="24"/>
        </w:rPr>
        <w:instrText xml:space="preserve"> \* MERGEFORMAT </w:instrText>
      </w:r>
      <w:r w:rsidR="002A4E01">
        <w:rPr>
          <w:rFonts w:ascii="Times New Roman" w:hAnsi="Times New Roman" w:cs="Times New Roman"/>
          <w:sz w:val="24"/>
          <w:szCs w:val="24"/>
        </w:rPr>
      </w:r>
      <w:r w:rsidR="002A4E01">
        <w:rPr>
          <w:rFonts w:ascii="Times New Roman" w:hAnsi="Times New Roman" w:cs="Times New Roman"/>
          <w:sz w:val="24"/>
          <w:szCs w:val="24"/>
        </w:rPr>
        <w:fldChar w:fldCharType="separate"/>
      </w:r>
      <w:r w:rsidR="008F29E5">
        <w:rPr>
          <w:rFonts w:ascii="Times New Roman" w:hAnsi="Times New Roman" w:cs="Times New Roman"/>
          <w:sz w:val="24"/>
          <w:szCs w:val="24"/>
        </w:rPr>
        <w:t>§ 130</w:t>
      </w:r>
      <w:r w:rsidR="002A4E01">
        <w:rPr>
          <w:rFonts w:ascii="Times New Roman" w:hAnsi="Times New Roman" w:cs="Times New Roman"/>
          <w:sz w:val="24"/>
          <w:szCs w:val="24"/>
        </w:rPr>
        <w:fldChar w:fldCharType="end"/>
      </w:r>
      <w:r w:rsidR="002A4E01">
        <w:rPr>
          <w:rFonts w:ascii="Times New Roman" w:hAnsi="Times New Roman" w:cs="Times New Roman"/>
          <w:sz w:val="24"/>
          <w:szCs w:val="24"/>
        </w:rPr>
        <w:t xml:space="preserve"> </w:t>
      </w:r>
      <w:r w:rsidRPr="00796736">
        <w:rPr>
          <w:rFonts w:ascii="Times New Roman" w:hAnsi="Times New Roman" w:cs="Times New Roman"/>
          <w:sz w:val="24"/>
          <w:szCs w:val="24"/>
        </w:rPr>
        <w:t xml:space="preserve">i hvidvaskloven. </w:t>
      </w:r>
    </w:p>
    <w:p w14:paraId="683466D0" w14:textId="77777777" w:rsidR="00446E41" w:rsidRPr="00796736" w:rsidRDefault="00446E41" w:rsidP="00A802A5">
      <w:pPr>
        <w:spacing w:line="360" w:lineRule="auto"/>
        <w:rPr>
          <w:rFonts w:ascii="Times New Roman" w:hAnsi="Times New Roman" w:cs="Times New Roman"/>
          <w:sz w:val="24"/>
          <w:szCs w:val="24"/>
        </w:rPr>
      </w:pPr>
    </w:p>
    <w:p w14:paraId="3D5930C6"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Finanstilsynets afgørelser om egnethed og hæderlighed kan påklages til Erhvervsankenævnet af sagens parter. </w:t>
      </w:r>
    </w:p>
    <w:p w14:paraId="21B0F565" w14:textId="77777777" w:rsidR="00446E41" w:rsidRPr="00796736" w:rsidRDefault="00446E41" w:rsidP="00A802A5">
      <w:pPr>
        <w:spacing w:line="360" w:lineRule="auto"/>
        <w:rPr>
          <w:rFonts w:ascii="Times New Roman" w:hAnsi="Times New Roman" w:cs="Times New Roman"/>
          <w:sz w:val="24"/>
          <w:szCs w:val="24"/>
        </w:rPr>
      </w:pPr>
    </w:p>
    <w:p w14:paraId="1CC2F8E3" w14:textId="3AFE283D"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3. pkt. medfører, at det foreslåede stk. 2 finder tilsvarende anvendelse på de personer, som er omfattet af krav om egnethed og hæderlighed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w:t>
      </w:r>
    </w:p>
    <w:p w14:paraId="7ED2E418" w14:textId="77777777" w:rsidR="00446E41" w:rsidRPr="00796736" w:rsidRDefault="00446E41" w:rsidP="00A802A5">
      <w:pPr>
        <w:spacing w:line="360" w:lineRule="auto"/>
        <w:rPr>
          <w:rFonts w:ascii="Times New Roman" w:hAnsi="Times New Roman" w:cs="Times New Roman"/>
          <w:sz w:val="24"/>
          <w:szCs w:val="24"/>
        </w:rPr>
      </w:pPr>
    </w:p>
    <w:p w14:paraId="7B855F6E"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at hvis Finanstilsynet vurderer, at personen ikke opfylder kravene i stk. 1, nr. 2-5, skal afgørelsens varighed fremgå af afgørelsen. </w:t>
      </w:r>
    </w:p>
    <w:p w14:paraId="46AB02C2" w14:textId="77777777" w:rsidR="00446E41" w:rsidRPr="00796736" w:rsidRDefault="00446E41" w:rsidP="00A802A5">
      <w:pPr>
        <w:spacing w:line="360" w:lineRule="auto"/>
        <w:rPr>
          <w:rFonts w:ascii="Times New Roman" w:hAnsi="Times New Roman" w:cs="Times New Roman"/>
          <w:sz w:val="24"/>
          <w:szCs w:val="24"/>
        </w:rPr>
      </w:pPr>
    </w:p>
    <w:p w14:paraId="2995B9CC"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medføre, at Finanstilsynet ikke efter udløbet af varigheden kan inddrage de forhold, der lå til grund for afslaget. Det betyder, at de forhold, der var afgørende for en vurdering af, at personen ikke opfyldte hæderlighedskravet, som udgangspunkt ikke længere forventes at have betydning for en ny vurdering. </w:t>
      </w:r>
    </w:p>
    <w:p w14:paraId="7005A178" w14:textId="77777777" w:rsidR="00446E41" w:rsidRPr="00796736" w:rsidRDefault="00446E41" w:rsidP="00A802A5">
      <w:pPr>
        <w:spacing w:line="360" w:lineRule="auto"/>
        <w:rPr>
          <w:rFonts w:ascii="Times New Roman" w:hAnsi="Times New Roman" w:cs="Times New Roman"/>
          <w:sz w:val="24"/>
          <w:szCs w:val="24"/>
        </w:rPr>
      </w:pPr>
    </w:p>
    <w:p w14:paraId="23107B0C" w14:textId="040711D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ikke ændre på, at den pågældende efter udløbet af afgørelsens varighed, på ny vil skulle ansøge Finanstilsynet om godkendelse til en stilling, et hverv eller ejerskab omfattet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i hvidvaskloven. </w:t>
      </w:r>
    </w:p>
    <w:p w14:paraId="4A4D37FA" w14:textId="77777777" w:rsidR="00446E41" w:rsidRPr="00796736" w:rsidRDefault="00446E41" w:rsidP="00A802A5">
      <w:pPr>
        <w:spacing w:line="360" w:lineRule="auto"/>
        <w:rPr>
          <w:rFonts w:ascii="Times New Roman" w:hAnsi="Times New Roman" w:cs="Times New Roman"/>
          <w:sz w:val="24"/>
          <w:szCs w:val="24"/>
        </w:rPr>
      </w:pPr>
    </w:p>
    <w:p w14:paraId="0F6949A4" w14:textId="186BE086"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bero på en konkret vurdering, hvor længe afgørelsen skal have virkning. Varigheden kan som udgangspunkt fastsættes fra et år til fem år, men kan i særligt alvorlige sager fastsættes til </w:t>
      </w:r>
      <w:r w:rsidR="007E3D76" w:rsidRPr="007E3D76">
        <w:rPr>
          <w:rFonts w:ascii="Times New Roman" w:hAnsi="Times New Roman" w:cs="Times New Roman"/>
          <w:sz w:val="24"/>
          <w:szCs w:val="24"/>
        </w:rPr>
        <w:t>»</w:t>
      </w:r>
      <w:r w:rsidRPr="00796736">
        <w:rPr>
          <w:rFonts w:ascii="Times New Roman" w:hAnsi="Times New Roman" w:cs="Times New Roman"/>
          <w:sz w:val="24"/>
          <w:szCs w:val="24"/>
        </w:rPr>
        <w:t>indtil videre</w:t>
      </w:r>
      <w:r w:rsidR="007E3D76" w:rsidRPr="007E3D76">
        <w:rPr>
          <w:rFonts w:ascii="Times New Roman" w:hAnsi="Times New Roman" w:cs="Times New Roman"/>
          <w:sz w:val="24"/>
          <w:szCs w:val="24"/>
        </w:rPr>
        <w:t>«</w:t>
      </w:r>
      <w:r w:rsidRPr="00796736">
        <w:rPr>
          <w:rFonts w:ascii="Times New Roman" w:hAnsi="Times New Roman" w:cs="Times New Roman"/>
          <w:sz w:val="24"/>
          <w:szCs w:val="24"/>
        </w:rPr>
        <w:t xml:space="preserve">. Det er ikke enhver tvivl om en persons omdømme eller adfærd, der kan føre til, at personen vurderes som ikke-hæderlig. Forhold, der fører til et afslag, vil altid have en væsentlig tyngde. Baggrunden for reglen er hensynet til tilliden til den finansielle sektor. Hvis et ledelsesmedlem, der vurderes ikke-hæderlig, kort efter afgørelsen herom foreligger, kan indtræde som ledelsesmed lem i en anden finansiel virksomhed, vil tilliden blive svækket. Retningsgivende for fastsættelsen af en varighed på fem år vil være, at der ikke er forhold, der taler for en kortere varighed, eller hvor karakteren og omfanget af forholdene tilsiger, at en længere varighed er påkrævet. </w:t>
      </w:r>
    </w:p>
    <w:p w14:paraId="553AC78F" w14:textId="77777777" w:rsidR="00446E41" w:rsidRPr="00796736" w:rsidRDefault="00446E41" w:rsidP="00A802A5">
      <w:pPr>
        <w:spacing w:line="360" w:lineRule="auto"/>
        <w:rPr>
          <w:rFonts w:ascii="Times New Roman" w:hAnsi="Times New Roman" w:cs="Times New Roman"/>
          <w:sz w:val="24"/>
          <w:szCs w:val="24"/>
        </w:rPr>
      </w:pPr>
    </w:p>
    <w:p w14:paraId="4B068E84" w14:textId="32875F4C"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Udmålingen af varigheden inden for rammerne af stk. 4 vil være overladt til Finanstilsynets skøn, og vil bero på en konkret vurdering af de forhold, der lægger til grund for afgørelsen. I vurderingen af fastsættelsen af varigheden efter det foreslåede stk. 4 vil Finanstilsynet foretage en samlet vurdering, der bl.a. tager hensyn til, hvor lang tid der er gået siden det pågældende forhold, personens adfærd siden det pågældende forhold og om der er tale om gentagelsestilfælde. I situationer med gentagelsestilfælde vil der ikke blive sondret mellem, om den kritisable adfærd vedrører forskellige typer af forhold. Gentagelsestilfælde vil være skærpende for fastsættelsen af afgørelsens varighed. Hvis et forhold er begået forud for en tidligere afgørelse om manglende opfyldelse af kravene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2-5, vil der som udgangspunkt skulle udmåles en varighed svarende til, hvad der ville være blevet resultatet ved en samlet vurdering. </w:t>
      </w:r>
    </w:p>
    <w:p w14:paraId="5596486D" w14:textId="77777777" w:rsidR="00446E41" w:rsidRPr="00796736" w:rsidRDefault="00446E41" w:rsidP="00A802A5">
      <w:pPr>
        <w:spacing w:line="360" w:lineRule="auto"/>
        <w:rPr>
          <w:rFonts w:ascii="Times New Roman" w:hAnsi="Times New Roman" w:cs="Times New Roman"/>
          <w:sz w:val="24"/>
          <w:szCs w:val="24"/>
        </w:rPr>
      </w:pPr>
    </w:p>
    <w:p w14:paraId="01655BB6" w14:textId="552B64F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formål med at fastsætte varigheden er at øge transpa rensen og retssikkerheden for de personer, som afgørelsen vedrører. Der vil være forskel på varigheden af afgørelser meddelt på baggrund af mindre alvorlige forhold og grovere forhold. Finanstilsynet skal derfor tage hensyn til karakteren af forholdet, herunder om det er et strafbart eller administrativt forhold, om det vedrører et tillidsbrud, og om der er tale om gentagelsestilfælde. De kumulative effekter af flere mindre grove overtrædelser i samme sag kan være skærpen de i forbindelse med fastsættelsen af varigheden, ligesom en tilstrækkelig grov overtrædelse i særligt alvorlige sager kan bevirke, at påbuddets varighed fastsættes til </w:t>
      </w:r>
      <w:r w:rsidR="007E3D76" w:rsidRPr="007E3D76">
        <w:rPr>
          <w:rFonts w:ascii="Times New Roman" w:hAnsi="Times New Roman" w:cs="Times New Roman"/>
          <w:sz w:val="24"/>
          <w:szCs w:val="24"/>
        </w:rPr>
        <w:t>»</w:t>
      </w:r>
      <w:r w:rsidRPr="00796736">
        <w:rPr>
          <w:rFonts w:ascii="Times New Roman" w:hAnsi="Times New Roman" w:cs="Times New Roman"/>
          <w:sz w:val="24"/>
          <w:szCs w:val="24"/>
        </w:rPr>
        <w:t>indtil videre</w:t>
      </w:r>
      <w:r w:rsidR="007E3D76" w:rsidRPr="007E3D76">
        <w:rPr>
          <w:rFonts w:ascii="Times New Roman" w:hAnsi="Times New Roman" w:cs="Times New Roman"/>
          <w:sz w:val="24"/>
          <w:szCs w:val="24"/>
        </w:rPr>
        <w:t>«</w:t>
      </w:r>
      <w:r w:rsidRPr="00796736">
        <w:rPr>
          <w:rFonts w:ascii="Times New Roman" w:hAnsi="Times New Roman" w:cs="Times New Roman"/>
          <w:sz w:val="24"/>
          <w:szCs w:val="24"/>
        </w:rPr>
        <w:t xml:space="preserve">. En varighed, der fastsættes til </w:t>
      </w:r>
      <w:r w:rsidR="007E3D76" w:rsidRPr="007E3D76">
        <w:rPr>
          <w:rFonts w:ascii="Times New Roman" w:hAnsi="Times New Roman" w:cs="Times New Roman"/>
          <w:sz w:val="24"/>
          <w:szCs w:val="24"/>
        </w:rPr>
        <w:t>»</w:t>
      </w:r>
      <w:r w:rsidRPr="00796736">
        <w:rPr>
          <w:rFonts w:ascii="Times New Roman" w:hAnsi="Times New Roman" w:cs="Times New Roman"/>
          <w:sz w:val="24"/>
          <w:szCs w:val="24"/>
        </w:rPr>
        <w:t>indtil videre</w:t>
      </w:r>
      <w:r w:rsidR="007E3D76" w:rsidRPr="007E3D76">
        <w:rPr>
          <w:rFonts w:ascii="Times New Roman" w:hAnsi="Times New Roman" w:cs="Times New Roman"/>
          <w:sz w:val="24"/>
          <w:szCs w:val="24"/>
        </w:rPr>
        <w:t>«</w:t>
      </w:r>
      <w:r w:rsidRPr="00796736">
        <w:rPr>
          <w:rFonts w:ascii="Times New Roman" w:hAnsi="Times New Roman" w:cs="Times New Roman"/>
          <w:sz w:val="24"/>
          <w:szCs w:val="24"/>
        </w:rPr>
        <w:t xml:space="preserve">, vil derfor kun anvendes ved særligt alvorlige forhold og i sjældne tilfælde. </w:t>
      </w:r>
    </w:p>
    <w:p w14:paraId="287C0DFD" w14:textId="77777777" w:rsidR="00446E41" w:rsidRPr="00796736" w:rsidRDefault="00446E41" w:rsidP="00A802A5">
      <w:pPr>
        <w:spacing w:line="360" w:lineRule="auto"/>
        <w:rPr>
          <w:rFonts w:ascii="Times New Roman" w:hAnsi="Times New Roman" w:cs="Times New Roman"/>
          <w:sz w:val="24"/>
          <w:szCs w:val="24"/>
        </w:rPr>
      </w:pPr>
    </w:p>
    <w:p w14:paraId="3A317795" w14:textId="094FF9FF"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udgangspunkt vil forhold, som er ældre end ti år, ikke kunne inddrages i en vurdering af en persons hæderlig hed. Finanstilsynet vil dog kunne inddrage forhold, der lig ger længere tilbage i tid, hvis forholdene er særligt alvorlige, eller hvis disse er en del af et sammenhængende sagsforløb, hvor dele er mindre end ti år gamle, eller hvor der er tale om gentagelsestilfælde. Som eksempler på alvorlige forhold kan nævnes svindel, grov tilsidesættelse af god skik, forsætlig tilsidesættelse af hvidvasklovens regler eller egentlig medvirken til økonomisk kriminalitet. En tidligere afgørelse om manglende opfyldelse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2-5, har således gentagelsesvirkning for varigheden, uanset om det aktuelle forhold er af samme art eller ej. Det vil omvendt også betyde, at der skal være særlige forhold, der gør sig gældende, hvis Finanstilsynet ved vurderingen af en persons adfærd skal kunne inddrage forhold, som går længere tilbage end ti år. </w:t>
      </w:r>
    </w:p>
    <w:p w14:paraId="16C557DA" w14:textId="77777777" w:rsidR="00446E41" w:rsidRPr="00796736" w:rsidRDefault="00446E41" w:rsidP="00A802A5">
      <w:pPr>
        <w:spacing w:line="360" w:lineRule="auto"/>
        <w:rPr>
          <w:rFonts w:ascii="Times New Roman" w:hAnsi="Times New Roman" w:cs="Times New Roman"/>
          <w:sz w:val="24"/>
          <w:szCs w:val="24"/>
        </w:rPr>
      </w:pPr>
    </w:p>
    <w:p w14:paraId="2BC7F15B" w14:textId="702E925D"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 over hensynet til omfanget, karakteren og grovheden af de forhold, der begrunder afgørelsen, vil Finanstilsynet også skulle lægge vægt på, hvorvidt der er grund til at antage, at den pågældende fortsat ikke vil kunne varetage hvervet eller stillingen på forsvarlig måde. Det vil bero på en vurdering af de konkrete forhold, herunder om forholdet er så kritisabelt, at en længere varighed er påkrævet, eller hvor varigheden i særligt alvorlige sager bør være </w:t>
      </w:r>
      <w:r w:rsidR="007E3D76" w:rsidRPr="007E3D76">
        <w:rPr>
          <w:rFonts w:ascii="Times New Roman" w:hAnsi="Times New Roman" w:cs="Times New Roman"/>
          <w:sz w:val="24"/>
          <w:szCs w:val="24"/>
        </w:rPr>
        <w:t>»</w:t>
      </w:r>
      <w:r w:rsidR="007E3D76" w:rsidRPr="00796736">
        <w:rPr>
          <w:rFonts w:ascii="Times New Roman" w:hAnsi="Times New Roman" w:cs="Times New Roman"/>
          <w:sz w:val="24"/>
          <w:szCs w:val="24"/>
        </w:rPr>
        <w:t>indtil videre</w:t>
      </w:r>
      <w:r w:rsidR="007E3D76" w:rsidRPr="007E3D76">
        <w:rPr>
          <w:rFonts w:ascii="Times New Roman" w:hAnsi="Times New Roman" w:cs="Times New Roman"/>
          <w:sz w:val="24"/>
          <w:szCs w:val="24"/>
        </w:rPr>
        <w:t>«</w:t>
      </w:r>
      <w:r w:rsidR="007E3D76">
        <w:rPr>
          <w:rFonts w:ascii="Times New Roman" w:hAnsi="Times New Roman" w:cs="Times New Roman"/>
          <w:sz w:val="24"/>
          <w:szCs w:val="24"/>
        </w:rPr>
        <w:t>.</w:t>
      </w:r>
    </w:p>
    <w:p w14:paraId="3082FB83" w14:textId="77777777" w:rsidR="00446E41" w:rsidRPr="00796736" w:rsidRDefault="00446E41" w:rsidP="00A802A5">
      <w:pPr>
        <w:spacing w:line="360" w:lineRule="auto"/>
        <w:rPr>
          <w:rFonts w:ascii="Times New Roman" w:hAnsi="Times New Roman" w:cs="Times New Roman"/>
          <w:sz w:val="24"/>
          <w:szCs w:val="24"/>
        </w:rPr>
      </w:pPr>
    </w:p>
    <w:p w14:paraId="2BF7A70F" w14:textId="2F44722E"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Begyndelsestidspunktet for varigheden af afgørelsen vil som udgangspunkt være datoen for Finanstilsynets afgørelse. Varigheden af afgørelser og påbud vil bl.a. afhænge af grov heden af de passerede forhold, om der er tale om gentagelsestilfælde, hvor lang en periode forholdene har stået eller stod på, og hvor lang tid der er gået, siden de pågældende forhold er ophørt. I vurderingen af fastsættelsen af varigheden vil Finanstilsynet skulle foretage en samlet vurdering. I de tilfælde, hvor Finanstilsynet imidlertid afviser en person med henvisning til, at vedkommende er under konkurs, rekonstruktion eller gældssanering, jf.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4, vil det skulle fremgå af afgørelsen, at begyndelsestidspunktet regnes fra datoen for afslutningen af konkurs, rekonstruktion eller gældssanering. </w:t>
      </w:r>
    </w:p>
    <w:p w14:paraId="56D0B574" w14:textId="77777777" w:rsidR="00446E41" w:rsidRPr="00796736" w:rsidRDefault="00446E41" w:rsidP="00A802A5">
      <w:pPr>
        <w:spacing w:line="360" w:lineRule="auto"/>
        <w:rPr>
          <w:rFonts w:ascii="Times New Roman" w:hAnsi="Times New Roman" w:cs="Times New Roman"/>
          <w:sz w:val="24"/>
          <w:szCs w:val="24"/>
        </w:rPr>
      </w:pPr>
    </w:p>
    <w:p w14:paraId="1FCDF62A"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Udgangspunktet for en negativ hæderlighedsvurdering vil være, at et afslag har en varighed på fem år, medmindre særlige forhold taler for en kortere eller længere varighed. </w:t>
      </w:r>
    </w:p>
    <w:p w14:paraId="3B6966A0" w14:textId="77777777" w:rsidR="00446E41" w:rsidRPr="00796736" w:rsidRDefault="00446E41" w:rsidP="00A802A5">
      <w:pPr>
        <w:spacing w:line="360" w:lineRule="auto"/>
        <w:rPr>
          <w:rFonts w:ascii="Times New Roman" w:hAnsi="Times New Roman" w:cs="Times New Roman"/>
          <w:sz w:val="24"/>
          <w:szCs w:val="24"/>
        </w:rPr>
      </w:pPr>
    </w:p>
    <w:p w14:paraId="5592D8E6"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Retningsgivende for fastsættelsen af en varighed på fem år vil således være, at der ikke er forhold, der taler for en kortere varighed, eller hvor karakteren og omfanget af forholdene tilsiger, at en længere varighed er påkrævet. Når en person har modtaget et afslag på ansøgning om egnetheds- og hæderlighedsgodkendelse på grund af manglende hæderlighed, er der tale om en adfærd, der medfører, at personens omdømme ikke anses for at være tilstrækkeligt betryggende til, at personen kan varetage den pågældende stilling, dvs. at den pågældendes omdømme er påvirket af en given adfærd. Det vil derfor være naturligt, at der er en periode umiddelbart efter, hvor personens omdømme ikke kan bedømmes anderledes. </w:t>
      </w:r>
    </w:p>
    <w:p w14:paraId="7D97C20C" w14:textId="77777777" w:rsidR="00446E41" w:rsidRPr="00796736" w:rsidRDefault="00446E41" w:rsidP="00A802A5">
      <w:pPr>
        <w:spacing w:line="360" w:lineRule="auto"/>
        <w:rPr>
          <w:rFonts w:ascii="Times New Roman" w:hAnsi="Times New Roman" w:cs="Times New Roman"/>
          <w:sz w:val="24"/>
          <w:szCs w:val="24"/>
        </w:rPr>
      </w:pPr>
    </w:p>
    <w:p w14:paraId="41FC460A"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 over en konkret vurdering af grovheden af forholdene vil Finanstilsynet også kunne inddrage kumulative effekter af flere overtrædelser, gentagelsestilfælde og den eventuelle skadevirkning af forholdet. Hvis det pågældende forhold er egnet til i betydeligt omfang at svække den samlede sektors omdømme og derved tilliden til sektoren, bør det skærpe varigheden. Herudover vil tidsaspektet også have betydning for fastsættelsen af varigheden, hvor forhold, der ligger til bage i tid, efter en konkret vurdering vil kunne føre til en lempelse af varigheden. Det vil imidlertid omvendt kunne være en skærpende omstændighed, såfremt personen eller virksomheden har misligholdt sin forpligtelse til at meddele Finanstilsynet oplysninger. </w:t>
      </w:r>
    </w:p>
    <w:p w14:paraId="0617B4E5" w14:textId="77777777" w:rsidR="00446E41" w:rsidRPr="00796736" w:rsidRDefault="00446E41" w:rsidP="00A802A5">
      <w:pPr>
        <w:spacing w:line="360" w:lineRule="auto"/>
        <w:rPr>
          <w:rFonts w:ascii="Times New Roman" w:hAnsi="Times New Roman" w:cs="Times New Roman"/>
          <w:sz w:val="24"/>
          <w:szCs w:val="24"/>
        </w:rPr>
      </w:pPr>
    </w:p>
    <w:p w14:paraId="56835EB3"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Retningsgivende for afgørelser med en varighed, der sættes til mindre end fem år, vil være, at der kan være tale om en situation, hvor Finanstilsynet efter en samlet vurdering vurderer, at personen ikke er hæderlig, men hvor det samlede sagsforløb afdækker en række formildende omstændigheder om den pågældende eller hændelsesforløbet. </w:t>
      </w:r>
    </w:p>
    <w:p w14:paraId="08D4EAFF" w14:textId="77777777" w:rsidR="00446E41" w:rsidRPr="00796736" w:rsidRDefault="00446E41" w:rsidP="00A802A5">
      <w:pPr>
        <w:spacing w:line="360" w:lineRule="auto"/>
        <w:rPr>
          <w:rFonts w:ascii="Times New Roman" w:hAnsi="Times New Roman" w:cs="Times New Roman"/>
          <w:sz w:val="24"/>
          <w:szCs w:val="24"/>
        </w:rPr>
      </w:pPr>
    </w:p>
    <w:p w14:paraId="6B47F6AD"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imidlertid også kunne være tilfældet, hvor forholdet har en sådan beskaffenhed, at varigheden eksempelvis isoleret set vil kunne fastsættes til fem år, men hvor forholdet ligger en årrække tilbage. I sådanne tilfælde vil tidsaspektet, personens adfærd siden det pågældende forhold og fraværet af gentagelsesvirkning kunne føre til en lempelse af varigheden. </w:t>
      </w:r>
    </w:p>
    <w:p w14:paraId="42CF33F9" w14:textId="77777777" w:rsidR="00446E41" w:rsidRPr="00796736" w:rsidRDefault="00446E41" w:rsidP="00A802A5">
      <w:pPr>
        <w:spacing w:line="360" w:lineRule="auto"/>
        <w:rPr>
          <w:rFonts w:ascii="Times New Roman" w:hAnsi="Times New Roman" w:cs="Times New Roman"/>
          <w:sz w:val="24"/>
          <w:szCs w:val="24"/>
        </w:rPr>
      </w:pPr>
    </w:p>
    <w:p w14:paraId="2209AB4E"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kan der være tale om tilfælde, hvor Finanstilsynet kunne have truffet afgørelsen på et tidligere tidspunkt, men hvor den pågældende f.eks. fratrådte den finansielle virksomhed tidligere, men nu igen vil være omfattet af reglerne om egnethed og hæderlighed. I nogle tilfælde kan Finanstil synet vurdere, at denne periode uden for sektoren kan betyde, at varigheden skal være mindre end fem år. Derudover kan der være tilfælde, hvor forholdet ligger så langt tilbage i tiden, at det ikke vil have indflydelse på vurderingen af vedkommendes hæderlighed. </w:t>
      </w:r>
    </w:p>
    <w:p w14:paraId="67FD8CA0" w14:textId="77777777" w:rsidR="00446E41" w:rsidRPr="00796736" w:rsidRDefault="00446E41" w:rsidP="00A802A5">
      <w:pPr>
        <w:spacing w:line="360" w:lineRule="auto"/>
        <w:rPr>
          <w:rFonts w:ascii="Times New Roman" w:hAnsi="Times New Roman" w:cs="Times New Roman"/>
          <w:sz w:val="24"/>
          <w:szCs w:val="24"/>
        </w:rPr>
      </w:pPr>
    </w:p>
    <w:p w14:paraId="0508C64C" w14:textId="144921D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Retningsgivende for fastsættelsen af varigheden til </w:t>
      </w:r>
      <w:r w:rsidR="007E3D76" w:rsidRPr="007E3D76">
        <w:rPr>
          <w:rFonts w:ascii="Times New Roman" w:hAnsi="Times New Roman" w:cs="Times New Roman"/>
          <w:sz w:val="24"/>
          <w:szCs w:val="24"/>
        </w:rPr>
        <w:t>»</w:t>
      </w:r>
      <w:r w:rsidR="007E3D76" w:rsidRPr="00796736">
        <w:rPr>
          <w:rFonts w:ascii="Times New Roman" w:hAnsi="Times New Roman" w:cs="Times New Roman"/>
          <w:sz w:val="24"/>
          <w:szCs w:val="24"/>
        </w:rPr>
        <w:t>indtil videre</w:t>
      </w:r>
      <w:r w:rsidR="007E3D76" w:rsidRPr="007E3D76">
        <w:rPr>
          <w:rFonts w:ascii="Times New Roman" w:hAnsi="Times New Roman" w:cs="Times New Roman"/>
          <w:sz w:val="24"/>
          <w:szCs w:val="24"/>
        </w:rPr>
        <w:t>«</w:t>
      </w:r>
      <w:r w:rsidR="007E3D76">
        <w:rPr>
          <w:rFonts w:ascii="Times New Roman" w:hAnsi="Times New Roman" w:cs="Times New Roman"/>
          <w:sz w:val="24"/>
          <w:szCs w:val="24"/>
        </w:rPr>
        <w:t xml:space="preserve"> </w:t>
      </w:r>
      <w:r w:rsidRPr="00796736">
        <w:rPr>
          <w:rFonts w:ascii="Times New Roman" w:hAnsi="Times New Roman" w:cs="Times New Roman"/>
          <w:sz w:val="24"/>
          <w:szCs w:val="24"/>
        </w:rPr>
        <w:t xml:space="preserve">er, at der skal være tale om grove forhold eller alvor lige gentagelsestilfælde, der som udgangspunkt ikke ligger mere end ti år tilbage i tiden. Det vil således alene være i særligt alvorlige sager, at Finanstilsynet vil fastsætte varig heden til </w:t>
      </w:r>
      <w:r w:rsidR="007E3D76" w:rsidRPr="007E3D76">
        <w:rPr>
          <w:rFonts w:ascii="Times New Roman" w:hAnsi="Times New Roman" w:cs="Times New Roman"/>
          <w:sz w:val="24"/>
          <w:szCs w:val="24"/>
        </w:rPr>
        <w:t>»</w:t>
      </w:r>
      <w:r w:rsidR="007E3D76" w:rsidRPr="00796736">
        <w:rPr>
          <w:rFonts w:ascii="Times New Roman" w:hAnsi="Times New Roman" w:cs="Times New Roman"/>
          <w:sz w:val="24"/>
          <w:szCs w:val="24"/>
        </w:rPr>
        <w:t>indtil videre</w:t>
      </w:r>
      <w:r w:rsidR="007E3D76" w:rsidRPr="007E3D76">
        <w:rPr>
          <w:rFonts w:ascii="Times New Roman" w:hAnsi="Times New Roman" w:cs="Times New Roman"/>
          <w:sz w:val="24"/>
          <w:szCs w:val="24"/>
        </w:rPr>
        <w:t>«</w:t>
      </w:r>
      <w:r w:rsidR="007E3D76">
        <w:rPr>
          <w:rFonts w:ascii="Times New Roman" w:hAnsi="Times New Roman" w:cs="Times New Roman"/>
          <w:sz w:val="24"/>
          <w:szCs w:val="24"/>
        </w:rPr>
        <w:t xml:space="preserve">. </w:t>
      </w:r>
      <w:r w:rsidRPr="00796736">
        <w:rPr>
          <w:rFonts w:ascii="Times New Roman" w:hAnsi="Times New Roman" w:cs="Times New Roman"/>
          <w:sz w:val="24"/>
          <w:szCs w:val="24"/>
        </w:rPr>
        <w:t xml:space="preserve">Der kan eksempelvis være tale om særdeles grove forhold med overtrædelse af straffelovens berigelsesforbrydelser, åbenbare ledelsesmæssige svigt, der har medført betydelige økonomiske tab eller skadevirkning, grove misbrugssituationer, svigagtighed, grov tilsidesættelse af god skik, forsætlig tilsidesættelse af hvidvasklovens krav eller egentlig medvirken til økonomisk kriminalitet eller andre alvorlige tillidsbrud. </w:t>
      </w:r>
    </w:p>
    <w:p w14:paraId="3CAC01DD" w14:textId="77777777" w:rsidR="00446E41" w:rsidRPr="00796736" w:rsidRDefault="00446E41" w:rsidP="00A802A5">
      <w:pPr>
        <w:spacing w:line="360" w:lineRule="auto"/>
        <w:rPr>
          <w:rFonts w:ascii="Times New Roman" w:hAnsi="Times New Roman" w:cs="Times New Roman"/>
          <w:sz w:val="24"/>
          <w:szCs w:val="24"/>
        </w:rPr>
      </w:pPr>
    </w:p>
    <w:p w14:paraId="2DD0543A" w14:textId="77777777"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Generelt kan siges, at det eller de udviste forhold skal have en sådan alvorlig karakter, at det må anses for åbenbart, at hverken Finanstilsynet eller samfundet kan have tillid til, at den pågældende, inden for en overskuelig fremtid, vil kunne varetage hvervet som bestyrelsesmedlem eller direktør i en virksomhed på det finansielle område. </w:t>
      </w:r>
    </w:p>
    <w:p w14:paraId="2C3BFFDA" w14:textId="77777777" w:rsidR="00446E41" w:rsidRPr="00796736" w:rsidRDefault="00446E41" w:rsidP="00A802A5">
      <w:pPr>
        <w:suppressAutoHyphens/>
        <w:spacing w:line="360" w:lineRule="auto"/>
        <w:rPr>
          <w:rFonts w:ascii="Times New Roman" w:hAnsi="Times New Roman" w:cs="Times New Roman"/>
          <w:sz w:val="24"/>
          <w:szCs w:val="24"/>
        </w:rPr>
      </w:pPr>
    </w:p>
    <w:p w14:paraId="14D30C50"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fastsætter, at Finanstilsynet kan i særlige tilfælde, hvor Finanstilsynet vurderer, at en person ikke har tilstrækkelige faglige forudsætninger eller erfaring i for hold til den stilling som medlem af direktionen, som den pågældende vurderes til, træffe afgørelse om, at personen kan bestride stillingen under nærmere fastsatte betingelser. </w:t>
      </w:r>
    </w:p>
    <w:p w14:paraId="7F8C22CA" w14:textId="77777777" w:rsidR="00446E41" w:rsidRPr="00796736" w:rsidRDefault="00446E41" w:rsidP="00A802A5">
      <w:pPr>
        <w:suppressAutoHyphens/>
        <w:spacing w:line="360" w:lineRule="auto"/>
        <w:rPr>
          <w:rFonts w:ascii="Times New Roman" w:hAnsi="Times New Roman" w:cs="Times New Roman"/>
          <w:sz w:val="24"/>
          <w:szCs w:val="24"/>
        </w:rPr>
      </w:pPr>
    </w:p>
    <w:p w14:paraId="3E1F9565"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medføre, at Finanstilsynet kan opstille betingelser for, at en direktør i valutavekslingsvirksomhed kan meddeles en betinget afgørelse, uanset at personen ikke umiddelbart lever op til egnethedskravene i stk. 1, nr. 1. Med den foreslåede ændring kan Finanstilsynet dermed vurdere, at den pågældende person ville opfylde egnethedskravene i stk. 1, nr. 1, hvis en eller flere betingelser bliver opfyldt. </w:t>
      </w:r>
    </w:p>
    <w:p w14:paraId="5CB320D3" w14:textId="77777777" w:rsidR="00446E41" w:rsidRPr="00796736" w:rsidRDefault="00446E41" w:rsidP="00A802A5">
      <w:pPr>
        <w:suppressAutoHyphens/>
        <w:spacing w:line="360" w:lineRule="auto"/>
        <w:rPr>
          <w:rFonts w:ascii="Times New Roman" w:hAnsi="Times New Roman" w:cs="Times New Roman"/>
          <w:sz w:val="24"/>
          <w:szCs w:val="24"/>
        </w:rPr>
      </w:pPr>
    </w:p>
    <w:p w14:paraId="5EFF3663"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Bemyndigelsen vil blive anvendt i de tilfælde, hvor Finanstilsynet enten vurderer, at den pågældende ikke helt har de tilstrækkelige faglige forudsætninger eller erfaring i for hold til den stilling som medlem af direktionen, som den pågældende vurderes i forhold til, eller, hvor den betingede godkendelse ikke medfører, at man tiltræder stillingen med det samme, men hvor den pågældende er under oplæring. I begge tilfælde vil Finanstilsynet kun træffe betingede afgørelser, hvor det vurderes, at der kan opstilles veldefinerede, konkrete og målbare betingelser for, at den pågældende kan vurderes egnet til stillingen. Dette kunne eksempelvis være, hvor den pågældende inden for et relativt afgrænset område ikke lever op til egnethedskravene i stk. 1. nr. 1 </w:t>
      </w:r>
    </w:p>
    <w:p w14:paraId="7FD657D7" w14:textId="77777777" w:rsidR="00446E41" w:rsidRPr="00796736" w:rsidRDefault="00446E41" w:rsidP="00A802A5">
      <w:pPr>
        <w:suppressAutoHyphens/>
        <w:spacing w:line="360" w:lineRule="auto"/>
        <w:rPr>
          <w:rFonts w:ascii="Times New Roman" w:hAnsi="Times New Roman" w:cs="Times New Roman"/>
          <w:sz w:val="24"/>
          <w:szCs w:val="24"/>
        </w:rPr>
      </w:pPr>
    </w:p>
    <w:p w14:paraId="5CF4D82D"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Betingede afgørelser vil kunne bruges, hvis betingelserne kan defineres klart og entydigt og kan opfyldes på kort tid. Det kan være en betingelse om, at den pågældende skal gennemgå en konkret uddannelse, eller at den pågældende igennem en periode skal varetage en rolle niveauet under den rolle, som den pågældende har ansøgt om eller en rolle på tilsvarende niveau. Det kan eksempelvis være tilfældet, hvor den pågældende har tilstrækkelig ledelseserfaring, men er ny i den konkrete rolle i den pågældende virksomhed, og derfor mangler kompetencer på et relevant forretnings- eller kontrolområde, såsom hvidvaskforebyggelse, risikostyring m.v. Direktions medlemmet vil kunne opnå tilladelse på betingelse af, at personen gennemfører en specifik uddannelse eller træning inden for det relevante område. </w:t>
      </w:r>
    </w:p>
    <w:p w14:paraId="381626F7" w14:textId="77777777" w:rsidR="00446E41" w:rsidRPr="00796736" w:rsidRDefault="00446E41" w:rsidP="00A802A5">
      <w:pPr>
        <w:suppressAutoHyphens/>
        <w:spacing w:line="360" w:lineRule="auto"/>
        <w:rPr>
          <w:rFonts w:ascii="Times New Roman" w:hAnsi="Times New Roman" w:cs="Times New Roman"/>
          <w:sz w:val="24"/>
          <w:szCs w:val="24"/>
        </w:rPr>
      </w:pPr>
    </w:p>
    <w:p w14:paraId="44E1ABCB"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andet eksempel kan være en kandidat til en stilling som medlem af direktionen, der ikke selv har den tilstrækkelige viden, faglige kompetence eller erfaring med et ansvarsom råde, som personen skal have ansvar for, men hvor den påkrævede kompetence eller erfaring er til stede hos andre personer i direktionen. I så fald vil ansøgeren kunne godkendes med betingelse om, at en eller flere personer med disse kompetencer forbliver i direktionen, og er til kandidatens rådighed i hele betingelsens løbetid. </w:t>
      </w:r>
    </w:p>
    <w:p w14:paraId="20887153" w14:textId="77777777" w:rsidR="00446E41" w:rsidRPr="00796736" w:rsidRDefault="00446E41" w:rsidP="00A802A5">
      <w:pPr>
        <w:suppressAutoHyphens/>
        <w:spacing w:line="360" w:lineRule="auto"/>
        <w:rPr>
          <w:rFonts w:ascii="Times New Roman" w:hAnsi="Times New Roman" w:cs="Times New Roman"/>
          <w:sz w:val="24"/>
          <w:szCs w:val="24"/>
        </w:rPr>
      </w:pPr>
    </w:p>
    <w:p w14:paraId="2D704A2E"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tredje eksempel kunne være et tilfælde, hvor den betingede godkendelse medfører, at personen ikke kan tiltræde den endelige stilling (slutstillingen) med det samme. God kendelse til slutstillingen vil kunne gives på betingelse af, at den pågældende er under oplæring i en periode. Ansøgeren opnår med denne form for betinget godkendelse en vished for, hvornår vedkommende vil blive anset for egnet til den stilling, som er det endelige mål med henvendelsen til Finanstilsynet. Denne type betingede godkendelser vil derfor også være egnede i forbindelse med successionsplan lægning. Betingelsens løbetid kan i disse tilfælde også være længere end ved betingelser, hvor ansøgeren godkendes til at tiltræde stillingen med det samme. </w:t>
      </w:r>
    </w:p>
    <w:p w14:paraId="47DA960F" w14:textId="77777777" w:rsidR="00446E41" w:rsidRPr="00796736" w:rsidRDefault="00446E41" w:rsidP="00A802A5">
      <w:pPr>
        <w:suppressAutoHyphens/>
        <w:spacing w:line="360" w:lineRule="auto"/>
        <w:rPr>
          <w:rFonts w:ascii="Times New Roman" w:hAnsi="Times New Roman" w:cs="Times New Roman"/>
          <w:sz w:val="24"/>
          <w:szCs w:val="24"/>
        </w:rPr>
      </w:pPr>
    </w:p>
    <w:p w14:paraId="27BBA500"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af Finanstilsynet fastsatte betingelser skal være proportionale og tage hensyn til, at de pågældende virksomheder varierer i størrelse og kompleksitet. Der skal tages hensyn til den pågældendes rolle, opgaver og ansvarsområder i virksomheden, herunder virksomhedens størrelse og kompleksitet. De betingelser, der stilles til den pågældende, vil derfor skulle afvejes op imod de opgaver og det ansvar, den pågældende er forpligtet til at løfte i kraft af sin rolle i virksomheden. Fastsættelsen af betingelser må således afspejle de funktioner, som direktionen udøver i den konkrete virksomhed. </w:t>
      </w:r>
    </w:p>
    <w:p w14:paraId="64B5CBE3" w14:textId="77777777" w:rsidR="00446E41" w:rsidRPr="00796736" w:rsidRDefault="00446E41" w:rsidP="00A802A5">
      <w:pPr>
        <w:suppressAutoHyphens/>
        <w:spacing w:line="360" w:lineRule="auto"/>
        <w:rPr>
          <w:rFonts w:ascii="Times New Roman" w:hAnsi="Times New Roman" w:cs="Times New Roman"/>
          <w:sz w:val="24"/>
          <w:szCs w:val="24"/>
        </w:rPr>
      </w:pPr>
    </w:p>
    <w:p w14:paraId="2D5BA9F8" w14:textId="0FC0398C"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betinget afgørelse vil forudsætte, at der kan stilles relevante betingelser for opnåelse af den viden, faglige kompetence eller erfaring efter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som personen ikke vurderes fuldt ud at have, og hvis dette findes forsvarligt henset til virksomhedens størrelse, omfang og kompleksitet samt det arbejde og ansvar, der er forbundet med den konkrete stilling. </w:t>
      </w:r>
    </w:p>
    <w:p w14:paraId="30945527" w14:textId="77777777" w:rsidR="00446E41" w:rsidRPr="00796736" w:rsidRDefault="00446E41" w:rsidP="00A802A5">
      <w:pPr>
        <w:suppressAutoHyphens/>
        <w:spacing w:line="360" w:lineRule="auto"/>
        <w:rPr>
          <w:rFonts w:ascii="Times New Roman" w:hAnsi="Times New Roman" w:cs="Times New Roman"/>
          <w:sz w:val="24"/>
          <w:szCs w:val="24"/>
        </w:rPr>
      </w:pPr>
    </w:p>
    <w:p w14:paraId="45938CA3"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af Finanstilsynet opstillede betingelser vil skulle fastsættes med udgangspunkt i stillingen i den konkrete virksomhed og knytter sig specifikt hertil. Når den pågældende opfylder betingelserne, vurderes personen at opfylde egnethedskravene i stk. 1, nr. 1, i forhold til den konkrete stilling i den konkrete virksomhed. Det er derfor ikke givet, at den pågældende vil opfylde egnethedskravet i stk. 1, nr. 1, i forhold til en anden stilling i en anden og måske større og mere kompleks virksomhed. </w:t>
      </w:r>
    </w:p>
    <w:p w14:paraId="48873064" w14:textId="77777777" w:rsidR="00446E41" w:rsidRPr="00796736" w:rsidRDefault="00446E41" w:rsidP="00A802A5">
      <w:pPr>
        <w:suppressAutoHyphens/>
        <w:spacing w:line="360" w:lineRule="auto"/>
        <w:rPr>
          <w:rFonts w:ascii="Times New Roman" w:hAnsi="Times New Roman" w:cs="Times New Roman"/>
          <w:sz w:val="24"/>
          <w:szCs w:val="24"/>
        </w:rPr>
      </w:pPr>
    </w:p>
    <w:p w14:paraId="05584ABE"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Betingede afgørelser vil være tidsbegrænsede. Betingelserne skal dermed opfyldes inden for en af Finanstilsynet fastsat tidsperiode, som ikke bør være længere end højst 18 måneder. Forudsætningen for at opnå en betinget godkendelse vil være, at personen opfylder de fastsatte betingelser, eksempelvis gennemfører den nødvendige uddannelse, træning eller andre afhjælpende foranstaltninger, inden for den af Finanstilsynet fastsatte tidsperiode. Betingelserne skal fast sættes på en måde, så Finanstilsynet vil kunne vurdere, om betingelserne er opfyldt inden for tidsperioden. </w:t>
      </w:r>
    </w:p>
    <w:p w14:paraId="27380968" w14:textId="77777777" w:rsidR="00446E41" w:rsidRPr="00796736" w:rsidRDefault="00446E41" w:rsidP="00A802A5">
      <w:pPr>
        <w:suppressAutoHyphens/>
        <w:spacing w:line="360" w:lineRule="auto"/>
        <w:rPr>
          <w:rFonts w:ascii="Times New Roman" w:hAnsi="Times New Roman" w:cs="Times New Roman"/>
          <w:sz w:val="24"/>
          <w:szCs w:val="24"/>
        </w:rPr>
      </w:pPr>
    </w:p>
    <w:p w14:paraId="2BCD9EF8" w14:textId="47C0CE2B"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skal påse, at den pågældende opfylder betingelserne, når perioden udløber. Finanstilsynet skal ikke foretage en fornyet prøvelse af, hvorvidt den pågældende opfylder egnetheds- og hæderlighedskravene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1, men alene vurdere, hvorvidt de tidligere meddelte betingelser er opfyldt. Finanstilsynet skal modtage de oplysninger, som er nødvendige for Finanstilsynets vurdering af, om vedkommende opfylder betingelserne. Det foreslåede vil ikke ændre på, at personen har pligt til at meddele Finanstilsynet oplysninger om forhold som nævnt i stk. 1, hvis forholdene efterfølgende ændres. </w:t>
      </w:r>
    </w:p>
    <w:p w14:paraId="0A584ED0" w14:textId="77777777" w:rsidR="00446E41" w:rsidRPr="00796736" w:rsidRDefault="00446E41" w:rsidP="00A802A5">
      <w:pPr>
        <w:suppressAutoHyphens/>
        <w:spacing w:line="360" w:lineRule="auto"/>
        <w:rPr>
          <w:rFonts w:ascii="Times New Roman" w:hAnsi="Times New Roman" w:cs="Times New Roman"/>
          <w:sz w:val="24"/>
          <w:szCs w:val="24"/>
        </w:rPr>
      </w:pPr>
    </w:p>
    <w:p w14:paraId="78D4364F" w14:textId="30586AEB"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Finanstilsynet vurderer, at den pågældende direktør som ikke opfylder de fastsatte betingelser efter fristens ud løb, vil konsekvensen være, at den pågældende ikke vurderes fuldt ud at leve op til egnethedskravet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1. Finanstilsynet vil i særlige tilfælde kunne forlænge fristen for opfyldelse af betingelserne, hvis det vurderes, at den pågældende inden for en rimelig frist kan opfylde betingelserne. Forlængelse af fristen bør ikke overskride seks måneder. </w:t>
      </w:r>
    </w:p>
    <w:p w14:paraId="0034701C" w14:textId="77777777" w:rsidR="00446E41" w:rsidRPr="00796736" w:rsidRDefault="00446E41" w:rsidP="00A802A5">
      <w:pPr>
        <w:suppressAutoHyphens/>
        <w:spacing w:line="360" w:lineRule="auto"/>
        <w:rPr>
          <w:rFonts w:ascii="Times New Roman" w:hAnsi="Times New Roman" w:cs="Times New Roman"/>
          <w:sz w:val="24"/>
          <w:szCs w:val="24"/>
        </w:rPr>
      </w:pPr>
    </w:p>
    <w:p w14:paraId="76BD9BF0" w14:textId="77777777" w:rsidR="00446E41" w:rsidRPr="00796736" w:rsidRDefault="00446E41"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Ansvaret for en direktør med en betinget godkendelse vil som udgangspunkt være det samme som for en person i samme stilling med en ubetinget godkendelse. En person med en betinget egnethedsgodkendelse, der påtager sig en stilling, hvortil der knytter sig egnethedskrav, har en skærpet opmærksomhedspligt. Efter omstændighederne kan det der for være ansvarspådragende for en person med en betinget godkendelse ikke at udvise en særlig agtpågivenhed. Den skærpede opmærksomhedspligt knytter sig til de områder, betingelsen i godkendelsen vedrører, og kan efter omstændighederne fordre, at direktøren indhenter intern eller eks tern rådgivning til brug for sit beslutningsgrundlag i sager på disse områder. En betinget godkendt direktør vil dermed ikke ubetinget kunne påberåbe sig sin manglende erfaring, herunder henset til sin betingede godkendelse, som eksempelvis undskyldningsgrund ved vurderingen af vedkommen des erstatningsansvar.</w:t>
      </w:r>
    </w:p>
    <w:p w14:paraId="6314481D" w14:textId="77777777" w:rsidR="00446E41" w:rsidRDefault="00446E41" w:rsidP="00A802A5">
      <w:pPr>
        <w:suppressAutoHyphens/>
        <w:spacing w:line="360" w:lineRule="auto"/>
        <w:rPr>
          <w:rFonts w:ascii="Times New Roman" w:hAnsi="Times New Roman" w:cs="Times New Roman"/>
          <w:sz w:val="24"/>
          <w:szCs w:val="24"/>
        </w:rPr>
      </w:pPr>
    </w:p>
    <w:p w14:paraId="760CD75D" w14:textId="6C32BC3F" w:rsidR="002A4E01" w:rsidRDefault="002A4E01" w:rsidP="00A802A5">
      <w:pPr>
        <w:suppressAutoHyphens/>
        <w:spacing w:line="360" w:lineRule="auto"/>
        <w:rPr>
          <w:rFonts w:ascii="Times New Roman" w:hAnsi="Times New Roman" w:cs="Times New Roman"/>
          <w:sz w:val="24"/>
          <w:szCs w:val="24"/>
        </w:rPr>
      </w:pPr>
      <w:r w:rsidRPr="002A4E01">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39CC8038" w14:textId="77777777" w:rsidR="002A4E01" w:rsidRPr="00796736" w:rsidRDefault="002A4E01" w:rsidP="00A802A5">
      <w:pPr>
        <w:suppressAutoHyphens/>
        <w:spacing w:line="360" w:lineRule="auto"/>
        <w:rPr>
          <w:rFonts w:ascii="Times New Roman" w:hAnsi="Times New Roman" w:cs="Times New Roman"/>
          <w:sz w:val="24"/>
          <w:szCs w:val="24"/>
        </w:rPr>
      </w:pPr>
    </w:p>
    <w:p w14:paraId="1C1F676A" w14:textId="6CFB301A" w:rsidR="00446E41"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6</w:t>
      </w:r>
      <w:r w:rsidRPr="00796736">
        <w:rPr>
          <w:rFonts w:ascii="Times New Roman" w:hAnsi="Times New Roman" w:cs="Times New Roman"/>
          <w:sz w:val="24"/>
          <w:szCs w:val="24"/>
        </w:rPr>
        <w:t xml:space="preserve">, at </w:t>
      </w:r>
      <w:r w:rsidR="002E5C4E" w:rsidRPr="00796736">
        <w:rPr>
          <w:rFonts w:ascii="Times New Roman" w:hAnsi="Times New Roman" w:cs="Times New Roman"/>
          <w:sz w:val="24"/>
          <w:szCs w:val="24"/>
        </w:rPr>
        <w:t xml:space="preserve">et medlem af den øverste ledelse, herunder </w:t>
      </w:r>
      <w:r w:rsidRPr="00796736">
        <w:rPr>
          <w:rFonts w:ascii="Times New Roman" w:hAnsi="Times New Roman" w:cs="Times New Roman"/>
          <w:sz w:val="24"/>
          <w:szCs w:val="24"/>
        </w:rPr>
        <w:t xml:space="preserve">bestyrelsen eller direktionen, </w:t>
      </w:r>
      <w:r w:rsidR="002E5C4E" w:rsidRPr="00796736">
        <w:rPr>
          <w:rFonts w:ascii="Times New Roman" w:eastAsia="Calibri" w:hAnsi="Times New Roman" w:cs="Times New Roman"/>
          <w:sz w:val="24"/>
          <w:szCs w:val="24"/>
        </w:rPr>
        <w:t>i en valutavekslingsvirksomhed eller, hvor valutaveksling udøves af en enkeltmandsvirksomhed, indehaveren eller, hvor valutavekslingsvirksomheden drives som juridisk person uden bestyrelse eller direktion, den eller de ledelsesansvarlige og valutavekslingsvirksomhedens ejere af kvalificerede andele, jf. § 5, stk. 3, i lov om finansiel virksomhed, </w:t>
      </w:r>
      <w:r w:rsidRPr="00796736">
        <w:rPr>
          <w:rFonts w:ascii="Times New Roman" w:hAnsi="Times New Roman" w:cs="Times New Roman"/>
          <w:sz w:val="24"/>
          <w:szCs w:val="24"/>
        </w:rPr>
        <w:t xml:space="preserve">skal meddele Finanstilsynet oplysninger om forhold som nævnt i stk. 1 i forbindelse med deres indtræden i virksomhedens ledelse, indtræden som ejer af kvalificerede andele eller, hvor valutavirksomhed udøves af en enkeltmandsvirksomhed, i forbindelse med ansøgning om tilladelse, jf.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om forhold som nævnt i stk. 1, nr. 2-5, hvis forholdene efterfølgende ændres. Meddelelsen skal ske senest 2 uger efter ændringen. </w:t>
      </w:r>
    </w:p>
    <w:p w14:paraId="7BCF100A" w14:textId="77777777" w:rsidR="00446E41" w:rsidRPr="00796736" w:rsidRDefault="00446E41" w:rsidP="00A802A5">
      <w:pPr>
        <w:spacing w:line="360" w:lineRule="auto"/>
        <w:rPr>
          <w:rFonts w:ascii="Times New Roman" w:hAnsi="Times New Roman" w:cs="Times New Roman"/>
          <w:sz w:val="24"/>
          <w:szCs w:val="24"/>
        </w:rPr>
      </w:pPr>
    </w:p>
    <w:p w14:paraId="51A75B39" w14:textId="429139D9" w:rsidR="00446E41"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indebærer, at ledelsesmedlemmet skal i forbindelse med tiltrædelse af hvervet eller stillingen give Finanstilsynet oplysninger omfattet af stk. 1. Tilsvarende gælder ved erhvervelse af kvalificerede ejerandele. Hvor valutaveksling udøves af en enkeltmandsvirksomhed, skal indehaveren give Finanstilsynet oplysninger omfattet af stk. 1 i forbindelse med ansøgning om tilladelse, jf.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_Ref232596553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Indtræder der efter ansøgning om tilladelsen forhold, som er af betydning for vurderingen af, om kravene til egnethed og hæderlighed i stk. 1, nr. 2-5, fortsat kan anses for at være opfyldt, er den berørte person tillige forpligtet til af egen drift at informere Finanstilsynet herom. Det vil herefter være op til Finanstilsynet at tage stilling til, om vedkommende fortsat kan anses for at være egnet og hæderlig. Et ledelsesmedlem, en ledelsesansvarlig eller en indehaver har f.eks. pligt til at oplyse, at der er indgivet konkursbegæring mod vedkommende, at vedkommende har søgt om gældssanering, eller at der er rejst sigtelse mod vedkommende for overtrædelse af lovgivningen som nævnt i stk. 1, nr. 3. De oplysninger, som Finanstilsynet modtager, indgår herefter i bedømmelsen af, om vedkommende er egnet og hæderlig i medfør af det foreslåede stk. 1. </w:t>
      </w:r>
    </w:p>
    <w:p w14:paraId="3E5948F9" w14:textId="77777777" w:rsidR="002A4E01" w:rsidRDefault="002A4E01" w:rsidP="00A802A5">
      <w:pPr>
        <w:spacing w:line="360" w:lineRule="auto"/>
        <w:rPr>
          <w:rFonts w:ascii="Times New Roman" w:hAnsi="Times New Roman" w:cs="Times New Roman"/>
          <w:sz w:val="24"/>
          <w:szCs w:val="24"/>
        </w:rPr>
      </w:pPr>
    </w:p>
    <w:p w14:paraId="1E05255E" w14:textId="651E1182" w:rsidR="00DA309A" w:rsidRDefault="002A4E01" w:rsidP="00A802A5">
      <w:pPr>
        <w:spacing w:line="360" w:lineRule="auto"/>
        <w:rPr>
          <w:rFonts w:ascii="Times New Roman" w:hAnsi="Times New Roman" w:cs="Times New Roman"/>
          <w:sz w:val="24"/>
          <w:szCs w:val="24"/>
        </w:rPr>
      </w:pPr>
      <w:r w:rsidRPr="002A4E01">
        <w:rPr>
          <w:rFonts w:ascii="Times New Roman" w:hAnsi="Times New Roman" w:cs="Times New Roman"/>
          <w:sz w:val="24"/>
          <w:szCs w:val="24"/>
        </w:rPr>
        <w:t xml:space="preserve">Bestemmelsen vil indebære, at oplysningspligten ikke finder anvendelse over for en enkeltperson eller juridisk person, hvis der er konkret mistanke om, at den pågældende har begået en lovovertrædelse, der kan medføre straf, medmindre det kan udelukkes, at oplysningerne kan have betydning for bedømmelsen af den formodede lovovertrædelse, jf. § 10 i retssikkerhedsloven. </w:t>
      </w:r>
      <w:r>
        <w:rPr>
          <w:rFonts w:ascii="Times New Roman" w:hAnsi="Times New Roman" w:cs="Times New Roman"/>
          <w:sz w:val="24"/>
          <w:szCs w:val="24"/>
        </w:rPr>
        <w:t>Finanstilsynet</w:t>
      </w:r>
      <w:r w:rsidRPr="002A4E01">
        <w:rPr>
          <w:rFonts w:ascii="Times New Roman" w:hAnsi="Times New Roman" w:cs="Times New Roman"/>
          <w:sz w:val="24"/>
          <w:szCs w:val="24"/>
        </w:rPr>
        <w:t xml:space="preserve"> vil i sådanne tilfælde skulle vejlede den mistænkte om, at vedkommende ikke har pligt til at meddele oplysninger, som kan have betydning for bedømmelsen af den formodede lovovertrædelse. Se nærmere herom i de almindelige bemærkninger pkt. 4.3.</w:t>
      </w:r>
    </w:p>
    <w:p w14:paraId="1C6382D5" w14:textId="77777777" w:rsidR="00446E41" w:rsidRPr="00796736" w:rsidRDefault="00446E41" w:rsidP="00A802A5">
      <w:pPr>
        <w:spacing w:line="360" w:lineRule="auto"/>
        <w:rPr>
          <w:rFonts w:ascii="Times New Roman" w:hAnsi="Times New Roman" w:cs="Times New Roman"/>
          <w:sz w:val="24"/>
          <w:szCs w:val="24"/>
        </w:rPr>
      </w:pPr>
    </w:p>
    <w:p w14:paraId="3702487D" w14:textId="6C1114B7" w:rsidR="009F7862" w:rsidRPr="00796736" w:rsidRDefault="00446E4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Overtrædelse af bestemmelsen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6, foreslås strafbelagt. Med bestemmelsen i forslagets </w:t>
      </w:r>
      <w:r w:rsidR="002A4E01">
        <w:rPr>
          <w:rFonts w:ascii="Times New Roman" w:hAnsi="Times New Roman" w:cs="Times New Roman"/>
          <w:sz w:val="24"/>
          <w:szCs w:val="24"/>
        </w:rPr>
        <w:fldChar w:fldCharType="begin"/>
      </w:r>
      <w:r w:rsidR="002A4E01">
        <w:rPr>
          <w:rFonts w:ascii="Times New Roman" w:hAnsi="Times New Roman" w:cs="Times New Roman"/>
          <w:sz w:val="24"/>
          <w:szCs w:val="24"/>
        </w:rPr>
        <w:instrText xml:space="preserve"> REF _Ref242963797 \n \h </w:instrText>
      </w:r>
      <w:r w:rsidR="00CB248D">
        <w:rPr>
          <w:rFonts w:ascii="Times New Roman" w:hAnsi="Times New Roman" w:cs="Times New Roman"/>
          <w:sz w:val="24"/>
          <w:szCs w:val="24"/>
        </w:rPr>
        <w:instrText xml:space="preserve"> \* MERGEFORMAT </w:instrText>
      </w:r>
      <w:r w:rsidR="002A4E01">
        <w:rPr>
          <w:rFonts w:ascii="Times New Roman" w:hAnsi="Times New Roman" w:cs="Times New Roman"/>
          <w:sz w:val="24"/>
          <w:szCs w:val="24"/>
        </w:rPr>
      </w:r>
      <w:r w:rsidR="002A4E01">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2A4E01">
        <w:rPr>
          <w:rFonts w:ascii="Times New Roman" w:hAnsi="Times New Roman" w:cs="Times New Roman"/>
          <w:sz w:val="24"/>
          <w:szCs w:val="24"/>
        </w:rPr>
        <w:fldChar w:fldCharType="end"/>
      </w:r>
      <w:r w:rsidR="002A4E01">
        <w:rPr>
          <w:rFonts w:ascii="Times New Roman" w:hAnsi="Times New Roman" w:cs="Times New Roman"/>
          <w:sz w:val="24"/>
          <w:szCs w:val="24"/>
        </w:rPr>
        <w:t>, stk. 1, nr. 5,</w:t>
      </w:r>
      <w:r w:rsidRPr="00796736">
        <w:rPr>
          <w:rFonts w:ascii="Times New Roman" w:hAnsi="Times New Roman" w:cs="Times New Roman"/>
          <w:sz w:val="24"/>
          <w:szCs w:val="24"/>
        </w:rPr>
        <w:t xml:space="preserve"> foreslås det således, at et medlem af bestyrelsen eller direktionen, indehaveren eller, hvor valutavirksomheden drives som juridisk person uden bestyrelse eller direktion, den eller de ledelsesansvarlige,</w:t>
      </w:r>
      <w:r w:rsidRPr="00796736">
        <w:rPr>
          <w:rFonts w:ascii="Times New Roman" w:eastAsia="Calibri" w:hAnsi="Times New Roman" w:cs="Times New Roman"/>
          <w:color w:val="00B050"/>
          <w:sz w:val="24"/>
          <w:szCs w:val="24"/>
        </w:rPr>
        <w:t xml:space="preserve"> </w:t>
      </w:r>
      <w:r w:rsidRPr="00796736">
        <w:rPr>
          <w:rFonts w:ascii="Times New Roman" w:hAnsi="Times New Roman" w:cs="Times New Roman"/>
          <w:sz w:val="24"/>
          <w:szCs w:val="24"/>
        </w:rPr>
        <w:t xml:space="preserve">der undlader senest 2 uger efter ændringen at meddele Finanstilsynet oplysninger, der er nævnt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hvis forholdene ændres, kan straffes med bøde. Den strafbare handling består i undladelsen af rettidigt at meddele oplysninger om de ændrede forhold. Ansvarssubjektet for overtrædelse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_Ref232596808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6, er virksomheden. Der skal således rejses tiltale mod virksomheden (dvs. den juridiske person) for overtrædelsen.</w:t>
      </w:r>
    </w:p>
    <w:p w14:paraId="3C0DA407" w14:textId="77777777" w:rsidR="009F7862" w:rsidRPr="00796736" w:rsidRDefault="009F7862" w:rsidP="00A802A5">
      <w:pPr>
        <w:spacing w:line="360" w:lineRule="auto"/>
        <w:jc w:val="center"/>
        <w:rPr>
          <w:rFonts w:ascii="Times New Roman" w:hAnsi="Times New Roman" w:cs="Times New Roman"/>
          <w:i/>
          <w:iCs/>
          <w:sz w:val="24"/>
          <w:szCs w:val="24"/>
        </w:rPr>
      </w:pPr>
    </w:p>
    <w:p w14:paraId="1E59B323" w14:textId="5A52D803"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_Ref232948287 \n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3.44</w:t>
      </w:r>
      <w:r w:rsidR="005C4979" w:rsidRPr="00796736">
        <w:rPr>
          <w:rFonts w:ascii="Times New Roman" w:hAnsi="Times New Roman" w:cs="Times New Roman"/>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AA1506E" w14:textId="77777777" w:rsidR="009F7862" w:rsidRPr="00796736" w:rsidRDefault="009F7862" w:rsidP="00A802A5">
      <w:pPr>
        <w:spacing w:line="360" w:lineRule="auto"/>
        <w:jc w:val="center"/>
        <w:rPr>
          <w:rFonts w:ascii="Times New Roman" w:hAnsi="Times New Roman" w:cs="Times New Roman"/>
          <w:i/>
          <w:iCs/>
          <w:sz w:val="24"/>
          <w:szCs w:val="24"/>
        </w:rPr>
      </w:pPr>
    </w:p>
    <w:p w14:paraId="2B194C80" w14:textId="268E3C17" w:rsidR="00703C43" w:rsidRPr="00796736" w:rsidRDefault="00240DBE" w:rsidP="00A802A5">
      <w:pPr>
        <w:pStyle w:val="Undertitel"/>
      </w:pPr>
      <w:bookmarkStart w:id="1992" w:name="_Toc232109378"/>
      <w:bookmarkStart w:id="1993" w:name="_Toc244879342"/>
      <w:bookmarkStart w:id="1994" w:name="_Toc244880867"/>
      <w:r w:rsidRPr="00796736">
        <w:t xml:space="preserve">Til </w:t>
      </w:r>
      <w:r w:rsidR="00465705" w:rsidRPr="00796736">
        <w:fldChar w:fldCharType="begin"/>
      </w:r>
      <w:r w:rsidR="00465705" w:rsidRPr="00796736">
        <w:instrText xml:space="preserve"> REF _Ref232596829 \r \h </w:instrText>
      </w:r>
      <w:r w:rsidR="00967618" w:rsidRPr="00796736">
        <w:instrText xml:space="preserve"> \* MERGEFORMAT </w:instrText>
      </w:r>
      <w:r w:rsidR="00465705" w:rsidRPr="00796736">
        <w:fldChar w:fldCharType="separate"/>
      </w:r>
      <w:r w:rsidR="008F29E5">
        <w:t>§ 46</w:t>
      </w:r>
      <w:bookmarkEnd w:id="1993"/>
      <w:bookmarkEnd w:id="1994"/>
      <w:r w:rsidR="00465705" w:rsidRPr="00796736">
        <w:fldChar w:fldCharType="end"/>
      </w:r>
      <w:r w:rsidR="009F7862" w:rsidRPr="00796736">
        <w:t xml:space="preserve"> </w:t>
      </w:r>
      <w:bookmarkEnd w:id="1992"/>
    </w:p>
    <w:p w14:paraId="15C783C7" w14:textId="77777777" w:rsidR="00703C43" w:rsidRPr="00796736" w:rsidRDefault="00703C43"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46, at Finanstilsynet kan inddrage tilladelsen til at udøve valutavekslingsvirksomhed.</w:t>
      </w:r>
    </w:p>
    <w:p w14:paraId="221718E0" w14:textId="77777777" w:rsidR="00703C43" w:rsidRPr="00796736" w:rsidRDefault="00703C43" w:rsidP="00A802A5">
      <w:pPr>
        <w:suppressAutoHyphens/>
        <w:spacing w:line="360" w:lineRule="auto"/>
        <w:rPr>
          <w:rFonts w:ascii="Times New Roman" w:hAnsi="Times New Roman" w:cs="Times New Roman"/>
          <w:sz w:val="24"/>
          <w:szCs w:val="24"/>
        </w:rPr>
      </w:pPr>
    </w:p>
    <w:p w14:paraId="6B2209F6" w14:textId="172C884A" w:rsidR="00703C43" w:rsidRPr="00796736" w:rsidRDefault="00703C43"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w:t>
      </w:r>
      <w:r w:rsidR="005C4979" w:rsidRPr="00796736">
        <w:rPr>
          <w:rFonts w:ascii="Times New Roman" w:hAnsi="Times New Roman" w:cs="Times New Roman"/>
          <w:sz w:val="24"/>
          <w:szCs w:val="24"/>
        </w:rPr>
        <w:t xml:space="preserve">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_Ref232596829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46</w:t>
      </w:r>
      <w:r w:rsidR="005C4979" w:rsidRPr="00796736">
        <w:rPr>
          <w:rFonts w:ascii="Times New Roman" w:hAnsi="Times New Roman" w:cs="Times New Roman"/>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hAnsi="Times New Roman" w:cs="Times New Roman"/>
          <w:sz w:val="24"/>
          <w:szCs w:val="24"/>
        </w:rPr>
        <w:t>viderefører indholdet af § 46 i hvidvaskloven og indeholder desuden en tilføjelse, hvorefter Finanstilsynet kan inddrage en tilladelse, hvis virksomheden er registreret som ophørt i Det Centrale Virksomhedsregister.</w:t>
      </w:r>
    </w:p>
    <w:p w14:paraId="13E5123D" w14:textId="77777777" w:rsidR="00703C43" w:rsidRPr="00796736" w:rsidRDefault="00703C43" w:rsidP="00A802A5">
      <w:pPr>
        <w:suppressAutoHyphens/>
        <w:spacing w:line="360" w:lineRule="auto"/>
        <w:rPr>
          <w:rFonts w:ascii="Times New Roman" w:hAnsi="Times New Roman" w:cs="Times New Roman"/>
          <w:sz w:val="24"/>
          <w:szCs w:val="24"/>
        </w:rPr>
      </w:pPr>
    </w:p>
    <w:p w14:paraId="55F968FA" w14:textId="77777777" w:rsidR="00703C43" w:rsidRPr="00796736" w:rsidRDefault="00703C43"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artikel 56, stk. 2, litra f, i 6. hvidvaskdirektiv.</w:t>
      </w:r>
    </w:p>
    <w:p w14:paraId="5C3D2F36" w14:textId="77777777" w:rsidR="00703C43" w:rsidRPr="00796736" w:rsidRDefault="00703C43" w:rsidP="00A802A5">
      <w:pPr>
        <w:suppressAutoHyphens/>
        <w:spacing w:line="360" w:lineRule="auto"/>
        <w:rPr>
          <w:rFonts w:ascii="Times New Roman" w:eastAsia="Calibri" w:hAnsi="Times New Roman" w:cs="Times New Roman"/>
          <w:sz w:val="24"/>
          <w:szCs w:val="24"/>
        </w:rPr>
      </w:pPr>
    </w:p>
    <w:p w14:paraId="32491624" w14:textId="062DB8AF" w:rsidR="00703C43" w:rsidRPr="00796736" w:rsidRDefault="00703C43" w:rsidP="00A802A5">
      <w:pPr>
        <w:suppressAutoHyphen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ses i sammenhæng lovforslagets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_Ref232596584 \n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42</w:t>
      </w:r>
      <w:r w:rsidR="005C497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hvoraf det fremgår, at en valutavekslingsvirksomhed er forpligtet til at underrette Finanstilsynet, hvis der indtræder ændringer i forhold til de oplysninger, som Finanstilsynet har modtaget og lagt til grund ved meddelelse af tilladelse. Underretning skal ske på forhånd, hvis ændringen må betragtes som væsentlig. I andre tilfælde skal underretning finde sted snarest muligt.</w:t>
      </w:r>
    </w:p>
    <w:p w14:paraId="38E32FA8" w14:textId="77777777" w:rsidR="00703C43" w:rsidRPr="00796736" w:rsidRDefault="00703C43" w:rsidP="00A802A5">
      <w:pPr>
        <w:suppressAutoHyphens/>
        <w:spacing w:line="360" w:lineRule="auto"/>
        <w:rPr>
          <w:rFonts w:ascii="Times New Roman" w:hAnsi="Times New Roman" w:cs="Times New Roman"/>
          <w:sz w:val="24"/>
          <w:szCs w:val="24"/>
        </w:rPr>
      </w:pPr>
    </w:p>
    <w:p w14:paraId="7EA80BEE" w14:textId="20412ADD" w:rsidR="00703C43" w:rsidRPr="00796736" w:rsidRDefault="005C497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_Ref232596829 \r \h </w:instrText>
      </w:r>
      <w:r w:rsidR="00967618"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00703C43" w:rsidRPr="00796736">
        <w:rPr>
          <w:rFonts w:ascii="Times New Roman" w:hAnsi="Times New Roman" w:cs="Times New Roman"/>
          <w:sz w:val="24"/>
          <w:szCs w:val="24"/>
        </w:rPr>
        <w:t>fastsætter de nærmere regler for, hvornår og under hvilke omstændigheder Finanstilsynet kan inddrage en tilladelse til valutavekslingsvirksomhed. Bestemmelsen har til formål at sikre, at tilladelsen kun opretholdes for virksomheder, der reelt udøver valutavekslingsvirksomhed og fortsat opfylder de krav, der er fastsat i lovgivningen.</w:t>
      </w:r>
    </w:p>
    <w:p w14:paraId="0FDEA9BE" w14:textId="77777777" w:rsidR="00703C43" w:rsidRPr="00796736" w:rsidRDefault="00703C43" w:rsidP="00A802A5">
      <w:pPr>
        <w:spacing w:line="360" w:lineRule="auto"/>
        <w:rPr>
          <w:rFonts w:ascii="Times New Roman" w:hAnsi="Times New Roman" w:cs="Times New Roman"/>
          <w:sz w:val="24"/>
          <w:szCs w:val="24"/>
        </w:rPr>
      </w:pPr>
    </w:p>
    <w:p w14:paraId="6C22904C" w14:textId="11B83B33"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5C4979" w:rsidRPr="00796736">
        <w:rPr>
          <w:rFonts w:ascii="Times New Roman" w:hAnsi="Times New Roman" w:cs="Times New Roman"/>
          <w:i/>
          <w:iCs/>
          <w:sz w:val="24"/>
          <w:szCs w:val="24"/>
        </w:rPr>
        <w:t xml:space="preserve"> </w:t>
      </w:r>
      <w:r w:rsidR="005C4979" w:rsidRPr="00796736">
        <w:rPr>
          <w:rFonts w:ascii="Times New Roman" w:hAnsi="Times New Roman" w:cs="Times New Roman"/>
          <w:i/>
          <w:iCs/>
          <w:sz w:val="24"/>
          <w:szCs w:val="24"/>
        </w:rPr>
        <w:fldChar w:fldCharType="begin"/>
      </w:r>
      <w:r w:rsidR="005C4979" w:rsidRPr="00796736">
        <w:rPr>
          <w:rFonts w:ascii="Times New Roman" w:hAnsi="Times New Roman" w:cs="Times New Roman"/>
          <w:i/>
          <w:iCs/>
          <w:sz w:val="24"/>
          <w:szCs w:val="24"/>
        </w:rPr>
        <w:instrText xml:space="preserve"> REF _Ref232596829 \r \h  \* MERGEFORMAT </w:instrText>
      </w:r>
      <w:r w:rsidR="005C4979" w:rsidRPr="00796736">
        <w:rPr>
          <w:rFonts w:ascii="Times New Roman" w:hAnsi="Times New Roman" w:cs="Times New Roman"/>
          <w:i/>
          <w:iCs/>
          <w:sz w:val="24"/>
          <w:szCs w:val="24"/>
        </w:rPr>
      </w:r>
      <w:r w:rsidR="005C497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46</w:t>
      </w:r>
      <w:r w:rsidR="005C4979" w:rsidRPr="00796736">
        <w:rPr>
          <w:rFonts w:ascii="Times New Roman" w:hAnsi="Times New Roman" w:cs="Times New Roman"/>
          <w:i/>
          <w:iCs/>
          <w:sz w:val="24"/>
          <w:szCs w:val="24"/>
        </w:rPr>
        <w:fldChar w:fldCharType="end"/>
      </w:r>
      <w:r w:rsidR="00F54476"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Finanstilsynet får hjemmel til at inddrage en tilladelse til valutavekslingsvirksomhed under en række nærmere angivne omstændigheder.</w:t>
      </w:r>
    </w:p>
    <w:p w14:paraId="0506AF3F" w14:textId="77777777" w:rsidR="00703C43" w:rsidRPr="00796736" w:rsidRDefault="00703C43" w:rsidP="00A802A5">
      <w:pPr>
        <w:spacing w:line="360" w:lineRule="auto"/>
        <w:rPr>
          <w:rFonts w:ascii="Times New Roman" w:hAnsi="Times New Roman" w:cs="Times New Roman"/>
          <w:sz w:val="24"/>
          <w:szCs w:val="24"/>
        </w:rPr>
      </w:pPr>
    </w:p>
    <w:p w14:paraId="6C7DAC45" w14:textId="77777777" w:rsidR="00703C43"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Dette omfatter tilfælde, hvor virksomheden selv anmoder om at få tilladelsen inddraget, hvor virksomheden ikke har gjort brug af tilladelsen inden for 12 måneder fra meddelelse af tilladelsen, eller hvor virksomheden ikke har udøvet valutavekslingsvirksomhed i en samlet periode på over 6 måneder. Endvidere kan tilladelsen inddrages, hvis virksomheden har opnået tilladelsen på baggrund af urigtige eller vildledende oplysninger eller på anden uretmæssig vis, hvis virksomheden ikke længere opfylder betingelserne for tilladelse, hvis virksomheden er registreret som ophørt i Det Centrale Virksomhedsregister, eller hvis virksomheden ikke overholder bestemmelserne i denne lov.</w:t>
      </w:r>
    </w:p>
    <w:p w14:paraId="4D4A7743" w14:textId="77777777" w:rsidR="002A4E01" w:rsidRDefault="002A4E01" w:rsidP="00A802A5">
      <w:pPr>
        <w:spacing w:line="360" w:lineRule="auto"/>
        <w:rPr>
          <w:rFonts w:ascii="Times New Roman" w:hAnsi="Times New Roman" w:cs="Times New Roman"/>
          <w:sz w:val="24"/>
          <w:szCs w:val="24"/>
        </w:rPr>
      </w:pPr>
    </w:p>
    <w:p w14:paraId="4D469A16" w14:textId="079D9892" w:rsidR="002A4E01" w:rsidRPr="00796736" w:rsidRDefault="002A4E01" w:rsidP="00A802A5">
      <w:pPr>
        <w:suppressAutoHyphens/>
        <w:spacing w:line="360" w:lineRule="auto"/>
        <w:rPr>
          <w:rFonts w:ascii="Times New Roman" w:hAnsi="Times New Roman" w:cs="Times New Roman"/>
          <w:sz w:val="24"/>
          <w:szCs w:val="24"/>
        </w:rPr>
      </w:pPr>
      <w:r w:rsidRPr="002A4E01">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2C46CF99" w14:textId="77777777" w:rsidR="00703C43" w:rsidRPr="00796736" w:rsidRDefault="00703C43" w:rsidP="00A802A5">
      <w:pPr>
        <w:spacing w:line="360" w:lineRule="auto"/>
        <w:rPr>
          <w:rFonts w:ascii="Times New Roman" w:hAnsi="Times New Roman" w:cs="Times New Roman"/>
          <w:sz w:val="24"/>
          <w:szCs w:val="24"/>
        </w:rPr>
      </w:pPr>
    </w:p>
    <w:p w14:paraId="3396F63A"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1</w:t>
      </w:r>
      <w:r w:rsidRPr="00796736">
        <w:rPr>
          <w:rFonts w:ascii="Times New Roman" w:hAnsi="Times New Roman" w:cs="Times New Roman"/>
          <w:sz w:val="24"/>
          <w:szCs w:val="24"/>
        </w:rPr>
        <w:t>, at Finanstilsynet kan inddrage en tilladelse til valutavekslingsvirksomhed, hvis virksomheden anmoder herom.</w:t>
      </w:r>
    </w:p>
    <w:p w14:paraId="4170DA26" w14:textId="77777777" w:rsidR="00703C43" w:rsidRPr="00796736" w:rsidRDefault="00703C43" w:rsidP="00A802A5">
      <w:pPr>
        <w:spacing w:line="360" w:lineRule="auto"/>
        <w:rPr>
          <w:rFonts w:ascii="Times New Roman" w:hAnsi="Times New Roman" w:cs="Times New Roman"/>
          <w:sz w:val="24"/>
          <w:szCs w:val="24"/>
        </w:rPr>
      </w:pPr>
    </w:p>
    <w:p w14:paraId="216DBDCC" w14:textId="3418DCBB"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giver Finanstilsynet hjemmel til at inddrage eller slette en tilladelse, hvis virksomheden selv anmoder om det. Formålet med bestemmelsen er at sikre, at virksomheder, der ikke længere ønsker at have tilladelse til valutavekslingsvirksomhed, kan få deres tilladelse ophævet efter eget ønske. Det kan eksempelvis være relevant, hvis virksomheden ophører med at udøve valutavekslingsvirksomhed. Finanstilsynet kan således imødekomme virksomhedens anmodning om at få inddraget tilladelsen.</w:t>
      </w:r>
    </w:p>
    <w:p w14:paraId="0A16F45C" w14:textId="77777777" w:rsidR="00703C43" w:rsidRPr="00796736" w:rsidRDefault="00703C43" w:rsidP="00A802A5">
      <w:pPr>
        <w:spacing w:line="360" w:lineRule="auto"/>
        <w:rPr>
          <w:rFonts w:ascii="Times New Roman" w:hAnsi="Times New Roman" w:cs="Times New Roman"/>
          <w:sz w:val="24"/>
          <w:szCs w:val="24"/>
        </w:rPr>
      </w:pPr>
    </w:p>
    <w:p w14:paraId="2DA91835"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2</w:t>
      </w:r>
      <w:r w:rsidRPr="00796736">
        <w:rPr>
          <w:rFonts w:ascii="Times New Roman" w:hAnsi="Times New Roman" w:cs="Times New Roman"/>
          <w:sz w:val="24"/>
          <w:szCs w:val="24"/>
        </w:rPr>
        <w:t>, at Finanstilsynet kan inddrage en tilladelse, hvis virksomheden ikke har gjort brug af tilladelsen inden for en frist af 12 måneder fra tilladelsen er meddelt.</w:t>
      </w:r>
    </w:p>
    <w:p w14:paraId="4B12783A" w14:textId="77777777" w:rsidR="00703C43" w:rsidRPr="00796736" w:rsidRDefault="00703C43" w:rsidP="00A802A5">
      <w:pPr>
        <w:spacing w:line="360" w:lineRule="auto"/>
        <w:rPr>
          <w:rFonts w:ascii="Times New Roman" w:hAnsi="Times New Roman" w:cs="Times New Roman"/>
          <w:sz w:val="24"/>
          <w:szCs w:val="24"/>
        </w:rPr>
      </w:pPr>
    </w:p>
    <w:p w14:paraId="1E9B3425"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indebærer, at virksomheder, der har fået tilladelse til valutavekslingsvirksomhed, rent faktisk skal påbegynde den relevante aktivitet inden for rimelig tid. Hvis virksomheden ikke har påbegyndt valutavekslingsvirksomhed inden for 12 måneder, anses der ikke længere at være behov for tilladelsen, og Finanstilsynet kan derfor inddrage den. Dette bidrager til at opretholde et retvisende register over aktive virksomheder med tilladelse.</w:t>
      </w:r>
    </w:p>
    <w:p w14:paraId="432C3892"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Det foreslås i </w:t>
      </w:r>
      <w:r w:rsidRPr="00796736">
        <w:rPr>
          <w:rFonts w:ascii="Times New Roman" w:hAnsi="Times New Roman" w:cs="Times New Roman"/>
          <w:i/>
          <w:iCs/>
          <w:sz w:val="24"/>
          <w:szCs w:val="24"/>
        </w:rPr>
        <w:t>nr. 3</w:t>
      </w:r>
      <w:r w:rsidRPr="00796736">
        <w:rPr>
          <w:rFonts w:ascii="Times New Roman" w:hAnsi="Times New Roman" w:cs="Times New Roman"/>
          <w:sz w:val="24"/>
          <w:szCs w:val="24"/>
        </w:rPr>
        <w:t>, at Finanstilsynet kan inddrage en tilladelse, hvis virksomheden ikke har udøvet valutavekslingsvirksomhed i en samlet periode på over 6 måneder.</w:t>
      </w:r>
    </w:p>
    <w:p w14:paraId="12831DAC" w14:textId="77777777" w:rsidR="00703C43" w:rsidRPr="00796736" w:rsidRDefault="00703C43" w:rsidP="00A802A5">
      <w:pPr>
        <w:spacing w:line="360" w:lineRule="auto"/>
        <w:rPr>
          <w:rFonts w:ascii="Times New Roman" w:hAnsi="Times New Roman" w:cs="Times New Roman"/>
          <w:sz w:val="24"/>
          <w:szCs w:val="24"/>
        </w:rPr>
      </w:pPr>
    </w:p>
    <w:p w14:paraId="4B1600C9"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medfører, at virksomheder med tilladelse til valutavekslingsvirksomhed reelt er aktive. Hvis en virksomhed i mere end 6 sammenhængende måneder ikke har udøvet valutavekslingsvirksomhed, anses der ikke længere at være behov for tilladelsen, og Finanstilsynet kan derfor inddrage den. Dette bidrager til at opretholde et opdateret og retvisende register over virksomheder med tilladelse.</w:t>
      </w:r>
    </w:p>
    <w:p w14:paraId="26290CCB" w14:textId="77777777" w:rsidR="00703C43" w:rsidRPr="00796736" w:rsidRDefault="00703C43" w:rsidP="00A802A5">
      <w:pPr>
        <w:spacing w:line="360" w:lineRule="auto"/>
        <w:rPr>
          <w:rFonts w:ascii="Times New Roman" w:hAnsi="Times New Roman" w:cs="Times New Roman"/>
          <w:sz w:val="24"/>
          <w:szCs w:val="24"/>
        </w:rPr>
      </w:pPr>
    </w:p>
    <w:p w14:paraId="0FDC7F32"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4</w:t>
      </w:r>
      <w:r w:rsidRPr="00796736">
        <w:rPr>
          <w:rFonts w:ascii="Times New Roman" w:hAnsi="Times New Roman" w:cs="Times New Roman"/>
          <w:sz w:val="24"/>
          <w:szCs w:val="24"/>
        </w:rPr>
        <w:t>, at Finanstilsynet kan inddrage en tilladelse, hvis virksomheden har opnået tilladelsen på baggrund af urigtige eller vildledende oplysninger eller på anden uretmæssig vis.</w:t>
      </w:r>
    </w:p>
    <w:p w14:paraId="19086487" w14:textId="77777777" w:rsidR="00703C43" w:rsidRPr="00796736" w:rsidRDefault="00703C43" w:rsidP="00A802A5">
      <w:pPr>
        <w:spacing w:line="360" w:lineRule="auto"/>
        <w:rPr>
          <w:rFonts w:ascii="Times New Roman" w:hAnsi="Times New Roman" w:cs="Times New Roman"/>
          <w:sz w:val="24"/>
          <w:szCs w:val="24"/>
        </w:rPr>
      </w:pPr>
    </w:p>
    <w:p w14:paraId="72054DD5"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denne bestemmelse kan Finanstilsynet inddrage en tilladelse, hvis virksomheden har opnået tilladelsen på baggrund af urigtige oplysninger, der har haft betydning for meddelelsen af tilladelsen, eller på anden uredelig vis. Det er en forudsætning, at oplysningerne har været bevidst urigtige eller vildledende. Bestemmelsen skal sikre, at tilladelse kun opretholdes for virksomheder, der har afgivet korrekte og fyldestgørende oplysninger i forbindelse med ansøgningen. Hvis det efterfølgende konstateres, at tilladelsen er opnået på et urigtigt eller vildledende grundlag, kan Finanstilsynet inddrage tilladelsen. Dette skal bidrage til at opretholde tilliden til tilsynet og sikre, at kun virksomheder, der opfylder betingelserne, har tilladelse.</w:t>
      </w:r>
    </w:p>
    <w:p w14:paraId="5087C676"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Det foreslås i </w:t>
      </w:r>
      <w:r w:rsidRPr="00796736">
        <w:rPr>
          <w:rFonts w:ascii="Times New Roman" w:hAnsi="Times New Roman" w:cs="Times New Roman"/>
          <w:i/>
          <w:iCs/>
          <w:sz w:val="24"/>
          <w:szCs w:val="24"/>
        </w:rPr>
        <w:t>nr. 5</w:t>
      </w:r>
      <w:r w:rsidRPr="00796736">
        <w:rPr>
          <w:rFonts w:ascii="Times New Roman" w:hAnsi="Times New Roman" w:cs="Times New Roman"/>
          <w:sz w:val="24"/>
          <w:szCs w:val="24"/>
        </w:rPr>
        <w:t>, at Finanstilsynet kan inddrage en tilladelse, hvis virksomheden ikke længere opfylder betingelserne for meddelelse af tilladelse.</w:t>
      </w:r>
    </w:p>
    <w:p w14:paraId="03D56DDE" w14:textId="77777777" w:rsidR="00703C43" w:rsidRPr="00796736" w:rsidRDefault="00703C43" w:rsidP="00A802A5">
      <w:pPr>
        <w:spacing w:line="360" w:lineRule="auto"/>
        <w:rPr>
          <w:rFonts w:ascii="Times New Roman" w:hAnsi="Times New Roman" w:cs="Times New Roman"/>
          <w:sz w:val="24"/>
          <w:szCs w:val="24"/>
        </w:rPr>
      </w:pPr>
    </w:p>
    <w:p w14:paraId="2DE49EB0"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medfører, at Finanstilsynet får mulighed for at inddrage en tilladelse, hvis virksomheden, herunder ledelse og reelle ejere, ikke længere opfylder kravene til hæderlighed, integritet eller uafhængighed, eller hvis det efterfølgende viser sig, at tilladelsen er meddelt på fejlagtigt grundlag. Finanstilsynet kan dog ikke inddrage en tilladelse, hvis de oplysninger, der ligger til grund for inddragelsen, var kendt for Finanstilsynet ved meddelelse af tilladelsen.</w:t>
      </w:r>
    </w:p>
    <w:p w14:paraId="36A892E4" w14:textId="77777777" w:rsidR="00703C43" w:rsidRPr="00796736" w:rsidRDefault="00703C43" w:rsidP="00A802A5">
      <w:pPr>
        <w:spacing w:line="360" w:lineRule="auto"/>
        <w:rPr>
          <w:rFonts w:ascii="Times New Roman" w:hAnsi="Times New Roman" w:cs="Times New Roman"/>
          <w:sz w:val="24"/>
          <w:szCs w:val="24"/>
        </w:rPr>
      </w:pPr>
    </w:p>
    <w:p w14:paraId="7C17FD35"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Hvis der rejses straffesag mod virksomheden, herunder medlemmer af ledelsen, for overtrædelse af straffeloven eller anden relevant lovgivning, kan der under straffesagen nedlægges påstand om frakendelse af retten til at udøve valutavekslingsvirksomhed. De generelle straffeprocessuelle principper tilsiger, at spørgsmålet om fortsat tilladelse afgøres under straffesagen. Finanstilsynet kan derfor som udgangspunkt ikke inddrage en tilladelse, hvis virksomheden under straffesagen har haft tilladelse, og domstolene har taget stilling til spørgsmålet.</w:t>
      </w:r>
    </w:p>
    <w:p w14:paraId="3F59C5ED" w14:textId="77777777" w:rsidR="00703C43" w:rsidRPr="00796736" w:rsidRDefault="00703C43" w:rsidP="00A802A5">
      <w:pPr>
        <w:spacing w:line="360" w:lineRule="auto"/>
        <w:rPr>
          <w:rFonts w:ascii="Times New Roman" w:hAnsi="Times New Roman" w:cs="Times New Roman"/>
          <w:sz w:val="24"/>
          <w:szCs w:val="24"/>
        </w:rPr>
      </w:pPr>
    </w:p>
    <w:p w14:paraId="720AEFAF"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kan også anvendes, hvis det er åbenbart, at domstolene ikke har taget stilling til, om et strafbart forhold skal medføre rettighedsfrakendelse.</w:t>
      </w:r>
    </w:p>
    <w:p w14:paraId="2899FD91" w14:textId="77777777"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br/>
        <w:t xml:space="preserve">Det foreslås i </w:t>
      </w:r>
      <w:r w:rsidRPr="00796736">
        <w:rPr>
          <w:rFonts w:ascii="Times New Roman" w:hAnsi="Times New Roman" w:cs="Times New Roman"/>
          <w:i/>
          <w:iCs/>
          <w:sz w:val="24"/>
          <w:szCs w:val="24"/>
        </w:rPr>
        <w:t>nr. 6</w:t>
      </w:r>
      <w:r w:rsidRPr="00796736">
        <w:rPr>
          <w:rFonts w:ascii="Times New Roman" w:hAnsi="Times New Roman" w:cs="Times New Roman"/>
          <w:sz w:val="24"/>
          <w:szCs w:val="24"/>
        </w:rPr>
        <w:t>, at Finanstilsynet kan inddrage en tilladelse, hvis virksomheden er registreret som ophørt i Det Centrale Virksomhedsregister.</w:t>
      </w:r>
    </w:p>
    <w:p w14:paraId="36A17A38" w14:textId="77777777" w:rsidR="00703C43" w:rsidRPr="00796736" w:rsidRDefault="00703C43" w:rsidP="00A802A5">
      <w:pPr>
        <w:spacing w:line="360" w:lineRule="auto"/>
        <w:rPr>
          <w:rFonts w:ascii="Times New Roman" w:hAnsi="Times New Roman" w:cs="Times New Roman"/>
          <w:sz w:val="24"/>
          <w:szCs w:val="24"/>
        </w:rPr>
      </w:pPr>
    </w:p>
    <w:p w14:paraId="6BDA8850" w14:textId="38D8D3A4"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forslåede bestemmelse medfører, at virksomheder, der ikke længere eksisterer som juridiske enheder, ikke fremgår som aktive i Finanstilsynets register. Når en virksomhed er registreret som ophørt i CVR, har den ikke længere ret til at udøve valutavekslingsvirksomhed, og der er derfor ikke grundlag for at opretholde tilladelsen. Dette bidrager til at sikre, at registret over virksomheder med tilladelse er retvisende og ajourført.</w:t>
      </w:r>
    </w:p>
    <w:p w14:paraId="39AC5A53" w14:textId="77777777" w:rsidR="00703C43" w:rsidRPr="00796736" w:rsidRDefault="00703C43" w:rsidP="00A802A5">
      <w:pPr>
        <w:spacing w:line="360" w:lineRule="auto"/>
        <w:rPr>
          <w:rFonts w:ascii="Times New Roman" w:hAnsi="Times New Roman" w:cs="Times New Roman"/>
          <w:b/>
          <w:bCs/>
          <w:sz w:val="24"/>
          <w:szCs w:val="24"/>
        </w:rPr>
      </w:pPr>
    </w:p>
    <w:p w14:paraId="24120655" w14:textId="6C3B1EE1"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7</w:t>
      </w:r>
      <w:r w:rsidRPr="00796736">
        <w:rPr>
          <w:rFonts w:ascii="Times New Roman" w:hAnsi="Times New Roman" w:cs="Times New Roman"/>
          <w:sz w:val="24"/>
          <w:szCs w:val="24"/>
        </w:rPr>
        <w:t xml:space="preserve">, at Finanstilsynet kan inddrage en tilladelse, hvis virksomheden ikke overholder bestemmelserne i </w:t>
      </w:r>
      <w:r w:rsidR="004D5B33" w:rsidRPr="00796736">
        <w:rPr>
          <w:rFonts w:ascii="Times New Roman" w:hAnsi="Times New Roman" w:cs="Times New Roman"/>
          <w:sz w:val="24"/>
          <w:szCs w:val="24"/>
        </w:rPr>
        <w:t xml:space="preserve">hvidvaskforordningen, denne lov, pengeoverførselsforordningen eller </w:t>
      </w:r>
      <w:r w:rsidR="004D5B33"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r w:rsidR="004D5B33" w:rsidRPr="00796736">
        <w:rPr>
          <w:rFonts w:ascii="Times New Roman" w:hAnsi="Times New Roman" w:cs="Times New Roman"/>
          <w:sz w:val="24"/>
          <w:szCs w:val="24"/>
        </w:rPr>
        <w:t xml:space="preserve">. </w:t>
      </w:r>
      <w:r w:rsidR="004D5B33" w:rsidRPr="00796736">
        <w:rPr>
          <w:rFonts w:ascii="Times New Roman" w:eastAsia="Calibri" w:hAnsi="Times New Roman" w:cs="Times New Roman"/>
          <w:sz w:val="24"/>
          <w:szCs w:val="24"/>
        </w:rPr>
        <w:t xml:space="preserve"> </w:t>
      </w:r>
    </w:p>
    <w:p w14:paraId="6289BF19" w14:textId="77777777" w:rsidR="00703C43" w:rsidRPr="00796736" w:rsidRDefault="00703C43" w:rsidP="00A802A5">
      <w:pPr>
        <w:spacing w:line="360" w:lineRule="auto"/>
        <w:rPr>
          <w:rFonts w:ascii="Times New Roman" w:hAnsi="Times New Roman" w:cs="Times New Roman"/>
          <w:sz w:val="24"/>
          <w:szCs w:val="24"/>
        </w:rPr>
      </w:pPr>
    </w:p>
    <w:p w14:paraId="59750237" w14:textId="54178CC6" w:rsidR="00703C43"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Finanstilsynet kan inddrage en tilladelse, hvis virksomheden ikke overholder bestemmelserne i </w:t>
      </w:r>
      <w:r w:rsidR="004D5B33" w:rsidRPr="00796736">
        <w:rPr>
          <w:rFonts w:ascii="Times New Roman" w:hAnsi="Times New Roman" w:cs="Times New Roman"/>
          <w:sz w:val="24"/>
          <w:szCs w:val="24"/>
        </w:rPr>
        <w:t xml:space="preserve">hvidvaskforordningen, denne lov, pengeoverførselsforordningen eller </w:t>
      </w:r>
      <w:r w:rsidR="004D5B33"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r w:rsidRPr="00796736">
        <w:rPr>
          <w:rFonts w:ascii="Times New Roman" w:hAnsi="Times New Roman" w:cs="Times New Roman"/>
          <w:sz w:val="24"/>
          <w:szCs w:val="24"/>
        </w:rPr>
        <w:t>. For at en inddragelse kan finde sted med henvisning til denne bestemmelse, skal der være tale om en klar og væsentlig overtrædelse af loven, som understøttes af klare faktuelle oplysninger.</w:t>
      </w:r>
    </w:p>
    <w:p w14:paraId="78E2D38A" w14:textId="77777777" w:rsidR="00703C43" w:rsidRPr="00796736" w:rsidRDefault="00703C43" w:rsidP="00A802A5">
      <w:pPr>
        <w:spacing w:line="360" w:lineRule="auto"/>
        <w:rPr>
          <w:rFonts w:ascii="Times New Roman" w:hAnsi="Times New Roman" w:cs="Times New Roman"/>
          <w:sz w:val="24"/>
          <w:szCs w:val="24"/>
        </w:rPr>
      </w:pPr>
    </w:p>
    <w:p w14:paraId="0A8ADC97" w14:textId="29E7DE3F" w:rsidR="009F7862" w:rsidRPr="00796736" w:rsidRDefault="00703C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Formålet er at styrke Finanstilsynets muligheder for at gribe ind over for virksomheder, der ikke overholder krav</w:t>
      </w:r>
      <w:r w:rsidR="004D5B33" w:rsidRPr="00796736">
        <w:rPr>
          <w:rFonts w:ascii="Times New Roman" w:hAnsi="Times New Roman" w:cs="Times New Roman"/>
          <w:sz w:val="24"/>
          <w:szCs w:val="24"/>
        </w:rPr>
        <w:t>ene</w:t>
      </w:r>
      <w:r w:rsidRPr="00796736">
        <w:rPr>
          <w:rFonts w:ascii="Times New Roman" w:hAnsi="Times New Roman" w:cs="Times New Roman"/>
          <w:sz w:val="24"/>
          <w:szCs w:val="24"/>
        </w:rPr>
        <w:t xml:space="preserve">, og dermed understøtte en effektiv håndhævelse af reglerne. </w:t>
      </w:r>
    </w:p>
    <w:p w14:paraId="6D1EF27F" w14:textId="77777777" w:rsidR="009F7862" w:rsidRPr="00796736" w:rsidRDefault="009F7862" w:rsidP="00A802A5">
      <w:pPr>
        <w:spacing w:line="360" w:lineRule="auto"/>
        <w:jc w:val="center"/>
        <w:rPr>
          <w:rFonts w:ascii="Times New Roman" w:hAnsi="Times New Roman" w:cs="Times New Roman"/>
          <w:i/>
          <w:iCs/>
          <w:sz w:val="24"/>
          <w:szCs w:val="24"/>
        </w:rPr>
      </w:pPr>
    </w:p>
    <w:p w14:paraId="45932CE5" w14:textId="67FE4B4F" w:rsidR="009F7862" w:rsidRPr="00796736" w:rsidRDefault="009F78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_Ref232948371 \n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3.45</w:t>
      </w:r>
      <w:r w:rsidR="005C4979" w:rsidRPr="00796736">
        <w:rPr>
          <w:rFonts w:ascii="Times New Roman" w:hAnsi="Times New Roman" w:cs="Times New Roman"/>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548AFFE5" w14:textId="77777777" w:rsidR="004857E0" w:rsidRPr="00796736" w:rsidRDefault="004857E0" w:rsidP="00A802A5">
      <w:pPr>
        <w:spacing w:line="360" w:lineRule="auto"/>
        <w:rPr>
          <w:rFonts w:ascii="Times New Roman" w:hAnsi="Times New Roman" w:cs="Times New Roman"/>
          <w:i/>
          <w:iCs/>
          <w:sz w:val="24"/>
          <w:szCs w:val="24"/>
        </w:rPr>
      </w:pPr>
    </w:p>
    <w:p w14:paraId="06F03DE7" w14:textId="7B37D9A4" w:rsidR="004857E0" w:rsidRPr="00796736" w:rsidRDefault="00240DBE" w:rsidP="00A802A5">
      <w:pPr>
        <w:pStyle w:val="Undertitel"/>
      </w:pPr>
      <w:bookmarkStart w:id="1995" w:name="_Toc232109379"/>
      <w:bookmarkStart w:id="1996" w:name="_Toc244879343"/>
      <w:bookmarkStart w:id="1997" w:name="_Toc244880868"/>
      <w:r w:rsidRPr="00796736">
        <w:t xml:space="preserve">Til </w:t>
      </w:r>
      <w:r w:rsidR="00465705" w:rsidRPr="00796736">
        <w:fldChar w:fldCharType="begin"/>
      </w:r>
      <w:r w:rsidR="00465705" w:rsidRPr="00796736">
        <w:instrText xml:space="preserve"> REF _Ref232596860 \r \h </w:instrText>
      </w:r>
      <w:r w:rsidR="00967618" w:rsidRPr="00796736">
        <w:instrText xml:space="preserve"> \* MERGEFORMAT </w:instrText>
      </w:r>
      <w:r w:rsidR="00465705" w:rsidRPr="00796736">
        <w:fldChar w:fldCharType="separate"/>
      </w:r>
      <w:r w:rsidR="008F29E5">
        <w:t>§ 47</w:t>
      </w:r>
      <w:bookmarkEnd w:id="1996"/>
      <w:bookmarkEnd w:id="1997"/>
      <w:r w:rsidR="00465705" w:rsidRPr="00796736">
        <w:fldChar w:fldCharType="end"/>
      </w:r>
      <w:r w:rsidR="00E70E76" w:rsidRPr="00796736">
        <w:t xml:space="preserve"> </w:t>
      </w:r>
      <w:bookmarkEnd w:id="1995"/>
    </w:p>
    <w:p w14:paraId="677217D2" w14:textId="77777777" w:rsidR="004857E0" w:rsidRPr="00796736" w:rsidRDefault="004857E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 48, stk. 1, i hvidvaskloven, at virksomheder og personer, der er omfattet af § 1, stk. 1, nr. 8, skal registreres hos Finanstilsynet for at kunne udøve en række nærmere angivne aktiviteter, der er nævnt i bilag 1, såsom eksempelvis udlånsvirksomhed, finansiel leasing eller boksudlejning.</w:t>
      </w:r>
    </w:p>
    <w:p w14:paraId="1F08C5EF" w14:textId="77777777" w:rsidR="004857E0" w:rsidRPr="00796736" w:rsidRDefault="004857E0" w:rsidP="00A802A5">
      <w:pPr>
        <w:spacing w:line="360" w:lineRule="auto"/>
        <w:rPr>
          <w:rFonts w:ascii="Times New Roman" w:eastAsia="Calibri" w:hAnsi="Times New Roman" w:cs="Times New Roman"/>
          <w:b/>
          <w:bCs/>
          <w:sz w:val="24"/>
          <w:szCs w:val="24"/>
        </w:rPr>
      </w:pPr>
    </w:p>
    <w:p w14:paraId="2E9E11DB" w14:textId="1BE1277A"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5C4979" w:rsidRPr="00796736">
        <w:rPr>
          <w:rFonts w:ascii="Times New Roman" w:hAnsi="Times New Roman" w:cs="Times New Roman"/>
          <w:i/>
          <w:iCs/>
          <w:sz w:val="24"/>
          <w:szCs w:val="24"/>
        </w:rPr>
        <w:fldChar w:fldCharType="begin"/>
      </w:r>
      <w:r w:rsidR="005C4979" w:rsidRPr="00796736">
        <w:rPr>
          <w:rFonts w:ascii="Times New Roman" w:hAnsi="Times New Roman" w:cs="Times New Roman"/>
          <w:i/>
          <w:iCs/>
          <w:sz w:val="24"/>
          <w:szCs w:val="24"/>
        </w:rPr>
        <w:instrText xml:space="preserve"> REF _Ref232596860 \r \h  \* MERGEFORMAT </w:instrText>
      </w:r>
      <w:r w:rsidR="005C4979" w:rsidRPr="00796736">
        <w:rPr>
          <w:rFonts w:ascii="Times New Roman" w:hAnsi="Times New Roman" w:cs="Times New Roman"/>
          <w:i/>
          <w:iCs/>
          <w:sz w:val="24"/>
          <w:szCs w:val="24"/>
        </w:rPr>
      </w:r>
      <w:r w:rsidR="005C497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47</w:t>
      </w:r>
      <w:r w:rsidR="005C4979" w:rsidRPr="00796736">
        <w:rPr>
          <w:rFonts w:ascii="Times New Roman" w:hAnsi="Times New Roman" w:cs="Times New Roman"/>
          <w:i/>
          <w:iCs/>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indeholder krav om registrering hos Finanstilsynet. </w:t>
      </w:r>
    </w:p>
    <w:p w14:paraId="011FC299" w14:textId="77777777" w:rsidR="004857E0" w:rsidRPr="00796736" w:rsidRDefault="004857E0" w:rsidP="00A802A5">
      <w:pPr>
        <w:spacing w:line="360" w:lineRule="auto"/>
        <w:rPr>
          <w:rFonts w:ascii="Times New Roman" w:hAnsi="Times New Roman" w:cs="Times New Roman"/>
          <w:sz w:val="24"/>
          <w:szCs w:val="24"/>
        </w:rPr>
      </w:pPr>
    </w:p>
    <w:p w14:paraId="3A79185C" w14:textId="23EC11A2"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viderefører § 48, stk. 1, i gældende hvidvasklov for så vidt angår virksomheder og personer, der er omfattet af gældende hvidvasklovs § 1, stk. 1, nr. 8. Den foreslåede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5C4979" w:rsidRPr="00796736">
        <w:rPr>
          <w:rFonts w:ascii="Times New Roman" w:hAnsi="Times New Roman" w:cs="Times New Roman"/>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udvider imidlertid registreringspligten, således at også </w:t>
      </w:r>
      <w:r w:rsidR="00F71D6B" w:rsidRPr="00796736">
        <w:rPr>
          <w:rFonts w:ascii="Times New Roman" w:hAnsi="Times New Roman" w:cs="Times New Roman"/>
          <w:sz w:val="24"/>
          <w:szCs w:val="24"/>
        </w:rPr>
        <w:t xml:space="preserve">crowdfundingformidlere nævnt i § 2, nr. 14, samt </w:t>
      </w:r>
      <w:r w:rsidR="00CA0B8F" w:rsidRPr="00796736">
        <w:rPr>
          <w:rFonts w:ascii="Times New Roman" w:hAnsi="Times New Roman" w:cs="Times New Roman"/>
          <w:sz w:val="24"/>
          <w:szCs w:val="24"/>
        </w:rPr>
        <w:t>ikke</w:t>
      </w:r>
      <w:r w:rsidR="00F71D6B" w:rsidRPr="00796736">
        <w:rPr>
          <w:rFonts w:ascii="Times New Roman" w:hAnsi="Times New Roman" w:cs="Times New Roman"/>
          <w:sz w:val="24"/>
          <w:szCs w:val="24"/>
        </w:rPr>
        <w:t xml:space="preserve">finansielle holdingselskaber med blandet aktivitet nævnt i § 2, nr. </w:t>
      </w:r>
      <w:r w:rsidR="00CA0B8F" w:rsidRPr="00796736">
        <w:rPr>
          <w:rFonts w:ascii="Times New Roman" w:hAnsi="Times New Roman" w:cs="Times New Roman"/>
          <w:sz w:val="24"/>
          <w:szCs w:val="24"/>
        </w:rPr>
        <w:t>32, litra a</w:t>
      </w:r>
      <w:r w:rsidR="00F71D6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skal registreres hos Finanstilsynet, før de kan udøve de relevante aktiviteter. </w:t>
      </w:r>
    </w:p>
    <w:p w14:paraId="52A864C7" w14:textId="77777777" w:rsidR="004857E0" w:rsidRPr="00796736" w:rsidRDefault="004857E0" w:rsidP="00A802A5">
      <w:pPr>
        <w:spacing w:line="360" w:lineRule="auto"/>
        <w:rPr>
          <w:rFonts w:ascii="Times New Roman" w:hAnsi="Times New Roman" w:cs="Times New Roman"/>
          <w:sz w:val="24"/>
          <w:szCs w:val="24"/>
        </w:rPr>
      </w:pPr>
    </w:p>
    <w:p w14:paraId="212F060E"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viderefører og udbygger de gældende regler om registrering, således at Finanstilsynet kan føre tilsyn med og identificere de virksomheder og personer, der udøver de nævnte aktiviteter.</w:t>
      </w:r>
    </w:p>
    <w:p w14:paraId="2407FFCF" w14:textId="77777777" w:rsidR="004857E0" w:rsidRPr="00796736" w:rsidRDefault="004857E0" w:rsidP="00A802A5">
      <w:pPr>
        <w:spacing w:line="360" w:lineRule="auto"/>
        <w:rPr>
          <w:rFonts w:ascii="Times New Roman" w:hAnsi="Times New Roman" w:cs="Times New Roman"/>
          <w:sz w:val="24"/>
          <w:szCs w:val="24"/>
        </w:rPr>
      </w:pPr>
    </w:p>
    <w:p w14:paraId="3E24C6D7" w14:textId="6474F5AB" w:rsidR="002E5C4E" w:rsidRPr="00796736" w:rsidRDefault="001522B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w:t>
      </w:r>
      <w:r w:rsidR="002E5C4E" w:rsidRPr="00796736">
        <w:rPr>
          <w:rFonts w:ascii="Times New Roman" w:hAnsi="Times New Roman" w:cs="Times New Roman"/>
          <w:sz w:val="24"/>
          <w:szCs w:val="24"/>
        </w:rPr>
        <w:t xml:space="preserve">virksomheder og personer, der er omfattet af </w:t>
      </w:r>
      <w:r w:rsidR="002E5C4E" w:rsidRPr="00796736">
        <w:rPr>
          <w:rFonts w:ascii="Times New Roman" w:hAnsi="Times New Roman" w:cs="Times New Roman"/>
          <w:sz w:val="24"/>
          <w:szCs w:val="24"/>
        </w:rPr>
        <w:fldChar w:fldCharType="begin"/>
      </w:r>
      <w:r w:rsidR="002E5C4E" w:rsidRPr="00796736">
        <w:rPr>
          <w:rFonts w:ascii="Times New Roman" w:hAnsi="Times New Roman" w:cs="Times New Roman"/>
          <w:sz w:val="24"/>
          <w:szCs w:val="24"/>
        </w:rPr>
        <w:instrText xml:space="preserve"> REF _Ref232592818 \r \h  \* MERGEFORMAT </w:instrText>
      </w:r>
      <w:r w:rsidR="002E5C4E" w:rsidRPr="00796736">
        <w:rPr>
          <w:rFonts w:ascii="Times New Roman" w:hAnsi="Times New Roman" w:cs="Times New Roman"/>
          <w:sz w:val="24"/>
          <w:szCs w:val="24"/>
        </w:rPr>
      </w:r>
      <w:r w:rsidR="002E5C4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2E5C4E" w:rsidRPr="00796736">
        <w:rPr>
          <w:rFonts w:ascii="Times New Roman" w:hAnsi="Times New Roman" w:cs="Times New Roman"/>
          <w:sz w:val="24"/>
          <w:szCs w:val="24"/>
        </w:rPr>
        <w:fldChar w:fldCharType="end"/>
      </w:r>
      <w:r w:rsidR="002E5C4E" w:rsidRPr="00796736">
        <w:rPr>
          <w:rFonts w:ascii="Times New Roman" w:hAnsi="Times New Roman" w:cs="Times New Roman"/>
          <w:sz w:val="24"/>
          <w:szCs w:val="24"/>
        </w:rPr>
        <w:t xml:space="preserve">, nr. 8, crowdfundingformidlere jf. </w:t>
      </w:r>
      <w:r w:rsidR="002E5C4E" w:rsidRPr="00796736">
        <w:rPr>
          <w:rFonts w:ascii="Times New Roman" w:hAnsi="Times New Roman" w:cs="Times New Roman"/>
          <w:sz w:val="24"/>
          <w:szCs w:val="24"/>
        </w:rPr>
        <w:fldChar w:fldCharType="begin"/>
      </w:r>
      <w:r w:rsidR="002E5C4E" w:rsidRPr="00796736">
        <w:rPr>
          <w:rFonts w:ascii="Times New Roman" w:hAnsi="Times New Roman" w:cs="Times New Roman"/>
          <w:sz w:val="24"/>
          <w:szCs w:val="24"/>
        </w:rPr>
        <w:instrText xml:space="preserve"> REF _Ref232592818 \r \h  \* MERGEFORMAT </w:instrText>
      </w:r>
      <w:r w:rsidR="002E5C4E" w:rsidRPr="00796736">
        <w:rPr>
          <w:rFonts w:ascii="Times New Roman" w:hAnsi="Times New Roman" w:cs="Times New Roman"/>
          <w:sz w:val="24"/>
          <w:szCs w:val="24"/>
        </w:rPr>
      </w:r>
      <w:r w:rsidR="002E5C4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2E5C4E" w:rsidRPr="00796736">
        <w:rPr>
          <w:rFonts w:ascii="Times New Roman" w:hAnsi="Times New Roman" w:cs="Times New Roman"/>
          <w:sz w:val="24"/>
          <w:szCs w:val="24"/>
        </w:rPr>
        <w:fldChar w:fldCharType="end"/>
      </w:r>
      <w:r w:rsidR="002E5C4E" w:rsidRPr="00796736">
        <w:rPr>
          <w:rFonts w:ascii="Times New Roman" w:hAnsi="Times New Roman" w:cs="Times New Roman"/>
          <w:sz w:val="24"/>
          <w:szCs w:val="24"/>
        </w:rPr>
        <w:t xml:space="preserve">, nr. 14, samt </w:t>
      </w:r>
      <w:r w:rsidR="00CA0B8F" w:rsidRPr="00796736">
        <w:rPr>
          <w:rFonts w:ascii="Times New Roman" w:hAnsi="Times New Roman" w:cs="Times New Roman"/>
          <w:sz w:val="24"/>
          <w:szCs w:val="24"/>
        </w:rPr>
        <w:t>ikke</w:t>
      </w:r>
      <w:r w:rsidR="002E5C4E" w:rsidRPr="00796736">
        <w:rPr>
          <w:rFonts w:ascii="Times New Roman" w:hAnsi="Times New Roman" w:cs="Times New Roman"/>
          <w:sz w:val="24"/>
          <w:szCs w:val="24"/>
        </w:rPr>
        <w:t xml:space="preserve">finansielle holdingselskaber med blandet aktivitet jf. </w:t>
      </w:r>
      <w:r w:rsidR="002E5C4E" w:rsidRPr="00796736">
        <w:rPr>
          <w:rFonts w:ascii="Times New Roman" w:hAnsi="Times New Roman" w:cs="Times New Roman"/>
          <w:sz w:val="24"/>
          <w:szCs w:val="24"/>
        </w:rPr>
        <w:fldChar w:fldCharType="begin"/>
      </w:r>
      <w:r w:rsidR="002E5C4E" w:rsidRPr="00796736">
        <w:rPr>
          <w:rFonts w:ascii="Times New Roman" w:hAnsi="Times New Roman" w:cs="Times New Roman"/>
          <w:sz w:val="24"/>
          <w:szCs w:val="24"/>
        </w:rPr>
        <w:instrText xml:space="preserve"> REF _Ref232592818 \r \h  \* MERGEFORMAT </w:instrText>
      </w:r>
      <w:r w:rsidR="002E5C4E" w:rsidRPr="00796736">
        <w:rPr>
          <w:rFonts w:ascii="Times New Roman" w:hAnsi="Times New Roman" w:cs="Times New Roman"/>
          <w:sz w:val="24"/>
          <w:szCs w:val="24"/>
        </w:rPr>
      </w:r>
      <w:r w:rsidR="002E5C4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2E5C4E" w:rsidRPr="00796736">
        <w:rPr>
          <w:rFonts w:ascii="Times New Roman" w:hAnsi="Times New Roman" w:cs="Times New Roman"/>
          <w:sz w:val="24"/>
          <w:szCs w:val="24"/>
        </w:rPr>
        <w:fldChar w:fldCharType="end"/>
      </w:r>
      <w:r w:rsidR="002E5C4E" w:rsidRPr="00796736">
        <w:rPr>
          <w:rFonts w:ascii="Times New Roman" w:hAnsi="Times New Roman" w:cs="Times New Roman"/>
          <w:sz w:val="24"/>
          <w:szCs w:val="24"/>
        </w:rPr>
        <w:t xml:space="preserve">, nr. </w:t>
      </w:r>
      <w:r w:rsidR="00CA0B8F" w:rsidRPr="00796736">
        <w:rPr>
          <w:rFonts w:ascii="Times New Roman" w:hAnsi="Times New Roman" w:cs="Times New Roman"/>
          <w:sz w:val="24"/>
          <w:szCs w:val="24"/>
        </w:rPr>
        <w:t>32, litra a</w:t>
      </w:r>
      <w:r w:rsidR="002E5C4E" w:rsidRPr="00796736">
        <w:rPr>
          <w:rFonts w:ascii="Times New Roman" w:hAnsi="Times New Roman" w:cs="Times New Roman"/>
          <w:sz w:val="24"/>
          <w:szCs w:val="24"/>
        </w:rPr>
        <w:t>, skal registreres hos Finanstilsynet, før de kan udøve aktiviteter, der er nævnt i bilag 1, udøve crowdfundingformidling eller</w:t>
      </w:r>
      <w:r w:rsidR="00CA0B8F" w:rsidRPr="00796736">
        <w:rPr>
          <w:rFonts w:ascii="Times New Roman" w:hAnsi="Times New Roman" w:cs="Times New Roman"/>
          <w:sz w:val="24"/>
          <w:szCs w:val="24"/>
        </w:rPr>
        <w:t xml:space="preserve"> drive virksomhed som ikkefinansielt holdingselskab med blandet aktivitet, når holdingselskabet har et datterselskab, der udøver virksomhed som crowdfundingtjenesteudbyder eller crowdfundingformidler som defineret i artikel 3, nr. 3, litra h, eller som kreditformidler, som defineret i artikel 3, nr. 3, litra k, i hvidvaskforordningen, og når holdingselskabet udøver virksomhed i Danmark</w:t>
      </w:r>
      <w:r w:rsidR="002E5C4E" w:rsidRPr="00796736">
        <w:rPr>
          <w:rFonts w:ascii="Times New Roman" w:hAnsi="Times New Roman" w:cs="Times New Roman"/>
          <w:sz w:val="24"/>
          <w:szCs w:val="24"/>
        </w:rPr>
        <w:t>.</w:t>
      </w:r>
    </w:p>
    <w:p w14:paraId="637BF33E" w14:textId="77777777" w:rsidR="001522B7" w:rsidRPr="00796736" w:rsidRDefault="001522B7" w:rsidP="00A802A5">
      <w:pPr>
        <w:spacing w:line="360" w:lineRule="auto"/>
        <w:rPr>
          <w:rFonts w:ascii="Times New Roman" w:hAnsi="Times New Roman" w:cs="Times New Roman"/>
          <w:sz w:val="24"/>
          <w:szCs w:val="24"/>
        </w:rPr>
      </w:pPr>
    </w:p>
    <w:p w14:paraId="2AA2B23E" w14:textId="252F7B53" w:rsidR="004857E0" w:rsidRPr="00796736" w:rsidRDefault="001522B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Registreringspligten gennemføres for at sikre, at Finanstilsynet kan føre tilsyn med virksomheder og personer, der erhvervsmæssigt udøver en eller flere af de nævnte aktiviteter. Virksomheder og personer, der allerede i henhold til anden lovgivning er underlagt Finanstilsynets tilsyn, skal ikke registreres i medfør af denne bestemmelse.</w:t>
      </w:r>
    </w:p>
    <w:p w14:paraId="364C9C9B" w14:textId="77777777" w:rsidR="001522B7" w:rsidRPr="00796736" w:rsidRDefault="001522B7" w:rsidP="00A802A5">
      <w:pPr>
        <w:spacing w:line="360" w:lineRule="auto"/>
        <w:rPr>
          <w:rFonts w:ascii="Times New Roman" w:hAnsi="Times New Roman" w:cs="Times New Roman"/>
          <w:sz w:val="24"/>
          <w:szCs w:val="24"/>
        </w:rPr>
      </w:pPr>
    </w:p>
    <w:p w14:paraId="2F19B498" w14:textId="46C5FBFD" w:rsidR="001522B7"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Registreringspligten efter </w:t>
      </w:r>
      <w:r w:rsidR="00492FC1" w:rsidRPr="00796736">
        <w:rPr>
          <w:rFonts w:ascii="Times New Roman" w:hAnsi="Times New Roman" w:cs="Times New Roman"/>
          <w:sz w:val="24"/>
          <w:szCs w:val="24"/>
        </w:rPr>
        <w:t xml:space="preserve">den foreslåede bestemmelse </w:t>
      </w:r>
      <w:r w:rsidR="001522B7" w:rsidRPr="00796736">
        <w:rPr>
          <w:rFonts w:ascii="Times New Roman" w:hAnsi="Times New Roman" w:cs="Times New Roman"/>
          <w:sz w:val="24"/>
          <w:szCs w:val="24"/>
        </w:rPr>
        <w:t>omfatter virksomheder og personer, der udøver de i</w:t>
      </w:r>
      <w:r w:rsidR="00492FC1" w:rsidRPr="00796736">
        <w:rPr>
          <w:rFonts w:ascii="Times New Roman" w:hAnsi="Times New Roman" w:cs="Times New Roman"/>
          <w:sz w:val="24"/>
          <w:szCs w:val="24"/>
        </w:rPr>
        <w:t xml:space="preserve"> det foreslåede</w:t>
      </w:r>
      <w:r w:rsidR="001522B7" w:rsidRPr="00796736">
        <w:rPr>
          <w:rFonts w:ascii="Times New Roman" w:hAnsi="Times New Roman" w:cs="Times New Roman"/>
          <w:sz w:val="24"/>
          <w:szCs w:val="24"/>
        </w:rPr>
        <w:t xml:space="preserve"> bilag 1 nævnte aktiviteter, er crowdfundingformidlere eller driver virksomhed som </w:t>
      </w:r>
      <w:r w:rsidR="00CA0B8F" w:rsidRPr="00796736">
        <w:rPr>
          <w:rFonts w:ascii="Times New Roman" w:hAnsi="Times New Roman" w:cs="Times New Roman"/>
          <w:sz w:val="24"/>
          <w:szCs w:val="24"/>
        </w:rPr>
        <w:t>ikke</w:t>
      </w:r>
      <w:r w:rsidR="001522B7" w:rsidRPr="00796736">
        <w:rPr>
          <w:rFonts w:ascii="Times New Roman" w:hAnsi="Times New Roman" w:cs="Times New Roman"/>
          <w:sz w:val="24"/>
          <w:szCs w:val="24"/>
        </w:rPr>
        <w:t>finansielt holdingselskab med blandet aktivitet. Registrering skal kun ske, hvis aktiviteterne udøves erhvervsmæssigt. Anmeldelse skal foretages, selv om aktiviteten ikke er virksomhedens eller personens hovedaktivitet. Der er ikke registreringspligt, hvis der alene er tale om enkeltstående erhvervsmæssige dispositioner, der har en naturlig tilknytning til virksomhedens hovedaktivitet. For eksempel anses passiv formuepleje, såsom løbende placering af overskudslikviditet i børsnoterede aktier eller obligationer, ikke for at være erhvervsmæssig aktivitet i denne sammenhæng. Tilsvarende vil en virksomhed, der som personalegode udbyder finansiel leasing til et begrænset antal medarbejdere, ikke være registreringspligtig, hvis dette ikke udgør virksomhedens hovedaktivitet. Vurderingen af, om en aktivitet udøves erhvervsmæssigt og dermed er registreringspligtig, skal foretages på baggrund af udbuddet af aktiviteten. Ved denne vurdering indgår kriterier svarende til dem, der anvendes på skatteområdet, herunder rentabilitets- og intensitetskrav.</w:t>
      </w:r>
    </w:p>
    <w:p w14:paraId="0831EE22" w14:textId="77777777" w:rsidR="001522B7" w:rsidRPr="00796736" w:rsidRDefault="001522B7" w:rsidP="00A802A5">
      <w:pPr>
        <w:spacing w:line="360" w:lineRule="auto"/>
        <w:rPr>
          <w:rFonts w:ascii="Times New Roman" w:hAnsi="Times New Roman" w:cs="Times New Roman"/>
          <w:sz w:val="24"/>
          <w:szCs w:val="24"/>
        </w:rPr>
      </w:pPr>
    </w:p>
    <w:p w14:paraId="7E8949B1" w14:textId="760187B2" w:rsidR="001522B7" w:rsidRPr="00796736" w:rsidRDefault="001522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implementerer artikel 4, stk. 3, i 6. hvidvaskdirektiv. </w:t>
      </w:r>
    </w:p>
    <w:p w14:paraId="6B4879E5" w14:textId="77777777" w:rsidR="00CA0B8F" w:rsidRPr="00796736" w:rsidRDefault="00CA0B8F" w:rsidP="00A802A5">
      <w:pPr>
        <w:spacing w:line="360" w:lineRule="auto"/>
        <w:rPr>
          <w:rFonts w:ascii="Times New Roman" w:eastAsia="Calibri" w:hAnsi="Times New Roman" w:cs="Times New Roman"/>
          <w:sz w:val="24"/>
          <w:szCs w:val="24"/>
        </w:rPr>
      </w:pPr>
    </w:p>
    <w:p w14:paraId="17135FB6" w14:textId="77777777" w:rsidR="00CA0B8F" w:rsidRPr="00796736" w:rsidRDefault="00CA0B8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ikkefinansielt holdingselskab med blandet aktivitet defineres i hvidvaskforordningens artikel 2, nr. 13, som en virksomhed, der ikke er et finansielt holdingselskab eller et blandet finansielt holdingselskab, og som ikke er datterselskab af en anden virksomhed, og hvis datterselskaber omfatter mindst én forpligtet enhed, jf. artikel 3, nr. 3, i hvidvaskforordningen. </w:t>
      </w:r>
    </w:p>
    <w:p w14:paraId="5D4B7746" w14:textId="77777777" w:rsidR="00CA0B8F" w:rsidRPr="00796736" w:rsidRDefault="00CA0B8F" w:rsidP="00A802A5">
      <w:pPr>
        <w:spacing w:line="360" w:lineRule="auto"/>
        <w:rPr>
          <w:rFonts w:ascii="Times New Roman" w:hAnsi="Times New Roman" w:cs="Times New Roman"/>
          <w:sz w:val="24"/>
          <w:szCs w:val="24"/>
        </w:rPr>
      </w:pPr>
    </w:p>
    <w:p w14:paraId="332B8E13" w14:textId="77777777" w:rsidR="00CA0B8F" w:rsidRDefault="00CA0B8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Begrebet ikkefinansielt holdingselskab med blandet aktivitet indføres med Europa-Parlamentets og Rådets forordning (EU) 2024/1624. Der er således ikke tale om en videreførelse af eksisterende krav i den gældende hvidvasklov, men om indførelsen af en ny type forpligtet enhed, der skal registreres hos Finanstilsynet i medfør af forordningen.</w:t>
      </w:r>
    </w:p>
    <w:p w14:paraId="6972334E" w14:textId="77777777" w:rsidR="008801CA" w:rsidRDefault="008801CA" w:rsidP="00A802A5">
      <w:pPr>
        <w:spacing w:line="360" w:lineRule="auto"/>
        <w:rPr>
          <w:rFonts w:ascii="Times New Roman" w:hAnsi="Times New Roman" w:cs="Times New Roman"/>
          <w:sz w:val="24"/>
          <w:szCs w:val="24"/>
        </w:rPr>
      </w:pPr>
    </w:p>
    <w:p w14:paraId="5703D9F3" w14:textId="0633F643" w:rsidR="002A4E01" w:rsidRPr="00796736" w:rsidRDefault="002A4E01" w:rsidP="00A802A5">
      <w:pPr>
        <w:suppressAutoHyphens/>
        <w:spacing w:line="360" w:lineRule="auto"/>
        <w:rPr>
          <w:rFonts w:ascii="Times New Roman" w:hAnsi="Times New Roman" w:cs="Times New Roman"/>
          <w:sz w:val="24"/>
          <w:szCs w:val="24"/>
        </w:rPr>
      </w:pPr>
      <w:r w:rsidRPr="002A4E01">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43018D2E" w14:textId="77777777" w:rsidR="001522B7" w:rsidRPr="00796736" w:rsidRDefault="001522B7" w:rsidP="00A802A5">
      <w:pPr>
        <w:spacing w:line="360" w:lineRule="auto"/>
        <w:rPr>
          <w:rFonts w:ascii="Times New Roman" w:eastAsia="Calibri" w:hAnsi="Times New Roman" w:cs="Times New Roman"/>
          <w:sz w:val="24"/>
          <w:szCs w:val="24"/>
        </w:rPr>
      </w:pPr>
    </w:p>
    <w:p w14:paraId="62D9D98B" w14:textId="33BFAB0E" w:rsidR="004857E0" w:rsidRPr="00796736" w:rsidRDefault="001522B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bemærkningerne til </w:t>
      </w:r>
      <w:r w:rsidR="00412944" w:rsidRPr="00796736">
        <w:rPr>
          <w:rFonts w:ascii="Times New Roman" w:hAnsi="Times New Roman" w:cs="Times New Roman"/>
          <w:sz w:val="24"/>
          <w:szCs w:val="24"/>
        </w:rPr>
        <w:t xml:space="preserve">lovforslagets </w:t>
      </w:r>
      <w:r w:rsidRPr="00796736">
        <w:rPr>
          <w:rFonts w:ascii="Times New Roman" w:hAnsi="Times New Roman" w:cs="Times New Roman"/>
          <w:sz w:val="24"/>
          <w:szCs w:val="24"/>
        </w:rPr>
        <w:t xml:space="preserve">§ 2, nr. 8, 14 og </w:t>
      </w:r>
      <w:r w:rsidR="00CA0B8F" w:rsidRPr="00796736">
        <w:rPr>
          <w:rFonts w:ascii="Times New Roman" w:hAnsi="Times New Roman" w:cs="Times New Roman"/>
          <w:sz w:val="24"/>
          <w:szCs w:val="24"/>
        </w:rPr>
        <w:t>32, litra a</w:t>
      </w:r>
      <w:r w:rsidRPr="00796736">
        <w:rPr>
          <w:rFonts w:ascii="Times New Roman" w:hAnsi="Times New Roman" w:cs="Times New Roman"/>
          <w:sz w:val="24"/>
          <w:szCs w:val="24"/>
        </w:rPr>
        <w:t>, samt § 1, stk. 7. Overtrædelse af bestemmelsen er strafbelagt, jf.</w:t>
      </w:r>
      <w:r w:rsidR="002A4E01">
        <w:rPr>
          <w:rFonts w:ascii="Times New Roman" w:hAnsi="Times New Roman" w:cs="Times New Roman"/>
          <w:sz w:val="24"/>
          <w:szCs w:val="24"/>
        </w:rPr>
        <w:t xml:space="preserve"> </w:t>
      </w:r>
      <w:r w:rsidR="002A4E01">
        <w:rPr>
          <w:rFonts w:ascii="Times New Roman" w:hAnsi="Times New Roman" w:cs="Times New Roman"/>
          <w:sz w:val="24"/>
          <w:szCs w:val="24"/>
        </w:rPr>
        <w:fldChar w:fldCharType="begin"/>
      </w:r>
      <w:r w:rsidR="002A4E01">
        <w:rPr>
          <w:rFonts w:ascii="Times New Roman" w:hAnsi="Times New Roman" w:cs="Times New Roman"/>
          <w:sz w:val="24"/>
          <w:szCs w:val="24"/>
        </w:rPr>
        <w:instrText xml:space="preserve"> REF _Ref242963797 \n \h </w:instrText>
      </w:r>
      <w:r w:rsidR="00CB248D">
        <w:rPr>
          <w:rFonts w:ascii="Times New Roman" w:hAnsi="Times New Roman" w:cs="Times New Roman"/>
          <w:sz w:val="24"/>
          <w:szCs w:val="24"/>
        </w:rPr>
        <w:instrText xml:space="preserve"> \* MERGEFORMAT </w:instrText>
      </w:r>
      <w:r w:rsidR="002A4E01">
        <w:rPr>
          <w:rFonts w:ascii="Times New Roman" w:hAnsi="Times New Roman" w:cs="Times New Roman"/>
          <w:sz w:val="24"/>
          <w:szCs w:val="24"/>
        </w:rPr>
      </w:r>
      <w:r w:rsidR="002A4E01">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2A4E01">
        <w:rPr>
          <w:rFonts w:ascii="Times New Roman" w:hAnsi="Times New Roman" w:cs="Times New Roman"/>
          <w:sz w:val="24"/>
          <w:szCs w:val="24"/>
        </w:rPr>
        <w:fldChar w:fldCharType="end"/>
      </w:r>
      <w:r w:rsidR="002A4E01">
        <w:rPr>
          <w:rFonts w:ascii="Times New Roman" w:hAnsi="Times New Roman" w:cs="Times New Roman"/>
          <w:sz w:val="24"/>
          <w:szCs w:val="24"/>
        </w:rPr>
        <w:t>, stk. 1, nr. 5.</w:t>
      </w:r>
      <w:r w:rsidRPr="00796736">
        <w:rPr>
          <w:rFonts w:ascii="Times New Roman" w:hAnsi="Times New Roman" w:cs="Times New Roman"/>
          <w:sz w:val="24"/>
          <w:szCs w:val="24"/>
        </w:rPr>
        <w:t xml:space="preserve"> Ansvarssubjekterne for overtrædelse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5C4979" w:rsidRPr="00796736">
        <w:rPr>
          <w:rFonts w:ascii="Times New Roman" w:hAnsi="Times New Roman" w:cs="Times New Roman"/>
          <w:sz w:val="24"/>
          <w:szCs w:val="24"/>
        </w:rPr>
        <w:fldChar w:fldCharType="end"/>
      </w:r>
      <w:r w:rsidR="00D227B5" w:rsidRPr="00796736">
        <w:rPr>
          <w:rFonts w:ascii="Times New Roman" w:hAnsi="Times New Roman" w:cs="Times New Roman"/>
          <w:sz w:val="24"/>
          <w:szCs w:val="24"/>
        </w:rPr>
        <w:t>, skt. 1,</w:t>
      </w:r>
      <w:r w:rsidRPr="00796736">
        <w:rPr>
          <w:rFonts w:ascii="Times New Roman" w:hAnsi="Times New Roman" w:cs="Times New Roman"/>
          <w:sz w:val="24"/>
          <w:szCs w:val="24"/>
        </w:rPr>
        <w:t xml:space="preserve"> er virksomheder og personer, der udbyder aktiviteter som angivet i § 2, nr. 8, jf. bilag 1, crowdfundingformidlere omfattet af § 2, nr. 14, samt </w:t>
      </w:r>
      <w:r w:rsidR="00CA0B8F" w:rsidRPr="00796736">
        <w:rPr>
          <w:rFonts w:ascii="Times New Roman" w:hAnsi="Times New Roman" w:cs="Times New Roman"/>
          <w:sz w:val="24"/>
          <w:szCs w:val="24"/>
        </w:rPr>
        <w:t>ikke</w:t>
      </w:r>
      <w:r w:rsidRPr="00796736">
        <w:rPr>
          <w:rFonts w:ascii="Times New Roman" w:hAnsi="Times New Roman" w:cs="Times New Roman"/>
          <w:sz w:val="24"/>
          <w:szCs w:val="24"/>
        </w:rPr>
        <w:t xml:space="preserve">finansielle holdingselskaber med blandet aktivitet omfattet af § 2, nr. </w:t>
      </w:r>
      <w:r w:rsidR="00CA0B8F" w:rsidRPr="00796736">
        <w:rPr>
          <w:rFonts w:ascii="Times New Roman" w:hAnsi="Times New Roman" w:cs="Times New Roman"/>
          <w:sz w:val="24"/>
          <w:szCs w:val="24"/>
        </w:rPr>
        <w:t>32, litra a</w:t>
      </w:r>
      <w:r w:rsidRPr="00796736">
        <w:rPr>
          <w:rFonts w:ascii="Times New Roman" w:hAnsi="Times New Roman" w:cs="Times New Roman"/>
          <w:sz w:val="24"/>
          <w:szCs w:val="24"/>
        </w:rPr>
        <w:t>. Den strafbare handling består i at udøve de nævnte aktiviteter uden forudgående registrering hos Finanstilsynet. Eksempler på overtrædelse af bestemmelsen er en virksomhed, der udbyder finansiel leasing uden at være registreret hos Finanstilsynet, eller en crowdfundingformidler, der udøver crowdfundingformidling uden at være registreret hos Finanstilsynet. Tilsvarende vil et finansielt holdingselskab med blandet aktivitet, der driver virksomhed uden registrering, være omfattet.</w:t>
      </w:r>
    </w:p>
    <w:p w14:paraId="453EADCF" w14:textId="77777777" w:rsidR="001522B7" w:rsidRPr="00796736" w:rsidRDefault="001522B7" w:rsidP="00A802A5">
      <w:pPr>
        <w:spacing w:line="360" w:lineRule="auto"/>
        <w:rPr>
          <w:rFonts w:ascii="Times New Roman" w:hAnsi="Times New Roman" w:cs="Times New Roman"/>
          <w:sz w:val="24"/>
          <w:szCs w:val="24"/>
        </w:rPr>
      </w:pPr>
    </w:p>
    <w:p w14:paraId="5A7B905F" w14:textId="6091B043"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w:t>
      </w:r>
      <w:r w:rsidR="00CA0B8F" w:rsidRPr="00796736">
        <w:rPr>
          <w:rFonts w:ascii="Times New Roman" w:eastAsia="Times New Roman" w:hAnsi="Times New Roman" w:cs="Times New Roman"/>
          <w:sz w:val="24"/>
          <w:szCs w:val="24"/>
          <w:lang w:eastAsia="da-DK"/>
        </w:rPr>
        <w:t xml:space="preserve">et </w:t>
      </w:r>
      <w:r w:rsidRPr="00796736">
        <w:rPr>
          <w:rFonts w:ascii="Times New Roman" w:eastAsia="Times New Roman" w:hAnsi="Times New Roman" w:cs="Times New Roman"/>
          <w:sz w:val="24"/>
          <w:szCs w:val="24"/>
          <w:lang w:eastAsia="da-DK"/>
        </w:rPr>
        <w:t>finansiel</w:t>
      </w:r>
      <w:r w:rsidR="00CA0B8F" w:rsidRPr="00796736">
        <w:rPr>
          <w:rFonts w:ascii="Times New Roman" w:eastAsia="Times New Roman" w:hAnsi="Times New Roman" w:cs="Times New Roman"/>
          <w:sz w:val="24"/>
          <w:szCs w:val="24"/>
          <w:lang w:eastAsia="da-DK"/>
        </w:rPr>
        <w:t>t</w:t>
      </w:r>
      <w:r w:rsidRPr="00796736">
        <w:rPr>
          <w:rFonts w:ascii="Times New Roman" w:eastAsia="Times New Roman" w:hAnsi="Times New Roman" w:cs="Times New Roman"/>
          <w:sz w:val="24"/>
          <w:szCs w:val="24"/>
          <w:lang w:eastAsia="da-DK"/>
        </w:rPr>
        <w:t xml:space="preserve"> holdingselskabet med blandet aktivitet,</w:t>
      </w:r>
      <w:r w:rsidR="00CA0B8F" w:rsidRPr="00796736">
        <w:rPr>
          <w:rFonts w:ascii="Times New Roman" w:eastAsia="Times New Roman" w:hAnsi="Times New Roman" w:cs="Times New Roman"/>
          <w:sz w:val="24"/>
          <w:szCs w:val="24"/>
          <w:lang w:eastAsia="da-DK"/>
        </w:rPr>
        <w:t xml:space="preserve"> som nævnt i § 2, nr. 19, skal registreres hos Finanstilsynet, når holdingselskaber udøver virksomhed i Danmark.</w:t>
      </w:r>
      <w:r w:rsidRPr="00796736">
        <w:rPr>
          <w:rFonts w:ascii="Times New Roman" w:eastAsia="Times New Roman" w:hAnsi="Times New Roman" w:cs="Times New Roman"/>
          <w:sz w:val="24"/>
          <w:szCs w:val="24"/>
          <w:lang w:eastAsia="da-DK"/>
        </w:rPr>
        <w:t xml:space="preserve">  </w:t>
      </w:r>
    </w:p>
    <w:p w14:paraId="72CC1B3B" w14:textId="77777777" w:rsidR="00664508" w:rsidRPr="00796736" w:rsidRDefault="00664508" w:rsidP="00A802A5">
      <w:pPr>
        <w:spacing w:line="360" w:lineRule="auto"/>
        <w:rPr>
          <w:rFonts w:ascii="Times New Roman" w:eastAsia="Times New Roman" w:hAnsi="Times New Roman" w:cs="Times New Roman"/>
          <w:sz w:val="24"/>
          <w:szCs w:val="24"/>
          <w:lang w:eastAsia="da-DK"/>
        </w:rPr>
      </w:pPr>
    </w:p>
    <w:p w14:paraId="2D337657" w14:textId="77777777" w:rsidR="00664508" w:rsidRPr="00796736" w:rsidRDefault="0066450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w:t>
      </w:r>
      <w:r w:rsidRPr="00796736">
        <w:rPr>
          <w:rFonts w:ascii="Times New Roman" w:eastAsia="Calibri" w:hAnsi="Times New Roman" w:cs="Times New Roman"/>
          <w:sz w:val="24"/>
          <w:szCs w:val="24"/>
        </w:rPr>
        <w:t xml:space="preserve">implementerer </w:t>
      </w:r>
      <w:r w:rsidRPr="00796736">
        <w:rPr>
          <w:rFonts w:ascii="Times New Roman" w:hAnsi="Times New Roman" w:cs="Times New Roman"/>
          <w:sz w:val="24"/>
          <w:szCs w:val="24"/>
        </w:rPr>
        <w:t>artikel 4, stk. 3, i 6. hvidvaskdirektiv.</w:t>
      </w:r>
    </w:p>
    <w:p w14:paraId="515E7569" w14:textId="77777777" w:rsidR="004857E0" w:rsidRPr="00796736" w:rsidRDefault="004857E0" w:rsidP="00A802A5">
      <w:pPr>
        <w:spacing w:line="360" w:lineRule="auto"/>
        <w:rPr>
          <w:rFonts w:ascii="Times New Roman" w:hAnsi="Times New Roman" w:cs="Times New Roman"/>
          <w:sz w:val="24"/>
          <w:szCs w:val="24"/>
        </w:rPr>
      </w:pPr>
    </w:p>
    <w:p w14:paraId="2FCB2260" w14:textId="0F1F56C8" w:rsidR="004857E0" w:rsidRPr="00796736" w:rsidRDefault="00CA0B8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4857E0" w:rsidRPr="00796736">
        <w:rPr>
          <w:rFonts w:ascii="Times New Roman" w:hAnsi="Times New Roman" w:cs="Times New Roman"/>
          <w:sz w:val="24"/>
          <w:szCs w:val="24"/>
        </w:rPr>
        <w:t>bestemmelse sikre</w:t>
      </w:r>
      <w:r w:rsidRPr="00796736">
        <w:rPr>
          <w:rFonts w:ascii="Times New Roman" w:hAnsi="Times New Roman" w:cs="Times New Roman"/>
          <w:sz w:val="24"/>
          <w:szCs w:val="24"/>
        </w:rPr>
        <w:t>r</w:t>
      </w:r>
      <w:r w:rsidR="004857E0" w:rsidRPr="00796736">
        <w:rPr>
          <w:rFonts w:ascii="Times New Roman" w:hAnsi="Times New Roman" w:cs="Times New Roman"/>
          <w:sz w:val="24"/>
          <w:szCs w:val="24"/>
        </w:rPr>
        <w:t xml:space="preserve">, at denne type holdingselskaber, der via deres datterselskaber udøver finansielle aktiviteter, er underlagt et registreringskrav, således at Finanstilsynet kan føre tilsyn med selskaberne og identificere de relevante enheder. </w:t>
      </w:r>
    </w:p>
    <w:p w14:paraId="142AF4B1" w14:textId="77777777" w:rsidR="00664508" w:rsidRPr="00796736" w:rsidRDefault="00664508" w:rsidP="00A802A5">
      <w:pPr>
        <w:spacing w:line="360" w:lineRule="auto"/>
        <w:rPr>
          <w:rFonts w:ascii="Times New Roman" w:hAnsi="Times New Roman" w:cs="Times New Roman"/>
          <w:sz w:val="24"/>
          <w:szCs w:val="24"/>
        </w:rPr>
      </w:pPr>
    </w:p>
    <w:p w14:paraId="5A4F5FD7" w14:textId="52C4AF6D" w:rsidR="00664508" w:rsidRPr="00796736" w:rsidRDefault="0066450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Et finansielt holdingselskab med blandet aktivitet defineres i hvidvaskforordningens artikel 2, nr. 10, som en virksomhed, som ikke er et finansielt holdingselskab eller et blandet finansielt holdingselskab, og som ikke er datterselskab af en anden virksomhed, og hvis datterselskaber omfatter mindst ét kreditinstitut eller finansieringsinstitut.</w:t>
      </w:r>
    </w:p>
    <w:p w14:paraId="1EF27F90" w14:textId="77777777" w:rsidR="004857E0" w:rsidRPr="00796736" w:rsidRDefault="004857E0" w:rsidP="00A802A5">
      <w:pPr>
        <w:spacing w:line="360" w:lineRule="auto"/>
        <w:rPr>
          <w:rFonts w:ascii="Times New Roman" w:hAnsi="Times New Roman" w:cs="Times New Roman"/>
          <w:sz w:val="24"/>
          <w:szCs w:val="24"/>
        </w:rPr>
      </w:pPr>
    </w:p>
    <w:p w14:paraId="59410614" w14:textId="77777777" w:rsidR="004857E0" w:rsidRPr="00796736" w:rsidRDefault="004857E0" w:rsidP="00A802A5">
      <w:pPr>
        <w:spacing w:line="360" w:lineRule="auto"/>
        <w:rPr>
          <w:rFonts w:ascii="Times New Roman" w:hAnsi="Times New Roman" w:cs="Times New Roman"/>
          <w:sz w:val="24"/>
          <w:szCs w:val="24"/>
        </w:rPr>
      </w:pPr>
    </w:p>
    <w:p w14:paraId="3580F4AE" w14:textId="5B5A41C2" w:rsidR="002A4E01" w:rsidRPr="00796736" w:rsidDel="00664508" w:rsidRDefault="002A4E01" w:rsidP="00A802A5">
      <w:pPr>
        <w:spacing w:line="360" w:lineRule="auto"/>
        <w:rPr>
          <w:rFonts w:ascii="Times New Roman" w:hAnsi="Times New Roman" w:cs="Times New Roman"/>
          <w:sz w:val="24"/>
          <w:szCs w:val="24"/>
        </w:rPr>
      </w:pPr>
      <w:r w:rsidRPr="002A4E01">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1B0CAE15" w14:textId="77777777" w:rsidR="004857E0" w:rsidRPr="00796736" w:rsidRDefault="004857E0" w:rsidP="00A802A5">
      <w:pPr>
        <w:spacing w:line="360" w:lineRule="auto"/>
        <w:rPr>
          <w:rFonts w:ascii="Times New Roman" w:hAnsi="Times New Roman" w:cs="Times New Roman"/>
          <w:sz w:val="24"/>
          <w:szCs w:val="24"/>
        </w:rPr>
      </w:pPr>
    </w:p>
    <w:p w14:paraId="73133664" w14:textId="239ECF26" w:rsidR="001522B7" w:rsidRPr="00796736" w:rsidRDefault="001522B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bemærkningerne til </w:t>
      </w:r>
      <w:r w:rsidR="00D227B5" w:rsidRPr="00796736">
        <w:rPr>
          <w:rFonts w:ascii="Times New Roman" w:hAnsi="Times New Roman" w:cs="Times New Roman"/>
          <w:sz w:val="24"/>
          <w:szCs w:val="24"/>
        </w:rPr>
        <w:t xml:space="preserve">lovforslagets </w:t>
      </w:r>
      <w:r w:rsidRPr="00796736">
        <w:rPr>
          <w:rFonts w:ascii="Times New Roman" w:hAnsi="Times New Roman" w:cs="Times New Roman"/>
          <w:sz w:val="24"/>
          <w:szCs w:val="24"/>
        </w:rPr>
        <w:t xml:space="preserve">§ 2, nr. </w:t>
      </w:r>
      <w:r w:rsidR="00CA0B8F" w:rsidRPr="00796736">
        <w:rPr>
          <w:rFonts w:ascii="Times New Roman" w:hAnsi="Times New Roman" w:cs="Times New Roman"/>
          <w:sz w:val="24"/>
          <w:szCs w:val="24"/>
        </w:rPr>
        <w:t>19</w:t>
      </w:r>
      <w:r w:rsidRPr="00796736">
        <w:rPr>
          <w:rFonts w:ascii="Times New Roman" w:hAnsi="Times New Roman" w:cs="Times New Roman"/>
          <w:sz w:val="24"/>
          <w:szCs w:val="24"/>
        </w:rPr>
        <w:t xml:space="preserve">, samt § 1, stk. 7. Overtrædelse af bestemmelsen er strafbelagt, jf. </w:t>
      </w:r>
      <w:r w:rsidR="002A4E01">
        <w:rPr>
          <w:rFonts w:ascii="Times New Roman" w:hAnsi="Times New Roman" w:cs="Times New Roman"/>
          <w:sz w:val="24"/>
          <w:szCs w:val="24"/>
        </w:rPr>
        <w:fldChar w:fldCharType="begin"/>
      </w:r>
      <w:r w:rsidR="002A4E01">
        <w:rPr>
          <w:rFonts w:ascii="Times New Roman" w:hAnsi="Times New Roman" w:cs="Times New Roman"/>
          <w:sz w:val="24"/>
          <w:szCs w:val="24"/>
        </w:rPr>
        <w:instrText xml:space="preserve"> REF _Ref242963797 \n \h </w:instrText>
      </w:r>
      <w:r w:rsidR="00CB248D">
        <w:rPr>
          <w:rFonts w:ascii="Times New Roman" w:hAnsi="Times New Roman" w:cs="Times New Roman"/>
          <w:sz w:val="24"/>
          <w:szCs w:val="24"/>
        </w:rPr>
        <w:instrText xml:space="preserve"> \* MERGEFORMAT </w:instrText>
      </w:r>
      <w:r w:rsidR="002A4E01">
        <w:rPr>
          <w:rFonts w:ascii="Times New Roman" w:hAnsi="Times New Roman" w:cs="Times New Roman"/>
          <w:sz w:val="24"/>
          <w:szCs w:val="24"/>
        </w:rPr>
      </w:r>
      <w:r w:rsidR="002A4E01">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2A4E01">
        <w:rPr>
          <w:rFonts w:ascii="Times New Roman" w:hAnsi="Times New Roman" w:cs="Times New Roman"/>
          <w:sz w:val="24"/>
          <w:szCs w:val="24"/>
        </w:rPr>
        <w:fldChar w:fldCharType="end"/>
      </w:r>
      <w:r w:rsidR="002A4E01">
        <w:rPr>
          <w:rFonts w:ascii="Times New Roman" w:hAnsi="Times New Roman" w:cs="Times New Roman"/>
          <w:sz w:val="24"/>
          <w:szCs w:val="24"/>
        </w:rPr>
        <w:t>, stk. 1, nr. 5</w:t>
      </w:r>
      <w:r w:rsidRPr="00796736">
        <w:rPr>
          <w:rFonts w:ascii="Times New Roman" w:hAnsi="Times New Roman" w:cs="Times New Roman"/>
          <w:sz w:val="24"/>
          <w:szCs w:val="24"/>
        </w:rPr>
        <w:t xml:space="preserve">. Ansvarssubjektet for overtrædelse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5C4979" w:rsidRPr="00796736">
        <w:rPr>
          <w:rFonts w:ascii="Times New Roman" w:hAnsi="Times New Roman" w:cs="Times New Roman"/>
          <w:sz w:val="24"/>
          <w:szCs w:val="24"/>
        </w:rPr>
        <w:fldChar w:fldCharType="end"/>
      </w:r>
      <w:r w:rsidR="00D227B5" w:rsidRPr="00796736">
        <w:rPr>
          <w:rFonts w:ascii="Times New Roman" w:hAnsi="Times New Roman" w:cs="Times New Roman"/>
          <w:sz w:val="24"/>
          <w:szCs w:val="24"/>
        </w:rPr>
        <w:t xml:space="preserve">, </w:t>
      </w:r>
      <w:r w:rsidRPr="00796736">
        <w:rPr>
          <w:rFonts w:ascii="Times New Roman" w:hAnsi="Times New Roman" w:cs="Times New Roman"/>
          <w:sz w:val="24"/>
          <w:szCs w:val="24"/>
        </w:rPr>
        <w:t>stk. 2</w:t>
      </w:r>
      <w:r w:rsidR="00D227B5" w:rsidRPr="00796736">
        <w:rPr>
          <w:rFonts w:ascii="Times New Roman" w:hAnsi="Times New Roman" w:cs="Times New Roman"/>
          <w:sz w:val="24"/>
          <w:szCs w:val="24"/>
        </w:rPr>
        <w:t>,</w:t>
      </w:r>
      <w:r w:rsidRPr="00796736">
        <w:rPr>
          <w:rFonts w:ascii="Times New Roman" w:hAnsi="Times New Roman" w:cs="Times New Roman"/>
          <w:sz w:val="24"/>
          <w:szCs w:val="24"/>
        </w:rPr>
        <w:t xml:space="preserve"> er det finansielle holdingselskab med blandet aktivitet, der er </w:t>
      </w:r>
      <w:r w:rsidR="004C75FB" w:rsidRPr="00796736">
        <w:rPr>
          <w:rFonts w:ascii="Times New Roman" w:hAnsi="Times New Roman" w:cs="Times New Roman"/>
          <w:sz w:val="24"/>
          <w:szCs w:val="24"/>
        </w:rPr>
        <w:t>nævnt i § 2, nr. 19</w:t>
      </w:r>
      <w:r w:rsidRPr="00796736">
        <w:rPr>
          <w:rFonts w:ascii="Times New Roman" w:hAnsi="Times New Roman" w:cs="Times New Roman"/>
          <w:sz w:val="24"/>
          <w:szCs w:val="24"/>
        </w:rPr>
        <w:t xml:space="preserve">. Den strafbare handling består i ikke at foretage registrering hos Finanstilsynet, inden virksomheden udøves. </w:t>
      </w:r>
    </w:p>
    <w:p w14:paraId="4E171AF5" w14:textId="77777777" w:rsidR="004857E0" w:rsidRPr="00796736" w:rsidRDefault="004857E0" w:rsidP="00A802A5">
      <w:pPr>
        <w:spacing w:line="360" w:lineRule="auto"/>
        <w:rPr>
          <w:rFonts w:ascii="Times New Roman" w:hAnsi="Times New Roman" w:cs="Times New Roman"/>
          <w:i/>
          <w:iCs/>
          <w:sz w:val="24"/>
          <w:szCs w:val="24"/>
        </w:rPr>
      </w:pPr>
    </w:p>
    <w:p w14:paraId="7529CB48" w14:textId="32256A6B" w:rsidR="00E70E76" w:rsidRPr="00796736" w:rsidRDefault="00E70E7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_Ref232948432 \n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3.46</w:t>
      </w:r>
      <w:r w:rsidR="005C4979" w:rsidRPr="00796736">
        <w:rPr>
          <w:rFonts w:ascii="Times New Roman" w:hAnsi="Times New Roman" w:cs="Times New Roman"/>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AABF25E" w14:textId="77777777" w:rsidR="00E70E76" w:rsidRPr="00796736" w:rsidRDefault="00E70E76" w:rsidP="00A802A5">
      <w:pPr>
        <w:spacing w:line="360" w:lineRule="auto"/>
        <w:jc w:val="center"/>
        <w:rPr>
          <w:rFonts w:ascii="Times New Roman" w:hAnsi="Times New Roman" w:cs="Times New Roman"/>
          <w:i/>
          <w:iCs/>
          <w:sz w:val="24"/>
          <w:szCs w:val="24"/>
        </w:rPr>
      </w:pPr>
    </w:p>
    <w:p w14:paraId="48DB0343" w14:textId="4E735E3A" w:rsidR="004857E0" w:rsidRPr="00796736" w:rsidRDefault="00E70E76" w:rsidP="00A802A5">
      <w:pPr>
        <w:pStyle w:val="Undertitel"/>
      </w:pPr>
      <w:bookmarkStart w:id="1998" w:name="_Toc232109380"/>
      <w:bookmarkStart w:id="1999" w:name="_Toc244879344"/>
      <w:bookmarkStart w:id="2000" w:name="_Toc244880869"/>
      <w:r w:rsidRPr="00796736">
        <w:t xml:space="preserve">Til </w:t>
      </w:r>
      <w:r w:rsidR="00465705" w:rsidRPr="00796736">
        <w:fldChar w:fldCharType="begin"/>
      </w:r>
      <w:r w:rsidR="00465705" w:rsidRPr="00796736">
        <w:instrText xml:space="preserve"> REF _Ref232596888 \r \h </w:instrText>
      </w:r>
      <w:r w:rsidR="00967618" w:rsidRPr="00796736">
        <w:instrText xml:space="preserve"> \* MERGEFORMAT </w:instrText>
      </w:r>
      <w:r w:rsidR="00465705" w:rsidRPr="00796736">
        <w:fldChar w:fldCharType="separate"/>
      </w:r>
      <w:r w:rsidR="008F29E5">
        <w:t>§ 48</w:t>
      </w:r>
      <w:bookmarkEnd w:id="1999"/>
      <w:bookmarkEnd w:id="2000"/>
      <w:r w:rsidR="00465705" w:rsidRPr="00796736">
        <w:fldChar w:fldCharType="end"/>
      </w:r>
      <w:r w:rsidRPr="00796736">
        <w:t xml:space="preserve"> </w:t>
      </w:r>
      <w:bookmarkEnd w:id="1998"/>
    </w:p>
    <w:p w14:paraId="66A8F794" w14:textId="77777777" w:rsidR="0021212B" w:rsidRPr="00796736" w:rsidRDefault="0021212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hvidvasklovens § 48, stk. 2 og 3, at Finanstilsynet skal undlade at registrere en virksomhed, hvis der foreligger strafansvar hos ledelsen eller virksomheden, som kan indebære risiko for misbrug eller uforsvarlig varetagelse af stillingen. </w:t>
      </w:r>
    </w:p>
    <w:p w14:paraId="02580FDD" w14:textId="77777777" w:rsidR="00D227B5" w:rsidRPr="00796736" w:rsidRDefault="00D227B5" w:rsidP="00A802A5">
      <w:pPr>
        <w:spacing w:line="360" w:lineRule="auto"/>
        <w:rPr>
          <w:rFonts w:ascii="Times New Roman" w:eastAsia="Times New Roman" w:hAnsi="Times New Roman" w:cs="Times New Roman"/>
          <w:sz w:val="24"/>
          <w:szCs w:val="24"/>
          <w:lang w:eastAsia="da-DK"/>
        </w:rPr>
      </w:pPr>
    </w:p>
    <w:p w14:paraId="4DF1CE03" w14:textId="2393DB52" w:rsidR="00834970" w:rsidRPr="00796736" w:rsidRDefault="0083497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Foruden de ovenstående bestemmelser gælder der i dag ikke nærmere betingelser for registrering. Den foreslåede bestemmelse er ny og indfører </w:t>
      </w:r>
      <w:r w:rsidR="004857E0" w:rsidRPr="00796736">
        <w:rPr>
          <w:rFonts w:ascii="Times New Roman" w:eastAsia="Times New Roman" w:hAnsi="Times New Roman" w:cs="Times New Roman"/>
          <w:sz w:val="24"/>
          <w:szCs w:val="24"/>
          <w:lang w:eastAsia="da-DK"/>
        </w:rPr>
        <w:t xml:space="preserve">nærmere betingelser, der skal være opfyldt, for at virksomheder og personer omfattet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5C4979" w:rsidRPr="00796736">
        <w:rPr>
          <w:rFonts w:ascii="Times New Roman" w:hAnsi="Times New Roman" w:cs="Times New Roman"/>
          <w:sz w:val="24"/>
          <w:szCs w:val="24"/>
        </w:rPr>
        <w:fldChar w:fldCharType="end"/>
      </w:r>
      <w:r w:rsidR="004857E0" w:rsidRPr="00796736">
        <w:rPr>
          <w:rFonts w:ascii="Times New Roman" w:eastAsia="Times New Roman" w:hAnsi="Times New Roman" w:cs="Times New Roman"/>
          <w:sz w:val="24"/>
          <w:szCs w:val="24"/>
          <w:lang w:eastAsia="da-DK"/>
        </w:rPr>
        <w:t xml:space="preserve">, stk. 1 og 2, kan registreres hos Finanstilsynet. </w:t>
      </w:r>
    </w:p>
    <w:p w14:paraId="63A33C0B"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084366AA" w14:textId="04E4BBA0" w:rsidR="004857E0"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005C4979" w:rsidRPr="00796736">
        <w:rPr>
          <w:rFonts w:ascii="Times New Roman" w:hAnsi="Times New Roman" w:cs="Times New Roman"/>
          <w:i/>
          <w:iCs/>
          <w:sz w:val="24"/>
          <w:szCs w:val="24"/>
        </w:rPr>
        <w:fldChar w:fldCharType="begin"/>
      </w:r>
      <w:r w:rsidR="005C4979" w:rsidRPr="00796736">
        <w:rPr>
          <w:rFonts w:ascii="Times New Roman" w:hAnsi="Times New Roman" w:cs="Times New Roman"/>
          <w:i/>
          <w:iCs/>
          <w:sz w:val="24"/>
          <w:szCs w:val="24"/>
        </w:rPr>
        <w:instrText xml:space="preserve"> REF _Ref232596888 \r \h  \* MERGEFORMAT </w:instrText>
      </w:r>
      <w:r w:rsidR="005C4979" w:rsidRPr="00796736">
        <w:rPr>
          <w:rFonts w:ascii="Times New Roman" w:hAnsi="Times New Roman" w:cs="Times New Roman"/>
          <w:i/>
          <w:iCs/>
          <w:sz w:val="24"/>
          <w:szCs w:val="24"/>
        </w:rPr>
      </w:r>
      <w:r w:rsidR="005C497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48</w:t>
      </w:r>
      <w:r w:rsidR="005C4979" w:rsidRPr="00796736">
        <w:rPr>
          <w:rFonts w:ascii="Times New Roman" w:hAnsi="Times New Roman" w:cs="Times New Roman"/>
          <w:i/>
          <w:iCs/>
          <w:sz w:val="24"/>
          <w:szCs w:val="24"/>
        </w:rPr>
        <w:fldChar w:fldCharType="end"/>
      </w:r>
      <w:r w:rsidR="005C4979"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 xml:space="preserve">at Finanstilsynet kan registrere virksomheder og personer, der er omfattet af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5C4979"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xml:space="preserve">, stk. 1 og 2, når kravene i nr. 1-3, er opfyldt. </w:t>
      </w:r>
    </w:p>
    <w:p w14:paraId="3F32A0CE" w14:textId="77777777" w:rsidR="002A4E01" w:rsidRDefault="002A4E01" w:rsidP="00A802A5">
      <w:pPr>
        <w:spacing w:line="360" w:lineRule="auto"/>
        <w:rPr>
          <w:rFonts w:ascii="Times New Roman" w:eastAsia="Times New Roman" w:hAnsi="Times New Roman" w:cs="Times New Roman"/>
          <w:sz w:val="24"/>
          <w:szCs w:val="24"/>
          <w:lang w:eastAsia="da-DK"/>
        </w:rPr>
      </w:pPr>
    </w:p>
    <w:p w14:paraId="5574BF50" w14:textId="559C1434" w:rsidR="002A4E01" w:rsidRPr="00796736" w:rsidRDefault="002A4E01" w:rsidP="00A802A5">
      <w:pPr>
        <w:spacing w:line="360" w:lineRule="auto"/>
        <w:rPr>
          <w:rFonts w:ascii="Times New Roman" w:eastAsia="Times New Roman" w:hAnsi="Times New Roman" w:cs="Times New Roman"/>
          <w:sz w:val="24"/>
          <w:szCs w:val="24"/>
          <w:lang w:eastAsia="da-DK"/>
        </w:rPr>
      </w:pPr>
      <w:r w:rsidRPr="002A4E01">
        <w:rPr>
          <w:rFonts w:ascii="Times New Roman" w:eastAsia="Times New Roman" w:hAnsi="Times New Roman" w:cs="Times New Roman"/>
          <w:sz w:val="24"/>
          <w:szCs w:val="24"/>
          <w:lang w:eastAsia="da-DK"/>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1CC6341E"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41D79892" w14:textId="77777777" w:rsidR="008801CA" w:rsidRDefault="001522B7"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nr. 1</w:t>
      </w:r>
      <w:r w:rsidRPr="00796736">
        <w:rPr>
          <w:rFonts w:ascii="Times New Roman" w:eastAsia="Times New Roman" w:hAnsi="Times New Roman" w:cs="Times New Roman"/>
          <w:sz w:val="24"/>
          <w:szCs w:val="24"/>
          <w:lang w:eastAsia="da-DK"/>
        </w:rPr>
        <w:t xml:space="preserve">, at virksomheden skal have hovedkontor og hjemsted i Danmark. </w:t>
      </w:r>
    </w:p>
    <w:p w14:paraId="620DBD95" w14:textId="77777777" w:rsidR="008801CA" w:rsidRDefault="008801CA" w:rsidP="00A802A5">
      <w:pPr>
        <w:spacing w:line="360" w:lineRule="auto"/>
        <w:rPr>
          <w:rFonts w:ascii="Times New Roman" w:eastAsia="Times New Roman" w:hAnsi="Times New Roman" w:cs="Times New Roman"/>
          <w:sz w:val="24"/>
          <w:szCs w:val="24"/>
          <w:lang w:eastAsia="da-DK"/>
        </w:rPr>
      </w:pPr>
    </w:p>
    <w:p w14:paraId="07E2F924" w14:textId="2E85E778" w:rsidR="001522B7" w:rsidRPr="00796736" w:rsidRDefault="001522B7"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Ved hovedkontor og hjemsted forstås det sted, hvor virksomheden ledes og eventuelt har sit vedtægtsmæssige hjemsted. Dette betyder, at hvis en udenlandsk virksomhed har et datterselskab i Danmark, skal datterselskabet bl.a. have hovedkontor og hjemsted i Danmark for at blive registreret hos Finanstilsynet. </w:t>
      </w:r>
    </w:p>
    <w:p w14:paraId="38D70F5F"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31A7BE0C" w14:textId="219CEAB5" w:rsidR="004D5B33" w:rsidRPr="00796736" w:rsidRDefault="0083497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 foreslåede bestemmelse medfører, at</w:t>
      </w:r>
      <w:r w:rsidR="004D5B33" w:rsidRPr="00796736">
        <w:rPr>
          <w:rFonts w:ascii="Times New Roman" w:eastAsia="Times New Roman" w:hAnsi="Times New Roman" w:cs="Times New Roman"/>
          <w:sz w:val="24"/>
          <w:szCs w:val="24"/>
          <w:lang w:eastAsia="da-DK"/>
        </w:rPr>
        <w:t xml:space="preserve"> </w:t>
      </w:r>
      <w:r w:rsidR="004857E0" w:rsidRPr="00796736">
        <w:rPr>
          <w:rFonts w:ascii="Times New Roman" w:eastAsia="Times New Roman" w:hAnsi="Times New Roman" w:cs="Times New Roman"/>
          <w:sz w:val="24"/>
          <w:szCs w:val="24"/>
          <w:lang w:eastAsia="da-DK"/>
        </w:rPr>
        <w:t xml:space="preserve">virksomheder, der registreres i henhold til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5C4979" w:rsidRPr="00796736">
        <w:rPr>
          <w:rFonts w:ascii="Times New Roman" w:hAnsi="Times New Roman" w:cs="Times New Roman"/>
          <w:sz w:val="24"/>
          <w:szCs w:val="24"/>
        </w:rPr>
        <w:fldChar w:fldCharType="end"/>
      </w:r>
      <w:r w:rsidR="004857E0" w:rsidRPr="00796736">
        <w:rPr>
          <w:rFonts w:ascii="Times New Roman" w:eastAsia="Times New Roman" w:hAnsi="Times New Roman" w:cs="Times New Roman"/>
          <w:sz w:val="24"/>
          <w:szCs w:val="24"/>
          <w:lang w:eastAsia="da-DK"/>
        </w:rPr>
        <w:t xml:space="preserve">, stk. 1 og 2, udøver de registreringspligtige aktiviteter med fysisk tilstedeværelse i Danmark. </w:t>
      </w:r>
      <w:r w:rsidRPr="00796736">
        <w:rPr>
          <w:rFonts w:ascii="Times New Roman" w:eastAsia="Times New Roman" w:hAnsi="Times New Roman" w:cs="Times New Roman"/>
          <w:sz w:val="24"/>
          <w:szCs w:val="24"/>
          <w:lang w:eastAsia="da-DK"/>
        </w:rPr>
        <w:t xml:space="preserve">Kravet </w:t>
      </w:r>
      <w:r w:rsidR="004857E0" w:rsidRPr="00796736">
        <w:rPr>
          <w:rFonts w:ascii="Times New Roman" w:eastAsia="Times New Roman" w:hAnsi="Times New Roman" w:cs="Times New Roman"/>
          <w:sz w:val="24"/>
          <w:szCs w:val="24"/>
          <w:lang w:eastAsia="da-DK"/>
        </w:rPr>
        <w:t>om hovedkontor og hjemsted i Danmark skal understøtte, at Finanstilsynet kan føre et effektivt og fyldestgørende tilsyn med de pågældende virksomheder. Herved sikres det, at tilsynet har den nødvendige adgang til virksomheden og dens ledelse, og at de relevante myndighedsopgaver kan varetages på betryggende vis i overensstemmelse med gældende lovgivning.</w:t>
      </w:r>
    </w:p>
    <w:p w14:paraId="71D0E80C" w14:textId="77777777" w:rsidR="004D5B33" w:rsidRPr="00796736" w:rsidRDefault="004D5B33" w:rsidP="00A802A5">
      <w:pPr>
        <w:spacing w:line="360" w:lineRule="auto"/>
        <w:rPr>
          <w:rFonts w:ascii="Times New Roman" w:eastAsia="Times New Roman" w:hAnsi="Times New Roman" w:cs="Times New Roman"/>
          <w:sz w:val="24"/>
          <w:szCs w:val="24"/>
          <w:lang w:eastAsia="da-DK"/>
        </w:rPr>
      </w:pPr>
    </w:p>
    <w:p w14:paraId="11C2DB39" w14:textId="1E7DB9B3"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nr. 2</w:t>
      </w:r>
      <w:r w:rsidRPr="00796736">
        <w:rPr>
          <w:rFonts w:ascii="Times New Roman" w:eastAsia="Times New Roman" w:hAnsi="Times New Roman" w:cs="Times New Roman"/>
          <w:sz w:val="24"/>
          <w:szCs w:val="24"/>
          <w:lang w:eastAsia="da-DK"/>
        </w:rPr>
        <w:t xml:space="preserve">, at </w:t>
      </w:r>
      <w:r w:rsidR="006A5C06" w:rsidRPr="00796736">
        <w:rPr>
          <w:rFonts w:ascii="Times New Roman" w:hAnsi="Times New Roman" w:cs="Times New Roman"/>
          <w:sz w:val="24"/>
          <w:szCs w:val="24"/>
        </w:rPr>
        <w:t>medlemmerne af virksomhedens</w:t>
      </w:r>
      <w:r w:rsidR="004D5B33" w:rsidRPr="00796736">
        <w:rPr>
          <w:rFonts w:ascii="Times New Roman" w:hAnsi="Times New Roman" w:cs="Times New Roman"/>
          <w:sz w:val="24"/>
          <w:szCs w:val="24"/>
        </w:rPr>
        <w:t xml:space="preserve"> øverste ledelse, herunder</w:t>
      </w:r>
      <w:r w:rsidR="006A5C06" w:rsidRPr="00796736">
        <w:rPr>
          <w:rFonts w:ascii="Times New Roman" w:hAnsi="Times New Roman" w:cs="Times New Roman"/>
          <w:sz w:val="24"/>
          <w:szCs w:val="24"/>
        </w:rPr>
        <w:t xml:space="preserve"> bestyrelse og direktion eller, hvor virksomheden drives som enkeltmandsvirksomhed, indehaveren, eller hvor virksomheden drives som juridisk person uden bestyrelse og direktion, den eller de for virksomheden ledelsesansvarlige</w:t>
      </w:r>
      <w:r w:rsidR="00664508" w:rsidRPr="00796736">
        <w:rPr>
          <w:rFonts w:ascii="Times New Roman" w:hAnsi="Times New Roman" w:cs="Times New Roman"/>
          <w:sz w:val="24"/>
          <w:szCs w:val="24"/>
        </w:rPr>
        <w:t>, hvor virksomheden drives som juridisk person uden bestyrelse og direktion, opfylder kravene</w:t>
      </w:r>
      <w:r w:rsidR="006A5C06" w:rsidRPr="00796736">
        <w:rPr>
          <w:rFonts w:ascii="Times New Roman" w:hAnsi="Times New Roman" w:cs="Times New Roman"/>
          <w:sz w:val="24"/>
          <w:szCs w:val="24"/>
        </w:rPr>
        <w:t xml:space="preserve"> i </w:t>
      </w:r>
      <w:r w:rsidR="005C4979" w:rsidRPr="00796736">
        <w:rPr>
          <w:rFonts w:ascii="Times New Roman" w:hAnsi="Times New Roman" w:cs="Times New Roman"/>
          <w:sz w:val="24"/>
          <w:szCs w:val="24"/>
        </w:rPr>
        <w:fldChar w:fldCharType="begin"/>
      </w:r>
      <w:r w:rsidR="005C4979" w:rsidRPr="00796736">
        <w:rPr>
          <w:rFonts w:ascii="Times New Roman" w:hAnsi="Times New Roman" w:cs="Times New Roman"/>
          <w:sz w:val="24"/>
          <w:szCs w:val="24"/>
        </w:rPr>
        <w:instrText xml:space="preserve"> REF _Ref232596960 \r \h </w:instrText>
      </w:r>
      <w:r w:rsidR="00967618" w:rsidRPr="00796736">
        <w:rPr>
          <w:rFonts w:ascii="Times New Roman" w:hAnsi="Times New Roman" w:cs="Times New Roman"/>
          <w:sz w:val="24"/>
          <w:szCs w:val="24"/>
        </w:rPr>
        <w:instrText xml:space="preserve"> \* MERGEFORMAT </w:instrText>
      </w:r>
      <w:r w:rsidR="005C4979" w:rsidRPr="00796736">
        <w:rPr>
          <w:rFonts w:ascii="Times New Roman" w:hAnsi="Times New Roman" w:cs="Times New Roman"/>
          <w:sz w:val="24"/>
          <w:szCs w:val="24"/>
        </w:rPr>
      </w:r>
      <w:r w:rsidR="005C497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5C4979" w:rsidRPr="00796736">
        <w:rPr>
          <w:rFonts w:ascii="Times New Roman" w:hAnsi="Times New Roman" w:cs="Times New Roman"/>
          <w:sz w:val="24"/>
          <w:szCs w:val="24"/>
        </w:rPr>
        <w:fldChar w:fldCharType="end"/>
      </w:r>
      <w:r w:rsidR="004D5B33" w:rsidRPr="00796736">
        <w:rPr>
          <w:rFonts w:ascii="Times New Roman" w:hAnsi="Times New Roman" w:cs="Times New Roman"/>
          <w:sz w:val="24"/>
          <w:szCs w:val="24"/>
        </w:rPr>
        <w:t>.</w:t>
      </w:r>
    </w:p>
    <w:p w14:paraId="7B60E2D5"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4EEB105F" w14:textId="224153BA"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Kravene i </w:t>
      </w:r>
      <w:r w:rsidR="00834970" w:rsidRPr="00796736">
        <w:rPr>
          <w:rFonts w:ascii="Times New Roman" w:eastAsia="Times New Roman" w:hAnsi="Times New Roman" w:cs="Times New Roman"/>
          <w:sz w:val="24"/>
          <w:szCs w:val="24"/>
          <w:lang w:eastAsia="da-DK"/>
        </w:rPr>
        <w:t xml:space="preserve">forslagets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_Ref232596960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793249" w:rsidRPr="00796736">
        <w:rPr>
          <w:rFonts w:ascii="Times New Roman" w:hAnsi="Times New Roman" w:cs="Times New Roman"/>
          <w:sz w:val="24"/>
          <w:szCs w:val="24"/>
        </w:rPr>
        <w:fldChar w:fldCharType="end"/>
      </w:r>
      <w:r w:rsidR="00793249" w:rsidRPr="00796736">
        <w:rPr>
          <w:rFonts w:ascii="Times New Roman" w:hAnsi="Times New Roman" w:cs="Times New Roman"/>
          <w:sz w:val="24"/>
          <w:szCs w:val="24"/>
        </w:rPr>
        <w:t xml:space="preserve"> </w:t>
      </w:r>
      <w:r w:rsidR="001522B7" w:rsidRPr="00796736">
        <w:rPr>
          <w:rFonts w:ascii="Times New Roman" w:eastAsia="Times New Roman" w:hAnsi="Times New Roman" w:cs="Times New Roman"/>
          <w:sz w:val="24"/>
          <w:szCs w:val="24"/>
          <w:lang w:eastAsia="da-DK"/>
        </w:rPr>
        <w:t xml:space="preserve">er udformet for at understøtte en forsvarlig og betryggende ledelse af de registreringspligtige virksomheder. </w:t>
      </w:r>
      <w:r w:rsidR="00834970" w:rsidRPr="00796736">
        <w:rPr>
          <w:rFonts w:ascii="Times New Roman" w:eastAsia="Times New Roman" w:hAnsi="Times New Roman" w:cs="Times New Roman"/>
          <w:sz w:val="24"/>
          <w:szCs w:val="24"/>
          <w:lang w:eastAsia="da-DK"/>
        </w:rPr>
        <w:t xml:space="preserve">Den </w:t>
      </w:r>
      <w:r w:rsidR="004D5B33" w:rsidRPr="00796736">
        <w:rPr>
          <w:rFonts w:ascii="Times New Roman" w:eastAsia="Times New Roman" w:hAnsi="Times New Roman" w:cs="Times New Roman"/>
          <w:sz w:val="24"/>
          <w:szCs w:val="24"/>
          <w:lang w:eastAsia="da-DK"/>
        </w:rPr>
        <w:t>foreslåede</w:t>
      </w:r>
      <w:r w:rsidR="00834970" w:rsidRPr="00796736">
        <w:rPr>
          <w:rFonts w:ascii="Times New Roman" w:eastAsia="Times New Roman" w:hAnsi="Times New Roman" w:cs="Times New Roman"/>
          <w:sz w:val="24"/>
          <w:szCs w:val="24"/>
          <w:lang w:eastAsia="da-DK"/>
        </w:rPr>
        <w:t xml:space="preserve"> bestemmelse </w:t>
      </w:r>
      <w:r w:rsidR="001522B7" w:rsidRPr="00796736">
        <w:rPr>
          <w:rFonts w:ascii="Times New Roman" w:eastAsia="Times New Roman" w:hAnsi="Times New Roman" w:cs="Times New Roman"/>
          <w:sz w:val="24"/>
          <w:szCs w:val="24"/>
          <w:lang w:eastAsia="da-DK"/>
        </w:rPr>
        <w:t>fastslår</w:t>
      </w:r>
      <w:r w:rsidR="00867A3B" w:rsidRPr="00796736">
        <w:rPr>
          <w:rFonts w:ascii="Times New Roman" w:eastAsia="Times New Roman" w:hAnsi="Times New Roman" w:cs="Times New Roman"/>
          <w:sz w:val="24"/>
          <w:szCs w:val="24"/>
          <w:lang w:eastAsia="da-DK"/>
        </w:rPr>
        <w:t xml:space="preserve"> bl.a.</w:t>
      </w:r>
      <w:r w:rsidR="001522B7" w:rsidRPr="00796736">
        <w:rPr>
          <w:rFonts w:ascii="Times New Roman" w:eastAsia="Times New Roman" w:hAnsi="Times New Roman" w:cs="Times New Roman"/>
          <w:sz w:val="24"/>
          <w:szCs w:val="24"/>
          <w:lang w:eastAsia="da-DK"/>
        </w:rPr>
        <w:t>, at de relevante personer skal have et tilstrækkeligt godt omdømme og kunne udvise hæderlighed, integritet og uafhængighed i varetagelsen af deres hverv eller stilling. Endvidere må de ikke være pålagt strafansvar for overtrædelse af straffeloven, den finansielle lovgivning eller anden relevant lovgivning, hvis overtrædelsen indebærer risiko for, at vedkommende ikke kan varetage sit hverv eller sin stilling på betryggende måde. Derudover må de ikke have indgivet begæring om eller være under rekonstruktionsbehandling, konkurs eller gældssanering, og de må ikke have udvist en adfærd, der giver grund til at antage, at de ikke vil varetage hvervet eller stillingen på forsvarlig vis.</w:t>
      </w:r>
    </w:p>
    <w:p w14:paraId="2ADFE441"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5C234699" w14:textId="6C27B882" w:rsidR="004857E0" w:rsidRPr="00796736" w:rsidRDefault="001522B7"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For finansielle holdingselskaber med blandet aktivitet stilles der desuden krav om, at medlemmer af bestyrelsen eller direktionen – eller de ledelsesansvarlige, hvor selskabet drives uden bestyrelse eller direktion – besidder tilstrækkelig viden, faglig kompetence og erfaring til at kunne varetage deres funktion.</w:t>
      </w:r>
    </w:p>
    <w:p w14:paraId="092597DF" w14:textId="77777777" w:rsidR="001522B7" w:rsidRPr="00796736" w:rsidRDefault="001522B7" w:rsidP="00A802A5">
      <w:pPr>
        <w:spacing w:line="360" w:lineRule="auto"/>
        <w:rPr>
          <w:rFonts w:ascii="Times New Roman" w:eastAsia="Times New Roman" w:hAnsi="Times New Roman" w:cs="Times New Roman"/>
          <w:sz w:val="24"/>
          <w:szCs w:val="24"/>
          <w:lang w:eastAsia="da-DK"/>
        </w:rPr>
      </w:pPr>
    </w:p>
    <w:p w14:paraId="505845AE" w14:textId="11FE58C2"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nr. 3, </w:t>
      </w:r>
      <w:r w:rsidRPr="00796736">
        <w:rPr>
          <w:rFonts w:ascii="Times New Roman" w:eastAsia="Times New Roman" w:hAnsi="Times New Roman" w:cs="Times New Roman"/>
          <w:sz w:val="24"/>
          <w:szCs w:val="24"/>
          <w:lang w:eastAsia="da-DK"/>
        </w:rPr>
        <w:t xml:space="preserve">at en virksomhed ikke kan registreres hos Finanstilsynet, </w:t>
      </w:r>
      <w:r w:rsidR="004D5B33" w:rsidRPr="00796736">
        <w:rPr>
          <w:rFonts w:ascii="Times New Roman" w:eastAsia="Times New Roman" w:hAnsi="Times New Roman" w:cs="Times New Roman"/>
          <w:sz w:val="24"/>
          <w:szCs w:val="24"/>
          <w:lang w:eastAsia="da-DK"/>
        </w:rPr>
        <w:t xml:space="preserve">hvis </w:t>
      </w:r>
      <w:r w:rsidR="006A5C06" w:rsidRPr="00796736">
        <w:rPr>
          <w:rFonts w:ascii="Times New Roman" w:hAnsi="Times New Roman" w:cs="Times New Roman"/>
          <w:sz w:val="24"/>
          <w:szCs w:val="24"/>
        </w:rPr>
        <w:t>virksomheden tidligere har været pålagt strafansvar for overtrædelse af straffeloven, den finansielle lovgivning eller anden relevant lovgivning, hvor overtrædelsen indebærer risiko for, at virksomheden misbruger registreringen.</w:t>
      </w:r>
    </w:p>
    <w:p w14:paraId="71592D9E" w14:textId="77777777" w:rsidR="006A5C06" w:rsidRPr="00796736" w:rsidRDefault="006A5C06" w:rsidP="00A802A5">
      <w:pPr>
        <w:spacing w:line="360" w:lineRule="auto"/>
        <w:rPr>
          <w:rFonts w:ascii="Times New Roman" w:eastAsia="Times New Roman" w:hAnsi="Times New Roman" w:cs="Times New Roman"/>
          <w:sz w:val="24"/>
          <w:szCs w:val="24"/>
          <w:lang w:eastAsia="da-DK"/>
        </w:rPr>
      </w:pPr>
    </w:p>
    <w:p w14:paraId="50A1B408" w14:textId="62D74BA2" w:rsidR="006A5C06" w:rsidRPr="00796736" w:rsidRDefault="006A5C0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w:t>
      </w:r>
      <w:r w:rsidR="00EA2088" w:rsidRPr="00796736">
        <w:rPr>
          <w:rFonts w:ascii="Times New Roman" w:eastAsia="Times New Roman" w:hAnsi="Times New Roman" w:cs="Times New Roman"/>
          <w:sz w:val="24"/>
          <w:szCs w:val="24"/>
          <w:lang w:eastAsia="da-DK"/>
        </w:rPr>
        <w:t>bestemmelse indebærer</w:t>
      </w:r>
      <w:r w:rsidRPr="00796736">
        <w:rPr>
          <w:rFonts w:ascii="Times New Roman" w:eastAsia="Times New Roman" w:hAnsi="Times New Roman" w:cs="Times New Roman"/>
          <w:sz w:val="24"/>
          <w:szCs w:val="24"/>
          <w:lang w:eastAsia="da-DK"/>
        </w:rPr>
        <w:t>, at Finanstilsynet i vurderingen af om en strafbar overtrædelse skal føre til, at Finanstilsynet nægter registrering, vil skulle vurdere, om det udviste forhold begrunder en risiko for virksomhedens efterfølgende misbrug af registreringen.</w:t>
      </w:r>
    </w:p>
    <w:p w14:paraId="205A508F"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43D14B33" w14:textId="0F4580F6"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vil </w:t>
      </w:r>
      <w:r w:rsidR="006A5C06" w:rsidRPr="00796736">
        <w:rPr>
          <w:rFonts w:ascii="Times New Roman" w:eastAsia="Times New Roman" w:hAnsi="Times New Roman" w:cs="Times New Roman"/>
          <w:sz w:val="24"/>
          <w:szCs w:val="24"/>
          <w:lang w:eastAsia="da-DK"/>
        </w:rPr>
        <w:t xml:space="preserve">således </w:t>
      </w:r>
      <w:r w:rsidRPr="00796736">
        <w:rPr>
          <w:rFonts w:ascii="Times New Roman" w:eastAsia="Times New Roman" w:hAnsi="Times New Roman" w:cs="Times New Roman"/>
          <w:sz w:val="24"/>
          <w:szCs w:val="24"/>
          <w:lang w:eastAsia="da-DK"/>
        </w:rPr>
        <w:t>være afgørende for Finanstilsynets vurdering af hæderligheden, at der er sket en overtrædelse af den relevante lovgivning. Et vedtaget bødeforelæg har samme retsvirkning som en endelig dom, ligesom vedtagelsen har samme gentagelsesvirkning som en dom, jf. retsplejeloven § 832, stk. 4. Dette gælder ligeledes bødefor</w:t>
      </w:r>
      <w:r w:rsidR="006A5C06" w:rsidRPr="00796736">
        <w:rPr>
          <w:rFonts w:ascii="Times New Roman" w:eastAsia="Times New Roman" w:hAnsi="Times New Roman" w:cs="Times New Roman"/>
          <w:sz w:val="24"/>
          <w:szCs w:val="24"/>
          <w:lang w:eastAsia="da-DK"/>
        </w:rPr>
        <w:t>e</w:t>
      </w:r>
      <w:r w:rsidRPr="00796736">
        <w:rPr>
          <w:rFonts w:ascii="Times New Roman" w:eastAsia="Times New Roman" w:hAnsi="Times New Roman" w:cs="Times New Roman"/>
          <w:sz w:val="24"/>
          <w:szCs w:val="24"/>
          <w:lang w:eastAsia="da-DK"/>
        </w:rPr>
        <w:t>læg udstedt af Finanstilsynet i henhold til hvidvasklovens</w:t>
      </w:r>
      <w:r w:rsidR="005E6C5E">
        <w:rPr>
          <w:rFonts w:ascii="Times New Roman" w:eastAsia="Times New Roman" w:hAnsi="Times New Roman" w:cs="Times New Roman"/>
          <w:sz w:val="24"/>
          <w:szCs w:val="24"/>
          <w:lang w:eastAsia="da-DK"/>
        </w:rPr>
        <w:t xml:space="preserve"> </w:t>
      </w:r>
      <w:r w:rsidR="005E6C5E">
        <w:rPr>
          <w:rFonts w:ascii="Times New Roman" w:eastAsia="Times New Roman" w:hAnsi="Times New Roman" w:cs="Times New Roman"/>
          <w:sz w:val="24"/>
          <w:szCs w:val="24"/>
          <w:lang w:eastAsia="da-DK"/>
        </w:rPr>
        <w:fldChar w:fldCharType="begin"/>
      </w:r>
      <w:r w:rsidR="005E6C5E">
        <w:rPr>
          <w:rFonts w:ascii="Times New Roman" w:eastAsia="Times New Roman" w:hAnsi="Times New Roman" w:cs="Times New Roman"/>
          <w:sz w:val="24"/>
          <w:szCs w:val="24"/>
          <w:lang w:eastAsia="da-DK"/>
        </w:rPr>
        <w:instrText xml:space="preserve"> REF _Ref244689890 \r \h </w:instrText>
      </w:r>
      <w:r w:rsidR="005E6C5E">
        <w:rPr>
          <w:rFonts w:ascii="Times New Roman" w:eastAsia="Times New Roman" w:hAnsi="Times New Roman" w:cs="Times New Roman"/>
          <w:sz w:val="24"/>
          <w:szCs w:val="24"/>
          <w:lang w:eastAsia="da-DK"/>
        </w:rPr>
      </w:r>
      <w:r w:rsidR="005E6C5E">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140</w:t>
      </w:r>
      <w:r w:rsidR="005E6C5E">
        <w:rPr>
          <w:rFonts w:ascii="Times New Roman" w:eastAsia="Times New Roman" w:hAnsi="Times New Roman" w:cs="Times New Roman"/>
          <w:sz w:val="24"/>
          <w:szCs w:val="24"/>
          <w:lang w:eastAsia="da-DK"/>
        </w:rPr>
        <w:fldChar w:fldCharType="end"/>
      </w:r>
      <w:r w:rsidR="002A4E01">
        <w:rPr>
          <w:rFonts w:ascii="Times New Roman" w:eastAsia="Times New Roman" w:hAnsi="Times New Roman" w:cs="Times New Roman"/>
          <w:sz w:val="24"/>
          <w:szCs w:val="24"/>
          <w:lang w:eastAsia="da-DK"/>
        </w:rPr>
        <w:t>, stk. 1</w:t>
      </w:r>
      <w:r w:rsidRPr="00796736">
        <w:rPr>
          <w:rFonts w:ascii="Times New Roman" w:eastAsia="Times New Roman" w:hAnsi="Times New Roman" w:cs="Times New Roman"/>
          <w:sz w:val="24"/>
          <w:szCs w:val="24"/>
          <w:lang w:eastAsia="da-DK"/>
        </w:rPr>
        <w:t>. Det betyder, at også administrative afgørelser, der ikke nødvendigvis har været behandlet ved domstolene, kan indgå i vurderingen af, om virksomheden opfylder kravene til hæderlighed.</w:t>
      </w:r>
    </w:p>
    <w:p w14:paraId="4F3EC7C8"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7400ABBC" w14:textId="793DEEE5" w:rsidR="002177B8" w:rsidRPr="00796736" w:rsidRDefault="002177B8"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Hvis en virksomhed har vedtaget et bødeforelæg, vil Finanstilsynet skulle vurdere, om overtrædelsen indebærer risiko for, at registreringen misbruges. Finanstilsynets vurdering foretages efter samme principper, som domstolene anvender i forbindelse med en rettighedsfrakendelsessag, og Finanstilsynet vil i vurderingen inddrage relevant retspraksis i sin vurdering. Det indebærer, at der foretages en samlet vurdering af overtrædelsens karakter, omfang og betydning for virksomhedens fremtidige drift.</w:t>
      </w:r>
    </w:p>
    <w:p w14:paraId="54D2AABB"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30ECA106"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Herudover vil hensynet til at opretholde tilliden til den finansielle sektor indgå i vurderingen. Hvis en strafbar overtrædelse vurderes at kunne skade tilliden til sektoren, vil dette tale for, at virksomheden ikke bør registreres. Det er således ikke alene risikoen for konkret misbrug, men også hensynet til sektorens omdømme og integritet, der indgår i vurderingen.</w:t>
      </w:r>
    </w:p>
    <w:p w14:paraId="213CAF22" w14:textId="77777777" w:rsidR="001522B7" w:rsidRPr="00796736" w:rsidRDefault="001522B7" w:rsidP="00A802A5">
      <w:pPr>
        <w:spacing w:line="360" w:lineRule="auto"/>
        <w:rPr>
          <w:rFonts w:ascii="Times New Roman" w:eastAsia="Times New Roman" w:hAnsi="Times New Roman" w:cs="Times New Roman"/>
          <w:sz w:val="24"/>
          <w:szCs w:val="24"/>
          <w:lang w:eastAsia="da-DK"/>
        </w:rPr>
      </w:pPr>
    </w:p>
    <w:p w14:paraId="6607E94F" w14:textId="77777777" w:rsidR="001522B7" w:rsidRPr="00796736" w:rsidRDefault="001522B7"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foreslåede vil medføre, at virksomheden ikke kan registreres hos Finanstilsynet, hvis virksomheden er pålagt strafansvar for overtrædelse af straffeloven, den finansielle lovgivning eller anden relevant lovgivning, hvis overtrædelsen indebærer risiko for, at virksomheden misbruger registreringen.</w:t>
      </w:r>
    </w:p>
    <w:p w14:paraId="588E5FF4" w14:textId="77777777" w:rsidR="001522B7" w:rsidRPr="00796736" w:rsidRDefault="001522B7" w:rsidP="00A802A5">
      <w:pPr>
        <w:spacing w:line="360" w:lineRule="auto"/>
        <w:rPr>
          <w:rFonts w:ascii="Times New Roman" w:eastAsia="Times New Roman" w:hAnsi="Times New Roman" w:cs="Times New Roman"/>
          <w:sz w:val="24"/>
          <w:szCs w:val="24"/>
          <w:lang w:eastAsia="da-DK"/>
        </w:rPr>
      </w:pPr>
    </w:p>
    <w:p w14:paraId="0FB9CD5C" w14:textId="6A97104A" w:rsidR="001522B7" w:rsidRPr="00796736" w:rsidRDefault="001522B7"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Formålet med bestemmelse</w:t>
      </w:r>
      <w:r w:rsidR="006A5C06" w:rsidRPr="00796736">
        <w:rPr>
          <w:rFonts w:ascii="Times New Roman" w:eastAsia="Times New Roman" w:hAnsi="Times New Roman" w:cs="Times New Roman"/>
          <w:sz w:val="24"/>
          <w:szCs w:val="24"/>
          <w:lang w:eastAsia="da-DK"/>
        </w:rPr>
        <w:t>n</w:t>
      </w:r>
      <w:r w:rsidRPr="00796736">
        <w:rPr>
          <w:rFonts w:ascii="Times New Roman" w:eastAsia="Times New Roman" w:hAnsi="Times New Roman" w:cs="Times New Roman"/>
          <w:sz w:val="24"/>
          <w:szCs w:val="24"/>
          <w:lang w:eastAsia="da-DK"/>
        </w:rPr>
        <w:t xml:space="preserve"> er at sikre, at kun virksomheder, der udviser den fornødne hæderlighed og integritet, kan opnå registrering og dermed adgang til at udøve de relevante aktiviteter under Finanstilsynets tilsyn. </w:t>
      </w:r>
    </w:p>
    <w:p w14:paraId="00EA3BE6"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2CC29D56" w14:textId="4E22847A" w:rsidR="002177B8" w:rsidRPr="00796736" w:rsidRDefault="00EA2088"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 foreslåede bestemmelse</w:t>
      </w:r>
      <w:r w:rsidR="002177B8" w:rsidRPr="00796736">
        <w:rPr>
          <w:rFonts w:ascii="Times New Roman" w:eastAsia="Times New Roman" w:hAnsi="Times New Roman" w:cs="Times New Roman"/>
          <w:sz w:val="24"/>
          <w:szCs w:val="24"/>
          <w:lang w:eastAsia="da-DK"/>
        </w:rPr>
        <w:t xml:space="preserve"> giver dermed Finanstilsynet mulighed for at nægte registrering på baggrund af oplysninger om sager, der er afsluttet med bødeforelæg eller indenretlige bøder. Herved sikres det, at også administrative afgørelser kan indgå i vurderingen af, om virksomheden opfylder kravene til hæderlighed og dermed kan opnå registrering.</w:t>
      </w:r>
    </w:p>
    <w:p w14:paraId="4598ECD3" w14:textId="77777777" w:rsidR="00E70E76" w:rsidRPr="00796736" w:rsidRDefault="00E70E76" w:rsidP="00A802A5">
      <w:pPr>
        <w:spacing w:line="360" w:lineRule="auto"/>
        <w:jc w:val="center"/>
        <w:rPr>
          <w:rFonts w:ascii="Times New Roman" w:hAnsi="Times New Roman" w:cs="Times New Roman"/>
          <w:i/>
          <w:iCs/>
          <w:sz w:val="24"/>
          <w:szCs w:val="24"/>
        </w:rPr>
      </w:pPr>
    </w:p>
    <w:p w14:paraId="569F11F5" w14:textId="23F947A5" w:rsidR="00E70E76" w:rsidRPr="00796736" w:rsidRDefault="00E70E7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_Ref232948432 \n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3.46</w:t>
      </w:r>
      <w:r w:rsidR="00793249" w:rsidRPr="00796736">
        <w:rPr>
          <w:rFonts w:ascii="Times New Roman" w:hAnsi="Times New Roman" w:cs="Times New Roman"/>
          <w:sz w:val="24"/>
          <w:szCs w:val="24"/>
        </w:rPr>
        <w:fldChar w:fldCharType="end"/>
      </w:r>
      <w:r w:rsidR="00793249"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2F75C5C" w14:textId="77777777" w:rsidR="00E70E76" w:rsidRPr="00796736" w:rsidRDefault="00E70E76" w:rsidP="00A802A5">
      <w:pPr>
        <w:spacing w:line="360" w:lineRule="auto"/>
        <w:jc w:val="center"/>
        <w:rPr>
          <w:rFonts w:ascii="Times New Roman" w:hAnsi="Times New Roman" w:cs="Times New Roman"/>
          <w:i/>
          <w:iCs/>
          <w:sz w:val="24"/>
          <w:szCs w:val="24"/>
        </w:rPr>
      </w:pPr>
    </w:p>
    <w:p w14:paraId="7DEF9657" w14:textId="4849240F" w:rsidR="006A5C06" w:rsidRPr="00796736" w:rsidRDefault="00E70E76" w:rsidP="00A802A5">
      <w:pPr>
        <w:pStyle w:val="Undertitel"/>
      </w:pPr>
      <w:bookmarkStart w:id="2001" w:name="_Toc232109381"/>
      <w:bookmarkStart w:id="2002" w:name="_Toc244879345"/>
      <w:bookmarkStart w:id="2003" w:name="_Toc244880870"/>
      <w:r w:rsidRPr="00796736">
        <w:t xml:space="preserve">Til </w:t>
      </w:r>
      <w:r w:rsidR="00465705" w:rsidRPr="00796736">
        <w:fldChar w:fldCharType="begin"/>
      </w:r>
      <w:r w:rsidR="00465705" w:rsidRPr="00796736">
        <w:instrText xml:space="preserve"> REF _Ref232596904 \r \h </w:instrText>
      </w:r>
      <w:r w:rsidR="00967618" w:rsidRPr="00796736">
        <w:instrText xml:space="preserve"> \* MERGEFORMAT </w:instrText>
      </w:r>
      <w:r w:rsidR="00465705" w:rsidRPr="00796736">
        <w:fldChar w:fldCharType="separate"/>
      </w:r>
      <w:r w:rsidR="008F29E5">
        <w:t>§ 49</w:t>
      </w:r>
      <w:bookmarkEnd w:id="2002"/>
      <w:bookmarkEnd w:id="2003"/>
      <w:r w:rsidR="00465705" w:rsidRPr="00796736">
        <w:fldChar w:fldCharType="end"/>
      </w:r>
      <w:bookmarkEnd w:id="2001"/>
    </w:p>
    <w:p w14:paraId="52C37E7F" w14:textId="1630DCA7" w:rsidR="002177B8" w:rsidRPr="00796736" w:rsidRDefault="008A3B23"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Bestemmelsen er ny og indfører </w:t>
      </w:r>
      <w:r w:rsidR="002177B8" w:rsidRPr="00796736">
        <w:rPr>
          <w:rFonts w:ascii="Times New Roman" w:eastAsia="Times New Roman" w:hAnsi="Times New Roman" w:cs="Times New Roman"/>
          <w:sz w:val="24"/>
          <w:szCs w:val="24"/>
          <w:lang w:eastAsia="da-DK"/>
        </w:rPr>
        <w:t>regler om underretningspligt for virksomheder og personer, der er registreret hos Finanstilsynet.</w:t>
      </w:r>
    </w:p>
    <w:p w14:paraId="0617EC4F"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p>
    <w:p w14:paraId="61E3DD9D" w14:textId="34F65745" w:rsidR="004857E0" w:rsidRPr="00796736" w:rsidRDefault="002177B8" w:rsidP="1C459CA4">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00793249" w:rsidRPr="1C459CA4">
        <w:rPr>
          <w:rFonts w:ascii="Times New Roman" w:hAnsi="Times New Roman" w:cs="Times New Roman"/>
          <w:i/>
          <w:iCs/>
          <w:sz w:val="24"/>
          <w:szCs w:val="24"/>
        </w:rPr>
        <w:fldChar w:fldCharType="begin"/>
      </w:r>
      <w:r w:rsidR="00793249" w:rsidRPr="1C459CA4">
        <w:rPr>
          <w:rFonts w:ascii="Times New Roman" w:hAnsi="Times New Roman" w:cs="Times New Roman"/>
          <w:i/>
          <w:iCs/>
          <w:sz w:val="24"/>
          <w:szCs w:val="24"/>
        </w:rPr>
        <w:instrText xml:space="preserve"> REF _Ref232596904 \r \h  \* MERGEFORMAT </w:instrText>
      </w:r>
      <w:r w:rsidR="00793249" w:rsidRPr="1C459CA4">
        <w:rPr>
          <w:rFonts w:ascii="Times New Roman" w:hAnsi="Times New Roman" w:cs="Times New Roman"/>
          <w:i/>
          <w:iCs/>
          <w:sz w:val="24"/>
          <w:szCs w:val="24"/>
        </w:rPr>
      </w:r>
      <w:r w:rsidR="00793249" w:rsidRPr="1C459CA4">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49</w:t>
      </w:r>
      <w:r w:rsidR="00793249" w:rsidRPr="1C459CA4">
        <w:rPr>
          <w:rFonts w:ascii="Times New Roman" w:hAnsi="Times New Roman" w:cs="Times New Roman"/>
          <w:i/>
          <w:iCs/>
          <w:sz w:val="24"/>
          <w:szCs w:val="24"/>
        </w:rPr>
        <w:fldChar w:fldCharType="end"/>
      </w:r>
      <w:r w:rsidR="00793249" w:rsidRPr="1C459CA4">
        <w:rPr>
          <w:rFonts w:ascii="Times New Roman" w:hAnsi="Times New Roman" w:cs="Times New Roman"/>
          <w:i/>
          <w:iCs/>
          <w:sz w:val="24"/>
          <w:szCs w:val="24"/>
        </w:rPr>
        <w:t>,</w:t>
      </w:r>
      <w:r w:rsidR="00793249" w:rsidRPr="00796736">
        <w:rPr>
          <w:rFonts w:ascii="Times New Roman" w:hAnsi="Times New Roman" w:cs="Times New Roman"/>
          <w:sz w:val="24"/>
          <w:szCs w:val="24"/>
        </w:rPr>
        <w:t xml:space="preserve"> </w:t>
      </w:r>
      <w:r w:rsidR="008A3B23" w:rsidRPr="1C459CA4">
        <w:rPr>
          <w:rFonts w:ascii="Times New Roman" w:eastAsia="Times New Roman" w:hAnsi="Times New Roman" w:cs="Times New Roman"/>
          <w:i/>
          <w:iCs/>
          <w:sz w:val="24"/>
          <w:szCs w:val="24"/>
          <w:lang w:eastAsia="da-DK"/>
        </w:rPr>
        <w:t>stk. 1, 1. pkt</w:t>
      </w:r>
      <w:r w:rsidR="008A3B23" w:rsidRPr="00796736">
        <w:rPr>
          <w:rFonts w:ascii="Times New Roman" w:eastAsia="Times New Roman" w:hAnsi="Times New Roman" w:cs="Times New Roman"/>
          <w:sz w:val="24"/>
          <w:szCs w:val="24"/>
          <w:lang w:eastAsia="da-DK"/>
        </w:rPr>
        <w:t xml:space="preserve">., </w:t>
      </w:r>
      <w:r w:rsidR="004857E0" w:rsidRPr="00796736">
        <w:rPr>
          <w:rFonts w:ascii="Times New Roman" w:eastAsia="Times New Roman" w:hAnsi="Times New Roman" w:cs="Times New Roman"/>
          <w:sz w:val="24"/>
          <w:szCs w:val="24"/>
          <w:lang w:eastAsia="da-DK"/>
        </w:rPr>
        <w:t xml:space="preserve">at virksomheder, der registreres hos Finanstilsynet i henhold til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004857E0" w:rsidRPr="00796736">
        <w:rPr>
          <w:rFonts w:ascii="Times New Roman" w:eastAsia="Times New Roman" w:hAnsi="Times New Roman" w:cs="Times New Roman"/>
          <w:sz w:val="24"/>
          <w:szCs w:val="24"/>
          <w:lang w:eastAsia="da-DK"/>
        </w:rPr>
        <w:t>, stk. 1 og 2</w:t>
      </w:r>
      <w:r w:rsidR="004857E0" w:rsidRPr="1C459CA4">
        <w:rPr>
          <w:rFonts w:ascii="Times New Roman" w:eastAsia="Times New Roman" w:hAnsi="Times New Roman" w:cs="Times New Roman"/>
          <w:sz w:val="24"/>
          <w:szCs w:val="24"/>
          <w:lang w:eastAsia="da-DK"/>
        </w:rPr>
        <w:t>,</w:t>
      </w:r>
      <w:r w:rsidR="59C43EF9" w:rsidRPr="1C459CA4">
        <w:rPr>
          <w:rFonts w:ascii="Times New Roman" w:eastAsia="Times New Roman" w:hAnsi="Times New Roman" w:cs="Times New Roman"/>
          <w:sz w:val="24"/>
          <w:szCs w:val="24"/>
          <w:lang w:eastAsia="da-DK"/>
        </w:rPr>
        <w:t xml:space="preserve"> </w:t>
      </w:r>
      <w:r w:rsidR="59C43EF9" w:rsidRPr="1C459CA4">
        <w:rPr>
          <w:rFonts w:ascii="Times New Roman" w:eastAsia="Times New Roman" w:hAnsi="Times New Roman" w:cs="Times New Roman"/>
          <w:sz w:val="24"/>
          <w:szCs w:val="24"/>
        </w:rPr>
        <w:t>med undtagelse af virksomheder og personer omfattet af § 2, nr. 8,</w:t>
      </w:r>
      <w:r w:rsidR="004857E0" w:rsidRPr="1C459CA4">
        <w:rPr>
          <w:rFonts w:ascii="Times New Roman" w:eastAsia="Times New Roman" w:hAnsi="Times New Roman" w:cs="Times New Roman"/>
          <w:sz w:val="24"/>
          <w:szCs w:val="24"/>
          <w:lang w:eastAsia="da-DK"/>
        </w:rPr>
        <w:t xml:space="preserve"> </w:t>
      </w:r>
      <w:r w:rsidR="008A3B23" w:rsidRPr="1C459CA4">
        <w:rPr>
          <w:rFonts w:ascii="Times New Roman" w:hAnsi="Times New Roman" w:cs="Times New Roman"/>
          <w:sz w:val="24"/>
          <w:szCs w:val="24"/>
        </w:rPr>
        <w:t xml:space="preserve">skal underrette Finanstilsynet, hvis der indtræder ændringer i forhold til de oplysninger, som Finanstilsynet har modtaget og lagt til grund ved registreringen. Det foreslås i </w:t>
      </w:r>
      <w:r w:rsidR="008A3B23" w:rsidRPr="1C459CA4">
        <w:rPr>
          <w:rFonts w:ascii="Times New Roman" w:hAnsi="Times New Roman" w:cs="Times New Roman"/>
          <w:i/>
          <w:iCs/>
          <w:sz w:val="24"/>
          <w:szCs w:val="24"/>
        </w:rPr>
        <w:t>2. pkt.</w:t>
      </w:r>
      <w:r w:rsidR="008A3B23" w:rsidRPr="1C459CA4">
        <w:rPr>
          <w:rFonts w:ascii="Times New Roman" w:hAnsi="Times New Roman" w:cs="Times New Roman"/>
          <w:sz w:val="24"/>
          <w:szCs w:val="24"/>
        </w:rPr>
        <w:t>, at underretningen skal foretages senest 2 uger efter ændringen.</w:t>
      </w:r>
    </w:p>
    <w:p w14:paraId="7DB9C658"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492BB52F" w14:textId="19FCCD37" w:rsidR="002177B8" w:rsidRPr="00796736" w:rsidRDefault="008A3B23" w:rsidP="00A802A5">
      <w:pPr>
        <w:spacing w:line="360" w:lineRule="auto"/>
        <w:rPr>
          <w:rFonts w:ascii="Times New Roman" w:eastAsia="Times New Roman" w:hAnsi="Times New Roman" w:cs="Times New Roman"/>
          <w:sz w:val="24"/>
          <w:szCs w:val="24"/>
          <w:lang w:eastAsia="da-DK"/>
        </w:rPr>
      </w:pPr>
      <w:r w:rsidRPr="1C459CA4">
        <w:rPr>
          <w:rFonts w:ascii="Times New Roman" w:eastAsia="Times New Roman" w:hAnsi="Times New Roman" w:cs="Times New Roman"/>
          <w:sz w:val="24"/>
          <w:szCs w:val="24"/>
          <w:lang w:eastAsia="da-DK"/>
        </w:rPr>
        <w:t>Den foreslåede bestemmelse indebærer, at der fastlægges</w:t>
      </w:r>
      <w:r w:rsidR="002177B8" w:rsidRPr="1C459CA4">
        <w:rPr>
          <w:rFonts w:ascii="Times New Roman" w:eastAsia="Times New Roman" w:hAnsi="Times New Roman" w:cs="Times New Roman"/>
          <w:sz w:val="24"/>
          <w:szCs w:val="24"/>
          <w:lang w:eastAsia="da-DK"/>
        </w:rPr>
        <w:t xml:space="preserve"> en underretningspligt for </w:t>
      </w:r>
      <w:r w:rsidR="4E5747F1" w:rsidRPr="1C459CA4">
        <w:rPr>
          <w:rFonts w:ascii="Times New Roman" w:eastAsia="Times New Roman" w:hAnsi="Times New Roman" w:cs="Times New Roman"/>
          <w:sz w:val="24"/>
          <w:szCs w:val="24"/>
          <w:lang w:eastAsia="da-DK"/>
        </w:rPr>
        <w:t xml:space="preserve">visse </w:t>
      </w:r>
      <w:r w:rsidR="002177B8" w:rsidRPr="1C459CA4">
        <w:rPr>
          <w:rFonts w:ascii="Times New Roman" w:eastAsia="Times New Roman" w:hAnsi="Times New Roman" w:cs="Times New Roman"/>
          <w:sz w:val="24"/>
          <w:szCs w:val="24"/>
          <w:lang w:eastAsia="da-DK"/>
        </w:rPr>
        <w:t>registrerede virksomheder, så Finanstilsynet til enhver tid har opdaterede oplysninger om forhold, der har været afgørende for registreringen. Underretningspligten omfatter kun ændringer i de oplysninger, som Finanstilsynet har lagt til grund ved registreringen. Det betyder, at ikke alle ændringer i virksomhedens forhold skal meddeles til Finanstilsynet, men alene ændringer, der har betydning for registreringen.</w:t>
      </w:r>
    </w:p>
    <w:p w14:paraId="2CD2AAA3"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p>
    <w:p w14:paraId="28E8EB89"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Eksempler på ændringer, der skal meddeles Finanstilsynet, kan være ændringer i virksomhedens ledelse eller ejerskab. Derimod vil ændringer af mindre betydning, såsom ændring af telefonnummer eller e-mailadresse, som ikke har betydning for opfyldelsen af lovgivningens krav, ikke være omfattet af underretningspligten.</w:t>
      </w:r>
    </w:p>
    <w:p w14:paraId="0AA0A2B7"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p>
    <w:p w14:paraId="4F8F05F2" w14:textId="77777777" w:rsidR="002177B8"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w:t>
      </w:r>
      <w:r w:rsidRPr="00796736">
        <w:rPr>
          <w:rFonts w:ascii="Times New Roman" w:eastAsia="Calibri" w:hAnsi="Times New Roman" w:cs="Times New Roman"/>
          <w:sz w:val="24"/>
          <w:szCs w:val="24"/>
        </w:rPr>
        <w:t xml:space="preserve">implementerer </w:t>
      </w:r>
      <w:r w:rsidRPr="00796736">
        <w:rPr>
          <w:rFonts w:ascii="Times New Roman" w:hAnsi="Times New Roman" w:cs="Times New Roman"/>
          <w:sz w:val="24"/>
          <w:szCs w:val="24"/>
        </w:rPr>
        <w:t>artikel 6, stk. 3, i 6. hvidvaskdirektiv. Efter denne bestemmelse skal tilsynsmyndighederne på et risikobaseret grundlag kontrollere, om kravene til ledelse og organisation fortsat er opfyldt. Kontrollen omfatter navnlig, om den øverste ledelse har et godt omdømme, udviser hæderlighed og integritet samt besidder den nødvendige viden og erfaring, særligt i tilfælde med øget risiko for hvidvask eller terrorfinansiering.</w:t>
      </w:r>
    </w:p>
    <w:p w14:paraId="43FC8187" w14:textId="77777777" w:rsidR="002A4E01" w:rsidRDefault="002A4E01" w:rsidP="00A802A5">
      <w:pPr>
        <w:spacing w:line="360" w:lineRule="auto"/>
        <w:rPr>
          <w:rFonts w:ascii="Times New Roman" w:hAnsi="Times New Roman" w:cs="Times New Roman"/>
          <w:sz w:val="24"/>
          <w:szCs w:val="24"/>
        </w:rPr>
      </w:pPr>
    </w:p>
    <w:p w14:paraId="6BA63164" w14:textId="274683C4" w:rsidR="002A4E01" w:rsidRPr="00796736" w:rsidRDefault="002A4E01" w:rsidP="00A802A5">
      <w:pPr>
        <w:spacing w:line="360" w:lineRule="auto"/>
        <w:rPr>
          <w:rFonts w:ascii="Times New Roman" w:hAnsi="Times New Roman" w:cs="Times New Roman"/>
          <w:sz w:val="24"/>
          <w:szCs w:val="24"/>
        </w:rPr>
      </w:pPr>
      <w:r w:rsidRPr="002A4E01">
        <w:rPr>
          <w:rFonts w:ascii="Times New Roman" w:hAnsi="Times New Roman" w:cs="Times New Roman"/>
          <w:sz w:val="24"/>
          <w:szCs w:val="24"/>
        </w:rPr>
        <w:t xml:space="preserve">Bestemmelsen vil indebære, at oplysningspligten ikke finder anvendelse over for en enkeltperson eller juridisk person, hvis der er konkret mistanke om, at den pågældende har begået en lovovertrædelse, der kan medføre straf, medmindre det kan udelukkes, at oplysningerne kan have betydning for bedømmelsen af den formodede lovovertrædelse, jf. § 10 i retssikkerhedsloven. </w:t>
      </w:r>
      <w:r>
        <w:rPr>
          <w:rFonts w:ascii="Times New Roman" w:hAnsi="Times New Roman" w:cs="Times New Roman"/>
          <w:sz w:val="24"/>
          <w:szCs w:val="24"/>
        </w:rPr>
        <w:t>Finanstilsynet</w:t>
      </w:r>
      <w:r w:rsidRPr="002A4E01">
        <w:rPr>
          <w:rFonts w:ascii="Times New Roman" w:hAnsi="Times New Roman" w:cs="Times New Roman"/>
          <w:sz w:val="24"/>
          <w:szCs w:val="24"/>
        </w:rPr>
        <w:t xml:space="preserve"> vil i sådanne tilfælde skulle vejlede den mistænkte om, at vedkommende ikke har pligt til at meddele oplysninger, som kan have betydning for bedømmelsen af den formodede lovovertrædelse. Se nærmere herom i de almindelige bemærkninger pkt. 4.3.</w:t>
      </w:r>
    </w:p>
    <w:p w14:paraId="2AF65C56"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25C551D4" w14:textId="3F50413D" w:rsidR="002177B8" w:rsidRPr="00796736" w:rsidRDefault="002177B8"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Overtrædelse af bestemmelsen foreslås strafbelagt</w:t>
      </w:r>
      <w:r w:rsidR="002A4E01">
        <w:rPr>
          <w:rFonts w:ascii="Times New Roman" w:eastAsia="Times New Roman" w:hAnsi="Times New Roman" w:cs="Times New Roman"/>
          <w:sz w:val="24"/>
          <w:szCs w:val="24"/>
          <w:lang w:eastAsia="da-DK"/>
        </w:rPr>
        <w:t xml:space="preserve">, jf. </w:t>
      </w:r>
      <w:r w:rsidR="002A4E01">
        <w:rPr>
          <w:rFonts w:ascii="Times New Roman" w:eastAsia="Times New Roman" w:hAnsi="Times New Roman" w:cs="Times New Roman"/>
          <w:sz w:val="24"/>
          <w:szCs w:val="24"/>
          <w:lang w:eastAsia="da-DK"/>
        </w:rPr>
        <w:fldChar w:fldCharType="begin"/>
      </w:r>
      <w:r w:rsidR="002A4E01">
        <w:rPr>
          <w:rFonts w:ascii="Times New Roman" w:eastAsia="Times New Roman" w:hAnsi="Times New Roman" w:cs="Times New Roman"/>
          <w:sz w:val="24"/>
          <w:szCs w:val="24"/>
          <w:lang w:eastAsia="da-DK"/>
        </w:rPr>
        <w:instrText xml:space="preserve"> REF _Ref242963797 \n \h </w:instrText>
      </w:r>
      <w:r w:rsidR="00CB248D">
        <w:rPr>
          <w:rFonts w:ascii="Times New Roman" w:eastAsia="Times New Roman" w:hAnsi="Times New Roman" w:cs="Times New Roman"/>
          <w:sz w:val="24"/>
          <w:szCs w:val="24"/>
          <w:lang w:eastAsia="da-DK"/>
        </w:rPr>
        <w:instrText xml:space="preserve"> \* MERGEFORMAT </w:instrText>
      </w:r>
      <w:r w:rsidR="002A4E01">
        <w:rPr>
          <w:rFonts w:ascii="Times New Roman" w:eastAsia="Times New Roman" w:hAnsi="Times New Roman" w:cs="Times New Roman"/>
          <w:sz w:val="24"/>
          <w:szCs w:val="24"/>
          <w:lang w:eastAsia="da-DK"/>
        </w:rPr>
      </w:r>
      <w:r w:rsidR="002A4E01">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139</w:t>
      </w:r>
      <w:r w:rsidR="002A4E01">
        <w:rPr>
          <w:rFonts w:ascii="Times New Roman" w:eastAsia="Times New Roman" w:hAnsi="Times New Roman" w:cs="Times New Roman"/>
          <w:sz w:val="24"/>
          <w:szCs w:val="24"/>
          <w:lang w:eastAsia="da-DK"/>
        </w:rPr>
        <w:fldChar w:fldCharType="end"/>
      </w:r>
      <w:r w:rsidR="002A4E01">
        <w:rPr>
          <w:rFonts w:ascii="Times New Roman" w:eastAsia="Times New Roman" w:hAnsi="Times New Roman" w:cs="Times New Roman"/>
          <w:sz w:val="24"/>
          <w:szCs w:val="24"/>
          <w:lang w:eastAsia="da-DK"/>
        </w:rPr>
        <w:t>, stk. 1, nr. 5</w:t>
      </w:r>
      <w:r w:rsidRPr="00796736">
        <w:rPr>
          <w:rFonts w:ascii="Times New Roman" w:eastAsia="Times New Roman" w:hAnsi="Times New Roman" w:cs="Times New Roman"/>
          <w:sz w:val="24"/>
          <w:szCs w:val="24"/>
          <w:lang w:eastAsia="da-DK"/>
        </w:rPr>
        <w:t>. Den strafbare handling består i at undlade at underrette Finanstilsynet senest 2 uger efter, at der er indtruffet ændringer i de oplysninger, som Finanstilsynet har modtaget og lagt til grund ved registreringen. Eksempler på overtrædelse kan være, hvis virksomheden undlader rettidigt at underrette Finanstilsynet om, at virksomheden ikke længere har hovedkontor og hjemsted i Danmark, eller hvis der sker ændringer i ledelsen, som har betydning for opfyldelsen af registreringsbetingelserne. Ansvarssubjektet for overtrædelse af bestemmelsen er virksomheden, og der kan således rejses tiltale mod den juridiske person.</w:t>
      </w:r>
    </w:p>
    <w:p w14:paraId="17D202AF" w14:textId="77777777" w:rsidR="00E70E76" w:rsidRPr="00796736" w:rsidRDefault="00E70E76" w:rsidP="00A802A5">
      <w:pPr>
        <w:spacing w:line="360" w:lineRule="auto"/>
        <w:jc w:val="center"/>
        <w:rPr>
          <w:rFonts w:ascii="Times New Roman" w:hAnsi="Times New Roman" w:cs="Times New Roman"/>
          <w:i/>
          <w:iCs/>
          <w:sz w:val="24"/>
          <w:szCs w:val="24"/>
        </w:rPr>
      </w:pPr>
    </w:p>
    <w:p w14:paraId="63ACD62C" w14:textId="2BDAB3DF" w:rsidR="00E70E76" w:rsidRPr="00796736" w:rsidRDefault="00E70E7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_Ref232948740 \n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3.47</w:t>
      </w:r>
      <w:r w:rsidR="0079324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 lovforslagets almindelige bemærkninger.</w:t>
      </w:r>
    </w:p>
    <w:p w14:paraId="67C6A629" w14:textId="77777777" w:rsidR="004857E0" w:rsidRPr="00796736" w:rsidRDefault="004857E0" w:rsidP="00A802A5">
      <w:pPr>
        <w:spacing w:line="360" w:lineRule="auto"/>
        <w:rPr>
          <w:rFonts w:ascii="Times New Roman" w:hAnsi="Times New Roman" w:cs="Times New Roman"/>
          <w:i/>
          <w:iCs/>
          <w:sz w:val="24"/>
          <w:szCs w:val="24"/>
        </w:rPr>
      </w:pPr>
    </w:p>
    <w:p w14:paraId="18DE2357" w14:textId="473A46AD" w:rsidR="004857E0" w:rsidRPr="00796736" w:rsidRDefault="00E70E76" w:rsidP="00A802A5">
      <w:pPr>
        <w:pStyle w:val="Undertitel"/>
      </w:pPr>
      <w:bookmarkStart w:id="2004" w:name="_Toc232109382"/>
      <w:bookmarkStart w:id="2005" w:name="_Toc244879346"/>
      <w:bookmarkStart w:id="2006" w:name="_Toc244880871"/>
      <w:r w:rsidRPr="00796736">
        <w:t xml:space="preserve">Til </w:t>
      </w:r>
      <w:r w:rsidR="00465705" w:rsidRPr="00796736">
        <w:fldChar w:fldCharType="begin"/>
      </w:r>
      <w:r w:rsidR="00465705" w:rsidRPr="00796736">
        <w:instrText xml:space="preserve"> REF _Ref232596931 \r \h </w:instrText>
      </w:r>
      <w:r w:rsidR="00967618" w:rsidRPr="00796736">
        <w:instrText xml:space="preserve"> \* MERGEFORMAT </w:instrText>
      </w:r>
      <w:r w:rsidR="00465705" w:rsidRPr="00796736">
        <w:fldChar w:fldCharType="separate"/>
      </w:r>
      <w:r w:rsidR="008F29E5">
        <w:t>§ 50</w:t>
      </w:r>
      <w:bookmarkEnd w:id="2005"/>
      <w:bookmarkEnd w:id="2006"/>
      <w:r w:rsidR="00465705" w:rsidRPr="00796736">
        <w:fldChar w:fldCharType="end"/>
      </w:r>
      <w:r w:rsidRPr="00796736">
        <w:t xml:space="preserve"> </w:t>
      </w:r>
      <w:bookmarkEnd w:id="2004"/>
    </w:p>
    <w:p w14:paraId="0758BB1C" w14:textId="080749C1" w:rsidR="004857E0" w:rsidRPr="00796736" w:rsidRDefault="008A3B2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er ny og </w:t>
      </w:r>
      <w:r w:rsidR="002177B8" w:rsidRPr="00796736">
        <w:rPr>
          <w:rFonts w:ascii="Times New Roman" w:hAnsi="Times New Roman" w:cs="Times New Roman"/>
          <w:sz w:val="24"/>
          <w:szCs w:val="24"/>
        </w:rPr>
        <w:t>indføre</w:t>
      </w:r>
      <w:r w:rsidRPr="00796736">
        <w:rPr>
          <w:rFonts w:ascii="Times New Roman" w:hAnsi="Times New Roman" w:cs="Times New Roman"/>
          <w:sz w:val="24"/>
          <w:szCs w:val="24"/>
        </w:rPr>
        <w:t>r</w:t>
      </w:r>
      <w:r w:rsidR="002177B8" w:rsidRPr="00796736">
        <w:rPr>
          <w:rFonts w:ascii="Times New Roman" w:hAnsi="Times New Roman" w:cs="Times New Roman"/>
          <w:sz w:val="24"/>
          <w:szCs w:val="24"/>
        </w:rPr>
        <w:t xml:space="preserve"> </w:t>
      </w:r>
      <w:r w:rsidR="004857E0" w:rsidRPr="00796736">
        <w:rPr>
          <w:rFonts w:ascii="Times New Roman" w:hAnsi="Times New Roman" w:cs="Times New Roman"/>
          <w:sz w:val="24"/>
          <w:szCs w:val="24"/>
        </w:rPr>
        <w:t xml:space="preserve">en årlig pligt for visse registrerede virksomheder til at indsende en erklæring til Finanstilsynet om fortsat opfyldelse af registreringsbetingelserne samt en oversigt over ledelse og ejere af kvalificerede andele. </w:t>
      </w:r>
    </w:p>
    <w:p w14:paraId="720EC762" w14:textId="77777777" w:rsidR="004857E0" w:rsidRPr="00796736" w:rsidRDefault="004857E0" w:rsidP="00A802A5">
      <w:pPr>
        <w:spacing w:line="360" w:lineRule="auto"/>
        <w:rPr>
          <w:rFonts w:ascii="Times New Roman" w:hAnsi="Times New Roman" w:cs="Times New Roman"/>
          <w:sz w:val="24"/>
          <w:szCs w:val="24"/>
        </w:rPr>
      </w:pPr>
    </w:p>
    <w:p w14:paraId="291E7261" w14:textId="7A0B714C" w:rsidR="0062599E"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793249" w:rsidRPr="00796736">
        <w:rPr>
          <w:rFonts w:ascii="Times New Roman" w:hAnsi="Times New Roman" w:cs="Times New Roman"/>
          <w:i/>
          <w:iCs/>
          <w:sz w:val="24"/>
          <w:szCs w:val="24"/>
        </w:rPr>
        <w:fldChar w:fldCharType="begin"/>
      </w:r>
      <w:r w:rsidR="00793249" w:rsidRPr="00796736">
        <w:rPr>
          <w:rFonts w:ascii="Times New Roman" w:hAnsi="Times New Roman" w:cs="Times New Roman"/>
          <w:i/>
          <w:iCs/>
          <w:sz w:val="24"/>
          <w:szCs w:val="24"/>
        </w:rPr>
        <w:instrText xml:space="preserve"> REF _Ref232596931 \r \h  \* MERGEFORMAT </w:instrText>
      </w:r>
      <w:r w:rsidR="00793249" w:rsidRPr="00796736">
        <w:rPr>
          <w:rFonts w:ascii="Times New Roman" w:hAnsi="Times New Roman" w:cs="Times New Roman"/>
          <w:i/>
          <w:iCs/>
          <w:sz w:val="24"/>
          <w:szCs w:val="24"/>
        </w:rPr>
      </w:r>
      <w:r w:rsidR="0079324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50</w:t>
      </w:r>
      <w:r w:rsidR="00793249"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w:t>
      </w:r>
      <w:r w:rsidR="008A3B23" w:rsidRPr="00796736">
        <w:rPr>
          <w:rFonts w:ascii="Times New Roman" w:hAnsi="Times New Roman" w:cs="Times New Roman"/>
          <w:i/>
          <w:iCs/>
          <w:sz w:val="24"/>
          <w:szCs w:val="24"/>
        </w:rPr>
        <w:t>stk. 1, 1. pkt.,</w:t>
      </w:r>
      <w:r w:rsidR="008A3B23"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at virksomheder, der er registreret hos </w:t>
      </w:r>
      <w:r w:rsidRPr="00094262">
        <w:rPr>
          <w:rFonts w:ascii="Times New Roman" w:hAnsi="Times New Roman" w:cs="Times New Roman"/>
          <w:sz w:val="24"/>
          <w:szCs w:val="24"/>
        </w:rPr>
        <w:t xml:space="preserve">Finanstilsynet i henhold til </w:t>
      </w:r>
      <w:r w:rsidR="00793249" w:rsidRPr="00094262">
        <w:rPr>
          <w:rFonts w:ascii="Times New Roman" w:hAnsi="Times New Roman" w:cs="Times New Roman"/>
          <w:sz w:val="24"/>
          <w:szCs w:val="24"/>
        </w:rPr>
        <w:fldChar w:fldCharType="begin"/>
      </w:r>
      <w:r w:rsidR="00793249" w:rsidRPr="00094262">
        <w:rPr>
          <w:rFonts w:ascii="Times New Roman" w:hAnsi="Times New Roman" w:cs="Times New Roman"/>
          <w:sz w:val="24"/>
          <w:szCs w:val="24"/>
        </w:rPr>
        <w:instrText xml:space="preserve"> REF _Ref232596860 \r \h </w:instrText>
      </w:r>
      <w:r w:rsidR="00967618" w:rsidRPr="00094262">
        <w:rPr>
          <w:rFonts w:ascii="Times New Roman" w:hAnsi="Times New Roman" w:cs="Times New Roman"/>
          <w:sz w:val="24"/>
          <w:szCs w:val="24"/>
        </w:rPr>
        <w:instrText xml:space="preserve"> \* MERGEFORMAT </w:instrText>
      </w:r>
      <w:r w:rsidR="00793249" w:rsidRPr="00094262">
        <w:rPr>
          <w:rFonts w:ascii="Times New Roman" w:hAnsi="Times New Roman" w:cs="Times New Roman"/>
          <w:sz w:val="24"/>
          <w:szCs w:val="24"/>
        </w:rPr>
      </w:r>
      <w:r w:rsidR="00793249" w:rsidRPr="00094262">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094262">
        <w:rPr>
          <w:rFonts w:ascii="Times New Roman" w:hAnsi="Times New Roman" w:cs="Times New Roman"/>
          <w:sz w:val="24"/>
          <w:szCs w:val="24"/>
        </w:rPr>
        <w:fldChar w:fldCharType="end"/>
      </w:r>
      <w:r w:rsidRPr="00094262">
        <w:rPr>
          <w:rFonts w:ascii="Times New Roman" w:eastAsia="Times New Roman" w:hAnsi="Times New Roman" w:cs="Times New Roman"/>
          <w:sz w:val="24"/>
          <w:szCs w:val="24"/>
          <w:lang w:eastAsia="da-DK"/>
        </w:rPr>
        <w:t>, stk. 1 og 2</w:t>
      </w:r>
      <w:r w:rsidRPr="00094262">
        <w:rPr>
          <w:rFonts w:ascii="Times New Roman" w:hAnsi="Times New Roman" w:cs="Times New Roman"/>
          <w:sz w:val="24"/>
          <w:szCs w:val="24"/>
        </w:rPr>
        <w:t xml:space="preserve">, med undtagelse af virksomheder og personer omfattet af § </w:t>
      </w:r>
      <w:r w:rsidR="0041724A" w:rsidRPr="00094262">
        <w:rPr>
          <w:rFonts w:ascii="Times New Roman" w:hAnsi="Times New Roman" w:cs="Times New Roman"/>
          <w:sz w:val="24"/>
          <w:szCs w:val="24"/>
        </w:rPr>
        <w:t>2</w:t>
      </w:r>
      <w:r w:rsidRPr="00094262">
        <w:rPr>
          <w:rFonts w:ascii="Times New Roman" w:hAnsi="Times New Roman" w:cs="Times New Roman"/>
          <w:sz w:val="24"/>
          <w:szCs w:val="24"/>
        </w:rPr>
        <w:t xml:space="preserve">, nr. 8, </w:t>
      </w:r>
      <w:r w:rsidR="008A3B23" w:rsidRPr="00094262">
        <w:rPr>
          <w:rFonts w:ascii="Times New Roman" w:hAnsi="Times New Roman" w:cs="Times New Roman"/>
          <w:sz w:val="24"/>
          <w:szCs w:val="24"/>
        </w:rPr>
        <w:t xml:space="preserve">senest den 1. april hvert år </w:t>
      </w:r>
      <w:r w:rsidR="00094262" w:rsidRPr="00094262">
        <w:rPr>
          <w:rFonts w:ascii="Times New Roman" w:eastAsia="Calibri" w:hAnsi="Times New Roman" w:cs="Times New Roman"/>
          <w:iCs/>
          <w:sz w:val="24"/>
          <w:szCs w:val="24"/>
        </w:rPr>
        <w:t xml:space="preserve">skal til Finanstilsynet indsende en oversigt over virksomhedens ledelse og reelle ejere samt en erklæring om, at virksomhedens ledelse ikke er pålagt strafansvar for overtrædelse af straffeloven, den finansielle lovgivning eller anden relevant lovgivning, og at de reelle ejere ikke er pålagt strafansvar for overtrædelse af straffeloven, den finansielle lovgivning eller anden relevant lovgivning. </w:t>
      </w:r>
    </w:p>
    <w:p w14:paraId="480F3941" w14:textId="77777777" w:rsidR="0062599E" w:rsidRPr="00796736" w:rsidRDefault="0062599E" w:rsidP="00A802A5">
      <w:pPr>
        <w:spacing w:line="360" w:lineRule="auto"/>
        <w:rPr>
          <w:rFonts w:ascii="Times New Roman" w:hAnsi="Times New Roman" w:cs="Times New Roman"/>
          <w:sz w:val="24"/>
          <w:szCs w:val="24"/>
        </w:rPr>
      </w:pPr>
    </w:p>
    <w:p w14:paraId="6C2CE4F3" w14:textId="43344A32" w:rsidR="0062599E" w:rsidRPr="00796736" w:rsidRDefault="008A3B2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2A4E01">
        <w:rPr>
          <w:rFonts w:ascii="Times New Roman" w:hAnsi="Times New Roman" w:cs="Times New Roman"/>
          <w:i/>
          <w:iCs/>
          <w:sz w:val="24"/>
          <w:szCs w:val="24"/>
        </w:rPr>
        <w:t>2. pkt.,</w:t>
      </w:r>
      <w:r w:rsidRPr="00796736">
        <w:rPr>
          <w:rFonts w:ascii="Times New Roman" w:hAnsi="Times New Roman" w:cs="Times New Roman"/>
          <w:sz w:val="24"/>
          <w:szCs w:val="24"/>
        </w:rPr>
        <w:t xml:space="preserve"> at erklæringen skal være underskrevet af virksomhedens bestyrelse og direktion. </w:t>
      </w:r>
    </w:p>
    <w:p w14:paraId="30EBC5AF" w14:textId="77777777" w:rsidR="0062599E" w:rsidRPr="00796736" w:rsidRDefault="0062599E" w:rsidP="00A802A5">
      <w:pPr>
        <w:spacing w:line="360" w:lineRule="auto"/>
        <w:rPr>
          <w:rFonts w:ascii="Times New Roman" w:hAnsi="Times New Roman" w:cs="Times New Roman"/>
          <w:sz w:val="24"/>
          <w:szCs w:val="24"/>
        </w:rPr>
      </w:pPr>
    </w:p>
    <w:p w14:paraId="20A82A9B" w14:textId="5CF2C93F" w:rsidR="008A3B23" w:rsidRPr="00796736" w:rsidRDefault="008A3B2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endeligt i </w:t>
      </w:r>
      <w:r w:rsidRPr="00796736">
        <w:rPr>
          <w:rFonts w:ascii="Times New Roman" w:hAnsi="Times New Roman" w:cs="Times New Roman"/>
          <w:i/>
          <w:iCs/>
          <w:sz w:val="24"/>
          <w:szCs w:val="24"/>
        </w:rPr>
        <w:t>3. pkt</w:t>
      </w:r>
      <w:r w:rsidRPr="00796736">
        <w:rPr>
          <w:rFonts w:ascii="Times New Roman" w:hAnsi="Times New Roman" w:cs="Times New Roman"/>
          <w:sz w:val="24"/>
          <w:szCs w:val="24"/>
        </w:rPr>
        <w:t xml:space="preserve">. at </w:t>
      </w:r>
      <w:r w:rsidR="00094262">
        <w:rPr>
          <w:rFonts w:ascii="Times New Roman" w:eastAsia="Calibri" w:hAnsi="Times New Roman" w:cs="Times New Roman"/>
          <w:iCs/>
          <w:sz w:val="24"/>
          <w:szCs w:val="24"/>
        </w:rPr>
        <w:t>d</w:t>
      </w:r>
      <w:r w:rsidR="00094262" w:rsidRPr="00094262">
        <w:rPr>
          <w:rFonts w:ascii="Times New Roman" w:eastAsia="Calibri" w:hAnsi="Times New Roman" w:cs="Times New Roman"/>
          <w:iCs/>
          <w:sz w:val="24"/>
          <w:szCs w:val="24"/>
        </w:rPr>
        <w:t>rives virksomheden som juridisk person uden bestyrelse og direktion, skal erklæringen underskrives af den eller de ledelsesansvarlige for virksomheden.</w:t>
      </w:r>
    </w:p>
    <w:p w14:paraId="7DA2DAA2" w14:textId="77777777" w:rsidR="004857E0" w:rsidRPr="00796736" w:rsidRDefault="004857E0" w:rsidP="00A802A5">
      <w:pPr>
        <w:spacing w:line="360" w:lineRule="auto"/>
        <w:rPr>
          <w:rFonts w:ascii="Times New Roman" w:hAnsi="Times New Roman" w:cs="Times New Roman"/>
          <w:sz w:val="24"/>
          <w:szCs w:val="24"/>
        </w:rPr>
      </w:pPr>
    </w:p>
    <w:p w14:paraId="453E9208" w14:textId="324F015D" w:rsidR="008A3B23" w:rsidRPr="00796736" w:rsidRDefault="008A3B2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e</w:t>
      </w:r>
      <w:r w:rsidR="002177B8" w:rsidRPr="00796736">
        <w:rPr>
          <w:rFonts w:ascii="Times New Roman" w:hAnsi="Times New Roman" w:cs="Times New Roman"/>
          <w:sz w:val="24"/>
          <w:szCs w:val="24"/>
        </w:rPr>
        <w:t>rklæringen skal være underskrevet af virksomhedens bestyrelse og direktion, hvilket understreger ledelsens ansvar for, at virksomheden til enhver tid opfylder de relevante krav.</w:t>
      </w:r>
      <w:r w:rsidRPr="00796736">
        <w:rPr>
          <w:rFonts w:ascii="Times New Roman" w:hAnsi="Times New Roman" w:cs="Times New Roman"/>
          <w:sz w:val="24"/>
          <w:szCs w:val="24"/>
        </w:rPr>
        <w:t xml:space="preserve"> </w:t>
      </w:r>
    </w:p>
    <w:p w14:paraId="3725ED74" w14:textId="77777777" w:rsidR="008A3B23" w:rsidRPr="00796736" w:rsidRDefault="008A3B23" w:rsidP="00A802A5">
      <w:pPr>
        <w:spacing w:line="360" w:lineRule="auto"/>
        <w:rPr>
          <w:rFonts w:ascii="Times New Roman" w:hAnsi="Times New Roman" w:cs="Times New Roman"/>
          <w:sz w:val="24"/>
          <w:szCs w:val="24"/>
        </w:rPr>
      </w:pPr>
    </w:p>
    <w:p w14:paraId="75EADD2D" w14:textId="67C2B275" w:rsidR="002177B8" w:rsidRPr="00094262" w:rsidRDefault="008A3B2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3. pkt. </w:t>
      </w:r>
      <w:r w:rsidR="002177B8" w:rsidRPr="00796736">
        <w:rPr>
          <w:rFonts w:ascii="Times New Roman" w:hAnsi="Times New Roman" w:cs="Times New Roman"/>
          <w:sz w:val="24"/>
          <w:szCs w:val="24"/>
        </w:rPr>
        <w:t>skal erklæringen underskrives af de ledelsesansvarlige</w:t>
      </w:r>
      <w:r w:rsidRPr="00796736">
        <w:rPr>
          <w:rFonts w:ascii="Times New Roman" w:hAnsi="Times New Roman" w:cs="Times New Roman"/>
          <w:sz w:val="24"/>
          <w:szCs w:val="24"/>
        </w:rPr>
        <w:t xml:space="preserve">, hvis virksomheden, der drives som juridisk person uden bestyrelse og direktion, </w:t>
      </w:r>
      <w:r w:rsidR="002177B8" w:rsidRPr="00796736">
        <w:rPr>
          <w:rFonts w:ascii="Times New Roman" w:hAnsi="Times New Roman" w:cs="Times New Roman"/>
          <w:sz w:val="24"/>
          <w:szCs w:val="24"/>
        </w:rPr>
        <w:t xml:space="preserve">eller af indehaveren, hvis virksomheden drives som enkeltmandsvirksomhed. Dette sikrer, at der altid er en ansvarlig person, der bekræfter </w:t>
      </w:r>
      <w:r w:rsidR="002177B8" w:rsidRPr="00094262">
        <w:rPr>
          <w:rFonts w:ascii="Times New Roman" w:hAnsi="Times New Roman" w:cs="Times New Roman"/>
          <w:sz w:val="24"/>
          <w:szCs w:val="24"/>
        </w:rPr>
        <w:t>virksomhedens overholdelse af registreringskravene.</w:t>
      </w:r>
    </w:p>
    <w:p w14:paraId="4E341004" w14:textId="77777777" w:rsidR="002177B8" w:rsidRPr="00094262" w:rsidRDefault="002177B8" w:rsidP="00A802A5">
      <w:pPr>
        <w:spacing w:line="360" w:lineRule="auto"/>
        <w:rPr>
          <w:rFonts w:ascii="Times New Roman" w:hAnsi="Times New Roman" w:cs="Times New Roman"/>
          <w:sz w:val="24"/>
          <w:szCs w:val="24"/>
        </w:rPr>
      </w:pPr>
    </w:p>
    <w:p w14:paraId="3689513A" w14:textId="4188E9F9" w:rsidR="002177B8" w:rsidRPr="00094262" w:rsidRDefault="00094262" w:rsidP="00A802A5">
      <w:pPr>
        <w:spacing w:line="360" w:lineRule="auto"/>
        <w:rPr>
          <w:rFonts w:ascii="Times New Roman" w:hAnsi="Times New Roman" w:cs="Times New Roman"/>
          <w:sz w:val="24"/>
          <w:szCs w:val="24"/>
        </w:rPr>
      </w:pPr>
      <w:r w:rsidRPr="00094262">
        <w:rPr>
          <w:rFonts w:ascii="Times New Roman" w:hAnsi="Times New Roman" w:cs="Times New Roman"/>
          <w:sz w:val="24"/>
          <w:szCs w:val="24"/>
        </w:rPr>
        <w:t>Den foreslåede bestemmelse indebærer, at erklæringen skal være underskrevet af virksomhedens bestyrelse og direktion, hvilket understreger ledelsens ansvar for, at virksomhedens ledelse opfylder det relevante krav, dog skal erklæringen underskrives af de ledelsesansvarlige, hvis virksomheden, drives som juridisk person uden bestyrelse og direktion. Dette sikrer, at der altid er en ansvarlig person, der bekræfter virksomhedens oplysninger.</w:t>
      </w:r>
    </w:p>
    <w:p w14:paraId="4AEF6C5D" w14:textId="77777777" w:rsidR="00094262" w:rsidRPr="00094262" w:rsidRDefault="00094262" w:rsidP="00A802A5">
      <w:pPr>
        <w:spacing w:line="360" w:lineRule="auto"/>
        <w:rPr>
          <w:rFonts w:cs="Open Sans"/>
          <w:szCs w:val="20"/>
        </w:rPr>
      </w:pPr>
    </w:p>
    <w:p w14:paraId="4CFDF044" w14:textId="21BD1121" w:rsidR="002177B8" w:rsidRPr="00796736" w:rsidRDefault="00094262"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Bestemmelsen </w:t>
      </w:r>
      <w:r w:rsidR="002177B8" w:rsidRPr="00796736">
        <w:rPr>
          <w:rFonts w:ascii="Times New Roman" w:eastAsia="Calibri" w:hAnsi="Times New Roman" w:cs="Times New Roman"/>
          <w:sz w:val="24"/>
          <w:szCs w:val="24"/>
        </w:rPr>
        <w:t xml:space="preserve">implementerer </w:t>
      </w:r>
      <w:r w:rsidR="002177B8" w:rsidRPr="00796736">
        <w:rPr>
          <w:rFonts w:ascii="Times New Roman" w:hAnsi="Times New Roman" w:cs="Times New Roman"/>
          <w:sz w:val="24"/>
          <w:szCs w:val="24"/>
        </w:rPr>
        <w:t>artikel 6, stk. 3, i 6. hvidvaskdirektiv.</w:t>
      </w:r>
    </w:p>
    <w:p w14:paraId="5AAC7EB4" w14:textId="77777777" w:rsidR="004857E0" w:rsidRPr="00796736" w:rsidRDefault="004857E0" w:rsidP="00A802A5">
      <w:pPr>
        <w:spacing w:line="360" w:lineRule="auto"/>
        <w:rPr>
          <w:rFonts w:ascii="Times New Roman" w:hAnsi="Times New Roman" w:cs="Times New Roman"/>
          <w:sz w:val="24"/>
          <w:szCs w:val="24"/>
        </w:rPr>
      </w:pPr>
    </w:p>
    <w:p w14:paraId="2685B1A9" w14:textId="260BAE59"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Overtrædelse af bestemmelsen foreslås strafbelagt</w:t>
      </w:r>
      <w:r w:rsidR="002A4E01">
        <w:rPr>
          <w:rFonts w:ascii="Times New Roman" w:hAnsi="Times New Roman" w:cs="Times New Roman"/>
          <w:sz w:val="24"/>
          <w:szCs w:val="24"/>
        </w:rPr>
        <w:t xml:space="preserve">, jf. </w:t>
      </w:r>
      <w:r w:rsidR="002A4E01">
        <w:rPr>
          <w:rFonts w:ascii="Times New Roman" w:eastAsia="Times New Roman" w:hAnsi="Times New Roman" w:cs="Times New Roman"/>
          <w:sz w:val="24"/>
          <w:szCs w:val="24"/>
          <w:lang w:eastAsia="da-DK"/>
        </w:rPr>
        <w:fldChar w:fldCharType="begin"/>
      </w:r>
      <w:r w:rsidR="002A4E01">
        <w:rPr>
          <w:rFonts w:ascii="Times New Roman" w:eastAsia="Times New Roman" w:hAnsi="Times New Roman" w:cs="Times New Roman"/>
          <w:sz w:val="24"/>
          <w:szCs w:val="24"/>
          <w:lang w:eastAsia="da-DK"/>
        </w:rPr>
        <w:instrText xml:space="preserve"> REF _Ref242963797 \n \h </w:instrText>
      </w:r>
      <w:r w:rsidR="00CB248D">
        <w:rPr>
          <w:rFonts w:ascii="Times New Roman" w:eastAsia="Times New Roman" w:hAnsi="Times New Roman" w:cs="Times New Roman"/>
          <w:sz w:val="24"/>
          <w:szCs w:val="24"/>
          <w:lang w:eastAsia="da-DK"/>
        </w:rPr>
        <w:instrText xml:space="preserve"> \* MERGEFORMAT </w:instrText>
      </w:r>
      <w:r w:rsidR="002A4E01">
        <w:rPr>
          <w:rFonts w:ascii="Times New Roman" w:eastAsia="Times New Roman" w:hAnsi="Times New Roman" w:cs="Times New Roman"/>
          <w:sz w:val="24"/>
          <w:szCs w:val="24"/>
          <w:lang w:eastAsia="da-DK"/>
        </w:rPr>
      </w:r>
      <w:r w:rsidR="002A4E01">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139</w:t>
      </w:r>
      <w:r w:rsidR="002A4E01">
        <w:rPr>
          <w:rFonts w:ascii="Times New Roman" w:eastAsia="Times New Roman" w:hAnsi="Times New Roman" w:cs="Times New Roman"/>
          <w:sz w:val="24"/>
          <w:szCs w:val="24"/>
          <w:lang w:eastAsia="da-DK"/>
        </w:rPr>
        <w:fldChar w:fldCharType="end"/>
      </w:r>
      <w:r w:rsidR="002A4E01">
        <w:rPr>
          <w:rFonts w:ascii="Times New Roman" w:eastAsia="Times New Roman" w:hAnsi="Times New Roman" w:cs="Times New Roman"/>
          <w:sz w:val="24"/>
          <w:szCs w:val="24"/>
          <w:lang w:eastAsia="da-DK"/>
        </w:rPr>
        <w:t>, stk. 1, nr. 5</w:t>
      </w:r>
      <w:r w:rsidRPr="00796736">
        <w:rPr>
          <w:rFonts w:ascii="Times New Roman" w:hAnsi="Times New Roman" w:cs="Times New Roman"/>
          <w:sz w:val="24"/>
          <w:szCs w:val="24"/>
        </w:rPr>
        <w:t xml:space="preserve">. I henhold til den foreslåede </w:t>
      </w:r>
      <w:r w:rsidR="002A4E01" w:rsidRPr="00094262">
        <w:rPr>
          <w:rFonts w:ascii="Times New Roman" w:hAnsi="Times New Roman" w:cs="Times New Roman"/>
          <w:sz w:val="24"/>
          <w:szCs w:val="24"/>
        </w:rPr>
        <w:t>bestemmelse</w:t>
      </w:r>
      <w:r w:rsidRPr="00094262">
        <w:rPr>
          <w:rFonts w:ascii="Times New Roman" w:hAnsi="Times New Roman" w:cs="Times New Roman"/>
          <w:sz w:val="24"/>
          <w:szCs w:val="24"/>
        </w:rPr>
        <w:t xml:space="preserve"> </w:t>
      </w:r>
      <w:r w:rsidR="00094262">
        <w:rPr>
          <w:rFonts w:ascii="Times New Roman" w:hAnsi="Times New Roman" w:cs="Times New Roman"/>
          <w:sz w:val="24"/>
          <w:szCs w:val="24"/>
        </w:rPr>
        <w:t>kan virksomheder</w:t>
      </w:r>
      <w:r w:rsidR="00094262" w:rsidRPr="00094262">
        <w:rPr>
          <w:rFonts w:ascii="Times New Roman" w:hAnsi="Times New Roman" w:cs="Times New Roman"/>
          <w:sz w:val="24"/>
          <w:szCs w:val="24"/>
        </w:rPr>
        <w:t>, der undlader senest den 1. april hvert år at indsende erklæringen straffes med bøde. Den strafbare handling består i at undlade at indsende den årlige erklæring og oversigt til Finanstilsynet. Ansvarssubjektet for overtrædelse af bestemmelsen er virksomheden, og der skal således rejses tiltale mod den juridiske person for overtrædelsen.</w:t>
      </w:r>
    </w:p>
    <w:p w14:paraId="5E12DC86" w14:textId="77777777" w:rsidR="00E70E76" w:rsidRPr="00796736" w:rsidRDefault="00E70E76" w:rsidP="00A802A5">
      <w:pPr>
        <w:spacing w:line="360" w:lineRule="auto"/>
        <w:jc w:val="center"/>
        <w:rPr>
          <w:rFonts w:ascii="Times New Roman" w:hAnsi="Times New Roman" w:cs="Times New Roman"/>
          <w:i/>
          <w:iCs/>
          <w:sz w:val="24"/>
          <w:szCs w:val="24"/>
        </w:rPr>
      </w:pPr>
    </w:p>
    <w:p w14:paraId="43137571" w14:textId="21C3D7EF" w:rsidR="00E70E76" w:rsidRPr="00796736" w:rsidRDefault="00E70E7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_Ref232948941 \n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3.48</w:t>
      </w:r>
      <w:r w:rsidR="00793249" w:rsidRPr="00796736">
        <w:rPr>
          <w:rFonts w:ascii="Times New Roman" w:hAnsi="Times New Roman" w:cs="Times New Roman"/>
          <w:sz w:val="24"/>
          <w:szCs w:val="24"/>
        </w:rPr>
        <w:fldChar w:fldCharType="end"/>
      </w:r>
      <w:r w:rsidR="00793249"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4B0CBF4B" w14:textId="77777777" w:rsidR="00E70E76" w:rsidRPr="00796736" w:rsidRDefault="00E70E76" w:rsidP="00A802A5">
      <w:pPr>
        <w:spacing w:line="360" w:lineRule="auto"/>
        <w:jc w:val="center"/>
        <w:rPr>
          <w:rFonts w:ascii="Times New Roman" w:hAnsi="Times New Roman" w:cs="Times New Roman"/>
          <w:i/>
          <w:iCs/>
          <w:sz w:val="24"/>
          <w:szCs w:val="24"/>
        </w:rPr>
      </w:pPr>
    </w:p>
    <w:p w14:paraId="7457E67F" w14:textId="32F9E5B0" w:rsidR="002177B8" w:rsidRPr="00796736" w:rsidRDefault="00E70E76" w:rsidP="00A802A5">
      <w:pPr>
        <w:pStyle w:val="Undertitel"/>
      </w:pPr>
      <w:bookmarkStart w:id="2007" w:name="_Toc232109383"/>
      <w:bookmarkStart w:id="2008" w:name="_Toc244879347"/>
      <w:bookmarkStart w:id="2009" w:name="_Toc244880872"/>
      <w:r w:rsidRPr="00796736">
        <w:t xml:space="preserve">Til </w:t>
      </w:r>
      <w:r w:rsidR="00465705" w:rsidRPr="00796736">
        <w:fldChar w:fldCharType="begin"/>
      </w:r>
      <w:r w:rsidR="00465705" w:rsidRPr="00796736">
        <w:instrText xml:space="preserve"> REF _Ref232596960 \r \h </w:instrText>
      </w:r>
      <w:r w:rsidR="00967618" w:rsidRPr="00796736">
        <w:instrText xml:space="preserve"> \* MERGEFORMAT </w:instrText>
      </w:r>
      <w:r w:rsidR="00465705" w:rsidRPr="00796736">
        <w:fldChar w:fldCharType="separate"/>
      </w:r>
      <w:r w:rsidR="008F29E5">
        <w:t>§ 51</w:t>
      </w:r>
      <w:bookmarkEnd w:id="2008"/>
      <w:bookmarkEnd w:id="2009"/>
      <w:r w:rsidR="00465705" w:rsidRPr="00796736">
        <w:fldChar w:fldCharType="end"/>
      </w:r>
      <w:r w:rsidRPr="00796736">
        <w:t xml:space="preserve"> </w:t>
      </w:r>
      <w:bookmarkEnd w:id="2007"/>
    </w:p>
    <w:p w14:paraId="40E5328E" w14:textId="77777777" w:rsidR="002D219B"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hvidvasklovens § 48, stk. 2 og 3, at Finanstilsynet skal undlade at registrere en virksomhed, hvis der foreligger strafansvar hos ledelsen eller virksomheden, som kan indebære risiko for misbrug eller uforsvarlig varetagelse af stillingen. </w:t>
      </w:r>
    </w:p>
    <w:p w14:paraId="00317EE9" w14:textId="77777777" w:rsidR="002D219B" w:rsidRDefault="002D219B" w:rsidP="00A802A5">
      <w:pPr>
        <w:spacing w:line="360" w:lineRule="auto"/>
        <w:rPr>
          <w:rFonts w:ascii="Times New Roman" w:hAnsi="Times New Roman" w:cs="Times New Roman"/>
          <w:sz w:val="24"/>
          <w:szCs w:val="24"/>
        </w:rPr>
      </w:pPr>
    </w:p>
    <w:p w14:paraId="7D85FF08" w14:textId="77777777" w:rsidR="002D219B"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Konkret indebærer stk. 2, at Finanstilsynet ikke må registrere en virksomhed, hvis et medlem af virksomhedens øverste eller daglige ledelse, eller en relevant person, er pålagt strafansvar for overtrædelse af straffeloven, den finansielle lovgivning eller anden relevant lovgivning, og overtrædelsen medfører risiko for, at vedkommende ikke kan varetage sit hverv eller sin stilling på en betryggende måde. </w:t>
      </w:r>
    </w:p>
    <w:p w14:paraId="14280486" w14:textId="77777777" w:rsidR="002D219B" w:rsidRDefault="002D219B" w:rsidP="00A802A5">
      <w:pPr>
        <w:spacing w:line="360" w:lineRule="auto"/>
        <w:rPr>
          <w:rFonts w:ascii="Times New Roman" w:hAnsi="Times New Roman" w:cs="Times New Roman"/>
          <w:sz w:val="24"/>
          <w:szCs w:val="24"/>
        </w:rPr>
      </w:pPr>
    </w:p>
    <w:p w14:paraId="530A7D2C" w14:textId="7A651D75" w:rsidR="0021212B"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Stk. 3 fastsætter, at Finanstilsynet ligeledes skal undlade at registrere en virksomhed, hvis virksomheden selv er pålagt strafansvar for overtrædelse af straffeloven, den finansielle lovgivning eller anden relevant lovgivning, og overtrædelsen indebærer risiko for misbrug af registreringen. Endvidere gælder det, hvis en reel ejer er pålagt strafansvar for overtrædelse af nævnte lovgivning, og dette begrunder en risiko for misbrug af den pågældendes kontrollerende indflydelse.</w:t>
      </w:r>
    </w:p>
    <w:p w14:paraId="46B4301A" w14:textId="77777777" w:rsidR="002177B8" w:rsidRPr="00796736" w:rsidRDefault="002177B8" w:rsidP="00A802A5">
      <w:pPr>
        <w:spacing w:line="360" w:lineRule="auto"/>
        <w:rPr>
          <w:rFonts w:ascii="Times New Roman" w:hAnsi="Times New Roman" w:cs="Times New Roman"/>
          <w:sz w:val="24"/>
          <w:szCs w:val="24"/>
        </w:rPr>
      </w:pPr>
    </w:p>
    <w:p w14:paraId="4B695E10" w14:textId="61E4A0FE" w:rsidR="00664508" w:rsidRPr="00796736" w:rsidRDefault="0092526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_Ref232596960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51</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00664508" w:rsidRPr="00796736">
        <w:rPr>
          <w:rFonts w:ascii="Times New Roman" w:hAnsi="Times New Roman" w:cs="Times New Roman"/>
          <w:sz w:val="24"/>
          <w:szCs w:val="24"/>
        </w:rPr>
        <w:t xml:space="preserve"> at et medlem af øverste eller daglige ledelse, herunder bestyrelsen eller direktionen, i en virksomhed omfattet af </w:t>
      </w:r>
      <w:r w:rsidR="00664508" w:rsidRPr="00796736">
        <w:rPr>
          <w:rFonts w:ascii="Times New Roman" w:hAnsi="Times New Roman" w:cs="Times New Roman"/>
          <w:sz w:val="24"/>
          <w:szCs w:val="24"/>
        </w:rPr>
        <w:fldChar w:fldCharType="begin"/>
      </w:r>
      <w:r w:rsidR="00664508" w:rsidRPr="00796736">
        <w:rPr>
          <w:rFonts w:ascii="Times New Roman" w:hAnsi="Times New Roman" w:cs="Times New Roman"/>
          <w:sz w:val="24"/>
          <w:szCs w:val="24"/>
        </w:rPr>
        <w:instrText xml:space="preserve"> REF _Ref232596860 \r \h  \* MERGEFORMAT </w:instrText>
      </w:r>
      <w:r w:rsidR="00664508" w:rsidRPr="00796736">
        <w:rPr>
          <w:rFonts w:ascii="Times New Roman" w:hAnsi="Times New Roman" w:cs="Times New Roman"/>
          <w:sz w:val="24"/>
          <w:szCs w:val="24"/>
        </w:rPr>
      </w:r>
      <w:r w:rsidR="0066450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664508" w:rsidRPr="00796736">
        <w:rPr>
          <w:rFonts w:ascii="Times New Roman" w:hAnsi="Times New Roman" w:cs="Times New Roman"/>
          <w:sz w:val="24"/>
          <w:szCs w:val="24"/>
        </w:rPr>
        <w:fldChar w:fldCharType="end"/>
      </w:r>
      <w:r w:rsidR="00664508" w:rsidRPr="00796736">
        <w:rPr>
          <w:rFonts w:ascii="Times New Roman" w:hAnsi="Times New Roman" w:cs="Times New Roman"/>
          <w:sz w:val="24"/>
          <w:szCs w:val="24"/>
        </w:rPr>
        <w:t>, stk. 1, eller, hvor virksomheden udøves af en enkeltmandsvirksomhed, indehaveren eller, hvor virksomheden drives som juridisk person uden øverste eller daglige ledelse, den eller de ledelsesansvarlige, ikke</w:t>
      </w:r>
      <w:r w:rsidR="002F11D8" w:rsidRPr="00796736">
        <w:rPr>
          <w:rFonts w:ascii="Times New Roman" w:hAnsi="Times New Roman" w:cs="Times New Roman"/>
          <w:sz w:val="24"/>
          <w:szCs w:val="24"/>
        </w:rPr>
        <w:t xml:space="preserve"> må</w:t>
      </w:r>
      <w:r w:rsidR="00664508" w:rsidRPr="00796736">
        <w:rPr>
          <w:rFonts w:ascii="Times New Roman" w:hAnsi="Times New Roman" w:cs="Times New Roman"/>
          <w:sz w:val="24"/>
          <w:szCs w:val="24"/>
        </w:rPr>
        <w:t xml:space="preserve"> være pålagt strafansvar for overtrædelse af straffeloven, den finansielle lovgivning eller anden relevant lovgivning, hvis overtrædelsen indebærer en risiko for, at vedkommende ikke kan varetage sit hverv eller sin stilling på en betryggende måde.</w:t>
      </w:r>
    </w:p>
    <w:p w14:paraId="26D5E834" w14:textId="77777777" w:rsidR="00846DB2" w:rsidRPr="00796736" w:rsidRDefault="00846DB2" w:rsidP="00A802A5">
      <w:pPr>
        <w:spacing w:line="360" w:lineRule="auto"/>
        <w:rPr>
          <w:rFonts w:ascii="Times New Roman" w:hAnsi="Times New Roman" w:cs="Times New Roman"/>
          <w:sz w:val="24"/>
          <w:szCs w:val="24"/>
        </w:rPr>
      </w:pPr>
    </w:p>
    <w:p w14:paraId="54495C90" w14:textId="7982C50D" w:rsidR="00846DB2" w:rsidRPr="00796736" w:rsidRDefault="00846DB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være afgørende for Finanstilsynets vurdering af det pågældende ledelsesmedlems m.fl. hæderlighed, at der er sket en overtrædelse af den relevante lovgivning. Et vedtaget bødeforelæg har samme retsvirkning som en endelig dom, ligesom vedtagelsen har samme gentagelsesvirkning som en dom, jf. </w:t>
      </w:r>
      <w:hyperlink r:id="rId25" w:history="1">
        <w:r w:rsidRPr="00796736">
          <w:rPr>
            <w:rStyle w:val="Hyperlink"/>
            <w:rFonts w:ascii="Times New Roman" w:hAnsi="Times New Roman" w:cs="Times New Roman"/>
            <w:sz w:val="24"/>
            <w:szCs w:val="24"/>
          </w:rPr>
          <w:t>retsplejeloven § 832</w:t>
        </w:r>
      </w:hyperlink>
      <w:r w:rsidRPr="00796736">
        <w:rPr>
          <w:rFonts w:ascii="Times New Roman" w:hAnsi="Times New Roman" w:cs="Times New Roman"/>
          <w:sz w:val="24"/>
          <w:szCs w:val="24"/>
        </w:rPr>
        <w:t>, stk. 4. </w:t>
      </w:r>
    </w:p>
    <w:p w14:paraId="14BC0CEC" w14:textId="77777777" w:rsidR="00846DB2" w:rsidRPr="00796736" w:rsidRDefault="00846DB2" w:rsidP="00A802A5">
      <w:pPr>
        <w:spacing w:line="360" w:lineRule="auto"/>
        <w:rPr>
          <w:rFonts w:ascii="Times New Roman" w:hAnsi="Times New Roman" w:cs="Times New Roman"/>
          <w:sz w:val="24"/>
          <w:szCs w:val="24"/>
        </w:rPr>
      </w:pPr>
    </w:p>
    <w:p w14:paraId="1D70DC2D" w14:textId="6A450818" w:rsidR="00846DB2" w:rsidRPr="00796736" w:rsidRDefault="00846DB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strafbare lovovertrædelse, der henvises til i den foreslåede, skal indebære en risiko for, at vedkommende ikke kan varetage sit hverv eller sin stilling på betryggende måde, førend registrering vil skulle undlades. Hvis en person eller virksomhed har vedtaget et bødeforelæg, vil Finanstilsynet derfor skulle vurdere, om overtrædelsen indebærer risiko for, at vedkommende ikke kan varetage sit hverv eller sin stilling på betryggende måde. Finanstilsynets vurdering vil blive foretaget efter de samme principper, som domstolene anvender i forbindelse med en rettighedsfrakendelsessag, og Finanstilsynet vil i vurderingen inddrage relevant retspraksis.</w:t>
      </w:r>
    </w:p>
    <w:p w14:paraId="77A21860" w14:textId="77777777" w:rsidR="00846DB2" w:rsidRPr="00796736" w:rsidRDefault="00846DB2" w:rsidP="00A802A5">
      <w:pPr>
        <w:spacing w:line="360" w:lineRule="auto"/>
        <w:rPr>
          <w:rFonts w:ascii="Times New Roman" w:hAnsi="Times New Roman" w:cs="Times New Roman"/>
          <w:sz w:val="24"/>
          <w:szCs w:val="24"/>
        </w:rPr>
      </w:pPr>
    </w:p>
    <w:p w14:paraId="0DBB785A" w14:textId="77777777" w:rsidR="00846DB2" w:rsidRPr="00796736" w:rsidRDefault="00846DB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Dette indebærer, at Finanstilsynet i vurderingen af om en strafbar overtrædelse skal føre til, at Finanstilsynet nægter registrering, vil skulle vurdere, om det udviste forhold begrunder en risiko for efterfølgende misbrug af hvervet eller stillingen, eller om den pågældende har handlet på en så retsstridig og uetisk måde, at der er grundlag for at antage, at den pågældende ikke vil varetage hvervet eller stillingen som henholdsvis bestyrelsesmedlem eller direktør på betryggende vis.</w:t>
      </w:r>
    </w:p>
    <w:p w14:paraId="3A35BBBF" w14:textId="77777777" w:rsidR="0062599E" w:rsidRPr="00796736" w:rsidRDefault="0062599E" w:rsidP="00A802A5">
      <w:pPr>
        <w:spacing w:line="360" w:lineRule="auto"/>
        <w:rPr>
          <w:rFonts w:ascii="Times New Roman" w:hAnsi="Times New Roman" w:cs="Times New Roman"/>
          <w:sz w:val="24"/>
          <w:szCs w:val="24"/>
        </w:rPr>
      </w:pPr>
    </w:p>
    <w:p w14:paraId="2B9404CF" w14:textId="69223AD9" w:rsidR="00664508" w:rsidRPr="00796736" w:rsidRDefault="00846DB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Herudover vil hensynet til at opretholde tilliden til den finansielle sektor indgå i vurderingen af, om en strafbar overtrædelse skal medføre, at det pågældende ledelsesmedlem ikke kan varetage hvervet eller stillingen</w:t>
      </w:r>
      <w:r w:rsidR="005E231C" w:rsidRPr="00796736">
        <w:rPr>
          <w:rFonts w:ascii="Times New Roman" w:hAnsi="Times New Roman" w:cs="Times New Roman"/>
          <w:sz w:val="24"/>
          <w:szCs w:val="24"/>
        </w:rPr>
        <w:t>,</w:t>
      </w:r>
      <w:r w:rsidRPr="00796736">
        <w:rPr>
          <w:rFonts w:ascii="Times New Roman" w:hAnsi="Times New Roman" w:cs="Times New Roman"/>
          <w:sz w:val="24"/>
          <w:szCs w:val="24"/>
        </w:rPr>
        <w:t xml:space="preserve"> herunder særligt ledelsesmedlemmets forståelse for den finansielle sektors særlige samfundsmæssige ansvar i relation til forebyggelse af hvidvask og terrorfinansiering, vil også indgå i vurderingen.</w:t>
      </w:r>
    </w:p>
    <w:p w14:paraId="73C1E58E" w14:textId="77777777" w:rsidR="00925264" w:rsidRPr="00796736" w:rsidRDefault="00925264" w:rsidP="00A802A5">
      <w:pPr>
        <w:spacing w:line="360" w:lineRule="auto"/>
        <w:rPr>
          <w:rFonts w:ascii="Times New Roman" w:hAnsi="Times New Roman" w:cs="Times New Roman"/>
          <w:i/>
          <w:iCs/>
          <w:sz w:val="24"/>
          <w:szCs w:val="24"/>
        </w:rPr>
      </w:pPr>
    </w:p>
    <w:p w14:paraId="6F182A57" w14:textId="45DE045C" w:rsidR="00925264" w:rsidRPr="00796736" w:rsidRDefault="0092526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_Ref232596960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51</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stk. 2, </w:t>
      </w:r>
      <w:r w:rsidR="00664508" w:rsidRPr="00796736">
        <w:rPr>
          <w:rFonts w:ascii="Times New Roman" w:hAnsi="Times New Roman" w:cs="Times New Roman"/>
          <w:sz w:val="24"/>
          <w:szCs w:val="24"/>
        </w:rPr>
        <w:t xml:space="preserve">at virksomheden, der er omfattet af </w:t>
      </w:r>
      <w:r w:rsidR="00664508" w:rsidRPr="00796736">
        <w:rPr>
          <w:rFonts w:ascii="Times New Roman" w:hAnsi="Times New Roman" w:cs="Times New Roman"/>
          <w:sz w:val="24"/>
          <w:szCs w:val="24"/>
        </w:rPr>
        <w:fldChar w:fldCharType="begin"/>
      </w:r>
      <w:r w:rsidR="00664508" w:rsidRPr="00796736">
        <w:rPr>
          <w:rFonts w:ascii="Times New Roman" w:hAnsi="Times New Roman" w:cs="Times New Roman"/>
          <w:sz w:val="24"/>
          <w:szCs w:val="24"/>
        </w:rPr>
        <w:instrText xml:space="preserve"> REF _Ref232596860 \r \h  \* MERGEFORMAT </w:instrText>
      </w:r>
      <w:r w:rsidR="00664508" w:rsidRPr="00796736">
        <w:rPr>
          <w:rFonts w:ascii="Times New Roman" w:hAnsi="Times New Roman" w:cs="Times New Roman"/>
          <w:sz w:val="24"/>
          <w:szCs w:val="24"/>
        </w:rPr>
      </w:r>
      <w:r w:rsidR="0066450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664508" w:rsidRPr="00796736">
        <w:rPr>
          <w:rFonts w:ascii="Times New Roman" w:hAnsi="Times New Roman" w:cs="Times New Roman"/>
          <w:sz w:val="24"/>
          <w:szCs w:val="24"/>
        </w:rPr>
        <w:fldChar w:fldCharType="end"/>
      </w:r>
      <w:r w:rsidR="00664508" w:rsidRPr="00796736">
        <w:rPr>
          <w:rFonts w:ascii="Times New Roman" w:hAnsi="Times New Roman" w:cs="Times New Roman"/>
          <w:sz w:val="24"/>
          <w:szCs w:val="24"/>
        </w:rPr>
        <w:t>, stk. 1, eller virksomhedens reelle ejere ikke</w:t>
      </w:r>
      <w:r w:rsidR="002F11D8" w:rsidRPr="00796736">
        <w:rPr>
          <w:rFonts w:ascii="Times New Roman" w:hAnsi="Times New Roman" w:cs="Times New Roman"/>
          <w:sz w:val="24"/>
          <w:szCs w:val="24"/>
        </w:rPr>
        <w:t xml:space="preserve"> måtte</w:t>
      </w:r>
      <w:r w:rsidR="00664508" w:rsidRPr="00796736">
        <w:rPr>
          <w:rFonts w:ascii="Times New Roman" w:hAnsi="Times New Roman" w:cs="Times New Roman"/>
          <w:sz w:val="24"/>
          <w:szCs w:val="24"/>
        </w:rPr>
        <w:t xml:space="preserve"> være pålagt strafansvar for overtrædelse af straffeloven, den finansielle lovgivning eller anden relevant lovgivning, hvis overtrædelsen indebærer risiko for, at virksomheden misbruger registreringen, eller at den reelle ejer misbruger sin kontrollerende indflydelse.</w:t>
      </w:r>
    </w:p>
    <w:p w14:paraId="1B44B360" w14:textId="77777777" w:rsidR="0062599E" w:rsidRPr="00796736" w:rsidRDefault="0062599E" w:rsidP="00A802A5">
      <w:pPr>
        <w:spacing w:line="360" w:lineRule="auto"/>
        <w:rPr>
          <w:rFonts w:ascii="Times New Roman" w:hAnsi="Times New Roman" w:cs="Times New Roman"/>
          <w:sz w:val="24"/>
          <w:szCs w:val="24"/>
        </w:rPr>
      </w:pPr>
    </w:p>
    <w:p w14:paraId="3F089FE0" w14:textId="0456FE78" w:rsidR="0062599E" w:rsidRPr="00796736" w:rsidRDefault="0062599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medføre, at Finanstilsynet skal undlade at registrere en virksomhed, hvis virksomheden er pålagt strafansvar for overtrædelse af </w:t>
      </w:r>
      <w:hyperlink r:id="rId26" w:history="1">
        <w:r w:rsidRPr="00796736">
          <w:rPr>
            <w:rStyle w:val="Hyperlink"/>
            <w:rFonts w:ascii="Times New Roman" w:hAnsi="Times New Roman" w:cs="Times New Roman"/>
            <w:sz w:val="24"/>
            <w:szCs w:val="24"/>
          </w:rPr>
          <w:t>straffeloven</w:t>
        </w:r>
      </w:hyperlink>
      <w:r w:rsidRPr="00796736">
        <w:rPr>
          <w:rFonts w:ascii="Times New Roman" w:hAnsi="Times New Roman" w:cs="Times New Roman"/>
          <w:sz w:val="24"/>
          <w:szCs w:val="24"/>
        </w:rPr>
        <w:t>, den finansielle lovgivning eller anden relevant lovgivning, hvis overtrædelsen indebærer risiko for, at virksomheden misbruger registreringen, eller en reel ejer er dømt for et strafbart forhold, der begrunder en risiko for misbrug af den pågældendes kontrollerende indflydelse.</w:t>
      </w:r>
    </w:p>
    <w:p w14:paraId="70551F1F" w14:textId="77777777" w:rsidR="002F11D8" w:rsidRPr="00796736" w:rsidRDefault="002F11D8" w:rsidP="00A802A5">
      <w:pPr>
        <w:spacing w:line="360" w:lineRule="auto"/>
        <w:rPr>
          <w:rFonts w:ascii="Times New Roman" w:hAnsi="Times New Roman" w:cs="Times New Roman"/>
          <w:sz w:val="24"/>
          <w:szCs w:val="24"/>
        </w:rPr>
      </w:pPr>
    </w:p>
    <w:p w14:paraId="653652B5" w14:textId="4C36CD01" w:rsidR="002F11D8" w:rsidRPr="00796736" w:rsidRDefault="002F11D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En reel ejer skal forstås i overensstemmelse med definitionen i hvidvaskforordningen artikel 2, stk. 1, nr. 28, hvorefter en reel ejer skal forstås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hvidvaskforordningens kapitel 4.</w:t>
      </w:r>
    </w:p>
    <w:p w14:paraId="6254AFF4" w14:textId="77777777" w:rsidR="0062599E" w:rsidRPr="00796736" w:rsidRDefault="0062599E" w:rsidP="00A802A5">
      <w:pPr>
        <w:spacing w:line="360" w:lineRule="auto"/>
        <w:rPr>
          <w:rFonts w:ascii="Times New Roman" w:hAnsi="Times New Roman" w:cs="Times New Roman"/>
          <w:sz w:val="24"/>
          <w:szCs w:val="24"/>
        </w:rPr>
      </w:pPr>
    </w:p>
    <w:p w14:paraId="48EA3A81" w14:textId="26A6895A" w:rsidR="0062599E" w:rsidRPr="00796736" w:rsidRDefault="0062599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være afgørende for Finanstilsynets vurdering af hæderligheden, at der er sket en overtrædelse af den relevante lovgivning. Et vedtaget bødeforelæg har samme retsvirkning som en endelig dom, ligesom vedtagelsen har samme gentagelsesvirkning som en dom, jf. </w:t>
      </w:r>
      <w:hyperlink r:id="rId27" w:history="1">
        <w:r w:rsidRPr="00A76A89">
          <w:rPr>
            <w:rStyle w:val="Hyperlink"/>
            <w:rFonts w:ascii="Times New Roman" w:hAnsi="Times New Roman" w:cs="Times New Roman"/>
            <w:color w:val="auto"/>
            <w:sz w:val="24"/>
            <w:szCs w:val="24"/>
            <w:u w:val="none"/>
          </w:rPr>
          <w:t>retsplejeloven § 832</w:t>
        </w:r>
      </w:hyperlink>
      <w:r w:rsidRPr="00A76A89">
        <w:rPr>
          <w:rFonts w:ascii="Times New Roman" w:hAnsi="Times New Roman" w:cs="Times New Roman"/>
          <w:sz w:val="24"/>
          <w:szCs w:val="24"/>
        </w:rPr>
        <w:t>, stk. 4. </w:t>
      </w:r>
    </w:p>
    <w:p w14:paraId="7FE0EE5C" w14:textId="77777777" w:rsidR="0062599E" w:rsidRPr="00796736" w:rsidRDefault="0062599E" w:rsidP="00A802A5">
      <w:pPr>
        <w:spacing w:line="360" w:lineRule="auto"/>
        <w:rPr>
          <w:rFonts w:ascii="Times New Roman" w:hAnsi="Times New Roman" w:cs="Times New Roman"/>
          <w:sz w:val="24"/>
          <w:szCs w:val="24"/>
        </w:rPr>
      </w:pPr>
    </w:p>
    <w:p w14:paraId="5CD33071" w14:textId="5416F4DA" w:rsidR="0062599E" w:rsidRPr="00796736" w:rsidRDefault="0062599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strafbare lovovertrædelse, der henvises til i den foreslåede, skal indebære en risiko for, at virksomheden misbruger registreringen, eller at en reel ejer misbruger den pågældendes kontrollerende indflydelse.</w:t>
      </w:r>
    </w:p>
    <w:p w14:paraId="5B915AA3" w14:textId="77777777" w:rsidR="0062599E" w:rsidRPr="00796736" w:rsidRDefault="0062599E" w:rsidP="00A802A5">
      <w:pPr>
        <w:spacing w:line="360" w:lineRule="auto"/>
        <w:rPr>
          <w:rFonts w:ascii="Times New Roman" w:hAnsi="Times New Roman" w:cs="Times New Roman"/>
          <w:sz w:val="24"/>
          <w:szCs w:val="24"/>
        </w:rPr>
      </w:pPr>
    </w:p>
    <w:p w14:paraId="2CF64721" w14:textId="77777777" w:rsidR="0062599E" w:rsidRPr="00796736" w:rsidRDefault="0062599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Hvis en virksomhed har vedtaget et bødeforelæg, vil Finanstilsynet skulle vurdere, om overtrædelsen indebærer risiko for, at registreringen misbruges, og ved reelle ejere vil det skulle vurderes, om der er risiko for misbrug af vedkommendes kontrollerende indflydelse. Finanstilsynets vurdering foretages efter samme principper, som domstolene anvender i forbindelse med en rettighedsfrakendelsessag, og Finanstilsynet vil i vurderingen inddrage relevant retspraksis.</w:t>
      </w:r>
    </w:p>
    <w:p w14:paraId="763809CA" w14:textId="77777777" w:rsidR="0062599E" w:rsidRPr="00796736" w:rsidRDefault="0062599E" w:rsidP="00A802A5">
      <w:pPr>
        <w:spacing w:line="360" w:lineRule="auto"/>
        <w:rPr>
          <w:rFonts w:ascii="Times New Roman" w:hAnsi="Times New Roman" w:cs="Times New Roman"/>
          <w:sz w:val="24"/>
          <w:szCs w:val="24"/>
        </w:rPr>
      </w:pPr>
    </w:p>
    <w:p w14:paraId="7F137BED" w14:textId="77777777" w:rsidR="0062599E" w:rsidRPr="00796736" w:rsidRDefault="0062599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Dette indebærer, at Finanstilsynet i vurderingen af om en strafbar overtrædelse skal føre til, at Finanstilsynet nægter registrering, vil skulle vurdere, om det udviste forhold begrunder en risiko for virksomhedens efterfølgende misbrug af registreringen, eller om den pågældende reelle ejer har handlet på en så retsstridig og uetisk måde, at der er må antages at være risiko for, at den pågældende vil bruge sin kontrollerende indflydelse på en ikke betryggende vis.</w:t>
      </w:r>
    </w:p>
    <w:p w14:paraId="13B49871" w14:textId="77777777" w:rsidR="0062599E" w:rsidRPr="00796736" w:rsidRDefault="0062599E" w:rsidP="00A802A5">
      <w:pPr>
        <w:spacing w:line="360" w:lineRule="auto"/>
        <w:rPr>
          <w:rFonts w:ascii="Times New Roman" w:hAnsi="Times New Roman" w:cs="Times New Roman"/>
          <w:sz w:val="24"/>
          <w:szCs w:val="24"/>
        </w:rPr>
      </w:pPr>
    </w:p>
    <w:p w14:paraId="37FBCC98" w14:textId="5761A8C6" w:rsidR="00664508" w:rsidRPr="00796736" w:rsidRDefault="0062599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Herudover vil hensynet til at opretholde tilliden til den finansielle sektor skulle indgå i vurderingen af, om en strafbar overtrædelse medfører en risiko for, at virksomheden misbruger registreringen eller den reelle ejer misbruger den pågældendes kontrollerende indflydelse.</w:t>
      </w:r>
    </w:p>
    <w:p w14:paraId="63DF2A8E" w14:textId="77777777" w:rsidR="00925264" w:rsidRPr="00796736" w:rsidRDefault="00925264" w:rsidP="00A802A5">
      <w:pPr>
        <w:spacing w:line="360" w:lineRule="auto"/>
        <w:rPr>
          <w:rFonts w:ascii="Times New Roman" w:hAnsi="Times New Roman" w:cs="Times New Roman"/>
          <w:sz w:val="24"/>
          <w:szCs w:val="24"/>
        </w:rPr>
      </w:pPr>
    </w:p>
    <w:p w14:paraId="012CE129" w14:textId="5849DA26"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00793249" w:rsidRPr="00796736">
        <w:rPr>
          <w:rFonts w:ascii="Times New Roman" w:hAnsi="Times New Roman" w:cs="Times New Roman"/>
          <w:sz w:val="24"/>
          <w:szCs w:val="24"/>
        </w:rPr>
        <w:t xml:space="preserve"> </w:t>
      </w:r>
      <w:r w:rsidR="00793249" w:rsidRPr="00796736">
        <w:rPr>
          <w:rFonts w:ascii="Times New Roman" w:hAnsi="Times New Roman" w:cs="Times New Roman"/>
          <w:i/>
          <w:iCs/>
          <w:sz w:val="24"/>
          <w:szCs w:val="24"/>
        </w:rPr>
        <w:fldChar w:fldCharType="begin"/>
      </w:r>
      <w:r w:rsidR="00793249" w:rsidRPr="00796736">
        <w:rPr>
          <w:rFonts w:ascii="Times New Roman" w:hAnsi="Times New Roman" w:cs="Times New Roman"/>
          <w:i/>
          <w:iCs/>
          <w:sz w:val="24"/>
          <w:szCs w:val="24"/>
        </w:rPr>
        <w:instrText xml:space="preserve"> REF _Ref232596960 \r \h  \* MERGEFORMAT </w:instrText>
      </w:r>
      <w:r w:rsidR="00793249" w:rsidRPr="00796736">
        <w:rPr>
          <w:rFonts w:ascii="Times New Roman" w:hAnsi="Times New Roman" w:cs="Times New Roman"/>
          <w:i/>
          <w:iCs/>
          <w:sz w:val="24"/>
          <w:szCs w:val="24"/>
        </w:rPr>
      </w:r>
      <w:r w:rsidR="00793249"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51</w:t>
      </w:r>
      <w:r w:rsidR="00793249"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w:t>
      </w:r>
      <w:r w:rsidR="00DD1045" w:rsidRPr="00796736">
        <w:rPr>
          <w:rFonts w:ascii="Times New Roman" w:hAnsi="Times New Roman" w:cs="Times New Roman"/>
          <w:i/>
          <w:iCs/>
          <w:sz w:val="24"/>
          <w:szCs w:val="24"/>
        </w:rPr>
        <w:t xml:space="preserve"> stk. </w:t>
      </w:r>
      <w:r w:rsidR="00925264" w:rsidRPr="00796736">
        <w:rPr>
          <w:rFonts w:ascii="Times New Roman" w:hAnsi="Times New Roman" w:cs="Times New Roman"/>
          <w:i/>
          <w:iCs/>
          <w:sz w:val="24"/>
          <w:szCs w:val="24"/>
        </w:rPr>
        <w:t>3</w:t>
      </w:r>
      <w:r w:rsidR="00DD1045"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w:t>
      </w:r>
      <w:r w:rsidR="00664508" w:rsidRPr="00796736">
        <w:rPr>
          <w:rFonts w:ascii="Times New Roman" w:hAnsi="Times New Roman" w:cs="Times New Roman"/>
          <w:sz w:val="24"/>
          <w:szCs w:val="24"/>
        </w:rPr>
        <w:t xml:space="preserve">at et medlem af øverste ledelse, herunder bestyrelsen eller direktionen, i en virksomhed omfattet af </w:t>
      </w:r>
      <w:r w:rsidR="00664508" w:rsidRPr="00796736">
        <w:rPr>
          <w:rFonts w:ascii="Times New Roman" w:hAnsi="Times New Roman" w:cs="Times New Roman"/>
          <w:sz w:val="24"/>
          <w:szCs w:val="24"/>
        </w:rPr>
        <w:fldChar w:fldCharType="begin"/>
      </w:r>
      <w:r w:rsidR="00664508" w:rsidRPr="00796736">
        <w:rPr>
          <w:rFonts w:ascii="Times New Roman" w:hAnsi="Times New Roman" w:cs="Times New Roman"/>
          <w:sz w:val="24"/>
          <w:szCs w:val="24"/>
        </w:rPr>
        <w:instrText xml:space="preserve"> REF _Ref232596860 \r \h  \* MERGEFORMAT </w:instrText>
      </w:r>
      <w:r w:rsidR="00664508" w:rsidRPr="00796736">
        <w:rPr>
          <w:rFonts w:ascii="Times New Roman" w:hAnsi="Times New Roman" w:cs="Times New Roman"/>
          <w:sz w:val="24"/>
          <w:szCs w:val="24"/>
        </w:rPr>
      </w:r>
      <w:r w:rsidR="0066450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664508" w:rsidRPr="00796736">
        <w:rPr>
          <w:rFonts w:ascii="Times New Roman" w:hAnsi="Times New Roman" w:cs="Times New Roman"/>
          <w:sz w:val="24"/>
          <w:szCs w:val="24"/>
        </w:rPr>
        <w:fldChar w:fldCharType="end"/>
      </w:r>
      <w:r w:rsidR="00664508" w:rsidRPr="00796736">
        <w:rPr>
          <w:rFonts w:ascii="Times New Roman" w:hAnsi="Times New Roman" w:cs="Times New Roman"/>
          <w:sz w:val="24"/>
          <w:szCs w:val="24"/>
        </w:rPr>
        <w:t>, stk. 2, eller, hvor virksomheden udøves som enkeltmandsvirksomhed, indehaveren, eller, hvor virksomheden drives som juridisk person uden øverste ledelse, den eller de ledelsesansvarlige, samt virksomhedens reelle ejere</w:t>
      </w:r>
      <w:r w:rsidR="00DD1045"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skal opfylde de oplistede betingelser. </w:t>
      </w:r>
    </w:p>
    <w:p w14:paraId="31C682F0" w14:textId="77777777" w:rsidR="004857E0" w:rsidRPr="00796736" w:rsidRDefault="004857E0" w:rsidP="00A802A5">
      <w:pPr>
        <w:spacing w:line="360" w:lineRule="auto"/>
        <w:rPr>
          <w:rFonts w:ascii="Times New Roman" w:hAnsi="Times New Roman" w:cs="Times New Roman"/>
          <w:sz w:val="24"/>
          <w:szCs w:val="24"/>
        </w:rPr>
      </w:pPr>
    </w:p>
    <w:p w14:paraId="279A0F00" w14:textId="52D11079" w:rsidR="004857E0" w:rsidRPr="00796736" w:rsidRDefault="004857E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I </w:t>
      </w:r>
      <w:r w:rsidR="002E5C4E"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defineres øverste ledelse i artikel 2, stk. 1, nr. 40.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5C3E41DC" w14:textId="3C7DD942" w:rsidR="004857E0" w:rsidRPr="00796736" w:rsidRDefault="0066450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4857E0" w:rsidRPr="00796736">
        <w:rPr>
          <w:rFonts w:ascii="Times New Roman" w:hAnsi="Times New Roman" w:cs="Times New Roman"/>
          <w:sz w:val="24"/>
          <w:szCs w:val="24"/>
        </w:rPr>
        <w:t>bestemmelse</w:t>
      </w:r>
      <w:r w:rsidRPr="00796736">
        <w:rPr>
          <w:rFonts w:ascii="Times New Roman" w:hAnsi="Times New Roman" w:cs="Times New Roman"/>
          <w:sz w:val="24"/>
          <w:szCs w:val="24"/>
        </w:rPr>
        <w:t xml:space="preserve"> medfører, at</w:t>
      </w:r>
      <w:r w:rsidR="004857E0" w:rsidRPr="00796736">
        <w:rPr>
          <w:rFonts w:ascii="Times New Roman" w:hAnsi="Times New Roman" w:cs="Times New Roman"/>
          <w:sz w:val="24"/>
          <w:szCs w:val="24"/>
        </w:rPr>
        <w:t xml:space="preserve"> medlemmer af bestyrelse og direktion, ledelsesansvarlige samt reelle ejere på tidspunktet for meddelelse af registrering eller på tidspunktet for indtræden i ledelsen</w:t>
      </w:r>
      <w:r w:rsidRPr="00796736">
        <w:rPr>
          <w:rFonts w:ascii="Times New Roman" w:hAnsi="Times New Roman" w:cs="Times New Roman"/>
          <w:sz w:val="24"/>
          <w:szCs w:val="24"/>
        </w:rPr>
        <w:t xml:space="preserve"> skal</w:t>
      </w:r>
      <w:r w:rsidR="004857E0" w:rsidRPr="00796736">
        <w:rPr>
          <w:rFonts w:ascii="Times New Roman" w:hAnsi="Times New Roman" w:cs="Times New Roman"/>
          <w:sz w:val="24"/>
          <w:szCs w:val="24"/>
        </w:rPr>
        <w:t xml:space="preserve"> opfylde visse krav til hæderlighed. Til opfyldelse af regelsættet skal de omfattede personer afgive en række oplysninger til Finanstilsynet. Oplysningerne indgår i Finanstilsynets bedømmelse af, om vedkommende er hæderlig i lovens forstand.</w:t>
      </w:r>
    </w:p>
    <w:p w14:paraId="5B7188B9" w14:textId="77777777" w:rsidR="004857E0" w:rsidRPr="00796736" w:rsidRDefault="004857E0" w:rsidP="00A802A5">
      <w:pPr>
        <w:spacing w:line="360" w:lineRule="auto"/>
        <w:rPr>
          <w:rFonts w:ascii="Times New Roman" w:hAnsi="Times New Roman" w:cs="Times New Roman"/>
          <w:sz w:val="24"/>
          <w:szCs w:val="24"/>
        </w:rPr>
      </w:pPr>
    </w:p>
    <w:p w14:paraId="2D9703AA" w14:textId="1CE6F862"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8B60D8" w:rsidRPr="00796736">
        <w:rPr>
          <w:rFonts w:ascii="Times New Roman" w:hAnsi="Times New Roman" w:cs="Times New Roman"/>
          <w:i/>
          <w:iCs/>
          <w:sz w:val="24"/>
          <w:szCs w:val="24"/>
        </w:rPr>
        <w:t>3</w:t>
      </w:r>
      <w:r w:rsidRPr="00796736">
        <w:rPr>
          <w:rFonts w:ascii="Times New Roman" w:hAnsi="Times New Roman" w:cs="Times New Roman"/>
          <w:i/>
          <w:iCs/>
          <w:sz w:val="24"/>
          <w:szCs w:val="24"/>
        </w:rPr>
        <w:t>, nr. 1</w:t>
      </w:r>
      <w:r w:rsidRPr="00796736">
        <w:rPr>
          <w:rFonts w:ascii="Times New Roman" w:hAnsi="Times New Roman" w:cs="Times New Roman"/>
          <w:sz w:val="24"/>
          <w:szCs w:val="24"/>
        </w:rPr>
        <w:t xml:space="preserve">, at et medlem af den øverste ledelse i en virksomhed, der er registreringspligtig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herunder hvor virksomheden drives som juridisk person uden øverste ledelse, den eller de ledelsesansvarlige, samt </w:t>
      </w:r>
      <w:r w:rsidR="00664508" w:rsidRPr="00796736">
        <w:rPr>
          <w:rFonts w:ascii="Times New Roman" w:hAnsi="Times New Roman" w:cs="Times New Roman"/>
          <w:sz w:val="24"/>
          <w:szCs w:val="24"/>
        </w:rPr>
        <w:t>virksomhedens reelle ejere</w:t>
      </w:r>
      <w:r w:rsidRPr="00796736">
        <w:rPr>
          <w:rFonts w:ascii="Times New Roman" w:hAnsi="Times New Roman" w:cs="Times New Roman"/>
          <w:sz w:val="24"/>
          <w:szCs w:val="24"/>
        </w:rPr>
        <w:t>, skal have et tilstrækkeligt godt omdømme og kunne udvise hæderlighed, integritet og tilstrækkelig uafhængighed ved varetagelsen af hvervet eller stillingen.</w:t>
      </w:r>
    </w:p>
    <w:p w14:paraId="15745E29" w14:textId="77777777" w:rsidR="004857E0" w:rsidRPr="00796736" w:rsidRDefault="004857E0" w:rsidP="00A802A5">
      <w:pPr>
        <w:spacing w:line="360" w:lineRule="auto"/>
        <w:rPr>
          <w:rFonts w:ascii="Times New Roman" w:hAnsi="Times New Roman" w:cs="Times New Roman"/>
          <w:sz w:val="24"/>
          <w:szCs w:val="24"/>
        </w:rPr>
      </w:pPr>
    </w:p>
    <w:p w14:paraId="2C4D16B9" w14:textId="63D3972C"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Kravene skal til enhver tid være opfyldt, hvilket betyder, at de skal være opfyldt fra det tidspunkt, hvor bestyrelsesmedlemmet, direktøren, den ledelsesansvarlige, medarbejderen eller den ansatte med tilstrækkeligt kendskab til virksomhedens risikoeksponering for hvidvask og finansiering af terrorisme og med tilstrækkelig anciennitet til at træffe beslutninger med indvirkning på risikoeksponeringen, eller reelle ejere tiltræder hvervet eller stillingen, og i hele den periode, hvor den pågældende person varetager hvervet eller stillingen. Når en person tiltræder som ledelsesmedlem, eller som medarbejder/ansat omfattet af bestemmelsen, påser Finanstilsynet, om personen har et tilstrækkeligt godt omdømme, og om personen vil kunne udvise hæderlighed, integritet og tilstrækkelig uafhængighed ved varetagelsen af hvervet eller stillingen.</w:t>
      </w:r>
    </w:p>
    <w:p w14:paraId="246D8A28" w14:textId="77777777" w:rsidR="004857E0" w:rsidRPr="00796736" w:rsidRDefault="004857E0" w:rsidP="00A802A5">
      <w:pPr>
        <w:spacing w:line="360" w:lineRule="auto"/>
        <w:rPr>
          <w:rFonts w:ascii="Times New Roman" w:hAnsi="Times New Roman" w:cs="Times New Roman"/>
          <w:sz w:val="24"/>
          <w:szCs w:val="24"/>
        </w:rPr>
      </w:pPr>
    </w:p>
    <w:p w14:paraId="1959D6EF" w14:textId="475B6F71" w:rsidR="004857E0" w:rsidRPr="00796736" w:rsidRDefault="00DD104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w:t>
      </w:r>
      <w:r w:rsidR="004857E0" w:rsidRPr="00796736">
        <w:rPr>
          <w:rFonts w:ascii="Times New Roman" w:hAnsi="Times New Roman" w:cs="Times New Roman"/>
          <w:sz w:val="24"/>
          <w:szCs w:val="24"/>
        </w:rPr>
        <w:t>, at de personer, der er en del af ledelsen i virksomheder, der er registreringspligtige</w:t>
      </w:r>
      <w:r w:rsidR="00664508" w:rsidRPr="00796736">
        <w:rPr>
          <w:rFonts w:ascii="Times New Roman" w:hAnsi="Times New Roman" w:cs="Times New Roman"/>
          <w:sz w:val="24"/>
          <w:szCs w:val="24"/>
        </w:rPr>
        <w:t xml:space="preserve"> efter </w:t>
      </w:r>
      <w:r w:rsidR="00664508" w:rsidRPr="00796736">
        <w:rPr>
          <w:rFonts w:ascii="Times New Roman" w:hAnsi="Times New Roman" w:cs="Times New Roman"/>
          <w:sz w:val="24"/>
          <w:szCs w:val="24"/>
        </w:rPr>
        <w:fldChar w:fldCharType="begin"/>
      </w:r>
      <w:r w:rsidR="00664508" w:rsidRPr="00796736">
        <w:rPr>
          <w:rFonts w:ascii="Times New Roman" w:hAnsi="Times New Roman" w:cs="Times New Roman"/>
          <w:sz w:val="24"/>
          <w:szCs w:val="24"/>
        </w:rPr>
        <w:instrText xml:space="preserve"> REF _Ref232596860 \r \h  \* MERGEFORMAT </w:instrText>
      </w:r>
      <w:r w:rsidR="00664508" w:rsidRPr="00796736">
        <w:rPr>
          <w:rFonts w:ascii="Times New Roman" w:hAnsi="Times New Roman" w:cs="Times New Roman"/>
          <w:sz w:val="24"/>
          <w:szCs w:val="24"/>
        </w:rPr>
      </w:r>
      <w:r w:rsidR="0066450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664508" w:rsidRPr="00796736">
        <w:rPr>
          <w:rFonts w:ascii="Times New Roman" w:hAnsi="Times New Roman" w:cs="Times New Roman"/>
          <w:sz w:val="24"/>
          <w:szCs w:val="24"/>
        </w:rPr>
        <w:fldChar w:fldCharType="end"/>
      </w:r>
      <w:r w:rsidR="00664508" w:rsidRPr="00796736">
        <w:rPr>
          <w:rFonts w:ascii="Times New Roman" w:hAnsi="Times New Roman" w:cs="Times New Roman"/>
          <w:sz w:val="24"/>
          <w:szCs w:val="24"/>
        </w:rPr>
        <w:t>, stk. 2</w:t>
      </w:r>
      <w:r w:rsidR="004857E0" w:rsidRPr="00796736">
        <w:rPr>
          <w:rFonts w:ascii="Times New Roman" w:hAnsi="Times New Roman" w:cs="Times New Roman"/>
          <w:sz w:val="24"/>
          <w:szCs w:val="24"/>
        </w:rPr>
        <w:t xml:space="preserve">, </w:t>
      </w:r>
      <w:r w:rsidRPr="00796736">
        <w:rPr>
          <w:rFonts w:ascii="Times New Roman" w:hAnsi="Times New Roman" w:cs="Times New Roman"/>
          <w:sz w:val="24"/>
          <w:szCs w:val="24"/>
        </w:rPr>
        <w:t>skal have</w:t>
      </w:r>
      <w:r w:rsidR="004857E0" w:rsidRPr="00796736">
        <w:rPr>
          <w:rFonts w:ascii="Times New Roman" w:hAnsi="Times New Roman" w:cs="Times New Roman"/>
          <w:sz w:val="24"/>
          <w:szCs w:val="24"/>
        </w:rPr>
        <w:t xml:space="preserve"> en høj standard, både hvad angår faglige og ledelsesmæssige kompetencer og i forhold til deres personlige adfærd. Det er derfor vigtigt, at ledelsesmedlemmer og de omfattede medarbejdere og ansatte generelt udviser en høj grad af hæderlighed, integritet og tilstrækkelig uafhængighed ved varetagelsen af hvervet eller stillingen. Kravet indebærer</w:t>
      </w:r>
      <w:r w:rsidRPr="00796736">
        <w:rPr>
          <w:rFonts w:ascii="Times New Roman" w:hAnsi="Times New Roman" w:cs="Times New Roman"/>
          <w:sz w:val="24"/>
          <w:szCs w:val="24"/>
        </w:rPr>
        <w:t xml:space="preserve"> samtidigt</w:t>
      </w:r>
      <w:r w:rsidR="004857E0" w:rsidRPr="00796736">
        <w:rPr>
          <w:rFonts w:ascii="Times New Roman" w:hAnsi="Times New Roman" w:cs="Times New Roman"/>
          <w:sz w:val="24"/>
          <w:szCs w:val="24"/>
        </w:rPr>
        <w:t>, at ledelsesmedlemmet eller medarbejderen/den ansatte skal udvise den fornødne uafhængighed i forhold til den konkrete stilling eller det konkrete hverv.</w:t>
      </w:r>
    </w:p>
    <w:p w14:paraId="26973D5B" w14:textId="77777777" w:rsidR="004857E0" w:rsidRPr="00796736" w:rsidRDefault="004857E0" w:rsidP="00A802A5">
      <w:pPr>
        <w:spacing w:line="360" w:lineRule="auto"/>
        <w:rPr>
          <w:rFonts w:ascii="Times New Roman" w:hAnsi="Times New Roman" w:cs="Times New Roman"/>
          <w:sz w:val="24"/>
          <w:szCs w:val="24"/>
        </w:rPr>
      </w:pPr>
    </w:p>
    <w:p w14:paraId="13199E2F"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bestyrelsesmedlemmer betyder det eksempelvis, at det enkelte bestyrelsesmedlem i tilstrækkelig grad skal kunne agere uafhængigt af den daglige ledelse og kunne udfordre og overvåge direktionens arbejde. For direktionsmedlemmer indebærer det, at det enkelte medlem løbende skal kunne overvåge, udfordre og føre tilsyn med ledende medarbejderes arbejde. Et ledelsesmedlem anses for at have et godt omdømme, hvis andet ikke er påvist, og hvis der ikke er nogen grund til at nære begrundet tvivl om vedkommendes gode omdømme.</w:t>
      </w:r>
    </w:p>
    <w:p w14:paraId="58D6278C" w14:textId="77777777" w:rsidR="004857E0" w:rsidRPr="00796736" w:rsidRDefault="004857E0" w:rsidP="00A802A5">
      <w:pPr>
        <w:spacing w:line="360" w:lineRule="auto"/>
        <w:rPr>
          <w:rFonts w:ascii="Times New Roman" w:hAnsi="Times New Roman" w:cs="Times New Roman"/>
          <w:sz w:val="24"/>
          <w:szCs w:val="24"/>
        </w:rPr>
      </w:pPr>
    </w:p>
    <w:p w14:paraId="2AB801B9"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lægger alle relevante oplysninger til grund for vurderingen af, om ledelsesmedlemmet har et godt omdømme. Ledelsesmedlemmet anses ikke for at have et godt omdømme, hvis vedkommendes personlige eller forretningsmæssige adfærd giver anledning til begrundet tvivl om evnen til at sikre en sund og sikker ledelse. I vurderingen tages der hensyn til alvoren af eventuelle overtrædelser, den tid der er gået siden overtrædelsen, personens opførsel siden en eventuel strafbar overtrædelse, og om der er tale om gentagelsestilfælde.</w:t>
      </w:r>
    </w:p>
    <w:p w14:paraId="7026E434" w14:textId="77777777" w:rsidR="004857E0" w:rsidRPr="00796736" w:rsidRDefault="004857E0" w:rsidP="00A802A5">
      <w:pPr>
        <w:spacing w:line="360" w:lineRule="auto"/>
        <w:rPr>
          <w:rFonts w:ascii="Times New Roman" w:hAnsi="Times New Roman" w:cs="Times New Roman"/>
          <w:sz w:val="24"/>
          <w:szCs w:val="24"/>
        </w:rPr>
      </w:pPr>
    </w:p>
    <w:p w14:paraId="1F0DA278"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vurderingen af, om et ledelsesmedlem lever op til kravene, skal der lægges vægt på hensynet til at opretholde tilliden til den finansielle sektor. Manglende tillid til enkelte ledelsesmedlemmer kan have en afsmittende effekt på hele den finansielle sektors omdømme og tilliden til branchen. Medlemmer af bestyrelsen og direktionen skal derfor have et tilstrækkeligt godt omdømme i samfundet. I forbindelse med afvejningen af dette tillidshensyn skal der lægges vægt på ledelsesmedlemmets forståelse for den finansielle sektors særlige samfundsmæssige ansvar, herunder forebyggelse af hvidvask og terrorfinansiering. Ved Finanstilsynets afvejning skal der lægges vægt på karakteren og omfanget af overtrædelser af straffeloven, den finansielle lovgivning eller anden relevant lovgivning, og om der var tale om gentagne overtrædelser.</w:t>
      </w:r>
    </w:p>
    <w:p w14:paraId="691E8792" w14:textId="77777777" w:rsidR="004857E0" w:rsidRPr="00796736" w:rsidRDefault="004857E0" w:rsidP="00A802A5">
      <w:pPr>
        <w:spacing w:line="360" w:lineRule="auto"/>
        <w:rPr>
          <w:rFonts w:ascii="Times New Roman" w:hAnsi="Times New Roman" w:cs="Times New Roman"/>
          <w:sz w:val="24"/>
          <w:szCs w:val="24"/>
        </w:rPr>
      </w:pPr>
    </w:p>
    <w:p w14:paraId="5343CBCC" w14:textId="389C5166"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8B60D8" w:rsidRPr="00796736">
        <w:rPr>
          <w:rFonts w:ascii="Times New Roman" w:hAnsi="Times New Roman" w:cs="Times New Roman"/>
          <w:i/>
          <w:iCs/>
          <w:sz w:val="24"/>
          <w:szCs w:val="24"/>
        </w:rPr>
        <w:t>3</w:t>
      </w:r>
      <w:r w:rsidRPr="00796736">
        <w:rPr>
          <w:rFonts w:ascii="Times New Roman" w:hAnsi="Times New Roman" w:cs="Times New Roman"/>
          <w:i/>
          <w:iCs/>
          <w:sz w:val="24"/>
          <w:szCs w:val="24"/>
        </w:rPr>
        <w:t>, nr. 2</w:t>
      </w:r>
      <w:r w:rsidRPr="00796736">
        <w:rPr>
          <w:rFonts w:ascii="Times New Roman" w:hAnsi="Times New Roman" w:cs="Times New Roman"/>
          <w:sz w:val="24"/>
          <w:szCs w:val="24"/>
        </w:rPr>
        <w:t xml:space="preserve">, at </w:t>
      </w:r>
      <w:r w:rsidR="00DD7F0D" w:rsidRPr="00796736">
        <w:rPr>
          <w:rFonts w:ascii="Times New Roman" w:hAnsi="Times New Roman" w:cs="Times New Roman"/>
          <w:sz w:val="24"/>
          <w:szCs w:val="24"/>
        </w:rPr>
        <w:t xml:space="preserve">et medlem af den øverste ledelse i en virksomhed, der er registreringspligtig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00DD7F0D" w:rsidRPr="00796736">
        <w:rPr>
          <w:rFonts w:ascii="Times New Roman" w:hAnsi="Times New Roman" w:cs="Times New Roman"/>
          <w:sz w:val="24"/>
          <w:szCs w:val="24"/>
        </w:rPr>
        <w:t xml:space="preserve">, 2, herunder hvor virksomheden drives som juridisk person uden øverste ledelse, den eller de ledelsesansvarlige, samt </w:t>
      </w:r>
      <w:r w:rsidR="0050344C" w:rsidRPr="00796736">
        <w:rPr>
          <w:rFonts w:ascii="Times New Roman" w:hAnsi="Times New Roman" w:cs="Times New Roman"/>
          <w:sz w:val="24"/>
          <w:szCs w:val="24"/>
        </w:rPr>
        <w:t>virksomhedens reelle ejere</w:t>
      </w:r>
      <w:r w:rsidR="00DD7F0D"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ikke må være pålagt strafansvar for overtrædelse af straffeloven, den finansielle lovgivning eller anden relevant lovgivning, hvis overtrædelsen indebærer risiko for, at vedkommende ikke kan varetage sit hverv eller sin stilling på betryggende måde. </w:t>
      </w:r>
    </w:p>
    <w:p w14:paraId="6AEE3031" w14:textId="77777777" w:rsidR="004857E0" w:rsidRPr="00796736" w:rsidRDefault="004857E0" w:rsidP="00A802A5">
      <w:pPr>
        <w:spacing w:line="360" w:lineRule="auto"/>
        <w:rPr>
          <w:rFonts w:ascii="Times New Roman" w:hAnsi="Times New Roman" w:cs="Times New Roman"/>
          <w:sz w:val="24"/>
          <w:szCs w:val="24"/>
        </w:rPr>
      </w:pPr>
    </w:p>
    <w:p w14:paraId="4EBBB4E5" w14:textId="54A3FB2A"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vurderingen af, om en strafbar overtrædelse skal føre til, at den pågældende ikke kan udnævnes eller skal udtræde af ledelsen, vil det indgå, om det udviste forhold begrunder en nærliggende fare for efterfølgende misbrug af hvervet eller stillingen, eller om den pågældende har handlet på en så retsstridig og uetisk måde, at der er grundlag for at antage, at den pågældende ikke vil varetage hvervet eller stillingen på betryggende vis. Herudover vil hensynet til at opretholde tilliden til den finansielle sektor indgå i vurderingen, herunder ledelsesmedlemmets forståelse for den finansielle sektors særlige samfundsmæssige ansvar i relation til forebyggelse af hvidvask og terrorfinansiering.</w:t>
      </w:r>
    </w:p>
    <w:p w14:paraId="1217A104" w14:textId="77777777" w:rsidR="004857E0" w:rsidRPr="00796736" w:rsidRDefault="004857E0" w:rsidP="00A802A5">
      <w:pPr>
        <w:spacing w:line="360" w:lineRule="auto"/>
        <w:rPr>
          <w:rFonts w:ascii="Times New Roman" w:hAnsi="Times New Roman" w:cs="Times New Roman"/>
          <w:sz w:val="24"/>
          <w:szCs w:val="24"/>
        </w:rPr>
      </w:pPr>
    </w:p>
    <w:p w14:paraId="2F88D88B"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ikke enhver overtrædelse af straffe- og særlovgivningen, der vil føre til en reaktion fra Finanstilsynets side. Efter Finanstilsynets praksis har bestyrelsesmedlemmer og direktører pligt til at indberette, hvis de er dømt for overtrædelse af straffelovens regler i kapitel 28 og 29 om berigelsesforbrydelser og andre strafbare formuekrænkelser eller overtrædelse af markedsmisbrugsforordningen. Også andre overtrædelser af lovgivning af relevans for den finansielle sektor kan være omfattet af oplysningspligten. Det kan eksempelvis være overtrædelser af strafbelagte bestemmelser i hvidvask-, skatte- og selskabslovgivningen. Finanstilsynet foretager en konkret vurdering af, om overtrædelsen skal føre til, at personen ikke anses for at leve op til kravet.</w:t>
      </w:r>
    </w:p>
    <w:p w14:paraId="2FE807EA" w14:textId="77777777" w:rsidR="004857E0" w:rsidRPr="00796736" w:rsidRDefault="004857E0" w:rsidP="00A802A5">
      <w:pPr>
        <w:spacing w:line="360" w:lineRule="auto"/>
        <w:rPr>
          <w:rFonts w:ascii="Times New Roman" w:hAnsi="Times New Roman" w:cs="Times New Roman"/>
          <w:sz w:val="24"/>
          <w:szCs w:val="24"/>
        </w:rPr>
      </w:pPr>
    </w:p>
    <w:p w14:paraId="7384776B" w14:textId="709679AD"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 det strafbare forhold dømt i udlandet, vil dette kunne anses for en overtrædelse af anden relevant lovgivning, som vil kunne begrunde Finanstilsynets indgriben. Det strafbare forhold skal være fastslået ved endelig dom eller ved, at </w:t>
      </w:r>
      <w:r w:rsidR="00DD7F0D" w:rsidRPr="00796736">
        <w:rPr>
          <w:rFonts w:ascii="Times New Roman" w:hAnsi="Times New Roman" w:cs="Times New Roman"/>
          <w:sz w:val="24"/>
          <w:szCs w:val="24"/>
        </w:rPr>
        <w:t>personen</w:t>
      </w:r>
      <w:r w:rsidR="00F07E34" w:rsidRPr="00796736">
        <w:rPr>
          <w:rFonts w:ascii="Times New Roman" w:hAnsi="Times New Roman" w:cs="Times New Roman"/>
          <w:sz w:val="24"/>
          <w:szCs w:val="24"/>
        </w:rPr>
        <w:t xml:space="preserve"> eller indehavere af kvalificerede ejerandele</w:t>
      </w:r>
      <w:r w:rsidRPr="00796736">
        <w:rPr>
          <w:rFonts w:ascii="Times New Roman" w:hAnsi="Times New Roman" w:cs="Times New Roman"/>
          <w:sz w:val="24"/>
          <w:szCs w:val="24"/>
        </w:rPr>
        <w:t xml:space="preserve"> har vedtaget et bødeforlæg, jf. retsplejelovens § 832.</w:t>
      </w:r>
    </w:p>
    <w:p w14:paraId="3BE634CA" w14:textId="77777777" w:rsidR="004857E0" w:rsidRPr="00796736" w:rsidRDefault="004857E0" w:rsidP="00A802A5">
      <w:pPr>
        <w:spacing w:line="360" w:lineRule="auto"/>
        <w:rPr>
          <w:rFonts w:ascii="Times New Roman" w:hAnsi="Times New Roman" w:cs="Times New Roman"/>
          <w:sz w:val="24"/>
          <w:szCs w:val="24"/>
        </w:rPr>
      </w:pPr>
    </w:p>
    <w:p w14:paraId="0983F909" w14:textId="421A24AA"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vedtaget bødeforelæg har samme retsvirkning som en endelig dom, ligesom vedtagelsen har samme gentagelsesvirkning som en dom, jf. retsplejeloven § 832, stk. 4. Dette gælder ligeledes bødeforlæg udstedt af Finanstilsynet i henhold til hvidvasklovens </w:t>
      </w:r>
      <w:r w:rsidR="007E3D76">
        <w:rPr>
          <w:rFonts w:ascii="Times New Roman" w:hAnsi="Times New Roman" w:cs="Times New Roman"/>
          <w:sz w:val="24"/>
          <w:szCs w:val="24"/>
        </w:rPr>
        <w:fldChar w:fldCharType="begin"/>
      </w:r>
      <w:r w:rsidR="007E3D76">
        <w:rPr>
          <w:rFonts w:ascii="Times New Roman" w:hAnsi="Times New Roman" w:cs="Times New Roman"/>
          <w:sz w:val="24"/>
          <w:szCs w:val="24"/>
        </w:rPr>
        <w:instrText xml:space="preserve"> REF _Ref244689890 \r \h </w:instrText>
      </w:r>
      <w:r w:rsidR="007E3D76">
        <w:rPr>
          <w:rFonts w:ascii="Times New Roman" w:hAnsi="Times New Roman" w:cs="Times New Roman"/>
          <w:sz w:val="24"/>
          <w:szCs w:val="24"/>
        </w:rPr>
      </w:r>
      <w:r w:rsidR="007E3D76">
        <w:rPr>
          <w:rFonts w:ascii="Times New Roman" w:hAnsi="Times New Roman" w:cs="Times New Roman"/>
          <w:sz w:val="24"/>
          <w:szCs w:val="24"/>
        </w:rPr>
        <w:fldChar w:fldCharType="separate"/>
      </w:r>
      <w:r w:rsidR="008F29E5">
        <w:rPr>
          <w:rFonts w:ascii="Times New Roman" w:hAnsi="Times New Roman" w:cs="Times New Roman"/>
          <w:sz w:val="24"/>
          <w:szCs w:val="24"/>
        </w:rPr>
        <w:t>§ 140</w:t>
      </w:r>
      <w:r w:rsidR="007E3D7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4. </w:t>
      </w:r>
    </w:p>
    <w:p w14:paraId="26F584F8" w14:textId="77777777" w:rsidR="004857E0" w:rsidRPr="00796736" w:rsidRDefault="004857E0" w:rsidP="00A802A5">
      <w:pPr>
        <w:spacing w:line="360" w:lineRule="auto"/>
        <w:rPr>
          <w:rFonts w:ascii="Times New Roman" w:hAnsi="Times New Roman" w:cs="Times New Roman"/>
          <w:sz w:val="24"/>
          <w:szCs w:val="24"/>
        </w:rPr>
      </w:pPr>
    </w:p>
    <w:p w14:paraId="33FAE880" w14:textId="7F3AC035"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8B60D8" w:rsidRPr="00796736">
        <w:rPr>
          <w:rFonts w:ascii="Times New Roman" w:hAnsi="Times New Roman" w:cs="Times New Roman"/>
          <w:i/>
          <w:iCs/>
          <w:sz w:val="24"/>
          <w:szCs w:val="24"/>
        </w:rPr>
        <w:t>3</w:t>
      </w:r>
      <w:r w:rsidRPr="00796736">
        <w:rPr>
          <w:rFonts w:ascii="Times New Roman" w:hAnsi="Times New Roman" w:cs="Times New Roman"/>
          <w:i/>
          <w:iCs/>
          <w:sz w:val="24"/>
          <w:szCs w:val="24"/>
        </w:rPr>
        <w:t>, nr. 3,</w:t>
      </w:r>
      <w:r w:rsidRPr="00796736">
        <w:rPr>
          <w:rFonts w:ascii="Times New Roman" w:hAnsi="Times New Roman" w:cs="Times New Roman"/>
          <w:sz w:val="24"/>
          <w:szCs w:val="24"/>
        </w:rPr>
        <w:t xml:space="preserve"> at </w:t>
      </w:r>
      <w:r w:rsidR="00DD7F0D" w:rsidRPr="00796736">
        <w:rPr>
          <w:rFonts w:ascii="Times New Roman" w:hAnsi="Times New Roman" w:cs="Times New Roman"/>
          <w:sz w:val="24"/>
          <w:szCs w:val="24"/>
        </w:rPr>
        <w:t xml:space="preserve">et medlem af den øverste ledelse i en virksomhed, der er registreringspligtig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00793249" w:rsidRPr="00796736">
        <w:rPr>
          <w:rFonts w:ascii="Times New Roman" w:hAnsi="Times New Roman" w:cs="Times New Roman"/>
          <w:sz w:val="24"/>
          <w:szCs w:val="24"/>
        </w:rPr>
        <w:t xml:space="preserve">, </w:t>
      </w:r>
      <w:r w:rsidR="00DD7F0D" w:rsidRPr="00796736">
        <w:rPr>
          <w:rFonts w:ascii="Times New Roman" w:hAnsi="Times New Roman" w:cs="Times New Roman"/>
          <w:sz w:val="24"/>
          <w:szCs w:val="24"/>
        </w:rPr>
        <w:t xml:space="preserve">stk. 2, herunder hvor virksomheden drives som juridisk person uden øverste ledelse, den eller de ledelsesansvarlige, samt </w:t>
      </w:r>
      <w:r w:rsidR="0050344C" w:rsidRPr="00796736">
        <w:rPr>
          <w:rFonts w:ascii="Times New Roman" w:hAnsi="Times New Roman" w:cs="Times New Roman"/>
          <w:sz w:val="24"/>
          <w:szCs w:val="24"/>
        </w:rPr>
        <w:t>virksomhedens reelle ejere</w:t>
      </w:r>
      <w:r w:rsidR="00DD7F0D"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ikke må have indgivet begæring om eller være under rekonstruktionsbehandling, konkurs eller gældssanering. </w:t>
      </w:r>
    </w:p>
    <w:p w14:paraId="3BB63823" w14:textId="77777777" w:rsidR="004857E0" w:rsidRPr="00796736" w:rsidRDefault="004857E0" w:rsidP="00A802A5">
      <w:pPr>
        <w:spacing w:line="360" w:lineRule="auto"/>
        <w:rPr>
          <w:rFonts w:ascii="Times New Roman" w:hAnsi="Times New Roman" w:cs="Times New Roman"/>
          <w:sz w:val="24"/>
          <w:szCs w:val="24"/>
        </w:rPr>
      </w:pPr>
    </w:p>
    <w:p w14:paraId="5894750C" w14:textId="114CB3AB" w:rsidR="004857E0" w:rsidRPr="00796736" w:rsidRDefault="00DD7F0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e</w:t>
      </w:r>
      <w:r w:rsidR="004857E0" w:rsidRPr="00796736">
        <w:rPr>
          <w:rFonts w:ascii="Times New Roman" w:hAnsi="Times New Roman" w:cs="Times New Roman"/>
          <w:sz w:val="24"/>
          <w:szCs w:val="24"/>
        </w:rPr>
        <w:t>t ledelsesmedlem</w:t>
      </w:r>
      <w:r w:rsidRPr="00796736">
        <w:rPr>
          <w:rFonts w:ascii="Times New Roman" w:hAnsi="Times New Roman" w:cs="Times New Roman"/>
          <w:sz w:val="24"/>
          <w:szCs w:val="24"/>
        </w:rPr>
        <w:t xml:space="preserve"> eller </w:t>
      </w:r>
      <w:r w:rsidR="0050344C" w:rsidRPr="00796736">
        <w:rPr>
          <w:rFonts w:ascii="Times New Roman" w:hAnsi="Times New Roman" w:cs="Times New Roman"/>
          <w:sz w:val="24"/>
          <w:szCs w:val="24"/>
        </w:rPr>
        <w:t>reel ejer</w:t>
      </w:r>
      <w:r w:rsidR="004857E0" w:rsidRPr="00796736">
        <w:rPr>
          <w:rFonts w:ascii="Times New Roman" w:hAnsi="Times New Roman" w:cs="Times New Roman"/>
          <w:sz w:val="24"/>
          <w:szCs w:val="24"/>
        </w:rPr>
        <w:t xml:space="preserve"> kan således ikke varetage hvervet eller stillingen, hvis den pågældende har indgivet begæring om rekonstruktionsbehandling, konkurs eller gældssanering eller er under en sådan behandling. Bestemmelsen indebærer, at Finanstilsynet kan gribe ind, uanset på hvilket stadie i rekonstruktionsbehandlingen eller de respektive insolvensbehandlinger vedkommende befinder sig.</w:t>
      </w:r>
    </w:p>
    <w:p w14:paraId="525B417F" w14:textId="77777777" w:rsidR="004857E0" w:rsidRPr="00796736" w:rsidRDefault="004857E0" w:rsidP="00A802A5">
      <w:pPr>
        <w:spacing w:line="360" w:lineRule="auto"/>
        <w:rPr>
          <w:rFonts w:ascii="Times New Roman" w:hAnsi="Times New Roman" w:cs="Times New Roman"/>
          <w:sz w:val="24"/>
          <w:szCs w:val="24"/>
        </w:rPr>
      </w:pPr>
    </w:p>
    <w:p w14:paraId="11EC93CF" w14:textId="0012CF00"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8B60D8" w:rsidRPr="00796736">
        <w:rPr>
          <w:rFonts w:ascii="Times New Roman" w:hAnsi="Times New Roman" w:cs="Times New Roman"/>
          <w:i/>
          <w:iCs/>
          <w:sz w:val="24"/>
          <w:szCs w:val="24"/>
        </w:rPr>
        <w:t>3</w:t>
      </w:r>
      <w:r w:rsidRPr="00796736">
        <w:rPr>
          <w:rFonts w:ascii="Times New Roman" w:hAnsi="Times New Roman" w:cs="Times New Roman"/>
          <w:i/>
          <w:iCs/>
          <w:sz w:val="24"/>
          <w:szCs w:val="24"/>
        </w:rPr>
        <w:t>, nr. 4</w:t>
      </w:r>
      <w:r w:rsidRPr="00796736">
        <w:rPr>
          <w:rFonts w:ascii="Times New Roman" w:hAnsi="Times New Roman" w:cs="Times New Roman"/>
          <w:sz w:val="24"/>
          <w:szCs w:val="24"/>
        </w:rPr>
        <w:t xml:space="preserve">, at </w:t>
      </w:r>
      <w:r w:rsidR="00DD7F0D" w:rsidRPr="00796736">
        <w:rPr>
          <w:rFonts w:ascii="Times New Roman" w:hAnsi="Times New Roman" w:cs="Times New Roman"/>
          <w:sz w:val="24"/>
          <w:szCs w:val="24"/>
        </w:rPr>
        <w:t xml:space="preserve">et medlem af den øverste ledelse i en virksomhed, der er registreringspligtig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00DD7F0D" w:rsidRPr="00796736">
        <w:rPr>
          <w:rFonts w:ascii="Times New Roman" w:hAnsi="Times New Roman" w:cs="Times New Roman"/>
          <w:sz w:val="24"/>
          <w:szCs w:val="24"/>
        </w:rPr>
        <w:t xml:space="preserve">, stk. 2, herunder hvor virksomheden drives som juridisk person uden øverste ledelse, den eller de ledelsesansvarlige, samt </w:t>
      </w:r>
      <w:r w:rsidR="0050344C" w:rsidRPr="00796736">
        <w:rPr>
          <w:rFonts w:ascii="Times New Roman" w:hAnsi="Times New Roman" w:cs="Times New Roman"/>
          <w:sz w:val="24"/>
          <w:szCs w:val="24"/>
        </w:rPr>
        <w:t>virksomhedens reelle ejere</w:t>
      </w:r>
      <w:r w:rsidR="00DD7F0D"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ikke må have udvist en sådan adfærd, at der er grund til at antage, at vedkommende ikke vil varetage hvervet eller stillingen på forsvarlig måde. </w:t>
      </w:r>
    </w:p>
    <w:p w14:paraId="3BEF2A8A" w14:textId="77777777" w:rsidR="004857E0" w:rsidRPr="00796736" w:rsidRDefault="004857E0" w:rsidP="00A802A5">
      <w:pPr>
        <w:spacing w:line="360" w:lineRule="auto"/>
        <w:rPr>
          <w:rFonts w:ascii="Times New Roman" w:hAnsi="Times New Roman" w:cs="Times New Roman"/>
          <w:sz w:val="24"/>
          <w:szCs w:val="24"/>
        </w:rPr>
      </w:pPr>
    </w:p>
    <w:p w14:paraId="613FCEC4" w14:textId="05313545"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vurderingen heraf vil der blive lagt vægt på hensynet til at opretholde tilliden til den finansielle sektor, herunder ledelsesmedlemmets adfærd i forhold til efterlevelse af regler på bl.a. hvidvaskområdet.</w:t>
      </w:r>
    </w:p>
    <w:p w14:paraId="67EC1EDA" w14:textId="77777777" w:rsidR="004857E0" w:rsidRPr="00796736" w:rsidRDefault="004857E0" w:rsidP="00A802A5">
      <w:pPr>
        <w:spacing w:line="360" w:lineRule="auto"/>
        <w:rPr>
          <w:rFonts w:ascii="Times New Roman" w:hAnsi="Times New Roman" w:cs="Times New Roman"/>
          <w:sz w:val="24"/>
          <w:szCs w:val="24"/>
        </w:rPr>
      </w:pPr>
    </w:p>
    <w:p w14:paraId="68686F61"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foreslås bl.a. anvendt i den situation, hvor ledelsesmedlemmets private økonomi er i en sådan uorden, at selve det forhold må anses for særdeles belastende for varetagelsen af den overordnede ledelse. Som eksempler på økonomisk uorden kan nævnes, at vedkommende har restancer, er indberettet som dårlig betaler eller lignende. Endvidere kan viden om, at den pågældende i gentagne tilfælde har været en del af ledelsen i virksomheder, der er gået konkurs, begrunde, at Finanstilsynet vurderer, at en person ikke opfylder kravet. Der skal dog foretages en individuel vurdering, hvor Finanstilsynet bl.a. kan lægge vægt på, hvilken rolle den pågældende person har spillet i ledelsen af den eller de virksomheder, der er gået konkurs.</w:t>
      </w:r>
    </w:p>
    <w:p w14:paraId="0985C272" w14:textId="77777777" w:rsidR="004857E0" w:rsidRPr="00796736" w:rsidRDefault="004857E0" w:rsidP="00A802A5">
      <w:pPr>
        <w:spacing w:line="360" w:lineRule="auto"/>
        <w:rPr>
          <w:rFonts w:ascii="Times New Roman" w:hAnsi="Times New Roman" w:cs="Times New Roman"/>
          <w:sz w:val="24"/>
          <w:szCs w:val="24"/>
        </w:rPr>
      </w:pPr>
    </w:p>
    <w:p w14:paraId="6B813999"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vil således være personer, f.eks. advokater og andre professionelle bestyrelsesmedlemmer, der ikke har været med til at drive virksomheden, men som alene er blevet indsat i en konkurstruet virksomheds ledelse med det formål at lukke virksomheden på en så hensigtsmæssig måde som muligt. I sådanne tilfælde vil det ikke komme en person til skade, at vedkommende har deltaget i ledelsen af en eller flere virksomheder, der er gået konkurs. Eksempler på tidligere udvist uforsvarlig adfærd kan være situationer, hvor det er åbenbart, at ledelsesmæssige svigt, manglende overholdelse af påbud fra en offentlig myndighed eller grovere misbrugssituationer har været årsag til problemer i de virksomheder, som den pågældende tidligere har deltaget i ledelsen af.</w:t>
      </w:r>
    </w:p>
    <w:p w14:paraId="578B8689" w14:textId="77777777" w:rsidR="004857E0" w:rsidRPr="00796736" w:rsidRDefault="004857E0" w:rsidP="00A802A5">
      <w:pPr>
        <w:spacing w:line="360" w:lineRule="auto"/>
        <w:rPr>
          <w:rFonts w:ascii="Times New Roman" w:hAnsi="Times New Roman" w:cs="Times New Roman"/>
          <w:sz w:val="24"/>
          <w:szCs w:val="24"/>
        </w:rPr>
      </w:pPr>
    </w:p>
    <w:p w14:paraId="1EB51B99"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Uforsvarlig adfærd kan tillige være et ledelsesmedlems meget mangelfulde styring af virksomheden generelt, ledelsesmedlemmets manglende forankring og prioritering af efterlevelse af Finanstilsynets påbud, manglende evne til at rette op på disse forhold eller gentagne overtrædelser af regler om inhabilitet eller passivitet. Også medvirken til beslutninger truffet af den samlede bestyrelse, som f.eks. godkendelse af produkter i strid med lovens regler eller manglende kompetencer og forståelse for den finansielle lovgivning, vil efter Finanstilsynets praksis efter en konkret vurdering kunne føre til, at et ledelsesmedlem ikke anses for at leve op til kravet.</w:t>
      </w:r>
    </w:p>
    <w:p w14:paraId="24F090A7" w14:textId="77777777" w:rsidR="004857E0" w:rsidRPr="00796736" w:rsidRDefault="004857E0" w:rsidP="00A802A5">
      <w:pPr>
        <w:spacing w:line="360" w:lineRule="auto"/>
        <w:rPr>
          <w:rFonts w:ascii="Times New Roman" w:hAnsi="Times New Roman" w:cs="Times New Roman"/>
          <w:sz w:val="24"/>
          <w:szCs w:val="24"/>
        </w:rPr>
      </w:pPr>
    </w:p>
    <w:p w14:paraId="3BEA28DD" w14:textId="2BD1CC54"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skal endvidere løbende vurdere, om ledelsen af virksomhed</w:t>
      </w:r>
      <w:r w:rsidR="008B60D8" w:rsidRPr="00796736">
        <w:rPr>
          <w:rFonts w:ascii="Times New Roman" w:hAnsi="Times New Roman" w:cs="Times New Roman"/>
          <w:sz w:val="24"/>
          <w:szCs w:val="24"/>
        </w:rPr>
        <w:t>en</w:t>
      </w:r>
      <w:r w:rsidRPr="00796736">
        <w:rPr>
          <w:rFonts w:ascii="Times New Roman" w:hAnsi="Times New Roman" w:cs="Times New Roman"/>
          <w:sz w:val="24"/>
          <w:szCs w:val="24"/>
        </w:rPr>
        <w:t xml:space="preserve"> sker på betryggende vis og gribe ind, hvis bestyrelsen eller direktionen har handlet til skade for virksomheden, personen eller holdingselskabet. Det kan eksempelvis være tilfældet, hvis ledelsen ikke har sikret en ordentlig styring, har undladt at efterleve krav om god administrativ praksis og regnskabspraksis, eller har undladt at iværksætte fyldestgørende kontrolprocedurer. Hertil kommer andre tilfælde, hvor forsømmelser, dumdristighed eller passivitet har skadet virksomheden, personen eller holdingselskabet, eller der er risiko for, at dette vil ske.</w:t>
      </w:r>
    </w:p>
    <w:p w14:paraId="212E8A18" w14:textId="77777777" w:rsidR="004857E0" w:rsidRPr="00796736" w:rsidRDefault="004857E0" w:rsidP="00A802A5">
      <w:pPr>
        <w:spacing w:line="360" w:lineRule="auto"/>
        <w:rPr>
          <w:rFonts w:ascii="Times New Roman" w:hAnsi="Times New Roman" w:cs="Times New Roman"/>
          <w:sz w:val="24"/>
          <w:szCs w:val="24"/>
        </w:rPr>
      </w:pPr>
    </w:p>
    <w:p w14:paraId="11746C1A" w14:textId="3761C6D9"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8B60D8" w:rsidRPr="00796736">
        <w:rPr>
          <w:rFonts w:ascii="Times New Roman" w:eastAsia="Times New Roman" w:hAnsi="Times New Roman" w:cs="Times New Roman"/>
          <w:i/>
          <w:iCs/>
          <w:sz w:val="24"/>
          <w:szCs w:val="24"/>
          <w:lang w:eastAsia="da-DK"/>
        </w:rPr>
        <w:t>4</w:t>
      </w:r>
      <w:r w:rsidRPr="00796736">
        <w:rPr>
          <w:rFonts w:ascii="Times New Roman" w:eastAsia="Times New Roman" w:hAnsi="Times New Roman" w:cs="Times New Roman"/>
          <w:sz w:val="24"/>
          <w:szCs w:val="24"/>
          <w:lang w:eastAsia="da-DK"/>
        </w:rPr>
        <w:t xml:space="preserve">, at et medlem af bestyrelsen eller direktionen i et finansielt holdingselskab med blandet aktivitet omfattet af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xml:space="preserve">, stk. </w:t>
      </w:r>
      <w:r w:rsidR="008B60D8" w:rsidRPr="00796736">
        <w:rPr>
          <w:rFonts w:ascii="Times New Roman" w:eastAsia="Times New Roman" w:hAnsi="Times New Roman" w:cs="Times New Roman"/>
          <w:sz w:val="24"/>
          <w:szCs w:val="24"/>
          <w:lang w:eastAsia="da-DK"/>
        </w:rPr>
        <w:t>2</w:t>
      </w:r>
      <w:r w:rsidRPr="00796736">
        <w:rPr>
          <w:rFonts w:ascii="Times New Roman" w:eastAsia="Times New Roman" w:hAnsi="Times New Roman" w:cs="Times New Roman"/>
          <w:sz w:val="24"/>
          <w:szCs w:val="24"/>
          <w:lang w:eastAsia="da-DK"/>
        </w:rPr>
        <w:t>, eller, hvor selskabet drives uden bestyrelse eller direktion, den eller de ledelsesansvarlige</w:t>
      </w:r>
      <w:r w:rsidR="008B61C7" w:rsidRPr="00796736">
        <w:rPr>
          <w:rFonts w:ascii="Times New Roman" w:hAnsi="Times New Roman" w:cs="Times New Roman"/>
          <w:sz w:val="24"/>
          <w:szCs w:val="24"/>
        </w:rPr>
        <w:t>,</w:t>
      </w:r>
      <w:r w:rsidRPr="00796736">
        <w:rPr>
          <w:rFonts w:ascii="Times New Roman" w:eastAsia="Times New Roman" w:hAnsi="Times New Roman" w:cs="Times New Roman"/>
          <w:sz w:val="24"/>
          <w:szCs w:val="24"/>
          <w:lang w:eastAsia="da-DK"/>
        </w:rPr>
        <w:t xml:space="preserve"> skal have tilstrækkelig viden, faglig kompetence og erfaring til at kunne varetage hvervet eller stillingen.</w:t>
      </w:r>
    </w:p>
    <w:p w14:paraId="3A63C975"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21346732" w14:textId="2B9C849F"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Kravet om tilstrækkelig viden, faglig kompetence og erfaring gælder til enhver tid. Det indebærer, at kravene skal være opfyldt fra det tidspunkt, hvor den pågældende tiltræder hvervet eller stillingen, og i hele den periode, hvor vedkommende varetager funktionen.</w:t>
      </w:r>
    </w:p>
    <w:p w14:paraId="7267ACE6"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0E60D531" w14:textId="6AF94F73"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Når en person tiltræder et hverv som bestyrelsesmedlem eller en stilling som direktør i et finansielt holdingselskab med blandet aktivitet, påser Finanstilsynet, at personen har den nødvendige viden, faglige kompetence og erfaring til at kunne varetage hvervet eller stillingen på betryggende vis. Der opstilles ikke faste, generelle kriterier for, hvilke teoretiske eller praktiske kvalifikationer der kræves, idet vurderingen beror på en konkret og individuel vurdering af den enkelte persons baggrund og virksomhedens karakter.</w:t>
      </w:r>
    </w:p>
    <w:p w14:paraId="33DF5FFD"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1B7246AD" w14:textId="3D163405"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I vurderingen kan bl.a. indgå, om personen har en relevant uddannelse, og om vedkommende har ledelseserfaring. Kravene kan variere afhængigt af, om der er tale om en direktørpost</w:t>
      </w:r>
      <w:r w:rsidR="008B60D8" w:rsidRPr="00796736">
        <w:rPr>
          <w:rFonts w:ascii="Times New Roman" w:eastAsia="Times New Roman" w:hAnsi="Times New Roman" w:cs="Times New Roman"/>
          <w:sz w:val="24"/>
          <w:szCs w:val="24"/>
          <w:lang w:eastAsia="da-DK"/>
        </w:rPr>
        <w:t xml:space="preserve"> eller</w:t>
      </w:r>
      <w:r w:rsidRPr="00796736">
        <w:rPr>
          <w:rFonts w:ascii="Times New Roman" w:eastAsia="Times New Roman" w:hAnsi="Times New Roman" w:cs="Times New Roman"/>
          <w:sz w:val="24"/>
          <w:szCs w:val="24"/>
          <w:lang w:eastAsia="da-DK"/>
        </w:rPr>
        <w:t xml:space="preserve"> et bestyrelseshverv. Kravene afhænger desuden af virksomhedens størrelse og kompleksitet. For eksempel vil der i praksis blive stillet større krav til ledelsen i et stort og komplekst holdingselskab end i et mindre selskab med begrænset aktivitet.</w:t>
      </w:r>
    </w:p>
    <w:p w14:paraId="0A0E258E"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5BC36FBB"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er ikke et ubetinget krav, at et bestyrelsesmedlem, direktør, medarbejder eller ansat med de nævnte kompetencer har særlig indsigt i forhold, der er specifikke for holdingselskaber med blandet aktivitet. En særlig indsigt i en anden branche, som er relevant for selskabets virksomhed, kan i visse tilfælde være tilstrækkelig. Vurderingen foretages for det enkelte bestyrelsesmedlem, direktør, medarbejder eller ansat, og de øvrige kompetencer i bestyrelsen eller direktionen inddrages ikke i vurderingen af, om den pågældende opfylder kravene.</w:t>
      </w:r>
    </w:p>
    <w:p w14:paraId="73A24D25"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34767A14"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Egnetheds- og kompetencevurderingen er knyttet til den konkrete stilling eller det konkrete hverv i det pågældende selskab. Det betyder, at en person kan opfylde kravene til at varetage ledelsen i et mindre holdingselskab, men ikke nødvendigvis i et større og mere komplekst selskab. Vurderingen kan derfor ikke uden videre overføres fra én virksomhed til en anden.</w:t>
      </w:r>
    </w:p>
    <w:p w14:paraId="40363200"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5AEFE903" w14:textId="1AC7A5E5" w:rsidR="002177B8"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8B60D8" w:rsidRPr="00796736">
        <w:rPr>
          <w:rFonts w:ascii="Times New Roman" w:eastAsia="Times New Roman" w:hAnsi="Times New Roman" w:cs="Times New Roman"/>
          <w:i/>
          <w:iCs/>
          <w:sz w:val="24"/>
          <w:szCs w:val="24"/>
          <w:lang w:eastAsia="da-DK"/>
        </w:rPr>
        <w:t>5</w:t>
      </w:r>
      <w:r w:rsidRPr="00796736">
        <w:rPr>
          <w:rFonts w:ascii="Times New Roman" w:eastAsia="Times New Roman" w:hAnsi="Times New Roman" w:cs="Times New Roman"/>
          <w:i/>
          <w:iCs/>
          <w:sz w:val="24"/>
          <w:szCs w:val="24"/>
          <w:lang w:eastAsia="da-DK"/>
        </w:rPr>
        <w:t>,</w:t>
      </w:r>
      <w:r w:rsidRPr="00796736">
        <w:rPr>
          <w:rFonts w:ascii="Times New Roman" w:eastAsia="Times New Roman" w:hAnsi="Times New Roman" w:cs="Times New Roman"/>
          <w:sz w:val="24"/>
          <w:szCs w:val="24"/>
          <w:lang w:eastAsia="da-DK"/>
        </w:rPr>
        <w:t xml:space="preserve"> </w:t>
      </w:r>
      <w:r w:rsidR="002177B8" w:rsidRPr="00796736">
        <w:rPr>
          <w:rFonts w:ascii="Times New Roman" w:eastAsia="Times New Roman" w:hAnsi="Times New Roman" w:cs="Times New Roman"/>
          <w:sz w:val="24"/>
          <w:szCs w:val="24"/>
          <w:lang w:eastAsia="da-DK"/>
        </w:rPr>
        <w:t xml:space="preserve">at personer, der har handlet i fællesskab med en person, der er pålagt strafansvar for overtrædelse af straffeloven, den finansielle lovgivning eller anden relevant lovgivning, </w:t>
      </w:r>
      <w:r w:rsidR="00EE504A" w:rsidRPr="00796736">
        <w:rPr>
          <w:rFonts w:ascii="Times New Roman" w:eastAsia="Times New Roman" w:hAnsi="Times New Roman" w:cs="Times New Roman"/>
          <w:sz w:val="24"/>
          <w:szCs w:val="24"/>
          <w:lang w:eastAsia="da-DK"/>
        </w:rPr>
        <w:t xml:space="preserve">om de pågældende lovovertrædelser, </w:t>
      </w:r>
      <w:r w:rsidR="002177B8" w:rsidRPr="00796736">
        <w:rPr>
          <w:rFonts w:ascii="Times New Roman" w:eastAsia="Times New Roman" w:hAnsi="Times New Roman" w:cs="Times New Roman"/>
          <w:sz w:val="24"/>
          <w:szCs w:val="24"/>
          <w:lang w:eastAsia="da-DK"/>
        </w:rPr>
        <w:t>ikke kan registreres til at udøve et erhverv</w:t>
      </w:r>
      <w:r w:rsidR="00704D03" w:rsidRPr="00796736">
        <w:rPr>
          <w:rFonts w:ascii="Times New Roman" w:eastAsia="Times New Roman" w:hAnsi="Times New Roman" w:cs="Times New Roman"/>
          <w:sz w:val="24"/>
          <w:szCs w:val="24"/>
          <w:lang w:eastAsia="da-DK"/>
        </w:rPr>
        <w:t xml:space="preserve"> eller</w:t>
      </w:r>
      <w:r w:rsidR="002177B8" w:rsidRPr="00796736">
        <w:rPr>
          <w:rFonts w:ascii="Times New Roman" w:eastAsia="Times New Roman" w:hAnsi="Times New Roman" w:cs="Times New Roman"/>
          <w:sz w:val="24"/>
          <w:szCs w:val="24"/>
          <w:lang w:eastAsia="da-DK"/>
        </w:rPr>
        <w:t xml:space="preserve"> varetage en funktion i den øverste ledelse i virksomheder, der er registreringspligtige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002177B8" w:rsidRPr="00796736">
        <w:rPr>
          <w:rFonts w:ascii="Times New Roman" w:eastAsia="Times New Roman" w:hAnsi="Times New Roman" w:cs="Times New Roman"/>
          <w:sz w:val="24"/>
          <w:szCs w:val="24"/>
          <w:lang w:eastAsia="da-DK"/>
        </w:rPr>
        <w:t>, stk. 1 og 2.</w:t>
      </w:r>
    </w:p>
    <w:p w14:paraId="057A79BE" w14:textId="77777777" w:rsidR="00793249" w:rsidRPr="00796736" w:rsidRDefault="00793249" w:rsidP="00A802A5">
      <w:pPr>
        <w:spacing w:line="360" w:lineRule="auto"/>
        <w:rPr>
          <w:rFonts w:ascii="Times New Roman" w:eastAsia="Times New Roman" w:hAnsi="Times New Roman" w:cs="Times New Roman"/>
          <w:sz w:val="24"/>
          <w:szCs w:val="24"/>
          <w:lang w:eastAsia="da-DK"/>
        </w:rPr>
      </w:pPr>
    </w:p>
    <w:p w14:paraId="40CB0350"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implementerer artikel 6, stk. 2, i 6. hvidvaskdirektiv.</w:t>
      </w:r>
    </w:p>
    <w:p w14:paraId="474AEB21"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p>
    <w:p w14:paraId="202B2D61"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I artikel 6, stk. 2, i 6. hvidvaskdirektiv anvendes begrebet samarbejdspartnere om de personer, der sammen med en dømt person skal udelukkes fra at kunne godkendes til at udøve erhverv i forpligtede enheder. I den foreslåede bestemmelse er begrebet i stedet udtrykt som personer, der har handlet i fællesskab med en person, der er pålagt strafansvar. Denne formulering er valgt for at skabe en tydelig og præcis afgrænsning, da den understøtter en konkret vurdering af, om der har været et reelt samarbejde eller medvirken til den pågældende lovovertrædelse. Formuleringen er således i overensstemmelse med direktivets krav, men tilpasset dansk retlig terminologi og praksis, hvor der fokuseres på den enkelte persons rolle og involvering i lovovertrædelsen.</w:t>
      </w:r>
    </w:p>
    <w:p w14:paraId="1BEB8C4C" w14:textId="3378944B" w:rsidR="004857E0" w:rsidRPr="00796736" w:rsidRDefault="004857E0" w:rsidP="00A802A5">
      <w:pPr>
        <w:spacing w:line="360" w:lineRule="auto"/>
        <w:rPr>
          <w:rFonts w:ascii="Times New Roman" w:eastAsia="Times New Roman" w:hAnsi="Times New Roman" w:cs="Times New Roman"/>
          <w:sz w:val="24"/>
          <w:szCs w:val="24"/>
          <w:lang w:eastAsia="da-DK"/>
        </w:rPr>
      </w:pPr>
    </w:p>
    <w:p w14:paraId="5E98839E" w14:textId="67D70F8C" w:rsidR="002177B8"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Ved </w:t>
      </w:r>
      <w:r w:rsidR="002177B8" w:rsidRPr="00796736">
        <w:rPr>
          <w:rFonts w:ascii="Times New Roman" w:eastAsia="Times New Roman" w:hAnsi="Times New Roman" w:cs="Times New Roman"/>
          <w:sz w:val="24"/>
          <w:szCs w:val="24"/>
          <w:lang w:eastAsia="da-DK"/>
        </w:rPr>
        <w:t xml:space="preserve">udtrykket </w:t>
      </w:r>
      <w:r w:rsidRPr="00796736">
        <w:rPr>
          <w:rFonts w:ascii="Times New Roman" w:eastAsia="Times New Roman" w:hAnsi="Times New Roman" w:cs="Times New Roman"/>
          <w:sz w:val="24"/>
          <w:szCs w:val="24"/>
          <w:lang w:eastAsia="da-DK"/>
        </w:rPr>
        <w:t xml:space="preserve">personer, der har handlet i fællesskab forstås personer, der i forbindelse med den pågældende lovovertrædelse </w:t>
      </w:r>
      <w:r w:rsidR="002177B8" w:rsidRPr="00796736">
        <w:rPr>
          <w:rFonts w:ascii="Times New Roman" w:eastAsia="Times New Roman" w:hAnsi="Times New Roman" w:cs="Times New Roman"/>
          <w:sz w:val="24"/>
          <w:szCs w:val="24"/>
          <w:lang w:eastAsia="da-DK"/>
        </w:rPr>
        <w:t>har udvist en sådan grad af samarbejde eller medvirken, at de efter en konkret vurdering må anses for at have haft en væsentlig rolle i overtrædelsen</w:t>
      </w:r>
      <w:r w:rsidRPr="00796736">
        <w:rPr>
          <w:rFonts w:ascii="Times New Roman" w:eastAsia="Times New Roman" w:hAnsi="Times New Roman" w:cs="Times New Roman"/>
          <w:sz w:val="24"/>
          <w:szCs w:val="24"/>
          <w:lang w:eastAsia="da-DK"/>
        </w:rPr>
        <w:t xml:space="preserve">. Dette kan eksempelvis omfatte medvirkende eller personer, der har ydet væsentlig bistand til den strafbare handling. </w:t>
      </w:r>
    </w:p>
    <w:p w14:paraId="5EF99A16"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p>
    <w:p w14:paraId="64514366" w14:textId="524735FF" w:rsidR="004857E0" w:rsidRPr="00796736" w:rsidRDefault="002177B8"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Som eksempel kan det desuden også være situationer, hvor en person ikke har deltaget i eller handlet i fællesskab om overtrædelsen, men alligevel har opnået vinding ved overtrædelsen. Et eksempel er, hvor en revisor har fået frataget sin autorisation for at have godkendt åbenlyst ukorrekte regnskaber for virksomheder, der er dømt for hvidvask. I sådanne tilfælde vil revisoren, selv uden at være dømt, ikke kunne indtage ledelsesposter i finansielle virksomheder.</w:t>
      </w:r>
    </w:p>
    <w:p w14:paraId="174C4484" w14:textId="77777777" w:rsidR="002177B8" w:rsidRPr="00796736" w:rsidRDefault="002177B8" w:rsidP="00A802A5">
      <w:pPr>
        <w:spacing w:line="360" w:lineRule="auto"/>
        <w:rPr>
          <w:rFonts w:ascii="Times New Roman" w:eastAsia="Times New Roman" w:hAnsi="Times New Roman" w:cs="Times New Roman"/>
          <w:sz w:val="24"/>
          <w:szCs w:val="24"/>
          <w:lang w:eastAsia="da-DK"/>
        </w:rPr>
      </w:pPr>
    </w:p>
    <w:p w14:paraId="1C937E3E" w14:textId="6C274AC9"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Med </w:t>
      </w:r>
      <w:r w:rsidR="002177B8" w:rsidRPr="00796736">
        <w:rPr>
          <w:rFonts w:ascii="Times New Roman" w:eastAsia="Times New Roman" w:hAnsi="Times New Roman" w:cs="Times New Roman"/>
          <w:sz w:val="24"/>
          <w:szCs w:val="24"/>
          <w:lang w:eastAsia="da-DK"/>
        </w:rPr>
        <w:t xml:space="preserve">udtrykket </w:t>
      </w:r>
      <w:r w:rsidRPr="00796736">
        <w:rPr>
          <w:rFonts w:ascii="Times New Roman" w:eastAsia="Times New Roman" w:hAnsi="Times New Roman" w:cs="Times New Roman"/>
          <w:sz w:val="24"/>
          <w:szCs w:val="24"/>
          <w:lang w:eastAsia="da-DK"/>
        </w:rPr>
        <w:t xml:space="preserve">overtrædelse af straffeloven, den finansielle lovgivning eller anden relevant lovgivning sigtes der til alvorlige lovovertrædelser, der har betydning for vurderingen af personens hæderlighed til at varetage centrale funktioner i virksomheder, der er registreringspligtige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stk. 1 og 2. Dette omfatter navnlig overtrædelser, der relaterer sig til økonomisk kriminalitet, hvidvask, terrorfinansiering, skatteunddragelse og lignende.</w:t>
      </w:r>
    </w:p>
    <w:p w14:paraId="615ED05C"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0D6C5056" w14:textId="7FC6DCA0"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omfatter virksomheder, der er registreringspligtige efter</w:t>
      </w:r>
      <w:r w:rsidR="0075537E" w:rsidRPr="00796736">
        <w:rPr>
          <w:rFonts w:ascii="Times New Roman" w:eastAsia="Times New Roman" w:hAnsi="Times New Roman" w:cs="Times New Roman"/>
          <w:sz w:val="24"/>
          <w:szCs w:val="24"/>
          <w:lang w:eastAsia="da-DK"/>
        </w:rPr>
        <w:t xml:space="preserve"> den foreslåede</w:t>
      </w:r>
      <w:r w:rsidRPr="00796736">
        <w:rPr>
          <w:rFonts w:ascii="Times New Roman" w:eastAsia="Times New Roman" w:hAnsi="Times New Roman" w:cs="Times New Roman"/>
          <w:sz w:val="24"/>
          <w:szCs w:val="24"/>
          <w:lang w:eastAsia="da-DK"/>
        </w:rPr>
        <w:t xml:space="preserve">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xml:space="preserve">, stk. 1 og 2, hvilket omfatter virksomheder og personer nævnt i § </w:t>
      </w:r>
      <w:r w:rsidR="0041724A" w:rsidRPr="00796736">
        <w:rPr>
          <w:rFonts w:ascii="Times New Roman" w:eastAsia="Times New Roman" w:hAnsi="Times New Roman" w:cs="Times New Roman"/>
          <w:sz w:val="24"/>
          <w:szCs w:val="24"/>
          <w:lang w:eastAsia="da-DK"/>
        </w:rPr>
        <w:t>2</w:t>
      </w:r>
      <w:r w:rsidRPr="00796736">
        <w:rPr>
          <w:rFonts w:ascii="Times New Roman" w:eastAsia="Times New Roman" w:hAnsi="Times New Roman" w:cs="Times New Roman"/>
          <w:sz w:val="24"/>
          <w:szCs w:val="24"/>
          <w:lang w:eastAsia="da-DK"/>
        </w:rPr>
        <w:t>,</w:t>
      </w:r>
      <w:r w:rsidR="0041724A"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 xml:space="preserve">nr. 8, crowdfundingformidlere nævnt i § </w:t>
      </w:r>
      <w:r w:rsidR="0041724A" w:rsidRPr="00796736">
        <w:rPr>
          <w:rFonts w:ascii="Times New Roman" w:eastAsia="Times New Roman" w:hAnsi="Times New Roman" w:cs="Times New Roman"/>
          <w:sz w:val="24"/>
          <w:szCs w:val="24"/>
          <w:lang w:eastAsia="da-DK"/>
        </w:rPr>
        <w:t>2,</w:t>
      </w:r>
      <w:r w:rsidRPr="00796736">
        <w:rPr>
          <w:rFonts w:ascii="Times New Roman" w:eastAsia="Times New Roman" w:hAnsi="Times New Roman" w:cs="Times New Roman"/>
          <w:sz w:val="24"/>
          <w:szCs w:val="24"/>
          <w:lang w:eastAsia="da-DK"/>
        </w:rPr>
        <w:t xml:space="preserve"> nr. 1</w:t>
      </w:r>
      <w:r w:rsidR="0041724A" w:rsidRPr="00796736">
        <w:rPr>
          <w:rFonts w:ascii="Times New Roman" w:eastAsia="Times New Roman" w:hAnsi="Times New Roman" w:cs="Times New Roman"/>
          <w:sz w:val="24"/>
          <w:szCs w:val="24"/>
          <w:lang w:eastAsia="da-DK"/>
        </w:rPr>
        <w:t>4</w:t>
      </w:r>
      <w:r w:rsidRPr="00796736">
        <w:rPr>
          <w:rFonts w:ascii="Times New Roman" w:eastAsia="Times New Roman" w:hAnsi="Times New Roman" w:cs="Times New Roman"/>
          <w:sz w:val="24"/>
          <w:szCs w:val="24"/>
          <w:lang w:eastAsia="da-DK"/>
        </w:rPr>
        <w:t xml:space="preserve">, samt finansielle og ikkefinansielle holdingselskaber med blandet aktivitet nævnt i § </w:t>
      </w:r>
      <w:r w:rsidR="0041724A" w:rsidRPr="00796736">
        <w:rPr>
          <w:rFonts w:ascii="Times New Roman" w:eastAsia="Times New Roman" w:hAnsi="Times New Roman" w:cs="Times New Roman"/>
          <w:sz w:val="24"/>
          <w:szCs w:val="24"/>
          <w:lang w:eastAsia="da-DK"/>
        </w:rPr>
        <w:t>2</w:t>
      </w:r>
      <w:r w:rsidRPr="00796736">
        <w:rPr>
          <w:rFonts w:ascii="Times New Roman" w:eastAsia="Times New Roman" w:hAnsi="Times New Roman" w:cs="Times New Roman"/>
          <w:sz w:val="24"/>
          <w:szCs w:val="24"/>
          <w:lang w:eastAsia="da-DK"/>
        </w:rPr>
        <w:t>, nr. 1</w:t>
      </w:r>
      <w:r w:rsidR="0041724A" w:rsidRPr="00796736">
        <w:rPr>
          <w:rFonts w:ascii="Times New Roman" w:eastAsia="Times New Roman" w:hAnsi="Times New Roman" w:cs="Times New Roman"/>
          <w:sz w:val="24"/>
          <w:szCs w:val="24"/>
          <w:lang w:eastAsia="da-DK"/>
        </w:rPr>
        <w:t>9</w:t>
      </w:r>
      <w:r w:rsidR="00AD5652" w:rsidRPr="00796736">
        <w:rPr>
          <w:rFonts w:ascii="Times New Roman" w:eastAsia="Times New Roman" w:hAnsi="Times New Roman" w:cs="Times New Roman"/>
          <w:sz w:val="24"/>
          <w:szCs w:val="24"/>
          <w:lang w:eastAsia="da-DK"/>
        </w:rPr>
        <w:t xml:space="preserve"> og 32, litra a</w:t>
      </w:r>
      <w:r w:rsidRPr="00796736">
        <w:rPr>
          <w:rFonts w:ascii="Times New Roman" w:eastAsia="Times New Roman" w:hAnsi="Times New Roman" w:cs="Times New Roman"/>
          <w:sz w:val="24"/>
          <w:szCs w:val="24"/>
          <w:lang w:eastAsia="da-DK"/>
        </w:rPr>
        <w:t>, og som er underlagt tilsyn eller registrering hos Finanstilsynet.</w:t>
      </w:r>
    </w:p>
    <w:p w14:paraId="0F52B0D6"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7256C10E"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har til formål at styrke integriteten og troværdigheden i den finansielle sektor ved at forhindre, at personer, der har handlet i fællesskab med andre om alvorlige lovovertrædelser, får adgang til centrale funktioner i registreringspligtige virksomheder.</w:t>
      </w:r>
    </w:p>
    <w:p w14:paraId="05392296"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7BF08890"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Afgørelser af om, hvorvidt en person er omfattet af bestemmelsen, skal træffes på baggrund af en konkret og individuel vurdering, hvor der tages hensyn til sagens omstændigheder, herunder karakteren og grovheden af den pågældende lovovertrædelse og personens rolle. </w:t>
      </w:r>
    </w:p>
    <w:p w14:paraId="55B405BB"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764CB5DD" w14:textId="7834083F"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stk. </w:t>
      </w:r>
      <w:r w:rsidR="008B60D8" w:rsidRPr="00796736">
        <w:rPr>
          <w:rFonts w:ascii="Times New Roman" w:eastAsia="Times New Roman" w:hAnsi="Times New Roman" w:cs="Times New Roman"/>
          <w:sz w:val="24"/>
          <w:szCs w:val="24"/>
          <w:lang w:eastAsia="da-DK"/>
        </w:rPr>
        <w:t>6</w:t>
      </w:r>
      <w:r w:rsidRPr="00796736">
        <w:rPr>
          <w:rFonts w:ascii="Times New Roman" w:eastAsia="Times New Roman" w:hAnsi="Times New Roman" w:cs="Times New Roman"/>
          <w:sz w:val="24"/>
          <w:szCs w:val="24"/>
          <w:lang w:eastAsia="da-DK"/>
        </w:rPr>
        <w:t xml:space="preserve"> at fastsætte regler for, at Finanstilsynet skal vurdere egnethed og hæderlighed for personer, der tiltræder ledende poster eller opnår væsentlig indflydelse i virksomheder, der er registreret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xml:space="preserve">, stk. 1 og 2. Formålet med bestemmelsen er at sikre, at kun personer, der opfylder de relevante krav til kvalifikationer, integritet og omdømme, kan indtræde i centrale funktioner i de omfattede virksomheder. </w:t>
      </w:r>
    </w:p>
    <w:p w14:paraId="77E9E4CE"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62FBA70C" w14:textId="08CB442C"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8B60D8" w:rsidRPr="00796736">
        <w:rPr>
          <w:rFonts w:ascii="Times New Roman" w:eastAsia="Times New Roman" w:hAnsi="Times New Roman" w:cs="Times New Roman"/>
          <w:i/>
          <w:iCs/>
          <w:sz w:val="24"/>
          <w:szCs w:val="24"/>
          <w:lang w:eastAsia="da-DK"/>
        </w:rPr>
        <w:t>6</w:t>
      </w:r>
      <w:r w:rsidRPr="00796736">
        <w:rPr>
          <w:rFonts w:ascii="Times New Roman" w:eastAsia="Times New Roman" w:hAnsi="Times New Roman" w:cs="Times New Roman"/>
          <w:i/>
          <w:iCs/>
          <w:sz w:val="24"/>
          <w:szCs w:val="24"/>
          <w:lang w:eastAsia="da-DK"/>
        </w:rPr>
        <w:t>, 1. pkt.</w:t>
      </w:r>
      <w:r w:rsidRPr="00796736">
        <w:rPr>
          <w:rFonts w:ascii="Times New Roman" w:eastAsia="Times New Roman" w:hAnsi="Times New Roman" w:cs="Times New Roman"/>
          <w:sz w:val="24"/>
          <w:szCs w:val="24"/>
          <w:lang w:eastAsia="da-DK"/>
        </w:rPr>
        <w:t xml:space="preserve">, at når en person tiltræder et hverv som bestyrelsesmedlem eller en stilling som direktør i en virksomhed, der er registreret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stk. 1 og 2, skal Finanstilsynet påse, at personen opfylder de gældende egnetheds- og hæderlighedskrav, jf. stk. 1</w:t>
      </w:r>
      <w:r w:rsidR="00F416CF" w:rsidRPr="00796736">
        <w:rPr>
          <w:rFonts w:ascii="Times New Roman" w:eastAsia="Times New Roman" w:hAnsi="Times New Roman" w:cs="Times New Roman"/>
          <w:sz w:val="24"/>
          <w:szCs w:val="24"/>
          <w:lang w:eastAsia="da-DK"/>
        </w:rPr>
        <w:t xml:space="preserve">, </w:t>
      </w:r>
      <w:r w:rsidR="002A4E01">
        <w:rPr>
          <w:rFonts w:ascii="Times New Roman" w:eastAsia="Times New Roman" w:hAnsi="Times New Roman" w:cs="Times New Roman"/>
          <w:sz w:val="24"/>
          <w:szCs w:val="24"/>
          <w:lang w:eastAsia="da-DK"/>
        </w:rPr>
        <w:t>3</w:t>
      </w:r>
      <w:r w:rsidRPr="00796736">
        <w:rPr>
          <w:rFonts w:ascii="Times New Roman" w:eastAsia="Times New Roman" w:hAnsi="Times New Roman" w:cs="Times New Roman"/>
          <w:sz w:val="24"/>
          <w:szCs w:val="24"/>
          <w:lang w:eastAsia="da-DK"/>
        </w:rPr>
        <w:t xml:space="preserve"> og </w:t>
      </w:r>
      <w:r w:rsidR="002A4E01">
        <w:rPr>
          <w:rFonts w:ascii="Times New Roman" w:eastAsia="Times New Roman" w:hAnsi="Times New Roman" w:cs="Times New Roman"/>
          <w:sz w:val="24"/>
          <w:szCs w:val="24"/>
          <w:lang w:eastAsia="da-DK"/>
        </w:rPr>
        <w:t>4</w:t>
      </w:r>
      <w:r w:rsidRPr="00796736">
        <w:rPr>
          <w:rFonts w:ascii="Times New Roman" w:eastAsia="Times New Roman" w:hAnsi="Times New Roman" w:cs="Times New Roman"/>
          <w:sz w:val="24"/>
          <w:szCs w:val="24"/>
          <w:lang w:eastAsia="da-DK"/>
        </w:rPr>
        <w:t xml:space="preserve">. </w:t>
      </w:r>
    </w:p>
    <w:p w14:paraId="6B446D12"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3B193317"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indebærer, at Finanstilsynet foretager en konkret vurdering af, om den pågældende person har de nødvendige kvalifikationer, integritet og det fornødne omdømme til at bestride hvervet eller stillingen i virksomheden.</w:t>
      </w:r>
    </w:p>
    <w:p w14:paraId="50C9D465"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69E5F4C4"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lovfæster Finanstilsynets praksis, hvorefter tilsynet fører kontrol med, at ledelsesmedlemmer og andre nøglepersoner i registreringspligtige virksomheder opfylder kravene til egnethed og hæderlighed, når de tiltræder deres funktion. Vurderingen foretages på baggrund af de oplysninger, som virksomheden og den pågældende person indsender til Finanstilsynet, typisk via et oplysningsskema. Finanstilsynet træffer herefter afgørelse om, hvorvidt personen kan godkendes til at bestride hvervet eller stillingen.</w:t>
      </w:r>
    </w:p>
    <w:p w14:paraId="35EBE762"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36186ED2" w14:textId="7903120A"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8B60D8" w:rsidRPr="00796736">
        <w:rPr>
          <w:rFonts w:ascii="Times New Roman" w:eastAsia="Times New Roman" w:hAnsi="Times New Roman" w:cs="Times New Roman"/>
          <w:i/>
          <w:iCs/>
          <w:sz w:val="24"/>
          <w:szCs w:val="24"/>
          <w:lang w:eastAsia="da-DK"/>
        </w:rPr>
        <w:t>6</w:t>
      </w:r>
      <w:r w:rsidRPr="00796736">
        <w:rPr>
          <w:rFonts w:ascii="Times New Roman" w:eastAsia="Times New Roman" w:hAnsi="Times New Roman" w:cs="Times New Roman"/>
          <w:i/>
          <w:iCs/>
          <w:sz w:val="24"/>
          <w:szCs w:val="24"/>
          <w:lang w:eastAsia="da-DK"/>
        </w:rPr>
        <w:t>, 2. pkt</w:t>
      </w:r>
      <w:r w:rsidRPr="00796736">
        <w:rPr>
          <w:rFonts w:ascii="Times New Roman" w:eastAsia="Times New Roman" w:hAnsi="Times New Roman" w:cs="Times New Roman"/>
          <w:sz w:val="24"/>
          <w:szCs w:val="24"/>
          <w:lang w:eastAsia="da-DK"/>
        </w:rPr>
        <w:t xml:space="preserve">., at </w:t>
      </w:r>
      <w:r w:rsidR="002D219B" w:rsidRPr="00796736">
        <w:rPr>
          <w:rFonts w:ascii="Times New Roman" w:hAnsi="Times New Roman" w:cs="Times New Roman"/>
          <w:sz w:val="24"/>
          <w:szCs w:val="24"/>
        </w:rPr>
        <w:t>Finanstilsynet træffer afgørelse om, hvorvidt personen kan bestride hvervet eller stillingen i den pågældende virksomhed</w:t>
      </w:r>
    </w:p>
    <w:p w14:paraId="62604E6C"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23AD60CC"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er en betingelse for, at et ledelsesmedlemmer og eller øvrige personer omfattet af bestemmelsen kan indtræde i virksomheden, at Finanstilsynet kan egnet- og hæderlighedsgodkende vedkommende.</w:t>
      </w:r>
    </w:p>
    <w:p w14:paraId="4D674A99"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0EA5BD48" w14:textId="77777777" w:rsidR="004857E0"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Hvis Finanstilsynet vurderer, at personen ikke opfylder kravene til egnethed og hæderlighed, træffer Finanstilsynet afgørelse om, at den pågældende ikke kan bestride hvervet eller stillingen i den pågældende virksomhed. Inden Finanstilsynet afslår en ansøgning om egnet- og hæderlighedsgodkendelse, skal der i henhold til reglerne i forvaltningsloven foretages en partshøring af virksomheden og af den, som afgørelsen retter sig mod.</w:t>
      </w:r>
    </w:p>
    <w:p w14:paraId="788730CE" w14:textId="77777777" w:rsidR="002D219B" w:rsidRDefault="002D219B" w:rsidP="00A802A5">
      <w:pPr>
        <w:spacing w:line="360" w:lineRule="auto"/>
        <w:rPr>
          <w:rFonts w:ascii="Times New Roman" w:eastAsia="Times New Roman" w:hAnsi="Times New Roman" w:cs="Times New Roman"/>
          <w:sz w:val="24"/>
          <w:szCs w:val="24"/>
          <w:lang w:eastAsia="da-DK"/>
        </w:rPr>
      </w:pPr>
    </w:p>
    <w:p w14:paraId="1BA04D20" w14:textId="1FC78C68" w:rsidR="002A4E01" w:rsidRPr="00796736" w:rsidRDefault="002A4E01" w:rsidP="00A802A5">
      <w:pPr>
        <w:spacing w:line="360" w:lineRule="auto"/>
        <w:rPr>
          <w:rFonts w:ascii="Times New Roman" w:eastAsia="Times New Roman" w:hAnsi="Times New Roman" w:cs="Times New Roman"/>
          <w:sz w:val="24"/>
          <w:szCs w:val="24"/>
          <w:lang w:eastAsia="da-DK"/>
        </w:rPr>
      </w:pPr>
      <w:r w:rsidRPr="002A4E01">
        <w:rPr>
          <w:rFonts w:ascii="Times New Roman" w:eastAsia="Times New Roman" w:hAnsi="Times New Roman" w:cs="Times New Roman"/>
          <w:sz w:val="24"/>
          <w:szCs w:val="24"/>
          <w:lang w:eastAsia="da-DK"/>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075B23A3"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4E72EBB2" w14:textId="0C41EA4E"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Sagen forelægges efter følgende for Finanstilsynets bestyrelse til endelig afgørelse i medfør af </w:t>
      </w:r>
      <w:r w:rsidR="00A91A86" w:rsidRPr="00796736">
        <w:rPr>
          <w:rFonts w:ascii="Times New Roman" w:eastAsia="Times New Roman" w:hAnsi="Times New Roman" w:cs="Times New Roman"/>
          <w:sz w:val="24"/>
          <w:szCs w:val="24"/>
          <w:lang w:eastAsia="da-DK"/>
        </w:rPr>
        <w:t xml:space="preserve">lovforslagets </w:t>
      </w:r>
      <w:r w:rsidR="00793249" w:rsidRPr="00796736">
        <w:rPr>
          <w:rFonts w:ascii="Times New Roman" w:eastAsia="Times New Roman" w:hAnsi="Times New Roman" w:cs="Times New Roman"/>
          <w:sz w:val="24"/>
          <w:szCs w:val="24"/>
          <w:lang w:eastAsia="da-DK"/>
        </w:rPr>
        <w:fldChar w:fldCharType="begin"/>
      </w:r>
      <w:r w:rsidR="00793249" w:rsidRPr="00796736">
        <w:rPr>
          <w:rFonts w:ascii="Times New Roman" w:eastAsia="Times New Roman" w:hAnsi="Times New Roman" w:cs="Times New Roman"/>
          <w:sz w:val="24"/>
          <w:szCs w:val="24"/>
          <w:lang w:eastAsia="da-DK"/>
        </w:rPr>
        <w:instrText xml:space="preserve"> REF _Ref232597084 \r \h </w:instrText>
      </w:r>
      <w:r w:rsidR="00967618" w:rsidRPr="00796736">
        <w:rPr>
          <w:rFonts w:ascii="Times New Roman" w:eastAsia="Times New Roman" w:hAnsi="Times New Roman" w:cs="Times New Roman"/>
          <w:sz w:val="24"/>
          <w:szCs w:val="24"/>
          <w:lang w:eastAsia="da-DK"/>
        </w:rPr>
        <w:instrText xml:space="preserve"> \* MERGEFORMAT </w:instrText>
      </w:r>
      <w:r w:rsidR="00793249" w:rsidRPr="00796736">
        <w:rPr>
          <w:rFonts w:ascii="Times New Roman" w:eastAsia="Times New Roman" w:hAnsi="Times New Roman" w:cs="Times New Roman"/>
          <w:sz w:val="24"/>
          <w:szCs w:val="24"/>
          <w:lang w:eastAsia="da-DK"/>
        </w:rPr>
      </w:r>
      <w:r w:rsidR="00793249"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56</w:t>
      </w:r>
      <w:r w:rsidR="00793249"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jf. § 345, stk. 12, nr. 4, i lov om finansiel virksomhed. Som part i Finanstilsynets afgørelser om egnethed og hæderlighed anses både den berørte virksomhed og den person som afgørelsen vedrører, jf. </w:t>
      </w:r>
      <w:r w:rsidR="00793249" w:rsidRPr="00796736">
        <w:rPr>
          <w:rFonts w:ascii="Times New Roman" w:eastAsia="Times New Roman" w:hAnsi="Times New Roman" w:cs="Times New Roman"/>
          <w:sz w:val="24"/>
          <w:szCs w:val="24"/>
          <w:lang w:eastAsia="da-DK"/>
        </w:rPr>
        <w:fldChar w:fldCharType="begin"/>
      </w:r>
      <w:r w:rsidR="00793249" w:rsidRPr="00796736">
        <w:rPr>
          <w:rFonts w:ascii="Times New Roman" w:eastAsia="Times New Roman" w:hAnsi="Times New Roman" w:cs="Times New Roman"/>
          <w:sz w:val="24"/>
          <w:szCs w:val="24"/>
          <w:lang w:eastAsia="da-DK"/>
        </w:rPr>
        <w:instrText xml:space="preserve"> REF _Ref232949113 \r \h </w:instrText>
      </w:r>
      <w:r w:rsidR="00967618" w:rsidRPr="00796736">
        <w:rPr>
          <w:rFonts w:ascii="Times New Roman" w:eastAsia="Times New Roman" w:hAnsi="Times New Roman" w:cs="Times New Roman"/>
          <w:sz w:val="24"/>
          <w:szCs w:val="24"/>
          <w:lang w:eastAsia="da-DK"/>
        </w:rPr>
        <w:instrText xml:space="preserve"> \* MERGEFORMAT </w:instrText>
      </w:r>
      <w:r w:rsidR="00793249" w:rsidRPr="00796736">
        <w:rPr>
          <w:rFonts w:ascii="Times New Roman" w:eastAsia="Times New Roman" w:hAnsi="Times New Roman" w:cs="Times New Roman"/>
          <w:sz w:val="24"/>
          <w:szCs w:val="24"/>
          <w:lang w:eastAsia="da-DK"/>
        </w:rPr>
      </w:r>
      <w:r w:rsidR="00793249"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130</w:t>
      </w:r>
      <w:r w:rsidR="00793249" w:rsidRPr="00796736">
        <w:rPr>
          <w:rFonts w:ascii="Times New Roman" w:eastAsia="Times New Roman" w:hAnsi="Times New Roman" w:cs="Times New Roman"/>
          <w:sz w:val="24"/>
          <w:szCs w:val="24"/>
          <w:lang w:eastAsia="da-DK"/>
        </w:rPr>
        <w:fldChar w:fldCharType="end"/>
      </w:r>
      <w:r w:rsidR="00793249"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i lov</w:t>
      </w:r>
      <w:r w:rsidR="00A91A86" w:rsidRPr="00796736">
        <w:rPr>
          <w:rFonts w:ascii="Times New Roman" w:eastAsia="Times New Roman" w:hAnsi="Times New Roman" w:cs="Times New Roman"/>
          <w:sz w:val="24"/>
          <w:szCs w:val="24"/>
          <w:lang w:eastAsia="da-DK"/>
        </w:rPr>
        <w:t>forslaget</w:t>
      </w:r>
      <w:r w:rsidRPr="00796736">
        <w:rPr>
          <w:rFonts w:ascii="Times New Roman" w:eastAsia="Times New Roman" w:hAnsi="Times New Roman" w:cs="Times New Roman"/>
          <w:sz w:val="24"/>
          <w:szCs w:val="24"/>
          <w:lang w:eastAsia="da-DK"/>
        </w:rPr>
        <w:t xml:space="preserve">. </w:t>
      </w:r>
    </w:p>
    <w:p w14:paraId="29C8F072"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74E3E184" w14:textId="62428652" w:rsidR="002A4E01"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Finanstilsynets afgørelser om egnethed og hæderlighed kan påklages til Erhvervsankenævnet af sagens parter. </w:t>
      </w:r>
    </w:p>
    <w:p w14:paraId="1A686033"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313F3CBA" w14:textId="22ACCF54"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F416CF" w:rsidRPr="00796736">
        <w:rPr>
          <w:rFonts w:ascii="Times New Roman" w:eastAsia="Times New Roman" w:hAnsi="Times New Roman" w:cs="Times New Roman"/>
          <w:i/>
          <w:iCs/>
          <w:sz w:val="24"/>
          <w:szCs w:val="24"/>
          <w:lang w:eastAsia="da-DK"/>
        </w:rPr>
        <w:t>6</w:t>
      </w:r>
      <w:r w:rsidRPr="00796736">
        <w:rPr>
          <w:rFonts w:ascii="Times New Roman" w:eastAsia="Times New Roman" w:hAnsi="Times New Roman" w:cs="Times New Roman"/>
          <w:i/>
          <w:iCs/>
          <w:sz w:val="24"/>
          <w:szCs w:val="24"/>
          <w:lang w:eastAsia="da-DK"/>
        </w:rPr>
        <w:t>, 3. pkt</w:t>
      </w:r>
      <w:r w:rsidRPr="00796736">
        <w:rPr>
          <w:rFonts w:ascii="Times New Roman" w:eastAsia="Times New Roman" w:hAnsi="Times New Roman" w:cs="Times New Roman"/>
          <w:sz w:val="24"/>
          <w:szCs w:val="24"/>
          <w:lang w:eastAsia="da-DK"/>
        </w:rPr>
        <w:t xml:space="preserve">., at 1. og 2. pkt. finder tilsvarende anvendelse for indehaveren af en virksomhed, der er registreret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xml:space="preserve">, stk. 1 og 2, hvis der er tale om en enkeltmandsvirksomhed, for ledelsesansvarlige i virksomheder, der drives uden direktion og bestyrelse, samt for </w:t>
      </w:r>
      <w:r w:rsidR="002D219B" w:rsidRPr="002D219B">
        <w:rPr>
          <w:rFonts w:ascii="Times New Roman" w:hAnsi="Times New Roman" w:cs="Times New Roman"/>
          <w:sz w:val="24"/>
          <w:szCs w:val="24"/>
        </w:rPr>
        <w:t xml:space="preserve"> </w:t>
      </w:r>
      <w:r w:rsidR="002D219B" w:rsidRPr="00796736">
        <w:rPr>
          <w:rFonts w:ascii="Times New Roman" w:hAnsi="Times New Roman" w:cs="Times New Roman"/>
          <w:sz w:val="24"/>
          <w:szCs w:val="24"/>
        </w:rPr>
        <w:t>den eller de reelle ejere i virksomheden.</w:t>
      </w:r>
      <w:r w:rsidRPr="00796736">
        <w:rPr>
          <w:rFonts w:ascii="Times New Roman" w:eastAsia="Times New Roman" w:hAnsi="Times New Roman" w:cs="Times New Roman"/>
          <w:sz w:val="24"/>
          <w:szCs w:val="24"/>
          <w:lang w:eastAsia="da-DK"/>
        </w:rPr>
        <w:t xml:space="preserve"> </w:t>
      </w:r>
    </w:p>
    <w:p w14:paraId="620967E3"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1DE351C6" w14:textId="5A9A8E73" w:rsidR="004857E0" w:rsidRPr="00796736" w:rsidRDefault="00D51AD7"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 foreslåede b</w:t>
      </w:r>
      <w:r w:rsidR="004857E0" w:rsidRPr="00796736">
        <w:rPr>
          <w:rFonts w:ascii="Times New Roman" w:eastAsia="Times New Roman" w:hAnsi="Times New Roman" w:cs="Times New Roman"/>
          <w:sz w:val="24"/>
          <w:szCs w:val="24"/>
          <w:lang w:eastAsia="da-DK"/>
        </w:rPr>
        <w:t xml:space="preserve">estemmelse omfatter ikke alene bestyrelsesmedlemmer og direktører, men finder tilsvarende anvendelse for indehaveren af en virksomhed, der er registreret efter </w:t>
      </w:r>
      <w:r w:rsidR="00793249" w:rsidRPr="00796736">
        <w:rPr>
          <w:rFonts w:ascii="Times New Roman" w:hAnsi="Times New Roman" w:cs="Times New Roman"/>
          <w:sz w:val="24"/>
          <w:szCs w:val="24"/>
        </w:rPr>
        <w:fldChar w:fldCharType="begin"/>
      </w:r>
      <w:r w:rsidR="00793249"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3249" w:rsidRPr="00796736">
        <w:rPr>
          <w:rFonts w:ascii="Times New Roman" w:hAnsi="Times New Roman" w:cs="Times New Roman"/>
          <w:sz w:val="24"/>
          <w:szCs w:val="24"/>
        </w:rPr>
      </w:r>
      <w:r w:rsidR="0079324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3249" w:rsidRPr="00796736">
        <w:rPr>
          <w:rFonts w:ascii="Times New Roman" w:hAnsi="Times New Roman" w:cs="Times New Roman"/>
          <w:sz w:val="24"/>
          <w:szCs w:val="24"/>
        </w:rPr>
        <w:fldChar w:fldCharType="end"/>
      </w:r>
      <w:r w:rsidR="004857E0" w:rsidRPr="00796736">
        <w:rPr>
          <w:rFonts w:ascii="Times New Roman" w:eastAsia="Times New Roman" w:hAnsi="Times New Roman" w:cs="Times New Roman"/>
          <w:sz w:val="24"/>
          <w:szCs w:val="24"/>
          <w:lang w:eastAsia="da-DK"/>
        </w:rPr>
        <w:t xml:space="preserve">, stk. 1 og 2, hvis der er tale om en enkeltmandsvirksomhed, for ledelsesansvarlige i virksomheder, der drives uden direktion og bestyrelse, samt for </w:t>
      </w:r>
      <w:r w:rsidR="00F416CF" w:rsidRPr="00796736">
        <w:rPr>
          <w:rFonts w:ascii="Times New Roman" w:eastAsia="Times New Roman" w:hAnsi="Times New Roman" w:cs="Times New Roman"/>
          <w:sz w:val="24"/>
          <w:szCs w:val="24"/>
          <w:lang w:eastAsia="da-DK"/>
        </w:rPr>
        <w:t>virksomhedens reelle ejere</w:t>
      </w:r>
      <w:r w:rsidR="004857E0" w:rsidRPr="00796736">
        <w:rPr>
          <w:rFonts w:ascii="Times New Roman" w:eastAsia="Times New Roman" w:hAnsi="Times New Roman" w:cs="Times New Roman"/>
          <w:sz w:val="24"/>
          <w:szCs w:val="24"/>
          <w:lang w:eastAsia="da-DK"/>
        </w:rPr>
        <w:t>.</w:t>
      </w:r>
    </w:p>
    <w:p w14:paraId="34C4D865"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7EAE6EC2" w14:textId="52D592EC" w:rsidR="004857E0" w:rsidRPr="00796736" w:rsidRDefault="004857E0" w:rsidP="00A802A5">
      <w:pPr>
        <w:spacing w:after="20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er en forudsætning for, at en person kan tiltræde en ledende </w:t>
      </w:r>
      <w:r w:rsidR="00D51AD7" w:rsidRPr="00796736">
        <w:rPr>
          <w:rFonts w:ascii="Times New Roman" w:eastAsia="Times New Roman" w:hAnsi="Times New Roman" w:cs="Times New Roman"/>
          <w:sz w:val="24"/>
          <w:szCs w:val="24"/>
          <w:lang w:eastAsia="da-DK"/>
        </w:rPr>
        <w:t>stilling</w:t>
      </w:r>
      <w:r w:rsidRPr="00796736">
        <w:rPr>
          <w:rFonts w:ascii="Times New Roman" w:eastAsia="Times New Roman" w:hAnsi="Times New Roman" w:cs="Times New Roman"/>
          <w:sz w:val="24"/>
          <w:szCs w:val="24"/>
          <w:lang w:eastAsia="da-DK"/>
        </w:rPr>
        <w:t xml:space="preserve"> eller opnå væsentlig indflydelse i virksomheden, at Finanstilsynet har godkendt vedkommende på baggrund af en vurdering af egnethed og hæderlighed. Hvis Finanstilsynet vurderer, at personen ikke opfylder kravene, træffes der afgørelse om, at vedkommende ikke kan bestride hvervet eller stillingen. Inden der træffes afgørelse om afslag, skal der foretages partshøring af både virksomheden og den pågældende person i overensstemmelse med forvaltningslovens regler.</w:t>
      </w:r>
    </w:p>
    <w:p w14:paraId="04DC010A" w14:textId="77777777" w:rsidR="004857E0" w:rsidRPr="00796736" w:rsidRDefault="004857E0" w:rsidP="00A802A5">
      <w:pPr>
        <w:spacing w:after="20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sikrer en entydig hjemmel for Finanstilsynets kontrol og afgørelseskompetence i forbindelse med vurderingen af egnethed og hæderlighed for ledelsesmedlemmer og andre centrale personer i registreringspligtige virksomheder.</w:t>
      </w:r>
    </w:p>
    <w:p w14:paraId="07209A27" w14:textId="666FED22" w:rsidR="004857E0" w:rsidRPr="00796736" w:rsidRDefault="004857E0" w:rsidP="00A802A5">
      <w:pPr>
        <w:spacing w:after="20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F416CF" w:rsidRPr="00796736">
        <w:rPr>
          <w:rFonts w:ascii="Times New Roman" w:hAnsi="Times New Roman" w:cs="Times New Roman"/>
          <w:i/>
          <w:iCs/>
          <w:sz w:val="24"/>
          <w:szCs w:val="24"/>
        </w:rPr>
        <w:t>7</w:t>
      </w:r>
      <w:r w:rsidRPr="00796736">
        <w:rPr>
          <w:rFonts w:ascii="Times New Roman" w:hAnsi="Times New Roman" w:cs="Times New Roman"/>
          <w:sz w:val="24"/>
          <w:szCs w:val="24"/>
        </w:rPr>
        <w:t>, at hvis Finanstilsynet vurderer, at en person ikke opfylder kravene i stk. 1</w:t>
      </w:r>
      <w:r w:rsidR="00F416CF" w:rsidRPr="00796736">
        <w:rPr>
          <w:rFonts w:ascii="Times New Roman" w:hAnsi="Times New Roman" w:cs="Times New Roman"/>
          <w:sz w:val="24"/>
          <w:szCs w:val="24"/>
        </w:rPr>
        <w:t>-4</w:t>
      </w:r>
      <w:r w:rsidRPr="00796736">
        <w:rPr>
          <w:rFonts w:ascii="Times New Roman" w:hAnsi="Times New Roman" w:cs="Times New Roman"/>
          <w:sz w:val="24"/>
          <w:szCs w:val="24"/>
        </w:rPr>
        <w:t xml:space="preserve"> </w:t>
      </w:r>
      <w:r w:rsidR="00F416CF" w:rsidRPr="00796736">
        <w:rPr>
          <w:rFonts w:ascii="Times New Roman" w:hAnsi="Times New Roman" w:cs="Times New Roman"/>
          <w:sz w:val="24"/>
          <w:szCs w:val="24"/>
        </w:rPr>
        <w:t>og</w:t>
      </w:r>
      <w:r w:rsidRPr="00796736">
        <w:rPr>
          <w:rFonts w:ascii="Times New Roman" w:hAnsi="Times New Roman" w:cs="Times New Roman"/>
          <w:sz w:val="24"/>
          <w:szCs w:val="24"/>
        </w:rPr>
        <w:t>, skal varigheden af afgørelsen fremgå af afgørelsen.</w:t>
      </w:r>
    </w:p>
    <w:p w14:paraId="08C68285" w14:textId="6EE92171" w:rsidR="004857E0" w:rsidRPr="00796736" w:rsidRDefault="00D51AD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w:t>
      </w:r>
      <w:r w:rsidR="004857E0" w:rsidRPr="00796736">
        <w:rPr>
          <w:rFonts w:ascii="Times New Roman" w:hAnsi="Times New Roman" w:cs="Times New Roman"/>
          <w:sz w:val="24"/>
          <w:szCs w:val="24"/>
        </w:rPr>
        <w:t>estemmelse indebærer, at en afgørelse om, at en person ikke opfylder kravene til hæderlighed, integritet, uafhængighed eller øvrige krav i stk. 1</w:t>
      </w:r>
      <w:r w:rsidR="00F416CF" w:rsidRPr="00796736">
        <w:rPr>
          <w:rFonts w:ascii="Times New Roman" w:hAnsi="Times New Roman" w:cs="Times New Roman"/>
          <w:sz w:val="24"/>
          <w:szCs w:val="24"/>
        </w:rPr>
        <w:t>-4</w:t>
      </w:r>
      <w:r w:rsidR="004857E0" w:rsidRPr="00796736">
        <w:rPr>
          <w:rFonts w:ascii="Times New Roman" w:hAnsi="Times New Roman" w:cs="Times New Roman"/>
          <w:sz w:val="24"/>
          <w:szCs w:val="24"/>
        </w:rPr>
        <w:t>, skal indeholde en angivelse af, hvor længe afgørelsen har virkning. Efter udløbet af den fastsatte varighed kan Finanstilsynet ikke inddrage de forhold, der lå til grund for afslaget, i en ny vurdering. Det betyder, at de forhold, der var afgørende for, at personen ikke opfyldte kravene, som udgangspunkt ikke længere forventes at have betydning for en ny vurdering. Det ændrer dog ikke på, at den pågældende efter udløbet af afgørelsens varighed på ny skal ansøge Finanstilsynet om godkendelse til en stilling, et hverv eller ejerskab omfattet af reglerne.</w:t>
      </w:r>
    </w:p>
    <w:p w14:paraId="4289CC35" w14:textId="77777777" w:rsidR="004857E0" w:rsidRPr="00796736" w:rsidRDefault="004857E0" w:rsidP="00A802A5">
      <w:pPr>
        <w:spacing w:line="360" w:lineRule="auto"/>
        <w:rPr>
          <w:rFonts w:ascii="Times New Roman" w:hAnsi="Times New Roman" w:cs="Times New Roman"/>
          <w:sz w:val="24"/>
          <w:szCs w:val="24"/>
        </w:rPr>
      </w:pPr>
    </w:p>
    <w:p w14:paraId="3B6BE751" w14:textId="21F43E5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Varigheden af afgørelsen beror på en konkret vurdering. Varigheden kan som udgangspunkt fastsættes fra et år til fem år, men kan i særligt alvorlige sager fastsættes til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Det er ikke enhver tvivl om en persons omdømme eller adfærd, der kan føre til, at personen vurderes som ikke-hæderlig. Forhold, der fører til et afslag, har altid en væsentlig tyngde. Baggrunden for reglen er hensynet til tilliden til den finansielle sektor. Hvis et ledelsesmedlem, der vurderes ikke-hæderlig, kort efter afgørelsen herom kan indtræde som ledelsesmedlem i en anden finansiel virksomhed, svækkes tilliden til sektoren.</w:t>
      </w:r>
    </w:p>
    <w:p w14:paraId="3595F501" w14:textId="77777777" w:rsidR="004857E0" w:rsidRPr="00796736" w:rsidRDefault="004857E0" w:rsidP="00A802A5">
      <w:pPr>
        <w:spacing w:line="360" w:lineRule="auto"/>
        <w:rPr>
          <w:rFonts w:ascii="Times New Roman" w:hAnsi="Times New Roman" w:cs="Times New Roman"/>
          <w:sz w:val="24"/>
          <w:szCs w:val="24"/>
        </w:rPr>
      </w:pPr>
    </w:p>
    <w:p w14:paraId="54E4F463"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Retningsgivende for fastsættelsen af en varighed på fem år er, at der ikke er forhold, der taler for en kortere varighed, eller hvor karakteren og omfanget af forholdene tilsiger, at en længere varighed er påkrævet. Finanstilsynet skal i vurderingen lægge vægt på alle relevante forhold, herunder strafbare og administrative overtrædelser, tidligere inddragelse af tilladelser eller licenser, tidligere afskedigelser og baggrunden herfor. Der lægges vægt på alvoren af overtrædelsen, den tid der er gået siden overtrædelsen, personens adfærd siden en eventuel strafbar overtrædelse, og om der er tale om gentagelsestilfælde.</w:t>
      </w:r>
    </w:p>
    <w:p w14:paraId="6E806FAD" w14:textId="77777777" w:rsidR="004857E0" w:rsidRPr="00796736" w:rsidRDefault="004857E0" w:rsidP="00A802A5">
      <w:pPr>
        <w:spacing w:line="360" w:lineRule="auto"/>
        <w:rPr>
          <w:rFonts w:ascii="Times New Roman" w:hAnsi="Times New Roman" w:cs="Times New Roman"/>
          <w:sz w:val="24"/>
          <w:szCs w:val="24"/>
        </w:rPr>
      </w:pPr>
    </w:p>
    <w:p w14:paraId="50492766"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Når Finanstilsynet vurderer, om en person ikke har et tilstrækkeligt godt omdømme og kan udvise hæderlighed, integritet og tilstrækkelig uafhængighed, skal Finanstilsynet eksplicit forholde sig til tidsaspektet og personens ageren siden en eventuel kritisabel adfærd. I vurderingen af fastsættelsen af varigheden vil Finanstilsynet foretage en samlet vurdering, der bl.a. tager hensyn til, hvor lang tid der er gået siden det pågældende forhold, personens adfærd siden forholdet, og om der er tale om gentagelsestilfælde. Gentagelsestilfælde vil være skærpende for fastsættelsen af afgørelsens varighed.</w:t>
      </w:r>
    </w:p>
    <w:p w14:paraId="21794F18" w14:textId="77777777" w:rsidR="004857E0" w:rsidRPr="00796736" w:rsidRDefault="004857E0" w:rsidP="00A802A5">
      <w:pPr>
        <w:spacing w:line="360" w:lineRule="auto"/>
        <w:rPr>
          <w:rFonts w:ascii="Times New Roman" w:hAnsi="Times New Roman" w:cs="Times New Roman"/>
          <w:sz w:val="24"/>
          <w:szCs w:val="24"/>
        </w:rPr>
      </w:pPr>
    </w:p>
    <w:p w14:paraId="45DC19CB" w14:textId="67FD9C99"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et forhold er begået forud for en tidligere afgørelse om manglende opfyldelse af kravene, vil der som udgangspunkt skulle udmåles en samlet varighed svarende til, hvad der ville være blevet resultatet ved en samlet vurdering. Formålet med at fastsætte varigheden er at øge transparensen og retssikkerheden for de personer, som afgørelsen vedrører. Der vil være forskel på varigheden af afgørelser meddelt på baggrund af mindre alvorlige forhold og grovere forhold. Finanstilsynet vil derfor tage hensyn til karakteren af forholdet, herunder om det er et strafbart eller administrativt forhold, om det vedrører et tillidsbrud, og om der er tale om gentagelsestilfælde. De kumulative effekter af flere mindre overtrædelser i samme sag kan være skærpende for fastsættelsen af varigheden. Ligesom en tilstrækkelig grov overtrædelse i særlig alvorlige sager kan bevirke, at varigheden fastsættes til </w:t>
      </w:r>
      <w:r w:rsidR="002177B8" w:rsidRPr="00796736">
        <w:rPr>
          <w:rFonts w:ascii="Times New Roman" w:hAnsi="Times New Roman" w:cs="Times New Roman"/>
          <w:sz w:val="24"/>
          <w:szCs w:val="24"/>
        </w:rPr>
        <w:t xml:space="preserve">at være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xml:space="preserve">. En varighed, der fastsættes til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vil derfor kun anvendes ved særligt alvorlige forhold og i sjældne tilfælde.</w:t>
      </w:r>
    </w:p>
    <w:p w14:paraId="27D664ED" w14:textId="77777777" w:rsidR="004857E0" w:rsidRPr="00796736" w:rsidRDefault="004857E0" w:rsidP="00A802A5">
      <w:pPr>
        <w:spacing w:line="360" w:lineRule="auto"/>
        <w:rPr>
          <w:rFonts w:ascii="Times New Roman" w:hAnsi="Times New Roman" w:cs="Times New Roman"/>
          <w:sz w:val="24"/>
          <w:szCs w:val="24"/>
        </w:rPr>
      </w:pPr>
    </w:p>
    <w:p w14:paraId="66EAAC51"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udgangspunkt vil Finanstilsynet ikke inddrage forhold i en vurdering af en persons hæderlighed, der er mere end 10 år gamle. Finanstilsynet vil dog kunne inddrage forhold, der ligger længere tilbage i tid, hvis forholdene er særligt alvorlige, eller hvis disse er en del af et sammenhængende sagsforløb, hvor dele er mindre end 10 år gamle, eller hvor der er tale om gentagelsestilfælde. Alvorlige forhold kan f.eks. være svindel, grov tilsidesættelse af god skik, forsætlig tilsidesættelse af hvidvasklovens krav eller egentlig medvirken til økonomisk kriminalitet.</w:t>
      </w:r>
    </w:p>
    <w:p w14:paraId="53E17F8F" w14:textId="77777777" w:rsidR="004857E0" w:rsidRPr="00796736" w:rsidRDefault="004857E0" w:rsidP="00A802A5">
      <w:pPr>
        <w:spacing w:line="360" w:lineRule="auto"/>
        <w:rPr>
          <w:rFonts w:ascii="Times New Roman" w:hAnsi="Times New Roman" w:cs="Times New Roman"/>
          <w:sz w:val="24"/>
          <w:szCs w:val="24"/>
        </w:rPr>
      </w:pPr>
    </w:p>
    <w:p w14:paraId="0CE76C84"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tidligere afgørelse om manglende opfyldelse af kravene har således gentagelsesvirkning for varigheden, uanset om det aktuelle forhold er af samme art eller ej. Det vil omvendt også betyde, at der skal være særlige forhold, der gør sig gældende, hvis Finanstilsynet skal kigge mere end 10 år tilbage ved vurderingen af en persons adfærd.</w:t>
      </w:r>
    </w:p>
    <w:p w14:paraId="253AB615" w14:textId="77777777" w:rsidR="004857E0" w:rsidRPr="00796736" w:rsidRDefault="004857E0" w:rsidP="00A802A5">
      <w:pPr>
        <w:spacing w:line="360" w:lineRule="auto"/>
        <w:rPr>
          <w:rFonts w:ascii="Times New Roman" w:hAnsi="Times New Roman" w:cs="Times New Roman"/>
          <w:sz w:val="24"/>
          <w:szCs w:val="24"/>
        </w:rPr>
      </w:pPr>
    </w:p>
    <w:p w14:paraId="58680AF6" w14:textId="6AEDE19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 over hensynet til omfanget, karakteren og grovheden af de forhold, der begrunder afgørelsen, vil Finanstilsynet også lægge vægt på, hvorvidt der er grund til at antage, at den pågældende fortsat ikke vil kunne varetage hvervet eller stillingen på forsvarlig måde. Det beror på en vurdering af de konkrete forhold, herunder om forholdet er så kritisabelt, at en længere varighed er påkrævet, eller hvor varigheden i særligt alvorlige sager bør være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Begyndelsestidspunktet for varigheden af afgørelsen vil som udgangspunkt være datoen for Finanstilsynets afgørelse.</w:t>
      </w:r>
    </w:p>
    <w:p w14:paraId="2A795636" w14:textId="77777777" w:rsidR="004857E0" w:rsidRPr="00796736" w:rsidRDefault="004857E0" w:rsidP="00A802A5">
      <w:pPr>
        <w:spacing w:line="360" w:lineRule="auto"/>
        <w:rPr>
          <w:rFonts w:ascii="Times New Roman" w:hAnsi="Times New Roman" w:cs="Times New Roman"/>
          <w:sz w:val="24"/>
          <w:szCs w:val="24"/>
        </w:rPr>
      </w:pPr>
    </w:p>
    <w:p w14:paraId="0BED1D1A"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Varigheden af afgørelser og påbud vil bl.a. afhænge af grovheden af de passerede forhold, om der er tale om gentagelsestilfælde, hvor lang en periode forholdene har stået på, og hvor lang tid der er gået siden de pågældende forhold er ophørt. I vurderingen af fastsættelsen af varigheden vil Finanstilsynet skulle foretage en samlet vurdering.</w:t>
      </w:r>
    </w:p>
    <w:p w14:paraId="22822CDD" w14:textId="77777777" w:rsidR="004857E0" w:rsidRPr="00796736" w:rsidRDefault="004857E0" w:rsidP="00A802A5">
      <w:pPr>
        <w:spacing w:line="360" w:lineRule="auto"/>
        <w:rPr>
          <w:rFonts w:ascii="Times New Roman" w:hAnsi="Times New Roman" w:cs="Times New Roman"/>
          <w:sz w:val="24"/>
          <w:szCs w:val="24"/>
        </w:rPr>
      </w:pPr>
    </w:p>
    <w:p w14:paraId="76FFD986"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de tilfælde, hvor Finanstilsynet afviser en person med henvisning til, at vedkommende er under konkurs, rekonstruktion eller gældssanering, vil det skulle fremgå af afgørelsen, at begyndelsestidspunktet regnes fra datoen for afslutningen af konkurs, rekonstruktion eller gældssanering.</w:t>
      </w:r>
    </w:p>
    <w:p w14:paraId="5048CF35" w14:textId="77777777" w:rsidR="004857E0" w:rsidRPr="00796736" w:rsidRDefault="004857E0" w:rsidP="00A802A5">
      <w:pPr>
        <w:spacing w:line="360" w:lineRule="auto"/>
        <w:rPr>
          <w:rFonts w:ascii="Times New Roman" w:hAnsi="Times New Roman" w:cs="Times New Roman"/>
          <w:sz w:val="24"/>
          <w:szCs w:val="24"/>
        </w:rPr>
      </w:pPr>
    </w:p>
    <w:p w14:paraId="144202E4"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Udgangspunktet for en negativ vurdering af hæderlighed vil være, at et afslag har en varighed på fem år, medmindre særlige forhold taler for en kortere eller længere varighed. Når en person har modtaget et afslag på ansøgning om godkendelse på grund af manglende hæderlighed, er der tale om en adfærd, der medfører, at personens omdømme ikke anses for at være tilstrækkeligt betryggende til, at personen kan varetage den pågældende stilling. Det vil derfor være naturligt, at der er en periode umiddelbart efter, hvor personens omdømme ikke kan bedømmes anderledes.</w:t>
      </w:r>
    </w:p>
    <w:p w14:paraId="4375A81D" w14:textId="77777777" w:rsidR="004857E0" w:rsidRPr="00796736" w:rsidRDefault="004857E0" w:rsidP="00A802A5">
      <w:pPr>
        <w:spacing w:line="360" w:lineRule="auto"/>
        <w:rPr>
          <w:rFonts w:ascii="Times New Roman" w:hAnsi="Times New Roman" w:cs="Times New Roman"/>
          <w:sz w:val="24"/>
          <w:szCs w:val="24"/>
        </w:rPr>
      </w:pPr>
    </w:p>
    <w:p w14:paraId="13BF3EB9" w14:textId="05191414"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Udover en konkret vurdering af grovheden af forholdene, vil Finanstilsynet også kunne inddrage kumulative effekter af flere overtrædelser, gentagelsestilfælde og den eventuelle skadevirkning af forholdet. Hvis det pågældende forhold er egnet til i betydeligt omfang at svække den samlede sektors omdømme og derved tilliden til sektoren, bør det skærpe varigheden. Tidsaspektet har også betydning for fastsættelsen af varigheden, hvor forhold, der ligger tilbage i tid, efter en konkret vurdering kan føre til en lempelse af varigheden. Det vil imidlertid omvendt kunne være en skærpende omstændighed, hvis personen eller virksomheden har misligholdt sin forpligtelse til at meddele Finanstilsynet oplysninger om forhold nævnt i </w:t>
      </w:r>
      <w:r w:rsidR="00D51AD7" w:rsidRPr="00796736">
        <w:rPr>
          <w:rFonts w:ascii="Times New Roman" w:hAnsi="Times New Roman" w:cs="Times New Roman"/>
          <w:sz w:val="24"/>
          <w:szCs w:val="24"/>
        </w:rPr>
        <w:t xml:space="preserve">lovforslagets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_Ref232596960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4B1C01"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4, i forbindelse med dennes indtræden.</w:t>
      </w:r>
    </w:p>
    <w:p w14:paraId="2AD5FF0C" w14:textId="77777777" w:rsidR="004857E0" w:rsidRPr="00796736" w:rsidRDefault="004857E0" w:rsidP="00A802A5">
      <w:pPr>
        <w:spacing w:line="360" w:lineRule="auto"/>
        <w:rPr>
          <w:rFonts w:ascii="Times New Roman" w:hAnsi="Times New Roman" w:cs="Times New Roman"/>
          <w:sz w:val="24"/>
          <w:szCs w:val="24"/>
        </w:rPr>
      </w:pPr>
    </w:p>
    <w:p w14:paraId="6EA63FE8"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Retningsgivende for afgørelser med en varighed, der sættes til mindre end fem år, vil være, at der kan være tale om en situation, hvor Finanstilsynet efter en samlet vurdering vurderer, at personen ikke er hæderlig, men hvor det samlede sagsforløb afdækker en række formildende omstændigheder om den pågældende eller hændelsesforløbet. Det kan også være tilfældet, hvor forholdet har en sådan beskaffenhed, at varigheden eksempelvis isoleret set vil kunne fastsættes til fem år, men hvor forholdet ligger en årrække tilbage. I sådanne tilfælde vil tidsaspektet, personens adfærd siden det pågældende forhold og fraværet af gentagelsesvirkning kunne føre til en lempelse af varigheden.</w:t>
      </w:r>
    </w:p>
    <w:p w14:paraId="7AEE8B3B" w14:textId="77777777" w:rsidR="004857E0" w:rsidRPr="00796736" w:rsidRDefault="004857E0" w:rsidP="00A802A5">
      <w:pPr>
        <w:spacing w:line="360" w:lineRule="auto"/>
        <w:rPr>
          <w:rFonts w:ascii="Times New Roman" w:hAnsi="Times New Roman" w:cs="Times New Roman"/>
          <w:sz w:val="24"/>
          <w:szCs w:val="24"/>
        </w:rPr>
      </w:pPr>
    </w:p>
    <w:p w14:paraId="2C6062A0" w14:textId="77777777"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kan der være tilfælde, hvor Finanstilsynet kunne have truffet afgørelsen på et tidligere tidspunkt, men hvor den pågældende f.eks. fratrådte tidligere, men nu igen vil være omfattet af reglerne. I nogle tilfælde kan Finanstilsynet vurdere, at denne periode uden for sektoren kan betyde, at varigheden skal være mindre end fem år. Derudover kan der være tilfælde, hvor forholdet ligger så langt tilbage i tiden, at det ikke vil have indflydelse på vurderingen af vedkommendes hæderlighed.</w:t>
      </w:r>
    </w:p>
    <w:p w14:paraId="08B46846" w14:textId="77777777" w:rsidR="004857E0" w:rsidRPr="00796736" w:rsidRDefault="004857E0" w:rsidP="00A802A5">
      <w:pPr>
        <w:spacing w:line="360" w:lineRule="auto"/>
        <w:rPr>
          <w:rFonts w:ascii="Times New Roman" w:hAnsi="Times New Roman" w:cs="Times New Roman"/>
          <w:sz w:val="24"/>
          <w:szCs w:val="24"/>
        </w:rPr>
      </w:pPr>
    </w:p>
    <w:p w14:paraId="0C10F83C" w14:textId="57B3F310" w:rsidR="004857E0" w:rsidRPr="00796736" w:rsidRDefault="004857E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Retningsgivende for fastsættelsen af varigheden til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00941F4B">
        <w:rPr>
          <w:rFonts w:ascii="Times New Roman" w:hAnsi="Times New Roman" w:cs="Times New Roman"/>
          <w:sz w:val="24"/>
          <w:szCs w:val="24"/>
        </w:rPr>
        <w:t xml:space="preserve"> </w:t>
      </w:r>
      <w:r w:rsidRPr="00796736">
        <w:rPr>
          <w:rFonts w:ascii="Times New Roman" w:hAnsi="Times New Roman" w:cs="Times New Roman"/>
          <w:sz w:val="24"/>
          <w:szCs w:val="24"/>
        </w:rPr>
        <w:t xml:space="preserve">er, at der skal være tale om grove forhold eller alvorlige gentagelsestilfælde, der som udgangspunkt ikke ligger mere end 10 år tilbage i tiden. Det vil således alene være i særligt alvorlige sager, at Finanstilsynet vil fastsætte varigheden til </w:t>
      </w:r>
      <w:r w:rsidR="002177B8" w:rsidRPr="00796736">
        <w:rPr>
          <w:rFonts w:ascii="Times New Roman" w:hAnsi="Times New Roman" w:cs="Times New Roman"/>
          <w:sz w:val="24"/>
          <w:szCs w:val="24"/>
        </w:rPr>
        <w:t xml:space="preserve">at være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Der kan eksempelvis være tale om særdeles grove forhold med overtrædelse af straffelovens berigelsesforbrydelser, åbenbare ledelsesmæssige svigt, der har medført betydelige økonomiske tab eller skadevirkning, grove misbrugssituationer, svigagtighed, grov tilsidesættelse af god skik, forsætlig tilsidesættelse af hvidvasklovens krav eller egentlig medvirken til økonomisk kriminalitet eller andre alvorlige tillidsbrud. Generelt kan det siges, at det eller de udviste forhold skal have en sådan alvorlig karakter, at det må anses for åbenbart, at hverken Finanstilsynet eller samfundet kan have tillid til, at den pågældende inden for en overskuelig fremtid vil kunne varetage hvervet som bestyrelsesmedlem, direktør eller nøgleperson på en forsvarlig måde.</w:t>
      </w:r>
    </w:p>
    <w:p w14:paraId="020FCF1F" w14:textId="77777777" w:rsidR="004857E0" w:rsidRPr="00796736" w:rsidRDefault="004857E0" w:rsidP="00A802A5">
      <w:pPr>
        <w:spacing w:line="360" w:lineRule="auto"/>
        <w:jc w:val="left"/>
        <w:rPr>
          <w:rFonts w:ascii="Times New Roman" w:eastAsia="Times New Roman" w:hAnsi="Times New Roman" w:cs="Times New Roman"/>
          <w:sz w:val="24"/>
          <w:szCs w:val="24"/>
          <w:lang w:eastAsia="da-DK"/>
        </w:rPr>
      </w:pPr>
    </w:p>
    <w:p w14:paraId="33898A04" w14:textId="00B4E211"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F416CF" w:rsidRPr="00796736">
        <w:rPr>
          <w:rFonts w:ascii="Times New Roman" w:eastAsia="Times New Roman" w:hAnsi="Times New Roman" w:cs="Times New Roman"/>
          <w:i/>
          <w:iCs/>
          <w:sz w:val="24"/>
          <w:szCs w:val="24"/>
          <w:lang w:eastAsia="da-DK"/>
        </w:rPr>
        <w:t>8</w:t>
      </w:r>
      <w:r w:rsidRPr="00796736">
        <w:rPr>
          <w:rFonts w:ascii="Times New Roman" w:eastAsia="Times New Roman" w:hAnsi="Times New Roman" w:cs="Times New Roman"/>
          <w:sz w:val="24"/>
          <w:szCs w:val="24"/>
          <w:lang w:eastAsia="da-DK"/>
        </w:rPr>
        <w:t xml:space="preserve">, at </w:t>
      </w:r>
      <w:r w:rsidR="00D51AD7" w:rsidRPr="00796736">
        <w:rPr>
          <w:rFonts w:ascii="Times New Roman" w:hAnsi="Times New Roman" w:cs="Times New Roman"/>
          <w:sz w:val="24"/>
          <w:szCs w:val="24"/>
        </w:rPr>
        <w:t>Finanstilsynet i særlige tilfælde kan, hvor Finanstilsynet vurderer, at et medlem af bestyrelsen eller direktionen i et finansielt holdingselskab med blandet aktivitet, eller hvor selskabet drives uden bestyrelse eller direktion, den eller de ledelsesansvarlige, ikke har tilstrækkelige faglige forudsætninger eller erfaring i forhold til den pågældende stilling, træffe afgørelse om, at personen kan varetage stillingen under nærmere fastsatte betingelser</w:t>
      </w:r>
    </w:p>
    <w:p w14:paraId="3E80864F"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63AD60C9" w14:textId="2D1A1DA1" w:rsidR="004857E0" w:rsidRDefault="00D51AD7"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Den foreslåede b</w:t>
      </w:r>
      <w:r w:rsidR="004857E0" w:rsidRPr="00796736">
        <w:rPr>
          <w:rFonts w:ascii="Times New Roman" w:eastAsia="Times New Roman" w:hAnsi="Times New Roman" w:cs="Times New Roman"/>
          <w:sz w:val="24"/>
          <w:szCs w:val="24"/>
          <w:lang w:eastAsia="da-DK"/>
        </w:rPr>
        <w:t>estemmelse giver Finanstilsynet mulighed for at meddele en betinget godkendelse, hvor en person, der ikke fuldt ud opfylder egnethedskravene, kan anses for egnet, hvis visse konkrete og målbare betingelser opfyldes. Betingelserne kan eksempelvis bestå i, at personen gennemfører en relevant uddannelse, opnår erfaring gennem en periode i en anden stilling, eller at der i ledelsen fortsat er personer med de nødvendige kompetencer, som den pågældende kan trække på. Betingede afgørelser kan også anvendes i situationer, hvor personen er under oplæring, og hvor godkendelsen til den endelige stilling først gives, når oplæringen er gennemført.</w:t>
      </w:r>
    </w:p>
    <w:p w14:paraId="39D90C81" w14:textId="77777777" w:rsidR="002A4E01" w:rsidRDefault="002A4E01" w:rsidP="00A802A5">
      <w:pPr>
        <w:spacing w:line="360" w:lineRule="auto"/>
        <w:rPr>
          <w:rFonts w:ascii="Times New Roman" w:eastAsia="Times New Roman" w:hAnsi="Times New Roman" w:cs="Times New Roman"/>
          <w:sz w:val="24"/>
          <w:szCs w:val="24"/>
          <w:lang w:eastAsia="da-DK"/>
        </w:rPr>
      </w:pPr>
    </w:p>
    <w:p w14:paraId="06B9E672" w14:textId="21249E2F" w:rsidR="002A4E01" w:rsidRPr="00796736" w:rsidRDefault="002A4E01" w:rsidP="00A802A5">
      <w:pPr>
        <w:spacing w:line="360" w:lineRule="auto"/>
        <w:rPr>
          <w:rFonts w:ascii="Times New Roman" w:eastAsia="Times New Roman" w:hAnsi="Times New Roman" w:cs="Times New Roman"/>
          <w:sz w:val="24"/>
          <w:szCs w:val="24"/>
          <w:lang w:eastAsia="da-DK"/>
        </w:rPr>
      </w:pPr>
      <w:r w:rsidRPr="002A4E01">
        <w:rPr>
          <w:rFonts w:ascii="Times New Roman" w:eastAsia="Times New Roman" w:hAnsi="Times New Roman" w:cs="Times New Roman"/>
          <w:sz w:val="24"/>
          <w:szCs w:val="24"/>
          <w:lang w:eastAsia="da-DK"/>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0D66E1EE"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3EF611F2" w14:textId="4A3AA081"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Finanstilsynet vil kun</w:t>
      </w:r>
      <w:r w:rsidR="00D51AD7" w:rsidRPr="00796736">
        <w:rPr>
          <w:rFonts w:ascii="Times New Roman" w:eastAsia="Times New Roman" w:hAnsi="Times New Roman" w:cs="Times New Roman"/>
          <w:sz w:val="24"/>
          <w:szCs w:val="24"/>
          <w:lang w:eastAsia="da-DK"/>
        </w:rPr>
        <w:t xml:space="preserve"> kunne</w:t>
      </w:r>
      <w:r w:rsidRPr="00796736">
        <w:rPr>
          <w:rFonts w:ascii="Times New Roman" w:eastAsia="Times New Roman" w:hAnsi="Times New Roman" w:cs="Times New Roman"/>
          <w:sz w:val="24"/>
          <w:szCs w:val="24"/>
          <w:lang w:eastAsia="da-DK"/>
        </w:rPr>
        <w:t xml:space="preserve"> anvende denne mulighed, hvor det vurderes, at betingelserne kan defineres klart og opfyldes inden for en rimelig og afgrænset periode, som udgangspunkt ikke længere end 18 måneder. I særlige tilfælde kan fristen forlænges, hvis det vurderes, at betingelserne kan opfyldes inden for en yderligere periode, dog maksimalt seks måneder. De fastsatte betingelser skal være proportionale og tage hensyn til virksomhedens størrelse, kompleksitet og den pågældendes rolle og ansvar.</w:t>
      </w:r>
    </w:p>
    <w:p w14:paraId="011B4A62"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0F01406F"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Når betingelserne er opfyldt, vurderes personen at opfylde egnethedskravene i forhold til den konkrete stilling i den konkrete virksomhed. Det er ikke givet, at opfyldelse af betingelserne vil kunne overføres til andre stillinger eller virksomheder. Finanstilsynet skal ved periodens udløb vurdere, om betingelserne er opfyldt, men foretager ikke en fornyet samlet egnethedsvurdering.</w:t>
      </w:r>
    </w:p>
    <w:p w14:paraId="3E11A9F5"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46B1F3DB"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En person med en betinget godkendelse har samme ansvar som andre ledelsesmedlemmer, men skal udvise særlig opmærksomhed på de områder, som betingelsen vedrører. Det kan efter omstændighederne være ansvarspådragende ikke at indhente relevant rådgivning eller støtte på disse områder. Manglende opfyldelse af betingelserne inden for den fastsatte frist vil medføre, at personen ikke anses for at opfylde egnethedskravene til stillingen.</w:t>
      </w:r>
    </w:p>
    <w:p w14:paraId="33E5049B" w14:textId="77777777" w:rsidR="004857E0" w:rsidRPr="00796736" w:rsidRDefault="004857E0" w:rsidP="00A802A5">
      <w:pPr>
        <w:spacing w:line="360" w:lineRule="auto"/>
        <w:rPr>
          <w:rFonts w:ascii="Times New Roman" w:eastAsia="Times New Roman" w:hAnsi="Times New Roman" w:cs="Times New Roman"/>
          <w:sz w:val="24"/>
          <w:szCs w:val="24"/>
          <w:lang w:eastAsia="da-DK"/>
        </w:rPr>
      </w:pPr>
    </w:p>
    <w:p w14:paraId="309E00ED" w14:textId="09AB9E98" w:rsidR="00E70E76" w:rsidRPr="00796736" w:rsidRDefault="004857E0"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giver således mulighed for en fleksibel og situationsbestemt vurdering, hvor Finanstilsynet kan tage hensyn til både virksomhedens og den pågældendes konkrete forhold, samtidig med at der sikres en forsvarlig ledelse.</w:t>
      </w:r>
    </w:p>
    <w:p w14:paraId="7C25ABC7" w14:textId="77777777" w:rsidR="00E70E76" w:rsidRPr="00796736" w:rsidRDefault="00E70E76" w:rsidP="00A802A5">
      <w:pPr>
        <w:spacing w:line="360" w:lineRule="auto"/>
        <w:jc w:val="center"/>
        <w:rPr>
          <w:rFonts w:ascii="Times New Roman" w:hAnsi="Times New Roman" w:cs="Times New Roman"/>
          <w:i/>
          <w:iCs/>
          <w:sz w:val="24"/>
          <w:szCs w:val="24"/>
        </w:rPr>
      </w:pPr>
    </w:p>
    <w:p w14:paraId="406A19FA" w14:textId="34870B27" w:rsidR="00E70E76" w:rsidRPr="00796736" w:rsidRDefault="00E70E7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_Ref232948941 \n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3.48</w:t>
      </w:r>
      <w:r w:rsidR="004B1C01" w:rsidRPr="00796736">
        <w:rPr>
          <w:rFonts w:ascii="Times New Roman" w:hAnsi="Times New Roman" w:cs="Times New Roman"/>
          <w:sz w:val="24"/>
          <w:szCs w:val="24"/>
        </w:rPr>
        <w:fldChar w:fldCharType="end"/>
      </w:r>
      <w:r w:rsidR="004B1C01"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2534AD2" w14:textId="77777777" w:rsidR="00E70E76" w:rsidRPr="00796736" w:rsidRDefault="00E70E76" w:rsidP="00A802A5">
      <w:pPr>
        <w:spacing w:line="360" w:lineRule="auto"/>
        <w:jc w:val="center"/>
        <w:rPr>
          <w:rFonts w:ascii="Times New Roman" w:hAnsi="Times New Roman" w:cs="Times New Roman"/>
          <w:i/>
          <w:iCs/>
          <w:sz w:val="24"/>
          <w:szCs w:val="24"/>
        </w:rPr>
      </w:pPr>
    </w:p>
    <w:p w14:paraId="05547BF2" w14:textId="5D958975" w:rsidR="00E70E76" w:rsidRPr="00796736" w:rsidRDefault="00E70E76" w:rsidP="00A802A5">
      <w:pPr>
        <w:pStyle w:val="Undertitel"/>
        <w:rPr>
          <w:iCs/>
        </w:rPr>
      </w:pPr>
      <w:bookmarkStart w:id="2010" w:name="_Toc232109384"/>
      <w:bookmarkStart w:id="2011" w:name="_Toc244879348"/>
      <w:bookmarkStart w:id="2012" w:name="_Toc244880873"/>
      <w:r w:rsidRPr="00796736">
        <w:t xml:space="preserve">Til </w:t>
      </w:r>
      <w:r w:rsidR="00465705" w:rsidRPr="00796736">
        <w:fldChar w:fldCharType="begin"/>
      </w:r>
      <w:r w:rsidR="00465705" w:rsidRPr="00796736">
        <w:instrText xml:space="preserve"> REF _Ref232596992 \r \h </w:instrText>
      </w:r>
      <w:r w:rsidR="00967618" w:rsidRPr="00796736">
        <w:instrText xml:space="preserve"> \* MERGEFORMAT </w:instrText>
      </w:r>
      <w:r w:rsidR="00465705" w:rsidRPr="00796736">
        <w:fldChar w:fldCharType="separate"/>
      </w:r>
      <w:r w:rsidR="008F29E5">
        <w:t>§ 52</w:t>
      </w:r>
      <w:bookmarkEnd w:id="2011"/>
      <w:bookmarkEnd w:id="2012"/>
      <w:r w:rsidR="00465705" w:rsidRPr="00796736">
        <w:fldChar w:fldCharType="end"/>
      </w:r>
      <w:r w:rsidRPr="00796736">
        <w:t xml:space="preserve"> </w:t>
      </w:r>
      <w:bookmarkEnd w:id="2010"/>
    </w:p>
    <w:p w14:paraId="057AA696" w14:textId="49825F2F"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 48, stk. 5</w:t>
      </w:r>
      <w:r w:rsidR="008368BA" w:rsidRPr="00796736">
        <w:rPr>
          <w:rFonts w:ascii="Times New Roman" w:hAnsi="Times New Roman" w:cs="Times New Roman"/>
          <w:sz w:val="24"/>
          <w:szCs w:val="24"/>
        </w:rPr>
        <w:t>, i hvidvaskloven</w:t>
      </w:r>
      <w:r w:rsidRPr="00796736">
        <w:rPr>
          <w:rFonts w:ascii="Times New Roman" w:hAnsi="Times New Roman" w:cs="Times New Roman"/>
          <w:sz w:val="24"/>
          <w:szCs w:val="24"/>
        </w:rPr>
        <w:t>, at Finanstilsynet kan inddrage registreringen af en virksomhed eller en anden juridisk person, hvis et medlem af virksomhedens øverste eller daglige ledelse eller personen efterfølgende omfattes af de forhold, der er nævnt i stk. 2. Tilsvarende kan registreringen inddrages, hvis virksomheden eller en reel ejer efterfølgende omfattes af de forhold, der er nævnt i</w:t>
      </w:r>
      <w:r w:rsidR="008368BA" w:rsidRPr="00796736">
        <w:rPr>
          <w:rFonts w:ascii="Times New Roman" w:hAnsi="Times New Roman" w:cs="Times New Roman"/>
          <w:sz w:val="24"/>
          <w:szCs w:val="24"/>
        </w:rPr>
        <w:t xml:space="preserve"> bestemmelsens</w:t>
      </w:r>
      <w:r w:rsidRPr="00796736">
        <w:rPr>
          <w:rFonts w:ascii="Times New Roman" w:hAnsi="Times New Roman" w:cs="Times New Roman"/>
          <w:sz w:val="24"/>
          <w:szCs w:val="24"/>
        </w:rPr>
        <w:t xml:space="preserve"> stk. 3.</w:t>
      </w:r>
    </w:p>
    <w:p w14:paraId="4D5586FB" w14:textId="77777777" w:rsidR="002177B8" w:rsidRPr="00796736" w:rsidRDefault="002177B8" w:rsidP="00A802A5">
      <w:pPr>
        <w:spacing w:line="360" w:lineRule="auto"/>
        <w:rPr>
          <w:rFonts w:ascii="Times New Roman" w:hAnsi="Times New Roman" w:cs="Times New Roman"/>
          <w:sz w:val="24"/>
          <w:szCs w:val="24"/>
        </w:rPr>
      </w:pPr>
    </w:p>
    <w:p w14:paraId="652837C1"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 48, stk. 6, at Finanstilsynet kan inddrage registreringen af en virksomhed eller en person, hvis virksomheden eller personen gør sig skyldig i grove eller gentagne overtrædelser af loven.</w:t>
      </w:r>
    </w:p>
    <w:p w14:paraId="609A49B6" w14:textId="77777777" w:rsidR="007F12ED" w:rsidRPr="00796736" w:rsidRDefault="007F12ED" w:rsidP="00A802A5">
      <w:pPr>
        <w:spacing w:line="360" w:lineRule="auto"/>
        <w:rPr>
          <w:rFonts w:ascii="Times New Roman" w:hAnsi="Times New Roman" w:cs="Times New Roman"/>
          <w:sz w:val="24"/>
          <w:szCs w:val="24"/>
        </w:rPr>
      </w:pPr>
    </w:p>
    <w:p w14:paraId="1A0AB00C" w14:textId="102690E5"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4B1C01" w:rsidRPr="00796736">
        <w:rPr>
          <w:rFonts w:ascii="Times New Roman" w:hAnsi="Times New Roman" w:cs="Times New Roman"/>
          <w:i/>
          <w:iCs/>
          <w:sz w:val="24"/>
          <w:szCs w:val="24"/>
        </w:rPr>
        <w:fldChar w:fldCharType="begin"/>
      </w:r>
      <w:r w:rsidR="004B1C01" w:rsidRPr="00796736">
        <w:rPr>
          <w:rFonts w:ascii="Times New Roman" w:hAnsi="Times New Roman" w:cs="Times New Roman"/>
          <w:i/>
          <w:iCs/>
          <w:sz w:val="24"/>
          <w:szCs w:val="24"/>
        </w:rPr>
        <w:instrText xml:space="preserve"> REF _Ref232596992 \r \h  \* MERGEFORMAT </w:instrText>
      </w:r>
      <w:r w:rsidR="004B1C01" w:rsidRPr="00796736">
        <w:rPr>
          <w:rFonts w:ascii="Times New Roman" w:hAnsi="Times New Roman" w:cs="Times New Roman"/>
          <w:i/>
          <w:iCs/>
          <w:sz w:val="24"/>
          <w:szCs w:val="24"/>
        </w:rPr>
      </w:r>
      <w:r w:rsidR="004B1C01"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52</w:t>
      </w:r>
      <w:r w:rsidR="004B1C01" w:rsidRPr="00796736">
        <w:rPr>
          <w:rFonts w:ascii="Times New Roman" w:hAnsi="Times New Roman" w:cs="Times New Roman"/>
          <w:i/>
          <w:iCs/>
          <w:sz w:val="24"/>
          <w:szCs w:val="24"/>
        </w:rPr>
        <w:fldChar w:fldCharType="end"/>
      </w:r>
      <w:r w:rsidR="004B1C01"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at Finanstilsynet får hjemmel til at inddrage registreringen af virksomheder, der er registreret efter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stk. 1 og 2</w:t>
      </w:r>
      <w:r w:rsidRPr="00796736">
        <w:rPr>
          <w:rFonts w:ascii="Times New Roman" w:hAnsi="Times New Roman" w:cs="Times New Roman"/>
          <w:sz w:val="24"/>
          <w:szCs w:val="24"/>
        </w:rPr>
        <w:t xml:space="preserve">, under en række nærmere angivne omstændigheder. </w:t>
      </w:r>
    </w:p>
    <w:p w14:paraId="2710898A" w14:textId="77777777" w:rsidR="007F12ED" w:rsidRPr="00796736" w:rsidRDefault="007F12ED" w:rsidP="00A802A5">
      <w:pPr>
        <w:spacing w:line="360" w:lineRule="auto"/>
        <w:rPr>
          <w:rFonts w:ascii="Times New Roman" w:hAnsi="Times New Roman" w:cs="Times New Roman"/>
          <w:sz w:val="24"/>
          <w:szCs w:val="24"/>
        </w:rPr>
      </w:pPr>
    </w:p>
    <w:p w14:paraId="40792A0E" w14:textId="0E529FD0"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gennemfører </w:t>
      </w:r>
      <w:r w:rsidR="002177B8" w:rsidRPr="00796736">
        <w:rPr>
          <w:rFonts w:ascii="Times New Roman" w:hAnsi="Times New Roman" w:cs="Times New Roman"/>
          <w:sz w:val="24"/>
          <w:szCs w:val="24"/>
        </w:rPr>
        <w:t>artikel 56, stk. 5, i 6. hvidvaskdirektiv,</w:t>
      </w:r>
      <w:r w:rsidRPr="00796736">
        <w:rPr>
          <w:rFonts w:ascii="Times New Roman" w:hAnsi="Times New Roman" w:cs="Times New Roman"/>
          <w:sz w:val="24"/>
          <w:szCs w:val="24"/>
        </w:rPr>
        <w:t xml:space="preserve"> som giver medlemsstaterne mulighed for at give tilsynsmyndighederne beføjelse til at anvende yderligere typer af administrative foranstaltninger ud over dem, der er nævnt i artikel 56, stk. 2. Med det foreslåede får Finanstilsynet hjemmel til at inddrage en registrering af virksomheder, der er registreret efter</w:t>
      </w:r>
      <w:r w:rsidR="004B1C01" w:rsidRPr="00796736">
        <w:rPr>
          <w:rFonts w:ascii="Times New Roman" w:hAnsi="Times New Roman" w:cs="Times New Roman"/>
          <w:sz w:val="24"/>
          <w:szCs w:val="24"/>
        </w:rPr>
        <w:t xml:space="preserve">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2, under nærmere angivne omstændigheder.</w:t>
      </w:r>
    </w:p>
    <w:p w14:paraId="034F3A66" w14:textId="77777777" w:rsidR="007F12ED" w:rsidRPr="00796736" w:rsidRDefault="007F12ED" w:rsidP="00A802A5">
      <w:pPr>
        <w:spacing w:line="360" w:lineRule="auto"/>
        <w:rPr>
          <w:rFonts w:ascii="Times New Roman" w:hAnsi="Times New Roman" w:cs="Times New Roman"/>
          <w:sz w:val="24"/>
          <w:szCs w:val="24"/>
        </w:rPr>
      </w:pPr>
    </w:p>
    <w:p w14:paraId="11801055" w14:textId="77777777" w:rsidR="007F12ED"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omfatter tilfælde, hvor virksomheden selv anmoder om at få registreringen inddraget, hvor virksomheden ikke har udøvet den relevante aktivitet senest 12 måneder efter registreringen, eller hvor virksomheden ikke har udøvet den relevante aktivitet i en samlet periode på over 6 måneder. Endvidere kan registreringen inddrages, hvis virksomheden er registreret på baggrund af urigtige eller vildledende oplysninger eller på anden uretmæssig vis, hvis virksomheden ikke længere opfylder betingelserne for registrering, hvis virksomheden er registreret som ophørt i Det Centrale Virksomhedsregister, eller hvis virksomheden ikke overholder bestemmelserne i denne lov.</w:t>
      </w:r>
    </w:p>
    <w:p w14:paraId="134CF6C7" w14:textId="77777777" w:rsidR="002A4E01" w:rsidRDefault="002A4E01" w:rsidP="00A802A5">
      <w:pPr>
        <w:spacing w:line="360" w:lineRule="auto"/>
        <w:rPr>
          <w:rFonts w:ascii="Times New Roman" w:hAnsi="Times New Roman" w:cs="Times New Roman"/>
          <w:sz w:val="24"/>
          <w:szCs w:val="24"/>
        </w:rPr>
      </w:pPr>
    </w:p>
    <w:p w14:paraId="224E9B31" w14:textId="6B96267F" w:rsidR="002A4E01" w:rsidRPr="00796736" w:rsidRDefault="002A4E01" w:rsidP="00A802A5">
      <w:pPr>
        <w:spacing w:line="360" w:lineRule="auto"/>
        <w:rPr>
          <w:rFonts w:ascii="Times New Roman" w:hAnsi="Times New Roman" w:cs="Times New Roman"/>
          <w:sz w:val="24"/>
          <w:szCs w:val="24"/>
        </w:rPr>
      </w:pPr>
      <w:r w:rsidRPr="002A4E01">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78FF45F9" w14:textId="77777777" w:rsidR="007F12ED" w:rsidRPr="00796736" w:rsidRDefault="007F12ED" w:rsidP="00A802A5">
      <w:pPr>
        <w:spacing w:line="360" w:lineRule="auto"/>
        <w:rPr>
          <w:rFonts w:ascii="Times New Roman" w:hAnsi="Times New Roman" w:cs="Times New Roman"/>
          <w:sz w:val="24"/>
          <w:szCs w:val="24"/>
        </w:rPr>
      </w:pPr>
    </w:p>
    <w:p w14:paraId="742C6208" w14:textId="5AC7BD69"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nr. 1</w:t>
      </w:r>
      <w:r w:rsidRPr="00796736">
        <w:rPr>
          <w:rFonts w:ascii="Times New Roman" w:hAnsi="Times New Roman" w:cs="Times New Roman"/>
          <w:sz w:val="24"/>
          <w:szCs w:val="24"/>
        </w:rPr>
        <w:t xml:space="preserve">, Finanstilsynet kan inddrage en registrering af en virksomhed, der er registreret hos Finanstilsynet i henhold til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stk. 1 og 2</w:t>
      </w:r>
      <w:r w:rsidRPr="00796736">
        <w:rPr>
          <w:rFonts w:ascii="Times New Roman" w:hAnsi="Times New Roman" w:cs="Times New Roman"/>
          <w:sz w:val="24"/>
          <w:szCs w:val="24"/>
        </w:rPr>
        <w:t xml:space="preserve">, når virksomheden anmoder herom. </w:t>
      </w:r>
    </w:p>
    <w:p w14:paraId="65B9C16B" w14:textId="77777777" w:rsidR="007F12ED" w:rsidRPr="00796736" w:rsidRDefault="007F12ED" w:rsidP="00A802A5">
      <w:pPr>
        <w:spacing w:line="360" w:lineRule="auto"/>
        <w:rPr>
          <w:rFonts w:ascii="Times New Roman" w:hAnsi="Times New Roman" w:cs="Times New Roman"/>
          <w:sz w:val="24"/>
          <w:szCs w:val="24"/>
        </w:rPr>
      </w:pPr>
    </w:p>
    <w:p w14:paraId="223E1118" w14:textId="77777777"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giver Finanstilsynet hjemmel til at inddrage eller slette registreringen af en virksomhed, hvis virksomheden selv anmoder om det. Formålet med bestemmelsen er at sikre, at virksomheder, der ikke længere ønsker at være registreret, kan få deres registrering ophævet efter eget ønske. Det kan eksempelvis være relevant, hvis virksomheden ophører med at udøve den aktivitet, der kræver registrering. Finanstilsynet kan således imødekomme virksomhedens anmodning om at få slettet registreringen</w:t>
      </w:r>
    </w:p>
    <w:p w14:paraId="42229CC9" w14:textId="77777777" w:rsidR="007F12ED" w:rsidRPr="00796736" w:rsidRDefault="007F12ED" w:rsidP="00A802A5">
      <w:pPr>
        <w:spacing w:line="360" w:lineRule="auto"/>
        <w:rPr>
          <w:rFonts w:ascii="Times New Roman" w:hAnsi="Times New Roman" w:cs="Times New Roman"/>
          <w:sz w:val="24"/>
          <w:szCs w:val="24"/>
        </w:rPr>
      </w:pPr>
    </w:p>
    <w:p w14:paraId="44E5A768" w14:textId="73375968"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2</w:t>
      </w:r>
      <w:r w:rsidRPr="00796736">
        <w:rPr>
          <w:rFonts w:ascii="Times New Roman" w:hAnsi="Times New Roman" w:cs="Times New Roman"/>
          <w:sz w:val="24"/>
          <w:szCs w:val="24"/>
        </w:rPr>
        <w:t xml:space="preserve">, at </w:t>
      </w:r>
      <w:r w:rsidR="008368BA" w:rsidRPr="00796736">
        <w:rPr>
          <w:rFonts w:ascii="Times New Roman" w:hAnsi="Times New Roman" w:cs="Times New Roman"/>
          <w:sz w:val="24"/>
          <w:szCs w:val="24"/>
        </w:rPr>
        <w:t xml:space="preserve">Finanstilsynet kan inddrage en registrering af en virksomhed, der er registreret hos Finanstilsynet i henhold til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004B1C01" w:rsidRPr="00796736">
        <w:rPr>
          <w:rFonts w:ascii="Times New Roman" w:eastAsia="Times New Roman" w:hAnsi="Times New Roman" w:cs="Times New Roman"/>
          <w:sz w:val="24"/>
          <w:szCs w:val="24"/>
          <w:lang w:eastAsia="da-DK"/>
        </w:rPr>
        <w:t xml:space="preserve">, </w:t>
      </w:r>
      <w:r w:rsidR="008368BA" w:rsidRPr="00796736">
        <w:rPr>
          <w:rFonts w:ascii="Times New Roman" w:eastAsia="Times New Roman" w:hAnsi="Times New Roman" w:cs="Times New Roman"/>
          <w:sz w:val="24"/>
          <w:szCs w:val="24"/>
          <w:lang w:eastAsia="da-DK"/>
        </w:rPr>
        <w:t>stk. 1 og 2</w:t>
      </w:r>
      <w:r w:rsidR="008368BA" w:rsidRPr="00796736">
        <w:rPr>
          <w:rFonts w:ascii="Times New Roman" w:hAnsi="Times New Roman" w:cs="Times New Roman"/>
          <w:sz w:val="24"/>
          <w:szCs w:val="24"/>
        </w:rPr>
        <w:t xml:space="preserve">, når </w:t>
      </w:r>
      <w:r w:rsidRPr="00796736">
        <w:rPr>
          <w:rFonts w:ascii="Times New Roman" w:hAnsi="Times New Roman" w:cs="Times New Roman"/>
          <w:sz w:val="24"/>
          <w:szCs w:val="24"/>
        </w:rPr>
        <w:t xml:space="preserve">virksomheden ikke har udøvet den relevante aktivitet senest 12 måneder efter registreringen. </w:t>
      </w:r>
    </w:p>
    <w:p w14:paraId="38EBFACB" w14:textId="77777777" w:rsidR="007F12ED" w:rsidRPr="00796736" w:rsidRDefault="007F12ED" w:rsidP="00A802A5">
      <w:pPr>
        <w:spacing w:line="360" w:lineRule="auto"/>
        <w:rPr>
          <w:rFonts w:ascii="Times New Roman" w:hAnsi="Times New Roman" w:cs="Times New Roman"/>
          <w:sz w:val="24"/>
          <w:szCs w:val="24"/>
        </w:rPr>
      </w:pPr>
    </w:p>
    <w:p w14:paraId="500104DA" w14:textId="3F9321C9" w:rsidR="007F12ED" w:rsidRPr="00796736" w:rsidRDefault="008368B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w:t>
      </w:r>
      <w:r w:rsidR="007F12ED" w:rsidRPr="00796736">
        <w:rPr>
          <w:rFonts w:ascii="Times New Roman" w:hAnsi="Times New Roman" w:cs="Times New Roman"/>
          <w:sz w:val="24"/>
          <w:szCs w:val="24"/>
        </w:rPr>
        <w:t xml:space="preserve"> registrerede virksomheder rent faktisk </w:t>
      </w:r>
      <w:r w:rsidRPr="00796736">
        <w:rPr>
          <w:rFonts w:ascii="Times New Roman" w:hAnsi="Times New Roman" w:cs="Times New Roman"/>
          <w:sz w:val="24"/>
          <w:szCs w:val="24"/>
        </w:rPr>
        <w:t xml:space="preserve">skal </w:t>
      </w:r>
      <w:r w:rsidR="007F12ED" w:rsidRPr="00796736">
        <w:rPr>
          <w:rFonts w:ascii="Times New Roman" w:hAnsi="Times New Roman" w:cs="Times New Roman"/>
          <w:sz w:val="24"/>
          <w:szCs w:val="24"/>
        </w:rPr>
        <w:t>udøve den aktivitet, som registreringen vedrører. Hvis virksomheden ikke har påbegyndt den relevante aktivitet inden for 12 måneder, anses der ikke længere at være behov for registreringen, og Finanstilsynet kan derfor inddrage registreringen. Dette bidrager til at opretholde et retvisende register over aktive virksomheder.</w:t>
      </w:r>
    </w:p>
    <w:p w14:paraId="5224077F" w14:textId="77777777" w:rsidR="007F12ED" w:rsidRPr="00796736" w:rsidRDefault="007F12ED" w:rsidP="00A802A5">
      <w:pPr>
        <w:spacing w:line="360" w:lineRule="auto"/>
        <w:rPr>
          <w:rFonts w:ascii="Times New Roman" w:hAnsi="Times New Roman" w:cs="Times New Roman"/>
          <w:sz w:val="24"/>
          <w:szCs w:val="24"/>
        </w:rPr>
      </w:pPr>
    </w:p>
    <w:p w14:paraId="4B4066FB" w14:textId="69E5B96F"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nr. 3</w:t>
      </w:r>
      <w:r w:rsidRPr="00796736">
        <w:rPr>
          <w:rFonts w:ascii="Times New Roman" w:hAnsi="Times New Roman" w:cs="Times New Roman"/>
          <w:sz w:val="24"/>
          <w:szCs w:val="24"/>
        </w:rPr>
        <w:t xml:space="preserve">, at </w:t>
      </w:r>
      <w:r w:rsidR="008368BA" w:rsidRPr="00796736">
        <w:rPr>
          <w:rFonts w:ascii="Times New Roman" w:hAnsi="Times New Roman" w:cs="Times New Roman"/>
          <w:sz w:val="24"/>
          <w:szCs w:val="24"/>
        </w:rPr>
        <w:t xml:space="preserve">Finanstilsynet kan inddrage en registrering af en virksomhed, der er registreret hos Finanstilsynet i henhold til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004B1C01" w:rsidRPr="00796736">
        <w:rPr>
          <w:rFonts w:ascii="Times New Roman" w:eastAsia="Times New Roman" w:hAnsi="Times New Roman" w:cs="Times New Roman"/>
          <w:sz w:val="24"/>
          <w:szCs w:val="24"/>
          <w:lang w:eastAsia="da-DK"/>
        </w:rPr>
        <w:t xml:space="preserve">, </w:t>
      </w:r>
      <w:r w:rsidR="008368BA" w:rsidRPr="00796736">
        <w:rPr>
          <w:rFonts w:ascii="Times New Roman" w:eastAsia="Times New Roman" w:hAnsi="Times New Roman" w:cs="Times New Roman"/>
          <w:sz w:val="24"/>
          <w:szCs w:val="24"/>
          <w:lang w:eastAsia="da-DK"/>
        </w:rPr>
        <w:t>stk. 1 og 2</w:t>
      </w:r>
      <w:r w:rsidR="008368BA" w:rsidRPr="00796736">
        <w:rPr>
          <w:rFonts w:ascii="Times New Roman" w:hAnsi="Times New Roman" w:cs="Times New Roman"/>
          <w:sz w:val="24"/>
          <w:szCs w:val="24"/>
        </w:rPr>
        <w:t xml:space="preserve">, når </w:t>
      </w:r>
      <w:r w:rsidRPr="00796736">
        <w:rPr>
          <w:rFonts w:ascii="Times New Roman" w:hAnsi="Times New Roman" w:cs="Times New Roman"/>
          <w:sz w:val="24"/>
          <w:szCs w:val="24"/>
        </w:rPr>
        <w:t xml:space="preserve">virksomheden ikke har udøvet den relevante aktivitet i en samlet periode på over 6 måneder. </w:t>
      </w:r>
    </w:p>
    <w:p w14:paraId="00BB8ED8" w14:textId="77777777" w:rsidR="007F12ED" w:rsidRPr="00796736" w:rsidRDefault="007F12ED" w:rsidP="00A802A5">
      <w:pPr>
        <w:spacing w:line="360" w:lineRule="auto"/>
        <w:rPr>
          <w:rFonts w:ascii="Times New Roman" w:hAnsi="Times New Roman" w:cs="Times New Roman"/>
          <w:sz w:val="24"/>
          <w:szCs w:val="24"/>
        </w:rPr>
      </w:pPr>
    </w:p>
    <w:p w14:paraId="366397E9" w14:textId="5B369453" w:rsidR="007F12ED" w:rsidRPr="00796736" w:rsidRDefault="008368B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w:t>
      </w:r>
      <w:r w:rsidR="007F12ED" w:rsidRPr="00796736">
        <w:rPr>
          <w:rFonts w:ascii="Times New Roman" w:hAnsi="Times New Roman" w:cs="Times New Roman"/>
          <w:sz w:val="24"/>
          <w:szCs w:val="24"/>
        </w:rPr>
        <w:t xml:space="preserve"> registrerede virksomheder reelt </w:t>
      </w:r>
      <w:r w:rsidRPr="00796736">
        <w:rPr>
          <w:rFonts w:ascii="Times New Roman" w:hAnsi="Times New Roman" w:cs="Times New Roman"/>
          <w:sz w:val="24"/>
          <w:szCs w:val="24"/>
        </w:rPr>
        <w:t>skal være</w:t>
      </w:r>
      <w:r w:rsidR="007F12ED" w:rsidRPr="00796736">
        <w:rPr>
          <w:rFonts w:ascii="Times New Roman" w:hAnsi="Times New Roman" w:cs="Times New Roman"/>
          <w:sz w:val="24"/>
          <w:szCs w:val="24"/>
        </w:rPr>
        <w:t xml:space="preserve"> aktive inden for det område, som registreringen omfatter. Hvis en virksomhed i mere end </w:t>
      </w:r>
      <w:r w:rsidR="002177B8" w:rsidRPr="00796736">
        <w:rPr>
          <w:rFonts w:ascii="Times New Roman" w:hAnsi="Times New Roman" w:cs="Times New Roman"/>
          <w:sz w:val="24"/>
          <w:szCs w:val="24"/>
        </w:rPr>
        <w:t>seks</w:t>
      </w:r>
      <w:r w:rsidR="007F12ED" w:rsidRPr="00796736">
        <w:rPr>
          <w:rFonts w:ascii="Times New Roman" w:hAnsi="Times New Roman" w:cs="Times New Roman"/>
          <w:sz w:val="24"/>
          <w:szCs w:val="24"/>
        </w:rPr>
        <w:t xml:space="preserve"> sammenhængende måneder ikke har udøvet den relevante aktivitet, anses der ikke længere at være behov for registreringen, og Finanstilsynet kan derfor inddrage registreringen. Dette bidrager til at opretholde et opdateret og retvisende register over aktive virksomheder.</w:t>
      </w:r>
    </w:p>
    <w:p w14:paraId="25C79C44" w14:textId="77777777" w:rsidR="007F12ED" w:rsidRPr="00796736" w:rsidRDefault="007F12ED" w:rsidP="00A802A5">
      <w:pPr>
        <w:spacing w:line="360" w:lineRule="auto"/>
        <w:rPr>
          <w:rFonts w:ascii="Times New Roman" w:hAnsi="Times New Roman" w:cs="Times New Roman"/>
          <w:sz w:val="24"/>
          <w:szCs w:val="24"/>
        </w:rPr>
      </w:pPr>
    </w:p>
    <w:p w14:paraId="75C29ABE" w14:textId="1E2F66E2" w:rsidR="007F12ED" w:rsidRPr="00796736" w:rsidRDefault="007F12ED"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nr. 4,</w:t>
      </w:r>
      <w:r w:rsidRPr="00796736">
        <w:rPr>
          <w:rFonts w:ascii="Times New Roman" w:hAnsi="Times New Roman" w:cs="Times New Roman"/>
          <w:sz w:val="24"/>
          <w:szCs w:val="24"/>
        </w:rPr>
        <w:t xml:space="preserve"> at </w:t>
      </w:r>
      <w:r w:rsidR="008368BA" w:rsidRPr="00796736">
        <w:rPr>
          <w:rFonts w:ascii="Times New Roman" w:hAnsi="Times New Roman" w:cs="Times New Roman"/>
          <w:sz w:val="24"/>
          <w:szCs w:val="24"/>
        </w:rPr>
        <w:t xml:space="preserve">Finanstilsynet kan inddrage en registrering af en virksomhed, der er registreret hos Finanstilsynet i henhold til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004B1C01" w:rsidRPr="00796736">
        <w:rPr>
          <w:rFonts w:ascii="Times New Roman" w:eastAsia="Times New Roman" w:hAnsi="Times New Roman" w:cs="Times New Roman"/>
          <w:sz w:val="24"/>
          <w:szCs w:val="24"/>
          <w:lang w:eastAsia="da-DK"/>
        </w:rPr>
        <w:t xml:space="preserve">, </w:t>
      </w:r>
      <w:r w:rsidR="008368BA" w:rsidRPr="00796736">
        <w:rPr>
          <w:rFonts w:ascii="Times New Roman" w:eastAsia="Times New Roman" w:hAnsi="Times New Roman" w:cs="Times New Roman"/>
          <w:sz w:val="24"/>
          <w:szCs w:val="24"/>
          <w:lang w:eastAsia="da-DK"/>
        </w:rPr>
        <w:t>stk. 1 og 2</w:t>
      </w:r>
      <w:r w:rsidR="008368BA" w:rsidRPr="00796736">
        <w:rPr>
          <w:rFonts w:ascii="Times New Roman" w:hAnsi="Times New Roman" w:cs="Times New Roman"/>
          <w:sz w:val="24"/>
          <w:szCs w:val="24"/>
        </w:rPr>
        <w:t xml:space="preserve">, når </w:t>
      </w:r>
      <w:r w:rsidRPr="00796736">
        <w:rPr>
          <w:rFonts w:ascii="Times New Roman" w:eastAsia="Calibri" w:hAnsi="Times New Roman" w:cs="Times New Roman"/>
          <w:sz w:val="24"/>
          <w:szCs w:val="24"/>
        </w:rPr>
        <w:t xml:space="preserve">virksomheden er registreret på baggrund af urigtige eller vildledende oplysninger eller på anden uretmæssig vis. </w:t>
      </w:r>
    </w:p>
    <w:p w14:paraId="45B75426" w14:textId="77777777" w:rsidR="007F12ED" w:rsidRPr="00796736" w:rsidRDefault="007F12ED" w:rsidP="00A802A5">
      <w:pPr>
        <w:spacing w:line="360" w:lineRule="auto"/>
        <w:rPr>
          <w:rFonts w:ascii="Times New Roman" w:eastAsia="Calibri" w:hAnsi="Times New Roman" w:cs="Times New Roman"/>
          <w:sz w:val="24"/>
          <w:szCs w:val="24"/>
        </w:rPr>
      </w:pPr>
    </w:p>
    <w:p w14:paraId="252409A7" w14:textId="16E6CEDD"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en forudsætning for, at Finanstilsynet kan inddrage en virksomheds registrering, at forholdet har haft en vis betydning for Finanstilsynets afgørelse om at registrere virksomheden. Endvidere er det en forudsætning, at oplysningerne har været bevidst urigtige</w:t>
      </w:r>
      <w:r w:rsidR="008368BA" w:rsidRPr="00796736">
        <w:rPr>
          <w:rFonts w:ascii="Times New Roman" w:hAnsi="Times New Roman" w:cs="Times New Roman"/>
          <w:sz w:val="24"/>
          <w:szCs w:val="24"/>
        </w:rPr>
        <w:t>, vildledende eller på anden vis uretmæssige</w:t>
      </w:r>
      <w:r w:rsidRPr="00796736">
        <w:rPr>
          <w:rFonts w:ascii="Times New Roman" w:hAnsi="Times New Roman" w:cs="Times New Roman"/>
          <w:sz w:val="24"/>
          <w:szCs w:val="24"/>
        </w:rPr>
        <w:t xml:space="preserve">. </w:t>
      </w:r>
    </w:p>
    <w:p w14:paraId="729308F5" w14:textId="77777777" w:rsidR="007F12ED" w:rsidRPr="00796736" w:rsidRDefault="007F12ED" w:rsidP="00A802A5">
      <w:pPr>
        <w:spacing w:line="360" w:lineRule="auto"/>
        <w:rPr>
          <w:rFonts w:ascii="Times New Roman" w:hAnsi="Times New Roman" w:cs="Times New Roman"/>
          <w:sz w:val="24"/>
          <w:szCs w:val="24"/>
        </w:rPr>
      </w:pPr>
    </w:p>
    <w:p w14:paraId="0DCB8F2D" w14:textId="77777777"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skal sikre, at registreringen kun opretholdes for virksomheder, der har afgivet korrekte og fyldestgørende oplysninger i forbindelse med registreringen. Hvis det efterfølgende konstateres, at registreringen er opnået på et urigtigt eller vildledende grundlag, eller på anden måde er sket uretmæssigt, kan Finanstilsynet inddrage registreringen. Dette skal bidrage til at opretholde tilliden til registret og sikre, at kun virksomheder, der opfylder betingelserne, er registreret.</w:t>
      </w:r>
    </w:p>
    <w:p w14:paraId="554061AD" w14:textId="77777777" w:rsidR="007F12ED" w:rsidRPr="00796736" w:rsidRDefault="007F12ED" w:rsidP="00A802A5">
      <w:pPr>
        <w:spacing w:line="360" w:lineRule="auto"/>
        <w:rPr>
          <w:rFonts w:ascii="Times New Roman" w:hAnsi="Times New Roman" w:cs="Times New Roman"/>
          <w:sz w:val="24"/>
          <w:szCs w:val="24"/>
        </w:rPr>
      </w:pPr>
    </w:p>
    <w:p w14:paraId="21F009C2" w14:textId="3523685F"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5</w:t>
      </w:r>
      <w:r w:rsidRPr="00796736">
        <w:rPr>
          <w:rFonts w:ascii="Times New Roman" w:hAnsi="Times New Roman" w:cs="Times New Roman"/>
          <w:sz w:val="24"/>
          <w:szCs w:val="24"/>
        </w:rPr>
        <w:t xml:space="preserve">, at </w:t>
      </w:r>
      <w:r w:rsidR="008368BA" w:rsidRPr="00796736">
        <w:rPr>
          <w:rFonts w:ascii="Times New Roman" w:hAnsi="Times New Roman" w:cs="Times New Roman"/>
          <w:sz w:val="24"/>
          <w:szCs w:val="24"/>
        </w:rPr>
        <w:t xml:space="preserve">Finanstilsynet kan inddrage en registrering af en virksomhed, der er registreret hos Finanstilsynet i henhold til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004B1C01" w:rsidRPr="00796736">
        <w:rPr>
          <w:rFonts w:ascii="Times New Roman" w:eastAsia="Times New Roman" w:hAnsi="Times New Roman" w:cs="Times New Roman"/>
          <w:sz w:val="24"/>
          <w:szCs w:val="24"/>
          <w:lang w:eastAsia="da-DK"/>
        </w:rPr>
        <w:t xml:space="preserve">, </w:t>
      </w:r>
      <w:r w:rsidR="008368BA" w:rsidRPr="00796736">
        <w:rPr>
          <w:rFonts w:ascii="Times New Roman" w:eastAsia="Times New Roman" w:hAnsi="Times New Roman" w:cs="Times New Roman"/>
          <w:sz w:val="24"/>
          <w:szCs w:val="24"/>
          <w:lang w:eastAsia="da-DK"/>
        </w:rPr>
        <w:t>stk. 1 og 2</w:t>
      </w:r>
      <w:r w:rsidR="008368BA" w:rsidRPr="00796736">
        <w:rPr>
          <w:rFonts w:ascii="Times New Roman" w:hAnsi="Times New Roman" w:cs="Times New Roman"/>
          <w:sz w:val="24"/>
          <w:szCs w:val="24"/>
        </w:rPr>
        <w:t xml:space="preserve">, når </w:t>
      </w:r>
      <w:r w:rsidRPr="00796736">
        <w:rPr>
          <w:rFonts w:ascii="Times New Roman" w:hAnsi="Times New Roman" w:cs="Times New Roman"/>
          <w:sz w:val="24"/>
          <w:szCs w:val="24"/>
        </w:rPr>
        <w:t xml:space="preserve">virksomheden ikke længere opfylder betingelserne for registrering. </w:t>
      </w:r>
    </w:p>
    <w:p w14:paraId="10B31E23" w14:textId="77777777" w:rsidR="007F12ED" w:rsidRPr="00796736" w:rsidRDefault="007F12ED" w:rsidP="00A802A5">
      <w:pPr>
        <w:spacing w:line="360" w:lineRule="auto"/>
        <w:rPr>
          <w:rFonts w:ascii="Times New Roman" w:hAnsi="Times New Roman" w:cs="Times New Roman"/>
          <w:sz w:val="24"/>
          <w:szCs w:val="24"/>
        </w:rPr>
      </w:pPr>
    </w:p>
    <w:p w14:paraId="4297E335" w14:textId="2FD5BA03" w:rsidR="007F12ED" w:rsidRPr="00796736" w:rsidRDefault="008368B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w:t>
      </w:r>
      <w:r w:rsidR="007F12ED" w:rsidRPr="00796736">
        <w:rPr>
          <w:rFonts w:ascii="Times New Roman" w:hAnsi="Times New Roman" w:cs="Times New Roman"/>
          <w:sz w:val="24"/>
          <w:szCs w:val="24"/>
        </w:rPr>
        <w:t xml:space="preserve">Finanstilsynet får dermed mulighed for at inddrage en registrering, hvis virksomheden, herunder ledelse og reelle ejere, eller den registrerede person ikke længere opfylder kravene til hæderlighed, integritet eller uafhængighed. Dette gælder også, hvis det efterfølgende viser sig, at registreringen er sket på fejlagtigt grundlag, fordi de omfattede personer, virksomheder eller holdingselskaber ikke opfyldte kravene i </w:t>
      </w:r>
      <w:r w:rsidRPr="00796736">
        <w:rPr>
          <w:rFonts w:ascii="Times New Roman" w:hAnsi="Times New Roman" w:cs="Times New Roman"/>
          <w:sz w:val="24"/>
          <w:szCs w:val="24"/>
        </w:rPr>
        <w:t xml:space="preserve">lovforslagets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_Ref232596888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48</w:t>
      </w:r>
      <w:r w:rsidR="004B1C01" w:rsidRPr="00796736">
        <w:rPr>
          <w:rFonts w:ascii="Times New Roman" w:hAnsi="Times New Roman" w:cs="Times New Roman"/>
          <w:sz w:val="24"/>
          <w:szCs w:val="24"/>
        </w:rPr>
        <w:fldChar w:fldCharType="end"/>
      </w:r>
      <w:r w:rsidR="007F12ED" w:rsidRPr="00796736">
        <w:rPr>
          <w:rFonts w:ascii="Times New Roman" w:hAnsi="Times New Roman" w:cs="Times New Roman"/>
          <w:sz w:val="24"/>
          <w:szCs w:val="24"/>
        </w:rPr>
        <w:t>,</w:t>
      </w:r>
      <w:r w:rsidR="00D82F35" w:rsidRPr="00796736">
        <w:rPr>
          <w:rFonts w:ascii="Times New Roman" w:hAnsi="Times New Roman" w:cs="Times New Roman"/>
          <w:sz w:val="24"/>
          <w:szCs w:val="24"/>
        </w:rPr>
        <w:t xml:space="preserve"> </w:t>
      </w:r>
      <w:r w:rsidR="007F12ED" w:rsidRPr="00796736">
        <w:rPr>
          <w:rFonts w:ascii="Times New Roman" w:hAnsi="Times New Roman" w:cs="Times New Roman"/>
          <w:sz w:val="24"/>
          <w:szCs w:val="24"/>
        </w:rPr>
        <w:t>nr. 1-</w:t>
      </w:r>
      <w:r w:rsidR="00C17945" w:rsidRPr="00796736">
        <w:rPr>
          <w:rFonts w:ascii="Times New Roman" w:hAnsi="Times New Roman" w:cs="Times New Roman"/>
          <w:sz w:val="24"/>
          <w:szCs w:val="24"/>
        </w:rPr>
        <w:t>3</w:t>
      </w:r>
      <w:r w:rsidR="001E4FE3" w:rsidRPr="00796736">
        <w:rPr>
          <w:rFonts w:ascii="Times New Roman" w:hAnsi="Times New Roman" w:cs="Times New Roman"/>
          <w:sz w:val="24"/>
          <w:szCs w:val="24"/>
        </w:rPr>
        <w:t xml:space="preserve"> eller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_Ref232596960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4B1C01" w:rsidRPr="00796736">
        <w:rPr>
          <w:rFonts w:ascii="Times New Roman" w:hAnsi="Times New Roman" w:cs="Times New Roman"/>
          <w:sz w:val="24"/>
          <w:szCs w:val="24"/>
        </w:rPr>
        <w:fldChar w:fldCharType="end"/>
      </w:r>
      <w:r w:rsidR="007F12ED" w:rsidRPr="00796736">
        <w:rPr>
          <w:rFonts w:ascii="Times New Roman" w:hAnsi="Times New Roman" w:cs="Times New Roman"/>
          <w:sz w:val="24"/>
          <w:szCs w:val="24"/>
        </w:rPr>
        <w:t>, stk. 1</w:t>
      </w:r>
      <w:r w:rsidR="0062599E" w:rsidRPr="00796736">
        <w:rPr>
          <w:rFonts w:ascii="Times New Roman" w:hAnsi="Times New Roman" w:cs="Times New Roman"/>
          <w:sz w:val="24"/>
          <w:szCs w:val="24"/>
        </w:rPr>
        <w:t>-4</w:t>
      </w:r>
      <w:r w:rsidR="007F12ED" w:rsidRPr="00796736">
        <w:rPr>
          <w:rFonts w:ascii="Times New Roman" w:hAnsi="Times New Roman" w:cs="Times New Roman"/>
          <w:sz w:val="24"/>
          <w:szCs w:val="24"/>
        </w:rPr>
        <w:t>. Finanstilsynet kan dog ikke inddrage en registrering, hvis de oplysninger, der ligger til grund for inddragelsen, var kendt for Finanstilsynet ved registreringen. Oplysninger anses kun for kendte, hvis de er modtaget fra de omfattede virksomheder, personer eller holdingselskaber, ikke hvis de alene kunne være indhentet fra andre kilder, f.eks. dagspressen.</w:t>
      </w:r>
    </w:p>
    <w:p w14:paraId="57F42E76" w14:textId="77777777" w:rsidR="007F12ED" w:rsidRPr="00796736" w:rsidRDefault="007F12ED" w:rsidP="00A802A5">
      <w:pPr>
        <w:spacing w:line="360" w:lineRule="auto"/>
        <w:rPr>
          <w:rFonts w:ascii="Times New Roman" w:hAnsi="Times New Roman" w:cs="Times New Roman"/>
          <w:sz w:val="24"/>
          <w:szCs w:val="24"/>
        </w:rPr>
      </w:pPr>
    </w:p>
    <w:p w14:paraId="4DA74646" w14:textId="526BC166"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Hvis der rejses straffesag mod virksomheder, herunder medlemmer af ledelsen, eller personer registreret i medfør af</w:t>
      </w:r>
      <w:r w:rsidR="008368BA" w:rsidRPr="00796736">
        <w:rPr>
          <w:rFonts w:ascii="Times New Roman" w:hAnsi="Times New Roman" w:cs="Times New Roman"/>
          <w:sz w:val="24"/>
          <w:szCs w:val="24"/>
        </w:rPr>
        <w:t xml:space="preserve"> lovforslagets</w:t>
      </w:r>
      <w:r w:rsidRPr="00796736">
        <w:rPr>
          <w:rFonts w:ascii="Times New Roman" w:hAnsi="Times New Roman" w:cs="Times New Roman"/>
          <w:sz w:val="24"/>
          <w:szCs w:val="24"/>
        </w:rPr>
        <w:t xml:space="preserve">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2, for overtrædelse af straffeloven eller anden relevant lovgivning, kan der under straffesagen nedlægges påstand om frakendelse af retten til at udøve aktiviteten, jf. straffelovens § 79, stk. 2, jf. </w:t>
      </w:r>
      <w:r w:rsidR="008368BA" w:rsidRPr="00796736">
        <w:rPr>
          <w:rFonts w:ascii="Times New Roman" w:hAnsi="Times New Roman" w:cs="Times New Roman"/>
          <w:sz w:val="24"/>
          <w:szCs w:val="24"/>
        </w:rPr>
        <w:t xml:space="preserve">lovforslagets </w:t>
      </w:r>
      <w:r w:rsidR="002A4E01">
        <w:rPr>
          <w:rFonts w:ascii="Times New Roman" w:hAnsi="Times New Roman" w:cs="Times New Roman"/>
          <w:sz w:val="24"/>
          <w:szCs w:val="24"/>
        </w:rPr>
        <w:fldChar w:fldCharType="begin"/>
      </w:r>
      <w:r w:rsidR="002A4E01">
        <w:rPr>
          <w:rFonts w:ascii="Times New Roman" w:hAnsi="Times New Roman" w:cs="Times New Roman"/>
          <w:sz w:val="24"/>
          <w:szCs w:val="24"/>
        </w:rPr>
        <w:instrText xml:space="preserve"> REF _Ref242963797 \n \h </w:instrText>
      </w:r>
      <w:r w:rsidR="00CB248D">
        <w:rPr>
          <w:rFonts w:ascii="Times New Roman" w:hAnsi="Times New Roman" w:cs="Times New Roman"/>
          <w:sz w:val="24"/>
          <w:szCs w:val="24"/>
        </w:rPr>
        <w:instrText xml:space="preserve"> \* MERGEFORMAT </w:instrText>
      </w:r>
      <w:r w:rsidR="002A4E01">
        <w:rPr>
          <w:rFonts w:ascii="Times New Roman" w:hAnsi="Times New Roman" w:cs="Times New Roman"/>
          <w:sz w:val="24"/>
          <w:szCs w:val="24"/>
        </w:rPr>
      </w:r>
      <w:r w:rsidR="002A4E01">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2A4E01">
        <w:rPr>
          <w:rFonts w:ascii="Times New Roman" w:hAnsi="Times New Roman" w:cs="Times New Roman"/>
          <w:sz w:val="24"/>
          <w:szCs w:val="24"/>
        </w:rPr>
        <w:fldChar w:fldCharType="end"/>
      </w:r>
      <w:r w:rsidRPr="00796736">
        <w:rPr>
          <w:rFonts w:ascii="Times New Roman" w:hAnsi="Times New Roman" w:cs="Times New Roman"/>
          <w:sz w:val="24"/>
          <w:szCs w:val="24"/>
        </w:rPr>
        <w:t>. De generelle straffeprocessuelle principper og almindelige retssikkerhedsmæssige hensyn tilsiger, at spørgsmålet om fortsat registrering afgøres under straffesagen. Finanstilsynet kan derfor som udgangspunkt ikke inddrage en registrering, hvis virksomheden under straffesagen har været registreret ved Finanstilsynet, og domstolene har taget stilling til spørgsmålet. Dette gælder dog ikke for reelle ejere, da disse ikke har en autorisation eller godkendelse omfattet af straffelovens § 78, stk. 3.</w:t>
      </w:r>
    </w:p>
    <w:p w14:paraId="253FCA5E" w14:textId="77777777" w:rsidR="007F12ED" w:rsidRPr="00796736" w:rsidRDefault="007F12ED" w:rsidP="00A802A5">
      <w:pPr>
        <w:spacing w:line="360" w:lineRule="auto"/>
        <w:rPr>
          <w:rFonts w:ascii="Times New Roman" w:hAnsi="Times New Roman" w:cs="Times New Roman"/>
          <w:sz w:val="24"/>
          <w:szCs w:val="24"/>
        </w:rPr>
      </w:pPr>
    </w:p>
    <w:p w14:paraId="1B4330F2" w14:textId="77777777"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kan også anvendes, hvis det er åbenbart, at domstolene ikke har taget stilling til, om et strafbart forhold skal medføre rettighedsfrakendelse.</w:t>
      </w:r>
    </w:p>
    <w:p w14:paraId="7BB9819D" w14:textId="77777777" w:rsidR="007F12ED" w:rsidRPr="00796736" w:rsidRDefault="007F12ED" w:rsidP="00A802A5">
      <w:pPr>
        <w:spacing w:line="360" w:lineRule="auto"/>
        <w:rPr>
          <w:rFonts w:ascii="Times New Roman" w:hAnsi="Times New Roman" w:cs="Times New Roman"/>
          <w:sz w:val="24"/>
          <w:szCs w:val="24"/>
        </w:rPr>
      </w:pPr>
    </w:p>
    <w:p w14:paraId="16AE4BBD" w14:textId="67E67F31"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6</w:t>
      </w:r>
      <w:r w:rsidRPr="00796736">
        <w:rPr>
          <w:rFonts w:ascii="Times New Roman" w:hAnsi="Times New Roman" w:cs="Times New Roman"/>
          <w:sz w:val="24"/>
          <w:szCs w:val="24"/>
        </w:rPr>
        <w:t xml:space="preserve">, at </w:t>
      </w:r>
      <w:r w:rsidR="008368BA" w:rsidRPr="00796736">
        <w:rPr>
          <w:rFonts w:ascii="Times New Roman" w:hAnsi="Times New Roman" w:cs="Times New Roman"/>
          <w:sz w:val="24"/>
          <w:szCs w:val="24"/>
        </w:rPr>
        <w:t xml:space="preserve">Finanstilsynet kan inddrage en registrering af en virksomhed, der er registreret hos Finanstilsynet i henhold til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008368BA" w:rsidRPr="00796736">
        <w:rPr>
          <w:rFonts w:ascii="Times New Roman" w:eastAsia="Times New Roman" w:hAnsi="Times New Roman" w:cs="Times New Roman"/>
          <w:sz w:val="24"/>
          <w:szCs w:val="24"/>
          <w:lang w:eastAsia="da-DK"/>
        </w:rPr>
        <w:t>, stk. 1 og 2</w:t>
      </w:r>
      <w:r w:rsidR="008368BA" w:rsidRPr="00796736">
        <w:rPr>
          <w:rFonts w:ascii="Times New Roman" w:hAnsi="Times New Roman" w:cs="Times New Roman"/>
          <w:sz w:val="24"/>
          <w:szCs w:val="24"/>
        </w:rPr>
        <w:t xml:space="preserve">, når </w:t>
      </w:r>
      <w:r w:rsidRPr="00796736">
        <w:rPr>
          <w:rFonts w:ascii="Times New Roman" w:hAnsi="Times New Roman" w:cs="Times New Roman"/>
          <w:sz w:val="24"/>
          <w:szCs w:val="24"/>
        </w:rPr>
        <w:t xml:space="preserve">virksomheden er registreret som ophørt i Det Centrale Virksomhedsregister. </w:t>
      </w:r>
    </w:p>
    <w:p w14:paraId="379C541F" w14:textId="77777777" w:rsidR="007F12ED" w:rsidRPr="00796736" w:rsidRDefault="007F12ED" w:rsidP="00A802A5">
      <w:pPr>
        <w:spacing w:line="360" w:lineRule="auto"/>
        <w:rPr>
          <w:rFonts w:ascii="Times New Roman" w:hAnsi="Times New Roman" w:cs="Times New Roman"/>
          <w:sz w:val="24"/>
          <w:szCs w:val="24"/>
        </w:rPr>
      </w:pPr>
    </w:p>
    <w:p w14:paraId="03540787" w14:textId="77777777"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skal sikre, at virksomheder, der ikke længere eksisterer som juridiske enheder, ikke fremgår som aktive i Finanstilsynets register. Når en virksomhed er registreret som ophørt i CVR, har den ikke længere ret til at udøve den relevante aktivitet, og der er derfor ikke grundlag for at opretholde registreringen hos Finanstilsynet. Dette bidrager til at sikre, at registret over virksomheder er retvisende og ajourført.</w:t>
      </w:r>
    </w:p>
    <w:p w14:paraId="49B1667D" w14:textId="77777777" w:rsidR="007F12ED" w:rsidRPr="00796736" w:rsidRDefault="007F12ED" w:rsidP="00A802A5">
      <w:pPr>
        <w:spacing w:line="360" w:lineRule="auto"/>
        <w:rPr>
          <w:rFonts w:ascii="Times New Roman" w:hAnsi="Times New Roman" w:cs="Times New Roman"/>
          <w:sz w:val="24"/>
          <w:szCs w:val="24"/>
        </w:rPr>
      </w:pPr>
    </w:p>
    <w:p w14:paraId="35B595D7" w14:textId="77777777"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er således udformet for at sikre, at registeret over virksomheder, der udøver de relevante aktiviteter, til enhver tid er opdateret og kun omfatter virksomheder, der opfylder de gældende krav.</w:t>
      </w:r>
    </w:p>
    <w:p w14:paraId="12422E14" w14:textId="77777777" w:rsidR="007F12ED" w:rsidRPr="00796736" w:rsidRDefault="007F12ED" w:rsidP="00A802A5">
      <w:pPr>
        <w:spacing w:line="360" w:lineRule="auto"/>
        <w:rPr>
          <w:rFonts w:ascii="Times New Roman" w:hAnsi="Times New Roman" w:cs="Times New Roman"/>
          <w:sz w:val="24"/>
          <w:szCs w:val="24"/>
        </w:rPr>
      </w:pPr>
    </w:p>
    <w:p w14:paraId="0FEE67FF" w14:textId="767D0FB2"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7</w:t>
      </w:r>
      <w:r w:rsidRPr="00796736">
        <w:rPr>
          <w:rFonts w:ascii="Times New Roman" w:hAnsi="Times New Roman" w:cs="Times New Roman"/>
          <w:sz w:val="24"/>
          <w:szCs w:val="24"/>
        </w:rPr>
        <w:t>, at</w:t>
      </w:r>
      <w:r w:rsidR="008368BA" w:rsidRPr="00796736">
        <w:rPr>
          <w:rFonts w:ascii="Times New Roman" w:hAnsi="Times New Roman" w:cs="Times New Roman"/>
          <w:sz w:val="24"/>
          <w:szCs w:val="24"/>
        </w:rPr>
        <w:t xml:space="preserve"> Finanstilsynet kan inddrage en registrering af en virksomhed, der er registreret hos Finanstilsynet i henhold til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008368BA" w:rsidRPr="00796736">
        <w:rPr>
          <w:rFonts w:ascii="Times New Roman" w:eastAsia="Times New Roman" w:hAnsi="Times New Roman" w:cs="Times New Roman"/>
          <w:sz w:val="24"/>
          <w:szCs w:val="24"/>
          <w:lang w:eastAsia="da-DK"/>
        </w:rPr>
        <w:t>, stk. 1 og 2</w:t>
      </w:r>
      <w:r w:rsidR="008368BA" w:rsidRPr="00796736">
        <w:rPr>
          <w:rFonts w:ascii="Times New Roman" w:hAnsi="Times New Roman" w:cs="Times New Roman"/>
          <w:sz w:val="24"/>
          <w:szCs w:val="24"/>
        </w:rPr>
        <w:t xml:space="preserve">, når </w:t>
      </w:r>
      <w:r w:rsidRPr="00796736">
        <w:rPr>
          <w:rFonts w:ascii="Times New Roman" w:hAnsi="Times New Roman" w:cs="Times New Roman"/>
          <w:sz w:val="24"/>
          <w:szCs w:val="24"/>
        </w:rPr>
        <w:t xml:space="preserve">virksomheden </w:t>
      </w:r>
      <w:r w:rsidRPr="00796736">
        <w:rPr>
          <w:rFonts w:ascii="Times New Roman" w:eastAsia="Calibri" w:hAnsi="Times New Roman" w:cs="Times New Roman"/>
          <w:sz w:val="24"/>
          <w:szCs w:val="24"/>
        </w:rPr>
        <w:t xml:space="preserve">ikke overholder bestemmelserne i </w:t>
      </w:r>
      <w:r w:rsidR="00704ECC" w:rsidRPr="00796736">
        <w:rPr>
          <w:rFonts w:ascii="Times New Roman" w:eastAsia="Calibri" w:hAnsi="Times New Roman" w:cs="Times New Roman"/>
          <w:sz w:val="24"/>
          <w:szCs w:val="24"/>
        </w:rPr>
        <w:t xml:space="preserve">hvidvaskforordningen, </w:t>
      </w:r>
      <w:r w:rsidRPr="00796736">
        <w:rPr>
          <w:rFonts w:ascii="Times New Roman" w:eastAsia="Calibri" w:hAnsi="Times New Roman" w:cs="Times New Roman"/>
          <w:sz w:val="24"/>
          <w:szCs w:val="24"/>
        </w:rPr>
        <w:t>denne lov</w:t>
      </w:r>
      <w:r w:rsidR="00704ECC" w:rsidRPr="00796736">
        <w:rPr>
          <w:rFonts w:ascii="Times New Roman" w:eastAsia="Calibri" w:hAnsi="Times New Roman" w:cs="Times New Roman"/>
          <w:sz w:val="24"/>
          <w:szCs w:val="24"/>
        </w:rPr>
        <w:t xml:space="preserve">, pengeoverførelsesforordningen eller </w:t>
      </w:r>
      <w:r w:rsidR="00704ECC"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r w:rsidRPr="00796736">
        <w:rPr>
          <w:rFonts w:ascii="Times New Roman" w:eastAsia="Calibri" w:hAnsi="Times New Roman" w:cs="Times New Roman"/>
          <w:sz w:val="24"/>
          <w:szCs w:val="24"/>
        </w:rPr>
        <w:t>.</w:t>
      </w:r>
    </w:p>
    <w:p w14:paraId="481853FD" w14:textId="77777777" w:rsidR="007F12ED" w:rsidRPr="00796736" w:rsidRDefault="007F12ED" w:rsidP="00A802A5">
      <w:pPr>
        <w:spacing w:line="360" w:lineRule="auto"/>
        <w:rPr>
          <w:rFonts w:ascii="Times New Roman" w:hAnsi="Times New Roman" w:cs="Times New Roman"/>
          <w:sz w:val="24"/>
          <w:szCs w:val="24"/>
        </w:rPr>
      </w:pPr>
    </w:p>
    <w:p w14:paraId="685AED25" w14:textId="4E6EB47F" w:rsidR="007F12ED" w:rsidRPr="00796736" w:rsidRDefault="00704E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der</w:t>
      </w:r>
      <w:r w:rsidR="007F12ED" w:rsidRPr="00796736">
        <w:rPr>
          <w:rFonts w:ascii="Times New Roman" w:hAnsi="Times New Roman" w:cs="Times New Roman"/>
          <w:sz w:val="24"/>
          <w:szCs w:val="24"/>
        </w:rPr>
        <w:t xml:space="preserve"> skal være tale om en klar og væsentlig overtrædelse, som understøttes af klare faktuelle oplysninger.</w:t>
      </w:r>
    </w:p>
    <w:p w14:paraId="0348954A" w14:textId="77777777" w:rsidR="007F12ED" w:rsidRPr="00796736" w:rsidRDefault="007F12ED" w:rsidP="00A802A5">
      <w:pPr>
        <w:spacing w:line="360" w:lineRule="auto"/>
        <w:rPr>
          <w:rFonts w:ascii="Times New Roman" w:hAnsi="Times New Roman" w:cs="Times New Roman"/>
          <w:sz w:val="24"/>
          <w:szCs w:val="24"/>
        </w:rPr>
      </w:pPr>
    </w:p>
    <w:p w14:paraId="1293DA21" w14:textId="6128869F"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supplerer den eksisterende adgang til at inddrage registreringen i tilfælde af manglende opfyldelse af betingelserne for registrering og udvider Finanstilsynets beføjelser til også at omfatte overtrædelser af</w:t>
      </w:r>
      <w:r w:rsidR="00704ECC" w:rsidRPr="00796736">
        <w:rPr>
          <w:rFonts w:ascii="Times New Roman" w:hAnsi="Times New Roman" w:cs="Times New Roman"/>
          <w:sz w:val="24"/>
          <w:szCs w:val="24"/>
        </w:rPr>
        <w:t xml:space="preserve"> h</w:t>
      </w:r>
      <w:r w:rsidR="00704ECC" w:rsidRPr="00796736">
        <w:rPr>
          <w:rFonts w:ascii="Times New Roman" w:eastAsia="Calibri" w:hAnsi="Times New Roman" w:cs="Times New Roman"/>
          <w:sz w:val="24"/>
          <w:szCs w:val="24"/>
        </w:rPr>
        <w:t xml:space="preserve">vidvaskforordningen, denne lov, pengeoverførelsesforordningen eller </w:t>
      </w:r>
      <w:r w:rsidR="00704ECC"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r w:rsidR="00704ECC" w:rsidRPr="00796736">
        <w:rPr>
          <w:rFonts w:ascii="Times New Roman" w:hAnsi="Times New Roman" w:cs="Times New Roman"/>
          <w:sz w:val="24"/>
          <w:szCs w:val="24"/>
        </w:rPr>
        <w:t xml:space="preserve">. </w:t>
      </w:r>
    </w:p>
    <w:p w14:paraId="2EB86AA2" w14:textId="77777777" w:rsidR="007F12ED" w:rsidRPr="00796736" w:rsidRDefault="007F12ED" w:rsidP="00A802A5">
      <w:pPr>
        <w:spacing w:line="360" w:lineRule="auto"/>
        <w:rPr>
          <w:rFonts w:ascii="Times New Roman" w:hAnsi="Times New Roman" w:cs="Times New Roman"/>
          <w:i/>
          <w:iCs/>
          <w:sz w:val="24"/>
          <w:szCs w:val="24"/>
        </w:rPr>
      </w:pPr>
    </w:p>
    <w:p w14:paraId="155C88DD" w14:textId="6A746D2F" w:rsidR="00E70E76" w:rsidRPr="00796736" w:rsidRDefault="00E70E7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_Ref232948432 \n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3.46</w:t>
      </w:r>
      <w:r w:rsidR="004B1C01" w:rsidRPr="00796736">
        <w:rPr>
          <w:rFonts w:ascii="Times New Roman" w:hAnsi="Times New Roman" w:cs="Times New Roman"/>
          <w:sz w:val="24"/>
          <w:szCs w:val="24"/>
        </w:rPr>
        <w:fldChar w:fldCharType="end"/>
      </w:r>
      <w:r w:rsidR="004B1C01"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2948882" w14:textId="77777777" w:rsidR="007F12ED" w:rsidRPr="00796736" w:rsidRDefault="007F12ED" w:rsidP="00A802A5">
      <w:pPr>
        <w:spacing w:line="360" w:lineRule="auto"/>
        <w:jc w:val="center"/>
        <w:rPr>
          <w:rFonts w:ascii="Times New Roman" w:hAnsi="Times New Roman" w:cs="Times New Roman"/>
          <w:i/>
          <w:iCs/>
          <w:sz w:val="24"/>
          <w:szCs w:val="24"/>
        </w:rPr>
      </w:pPr>
    </w:p>
    <w:p w14:paraId="5E60EE39" w14:textId="42FBE1FB" w:rsidR="007F12ED" w:rsidRPr="00796736" w:rsidRDefault="00E70E76" w:rsidP="00A802A5">
      <w:pPr>
        <w:pStyle w:val="Undertitel"/>
      </w:pPr>
      <w:bookmarkStart w:id="2013" w:name="_Toc232109385"/>
      <w:bookmarkStart w:id="2014" w:name="_Toc244879349"/>
      <w:bookmarkStart w:id="2015" w:name="_Toc244880874"/>
      <w:r w:rsidRPr="00796736">
        <w:t xml:space="preserve">Til </w:t>
      </w:r>
      <w:r w:rsidR="00465705" w:rsidRPr="00796736">
        <w:fldChar w:fldCharType="begin"/>
      </w:r>
      <w:r w:rsidR="00465705" w:rsidRPr="00796736">
        <w:instrText xml:space="preserve"> REF _Ref232597016 \r \h </w:instrText>
      </w:r>
      <w:r w:rsidR="00967618" w:rsidRPr="00796736">
        <w:instrText xml:space="preserve"> \* MERGEFORMAT </w:instrText>
      </w:r>
      <w:r w:rsidR="00465705" w:rsidRPr="00796736">
        <w:fldChar w:fldCharType="separate"/>
      </w:r>
      <w:r w:rsidR="008F29E5">
        <w:t>§ 53</w:t>
      </w:r>
      <w:bookmarkEnd w:id="2014"/>
      <w:bookmarkEnd w:id="2015"/>
      <w:r w:rsidR="00465705" w:rsidRPr="00796736">
        <w:fldChar w:fldCharType="end"/>
      </w:r>
      <w:bookmarkEnd w:id="2013"/>
    </w:p>
    <w:p w14:paraId="4FF11B82" w14:textId="314CF52B"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hvidvasklovens § 52, at Finanstilsynet for virksomheder og personer som nævnt i § 1, stk. 1, nr. 8 og 22, </w:t>
      </w:r>
      <w:r w:rsidR="002177B8" w:rsidRPr="00796736">
        <w:rPr>
          <w:rFonts w:ascii="Times New Roman" w:hAnsi="Times New Roman" w:cs="Times New Roman"/>
          <w:sz w:val="24"/>
          <w:szCs w:val="24"/>
        </w:rPr>
        <w:t xml:space="preserve">kan </w:t>
      </w:r>
      <w:r w:rsidRPr="00796736">
        <w:rPr>
          <w:rFonts w:ascii="Times New Roman" w:hAnsi="Times New Roman" w:cs="Times New Roman"/>
          <w:sz w:val="24"/>
          <w:szCs w:val="24"/>
        </w:rPr>
        <w:t>fastsætte nærmere regler om anmeldelse, registrering og offentliggørelse, herunder om, hvilke oplysninger der skal registreres, og hvilke forhold anmeldere eller andre kan indsende og registrere elektronisk i Finanstilsynets it-system ved at benytte digital eller tilsvarende elektronisk signatur, samt om brugen af dette system.</w:t>
      </w:r>
    </w:p>
    <w:p w14:paraId="6FB91F58" w14:textId="77777777" w:rsidR="007F12ED" w:rsidRPr="00796736" w:rsidRDefault="007F12ED" w:rsidP="00A802A5">
      <w:pPr>
        <w:spacing w:line="360" w:lineRule="auto"/>
        <w:rPr>
          <w:rFonts w:ascii="Times New Roman" w:hAnsi="Times New Roman" w:cs="Times New Roman"/>
          <w:sz w:val="24"/>
          <w:szCs w:val="24"/>
        </w:rPr>
      </w:pPr>
    </w:p>
    <w:p w14:paraId="2BF459FF" w14:textId="3E1A3C98" w:rsidR="007F12ED" w:rsidRPr="00796736" w:rsidRDefault="00776A7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7F12ED" w:rsidRPr="00796736">
        <w:rPr>
          <w:rFonts w:ascii="Times New Roman" w:hAnsi="Times New Roman" w:cs="Times New Roman"/>
          <w:sz w:val="24"/>
          <w:szCs w:val="24"/>
        </w:rPr>
        <w:t xml:space="preserve"> viderefører bemyndigelsen i hvidvasklovens § 52. Dermed sikres det, at Finanstilsynet fortsat har hjemmel til at fastsætte de nødvendige administrative regler om anmeldelse, registrering og offentliggørelse, herunder krav til de oplysninger, der skal indsendes, og procedurer for elektronisk indberetning.</w:t>
      </w:r>
    </w:p>
    <w:p w14:paraId="582D5C2F" w14:textId="77777777" w:rsidR="007F12ED" w:rsidRPr="00796736" w:rsidRDefault="007F12ED" w:rsidP="00A802A5">
      <w:pPr>
        <w:spacing w:line="360" w:lineRule="auto"/>
        <w:rPr>
          <w:rFonts w:ascii="Times New Roman" w:hAnsi="Times New Roman" w:cs="Times New Roman"/>
          <w:sz w:val="24"/>
          <w:szCs w:val="24"/>
        </w:rPr>
      </w:pPr>
    </w:p>
    <w:p w14:paraId="5F365B07" w14:textId="36515CF3" w:rsidR="007F12ED" w:rsidRPr="00796736" w:rsidRDefault="007F12ED"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Det foreslås i </w:t>
      </w:r>
      <w:r w:rsidR="004B1C01" w:rsidRPr="00796736">
        <w:rPr>
          <w:rFonts w:ascii="Times New Roman" w:hAnsi="Times New Roman" w:cs="Times New Roman"/>
          <w:i/>
          <w:iCs/>
          <w:sz w:val="24"/>
          <w:szCs w:val="24"/>
        </w:rPr>
        <w:fldChar w:fldCharType="begin"/>
      </w:r>
      <w:r w:rsidR="004B1C01" w:rsidRPr="00796736">
        <w:rPr>
          <w:rFonts w:ascii="Times New Roman" w:hAnsi="Times New Roman" w:cs="Times New Roman"/>
          <w:i/>
          <w:iCs/>
          <w:sz w:val="24"/>
          <w:szCs w:val="24"/>
        </w:rPr>
        <w:instrText xml:space="preserve"> REF _Ref232597016 \r \h  \* MERGEFORMAT </w:instrText>
      </w:r>
      <w:r w:rsidR="004B1C01" w:rsidRPr="00796736">
        <w:rPr>
          <w:rFonts w:ascii="Times New Roman" w:hAnsi="Times New Roman" w:cs="Times New Roman"/>
          <w:i/>
          <w:iCs/>
          <w:sz w:val="24"/>
          <w:szCs w:val="24"/>
        </w:rPr>
      </w:r>
      <w:r w:rsidR="004B1C01"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53</w:t>
      </w:r>
      <w:r w:rsidR="004B1C01"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w:t>
      </w:r>
      <w:r w:rsidRPr="00796736">
        <w:rPr>
          <w:rFonts w:ascii="Times New Roman" w:eastAsia="Calibri" w:hAnsi="Times New Roman" w:cs="Times New Roman"/>
          <w:sz w:val="24"/>
          <w:szCs w:val="24"/>
        </w:rPr>
        <w:t xml:space="preserve">Finanstilsynet for virksomheder og personer, der er omfattet af </w:t>
      </w:r>
      <w:r w:rsidR="004B1C01" w:rsidRPr="00796736">
        <w:rPr>
          <w:rFonts w:ascii="Times New Roman" w:hAnsi="Times New Roman" w:cs="Times New Roman"/>
          <w:sz w:val="24"/>
          <w:szCs w:val="24"/>
        </w:rPr>
        <w:fldChar w:fldCharType="begin"/>
      </w:r>
      <w:r w:rsidR="004B1C01"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4B1C01" w:rsidRPr="00796736">
        <w:rPr>
          <w:rFonts w:ascii="Times New Roman" w:hAnsi="Times New Roman" w:cs="Times New Roman"/>
          <w:sz w:val="24"/>
          <w:szCs w:val="24"/>
        </w:rPr>
      </w:r>
      <w:r w:rsidR="004B1C0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4B1C01" w:rsidRPr="00796736">
        <w:rPr>
          <w:rFonts w:ascii="Times New Roman" w:hAnsi="Times New Roman" w:cs="Times New Roman"/>
          <w:sz w:val="24"/>
          <w:szCs w:val="24"/>
        </w:rPr>
        <w:fldChar w:fldCharType="end"/>
      </w:r>
      <w:r w:rsidR="004B1C01" w:rsidRPr="00796736">
        <w:rPr>
          <w:rFonts w:ascii="Times New Roman" w:eastAsia="Times New Roman" w:hAnsi="Times New Roman" w:cs="Times New Roman"/>
          <w:sz w:val="24"/>
          <w:szCs w:val="24"/>
          <w:lang w:eastAsia="da-DK"/>
        </w:rPr>
        <w:t xml:space="preserve">, </w:t>
      </w:r>
      <w:r w:rsidRPr="00796736">
        <w:rPr>
          <w:rFonts w:ascii="Times New Roman" w:eastAsia="Calibri" w:hAnsi="Times New Roman" w:cs="Times New Roman"/>
          <w:sz w:val="24"/>
          <w:szCs w:val="24"/>
        </w:rPr>
        <w:t xml:space="preserve">stk. 1 og 2, </w:t>
      </w:r>
      <w:r w:rsidR="002D219B" w:rsidRPr="00796736">
        <w:rPr>
          <w:rFonts w:ascii="Times New Roman" w:eastAsia="Calibri" w:hAnsi="Times New Roman" w:cs="Times New Roman"/>
          <w:sz w:val="24"/>
          <w:szCs w:val="24"/>
        </w:rPr>
        <w:t xml:space="preserve">kan </w:t>
      </w:r>
      <w:r w:rsidRPr="00796736">
        <w:rPr>
          <w:rFonts w:ascii="Times New Roman" w:eastAsia="Calibri" w:hAnsi="Times New Roman" w:cs="Times New Roman"/>
          <w:sz w:val="24"/>
          <w:szCs w:val="24"/>
        </w:rPr>
        <w:t>fastsætte nærmere regler om anmeldelse, registrering og offentliggørelse. Dette omfatter blandt andet regler om, hvilke oplysninger der skal registreres, hvilke forhold anmeldere eller andre kan indsende og registrere elektronisk i Finanstilsynets it-system ved brug af digital eller tilsvarende elektronisk signatur, samt om anvendelsen af dette system.</w:t>
      </w:r>
    </w:p>
    <w:p w14:paraId="434F0139" w14:textId="77777777" w:rsidR="007F12ED" w:rsidRPr="00796736" w:rsidRDefault="007F12ED" w:rsidP="00A802A5">
      <w:pPr>
        <w:spacing w:line="360" w:lineRule="auto"/>
        <w:rPr>
          <w:rFonts w:ascii="Times New Roman" w:hAnsi="Times New Roman" w:cs="Times New Roman"/>
          <w:sz w:val="24"/>
          <w:szCs w:val="24"/>
        </w:rPr>
      </w:pPr>
    </w:p>
    <w:p w14:paraId="48EEADD7" w14:textId="4BC49DDA" w:rsidR="007F12ED"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har udstedt </w:t>
      </w:r>
      <w:r w:rsidR="007F12ED" w:rsidRPr="00796736">
        <w:rPr>
          <w:rFonts w:ascii="Times New Roman" w:hAnsi="Times New Roman" w:cs="Times New Roman"/>
          <w:sz w:val="24"/>
          <w:szCs w:val="24"/>
        </w:rPr>
        <w:t>bekendtgørelse nr. 1046 af 17. september 2024 om anmeldelse og registrering af virksomheder og personer i Finanstilsynets hvidvaskregister</w:t>
      </w:r>
      <w:r w:rsidRPr="00796736">
        <w:rPr>
          <w:rFonts w:ascii="Times New Roman" w:hAnsi="Times New Roman" w:cs="Times New Roman"/>
          <w:sz w:val="24"/>
          <w:szCs w:val="24"/>
        </w:rPr>
        <w:t>. Bekendtgørelsen fastsætter de</w:t>
      </w:r>
      <w:r w:rsidR="007F12ED" w:rsidRPr="00796736">
        <w:rPr>
          <w:rFonts w:ascii="Times New Roman" w:hAnsi="Times New Roman" w:cs="Times New Roman"/>
          <w:sz w:val="24"/>
          <w:szCs w:val="24"/>
        </w:rPr>
        <w:t xml:space="preserve"> nærmere krav til de oplysninger, som de omfattede virksomheder og personer skal angive i forbindelse med anmeldelse om optagelse i registret. Bekendtgørelsen regulerer blandt andet, hvilke oplysninger der skal indsendes</w:t>
      </w:r>
      <w:r w:rsidRPr="00796736">
        <w:rPr>
          <w:rFonts w:ascii="Times New Roman" w:hAnsi="Times New Roman" w:cs="Times New Roman"/>
          <w:sz w:val="24"/>
          <w:szCs w:val="24"/>
        </w:rPr>
        <w:t>,</w:t>
      </w:r>
      <w:r w:rsidR="007F12ED" w:rsidRPr="00796736">
        <w:rPr>
          <w:rFonts w:ascii="Times New Roman" w:hAnsi="Times New Roman" w:cs="Times New Roman"/>
          <w:sz w:val="24"/>
          <w:szCs w:val="24"/>
        </w:rPr>
        <w:t xml:space="preserve"> og hvordan indsendelsen skal foregå.</w:t>
      </w:r>
    </w:p>
    <w:p w14:paraId="078FEB8C" w14:textId="77777777" w:rsidR="007F12ED" w:rsidRPr="00796736" w:rsidRDefault="007F12ED" w:rsidP="00A802A5">
      <w:pPr>
        <w:spacing w:line="360" w:lineRule="auto"/>
        <w:rPr>
          <w:rFonts w:ascii="Times New Roman" w:hAnsi="Times New Roman" w:cs="Times New Roman"/>
          <w:sz w:val="24"/>
          <w:szCs w:val="24"/>
        </w:rPr>
      </w:pPr>
    </w:p>
    <w:p w14:paraId="14992A26" w14:textId="77777777" w:rsidR="002177B8" w:rsidRPr="00796736" w:rsidRDefault="002177B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at bekendtgørelsen vil blive udstedt på ny, således at den tilpasses eventuelle ændringer i lovgivningen og de administrative procedurer. Dette skal sikre, at reglerne om anmeldelse og registrering fortsat er tidssvarende og understøtter en effektiv administration af hvidvaskregisteret.</w:t>
      </w:r>
    </w:p>
    <w:p w14:paraId="7D09FE01" w14:textId="77777777" w:rsidR="007F12ED" w:rsidRPr="00796736" w:rsidRDefault="007F12ED" w:rsidP="00A802A5">
      <w:pPr>
        <w:spacing w:line="360" w:lineRule="auto"/>
        <w:rPr>
          <w:rFonts w:ascii="Times New Roman" w:hAnsi="Times New Roman" w:cs="Times New Roman"/>
          <w:sz w:val="24"/>
          <w:szCs w:val="24"/>
        </w:rPr>
      </w:pPr>
    </w:p>
    <w:p w14:paraId="036263F4" w14:textId="77777777"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 oplysninger, der skal registreres, kan eksempelvis omfatte virksomhedens navn, CVR-nummer eller andet relevant registreringsnummer. For privatpersoner kan det tillige omfatte oplysninger som CPR-nummer, fødselsdato og fødested. Herudover kan det være nødvendigt at registrere samtlige adresser i Danmark, hvor kunder kan henvende sig til virksomheden, samt eventuelle ændringer i de oprindelige oplysninger.</w:t>
      </w:r>
    </w:p>
    <w:p w14:paraId="70A13738" w14:textId="77777777" w:rsidR="007F12ED" w:rsidRPr="00796736" w:rsidRDefault="007F12ED" w:rsidP="00A802A5">
      <w:pPr>
        <w:spacing w:line="360" w:lineRule="auto"/>
        <w:rPr>
          <w:rFonts w:ascii="Times New Roman" w:hAnsi="Times New Roman" w:cs="Times New Roman"/>
          <w:sz w:val="24"/>
          <w:szCs w:val="24"/>
        </w:rPr>
      </w:pPr>
    </w:p>
    <w:p w14:paraId="73D0464B" w14:textId="77777777" w:rsidR="007F12ED" w:rsidRPr="00796736" w:rsidRDefault="007F12E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Formålet med at indsamle disse oplysninger er at sikre, at Finanstilsynet har et opdateret og fyldestgørende grundlag for tilsynet med de omfattede virksomheder og personer. Dette bidrager til at understøtte en effektiv administration af hvidvaskregisteret og til at sikre, at oplysningerne er tilgængelige for relevante myndigheder i overensstemmelse med gældende regler.</w:t>
      </w:r>
    </w:p>
    <w:p w14:paraId="2D2BD635" w14:textId="77777777" w:rsidR="008D4D51" w:rsidRPr="00796736" w:rsidRDefault="008D4D51" w:rsidP="00A802A5">
      <w:pPr>
        <w:spacing w:line="360" w:lineRule="auto"/>
        <w:rPr>
          <w:rFonts w:ascii="Times New Roman" w:hAnsi="Times New Roman" w:cs="Times New Roman"/>
          <w:i/>
          <w:iCs/>
          <w:sz w:val="24"/>
          <w:szCs w:val="24"/>
        </w:rPr>
      </w:pPr>
    </w:p>
    <w:p w14:paraId="0ED34843" w14:textId="098C4C8B" w:rsidR="008D4D51" w:rsidRPr="00796736" w:rsidRDefault="00E70E76" w:rsidP="00A802A5">
      <w:pPr>
        <w:pStyle w:val="Undertitel"/>
      </w:pPr>
      <w:bookmarkStart w:id="2016" w:name="_Toc232109386"/>
      <w:bookmarkStart w:id="2017" w:name="_Toc244879350"/>
      <w:bookmarkStart w:id="2018" w:name="_Toc244880875"/>
      <w:r w:rsidRPr="00796736">
        <w:t xml:space="preserve">Til </w:t>
      </w:r>
      <w:r w:rsidR="00465705" w:rsidRPr="00796736">
        <w:fldChar w:fldCharType="begin"/>
      </w:r>
      <w:r w:rsidR="00465705" w:rsidRPr="00796736">
        <w:instrText xml:space="preserve"> REF _Ref232597035 \r \h </w:instrText>
      </w:r>
      <w:r w:rsidR="00967618" w:rsidRPr="00796736">
        <w:instrText xml:space="preserve"> \* MERGEFORMAT </w:instrText>
      </w:r>
      <w:r w:rsidR="00465705" w:rsidRPr="00796736">
        <w:fldChar w:fldCharType="separate"/>
      </w:r>
      <w:r w:rsidR="008F29E5">
        <w:t>§ 54</w:t>
      </w:r>
      <w:bookmarkEnd w:id="2017"/>
      <w:bookmarkEnd w:id="2018"/>
      <w:r w:rsidR="00465705" w:rsidRPr="00796736">
        <w:fldChar w:fldCharType="end"/>
      </w:r>
      <w:r w:rsidR="00B6470E" w:rsidRPr="00796736">
        <w:t xml:space="preserve"> </w:t>
      </w:r>
      <w:bookmarkEnd w:id="2016"/>
    </w:p>
    <w:p w14:paraId="2C43D975"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47, stk. 1, påser Finanstilsynet, at virksomheder og personer omfattet af § 1, stk. 1, nr. 1-12, 18 og 22, og filialer, distributører og agenter her i landet af sådanne udenlandske virksomheder og personer overholder loven, regler udstedt i medfør heraf, Europa-Parlamentets og Rådets forordning om oplysninger, der skal medsendes ved pengeoverførsler og ved overførsler af visse kryptoaktiver, og love og forordninger indeholdende regler om finansielle sanktioner mod lande, personer, grupper, juridiske enheder eller organer. Dette gælder dog ikke overholdelse af § 36.</w:t>
      </w:r>
    </w:p>
    <w:p w14:paraId="1AC05712" w14:textId="77777777" w:rsidR="003134CC" w:rsidRPr="00796736" w:rsidRDefault="003134CC" w:rsidP="00A802A5">
      <w:pPr>
        <w:spacing w:line="360" w:lineRule="auto"/>
        <w:rPr>
          <w:rFonts w:ascii="Times New Roman" w:hAnsi="Times New Roman" w:cs="Times New Roman"/>
          <w:sz w:val="24"/>
          <w:szCs w:val="24"/>
        </w:rPr>
      </w:pPr>
    </w:p>
    <w:p w14:paraId="52A02677" w14:textId="52D287D4" w:rsidR="003134CC" w:rsidRPr="00796736" w:rsidRDefault="003134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henhold til hvidvaskforordningens artikel 3, nr. 1 og 2, samt nr. 3, litra h, k og m, finder hvidvaskforordningen anvendelse på kreditinstitutter, finansieringsinstitutter, crowdfundingtjenesteudbydere og crowdfundingformidlere, kreditformidlere af realkreditlån og forbrugerkreditter, med undtagelse af kreditinstitutter og finansieringsinstitutter samt kreditformidlere, der udøver aktiviteter på en eller flere kreditgiveres eller kreditformidleres ansvar, og ikkefinansielle holdingselskaber med blandet aktivitet.</w:t>
      </w:r>
    </w:p>
    <w:p w14:paraId="0F9BB895" w14:textId="77777777" w:rsidR="003134CC" w:rsidRPr="00796736" w:rsidRDefault="003134CC" w:rsidP="00A802A5">
      <w:pPr>
        <w:spacing w:line="360" w:lineRule="auto"/>
        <w:rPr>
          <w:rFonts w:ascii="Times New Roman" w:hAnsi="Times New Roman" w:cs="Times New Roman"/>
          <w:sz w:val="24"/>
          <w:szCs w:val="24"/>
        </w:rPr>
      </w:pPr>
    </w:p>
    <w:p w14:paraId="2D9525DB" w14:textId="42F1C095" w:rsidR="003134CC" w:rsidRPr="00796736" w:rsidRDefault="003134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Pengeoverførselsforordningen fastlægger regler om oplysninger om betalere og betalingsmodtagere, som skal medsendes ved pengeoverførsler og overførelser af kryptoaktiver, med henblik på at forebygge, opdage og efterforske hvidvask af penge og finansiering af terrorisme. EU's regler på dette område er overvejende baseret på internationale anbefalinger vedtaget af Financial Action Task Force (FATF).</w:t>
      </w:r>
    </w:p>
    <w:p w14:paraId="537DBC85"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19B61D39" w14:textId="47032A60"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w:t>
      </w:r>
      <w:r w:rsidR="00530CD4" w:rsidRPr="00796736">
        <w:rPr>
          <w:rFonts w:ascii="Times New Roman" w:hAnsi="Times New Roman" w:cs="Times New Roman"/>
          <w:sz w:val="24"/>
          <w:szCs w:val="24"/>
        </w:rPr>
        <w:fldChar w:fldCharType="begin"/>
      </w:r>
      <w:r w:rsidR="00530CD4"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530CD4" w:rsidRPr="00796736">
        <w:rPr>
          <w:rFonts w:ascii="Times New Roman" w:hAnsi="Times New Roman" w:cs="Times New Roman"/>
          <w:sz w:val="24"/>
          <w:szCs w:val="24"/>
        </w:rPr>
      </w:r>
      <w:r w:rsidR="00530CD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530CD4" w:rsidRPr="00796736">
        <w:rPr>
          <w:rFonts w:ascii="Times New Roman" w:hAnsi="Times New Roman" w:cs="Times New Roman"/>
          <w:sz w:val="24"/>
          <w:szCs w:val="24"/>
        </w:rPr>
        <w:fldChar w:fldCharType="end"/>
      </w:r>
      <w:r w:rsidR="00530CD4" w:rsidRPr="00796736">
        <w:rPr>
          <w:rFonts w:ascii="Times New Roman" w:hAnsi="Times New Roman" w:cs="Times New Roman"/>
          <w:sz w:val="24"/>
          <w:szCs w:val="24"/>
        </w:rPr>
        <w:t xml:space="preserve"> </w:t>
      </w:r>
      <w:r w:rsidRPr="00796736">
        <w:rPr>
          <w:rFonts w:ascii="Times New Roman" w:eastAsia="Times New Roman" w:hAnsi="Times New Roman" w:cs="Times New Roman"/>
          <w:iCs/>
          <w:sz w:val="24"/>
          <w:szCs w:val="24"/>
          <w:lang w:eastAsia="da-DK"/>
        </w:rPr>
        <w:t>viderefører § 47</w:t>
      </w:r>
      <w:r w:rsidR="002D219B">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t xml:space="preserve"> stk. 1 og 3, med de ændringer som følger af 6. hvidvaskdirektivs kapitel IV. For nærmere om de relevante artikler henvises til pkt. </w:t>
      </w:r>
      <w:r w:rsidR="00530CD4" w:rsidRPr="00796736">
        <w:rPr>
          <w:rFonts w:ascii="Times New Roman" w:eastAsia="Times New Roman" w:hAnsi="Times New Roman" w:cs="Times New Roman"/>
          <w:iCs/>
          <w:sz w:val="24"/>
          <w:szCs w:val="24"/>
          <w:lang w:eastAsia="da-DK"/>
        </w:rPr>
        <w:fldChar w:fldCharType="begin"/>
      </w:r>
      <w:r w:rsidR="00530CD4" w:rsidRPr="00796736">
        <w:rPr>
          <w:rFonts w:ascii="Times New Roman" w:eastAsia="Times New Roman" w:hAnsi="Times New Roman" w:cs="Times New Roman"/>
          <w:iCs/>
          <w:sz w:val="24"/>
          <w:szCs w:val="24"/>
          <w:lang w:eastAsia="da-DK"/>
        </w:rPr>
        <w:instrText xml:space="preserve"> REF _Ref232949444 \n \h </w:instrText>
      </w:r>
      <w:r w:rsidR="00967618" w:rsidRPr="00796736">
        <w:rPr>
          <w:rFonts w:ascii="Times New Roman" w:eastAsia="Times New Roman" w:hAnsi="Times New Roman" w:cs="Times New Roman"/>
          <w:iCs/>
          <w:sz w:val="24"/>
          <w:szCs w:val="24"/>
          <w:lang w:eastAsia="da-DK"/>
        </w:rPr>
        <w:instrText xml:space="preserve"> \* MERGEFORMAT </w:instrText>
      </w:r>
      <w:r w:rsidR="00530CD4" w:rsidRPr="00796736">
        <w:rPr>
          <w:rFonts w:ascii="Times New Roman" w:eastAsia="Times New Roman" w:hAnsi="Times New Roman" w:cs="Times New Roman"/>
          <w:iCs/>
          <w:sz w:val="24"/>
          <w:szCs w:val="24"/>
          <w:lang w:eastAsia="da-DK"/>
        </w:rPr>
      </w:r>
      <w:r w:rsidR="00530CD4"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3.49.2</w:t>
      </w:r>
      <w:r w:rsidR="00530CD4" w:rsidRPr="00796736">
        <w:rPr>
          <w:rFonts w:ascii="Times New Roman" w:eastAsia="Times New Roman" w:hAnsi="Times New Roman" w:cs="Times New Roman"/>
          <w:iCs/>
          <w:sz w:val="24"/>
          <w:szCs w:val="24"/>
          <w:lang w:eastAsia="da-DK"/>
        </w:rPr>
        <w:fldChar w:fldCharType="end"/>
      </w:r>
      <w:r w:rsidR="00530CD4" w:rsidRPr="00796736">
        <w:rPr>
          <w:rFonts w:ascii="Times New Roman" w:eastAsia="Times New Roman" w:hAnsi="Times New Roman" w:cs="Times New Roman"/>
          <w:iCs/>
          <w:sz w:val="24"/>
          <w:szCs w:val="24"/>
          <w:lang w:eastAsia="da-DK"/>
        </w:rPr>
        <w:t xml:space="preserve"> </w:t>
      </w:r>
      <w:r w:rsidRPr="00796736">
        <w:rPr>
          <w:rFonts w:ascii="Times New Roman" w:eastAsia="Times New Roman" w:hAnsi="Times New Roman" w:cs="Times New Roman"/>
          <w:iCs/>
          <w:sz w:val="24"/>
          <w:szCs w:val="24"/>
          <w:lang w:eastAsia="da-DK"/>
        </w:rPr>
        <w:t>i lovforslagets almindelige bemærkninger.</w:t>
      </w:r>
    </w:p>
    <w:p w14:paraId="7A8BE48D"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63CBF50C" w14:textId="37AF14EB"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530CD4" w:rsidRPr="00796736">
        <w:rPr>
          <w:rFonts w:ascii="Times New Roman" w:hAnsi="Times New Roman" w:cs="Times New Roman"/>
          <w:i/>
          <w:iCs/>
          <w:sz w:val="24"/>
          <w:szCs w:val="24"/>
        </w:rPr>
        <w:fldChar w:fldCharType="begin"/>
      </w:r>
      <w:r w:rsidR="00530CD4" w:rsidRPr="00796736">
        <w:rPr>
          <w:rFonts w:ascii="Times New Roman" w:hAnsi="Times New Roman" w:cs="Times New Roman"/>
          <w:i/>
          <w:iCs/>
          <w:sz w:val="24"/>
          <w:szCs w:val="24"/>
        </w:rPr>
        <w:instrText xml:space="preserve"> REF _Ref232597035 \r \h  \* MERGEFORMAT </w:instrText>
      </w:r>
      <w:r w:rsidR="00530CD4" w:rsidRPr="00796736">
        <w:rPr>
          <w:rFonts w:ascii="Times New Roman" w:hAnsi="Times New Roman" w:cs="Times New Roman"/>
          <w:i/>
          <w:iCs/>
          <w:sz w:val="24"/>
          <w:szCs w:val="24"/>
        </w:rPr>
      </w:r>
      <w:r w:rsidR="00530CD4"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54</w:t>
      </w:r>
      <w:r w:rsidR="00530CD4"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stk. 1,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sz w:val="24"/>
          <w:szCs w:val="24"/>
          <w:lang w:eastAsia="da-DK"/>
        </w:rPr>
        <w:t xml:space="preserve">Finanstilsynet påser, at virksomheder og personer som nævnt i § </w:t>
      </w:r>
      <w:r w:rsidR="00366798" w:rsidRPr="00796736">
        <w:rPr>
          <w:rFonts w:ascii="Times New Roman" w:hAnsi="Times New Roman" w:cs="Times New Roman"/>
          <w:sz w:val="24"/>
          <w:szCs w:val="24"/>
          <w:lang w:eastAsia="da-DK"/>
        </w:rPr>
        <w:t>1, stk. 2, nr. 1-3</w:t>
      </w:r>
      <w:r w:rsidR="005F48B0">
        <w:rPr>
          <w:rFonts w:ascii="Times New Roman" w:hAnsi="Times New Roman" w:cs="Times New Roman"/>
          <w:sz w:val="24"/>
          <w:szCs w:val="24"/>
          <w:lang w:eastAsia="da-DK"/>
        </w:rPr>
        <w:t>,</w:t>
      </w:r>
      <w:r w:rsidR="00366798" w:rsidRPr="00796736">
        <w:rPr>
          <w:rFonts w:ascii="Times New Roman" w:hAnsi="Times New Roman" w:cs="Times New Roman"/>
          <w:sz w:val="24"/>
          <w:szCs w:val="24"/>
          <w:lang w:eastAsia="da-DK"/>
        </w:rPr>
        <w:t xml:space="preserve"> </w:t>
      </w:r>
      <w:r w:rsidR="00793B8C">
        <w:rPr>
          <w:rFonts w:ascii="Times New Roman" w:hAnsi="Times New Roman" w:cs="Times New Roman"/>
          <w:sz w:val="24"/>
          <w:szCs w:val="24"/>
          <w:lang w:eastAsia="da-DK"/>
        </w:rPr>
        <w:t>samt</w:t>
      </w:r>
      <w:r w:rsidR="00366798" w:rsidRPr="00796736">
        <w:rPr>
          <w:rFonts w:ascii="Times New Roman" w:hAnsi="Times New Roman" w:cs="Times New Roman"/>
          <w:sz w:val="24"/>
          <w:szCs w:val="24"/>
          <w:lang w:eastAsia="da-DK"/>
        </w:rPr>
        <w:t xml:space="preserve"> § 2, nr. 1-19 </w:t>
      </w:r>
      <w:r w:rsidR="00586D2B">
        <w:rPr>
          <w:rFonts w:ascii="Times New Roman" w:hAnsi="Times New Roman" w:cs="Times New Roman"/>
          <w:sz w:val="24"/>
          <w:szCs w:val="24"/>
          <w:lang w:eastAsia="da-DK"/>
        </w:rPr>
        <w:t>og</w:t>
      </w:r>
      <w:r w:rsidR="00366798" w:rsidRPr="00796736">
        <w:rPr>
          <w:rFonts w:ascii="Times New Roman" w:hAnsi="Times New Roman" w:cs="Times New Roman"/>
          <w:sz w:val="24"/>
          <w:szCs w:val="24"/>
          <w:lang w:eastAsia="da-DK"/>
        </w:rPr>
        <w:t xml:space="preserve"> 32, litra a,</w:t>
      </w:r>
      <w:r w:rsidR="00366798" w:rsidRPr="00796736" w:rsidDel="00366798">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og filialer, distributører og agenter her i landet af sådanne udenlandske virksomheder og personer overholder hvidvaskforordningen, denne lov og regler udstedt i medfør heraf, jf. do</w:t>
      </w:r>
      <w:r w:rsidR="006E7DA7" w:rsidRPr="00796736">
        <w:rPr>
          <w:rFonts w:ascii="Times New Roman" w:eastAsia="Times New Roman" w:hAnsi="Times New Roman" w:cs="Times New Roman"/>
          <w:sz w:val="24"/>
          <w:szCs w:val="24"/>
          <w:lang w:eastAsia="da-DK"/>
        </w:rPr>
        <w:t xml:space="preserve">g </w:t>
      </w:r>
      <w:r w:rsidR="006E7DA7" w:rsidRPr="00796736">
        <w:rPr>
          <w:rFonts w:ascii="Times New Roman" w:hAnsi="Times New Roman" w:cs="Times New Roman"/>
          <w:sz w:val="24"/>
          <w:szCs w:val="24"/>
        </w:rPr>
        <w:fldChar w:fldCharType="begin"/>
      </w:r>
      <w:r w:rsidR="006E7DA7" w:rsidRPr="00796736">
        <w:rPr>
          <w:rFonts w:ascii="Times New Roman" w:hAnsi="Times New Roman" w:cs="Times New Roman"/>
          <w:sz w:val="24"/>
          <w:szCs w:val="24"/>
        </w:rPr>
        <w:instrText xml:space="preserve"> REF _Ref232597035 \r \h  \* MERGEFORMAT </w:instrText>
      </w:r>
      <w:r w:rsidR="006E7DA7" w:rsidRPr="00796736">
        <w:rPr>
          <w:rFonts w:ascii="Times New Roman" w:hAnsi="Times New Roman" w:cs="Times New Roman"/>
          <w:sz w:val="24"/>
          <w:szCs w:val="24"/>
        </w:rPr>
      </w:r>
      <w:r w:rsidR="006E7DA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6E7DA7" w:rsidRPr="00796736">
        <w:rPr>
          <w:rFonts w:ascii="Times New Roman" w:hAnsi="Times New Roman" w:cs="Times New Roman"/>
          <w:sz w:val="24"/>
          <w:szCs w:val="24"/>
        </w:rPr>
        <w:fldChar w:fldCharType="end"/>
      </w:r>
      <w:r w:rsidR="006E7DA7" w:rsidRPr="00796736">
        <w:rPr>
          <w:rFonts w:ascii="Times New Roman" w:hAnsi="Times New Roman" w:cs="Times New Roman"/>
          <w:sz w:val="24"/>
          <w:szCs w:val="24"/>
        </w:rPr>
        <w:t xml:space="preserve">, stk. 3 og 6. </w:t>
      </w:r>
    </w:p>
    <w:p w14:paraId="00747FD7" w14:textId="77777777" w:rsidR="003134CC" w:rsidRPr="00796736" w:rsidRDefault="003134CC" w:rsidP="00A802A5">
      <w:pPr>
        <w:spacing w:line="360" w:lineRule="auto"/>
        <w:rPr>
          <w:rFonts w:ascii="Times New Roman" w:hAnsi="Times New Roman" w:cs="Times New Roman"/>
          <w:sz w:val="24"/>
          <w:szCs w:val="24"/>
        </w:rPr>
      </w:pPr>
    </w:p>
    <w:p w14:paraId="6A97F2D4" w14:textId="181525AE" w:rsidR="00773A1B" w:rsidRPr="00796736" w:rsidRDefault="00D5716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vil indebære, at Finanstilsynet udpeges som kompetent myndighed i Danmark for så vidt angår tilsynet med overholdelsen af hvidvaskforordningen, denne lov og regler udstedt i medfør heraf for de virksomheder, der er underlagt Finanstilsynets tilsyn.</w:t>
      </w:r>
    </w:p>
    <w:p w14:paraId="5DBF5BAA" w14:textId="77777777" w:rsidR="00D5716D" w:rsidRPr="00796736" w:rsidRDefault="00D5716D" w:rsidP="00A802A5">
      <w:pPr>
        <w:spacing w:line="360" w:lineRule="auto"/>
        <w:rPr>
          <w:rFonts w:ascii="Times New Roman" w:hAnsi="Times New Roman" w:cs="Times New Roman"/>
          <w:sz w:val="24"/>
          <w:szCs w:val="24"/>
        </w:rPr>
      </w:pPr>
    </w:p>
    <w:p w14:paraId="624BB01E"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2, nr. 1, </w:t>
      </w:r>
      <w:r w:rsidRPr="00796736">
        <w:rPr>
          <w:rFonts w:ascii="Times New Roman" w:eastAsia="Times New Roman" w:hAnsi="Times New Roman" w:cs="Times New Roman"/>
          <w:sz w:val="24"/>
          <w:szCs w:val="24"/>
          <w:lang w:eastAsia="da-DK"/>
        </w:rPr>
        <w:t>at Finanstilsynet påser overholdelsen af pengeoverførselsforordningen.</w:t>
      </w:r>
    </w:p>
    <w:p w14:paraId="26F56EBA"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30A5A692" w14:textId="1B023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003134CC" w:rsidRPr="00796736">
        <w:rPr>
          <w:rFonts w:ascii="Times New Roman" w:eastAsia="Times New Roman" w:hAnsi="Times New Roman" w:cs="Times New Roman"/>
          <w:i/>
          <w:iCs/>
          <w:sz w:val="24"/>
          <w:szCs w:val="24"/>
          <w:lang w:eastAsia="da-DK"/>
        </w:rPr>
        <w:t>s</w:t>
      </w:r>
      <w:r w:rsidRPr="00796736">
        <w:rPr>
          <w:rFonts w:ascii="Times New Roman" w:eastAsia="Times New Roman" w:hAnsi="Times New Roman" w:cs="Times New Roman"/>
          <w:i/>
          <w:iCs/>
          <w:sz w:val="24"/>
          <w:szCs w:val="24"/>
          <w:lang w:eastAsia="da-DK"/>
        </w:rPr>
        <w:t>tk. 2, nr. 2,</w:t>
      </w:r>
      <w:r w:rsidRPr="00796736">
        <w:rPr>
          <w:rFonts w:ascii="Times New Roman" w:eastAsia="Times New Roman" w:hAnsi="Times New Roman" w:cs="Times New Roman"/>
          <w:sz w:val="24"/>
          <w:szCs w:val="24"/>
          <w:lang w:eastAsia="da-DK"/>
        </w:rPr>
        <w:t xml:space="preserve"> at Finanstilsynet påser overholdelsen af love og forordninger indeholdende regler om finansielle sanktioner mod lande, personer, grupper, juridiske enheder eller organer.</w:t>
      </w:r>
    </w:p>
    <w:p w14:paraId="724DFC37" w14:textId="77777777" w:rsidR="00773A1B" w:rsidRPr="00796736" w:rsidRDefault="00773A1B" w:rsidP="00A802A5">
      <w:pPr>
        <w:spacing w:line="360" w:lineRule="auto"/>
        <w:rPr>
          <w:rFonts w:ascii="Times New Roman" w:hAnsi="Times New Roman" w:cs="Times New Roman"/>
          <w:sz w:val="24"/>
          <w:szCs w:val="24"/>
        </w:rPr>
      </w:pPr>
    </w:p>
    <w:p w14:paraId="34D1B8BA"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indebære, at Finanstilsynet er udpeget som kompetent myndighed for EU's sanktionsforordninger samt love, der indeholder regler om finansielle sanktioner. </w:t>
      </w:r>
    </w:p>
    <w:p w14:paraId="6CA87D07"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16D15DFF" w14:textId="3656D65F"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 foreslåede bestemmelser i stk. 1 og 2, vil indebære at Finanstilsynets rolle som myndighed på hvidvaskområdet videreføres, idet det med forslaget fastslås, at Finanstilsynet skal påse, at </w:t>
      </w:r>
      <w:r w:rsidRPr="00796736">
        <w:rPr>
          <w:rFonts w:ascii="Times New Roman" w:eastAsia="Times New Roman" w:hAnsi="Times New Roman" w:cs="Times New Roman"/>
          <w:sz w:val="24"/>
          <w:szCs w:val="24"/>
          <w:lang w:eastAsia="da-DK"/>
        </w:rPr>
        <w:t xml:space="preserve">virksomheder og personer som nævnt i </w:t>
      </w:r>
      <w:r w:rsidR="003134CC" w:rsidRPr="00796736">
        <w:rPr>
          <w:rFonts w:ascii="Times New Roman" w:eastAsia="Times New Roman" w:hAnsi="Times New Roman" w:cs="Times New Roman"/>
          <w:sz w:val="24"/>
          <w:szCs w:val="24"/>
          <w:lang w:eastAsia="da-DK"/>
        </w:rPr>
        <w:t xml:space="preserve">§ </w:t>
      </w:r>
      <w:r w:rsidR="003134CC" w:rsidRPr="00796736">
        <w:rPr>
          <w:rFonts w:ascii="Times New Roman" w:hAnsi="Times New Roman" w:cs="Times New Roman"/>
          <w:sz w:val="24"/>
          <w:szCs w:val="24"/>
          <w:lang w:eastAsia="da-DK"/>
        </w:rPr>
        <w:t>1, stk. 2, nr. 1-3</w:t>
      </w:r>
      <w:r w:rsidR="005F48B0">
        <w:rPr>
          <w:rFonts w:ascii="Times New Roman" w:hAnsi="Times New Roman" w:cs="Times New Roman"/>
          <w:sz w:val="24"/>
          <w:szCs w:val="24"/>
          <w:lang w:eastAsia="da-DK"/>
        </w:rPr>
        <w:t>,</w:t>
      </w:r>
      <w:r w:rsidR="003134CC" w:rsidRPr="00796736">
        <w:rPr>
          <w:rFonts w:ascii="Times New Roman" w:hAnsi="Times New Roman" w:cs="Times New Roman"/>
          <w:sz w:val="24"/>
          <w:szCs w:val="24"/>
          <w:lang w:eastAsia="da-DK"/>
        </w:rPr>
        <w:t xml:space="preserve"> </w:t>
      </w:r>
      <w:r w:rsidR="00793B8C">
        <w:rPr>
          <w:rFonts w:ascii="Times New Roman" w:hAnsi="Times New Roman" w:cs="Times New Roman"/>
          <w:sz w:val="24"/>
          <w:szCs w:val="24"/>
          <w:lang w:eastAsia="da-DK"/>
        </w:rPr>
        <w:t>samt</w:t>
      </w:r>
      <w:r w:rsidR="003134CC" w:rsidRPr="00796736">
        <w:rPr>
          <w:rFonts w:ascii="Times New Roman" w:hAnsi="Times New Roman" w:cs="Times New Roman"/>
          <w:sz w:val="24"/>
          <w:szCs w:val="24"/>
          <w:lang w:eastAsia="da-DK"/>
        </w:rPr>
        <w:t xml:space="preserve"> § 2, nr. 1-19 </w:t>
      </w:r>
      <w:r w:rsidR="00586D2B">
        <w:rPr>
          <w:rFonts w:ascii="Times New Roman" w:hAnsi="Times New Roman" w:cs="Times New Roman"/>
          <w:sz w:val="24"/>
          <w:szCs w:val="24"/>
          <w:lang w:eastAsia="da-DK"/>
        </w:rPr>
        <w:t>og</w:t>
      </w:r>
      <w:r w:rsidR="003134CC" w:rsidRPr="00796736">
        <w:rPr>
          <w:rFonts w:ascii="Times New Roman" w:hAnsi="Times New Roman" w:cs="Times New Roman"/>
          <w:sz w:val="24"/>
          <w:szCs w:val="24"/>
          <w:lang w:eastAsia="da-DK"/>
        </w:rPr>
        <w:t xml:space="preserve"> 32, litra a,</w:t>
      </w:r>
      <w:r w:rsidR="003134CC"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og filialer, distributører og agenter her i landet af sådanne udenlandske virksomheder og personer</w:t>
      </w:r>
      <w:r w:rsidRPr="00796736">
        <w:rPr>
          <w:rFonts w:ascii="Times New Roman" w:eastAsia="Times New Roman" w:hAnsi="Times New Roman" w:cs="Times New Roman"/>
          <w:iCs/>
          <w:sz w:val="24"/>
          <w:szCs w:val="24"/>
          <w:lang w:eastAsia="da-DK"/>
        </w:rPr>
        <w:t xml:space="preserve"> overholder bestemmelserne på hvidvaskområdet. Heri ligger en krav om et aktivt tilsyn, der vil omfatte udstedelse af vejledning, rådgivning, undersøgelser og inspektioner. </w:t>
      </w:r>
    </w:p>
    <w:p w14:paraId="790FBB34"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6B8DA33D"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forudsættes, ligesom tilfældet er i dag, at Finanstilsynet h</w:t>
      </w:r>
      <w:r w:rsidRPr="00796736">
        <w:rPr>
          <w:rFonts w:ascii="Times New Roman" w:hAnsi="Times New Roman" w:cs="Times New Roman"/>
          <w:sz w:val="24"/>
          <w:szCs w:val="24"/>
        </w:rPr>
        <w:t>ar de tilstrækkelige finansielle, menneskelige og tekniske ressourcer til at udføre deres opgaver som anført i den foreslåede bestemmelse. Det forudsættes endvidere, at Finanstilsynets personale, ligesom tilfældet er i dag, udviser en høj grad af integritet, er tilstrækkeligt kvalificeret og fastholder høje professionelle standarder, herunder standarder for fortrolighed og databeskyttelse samt standarder for behandling af interessekonflikter,</w:t>
      </w:r>
      <w:r w:rsidRPr="00796736">
        <w:rPr>
          <w:rFonts w:ascii="Times New Roman" w:eastAsia="Times New Roman" w:hAnsi="Times New Roman" w:cs="Times New Roman"/>
          <w:iCs/>
          <w:sz w:val="24"/>
          <w:szCs w:val="24"/>
          <w:lang w:eastAsia="da-DK"/>
        </w:rPr>
        <w:t xml:space="preserve"> jf. herved hvidvaskdirektivets artikel 37, stk. 2.</w:t>
      </w:r>
    </w:p>
    <w:p w14:paraId="33BC43FC"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586176E5" w14:textId="77777777" w:rsidR="002A4E01"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Finanstilsynets tilsyn skal, som det er tilfældet i dag, anvende en risikobaseret tilgang til tilsynet. At tilsynet skal være risikobaseret indebærer, at Finanstilsynet skal have en klar forståelse for risiciene for hvidvask af penge og finansiering af terrorisme i Danmark, vurdere alle relevante oplysninger om bestemte danske og udenlandske risici, der er forbundet med de omfattede virksomheder og personer og disses  og fastsætte hyppigheden og intensiteten af on-site og off-site tilsyn på grundlag af de forpligtede advokaters risikoprofil og af risiciene for hvidvask og finansiering af terrorisme i Danmark,  jf. herved hvidvaskdirektivets artikel artikel 40, stk. 1, litra a-c. </w:t>
      </w:r>
    </w:p>
    <w:p w14:paraId="0C04A325" w14:textId="77777777" w:rsidR="002A4E01" w:rsidRDefault="002A4E01" w:rsidP="00A802A5">
      <w:pPr>
        <w:spacing w:line="360" w:lineRule="auto"/>
        <w:rPr>
          <w:rFonts w:ascii="Times New Roman" w:eastAsia="Times New Roman" w:hAnsi="Times New Roman" w:cs="Times New Roman"/>
          <w:iCs/>
          <w:sz w:val="24"/>
          <w:szCs w:val="24"/>
          <w:lang w:eastAsia="da-DK"/>
        </w:rPr>
      </w:pPr>
    </w:p>
    <w:p w14:paraId="5888F8E1" w14:textId="6DD7D49E" w:rsidR="00773A1B" w:rsidRPr="00796736" w:rsidRDefault="00773A1B"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I forhold til sidstnævnte udarbejder Finanstilsynet et årligt tilsynsprogram, som skal tage hensyn til den tidsplan og de ressourcer, der er nødvendige for omgående at kunne reagere i tilfælde af objektive og betydelige tegn på tilsidesættelse af hvidvaskforordningen, jf. herved hvidvaskdirektivets artikel 40, stk. 1, andet afsnit. Det fremgår i den forbindelse af hvidvaskdirektivets præambelbetragtning 88, at der med </w:t>
      </w:r>
      <w:r w:rsidRPr="00796736">
        <w:rPr>
          <w:rFonts w:ascii="Times New Roman" w:hAnsi="Times New Roman" w:cs="Times New Roman"/>
          <w:sz w:val="24"/>
          <w:szCs w:val="24"/>
        </w:rPr>
        <w:t>objektive og betydelige tegn på tilsidesættelse af hvidvaskforordningen i en forpligtet enhed bl.a. menes offentlige afsløringer eller oplysninger indgivet af whistleblowere, jf. hvidvaskdirektivets præambelbetragtning nr. 88.</w:t>
      </w:r>
    </w:p>
    <w:p w14:paraId="19C0C3E1" w14:textId="77777777" w:rsidR="00773A1B" w:rsidRPr="00796736" w:rsidRDefault="00773A1B" w:rsidP="00A802A5">
      <w:pPr>
        <w:spacing w:line="360" w:lineRule="auto"/>
        <w:rPr>
          <w:rFonts w:ascii="Times New Roman" w:hAnsi="Times New Roman" w:cs="Times New Roman"/>
          <w:sz w:val="24"/>
          <w:szCs w:val="24"/>
        </w:rPr>
      </w:pPr>
    </w:p>
    <w:p w14:paraId="1327570C" w14:textId="06B843C0"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risikobaserede tilsyn indebærer endvidere, at Finanstilsynet</w:t>
      </w:r>
      <w:r w:rsidR="005F48B0">
        <w:rPr>
          <w:rFonts w:ascii="Times New Roman" w:eastAsia="Times New Roman" w:hAnsi="Times New Roman" w:cs="Times New Roman"/>
          <w:iCs/>
          <w:sz w:val="24"/>
          <w:szCs w:val="24"/>
          <w:lang w:eastAsia="da-DK"/>
        </w:rPr>
        <w:t xml:space="preserve"> – </w:t>
      </w:r>
      <w:r w:rsidRPr="00796736">
        <w:rPr>
          <w:rFonts w:ascii="Times New Roman" w:eastAsia="Times New Roman" w:hAnsi="Times New Roman" w:cs="Times New Roman"/>
          <w:iCs/>
          <w:sz w:val="24"/>
          <w:szCs w:val="24"/>
          <w:lang w:eastAsia="da-DK"/>
        </w:rPr>
        <w:t xml:space="preserve">ligesom i dag </w:t>
      </w:r>
      <w:r w:rsidR="005F48B0">
        <w:rPr>
          <w:rFonts w:ascii="Times New Roman" w:eastAsia="Times New Roman" w:hAnsi="Times New Roman" w:cs="Times New Roman"/>
          <w:iCs/>
          <w:sz w:val="24"/>
          <w:szCs w:val="24"/>
          <w:lang w:eastAsia="da-DK"/>
        </w:rPr>
        <w:t xml:space="preserve">– skal </w:t>
      </w:r>
      <w:r w:rsidRPr="00796736">
        <w:rPr>
          <w:rFonts w:ascii="Times New Roman" w:eastAsia="Times New Roman" w:hAnsi="Times New Roman" w:cs="Times New Roman"/>
          <w:iCs/>
          <w:sz w:val="24"/>
          <w:szCs w:val="24"/>
          <w:lang w:eastAsia="da-DK"/>
        </w:rPr>
        <w:t>tage hensyn til omfanget af det skøn, som de omfattede virksomheder og personer er tillagt og foretage en gennemgang af de risikovurderinger, som ligger grund for denne skønsbeføjelse og af tilstrækkeligheden af de interne politikker, procedurer og retningslinjer, jf. herved hvidvaskdirektivets artikel 40, stk. 4.</w:t>
      </w:r>
    </w:p>
    <w:p w14:paraId="1DE0970C"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4C0F5F2E"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Finanstilsynet vil desuden, som det er tilfældet i dag, som led i sit tilsyn, bl.a. skulle formidle relevante oplysninger om hvidvask af penge og finansiering af terrorisme til rådighed for de omfattede virksomheder og personer.  </w:t>
      </w:r>
    </w:p>
    <w:p w14:paraId="04C34DEB"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5390DA8E" w14:textId="0351B58B"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Oplysningspligten vil bl.a. omfatte oplysninger om den risikovurdering på EU-plan, som Europa-Kommissionen foretager i henhold til hvidvaskdirektivets artikel 7 og relevante henstillinger fra Kommissionen i medfør af denne artikel og de nationale eller sektorspecifikke risikovurderinger udarbejdet i medfør af </w:t>
      </w:r>
      <w:r w:rsidR="00D5716D" w:rsidRPr="00796736">
        <w:rPr>
          <w:rFonts w:ascii="Times New Roman" w:eastAsia="Times New Roman" w:hAnsi="Times New Roman" w:cs="Times New Roman"/>
          <w:iCs/>
          <w:sz w:val="24"/>
          <w:szCs w:val="24"/>
          <w:lang w:eastAsia="da-DK"/>
        </w:rPr>
        <w:fldChar w:fldCharType="begin"/>
      </w:r>
      <w:r w:rsidR="00D5716D" w:rsidRPr="00796736">
        <w:rPr>
          <w:rFonts w:ascii="Times New Roman" w:eastAsia="Times New Roman" w:hAnsi="Times New Roman" w:cs="Times New Roman"/>
          <w:iCs/>
          <w:sz w:val="24"/>
          <w:szCs w:val="24"/>
          <w:lang w:eastAsia="da-DK"/>
        </w:rPr>
        <w:instrText xml:space="preserve"> REF _Ref232596210 \r \h </w:instrText>
      </w:r>
      <w:r w:rsidR="00796736">
        <w:rPr>
          <w:rFonts w:ascii="Times New Roman" w:eastAsia="Times New Roman" w:hAnsi="Times New Roman" w:cs="Times New Roman"/>
          <w:iCs/>
          <w:sz w:val="24"/>
          <w:szCs w:val="24"/>
          <w:lang w:eastAsia="da-DK"/>
        </w:rPr>
        <w:instrText xml:space="preserve"> \* MERGEFORMAT </w:instrText>
      </w:r>
      <w:r w:rsidR="00D5716D" w:rsidRPr="00796736">
        <w:rPr>
          <w:rFonts w:ascii="Times New Roman" w:eastAsia="Times New Roman" w:hAnsi="Times New Roman" w:cs="Times New Roman"/>
          <w:iCs/>
          <w:sz w:val="24"/>
          <w:szCs w:val="24"/>
          <w:lang w:eastAsia="da-DK"/>
        </w:rPr>
      </w:r>
      <w:r w:rsidR="00D5716D"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31</w:t>
      </w:r>
      <w:r w:rsidR="00D5716D" w:rsidRPr="00796736">
        <w:rPr>
          <w:rFonts w:ascii="Times New Roman" w:eastAsia="Times New Roman" w:hAnsi="Times New Roman" w:cs="Times New Roman"/>
          <w:iCs/>
          <w:sz w:val="24"/>
          <w:szCs w:val="24"/>
          <w:lang w:eastAsia="da-DK"/>
        </w:rPr>
        <w:fldChar w:fldCharType="end"/>
      </w:r>
      <w:r w:rsidRPr="00796736">
        <w:rPr>
          <w:rFonts w:ascii="Times New Roman" w:hAnsi="Times New Roman" w:cs="Times New Roman"/>
          <w:sz w:val="24"/>
          <w:szCs w:val="24"/>
        </w:rPr>
        <w:t>,</w:t>
      </w:r>
      <w:r w:rsidRPr="00796736">
        <w:rPr>
          <w:rFonts w:ascii="Times New Roman" w:eastAsia="Times New Roman" w:hAnsi="Times New Roman" w:cs="Times New Roman"/>
          <w:iCs/>
          <w:sz w:val="24"/>
          <w:szCs w:val="24"/>
          <w:lang w:eastAsia="da-DK"/>
        </w:rPr>
        <w:t xml:space="preserve"> jf. herved hvidvaskdirektivets artikel 39, stk. 2, litra a.</w:t>
      </w:r>
    </w:p>
    <w:p w14:paraId="771D5D8A"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3C9A5CD0"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Oplysningspligten vil bl.a. også omfatte nationale eller sektorspecifikke risikovurderinger udøvet i henhold til hvidvaskdirektivets artikel 8, jf. herved hvidvaskdirektivets artikel 39, stk. 2, litra b.</w:t>
      </w:r>
    </w:p>
    <w:p w14:paraId="08E75DC6"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2F052FF9"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Oplysningspligten vil bl.a. også omfatte relevante retningslinjer, henstillinger og udtalelser udstedt af AMLA i medfør af AMLA-forordningens artikel 54 og 55 og oplysninger om tredjelande identificeret i henhold til hvidvaskforordningens kapitel II, afdeling 2, jf. herved hvidvaskdirektivets artikel 39, stk. 2, litra c. </w:t>
      </w:r>
    </w:p>
    <w:p w14:paraId="750E4263"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3F15D57D"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Oplysningspligten vil bl.a. endvidere omfatte oplysninger om tredjelande, der er identificeret i henhold til hvidvaskforordningens kapitel III, afdeling 2, jf. herved hvidvaskdirektivets artikel 39, stk. 2, litra d.</w:t>
      </w:r>
    </w:p>
    <w:p w14:paraId="43ABEA43"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3546DB9D"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Endelig vil oplysningspligten omfatte de </w:t>
      </w:r>
      <w:r w:rsidRPr="00796736">
        <w:rPr>
          <w:rFonts w:ascii="Times New Roman" w:hAnsi="Times New Roman" w:cs="Times New Roman"/>
          <w:sz w:val="24"/>
          <w:szCs w:val="24"/>
        </w:rPr>
        <w:t xml:space="preserve">retningslinjer og rapporter, der er udarbejdet af AMLA, andre tilsynsorganer og, hvor det er relevant, Finanstilsynet, Hvidvasksekretariatet eller en anden kompetent myndighed eller internationale organisationer og standardsættere, vedrørende metoder til hvidvask af penge og finansiering af terrorisme, som måtte gælde for en sektor, og angivelser, der kan lette identifikationen af transaktioner eller aktiviteter, der risikerer at være forbundet med hvidvask af penge og finansiering af terrorisme i den pågældende sektor, samt retningslinjer om forpligtede enheders forpligtelser i forbindelse med målrettede finansielle sanktioner., </w:t>
      </w:r>
      <w:r w:rsidRPr="00796736">
        <w:rPr>
          <w:rFonts w:ascii="Times New Roman" w:eastAsia="Times New Roman" w:hAnsi="Times New Roman" w:cs="Times New Roman"/>
          <w:iCs/>
          <w:sz w:val="24"/>
          <w:szCs w:val="24"/>
          <w:lang w:eastAsia="da-DK"/>
        </w:rPr>
        <w:t>jf. herved hvidvaskdirektivets artikel 39, stk. 2, litra e.</w:t>
      </w:r>
    </w:p>
    <w:p w14:paraId="7A63F69D"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67F8EA68"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Herudover vil Finanstilsynet, som det hidtil har været tilfældet, i det i det omfang, det er hensigtsmæssigt, udføre outreachaktiviteter for at informere de virksomheder og personer, der føres tilsyn med, om deres forpligtelser, jf. herved hvidvaskdirektivets artikel 39, stk. 3.</w:t>
      </w:r>
    </w:p>
    <w:p w14:paraId="53457DE8"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2BFC1D3A"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Finanstilsynet vil også, som det er tilfældet i dag, skulle vurdere og regelmæssigt overvåge de risici </w:t>
      </w:r>
      <w:r w:rsidRPr="00796736">
        <w:rPr>
          <w:rFonts w:ascii="Times New Roman" w:hAnsi="Times New Roman" w:cs="Times New Roman"/>
          <w:sz w:val="24"/>
          <w:szCs w:val="24"/>
        </w:rPr>
        <w:t xml:space="preserve">for hvidvask af penge, finansiering af terrorisme og manglende gennemførelse og omgåelse af finansielle sanktioner, som de omfattede virksomheder og personer er udsat for, </w:t>
      </w:r>
      <w:r w:rsidRPr="00796736">
        <w:rPr>
          <w:rFonts w:ascii="Times New Roman" w:eastAsia="Times New Roman" w:hAnsi="Times New Roman" w:cs="Times New Roman"/>
          <w:iCs/>
          <w:sz w:val="24"/>
          <w:szCs w:val="24"/>
          <w:lang w:eastAsia="da-DK"/>
        </w:rPr>
        <w:t>jf. herved hvidvaskdirektivets artikel 37, stk. 5, litra d. Finanstilsynet vil desuden skulle vurderer og overvåger overvåge de omfattede virksomheder og personers overholdelse af deres forpligtelser i forbindelse med målrettede finansielle sanktioner, jf. herved hvidvaskdirektivets artikel 37, stk. 5, litra e.</w:t>
      </w:r>
      <w:r w:rsidRPr="00796736">
        <w:rPr>
          <w:rStyle w:val="Kommentarhenvisning"/>
          <w:rFonts w:ascii="Times New Roman" w:hAnsi="Times New Roman" w:cs="Times New Roman"/>
          <w:sz w:val="24"/>
          <w:szCs w:val="24"/>
        </w:rPr>
        <w:t xml:space="preserve"> </w:t>
      </w:r>
    </w:p>
    <w:p w14:paraId="01F9FBC9"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6E3D0CF5"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følger af hvidvaskforordningens artikel 10, stk. 3, at tilsynsorganerne kan beslutte, at der ikke stilles krav om individuelle dokumenterede risikovurderinger på virksomhedsplan, hvis de specifikke risici i forbindelse med sektoren er klare og forudsigelige. Dette indebærer at Finanstilsynet   som led i sit tilsyn løbende skal vurdere i hvilke tilfælde de specifikke risici i forbindelse med en sektor er klare og forståelige, og i bekræftende fald undlade at stille krav om en individuel dokumenteret risikovurdering efter forordningens artikel 10, jf. herved hvidvaskdirektivets artikel 37, stk. 5, litra b. </w:t>
      </w:r>
    </w:p>
    <w:p w14:paraId="37270306"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6EABDCDC" w14:textId="78B34084"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Finanstilsynet vil endvidere, lige som det er tilfældet i dag, som led i tilsynet skulle kontrollere tilstrækkeligheden og gennemførelsen af de omfattede virksomheder og personers interne politikker, procedurer og kontroller i henhold til </w:t>
      </w:r>
      <w:r w:rsidR="00407FDF" w:rsidRPr="00796736">
        <w:rPr>
          <w:rFonts w:ascii="Times New Roman" w:eastAsia="Times New Roman" w:hAnsi="Times New Roman" w:cs="Times New Roman"/>
          <w:iCs/>
          <w:sz w:val="24"/>
          <w:szCs w:val="24"/>
          <w:lang w:eastAsia="da-DK"/>
        </w:rPr>
        <w:t>hvidvaskforordningens</w:t>
      </w:r>
      <w:r w:rsidRPr="00796736">
        <w:rPr>
          <w:rFonts w:ascii="Times New Roman" w:eastAsia="Times New Roman" w:hAnsi="Times New Roman" w:cs="Times New Roman"/>
          <w:iCs/>
          <w:sz w:val="24"/>
          <w:szCs w:val="24"/>
          <w:lang w:eastAsia="da-DK"/>
        </w:rPr>
        <w:t xml:space="preserve"> kapitel II og af de menneskelige ressourcer, der er afsat til udførelsen af de opgaver, der kræves i henhold til nævnte forordning, samt for tilsynsorganer for kollektive investeringsvirksomheder, træffe afgørelse om tilfælde, hvor den kollektive investeringsvirksomhed kan outsource indberetning af mistænkelige aktiviteter i henhold til hvidvaskforordningens artikel 18, stk. 7, til en tjenesteudbyder, jf. herved hvidvaskdirektivets artikel 37, stk. 5, litra c. </w:t>
      </w:r>
    </w:p>
    <w:p w14:paraId="5244E266"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37AE5446" w14:textId="6B1DD404"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Finanstilsynet vil herudover, ligesom det er tilfældet i dag, skulle gennemføre alle nødvendige kontrolbesøg og undersøgelser mv. for at kontrollere, at de omfattede virksomheder og personer opfylder hvidvaskforordningen og eventuelle administrative foranstaltninger pålagt efter </w:t>
      </w:r>
      <w:r w:rsidR="00D5716D" w:rsidRPr="00796736">
        <w:rPr>
          <w:rFonts w:ascii="Times New Roman" w:eastAsia="Times New Roman" w:hAnsi="Times New Roman" w:cs="Times New Roman"/>
          <w:iCs/>
          <w:sz w:val="24"/>
          <w:szCs w:val="24"/>
          <w:lang w:eastAsia="da-DK"/>
        </w:rPr>
        <w:fldChar w:fldCharType="begin"/>
      </w:r>
      <w:r w:rsidR="00D5716D" w:rsidRPr="00796736">
        <w:rPr>
          <w:rFonts w:ascii="Times New Roman" w:eastAsia="Times New Roman" w:hAnsi="Times New Roman" w:cs="Times New Roman"/>
          <w:iCs/>
          <w:sz w:val="24"/>
          <w:szCs w:val="24"/>
          <w:lang w:eastAsia="da-DK"/>
        </w:rPr>
        <w:instrText xml:space="preserve"> REF _Ref242963797 \r \h </w:instrText>
      </w:r>
      <w:r w:rsidR="00796736">
        <w:rPr>
          <w:rFonts w:ascii="Times New Roman" w:eastAsia="Times New Roman" w:hAnsi="Times New Roman" w:cs="Times New Roman"/>
          <w:iCs/>
          <w:sz w:val="24"/>
          <w:szCs w:val="24"/>
          <w:lang w:eastAsia="da-DK"/>
        </w:rPr>
        <w:instrText xml:space="preserve"> \* MERGEFORMAT </w:instrText>
      </w:r>
      <w:r w:rsidR="00D5716D" w:rsidRPr="00796736">
        <w:rPr>
          <w:rFonts w:ascii="Times New Roman" w:eastAsia="Times New Roman" w:hAnsi="Times New Roman" w:cs="Times New Roman"/>
          <w:iCs/>
          <w:sz w:val="24"/>
          <w:szCs w:val="24"/>
          <w:lang w:eastAsia="da-DK"/>
        </w:rPr>
      </w:r>
      <w:r w:rsidR="00D5716D"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139</w:t>
      </w:r>
      <w:r w:rsidR="00D5716D" w:rsidRPr="00796736">
        <w:rPr>
          <w:rFonts w:ascii="Times New Roman" w:eastAsia="Times New Roman" w:hAnsi="Times New Roman" w:cs="Times New Roman"/>
          <w:iCs/>
          <w:sz w:val="24"/>
          <w:szCs w:val="24"/>
          <w:lang w:eastAsia="da-DK"/>
        </w:rPr>
        <w:fldChar w:fldCharType="end"/>
      </w:r>
      <w:r w:rsidR="00D5716D" w:rsidRPr="00796736">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t xml:space="preserve"> jf. herved hvidvaskdirektivets artikel 37, stk. 5, litra f, samt træffe passende tilsynsforanstaltninger for at imødegå eventuelle overtrædelser af gældende krav, der er identificeret i processen med tilsynsvurderinger, og følge op på gennemførelsen af sådanne foranstaltninger, jf. herved hvidvaskdirektivets artikel 37, stk. 5, litra g. </w:t>
      </w:r>
    </w:p>
    <w:p w14:paraId="35E3C684"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7E437B8F" w14:textId="3B3E3B82"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Endelig vil Finanstilsynet som led i sit tilsyn skulle træffe passende administrative tilsynsforanstaltninger for at for at afhjælpe situationen i tilfælde af overtrædelser, herunder ved at pålægge bøder i overensstemmelse med dette </w:t>
      </w:r>
      <w:r w:rsidR="00D5716D" w:rsidRPr="00796736">
        <w:rPr>
          <w:rFonts w:ascii="Times New Roman" w:eastAsia="Times New Roman" w:hAnsi="Times New Roman" w:cs="Times New Roman"/>
          <w:iCs/>
          <w:sz w:val="24"/>
          <w:szCs w:val="24"/>
          <w:lang w:eastAsia="da-DK"/>
        </w:rPr>
        <w:fldChar w:fldCharType="begin"/>
      </w:r>
      <w:r w:rsidR="00D5716D" w:rsidRPr="00796736">
        <w:rPr>
          <w:rFonts w:ascii="Times New Roman" w:eastAsia="Times New Roman" w:hAnsi="Times New Roman" w:cs="Times New Roman"/>
          <w:iCs/>
          <w:sz w:val="24"/>
          <w:szCs w:val="24"/>
          <w:lang w:eastAsia="da-DK"/>
        </w:rPr>
        <w:instrText xml:space="preserve"> REF _Ref242963797 \r \h </w:instrText>
      </w:r>
      <w:r w:rsidR="00796736">
        <w:rPr>
          <w:rFonts w:ascii="Times New Roman" w:eastAsia="Times New Roman" w:hAnsi="Times New Roman" w:cs="Times New Roman"/>
          <w:iCs/>
          <w:sz w:val="24"/>
          <w:szCs w:val="24"/>
          <w:lang w:eastAsia="da-DK"/>
        </w:rPr>
        <w:instrText xml:space="preserve"> \* MERGEFORMAT </w:instrText>
      </w:r>
      <w:r w:rsidR="00D5716D" w:rsidRPr="00796736">
        <w:rPr>
          <w:rFonts w:ascii="Times New Roman" w:eastAsia="Times New Roman" w:hAnsi="Times New Roman" w:cs="Times New Roman"/>
          <w:iCs/>
          <w:sz w:val="24"/>
          <w:szCs w:val="24"/>
          <w:lang w:eastAsia="da-DK"/>
        </w:rPr>
      </w:r>
      <w:r w:rsidR="00D5716D"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139</w:t>
      </w:r>
      <w:r w:rsidR="00D5716D" w:rsidRPr="00796736">
        <w:rPr>
          <w:rFonts w:ascii="Times New Roman" w:eastAsia="Times New Roman" w:hAnsi="Times New Roman" w:cs="Times New Roman"/>
          <w:iCs/>
          <w:sz w:val="24"/>
          <w:szCs w:val="24"/>
          <w:lang w:eastAsia="da-DK"/>
        </w:rPr>
        <w:fldChar w:fldCharType="end"/>
      </w:r>
      <w:r w:rsidR="00D5716D" w:rsidRPr="00796736">
        <w:rPr>
          <w:rFonts w:ascii="Times New Roman" w:eastAsia="Times New Roman" w:hAnsi="Times New Roman" w:cs="Times New Roman"/>
          <w:iCs/>
          <w:sz w:val="24"/>
          <w:szCs w:val="24"/>
          <w:lang w:eastAsia="da-DK"/>
        </w:rPr>
        <w:t>, j</w:t>
      </w:r>
      <w:r w:rsidRPr="00796736">
        <w:rPr>
          <w:rFonts w:ascii="Times New Roman" w:eastAsia="Times New Roman" w:hAnsi="Times New Roman" w:cs="Times New Roman"/>
          <w:iCs/>
          <w:sz w:val="24"/>
          <w:szCs w:val="24"/>
          <w:lang w:eastAsia="da-DK"/>
        </w:rPr>
        <w:t xml:space="preserve">f. herved hvidvaskdirektivets artikel 37, stk. 6, litra b. </w:t>
      </w:r>
    </w:p>
    <w:p w14:paraId="7DE81355"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p>
    <w:p w14:paraId="4B3AA3C8" w14:textId="77777777" w:rsidR="00773A1B" w:rsidRPr="00796736" w:rsidRDefault="00773A1B"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Med de foreslåede bestemmelser gennemføres hvidvaskdirektivets artikel 37, stk. 1-3 og 5, artikel 38, stk. 1, artikel 39, artikel 40, stk. 1 og 4. og 46, stk. 2.</w:t>
      </w:r>
    </w:p>
    <w:p w14:paraId="1F4D2666" w14:textId="77777777" w:rsidR="00773A1B" w:rsidRPr="00796736" w:rsidRDefault="00773A1B" w:rsidP="00A802A5">
      <w:pPr>
        <w:spacing w:line="360" w:lineRule="auto"/>
        <w:rPr>
          <w:rFonts w:ascii="Times New Roman" w:hAnsi="Times New Roman" w:cs="Times New Roman"/>
          <w:sz w:val="24"/>
          <w:szCs w:val="24"/>
        </w:rPr>
      </w:pPr>
    </w:p>
    <w:p w14:paraId="6DC6C8E1" w14:textId="5874E0D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496541" w:rsidRPr="00796736">
        <w:rPr>
          <w:rFonts w:ascii="Times New Roman" w:hAnsi="Times New Roman" w:cs="Times New Roman"/>
          <w:i/>
          <w:iCs/>
          <w:sz w:val="24"/>
          <w:szCs w:val="24"/>
        </w:rPr>
        <w:t>3</w:t>
      </w:r>
      <w:r w:rsidRPr="00796736">
        <w:rPr>
          <w:rFonts w:ascii="Times New Roman" w:eastAsia="Times New Roman" w:hAnsi="Times New Roman" w:cs="Times New Roman"/>
          <w:i/>
          <w:iCs/>
          <w:sz w:val="24"/>
          <w:szCs w:val="24"/>
          <w:lang w:eastAsia="da-DK"/>
        </w:rPr>
        <w:t>,</w:t>
      </w:r>
      <w:r w:rsidRPr="00796736">
        <w:rPr>
          <w:rFonts w:ascii="Times New Roman" w:eastAsia="Times New Roman" w:hAnsi="Times New Roman" w:cs="Times New Roman"/>
          <w:sz w:val="24"/>
          <w:szCs w:val="24"/>
          <w:lang w:eastAsia="da-DK"/>
        </w:rPr>
        <w:t xml:space="preserve"> at tilsynsmyndighederne i et EU- eller EØS-land,</w:t>
      </w:r>
      <w:r w:rsidR="004E2379">
        <w:rPr>
          <w:rFonts w:ascii="Times New Roman" w:eastAsia="Times New Roman" w:hAnsi="Times New Roman" w:cs="Times New Roman"/>
          <w:sz w:val="24"/>
          <w:szCs w:val="24"/>
          <w:lang w:eastAsia="da-DK"/>
        </w:rPr>
        <w:t xml:space="preserve"> u</w:t>
      </w:r>
      <w:r w:rsidR="004E2379" w:rsidRPr="00796736">
        <w:rPr>
          <w:rFonts w:ascii="Times New Roman" w:eastAsia="Times New Roman" w:hAnsi="Times New Roman" w:cs="Times New Roman"/>
          <w:sz w:val="24"/>
          <w:szCs w:val="24"/>
          <w:lang w:eastAsia="da-DK"/>
        </w:rPr>
        <w:t>anset stk. 1 og 2</w:t>
      </w:r>
      <w:r w:rsidR="004E2379">
        <w:rPr>
          <w:rFonts w:ascii="Times New Roman" w:eastAsia="Times New Roman" w:hAnsi="Times New Roman" w:cs="Times New Roman"/>
          <w:sz w:val="24"/>
          <w:szCs w:val="24"/>
          <w:lang w:eastAsia="da-DK"/>
        </w:rPr>
        <w:t>, påser,</w:t>
      </w:r>
      <w:r w:rsidR="004E2379"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 xml:space="preserve"> at de her i landet beliggende distributører og agenter eller andre typer infrastruktur, af udenlandske virksomheder og personer, som nævnt i § </w:t>
      </w:r>
      <w:r w:rsidR="000E5287" w:rsidRPr="00796736">
        <w:rPr>
          <w:rFonts w:ascii="Times New Roman" w:eastAsia="Times New Roman" w:hAnsi="Times New Roman" w:cs="Times New Roman"/>
          <w:sz w:val="24"/>
          <w:szCs w:val="24"/>
          <w:lang w:eastAsia="da-DK"/>
        </w:rPr>
        <w:t>2</w:t>
      </w:r>
      <w:r w:rsidRPr="00796736">
        <w:rPr>
          <w:rFonts w:ascii="Times New Roman" w:eastAsia="Times New Roman" w:hAnsi="Times New Roman" w:cs="Times New Roman"/>
          <w:sz w:val="24"/>
          <w:szCs w:val="24"/>
          <w:lang w:eastAsia="da-DK"/>
        </w:rPr>
        <w:t xml:space="preserve">, nr. </w:t>
      </w:r>
      <w:r w:rsidR="000E5287" w:rsidRPr="00796736">
        <w:rPr>
          <w:rFonts w:ascii="Times New Roman" w:eastAsia="Times New Roman" w:hAnsi="Times New Roman" w:cs="Times New Roman"/>
          <w:sz w:val="24"/>
          <w:szCs w:val="24"/>
          <w:lang w:eastAsia="da-DK"/>
        </w:rPr>
        <w:t>6 og 12,</w:t>
      </w:r>
      <w:r w:rsidRPr="00796736">
        <w:rPr>
          <w:rFonts w:ascii="Times New Roman" w:eastAsia="Times New Roman" w:hAnsi="Times New Roman" w:cs="Times New Roman"/>
          <w:sz w:val="24"/>
          <w:szCs w:val="24"/>
          <w:lang w:eastAsia="da-DK"/>
        </w:rPr>
        <w:t xml:space="preserve"> med hjemsted i det pågældende land, overholder hvidvaskforordningen, pengeoverførselsforordningen, denne lov og regler udstedt i medfør heraf samt love og forordninger indeholdende regler om finansielle sanktioner mod lande, personer, grupper, juridiske enheder eller organer, når</w:t>
      </w:r>
    </w:p>
    <w:p w14:paraId="7E1557EB" w14:textId="77777777" w:rsidR="00773A1B" w:rsidRPr="00796736" w:rsidRDefault="00773A1B">
      <w:pPr>
        <w:pStyle w:val="Listeafsnit"/>
        <w:numPr>
          <w:ilvl w:val="0"/>
          <w:numId w:val="29"/>
        </w:numPr>
        <w:spacing w:before="120" w:after="240" w:line="360" w:lineRule="auto"/>
        <w:jc w:val="left"/>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kriterierne i den reguleringsmæssige tekniske standard, der er omhandlet i artikel 41, stk. 2, i hvidvaskdirektivet ikke er opfyldt, og</w:t>
      </w:r>
    </w:p>
    <w:p w14:paraId="13DAE010" w14:textId="77777777" w:rsidR="00773A1B" w:rsidRPr="00796736" w:rsidRDefault="00773A1B">
      <w:pPr>
        <w:pStyle w:val="Listeafsnit"/>
        <w:numPr>
          <w:ilvl w:val="0"/>
          <w:numId w:val="29"/>
        </w:numPr>
        <w:spacing w:before="120" w:after="240" w:line="360" w:lineRule="auto"/>
        <w:jc w:val="left"/>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Finanstilsynet giver meddelelse til tilsynsmyndigheden i det EU- eller EØS-land, hvor den udenlandske virksomhed eller person har sit hjemsted om, at tilsynet her i landet, i betragtning af agentens, distributørens eller andre typer infrastrukturs begrænsede aktiviteter, skal udføres af tilsynsmyndigheden i den medlemsstat, hvor virksomheden eller personen har hjemsted.</w:t>
      </w:r>
    </w:p>
    <w:p w14:paraId="4ED28BDF"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findes ikke tilsvarende bestemmelser i den gældende hvidvasklov. </w:t>
      </w:r>
    </w:p>
    <w:p w14:paraId="7E4CBD7A" w14:textId="77777777" w:rsidR="00773A1B" w:rsidRPr="00796736" w:rsidRDefault="00773A1B" w:rsidP="00A802A5">
      <w:pPr>
        <w:spacing w:line="360" w:lineRule="auto"/>
        <w:rPr>
          <w:rFonts w:ascii="Times New Roman" w:hAnsi="Times New Roman" w:cs="Times New Roman"/>
          <w:sz w:val="24"/>
          <w:szCs w:val="24"/>
        </w:rPr>
      </w:pPr>
    </w:p>
    <w:p w14:paraId="610DFEDC"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hvidvaskdirektivets artikel 38, stk. 2, at tilsyn med agenter, distributører eller andre typer infrastruktur føres af tilsynsorganet i den medlemsstat, hvor den forpligtede enheds hovedsæde er beliggende, hvis kriterierne i den reguleringsmæssige tekniske standard, der er omhandlet i direktivets artikel 41, stk. 2, ikke er opfyldt (litra a) og tilsynsorganet i den medlemsstat, hvor disse agenter, distributører eller andre typer infrastruktur er beliggende, giver tilsynsorganet i den medlemsstat, hvor den forpligtede enheds hovedsæde er beliggende, meddelelse om, at tilsynet med de aktiviteter, der er omhandlet i stk. 1, i betragtning af enhedens begrænsede infrastruktur på dens område skal udføres af tilsynsorganet i den medlemsstat, hvor den forpligtede enheds hovedsæde er beliggende (litra b).</w:t>
      </w:r>
    </w:p>
    <w:p w14:paraId="32EBD134" w14:textId="77777777" w:rsidR="00773A1B" w:rsidRPr="00796736" w:rsidRDefault="00773A1B" w:rsidP="00A802A5">
      <w:pPr>
        <w:spacing w:line="360" w:lineRule="auto"/>
        <w:rPr>
          <w:rFonts w:ascii="Times New Roman" w:hAnsi="Times New Roman" w:cs="Times New Roman"/>
          <w:sz w:val="24"/>
          <w:szCs w:val="24"/>
        </w:rPr>
      </w:pPr>
    </w:p>
    <w:p w14:paraId="1BC576FC" w14:textId="67760DE4"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alene omfatte her i landet beliggende agenter og distributører eller andre typer af infrastruktur af udenlandske virksomheder eller andre typer af infrastruktur som nævnt i forslaget til § </w:t>
      </w:r>
      <w:r w:rsidR="000E5287" w:rsidRPr="00796736">
        <w:rPr>
          <w:rFonts w:ascii="Times New Roman" w:hAnsi="Times New Roman" w:cs="Times New Roman"/>
          <w:sz w:val="24"/>
          <w:szCs w:val="24"/>
        </w:rPr>
        <w:t>2</w:t>
      </w:r>
      <w:r w:rsidRPr="00796736">
        <w:rPr>
          <w:rFonts w:ascii="Times New Roman" w:hAnsi="Times New Roman" w:cs="Times New Roman"/>
          <w:sz w:val="24"/>
          <w:szCs w:val="24"/>
        </w:rPr>
        <w:t xml:space="preserve">, </w:t>
      </w:r>
      <w:r w:rsidR="000E5287" w:rsidRPr="00796736">
        <w:rPr>
          <w:rFonts w:ascii="Times New Roman" w:hAnsi="Times New Roman" w:cs="Times New Roman"/>
          <w:sz w:val="24"/>
          <w:szCs w:val="24"/>
        </w:rPr>
        <w:t>nr. 6 og 12</w:t>
      </w:r>
      <w:r w:rsidRPr="00796736">
        <w:rPr>
          <w:rFonts w:ascii="Times New Roman" w:hAnsi="Times New Roman" w:cs="Times New Roman"/>
          <w:sz w:val="24"/>
          <w:szCs w:val="24"/>
        </w:rPr>
        <w:t xml:space="preserve">. Bestemmelsen vil således ikke omfatte danske virksomheder eller personer. </w:t>
      </w:r>
    </w:p>
    <w:p w14:paraId="017252C7" w14:textId="77777777" w:rsidR="00773A1B" w:rsidRPr="00796736" w:rsidRDefault="00773A1B" w:rsidP="00A802A5">
      <w:pPr>
        <w:spacing w:line="360" w:lineRule="auto"/>
        <w:rPr>
          <w:rFonts w:ascii="Times New Roman" w:hAnsi="Times New Roman" w:cs="Times New Roman"/>
          <w:sz w:val="24"/>
          <w:szCs w:val="24"/>
        </w:rPr>
      </w:pPr>
    </w:p>
    <w:p w14:paraId="19DE5CBC"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kan f.eks. tænkes anvendt, hvor en udbyder af kryptoaktivtjenester i et andet EU- eller EØS-land, har en agent i Danmark. Hvis Finanstilsynet vurderer, at agentens virksomhed i Danmark er begrænset, kan Finanstilsynet give tilsynsmyndigheden i det land, hvor udbyderen har hjemsted meddelelse om, at tilsynet med agentens overholdelse af hvidvaskforordningen, pengeoverførselsforordningen samt loven og regler fastsat i medfør a loven, forudsat at betingelserne i den reguleringsmæssige tekniske standard, der er omhandlet i direktivets artikel 41, stk. 2, ikke er opfyldt. </w:t>
      </w:r>
    </w:p>
    <w:p w14:paraId="029853DF" w14:textId="77777777" w:rsidR="00773A1B" w:rsidRPr="00796736" w:rsidRDefault="00773A1B" w:rsidP="00A802A5">
      <w:pPr>
        <w:spacing w:line="360" w:lineRule="auto"/>
        <w:rPr>
          <w:rFonts w:ascii="Times New Roman" w:hAnsi="Times New Roman" w:cs="Times New Roman"/>
          <w:sz w:val="24"/>
          <w:szCs w:val="24"/>
        </w:rPr>
      </w:pPr>
    </w:p>
    <w:p w14:paraId="28D63A23"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en betingelse, at Finanstilsynet og den udenlandske tilsynsmyndighed udveksler, alle oplysninger, der er nødvendige for kunne at vurdere, om kriterierne i den reguleringsmæssige tekniske standard er opfyldt, herunder om enhver ændring i virksomhedens eller personens omstændigheder, som kan have indvirkning på opfyldelsen af disse kriterier, jf. hvidvaskdirektivets artikel 38, stk. 3. </w:t>
      </w:r>
    </w:p>
    <w:p w14:paraId="3D8121AD" w14:textId="77777777" w:rsidR="00773A1B" w:rsidRPr="00796736" w:rsidRDefault="00773A1B" w:rsidP="00A802A5">
      <w:pPr>
        <w:spacing w:line="360" w:lineRule="auto"/>
        <w:rPr>
          <w:rFonts w:ascii="Times New Roman" w:hAnsi="Times New Roman" w:cs="Times New Roman"/>
          <w:sz w:val="24"/>
          <w:szCs w:val="24"/>
        </w:rPr>
      </w:pPr>
    </w:p>
    <w:p w14:paraId="1DF5D197" w14:textId="45CB13E5"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udenlandsk myndigheds inspektion skal foregå under samme betingelser som Finanstilsynets inspektioner, hvilket betyder, at inspektionen skal ske i overensstemmelse med lov om retssikkerhed ved forvaltningens anvendelse af tvangsindgreb og oplysningspligter. Den udenlandske myndighed har derfor som udgangspunkt udelukkende adgang til forretningslokaler og således ikke til private boliger. Der er mulighed for at foretage inspektion uden forudgående varsling. Muligheden for at foretage uanmeldt inspektion uden forudgående varsling skal alene anvendes, hvis det er Finanstilsynets vurdering, at formålet med inspektionen ville blive forspildt, hvis inspektionen blev varslet. Finanstilsynet meddeler den udenlandske myndighed, hvorvidt et ønske om en uanmeldt inspektion kan imødekommes. Udgangspunktet er således fortsat, at inspektioner hos de i lovforslagets § </w:t>
      </w:r>
      <w:r w:rsidR="000E5287" w:rsidRPr="00796736">
        <w:rPr>
          <w:rFonts w:ascii="Times New Roman" w:hAnsi="Times New Roman" w:cs="Times New Roman"/>
          <w:sz w:val="24"/>
          <w:szCs w:val="24"/>
        </w:rPr>
        <w:t>2, nr. 6 og 12</w:t>
      </w:r>
      <w:r w:rsidRPr="00796736">
        <w:rPr>
          <w:rFonts w:ascii="Times New Roman" w:hAnsi="Times New Roman" w:cs="Times New Roman"/>
          <w:sz w:val="24"/>
          <w:szCs w:val="24"/>
        </w:rPr>
        <w:t>, nævnte virksomheder og personer skal varsles på forhånd, i det omfang det er muligt.</w:t>
      </w:r>
    </w:p>
    <w:p w14:paraId="7A7640A7" w14:textId="77777777" w:rsidR="00773A1B" w:rsidRPr="00796736" w:rsidRDefault="00773A1B" w:rsidP="00A802A5">
      <w:pPr>
        <w:spacing w:line="360" w:lineRule="auto"/>
        <w:rPr>
          <w:rFonts w:ascii="Times New Roman" w:hAnsi="Times New Roman" w:cs="Times New Roman"/>
          <w:sz w:val="24"/>
          <w:szCs w:val="24"/>
        </w:rPr>
      </w:pPr>
    </w:p>
    <w:p w14:paraId="259B4CB7"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Med den foreslåede bestemmelse gennemføres hvidvaskdirektivets artikel 38, stk. 2. </w:t>
      </w:r>
    </w:p>
    <w:p w14:paraId="51DAE0AC" w14:textId="77777777" w:rsidR="00773A1B" w:rsidRPr="00796736" w:rsidRDefault="00773A1B" w:rsidP="00A802A5">
      <w:pPr>
        <w:spacing w:line="360" w:lineRule="auto"/>
        <w:rPr>
          <w:rFonts w:ascii="Times New Roman" w:hAnsi="Times New Roman" w:cs="Times New Roman"/>
          <w:sz w:val="24"/>
          <w:szCs w:val="24"/>
        </w:rPr>
      </w:pPr>
    </w:p>
    <w:p w14:paraId="54E9F84E" w14:textId="5BB31AEA"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D5716D" w:rsidRPr="00796736">
        <w:rPr>
          <w:rFonts w:ascii="Times New Roman" w:hAnsi="Times New Roman" w:cs="Times New Roman"/>
          <w:i/>
          <w:iCs/>
          <w:sz w:val="24"/>
          <w:szCs w:val="24"/>
        </w:rPr>
        <w:t>4</w:t>
      </w:r>
      <w:r w:rsidRPr="00796736">
        <w:rPr>
          <w:rFonts w:ascii="Times New Roman" w:eastAsia="Times New Roman" w:hAnsi="Times New Roman" w:cs="Times New Roman"/>
          <w:i/>
          <w:iCs/>
          <w:sz w:val="24"/>
          <w:szCs w:val="24"/>
          <w:lang w:eastAsia="da-DK"/>
        </w:rPr>
        <w:t>,</w:t>
      </w:r>
      <w:r w:rsidRPr="00796736">
        <w:rPr>
          <w:rFonts w:ascii="Times New Roman" w:eastAsia="Times New Roman" w:hAnsi="Times New Roman" w:cs="Times New Roman"/>
          <w:sz w:val="24"/>
          <w:szCs w:val="24"/>
          <w:lang w:eastAsia="da-DK"/>
        </w:rPr>
        <w:t xml:space="preserve"> at Finanstilsynet påser, at de i et andet </w:t>
      </w:r>
      <w:r w:rsidRPr="00796736">
        <w:rPr>
          <w:rFonts w:ascii="Times New Roman" w:eastAsia="Times New Roman" w:hAnsi="Times New Roman" w:cs="Times New Roman"/>
          <w:iCs/>
          <w:sz w:val="24"/>
          <w:szCs w:val="24"/>
          <w:lang w:eastAsia="da-DK"/>
        </w:rPr>
        <w:t>EU- eller EØS-land</w:t>
      </w:r>
      <w:r w:rsidRPr="00796736">
        <w:rPr>
          <w:rFonts w:ascii="Times New Roman" w:eastAsia="Times New Roman" w:hAnsi="Times New Roman" w:cs="Times New Roman"/>
          <w:sz w:val="24"/>
          <w:szCs w:val="24"/>
          <w:lang w:eastAsia="da-DK"/>
        </w:rPr>
        <w:t xml:space="preserve"> beliggende distributører, agenter eller andre typer infrastruktur, af virksomheder og personer som nævnt i § </w:t>
      </w:r>
      <w:r w:rsidR="000E5287" w:rsidRPr="00796736">
        <w:rPr>
          <w:rFonts w:ascii="Times New Roman" w:eastAsia="Times New Roman" w:hAnsi="Times New Roman" w:cs="Times New Roman"/>
          <w:sz w:val="24"/>
          <w:szCs w:val="24"/>
          <w:lang w:eastAsia="da-DK"/>
        </w:rPr>
        <w:t>2, nr. 6 og 12,</w:t>
      </w:r>
      <w:r w:rsidRPr="00796736">
        <w:rPr>
          <w:rFonts w:ascii="Times New Roman" w:eastAsia="Times New Roman" w:hAnsi="Times New Roman" w:cs="Times New Roman"/>
          <w:sz w:val="24"/>
          <w:szCs w:val="24"/>
          <w:lang w:eastAsia="da-DK"/>
        </w:rPr>
        <w:t xml:space="preserve"> med hjemsted i Danmark, overholder hvidvaskforordningen, pengeoverførselsforordningen, denne lov og regler udstedt i medfør heraf samt love og forordninger indeholdende regler om finansielle sanktioner mod lande, personer, grupper, juridiske enheder eller organer, når</w:t>
      </w:r>
    </w:p>
    <w:p w14:paraId="2EE7AFAA" w14:textId="77777777" w:rsidR="00773A1B" w:rsidRPr="00796736" w:rsidRDefault="00773A1B">
      <w:pPr>
        <w:pStyle w:val="Listeafsnit"/>
        <w:numPr>
          <w:ilvl w:val="0"/>
          <w:numId w:val="30"/>
        </w:numPr>
        <w:spacing w:before="120" w:after="240" w:line="360" w:lineRule="auto"/>
        <w:jc w:val="left"/>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kriterierne i den reguleringsmæssige tekniske standard, der er omhandlet i artikel 41, stk. 2, i hvidvaskdirektivet ikke er opfyldt, og </w:t>
      </w:r>
    </w:p>
    <w:p w14:paraId="094AD2BF" w14:textId="77777777" w:rsidR="00773A1B" w:rsidRPr="00796736" w:rsidRDefault="00773A1B">
      <w:pPr>
        <w:pStyle w:val="Listeafsnit"/>
        <w:numPr>
          <w:ilvl w:val="0"/>
          <w:numId w:val="30"/>
        </w:numPr>
        <w:spacing w:before="120" w:after="240" w:line="360" w:lineRule="auto"/>
        <w:jc w:val="left"/>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Tilsynsmyndigheden i det land, hvor agenten, distributøren eller andre typer infrastruktur driver virksomhed, har givet meddelelse til Finanstilsynet om, at tilsynet, i betragtning af agentens eller distributørens eller andre typer infrastrukturs begrænsede aktiviteter i landet, skal udføres af tilsynsmyndigheden i den medlemsstat, hvor virksomheden eller personen har sit hjemsted.</w:t>
      </w:r>
    </w:p>
    <w:p w14:paraId="16838F87"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findes ikke tilsvarende bestemmelser i den gældende hvidvasklov. </w:t>
      </w:r>
    </w:p>
    <w:p w14:paraId="5025F2FA"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5AE73EDB"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hvidvaskdirektivets artikel 38, stk. 2, at tilsyn med agenter, distributører eller andre typer infrastruktur føres af tilsynsorganet i den medlemsstat, hvor den forpligtede enheds hovedsæde er beliggende, hvis kriterierne i den reguleringsmæssige tekniske standard, der er omhandlet i direktivets artikel 41, stk. 2, ikke er opfyldt (litra a)  og tilsynsorganet i den medlemsstat, hvor disse agenter, distributører eller andre typer infrastruktur er beliggende, giver tilsynsorganet i den medlemsstat, hvor den forpligtede enheds hovedsæde er beliggende, meddelelse om, at tilsynet med de aktiviteter, der er omhandlet i stk. 1, i betragtning af enhedens begrænsede infrastruktur på dens område skal udføres af tilsynsorganet i den medlemsstat, hvor den forpligtede enheds hovedsæde er beliggende (litra b).</w:t>
      </w:r>
    </w:p>
    <w:p w14:paraId="4081F455" w14:textId="77777777" w:rsidR="00773A1B" w:rsidRPr="00796736" w:rsidRDefault="00773A1B" w:rsidP="00A802A5">
      <w:pPr>
        <w:spacing w:line="360" w:lineRule="auto"/>
        <w:rPr>
          <w:rFonts w:ascii="Times New Roman" w:hAnsi="Times New Roman" w:cs="Times New Roman"/>
          <w:sz w:val="24"/>
          <w:szCs w:val="24"/>
        </w:rPr>
      </w:pPr>
    </w:p>
    <w:p w14:paraId="54872E34" w14:textId="6D0803F8"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Hvor stk. </w:t>
      </w:r>
      <w:r w:rsidR="00D5716D" w:rsidRPr="00796736">
        <w:rPr>
          <w:rFonts w:ascii="Times New Roman" w:eastAsia="Times New Roman" w:hAnsi="Times New Roman" w:cs="Times New Roman"/>
          <w:sz w:val="24"/>
          <w:szCs w:val="24"/>
          <w:lang w:eastAsia="da-DK"/>
        </w:rPr>
        <w:t>3</w:t>
      </w:r>
      <w:r w:rsidRPr="00796736">
        <w:rPr>
          <w:rFonts w:ascii="Times New Roman" w:eastAsia="Times New Roman" w:hAnsi="Times New Roman" w:cs="Times New Roman"/>
          <w:sz w:val="24"/>
          <w:szCs w:val="24"/>
          <w:lang w:eastAsia="da-DK"/>
        </w:rPr>
        <w:t xml:space="preserve"> vedrører den situation, at Finanstilsynet giver en udenlandsk tilsynsmyndighed meddelelse om at påse tilsynet overholdelse af hvidvaskforordningen, pengeoverførselsforordningen, hvidvaskloven og regler fastsat i medfør af loven med en her i landet beliggende distributør eller agent af udenlandske virksomheder og personer nævnt i §</w:t>
      </w:r>
      <w:r w:rsidR="000E5287" w:rsidRPr="00796736">
        <w:rPr>
          <w:rFonts w:ascii="Times New Roman" w:eastAsia="Times New Roman" w:hAnsi="Times New Roman" w:cs="Times New Roman"/>
          <w:sz w:val="24"/>
          <w:szCs w:val="24"/>
          <w:lang w:eastAsia="da-DK"/>
        </w:rPr>
        <w:t xml:space="preserve"> 2, nr. 6 og 12</w:t>
      </w:r>
      <w:r w:rsidRPr="00796736">
        <w:rPr>
          <w:rFonts w:ascii="Times New Roman" w:eastAsia="Times New Roman" w:hAnsi="Times New Roman" w:cs="Times New Roman"/>
          <w:sz w:val="24"/>
          <w:szCs w:val="24"/>
          <w:lang w:eastAsia="da-DK"/>
        </w:rPr>
        <w:t>,</w:t>
      </w:r>
      <w:r w:rsidRPr="00796736">
        <w:rPr>
          <w:rStyle w:val="Kommentarhenvisning"/>
          <w:rFonts w:ascii="Times New Roman" w:hAnsi="Times New Roman" w:cs="Times New Roman"/>
          <w:sz w:val="24"/>
          <w:szCs w:val="24"/>
        </w:rPr>
        <w:t xml:space="preserve"> </w:t>
      </w:r>
      <w:r w:rsidRPr="00796736">
        <w:rPr>
          <w:rFonts w:ascii="Times New Roman" w:eastAsia="Times New Roman" w:hAnsi="Times New Roman" w:cs="Times New Roman"/>
          <w:sz w:val="24"/>
          <w:szCs w:val="24"/>
          <w:lang w:eastAsia="da-DK"/>
        </w:rPr>
        <w:t xml:space="preserve">vedrører stk. </w:t>
      </w:r>
      <w:r w:rsidR="00D5716D" w:rsidRPr="00796736">
        <w:rPr>
          <w:rFonts w:ascii="Times New Roman" w:eastAsia="Times New Roman" w:hAnsi="Times New Roman" w:cs="Times New Roman"/>
          <w:sz w:val="24"/>
          <w:szCs w:val="24"/>
          <w:lang w:eastAsia="da-DK"/>
        </w:rPr>
        <w:t>4</w:t>
      </w:r>
      <w:r w:rsidRPr="00796736">
        <w:rPr>
          <w:rFonts w:ascii="Times New Roman" w:eastAsia="Times New Roman" w:hAnsi="Times New Roman" w:cs="Times New Roman"/>
          <w:sz w:val="24"/>
          <w:szCs w:val="24"/>
          <w:lang w:eastAsia="da-DK"/>
        </w:rPr>
        <w:t>, at Finanstilsynet modtager meddelelse om at påse tilsynet med en dansk virksomhed eller person i udlandet. Finanstilsynets tilsyn skal ske i overensstemmelse med reglerne i det pågældende land.</w:t>
      </w:r>
    </w:p>
    <w:p w14:paraId="61046C1C"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01B46B9B"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finde anvendelse i situationer, hvor Finanstilsynet fører tilsyn med udstedere af elektroniske penge, betalingstjenesteudbydere og udbydere af kryptoaktivtjenester i Danmark, og hvor virksomheden eller personen tillige driver virksomhed via en agent eller distributør i et andet EU- eller EØS-land. </w:t>
      </w:r>
    </w:p>
    <w:p w14:paraId="0190CF56" w14:textId="77777777" w:rsidR="00773A1B" w:rsidRPr="00796736" w:rsidRDefault="00773A1B" w:rsidP="00A802A5">
      <w:pPr>
        <w:spacing w:line="360" w:lineRule="auto"/>
        <w:rPr>
          <w:rFonts w:ascii="Times New Roman" w:hAnsi="Times New Roman" w:cs="Times New Roman"/>
          <w:sz w:val="24"/>
          <w:szCs w:val="24"/>
        </w:rPr>
      </w:pPr>
    </w:p>
    <w:p w14:paraId="2B6EC84C"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en betingelse, at </w:t>
      </w:r>
      <w:r w:rsidRPr="00796736">
        <w:rPr>
          <w:rFonts w:ascii="Times New Roman" w:eastAsia="Times New Roman" w:hAnsi="Times New Roman" w:cs="Times New Roman"/>
          <w:sz w:val="24"/>
          <w:szCs w:val="24"/>
          <w:lang w:eastAsia="da-DK"/>
        </w:rPr>
        <w:t xml:space="preserve">kriterierne i den reguleringsmæssige tekniske standard, der er omhandlet i hvidvaskdirektivets artikel 41, stk. 2, i hvidvaskdirektivet ikke er opfyldt samt, at </w:t>
      </w:r>
      <w:r w:rsidRPr="00796736">
        <w:rPr>
          <w:rFonts w:ascii="Times New Roman" w:hAnsi="Times New Roman" w:cs="Times New Roman"/>
          <w:sz w:val="24"/>
          <w:szCs w:val="24"/>
        </w:rPr>
        <w:t xml:space="preserve">Finanstilsynet og den udenlandske tilsynsmyndighed udveksler, alle oplysninger, der er nødvendige for kunne at vurdere, om kriterierne i den reguleringsmæssige tekniske standard er opfyldt, herunder om enhver ændring i virksomhedens eller personens omstændigheder, som kan have indvirkning på opfyldelsen af disse kriterier, jf. hvidvaskdirektivets artikel 38, stk. 3. </w:t>
      </w:r>
    </w:p>
    <w:p w14:paraId="5406E2F8" w14:textId="77777777" w:rsidR="00773A1B" w:rsidRPr="00796736" w:rsidRDefault="00773A1B" w:rsidP="00A802A5">
      <w:pPr>
        <w:spacing w:line="360" w:lineRule="auto"/>
        <w:rPr>
          <w:rFonts w:ascii="Times New Roman" w:hAnsi="Times New Roman" w:cs="Times New Roman"/>
          <w:sz w:val="24"/>
          <w:szCs w:val="24"/>
        </w:rPr>
      </w:pPr>
    </w:p>
    <w:p w14:paraId="273E2936"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vil Finanstilsynet eksempelvis kunne foretage inspektioner i udlandet, når det pågældende EU- eller EØS-lands lovmæssige betingelser for afholdelse af inspektioner er opfyldt.</w:t>
      </w:r>
    </w:p>
    <w:p w14:paraId="16BFC7FF" w14:textId="77777777" w:rsidR="00773A1B" w:rsidRPr="00796736" w:rsidRDefault="00773A1B" w:rsidP="00A802A5">
      <w:pPr>
        <w:spacing w:line="360" w:lineRule="auto"/>
        <w:rPr>
          <w:rFonts w:ascii="Times New Roman" w:hAnsi="Times New Roman" w:cs="Times New Roman"/>
          <w:sz w:val="24"/>
          <w:szCs w:val="24"/>
        </w:rPr>
      </w:pPr>
    </w:p>
    <w:p w14:paraId="56685122"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skal desuden regelmæssigt underrette værtslandets tilsynsorganer om de foranstaltninger, der er indført i virksomheden eller personen, og om denne enheds overholdelse af gældende krav, herunder dem, der gælder i det pågældende land. Hvis der konstateres alvorlige, gentagne eller systematiske overtrædelser, underretter Finanstilsynet omgående værtslandets tilsynsorganer om disse overtrædelser og om eventuelle politianmeldelser og administrative foranstaltninger, som de har til hensigt at anvende, for at afhjælpe dem.</w:t>
      </w:r>
    </w:p>
    <w:p w14:paraId="7AFD7AD6" w14:textId="77777777" w:rsidR="00773A1B" w:rsidRPr="00796736" w:rsidRDefault="00773A1B" w:rsidP="00A802A5">
      <w:pPr>
        <w:spacing w:line="360" w:lineRule="auto"/>
        <w:rPr>
          <w:rFonts w:ascii="Times New Roman" w:hAnsi="Times New Roman" w:cs="Times New Roman"/>
          <w:sz w:val="24"/>
          <w:szCs w:val="24"/>
        </w:rPr>
      </w:pPr>
    </w:p>
    <w:p w14:paraId="695E5CC0"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Med den foreslåede bestemmelse gennemføres hvidvaskdirektivets artikel 38, stk. 2. </w:t>
      </w:r>
    </w:p>
    <w:p w14:paraId="64191913" w14:textId="77777777" w:rsidR="00773A1B" w:rsidRPr="00796736" w:rsidRDefault="00773A1B" w:rsidP="00A802A5">
      <w:pPr>
        <w:spacing w:line="360" w:lineRule="auto"/>
        <w:rPr>
          <w:rFonts w:ascii="Times New Roman" w:hAnsi="Times New Roman" w:cs="Times New Roman"/>
          <w:sz w:val="24"/>
          <w:szCs w:val="24"/>
        </w:rPr>
      </w:pPr>
    </w:p>
    <w:p w14:paraId="31E3DA40" w14:textId="2E81003F"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D5716D" w:rsidRPr="00796736">
        <w:rPr>
          <w:rFonts w:ascii="Times New Roman" w:eastAsia="Times New Roman" w:hAnsi="Times New Roman" w:cs="Times New Roman"/>
          <w:i/>
          <w:iCs/>
          <w:sz w:val="24"/>
          <w:szCs w:val="24"/>
          <w:lang w:eastAsia="da-DK"/>
        </w:rPr>
        <w:t>5</w:t>
      </w:r>
      <w:r w:rsidRPr="00796736">
        <w:rPr>
          <w:rFonts w:ascii="Times New Roman" w:eastAsia="Times New Roman" w:hAnsi="Times New Roman" w:cs="Times New Roman"/>
          <w:sz w:val="24"/>
          <w:szCs w:val="24"/>
          <w:lang w:eastAsia="da-DK"/>
        </w:rPr>
        <w:t xml:space="preserve">, at Finanstilsynet inden for to uger efter modtagelsen af en meddelelse i henhold til stk. </w:t>
      </w:r>
      <w:r w:rsidR="00D5716D" w:rsidRPr="00796736">
        <w:rPr>
          <w:rFonts w:ascii="Times New Roman" w:eastAsia="Times New Roman" w:hAnsi="Times New Roman" w:cs="Times New Roman"/>
          <w:sz w:val="24"/>
          <w:szCs w:val="24"/>
          <w:lang w:eastAsia="da-DK"/>
        </w:rPr>
        <w:t>4</w:t>
      </w:r>
      <w:r w:rsidRPr="00796736">
        <w:rPr>
          <w:rFonts w:ascii="Times New Roman" w:eastAsia="Times New Roman" w:hAnsi="Times New Roman" w:cs="Times New Roman"/>
          <w:sz w:val="24"/>
          <w:szCs w:val="24"/>
          <w:lang w:eastAsia="da-DK"/>
        </w:rPr>
        <w:t>, underretter den virksomhed eller person som meddelelsen vedrører om Finanstilsynets tilsyn samt om enhver efterfølgende ændring heri.</w:t>
      </w:r>
    </w:p>
    <w:p w14:paraId="0D3895C1"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4ED5D20C"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findes ikke tilsvarende bestemmelser i den gældende hvidvasklov. </w:t>
      </w:r>
    </w:p>
    <w:p w14:paraId="7BE7F464"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0C979EF6"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hvidvaskdirektivets artikel 38, stk. 4, at tilsynsorganet i den medlemsstat, hvor den forpligtede enheds hovedsæde er beliggende, inden for to uger fra modtagelsen af meddelelsen underretter den forpligtede enhed om, at det vil føre tilsyn med de aktiviteter, der udøves af de agenter, distributører eller andre typer infrastruktur, hvorigennem den forpligtede enhed driver virksomhed i henhold til reglerne om fri udveksling af tjenesteydelser i en anden medlemsstat, og om enhver efterfølgende ændring af sit tilsyn.</w:t>
      </w:r>
    </w:p>
    <w:p w14:paraId="2FB9F5F2" w14:textId="77777777" w:rsidR="00773A1B" w:rsidRPr="00796736" w:rsidRDefault="00773A1B" w:rsidP="00A802A5">
      <w:pPr>
        <w:spacing w:line="360" w:lineRule="auto"/>
        <w:rPr>
          <w:rFonts w:ascii="Times New Roman" w:hAnsi="Times New Roman" w:cs="Times New Roman"/>
          <w:sz w:val="24"/>
          <w:szCs w:val="24"/>
        </w:rPr>
      </w:pPr>
    </w:p>
    <w:p w14:paraId="0C1D0FB2" w14:textId="6AE607EB"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Bestemmelsen vil medføre at Finanstilsynet inden for 2 uger efter at have modtaget meddelelse i henhold til forslaget til stk. </w:t>
      </w:r>
      <w:r w:rsidR="00D5716D" w:rsidRPr="00796736">
        <w:rPr>
          <w:rFonts w:ascii="Times New Roman" w:hAnsi="Times New Roman" w:cs="Times New Roman"/>
          <w:sz w:val="24"/>
          <w:szCs w:val="24"/>
        </w:rPr>
        <w:t>4</w:t>
      </w:r>
      <w:r w:rsidRPr="00796736">
        <w:rPr>
          <w:rFonts w:ascii="Times New Roman" w:hAnsi="Times New Roman" w:cs="Times New Roman"/>
          <w:sz w:val="24"/>
          <w:szCs w:val="24"/>
        </w:rPr>
        <w:t>, fra en tilsynsmyndighed i et andet EU- eller EØS-land om at</w:t>
      </w:r>
      <w:r w:rsidRPr="00796736">
        <w:rPr>
          <w:rFonts w:ascii="Times New Roman" w:eastAsia="Times New Roman" w:hAnsi="Times New Roman" w:cs="Times New Roman"/>
          <w:sz w:val="24"/>
          <w:szCs w:val="24"/>
          <w:lang w:eastAsia="da-DK"/>
        </w:rPr>
        <w:t xml:space="preserve"> påse en i landet beliggende distributør eller agent af virksomheder og personer som nævnt i § </w:t>
      </w:r>
      <w:r w:rsidR="000E5287" w:rsidRPr="00796736">
        <w:rPr>
          <w:rFonts w:ascii="Times New Roman" w:eastAsia="Times New Roman" w:hAnsi="Times New Roman" w:cs="Times New Roman"/>
          <w:sz w:val="24"/>
          <w:szCs w:val="24"/>
          <w:lang w:eastAsia="da-DK"/>
        </w:rPr>
        <w:t>2, nr. 6 og 12,</w:t>
      </w:r>
      <w:r w:rsidRPr="00796736">
        <w:rPr>
          <w:rFonts w:ascii="Times New Roman" w:eastAsia="Times New Roman" w:hAnsi="Times New Roman" w:cs="Times New Roman"/>
          <w:sz w:val="24"/>
          <w:szCs w:val="24"/>
          <w:lang w:eastAsia="da-DK"/>
        </w:rPr>
        <w:t xml:space="preserve"> med hjemsted i Danmark, skal underrette virksomheden eller personen om tilsynet samt alle efterfølgende ændringer i tilsynet. </w:t>
      </w:r>
    </w:p>
    <w:p w14:paraId="51EFDDC7"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7A1C0B62"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Med den foreslåede bestemmelse gennemføres hvidvaskdirektivets artikel 38, stk. 4 og 47, stk. 2.</w:t>
      </w:r>
    </w:p>
    <w:p w14:paraId="20EDA49E"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57D0F82B" w14:textId="1C589801"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w:t>
      </w:r>
      <w:r w:rsidR="00D5716D" w:rsidRPr="00796736">
        <w:rPr>
          <w:rFonts w:ascii="Times New Roman" w:eastAsia="Times New Roman" w:hAnsi="Times New Roman" w:cs="Times New Roman"/>
          <w:i/>
          <w:iCs/>
          <w:sz w:val="24"/>
          <w:szCs w:val="24"/>
          <w:lang w:eastAsia="da-DK"/>
        </w:rPr>
        <w:t>6</w:t>
      </w:r>
      <w:r w:rsidRPr="00796736">
        <w:rPr>
          <w:rFonts w:ascii="Times New Roman" w:eastAsia="Times New Roman" w:hAnsi="Times New Roman" w:cs="Times New Roman"/>
          <w:sz w:val="24"/>
          <w:szCs w:val="24"/>
          <w:lang w:eastAsia="da-DK"/>
        </w:rPr>
        <w:t>, at stk. 1-</w:t>
      </w:r>
      <w:r w:rsidR="00D5716D" w:rsidRPr="00796736">
        <w:rPr>
          <w:rFonts w:ascii="Times New Roman" w:eastAsia="Times New Roman" w:hAnsi="Times New Roman" w:cs="Times New Roman"/>
          <w:sz w:val="24"/>
          <w:szCs w:val="24"/>
          <w:lang w:eastAsia="da-DK"/>
        </w:rPr>
        <w:t>4</w:t>
      </w:r>
      <w:r w:rsidRPr="00796736">
        <w:rPr>
          <w:rFonts w:ascii="Times New Roman" w:eastAsia="Times New Roman" w:hAnsi="Times New Roman" w:cs="Times New Roman"/>
          <w:sz w:val="24"/>
          <w:szCs w:val="24"/>
          <w:lang w:eastAsia="da-DK"/>
        </w:rPr>
        <w:t xml:space="preserve"> ikke finder anvendelse når </w:t>
      </w:r>
      <w:r w:rsidR="00B81846" w:rsidRPr="00796736">
        <w:rPr>
          <w:rFonts w:ascii="Times New Roman" w:eastAsia="Times New Roman" w:hAnsi="Times New Roman" w:cs="Times New Roman"/>
          <w:sz w:val="24"/>
          <w:szCs w:val="24"/>
          <w:lang w:eastAsia="da-DK"/>
        </w:rPr>
        <w:t>AMLA</w:t>
      </w:r>
      <w:r w:rsidRPr="00796736">
        <w:rPr>
          <w:rFonts w:ascii="Times New Roman" w:eastAsia="Times New Roman" w:hAnsi="Times New Roman" w:cs="Times New Roman"/>
          <w:sz w:val="24"/>
          <w:szCs w:val="24"/>
          <w:lang w:eastAsia="da-DK"/>
        </w:rPr>
        <w:t xml:space="preserve"> i henhold til hvidvaskforordningen fungerer som tilsynsorgan for udvalgte forpligtede enheder.</w:t>
      </w:r>
    </w:p>
    <w:p w14:paraId="06CD815C"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p>
    <w:p w14:paraId="14E863F1"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Der findes ikke tilsvarende bestemmelser i den gældende hvidvasklov. </w:t>
      </w:r>
    </w:p>
    <w:p w14:paraId="324ECCE6" w14:textId="77777777" w:rsidR="00773A1B"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 </w:t>
      </w:r>
    </w:p>
    <w:p w14:paraId="14175DD0" w14:textId="03EEC8EA"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udvalgte forpligtede, der er under tilsyn af AMLA ikke vil være under Finanstilsynets tilsyn i henhold til de foreslåede bestemmelser i stk. 1,</w:t>
      </w:r>
      <w:r w:rsidR="004B4BF1"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2 og </w:t>
      </w:r>
      <w:r w:rsidR="00B81846" w:rsidRPr="00796736">
        <w:rPr>
          <w:rFonts w:ascii="Times New Roman" w:hAnsi="Times New Roman" w:cs="Times New Roman"/>
          <w:sz w:val="24"/>
          <w:szCs w:val="24"/>
        </w:rPr>
        <w:t>3</w:t>
      </w:r>
      <w:r w:rsidRPr="00796736">
        <w:rPr>
          <w:rFonts w:ascii="Times New Roman" w:hAnsi="Times New Roman" w:cs="Times New Roman"/>
          <w:sz w:val="24"/>
          <w:szCs w:val="24"/>
        </w:rPr>
        <w:t>-</w:t>
      </w:r>
      <w:r w:rsidR="00B81846" w:rsidRPr="00796736">
        <w:rPr>
          <w:rFonts w:ascii="Times New Roman" w:hAnsi="Times New Roman" w:cs="Times New Roman"/>
          <w:sz w:val="24"/>
          <w:szCs w:val="24"/>
        </w:rPr>
        <w:t>5</w:t>
      </w:r>
      <w:r w:rsidRPr="00796736">
        <w:rPr>
          <w:rFonts w:ascii="Times New Roman" w:hAnsi="Times New Roman" w:cs="Times New Roman"/>
          <w:sz w:val="24"/>
          <w:szCs w:val="24"/>
        </w:rPr>
        <w:t>.</w:t>
      </w:r>
    </w:p>
    <w:p w14:paraId="5F76A843" w14:textId="77777777" w:rsidR="00773A1B" w:rsidRPr="00796736" w:rsidRDefault="00773A1B" w:rsidP="00A802A5">
      <w:pPr>
        <w:spacing w:line="360" w:lineRule="auto"/>
        <w:rPr>
          <w:rFonts w:ascii="Times New Roman" w:hAnsi="Times New Roman" w:cs="Times New Roman"/>
          <w:sz w:val="24"/>
          <w:szCs w:val="24"/>
        </w:rPr>
      </w:pPr>
    </w:p>
    <w:p w14:paraId="6621F8EA" w14:textId="77777777" w:rsidR="00773A1B" w:rsidRPr="00796736" w:rsidRDefault="00773A1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hensyn til de udvalgte forpligtede enheder kan AMLA i henhold til hvidvaskforordningens artikel 6, stk. 1, 3 afsnit, i det omfang, at det er nødvendigt for at udføre de opgaver, som overdrages til myndigheden i henhold til forordningen, pålægge finansielle tilsynsorganer, herunder Finanstilsynet, at gøre brug af sine beføjelser på hvidvaskområdet, i overensstemmelse med de betingelser, der er fastsat i national ret, såfremt forordningen ikke pålægger AMLA sådanne beføjelser.</w:t>
      </w:r>
    </w:p>
    <w:p w14:paraId="40571C66" w14:textId="77777777" w:rsidR="00773A1B" w:rsidRPr="00796736" w:rsidRDefault="00773A1B" w:rsidP="00A802A5">
      <w:pPr>
        <w:spacing w:line="360" w:lineRule="auto"/>
        <w:rPr>
          <w:rFonts w:ascii="Times New Roman" w:hAnsi="Times New Roman" w:cs="Times New Roman"/>
          <w:sz w:val="24"/>
          <w:szCs w:val="24"/>
        </w:rPr>
      </w:pPr>
    </w:p>
    <w:p w14:paraId="65E9C7C3" w14:textId="0FF03D54" w:rsidR="00B6470E" w:rsidRPr="00796736" w:rsidRDefault="00773A1B"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 implementerer hvidvaskdirektivets artikel 38, stk. 5. </w:t>
      </w:r>
    </w:p>
    <w:p w14:paraId="513703FB" w14:textId="77777777" w:rsidR="00B6470E" w:rsidRPr="00796736" w:rsidRDefault="00B6470E" w:rsidP="00A802A5">
      <w:pPr>
        <w:spacing w:line="360" w:lineRule="auto"/>
        <w:jc w:val="center"/>
        <w:rPr>
          <w:rFonts w:ascii="Times New Roman" w:hAnsi="Times New Roman" w:cs="Times New Roman"/>
          <w:i/>
          <w:iCs/>
          <w:sz w:val="24"/>
          <w:szCs w:val="24"/>
        </w:rPr>
      </w:pPr>
    </w:p>
    <w:p w14:paraId="406B92E7" w14:textId="3DA68889" w:rsidR="00E05BEB" w:rsidRPr="00796736" w:rsidRDefault="00E70E76" w:rsidP="00A802A5">
      <w:pPr>
        <w:pStyle w:val="Undertitel"/>
      </w:pPr>
      <w:bookmarkStart w:id="2019" w:name="_Toc232109387"/>
      <w:bookmarkStart w:id="2020" w:name="_Toc244879351"/>
      <w:bookmarkStart w:id="2021" w:name="_Toc244880876"/>
      <w:r w:rsidRPr="00796736">
        <w:t xml:space="preserve">Til </w:t>
      </w:r>
      <w:r w:rsidR="00465705" w:rsidRPr="00796736">
        <w:fldChar w:fldCharType="begin"/>
      </w:r>
      <w:r w:rsidR="00465705" w:rsidRPr="00796736">
        <w:instrText xml:space="preserve"> REF _Ref232597060 \r \h </w:instrText>
      </w:r>
      <w:r w:rsidR="00967618" w:rsidRPr="00796736">
        <w:instrText xml:space="preserve"> \* MERGEFORMAT </w:instrText>
      </w:r>
      <w:r w:rsidR="00465705" w:rsidRPr="00796736">
        <w:fldChar w:fldCharType="separate"/>
      </w:r>
      <w:r w:rsidR="008F29E5">
        <w:t>§ 55</w:t>
      </w:r>
      <w:bookmarkEnd w:id="2020"/>
      <w:bookmarkEnd w:id="2021"/>
      <w:r w:rsidR="00465705" w:rsidRPr="00796736">
        <w:fldChar w:fldCharType="end"/>
      </w:r>
      <w:r w:rsidR="00474F5D" w:rsidRPr="00796736">
        <w:t xml:space="preserve"> </w:t>
      </w:r>
      <w:bookmarkEnd w:id="2019"/>
    </w:p>
    <w:p w14:paraId="15973D74" w14:textId="77777777"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46 f, stk. 1, i hvidvaskloven påser Finanstilsynet, at virksomheder omfattet af § 1, stk. 6, som er skadeforsikringsselskaber som defineret i § 9, stk. 1, nr. 1, litra a, i lov om forsikringsvirksomhed i tværgående pensionskasser, livsforsikringsselskaber og skadesforsikringsselskaber m.v. og filialer her i landet af sådanne udenlandske virksomheder, overholder forordninger indeholdende regler om finansielle sanktioner mod lande, personer, grupper, juridiske enheder og organer med den tilsynskompetence, som Finanstilsynet er tillagt. </w:t>
      </w:r>
    </w:p>
    <w:p w14:paraId="661D3D57" w14:textId="77777777" w:rsidR="00145F99" w:rsidRPr="00796736" w:rsidRDefault="00145F99" w:rsidP="00A802A5">
      <w:pPr>
        <w:spacing w:line="360" w:lineRule="auto"/>
        <w:rPr>
          <w:rFonts w:ascii="Times New Roman" w:hAnsi="Times New Roman" w:cs="Times New Roman"/>
          <w:sz w:val="24"/>
          <w:szCs w:val="24"/>
        </w:rPr>
      </w:pPr>
    </w:p>
    <w:p w14:paraId="0AC732C6" w14:textId="77777777"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bestemmelsens stk. 2, at </w:t>
      </w:r>
      <w:r w:rsidRPr="00796736">
        <w:rPr>
          <w:rFonts w:ascii="Times New Roman" w:eastAsia="Times New Roman" w:hAnsi="Times New Roman" w:cs="Times New Roman"/>
          <w:sz w:val="24"/>
          <w:szCs w:val="24"/>
          <w:lang w:eastAsia="da-DK"/>
        </w:rPr>
        <w:t>§ 49, stk. 1-5, og §§ 51 og 55 i hvidvaskloven tilsvarende finder anvendelse på skadesforsikringsselskabers overholdelse af forordninger indeholdende regler om finansielle sanktioner mod lande, personer, grupper, juridiske enheder eller organer.</w:t>
      </w:r>
    </w:p>
    <w:p w14:paraId="16F390FA" w14:textId="77777777" w:rsidR="00145F99" w:rsidRPr="00796736" w:rsidRDefault="00145F99" w:rsidP="00A802A5">
      <w:pPr>
        <w:spacing w:line="360" w:lineRule="auto"/>
        <w:rPr>
          <w:rFonts w:ascii="Times New Roman" w:hAnsi="Times New Roman" w:cs="Times New Roman"/>
          <w:sz w:val="24"/>
          <w:szCs w:val="24"/>
        </w:rPr>
      </w:pPr>
    </w:p>
    <w:p w14:paraId="190D7F65" w14:textId="68598FD8"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 </w:t>
      </w:r>
      <w:r w:rsidR="006811CB" w:rsidRPr="00796736">
        <w:rPr>
          <w:rFonts w:ascii="Times New Roman" w:hAnsi="Times New Roman" w:cs="Times New Roman"/>
          <w:sz w:val="24"/>
          <w:szCs w:val="24"/>
        </w:rPr>
        <w:t>5</w:t>
      </w:r>
      <w:r w:rsidR="00D33B1E" w:rsidRPr="00796736">
        <w:rPr>
          <w:rFonts w:ascii="Times New Roman" w:hAnsi="Times New Roman" w:cs="Times New Roman"/>
          <w:sz w:val="24"/>
          <w:szCs w:val="24"/>
        </w:rPr>
        <w:t>4</w:t>
      </w:r>
      <w:r w:rsidRPr="00796736">
        <w:rPr>
          <w:rFonts w:ascii="Times New Roman" w:hAnsi="Times New Roman" w:cs="Times New Roman"/>
          <w:sz w:val="24"/>
          <w:szCs w:val="24"/>
        </w:rPr>
        <w:t xml:space="preserve"> viderefører § 46</w:t>
      </w:r>
      <w:r w:rsidR="006811CB" w:rsidRPr="00796736">
        <w:rPr>
          <w:rFonts w:ascii="Times New Roman" w:hAnsi="Times New Roman" w:cs="Times New Roman"/>
          <w:sz w:val="24"/>
          <w:szCs w:val="24"/>
        </w:rPr>
        <w:t xml:space="preserve"> f</w:t>
      </w:r>
      <w:r w:rsidRPr="00796736">
        <w:rPr>
          <w:rFonts w:ascii="Times New Roman" w:hAnsi="Times New Roman" w:cs="Times New Roman"/>
          <w:sz w:val="24"/>
          <w:szCs w:val="24"/>
        </w:rPr>
        <w:t xml:space="preserve"> i hvidvaskloven uden materielle ændringer.</w:t>
      </w:r>
    </w:p>
    <w:p w14:paraId="35DCFE7D" w14:textId="77777777" w:rsidR="00145F99" w:rsidRPr="00796736" w:rsidRDefault="00145F99" w:rsidP="00A802A5">
      <w:pPr>
        <w:spacing w:line="360" w:lineRule="auto"/>
        <w:rPr>
          <w:rFonts w:ascii="Times New Roman" w:hAnsi="Times New Roman" w:cs="Times New Roman"/>
          <w:sz w:val="24"/>
          <w:szCs w:val="24"/>
        </w:rPr>
      </w:pPr>
    </w:p>
    <w:p w14:paraId="7A1BCF1C" w14:textId="2B1DA753"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B71EC7" w:rsidRPr="00796736">
        <w:rPr>
          <w:rFonts w:ascii="Times New Roman" w:hAnsi="Times New Roman" w:cs="Times New Roman"/>
          <w:i/>
          <w:iCs/>
          <w:sz w:val="24"/>
          <w:szCs w:val="24"/>
        </w:rPr>
        <w:fldChar w:fldCharType="begin"/>
      </w:r>
      <w:r w:rsidR="00B71EC7" w:rsidRPr="00796736">
        <w:rPr>
          <w:rFonts w:ascii="Times New Roman" w:hAnsi="Times New Roman" w:cs="Times New Roman"/>
          <w:i/>
          <w:iCs/>
          <w:sz w:val="24"/>
          <w:szCs w:val="24"/>
        </w:rPr>
        <w:instrText xml:space="preserve"> REF _Ref232597060 \r \h  \* MERGEFORMAT </w:instrText>
      </w:r>
      <w:r w:rsidR="00B71EC7" w:rsidRPr="00796736">
        <w:rPr>
          <w:rFonts w:ascii="Times New Roman" w:hAnsi="Times New Roman" w:cs="Times New Roman"/>
          <w:i/>
          <w:iCs/>
          <w:sz w:val="24"/>
          <w:szCs w:val="24"/>
        </w:rPr>
      </w:r>
      <w:r w:rsidR="00B71EC7"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55</w:t>
      </w:r>
      <w:r w:rsidR="00B71EC7"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Finanstilsynet påser, at virksomheder omfattet af den foreslående bestemmelse i § 1, stk. 6, overholder forordninger indeholdende regler om finansielle sanktioner mod lande, personer, grupper, juridiske enheder eller organer med den kompetence, som Finanstilsynet er tillagt i medfør af den foreslåede bestemmelse i </w:t>
      </w:r>
      <w:r w:rsidR="00B71EC7" w:rsidRPr="00796736">
        <w:rPr>
          <w:rFonts w:ascii="Times New Roman" w:hAnsi="Times New Roman" w:cs="Times New Roman"/>
          <w:sz w:val="24"/>
          <w:szCs w:val="24"/>
        </w:rPr>
        <w:fldChar w:fldCharType="begin"/>
      </w:r>
      <w:r w:rsidR="00B71EC7"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B71EC7" w:rsidRPr="00796736">
        <w:rPr>
          <w:rFonts w:ascii="Times New Roman" w:hAnsi="Times New Roman" w:cs="Times New Roman"/>
          <w:sz w:val="24"/>
          <w:szCs w:val="24"/>
        </w:rPr>
      </w:r>
      <w:r w:rsidR="00B71E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B71E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2</w:t>
      </w:r>
      <w:r w:rsidR="004E2379">
        <w:rPr>
          <w:rFonts w:ascii="Times New Roman" w:hAnsi="Times New Roman" w:cs="Times New Roman"/>
          <w:sz w:val="24"/>
          <w:szCs w:val="24"/>
        </w:rPr>
        <w:t>, samt § 56</w:t>
      </w:r>
      <w:r w:rsidRPr="00796736">
        <w:rPr>
          <w:rFonts w:ascii="Times New Roman" w:hAnsi="Times New Roman" w:cs="Times New Roman"/>
          <w:sz w:val="24"/>
          <w:szCs w:val="24"/>
        </w:rPr>
        <w:t xml:space="preserve">. </w:t>
      </w:r>
    </w:p>
    <w:p w14:paraId="17E54CE0" w14:textId="77777777" w:rsidR="00145F99" w:rsidRPr="00796736" w:rsidRDefault="00145F99" w:rsidP="00A802A5">
      <w:pPr>
        <w:spacing w:line="360" w:lineRule="auto"/>
        <w:rPr>
          <w:rFonts w:ascii="Times New Roman" w:hAnsi="Times New Roman" w:cs="Times New Roman"/>
          <w:sz w:val="24"/>
          <w:szCs w:val="24"/>
        </w:rPr>
      </w:pPr>
    </w:p>
    <w:p w14:paraId="52C2EFD6" w14:textId="09532267"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den foreslåede bestemmelse i </w:t>
      </w:r>
      <w:r w:rsidR="00B71EC7" w:rsidRPr="00796736">
        <w:rPr>
          <w:rFonts w:ascii="Times New Roman" w:hAnsi="Times New Roman" w:cs="Times New Roman"/>
          <w:sz w:val="24"/>
          <w:szCs w:val="24"/>
        </w:rPr>
        <w:fldChar w:fldCharType="begin"/>
      </w:r>
      <w:r w:rsidR="00B71EC7"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B71EC7" w:rsidRPr="00796736">
        <w:rPr>
          <w:rFonts w:ascii="Times New Roman" w:hAnsi="Times New Roman" w:cs="Times New Roman"/>
          <w:sz w:val="24"/>
          <w:szCs w:val="24"/>
        </w:rPr>
      </w:r>
      <w:r w:rsidR="00B71E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B71EC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at Finanstilsynet påser, at virksomheder og personer omfattet af </w:t>
      </w:r>
      <w:r w:rsidR="006B3864" w:rsidRPr="00796736">
        <w:rPr>
          <w:rFonts w:ascii="Times New Roman" w:eastAsia="Times New Roman" w:hAnsi="Times New Roman" w:cs="Times New Roman"/>
          <w:sz w:val="24"/>
          <w:szCs w:val="24"/>
          <w:lang w:eastAsia="da-DK"/>
        </w:rPr>
        <w:t xml:space="preserve">§ </w:t>
      </w:r>
      <w:r w:rsidR="006B3864" w:rsidRPr="00796736">
        <w:rPr>
          <w:rFonts w:ascii="Times New Roman" w:hAnsi="Times New Roman" w:cs="Times New Roman"/>
          <w:sz w:val="24"/>
          <w:szCs w:val="24"/>
          <w:lang w:eastAsia="da-DK"/>
        </w:rPr>
        <w:t xml:space="preserve">1, stk. 2, nr. 1-3 </w:t>
      </w:r>
      <w:r w:rsidR="00793B8C">
        <w:rPr>
          <w:rFonts w:ascii="Times New Roman" w:hAnsi="Times New Roman" w:cs="Times New Roman"/>
          <w:sz w:val="24"/>
          <w:szCs w:val="24"/>
          <w:lang w:eastAsia="da-DK"/>
        </w:rPr>
        <w:t>samt</w:t>
      </w:r>
      <w:r w:rsidR="006B3864" w:rsidRPr="00796736">
        <w:rPr>
          <w:rFonts w:ascii="Times New Roman" w:hAnsi="Times New Roman" w:cs="Times New Roman"/>
          <w:sz w:val="24"/>
          <w:szCs w:val="24"/>
          <w:lang w:eastAsia="da-DK"/>
        </w:rPr>
        <w:t xml:space="preserve"> § 2, nr. 1-19 </w:t>
      </w:r>
      <w:r w:rsidR="00586D2B">
        <w:rPr>
          <w:rFonts w:ascii="Times New Roman" w:hAnsi="Times New Roman" w:cs="Times New Roman"/>
          <w:sz w:val="24"/>
          <w:szCs w:val="24"/>
          <w:lang w:eastAsia="da-DK"/>
        </w:rPr>
        <w:t>og</w:t>
      </w:r>
      <w:r w:rsidR="006B3864" w:rsidRPr="00796736">
        <w:rPr>
          <w:rFonts w:ascii="Times New Roman" w:hAnsi="Times New Roman" w:cs="Times New Roman"/>
          <w:sz w:val="24"/>
          <w:szCs w:val="24"/>
          <w:lang w:eastAsia="da-DK"/>
        </w:rPr>
        <w:t xml:space="preserve"> 32, litra a</w:t>
      </w:r>
      <w:r w:rsidRPr="00796736">
        <w:rPr>
          <w:rFonts w:ascii="Times New Roman" w:hAnsi="Times New Roman" w:cs="Times New Roman"/>
          <w:sz w:val="24"/>
          <w:szCs w:val="24"/>
        </w:rPr>
        <w:t xml:space="preserve">, og filialer, distributører og agenter her i landet af sådanne udenlandske virksomheder og personer overholder loven, regler udstedt i medfør heraf, Europa-Parlamentets og Rådets forordning om oplysninger, der skal medsendes ved pengeoverførsler, og forordninger indeholdende regler om finansielle sanktioner mod lande, personer, grupper, juridiske enheder eller organer. </w:t>
      </w:r>
    </w:p>
    <w:p w14:paraId="1B77C301" w14:textId="77777777" w:rsidR="00145F99" w:rsidRPr="00796736" w:rsidRDefault="00145F99" w:rsidP="00A802A5">
      <w:pPr>
        <w:spacing w:line="360" w:lineRule="auto"/>
        <w:rPr>
          <w:rFonts w:ascii="Times New Roman" w:hAnsi="Times New Roman" w:cs="Times New Roman"/>
          <w:sz w:val="24"/>
          <w:szCs w:val="24"/>
        </w:rPr>
      </w:pPr>
    </w:p>
    <w:p w14:paraId="5C80C42B" w14:textId="05D5760F"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den foreslåede </w:t>
      </w:r>
      <w:r w:rsidR="006B3864" w:rsidRPr="00796736">
        <w:rPr>
          <w:rFonts w:ascii="Times New Roman" w:eastAsia="Times New Roman" w:hAnsi="Times New Roman" w:cs="Times New Roman"/>
          <w:sz w:val="24"/>
          <w:szCs w:val="24"/>
          <w:lang w:eastAsia="da-DK"/>
        </w:rPr>
        <w:t xml:space="preserve">§ </w:t>
      </w:r>
      <w:r w:rsidR="006B3864" w:rsidRPr="00796736">
        <w:rPr>
          <w:rFonts w:ascii="Times New Roman" w:hAnsi="Times New Roman" w:cs="Times New Roman"/>
          <w:sz w:val="24"/>
          <w:szCs w:val="24"/>
          <w:lang w:eastAsia="da-DK"/>
        </w:rPr>
        <w:t xml:space="preserve">1, stk. 2, nr. 1-3 </w:t>
      </w:r>
      <w:r w:rsidR="00793B8C">
        <w:rPr>
          <w:rFonts w:ascii="Times New Roman" w:hAnsi="Times New Roman" w:cs="Times New Roman"/>
          <w:sz w:val="24"/>
          <w:szCs w:val="24"/>
          <w:lang w:eastAsia="da-DK"/>
        </w:rPr>
        <w:t>samt</w:t>
      </w:r>
      <w:r w:rsidR="006B3864" w:rsidRPr="00796736">
        <w:rPr>
          <w:rFonts w:ascii="Times New Roman" w:hAnsi="Times New Roman" w:cs="Times New Roman"/>
          <w:sz w:val="24"/>
          <w:szCs w:val="24"/>
          <w:lang w:eastAsia="da-DK"/>
        </w:rPr>
        <w:t xml:space="preserve"> § 2, nr. 1-19 </w:t>
      </w:r>
      <w:r w:rsidR="00586D2B">
        <w:rPr>
          <w:rFonts w:ascii="Times New Roman" w:hAnsi="Times New Roman" w:cs="Times New Roman"/>
          <w:sz w:val="24"/>
          <w:szCs w:val="24"/>
          <w:lang w:eastAsia="da-DK"/>
        </w:rPr>
        <w:t>og</w:t>
      </w:r>
      <w:r w:rsidR="006B3864" w:rsidRPr="00796736">
        <w:rPr>
          <w:rFonts w:ascii="Times New Roman" w:hAnsi="Times New Roman" w:cs="Times New Roman"/>
          <w:sz w:val="24"/>
          <w:szCs w:val="24"/>
          <w:lang w:eastAsia="da-DK"/>
        </w:rPr>
        <w:t xml:space="preserve"> 32, litra a,</w:t>
      </w:r>
      <w:r w:rsidR="006B3864" w:rsidRPr="00796736" w:rsidDel="00366798">
        <w:rPr>
          <w:rFonts w:ascii="Times New Roman" w:eastAsia="Times New Roman" w:hAnsi="Times New Roman" w:cs="Times New Roman"/>
          <w:sz w:val="24"/>
          <w:szCs w:val="24"/>
          <w:lang w:eastAsia="da-DK"/>
        </w:rPr>
        <w:t xml:space="preserve"> </w:t>
      </w:r>
      <w:r w:rsidRPr="00796736">
        <w:rPr>
          <w:rFonts w:ascii="Times New Roman" w:hAnsi="Times New Roman" w:cs="Times New Roman"/>
          <w:sz w:val="24"/>
          <w:szCs w:val="24"/>
        </w:rPr>
        <w:t xml:space="preserve">i lovforslaget, hvilke virksomheder og personer, som er omfattet af hvidvaskloven. </w:t>
      </w:r>
    </w:p>
    <w:p w14:paraId="52F29869" w14:textId="77777777" w:rsidR="00145F99" w:rsidRPr="00796736" w:rsidRDefault="00145F99" w:rsidP="00A802A5">
      <w:pPr>
        <w:spacing w:line="360" w:lineRule="auto"/>
        <w:rPr>
          <w:rFonts w:ascii="Times New Roman" w:hAnsi="Times New Roman" w:cs="Times New Roman"/>
          <w:sz w:val="24"/>
          <w:szCs w:val="24"/>
        </w:rPr>
      </w:pPr>
    </w:p>
    <w:p w14:paraId="3FCDD879" w14:textId="2FA587F4"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Finanstilsynets bestyrelse indgår i tilsynet med den kompetence, som bestyrelsen er tillagt i medfør af § 345 i lov om finansiel virksomhed, jf. den foreslåede </w:t>
      </w:r>
      <w:r w:rsidR="00B71EC7" w:rsidRPr="00796736">
        <w:rPr>
          <w:rFonts w:ascii="Times New Roman" w:hAnsi="Times New Roman" w:cs="Times New Roman"/>
          <w:sz w:val="24"/>
          <w:szCs w:val="24"/>
        </w:rPr>
        <w:fldChar w:fldCharType="begin"/>
      </w:r>
      <w:r w:rsidR="00B71EC7" w:rsidRPr="00796736">
        <w:rPr>
          <w:rFonts w:ascii="Times New Roman" w:hAnsi="Times New Roman" w:cs="Times New Roman"/>
          <w:sz w:val="24"/>
          <w:szCs w:val="24"/>
        </w:rPr>
        <w:instrText xml:space="preserve"> REF _Ref232597084 \r \h </w:instrText>
      </w:r>
      <w:r w:rsidR="00967618" w:rsidRPr="00796736">
        <w:rPr>
          <w:rFonts w:ascii="Times New Roman" w:hAnsi="Times New Roman" w:cs="Times New Roman"/>
          <w:sz w:val="24"/>
          <w:szCs w:val="24"/>
        </w:rPr>
        <w:instrText xml:space="preserve"> \* MERGEFORMAT </w:instrText>
      </w:r>
      <w:r w:rsidR="00B71EC7" w:rsidRPr="00796736">
        <w:rPr>
          <w:rFonts w:ascii="Times New Roman" w:hAnsi="Times New Roman" w:cs="Times New Roman"/>
          <w:sz w:val="24"/>
          <w:szCs w:val="24"/>
        </w:rPr>
      </w:r>
      <w:r w:rsidR="00B71EC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00B71EC7" w:rsidRPr="00796736">
        <w:rPr>
          <w:rFonts w:ascii="Times New Roman" w:hAnsi="Times New Roman" w:cs="Times New Roman"/>
          <w:sz w:val="24"/>
          <w:szCs w:val="24"/>
        </w:rPr>
        <w:fldChar w:fldCharType="end"/>
      </w:r>
      <w:r w:rsidR="00B71EC7" w:rsidRPr="00796736">
        <w:rPr>
          <w:rFonts w:ascii="Times New Roman" w:hAnsi="Times New Roman" w:cs="Times New Roman"/>
          <w:sz w:val="24"/>
          <w:szCs w:val="24"/>
        </w:rPr>
        <w:t>.</w:t>
      </w:r>
    </w:p>
    <w:p w14:paraId="56F67C1D" w14:textId="77777777" w:rsidR="00145F99" w:rsidRPr="00796736" w:rsidRDefault="00145F99" w:rsidP="00A802A5">
      <w:pPr>
        <w:spacing w:line="360" w:lineRule="auto"/>
        <w:rPr>
          <w:rFonts w:ascii="Times New Roman" w:hAnsi="Times New Roman" w:cs="Times New Roman"/>
          <w:sz w:val="24"/>
          <w:szCs w:val="24"/>
        </w:rPr>
      </w:pPr>
    </w:p>
    <w:p w14:paraId="49043C6D" w14:textId="38B90474"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Eksempelvis vil Finanstilsynet i den forbindelse kunne gennemføre inspektioner i de enkelte skadesforsikringsselskaber og filialer her i landet af sådanne udenlandske virksomheder med henblik på at påse, om virksomhederne overholder forordningerne. Finanstilsynet vil endvidere kunne vurdere om virksomhedernes arbejde, der skal sikre overholdelse af sanktionerne, er tilstrækkelig. Såfremt Finanstilsynet konstaterer, at et skadesforsikringsselskab eller en filial overtræder sanktionsforordningerne, vil Finanstilsynet kunne påbyde virksomheden at foretage de nødvendige foranstaltninger. Endvidere vil en manglende overholdelse være en overtrædelse af straffeloven, hvorfor sagen vil kunne blive overgivet til politiet. </w:t>
      </w:r>
    </w:p>
    <w:p w14:paraId="428EFDE9" w14:textId="77777777" w:rsidR="00145F99" w:rsidRPr="00796736" w:rsidRDefault="00145F99" w:rsidP="00A802A5">
      <w:pPr>
        <w:spacing w:line="360" w:lineRule="auto"/>
        <w:rPr>
          <w:rFonts w:ascii="Times New Roman" w:hAnsi="Times New Roman" w:cs="Times New Roman"/>
          <w:sz w:val="24"/>
          <w:szCs w:val="24"/>
        </w:rPr>
      </w:pPr>
    </w:p>
    <w:p w14:paraId="02AFA518" w14:textId="2773CCBD"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yderligere beskrivelser af indholdet af Finanstilsynets tilsynsansvar henvises der til bemærkningerne til den foreslående </w:t>
      </w:r>
      <w:r w:rsidR="00F710F5" w:rsidRPr="00796736">
        <w:rPr>
          <w:rFonts w:ascii="Times New Roman" w:hAnsi="Times New Roman" w:cs="Times New Roman"/>
          <w:sz w:val="24"/>
          <w:szCs w:val="24"/>
        </w:rPr>
        <w:fldChar w:fldCharType="begin"/>
      </w:r>
      <w:r w:rsidR="00F710F5"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F710F5" w:rsidRPr="00796736">
        <w:rPr>
          <w:rFonts w:ascii="Times New Roman" w:hAnsi="Times New Roman" w:cs="Times New Roman"/>
          <w:sz w:val="24"/>
          <w:szCs w:val="24"/>
        </w:rPr>
      </w:r>
      <w:r w:rsidR="00F710F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F710F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275D4E34" w14:textId="77777777" w:rsidR="00145F99" w:rsidRPr="00796736" w:rsidRDefault="00145F99" w:rsidP="00A802A5">
      <w:pPr>
        <w:spacing w:line="360" w:lineRule="auto"/>
        <w:rPr>
          <w:rFonts w:ascii="Times New Roman" w:hAnsi="Times New Roman" w:cs="Times New Roman"/>
          <w:sz w:val="24"/>
          <w:szCs w:val="24"/>
        </w:rPr>
      </w:pPr>
    </w:p>
    <w:p w14:paraId="418DFB7B" w14:textId="4B9B2715"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F710F5" w:rsidRPr="00796736">
        <w:rPr>
          <w:rFonts w:ascii="Times New Roman" w:hAnsi="Times New Roman" w:cs="Times New Roman"/>
          <w:i/>
          <w:iCs/>
          <w:sz w:val="24"/>
          <w:szCs w:val="24"/>
        </w:rPr>
        <w:fldChar w:fldCharType="begin"/>
      </w:r>
      <w:r w:rsidR="00F710F5" w:rsidRPr="00796736">
        <w:rPr>
          <w:rFonts w:ascii="Times New Roman" w:hAnsi="Times New Roman" w:cs="Times New Roman"/>
          <w:i/>
          <w:iCs/>
          <w:sz w:val="24"/>
          <w:szCs w:val="24"/>
        </w:rPr>
        <w:instrText xml:space="preserve"> REF _Ref232597060 \r \h  \* MERGEFORMAT </w:instrText>
      </w:r>
      <w:r w:rsidR="00F710F5" w:rsidRPr="00796736">
        <w:rPr>
          <w:rFonts w:ascii="Times New Roman" w:hAnsi="Times New Roman" w:cs="Times New Roman"/>
          <w:i/>
          <w:iCs/>
          <w:sz w:val="24"/>
          <w:szCs w:val="24"/>
        </w:rPr>
      </w:r>
      <w:r w:rsidR="00F710F5"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55</w:t>
      </w:r>
      <w:r w:rsidR="00F710F5"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2</w:t>
      </w:r>
      <w:r w:rsidRPr="00796736">
        <w:rPr>
          <w:rFonts w:ascii="Times New Roman" w:hAnsi="Times New Roman" w:cs="Times New Roman"/>
          <w:sz w:val="24"/>
          <w:szCs w:val="24"/>
        </w:rPr>
        <w:t xml:space="preserve">, at de foreslåede </w:t>
      </w:r>
      <w:r w:rsidR="006B3864" w:rsidRPr="00796736">
        <w:rPr>
          <w:rFonts w:ascii="Times New Roman" w:hAnsi="Times New Roman" w:cs="Times New Roman"/>
          <w:sz w:val="24"/>
          <w:szCs w:val="24"/>
        </w:rPr>
        <w:t>§</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_Ref232597109 \r \h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6B3864" w:rsidRPr="00796736">
        <w:rPr>
          <w:rFonts w:ascii="Times New Roman" w:hAnsi="Times New Roman" w:cs="Times New Roman"/>
          <w:sz w:val="24"/>
          <w:szCs w:val="24"/>
        </w:rPr>
        <w:fldChar w:fldCharType="end"/>
      </w:r>
      <w:r w:rsidR="006B3864" w:rsidRPr="00796736">
        <w:rPr>
          <w:rFonts w:ascii="Times New Roman" w:hAnsi="Times New Roman" w:cs="Times New Roman"/>
          <w:sz w:val="24"/>
          <w:szCs w:val="24"/>
        </w:rPr>
        <w:t xml:space="preserve"> og </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_Ref232597126 \r \h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59</w:t>
      </w:r>
      <w:r w:rsidR="006B3864" w:rsidRPr="00796736">
        <w:rPr>
          <w:rFonts w:ascii="Times New Roman" w:hAnsi="Times New Roman" w:cs="Times New Roman"/>
          <w:sz w:val="24"/>
          <w:szCs w:val="24"/>
        </w:rPr>
        <w:fldChar w:fldCharType="end"/>
      </w:r>
      <w:r w:rsidR="006B3864" w:rsidRPr="00796736">
        <w:rPr>
          <w:rFonts w:ascii="Times New Roman" w:hAnsi="Times New Roman" w:cs="Times New Roman"/>
          <w:sz w:val="24"/>
          <w:szCs w:val="24"/>
        </w:rPr>
        <w:t xml:space="preserve"> samt §</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_Ref232597226 \r \h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006B3864" w:rsidRPr="00796736">
        <w:rPr>
          <w:rFonts w:ascii="Times New Roman" w:hAnsi="Times New Roman" w:cs="Times New Roman"/>
          <w:sz w:val="24"/>
          <w:szCs w:val="24"/>
        </w:rPr>
        <w:fldChar w:fldCharType="end"/>
      </w:r>
      <w:r w:rsidR="006B3864" w:rsidRPr="00796736">
        <w:rPr>
          <w:rFonts w:ascii="Times New Roman" w:hAnsi="Times New Roman" w:cs="Times New Roman"/>
          <w:sz w:val="24"/>
          <w:szCs w:val="24"/>
        </w:rPr>
        <w:t xml:space="preserve"> og </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_Ref239790980 \r \h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69</w:t>
      </w:r>
      <w:r w:rsidR="006B3864" w:rsidRPr="00796736">
        <w:rPr>
          <w:rFonts w:ascii="Times New Roman" w:hAnsi="Times New Roman" w:cs="Times New Roman"/>
          <w:sz w:val="24"/>
          <w:szCs w:val="24"/>
        </w:rPr>
        <w:fldChar w:fldCharType="end"/>
      </w:r>
      <w:r w:rsidR="006B3864" w:rsidRPr="00796736">
        <w:rPr>
          <w:rFonts w:ascii="Times New Roman" w:hAnsi="Times New Roman" w:cs="Times New Roman"/>
          <w:sz w:val="24"/>
          <w:szCs w:val="24"/>
        </w:rPr>
        <w:t xml:space="preserve"> </w:t>
      </w:r>
      <w:r w:rsidRPr="00796736">
        <w:rPr>
          <w:rFonts w:ascii="Times New Roman" w:hAnsi="Times New Roman" w:cs="Times New Roman"/>
          <w:sz w:val="24"/>
          <w:szCs w:val="24"/>
        </w:rPr>
        <w:t>finder tilsvarende anvendelse på skadesforsikringsselskabers overholdelse af forordninger indeholdende regler om finansielle sanktioner mod lande, personer, grupper, juridiske enheder eller organer.</w:t>
      </w:r>
    </w:p>
    <w:p w14:paraId="7EF57F50" w14:textId="77777777" w:rsidR="00145F99" w:rsidRPr="00796736" w:rsidRDefault="00145F99" w:rsidP="00A802A5">
      <w:pPr>
        <w:spacing w:line="360" w:lineRule="auto"/>
        <w:rPr>
          <w:rFonts w:ascii="Times New Roman" w:hAnsi="Times New Roman" w:cs="Times New Roman"/>
          <w:sz w:val="24"/>
          <w:szCs w:val="24"/>
        </w:rPr>
      </w:pPr>
    </w:p>
    <w:p w14:paraId="2B2213E7" w14:textId="33A960AF"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den foreslåede </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_Ref232597109 \r \h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6B386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at virksomheder og personer som nævnt i lovforslagets </w:t>
      </w:r>
      <w:r w:rsidR="006B3864" w:rsidRPr="00796736">
        <w:rPr>
          <w:rFonts w:ascii="Times New Roman" w:eastAsia="Times New Roman" w:hAnsi="Times New Roman" w:cs="Times New Roman"/>
          <w:sz w:val="24"/>
          <w:szCs w:val="24"/>
          <w:lang w:eastAsia="da-DK"/>
        </w:rPr>
        <w:t xml:space="preserve">§ </w:t>
      </w:r>
      <w:r w:rsidR="006B3864" w:rsidRPr="00796736">
        <w:rPr>
          <w:rFonts w:ascii="Times New Roman" w:hAnsi="Times New Roman" w:cs="Times New Roman"/>
          <w:sz w:val="24"/>
          <w:szCs w:val="24"/>
          <w:lang w:eastAsia="da-DK"/>
        </w:rPr>
        <w:t>1, stk. 2, nr. 1-3</w:t>
      </w:r>
      <w:r w:rsidR="005F48B0">
        <w:rPr>
          <w:rFonts w:ascii="Times New Roman" w:hAnsi="Times New Roman" w:cs="Times New Roman"/>
          <w:sz w:val="24"/>
          <w:szCs w:val="24"/>
          <w:lang w:eastAsia="da-DK"/>
        </w:rPr>
        <w:t>,</w:t>
      </w:r>
      <w:r w:rsidR="006B3864" w:rsidRPr="00796736">
        <w:rPr>
          <w:rFonts w:ascii="Times New Roman" w:hAnsi="Times New Roman" w:cs="Times New Roman"/>
          <w:sz w:val="24"/>
          <w:szCs w:val="24"/>
          <w:lang w:eastAsia="da-DK"/>
        </w:rPr>
        <w:t xml:space="preserve"> </w:t>
      </w:r>
      <w:r w:rsidR="00793B8C">
        <w:rPr>
          <w:rFonts w:ascii="Times New Roman" w:hAnsi="Times New Roman" w:cs="Times New Roman"/>
          <w:sz w:val="24"/>
          <w:szCs w:val="24"/>
          <w:lang w:eastAsia="da-DK"/>
        </w:rPr>
        <w:t>samt</w:t>
      </w:r>
      <w:r w:rsidR="006B3864" w:rsidRPr="00796736">
        <w:rPr>
          <w:rFonts w:ascii="Times New Roman" w:hAnsi="Times New Roman" w:cs="Times New Roman"/>
          <w:sz w:val="24"/>
          <w:szCs w:val="24"/>
          <w:lang w:eastAsia="da-DK"/>
        </w:rPr>
        <w:t xml:space="preserve"> § 2, nr. 1-19 </w:t>
      </w:r>
      <w:r w:rsidR="00586D2B">
        <w:rPr>
          <w:rFonts w:ascii="Times New Roman" w:hAnsi="Times New Roman" w:cs="Times New Roman"/>
          <w:sz w:val="24"/>
          <w:szCs w:val="24"/>
          <w:lang w:eastAsia="da-DK"/>
        </w:rPr>
        <w:t>og</w:t>
      </w:r>
      <w:r w:rsidR="006B3864" w:rsidRPr="00796736">
        <w:rPr>
          <w:rFonts w:ascii="Times New Roman" w:hAnsi="Times New Roman" w:cs="Times New Roman"/>
          <w:sz w:val="24"/>
          <w:szCs w:val="24"/>
          <w:lang w:eastAsia="da-DK"/>
        </w:rPr>
        <w:t xml:space="preserve"> 32, litra a</w:t>
      </w:r>
      <w:r w:rsidRPr="00796736">
        <w:rPr>
          <w:rFonts w:ascii="Times New Roman" w:hAnsi="Times New Roman" w:cs="Times New Roman"/>
          <w:sz w:val="24"/>
          <w:szCs w:val="24"/>
        </w:rPr>
        <w:t xml:space="preserve">, herunder leverandører og underleverandører til disse, har pligt til at give Finanstilsynet de oplysninger, der er nødvendige for Finanstilsynets virksomhed. Som tvangsmiddel kan Finanstilsynet pålægge tvangsbøder, jf. den foreslående </w:t>
      </w:r>
      <w:r w:rsidR="00CD3E4C">
        <w:rPr>
          <w:rFonts w:ascii="Times New Roman" w:hAnsi="Times New Roman" w:cs="Times New Roman"/>
          <w:sz w:val="24"/>
          <w:szCs w:val="24"/>
        </w:rPr>
        <w:fldChar w:fldCharType="begin"/>
      </w:r>
      <w:r w:rsidR="00CD3E4C">
        <w:rPr>
          <w:rFonts w:ascii="Times New Roman" w:hAnsi="Times New Roman" w:cs="Times New Roman"/>
          <w:sz w:val="24"/>
          <w:szCs w:val="24"/>
        </w:rPr>
        <w:instrText xml:space="preserve"> REF _Ref244804875 \r \h </w:instrText>
      </w:r>
      <w:r w:rsidR="00CD3E4C">
        <w:rPr>
          <w:rFonts w:ascii="Times New Roman" w:hAnsi="Times New Roman" w:cs="Times New Roman"/>
          <w:sz w:val="24"/>
          <w:szCs w:val="24"/>
        </w:rPr>
      </w:r>
      <w:r w:rsidR="00CD3E4C">
        <w:rPr>
          <w:rFonts w:ascii="Times New Roman" w:hAnsi="Times New Roman" w:cs="Times New Roman"/>
          <w:sz w:val="24"/>
          <w:szCs w:val="24"/>
        </w:rPr>
        <w:fldChar w:fldCharType="separate"/>
      </w:r>
      <w:r w:rsidR="008F29E5">
        <w:rPr>
          <w:rFonts w:ascii="Times New Roman" w:hAnsi="Times New Roman" w:cs="Times New Roman"/>
          <w:sz w:val="24"/>
          <w:szCs w:val="24"/>
        </w:rPr>
        <w:t>§ 135</w:t>
      </w:r>
      <w:r w:rsidR="00CD3E4C">
        <w:rPr>
          <w:rFonts w:ascii="Times New Roman" w:hAnsi="Times New Roman" w:cs="Times New Roman"/>
          <w:sz w:val="24"/>
          <w:szCs w:val="24"/>
        </w:rPr>
        <w:fldChar w:fldCharType="end"/>
      </w:r>
      <w:r w:rsidR="00CD3E4C">
        <w:rPr>
          <w:rFonts w:ascii="Times New Roman" w:hAnsi="Times New Roman" w:cs="Times New Roman"/>
          <w:sz w:val="24"/>
          <w:szCs w:val="24"/>
        </w:rPr>
        <w:t xml:space="preserve">. </w:t>
      </w:r>
    </w:p>
    <w:p w14:paraId="556257DD" w14:textId="77777777" w:rsidR="00145F99" w:rsidRPr="00796736" w:rsidRDefault="00145F99" w:rsidP="00A802A5">
      <w:pPr>
        <w:spacing w:line="360" w:lineRule="auto"/>
        <w:rPr>
          <w:rFonts w:ascii="Times New Roman" w:hAnsi="Times New Roman" w:cs="Times New Roman"/>
          <w:sz w:val="24"/>
          <w:szCs w:val="24"/>
        </w:rPr>
      </w:pPr>
    </w:p>
    <w:p w14:paraId="38D1960C" w14:textId="73EDF1F1"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den foreslåede </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_Ref232597109 \r \h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6B386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at virksomheder eller personer, der har afgivet oplysninger efter den foreslåede </w:t>
      </w:r>
      <w:r w:rsidR="00A5774B" w:rsidRPr="00796736">
        <w:rPr>
          <w:rFonts w:ascii="Times New Roman" w:hAnsi="Times New Roman" w:cs="Times New Roman"/>
          <w:sz w:val="24"/>
          <w:szCs w:val="24"/>
        </w:rPr>
        <w:fldChar w:fldCharType="begin"/>
      </w:r>
      <w:r w:rsidR="00A5774B" w:rsidRPr="00796736">
        <w:rPr>
          <w:rFonts w:ascii="Times New Roman" w:hAnsi="Times New Roman" w:cs="Times New Roman"/>
          <w:sz w:val="24"/>
          <w:szCs w:val="24"/>
        </w:rPr>
        <w:instrText xml:space="preserve"> REF _Ref232597109 \r \h  \* MERGEFORMAT </w:instrText>
      </w:r>
      <w:r w:rsidR="00A5774B" w:rsidRPr="00796736">
        <w:rPr>
          <w:rFonts w:ascii="Times New Roman" w:hAnsi="Times New Roman" w:cs="Times New Roman"/>
          <w:sz w:val="24"/>
          <w:szCs w:val="24"/>
        </w:rPr>
      </w:r>
      <w:r w:rsidR="00A5774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A5774B"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har pligt til hurtigst muligt at berigtige oplysningerne over for Finanstilsynet, hvis virksomheden eller personen efterfølgende konstaterer, at oplysningerne ikke har været korrekte på tidspunktet for afgivelsen eller på et senere tidspunkt er blevet misvisende.</w:t>
      </w:r>
    </w:p>
    <w:p w14:paraId="5B761F40" w14:textId="77777777" w:rsidR="00145F99" w:rsidRPr="00796736" w:rsidRDefault="00145F99" w:rsidP="00A802A5">
      <w:pPr>
        <w:spacing w:line="360" w:lineRule="auto"/>
        <w:rPr>
          <w:rFonts w:ascii="Times New Roman" w:hAnsi="Times New Roman" w:cs="Times New Roman"/>
          <w:sz w:val="24"/>
          <w:szCs w:val="24"/>
        </w:rPr>
      </w:pPr>
    </w:p>
    <w:p w14:paraId="5D99D2BC" w14:textId="42CFC54F"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den foreslåede </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_Ref232597126 \r \h </w:instrText>
      </w:r>
      <w:r w:rsidR="00AB17CC" w:rsidRPr="00796736">
        <w:rPr>
          <w:rFonts w:ascii="Times New Roman" w:hAnsi="Times New Roman" w:cs="Times New Roman"/>
          <w:sz w:val="24"/>
          <w:szCs w:val="24"/>
        </w:rPr>
        <w:instrText xml:space="preserve">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59</w:t>
      </w:r>
      <w:r w:rsidR="006B386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w:t>
      </w:r>
      <w:r w:rsidR="006B3864" w:rsidRPr="00796736">
        <w:rPr>
          <w:rFonts w:ascii="Times New Roman" w:hAnsi="Times New Roman" w:cs="Times New Roman"/>
          <w:sz w:val="24"/>
          <w:szCs w:val="24"/>
        </w:rPr>
        <w:t>1</w:t>
      </w:r>
      <w:r w:rsidRPr="00796736">
        <w:rPr>
          <w:rFonts w:ascii="Times New Roman" w:hAnsi="Times New Roman" w:cs="Times New Roman"/>
          <w:sz w:val="24"/>
          <w:szCs w:val="24"/>
        </w:rPr>
        <w:t>, at Finanstilsynet til enhver tid mod behørig legitimation uden retskendelse kan få adgang til virksomheder og personer omfattet af stk. 1 med henblik på indhentelse af oplysninger, herunder ved inspektioner.</w:t>
      </w:r>
    </w:p>
    <w:p w14:paraId="71365321" w14:textId="77777777" w:rsidR="00145F99" w:rsidRPr="00796736" w:rsidRDefault="00145F99" w:rsidP="00A802A5">
      <w:pPr>
        <w:spacing w:line="360" w:lineRule="auto"/>
        <w:rPr>
          <w:rFonts w:ascii="Times New Roman" w:hAnsi="Times New Roman" w:cs="Times New Roman"/>
          <w:sz w:val="24"/>
          <w:szCs w:val="24"/>
        </w:rPr>
      </w:pPr>
    </w:p>
    <w:p w14:paraId="4C201B37" w14:textId="7413A28C"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den foreslåede </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_Ref232597126 \r \h </w:instrText>
      </w:r>
      <w:r w:rsidR="00AB17CC" w:rsidRPr="00796736">
        <w:rPr>
          <w:rFonts w:ascii="Times New Roman" w:hAnsi="Times New Roman" w:cs="Times New Roman"/>
          <w:sz w:val="24"/>
          <w:szCs w:val="24"/>
        </w:rPr>
        <w:instrText xml:space="preserve">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59</w:t>
      </w:r>
      <w:r w:rsidR="006B3864" w:rsidRPr="00796736">
        <w:rPr>
          <w:rFonts w:ascii="Times New Roman" w:hAnsi="Times New Roman" w:cs="Times New Roman"/>
          <w:sz w:val="24"/>
          <w:szCs w:val="24"/>
        </w:rPr>
        <w:fldChar w:fldCharType="end"/>
      </w:r>
      <w:r w:rsidR="006B3864" w:rsidRPr="00796736">
        <w:rPr>
          <w:rFonts w:ascii="Times New Roman" w:hAnsi="Times New Roman" w:cs="Times New Roman"/>
          <w:sz w:val="24"/>
          <w:szCs w:val="24"/>
        </w:rPr>
        <w:t>, stk. 2</w:t>
      </w:r>
      <w:r w:rsidRPr="00796736">
        <w:rPr>
          <w:rFonts w:ascii="Times New Roman" w:hAnsi="Times New Roman" w:cs="Times New Roman"/>
          <w:sz w:val="24"/>
          <w:szCs w:val="24"/>
        </w:rPr>
        <w:t xml:space="preserve">, at Finanstilsynet til enhver tid mod behørig legitimation uden retskendelse kan få adgang til en leverandør eller underleverandør med henblik på indhentelse af oplysninger om den outsourcede aktivitet. </w:t>
      </w:r>
      <w:r w:rsidR="00A5774B" w:rsidRPr="00796736">
        <w:rPr>
          <w:rFonts w:ascii="Times New Roman" w:eastAsia="Times New Roman" w:hAnsi="Times New Roman" w:cs="Times New Roman"/>
          <w:sz w:val="24"/>
          <w:szCs w:val="24"/>
          <w:lang w:eastAsia="da-DK"/>
        </w:rPr>
        <w:t>Finanstilsynets fysiske adgang til leverandørens lokaler skal indgå som et krav i den outsourcingkontrakt, som indgås mellem outsourcingvirksomheden og leverandøren. Hvis en outsourcingkontrakt ikke indeholder kravet om Finanstilsynets fysiske adgang til leverandørens virksomhed, kan Finanstilsynet kræve, at den outsourcede aktivitet fremover enten varetages af outsourcingvirksomheden selv eller outsources til en anden leverandør inden for en af Finanstilsynet nærmere fastsat frist.</w:t>
      </w:r>
    </w:p>
    <w:p w14:paraId="06C0DB22" w14:textId="77777777" w:rsidR="00145F99" w:rsidRPr="00796736" w:rsidRDefault="00145F99" w:rsidP="00A802A5">
      <w:pPr>
        <w:spacing w:line="360" w:lineRule="auto"/>
        <w:rPr>
          <w:rFonts w:ascii="Times New Roman" w:hAnsi="Times New Roman" w:cs="Times New Roman"/>
          <w:sz w:val="24"/>
          <w:szCs w:val="24"/>
        </w:rPr>
      </w:pPr>
    </w:p>
    <w:p w14:paraId="2FA36C23" w14:textId="02B8EC76"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den foreslåede </w:t>
      </w:r>
      <w:r w:rsidR="006B3864" w:rsidRPr="00796736">
        <w:rPr>
          <w:rFonts w:ascii="Times New Roman" w:hAnsi="Times New Roman" w:cs="Times New Roman"/>
          <w:sz w:val="24"/>
          <w:szCs w:val="24"/>
        </w:rPr>
        <w:fldChar w:fldCharType="begin"/>
      </w:r>
      <w:r w:rsidR="006B3864" w:rsidRPr="00796736">
        <w:rPr>
          <w:rFonts w:ascii="Times New Roman" w:hAnsi="Times New Roman" w:cs="Times New Roman"/>
          <w:sz w:val="24"/>
          <w:szCs w:val="24"/>
        </w:rPr>
        <w:instrText xml:space="preserve"> REF _Ref232597126 \r \h </w:instrText>
      </w:r>
      <w:r w:rsidR="00AB17CC" w:rsidRPr="00796736">
        <w:rPr>
          <w:rFonts w:ascii="Times New Roman" w:hAnsi="Times New Roman" w:cs="Times New Roman"/>
          <w:sz w:val="24"/>
          <w:szCs w:val="24"/>
        </w:rPr>
        <w:instrText xml:space="preserve"> \* MERGEFORMAT </w:instrText>
      </w:r>
      <w:r w:rsidR="006B3864" w:rsidRPr="00796736">
        <w:rPr>
          <w:rFonts w:ascii="Times New Roman" w:hAnsi="Times New Roman" w:cs="Times New Roman"/>
          <w:sz w:val="24"/>
          <w:szCs w:val="24"/>
        </w:rPr>
      </w:r>
      <w:r w:rsidR="006B386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59</w:t>
      </w:r>
      <w:r w:rsidR="006B3864" w:rsidRPr="00796736">
        <w:rPr>
          <w:rFonts w:ascii="Times New Roman" w:hAnsi="Times New Roman" w:cs="Times New Roman"/>
          <w:sz w:val="24"/>
          <w:szCs w:val="24"/>
        </w:rPr>
        <w:fldChar w:fldCharType="end"/>
      </w:r>
      <w:r w:rsidR="006B3864" w:rsidRPr="00796736">
        <w:rPr>
          <w:rFonts w:ascii="Times New Roman" w:hAnsi="Times New Roman" w:cs="Times New Roman"/>
          <w:sz w:val="24"/>
          <w:szCs w:val="24"/>
        </w:rPr>
        <w:t>, stk. 3</w:t>
      </w:r>
      <w:r w:rsidRPr="00796736">
        <w:rPr>
          <w:rFonts w:ascii="Times New Roman" w:hAnsi="Times New Roman" w:cs="Times New Roman"/>
          <w:sz w:val="24"/>
          <w:szCs w:val="24"/>
        </w:rPr>
        <w:t>, at Finanstilsynet kan kræve udlevering af alle oplysninger, herunder regnskaber og regnskabsmateriale, udskrifter af bøger, andre forretningspapirer og elektronisk lagrede data, som skønnes nødvendige til brug for Finanstilsynets afgørelse af, om en person eller virksomhed er omfattet af</w:t>
      </w:r>
      <w:r w:rsidR="00A5774B" w:rsidRPr="00796736">
        <w:rPr>
          <w:rFonts w:ascii="Times New Roman" w:hAnsi="Times New Roman" w:cs="Times New Roman"/>
          <w:sz w:val="24"/>
          <w:szCs w:val="24"/>
        </w:rPr>
        <w:t xml:space="preserve"> hvidvaskforordningen eller bestemmelser i denne lov.</w:t>
      </w:r>
    </w:p>
    <w:p w14:paraId="2B784AD1" w14:textId="77777777" w:rsidR="00145F99" w:rsidRPr="00796736" w:rsidRDefault="00145F99" w:rsidP="00A802A5">
      <w:pPr>
        <w:spacing w:line="360" w:lineRule="auto"/>
        <w:rPr>
          <w:rFonts w:ascii="Times New Roman" w:hAnsi="Times New Roman" w:cs="Times New Roman"/>
          <w:sz w:val="24"/>
          <w:szCs w:val="24"/>
        </w:rPr>
      </w:pPr>
    </w:p>
    <w:p w14:paraId="6C6FFD0F" w14:textId="01D34AF7" w:rsidR="00A5774B" w:rsidRPr="00796736" w:rsidRDefault="00145F99"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følger af den foreslåede </w:t>
      </w:r>
      <w:r w:rsidR="00944176" w:rsidRPr="00796736">
        <w:rPr>
          <w:rFonts w:ascii="Times New Roman" w:hAnsi="Times New Roman" w:cs="Times New Roman"/>
          <w:sz w:val="24"/>
          <w:szCs w:val="24"/>
        </w:rPr>
        <w:fldChar w:fldCharType="begin"/>
      </w:r>
      <w:r w:rsidR="00944176" w:rsidRPr="00796736">
        <w:rPr>
          <w:rFonts w:ascii="Times New Roman" w:hAnsi="Times New Roman" w:cs="Times New Roman"/>
          <w:sz w:val="24"/>
          <w:szCs w:val="24"/>
        </w:rPr>
        <w:instrText xml:space="preserve"> REF _Ref232939317 \r \h </w:instrText>
      </w:r>
      <w:r w:rsidR="00967618" w:rsidRPr="00796736">
        <w:rPr>
          <w:rFonts w:ascii="Times New Roman" w:hAnsi="Times New Roman" w:cs="Times New Roman"/>
          <w:sz w:val="24"/>
          <w:szCs w:val="24"/>
        </w:rPr>
        <w:instrText xml:space="preserve"> \* MERGEFORMAT </w:instrText>
      </w:r>
      <w:r w:rsidR="00944176" w:rsidRPr="00796736">
        <w:rPr>
          <w:rFonts w:ascii="Times New Roman" w:hAnsi="Times New Roman" w:cs="Times New Roman"/>
          <w:sz w:val="24"/>
          <w:szCs w:val="24"/>
        </w:rPr>
      </w:r>
      <w:r w:rsidR="009441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00944176"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w:t>
      </w:r>
      <w:r w:rsidR="006B3864" w:rsidRPr="00796736">
        <w:rPr>
          <w:rFonts w:ascii="Times New Roman" w:hAnsi="Times New Roman" w:cs="Times New Roman"/>
          <w:sz w:val="24"/>
          <w:szCs w:val="24"/>
          <w:lang w:eastAsia="da-DK"/>
        </w:rPr>
        <w:t>Finanstilsynet kan i tilfælde, der er omfattet af</w:t>
      </w:r>
      <w:r w:rsidR="00A5774B" w:rsidRPr="00796736">
        <w:rPr>
          <w:rFonts w:ascii="Times New Roman" w:hAnsi="Times New Roman" w:cs="Times New Roman"/>
          <w:sz w:val="24"/>
          <w:szCs w:val="24"/>
          <w:lang w:eastAsia="da-DK"/>
        </w:rPr>
        <w:t xml:space="preserve"> </w:t>
      </w:r>
      <w:r w:rsidR="00A5774B" w:rsidRPr="00796736">
        <w:rPr>
          <w:rFonts w:ascii="Times New Roman" w:hAnsi="Times New Roman" w:cs="Times New Roman"/>
          <w:sz w:val="24"/>
          <w:szCs w:val="24"/>
          <w:lang w:eastAsia="da-DK"/>
        </w:rPr>
        <w:fldChar w:fldCharType="begin"/>
      </w:r>
      <w:r w:rsidR="00A5774B" w:rsidRPr="00796736">
        <w:rPr>
          <w:rFonts w:ascii="Times New Roman" w:hAnsi="Times New Roman" w:cs="Times New Roman"/>
          <w:sz w:val="24"/>
          <w:szCs w:val="24"/>
          <w:lang w:eastAsia="da-DK"/>
        </w:rPr>
        <w:instrText xml:space="preserve"> REF _Ref242814430 \r \h </w:instrText>
      </w:r>
      <w:r w:rsidR="00796736">
        <w:rPr>
          <w:rFonts w:ascii="Times New Roman" w:hAnsi="Times New Roman" w:cs="Times New Roman"/>
          <w:sz w:val="24"/>
          <w:szCs w:val="24"/>
          <w:lang w:eastAsia="da-DK"/>
        </w:rPr>
        <w:instrText xml:space="preserve"> \* MERGEFORMAT </w:instrText>
      </w:r>
      <w:r w:rsidR="00A5774B" w:rsidRPr="00796736">
        <w:rPr>
          <w:rFonts w:ascii="Times New Roman" w:hAnsi="Times New Roman" w:cs="Times New Roman"/>
          <w:sz w:val="24"/>
          <w:szCs w:val="24"/>
          <w:lang w:eastAsia="da-DK"/>
        </w:rPr>
      </w:r>
      <w:r w:rsidR="00A5774B"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A5774B" w:rsidRPr="00796736">
        <w:rPr>
          <w:rFonts w:ascii="Times New Roman" w:hAnsi="Times New Roman" w:cs="Times New Roman"/>
          <w:sz w:val="24"/>
          <w:szCs w:val="24"/>
          <w:lang w:eastAsia="da-DK"/>
        </w:rPr>
        <w:fldChar w:fldCharType="end"/>
      </w:r>
      <w:r w:rsidR="006B3864" w:rsidRPr="00796736">
        <w:rPr>
          <w:rFonts w:ascii="Times New Roman" w:hAnsi="Times New Roman" w:cs="Times New Roman"/>
          <w:sz w:val="24"/>
          <w:szCs w:val="24"/>
          <w:lang w:eastAsia="da-DK"/>
        </w:rPr>
        <w:t xml:space="preserve">, </w:t>
      </w:r>
      <w:r w:rsidR="00A5774B" w:rsidRPr="00796736">
        <w:rPr>
          <w:rFonts w:ascii="Times New Roman" w:hAnsi="Times New Roman" w:cs="Times New Roman"/>
          <w:sz w:val="24"/>
          <w:szCs w:val="24"/>
          <w:lang w:eastAsia="da-DK"/>
        </w:rPr>
        <w:t>inden for en af Finanstilsynet fastsat frist påbyde de virksomheder og personer, som er nævnt § 1, stk. 2, nr. 1-3</w:t>
      </w:r>
      <w:r w:rsidR="005F48B0">
        <w:rPr>
          <w:rFonts w:ascii="Times New Roman" w:hAnsi="Times New Roman" w:cs="Times New Roman"/>
          <w:sz w:val="24"/>
          <w:szCs w:val="24"/>
          <w:lang w:eastAsia="da-DK"/>
        </w:rPr>
        <w:t>,</w:t>
      </w:r>
      <w:r w:rsidR="00A5774B" w:rsidRPr="00796736">
        <w:rPr>
          <w:rFonts w:ascii="Times New Roman" w:hAnsi="Times New Roman" w:cs="Times New Roman"/>
          <w:sz w:val="24"/>
          <w:szCs w:val="24"/>
          <w:lang w:eastAsia="da-DK"/>
        </w:rPr>
        <w:t xml:space="preserve"> </w:t>
      </w:r>
      <w:r w:rsidR="00793B8C">
        <w:rPr>
          <w:rFonts w:ascii="Times New Roman" w:hAnsi="Times New Roman" w:cs="Times New Roman"/>
          <w:sz w:val="24"/>
          <w:szCs w:val="24"/>
          <w:lang w:eastAsia="da-DK"/>
        </w:rPr>
        <w:t>samt</w:t>
      </w:r>
      <w:r w:rsidR="00A5774B" w:rsidRPr="00796736">
        <w:rPr>
          <w:rFonts w:ascii="Times New Roman" w:hAnsi="Times New Roman" w:cs="Times New Roman"/>
          <w:sz w:val="24"/>
          <w:szCs w:val="24"/>
          <w:lang w:eastAsia="da-DK"/>
        </w:rPr>
        <w:t xml:space="preserve"> </w:t>
      </w:r>
      <w:r w:rsidR="00A5774B" w:rsidRPr="00796736">
        <w:rPr>
          <w:rFonts w:ascii="Times New Roman" w:hAnsi="Times New Roman" w:cs="Times New Roman"/>
          <w:sz w:val="24"/>
          <w:szCs w:val="24"/>
          <w:lang w:eastAsia="da-DK"/>
        </w:rPr>
        <w:fldChar w:fldCharType="begin"/>
      </w:r>
      <w:r w:rsidR="00A5774B" w:rsidRPr="00796736">
        <w:rPr>
          <w:rFonts w:ascii="Times New Roman" w:hAnsi="Times New Roman" w:cs="Times New Roman"/>
          <w:sz w:val="24"/>
          <w:szCs w:val="24"/>
          <w:lang w:eastAsia="da-DK"/>
        </w:rPr>
        <w:instrText xml:space="preserve"> REF _Ref232592818 \r \h  \* MERGEFORMAT </w:instrText>
      </w:r>
      <w:r w:rsidR="00A5774B" w:rsidRPr="00796736">
        <w:rPr>
          <w:rFonts w:ascii="Times New Roman" w:hAnsi="Times New Roman" w:cs="Times New Roman"/>
          <w:sz w:val="24"/>
          <w:szCs w:val="24"/>
          <w:lang w:eastAsia="da-DK"/>
        </w:rPr>
      </w:r>
      <w:r w:rsidR="00A5774B"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A5774B" w:rsidRPr="00796736">
        <w:rPr>
          <w:rFonts w:ascii="Times New Roman" w:hAnsi="Times New Roman" w:cs="Times New Roman"/>
          <w:sz w:val="24"/>
          <w:szCs w:val="24"/>
          <w:lang w:eastAsia="da-DK"/>
        </w:rPr>
        <w:fldChar w:fldCharType="end"/>
      </w:r>
      <w:r w:rsidR="00A5774B" w:rsidRPr="00796736">
        <w:rPr>
          <w:rFonts w:ascii="Times New Roman" w:hAnsi="Times New Roman" w:cs="Times New Roman"/>
          <w:sz w:val="24"/>
          <w:szCs w:val="24"/>
          <w:lang w:eastAsia="da-DK"/>
        </w:rPr>
        <w:t>, nr. 1-19, og 32, litra a, at foretage de nødvendige foranstaltninger.</w:t>
      </w:r>
    </w:p>
    <w:p w14:paraId="437C118F" w14:textId="77777777" w:rsidR="00A5774B" w:rsidRPr="00796736" w:rsidRDefault="00A5774B" w:rsidP="00A802A5">
      <w:pPr>
        <w:spacing w:line="360" w:lineRule="auto"/>
        <w:rPr>
          <w:rFonts w:ascii="Times New Roman" w:hAnsi="Times New Roman" w:cs="Times New Roman"/>
          <w:sz w:val="24"/>
          <w:szCs w:val="24"/>
          <w:lang w:eastAsia="da-DK"/>
        </w:rPr>
      </w:pPr>
    </w:p>
    <w:p w14:paraId="69E1D446" w14:textId="2EBDE593"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ændring er en konsekvens af, at Finanstilsynets tilsynsansvar også omfatter, at skadesforsikringsselskaber og filialer her i landet af sådanne udenlandske virksomheder overholder forordninger indeholdende regler om finansielle sanktioner mod lande, personer, grupper, juridiske enheder eller organer. Med den foreslåede bestemmelse sikres det, at hvidvasklovens bestemmelser om Finanstilsynets tilsynskompetencer, mulighed for at udstede reaktioner samt offentliggørelsespligten sættes i kraft for tilsynet med skadesforsikringsselskaber og filialers overholdelse af forordninger indeholdende regler om finansielle sanktioner mod lande, personer, grupper, juridiske enheder eller organer. </w:t>
      </w:r>
    </w:p>
    <w:p w14:paraId="69180EB0" w14:textId="77777777" w:rsidR="00145F99" w:rsidRPr="00796736" w:rsidRDefault="00145F99" w:rsidP="00A802A5">
      <w:pPr>
        <w:spacing w:line="360" w:lineRule="auto"/>
        <w:rPr>
          <w:rFonts w:ascii="Times New Roman" w:hAnsi="Times New Roman" w:cs="Times New Roman"/>
          <w:sz w:val="24"/>
          <w:szCs w:val="24"/>
        </w:rPr>
      </w:pPr>
    </w:p>
    <w:p w14:paraId="304C4DE7" w14:textId="0233DCA5" w:rsidR="00145F99" w:rsidRPr="00796736" w:rsidRDefault="00145F9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944176" w:rsidRPr="00796736">
        <w:rPr>
          <w:rFonts w:ascii="Times New Roman" w:hAnsi="Times New Roman" w:cs="Times New Roman"/>
          <w:sz w:val="24"/>
          <w:szCs w:val="24"/>
        </w:rPr>
        <w:fldChar w:fldCharType="begin"/>
      </w:r>
      <w:r w:rsidR="00944176" w:rsidRPr="00796736">
        <w:rPr>
          <w:rFonts w:ascii="Times New Roman" w:hAnsi="Times New Roman" w:cs="Times New Roman"/>
          <w:sz w:val="24"/>
          <w:szCs w:val="24"/>
        </w:rPr>
        <w:instrText xml:space="preserve"> REF _Ref232949858 \n \h </w:instrText>
      </w:r>
      <w:r w:rsidR="00967618" w:rsidRPr="00796736">
        <w:rPr>
          <w:rFonts w:ascii="Times New Roman" w:hAnsi="Times New Roman" w:cs="Times New Roman"/>
          <w:sz w:val="24"/>
          <w:szCs w:val="24"/>
        </w:rPr>
        <w:instrText xml:space="preserve"> \* MERGEFORMAT </w:instrText>
      </w:r>
      <w:r w:rsidR="00944176" w:rsidRPr="00796736">
        <w:rPr>
          <w:rFonts w:ascii="Times New Roman" w:hAnsi="Times New Roman" w:cs="Times New Roman"/>
          <w:sz w:val="24"/>
          <w:szCs w:val="24"/>
        </w:rPr>
      </w:r>
      <w:r w:rsidR="009441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3.50</w:t>
      </w:r>
      <w:r w:rsidR="00944176" w:rsidRPr="00796736">
        <w:rPr>
          <w:rFonts w:ascii="Times New Roman" w:hAnsi="Times New Roman" w:cs="Times New Roman"/>
          <w:sz w:val="24"/>
          <w:szCs w:val="24"/>
        </w:rPr>
        <w:fldChar w:fldCharType="end"/>
      </w:r>
      <w:r w:rsidR="00944176"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2CC35750" w14:textId="77777777" w:rsidR="00145F99" w:rsidRPr="00796736" w:rsidRDefault="00145F99" w:rsidP="00A802A5">
      <w:pPr>
        <w:spacing w:line="360" w:lineRule="auto"/>
        <w:rPr>
          <w:rFonts w:ascii="Times New Roman" w:hAnsi="Times New Roman" w:cs="Times New Roman"/>
          <w:sz w:val="24"/>
          <w:szCs w:val="24"/>
        </w:rPr>
      </w:pPr>
    </w:p>
    <w:p w14:paraId="081F7187" w14:textId="2D9434B8" w:rsidR="0015305B" w:rsidRPr="00796736" w:rsidRDefault="00E70E76" w:rsidP="00A802A5">
      <w:pPr>
        <w:pStyle w:val="Undertitel"/>
      </w:pPr>
      <w:bookmarkStart w:id="2022" w:name="_Toc232109388"/>
      <w:bookmarkStart w:id="2023" w:name="_Toc244879352"/>
      <w:bookmarkStart w:id="2024" w:name="_Toc244880877"/>
      <w:r w:rsidRPr="00796736">
        <w:t xml:space="preserve">Til </w:t>
      </w:r>
      <w:r w:rsidR="00465705" w:rsidRPr="00796736">
        <w:fldChar w:fldCharType="begin"/>
      </w:r>
      <w:r w:rsidR="00465705" w:rsidRPr="00796736">
        <w:instrText xml:space="preserve"> REF _Ref232597084 \r \h </w:instrText>
      </w:r>
      <w:r w:rsidR="00967618" w:rsidRPr="00796736">
        <w:instrText xml:space="preserve"> \* MERGEFORMAT </w:instrText>
      </w:r>
      <w:r w:rsidR="00465705" w:rsidRPr="00796736">
        <w:fldChar w:fldCharType="separate"/>
      </w:r>
      <w:r w:rsidR="008F29E5">
        <w:t>§ 56</w:t>
      </w:r>
      <w:bookmarkEnd w:id="2023"/>
      <w:bookmarkEnd w:id="2024"/>
      <w:r w:rsidR="00465705" w:rsidRPr="00796736">
        <w:fldChar w:fldCharType="end"/>
      </w:r>
      <w:bookmarkEnd w:id="2022"/>
    </w:p>
    <w:p w14:paraId="2FD71706" w14:textId="321341A7" w:rsidR="0015305B" w:rsidRPr="00796736" w:rsidRDefault="0015305B"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Efter </w:t>
      </w:r>
      <w:r w:rsidRPr="00796736">
        <w:rPr>
          <w:rFonts w:ascii="Times New Roman" w:eastAsia="Times New Roman" w:hAnsi="Times New Roman" w:cs="Times New Roman"/>
          <w:sz w:val="24"/>
          <w:szCs w:val="24"/>
          <w:lang w:eastAsia="da-DK"/>
        </w:rPr>
        <w:t xml:space="preserve">§ </w:t>
      </w:r>
      <w:r w:rsidR="00E45DDF" w:rsidRPr="00796736">
        <w:rPr>
          <w:rFonts w:ascii="Times New Roman" w:eastAsia="Times New Roman" w:hAnsi="Times New Roman" w:cs="Times New Roman"/>
          <w:sz w:val="24"/>
          <w:szCs w:val="24"/>
          <w:lang w:eastAsia="da-DK"/>
        </w:rPr>
        <w:t>47, stk. 2,</w:t>
      </w:r>
      <w:r w:rsidR="00E34CBA" w:rsidRPr="00796736">
        <w:rPr>
          <w:rFonts w:ascii="Times New Roman" w:eastAsia="Times New Roman" w:hAnsi="Times New Roman" w:cs="Times New Roman"/>
          <w:sz w:val="24"/>
          <w:szCs w:val="24"/>
          <w:lang w:eastAsia="da-DK"/>
        </w:rPr>
        <w:t xml:space="preserve"> indgår </w:t>
      </w:r>
      <w:r w:rsidRPr="00796736">
        <w:rPr>
          <w:rFonts w:ascii="Times New Roman" w:eastAsia="Times New Roman" w:hAnsi="Times New Roman" w:cs="Times New Roman"/>
          <w:sz w:val="24"/>
          <w:szCs w:val="24"/>
          <w:lang w:eastAsia="da-DK"/>
        </w:rPr>
        <w:t xml:space="preserve">Finanstilsynets bestyrelse i tilsynet efter § </w:t>
      </w:r>
      <w:r w:rsidR="00E45DDF" w:rsidRPr="00796736">
        <w:rPr>
          <w:rFonts w:ascii="Times New Roman" w:eastAsia="Times New Roman" w:hAnsi="Times New Roman" w:cs="Times New Roman"/>
          <w:sz w:val="24"/>
          <w:szCs w:val="24"/>
          <w:lang w:eastAsia="da-DK"/>
        </w:rPr>
        <w:t>47</w:t>
      </w:r>
      <w:r w:rsidRPr="00796736">
        <w:rPr>
          <w:rFonts w:ascii="Times New Roman" w:eastAsia="Times New Roman" w:hAnsi="Times New Roman" w:cs="Times New Roman"/>
          <w:sz w:val="24"/>
          <w:szCs w:val="24"/>
          <w:lang w:eastAsia="da-DK"/>
        </w:rPr>
        <w:t>, stk. 1 med den kompetence, som bestyrelsen er tillagt i medfør af § 345 i lov om finansiel virksomhed.</w:t>
      </w:r>
    </w:p>
    <w:p w14:paraId="699B1BC4" w14:textId="77777777" w:rsidR="0015305B" w:rsidRPr="00796736" w:rsidRDefault="0015305B" w:rsidP="00A802A5">
      <w:pPr>
        <w:spacing w:line="360" w:lineRule="auto"/>
        <w:rPr>
          <w:rFonts w:ascii="Times New Roman" w:eastAsia="Times New Roman" w:hAnsi="Times New Roman" w:cs="Times New Roman"/>
          <w:sz w:val="24"/>
          <w:szCs w:val="24"/>
          <w:lang w:eastAsia="da-DK"/>
        </w:rPr>
      </w:pPr>
    </w:p>
    <w:p w14:paraId="7E851F31" w14:textId="1C9D4CB9" w:rsidR="0015305B" w:rsidRPr="00796736" w:rsidRDefault="001530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videreføre § 47, stk. </w:t>
      </w:r>
      <w:r w:rsidR="00372728" w:rsidRPr="00796736">
        <w:rPr>
          <w:rFonts w:ascii="Times New Roman" w:hAnsi="Times New Roman" w:cs="Times New Roman"/>
          <w:sz w:val="24"/>
          <w:szCs w:val="24"/>
        </w:rPr>
        <w:t>2</w:t>
      </w:r>
      <w:r w:rsidRPr="00796736">
        <w:rPr>
          <w:rFonts w:ascii="Times New Roman" w:hAnsi="Times New Roman" w:cs="Times New Roman"/>
          <w:sz w:val="24"/>
          <w:szCs w:val="24"/>
        </w:rPr>
        <w:t xml:space="preserve">, i hvidvaskloven. </w:t>
      </w:r>
    </w:p>
    <w:p w14:paraId="540A97B5" w14:textId="77777777" w:rsidR="0015305B" w:rsidRPr="00796736" w:rsidRDefault="0015305B" w:rsidP="00A802A5">
      <w:pPr>
        <w:spacing w:line="360" w:lineRule="auto"/>
        <w:rPr>
          <w:rFonts w:ascii="Times New Roman" w:hAnsi="Times New Roman" w:cs="Times New Roman"/>
          <w:sz w:val="24"/>
          <w:szCs w:val="24"/>
        </w:rPr>
      </w:pPr>
    </w:p>
    <w:p w14:paraId="356ACCCD" w14:textId="440EF4C8" w:rsidR="0015305B" w:rsidRPr="00796736" w:rsidRDefault="001530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00944176" w:rsidRPr="00796736">
        <w:rPr>
          <w:rFonts w:ascii="Times New Roman" w:hAnsi="Times New Roman" w:cs="Times New Roman"/>
          <w:sz w:val="24"/>
          <w:szCs w:val="24"/>
        </w:rPr>
        <w:t xml:space="preserve"> </w:t>
      </w:r>
      <w:r w:rsidR="00944176" w:rsidRPr="00796736">
        <w:rPr>
          <w:rFonts w:ascii="Times New Roman" w:hAnsi="Times New Roman" w:cs="Times New Roman"/>
          <w:i/>
          <w:iCs/>
          <w:sz w:val="24"/>
          <w:szCs w:val="24"/>
        </w:rPr>
        <w:fldChar w:fldCharType="begin"/>
      </w:r>
      <w:r w:rsidR="00944176" w:rsidRPr="00796736">
        <w:rPr>
          <w:rFonts w:ascii="Times New Roman" w:hAnsi="Times New Roman" w:cs="Times New Roman"/>
          <w:i/>
          <w:iCs/>
          <w:sz w:val="24"/>
          <w:szCs w:val="24"/>
        </w:rPr>
        <w:instrText xml:space="preserve"> REF _Ref232597084 \r \h  \* MERGEFORMAT </w:instrText>
      </w:r>
      <w:r w:rsidR="00944176" w:rsidRPr="00796736">
        <w:rPr>
          <w:rFonts w:ascii="Times New Roman" w:hAnsi="Times New Roman" w:cs="Times New Roman"/>
          <w:i/>
          <w:iCs/>
          <w:sz w:val="24"/>
          <w:szCs w:val="24"/>
        </w:rPr>
      </w:r>
      <w:r w:rsidR="00944176"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56</w:t>
      </w:r>
      <w:r w:rsidR="00944176" w:rsidRPr="00796736">
        <w:rPr>
          <w:rFonts w:ascii="Times New Roman" w:hAnsi="Times New Roman" w:cs="Times New Roman"/>
          <w:i/>
          <w:iCs/>
          <w:sz w:val="24"/>
          <w:szCs w:val="24"/>
        </w:rPr>
        <w:fldChar w:fldCharType="end"/>
      </w:r>
      <w:r w:rsidRPr="00796736">
        <w:rPr>
          <w:rFonts w:ascii="Times New Roman" w:hAnsi="Times New Roman" w:cs="Times New Roman"/>
          <w:sz w:val="24"/>
          <w:szCs w:val="24"/>
        </w:rPr>
        <w:t xml:space="preserve">, at Finanstilsynets bestyrelse indgår i tilsynet efter </w:t>
      </w:r>
      <w:r w:rsidR="00A87184" w:rsidRPr="00796736">
        <w:rPr>
          <w:rFonts w:ascii="Times New Roman" w:hAnsi="Times New Roman" w:cs="Times New Roman"/>
          <w:sz w:val="24"/>
          <w:szCs w:val="24"/>
        </w:rPr>
        <w:fldChar w:fldCharType="begin"/>
      </w:r>
      <w:r w:rsidR="00A87184" w:rsidRPr="00796736">
        <w:rPr>
          <w:rFonts w:ascii="Times New Roman" w:hAnsi="Times New Roman" w:cs="Times New Roman"/>
          <w:sz w:val="24"/>
          <w:szCs w:val="24"/>
        </w:rPr>
        <w:instrText xml:space="preserve"> REF _Ref232597035 \r \h  \* MERGEFORMAT </w:instrText>
      </w:r>
      <w:r w:rsidR="00A87184" w:rsidRPr="00796736">
        <w:rPr>
          <w:rFonts w:ascii="Times New Roman" w:hAnsi="Times New Roman" w:cs="Times New Roman"/>
          <w:sz w:val="24"/>
          <w:szCs w:val="24"/>
        </w:rPr>
      </w:r>
      <w:r w:rsidR="00A8718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A87184" w:rsidRPr="00796736">
        <w:rPr>
          <w:rFonts w:ascii="Times New Roman" w:hAnsi="Times New Roman" w:cs="Times New Roman"/>
          <w:sz w:val="24"/>
          <w:szCs w:val="24"/>
        </w:rPr>
        <w:fldChar w:fldCharType="end"/>
      </w:r>
      <w:r w:rsidR="00A87184" w:rsidRPr="00796736">
        <w:rPr>
          <w:rFonts w:ascii="Times New Roman" w:hAnsi="Times New Roman" w:cs="Times New Roman"/>
          <w:sz w:val="24"/>
          <w:szCs w:val="24"/>
        </w:rPr>
        <w:t xml:space="preserve">, </w:t>
      </w:r>
      <w:r w:rsidR="00A87184" w:rsidRPr="00796736">
        <w:rPr>
          <w:rFonts w:ascii="Times New Roman" w:eastAsia="Times New Roman" w:hAnsi="Times New Roman" w:cs="Times New Roman"/>
          <w:sz w:val="24"/>
          <w:szCs w:val="24"/>
          <w:lang w:eastAsia="da-DK"/>
        </w:rPr>
        <w:t>stk. 1 og 2</w:t>
      </w:r>
      <w:r w:rsidRPr="00796736">
        <w:rPr>
          <w:rFonts w:ascii="Times New Roman" w:hAnsi="Times New Roman" w:cs="Times New Roman"/>
          <w:sz w:val="24"/>
          <w:szCs w:val="24"/>
        </w:rPr>
        <w:t>, med den kompetence, som bestyrelsen er tillagt i medfør af § 345 i lov om finansiel virksomhed.</w:t>
      </w:r>
    </w:p>
    <w:p w14:paraId="5D3FAA57" w14:textId="77777777" w:rsidR="0015305B" w:rsidRPr="00796736" w:rsidRDefault="0015305B" w:rsidP="00A802A5">
      <w:pPr>
        <w:spacing w:line="360" w:lineRule="auto"/>
        <w:rPr>
          <w:rFonts w:ascii="Times New Roman" w:hAnsi="Times New Roman" w:cs="Times New Roman"/>
          <w:sz w:val="24"/>
          <w:szCs w:val="24"/>
        </w:rPr>
      </w:pPr>
    </w:p>
    <w:p w14:paraId="6E76AB96" w14:textId="77777777" w:rsidR="0015305B" w:rsidRPr="00796736" w:rsidRDefault="001530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enslydende med lignende bestemmelser i den øvrige finansielle tilsynslovgivning. Således er eksplicitte henvisninger til reglerne om blandt andet tavshedspligten for bestyrelsens medlemmer ikke medtaget i bestemmelsen. I stedet henvises til § 345 i lov om finansiel virksomhed i sin helhed, der bl.a. fastlægger kravene til Finanstilsynets bestyrelse, hvilke opgaver bestyrelsen varetager, hvorledes bestyrelsen træffer afgørelse m.v.</w:t>
      </w:r>
    </w:p>
    <w:p w14:paraId="59A18D7B" w14:textId="77777777" w:rsidR="0015305B" w:rsidRPr="00796736" w:rsidRDefault="0015305B" w:rsidP="00A802A5">
      <w:pPr>
        <w:spacing w:line="360" w:lineRule="auto"/>
        <w:rPr>
          <w:rFonts w:ascii="Times New Roman" w:hAnsi="Times New Roman" w:cs="Times New Roman"/>
          <w:sz w:val="24"/>
          <w:szCs w:val="24"/>
        </w:rPr>
      </w:pPr>
    </w:p>
    <w:p w14:paraId="25BD886B" w14:textId="72069DFA" w:rsidR="0015305B" w:rsidRPr="00796736" w:rsidRDefault="0015305B"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Af de foreslåede bestemmelser i </w:t>
      </w:r>
      <w:r w:rsidR="00944176" w:rsidRPr="00796736">
        <w:rPr>
          <w:rFonts w:ascii="Times New Roman" w:hAnsi="Times New Roman" w:cs="Times New Roman"/>
          <w:sz w:val="24"/>
          <w:szCs w:val="24"/>
        </w:rPr>
        <w:fldChar w:fldCharType="begin"/>
      </w:r>
      <w:r w:rsidR="00944176" w:rsidRPr="00796736">
        <w:rPr>
          <w:rFonts w:ascii="Times New Roman" w:hAnsi="Times New Roman" w:cs="Times New Roman"/>
          <w:sz w:val="24"/>
          <w:szCs w:val="24"/>
        </w:rPr>
        <w:instrText xml:space="preserve"> REF _Ref232597035 \n \h </w:instrText>
      </w:r>
      <w:r w:rsidR="00967618" w:rsidRPr="00796736">
        <w:rPr>
          <w:rFonts w:ascii="Times New Roman" w:hAnsi="Times New Roman" w:cs="Times New Roman"/>
          <w:sz w:val="24"/>
          <w:szCs w:val="24"/>
        </w:rPr>
        <w:instrText xml:space="preserve"> \* MERGEFORMAT </w:instrText>
      </w:r>
      <w:r w:rsidR="00944176" w:rsidRPr="00796736">
        <w:rPr>
          <w:rFonts w:ascii="Times New Roman" w:hAnsi="Times New Roman" w:cs="Times New Roman"/>
          <w:sz w:val="24"/>
          <w:szCs w:val="24"/>
        </w:rPr>
      </w:r>
      <w:r w:rsidR="009441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944176"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w:t>
      </w:r>
      <w:r w:rsidR="00A87184" w:rsidRPr="00796736">
        <w:rPr>
          <w:rFonts w:ascii="Times New Roman" w:hAnsi="Times New Roman" w:cs="Times New Roman"/>
          <w:sz w:val="24"/>
          <w:szCs w:val="24"/>
        </w:rPr>
        <w:t>4</w:t>
      </w:r>
      <w:r w:rsidRPr="00796736">
        <w:rPr>
          <w:rFonts w:ascii="Times New Roman" w:hAnsi="Times New Roman" w:cs="Times New Roman"/>
          <w:sz w:val="24"/>
          <w:szCs w:val="24"/>
        </w:rPr>
        <w:t xml:space="preserve">, følger hvilke virksomheder og personer som vil blive omfattet af Finanstilsynets tilsyn på hvidvaskområdet. Det gælder </w:t>
      </w:r>
      <w:r w:rsidRPr="00796736">
        <w:rPr>
          <w:rFonts w:ascii="Times New Roman" w:eastAsia="Times New Roman" w:hAnsi="Times New Roman" w:cs="Times New Roman"/>
          <w:sz w:val="24"/>
          <w:szCs w:val="24"/>
          <w:lang w:eastAsia="da-DK"/>
        </w:rPr>
        <w:t xml:space="preserve">virksomheder og personer som nævnt i </w:t>
      </w:r>
      <w:r w:rsidR="00A87184" w:rsidRPr="00796736">
        <w:rPr>
          <w:rFonts w:ascii="Times New Roman" w:hAnsi="Times New Roman" w:cs="Times New Roman"/>
          <w:sz w:val="24"/>
          <w:szCs w:val="24"/>
          <w:lang w:eastAsia="da-DK"/>
        </w:rPr>
        <w:t>§ 1, stk. 2, nr. 1-3</w:t>
      </w:r>
      <w:r w:rsidR="005F48B0">
        <w:rPr>
          <w:rFonts w:ascii="Times New Roman" w:hAnsi="Times New Roman" w:cs="Times New Roman"/>
          <w:sz w:val="24"/>
          <w:szCs w:val="24"/>
          <w:lang w:eastAsia="da-DK"/>
        </w:rPr>
        <w:t>,</w:t>
      </w:r>
      <w:r w:rsidR="00A87184" w:rsidRPr="00796736">
        <w:rPr>
          <w:rFonts w:ascii="Times New Roman" w:hAnsi="Times New Roman" w:cs="Times New Roman"/>
          <w:sz w:val="24"/>
          <w:szCs w:val="24"/>
          <w:lang w:eastAsia="da-DK"/>
        </w:rPr>
        <w:t xml:space="preserve"> </w:t>
      </w:r>
      <w:r w:rsidR="00793B8C">
        <w:rPr>
          <w:rFonts w:ascii="Times New Roman" w:hAnsi="Times New Roman" w:cs="Times New Roman"/>
          <w:sz w:val="24"/>
          <w:szCs w:val="24"/>
          <w:lang w:eastAsia="da-DK"/>
        </w:rPr>
        <w:t>samt</w:t>
      </w:r>
      <w:r w:rsidR="00A87184" w:rsidRPr="00796736">
        <w:rPr>
          <w:rFonts w:ascii="Times New Roman" w:hAnsi="Times New Roman" w:cs="Times New Roman"/>
          <w:sz w:val="24"/>
          <w:szCs w:val="24"/>
          <w:lang w:eastAsia="da-DK"/>
        </w:rPr>
        <w:t xml:space="preserve"> § 2, nr. 1-19 </w:t>
      </w:r>
      <w:r w:rsidR="00586D2B">
        <w:rPr>
          <w:rFonts w:ascii="Times New Roman" w:hAnsi="Times New Roman" w:cs="Times New Roman"/>
          <w:sz w:val="24"/>
          <w:szCs w:val="24"/>
          <w:lang w:eastAsia="da-DK"/>
        </w:rPr>
        <w:t>og</w:t>
      </w:r>
      <w:r w:rsidR="00A87184" w:rsidRPr="00796736">
        <w:rPr>
          <w:rFonts w:ascii="Times New Roman" w:hAnsi="Times New Roman" w:cs="Times New Roman"/>
          <w:sz w:val="24"/>
          <w:szCs w:val="24"/>
          <w:lang w:eastAsia="da-DK"/>
        </w:rPr>
        <w:t xml:space="preserve"> 32, litra a,</w:t>
      </w:r>
      <w:r w:rsidRPr="00796736">
        <w:rPr>
          <w:rFonts w:ascii="Times New Roman" w:eastAsia="Times New Roman" w:hAnsi="Times New Roman" w:cs="Times New Roman"/>
          <w:sz w:val="24"/>
          <w:szCs w:val="24"/>
          <w:lang w:eastAsia="da-DK"/>
        </w:rPr>
        <w:t xml:space="preserve"> og filialer, distributører og agenter her i landet af sådanne udenlandske virksomheder og personer. </w:t>
      </w:r>
      <w:r w:rsidRPr="00796736">
        <w:rPr>
          <w:rFonts w:ascii="Times New Roman" w:hAnsi="Times New Roman" w:cs="Times New Roman"/>
          <w:sz w:val="24"/>
          <w:szCs w:val="24"/>
        </w:rPr>
        <w:t xml:space="preserve">Af de foreslåede bestemmelser i </w:t>
      </w:r>
      <w:r w:rsidR="00944176" w:rsidRPr="00796736">
        <w:rPr>
          <w:rFonts w:ascii="Times New Roman" w:hAnsi="Times New Roman" w:cs="Times New Roman"/>
          <w:sz w:val="24"/>
          <w:szCs w:val="24"/>
        </w:rPr>
        <w:fldChar w:fldCharType="begin"/>
      </w:r>
      <w:r w:rsidR="00944176" w:rsidRPr="00796736">
        <w:rPr>
          <w:rFonts w:ascii="Times New Roman" w:hAnsi="Times New Roman" w:cs="Times New Roman"/>
          <w:sz w:val="24"/>
          <w:szCs w:val="24"/>
        </w:rPr>
        <w:instrText xml:space="preserve"> REF _Ref232597035 \n \h </w:instrText>
      </w:r>
      <w:r w:rsidR="00967618" w:rsidRPr="00796736">
        <w:rPr>
          <w:rFonts w:ascii="Times New Roman" w:hAnsi="Times New Roman" w:cs="Times New Roman"/>
          <w:sz w:val="24"/>
          <w:szCs w:val="24"/>
        </w:rPr>
        <w:instrText xml:space="preserve"> \* MERGEFORMAT </w:instrText>
      </w:r>
      <w:r w:rsidR="00944176" w:rsidRPr="00796736">
        <w:rPr>
          <w:rFonts w:ascii="Times New Roman" w:hAnsi="Times New Roman" w:cs="Times New Roman"/>
          <w:sz w:val="24"/>
          <w:szCs w:val="24"/>
        </w:rPr>
      </w:r>
      <w:r w:rsidR="009441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944176" w:rsidRPr="00796736">
        <w:rPr>
          <w:rFonts w:ascii="Times New Roman" w:hAnsi="Times New Roman" w:cs="Times New Roman"/>
          <w:sz w:val="24"/>
          <w:szCs w:val="24"/>
        </w:rPr>
        <w:fldChar w:fldCharType="end"/>
      </w:r>
      <w:r w:rsidR="00C225EC" w:rsidRPr="00796736">
        <w:rPr>
          <w:rFonts w:ascii="Times New Roman" w:hAnsi="Times New Roman" w:cs="Times New Roman"/>
          <w:sz w:val="24"/>
          <w:szCs w:val="24"/>
        </w:rPr>
        <w:t>, stk. 1 og 2</w:t>
      </w:r>
      <w:r w:rsidR="00A87184" w:rsidRPr="00796736">
        <w:rPr>
          <w:rFonts w:ascii="Times New Roman" w:hAnsi="Times New Roman" w:cs="Times New Roman"/>
          <w:sz w:val="24"/>
          <w:szCs w:val="24"/>
        </w:rPr>
        <w:t>,</w:t>
      </w:r>
      <w:r w:rsidRPr="00796736">
        <w:rPr>
          <w:rFonts w:ascii="Times New Roman" w:hAnsi="Times New Roman" w:cs="Times New Roman"/>
          <w:sz w:val="24"/>
          <w:szCs w:val="24"/>
        </w:rPr>
        <w:t xml:space="preserve"> følger, hvilke regler Finanstilsynet påser overholdelsen af. Det gælder bl.a. overholdelsen af hvidvaskforordningen, </w:t>
      </w:r>
      <w:r w:rsidRPr="00796736">
        <w:rPr>
          <w:rFonts w:ascii="Times New Roman" w:eastAsia="Times New Roman" w:hAnsi="Times New Roman" w:cs="Times New Roman"/>
          <w:sz w:val="24"/>
          <w:szCs w:val="24"/>
          <w:lang w:eastAsia="da-DK"/>
        </w:rPr>
        <w:t>hvidvaskloven og regler udstedt i medfør heraf, pengeoverførselsforordningen samt love og forordninger indeholdende regler om finansielle sanktioner mod lande, personer, grupper, juridiske enheder eller organer.</w:t>
      </w:r>
    </w:p>
    <w:p w14:paraId="73273773" w14:textId="77777777" w:rsidR="0015305B" w:rsidRPr="00796736" w:rsidRDefault="0015305B" w:rsidP="00A802A5">
      <w:pPr>
        <w:spacing w:line="360" w:lineRule="auto"/>
        <w:rPr>
          <w:rFonts w:ascii="Times New Roman" w:hAnsi="Times New Roman" w:cs="Times New Roman"/>
          <w:sz w:val="24"/>
          <w:szCs w:val="24"/>
        </w:rPr>
      </w:pPr>
    </w:p>
    <w:p w14:paraId="42873B07" w14:textId="77777777" w:rsidR="0015305B" w:rsidRPr="00796736" w:rsidRDefault="001530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som det er tilfældet i dag, indebære, at bestyrelsen for Finanstilsynet fortsat vil skulle træffe beslutning om reaktioner i sager af principiel karakter samt i sager, der har videregående betydelige, følger m.v. </w:t>
      </w:r>
    </w:p>
    <w:p w14:paraId="58F045F2" w14:textId="77777777" w:rsidR="0015305B" w:rsidRPr="00796736" w:rsidRDefault="0015305B" w:rsidP="00A802A5">
      <w:pPr>
        <w:spacing w:line="360" w:lineRule="auto"/>
        <w:rPr>
          <w:rFonts w:ascii="Times New Roman" w:hAnsi="Times New Roman" w:cs="Times New Roman"/>
          <w:sz w:val="24"/>
          <w:szCs w:val="24"/>
        </w:rPr>
      </w:pPr>
    </w:p>
    <w:p w14:paraId="14B83CEB" w14:textId="77777777" w:rsidR="0015305B" w:rsidRPr="00796736" w:rsidRDefault="001530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reaktioner forstås afgørelser i forvaltningsretlig forstand, herunder påtaler og påbud. Reaktioner dækker også over andre tilsynsreaktioner, herunder eksempelvis risikooplysninger. Finanstilsynets bestyrelse vil, lige som det er tilfældet i dag, have kompetence til at træffe beslutning om en reaktion, som retter sig mod en konkret virksomhed, men bestyrelsen vil også have kompetence til at træffe beslutning om reaktioner i principielle sager vedrørende lovfortolkning og lovanvendelse, herunder ændring af Finanstilsynets praksis, hvor reaktionen ikke nødvendigvis er rettet mod en konkret virksomhed. </w:t>
      </w:r>
    </w:p>
    <w:p w14:paraId="7B05BB57" w14:textId="77777777" w:rsidR="0015305B" w:rsidRPr="00796736" w:rsidRDefault="0015305B" w:rsidP="00A802A5">
      <w:pPr>
        <w:spacing w:line="360" w:lineRule="auto"/>
        <w:rPr>
          <w:rFonts w:ascii="Times New Roman" w:hAnsi="Times New Roman" w:cs="Times New Roman"/>
          <w:sz w:val="24"/>
          <w:szCs w:val="24"/>
        </w:rPr>
      </w:pPr>
    </w:p>
    <w:p w14:paraId="25F0ECBF" w14:textId="77777777" w:rsidR="0015305B" w:rsidRPr="00796736" w:rsidRDefault="001530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sag har et principielt indhold, når der er tvivl af en vis betydning om fortolkningen af en bestemmelse, eller en hidtidig fortolkning ændres. At en sag vedrører en bestemmelse, der ikke har været anvendt før, gør ikke i sig selv sagen principiel. Videregående betydelige følger for en eller flere virksomheder eller hele branchen kan f.eks. være afgørelser, der påbyder, at en bestemt praksis skal følges, hvilket vil medføre anvendelse af betydelige ressourcer for virksomhederne.</w:t>
      </w:r>
    </w:p>
    <w:p w14:paraId="26B723D8" w14:textId="77777777" w:rsidR="0015305B" w:rsidRPr="00796736" w:rsidRDefault="0015305B" w:rsidP="00A802A5">
      <w:pPr>
        <w:spacing w:line="360" w:lineRule="auto"/>
        <w:rPr>
          <w:rFonts w:ascii="Times New Roman" w:hAnsi="Times New Roman" w:cs="Times New Roman"/>
          <w:sz w:val="24"/>
          <w:szCs w:val="24"/>
        </w:rPr>
      </w:pPr>
    </w:p>
    <w:p w14:paraId="5AE6E1BF" w14:textId="77777777" w:rsidR="0015305B" w:rsidRPr="00796736" w:rsidRDefault="001530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skal bestyrelsen, jf. § 345, stk. 7, nr. 6, i lov om finansiel virksomhed, træffe beslutning om at overgive sager til politimæssig efterforskning og godkende regler og vejledninger, som Finanstilsynet får bemyndigelse til at udstede i medfør af nærværende lovforslag, jf. § 345, stk. 7, nr. 7.</w:t>
      </w:r>
    </w:p>
    <w:p w14:paraId="666F32C7" w14:textId="77777777" w:rsidR="0015305B" w:rsidRPr="00796736" w:rsidRDefault="0015305B" w:rsidP="00A802A5">
      <w:pPr>
        <w:spacing w:line="360" w:lineRule="auto"/>
        <w:rPr>
          <w:rFonts w:ascii="Times New Roman" w:hAnsi="Times New Roman" w:cs="Times New Roman"/>
          <w:sz w:val="24"/>
          <w:szCs w:val="24"/>
        </w:rPr>
      </w:pPr>
    </w:p>
    <w:p w14:paraId="52FBE6B1" w14:textId="77777777" w:rsidR="0015305B" w:rsidRPr="00796736" w:rsidRDefault="0015305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regler forstås bekendtgørelser og cirkulærer. Ligeledes skal Finanstilsynets bestyrelse godkende de vejledninger, som Finanstilsynet måtte finde behov for at udstede i medfør af loven. Forslaget skal ses som en naturlig konsekvens af bestyrelsens øvrige beføjelser, idet vejledninger dels er en kodificering af praksis i henhold til loven, som bestyrelsen med tiden vil fastlægge, og dels angiver fortolkningsbidrag m.v. vedrørende lovens bestemmelser. En vejledning retter sig mod de virksomheder, der skal administrere de regler, som vejledningen udmønter, og forklarer, hvad virksomhederne i praksis skal gøre for at efterleve lovgivningens regler. En vejledning indeholder ikke egentlige lovkrav eller regler, men derimod snarere anvisninger, der er tilknyttet den lovmæssige regulering.</w:t>
      </w:r>
    </w:p>
    <w:p w14:paraId="51C1C935" w14:textId="77777777" w:rsidR="00C225EC" w:rsidRPr="00796736" w:rsidRDefault="00C225EC" w:rsidP="00A802A5">
      <w:pPr>
        <w:spacing w:line="360" w:lineRule="auto"/>
        <w:rPr>
          <w:rFonts w:ascii="Times New Roman" w:hAnsi="Times New Roman" w:cs="Times New Roman"/>
          <w:sz w:val="24"/>
          <w:szCs w:val="24"/>
        </w:rPr>
      </w:pPr>
    </w:p>
    <w:p w14:paraId="3AE55B88" w14:textId="04164FBA" w:rsidR="008751CB" w:rsidRPr="00796736" w:rsidRDefault="008751C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944176" w:rsidRPr="00796736">
        <w:rPr>
          <w:rFonts w:ascii="Times New Roman" w:hAnsi="Times New Roman" w:cs="Times New Roman"/>
          <w:sz w:val="24"/>
          <w:szCs w:val="24"/>
        </w:rPr>
        <w:fldChar w:fldCharType="begin"/>
      </w:r>
      <w:r w:rsidR="00944176" w:rsidRPr="00796736">
        <w:rPr>
          <w:rFonts w:ascii="Times New Roman" w:hAnsi="Times New Roman" w:cs="Times New Roman"/>
          <w:sz w:val="24"/>
          <w:szCs w:val="24"/>
        </w:rPr>
        <w:instrText xml:space="preserve"> REF _Ref232949942 \n \h </w:instrText>
      </w:r>
      <w:r w:rsidR="00967618" w:rsidRPr="00796736">
        <w:rPr>
          <w:rFonts w:ascii="Times New Roman" w:hAnsi="Times New Roman" w:cs="Times New Roman"/>
          <w:sz w:val="24"/>
          <w:szCs w:val="24"/>
        </w:rPr>
        <w:instrText xml:space="preserve"> \* MERGEFORMAT </w:instrText>
      </w:r>
      <w:r w:rsidR="00944176" w:rsidRPr="00796736">
        <w:rPr>
          <w:rFonts w:ascii="Times New Roman" w:hAnsi="Times New Roman" w:cs="Times New Roman"/>
          <w:sz w:val="24"/>
          <w:szCs w:val="24"/>
        </w:rPr>
      </w:r>
      <w:r w:rsidR="009441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3.51</w:t>
      </w:r>
      <w:r w:rsidR="00944176" w:rsidRPr="00796736">
        <w:rPr>
          <w:rFonts w:ascii="Times New Roman" w:hAnsi="Times New Roman" w:cs="Times New Roman"/>
          <w:sz w:val="24"/>
          <w:szCs w:val="24"/>
        </w:rPr>
        <w:fldChar w:fldCharType="end"/>
      </w:r>
      <w:r w:rsidR="00944176"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582C2011" w14:textId="77777777" w:rsidR="0015305B" w:rsidRPr="00796736" w:rsidRDefault="0015305B" w:rsidP="00A802A5">
      <w:pPr>
        <w:spacing w:line="360" w:lineRule="auto"/>
        <w:rPr>
          <w:rFonts w:ascii="Times New Roman" w:hAnsi="Times New Roman" w:cs="Times New Roman"/>
          <w:i/>
          <w:iCs/>
          <w:sz w:val="24"/>
          <w:szCs w:val="24"/>
        </w:rPr>
      </w:pPr>
    </w:p>
    <w:p w14:paraId="34473353" w14:textId="1D16474C" w:rsidR="00240DBE" w:rsidRPr="00796736" w:rsidRDefault="00240DBE" w:rsidP="00A802A5">
      <w:pPr>
        <w:pStyle w:val="Undertitel"/>
      </w:pPr>
      <w:bookmarkStart w:id="2025" w:name="_Toc232109389"/>
      <w:bookmarkStart w:id="2026" w:name="_Toc244879353"/>
      <w:bookmarkStart w:id="2027" w:name="_Toc244880878"/>
      <w:r w:rsidRPr="00796736">
        <w:t xml:space="preserve">Til </w:t>
      </w:r>
      <w:r w:rsidR="00465705" w:rsidRPr="00796736">
        <w:fldChar w:fldCharType="begin"/>
      </w:r>
      <w:r w:rsidR="00465705" w:rsidRPr="00796736">
        <w:instrText xml:space="preserve"> REF _Ref232597109 \r \h </w:instrText>
      </w:r>
      <w:r w:rsidR="00967618" w:rsidRPr="00796736">
        <w:instrText xml:space="preserve"> \* MERGEFORMAT </w:instrText>
      </w:r>
      <w:r w:rsidR="00465705" w:rsidRPr="00796736">
        <w:fldChar w:fldCharType="separate"/>
      </w:r>
      <w:r w:rsidR="008F29E5">
        <w:t>§ 57</w:t>
      </w:r>
      <w:bookmarkEnd w:id="2026"/>
      <w:bookmarkEnd w:id="2027"/>
      <w:r w:rsidR="00465705" w:rsidRPr="00796736">
        <w:fldChar w:fldCharType="end"/>
      </w:r>
      <w:bookmarkEnd w:id="2025"/>
    </w:p>
    <w:p w14:paraId="040F008E" w14:textId="77777777" w:rsidR="003D51C0" w:rsidRPr="00796736" w:rsidRDefault="003D51C0" w:rsidP="00A802A5">
      <w:pPr>
        <w:spacing w:line="360" w:lineRule="auto"/>
        <w:rPr>
          <w:rFonts w:ascii="Times New Roman" w:eastAsia="Calibri" w:hAnsi="Times New Roman" w:cs="Times New Roman"/>
          <w:i/>
          <w:iCs/>
          <w:spacing w:val="15"/>
          <w:sz w:val="24"/>
          <w:szCs w:val="24"/>
        </w:rPr>
      </w:pPr>
    </w:p>
    <w:p w14:paraId="7326D2F8" w14:textId="639C73B0"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1, skal virksomheder og personer som nævnt i § 1, stk. 1, nr. 1-12, 18 og 22-26, samt leverandører og underleverandører til disse, give Finanstilsynet de oplysninger, der er nødvendige for tilsynets virksomhed. Oplysninger, der er af væsentlig betydning for Finanstilsynets tilsyn, skal gives af egen drift og hurtigst muligt.</w:t>
      </w:r>
    </w:p>
    <w:p w14:paraId="33787532" w14:textId="77777777" w:rsidR="003D51C0" w:rsidRPr="00796736" w:rsidRDefault="003D51C0" w:rsidP="00A802A5">
      <w:pPr>
        <w:spacing w:line="360" w:lineRule="auto"/>
        <w:rPr>
          <w:rFonts w:ascii="Times New Roman" w:hAnsi="Times New Roman" w:cs="Times New Roman"/>
          <w:sz w:val="24"/>
          <w:szCs w:val="24"/>
        </w:rPr>
      </w:pPr>
    </w:p>
    <w:p w14:paraId="2F34D7CE"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2, skal virksomheder og personer, der har afgivet oplysninger efter stk. 1, pligt til hurtigst muligt at berigtige oplysningerne over for Finanstilsynet, hvis virksomheden eller personen efterfølgende konstaterer at oplysningerne ikke har været korrekte på tidspunktet for afgivelsen eller hvis oplysningerne på et senere tidspunkt er blevet misvisende.</w:t>
      </w:r>
    </w:p>
    <w:p w14:paraId="1947CF1B" w14:textId="77777777" w:rsidR="003D51C0" w:rsidRPr="00796736" w:rsidRDefault="003D51C0" w:rsidP="00A802A5">
      <w:pPr>
        <w:spacing w:line="360" w:lineRule="auto"/>
        <w:rPr>
          <w:rFonts w:ascii="Times New Roman" w:hAnsi="Times New Roman" w:cs="Times New Roman"/>
          <w:sz w:val="24"/>
          <w:szCs w:val="24"/>
        </w:rPr>
      </w:pPr>
    </w:p>
    <w:p w14:paraId="18E790CD" w14:textId="4DA78165" w:rsidR="004E2379" w:rsidRPr="00796736" w:rsidRDefault="008F309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gennemføres direktivets artikel 37, stk. 6, litra a.</w:t>
      </w:r>
      <w:r w:rsidR="004E2379" w:rsidRPr="004E2379">
        <w:rPr>
          <w:rFonts w:ascii="Times New Roman" w:hAnsi="Times New Roman" w:cs="Times New Roman"/>
          <w:sz w:val="24"/>
          <w:szCs w:val="24"/>
        </w:rPr>
        <w:t xml:space="preserve"> </w:t>
      </w:r>
      <w:r w:rsidR="004E2379" w:rsidRPr="00796736">
        <w:rPr>
          <w:rFonts w:ascii="Times New Roman" w:hAnsi="Times New Roman" w:cs="Times New Roman"/>
          <w:sz w:val="24"/>
          <w:szCs w:val="24"/>
        </w:rPr>
        <w:t>Den foreslåede bestemmelse videreføre</w:t>
      </w:r>
      <w:r w:rsidR="004E2379">
        <w:rPr>
          <w:rFonts w:ascii="Times New Roman" w:hAnsi="Times New Roman" w:cs="Times New Roman"/>
          <w:sz w:val="24"/>
          <w:szCs w:val="24"/>
        </w:rPr>
        <w:t>r</w:t>
      </w:r>
      <w:r w:rsidR="004E2379" w:rsidRPr="00796736">
        <w:rPr>
          <w:rFonts w:ascii="Times New Roman" w:hAnsi="Times New Roman" w:cs="Times New Roman"/>
          <w:sz w:val="24"/>
          <w:szCs w:val="24"/>
        </w:rPr>
        <w:t xml:space="preserve"> § 49, stk. 1, i hvidvaskloven. Der er ikke tilsigtet materielle ændringer med den foreslåede bestemmelse.</w:t>
      </w:r>
    </w:p>
    <w:p w14:paraId="032A1BED" w14:textId="77777777" w:rsidR="008F309B" w:rsidRPr="00796736" w:rsidRDefault="008F309B" w:rsidP="00A802A5">
      <w:pPr>
        <w:spacing w:line="360" w:lineRule="auto"/>
        <w:rPr>
          <w:rFonts w:ascii="Times New Roman" w:hAnsi="Times New Roman" w:cs="Times New Roman"/>
          <w:sz w:val="24"/>
          <w:szCs w:val="24"/>
        </w:rPr>
      </w:pPr>
    </w:p>
    <w:p w14:paraId="3ECC3D60" w14:textId="6109F3ED"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00944176" w:rsidRPr="00796736">
        <w:rPr>
          <w:rFonts w:ascii="Times New Roman" w:hAnsi="Times New Roman" w:cs="Times New Roman"/>
          <w:i/>
          <w:iCs/>
          <w:sz w:val="24"/>
          <w:szCs w:val="24"/>
        </w:rPr>
        <w:fldChar w:fldCharType="begin"/>
      </w:r>
      <w:r w:rsidR="00944176" w:rsidRPr="00796736">
        <w:rPr>
          <w:rFonts w:ascii="Times New Roman" w:hAnsi="Times New Roman" w:cs="Times New Roman"/>
          <w:i/>
          <w:iCs/>
          <w:sz w:val="24"/>
          <w:szCs w:val="24"/>
        </w:rPr>
        <w:instrText xml:space="preserve"> REF _Ref232597109 \r \h  \* MERGEFORMAT </w:instrText>
      </w:r>
      <w:r w:rsidR="00944176" w:rsidRPr="00796736">
        <w:rPr>
          <w:rFonts w:ascii="Times New Roman" w:hAnsi="Times New Roman" w:cs="Times New Roman"/>
          <w:i/>
          <w:iCs/>
          <w:sz w:val="24"/>
          <w:szCs w:val="24"/>
        </w:rPr>
      </w:r>
      <w:r w:rsidR="00944176"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57</w:t>
      </w:r>
      <w:r w:rsidR="00944176" w:rsidRPr="00796736">
        <w:rPr>
          <w:rFonts w:ascii="Times New Roman" w:hAnsi="Times New Roman" w:cs="Times New Roman"/>
          <w:i/>
          <w:iCs/>
          <w:sz w:val="24"/>
          <w:szCs w:val="24"/>
        </w:rPr>
        <w:fldChar w:fldCharType="end"/>
      </w:r>
      <w:r w:rsidR="00944176" w:rsidRPr="00796736">
        <w:rPr>
          <w:rFonts w:ascii="Times New Roman" w:hAnsi="Times New Roman" w:cs="Times New Roman"/>
          <w:i/>
          <w:iCs/>
          <w:sz w:val="24"/>
          <w:szCs w:val="24"/>
        </w:rPr>
        <w:t>,</w:t>
      </w:r>
      <w:r w:rsidR="00944176"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at virksomheder og personer som nævnt i</w:t>
      </w:r>
      <w:r w:rsidR="008F309B" w:rsidRPr="00796736">
        <w:rPr>
          <w:rFonts w:ascii="Times New Roman" w:hAnsi="Times New Roman" w:cs="Times New Roman"/>
          <w:sz w:val="24"/>
          <w:szCs w:val="24"/>
        </w:rPr>
        <w:t xml:space="preserve"> lovforslagets</w:t>
      </w:r>
      <w:r w:rsidRPr="00796736">
        <w:rPr>
          <w:rFonts w:ascii="Times New Roman" w:hAnsi="Times New Roman" w:cs="Times New Roman"/>
          <w:sz w:val="24"/>
          <w:szCs w:val="24"/>
        </w:rPr>
        <w:t xml:space="preserve"> </w:t>
      </w:r>
      <w:r w:rsidR="008F309B" w:rsidRPr="00796736">
        <w:rPr>
          <w:rFonts w:ascii="Times New Roman" w:eastAsia="Times New Roman" w:hAnsi="Times New Roman" w:cs="Times New Roman"/>
          <w:sz w:val="24"/>
          <w:szCs w:val="24"/>
          <w:lang w:eastAsia="da-DK"/>
        </w:rPr>
        <w:t xml:space="preserve">§ 1, stk. 2, nr. 1-3, </w:t>
      </w:r>
      <w:r w:rsidR="00793B8C">
        <w:rPr>
          <w:rFonts w:ascii="Times New Roman" w:eastAsia="Times New Roman" w:hAnsi="Times New Roman" w:cs="Times New Roman"/>
          <w:sz w:val="24"/>
          <w:szCs w:val="24"/>
          <w:lang w:eastAsia="da-DK"/>
        </w:rPr>
        <w:t>samt</w:t>
      </w:r>
      <w:r w:rsidR="008F309B" w:rsidRPr="00796736">
        <w:rPr>
          <w:rFonts w:ascii="Times New Roman" w:eastAsia="Times New Roman" w:hAnsi="Times New Roman" w:cs="Times New Roman"/>
          <w:sz w:val="24"/>
          <w:szCs w:val="24"/>
          <w:lang w:eastAsia="da-DK"/>
        </w:rPr>
        <w:t xml:space="preserve"> § 2, nr. 1-19 </w:t>
      </w:r>
      <w:r w:rsidR="00586D2B">
        <w:rPr>
          <w:rFonts w:ascii="Times New Roman" w:eastAsia="Times New Roman" w:hAnsi="Times New Roman" w:cs="Times New Roman"/>
          <w:sz w:val="24"/>
          <w:szCs w:val="24"/>
          <w:lang w:eastAsia="da-DK"/>
        </w:rPr>
        <w:t>og</w:t>
      </w:r>
      <w:r w:rsidR="008F309B" w:rsidRPr="00796736">
        <w:rPr>
          <w:rFonts w:ascii="Times New Roman" w:eastAsia="Times New Roman" w:hAnsi="Times New Roman" w:cs="Times New Roman"/>
          <w:sz w:val="24"/>
          <w:szCs w:val="24"/>
          <w:lang w:eastAsia="da-DK"/>
        </w:rPr>
        <w:t xml:space="preserve"> 32, litra a</w:t>
      </w:r>
      <w:r w:rsidRPr="00796736">
        <w:rPr>
          <w:rFonts w:ascii="Times New Roman" w:hAnsi="Times New Roman" w:cs="Times New Roman"/>
          <w:sz w:val="24"/>
          <w:szCs w:val="24"/>
        </w:rPr>
        <w:t>, samt leverandører og underleverandører</w:t>
      </w:r>
      <w:r w:rsidR="008F309B" w:rsidRPr="00796736">
        <w:rPr>
          <w:rFonts w:ascii="Times New Roman" w:hAnsi="Times New Roman" w:cs="Times New Roman"/>
          <w:sz w:val="24"/>
          <w:szCs w:val="24"/>
        </w:rPr>
        <w:t xml:space="preserve"> til disse</w:t>
      </w:r>
      <w:r w:rsidRPr="00796736">
        <w:rPr>
          <w:rFonts w:ascii="Times New Roman" w:hAnsi="Times New Roman" w:cs="Times New Roman"/>
          <w:sz w:val="24"/>
          <w:szCs w:val="24"/>
        </w:rPr>
        <w:t xml:space="preserve"> skal give Finanstilsynet de oplysninger, der er nødvendige for tilsynets virksomhed. Oplysninger, der er af væsentlig betydning for Finanstilsynets tilsyn, skal gives af egen drift og hurtigst muligt.</w:t>
      </w:r>
    </w:p>
    <w:p w14:paraId="19EF686E" w14:textId="77777777" w:rsidR="003D51C0" w:rsidRPr="00796736" w:rsidRDefault="003D51C0" w:rsidP="00A802A5">
      <w:pPr>
        <w:spacing w:line="360" w:lineRule="auto"/>
        <w:rPr>
          <w:rFonts w:ascii="Times New Roman" w:hAnsi="Times New Roman" w:cs="Times New Roman"/>
          <w:sz w:val="24"/>
          <w:szCs w:val="24"/>
        </w:rPr>
      </w:pPr>
    </w:p>
    <w:p w14:paraId="108606E0" w14:textId="43C8F61C" w:rsidR="003D51C0" w:rsidRPr="00796736" w:rsidRDefault="003D51C0"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Den foreslåede bestemmelse vil, som det er tilfældet i dag</w:t>
      </w:r>
      <w:r w:rsidR="008F309B" w:rsidRPr="00796736">
        <w:rPr>
          <w:rFonts w:ascii="Times New Roman" w:hAnsi="Times New Roman" w:cs="Times New Roman"/>
          <w:sz w:val="24"/>
          <w:szCs w:val="24"/>
        </w:rPr>
        <w:t>,</w:t>
      </w:r>
      <w:r w:rsidRPr="00796736">
        <w:rPr>
          <w:rFonts w:ascii="Times New Roman" w:hAnsi="Times New Roman" w:cs="Times New Roman"/>
          <w:sz w:val="24"/>
          <w:szCs w:val="24"/>
        </w:rPr>
        <w:t xml:space="preserve"> indebære, at virksomheder og personer har pligt til at give Finanstilsynet de oplysninger, som Finanstilsynet anmoder om som led i varetagelsen af sin tilsynsforpligtelse. Oplysningsforpligtelsen skal iagttages under hensyntagen til § 9, stk. 1, i lov om retssikkerhed ved forvaltningens anvendelse af tvangsindgreb og oplysningspligter. </w:t>
      </w:r>
      <w:r w:rsidRPr="00796736">
        <w:rPr>
          <w:rFonts w:ascii="Times New Roman" w:eastAsia="Times New Roman" w:hAnsi="Times New Roman" w:cs="Times New Roman"/>
          <w:iCs/>
          <w:sz w:val="24"/>
          <w:szCs w:val="24"/>
          <w:lang w:eastAsia="da-DK"/>
        </w:rPr>
        <w:t xml:space="preserve"> Oplysningerne vil skulle være nødvendige af hensyn til overvågning og kontrol med reglerne i hvidvaskforordningen, denne lov eller regler udstedt i medfør af loven. Det vil være op til Finanstilsynet i det enkelte tilfælde konkret at vurdere, hvornår og hvilke oplysninger det er nødvendigt at modtage for at kunne føre et effektivt tilsyn.</w:t>
      </w:r>
    </w:p>
    <w:p w14:paraId="00C27AB9" w14:textId="77777777" w:rsidR="003D51C0" w:rsidRPr="00796736" w:rsidRDefault="003D51C0" w:rsidP="00A802A5">
      <w:pPr>
        <w:spacing w:line="360" w:lineRule="auto"/>
        <w:rPr>
          <w:rFonts w:ascii="Times New Roman" w:hAnsi="Times New Roman" w:cs="Times New Roman"/>
          <w:sz w:val="24"/>
          <w:szCs w:val="24"/>
        </w:rPr>
      </w:pPr>
    </w:p>
    <w:p w14:paraId="3FEAB94A"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vil desuden, som det er tilfældet i dag, omfatte leverandører og underleverandører. Bestemmelsen svarer dermed til, hvad der i dag gælder efter andre tilsynslove, herunder lov om finansiel virksomhed. De opgaver, som Finanstilsynet vil kunne indhente oplysninger om hos leverandører henholdsvis underleverandører, er opgaver, som Finanstilsynet ville kunne indhente oplysninger om hos outsourcingvirksomheden, hvis opgaverne ikke var outsourcet. Formålet med at omfatte leverandører og underleverandører er således, at Finanstilsynets indhentelse af oplysninger ikke kan hindres eller omgås ved outsourcing.</w:t>
      </w:r>
    </w:p>
    <w:p w14:paraId="2AD31A8F" w14:textId="77777777" w:rsidR="003D51C0" w:rsidRPr="00796736" w:rsidRDefault="003D51C0" w:rsidP="00A802A5">
      <w:pPr>
        <w:spacing w:line="360" w:lineRule="auto"/>
        <w:rPr>
          <w:rFonts w:ascii="Times New Roman" w:hAnsi="Times New Roman" w:cs="Times New Roman"/>
          <w:sz w:val="24"/>
          <w:szCs w:val="24"/>
        </w:rPr>
      </w:pPr>
    </w:p>
    <w:p w14:paraId="757EFE6B" w14:textId="564F95D8" w:rsidR="00FE7B3B"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vil herudover, lige som i dag, indebære, at oplysninger, der er af væsentlig betydning for Finanstilsynets tilsyn, skal gives af egen drift og hurtigst muligt. Pligten til at meddele Finanstilsynet oplysninger af egen drift vil gælde for de situationer, hvor det må stå klart for virksomheden og personen, at oplysningens karakter er af væsentlig betydning for Finanstilsynets tilsynsvirksomhed. Deraf følger det, at det ikke vil være alle oplysninger, som virksomhederne vil skulle meddele Finanstilsynet af egen drift. Virksomheden eller personen vil skulle foretage en konkret vurdering af oplysningernes karakter, der påtænkes at blive meddelt til Finanstilsynet for at sikre, at informationerne har den fornødne interesse for Finanstilsynet. Pligten til at give meddelelse hurtigst muligt vil indebære, at der vil skulle gives meddelelse, så snart virksomheden bliver opmærksom på, at en oplysnings karakter er af væsentlig betydning for Finanstilsynets tilsynsvirksomhed. Et eksempel herpå, kunne være, hvis en virksomhed er ved at komme i økonomiske vanskeligheder, som ikke nødvendigvis er truende for virksomhedens fortsatte drift. Da oplysningen imidlertid kan have betydning for virksomhedens fortsatte drift, vil en meddelelse herom vil være af interesse for Finanstilsynets løbende tilsyn med virksomheden.</w:t>
      </w:r>
    </w:p>
    <w:p w14:paraId="6D39EAA1" w14:textId="77777777" w:rsidR="003D51C0" w:rsidRPr="00796736" w:rsidRDefault="003D51C0" w:rsidP="00A802A5">
      <w:pPr>
        <w:spacing w:line="360" w:lineRule="auto"/>
        <w:rPr>
          <w:rFonts w:ascii="Times New Roman" w:hAnsi="Times New Roman" w:cs="Times New Roman"/>
          <w:sz w:val="24"/>
          <w:szCs w:val="24"/>
        </w:rPr>
      </w:pPr>
    </w:p>
    <w:p w14:paraId="61EB1B59" w14:textId="46260902"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overtrædelse af bestemmelsen strafbelægges, jf. lovforslagets </w:t>
      </w:r>
      <w:r w:rsidR="008F309B" w:rsidRPr="00796736">
        <w:rPr>
          <w:rFonts w:ascii="Times New Roman" w:hAnsi="Times New Roman" w:cs="Times New Roman"/>
          <w:sz w:val="24"/>
          <w:szCs w:val="24"/>
        </w:rPr>
        <w:fldChar w:fldCharType="begin"/>
      </w:r>
      <w:r w:rsidR="008F309B" w:rsidRPr="00796736">
        <w:rPr>
          <w:rFonts w:ascii="Times New Roman" w:hAnsi="Times New Roman" w:cs="Times New Roman"/>
          <w:sz w:val="24"/>
          <w:szCs w:val="24"/>
        </w:rPr>
        <w:instrText xml:space="preserve"> REF _Ref242963797 \r \h </w:instrText>
      </w:r>
      <w:r w:rsidR="00796736">
        <w:rPr>
          <w:rFonts w:ascii="Times New Roman" w:hAnsi="Times New Roman" w:cs="Times New Roman"/>
          <w:sz w:val="24"/>
          <w:szCs w:val="24"/>
        </w:rPr>
        <w:instrText xml:space="preserve"> \* MERGEFORMAT </w:instrText>
      </w:r>
      <w:r w:rsidR="008F309B" w:rsidRPr="00796736">
        <w:rPr>
          <w:rFonts w:ascii="Times New Roman" w:hAnsi="Times New Roman" w:cs="Times New Roman"/>
          <w:sz w:val="24"/>
          <w:szCs w:val="24"/>
        </w:rPr>
      </w:r>
      <w:r w:rsidR="008F309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8F309B" w:rsidRPr="00796736">
        <w:rPr>
          <w:rFonts w:ascii="Times New Roman" w:hAnsi="Times New Roman" w:cs="Times New Roman"/>
          <w:sz w:val="24"/>
          <w:szCs w:val="24"/>
        </w:rPr>
        <w:fldChar w:fldCharType="end"/>
      </w:r>
      <w:r w:rsidR="00FE7B3B">
        <w:rPr>
          <w:rFonts w:ascii="Times New Roman" w:hAnsi="Times New Roman" w:cs="Times New Roman"/>
          <w:sz w:val="24"/>
          <w:szCs w:val="24"/>
        </w:rPr>
        <w:t>, stk. 1, nr. 5</w:t>
      </w:r>
      <w:r w:rsidR="008F309B"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Ansvarssubjekterne for overtrædelse af </w:t>
      </w:r>
      <w:r w:rsidR="00860D70" w:rsidRPr="00796736">
        <w:rPr>
          <w:rFonts w:ascii="Times New Roman" w:hAnsi="Times New Roman" w:cs="Times New Roman"/>
          <w:sz w:val="24"/>
          <w:szCs w:val="24"/>
        </w:rPr>
        <w:fldChar w:fldCharType="begin"/>
      </w:r>
      <w:r w:rsidR="00860D70" w:rsidRPr="00796736">
        <w:rPr>
          <w:rFonts w:ascii="Times New Roman" w:hAnsi="Times New Roman" w:cs="Times New Roman"/>
          <w:sz w:val="24"/>
          <w:szCs w:val="24"/>
        </w:rPr>
        <w:instrText xml:space="preserve"> REF _Ref232597109 \r \h </w:instrText>
      </w:r>
      <w:r w:rsidR="00796736">
        <w:rPr>
          <w:rFonts w:ascii="Times New Roman" w:hAnsi="Times New Roman" w:cs="Times New Roman"/>
          <w:sz w:val="24"/>
          <w:szCs w:val="24"/>
        </w:rPr>
        <w:instrText xml:space="preserve"> \* MERGEFORMAT </w:instrText>
      </w:r>
      <w:r w:rsidR="00860D70" w:rsidRPr="00796736">
        <w:rPr>
          <w:rFonts w:ascii="Times New Roman" w:hAnsi="Times New Roman" w:cs="Times New Roman"/>
          <w:sz w:val="24"/>
          <w:szCs w:val="24"/>
        </w:rPr>
      </w:r>
      <w:r w:rsidR="00860D7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860D7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er virksomheder og personer omfattet af </w:t>
      </w:r>
      <w:r w:rsidR="00860D70" w:rsidRPr="00796736">
        <w:rPr>
          <w:rFonts w:ascii="Times New Roman" w:hAnsi="Times New Roman" w:cs="Times New Roman"/>
          <w:sz w:val="24"/>
          <w:szCs w:val="24"/>
          <w:lang w:eastAsia="da-DK"/>
        </w:rPr>
        <w:t>§ 1, stk. 2, nr. 1-3</w:t>
      </w:r>
      <w:r w:rsidR="005F48B0">
        <w:rPr>
          <w:rFonts w:ascii="Times New Roman" w:hAnsi="Times New Roman" w:cs="Times New Roman"/>
          <w:sz w:val="24"/>
          <w:szCs w:val="24"/>
          <w:lang w:eastAsia="da-DK"/>
        </w:rPr>
        <w:t>,</w:t>
      </w:r>
      <w:r w:rsidR="00860D70" w:rsidRPr="00796736">
        <w:rPr>
          <w:rFonts w:ascii="Times New Roman" w:hAnsi="Times New Roman" w:cs="Times New Roman"/>
          <w:sz w:val="24"/>
          <w:szCs w:val="24"/>
          <w:lang w:eastAsia="da-DK"/>
        </w:rPr>
        <w:t xml:space="preserve"> </w:t>
      </w:r>
      <w:r w:rsidR="00793B8C">
        <w:rPr>
          <w:rFonts w:ascii="Times New Roman" w:hAnsi="Times New Roman" w:cs="Times New Roman"/>
          <w:sz w:val="24"/>
          <w:szCs w:val="24"/>
          <w:lang w:eastAsia="da-DK"/>
        </w:rPr>
        <w:t>samt</w:t>
      </w:r>
      <w:r w:rsidR="00860D70" w:rsidRPr="00796736">
        <w:rPr>
          <w:rFonts w:ascii="Times New Roman" w:hAnsi="Times New Roman" w:cs="Times New Roman"/>
          <w:sz w:val="24"/>
          <w:szCs w:val="24"/>
          <w:lang w:eastAsia="da-DK"/>
        </w:rPr>
        <w:t xml:space="preserve"> </w:t>
      </w:r>
      <w:r w:rsidR="00860D70" w:rsidRPr="00796736">
        <w:rPr>
          <w:rFonts w:ascii="Times New Roman" w:hAnsi="Times New Roman" w:cs="Times New Roman"/>
          <w:sz w:val="24"/>
          <w:szCs w:val="24"/>
          <w:lang w:eastAsia="da-DK"/>
        </w:rPr>
        <w:fldChar w:fldCharType="begin"/>
      </w:r>
      <w:r w:rsidR="00860D70" w:rsidRPr="00796736">
        <w:rPr>
          <w:rFonts w:ascii="Times New Roman" w:hAnsi="Times New Roman" w:cs="Times New Roman"/>
          <w:sz w:val="24"/>
          <w:szCs w:val="24"/>
          <w:lang w:eastAsia="da-DK"/>
        </w:rPr>
        <w:instrText xml:space="preserve"> REF _Ref232592818 \r \h  \* MERGEFORMAT </w:instrText>
      </w:r>
      <w:r w:rsidR="00860D70" w:rsidRPr="00796736">
        <w:rPr>
          <w:rFonts w:ascii="Times New Roman" w:hAnsi="Times New Roman" w:cs="Times New Roman"/>
          <w:sz w:val="24"/>
          <w:szCs w:val="24"/>
          <w:lang w:eastAsia="da-DK"/>
        </w:rPr>
      </w:r>
      <w:r w:rsidR="00860D70"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2</w:t>
      </w:r>
      <w:r w:rsidR="00860D70" w:rsidRPr="00796736">
        <w:rPr>
          <w:rFonts w:ascii="Times New Roman" w:hAnsi="Times New Roman" w:cs="Times New Roman"/>
          <w:sz w:val="24"/>
          <w:szCs w:val="24"/>
          <w:lang w:eastAsia="da-DK"/>
        </w:rPr>
        <w:fldChar w:fldCharType="end"/>
      </w:r>
      <w:r w:rsidR="00860D70" w:rsidRPr="00796736">
        <w:rPr>
          <w:rFonts w:ascii="Times New Roman" w:hAnsi="Times New Roman" w:cs="Times New Roman"/>
          <w:sz w:val="24"/>
          <w:szCs w:val="24"/>
          <w:lang w:eastAsia="da-DK"/>
        </w:rPr>
        <w:t>, nr. 1-19, og 32, litra a</w:t>
      </w:r>
      <w:r w:rsidRPr="00796736">
        <w:rPr>
          <w:rFonts w:ascii="Times New Roman" w:hAnsi="Times New Roman" w:cs="Times New Roman"/>
          <w:sz w:val="24"/>
          <w:szCs w:val="24"/>
        </w:rPr>
        <w:t>, samt leverandører og underleverandører til disse. Den strafbare handling består i ikke at give Finanstilsynet de oplysninger, der er nødvendige for tilsynets virksomhed. Et eksempel på overtrædelse af bestemmelsen er en virksomhed, der ikke vil udlevere virksomhedens kundekendskabsprocedurer.</w:t>
      </w:r>
    </w:p>
    <w:p w14:paraId="01D1E715" w14:textId="77777777" w:rsidR="003D51C0" w:rsidRPr="00796736" w:rsidRDefault="003D51C0" w:rsidP="00A802A5">
      <w:pPr>
        <w:spacing w:line="360" w:lineRule="auto"/>
        <w:rPr>
          <w:rFonts w:ascii="Times New Roman" w:hAnsi="Times New Roman" w:cs="Times New Roman"/>
          <w:sz w:val="24"/>
          <w:szCs w:val="24"/>
        </w:rPr>
      </w:pPr>
    </w:p>
    <w:p w14:paraId="7B1E3233" w14:textId="272860A3" w:rsidR="00860D7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 xml:space="preserve">stk. 2, </w:t>
      </w:r>
      <w:r w:rsidRPr="00796736">
        <w:rPr>
          <w:rFonts w:ascii="Times New Roman" w:hAnsi="Times New Roman" w:cs="Times New Roman"/>
          <w:sz w:val="24"/>
          <w:szCs w:val="24"/>
        </w:rPr>
        <w:t>at oplysninger afgivet efter stk. 1, hurtigst muligt skal berigtiges over for Finanstilsynet, hvis virksomheden eller personen efterfølgende konstaterer</w:t>
      </w:r>
      <w:r w:rsidR="004E2379">
        <w:rPr>
          <w:rFonts w:ascii="Times New Roman" w:hAnsi="Times New Roman" w:cs="Times New Roman"/>
          <w:sz w:val="24"/>
          <w:szCs w:val="24"/>
        </w:rPr>
        <w:t>, at</w:t>
      </w:r>
      <w:r w:rsidRPr="00796736">
        <w:rPr>
          <w:rFonts w:ascii="Times New Roman" w:hAnsi="Times New Roman" w:cs="Times New Roman"/>
          <w:sz w:val="24"/>
          <w:szCs w:val="24"/>
        </w:rPr>
        <w:t xml:space="preserve">: </w:t>
      </w:r>
    </w:p>
    <w:p w14:paraId="6C9AB651" w14:textId="0C2824F3"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1) Oplysningerne ikke har været korrekte på tidspunktet for afgivelsen. 2) Oplysningerne på et senere tidspunkt er blevet misvisende.</w:t>
      </w:r>
    </w:p>
    <w:p w14:paraId="06512948" w14:textId="77777777" w:rsidR="003D51C0" w:rsidRPr="00796736" w:rsidRDefault="003D51C0" w:rsidP="00A802A5">
      <w:pPr>
        <w:spacing w:line="360" w:lineRule="auto"/>
        <w:rPr>
          <w:rFonts w:ascii="Times New Roman" w:hAnsi="Times New Roman" w:cs="Times New Roman"/>
          <w:sz w:val="24"/>
          <w:szCs w:val="24"/>
        </w:rPr>
      </w:pPr>
    </w:p>
    <w:p w14:paraId="72A97044" w14:textId="71385BBD"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videreføre § 49, stk. 2 i hvidvaskloven.</w:t>
      </w:r>
      <w:r w:rsidR="00860D70" w:rsidRPr="00796736">
        <w:rPr>
          <w:rFonts w:ascii="Times New Roman" w:hAnsi="Times New Roman" w:cs="Times New Roman"/>
          <w:color w:val="212529"/>
          <w:sz w:val="18"/>
          <w:szCs w:val="18"/>
          <w:shd w:val="clear" w:color="auto" w:fill="FFFFFF"/>
        </w:rPr>
        <w:t xml:space="preserve"> </w:t>
      </w:r>
      <w:r w:rsidR="00860D70" w:rsidRPr="00796736">
        <w:rPr>
          <w:rFonts w:ascii="Times New Roman" w:hAnsi="Times New Roman" w:cs="Times New Roman"/>
          <w:sz w:val="24"/>
          <w:szCs w:val="24"/>
        </w:rPr>
        <w:t>Der er ikke tilsigtet materielle ændringer med den foreslåede bestemmelse</w:t>
      </w:r>
    </w:p>
    <w:p w14:paraId="6944DAFC" w14:textId="77777777" w:rsidR="003D51C0" w:rsidRPr="00796736" w:rsidRDefault="003D51C0" w:rsidP="00A802A5">
      <w:pPr>
        <w:spacing w:line="360" w:lineRule="auto"/>
        <w:rPr>
          <w:rFonts w:ascii="Times New Roman" w:hAnsi="Times New Roman" w:cs="Times New Roman"/>
          <w:sz w:val="24"/>
          <w:szCs w:val="24"/>
        </w:rPr>
      </w:pPr>
    </w:p>
    <w:p w14:paraId="1191E02C" w14:textId="5D78CF56"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som det er tilfældet i dag</w:t>
      </w:r>
      <w:r w:rsidR="00860D70" w:rsidRPr="00796736">
        <w:rPr>
          <w:rFonts w:ascii="Times New Roman" w:hAnsi="Times New Roman" w:cs="Times New Roman"/>
          <w:sz w:val="24"/>
          <w:szCs w:val="24"/>
        </w:rPr>
        <w:t>,</w:t>
      </w:r>
      <w:r w:rsidRPr="00796736">
        <w:rPr>
          <w:rFonts w:ascii="Times New Roman" w:hAnsi="Times New Roman" w:cs="Times New Roman"/>
          <w:sz w:val="24"/>
          <w:szCs w:val="24"/>
        </w:rPr>
        <w:t xml:space="preserve"> indebære, at virksomheder og personer vil have pligt til at give meddelelse til Finanstilsynet, så snart virksomheden eller personen bliver opmærksom på, at en oplysning, som er meddelt til Finanstilsynet, er ukorrekt eller viser sig at være blevet misvisende. </w:t>
      </w:r>
    </w:p>
    <w:p w14:paraId="2451BDAB" w14:textId="77777777" w:rsidR="003D51C0" w:rsidRPr="00796736" w:rsidRDefault="003D51C0" w:rsidP="00A802A5">
      <w:pPr>
        <w:spacing w:line="360" w:lineRule="auto"/>
        <w:rPr>
          <w:rFonts w:ascii="Times New Roman" w:hAnsi="Times New Roman" w:cs="Times New Roman"/>
          <w:sz w:val="24"/>
          <w:szCs w:val="24"/>
        </w:rPr>
      </w:pPr>
    </w:p>
    <w:p w14:paraId="6EE6201C"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Pligten til at give meddelelse hurtigst muligt vil, lige som i dag indebære, at virksomheden eller personen vil skulle foretage en konkret og individuel vurdering i det enkelte tilfælde, herunder også under inddragelse af, hvor alvorligt det i det enkelte tilfælde måtte være, at oplysninger ikke har været korrekte. </w:t>
      </w:r>
    </w:p>
    <w:p w14:paraId="0D6ACDF5" w14:textId="77777777" w:rsidR="003D51C0" w:rsidRPr="00796736" w:rsidRDefault="003D51C0" w:rsidP="00A802A5">
      <w:pPr>
        <w:spacing w:line="360" w:lineRule="auto"/>
        <w:rPr>
          <w:rFonts w:ascii="Times New Roman" w:hAnsi="Times New Roman" w:cs="Times New Roman"/>
          <w:sz w:val="24"/>
          <w:szCs w:val="24"/>
        </w:rPr>
      </w:pPr>
    </w:p>
    <w:p w14:paraId="556BE62D"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eksempel herpå, vil kunne være, at Finanstilsynet som led i en hvidvaskinspektion har indkaldt kundelister til brug for udtagelse af stikprøver. Kort tid efter inspektionen opdager virksomheden, at denne ved en fejl ikke har indsendt alle kundelister. Det betyder, at de stikprøver, som Finanstilsynet har udtaget på baggrund af de modtagne kundelister, ikke danner et retvisende billede af virksomhedens kundeportefølje. Der vil i en sådan situation være tale om en så alvorlig fejl, og virksomheden vil hurtigst muligt skulle indsende de manglende kundelister. Et andet eksempel vil kunne være, at en virksomhed ved opfølgning på et påbud, som virksomheden har fået i forbindelse med en inspektion, opdager, at de ved inspektionen har givet forkerte oplysninger. Det kan f.eks. være, at den procedure for screening af politisk eksponerede personer, som virksomheden har beskrevet over for Finanstilsynet, ikke stemmer overens med virksomhedens faktiske praksis, som er mangelfuld. Der vil i sådan en situation være tale om oplysninger, som skal berigtiges over for Finanstilsynet hurtigst muligt. </w:t>
      </w:r>
    </w:p>
    <w:p w14:paraId="276A32B4" w14:textId="77777777" w:rsidR="003D51C0" w:rsidRPr="00796736" w:rsidRDefault="003D51C0" w:rsidP="00A802A5">
      <w:pPr>
        <w:spacing w:line="360" w:lineRule="auto"/>
        <w:rPr>
          <w:rFonts w:ascii="Times New Roman" w:hAnsi="Times New Roman" w:cs="Times New Roman"/>
          <w:sz w:val="24"/>
          <w:szCs w:val="24"/>
        </w:rPr>
      </w:pPr>
    </w:p>
    <w:p w14:paraId="3027DB83"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Pligten til at give meddelelse hurtigst muligt vil, som det er tilfældet i dag, indebære, at virksomheden eller personen, efter omstændighederne vil have mulighed for en orientering af virksomhedens ledelse, inden oplysningerne berigtiges over for Finanstilsynet, hvis dette kan ske inden for, hvad der må vurderes at være hurtigst muligt i det konkrete tilfælde.</w:t>
      </w:r>
    </w:p>
    <w:p w14:paraId="041D0C4E" w14:textId="77777777" w:rsidR="003D51C0" w:rsidRPr="00796736" w:rsidRDefault="003D51C0" w:rsidP="00A802A5">
      <w:pPr>
        <w:spacing w:line="360" w:lineRule="auto"/>
        <w:rPr>
          <w:rFonts w:ascii="Times New Roman" w:hAnsi="Times New Roman" w:cs="Times New Roman"/>
          <w:sz w:val="24"/>
          <w:szCs w:val="24"/>
        </w:rPr>
      </w:pPr>
    </w:p>
    <w:p w14:paraId="696DCC66"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det er tilfældet i dag, vil der med begrebet ”ikke har været korrekte” skulle forstås, at oplysningerne materielt ikke har været korrekte på tidspunktet for afgivelsen af oplysningerne, eller at de på et senere tidspunkt er blevet misvisende. Det vil eksempelvis være datamateriale, som indeholder forkerte værdier. Det forudsættes dog, at det ikke vil være nødvendigt at berigtige mindre sproglige fejl eller lignende, der alene er af rent redaktionel karakter, og som ikke er meningsforstyrrende for meddelelsens indhold. Det er ikke hensigten, at berigtigelsespligten skal fortolkes videre, end hvad der gælder som følge af indfortolkningen af en berigtigelsespligt i oplysningspligterne. Dette betyder bl.a., at der ikke gælder en berigtigelsespligt, hvis f.eks. oplysninger er fejlagtige som følge af åbenlyse tastefejl.</w:t>
      </w:r>
    </w:p>
    <w:p w14:paraId="34474A82" w14:textId="77777777" w:rsidR="003D51C0" w:rsidRPr="00796736" w:rsidRDefault="003D51C0" w:rsidP="00A802A5">
      <w:pPr>
        <w:spacing w:line="360" w:lineRule="auto"/>
        <w:rPr>
          <w:rFonts w:ascii="Times New Roman" w:hAnsi="Times New Roman" w:cs="Times New Roman"/>
          <w:sz w:val="24"/>
          <w:szCs w:val="24"/>
        </w:rPr>
      </w:pPr>
    </w:p>
    <w:p w14:paraId="348139B6" w14:textId="6A0B2645" w:rsidR="008F309B"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overtrædelse </w:t>
      </w:r>
      <w:r w:rsidRPr="00FE7B3B">
        <w:rPr>
          <w:rFonts w:ascii="Times New Roman" w:hAnsi="Times New Roman" w:cs="Times New Roman"/>
          <w:sz w:val="24"/>
          <w:szCs w:val="24"/>
        </w:rPr>
        <w:t xml:space="preserve">af </w:t>
      </w:r>
      <w:r w:rsidR="00FE7B3B" w:rsidRPr="00FE7B3B">
        <w:rPr>
          <w:rFonts w:ascii="Times New Roman" w:hAnsi="Times New Roman" w:cs="Times New Roman"/>
          <w:sz w:val="24"/>
          <w:szCs w:val="24"/>
        </w:rPr>
        <w:fldChar w:fldCharType="begin"/>
      </w:r>
      <w:r w:rsidR="00FE7B3B" w:rsidRPr="00FE7B3B">
        <w:rPr>
          <w:rFonts w:ascii="Times New Roman" w:hAnsi="Times New Roman" w:cs="Times New Roman"/>
          <w:sz w:val="24"/>
          <w:szCs w:val="24"/>
        </w:rPr>
        <w:instrText xml:space="preserve"> REF _Ref232597109 \r \h  \* MERGEFORMAT </w:instrText>
      </w:r>
      <w:r w:rsidR="00FE7B3B" w:rsidRPr="00FE7B3B">
        <w:rPr>
          <w:rFonts w:ascii="Times New Roman" w:hAnsi="Times New Roman" w:cs="Times New Roman"/>
          <w:sz w:val="24"/>
          <w:szCs w:val="24"/>
        </w:rPr>
      </w:r>
      <w:r w:rsidR="00FE7B3B" w:rsidRPr="00FE7B3B">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FE7B3B" w:rsidRPr="00FE7B3B">
        <w:rPr>
          <w:rFonts w:ascii="Times New Roman" w:hAnsi="Times New Roman" w:cs="Times New Roman"/>
          <w:sz w:val="24"/>
          <w:szCs w:val="24"/>
        </w:rPr>
        <w:fldChar w:fldCharType="end"/>
      </w:r>
      <w:r w:rsidRPr="00FE7B3B">
        <w:rPr>
          <w:rFonts w:ascii="Times New Roman" w:hAnsi="Times New Roman" w:cs="Times New Roman"/>
          <w:sz w:val="24"/>
          <w:szCs w:val="24"/>
        </w:rPr>
        <w:t>, stk</w:t>
      </w:r>
      <w:r w:rsidRPr="00796736">
        <w:rPr>
          <w:rFonts w:ascii="Times New Roman" w:hAnsi="Times New Roman" w:cs="Times New Roman"/>
          <w:sz w:val="24"/>
          <w:szCs w:val="24"/>
        </w:rPr>
        <w:t xml:space="preserve">. 2, strafbelægges, jf. lovforslagets </w:t>
      </w:r>
      <w:r w:rsidR="00FE7B3B" w:rsidRPr="00796736">
        <w:rPr>
          <w:rFonts w:ascii="Times New Roman" w:hAnsi="Times New Roman" w:cs="Times New Roman"/>
          <w:sz w:val="24"/>
          <w:szCs w:val="24"/>
        </w:rPr>
        <w:fldChar w:fldCharType="begin"/>
      </w:r>
      <w:r w:rsidR="00FE7B3B" w:rsidRPr="00796736">
        <w:rPr>
          <w:rFonts w:ascii="Times New Roman" w:hAnsi="Times New Roman" w:cs="Times New Roman"/>
          <w:sz w:val="24"/>
          <w:szCs w:val="24"/>
        </w:rPr>
        <w:instrText xml:space="preserve"> REF _Ref242963797 \r \h </w:instrText>
      </w:r>
      <w:r w:rsidR="00FE7B3B">
        <w:rPr>
          <w:rFonts w:ascii="Times New Roman" w:hAnsi="Times New Roman" w:cs="Times New Roman"/>
          <w:sz w:val="24"/>
          <w:szCs w:val="24"/>
        </w:rPr>
        <w:instrText xml:space="preserve"> \* MERGEFORMAT </w:instrText>
      </w:r>
      <w:r w:rsidR="00FE7B3B" w:rsidRPr="00796736">
        <w:rPr>
          <w:rFonts w:ascii="Times New Roman" w:hAnsi="Times New Roman" w:cs="Times New Roman"/>
          <w:sz w:val="24"/>
          <w:szCs w:val="24"/>
        </w:rPr>
      </w:r>
      <w:r w:rsidR="00FE7B3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FE7B3B" w:rsidRPr="00796736">
        <w:rPr>
          <w:rFonts w:ascii="Times New Roman" w:hAnsi="Times New Roman" w:cs="Times New Roman"/>
          <w:sz w:val="24"/>
          <w:szCs w:val="24"/>
        </w:rPr>
        <w:fldChar w:fldCharType="end"/>
      </w:r>
      <w:r w:rsidR="00FE7B3B">
        <w:rPr>
          <w:rFonts w:ascii="Times New Roman" w:hAnsi="Times New Roman" w:cs="Times New Roman"/>
          <w:sz w:val="24"/>
          <w:szCs w:val="24"/>
        </w:rPr>
        <w:t>, stk. 1, nr. 5</w:t>
      </w:r>
      <w:r w:rsidRPr="00796736">
        <w:rPr>
          <w:rFonts w:ascii="Times New Roman" w:hAnsi="Times New Roman" w:cs="Times New Roman"/>
          <w:sz w:val="24"/>
          <w:szCs w:val="24"/>
        </w:rPr>
        <w:t xml:space="preserve">.  Ansvarssubjekterne for overtrædelse af </w:t>
      </w:r>
      <w:r w:rsidR="00FE7B3B" w:rsidRPr="00FE7B3B">
        <w:rPr>
          <w:rFonts w:ascii="Times New Roman" w:hAnsi="Times New Roman" w:cs="Times New Roman"/>
          <w:sz w:val="24"/>
          <w:szCs w:val="24"/>
        </w:rPr>
        <w:fldChar w:fldCharType="begin"/>
      </w:r>
      <w:r w:rsidR="00FE7B3B" w:rsidRPr="00FE7B3B">
        <w:rPr>
          <w:rFonts w:ascii="Times New Roman" w:hAnsi="Times New Roman" w:cs="Times New Roman"/>
          <w:sz w:val="24"/>
          <w:szCs w:val="24"/>
        </w:rPr>
        <w:instrText xml:space="preserve"> REF _Ref232597109 \r \h  \* MERGEFORMAT </w:instrText>
      </w:r>
      <w:r w:rsidR="00FE7B3B" w:rsidRPr="00FE7B3B">
        <w:rPr>
          <w:rFonts w:ascii="Times New Roman" w:hAnsi="Times New Roman" w:cs="Times New Roman"/>
          <w:sz w:val="24"/>
          <w:szCs w:val="24"/>
        </w:rPr>
      </w:r>
      <w:r w:rsidR="00FE7B3B" w:rsidRPr="00FE7B3B">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FE7B3B" w:rsidRPr="00FE7B3B">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w:t>
      </w:r>
      <w:r w:rsidR="00FE7B3B">
        <w:rPr>
          <w:rFonts w:ascii="Times New Roman" w:hAnsi="Times New Roman" w:cs="Times New Roman"/>
          <w:sz w:val="24"/>
          <w:szCs w:val="24"/>
        </w:rPr>
        <w:t>2</w:t>
      </w:r>
      <w:r w:rsidRPr="00796736">
        <w:rPr>
          <w:rFonts w:ascii="Times New Roman" w:hAnsi="Times New Roman" w:cs="Times New Roman"/>
          <w:sz w:val="24"/>
          <w:szCs w:val="24"/>
        </w:rPr>
        <w:t xml:space="preserve">, er virksomheder og personer omfattet af </w:t>
      </w:r>
      <w:r w:rsidR="00FE7B3B" w:rsidRPr="00796736">
        <w:rPr>
          <w:rFonts w:ascii="Times New Roman" w:hAnsi="Times New Roman" w:cs="Times New Roman"/>
          <w:sz w:val="24"/>
          <w:szCs w:val="24"/>
          <w:lang w:eastAsia="da-DK"/>
        </w:rPr>
        <w:t>1, stk. 2, nr. 1-3</w:t>
      </w:r>
      <w:r w:rsidR="005F48B0">
        <w:rPr>
          <w:rFonts w:ascii="Times New Roman" w:hAnsi="Times New Roman" w:cs="Times New Roman"/>
          <w:sz w:val="24"/>
          <w:szCs w:val="24"/>
          <w:lang w:eastAsia="da-DK"/>
        </w:rPr>
        <w:t>,</w:t>
      </w:r>
      <w:r w:rsidR="00FE7B3B" w:rsidRPr="00796736">
        <w:rPr>
          <w:rFonts w:ascii="Times New Roman" w:hAnsi="Times New Roman" w:cs="Times New Roman"/>
          <w:sz w:val="24"/>
          <w:szCs w:val="24"/>
          <w:lang w:eastAsia="da-DK"/>
        </w:rPr>
        <w:t xml:space="preserve"> </w:t>
      </w:r>
      <w:r w:rsidR="00586D2B">
        <w:rPr>
          <w:rFonts w:ascii="Times New Roman" w:hAnsi="Times New Roman" w:cs="Times New Roman"/>
          <w:sz w:val="24"/>
          <w:szCs w:val="24"/>
          <w:lang w:eastAsia="da-DK"/>
        </w:rPr>
        <w:t>samt</w:t>
      </w:r>
      <w:r w:rsidR="00FE7B3B" w:rsidRPr="00796736">
        <w:rPr>
          <w:rFonts w:ascii="Times New Roman" w:hAnsi="Times New Roman" w:cs="Times New Roman"/>
          <w:sz w:val="24"/>
          <w:szCs w:val="24"/>
          <w:lang w:eastAsia="da-DK"/>
        </w:rPr>
        <w:t xml:space="preserve"> § 2, nr. 1-19 </w:t>
      </w:r>
      <w:r w:rsidR="00586D2B">
        <w:rPr>
          <w:rFonts w:ascii="Times New Roman" w:hAnsi="Times New Roman" w:cs="Times New Roman"/>
          <w:sz w:val="24"/>
          <w:szCs w:val="24"/>
          <w:lang w:eastAsia="da-DK"/>
        </w:rPr>
        <w:t>og</w:t>
      </w:r>
      <w:r w:rsidR="00FE7B3B" w:rsidRPr="00796736">
        <w:rPr>
          <w:rFonts w:ascii="Times New Roman" w:hAnsi="Times New Roman" w:cs="Times New Roman"/>
          <w:sz w:val="24"/>
          <w:szCs w:val="24"/>
          <w:lang w:eastAsia="da-DK"/>
        </w:rPr>
        <w:t xml:space="preserve"> 32, litra a</w:t>
      </w:r>
      <w:r w:rsidRPr="00796736">
        <w:rPr>
          <w:rFonts w:ascii="Times New Roman" w:hAnsi="Times New Roman" w:cs="Times New Roman"/>
          <w:sz w:val="24"/>
          <w:szCs w:val="24"/>
        </w:rPr>
        <w:t xml:space="preserve">, samt leverandører og underleverandører til disse. Den strafbare handling vil bestå i, at en virksomhed og person som nævnt i </w:t>
      </w:r>
      <w:r w:rsidR="00FE7B3B" w:rsidRPr="00796736">
        <w:rPr>
          <w:rFonts w:ascii="Times New Roman" w:hAnsi="Times New Roman" w:cs="Times New Roman"/>
          <w:sz w:val="24"/>
          <w:szCs w:val="24"/>
          <w:lang w:eastAsia="da-DK"/>
        </w:rPr>
        <w:t>1, stk. 2, nr. 1-3</w:t>
      </w:r>
      <w:r w:rsidR="005F48B0">
        <w:rPr>
          <w:rFonts w:ascii="Times New Roman" w:hAnsi="Times New Roman" w:cs="Times New Roman"/>
          <w:sz w:val="24"/>
          <w:szCs w:val="24"/>
          <w:lang w:eastAsia="da-DK"/>
        </w:rPr>
        <w:t>,</w:t>
      </w:r>
      <w:r w:rsidR="00FE7B3B" w:rsidRPr="00796736">
        <w:rPr>
          <w:rFonts w:ascii="Times New Roman" w:hAnsi="Times New Roman" w:cs="Times New Roman"/>
          <w:sz w:val="24"/>
          <w:szCs w:val="24"/>
          <w:lang w:eastAsia="da-DK"/>
        </w:rPr>
        <w:t xml:space="preserve"> </w:t>
      </w:r>
      <w:r w:rsidR="00586D2B">
        <w:rPr>
          <w:rFonts w:ascii="Times New Roman" w:hAnsi="Times New Roman" w:cs="Times New Roman"/>
          <w:sz w:val="24"/>
          <w:szCs w:val="24"/>
          <w:lang w:eastAsia="da-DK"/>
        </w:rPr>
        <w:t>samt</w:t>
      </w:r>
      <w:r w:rsidR="00FE7B3B" w:rsidRPr="00796736">
        <w:rPr>
          <w:rFonts w:ascii="Times New Roman" w:hAnsi="Times New Roman" w:cs="Times New Roman"/>
          <w:sz w:val="24"/>
          <w:szCs w:val="24"/>
          <w:lang w:eastAsia="da-DK"/>
        </w:rPr>
        <w:t xml:space="preserve"> § 2, nr. 1-19 </w:t>
      </w:r>
      <w:r w:rsidR="00586D2B">
        <w:rPr>
          <w:rFonts w:ascii="Times New Roman" w:hAnsi="Times New Roman" w:cs="Times New Roman"/>
          <w:sz w:val="24"/>
          <w:szCs w:val="24"/>
          <w:lang w:eastAsia="da-DK"/>
        </w:rPr>
        <w:t>og</w:t>
      </w:r>
      <w:r w:rsidR="00FE7B3B" w:rsidRPr="00796736">
        <w:rPr>
          <w:rFonts w:ascii="Times New Roman" w:hAnsi="Times New Roman" w:cs="Times New Roman"/>
          <w:sz w:val="24"/>
          <w:szCs w:val="24"/>
          <w:lang w:eastAsia="da-DK"/>
        </w:rPr>
        <w:t xml:space="preserve"> 32, litra a</w:t>
      </w:r>
      <w:r w:rsidRPr="00796736">
        <w:rPr>
          <w:rFonts w:ascii="Times New Roman" w:hAnsi="Times New Roman" w:cs="Times New Roman"/>
          <w:sz w:val="24"/>
          <w:szCs w:val="24"/>
        </w:rPr>
        <w:t xml:space="preserve">, samt leverandører og underleverandører til disse, undlader at berigtige oplysninger, der er givet til Finanstilsynet, og hvor virksomheden eller personen konstaterer, at oplysningerne ikke har været korrekte på tidspunktet for afgivelsen eller er blevet misvisende. </w:t>
      </w:r>
    </w:p>
    <w:p w14:paraId="7657DA07" w14:textId="77777777" w:rsidR="00793B8C" w:rsidRPr="00796736" w:rsidRDefault="00793B8C" w:rsidP="00A802A5">
      <w:pPr>
        <w:spacing w:line="360" w:lineRule="auto"/>
        <w:rPr>
          <w:rFonts w:ascii="Times New Roman" w:eastAsia="Times New Roman" w:hAnsi="Times New Roman" w:cs="Times New Roman"/>
          <w:iCs/>
          <w:sz w:val="24"/>
          <w:szCs w:val="24"/>
          <w:lang w:eastAsia="da-DK"/>
        </w:rPr>
      </w:pPr>
    </w:p>
    <w:p w14:paraId="27D6EC36" w14:textId="3F425126" w:rsidR="00D521CF" w:rsidRPr="00796736" w:rsidRDefault="00D521CF" w:rsidP="00A802A5">
      <w:pPr>
        <w:pStyle w:val="Undertitel"/>
      </w:pPr>
      <w:bookmarkStart w:id="2028" w:name="_Toc244879354"/>
      <w:bookmarkStart w:id="2029" w:name="_Toc244880879"/>
      <w:r w:rsidRPr="00796736">
        <w:t xml:space="preserve">Til </w:t>
      </w:r>
      <w:r w:rsidR="0092113C" w:rsidRPr="00796736">
        <w:fldChar w:fldCharType="begin"/>
      </w:r>
      <w:r w:rsidR="0092113C" w:rsidRPr="00796736">
        <w:instrText xml:space="preserve"> REF _Ref241759387 \r \h </w:instrText>
      </w:r>
      <w:r w:rsidR="00AB17CC" w:rsidRPr="00796736">
        <w:instrText xml:space="preserve"> \* MERGEFORMAT </w:instrText>
      </w:r>
      <w:r w:rsidR="0092113C" w:rsidRPr="00796736">
        <w:fldChar w:fldCharType="separate"/>
      </w:r>
      <w:r w:rsidR="008F29E5">
        <w:t>§ 58</w:t>
      </w:r>
      <w:bookmarkEnd w:id="2028"/>
      <w:bookmarkEnd w:id="2029"/>
      <w:r w:rsidR="0092113C" w:rsidRPr="00796736">
        <w:fldChar w:fldCharType="end"/>
      </w:r>
      <w:r w:rsidRPr="00796736">
        <w:t xml:space="preserve"> </w:t>
      </w:r>
    </w:p>
    <w:p w14:paraId="5EAD18C5" w14:textId="4C56E199" w:rsidR="001D088C" w:rsidRPr="00796736" w:rsidRDefault="001D088C" w:rsidP="00A802A5">
      <w:pPr>
        <w:spacing w:line="360" w:lineRule="auto"/>
        <w:rPr>
          <w:rFonts w:ascii="Times New Roman" w:hAnsi="Times New Roman" w:cs="Times New Roman"/>
          <w:sz w:val="24"/>
          <w:szCs w:val="24"/>
        </w:rPr>
      </w:pPr>
      <w:bookmarkStart w:id="2030" w:name="x_stilling"/>
      <w:bookmarkStart w:id="2031" w:name="adresseET"/>
      <w:bookmarkStart w:id="2032" w:name="adresseTO"/>
      <w:bookmarkStart w:id="2033" w:name="adresseTRE"/>
      <w:bookmarkStart w:id="2034" w:name="postnr"/>
      <w:bookmarkStart w:id="2035" w:name="by"/>
      <w:bookmarkStart w:id="2036" w:name="land"/>
      <w:bookmarkEnd w:id="2030"/>
      <w:bookmarkEnd w:id="2031"/>
      <w:bookmarkEnd w:id="2032"/>
      <w:bookmarkEnd w:id="2033"/>
      <w:bookmarkEnd w:id="2034"/>
      <w:bookmarkEnd w:id="2035"/>
      <w:bookmarkEnd w:id="2036"/>
      <w:r w:rsidRPr="00796736">
        <w:rPr>
          <w:rFonts w:ascii="Times New Roman" w:hAnsi="Times New Roman" w:cs="Times New Roman"/>
          <w:sz w:val="24"/>
          <w:szCs w:val="24"/>
        </w:rPr>
        <w:t>Det fremgår af § 49, stk. 7, i</w:t>
      </w:r>
      <w:r w:rsidR="00974CC2">
        <w:rPr>
          <w:rFonts w:ascii="Times New Roman" w:hAnsi="Times New Roman" w:cs="Times New Roman"/>
          <w:sz w:val="24"/>
          <w:szCs w:val="24"/>
        </w:rPr>
        <w:t xml:space="preserve"> den gældende</w:t>
      </w:r>
      <w:r w:rsidRPr="00796736">
        <w:rPr>
          <w:rFonts w:ascii="Times New Roman" w:hAnsi="Times New Roman" w:cs="Times New Roman"/>
          <w:sz w:val="24"/>
          <w:szCs w:val="24"/>
        </w:rPr>
        <w:t xml:space="preserve"> hvidvasklov, at Finanstilsynet kan fastsætte nærmere regler om indberetning af oplysninger, der er nødvendige til brug for Finanstilsynets risikovurdering af virksomheder og personer omfattet af hvidvaskloven. </w:t>
      </w:r>
    </w:p>
    <w:p w14:paraId="0F0FBD0F" w14:textId="77777777" w:rsidR="001D088C" w:rsidRPr="00796736" w:rsidRDefault="001D088C" w:rsidP="00A802A5">
      <w:pPr>
        <w:spacing w:line="360" w:lineRule="auto"/>
        <w:rPr>
          <w:rFonts w:ascii="Times New Roman" w:hAnsi="Times New Roman" w:cs="Times New Roman"/>
          <w:sz w:val="24"/>
          <w:szCs w:val="24"/>
        </w:rPr>
      </w:pPr>
    </w:p>
    <w:p w14:paraId="319C372D" w14:textId="77777777" w:rsidR="001D088C" w:rsidRPr="00796736" w:rsidRDefault="001D08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Denne bemyndigelse er udmøntet i bekendtgørelse nr. 1062 af 17. september 2024 om indberetning af oplysninger til brug for Finanstilsynets risikovurdering af virksomheder og personer omfattet af hvidvaskloven. Det fremgår heraf, at virksomheder og personer, herunder filialer, distributører og agenter af disse her i landet, omfattet af hvidvasklovens § 1, stk. 1, nr. 1, 2, 5, 6, 11, 12, 18 og 22, skal indberette oplysninger til Finanstilsynet kvartalsvis. For virksomheder og personer, herunder filialer, distributører og agenter af disse her i landet, der er omfattet af hvidvasklovens § 1, stk. 1, nr. 3, 4 og 7-10, skal disse indberette oplysninger til Finanstilsynet årligt. </w:t>
      </w:r>
    </w:p>
    <w:p w14:paraId="60188299" w14:textId="77777777" w:rsidR="001D088C" w:rsidRPr="00796736" w:rsidRDefault="001D088C" w:rsidP="00A802A5">
      <w:pPr>
        <w:spacing w:line="360" w:lineRule="auto"/>
        <w:rPr>
          <w:rFonts w:ascii="Times New Roman" w:hAnsi="Times New Roman" w:cs="Times New Roman"/>
          <w:sz w:val="24"/>
          <w:szCs w:val="24"/>
        </w:rPr>
      </w:pPr>
    </w:p>
    <w:p w14:paraId="50FD8B9E" w14:textId="77777777" w:rsidR="001D088C" w:rsidRPr="00796736" w:rsidRDefault="001D08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oplysninger, som de omfattede virksomheder og personer er pålagt at indberette, er f.eks. virksomhedens vurdering af dens iboende risiko for at blive misbrugt til hvidvask eller terrorfinansiering, antal erhvervskunder, der er knyttet til brancher, som den indberetningspligtige har klassificeret som højrisikobrancher, antal underretninger til Hvidvasksekretariatet, samlet beløb af modtagne kontanter, m.v. </w:t>
      </w:r>
    </w:p>
    <w:p w14:paraId="768EC9CE" w14:textId="77777777" w:rsidR="00825671" w:rsidRPr="00796736" w:rsidRDefault="00825671" w:rsidP="00A802A5">
      <w:pPr>
        <w:spacing w:line="360" w:lineRule="auto"/>
        <w:rPr>
          <w:rFonts w:ascii="Times New Roman" w:hAnsi="Times New Roman" w:cs="Times New Roman"/>
          <w:sz w:val="24"/>
          <w:szCs w:val="24"/>
        </w:rPr>
      </w:pPr>
    </w:p>
    <w:p w14:paraId="29E2172C" w14:textId="3E1E293F" w:rsidR="001D088C" w:rsidRPr="00796736" w:rsidRDefault="001D08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FE7B3B">
        <w:rPr>
          <w:rFonts w:ascii="Times New Roman" w:hAnsi="Times New Roman" w:cs="Times New Roman"/>
          <w:i/>
          <w:iCs/>
          <w:sz w:val="24"/>
          <w:szCs w:val="24"/>
        </w:rPr>
        <w:fldChar w:fldCharType="begin"/>
      </w:r>
      <w:r w:rsidRPr="00FE7B3B">
        <w:rPr>
          <w:rFonts w:ascii="Times New Roman" w:hAnsi="Times New Roman" w:cs="Times New Roman"/>
          <w:i/>
          <w:iCs/>
          <w:sz w:val="24"/>
          <w:szCs w:val="24"/>
        </w:rPr>
        <w:instrText xml:space="preserve"> REF _Ref241759387 \r \h </w:instrText>
      </w:r>
      <w:r w:rsidR="00AB17CC" w:rsidRPr="00FE7B3B">
        <w:rPr>
          <w:rFonts w:ascii="Times New Roman" w:hAnsi="Times New Roman" w:cs="Times New Roman"/>
          <w:i/>
          <w:iCs/>
          <w:sz w:val="24"/>
          <w:szCs w:val="24"/>
        </w:rPr>
        <w:instrText xml:space="preserve"> \* MERGEFORMAT </w:instrText>
      </w:r>
      <w:r w:rsidRPr="00FE7B3B">
        <w:rPr>
          <w:rFonts w:ascii="Times New Roman" w:hAnsi="Times New Roman" w:cs="Times New Roman"/>
          <w:i/>
          <w:iCs/>
          <w:sz w:val="24"/>
          <w:szCs w:val="24"/>
        </w:rPr>
      </w:r>
      <w:r w:rsidRPr="00FE7B3B">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58</w:t>
      </w:r>
      <w:r w:rsidRPr="00FE7B3B">
        <w:rPr>
          <w:rFonts w:ascii="Times New Roman" w:hAnsi="Times New Roman" w:cs="Times New Roman"/>
          <w:i/>
          <w:iCs/>
          <w:sz w:val="24"/>
          <w:szCs w:val="24"/>
        </w:rPr>
        <w:fldChar w:fldCharType="end"/>
      </w:r>
      <w:r w:rsidRPr="00FE7B3B">
        <w:rPr>
          <w:rFonts w:ascii="Times New Roman" w:hAnsi="Times New Roman" w:cs="Times New Roman"/>
          <w:i/>
          <w:iCs/>
          <w:sz w:val="24"/>
          <w:szCs w:val="24"/>
        </w:rPr>
        <w:t>,</w:t>
      </w:r>
      <w:r w:rsidRPr="00796736">
        <w:rPr>
          <w:rFonts w:ascii="Times New Roman" w:hAnsi="Times New Roman" w:cs="Times New Roman"/>
          <w:sz w:val="24"/>
          <w:szCs w:val="24"/>
        </w:rPr>
        <w:t xml:space="preserve"> at Finanstilsynet kan fastsætte nærmere regler om indberetning af oplysninger, der er nødvendige til brug for Finanstilsynets risikovurdering af virksomheder og personer omfattet af </w:t>
      </w:r>
      <w:r w:rsidR="008F309B" w:rsidRPr="00796736">
        <w:rPr>
          <w:rFonts w:ascii="Times New Roman" w:eastAsia="Times New Roman" w:hAnsi="Times New Roman" w:cs="Times New Roman"/>
          <w:sz w:val="24"/>
          <w:szCs w:val="24"/>
          <w:lang w:eastAsia="da-DK"/>
        </w:rPr>
        <w:t xml:space="preserve">§ 1, stk. 2, nr. 1-3, </w:t>
      </w:r>
      <w:r w:rsidR="00793B8C">
        <w:rPr>
          <w:rFonts w:ascii="Times New Roman" w:eastAsia="Times New Roman" w:hAnsi="Times New Roman" w:cs="Times New Roman"/>
          <w:sz w:val="24"/>
          <w:szCs w:val="24"/>
          <w:lang w:eastAsia="da-DK"/>
        </w:rPr>
        <w:t>samt</w:t>
      </w:r>
      <w:r w:rsidR="008F309B" w:rsidRPr="00796736">
        <w:rPr>
          <w:rFonts w:ascii="Times New Roman" w:eastAsia="Times New Roman" w:hAnsi="Times New Roman" w:cs="Times New Roman"/>
          <w:sz w:val="24"/>
          <w:szCs w:val="24"/>
          <w:lang w:eastAsia="da-DK"/>
        </w:rPr>
        <w:t xml:space="preserve"> § 2, nr. 1-19 og 32, litra a. </w:t>
      </w:r>
    </w:p>
    <w:p w14:paraId="0FF94617" w14:textId="77777777" w:rsidR="001D088C" w:rsidRPr="00796736" w:rsidRDefault="001D088C" w:rsidP="00A802A5">
      <w:pPr>
        <w:spacing w:line="360" w:lineRule="auto"/>
        <w:rPr>
          <w:rFonts w:ascii="Times New Roman" w:hAnsi="Times New Roman" w:cs="Times New Roman"/>
          <w:sz w:val="24"/>
          <w:szCs w:val="24"/>
        </w:rPr>
      </w:pPr>
    </w:p>
    <w:p w14:paraId="619FC69A" w14:textId="77777777" w:rsidR="001D088C" w:rsidRPr="00796736" w:rsidRDefault="001D08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bestemmelsen er at sikre, at Finanstilsynet har adgang til data, der er retvisende og opdateret, hvor dette understøtter Finanstilsynet i risikovurderinger af forpligtede enheder, og hermed sikrer et effektivt og risikobaseret tilsyn.  </w:t>
      </w:r>
    </w:p>
    <w:p w14:paraId="507E6544" w14:textId="77777777" w:rsidR="001D088C" w:rsidRPr="00796736" w:rsidRDefault="001D088C" w:rsidP="00A802A5">
      <w:pPr>
        <w:spacing w:line="360" w:lineRule="auto"/>
        <w:rPr>
          <w:rFonts w:ascii="Times New Roman" w:hAnsi="Times New Roman" w:cs="Times New Roman"/>
          <w:sz w:val="24"/>
          <w:szCs w:val="24"/>
        </w:rPr>
      </w:pPr>
    </w:p>
    <w:p w14:paraId="4992F70F" w14:textId="77842F7F" w:rsidR="001D088C" w:rsidRPr="00796736" w:rsidRDefault="001D08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medfører, at Finanstilsynet vil kunne fastsætte nærmere regler om indberetning af oplysninger til brug for Finanstilsynets risikovurderinger af virksomheder og personer omfattet af </w:t>
      </w:r>
      <w:r w:rsidR="008F309B" w:rsidRPr="00796736">
        <w:rPr>
          <w:rFonts w:ascii="Times New Roman" w:eastAsia="Times New Roman" w:hAnsi="Times New Roman" w:cs="Times New Roman"/>
          <w:sz w:val="24"/>
          <w:szCs w:val="24"/>
          <w:lang w:eastAsia="da-DK"/>
        </w:rPr>
        <w:t xml:space="preserve">§ 1, stk. 2, nr. 1-3, </w:t>
      </w:r>
      <w:r w:rsidR="00793B8C">
        <w:rPr>
          <w:rFonts w:ascii="Times New Roman" w:eastAsia="Times New Roman" w:hAnsi="Times New Roman" w:cs="Times New Roman"/>
          <w:sz w:val="24"/>
          <w:szCs w:val="24"/>
          <w:lang w:eastAsia="da-DK"/>
        </w:rPr>
        <w:t>samt</w:t>
      </w:r>
      <w:r w:rsidR="008F309B" w:rsidRPr="00796736">
        <w:rPr>
          <w:rFonts w:ascii="Times New Roman" w:eastAsia="Times New Roman" w:hAnsi="Times New Roman" w:cs="Times New Roman"/>
          <w:sz w:val="24"/>
          <w:szCs w:val="24"/>
          <w:lang w:eastAsia="da-DK"/>
        </w:rPr>
        <w:t xml:space="preserve"> § 2, nr. 1-19 og 32, litra a</w:t>
      </w:r>
      <w:r w:rsidRPr="00796736">
        <w:rPr>
          <w:rFonts w:ascii="Times New Roman" w:hAnsi="Times New Roman" w:cs="Times New Roman"/>
          <w:sz w:val="24"/>
          <w:szCs w:val="24"/>
        </w:rPr>
        <w:t xml:space="preserve">. Finanstilsynet vil løbende kunne justere reglerne for indberetningen, hvor dette vil ske ud fra en risikobaseret tilgang, herunder ved vurdering af indberetningsfrekvens og hvilke oplysninger der vurderes relevante for Finanstilsynets udarbejdelse af risikovurderinger. Ved vurderingen vil Finanstilsynet bl.a. skulle tage hensyn til proportionalitet mellem omfanget af de oplysninger, som Finanstilsynet vil pålægge virksomhederne og personerne at indberette, afhængigt af virksomheden eller personens størrelse og kompleksitet. </w:t>
      </w:r>
    </w:p>
    <w:p w14:paraId="6A0B0BBB" w14:textId="77777777" w:rsidR="001D088C" w:rsidRPr="00796736" w:rsidRDefault="001D088C" w:rsidP="00A802A5">
      <w:pPr>
        <w:spacing w:line="360" w:lineRule="auto"/>
        <w:rPr>
          <w:rFonts w:ascii="Times New Roman" w:hAnsi="Times New Roman" w:cs="Times New Roman"/>
          <w:sz w:val="24"/>
          <w:szCs w:val="24"/>
        </w:rPr>
      </w:pPr>
    </w:p>
    <w:p w14:paraId="261CD09E" w14:textId="77777777" w:rsidR="001D088C" w:rsidRPr="00796736" w:rsidRDefault="001D088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skal ses i sammenhæng med artikel 40, stk. 2, i 6. hvidvaskdirektiv, hvoraf det følger, at AMLA udarbejder udkast til reguleringsmæssige tekniske standarder om benchmarks og metode for vurdering og klassificering af forpligtede enheders iboende risikoprofil og residualrisikoprofil samt om hyppigheden for revision af sådanne risikoprofiler. Bemyndigelsen vil give Finanstilsynet mulighed for at fastsætte og løbende tilpasse indberetningskravene, så de oplysninger, der indberettes, understøtter Finanstilsynets vurdering og klassificering af de omfattede virksomheders og personers risikoprofil. </w:t>
      </w:r>
    </w:p>
    <w:p w14:paraId="7B3373CB" w14:textId="77777777" w:rsidR="001D088C" w:rsidRPr="00796736" w:rsidRDefault="001D088C" w:rsidP="00A802A5">
      <w:pPr>
        <w:spacing w:line="360" w:lineRule="auto"/>
        <w:rPr>
          <w:rFonts w:ascii="Times New Roman" w:hAnsi="Times New Roman" w:cs="Times New Roman"/>
          <w:sz w:val="24"/>
          <w:szCs w:val="24"/>
        </w:rPr>
      </w:pPr>
    </w:p>
    <w:p w14:paraId="724D6A3B" w14:textId="77777777" w:rsidR="00974CC2" w:rsidRPr="00974CC2" w:rsidRDefault="00974CC2" w:rsidP="00974CC2">
      <w:pPr>
        <w:spacing w:line="360" w:lineRule="auto"/>
        <w:rPr>
          <w:rFonts w:ascii="Times New Roman" w:hAnsi="Times New Roman" w:cs="Times New Roman"/>
          <w:sz w:val="24"/>
          <w:szCs w:val="24"/>
        </w:rPr>
      </w:pPr>
      <w:r w:rsidRPr="00974CC2">
        <w:rPr>
          <w:rFonts w:ascii="Times New Roman" w:hAnsi="Times New Roman" w:cs="Times New Roman"/>
          <w:sz w:val="24"/>
          <w:szCs w:val="24"/>
        </w:rPr>
        <w:t xml:space="preserve">Det foreslås, at indberetningsfrekvensen fastsættes risikobaseret. Det forventes videreført med bemyndigelsen, at oplysningerne vil skulle indberettes med et bestemt tidsinterval og i øvrigt på anmodning fra Finanstilsynet samt på en måde, der fastsættes nærmere af Finanstilsynet. Det er hensigten, at bemyndigelsen udmøntes med en videreførelse af de nuværende indberetningsfrekvenser. hvorefter de mest centrale og risikofyldte aktører, såsom pengeinstitutter, realkreditinstitutter, valutavekslingsvirksomheder og udbydere af kryptoaktivtjenester, skal indberette til Finanstilsynet kvartalsvis, mens øvrige aktører skal indberette årligt. Det er herudover forventningen, at nye virksomhedstyper, herunder finansielle og ikkefinansielle holdingselskaber med blandet aktivitet, visse kreditformidlere og crowdfundingtjenesteudbydere og crowdfundingformidlere mm., som udgangspunkt vil blive omfattet af et krav om årlig indberetning til Finanstilsynet. </w:t>
      </w:r>
    </w:p>
    <w:p w14:paraId="5011DD82" w14:textId="77777777" w:rsidR="003D51C0" w:rsidRPr="00796736" w:rsidRDefault="003D51C0" w:rsidP="00A802A5">
      <w:pPr>
        <w:spacing w:line="360" w:lineRule="auto"/>
        <w:rPr>
          <w:rFonts w:ascii="Times New Roman" w:hAnsi="Times New Roman" w:cs="Times New Roman"/>
          <w:sz w:val="24"/>
          <w:szCs w:val="24"/>
        </w:rPr>
      </w:pPr>
    </w:p>
    <w:p w14:paraId="61E0C8AF" w14:textId="63A0B3B0" w:rsidR="003D51C0" w:rsidRPr="00796736" w:rsidRDefault="003D51C0" w:rsidP="00A802A5">
      <w:pPr>
        <w:pStyle w:val="Undertitel"/>
      </w:pPr>
      <w:bookmarkStart w:id="2037" w:name="_Toc232109390"/>
      <w:bookmarkStart w:id="2038" w:name="_Toc244879355"/>
      <w:bookmarkStart w:id="2039" w:name="_Toc244880880"/>
      <w:r w:rsidRPr="00796736">
        <w:t xml:space="preserve">Til </w:t>
      </w:r>
      <w:r w:rsidR="00465705" w:rsidRPr="00796736">
        <w:fldChar w:fldCharType="begin"/>
      </w:r>
      <w:r w:rsidR="00465705" w:rsidRPr="00796736">
        <w:instrText xml:space="preserve"> REF _Ref232597126 \r \h </w:instrText>
      </w:r>
      <w:r w:rsidR="00967618" w:rsidRPr="00796736">
        <w:instrText xml:space="preserve"> \* MERGEFORMAT </w:instrText>
      </w:r>
      <w:r w:rsidR="00465705" w:rsidRPr="00796736">
        <w:fldChar w:fldCharType="separate"/>
      </w:r>
      <w:r w:rsidR="008F29E5">
        <w:t>§ 59</w:t>
      </w:r>
      <w:bookmarkEnd w:id="2038"/>
      <w:bookmarkEnd w:id="2039"/>
      <w:r w:rsidR="00465705" w:rsidRPr="00796736">
        <w:fldChar w:fldCharType="end"/>
      </w:r>
      <w:r w:rsidRPr="00796736">
        <w:t xml:space="preserve"> </w:t>
      </w:r>
      <w:bookmarkEnd w:id="2037"/>
    </w:p>
    <w:p w14:paraId="322EB446" w14:textId="5D7153EB"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49, stk. 3, har Finanstilsynet mulighed for uden retskendelse at få adgang til de i </w:t>
      </w:r>
      <w:r w:rsidR="00860D70" w:rsidRPr="00796736">
        <w:rPr>
          <w:rFonts w:ascii="Times New Roman" w:hAnsi="Times New Roman" w:cs="Times New Roman"/>
          <w:sz w:val="24"/>
          <w:szCs w:val="24"/>
        </w:rPr>
        <w:t xml:space="preserve">§ 49, </w:t>
      </w:r>
      <w:r w:rsidRPr="00796736">
        <w:rPr>
          <w:rFonts w:ascii="Times New Roman" w:hAnsi="Times New Roman" w:cs="Times New Roman"/>
          <w:sz w:val="24"/>
          <w:szCs w:val="24"/>
        </w:rPr>
        <w:t>stk. 1, nævnte virksomheder og personers lokaler, herunder de lokaler, hvorfra der udøves filialvirksomhed.</w:t>
      </w:r>
    </w:p>
    <w:p w14:paraId="44C6AD1B" w14:textId="77777777" w:rsidR="003D51C0" w:rsidRPr="00796736" w:rsidRDefault="003D51C0" w:rsidP="00A802A5">
      <w:pPr>
        <w:spacing w:line="360" w:lineRule="auto"/>
        <w:rPr>
          <w:rFonts w:ascii="Times New Roman" w:hAnsi="Times New Roman" w:cs="Times New Roman"/>
          <w:sz w:val="24"/>
          <w:szCs w:val="24"/>
        </w:rPr>
      </w:pPr>
    </w:p>
    <w:p w14:paraId="14EBD02F"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4, kan Finanstilsynet til enhver tid mod behørig legitimation uden retskendelse få adgang til en leverandør eller underleverandør med henblik på indhentelse af oplysninger om den outsourcede aktivitet.</w:t>
      </w:r>
    </w:p>
    <w:p w14:paraId="359E59B7" w14:textId="77777777" w:rsidR="003D51C0" w:rsidRPr="00796736" w:rsidRDefault="003D51C0" w:rsidP="00A802A5">
      <w:pPr>
        <w:spacing w:line="360" w:lineRule="auto"/>
        <w:rPr>
          <w:rFonts w:ascii="Times New Roman" w:hAnsi="Times New Roman" w:cs="Times New Roman"/>
          <w:sz w:val="24"/>
          <w:szCs w:val="24"/>
        </w:rPr>
      </w:pPr>
    </w:p>
    <w:p w14:paraId="16E495A1"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49, stk. 5, kan</w:t>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Finanstilsynet kræve at få adgang til alle oplysninger, herunder regnskaber og regnskabsmateriale, udskrift af bøger, andre forretningspapirer og elektronisk lagrede data, som skønnes nødvendige for Finanstilsynets afgørelse af, om en person eller virksomhed er omfattet af bestemmelserne i denne lov.</w:t>
      </w:r>
    </w:p>
    <w:p w14:paraId="5A4CF44A" w14:textId="77777777" w:rsidR="003D51C0" w:rsidRPr="00796736" w:rsidRDefault="003D51C0" w:rsidP="00A802A5">
      <w:pPr>
        <w:spacing w:line="360" w:lineRule="auto"/>
        <w:rPr>
          <w:rFonts w:ascii="Times New Roman" w:hAnsi="Times New Roman" w:cs="Times New Roman"/>
          <w:sz w:val="24"/>
          <w:szCs w:val="24"/>
        </w:rPr>
      </w:pPr>
    </w:p>
    <w:p w14:paraId="55449A91" w14:textId="034D8E95"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Finanstilsynet til enhver tid mod behørig legitimation uden retskendelse kan få adgang til virksomheder og personer omfattet </w:t>
      </w:r>
      <w:r w:rsidR="00275C91" w:rsidRPr="00796736">
        <w:rPr>
          <w:rFonts w:ascii="Times New Roman" w:eastAsia="Times New Roman" w:hAnsi="Times New Roman" w:cs="Times New Roman"/>
          <w:sz w:val="24"/>
          <w:szCs w:val="24"/>
          <w:lang w:eastAsia="da-DK"/>
        </w:rPr>
        <w:t xml:space="preserve">af </w:t>
      </w:r>
      <w:r w:rsidR="00275C91" w:rsidRPr="00796736">
        <w:rPr>
          <w:rFonts w:ascii="Times New Roman" w:eastAsia="Times New Roman" w:hAnsi="Times New Roman" w:cs="Times New Roman"/>
          <w:sz w:val="24"/>
          <w:szCs w:val="24"/>
          <w:lang w:eastAsia="da-DK"/>
        </w:rPr>
        <w:fldChar w:fldCharType="begin"/>
      </w:r>
      <w:r w:rsidR="00275C91" w:rsidRPr="00796736">
        <w:rPr>
          <w:rFonts w:ascii="Times New Roman" w:eastAsia="Times New Roman" w:hAnsi="Times New Roman" w:cs="Times New Roman"/>
          <w:sz w:val="24"/>
          <w:szCs w:val="24"/>
          <w:lang w:eastAsia="da-DK"/>
        </w:rPr>
        <w:instrText xml:space="preserve"> REF _Ref232597109 \r \h  \* MERGEFORMAT </w:instrText>
      </w:r>
      <w:r w:rsidR="00275C91" w:rsidRPr="00796736">
        <w:rPr>
          <w:rFonts w:ascii="Times New Roman" w:eastAsia="Times New Roman" w:hAnsi="Times New Roman" w:cs="Times New Roman"/>
          <w:sz w:val="24"/>
          <w:szCs w:val="24"/>
          <w:lang w:eastAsia="da-DK"/>
        </w:rPr>
      </w:r>
      <w:r w:rsidR="00275C91"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57</w:t>
      </w:r>
      <w:r w:rsidR="00275C91" w:rsidRPr="00796736">
        <w:rPr>
          <w:rFonts w:ascii="Times New Roman" w:eastAsia="Times New Roman" w:hAnsi="Times New Roman" w:cs="Times New Roman"/>
          <w:sz w:val="24"/>
          <w:szCs w:val="24"/>
          <w:lang w:eastAsia="da-DK"/>
        </w:rPr>
        <w:fldChar w:fldCharType="end"/>
      </w:r>
      <w:r w:rsidR="00275C91" w:rsidRPr="00796736">
        <w:rPr>
          <w:rFonts w:ascii="Times New Roman" w:eastAsia="Times New Roman" w:hAnsi="Times New Roman" w:cs="Times New Roman"/>
          <w:sz w:val="24"/>
          <w:szCs w:val="24"/>
          <w:lang w:eastAsia="da-DK"/>
        </w:rPr>
        <w:t>, stk. 1</w:t>
      </w:r>
      <w:r w:rsidRPr="00796736">
        <w:rPr>
          <w:rFonts w:ascii="Times New Roman" w:hAnsi="Times New Roman" w:cs="Times New Roman"/>
          <w:sz w:val="24"/>
          <w:szCs w:val="24"/>
        </w:rPr>
        <w:t>, med henblik på indhentelse af oplysninger, herunder ved inspektioner.</w:t>
      </w:r>
    </w:p>
    <w:p w14:paraId="43EA84CB" w14:textId="77777777" w:rsidR="003D51C0" w:rsidRPr="00796736" w:rsidRDefault="003D51C0" w:rsidP="00A802A5">
      <w:pPr>
        <w:spacing w:line="360" w:lineRule="auto"/>
        <w:rPr>
          <w:rFonts w:ascii="Times New Roman" w:hAnsi="Times New Roman" w:cs="Times New Roman"/>
          <w:sz w:val="24"/>
          <w:szCs w:val="24"/>
        </w:rPr>
      </w:pPr>
    </w:p>
    <w:p w14:paraId="16F52A9A" w14:textId="4978CFDB"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videreføre § 49, stk. 3</w:t>
      </w:r>
      <w:r w:rsidR="00944176" w:rsidRPr="00796736">
        <w:rPr>
          <w:rFonts w:ascii="Times New Roman" w:hAnsi="Times New Roman" w:cs="Times New Roman"/>
          <w:sz w:val="24"/>
          <w:szCs w:val="24"/>
        </w:rPr>
        <w:t>,</w:t>
      </w:r>
      <w:r w:rsidRPr="00796736">
        <w:rPr>
          <w:rFonts w:ascii="Times New Roman" w:hAnsi="Times New Roman" w:cs="Times New Roman"/>
          <w:sz w:val="24"/>
          <w:szCs w:val="24"/>
        </w:rPr>
        <w:t xml:space="preserve"> i hvidvaskloven. </w:t>
      </w:r>
      <w:r w:rsidR="00275C91" w:rsidRPr="00796736">
        <w:rPr>
          <w:rFonts w:ascii="Times New Roman" w:hAnsi="Times New Roman" w:cs="Times New Roman"/>
          <w:sz w:val="24"/>
          <w:szCs w:val="24"/>
        </w:rPr>
        <w:t>Der er ikke tilsigtet materielle ændringer med den foreslåede bestemmelse.</w:t>
      </w:r>
    </w:p>
    <w:p w14:paraId="56701B07" w14:textId="77777777" w:rsidR="003D51C0" w:rsidRPr="00796736" w:rsidRDefault="003D51C0" w:rsidP="00A802A5">
      <w:pPr>
        <w:spacing w:line="360" w:lineRule="auto"/>
        <w:rPr>
          <w:rFonts w:ascii="Times New Roman" w:hAnsi="Times New Roman" w:cs="Times New Roman"/>
          <w:sz w:val="24"/>
          <w:szCs w:val="24"/>
        </w:rPr>
      </w:pPr>
    </w:p>
    <w:p w14:paraId="25C9C784"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i overensstemmelse med den traditionelle opfattelse af, at Finanstilsynets adgang til at foretage inspektionsbesøg er omfattet af undtagelsen i grundlovens § 72 om boligens ukrænkelighed. Bestemmelsen har baggrund i den redegørelse, som Justitsministeriet og Miljø- og Energiministeriet den 17. december 1996 afgav til Folketinget om bl.a. udviklingen i forvaltningsmyndigheders adgang til fast ejendom uden retskendelse og følger de i redegørelsen fastlagte retningslinjer for udformningen af bestemmelser om adgang uden retskendelse. Denne adgang for Finanstilsynet svarer til den adgang, som Finanstilsynet har efter en lang række tilsynslove på Finanstilsynets område, herunder § 347, stk. 2, i lov om finansiel virksomhed.</w:t>
      </w:r>
    </w:p>
    <w:p w14:paraId="48F7E2FA" w14:textId="77777777" w:rsidR="003D51C0" w:rsidRPr="00796736" w:rsidRDefault="003D51C0" w:rsidP="00A802A5">
      <w:pPr>
        <w:spacing w:line="360" w:lineRule="auto"/>
        <w:rPr>
          <w:rFonts w:ascii="Times New Roman" w:hAnsi="Times New Roman" w:cs="Times New Roman"/>
          <w:sz w:val="24"/>
          <w:szCs w:val="24"/>
        </w:rPr>
      </w:pPr>
    </w:p>
    <w:p w14:paraId="68CB6A5C" w14:textId="054F42D7" w:rsidR="003D51C0" w:rsidRPr="00796736" w:rsidRDefault="003D51C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vil indebære, at Finanstilsynet, som det er tilfældet i dag, kan gennemføre inspektionsbesøg uden retskendelse, når det er nødvendigt som led i sin tilsyns-, kontrol- og overvågningsvirksomhed. Kontrolbesøget vil kunne omfatte lokaliteter, herunder erhvervslokaler, lagerfaciliteter mv., hvorfra der drives erhverv, og således ikke til private boliger</w:t>
      </w:r>
      <w:r w:rsidR="00275C91" w:rsidRPr="00796736">
        <w:rPr>
          <w:rFonts w:ascii="Times New Roman" w:eastAsia="Times New Roman" w:hAnsi="Times New Roman" w:cs="Times New Roman"/>
          <w:iCs/>
          <w:sz w:val="24"/>
          <w:szCs w:val="24"/>
          <w:lang w:eastAsia="da-DK"/>
        </w:rPr>
        <w:t xml:space="preserve">. I </w:t>
      </w:r>
      <w:r w:rsidR="00275C91" w:rsidRPr="00796736">
        <w:rPr>
          <w:rFonts w:ascii="Times New Roman" w:hAnsi="Times New Roman" w:cs="Times New Roman"/>
          <w:sz w:val="24"/>
          <w:szCs w:val="24"/>
        </w:rPr>
        <w:t>tilfælde, hvor en virksomhed er af så begrænset størrelse eller aktiviteten udgør et sådant omfang, at udøvelsen af forretningen sker i et privat hjem, vil Finanstilsynet dog kunne få adgang til den del af boligen, hvorfra administrationen af virksomheden eller aktiviteten foregår</w:t>
      </w:r>
      <w:r w:rsidRPr="00796736">
        <w:rPr>
          <w:rFonts w:ascii="Times New Roman" w:eastAsia="Times New Roman" w:hAnsi="Times New Roman" w:cs="Times New Roman"/>
          <w:iCs/>
          <w:sz w:val="24"/>
          <w:szCs w:val="24"/>
          <w:lang w:eastAsia="da-DK"/>
        </w:rPr>
        <w:t xml:space="preserve">. Der vil ved inspektionsbesøg efter den foreslåede bestemmelse, som gennemføres uden virksomhedens eller personens samtykke, være tale om en husundersøgelse omfattet af grundlovens § 72. </w:t>
      </w:r>
    </w:p>
    <w:p w14:paraId="5EBC2795" w14:textId="77777777" w:rsidR="003D51C0" w:rsidRPr="00796736" w:rsidRDefault="003D51C0" w:rsidP="00A802A5">
      <w:pPr>
        <w:spacing w:line="360" w:lineRule="auto"/>
        <w:rPr>
          <w:rFonts w:ascii="Times New Roman" w:eastAsia="Times New Roman" w:hAnsi="Times New Roman" w:cs="Times New Roman"/>
          <w:iCs/>
          <w:sz w:val="24"/>
          <w:szCs w:val="24"/>
          <w:lang w:eastAsia="da-DK"/>
        </w:rPr>
      </w:pPr>
    </w:p>
    <w:p w14:paraId="73476900" w14:textId="6A5399FF" w:rsidR="003D51C0" w:rsidRPr="00796736" w:rsidRDefault="003D51C0"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Den foreslåede bestemmelse indebærer</w:t>
      </w:r>
      <w:r w:rsidR="00275C91" w:rsidRPr="00796736">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t xml:space="preserve"> som det er tilfældet i dag, at</w:t>
      </w:r>
      <w:r w:rsidRPr="00796736">
        <w:rPr>
          <w:rFonts w:ascii="Times New Roman" w:hAnsi="Times New Roman" w:cs="Times New Roman"/>
          <w:sz w:val="24"/>
          <w:szCs w:val="24"/>
        </w:rPr>
        <w:t xml:space="preserve"> Finanstilsynet har mulighed for at foretage inspektion uden forudgående varsling. Denne hjemmel vil kunne anvendes af Finanstilsynet under iagttagelse af almindelige proportionalitetsprincipper i tilfælde, hvor Finanstilsynet vurderer, at formålet med inspektionen ville blive forspildt, hvis inspektionen blev varslet. Det kan f.eks. dreje sig om situationer, hvor en tilsynsbelagt virksomhed undtagelsesvist nægter Finanstilsynet adgang til virksomheden i forbindelse med et ordinært inspektionsbesøg. Der kan også være tale om en krisesituation, der kræver, at Finanstilsynet skrider til omgående handling, og hvor en umiddelbar adgang til virksomheden er en forudsætning for at håndtere situationen. </w:t>
      </w:r>
    </w:p>
    <w:p w14:paraId="15941818" w14:textId="77777777" w:rsidR="003D51C0" w:rsidRPr="00796736" w:rsidRDefault="003D51C0" w:rsidP="00A802A5">
      <w:pPr>
        <w:spacing w:line="360" w:lineRule="auto"/>
        <w:rPr>
          <w:rFonts w:ascii="Times New Roman" w:hAnsi="Times New Roman" w:cs="Times New Roman"/>
          <w:sz w:val="24"/>
          <w:szCs w:val="24"/>
        </w:rPr>
      </w:pPr>
    </w:p>
    <w:p w14:paraId="6D6D0431"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forslåede bestemmelse indebærer herudover, at Finanstilsynet, som det er tilfældet i dag, alene vil kunne skaffe sig adgang til en virksomheds eller persons forretningslokaler uden retskendelse, hvis det er nødvendigt for, at Finanstilsynet kan udøve sin tilsynsvirksomhed. Det vil således være en betingelse, at formålet ikke kan opnås ved brug af mindre indgribende foranstaltninger som f.eks. tvangsbøder.</w:t>
      </w:r>
    </w:p>
    <w:p w14:paraId="0A46C3D7" w14:textId="77777777" w:rsidR="003D51C0" w:rsidRPr="00796736" w:rsidRDefault="003D51C0" w:rsidP="00A802A5">
      <w:pPr>
        <w:spacing w:line="360" w:lineRule="auto"/>
        <w:rPr>
          <w:rFonts w:ascii="Times New Roman" w:hAnsi="Times New Roman" w:cs="Times New Roman"/>
          <w:sz w:val="24"/>
          <w:szCs w:val="24"/>
        </w:rPr>
      </w:pPr>
    </w:p>
    <w:p w14:paraId="184DF50F" w14:textId="256BA5F2" w:rsidR="00FE7B3B"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forslåede bestemmelse indebærer endelig, at Finanstilsynet mulighed for at få adgang uden retskendelse, lige som i dag alene, vil kunne anvendes i tilsynsmæssigt øjemed. I tilfælde, hvor der er en begrundet mistanke om en strafbar overtrædelse af den finansielle lovgivning, vil retsplejelovens regler om ransagning finde anvendelse. I tilfælde, hvor det efter Finanstilsynets konkrete vurdering anses for nødvendigt at foretage kontrolbesøg uden forudgående varsling, vil inspektionen skulle foretages under iagttagelse af almindelige retssikkerhedsmæssige principper, herunder eksempelvis forbuddet mod selvinkriminering, jf. § 10, stk. 1, i lov om retssikkerhed ved forvaltningens anvendelse af tvangsindgreb og oplysningspligter. </w:t>
      </w:r>
      <w:r w:rsidR="00FE7B3B" w:rsidRPr="00FE7B3B">
        <w:rPr>
          <w:rFonts w:ascii="Times New Roman" w:hAnsi="Times New Roman" w:cs="Times New Roman"/>
          <w:sz w:val="24"/>
          <w:szCs w:val="24"/>
        </w:rPr>
        <w:t>Se nærmere herom i de almindelige bemærkninger pkt. 4.3.</w:t>
      </w:r>
    </w:p>
    <w:p w14:paraId="542DF3A8" w14:textId="77777777" w:rsidR="00FE7B3B" w:rsidRDefault="00FE7B3B" w:rsidP="00A802A5">
      <w:pPr>
        <w:spacing w:line="360" w:lineRule="auto"/>
        <w:rPr>
          <w:rFonts w:ascii="Times New Roman" w:hAnsi="Times New Roman" w:cs="Times New Roman"/>
          <w:sz w:val="24"/>
          <w:szCs w:val="24"/>
        </w:rPr>
      </w:pPr>
    </w:p>
    <w:p w14:paraId="57D3C248" w14:textId="094ADEB1"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forudsætning for at foretage en uanmeldt inspektion vil desuden være, at Finanstilsynet ikke har en begrundet mistanke om en strafbar overtrædelse af lovgivningen, idet sagen i sådanne tilfælde vil skulle behandles efter retsplejelovens regler om strafferetspleje. </w:t>
      </w:r>
    </w:p>
    <w:p w14:paraId="71D12051" w14:textId="77777777" w:rsidR="003D51C0" w:rsidRPr="00796736" w:rsidRDefault="003D51C0" w:rsidP="00A802A5">
      <w:pPr>
        <w:spacing w:line="360" w:lineRule="auto"/>
        <w:rPr>
          <w:rFonts w:ascii="Times New Roman" w:hAnsi="Times New Roman" w:cs="Times New Roman"/>
          <w:sz w:val="24"/>
          <w:szCs w:val="24"/>
        </w:rPr>
      </w:pPr>
    </w:p>
    <w:p w14:paraId="7ED1AD4C"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gennemføres artikel 37, stk. 7, i 6. hvidvaskdirektiv. </w:t>
      </w:r>
    </w:p>
    <w:p w14:paraId="4CF22FC6" w14:textId="77777777" w:rsidR="003D51C0" w:rsidRPr="00796736" w:rsidRDefault="003D51C0" w:rsidP="00A802A5">
      <w:pPr>
        <w:spacing w:line="360" w:lineRule="auto"/>
        <w:rPr>
          <w:rFonts w:ascii="Times New Roman" w:hAnsi="Times New Roman" w:cs="Times New Roman"/>
          <w:sz w:val="24"/>
          <w:szCs w:val="24"/>
        </w:rPr>
      </w:pPr>
    </w:p>
    <w:p w14:paraId="021F9FD1"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at Finanstilsynet til enhver tid mod behørig legitimation uden retskendelse kan få adgang til en leverandør eller underleverandør med henblik på indhentelse af oplysninger om den outsourcede aktivitet. Finanstilsynets fysiske adgang til leverandørens lokaler skal indgå som et krav i den outsourcingkontrakt, som indgås mellem outsourcingvirksomheden og leverandøren. Hvis en outsourcingkontrakt ikke indeholder kravet om Finanstilsynets fysiske adgang til leverandørens virksomhed, kan Finanstilsynet kræve, at den outsourcede aktivitet fremover enten varetages af outsourcingvirksomheden selv eller outsources til en anden leverandør inden for en af Finanstilsynet nærmere fastsat frist.</w:t>
      </w:r>
    </w:p>
    <w:p w14:paraId="1242C316" w14:textId="77777777" w:rsidR="003D51C0" w:rsidRPr="00796736" w:rsidRDefault="003D51C0" w:rsidP="00A802A5">
      <w:pPr>
        <w:spacing w:line="360" w:lineRule="auto"/>
        <w:rPr>
          <w:rFonts w:ascii="Times New Roman" w:hAnsi="Times New Roman" w:cs="Times New Roman"/>
          <w:sz w:val="24"/>
          <w:szCs w:val="24"/>
        </w:rPr>
      </w:pPr>
    </w:p>
    <w:p w14:paraId="2642D247"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viderefører § 49, stk. 4, i hvidvaskloven.</w:t>
      </w:r>
    </w:p>
    <w:p w14:paraId="6C89A982" w14:textId="77777777" w:rsidR="003D51C0" w:rsidRPr="00796736" w:rsidRDefault="003D51C0" w:rsidP="00A802A5">
      <w:pPr>
        <w:spacing w:line="360" w:lineRule="auto"/>
        <w:rPr>
          <w:rFonts w:ascii="Times New Roman" w:hAnsi="Times New Roman" w:cs="Times New Roman"/>
          <w:sz w:val="24"/>
          <w:szCs w:val="24"/>
        </w:rPr>
      </w:pPr>
    </w:p>
    <w:p w14:paraId="7838D782" w14:textId="2447C2DA"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som det er tilfældet i dag</w:t>
      </w:r>
      <w:r w:rsidR="00275C91" w:rsidRPr="00796736">
        <w:rPr>
          <w:rFonts w:ascii="Times New Roman" w:hAnsi="Times New Roman" w:cs="Times New Roman"/>
          <w:sz w:val="24"/>
          <w:szCs w:val="24"/>
        </w:rPr>
        <w:t>,</w:t>
      </w:r>
      <w:r w:rsidRPr="00796736">
        <w:rPr>
          <w:rFonts w:ascii="Times New Roman" w:hAnsi="Times New Roman" w:cs="Times New Roman"/>
          <w:sz w:val="24"/>
          <w:szCs w:val="24"/>
        </w:rPr>
        <w:t xml:space="preserve"> indebære, at Finanstilsynets adgangen til fysisk at indhente oplysninger uden retskendelse omfatter leverandører og underleverandører. Udgangspunktet vil være, at adgangen til en leverandør eller underleverandør skal varsles på forhånd i det omfang, det er muligt.</w:t>
      </w:r>
    </w:p>
    <w:p w14:paraId="37B09D06" w14:textId="77777777" w:rsidR="003D51C0" w:rsidRPr="00796736" w:rsidRDefault="003D51C0" w:rsidP="00A802A5">
      <w:pPr>
        <w:spacing w:line="360" w:lineRule="auto"/>
        <w:rPr>
          <w:rFonts w:ascii="Times New Roman" w:hAnsi="Times New Roman" w:cs="Times New Roman"/>
          <w:sz w:val="24"/>
          <w:szCs w:val="24"/>
        </w:rPr>
      </w:pPr>
    </w:p>
    <w:p w14:paraId="0D84C055"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kan, ligesom i dag, eksempelvis tænkes anvendt i situationer, hvor det ikke er muligt for Finanstilsynet at få adgang til de nødvendige oplysninger gennem outsourcingvirksomheden. </w:t>
      </w:r>
    </w:p>
    <w:p w14:paraId="38D3257E" w14:textId="77777777" w:rsidR="003D51C0" w:rsidRPr="00796736" w:rsidRDefault="003D51C0" w:rsidP="00A802A5">
      <w:pPr>
        <w:spacing w:line="360" w:lineRule="auto"/>
        <w:rPr>
          <w:rFonts w:ascii="Times New Roman" w:hAnsi="Times New Roman" w:cs="Times New Roman"/>
          <w:sz w:val="24"/>
          <w:szCs w:val="24"/>
        </w:rPr>
      </w:pPr>
    </w:p>
    <w:p w14:paraId="1752177C"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endvidere indebære, at Finanstilsynets fysiske adgang til en leverandørs eller underleverandørs lokaler skal indgå som et krav i den outsourcingkontrakt, som indgås mellem outsourcingvirksomheden og leverandøren. Hvis en outsourcingkontrakt ikke indeholder kravet om Finanstilsynets fysiske adgang til leverandørens virksomhed, vil Finanstilsynet kunne kræve, at den outsourcede aktivitet fremover enten varetages af outsourcingvirksomheden selv eller outsources til en anden leverandør inden for en af Finanstilsynet nærmere fastsat frist. Det vil ved outsourcing til udlandet være vigtigt, at der i kontrakten mellem outsourcingvirksomheden og leverandøren er adgang for Finanstilsynet til at få alle de nødvendige oplysninger. Ved outsourcing til en leverandør eller underleverandør i udlandet vil Finanstilsynet have mulighed for at anmode den kompetente myndighed i det pågældende land om at indhente oplysningerne.</w:t>
      </w:r>
    </w:p>
    <w:p w14:paraId="435BB92D" w14:textId="77777777" w:rsidR="003D51C0" w:rsidRPr="00796736" w:rsidRDefault="003D51C0" w:rsidP="00A802A5">
      <w:pPr>
        <w:spacing w:line="360" w:lineRule="auto"/>
        <w:rPr>
          <w:rFonts w:ascii="Times New Roman" w:hAnsi="Times New Roman" w:cs="Times New Roman"/>
          <w:sz w:val="24"/>
          <w:szCs w:val="24"/>
        </w:rPr>
      </w:pPr>
    </w:p>
    <w:p w14:paraId="30DBD7FA" w14:textId="14F325E5"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som det er tilfældet i dag, desuden indebære, at Finanstilsynets adgang til oplysninger hos leverandører henholdsvis underleverandører alene omfatter disses forretningslokaler og de opgaver, som leverandøren eller underleverandøren varetager i henhold til en outsourcingkontrakt med outsourcingvirksomheden. Finanstilsynet vil som udgangspunkt forsat anmode outsourcingvirksomheden, der har pligt til at få de nødvendige oplysninger fra leverandøren, om nødvendige oplysninger om den outsourcede virksomhed. For imidlertid at sikre </w:t>
      </w:r>
      <w:r w:rsidR="00275C91" w:rsidRPr="00796736">
        <w:rPr>
          <w:rFonts w:ascii="Times New Roman" w:hAnsi="Times New Roman" w:cs="Times New Roman"/>
          <w:sz w:val="24"/>
          <w:szCs w:val="24"/>
        </w:rPr>
        <w:t xml:space="preserve">et </w:t>
      </w:r>
      <w:r w:rsidRPr="00796736">
        <w:rPr>
          <w:rFonts w:ascii="Times New Roman" w:hAnsi="Times New Roman" w:cs="Times New Roman"/>
          <w:sz w:val="24"/>
          <w:szCs w:val="24"/>
        </w:rPr>
        <w:t>effektivt tilsyn også i særlige situationer, hvor det for eksempel viser sig, at outsourcingvirksomheden ikke loyalt samarbejder med Finanstilsynet, skal Finanstilsynet have mulighed fysisk adgang til oplysningerne direkte hos leverandøren uden retskendelse.</w:t>
      </w:r>
    </w:p>
    <w:p w14:paraId="7CF9697C" w14:textId="77777777" w:rsidR="003D51C0" w:rsidRPr="00796736" w:rsidRDefault="003D51C0" w:rsidP="00A802A5">
      <w:pPr>
        <w:spacing w:line="360" w:lineRule="auto"/>
        <w:rPr>
          <w:rFonts w:ascii="Times New Roman" w:hAnsi="Times New Roman" w:cs="Times New Roman"/>
          <w:sz w:val="24"/>
          <w:szCs w:val="24"/>
        </w:rPr>
      </w:pPr>
    </w:p>
    <w:p w14:paraId="0750A7D2"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gennemføres artikel 37, stk. 6, litra a, i 6. hvidvaskdirektiv.</w:t>
      </w:r>
    </w:p>
    <w:p w14:paraId="3C42DAD0" w14:textId="77777777" w:rsidR="003D51C0" w:rsidRPr="00796736" w:rsidRDefault="003D51C0" w:rsidP="00A802A5">
      <w:pPr>
        <w:spacing w:line="360" w:lineRule="auto"/>
        <w:rPr>
          <w:rFonts w:ascii="Times New Roman" w:hAnsi="Times New Roman" w:cs="Times New Roman"/>
          <w:sz w:val="24"/>
          <w:szCs w:val="24"/>
        </w:rPr>
      </w:pPr>
    </w:p>
    <w:p w14:paraId="6BD127E4"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at Finanstilsynet kan kræve at få adgang til alle oplysninger, herunder regnskaber og regnskabsmateriale, udskrift af bøger, andre forretningspapirer og elektronisk lagrede data, som skønnes nødvendige for Finanstilsynets afgørelse af, om en person eller virksomhed er omfattet af bestemmelserne i denne lov.</w:t>
      </w:r>
    </w:p>
    <w:p w14:paraId="51F436DC" w14:textId="77777777" w:rsidR="003D51C0" w:rsidRPr="00796736" w:rsidRDefault="003D51C0" w:rsidP="00A802A5">
      <w:pPr>
        <w:spacing w:line="360" w:lineRule="auto"/>
        <w:rPr>
          <w:rFonts w:ascii="Times New Roman" w:hAnsi="Times New Roman" w:cs="Times New Roman"/>
          <w:sz w:val="24"/>
          <w:szCs w:val="24"/>
        </w:rPr>
      </w:pPr>
    </w:p>
    <w:p w14:paraId="20E97874"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videreføre § 49, stk. 5, i hvidvaskloven.</w:t>
      </w:r>
    </w:p>
    <w:p w14:paraId="37BECE83" w14:textId="77777777" w:rsidR="003D51C0" w:rsidRPr="00796736" w:rsidRDefault="003D51C0" w:rsidP="00A802A5">
      <w:pPr>
        <w:spacing w:line="360" w:lineRule="auto"/>
        <w:rPr>
          <w:rFonts w:ascii="Times New Roman" w:hAnsi="Times New Roman" w:cs="Times New Roman"/>
          <w:sz w:val="24"/>
          <w:szCs w:val="24"/>
        </w:rPr>
      </w:pPr>
    </w:p>
    <w:p w14:paraId="2E053F4C" w14:textId="72F03405"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som det er tilfældet i dag, skulle ses i sammenhæng med forslaget til </w:t>
      </w:r>
      <w:r w:rsidR="00275C91" w:rsidRPr="00796736">
        <w:rPr>
          <w:rFonts w:ascii="Times New Roman" w:hAnsi="Times New Roman" w:cs="Times New Roman"/>
          <w:sz w:val="24"/>
          <w:szCs w:val="24"/>
        </w:rPr>
        <w:fldChar w:fldCharType="begin"/>
      </w:r>
      <w:r w:rsidR="00275C91" w:rsidRPr="00796736">
        <w:rPr>
          <w:rFonts w:ascii="Times New Roman" w:hAnsi="Times New Roman" w:cs="Times New Roman"/>
          <w:sz w:val="24"/>
          <w:szCs w:val="24"/>
        </w:rPr>
        <w:instrText xml:space="preserve"> REF _Ref243467920 \r \h </w:instrText>
      </w:r>
      <w:r w:rsidR="00796736">
        <w:rPr>
          <w:rFonts w:ascii="Times New Roman" w:hAnsi="Times New Roman" w:cs="Times New Roman"/>
          <w:sz w:val="24"/>
          <w:szCs w:val="24"/>
        </w:rPr>
        <w:instrText xml:space="preserve"> \* MERGEFORMAT </w:instrText>
      </w:r>
      <w:r w:rsidR="00275C91" w:rsidRPr="00796736">
        <w:rPr>
          <w:rFonts w:ascii="Times New Roman" w:hAnsi="Times New Roman" w:cs="Times New Roman"/>
          <w:sz w:val="24"/>
          <w:szCs w:val="24"/>
        </w:rPr>
      </w:r>
      <w:r w:rsidR="00275C9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275C91" w:rsidRPr="00796736">
        <w:rPr>
          <w:rFonts w:ascii="Times New Roman" w:hAnsi="Times New Roman" w:cs="Times New Roman"/>
          <w:sz w:val="24"/>
          <w:szCs w:val="24"/>
        </w:rPr>
        <w:fldChar w:fldCharType="end"/>
      </w:r>
      <w:r w:rsidR="00275C91" w:rsidRPr="00796736">
        <w:rPr>
          <w:rFonts w:ascii="Times New Roman" w:hAnsi="Times New Roman" w:cs="Times New Roman"/>
          <w:sz w:val="24"/>
          <w:szCs w:val="24"/>
        </w:rPr>
        <w:t>, stk. 1,</w:t>
      </w:r>
      <w:r w:rsidRPr="00796736">
        <w:rPr>
          <w:rFonts w:ascii="Times New Roman" w:hAnsi="Times New Roman" w:cs="Times New Roman"/>
          <w:sz w:val="24"/>
          <w:szCs w:val="24"/>
        </w:rPr>
        <w:t xml:space="preserve"> i denne lov, hvorefter visse virksomheder og personer skal registreres hos Finanstilsynet for at kunne udøve de aktiviteter, som følger af forslaget til lovens bilag</w:t>
      </w:r>
      <w:r w:rsidR="00275C91" w:rsidRPr="00796736">
        <w:rPr>
          <w:rFonts w:ascii="Times New Roman" w:hAnsi="Times New Roman" w:cs="Times New Roman"/>
          <w:sz w:val="24"/>
          <w:szCs w:val="24"/>
        </w:rPr>
        <w:t xml:space="preserve"> 1. </w:t>
      </w:r>
      <w:r w:rsidRPr="00796736">
        <w:rPr>
          <w:rFonts w:ascii="Times New Roman" w:hAnsi="Times New Roman" w:cs="Times New Roman"/>
          <w:sz w:val="24"/>
          <w:szCs w:val="24"/>
        </w:rPr>
        <w:t xml:space="preserve"> </w:t>
      </w:r>
    </w:p>
    <w:p w14:paraId="1A5A19EF" w14:textId="77777777" w:rsidR="003D51C0" w:rsidRPr="00796736" w:rsidRDefault="003D51C0" w:rsidP="00A802A5">
      <w:pPr>
        <w:spacing w:line="360" w:lineRule="auto"/>
        <w:rPr>
          <w:rFonts w:ascii="Times New Roman" w:hAnsi="Times New Roman" w:cs="Times New Roman"/>
          <w:sz w:val="24"/>
          <w:szCs w:val="24"/>
        </w:rPr>
      </w:pPr>
    </w:p>
    <w:p w14:paraId="36D418EE" w14:textId="5C2CC42E" w:rsidR="00895F7A"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275C91" w:rsidRPr="00796736">
        <w:rPr>
          <w:rFonts w:ascii="Times New Roman" w:hAnsi="Times New Roman" w:cs="Times New Roman"/>
          <w:sz w:val="24"/>
          <w:szCs w:val="24"/>
        </w:rPr>
        <w:t xml:space="preserve">bestemmelse </w:t>
      </w:r>
      <w:r w:rsidRPr="00796736">
        <w:rPr>
          <w:rFonts w:ascii="Times New Roman" w:hAnsi="Times New Roman" w:cs="Times New Roman"/>
          <w:sz w:val="24"/>
          <w:szCs w:val="24"/>
        </w:rPr>
        <w:t>vil indebære, at Finanstilsynet kan kræve oplysninger af virksomheder og personer, der ikke udøver tilsynsbelagt virksomhed, hvis disse har informationer, som er nødvendige for, at Finanstilsynet kan vurdere, hvorvidt en virksomhed eller person udøver tilsynsbelagt virksomhed og således burde være registreret hos Finanstilsynet.</w:t>
      </w:r>
    </w:p>
    <w:p w14:paraId="299DA343" w14:textId="77777777" w:rsidR="00793B8C" w:rsidRPr="00796736" w:rsidRDefault="00793B8C" w:rsidP="00A802A5">
      <w:pPr>
        <w:spacing w:line="360" w:lineRule="auto"/>
        <w:rPr>
          <w:rFonts w:ascii="Times New Roman" w:hAnsi="Times New Roman" w:cs="Times New Roman"/>
          <w:sz w:val="24"/>
          <w:szCs w:val="24"/>
        </w:rPr>
      </w:pPr>
    </w:p>
    <w:p w14:paraId="60987CC5" w14:textId="56E8AF42" w:rsidR="00895F7A" w:rsidRPr="00796736" w:rsidRDefault="003D51C0" w:rsidP="00A802A5">
      <w:pPr>
        <w:pStyle w:val="Undertitel"/>
      </w:pPr>
      <w:bookmarkStart w:id="2040" w:name="_Toc232109391"/>
      <w:bookmarkStart w:id="2041" w:name="_Toc244879356"/>
      <w:bookmarkStart w:id="2042" w:name="_Toc244880881"/>
      <w:r w:rsidRPr="00796736">
        <w:t xml:space="preserve">Til </w:t>
      </w:r>
      <w:r w:rsidR="00465705" w:rsidRPr="00796736">
        <w:fldChar w:fldCharType="begin"/>
      </w:r>
      <w:r w:rsidR="00465705" w:rsidRPr="00796736">
        <w:instrText xml:space="preserve"> REF _Ref232597147 \r \h </w:instrText>
      </w:r>
      <w:r w:rsidR="00967618" w:rsidRPr="00796736">
        <w:instrText xml:space="preserve"> \* MERGEFORMAT </w:instrText>
      </w:r>
      <w:r w:rsidR="00465705" w:rsidRPr="00796736">
        <w:fldChar w:fldCharType="separate"/>
      </w:r>
      <w:r w:rsidR="008F29E5">
        <w:t>§ 60</w:t>
      </w:r>
      <w:bookmarkEnd w:id="2041"/>
      <w:bookmarkEnd w:id="2042"/>
      <w:r w:rsidR="00465705" w:rsidRPr="00796736">
        <w:fldChar w:fldCharType="end"/>
      </w:r>
      <w:r w:rsidRPr="00796736">
        <w:t xml:space="preserve"> </w:t>
      </w:r>
      <w:bookmarkEnd w:id="2040"/>
    </w:p>
    <w:p w14:paraId="75848F87" w14:textId="44F0DCD3"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49, stk. 6, i hvidvaskloven kan Finanstilsynet indhente oplysninger efter </w:t>
      </w:r>
      <w:r w:rsidR="00275C91" w:rsidRPr="00796736">
        <w:rPr>
          <w:rFonts w:ascii="Times New Roman" w:hAnsi="Times New Roman" w:cs="Times New Roman"/>
          <w:sz w:val="24"/>
          <w:szCs w:val="24"/>
        </w:rPr>
        <w:t xml:space="preserve">§ 49, stk. 1 og 5, </w:t>
      </w:r>
      <w:r w:rsidRPr="00796736">
        <w:rPr>
          <w:rFonts w:ascii="Times New Roman" w:hAnsi="Times New Roman" w:cs="Times New Roman"/>
          <w:sz w:val="24"/>
          <w:szCs w:val="24"/>
        </w:rPr>
        <w:t>til brug for de udenlandske myndigheder og organer, der er nævnt i</w:t>
      </w:r>
      <w:r w:rsidR="00944176" w:rsidRPr="00796736">
        <w:rPr>
          <w:rFonts w:ascii="Times New Roman" w:hAnsi="Times New Roman" w:cs="Times New Roman"/>
          <w:sz w:val="24"/>
          <w:szCs w:val="24"/>
        </w:rPr>
        <w:t xml:space="preserve"> § 56, stk. 3</w:t>
      </w:r>
      <w:r w:rsidRPr="00796736">
        <w:rPr>
          <w:rFonts w:ascii="Times New Roman" w:hAnsi="Times New Roman" w:cs="Times New Roman"/>
          <w:sz w:val="24"/>
          <w:szCs w:val="24"/>
        </w:rPr>
        <w:t xml:space="preserve">. </w:t>
      </w:r>
    </w:p>
    <w:p w14:paraId="79831C56" w14:textId="77777777" w:rsidR="003D51C0" w:rsidRPr="00796736" w:rsidRDefault="003D51C0" w:rsidP="00A802A5">
      <w:pPr>
        <w:spacing w:line="360" w:lineRule="auto"/>
        <w:rPr>
          <w:rFonts w:ascii="Times New Roman" w:hAnsi="Times New Roman" w:cs="Times New Roman"/>
          <w:sz w:val="24"/>
          <w:szCs w:val="24"/>
        </w:rPr>
      </w:pPr>
    </w:p>
    <w:p w14:paraId="35E2F778"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videreføre § 49, stk. 6, i hvidvaskloven.</w:t>
      </w:r>
    </w:p>
    <w:p w14:paraId="5F3C838B" w14:textId="77777777" w:rsidR="003D51C0" w:rsidRPr="00796736" w:rsidRDefault="003D51C0" w:rsidP="00A802A5">
      <w:pPr>
        <w:spacing w:line="360" w:lineRule="auto"/>
        <w:rPr>
          <w:rFonts w:ascii="Times New Roman" w:hAnsi="Times New Roman" w:cs="Times New Roman"/>
          <w:sz w:val="24"/>
          <w:szCs w:val="24"/>
        </w:rPr>
      </w:pPr>
    </w:p>
    <w:p w14:paraId="2F8F5A3E" w14:textId="4EE3E121"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944176" w:rsidRPr="00796736">
        <w:rPr>
          <w:rFonts w:ascii="Times New Roman" w:hAnsi="Times New Roman" w:cs="Times New Roman"/>
          <w:i/>
          <w:iCs/>
          <w:sz w:val="24"/>
          <w:szCs w:val="24"/>
        </w:rPr>
        <w:fldChar w:fldCharType="begin"/>
      </w:r>
      <w:r w:rsidR="00944176" w:rsidRPr="00796736">
        <w:rPr>
          <w:rFonts w:ascii="Times New Roman" w:hAnsi="Times New Roman" w:cs="Times New Roman"/>
          <w:i/>
          <w:iCs/>
          <w:sz w:val="24"/>
          <w:szCs w:val="24"/>
        </w:rPr>
        <w:instrText xml:space="preserve"> REF _Ref232597147 \r \h  \* MERGEFORMAT </w:instrText>
      </w:r>
      <w:r w:rsidR="00944176" w:rsidRPr="00796736">
        <w:rPr>
          <w:rFonts w:ascii="Times New Roman" w:hAnsi="Times New Roman" w:cs="Times New Roman"/>
          <w:i/>
          <w:iCs/>
          <w:sz w:val="24"/>
          <w:szCs w:val="24"/>
        </w:rPr>
      </w:r>
      <w:r w:rsidR="00944176"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60</w:t>
      </w:r>
      <w:r w:rsidR="00944176" w:rsidRPr="00796736">
        <w:rPr>
          <w:rFonts w:ascii="Times New Roman" w:hAnsi="Times New Roman" w:cs="Times New Roman"/>
          <w:i/>
          <w:iCs/>
          <w:sz w:val="24"/>
          <w:szCs w:val="24"/>
        </w:rPr>
        <w:fldChar w:fldCharType="end"/>
      </w:r>
      <w:r w:rsidRPr="00796736">
        <w:rPr>
          <w:rFonts w:ascii="Times New Roman" w:hAnsi="Times New Roman" w:cs="Times New Roman"/>
          <w:sz w:val="24"/>
          <w:szCs w:val="24"/>
        </w:rPr>
        <w:t xml:space="preserve">, at Finanstilsynet kan indhente oplysninger efter </w:t>
      </w:r>
      <w:r w:rsidR="00275C91" w:rsidRPr="00796736">
        <w:rPr>
          <w:rFonts w:ascii="Times New Roman" w:hAnsi="Times New Roman" w:cs="Times New Roman"/>
          <w:sz w:val="24"/>
          <w:szCs w:val="24"/>
        </w:rPr>
        <w:fldChar w:fldCharType="begin"/>
      </w:r>
      <w:r w:rsidR="00275C91" w:rsidRPr="00796736">
        <w:rPr>
          <w:rFonts w:ascii="Times New Roman" w:hAnsi="Times New Roman" w:cs="Times New Roman"/>
          <w:sz w:val="24"/>
          <w:szCs w:val="24"/>
        </w:rPr>
        <w:instrText xml:space="preserve"> REF _Ref232597109 \r \h </w:instrText>
      </w:r>
      <w:r w:rsidR="00796736">
        <w:rPr>
          <w:rFonts w:ascii="Times New Roman" w:hAnsi="Times New Roman" w:cs="Times New Roman"/>
          <w:sz w:val="24"/>
          <w:szCs w:val="24"/>
        </w:rPr>
        <w:instrText xml:space="preserve"> \* MERGEFORMAT </w:instrText>
      </w:r>
      <w:r w:rsidR="00275C91" w:rsidRPr="00796736">
        <w:rPr>
          <w:rFonts w:ascii="Times New Roman" w:hAnsi="Times New Roman" w:cs="Times New Roman"/>
          <w:sz w:val="24"/>
          <w:szCs w:val="24"/>
        </w:rPr>
      </w:r>
      <w:r w:rsidR="00275C9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57</w:t>
      </w:r>
      <w:r w:rsidR="00275C91" w:rsidRPr="00796736">
        <w:rPr>
          <w:rFonts w:ascii="Times New Roman" w:hAnsi="Times New Roman" w:cs="Times New Roman"/>
          <w:sz w:val="24"/>
          <w:szCs w:val="24"/>
        </w:rPr>
        <w:fldChar w:fldCharType="end"/>
      </w:r>
      <w:r w:rsidR="00275C91" w:rsidRPr="00796736">
        <w:rPr>
          <w:rFonts w:ascii="Times New Roman" w:hAnsi="Times New Roman" w:cs="Times New Roman"/>
          <w:sz w:val="24"/>
          <w:szCs w:val="24"/>
        </w:rPr>
        <w:t xml:space="preserve">, stk. 1, og </w:t>
      </w:r>
      <w:r w:rsidR="00275C91" w:rsidRPr="00796736">
        <w:rPr>
          <w:rFonts w:ascii="Times New Roman" w:hAnsi="Times New Roman" w:cs="Times New Roman"/>
          <w:sz w:val="24"/>
          <w:szCs w:val="24"/>
        </w:rPr>
        <w:fldChar w:fldCharType="begin"/>
      </w:r>
      <w:r w:rsidR="00275C91" w:rsidRPr="00796736">
        <w:rPr>
          <w:rFonts w:ascii="Times New Roman" w:hAnsi="Times New Roman" w:cs="Times New Roman"/>
          <w:sz w:val="24"/>
          <w:szCs w:val="24"/>
        </w:rPr>
        <w:instrText xml:space="preserve"> REF _Ref232597126 \r \h </w:instrText>
      </w:r>
      <w:r w:rsidR="00796736">
        <w:rPr>
          <w:rFonts w:ascii="Times New Roman" w:hAnsi="Times New Roman" w:cs="Times New Roman"/>
          <w:sz w:val="24"/>
          <w:szCs w:val="24"/>
        </w:rPr>
        <w:instrText xml:space="preserve"> \* MERGEFORMAT </w:instrText>
      </w:r>
      <w:r w:rsidR="00275C91" w:rsidRPr="00796736">
        <w:rPr>
          <w:rFonts w:ascii="Times New Roman" w:hAnsi="Times New Roman" w:cs="Times New Roman"/>
          <w:sz w:val="24"/>
          <w:szCs w:val="24"/>
        </w:rPr>
      </w:r>
      <w:r w:rsidR="00275C9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59</w:t>
      </w:r>
      <w:r w:rsidR="00275C91" w:rsidRPr="00796736">
        <w:rPr>
          <w:rFonts w:ascii="Times New Roman" w:hAnsi="Times New Roman" w:cs="Times New Roman"/>
          <w:sz w:val="24"/>
          <w:szCs w:val="24"/>
        </w:rPr>
        <w:fldChar w:fldCharType="end"/>
      </w:r>
      <w:r w:rsidR="00275C91" w:rsidRPr="00796736">
        <w:rPr>
          <w:rFonts w:ascii="Times New Roman" w:hAnsi="Times New Roman" w:cs="Times New Roman"/>
          <w:sz w:val="24"/>
          <w:szCs w:val="24"/>
        </w:rPr>
        <w:t xml:space="preserve">, stk. 3, til brug for de udenlandske myndigheder og organer, der er nævnt i </w:t>
      </w:r>
      <w:r w:rsidR="00275C91" w:rsidRPr="00796736">
        <w:rPr>
          <w:rFonts w:ascii="Times New Roman" w:hAnsi="Times New Roman" w:cs="Times New Roman"/>
          <w:sz w:val="24"/>
          <w:szCs w:val="24"/>
        </w:rPr>
        <w:fldChar w:fldCharType="begin"/>
      </w:r>
      <w:r w:rsidR="00275C91" w:rsidRPr="00796736">
        <w:rPr>
          <w:rFonts w:ascii="Times New Roman" w:hAnsi="Times New Roman" w:cs="Times New Roman"/>
          <w:sz w:val="24"/>
          <w:szCs w:val="24"/>
        </w:rPr>
        <w:instrText xml:space="preserve"> REF _Ref232597634 \r \h </w:instrText>
      </w:r>
      <w:r w:rsidR="00796736">
        <w:rPr>
          <w:rFonts w:ascii="Times New Roman" w:hAnsi="Times New Roman" w:cs="Times New Roman"/>
          <w:sz w:val="24"/>
          <w:szCs w:val="24"/>
        </w:rPr>
        <w:instrText xml:space="preserve"> \* MERGEFORMAT </w:instrText>
      </w:r>
      <w:r w:rsidR="00275C91" w:rsidRPr="00796736">
        <w:rPr>
          <w:rFonts w:ascii="Times New Roman" w:hAnsi="Times New Roman" w:cs="Times New Roman"/>
          <w:sz w:val="24"/>
          <w:szCs w:val="24"/>
        </w:rPr>
      </w:r>
      <w:r w:rsidR="00275C9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275C91" w:rsidRPr="00796736">
        <w:rPr>
          <w:rFonts w:ascii="Times New Roman" w:hAnsi="Times New Roman" w:cs="Times New Roman"/>
          <w:sz w:val="24"/>
          <w:szCs w:val="24"/>
        </w:rPr>
        <w:fldChar w:fldCharType="end"/>
      </w:r>
      <w:r w:rsidR="00275C91" w:rsidRPr="00796736">
        <w:rPr>
          <w:rFonts w:ascii="Times New Roman" w:hAnsi="Times New Roman" w:cs="Times New Roman"/>
          <w:sz w:val="24"/>
          <w:szCs w:val="24"/>
        </w:rPr>
        <w:t>, stk. 1.</w:t>
      </w:r>
    </w:p>
    <w:p w14:paraId="2985C1D5" w14:textId="77777777" w:rsidR="003D51C0" w:rsidRPr="00796736" w:rsidRDefault="003D51C0" w:rsidP="00A802A5">
      <w:pPr>
        <w:spacing w:line="360" w:lineRule="auto"/>
        <w:rPr>
          <w:rFonts w:ascii="Times New Roman" w:hAnsi="Times New Roman" w:cs="Times New Roman"/>
          <w:sz w:val="24"/>
          <w:szCs w:val="24"/>
        </w:rPr>
      </w:pPr>
    </w:p>
    <w:p w14:paraId="0B69E2E5" w14:textId="2109D534"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Finanstilsynet, </w:t>
      </w:r>
      <w:r w:rsidR="00275C91" w:rsidRPr="00796736">
        <w:rPr>
          <w:rFonts w:ascii="Times New Roman" w:hAnsi="Times New Roman" w:cs="Times New Roman"/>
          <w:sz w:val="24"/>
          <w:szCs w:val="24"/>
        </w:rPr>
        <w:t>som</w:t>
      </w:r>
      <w:r w:rsidRPr="00796736">
        <w:rPr>
          <w:rFonts w:ascii="Times New Roman" w:hAnsi="Times New Roman" w:cs="Times New Roman"/>
          <w:sz w:val="24"/>
          <w:szCs w:val="24"/>
        </w:rPr>
        <w:t xml:space="preserve"> det er tilfældet i dag, har mulighed for at indhente oplysninger på vegne af myndigheder og organer i andre lande, herunder AMLA, selvom Finanstilsynet ikke selv vurderer at have behov for oplysningerne som led i sit eget tilsyn.</w:t>
      </w:r>
    </w:p>
    <w:p w14:paraId="78322ED9" w14:textId="77777777" w:rsidR="003D51C0" w:rsidRPr="00796736" w:rsidRDefault="003D51C0" w:rsidP="00A802A5">
      <w:pPr>
        <w:spacing w:line="360" w:lineRule="auto"/>
        <w:rPr>
          <w:rFonts w:ascii="Times New Roman" w:hAnsi="Times New Roman" w:cs="Times New Roman"/>
          <w:sz w:val="24"/>
          <w:szCs w:val="24"/>
        </w:rPr>
      </w:pPr>
    </w:p>
    <w:p w14:paraId="383C3BDC" w14:textId="77777777"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svarer til, hvad der i dag gælder efter de øvrige finansielle tilsynslove, herunder lov om finansiel virksomhed. </w:t>
      </w:r>
    </w:p>
    <w:p w14:paraId="79D138AA" w14:textId="77777777" w:rsidR="003D51C0" w:rsidRPr="00796736" w:rsidRDefault="003D51C0" w:rsidP="00A802A5">
      <w:pPr>
        <w:spacing w:line="360" w:lineRule="auto"/>
        <w:rPr>
          <w:rFonts w:ascii="Times New Roman" w:hAnsi="Times New Roman" w:cs="Times New Roman"/>
          <w:sz w:val="24"/>
          <w:szCs w:val="24"/>
        </w:rPr>
      </w:pPr>
    </w:p>
    <w:p w14:paraId="6A77D87A" w14:textId="22FEB0FB" w:rsidR="003D51C0" w:rsidRPr="00796736" w:rsidRDefault="003D51C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w:t>
      </w:r>
      <w:r w:rsidR="00275C91" w:rsidRPr="00796736">
        <w:rPr>
          <w:rFonts w:ascii="Times New Roman" w:hAnsi="Times New Roman" w:cs="Times New Roman"/>
          <w:sz w:val="24"/>
          <w:szCs w:val="24"/>
        </w:rPr>
        <w:t xml:space="preserve"> i øvrigt</w:t>
      </w:r>
      <w:r w:rsidRPr="00796736">
        <w:rPr>
          <w:rFonts w:ascii="Times New Roman" w:hAnsi="Times New Roman" w:cs="Times New Roman"/>
          <w:sz w:val="24"/>
          <w:szCs w:val="24"/>
        </w:rPr>
        <w:t xml:space="preserve"> til bemærkningerne til den foreslåede </w:t>
      </w:r>
      <w:r w:rsidR="00944176" w:rsidRPr="00796736">
        <w:rPr>
          <w:rFonts w:ascii="Times New Roman" w:hAnsi="Times New Roman" w:cs="Times New Roman"/>
          <w:sz w:val="24"/>
          <w:szCs w:val="24"/>
        </w:rPr>
        <w:fldChar w:fldCharType="begin"/>
      </w:r>
      <w:r w:rsidR="00944176"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944176" w:rsidRPr="00796736">
        <w:rPr>
          <w:rFonts w:ascii="Times New Roman" w:hAnsi="Times New Roman" w:cs="Times New Roman"/>
          <w:sz w:val="24"/>
          <w:szCs w:val="24"/>
        </w:rPr>
      </w:r>
      <w:r w:rsidR="009441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944176"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4E55C6C8" w14:textId="77777777" w:rsidR="000F1DE7" w:rsidRPr="00796736" w:rsidRDefault="000F1DE7" w:rsidP="00A802A5">
      <w:pPr>
        <w:spacing w:line="360" w:lineRule="auto"/>
        <w:rPr>
          <w:rFonts w:ascii="Times New Roman" w:hAnsi="Times New Roman" w:cs="Times New Roman"/>
          <w:sz w:val="24"/>
          <w:szCs w:val="24"/>
        </w:rPr>
      </w:pPr>
    </w:p>
    <w:p w14:paraId="1D222536" w14:textId="2F79D0D8" w:rsidR="000F1DE7" w:rsidRPr="00796736" w:rsidRDefault="000F1DE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en styrkelse af Finanstilsynets mulighed for at samarbejde effektivt med udenlandske tilsynsmyndigheder. Behovet udspringer bl.a. af den finansielle sektors internationale koncernstrukturer, hvor tilsynet med virksomheder ofte forudsætter hurtig og sikker udveksling af oplysninger på tværs af landegrænser.</w:t>
      </w:r>
    </w:p>
    <w:p w14:paraId="13473030" w14:textId="77777777" w:rsidR="000F1DE7" w:rsidRPr="00796736" w:rsidRDefault="000F1DE7" w:rsidP="00A802A5">
      <w:pPr>
        <w:spacing w:line="360" w:lineRule="auto"/>
        <w:rPr>
          <w:rFonts w:ascii="Times New Roman" w:hAnsi="Times New Roman" w:cs="Times New Roman"/>
          <w:sz w:val="24"/>
          <w:szCs w:val="24"/>
        </w:rPr>
      </w:pPr>
    </w:p>
    <w:p w14:paraId="68F7CB43" w14:textId="2AC3E29F" w:rsidR="000F1DE7" w:rsidRPr="00796736" w:rsidRDefault="000F1DE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sikrer et mere sammenhængende og effektivt tilsyn med finansielle virksomheder, herunder i sager om hvidvask og terrorfinansiering. Den afspejler samtidig det øgede fokus i EU-reguleringen på informationsudveksling mellem nationale tilsynsmyndigheder, bl.a. artikel 44 i 4. hvidvaskdirektiv.</w:t>
      </w:r>
    </w:p>
    <w:p w14:paraId="1B666D38" w14:textId="77777777" w:rsidR="00DF04C9" w:rsidRPr="00796736" w:rsidRDefault="00DF04C9" w:rsidP="00A802A5">
      <w:pPr>
        <w:spacing w:line="360" w:lineRule="auto"/>
        <w:rPr>
          <w:rFonts w:ascii="Times New Roman" w:hAnsi="Times New Roman" w:cs="Times New Roman"/>
          <w:i/>
          <w:iCs/>
          <w:sz w:val="24"/>
          <w:szCs w:val="24"/>
        </w:rPr>
      </w:pPr>
    </w:p>
    <w:p w14:paraId="797F02E2" w14:textId="49AABD3C" w:rsidR="007B7ED7" w:rsidRPr="00796736" w:rsidRDefault="00240DBE" w:rsidP="00A802A5">
      <w:pPr>
        <w:pStyle w:val="Undertitel"/>
      </w:pPr>
      <w:bookmarkStart w:id="2043" w:name="_Toc232109393"/>
      <w:bookmarkStart w:id="2044" w:name="_Toc244879357"/>
      <w:bookmarkStart w:id="2045" w:name="_Toc244880882"/>
      <w:r w:rsidRPr="00796736">
        <w:t xml:space="preserve">Til </w:t>
      </w:r>
      <w:r w:rsidR="00465705" w:rsidRPr="00796736">
        <w:fldChar w:fldCharType="begin"/>
      </w:r>
      <w:r w:rsidR="00465705" w:rsidRPr="00796736">
        <w:instrText xml:space="preserve"> REF _Ref232597202 \r \h </w:instrText>
      </w:r>
      <w:r w:rsidR="00967618" w:rsidRPr="00796736">
        <w:instrText xml:space="preserve"> \* MERGEFORMAT </w:instrText>
      </w:r>
      <w:r w:rsidR="00465705" w:rsidRPr="00796736">
        <w:fldChar w:fldCharType="separate"/>
      </w:r>
      <w:r w:rsidR="008F29E5">
        <w:t>§ 61</w:t>
      </w:r>
      <w:bookmarkEnd w:id="2044"/>
      <w:bookmarkEnd w:id="2045"/>
      <w:r w:rsidR="00465705" w:rsidRPr="00796736">
        <w:fldChar w:fldCharType="end"/>
      </w:r>
      <w:bookmarkEnd w:id="2043"/>
    </w:p>
    <w:p w14:paraId="2C856F33"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Hvidvasklovens § 47, stk. 3, og § 50, indeholder en række regler om Finanstilsynets samarbejde med andre landes kompetente myndigheder og om tilsynsmyndigheder i EU- og EØS-landes muligheder for at foretage inspektioner mv. her i landet samt om Finanstilsynets</w:t>
      </w:r>
    </w:p>
    <w:p w14:paraId="1607C4B5" w14:textId="77777777" w:rsidR="00767321" w:rsidRPr="00796736" w:rsidRDefault="00767321" w:rsidP="00A802A5">
      <w:pPr>
        <w:spacing w:line="360" w:lineRule="auto"/>
        <w:rPr>
          <w:rFonts w:ascii="Times New Roman" w:hAnsi="Times New Roman" w:cs="Times New Roman"/>
          <w:sz w:val="24"/>
          <w:szCs w:val="24"/>
        </w:rPr>
      </w:pPr>
    </w:p>
    <w:p w14:paraId="43120AAD"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47, stk. 3, i hvidvaskloven skal Finanstilsynet samarbejde med de kompetente myndigheder i EU- eller EØS-lande om at medvirke ved tilsynsaktiviteter, kontroller på stedet eller inspektioner her i landet, når det gælder virksomheder og personer omfattet af § 1, stk. 1, der er under tilsyn i et andet EU- eller EØS-land, eller en dansk virksomhed eller person omfattet af § 1, stk. 1, nr. 1-12 og 22, der er underlagt dansk tilsyn, men opererer i andre EU- eller EØS-lande.</w:t>
      </w:r>
    </w:p>
    <w:p w14:paraId="26306E29" w14:textId="77777777" w:rsidR="00767321" w:rsidRPr="00796736" w:rsidRDefault="00767321" w:rsidP="00A802A5">
      <w:pPr>
        <w:spacing w:line="360" w:lineRule="auto"/>
        <w:rPr>
          <w:rFonts w:ascii="Times New Roman" w:hAnsi="Times New Roman" w:cs="Times New Roman"/>
          <w:sz w:val="24"/>
          <w:szCs w:val="24"/>
        </w:rPr>
      </w:pPr>
    </w:p>
    <w:p w14:paraId="2AFED02C"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50, stk. 1, i hvidvaskloven, kan tilsynsmyndighederne i et EU- eller EØS-land kan efter forudgående aftale med Finanstilsynet foretage inspektion i de her i landet beliggende filialer, agenter og distributører omfattet af § 1, stk. 1, af udenlandske virksomheder med hjemsted i det pågældende land. Finanstilsynet kan deltage i inspektionen som nævnt i 1. pkt. Modsætter en virksomhed eller person som nævnt i 1. pkt. sig en kompetent udenlandsk myndigheds inspektion, kan undersøgelsen kun foretages med Finanstilsynets medvirken.</w:t>
      </w:r>
    </w:p>
    <w:p w14:paraId="0C84E115" w14:textId="77777777" w:rsidR="00767321" w:rsidRPr="00796736" w:rsidRDefault="00767321" w:rsidP="00A802A5">
      <w:pPr>
        <w:spacing w:line="360" w:lineRule="auto"/>
        <w:rPr>
          <w:rFonts w:ascii="Times New Roman" w:hAnsi="Times New Roman" w:cs="Times New Roman"/>
          <w:sz w:val="24"/>
          <w:szCs w:val="24"/>
        </w:rPr>
      </w:pPr>
    </w:p>
    <w:p w14:paraId="60BBA5D7"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50, stk. 2, kan Finanstilsynet anmode de kompetente myndigheder i et EU- eller EØS-land om at medvirke til at påse overholdelsen af loven og de regler, der er udstedt i medfør af loven, vedrørende virksomheder og personer som omfattet af § 1, stk. 1, nr. 1-12 og 22-26, med hjemsted i et andet EU- eller EØS-land ved tilsynsaktioner, kontroller på stedet eller inspektioner på et andet EU- eller EØS-lands område.</w:t>
      </w:r>
    </w:p>
    <w:p w14:paraId="19D60053" w14:textId="77777777" w:rsidR="00767321" w:rsidRPr="00796736" w:rsidRDefault="00767321" w:rsidP="00A802A5">
      <w:pPr>
        <w:spacing w:line="360" w:lineRule="auto"/>
        <w:rPr>
          <w:rFonts w:ascii="Times New Roman" w:hAnsi="Times New Roman" w:cs="Times New Roman"/>
          <w:sz w:val="24"/>
          <w:szCs w:val="24"/>
        </w:rPr>
      </w:pPr>
    </w:p>
    <w:p w14:paraId="41D7341D" w14:textId="5CA19787" w:rsidR="00767321" w:rsidRPr="00796736" w:rsidRDefault="00767321"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00944176" w:rsidRPr="00796736">
        <w:rPr>
          <w:rFonts w:ascii="Times New Roman" w:hAnsi="Times New Roman" w:cs="Times New Roman"/>
          <w:i/>
          <w:iCs/>
          <w:sz w:val="24"/>
          <w:szCs w:val="24"/>
        </w:rPr>
        <w:fldChar w:fldCharType="begin"/>
      </w:r>
      <w:r w:rsidR="00944176" w:rsidRPr="00796736">
        <w:rPr>
          <w:rFonts w:ascii="Times New Roman" w:hAnsi="Times New Roman" w:cs="Times New Roman"/>
          <w:i/>
          <w:iCs/>
          <w:sz w:val="24"/>
          <w:szCs w:val="24"/>
        </w:rPr>
        <w:instrText xml:space="preserve"> REF _Ref232597202 \r \h  \* MERGEFORMAT </w:instrText>
      </w:r>
      <w:r w:rsidR="00944176" w:rsidRPr="00796736">
        <w:rPr>
          <w:rFonts w:ascii="Times New Roman" w:hAnsi="Times New Roman" w:cs="Times New Roman"/>
          <w:i/>
          <w:iCs/>
          <w:sz w:val="24"/>
          <w:szCs w:val="24"/>
        </w:rPr>
      </w:r>
      <w:r w:rsidR="00944176"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61</w:t>
      </w:r>
      <w:r w:rsidR="00944176"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sz w:val="24"/>
          <w:szCs w:val="24"/>
          <w:lang w:eastAsia="da-DK"/>
        </w:rPr>
        <w:t>Finanstilsynet skal s</w:t>
      </w:r>
      <w:r w:rsidR="00221535" w:rsidRPr="00796736">
        <w:rPr>
          <w:rFonts w:ascii="Times New Roman" w:eastAsia="Times New Roman" w:hAnsi="Times New Roman" w:cs="Times New Roman"/>
          <w:sz w:val="24"/>
          <w:szCs w:val="24"/>
          <w:lang w:eastAsia="da-DK"/>
        </w:rPr>
        <w:t>amarbejde med</w:t>
      </w:r>
      <w:r w:rsidR="00221535" w:rsidRPr="00796736">
        <w:rPr>
          <w:rFonts w:ascii="Times New Roman" w:hAnsi="Times New Roman" w:cs="Times New Roman"/>
        </w:rPr>
        <w:t xml:space="preserve"> </w:t>
      </w:r>
      <w:r w:rsidR="00221535" w:rsidRPr="00796736">
        <w:rPr>
          <w:rFonts w:ascii="Times New Roman" w:eastAsia="Times New Roman" w:hAnsi="Times New Roman" w:cs="Times New Roman"/>
          <w:sz w:val="24"/>
          <w:szCs w:val="24"/>
          <w:lang w:eastAsia="da-DK"/>
        </w:rPr>
        <w:t xml:space="preserve">de kompetente myndigheder i et land inden for Den Europæiske Union eller i et land, som Unionen har indgået aftale med på det finansielle område om at medvirke ved tilsynsaktiviteter, kontroller på stedet eller inspektioner her i landet, herunder ved udveksling af oplysninger, der fremkommer i forbindelse hermed, når det gælder virksomheder og personer omfattet af § 1, stk. 2, nr. 1-3, </w:t>
      </w:r>
      <w:r w:rsidR="00793B8C">
        <w:rPr>
          <w:rFonts w:ascii="Times New Roman" w:eastAsia="Times New Roman" w:hAnsi="Times New Roman" w:cs="Times New Roman"/>
          <w:sz w:val="24"/>
          <w:szCs w:val="24"/>
          <w:lang w:eastAsia="da-DK"/>
        </w:rPr>
        <w:t>samt</w:t>
      </w:r>
      <w:r w:rsidR="00221535" w:rsidRPr="00796736">
        <w:rPr>
          <w:rFonts w:ascii="Times New Roman" w:eastAsia="Times New Roman" w:hAnsi="Times New Roman" w:cs="Times New Roman"/>
          <w:sz w:val="24"/>
          <w:szCs w:val="24"/>
          <w:lang w:eastAsia="da-DK"/>
        </w:rPr>
        <w:t xml:space="preserve"> § 2, nr. 1-19 og 32, litra a, der er under tilsyn i et andet land inden for Den Europæiske Union eller i et land, som Unionen har indgået aftale med på det finansielle område</w:t>
      </w:r>
      <w:r w:rsidRPr="00796736">
        <w:rPr>
          <w:rFonts w:ascii="Times New Roman" w:eastAsia="Times New Roman" w:hAnsi="Times New Roman" w:cs="Times New Roman"/>
          <w:sz w:val="24"/>
          <w:szCs w:val="24"/>
          <w:lang w:eastAsia="da-DK"/>
        </w:rPr>
        <w:t>.</w:t>
      </w:r>
    </w:p>
    <w:p w14:paraId="77F70CB5" w14:textId="77777777" w:rsidR="00767321" w:rsidRPr="00796736" w:rsidRDefault="00767321" w:rsidP="00A802A5">
      <w:pPr>
        <w:spacing w:line="360" w:lineRule="auto"/>
        <w:rPr>
          <w:rFonts w:ascii="Times New Roman" w:eastAsia="Times New Roman" w:hAnsi="Times New Roman" w:cs="Times New Roman"/>
          <w:sz w:val="24"/>
          <w:szCs w:val="24"/>
          <w:lang w:eastAsia="da-DK"/>
        </w:rPr>
      </w:pPr>
    </w:p>
    <w:p w14:paraId="5BAF633B" w14:textId="77777777" w:rsidR="00767321" w:rsidRPr="00796736" w:rsidRDefault="00767321"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Den foreslåede bestemmelse svarer med de fornødne tilpasninger til den gældende hvidvasklovs § 47, stk. 3.</w:t>
      </w:r>
    </w:p>
    <w:p w14:paraId="727EA26D" w14:textId="77777777" w:rsidR="00767321" w:rsidRPr="00796736" w:rsidRDefault="00767321" w:rsidP="00A802A5">
      <w:pPr>
        <w:spacing w:line="360" w:lineRule="auto"/>
        <w:rPr>
          <w:rFonts w:ascii="Times New Roman" w:eastAsia="Times New Roman" w:hAnsi="Times New Roman" w:cs="Times New Roman"/>
          <w:sz w:val="24"/>
          <w:szCs w:val="24"/>
          <w:lang w:eastAsia="da-DK"/>
        </w:rPr>
      </w:pPr>
    </w:p>
    <w:p w14:paraId="7F2A212F"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virksomhed, som har tilladelse i et andet land, kan efter regler i den finansielle lovgivning i flere tilfælde udøve virksomhed her i landet uden særlig tilladelse fra Finanstilsynet. Finanstilsynet har i overensstemmelse med 6. hvidvaskdirektiv tilsynet med virksomheder etableret her i landet som f.eks. filialer og agenter. Beføjelserne til at meddele og inddrage tilladelser m.v. henhører imidlertid under hjemlandsmyndighedens kompetence. </w:t>
      </w:r>
    </w:p>
    <w:p w14:paraId="0E48165E" w14:textId="77777777" w:rsidR="00767321" w:rsidRPr="00796736" w:rsidRDefault="00767321" w:rsidP="00A802A5">
      <w:pPr>
        <w:spacing w:line="360" w:lineRule="auto"/>
        <w:rPr>
          <w:rFonts w:ascii="Times New Roman" w:hAnsi="Times New Roman" w:cs="Times New Roman"/>
          <w:sz w:val="24"/>
          <w:szCs w:val="24"/>
        </w:rPr>
      </w:pPr>
    </w:p>
    <w:p w14:paraId="7E8EC539"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indebærer, at Finanstilsynet i videst muligt omfang vil skulle samarbejde med tilsynsorganerne i de andre lande, hvilket kan omfatte, at Finanstilsynet inden for rammerne af det anmodende tilsynsorgans beføjelser foretager undersøgelser på vegne af et anmodende tilsynsorgan samt efterfølgende udveksler de oplysninger, som fremkommer under en sådan undersøgelse, eller faciliterer det anmodende tilsynsorgans foretagelse af sådanne undersøgelser, jf. herved også det foreslåede stk. 2.  </w:t>
      </w:r>
    </w:p>
    <w:p w14:paraId="46311AEF" w14:textId="77777777" w:rsidR="00767321" w:rsidRPr="00796736" w:rsidRDefault="00767321" w:rsidP="00A802A5">
      <w:pPr>
        <w:spacing w:line="360" w:lineRule="auto"/>
        <w:rPr>
          <w:rFonts w:ascii="Times New Roman" w:hAnsi="Times New Roman" w:cs="Times New Roman"/>
          <w:sz w:val="24"/>
          <w:szCs w:val="24"/>
        </w:rPr>
      </w:pPr>
    </w:p>
    <w:p w14:paraId="64E32D25"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endvidere indebære, at der i medfør af samarbejdsforpligtelsen vil skulle ske underretning af hjemlandets kompetente myndighed om ethvert anliggende, der kan have påvirkning på hjemlandsmyndighedens vurdering af, om etableringsstedet overholder de danske regler for bekæmpelse af hvidvask af penge og finansiering af terrorisme. </w:t>
      </w:r>
    </w:p>
    <w:p w14:paraId="7A47DAFA" w14:textId="77777777" w:rsidR="00767321" w:rsidRPr="00796736" w:rsidRDefault="00767321" w:rsidP="00A802A5">
      <w:pPr>
        <w:spacing w:line="360" w:lineRule="auto"/>
        <w:rPr>
          <w:rFonts w:ascii="Times New Roman" w:hAnsi="Times New Roman" w:cs="Times New Roman"/>
          <w:sz w:val="24"/>
          <w:szCs w:val="24"/>
        </w:rPr>
      </w:pPr>
    </w:p>
    <w:p w14:paraId="31A8904C"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vil endvidere skulle ske underretning med henblik på hjemlandsmyndighedens vurdering af virksomhedens eller personens anvendelse af politikker og procedurer for bekæmpelse af hvidvask af penge og finansiering af terrorisme og give hjemlandets tilsynsorgan mulighed for at træffe foranstaltninger til at imødegå enhver konstateret overtrædelse. </w:t>
      </w:r>
    </w:p>
    <w:p w14:paraId="2AB4879B" w14:textId="77777777" w:rsidR="00767321" w:rsidRPr="00796736" w:rsidRDefault="00767321" w:rsidP="00A802A5">
      <w:pPr>
        <w:spacing w:line="360" w:lineRule="auto"/>
        <w:rPr>
          <w:rFonts w:ascii="Times New Roman" w:hAnsi="Times New Roman" w:cs="Times New Roman"/>
          <w:sz w:val="24"/>
          <w:szCs w:val="24"/>
        </w:rPr>
      </w:pPr>
    </w:p>
    <w:p w14:paraId="6AC31089"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vil f.eks. skulle underrettes, hvis en virksomhed efter påbud fra Finanstilsynet fortsat ikke lever op til hvidvasklovens krav til politikker og forretningsgange, ligesom manglende gennemførelse af kundekendskabsprocedurer, som vil medføre disciplinær forfølgning, vil medføre pligt til at underrette hjemlandsmyndigheden. </w:t>
      </w:r>
    </w:p>
    <w:p w14:paraId="585E3FB2" w14:textId="77777777" w:rsidR="00767321" w:rsidRPr="00796736" w:rsidRDefault="00767321" w:rsidP="00A802A5">
      <w:pPr>
        <w:spacing w:line="360" w:lineRule="auto"/>
        <w:rPr>
          <w:rFonts w:ascii="Times New Roman" w:hAnsi="Times New Roman" w:cs="Times New Roman"/>
          <w:sz w:val="24"/>
          <w:szCs w:val="24"/>
        </w:rPr>
      </w:pPr>
    </w:p>
    <w:p w14:paraId="32BE6708" w14:textId="11B8E96E"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endvidere, at hvis Finanstilsynet opdager alvorlige, gentagne eller systematiske overtrædelser af bestemmelserne for bekæmpelse af hvidvask og finansiering af terrorisme, der fordrer øjeblikkelige retsmidler, vil Finanstilsynet kunne anvende passende og forholdsmæssige midlertidige afhjælpende foranstaltninger efter den foreslåede </w:t>
      </w:r>
      <w:r w:rsidR="00221535" w:rsidRPr="00796736">
        <w:rPr>
          <w:rFonts w:ascii="Times New Roman" w:hAnsi="Times New Roman" w:cs="Times New Roman"/>
          <w:sz w:val="24"/>
          <w:szCs w:val="24"/>
        </w:rPr>
        <w:fldChar w:fldCharType="begin"/>
      </w:r>
      <w:r w:rsidR="00221535" w:rsidRPr="00796736">
        <w:rPr>
          <w:rFonts w:ascii="Times New Roman" w:hAnsi="Times New Roman" w:cs="Times New Roman"/>
          <w:sz w:val="24"/>
          <w:szCs w:val="24"/>
        </w:rPr>
        <w:instrText xml:space="preserve"> REF _Ref232597202 \r \h  \* MERGEFORMAT </w:instrText>
      </w:r>
      <w:r w:rsidR="00221535" w:rsidRPr="00796736">
        <w:rPr>
          <w:rFonts w:ascii="Times New Roman" w:hAnsi="Times New Roman" w:cs="Times New Roman"/>
          <w:sz w:val="24"/>
          <w:szCs w:val="24"/>
        </w:rPr>
      </w:r>
      <w:r w:rsidR="0022153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61</w:t>
      </w:r>
      <w:r w:rsidR="00221535" w:rsidRPr="00796736">
        <w:rPr>
          <w:rFonts w:ascii="Times New Roman" w:hAnsi="Times New Roman" w:cs="Times New Roman"/>
          <w:sz w:val="24"/>
          <w:szCs w:val="24"/>
        </w:rPr>
        <w:fldChar w:fldCharType="end"/>
      </w:r>
      <w:r w:rsidR="00221535" w:rsidRPr="00796736">
        <w:rPr>
          <w:rFonts w:ascii="Times New Roman" w:hAnsi="Times New Roman" w:cs="Times New Roman"/>
          <w:sz w:val="24"/>
          <w:szCs w:val="24"/>
        </w:rPr>
        <w:t>, stk. 1</w:t>
      </w:r>
      <w:r w:rsidRPr="00796736">
        <w:rPr>
          <w:rFonts w:ascii="Times New Roman" w:hAnsi="Times New Roman" w:cs="Times New Roman"/>
          <w:sz w:val="24"/>
          <w:szCs w:val="24"/>
        </w:rPr>
        <w:t xml:space="preserve">, der under tilsvarende omstændigheder gælder for virksomheder og personer omfattet af </w:t>
      </w:r>
      <w:r w:rsidR="00221535" w:rsidRPr="00796736">
        <w:rPr>
          <w:rFonts w:ascii="Times New Roman" w:eastAsia="Times New Roman" w:hAnsi="Times New Roman" w:cs="Times New Roman"/>
          <w:sz w:val="24"/>
          <w:szCs w:val="24"/>
          <w:lang w:eastAsia="da-DK"/>
        </w:rPr>
        <w:t xml:space="preserve">§ 1, stk. 2, nr. 1-3, </w:t>
      </w:r>
      <w:r w:rsidR="00793B8C">
        <w:rPr>
          <w:rFonts w:ascii="Times New Roman" w:eastAsia="Times New Roman" w:hAnsi="Times New Roman" w:cs="Times New Roman"/>
          <w:sz w:val="24"/>
          <w:szCs w:val="24"/>
          <w:lang w:eastAsia="da-DK"/>
        </w:rPr>
        <w:t>samt</w:t>
      </w:r>
      <w:r w:rsidR="00221535" w:rsidRPr="00796736">
        <w:rPr>
          <w:rFonts w:ascii="Times New Roman" w:eastAsia="Times New Roman" w:hAnsi="Times New Roman" w:cs="Times New Roman"/>
          <w:sz w:val="24"/>
          <w:szCs w:val="24"/>
          <w:lang w:eastAsia="da-DK"/>
        </w:rPr>
        <w:t xml:space="preserve"> § 2, nr. 1-19 og 32, litra a</w:t>
      </w:r>
      <w:r w:rsidRPr="00796736">
        <w:rPr>
          <w:rFonts w:ascii="Times New Roman" w:hAnsi="Times New Roman" w:cs="Times New Roman"/>
          <w:sz w:val="24"/>
          <w:szCs w:val="24"/>
        </w:rPr>
        <w:t>, med henblik på at afhjælpe sådanne alvorlige, gentagne eller systematiske overtrædelser, hvor det er hensigtsmæssigt med bistand fra eller i samarbejde med hjemlandets tilsynsorgan.</w:t>
      </w:r>
    </w:p>
    <w:p w14:paraId="4D836FCD" w14:textId="77777777" w:rsidR="00767321" w:rsidRPr="00796736" w:rsidRDefault="00767321" w:rsidP="00A802A5">
      <w:pPr>
        <w:spacing w:line="360" w:lineRule="auto"/>
        <w:rPr>
          <w:rFonts w:ascii="Times New Roman" w:hAnsi="Times New Roman" w:cs="Times New Roman"/>
          <w:sz w:val="24"/>
          <w:szCs w:val="24"/>
        </w:rPr>
      </w:pPr>
    </w:p>
    <w:p w14:paraId="4664F9C4" w14:textId="0E83E2C2"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desuden, at er virksomheden en del af en koncern, som har hjemsted i hjemlandet, vil hjemlandet føre tilsyn med koncernens forpligtelser efter forslaget til </w:t>
      </w:r>
      <w:r w:rsidR="00944176" w:rsidRPr="00796736">
        <w:rPr>
          <w:rFonts w:ascii="Times New Roman" w:hAnsi="Times New Roman" w:cs="Times New Roman"/>
          <w:sz w:val="24"/>
          <w:szCs w:val="24"/>
        </w:rPr>
        <w:fldChar w:fldCharType="begin"/>
      </w:r>
      <w:r w:rsidR="00944176"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944176" w:rsidRPr="00796736">
        <w:rPr>
          <w:rFonts w:ascii="Times New Roman" w:hAnsi="Times New Roman" w:cs="Times New Roman"/>
          <w:sz w:val="24"/>
          <w:szCs w:val="24"/>
        </w:rPr>
      </w:r>
      <w:r w:rsidR="009441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944176" w:rsidRPr="00796736">
        <w:rPr>
          <w:rFonts w:ascii="Times New Roman" w:hAnsi="Times New Roman" w:cs="Times New Roman"/>
          <w:sz w:val="24"/>
          <w:szCs w:val="24"/>
        </w:rPr>
        <w:fldChar w:fldCharType="end"/>
      </w:r>
      <w:r w:rsidR="00E6672D" w:rsidRPr="00796736">
        <w:rPr>
          <w:rFonts w:ascii="Times New Roman" w:hAnsi="Times New Roman" w:cs="Times New Roman"/>
          <w:sz w:val="24"/>
          <w:szCs w:val="24"/>
        </w:rPr>
        <w:t>, stk. 1 og 2,</w:t>
      </w:r>
      <w:r w:rsidR="00221535" w:rsidRPr="00796736">
        <w:rPr>
          <w:rFonts w:ascii="Times New Roman" w:hAnsi="Times New Roman" w:cs="Times New Roman"/>
          <w:sz w:val="24"/>
          <w:szCs w:val="24"/>
        </w:rPr>
        <w:t xml:space="preserve"> </w:t>
      </w:r>
      <w:r w:rsidRPr="00796736">
        <w:rPr>
          <w:rFonts w:ascii="Times New Roman" w:hAnsi="Times New Roman" w:cs="Times New Roman"/>
          <w:sz w:val="24"/>
          <w:szCs w:val="24"/>
        </w:rPr>
        <w:t>jf. hvidvaskdirektivets artikel 46, stk. 2.</w:t>
      </w:r>
    </w:p>
    <w:p w14:paraId="2ACEBC6E" w14:textId="77777777" w:rsidR="00767321" w:rsidRPr="00796736" w:rsidRDefault="00767321" w:rsidP="00A802A5">
      <w:pPr>
        <w:spacing w:line="360" w:lineRule="auto"/>
        <w:rPr>
          <w:rFonts w:ascii="Times New Roman" w:hAnsi="Times New Roman" w:cs="Times New Roman"/>
          <w:sz w:val="24"/>
          <w:szCs w:val="24"/>
        </w:rPr>
      </w:pPr>
    </w:p>
    <w:p w14:paraId="581F94D6"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gennemfører hvidvaskdirektivets artikel 44, artikel 46, stk. 1, og artikel 47, stk. 1, litra c. </w:t>
      </w:r>
    </w:p>
    <w:p w14:paraId="4E9DBD84" w14:textId="77777777" w:rsidR="00767321" w:rsidRPr="00796736" w:rsidRDefault="00767321" w:rsidP="00A802A5">
      <w:pPr>
        <w:spacing w:line="360" w:lineRule="auto"/>
        <w:rPr>
          <w:rFonts w:ascii="Times New Roman" w:hAnsi="Times New Roman" w:cs="Times New Roman"/>
          <w:sz w:val="24"/>
          <w:szCs w:val="24"/>
        </w:rPr>
      </w:pPr>
    </w:p>
    <w:p w14:paraId="147C60C0" w14:textId="5252CC57" w:rsidR="00767321" w:rsidRPr="00796736" w:rsidRDefault="00767321"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eastAsia="Times New Roman" w:hAnsi="Times New Roman" w:cs="Times New Roman"/>
          <w:i/>
          <w:iCs/>
          <w:sz w:val="24"/>
          <w:szCs w:val="24"/>
          <w:lang w:eastAsia="da-DK"/>
        </w:rPr>
        <w:t>,</w:t>
      </w:r>
      <w:r w:rsidRPr="00796736">
        <w:rPr>
          <w:rFonts w:ascii="Times New Roman" w:eastAsia="Times New Roman" w:hAnsi="Times New Roman" w:cs="Times New Roman"/>
          <w:sz w:val="24"/>
          <w:szCs w:val="24"/>
          <w:lang w:eastAsia="da-DK"/>
        </w:rPr>
        <w:t xml:space="preserve"> at</w:t>
      </w:r>
      <w:r w:rsidRPr="00796736">
        <w:rPr>
          <w:rFonts w:ascii="Times New Roman" w:eastAsia="Times New Roman" w:hAnsi="Times New Roman" w:cs="Times New Roman"/>
          <w:i/>
          <w:iCs/>
          <w:sz w:val="24"/>
          <w:szCs w:val="24"/>
          <w:lang w:eastAsia="da-DK"/>
        </w:rPr>
        <w:t xml:space="preserve"> </w:t>
      </w:r>
      <w:r w:rsidRPr="00796736">
        <w:rPr>
          <w:rFonts w:ascii="Times New Roman" w:eastAsia="Times New Roman" w:hAnsi="Times New Roman" w:cs="Times New Roman"/>
          <w:sz w:val="24"/>
          <w:szCs w:val="24"/>
          <w:lang w:eastAsia="da-DK"/>
        </w:rPr>
        <w:t>tilsynsmyndighederne i </w:t>
      </w:r>
      <w:r w:rsidRPr="00796736">
        <w:rPr>
          <w:rFonts w:ascii="Times New Roman" w:eastAsia="Times New Roman" w:hAnsi="Times New Roman" w:cs="Times New Roman"/>
          <w:iCs/>
          <w:sz w:val="24"/>
          <w:szCs w:val="24"/>
          <w:lang w:eastAsia="da-DK"/>
        </w:rPr>
        <w:t xml:space="preserve">et </w:t>
      </w:r>
      <w:r w:rsidR="00221535" w:rsidRPr="00796736">
        <w:rPr>
          <w:rFonts w:ascii="Times New Roman" w:eastAsia="Times New Roman" w:hAnsi="Times New Roman" w:cs="Times New Roman"/>
          <w:sz w:val="24"/>
          <w:szCs w:val="24"/>
          <w:lang w:eastAsia="da-DK"/>
        </w:rPr>
        <w:t xml:space="preserve">land inden for Den Europæiske Union eller i et land, som Unionen har indgået aftale med på det finansielle område, kan efter forudgående aftale med Finanstilsynet foretage inspektion i de her i landet beliggende filialer, agenter og distributører omfattet af § 1, stk. 2, nr. 1-3, </w:t>
      </w:r>
      <w:r w:rsidR="00793B8C">
        <w:rPr>
          <w:rFonts w:ascii="Times New Roman" w:eastAsia="Times New Roman" w:hAnsi="Times New Roman" w:cs="Times New Roman"/>
          <w:sz w:val="24"/>
          <w:szCs w:val="24"/>
          <w:lang w:eastAsia="da-DK"/>
        </w:rPr>
        <w:t>samt</w:t>
      </w:r>
      <w:r w:rsidR="00221535" w:rsidRPr="00796736">
        <w:rPr>
          <w:rFonts w:ascii="Times New Roman" w:eastAsia="Times New Roman" w:hAnsi="Times New Roman" w:cs="Times New Roman"/>
          <w:sz w:val="24"/>
          <w:szCs w:val="24"/>
          <w:lang w:eastAsia="da-DK"/>
        </w:rPr>
        <w:t xml:space="preserve"> § 2, nr. 1-19 og 32, litra a, af udenlandske virksomheder med hjemsted i det pågældende land. </w:t>
      </w:r>
      <w:r w:rsidRPr="00796736">
        <w:rPr>
          <w:rFonts w:ascii="Times New Roman" w:eastAsia="Times New Roman" w:hAnsi="Times New Roman" w:cs="Times New Roman"/>
          <w:sz w:val="24"/>
          <w:szCs w:val="24"/>
          <w:lang w:eastAsia="da-DK"/>
        </w:rPr>
        <w:t>Det foreslås endvidere, at Finanstilsynet kan deltage i inspektionen som nævnt i 1. pkt. Det foreslås endeligt</w:t>
      </w:r>
      <w:r w:rsidR="00221535"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 xml:space="preserve">at hvis en virksomhed eller person som nævnt i 1. pkt. </w:t>
      </w:r>
      <w:r w:rsidR="00302A1B">
        <w:rPr>
          <w:rFonts w:ascii="Times New Roman" w:eastAsia="Times New Roman" w:hAnsi="Times New Roman" w:cs="Times New Roman"/>
          <w:sz w:val="24"/>
          <w:szCs w:val="24"/>
          <w:lang w:eastAsia="da-DK"/>
        </w:rPr>
        <w:t>M</w:t>
      </w:r>
      <w:r w:rsidRPr="00796736">
        <w:rPr>
          <w:rFonts w:ascii="Times New Roman" w:eastAsia="Times New Roman" w:hAnsi="Times New Roman" w:cs="Times New Roman"/>
          <w:sz w:val="24"/>
          <w:szCs w:val="24"/>
          <w:lang w:eastAsia="da-DK"/>
        </w:rPr>
        <w:t xml:space="preserve">odsætter sig en kompetent udenlandsk myndigheds inspektion, kan undersøgelsen kun foretages med Finanstilsynets medvirken. </w:t>
      </w:r>
    </w:p>
    <w:p w14:paraId="02985988" w14:textId="77777777" w:rsidR="00767321" w:rsidRPr="00796736" w:rsidRDefault="00767321" w:rsidP="00A802A5">
      <w:pPr>
        <w:spacing w:line="360" w:lineRule="auto"/>
        <w:rPr>
          <w:rFonts w:ascii="Times New Roman" w:eastAsia="Times New Roman" w:hAnsi="Times New Roman" w:cs="Times New Roman"/>
          <w:sz w:val="24"/>
          <w:szCs w:val="24"/>
          <w:lang w:eastAsia="da-DK"/>
        </w:rPr>
      </w:pPr>
    </w:p>
    <w:p w14:paraId="29AF573A" w14:textId="77777777" w:rsidR="00767321" w:rsidRPr="00796736" w:rsidRDefault="00767321"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Den foreslåede bestemmelse svarer med de fornødne tilpasninger til den gældende hvidvasklovs § 50, stk. 1.</w:t>
      </w:r>
    </w:p>
    <w:p w14:paraId="46B214FA" w14:textId="77777777" w:rsidR="00767321" w:rsidRPr="00796736" w:rsidRDefault="00767321" w:rsidP="00A802A5">
      <w:pPr>
        <w:spacing w:line="360" w:lineRule="auto"/>
        <w:rPr>
          <w:rFonts w:ascii="Times New Roman" w:hAnsi="Times New Roman" w:cs="Times New Roman"/>
          <w:sz w:val="24"/>
          <w:szCs w:val="24"/>
        </w:rPr>
      </w:pPr>
    </w:p>
    <w:p w14:paraId="38DBA18C"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være et krav efter den forslåede bestemmelse, at den udenlandske tilsynsmyndighed aftaler inspektionen med Finanstilsynet forud for udførelsen. Finanstilsynet skal herefter underrette den her i landet beliggende virksomhed om den forventede inspektion. </w:t>
      </w:r>
    </w:p>
    <w:p w14:paraId="5CD152D2" w14:textId="77777777" w:rsidR="00767321" w:rsidRPr="00796736" w:rsidRDefault="00767321" w:rsidP="00A802A5">
      <w:pPr>
        <w:spacing w:line="360" w:lineRule="auto"/>
        <w:rPr>
          <w:rFonts w:ascii="Times New Roman" w:hAnsi="Times New Roman" w:cs="Times New Roman"/>
          <w:sz w:val="24"/>
          <w:szCs w:val="24"/>
        </w:rPr>
      </w:pPr>
    </w:p>
    <w:p w14:paraId="65632FC2" w14:textId="755B0516"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alene omfatte her i landet beliggende filialer, agenter og distributører af udenlandske virksomheder </w:t>
      </w:r>
      <w:r w:rsidR="00221535" w:rsidRPr="00796736">
        <w:rPr>
          <w:rFonts w:ascii="Times New Roman" w:hAnsi="Times New Roman" w:cs="Times New Roman"/>
          <w:sz w:val="24"/>
          <w:szCs w:val="24"/>
        </w:rPr>
        <w:t xml:space="preserve">omfattet af </w:t>
      </w:r>
      <w:r w:rsidR="00221535" w:rsidRPr="00796736">
        <w:rPr>
          <w:rFonts w:ascii="Times New Roman" w:eastAsia="Times New Roman" w:hAnsi="Times New Roman" w:cs="Times New Roman"/>
          <w:sz w:val="24"/>
          <w:szCs w:val="24"/>
          <w:lang w:eastAsia="da-DK"/>
        </w:rPr>
        <w:t xml:space="preserve">§ 1, stk. 2, nr. 1-3, </w:t>
      </w:r>
      <w:r w:rsidR="00586D2B">
        <w:rPr>
          <w:rFonts w:ascii="Times New Roman" w:eastAsia="Times New Roman" w:hAnsi="Times New Roman" w:cs="Times New Roman"/>
          <w:sz w:val="24"/>
          <w:szCs w:val="24"/>
          <w:lang w:eastAsia="da-DK"/>
        </w:rPr>
        <w:t>samt</w:t>
      </w:r>
      <w:r w:rsidR="00221535" w:rsidRPr="00796736">
        <w:rPr>
          <w:rFonts w:ascii="Times New Roman" w:eastAsia="Times New Roman" w:hAnsi="Times New Roman" w:cs="Times New Roman"/>
          <w:sz w:val="24"/>
          <w:szCs w:val="24"/>
          <w:lang w:eastAsia="da-DK"/>
        </w:rPr>
        <w:t xml:space="preserve"> § 2, nr. 1-19 og 32, litra a</w:t>
      </w:r>
      <w:r w:rsidRPr="00796736">
        <w:rPr>
          <w:rFonts w:ascii="Times New Roman" w:hAnsi="Times New Roman" w:cs="Times New Roman"/>
          <w:sz w:val="24"/>
          <w:szCs w:val="24"/>
        </w:rPr>
        <w:t xml:space="preserve">. Bestemmelsen vil således ikke omfatte danske virksomheder eller personer. </w:t>
      </w:r>
    </w:p>
    <w:p w14:paraId="292C0DC7" w14:textId="77777777" w:rsidR="00767321" w:rsidRPr="00796736" w:rsidRDefault="00767321" w:rsidP="00A802A5">
      <w:pPr>
        <w:spacing w:line="360" w:lineRule="auto"/>
        <w:rPr>
          <w:rFonts w:ascii="Times New Roman" w:hAnsi="Times New Roman" w:cs="Times New Roman"/>
          <w:sz w:val="24"/>
          <w:szCs w:val="24"/>
        </w:rPr>
      </w:pPr>
    </w:p>
    <w:p w14:paraId="1A195F24"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kan tænkes anvendt, hvor et betalingsinstitut i et andet EU- eller EØS-land, har en filial i Danmark. Hvis Finanstilsynet kommer i besiddelse af oplysninger, der kan påvirke den kompetente myndighed i hjemlandets vurdering af betalingsinstituttet, bør Finanstilsynet således underrette hjemlandets kompetente myndighed. </w:t>
      </w:r>
    </w:p>
    <w:p w14:paraId="5A63A55E" w14:textId="77777777" w:rsidR="00767321" w:rsidRPr="00796736" w:rsidRDefault="00767321" w:rsidP="00A802A5">
      <w:pPr>
        <w:spacing w:line="360" w:lineRule="auto"/>
        <w:rPr>
          <w:rFonts w:ascii="Times New Roman" w:hAnsi="Times New Roman" w:cs="Times New Roman"/>
          <w:sz w:val="24"/>
          <w:szCs w:val="24"/>
        </w:rPr>
      </w:pPr>
    </w:p>
    <w:p w14:paraId="3BCBF751" w14:textId="11B13AE6"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Udenlandske tilsynsmyndigheder fra et EU- eller EØS-land vil alene være kompetente for så vidt angår virksomheder, som er stiftet og godkendt i myndighedens hjemland. Hvis en udenlandsk myndighed vil undersøge den pågældende virksomheds filial, agent eller distributør i Danmark, vil dette skulle ske ved stedlige undersøgelser her i landet. En sådan undersøgelse vil relatere sig til moderselskabets overholdelse af koncernreglerne i hjemlandet. Tilsynet med filialens overholdelse af danske regler føres derimod af Finanstilsynet, jf. den foreslåede bestemmelse i </w:t>
      </w:r>
      <w:r w:rsidR="00944176" w:rsidRPr="00796736">
        <w:rPr>
          <w:rFonts w:ascii="Times New Roman" w:hAnsi="Times New Roman" w:cs="Times New Roman"/>
          <w:sz w:val="24"/>
          <w:szCs w:val="24"/>
        </w:rPr>
        <w:fldChar w:fldCharType="begin"/>
      </w:r>
      <w:r w:rsidR="00944176"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944176" w:rsidRPr="00796736">
        <w:rPr>
          <w:rFonts w:ascii="Times New Roman" w:hAnsi="Times New Roman" w:cs="Times New Roman"/>
          <w:sz w:val="24"/>
          <w:szCs w:val="24"/>
        </w:rPr>
      </w:r>
      <w:r w:rsidR="009441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944176" w:rsidRPr="00796736">
        <w:rPr>
          <w:rFonts w:ascii="Times New Roman" w:hAnsi="Times New Roman" w:cs="Times New Roman"/>
          <w:sz w:val="24"/>
          <w:szCs w:val="24"/>
        </w:rPr>
        <w:fldChar w:fldCharType="end"/>
      </w:r>
      <w:r w:rsidR="00FD71C8" w:rsidRPr="00796736">
        <w:rPr>
          <w:rFonts w:ascii="Times New Roman" w:hAnsi="Times New Roman" w:cs="Times New Roman"/>
          <w:sz w:val="24"/>
          <w:szCs w:val="24"/>
        </w:rPr>
        <w:t>, stk. 1 og 2</w:t>
      </w:r>
      <w:r w:rsidRPr="00796736">
        <w:rPr>
          <w:rFonts w:ascii="Times New Roman" w:hAnsi="Times New Roman" w:cs="Times New Roman"/>
          <w:sz w:val="24"/>
          <w:szCs w:val="24"/>
        </w:rPr>
        <w:t xml:space="preserve">. Selve undersøgelsen vil foregå efter danske processuelle regler, men den udenlandske virksomheds filial, agent eller distributør i Danmark skal leve op til det udenlandske hjemlands regelsæt på det område, der er genstand for undersøgelsen. </w:t>
      </w:r>
    </w:p>
    <w:p w14:paraId="1ADBB50C" w14:textId="77777777" w:rsidR="00767321" w:rsidRPr="00796736" w:rsidRDefault="00767321" w:rsidP="00A802A5">
      <w:pPr>
        <w:spacing w:line="360" w:lineRule="auto"/>
        <w:rPr>
          <w:rFonts w:ascii="Times New Roman" w:hAnsi="Times New Roman" w:cs="Times New Roman"/>
          <w:sz w:val="24"/>
          <w:szCs w:val="24"/>
        </w:rPr>
      </w:pPr>
    </w:p>
    <w:p w14:paraId="79BD3FEF" w14:textId="6183B403"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udenlandsk myndigheds inspektion skal foregå under samme betingelser som Finanstilsynets inspektioner, hvilket betyder, at inspektionen skal ske i overensstemmelse med lov om retssikkerhed ved forvaltningens anvendelse af tvangsindgreb og oplysningspligter. Den udenlandske myndighed har derfor som udgangspunkt udelukkende adgang til forretningslokaler og således ikke til private boliger. Der er mulighed for at foretage inspektion uden forudgående varsling. Muligheden for at foretage uanmeldt inspektion uden forudgående varsling skal alene anvendes, hvis det er Finanstilsynets vurdering, at formålet med inspektionen ville blive forspildt, hvis inspektionen blev varslet. Finanstilsynet meddeler den udenlandske myndighed, hvorvidt et ønske om en uanmeldt inspektion kan imødekommes. Udgangspunktet er således fortsat, at inspektioner hos de i lovforslagets </w:t>
      </w:r>
      <w:r w:rsidR="00221535" w:rsidRPr="00796736">
        <w:rPr>
          <w:rFonts w:ascii="Times New Roman" w:eastAsia="Times New Roman" w:hAnsi="Times New Roman" w:cs="Times New Roman"/>
          <w:sz w:val="24"/>
          <w:szCs w:val="24"/>
          <w:lang w:eastAsia="da-DK"/>
        </w:rPr>
        <w:t xml:space="preserve">§ 1, stk. 2, nr. 1-3, </w:t>
      </w:r>
      <w:r w:rsidR="00793B8C">
        <w:rPr>
          <w:rFonts w:ascii="Times New Roman" w:eastAsia="Times New Roman" w:hAnsi="Times New Roman" w:cs="Times New Roman"/>
          <w:sz w:val="24"/>
          <w:szCs w:val="24"/>
          <w:lang w:eastAsia="da-DK"/>
        </w:rPr>
        <w:t>samt</w:t>
      </w:r>
      <w:r w:rsidR="00221535" w:rsidRPr="00796736">
        <w:rPr>
          <w:rFonts w:ascii="Times New Roman" w:eastAsia="Times New Roman" w:hAnsi="Times New Roman" w:cs="Times New Roman"/>
          <w:sz w:val="24"/>
          <w:szCs w:val="24"/>
          <w:lang w:eastAsia="da-DK"/>
        </w:rPr>
        <w:t xml:space="preserve"> § 2, nr. 1-19 og 32, litra a</w:t>
      </w:r>
      <w:r w:rsidRPr="00796736">
        <w:rPr>
          <w:rFonts w:ascii="Times New Roman" w:hAnsi="Times New Roman" w:cs="Times New Roman"/>
          <w:sz w:val="24"/>
          <w:szCs w:val="24"/>
        </w:rPr>
        <w:t>, nævnte virksomheder og personer skal varsles på forhånd, i det omfang det er muligt.</w:t>
      </w:r>
    </w:p>
    <w:p w14:paraId="6C4AA4F7" w14:textId="77777777" w:rsidR="00767321" w:rsidRPr="00796736" w:rsidRDefault="00767321" w:rsidP="00A802A5">
      <w:pPr>
        <w:spacing w:line="360" w:lineRule="auto"/>
        <w:rPr>
          <w:rFonts w:ascii="Times New Roman" w:hAnsi="Times New Roman" w:cs="Times New Roman"/>
          <w:sz w:val="24"/>
          <w:szCs w:val="24"/>
        </w:rPr>
      </w:pPr>
    </w:p>
    <w:p w14:paraId="06A77C5D"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er mulighed for at foretage tilsynsbesøg uden forudgående varsling. Muligheden for at foretage uanmeldt tilsynsbesøg skal alene anvendes, hvis det er Finanstilsynets vurdering, at formålet med tilsynsbesøget ville blive forspildt, hvis det blev varslet. Finanstilsynet meddeler den udenlandske myndighed, hvorvidt et ønske om et uanmeldt tilsynsbesøg kan imødekommes. Udgangspunktet er således som efter gældende ret, at et tilsynsbesøg skal varsles på forhånd, i det omfang, det er muligt.</w:t>
      </w:r>
    </w:p>
    <w:p w14:paraId="625AAD29" w14:textId="77777777" w:rsidR="00767321" w:rsidRPr="00796736" w:rsidRDefault="00767321" w:rsidP="00A802A5">
      <w:pPr>
        <w:spacing w:line="360" w:lineRule="auto"/>
        <w:rPr>
          <w:rFonts w:ascii="Times New Roman" w:hAnsi="Times New Roman" w:cs="Times New Roman"/>
          <w:sz w:val="24"/>
          <w:szCs w:val="24"/>
        </w:rPr>
      </w:pPr>
    </w:p>
    <w:p w14:paraId="4BB1F2A2" w14:textId="122968C0"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2. pkt. vil indebære, at Finanstilsynet kan deltage i tilsynsbesøget, som nævnt i 1. pkt. Herefter vil Finanstilsynet kunne beslutte at deltage i en EU- eller EØS-tilsynsmyndigheds tilsyn af her i landet beliggende filialer, agenter og distributører </w:t>
      </w:r>
      <w:r w:rsidR="00221535" w:rsidRPr="00796736">
        <w:rPr>
          <w:rFonts w:ascii="Times New Roman" w:hAnsi="Times New Roman" w:cs="Times New Roman"/>
          <w:sz w:val="24"/>
          <w:szCs w:val="24"/>
        </w:rPr>
        <w:t xml:space="preserve">omfattet af </w:t>
      </w:r>
      <w:r w:rsidR="00221535" w:rsidRPr="00796736">
        <w:rPr>
          <w:rFonts w:ascii="Times New Roman" w:eastAsia="Times New Roman" w:hAnsi="Times New Roman" w:cs="Times New Roman"/>
          <w:sz w:val="24"/>
          <w:szCs w:val="24"/>
          <w:lang w:eastAsia="da-DK"/>
        </w:rPr>
        <w:t xml:space="preserve">§ 1, stk. 2, nr. 1-3, </w:t>
      </w:r>
      <w:r w:rsidR="00793B8C">
        <w:rPr>
          <w:rFonts w:ascii="Times New Roman" w:eastAsia="Times New Roman" w:hAnsi="Times New Roman" w:cs="Times New Roman"/>
          <w:sz w:val="24"/>
          <w:szCs w:val="24"/>
          <w:lang w:eastAsia="da-DK"/>
        </w:rPr>
        <w:t>samt</w:t>
      </w:r>
      <w:r w:rsidR="00221535" w:rsidRPr="00796736">
        <w:rPr>
          <w:rFonts w:ascii="Times New Roman" w:eastAsia="Times New Roman" w:hAnsi="Times New Roman" w:cs="Times New Roman"/>
          <w:sz w:val="24"/>
          <w:szCs w:val="24"/>
          <w:lang w:eastAsia="da-DK"/>
        </w:rPr>
        <w:t xml:space="preserve"> § 2, nr. 1-19 og 32, litra a</w:t>
      </w:r>
      <w:r w:rsidRPr="00796736">
        <w:rPr>
          <w:rFonts w:ascii="Times New Roman" w:hAnsi="Times New Roman" w:cs="Times New Roman"/>
          <w:sz w:val="24"/>
          <w:szCs w:val="24"/>
        </w:rPr>
        <w:t xml:space="preserve">, af udenlandske virksomheder. </w:t>
      </w:r>
    </w:p>
    <w:p w14:paraId="04B60A8B" w14:textId="77777777" w:rsidR="00767321" w:rsidRPr="00796736" w:rsidRDefault="00767321" w:rsidP="00A802A5">
      <w:pPr>
        <w:spacing w:line="360" w:lineRule="auto"/>
        <w:rPr>
          <w:rFonts w:ascii="Times New Roman" w:hAnsi="Times New Roman" w:cs="Times New Roman"/>
          <w:sz w:val="24"/>
          <w:szCs w:val="24"/>
        </w:rPr>
      </w:pPr>
    </w:p>
    <w:p w14:paraId="56BF3A3B" w14:textId="7C26BD9C"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vil dermed kunne føre tilsyn med, at filialen m.v. overholder danske regler, jf. den foreslåede bestemmelse i </w:t>
      </w:r>
      <w:r w:rsidR="00B14FAC" w:rsidRPr="00796736">
        <w:rPr>
          <w:rFonts w:ascii="Times New Roman" w:hAnsi="Times New Roman" w:cs="Times New Roman"/>
          <w:sz w:val="24"/>
          <w:szCs w:val="24"/>
        </w:rPr>
        <w:fldChar w:fldCharType="begin"/>
      </w:r>
      <w:r w:rsidR="00B14FAC"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B14FAC" w:rsidRPr="00796736">
        <w:rPr>
          <w:rFonts w:ascii="Times New Roman" w:hAnsi="Times New Roman" w:cs="Times New Roman"/>
          <w:sz w:val="24"/>
          <w:szCs w:val="24"/>
        </w:rPr>
      </w:r>
      <w:r w:rsidR="00B14FA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B14FA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jf. artikel 47 i hvidvaskdirektivet, og at den udenlandske tilsynsmyndigheds inspektion foregår i overensstemmelse med danske regler herfor. </w:t>
      </w:r>
    </w:p>
    <w:p w14:paraId="0129CB12" w14:textId="77777777" w:rsidR="00767321" w:rsidRPr="00796736" w:rsidRDefault="00767321" w:rsidP="00A802A5">
      <w:pPr>
        <w:spacing w:line="360" w:lineRule="auto"/>
        <w:rPr>
          <w:rFonts w:ascii="Times New Roman" w:hAnsi="Times New Roman" w:cs="Times New Roman"/>
          <w:sz w:val="24"/>
          <w:szCs w:val="24"/>
        </w:rPr>
      </w:pPr>
    </w:p>
    <w:p w14:paraId="3B6018A7"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3. pkt. indebærer, at såfremt en virksomhed modsætter sig den kompetente myndigheds inspektion, kan undersøgelsen kun foretages med Finanstilsynets medvirken. At virksomheden modsætter sig en inspektion skal forstås som, at virksomheden gør indsigelse mod inspektionens gennemførelse. </w:t>
      </w:r>
    </w:p>
    <w:p w14:paraId="709E9176" w14:textId="77777777" w:rsidR="00767321" w:rsidRPr="00796736" w:rsidRDefault="00767321" w:rsidP="00A802A5">
      <w:pPr>
        <w:spacing w:line="360" w:lineRule="auto"/>
        <w:rPr>
          <w:rFonts w:ascii="Times New Roman" w:hAnsi="Times New Roman" w:cs="Times New Roman"/>
          <w:sz w:val="24"/>
          <w:szCs w:val="24"/>
        </w:rPr>
      </w:pPr>
    </w:p>
    <w:p w14:paraId="0E3F5C86" w14:textId="100CC68F"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svarer med de fornødne tilpasninger til den gældende hvidvasklovs § 50, stk. 1</w:t>
      </w:r>
      <w:r w:rsidR="00FE7B3B">
        <w:rPr>
          <w:rFonts w:ascii="Times New Roman" w:hAnsi="Times New Roman" w:cs="Times New Roman"/>
          <w:sz w:val="24"/>
          <w:szCs w:val="24"/>
        </w:rPr>
        <w:t>,</w:t>
      </w:r>
      <w:r w:rsidRPr="00796736">
        <w:rPr>
          <w:rFonts w:ascii="Times New Roman" w:hAnsi="Times New Roman" w:cs="Times New Roman"/>
          <w:sz w:val="24"/>
          <w:szCs w:val="24"/>
        </w:rPr>
        <w:t xml:space="preserve"> og gennemfører artikel 46, stk. 1 og artikel 47, stk. 1, litra c, </w:t>
      </w:r>
      <w:r w:rsidR="007165DA">
        <w:rPr>
          <w:rFonts w:ascii="Times New Roman" w:hAnsi="Times New Roman" w:cs="Times New Roman"/>
          <w:sz w:val="24"/>
          <w:szCs w:val="24"/>
        </w:rPr>
        <w:t xml:space="preserve">i 6. hvidvaskdirektiv </w:t>
      </w:r>
      <w:r w:rsidRPr="00796736">
        <w:rPr>
          <w:rFonts w:ascii="Times New Roman" w:hAnsi="Times New Roman" w:cs="Times New Roman"/>
          <w:sz w:val="24"/>
          <w:szCs w:val="24"/>
        </w:rPr>
        <w:t>for så vidt angår her i landet beliggende virksomheder og personer</w:t>
      </w:r>
      <w:r w:rsidR="00CD308D" w:rsidRPr="00796736">
        <w:rPr>
          <w:rFonts w:ascii="Times New Roman" w:hAnsi="Times New Roman" w:cs="Times New Roman"/>
          <w:sz w:val="24"/>
          <w:szCs w:val="24"/>
        </w:rPr>
        <w:t>,</w:t>
      </w:r>
      <w:r w:rsidRPr="00796736">
        <w:rPr>
          <w:rFonts w:ascii="Times New Roman" w:hAnsi="Times New Roman" w:cs="Times New Roman"/>
          <w:sz w:val="24"/>
          <w:szCs w:val="24"/>
        </w:rPr>
        <w:t xml:space="preserve"> som nævnt i </w:t>
      </w:r>
      <w:r w:rsidR="007165DA" w:rsidRPr="00796736">
        <w:rPr>
          <w:rFonts w:ascii="Times New Roman" w:eastAsia="Times New Roman" w:hAnsi="Times New Roman" w:cs="Times New Roman"/>
          <w:sz w:val="24"/>
          <w:szCs w:val="24"/>
          <w:lang w:eastAsia="da-DK"/>
        </w:rPr>
        <w:t xml:space="preserve">§ 1, stk. 2, nr. 1-3, </w:t>
      </w:r>
      <w:r w:rsidR="00793B8C">
        <w:rPr>
          <w:rFonts w:ascii="Times New Roman" w:eastAsia="Times New Roman" w:hAnsi="Times New Roman" w:cs="Times New Roman"/>
          <w:sz w:val="24"/>
          <w:szCs w:val="24"/>
          <w:lang w:eastAsia="da-DK"/>
        </w:rPr>
        <w:t>samt</w:t>
      </w:r>
      <w:r w:rsidR="007165DA" w:rsidRPr="00796736">
        <w:rPr>
          <w:rFonts w:ascii="Times New Roman" w:eastAsia="Times New Roman" w:hAnsi="Times New Roman" w:cs="Times New Roman"/>
          <w:sz w:val="24"/>
          <w:szCs w:val="24"/>
          <w:lang w:eastAsia="da-DK"/>
        </w:rPr>
        <w:t xml:space="preserve"> § 2, nr. 1-19 og 32, litra a</w:t>
      </w:r>
      <w:r w:rsidR="007165DA">
        <w:rPr>
          <w:rFonts w:ascii="Times New Roman" w:eastAsia="Times New Roman" w:hAnsi="Times New Roman" w:cs="Times New Roman"/>
          <w:sz w:val="24"/>
          <w:szCs w:val="24"/>
          <w:lang w:eastAsia="da-DK"/>
        </w:rPr>
        <w:t>.</w:t>
      </w:r>
    </w:p>
    <w:p w14:paraId="2FCD2F83" w14:textId="77777777" w:rsidR="00767321" w:rsidRPr="00796736" w:rsidRDefault="00767321" w:rsidP="00A802A5">
      <w:pPr>
        <w:spacing w:line="360" w:lineRule="auto"/>
        <w:rPr>
          <w:rFonts w:ascii="Times New Roman" w:hAnsi="Times New Roman" w:cs="Times New Roman"/>
          <w:sz w:val="24"/>
          <w:szCs w:val="24"/>
        </w:rPr>
      </w:pPr>
    </w:p>
    <w:p w14:paraId="6DA47C38" w14:textId="601D62C4" w:rsidR="00767321" w:rsidRPr="00796736" w:rsidRDefault="00767321"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Det foreslås i </w:t>
      </w:r>
      <w:r w:rsidRPr="00796736">
        <w:rPr>
          <w:rFonts w:ascii="Times New Roman" w:eastAsia="Times New Roman" w:hAnsi="Times New Roman" w:cs="Times New Roman"/>
          <w:i/>
          <w:iCs/>
          <w:sz w:val="24"/>
          <w:szCs w:val="24"/>
          <w:lang w:eastAsia="da-DK"/>
        </w:rPr>
        <w:t xml:space="preserve">stk. 3, </w:t>
      </w:r>
      <w:r w:rsidRPr="00796736">
        <w:rPr>
          <w:rFonts w:ascii="Times New Roman" w:eastAsia="Times New Roman" w:hAnsi="Times New Roman" w:cs="Times New Roman"/>
          <w:sz w:val="24"/>
          <w:szCs w:val="24"/>
          <w:lang w:eastAsia="da-DK"/>
        </w:rPr>
        <w:t>at </w:t>
      </w:r>
      <w:r w:rsidR="00302A1B" w:rsidRPr="00796736">
        <w:rPr>
          <w:rFonts w:ascii="Times New Roman" w:hAnsi="Times New Roman" w:cs="Times New Roman"/>
          <w:sz w:val="24"/>
          <w:szCs w:val="24"/>
        </w:rPr>
        <w:t xml:space="preserve">Finanstilsynet kan anmode de kompetente myndigheder i et andet land inden for Den Europæiske Union eller i et land, som Unionen har indgået aftale med på det finansielle område om at medvirke til at påse overholdelsen af loven og de regler, der er udstedt i medfør af loven, vedrørende virksomheder og personer omfattet af § 1, stk. 2, nr. 1-3, </w:t>
      </w:r>
      <w:r w:rsidR="00793B8C">
        <w:rPr>
          <w:rFonts w:ascii="Times New Roman" w:hAnsi="Times New Roman" w:cs="Times New Roman"/>
          <w:sz w:val="24"/>
          <w:szCs w:val="24"/>
        </w:rPr>
        <w:t>samt</w:t>
      </w:r>
      <w:r w:rsidR="00302A1B" w:rsidRPr="00796736">
        <w:rPr>
          <w:rFonts w:ascii="Times New Roman" w:hAnsi="Times New Roman" w:cs="Times New Roman"/>
          <w:sz w:val="24"/>
          <w:szCs w:val="24"/>
        </w:rPr>
        <w:t xml:space="preserve"> § 2, nr. 1-19 og 32, litra a, med hjemsted i et andet land inden for Den Europæiske Union eller i et land, som Unionen har indgået aftale med på det finansielle område, ved tilsynsaktioner, kontroller på stedet eller inspektioner på det pågældende lands område.</w:t>
      </w:r>
    </w:p>
    <w:p w14:paraId="5A3E630F" w14:textId="77777777" w:rsidR="00767321" w:rsidRPr="00796736" w:rsidRDefault="00767321" w:rsidP="00A802A5">
      <w:pPr>
        <w:spacing w:line="360" w:lineRule="auto"/>
        <w:rPr>
          <w:rFonts w:ascii="Times New Roman" w:eastAsia="Times New Roman" w:hAnsi="Times New Roman" w:cs="Times New Roman"/>
          <w:sz w:val="24"/>
          <w:szCs w:val="24"/>
          <w:lang w:eastAsia="da-DK"/>
        </w:rPr>
      </w:pPr>
    </w:p>
    <w:p w14:paraId="266B13E3" w14:textId="77777777" w:rsidR="00767321" w:rsidRPr="00796736" w:rsidRDefault="00767321"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Hvor stk. 2 vedrører udenlandske myndigheders mulighed for at foretage inspektioner her i landet, vedrører stk. 3 Finanstilsynets mulighed for at foretage inspektioner i udlandet. Finanstilsynets inspektioner i udlandet skal ske i overensstemmelse med reglerne i det pågældende land.</w:t>
      </w:r>
    </w:p>
    <w:p w14:paraId="74E6B258" w14:textId="77777777" w:rsidR="00767321" w:rsidRPr="00796736" w:rsidRDefault="00767321" w:rsidP="00A802A5">
      <w:pPr>
        <w:spacing w:line="360" w:lineRule="auto"/>
        <w:rPr>
          <w:rFonts w:ascii="Times New Roman" w:hAnsi="Times New Roman" w:cs="Times New Roman"/>
          <w:sz w:val="24"/>
          <w:szCs w:val="24"/>
        </w:rPr>
      </w:pPr>
    </w:p>
    <w:p w14:paraId="5154D3BA" w14:textId="77777777"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vil Finanstilsynet kunne foretage inspektioner i udlandet, når det pågældende EU- eller EØS-lands lovmæssige betingelser for afholdelse af inspektioner er opfyldt.</w:t>
      </w:r>
    </w:p>
    <w:p w14:paraId="3E4B66DB" w14:textId="77777777" w:rsidR="00767321" w:rsidRPr="00796736" w:rsidRDefault="00767321" w:rsidP="00A802A5">
      <w:pPr>
        <w:spacing w:line="360" w:lineRule="auto"/>
        <w:rPr>
          <w:rFonts w:ascii="Times New Roman" w:hAnsi="Times New Roman" w:cs="Times New Roman"/>
          <w:sz w:val="24"/>
          <w:szCs w:val="24"/>
        </w:rPr>
      </w:pPr>
    </w:p>
    <w:p w14:paraId="2D5EE50A" w14:textId="64070D89" w:rsidR="00767321" w:rsidRPr="00796736" w:rsidRDefault="0076732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gennemfører artikel 46, stk. 1 og 47, stk. 1, litra c, </w:t>
      </w:r>
      <w:r w:rsidR="007165DA">
        <w:rPr>
          <w:rFonts w:ascii="Times New Roman" w:hAnsi="Times New Roman" w:cs="Times New Roman"/>
          <w:sz w:val="24"/>
          <w:szCs w:val="24"/>
        </w:rPr>
        <w:t xml:space="preserve">i 6. hvidvaskdirektiv </w:t>
      </w:r>
      <w:r w:rsidRPr="00796736">
        <w:rPr>
          <w:rFonts w:ascii="Times New Roman" w:hAnsi="Times New Roman" w:cs="Times New Roman"/>
          <w:sz w:val="24"/>
          <w:szCs w:val="24"/>
        </w:rPr>
        <w:t xml:space="preserve">for så vidt angår </w:t>
      </w:r>
      <w:r w:rsidRPr="00796736">
        <w:rPr>
          <w:rFonts w:ascii="Times New Roman" w:eastAsia="Times New Roman" w:hAnsi="Times New Roman" w:cs="Times New Roman"/>
          <w:sz w:val="24"/>
          <w:szCs w:val="24"/>
          <w:lang w:eastAsia="da-DK"/>
        </w:rPr>
        <w:t xml:space="preserve">virksomheder og personer som nævnt i </w:t>
      </w:r>
      <w:r w:rsidR="007165DA" w:rsidRPr="00796736">
        <w:rPr>
          <w:rFonts w:ascii="Times New Roman" w:eastAsia="Times New Roman" w:hAnsi="Times New Roman" w:cs="Times New Roman"/>
          <w:sz w:val="24"/>
          <w:szCs w:val="24"/>
          <w:lang w:eastAsia="da-DK"/>
        </w:rPr>
        <w:t xml:space="preserve">§ 1, stk. 2, nr. 1-3, </w:t>
      </w:r>
      <w:r w:rsidR="00793B8C">
        <w:rPr>
          <w:rFonts w:ascii="Times New Roman" w:eastAsia="Times New Roman" w:hAnsi="Times New Roman" w:cs="Times New Roman"/>
          <w:sz w:val="24"/>
          <w:szCs w:val="24"/>
          <w:lang w:eastAsia="da-DK"/>
        </w:rPr>
        <w:t>samt</w:t>
      </w:r>
      <w:r w:rsidR="007165DA" w:rsidRPr="00796736">
        <w:rPr>
          <w:rFonts w:ascii="Times New Roman" w:eastAsia="Times New Roman" w:hAnsi="Times New Roman" w:cs="Times New Roman"/>
          <w:sz w:val="24"/>
          <w:szCs w:val="24"/>
          <w:lang w:eastAsia="da-DK"/>
        </w:rPr>
        <w:t xml:space="preserve"> § 2, nr. 1-19 og 32, litra a</w:t>
      </w:r>
      <w:r w:rsidRPr="00796736">
        <w:rPr>
          <w:rFonts w:ascii="Times New Roman" w:hAnsi="Times New Roman" w:cs="Times New Roman"/>
          <w:sz w:val="24"/>
          <w:szCs w:val="24"/>
        </w:rPr>
        <w:t xml:space="preserve">, som udøver virksomhed i et andet EU- eller EØS-land. </w:t>
      </w:r>
    </w:p>
    <w:p w14:paraId="036A31A4" w14:textId="77777777" w:rsidR="003E0343" w:rsidRPr="00796736" w:rsidRDefault="003E0343" w:rsidP="00A802A5">
      <w:pPr>
        <w:spacing w:line="360" w:lineRule="auto"/>
        <w:rPr>
          <w:rFonts w:ascii="Times New Roman" w:hAnsi="Times New Roman" w:cs="Times New Roman"/>
          <w:i/>
          <w:iCs/>
          <w:sz w:val="24"/>
          <w:szCs w:val="24"/>
        </w:rPr>
      </w:pPr>
    </w:p>
    <w:p w14:paraId="1D786E8E" w14:textId="77777777" w:rsidR="00FC2A52" w:rsidRPr="00796736" w:rsidRDefault="00FC2A52" w:rsidP="00A802A5">
      <w:pPr>
        <w:spacing w:line="360" w:lineRule="auto"/>
        <w:rPr>
          <w:rFonts w:ascii="Times New Roman" w:hAnsi="Times New Roman" w:cs="Times New Roman"/>
          <w:i/>
          <w:iCs/>
          <w:sz w:val="24"/>
          <w:szCs w:val="24"/>
        </w:rPr>
      </w:pPr>
    </w:p>
    <w:p w14:paraId="18CA415A" w14:textId="765ED3AF" w:rsidR="00FC2A52" w:rsidRPr="00796736" w:rsidRDefault="003E0343" w:rsidP="00A802A5">
      <w:pPr>
        <w:pStyle w:val="Undertitel"/>
      </w:pPr>
      <w:bookmarkStart w:id="2046" w:name="_Toc244879358"/>
      <w:bookmarkStart w:id="2047" w:name="_Toc244880883"/>
      <w:r w:rsidRPr="00796736">
        <w:t>Til</w:t>
      </w:r>
      <w:r w:rsidR="002366B0" w:rsidRPr="00796736">
        <w:t xml:space="preserve"> </w:t>
      </w:r>
      <w:r w:rsidR="0092113C" w:rsidRPr="00796736">
        <w:fldChar w:fldCharType="begin"/>
      </w:r>
      <w:r w:rsidR="0092113C" w:rsidRPr="00796736">
        <w:instrText xml:space="preserve"> REF _Ref242814430 \r \h </w:instrText>
      </w:r>
      <w:r w:rsidR="00AB17CC" w:rsidRPr="00796736">
        <w:instrText xml:space="preserve"> \* MERGEFORMAT </w:instrText>
      </w:r>
      <w:r w:rsidR="0092113C" w:rsidRPr="00796736">
        <w:fldChar w:fldCharType="separate"/>
      </w:r>
      <w:r w:rsidR="008F29E5">
        <w:t>§ 62</w:t>
      </w:r>
      <w:bookmarkEnd w:id="2046"/>
      <w:bookmarkEnd w:id="2047"/>
      <w:r w:rsidR="0092113C" w:rsidRPr="00796736">
        <w:fldChar w:fldCharType="end"/>
      </w:r>
      <w:r w:rsidRPr="00796736">
        <w:t xml:space="preserve"> </w:t>
      </w:r>
    </w:p>
    <w:p w14:paraId="326FAC98" w14:textId="77777777" w:rsidR="008B276D" w:rsidRPr="00796736"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 51 i hvidvaskloven, at Finanstilsynet inden for en af Finanstilsynet fastsat frist kan påbyde de virksomheder og personer, som er nævnt i § 1, stk. 1, nr. 1-12, 18 og 22, at foretage de nødvendige foranstaltninger i tilfælde af overtrædelse af bestemmelser i denne lov, regler udstedt i medfør heraf, Europa-Parlamentets og Rådets forordning om oplysninger, der skal medsendes ved pengeoverførsler og ved overførsler af visse kryptoaktiver, eller forordninger indeholdende regler om finansielle sanktioner mod lande, personer, grupper, juridiske enheder eller organer.</w:t>
      </w:r>
    </w:p>
    <w:p w14:paraId="013D1246" w14:textId="1A3734D0" w:rsidR="008B276D" w:rsidRDefault="008B276D" w:rsidP="00A802A5">
      <w:pPr>
        <w:spacing w:line="360" w:lineRule="auto"/>
        <w:rPr>
          <w:rFonts w:ascii="Times New Roman" w:hAnsi="Times New Roman" w:cs="Times New Roman"/>
          <w:sz w:val="24"/>
          <w:szCs w:val="24"/>
        </w:rPr>
      </w:pPr>
      <w:r w:rsidRPr="007165DA">
        <w:rPr>
          <w:rFonts w:ascii="Times New Roman" w:hAnsi="Times New Roman" w:cs="Times New Roman"/>
          <w:sz w:val="24"/>
          <w:szCs w:val="24"/>
        </w:rPr>
        <w:t xml:space="preserve">Det foreslås i </w:t>
      </w:r>
      <w:r w:rsidR="0092113C" w:rsidRPr="007165DA">
        <w:rPr>
          <w:rFonts w:ascii="Times New Roman" w:hAnsi="Times New Roman" w:cs="Times New Roman"/>
          <w:i/>
          <w:iCs/>
          <w:sz w:val="24"/>
          <w:szCs w:val="24"/>
        </w:rPr>
        <w:fldChar w:fldCharType="begin"/>
      </w:r>
      <w:r w:rsidR="0092113C" w:rsidRPr="007165DA">
        <w:rPr>
          <w:rFonts w:ascii="Times New Roman" w:hAnsi="Times New Roman" w:cs="Times New Roman"/>
          <w:sz w:val="24"/>
          <w:szCs w:val="24"/>
        </w:rPr>
        <w:instrText xml:space="preserve"> REF _Ref242814430 \r \h </w:instrText>
      </w:r>
      <w:r w:rsidR="00AB17CC" w:rsidRPr="007165DA">
        <w:rPr>
          <w:rFonts w:ascii="Times New Roman" w:hAnsi="Times New Roman" w:cs="Times New Roman"/>
          <w:i/>
          <w:iCs/>
          <w:sz w:val="24"/>
          <w:szCs w:val="24"/>
        </w:rPr>
        <w:instrText xml:space="preserve"> \* MERGEFORMAT </w:instrText>
      </w:r>
      <w:r w:rsidR="0092113C" w:rsidRPr="007165DA">
        <w:rPr>
          <w:rFonts w:ascii="Times New Roman" w:hAnsi="Times New Roman" w:cs="Times New Roman"/>
          <w:i/>
          <w:iCs/>
          <w:sz w:val="24"/>
          <w:szCs w:val="24"/>
        </w:rPr>
      </w:r>
      <w:r w:rsidR="0092113C" w:rsidRPr="007165DA">
        <w:rPr>
          <w:rFonts w:ascii="Times New Roman" w:hAnsi="Times New Roman" w:cs="Times New Roman"/>
          <w:i/>
          <w:iCs/>
          <w:sz w:val="24"/>
          <w:szCs w:val="24"/>
        </w:rPr>
        <w:fldChar w:fldCharType="separate"/>
      </w:r>
      <w:r w:rsidR="008F29E5">
        <w:rPr>
          <w:rFonts w:ascii="Times New Roman" w:hAnsi="Times New Roman" w:cs="Times New Roman"/>
          <w:sz w:val="24"/>
          <w:szCs w:val="24"/>
        </w:rPr>
        <w:t>§ 62</w:t>
      </w:r>
      <w:r w:rsidR="0092113C" w:rsidRPr="007165DA">
        <w:rPr>
          <w:rFonts w:ascii="Times New Roman" w:hAnsi="Times New Roman" w:cs="Times New Roman"/>
          <w:i/>
          <w:iCs/>
          <w:sz w:val="24"/>
          <w:szCs w:val="24"/>
        </w:rPr>
        <w:fldChar w:fldCharType="end"/>
      </w:r>
      <w:r w:rsidRPr="007165DA">
        <w:rPr>
          <w:rFonts w:ascii="Times New Roman" w:hAnsi="Times New Roman" w:cs="Times New Roman"/>
          <w:i/>
          <w:iCs/>
          <w:sz w:val="24"/>
          <w:szCs w:val="24"/>
        </w:rPr>
        <w:t>,</w:t>
      </w:r>
      <w:r w:rsidRPr="007165DA">
        <w:rPr>
          <w:rFonts w:ascii="Times New Roman" w:hAnsi="Times New Roman" w:cs="Times New Roman"/>
          <w:sz w:val="24"/>
          <w:szCs w:val="24"/>
        </w:rPr>
        <w:t xml:space="preserve"> at Finanstilsynet kan træffe afgørelse efter de foreslåede §</w:t>
      </w:r>
      <w:r w:rsidR="00D1423D" w:rsidRPr="007165DA">
        <w:rPr>
          <w:rFonts w:ascii="Times New Roman" w:hAnsi="Times New Roman" w:cs="Times New Roman"/>
          <w:sz w:val="24"/>
          <w:szCs w:val="24"/>
        </w:rPr>
        <w:fldChar w:fldCharType="begin"/>
      </w:r>
      <w:r w:rsidR="00D1423D" w:rsidRPr="007165DA">
        <w:rPr>
          <w:rFonts w:ascii="Times New Roman" w:hAnsi="Times New Roman" w:cs="Times New Roman"/>
          <w:sz w:val="24"/>
          <w:szCs w:val="24"/>
        </w:rPr>
        <w:instrText xml:space="preserve"> REF _Ref239151441 \r \h </w:instrText>
      </w:r>
      <w:r w:rsidR="006A012C" w:rsidRPr="007165DA">
        <w:rPr>
          <w:rFonts w:ascii="Times New Roman" w:hAnsi="Times New Roman" w:cs="Times New Roman"/>
          <w:sz w:val="24"/>
          <w:szCs w:val="24"/>
        </w:rPr>
        <w:instrText xml:space="preserve"> \* MERGEFORMAT </w:instrText>
      </w:r>
      <w:r w:rsidR="00D1423D" w:rsidRPr="007165DA">
        <w:rPr>
          <w:rFonts w:ascii="Times New Roman" w:hAnsi="Times New Roman" w:cs="Times New Roman"/>
          <w:sz w:val="24"/>
          <w:szCs w:val="24"/>
        </w:rPr>
      </w:r>
      <w:r w:rsidR="00D1423D" w:rsidRPr="007165DA">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00D1423D" w:rsidRPr="007165DA">
        <w:rPr>
          <w:rFonts w:ascii="Times New Roman" w:hAnsi="Times New Roman" w:cs="Times New Roman"/>
          <w:sz w:val="24"/>
          <w:szCs w:val="24"/>
        </w:rPr>
        <w:fldChar w:fldCharType="end"/>
      </w:r>
      <w:r w:rsidR="00D1423D" w:rsidRPr="007165DA">
        <w:rPr>
          <w:rFonts w:ascii="Times New Roman" w:hAnsi="Times New Roman" w:cs="Times New Roman"/>
          <w:sz w:val="24"/>
          <w:szCs w:val="24"/>
        </w:rPr>
        <w:t>-</w:t>
      </w:r>
      <w:r w:rsidR="00D1423D" w:rsidRPr="007165DA">
        <w:rPr>
          <w:rFonts w:ascii="Times New Roman" w:hAnsi="Times New Roman" w:cs="Times New Roman"/>
          <w:sz w:val="24"/>
          <w:szCs w:val="24"/>
        </w:rPr>
        <w:fldChar w:fldCharType="begin"/>
      </w:r>
      <w:r w:rsidR="00D1423D" w:rsidRPr="007165DA">
        <w:rPr>
          <w:rFonts w:ascii="Times New Roman" w:hAnsi="Times New Roman" w:cs="Times New Roman"/>
          <w:sz w:val="24"/>
          <w:szCs w:val="24"/>
        </w:rPr>
        <w:instrText xml:space="preserve"> REF _Ref239151453 \r \h </w:instrText>
      </w:r>
      <w:r w:rsidR="006A012C" w:rsidRPr="007165DA">
        <w:rPr>
          <w:rFonts w:ascii="Times New Roman" w:hAnsi="Times New Roman" w:cs="Times New Roman"/>
          <w:sz w:val="24"/>
          <w:szCs w:val="24"/>
        </w:rPr>
        <w:instrText xml:space="preserve"> \* MERGEFORMAT </w:instrText>
      </w:r>
      <w:r w:rsidR="00D1423D" w:rsidRPr="007165DA">
        <w:rPr>
          <w:rFonts w:ascii="Times New Roman" w:hAnsi="Times New Roman" w:cs="Times New Roman"/>
          <w:sz w:val="24"/>
          <w:szCs w:val="24"/>
        </w:rPr>
      </w:r>
      <w:r w:rsidR="00D1423D" w:rsidRPr="007165DA">
        <w:rPr>
          <w:rFonts w:ascii="Times New Roman" w:hAnsi="Times New Roman" w:cs="Times New Roman"/>
          <w:sz w:val="24"/>
          <w:szCs w:val="24"/>
        </w:rPr>
        <w:fldChar w:fldCharType="separate"/>
      </w:r>
      <w:r w:rsidR="008F29E5">
        <w:rPr>
          <w:rFonts w:ascii="Times New Roman" w:hAnsi="Times New Roman" w:cs="Times New Roman"/>
          <w:sz w:val="24"/>
          <w:szCs w:val="24"/>
        </w:rPr>
        <w:t xml:space="preserve"> 66</w:t>
      </w:r>
      <w:r w:rsidR="00D1423D" w:rsidRPr="007165DA">
        <w:rPr>
          <w:rFonts w:ascii="Times New Roman" w:hAnsi="Times New Roman" w:cs="Times New Roman"/>
          <w:sz w:val="24"/>
          <w:szCs w:val="24"/>
        </w:rPr>
        <w:fldChar w:fldCharType="end"/>
      </w:r>
      <w:r w:rsidRPr="007165DA">
        <w:rPr>
          <w:rFonts w:ascii="Times New Roman" w:hAnsi="Times New Roman" w:cs="Times New Roman"/>
          <w:sz w:val="24"/>
          <w:szCs w:val="24"/>
        </w:rPr>
        <w:t>, hvis Finanstilsynet konstaterer</w:t>
      </w:r>
      <w:r w:rsidR="00302A1B">
        <w:rPr>
          <w:rFonts w:ascii="Times New Roman" w:hAnsi="Times New Roman" w:cs="Times New Roman"/>
          <w:sz w:val="24"/>
          <w:szCs w:val="24"/>
        </w:rPr>
        <w:t>, at visse forhold, der følger af nr. 1 – 3, gør sig gældende.</w:t>
      </w:r>
      <w:r w:rsidRPr="007165DA">
        <w:rPr>
          <w:rFonts w:ascii="Times New Roman" w:hAnsi="Times New Roman" w:cs="Times New Roman"/>
          <w:sz w:val="24"/>
          <w:szCs w:val="24"/>
        </w:rPr>
        <w:t xml:space="preserve"> </w:t>
      </w:r>
    </w:p>
    <w:p w14:paraId="1EF6D08F" w14:textId="77777777" w:rsidR="00302A1B" w:rsidRPr="00796736" w:rsidRDefault="00302A1B" w:rsidP="00A802A5">
      <w:pPr>
        <w:spacing w:line="360" w:lineRule="auto"/>
        <w:rPr>
          <w:rFonts w:ascii="Times New Roman" w:hAnsi="Times New Roman" w:cs="Times New Roman"/>
          <w:sz w:val="24"/>
          <w:szCs w:val="24"/>
          <w:lang w:eastAsia="da-DK"/>
        </w:rPr>
      </w:pPr>
    </w:p>
    <w:p w14:paraId="1EF2ACBF" w14:textId="1A811603" w:rsidR="008B276D" w:rsidRPr="00796736"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implementerer artikel 56, stk. 1, litra a-c, i 6. hvidvaskdirektiv. </w:t>
      </w:r>
    </w:p>
    <w:p w14:paraId="5ED9E065" w14:textId="62D5F9F1" w:rsidR="008B276D" w:rsidRPr="00796736"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indeholder betingelserne for, hvornår der kan iværksættes administrative foranstaltninger over for virksomheder og personer som nævnt i § 2, nr. 1-19, </w:t>
      </w:r>
      <w:r w:rsidR="00D338BF">
        <w:rPr>
          <w:rFonts w:ascii="Times New Roman" w:hAnsi="Times New Roman" w:cs="Times New Roman"/>
          <w:sz w:val="24"/>
          <w:szCs w:val="24"/>
        </w:rPr>
        <w:t>og</w:t>
      </w:r>
      <w:r w:rsidRPr="00796736">
        <w:rPr>
          <w:rFonts w:ascii="Times New Roman" w:hAnsi="Times New Roman" w:cs="Times New Roman"/>
          <w:sz w:val="24"/>
          <w:szCs w:val="24"/>
        </w:rPr>
        <w:t xml:space="preserve"> 32, litra a. </w:t>
      </w:r>
    </w:p>
    <w:p w14:paraId="67827332" w14:textId="18F3CF76" w:rsidR="008B276D" w:rsidRPr="00796736"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administrative foranstaltninger efter artikel 56 i 6. hvidvaskdirektiv forstås de indgreb og reaktioner, som Finanstilsynet kan iværksætte over for de virksomheder og personer, der er omfattet af tilsynet i henhold til lovforslagets § 2, nr. 1-19, </w:t>
      </w:r>
      <w:r w:rsidR="00D338BF">
        <w:rPr>
          <w:rFonts w:ascii="Times New Roman" w:hAnsi="Times New Roman" w:cs="Times New Roman"/>
          <w:sz w:val="24"/>
          <w:szCs w:val="24"/>
        </w:rPr>
        <w:t>og</w:t>
      </w:r>
      <w:r w:rsidRPr="00796736">
        <w:rPr>
          <w:rFonts w:ascii="Times New Roman" w:hAnsi="Times New Roman" w:cs="Times New Roman"/>
          <w:sz w:val="24"/>
          <w:szCs w:val="24"/>
        </w:rPr>
        <w:t xml:space="preserve"> 32, litra a.</w:t>
      </w:r>
    </w:p>
    <w:p w14:paraId="128A27EC" w14:textId="1EFC9202" w:rsidR="008B276D" w:rsidRPr="00796736" w:rsidRDefault="008B27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1</w:t>
      </w:r>
      <w:r w:rsidRPr="00796736">
        <w:rPr>
          <w:rFonts w:ascii="Times New Roman" w:hAnsi="Times New Roman" w:cs="Times New Roman"/>
          <w:sz w:val="24"/>
          <w:szCs w:val="24"/>
        </w:rPr>
        <w:t>, at Finanstilsynet kan træffe afgørelse efter de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_Ref232939317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_Ref232597310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hvis der konstateres </w:t>
      </w:r>
      <w:r w:rsidR="00302A1B" w:rsidRPr="00796736">
        <w:rPr>
          <w:rFonts w:ascii="Times New Roman" w:hAnsi="Times New Roman" w:cs="Times New Roman"/>
          <w:sz w:val="24"/>
          <w:szCs w:val="24"/>
          <w:lang w:eastAsia="da-DK"/>
        </w:rPr>
        <w:t>overtrædelse af bestemmelser i hvidvaskforordningen, denne lov, regler udstedt i medfør heraf, Europa-Parlamentets og Rådets forordninger indeholdende regler om finansielle sanktioner mod lande, personer, grupper, juridiske enheder eller organer</w:t>
      </w:r>
      <w:r w:rsidR="00302A1B">
        <w:rPr>
          <w:rFonts w:ascii="Times New Roman" w:hAnsi="Times New Roman" w:cs="Times New Roman"/>
          <w:sz w:val="24"/>
          <w:szCs w:val="24"/>
          <w:lang w:eastAsia="da-DK"/>
        </w:rPr>
        <w:t xml:space="preserve">, eller </w:t>
      </w:r>
      <w:r w:rsidR="00302A1B" w:rsidRPr="00796736">
        <w:rPr>
          <w:rFonts w:ascii="Times New Roman" w:hAnsi="Times New Roman" w:cs="Times New Roman"/>
          <w:sz w:val="24"/>
          <w:szCs w:val="24"/>
        </w:rPr>
        <w:t>Europa-Parlamentets og Rådets forordning om oplysninger, der skal medsendes ved pengeoverførsler og ved overførsler af visse kryptoaktiver</w:t>
      </w:r>
      <w:r w:rsidRPr="00796736">
        <w:rPr>
          <w:rFonts w:ascii="Times New Roman" w:hAnsi="Times New Roman" w:cs="Times New Roman"/>
          <w:sz w:val="24"/>
          <w:szCs w:val="24"/>
        </w:rPr>
        <w:t xml:space="preserve">. </w:t>
      </w:r>
    </w:p>
    <w:p w14:paraId="592A4BA5" w14:textId="77777777" w:rsidR="008B276D" w:rsidRPr="00796736" w:rsidRDefault="008B276D" w:rsidP="00A802A5">
      <w:pPr>
        <w:spacing w:line="360" w:lineRule="auto"/>
        <w:rPr>
          <w:rFonts w:ascii="Times New Roman" w:hAnsi="Times New Roman" w:cs="Times New Roman"/>
          <w:sz w:val="24"/>
          <w:szCs w:val="24"/>
        </w:rPr>
      </w:pPr>
    </w:p>
    <w:p w14:paraId="46A4DAA6" w14:textId="77777777" w:rsidR="008B276D" w:rsidRPr="00796736"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omfatter således Finanstilsynets adgang til at gribe ind over for virksomheder og personer under tilsyn, som ikke overholder de gældende krav til forebyggelse af hvidvask af penge og finansiering af terrorisme.</w:t>
      </w:r>
    </w:p>
    <w:p w14:paraId="3D64E6C0" w14:textId="77777777" w:rsidR="008B276D"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Foranstaltningerne kan eksempelvis bestå i påbud, hvor Finanstilsynet pålægger virksomheden eller personen at udvise en bestemt adfærd eller foretage en konkret handling. Dette kan blandt andet indebære, at en ulovlig eller uhensigtsmæssig adfærd straks bringes til ophør, samt at virksomheden eller personen forpligtes til at undlade at gentage den pågældende adfærd fremadrettet.</w:t>
      </w:r>
    </w:p>
    <w:p w14:paraId="13E3E958" w14:textId="31EEB69B" w:rsidR="00FE7B3B" w:rsidRPr="00796736" w:rsidRDefault="00FE7B3B" w:rsidP="00A802A5">
      <w:pPr>
        <w:spacing w:after="240" w:line="360" w:lineRule="auto"/>
        <w:rPr>
          <w:rFonts w:ascii="Times New Roman" w:hAnsi="Times New Roman" w:cs="Times New Roman"/>
          <w:sz w:val="24"/>
          <w:szCs w:val="24"/>
        </w:rPr>
      </w:pPr>
      <w:r w:rsidRPr="00FE7B3B">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62F5226C" w14:textId="77777777" w:rsidR="008B276D" w:rsidRPr="00796736"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Afgørelser, som Finanstilsynet træffer efter nr. 1, skal offentliggøres. Efter artikel 58, stk. 1, i 6. hvidvaskdirektiv, skal afgørelser om anvendelse af administrative foranstaltninger truffet i henhold til artikel 56, stk. 1, litra a, offentliggøres i et tilgængeligt format på deres websted.</w:t>
      </w:r>
    </w:p>
    <w:p w14:paraId="71367ECB" w14:textId="17285B97" w:rsidR="008B276D" w:rsidRPr="00796736"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2</w:t>
      </w:r>
      <w:r w:rsidRPr="00796736">
        <w:rPr>
          <w:rFonts w:ascii="Times New Roman" w:hAnsi="Times New Roman" w:cs="Times New Roman"/>
          <w:sz w:val="24"/>
          <w:szCs w:val="24"/>
        </w:rPr>
        <w:t>, at Finanstilsynet kan træffe afgørelse efter de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_Ref232939317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_Ref232597310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hvis der konstateres svagheder i virksomhedens eller personens interne politikker, procedurer og kontroller, som sandsynligvis vil medføre en overtrædelse </w:t>
      </w:r>
      <w:r w:rsidR="00302A1B" w:rsidRPr="00796736">
        <w:rPr>
          <w:rFonts w:ascii="Times New Roman" w:hAnsi="Times New Roman" w:cs="Times New Roman"/>
          <w:sz w:val="24"/>
          <w:szCs w:val="24"/>
          <w:lang w:eastAsia="da-DK"/>
        </w:rPr>
        <w:t>efter nr. 1</w:t>
      </w:r>
      <w:r w:rsidRPr="00796736">
        <w:rPr>
          <w:rFonts w:ascii="Times New Roman" w:hAnsi="Times New Roman" w:cs="Times New Roman"/>
          <w:sz w:val="24"/>
          <w:szCs w:val="24"/>
        </w:rPr>
        <w:t xml:space="preserve">. </w:t>
      </w:r>
    </w:p>
    <w:p w14:paraId="52AB31B9" w14:textId="77777777" w:rsidR="008B276D" w:rsidRPr="00796736" w:rsidRDefault="008B276D"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vil i sådanne situationer være et krav, at de administrative foranstaltninger, som iværksættes, kan forhindre overtrædelser eller risikoen herfor. De foranstaltninger, som iværksættes, vil således skulle have et afværgende eller forebyggende sigte og vil i almindelighed ikke kunne pålægges for at varetage disciplinerende hensyn eller lignende. </w:t>
      </w:r>
    </w:p>
    <w:p w14:paraId="0C9F6957" w14:textId="77777777" w:rsidR="008B276D" w:rsidRPr="00796736" w:rsidRDefault="008B276D" w:rsidP="00A802A5">
      <w:pPr>
        <w:spacing w:line="360" w:lineRule="auto"/>
        <w:rPr>
          <w:rFonts w:ascii="Times New Roman" w:eastAsia="Times New Roman" w:hAnsi="Times New Roman" w:cs="Times New Roman"/>
          <w:iCs/>
          <w:sz w:val="24"/>
          <w:szCs w:val="24"/>
          <w:lang w:eastAsia="da-DK"/>
        </w:rPr>
      </w:pPr>
    </w:p>
    <w:p w14:paraId="5A98EDFE" w14:textId="77777777" w:rsidR="008B276D"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Finanstilsynet kan gribe ind allerede på et tidligt tidspunkt, hvor der endnu ikke er konstateret en overtrædelse, men hvor der foreligger en reel risiko for, at en overtrædelse kan opstå. </w:t>
      </w:r>
    </w:p>
    <w:p w14:paraId="6D9BCA5F" w14:textId="63680541" w:rsidR="00FE7B3B" w:rsidRPr="00796736" w:rsidRDefault="00FE7B3B" w:rsidP="00A802A5">
      <w:pPr>
        <w:spacing w:after="240" w:line="360" w:lineRule="auto"/>
        <w:rPr>
          <w:rFonts w:ascii="Times New Roman" w:hAnsi="Times New Roman" w:cs="Times New Roman"/>
          <w:sz w:val="24"/>
          <w:szCs w:val="24"/>
        </w:rPr>
      </w:pPr>
      <w:r w:rsidRPr="00FE7B3B">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24D7DAE1" w14:textId="173F4348" w:rsidR="00302A1B" w:rsidRDefault="008B276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3</w:t>
      </w:r>
      <w:r w:rsidRPr="00796736">
        <w:rPr>
          <w:rFonts w:ascii="Times New Roman" w:hAnsi="Times New Roman" w:cs="Times New Roman"/>
          <w:sz w:val="24"/>
          <w:szCs w:val="24"/>
        </w:rPr>
        <w:t>, at Finanstilsynet kan træffe afgørelse efter de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_Ref232939317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_Ref232597310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hvis virksomhedens eller personens interne politikker, procedurer og kontroller ikke står i rimeligt forhold til de risici for hvidvask af penge, de underliggende lovovertrædelser eller finansiering af terrorisme, som virksomheden eller personen er eksponeret for. </w:t>
      </w:r>
    </w:p>
    <w:p w14:paraId="37EF1CBD" w14:textId="49F3B0F1" w:rsidR="008B276D" w:rsidRPr="00796736" w:rsidRDefault="008B276D" w:rsidP="00A802A5">
      <w:pPr>
        <w:spacing w:after="240"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De foranstaltninger, som iværksættes i sådanne tilfælde, vil ligeledes skulle have et afværgende eller forebyggende sigte.</w:t>
      </w:r>
    </w:p>
    <w:p w14:paraId="174E74CA" w14:textId="30626A04" w:rsidR="00FE7B3B" w:rsidRPr="00FE7B3B" w:rsidRDefault="008B27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det foreslåede kan Finanstilsynet</w:t>
      </w:r>
      <w:r w:rsidR="00D338BF">
        <w:rPr>
          <w:rFonts w:ascii="Times New Roman" w:hAnsi="Times New Roman" w:cs="Times New Roman"/>
          <w:sz w:val="24"/>
          <w:szCs w:val="24"/>
        </w:rPr>
        <w:t xml:space="preserve"> eksempelvis</w:t>
      </w:r>
      <w:r w:rsidRPr="00796736">
        <w:rPr>
          <w:rFonts w:ascii="Times New Roman" w:hAnsi="Times New Roman" w:cs="Times New Roman"/>
          <w:sz w:val="24"/>
          <w:szCs w:val="24"/>
        </w:rPr>
        <w:t xml:space="preserve"> stille krav om, at de </w:t>
      </w:r>
      <w:r w:rsidRPr="00796736">
        <w:rPr>
          <w:rFonts w:ascii="Times New Roman" w:eastAsia="Times New Roman" w:hAnsi="Times New Roman" w:cs="Times New Roman"/>
          <w:iCs/>
          <w:sz w:val="24"/>
          <w:szCs w:val="24"/>
          <w:lang w:eastAsia="da-DK"/>
        </w:rPr>
        <w:t>interne politikker, procedurer og kontroller</w:t>
      </w:r>
      <w:r w:rsidRPr="00796736">
        <w:rPr>
          <w:rFonts w:ascii="Times New Roman" w:hAnsi="Times New Roman" w:cs="Times New Roman"/>
          <w:sz w:val="24"/>
          <w:szCs w:val="24"/>
        </w:rPr>
        <w:t xml:space="preserve"> tilpasses, så de svarer til den konkrete risikoprofil for at sikre, at virksomheder og personer under tilsyn har et tilstrækkeligt og effektivt beredskab til at forebygge og imødegå de risici, de står overfor. </w:t>
      </w:r>
    </w:p>
    <w:p w14:paraId="226CB284" w14:textId="77777777" w:rsidR="008B276D" w:rsidRPr="00796736" w:rsidRDefault="008B276D" w:rsidP="00A802A5">
      <w:pPr>
        <w:spacing w:line="360" w:lineRule="auto"/>
        <w:rPr>
          <w:rFonts w:ascii="Times New Roman" w:hAnsi="Times New Roman" w:cs="Times New Roman"/>
          <w:i/>
          <w:iCs/>
          <w:sz w:val="24"/>
          <w:szCs w:val="24"/>
        </w:rPr>
      </w:pPr>
    </w:p>
    <w:p w14:paraId="29E1EDEE" w14:textId="77777777" w:rsidR="00FC2A52" w:rsidRPr="00796736" w:rsidRDefault="00FC2A52" w:rsidP="00A802A5">
      <w:pPr>
        <w:spacing w:line="360" w:lineRule="auto"/>
        <w:rPr>
          <w:rFonts w:ascii="Times New Roman" w:hAnsi="Times New Roman" w:cs="Times New Roman"/>
          <w:sz w:val="24"/>
          <w:szCs w:val="24"/>
        </w:rPr>
      </w:pPr>
    </w:p>
    <w:p w14:paraId="5A8DF68C" w14:textId="1462C1C0" w:rsidR="001614FE" w:rsidRPr="00796736" w:rsidRDefault="00240DBE" w:rsidP="00A802A5">
      <w:pPr>
        <w:pStyle w:val="Undertitel"/>
      </w:pPr>
      <w:bookmarkStart w:id="2048" w:name="_Toc232109394"/>
      <w:bookmarkStart w:id="2049" w:name="_Toc244879359"/>
      <w:bookmarkStart w:id="2050" w:name="_Toc244880884"/>
      <w:r w:rsidRPr="00796736">
        <w:t xml:space="preserve">Til </w:t>
      </w:r>
      <w:r w:rsidR="00465705" w:rsidRPr="00796736">
        <w:fldChar w:fldCharType="begin"/>
      </w:r>
      <w:r w:rsidR="00465705" w:rsidRPr="00796736">
        <w:instrText xml:space="preserve"> REF _Ref232597226 \r \h </w:instrText>
      </w:r>
      <w:r w:rsidR="00967618" w:rsidRPr="00796736">
        <w:instrText xml:space="preserve"> \* MERGEFORMAT </w:instrText>
      </w:r>
      <w:r w:rsidR="00465705" w:rsidRPr="00796736">
        <w:fldChar w:fldCharType="separate"/>
      </w:r>
      <w:r w:rsidR="008F29E5">
        <w:t>§ 63</w:t>
      </w:r>
      <w:bookmarkEnd w:id="2049"/>
      <w:bookmarkEnd w:id="2050"/>
      <w:r w:rsidR="00465705" w:rsidRPr="00796736">
        <w:fldChar w:fldCharType="end"/>
      </w:r>
      <w:r w:rsidR="00A52961" w:rsidRPr="00796736">
        <w:t xml:space="preserve"> </w:t>
      </w:r>
      <w:bookmarkEnd w:id="2048"/>
    </w:p>
    <w:p w14:paraId="47CD557B" w14:textId="23525070" w:rsidR="007A6F01" w:rsidRPr="00796736" w:rsidRDefault="007A6F0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47, stk. 4, kan Finanstilsynet fastsætte regler om midlertidige foranstaltninger over for henholdsvis agenter for betalingsinstitutter og e-pengeinstitutter, herunder distributører med hjemsted i et andet EU- eller EØS-land, der ikke overholder regler i denne lov, regler udstedt i medfør heraf, Europa-Parlamentets og Rådets forordning om oplysninger, der skal medsendes ved pengeoverførsler og ved overførsler af visse kryptoaktiver, hvor dette er relevant, og forordninger indeholdende regler om finansielle sanktioner mod lande, personer, grupper, juridiske enheder eller organer.</w:t>
      </w:r>
    </w:p>
    <w:p w14:paraId="07E164C2" w14:textId="2929E89B"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 51 i hvidvaskloven, at Finanstilsynet inden for en af Finanstilsynet fastsat frist kan påbyde de virksomheder og personer, som er nævnt i § 1, stk. 1, nr. 1-12, 18 og 22, at foretage de nødvendige foranstaltninger i tilfælde af overtrædelse af bestemmelser i denne lov, regler udstedt i medfør heraf, Europa-Parlamentets og Rådets forordning om oplysninger, der skal medsendes ved pengeoverførsler og ved overførsler af visse kryptoaktiver, eller forordninger indeholdende regler om finansielle sanktioner mod lande, personer, grupper, juridiske enheder eller organer.</w:t>
      </w:r>
    </w:p>
    <w:p w14:paraId="058776BD"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 at videreføre § 51 i hvidvaskloven med visse indholdsmæssige ændringer, der afspejler kravene i 6. hvidvaskdirektiv.</w:t>
      </w:r>
    </w:p>
    <w:p w14:paraId="38E2E4F6" w14:textId="15B88770"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artikel 37, stk. 6, litra b, artikel 53, stk. 2 og 6</w:t>
      </w:r>
      <w:r w:rsidR="006E2B08">
        <w:rPr>
          <w:rFonts w:ascii="Times New Roman" w:hAnsi="Times New Roman" w:cs="Times New Roman"/>
          <w:sz w:val="24"/>
          <w:szCs w:val="24"/>
        </w:rPr>
        <w:t>,</w:t>
      </w:r>
      <w:r w:rsidRPr="00796736">
        <w:rPr>
          <w:rFonts w:ascii="Times New Roman" w:hAnsi="Times New Roman" w:cs="Times New Roman"/>
          <w:sz w:val="24"/>
          <w:szCs w:val="24"/>
        </w:rPr>
        <w:t xml:space="preserve"> </w:t>
      </w:r>
      <w:r w:rsidR="006E2B08">
        <w:rPr>
          <w:rFonts w:ascii="Times New Roman" w:hAnsi="Times New Roman" w:cs="Times New Roman"/>
          <w:sz w:val="24"/>
          <w:szCs w:val="24"/>
        </w:rPr>
        <w:t>og</w:t>
      </w:r>
      <w:r w:rsidR="006E2B08" w:rsidRPr="00796736">
        <w:rPr>
          <w:rFonts w:ascii="Times New Roman" w:hAnsi="Times New Roman" w:cs="Times New Roman"/>
          <w:sz w:val="24"/>
          <w:szCs w:val="24"/>
        </w:rPr>
        <w:t xml:space="preserve"> </w:t>
      </w:r>
      <w:r w:rsidRPr="00796736">
        <w:rPr>
          <w:rFonts w:ascii="Times New Roman" w:hAnsi="Times New Roman" w:cs="Times New Roman"/>
          <w:sz w:val="24"/>
          <w:szCs w:val="24"/>
        </w:rPr>
        <w:t>artikel 56, stk. 2, litra a, b og d, stk. 3, litra b-</w:t>
      </w:r>
      <w:r w:rsidR="005A1E6C" w:rsidRPr="00796736">
        <w:rPr>
          <w:rFonts w:ascii="Times New Roman" w:hAnsi="Times New Roman" w:cs="Times New Roman"/>
          <w:sz w:val="24"/>
          <w:szCs w:val="24"/>
        </w:rPr>
        <w:t>d</w:t>
      </w:r>
      <w:r w:rsidRPr="00796736">
        <w:rPr>
          <w:rFonts w:ascii="Times New Roman" w:hAnsi="Times New Roman" w:cs="Times New Roman"/>
          <w:sz w:val="24"/>
          <w:szCs w:val="24"/>
        </w:rPr>
        <w:t xml:space="preserve">, </w:t>
      </w:r>
      <w:r w:rsidR="006E2B08">
        <w:rPr>
          <w:rFonts w:ascii="Times New Roman" w:hAnsi="Times New Roman" w:cs="Times New Roman"/>
          <w:sz w:val="24"/>
          <w:szCs w:val="24"/>
        </w:rPr>
        <w:t>og</w:t>
      </w:r>
      <w:r w:rsidR="006E2B08" w:rsidRPr="00796736">
        <w:rPr>
          <w:rFonts w:ascii="Times New Roman" w:hAnsi="Times New Roman" w:cs="Times New Roman"/>
          <w:sz w:val="24"/>
          <w:szCs w:val="24"/>
        </w:rPr>
        <w:t xml:space="preserve"> </w:t>
      </w:r>
      <w:r w:rsidRPr="00796736">
        <w:rPr>
          <w:rFonts w:ascii="Times New Roman" w:hAnsi="Times New Roman" w:cs="Times New Roman"/>
          <w:sz w:val="24"/>
          <w:szCs w:val="24"/>
        </w:rPr>
        <w:t>stk. 4, i 6. hvidvaskdirektiv.</w:t>
      </w:r>
    </w:p>
    <w:p w14:paraId="2A725183" w14:textId="41483A92" w:rsidR="00D86423" w:rsidRDefault="00BE3C62"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sz w:val="24"/>
          <w:szCs w:val="24"/>
          <w:lang w:eastAsia="da-DK"/>
        </w:rPr>
        <w:t xml:space="preserve">Finanstilsynet </w:t>
      </w:r>
      <w:r w:rsidR="009F23CA" w:rsidRPr="00796736">
        <w:rPr>
          <w:rFonts w:ascii="Times New Roman" w:eastAsia="Times New Roman" w:hAnsi="Times New Roman" w:cs="Times New Roman"/>
          <w:sz w:val="24"/>
          <w:szCs w:val="24"/>
          <w:lang w:eastAsia="da-DK"/>
        </w:rPr>
        <w:t>kan</w:t>
      </w:r>
      <w:r w:rsidR="002C0D7B" w:rsidRPr="00796736">
        <w:rPr>
          <w:rFonts w:ascii="Times New Roman" w:eastAsia="Times New Roman" w:hAnsi="Times New Roman" w:cs="Times New Roman"/>
          <w:sz w:val="24"/>
          <w:szCs w:val="24"/>
          <w:lang w:eastAsia="da-DK"/>
        </w:rPr>
        <w:t xml:space="preserve"> </w:t>
      </w:r>
      <w:r w:rsidR="002C0D7B" w:rsidRPr="00796736">
        <w:rPr>
          <w:rFonts w:ascii="Times New Roman" w:hAnsi="Times New Roman" w:cs="Times New Roman"/>
          <w:sz w:val="24"/>
          <w:szCs w:val="24"/>
          <w:lang w:eastAsia="da-DK"/>
        </w:rPr>
        <w:t>i tilfælde, der er omfattet af</w:t>
      </w:r>
      <w:r w:rsidR="009A3379" w:rsidRPr="00796736">
        <w:rPr>
          <w:rFonts w:ascii="Times New Roman" w:hAnsi="Times New Roman" w:cs="Times New Roman"/>
          <w:sz w:val="24"/>
          <w:szCs w:val="24"/>
          <w:lang w:eastAsia="da-DK"/>
        </w:rPr>
        <w:t xml:space="preserve">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2C0D7B" w:rsidRPr="00796736">
        <w:rPr>
          <w:rFonts w:ascii="Times New Roman" w:hAnsi="Times New Roman" w:cs="Times New Roman"/>
          <w:sz w:val="24"/>
          <w:szCs w:val="24"/>
          <w:lang w:eastAsia="da-DK"/>
        </w:rPr>
        <w:t>,</w:t>
      </w:r>
      <w:r w:rsidR="009F23CA"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 xml:space="preserve">inden for en af Finanstilsynet fastsat frist påbyde de virksomheder og personer, som er nævnt i </w:t>
      </w:r>
      <w:r w:rsidR="00500C95" w:rsidRPr="00796736">
        <w:rPr>
          <w:rFonts w:ascii="Times New Roman" w:hAnsi="Times New Roman" w:cs="Times New Roman"/>
          <w:sz w:val="24"/>
          <w:szCs w:val="24"/>
          <w:lang w:eastAsia="da-DK"/>
        </w:rPr>
        <w:t>§ 1, stk. 2, nr. 1-3</w:t>
      </w:r>
      <w:r w:rsidR="00302A1B">
        <w:rPr>
          <w:rFonts w:ascii="Times New Roman" w:hAnsi="Times New Roman" w:cs="Times New Roman"/>
          <w:sz w:val="24"/>
          <w:szCs w:val="24"/>
          <w:lang w:eastAsia="da-DK"/>
        </w:rPr>
        <w:t>,</w:t>
      </w:r>
      <w:r w:rsidR="00500C95" w:rsidRPr="00796736">
        <w:rPr>
          <w:rFonts w:ascii="Times New Roman" w:hAnsi="Times New Roman" w:cs="Times New Roman"/>
          <w:sz w:val="24"/>
          <w:szCs w:val="24"/>
          <w:lang w:eastAsia="da-DK"/>
        </w:rPr>
        <w:t xml:space="preserve"> og </w:t>
      </w:r>
      <w:r w:rsidR="00975385" w:rsidRPr="00796736">
        <w:rPr>
          <w:rFonts w:ascii="Times New Roman" w:hAnsi="Times New Roman" w:cs="Times New Roman"/>
          <w:sz w:val="24"/>
          <w:szCs w:val="24"/>
          <w:lang w:eastAsia="da-DK"/>
        </w:rPr>
        <w:t>§ 2, nr. 1-</w:t>
      </w:r>
      <w:r w:rsidR="005A1E6C" w:rsidRPr="00796736">
        <w:rPr>
          <w:rFonts w:ascii="Times New Roman" w:hAnsi="Times New Roman" w:cs="Times New Roman"/>
          <w:sz w:val="24"/>
          <w:szCs w:val="24"/>
          <w:lang w:eastAsia="da-DK"/>
        </w:rPr>
        <w:t xml:space="preserve">19, </w:t>
      </w:r>
      <w:r w:rsidR="00F17E1A">
        <w:rPr>
          <w:rFonts w:ascii="Times New Roman" w:hAnsi="Times New Roman" w:cs="Times New Roman"/>
          <w:sz w:val="24"/>
          <w:szCs w:val="24"/>
          <w:lang w:eastAsia="da-DK"/>
        </w:rPr>
        <w:t xml:space="preserve">og </w:t>
      </w:r>
      <w:r w:rsidR="005A1E6C" w:rsidRPr="00796736">
        <w:rPr>
          <w:rFonts w:ascii="Times New Roman" w:hAnsi="Times New Roman" w:cs="Times New Roman"/>
          <w:sz w:val="24"/>
          <w:szCs w:val="24"/>
          <w:lang w:eastAsia="da-DK"/>
        </w:rPr>
        <w:t>32, litra a</w:t>
      </w:r>
      <w:r w:rsidRPr="00796736">
        <w:rPr>
          <w:rFonts w:ascii="Times New Roman" w:eastAsia="Times New Roman" w:hAnsi="Times New Roman" w:cs="Times New Roman"/>
          <w:sz w:val="24"/>
          <w:szCs w:val="24"/>
          <w:lang w:eastAsia="da-DK"/>
        </w:rPr>
        <w:t>, at foretage de nødvendige foranstaltninger</w:t>
      </w:r>
      <w:r w:rsidR="005A1E6C"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w:t>
      </w:r>
    </w:p>
    <w:p w14:paraId="3AC590A8" w14:textId="7B008D9C" w:rsidR="00594B77" w:rsidRPr="00796736" w:rsidRDefault="00594B7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_Ref232597226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er Finanstilsynets hjemmel til at give tilsynsreaktioner, herunder udstede påbud og påtaler og give risikooplysninger for manglende overholdelse af bl.a. bestemmelser i loven og forordningerne.</w:t>
      </w:r>
    </w:p>
    <w:p w14:paraId="484B4A82" w14:textId="77777777" w:rsidR="00594B77" w:rsidRDefault="00594B77"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1F9005E5" w14:textId="77777777" w:rsidR="00594B77" w:rsidRDefault="00594B77" w:rsidP="00A802A5">
      <w:pPr>
        <w:spacing w:line="360" w:lineRule="auto"/>
        <w:rPr>
          <w:rFonts w:ascii="Times New Roman" w:eastAsia="Calibri" w:hAnsi="Times New Roman" w:cs="Times New Roman"/>
          <w:iCs/>
          <w:sz w:val="24"/>
          <w:szCs w:val="24"/>
        </w:rPr>
      </w:pPr>
    </w:p>
    <w:p w14:paraId="3CEEEA9D" w14:textId="1502911B" w:rsidR="00FF733E" w:rsidRPr="00796736" w:rsidRDefault="00FF733E" w:rsidP="00A802A5">
      <w:pPr>
        <w:spacing w:after="240" w:line="360" w:lineRule="auto"/>
        <w:rPr>
          <w:rFonts w:ascii="Times New Roman" w:hAnsi="Times New Roman" w:cs="Times New Roman"/>
          <w:sz w:val="24"/>
          <w:szCs w:val="24"/>
          <w:lang w:eastAsia="da-DK"/>
        </w:rPr>
      </w:pPr>
      <w:r w:rsidRPr="00FF733E">
        <w:rPr>
          <w:rFonts w:ascii="Times New Roman" w:hAnsi="Times New Roman" w:cs="Times New Roman"/>
          <w:sz w:val="24"/>
          <w:szCs w:val="24"/>
          <w:lang w:eastAsia="da-DK"/>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248B1027"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præambelbetragtning nr. 101 i 6. hvidvaskdirektiv, at vigtigheden af at bekæmpe hvidvask af penge og finansiering af terrorisme, bør føre til, at medlemsstaterne i deres nationale ret fastsætter bøder og administrative foranstaltninger, der er effektive, står i rimeligt forhold til overtrædelsen og har afskrækkende virkning, for manglende efterlevelse af forordning (EU) 2024/1624.</w:t>
      </w:r>
    </w:p>
    <w:p w14:paraId="05F77A85"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desuden af præambelbetragtning nr. 105 i 6. hvidvaskdirektiv, at tilsynsorganerne bør kunne anvende administrative foranstaltninger, ikke blot for at afhjælpe konstaterede overtrædelser, men også hvis de konstaterer, at svagheder i de interne politikker, procedurer og kontroller sandsynligvis vil føre til overtrædelser af kravene til bekæmpelse af hvidvask af penge og finansiering af terrorisme, eller hvis disse politikker, procedurer og kontroller er utilstrækkelige til at afbøde risici. Dette med henblik på at sikre, at forpligtede enheder overholder kravene til bekæmpelse af hvidvask af penge og finansiering af terrorisme og effektivt afbøder de risici for hvidvask af penge, de underliggende lovovertrædelser og finansiering af terrorisme, som de er eksponeret for. </w:t>
      </w:r>
    </w:p>
    <w:p w14:paraId="0223E556"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også af præambelbetragtning nr. 105 i 6. hvidvaskdirektiv, at omfanget af anvendte administrative foranstaltninger og den tid, som forpligtede enheder har til at gennemføre de krævede tiltag, afhænger af de specifikke overtrædelser eller svagheder, der er konstateret.</w:t>
      </w:r>
    </w:p>
    <w:p w14:paraId="200875DD" w14:textId="28B723EC" w:rsidR="006E2B08" w:rsidRPr="00594B77"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anvendes i de situationer, hvor Finanstilsynet påbyder en bestemt adfærd eller handling fremover. Det kan både skyldes, at en virksomhed eller person handler i strid med </w:t>
      </w:r>
      <w:r w:rsidR="005A1E6C" w:rsidRPr="00796736">
        <w:rPr>
          <w:rFonts w:ascii="Times New Roman" w:hAnsi="Times New Roman" w:cs="Times New Roman"/>
          <w:sz w:val="24"/>
          <w:szCs w:val="24"/>
        </w:rPr>
        <w:t xml:space="preserve">hvidvaskforordningen, denne lov eller regler udstedt i medfør heraf </w:t>
      </w:r>
      <w:r w:rsidR="005A1E6C" w:rsidRPr="00796736">
        <w:rPr>
          <w:rFonts w:ascii="Times New Roman" w:eastAsia="Times New Roman" w:hAnsi="Times New Roman" w:cs="Times New Roman"/>
          <w:sz w:val="24"/>
          <w:szCs w:val="24"/>
          <w:lang w:eastAsia="da-DK"/>
        </w:rPr>
        <w:t>samt Europa-Parlamentets og Rådets forordning om oplysninger, der skal medsendes ved pengeoverførsler og ved overførsler af visse kryptoaktiver, eller forordninger indeholdende regler om finansielle sanktioner mod lande, personer, grupper, juridiske enheder eller organer.</w:t>
      </w:r>
      <w:r w:rsidRPr="00796736">
        <w:rPr>
          <w:rFonts w:ascii="Times New Roman" w:hAnsi="Times New Roman" w:cs="Times New Roman"/>
          <w:sz w:val="24"/>
          <w:szCs w:val="24"/>
        </w:rPr>
        <w:t xml:space="preserve">, eller at en virksomhed eller person undlader at handle, hvor handling er påkrævet efter </w:t>
      </w:r>
      <w:r w:rsidR="005A1E6C" w:rsidRPr="00796736">
        <w:rPr>
          <w:rFonts w:ascii="Times New Roman" w:hAnsi="Times New Roman" w:cs="Times New Roman"/>
          <w:sz w:val="24"/>
          <w:szCs w:val="24"/>
        </w:rPr>
        <w:t xml:space="preserve">hvidvaskforordningen, denne lov eller regler udstedt i medfør heraf </w:t>
      </w:r>
      <w:r w:rsidR="005A1E6C" w:rsidRPr="00796736">
        <w:rPr>
          <w:rFonts w:ascii="Times New Roman" w:eastAsia="Times New Roman" w:hAnsi="Times New Roman" w:cs="Times New Roman"/>
          <w:sz w:val="24"/>
          <w:szCs w:val="24"/>
          <w:lang w:eastAsia="da-DK"/>
        </w:rPr>
        <w:t>samt Europa-Parlamentets og Rådets forordning om oplysninger, der skal medsendes ved pengeoverførsler og ved overførsler af visse kryptoaktiver, eller forordninger indeholdende regler om finansielle sanktioner mod lande, personer, grupper, juridiske enheder eller organer.</w:t>
      </w:r>
      <w:r w:rsidRPr="00796736">
        <w:rPr>
          <w:rFonts w:ascii="Times New Roman" w:hAnsi="Times New Roman" w:cs="Times New Roman"/>
          <w:sz w:val="24"/>
          <w:szCs w:val="24"/>
        </w:rPr>
        <w:t xml:space="preserve"> </w:t>
      </w:r>
    </w:p>
    <w:p w14:paraId="3F5EB371" w14:textId="58C49E05" w:rsidR="00D86423" w:rsidRPr="00796736" w:rsidRDefault="00D8642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Et påbud kan endvidere anvendes i de situationer, hvor Finanstilsynet har konstateret, at virksomhedens eller personens interne politikker, procedurer og kontroller ikke står i et rimeligt forhold til de risici for hvidvask, de underliggende overtrædelser eller finansiering af terrorisme, som virksomheden eller personen er eksponeret for.</w:t>
      </w:r>
    </w:p>
    <w:p w14:paraId="324D5146" w14:textId="77777777" w:rsidR="00975E23" w:rsidRPr="00796736" w:rsidRDefault="00975E2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Et påbud kan både anvendes i relation til at få virksomheden eller personen til at overholde og gennemføre specifikke korrigerende foranstaltninger samt til fremadrettet at foretage en generel adfærdskorrigering, herunder bringe en udvist adfærd til ophør og undlade at gentage en sådan adfærd.</w:t>
      </w:r>
    </w:p>
    <w:p w14:paraId="140C2DFF" w14:textId="39C3AB04" w:rsidR="00975E23" w:rsidRPr="00796736" w:rsidRDefault="00975E23" w:rsidP="00A802A5">
      <w:pPr>
        <w:spacing w:after="240" w:line="360" w:lineRule="auto"/>
        <w:rPr>
          <w:rFonts w:ascii="Times New Roman" w:eastAsia="Calibri" w:hAnsi="Times New Roman" w:cs="Times New Roman"/>
          <w:b/>
          <w:bCs/>
          <w:iCs/>
          <w:sz w:val="24"/>
          <w:szCs w:val="24"/>
        </w:rPr>
      </w:pPr>
      <w:r w:rsidRPr="00796736">
        <w:rPr>
          <w:rFonts w:ascii="Times New Roman" w:eastAsia="Calibri" w:hAnsi="Times New Roman" w:cs="Times New Roman"/>
          <w:iCs/>
          <w:sz w:val="24"/>
          <w:szCs w:val="24"/>
        </w:rPr>
        <w:t xml:space="preserve">Finanstilsynet kan blandt andet anvende påbud som middel til at stille krav om, at interne politikker, procedurer og kontroller styrkes, eller at der gennemføres foranstaltninger til nedbringelse af risici for hvidvask eller terrorfinansiering, der er forbundet med virksomhedens eller personens aktiviteter og produkter. Tilsvarende kan et påbud anvendes til at kræve, at virksomheden eller personen anvender en specifik politik eller specifikke krav vedrørende kategorier af kunder eller individuelle kunder, transaktioner, aktiviteter eller leveringskanaler, der udgør en høj risiko. </w:t>
      </w:r>
    </w:p>
    <w:p w14:paraId="41D51E82"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Et påbud kan ikke anvendes som reaktion på et lovbrud, der er ophørt på tidspunktet for Finanstilsynets undersøgelse. Påbud kan heller ikke udstedes, hvis en virksomhed alene har en væsentligt forøget risiko på et område eller uholdbare elementer i sin forretningsmodel, uden at dette indebærer en overtrædelse af lovgivningen.</w:t>
      </w:r>
    </w:p>
    <w:p w14:paraId="07868E83" w14:textId="145464DB" w:rsidR="00594B77"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et lovbrud ikke længere eksisterer, kan påbud ikke anvendes som tilsynsreaktion, da der ikke er noget fremadrettet at rette op på. I sådanne tilfælde kan Finanstilsynet i stedet give en påtale, som er en variant af påbud og anvendes, når der er konstateret en lovovertrædelse, der ikke længere består. </w:t>
      </w:r>
      <w:r w:rsidR="00594B77" w:rsidRPr="00594B77">
        <w:rPr>
          <w:rFonts w:ascii="Times New Roman" w:hAnsi="Times New Roman" w:cs="Times New Roman"/>
          <w:sz w:val="24"/>
          <w:szCs w:val="24"/>
        </w:rPr>
        <w:t>Ved grovere eller gentagne lovovertrædelser vil Finanstilsynet dog ligeledes kunne foretage politianmeldelse</w:t>
      </w:r>
      <w:r w:rsidR="00594B77">
        <w:rPr>
          <w:rFonts w:ascii="Times New Roman" w:hAnsi="Times New Roman" w:cs="Times New Roman"/>
          <w:sz w:val="24"/>
          <w:szCs w:val="24"/>
        </w:rPr>
        <w:t>.</w:t>
      </w:r>
    </w:p>
    <w:p w14:paraId="2DC3F762" w14:textId="7A4B142E"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ukomplicerede og ikke væsentlige overtrædelser af formalia, hvor virksomheden eller personen under Finanstilsynets undersøgelse erkender fejlen, kan Finanstilsynet som alternativ til påbud vælge at indgå en aftale om straksforbedring. </w:t>
      </w:r>
      <w:r w:rsidR="006E2B08">
        <w:rPr>
          <w:rFonts w:ascii="Times New Roman" w:hAnsi="Times New Roman" w:cs="Times New Roman"/>
          <w:sz w:val="24"/>
          <w:szCs w:val="24"/>
        </w:rPr>
        <w:t>En s</w:t>
      </w:r>
      <w:r w:rsidRPr="00796736">
        <w:rPr>
          <w:rFonts w:ascii="Times New Roman" w:hAnsi="Times New Roman" w:cs="Times New Roman"/>
          <w:sz w:val="24"/>
          <w:szCs w:val="24"/>
        </w:rPr>
        <w:t>traksforbedring indebærer, at virksomheden eller personen straks retter op på forholdet i overensstemmelse med Finanstilsynets anvisning. Straksforbedring anvendes, hvor et påbud vurderes at være unødigt formalistisk.</w:t>
      </w:r>
    </w:p>
    <w:p w14:paraId="51F62412"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Hvis Finanstilsynet konstaterer en væsentligt forøget risiko på et område eller uholdbare elementer i forretningsmodellen, uden at der er tale om en lovovertrædelse, kan Finanstilsynet give en risikooplysning. Risikooplysning gives kun, hvor virksomheden ikke på tidspunktet for meddelelsen overtræder loven. Hvis der samtidig konstateres lovovertrædelser, gives der påbud, og Finanstilsynet kan afhængig af omstændighederne foretage politianmeldelse.</w:t>
      </w:r>
    </w:p>
    <w:p w14:paraId="6AD2AC97"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Finanstilsynet skal ved anvendelse af påbud tage højde for alle relevante omstændigheder, herunder de faktorer, der fremgår af artikel 53, stk. 6, i 6. hvidvaskdirektiv. Dette omfatter blandt andet overtrædelsens grovhed og varighed, antallet af gentagelser samt graden af samarbejde med Finanstilsynet.</w:t>
      </w:r>
    </w:p>
    <w:p w14:paraId="2F3405D5"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Finanstilsynets frist fastsættes ud fra en konkret vurdering i den enkelte sag henset til overtrædelsens karakter. En alvorlig overtrædelse vil f.eks. kunne medføre, at fristen for efterlevelse af påbuddet er kortere end ved mindre alvorlige overtrædelser.</w:t>
      </w:r>
    </w:p>
    <w:p w14:paraId="79D08249" w14:textId="77777777"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efter udløbet af fristen følge op og vurdere, om virksomheden eller personen har efterkommet påbuddet og gennemført de fornødne foranstaltninger. Dette kan blandt andet ske ved, at Finanstilsynet beder virksomheden eller personen om at indsende en redegørelse og dokumentation, der beskriver, hvorledes vedkommende har efterlevet Finanstilsynets påbud, ligesom Finanstilsynet kan beslutte at gennemføre et opfølgende tilsyn.</w:t>
      </w:r>
    </w:p>
    <w:p w14:paraId="4F23166A" w14:textId="4CA25DFB"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w:t>
      </w:r>
      <w:r w:rsidR="00FF733E">
        <w:rPr>
          <w:rFonts w:ascii="Times New Roman" w:hAnsi="Times New Roman" w:cs="Times New Roman"/>
          <w:sz w:val="24"/>
          <w:szCs w:val="24"/>
        </w:rPr>
        <w:t>lov</w:t>
      </w:r>
      <w:r w:rsidRPr="00796736">
        <w:rPr>
          <w:rFonts w:ascii="Times New Roman" w:hAnsi="Times New Roman" w:cs="Times New Roman"/>
          <w:sz w:val="24"/>
          <w:szCs w:val="24"/>
        </w:rPr>
        <w:t>forslagets</w:t>
      </w:r>
      <w:r w:rsidR="00FF733E">
        <w:rPr>
          <w:rFonts w:ascii="Times New Roman" w:hAnsi="Times New Roman" w:cs="Times New Roman"/>
          <w:sz w:val="24"/>
          <w:szCs w:val="24"/>
        </w:rPr>
        <w:t xml:space="preserve"> </w:t>
      </w:r>
      <w:r w:rsidR="00CD3E4C">
        <w:rPr>
          <w:rFonts w:ascii="Times New Roman" w:hAnsi="Times New Roman" w:cs="Times New Roman"/>
          <w:sz w:val="24"/>
          <w:szCs w:val="24"/>
        </w:rPr>
        <w:fldChar w:fldCharType="begin"/>
      </w:r>
      <w:r w:rsidR="00CD3E4C">
        <w:rPr>
          <w:rFonts w:ascii="Times New Roman" w:hAnsi="Times New Roman" w:cs="Times New Roman"/>
          <w:sz w:val="24"/>
          <w:szCs w:val="24"/>
        </w:rPr>
        <w:instrText xml:space="preserve"> REF _Ref244804875 \r \h </w:instrText>
      </w:r>
      <w:r w:rsidR="00CD3E4C">
        <w:rPr>
          <w:rFonts w:ascii="Times New Roman" w:hAnsi="Times New Roman" w:cs="Times New Roman"/>
          <w:sz w:val="24"/>
          <w:szCs w:val="24"/>
        </w:rPr>
      </w:r>
      <w:r w:rsidR="00CD3E4C">
        <w:rPr>
          <w:rFonts w:ascii="Times New Roman" w:hAnsi="Times New Roman" w:cs="Times New Roman"/>
          <w:sz w:val="24"/>
          <w:szCs w:val="24"/>
        </w:rPr>
        <w:fldChar w:fldCharType="separate"/>
      </w:r>
      <w:r w:rsidR="008F29E5">
        <w:rPr>
          <w:rFonts w:ascii="Times New Roman" w:hAnsi="Times New Roman" w:cs="Times New Roman"/>
          <w:sz w:val="24"/>
          <w:szCs w:val="24"/>
        </w:rPr>
        <w:t>§ 135</w:t>
      </w:r>
      <w:r w:rsidR="00CD3E4C">
        <w:rPr>
          <w:rFonts w:ascii="Times New Roman" w:hAnsi="Times New Roman" w:cs="Times New Roman"/>
          <w:sz w:val="24"/>
          <w:szCs w:val="24"/>
        </w:rPr>
        <w:fldChar w:fldCharType="end"/>
      </w:r>
      <w:r w:rsidR="00CD3E4C">
        <w:rPr>
          <w:rFonts w:ascii="Times New Roman" w:hAnsi="Times New Roman" w:cs="Times New Roman"/>
          <w:sz w:val="24"/>
          <w:szCs w:val="24"/>
        </w:rPr>
        <w:t xml:space="preserve"> </w:t>
      </w:r>
      <w:r w:rsidR="00FF733E">
        <w:rPr>
          <w:rFonts w:ascii="Times New Roman" w:hAnsi="Times New Roman" w:cs="Times New Roman"/>
          <w:sz w:val="24"/>
          <w:szCs w:val="24"/>
        </w:rPr>
        <w:t>og</w:t>
      </w:r>
      <w:r w:rsidRPr="00796736">
        <w:rPr>
          <w:rFonts w:ascii="Times New Roman" w:hAnsi="Times New Roman" w:cs="Times New Roman"/>
          <w:sz w:val="24"/>
          <w:szCs w:val="24"/>
        </w:rPr>
        <w:t xml:space="preserve"> </w:t>
      </w:r>
      <w:r w:rsidR="00FF733E">
        <w:rPr>
          <w:rFonts w:ascii="Times New Roman" w:hAnsi="Times New Roman" w:cs="Times New Roman"/>
          <w:sz w:val="24"/>
          <w:szCs w:val="24"/>
        </w:rPr>
        <w:fldChar w:fldCharType="begin"/>
      </w:r>
      <w:r w:rsidR="00FF733E">
        <w:rPr>
          <w:rFonts w:ascii="Times New Roman" w:hAnsi="Times New Roman" w:cs="Times New Roman"/>
          <w:sz w:val="24"/>
          <w:szCs w:val="24"/>
        </w:rPr>
        <w:instrText xml:space="preserve"> REF _Ref242963797 \n \h </w:instrText>
      </w:r>
      <w:r w:rsidR="00CB248D">
        <w:rPr>
          <w:rFonts w:ascii="Times New Roman" w:hAnsi="Times New Roman" w:cs="Times New Roman"/>
          <w:sz w:val="24"/>
          <w:szCs w:val="24"/>
        </w:rPr>
        <w:instrText xml:space="preserve"> \* MERGEFORMAT </w:instrText>
      </w:r>
      <w:r w:rsidR="00FF733E">
        <w:rPr>
          <w:rFonts w:ascii="Times New Roman" w:hAnsi="Times New Roman" w:cs="Times New Roman"/>
          <w:sz w:val="24"/>
          <w:szCs w:val="24"/>
        </w:rPr>
      </w:r>
      <w:r w:rsidR="00FF733E">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FF733E">
        <w:rPr>
          <w:rFonts w:ascii="Times New Roman" w:hAnsi="Times New Roman" w:cs="Times New Roman"/>
          <w:sz w:val="24"/>
          <w:szCs w:val="24"/>
        </w:rPr>
        <w:fldChar w:fldCharType="end"/>
      </w:r>
      <w:r w:rsidR="00FF733E">
        <w:rPr>
          <w:rFonts w:ascii="Times New Roman" w:hAnsi="Times New Roman" w:cs="Times New Roman"/>
          <w:sz w:val="24"/>
          <w:szCs w:val="24"/>
        </w:rPr>
        <w:t xml:space="preserve"> </w:t>
      </w:r>
      <w:r w:rsidRPr="00796736">
        <w:rPr>
          <w:rFonts w:ascii="Times New Roman" w:hAnsi="Times New Roman" w:cs="Times New Roman"/>
          <w:sz w:val="24"/>
          <w:szCs w:val="24"/>
        </w:rPr>
        <w:t>kan undladelse af at efterkomme påbuddet straffes med bøde</w:t>
      </w:r>
      <w:r w:rsidR="00967506">
        <w:rPr>
          <w:rFonts w:ascii="Times New Roman" w:hAnsi="Times New Roman" w:cs="Times New Roman"/>
          <w:sz w:val="24"/>
          <w:szCs w:val="24"/>
        </w:rPr>
        <w:t>,</w:t>
      </w:r>
      <w:r w:rsidRPr="00796736">
        <w:rPr>
          <w:rFonts w:ascii="Times New Roman" w:hAnsi="Times New Roman" w:cs="Times New Roman"/>
          <w:sz w:val="24"/>
          <w:szCs w:val="24"/>
        </w:rPr>
        <w:t xml:space="preserve"> eller Finanstilsynet kan udstede tvangsbøder. </w:t>
      </w:r>
    </w:p>
    <w:p w14:paraId="2F7894C2" w14:textId="32A02E72" w:rsidR="00BE3C62" w:rsidRPr="00796736" w:rsidRDefault="00BE3C62"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00967506">
        <w:rPr>
          <w:rFonts w:ascii="Times New Roman" w:hAnsi="Times New Roman" w:cs="Times New Roman"/>
          <w:i/>
          <w:iCs/>
          <w:sz w:val="24"/>
          <w:szCs w:val="24"/>
        </w:rPr>
        <w:t>,</w:t>
      </w:r>
      <w:r w:rsidR="00A36314" w:rsidRPr="00796736">
        <w:rPr>
          <w:rFonts w:ascii="Times New Roman" w:hAnsi="Times New Roman" w:cs="Times New Roman"/>
          <w:i/>
          <w:iCs/>
          <w:sz w:val="24"/>
          <w:szCs w:val="24"/>
        </w:rPr>
        <w:t xml:space="preserve"> 1. pkt.</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sz w:val="24"/>
          <w:szCs w:val="24"/>
          <w:lang w:eastAsia="da-DK"/>
        </w:rPr>
        <w:t xml:space="preserve">reaktioner givet efter stk. 1 træffes på grundlag af det materiale og de oplysninger, som foreligger på </w:t>
      </w:r>
      <w:r w:rsidR="00A36314" w:rsidRPr="00796736">
        <w:rPr>
          <w:rFonts w:ascii="Times New Roman" w:eastAsia="Times New Roman" w:hAnsi="Times New Roman" w:cs="Times New Roman"/>
          <w:sz w:val="24"/>
          <w:szCs w:val="24"/>
          <w:lang w:eastAsia="da-DK"/>
        </w:rPr>
        <w:t>undersøgelsestidspunktet</w:t>
      </w:r>
      <w:r w:rsidRPr="00796736">
        <w:rPr>
          <w:rFonts w:ascii="Times New Roman" w:eastAsia="Times New Roman" w:hAnsi="Times New Roman" w:cs="Times New Roman"/>
          <w:sz w:val="24"/>
          <w:szCs w:val="24"/>
          <w:lang w:eastAsia="da-DK"/>
        </w:rPr>
        <w:t xml:space="preserve">. </w:t>
      </w:r>
    </w:p>
    <w:p w14:paraId="753C9D5A" w14:textId="77777777" w:rsidR="00A36314" w:rsidRPr="00796736" w:rsidRDefault="00A36314"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Finanstilsynet bruger påbud i forbindelse med en væsentlig lovovertrædelse, der foreligger på undersøgelsestidspunktet, og hvor der er behov for at pålægge en virksomhed eller personer en bestemt adfærd eller handling fremover. Det kan både være, fordi en virksomhed eller person handler på en lovstridig måde, som Finanstilsynet påbyder den at ophøre med, og fordi virksomheden eller personen undlader at handle, hvor handling er påkrævet efter lovgivningen. Et påbud kan ikke bruges som en reaktion på et lovbrud, der ikke længere eksisterer på undersøgelsestidspunktet.</w:t>
      </w:r>
    </w:p>
    <w:p w14:paraId="316D6C59" w14:textId="77777777" w:rsidR="00A36314" w:rsidRPr="00796736" w:rsidRDefault="00A36314"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påtale bruges i forbindelse med en væsentlig lovovertrædelse, der ikke længere eksisterer på undersøgelsestidspunktet. Det gælder både, hvor lovovertrædelsen vedrører en situation af midlertidig karakter, der nu er afsluttet, og hvor virksomheden eller personen af egen drift har bragt forholdet i orden. Grundlaget for Finanstilsynets reaktioner fastlægges på baggrund af de faktiske forhold, der konstateres under en inspektion.</w:t>
      </w:r>
    </w:p>
    <w:p w14:paraId="4C1E1A74" w14:textId="2488E412"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bestemmelses 1. pkt. skal Finanstilsynets reaktioner efter stk. 1, herunder påbud og påtaler, træffes på grundlag af det materiale og de oplysninger, der foreligger på </w:t>
      </w:r>
      <w:r w:rsidR="00A36314" w:rsidRPr="00796736">
        <w:rPr>
          <w:rFonts w:ascii="Times New Roman" w:hAnsi="Times New Roman" w:cs="Times New Roman"/>
          <w:sz w:val="24"/>
          <w:szCs w:val="24"/>
        </w:rPr>
        <w:t>undersøgelsestidspunktet</w:t>
      </w:r>
      <w:r w:rsidRPr="00796736">
        <w:rPr>
          <w:rFonts w:ascii="Times New Roman" w:hAnsi="Times New Roman" w:cs="Times New Roman"/>
          <w:sz w:val="24"/>
          <w:szCs w:val="24"/>
        </w:rPr>
        <w:t xml:space="preserve">. </w:t>
      </w:r>
    </w:p>
    <w:p w14:paraId="39E9B76C" w14:textId="17D7DFFC" w:rsidR="00BE3C62"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skabe</w:t>
      </w:r>
      <w:r w:rsidR="00A36314" w:rsidRPr="00796736">
        <w:rPr>
          <w:rFonts w:ascii="Times New Roman" w:hAnsi="Times New Roman" w:cs="Times New Roman"/>
          <w:sz w:val="24"/>
          <w:szCs w:val="24"/>
        </w:rPr>
        <w:t>r</w:t>
      </w:r>
      <w:r w:rsidRPr="00796736">
        <w:rPr>
          <w:rFonts w:ascii="Times New Roman" w:hAnsi="Times New Roman" w:cs="Times New Roman"/>
          <w:sz w:val="24"/>
          <w:szCs w:val="24"/>
        </w:rPr>
        <w:t xml:space="preserve"> transparens om, at Finanstilsynets påbud som følge af en inspektion som udgangspunkt træffes på grundlag af det materiale og de oplysninger, som forelå på </w:t>
      </w:r>
      <w:r w:rsidR="00A36314" w:rsidRPr="00796736">
        <w:rPr>
          <w:rFonts w:ascii="Times New Roman" w:hAnsi="Times New Roman" w:cs="Times New Roman"/>
          <w:sz w:val="24"/>
          <w:szCs w:val="24"/>
        </w:rPr>
        <w:t>undersøgelsestidspunktet</w:t>
      </w:r>
      <w:r w:rsidRPr="00796736">
        <w:rPr>
          <w:rFonts w:ascii="Times New Roman" w:hAnsi="Times New Roman" w:cs="Times New Roman"/>
          <w:sz w:val="24"/>
          <w:szCs w:val="24"/>
        </w:rPr>
        <w:t xml:space="preserve">. </w:t>
      </w:r>
    </w:p>
    <w:p w14:paraId="4341A4EA" w14:textId="77777777" w:rsidR="00741AEF" w:rsidRPr="00796736" w:rsidRDefault="00741AE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onsite inspektion skal forstås som de inspektioner, hvor Finanstilsynet gennemfører inspektionen hos virksomheden eller personen. En onsite inspektion består af en række møder med virksomheden eller personen og de relevante funktioner som f.eks. hvidvaskansvarlig, compliance, ledelsen m.m. Hvis praktiske forhold tilsiger det, kan onsite-delen af inspektionen foregå virtuelt. Undersøgelsestidspunktet dækker den periode, hvor Finanstilsynet er til stede – fysisk eller virtuelt – hos virksomheden eller personen. Afslutningen af undersøgelsen i en onsite inspektion er det tidspunkt, hvor det sidste fysiske eller virtuelle møde med virksomheden eller personen finder sted.</w:t>
      </w:r>
    </w:p>
    <w:p w14:paraId="1A074EDD" w14:textId="389AB974" w:rsidR="00741AEF" w:rsidRPr="00796736" w:rsidRDefault="00741AE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Ved en offsite inspektion indkalder og gennemgår Finanstilsynet materiale fra virksomheden eller personen og udarbejder en afgørelse på basis heraf. Som udgangspunkt afholder Finanstilsynet ikke møder med virksomheden eller personen under selve gennemførelsen af inspektionen. Afslutningen af undersøgelsen i en offsite inspektion er det tidspunkt, hvor virksomheden eller personen har indsendt det af Finanstilsynet anmodede materiale indenfor den fastsatte frist.</w:t>
      </w:r>
    </w:p>
    <w:p w14:paraId="1E1821BA" w14:textId="1ED2A973" w:rsidR="00CB4ECF" w:rsidRPr="00796736" w:rsidRDefault="00BE3C6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forslåede bestemmelse vil indebære, at det som altovervejende ud gangpunkt alene er materiale og oplysninger, som forelå på tidspunktet for inspektionen, der kan indgå i vurderingsgrundlaget. Oplysninger, der er ud arbejdet og fremlagt for Finanstilsynet efterfølgende, tillægges ikke betydning ved afgørelsen. </w:t>
      </w:r>
    </w:p>
    <w:p w14:paraId="34654897" w14:textId="7C103B8C" w:rsidR="00BE3C62" w:rsidRPr="00796736" w:rsidRDefault="00EC3553"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Det foreslås i </w:t>
      </w:r>
      <w:r w:rsidRPr="00586D2B">
        <w:rPr>
          <w:rFonts w:ascii="Times New Roman" w:hAnsi="Times New Roman" w:cs="Times New Roman"/>
          <w:i/>
          <w:iCs/>
          <w:sz w:val="24"/>
          <w:szCs w:val="24"/>
        </w:rPr>
        <w:t>stk. 2,</w:t>
      </w:r>
      <w:r w:rsidR="00BE3C62" w:rsidRPr="00796736">
        <w:rPr>
          <w:rFonts w:ascii="Times New Roman" w:hAnsi="Times New Roman" w:cs="Times New Roman"/>
          <w:sz w:val="24"/>
          <w:szCs w:val="24"/>
        </w:rPr>
        <w:t xml:space="preserve"> </w:t>
      </w:r>
      <w:r w:rsidR="00BE3C62" w:rsidRPr="00796736">
        <w:rPr>
          <w:rFonts w:ascii="Times New Roman" w:hAnsi="Times New Roman" w:cs="Times New Roman"/>
          <w:i/>
          <w:iCs/>
          <w:sz w:val="24"/>
          <w:szCs w:val="24"/>
        </w:rPr>
        <w:t>2. pkt</w:t>
      </w:r>
      <w:r w:rsidR="00BE3C62" w:rsidRPr="00796736">
        <w:rPr>
          <w:rFonts w:ascii="Times New Roman" w:hAnsi="Times New Roman" w:cs="Times New Roman"/>
          <w:sz w:val="24"/>
          <w:szCs w:val="24"/>
        </w:rPr>
        <w:t xml:space="preserve">., </w:t>
      </w:r>
      <w:r>
        <w:rPr>
          <w:rFonts w:ascii="Times New Roman" w:hAnsi="Times New Roman" w:cs="Times New Roman"/>
          <w:sz w:val="24"/>
          <w:szCs w:val="24"/>
        </w:rPr>
        <w:t>at o</w:t>
      </w:r>
      <w:r w:rsidRPr="00796736">
        <w:rPr>
          <w:rFonts w:ascii="Times New Roman" w:hAnsi="Times New Roman" w:cs="Times New Roman"/>
          <w:sz w:val="24"/>
          <w:szCs w:val="24"/>
          <w:lang w:eastAsia="da-DK"/>
        </w:rPr>
        <w:t>plysninger og materiale fremlagt efter dette tidspunkt indgår ikke i grundlaget for afgørelsen, medmindre særlige forhold taler herfor.</w:t>
      </w:r>
    </w:p>
    <w:p w14:paraId="41164624" w14:textId="77777777" w:rsidR="00CB4ECF" w:rsidRPr="00796736" w:rsidRDefault="00CB4EC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medføre, at Finanstilsynet i visse tilfælde kan gøre en undtagelse til 1. pkt. Der vil således kunne forekomme særlige forhold, hvor Finanstilsynet efter en konkret vurdering vil kunne vælge at medtage oplysninger, der er fremlagt efter undersøgelsestidspunktet, i vurderingen af, om der skal gives en reaktion, herunder påbud eller påtale. Sådanne særlige forhold vil kunne være situationer, hvor det må vurderes at være sagligt og rimeligt at fravige udgangspunktet. Det vil for eksempel kunne være, at virksomheden eller personen har været ramt af it-nedbrud, som har forhindret adgang til relevante systemer på undersøgelsestidspunktet, at de relevante oplysninger fysisk befinder sig på et fjernarkiv og derfor ikke kunne fremskaffes rettidigt, eller at en nøglemedarbejder, som alene har adgang til et relevant system, har været fraværende på undersøgelsestidspunktet, og materialet derfor ikke kunne præsenteres på undersøgelsestidspunktet. Dette vil endvidere eksempelvis kunne omfatte situationer, hvor virksomheden ønsker at afgive en udtalelse til sagen, selv efter at Finanstilsynet har sikret, at sagen er tilstrækkeligt oplyst, og på den baggrund har afsluttet den del af inspektionen, der foregår hos virksomheden eller personen, uanset om denne er blevet gennemført onsite eller offsite. Opremsningen er ikke udtømmende.</w:t>
      </w:r>
    </w:p>
    <w:p w14:paraId="2AFB8A94" w14:textId="77777777" w:rsidR="00CB4ECF" w:rsidRPr="00796736" w:rsidRDefault="00CB4ECF" w:rsidP="00A802A5">
      <w:pPr>
        <w:spacing w:line="360" w:lineRule="auto"/>
        <w:rPr>
          <w:rFonts w:ascii="Times New Roman" w:hAnsi="Times New Roman" w:cs="Times New Roman"/>
          <w:sz w:val="24"/>
          <w:szCs w:val="24"/>
        </w:rPr>
      </w:pPr>
    </w:p>
    <w:p w14:paraId="0E8DBB3B" w14:textId="77777777" w:rsidR="00CB4ECF" w:rsidRPr="00796736" w:rsidRDefault="00CB4EC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i alle tilfælde, at Finanstilsynet vil skulle foretage en konkret og individuel vurdering af, om det er relevant og forsvarligt at inddrage oplysninger fremlagt efter undersøgelsestidspunktet. Finanstilsynet vil således ved sin vurdering kunne inddrage materiale, som virksomheden eller personen har udarbejdet inden undersøgelsestidspunktet, også selvom dette materiale først eftersendes til Finanstilsynet efter undersøgelsestidspunktet. Det afgørende vil være, at materialet er udarbejdet forud for undersøgelsestidspunktet og ikke efterfølgende med henblik på at afhjælpe eller korrigere de konstaterede forhold.</w:t>
      </w:r>
    </w:p>
    <w:p w14:paraId="2D632999" w14:textId="77777777" w:rsidR="007A6F01" w:rsidRPr="00796736" w:rsidRDefault="007A6F01" w:rsidP="00A802A5">
      <w:pPr>
        <w:spacing w:line="360" w:lineRule="auto"/>
        <w:rPr>
          <w:rFonts w:ascii="Times New Roman" w:hAnsi="Times New Roman" w:cs="Times New Roman"/>
          <w:sz w:val="24"/>
          <w:szCs w:val="24"/>
        </w:rPr>
      </w:pPr>
    </w:p>
    <w:p w14:paraId="7BDB25B0" w14:textId="4F0B69FF" w:rsidR="007A6F01" w:rsidRPr="00796736" w:rsidRDefault="007A6F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at Finanstilsynet kan påbyde midlertidige foranstaltninger over for henholdsvis agenter for betalingsinstitutter og e-pengeinstitutter, herunder distributører med hjemsted i et andet EU- eller EØS-land, der ikke overholder hvidvaskforordningen, pengeoverførselsforordningen, denne lov og regler udstedt i medfør heraf samt love og forordninger indeholdende regler om finansielle sanktioner mod lande, personer, grupper, juridiske enheder eller organer.</w:t>
      </w:r>
    </w:p>
    <w:p w14:paraId="7D23D985" w14:textId="77777777" w:rsidR="007A6F01" w:rsidRPr="00796736" w:rsidRDefault="007A6F01" w:rsidP="00A802A5">
      <w:pPr>
        <w:spacing w:line="360" w:lineRule="auto"/>
        <w:rPr>
          <w:rFonts w:ascii="Times New Roman" w:hAnsi="Times New Roman" w:cs="Times New Roman"/>
          <w:sz w:val="24"/>
          <w:szCs w:val="24"/>
        </w:rPr>
      </w:pPr>
    </w:p>
    <w:p w14:paraId="6FE6A983" w14:textId="208600AB" w:rsidR="007A6F01" w:rsidRPr="00796736" w:rsidRDefault="004F0B6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viderefører i det væsentlige hvidvasklovens § 47, stk. 4. Bestemmelsen ændres dog således, at der ikke længere er tale om en bemyndigelse for Finanstilsynet til at fastsætte nærmere regler om midlertidige foranstaltninger, men om en hjemmel for Finanstilsynet til konkret at meddele påbud om sådanne foranstaltninger. Bestemmelsen gennemfører artikel 54, stk. 4, i 6. hvidvaskdirektiv.</w:t>
      </w:r>
    </w:p>
    <w:p w14:paraId="59D07E3E" w14:textId="77777777" w:rsidR="004F0B6F" w:rsidRPr="00796736" w:rsidRDefault="004F0B6F" w:rsidP="00A802A5">
      <w:pPr>
        <w:spacing w:line="360" w:lineRule="auto"/>
        <w:rPr>
          <w:rFonts w:ascii="Times New Roman" w:hAnsi="Times New Roman" w:cs="Times New Roman"/>
          <w:sz w:val="24"/>
          <w:szCs w:val="24"/>
        </w:rPr>
      </w:pPr>
    </w:p>
    <w:p w14:paraId="2141D50A" w14:textId="77777777" w:rsidR="007A6F01" w:rsidRPr="00796736" w:rsidRDefault="007A6F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Påbuddet skal være passende og forholdsmæssigt med henblik på at imødegå alvorlige, gentagne eller systematiske overtrædelser, der kræver omgående afhjælpning. Finanstilsynet kan således påbyde de foranstaltninger, som er nødvendige for at bringe overtrædelserne til ophør. Sådanne foranstaltninger kan f.eks. omfatte krav om ekstern revision af procedurer, krav om uddannelse af ansatte, krav om ændring af procedurer og, i tilfælde af særligt grove overtrædelser, påbud om ophør af agentens eller distributørens virksomhed, indtil forholdene er bragt i orden.</w:t>
      </w:r>
    </w:p>
    <w:p w14:paraId="3821683C" w14:textId="77777777" w:rsidR="007A6F01" w:rsidRPr="00796736" w:rsidRDefault="007A6F01" w:rsidP="00A802A5">
      <w:pPr>
        <w:spacing w:line="360" w:lineRule="auto"/>
        <w:rPr>
          <w:rFonts w:ascii="Times New Roman" w:hAnsi="Times New Roman" w:cs="Times New Roman"/>
          <w:sz w:val="24"/>
          <w:szCs w:val="24"/>
        </w:rPr>
      </w:pPr>
    </w:p>
    <w:p w14:paraId="102160D6" w14:textId="3457318C" w:rsidR="00CB4ECF" w:rsidRDefault="007A6F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Foranstaltningerne skal være af midlertidig karakter og ophøre, når de konstaterede overtrædelser er afhjulpet, herunder med bistand fra eller i samarbejde med Finanstilsynet eller den kompetente myndighed i den forpligtede enheds hjemland.</w:t>
      </w:r>
    </w:p>
    <w:p w14:paraId="7FF41F92" w14:textId="77777777" w:rsidR="00594B77" w:rsidRPr="00796736" w:rsidRDefault="00594B77" w:rsidP="00A802A5">
      <w:pPr>
        <w:spacing w:line="360" w:lineRule="auto"/>
        <w:rPr>
          <w:rFonts w:ascii="Times New Roman" w:hAnsi="Times New Roman" w:cs="Times New Roman"/>
          <w:sz w:val="24"/>
          <w:szCs w:val="24"/>
        </w:rPr>
      </w:pPr>
    </w:p>
    <w:p w14:paraId="63C911CE" w14:textId="68368C15" w:rsidR="00BE3C62" w:rsidRPr="00796736" w:rsidRDefault="00BE3C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pkt. </w:t>
      </w:r>
      <w:r w:rsidR="003E2220" w:rsidRPr="00796736">
        <w:rPr>
          <w:rFonts w:ascii="Times New Roman" w:hAnsi="Times New Roman" w:cs="Times New Roman"/>
          <w:sz w:val="24"/>
          <w:szCs w:val="24"/>
        </w:rPr>
        <w:fldChar w:fldCharType="begin"/>
      </w:r>
      <w:r w:rsidR="003E2220" w:rsidRPr="00796736">
        <w:rPr>
          <w:rFonts w:ascii="Times New Roman" w:hAnsi="Times New Roman" w:cs="Times New Roman"/>
          <w:sz w:val="24"/>
          <w:szCs w:val="24"/>
        </w:rPr>
        <w:instrText xml:space="preserve"> REF _Ref232950549 \n \h </w:instrText>
      </w:r>
      <w:r w:rsidR="00967618" w:rsidRPr="00796736">
        <w:rPr>
          <w:rFonts w:ascii="Times New Roman" w:hAnsi="Times New Roman" w:cs="Times New Roman"/>
          <w:sz w:val="24"/>
          <w:szCs w:val="24"/>
        </w:rPr>
        <w:instrText xml:space="preserve"> \* MERGEFORMAT </w:instrText>
      </w:r>
      <w:r w:rsidR="003E2220" w:rsidRPr="00796736">
        <w:rPr>
          <w:rFonts w:ascii="Times New Roman" w:hAnsi="Times New Roman" w:cs="Times New Roman"/>
          <w:sz w:val="24"/>
          <w:szCs w:val="24"/>
        </w:rPr>
      </w:r>
      <w:r w:rsidR="003E222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3.54</w:t>
      </w:r>
      <w:r w:rsidR="003E222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 lovforslagets almindelige bemærkninger.</w:t>
      </w:r>
    </w:p>
    <w:p w14:paraId="0FC4D591" w14:textId="77777777" w:rsidR="00152093" w:rsidRPr="00796736" w:rsidRDefault="00152093" w:rsidP="00A802A5">
      <w:pPr>
        <w:spacing w:line="360" w:lineRule="auto"/>
        <w:rPr>
          <w:rFonts w:ascii="Times New Roman" w:hAnsi="Times New Roman" w:cs="Times New Roman"/>
          <w:i/>
          <w:iCs/>
          <w:sz w:val="24"/>
          <w:szCs w:val="24"/>
        </w:rPr>
      </w:pPr>
    </w:p>
    <w:p w14:paraId="5377E5C8" w14:textId="5D31AE2B" w:rsidR="00A30F9E" w:rsidRPr="00796736" w:rsidRDefault="00240DBE" w:rsidP="00A802A5">
      <w:pPr>
        <w:pStyle w:val="Undertitel"/>
        <w:rPr>
          <w:iCs/>
        </w:rPr>
      </w:pPr>
      <w:bookmarkStart w:id="2051" w:name="_Toc232109396"/>
      <w:bookmarkStart w:id="2052" w:name="_Toc244879360"/>
      <w:bookmarkStart w:id="2053" w:name="_Toc244880885"/>
      <w:r w:rsidRPr="00796736">
        <w:t xml:space="preserve">Til </w:t>
      </w:r>
      <w:r w:rsidR="00465705" w:rsidRPr="00796736">
        <w:fldChar w:fldCharType="begin"/>
      </w:r>
      <w:r w:rsidR="00465705" w:rsidRPr="00796736">
        <w:instrText xml:space="preserve"> REF _Ref232597270 \r \h </w:instrText>
      </w:r>
      <w:r w:rsidR="00967618" w:rsidRPr="00796736">
        <w:instrText xml:space="preserve"> \* MERGEFORMAT </w:instrText>
      </w:r>
      <w:r w:rsidR="00465705" w:rsidRPr="00796736">
        <w:fldChar w:fldCharType="separate"/>
      </w:r>
      <w:r w:rsidR="008F29E5">
        <w:t>§ 64</w:t>
      </w:r>
      <w:bookmarkEnd w:id="2052"/>
      <w:bookmarkEnd w:id="2053"/>
      <w:r w:rsidR="00465705" w:rsidRPr="00796736">
        <w:fldChar w:fldCharType="end"/>
      </w:r>
      <w:r w:rsidR="00E60C91" w:rsidRPr="00796736">
        <w:t xml:space="preserve"> </w:t>
      </w:r>
      <w:bookmarkEnd w:id="2051"/>
    </w:p>
    <w:p w14:paraId="5103D412" w14:textId="7594DD67"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51 b i hvidvaskloven, at Finanstilsynet kan påbyde en virksomhed eller en person omfattet af § 1, stk. 1, nr. 1</w:t>
      </w:r>
      <w:r w:rsidR="00ED5F49">
        <w:rPr>
          <w:rFonts w:ascii="Times New Roman" w:hAnsi="Times New Roman" w:cs="Times New Roman"/>
          <w:sz w:val="24"/>
          <w:szCs w:val="24"/>
        </w:rPr>
        <w:t>-</w:t>
      </w:r>
      <w:r w:rsidRPr="00796736">
        <w:rPr>
          <w:rFonts w:ascii="Times New Roman" w:hAnsi="Times New Roman" w:cs="Times New Roman"/>
          <w:sz w:val="24"/>
          <w:szCs w:val="24"/>
        </w:rPr>
        <w:t>10, 18 og 22, dog ikke disses filialer, distributører og agenter her i landet, at virksomheden eller personen midlertidigt ikke må optage nye kundeforhold, når der er konstateret en alvorlig overtrædelse af den gældende hvidvasklov eller regler udstedt i medfør af loven. Er overtrædelsen foregået helt eller delvist i en virksomheds udenlandske filial, kan påbuddet udstrækkes til at omfatte filialen. Efter stk. 2 ophører et påbud efter stk. 1, når virksomheden eller personen over for Finanstilsynet dokumenterer, at overtrædelsen er ophørt.</w:t>
      </w:r>
    </w:p>
    <w:p w14:paraId="1AEBAA02" w14:textId="77777777" w:rsidR="00F131D4" w:rsidRPr="00796736" w:rsidRDefault="00F131D4" w:rsidP="00A802A5">
      <w:pPr>
        <w:spacing w:line="360" w:lineRule="auto"/>
        <w:rPr>
          <w:rFonts w:ascii="Times New Roman" w:hAnsi="Times New Roman" w:cs="Times New Roman"/>
          <w:sz w:val="24"/>
          <w:szCs w:val="24"/>
        </w:rPr>
      </w:pPr>
    </w:p>
    <w:p w14:paraId="5DE5BEAE" w14:textId="6AFEC056"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 hvidvasklovens § 51 b foreslås ændret og udvidet</w:t>
      </w:r>
      <w:r w:rsidR="003B0071" w:rsidRPr="00796736">
        <w:rPr>
          <w:rFonts w:ascii="Times New Roman" w:hAnsi="Times New Roman" w:cs="Times New Roman"/>
          <w:sz w:val="24"/>
          <w:szCs w:val="24"/>
        </w:rPr>
        <w:t xml:space="preserve"> i overensstemmelse med kravene i 6. hvidvaskdirektiv</w:t>
      </w:r>
      <w:r w:rsidRPr="00796736">
        <w:rPr>
          <w:rFonts w:ascii="Times New Roman" w:hAnsi="Times New Roman" w:cs="Times New Roman"/>
          <w:sz w:val="24"/>
          <w:szCs w:val="24"/>
        </w:rPr>
        <w:t xml:space="preserve">, således at Finanstilsynet får mulighed for at påbyde virksomheder og personer, der er omfattet af loven, en række yderligere foranstaltninger, når der konstateres en overtrædelse af </w:t>
      </w:r>
      <w:r w:rsidR="001355E4" w:rsidRPr="00796736">
        <w:rPr>
          <w:rFonts w:ascii="Times New Roman" w:hAnsi="Times New Roman" w:cs="Times New Roman"/>
          <w:sz w:val="24"/>
          <w:szCs w:val="24"/>
        </w:rPr>
        <w:t>reglerne i hvidvaskforordningen, denne lov eller regler udstedt i medfør heraf.</w:t>
      </w:r>
    </w:p>
    <w:p w14:paraId="51D0FCA4" w14:textId="77777777" w:rsidR="00F131D4" w:rsidRPr="00796736" w:rsidRDefault="00F131D4" w:rsidP="00A802A5">
      <w:pPr>
        <w:spacing w:line="360" w:lineRule="auto"/>
        <w:rPr>
          <w:rFonts w:ascii="Times New Roman" w:hAnsi="Times New Roman" w:cs="Times New Roman"/>
          <w:sz w:val="24"/>
          <w:szCs w:val="24"/>
        </w:rPr>
      </w:pPr>
    </w:p>
    <w:p w14:paraId="5978FAD7" w14:textId="182345D2"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artikel 56, stk. 2, litra e, i 6. hvidvaskdirektiv</w:t>
      </w:r>
      <w:r w:rsidR="001355E4" w:rsidRPr="00796736">
        <w:rPr>
          <w:rFonts w:ascii="Times New Roman" w:hAnsi="Times New Roman" w:cs="Times New Roman"/>
          <w:sz w:val="24"/>
          <w:szCs w:val="24"/>
        </w:rPr>
        <w:t>.</w:t>
      </w:r>
    </w:p>
    <w:p w14:paraId="113BED17" w14:textId="77777777" w:rsidR="00F131D4" w:rsidRPr="00796736" w:rsidRDefault="00F131D4" w:rsidP="00A802A5">
      <w:pPr>
        <w:spacing w:line="360" w:lineRule="auto"/>
        <w:rPr>
          <w:rFonts w:ascii="Times New Roman" w:hAnsi="Times New Roman" w:cs="Times New Roman"/>
          <w:sz w:val="24"/>
          <w:szCs w:val="24"/>
        </w:rPr>
      </w:pPr>
    </w:p>
    <w:p w14:paraId="312E9807" w14:textId="45C12146" w:rsidR="000808CE"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A37183" w:rsidRPr="00796736">
        <w:rPr>
          <w:rFonts w:ascii="Times New Roman" w:hAnsi="Times New Roman" w:cs="Times New Roman"/>
          <w:i/>
          <w:iCs/>
          <w:sz w:val="24"/>
          <w:szCs w:val="24"/>
        </w:rPr>
        <w:fldChar w:fldCharType="begin"/>
      </w:r>
      <w:r w:rsidR="00A37183" w:rsidRPr="00796736">
        <w:rPr>
          <w:rFonts w:ascii="Times New Roman" w:hAnsi="Times New Roman" w:cs="Times New Roman"/>
          <w:i/>
          <w:iCs/>
          <w:sz w:val="24"/>
          <w:szCs w:val="24"/>
        </w:rPr>
        <w:instrText xml:space="preserve"> REF _Ref232597270 \r \h  \* MERGEFORMAT </w:instrText>
      </w:r>
      <w:r w:rsidR="00A37183" w:rsidRPr="00796736">
        <w:rPr>
          <w:rFonts w:ascii="Times New Roman" w:hAnsi="Times New Roman" w:cs="Times New Roman"/>
          <w:i/>
          <w:iCs/>
          <w:sz w:val="24"/>
          <w:szCs w:val="24"/>
        </w:rPr>
      </w:r>
      <w:r w:rsidR="00A37183"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64</w:t>
      </w:r>
      <w:r w:rsidR="00A37183" w:rsidRPr="00796736">
        <w:rPr>
          <w:rFonts w:ascii="Times New Roman" w:hAnsi="Times New Roman" w:cs="Times New Roman"/>
          <w:i/>
          <w:iCs/>
          <w:sz w:val="24"/>
          <w:szCs w:val="24"/>
        </w:rPr>
        <w:fldChar w:fldCharType="end"/>
      </w:r>
      <w:r w:rsidR="00A37183"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Finanstilsynet </w:t>
      </w:r>
      <w:r w:rsidR="003B0071" w:rsidRPr="00796736">
        <w:rPr>
          <w:rFonts w:ascii="Times New Roman" w:hAnsi="Times New Roman" w:cs="Times New Roman"/>
          <w:sz w:val="24"/>
          <w:szCs w:val="24"/>
          <w:lang w:eastAsia="da-DK"/>
        </w:rPr>
        <w:t xml:space="preserve">i tilfælde, der er omfattet af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3B0071" w:rsidRPr="00796736">
        <w:rPr>
          <w:rFonts w:ascii="Times New Roman" w:hAnsi="Times New Roman" w:cs="Times New Roman"/>
          <w:sz w:val="24"/>
          <w:szCs w:val="24"/>
          <w:lang w:eastAsia="da-DK"/>
        </w:rPr>
        <w:t xml:space="preserve">, </w:t>
      </w:r>
      <w:r w:rsidR="003B0071" w:rsidRPr="00796736">
        <w:rPr>
          <w:rFonts w:ascii="Times New Roman" w:hAnsi="Times New Roman" w:cs="Times New Roman"/>
          <w:sz w:val="24"/>
          <w:szCs w:val="24"/>
        </w:rPr>
        <w:t xml:space="preserve"> </w:t>
      </w:r>
      <w:r w:rsidR="00263954" w:rsidRPr="00796736">
        <w:rPr>
          <w:rFonts w:ascii="Times New Roman" w:hAnsi="Times New Roman" w:cs="Times New Roman"/>
          <w:sz w:val="24"/>
          <w:szCs w:val="24"/>
        </w:rPr>
        <w:t xml:space="preserve">kan </w:t>
      </w:r>
      <w:r w:rsidRPr="00796736">
        <w:rPr>
          <w:rFonts w:ascii="Times New Roman" w:hAnsi="Times New Roman" w:cs="Times New Roman"/>
          <w:sz w:val="24"/>
          <w:szCs w:val="24"/>
        </w:rPr>
        <w:t>påbyde virksomheder og personer</w:t>
      </w:r>
      <w:r w:rsidR="001355E4" w:rsidRPr="00796736">
        <w:rPr>
          <w:rFonts w:ascii="Times New Roman" w:hAnsi="Times New Roman" w:cs="Times New Roman"/>
          <w:sz w:val="24"/>
          <w:szCs w:val="24"/>
        </w:rPr>
        <w:t xml:space="preserve">, som nævnt i </w:t>
      </w:r>
      <w:r w:rsidR="00500C95" w:rsidRPr="00796736">
        <w:rPr>
          <w:rFonts w:ascii="Times New Roman" w:hAnsi="Times New Roman" w:cs="Times New Roman"/>
          <w:sz w:val="24"/>
          <w:szCs w:val="24"/>
          <w:lang w:eastAsia="da-DK"/>
        </w:rPr>
        <w:t>§ 1, stk. 2, nr. 1-3</w:t>
      </w:r>
      <w:r w:rsidR="00263954">
        <w:rPr>
          <w:rFonts w:ascii="Times New Roman" w:hAnsi="Times New Roman" w:cs="Times New Roman"/>
          <w:sz w:val="24"/>
          <w:szCs w:val="24"/>
          <w:lang w:eastAsia="da-DK"/>
        </w:rPr>
        <w:t>,</w:t>
      </w:r>
      <w:r w:rsidR="00500C95" w:rsidRPr="00796736">
        <w:rPr>
          <w:rFonts w:ascii="Times New Roman" w:hAnsi="Times New Roman" w:cs="Times New Roman"/>
          <w:sz w:val="24"/>
          <w:szCs w:val="24"/>
          <w:lang w:eastAsia="da-DK"/>
        </w:rPr>
        <w:t xml:space="preserve"> </w:t>
      </w:r>
      <w:r w:rsidR="00586D2B">
        <w:rPr>
          <w:rFonts w:ascii="Times New Roman" w:hAnsi="Times New Roman" w:cs="Times New Roman"/>
          <w:sz w:val="24"/>
          <w:szCs w:val="24"/>
          <w:lang w:eastAsia="da-DK"/>
        </w:rPr>
        <w:t>samt</w:t>
      </w:r>
      <w:r w:rsidR="00500C95" w:rsidRPr="00796736">
        <w:rPr>
          <w:rFonts w:ascii="Times New Roman" w:hAnsi="Times New Roman" w:cs="Times New Roman"/>
          <w:sz w:val="24"/>
          <w:szCs w:val="24"/>
          <w:lang w:eastAsia="da-DK"/>
        </w:rPr>
        <w:t xml:space="preserve"> </w:t>
      </w:r>
      <w:r w:rsidR="001355E4" w:rsidRPr="00796736">
        <w:rPr>
          <w:rFonts w:ascii="Times New Roman" w:hAnsi="Times New Roman" w:cs="Times New Roman"/>
          <w:sz w:val="24"/>
          <w:szCs w:val="24"/>
        </w:rPr>
        <w:fldChar w:fldCharType="begin"/>
      </w:r>
      <w:r w:rsidR="001355E4" w:rsidRPr="00796736">
        <w:rPr>
          <w:rFonts w:ascii="Times New Roman" w:hAnsi="Times New Roman" w:cs="Times New Roman"/>
          <w:sz w:val="24"/>
          <w:szCs w:val="24"/>
        </w:rPr>
        <w:instrText xml:space="preserve"> REF _Ref232592818 \r \h  \* MERGEFORMAT </w:instrText>
      </w:r>
      <w:r w:rsidR="001355E4" w:rsidRPr="00796736">
        <w:rPr>
          <w:rFonts w:ascii="Times New Roman" w:hAnsi="Times New Roman" w:cs="Times New Roman"/>
          <w:sz w:val="24"/>
          <w:szCs w:val="24"/>
        </w:rPr>
      </w:r>
      <w:r w:rsidR="001355E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1355E4" w:rsidRPr="00796736">
        <w:rPr>
          <w:rFonts w:ascii="Times New Roman" w:hAnsi="Times New Roman" w:cs="Times New Roman"/>
          <w:sz w:val="24"/>
          <w:szCs w:val="24"/>
        </w:rPr>
        <w:fldChar w:fldCharType="end"/>
      </w:r>
      <w:r w:rsidR="001355E4" w:rsidRPr="00796736">
        <w:rPr>
          <w:rFonts w:ascii="Times New Roman" w:hAnsi="Times New Roman" w:cs="Times New Roman"/>
          <w:sz w:val="24"/>
          <w:szCs w:val="24"/>
        </w:rPr>
        <w:t xml:space="preserve">, nr. 1-19 </w:t>
      </w:r>
      <w:r w:rsidR="00875BE0" w:rsidRPr="00796736">
        <w:rPr>
          <w:rFonts w:ascii="Times New Roman" w:hAnsi="Times New Roman" w:cs="Times New Roman"/>
          <w:sz w:val="24"/>
          <w:szCs w:val="24"/>
        </w:rPr>
        <w:t>og</w:t>
      </w:r>
      <w:r w:rsidR="001355E4" w:rsidRPr="00796736">
        <w:rPr>
          <w:rFonts w:ascii="Times New Roman" w:hAnsi="Times New Roman" w:cs="Times New Roman"/>
          <w:sz w:val="24"/>
          <w:szCs w:val="24"/>
        </w:rPr>
        <w:t xml:space="preserve"> 32, litra a, </w:t>
      </w:r>
      <w:r w:rsidR="000808CE" w:rsidRPr="000808CE">
        <w:rPr>
          <w:rFonts w:ascii="Times New Roman" w:hAnsi="Times New Roman" w:cs="Times New Roman"/>
          <w:sz w:val="24"/>
          <w:szCs w:val="24"/>
        </w:rPr>
        <w:t>om begrænsning af nærmere afgrænsede aktiviteter, transaktioner eller deltagelse i netværk af institutter samt om afhændelse af aktiviteter, jf. nr. 1-4.</w:t>
      </w:r>
    </w:p>
    <w:p w14:paraId="7F7524C7" w14:textId="77777777" w:rsidR="00F17E1A" w:rsidRPr="00796736" w:rsidRDefault="00F17E1A" w:rsidP="00A802A5">
      <w:pPr>
        <w:spacing w:line="360" w:lineRule="auto"/>
        <w:rPr>
          <w:rFonts w:ascii="Times New Roman" w:hAnsi="Times New Roman" w:cs="Times New Roman"/>
          <w:sz w:val="24"/>
          <w:szCs w:val="24"/>
        </w:rPr>
      </w:pPr>
    </w:p>
    <w:p w14:paraId="3498A931" w14:textId="7713914E" w:rsidR="00D930B9" w:rsidRDefault="00FF733E" w:rsidP="00A802A5">
      <w:pPr>
        <w:spacing w:line="360" w:lineRule="auto"/>
        <w:rPr>
          <w:rFonts w:ascii="Times New Roman" w:hAnsi="Times New Roman" w:cs="Times New Roman"/>
          <w:sz w:val="24"/>
          <w:szCs w:val="24"/>
        </w:rPr>
      </w:pPr>
      <w:r w:rsidRPr="00FF733E">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55D23467" w14:textId="77777777" w:rsidR="00FF733E" w:rsidRPr="00796736" w:rsidRDefault="00FF733E" w:rsidP="00A802A5">
      <w:pPr>
        <w:spacing w:line="360" w:lineRule="auto"/>
        <w:rPr>
          <w:rFonts w:ascii="Times New Roman" w:hAnsi="Times New Roman" w:cs="Times New Roman"/>
          <w:sz w:val="24"/>
          <w:szCs w:val="24"/>
        </w:rPr>
      </w:pPr>
    </w:p>
    <w:p w14:paraId="1AD66870" w14:textId="12DDFF9A" w:rsidR="00F131D4" w:rsidRPr="00796736" w:rsidRDefault="00D930B9"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6938F094" w14:textId="77777777" w:rsidR="003B0071" w:rsidRPr="00796736" w:rsidRDefault="003B0071" w:rsidP="00A802A5">
      <w:pPr>
        <w:spacing w:line="360" w:lineRule="auto"/>
        <w:rPr>
          <w:rFonts w:ascii="Times New Roman" w:hAnsi="Times New Roman" w:cs="Times New Roman"/>
          <w:sz w:val="24"/>
          <w:szCs w:val="24"/>
        </w:rPr>
      </w:pPr>
    </w:p>
    <w:p w14:paraId="2E71565F" w14:textId="6333A476"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w:t>
      </w:r>
      <w:r w:rsidRPr="00796736">
        <w:rPr>
          <w:rFonts w:ascii="Times New Roman" w:hAnsi="Times New Roman" w:cs="Times New Roman"/>
          <w:sz w:val="24"/>
          <w:szCs w:val="24"/>
        </w:rPr>
        <w:t xml:space="preserve">, at Finanstilsynet </w:t>
      </w:r>
      <w:r w:rsidR="003B0071" w:rsidRPr="00796736">
        <w:rPr>
          <w:rFonts w:ascii="Times New Roman" w:hAnsi="Times New Roman" w:cs="Times New Roman"/>
          <w:sz w:val="24"/>
          <w:szCs w:val="24"/>
          <w:lang w:eastAsia="da-DK"/>
        </w:rPr>
        <w:t xml:space="preserve">i tilfælde, der er omfattet af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3B0071" w:rsidRPr="00796736">
        <w:rPr>
          <w:rFonts w:ascii="Times New Roman" w:hAnsi="Times New Roman" w:cs="Times New Roman"/>
          <w:sz w:val="24"/>
          <w:szCs w:val="24"/>
          <w:lang w:eastAsia="da-DK"/>
        </w:rPr>
        <w:t xml:space="preserve">, </w:t>
      </w:r>
      <w:r w:rsidR="00875BE0" w:rsidRPr="00796736">
        <w:rPr>
          <w:rFonts w:ascii="Times New Roman" w:hAnsi="Times New Roman" w:cs="Times New Roman"/>
          <w:sz w:val="24"/>
          <w:szCs w:val="24"/>
        </w:rPr>
        <w:t>kan</w:t>
      </w:r>
      <w:r w:rsidR="00875BE0" w:rsidRPr="00796736" w:rsidDel="003B0071">
        <w:rPr>
          <w:rFonts w:ascii="Times New Roman" w:hAnsi="Times New Roman" w:cs="Times New Roman"/>
          <w:sz w:val="24"/>
          <w:szCs w:val="24"/>
        </w:rPr>
        <w:t xml:space="preserve"> </w:t>
      </w:r>
      <w:r w:rsidRPr="00796736">
        <w:rPr>
          <w:rFonts w:ascii="Times New Roman" w:hAnsi="Times New Roman" w:cs="Times New Roman"/>
          <w:sz w:val="24"/>
          <w:szCs w:val="24"/>
        </w:rPr>
        <w:t xml:space="preserve">påbyde, at virksomheden eller personen midlertidigt ikke må udøve en nærmere afgrænset forretningsaktivitet. </w:t>
      </w:r>
    </w:p>
    <w:p w14:paraId="4D0B5181" w14:textId="77777777" w:rsidR="00F131D4" w:rsidRPr="00796736" w:rsidRDefault="00F131D4" w:rsidP="00A802A5">
      <w:pPr>
        <w:spacing w:line="360" w:lineRule="auto"/>
        <w:rPr>
          <w:rFonts w:ascii="Times New Roman" w:hAnsi="Times New Roman" w:cs="Times New Roman"/>
          <w:sz w:val="24"/>
          <w:szCs w:val="24"/>
        </w:rPr>
      </w:pPr>
    </w:p>
    <w:p w14:paraId="46429748" w14:textId="77777777"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Et påbud efter denne bestemmelse kan eksempelvis indebære, at virksomheden eller personen for en periode ikke må udbyde bestemte produkter eller ydelser, hvor der er identificeret forhøjet risiko for hvidvask eller terrorfinansiering, eller hvor virksomheden ikke har tilstrækkelige procedurer og kontroller til at sikre overholdelse af gældende regler. Dette kan for eksempel være visse typer af finansielle produkter, betalingsløsninger, valutaveksling, udlån, investeringstjenester eller andre forretningsområder, hvor der er konstateret særlige risici eller mangler i virksomhedens risikostyring.</w:t>
      </w:r>
    </w:p>
    <w:p w14:paraId="03B281B2" w14:textId="77777777" w:rsidR="00F131D4" w:rsidRPr="00796736" w:rsidRDefault="00F131D4" w:rsidP="00A802A5">
      <w:pPr>
        <w:spacing w:line="360" w:lineRule="auto"/>
        <w:rPr>
          <w:rFonts w:ascii="Times New Roman" w:hAnsi="Times New Roman" w:cs="Times New Roman"/>
          <w:sz w:val="24"/>
          <w:szCs w:val="24"/>
        </w:rPr>
      </w:pPr>
    </w:p>
    <w:p w14:paraId="6271A52C" w14:textId="1D3FC588" w:rsidR="009F23CA"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Påbuddet kan også rettes mod aktiviteter, der involverer bestemte kundegrupper, distributionskanaler eller samarbejdspartnere, hvor der er identificeret utilstrækkelig kontrol eller forhøjet risiko. Formålet med bestemmelsen er at give Finanstilsynet mulighed for hurtigt og effektivt at begrænse eller standse de aktiviteter, der udgør en særlig risiko, indtil virksomheden eller personen har dokumenteret, at de nødvendige foranstaltninger er iværksat for at sikre overholdelse af reglerne.</w:t>
      </w:r>
    </w:p>
    <w:p w14:paraId="7F2FB862" w14:textId="77777777" w:rsidR="009F23CA" w:rsidRPr="00796736" w:rsidRDefault="009F23CA" w:rsidP="00A802A5">
      <w:pPr>
        <w:spacing w:line="360" w:lineRule="auto"/>
        <w:rPr>
          <w:rFonts w:ascii="Times New Roman" w:hAnsi="Times New Roman" w:cs="Times New Roman"/>
          <w:sz w:val="24"/>
          <w:szCs w:val="24"/>
        </w:rPr>
      </w:pPr>
    </w:p>
    <w:p w14:paraId="599793DE" w14:textId="741F39D1" w:rsidR="009F23CA" w:rsidRPr="00796736" w:rsidRDefault="009F23C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Desuden kan påbuddet efter </w:t>
      </w:r>
      <w:r w:rsidR="00263954">
        <w:rPr>
          <w:rFonts w:ascii="Times New Roman" w:hAnsi="Times New Roman" w:cs="Times New Roman"/>
          <w:sz w:val="24"/>
          <w:szCs w:val="24"/>
        </w:rPr>
        <w:t xml:space="preserve">det </w:t>
      </w:r>
      <w:r w:rsidRPr="00796736">
        <w:rPr>
          <w:rFonts w:ascii="Times New Roman" w:hAnsi="Times New Roman" w:cs="Times New Roman"/>
          <w:sz w:val="24"/>
          <w:szCs w:val="24"/>
        </w:rPr>
        <w:t>foreslåede stk. 1, nr. 1, omfatte, at virksomheden eller personen midlertidigt ikke må optage nye kundeforhold. Dette kan være relevant, hvis virksomheden ikke har tilstrækkelige procedurer eller kontroller til at sikre overholdelse af reglerne.</w:t>
      </w:r>
    </w:p>
    <w:p w14:paraId="27109BD1" w14:textId="77777777" w:rsidR="009F23CA" w:rsidRPr="00796736" w:rsidRDefault="009F23CA" w:rsidP="00A802A5">
      <w:pPr>
        <w:spacing w:line="360" w:lineRule="auto"/>
        <w:rPr>
          <w:rFonts w:ascii="Times New Roman" w:hAnsi="Times New Roman" w:cs="Times New Roman"/>
          <w:sz w:val="24"/>
          <w:szCs w:val="24"/>
        </w:rPr>
      </w:pPr>
    </w:p>
    <w:p w14:paraId="4336778B" w14:textId="77777777" w:rsidR="009F23CA" w:rsidRPr="00796736" w:rsidRDefault="009F23C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vurderingen af, om overtrædelsen har en sådan karakter, at den skal medføre et påbud om ikke at optage kundeforhold, før virksomheden har rettet op på forholdene og kan dokumentere dette, kan der bl.a. lægges vægt på overtrædelsens grovhed, herunder hvor mange og hvor store kunder det drejer sig om, karakteren af kundeforholdene osv. </w:t>
      </w:r>
    </w:p>
    <w:p w14:paraId="1B94E870" w14:textId="77777777" w:rsidR="009F23CA" w:rsidRPr="00796736" w:rsidRDefault="009F23CA" w:rsidP="00A802A5">
      <w:pPr>
        <w:spacing w:line="360" w:lineRule="auto"/>
        <w:rPr>
          <w:rFonts w:ascii="Times New Roman" w:hAnsi="Times New Roman" w:cs="Times New Roman"/>
          <w:sz w:val="24"/>
          <w:szCs w:val="24"/>
        </w:rPr>
      </w:pPr>
    </w:p>
    <w:p w14:paraId="3AA5DB77" w14:textId="1E18DA1C" w:rsidR="009F23CA" w:rsidRPr="00796736" w:rsidRDefault="009F23C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vil kunne omfatte alle kundeforhold, både privat- og erhvervskunder, men det kan også </w:t>
      </w:r>
      <w:r w:rsidR="008B7AD4">
        <w:rPr>
          <w:rFonts w:ascii="Times New Roman" w:hAnsi="Times New Roman" w:cs="Times New Roman"/>
          <w:sz w:val="24"/>
          <w:szCs w:val="24"/>
        </w:rPr>
        <w:t>begrænses til alene at</w:t>
      </w:r>
      <w:r w:rsidRPr="00796736">
        <w:rPr>
          <w:rFonts w:ascii="Times New Roman" w:hAnsi="Times New Roman" w:cs="Times New Roman"/>
          <w:sz w:val="24"/>
          <w:szCs w:val="24"/>
        </w:rPr>
        <w:t xml:space="preserve"> omfatte f.eks. privatkunder, hvis lovovertrædelserne </w:t>
      </w:r>
      <w:r w:rsidR="008B7AD4">
        <w:rPr>
          <w:rFonts w:ascii="Times New Roman" w:hAnsi="Times New Roman" w:cs="Times New Roman"/>
          <w:sz w:val="24"/>
          <w:szCs w:val="24"/>
        </w:rPr>
        <w:t xml:space="preserve">alene er relevante </w:t>
      </w:r>
      <w:r w:rsidRPr="00796736">
        <w:rPr>
          <w:rFonts w:ascii="Times New Roman" w:hAnsi="Times New Roman" w:cs="Times New Roman"/>
          <w:sz w:val="24"/>
          <w:szCs w:val="24"/>
        </w:rPr>
        <w:t>i for</w:t>
      </w:r>
      <w:r w:rsidR="008B7AD4">
        <w:rPr>
          <w:rFonts w:ascii="Times New Roman" w:hAnsi="Times New Roman" w:cs="Times New Roman"/>
          <w:sz w:val="24"/>
          <w:szCs w:val="24"/>
        </w:rPr>
        <w:t>hold t</w:t>
      </w:r>
      <w:r w:rsidRPr="00796736">
        <w:rPr>
          <w:rFonts w:ascii="Times New Roman" w:hAnsi="Times New Roman" w:cs="Times New Roman"/>
          <w:sz w:val="24"/>
          <w:szCs w:val="24"/>
        </w:rPr>
        <w:t xml:space="preserve">il </w:t>
      </w:r>
      <w:r w:rsidR="008B7AD4">
        <w:rPr>
          <w:rFonts w:ascii="Times New Roman" w:hAnsi="Times New Roman" w:cs="Times New Roman"/>
          <w:sz w:val="24"/>
          <w:szCs w:val="24"/>
        </w:rPr>
        <w:t>d</w:t>
      </w:r>
      <w:r w:rsidRPr="00796736">
        <w:rPr>
          <w:rFonts w:ascii="Times New Roman" w:hAnsi="Times New Roman" w:cs="Times New Roman"/>
          <w:sz w:val="24"/>
          <w:szCs w:val="24"/>
        </w:rPr>
        <w:t>i</w:t>
      </w:r>
      <w:r w:rsidR="008B7AD4">
        <w:rPr>
          <w:rFonts w:ascii="Times New Roman" w:hAnsi="Times New Roman" w:cs="Times New Roman"/>
          <w:sz w:val="24"/>
          <w:szCs w:val="24"/>
        </w:rPr>
        <w:t>ss</w:t>
      </w:r>
      <w:r w:rsidRPr="00796736">
        <w:rPr>
          <w:rFonts w:ascii="Times New Roman" w:hAnsi="Times New Roman" w:cs="Times New Roman"/>
          <w:sz w:val="24"/>
          <w:szCs w:val="24"/>
        </w:rPr>
        <w:t xml:space="preserve">e. Et påbud vil således kun omfatte den del af virksomhedens kunder, hvor Finanstilsynet finder påbuddet nødvendigt. Et påbud kan gives i forbindelse med andre tilsynsreaktioner, f.eks. politianmeldelse, men kan også stå alene. </w:t>
      </w:r>
    </w:p>
    <w:p w14:paraId="07E148B7" w14:textId="77777777" w:rsidR="009F23CA" w:rsidRPr="00796736" w:rsidRDefault="009F23CA" w:rsidP="00A802A5">
      <w:pPr>
        <w:spacing w:line="360" w:lineRule="auto"/>
        <w:rPr>
          <w:rFonts w:ascii="Times New Roman" w:hAnsi="Times New Roman" w:cs="Times New Roman"/>
          <w:sz w:val="24"/>
          <w:szCs w:val="24"/>
        </w:rPr>
      </w:pPr>
    </w:p>
    <w:p w14:paraId="68AF37D8" w14:textId="1C755727" w:rsidR="009F23CA" w:rsidRPr="00796736" w:rsidRDefault="009F23C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om midlertidigt stop for kunder vil f.eks. kunne gives, hvis en virksomhed ikke rettidigt har opfyldt eller ikke </w:t>
      </w:r>
      <w:r w:rsidR="008B7AD4">
        <w:rPr>
          <w:rFonts w:ascii="Times New Roman" w:hAnsi="Times New Roman" w:cs="Times New Roman"/>
          <w:sz w:val="24"/>
          <w:szCs w:val="24"/>
        </w:rPr>
        <w:t xml:space="preserve">har </w:t>
      </w:r>
      <w:r w:rsidRPr="00796736">
        <w:rPr>
          <w:rFonts w:ascii="Times New Roman" w:hAnsi="Times New Roman" w:cs="Times New Roman"/>
          <w:sz w:val="24"/>
          <w:szCs w:val="24"/>
        </w:rPr>
        <w:t xml:space="preserve">udvist vilje eller evne til at ville opfylde et tidligere påbud, som Finanstilsynet har udstedt til virksomheden. Ligeledes vil et påbud om midlertidigt stop for kunder f.eks. kunne gives samtidigt med, at Finanstilsynet foretager en politianmeldelse af kunden for en række overtrædelser af </w:t>
      </w:r>
      <w:r w:rsidR="00E0085C" w:rsidRPr="00796736">
        <w:rPr>
          <w:rFonts w:ascii="Times New Roman" w:hAnsi="Times New Roman" w:cs="Times New Roman"/>
          <w:sz w:val="24"/>
          <w:szCs w:val="24"/>
        </w:rPr>
        <w:t>hvidvaskforordningen</w:t>
      </w:r>
      <w:r w:rsidR="00D1423D" w:rsidRPr="00796736">
        <w:rPr>
          <w:rFonts w:ascii="Times New Roman" w:hAnsi="Times New Roman" w:cs="Times New Roman"/>
          <w:sz w:val="24"/>
          <w:szCs w:val="24"/>
        </w:rPr>
        <w:t xml:space="preserve">, </w:t>
      </w:r>
      <w:r w:rsidRPr="00796736">
        <w:rPr>
          <w:rFonts w:ascii="Times New Roman" w:hAnsi="Times New Roman" w:cs="Times New Roman"/>
          <w:sz w:val="24"/>
          <w:szCs w:val="24"/>
        </w:rPr>
        <w:t>hvidvaskloven</w:t>
      </w:r>
      <w:r w:rsidR="00D1423D" w:rsidRPr="00796736">
        <w:rPr>
          <w:rFonts w:ascii="Times New Roman" w:hAnsi="Times New Roman" w:cs="Times New Roman"/>
          <w:sz w:val="24"/>
          <w:szCs w:val="24"/>
        </w:rPr>
        <w:t xml:space="preserve"> eller </w:t>
      </w:r>
      <w:r w:rsidR="00D1423D" w:rsidRPr="00796736">
        <w:rPr>
          <w:rFonts w:ascii="Times New Roman" w:eastAsia="Times New Roman" w:hAnsi="Times New Roman" w:cs="Times New Roman"/>
          <w:sz w:val="24"/>
          <w:szCs w:val="24"/>
          <w:lang w:eastAsia="da-DK"/>
        </w:rPr>
        <w:t>forordninger indeholdende regler om finansielle sanktioner mod lande, personer, grupper, juridiske enheder eller organer</w:t>
      </w:r>
      <w:r w:rsidRPr="00796736">
        <w:rPr>
          <w:rFonts w:ascii="Times New Roman" w:hAnsi="Times New Roman" w:cs="Times New Roman"/>
          <w:sz w:val="24"/>
          <w:szCs w:val="24"/>
        </w:rPr>
        <w:t>.</w:t>
      </w:r>
    </w:p>
    <w:p w14:paraId="24FE4F7C" w14:textId="77777777" w:rsidR="009F23CA" w:rsidRPr="00796736" w:rsidRDefault="009F23CA" w:rsidP="00A802A5">
      <w:pPr>
        <w:spacing w:line="360" w:lineRule="auto"/>
        <w:rPr>
          <w:rFonts w:ascii="Times New Roman" w:hAnsi="Times New Roman" w:cs="Times New Roman"/>
          <w:sz w:val="24"/>
          <w:szCs w:val="24"/>
        </w:rPr>
      </w:pPr>
    </w:p>
    <w:p w14:paraId="1AD2789F" w14:textId="6BF72155" w:rsidR="009F23CA" w:rsidRPr="00796736" w:rsidRDefault="009F23C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ligeledes udstede et påbud om midlertidigt stop for kunder i en situation, hvor virksomheden ikke udviser evne eller vilje til at rette op på overtrædelser af forordningen eller loven, som Finanstilsynet har identificeret.</w:t>
      </w:r>
    </w:p>
    <w:p w14:paraId="019922CE" w14:textId="77777777" w:rsidR="001355E4" w:rsidRPr="00796736" w:rsidRDefault="001355E4" w:rsidP="00A802A5">
      <w:pPr>
        <w:spacing w:line="360" w:lineRule="auto"/>
        <w:rPr>
          <w:rFonts w:ascii="Times New Roman" w:hAnsi="Times New Roman" w:cs="Times New Roman"/>
          <w:sz w:val="24"/>
          <w:szCs w:val="24"/>
        </w:rPr>
      </w:pPr>
    </w:p>
    <w:p w14:paraId="7643B420" w14:textId="17C9B006" w:rsidR="001355E4" w:rsidRPr="00796736" w:rsidRDefault="001355E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Finanstilsynet kan påbyde virksomheden at indføre stop for optagelse af kundeforhold helt eller inden for nærmere afgrænsede forretningsområder, at foretage begrænsninger i udbud af specifikke ydelser, herunder over for bestemte kundegrupper eller risikosegmenter, at afvikle eller afhænde dele af forretningsaktiviteter, som indebærer en forhøjet risiko for hvidvask eller terrorfinansiering, at ophøre med at tilbyde visse produkter, ydelser, distributionskanaler eller geografiske eksponeringer, hvor virksomheden ikke i tilstrækkelig grad kan sikre overholdelse af reglerne i hvidvaskforordningen, denne lov eller regler udstedt i medfør heraf.</w:t>
      </w:r>
    </w:p>
    <w:p w14:paraId="41E46A27" w14:textId="77777777" w:rsidR="00F131D4" w:rsidRPr="00796736" w:rsidRDefault="00F131D4" w:rsidP="00A802A5">
      <w:pPr>
        <w:spacing w:line="360" w:lineRule="auto"/>
        <w:rPr>
          <w:rFonts w:ascii="Times New Roman" w:hAnsi="Times New Roman" w:cs="Times New Roman"/>
          <w:sz w:val="24"/>
          <w:szCs w:val="24"/>
        </w:rPr>
      </w:pPr>
    </w:p>
    <w:p w14:paraId="72C935F4" w14:textId="5DB5D5EC"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2</w:t>
      </w:r>
      <w:r w:rsidRPr="00796736">
        <w:rPr>
          <w:rFonts w:ascii="Times New Roman" w:hAnsi="Times New Roman" w:cs="Times New Roman"/>
          <w:sz w:val="24"/>
          <w:szCs w:val="24"/>
        </w:rPr>
        <w:t>, at</w:t>
      </w:r>
      <w:r w:rsidR="00EC3553" w:rsidRPr="00796736">
        <w:rPr>
          <w:rFonts w:ascii="Times New Roman" w:hAnsi="Times New Roman" w:cs="Times New Roman"/>
          <w:sz w:val="24"/>
          <w:szCs w:val="24"/>
        </w:rPr>
        <w:t xml:space="preserve"> Finanstilsynet </w:t>
      </w:r>
      <w:r w:rsidR="00EC3553" w:rsidRPr="00796736">
        <w:rPr>
          <w:rFonts w:ascii="Times New Roman" w:hAnsi="Times New Roman" w:cs="Times New Roman"/>
          <w:sz w:val="24"/>
          <w:szCs w:val="24"/>
          <w:lang w:eastAsia="da-DK"/>
        </w:rPr>
        <w:t xml:space="preserve">i tilfælde, der er omfattet af </w:t>
      </w:r>
      <w:r w:rsidR="00EC3553" w:rsidRPr="00796736">
        <w:rPr>
          <w:rFonts w:ascii="Times New Roman" w:hAnsi="Times New Roman" w:cs="Times New Roman"/>
          <w:sz w:val="24"/>
          <w:szCs w:val="24"/>
          <w:lang w:eastAsia="da-DK"/>
        </w:rPr>
        <w:fldChar w:fldCharType="begin"/>
      </w:r>
      <w:r w:rsidR="00EC3553" w:rsidRPr="00796736">
        <w:rPr>
          <w:rFonts w:ascii="Times New Roman" w:hAnsi="Times New Roman" w:cs="Times New Roman"/>
          <w:sz w:val="24"/>
          <w:szCs w:val="24"/>
          <w:lang w:eastAsia="da-DK"/>
        </w:rPr>
        <w:instrText xml:space="preserve"> REF _Ref242814430 \r \h  \* MERGEFORMAT </w:instrText>
      </w:r>
      <w:r w:rsidR="00EC3553" w:rsidRPr="00796736">
        <w:rPr>
          <w:rFonts w:ascii="Times New Roman" w:hAnsi="Times New Roman" w:cs="Times New Roman"/>
          <w:sz w:val="24"/>
          <w:szCs w:val="24"/>
          <w:lang w:eastAsia="da-DK"/>
        </w:rPr>
      </w:r>
      <w:r w:rsidR="00EC355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EC3553" w:rsidRPr="00796736">
        <w:rPr>
          <w:rFonts w:ascii="Times New Roman" w:hAnsi="Times New Roman" w:cs="Times New Roman"/>
          <w:sz w:val="24"/>
          <w:szCs w:val="24"/>
          <w:lang w:eastAsia="da-DK"/>
        </w:rPr>
        <w:fldChar w:fldCharType="end"/>
      </w:r>
      <w:r w:rsidR="00EC3553" w:rsidRPr="00796736">
        <w:rPr>
          <w:rFonts w:ascii="Times New Roman" w:hAnsi="Times New Roman" w:cs="Times New Roman"/>
          <w:sz w:val="24"/>
          <w:szCs w:val="24"/>
          <w:lang w:eastAsia="da-DK"/>
        </w:rPr>
        <w:t xml:space="preserve">, </w:t>
      </w:r>
      <w:r w:rsidR="00EC3553" w:rsidRPr="00796736">
        <w:rPr>
          <w:rFonts w:ascii="Times New Roman" w:hAnsi="Times New Roman" w:cs="Times New Roman"/>
          <w:sz w:val="24"/>
          <w:szCs w:val="24"/>
        </w:rPr>
        <w:t>kan</w:t>
      </w:r>
      <w:r w:rsidR="00EC3553" w:rsidRPr="00796736" w:rsidDel="003B0071">
        <w:rPr>
          <w:rFonts w:ascii="Times New Roman" w:hAnsi="Times New Roman" w:cs="Times New Roman"/>
          <w:sz w:val="24"/>
          <w:szCs w:val="24"/>
        </w:rPr>
        <w:t xml:space="preserve"> </w:t>
      </w:r>
      <w:r w:rsidR="00EC3553" w:rsidRPr="00796736">
        <w:rPr>
          <w:rFonts w:ascii="Times New Roman" w:hAnsi="Times New Roman" w:cs="Times New Roman"/>
          <w:sz w:val="24"/>
          <w:szCs w:val="24"/>
        </w:rPr>
        <w:t xml:space="preserve">påbyde, at virksomheden eller personen </w:t>
      </w:r>
      <w:r w:rsidRPr="00796736">
        <w:rPr>
          <w:rFonts w:ascii="Times New Roman" w:hAnsi="Times New Roman" w:cs="Times New Roman"/>
          <w:sz w:val="24"/>
          <w:szCs w:val="24"/>
        </w:rPr>
        <w:t xml:space="preserve">midlertidigt ikke må gennemføre en nærmere afgrænset type af transaktioner. </w:t>
      </w:r>
    </w:p>
    <w:p w14:paraId="2C27BF0A" w14:textId="77777777" w:rsidR="00F131D4" w:rsidRPr="00796736" w:rsidRDefault="00F131D4" w:rsidP="00A802A5">
      <w:pPr>
        <w:spacing w:line="360" w:lineRule="auto"/>
        <w:rPr>
          <w:rFonts w:ascii="Times New Roman" w:hAnsi="Times New Roman" w:cs="Times New Roman"/>
          <w:sz w:val="24"/>
          <w:szCs w:val="24"/>
        </w:rPr>
      </w:pPr>
    </w:p>
    <w:p w14:paraId="0BD89D9B" w14:textId="3825FC80"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sådan begrænsning kan eksempelvis omfatte transaktioner, der involverer særlige produkter, såsom komplekse finansielle instrumenter eller kontanttransaktioner, hvor der er identificeret særlige risici. Det kan også omfatte transaktioner med bestemte kundegrupper, for eksempel kunder fra højrisi</w:t>
      </w:r>
      <w:r w:rsidR="00F932C0">
        <w:rPr>
          <w:rFonts w:ascii="Times New Roman" w:hAnsi="Times New Roman" w:cs="Times New Roman"/>
          <w:sz w:val="24"/>
          <w:szCs w:val="24"/>
        </w:rPr>
        <w:t>k</w:t>
      </w:r>
      <w:r w:rsidRPr="00796736">
        <w:rPr>
          <w:rFonts w:ascii="Times New Roman" w:hAnsi="Times New Roman" w:cs="Times New Roman"/>
          <w:sz w:val="24"/>
          <w:szCs w:val="24"/>
        </w:rPr>
        <w:t>olande, politisk eksponerede personer eller andre segmenter, hvor der er konstateret mangelfuld risikostyring. Endvidere kan påbuddet rettes mod transaktioner, der involverer bestemte geografiske områder, hvor der er forhøjet risiko for hvidvask eller terrorfinansiering, eller hvor virksomheden ikke har tilstrækkelig indsigt i eller kontrol med de involverede parter.</w:t>
      </w:r>
    </w:p>
    <w:p w14:paraId="1022F4EA" w14:textId="77777777" w:rsidR="00F131D4" w:rsidRPr="00796736" w:rsidRDefault="00F131D4" w:rsidP="00A802A5">
      <w:pPr>
        <w:spacing w:line="360" w:lineRule="auto"/>
        <w:rPr>
          <w:rFonts w:ascii="Times New Roman" w:hAnsi="Times New Roman" w:cs="Times New Roman"/>
          <w:sz w:val="24"/>
          <w:szCs w:val="24"/>
        </w:rPr>
      </w:pPr>
    </w:p>
    <w:p w14:paraId="281A71ED" w14:textId="77777777"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giver Finanstilsynet mulighed for at målrette indgreb mod specifikke transaktioner, hvor der er konstateret forhøjet risiko for hvidvask eller terrorfinansiering, eller hvor virksomheden ikke har tilstrækkelige kontroller eller procedurer til at sikre overholdelse af gældende regler.</w:t>
      </w:r>
    </w:p>
    <w:p w14:paraId="19915E6D" w14:textId="77777777" w:rsidR="00F131D4" w:rsidRPr="00796736" w:rsidRDefault="00F131D4" w:rsidP="00A802A5">
      <w:pPr>
        <w:spacing w:line="360" w:lineRule="auto"/>
        <w:rPr>
          <w:rFonts w:ascii="Times New Roman" w:hAnsi="Times New Roman" w:cs="Times New Roman"/>
          <w:sz w:val="24"/>
          <w:szCs w:val="24"/>
        </w:rPr>
      </w:pPr>
    </w:p>
    <w:p w14:paraId="0B013BFB" w14:textId="65315EE5" w:rsidR="009F23CA"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3</w:t>
      </w:r>
      <w:r w:rsidRPr="00796736">
        <w:rPr>
          <w:rFonts w:ascii="Times New Roman" w:hAnsi="Times New Roman" w:cs="Times New Roman"/>
          <w:sz w:val="24"/>
          <w:szCs w:val="24"/>
        </w:rPr>
        <w:t>, at</w:t>
      </w:r>
      <w:r w:rsidR="009F23CA" w:rsidRPr="00796736">
        <w:rPr>
          <w:rFonts w:ascii="Times New Roman" w:hAnsi="Times New Roman" w:cs="Times New Roman"/>
          <w:sz w:val="24"/>
          <w:szCs w:val="24"/>
        </w:rPr>
        <w:t xml:space="preserve"> </w:t>
      </w:r>
      <w:r w:rsidR="00EC3553" w:rsidRPr="00796736">
        <w:rPr>
          <w:rFonts w:ascii="Times New Roman" w:hAnsi="Times New Roman" w:cs="Times New Roman"/>
          <w:sz w:val="24"/>
          <w:szCs w:val="24"/>
        </w:rPr>
        <w:t xml:space="preserve">Finanstilsynet </w:t>
      </w:r>
      <w:r w:rsidR="00EC3553" w:rsidRPr="00796736">
        <w:rPr>
          <w:rFonts w:ascii="Times New Roman" w:hAnsi="Times New Roman" w:cs="Times New Roman"/>
          <w:sz w:val="24"/>
          <w:szCs w:val="24"/>
          <w:lang w:eastAsia="da-DK"/>
        </w:rPr>
        <w:t xml:space="preserve">i tilfælde, der er omfattet af </w:t>
      </w:r>
      <w:r w:rsidR="00EC3553" w:rsidRPr="00796736">
        <w:rPr>
          <w:rFonts w:ascii="Times New Roman" w:hAnsi="Times New Roman" w:cs="Times New Roman"/>
          <w:sz w:val="24"/>
          <w:szCs w:val="24"/>
          <w:lang w:eastAsia="da-DK"/>
        </w:rPr>
        <w:fldChar w:fldCharType="begin"/>
      </w:r>
      <w:r w:rsidR="00EC3553" w:rsidRPr="00796736">
        <w:rPr>
          <w:rFonts w:ascii="Times New Roman" w:hAnsi="Times New Roman" w:cs="Times New Roman"/>
          <w:sz w:val="24"/>
          <w:szCs w:val="24"/>
          <w:lang w:eastAsia="da-DK"/>
        </w:rPr>
        <w:instrText xml:space="preserve"> REF _Ref242814430 \r \h  \* MERGEFORMAT </w:instrText>
      </w:r>
      <w:r w:rsidR="00EC3553" w:rsidRPr="00796736">
        <w:rPr>
          <w:rFonts w:ascii="Times New Roman" w:hAnsi="Times New Roman" w:cs="Times New Roman"/>
          <w:sz w:val="24"/>
          <w:szCs w:val="24"/>
          <w:lang w:eastAsia="da-DK"/>
        </w:rPr>
      </w:r>
      <w:r w:rsidR="00EC355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EC3553" w:rsidRPr="00796736">
        <w:rPr>
          <w:rFonts w:ascii="Times New Roman" w:hAnsi="Times New Roman" w:cs="Times New Roman"/>
          <w:sz w:val="24"/>
          <w:szCs w:val="24"/>
          <w:lang w:eastAsia="da-DK"/>
        </w:rPr>
        <w:fldChar w:fldCharType="end"/>
      </w:r>
      <w:r w:rsidR="00EC3553" w:rsidRPr="00796736">
        <w:rPr>
          <w:rFonts w:ascii="Times New Roman" w:hAnsi="Times New Roman" w:cs="Times New Roman"/>
          <w:sz w:val="24"/>
          <w:szCs w:val="24"/>
          <w:lang w:eastAsia="da-DK"/>
        </w:rPr>
        <w:t xml:space="preserve">, </w:t>
      </w:r>
      <w:r w:rsidR="00EC3553" w:rsidRPr="00796736">
        <w:rPr>
          <w:rFonts w:ascii="Times New Roman" w:hAnsi="Times New Roman" w:cs="Times New Roman"/>
          <w:sz w:val="24"/>
          <w:szCs w:val="24"/>
        </w:rPr>
        <w:t>kan</w:t>
      </w:r>
      <w:r w:rsidR="00EC3553" w:rsidRPr="00796736" w:rsidDel="003B0071">
        <w:rPr>
          <w:rFonts w:ascii="Times New Roman" w:hAnsi="Times New Roman" w:cs="Times New Roman"/>
          <w:sz w:val="24"/>
          <w:szCs w:val="24"/>
        </w:rPr>
        <w:t xml:space="preserve"> </w:t>
      </w:r>
      <w:r w:rsidR="00EC3553" w:rsidRPr="00796736">
        <w:rPr>
          <w:rFonts w:ascii="Times New Roman" w:hAnsi="Times New Roman" w:cs="Times New Roman"/>
          <w:sz w:val="24"/>
          <w:szCs w:val="24"/>
        </w:rPr>
        <w:t xml:space="preserve">påbyde, at virksomheden eller personen </w:t>
      </w:r>
      <w:r w:rsidR="009F23CA" w:rsidRPr="00796736">
        <w:rPr>
          <w:rFonts w:ascii="Times New Roman" w:hAnsi="Times New Roman" w:cs="Times New Roman"/>
          <w:sz w:val="24"/>
          <w:szCs w:val="24"/>
        </w:rPr>
        <w:t xml:space="preserve">midlertidigt ikke må deltage i netværk af institutter, som nærmere afgrænses af Finanstilsynet. </w:t>
      </w:r>
    </w:p>
    <w:p w14:paraId="00E06702" w14:textId="0316BDDC" w:rsidR="001355E4" w:rsidRPr="00796736" w:rsidRDefault="001355E4" w:rsidP="00A802A5">
      <w:pPr>
        <w:spacing w:line="360" w:lineRule="auto"/>
        <w:rPr>
          <w:rFonts w:ascii="Times New Roman" w:hAnsi="Times New Roman" w:cs="Times New Roman"/>
          <w:sz w:val="24"/>
          <w:szCs w:val="24"/>
        </w:rPr>
      </w:pPr>
    </w:p>
    <w:p w14:paraId="3BDC5626" w14:textId="77777777" w:rsidR="001355E4" w:rsidRPr="00796736" w:rsidRDefault="001355E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giver Finanstilsynet mulighed for midlertidigt at begrænse en virksomheds eller persons adgang til at deltage i nærmere afgrænsede netværk af institutter, hvis deltagelsen vurderes at indebære en risiko for, at virksomheden eller personen kan misbruges til hvidvask, terrorfinansiering eller anden økonomisk kriminalitet, eller hvis deltagelsen i øvrigt vanskeliggør en effektiv håndtering af konstaterede eller væsentlige risici.</w:t>
      </w:r>
    </w:p>
    <w:p w14:paraId="0EE1BFE8" w14:textId="77777777" w:rsidR="001355E4" w:rsidRPr="00796736" w:rsidRDefault="001355E4" w:rsidP="00A802A5">
      <w:pPr>
        <w:spacing w:line="360" w:lineRule="auto"/>
        <w:rPr>
          <w:rFonts w:ascii="Times New Roman" w:hAnsi="Times New Roman" w:cs="Times New Roman"/>
          <w:sz w:val="24"/>
          <w:szCs w:val="24"/>
        </w:rPr>
      </w:pPr>
    </w:p>
    <w:p w14:paraId="058BECE5" w14:textId="77777777" w:rsidR="001355E4" w:rsidRPr="00796736" w:rsidRDefault="001355E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netværk af institutter forstås i denne sammenhæng samarbejdsstrukturer, systemer, ordninger eller platforme, hvor flere institutter eller virksomheder indgår med henblik på at gennemføre, formidle, afvikle eller understøtte finansielle aktiviteter eller transaktioner. Det kan eksempelvis være netværk, der muliggør overførsler, betalingsformidling, valutaveksling, korrespondentforbindelser eller andre former for finansiel infrastruktur eller samarbejde mellem institutter.</w:t>
      </w:r>
    </w:p>
    <w:p w14:paraId="640BB6DA" w14:textId="77777777" w:rsidR="001355E4" w:rsidRPr="00796736" w:rsidRDefault="001355E4" w:rsidP="00A802A5">
      <w:pPr>
        <w:spacing w:line="360" w:lineRule="auto"/>
        <w:rPr>
          <w:rFonts w:ascii="Times New Roman" w:hAnsi="Times New Roman" w:cs="Times New Roman"/>
          <w:sz w:val="24"/>
          <w:szCs w:val="24"/>
        </w:rPr>
      </w:pPr>
    </w:p>
    <w:p w14:paraId="3072A2BC" w14:textId="1A7E57EC" w:rsidR="001355E4" w:rsidRPr="00796736" w:rsidRDefault="001355E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Finanstilsynet konkret kan afgrænse, hvilke netværk, ordninger eller samarbejder påbuddet omfatter. Afgrænsningen skal fremgå af påbuddet, så virksomheden eller personen klart kan identificere, hvilke aktiviteter eller deltagelse der midlertidigt skal ophøre. Påbuddet kan efter omstændighederne omfatte både direkte deltagelse i et netværk og indirekte deltagelse, eksempelvis gennem koncernforbundne selskaber, agenter, samarbejdspartnere eller andre mellemled, hvis dette er nødvendigt for at sikre påbuddets effektive gennemførelse.</w:t>
      </w:r>
    </w:p>
    <w:p w14:paraId="170331F8" w14:textId="77777777" w:rsidR="001355E4" w:rsidRPr="00796736" w:rsidRDefault="001355E4" w:rsidP="00A802A5">
      <w:pPr>
        <w:spacing w:line="360" w:lineRule="auto"/>
        <w:rPr>
          <w:rFonts w:ascii="Times New Roman" w:hAnsi="Times New Roman" w:cs="Times New Roman"/>
          <w:sz w:val="24"/>
          <w:szCs w:val="24"/>
        </w:rPr>
      </w:pPr>
    </w:p>
    <w:p w14:paraId="70A0AA91" w14:textId="1FDC96AF" w:rsidR="001355E4" w:rsidRPr="00796736" w:rsidRDefault="001355E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Et påbud efter bestemmelsen skal være midlertidigt og må ikke gå videre end nødvendigt for at opfylde formålet. Der foretages derfor en konkret og proportional vurdering af, om et påbud er nødvendigt, og om mindre indgribende foranstaltninger vil være tilstrækkelige. Ved vurderingen kan Finanstilsynet blandt andet lægge vægt på karakteren og alvoren af de konstaterede forhold, omfanget af de risici, der knytter sig til deltagelsen i netværket, virksomhedens eller personens hidtidige efterlevelse af reglerne, samt om der er truffet eller kan træffes afhjælpende foranstaltninger.</w:t>
      </w:r>
    </w:p>
    <w:p w14:paraId="5EBC74B6" w14:textId="77777777" w:rsidR="001355E4" w:rsidRPr="00796736" w:rsidRDefault="001355E4" w:rsidP="00A802A5">
      <w:pPr>
        <w:spacing w:line="360" w:lineRule="auto"/>
        <w:rPr>
          <w:rFonts w:ascii="Times New Roman" w:hAnsi="Times New Roman" w:cs="Times New Roman"/>
          <w:sz w:val="24"/>
          <w:szCs w:val="24"/>
        </w:rPr>
      </w:pPr>
    </w:p>
    <w:p w14:paraId="7ED643A7" w14:textId="77777777" w:rsidR="001355E4" w:rsidRPr="00796736" w:rsidRDefault="001355E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Påbuddet skal angive, hvilke netværk eller typer af netværk virksomheden eller personen midlertidigt ikke må deltage i, og fra hvilket tidspunkt påbuddet skal have virkning. Påbuddet bør endvidere indeholde en angivelse af, hvilke forhold der skal være bragt i orden, før deltagelsen kan genoptages, hvis dette er relevant i den konkrete sag.</w:t>
      </w:r>
    </w:p>
    <w:p w14:paraId="7CEE6031" w14:textId="77777777" w:rsidR="001355E4" w:rsidRPr="00796736" w:rsidRDefault="001355E4" w:rsidP="00A802A5">
      <w:pPr>
        <w:spacing w:line="360" w:lineRule="auto"/>
        <w:rPr>
          <w:rFonts w:ascii="Times New Roman" w:hAnsi="Times New Roman" w:cs="Times New Roman"/>
          <w:sz w:val="24"/>
          <w:szCs w:val="24"/>
        </w:rPr>
      </w:pPr>
    </w:p>
    <w:p w14:paraId="67D519A2" w14:textId="1D5A87D7" w:rsidR="001355E4" w:rsidRPr="00796736" w:rsidRDefault="001355E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er ikke til hinder for, at Finanstilsynet samtidig eller efterfølgende anvender andre tilsynsmæssige foranstaltninger, hvis betingelserne herfor er opfyldt. Det kan eksempelvis være relevant, hvis de forhold, der begrunder påbuddet, også giver anledning til andre påbud eller begrænsninger efter </w:t>
      </w:r>
      <w:r w:rsidR="00B41EF8" w:rsidRPr="00796736">
        <w:rPr>
          <w:rFonts w:ascii="Times New Roman" w:hAnsi="Times New Roman" w:cs="Times New Roman"/>
          <w:sz w:val="24"/>
          <w:szCs w:val="24"/>
        </w:rPr>
        <w:t>denne lov</w:t>
      </w:r>
      <w:r w:rsidRPr="00796736">
        <w:rPr>
          <w:rFonts w:ascii="Times New Roman" w:hAnsi="Times New Roman" w:cs="Times New Roman"/>
          <w:sz w:val="24"/>
          <w:szCs w:val="24"/>
        </w:rPr>
        <w:t>.</w:t>
      </w:r>
    </w:p>
    <w:p w14:paraId="73EA4117" w14:textId="77777777" w:rsidR="00F131D4" w:rsidRPr="00796736" w:rsidRDefault="00F131D4" w:rsidP="00A802A5">
      <w:pPr>
        <w:spacing w:line="360" w:lineRule="auto"/>
        <w:rPr>
          <w:rFonts w:ascii="Times New Roman" w:hAnsi="Times New Roman" w:cs="Times New Roman"/>
          <w:sz w:val="24"/>
          <w:szCs w:val="24"/>
        </w:rPr>
      </w:pPr>
    </w:p>
    <w:p w14:paraId="7CD017A6" w14:textId="05819D26"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4</w:t>
      </w:r>
      <w:r w:rsidRPr="00796736">
        <w:rPr>
          <w:rFonts w:ascii="Times New Roman" w:hAnsi="Times New Roman" w:cs="Times New Roman"/>
          <w:sz w:val="24"/>
          <w:szCs w:val="24"/>
        </w:rPr>
        <w:t xml:space="preserve">, at </w:t>
      </w:r>
      <w:r w:rsidR="00EC3553" w:rsidRPr="00796736">
        <w:rPr>
          <w:rFonts w:ascii="Times New Roman" w:hAnsi="Times New Roman" w:cs="Times New Roman"/>
          <w:sz w:val="24"/>
          <w:szCs w:val="24"/>
        </w:rPr>
        <w:t xml:space="preserve">Finanstilsynet </w:t>
      </w:r>
      <w:r w:rsidR="00EC3553" w:rsidRPr="00796736">
        <w:rPr>
          <w:rFonts w:ascii="Times New Roman" w:hAnsi="Times New Roman" w:cs="Times New Roman"/>
          <w:sz w:val="24"/>
          <w:szCs w:val="24"/>
          <w:lang w:eastAsia="da-DK"/>
        </w:rPr>
        <w:t xml:space="preserve">i tilfælde, der er omfattet af </w:t>
      </w:r>
      <w:r w:rsidR="00EC3553" w:rsidRPr="00796736">
        <w:rPr>
          <w:rFonts w:ascii="Times New Roman" w:hAnsi="Times New Roman" w:cs="Times New Roman"/>
          <w:sz w:val="24"/>
          <w:szCs w:val="24"/>
          <w:lang w:eastAsia="da-DK"/>
        </w:rPr>
        <w:fldChar w:fldCharType="begin"/>
      </w:r>
      <w:r w:rsidR="00EC3553" w:rsidRPr="00796736">
        <w:rPr>
          <w:rFonts w:ascii="Times New Roman" w:hAnsi="Times New Roman" w:cs="Times New Roman"/>
          <w:sz w:val="24"/>
          <w:szCs w:val="24"/>
          <w:lang w:eastAsia="da-DK"/>
        </w:rPr>
        <w:instrText xml:space="preserve"> REF _Ref242814430 \r \h  \* MERGEFORMAT </w:instrText>
      </w:r>
      <w:r w:rsidR="00EC3553" w:rsidRPr="00796736">
        <w:rPr>
          <w:rFonts w:ascii="Times New Roman" w:hAnsi="Times New Roman" w:cs="Times New Roman"/>
          <w:sz w:val="24"/>
          <w:szCs w:val="24"/>
          <w:lang w:eastAsia="da-DK"/>
        </w:rPr>
      </w:r>
      <w:r w:rsidR="00EC3553"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EC3553" w:rsidRPr="00796736">
        <w:rPr>
          <w:rFonts w:ascii="Times New Roman" w:hAnsi="Times New Roman" w:cs="Times New Roman"/>
          <w:sz w:val="24"/>
          <w:szCs w:val="24"/>
          <w:lang w:eastAsia="da-DK"/>
        </w:rPr>
        <w:fldChar w:fldCharType="end"/>
      </w:r>
      <w:r w:rsidR="00EC3553" w:rsidRPr="00796736">
        <w:rPr>
          <w:rFonts w:ascii="Times New Roman" w:hAnsi="Times New Roman" w:cs="Times New Roman"/>
          <w:sz w:val="24"/>
          <w:szCs w:val="24"/>
          <w:lang w:eastAsia="da-DK"/>
        </w:rPr>
        <w:t xml:space="preserve">, </w:t>
      </w:r>
      <w:r w:rsidR="00EC3553" w:rsidRPr="00796736">
        <w:rPr>
          <w:rFonts w:ascii="Times New Roman" w:hAnsi="Times New Roman" w:cs="Times New Roman"/>
          <w:sz w:val="24"/>
          <w:szCs w:val="24"/>
        </w:rPr>
        <w:t>kan</w:t>
      </w:r>
      <w:r w:rsidR="00EC3553" w:rsidRPr="00796736" w:rsidDel="003B0071">
        <w:rPr>
          <w:rFonts w:ascii="Times New Roman" w:hAnsi="Times New Roman" w:cs="Times New Roman"/>
          <w:sz w:val="24"/>
          <w:szCs w:val="24"/>
        </w:rPr>
        <w:t xml:space="preserve"> </w:t>
      </w:r>
      <w:r w:rsidR="00EC3553" w:rsidRPr="00796736">
        <w:rPr>
          <w:rFonts w:ascii="Times New Roman" w:hAnsi="Times New Roman" w:cs="Times New Roman"/>
          <w:sz w:val="24"/>
          <w:szCs w:val="24"/>
        </w:rPr>
        <w:t xml:space="preserve">påbyde, at virksomheden eller personen </w:t>
      </w:r>
      <w:r w:rsidRPr="00796736">
        <w:rPr>
          <w:rFonts w:ascii="Times New Roman" w:hAnsi="Times New Roman" w:cs="Times New Roman"/>
          <w:sz w:val="24"/>
          <w:szCs w:val="24"/>
        </w:rPr>
        <w:t>skal afhænde aktiviteter</w:t>
      </w:r>
      <w:r w:rsidR="009F23CA" w:rsidRPr="00796736">
        <w:rPr>
          <w:rFonts w:ascii="Times New Roman" w:hAnsi="Times New Roman" w:cs="Times New Roman"/>
          <w:sz w:val="24"/>
          <w:szCs w:val="24"/>
        </w:rPr>
        <w:t>.</w:t>
      </w:r>
    </w:p>
    <w:p w14:paraId="562824BA" w14:textId="77777777" w:rsidR="00F131D4" w:rsidRPr="00796736" w:rsidRDefault="00F131D4" w:rsidP="00A802A5">
      <w:pPr>
        <w:spacing w:line="360" w:lineRule="auto"/>
        <w:rPr>
          <w:rFonts w:ascii="Times New Roman" w:hAnsi="Times New Roman" w:cs="Times New Roman"/>
          <w:sz w:val="24"/>
          <w:szCs w:val="24"/>
        </w:rPr>
      </w:pPr>
    </w:p>
    <w:p w14:paraId="5D15E349" w14:textId="4698FAE6"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afhændelse af aktiviteter menes, at virksomheden påbydes at afvikle eller ophøre med dele af sine forretningsaktiviteter, således at virksomheden ikke længere udøver den pågældende aktivitet. Dette kan f.eks. omfatte lukning eller ophør af forretningsområder, produkter, ydelser eller distributionskanaler, hvor der er identificeret forhøjet risiko for hvidvask eller terrorfinansiering, og hvor virksomheden ikke har udvist evne eller vilje til at sikre overholdelse af de relevante krav.</w:t>
      </w:r>
    </w:p>
    <w:p w14:paraId="2BBD610E" w14:textId="77777777" w:rsidR="00F131D4" w:rsidRPr="00796736" w:rsidRDefault="00F131D4" w:rsidP="00A802A5">
      <w:pPr>
        <w:spacing w:line="360" w:lineRule="auto"/>
        <w:rPr>
          <w:rFonts w:ascii="Times New Roman" w:hAnsi="Times New Roman" w:cs="Times New Roman"/>
          <w:sz w:val="24"/>
          <w:szCs w:val="24"/>
        </w:rPr>
      </w:pPr>
    </w:p>
    <w:p w14:paraId="1B412164" w14:textId="16B81AF5"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styrkes Finanstilsynets indgrebsmuligheder, når Finanstilsynet konstaterer, at en virksomhed har </w:t>
      </w:r>
      <w:r w:rsidR="001355E4" w:rsidRPr="00796736">
        <w:rPr>
          <w:rFonts w:ascii="Times New Roman" w:hAnsi="Times New Roman" w:cs="Times New Roman"/>
          <w:sz w:val="24"/>
          <w:szCs w:val="24"/>
        </w:rPr>
        <w:t xml:space="preserve">overtrådt regler i </w:t>
      </w:r>
      <w:r w:rsidRPr="00796736">
        <w:rPr>
          <w:rFonts w:ascii="Times New Roman" w:hAnsi="Times New Roman" w:cs="Times New Roman"/>
          <w:sz w:val="24"/>
          <w:szCs w:val="24"/>
        </w:rPr>
        <w:t>hvidvaskforordningen</w:t>
      </w:r>
      <w:r w:rsidR="00875BE0" w:rsidRPr="00796736">
        <w:rPr>
          <w:rFonts w:ascii="Times New Roman" w:hAnsi="Times New Roman" w:cs="Times New Roman"/>
          <w:sz w:val="24"/>
          <w:szCs w:val="24"/>
        </w:rPr>
        <w:t>,</w:t>
      </w:r>
      <w:r w:rsidRPr="00796736">
        <w:rPr>
          <w:rFonts w:ascii="Times New Roman" w:hAnsi="Times New Roman" w:cs="Times New Roman"/>
          <w:sz w:val="24"/>
          <w:szCs w:val="24"/>
        </w:rPr>
        <w:t xml:space="preserve"> </w:t>
      </w:r>
      <w:r w:rsidR="001355E4" w:rsidRPr="00796736">
        <w:rPr>
          <w:rFonts w:ascii="Times New Roman" w:hAnsi="Times New Roman" w:cs="Times New Roman"/>
          <w:sz w:val="24"/>
          <w:szCs w:val="24"/>
        </w:rPr>
        <w:t>denne lov eller regler udstedt i medfør heraf</w:t>
      </w:r>
      <w:r w:rsidRPr="00796736">
        <w:rPr>
          <w:rFonts w:ascii="Times New Roman" w:hAnsi="Times New Roman" w:cs="Times New Roman"/>
          <w:sz w:val="24"/>
          <w:szCs w:val="24"/>
        </w:rPr>
        <w:t>, og hvor andre og mildere indgrebsmuligheder er udtømte eller ikke vil være tilstrækkelige. Der skal således foretages en proportionalitetsvurdering i forhold til indgrebsmuligheden.</w:t>
      </w:r>
    </w:p>
    <w:p w14:paraId="2CAAC1DC" w14:textId="77777777" w:rsidR="00F131D4" w:rsidRPr="00796736" w:rsidRDefault="00F131D4" w:rsidP="00A802A5">
      <w:pPr>
        <w:spacing w:line="360" w:lineRule="auto"/>
        <w:rPr>
          <w:rFonts w:ascii="Times New Roman" w:hAnsi="Times New Roman" w:cs="Times New Roman"/>
          <w:sz w:val="24"/>
          <w:szCs w:val="24"/>
        </w:rPr>
      </w:pPr>
    </w:p>
    <w:p w14:paraId="4888A86D" w14:textId="4B8BF29F"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at er en overtrædelse</w:t>
      </w:r>
      <w:r w:rsidR="00EC3553">
        <w:rPr>
          <w:rFonts w:ascii="Times New Roman" w:hAnsi="Times New Roman" w:cs="Times New Roman"/>
          <w:sz w:val="24"/>
          <w:szCs w:val="24"/>
        </w:rPr>
        <w:t xml:space="preserve"> omfattet af stk. 1</w:t>
      </w:r>
      <w:r w:rsidRPr="00796736">
        <w:rPr>
          <w:rFonts w:ascii="Times New Roman" w:hAnsi="Times New Roman" w:cs="Times New Roman"/>
          <w:sz w:val="24"/>
          <w:szCs w:val="24"/>
        </w:rPr>
        <w:t xml:space="preserve"> foregået helt eller delvist i en udenlandsk filial af en dansk virksomhed, kan påbuddet udstrækkes til også at omfatte den udenlandske filial.</w:t>
      </w:r>
    </w:p>
    <w:p w14:paraId="3DB233C4" w14:textId="77777777" w:rsidR="00F131D4" w:rsidRPr="00796736" w:rsidRDefault="00F131D4" w:rsidP="00A802A5">
      <w:pPr>
        <w:spacing w:line="360" w:lineRule="auto"/>
        <w:rPr>
          <w:rFonts w:ascii="Times New Roman" w:hAnsi="Times New Roman" w:cs="Times New Roman"/>
          <w:sz w:val="24"/>
          <w:szCs w:val="24"/>
        </w:rPr>
      </w:pPr>
    </w:p>
    <w:p w14:paraId="7878BBB1" w14:textId="33A77C72"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virksomheds udenlandske filial er omfattet af værtslandets regler om hvidvask, men virksomheden i hjemlandet er forpligtet til at sikre, at dens filialer i udlandet overholder udenlandsk lov i overensstemmelse med tilsynsforpligtelsen på koncernniveau. </w:t>
      </w:r>
    </w:p>
    <w:p w14:paraId="4AC57F2B" w14:textId="77777777" w:rsidR="00F131D4" w:rsidRPr="00796736" w:rsidRDefault="00F131D4" w:rsidP="00A802A5">
      <w:pPr>
        <w:spacing w:line="360" w:lineRule="auto"/>
        <w:rPr>
          <w:rFonts w:ascii="Times New Roman" w:hAnsi="Times New Roman" w:cs="Times New Roman"/>
          <w:sz w:val="24"/>
          <w:szCs w:val="24"/>
        </w:rPr>
      </w:pPr>
    </w:p>
    <w:p w14:paraId="15AC76DB" w14:textId="77777777" w:rsidR="00F131D4" w:rsidRPr="00796736" w:rsidRDefault="00F131D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kan således meddeles til virksomheden alene eller tillige omfatte en eller flere udenlandske filialer efter en konkret vurdering. Finanstilsynet skal i den forbindelse have konstateret, at de alvorlige overtrædelser, jf. eksemplet ovenfor, er foregået helt eller delvist i den eller de udenlandske filialer. Der kan f.eks. være tale om en dansk virksomhed med en filial i Sverige. Såfremt overtrædelsen er sket både i den danske modervirksomhed og i den svenske filial, vil påbuddet om midlertidigt stop for nye kundeforhold kunne meddeles således, at det gælder for både den danske modervirksomhed og den svenske filial. Som nævnt ovenfor vil der skulle foretages en proportionalitetsvurdering i forhold til indgrebet, og det vil også gælde i forhold til, om påbuddet også skal gælde for filialen. </w:t>
      </w:r>
    </w:p>
    <w:p w14:paraId="3942A0E9" w14:textId="77777777" w:rsidR="00F131D4" w:rsidRPr="00796736" w:rsidRDefault="00F131D4" w:rsidP="00A802A5">
      <w:pPr>
        <w:spacing w:line="360" w:lineRule="auto"/>
        <w:rPr>
          <w:rFonts w:ascii="Times New Roman" w:eastAsia="Calibri" w:hAnsi="Times New Roman" w:cs="Times New Roman"/>
          <w:sz w:val="24"/>
          <w:szCs w:val="24"/>
        </w:rPr>
      </w:pPr>
    </w:p>
    <w:p w14:paraId="3E1C3660" w14:textId="528890CB" w:rsidR="00E60C91" w:rsidRPr="00796736" w:rsidRDefault="00F131D4"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henvises i øvrigt til pkt. </w:t>
      </w:r>
      <w:r w:rsidR="00551141" w:rsidRPr="00796736">
        <w:rPr>
          <w:rFonts w:ascii="Times New Roman" w:eastAsia="Calibri" w:hAnsi="Times New Roman" w:cs="Times New Roman"/>
          <w:sz w:val="24"/>
          <w:szCs w:val="24"/>
        </w:rPr>
        <w:fldChar w:fldCharType="begin"/>
      </w:r>
      <w:r w:rsidR="00551141" w:rsidRPr="00796736">
        <w:rPr>
          <w:rFonts w:ascii="Times New Roman" w:eastAsia="Calibri" w:hAnsi="Times New Roman" w:cs="Times New Roman"/>
          <w:sz w:val="24"/>
          <w:szCs w:val="24"/>
        </w:rPr>
        <w:instrText xml:space="preserve"> REF _Ref233638655 \n \h </w:instrText>
      </w:r>
      <w:r w:rsidR="00EA770E" w:rsidRPr="00796736">
        <w:rPr>
          <w:rFonts w:ascii="Times New Roman" w:eastAsia="Calibri" w:hAnsi="Times New Roman" w:cs="Times New Roman"/>
          <w:sz w:val="24"/>
          <w:szCs w:val="24"/>
        </w:rPr>
        <w:instrText xml:space="preserve"> \* MERGEFORMAT </w:instrText>
      </w:r>
      <w:r w:rsidR="00551141" w:rsidRPr="00796736">
        <w:rPr>
          <w:rFonts w:ascii="Times New Roman" w:eastAsia="Calibri" w:hAnsi="Times New Roman" w:cs="Times New Roman"/>
          <w:sz w:val="24"/>
          <w:szCs w:val="24"/>
        </w:rPr>
      </w:r>
      <w:r w:rsidR="00551141"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3.55</w:t>
      </w:r>
      <w:r w:rsidR="00551141" w:rsidRPr="00796736">
        <w:rPr>
          <w:rFonts w:ascii="Times New Roman" w:eastAsia="Calibri" w:hAnsi="Times New Roman" w:cs="Times New Roman"/>
          <w:sz w:val="24"/>
          <w:szCs w:val="24"/>
        </w:rPr>
        <w:fldChar w:fldCharType="end"/>
      </w:r>
      <w:r w:rsidR="00551141"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i lovforslagets almindelige bemærkninger.</w:t>
      </w:r>
    </w:p>
    <w:p w14:paraId="2D04F4BA" w14:textId="77777777" w:rsidR="0099753D" w:rsidRPr="00796736" w:rsidRDefault="0099753D" w:rsidP="00A802A5">
      <w:pPr>
        <w:spacing w:line="360" w:lineRule="auto"/>
        <w:rPr>
          <w:rFonts w:ascii="Times New Roman" w:eastAsia="Calibri" w:hAnsi="Times New Roman" w:cs="Times New Roman"/>
          <w:sz w:val="24"/>
          <w:szCs w:val="24"/>
        </w:rPr>
      </w:pPr>
    </w:p>
    <w:p w14:paraId="2282835C" w14:textId="766024A0" w:rsidR="0099753D" w:rsidRPr="00796736" w:rsidRDefault="0099753D" w:rsidP="00A802A5">
      <w:pPr>
        <w:pStyle w:val="Undertitel"/>
      </w:pPr>
      <w:bookmarkStart w:id="2054" w:name="_Toc232109395"/>
      <w:bookmarkStart w:id="2055" w:name="_Toc244879361"/>
      <w:bookmarkStart w:id="2056" w:name="_Toc244880886"/>
      <w:r w:rsidRPr="00796736">
        <w:t xml:space="preserve">Til </w:t>
      </w:r>
      <w:r w:rsidRPr="00796736">
        <w:fldChar w:fldCharType="begin"/>
      </w:r>
      <w:r w:rsidRPr="00796736">
        <w:instrText xml:space="preserve"> REF _Ref232597247 \r \h  \* MERGEFORMAT </w:instrText>
      </w:r>
      <w:r w:rsidRPr="00796736">
        <w:fldChar w:fldCharType="separate"/>
      </w:r>
      <w:r w:rsidR="008F29E5">
        <w:t>§ 65</w:t>
      </w:r>
      <w:bookmarkEnd w:id="2055"/>
      <w:bookmarkEnd w:id="2056"/>
      <w:r w:rsidRPr="00796736">
        <w:fldChar w:fldCharType="end"/>
      </w:r>
      <w:r w:rsidRPr="00796736">
        <w:t xml:space="preserve"> </w:t>
      </w:r>
      <w:bookmarkEnd w:id="2054"/>
    </w:p>
    <w:p w14:paraId="03F61C25" w14:textId="77777777" w:rsidR="0099753D" w:rsidRPr="00796736" w:rsidRDefault="0099753D"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51, at Finanstilsynet, inden for en frist fastsat af tilsynet, kan påbyde de virksomheder og personer, der er omfattet af § 1, stk. 1, nr. 1-12, 18 og 22, at iværksætte nødvendige foranstaltninger i tilfælde af overtrædelse af bestemmelser i denne lov, regler udstedt i medfør heraf, Europa-Parlamentets og Rådets forordning om oplysninger, der skal medsendes ved pengeoverførsler og ved overførsler af visse kryptoaktiver, samt forordninger, der indeholder regler om finansielle sanktioner mod lande, personer, grupper, juridiske enheder eller organer.</w:t>
      </w:r>
    </w:p>
    <w:p w14:paraId="13A26201" w14:textId="7E221E2D" w:rsidR="0099753D" w:rsidRPr="00796736" w:rsidRDefault="0099753D"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desuden af hvidvasklovens § 51 a, </w:t>
      </w:r>
      <w:r w:rsidR="00CE6A06">
        <w:rPr>
          <w:rFonts w:ascii="Times New Roman" w:hAnsi="Times New Roman" w:cs="Times New Roman"/>
          <w:sz w:val="24"/>
          <w:szCs w:val="24"/>
        </w:rPr>
        <w:t xml:space="preserve">stk. 1, </w:t>
      </w:r>
      <w:r w:rsidRPr="00796736">
        <w:rPr>
          <w:rFonts w:ascii="Times New Roman" w:hAnsi="Times New Roman" w:cs="Times New Roman"/>
          <w:sz w:val="24"/>
          <w:szCs w:val="24"/>
        </w:rPr>
        <w:t>at Finanstilsynet kan påbyde en virksomhed omfattet af § 1, stk. 1, nr. 1-8, 9, 10, 18 og 22, dog ikke disses filialer, distributører og agenter her i landet, at afsætte den person, der er udpeget i henhold til § 7, stk. 2, inden for en frist fastsat af Finanstilsynet, hvis personen efter § 7, stk. 2, 3. og 4. pkt., ikke kan bestride stillingen.</w:t>
      </w:r>
    </w:p>
    <w:p w14:paraId="57967A6E" w14:textId="77777777" w:rsidR="0099753D" w:rsidRPr="00796736" w:rsidRDefault="0099753D"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I henhold til § 51 a, stk. 2, kan påbud meddelt efter stk. 1 af virksomheden og den person, som påbuddet vedrører, forlanges indbragt for domstolene af Finanstilsynet.  Anmodning herom skal indgives til Finanstilsynet, senest 4 uger efter at påbuddet er meddelt den pågældende. Finanstilsynet indbringer sagen for domstolene inden 4 uger efter modtagelse af anmodning herom. Sagen anlægges i den borgerlige retsplejes former.</w:t>
      </w:r>
    </w:p>
    <w:p w14:paraId="42E3C566"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51 c, stk. 1, i hvidvaskloven kan Finanstilsynet påbyde en valutavekslingsvirksomhed at afsætte en direktør inden for en af Finanstilsynets fastsat frist, hvis denne efter den gældende § 45, stk. 1, som indeholder kravene til egnethed og hæderlighed, ikke kan bestride stillingen. Finanstilsynet kan under samme betingelser påbyde et medlem af bestyrelsen i en valutavekslingsvirksomhed at nedlægge sit hverv inden for en af Finanstilsynet fastsat frist. </w:t>
      </w:r>
    </w:p>
    <w:p w14:paraId="3718A210" w14:textId="77777777" w:rsidR="0099753D" w:rsidRPr="00796736" w:rsidRDefault="0099753D" w:rsidP="00A802A5">
      <w:pPr>
        <w:spacing w:line="360" w:lineRule="auto"/>
        <w:rPr>
          <w:rFonts w:ascii="Times New Roman" w:hAnsi="Times New Roman" w:cs="Times New Roman"/>
          <w:sz w:val="24"/>
          <w:szCs w:val="24"/>
        </w:rPr>
      </w:pPr>
    </w:p>
    <w:p w14:paraId="470E08A5"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kan tillige efter § 51 c, stk. 2, i hvidvaskloven påbyde en valutavekslingsvirksomhed at afsætte en direktør, når der er rejst tiltale mod den pågældende i en straffesag om overtrædelse af straffeloven, den finansielle lovgivning eller anden relevant lovgivning, indtil straffesagen er afgjort, hvis domfældelse vil indebære, at direktøren ikke opfylder kravene i den gældende § 45, stk. 1, nr. 3. Finanstilsynet fastsætter en frist for efterlevelse af påbuddet. Finanstilsynet kan under samme betingelser som i 1. pkt. påbyde et medlem af bestyrelsen i en valutavekslingsvirksomhed at nedlægge sit hverv. Finanstilsynet fastsætter en frist for efterlevelse af påbuddet. </w:t>
      </w:r>
    </w:p>
    <w:p w14:paraId="006E6AB3" w14:textId="77777777" w:rsidR="0099753D" w:rsidRPr="00796736" w:rsidRDefault="0099753D" w:rsidP="00A802A5">
      <w:pPr>
        <w:spacing w:line="360" w:lineRule="auto"/>
        <w:rPr>
          <w:rFonts w:ascii="Times New Roman" w:hAnsi="Times New Roman" w:cs="Times New Roman"/>
          <w:sz w:val="24"/>
          <w:szCs w:val="24"/>
        </w:rPr>
      </w:pPr>
    </w:p>
    <w:p w14:paraId="270016D1"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tillige af § 51, stk. 3, at varigheden af påbud meddelt efter stk. 1 på baggrund af § 45, stk. 1, nr. 2-5, skal fremgå af påbuddet.</w:t>
      </w:r>
    </w:p>
    <w:p w14:paraId="497815D6" w14:textId="77777777" w:rsidR="0099753D" w:rsidRPr="00796736" w:rsidRDefault="0099753D" w:rsidP="00A802A5">
      <w:pPr>
        <w:spacing w:line="360" w:lineRule="auto"/>
        <w:rPr>
          <w:rFonts w:ascii="Times New Roman" w:hAnsi="Times New Roman" w:cs="Times New Roman"/>
          <w:sz w:val="24"/>
          <w:szCs w:val="24"/>
        </w:rPr>
      </w:pPr>
    </w:p>
    <w:p w14:paraId="1EEA83C8"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51 c, stk. 4, kan påbud meddelt efter stk. 1 og 2 af valutavekslingsvirksomheden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den pågældende direktør eller det pågældende bestyrelsesmedlem under sagens behandling kan opretholde sit hverv eller sin stilling.  Finanstilsynet indbringer sagen for domstolene inden 4 uger efter modtagelse af anmodning herom. Sagen anlægges i den borgerlige retsplejes former.</w:t>
      </w:r>
    </w:p>
    <w:p w14:paraId="25CE40F6" w14:textId="77777777" w:rsidR="0099753D" w:rsidRPr="00796736" w:rsidRDefault="0099753D" w:rsidP="00A802A5">
      <w:pPr>
        <w:spacing w:line="360" w:lineRule="auto"/>
        <w:rPr>
          <w:rFonts w:ascii="Times New Roman" w:hAnsi="Times New Roman" w:cs="Times New Roman"/>
          <w:sz w:val="24"/>
          <w:szCs w:val="24"/>
        </w:rPr>
      </w:pPr>
    </w:p>
    <w:p w14:paraId="749EE4C5"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medfør af § 51 c, stk. 5, kan afgørelser i sager efter § 45, stk. 1, som træffes efter § 45, stk. 2, kan af virksomheden og af den person, som afgørelsen vedrører, forlanges indbragt for domstolene. Anmodning herom skal indgives til Finanstilsynet, inden 4 uger efter at afgørelsen er meddelt den pågældende. Anmodningen har ikke opsættende virkning for afgørelsen, men retten kan ved kendelse bestemme, at personen under sagens behandling kan indtræde i det hverv eller den stilling, som personen har søgt om godkendelse til. Finanstilsynet indbringer sagen for domstolene inden 4 uger efter modtagelse af anmodning herom. Sagen anlægges i den borgerlige retsplejes former.</w:t>
      </w:r>
    </w:p>
    <w:p w14:paraId="0EBB5DBE" w14:textId="77777777" w:rsidR="0099753D" w:rsidRPr="00796736" w:rsidRDefault="0099753D" w:rsidP="00A802A5">
      <w:pPr>
        <w:spacing w:line="360" w:lineRule="auto"/>
        <w:rPr>
          <w:rFonts w:ascii="Times New Roman" w:hAnsi="Times New Roman" w:cs="Times New Roman"/>
          <w:sz w:val="24"/>
          <w:szCs w:val="24"/>
        </w:rPr>
      </w:pPr>
    </w:p>
    <w:p w14:paraId="45080562"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i medfør af § 51 c, stk. 6, af egen drift eller efter ansøgning tilbagekalde påbud meddelt efter stk. 1, 2. pkt., og stk. 2, 3. pkt.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5FC365C1" w14:textId="77777777" w:rsidR="0099753D" w:rsidRPr="00796736" w:rsidRDefault="0099753D" w:rsidP="00A802A5">
      <w:pPr>
        <w:spacing w:line="360" w:lineRule="auto"/>
        <w:rPr>
          <w:rFonts w:ascii="Times New Roman" w:hAnsi="Times New Roman" w:cs="Times New Roman"/>
          <w:sz w:val="24"/>
          <w:szCs w:val="24"/>
        </w:rPr>
      </w:pPr>
    </w:p>
    <w:p w14:paraId="66237F31"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51 c, stk. 7, at hvis valutavekslingsvirksomheden ikke afsat direktøren inden for den fastsatte frist, kan Finanstilsynet inddrage virksomhedens tilladelse, jf. § 46, stk. 1, nr. 3. Finanstilsynet kan endvidere inddrage valutavekslingsvirksomhedens tilladelse, jf. § 46, stk. 1, nr. 3, hvis et bestyrelsesmedlem ikke efterkommer et påbud meddelt i medfør af stk. 1, 2. pkt., og stk. 2, 3. pkt.</w:t>
      </w:r>
    </w:p>
    <w:p w14:paraId="7AD37215" w14:textId="77777777" w:rsidR="0099753D" w:rsidRPr="00796736" w:rsidRDefault="0099753D" w:rsidP="00A802A5">
      <w:pPr>
        <w:spacing w:line="360" w:lineRule="auto"/>
        <w:rPr>
          <w:rFonts w:ascii="Times New Roman" w:hAnsi="Times New Roman" w:cs="Times New Roman"/>
          <w:sz w:val="24"/>
          <w:szCs w:val="24"/>
        </w:rPr>
      </w:pPr>
    </w:p>
    <w:p w14:paraId="1CCC966D"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desuden af § 51 c, stk. 8, at stk. 1-7 finder tilsvarende anvendelse på den eller de for virksomheden ledelsesansvarlige, når en valutavekslingsvirksomhed drives som en juridisk person uden en bestyrelse eller direktion. </w:t>
      </w:r>
    </w:p>
    <w:p w14:paraId="6FB3A4BE" w14:textId="77777777" w:rsidR="0099753D" w:rsidRPr="00796736" w:rsidRDefault="0099753D" w:rsidP="00A802A5">
      <w:pPr>
        <w:spacing w:line="360" w:lineRule="auto"/>
        <w:rPr>
          <w:rFonts w:ascii="Times New Roman" w:hAnsi="Times New Roman" w:cs="Times New Roman"/>
          <w:sz w:val="24"/>
          <w:szCs w:val="24"/>
        </w:rPr>
      </w:pPr>
    </w:p>
    <w:p w14:paraId="59C4025C" w14:textId="36E3FB96" w:rsidR="0099753D" w:rsidRPr="00796736" w:rsidRDefault="0099753D" w:rsidP="00A802A5">
      <w:pPr>
        <w:spacing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_Ref232597247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65</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at Finanstilsynet får mulighed for</w:t>
      </w:r>
      <w:r w:rsidR="009A3379" w:rsidRPr="00796736">
        <w:rPr>
          <w:rFonts w:ascii="Times New Roman" w:hAnsi="Times New Roman" w:cs="Times New Roman"/>
          <w:sz w:val="24"/>
          <w:szCs w:val="24"/>
        </w:rPr>
        <w:t xml:space="preserve"> i tilfælde</w:t>
      </w:r>
      <w:r w:rsidR="009A3379" w:rsidRPr="00796736">
        <w:rPr>
          <w:rFonts w:ascii="Times New Roman" w:hAnsi="Times New Roman" w:cs="Times New Roman"/>
          <w:sz w:val="24"/>
          <w:szCs w:val="24"/>
          <w:lang w:eastAsia="da-DK"/>
        </w:rPr>
        <w:t xml:space="preserve">, der er omfattet af </w:t>
      </w:r>
      <w:r w:rsidR="009A3379" w:rsidRPr="00796736">
        <w:rPr>
          <w:rFonts w:ascii="Times New Roman" w:hAnsi="Times New Roman" w:cs="Times New Roman"/>
          <w:sz w:val="24"/>
          <w:szCs w:val="24"/>
          <w:lang w:eastAsia="da-DK"/>
        </w:rPr>
        <w:fldChar w:fldCharType="begin"/>
      </w:r>
      <w:r w:rsidR="009A3379" w:rsidRPr="00796736">
        <w:rPr>
          <w:rFonts w:ascii="Times New Roman" w:hAnsi="Times New Roman" w:cs="Times New Roman"/>
          <w:sz w:val="24"/>
          <w:szCs w:val="24"/>
          <w:lang w:eastAsia="da-DK"/>
        </w:rPr>
        <w:instrText xml:space="preserve"> REF _Ref242814430 \r \h </w:instrText>
      </w:r>
      <w:r w:rsidR="00AB17CC" w:rsidRPr="00796736">
        <w:rPr>
          <w:rFonts w:ascii="Times New Roman" w:hAnsi="Times New Roman" w:cs="Times New Roman"/>
          <w:sz w:val="24"/>
          <w:szCs w:val="24"/>
          <w:lang w:eastAsia="da-DK"/>
        </w:rPr>
        <w:instrText xml:space="preserve"> \* MERGEFORMAT </w:instrText>
      </w:r>
      <w:r w:rsidR="009A3379" w:rsidRPr="00796736">
        <w:rPr>
          <w:rFonts w:ascii="Times New Roman" w:hAnsi="Times New Roman" w:cs="Times New Roman"/>
          <w:sz w:val="24"/>
          <w:szCs w:val="24"/>
          <w:lang w:eastAsia="da-DK"/>
        </w:rPr>
      </w:r>
      <w:r w:rsidR="009A3379"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9A3379" w:rsidRPr="00796736">
        <w:rPr>
          <w:rFonts w:ascii="Times New Roman" w:hAnsi="Times New Roman" w:cs="Times New Roman"/>
          <w:sz w:val="24"/>
          <w:szCs w:val="24"/>
          <w:lang w:eastAsia="da-DK"/>
        </w:rPr>
        <w:fldChar w:fldCharType="end"/>
      </w:r>
      <w:r w:rsidR="009A3379" w:rsidRPr="00796736">
        <w:rPr>
          <w:rFonts w:ascii="Times New Roman" w:hAnsi="Times New Roman" w:cs="Times New Roman"/>
          <w:sz w:val="24"/>
          <w:szCs w:val="24"/>
        </w:rPr>
        <w:t>,</w:t>
      </w:r>
      <w:r w:rsidRPr="00796736">
        <w:rPr>
          <w:rFonts w:ascii="Times New Roman" w:hAnsi="Times New Roman" w:cs="Times New Roman"/>
          <w:sz w:val="24"/>
          <w:szCs w:val="24"/>
        </w:rPr>
        <w:t xml:space="preserve"> at påbyde de virksomheder og personer, </w:t>
      </w:r>
      <w:r w:rsidRPr="00796736">
        <w:rPr>
          <w:rFonts w:ascii="Times New Roman" w:eastAsia="Calibri" w:hAnsi="Times New Roman" w:cs="Times New Roman"/>
          <w:iCs/>
          <w:sz w:val="24"/>
          <w:szCs w:val="24"/>
        </w:rPr>
        <w:t>som nævnt i § 2, nr. 11, 14 og 19</w:t>
      </w:r>
      <w:r w:rsidR="00CE6A06">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t xml:space="preserve"> </w:t>
      </w:r>
      <w:r w:rsidR="00CE6A06">
        <w:rPr>
          <w:rFonts w:ascii="Times New Roman" w:eastAsia="Calibri" w:hAnsi="Times New Roman" w:cs="Times New Roman"/>
          <w:iCs/>
          <w:sz w:val="24"/>
          <w:szCs w:val="24"/>
        </w:rPr>
        <w:t>og</w:t>
      </w:r>
      <w:r w:rsidRPr="00796736">
        <w:rPr>
          <w:rFonts w:ascii="Times New Roman" w:eastAsia="Calibri" w:hAnsi="Times New Roman" w:cs="Times New Roman"/>
          <w:iCs/>
          <w:sz w:val="24"/>
          <w:szCs w:val="24"/>
        </w:rPr>
        <w:t xml:space="preserve"> 32, litra a, at afsætte en person fra den øverste ledelse, inden for en af Finanstilsynet fastsat frist, hvis denne efter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_Ref232596808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45</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1, og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_Ref232596960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w:t>
      </w:r>
      <w:r w:rsidR="00DE7A87" w:rsidRPr="00796736">
        <w:rPr>
          <w:rFonts w:ascii="Times New Roman" w:eastAsia="Calibri" w:hAnsi="Times New Roman" w:cs="Times New Roman"/>
          <w:iCs/>
          <w:sz w:val="24"/>
          <w:szCs w:val="24"/>
        </w:rPr>
        <w:t xml:space="preserve"> og </w:t>
      </w:r>
      <w:r w:rsidR="00172BA4" w:rsidRPr="00796736">
        <w:rPr>
          <w:rFonts w:ascii="Times New Roman" w:eastAsia="Calibri" w:hAnsi="Times New Roman" w:cs="Times New Roman"/>
          <w:iCs/>
          <w:sz w:val="24"/>
          <w:szCs w:val="24"/>
        </w:rPr>
        <w:t>3</w:t>
      </w:r>
      <w:r w:rsidRPr="00796736">
        <w:rPr>
          <w:rFonts w:ascii="Times New Roman" w:eastAsia="Calibri" w:hAnsi="Times New Roman" w:cs="Times New Roman"/>
          <w:iCs/>
          <w:sz w:val="24"/>
          <w:szCs w:val="24"/>
        </w:rPr>
        <w:t xml:space="preserve">, ikke kan bestride stillingen. </w:t>
      </w:r>
      <w:r w:rsidRPr="00796736">
        <w:rPr>
          <w:rFonts w:ascii="Times New Roman" w:hAnsi="Times New Roman" w:cs="Times New Roman"/>
          <w:sz w:val="24"/>
          <w:szCs w:val="24"/>
        </w:rPr>
        <w:t>Finanstilsynet kan under de samme betingelser som i 1. pkt. påbyde et medlem af bestyrelsen i en sådan virksomhed at nedlægge sit hverv inden for en af Finanstilsynet fastsat frist</w:t>
      </w:r>
      <w:r w:rsidRPr="00796736">
        <w:rPr>
          <w:rFonts w:ascii="Times New Roman" w:eastAsia="Calibri" w:hAnsi="Times New Roman" w:cs="Times New Roman"/>
          <w:iCs/>
          <w:sz w:val="24"/>
          <w:szCs w:val="24"/>
        </w:rPr>
        <w:t>.</w:t>
      </w:r>
    </w:p>
    <w:p w14:paraId="4F9B6EA5" w14:textId="77777777" w:rsidR="0099753D" w:rsidRPr="00796736" w:rsidRDefault="0099753D" w:rsidP="00A802A5">
      <w:pPr>
        <w:spacing w:line="360" w:lineRule="auto"/>
        <w:rPr>
          <w:rFonts w:ascii="Times New Roman" w:eastAsia="Calibri" w:hAnsi="Times New Roman" w:cs="Times New Roman"/>
          <w:iCs/>
          <w:sz w:val="24"/>
          <w:szCs w:val="24"/>
        </w:rPr>
      </w:pPr>
    </w:p>
    <w:p w14:paraId="18F08703" w14:textId="7DC1A0B3" w:rsidR="0099753D" w:rsidRPr="00796736" w:rsidRDefault="0099753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implementerer artikel 6, stk. 4, </w:t>
      </w:r>
      <w:r w:rsidRPr="00796736">
        <w:rPr>
          <w:rFonts w:ascii="Times New Roman" w:eastAsia="Calibri" w:hAnsi="Times New Roman" w:cs="Times New Roman"/>
          <w:iCs/>
          <w:sz w:val="24"/>
          <w:szCs w:val="24"/>
        </w:rPr>
        <w:t xml:space="preserve">artikel 37, stk. 6, litra b, </w:t>
      </w:r>
      <w:r w:rsidRPr="00796736">
        <w:rPr>
          <w:rFonts w:ascii="Times New Roman" w:eastAsia="Calibri" w:hAnsi="Times New Roman" w:cs="Times New Roman"/>
          <w:sz w:val="24"/>
          <w:szCs w:val="24"/>
        </w:rPr>
        <w:t>artikel</w:t>
      </w:r>
      <w:r w:rsidRPr="00796736">
        <w:rPr>
          <w:rFonts w:ascii="Times New Roman" w:eastAsia="Calibri" w:hAnsi="Times New Roman" w:cs="Times New Roman"/>
          <w:iCs/>
          <w:sz w:val="24"/>
          <w:szCs w:val="24"/>
        </w:rPr>
        <w:t xml:space="preserve"> 53, stk. 2 og 6, og </w:t>
      </w:r>
      <w:r w:rsidRPr="00796736">
        <w:rPr>
          <w:rFonts w:ascii="Times New Roman" w:eastAsia="Calibri" w:hAnsi="Times New Roman" w:cs="Times New Roman"/>
          <w:sz w:val="24"/>
          <w:szCs w:val="24"/>
        </w:rPr>
        <w:t xml:space="preserve">artikel 56, stk. 4, i 6. hvidvaskdirektiv. Bestemmelsen indeholder desuden en videreførelse af hvidvasklovens § 51 c vedrørende afsættelse af øverste ledelse i valutavekslingsvirksomheder. </w:t>
      </w:r>
    </w:p>
    <w:p w14:paraId="5E78341D" w14:textId="77777777" w:rsidR="0099753D" w:rsidRPr="00796736" w:rsidRDefault="0099753D" w:rsidP="00A802A5">
      <w:pPr>
        <w:spacing w:line="360" w:lineRule="auto"/>
        <w:rPr>
          <w:rFonts w:ascii="Times New Roman" w:eastAsia="Calibri" w:hAnsi="Times New Roman" w:cs="Times New Roman"/>
          <w:sz w:val="24"/>
          <w:szCs w:val="24"/>
        </w:rPr>
      </w:pPr>
    </w:p>
    <w:p w14:paraId="447414F3" w14:textId="527402ED" w:rsidR="0099753D" w:rsidRPr="00796736" w:rsidRDefault="0099753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I </w:t>
      </w:r>
      <w:r w:rsidR="002E5C4E" w:rsidRPr="00796736">
        <w:rPr>
          <w:rFonts w:ascii="Times New Roman" w:eastAsia="Calibri" w:hAnsi="Times New Roman" w:cs="Times New Roman"/>
          <w:sz w:val="24"/>
          <w:szCs w:val="24"/>
        </w:rPr>
        <w:t>hvidvaskfor</w:t>
      </w:r>
      <w:r w:rsidR="004A2563" w:rsidRPr="00796736">
        <w:rPr>
          <w:rFonts w:ascii="Times New Roman" w:eastAsia="Calibri" w:hAnsi="Times New Roman" w:cs="Times New Roman"/>
          <w:sz w:val="24"/>
          <w:szCs w:val="24"/>
        </w:rPr>
        <w:t>or</w:t>
      </w:r>
      <w:r w:rsidR="002E5C4E" w:rsidRPr="00796736">
        <w:rPr>
          <w:rFonts w:ascii="Times New Roman" w:eastAsia="Calibri" w:hAnsi="Times New Roman" w:cs="Times New Roman"/>
          <w:sz w:val="24"/>
          <w:szCs w:val="24"/>
        </w:rPr>
        <w:t>dningen</w:t>
      </w:r>
      <w:r w:rsidRPr="00796736">
        <w:rPr>
          <w:rFonts w:ascii="Times New Roman" w:eastAsia="Calibri" w:hAnsi="Times New Roman" w:cs="Times New Roman"/>
          <w:sz w:val="24"/>
          <w:szCs w:val="24"/>
        </w:rPr>
        <w:t xml:space="preserve"> defineres øverste ledelse i artikel 2, stk. 1, nr. 40.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34549501" w14:textId="220DB0FB" w:rsidR="0099753D" w:rsidRPr="00796736" w:rsidRDefault="0099753D"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1. pkt.</w:t>
      </w:r>
      <w:r w:rsidRPr="00796736">
        <w:rPr>
          <w:rFonts w:ascii="Times New Roman" w:hAnsi="Times New Roman" w:cs="Times New Roman"/>
          <w:sz w:val="24"/>
          <w:szCs w:val="24"/>
        </w:rPr>
        <w:t xml:space="preserve">, at </w:t>
      </w:r>
      <w:r w:rsidRPr="00796736">
        <w:rPr>
          <w:rFonts w:ascii="Times New Roman" w:eastAsia="Calibri" w:hAnsi="Times New Roman" w:cs="Times New Roman"/>
          <w:iCs/>
          <w:sz w:val="24"/>
          <w:szCs w:val="24"/>
        </w:rPr>
        <w:t>Finanstilsynet kan påbyde de virksomheder og personer, som nævnt i § 2, nr. 11, 14 og 19</w:t>
      </w:r>
      <w:r w:rsidR="00643A32">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t xml:space="preserve"> </w:t>
      </w:r>
      <w:r w:rsidR="00643A32">
        <w:rPr>
          <w:rFonts w:ascii="Times New Roman" w:eastAsia="Calibri" w:hAnsi="Times New Roman" w:cs="Times New Roman"/>
          <w:iCs/>
          <w:sz w:val="24"/>
          <w:szCs w:val="24"/>
        </w:rPr>
        <w:t>og</w:t>
      </w:r>
      <w:r w:rsidRPr="00796736">
        <w:rPr>
          <w:rFonts w:ascii="Times New Roman" w:eastAsia="Calibri" w:hAnsi="Times New Roman" w:cs="Times New Roman"/>
          <w:iCs/>
          <w:sz w:val="24"/>
          <w:szCs w:val="24"/>
        </w:rPr>
        <w:t xml:space="preserve"> 32, litra a, at afsætte en person fra den øverste ledelse, inden for en af Finanstilsynet fastsat frist, hvis denne efter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_Ref232596808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45</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1, og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_Ref232596960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w:t>
      </w:r>
      <w:r w:rsidR="00DE7A87" w:rsidRPr="00796736">
        <w:rPr>
          <w:rFonts w:ascii="Times New Roman" w:eastAsia="Calibri" w:hAnsi="Times New Roman" w:cs="Times New Roman"/>
          <w:iCs/>
          <w:sz w:val="24"/>
          <w:szCs w:val="24"/>
        </w:rPr>
        <w:t xml:space="preserve"> og </w:t>
      </w:r>
      <w:r w:rsidR="00172BA4" w:rsidRPr="00796736">
        <w:rPr>
          <w:rFonts w:ascii="Times New Roman" w:eastAsia="Calibri" w:hAnsi="Times New Roman" w:cs="Times New Roman"/>
          <w:iCs/>
          <w:sz w:val="24"/>
          <w:szCs w:val="24"/>
        </w:rPr>
        <w:t>3</w:t>
      </w:r>
      <w:r w:rsidRPr="00796736">
        <w:rPr>
          <w:rFonts w:ascii="Times New Roman" w:eastAsia="Calibri" w:hAnsi="Times New Roman" w:cs="Times New Roman"/>
          <w:iCs/>
          <w:sz w:val="24"/>
          <w:szCs w:val="24"/>
        </w:rPr>
        <w:t xml:space="preserve">, ikke kan bestride stillingen. </w:t>
      </w:r>
    </w:p>
    <w:p w14:paraId="2BE52254" w14:textId="61DDBCC2" w:rsidR="0099753D" w:rsidRPr="00796736" w:rsidRDefault="0099753D"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for anvendelsen af bestemmelsen, at den pågældende person fra den øverste ledelse, herunder direktør ikke kan bestride stillingen som følge af, at vedkommende ikke kan efterleve de foreslåede hæderlighedskrav efter den foreslåede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_Ref232596808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45</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1, og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_Ref232596960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w:t>
      </w:r>
      <w:r w:rsidR="00DE7A87" w:rsidRPr="00796736">
        <w:rPr>
          <w:rFonts w:ascii="Times New Roman" w:eastAsia="Calibri" w:hAnsi="Times New Roman" w:cs="Times New Roman"/>
          <w:iCs/>
          <w:sz w:val="24"/>
          <w:szCs w:val="24"/>
        </w:rPr>
        <w:t xml:space="preserve"> og </w:t>
      </w:r>
      <w:r w:rsidR="00172BA4" w:rsidRPr="00796736">
        <w:rPr>
          <w:rFonts w:ascii="Times New Roman" w:eastAsia="Calibri" w:hAnsi="Times New Roman" w:cs="Times New Roman"/>
          <w:iCs/>
          <w:sz w:val="24"/>
          <w:szCs w:val="24"/>
        </w:rPr>
        <w:t>3</w:t>
      </w:r>
      <w:r w:rsidRPr="00796736">
        <w:rPr>
          <w:rFonts w:ascii="Times New Roman" w:hAnsi="Times New Roman" w:cs="Times New Roman"/>
          <w:sz w:val="24"/>
          <w:szCs w:val="24"/>
        </w:rPr>
        <w:t>, hvorefter vedkommende blandt andet ikke må være pålagt strafansvar for overtrædelse af straffeloven, den finansielle lovgivning eller anden relevant lovgivning, hvis overtrædelsen indebærer risiko for, at vedkommende ikke kan varetage sit hverv eller sin stilling på betryggende måde. Tilsvarende foreslås det, at bestemmelsen kan finde anvendelse, hvis den pågældende person har udvist en sådan adfærd, at der er begrundet mistanke for misbrug af hvervet eller stillingen.</w:t>
      </w:r>
    </w:p>
    <w:p w14:paraId="1062B7A0" w14:textId="21A5D2D0"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Dette kan eksempelvis være fordi</w:t>
      </w:r>
      <w:r w:rsidR="00643A32">
        <w:rPr>
          <w:rFonts w:ascii="Times New Roman" w:hAnsi="Times New Roman" w:cs="Times New Roman"/>
          <w:sz w:val="24"/>
          <w:szCs w:val="24"/>
        </w:rPr>
        <w:t>,</w:t>
      </w:r>
      <w:r w:rsidRPr="00796736">
        <w:rPr>
          <w:rFonts w:ascii="Times New Roman" w:hAnsi="Times New Roman" w:cs="Times New Roman"/>
          <w:sz w:val="24"/>
          <w:szCs w:val="24"/>
        </w:rPr>
        <w:t xml:space="preserve"> vedkommende er blevet pålagt strafansvar for overtrædelse af straffeloven, den finansielle lovgivning, eller anden relevant lovgivning, og der som følge heraf er risiko for, at vedkommende ikke længere kan varetage sit hverv eller sin stilling på forsvarlig vis. Overtrædelse af anden relevant lovgivning kan eksempelvis være overtrædelser af strafbelagte bestemmelser i hvidvask-, skatte- og selskabslovgivningen. Finanstilsynet foretager en konkret vurdering af, om overtrædelsen skal føre til, at personen ikke anses for at leve op til hæderlighedskravet.</w:t>
      </w:r>
    </w:p>
    <w:p w14:paraId="362B3710" w14:textId="77777777" w:rsidR="0099753D" w:rsidRPr="00796736" w:rsidRDefault="0099753D" w:rsidP="00A802A5">
      <w:pPr>
        <w:spacing w:line="360" w:lineRule="auto"/>
        <w:rPr>
          <w:rFonts w:ascii="Times New Roman" w:hAnsi="Times New Roman" w:cs="Times New Roman"/>
          <w:sz w:val="24"/>
          <w:szCs w:val="24"/>
        </w:rPr>
      </w:pPr>
    </w:p>
    <w:p w14:paraId="32EC34A9"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kan eksempelvis også dreje sig om de tilfælde, hvor vedkommende tages under insolvensbehandling eller gældssanering, eller hvor vedkommendes økonomiske situation eller selskaber, som den pågældende har eller deltager i driften af, har påført valutavekslingsvirksomheden tab eller risiko for tab. Det samme gælder situationer, hvor personen har udvist en adfærd, hvorefter det må antages, at den pågældende ikke kan varetage sit hverv eller sin stilling på forsvarlig vis. </w:t>
      </w:r>
    </w:p>
    <w:p w14:paraId="2AACF4B0" w14:textId="77777777" w:rsidR="0099753D" w:rsidRPr="00796736" w:rsidRDefault="0099753D" w:rsidP="00A802A5">
      <w:pPr>
        <w:spacing w:line="360" w:lineRule="auto"/>
        <w:rPr>
          <w:rFonts w:ascii="Times New Roman" w:hAnsi="Times New Roman" w:cs="Times New Roman"/>
          <w:sz w:val="24"/>
          <w:szCs w:val="24"/>
        </w:rPr>
      </w:pPr>
    </w:p>
    <w:p w14:paraId="4833CDBE"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Foranstaltningen udmøntes i praksis ved udstedelsen af et påbud, hvorefter virksomheden eller personen inden for en af Finanstilsynet angivet frist skal have foretaget den midlertidige afsættelse af personen fra den øverste ledelse.</w:t>
      </w:r>
    </w:p>
    <w:p w14:paraId="0668C8A5" w14:textId="77777777" w:rsidR="0099753D" w:rsidRPr="00796736" w:rsidRDefault="0099753D" w:rsidP="00A802A5">
      <w:pPr>
        <w:spacing w:line="360" w:lineRule="auto"/>
        <w:rPr>
          <w:rFonts w:ascii="Times New Roman" w:hAnsi="Times New Roman" w:cs="Times New Roman"/>
          <w:sz w:val="24"/>
          <w:szCs w:val="24"/>
        </w:rPr>
      </w:pPr>
    </w:p>
    <w:p w14:paraId="7CE61484" w14:textId="45E65279"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skal i forbindelse med fastsættelsen af reaktioner</w:t>
      </w:r>
      <w:r w:rsidRPr="00796736">
        <w:rPr>
          <w:rFonts w:ascii="Times New Roman" w:eastAsia="Calibri" w:hAnsi="Times New Roman" w:cs="Times New Roman"/>
          <w:iCs/>
          <w:sz w:val="24"/>
          <w:szCs w:val="24"/>
        </w:rPr>
        <w:t xml:space="preserve">, </w:t>
      </w:r>
      <w:r w:rsidRPr="00796736">
        <w:rPr>
          <w:rFonts w:ascii="Times New Roman" w:hAnsi="Times New Roman" w:cs="Times New Roman"/>
          <w:sz w:val="24"/>
          <w:szCs w:val="24"/>
        </w:rPr>
        <w:t>herunder ved anvendelsen af påbud, tage højde for alle relevante omstændigheder, herunder de faktorer der er oplistet i artikel 53, stk. 6, i 6. hvidvaskdirektiv. Dette indebærer blandt andet, at Finanstilsynet, hvor det er relevant, skal tage højde for overtrædelsens grovhed og varighed samt antallet af gentagelser, ligesom der også vil skulle tages højde for graden af samarbejde med Finanstilsynet. Finanstilsynets reaktioner skal være effektive, stå i rimeligt forhold til overtrædelsen og have afskrækkende virkning.</w:t>
      </w:r>
    </w:p>
    <w:p w14:paraId="21ADFD19" w14:textId="77777777" w:rsidR="0099753D" w:rsidRPr="00796736" w:rsidRDefault="0099753D" w:rsidP="00A802A5">
      <w:pPr>
        <w:spacing w:line="360" w:lineRule="auto"/>
        <w:rPr>
          <w:rFonts w:ascii="Times New Roman" w:hAnsi="Times New Roman" w:cs="Times New Roman"/>
          <w:sz w:val="24"/>
          <w:szCs w:val="24"/>
        </w:rPr>
      </w:pPr>
    </w:p>
    <w:p w14:paraId="2AD36659" w14:textId="06A6EEE5"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Inden Finanstilsynet påbyder virksomheden at afsætte en person fra øverste ledelse at nedlægge sit hverv, skal der i henhold til reglerne i forvaltningsloven foretages en partshøring af virksomheden og af den, som påbuddet retter sig mod. I denne fase vil bestyrelsen have mulighed for af egen drift at afsætte en direktør. Forinden Finanstilsynet træffer afgørelse i sagen om påbuddet, forelægges spørgsmålet for Finanstilsynets bestyrelse, som i medfør af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_Ref232597084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jf. § 345, stk. 12, nr. 4, i lov om finansiel virksomhed, træffer beslutning om reaktioner i sager af principiel karakter og i sager, der har videregående betydelige følger.</w:t>
      </w:r>
    </w:p>
    <w:p w14:paraId="0B0A3C00" w14:textId="77777777" w:rsidR="0099753D" w:rsidRPr="00796736" w:rsidRDefault="0099753D" w:rsidP="00A802A5">
      <w:pPr>
        <w:spacing w:line="360" w:lineRule="auto"/>
        <w:rPr>
          <w:rFonts w:ascii="Times New Roman" w:hAnsi="Times New Roman" w:cs="Times New Roman"/>
          <w:sz w:val="24"/>
          <w:szCs w:val="24"/>
        </w:rPr>
      </w:pPr>
    </w:p>
    <w:p w14:paraId="6A6C1D20" w14:textId="0EBC36DC" w:rsidR="003E0EF6" w:rsidRPr="00796736" w:rsidRDefault="003E0EF6"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15078DB6" w14:textId="77777777" w:rsidR="003E0EF6" w:rsidRPr="00796736" w:rsidRDefault="003E0EF6" w:rsidP="00A802A5">
      <w:pPr>
        <w:spacing w:line="360" w:lineRule="auto"/>
        <w:rPr>
          <w:rFonts w:ascii="Times New Roman" w:eastAsia="Calibri" w:hAnsi="Times New Roman" w:cs="Times New Roman"/>
          <w:iCs/>
          <w:sz w:val="24"/>
          <w:szCs w:val="24"/>
        </w:rPr>
      </w:pPr>
    </w:p>
    <w:p w14:paraId="519FDA97" w14:textId="006E4EB8"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Efterlever bestyrelsesmedlemmet ikke et påbud udstedt af Finanstilsynet, kan vedkommende straffes med bøde, jf. </w:t>
      </w:r>
      <w:r w:rsidR="00FF733E">
        <w:rPr>
          <w:rFonts w:ascii="Times New Roman" w:hAnsi="Times New Roman" w:cs="Times New Roman"/>
          <w:sz w:val="24"/>
          <w:szCs w:val="24"/>
        </w:rPr>
        <w:fldChar w:fldCharType="begin"/>
      </w:r>
      <w:r w:rsidR="00FF733E">
        <w:rPr>
          <w:rFonts w:ascii="Times New Roman" w:hAnsi="Times New Roman" w:cs="Times New Roman"/>
          <w:sz w:val="24"/>
          <w:szCs w:val="24"/>
        </w:rPr>
        <w:instrText xml:space="preserve"> REF _Ref242963797 \n \h </w:instrText>
      </w:r>
      <w:r w:rsidR="00CB248D">
        <w:rPr>
          <w:rFonts w:ascii="Times New Roman" w:hAnsi="Times New Roman" w:cs="Times New Roman"/>
          <w:sz w:val="24"/>
          <w:szCs w:val="24"/>
        </w:rPr>
        <w:instrText xml:space="preserve"> \* MERGEFORMAT </w:instrText>
      </w:r>
      <w:r w:rsidR="00FF733E">
        <w:rPr>
          <w:rFonts w:ascii="Times New Roman" w:hAnsi="Times New Roman" w:cs="Times New Roman"/>
          <w:sz w:val="24"/>
          <w:szCs w:val="24"/>
        </w:rPr>
      </w:r>
      <w:r w:rsidR="00FF733E">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FF733E">
        <w:rPr>
          <w:rFonts w:ascii="Times New Roman" w:hAnsi="Times New Roman" w:cs="Times New Roman"/>
          <w:sz w:val="24"/>
          <w:szCs w:val="24"/>
        </w:rPr>
        <w:fldChar w:fldCharType="end"/>
      </w:r>
      <w:r w:rsidR="00FF733E">
        <w:rPr>
          <w:rFonts w:ascii="Times New Roman" w:hAnsi="Times New Roman" w:cs="Times New Roman"/>
          <w:sz w:val="24"/>
          <w:szCs w:val="24"/>
        </w:rPr>
        <w:t>, stk. 3,</w:t>
      </w:r>
      <w:r w:rsidRPr="00796736">
        <w:rPr>
          <w:rFonts w:ascii="Times New Roman" w:hAnsi="Times New Roman" w:cs="Times New Roman"/>
          <w:sz w:val="24"/>
          <w:szCs w:val="24"/>
        </w:rPr>
        <w:t xml:space="preserve"> som foreslås med dette lovforslag.</w:t>
      </w:r>
    </w:p>
    <w:p w14:paraId="7C91BC93" w14:textId="77777777" w:rsidR="0099753D" w:rsidRPr="00796736" w:rsidRDefault="0099753D" w:rsidP="00A802A5">
      <w:pPr>
        <w:spacing w:line="360" w:lineRule="auto"/>
        <w:rPr>
          <w:rFonts w:ascii="Times New Roman" w:hAnsi="Times New Roman" w:cs="Times New Roman"/>
          <w:sz w:val="24"/>
          <w:szCs w:val="24"/>
        </w:rPr>
      </w:pPr>
    </w:p>
    <w:p w14:paraId="7DFC5EEA" w14:textId="685049FD" w:rsidR="0099753D" w:rsidRPr="00796736" w:rsidRDefault="0099753D"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 xml:space="preserve">stk. 1, 2. pkt., </w:t>
      </w:r>
      <w:r w:rsidRPr="00796736">
        <w:rPr>
          <w:rFonts w:ascii="Times New Roman" w:eastAsia="Calibri" w:hAnsi="Times New Roman" w:cs="Times New Roman"/>
          <w:sz w:val="24"/>
          <w:szCs w:val="24"/>
        </w:rPr>
        <w:t xml:space="preserve">at </w:t>
      </w:r>
      <w:r w:rsidRPr="00796736">
        <w:rPr>
          <w:rFonts w:ascii="Times New Roman" w:eastAsia="Calibri" w:hAnsi="Times New Roman" w:cs="Times New Roman"/>
          <w:iCs/>
          <w:sz w:val="24"/>
          <w:szCs w:val="24"/>
        </w:rPr>
        <w:t xml:space="preserve">Finanstilsynet </w:t>
      </w:r>
      <w:r w:rsidRPr="00796736">
        <w:rPr>
          <w:rFonts w:ascii="Times New Roman" w:eastAsia="Calibri" w:hAnsi="Times New Roman" w:cs="Times New Roman"/>
          <w:sz w:val="24"/>
          <w:szCs w:val="24"/>
        </w:rPr>
        <w:t>under samme betingelser som i 1</w:t>
      </w:r>
      <w:r w:rsidR="00722E27">
        <w:rPr>
          <w:rFonts w:ascii="Times New Roman" w:eastAsia="Calibri" w:hAnsi="Times New Roman" w:cs="Times New Roman"/>
          <w:sz w:val="24"/>
          <w:szCs w:val="24"/>
        </w:rPr>
        <w:t xml:space="preserve"> pkt.</w:t>
      </w:r>
      <w:r w:rsidRPr="00796736">
        <w:rPr>
          <w:rFonts w:ascii="Times New Roman" w:eastAsia="Calibri" w:hAnsi="Times New Roman" w:cs="Times New Roman"/>
          <w:sz w:val="24"/>
          <w:szCs w:val="24"/>
        </w:rPr>
        <w:t xml:space="preserve">, kan påbyde </w:t>
      </w:r>
      <w:r w:rsidRPr="00796736">
        <w:rPr>
          <w:rFonts w:ascii="Times New Roman" w:eastAsia="Times New Roman" w:hAnsi="Times New Roman" w:cs="Times New Roman"/>
          <w:sz w:val="24"/>
          <w:szCs w:val="24"/>
          <w:lang w:eastAsia="da-DK"/>
        </w:rPr>
        <w:t xml:space="preserve">et medlem af bestyrelsen i en virksomhed, som er nævnt i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_Ref232592818 \r \h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2</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nr. 11, 14 og 19, </w:t>
      </w:r>
      <w:r w:rsidR="00643A32">
        <w:rPr>
          <w:rFonts w:ascii="Times New Roman" w:hAnsi="Times New Roman" w:cs="Times New Roman"/>
          <w:iCs/>
          <w:sz w:val="24"/>
          <w:szCs w:val="24"/>
        </w:rPr>
        <w:t>og</w:t>
      </w:r>
      <w:r w:rsidR="00F17E1A">
        <w:rPr>
          <w:rFonts w:ascii="Times New Roman" w:hAnsi="Times New Roman" w:cs="Times New Roman"/>
          <w:iCs/>
          <w:sz w:val="24"/>
          <w:szCs w:val="24"/>
        </w:rPr>
        <w:t xml:space="preserve"> </w:t>
      </w:r>
      <w:r w:rsidRPr="00796736">
        <w:rPr>
          <w:rFonts w:ascii="Times New Roman" w:hAnsi="Times New Roman" w:cs="Times New Roman"/>
          <w:iCs/>
          <w:sz w:val="24"/>
          <w:szCs w:val="24"/>
        </w:rPr>
        <w:t>32, litra a</w:t>
      </w:r>
      <w:r w:rsidRPr="00796736">
        <w:rPr>
          <w:rFonts w:ascii="Times New Roman" w:eastAsia="Times New Roman" w:hAnsi="Times New Roman" w:cs="Times New Roman"/>
          <w:sz w:val="24"/>
          <w:szCs w:val="24"/>
          <w:lang w:eastAsia="da-DK"/>
        </w:rPr>
        <w:t>, at nedlægge sit hverv inden for en af Finanstilsynets fastsat frist.</w:t>
      </w:r>
    </w:p>
    <w:p w14:paraId="55D23F9A" w14:textId="29367992"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kan således pålægge et medlem af bestyrelsen i en valutavekslingsvirksomhed, jf.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_Ref232592818 \r \h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2</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nr. 11, </w:t>
      </w:r>
      <w:r w:rsidRPr="00796736">
        <w:rPr>
          <w:rFonts w:ascii="Times New Roman" w:hAnsi="Times New Roman" w:cs="Times New Roman"/>
          <w:sz w:val="24"/>
          <w:szCs w:val="24"/>
        </w:rPr>
        <w:t xml:space="preserve">en crowdfundingformidler, jf.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_Ref232592818 \r \h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2</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nr. 14,</w:t>
      </w:r>
      <w:r w:rsidRPr="00796736">
        <w:rPr>
          <w:rFonts w:ascii="Times New Roman" w:hAnsi="Times New Roman" w:cs="Times New Roman"/>
          <w:sz w:val="24"/>
          <w:szCs w:val="24"/>
        </w:rPr>
        <w:t xml:space="preserve"> et finansielt holdingselskab, jf.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_Ref232592818 \r \h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2</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nr. 19, </w:t>
      </w:r>
      <w:r w:rsidRPr="00796736">
        <w:rPr>
          <w:rFonts w:ascii="Times New Roman" w:hAnsi="Times New Roman" w:cs="Times New Roman"/>
          <w:sz w:val="24"/>
          <w:szCs w:val="24"/>
        </w:rPr>
        <w:t xml:space="preserve">eller et ikkefinansielt holdingselskab, jf.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_Ref232592818 \r \h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2</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nr. 32, litra a,</w:t>
      </w:r>
      <w:r w:rsidRPr="00796736">
        <w:rPr>
          <w:rFonts w:ascii="Times New Roman" w:hAnsi="Times New Roman" w:cs="Times New Roman"/>
          <w:sz w:val="24"/>
          <w:szCs w:val="24"/>
        </w:rPr>
        <w:t xml:space="preserve"> at fratræde sit hverv, hvis Finanstilsynet vurderer, at vedkommende ikke kan varetage sit hverv som følge af manglende efterlevelse af kravene om egnethed og hæderlighed i lovforslagets </w:t>
      </w:r>
      <w:r w:rsidR="00172BA4" w:rsidRPr="00796736">
        <w:rPr>
          <w:rFonts w:ascii="Times New Roman" w:eastAsia="Calibri" w:hAnsi="Times New Roman" w:cs="Times New Roman"/>
          <w:iCs/>
          <w:sz w:val="24"/>
          <w:szCs w:val="24"/>
        </w:rPr>
        <w:fldChar w:fldCharType="begin"/>
      </w:r>
      <w:r w:rsidR="00172BA4" w:rsidRPr="00796736">
        <w:rPr>
          <w:rFonts w:ascii="Times New Roman" w:eastAsia="Calibri" w:hAnsi="Times New Roman" w:cs="Times New Roman"/>
          <w:iCs/>
          <w:sz w:val="24"/>
          <w:szCs w:val="24"/>
        </w:rPr>
        <w:instrText xml:space="preserve"> REF _Ref232596960 \r \h  \* MERGEFORMAT </w:instrText>
      </w:r>
      <w:r w:rsidR="00172BA4" w:rsidRPr="00796736">
        <w:rPr>
          <w:rFonts w:ascii="Times New Roman" w:eastAsia="Calibri" w:hAnsi="Times New Roman" w:cs="Times New Roman"/>
          <w:iCs/>
          <w:sz w:val="24"/>
          <w:szCs w:val="24"/>
        </w:rPr>
      </w:r>
      <w:r w:rsidR="00172BA4"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00172BA4" w:rsidRPr="00796736">
        <w:rPr>
          <w:rFonts w:ascii="Times New Roman" w:eastAsia="Calibri" w:hAnsi="Times New Roman" w:cs="Times New Roman"/>
          <w:iCs/>
          <w:sz w:val="24"/>
          <w:szCs w:val="24"/>
        </w:rPr>
        <w:fldChar w:fldCharType="end"/>
      </w:r>
      <w:r w:rsidRPr="00796736">
        <w:rPr>
          <w:rFonts w:ascii="Times New Roman" w:hAnsi="Times New Roman" w:cs="Times New Roman"/>
          <w:sz w:val="24"/>
          <w:szCs w:val="24"/>
        </w:rPr>
        <w:t>, stk. 1</w:t>
      </w:r>
      <w:r w:rsidR="00DE7A87" w:rsidRPr="00796736">
        <w:rPr>
          <w:rFonts w:ascii="Times New Roman" w:hAnsi="Times New Roman" w:cs="Times New Roman"/>
          <w:sz w:val="24"/>
          <w:szCs w:val="24"/>
        </w:rPr>
        <w:t xml:space="preserve"> og </w:t>
      </w:r>
      <w:r w:rsidR="00172BA4" w:rsidRPr="00796736">
        <w:rPr>
          <w:rFonts w:ascii="Times New Roman" w:hAnsi="Times New Roman" w:cs="Times New Roman"/>
          <w:sz w:val="24"/>
          <w:szCs w:val="24"/>
        </w:rPr>
        <w:t>3</w:t>
      </w:r>
      <w:r w:rsidRPr="00796736">
        <w:rPr>
          <w:rFonts w:ascii="Times New Roman" w:hAnsi="Times New Roman" w:cs="Times New Roman"/>
          <w:sz w:val="24"/>
          <w:szCs w:val="24"/>
        </w:rPr>
        <w:t>.</w:t>
      </w:r>
    </w:p>
    <w:p w14:paraId="7DDED5E0" w14:textId="77777777" w:rsidR="0099753D" w:rsidRPr="00796736" w:rsidRDefault="0099753D" w:rsidP="00A802A5">
      <w:pPr>
        <w:spacing w:line="360" w:lineRule="auto"/>
        <w:rPr>
          <w:rFonts w:ascii="Times New Roman" w:hAnsi="Times New Roman" w:cs="Times New Roman"/>
          <w:sz w:val="24"/>
          <w:szCs w:val="24"/>
        </w:rPr>
      </w:pPr>
    </w:p>
    <w:p w14:paraId="68BFF7E5" w14:textId="27FDBA4C" w:rsidR="0099753D" w:rsidRPr="00796736" w:rsidRDefault="0099753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forudsættes for anvendelsen af bestemmelsen, at det pågældende bestyrelsesmedlem ikke kan bestride hvervet som følge af manglende opfyldelse af de foreslåede hæderlighedskrav i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_Ref232596808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45</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1, og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_Ref232596960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w:t>
      </w:r>
      <w:r w:rsidR="00DE7A87" w:rsidRPr="00796736">
        <w:rPr>
          <w:rFonts w:ascii="Times New Roman" w:eastAsia="Calibri" w:hAnsi="Times New Roman" w:cs="Times New Roman"/>
          <w:iCs/>
          <w:sz w:val="24"/>
          <w:szCs w:val="24"/>
        </w:rPr>
        <w:t xml:space="preserve"> og 3</w:t>
      </w:r>
      <w:r w:rsidRPr="00796736">
        <w:rPr>
          <w:rFonts w:ascii="Times New Roman" w:eastAsia="Calibri" w:hAnsi="Times New Roman" w:cs="Times New Roman"/>
          <w:sz w:val="24"/>
          <w:szCs w:val="24"/>
        </w:rPr>
        <w:t>. Dette indebærer blandt andet, at vedkommende ikke må være pålagt strafansvar for overtrædelse af straffeloven, den finansielle lovgivning eller anden relevant lovgivning, hvis overtrædelsen indebærer risiko for, at vedkommende ikke kan varetage sit hverv eller sin stilling på betryggende måde. Endvidere må bestyrelsesmedlemmet ikke have indgivet begæring om eller være under rekonstruktionsbehandling, konkurs eller gældssanering. Bestemmelsen kan også finde anvendelse, hvis vedkommende har udvist en sådan adfærd, at der er grund til at antage, at vedkommende ikke vil varetage hvervet eller stillingen på forsvarlig måde.</w:t>
      </w:r>
    </w:p>
    <w:p w14:paraId="27960068" w14:textId="77777777" w:rsidR="0099753D" w:rsidRPr="00796736" w:rsidRDefault="0099753D" w:rsidP="00A802A5">
      <w:pPr>
        <w:spacing w:line="360" w:lineRule="auto"/>
        <w:rPr>
          <w:rFonts w:ascii="Times New Roman" w:hAnsi="Times New Roman" w:cs="Times New Roman"/>
          <w:sz w:val="24"/>
          <w:szCs w:val="24"/>
        </w:rPr>
      </w:pPr>
    </w:p>
    <w:p w14:paraId="409A650E" w14:textId="77777777" w:rsidR="0099753D" w:rsidRPr="00796736" w:rsidRDefault="0099753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Foranstaltningen gennemføres i praksis ved, at Finanstilsynet udsteder et påbud, hvorefter den pågældende inden for en af Finanstilsynet fastsat frist skal have nedlagt sit hverv midlertidigt.</w:t>
      </w:r>
    </w:p>
    <w:p w14:paraId="7E23AAAA"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forventningen, at virksomheden selv træffer foranstaltninger over det bestyrelsesmedlem, der ikke længere viser sig at være egnet og hæderlig til at bestride stillingen eller hvervet. Finanstilsynets indgrebsmuligheder skal derfor alene anvendes i de tilfælde, hvor virksomheden ikke selv har afsat den pågældende direktør eller bestyrelsesmedlem.</w:t>
      </w:r>
    </w:p>
    <w:p w14:paraId="39574122" w14:textId="77777777" w:rsidR="0099753D" w:rsidRPr="00796736" w:rsidRDefault="0099753D" w:rsidP="00A802A5">
      <w:pPr>
        <w:spacing w:line="360" w:lineRule="auto"/>
        <w:rPr>
          <w:rFonts w:ascii="Times New Roman" w:hAnsi="Times New Roman" w:cs="Times New Roman"/>
          <w:sz w:val="24"/>
          <w:szCs w:val="24"/>
        </w:rPr>
      </w:pPr>
    </w:p>
    <w:p w14:paraId="636A751D" w14:textId="07BD4065"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Inden Finanstilsynet påbyder et bestyrelsesmedlem at nedlægge sit hverv midlertidigt, skal der i henhold til reglerne i forvaltningsloven foretages en partshøring af virksomheden og af den, som påbuddet retter sig mod. I denne fase vil virksomheden have mulighed for at træffe de nødvendige foranstaltninger i anledning af Finanstilsynets vurdering. Forinden Finanstilsynet træffer afgørelse i sagen om påbuddet, forelægges spørgsmålet for Finanstilsynets bestyrelse, som i medfør af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_Ref232597084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jf. § 345, stk. 12, nr. 4, i lov om finansiel virksomhed, træffer beslutning om reaktioner i sager af principiel karakter og i sager, der har videregående betydelige følger.</w:t>
      </w:r>
    </w:p>
    <w:p w14:paraId="061BC97B" w14:textId="77777777" w:rsidR="0099753D" w:rsidRPr="00796736" w:rsidRDefault="0099753D" w:rsidP="00A802A5">
      <w:pPr>
        <w:spacing w:line="360" w:lineRule="auto"/>
        <w:rPr>
          <w:rFonts w:ascii="Times New Roman" w:hAnsi="Times New Roman" w:cs="Times New Roman"/>
          <w:sz w:val="24"/>
          <w:szCs w:val="24"/>
        </w:rPr>
      </w:pPr>
    </w:p>
    <w:p w14:paraId="730D3565" w14:textId="24CABEC4"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Efterlever bestyrelsesmedlemmet ikke et påbud udstedt af Finanstilsynet, kan vedkommende straffes med bøde, jf. </w:t>
      </w:r>
      <w:r w:rsidR="00FF733E">
        <w:rPr>
          <w:rFonts w:ascii="Times New Roman" w:hAnsi="Times New Roman" w:cs="Times New Roman"/>
          <w:sz w:val="24"/>
          <w:szCs w:val="24"/>
        </w:rPr>
        <w:fldChar w:fldCharType="begin"/>
      </w:r>
      <w:r w:rsidR="00FF733E">
        <w:rPr>
          <w:rFonts w:ascii="Times New Roman" w:hAnsi="Times New Roman" w:cs="Times New Roman"/>
          <w:sz w:val="24"/>
          <w:szCs w:val="24"/>
        </w:rPr>
        <w:instrText xml:space="preserve"> REF _Ref242963797 \n \h </w:instrText>
      </w:r>
      <w:r w:rsidR="00CB248D">
        <w:rPr>
          <w:rFonts w:ascii="Times New Roman" w:hAnsi="Times New Roman" w:cs="Times New Roman"/>
          <w:sz w:val="24"/>
          <w:szCs w:val="24"/>
        </w:rPr>
        <w:instrText xml:space="preserve"> \* MERGEFORMAT </w:instrText>
      </w:r>
      <w:r w:rsidR="00FF733E">
        <w:rPr>
          <w:rFonts w:ascii="Times New Roman" w:hAnsi="Times New Roman" w:cs="Times New Roman"/>
          <w:sz w:val="24"/>
          <w:szCs w:val="24"/>
        </w:rPr>
      </w:r>
      <w:r w:rsidR="00FF733E">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FF733E">
        <w:rPr>
          <w:rFonts w:ascii="Times New Roman" w:hAnsi="Times New Roman" w:cs="Times New Roman"/>
          <w:sz w:val="24"/>
          <w:szCs w:val="24"/>
        </w:rPr>
        <w:fldChar w:fldCharType="end"/>
      </w:r>
      <w:r w:rsidR="00FF733E">
        <w:rPr>
          <w:rFonts w:ascii="Times New Roman" w:hAnsi="Times New Roman" w:cs="Times New Roman"/>
          <w:sz w:val="24"/>
          <w:szCs w:val="24"/>
        </w:rPr>
        <w:t xml:space="preserve">, stk. 3, </w:t>
      </w:r>
      <w:r w:rsidRPr="00796736">
        <w:rPr>
          <w:rFonts w:ascii="Times New Roman" w:hAnsi="Times New Roman" w:cs="Times New Roman"/>
          <w:sz w:val="24"/>
          <w:szCs w:val="24"/>
        </w:rPr>
        <w:t>som foreslås med dette lovforslag.</w:t>
      </w:r>
    </w:p>
    <w:p w14:paraId="5CC648FE" w14:textId="77777777" w:rsidR="0099753D" w:rsidRPr="00796736" w:rsidRDefault="0099753D" w:rsidP="00A802A5">
      <w:pPr>
        <w:spacing w:line="360" w:lineRule="auto"/>
        <w:rPr>
          <w:rFonts w:ascii="Times New Roman" w:hAnsi="Times New Roman" w:cs="Times New Roman"/>
          <w:sz w:val="24"/>
          <w:szCs w:val="24"/>
        </w:rPr>
      </w:pPr>
    </w:p>
    <w:p w14:paraId="3DEB284B" w14:textId="77777777" w:rsidR="0099753D" w:rsidRPr="00796736" w:rsidRDefault="0099753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Finanstilsynet skal ved fastsættelse af reaktioner efter denne lov, herunder ved anvendelse af påbud, tage hensyn til alle relevante omstændigheder, herunder de faktorer, der er nævnt i artikel 53, stk. 6, i 6. hvidvaskdirektiv. Dette omfatter blandt andet, at Finanstilsynet, hvor det er relevant, skal tage hensyn til overtrædelsens grovhed og varighed, antallet af gentagelser samt graden af samarbejde med Finanstilsynet.</w:t>
      </w:r>
    </w:p>
    <w:p w14:paraId="01758DEE" w14:textId="77777777" w:rsidR="0099753D" w:rsidRPr="00796736" w:rsidRDefault="0099753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Finanstilsynets reaktioner skal være effektive, stå i rimeligt forhold til overtrædelsen og have en afskrækkende virkning.</w:t>
      </w:r>
    </w:p>
    <w:p w14:paraId="5BB5A6A9" w14:textId="0AB67BC0" w:rsidR="00172BA4" w:rsidRPr="00796736" w:rsidRDefault="00172BA4"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artikel 53, stk. 10</w:t>
      </w:r>
      <w:r w:rsidR="00FF733E">
        <w:rPr>
          <w:rFonts w:ascii="Times New Roman" w:eastAsia="Calibri" w:hAnsi="Times New Roman" w:cs="Times New Roman"/>
          <w:iCs/>
          <w:sz w:val="24"/>
          <w:szCs w:val="24"/>
        </w:rPr>
        <w:t>, i 6. hvidvaskdirektiv</w:t>
      </w:r>
      <w:r w:rsidRPr="00796736">
        <w:rPr>
          <w:rFonts w:ascii="Times New Roman" w:eastAsia="Calibri" w:hAnsi="Times New Roman" w:cs="Times New Roman"/>
          <w:iCs/>
          <w:sz w:val="24"/>
          <w:szCs w:val="24"/>
        </w:rPr>
        <w:t>.</w:t>
      </w:r>
    </w:p>
    <w:p w14:paraId="4B40C7C5" w14:textId="77777777" w:rsidR="00DE7A87" w:rsidRPr="00796736" w:rsidRDefault="00DE7A87" w:rsidP="00A802A5">
      <w:pPr>
        <w:spacing w:line="360" w:lineRule="auto"/>
        <w:rPr>
          <w:rFonts w:ascii="Times New Roman" w:eastAsia="Calibri" w:hAnsi="Times New Roman" w:cs="Times New Roman"/>
          <w:iCs/>
          <w:sz w:val="24"/>
          <w:szCs w:val="24"/>
        </w:rPr>
      </w:pPr>
    </w:p>
    <w:p w14:paraId="4C0EFA30" w14:textId="6A36D344"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2,</w:t>
      </w:r>
      <w:r w:rsidRPr="00796736">
        <w:rPr>
          <w:rFonts w:ascii="Times New Roman" w:eastAsia="Calibri" w:hAnsi="Times New Roman" w:cs="Times New Roman"/>
          <w:iCs/>
          <w:sz w:val="24"/>
          <w:szCs w:val="24"/>
        </w:rPr>
        <w:t xml:space="preserve"> </w:t>
      </w:r>
      <w:r w:rsidRPr="00796736">
        <w:rPr>
          <w:rFonts w:ascii="Times New Roman" w:hAnsi="Times New Roman" w:cs="Times New Roman"/>
          <w:sz w:val="24"/>
          <w:szCs w:val="24"/>
        </w:rPr>
        <w:t xml:space="preserve">at </w:t>
      </w:r>
      <w:r w:rsidRPr="00796736">
        <w:rPr>
          <w:rFonts w:ascii="Times New Roman" w:eastAsia="Calibri" w:hAnsi="Times New Roman" w:cs="Times New Roman"/>
          <w:iCs/>
          <w:sz w:val="24"/>
          <w:szCs w:val="24"/>
        </w:rPr>
        <w:t xml:space="preserve">Finanstilsynet kan påbyde en virksomhed, som nævnt i § 2, nr. 11 og 19, at midlertidigt at afsætte en person fra den øverste ledelse, når der er rejst tiltale mod den pågældende i en straffesag om overtrædelse af straffeloven, den finansielle lovgivning eller anden relevant lovgivning, indtil straffesagen er afgjort, hvis domfældelse vil indebære, at personen fra den øverste ledelse, herunder direktør eller medlem af bestyrelsen, ikke opfylder kravene i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_Ref232596808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45</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 nr. 3</w:t>
      </w:r>
      <w:r w:rsidR="00722E27">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t xml:space="preserve"> samt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_Ref232596960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w:t>
      </w:r>
      <w:r w:rsidR="00FF733E">
        <w:rPr>
          <w:rFonts w:ascii="Times New Roman" w:eastAsia="Calibri" w:hAnsi="Times New Roman" w:cs="Times New Roman"/>
          <w:iCs/>
          <w:sz w:val="24"/>
          <w:szCs w:val="24"/>
        </w:rPr>
        <w:t xml:space="preserve"> og 3</w:t>
      </w:r>
      <w:r w:rsidRPr="00796736">
        <w:rPr>
          <w:rFonts w:ascii="Times New Roman" w:eastAsia="Calibri" w:hAnsi="Times New Roman" w:cs="Times New Roman"/>
          <w:iCs/>
          <w:sz w:val="24"/>
          <w:szCs w:val="24"/>
        </w:rPr>
        <w:t xml:space="preserve">. </w:t>
      </w:r>
      <w:r w:rsidRPr="00796736">
        <w:rPr>
          <w:rFonts w:ascii="Times New Roman" w:hAnsi="Times New Roman" w:cs="Times New Roman"/>
          <w:sz w:val="24"/>
          <w:szCs w:val="24"/>
        </w:rPr>
        <w:t>Finanstilsynet kan under de samme betingelser som i 1. pkt. midlertidigt påbyde et medlem af bestyrelsen i en sådan virksomhed at nedlægge sit hverv inden for en af Finanstilsynet fastsat frist. Finanstilsynet fastsætter en frist for efterlevelse af påbuddet</w:t>
      </w:r>
      <w:r w:rsidRPr="00796736">
        <w:rPr>
          <w:rFonts w:ascii="Times New Roman" w:eastAsia="Calibri" w:hAnsi="Times New Roman" w:cs="Times New Roman"/>
          <w:iCs/>
          <w:sz w:val="24"/>
          <w:szCs w:val="24"/>
        </w:rPr>
        <w:t xml:space="preserve">. </w:t>
      </w:r>
    </w:p>
    <w:p w14:paraId="75A0D418" w14:textId="7C20BDAF"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sz w:val="24"/>
          <w:szCs w:val="24"/>
        </w:rPr>
        <w:t xml:space="preserve">Der henvises til definitionen af øverste ledelse i artikel 2, stk. 1, nr. 40, i </w:t>
      </w:r>
      <w:r w:rsidR="00505291" w:rsidRP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w:t>
      </w:r>
    </w:p>
    <w:p w14:paraId="35F59E58" w14:textId="29786207" w:rsidR="0099753D" w:rsidRPr="00796736" w:rsidRDefault="0099753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Finanstilsynet har mulighed for at på se om ledelsen i virksomheder nævnt i §</w:t>
      </w:r>
      <w:r w:rsidRPr="00796736">
        <w:rPr>
          <w:rFonts w:ascii="Times New Roman" w:eastAsia="Calibri" w:hAnsi="Times New Roman" w:cs="Times New Roman"/>
          <w:iCs/>
          <w:sz w:val="24"/>
          <w:szCs w:val="24"/>
        </w:rPr>
        <w:t xml:space="preserve"> 2</w:t>
      </w:r>
      <w:r w:rsidRPr="00796736">
        <w:rPr>
          <w:rFonts w:ascii="Times New Roman" w:hAnsi="Times New Roman" w:cs="Times New Roman"/>
          <w:sz w:val="24"/>
          <w:szCs w:val="24"/>
        </w:rPr>
        <w:t xml:space="preserve">, nr. 11 og 19, til enhver tid opfylder de krav, der stilles til egnethed og hæderlighed. Finanstilsynet kan med den foreslåede bestemmelse påbyde en virksomhed eller en person at afsætte en person fra den øverste ledelse, når der er rejst tiltale mod den pågældende i en straffesag om overtrædelse af straffeloven, den finansielle lovgivning eller anden relevant lovgivning. Dette gælder indtil straffesagen er afgjort, hvis en domfældelse vil medføre, at vedkommende ikke opfylder kravene i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_Ref232596808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45</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1, og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_Ref232596960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w:t>
      </w:r>
      <w:r w:rsidR="00172BA4" w:rsidRPr="00796736">
        <w:rPr>
          <w:rFonts w:ascii="Times New Roman" w:eastAsia="Calibri" w:hAnsi="Times New Roman" w:cs="Times New Roman"/>
          <w:iCs/>
          <w:sz w:val="24"/>
          <w:szCs w:val="24"/>
        </w:rPr>
        <w:t>3</w:t>
      </w:r>
      <w:r w:rsidRPr="00796736">
        <w:rPr>
          <w:rFonts w:ascii="Times New Roman" w:eastAsia="Calibri" w:hAnsi="Times New Roman" w:cs="Times New Roman"/>
          <w:iCs/>
          <w:sz w:val="24"/>
          <w:szCs w:val="24"/>
        </w:rPr>
        <w:t>.</w:t>
      </w:r>
    </w:p>
    <w:p w14:paraId="2AC8791A"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tager i de fleste tilfælde lang tid, inden et strafansvar bliver pålagt. Imidlertid tilsiger hensynet til virksomheden, kunderne og de almene samfundsinteresser, som ligger bag reglerne om egnethed og hæderlighed, at Finanstilsynet får mulighed for at reagere over for et ledelsesmedlem på et tidligere tidspunkt for at afværge risikoen for, at vedkommende påfører virksomheden skade. Finanstilsynets reaktion vil derfor ofte være påkrævet, så snart der er en bestyrket mistanke om, at det pågældende ledelsesmedlem har begået et strafbart forhold.</w:t>
      </w:r>
    </w:p>
    <w:p w14:paraId="67DA99D5" w14:textId="77777777" w:rsidR="0099753D" w:rsidRPr="00796736" w:rsidRDefault="0099753D" w:rsidP="00A802A5">
      <w:pPr>
        <w:spacing w:line="360" w:lineRule="auto"/>
        <w:rPr>
          <w:rFonts w:ascii="Times New Roman" w:hAnsi="Times New Roman" w:cs="Times New Roman"/>
          <w:sz w:val="24"/>
          <w:szCs w:val="24"/>
        </w:rPr>
      </w:pPr>
    </w:p>
    <w:p w14:paraId="484C73D8"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vurderingen af om der skal meddeles et midlertidigt påbud i medfør af stk. 2, skal Finanstilsynet afveje forseelsens grovhed og det konkrete behov for at fjerne vedkommende over for hensynet til den pågældendes retssikkerhed.</w:t>
      </w:r>
    </w:p>
    <w:p w14:paraId="3804FBC9" w14:textId="77777777" w:rsidR="0099753D" w:rsidRPr="00796736" w:rsidRDefault="0099753D" w:rsidP="00A802A5">
      <w:pPr>
        <w:spacing w:line="360" w:lineRule="auto"/>
        <w:rPr>
          <w:rFonts w:ascii="Times New Roman" w:hAnsi="Times New Roman" w:cs="Times New Roman"/>
          <w:sz w:val="24"/>
          <w:szCs w:val="24"/>
        </w:rPr>
      </w:pPr>
    </w:p>
    <w:p w14:paraId="323C3173"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endelige stillingtagen til, hvorvidt en person opfylder betingelserne for at være direktør eller bestyrelsesmedlem i en virksomhed i sager, hvor ledelsesmedlemmet midlertidigt er fjernet fra virksomhedens ledelse, forudsættes at finde sted i forbindelse med afgørelsen af straffesagen. Dette er dog ikke tilfældet, hvis der i forbindelse med straffesagen er sket rettighedsfrakendelse med hensyn til den eller de stillinger, hæderligheds- og egnethedsvurderingen angår. </w:t>
      </w:r>
    </w:p>
    <w:p w14:paraId="4A41E40A" w14:textId="77777777" w:rsidR="0099753D" w:rsidRPr="00796736" w:rsidRDefault="0099753D" w:rsidP="00A802A5">
      <w:pPr>
        <w:spacing w:line="360" w:lineRule="auto"/>
        <w:rPr>
          <w:rFonts w:ascii="Times New Roman" w:hAnsi="Times New Roman" w:cs="Times New Roman"/>
          <w:sz w:val="24"/>
          <w:szCs w:val="24"/>
        </w:rPr>
      </w:pPr>
    </w:p>
    <w:p w14:paraId="5CD6369D" w14:textId="77777777"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Finanstilsynet fastsætter en frist for efterlevelse af påbuddet, således at virksomheden får mulighed for at iværksætte de nødvendige tiltag inden for en rimelig tidsramme. Det er hensigten, at fristen fastsættes under hensyntagen til virksomhedens forhold og den konkrete situation.</w:t>
      </w:r>
    </w:p>
    <w:p w14:paraId="20F9FCDA" w14:textId="77777777"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Bestemmelsen omfatter også bestyrelsesmedlemmer, idet Finanstilsynet under samme betingelser kan påbyde et medlem af bestyrelsen at nedlægge sit hverv. Dette sikrer, at hele ledelsen i virksomheden er omfattet af reglerne, og at Finanstilsynet kan reagere, hvis der opstår tvivl om et bestyrelsesmedlems egnethed og hæderlighed som følge af en straffesag.</w:t>
      </w:r>
    </w:p>
    <w:p w14:paraId="31660C8A" w14:textId="77777777"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bemærkes, at bestemmelsen ikke forudsætter, at der er truffet endelig afgørelse i straffesagen, men alene at der er rejst tiltale, og at en eventuel domfældelse vil have betydning for opfyldelsen af kravene til ledelsen. Dette er begrundet i hensynet til at beskytte virksomhedens integritet og tilliden til den finansielle sektor.</w:t>
      </w:r>
    </w:p>
    <w:p w14:paraId="32FBDFB4" w14:textId="0970AC37" w:rsidR="0099753D" w:rsidRPr="00796736" w:rsidRDefault="0099753D" w:rsidP="00A802A5">
      <w:pPr>
        <w:spacing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Finanstilsynet</w:t>
      </w:r>
      <w:r w:rsidR="00722E27">
        <w:rPr>
          <w:rFonts w:ascii="Times New Roman" w:hAnsi="Times New Roman" w:cs="Times New Roman"/>
          <w:sz w:val="24"/>
          <w:szCs w:val="24"/>
        </w:rPr>
        <w:t xml:space="preserve"> </w:t>
      </w:r>
      <w:r w:rsidR="00722E27" w:rsidRPr="00796736">
        <w:rPr>
          <w:rFonts w:ascii="Times New Roman" w:hAnsi="Times New Roman" w:cs="Times New Roman"/>
          <w:sz w:val="24"/>
          <w:szCs w:val="24"/>
          <w:lang w:eastAsia="da-DK"/>
        </w:rPr>
        <w:t xml:space="preserve">i tilfælde, der er omfattet af </w:t>
      </w:r>
      <w:r w:rsidR="00722E27" w:rsidRPr="00796736">
        <w:rPr>
          <w:rFonts w:ascii="Times New Roman" w:hAnsi="Times New Roman" w:cs="Times New Roman"/>
          <w:sz w:val="24"/>
          <w:szCs w:val="24"/>
          <w:lang w:eastAsia="da-DK"/>
        </w:rPr>
        <w:fldChar w:fldCharType="begin"/>
      </w:r>
      <w:r w:rsidR="00722E27" w:rsidRPr="00796736">
        <w:rPr>
          <w:rFonts w:ascii="Times New Roman" w:hAnsi="Times New Roman" w:cs="Times New Roman"/>
          <w:sz w:val="24"/>
          <w:szCs w:val="24"/>
          <w:lang w:eastAsia="da-DK"/>
        </w:rPr>
        <w:instrText xml:space="preserve"> REF _Ref242814430 \r \h  \* MERGEFORMAT </w:instrText>
      </w:r>
      <w:r w:rsidR="00722E27" w:rsidRPr="00796736">
        <w:rPr>
          <w:rFonts w:ascii="Times New Roman" w:hAnsi="Times New Roman" w:cs="Times New Roman"/>
          <w:sz w:val="24"/>
          <w:szCs w:val="24"/>
          <w:lang w:eastAsia="da-DK"/>
        </w:rPr>
      </w:r>
      <w:r w:rsidR="00722E27"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722E27" w:rsidRPr="00796736">
        <w:rPr>
          <w:rFonts w:ascii="Times New Roman" w:hAnsi="Times New Roman" w:cs="Times New Roman"/>
          <w:sz w:val="24"/>
          <w:szCs w:val="24"/>
          <w:lang w:eastAsia="da-DK"/>
        </w:rPr>
        <w:fldChar w:fldCharType="end"/>
      </w:r>
      <w:r w:rsidR="00722E27" w:rsidRPr="00796736">
        <w:rPr>
          <w:rFonts w:ascii="Times New Roman" w:hAnsi="Times New Roman" w:cs="Times New Roman"/>
          <w:sz w:val="24"/>
          <w:szCs w:val="24"/>
          <w:lang w:eastAsia="da-DK"/>
        </w:rPr>
        <w:t>,</w:t>
      </w:r>
      <w:r w:rsidRPr="00796736">
        <w:rPr>
          <w:rFonts w:ascii="Times New Roman" w:hAnsi="Times New Roman" w:cs="Times New Roman"/>
          <w:sz w:val="24"/>
          <w:szCs w:val="24"/>
        </w:rPr>
        <w:t xml:space="preserve"> </w:t>
      </w:r>
      <w:r w:rsidRPr="00796736">
        <w:rPr>
          <w:rFonts w:ascii="Times New Roman" w:eastAsia="Calibri" w:hAnsi="Times New Roman" w:cs="Times New Roman"/>
          <w:iCs/>
          <w:sz w:val="24"/>
          <w:szCs w:val="24"/>
        </w:rPr>
        <w:t xml:space="preserve">kan påbyde en virksomhed, som nævnt i § 2, nr. 11 og 19, at midlertidigt afsætte en person fra den øverste ledelse, </w:t>
      </w:r>
      <w:r w:rsidR="00505291" w:rsidRPr="00796736">
        <w:rPr>
          <w:rFonts w:ascii="Times New Roman" w:eastAsia="Calibri" w:hAnsi="Times New Roman" w:cs="Times New Roman"/>
          <w:iCs/>
          <w:sz w:val="24"/>
          <w:szCs w:val="24"/>
        </w:rPr>
        <w:t>hvis</w:t>
      </w:r>
      <w:r w:rsidRPr="00796736">
        <w:rPr>
          <w:rFonts w:ascii="Times New Roman" w:eastAsia="Calibri" w:hAnsi="Times New Roman" w:cs="Times New Roman"/>
          <w:iCs/>
          <w:sz w:val="24"/>
          <w:szCs w:val="24"/>
        </w:rPr>
        <w:t xml:space="preserve"> vedkommende ikke besidder den viden og ekspertise, der er nødvendig for at bestride stillingen. </w:t>
      </w:r>
      <w:r w:rsidRPr="00796736">
        <w:rPr>
          <w:rFonts w:ascii="Times New Roman" w:hAnsi="Times New Roman" w:cs="Times New Roman"/>
          <w:sz w:val="24"/>
          <w:szCs w:val="24"/>
        </w:rPr>
        <w:t xml:space="preserve">Finanstilsynet kan under de samme betingelser som i 1. pkt. </w:t>
      </w:r>
      <w:r w:rsidRPr="00796736">
        <w:rPr>
          <w:rFonts w:ascii="Times New Roman" w:eastAsia="Calibri" w:hAnsi="Times New Roman" w:cs="Times New Roman"/>
          <w:iCs/>
          <w:sz w:val="24"/>
          <w:szCs w:val="24"/>
        </w:rPr>
        <w:t xml:space="preserve">midlertidigt </w:t>
      </w:r>
      <w:r w:rsidRPr="00796736">
        <w:rPr>
          <w:rFonts w:ascii="Times New Roman" w:hAnsi="Times New Roman" w:cs="Times New Roman"/>
          <w:sz w:val="24"/>
          <w:szCs w:val="24"/>
        </w:rPr>
        <w:t>påbyde et medlem af bestyrelsen i en sådan virksomhed at nedlægge sit hverv inden for en af Finanstilsynet fastsat frist</w:t>
      </w:r>
      <w:r w:rsidRPr="00796736">
        <w:rPr>
          <w:rFonts w:ascii="Times New Roman" w:eastAsia="Calibri" w:hAnsi="Times New Roman" w:cs="Times New Roman"/>
          <w:iCs/>
          <w:sz w:val="24"/>
          <w:szCs w:val="24"/>
        </w:rPr>
        <w:t>. Finanstilsynet fastsætter en frist for efterlevelse af påbuddet.</w:t>
      </w:r>
    </w:p>
    <w:p w14:paraId="03C1C081" w14:textId="77777777" w:rsidR="0099753D" w:rsidRPr="00796736" w:rsidRDefault="0099753D" w:rsidP="00A802A5">
      <w:pPr>
        <w:spacing w:line="360" w:lineRule="auto"/>
        <w:rPr>
          <w:rFonts w:ascii="Times New Roman" w:hAnsi="Times New Roman" w:cs="Times New Roman"/>
          <w:sz w:val="24"/>
          <w:szCs w:val="24"/>
        </w:rPr>
      </w:pPr>
    </w:p>
    <w:p w14:paraId="3B02CC9C"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kan anvende bestemmelsen både i forbindelse med det løbende tilsyn og ved konkrete undersøgelser. For eksempel kan det under en inspektion af en valutavekslingsvirksomhed konstateres, at et medlem af ledelsen ikke har tilstrækkelig erfaring med risikostyring, hvilket vurderes som kritisk for virksomhedens drift. I sådanne tilfælde kan Finanstilsynet påbyde virksomheden at afsætte den pågældende person midlertidigt. </w:t>
      </w:r>
    </w:p>
    <w:p w14:paraId="75705BE7" w14:textId="77777777" w:rsidR="0099753D" w:rsidRPr="00796736" w:rsidRDefault="0099753D" w:rsidP="00A802A5">
      <w:pPr>
        <w:spacing w:line="360" w:lineRule="auto"/>
        <w:rPr>
          <w:rFonts w:ascii="Times New Roman" w:hAnsi="Times New Roman" w:cs="Times New Roman"/>
          <w:sz w:val="24"/>
          <w:szCs w:val="24"/>
        </w:rPr>
      </w:pPr>
    </w:p>
    <w:p w14:paraId="7282A7F3"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Ligeledes kan det i forbindelse med en inspektion af et finansielt holdingselskab med blandet aktivitet vise sig, at en ledelsesperson ikke har den nødvendige viden om relevante lovgivningskrav, hvilket kan medføre manglende overholdelse af reglerne. Finanstilsynet kan derfor udstede et påbud om midlertidig afsættelse.</w:t>
      </w:r>
    </w:p>
    <w:p w14:paraId="1971F902" w14:textId="77777777" w:rsidR="0099753D" w:rsidRPr="00796736" w:rsidRDefault="0099753D" w:rsidP="00A802A5">
      <w:pPr>
        <w:spacing w:line="360" w:lineRule="auto"/>
        <w:rPr>
          <w:rFonts w:ascii="Times New Roman" w:hAnsi="Times New Roman" w:cs="Times New Roman"/>
          <w:sz w:val="24"/>
          <w:szCs w:val="24"/>
        </w:rPr>
      </w:pPr>
    </w:p>
    <w:p w14:paraId="446A9293"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kan være relevant i situationer, hvor en ledelsesperson har fået nye ansvarsområder, men ikke har opnået den nødvendige viden og ekspertise til at varetage disse. </w:t>
      </w:r>
    </w:p>
    <w:p w14:paraId="4785EADE" w14:textId="77777777" w:rsidR="0099753D" w:rsidRPr="00796736" w:rsidRDefault="0099753D" w:rsidP="00A802A5">
      <w:pPr>
        <w:spacing w:line="360" w:lineRule="auto"/>
        <w:rPr>
          <w:rFonts w:ascii="Times New Roman" w:hAnsi="Times New Roman" w:cs="Times New Roman"/>
          <w:sz w:val="24"/>
          <w:szCs w:val="24"/>
        </w:rPr>
      </w:pPr>
    </w:p>
    <w:p w14:paraId="77901BD7" w14:textId="77F34A31" w:rsidR="0099753D" w:rsidRPr="00796736" w:rsidRDefault="0099753D" w:rsidP="00A802A5">
      <w:pPr>
        <w:spacing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at</w:t>
      </w:r>
      <w:r w:rsidRPr="00796736">
        <w:rPr>
          <w:rFonts w:ascii="Times New Roman" w:eastAsia="Calibri" w:hAnsi="Times New Roman" w:cs="Times New Roman"/>
          <w:iCs/>
          <w:sz w:val="24"/>
          <w:szCs w:val="24"/>
        </w:rPr>
        <w:t xml:space="preserve"> Finanstilsynet </w:t>
      </w:r>
      <w:r w:rsidR="00722E27" w:rsidRPr="00796736">
        <w:rPr>
          <w:rFonts w:ascii="Times New Roman" w:hAnsi="Times New Roman" w:cs="Times New Roman"/>
          <w:sz w:val="24"/>
          <w:szCs w:val="24"/>
          <w:lang w:eastAsia="da-DK"/>
        </w:rPr>
        <w:t xml:space="preserve">i tilfælde, der er omfattet af </w:t>
      </w:r>
      <w:r w:rsidR="00722E27" w:rsidRPr="00796736">
        <w:rPr>
          <w:rFonts w:ascii="Times New Roman" w:hAnsi="Times New Roman" w:cs="Times New Roman"/>
          <w:sz w:val="24"/>
          <w:szCs w:val="24"/>
          <w:lang w:eastAsia="da-DK"/>
        </w:rPr>
        <w:fldChar w:fldCharType="begin"/>
      </w:r>
      <w:r w:rsidR="00722E27" w:rsidRPr="00796736">
        <w:rPr>
          <w:rFonts w:ascii="Times New Roman" w:hAnsi="Times New Roman" w:cs="Times New Roman"/>
          <w:sz w:val="24"/>
          <w:szCs w:val="24"/>
          <w:lang w:eastAsia="da-DK"/>
        </w:rPr>
        <w:instrText xml:space="preserve"> REF _Ref242814430 \r \h  \* MERGEFORMAT </w:instrText>
      </w:r>
      <w:r w:rsidR="00722E27" w:rsidRPr="00796736">
        <w:rPr>
          <w:rFonts w:ascii="Times New Roman" w:hAnsi="Times New Roman" w:cs="Times New Roman"/>
          <w:sz w:val="24"/>
          <w:szCs w:val="24"/>
          <w:lang w:eastAsia="da-DK"/>
        </w:rPr>
      </w:r>
      <w:r w:rsidR="00722E27"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62</w:t>
      </w:r>
      <w:r w:rsidR="00722E27" w:rsidRPr="00796736">
        <w:rPr>
          <w:rFonts w:ascii="Times New Roman" w:hAnsi="Times New Roman" w:cs="Times New Roman"/>
          <w:sz w:val="24"/>
          <w:szCs w:val="24"/>
          <w:lang w:eastAsia="da-DK"/>
        </w:rPr>
        <w:fldChar w:fldCharType="end"/>
      </w:r>
      <w:r w:rsidR="00722E27" w:rsidRPr="00796736">
        <w:rPr>
          <w:rFonts w:ascii="Times New Roman" w:hAnsi="Times New Roman" w:cs="Times New Roman"/>
          <w:sz w:val="24"/>
          <w:szCs w:val="24"/>
          <w:lang w:eastAsia="da-DK"/>
        </w:rPr>
        <w:t xml:space="preserve">, </w:t>
      </w:r>
      <w:r w:rsidRPr="00796736">
        <w:rPr>
          <w:rFonts w:ascii="Times New Roman" w:eastAsia="Calibri" w:hAnsi="Times New Roman" w:cs="Times New Roman"/>
          <w:iCs/>
          <w:sz w:val="24"/>
          <w:szCs w:val="24"/>
        </w:rPr>
        <w:t xml:space="preserve">kan påbyde virksomheder og personer, der er nævnt i § 2, nr. 1-19, </w:t>
      </w:r>
      <w:r w:rsidR="000624EC">
        <w:rPr>
          <w:rFonts w:ascii="Times New Roman" w:eastAsia="Calibri" w:hAnsi="Times New Roman" w:cs="Times New Roman"/>
          <w:iCs/>
          <w:sz w:val="24"/>
          <w:szCs w:val="24"/>
        </w:rPr>
        <w:t>og</w:t>
      </w:r>
      <w:r w:rsidRPr="00796736">
        <w:rPr>
          <w:rFonts w:ascii="Times New Roman" w:eastAsia="Calibri" w:hAnsi="Times New Roman" w:cs="Times New Roman"/>
          <w:iCs/>
          <w:sz w:val="24"/>
          <w:szCs w:val="24"/>
        </w:rPr>
        <w:t xml:space="preserve"> 32, litra a, at afsætte den person, der er udpeget i henhold til artikel 11, stk. 2, i </w:t>
      </w:r>
      <w:r w:rsidR="00505291" w:rsidRPr="00796736">
        <w:rPr>
          <w:rFonts w:ascii="Times New Roman" w:eastAsia="Calibri" w:hAnsi="Times New Roman" w:cs="Times New Roman"/>
          <w:iCs/>
          <w:sz w:val="24"/>
          <w:szCs w:val="24"/>
        </w:rPr>
        <w:t>hvidvaskforordningen</w:t>
      </w:r>
      <w:r w:rsidRPr="00796736">
        <w:rPr>
          <w:rFonts w:ascii="Times New Roman" w:eastAsia="Calibri" w:hAnsi="Times New Roman" w:cs="Times New Roman"/>
          <w:iCs/>
          <w:sz w:val="24"/>
          <w:szCs w:val="24"/>
        </w:rPr>
        <w:t>, og som ikke er omfattet af stk. 1, inden for en frist fastsat af Finanstilsynet, hvis personen efter artikel 11, stk. 2, ikke kan bestride stillingen.</w:t>
      </w:r>
    </w:p>
    <w:p w14:paraId="1BEB198C" w14:textId="77777777" w:rsidR="0099753D" w:rsidRPr="00796736" w:rsidRDefault="0099753D" w:rsidP="00A802A5">
      <w:pPr>
        <w:spacing w:line="360" w:lineRule="auto"/>
        <w:rPr>
          <w:rFonts w:ascii="Times New Roman" w:hAnsi="Times New Roman" w:cs="Times New Roman"/>
          <w:sz w:val="24"/>
          <w:szCs w:val="24"/>
        </w:rPr>
      </w:pPr>
    </w:p>
    <w:p w14:paraId="253FD6BE"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 51 a i hvidvaskloven.  </w:t>
      </w:r>
    </w:p>
    <w:p w14:paraId="1D1E0A6C" w14:textId="77777777" w:rsidR="0099753D" w:rsidRPr="00796736" w:rsidRDefault="0099753D" w:rsidP="00A802A5">
      <w:pPr>
        <w:spacing w:line="360" w:lineRule="auto"/>
        <w:rPr>
          <w:rFonts w:ascii="Times New Roman" w:hAnsi="Times New Roman" w:cs="Times New Roman"/>
          <w:sz w:val="24"/>
          <w:szCs w:val="24"/>
        </w:rPr>
      </w:pPr>
    </w:p>
    <w:p w14:paraId="24828B15"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implementerer artikel </w:t>
      </w:r>
      <w:r w:rsidRPr="00796736">
        <w:rPr>
          <w:rFonts w:ascii="Times New Roman" w:hAnsi="Times New Roman" w:cs="Times New Roman"/>
          <w:iCs/>
          <w:sz w:val="24"/>
          <w:szCs w:val="24"/>
        </w:rPr>
        <w:t xml:space="preserve">37, stk. 6, litra b, </w:t>
      </w:r>
      <w:r w:rsidRPr="00796736">
        <w:rPr>
          <w:rFonts w:ascii="Times New Roman" w:hAnsi="Times New Roman" w:cs="Times New Roman"/>
          <w:sz w:val="24"/>
          <w:szCs w:val="24"/>
        </w:rPr>
        <w:t>artikel</w:t>
      </w:r>
      <w:r w:rsidRPr="00796736">
        <w:rPr>
          <w:rFonts w:ascii="Times New Roman" w:hAnsi="Times New Roman" w:cs="Times New Roman"/>
          <w:iCs/>
          <w:sz w:val="24"/>
          <w:szCs w:val="24"/>
        </w:rPr>
        <w:t xml:space="preserve"> 53, stk. 2 og 6, og </w:t>
      </w:r>
      <w:r w:rsidRPr="00796736">
        <w:rPr>
          <w:rFonts w:ascii="Times New Roman" w:hAnsi="Times New Roman" w:cs="Times New Roman"/>
          <w:sz w:val="24"/>
          <w:szCs w:val="24"/>
        </w:rPr>
        <w:t>artikel 56, stk. 2, litra f og g, i 6. hvidvaskdirektiv.</w:t>
      </w:r>
    </w:p>
    <w:p w14:paraId="3F1E60CC" w14:textId="77777777" w:rsidR="0099753D" w:rsidRPr="00796736" w:rsidRDefault="0099753D" w:rsidP="00A802A5">
      <w:pPr>
        <w:spacing w:line="360" w:lineRule="auto"/>
        <w:rPr>
          <w:rFonts w:ascii="Times New Roman" w:hAnsi="Times New Roman" w:cs="Times New Roman"/>
          <w:sz w:val="24"/>
          <w:szCs w:val="24"/>
        </w:rPr>
      </w:pPr>
    </w:p>
    <w:p w14:paraId="0B74467B" w14:textId="2F0E186A"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Virksomheden skal selv gribe ind over for den person, der er udpeget i henhold til artikel 11, stk. 2, i </w:t>
      </w:r>
      <w:r w:rsidR="00505291"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der ikke længere har et godt omdømme, eller som har udvist en adfærd, der giver grund til at antage, at personen ikke længere vil varetage stillingen på en forsvarlig måde. Finanstilsynets indgrebsmuligheder skal derfor alene anvendes i de tilfælde, hvor virksomheden mod forventning ikke selv har afsat den person, der er udpeget i henhold til artikel 11, stk. 2, i </w:t>
      </w:r>
      <w:r w:rsidR="00505291"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I det tilfælde vil den pågældende virksomhed modtage et påbud om at afsætte den person, der er udpeget i henhold til artikel 11, stk. 2, i </w:t>
      </w:r>
      <w:r w:rsidR="00505291"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inden for en af Finanstilsynet fastsat frist.</w:t>
      </w:r>
    </w:p>
    <w:p w14:paraId="06C0A465" w14:textId="77777777" w:rsidR="0099753D" w:rsidRPr="00796736" w:rsidRDefault="0099753D" w:rsidP="00A802A5">
      <w:pPr>
        <w:spacing w:line="360" w:lineRule="auto"/>
        <w:rPr>
          <w:rFonts w:ascii="Times New Roman" w:hAnsi="Times New Roman" w:cs="Times New Roman"/>
          <w:sz w:val="24"/>
          <w:szCs w:val="24"/>
        </w:rPr>
      </w:pPr>
    </w:p>
    <w:p w14:paraId="276F63A6" w14:textId="3BBB82E4"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Efterlever en virksomhed ikke påbuddet, vil Finanstilsynet kunne inddrage virksomhedens tilladelse eller registrering som følge af manglende overholdelse af </w:t>
      </w:r>
      <w:r w:rsidR="00505291"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og denne lov.</w:t>
      </w:r>
    </w:p>
    <w:p w14:paraId="774EB08B" w14:textId="77777777" w:rsidR="0099753D" w:rsidRPr="00796736" w:rsidRDefault="0099753D" w:rsidP="00A802A5">
      <w:pPr>
        <w:spacing w:line="360" w:lineRule="auto"/>
        <w:rPr>
          <w:rFonts w:ascii="Times New Roman" w:hAnsi="Times New Roman" w:cs="Times New Roman"/>
          <w:sz w:val="24"/>
          <w:szCs w:val="24"/>
        </w:rPr>
      </w:pPr>
    </w:p>
    <w:p w14:paraId="20D7AB26" w14:textId="78C902DD"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vil desuden i henhold til</w:t>
      </w:r>
      <w:r w:rsidR="00CD3E4C">
        <w:rPr>
          <w:rFonts w:ascii="Times New Roman" w:hAnsi="Times New Roman" w:cs="Times New Roman"/>
          <w:sz w:val="24"/>
          <w:szCs w:val="24"/>
        </w:rPr>
        <w:t xml:space="preserve"> </w:t>
      </w:r>
      <w:r w:rsidR="00CD3E4C">
        <w:rPr>
          <w:rFonts w:ascii="Times New Roman" w:hAnsi="Times New Roman" w:cs="Times New Roman"/>
          <w:sz w:val="24"/>
          <w:szCs w:val="24"/>
        </w:rPr>
        <w:fldChar w:fldCharType="begin"/>
      </w:r>
      <w:r w:rsidR="00CD3E4C">
        <w:rPr>
          <w:rFonts w:ascii="Times New Roman" w:hAnsi="Times New Roman" w:cs="Times New Roman"/>
          <w:sz w:val="24"/>
          <w:szCs w:val="24"/>
        </w:rPr>
        <w:instrText xml:space="preserve"> REF _Ref244804875 \r \h </w:instrText>
      </w:r>
      <w:r w:rsidR="00CD3E4C">
        <w:rPr>
          <w:rFonts w:ascii="Times New Roman" w:hAnsi="Times New Roman" w:cs="Times New Roman"/>
          <w:sz w:val="24"/>
          <w:szCs w:val="24"/>
        </w:rPr>
      </w:r>
      <w:r w:rsidR="00CD3E4C">
        <w:rPr>
          <w:rFonts w:ascii="Times New Roman" w:hAnsi="Times New Roman" w:cs="Times New Roman"/>
          <w:sz w:val="24"/>
          <w:szCs w:val="24"/>
        </w:rPr>
        <w:fldChar w:fldCharType="separate"/>
      </w:r>
      <w:r w:rsidR="008F29E5">
        <w:rPr>
          <w:rFonts w:ascii="Times New Roman" w:hAnsi="Times New Roman" w:cs="Times New Roman"/>
          <w:sz w:val="24"/>
          <w:szCs w:val="24"/>
        </w:rPr>
        <w:t>§ 135</w:t>
      </w:r>
      <w:r w:rsidR="00CD3E4C">
        <w:rPr>
          <w:rFonts w:ascii="Times New Roman" w:hAnsi="Times New Roman" w:cs="Times New Roman"/>
          <w:sz w:val="24"/>
          <w:szCs w:val="24"/>
        </w:rPr>
        <w:fldChar w:fldCharType="end"/>
      </w:r>
      <w:r w:rsidR="00172BA4"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kunne pålægge daglige eller ugentlige bøder, hvis virksomheden ikke efterlever påbuddet. Bøderne anses for at være et bedre tvangsmiddel til at sikre et hurtigt, effektivt og mindre indgribende indgreb end muligheden for at inddrage en virksomheds tilladelse. Muligheden for at inddrage en tilladelse vil som udgangspunkt kun finde anvendelse i særlige situationer, hvor alle andre indgrebsmuligheder er udtømte. En anden indgrebsmulighed vil være påbud om afsættelse af direktøren i en finansiel virksomhed.</w:t>
      </w:r>
    </w:p>
    <w:p w14:paraId="0CCDA4F4" w14:textId="77777777" w:rsidR="0099753D" w:rsidRPr="00796736" w:rsidRDefault="0099753D" w:rsidP="00A802A5">
      <w:pPr>
        <w:spacing w:line="360" w:lineRule="auto"/>
        <w:rPr>
          <w:rFonts w:ascii="Times New Roman" w:hAnsi="Times New Roman" w:cs="Times New Roman"/>
          <w:sz w:val="24"/>
          <w:szCs w:val="24"/>
        </w:rPr>
      </w:pPr>
    </w:p>
    <w:p w14:paraId="483DD771" w14:textId="74ABB800"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5,</w:t>
      </w:r>
      <w:r w:rsidRPr="00796736">
        <w:rPr>
          <w:rFonts w:ascii="Times New Roman" w:eastAsia="Calibri" w:hAnsi="Times New Roman" w:cs="Times New Roman"/>
          <w:iCs/>
          <w:sz w:val="24"/>
          <w:szCs w:val="24"/>
        </w:rPr>
        <w:t> at varigheden af påbud meddelt efter stk. 1-</w:t>
      </w:r>
      <w:r w:rsidR="00722E27">
        <w:rPr>
          <w:rFonts w:ascii="Times New Roman" w:eastAsia="Calibri" w:hAnsi="Times New Roman" w:cs="Times New Roman"/>
          <w:iCs/>
          <w:sz w:val="24"/>
          <w:szCs w:val="24"/>
        </w:rPr>
        <w:t>4</w:t>
      </w:r>
      <w:r w:rsidRPr="00796736">
        <w:rPr>
          <w:rFonts w:ascii="Times New Roman" w:eastAsia="Calibri" w:hAnsi="Times New Roman" w:cs="Times New Roman"/>
          <w:iCs/>
          <w:sz w:val="24"/>
          <w:szCs w:val="24"/>
        </w:rPr>
        <w:t xml:space="preserve"> skal fremgå af påbuddet.</w:t>
      </w:r>
    </w:p>
    <w:p w14:paraId="077EE9BD"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Finanstilsynet som udgangspunkt ikke kan inddrage de forhold, der oprindeligt førte til påbuddet, i en ny vurdering, når varigheden udløber. Det betyder, at de forhold, der var afgørende for, at personen ikke opfyldte kravene til ledelse, som udgangspunkt ikke længere vil indgå i en eventuel ny vurdering efter udløbet af påbuddet. </w:t>
      </w:r>
    </w:p>
    <w:p w14:paraId="2AD9A96A" w14:textId="77777777" w:rsidR="0099753D" w:rsidRPr="00796736" w:rsidRDefault="0099753D" w:rsidP="00A802A5">
      <w:pPr>
        <w:spacing w:line="360" w:lineRule="auto"/>
        <w:rPr>
          <w:rFonts w:ascii="Times New Roman" w:hAnsi="Times New Roman" w:cs="Times New Roman"/>
          <w:sz w:val="24"/>
          <w:szCs w:val="24"/>
        </w:rPr>
      </w:pPr>
    </w:p>
    <w:p w14:paraId="7B45125C"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ændrer ikke ved, at personen efter udløbet af påbuddet på ny skal ansøge Finanstilsynet om godkendelse til en stilling eller et hverv omfattet af reglerne, hvis vedkommende ønsker at indtræde i ledelsen af en virksomhed omfattet af loven.</w:t>
      </w:r>
    </w:p>
    <w:p w14:paraId="23DE3EDF" w14:textId="77777777" w:rsidR="0099753D" w:rsidRPr="00796736" w:rsidRDefault="0099753D" w:rsidP="00A802A5">
      <w:pPr>
        <w:spacing w:line="360" w:lineRule="auto"/>
        <w:rPr>
          <w:rFonts w:ascii="Times New Roman" w:hAnsi="Times New Roman" w:cs="Times New Roman"/>
          <w:sz w:val="24"/>
          <w:szCs w:val="24"/>
        </w:rPr>
      </w:pPr>
    </w:p>
    <w:p w14:paraId="201EB6C6" w14:textId="6F1E72A9"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Varigheden af påbuddet fastsættes på baggrund af en konkret vurdering af de forhold, der ligger til grund for afgørelsen. Som udgangspunkt kan varigheden fastsættes til mellem et og fem år, men i særligt alvorlige tilfælde kan varigheden fastsættes til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Ved vurderingen af varighedens længde lægger Finanstilsynet blandt andet vægt på forholdets karakter og grovhed, om der er tale om gentagelsestilfælde, hvor lang tid der er gået siden forholdet, og personens adfærd siden. Gentagelsestilfælde vil have en skærpende betydning for varighedens længde, uanset om de kritisable forhold er af forskellig karakter.</w:t>
      </w:r>
    </w:p>
    <w:p w14:paraId="55568187" w14:textId="77777777" w:rsidR="0099753D" w:rsidRPr="00796736" w:rsidRDefault="0099753D" w:rsidP="00A802A5">
      <w:pPr>
        <w:spacing w:line="360" w:lineRule="auto"/>
        <w:rPr>
          <w:rFonts w:ascii="Times New Roman" w:hAnsi="Times New Roman" w:cs="Times New Roman"/>
          <w:sz w:val="24"/>
          <w:szCs w:val="24"/>
        </w:rPr>
      </w:pPr>
    </w:p>
    <w:p w14:paraId="72B3E956"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at fastsætte varigheden af påbuddet er at sikre gennemsigtighed og retssikkerhed for de personer, som påbuddet vedrører, samt at beskytte tilliden til den finansielle sektor. Hvis et ledelsesmedlem, der vurderes uegnet, umiddelbart efter påbuddets udløb kan indtræde i ledelsen af en anden finansiel virksomhed, kan det svække tilliden til sektoren. </w:t>
      </w:r>
    </w:p>
    <w:p w14:paraId="7B0B8B83" w14:textId="77777777" w:rsidR="0099753D" w:rsidRPr="00796736" w:rsidRDefault="0099753D" w:rsidP="00A802A5">
      <w:pPr>
        <w:spacing w:line="360" w:lineRule="auto"/>
        <w:rPr>
          <w:rFonts w:ascii="Times New Roman" w:hAnsi="Times New Roman" w:cs="Times New Roman"/>
          <w:sz w:val="24"/>
          <w:szCs w:val="24"/>
        </w:rPr>
      </w:pPr>
    </w:p>
    <w:p w14:paraId="04F429CA" w14:textId="1A31120D"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fastsættelsen af varigheden foretager Finanstilsynet en samlet vurdering, hvor der blandt andet tages hensyn til, om der er tale om strafbare eller administrative forhold, tillidsbrud eller gentagelsestilfælde. Flere mindre alvorlige overtrædelser i samme sag kan samlet set føre til en skærpelse af varigheden, ligesom særligt grove overtrædelser kan medføre, at varigheden fastsættes til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En sådan varighed vil dog kun blive anvendt i særligt alvorlige og sjældne tilfælde.</w:t>
      </w:r>
    </w:p>
    <w:p w14:paraId="25F3CDFA" w14:textId="77777777" w:rsidR="0099753D" w:rsidRPr="00796736" w:rsidRDefault="0099753D" w:rsidP="00A802A5">
      <w:pPr>
        <w:spacing w:line="360" w:lineRule="auto"/>
        <w:rPr>
          <w:rFonts w:ascii="Times New Roman" w:hAnsi="Times New Roman" w:cs="Times New Roman"/>
          <w:sz w:val="24"/>
          <w:szCs w:val="24"/>
        </w:rPr>
      </w:pPr>
    </w:p>
    <w:p w14:paraId="1531AE04"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udgangspunkt vil forhold, der ligger mere end ti år tilbage, ikke indgå i vurderingen, medmindre der er tale om særligt alvorlige forhold, gentagelser eller et samlet sagsforløb, hvor ældre forhold indgår sammen med nyere. Eksempler på alvorlige forhold kan være svindel, grov tilsidesættelse af god skik, forsætlig overtrædelse af hvidvasklovens regler eller medvirken til økonomisk kriminalitet.</w:t>
      </w:r>
    </w:p>
    <w:p w14:paraId="2DED79CA" w14:textId="77777777" w:rsidR="0099753D" w:rsidRPr="00796736" w:rsidRDefault="0099753D" w:rsidP="00A802A5">
      <w:pPr>
        <w:spacing w:line="360" w:lineRule="auto"/>
        <w:rPr>
          <w:rFonts w:ascii="Times New Roman" w:hAnsi="Times New Roman" w:cs="Times New Roman"/>
          <w:sz w:val="24"/>
          <w:szCs w:val="24"/>
        </w:rPr>
      </w:pPr>
    </w:p>
    <w:p w14:paraId="0A6605EA"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Begyndelsestidspunktet for varigheden regnes som udgangspunkt fra datoen for Finanstilsynets påbud. Hvis påbuddet er begrundet i konkurs, rekonstruktion eller gældssanering, regnes begyndelsestidspunktet fra afslutningen af disse forhold.</w:t>
      </w:r>
    </w:p>
    <w:p w14:paraId="06FD9915" w14:textId="77777777" w:rsidR="0099753D" w:rsidRPr="00796736" w:rsidRDefault="0099753D" w:rsidP="00A802A5">
      <w:pPr>
        <w:spacing w:line="360" w:lineRule="auto"/>
        <w:rPr>
          <w:rFonts w:ascii="Times New Roman" w:hAnsi="Times New Roman" w:cs="Times New Roman"/>
          <w:sz w:val="24"/>
          <w:szCs w:val="24"/>
        </w:rPr>
      </w:pPr>
    </w:p>
    <w:p w14:paraId="49E68183"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varighed på fem år vil som udgangspunkt blive fastsat, hvis der ikke er forhold, der taler for en kortere periode, eller hvis forholdenes karakter og omfang tilsiger, at en længere periode er nødvendig. En kortere varighed kan fastsættes, hvis der foreligger formildende omstændigheder, eller hvis forholdet ligger langt tilbage i tid og der ikke er tale om gentagelser.</w:t>
      </w:r>
    </w:p>
    <w:p w14:paraId="2B0351FD" w14:textId="77777777" w:rsidR="0099753D" w:rsidRPr="00796736" w:rsidRDefault="0099753D" w:rsidP="00A802A5">
      <w:pPr>
        <w:spacing w:line="360" w:lineRule="auto"/>
        <w:rPr>
          <w:rFonts w:ascii="Times New Roman" w:hAnsi="Times New Roman" w:cs="Times New Roman"/>
          <w:sz w:val="24"/>
          <w:szCs w:val="24"/>
        </w:rPr>
      </w:pPr>
    </w:p>
    <w:p w14:paraId="396D10C1" w14:textId="6751A0CD"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Varigheden kan fastsættes til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hvis der er tale om grove forhold eller alvorlige gentagelsestilfælde, der som udgangspunkt ikke ligger mere end ti år tilbage. Dette vil dog kun ske i særligt alvorlige tilfælde, eksempelvis ved grove overtrædelser af straffelovens berigelsesforbrydelser, betydelige ledelsesmæssige svigt, grov tilsidesættelse af god skik, forsætlig overtrædelse af hvidvasklovens krav eller medvirken til økonomisk kriminalitet.</w:t>
      </w:r>
    </w:p>
    <w:p w14:paraId="28289EA5" w14:textId="77777777" w:rsidR="0099753D" w:rsidRPr="00796736" w:rsidRDefault="0099753D" w:rsidP="00A802A5">
      <w:pPr>
        <w:spacing w:line="360" w:lineRule="auto"/>
        <w:rPr>
          <w:rFonts w:ascii="Times New Roman" w:eastAsia="Calibri" w:hAnsi="Times New Roman" w:cs="Times New Roman"/>
          <w:iCs/>
          <w:sz w:val="24"/>
          <w:szCs w:val="24"/>
        </w:rPr>
      </w:pPr>
    </w:p>
    <w:p w14:paraId="395AF450" w14:textId="77777777" w:rsidR="0099753D" w:rsidRPr="00796736" w:rsidRDefault="0099753D"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Overordnet gælder, at de forhold, der begrunder påbuddet, skal have en sådan alvorlig karakter, at det må anses for åbenbart, at hverken Finanstilsynet eller samfundet kan have tillid til, at den pågældende inden for en overskuelig fremtid vil kunne varetage hvervet som bestyrelsesmedlem eller direktør i en finansiel virksomhed.</w:t>
      </w:r>
    </w:p>
    <w:p w14:paraId="715B68C4" w14:textId="77777777" w:rsidR="0099753D" w:rsidRPr="00796736" w:rsidRDefault="0099753D" w:rsidP="00A802A5">
      <w:pPr>
        <w:spacing w:line="360" w:lineRule="auto"/>
        <w:rPr>
          <w:rFonts w:ascii="Times New Roman" w:hAnsi="Times New Roman" w:cs="Times New Roman"/>
          <w:sz w:val="24"/>
          <w:szCs w:val="24"/>
        </w:rPr>
      </w:pPr>
    </w:p>
    <w:p w14:paraId="5ACF20E3" w14:textId="77777777"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6</w:t>
      </w:r>
      <w:r w:rsidRPr="00796736">
        <w:rPr>
          <w:rFonts w:ascii="Times New Roman" w:eastAsia="Calibri" w:hAnsi="Times New Roman" w:cs="Times New Roman"/>
          <w:iCs/>
          <w:sz w:val="24"/>
          <w:szCs w:val="24"/>
        </w:rPr>
        <w:t xml:space="preserve">, at </w:t>
      </w:r>
      <w:r w:rsidRPr="00796736">
        <w:rPr>
          <w:rFonts w:ascii="Times New Roman" w:hAnsi="Times New Roman" w:cs="Times New Roman"/>
          <w:sz w:val="24"/>
          <w:szCs w:val="24"/>
          <w:lang w:eastAsia="da-DK"/>
        </w:rPr>
        <w:t xml:space="preserve">påbud meddelt efter stk. 1-4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den pågældende direktør eller det pågældende bestyrelsesmedlem under sagens behandling kan opretholde sit hverv eller sin stilling. Finanstilsynet indbringer sagen for domstolene inden 4 uger efter modtagelse af anmodning herom. Sagen anlægges i den borgerlige retsplejes former. </w:t>
      </w:r>
    </w:p>
    <w:p w14:paraId="572D7DB4" w14:textId="77777777"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Af retssikkerhedsmæssige hensyn skal det være muligt at få prøvet et påbud om afsættelse af en direktør eller nedlæggelse af et bestyrelsesmedlem ved domstolene. Det foreslås, at Finanstilsynet har ansvaret for at indbringe sagen for domstolene, og at dette skal ske inden for en frist på 4 uger. Det fremgår derfor af bestemmelsen, at virksomheden og den person, som afgørelsen vedrører, kan forlange, at Finanstilsynet indbringer sagen for domstolene. Anmodning om dette skal indgives til Finanstilsynet senest 4 uger efter udstedelsen af påbuddet, og sagen skal herefter anlægges inden 4 uger. Der stilles ikke formkrav til anmodningen.</w:t>
      </w:r>
    </w:p>
    <w:p w14:paraId="073C490C" w14:textId="77777777"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Som udgangspunkt tillægges en anmodning om domstolsprøvelse ikke opsættende virkning, da dette vil kunne hindre en løbende og effektiv håndhævelse af kravene om egnethed og hæderlighed. Retten har dog mulighed for, hvis det vurderes relevant at bestemme, at den pågældende kan opretholde sit hverv eller forblive i sin stilling, mens sagen verserer.</w:t>
      </w:r>
    </w:p>
    <w:p w14:paraId="2ECAFEFE" w14:textId="7FEEB1D6"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7</w:t>
      </w:r>
      <w:r w:rsidRPr="00796736">
        <w:rPr>
          <w:rFonts w:ascii="Times New Roman" w:eastAsia="Calibri" w:hAnsi="Times New Roman" w:cs="Times New Roman"/>
          <w:iCs/>
          <w:sz w:val="24"/>
          <w:szCs w:val="24"/>
        </w:rPr>
        <w:t xml:space="preserve">, at </w:t>
      </w:r>
      <w:r w:rsidRPr="00796736">
        <w:rPr>
          <w:rFonts w:ascii="Times New Roman" w:hAnsi="Times New Roman" w:cs="Times New Roman"/>
          <w:sz w:val="24"/>
          <w:szCs w:val="24"/>
        </w:rPr>
        <w:t xml:space="preserve">afgørelser i sager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som træffes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3, kan af virksomheden og af den person, som afgørelsen vedrører, forlanges indbragt for domstolene. Anmodning herom skal indgives til Finanstilsynet, inden 4 uger efter at afgørelsen er meddelt den pågældende. Anmodningen har ikke opsættende virkning for afgørelsen, men retten kan ved kendelse bestemme, at personen under sagens behandling kan indtræde i det hverv eller den stilling, som personen har søgt om godkendelse til. Finanstilsynet indbringer sagen for domstolene inden 4 uger efter modtagelse af anmodning herom. Sagen anlægges i den borgerlige retsplejes former.</w:t>
      </w:r>
    </w:p>
    <w:p w14:paraId="3CA52181"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indebærer en ret for sagens parter til at anmodede Finanstilsynet om at indbringe et afslag på en egnetheds- og hæderlighedsgodkendelse for domstolene. Det foreslåede om, at anmodning ikke har opsættende virkning, skal sikre en løbende og effektiv håndhævelse af kravene om egnethed og hæderlighed.</w:t>
      </w:r>
    </w:p>
    <w:p w14:paraId="2603136D" w14:textId="77777777" w:rsidR="0099753D" w:rsidRPr="00796736" w:rsidRDefault="0099753D" w:rsidP="00A802A5">
      <w:pPr>
        <w:spacing w:line="360" w:lineRule="auto"/>
        <w:rPr>
          <w:rFonts w:ascii="Times New Roman" w:hAnsi="Times New Roman" w:cs="Times New Roman"/>
          <w:sz w:val="24"/>
          <w:szCs w:val="24"/>
        </w:rPr>
      </w:pPr>
    </w:p>
    <w:p w14:paraId="5F0D13F6" w14:textId="77777777" w:rsidR="0099753D" w:rsidRPr="00796736" w:rsidRDefault="0099753D"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8, </w:t>
      </w:r>
      <w:r w:rsidRPr="00796736">
        <w:rPr>
          <w:rFonts w:ascii="Times New Roman" w:eastAsia="Calibri" w:hAnsi="Times New Roman" w:cs="Times New Roman"/>
          <w:iCs/>
          <w:sz w:val="24"/>
          <w:szCs w:val="24"/>
        </w:rPr>
        <w:t>at Finanstilsynet</w:t>
      </w:r>
      <w:r w:rsidRPr="00796736">
        <w:rPr>
          <w:rFonts w:ascii="Times New Roman" w:eastAsia="Times New Roman" w:hAnsi="Times New Roman" w:cs="Times New Roman"/>
          <w:sz w:val="24"/>
          <w:szCs w:val="24"/>
          <w:lang w:eastAsia="da-DK"/>
        </w:rPr>
        <w:t xml:space="preserve"> af egen drift eller efter ansøgning kan tilbagekalde påbud meddelt efter stk. 1-4. Afslår </w:t>
      </w:r>
      <w:r w:rsidRPr="00796736">
        <w:rPr>
          <w:rFonts w:ascii="Times New Roman" w:eastAsia="Calibri" w:hAnsi="Times New Roman" w:cs="Times New Roman"/>
          <w:iCs/>
          <w:sz w:val="24"/>
          <w:szCs w:val="24"/>
        </w:rPr>
        <w:t xml:space="preserve">Finanstilsynet </w:t>
      </w:r>
      <w:r w:rsidRPr="00796736">
        <w:rPr>
          <w:rFonts w:ascii="Times New Roman" w:eastAsia="Times New Roman" w:hAnsi="Times New Roman" w:cs="Times New Roman"/>
          <w:sz w:val="24"/>
          <w:szCs w:val="24"/>
          <w:lang w:eastAsia="da-DK"/>
        </w:rPr>
        <w:t xml:space="preserve">en ansøgning om tilbagekaldelse, kan ansøgeren forlange afslaget indbragt for domstolene. Anmodning herom skal indgives til </w:t>
      </w:r>
      <w:r w:rsidRPr="00796736">
        <w:rPr>
          <w:rFonts w:ascii="Times New Roman" w:eastAsia="Calibri" w:hAnsi="Times New Roman" w:cs="Times New Roman"/>
          <w:iCs/>
          <w:sz w:val="24"/>
          <w:szCs w:val="24"/>
        </w:rPr>
        <w:t>Finanstilsynet</w:t>
      </w:r>
      <w:r w:rsidRPr="00796736">
        <w:rPr>
          <w:rFonts w:ascii="Times New Roman" w:eastAsia="Times New Roman" w:hAnsi="Times New Roman" w:cs="Times New Roman"/>
          <w:sz w:val="24"/>
          <w:szCs w:val="24"/>
          <w:lang w:eastAsia="da-DK"/>
        </w:rPr>
        <w:t xml:space="preserve">, inden 4 uger efter at afslaget er meddelt den pågældende. Anmodning om domstolsprøvelse kan dog kun fremsættes, hvis der er forløbet mindst 5 år fra datoen for udstedelsen af påbuddet eller mindst 2 år, efter at </w:t>
      </w:r>
      <w:r w:rsidRPr="00796736">
        <w:rPr>
          <w:rFonts w:ascii="Times New Roman" w:eastAsia="Calibri" w:hAnsi="Times New Roman" w:cs="Times New Roman"/>
          <w:iCs/>
          <w:sz w:val="24"/>
          <w:szCs w:val="24"/>
        </w:rPr>
        <w:t xml:space="preserve">Finanstilsynet </w:t>
      </w:r>
      <w:r w:rsidRPr="00796736">
        <w:rPr>
          <w:rFonts w:ascii="Times New Roman" w:eastAsia="Times New Roman" w:hAnsi="Times New Roman" w:cs="Times New Roman"/>
          <w:sz w:val="24"/>
          <w:szCs w:val="24"/>
          <w:lang w:eastAsia="da-DK"/>
        </w:rPr>
        <w:t>afslag på tilbagekaldelse er stadfæstet ved dom.</w:t>
      </w:r>
    </w:p>
    <w:p w14:paraId="13C3BCA1" w14:textId="77777777" w:rsidR="0099753D" w:rsidRPr="00796736" w:rsidRDefault="0099753D"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bestemmelses indebærer, at en ansøger kan forlange et afslag fra </w:t>
      </w:r>
      <w:r w:rsidRPr="00796736">
        <w:rPr>
          <w:rFonts w:ascii="Times New Roman" w:eastAsia="Calibri" w:hAnsi="Times New Roman" w:cs="Times New Roman"/>
          <w:iCs/>
          <w:sz w:val="24"/>
          <w:szCs w:val="24"/>
        </w:rPr>
        <w:t xml:space="preserve">Finanstilsynet </w:t>
      </w:r>
      <w:r w:rsidRPr="00796736">
        <w:rPr>
          <w:rFonts w:ascii="Times New Roman" w:eastAsia="Times New Roman" w:hAnsi="Times New Roman" w:cs="Times New Roman"/>
          <w:sz w:val="24"/>
          <w:szCs w:val="24"/>
          <w:lang w:eastAsia="da-DK"/>
        </w:rPr>
        <w:t xml:space="preserve">på en ansøgning om tilbagekaldelse af et påbud meddelt efter stk. 1-4, indbragt for domstolene. I tilfælde hvor en person, som er blevet påbudt at nedlægge sit hverv, ansøger om at få påbuddet tilbagekaldt, men hvor </w:t>
      </w:r>
      <w:r w:rsidRPr="00796736">
        <w:rPr>
          <w:rFonts w:ascii="Times New Roman" w:eastAsia="Calibri" w:hAnsi="Times New Roman" w:cs="Times New Roman"/>
          <w:iCs/>
          <w:sz w:val="24"/>
          <w:szCs w:val="24"/>
        </w:rPr>
        <w:t xml:space="preserve">Finanstilsynet </w:t>
      </w:r>
      <w:r w:rsidRPr="00796736">
        <w:rPr>
          <w:rFonts w:ascii="Times New Roman" w:eastAsia="Times New Roman" w:hAnsi="Times New Roman" w:cs="Times New Roman"/>
          <w:sz w:val="24"/>
          <w:szCs w:val="24"/>
          <w:lang w:eastAsia="da-DK"/>
        </w:rPr>
        <w:t xml:space="preserve">afslår denne ansøgning, indføres der som udgangspunkt samme mulighed for domstolsprøvelse som efter stk. 6. </w:t>
      </w:r>
    </w:p>
    <w:p w14:paraId="5728346B" w14:textId="77777777" w:rsidR="0099753D" w:rsidRPr="00796736" w:rsidRDefault="0099753D"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En anmodning herom skal indgives til </w:t>
      </w:r>
      <w:r w:rsidRPr="00796736">
        <w:rPr>
          <w:rFonts w:ascii="Times New Roman" w:eastAsia="Calibri" w:hAnsi="Times New Roman" w:cs="Times New Roman"/>
          <w:iCs/>
          <w:sz w:val="24"/>
          <w:szCs w:val="24"/>
        </w:rPr>
        <w:t xml:space="preserve">Finanstilsynet </w:t>
      </w:r>
      <w:r w:rsidRPr="00796736">
        <w:rPr>
          <w:rFonts w:ascii="Times New Roman" w:eastAsia="Times New Roman" w:hAnsi="Times New Roman" w:cs="Times New Roman"/>
          <w:sz w:val="24"/>
          <w:szCs w:val="24"/>
          <w:lang w:eastAsia="da-DK"/>
        </w:rPr>
        <w:t xml:space="preserve">inden 4 uger efter, at afslaget er meddelt den pågældende. Ønsker et bestyrelsesmedlem, at </w:t>
      </w:r>
      <w:r w:rsidRPr="00796736">
        <w:rPr>
          <w:rFonts w:ascii="Times New Roman" w:eastAsia="Calibri" w:hAnsi="Times New Roman" w:cs="Times New Roman"/>
          <w:iCs/>
          <w:sz w:val="24"/>
          <w:szCs w:val="24"/>
        </w:rPr>
        <w:t xml:space="preserve">Finanstilsynet </w:t>
      </w:r>
      <w:r w:rsidRPr="00796736">
        <w:rPr>
          <w:rFonts w:ascii="Times New Roman" w:eastAsia="Times New Roman" w:hAnsi="Times New Roman" w:cs="Times New Roman"/>
          <w:sz w:val="24"/>
          <w:szCs w:val="24"/>
          <w:lang w:eastAsia="da-DK"/>
        </w:rPr>
        <w:t>skal indbringe spørgsmålet om tilbagekaldelse af et påbud om nedlæggelse af den pågældendes hverv for domstolene, skal anmodning herom indgives inden 4 uger efter, at afslaget er meddelt bestyrelsesmedlemmet.</w:t>
      </w:r>
    </w:p>
    <w:p w14:paraId="3C6FD519" w14:textId="77777777" w:rsidR="0099753D" w:rsidRPr="00796736" w:rsidRDefault="0099753D"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En anmodning om domstolsprøvelse kan kun fremsættes, hvis der er forløbet mindst 5 år fra datoen for udstedelsen af påbuddet, eller mindst 2 år efter, at </w:t>
      </w:r>
      <w:r w:rsidRPr="00796736">
        <w:rPr>
          <w:rFonts w:ascii="Times New Roman" w:eastAsia="Calibri" w:hAnsi="Times New Roman" w:cs="Times New Roman"/>
          <w:iCs/>
          <w:sz w:val="24"/>
          <w:szCs w:val="24"/>
        </w:rPr>
        <w:t xml:space="preserve">Finanstilsynet </w:t>
      </w:r>
      <w:r w:rsidRPr="00796736">
        <w:rPr>
          <w:rFonts w:ascii="Times New Roman" w:eastAsia="Times New Roman" w:hAnsi="Times New Roman" w:cs="Times New Roman"/>
          <w:sz w:val="24"/>
          <w:szCs w:val="24"/>
          <w:lang w:eastAsia="da-DK"/>
        </w:rPr>
        <w:t xml:space="preserve">afslag på tilbagekaldelse er stadfæstet ved dom. Det er således ikke muligt at begære et afslag på at omgøre et tidsbegrænset påbud indbragt for domstolene. Det er heller ikke muligt at begære et afslag på tilbagekaldelse af et påbud indbragt for domstolene, før der er gået mindst 5 år fra datoen for udstedelsen af påbuddet eller mindst 2 år, siden en domstol senest har stadfæstet et afslag på tilbagekaldelse. Begrænsningerne har kun betydning for muligheden for at kræve sagen indbragt for domstolene af </w:t>
      </w:r>
      <w:r w:rsidRPr="00796736">
        <w:rPr>
          <w:rFonts w:ascii="Times New Roman" w:eastAsia="Calibri" w:hAnsi="Times New Roman" w:cs="Times New Roman"/>
          <w:iCs/>
          <w:sz w:val="24"/>
          <w:szCs w:val="24"/>
        </w:rPr>
        <w:t>Finanstilsynet</w:t>
      </w:r>
      <w:r w:rsidRPr="00796736">
        <w:rPr>
          <w:rFonts w:ascii="Times New Roman" w:eastAsia="Times New Roman" w:hAnsi="Times New Roman" w:cs="Times New Roman"/>
          <w:sz w:val="24"/>
          <w:szCs w:val="24"/>
          <w:lang w:eastAsia="da-DK"/>
        </w:rPr>
        <w:t>. En person, som har modtaget et afslag på sin ansøgning, vil til en hver tid have mulighed for selv at anlægge sag ved domstolene.</w:t>
      </w:r>
    </w:p>
    <w:p w14:paraId="294EECF6" w14:textId="674E30FD" w:rsidR="0099753D" w:rsidRPr="00796736" w:rsidRDefault="0099753D" w:rsidP="00A802A5">
      <w:pPr>
        <w:suppressAutoHyphens/>
        <w:spacing w:line="360" w:lineRule="auto"/>
        <w:rPr>
          <w:rFonts w:ascii="Times New Roman" w:eastAsia="Calibri" w:hAnsi="Times New Roman" w:cs="Times New Roman"/>
          <w:iCs/>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9, 1. pkt.</w:t>
      </w:r>
      <w:r w:rsidRPr="00796736">
        <w:rPr>
          <w:rFonts w:ascii="Times New Roman" w:eastAsia="Calibri" w:hAnsi="Times New Roman" w:cs="Times New Roman"/>
          <w:sz w:val="24"/>
          <w:szCs w:val="24"/>
        </w:rPr>
        <w:t>, at </w:t>
      </w:r>
      <w:r w:rsidRPr="00796736">
        <w:rPr>
          <w:rFonts w:ascii="Times New Roman" w:eastAsia="Calibri" w:hAnsi="Times New Roman" w:cs="Times New Roman"/>
          <w:iCs/>
          <w:sz w:val="24"/>
          <w:szCs w:val="24"/>
        </w:rPr>
        <w:t xml:space="preserve">hvis virksomheden og den person, som påbuddet vedrører, ikke har afsat den pågældende person fra den øverste ledelse inden for den fastsatte frist, kan Finanstilsynet inddrage virksomhedens tilladelse efter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_Ref232596829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46</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eller virksomhedens registrering efter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_Ref232596992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52</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w:t>
      </w:r>
    </w:p>
    <w:p w14:paraId="53E55AC7" w14:textId="77777777" w:rsidR="0099753D" w:rsidRPr="00796736" w:rsidRDefault="0099753D" w:rsidP="00A802A5">
      <w:pPr>
        <w:suppressAutoHyphens/>
        <w:spacing w:line="360" w:lineRule="auto"/>
        <w:rPr>
          <w:rFonts w:ascii="Times New Roman" w:eastAsia="Calibri" w:hAnsi="Times New Roman" w:cs="Times New Roman"/>
          <w:iCs/>
          <w:sz w:val="24"/>
          <w:szCs w:val="24"/>
        </w:rPr>
      </w:pPr>
    </w:p>
    <w:p w14:paraId="20D87417" w14:textId="77777777" w:rsidR="0099753D" w:rsidRPr="00796736" w:rsidRDefault="0099753D" w:rsidP="00A802A5">
      <w:pPr>
        <w:suppressAutoHyphens/>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Bestemmelsen har til formål at sikre, at Finanstilsynet har effektive sanktionsmuligheder, hvis en virksomhed eller de relevante personer ikke efterkommer et påbud om at afsætte en direktør eller et bestyrelsesmedlem inden for den fastsatte frist. </w:t>
      </w:r>
    </w:p>
    <w:p w14:paraId="2AEA4A22" w14:textId="77777777" w:rsidR="0099753D" w:rsidRPr="00796736" w:rsidRDefault="0099753D" w:rsidP="00A802A5">
      <w:pPr>
        <w:suppressAutoHyphens/>
        <w:spacing w:line="360" w:lineRule="auto"/>
        <w:rPr>
          <w:rFonts w:ascii="Times New Roman" w:eastAsia="Calibri" w:hAnsi="Times New Roman" w:cs="Times New Roman"/>
          <w:iCs/>
          <w:sz w:val="24"/>
          <w:szCs w:val="24"/>
        </w:rPr>
      </w:pPr>
    </w:p>
    <w:p w14:paraId="792AC188" w14:textId="77777777" w:rsidR="0099753D" w:rsidRDefault="0099753D" w:rsidP="00A802A5">
      <w:pPr>
        <w:suppressAutoHyphens/>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Bestemmelsen skal understøtte, at påbud om afsættelse af ledelsesmedlemmer bliver fulgt, og at virksomhederne ikke kan undlade at efterkomme påbud uden konsekvenser. Inddragelse af registreringen er en væsentlig sanktion, der kan medføre, at virksomheden ikke længere kan udøve den pågældende aktivitet.</w:t>
      </w:r>
    </w:p>
    <w:p w14:paraId="471EABE7" w14:textId="77777777" w:rsidR="00FF733E" w:rsidRDefault="00FF733E" w:rsidP="00A802A5">
      <w:pPr>
        <w:suppressAutoHyphens/>
        <w:spacing w:line="360" w:lineRule="auto"/>
        <w:rPr>
          <w:rFonts w:ascii="Times New Roman" w:eastAsia="Calibri" w:hAnsi="Times New Roman" w:cs="Times New Roman"/>
          <w:iCs/>
          <w:sz w:val="24"/>
          <w:szCs w:val="24"/>
        </w:rPr>
      </w:pPr>
    </w:p>
    <w:p w14:paraId="77757130" w14:textId="5EAB1ED2" w:rsidR="00FF733E" w:rsidRPr="00796736" w:rsidRDefault="00FF733E" w:rsidP="00A802A5">
      <w:pPr>
        <w:suppressAutoHyphens/>
        <w:spacing w:line="360" w:lineRule="auto"/>
        <w:rPr>
          <w:rFonts w:ascii="Times New Roman" w:eastAsia="Calibri" w:hAnsi="Times New Roman" w:cs="Times New Roman"/>
          <w:iCs/>
          <w:sz w:val="24"/>
          <w:szCs w:val="24"/>
        </w:rPr>
      </w:pPr>
      <w:r w:rsidRPr="00FF733E">
        <w:rPr>
          <w:rFonts w:ascii="Times New Roman" w:eastAsia="Calibri" w:hAnsi="Times New Roman" w:cs="Times New Roman"/>
          <w:iCs/>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784F6DAC" w14:textId="77777777" w:rsidR="0099753D" w:rsidRPr="00796736" w:rsidRDefault="0099753D" w:rsidP="00A802A5">
      <w:pPr>
        <w:suppressAutoHyphens/>
        <w:spacing w:line="360" w:lineRule="auto"/>
        <w:rPr>
          <w:rFonts w:ascii="Times New Roman" w:eastAsia="Calibri" w:hAnsi="Times New Roman" w:cs="Times New Roman"/>
          <w:iCs/>
          <w:sz w:val="24"/>
          <w:szCs w:val="24"/>
        </w:rPr>
      </w:pPr>
    </w:p>
    <w:p w14:paraId="1A2F55A6" w14:textId="7035D1DA" w:rsidR="0099753D" w:rsidRPr="00796736" w:rsidRDefault="0099753D" w:rsidP="00A802A5">
      <w:pPr>
        <w:suppressAutoHyphens/>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9, 2. pkt</w:t>
      </w:r>
      <w:r w:rsidRPr="00796736">
        <w:rPr>
          <w:rFonts w:ascii="Times New Roman" w:eastAsia="Calibri" w:hAnsi="Times New Roman" w:cs="Times New Roman"/>
          <w:iCs/>
          <w:sz w:val="24"/>
          <w:szCs w:val="24"/>
        </w:rPr>
        <w:t xml:space="preserve">., at Finanstilsynet kan endvidere inddrage virksomhedens registrering, jf. virksomhedens tilladelse, jf.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_Ref232596829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46</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nr. 5</w:t>
      </w:r>
      <w:r w:rsidR="00505291" w:rsidRPr="00796736">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t xml:space="preserve"> eller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_Ref232596992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52</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nr. 5, hvis et bestyrelsesmedlem ikke efterkommer et påbud meddelt i medfør af stk. 1-3. </w:t>
      </w:r>
    </w:p>
    <w:p w14:paraId="24F58604" w14:textId="77777777" w:rsidR="0099753D" w:rsidRPr="00796736" w:rsidRDefault="0099753D" w:rsidP="00A802A5">
      <w:pPr>
        <w:suppressAutoHyphens/>
        <w:spacing w:line="360" w:lineRule="auto"/>
        <w:rPr>
          <w:rFonts w:ascii="Times New Roman" w:eastAsia="Calibri" w:hAnsi="Times New Roman" w:cs="Times New Roman"/>
          <w:iCs/>
          <w:sz w:val="24"/>
          <w:szCs w:val="24"/>
        </w:rPr>
      </w:pPr>
    </w:p>
    <w:p w14:paraId="7A231094" w14:textId="77777777" w:rsidR="0099753D" w:rsidRPr="00796736" w:rsidRDefault="0099753D" w:rsidP="00A802A5">
      <w:pPr>
        <w:suppressAutoHyphens/>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sikrer, at Finanstilsynet også har mulighed for at gribe ind over for manglende efterlevelse af påbud rettet mod bestyrelsesmedlemmer, og at virksomheden kan miste sin tilladelse eller registrering til at udøve registreringspåkrævede aktiviteter, hvis ledelsen ikke opfylder de lovbestemte krav.</w:t>
      </w:r>
    </w:p>
    <w:p w14:paraId="2E4008C2" w14:textId="77777777" w:rsidR="0099753D" w:rsidRPr="00796736" w:rsidRDefault="0099753D" w:rsidP="00A802A5">
      <w:pPr>
        <w:suppressAutoHyphens/>
        <w:spacing w:line="360" w:lineRule="auto"/>
        <w:rPr>
          <w:rFonts w:ascii="Times New Roman" w:eastAsia="Calibri" w:hAnsi="Times New Roman" w:cs="Times New Roman"/>
          <w:iCs/>
          <w:sz w:val="24"/>
          <w:szCs w:val="24"/>
        </w:rPr>
      </w:pPr>
    </w:p>
    <w:p w14:paraId="699CD237" w14:textId="77777777" w:rsidR="0099753D" w:rsidRDefault="0099753D" w:rsidP="00A802A5">
      <w:pPr>
        <w:suppressAutoHyphens/>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Bestemmelsen skal ses som en konsekvensregel, der understøtter de øvrige bestemmelser om egnethed og hæderlighed i ledelsen, og som sikrer, at Finanstilsynet kan håndhæve reglerne effektivt. Inddragelse af registrering vil ske efter en konkret vurdering og i overensstemmelse med gældende forvaltningsretlige principper.</w:t>
      </w:r>
    </w:p>
    <w:p w14:paraId="1B41C1DA" w14:textId="77777777" w:rsidR="00FF733E" w:rsidRDefault="00FF733E" w:rsidP="00A802A5">
      <w:pPr>
        <w:suppressAutoHyphens/>
        <w:spacing w:line="360" w:lineRule="auto"/>
        <w:rPr>
          <w:rFonts w:ascii="Times New Roman" w:eastAsia="Calibri" w:hAnsi="Times New Roman" w:cs="Times New Roman"/>
          <w:iCs/>
          <w:sz w:val="24"/>
          <w:szCs w:val="24"/>
        </w:rPr>
      </w:pPr>
    </w:p>
    <w:p w14:paraId="30B6DF9F" w14:textId="776993FA" w:rsidR="00FF733E" w:rsidRPr="00796736" w:rsidRDefault="00FF733E" w:rsidP="00A802A5">
      <w:pPr>
        <w:suppressAutoHyphens/>
        <w:spacing w:line="360" w:lineRule="auto"/>
        <w:rPr>
          <w:rFonts w:ascii="Times New Roman" w:eastAsia="Calibri" w:hAnsi="Times New Roman" w:cs="Times New Roman"/>
          <w:iCs/>
          <w:sz w:val="24"/>
          <w:szCs w:val="24"/>
        </w:rPr>
      </w:pPr>
      <w:r w:rsidRPr="00FF733E">
        <w:rPr>
          <w:rFonts w:ascii="Times New Roman" w:eastAsia="Calibri" w:hAnsi="Times New Roman" w:cs="Times New Roman"/>
          <w:iCs/>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40397CB8" w14:textId="77777777" w:rsidR="0099753D" w:rsidRPr="00796736" w:rsidRDefault="0099753D" w:rsidP="00A802A5">
      <w:pPr>
        <w:suppressAutoHyphens/>
        <w:spacing w:line="360" w:lineRule="auto"/>
        <w:rPr>
          <w:rFonts w:ascii="Times New Roman" w:eastAsia="Calibri" w:hAnsi="Times New Roman" w:cs="Times New Roman"/>
          <w:iCs/>
          <w:sz w:val="24"/>
          <w:szCs w:val="24"/>
        </w:rPr>
      </w:pPr>
    </w:p>
    <w:p w14:paraId="78727888" w14:textId="4539BEDB"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10</w:t>
      </w:r>
      <w:r w:rsidRPr="00796736">
        <w:rPr>
          <w:rFonts w:ascii="Times New Roman" w:hAnsi="Times New Roman" w:cs="Times New Roman"/>
          <w:sz w:val="24"/>
          <w:szCs w:val="24"/>
        </w:rPr>
        <w:t>, at stk. 1-9 finder tilsvarende anvendelse på den eller de for virksomheden ledelsesansvarlige, når en virksomhed drives som en juridisk person uden bestyrelse eller direktion.</w:t>
      </w:r>
    </w:p>
    <w:p w14:paraId="5A86E381" w14:textId="77777777" w:rsidR="0099753D" w:rsidRPr="00796736" w:rsidRDefault="0099753D" w:rsidP="00A802A5">
      <w:pPr>
        <w:spacing w:line="360" w:lineRule="auto"/>
        <w:rPr>
          <w:rFonts w:ascii="Times New Roman" w:hAnsi="Times New Roman" w:cs="Times New Roman"/>
          <w:sz w:val="24"/>
          <w:szCs w:val="24"/>
        </w:rPr>
      </w:pPr>
    </w:p>
    <w:p w14:paraId="03D2AD80" w14:textId="7ABEDC78"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der for </w:t>
      </w:r>
      <w:r w:rsidR="00B403A6">
        <w:rPr>
          <w:rFonts w:ascii="Times New Roman" w:hAnsi="Times New Roman" w:cs="Times New Roman"/>
          <w:sz w:val="24"/>
          <w:szCs w:val="24"/>
        </w:rPr>
        <w:t>anvendelsen</w:t>
      </w:r>
      <w:r w:rsidR="00B403A6"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af stk. 1-9 ikke stilles krav om en specifik selskabsform. I de tilfælde hvor en virksomhed drives som en juridisk person uden en bestyrelse eller en direktion, får Finanstilsynet således samme muligheder for at kunne gribe ind over de ledelsesansvarlige i virksomheden. </w:t>
      </w:r>
    </w:p>
    <w:p w14:paraId="4456AE9D" w14:textId="77777777" w:rsidR="0099753D" w:rsidRPr="00796736" w:rsidRDefault="0099753D" w:rsidP="00A802A5">
      <w:pPr>
        <w:spacing w:line="360" w:lineRule="auto"/>
        <w:rPr>
          <w:rFonts w:ascii="Times New Roman" w:hAnsi="Times New Roman" w:cs="Times New Roman"/>
          <w:sz w:val="24"/>
          <w:szCs w:val="24"/>
        </w:rPr>
      </w:pPr>
    </w:p>
    <w:p w14:paraId="4C758FD5" w14:textId="645DB0FF"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lovforslagets </w:t>
      </w:r>
      <w:r w:rsidR="00580EAA">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51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at kravene om egnethed og hæderlighed skal være opfyldt af medlemmer af ledelsen, indehaveren af en virksomhed, der er en enkeltmandsvirksomhed, eller af den eller de ledelsesansvarlige, når virksomheden drives som en juridisk person uden en bestyrelse eller direktion.</w:t>
      </w:r>
    </w:p>
    <w:p w14:paraId="551BAD34" w14:textId="77777777" w:rsidR="0099753D" w:rsidRPr="00796736" w:rsidRDefault="0099753D" w:rsidP="00A802A5">
      <w:pPr>
        <w:spacing w:line="360" w:lineRule="auto"/>
        <w:rPr>
          <w:rFonts w:ascii="Times New Roman" w:hAnsi="Times New Roman" w:cs="Times New Roman"/>
          <w:sz w:val="24"/>
          <w:szCs w:val="24"/>
        </w:rPr>
      </w:pPr>
    </w:p>
    <w:p w14:paraId="21D08107" w14:textId="7777777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Hvor den ledelsesansvarlige i en virksomhed, der drives som en juridisk person uden bestyrelse og direktion, ikke længere opfylder kravene til egnethed og hæderlighed, kan Finanstilsynet påbyde virksomheden at afsætte den ledelsesansvarlige.</w:t>
      </w:r>
    </w:p>
    <w:p w14:paraId="56F2BAEA" w14:textId="77777777" w:rsidR="0099753D" w:rsidRPr="00796736" w:rsidRDefault="0099753D" w:rsidP="00A802A5">
      <w:pPr>
        <w:spacing w:line="360" w:lineRule="auto"/>
        <w:rPr>
          <w:rFonts w:ascii="Times New Roman" w:hAnsi="Times New Roman" w:cs="Times New Roman"/>
          <w:sz w:val="24"/>
          <w:szCs w:val="24"/>
        </w:rPr>
      </w:pPr>
    </w:p>
    <w:p w14:paraId="38F986E3" w14:textId="59F29556"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indehaveren af en virksomhed, som skal opfylde kravene om egnethed og hæderlighed. Da der er sammenfald imellem identiteten af virksomheden, der er en enkeltmandsvirksomhed, og dennes indehaver, kan indehaveren ikke afsættes eller pålægges at nedlægge sit hverv, når vedkommende ikke opfylder kravene i lovforslagets </w:t>
      </w:r>
      <w:r w:rsidR="00580EAA">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51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Det samme er tilfældet i de situationer, hvor der rejses tiltale mod en indehaver af en virksomhed, der er en enkeltmandsvirksomhed, i en straffesag om overtrædelse af straffeloven, den finansielle lovgivning eller anden relevant lovgivning, hvis domfældelse vil indebære, at vedkommende ikke opfylder kravene i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57B8912C" w14:textId="77777777" w:rsidR="0099753D" w:rsidRPr="00796736" w:rsidRDefault="0099753D" w:rsidP="00A802A5">
      <w:pPr>
        <w:spacing w:line="360" w:lineRule="auto"/>
        <w:rPr>
          <w:rFonts w:ascii="Times New Roman" w:hAnsi="Times New Roman" w:cs="Times New Roman"/>
          <w:sz w:val="24"/>
          <w:szCs w:val="24"/>
        </w:rPr>
      </w:pPr>
    </w:p>
    <w:p w14:paraId="5EA6359A" w14:textId="28A79507" w:rsidR="0099753D" w:rsidRPr="00796736" w:rsidRDefault="009975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Opfylder indehaveren af en virksomhed, der er en enkeltmandsvirksomhed, ikke længere kravene til egnethed og hæderlighed i lovforslagets </w:t>
      </w:r>
      <w:r w:rsidR="00580EAA">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51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Calibri" w:hAnsi="Times New Roman" w:cs="Times New Roman"/>
          <w:iCs/>
          <w:sz w:val="24"/>
          <w:szCs w:val="24"/>
        </w:rPr>
        <w:t xml:space="preserve">kan Finanstilsynet inddrage virksomhedens tilladelse efter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_Ref232596829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46</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eller virksomhedens registrering efter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_Ref232596992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52</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w:t>
      </w:r>
      <w:r w:rsidRPr="00796736">
        <w:rPr>
          <w:rFonts w:ascii="Times New Roman" w:hAnsi="Times New Roman" w:cs="Times New Roman"/>
          <w:sz w:val="24"/>
          <w:szCs w:val="24"/>
        </w:rPr>
        <w:t xml:space="preserve"> jf.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_Ref237008164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9.</w:t>
      </w:r>
    </w:p>
    <w:p w14:paraId="29632F03" w14:textId="77777777" w:rsidR="0099753D" w:rsidRPr="00796736" w:rsidRDefault="0099753D" w:rsidP="00A802A5">
      <w:pPr>
        <w:spacing w:line="360" w:lineRule="auto"/>
        <w:rPr>
          <w:rFonts w:ascii="Times New Roman" w:eastAsia="Calibri" w:hAnsi="Times New Roman" w:cs="Times New Roman"/>
          <w:sz w:val="24"/>
          <w:szCs w:val="24"/>
        </w:rPr>
      </w:pPr>
    </w:p>
    <w:p w14:paraId="62D0DAF1" w14:textId="0FDFBFA7" w:rsidR="00E60C91" w:rsidRPr="007165DA" w:rsidRDefault="0099753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henvises i øvrigt til pkt.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_Ref232951004 \n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3.56</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i lovforslagets almindelige bemærkninger.</w:t>
      </w:r>
    </w:p>
    <w:p w14:paraId="29A4B976" w14:textId="77777777" w:rsidR="0099753D" w:rsidRPr="00796736" w:rsidRDefault="0099753D" w:rsidP="00A802A5">
      <w:pPr>
        <w:spacing w:line="360" w:lineRule="auto"/>
        <w:jc w:val="center"/>
        <w:rPr>
          <w:rFonts w:ascii="Times New Roman" w:hAnsi="Times New Roman" w:cs="Times New Roman"/>
          <w:i/>
          <w:iCs/>
          <w:sz w:val="24"/>
          <w:szCs w:val="24"/>
        </w:rPr>
      </w:pPr>
    </w:p>
    <w:p w14:paraId="06F3BD68" w14:textId="37389B74" w:rsidR="003A00F5" w:rsidRPr="00796736" w:rsidRDefault="00AD7694" w:rsidP="00A802A5">
      <w:pPr>
        <w:pStyle w:val="Undertitel"/>
        <w:rPr>
          <w:iCs/>
        </w:rPr>
      </w:pPr>
      <w:bookmarkStart w:id="2057" w:name="_Toc232109397"/>
      <w:bookmarkStart w:id="2058" w:name="_Toc244879362"/>
      <w:bookmarkStart w:id="2059" w:name="_Toc244880887"/>
      <w:r w:rsidRPr="00796736">
        <w:t xml:space="preserve">Til </w:t>
      </w:r>
      <w:r w:rsidR="00850B44" w:rsidRPr="00796736">
        <w:fldChar w:fldCharType="begin"/>
      </w:r>
      <w:r w:rsidR="00850B44" w:rsidRPr="00796736">
        <w:instrText xml:space="preserve"> REF _Ref232597310 \r \h </w:instrText>
      </w:r>
      <w:r w:rsidR="00967618" w:rsidRPr="00796736">
        <w:instrText xml:space="preserve"> \* MERGEFORMAT </w:instrText>
      </w:r>
      <w:r w:rsidR="00850B44" w:rsidRPr="00796736">
        <w:fldChar w:fldCharType="separate"/>
      </w:r>
      <w:r w:rsidR="008F29E5">
        <w:t>§ 66</w:t>
      </w:r>
      <w:bookmarkEnd w:id="2058"/>
      <w:bookmarkEnd w:id="2059"/>
      <w:r w:rsidR="00850B44" w:rsidRPr="00796736">
        <w:fldChar w:fldCharType="end"/>
      </w:r>
      <w:r w:rsidRPr="00796736">
        <w:t xml:space="preserve"> </w:t>
      </w:r>
      <w:bookmarkEnd w:id="2057"/>
    </w:p>
    <w:p w14:paraId="7893EDA1" w14:textId="77777777" w:rsidR="00D16FBC" w:rsidRPr="00796736" w:rsidRDefault="00D16FBC"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hvidvasklovens § 45, stk. 1, at medlemmer af bestyrelsen eller direktionen i en valutavekslingsvirksomhed, indehaveren af en enkeltmandsvirksomhed, de ledelsesansvarlige i en valutavekslingsvirksomhed uden bestyrelse eller direktion samt ejere af kvalificerede andele skal opfylde en række egnetheds- og hæderlighedskrav. </w:t>
      </w:r>
    </w:p>
    <w:p w14:paraId="5F4F75BB" w14:textId="77777777" w:rsidR="00D16FBC" w:rsidRPr="00796736" w:rsidRDefault="00D16FBC" w:rsidP="00A802A5">
      <w:pPr>
        <w:tabs>
          <w:tab w:val="num" w:pos="720"/>
        </w:tabs>
        <w:spacing w:line="360" w:lineRule="auto"/>
        <w:rPr>
          <w:rFonts w:ascii="Times New Roman" w:hAnsi="Times New Roman" w:cs="Times New Roman"/>
          <w:sz w:val="24"/>
          <w:szCs w:val="24"/>
        </w:rPr>
      </w:pPr>
    </w:p>
    <w:p w14:paraId="2B5F4F98" w14:textId="65939582" w:rsidR="00D16FBC" w:rsidRPr="00796736" w:rsidRDefault="00D16FBC" w:rsidP="00A802A5">
      <w:pPr>
        <w:tabs>
          <w:tab w:val="num" w:pos="720"/>
        </w:tabs>
        <w:spacing w:line="360" w:lineRule="auto"/>
        <w:rPr>
          <w:rFonts w:ascii="Times New Roman" w:hAnsi="Times New Roman" w:cs="Times New Roman"/>
          <w:sz w:val="24"/>
          <w:szCs w:val="24"/>
        </w:rPr>
      </w:pPr>
      <w:r w:rsidRPr="00796736">
        <w:rPr>
          <w:rFonts w:ascii="Times New Roman" w:hAnsi="Times New Roman" w:cs="Times New Roman"/>
          <w:sz w:val="24"/>
          <w:szCs w:val="24"/>
        </w:rPr>
        <w:t>Efter § 45, stk. 1, i hvidvaskloven, skal de pågældende personer have tilstrækkelig viden, faglig kompetence og erfaring til at kunne varetage hvervet eller stillingen</w:t>
      </w:r>
      <w:r w:rsidR="00D30535" w:rsidRPr="00796736">
        <w:rPr>
          <w:rFonts w:ascii="Times New Roman" w:hAnsi="Times New Roman" w:cs="Times New Roman"/>
          <w:sz w:val="24"/>
          <w:szCs w:val="24"/>
        </w:rPr>
        <w:t>, jf. nr. 1</w:t>
      </w:r>
      <w:r w:rsidRPr="00796736">
        <w:rPr>
          <w:rFonts w:ascii="Times New Roman" w:hAnsi="Times New Roman" w:cs="Times New Roman"/>
          <w:sz w:val="24"/>
          <w:szCs w:val="24"/>
        </w:rPr>
        <w:t>, have et tilstrækkeligt godt omdømme og kunne udvise hæderlighed, integritet og tilstrækkelig uafhængighed ved varetagelsen af hvervet eller stillingen</w:t>
      </w:r>
      <w:r w:rsidR="00D30535" w:rsidRPr="00796736">
        <w:rPr>
          <w:rFonts w:ascii="Times New Roman" w:hAnsi="Times New Roman" w:cs="Times New Roman"/>
          <w:sz w:val="24"/>
          <w:szCs w:val="24"/>
        </w:rPr>
        <w:t>, jf. nr. 2</w:t>
      </w:r>
      <w:r w:rsidRPr="00796736">
        <w:rPr>
          <w:rFonts w:ascii="Times New Roman" w:hAnsi="Times New Roman" w:cs="Times New Roman"/>
          <w:sz w:val="24"/>
          <w:szCs w:val="24"/>
        </w:rPr>
        <w:t>. De må desuden ikke være pålagt strafansvar for overtrædelse af straffeloven, den finansielle lovgivning eller anden relevant lovgivning, hvis overtrædelsen indebærer risiko for, at vedkommende ikke kan varetage sit hverv eller sin stilling på betryggende måde</w:t>
      </w:r>
      <w:r w:rsidR="00D30535" w:rsidRPr="00796736">
        <w:rPr>
          <w:rFonts w:ascii="Times New Roman" w:hAnsi="Times New Roman" w:cs="Times New Roman"/>
          <w:sz w:val="24"/>
          <w:szCs w:val="24"/>
        </w:rPr>
        <w:t>, jf. nr. 3</w:t>
      </w:r>
      <w:r w:rsidRPr="00796736">
        <w:rPr>
          <w:rFonts w:ascii="Times New Roman" w:hAnsi="Times New Roman" w:cs="Times New Roman"/>
          <w:sz w:val="24"/>
          <w:szCs w:val="24"/>
        </w:rPr>
        <w:t>. Endvidere må de ikke have indgivet begæring om eller være under rekonstruktionsbehandling, konkurs eller gældssanering</w:t>
      </w:r>
      <w:r w:rsidR="00D30535" w:rsidRPr="00796736">
        <w:rPr>
          <w:rFonts w:ascii="Times New Roman" w:hAnsi="Times New Roman" w:cs="Times New Roman"/>
          <w:sz w:val="24"/>
          <w:szCs w:val="24"/>
        </w:rPr>
        <w:t>, jf. nr. 4</w:t>
      </w:r>
      <w:r w:rsidRPr="00796736">
        <w:rPr>
          <w:rFonts w:ascii="Times New Roman" w:hAnsi="Times New Roman" w:cs="Times New Roman"/>
          <w:sz w:val="24"/>
          <w:szCs w:val="24"/>
        </w:rPr>
        <w:t>, ligesom de ikke må have udvist en sådan adfærd, at der er grund til at antage, at de ikke vil varetage hvervet eller stillingen på forsvarlig måde</w:t>
      </w:r>
      <w:r w:rsidR="00D30535" w:rsidRPr="00796736">
        <w:rPr>
          <w:rFonts w:ascii="Times New Roman" w:hAnsi="Times New Roman" w:cs="Times New Roman"/>
          <w:sz w:val="24"/>
          <w:szCs w:val="24"/>
        </w:rPr>
        <w:t>, jf. nr. 5</w:t>
      </w:r>
      <w:r w:rsidRPr="00796736">
        <w:rPr>
          <w:rFonts w:ascii="Times New Roman" w:hAnsi="Times New Roman" w:cs="Times New Roman"/>
          <w:sz w:val="24"/>
          <w:szCs w:val="24"/>
        </w:rPr>
        <w:t>.</w:t>
      </w:r>
    </w:p>
    <w:p w14:paraId="027D46CD" w14:textId="77777777" w:rsidR="00D16FBC" w:rsidRPr="00796736" w:rsidRDefault="00D16FBC" w:rsidP="00A802A5">
      <w:pPr>
        <w:spacing w:line="360" w:lineRule="auto"/>
        <w:rPr>
          <w:rFonts w:ascii="Times New Roman" w:hAnsi="Times New Roman" w:cs="Times New Roman"/>
          <w:sz w:val="24"/>
          <w:szCs w:val="24"/>
        </w:rPr>
      </w:pPr>
    </w:p>
    <w:p w14:paraId="1B11CC04" w14:textId="028CBC9A" w:rsidR="00D16FBC" w:rsidRPr="00796736" w:rsidRDefault="00D16F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endvidere af hvidvasklovens § 45, stk. 2, at Finanstilsynet ved en persons tiltræden som bestyrelsesmedlem eller direktør i en valutavekslingsvirksomhed skal påse, om personen opfylder egnetheds- og hæderlighedskravene i § 45, stk. 1. Finanstilsynet træffer afgørelse om, hvorvidt personen kan bestride hvervet eller stillingen i den pågældende virksomhed. Det samme gælder for indehaveren af en valutavekslingsvirksomhed, der drives som enkeltmandsvirksomhed, ledelsesansvarlige i en valutavekslingsvirksomhed uden direktion og bestyrelse samt ejere af kvalificerede andele.</w:t>
      </w:r>
    </w:p>
    <w:p w14:paraId="14CC6902" w14:textId="77777777" w:rsidR="00D16FBC" w:rsidRPr="00796736" w:rsidRDefault="00D16FBC" w:rsidP="00A802A5">
      <w:pPr>
        <w:spacing w:line="360" w:lineRule="auto"/>
        <w:rPr>
          <w:rFonts w:ascii="Times New Roman" w:hAnsi="Times New Roman" w:cs="Times New Roman"/>
          <w:sz w:val="24"/>
          <w:szCs w:val="24"/>
        </w:rPr>
      </w:pPr>
    </w:p>
    <w:p w14:paraId="00E53B03" w14:textId="197BCC91" w:rsidR="00D16FBC" w:rsidRPr="00796736" w:rsidRDefault="00D16F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virksomheder og personer omfattet af hvidvasklovens § 1, stk. 1, nr. 8, følger det af § 48, stk. 1, at de skal registreres hos Finanstilsynet for at kunne udøve de aktiviteter, der er nævnt i bilag 1. Efter § 48, stk. 2, skal Finanstilsynet undlade at foretage registrering, hvis et medlem af virksomhedens øverste eller daglige ledelse eller personen selv er pålagt strafansvar for overtrædelse af straffeloven, den finansielle lovgivning eller anden relevant lovgivning, og overtrædelsen indebærer risiko for, at vedkommende ikke kan varetage sit hverv eller sin stilling på betryggende måde.</w:t>
      </w:r>
    </w:p>
    <w:p w14:paraId="751587ED" w14:textId="77777777" w:rsidR="00D16FBC" w:rsidRPr="00796736" w:rsidRDefault="00D16FBC" w:rsidP="00A802A5">
      <w:pPr>
        <w:spacing w:line="360" w:lineRule="auto"/>
        <w:rPr>
          <w:rFonts w:ascii="Times New Roman" w:hAnsi="Times New Roman" w:cs="Times New Roman"/>
          <w:sz w:val="24"/>
          <w:szCs w:val="24"/>
        </w:rPr>
      </w:pPr>
    </w:p>
    <w:p w14:paraId="560C84E3" w14:textId="24425394" w:rsidR="00D16FBC" w:rsidRPr="00796736" w:rsidRDefault="00D16F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endvidere af hvidvasklovens § 48, stk. 3, at Finanstilsynet skal undlade at registrere en virksomhed, hvis virksomheden er pålagt strafansvar for overtrædelse af straffeloven, den finansielle lovgivning eller anden relevant lovgivning, og overtrædelsen indebærer risiko for, at virksomheden misbruger registreringen. Det samme gælder, hvis en reel ejer er pålagt strafansvar for overtrædelse af relevant lovgivning, og dette begrunder en risiko for misbrug af den pågældendes kontrollerende indflydelse.</w:t>
      </w:r>
    </w:p>
    <w:p w14:paraId="3952CC29" w14:textId="77777777" w:rsidR="00D16FBC" w:rsidRPr="00796736" w:rsidRDefault="00D16FBC" w:rsidP="00A802A5">
      <w:pPr>
        <w:spacing w:line="360" w:lineRule="auto"/>
        <w:rPr>
          <w:rFonts w:ascii="Times New Roman" w:hAnsi="Times New Roman" w:cs="Times New Roman"/>
          <w:sz w:val="24"/>
          <w:szCs w:val="24"/>
        </w:rPr>
      </w:pPr>
    </w:p>
    <w:p w14:paraId="386F169D" w14:textId="5D1A2B50" w:rsidR="00D16FBC" w:rsidRPr="00796736" w:rsidRDefault="00D16F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51, stk. 1, at Finanstilsynet kan påbyde de virksomheder og personer, der er nævnt i § 1, stk. 1, nr. 1-12, 18 og 22, at foretage de nødvendige foranstaltninger inden for en af Finanstilsynet fastsat frist, hvis der sker overtrædelse af bestemmelser i hvidvaskloven, regler udstedt i medfør heraf, relevante EU-forordninger om oplysninger, der skal medsendes ved pengeoverførsler og overførsler af visse kryptoaktiver, eller forordninger om finansielle sanktioner.</w:t>
      </w:r>
    </w:p>
    <w:p w14:paraId="18C35716" w14:textId="77777777" w:rsidR="00D16FBC" w:rsidRPr="00796736" w:rsidRDefault="00D16FBC" w:rsidP="00A802A5">
      <w:pPr>
        <w:spacing w:line="360" w:lineRule="auto"/>
        <w:rPr>
          <w:rFonts w:ascii="Times New Roman" w:hAnsi="Times New Roman" w:cs="Times New Roman"/>
          <w:sz w:val="24"/>
          <w:szCs w:val="24"/>
        </w:rPr>
      </w:pPr>
    </w:p>
    <w:p w14:paraId="18F09680" w14:textId="0F1A909A" w:rsidR="00D16FBC" w:rsidRPr="00796736" w:rsidRDefault="00D16F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Endelig følger det af hvidvasklovens § 51 c, stk. 1, at Finanstilsynet kan påbyde en valutavekslingsvirksomhed at afsætte en direktør, hvis direktøren efter § 45, stk. 1, ikke kan bestride stillingen. Finanstilsynet kan under samme betingelser påbyde et bestyrelsesmedlem at nedlægge sit hverv.</w:t>
      </w:r>
    </w:p>
    <w:p w14:paraId="60CA661E" w14:textId="77777777" w:rsidR="00D16FBC" w:rsidRPr="00796736" w:rsidRDefault="00D16FBC" w:rsidP="00A802A5">
      <w:pPr>
        <w:spacing w:line="360" w:lineRule="auto"/>
        <w:rPr>
          <w:rFonts w:ascii="Times New Roman" w:hAnsi="Times New Roman" w:cs="Times New Roman"/>
          <w:sz w:val="24"/>
          <w:szCs w:val="24"/>
        </w:rPr>
      </w:pPr>
    </w:p>
    <w:p w14:paraId="03B16FFC" w14:textId="4A3B39F4" w:rsidR="00895050" w:rsidRPr="00796736" w:rsidRDefault="00D16F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51 c, stk. 2, i hvidvaskloven, kan Finanstilsynet desuden påbyde en valutavekslingsvirksomhed at afsætte en direktør, hvis der er rejst tiltale mod den pågældende i en straffesag om overtrædelse af straffeloven, den finansielle lovgivning eller anden relevant lovgivning, og en domfældelse vil indebære, at direktøren ikke opfylder kravene i § 45, stk. 1, nr. 3. Finanstilsynet kan under samme betingelser påbyde et bestyrelsesmedlem at nedlægge sit hverv. Finanstilsynet fastsætter i begge tilfælde en frist for efterlevelse af påbuddet.</w:t>
      </w:r>
    </w:p>
    <w:p w14:paraId="09DD2315" w14:textId="77777777" w:rsidR="00D16FBC" w:rsidRPr="00796736" w:rsidRDefault="00D16FBC" w:rsidP="00A802A5">
      <w:pPr>
        <w:spacing w:line="360" w:lineRule="auto"/>
        <w:rPr>
          <w:rFonts w:ascii="Times New Roman" w:hAnsi="Times New Roman" w:cs="Times New Roman"/>
          <w:sz w:val="24"/>
          <w:szCs w:val="24"/>
        </w:rPr>
      </w:pPr>
    </w:p>
    <w:p w14:paraId="6CBBA012" w14:textId="1694EAA4" w:rsidR="00441A98" w:rsidRPr="00796736" w:rsidRDefault="00441A9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desuden af § 62, stk. 1, i lov om finansiel virksomhed, at Finanstilsynet kan ophæve stemmeretten knyttet til kapitalandele eller påbyde virksomheden at følge bestemte retningslinjer, hvis kapitalejere, der besidder kvalificerede andele som omhandlet i § 61, stk. 1, i en finansiel virksomhed eller en finansiel holdingvirksomhed, ikke opfylder kravene i § 61 a, stk. 1.</w:t>
      </w:r>
    </w:p>
    <w:p w14:paraId="21E1D703" w14:textId="77777777" w:rsidR="00D16FBC" w:rsidRPr="00796736" w:rsidRDefault="00D16FBC" w:rsidP="00A802A5">
      <w:pPr>
        <w:spacing w:line="360" w:lineRule="auto"/>
        <w:rPr>
          <w:rFonts w:ascii="Times New Roman" w:hAnsi="Times New Roman" w:cs="Times New Roman"/>
          <w:sz w:val="24"/>
          <w:szCs w:val="24"/>
        </w:rPr>
      </w:pPr>
    </w:p>
    <w:p w14:paraId="70699174" w14:textId="768E4802" w:rsidR="00013DEE" w:rsidRPr="00796736" w:rsidRDefault="00D16FBC"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Hvidvaskloven indeholder i dag ikke en mulighed for Finanstilsynet til </w:t>
      </w:r>
      <w:r w:rsidR="00D24902" w:rsidRPr="00796736">
        <w:rPr>
          <w:rFonts w:ascii="Times New Roman" w:eastAsia="Calibri" w:hAnsi="Times New Roman" w:cs="Times New Roman"/>
          <w:sz w:val="24"/>
          <w:szCs w:val="24"/>
        </w:rPr>
        <w:t xml:space="preserve">at påbyde </w:t>
      </w:r>
      <w:r w:rsidR="007B18B1" w:rsidRPr="00796736">
        <w:rPr>
          <w:rFonts w:ascii="Times New Roman" w:eastAsia="Calibri" w:hAnsi="Times New Roman" w:cs="Times New Roman"/>
          <w:sz w:val="24"/>
          <w:szCs w:val="24"/>
        </w:rPr>
        <w:t xml:space="preserve">en </w:t>
      </w:r>
      <w:r w:rsidR="002A3EF3" w:rsidRPr="00796736">
        <w:rPr>
          <w:rFonts w:ascii="Times New Roman" w:eastAsia="Calibri" w:hAnsi="Times New Roman" w:cs="Times New Roman"/>
          <w:sz w:val="24"/>
          <w:szCs w:val="24"/>
        </w:rPr>
        <w:t>fysisk person, der direkte eller indirekte ejer eller kontrollerer minimum 25 pct. af kapitalandelen, ejerandelen, stemmerettighederne eller andre ejerskabsbeføjelser</w:t>
      </w:r>
      <w:r w:rsidR="007B18B1" w:rsidRPr="00796736">
        <w:rPr>
          <w:rFonts w:ascii="Times New Roman" w:hAnsi="Times New Roman" w:cs="Times New Roman"/>
          <w:sz w:val="24"/>
          <w:szCs w:val="24"/>
        </w:rPr>
        <w:t xml:space="preserve">, at afhænde sine ejerandele eller ophøre med at udøve kontrol inden for en af Finanstilsynet fastsat frist, </w:t>
      </w:r>
      <w:r w:rsidR="0069567A" w:rsidRPr="00796736">
        <w:rPr>
          <w:rFonts w:ascii="Times New Roman" w:hAnsi="Times New Roman" w:cs="Times New Roman"/>
          <w:sz w:val="24"/>
          <w:szCs w:val="24"/>
        </w:rPr>
        <w:t xml:space="preserve">såfremt den pågældende ikke opfylder betingelserne i </w:t>
      </w:r>
      <w:r w:rsidR="0069567A" w:rsidRPr="00796736">
        <w:rPr>
          <w:rFonts w:ascii="Times New Roman" w:hAnsi="Times New Roman" w:cs="Times New Roman"/>
          <w:sz w:val="24"/>
          <w:szCs w:val="24"/>
        </w:rPr>
        <w:fldChar w:fldCharType="begin"/>
      </w:r>
      <w:r w:rsidR="0069567A" w:rsidRPr="00796736">
        <w:rPr>
          <w:rFonts w:ascii="Times New Roman" w:hAnsi="Times New Roman" w:cs="Times New Roman"/>
          <w:sz w:val="24"/>
          <w:szCs w:val="24"/>
        </w:rPr>
        <w:instrText xml:space="preserve"> REF _Ref232596808 \r \h  \* MERGEFORMAT </w:instrText>
      </w:r>
      <w:r w:rsidR="0069567A" w:rsidRPr="00796736">
        <w:rPr>
          <w:rFonts w:ascii="Times New Roman" w:hAnsi="Times New Roman" w:cs="Times New Roman"/>
          <w:sz w:val="24"/>
          <w:szCs w:val="24"/>
        </w:rPr>
      </w:r>
      <w:r w:rsidR="006956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69567A" w:rsidRPr="00796736">
        <w:rPr>
          <w:rFonts w:ascii="Times New Roman" w:hAnsi="Times New Roman" w:cs="Times New Roman"/>
          <w:sz w:val="24"/>
          <w:szCs w:val="24"/>
        </w:rPr>
        <w:fldChar w:fldCharType="end"/>
      </w:r>
      <w:r w:rsidR="0069567A" w:rsidRPr="00796736">
        <w:rPr>
          <w:rFonts w:ascii="Times New Roman" w:hAnsi="Times New Roman" w:cs="Times New Roman"/>
          <w:sz w:val="24"/>
          <w:szCs w:val="24"/>
        </w:rPr>
        <w:t xml:space="preserve">, stk. 1, og </w:t>
      </w:r>
      <w:r w:rsidR="0069567A" w:rsidRPr="00796736">
        <w:rPr>
          <w:rFonts w:ascii="Times New Roman" w:hAnsi="Times New Roman" w:cs="Times New Roman"/>
          <w:sz w:val="24"/>
          <w:szCs w:val="24"/>
        </w:rPr>
        <w:fldChar w:fldCharType="begin"/>
      </w:r>
      <w:r w:rsidR="0069567A" w:rsidRPr="00796736">
        <w:rPr>
          <w:rFonts w:ascii="Times New Roman" w:hAnsi="Times New Roman" w:cs="Times New Roman"/>
          <w:sz w:val="24"/>
          <w:szCs w:val="24"/>
        </w:rPr>
        <w:instrText xml:space="preserve"> REF _Ref232596960 \r \h  \* MERGEFORMAT </w:instrText>
      </w:r>
      <w:r w:rsidR="0069567A" w:rsidRPr="00796736">
        <w:rPr>
          <w:rFonts w:ascii="Times New Roman" w:hAnsi="Times New Roman" w:cs="Times New Roman"/>
          <w:sz w:val="24"/>
          <w:szCs w:val="24"/>
        </w:rPr>
      </w:r>
      <w:r w:rsidR="006956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69567A" w:rsidRPr="00796736">
        <w:rPr>
          <w:rFonts w:ascii="Times New Roman" w:hAnsi="Times New Roman" w:cs="Times New Roman"/>
          <w:sz w:val="24"/>
          <w:szCs w:val="24"/>
        </w:rPr>
        <w:fldChar w:fldCharType="end"/>
      </w:r>
      <w:r w:rsidR="0069567A" w:rsidRPr="00796736">
        <w:rPr>
          <w:rFonts w:ascii="Times New Roman" w:hAnsi="Times New Roman" w:cs="Times New Roman"/>
          <w:sz w:val="24"/>
          <w:szCs w:val="24"/>
        </w:rPr>
        <w:t>, stk. 1</w:t>
      </w:r>
      <w:r w:rsidR="00DE7A87" w:rsidRPr="00796736">
        <w:rPr>
          <w:rFonts w:ascii="Times New Roman" w:hAnsi="Times New Roman" w:cs="Times New Roman"/>
          <w:sz w:val="24"/>
          <w:szCs w:val="24"/>
        </w:rPr>
        <w:t xml:space="preserve"> og </w:t>
      </w:r>
      <w:r w:rsidR="002A3EF3" w:rsidRPr="00796736">
        <w:rPr>
          <w:rFonts w:ascii="Times New Roman" w:hAnsi="Times New Roman" w:cs="Times New Roman"/>
          <w:sz w:val="24"/>
          <w:szCs w:val="24"/>
        </w:rPr>
        <w:t>3</w:t>
      </w:r>
      <w:r w:rsidR="0069567A" w:rsidRPr="00796736">
        <w:rPr>
          <w:rFonts w:ascii="Times New Roman" w:hAnsi="Times New Roman" w:cs="Times New Roman"/>
          <w:sz w:val="24"/>
          <w:szCs w:val="24"/>
        </w:rPr>
        <w:t>.</w:t>
      </w:r>
    </w:p>
    <w:p w14:paraId="264993EB" w14:textId="3BA9B50C" w:rsidR="00183468" w:rsidRPr="00796736" w:rsidRDefault="00183468"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w:t>
      </w:r>
      <w:r w:rsidR="00A37183" w:rsidRPr="00796736">
        <w:rPr>
          <w:rFonts w:ascii="Times New Roman" w:hAnsi="Times New Roman" w:cs="Times New Roman"/>
          <w:sz w:val="24"/>
          <w:szCs w:val="24"/>
        </w:rPr>
        <w:fldChar w:fldCharType="begin"/>
      </w:r>
      <w:r w:rsidR="00A37183" w:rsidRPr="00796736">
        <w:rPr>
          <w:rFonts w:ascii="Times New Roman" w:hAnsi="Times New Roman" w:cs="Times New Roman"/>
          <w:sz w:val="24"/>
          <w:szCs w:val="24"/>
        </w:rPr>
        <w:instrText xml:space="preserve"> REF _Ref232597310 \r \h </w:instrText>
      </w:r>
      <w:r w:rsidR="00967618" w:rsidRPr="00796736">
        <w:rPr>
          <w:rFonts w:ascii="Times New Roman" w:hAnsi="Times New Roman" w:cs="Times New Roman"/>
          <w:sz w:val="24"/>
          <w:szCs w:val="24"/>
        </w:rPr>
        <w:instrText xml:space="preserve"> \* MERGEFORMAT </w:instrText>
      </w:r>
      <w:r w:rsidR="00A37183" w:rsidRPr="00796736">
        <w:rPr>
          <w:rFonts w:ascii="Times New Roman" w:hAnsi="Times New Roman" w:cs="Times New Roman"/>
          <w:sz w:val="24"/>
          <w:szCs w:val="24"/>
        </w:rPr>
      </w:r>
      <w:r w:rsidR="00A37183"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00A37183" w:rsidRPr="00796736">
        <w:rPr>
          <w:rFonts w:ascii="Times New Roman" w:hAnsi="Times New Roman" w:cs="Times New Roman"/>
          <w:sz w:val="24"/>
          <w:szCs w:val="24"/>
        </w:rPr>
        <w:fldChar w:fldCharType="end"/>
      </w:r>
      <w:r w:rsidR="00A37183"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 xml:space="preserve">fastlægger rammerne for, at Finanstilsynet kan gribe ind over for fysiske personer, der udøver væsentlig indflydelse eller kontrol over visse finansielle virksomheder, </w:t>
      </w:r>
      <w:r w:rsidR="0069567A" w:rsidRPr="00796736">
        <w:rPr>
          <w:rFonts w:ascii="Times New Roman" w:hAnsi="Times New Roman" w:cs="Times New Roman"/>
          <w:sz w:val="24"/>
          <w:szCs w:val="24"/>
        </w:rPr>
        <w:t xml:space="preserve">såfremt den pågældende ikke opfylder betingelserne i </w:t>
      </w:r>
      <w:r w:rsidR="0069567A" w:rsidRPr="00796736">
        <w:rPr>
          <w:rFonts w:ascii="Times New Roman" w:hAnsi="Times New Roman" w:cs="Times New Roman"/>
          <w:sz w:val="24"/>
          <w:szCs w:val="24"/>
        </w:rPr>
        <w:fldChar w:fldCharType="begin"/>
      </w:r>
      <w:r w:rsidR="0069567A" w:rsidRPr="00796736">
        <w:rPr>
          <w:rFonts w:ascii="Times New Roman" w:hAnsi="Times New Roman" w:cs="Times New Roman"/>
          <w:sz w:val="24"/>
          <w:szCs w:val="24"/>
        </w:rPr>
        <w:instrText xml:space="preserve"> REF _Ref232596808 \r \h  \* MERGEFORMAT </w:instrText>
      </w:r>
      <w:r w:rsidR="0069567A" w:rsidRPr="00796736">
        <w:rPr>
          <w:rFonts w:ascii="Times New Roman" w:hAnsi="Times New Roman" w:cs="Times New Roman"/>
          <w:sz w:val="24"/>
          <w:szCs w:val="24"/>
        </w:rPr>
      </w:r>
      <w:r w:rsidR="006956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69567A" w:rsidRPr="00796736">
        <w:rPr>
          <w:rFonts w:ascii="Times New Roman" w:hAnsi="Times New Roman" w:cs="Times New Roman"/>
          <w:sz w:val="24"/>
          <w:szCs w:val="24"/>
        </w:rPr>
        <w:fldChar w:fldCharType="end"/>
      </w:r>
      <w:r w:rsidR="0069567A" w:rsidRPr="00796736">
        <w:rPr>
          <w:rFonts w:ascii="Times New Roman" w:hAnsi="Times New Roman" w:cs="Times New Roman"/>
          <w:sz w:val="24"/>
          <w:szCs w:val="24"/>
        </w:rPr>
        <w:t xml:space="preserve">, stk. 1, og </w:t>
      </w:r>
      <w:r w:rsidR="0069567A" w:rsidRPr="00796736">
        <w:rPr>
          <w:rFonts w:ascii="Times New Roman" w:hAnsi="Times New Roman" w:cs="Times New Roman"/>
          <w:sz w:val="24"/>
          <w:szCs w:val="24"/>
        </w:rPr>
        <w:fldChar w:fldCharType="begin"/>
      </w:r>
      <w:r w:rsidR="0069567A" w:rsidRPr="00796736">
        <w:rPr>
          <w:rFonts w:ascii="Times New Roman" w:hAnsi="Times New Roman" w:cs="Times New Roman"/>
          <w:sz w:val="24"/>
          <w:szCs w:val="24"/>
        </w:rPr>
        <w:instrText xml:space="preserve"> REF _Ref232596960 \r \h  \* MERGEFORMAT </w:instrText>
      </w:r>
      <w:r w:rsidR="0069567A" w:rsidRPr="00796736">
        <w:rPr>
          <w:rFonts w:ascii="Times New Roman" w:hAnsi="Times New Roman" w:cs="Times New Roman"/>
          <w:sz w:val="24"/>
          <w:szCs w:val="24"/>
        </w:rPr>
      </w:r>
      <w:r w:rsidR="006956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69567A" w:rsidRPr="00796736">
        <w:rPr>
          <w:rFonts w:ascii="Times New Roman" w:hAnsi="Times New Roman" w:cs="Times New Roman"/>
          <w:sz w:val="24"/>
          <w:szCs w:val="24"/>
        </w:rPr>
        <w:fldChar w:fldCharType="end"/>
      </w:r>
      <w:r w:rsidR="0069567A" w:rsidRPr="00796736">
        <w:rPr>
          <w:rFonts w:ascii="Times New Roman" w:hAnsi="Times New Roman" w:cs="Times New Roman"/>
          <w:sz w:val="24"/>
          <w:szCs w:val="24"/>
        </w:rPr>
        <w:t>, stk. 1</w:t>
      </w:r>
      <w:r w:rsidR="00DE7A87" w:rsidRPr="00796736">
        <w:rPr>
          <w:rFonts w:ascii="Times New Roman" w:hAnsi="Times New Roman" w:cs="Times New Roman"/>
          <w:sz w:val="24"/>
          <w:szCs w:val="24"/>
        </w:rPr>
        <w:t xml:space="preserve"> og 3</w:t>
      </w:r>
      <w:r w:rsidR="0069567A" w:rsidRPr="00796736">
        <w:rPr>
          <w:rFonts w:ascii="Times New Roman" w:hAnsi="Times New Roman" w:cs="Times New Roman"/>
          <w:sz w:val="24"/>
          <w:szCs w:val="24"/>
        </w:rPr>
        <w:t>.</w:t>
      </w:r>
    </w:p>
    <w:p w14:paraId="64A1ACE9" w14:textId="5CF69595" w:rsidR="00183468" w:rsidRPr="00796736" w:rsidRDefault="00D16FB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er ny og </w:t>
      </w:r>
      <w:r w:rsidR="00183468" w:rsidRPr="00796736">
        <w:rPr>
          <w:rFonts w:ascii="Times New Roman" w:hAnsi="Times New Roman" w:cs="Times New Roman"/>
          <w:sz w:val="24"/>
          <w:szCs w:val="24"/>
        </w:rPr>
        <w:t xml:space="preserve">implementerer artikel 6, stk. 5, samt artikel 56, stk. 2, litra g, og stk. 4, i 6. hvidvaskdirektiv. </w:t>
      </w:r>
    </w:p>
    <w:p w14:paraId="35604259" w14:textId="77777777" w:rsidR="00183468" w:rsidRPr="00796736" w:rsidRDefault="00183468" w:rsidP="00A802A5">
      <w:pPr>
        <w:spacing w:line="360" w:lineRule="auto"/>
        <w:rPr>
          <w:rFonts w:ascii="Times New Roman" w:hAnsi="Times New Roman" w:cs="Times New Roman"/>
          <w:sz w:val="24"/>
          <w:szCs w:val="24"/>
        </w:rPr>
      </w:pPr>
    </w:p>
    <w:p w14:paraId="013FE6FE" w14:textId="70AF4251" w:rsidR="00EE26CC"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Finanstilsynet </w:t>
      </w:r>
      <w:r w:rsidR="002A3EF3" w:rsidRPr="00796736">
        <w:rPr>
          <w:rFonts w:ascii="Times New Roman" w:eastAsia="Calibri" w:hAnsi="Times New Roman" w:cs="Times New Roman"/>
          <w:sz w:val="24"/>
          <w:szCs w:val="24"/>
        </w:rPr>
        <w:t>kan påbyde en fysisk person, der direkte eller indirekte ejer eller kontrollerer minimum 25 pct. af kapitalandelen, ejerandelen, stemmerettighederne eller andre ejerskabsbeføjelser</w:t>
      </w:r>
      <w:r w:rsidR="00EE26CC" w:rsidRPr="00796736">
        <w:rPr>
          <w:rFonts w:ascii="Times New Roman" w:hAnsi="Times New Roman" w:cs="Times New Roman"/>
          <w:sz w:val="24"/>
          <w:szCs w:val="24"/>
        </w:rPr>
        <w:t xml:space="preserve"> i en virksomhed nævnt i  </w:t>
      </w:r>
      <w:r w:rsidR="00EE26CC" w:rsidRPr="00796736">
        <w:rPr>
          <w:rFonts w:ascii="Times New Roman" w:hAnsi="Times New Roman" w:cs="Times New Roman"/>
          <w:sz w:val="24"/>
          <w:szCs w:val="24"/>
        </w:rPr>
        <w:fldChar w:fldCharType="begin"/>
      </w:r>
      <w:r w:rsidR="00EE26CC" w:rsidRPr="00796736">
        <w:rPr>
          <w:rFonts w:ascii="Times New Roman" w:hAnsi="Times New Roman" w:cs="Times New Roman"/>
          <w:sz w:val="24"/>
          <w:szCs w:val="24"/>
        </w:rPr>
        <w:instrText xml:space="preserve"> REF _Ref232592818 \r \h  \* MERGEFORMAT </w:instrText>
      </w:r>
      <w:r w:rsidR="00EE26CC" w:rsidRPr="00796736">
        <w:rPr>
          <w:rFonts w:ascii="Times New Roman" w:hAnsi="Times New Roman" w:cs="Times New Roman"/>
          <w:sz w:val="24"/>
          <w:szCs w:val="24"/>
        </w:rPr>
      </w:r>
      <w:r w:rsidR="00EE26C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EE26CC" w:rsidRPr="00796736">
        <w:rPr>
          <w:rFonts w:ascii="Times New Roman" w:hAnsi="Times New Roman" w:cs="Times New Roman"/>
          <w:sz w:val="24"/>
          <w:szCs w:val="24"/>
        </w:rPr>
        <w:fldChar w:fldCharType="end"/>
      </w:r>
      <w:r w:rsidR="00EE26CC" w:rsidRPr="00796736">
        <w:rPr>
          <w:rFonts w:ascii="Times New Roman" w:hAnsi="Times New Roman" w:cs="Times New Roman"/>
          <w:sz w:val="24"/>
          <w:szCs w:val="24"/>
        </w:rPr>
        <w:t>, nr. 11, 14</w:t>
      </w:r>
      <w:r w:rsidR="005B4005">
        <w:rPr>
          <w:rFonts w:ascii="Times New Roman" w:hAnsi="Times New Roman" w:cs="Times New Roman"/>
          <w:sz w:val="24"/>
          <w:szCs w:val="24"/>
        </w:rPr>
        <w:t xml:space="preserve">, </w:t>
      </w:r>
      <w:r w:rsidR="00EE26CC" w:rsidRPr="00796736">
        <w:rPr>
          <w:rFonts w:ascii="Times New Roman" w:hAnsi="Times New Roman" w:cs="Times New Roman"/>
          <w:sz w:val="24"/>
          <w:szCs w:val="24"/>
        </w:rPr>
        <w:t xml:space="preserve">19, </w:t>
      </w:r>
      <w:r w:rsidR="005B4005">
        <w:rPr>
          <w:rFonts w:ascii="Times New Roman" w:hAnsi="Times New Roman" w:cs="Times New Roman"/>
          <w:sz w:val="24"/>
          <w:szCs w:val="24"/>
        </w:rPr>
        <w:t>og</w:t>
      </w:r>
      <w:r w:rsidR="0017649E">
        <w:rPr>
          <w:rFonts w:ascii="Times New Roman" w:hAnsi="Times New Roman" w:cs="Times New Roman"/>
          <w:sz w:val="24"/>
          <w:szCs w:val="24"/>
        </w:rPr>
        <w:t xml:space="preserve"> 32</w:t>
      </w:r>
      <w:r w:rsidR="00EE26CC" w:rsidRPr="00796736">
        <w:rPr>
          <w:rFonts w:ascii="Times New Roman" w:hAnsi="Times New Roman" w:cs="Times New Roman"/>
          <w:sz w:val="24"/>
          <w:szCs w:val="24"/>
        </w:rPr>
        <w:t xml:space="preserve">, litra a, at ophøre med at udøve kontrol, herunder afhænde sine ejerandele helt eller delvist inden for en af Finanstilsynet fastsat frist, </w:t>
      </w:r>
      <w:r w:rsidR="0069567A" w:rsidRPr="00796736">
        <w:rPr>
          <w:rFonts w:ascii="Times New Roman" w:hAnsi="Times New Roman" w:cs="Times New Roman"/>
          <w:sz w:val="24"/>
          <w:szCs w:val="24"/>
        </w:rPr>
        <w:t xml:space="preserve">såfremt den pågældende ikke opfylder betingelserne i </w:t>
      </w:r>
      <w:r w:rsidR="0069567A" w:rsidRPr="00796736">
        <w:rPr>
          <w:rFonts w:ascii="Times New Roman" w:hAnsi="Times New Roman" w:cs="Times New Roman"/>
          <w:sz w:val="24"/>
          <w:szCs w:val="24"/>
        </w:rPr>
        <w:fldChar w:fldCharType="begin"/>
      </w:r>
      <w:r w:rsidR="0069567A" w:rsidRPr="00796736">
        <w:rPr>
          <w:rFonts w:ascii="Times New Roman" w:hAnsi="Times New Roman" w:cs="Times New Roman"/>
          <w:sz w:val="24"/>
          <w:szCs w:val="24"/>
        </w:rPr>
        <w:instrText xml:space="preserve"> REF _Ref232596808 \r \h  \* MERGEFORMAT </w:instrText>
      </w:r>
      <w:r w:rsidR="0069567A" w:rsidRPr="00796736">
        <w:rPr>
          <w:rFonts w:ascii="Times New Roman" w:hAnsi="Times New Roman" w:cs="Times New Roman"/>
          <w:sz w:val="24"/>
          <w:szCs w:val="24"/>
        </w:rPr>
      </w:r>
      <w:r w:rsidR="006956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69567A" w:rsidRPr="00796736">
        <w:rPr>
          <w:rFonts w:ascii="Times New Roman" w:hAnsi="Times New Roman" w:cs="Times New Roman"/>
          <w:sz w:val="24"/>
          <w:szCs w:val="24"/>
        </w:rPr>
        <w:fldChar w:fldCharType="end"/>
      </w:r>
      <w:r w:rsidR="0069567A" w:rsidRPr="00796736">
        <w:rPr>
          <w:rFonts w:ascii="Times New Roman" w:hAnsi="Times New Roman" w:cs="Times New Roman"/>
          <w:sz w:val="24"/>
          <w:szCs w:val="24"/>
        </w:rPr>
        <w:t xml:space="preserve">, stk. 1, og </w:t>
      </w:r>
      <w:r w:rsidR="0069567A" w:rsidRPr="00796736">
        <w:rPr>
          <w:rFonts w:ascii="Times New Roman" w:hAnsi="Times New Roman" w:cs="Times New Roman"/>
          <w:sz w:val="24"/>
          <w:szCs w:val="24"/>
        </w:rPr>
        <w:fldChar w:fldCharType="begin"/>
      </w:r>
      <w:r w:rsidR="0069567A" w:rsidRPr="00796736">
        <w:rPr>
          <w:rFonts w:ascii="Times New Roman" w:hAnsi="Times New Roman" w:cs="Times New Roman"/>
          <w:sz w:val="24"/>
          <w:szCs w:val="24"/>
        </w:rPr>
        <w:instrText xml:space="preserve"> REF _Ref232596960 \r \h  \* MERGEFORMAT </w:instrText>
      </w:r>
      <w:r w:rsidR="0069567A" w:rsidRPr="00796736">
        <w:rPr>
          <w:rFonts w:ascii="Times New Roman" w:hAnsi="Times New Roman" w:cs="Times New Roman"/>
          <w:sz w:val="24"/>
          <w:szCs w:val="24"/>
        </w:rPr>
      </w:r>
      <w:r w:rsidR="006956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69567A" w:rsidRPr="00796736">
        <w:rPr>
          <w:rFonts w:ascii="Times New Roman" w:hAnsi="Times New Roman" w:cs="Times New Roman"/>
          <w:sz w:val="24"/>
          <w:szCs w:val="24"/>
        </w:rPr>
        <w:fldChar w:fldCharType="end"/>
      </w:r>
      <w:r w:rsidR="0069567A" w:rsidRPr="00796736">
        <w:rPr>
          <w:rFonts w:ascii="Times New Roman" w:hAnsi="Times New Roman" w:cs="Times New Roman"/>
          <w:sz w:val="24"/>
          <w:szCs w:val="24"/>
        </w:rPr>
        <w:t>, stk. 1</w:t>
      </w:r>
      <w:r w:rsidR="00DE7A87" w:rsidRPr="00796736">
        <w:rPr>
          <w:rFonts w:ascii="Times New Roman" w:hAnsi="Times New Roman" w:cs="Times New Roman"/>
          <w:sz w:val="24"/>
          <w:szCs w:val="24"/>
        </w:rPr>
        <w:t xml:space="preserve"> og </w:t>
      </w:r>
      <w:r w:rsidR="002A3EF3" w:rsidRPr="00796736">
        <w:rPr>
          <w:rFonts w:ascii="Times New Roman" w:hAnsi="Times New Roman" w:cs="Times New Roman"/>
          <w:sz w:val="24"/>
          <w:szCs w:val="24"/>
        </w:rPr>
        <w:t>3</w:t>
      </w:r>
      <w:r w:rsidR="0069567A" w:rsidRPr="00796736">
        <w:rPr>
          <w:rFonts w:ascii="Times New Roman" w:hAnsi="Times New Roman" w:cs="Times New Roman"/>
          <w:sz w:val="24"/>
          <w:szCs w:val="24"/>
        </w:rPr>
        <w:t>.</w:t>
      </w:r>
    </w:p>
    <w:p w14:paraId="0DA8AFCC" w14:textId="77777777" w:rsidR="00183468" w:rsidRDefault="00183468" w:rsidP="00A802A5">
      <w:pPr>
        <w:spacing w:line="360" w:lineRule="auto"/>
        <w:rPr>
          <w:rFonts w:ascii="Times New Roman" w:hAnsi="Times New Roman" w:cs="Times New Roman"/>
          <w:sz w:val="24"/>
          <w:szCs w:val="24"/>
        </w:rPr>
      </w:pPr>
    </w:p>
    <w:p w14:paraId="0839A10C" w14:textId="0719B323" w:rsidR="00FF733E" w:rsidRDefault="00FF733E" w:rsidP="00A802A5">
      <w:pPr>
        <w:spacing w:line="360" w:lineRule="auto"/>
        <w:rPr>
          <w:rFonts w:ascii="Times New Roman" w:hAnsi="Times New Roman" w:cs="Times New Roman"/>
          <w:sz w:val="24"/>
          <w:szCs w:val="24"/>
        </w:rPr>
      </w:pPr>
      <w:r w:rsidRPr="00FF733E">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7F74149C" w14:textId="77777777" w:rsidR="00FF733E" w:rsidRPr="00796736" w:rsidRDefault="00FF733E" w:rsidP="00A802A5">
      <w:pPr>
        <w:spacing w:line="360" w:lineRule="auto"/>
        <w:rPr>
          <w:rFonts w:ascii="Times New Roman" w:hAnsi="Times New Roman" w:cs="Times New Roman"/>
          <w:sz w:val="24"/>
          <w:szCs w:val="24"/>
        </w:rPr>
      </w:pPr>
    </w:p>
    <w:p w14:paraId="1B6CE8EC" w14:textId="48BC6772" w:rsidR="00183468" w:rsidRPr="00796736" w:rsidRDefault="00D2490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w:t>
      </w:r>
      <w:r w:rsidR="00183468" w:rsidRPr="00796736">
        <w:rPr>
          <w:rFonts w:ascii="Times New Roman" w:hAnsi="Times New Roman" w:cs="Times New Roman"/>
          <w:sz w:val="24"/>
          <w:szCs w:val="24"/>
        </w:rPr>
        <w:t xml:space="preserve">i </w:t>
      </w:r>
      <w:r w:rsidR="00A37183" w:rsidRPr="00796736">
        <w:rPr>
          <w:rFonts w:ascii="Times New Roman" w:hAnsi="Times New Roman" w:cs="Times New Roman"/>
          <w:sz w:val="24"/>
          <w:szCs w:val="24"/>
        </w:rPr>
        <w:fldChar w:fldCharType="begin"/>
      </w:r>
      <w:r w:rsidR="00A37183" w:rsidRPr="00796736">
        <w:rPr>
          <w:rFonts w:ascii="Times New Roman" w:hAnsi="Times New Roman" w:cs="Times New Roman"/>
          <w:sz w:val="24"/>
          <w:szCs w:val="24"/>
        </w:rPr>
        <w:instrText xml:space="preserve"> REF _Ref232597310 \r \h </w:instrText>
      </w:r>
      <w:r w:rsidR="00967618" w:rsidRPr="00796736">
        <w:rPr>
          <w:rFonts w:ascii="Times New Roman" w:hAnsi="Times New Roman" w:cs="Times New Roman"/>
          <w:sz w:val="24"/>
          <w:szCs w:val="24"/>
        </w:rPr>
        <w:instrText xml:space="preserve"> \* MERGEFORMAT </w:instrText>
      </w:r>
      <w:r w:rsidR="00A37183" w:rsidRPr="00796736">
        <w:rPr>
          <w:rFonts w:ascii="Times New Roman" w:hAnsi="Times New Roman" w:cs="Times New Roman"/>
          <w:sz w:val="24"/>
          <w:szCs w:val="24"/>
        </w:rPr>
      </w:r>
      <w:r w:rsidR="00A37183"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00A37183" w:rsidRPr="00796736">
        <w:rPr>
          <w:rFonts w:ascii="Times New Roman" w:hAnsi="Times New Roman" w:cs="Times New Roman"/>
          <w:sz w:val="24"/>
          <w:szCs w:val="24"/>
        </w:rPr>
        <w:fldChar w:fldCharType="end"/>
      </w:r>
      <w:r w:rsidR="00A37183" w:rsidRPr="00796736">
        <w:rPr>
          <w:rFonts w:ascii="Times New Roman" w:hAnsi="Times New Roman" w:cs="Times New Roman"/>
          <w:sz w:val="24"/>
          <w:szCs w:val="24"/>
        </w:rPr>
        <w:t xml:space="preserve"> </w:t>
      </w:r>
      <w:r w:rsidR="00825418" w:rsidRPr="00796736">
        <w:rPr>
          <w:rFonts w:ascii="Times New Roman" w:hAnsi="Times New Roman" w:cs="Times New Roman"/>
          <w:sz w:val="24"/>
          <w:szCs w:val="24"/>
        </w:rPr>
        <w:t>sikrer, at personer, der udøver væsentlig indflydelse eller kontrol over finansielle virksomheder, opfylder de krav til hæderlighed og integritet, som følger af den finansielle regulering. Den foreslåede bestemmelse understøtter Finanstilsynets mulighed for at gribe ind over for ejere eller kontrollerende personer, der ikke længere anses for hæderlige til at udøve væsentlig indflydelse på finansielle virksomheder.</w:t>
      </w:r>
    </w:p>
    <w:p w14:paraId="3C3067F9" w14:textId="77777777" w:rsidR="00183468" w:rsidRPr="00796736" w:rsidRDefault="00183468" w:rsidP="00A802A5">
      <w:pPr>
        <w:spacing w:line="360" w:lineRule="auto"/>
        <w:rPr>
          <w:rFonts w:ascii="Times New Roman" w:hAnsi="Times New Roman" w:cs="Times New Roman"/>
          <w:b/>
          <w:bCs/>
          <w:sz w:val="24"/>
          <w:szCs w:val="24"/>
        </w:rPr>
      </w:pPr>
    </w:p>
    <w:p w14:paraId="281184D0" w14:textId="7484D47B"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omfatter fysiske personer, </w:t>
      </w:r>
      <w:r w:rsidR="003A1024" w:rsidRPr="00796736">
        <w:rPr>
          <w:rFonts w:ascii="Times New Roman" w:eastAsia="Calibri" w:hAnsi="Times New Roman" w:cs="Times New Roman"/>
          <w:sz w:val="24"/>
          <w:szCs w:val="24"/>
        </w:rPr>
        <w:t>der direkte eller indirekte ejer eller kontrollerer minimum 25 pct. af kapitalandelen, ejerandelen, stemmerettighederne eller andre ejerskabsbeføjelser</w:t>
      </w:r>
      <w:r w:rsidR="003A1024"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 virksomheder nævnt i </w:t>
      </w:r>
      <w:r w:rsidR="001F2D63" w:rsidRPr="00796736">
        <w:rPr>
          <w:rFonts w:ascii="Times New Roman" w:hAnsi="Times New Roman" w:cs="Times New Roman"/>
          <w:sz w:val="24"/>
          <w:szCs w:val="24"/>
        </w:rPr>
        <w:fldChar w:fldCharType="begin"/>
      </w:r>
      <w:r w:rsidR="001F2D63" w:rsidRPr="00796736">
        <w:rPr>
          <w:rFonts w:ascii="Times New Roman" w:hAnsi="Times New Roman" w:cs="Times New Roman"/>
          <w:sz w:val="24"/>
          <w:szCs w:val="24"/>
        </w:rPr>
        <w:instrText xml:space="preserve"> REF _Ref232592818 \r \h  \* MERGEFORMAT </w:instrText>
      </w:r>
      <w:r w:rsidR="001F2D63" w:rsidRPr="00796736">
        <w:rPr>
          <w:rFonts w:ascii="Times New Roman" w:hAnsi="Times New Roman" w:cs="Times New Roman"/>
          <w:sz w:val="24"/>
          <w:szCs w:val="24"/>
        </w:rPr>
      </w:r>
      <w:r w:rsidR="001F2D63"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1F2D63" w:rsidRPr="00796736">
        <w:rPr>
          <w:rFonts w:ascii="Times New Roman" w:hAnsi="Times New Roman" w:cs="Times New Roman"/>
          <w:sz w:val="24"/>
          <w:szCs w:val="24"/>
        </w:rPr>
        <w:fldChar w:fldCharType="end"/>
      </w:r>
      <w:r w:rsidR="001F2D63" w:rsidRPr="00796736">
        <w:rPr>
          <w:rFonts w:ascii="Times New Roman" w:hAnsi="Times New Roman" w:cs="Times New Roman"/>
          <w:sz w:val="24"/>
          <w:szCs w:val="24"/>
        </w:rPr>
        <w:t>, nr. 11, 14</w:t>
      </w:r>
      <w:r w:rsidR="00F17E1A">
        <w:rPr>
          <w:rFonts w:ascii="Times New Roman" w:hAnsi="Times New Roman" w:cs="Times New Roman"/>
          <w:sz w:val="24"/>
          <w:szCs w:val="24"/>
        </w:rPr>
        <w:t xml:space="preserve">, </w:t>
      </w:r>
      <w:r w:rsidR="001F2D63" w:rsidRPr="00796736">
        <w:rPr>
          <w:rFonts w:ascii="Times New Roman" w:hAnsi="Times New Roman" w:cs="Times New Roman"/>
          <w:sz w:val="24"/>
          <w:szCs w:val="24"/>
        </w:rPr>
        <w:t>19</w:t>
      </w:r>
      <w:r w:rsidR="00F17E1A">
        <w:rPr>
          <w:rFonts w:ascii="Times New Roman" w:hAnsi="Times New Roman" w:cs="Times New Roman"/>
          <w:sz w:val="24"/>
          <w:szCs w:val="24"/>
        </w:rPr>
        <w:t xml:space="preserve"> </w:t>
      </w:r>
      <w:r w:rsidR="00C17609">
        <w:rPr>
          <w:rFonts w:ascii="Times New Roman" w:hAnsi="Times New Roman" w:cs="Times New Roman"/>
          <w:sz w:val="24"/>
          <w:szCs w:val="24"/>
        </w:rPr>
        <w:t>og</w:t>
      </w:r>
      <w:r w:rsidR="00C17609" w:rsidRPr="00796736">
        <w:rPr>
          <w:rFonts w:ascii="Times New Roman" w:hAnsi="Times New Roman" w:cs="Times New Roman"/>
          <w:sz w:val="24"/>
          <w:szCs w:val="24"/>
        </w:rPr>
        <w:t xml:space="preserve"> </w:t>
      </w:r>
      <w:r w:rsidR="001F2D63" w:rsidRPr="00796736">
        <w:rPr>
          <w:rFonts w:ascii="Times New Roman" w:hAnsi="Times New Roman" w:cs="Times New Roman"/>
          <w:sz w:val="24"/>
          <w:szCs w:val="24"/>
        </w:rPr>
        <w:t>32, litra a</w:t>
      </w:r>
      <w:r w:rsidR="00441A98" w:rsidRPr="00796736">
        <w:rPr>
          <w:rFonts w:ascii="Times New Roman" w:hAnsi="Times New Roman" w:cs="Times New Roman"/>
          <w:sz w:val="24"/>
          <w:szCs w:val="24"/>
        </w:rPr>
        <w:t xml:space="preserve">, </w:t>
      </w:r>
      <w:r w:rsidR="008A50A3" w:rsidRPr="00796736">
        <w:rPr>
          <w:rFonts w:ascii="Times New Roman" w:hAnsi="Times New Roman" w:cs="Times New Roman"/>
          <w:sz w:val="24"/>
          <w:szCs w:val="24"/>
        </w:rPr>
        <w:t>hvilket blandt andet omfatter valutavekslingsvirksomheder, crowdfundingformidlere, finansielle holdingselskaber med blandet aktivitet samt ikke-finansielle holdingselskaber med blandet aktivitet, når selskabet har et datterselskab, der udøver virksomhed som crowdfundingtjenesteudbyder eller crowdfundingformidler som defineret i artikel 3, nr. 3, litra h, eller som kreditformidler, som defineret i artikel 3, nr. 3, litra k.</w:t>
      </w:r>
    </w:p>
    <w:p w14:paraId="64FD97FC" w14:textId="77777777" w:rsidR="00BC7472" w:rsidRPr="00796736" w:rsidRDefault="00BC7472" w:rsidP="00A802A5">
      <w:pPr>
        <w:spacing w:line="360" w:lineRule="auto"/>
        <w:rPr>
          <w:rFonts w:ascii="Times New Roman" w:hAnsi="Times New Roman" w:cs="Times New Roman"/>
          <w:sz w:val="24"/>
          <w:szCs w:val="24"/>
        </w:rPr>
      </w:pPr>
    </w:p>
    <w:p w14:paraId="25A7CEB7" w14:textId="44E35B81" w:rsidR="00AE60C4" w:rsidRPr="00796736" w:rsidRDefault="00BC7472"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rPr>
        <w:t>En reel ejer skal forstås i overensstemmelse med definitionen i hvidvaskforordningen artikel 2, stk. 1, nr. 28, hvorefter en reel ejer skal forstås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hvidvaskforordningens kapitel 4.</w:t>
      </w:r>
    </w:p>
    <w:p w14:paraId="07640C9B" w14:textId="31B213C7" w:rsidR="00013DEE" w:rsidRPr="00796736" w:rsidRDefault="00013DEE" w:rsidP="00A802A5">
      <w:pPr>
        <w:spacing w:line="360" w:lineRule="auto"/>
        <w:rPr>
          <w:rFonts w:ascii="Times New Roman" w:hAnsi="Times New Roman" w:cs="Times New Roman"/>
          <w:sz w:val="24"/>
          <w:szCs w:val="24"/>
        </w:rPr>
      </w:pPr>
    </w:p>
    <w:p w14:paraId="6AB6FD6E" w14:textId="3528D903" w:rsidR="00EE26CC" w:rsidRPr="00796736" w:rsidRDefault="00EE26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at </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ophøre med at udøve kontrol</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xml:space="preserve"> forstås, at den pågældende fysiske person ikke længere direkte eller indirekte har mulighed for at udøve bestemmende indflydelse over virksomheden. Med </w:t>
      </w:r>
      <w:r w:rsidR="0036672D" w:rsidRPr="00796736">
        <w:rPr>
          <w:rFonts w:ascii="Times New Roman" w:hAnsi="Times New Roman" w:cs="Times New Roman"/>
          <w:sz w:val="24"/>
          <w:szCs w:val="24"/>
        </w:rPr>
        <w:t>det foreslåede krav</w:t>
      </w:r>
      <w:r w:rsidRPr="00796736">
        <w:rPr>
          <w:rFonts w:ascii="Times New Roman" w:hAnsi="Times New Roman" w:cs="Times New Roman"/>
          <w:sz w:val="24"/>
          <w:szCs w:val="24"/>
        </w:rPr>
        <w:t xml:space="preserve"> om ophør af kontrol, skal personen nedbringer sin ejerandel eller sine stemmerettigheder til under en nærmere angivet grænse, hvis det er nødvendigt for at sikre, at virksomheden ikke kontrolleres af personer, der ikke opfylder kravene til egnethed og hæderlighed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w:t>
      </w:r>
      <w:r w:rsidR="00DE7A87" w:rsidRPr="00796736">
        <w:rPr>
          <w:rFonts w:ascii="Times New Roman" w:hAnsi="Times New Roman" w:cs="Times New Roman"/>
          <w:sz w:val="24"/>
          <w:szCs w:val="24"/>
        </w:rPr>
        <w:t xml:space="preserve"> og </w:t>
      </w:r>
      <w:r w:rsidR="003A1024" w:rsidRPr="00796736">
        <w:rPr>
          <w:rFonts w:ascii="Times New Roman" w:hAnsi="Times New Roman" w:cs="Times New Roman"/>
          <w:sz w:val="24"/>
          <w:szCs w:val="24"/>
        </w:rPr>
        <w:t>3</w:t>
      </w:r>
      <w:r w:rsidRPr="00796736">
        <w:rPr>
          <w:rFonts w:ascii="Times New Roman" w:hAnsi="Times New Roman" w:cs="Times New Roman"/>
          <w:sz w:val="24"/>
          <w:szCs w:val="24"/>
        </w:rPr>
        <w:t>.</w:t>
      </w:r>
    </w:p>
    <w:p w14:paraId="0925452C" w14:textId="77777777" w:rsidR="00EE26CC" w:rsidRPr="00796736" w:rsidRDefault="00EE26CC" w:rsidP="00A802A5">
      <w:pPr>
        <w:spacing w:line="360" w:lineRule="auto"/>
        <w:rPr>
          <w:rFonts w:ascii="Times New Roman" w:hAnsi="Times New Roman" w:cs="Times New Roman"/>
          <w:sz w:val="24"/>
          <w:szCs w:val="24"/>
        </w:rPr>
      </w:pPr>
    </w:p>
    <w:p w14:paraId="75DB709D" w14:textId="77777777" w:rsidR="00EE26CC" w:rsidRPr="00796736" w:rsidRDefault="00EE26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om at ophøre med at udøve kontrol indebærer således, at den pågældende skal nedbringe sin direkte eller indirekte ejerandel til et niveau, hvor ejerandelen ikke længere giver mulighed for at udøve bestemmende indflydelse over virksomheden. </w:t>
      </w:r>
    </w:p>
    <w:p w14:paraId="7E7C29BF" w14:textId="77777777" w:rsidR="00EE26CC" w:rsidRPr="00796736" w:rsidRDefault="00EE26CC" w:rsidP="00A802A5">
      <w:pPr>
        <w:spacing w:line="360" w:lineRule="auto"/>
        <w:rPr>
          <w:rFonts w:ascii="Times New Roman" w:hAnsi="Times New Roman" w:cs="Times New Roman"/>
          <w:sz w:val="24"/>
          <w:szCs w:val="24"/>
        </w:rPr>
      </w:pPr>
    </w:p>
    <w:p w14:paraId="7C5A882F" w14:textId="106F8A4F" w:rsidR="00EE26CC" w:rsidRPr="00796736" w:rsidRDefault="00EE26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vil i den forbindelse ikke alene kunne lægge vægt på den formelle ejerandel, men også på den faktiske indflydelse, som ejeren direkte eller indirekte kan udøve over virksomheden. Vurderingen kan blandt andet omfatte tilfælde, hvor en person gennem direkte eller indirekte ejerskab, stemmerettigheder, aftaler, vedtægtsbestemmelser, koncernforhold eller andre former for indflydelse har mulighed for at påvirke virksomhedens ledelse, drift eller væsentlige beslutninger.</w:t>
      </w:r>
    </w:p>
    <w:p w14:paraId="38276065" w14:textId="77777777" w:rsidR="00EE26CC" w:rsidRPr="00796736" w:rsidRDefault="00EE26CC" w:rsidP="00A802A5">
      <w:pPr>
        <w:spacing w:line="360" w:lineRule="auto"/>
        <w:rPr>
          <w:rFonts w:ascii="Times New Roman" w:hAnsi="Times New Roman" w:cs="Times New Roman"/>
          <w:sz w:val="24"/>
          <w:szCs w:val="24"/>
        </w:rPr>
      </w:pPr>
    </w:p>
    <w:p w14:paraId="59A9DD21" w14:textId="7C3F703D" w:rsidR="00EE26CC" w:rsidRPr="00796736" w:rsidRDefault="00EE26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Hvis personens ejerskab beror på en selskabsretlig holdingstruktur med flere selskaber eller lignende, er det ikke et krav, at nedbringelsen af ejerskabet sker i det selskab, som direkte ejer virksomheden omfattet af § 2, nr. 11, 14</w:t>
      </w:r>
      <w:r w:rsidR="005B4005">
        <w:rPr>
          <w:rFonts w:ascii="Times New Roman" w:hAnsi="Times New Roman" w:cs="Times New Roman"/>
          <w:sz w:val="24"/>
          <w:szCs w:val="24"/>
        </w:rPr>
        <w:t xml:space="preserve">, </w:t>
      </w:r>
      <w:r w:rsidRPr="00796736">
        <w:rPr>
          <w:rFonts w:ascii="Times New Roman" w:hAnsi="Times New Roman" w:cs="Times New Roman"/>
          <w:sz w:val="24"/>
          <w:szCs w:val="24"/>
        </w:rPr>
        <w:t xml:space="preserve">19, </w:t>
      </w:r>
      <w:r w:rsidR="005B4005">
        <w:rPr>
          <w:rFonts w:ascii="Times New Roman" w:hAnsi="Times New Roman" w:cs="Times New Roman"/>
          <w:sz w:val="24"/>
          <w:szCs w:val="24"/>
        </w:rPr>
        <w:t>og</w:t>
      </w:r>
      <w:r w:rsidRPr="00796736">
        <w:rPr>
          <w:rFonts w:ascii="Times New Roman" w:hAnsi="Times New Roman" w:cs="Times New Roman"/>
          <w:sz w:val="24"/>
          <w:szCs w:val="24"/>
        </w:rPr>
        <w:t xml:space="preserve"> 32, litra a. Det afgørende er, at personens samlede direkte eller indirekte ejerskab eller øvrige kontrolmulighed bringes ned til et niveau, hvor personen ikke længere kan udøve bestemmende indflydelse over virksomheden.</w:t>
      </w:r>
    </w:p>
    <w:p w14:paraId="64951E0B" w14:textId="77777777" w:rsidR="00EE26CC" w:rsidRPr="00796736" w:rsidRDefault="00EE26CC" w:rsidP="00A802A5">
      <w:pPr>
        <w:spacing w:line="360" w:lineRule="auto"/>
        <w:rPr>
          <w:rFonts w:ascii="Times New Roman" w:hAnsi="Times New Roman" w:cs="Times New Roman"/>
          <w:sz w:val="24"/>
          <w:szCs w:val="24"/>
        </w:rPr>
      </w:pPr>
    </w:p>
    <w:p w14:paraId="47AE6AC8" w14:textId="151BBD1E" w:rsidR="00EE26CC" w:rsidRPr="00796736" w:rsidRDefault="00EE26C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om at ophøre med at udøve kontrol kan eksempelvis indebære, at en person, der ejer </w:t>
      </w:r>
      <w:r w:rsidR="003A1024" w:rsidRPr="00796736">
        <w:rPr>
          <w:rFonts w:ascii="Times New Roman" w:hAnsi="Times New Roman" w:cs="Times New Roman"/>
          <w:sz w:val="24"/>
          <w:szCs w:val="24"/>
        </w:rPr>
        <w:t>25</w:t>
      </w:r>
      <w:r w:rsidRPr="00796736">
        <w:rPr>
          <w:rFonts w:ascii="Times New Roman" w:hAnsi="Times New Roman" w:cs="Times New Roman"/>
          <w:sz w:val="24"/>
          <w:szCs w:val="24"/>
        </w:rPr>
        <w:t xml:space="preserve"> pct. af en virksomhed omfattet af § 2, nr. 11, 14</w:t>
      </w:r>
      <w:r w:rsidR="005B4005">
        <w:rPr>
          <w:rFonts w:ascii="Times New Roman" w:hAnsi="Times New Roman" w:cs="Times New Roman"/>
          <w:sz w:val="24"/>
          <w:szCs w:val="24"/>
        </w:rPr>
        <w:t xml:space="preserve">, </w:t>
      </w:r>
      <w:r w:rsidRPr="00796736">
        <w:rPr>
          <w:rFonts w:ascii="Times New Roman" w:hAnsi="Times New Roman" w:cs="Times New Roman"/>
          <w:sz w:val="24"/>
          <w:szCs w:val="24"/>
        </w:rPr>
        <w:t xml:space="preserve">19, </w:t>
      </w:r>
      <w:r w:rsidR="005B4005">
        <w:rPr>
          <w:rFonts w:ascii="Times New Roman" w:hAnsi="Times New Roman" w:cs="Times New Roman"/>
          <w:sz w:val="24"/>
          <w:szCs w:val="24"/>
        </w:rPr>
        <w:t>og</w:t>
      </w:r>
      <w:r w:rsidRPr="00796736">
        <w:rPr>
          <w:rFonts w:ascii="Times New Roman" w:hAnsi="Times New Roman" w:cs="Times New Roman"/>
          <w:sz w:val="24"/>
          <w:szCs w:val="24"/>
        </w:rPr>
        <w:t xml:space="preserve"> 32, litra a, skal nedbringe sin ejerandel til under 1</w:t>
      </w:r>
      <w:r w:rsidR="003A1024" w:rsidRPr="00796736">
        <w:rPr>
          <w:rFonts w:ascii="Times New Roman" w:hAnsi="Times New Roman" w:cs="Times New Roman"/>
          <w:sz w:val="24"/>
          <w:szCs w:val="24"/>
        </w:rPr>
        <w:t>5</w:t>
      </w:r>
      <w:r w:rsidRPr="00796736">
        <w:rPr>
          <w:rFonts w:ascii="Times New Roman" w:hAnsi="Times New Roman" w:cs="Times New Roman"/>
          <w:sz w:val="24"/>
          <w:szCs w:val="24"/>
        </w:rPr>
        <w:t xml:space="preserve"> pct., hvis dette er nødvendigt for, at personen ikke længere kan udøve betydelig eller bestemmende indflydelse over virksomheden. Det afgørende vil dog altid være, om den pågældende efter nedbringelsen fortsat har mulighed for at udøve kontrol, herunder gennem stemmerettigheder, aftaler, koncernforhold eller andre arrangementer.</w:t>
      </w:r>
    </w:p>
    <w:p w14:paraId="4320F2BC" w14:textId="77777777" w:rsidR="00183468" w:rsidRPr="00796736" w:rsidRDefault="00183468" w:rsidP="00A802A5">
      <w:pPr>
        <w:spacing w:line="360" w:lineRule="auto"/>
        <w:rPr>
          <w:rFonts w:ascii="Times New Roman" w:hAnsi="Times New Roman" w:cs="Times New Roman"/>
          <w:sz w:val="24"/>
          <w:szCs w:val="24"/>
        </w:rPr>
      </w:pPr>
    </w:p>
    <w:p w14:paraId="620CE199" w14:textId="0EF49F5F"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at </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afhænde ejerandele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xml:space="preserve"> forstås, at den pågældende person skal overdrage, sælge eller på anden måde afgive ejerskabet til sine ejerandele, således at personen ikke længere opfylder kriterierne for at have kvalificerede ejerandele eller udøve kontrol over virksomheden. Afhændelsen skal ske på en måde, der reelt og varigt bringer ejerskabet eller kontrollen til ophør, og således at den pågældende ikke længere har bestemmende indflydelse, direkte eller indirekte, over virksomheden. Det kan eksempelvis ske ved salg af aktier eller anparter, overdragelse af ejerandele til tredjemand, eller ved at indgå aftaler, der bringer stemmeret eller kontrol til ophør. Det er afgørende, at afhændelsen er reel og ikke blot formel, og at den pågældende ikke bevarer nogen form for bestemmende indflydelse over virksomheden.</w:t>
      </w:r>
    </w:p>
    <w:p w14:paraId="145F4346" w14:textId="77777777" w:rsidR="007A3B6A" w:rsidRPr="00796736" w:rsidRDefault="007A3B6A" w:rsidP="00A802A5">
      <w:pPr>
        <w:spacing w:line="360" w:lineRule="auto"/>
        <w:rPr>
          <w:rFonts w:ascii="Times New Roman" w:hAnsi="Times New Roman" w:cs="Times New Roman"/>
          <w:sz w:val="24"/>
          <w:szCs w:val="24"/>
        </w:rPr>
      </w:pPr>
    </w:p>
    <w:p w14:paraId="781606B1" w14:textId="13C80892" w:rsidR="008A50A3"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omfatter også personer, der udøver kontrol på anden vis, eksempelvis gennem aftaler, stemmeaftaler eller andre arrangementer, der reelt giver kontrol over virksomheden, uanset om dette sker via ejerandele eller ej.</w:t>
      </w:r>
    </w:p>
    <w:p w14:paraId="1C000C17" w14:textId="77777777" w:rsidR="00183468" w:rsidRPr="00796736" w:rsidRDefault="00183468" w:rsidP="00A802A5">
      <w:pPr>
        <w:spacing w:line="360" w:lineRule="auto"/>
        <w:rPr>
          <w:rFonts w:ascii="Times New Roman" w:hAnsi="Times New Roman" w:cs="Times New Roman"/>
          <w:b/>
          <w:bCs/>
          <w:sz w:val="24"/>
          <w:szCs w:val="24"/>
        </w:rPr>
      </w:pPr>
    </w:p>
    <w:p w14:paraId="7C3685DE" w14:textId="5A885E6D" w:rsidR="004B4F62"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udstede påbud om, at den pågældende person skal afhænde sine ejerandele eller ophøre med at udøve kontrol inden for en frist fastsat af Finanstilsynet. Påbud</w:t>
      </w:r>
      <w:r w:rsidR="00441A98" w:rsidRPr="00796736">
        <w:rPr>
          <w:rFonts w:ascii="Times New Roman" w:hAnsi="Times New Roman" w:cs="Times New Roman"/>
          <w:sz w:val="24"/>
          <w:szCs w:val="24"/>
        </w:rPr>
        <w:t>det</w:t>
      </w:r>
      <w:r w:rsidRPr="00796736">
        <w:rPr>
          <w:rFonts w:ascii="Times New Roman" w:hAnsi="Times New Roman" w:cs="Times New Roman"/>
          <w:sz w:val="24"/>
          <w:szCs w:val="24"/>
        </w:rPr>
        <w:t xml:space="preserve"> </w:t>
      </w:r>
      <w:r w:rsidR="00441A98" w:rsidRPr="00796736">
        <w:rPr>
          <w:rFonts w:ascii="Times New Roman" w:hAnsi="Times New Roman" w:cs="Times New Roman"/>
          <w:sz w:val="24"/>
          <w:szCs w:val="24"/>
        </w:rPr>
        <w:t>meddeles</w:t>
      </w:r>
      <w:r w:rsidRPr="00796736">
        <w:rPr>
          <w:rFonts w:ascii="Times New Roman" w:hAnsi="Times New Roman" w:cs="Times New Roman"/>
          <w:sz w:val="24"/>
          <w:szCs w:val="24"/>
        </w:rPr>
        <w:t xml:space="preserve">, </w:t>
      </w:r>
      <w:r w:rsidR="0069567A" w:rsidRPr="00796736">
        <w:rPr>
          <w:rFonts w:ascii="Times New Roman" w:hAnsi="Times New Roman" w:cs="Times New Roman"/>
          <w:sz w:val="24"/>
          <w:szCs w:val="24"/>
        </w:rPr>
        <w:t xml:space="preserve">såfremt den pågældende ikke opfylder betingelserne i </w:t>
      </w:r>
      <w:r w:rsidR="0069567A" w:rsidRPr="00796736">
        <w:rPr>
          <w:rFonts w:ascii="Times New Roman" w:hAnsi="Times New Roman" w:cs="Times New Roman"/>
          <w:sz w:val="24"/>
          <w:szCs w:val="24"/>
        </w:rPr>
        <w:fldChar w:fldCharType="begin"/>
      </w:r>
      <w:r w:rsidR="0069567A" w:rsidRPr="00796736">
        <w:rPr>
          <w:rFonts w:ascii="Times New Roman" w:hAnsi="Times New Roman" w:cs="Times New Roman"/>
          <w:sz w:val="24"/>
          <w:szCs w:val="24"/>
        </w:rPr>
        <w:instrText xml:space="preserve"> REF _Ref232596808 \r \h  \* MERGEFORMAT </w:instrText>
      </w:r>
      <w:r w:rsidR="0069567A" w:rsidRPr="00796736">
        <w:rPr>
          <w:rFonts w:ascii="Times New Roman" w:hAnsi="Times New Roman" w:cs="Times New Roman"/>
          <w:sz w:val="24"/>
          <w:szCs w:val="24"/>
        </w:rPr>
      </w:r>
      <w:r w:rsidR="006956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69567A" w:rsidRPr="00796736">
        <w:rPr>
          <w:rFonts w:ascii="Times New Roman" w:hAnsi="Times New Roman" w:cs="Times New Roman"/>
          <w:sz w:val="24"/>
          <w:szCs w:val="24"/>
        </w:rPr>
        <w:fldChar w:fldCharType="end"/>
      </w:r>
      <w:r w:rsidR="0069567A" w:rsidRPr="00796736">
        <w:rPr>
          <w:rFonts w:ascii="Times New Roman" w:hAnsi="Times New Roman" w:cs="Times New Roman"/>
          <w:sz w:val="24"/>
          <w:szCs w:val="24"/>
        </w:rPr>
        <w:t xml:space="preserve">, stk. 1, og </w:t>
      </w:r>
      <w:r w:rsidR="0069567A" w:rsidRPr="00796736">
        <w:rPr>
          <w:rFonts w:ascii="Times New Roman" w:hAnsi="Times New Roman" w:cs="Times New Roman"/>
          <w:sz w:val="24"/>
          <w:szCs w:val="24"/>
        </w:rPr>
        <w:fldChar w:fldCharType="begin"/>
      </w:r>
      <w:r w:rsidR="0069567A" w:rsidRPr="00796736">
        <w:rPr>
          <w:rFonts w:ascii="Times New Roman" w:hAnsi="Times New Roman" w:cs="Times New Roman"/>
          <w:sz w:val="24"/>
          <w:szCs w:val="24"/>
        </w:rPr>
        <w:instrText xml:space="preserve"> REF _Ref232596960 \r \h  \* MERGEFORMAT </w:instrText>
      </w:r>
      <w:r w:rsidR="0069567A" w:rsidRPr="00796736">
        <w:rPr>
          <w:rFonts w:ascii="Times New Roman" w:hAnsi="Times New Roman" w:cs="Times New Roman"/>
          <w:sz w:val="24"/>
          <w:szCs w:val="24"/>
        </w:rPr>
      </w:r>
      <w:r w:rsidR="0069567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69567A" w:rsidRPr="00796736">
        <w:rPr>
          <w:rFonts w:ascii="Times New Roman" w:hAnsi="Times New Roman" w:cs="Times New Roman"/>
          <w:sz w:val="24"/>
          <w:szCs w:val="24"/>
        </w:rPr>
        <w:fldChar w:fldCharType="end"/>
      </w:r>
      <w:r w:rsidR="0069567A" w:rsidRPr="00796736">
        <w:rPr>
          <w:rFonts w:ascii="Times New Roman" w:hAnsi="Times New Roman" w:cs="Times New Roman"/>
          <w:sz w:val="24"/>
          <w:szCs w:val="24"/>
        </w:rPr>
        <w:t>, stk. 1</w:t>
      </w:r>
      <w:r w:rsidR="00DE7A87" w:rsidRPr="00796736">
        <w:rPr>
          <w:rFonts w:ascii="Times New Roman" w:hAnsi="Times New Roman" w:cs="Times New Roman"/>
          <w:sz w:val="24"/>
          <w:szCs w:val="24"/>
        </w:rPr>
        <w:t xml:space="preserve"> og </w:t>
      </w:r>
      <w:r w:rsidR="003A1024" w:rsidRPr="00796736">
        <w:rPr>
          <w:rFonts w:ascii="Times New Roman" w:hAnsi="Times New Roman" w:cs="Times New Roman"/>
          <w:sz w:val="24"/>
          <w:szCs w:val="24"/>
        </w:rPr>
        <w:t>3</w:t>
      </w:r>
      <w:r w:rsidR="0069567A" w:rsidRPr="00796736">
        <w:rPr>
          <w:rFonts w:ascii="Times New Roman" w:hAnsi="Times New Roman" w:cs="Times New Roman"/>
          <w:sz w:val="24"/>
          <w:szCs w:val="24"/>
        </w:rPr>
        <w:t>.</w:t>
      </w:r>
    </w:p>
    <w:p w14:paraId="2DCA01FC" w14:textId="77777777" w:rsidR="004B4F62" w:rsidRPr="00796736" w:rsidRDefault="004B4F62" w:rsidP="00A802A5">
      <w:pPr>
        <w:spacing w:line="360" w:lineRule="auto"/>
        <w:rPr>
          <w:rFonts w:ascii="Times New Roman" w:hAnsi="Times New Roman" w:cs="Times New Roman"/>
          <w:sz w:val="24"/>
          <w:szCs w:val="24"/>
        </w:rPr>
      </w:pPr>
    </w:p>
    <w:p w14:paraId="4EF05738" w14:textId="23D497A3" w:rsidR="004B4F62" w:rsidRDefault="004B4F6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vurderingen af, om der skal meddeles påbud om afhændelse af ejerandele eller ophør af kontrol, herunder ved nedbringelse af ejerandele eller stemmerettigheder, skal Finanstilsynet foretage en konkret og individuel vurdering af de faktiske forhold i den enkelte sag. Der skal lægges vægt på proportionalitet og rimelighed, således at indgrebet ikke går videre end nødvendigt for at opfylde formålet med bestemmelsen.</w:t>
      </w:r>
    </w:p>
    <w:p w14:paraId="754EE000" w14:textId="77777777" w:rsidR="004B4F62" w:rsidRPr="00796736" w:rsidRDefault="004B4F62"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Der kan blandt andet lægges vægt på omfanget af den pågældende persons ejerandel og faktiske indflydelse på virksomheden, karakteren og alvoren af de forhold, der begrunder, at kravene til egnethed og hæderlighed ikke er opfyldt, muligheden for at opnå det ønskede resultat ved mindre indgribende foranstaltninger, konsekvenserne for virksomheden, øvrige ejere og eventuelle tredjemænd, om der er tale om enkeltstående eller gentagne forhold, samt om virksomheden og den pågældende ejer har udvist samarbejdsvilje og forsøgt at rette op på forholdene.</w:t>
      </w:r>
    </w:p>
    <w:p w14:paraId="4A8F0818" w14:textId="49383468" w:rsidR="004B4F62" w:rsidRPr="00796736" w:rsidRDefault="004B4F62"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Påbuddet skal være begrundet og indeholde en nærmere angivelse af, hvad der kræves for, at den pågældende ikke længere anses for at udøve kontrol. Hvis påbuddet indebærer, at ejerandelen skal nedbringes, skal påbuddet angive, til hvilken grænse ejerandelen skal nedbringes. Ejerandelen vil som udgangspunkt skulle bringes ned under grænsen for </w:t>
      </w:r>
      <w:r w:rsidR="003A1024" w:rsidRPr="00796736">
        <w:rPr>
          <w:rFonts w:ascii="Times New Roman" w:hAnsi="Times New Roman" w:cs="Times New Roman"/>
          <w:sz w:val="24"/>
          <w:szCs w:val="24"/>
        </w:rPr>
        <w:t xml:space="preserve">reelle ejere, som udgør </w:t>
      </w:r>
      <w:r w:rsidR="003A1024" w:rsidRPr="00796736">
        <w:rPr>
          <w:rFonts w:ascii="Times New Roman" w:eastAsia="Calibri" w:hAnsi="Times New Roman" w:cs="Times New Roman"/>
          <w:sz w:val="24"/>
          <w:szCs w:val="24"/>
        </w:rPr>
        <w:t>minimum 25 pct. af kapitalandelen</w:t>
      </w:r>
      <w:r w:rsidRPr="00796736">
        <w:rPr>
          <w:rFonts w:ascii="Times New Roman" w:hAnsi="Times New Roman" w:cs="Times New Roman"/>
          <w:sz w:val="24"/>
          <w:szCs w:val="24"/>
        </w:rPr>
        <w:t>, medmindre en lavere grænse efter en konkret vurdering er nødvendig for at sikre, at den pågældende ikke fortsat har mulighed for at udøve betydelig eller bestemmende indflydelse over virksomheden.</w:t>
      </w:r>
    </w:p>
    <w:p w14:paraId="02F61A0A" w14:textId="77777777" w:rsidR="004B4F62" w:rsidRPr="00796736" w:rsidRDefault="004B4F62"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Fristen for at efterkomme påbuddet skal fastsættes under hensyntagen til de konkrete omstændigheder i den enkelte sag. Fristen skal være passende og proportional, men samtidig sikre, at den pågældende ejer ikke i længere tid end nødvendigt bevarer en indflydelse på virksomheden, som vurderes uforenelig med kravene til kontrol, egnethed og hæderlighed.</w:t>
      </w:r>
    </w:p>
    <w:p w14:paraId="729CFA56" w14:textId="6705BD95" w:rsidR="004B4F62" w:rsidRPr="00796736" w:rsidRDefault="004B4F62"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Ved fastsættelsen af fristen kan Finanstilsynet blandt andet lægge vægt på ejerandelens størrelse, virksomhedens forhold, ejer- og koncernstruktur, markedssituationen og de praktiske muligheder for at gennemføre afhændelsen eller på anden måde bringe kontrollen til ophør.</w:t>
      </w:r>
    </w:p>
    <w:p w14:paraId="30845BB6" w14:textId="3159D6A2" w:rsidR="00443EA9" w:rsidRPr="00796736" w:rsidRDefault="00443EA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w:t>
      </w:r>
      <w:r w:rsidR="00A513FD" w:rsidRPr="00796736">
        <w:rPr>
          <w:rFonts w:ascii="Times New Roman" w:hAnsi="Times New Roman" w:cs="Times New Roman"/>
          <w:sz w:val="24"/>
          <w:szCs w:val="24"/>
        </w:rPr>
        <w:t>indebærer, at et medlem af den øverste ledelse, herunder bestyrelsen eller direktionen i en valutavekslingsvirksomhed, indehaveren, hvor valutaveksling udøves som enkeltmandsvirksomhed, eller den eller de ledelsesansvarlige, hvor valutavekslingsvirksomheden drives som juridisk person uden bestyrelse eller direktion, skal opfylde en række egnetheds- og hæderlighedskrav. De omfattede personer skal have tilstrækkelig viden, faglig kompetence og erfaring til at kunne varetage hvervet eller stillingen. Derudover skal de have et tilstrækkeligt godt omdømme og kunne udvise hæderlighed, integritet og tilstrækkelig uafhængighed. De må ikke være pålagt strafansvar for overtrædelse af straffeloven, den finansielle lovgivning eller anden relevant lovgivning, hvis overtrædelsen indebærer risiko for, at hvervet eller stillingen ikke kan varetages på betryggende måde. Endelig må de ikke have indgivet begæring om eller være under rekonstruktionsbehandling, konkurs eller gældssanering eller have udvist en adfærd, der giver grund til at antage, at hvervet eller stillingen ikke vil blive varetaget forsvarligt.</w:t>
      </w:r>
    </w:p>
    <w:p w14:paraId="0C14278F" w14:textId="77777777" w:rsidR="00443EA9" w:rsidRPr="00796736" w:rsidRDefault="00443EA9" w:rsidP="00A802A5">
      <w:pPr>
        <w:spacing w:line="360" w:lineRule="auto"/>
        <w:rPr>
          <w:rFonts w:ascii="Times New Roman" w:hAnsi="Times New Roman" w:cs="Times New Roman"/>
          <w:sz w:val="24"/>
          <w:szCs w:val="24"/>
        </w:rPr>
      </w:pPr>
    </w:p>
    <w:p w14:paraId="6AA688E8" w14:textId="5F7A871F" w:rsidR="00D930B9" w:rsidRPr="00796736" w:rsidRDefault="00C17609" w:rsidP="00A802A5">
      <w:pPr>
        <w:spacing w:line="360" w:lineRule="auto"/>
        <w:rPr>
          <w:rFonts w:ascii="Times New Roman" w:hAnsi="Times New Roman" w:cs="Times New Roman"/>
          <w:sz w:val="24"/>
          <w:szCs w:val="24"/>
        </w:rPr>
      </w:pPr>
      <w:r>
        <w:rPr>
          <w:rFonts w:ascii="Times New Roman" w:hAnsi="Times New Roman" w:cs="Times New Roman"/>
          <w:sz w:val="24"/>
          <w:szCs w:val="24"/>
        </w:rPr>
        <w:t>Efter l</w:t>
      </w:r>
      <w:r w:rsidR="00443EA9" w:rsidRPr="00796736">
        <w:rPr>
          <w:rFonts w:ascii="Times New Roman" w:hAnsi="Times New Roman" w:cs="Times New Roman"/>
          <w:sz w:val="24"/>
          <w:szCs w:val="24"/>
        </w:rPr>
        <w:t xml:space="preserve">ovforslagets </w:t>
      </w:r>
      <w:r w:rsidR="00443EA9" w:rsidRPr="00796736">
        <w:rPr>
          <w:rFonts w:ascii="Times New Roman" w:hAnsi="Times New Roman" w:cs="Times New Roman"/>
          <w:sz w:val="24"/>
          <w:szCs w:val="24"/>
        </w:rPr>
        <w:fldChar w:fldCharType="begin"/>
      </w:r>
      <w:r w:rsidR="00443EA9" w:rsidRPr="00796736">
        <w:rPr>
          <w:rFonts w:ascii="Times New Roman" w:hAnsi="Times New Roman" w:cs="Times New Roman"/>
          <w:sz w:val="24"/>
          <w:szCs w:val="24"/>
        </w:rPr>
        <w:instrText xml:space="preserve"> REF _Ref232596960 \r \h  \* MERGEFORMAT </w:instrText>
      </w:r>
      <w:r w:rsidR="00443EA9" w:rsidRPr="00796736">
        <w:rPr>
          <w:rFonts w:ascii="Times New Roman" w:hAnsi="Times New Roman" w:cs="Times New Roman"/>
          <w:sz w:val="24"/>
          <w:szCs w:val="24"/>
        </w:rPr>
      </w:r>
      <w:r w:rsidR="00443EA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443EA9" w:rsidRPr="00796736">
        <w:rPr>
          <w:rFonts w:ascii="Times New Roman" w:hAnsi="Times New Roman" w:cs="Times New Roman"/>
          <w:sz w:val="24"/>
          <w:szCs w:val="24"/>
        </w:rPr>
        <w:fldChar w:fldCharType="end"/>
      </w:r>
      <w:r w:rsidR="00443EA9" w:rsidRPr="00796736">
        <w:rPr>
          <w:rFonts w:ascii="Times New Roman" w:hAnsi="Times New Roman" w:cs="Times New Roman"/>
          <w:sz w:val="24"/>
          <w:szCs w:val="24"/>
        </w:rPr>
        <w:t xml:space="preserve">, stk. 1, </w:t>
      </w:r>
      <w:r>
        <w:rPr>
          <w:rFonts w:ascii="Times New Roman" w:hAnsi="Times New Roman" w:cs="Times New Roman"/>
          <w:sz w:val="24"/>
          <w:szCs w:val="24"/>
        </w:rPr>
        <w:t xml:space="preserve">skal </w:t>
      </w:r>
      <w:r w:rsidR="00D930B9" w:rsidRPr="00796736">
        <w:rPr>
          <w:rFonts w:ascii="Times New Roman" w:hAnsi="Times New Roman" w:cs="Times New Roman"/>
          <w:sz w:val="24"/>
          <w:szCs w:val="24"/>
        </w:rPr>
        <w:t xml:space="preserve">medlemmer af den øverste eller daglige ledelse, herunder bestyrelsen eller direktionen, i virksomheder omfattet af </w:t>
      </w:r>
      <w:r w:rsidR="00D930B9" w:rsidRPr="00796736">
        <w:rPr>
          <w:rFonts w:ascii="Times New Roman" w:hAnsi="Times New Roman" w:cs="Times New Roman"/>
          <w:sz w:val="24"/>
          <w:szCs w:val="24"/>
        </w:rPr>
        <w:fldChar w:fldCharType="begin"/>
      </w:r>
      <w:r w:rsidR="00D930B9" w:rsidRPr="00796736">
        <w:rPr>
          <w:rFonts w:ascii="Times New Roman" w:hAnsi="Times New Roman" w:cs="Times New Roman"/>
          <w:sz w:val="24"/>
          <w:szCs w:val="24"/>
        </w:rPr>
        <w:instrText xml:space="preserve"> REF _Ref232596860 \r \h  \* MERGEFORMAT </w:instrText>
      </w:r>
      <w:r w:rsidR="00D930B9" w:rsidRPr="00796736">
        <w:rPr>
          <w:rFonts w:ascii="Times New Roman" w:hAnsi="Times New Roman" w:cs="Times New Roman"/>
          <w:sz w:val="24"/>
          <w:szCs w:val="24"/>
        </w:rPr>
      </w:r>
      <w:r w:rsidR="00D930B9"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D930B9" w:rsidRPr="00796736">
        <w:rPr>
          <w:rFonts w:ascii="Times New Roman" w:hAnsi="Times New Roman" w:cs="Times New Roman"/>
          <w:sz w:val="24"/>
          <w:szCs w:val="24"/>
        </w:rPr>
        <w:fldChar w:fldCharType="end"/>
      </w:r>
      <w:r w:rsidR="00D930B9" w:rsidRPr="00796736">
        <w:rPr>
          <w:rFonts w:ascii="Times New Roman" w:hAnsi="Times New Roman" w:cs="Times New Roman"/>
          <w:sz w:val="24"/>
          <w:szCs w:val="24"/>
        </w:rPr>
        <w:t>, stk. 1, opfylde krav om hæderlighed i relation til strafbare forhold. Bestemmelsen omfatter tillige indehaveren, hvis virksomheden drives som enkeltmandsvirksomhed, samt den eller de ledelsesansvarlige, hvis virksomheden drives som juridisk person uden øverste eller daglige ledelse. De pågældende personer må ikke være pålagt strafansvar for overtrædelse af straffeloven, den finansielle lovgivning eller anden relevant lovgivning, hvis overtrædelsen indebærer en risiko for, at vedkommende ikke kan varetage sit hverv eller sin stilling på betryggende måde.</w:t>
      </w:r>
    </w:p>
    <w:p w14:paraId="63E8CC67" w14:textId="77777777" w:rsidR="00D930B9" w:rsidRPr="00796736" w:rsidRDefault="00D930B9" w:rsidP="00A802A5">
      <w:pPr>
        <w:spacing w:line="360" w:lineRule="auto"/>
        <w:rPr>
          <w:rFonts w:ascii="Times New Roman" w:hAnsi="Times New Roman" w:cs="Times New Roman"/>
          <w:sz w:val="24"/>
          <w:szCs w:val="24"/>
        </w:rPr>
      </w:pPr>
    </w:p>
    <w:p w14:paraId="368A0773" w14:textId="78586360" w:rsidR="00D930B9" w:rsidRPr="00796736" w:rsidRDefault="00D930B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3, omfatter medlemmer af den øverste ledelse, herunder bestyrelsen eller direktionen, i virksomheder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_Ref232596860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samt indehaveren, hvis virksomheden drives som enkeltmandsvirksomhed, og den eller de ledelsesansvarlige, hvis virksomheden drives som juridisk person uden øverste ledelse. Bestemmelsen omfatter desuden virksomhedens reelle ejere. De omfattede personer skal have et tilstrækkeligt godt omdømme og kunne udvise hæderlighed, integritet og tilstrækkelig uafhængighed ved varetagelsen af hvervet eller stillingen. De må endvidere ikke være pålagt relevant strafansvar, ikke have indgivet begæring om eller være under rekonstruktionsbehandling, konkurs eller gældssanering, og ikke have udvist en adfærd, der giver grund til at antage, at de ikke vil varetage hvervet eller stillingen på forsvarlig måde.</w:t>
      </w:r>
    </w:p>
    <w:p w14:paraId="5E71F50B" w14:textId="77777777" w:rsidR="00A513FD" w:rsidRPr="00796736" w:rsidRDefault="00A513FD" w:rsidP="00A802A5">
      <w:pPr>
        <w:spacing w:line="360" w:lineRule="auto"/>
        <w:rPr>
          <w:rFonts w:ascii="Times New Roman" w:hAnsi="Times New Roman" w:cs="Times New Roman"/>
          <w:sz w:val="24"/>
          <w:szCs w:val="24"/>
        </w:rPr>
      </w:pPr>
    </w:p>
    <w:p w14:paraId="4B936B62" w14:textId="1A70614E" w:rsidR="00A513FD" w:rsidRPr="00796736" w:rsidRDefault="00A513F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Kravene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Pr="00796736">
        <w:rPr>
          <w:rFonts w:ascii="Times New Roman" w:hAnsi="Times New Roman" w:cs="Times New Roman"/>
          <w:sz w:val="24"/>
          <w:szCs w:val="24"/>
        </w:rPr>
        <w:fldChar w:fldCharType="end"/>
      </w:r>
      <w:r w:rsidR="005B4005">
        <w:rPr>
          <w:rFonts w:ascii="Times New Roman" w:hAnsi="Times New Roman" w:cs="Times New Roman"/>
          <w:sz w:val="24"/>
          <w:szCs w:val="24"/>
        </w:rPr>
        <w:t>, stk. 3,</w:t>
      </w:r>
      <w:r w:rsidRPr="00796736">
        <w:rPr>
          <w:rFonts w:ascii="Times New Roman" w:hAnsi="Times New Roman" w:cs="Times New Roman"/>
          <w:sz w:val="24"/>
          <w:szCs w:val="24"/>
        </w:rPr>
        <w:t xml:space="preserve"> svarer i det væsentlige til hæderlighedskravene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De omfattede personer skal således have et tilstrækkeligt godt omdømme og kunne udvise hæderlighed, integritet og tilstrækkelig uafhængighed. De må endvidere ikke være pålagt relevant strafansvar, hvis overtrædelsen indebærer risiko for, at hvervet eller stillingen ikke kan varetages på betryggende måde, ligesom de ikke må være under rekonstruktionsbehandling, konkurs eller gældssanering eller have udvist en adfærd, der giver grund til at antage, at hvervet eller stillingen ikke vil blive varetaget forsvarligt.</w:t>
      </w:r>
    </w:p>
    <w:p w14:paraId="24F9A653" w14:textId="77777777" w:rsidR="00A513FD" w:rsidRPr="00796736" w:rsidRDefault="00A513FD" w:rsidP="00A802A5">
      <w:pPr>
        <w:spacing w:line="360" w:lineRule="auto"/>
        <w:rPr>
          <w:rFonts w:ascii="Times New Roman" w:hAnsi="Times New Roman" w:cs="Times New Roman"/>
          <w:sz w:val="24"/>
          <w:szCs w:val="24"/>
        </w:rPr>
      </w:pPr>
    </w:p>
    <w:p w14:paraId="0927D1E9" w14:textId="4ACA2878"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w:t>
      </w:r>
      <w:r w:rsidR="00941F4B" w:rsidRPr="00941F4B">
        <w:rPr>
          <w:rFonts w:ascii="Times New Roman" w:hAnsi="Times New Roman" w:cs="Times New Roman"/>
          <w:sz w:val="24"/>
          <w:szCs w:val="24"/>
        </w:rPr>
        <w:t>»</w:t>
      </w:r>
      <w:r w:rsidRPr="00796736">
        <w:rPr>
          <w:rFonts w:ascii="Times New Roman" w:hAnsi="Times New Roman" w:cs="Times New Roman"/>
          <w:sz w:val="24"/>
          <w:szCs w:val="24"/>
        </w:rPr>
        <w:t>pålagt strafansvar</w:t>
      </w:r>
      <w:r w:rsidR="00941F4B" w:rsidRPr="00941F4B">
        <w:rPr>
          <w:rFonts w:ascii="Times New Roman" w:hAnsi="Times New Roman" w:cs="Times New Roman"/>
          <w:sz w:val="24"/>
          <w:szCs w:val="24"/>
        </w:rPr>
        <w:t>«</w:t>
      </w:r>
      <w:r w:rsidRPr="00796736">
        <w:rPr>
          <w:rFonts w:ascii="Times New Roman" w:hAnsi="Times New Roman" w:cs="Times New Roman"/>
          <w:sz w:val="24"/>
          <w:szCs w:val="24"/>
        </w:rPr>
        <w:t xml:space="preserve"> forstås, at der foreligger en endelig dom eller vedtagelse af bøde for en overtrædelse, der er af en sådan karakter, at det vurderes at have betydning for personens hæderlighed som ejer eller kontrollerende person. </w:t>
      </w:r>
    </w:p>
    <w:p w14:paraId="57AC9203" w14:textId="77777777" w:rsidR="00183468" w:rsidRPr="00796736" w:rsidRDefault="00183468" w:rsidP="00A802A5">
      <w:pPr>
        <w:spacing w:line="360" w:lineRule="auto"/>
        <w:rPr>
          <w:rFonts w:ascii="Times New Roman" w:hAnsi="Times New Roman" w:cs="Times New Roman"/>
          <w:sz w:val="24"/>
          <w:szCs w:val="24"/>
        </w:rPr>
      </w:pPr>
    </w:p>
    <w:p w14:paraId="126A6A0A"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Anden relevant lovgivning omfatter eksempelvis lovgivning om hvidvask, skatteunddragelse, konkurs, selskabsret eller anden lovgivning, hvor overtrædelsen kan have betydning for vurderingen af personens hæderlighed.</w:t>
      </w:r>
    </w:p>
    <w:p w14:paraId="1772B928" w14:textId="77777777" w:rsidR="00183468" w:rsidRPr="00796736" w:rsidRDefault="00183468" w:rsidP="00A802A5">
      <w:pPr>
        <w:spacing w:line="360" w:lineRule="auto"/>
        <w:rPr>
          <w:rFonts w:ascii="Times New Roman" w:hAnsi="Times New Roman" w:cs="Times New Roman"/>
          <w:b/>
          <w:bCs/>
          <w:sz w:val="24"/>
          <w:szCs w:val="24"/>
        </w:rPr>
      </w:pPr>
    </w:p>
    <w:p w14:paraId="2345DC7C" w14:textId="1901C809" w:rsidR="00183468" w:rsidRPr="00796736" w:rsidRDefault="00825AEE"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giver Finanstilsynet mulighed for at påbyde, at en person, der ikke længere opfylder kravene til hæderlighed, ikke kan udøve væsentlig indflydelse på en finansiel virksomhed. Påbuddet kan omfatte både direkte og indirekte ejerskab eller kontrol og skal sikre, at finansielle virksomheder ikke drives under indflydelse af personer, der ikke opfylder kravene.</w:t>
      </w:r>
    </w:p>
    <w:p w14:paraId="1D6F211D" w14:textId="77777777" w:rsidR="00825AEE" w:rsidRPr="00796736" w:rsidRDefault="00825AEE" w:rsidP="00A802A5">
      <w:pPr>
        <w:spacing w:line="360" w:lineRule="auto"/>
        <w:rPr>
          <w:rFonts w:ascii="Times New Roman" w:hAnsi="Times New Roman" w:cs="Times New Roman"/>
          <w:b/>
          <w:bCs/>
          <w:sz w:val="24"/>
          <w:szCs w:val="24"/>
        </w:rPr>
      </w:pPr>
    </w:p>
    <w:p w14:paraId="4A284CE0" w14:textId="2CAF22C8"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Hvis påbuddet ikke efterleves, kan Finanstilsynet efterfølgende gøre brug af yderligere sanktionsmuligheder, herunder inddragelse af virksomhedens tilladelse eller registrering</w:t>
      </w:r>
      <w:r w:rsidR="006D5729" w:rsidRPr="00796736">
        <w:rPr>
          <w:rFonts w:ascii="Times New Roman" w:hAnsi="Times New Roman" w:cs="Times New Roman"/>
          <w:sz w:val="24"/>
          <w:szCs w:val="24"/>
        </w:rPr>
        <w:t>.</w:t>
      </w:r>
      <w:r w:rsidRPr="00796736">
        <w:rPr>
          <w:rFonts w:ascii="Times New Roman" w:hAnsi="Times New Roman" w:cs="Times New Roman"/>
          <w:sz w:val="24"/>
          <w:szCs w:val="24"/>
        </w:rPr>
        <w:t xml:space="preserve"> </w:t>
      </w:r>
    </w:p>
    <w:p w14:paraId="26C46F82" w14:textId="77777777" w:rsidR="006D5729" w:rsidRPr="00796736" w:rsidRDefault="006D5729" w:rsidP="00A802A5">
      <w:pPr>
        <w:spacing w:line="360" w:lineRule="auto"/>
        <w:rPr>
          <w:rFonts w:ascii="Times New Roman" w:hAnsi="Times New Roman" w:cs="Times New Roman"/>
          <w:sz w:val="24"/>
          <w:szCs w:val="24"/>
        </w:rPr>
      </w:pPr>
    </w:p>
    <w:p w14:paraId="5EFF2914" w14:textId="2A651F4E" w:rsidR="006D5729" w:rsidRPr="00796736" w:rsidRDefault="006D572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henhold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_Ref232596829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7, kan Finanstilsynet inddrage en virksomheds tilladelse til valutavekslingsvirksomhed, hvis virksomheden ikke overholder bestemmelserne i hvidvaskforordningen, denne lov, pengeoverførselsforordningen eller love og forordninger indeholdende regler om finansielle sanktioner mod lande, personer, grupper, juridiske enheder eller organer.</w:t>
      </w:r>
    </w:p>
    <w:p w14:paraId="72F1A2EE" w14:textId="77777777" w:rsidR="006D5729" w:rsidRPr="00796736" w:rsidRDefault="006D5729" w:rsidP="00A802A5">
      <w:pPr>
        <w:spacing w:line="360" w:lineRule="auto"/>
        <w:rPr>
          <w:rFonts w:ascii="Times New Roman" w:hAnsi="Times New Roman" w:cs="Times New Roman"/>
          <w:sz w:val="24"/>
          <w:szCs w:val="24"/>
        </w:rPr>
      </w:pPr>
    </w:p>
    <w:p w14:paraId="29B8745E" w14:textId="46026710" w:rsidR="006D5729" w:rsidRPr="00796736" w:rsidRDefault="006D572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desuden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_Ref232596992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7, at Finanstilsynet kan inddrage registrering af en virksomhed, der er registreret hos Finanstilsynet i henhold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_Ref232596860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2, når virksomheden ikke overholder bestemmelserne i hvidvaskforordningen, denne lov, pengeoverførselsforordningen eller </w:t>
      </w:r>
      <w:r w:rsidRPr="00796736">
        <w:rPr>
          <w:rFonts w:ascii="Times New Roman" w:eastAsia="Times New Roman" w:hAnsi="Times New Roman" w:cs="Times New Roman"/>
          <w:sz w:val="24"/>
          <w:szCs w:val="24"/>
          <w:lang w:eastAsia="da-DK"/>
        </w:rPr>
        <w:t>love og forordninger indeholdende regler om finansielle sanktioner mod lande, personer, grupper, juridiske enheder eller organer.</w:t>
      </w:r>
    </w:p>
    <w:p w14:paraId="14B64E6F" w14:textId="77777777" w:rsidR="006D5729" w:rsidRPr="00796736" w:rsidRDefault="006D5729" w:rsidP="00A802A5">
      <w:pPr>
        <w:spacing w:line="360" w:lineRule="auto"/>
        <w:rPr>
          <w:rFonts w:ascii="Times New Roman" w:hAnsi="Times New Roman" w:cs="Times New Roman"/>
          <w:sz w:val="24"/>
          <w:szCs w:val="24"/>
        </w:rPr>
      </w:pPr>
    </w:p>
    <w:p w14:paraId="30EBB8B0" w14:textId="6DCF7743" w:rsidR="006D5729" w:rsidRPr="00796736" w:rsidRDefault="006D572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er ikke forpligtet til at inddrage tilladelsen eller registreringen. Inden Finanstilsynet træffer beslutning om inddragelse af registreringen, vil </w:t>
      </w:r>
      <w:r w:rsidR="00C17609">
        <w:rPr>
          <w:rFonts w:ascii="Times New Roman" w:hAnsi="Times New Roman" w:cs="Times New Roman"/>
          <w:sz w:val="24"/>
          <w:szCs w:val="24"/>
        </w:rPr>
        <w:t>Finans</w:t>
      </w:r>
      <w:r w:rsidRPr="00796736">
        <w:rPr>
          <w:rFonts w:ascii="Times New Roman" w:hAnsi="Times New Roman" w:cs="Times New Roman"/>
          <w:sz w:val="24"/>
          <w:szCs w:val="24"/>
        </w:rPr>
        <w:t>tilsynet vurdere, om mindre indgribende sanktionsmuligheder kan anvendes, og der vil blive foretaget en konkret vurdering af proportionalitet og rimelighed i forhold til virksomhedens forhold. Det kan eksempelvis være daglige eller ugentlige bøder eller andre administrative foranstaltninger. Inddragelse af tilladelse eller registrering vil således kun blive anvendt, hvis det vurderes nødvendigt og proportionalt i forhold til overtrædelsens karakter og omfang.</w:t>
      </w:r>
    </w:p>
    <w:p w14:paraId="5E1912E6" w14:textId="77777777" w:rsidR="006D5729" w:rsidRPr="00796736" w:rsidRDefault="006D5729" w:rsidP="00A802A5">
      <w:pPr>
        <w:spacing w:line="360" w:lineRule="auto"/>
        <w:rPr>
          <w:rFonts w:ascii="Times New Roman" w:hAnsi="Times New Roman" w:cs="Times New Roman"/>
          <w:sz w:val="24"/>
          <w:szCs w:val="24"/>
        </w:rPr>
      </w:pPr>
    </w:p>
    <w:p w14:paraId="02F6EF07" w14:textId="77777777" w:rsidR="006D5729" w:rsidRPr="00796736" w:rsidRDefault="006D572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Finanstilsynets vurdering af, om tilladelsen eller registreringen bør inddrages, indgår blandt andet antallet af ejere i virksomheden. Hvis virksomheden har flere ejere, vil Finanstilsynet inddrage, om det alene er én ejer, der ikke har efterkommet et påbud om af kontrol. I sådanne tilfælde vil det kunne tale imod at inddrage tilladelsen eller registreringen afhændelse af ejerandele eller ophør, da konsekvenserne for de øvrige ejere og virksomhedens fortsatte drift skal indgå i vurderingen.</w:t>
      </w:r>
    </w:p>
    <w:p w14:paraId="563CA17B" w14:textId="77777777" w:rsidR="006D5729" w:rsidRPr="00796736" w:rsidRDefault="006D5729" w:rsidP="00A802A5">
      <w:pPr>
        <w:spacing w:line="360" w:lineRule="auto"/>
        <w:rPr>
          <w:rFonts w:ascii="Times New Roman" w:hAnsi="Times New Roman" w:cs="Times New Roman"/>
          <w:sz w:val="24"/>
          <w:szCs w:val="24"/>
        </w:rPr>
      </w:pPr>
    </w:p>
    <w:p w14:paraId="6F0BBF87" w14:textId="77777777" w:rsidR="006D5729" w:rsidRPr="00796736" w:rsidRDefault="006D572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vil vurdere, om der er tale om en enkeltstående eller gentagen undladelse af at efterkomme påbuddet, og om overtrædelsen har haft eller kan have væsentlige negative konsekvenser for virksomhedens drift, kunder eller det finansielle marked. Hvis virksomheden har udvist samarbejdsvilje og forsøgt at rette op på forholdene, vil dette indgå positivt i vurderingen. Omvendt vil manglende samarbejde eller forsøg på at omgå reglerne tale for en skærpet reaktion.</w:t>
      </w:r>
    </w:p>
    <w:p w14:paraId="30BF98B4" w14:textId="77777777" w:rsidR="006D5729" w:rsidRPr="00796736" w:rsidRDefault="006D5729" w:rsidP="00A802A5">
      <w:pPr>
        <w:spacing w:line="360" w:lineRule="auto"/>
        <w:rPr>
          <w:rFonts w:ascii="Times New Roman" w:hAnsi="Times New Roman" w:cs="Times New Roman"/>
          <w:sz w:val="24"/>
          <w:szCs w:val="24"/>
        </w:rPr>
      </w:pPr>
    </w:p>
    <w:p w14:paraId="7F72BEAE" w14:textId="19535BF4" w:rsidR="006D5729" w:rsidRPr="00796736" w:rsidRDefault="0091728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w:t>
      </w:r>
      <w:r w:rsidR="006D5729" w:rsidRPr="00796736">
        <w:rPr>
          <w:rFonts w:ascii="Times New Roman" w:hAnsi="Times New Roman" w:cs="Times New Roman"/>
          <w:sz w:val="24"/>
          <w:szCs w:val="24"/>
        </w:rPr>
        <w:t xml:space="preserve">sikrer, at Finanstilsynet har de fornødne beføjelser til at håndhæve påbud udstedt efter stk. 1, og at manglende efterlevelse kan få konsekvenser for virksomhedens mulighed til at udøve virksomhed omfattet af Finanstilsynets tilsyn. </w:t>
      </w:r>
    </w:p>
    <w:p w14:paraId="47A4F3B7" w14:textId="77777777" w:rsidR="007F12D5" w:rsidRPr="00796736" w:rsidRDefault="007F12D5" w:rsidP="00A802A5">
      <w:pPr>
        <w:spacing w:line="360" w:lineRule="auto"/>
        <w:rPr>
          <w:rFonts w:ascii="Times New Roman" w:hAnsi="Times New Roman" w:cs="Times New Roman"/>
          <w:sz w:val="24"/>
          <w:szCs w:val="24"/>
        </w:rPr>
      </w:pPr>
    </w:p>
    <w:p w14:paraId="2369D8C0" w14:textId="3F41330A" w:rsidR="0091728B" w:rsidRPr="00796736" w:rsidRDefault="0091728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_Ref232949113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både den berørte virksomhed og den fysiske eller juridiske person, som Finanstilsynets afgørelse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_Ref232597310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vedrører, anses som parter i forhold til afgørelsen. Det gælder bl.a. ved afgørelser om påbud om ophør af kontrol, herunder afhændelse af ejerandele, og ved afgørelser om ophævelse af stemmeret.</w:t>
      </w:r>
    </w:p>
    <w:p w14:paraId="182240ED" w14:textId="77777777" w:rsidR="005B4005" w:rsidRDefault="005B4005" w:rsidP="00A802A5">
      <w:pPr>
        <w:spacing w:line="360" w:lineRule="auto"/>
        <w:rPr>
          <w:rFonts w:ascii="Times New Roman" w:hAnsi="Times New Roman" w:cs="Times New Roman"/>
          <w:sz w:val="24"/>
          <w:szCs w:val="24"/>
        </w:rPr>
      </w:pPr>
    </w:p>
    <w:p w14:paraId="46AA2FDA" w14:textId="641FF31A" w:rsidR="0036672D"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0001619E" w:rsidRPr="00796736">
        <w:rPr>
          <w:rFonts w:ascii="Times New Roman" w:hAnsi="Times New Roman" w:cs="Times New Roman"/>
          <w:sz w:val="24"/>
          <w:szCs w:val="24"/>
        </w:rPr>
        <w:t>at</w:t>
      </w:r>
      <w:r w:rsidR="0036672D" w:rsidRPr="00796736">
        <w:rPr>
          <w:rFonts w:ascii="Times New Roman" w:hAnsi="Times New Roman" w:cs="Times New Roman"/>
          <w:sz w:val="24"/>
          <w:szCs w:val="24"/>
        </w:rPr>
        <w:t xml:space="preserve"> Finanstilsynet kan ophæve stemmeretten for </w:t>
      </w:r>
      <w:r w:rsidR="005B4005" w:rsidRPr="00796736">
        <w:rPr>
          <w:rFonts w:ascii="Times New Roman" w:eastAsia="Calibri" w:hAnsi="Times New Roman" w:cs="Times New Roman"/>
          <w:sz w:val="24"/>
          <w:szCs w:val="24"/>
        </w:rPr>
        <w:t>en fysisk person, der direkte eller indirekte ejer eller kontrollerer minimum 25 pct. af kapitalandelen, ejerandelen, stemmerettighederne eller andre ejerskabsbeføjelser</w:t>
      </w:r>
      <w:r w:rsidR="005B4005" w:rsidRPr="00796736">
        <w:rPr>
          <w:rFonts w:ascii="Times New Roman" w:hAnsi="Times New Roman" w:cs="Times New Roman"/>
          <w:sz w:val="24"/>
          <w:szCs w:val="24"/>
        </w:rPr>
        <w:t xml:space="preserve"> i virksomheder nævnt i </w:t>
      </w:r>
      <w:r w:rsidR="005B4005" w:rsidRPr="00796736">
        <w:rPr>
          <w:rFonts w:ascii="Times New Roman" w:eastAsia="Calibri" w:hAnsi="Times New Roman" w:cs="Times New Roman"/>
          <w:iCs/>
          <w:sz w:val="24"/>
          <w:szCs w:val="24"/>
        </w:rPr>
        <w:fldChar w:fldCharType="begin"/>
      </w:r>
      <w:r w:rsidR="005B4005" w:rsidRPr="00796736">
        <w:rPr>
          <w:rFonts w:ascii="Times New Roman" w:hAnsi="Times New Roman" w:cs="Times New Roman"/>
          <w:sz w:val="24"/>
          <w:szCs w:val="24"/>
        </w:rPr>
        <w:instrText xml:space="preserve"> REF _Ref232592818 \r \h </w:instrText>
      </w:r>
      <w:r w:rsidR="005B4005" w:rsidRPr="00796736">
        <w:rPr>
          <w:rFonts w:ascii="Times New Roman" w:eastAsia="Calibri" w:hAnsi="Times New Roman" w:cs="Times New Roman"/>
          <w:iCs/>
          <w:sz w:val="24"/>
          <w:szCs w:val="24"/>
        </w:rPr>
        <w:instrText xml:space="preserve"> \* MERGEFORMAT </w:instrText>
      </w:r>
      <w:r w:rsidR="005B4005" w:rsidRPr="00796736">
        <w:rPr>
          <w:rFonts w:ascii="Times New Roman" w:eastAsia="Calibri" w:hAnsi="Times New Roman" w:cs="Times New Roman"/>
          <w:iCs/>
          <w:sz w:val="24"/>
          <w:szCs w:val="24"/>
        </w:rPr>
      </w:r>
      <w:r w:rsidR="005B4005" w:rsidRPr="00796736">
        <w:rPr>
          <w:rFonts w:ascii="Times New Roman" w:eastAsia="Calibri" w:hAnsi="Times New Roman" w:cs="Times New Roman"/>
          <w:iCs/>
          <w:sz w:val="24"/>
          <w:szCs w:val="24"/>
        </w:rPr>
        <w:fldChar w:fldCharType="separate"/>
      </w:r>
      <w:r w:rsidR="008F29E5">
        <w:rPr>
          <w:rFonts w:ascii="Times New Roman" w:hAnsi="Times New Roman" w:cs="Times New Roman"/>
          <w:sz w:val="24"/>
          <w:szCs w:val="24"/>
        </w:rPr>
        <w:t>§ 2</w:t>
      </w:r>
      <w:r w:rsidR="005B4005" w:rsidRPr="00796736">
        <w:rPr>
          <w:rFonts w:ascii="Times New Roman" w:eastAsia="Calibri" w:hAnsi="Times New Roman" w:cs="Times New Roman"/>
          <w:iCs/>
          <w:sz w:val="24"/>
          <w:szCs w:val="24"/>
        </w:rPr>
        <w:fldChar w:fldCharType="end"/>
      </w:r>
      <w:r w:rsidR="005B4005" w:rsidRPr="00796736">
        <w:rPr>
          <w:rFonts w:ascii="Times New Roman" w:eastAsia="Calibri" w:hAnsi="Times New Roman" w:cs="Times New Roman"/>
          <w:iCs/>
          <w:sz w:val="24"/>
          <w:szCs w:val="24"/>
        </w:rPr>
        <w:t>, nr. 11, 14 og 19</w:t>
      </w:r>
      <w:r w:rsidR="005B4005" w:rsidRPr="00796736">
        <w:rPr>
          <w:rFonts w:ascii="Times New Roman" w:hAnsi="Times New Roman" w:cs="Times New Roman"/>
          <w:sz w:val="24"/>
          <w:szCs w:val="24"/>
        </w:rPr>
        <w:t xml:space="preserve">, hvis kapitalejeren ikke opfylder kravene i </w:t>
      </w:r>
      <w:r w:rsidR="005B4005" w:rsidRPr="00796736">
        <w:rPr>
          <w:rFonts w:ascii="Times New Roman" w:eastAsia="Calibri" w:hAnsi="Times New Roman" w:cs="Times New Roman"/>
          <w:iCs/>
          <w:sz w:val="24"/>
          <w:szCs w:val="24"/>
        </w:rPr>
        <w:fldChar w:fldCharType="begin"/>
      </w:r>
      <w:r w:rsidR="005B4005" w:rsidRPr="00796736">
        <w:rPr>
          <w:rFonts w:ascii="Times New Roman" w:eastAsia="Calibri" w:hAnsi="Times New Roman" w:cs="Times New Roman"/>
          <w:iCs/>
          <w:sz w:val="24"/>
          <w:szCs w:val="24"/>
        </w:rPr>
        <w:instrText xml:space="preserve"> REF _Ref232596808 \r \h  \* MERGEFORMAT </w:instrText>
      </w:r>
      <w:r w:rsidR="005B4005" w:rsidRPr="00796736">
        <w:rPr>
          <w:rFonts w:ascii="Times New Roman" w:eastAsia="Calibri" w:hAnsi="Times New Roman" w:cs="Times New Roman"/>
          <w:iCs/>
          <w:sz w:val="24"/>
          <w:szCs w:val="24"/>
        </w:rPr>
      </w:r>
      <w:r w:rsidR="005B4005"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45</w:t>
      </w:r>
      <w:r w:rsidR="005B4005" w:rsidRPr="00796736">
        <w:rPr>
          <w:rFonts w:ascii="Times New Roman" w:eastAsia="Calibri" w:hAnsi="Times New Roman" w:cs="Times New Roman"/>
          <w:iCs/>
          <w:sz w:val="24"/>
          <w:szCs w:val="24"/>
        </w:rPr>
        <w:fldChar w:fldCharType="end"/>
      </w:r>
      <w:r w:rsidR="005B4005" w:rsidRPr="00796736">
        <w:rPr>
          <w:rFonts w:ascii="Times New Roman" w:eastAsia="Calibri" w:hAnsi="Times New Roman" w:cs="Times New Roman"/>
          <w:iCs/>
          <w:sz w:val="24"/>
          <w:szCs w:val="24"/>
        </w:rPr>
        <w:t xml:space="preserve">, stk. 1, og </w:t>
      </w:r>
      <w:r w:rsidR="005B4005" w:rsidRPr="00796736">
        <w:rPr>
          <w:rFonts w:ascii="Times New Roman" w:eastAsia="Calibri" w:hAnsi="Times New Roman" w:cs="Times New Roman"/>
          <w:iCs/>
          <w:sz w:val="24"/>
          <w:szCs w:val="24"/>
        </w:rPr>
        <w:fldChar w:fldCharType="begin"/>
      </w:r>
      <w:r w:rsidR="005B4005" w:rsidRPr="00796736">
        <w:rPr>
          <w:rFonts w:ascii="Times New Roman" w:eastAsia="Calibri" w:hAnsi="Times New Roman" w:cs="Times New Roman"/>
          <w:iCs/>
          <w:sz w:val="24"/>
          <w:szCs w:val="24"/>
        </w:rPr>
        <w:instrText xml:space="preserve"> REF _Ref232596960 \r \h  \* MERGEFORMAT </w:instrText>
      </w:r>
      <w:r w:rsidR="005B4005" w:rsidRPr="00796736">
        <w:rPr>
          <w:rFonts w:ascii="Times New Roman" w:eastAsia="Calibri" w:hAnsi="Times New Roman" w:cs="Times New Roman"/>
          <w:iCs/>
          <w:sz w:val="24"/>
          <w:szCs w:val="24"/>
        </w:rPr>
      </w:r>
      <w:r w:rsidR="005B4005"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51</w:t>
      </w:r>
      <w:r w:rsidR="005B4005" w:rsidRPr="00796736">
        <w:rPr>
          <w:rFonts w:ascii="Times New Roman" w:eastAsia="Calibri" w:hAnsi="Times New Roman" w:cs="Times New Roman"/>
          <w:iCs/>
          <w:sz w:val="24"/>
          <w:szCs w:val="24"/>
        </w:rPr>
        <w:fldChar w:fldCharType="end"/>
      </w:r>
      <w:r w:rsidR="005B4005" w:rsidRPr="00796736">
        <w:rPr>
          <w:rFonts w:ascii="Times New Roman" w:eastAsia="Calibri" w:hAnsi="Times New Roman" w:cs="Times New Roman"/>
          <w:iCs/>
          <w:sz w:val="24"/>
          <w:szCs w:val="24"/>
        </w:rPr>
        <w:t>, stk. 1 og 3</w:t>
      </w:r>
      <w:r w:rsidR="005B4005" w:rsidRPr="00796736">
        <w:rPr>
          <w:rFonts w:ascii="Times New Roman" w:hAnsi="Times New Roman" w:cs="Times New Roman"/>
          <w:sz w:val="24"/>
          <w:szCs w:val="24"/>
        </w:rPr>
        <w:t>. Finanstilsynet kan også påbyde virksomheden at følge bestemte retningslinjer.</w:t>
      </w:r>
      <w:r w:rsidR="0036672D" w:rsidRPr="00796736">
        <w:rPr>
          <w:rFonts w:ascii="Times New Roman" w:hAnsi="Times New Roman" w:cs="Times New Roman"/>
          <w:sz w:val="24"/>
          <w:szCs w:val="24"/>
        </w:rPr>
        <w:t xml:space="preserve">. </w:t>
      </w:r>
    </w:p>
    <w:p w14:paraId="7452C41D" w14:textId="77777777" w:rsidR="00183468" w:rsidRPr="00796736" w:rsidRDefault="00183468" w:rsidP="00A802A5">
      <w:pPr>
        <w:spacing w:line="360" w:lineRule="auto"/>
        <w:rPr>
          <w:rFonts w:ascii="Times New Roman" w:hAnsi="Times New Roman" w:cs="Times New Roman"/>
          <w:sz w:val="24"/>
          <w:szCs w:val="24"/>
        </w:rPr>
      </w:pPr>
    </w:p>
    <w:p w14:paraId="263A8506"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 62, stk. 1, i lov om finansiel virksomhed fastlægger reglerne for Finanstilsynets sanktionsmuligheder i tilfælde af, at en ejer af en kvalificeret andel i en finansiel virksomhed ikke opfylder kriterierne for at kunne godkendes som ejer af en kvalificeret andel, samt Finanstilsynets mulighed for at ophæve den stemmeret, der er tilknyttet kapitalandelen, eller påbyde kapitalejeren at følge bestemte retningslinjer.</w:t>
      </w:r>
    </w:p>
    <w:p w14:paraId="2E0DEDA7" w14:textId="77777777" w:rsidR="00183468" w:rsidRPr="00796736" w:rsidRDefault="00183468" w:rsidP="00A802A5">
      <w:pPr>
        <w:spacing w:line="360" w:lineRule="auto"/>
        <w:rPr>
          <w:rFonts w:ascii="Times New Roman" w:hAnsi="Times New Roman" w:cs="Times New Roman"/>
          <w:sz w:val="24"/>
          <w:szCs w:val="24"/>
        </w:rPr>
      </w:pPr>
    </w:p>
    <w:p w14:paraId="6762FB87" w14:textId="59492825"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stk. 2 indfører en tilsvarende sanktionsadgang for Finanstilsynet i forhold til virksomheder omfattet af denne lov og tilsigter at sikre, at tilsynet har de nødvendige beføjelser til at gribe ind over for ejere, der ikke længere opfylder betingelserne for at </w:t>
      </w:r>
      <w:r w:rsidR="005B4005">
        <w:rPr>
          <w:rFonts w:ascii="Times New Roman" w:hAnsi="Times New Roman" w:cs="Times New Roman"/>
          <w:sz w:val="24"/>
          <w:szCs w:val="24"/>
        </w:rPr>
        <w:t>være reel ejer.</w:t>
      </w:r>
    </w:p>
    <w:p w14:paraId="5B585E68" w14:textId="77777777" w:rsidR="00183468" w:rsidRPr="00796736" w:rsidRDefault="00183468" w:rsidP="00A802A5">
      <w:pPr>
        <w:spacing w:line="360" w:lineRule="auto"/>
        <w:rPr>
          <w:rFonts w:ascii="Times New Roman" w:hAnsi="Times New Roman" w:cs="Times New Roman"/>
          <w:sz w:val="24"/>
          <w:szCs w:val="24"/>
        </w:rPr>
      </w:pPr>
    </w:p>
    <w:p w14:paraId="682A98FD"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svarer til lov om finansiel virksomhed § 62, stk. 1, og har til formål at sikre ensartethed på tværs af lovgivningen.</w:t>
      </w:r>
    </w:p>
    <w:p w14:paraId="453C209D" w14:textId="77777777" w:rsidR="00183468" w:rsidRPr="00796736" w:rsidRDefault="00183468" w:rsidP="00A802A5">
      <w:pPr>
        <w:spacing w:line="360" w:lineRule="auto"/>
        <w:rPr>
          <w:rFonts w:ascii="Times New Roman" w:hAnsi="Times New Roman" w:cs="Times New Roman"/>
          <w:sz w:val="24"/>
          <w:szCs w:val="24"/>
        </w:rPr>
      </w:pPr>
    </w:p>
    <w:p w14:paraId="2EBC06CB" w14:textId="7953E815"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bestemmelsen får Finanstilsynet mulighed for at ophæve stemmeretten for de pågældende kapitalandele og påbyde afhændelse, hvis ejeren ikke længere opfylder kravene til at være </w:t>
      </w:r>
      <w:r w:rsidR="005B4005">
        <w:rPr>
          <w:rFonts w:ascii="Times New Roman" w:hAnsi="Times New Roman" w:cs="Times New Roman"/>
          <w:sz w:val="24"/>
          <w:szCs w:val="24"/>
        </w:rPr>
        <w:t>reel ejer</w:t>
      </w:r>
      <w:r w:rsidRPr="00796736">
        <w:rPr>
          <w:rFonts w:ascii="Times New Roman" w:hAnsi="Times New Roman" w:cs="Times New Roman"/>
          <w:sz w:val="24"/>
          <w:szCs w:val="24"/>
        </w:rPr>
        <w:t>. Ophævelse af stemmeret indebærer, at de pågældende kapitalandele ikke kan udøve stemmeret på generalforsamlingen og ikke indgår i opgørelsen af den stemmeberettigede kapital.</w:t>
      </w:r>
    </w:p>
    <w:p w14:paraId="7E5D78D4" w14:textId="77777777" w:rsidR="00183468" w:rsidRPr="00796736" w:rsidRDefault="00183468" w:rsidP="00A802A5">
      <w:pPr>
        <w:spacing w:line="360" w:lineRule="auto"/>
        <w:rPr>
          <w:rFonts w:ascii="Times New Roman" w:hAnsi="Times New Roman" w:cs="Times New Roman"/>
          <w:sz w:val="24"/>
          <w:szCs w:val="24"/>
        </w:rPr>
      </w:pPr>
    </w:p>
    <w:p w14:paraId="62F14A1C"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om bestemte retningslinjer tilsigter at etablere en forsigtig og sund udvikling. Ved forsvarlig og fornuftig forvaltning forstås forvaltning på det økonomiske område. Hvis den pågældende ejer eksempelvis i forbindelse med ejerskab eller deltagelse i ledelsen af andre virksomheder har vist sig uegnet til at drive virksomhed på en økonomisk forsvarlig måde, kan stemmeretten ophæves, f.eks. hvis den pågældende er dømt for økonomisk kriminalitet. </w:t>
      </w:r>
    </w:p>
    <w:p w14:paraId="5DB4FFFE" w14:textId="77777777" w:rsidR="00183468" w:rsidRPr="00796736" w:rsidRDefault="00183468" w:rsidP="00A802A5">
      <w:pPr>
        <w:spacing w:line="360" w:lineRule="auto"/>
        <w:rPr>
          <w:rFonts w:ascii="Times New Roman" w:hAnsi="Times New Roman" w:cs="Times New Roman"/>
          <w:sz w:val="24"/>
          <w:szCs w:val="24"/>
        </w:rPr>
      </w:pPr>
    </w:p>
    <w:p w14:paraId="03CD9BBA"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vil bero på en konkret vurdering, om bestemmelsen skal anvendes. Det er næppe udelukket at bringe bestemmelsen i anvendelse, hvis kapitalejere i et enkelt meget væsentligt anliggende modvirker en forsvarlig drift af virksomheden. Det kan for eksempel være, hvis en ejer blokerer en fusion, der kan sikre, at virksomheden kan føres videre på et forsvarligt grundlag, eller blokerer for nødvendige vedtægtsændringer, der er en forudsætning for en nødvendig kapitalforhøjelse således, at virksomheden kan fortsætte sin drift.</w:t>
      </w:r>
    </w:p>
    <w:p w14:paraId="01DBE9FE" w14:textId="77777777" w:rsidR="00183468" w:rsidRPr="00796736" w:rsidRDefault="00183468" w:rsidP="00A802A5">
      <w:pPr>
        <w:spacing w:line="360" w:lineRule="auto"/>
        <w:rPr>
          <w:rFonts w:ascii="Times New Roman" w:hAnsi="Times New Roman" w:cs="Times New Roman"/>
          <w:sz w:val="24"/>
          <w:szCs w:val="24"/>
        </w:rPr>
      </w:pPr>
    </w:p>
    <w:p w14:paraId="51534BFD" w14:textId="5E998960"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har til formål at sikre, at ejere, der ikke længere opfylder kravene til at være </w:t>
      </w:r>
      <w:r w:rsidR="005B4005">
        <w:rPr>
          <w:rFonts w:ascii="Times New Roman" w:hAnsi="Times New Roman" w:cs="Times New Roman"/>
          <w:sz w:val="24"/>
          <w:szCs w:val="24"/>
        </w:rPr>
        <w:t>reel ejer</w:t>
      </w:r>
      <w:r w:rsidRPr="00796736">
        <w:rPr>
          <w:rFonts w:ascii="Times New Roman" w:hAnsi="Times New Roman" w:cs="Times New Roman"/>
          <w:sz w:val="24"/>
          <w:szCs w:val="24"/>
        </w:rPr>
        <w:t>, ikke kan udøve indflydelse på virksomhedens ledelse eller drift, og at virksomheden kan føres videre på et forsvarligt grundlag. Det vil bero på en konkret vurdering, om og hvornår bestemmelsen skal bringes i anvendelse.</w:t>
      </w:r>
    </w:p>
    <w:p w14:paraId="58C5E067" w14:textId="77777777" w:rsidR="00FC432B" w:rsidRPr="00796736" w:rsidRDefault="00FC432B" w:rsidP="00A802A5">
      <w:pPr>
        <w:spacing w:line="360" w:lineRule="auto"/>
        <w:rPr>
          <w:rFonts w:ascii="Times New Roman" w:hAnsi="Times New Roman" w:cs="Times New Roman"/>
          <w:sz w:val="24"/>
          <w:szCs w:val="24"/>
        </w:rPr>
      </w:pPr>
    </w:p>
    <w:p w14:paraId="37568EA3" w14:textId="133A68EA" w:rsidR="00FC432B" w:rsidRPr="00796736" w:rsidRDefault="00FC432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hvis Finanstilsynet har ophævet stemmeretten i medfør af stk. 2, kan kapitalandelen ikke indgå i opgørelsen af den på en generalforsamling repræsenterede stemmeberettigede kapital. </w:t>
      </w:r>
    </w:p>
    <w:p w14:paraId="0EAAC288" w14:textId="77777777" w:rsidR="00FC432B" w:rsidRPr="00796736" w:rsidRDefault="00FC432B" w:rsidP="00A802A5">
      <w:pPr>
        <w:spacing w:line="360" w:lineRule="auto"/>
        <w:rPr>
          <w:rFonts w:ascii="Times New Roman" w:hAnsi="Times New Roman" w:cs="Times New Roman"/>
          <w:sz w:val="24"/>
          <w:szCs w:val="24"/>
        </w:rPr>
      </w:pPr>
    </w:p>
    <w:p w14:paraId="47F5A18A" w14:textId="77777777" w:rsidR="00FC432B" w:rsidRPr="00796736" w:rsidRDefault="00FC432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svarer til § 62, stk. 5, i lov om finansiel virksomhed og har til formål at sikre ensartethed på tværs af den finansielle lovgivning.</w:t>
      </w:r>
    </w:p>
    <w:p w14:paraId="35430592" w14:textId="77777777" w:rsidR="00FC432B" w:rsidRPr="00796736" w:rsidRDefault="00FC432B" w:rsidP="00A802A5">
      <w:pPr>
        <w:spacing w:line="360" w:lineRule="auto"/>
        <w:rPr>
          <w:rFonts w:ascii="Times New Roman" w:hAnsi="Times New Roman" w:cs="Times New Roman"/>
          <w:sz w:val="24"/>
          <w:szCs w:val="24"/>
        </w:rPr>
      </w:pPr>
    </w:p>
    <w:p w14:paraId="67399518" w14:textId="77777777" w:rsidR="00FC432B" w:rsidRPr="00796736" w:rsidRDefault="00FC432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At kapitalen ikke kan indgå i opgørelsen betyder, at de pågældende kapitalandele ikke kan udøve stemmeret på generalforsamlingen, og at de ikke medregnes ved opgørelsen af, hvor stor en del af selskabskapitalen, der er repræsenteret på generalforsamlingen. </w:t>
      </w:r>
    </w:p>
    <w:p w14:paraId="27199881" w14:textId="77777777" w:rsidR="00FC432B" w:rsidRPr="00796736" w:rsidRDefault="00FC432B" w:rsidP="00A802A5">
      <w:pPr>
        <w:spacing w:line="360" w:lineRule="auto"/>
        <w:rPr>
          <w:rFonts w:ascii="Times New Roman" w:hAnsi="Times New Roman" w:cs="Times New Roman"/>
          <w:sz w:val="24"/>
          <w:szCs w:val="24"/>
        </w:rPr>
      </w:pPr>
    </w:p>
    <w:p w14:paraId="1BFC5E17" w14:textId="433823BB" w:rsidR="00FC432B" w:rsidRPr="00796736" w:rsidRDefault="00FC432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bestemmelsen er at sikre, at der kan træffes beslutninger i selskabet, uanset at Finanstilsynet har ophævet stemmeretten på en betydelig del af selskabskapitalen. </w:t>
      </w:r>
    </w:p>
    <w:p w14:paraId="3BB247EF" w14:textId="77777777" w:rsidR="00FC432B" w:rsidRPr="00796736" w:rsidRDefault="00FC432B" w:rsidP="00A802A5">
      <w:pPr>
        <w:spacing w:line="360" w:lineRule="auto"/>
        <w:rPr>
          <w:rFonts w:ascii="Times New Roman" w:hAnsi="Times New Roman" w:cs="Times New Roman"/>
          <w:sz w:val="24"/>
          <w:szCs w:val="24"/>
        </w:rPr>
      </w:pPr>
    </w:p>
    <w:p w14:paraId="313A70AC" w14:textId="7DE0D8E3" w:rsidR="00FC432B" w:rsidRPr="00796736" w:rsidRDefault="00FC432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Andre rettigheder, der tilkommer en kapitalejer, f.eks. ind løsningsret og retten til udbyttebetaling, bortfalder ikke ved Finanstilsynets ophævelse af stemmerettighederne. </w:t>
      </w:r>
    </w:p>
    <w:p w14:paraId="007118DD" w14:textId="77777777" w:rsidR="00FC432B" w:rsidRPr="00796736" w:rsidRDefault="00FC432B" w:rsidP="00A802A5">
      <w:pPr>
        <w:spacing w:line="360" w:lineRule="auto"/>
        <w:rPr>
          <w:rFonts w:ascii="Times New Roman" w:hAnsi="Times New Roman" w:cs="Times New Roman"/>
          <w:sz w:val="24"/>
          <w:szCs w:val="24"/>
        </w:rPr>
      </w:pPr>
    </w:p>
    <w:p w14:paraId="03970D8B" w14:textId="748227B8"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FC432B" w:rsidRPr="00796736">
        <w:rPr>
          <w:rFonts w:ascii="Times New Roman" w:hAnsi="Times New Roman" w:cs="Times New Roman"/>
          <w:i/>
          <w:iCs/>
          <w:sz w:val="24"/>
          <w:szCs w:val="24"/>
        </w:rPr>
        <w:t>4</w:t>
      </w:r>
      <w:r w:rsidRPr="00796736">
        <w:rPr>
          <w:rFonts w:ascii="Times New Roman" w:hAnsi="Times New Roman" w:cs="Times New Roman"/>
          <w:sz w:val="24"/>
          <w:szCs w:val="24"/>
        </w:rPr>
        <w:t xml:space="preserve">, at varigheden af et påbud meddelt efter stk. 1, skal fremgå af </w:t>
      </w:r>
      <w:r w:rsidR="0036672D" w:rsidRPr="00796736">
        <w:rPr>
          <w:rFonts w:ascii="Times New Roman" w:hAnsi="Times New Roman" w:cs="Times New Roman"/>
          <w:sz w:val="24"/>
          <w:szCs w:val="24"/>
        </w:rPr>
        <w:t>påbuddet</w:t>
      </w:r>
      <w:r w:rsidRPr="00796736">
        <w:rPr>
          <w:rFonts w:ascii="Times New Roman" w:hAnsi="Times New Roman" w:cs="Times New Roman"/>
          <w:sz w:val="24"/>
          <w:szCs w:val="24"/>
        </w:rPr>
        <w:t xml:space="preserve">. </w:t>
      </w:r>
    </w:p>
    <w:p w14:paraId="54EF3ECC" w14:textId="77777777" w:rsidR="00183468" w:rsidRPr="00796736" w:rsidRDefault="00183468" w:rsidP="00A802A5">
      <w:pPr>
        <w:spacing w:line="360" w:lineRule="auto"/>
        <w:rPr>
          <w:rFonts w:ascii="Times New Roman" w:hAnsi="Times New Roman" w:cs="Times New Roman"/>
          <w:sz w:val="24"/>
          <w:szCs w:val="24"/>
        </w:rPr>
      </w:pPr>
    </w:p>
    <w:p w14:paraId="794905E0" w14:textId="283C0A38" w:rsidR="00183468" w:rsidRPr="00796736" w:rsidRDefault="00516D5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w:t>
      </w:r>
      <w:r w:rsidR="00183468" w:rsidRPr="00796736">
        <w:rPr>
          <w:rFonts w:ascii="Times New Roman" w:hAnsi="Times New Roman" w:cs="Times New Roman"/>
          <w:sz w:val="24"/>
          <w:szCs w:val="24"/>
        </w:rPr>
        <w:t>ngivelse</w:t>
      </w:r>
      <w:r w:rsidRPr="00796736">
        <w:rPr>
          <w:rFonts w:ascii="Times New Roman" w:hAnsi="Times New Roman" w:cs="Times New Roman"/>
          <w:sz w:val="24"/>
          <w:szCs w:val="24"/>
        </w:rPr>
        <w:t>n</w:t>
      </w:r>
      <w:r w:rsidR="00183468" w:rsidRPr="00796736">
        <w:rPr>
          <w:rFonts w:ascii="Times New Roman" w:hAnsi="Times New Roman" w:cs="Times New Roman"/>
          <w:sz w:val="24"/>
          <w:szCs w:val="24"/>
        </w:rPr>
        <w:t xml:space="preserve"> af afgørelsens varighed</w:t>
      </w:r>
      <w:r w:rsidRPr="00796736">
        <w:rPr>
          <w:rFonts w:ascii="Times New Roman" w:hAnsi="Times New Roman" w:cs="Times New Roman"/>
          <w:sz w:val="24"/>
          <w:szCs w:val="24"/>
        </w:rPr>
        <w:t xml:space="preserve"> medfører</w:t>
      </w:r>
      <w:r w:rsidR="00183468" w:rsidRPr="00796736">
        <w:rPr>
          <w:rFonts w:ascii="Times New Roman" w:hAnsi="Times New Roman" w:cs="Times New Roman"/>
          <w:sz w:val="24"/>
          <w:szCs w:val="24"/>
        </w:rPr>
        <w:t>, at Finanstilsynet som udgangspunkt ikke efter udløbet af den angivne periode vil inddrage de forhold, der lå til grund for afgørelsen, hvis den pågældende person på ny ansøger om egnetheds- og hæderlighedsvurdering. Det betyder, at de forhold, der førte til vurderingen af, at personen ikke opfyldte hæderlighedskravet, som udgangspunkt ikke længere tillægges vægt ved en ny vurdering. Det ændrer ikke på, at den pågældende, efter udløbet af varigheden, skal ansøge Finanstilsynet om en ny egnetheds- og hæderlighedsvurdering, hvis vedkommende ønsker at tiltræde et hverv som bestyrelsesmedlem, direktør eller nøgleperson. I denne nye vurdering vil de tidligere forhold, der førte til den negative afgørelse, ikke indgå, medmindre særlige omstændigheder gør sig gældende.</w:t>
      </w:r>
    </w:p>
    <w:p w14:paraId="0173668D" w14:textId="77777777" w:rsidR="00183468" w:rsidRPr="00796736" w:rsidRDefault="00183468" w:rsidP="00A802A5">
      <w:pPr>
        <w:spacing w:line="360" w:lineRule="auto"/>
        <w:rPr>
          <w:rFonts w:ascii="Times New Roman" w:hAnsi="Times New Roman" w:cs="Times New Roman"/>
          <w:sz w:val="24"/>
          <w:szCs w:val="24"/>
        </w:rPr>
      </w:pPr>
    </w:p>
    <w:p w14:paraId="4331F295" w14:textId="001ED905"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Varigheden af påbud og afgørelser fastsættes på baggrund af en konkret vurdering, hvor Finanstilsynet blandt andet lægger vægt på alvoren af overtrædelsen, den tid der er gået siden overtrædelsen, personens adfærd siden overtrædelsen, og om der er tale om gentagelsestilfælde. Gentagelsestilfælde vil være skærpende for fastsættelsen af varigheden. Varigheden kan som udgangspunkt fastsættes fra et år til fem år, men kan i særligt alvorlige sager fastsættes til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En varighed på fem år vil typisk blive anvendt, medmindre forholdene taler for en kortere eller længere periode.</w:t>
      </w:r>
    </w:p>
    <w:p w14:paraId="6E342348" w14:textId="77777777" w:rsidR="00183468" w:rsidRPr="00796736" w:rsidRDefault="00183468" w:rsidP="00A802A5">
      <w:pPr>
        <w:spacing w:line="360" w:lineRule="auto"/>
        <w:rPr>
          <w:rFonts w:ascii="Times New Roman" w:hAnsi="Times New Roman" w:cs="Times New Roman"/>
          <w:sz w:val="24"/>
          <w:szCs w:val="24"/>
        </w:rPr>
      </w:pPr>
    </w:p>
    <w:p w14:paraId="613A6EB3" w14:textId="0FDBC8C0"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formål med at fastsætte varigheden er at øge transparensen og retssikkerheden for de personer, som afgørelsen vedrører. Der vil være forskel på varigheden af afgørelser meddelt på baggrund af mindre alvorlige forhold og grovere forhold. Ved fastsættelsen af varigheden vil Finanstilsynet foretage en samlet vurdering af grovheden af de passerede forhold, om der er tale om gentagelsestilfælde, hvor lang tid forholdene har stået på, og hvor lang tid der er gået siden forholdene er ophørt. Kumulative effekter af flere mindre overtrædelser kan være skærpende, ligesom særligt grove overtrædelser kan medføre, at varigheden fastsættes til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En sådan varighed vil dog kun anvendes i særligt alvorlige sager, f.eks. ved grov økonomisk kriminalitet, betydelige tillidsbrud eller gentagelsestilfælde.</w:t>
      </w:r>
    </w:p>
    <w:p w14:paraId="19B5B873" w14:textId="77777777" w:rsidR="00183468" w:rsidRPr="00796736" w:rsidRDefault="00183468" w:rsidP="00A802A5">
      <w:pPr>
        <w:spacing w:line="360" w:lineRule="auto"/>
        <w:rPr>
          <w:rFonts w:ascii="Times New Roman" w:hAnsi="Times New Roman" w:cs="Times New Roman"/>
          <w:sz w:val="24"/>
          <w:szCs w:val="24"/>
        </w:rPr>
      </w:pPr>
    </w:p>
    <w:p w14:paraId="6B71CB12" w14:textId="66EF5169"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udgangspunkt vil Finanstilsynet ikke inddrage forhold i en vurdering af en persons hæderlighed, der er mere end 10 år gamle. Finanstilsynet vil dog kunne inddrage forhold, der ligger længere tilbage i tid, hvis forholdene er særligt alvorlige, eller hvis disse er en del af et sammenhængende sagsforløb, hvor dele er mindre end 10 år gamle, eller hvor der er tale om gentagelsestilfælde. Alvorlige forhold kan f.eks. være svindel, grov tilsidesættelse af god skik, forsætlig tilsidesættelse af hvidvasklovens krav eller egentlig medvirken til økonomisk kriminalitet. Det vil omvendt også betyde, at der skal være særlige forhold, der gør sig gælden de, hvis Finanstilsynet skal kigge mere end 10 år tilbage ved vurderingen af en persons adfærd. Ud over hensynet til omfanget, karakteren og grovheden af de forhold, der begrunder afgørelsen, vil Finanstilsynet også lægge vægt på, hvorvidt der er grund til at antage, at den pågældende fortsat ikke vil kunne varetage hvervet eller stillingen på forsvarlig måde. Det beror på en vurdering af de konkrete forhold, her under om forholdet er så kritisabelt, at en længere varighed er påkrævet, eller hvor varigheden i særligt alvorlige sager bør være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w:t>
      </w:r>
    </w:p>
    <w:p w14:paraId="078873B1" w14:textId="77777777" w:rsidR="00183468" w:rsidRPr="00796736" w:rsidRDefault="00183468" w:rsidP="00A802A5">
      <w:pPr>
        <w:spacing w:line="360" w:lineRule="auto"/>
        <w:rPr>
          <w:rFonts w:ascii="Times New Roman" w:hAnsi="Times New Roman" w:cs="Times New Roman"/>
          <w:sz w:val="24"/>
          <w:szCs w:val="24"/>
        </w:rPr>
      </w:pPr>
    </w:p>
    <w:p w14:paraId="18CB1469"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Begyndelsestidspunktet for varigheden vil som udgangspunkt være datoen for Finanstilsynets afgørelse. Varigheden af afgørelser og påbud vil bl.a. afhænge af grovheden af de passerede forhold, om der er tale om gentagelsestilfælde, hvor lang en periode forholdene har stået eller stod på, og hvor lang tid der er gået siden de pågældende forhold er ophørt. I vurdering af fastsættelsen af varigheden vil Finanstilsynet skulle foretage en samlet vurdering. I tilfælde, hvor afgørelsen vedrører konkurs, rekonstruktion eller gældssanering, regnes begyndelsestidspunktet fra datoen for afslutningen af disse forhold.</w:t>
      </w:r>
    </w:p>
    <w:p w14:paraId="41DAC215" w14:textId="77777777" w:rsidR="00183468" w:rsidRPr="00796736" w:rsidRDefault="00183468" w:rsidP="00A802A5">
      <w:pPr>
        <w:spacing w:line="360" w:lineRule="auto"/>
        <w:rPr>
          <w:rFonts w:ascii="Times New Roman" w:hAnsi="Times New Roman" w:cs="Times New Roman"/>
          <w:sz w:val="24"/>
          <w:szCs w:val="24"/>
        </w:rPr>
      </w:pPr>
    </w:p>
    <w:p w14:paraId="0054737A"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Retningsgivende for fastsættelsen af en varighed på fem år vil således være, at der ikke er forhold, der taler for en kortere varighed, eller hvor karakteren og omfanget af forholdene tilsiger, at en længere varighed er påkrævet. </w:t>
      </w:r>
    </w:p>
    <w:p w14:paraId="42DECC9D" w14:textId="77777777" w:rsidR="00183468" w:rsidRPr="00796736" w:rsidRDefault="00183468" w:rsidP="00A802A5">
      <w:pPr>
        <w:spacing w:line="360" w:lineRule="auto"/>
        <w:rPr>
          <w:rFonts w:ascii="Times New Roman" w:hAnsi="Times New Roman" w:cs="Times New Roman"/>
          <w:sz w:val="24"/>
          <w:szCs w:val="24"/>
        </w:rPr>
      </w:pPr>
    </w:p>
    <w:p w14:paraId="785C6CD6"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Udover en konkret vurdering af grovheden af forholdene, vil Finanstilsynet også kunne inddrage kumulative effekter af flere overtrædelser, gentagelsestilfælde og den eventuelle skadevirkning af forholdet. Hvis det pågældende forhold er egnet til i betydeligt omfang at svække den samlede sektors omdømme og derved tilliden til sektoren, bør det skærpe varigheden. Herudover har tidsaspektet også betydning for fastsættelsen af varigheden, hvor forhold, der ligger tilbage i tid, efter en konkret vurdering kan føre til en lempelse af varigheden.</w:t>
      </w:r>
    </w:p>
    <w:p w14:paraId="0CC8591D" w14:textId="77777777" w:rsidR="00183468" w:rsidRPr="00796736" w:rsidRDefault="00183468" w:rsidP="00A802A5">
      <w:pPr>
        <w:spacing w:line="360" w:lineRule="auto"/>
        <w:rPr>
          <w:rFonts w:ascii="Times New Roman" w:hAnsi="Times New Roman" w:cs="Times New Roman"/>
          <w:sz w:val="24"/>
          <w:szCs w:val="24"/>
        </w:rPr>
      </w:pPr>
    </w:p>
    <w:p w14:paraId="7D0F5B50"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Retningsgivende for afgørelser med en varighed, der sættes til mindre end fem år, vil være, at der kan være tale om en situation, hvor Finanstilsynet efter en samlet vurdering vurderer, at personen ikke er hæderlig, men hvor det samlede sagsforløb afdækker en række formildende omstændigheder om den pågældende eller hændelsesforløbet. Det vil imidlertid også kunne være tilfældet, hvor forholdet har en sådan beskaffenhed, at varigheden eksempelvis isoleret set vil kunne fastsættes til fem år, men hvor forholdet ligger en årrække tilbage. I sådanne tilfælde vil tidsaspektet, personens adfærd siden det pågældende forhold, og fraværet af gentagelsesvirkning kunne føre til en lempelse af varigheden.</w:t>
      </w:r>
    </w:p>
    <w:p w14:paraId="512F0B97" w14:textId="77777777" w:rsidR="00183468" w:rsidRPr="00796736" w:rsidRDefault="00183468" w:rsidP="00A802A5">
      <w:pPr>
        <w:spacing w:line="360" w:lineRule="auto"/>
        <w:rPr>
          <w:rFonts w:ascii="Times New Roman" w:hAnsi="Times New Roman" w:cs="Times New Roman"/>
          <w:sz w:val="24"/>
          <w:szCs w:val="24"/>
        </w:rPr>
      </w:pPr>
    </w:p>
    <w:p w14:paraId="14DC7FB1" w14:textId="5A36807F"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Retningsgivende for fastsættelsen af varigheden </w:t>
      </w:r>
      <w:r w:rsidR="005B561A" w:rsidRPr="00796736">
        <w:rPr>
          <w:rFonts w:ascii="Times New Roman" w:hAnsi="Times New Roman" w:cs="Times New Roman"/>
          <w:sz w:val="24"/>
          <w:szCs w:val="24"/>
        </w:rPr>
        <w:t>til at være</w:t>
      </w:r>
      <w:r w:rsidRPr="00796736">
        <w:rPr>
          <w:rFonts w:ascii="Times New Roman" w:hAnsi="Times New Roman" w:cs="Times New Roman"/>
          <w:sz w:val="24"/>
          <w:szCs w:val="24"/>
        </w:rPr>
        <w:t xml:space="preserve">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00941F4B">
        <w:rPr>
          <w:rFonts w:ascii="Times New Roman" w:hAnsi="Times New Roman" w:cs="Times New Roman"/>
          <w:sz w:val="24"/>
          <w:szCs w:val="24"/>
        </w:rPr>
        <w:t xml:space="preserve"> </w:t>
      </w:r>
      <w:r w:rsidRPr="00796736">
        <w:rPr>
          <w:rFonts w:ascii="Times New Roman" w:hAnsi="Times New Roman" w:cs="Times New Roman"/>
          <w:sz w:val="24"/>
          <w:szCs w:val="24"/>
        </w:rPr>
        <w:t xml:space="preserve">er, at der skal være tale om grove forhold eller alvor lige gentagelsestilfælde, der som udgangspunkt ikke ligger mere end 10 år tilbage i tiden. Det vil således alene være i særligt alvorlige sager, at Finanstilsynet vil fastsætte varigheden til </w:t>
      </w:r>
      <w:r w:rsidR="005B561A" w:rsidRPr="00796736">
        <w:rPr>
          <w:rFonts w:ascii="Times New Roman" w:hAnsi="Times New Roman" w:cs="Times New Roman"/>
          <w:sz w:val="24"/>
          <w:szCs w:val="24"/>
        </w:rPr>
        <w:t xml:space="preserve">at være </w:t>
      </w:r>
      <w:r w:rsidR="00941F4B" w:rsidRPr="007E3D76">
        <w:rPr>
          <w:rFonts w:ascii="Times New Roman" w:hAnsi="Times New Roman" w:cs="Times New Roman"/>
          <w:sz w:val="24"/>
          <w:szCs w:val="24"/>
        </w:rPr>
        <w:t>»</w:t>
      </w:r>
      <w:r w:rsidR="00941F4B" w:rsidRPr="00796736">
        <w:rPr>
          <w:rFonts w:ascii="Times New Roman" w:hAnsi="Times New Roman" w:cs="Times New Roman"/>
          <w:sz w:val="24"/>
          <w:szCs w:val="24"/>
        </w:rPr>
        <w:t>indtil videre</w:t>
      </w:r>
      <w:r w:rsidR="00941F4B" w:rsidRPr="007E3D76">
        <w:rPr>
          <w:rFonts w:ascii="Times New Roman" w:hAnsi="Times New Roman" w:cs="Times New Roman"/>
          <w:sz w:val="24"/>
          <w:szCs w:val="24"/>
        </w:rPr>
        <w:t>«</w:t>
      </w:r>
      <w:r w:rsidRPr="00796736">
        <w:rPr>
          <w:rFonts w:ascii="Times New Roman" w:hAnsi="Times New Roman" w:cs="Times New Roman"/>
          <w:sz w:val="24"/>
          <w:szCs w:val="24"/>
        </w:rPr>
        <w:t>. Der kan eksempelvis være tale om særdeles grove forhold med overtrædelse af straffelovens berigelsesforbrydelser, forsætlig tilsidesættelse af hvidvasklovens krav eller egentlig medvirken til økonomisk kriminalitet. Generelt kan det siges, at det eller de udviste forhold skal have en sådan alvorlig karakter, at det må anses for åbenbart, at hverken Finanstilsynet eller samfundet kan have tillid til, at den pågældende indenfor en overskuelig fremtid vil kunne varetage hvervet som bestyrelsesmedlem eller stillingen som direktør eller nøgleperson i en finansiel virksomhed på en forsvarlig måde.</w:t>
      </w:r>
    </w:p>
    <w:p w14:paraId="6A1B68FD" w14:textId="77777777" w:rsidR="00183468" w:rsidRPr="00796736" w:rsidRDefault="00183468" w:rsidP="00A802A5">
      <w:pPr>
        <w:spacing w:line="360" w:lineRule="auto"/>
        <w:rPr>
          <w:rFonts w:ascii="Times New Roman" w:hAnsi="Times New Roman" w:cs="Times New Roman"/>
          <w:sz w:val="24"/>
          <w:szCs w:val="24"/>
        </w:rPr>
      </w:pPr>
    </w:p>
    <w:p w14:paraId="43405239" w14:textId="5E5480DA" w:rsidR="00520205"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stk. </w:t>
      </w:r>
      <w:r w:rsidR="00FC432B" w:rsidRPr="00796736">
        <w:rPr>
          <w:rFonts w:ascii="Times New Roman" w:hAnsi="Times New Roman" w:cs="Times New Roman"/>
          <w:i/>
          <w:iCs/>
          <w:sz w:val="24"/>
          <w:szCs w:val="24"/>
        </w:rPr>
        <w:t>5</w:t>
      </w:r>
      <w:r w:rsidRPr="00796736">
        <w:rPr>
          <w:rFonts w:ascii="Times New Roman" w:hAnsi="Times New Roman" w:cs="Times New Roman"/>
          <w:sz w:val="24"/>
          <w:szCs w:val="24"/>
        </w:rPr>
        <w:t xml:space="preserve">, at </w:t>
      </w:r>
      <w:r w:rsidR="00520205">
        <w:rPr>
          <w:rFonts w:ascii="Times New Roman" w:hAnsi="Times New Roman" w:cs="Times New Roman"/>
          <w:sz w:val="24"/>
          <w:szCs w:val="24"/>
        </w:rPr>
        <w:t>p</w:t>
      </w:r>
      <w:r w:rsidR="00520205" w:rsidRPr="00520205">
        <w:rPr>
          <w:rFonts w:ascii="Times New Roman" w:hAnsi="Times New Roman" w:cs="Times New Roman"/>
          <w:sz w:val="24"/>
          <w:szCs w:val="24"/>
        </w:rPr>
        <w:t>åbud meddelt efter stk. 1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afgørelsen skal have opsættende virkning. Finanstilsynet indbringer sagen for domstolene inden 4 uger efter modtagelse af anmodning herom. Sagen anlægges i den borgerlige retsplejes former</w:t>
      </w:r>
    </w:p>
    <w:p w14:paraId="2B1DBC4D" w14:textId="77777777" w:rsidR="00183468" w:rsidRPr="00796736" w:rsidRDefault="00183468" w:rsidP="00A802A5">
      <w:pPr>
        <w:spacing w:line="360" w:lineRule="auto"/>
        <w:rPr>
          <w:rFonts w:ascii="Times New Roman" w:hAnsi="Times New Roman" w:cs="Times New Roman"/>
          <w:sz w:val="24"/>
          <w:szCs w:val="24"/>
        </w:rPr>
      </w:pPr>
    </w:p>
    <w:p w14:paraId="2ECD948A"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Af retssikkerhedsmæssige hensyn er det væsentligt, at både virksomheden og den person, som påbuddet vedrører, har mulighed for at få prøvet Finanstilsynets afgørelse ved domstolene. Dette gælder uanset, om påbuddet retter sig mod afhændelse af ejerandele, ophævelse af stemmeret eller udtræden af selskabet. Det er Finanstilsynet, der har ansvaret for at indbringe sagen for domstolene, og dette skal ske inden for en frist på 4 uger efter, at anmodningen er modtaget. Der stilles ikke formkrav til anmodningen, hvilket sikrer en enkel og tilgængelig adgang til domstolsprøvelse.</w:t>
      </w:r>
    </w:p>
    <w:p w14:paraId="1FC83F50" w14:textId="77777777" w:rsidR="00183468" w:rsidRPr="00796736" w:rsidRDefault="00183468" w:rsidP="00A802A5">
      <w:pPr>
        <w:spacing w:line="360" w:lineRule="auto"/>
        <w:rPr>
          <w:rFonts w:ascii="Times New Roman" w:hAnsi="Times New Roman" w:cs="Times New Roman"/>
          <w:sz w:val="24"/>
          <w:szCs w:val="24"/>
        </w:rPr>
      </w:pPr>
    </w:p>
    <w:p w14:paraId="697A20DA" w14:textId="4184B252" w:rsidR="00183468" w:rsidRPr="00941F4B" w:rsidRDefault="00941F4B" w:rsidP="00941F4B">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Som udgangspunkt tillægges en anmodning om domstolsprøvelse ikke opsættende virkning, da dette vil kunne hindre en løbende og effektiv håndhævelse af kravene om egnethed og hæderlighed for reelle ejere. Retten har dog mulighed for, hvis det vurderes relevant at bestemme, at afgørelsen skal tillægges opsættende virkning. Dette sikrer en balance mellem hensynet til effektivt tilsyn og den enkeltes retssikkerhed.</w:t>
      </w:r>
    </w:p>
    <w:p w14:paraId="1B6E8FF5" w14:textId="0C3F5A24" w:rsidR="002B6672"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FC432B" w:rsidRPr="00796736">
        <w:rPr>
          <w:rFonts w:ascii="Times New Roman" w:hAnsi="Times New Roman" w:cs="Times New Roman"/>
          <w:i/>
          <w:iCs/>
          <w:sz w:val="24"/>
          <w:szCs w:val="24"/>
        </w:rPr>
        <w:t>6</w:t>
      </w:r>
      <w:r w:rsidRPr="00796736">
        <w:rPr>
          <w:rFonts w:ascii="Times New Roman" w:hAnsi="Times New Roman" w:cs="Times New Roman"/>
          <w:sz w:val="24"/>
          <w:szCs w:val="24"/>
        </w:rPr>
        <w:t>,</w:t>
      </w:r>
      <w:r w:rsidRPr="00796736">
        <w:rPr>
          <w:rFonts w:ascii="Times New Roman" w:eastAsia="Times New Roman" w:hAnsi="Times New Roman" w:cs="Times New Roman"/>
          <w:color w:val="09090B"/>
          <w:sz w:val="24"/>
          <w:szCs w:val="24"/>
          <w:lang w:eastAsia="da-DK"/>
        </w:rPr>
        <w:t xml:space="preserve"> a</w:t>
      </w:r>
      <w:r w:rsidRPr="00796736">
        <w:rPr>
          <w:rFonts w:ascii="Times New Roman" w:hAnsi="Times New Roman" w:cs="Times New Roman"/>
          <w:sz w:val="24"/>
          <w:szCs w:val="24"/>
        </w:rPr>
        <w:t>t</w:t>
      </w:r>
      <w:r w:rsidR="002B6672" w:rsidRPr="00796736">
        <w:rPr>
          <w:rFonts w:ascii="Times New Roman" w:hAnsi="Times New Roman" w:cs="Times New Roman"/>
          <w:sz w:val="24"/>
          <w:szCs w:val="24"/>
        </w:rPr>
        <w:t xml:space="preserve"> </w:t>
      </w:r>
      <w:r w:rsidR="002B6672" w:rsidRPr="00796736">
        <w:rPr>
          <w:rFonts w:ascii="Times New Roman" w:eastAsia="Times New Roman" w:hAnsi="Times New Roman" w:cs="Times New Roman"/>
          <w:sz w:val="24"/>
          <w:szCs w:val="24"/>
          <w:lang w:eastAsia="da-DK"/>
        </w:rPr>
        <w:t xml:space="preserve">Finanstilsynet af egen drift eller efter ansøgning </w:t>
      </w:r>
      <w:r w:rsidR="00BB19A8" w:rsidRPr="00796736">
        <w:rPr>
          <w:rFonts w:ascii="Times New Roman" w:eastAsia="Times New Roman" w:hAnsi="Times New Roman" w:cs="Times New Roman"/>
          <w:sz w:val="24"/>
          <w:szCs w:val="24"/>
          <w:lang w:eastAsia="da-DK"/>
        </w:rPr>
        <w:t xml:space="preserve">kan </w:t>
      </w:r>
      <w:r w:rsidR="002B6672" w:rsidRPr="00796736">
        <w:rPr>
          <w:rFonts w:ascii="Times New Roman" w:eastAsia="Times New Roman" w:hAnsi="Times New Roman" w:cs="Times New Roman"/>
          <w:sz w:val="24"/>
          <w:szCs w:val="24"/>
          <w:lang w:eastAsia="da-DK"/>
        </w:rPr>
        <w:t>tilbagekalde et påbud meddelt efter stk. 1.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1CDD56A0" w14:textId="77777777" w:rsidR="00183468" w:rsidRPr="00796736" w:rsidRDefault="00183468" w:rsidP="00A802A5">
      <w:pPr>
        <w:spacing w:line="360" w:lineRule="auto"/>
        <w:rPr>
          <w:rFonts w:ascii="Times New Roman" w:hAnsi="Times New Roman" w:cs="Times New Roman"/>
          <w:sz w:val="24"/>
          <w:szCs w:val="24"/>
        </w:rPr>
      </w:pPr>
    </w:p>
    <w:p w14:paraId="7250FB55" w14:textId="3079595A" w:rsidR="00183468" w:rsidRPr="00796736" w:rsidRDefault="002B667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w:t>
      </w:r>
      <w:r w:rsidR="00183468" w:rsidRPr="00796736">
        <w:rPr>
          <w:rFonts w:ascii="Times New Roman" w:hAnsi="Times New Roman" w:cs="Times New Roman"/>
          <w:sz w:val="24"/>
          <w:szCs w:val="24"/>
        </w:rPr>
        <w:t>, at Finanstilsynet til enhver tid kan tilbagekalde et påbud, hvis forholdene ændrer sig, eller hvis der foreligger nye oplysninger, der taler for, at påbuddet ikke længere bør opretholdes. En person, der har modtaget et påbud, kan således ansøge Finanstilsynet om at få påbuddet tilbagekaldt. Hvis Finanstilsynet afslår ansøgningen, kan ansøgeren forlange, at afslaget indbringes for domstolene. Dette skal ske ved, at ansøgeren indgiver anmodning til Finanstilsynet inden 4 uger efter, at afslaget er meddelt.</w:t>
      </w:r>
    </w:p>
    <w:p w14:paraId="27C6E976" w14:textId="77777777" w:rsidR="00183468" w:rsidRPr="00796736" w:rsidRDefault="00183468" w:rsidP="00A802A5">
      <w:pPr>
        <w:spacing w:line="360" w:lineRule="auto"/>
        <w:rPr>
          <w:rFonts w:ascii="Times New Roman" w:hAnsi="Times New Roman" w:cs="Times New Roman"/>
          <w:sz w:val="24"/>
          <w:szCs w:val="24"/>
        </w:rPr>
      </w:pPr>
    </w:p>
    <w:p w14:paraId="14F717D5" w14:textId="77777777" w:rsidR="00183468"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dog en betingelse for at kunne kræve domstolsprøvelse af et afslag på tilbagekaldelse, at påbuddet ikke er tidsbegrænset, og at der er forløbet mindst 5 år fra datoen for udstedelsen af påbuddet, eller mindst 2 år efter at Finanstilsynets afslag på tilbagekaldelse er stadfæstet ved dom. Disse begrænsninger er indsat for at undgå gentagne og hyppige prøvelser af samme sag, hvilket kan belaste både tilsynet og domstolene unødigt. Begrænsningerne har kun betydning for muligheden for at kræve sagen indbragt for domstolene af Finanstilsynet. En person, som har modtaget et afslag på sin ansøgning, vil til enhver tid have mulighed for selv at anlægge sag ved domstolene.</w:t>
      </w:r>
    </w:p>
    <w:p w14:paraId="6659F030" w14:textId="77777777" w:rsidR="00183468" w:rsidRPr="00796736" w:rsidRDefault="00183468" w:rsidP="00A802A5">
      <w:pPr>
        <w:spacing w:line="360" w:lineRule="auto"/>
        <w:rPr>
          <w:rFonts w:ascii="Times New Roman" w:hAnsi="Times New Roman" w:cs="Times New Roman"/>
          <w:sz w:val="24"/>
          <w:szCs w:val="24"/>
        </w:rPr>
      </w:pPr>
    </w:p>
    <w:p w14:paraId="51859E6E" w14:textId="2FF2C2C9" w:rsidR="003A00F5" w:rsidRPr="00796736" w:rsidRDefault="00183468"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sikrer således, at der er adgang til domstolsprøvelse af både påbud og afslag på tilbagekaldelse, men at der samtidig er en vis afkølingsperiode, så der ikke sker gentagne prøvelser af samme sag inden for kort tid. </w:t>
      </w:r>
    </w:p>
    <w:p w14:paraId="5776AADC" w14:textId="77777777" w:rsidR="003A00F5" w:rsidRPr="00796736" w:rsidRDefault="003A00F5" w:rsidP="00A802A5">
      <w:pPr>
        <w:spacing w:line="360" w:lineRule="auto"/>
        <w:rPr>
          <w:rFonts w:ascii="Times New Roman" w:hAnsi="Times New Roman" w:cs="Times New Roman"/>
          <w:i/>
          <w:iCs/>
          <w:sz w:val="24"/>
          <w:szCs w:val="24"/>
        </w:rPr>
      </w:pPr>
    </w:p>
    <w:p w14:paraId="26935C41" w14:textId="70CF847A" w:rsidR="00F15DDE" w:rsidRPr="00796736" w:rsidRDefault="00F15DDE"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henvises i øvrigt til pkt. </w:t>
      </w:r>
      <w:r w:rsidR="00A37183" w:rsidRPr="00796736">
        <w:rPr>
          <w:rFonts w:ascii="Times New Roman" w:eastAsia="Calibri" w:hAnsi="Times New Roman" w:cs="Times New Roman"/>
          <w:sz w:val="24"/>
          <w:szCs w:val="24"/>
        </w:rPr>
        <w:fldChar w:fldCharType="begin"/>
      </w:r>
      <w:r w:rsidR="00A37183" w:rsidRPr="00796736">
        <w:rPr>
          <w:rFonts w:ascii="Times New Roman" w:eastAsia="Calibri" w:hAnsi="Times New Roman" w:cs="Times New Roman"/>
          <w:sz w:val="24"/>
          <w:szCs w:val="24"/>
        </w:rPr>
        <w:instrText xml:space="preserve"> REF _Ref232951231 \n \h </w:instrText>
      </w:r>
      <w:r w:rsidR="00967618" w:rsidRPr="00796736">
        <w:rPr>
          <w:rFonts w:ascii="Times New Roman" w:eastAsia="Calibri" w:hAnsi="Times New Roman" w:cs="Times New Roman"/>
          <w:sz w:val="24"/>
          <w:szCs w:val="24"/>
        </w:rPr>
        <w:instrText xml:space="preserve"> \* MERGEFORMAT </w:instrText>
      </w:r>
      <w:r w:rsidR="00A37183" w:rsidRPr="00796736">
        <w:rPr>
          <w:rFonts w:ascii="Times New Roman" w:eastAsia="Calibri" w:hAnsi="Times New Roman" w:cs="Times New Roman"/>
          <w:sz w:val="24"/>
          <w:szCs w:val="24"/>
        </w:rPr>
      </w:r>
      <w:r w:rsidR="00A37183"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3.57</w:t>
      </w:r>
      <w:r w:rsidR="00A37183"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i lovforslagets almindelige bemærkninger.</w:t>
      </w:r>
    </w:p>
    <w:p w14:paraId="65F6E925" w14:textId="77777777" w:rsidR="0039556D" w:rsidRPr="00796736" w:rsidRDefault="0039556D" w:rsidP="00A802A5">
      <w:pPr>
        <w:spacing w:line="360" w:lineRule="auto"/>
        <w:rPr>
          <w:rFonts w:ascii="Times New Roman" w:hAnsi="Times New Roman" w:cs="Times New Roman"/>
          <w:i/>
          <w:iCs/>
          <w:sz w:val="24"/>
          <w:szCs w:val="24"/>
        </w:rPr>
      </w:pPr>
    </w:p>
    <w:p w14:paraId="3A7A979C" w14:textId="5BB947A2" w:rsidR="0039556D" w:rsidRPr="00796736" w:rsidRDefault="00AD7694" w:rsidP="00A802A5">
      <w:pPr>
        <w:pStyle w:val="Undertitel"/>
      </w:pPr>
      <w:bookmarkStart w:id="2060" w:name="_Toc232109398"/>
      <w:bookmarkStart w:id="2061" w:name="_Toc244879363"/>
      <w:bookmarkStart w:id="2062" w:name="_Toc244880888"/>
      <w:r w:rsidRPr="00796736">
        <w:t xml:space="preserve">Til </w:t>
      </w:r>
      <w:r w:rsidR="00850B44" w:rsidRPr="00796736">
        <w:fldChar w:fldCharType="begin"/>
      </w:r>
      <w:r w:rsidR="00850B44" w:rsidRPr="00796736">
        <w:instrText xml:space="preserve"> REF _Ref232597333 \r \h </w:instrText>
      </w:r>
      <w:r w:rsidR="00967618" w:rsidRPr="00796736">
        <w:instrText xml:space="preserve"> \* MERGEFORMAT </w:instrText>
      </w:r>
      <w:r w:rsidR="00850B44" w:rsidRPr="00796736">
        <w:fldChar w:fldCharType="separate"/>
      </w:r>
      <w:r w:rsidR="008F29E5">
        <w:t>§ 67</w:t>
      </w:r>
      <w:bookmarkEnd w:id="2061"/>
      <w:bookmarkEnd w:id="2062"/>
      <w:r w:rsidR="00850B44" w:rsidRPr="00796736">
        <w:fldChar w:fldCharType="end"/>
      </w:r>
      <w:r w:rsidRPr="00796736">
        <w:t xml:space="preserve"> </w:t>
      </w:r>
      <w:bookmarkEnd w:id="2060"/>
    </w:p>
    <w:p w14:paraId="039AFCC2" w14:textId="77777777" w:rsidR="0039556D" w:rsidRPr="00796736"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findes aktuelt ingen hjemmel til at oprette private-partnerskaber, hvor personer og virksomheder kan udveksle oplysninger med henblik på at forbygge eller bekæmpe hvidvask eller terrorfinansiering. </w:t>
      </w:r>
    </w:p>
    <w:p w14:paraId="6BDF45E3" w14:textId="77777777" w:rsidR="0039556D" w:rsidRPr="00796736" w:rsidRDefault="0039556D" w:rsidP="00A802A5">
      <w:pPr>
        <w:spacing w:line="360" w:lineRule="auto"/>
        <w:rPr>
          <w:rFonts w:ascii="Times New Roman" w:hAnsi="Times New Roman" w:cs="Times New Roman"/>
          <w:sz w:val="24"/>
          <w:szCs w:val="24"/>
        </w:rPr>
      </w:pPr>
    </w:p>
    <w:p w14:paraId="35F4052F" w14:textId="77777777" w:rsidR="0039556D" w:rsidRPr="00796736" w:rsidRDefault="0039556D"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Af hvidvaskforordningens artikel 75 fremgår muligheden for, at forpligtede enheder frivilligt kan indgå partnerskaber med henblik på udveksling af oplysninger. </w:t>
      </w:r>
      <w:r w:rsidRPr="00796736">
        <w:rPr>
          <w:rFonts w:ascii="Times New Roman" w:eastAsia="Calibri" w:hAnsi="Times New Roman" w:cs="Times New Roman"/>
          <w:sz w:val="24"/>
          <w:szCs w:val="24"/>
        </w:rPr>
        <w:t>Medlemmer af partnerskaber til udveksling af oplysninger kan udveksle oplysninger med hinanden, hvis det er strengt nødvendigt for at opfylde forpligtelserne i henhold til forordningens kapitel 3 om kundekendskabsprocedurer samt artikel 69 om indberetning af mistanke. Endvidere skal udvekslingen være i overensstemmelse med de grundlæggende rettigheder og retssikkerhedsgarantier.</w:t>
      </w:r>
    </w:p>
    <w:p w14:paraId="62A3FB7F" w14:textId="77777777" w:rsidR="001614FE" w:rsidRPr="00796736" w:rsidRDefault="001614FE" w:rsidP="00A802A5">
      <w:pPr>
        <w:spacing w:line="360" w:lineRule="auto"/>
        <w:rPr>
          <w:rFonts w:ascii="Times New Roman" w:eastAsia="Calibri" w:hAnsi="Times New Roman" w:cs="Times New Roman"/>
          <w:sz w:val="24"/>
          <w:szCs w:val="24"/>
        </w:rPr>
      </w:pPr>
    </w:p>
    <w:p w14:paraId="52B0E4AA" w14:textId="4FA2DC8E" w:rsidR="0039556D" w:rsidRPr="00796736"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Oplysninger, der udveksles inden for rammerne af et partnerskab til udveksling af oplysninger, begrænses til oplysninger om kunden, om formålet med og den tilsigtede art af forretningsforbindelsen, og hvis relevant om midlernes oprindelse, oplysninger om kundetransaktioner, oplysninger om risikofaktorer forbundet med kunden samt oplysninger om mistanker, som er indberettet i henhold til forordningens artikel 69. </w:t>
      </w:r>
    </w:p>
    <w:p w14:paraId="236E107C" w14:textId="77777777" w:rsidR="0039556D" w:rsidRPr="00796736" w:rsidRDefault="0039556D" w:rsidP="00A802A5">
      <w:pPr>
        <w:spacing w:line="360" w:lineRule="auto"/>
        <w:rPr>
          <w:rFonts w:ascii="Times New Roman" w:eastAsia="Calibri" w:hAnsi="Times New Roman" w:cs="Times New Roman"/>
          <w:sz w:val="24"/>
          <w:szCs w:val="24"/>
        </w:rPr>
      </w:pPr>
    </w:p>
    <w:p w14:paraId="67413A54" w14:textId="77777777" w:rsidR="0039556D" w:rsidRPr="00796736" w:rsidRDefault="0039556D"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Af forordningens artikel 75, stk. 7, fremgår det, at hvis tilsynsmyndighederne finder det nødvendigt, skal forpligtede enheder, der deltager i et partnerskab til udveksling af oplysninger, få foretaget en uafhængig revision af, hvordan dette partnerskab fungerer, og udveksle resultaterne med tilsynsmyndighederne.</w:t>
      </w:r>
    </w:p>
    <w:p w14:paraId="6B7341D7" w14:textId="77777777" w:rsidR="0039556D" w:rsidRPr="00796736" w:rsidRDefault="0039556D" w:rsidP="00A802A5">
      <w:pPr>
        <w:spacing w:line="360" w:lineRule="auto"/>
        <w:rPr>
          <w:rFonts w:ascii="Times New Roman" w:hAnsi="Times New Roman" w:cs="Times New Roman"/>
          <w:sz w:val="24"/>
          <w:szCs w:val="24"/>
        </w:rPr>
      </w:pPr>
    </w:p>
    <w:p w14:paraId="4C6789EC" w14:textId="27DBE915" w:rsidR="0039556D" w:rsidRPr="00796736"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6A6101" w:rsidRPr="00796736">
        <w:rPr>
          <w:rFonts w:ascii="Times New Roman" w:hAnsi="Times New Roman" w:cs="Times New Roman"/>
          <w:i/>
          <w:iCs/>
          <w:sz w:val="24"/>
          <w:szCs w:val="24"/>
        </w:rPr>
        <w:fldChar w:fldCharType="begin"/>
      </w:r>
      <w:r w:rsidR="006A6101" w:rsidRPr="00796736">
        <w:rPr>
          <w:rFonts w:ascii="Times New Roman" w:hAnsi="Times New Roman" w:cs="Times New Roman"/>
          <w:i/>
          <w:iCs/>
          <w:sz w:val="24"/>
          <w:szCs w:val="24"/>
        </w:rPr>
        <w:instrText xml:space="preserve"> REF _Ref232597333 \r \h  \* MERGEFORMAT </w:instrText>
      </w:r>
      <w:r w:rsidR="006A6101" w:rsidRPr="00796736">
        <w:rPr>
          <w:rFonts w:ascii="Times New Roman" w:hAnsi="Times New Roman" w:cs="Times New Roman"/>
          <w:i/>
          <w:iCs/>
          <w:sz w:val="24"/>
          <w:szCs w:val="24"/>
        </w:rPr>
      </w:r>
      <w:r w:rsidR="006A6101"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67</w:t>
      </w:r>
      <w:r w:rsidR="006A6101"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Finanstilsynet kan påbyde virksomheder og personer, der deltager i et partnerskab med henblik på udveksling af oplysninger i henhold til hvidvaskforordningens artikel 75, at få foretaget en uafhængig revision af, hvordan partnerskabet fungerer. </w:t>
      </w:r>
    </w:p>
    <w:p w14:paraId="3B2301AB" w14:textId="77777777" w:rsidR="0039556D" w:rsidRPr="00796736" w:rsidRDefault="0039556D" w:rsidP="00A802A5">
      <w:pPr>
        <w:spacing w:line="360" w:lineRule="auto"/>
        <w:rPr>
          <w:rFonts w:ascii="Times New Roman" w:hAnsi="Times New Roman" w:cs="Times New Roman"/>
          <w:sz w:val="24"/>
          <w:szCs w:val="24"/>
        </w:rPr>
      </w:pPr>
    </w:p>
    <w:p w14:paraId="4903DC48" w14:textId="2CD89434" w:rsidR="0039556D" w:rsidRPr="00796736" w:rsidRDefault="00580EAA" w:rsidP="00A802A5">
      <w:pPr>
        <w:spacing w:line="360" w:lineRule="auto"/>
        <w:rPr>
          <w:rFonts w:ascii="Times New Roman" w:hAnsi="Times New Roman" w:cs="Times New Roman"/>
          <w:sz w:val="24"/>
          <w:szCs w:val="24"/>
        </w:rPr>
      </w:pPr>
      <w:r>
        <w:rPr>
          <w:rFonts w:ascii="Times New Roman" w:hAnsi="Times New Roman" w:cs="Times New Roman"/>
          <w:sz w:val="24"/>
          <w:szCs w:val="24"/>
        </w:rPr>
        <w:t>Det foreslås i</w:t>
      </w:r>
      <w:r w:rsidR="0039556D" w:rsidRPr="00796736">
        <w:rPr>
          <w:rFonts w:ascii="Times New Roman" w:hAnsi="Times New Roman" w:cs="Times New Roman"/>
          <w:sz w:val="24"/>
          <w:szCs w:val="24"/>
        </w:rPr>
        <w:t xml:space="preserve"> </w:t>
      </w:r>
      <w:r w:rsidR="0039556D" w:rsidRPr="00796736">
        <w:rPr>
          <w:rFonts w:ascii="Times New Roman" w:hAnsi="Times New Roman" w:cs="Times New Roman"/>
          <w:i/>
          <w:iCs/>
          <w:sz w:val="24"/>
          <w:szCs w:val="24"/>
        </w:rPr>
        <w:t>stk. 2</w:t>
      </w:r>
      <w:r>
        <w:rPr>
          <w:rFonts w:ascii="Times New Roman" w:hAnsi="Times New Roman" w:cs="Times New Roman"/>
          <w:i/>
          <w:iCs/>
          <w:sz w:val="24"/>
          <w:szCs w:val="24"/>
        </w:rPr>
        <w:t xml:space="preserve">, at </w:t>
      </w:r>
      <w:r w:rsidR="0039556D" w:rsidRPr="00796736">
        <w:rPr>
          <w:rFonts w:ascii="Times New Roman" w:hAnsi="Times New Roman" w:cs="Times New Roman"/>
          <w:sz w:val="24"/>
          <w:szCs w:val="24"/>
        </w:rPr>
        <w:t>Finanstilsynet</w:t>
      </w:r>
      <w:r>
        <w:rPr>
          <w:rFonts w:ascii="Times New Roman" w:hAnsi="Times New Roman" w:cs="Times New Roman"/>
          <w:sz w:val="24"/>
          <w:szCs w:val="24"/>
        </w:rPr>
        <w:t xml:space="preserve"> kan</w:t>
      </w:r>
      <w:r w:rsidR="0039556D" w:rsidRPr="00796736">
        <w:rPr>
          <w:rFonts w:ascii="Times New Roman" w:hAnsi="Times New Roman" w:cs="Times New Roman"/>
          <w:sz w:val="24"/>
          <w:szCs w:val="24"/>
        </w:rPr>
        <w:t xml:space="preserve"> påbyde, at</w:t>
      </w:r>
      <w:r w:rsidR="0039556D" w:rsidRPr="00796736">
        <w:rPr>
          <w:rFonts w:ascii="Times New Roman" w:hAnsi="Times New Roman" w:cs="Times New Roman"/>
          <w:i/>
          <w:iCs/>
          <w:sz w:val="24"/>
          <w:szCs w:val="24"/>
        </w:rPr>
        <w:t xml:space="preserve"> </w:t>
      </w:r>
      <w:r w:rsidR="0039556D" w:rsidRPr="00796736">
        <w:rPr>
          <w:rFonts w:ascii="Times New Roman" w:hAnsi="Times New Roman" w:cs="Times New Roman"/>
          <w:sz w:val="24"/>
          <w:szCs w:val="24"/>
        </w:rPr>
        <w:t>resultatet af den uafhængige revison skal udveksles med Finanstilsynet</w:t>
      </w:r>
      <w:r w:rsidR="0039556D" w:rsidRPr="00796736" w:rsidDel="009C2E3F">
        <w:rPr>
          <w:rFonts w:ascii="Times New Roman" w:hAnsi="Times New Roman" w:cs="Times New Roman"/>
          <w:sz w:val="24"/>
          <w:szCs w:val="24"/>
        </w:rPr>
        <w:t>.</w:t>
      </w:r>
    </w:p>
    <w:p w14:paraId="69F0C684" w14:textId="77777777" w:rsidR="0039556D" w:rsidRPr="00796736" w:rsidRDefault="0039556D" w:rsidP="00A802A5">
      <w:pPr>
        <w:spacing w:line="360" w:lineRule="auto"/>
        <w:rPr>
          <w:rFonts w:ascii="Times New Roman" w:hAnsi="Times New Roman" w:cs="Times New Roman"/>
          <w:sz w:val="24"/>
          <w:szCs w:val="24"/>
        </w:rPr>
      </w:pPr>
    </w:p>
    <w:p w14:paraId="342683DC" w14:textId="621E777E" w:rsidR="0039556D" w:rsidRPr="00796736"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er ny og udmønter artikel 75, stk. 7, i </w:t>
      </w:r>
      <w:r w:rsidR="00FF733E">
        <w:rPr>
          <w:rFonts w:ascii="Times New Roman" w:hAnsi="Times New Roman" w:cs="Times New Roman"/>
          <w:sz w:val="24"/>
          <w:szCs w:val="24"/>
        </w:rPr>
        <w:t>hvidvaskforordningen</w:t>
      </w:r>
      <w:r w:rsidRPr="00796736">
        <w:rPr>
          <w:rFonts w:ascii="Times New Roman" w:hAnsi="Times New Roman" w:cs="Times New Roman"/>
          <w:sz w:val="24"/>
          <w:szCs w:val="24"/>
        </w:rPr>
        <w:t xml:space="preserve">. </w:t>
      </w:r>
    </w:p>
    <w:p w14:paraId="449D5042" w14:textId="77777777" w:rsidR="0039556D" w:rsidRPr="00796736" w:rsidRDefault="0039556D" w:rsidP="00A802A5">
      <w:pPr>
        <w:spacing w:line="360" w:lineRule="auto"/>
        <w:rPr>
          <w:rFonts w:ascii="Times New Roman" w:hAnsi="Times New Roman" w:cs="Times New Roman"/>
          <w:sz w:val="24"/>
          <w:szCs w:val="24"/>
        </w:rPr>
      </w:pPr>
    </w:p>
    <w:p w14:paraId="621CDCCD" w14:textId="77777777" w:rsidR="0039556D" w:rsidRPr="00796736"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nævnte type partnerskab er ikke selvstændigt underlagt et egentlig tilsyn fra f.eks. Finanstilsynet. Derfor er der behov for at Finanstilsynet kan påbyde, at partnerskabet skal få foretaget en uafhængig revision ligesom der er behov for at resultatet af den uafhængige revision skal kunne udveksles med Finanstilsynet. </w:t>
      </w:r>
    </w:p>
    <w:p w14:paraId="18CBCBE8" w14:textId="77777777" w:rsidR="0039556D" w:rsidRPr="00796736" w:rsidRDefault="0039556D" w:rsidP="00A802A5">
      <w:pPr>
        <w:spacing w:line="360" w:lineRule="auto"/>
        <w:rPr>
          <w:rFonts w:ascii="Times New Roman" w:hAnsi="Times New Roman" w:cs="Times New Roman"/>
          <w:sz w:val="24"/>
          <w:szCs w:val="24"/>
        </w:rPr>
      </w:pPr>
    </w:p>
    <w:p w14:paraId="084F82BC" w14:textId="77777777" w:rsidR="0039556D" w:rsidRPr="00796736"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kan være nødvendigt at påbyde en uafhængig revision, hvis der opstår tvivl om, hvorvidt partnerskabet overholder gældende lovgivning og regler for informationsudveksling, herunder krav til datasikkerhed, fortrolighed og korrekt håndtering af personoplysninger. Dette kan eksempelvis være relevant, hvis der identificeres uregelmæssigheder i partnerskabets processer, hvis der modtages indberetninger om potentielle brud på reglerne, eller hvis der i forbindelse med tilsyn konstateres manglende dokumentation for, hvordan partnerskabet fungerer i praksis. En uafhængig revision kan således bidrage til at klarlægge, om partnerskabet fungerer forsvarligt og i overensstemmelse med de fastsatte krav.</w:t>
      </w:r>
    </w:p>
    <w:p w14:paraId="0F5B80C4" w14:textId="77777777" w:rsidR="0039556D" w:rsidRPr="00796736" w:rsidRDefault="0039556D" w:rsidP="00A802A5">
      <w:pPr>
        <w:spacing w:line="360" w:lineRule="auto"/>
        <w:rPr>
          <w:rFonts w:ascii="Times New Roman" w:hAnsi="Times New Roman" w:cs="Times New Roman"/>
          <w:sz w:val="24"/>
          <w:szCs w:val="24"/>
        </w:rPr>
      </w:pPr>
    </w:p>
    <w:p w14:paraId="6D572D1A" w14:textId="77777777" w:rsidR="0039556D" w:rsidRPr="00796736"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Virksomheder og personer, som deltager i et partnerskab med henblik på udveksling af oplysninger, vil fortsat være underlagt selvstændigt tilsyn af f.eks. Finanstilsynet. Det sædvanlige tilsyn, herunder hvidvasktilsynet med de pågældende personer og virksomheder, forbliver uændret. </w:t>
      </w:r>
    </w:p>
    <w:p w14:paraId="571F101A" w14:textId="77777777" w:rsidR="0039556D" w:rsidRPr="00796736" w:rsidRDefault="0039556D" w:rsidP="00A802A5">
      <w:pPr>
        <w:spacing w:line="360" w:lineRule="auto"/>
        <w:rPr>
          <w:rFonts w:ascii="Times New Roman" w:hAnsi="Times New Roman" w:cs="Times New Roman"/>
          <w:sz w:val="24"/>
          <w:szCs w:val="24"/>
        </w:rPr>
      </w:pPr>
    </w:p>
    <w:p w14:paraId="446A313C" w14:textId="77777777" w:rsidR="0039556D"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Oplysninger om, virksomheder og personers deltagelse i et partnerskab vil, ligesom resultaterne af en uafhængig revision indgå i det løbende tilsyn med virksomhederne og personerne.</w:t>
      </w:r>
    </w:p>
    <w:p w14:paraId="38BC3FCA" w14:textId="77777777" w:rsidR="00F6637D" w:rsidRDefault="00F6637D" w:rsidP="00A802A5">
      <w:pPr>
        <w:spacing w:line="360" w:lineRule="auto"/>
        <w:rPr>
          <w:rFonts w:ascii="Times New Roman" w:hAnsi="Times New Roman" w:cs="Times New Roman"/>
          <w:sz w:val="24"/>
          <w:szCs w:val="24"/>
        </w:rPr>
      </w:pPr>
    </w:p>
    <w:p w14:paraId="1D9951A7" w14:textId="4DAEC643" w:rsidR="00F6637D" w:rsidRPr="00796736" w:rsidRDefault="00F6637D" w:rsidP="00A802A5">
      <w:pPr>
        <w:spacing w:line="360" w:lineRule="auto"/>
        <w:rPr>
          <w:rFonts w:ascii="Times New Roman" w:hAnsi="Times New Roman" w:cs="Times New Roman"/>
          <w:sz w:val="24"/>
          <w:szCs w:val="24"/>
        </w:rPr>
      </w:pPr>
      <w:r w:rsidRPr="00F6637D">
        <w:rPr>
          <w:rFonts w:ascii="Times New Roman" w:hAnsi="Times New Roman" w:cs="Times New Roman"/>
          <w:sz w:val="24"/>
          <w:szCs w:val="24"/>
        </w:rPr>
        <w:t xml:space="preserve">Bestemmelsen vil indebære, at oplysningspligten ikke finder anvendelse over for en enkeltperson eller juridisk person, hvis der er konkret mistanke om, at den pågældende har begået en lovovertrædelse, der kan medføre straf, medmindre det kan udelukkes, at oplysningerne kan have betydning for bedømmelsen af den formodede lovovertrædelse, jf. § 10 i retssikkerhedsloven. </w:t>
      </w:r>
      <w:r>
        <w:rPr>
          <w:rFonts w:ascii="Times New Roman" w:hAnsi="Times New Roman" w:cs="Times New Roman"/>
          <w:sz w:val="24"/>
          <w:szCs w:val="24"/>
        </w:rPr>
        <w:t xml:space="preserve">Finanstilsynet </w:t>
      </w:r>
      <w:r w:rsidRPr="00F6637D">
        <w:rPr>
          <w:rFonts w:ascii="Times New Roman" w:hAnsi="Times New Roman" w:cs="Times New Roman"/>
          <w:sz w:val="24"/>
          <w:szCs w:val="24"/>
        </w:rPr>
        <w:t>vil i sådanne tilfælde skulle vejlede den mistænkte om, at vedkommende ikke har pligt til at meddele oplysninger, som kan have betydning for bedømmelsen af den formodede lovovertrædelse. Se nærmere herom i de almindelige bemærkninger pkt. 4.3.</w:t>
      </w:r>
    </w:p>
    <w:p w14:paraId="35279942" w14:textId="77777777" w:rsidR="0039556D" w:rsidRPr="00796736" w:rsidRDefault="0039556D" w:rsidP="00A802A5">
      <w:pPr>
        <w:spacing w:line="360" w:lineRule="auto"/>
        <w:rPr>
          <w:rFonts w:ascii="Times New Roman" w:hAnsi="Times New Roman" w:cs="Times New Roman"/>
          <w:sz w:val="24"/>
          <w:szCs w:val="24"/>
        </w:rPr>
      </w:pPr>
    </w:p>
    <w:p w14:paraId="2F9EDA6E" w14:textId="4B8337C5" w:rsidR="00E60C91" w:rsidRPr="007165DA" w:rsidRDefault="0039556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i øvrigt til </w:t>
      </w:r>
      <w:r w:rsidR="00796736" w:rsidRPr="00796736">
        <w:rPr>
          <w:rFonts w:ascii="Times New Roman" w:hAnsi="Times New Roman" w:cs="Times New Roman"/>
          <w:sz w:val="24"/>
          <w:szCs w:val="24"/>
        </w:rPr>
        <w:fldChar w:fldCharType="begin"/>
      </w:r>
      <w:r w:rsidR="00796736" w:rsidRPr="00796736">
        <w:rPr>
          <w:rFonts w:ascii="Times New Roman" w:hAnsi="Times New Roman" w:cs="Times New Roman"/>
          <w:sz w:val="24"/>
          <w:szCs w:val="24"/>
        </w:rPr>
        <w:instrText xml:space="preserve"> REF _Ref240034365 \n \h </w:instrText>
      </w:r>
      <w:r w:rsidR="00796736">
        <w:rPr>
          <w:rFonts w:ascii="Times New Roman" w:hAnsi="Times New Roman" w:cs="Times New Roman"/>
          <w:sz w:val="24"/>
          <w:szCs w:val="24"/>
        </w:rPr>
        <w:instrText xml:space="preserve"> \* MERGEFORMAT </w:instrText>
      </w:r>
      <w:r w:rsidR="00796736" w:rsidRPr="00796736">
        <w:rPr>
          <w:rFonts w:ascii="Times New Roman" w:hAnsi="Times New Roman" w:cs="Times New Roman"/>
          <w:sz w:val="24"/>
          <w:szCs w:val="24"/>
        </w:rPr>
      </w:r>
      <w:r w:rsidR="0079673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3.58</w:t>
      </w:r>
      <w:r w:rsidR="00796736" w:rsidRPr="00796736">
        <w:rPr>
          <w:rFonts w:ascii="Times New Roman" w:hAnsi="Times New Roman" w:cs="Times New Roman"/>
          <w:sz w:val="24"/>
          <w:szCs w:val="24"/>
        </w:rPr>
        <w:fldChar w:fldCharType="end"/>
      </w:r>
      <w:r w:rsidR="00796736" w:rsidRPr="00796736">
        <w:rPr>
          <w:rFonts w:ascii="Times New Roman" w:hAnsi="Times New Roman" w:cs="Times New Roman"/>
          <w:sz w:val="24"/>
          <w:szCs w:val="24"/>
        </w:rPr>
        <w:t xml:space="preserve"> i</w:t>
      </w:r>
      <w:r w:rsidRPr="00796736">
        <w:rPr>
          <w:rFonts w:ascii="Times New Roman" w:hAnsi="Times New Roman" w:cs="Times New Roman"/>
          <w:sz w:val="24"/>
          <w:szCs w:val="24"/>
        </w:rPr>
        <w:t xml:space="preserve"> lovforslagets almindelige bemærkninger.</w:t>
      </w:r>
    </w:p>
    <w:p w14:paraId="569FA2FA" w14:textId="77777777" w:rsidR="007D68E7" w:rsidRPr="00796736" w:rsidRDefault="007D68E7" w:rsidP="00A802A5">
      <w:pPr>
        <w:spacing w:line="360" w:lineRule="auto"/>
        <w:rPr>
          <w:rFonts w:ascii="Times New Roman" w:hAnsi="Times New Roman" w:cs="Times New Roman"/>
          <w:i/>
          <w:iCs/>
          <w:sz w:val="24"/>
          <w:szCs w:val="24"/>
        </w:rPr>
      </w:pPr>
    </w:p>
    <w:p w14:paraId="53C7215D" w14:textId="7464AEA9" w:rsidR="007D68E7" w:rsidRPr="00796736" w:rsidRDefault="00240DBE" w:rsidP="00A802A5">
      <w:pPr>
        <w:pStyle w:val="Undertitel"/>
      </w:pPr>
      <w:bookmarkStart w:id="2063" w:name="_Toc232109399"/>
      <w:bookmarkStart w:id="2064" w:name="_Toc244879364"/>
      <w:bookmarkStart w:id="2065" w:name="_Toc244880889"/>
      <w:r w:rsidRPr="00796736">
        <w:t xml:space="preserve">Til </w:t>
      </w:r>
      <w:r w:rsidR="00850B44" w:rsidRPr="00796736">
        <w:fldChar w:fldCharType="begin"/>
      </w:r>
      <w:r w:rsidR="00850B44" w:rsidRPr="00796736">
        <w:instrText xml:space="preserve"> REF _Ref232597356 \r \h </w:instrText>
      </w:r>
      <w:r w:rsidR="00967618" w:rsidRPr="00796736">
        <w:instrText xml:space="preserve"> \* MERGEFORMAT </w:instrText>
      </w:r>
      <w:r w:rsidR="00850B44" w:rsidRPr="00796736">
        <w:fldChar w:fldCharType="separate"/>
      </w:r>
      <w:r w:rsidR="008F29E5">
        <w:t>§ 68</w:t>
      </w:r>
      <w:bookmarkEnd w:id="2064"/>
      <w:bookmarkEnd w:id="2065"/>
      <w:r w:rsidR="00850B44" w:rsidRPr="00796736">
        <w:fldChar w:fldCharType="end"/>
      </w:r>
      <w:r w:rsidR="00AC632C" w:rsidRPr="00796736">
        <w:t xml:space="preserve"> </w:t>
      </w:r>
      <w:bookmarkEnd w:id="2063"/>
    </w:p>
    <w:p w14:paraId="0FD21560"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53 i hvidvaskloven kan erhvervsministeren fastsætte regler om, at virksomheder nævnt i § 1, stk. 1, nr. 1-12, 18 og 22, har pligt til at offentliggøre oplysninger om Finanstilsynets vurdering af virksomheden og om, at Finanstilsynet har mulighed for at offentliggøre oplysningerne før virksomheden.</w:t>
      </w:r>
    </w:p>
    <w:p w14:paraId="098AB58E" w14:textId="77777777" w:rsidR="00327FF0" w:rsidRPr="00796736" w:rsidRDefault="00327FF0" w:rsidP="00A802A5">
      <w:pPr>
        <w:spacing w:line="360" w:lineRule="auto"/>
        <w:rPr>
          <w:rFonts w:ascii="Times New Roman" w:hAnsi="Times New Roman" w:cs="Times New Roman"/>
          <w:sz w:val="24"/>
          <w:szCs w:val="24"/>
        </w:rPr>
      </w:pPr>
    </w:p>
    <w:p w14:paraId="2963CC7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Bekendtgørelse nr. 1389 af 4. december 2024 om finansielle virksomheders m.v. pligt til at offentliggøre Finanstilsynets vurdering af virksomheden m.v. er bl.a. udstedt med hjemmel i § 53 i hvidvaskloven.</w:t>
      </w:r>
    </w:p>
    <w:p w14:paraId="74A80729" w14:textId="77777777" w:rsidR="00327FF0" w:rsidRPr="00796736" w:rsidRDefault="00327FF0" w:rsidP="00A802A5">
      <w:pPr>
        <w:spacing w:line="360" w:lineRule="auto"/>
        <w:rPr>
          <w:rFonts w:ascii="Times New Roman" w:hAnsi="Times New Roman" w:cs="Times New Roman"/>
          <w:sz w:val="24"/>
          <w:szCs w:val="24"/>
        </w:rPr>
      </w:pPr>
    </w:p>
    <w:p w14:paraId="47083444" w14:textId="77777777" w:rsidR="00F957B7" w:rsidRPr="00A9036D" w:rsidRDefault="00F957B7" w:rsidP="00F957B7">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Bestemmelsen viderefører § 53 i hvidvaskloven med den ændring, at hjemlen fremadrettet tillige omfatter personer ved alvorlige, gentagne eller systematiske overtrædelser af hvidvaskforordningen eller denne lov.  </w:t>
      </w:r>
    </w:p>
    <w:p w14:paraId="23850452" w14:textId="77777777" w:rsidR="00327FF0" w:rsidRPr="00796736" w:rsidRDefault="00327FF0" w:rsidP="00A802A5">
      <w:pPr>
        <w:spacing w:line="360" w:lineRule="auto"/>
        <w:rPr>
          <w:rFonts w:ascii="Times New Roman" w:hAnsi="Times New Roman" w:cs="Times New Roman"/>
          <w:sz w:val="24"/>
          <w:szCs w:val="24"/>
        </w:rPr>
      </w:pPr>
    </w:p>
    <w:p w14:paraId="410385A5" w14:textId="09E32C4A"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foreslås i </w:t>
      </w:r>
      <w:r w:rsidRPr="00796736">
        <w:rPr>
          <w:rFonts w:ascii="Times New Roman" w:hAnsi="Times New Roman" w:cs="Times New Roman"/>
          <w:i/>
          <w:iCs/>
          <w:sz w:val="24"/>
          <w:szCs w:val="24"/>
        </w:rPr>
        <w:fldChar w:fldCharType="begin"/>
      </w:r>
      <w:r w:rsidRPr="00796736">
        <w:rPr>
          <w:rFonts w:ascii="Times New Roman" w:hAnsi="Times New Roman" w:cs="Times New Roman"/>
          <w:sz w:val="24"/>
          <w:szCs w:val="24"/>
        </w:rPr>
        <w:instrText xml:space="preserve"> REF _Ref239790471 \r \h </w:instrText>
      </w:r>
      <w:r w:rsidR="00F375BF" w:rsidRPr="00796736">
        <w:rPr>
          <w:rFonts w:ascii="Times New Roman" w:hAnsi="Times New Roman" w:cs="Times New Roman"/>
          <w:i/>
          <w:iCs/>
          <w:sz w:val="24"/>
          <w:szCs w:val="24"/>
        </w:rPr>
        <w:instrText xml:space="preserve">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sz w:val="24"/>
          <w:szCs w:val="24"/>
        </w:rPr>
        <w:t>§ 68</w:t>
      </w:r>
      <w:r w:rsidRPr="00796736">
        <w:rPr>
          <w:rFonts w:ascii="Times New Roman" w:hAnsi="Times New Roman" w:cs="Times New Roman"/>
          <w:i/>
          <w:iCs/>
          <w:sz w:val="24"/>
          <w:szCs w:val="24"/>
        </w:rPr>
        <w:fldChar w:fldCharType="end"/>
      </w:r>
      <w:r w:rsidRPr="00796736">
        <w:rPr>
          <w:rFonts w:ascii="Times New Roman" w:hAnsi="Times New Roman" w:cs="Times New Roman"/>
          <w:sz w:val="24"/>
          <w:szCs w:val="24"/>
        </w:rPr>
        <w:t xml:space="preserve">, at skatte- og vækstministeren for virksomheder nævnt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og § 2, nr. 1-19, og 32, litra a, kan fastsætte regler om virksomhedernes pligt til at offentliggøre oplysninger om Finanstilsynets vurdering af virksomheden og om, at Finanstilsynet har mulighed for at offentliggøre oplysningerne før virksomheden. </w:t>
      </w:r>
      <w:r w:rsidR="00924BEB" w:rsidRPr="00E07004">
        <w:rPr>
          <w:rFonts w:ascii="Times New Roman" w:hAnsi="Times New Roman" w:cs="Times New Roman"/>
          <w:sz w:val="24"/>
          <w:szCs w:val="24"/>
        </w:rPr>
        <w:t>Det foreslås tillige, at dette gælder personer ved alvorlige, gentagne eller systematiske overtrædelser af hvidvaskforordningen eller denne lov.</w:t>
      </w:r>
    </w:p>
    <w:p w14:paraId="3F2AEC33" w14:textId="77777777" w:rsidR="00327FF0" w:rsidRPr="00796736" w:rsidRDefault="00327FF0" w:rsidP="00A802A5">
      <w:pPr>
        <w:spacing w:line="360" w:lineRule="auto"/>
        <w:rPr>
          <w:rFonts w:ascii="Times New Roman" w:hAnsi="Times New Roman" w:cs="Times New Roman"/>
          <w:sz w:val="24"/>
          <w:szCs w:val="24"/>
        </w:rPr>
      </w:pPr>
    </w:p>
    <w:p w14:paraId="6CB43186"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skal medvirke til at sikre, at offentligheden i højere grad får adgang til den information, der kun går fra Finanstilsynet til virksomhedernes ledelse og ikke aktionærer, kunder mv. </w:t>
      </w:r>
    </w:p>
    <w:p w14:paraId="57DCC914" w14:textId="77777777" w:rsidR="00327FF0" w:rsidRPr="00796736" w:rsidDel="00B33602" w:rsidRDefault="00327FF0" w:rsidP="00A802A5">
      <w:pPr>
        <w:spacing w:line="360" w:lineRule="auto"/>
        <w:rPr>
          <w:rFonts w:ascii="Times New Roman" w:hAnsi="Times New Roman" w:cs="Times New Roman"/>
          <w:sz w:val="24"/>
          <w:szCs w:val="24"/>
        </w:rPr>
      </w:pPr>
    </w:p>
    <w:p w14:paraId="4C1AF794" w14:textId="77777777" w:rsidR="00327FF0" w:rsidRPr="00796736" w:rsidRDefault="00327FF0" w:rsidP="00A802A5">
      <w:pPr>
        <w:spacing w:line="360" w:lineRule="auto"/>
        <w:rPr>
          <w:rFonts w:ascii="Times New Roman" w:hAnsi="Times New Roman" w:cs="Times New Roman"/>
          <w:sz w:val="24"/>
          <w:szCs w:val="24"/>
        </w:rPr>
      </w:pPr>
      <w:bookmarkStart w:id="2066" w:name="_Hlk221264908"/>
      <w:r w:rsidRPr="00796736">
        <w:rPr>
          <w:rFonts w:ascii="Times New Roman" w:hAnsi="Times New Roman" w:cs="Times New Roman"/>
          <w:sz w:val="24"/>
          <w:szCs w:val="24"/>
        </w:rPr>
        <w:t xml:space="preserve">Efter den foreslåede bestemmelse får skatte- og vækstministeren bemyndigelse til at fastsætte nærmere regler om virksomhedernes pligt til at offentliggøre oplysninger om Finanstilsynets vurdering af virksomheden. Dette kan f.eks. være oplysninger om risikooplysninger fra Finanstilsynet. Det kan også være tilfælde, hvor Finanstilsynet har givet virksomheden et påbud eller en påtale. </w:t>
      </w:r>
    </w:p>
    <w:p w14:paraId="4198D783" w14:textId="77777777" w:rsidR="00327FF0" w:rsidRPr="00796736" w:rsidRDefault="00327FF0" w:rsidP="00A802A5">
      <w:pPr>
        <w:spacing w:line="360" w:lineRule="auto"/>
        <w:rPr>
          <w:rFonts w:ascii="Times New Roman" w:hAnsi="Times New Roman" w:cs="Times New Roman"/>
          <w:sz w:val="24"/>
          <w:szCs w:val="24"/>
        </w:rPr>
      </w:pPr>
    </w:p>
    <w:bookmarkEnd w:id="2066"/>
    <w:p w14:paraId="372F2D43" w14:textId="77777777" w:rsidR="00044709" w:rsidRPr="00A9036D" w:rsidRDefault="00044709" w:rsidP="00044709">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Der vil være behov for visse undtagelser i forhold til offentliggørelsespligten. Dette kan for eksempel være, hvor offentliggørelse kan medføre uforholdsmæssig stor skade for virksomheden, f.eks. hvor der frygtes et såkaldt run på virksomheden. </w:t>
      </w:r>
    </w:p>
    <w:p w14:paraId="05D42F12" w14:textId="77777777" w:rsidR="00327FF0" w:rsidRPr="00796736" w:rsidRDefault="00327FF0" w:rsidP="00A802A5">
      <w:pPr>
        <w:spacing w:line="360" w:lineRule="auto"/>
        <w:rPr>
          <w:rFonts w:ascii="Times New Roman" w:hAnsi="Times New Roman" w:cs="Times New Roman"/>
          <w:sz w:val="24"/>
          <w:szCs w:val="24"/>
        </w:rPr>
      </w:pPr>
    </w:p>
    <w:p w14:paraId="381E8933"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skal ikke nødvendigvis afvente, at virksomheden offentliggør en redegørelse, idet der med bestemmelsen ved bekendtgørelse kan gives hjemmel til, at Finanstilsynet har mulighed for at offentliggøre oplysningerne før virksomhederne. Denne mulighed kan kun benyttes i de situationer, hvor virksomheden enten har rent tekniske eller praktiske problemer, f.eks. på grund af it-nedbrud, eller tilfælde, hvor den manglende offentliggørelse er begrundet i, at virksomheden ikke – uden en reel begrundelse – ønsker at offentliggøre redegørelsen. Hvis virksomheden efter lov om kapitalmarkeder m.v. skal udsende en selskabsmeddelelse, skal Finanstilsynets offentliggørelse dog afvente selskabsmeddelelsen.</w:t>
      </w:r>
    </w:p>
    <w:p w14:paraId="06824432" w14:textId="77777777" w:rsidR="00327FF0" w:rsidRPr="00796736" w:rsidRDefault="00327FF0" w:rsidP="00A802A5">
      <w:pPr>
        <w:spacing w:line="360" w:lineRule="auto"/>
        <w:rPr>
          <w:rFonts w:ascii="Times New Roman" w:hAnsi="Times New Roman" w:cs="Times New Roman"/>
          <w:sz w:val="24"/>
          <w:szCs w:val="24"/>
        </w:rPr>
      </w:pPr>
    </w:p>
    <w:p w14:paraId="4E7EDD66" w14:textId="48EAF0B9"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Forslaget indebærer bl.a., at de virksomheder, der 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w:t>
      </w:r>
      <w:r w:rsidR="002B4BDE">
        <w:rPr>
          <w:rFonts w:ascii="Times New Roman" w:hAnsi="Times New Roman" w:cs="Times New Roman"/>
          <w:sz w:val="24"/>
          <w:szCs w:val="24"/>
        </w:rPr>
        <w:t>samt</w:t>
      </w:r>
      <w:r w:rsidRPr="00796736">
        <w:rPr>
          <w:rFonts w:ascii="Times New Roman" w:hAnsi="Times New Roman" w:cs="Times New Roman"/>
          <w:sz w:val="24"/>
          <w:szCs w:val="24"/>
        </w:rPr>
        <w:t xml:space="preserve"> § 2, nr. 1-19, og 32, litra a, omfattes af bekendtgørelse nr. 1389 af 4. december 2024 om finansielle virksomheders m.v. pligt til at offentliggøre Finanstilsynets vurdering af virksomheden m.v. Det har som konsekvens, at de nye virksomheder, som omfattes af hvidvaskreguleringen, fremover også vil være omfattet af bekendtgørelsen. </w:t>
      </w:r>
      <w:r w:rsidR="008C4119" w:rsidRPr="00E07004">
        <w:rPr>
          <w:rFonts w:ascii="Times New Roman" w:hAnsi="Times New Roman" w:cs="Times New Roman"/>
          <w:sz w:val="24"/>
          <w:szCs w:val="24"/>
        </w:rPr>
        <w:t>Forslaget indebærer tillige, at der kan fastsættes regler for personer, såfremt der er sket alvorlig, gentagen eller systematiske overtrædelser af hvidvaskforordningen eller denne lov.</w:t>
      </w:r>
    </w:p>
    <w:p w14:paraId="74006479" w14:textId="77777777" w:rsidR="00327FF0" w:rsidRPr="00796736" w:rsidRDefault="00327FF0" w:rsidP="00A802A5">
      <w:pPr>
        <w:spacing w:line="360" w:lineRule="auto"/>
        <w:rPr>
          <w:rFonts w:ascii="Times New Roman" w:hAnsi="Times New Roman" w:cs="Times New Roman"/>
          <w:sz w:val="24"/>
          <w:szCs w:val="24"/>
        </w:rPr>
      </w:pPr>
    </w:p>
    <w:p w14:paraId="4E1B6EAA"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den gældende bekendtgørelse skal virksomheden efter en inspektion blandt andet offentliggøre en redegørelse udarbejdet af Finanstilsynet indeholdende Finanstilsynets vurdering af virksomheden, herunder de eventuelle centrale påbud, påtaler og risikooplysninger, som virksomheden har fået. Når Finanstilsynet giver en virksomhed et påbud, en påtale eller en risikooplysning, og dette ikke sker i forbindelse med en inspektion, skal virksomheden tillige offentliggøre en redegørelse, hvis reaktionen har betydning for kunder, indskydere, kreditorer m.fl. I overensstemmelse med kravene i 6. hvidvaskdirektiv vil det blive præciseret i bekendtgørelsen, at alle – og ikke alene de centrale – reaktioner på hvidvaskområdet skal offentliggøres.</w:t>
      </w:r>
    </w:p>
    <w:p w14:paraId="1C682EFB" w14:textId="77777777" w:rsidR="00377D64" w:rsidRPr="00796736" w:rsidRDefault="00377D64" w:rsidP="00A802A5">
      <w:pPr>
        <w:spacing w:line="360" w:lineRule="auto"/>
        <w:rPr>
          <w:rFonts w:ascii="Times New Roman" w:hAnsi="Times New Roman" w:cs="Times New Roman"/>
          <w:sz w:val="24"/>
          <w:szCs w:val="24"/>
        </w:rPr>
      </w:pPr>
    </w:p>
    <w:p w14:paraId="765ABDB3" w14:textId="44275F4E" w:rsidR="00377D64" w:rsidRPr="00796736" w:rsidRDefault="00240DBE" w:rsidP="00A802A5">
      <w:pPr>
        <w:pStyle w:val="Undertitel"/>
      </w:pPr>
      <w:bookmarkStart w:id="2067" w:name="_Toc232109400"/>
      <w:bookmarkStart w:id="2068" w:name="_Toc244879365"/>
      <w:bookmarkStart w:id="2069" w:name="_Toc244880890"/>
      <w:r w:rsidRPr="00796736">
        <w:t xml:space="preserve">Til </w:t>
      </w:r>
      <w:bookmarkEnd w:id="2067"/>
      <w:r w:rsidR="00327FF0" w:rsidRPr="00796736">
        <w:fldChar w:fldCharType="begin"/>
      </w:r>
      <w:r w:rsidR="00327FF0" w:rsidRPr="00796736">
        <w:instrText xml:space="preserve"> REF _Ref239790980 \r \h </w:instrText>
      </w:r>
      <w:r w:rsidR="00F375BF" w:rsidRPr="00796736">
        <w:instrText xml:space="preserve"> \* MERGEFORMAT </w:instrText>
      </w:r>
      <w:r w:rsidR="00327FF0" w:rsidRPr="00796736">
        <w:fldChar w:fldCharType="separate"/>
      </w:r>
      <w:r w:rsidR="008F29E5">
        <w:t>§ 69</w:t>
      </w:r>
      <w:bookmarkEnd w:id="2068"/>
      <w:bookmarkEnd w:id="2069"/>
      <w:r w:rsidR="00327FF0" w:rsidRPr="00796736">
        <w:fldChar w:fldCharType="end"/>
      </w:r>
    </w:p>
    <w:p w14:paraId="5F1300C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55 i hvidvaskloven regulerer Finanstilsynets offentliggørelse af reaktioner og beslutninger om at overgive sager til politimæssig efterforskning.</w:t>
      </w:r>
    </w:p>
    <w:p w14:paraId="7711AB3B" w14:textId="77777777" w:rsidR="00327FF0" w:rsidRPr="00796736" w:rsidRDefault="00327FF0" w:rsidP="00A802A5">
      <w:pPr>
        <w:spacing w:line="360" w:lineRule="auto"/>
        <w:rPr>
          <w:rFonts w:ascii="Times New Roman" w:hAnsi="Times New Roman" w:cs="Times New Roman"/>
          <w:sz w:val="24"/>
          <w:szCs w:val="24"/>
        </w:rPr>
      </w:pPr>
    </w:p>
    <w:p w14:paraId="7BE2E792"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55, stk. 1, i hvidvaskloven, at reaktioner tildelt efter § 47, stk. 1 og 2, § 51 eller § 51 b eller af Finanstilsynet efter delegation fra Finanstilsynets bestyrelse skal offentliggøres af Finanstilsynet på Finanstilsynets hjemmeside, jf. dog stk. 6. Beslutninger om at overgive sager til politimæssig efterforskning, jf. § 47, stk. 2, offentliggøres som resumé, jf. dog stk. 6. Offentliggørelsen skal omfatte den juridiske eller fysiske persons navn, jf. dog stk. 3.</w:t>
      </w:r>
    </w:p>
    <w:p w14:paraId="4ADAD708" w14:textId="77777777" w:rsidR="00327FF0" w:rsidRPr="00796736" w:rsidRDefault="00327FF0" w:rsidP="00A802A5">
      <w:pPr>
        <w:spacing w:line="360" w:lineRule="auto"/>
        <w:rPr>
          <w:rFonts w:ascii="Times New Roman" w:hAnsi="Times New Roman" w:cs="Times New Roman"/>
          <w:sz w:val="24"/>
          <w:szCs w:val="24"/>
        </w:rPr>
      </w:pPr>
    </w:p>
    <w:p w14:paraId="487825A6"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55, stk. 9, i hvidvaskloven, at Finanstilsynet kan offentliggøre en redegørelse om Finanstilsynets praksis efter § 45, stk. 1, i det omfang der er sager, som er relevante for at øge transparensen om Finanstilsynets praksis ved egnethedsvurderinger.</w:t>
      </w:r>
    </w:p>
    <w:p w14:paraId="44491FAE" w14:textId="77777777" w:rsidR="00327FF0" w:rsidRPr="00796736" w:rsidRDefault="00327FF0" w:rsidP="00A802A5">
      <w:pPr>
        <w:spacing w:line="360" w:lineRule="auto"/>
        <w:rPr>
          <w:rFonts w:ascii="Times New Roman" w:hAnsi="Times New Roman" w:cs="Times New Roman"/>
          <w:sz w:val="24"/>
          <w:szCs w:val="24"/>
        </w:rPr>
      </w:pPr>
    </w:p>
    <w:p w14:paraId="44512FE6" w14:textId="0C35CCA5"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viderefører og udvider den gældende § 55, stk. 1, i hvidvaskloven. </w:t>
      </w:r>
    </w:p>
    <w:p w14:paraId="79A774A6" w14:textId="77777777" w:rsidR="00327FF0" w:rsidRPr="00796736" w:rsidRDefault="00327FF0" w:rsidP="00A802A5">
      <w:pPr>
        <w:spacing w:line="360" w:lineRule="auto"/>
        <w:rPr>
          <w:rFonts w:ascii="Times New Roman" w:hAnsi="Times New Roman" w:cs="Times New Roman"/>
          <w:sz w:val="24"/>
          <w:szCs w:val="24"/>
        </w:rPr>
      </w:pPr>
    </w:p>
    <w:p w14:paraId="28330C4D" w14:textId="07B6DFCE"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implementerer artikel 58, stk. 1, og stk. 3, 1. pkt., i 6. hvidvaskdirektiv. </w:t>
      </w:r>
    </w:p>
    <w:p w14:paraId="496BB386" w14:textId="77777777" w:rsidR="00327FF0" w:rsidRPr="00796736" w:rsidRDefault="00327FF0" w:rsidP="00A802A5">
      <w:pPr>
        <w:spacing w:line="360" w:lineRule="auto"/>
        <w:rPr>
          <w:rFonts w:ascii="Times New Roman" w:hAnsi="Times New Roman" w:cs="Times New Roman"/>
          <w:sz w:val="24"/>
          <w:szCs w:val="24"/>
        </w:rPr>
      </w:pPr>
    </w:p>
    <w:p w14:paraId="43D2F572" w14:textId="5F6095F9"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i/>
          <w:iCs/>
          <w:sz w:val="24"/>
          <w:szCs w:val="24"/>
        </w:rPr>
        <w:instrText xml:space="preserve">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sz w:val="24"/>
          <w:szCs w:val="24"/>
        </w:rPr>
        <w:t>§ 69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Finanstilsynet med angivelse af personens eller virksomhedens navn skal offentliggøre reaktioner givet efter </w:t>
      </w:r>
      <w:r w:rsidR="007E0619" w:rsidRPr="00A9036D">
        <w:rPr>
          <w:rFonts w:ascii="Times New Roman" w:hAnsi="Times New Roman" w:cs="Times New Roman"/>
          <w:sz w:val="24"/>
          <w:szCs w:val="24"/>
        </w:rPr>
        <w:t>§</w:t>
      </w:r>
      <w:r w:rsidR="007E0619">
        <w:rPr>
          <w:rFonts w:ascii="Times New Roman" w:hAnsi="Times New Roman" w:cs="Times New Roman"/>
          <w:sz w:val="24"/>
          <w:szCs w:val="24"/>
        </w:rPr>
        <w:fldChar w:fldCharType="begin"/>
      </w:r>
      <w:r w:rsidR="007E0619">
        <w:rPr>
          <w:rFonts w:ascii="Times New Roman" w:hAnsi="Times New Roman" w:cs="Times New Roman"/>
          <w:sz w:val="24"/>
          <w:szCs w:val="24"/>
        </w:rPr>
        <w:instrText xml:space="preserve"> REF _Ref239151441 \r \h </w:instrText>
      </w:r>
      <w:r w:rsidR="007E0619">
        <w:rPr>
          <w:rFonts w:ascii="Times New Roman" w:hAnsi="Times New Roman" w:cs="Times New Roman"/>
          <w:sz w:val="24"/>
          <w:szCs w:val="24"/>
        </w:rPr>
      </w:r>
      <w:r w:rsidR="007E0619">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007E0619">
        <w:rPr>
          <w:rFonts w:ascii="Times New Roman" w:hAnsi="Times New Roman" w:cs="Times New Roman"/>
          <w:sz w:val="24"/>
          <w:szCs w:val="24"/>
        </w:rPr>
        <w:fldChar w:fldCharType="end"/>
      </w:r>
      <w:r w:rsidR="007E0619" w:rsidRPr="00A9036D">
        <w:rPr>
          <w:rFonts w:ascii="Times New Roman" w:hAnsi="Times New Roman" w:cs="Times New Roman"/>
          <w:sz w:val="24"/>
          <w:szCs w:val="24"/>
        </w:rPr>
        <w:t>-</w:t>
      </w:r>
      <w:r w:rsidR="007E0619">
        <w:rPr>
          <w:rFonts w:ascii="Times New Roman" w:hAnsi="Times New Roman" w:cs="Times New Roman"/>
          <w:sz w:val="24"/>
          <w:szCs w:val="24"/>
        </w:rPr>
        <w:fldChar w:fldCharType="begin"/>
      </w:r>
      <w:r w:rsidR="007E0619">
        <w:rPr>
          <w:rFonts w:ascii="Times New Roman" w:hAnsi="Times New Roman" w:cs="Times New Roman"/>
          <w:sz w:val="24"/>
          <w:szCs w:val="24"/>
        </w:rPr>
        <w:instrText xml:space="preserve"> REF _Ref232597333 \r \h </w:instrText>
      </w:r>
      <w:r w:rsidR="007E0619">
        <w:rPr>
          <w:rFonts w:ascii="Times New Roman" w:hAnsi="Times New Roman" w:cs="Times New Roman"/>
          <w:sz w:val="24"/>
          <w:szCs w:val="24"/>
        </w:rPr>
      </w:r>
      <w:r w:rsidR="007E0619">
        <w:rPr>
          <w:rFonts w:ascii="Times New Roman" w:hAnsi="Times New Roman" w:cs="Times New Roman"/>
          <w:sz w:val="24"/>
          <w:szCs w:val="24"/>
        </w:rPr>
        <w:fldChar w:fldCharType="separate"/>
      </w:r>
      <w:r w:rsidR="008F29E5">
        <w:rPr>
          <w:rFonts w:ascii="Times New Roman" w:hAnsi="Times New Roman" w:cs="Times New Roman"/>
          <w:sz w:val="24"/>
          <w:szCs w:val="24"/>
        </w:rPr>
        <w:t>67</w:t>
      </w:r>
      <w:r w:rsidR="007E0619">
        <w:rPr>
          <w:rFonts w:ascii="Times New Roman" w:hAnsi="Times New Roman" w:cs="Times New Roman"/>
          <w:sz w:val="24"/>
          <w:szCs w:val="24"/>
        </w:rPr>
        <w:fldChar w:fldCharType="end"/>
      </w:r>
      <w:r w:rsidR="007E0619">
        <w:rPr>
          <w:rFonts w:ascii="Times New Roman" w:hAnsi="Times New Roman" w:cs="Times New Roman"/>
          <w:sz w:val="24"/>
          <w:szCs w:val="24"/>
        </w:rPr>
        <w:t xml:space="preserve">, </w:t>
      </w:r>
      <w:r w:rsidR="007E0619" w:rsidRPr="00A9036D">
        <w:rPr>
          <w:rFonts w:ascii="Times New Roman" w:hAnsi="Times New Roman" w:cs="Times New Roman"/>
          <w:sz w:val="24"/>
          <w:szCs w:val="24"/>
        </w:rPr>
        <w:t>jf. §</w:t>
      </w:r>
      <w:r w:rsidR="007E0619">
        <w:rPr>
          <w:rFonts w:ascii="Times New Roman" w:hAnsi="Times New Roman" w:cs="Times New Roman"/>
          <w:sz w:val="24"/>
          <w:szCs w:val="24"/>
        </w:rPr>
        <w:fldChar w:fldCharType="begin"/>
      </w:r>
      <w:r w:rsidR="007E0619">
        <w:rPr>
          <w:rFonts w:ascii="Times New Roman" w:hAnsi="Times New Roman" w:cs="Times New Roman"/>
          <w:sz w:val="24"/>
          <w:szCs w:val="24"/>
        </w:rPr>
        <w:instrText xml:space="preserve"> REF _Ref240026750 \r \h </w:instrText>
      </w:r>
      <w:r w:rsidR="007E0619">
        <w:rPr>
          <w:rFonts w:ascii="Times New Roman" w:hAnsi="Times New Roman" w:cs="Times New Roman"/>
          <w:sz w:val="24"/>
          <w:szCs w:val="24"/>
        </w:rPr>
      </w:r>
      <w:r w:rsidR="007E0619">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7E0619">
        <w:rPr>
          <w:rFonts w:ascii="Times New Roman" w:hAnsi="Times New Roman" w:cs="Times New Roman"/>
          <w:sz w:val="24"/>
          <w:szCs w:val="24"/>
        </w:rPr>
        <w:fldChar w:fldCharType="end"/>
      </w:r>
      <w:r w:rsidR="007E0619" w:rsidRPr="00A9036D">
        <w:rPr>
          <w:rFonts w:ascii="Times New Roman" w:hAnsi="Times New Roman" w:cs="Times New Roman"/>
          <w:sz w:val="24"/>
          <w:szCs w:val="24"/>
        </w:rPr>
        <w:t>-</w:t>
      </w:r>
      <w:r w:rsidR="007E0619">
        <w:rPr>
          <w:rFonts w:ascii="Times New Roman" w:hAnsi="Times New Roman" w:cs="Times New Roman"/>
          <w:sz w:val="24"/>
          <w:szCs w:val="24"/>
        </w:rPr>
        <w:fldChar w:fldCharType="begin"/>
      </w:r>
      <w:r w:rsidR="007E0619">
        <w:rPr>
          <w:rFonts w:ascii="Times New Roman" w:hAnsi="Times New Roman" w:cs="Times New Roman"/>
          <w:sz w:val="24"/>
          <w:szCs w:val="24"/>
        </w:rPr>
        <w:instrText xml:space="preserve"> REF _Ref232597084 \r \h </w:instrText>
      </w:r>
      <w:r w:rsidR="007E0619">
        <w:rPr>
          <w:rFonts w:ascii="Times New Roman" w:hAnsi="Times New Roman" w:cs="Times New Roman"/>
          <w:sz w:val="24"/>
          <w:szCs w:val="24"/>
        </w:rPr>
      </w:r>
      <w:r w:rsidR="007E0619">
        <w:rPr>
          <w:rFonts w:ascii="Times New Roman" w:hAnsi="Times New Roman" w:cs="Times New Roman"/>
          <w:sz w:val="24"/>
          <w:szCs w:val="24"/>
        </w:rPr>
        <w:fldChar w:fldCharType="separate"/>
      </w:r>
      <w:r w:rsidR="008F29E5">
        <w:rPr>
          <w:rFonts w:ascii="Times New Roman" w:hAnsi="Times New Roman" w:cs="Times New Roman"/>
          <w:sz w:val="24"/>
          <w:szCs w:val="24"/>
        </w:rPr>
        <w:t>56</w:t>
      </w:r>
      <w:r w:rsidR="007E0619">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loven, jf. § 345, stk. 12, nr. 4, i lov om finansiel virksomhed, eller af Finanstilsynet efter delegation fra Finanstilsynets bestyrelse til en virksomhed eller person under tilsyn, reaktioner givet efter </w:t>
      </w:r>
      <w:r w:rsidR="007E0619" w:rsidRPr="00A9036D">
        <w:rPr>
          <w:rFonts w:ascii="Times New Roman" w:hAnsi="Times New Roman" w:cs="Times New Roman"/>
          <w:sz w:val="24"/>
          <w:szCs w:val="24"/>
        </w:rPr>
        <w:t>§</w:t>
      </w:r>
      <w:r w:rsidR="007E0619">
        <w:rPr>
          <w:rFonts w:ascii="Times New Roman" w:hAnsi="Times New Roman" w:cs="Times New Roman"/>
          <w:sz w:val="24"/>
          <w:szCs w:val="24"/>
        </w:rPr>
        <w:fldChar w:fldCharType="begin"/>
      </w:r>
      <w:r w:rsidR="007E0619">
        <w:rPr>
          <w:rFonts w:ascii="Times New Roman" w:hAnsi="Times New Roman" w:cs="Times New Roman"/>
          <w:sz w:val="24"/>
          <w:szCs w:val="24"/>
        </w:rPr>
        <w:instrText xml:space="preserve"> REF _Ref239151441 \r \h </w:instrText>
      </w:r>
      <w:r w:rsidR="007E0619">
        <w:rPr>
          <w:rFonts w:ascii="Times New Roman" w:hAnsi="Times New Roman" w:cs="Times New Roman"/>
          <w:sz w:val="24"/>
          <w:szCs w:val="24"/>
        </w:rPr>
      </w:r>
      <w:r w:rsidR="007E0619">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007E0619">
        <w:rPr>
          <w:rFonts w:ascii="Times New Roman" w:hAnsi="Times New Roman" w:cs="Times New Roman"/>
          <w:sz w:val="24"/>
          <w:szCs w:val="24"/>
        </w:rPr>
        <w:fldChar w:fldCharType="end"/>
      </w:r>
      <w:r w:rsidR="007E0619" w:rsidRPr="00A9036D">
        <w:rPr>
          <w:rFonts w:ascii="Times New Roman" w:hAnsi="Times New Roman" w:cs="Times New Roman"/>
          <w:sz w:val="24"/>
          <w:szCs w:val="24"/>
        </w:rPr>
        <w:t>-</w:t>
      </w:r>
      <w:r w:rsidR="007E0619">
        <w:rPr>
          <w:rFonts w:ascii="Times New Roman" w:hAnsi="Times New Roman" w:cs="Times New Roman"/>
          <w:sz w:val="24"/>
          <w:szCs w:val="24"/>
        </w:rPr>
        <w:fldChar w:fldCharType="begin"/>
      </w:r>
      <w:r w:rsidR="007E0619">
        <w:rPr>
          <w:rFonts w:ascii="Times New Roman" w:hAnsi="Times New Roman" w:cs="Times New Roman"/>
          <w:sz w:val="24"/>
          <w:szCs w:val="24"/>
        </w:rPr>
        <w:instrText xml:space="preserve"> REF _Ref232597333 \r \h </w:instrText>
      </w:r>
      <w:r w:rsidR="007E0619">
        <w:rPr>
          <w:rFonts w:ascii="Times New Roman" w:hAnsi="Times New Roman" w:cs="Times New Roman"/>
          <w:sz w:val="24"/>
          <w:szCs w:val="24"/>
        </w:rPr>
      </w:r>
      <w:r w:rsidR="007E0619">
        <w:rPr>
          <w:rFonts w:ascii="Times New Roman" w:hAnsi="Times New Roman" w:cs="Times New Roman"/>
          <w:sz w:val="24"/>
          <w:szCs w:val="24"/>
        </w:rPr>
        <w:fldChar w:fldCharType="separate"/>
      </w:r>
      <w:r w:rsidR="008F29E5">
        <w:rPr>
          <w:rFonts w:ascii="Times New Roman" w:hAnsi="Times New Roman" w:cs="Times New Roman"/>
          <w:sz w:val="24"/>
          <w:szCs w:val="24"/>
        </w:rPr>
        <w:t>67</w:t>
      </w:r>
      <w:r w:rsidR="007E0619">
        <w:rPr>
          <w:rFonts w:ascii="Times New Roman" w:hAnsi="Times New Roman" w:cs="Times New Roman"/>
          <w:sz w:val="24"/>
          <w:szCs w:val="24"/>
        </w:rPr>
        <w:fldChar w:fldCharType="end"/>
      </w:r>
      <w:r w:rsidR="007E0619">
        <w:rPr>
          <w:rFonts w:ascii="Times New Roman" w:hAnsi="Times New Roman" w:cs="Times New Roman"/>
          <w:sz w:val="24"/>
          <w:szCs w:val="24"/>
        </w:rPr>
        <w:t xml:space="preserve">, </w:t>
      </w:r>
      <w:r w:rsidR="007E0619" w:rsidRPr="00A9036D">
        <w:rPr>
          <w:rFonts w:ascii="Times New Roman" w:hAnsi="Times New Roman" w:cs="Times New Roman"/>
          <w:sz w:val="24"/>
          <w:szCs w:val="24"/>
        </w:rPr>
        <w:t>jf. §</w:t>
      </w:r>
      <w:r w:rsidR="007E0619">
        <w:rPr>
          <w:rFonts w:ascii="Times New Roman" w:hAnsi="Times New Roman" w:cs="Times New Roman"/>
          <w:sz w:val="24"/>
          <w:szCs w:val="24"/>
        </w:rPr>
        <w:fldChar w:fldCharType="begin"/>
      </w:r>
      <w:r w:rsidR="007E0619">
        <w:rPr>
          <w:rFonts w:ascii="Times New Roman" w:hAnsi="Times New Roman" w:cs="Times New Roman"/>
          <w:sz w:val="24"/>
          <w:szCs w:val="24"/>
        </w:rPr>
        <w:instrText xml:space="preserve"> REF _Ref240026750 \r \h </w:instrText>
      </w:r>
      <w:r w:rsidR="007E0619">
        <w:rPr>
          <w:rFonts w:ascii="Times New Roman" w:hAnsi="Times New Roman" w:cs="Times New Roman"/>
          <w:sz w:val="24"/>
          <w:szCs w:val="24"/>
        </w:rPr>
      </w:r>
      <w:r w:rsidR="007E0619">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7E0619">
        <w:rPr>
          <w:rFonts w:ascii="Times New Roman" w:hAnsi="Times New Roman" w:cs="Times New Roman"/>
          <w:sz w:val="24"/>
          <w:szCs w:val="24"/>
        </w:rPr>
        <w:fldChar w:fldCharType="end"/>
      </w:r>
      <w:r w:rsidR="007E0619" w:rsidRPr="00A9036D">
        <w:rPr>
          <w:rFonts w:ascii="Times New Roman" w:hAnsi="Times New Roman" w:cs="Times New Roman"/>
          <w:sz w:val="24"/>
          <w:szCs w:val="24"/>
        </w:rPr>
        <w:t>-</w:t>
      </w:r>
      <w:r w:rsidR="007E0619">
        <w:rPr>
          <w:rFonts w:ascii="Times New Roman" w:hAnsi="Times New Roman" w:cs="Times New Roman"/>
          <w:sz w:val="24"/>
          <w:szCs w:val="24"/>
        </w:rPr>
        <w:fldChar w:fldCharType="begin"/>
      </w:r>
      <w:r w:rsidR="007E0619">
        <w:rPr>
          <w:rFonts w:ascii="Times New Roman" w:hAnsi="Times New Roman" w:cs="Times New Roman"/>
          <w:sz w:val="24"/>
          <w:szCs w:val="24"/>
        </w:rPr>
        <w:instrText xml:space="preserve"> REF _Ref232597084 \r \h </w:instrText>
      </w:r>
      <w:r w:rsidR="007E0619">
        <w:rPr>
          <w:rFonts w:ascii="Times New Roman" w:hAnsi="Times New Roman" w:cs="Times New Roman"/>
          <w:sz w:val="24"/>
          <w:szCs w:val="24"/>
        </w:rPr>
      </w:r>
      <w:r w:rsidR="007E0619">
        <w:rPr>
          <w:rFonts w:ascii="Times New Roman" w:hAnsi="Times New Roman" w:cs="Times New Roman"/>
          <w:sz w:val="24"/>
          <w:szCs w:val="24"/>
        </w:rPr>
        <w:fldChar w:fldCharType="separate"/>
      </w:r>
      <w:r w:rsidR="008F29E5">
        <w:rPr>
          <w:rFonts w:ascii="Times New Roman" w:hAnsi="Times New Roman" w:cs="Times New Roman"/>
          <w:sz w:val="24"/>
          <w:szCs w:val="24"/>
        </w:rPr>
        <w:t>56</w:t>
      </w:r>
      <w:r w:rsidR="007E0619">
        <w:rPr>
          <w:rFonts w:ascii="Times New Roman" w:hAnsi="Times New Roman" w:cs="Times New Roman"/>
          <w:sz w:val="24"/>
          <w:szCs w:val="24"/>
        </w:rPr>
        <w:fldChar w:fldCharType="end"/>
      </w:r>
      <w:r w:rsidR="007E0619">
        <w:rPr>
          <w:rFonts w:ascii="Times New Roman" w:hAnsi="Times New Roman" w:cs="Times New Roman"/>
          <w:sz w:val="24"/>
          <w:szCs w:val="24"/>
        </w:rPr>
        <w:t xml:space="preserve"> </w:t>
      </w:r>
      <w:r w:rsidRPr="00796736">
        <w:rPr>
          <w:rFonts w:ascii="Times New Roman" w:hAnsi="Times New Roman" w:cs="Times New Roman"/>
          <w:sz w:val="24"/>
          <w:szCs w:val="24"/>
        </w:rPr>
        <w:t xml:space="preserve">i loven, jf. § 345, stk. 12, nr. 4, i lov om finansiel virksomhed, eller af Finanstilsynet efter delegation fra Finanstilsynets bestyrelse til en virksomhed eller person, der ikke er under tilsyn, beslutninger om at overgive sager til politimæssig efterforskning </w:t>
      </w:r>
      <w:r w:rsidR="00077738" w:rsidRPr="00A9036D">
        <w:rPr>
          <w:rFonts w:ascii="Times New Roman" w:hAnsi="Times New Roman" w:cs="Times New Roman"/>
          <w:sz w:val="24"/>
          <w:szCs w:val="24"/>
        </w:rPr>
        <w:t xml:space="preserve">og sager afgjort med vedtagelse af administrativt bødeforelæg med angivelse af bødens størrelse, overtrædelse af forbuddet mod at udøve virksomhed uden registrering eller tilladelse, jf. </w:t>
      </w:r>
      <w:r w:rsidR="00EB044F">
        <w:rPr>
          <w:rFonts w:ascii="Times New Roman" w:hAnsi="Times New Roman" w:cs="Times New Roman"/>
          <w:sz w:val="24"/>
          <w:szCs w:val="24"/>
        </w:rPr>
        <w:t>§</w:t>
      </w:r>
      <w:r w:rsidR="00574E01">
        <w:rPr>
          <w:rFonts w:ascii="Times New Roman" w:hAnsi="Times New Roman" w:cs="Times New Roman"/>
          <w:sz w:val="24"/>
          <w:szCs w:val="24"/>
        </w:rPr>
        <w:fldChar w:fldCharType="begin"/>
      </w:r>
      <w:r w:rsidR="00574E01">
        <w:rPr>
          <w:rFonts w:ascii="Times New Roman" w:hAnsi="Times New Roman" w:cs="Times New Roman"/>
          <w:sz w:val="24"/>
          <w:szCs w:val="24"/>
        </w:rPr>
        <w:instrText xml:space="preserve"> REF _Ref232596532 \r \h </w:instrText>
      </w:r>
      <w:r w:rsidR="00574E01">
        <w:rPr>
          <w:rFonts w:ascii="Times New Roman" w:hAnsi="Times New Roman" w:cs="Times New Roman"/>
          <w:sz w:val="24"/>
          <w:szCs w:val="24"/>
        </w:rPr>
      </w:r>
      <w:r w:rsidR="00574E01">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00574E01">
        <w:rPr>
          <w:rFonts w:ascii="Times New Roman" w:hAnsi="Times New Roman" w:cs="Times New Roman"/>
          <w:sz w:val="24"/>
          <w:szCs w:val="24"/>
        </w:rPr>
        <w:fldChar w:fldCharType="end"/>
      </w:r>
      <w:r w:rsidR="00574E01">
        <w:rPr>
          <w:rFonts w:ascii="Times New Roman" w:hAnsi="Times New Roman" w:cs="Times New Roman"/>
          <w:sz w:val="24"/>
          <w:szCs w:val="24"/>
        </w:rPr>
        <w:t xml:space="preserve"> </w:t>
      </w:r>
      <w:r w:rsidR="00574E01" w:rsidRPr="00A9036D">
        <w:rPr>
          <w:rFonts w:ascii="Times New Roman" w:hAnsi="Times New Roman" w:cs="Times New Roman"/>
          <w:sz w:val="24"/>
          <w:szCs w:val="24"/>
        </w:rPr>
        <w:t xml:space="preserve">og </w:t>
      </w:r>
      <w:r w:rsidR="00574E01">
        <w:rPr>
          <w:rFonts w:ascii="Times New Roman" w:hAnsi="Times New Roman" w:cs="Times New Roman"/>
          <w:sz w:val="24"/>
          <w:szCs w:val="24"/>
        </w:rPr>
        <w:fldChar w:fldCharType="begin"/>
      </w:r>
      <w:r w:rsidR="00574E01">
        <w:rPr>
          <w:rFonts w:ascii="Times New Roman" w:hAnsi="Times New Roman" w:cs="Times New Roman"/>
          <w:sz w:val="24"/>
          <w:szCs w:val="24"/>
        </w:rPr>
        <w:instrText xml:space="preserve"> REF _Ref243467920 \r \h </w:instrText>
      </w:r>
      <w:r w:rsidR="00574E01">
        <w:rPr>
          <w:rFonts w:ascii="Times New Roman" w:hAnsi="Times New Roman" w:cs="Times New Roman"/>
          <w:sz w:val="24"/>
          <w:szCs w:val="24"/>
        </w:rPr>
      </w:r>
      <w:r w:rsidR="00574E01">
        <w:rPr>
          <w:rFonts w:ascii="Times New Roman" w:hAnsi="Times New Roman" w:cs="Times New Roman"/>
          <w:sz w:val="24"/>
          <w:szCs w:val="24"/>
        </w:rPr>
        <w:fldChar w:fldCharType="separate"/>
      </w:r>
      <w:r w:rsidR="008F29E5">
        <w:rPr>
          <w:rFonts w:ascii="Times New Roman" w:hAnsi="Times New Roman" w:cs="Times New Roman"/>
          <w:sz w:val="24"/>
          <w:szCs w:val="24"/>
        </w:rPr>
        <w:t>47</w:t>
      </w:r>
      <w:r w:rsidR="00574E01">
        <w:rPr>
          <w:rFonts w:ascii="Times New Roman" w:hAnsi="Times New Roman" w:cs="Times New Roman"/>
          <w:sz w:val="24"/>
          <w:szCs w:val="24"/>
        </w:rPr>
        <w:fldChar w:fldCharType="end"/>
      </w:r>
      <w:r w:rsidR="00574E01">
        <w:rPr>
          <w:rFonts w:ascii="Times New Roman" w:hAnsi="Times New Roman" w:cs="Times New Roman"/>
          <w:sz w:val="24"/>
          <w:szCs w:val="24"/>
        </w:rPr>
        <w:t xml:space="preserve"> </w:t>
      </w:r>
      <w:r w:rsidR="00077738" w:rsidRPr="00A9036D">
        <w:rPr>
          <w:rFonts w:ascii="Times New Roman" w:hAnsi="Times New Roman" w:cs="Times New Roman"/>
          <w:sz w:val="24"/>
          <w:szCs w:val="24"/>
        </w:rPr>
        <w:t xml:space="preserve">samt tvangsbøder meddelt i henhold til </w:t>
      </w:r>
      <w:r w:rsidR="000858BB" w:rsidRPr="00A9036D">
        <w:rPr>
          <w:rFonts w:ascii="Times New Roman" w:hAnsi="Times New Roman" w:cs="Times New Roman"/>
          <w:sz w:val="24"/>
          <w:szCs w:val="24"/>
        </w:rPr>
        <w:t xml:space="preserve"> </w:t>
      </w:r>
      <w:r w:rsidR="000858BB">
        <w:rPr>
          <w:rFonts w:ascii="Times New Roman" w:hAnsi="Times New Roman" w:cs="Times New Roman"/>
          <w:sz w:val="24"/>
          <w:szCs w:val="24"/>
        </w:rPr>
        <w:fldChar w:fldCharType="begin"/>
      </w:r>
      <w:r w:rsidR="000858BB">
        <w:rPr>
          <w:rFonts w:ascii="Times New Roman" w:hAnsi="Times New Roman" w:cs="Times New Roman"/>
          <w:sz w:val="24"/>
          <w:szCs w:val="24"/>
        </w:rPr>
        <w:instrText xml:space="preserve"> REF _Ref244804875 \r \h </w:instrText>
      </w:r>
      <w:r w:rsidR="000858BB">
        <w:rPr>
          <w:rFonts w:ascii="Times New Roman" w:hAnsi="Times New Roman" w:cs="Times New Roman"/>
          <w:sz w:val="24"/>
          <w:szCs w:val="24"/>
        </w:rPr>
      </w:r>
      <w:r w:rsidR="000858BB">
        <w:rPr>
          <w:rFonts w:ascii="Times New Roman" w:hAnsi="Times New Roman" w:cs="Times New Roman"/>
          <w:sz w:val="24"/>
          <w:szCs w:val="24"/>
        </w:rPr>
        <w:fldChar w:fldCharType="separate"/>
      </w:r>
      <w:r w:rsidR="008F29E5">
        <w:rPr>
          <w:rFonts w:ascii="Times New Roman" w:hAnsi="Times New Roman" w:cs="Times New Roman"/>
          <w:sz w:val="24"/>
          <w:szCs w:val="24"/>
        </w:rPr>
        <w:t>§ 135</w:t>
      </w:r>
      <w:r w:rsidR="000858BB">
        <w:rPr>
          <w:rFonts w:ascii="Times New Roman" w:hAnsi="Times New Roman" w:cs="Times New Roman"/>
          <w:sz w:val="24"/>
          <w:szCs w:val="24"/>
        </w:rPr>
        <w:fldChar w:fldCharType="end"/>
      </w:r>
      <w:r w:rsidR="000858BB">
        <w:rPr>
          <w:rFonts w:ascii="Times New Roman" w:hAnsi="Times New Roman" w:cs="Times New Roman"/>
          <w:sz w:val="24"/>
          <w:szCs w:val="24"/>
        </w:rPr>
        <w:t xml:space="preserve"> </w:t>
      </w:r>
      <w:r w:rsidR="00077738" w:rsidRPr="00A9036D">
        <w:rPr>
          <w:rFonts w:ascii="Times New Roman" w:hAnsi="Times New Roman" w:cs="Times New Roman"/>
          <w:sz w:val="24"/>
          <w:szCs w:val="24"/>
        </w:rPr>
        <w:t xml:space="preserve">og tvangsbødens størrelse. </w:t>
      </w:r>
      <w:r w:rsidRPr="00796736">
        <w:rPr>
          <w:rFonts w:ascii="Times New Roman" w:hAnsi="Times New Roman" w:cs="Times New Roman"/>
          <w:sz w:val="24"/>
          <w:szCs w:val="24"/>
        </w:rPr>
        <w:t>Offentliggørelse skal ske under iagttagelse af de foreslåede §</w:t>
      </w:r>
      <w:r w:rsidR="00962ACA" w:rsidRPr="00796736">
        <w:rPr>
          <w:rFonts w:ascii="Times New Roman" w:hAnsi="Times New Roman" w:cs="Times New Roman"/>
          <w:sz w:val="24"/>
          <w:szCs w:val="24"/>
        </w:rPr>
        <w:fldChar w:fldCharType="begin"/>
      </w:r>
      <w:r w:rsidR="00962ACA" w:rsidRPr="00796736">
        <w:rPr>
          <w:rFonts w:ascii="Times New Roman" w:hAnsi="Times New Roman" w:cs="Times New Roman"/>
          <w:sz w:val="24"/>
          <w:szCs w:val="24"/>
        </w:rPr>
        <w:instrText xml:space="preserve"> REF _Ref232597480 \r \h </w:instrText>
      </w:r>
      <w:r w:rsidR="00F375BF" w:rsidRPr="00796736">
        <w:rPr>
          <w:rFonts w:ascii="Times New Roman" w:hAnsi="Times New Roman" w:cs="Times New Roman"/>
          <w:sz w:val="24"/>
          <w:szCs w:val="24"/>
        </w:rPr>
        <w:instrText xml:space="preserve"> \* MERGEFORMAT </w:instrText>
      </w:r>
      <w:r w:rsidR="00962ACA" w:rsidRPr="00796736">
        <w:rPr>
          <w:rFonts w:ascii="Times New Roman" w:hAnsi="Times New Roman" w:cs="Times New Roman"/>
          <w:sz w:val="24"/>
          <w:szCs w:val="24"/>
        </w:rPr>
      </w:r>
      <w:r w:rsidR="00962A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962ACA" w:rsidRPr="00796736">
        <w:rPr>
          <w:rFonts w:ascii="Times New Roman" w:hAnsi="Times New Roman" w:cs="Times New Roman"/>
          <w:sz w:val="24"/>
          <w:szCs w:val="24"/>
        </w:rPr>
        <w:fldChar w:fldCharType="end"/>
      </w:r>
      <w:r w:rsidR="00962AC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w:t>
      </w:r>
      <w:r w:rsidR="00962ACA" w:rsidRPr="00796736">
        <w:rPr>
          <w:rFonts w:ascii="Times New Roman" w:hAnsi="Times New Roman" w:cs="Times New Roman"/>
          <w:sz w:val="24"/>
          <w:szCs w:val="24"/>
        </w:rPr>
        <w:fldChar w:fldCharType="begin"/>
      </w:r>
      <w:r w:rsidR="00962ACA" w:rsidRPr="00796736">
        <w:rPr>
          <w:rFonts w:ascii="Times New Roman"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962ACA" w:rsidRPr="00796736">
        <w:rPr>
          <w:rFonts w:ascii="Times New Roman" w:hAnsi="Times New Roman" w:cs="Times New Roman"/>
          <w:sz w:val="24"/>
          <w:szCs w:val="24"/>
        </w:rPr>
      </w:r>
      <w:r w:rsidR="00962A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962A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0F1EE11F" w14:textId="77777777" w:rsidR="00327FF0" w:rsidRPr="00796736" w:rsidRDefault="00327FF0" w:rsidP="00A802A5">
      <w:pPr>
        <w:spacing w:line="360" w:lineRule="auto"/>
        <w:rPr>
          <w:rFonts w:ascii="Times New Roman" w:hAnsi="Times New Roman" w:cs="Times New Roman"/>
          <w:sz w:val="24"/>
          <w:szCs w:val="24"/>
        </w:rPr>
      </w:pPr>
    </w:p>
    <w:p w14:paraId="2EAF1969" w14:textId="7B00BD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er med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tilsigtet offentliggørelse af yderligere sager på hvidvaskområdet, da bestemmelsen udvides til at omfatte offentliggørelse af reaktioner givet efter </w:t>
      </w:r>
      <w:r w:rsidR="003B017A" w:rsidRPr="00E07004">
        <w:rPr>
          <w:rFonts w:ascii="Times New Roman" w:hAnsi="Times New Roman" w:cs="Times New Roman"/>
          <w:sz w:val="24"/>
          <w:szCs w:val="24"/>
        </w:rPr>
        <w:t>§</w:t>
      </w:r>
      <w:r w:rsidR="00901929">
        <w:rPr>
          <w:rFonts w:ascii="Times New Roman" w:hAnsi="Times New Roman" w:cs="Times New Roman"/>
          <w:sz w:val="24"/>
          <w:szCs w:val="24"/>
        </w:rPr>
        <w:fldChar w:fldCharType="begin"/>
      </w:r>
      <w:r w:rsidR="00901929">
        <w:rPr>
          <w:rFonts w:ascii="Times New Roman" w:hAnsi="Times New Roman" w:cs="Times New Roman"/>
          <w:sz w:val="24"/>
          <w:szCs w:val="24"/>
        </w:rPr>
        <w:instrText xml:space="preserve"> REF _Ref240026750 \r \h </w:instrText>
      </w:r>
      <w:r w:rsidR="00901929">
        <w:rPr>
          <w:rFonts w:ascii="Times New Roman" w:hAnsi="Times New Roman" w:cs="Times New Roman"/>
          <w:sz w:val="24"/>
          <w:szCs w:val="24"/>
        </w:rPr>
      </w:r>
      <w:r w:rsidR="00901929">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901929">
        <w:rPr>
          <w:rFonts w:ascii="Times New Roman" w:hAnsi="Times New Roman" w:cs="Times New Roman"/>
          <w:sz w:val="24"/>
          <w:szCs w:val="24"/>
        </w:rPr>
        <w:fldChar w:fldCharType="end"/>
      </w:r>
      <w:r w:rsidR="00901929">
        <w:rPr>
          <w:rFonts w:ascii="Times New Roman" w:hAnsi="Times New Roman" w:cs="Times New Roman"/>
          <w:sz w:val="24"/>
          <w:szCs w:val="24"/>
        </w:rPr>
        <w:t xml:space="preserve"> </w:t>
      </w:r>
      <w:r w:rsidR="003B017A" w:rsidRPr="00E07004">
        <w:rPr>
          <w:rFonts w:ascii="Times New Roman" w:hAnsi="Times New Roman" w:cs="Times New Roman"/>
          <w:sz w:val="24"/>
          <w:szCs w:val="24"/>
        </w:rPr>
        <w:t xml:space="preserve">og </w:t>
      </w:r>
      <w:r w:rsidR="00901929">
        <w:rPr>
          <w:rFonts w:ascii="Times New Roman" w:hAnsi="Times New Roman" w:cs="Times New Roman"/>
          <w:sz w:val="24"/>
          <w:szCs w:val="24"/>
        </w:rPr>
        <w:fldChar w:fldCharType="begin"/>
      </w:r>
      <w:r w:rsidR="00901929">
        <w:rPr>
          <w:rFonts w:ascii="Times New Roman" w:hAnsi="Times New Roman" w:cs="Times New Roman"/>
          <w:sz w:val="24"/>
          <w:szCs w:val="24"/>
        </w:rPr>
        <w:instrText xml:space="preserve"> REF _Ref239151441 \r \h </w:instrText>
      </w:r>
      <w:r w:rsidR="00901929">
        <w:rPr>
          <w:rFonts w:ascii="Times New Roman" w:hAnsi="Times New Roman" w:cs="Times New Roman"/>
          <w:sz w:val="24"/>
          <w:szCs w:val="24"/>
        </w:rPr>
      </w:r>
      <w:r w:rsidR="00901929">
        <w:rPr>
          <w:rFonts w:ascii="Times New Roman" w:hAnsi="Times New Roman" w:cs="Times New Roman"/>
          <w:sz w:val="24"/>
          <w:szCs w:val="24"/>
        </w:rPr>
        <w:fldChar w:fldCharType="separate"/>
      </w:r>
      <w:r w:rsidR="008F29E5">
        <w:rPr>
          <w:rFonts w:ascii="Times New Roman" w:hAnsi="Times New Roman" w:cs="Times New Roman"/>
          <w:sz w:val="24"/>
          <w:szCs w:val="24"/>
        </w:rPr>
        <w:t>63</w:t>
      </w:r>
      <w:r w:rsidR="00901929">
        <w:rPr>
          <w:rFonts w:ascii="Times New Roman" w:hAnsi="Times New Roman" w:cs="Times New Roman"/>
          <w:sz w:val="24"/>
          <w:szCs w:val="24"/>
        </w:rPr>
        <w:fldChar w:fldCharType="end"/>
      </w:r>
      <w:r w:rsidR="00901929" w:rsidRPr="00A9036D">
        <w:rPr>
          <w:rFonts w:ascii="Times New Roman" w:hAnsi="Times New Roman" w:cs="Times New Roman"/>
          <w:sz w:val="24"/>
          <w:szCs w:val="24"/>
        </w:rPr>
        <w:t>-</w:t>
      </w:r>
      <w:r w:rsidR="00901929">
        <w:rPr>
          <w:rFonts w:ascii="Times New Roman" w:hAnsi="Times New Roman" w:cs="Times New Roman"/>
          <w:sz w:val="24"/>
          <w:szCs w:val="24"/>
        </w:rPr>
        <w:fldChar w:fldCharType="begin"/>
      </w:r>
      <w:r w:rsidR="00901929">
        <w:rPr>
          <w:rFonts w:ascii="Times New Roman" w:hAnsi="Times New Roman" w:cs="Times New Roman"/>
          <w:sz w:val="24"/>
          <w:szCs w:val="24"/>
        </w:rPr>
        <w:instrText xml:space="preserve"> REF _Ref232597333 \r \h </w:instrText>
      </w:r>
      <w:r w:rsidR="00901929">
        <w:rPr>
          <w:rFonts w:ascii="Times New Roman" w:hAnsi="Times New Roman" w:cs="Times New Roman"/>
          <w:sz w:val="24"/>
          <w:szCs w:val="24"/>
        </w:rPr>
      </w:r>
      <w:r w:rsidR="00901929">
        <w:rPr>
          <w:rFonts w:ascii="Times New Roman" w:hAnsi="Times New Roman" w:cs="Times New Roman"/>
          <w:sz w:val="24"/>
          <w:szCs w:val="24"/>
        </w:rPr>
        <w:fldChar w:fldCharType="separate"/>
      </w:r>
      <w:r w:rsidR="008F29E5">
        <w:rPr>
          <w:rFonts w:ascii="Times New Roman" w:hAnsi="Times New Roman" w:cs="Times New Roman"/>
          <w:sz w:val="24"/>
          <w:szCs w:val="24"/>
        </w:rPr>
        <w:t>67</w:t>
      </w:r>
      <w:r w:rsidR="00901929">
        <w:rPr>
          <w:rFonts w:ascii="Times New Roman" w:hAnsi="Times New Roman" w:cs="Times New Roman"/>
          <w:sz w:val="24"/>
          <w:szCs w:val="24"/>
        </w:rPr>
        <w:fldChar w:fldCharType="end"/>
      </w:r>
      <w:r w:rsidR="003B017A" w:rsidRPr="00E07004">
        <w:rPr>
          <w:rFonts w:ascii="Times New Roman" w:hAnsi="Times New Roman" w:cs="Times New Roman"/>
          <w:sz w:val="24"/>
          <w:szCs w:val="24"/>
        </w:rPr>
        <w:t xml:space="preserve">, jf. </w:t>
      </w:r>
      <w:r w:rsidR="00901929">
        <w:rPr>
          <w:rFonts w:ascii="Times New Roman" w:hAnsi="Times New Roman" w:cs="Times New Roman"/>
          <w:sz w:val="24"/>
          <w:szCs w:val="24"/>
        </w:rPr>
        <w:fldChar w:fldCharType="begin"/>
      </w:r>
      <w:r w:rsidR="00901929">
        <w:rPr>
          <w:rFonts w:ascii="Times New Roman" w:hAnsi="Times New Roman" w:cs="Times New Roman"/>
          <w:sz w:val="24"/>
          <w:szCs w:val="24"/>
        </w:rPr>
        <w:instrText xml:space="preserve"> REF _Ref232597084 \r \h </w:instrText>
      </w:r>
      <w:r w:rsidR="00901929">
        <w:rPr>
          <w:rFonts w:ascii="Times New Roman" w:hAnsi="Times New Roman" w:cs="Times New Roman"/>
          <w:sz w:val="24"/>
          <w:szCs w:val="24"/>
        </w:rPr>
      </w:r>
      <w:r w:rsidR="00901929">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00901929">
        <w:rPr>
          <w:rFonts w:ascii="Times New Roman" w:hAnsi="Times New Roman" w:cs="Times New Roman"/>
          <w:sz w:val="24"/>
          <w:szCs w:val="24"/>
        </w:rPr>
        <w:fldChar w:fldCharType="end"/>
      </w:r>
      <w:r w:rsidR="00901929">
        <w:rPr>
          <w:rFonts w:ascii="Times New Roman" w:hAnsi="Times New Roman" w:cs="Times New Roman"/>
          <w:sz w:val="24"/>
          <w:szCs w:val="24"/>
        </w:rPr>
        <w:t xml:space="preserve"> </w:t>
      </w:r>
      <w:r w:rsidR="003B017A" w:rsidRPr="00E07004">
        <w:rPr>
          <w:rFonts w:ascii="Times New Roman" w:hAnsi="Times New Roman" w:cs="Times New Roman"/>
          <w:sz w:val="24"/>
          <w:szCs w:val="24"/>
        </w:rPr>
        <w:t>i denne lov, jf. § 345, stk. 12, nr. 4, i lov om finansiel virksomhed,</w:t>
      </w:r>
      <w:r w:rsidR="003B017A" w:rsidRPr="00E07004" w:rsidDel="00BB5CB1">
        <w:rPr>
          <w:rFonts w:ascii="Times New Roman" w:hAnsi="Times New Roman" w:cs="Times New Roman"/>
          <w:sz w:val="24"/>
          <w:szCs w:val="24"/>
        </w:rPr>
        <w:t xml:space="preserve"> </w:t>
      </w:r>
      <w:r w:rsidRPr="00796736">
        <w:rPr>
          <w:rFonts w:ascii="Times New Roman" w:hAnsi="Times New Roman" w:cs="Times New Roman"/>
          <w:sz w:val="24"/>
          <w:szCs w:val="24"/>
        </w:rPr>
        <w:t>til virksomheder og personer, der ikke er under tilsyn og beslutninger om at overgive sager til politimæssig efterforskning for disse virksomheder.</w:t>
      </w:r>
    </w:p>
    <w:p w14:paraId="0E6E9F00" w14:textId="77777777" w:rsidR="00327FF0" w:rsidRPr="00796736" w:rsidRDefault="00327FF0" w:rsidP="00A802A5">
      <w:pPr>
        <w:spacing w:line="360" w:lineRule="auto"/>
        <w:rPr>
          <w:rFonts w:ascii="Times New Roman" w:hAnsi="Times New Roman" w:cs="Times New Roman"/>
          <w:sz w:val="24"/>
          <w:szCs w:val="24"/>
        </w:rPr>
      </w:pPr>
    </w:p>
    <w:p w14:paraId="44D66BE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Tilsvarende skal Finanstilsynet efter de foreslåede regler fremover orientere offentligheden om navnet på en virksomhed, der overtræder forbuddet mod at udøve finansiel virksomhed uden tilladelse.</w:t>
      </w:r>
    </w:p>
    <w:p w14:paraId="70F6AA39" w14:textId="77777777" w:rsidR="00327FF0" w:rsidRPr="00796736" w:rsidRDefault="00327FF0" w:rsidP="00A802A5">
      <w:pPr>
        <w:spacing w:line="360" w:lineRule="auto"/>
        <w:rPr>
          <w:rFonts w:ascii="Times New Roman" w:hAnsi="Times New Roman" w:cs="Times New Roman"/>
          <w:sz w:val="24"/>
          <w:szCs w:val="24"/>
        </w:rPr>
      </w:pPr>
    </w:p>
    <w:p w14:paraId="41ED5214"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bestemmelsen skal reaktioner offentliggøres. Reaktioner omfatter alle de tilsynsreaktioner, som Finanstilsynets bestyrelse giver, og som retter sig mod en part, herunder afgørelser, påbud, påtaler og risikooplysninger.</w:t>
      </w:r>
    </w:p>
    <w:p w14:paraId="4872AF65" w14:textId="77777777" w:rsidR="00327FF0" w:rsidRPr="00796736" w:rsidRDefault="00327FF0" w:rsidP="00A802A5">
      <w:pPr>
        <w:spacing w:line="360" w:lineRule="auto"/>
        <w:rPr>
          <w:rFonts w:ascii="Times New Roman" w:hAnsi="Times New Roman" w:cs="Times New Roman"/>
          <w:sz w:val="24"/>
          <w:szCs w:val="24"/>
        </w:rPr>
      </w:pPr>
    </w:p>
    <w:p w14:paraId="72BF7F45" w14:textId="290F710A"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oplister de tilfælde, hvor Finanstilsynet skal offentliggøre reaktioner m.v. på Finanstilsynets hjemmeside med angivelse af en persons eller virksomhedens navn, medmindre andet følger af lovforslagets</w:t>
      </w:r>
      <w:r w:rsidR="00CD3DE0">
        <w:rPr>
          <w:rFonts w:ascii="Times New Roman" w:hAnsi="Times New Roman" w:cs="Times New Roman"/>
          <w:sz w:val="24"/>
          <w:szCs w:val="24"/>
        </w:rPr>
        <w:t xml:space="preserve"> §</w:t>
      </w:r>
      <w:r w:rsidR="00CD3DE0">
        <w:rPr>
          <w:rFonts w:ascii="Times New Roman" w:hAnsi="Times New Roman" w:cs="Times New Roman"/>
          <w:sz w:val="24"/>
          <w:szCs w:val="24"/>
        </w:rPr>
        <w:fldChar w:fldCharType="begin"/>
      </w:r>
      <w:r w:rsidR="00CD3DE0">
        <w:rPr>
          <w:rFonts w:ascii="Times New Roman" w:hAnsi="Times New Roman" w:cs="Times New Roman"/>
          <w:sz w:val="24"/>
          <w:szCs w:val="24"/>
        </w:rPr>
        <w:instrText xml:space="preserve"> REF _Ref232597480 \r \h </w:instrText>
      </w:r>
      <w:r w:rsidR="00CD3DE0">
        <w:rPr>
          <w:rFonts w:ascii="Times New Roman" w:hAnsi="Times New Roman" w:cs="Times New Roman"/>
          <w:sz w:val="24"/>
          <w:szCs w:val="24"/>
        </w:rPr>
      </w:r>
      <w:r w:rsidR="00CD3DE0">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CD3DE0">
        <w:rPr>
          <w:rFonts w:ascii="Times New Roman" w:hAnsi="Times New Roman" w:cs="Times New Roman"/>
          <w:sz w:val="24"/>
          <w:szCs w:val="24"/>
        </w:rPr>
        <w:fldChar w:fldCharType="end"/>
      </w:r>
      <w:r w:rsidR="00CD3DE0">
        <w:rPr>
          <w:rFonts w:ascii="Times New Roman" w:hAnsi="Times New Roman" w:cs="Times New Roman"/>
          <w:sz w:val="24"/>
          <w:szCs w:val="24"/>
        </w:rPr>
        <w:t xml:space="preserve"> </w:t>
      </w:r>
      <w:r w:rsidR="00CD3DE0" w:rsidRPr="00A9036D">
        <w:rPr>
          <w:rFonts w:ascii="Times New Roman" w:hAnsi="Times New Roman" w:cs="Times New Roman"/>
          <w:sz w:val="24"/>
          <w:szCs w:val="24"/>
        </w:rPr>
        <w:t xml:space="preserve">og </w:t>
      </w:r>
      <w:r w:rsidR="00CD3DE0">
        <w:rPr>
          <w:rFonts w:ascii="Times New Roman" w:hAnsi="Times New Roman" w:cs="Times New Roman"/>
          <w:sz w:val="24"/>
          <w:szCs w:val="24"/>
        </w:rPr>
        <w:fldChar w:fldCharType="begin"/>
      </w:r>
      <w:r w:rsidR="00CD3DE0">
        <w:rPr>
          <w:rFonts w:ascii="Times New Roman" w:hAnsi="Times New Roman" w:cs="Times New Roman"/>
          <w:sz w:val="24"/>
          <w:szCs w:val="24"/>
        </w:rPr>
        <w:instrText xml:space="preserve"> REF _Ref232597505 \r \h </w:instrText>
      </w:r>
      <w:r w:rsidR="00CD3DE0">
        <w:rPr>
          <w:rFonts w:ascii="Times New Roman" w:hAnsi="Times New Roman" w:cs="Times New Roman"/>
          <w:sz w:val="24"/>
          <w:szCs w:val="24"/>
        </w:rPr>
      </w:r>
      <w:r w:rsidR="00CD3DE0">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CD3DE0">
        <w:rPr>
          <w:rFonts w:ascii="Times New Roman" w:hAnsi="Times New Roman" w:cs="Times New Roman"/>
          <w:sz w:val="24"/>
          <w:szCs w:val="24"/>
        </w:rPr>
        <w:fldChar w:fldCharType="end"/>
      </w:r>
      <w:r w:rsidR="00CD3DE0">
        <w:rPr>
          <w:rFonts w:ascii="Times New Roman" w:hAnsi="Times New Roman" w:cs="Times New Roman"/>
          <w:sz w:val="24"/>
          <w:szCs w:val="24"/>
        </w:rPr>
        <w:t>.</w:t>
      </w:r>
    </w:p>
    <w:p w14:paraId="37826225" w14:textId="77777777" w:rsidR="00327FF0" w:rsidRPr="00796736" w:rsidRDefault="00327FF0" w:rsidP="00A802A5">
      <w:pPr>
        <w:spacing w:line="360" w:lineRule="auto"/>
        <w:rPr>
          <w:rFonts w:ascii="Times New Roman" w:hAnsi="Times New Roman" w:cs="Times New Roman"/>
          <w:sz w:val="24"/>
          <w:szCs w:val="24"/>
        </w:rPr>
      </w:pPr>
    </w:p>
    <w:p w14:paraId="1FFBE475"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offentliggjorte tilsynsreaktion vil indeholde den eller de involverede personers eller virksomheders navn(e). Derimod vil alle fortrolige oplysninger om kundeforhold ikke blive offentliggjort. Dette gælder også fortrolige oplysninger om virksomhedens interne forhold af væsentlig betydning for virksomheden, f.eks. vil ikke-offentligt tilgængelige oplysninger om dens opbygning og indretning, dens økonomiske forhold og situation, dens kundemasse og dens samarbejdspartnere blive fjernet inden offentliggørelsen, medmindre oplysningerne er nødvendige for forståelsen af tilsynsreaktionen. Endelig vil der ikke ske offentliggørelse af fortrolige oplysninger modtaget fra udenlandske tilsynsmyndigheder samt oplysninger omfattet af bestemmelser i lov om offentlighed i forvaltningen om undtagelse af oplysninger om private forhold og drifts- eller forretningsforhold m.v.</w:t>
      </w:r>
    </w:p>
    <w:p w14:paraId="1D782D21" w14:textId="77777777" w:rsidR="00327FF0" w:rsidRPr="00796736" w:rsidRDefault="00327FF0" w:rsidP="00A802A5">
      <w:pPr>
        <w:spacing w:line="360" w:lineRule="auto"/>
        <w:rPr>
          <w:rFonts w:ascii="Times New Roman" w:hAnsi="Times New Roman" w:cs="Times New Roman"/>
          <w:sz w:val="24"/>
          <w:szCs w:val="24"/>
        </w:rPr>
      </w:pPr>
    </w:p>
    <w:p w14:paraId="26680F8D" w14:textId="07EDBD5D"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Offentliggørelse af en tilsynsreaktion indebærer ikke, at selve den underliggende sag med dertilhørende akter bliver offentlig tilgængelig. Sagen er stadig omfattet af Finanstilsynets tavshedspligt i henhold til lovforslagets</w:t>
      </w:r>
      <w:r w:rsidR="0067070C">
        <w:rPr>
          <w:rFonts w:ascii="Times New Roman" w:hAnsi="Times New Roman" w:cs="Times New Roman"/>
          <w:sz w:val="24"/>
          <w:szCs w:val="24"/>
        </w:rPr>
        <w:t xml:space="preserve"> </w:t>
      </w:r>
      <w:r w:rsidR="0067070C">
        <w:rPr>
          <w:rFonts w:ascii="Times New Roman" w:hAnsi="Times New Roman" w:cs="Times New Roman"/>
          <w:sz w:val="24"/>
          <w:szCs w:val="24"/>
        </w:rPr>
        <w:fldChar w:fldCharType="begin"/>
      </w:r>
      <w:r w:rsidR="0067070C">
        <w:rPr>
          <w:rFonts w:ascii="Times New Roman" w:hAnsi="Times New Roman" w:cs="Times New Roman"/>
          <w:sz w:val="24"/>
          <w:szCs w:val="24"/>
        </w:rPr>
        <w:instrText xml:space="preserve"> REF _Ref232597582 \r \h </w:instrText>
      </w:r>
      <w:r w:rsidR="0067070C">
        <w:rPr>
          <w:rFonts w:ascii="Times New Roman" w:hAnsi="Times New Roman" w:cs="Times New Roman"/>
          <w:sz w:val="24"/>
          <w:szCs w:val="24"/>
        </w:rPr>
      </w:r>
      <w:r w:rsidR="0067070C">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67070C">
        <w:rPr>
          <w:rFonts w:ascii="Times New Roman" w:hAnsi="Times New Roman" w:cs="Times New Roman"/>
          <w:sz w:val="24"/>
          <w:szCs w:val="24"/>
        </w:rPr>
        <w:fldChar w:fldCharType="end"/>
      </w:r>
      <w:r w:rsidRPr="00796736">
        <w:rPr>
          <w:rFonts w:ascii="Times New Roman" w:hAnsi="Times New Roman" w:cs="Times New Roman"/>
          <w:sz w:val="24"/>
          <w:szCs w:val="24"/>
        </w:rPr>
        <w:t>. En eventuel anmodning om aktindsigt, herunder aktindsigt i sagsakter og journal liste, vil derfor være omfattet af de almindelige regler herfor.</w:t>
      </w:r>
    </w:p>
    <w:p w14:paraId="01294F6C" w14:textId="77777777" w:rsidR="00327FF0" w:rsidRPr="00796736" w:rsidRDefault="00327FF0" w:rsidP="00A802A5">
      <w:pPr>
        <w:spacing w:line="360" w:lineRule="auto"/>
        <w:rPr>
          <w:rFonts w:ascii="Times New Roman" w:hAnsi="Times New Roman" w:cs="Times New Roman"/>
          <w:sz w:val="24"/>
          <w:szCs w:val="24"/>
        </w:rPr>
      </w:pPr>
    </w:p>
    <w:p w14:paraId="28D88261"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Hvis offentliggørelse med navn i en konkret sag ikke vil kunne ske, vil det fortsat være muligt for Finanstilsynet at offentliggøre afgørelsen i anonymiseret form. Det forudsætter dog, at man ikke ud fra beskrivelsen af sagens faktum med stor sandsynlighed kan udlede, hvilken person eller virksomhed tilsynsreaktionen vedrører.</w:t>
      </w:r>
    </w:p>
    <w:p w14:paraId="150E9A29" w14:textId="77777777" w:rsidR="00327FF0" w:rsidRPr="00796736" w:rsidRDefault="00327FF0" w:rsidP="00A802A5">
      <w:pPr>
        <w:spacing w:line="360" w:lineRule="auto"/>
        <w:rPr>
          <w:rFonts w:ascii="Times New Roman" w:hAnsi="Times New Roman" w:cs="Times New Roman"/>
          <w:sz w:val="24"/>
          <w:szCs w:val="24"/>
        </w:rPr>
      </w:pPr>
    </w:p>
    <w:p w14:paraId="6C3CCA7B" w14:textId="2F15FE3C"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yderligere vedrørende begrænsninger for Finanstilsynets offentliggørelse henvises til bemærkningerne til lovforslagets </w:t>
      </w:r>
      <w:r w:rsidR="00962ACA" w:rsidRPr="00796736">
        <w:rPr>
          <w:rFonts w:ascii="Times New Roman" w:hAnsi="Times New Roman" w:cs="Times New Roman"/>
          <w:sz w:val="24"/>
          <w:szCs w:val="24"/>
        </w:rPr>
        <w:fldChar w:fldCharType="begin"/>
      </w:r>
      <w:r w:rsidR="00962ACA" w:rsidRPr="00796736">
        <w:rPr>
          <w:rFonts w:ascii="Times New Roman" w:hAnsi="Times New Roman" w:cs="Times New Roman"/>
          <w:sz w:val="24"/>
          <w:szCs w:val="24"/>
        </w:rPr>
        <w:instrText xml:space="preserve"> REF _Ref232597480 \r \h </w:instrText>
      </w:r>
      <w:r w:rsidR="00F375BF" w:rsidRPr="00796736">
        <w:rPr>
          <w:rFonts w:ascii="Times New Roman" w:hAnsi="Times New Roman" w:cs="Times New Roman"/>
          <w:sz w:val="24"/>
          <w:szCs w:val="24"/>
        </w:rPr>
        <w:instrText xml:space="preserve"> \* MERGEFORMAT </w:instrText>
      </w:r>
      <w:r w:rsidR="00962ACA" w:rsidRPr="00796736">
        <w:rPr>
          <w:rFonts w:ascii="Times New Roman" w:hAnsi="Times New Roman" w:cs="Times New Roman"/>
          <w:sz w:val="24"/>
          <w:szCs w:val="24"/>
        </w:rPr>
      </w:r>
      <w:r w:rsidR="00962A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962A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00962ACA" w:rsidRPr="00796736">
        <w:rPr>
          <w:rFonts w:ascii="Times New Roman" w:hAnsi="Times New Roman" w:cs="Times New Roman"/>
          <w:sz w:val="24"/>
          <w:szCs w:val="24"/>
        </w:rPr>
        <w:fldChar w:fldCharType="begin"/>
      </w:r>
      <w:r w:rsidR="00962ACA" w:rsidRPr="00796736">
        <w:rPr>
          <w:rFonts w:ascii="Times New Roman"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962ACA" w:rsidRPr="00796736">
        <w:rPr>
          <w:rFonts w:ascii="Times New Roman" w:hAnsi="Times New Roman" w:cs="Times New Roman"/>
          <w:sz w:val="24"/>
          <w:szCs w:val="24"/>
        </w:rPr>
      </w:r>
      <w:r w:rsidR="00962A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73</w:t>
      </w:r>
      <w:r w:rsidR="00962A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7330BFFD" w14:textId="77777777" w:rsidR="00327FF0" w:rsidRPr="00796736" w:rsidRDefault="00327FF0" w:rsidP="00A802A5">
      <w:pPr>
        <w:spacing w:line="360" w:lineRule="auto"/>
        <w:rPr>
          <w:rFonts w:ascii="Times New Roman" w:hAnsi="Times New Roman" w:cs="Times New Roman"/>
          <w:sz w:val="24"/>
          <w:szCs w:val="24"/>
        </w:rPr>
      </w:pPr>
    </w:p>
    <w:p w14:paraId="32405F45" w14:textId="2A46F211" w:rsidR="00987B1C" w:rsidRPr="00A9036D" w:rsidRDefault="00987B1C" w:rsidP="00987B1C">
      <w:pPr>
        <w:spacing w:line="360" w:lineRule="auto"/>
        <w:rPr>
          <w:rFonts w:ascii="Times New Roman" w:hAnsi="Times New Roman" w:cs="Times New Roman"/>
          <w:sz w:val="24"/>
          <w:szCs w:val="24"/>
        </w:rPr>
      </w:pPr>
      <w:r w:rsidRPr="00A9036D">
        <w:rPr>
          <w:rFonts w:ascii="Times New Roman" w:hAnsi="Times New Roman" w:cs="Times New Roman"/>
          <w:sz w:val="24"/>
          <w:szCs w:val="24"/>
        </w:rPr>
        <w:t>Det foreslås i </w:t>
      </w:r>
      <w:r w:rsidRPr="00A9036D">
        <w:rPr>
          <w:rFonts w:ascii="Times New Roman" w:hAnsi="Times New Roman" w:cs="Times New Roman"/>
          <w:i/>
          <w:iCs/>
          <w:sz w:val="24"/>
          <w:szCs w:val="24"/>
        </w:rPr>
        <w:t>nr. 1,</w:t>
      </w:r>
      <w:r w:rsidRPr="00A9036D">
        <w:rPr>
          <w:rFonts w:ascii="Times New Roman" w:hAnsi="Times New Roman" w:cs="Times New Roman"/>
          <w:sz w:val="24"/>
          <w:szCs w:val="24"/>
        </w:rPr>
        <w:t xml:space="preserve"> at Finanstilsynet med angivelse af virksomhedens eller personens navn skal offentliggøre reaktioner givet efter </w:t>
      </w:r>
      <w:r w:rsidR="003E7F4A">
        <w:rPr>
          <w:rFonts w:ascii="Times New Roman" w:hAnsi="Times New Roman" w:cs="Times New Roman"/>
          <w:sz w:val="24"/>
          <w:szCs w:val="24"/>
        </w:rPr>
        <w:t>§</w:t>
      </w:r>
      <w:r w:rsidR="003E7F4A">
        <w:rPr>
          <w:rFonts w:ascii="Times New Roman" w:hAnsi="Times New Roman" w:cs="Times New Roman"/>
          <w:sz w:val="24"/>
          <w:szCs w:val="24"/>
        </w:rPr>
        <w:fldChar w:fldCharType="begin"/>
      </w:r>
      <w:r w:rsidR="003E7F4A">
        <w:rPr>
          <w:rFonts w:ascii="Times New Roman" w:hAnsi="Times New Roman" w:cs="Times New Roman"/>
          <w:sz w:val="24"/>
          <w:szCs w:val="24"/>
        </w:rPr>
        <w:instrText xml:space="preserve"> REF _Ref239151441 \r \h </w:instrText>
      </w:r>
      <w:r w:rsidR="003E7F4A">
        <w:rPr>
          <w:rFonts w:ascii="Times New Roman" w:hAnsi="Times New Roman" w:cs="Times New Roman"/>
          <w:sz w:val="24"/>
          <w:szCs w:val="24"/>
        </w:rPr>
      </w:r>
      <w:r w:rsidR="003E7F4A">
        <w:rPr>
          <w:rFonts w:ascii="Times New Roman" w:hAnsi="Times New Roman" w:cs="Times New Roman"/>
          <w:sz w:val="24"/>
          <w:szCs w:val="24"/>
        </w:rPr>
        <w:fldChar w:fldCharType="separate"/>
      </w:r>
      <w:r w:rsidR="008F29E5">
        <w:rPr>
          <w:rFonts w:ascii="Times New Roman" w:hAnsi="Times New Roman" w:cs="Times New Roman"/>
          <w:sz w:val="24"/>
          <w:szCs w:val="24"/>
        </w:rPr>
        <w:t>§ 63</w:t>
      </w:r>
      <w:r w:rsidR="003E7F4A">
        <w:rPr>
          <w:rFonts w:ascii="Times New Roman" w:hAnsi="Times New Roman" w:cs="Times New Roman"/>
          <w:sz w:val="24"/>
          <w:szCs w:val="24"/>
        </w:rPr>
        <w:fldChar w:fldCharType="end"/>
      </w:r>
      <w:r w:rsidR="003E7F4A" w:rsidRPr="00A9036D">
        <w:rPr>
          <w:rFonts w:ascii="Times New Roman" w:hAnsi="Times New Roman" w:cs="Times New Roman"/>
          <w:sz w:val="24"/>
          <w:szCs w:val="24"/>
        </w:rPr>
        <w:t>-</w:t>
      </w:r>
      <w:r w:rsidR="003E7F4A">
        <w:rPr>
          <w:rFonts w:ascii="Times New Roman" w:hAnsi="Times New Roman" w:cs="Times New Roman"/>
          <w:sz w:val="24"/>
          <w:szCs w:val="24"/>
        </w:rPr>
        <w:fldChar w:fldCharType="begin"/>
      </w:r>
      <w:r w:rsidR="003E7F4A">
        <w:rPr>
          <w:rFonts w:ascii="Times New Roman" w:hAnsi="Times New Roman" w:cs="Times New Roman"/>
          <w:sz w:val="24"/>
          <w:szCs w:val="24"/>
        </w:rPr>
        <w:instrText xml:space="preserve"> REF _Ref232597333 \r \h </w:instrText>
      </w:r>
      <w:r w:rsidR="003E7F4A">
        <w:rPr>
          <w:rFonts w:ascii="Times New Roman" w:hAnsi="Times New Roman" w:cs="Times New Roman"/>
          <w:sz w:val="24"/>
          <w:szCs w:val="24"/>
        </w:rPr>
      </w:r>
      <w:r w:rsidR="003E7F4A">
        <w:rPr>
          <w:rFonts w:ascii="Times New Roman" w:hAnsi="Times New Roman" w:cs="Times New Roman"/>
          <w:sz w:val="24"/>
          <w:szCs w:val="24"/>
        </w:rPr>
        <w:fldChar w:fldCharType="separate"/>
      </w:r>
      <w:r w:rsidR="008F29E5">
        <w:rPr>
          <w:rFonts w:ascii="Times New Roman" w:hAnsi="Times New Roman" w:cs="Times New Roman"/>
          <w:sz w:val="24"/>
          <w:szCs w:val="24"/>
        </w:rPr>
        <w:t>67</w:t>
      </w:r>
      <w:r w:rsidR="003E7F4A">
        <w:rPr>
          <w:rFonts w:ascii="Times New Roman" w:hAnsi="Times New Roman" w:cs="Times New Roman"/>
          <w:sz w:val="24"/>
          <w:szCs w:val="24"/>
        </w:rPr>
        <w:fldChar w:fldCharType="end"/>
      </w:r>
      <w:r w:rsidRPr="00A9036D">
        <w:rPr>
          <w:rFonts w:ascii="Times New Roman" w:hAnsi="Times New Roman" w:cs="Times New Roman"/>
          <w:sz w:val="24"/>
          <w:szCs w:val="24"/>
        </w:rPr>
        <w:t>, jf. §</w:t>
      </w:r>
      <w:r w:rsidR="00B9227F">
        <w:rPr>
          <w:rFonts w:ascii="Times New Roman" w:hAnsi="Times New Roman" w:cs="Times New Roman"/>
          <w:sz w:val="24"/>
          <w:szCs w:val="24"/>
        </w:rPr>
        <w:fldChar w:fldCharType="begin"/>
      </w:r>
      <w:r w:rsidR="00B9227F">
        <w:rPr>
          <w:rFonts w:ascii="Times New Roman" w:hAnsi="Times New Roman" w:cs="Times New Roman"/>
          <w:sz w:val="24"/>
          <w:szCs w:val="24"/>
        </w:rPr>
        <w:instrText xml:space="preserve"> REF _Ref240026750 \r \h </w:instrText>
      </w:r>
      <w:r w:rsidR="00B9227F">
        <w:rPr>
          <w:rFonts w:ascii="Times New Roman" w:hAnsi="Times New Roman" w:cs="Times New Roman"/>
          <w:sz w:val="24"/>
          <w:szCs w:val="24"/>
        </w:rPr>
      </w:r>
      <w:r w:rsidR="00B9227F">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B9227F">
        <w:rPr>
          <w:rFonts w:ascii="Times New Roman" w:hAnsi="Times New Roman" w:cs="Times New Roman"/>
          <w:sz w:val="24"/>
          <w:szCs w:val="24"/>
        </w:rPr>
        <w:fldChar w:fldCharType="end"/>
      </w:r>
      <w:r w:rsidR="00B9227F" w:rsidRPr="00A9036D">
        <w:rPr>
          <w:rFonts w:ascii="Times New Roman" w:hAnsi="Times New Roman" w:cs="Times New Roman"/>
          <w:sz w:val="24"/>
          <w:szCs w:val="24"/>
        </w:rPr>
        <w:t>-</w:t>
      </w:r>
      <w:r w:rsidR="00B9227F">
        <w:rPr>
          <w:rFonts w:ascii="Times New Roman" w:hAnsi="Times New Roman" w:cs="Times New Roman"/>
          <w:sz w:val="24"/>
          <w:szCs w:val="24"/>
        </w:rPr>
        <w:fldChar w:fldCharType="begin"/>
      </w:r>
      <w:r w:rsidR="00B9227F">
        <w:rPr>
          <w:rFonts w:ascii="Times New Roman" w:hAnsi="Times New Roman" w:cs="Times New Roman"/>
          <w:sz w:val="24"/>
          <w:szCs w:val="24"/>
        </w:rPr>
        <w:instrText xml:space="preserve"> REF _Ref232597084 \r \h </w:instrText>
      </w:r>
      <w:r w:rsidR="00B9227F">
        <w:rPr>
          <w:rFonts w:ascii="Times New Roman" w:hAnsi="Times New Roman" w:cs="Times New Roman"/>
          <w:sz w:val="24"/>
          <w:szCs w:val="24"/>
        </w:rPr>
      </w:r>
      <w:r w:rsidR="00B9227F">
        <w:rPr>
          <w:rFonts w:ascii="Times New Roman" w:hAnsi="Times New Roman" w:cs="Times New Roman"/>
          <w:sz w:val="24"/>
          <w:szCs w:val="24"/>
        </w:rPr>
        <w:fldChar w:fldCharType="separate"/>
      </w:r>
      <w:r w:rsidR="008F29E5">
        <w:rPr>
          <w:rFonts w:ascii="Times New Roman" w:hAnsi="Times New Roman" w:cs="Times New Roman"/>
          <w:sz w:val="24"/>
          <w:szCs w:val="24"/>
        </w:rPr>
        <w:t>56</w:t>
      </w:r>
      <w:r w:rsidR="00B9227F">
        <w:rPr>
          <w:rFonts w:ascii="Times New Roman" w:hAnsi="Times New Roman" w:cs="Times New Roman"/>
          <w:sz w:val="24"/>
          <w:szCs w:val="24"/>
        </w:rPr>
        <w:fldChar w:fldCharType="end"/>
      </w:r>
      <w:r w:rsidR="00B9227F">
        <w:rPr>
          <w:rFonts w:ascii="Times New Roman" w:hAnsi="Times New Roman" w:cs="Times New Roman"/>
          <w:sz w:val="24"/>
          <w:szCs w:val="24"/>
        </w:rPr>
        <w:t xml:space="preserve"> </w:t>
      </w:r>
      <w:r w:rsidRPr="00A9036D">
        <w:rPr>
          <w:rFonts w:ascii="Times New Roman" w:hAnsi="Times New Roman" w:cs="Times New Roman"/>
          <w:sz w:val="24"/>
          <w:szCs w:val="24"/>
        </w:rPr>
        <w:t>i denne lov, jf. § 345, stk. 12, nr. 4, i lov om finansiel virksomhed, eller af Finanstilsynet efter delegation fra Finanstilsynets bestyrelse til en virksomhed eller person under tilsyn.</w:t>
      </w:r>
    </w:p>
    <w:p w14:paraId="76B84FC4" w14:textId="77777777" w:rsidR="00327FF0" w:rsidRPr="00796736" w:rsidRDefault="00327FF0" w:rsidP="00A802A5">
      <w:pPr>
        <w:spacing w:line="360" w:lineRule="auto"/>
        <w:rPr>
          <w:rFonts w:ascii="Times New Roman" w:hAnsi="Times New Roman" w:cs="Times New Roman"/>
          <w:sz w:val="24"/>
          <w:szCs w:val="24"/>
        </w:rPr>
      </w:pPr>
    </w:p>
    <w:p w14:paraId="6AE1A7C7" w14:textId="75644431" w:rsidR="00C300C7" w:rsidRPr="00A9036D" w:rsidRDefault="00C300C7" w:rsidP="00C300C7">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Det foreslås i </w:t>
      </w:r>
      <w:r w:rsidRPr="00A9036D">
        <w:rPr>
          <w:rFonts w:ascii="Times New Roman" w:hAnsi="Times New Roman" w:cs="Times New Roman"/>
          <w:i/>
          <w:iCs/>
          <w:sz w:val="24"/>
          <w:szCs w:val="24"/>
        </w:rPr>
        <w:t>nr. 2</w:t>
      </w:r>
      <w:r w:rsidRPr="00A9036D">
        <w:rPr>
          <w:rFonts w:ascii="Times New Roman" w:hAnsi="Times New Roman" w:cs="Times New Roman"/>
          <w:sz w:val="24"/>
          <w:szCs w:val="24"/>
        </w:rPr>
        <w:t xml:space="preserve">, at Finanstilsynet med angivelse af virksomhedens eller personens navn skal offentliggøre reaktioner givet efter </w:t>
      </w: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_Ref239151441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63</w:t>
      </w:r>
      <w:r>
        <w:rPr>
          <w:rFonts w:ascii="Times New Roman" w:hAnsi="Times New Roman" w:cs="Times New Roman"/>
          <w:sz w:val="24"/>
          <w:szCs w:val="24"/>
        </w:rPr>
        <w:fldChar w:fldCharType="end"/>
      </w:r>
      <w:r w:rsidRPr="00A9036D">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_Ref232597333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67</w:t>
      </w:r>
      <w:r>
        <w:rPr>
          <w:rFonts w:ascii="Times New Roman" w:hAnsi="Times New Roman" w:cs="Times New Roman"/>
          <w:sz w:val="24"/>
          <w:szCs w:val="24"/>
        </w:rPr>
        <w:fldChar w:fldCharType="end"/>
      </w:r>
      <w:r w:rsidRPr="00A9036D">
        <w:rPr>
          <w:rFonts w:ascii="Times New Roman" w:hAnsi="Times New Roman" w:cs="Times New Roman"/>
          <w:sz w:val="24"/>
          <w:szCs w:val="24"/>
        </w:rPr>
        <w:t>, jf.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_Ref240026750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54</w:t>
      </w:r>
      <w:r>
        <w:rPr>
          <w:rFonts w:ascii="Times New Roman" w:hAnsi="Times New Roman" w:cs="Times New Roman"/>
          <w:sz w:val="24"/>
          <w:szCs w:val="24"/>
        </w:rPr>
        <w:fldChar w:fldCharType="end"/>
      </w:r>
      <w:r w:rsidRPr="00A9036D">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_Ref232597084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56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A9036D">
        <w:rPr>
          <w:rFonts w:ascii="Times New Roman" w:hAnsi="Times New Roman" w:cs="Times New Roman"/>
          <w:sz w:val="24"/>
          <w:szCs w:val="24"/>
        </w:rPr>
        <w:t>i loven, jf. § 345, stk. 12, nr. 4, i lov om finansiel virksomhed, eller af Finanstilsynet efter delegation fra Finanstilsynets bestyrelse til en virksomhed eller person, der ikke er under tilsyn.</w:t>
      </w:r>
    </w:p>
    <w:p w14:paraId="7E590974" w14:textId="77777777" w:rsidR="00327FF0" w:rsidRPr="00796736" w:rsidRDefault="00327FF0" w:rsidP="00A802A5">
      <w:pPr>
        <w:spacing w:line="360" w:lineRule="auto"/>
        <w:rPr>
          <w:rFonts w:ascii="Times New Roman" w:hAnsi="Times New Roman" w:cs="Times New Roman"/>
          <w:sz w:val="24"/>
          <w:szCs w:val="24"/>
        </w:rPr>
      </w:pPr>
    </w:p>
    <w:p w14:paraId="38CC9762"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345, stk. 12, nr. 4, i lov finansiel virksomhed træffer Finanstilsynets bestyrelse beslutning om reaktioner i sager af principiel karakter og i sager, der har videregående betydelige følger.</w:t>
      </w:r>
    </w:p>
    <w:p w14:paraId="1BD86857" w14:textId="77777777" w:rsidR="00327FF0" w:rsidRPr="00796736" w:rsidRDefault="00327FF0" w:rsidP="00A802A5">
      <w:pPr>
        <w:spacing w:line="360" w:lineRule="auto"/>
        <w:rPr>
          <w:rFonts w:ascii="Times New Roman" w:hAnsi="Times New Roman" w:cs="Times New Roman"/>
          <w:sz w:val="24"/>
          <w:szCs w:val="24"/>
        </w:rPr>
      </w:pPr>
    </w:p>
    <w:p w14:paraId="58278DFF" w14:textId="620CEF86"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forbindelse med Finanstilsynets bestyrelses behandling af sager træffer bestyrelsen også beslutning om offentliggørelse. Udkast til bestyrelsens tilsynsreaktion vil derfor indeholde en indstilling vedrørende offentliggørelse. Hvis en eller flere af undtagelserne til offentliggørelsespligten gør sig gældende, vil dette således fremgå af udkastet til afgørelse. Undtagelserne til offentliggørelsespligten fremgår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_Ref232597480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w:t>
      </w:r>
      <w:r w:rsidR="00962ACA" w:rsidRPr="00796736">
        <w:rPr>
          <w:rFonts w:ascii="Times New Roman" w:hAnsi="Times New Roman" w:cs="Times New Roman"/>
          <w:sz w:val="24"/>
          <w:szCs w:val="24"/>
        </w:rPr>
        <w:t xml:space="preserve"> </w:t>
      </w:r>
      <w:r w:rsidR="00962ACA" w:rsidRPr="00796736">
        <w:rPr>
          <w:rFonts w:ascii="Times New Roman" w:hAnsi="Times New Roman" w:cs="Times New Roman"/>
          <w:sz w:val="24"/>
          <w:szCs w:val="24"/>
        </w:rPr>
        <w:fldChar w:fldCharType="begin"/>
      </w:r>
      <w:r w:rsidR="00962ACA" w:rsidRPr="00796736">
        <w:rPr>
          <w:rFonts w:ascii="Times New Roman"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962ACA" w:rsidRPr="00796736">
        <w:rPr>
          <w:rFonts w:ascii="Times New Roman" w:hAnsi="Times New Roman" w:cs="Times New Roman"/>
          <w:sz w:val="24"/>
          <w:szCs w:val="24"/>
        </w:rPr>
      </w:r>
      <w:r w:rsidR="00962A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962A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Indstilles det, at tilsynsreaktionen offentliggøres, vil et udkast til pressemeddelelse skulle vedlægges udkastet til tilsynsreaktionen. Beslutningen om offentliggørelse er endelig og kan således ikke indbringes for anden administrativ myndighed.</w:t>
      </w:r>
    </w:p>
    <w:p w14:paraId="007F58EA" w14:textId="77777777" w:rsidR="00327FF0" w:rsidRPr="00796736" w:rsidRDefault="00327FF0" w:rsidP="00A802A5">
      <w:pPr>
        <w:spacing w:line="360" w:lineRule="auto"/>
        <w:rPr>
          <w:rFonts w:ascii="Times New Roman" w:hAnsi="Times New Roman" w:cs="Times New Roman"/>
          <w:sz w:val="24"/>
          <w:szCs w:val="24"/>
        </w:rPr>
      </w:pPr>
    </w:p>
    <w:p w14:paraId="3082C45A"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Finanstilsynets bestyrelse kan blive mødt med krav om erstatning, jf. de almindelige regler om offentlige myndigheders erstatningspligt. Dette vil kunne ske, såfremt bestyrelsen træffer beslutning om offentliggørelse, men hvor en domstol efterfølgende vurderer, at der ikke skulle have været sket offentliggørelse, og at Finanstilsynet som følge af dette kan ifalde et erstatningsansvar. Udbetaling af en erstatning kræver dog blandt andet, at virksomheden kan dokumentere, at den har lidt et økonomisk tab, der kan henføres direkte til den fejlagtige offentliggørelse.</w:t>
      </w:r>
    </w:p>
    <w:p w14:paraId="23B38525" w14:textId="77777777" w:rsidR="00327FF0" w:rsidRPr="00796736" w:rsidRDefault="00327FF0" w:rsidP="00A802A5">
      <w:pPr>
        <w:spacing w:line="360" w:lineRule="auto"/>
        <w:rPr>
          <w:rFonts w:ascii="Times New Roman" w:hAnsi="Times New Roman" w:cs="Times New Roman"/>
          <w:sz w:val="24"/>
          <w:szCs w:val="24"/>
        </w:rPr>
      </w:pPr>
    </w:p>
    <w:p w14:paraId="39079041"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afgøre eller træffe beslutning i en sag uden at forelægge denne for bestyrelsen, hvis sagen er af uopsættelig karakter, og hvis øjemedet ellers ville forspildes, jf. forretningsordenen for Finanstilsynets bestyrelse. Sådanne tilsynsreaktioner skal offentliggøres. Baggrunden herfor er, at afgørelsen reelt skulle have været truffet af Finanstilsynets bestyrelse, men at de tidsmæssige rammer ikke har muliggjort dette.</w:t>
      </w:r>
    </w:p>
    <w:p w14:paraId="7235EB75" w14:textId="77777777" w:rsidR="00327FF0" w:rsidRPr="00796736" w:rsidRDefault="00327FF0" w:rsidP="00A802A5">
      <w:pPr>
        <w:spacing w:line="360" w:lineRule="auto"/>
        <w:rPr>
          <w:rFonts w:ascii="Times New Roman" w:hAnsi="Times New Roman" w:cs="Times New Roman"/>
          <w:sz w:val="24"/>
          <w:szCs w:val="24"/>
        </w:rPr>
      </w:pPr>
    </w:p>
    <w:p w14:paraId="1996E7EF"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endvidere af bestemmelserne, at de også omfatter reaktioner givet efter delegation fra Finanstilsynets bestyrelse. Finanstilsynet vil ved behandlingen af disse sager følge samme praksis som Finanstilsynets bestyrelse gør i tilsvarende sager, herunder også i forhold til eventuel høring af parten og den relevante politimyndighed. Derudover gælder i øvrigt reglerne om blandt andet erstatningspligt, anonymisering og aktindsigt i de pågældende sager, som beskrevet i bemærkningerne ovenfor.</w:t>
      </w:r>
    </w:p>
    <w:p w14:paraId="4D4C7C30" w14:textId="77777777" w:rsidR="00327FF0" w:rsidRPr="00796736" w:rsidRDefault="00327FF0" w:rsidP="00A802A5">
      <w:pPr>
        <w:spacing w:line="360" w:lineRule="auto"/>
        <w:rPr>
          <w:rFonts w:ascii="Times New Roman" w:hAnsi="Times New Roman" w:cs="Times New Roman"/>
          <w:sz w:val="24"/>
          <w:szCs w:val="24"/>
        </w:rPr>
      </w:pPr>
    </w:p>
    <w:p w14:paraId="0A45186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nr. 2 skal medvirke til at sikre, at Finanstilsynets bestyrelse eller Finanstilsynet efter delegation fra bestyrelsen kan offentliggøre reaktioner givet til en virksomhed eller person, der ikke er under tilsyn.</w:t>
      </w:r>
    </w:p>
    <w:p w14:paraId="17C5EE87" w14:textId="77777777" w:rsidR="00327FF0" w:rsidRPr="00796736" w:rsidRDefault="00327FF0" w:rsidP="00A802A5">
      <w:pPr>
        <w:spacing w:line="360" w:lineRule="auto"/>
        <w:rPr>
          <w:rFonts w:ascii="Times New Roman" w:hAnsi="Times New Roman" w:cs="Times New Roman"/>
          <w:sz w:val="24"/>
          <w:szCs w:val="24"/>
        </w:rPr>
      </w:pPr>
    </w:p>
    <w:p w14:paraId="1F5C72FB"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virksomhed eller person, der ikke er under tilsyn, forstås virksomheder og personer, der udøver virksomhed, der kræver en tilladelse eller registrering, men hvor denne ikke haves.</w:t>
      </w:r>
    </w:p>
    <w:p w14:paraId="33AA9155" w14:textId="77777777" w:rsidR="00327FF0" w:rsidRPr="00796736" w:rsidRDefault="00327FF0" w:rsidP="00A802A5">
      <w:pPr>
        <w:spacing w:line="360" w:lineRule="auto"/>
        <w:rPr>
          <w:rFonts w:ascii="Times New Roman" w:hAnsi="Times New Roman" w:cs="Times New Roman"/>
          <w:sz w:val="24"/>
          <w:szCs w:val="24"/>
        </w:rPr>
      </w:pPr>
    </w:p>
    <w:p w14:paraId="057A0238" w14:textId="77777777" w:rsidR="009D4DDF" w:rsidRPr="00A9036D" w:rsidRDefault="009D4DDF" w:rsidP="009D4DDF">
      <w:pPr>
        <w:spacing w:line="360" w:lineRule="auto"/>
        <w:rPr>
          <w:rFonts w:ascii="Times New Roman" w:hAnsi="Times New Roman" w:cs="Times New Roman"/>
          <w:sz w:val="24"/>
          <w:szCs w:val="24"/>
        </w:rPr>
      </w:pPr>
      <w:r w:rsidRPr="00A9036D">
        <w:rPr>
          <w:rFonts w:ascii="Times New Roman" w:hAnsi="Times New Roman" w:cs="Times New Roman"/>
          <w:sz w:val="24"/>
          <w:szCs w:val="24"/>
        </w:rPr>
        <w:t>Det foreslås i </w:t>
      </w:r>
      <w:r w:rsidRPr="00A9036D">
        <w:rPr>
          <w:rFonts w:ascii="Times New Roman" w:hAnsi="Times New Roman" w:cs="Times New Roman"/>
          <w:i/>
          <w:iCs/>
          <w:sz w:val="24"/>
          <w:szCs w:val="24"/>
        </w:rPr>
        <w:t>nr. 3,</w:t>
      </w:r>
      <w:r w:rsidRPr="00A9036D">
        <w:rPr>
          <w:rFonts w:ascii="Times New Roman" w:hAnsi="Times New Roman" w:cs="Times New Roman"/>
          <w:sz w:val="24"/>
          <w:szCs w:val="24"/>
        </w:rPr>
        <w:t xml:space="preserve"> at Finanstilsynet med angivelse af virksomhedens eller personens navn på sin hjemmeside skal offentliggøre beslutninger om at overgive sager til politimæssig efterforskning og sager afgjort med vedtagelse af administrativt bødeforelæg med angivelse af bødens størrelse. </w:t>
      </w:r>
    </w:p>
    <w:p w14:paraId="6C352113" w14:textId="77777777" w:rsidR="00327FF0" w:rsidRPr="00796736" w:rsidRDefault="00327FF0" w:rsidP="00A802A5">
      <w:pPr>
        <w:spacing w:line="360" w:lineRule="auto"/>
        <w:rPr>
          <w:rFonts w:ascii="Times New Roman" w:hAnsi="Times New Roman" w:cs="Times New Roman"/>
          <w:sz w:val="24"/>
          <w:szCs w:val="24"/>
        </w:rPr>
      </w:pPr>
    </w:p>
    <w:p w14:paraId="4D42C70B"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regulerer offentliggørelse af overgivelse af sager til politimæssig efterforskning vedrørende såvel virksomheder, der er og ikke er under tilsyn. Bestemmelsen regulerer beslutninger om at overgive sager til politimæssig efterforskning truffet af Finanstilsynet uden sagen har været behandlet af Finanstilsynets bestyrelse, beslutninger truffet af Finanstilsynets bestyrelse, jf. § 345, stk. 12, nr. 6, i lov om finansiel virksomhed. eller beslutninger truffet af Finanstilsynet efter delegation fra Finanstilsynets bestyrelse. </w:t>
      </w:r>
    </w:p>
    <w:p w14:paraId="15DAD5A1" w14:textId="77777777" w:rsidR="00327FF0" w:rsidRPr="00796736" w:rsidRDefault="00327FF0" w:rsidP="00A802A5">
      <w:pPr>
        <w:spacing w:line="360" w:lineRule="auto"/>
        <w:rPr>
          <w:rFonts w:ascii="Times New Roman" w:hAnsi="Times New Roman" w:cs="Times New Roman"/>
          <w:sz w:val="24"/>
          <w:szCs w:val="24"/>
        </w:rPr>
      </w:pPr>
    </w:p>
    <w:p w14:paraId="074232CB" w14:textId="321EB456"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en beslutning om at oversende en sag til politimæssig efterforskning er det kun Finanstilsynet, som forpligtes til at offentliggøre en sådan beslutning på sin hjemmeside. Offentliggørelsen skal som udgangspunkt ske med navns nævnelse, hvis beslutningen vedrører en virksomhed. Offentliggørelse der omfatter en persons navn, kan alene ske ved alvorlige, gentagne eller systematiske overtrædelser, jf. den foreslåede</w:t>
      </w:r>
      <w:r w:rsidR="00F9206A">
        <w:rPr>
          <w:rFonts w:ascii="Times New Roman" w:hAnsi="Times New Roman" w:cs="Times New Roman"/>
          <w:sz w:val="24"/>
          <w:szCs w:val="24"/>
        </w:rPr>
        <w:t xml:space="preserve"> </w:t>
      </w:r>
      <w:r w:rsidR="00F9206A">
        <w:rPr>
          <w:rFonts w:ascii="Times New Roman" w:hAnsi="Times New Roman" w:cs="Times New Roman"/>
          <w:sz w:val="24"/>
          <w:szCs w:val="24"/>
        </w:rPr>
        <w:fldChar w:fldCharType="begin"/>
      </w:r>
      <w:r w:rsidR="00F9206A">
        <w:rPr>
          <w:rFonts w:ascii="Times New Roman" w:hAnsi="Times New Roman" w:cs="Times New Roman"/>
          <w:sz w:val="24"/>
          <w:szCs w:val="24"/>
        </w:rPr>
        <w:instrText xml:space="preserve"> REF _Ref232597480 \r \h </w:instrText>
      </w:r>
      <w:r w:rsidR="00F9206A">
        <w:rPr>
          <w:rFonts w:ascii="Times New Roman" w:hAnsi="Times New Roman" w:cs="Times New Roman"/>
          <w:sz w:val="24"/>
          <w:szCs w:val="24"/>
        </w:rPr>
      </w:r>
      <w:r w:rsidR="00F9206A">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F9206A">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3.  </w:t>
      </w:r>
    </w:p>
    <w:p w14:paraId="11A35D28" w14:textId="77777777" w:rsidR="00327FF0" w:rsidRPr="00796736" w:rsidRDefault="00327FF0" w:rsidP="00A802A5">
      <w:pPr>
        <w:spacing w:line="360" w:lineRule="auto"/>
        <w:rPr>
          <w:rFonts w:ascii="Times New Roman" w:hAnsi="Times New Roman" w:cs="Times New Roman"/>
          <w:sz w:val="24"/>
          <w:szCs w:val="24"/>
        </w:rPr>
      </w:pPr>
    </w:p>
    <w:p w14:paraId="43397EFA"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Oversendelse af sager til politimæssig efterforskning er en processuel beslutning, som ikke kan påklages. Det forudsættes, at offentliggørelse af en beslutning om at oversende en sag til politimæssig efterforskning alene sker efter høring af den relevante politimyndighed. Det kan aftales med anklagemyndigheden, at visse sagskategorier kan offentliggøres uden forudgående høring.</w:t>
      </w:r>
    </w:p>
    <w:p w14:paraId="0FC9268C" w14:textId="77777777" w:rsidR="00327FF0" w:rsidRPr="00796736" w:rsidRDefault="00327FF0" w:rsidP="00A802A5">
      <w:pPr>
        <w:spacing w:line="360" w:lineRule="auto"/>
        <w:rPr>
          <w:rFonts w:ascii="Times New Roman" w:hAnsi="Times New Roman" w:cs="Times New Roman"/>
          <w:sz w:val="24"/>
          <w:szCs w:val="24"/>
        </w:rPr>
      </w:pPr>
    </w:p>
    <w:p w14:paraId="32D887A7" w14:textId="38723E86"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forbindelse med Finanstilsynets bestyrelses behandling af sager træffer bestyrelsen også beslutning om offentliggørelse. Udkast til bestyrelsens reaktion vil derfor indeholde en indstilling vedrørende offentliggørelse. Hvis en eller flere af undtagelserne til offentliggørelsespligten gør sig gældende, vil dette således fremgå af udkastet til afgørelse. Undtagelserne til offentliggørelsespligten fremgår af lovforslagets §</w:t>
      </w:r>
      <w:r w:rsidR="00962ACA" w:rsidRPr="00796736">
        <w:rPr>
          <w:rFonts w:ascii="Times New Roman" w:hAnsi="Times New Roman" w:cs="Times New Roman"/>
          <w:sz w:val="24"/>
          <w:szCs w:val="24"/>
        </w:rPr>
        <w:fldChar w:fldCharType="begin"/>
      </w:r>
      <w:r w:rsidR="00962ACA" w:rsidRPr="00796736">
        <w:rPr>
          <w:rFonts w:ascii="Times New Roman" w:hAnsi="Times New Roman" w:cs="Times New Roman"/>
          <w:sz w:val="24"/>
          <w:szCs w:val="24"/>
        </w:rPr>
        <w:instrText xml:space="preserve"> REF _Ref232597480 \r \h </w:instrText>
      </w:r>
      <w:r w:rsidR="00F375BF" w:rsidRPr="00796736">
        <w:rPr>
          <w:rFonts w:ascii="Times New Roman" w:hAnsi="Times New Roman" w:cs="Times New Roman"/>
          <w:sz w:val="24"/>
          <w:szCs w:val="24"/>
        </w:rPr>
        <w:instrText xml:space="preserve"> \* MERGEFORMAT </w:instrText>
      </w:r>
      <w:r w:rsidR="00962ACA" w:rsidRPr="00796736">
        <w:rPr>
          <w:rFonts w:ascii="Times New Roman" w:hAnsi="Times New Roman" w:cs="Times New Roman"/>
          <w:sz w:val="24"/>
          <w:szCs w:val="24"/>
        </w:rPr>
      </w:r>
      <w:r w:rsidR="00962A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962A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w:t>
      </w:r>
      <w:r w:rsidR="00962ACA" w:rsidRPr="00796736">
        <w:rPr>
          <w:rFonts w:ascii="Times New Roman" w:hAnsi="Times New Roman" w:cs="Times New Roman"/>
          <w:sz w:val="24"/>
          <w:szCs w:val="24"/>
        </w:rPr>
        <w:t xml:space="preserve"> </w:t>
      </w:r>
      <w:r w:rsidR="00962ACA" w:rsidRPr="00796736">
        <w:rPr>
          <w:rFonts w:ascii="Times New Roman" w:hAnsi="Times New Roman" w:cs="Times New Roman"/>
          <w:sz w:val="24"/>
          <w:szCs w:val="24"/>
        </w:rPr>
        <w:fldChar w:fldCharType="begin"/>
      </w:r>
      <w:r w:rsidR="00962ACA" w:rsidRPr="00796736">
        <w:rPr>
          <w:rFonts w:ascii="Times New Roman"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962ACA" w:rsidRPr="00796736">
        <w:rPr>
          <w:rFonts w:ascii="Times New Roman" w:hAnsi="Times New Roman" w:cs="Times New Roman"/>
          <w:sz w:val="24"/>
          <w:szCs w:val="24"/>
        </w:rPr>
      </w:r>
      <w:r w:rsidR="00962A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962A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Indstilles det, at tilsynsreaktionen offentliggøres, vil et udkast til pressemeddelelse skulle vedlægges udkastet til tilsynsreaktionen. Beslutningen om offentliggørelse er endelig og kan således ikke indbringes for anden administrativ myndighed.</w:t>
      </w:r>
    </w:p>
    <w:p w14:paraId="37D8CD63" w14:textId="77777777" w:rsidR="00327FF0" w:rsidRPr="00796736" w:rsidRDefault="00327FF0" w:rsidP="00A802A5">
      <w:pPr>
        <w:spacing w:line="360" w:lineRule="auto"/>
        <w:rPr>
          <w:rFonts w:ascii="Times New Roman" w:hAnsi="Times New Roman" w:cs="Times New Roman"/>
          <w:sz w:val="24"/>
          <w:szCs w:val="24"/>
        </w:rPr>
      </w:pPr>
    </w:p>
    <w:p w14:paraId="134C1FE4"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Finanstilsynets bestyrelse kan blive mødt med krav om erstatning, jf. de almindelige regler om offentlige myndigheders erstatningspligt. Dette vil kunne ske, såfremt bestyrelsen træffer beslutning om offentliggørelse, men hvor en domstol efterfølgende vurderer, at der ikke skulle have været sket offentliggørelse, og at Finanstilsynet som følge af dette kan ifalde et erstatningsansvar. Udbetaling af en erstatning kræver dog blandt andet, at virksomheden kan dokumentere, at den har lidt et økonomisk tab, der kan henføres direkte til den fejlagtige offentliggørelse.</w:t>
      </w:r>
    </w:p>
    <w:p w14:paraId="6A7027E5" w14:textId="77777777" w:rsidR="00327FF0" w:rsidRPr="00796736" w:rsidRDefault="00327FF0" w:rsidP="00A802A5">
      <w:pPr>
        <w:spacing w:line="360" w:lineRule="auto"/>
        <w:rPr>
          <w:rFonts w:ascii="Times New Roman" w:hAnsi="Times New Roman" w:cs="Times New Roman"/>
          <w:sz w:val="24"/>
          <w:szCs w:val="24"/>
        </w:rPr>
      </w:pPr>
    </w:p>
    <w:p w14:paraId="6BB773A0"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afgøre eller træffe beslutning i en sag uden at forelægge denne for bestyrelsen, hvis sagen er af uopsættelig karakter, og hvis øjemedet ellers ville forspildes, jf. forretningsordenen for Finanstilsynets bestyrelse. Sådanne tilsynsreaktioner skal offentliggøres. Baggrunden herfor er, at afgørelsen reelt skulle have været truffet af Finanstilsynets bestyrelse, men at de tidsmæssige rammer ikke har muliggjort dette.</w:t>
      </w:r>
    </w:p>
    <w:p w14:paraId="77DBAF7E" w14:textId="77777777" w:rsidR="00327FF0" w:rsidRPr="00796736" w:rsidRDefault="00327FF0" w:rsidP="00A802A5">
      <w:pPr>
        <w:spacing w:line="360" w:lineRule="auto"/>
        <w:rPr>
          <w:rFonts w:ascii="Times New Roman" w:hAnsi="Times New Roman" w:cs="Times New Roman"/>
          <w:sz w:val="24"/>
          <w:szCs w:val="24"/>
        </w:rPr>
      </w:pPr>
    </w:p>
    <w:p w14:paraId="41E8640B"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beslutninger om at overgive sager til politimæssig efterforskning truffet af uden forelæggelse for bestyrelsen vil Finanstilsynet ved behandlingen af sagen følge samme praksis som Finanstilsynets bestyrelse gør i tilsvarende sager, herunder også i forhold til eventuel høring af parten og den relevante politimyndighed. Derudover gælder i øvrigt reglerne om blandt andet erstatningspligt, anonymisering og aktindsigt i de pågældende sager, som beskrevet i bemærkningerne ovenfor.</w:t>
      </w:r>
    </w:p>
    <w:p w14:paraId="0B52C9CC" w14:textId="77777777" w:rsidR="00327FF0" w:rsidRPr="00796736" w:rsidRDefault="00327FF0" w:rsidP="00A802A5">
      <w:pPr>
        <w:spacing w:line="360" w:lineRule="auto"/>
        <w:rPr>
          <w:rFonts w:ascii="Times New Roman" w:hAnsi="Times New Roman" w:cs="Times New Roman"/>
          <w:sz w:val="24"/>
          <w:szCs w:val="24"/>
        </w:rPr>
      </w:pPr>
    </w:p>
    <w:p w14:paraId="7E951F0D" w14:textId="77777777" w:rsidR="00DF5AB4" w:rsidRPr="00A9036D" w:rsidRDefault="00DF5AB4" w:rsidP="00DF5AB4">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Offentliggørelse, som vedrører virksomheder, der ikke er under tilsyn, skal alene ske på Finanstilsynets hjemmeside. </w:t>
      </w:r>
    </w:p>
    <w:p w14:paraId="6210708C" w14:textId="77777777" w:rsidR="00327FF0" w:rsidRPr="00796736" w:rsidRDefault="00327FF0" w:rsidP="00A802A5">
      <w:pPr>
        <w:spacing w:line="360" w:lineRule="auto"/>
        <w:rPr>
          <w:rFonts w:ascii="Times New Roman" w:hAnsi="Times New Roman" w:cs="Times New Roman"/>
          <w:sz w:val="24"/>
          <w:szCs w:val="24"/>
        </w:rPr>
      </w:pPr>
    </w:p>
    <w:p w14:paraId="1D3F6226" w14:textId="457C3D22" w:rsidR="00FB05B3" w:rsidRDefault="00FB05B3" w:rsidP="00FB05B3">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Det foreslås i </w:t>
      </w:r>
      <w:r w:rsidRPr="00A9036D">
        <w:rPr>
          <w:rFonts w:ascii="Times New Roman" w:hAnsi="Times New Roman" w:cs="Times New Roman"/>
          <w:i/>
          <w:iCs/>
          <w:sz w:val="24"/>
          <w:szCs w:val="24"/>
        </w:rPr>
        <w:t>nr. 4</w:t>
      </w:r>
      <w:r w:rsidRPr="00A9036D">
        <w:rPr>
          <w:rFonts w:ascii="Times New Roman" w:hAnsi="Times New Roman" w:cs="Times New Roman"/>
          <w:sz w:val="24"/>
          <w:szCs w:val="24"/>
        </w:rPr>
        <w:t xml:space="preserve">, at Finanstilsynet med angivelse af virksomhedens eller personens navn skal offentliggøre inddragelse af tilladelse 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_Ref239165562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46</w:t>
      </w:r>
      <w:r>
        <w:rPr>
          <w:rFonts w:ascii="Times New Roman" w:hAnsi="Times New Roman" w:cs="Times New Roman"/>
          <w:sz w:val="24"/>
          <w:szCs w:val="24"/>
        </w:rPr>
        <w:fldChar w:fldCharType="end"/>
      </w:r>
      <w:r w:rsidR="00881774">
        <w:rPr>
          <w:rFonts w:ascii="Times New Roman" w:hAnsi="Times New Roman" w:cs="Times New Roman"/>
          <w:sz w:val="24"/>
          <w:szCs w:val="24"/>
        </w:rPr>
        <w:t xml:space="preserve">, </w:t>
      </w:r>
      <w:r w:rsidRPr="00A9036D">
        <w:rPr>
          <w:rFonts w:ascii="Times New Roman" w:hAnsi="Times New Roman" w:cs="Times New Roman"/>
          <w:sz w:val="24"/>
          <w:szCs w:val="24"/>
        </w:rPr>
        <w:t xml:space="preserve">nr. 4, 5 eller 7, og registrering efter </w:t>
      </w:r>
      <w:r w:rsidR="00881774">
        <w:rPr>
          <w:rFonts w:ascii="Times New Roman" w:hAnsi="Times New Roman" w:cs="Times New Roman"/>
          <w:sz w:val="24"/>
          <w:szCs w:val="24"/>
        </w:rPr>
        <w:fldChar w:fldCharType="begin"/>
      </w:r>
      <w:r w:rsidR="00881774">
        <w:rPr>
          <w:rFonts w:ascii="Times New Roman" w:hAnsi="Times New Roman" w:cs="Times New Roman"/>
          <w:sz w:val="24"/>
          <w:szCs w:val="24"/>
        </w:rPr>
        <w:instrText xml:space="preserve"> REF _Ref244852380 \r \h </w:instrText>
      </w:r>
      <w:r w:rsidR="00881774">
        <w:rPr>
          <w:rFonts w:ascii="Times New Roman" w:hAnsi="Times New Roman" w:cs="Times New Roman"/>
          <w:sz w:val="24"/>
          <w:szCs w:val="24"/>
        </w:rPr>
      </w:r>
      <w:r w:rsidR="00881774">
        <w:rPr>
          <w:rFonts w:ascii="Times New Roman" w:hAnsi="Times New Roman" w:cs="Times New Roman"/>
          <w:sz w:val="24"/>
          <w:szCs w:val="24"/>
        </w:rPr>
        <w:fldChar w:fldCharType="separate"/>
      </w:r>
      <w:r w:rsidR="008F29E5">
        <w:rPr>
          <w:rFonts w:ascii="Times New Roman" w:hAnsi="Times New Roman" w:cs="Times New Roman"/>
          <w:sz w:val="24"/>
          <w:szCs w:val="24"/>
        </w:rPr>
        <w:t>§ 52</w:t>
      </w:r>
      <w:r w:rsidR="00881774">
        <w:rPr>
          <w:rFonts w:ascii="Times New Roman" w:hAnsi="Times New Roman" w:cs="Times New Roman"/>
          <w:sz w:val="24"/>
          <w:szCs w:val="24"/>
        </w:rPr>
        <w:fldChar w:fldCharType="end"/>
      </w:r>
      <w:r w:rsidRPr="00A9036D">
        <w:rPr>
          <w:rFonts w:ascii="Times New Roman" w:hAnsi="Times New Roman" w:cs="Times New Roman"/>
          <w:sz w:val="24"/>
          <w:szCs w:val="24"/>
        </w:rPr>
        <w:t>, nr. 4, 5 eller 7, samt overtrædelser af forbuddet mod at udøve virksomhed uden tilladelse eller registrering, jf. §</w:t>
      </w:r>
      <w:r w:rsidR="00BC2114">
        <w:rPr>
          <w:rFonts w:ascii="Times New Roman" w:hAnsi="Times New Roman" w:cs="Times New Roman"/>
          <w:sz w:val="24"/>
          <w:szCs w:val="24"/>
        </w:rPr>
        <w:fldChar w:fldCharType="begin"/>
      </w:r>
      <w:r w:rsidR="00BC2114">
        <w:rPr>
          <w:rFonts w:ascii="Times New Roman" w:hAnsi="Times New Roman" w:cs="Times New Roman"/>
          <w:sz w:val="24"/>
          <w:szCs w:val="24"/>
        </w:rPr>
        <w:instrText xml:space="preserve"> REF _Ref232596532 \r \h </w:instrText>
      </w:r>
      <w:r w:rsidR="00BC2114">
        <w:rPr>
          <w:rFonts w:ascii="Times New Roman" w:hAnsi="Times New Roman" w:cs="Times New Roman"/>
          <w:sz w:val="24"/>
          <w:szCs w:val="24"/>
        </w:rPr>
      </w:r>
      <w:r w:rsidR="00BC2114">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00BC2114">
        <w:rPr>
          <w:rFonts w:ascii="Times New Roman" w:hAnsi="Times New Roman" w:cs="Times New Roman"/>
          <w:sz w:val="24"/>
          <w:szCs w:val="24"/>
        </w:rPr>
        <w:fldChar w:fldCharType="end"/>
      </w:r>
      <w:r w:rsidR="00BC2114">
        <w:rPr>
          <w:rFonts w:ascii="Times New Roman" w:hAnsi="Times New Roman" w:cs="Times New Roman"/>
          <w:sz w:val="24"/>
          <w:szCs w:val="24"/>
        </w:rPr>
        <w:t xml:space="preserve"> </w:t>
      </w:r>
      <w:r w:rsidR="00BC2114" w:rsidRPr="00A9036D">
        <w:rPr>
          <w:rFonts w:ascii="Times New Roman" w:hAnsi="Times New Roman" w:cs="Times New Roman"/>
          <w:sz w:val="24"/>
          <w:szCs w:val="24"/>
        </w:rPr>
        <w:t xml:space="preserve">og </w:t>
      </w:r>
      <w:r w:rsidR="00BC2114">
        <w:rPr>
          <w:rFonts w:ascii="Times New Roman" w:hAnsi="Times New Roman" w:cs="Times New Roman"/>
          <w:sz w:val="24"/>
          <w:szCs w:val="24"/>
        </w:rPr>
        <w:fldChar w:fldCharType="begin"/>
      </w:r>
      <w:r w:rsidR="00BC2114">
        <w:rPr>
          <w:rFonts w:ascii="Times New Roman" w:hAnsi="Times New Roman" w:cs="Times New Roman"/>
          <w:sz w:val="24"/>
          <w:szCs w:val="24"/>
        </w:rPr>
        <w:instrText xml:space="preserve"> REF _Ref243467920 \r \h </w:instrText>
      </w:r>
      <w:r w:rsidR="00BC2114">
        <w:rPr>
          <w:rFonts w:ascii="Times New Roman" w:hAnsi="Times New Roman" w:cs="Times New Roman"/>
          <w:sz w:val="24"/>
          <w:szCs w:val="24"/>
        </w:rPr>
      </w:r>
      <w:r w:rsidR="00BC2114">
        <w:rPr>
          <w:rFonts w:ascii="Times New Roman" w:hAnsi="Times New Roman" w:cs="Times New Roman"/>
          <w:sz w:val="24"/>
          <w:szCs w:val="24"/>
        </w:rPr>
        <w:fldChar w:fldCharType="separate"/>
      </w:r>
      <w:r w:rsidR="008F29E5">
        <w:rPr>
          <w:rFonts w:ascii="Times New Roman" w:hAnsi="Times New Roman" w:cs="Times New Roman"/>
          <w:sz w:val="24"/>
          <w:szCs w:val="24"/>
        </w:rPr>
        <w:t>47</w:t>
      </w:r>
      <w:r w:rsidR="00BC2114">
        <w:rPr>
          <w:rFonts w:ascii="Times New Roman" w:hAnsi="Times New Roman" w:cs="Times New Roman"/>
          <w:sz w:val="24"/>
          <w:szCs w:val="24"/>
        </w:rPr>
        <w:fldChar w:fldCharType="end"/>
      </w:r>
      <w:r w:rsidR="00611731">
        <w:rPr>
          <w:rFonts w:ascii="Times New Roman" w:hAnsi="Times New Roman" w:cs="Times New Roman"/>
          <w:sz w:val="24"/>
          <w:szCs w:val="24"/>
        </w:rPr>
        <w:t>.</w:t>
      </w:r>
    </w:p>
    <w:p w14:paraId="0164582C" w14:textId="77777777" w:rsidR="00611731" w:rsidRDefault="00611731" w:rsidP="00FB05B3">
      <w:pPr>
        <w:spacing w:line="360" w:lineRule="auto"/>
        <w:rPr>
          <w:rFonts w:ascii="Times New Roman" w:hAnsi="Times New Roman" w:cs="Times New Roman"/>
          <w:sz w:val="24"/>
          <w:szCs w:val="24"/>
        </w:rPr>
      </w:pPr>
    </w:p>
    <w:p w14:paraId="2165EA2A" w14:textId="6A8EEF5B" w:rsidR="00611731" w:rsidRPr="00A9036D" w:rsidRDefault="00611731" w:rsidP="00FB05B3">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Det foreslåede nr. 4 indebærer, at inddragelse af en tilladelse som valutavekslingsvirksomhed, hvis inddragelse sker iht. det foreslåede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_Ref239165562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46</w:t>
      </w:r>
      <w:r>
        <w:rPr>
          <w:rFonts w:ascii="Times New Roman" w:hAnsi="Times New Roman" w:cs="Times New Roman"/>
          <w:sz w:val="24"/>
          <w:szCs w:val="24"/>
        </w:rPr>
        <w:fldChar w:fldCharType="end"/>
      </w:r>
      <w:r w:rsidRPr="00A9036D">
        <w:rPr>
          <w:rFonts w:ascii="Times New Roman" w:hAnsi="Times New Roman" w:cs="Times New Roman"/>
          <w:sz w:val="24"/>
          <w:szCs w:val="24"/>
        </w:rPr>
        <w:t>, nr. 4, 5 eller 7. Efter nr. 4 kan en tilladelse inddrages, hvis virksomheden eller personen har opnået tilladelsen på baggrund af urigtige eller vildledende oplysninger eller på anden uretmæssig vis. Efter nr. 5 kan en tilladelse inddrages, hvis virksomheden ikke længere opfylder betingelserne for meddelelse af tilladelse. Efter nr. 7 kan en tilladelse inddrages, hvis virksomheden ikke overholder bestemmelserne i hvidvaskforordningen, denne lov, pengeoverførselsforordningen eller love og forordninger indeholdende regler om finansielle sanktioner mod lande, personer, grupper, juridiske enheder eller organer.</w:t>
      </w:r>
    </w:p>
    <w:p w14:paraId="2FBDB5F8" w14:textId="77777777" w:rsidR="00327FF0" w:rsidRPr="00796736" w:rsidRDefault="00327FF0" w:rsidP="00A802A5">
      <w:pPr>
        <w:spacing w:line="360" w:lineRule="auto"/>
        <w:rPr>
          <w:rFonts w:ascii="Times New Roman" w:hAnsi="Times New Roman" w:cs="Times New Roman"/>
          <w:sz w:val="24"/>
          <w:szCs w:val="24"/>
        </w:rPr>
      </w:pPr>
    </w:p>
    <w:p w14:paraId="7AC9FFE1" w14:textId="62D4C822" w:rsidR="00327FF0" w:rsidRPr="00796736" w:rsidRDefault="000A417E" w:rsidP="00A802A5">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Det foreslåede nr. 4 indebærer tillige, at virksomheder, der overtræder forbuddet mod at udøve virksomhed som valutaveksler uden tilladelse, jf. § 40, eller registreringspligtig virksomhed uden at være registreret i Finanstilsynets hvidvaskregister, jf. § 47, skal offentliggøres med angivelse af virksomhedens eller personens navn. </w:t>
      </w:r>
    </w:p>
    <w:p w14:paraId="1B858352" w14:textId="77777777" w:rsidR="002D2218" w:rsidRPr="00A9036D" w:rsidRDefault="002D2218" w:rsidP="002D2218">
      <w:pPr>
        <w:spacing w:line="360" w:lineRule="auto"/>
        <w:rPr>
          <w:rFonts w:ascii="Times New Roman" w:hAnsi="Times New Roman" w:cs="Times New Roman"/>
          <w:sz w:val="24"/>
          <w:szCs w:val="24"/>
        </w:rPr>
      </w:pPr>
    </w:p>
    <w:p w14:paraId="6C0B989C" w14:textId="77777777" w:rsidR="002D2218" w:rsidRPr="00A9036D" w:rsidRDefault="002D2218" w:rsidP="002D2218">
      <w:pPr>
        <w:spacing w:line="360" w:lineRule="auto"/>
        <w:rPr>
          <w:rFonts w:ascii="Times New Roman" w:hAnsi="Times New Roman" w:cs="Times New Roman"/>
          <w:sz w:val="24"/>
          <w:szCs w:val="24"/>
        </w:rPr>
      </w:pPr>
      <w:r w:rsidRPr="00A9036D">
        <w:rPr>
          <w:rFonts w:ascii="Times New Roman" w:hAnsi="Times New Roman" w:cs="Times New Roman"/>
          <w:sz w:val="24"/>
          <w:szCs w:val="24"/>
        </w:rPr>
        <w:t>Den foreslåede bestemmelse vil skulle sikre, at offentligheden får oplysning om virksomheder, der driver virksomhed uden tilladelse eller registrering, fordi der herved ikke er sikkerhed for, at disse virksomheder lever op til de grundlæggende krav, der skal være opfyldt for at udøve virksomhed.</w:t>
      </w:r>
    </w:p>
    <w:p w14:paraId="31868B76" w14:textId="77777777" w:rsidR="00327FF0" w:rsidRPr="00796736" w:rsidRDefault="00327FF0" w:rsidP="00A802A5">
      <w:pPr>
        <w:spacing w:line="360" w:lineRule="auto"/>
        <w:rPr>
          <w:rFonts w:ascii="Times New Roman" w:hAnsi="Times New Roman" w:cs="Times New Roman"/>
          <w:sz w:val="24"/>
          <w:szCs w:val="24"/>
        </w:rPr>
      </w:pPr>
    </w:p>
    <w:p w14:paraId="0461B8E8" w14:textId="66080386" w:rsidR="00ED328B" w:rsidRPr="00A9036D" w:rsidRDefault="00ED328B" w:rsidP="00ED328B">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Det foreslås i </w:t>
      </w:r>
      <w:r w:rsidRPr="00A9036D">
        <w:rPr>
          <w:rFonts w:ascii="Times New Roman" w:hAnsi="Times New Roman" w:cs="Times New Roman"/>
          <w:i/>
          <w:iCs/>
          <w:sz w:val="24"/>
          <w:szCs w:val="24"/>
        </w:rPr>
        <w:t>nr. 5</w:t>
      </w:r>
      <w:r w:rsidRPr="00A9036D">
        <w:rPr>
          <w:rFonts w:ascii="Times New Roman" w:hAnsi="Times New Roman" w:cs="Times New Roman"/>
          <w:sz w:val="24"/>
          <w:szCs w:val="24"/>
        </w:rPr>
        <w:t xml:space="preserve">, at Finanstilsynet med angivelse af virksomhedens eller personens navn skal offentliggøre tvangsbøder meddelt i henhold til </w:t>
      </w:r>
      <w:r w:rsidR="005501BB">
        <w:rPr>
          <w:rFonts w:ascii="Times New Roman" w:hAnsi="Times New Roman" w:cs="Times New Roman"/>
          <w:sz w:val="24"/>
          <w:szCs w:val="24"/>
        </w:rPr>
        <w:fldChar w:fldCharType="begin"/>
      </w:r>
      <w:r w:rsidR="005501BB">
        <w:rPr>
          <w:rFonts w:ascii="Times New Roman" w:hAnsi="Times New Roman" w:cs="Times New Roman"/>
          <w:sz w:val="24"/>
          <w:szCs w:val="24"/>
        </w:rPr>
        <w:instrText xml:space="preserve"> REF _Ref244804875 \r \h </w:instrText>
      </w:r>
      <w:r w:rsidR="005501BB">
        <w:rPr>
          <w:rFonts w:ascii="Times New Roman" w:hAnsi="Times New Roman" w:cs="Times New Roman"/>
          <w:sz w:val="24"/>
          <w:szCs w:val="24"/>
        </w:rPr>
      </w:r>
      <w:r w:rsidR="005501BB">
        <w:rPr>
          <w:rFonts w:ascii="Times New Roman" w:hAnsi="Times New Roman" w:cs="Times New Roman"/>
          <w:sz w:val="24"/>
          <w:szCs w:val="24"/>
        </w:rPr>
        <w:fldChar w:fldCharType="separate"/>
      </w:r>
      <w:r w:rsidR="008F29E5">
        <w:rPr>
          <w:rFonts w:ascii="Times New Roman" w:hAnsi="Times New Roman" w:cs="Times New Roman"/>
          <w:sz w:val="24"/>
          <w:szCs w:val="24"/>
        </w:rPr>
        <w:t>§ 135</w:t>
      </w:r>
      <w:r w:rsidR="005501BB">
        <w:rPr>
          <w:rFonts w:ascii="Times New Roman" w:hAnsi="Times New Roman" w:cs="Times New Roman"/>
          <w:sz w:val="24"/>
          <w:szCs w:val="24"/>
        </w:rPr>
        <w:fldChar w:fldCharType="end"/>
      </w:r>
      <w:r w:rsidR="005501BB">
        <w:rPr>
          <w:rFonts w:ascii="Times New Roman" w:hAnsi="Times New Roman" w:cs="Times New Roman"/>
          <w:sz w:val="24"/>
          <w:szCs w:val="24"/>
        </w:rPr>
        <w:t xml:space="preserve"> </w:t>
      </w:r>
      <w:r w:rsidRPr="00A9036D">
        <w:rPr>
          <w:rFonts w:ascii="Times New Roman" w:hAnsi="Times New Roman" w:cs="Times New Roman"/>
          <w:sz w:val="24"/>
          <w:szCs w:val="24"/>
        </w:rPr>
        <w:t>og tvangsbødens størrelse.</w:t>
      </w:r>
    </w:p>
    <w:p w14:paraId="65089218" w14:textId="77777777" w:rsidR="00327FF0" w:rsidRPr="00796736" w:rsidRDefault="00327FF0" w:rsidP="00A802A5">
      <w:pPr>
        <w:spacing w:line="360" w:lineRule="auto"/>
        <w:rPr>
          <w:rFonts w:ascii="Times New Roman" w:hAnsi="Times New Roman" w:cs="Times New Roman"/>
          <w:sz w:val="24"/>
          <w:szCs w:val="24"/>
        </w:rPr>
      </w:pPr>
    </w:p>
    <w:p w14:paraId="79D0C5FC" w14:textId="201664A4" w:rsidR="00327FF0" w:rsidRPr="00796736" w:rsidRDefault="00941866" w:rsidP="00A802A5">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Bestemmelsen er ny fsva. pligten til offentliggørelse af tvangsbøder og implementerer artikel 58, stk. 1 og 3, i det 6. hvidvaskdirektiv. </w:t>
      </w:r>
    </w:p>
    <w:p w14:paraId="59484A55" w14:textId="56A02D5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1. pkt.,</w:t>
      </w:r>
      <w:r w:rsidRPr="00796736">
        <w:rPr>
          <w:rFonts w:ascii="Times New Roman" w:hAnsi="Times New Roman" w:cs="Times New Roman"/>
          <w:sz w:val="24"/>
          <w:szCs w:val="24"/>
        </w:rPr>
        <w:t xml:space="preserve"> at Finanstilsynet kan beslutte, at offentliggørelse efter stk. 1, nr. 2-</w:t>
      </w:r>
      <w:r w:rsidR="00941866">
        <w:rPr>
          <w:rFonts w:ascii="Times New Roman" w:hAnsi="Times New Roman" w:cs="Times New Roman"/>
          <w:sz w:val="24"/>
          <w:szCs w:val="24"/>
        </w:rPr>
        <w:t>5</w:t>
      </w:r>
      <w:r w:rsidRPr="00796736">
        <w:rPr>
          <w:rFonts w:ascii="Times New Roman" w:hAnsi="Times New Roman" w:cs="Times New Roman"/>
          <w:sz w:val="24"/>
          <w:szCs w:val="24"/>
        </w:rPr>
        <w:t xml:space="preserve">, skal ske i form af et resumé. </w:t>
      </w:r>
    </w:p>
    <w:p w14:paraId="45588D66" w14:textId="77777777" w:rsidR="00327FF0" w:rsidRPr="00796736" w:rsidRDefault="00327FF0" w:rsidP="00A802A5">
      <w:pPr>
        <w:spacing w:line="360" w:lineRule="auto"/>
        <w:rPr>
          <w:rFonts w:ascii="Times New Roman" w:hAnsi="Times New Roman" w:cs="Times New Roman"/>
          <w:sz w:val="24"/>
          <w:szCs w:val="24"/>
        </w:rPr>
      </w:pPr>
    </w:p>
    <w:p w14:paraId="713558D2"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et resumé forstås en kort gengivelse af hovedpunkterne i reaktionen. Finanstilsynet kan ved vurderingen af, om der skal udarbejdes og offentliggøres et resumé, inddrage bl.a. påtalens, påbuddets, tvangsbødens eller beslutningens længde og kompleksitet samt øvrige forhold, som taler for at offentliggøre et resumé frem for den fulde tekst.</w:t>
      </w:r>
    </w:p>
    <w:p w14:paraId="2E8BF6A2" w14:textId="1C954A8E" w:rsidR="00327FF0" w:rsidRPr="00796736" w:rsidRDefault="00327FF0" w:rsidP="00A802A5">
      <w:pPr>
        <w:spacing w:line="360" w:lineRule="auto"/>
        <w:rPr>
          <w:rFonts w:ascii="Times New Roman" w:hAnsi="Times New Roman" w:cs="Times New Roman"/>
          <w:sz w:val="24"/>
          <w:szCs w:val="24"/>
        </w:rPr>
      </w:pPr>
    </w:p>
    <w:p w14:paraId="4FBA4585" w14:textId="77777777" w:rsidR="00B8001E" w:rsidRPr="00A9036D" w:rsidRDefault="00B8001E" w:rsidP="00B8001E">
      <w:pPr>
        <w:spacing w:line="360" w:lineRule="auto"/>
        <w:rPr>
          <w:rFonts w:ascii="Times New Roman" w:hAnsi="Times New Roman" w:cs="Times New Roman"/>
          <w:sz w:val="24"/>
          <w:szCs w:val="24"/>
        </w:rPr>
      </w:pPr>
      <w:r w:rsidRPr="00A9036D">
        <w:rPr>
          <w:rFonts w:ascii="Times New Roman" w:hAnsi="Times New Roman" w:cs="Times New Roman"/>
          <w:sz w:val="24"/>
          <w:szCs w:val="24"/>
        </w:rPr>
        <w:t>Det foreslåede stk. 3 regulerer Finanstilsynets offentliggørelse af påbud og påtaler med hjemmel i en række nærmere angivne bestemmelser i loven i tilfælde, hvor offentliggørelse ikke følger af det foreslåede stk. 1.</w:t>
      </w:r>
    </w:p>
    <w:p w14:paraId="60CFCD0C" w14:textId="77777777" w:rsidR="00327FF0" w:rsidRPr="00796736" w:rsidRDefault="00327FF0" w:rsidP="00A802A5">
      <w:pPr>
        <w:spacing w:line="360" w:lineRule="auto"/>
        <w:rPr>
          <w:rFonts w:ascii="Times New Roman" w:hAnsi="Times New Roman" w:cs="Times New Roman"/>
          <w:sz w:val="24"/>
          <w:szCs w:val="24"/>
        </w:rPr>
      </w:pPr>
    </w:p>
    <w:p w14:paraId="7D0FF33F" w14:textId="5CF174DC" w:rsidR="00327FF0" w:rsidRDefault="00BF1000" w:rsidP="00A802A5">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Det foreslås i </w:t>
      </w:r>
      <w:r w:rsidRPr="00A9036D">
        <w:rPr>
          <w:rFonts w:ascii="Times New Roman" w:hAnsi="Times New Roman" w:cs="Times New Roman"/>
          <w:i/>
          <w:iCs/>
          <w:sz w:val="24"/>
          <w:szCs w:val="24"/>
        </w:rPr>
        <w:t>stk. 3</w:t>
      </w:r>
      <w:r w:rsidRPr="00A9036D">
        <w:rPr>
          <w:rFonts w:ascii="Times New Roman" w:hAnsi="Times New Roman" w:cs="Times New Roman"/>
          <w:sz w:val="24"/>
          <w:szCs w:val="24"/>
        </w:rPr>
        <w:t>, at Finanstilsynet i sager, som ikke er omfattet af stk. 1, nr. 1 og 2, med angivelse af virksomhedens eller personens navn skal offentliggøre påbud og påtaler efter §</w:t>
      </w:r>
      <w:r w:rsidR="00E40116">
        <w:rPr>
          <w:rFonts w:ascii="Times New Roman" w:hAnsi="Times New Roman" w:cs="Times New Roman"/>
          <w:sz w:val="24"/>
          <w:szCs w:val="24"/>
        </w:rPr>
        <w:fldChar w:fldCharType="begin"/>
      </w:r>
      <w:r w:rsidR="00E40116">
        <w:rPr>
          <w:rFonts w:ascii="Times New Roman" w:hAnsi="Times New Roman" w:cs="Times New Roman"/>
          <w:sz w:val="24"/>
          <w:szCs w:val="24"/>
        </w:rPr>
        <w:instrText xml:space="preserve"> REF _Ref239165562 \r \h </w:instrText>
      </w:r>
      <w:r w:rsidR="00E40116">
        <w:rPr>
          <w:rFonts w:ascii="Times New Roman" w:hAnsi="Times New Roman" w:cs="Times New Roman"/>
          <w:sz w:val="24"/>
          <w:szCs w:val="24"/>
        </w:rPr>
      </w:r>
      <w:r w:rsidR="00E40116">
        <w:rPr>
          <w:rFonts w:ascii="Times New Roman" w:hAnsi="Times New Roman" w:cs="Times New Roman"/>
          <w:sz w:val="24"/>
          <w:szCs w:val="24"/>
        </w:rPr>
        <w:fldChar w:fldCharType="separate"/>
      </w:r>
      <w:r w:rsidR="008F29E5">
        <w:rPr>
          <w:rFonts w:ascii="Times New Roman" w:hAnsi="Times New Roman" w:cs="Times New Roman"/>
          <w:sz w:val="24"/>
          <w:szCs w:val="24"/>
        </w:rPr>
        <w:t>§ 46</w:t>
      </w:r>
      <w:r w:rsidR="00E40116">
        <w:rPr>
          <w:rFonts w:ascii="Times New Roman" w:hAnsi="Times New Roman" w:cs="Times New Roman"/>
          <w:sz w:val="24"/>
          <w:szCs w:val="24"/>
        </w:rPr>
        <w:fldChar w:fldCharType="end"/>
      </w:r>
      <w:r w:rsidR="00E40116" w:rsidRPr="00A9036D">
        <w:rPr>
          <w:rFonts w:ascii="Times New Roman" w:hAnsi="Times New Roman" w:cs="Times New Roman"/>
          <w:sz w:val="24"/>
          <w:szCs w:val="24"/>
        </w:rPr>
        <w:t>,</w:t>
      </w:r>
      <w:r w:rsidRPr="00A9036D">
        <w:rPr>
          <w:rFonts w:ascii="Times New Roman" w:hAnsi="Times New Roman" w:cs="Times New Roman"/>
          <w:sz w:val="24"/>
          <w:szCs w:val="24"/>
        </w:rPr>
        <w:t xml:space="preserve"> </w:t>
      </w:r>
      <w:r w:rsidR="00076A2D">
        <w:rPr>
          <w:rFonts w:ascii="Times New Roman" w:hAnsi="Times New Roman" w:cs="Times New Roman"/>
          <w:sz w:val="24"/>
          <w:szCs w:val="24"/>
        </w:rPr>
        <w:fldChar w:fldCharType="begin"/>
      </w:r>
      <w:r w:rsidR="00076A2D">
        <w:rPr>
          <w:rFonts w:ascii="Times New Roman" w:hAnsi="Times New Roman" w:cs="Times New Roman"/>
          <w:sz w:val="24"/>
          <w:szCs w:val="24"/>
        </w:rPr>
        <w:instrText xml:space="preserve"> REF _Ref244852380 \r \h </w:instrText>
      </w:r>
      <w:r w:rsidR="00076A2D">
        <w:rPr>
          <w:rFonts w:ascii="Times New Roman" w:hAnsi="Times New Roman" w:cs="Times New Roman"/>
          <w:sz w:val="24"/>
          <w:szCs w:val="24"/>
        </w:rPr>
      </w:r>
      <w:r w:rsidR="00076A2D">
        <w:rPr>
          <w:rFonts w:ascii="Times New Roman" w:hAnsi="Times New Roman" w:cs="Times New Roman"/>
          <w:sz w:val="24"/>
          <w:szCs w:val="24"/>
        </w:rPr>
        <w:fldChar w:fldCharType="separate"/>
      </w:r>
      <w:r w:rsidR="008F29E5">
        <w:rPr>
          <w:rFonts w:ascii="Times New Roman" w:hAnsi="Times New Roman" w:cs="Times New Roman"/>
          <w:sz w:val="24"/>
          <w:szCs w:val="24"/>
        </w:rPr>
        <w:t>52</w:t>
      </w:r>
      <w:r w:rsidR="00076A2D">
        <w:rPr>
          <w:rFonts w:ascii="Times New Roman" w:hAnsi="Times New Roman" w:cs="Times New Roman"/>
          <w:sz w:val="24"/>
          <w:szCs w:val="24"/>
        </w:rPr>
        <w:fldChar w:fldCharType="end"/>
      </w:r>
      <w:r w:rsidR="00076A2D" w:rsidRPr="00A9036D">
        <w:rPr>
          <w:rFonts w:ascii="Times New Roman" w:hAnsi="Times New Roman" w:cs="Times New Roman"/>
          <w:sz w:val="24"/>
          <w:szCs w:val="24"/>
        </w:rPr>
        <w:t xml:space="preserve">, </w:t>
      </w:r>
      <w:r w:rsidRPr="00A9036D">
        <w:rPr>
          <w:rFonts w:ascii="Times New Roman" w:hAnsi="Times New Roman" w:cs="Times New Roman"/>
          <w:sz w:val="24"/>
          <w:szCs w:val="24"/>
        </w:rPr>
        <w:t xml:space="preserve">og </w:t>
      </w:r>
      <w:r w:rsidR="00CD58BF">
        <w:rPr>
          <w:rFonts w:ascii="Times New Roman" w:hAnsi="Times New Roman" w:cs="Times New Roman"/>
          <w:sz w:val="24"/>
          <w:szCs w:val="24"/>
        </w:rPr>
        <w:fldChar w:fldCharType="begin"/>
      </w:r>
      <w:r w:rsidR="00CD58BF">
        <w:rPr>
          <w:rFonts w:ascii="Times New Roman" w:hAnsi="Times New Roman" w:cs="Times New Roman"/>
          <w:sz w:val="24"/>
          <w:szCs w:val="24"/>
        </w:rPr>
        <w:instrText xml:space="preserve"> REF _Ref239151441 \r \h </w:instrText>
      </w:r>
      <w:r w:rsidR="00CD58BF">
        <w:rPr>
          <w:rFonts w:ascii="Times New Roman" w:hAnsi="Times New Roman" w:cs="Times New Roman"/>
          <w:sz w:val="24"/>
          <w:szCs w:val="24"/>
        </w:rPr>
      </w:r>
      <w:r w:rsidR="00CD58BF">
        <w:rPr>
          <w:rFonts w:ascii="Times New Roman" w:hAnsi="Times New Roman" w:cs="Times New Roman"/>
          <w:sz w:val="24"/>
          <w:szCs w:val="24"/>
        </w:rPr>
        <w:fldChar w:fldCharType="separate"/>
      </w:r>
      <w:r w:rsidR="008F29E5">
        <w:rPr>
          <w:rFonts w:ascii="Times New Roman" w:hAnsi="Times New Roman" w:cs="Times New Roman"/>
          <w:sz w:val="24"/>
          <w:szCs w:val="24"/>
        </w:rPr>
        <w:t>63</w:t>
      </w:r>
      <w:r w:rsidR="00CD58BF">
        <w:rPr>
          <w:rFonts w:ascii="Times New Roman" w:hAnsi="Times New Roman" w:cs="Times New Roman"/>
          <w:sz w:val="24"/>
          <w:szCs w:val="24"/>
        </w:rPr>
        <w:fldChar w:fldCharType="end"/>
      </w:r>
      <w:r w:rsidR="00CD58BF" w:rsidRPr="00A9036D">
        <w:rPr>
          <w:rFonts w:ascii="Times New Roman" w:hAnsi="Times New Roman" w:cs="Times New Roman"/>
          <w:sz w:val="24"/>
          <w:szCs w:val="24"/>
        </w:rPr>
        <w:t>-</w:t>
      </w:r>
      <w:r w:rsidR="00CD58BF">
        <w:rPr>
          <w:rFonts w:ascii="Times New Roman" w:hAnsi="Times New Roman" w:cs="Times New Roman"/>
          <w:sz w:val="24"/>
          <w:szCs w:val="24"/>
        </w:rPr>
        <w:fldChar w:fldCharType="begin"/>
      </w:r>
      <w:r w:rsidR="00CD58BF">
        <w:rPr>
          <w:rFonts w:ascii="Times New Roman" w:hAnsi="Times New Roman" w:cs="Times New Roman"/>
          <w:sz w:val="24"/>
          <w:szCs w:val="24"/>
        </w:rPr>
        <w:instrText xml:space="preserve"> REF _Ref232597333 \r \h </w:instrText>
      </w:r>
      <w:r w:rsidR="00CD58BF">
        <w:rPr>
          <w:rFonts w:ascii="Times New Roman" w:hAnsi="Times New Roman" w:cs="Times New Roman"/>
          <w:sz w:val="24"/>
          <w:szCs w:val="24"/>
        </w:rPr>
      </w:r>
      <w:r w:rsidR="00CD58BF">
        <w:rPr>
          <w:rFonts w:ascii="Times New Roman" w:hAnsi="Times New Roman" w:cs="Times New Roman"/>
          <w:sz w:val="24"/>
          <w:szCs w:val="24"/>
        </w:rPr>
        <w:fldChar w:fldCharType="separate"/>
      </w:r>
      <w:r w:rsidR="008F29E5">
        <w:rPr>
          <w:rFonts w:ascii="Times New Roman" w:hAnsi="Times New Roman" w:cs="Times New Roman"/>
          <w:sz w:val="24"/>
          <w:szCs w:val="24"/>
        </w:rPr>
        <w:t>67</w:t>
      </w:r>
      <w:r w:rsidR="00CD58BF">
        <w:rPr>
          <w:rFonts w:ascii="Times New Roman" w:hAnsi="Times New Roman" w:cs="Times New Roman"/>
          <w:sz w:val="24"/>
          <w:szCs w:val="24"/>
        </w:rPr>
        <w:fldChar w:fldCharType="end"/>
      </w:r>
      <w:r w:rsidR="00CD58BF">
        <w:rPr>
          <w:rFonts w:ascii="Times New Roman" w:hAnsi="Times New Roman" w:cs="Times New Roman"/>
          <w:sz w:val="24"/>
          <w:szCs w:val="24"/>
        </w:rPr>
        <w:t>,</w:t>
      </w:r>
      <w:r w:rsidRPr="00A9036D">
        <w:rPr>
          <w:rFonts w:ascii="Times New Roman" w:hAnsi="Times New Roman" w:cs="Times New Roman"/>
          <w:sz w:val="24"/>
          <w:szCs w:val="24"/>
        </w:rPr>
        <w:t xml:space="preserve"> jf. §</w:t>
      </w:r>
      <w:r w:rsidR="00477FDB">
        <w:rPr>
          <w:rFonts w:ascii="Times New Roman" w:hAnsi="Times New Roman" w:cs="Times New Roman"/>
          <w:sz w:val="24"/>
          <w:szCs w:val="24"/>
        </w:rPr>
        <w:fldChar w:fldCharType="begin"/>
      </w:r>
      <w:r w:rsidR="00477FDB">
        <w:rPr>
          <w:rFonts w:ascii="Times New Roman" w:hAnsi="Times New Roman" w:cs="Times New Roman"/>
          <w:sz w:val="24"/>
          <w:szCs w:val="24"/>
        </w:rPr>
        <w:instrText xml:space="preserve"> REF _Ref240026750 \r \h </w:instrText>
      </w:r>
      <w:r w:rsidR="00477FDB">
        <w:rPr>
          <w:rFonts w:ascii="Times New Roman" w:hAnsi="Times New Roman" w:cs="Times New Roman"/>
          <w:sz w:val="24"/>
          <w:szCs w:val="24"/>
        </w:rPr>
      </w:r>
      <w:r w:rsidR="00477FDB">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477FDB">
        <w:rPr>
          <w:rFonts w:ascii="Times New Roman" w:hAnsi="Times New Roman" w:cs="Times New Roman"/>
          <w:sz w:val="24"/>
          <w:szCs w:val="24"/>
        </w:rPr>
        <w:fldChar w:fldCharType="end"/>
      </w:r>
      <w:r w:rsidR="00477FDB" w:rsidRPr="00A9036D">
        <w:rPr>
          <w:rFonts w:ascii="Times New Roman" w:hAnsi="Times New Roman" w:cs="Times New Roman"/>
          <w:sz w:val="24"/>
          <w:szCs w:val="24"/>
        </w:rPr>
        <w:t>-</w:t>
      </w:r>
      <w:r w:rsidR="00477FDB">
        <w:rPr>
          <w:rFonts w:ascii="Times New Roman" w:hAnsi="Times New Roman" w:cs="Times New Roman"/>
          <w:sz w:val="24"/>
          <w:szCs w:val="24"/>
        </w:rPr>
        <w:fldChar w:fldCharType="begin"/>
      </w:r>
      <w:r w:rsidR="00477FDB">
        <w:rPr>
          <w:rFonts w:ascii="Times New Roman" w:hAnsi="Times New Roman" w:cs="Times New Roman"/>
          <w:sz w:val="24"/>
          <w:szCs w:val="24"/>
        </w:rPr>
        <w:instrText xml:space="preserve"> REF _Ref232597084 \r \h </w:instrText>
      </w:r>
      <w:r w:rsidR="00477FDB">
        <w:rPr>
          <w:rFonts w:ascii="Times New Roman" w:hAnsi="Times New Roman" w:cs="Times New Roman"/>
          <w:sz w:val="24"/>
          <w:szCs w:val="24"/>
        </w:rPr>
      </w:r>
      <w:r w:rsidR="00477FDB">
        <w:rPr>
          <w:rFonts w:ascii="Times New Roman" w:hAnsi="Times New Roman" w:cs="Times New Roman"/>
          <w:sz w:val="24"/>
          <w:szCs w:val="24"/>
        </w:rPr>
        <w:fldChar w:fldCharType="separate"/>
      </w:r>
      <w:r w:rsidR="008F29E5">
        <w:rPr>
          <w:rFonts w:ascii="Times New Roman" w:hAnsi="Times New Roman" w:cs="Times New Roman"/>
          <w:sz w:val="24"/>
          <w:szCs w:val="24"/>
        </w:rPr>
        <w:t>56</w:t>
      </w:r>
      <w:r w:rsidR="00477FDB">
        <w:rPr>
          <w:rFonts w:ascii="Times New Roman" w:hAnsi="Times New Roman" w:cs="Times New Roman"/>
          <w:sz w:val="24"/>
          <w:szCs w:val="24"/>
        </w:rPr>
        <w:fldChar w:fldCharType="end"/>
      </w:r>
      <w:r w:rsidRPr="00A9036D">
        <w:rPr>
          <w:rFonts w:ascii="Times New Roman" w:hAnsi="Times New Roman" w:cs="Times New Roman"/>
          <w:sz w:val="24"/>
          <w:szCs w:val="24"/>
        </w:rPr>
        <w:t>, jf. dog §</w:t>
      </w:r>
      <w:r w:rsidR="00930A88">
        <w:rPr>
          <w:rFonts w:ascii="Times New Roman" w:hAnsi="Times New Roman" w:cs="Times New Roman"/>
          <w:sz w:val="24"/>
          <w:szCs w:val="24"/>
        </w:rPr>
        <w:fldChar w:fldCharType="begin"/>
      </w:r>
      <w:r w:rsidR="00930A88">
        <w:rPr>
          <w:rFonts w:ascii="Times New Roman" w:hAnsi="Times New Roman" w:cs="Times New Roman"/>
          <w:sz w:val="24"/>
          <w:szCs w:val="24"/>
        </w:rPr>
        <w:instrText xml:space="preserve"> REF _Ref232597480 \r \h </w:instrText>
      </w:r>
      <w:r w:rsidR="00930A88">
        <w:rPr>
          <w:rFonts w:ascii="Times New Roman" w:hAnsi="Times New Roman" w:cs="Times New Roman"/>
          <w:sz w:val="24"/>
          <w:szCs w:val="24"/>
        </w:rPr>
      </w:r>
      <w:r w:rsidR="00930A88">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930A88">
        <w:rPr>
          <w:rFonts w:ascii="Times New Roman" w:hAnsi="Times New Roman" w:cs="Times New Roman"/>
          <w:sz w:val="24"/>
          <w:szCs w:val="24"/>
        </w:rPr>
        <w:fldChar w:fldCharType="end"/>
      </w:r>
      <w:r w:rsidR="00930A88">
        <w:rPr>
          <w:rFonts w:ascii="Times New Roman" w:hAnsi="Times New Roman" w:cs="Times New Roman"/>
          <w:sz w:val="24"/>
          <w:szCs w:val="24"/>
        </w:rPr>
        <w:t xml:space="preserve"> </w:t>
      </w:r>
      <w:r w:rsidR="00930A88" w:rsidRPr="00A9036D">
        <w:rPr>
          <w:rFonts w:ascii="Times New Roman" w:hAnsi="Times New Roman" w:cs="Times New Roman"/>
          <w:sz w:val="24"/>
          <w:szCs w:val="24"/>
        </w:rPr>
        <w:t xml:space="preserve">og </w:t>
      </w:r>
      <w:r w:rsidR="00930A88">
        <w:rPr>
          <w:rFonts w:ascii="Times New Roman" w:hAnsi="Times New Roman" w:cs="Times New Roman"/>
          <w:sz w:val="24"/>
          <w:szCs w:val="24"/>
        </w:rPr>
        <w:fldChar w:fldCharType="begin"/>
      </w:r>
      <w:r w:rsidR="00930A88">
        <w:rPr>
          <w:rFonts w:ascii="Times New Roman" w:hAnsi="Times New Roman" w:cs="Times New Roman"/>
          <w:sz w:val="24"/>
          <w:szCs w:val="24"/>
        </w:rPr>
        <w:instrText xml:space="preserve"> REF _Ref232597505 \r \h </w:instrText>
      </w:r>
      <w:r w:rsidR="00930A88">
        <w:rPr>
          <w:rFonts w:ascii="Times New Roman" w:hAnsi="Times New Roman" w:cs="Times New Roman"/>
          <w:sz w:val="24"/>
          <w:szCs w:val="24"/>
        </w:rPr>
      </w:r>
      <w:r w:rsidR="00930A88">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930A88">
        <w:rPr>
          <w:rFonts w:ascii="Times New Roman" w:hAnsi="Times New Roman" w:cs="Times New Roman"/>
          <w:sz w:val="24"/>
          <w:szCs w:val="24"/>
        </w:rPr>
        <w:fldChar w:fldCharType="end"/>
      </w:r>
      <w:r w:rsidR="00930A88" w:rsidRPr="00A9036D">
        <w:rPr>
          <w:rFonts w:ascii="Times New Roman" w:hAnsi="Times New Roman" w:cs="Times New Roman"/>
          <w:sz w:val="24"/>
          <w:szCs w:val="24"/>
        </w:rPr>
        <w:t>.</w:t>
      </w:r>
    </w:p>
    <w:p w14:paraId="2512F8A3" w14:textId="77777777" w:rsidR="00BF1000" w:rsidRPr="00796736" w:rsidRDefault="00BF1000" w:rsidP="00A802A5">
      <w:pPr>
        <w:spacing w:line="360" w:lineRule="auto"/>
        <w:rPr>
          <w:rFonts w:ascii="Times New Roman" w:hAnsi="Times New Roman" w:cs="Times New Roman"/>
          <w:sz w:val="24"/>
          <w:szCs w:val="24"/>
        </w:rPr>
      </w:pPr>
    </w:p>
    <w:p w14:paraId="37CEF71F" w14:textId="3B3BF3AA" w:rsidR="00142D27" w:rsidRPr="00A9036D" w:rsidRDefault="00142D27" w:rsidP="00142D27">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Finanstilsynet har med de foreslåede </w:t>
      </w:r>
      <w:r w:rsidR="00217C1D" w:rsidRPr="00A9036D">
        <w:rPr>
          <w:rFonts w:ascii="Times New Roman" w:hAnsi="Times New Roman" w:cs="Times New Roman"/>
          <w:sz w:val="24"/>
          <w:szCs w:val="24"/>
        </w:rPr>
        <w:t>§</w:t>
      </w:r>
      <w:r w:rsidR="00217C1D">
        <w:rPr>
          <w:rFonts w:ascii="Times New Roman" w:hAnsi="Times New Roman" w:cs="Times New Roman"/>
          <w:sz w:val="24"/>
          <w:szCs w:val="24"/>
        </w:rPr>
        <w:fldChar w:fldCharType="begin"/>
      </w:r>
      <w:r w:rsidR="00217C1D">
        <w:rPr>
          <w:rFonts w:ascii="Times New Roman" w:hAnsi="Times New Roman" w:cs="Times New Roman"/>
          <w:sz w:val="24"/>
          <w:szCs w:val="24"/>
        </w:rPr>
        <w:instrText xml:space="preserve"> REF _Ref239165562 \r \h </w:instrText>
      </w:r>
      <w:r w:rsidR="00217C1D">
        <w:rPr>
          <w:rFonts w:ascii="Times New Roman" w:hAnsi="Times New Roman" w:cs="Times New Roman"/>
          <w:sz w:val="24"/>
          <w:szCs w:val="24"/>
        </w:rPr>
      </w:r>
      <w:r w:rsidR="00217C1D">
        <w:rPr>
          <w:rFonts w:ascii="Times New Roman" w:hAnsi="Times New Roman" w:cs="Times New Roman"/>
          <w:sz w:val="24"/>
          <w:szCs w:val="24"/>
        </w:rPr>
        <w:fldChar w:fldCharType="separate"/>
      </w:r>
      <w:r w:rsidR="008F29E5">
        <w:rPr>
          <w:rFonts w:ascii="Times New Roman" w:hAnsi="Times New Roman" w:cs="Times New Roman"/>
          <w:sz w:val="24"/>
          <w:szCs w:val="24"/>
        </w:rPr>
        <w:t>§ 46</w:t>
      </w:r>
      <w:r w:rsidR="00217C1D">
        <w:rPr>
          <w:rFonts w:ascii="Times New Roman" w:hAnsi="Times New Roman" w:cs="Times New Roman"/>
          <w:sz w:val="24"/>
          <w:szCs w:val="24"/>
        </w:rPr>
        <w:fldChar w:fldCharType="end"/>
      </w:r>
      <w:r w:rsidR="00217C1D" w:rsidRPr="00A9036D">
        <w:rPr>
          <w:rFonts w:ascii="Times New Roman" w:hAnsi="Times New Roman" w:cs="Times New Roman"/>
          <w:sz w:val="24"/>
          <w:szCs w:val="24"/>
        </w:rPr>
        <w:t xml:space="preserve">, </w:t>
      </w:r>
      <w:r w:rsidR="00217C1D">
        <w:rPr>
          <w:rFonts w:ascii="Times New Roman" w:hAnsi="Times New Roman" w:cs="Times New Roman"/>
          <w:sz w:val="24"/>
          <w:szCs w:val="24"/>
        </w:rPr>
        <w:fldChar w:fldCharType="begin"/>
      </w:r>
      <w:r w:rsidR="00217C1D">
        <w:rPr>
          <w:rFonts w:ascii="Times New Roman" w:hAnsi="Times New Roman" w:cs="Times New Roman"/>
          <w:sz w:val="24"/>
          <w:szCs w:val="24"/>
        </w:rPr>
        <w:instrText xml:space="preserve"> REF _Ref244852380 \r \h </w:instrText>
      </w:r>
      <w:r w:rsidR="00217C1D">
        <w:rPr>
          <w:rFonts w:ascii="Times New Roman" w:hAnsi="Times New Roman" w:cs="Times New Roman"/>
          <w:sz w:val="24"/>
          <w:szCs w:val="24"/>
        </w:rPr>
      </w:r>
      <w:r w:rsidR="00217C1D">
        <w:rPr>
          <w:rFonts w:ascii="Times New Roman" w:hAnsi="Times New Roman" w:cs="Times New Roman"/>
          <w:sz w:val="24"/>
          <w:szCs w:val="24"/>
        </w:rPr>
        <w:fldChar w:fldCharType="separate"/>
      </w:r>
      <w:r w:rsidR="008F29E5">
        <w:rPr>
          <w:rFonts w:ascii="Times New Roman" w:hAnsi="Times New Roman" w:cs="Times New Roman"/>
          <w:sz w:val="24"/>
          <w:szCs w:val="24"/>
        </w:rPr>
        <w:t>52</w:t>
      </w:r>
      <w:r w:rsidR="00217C1D">
        <w:rPr>
          <w:rFonts w:ascii="Times New Roman" w:hAnsi="Times New Roman" w:cs="Times New Roman"/>
          <w:sz w:val="24"/>
          <w:szCs w:val="24"/>
        </w:rPr>
        <w:fldChar w:fldCharType="end"/>
      </w:r>
      <w:r w:rsidR="00217C1D" w:rsidRPr="00A9036D">
        <w:rPr>
          <w:rFonts w:ascii="Times New Roman" w:hAnsi="Times New Roman" w:cs="Times New Roman"/>
          <w:sz w:val="24"/>
          <w:szCs w:val="24"/>
        </w:rPr>
        <w:t xml:space="preserve">,  og </w:t>
      </w:r>
      <w:r w:rsidR="00217C1D">
        <w:rPr>
          <w:rFonts w:ascii="Times New Roman" w:hAnsi="Times New Roman" w:cs="Times New Roman"/>
          <w:sz w:val="24"/>
          <w:szCs w:val="24"/>
        </w:rPr>
        <w:fldChar w:fldCharType="begin"/>
      </w:r>
      <w:r w:rsidR="00217C1D">
        <w:rPr>
          <w:rFonts w:ascii="Times New Roman" w:hAnsi="Times New Roman" w:cs="Times New Roman"/>
          <w:sz w:val="24"/>
          <w:szCs w:val="24"/>
        </w:rPr>
        <w:instrText xml:space="preserve"> REF _Ref239151441 \r \h </w:instrText>
      </w:r>
      <w:r w:rsidR="00217C1D">
        <w:rPr>
          <w:rFonts w:ascii="Times New Roman" w:hAnsi="Times New Roman" w:cs="Times New Roman"/>
          <w:sz w:val="24"/>
          <w:szCs w:val="24"/>
        </w:rPr>
      </w:r>
      <w:r w:rsidR="00217C1D">
        <w:rPr>
          <w:rFonts w:ascii="Times New Roman" w:hAnsi="Times New Roman" w:cs="Times New Roman"/>
          <w:sz w:val="24"/>
          <w:szCs w:val="24"/>
        </w:rPr>
        <w:fldChar w:fldCharType="separate"/>
      </w:r>
      <w:r w:rsidR="008F29E5">
        <w:rPr>
          <w:rFonts w:ascii="Times New Roman" w:hAnsi="Times New Roman" w:cs="Times New Roman"/>
          <w:sz w:val="24"/>
          <w:szCs w:val="24"/>
        </w:rPr>
        <w:t>63</w:t>
      </w:r>
      <w:r w:rsidR="00217C1D">
        <w:rPr>
          <w:rFonts w:ascii="Times New Roman" w:hAnsi="Times New Roman" w:cs="Times New Roman"/>
          <w:sz w:val="24"/>
          <w:szCs w:val="24"/>
        </w:rPr>
        <w:fldChar w:fldCharType="end"/>
      </w:r>
      <w:r w:rsidR="00217C1D" w:rsidRPr="00A9036D">
        <w:rPr>
          <w:rFonts w:ascii="Times New Roman" w:hAnsi="Times New Roman" w:cs="Times New Roman"/>
          <w:sz w:val="24"/>
          <w:szCs w:val="24"/>
        </w:rPr>
        <w:t>-</w:t>
      </w:r>
      <w:r w:rsidR="00217C1D">
        <w:rPr>
          <w:rFonts w:ascii="Times New Roman" w:hAnsi="Times New Roman" w:cs="Times New Roman"/>
          <w:sz w:val="24"/>
          <w:szCs w:val="24"/>
        </w:rPr>
        <w:fldChar w:fldCharType="begin"/>
      </w:r>
      <w:r w:rsidR="00217C1D">
        <w:rPr>
          <w:rFonts w:ascii="Times New Roman" w:hAnsi="Times New Roman" w:cs="Times New Roman"/>
          <w:sz w:val="24"/>
          <w:szCs w:val="24"/>
        </w:rPr>
        <w:instrText xml:space="preserve"> REF _Ref232597333 \r \h </w:instrText>
      </w:r>
      <w:r w:rsidR="00217C1D">
        <w:rPr>
          <w:rFonts w:ascii="Times New Roman" w:hAnsi="Times New Roman" w:cs="Times New Roman"/>
          <w:sz w:val="24"/>
          <w:szCs w:val="24"/>
        </w:rPr>
      </w:r>
      <w:r w:rsidR="00217C1D">
        <w:rPr>
          <w:rFonts w:ascii="Times New Roman" w:hAnsi="Times New Roman" w:cs="Times New Roman"/>
          <w:sz w:val="24"/>
          <w:szCs w:val="24"/>
        </w:rPr>
        <w:fldChar w:fldCharType="separate"/>
      </w:r>
      <w:r w:rsidR="008F29E5">
        <w:rPr>
          <w:rFonts w:ascii="Times New Roman" w:hAnsi="Times New Roman" w:cs="Times New Roman"/>
          <w:sz w:val="24"/>
          <w:szCs w:val="24"/>
        </w:rPr>
        <w:t>67</w:t>
      </w:r>
      <w:r w:rsidR="00217C1D">
        <w:rPr>
          <w:rFonts w:ascii="Times New Roman" w:hAnsi="Times New Roman" w:cs="Times New Roman"/>
          <w:sz w:val="24"/>
          <w:szCs w:val="24"/>
        </w:rPr>
        <w:fldChar w:fldCharType="end"/>
      </w:r>
      <w:r w:rsidR="00217C1D">
        <w:rPr>
          <w:rFonts w:ascii="Times New Roman" w:hAnsi="Times New Roman" w:cs="Times New Roman"/>
          <w:sz w:val="24"/>
          <w:szCs w:val="24"/>
        </w:rPr>
        <w:t xml:space="preserve"> </w:t>
      </w:r>
      <w:r w:rsidRPr="00A9036D">
        <w:rPr>
          <w:rFonts w:ascii="Times New Roman" w:hAnsi="Times New Roman" w:cs="Times New Roman"/>
          <w:sz w:val="24"/>
          <w:szCs w:val="24"/>
        </w:rPr>
        <w:t>fået kompetence til at udstede tilsynsreaktioner, som eksempelvis inddragelse af en virksomheds tilladelse til valutavekslingsvirksomhed og i visse tilfælde påbyde virksomheder og personer, at de midlertidigt ikke må udøve en af Finanstilsynets nærmere afgrænset forretningsaktivitet, at de skal afhænde aktiviteter eller afsætte en person fra den øverste ledelse.</w:t>
      </w:r>
    </w:p>
    <w:p w14:paraId="0C2F1900" w14:textId="77777777" w:rsidR="00327FF0" w:rsidRPr="00796736" w:rsidRDefault="00327FF0" w:rsidP="00A802A5">
      <w:pPr>
        <w:spacing w:line="360" w:lineRule="auto"/>
        <w:rPr>
          <w:rFonts w:ascii="Times New Roman" w:hAnsi="Times New Roman" w:cs="Times New Roman"/>
          <w:sz w:val="24"/>
          <w:szCs w:val="24"/>
        </w:rPr>
      </w:pPr>
    </w:p>
    <w:p w14:paraId="05DEDF2F" w14:textId="17C14874"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58, jf. </w:t>
      </w:r>
      <w:r w:rsidR="0022195D">
        <w:rPr>
          <w:rFonts w:ascii="Times New Roman" w:hAnsi="Times New Roman" w:cs="Times New Roman"/>
          <w:sz w:val="24"/>
          <w:szCs w:val="24"/>
        </w:rPr>
        <w:fldChar w:fldCharType="begin"/>
      </w:r>
      <w:r w:rsidR="0022195D">
        <w:rPr>
          <w:rFonts w:ascii="Times New Roman" w:hAnsi="Times New Roman" w:cs="Times New Roman"/>
          <w:sz w:val="24"/>
          <w:szCs w:val="24"/>
        </w:rPr>
        <w:instrText xml:space="preserve"> REF _Ref232597084 \r \h </w:instrText>
      </w:r>
      <w:r w:rsidR="0022195D">
        <w:rPr>
          <w:rFonts w:ascii="Times New Roman" w:hAnsi="Times New Roman" w:cs="Times New Roman"/>
          <w:sz w:val="24"/>
          <w:szCs w:val="24"/>
        </w:rPr>
      </w:r>
      <w:r w:rsidR="0022195D">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0022195D">
        <w:rPr>
          <w:rFonts w:ascii="Times New Roman" w:hAnsi="Times New Roman" w:cs="Times New Roman"/>
          <w:sz w:val="24"/>
          <w:szCs w:val="24"/>
        </w:rPr>
        <w:fldChar w:fldCharType="end"/>
      </w:r>
      <w:r w:rsidR="0022195D">
        <w:rPr>
          <w:rFonts w:ascii="Times New Roman" w:hAnsi="Times New Roman" w:cs="Times New Roman"/>
          <w:sz w:val="24"/>
          <w:szCs w:val="24"/>
        </w:rPr>
        <w:t xml:space="preserve">, </w:t>
      </w:r>
      <w:r w:rsidRPr="00796736">
        <w:rPr>
          <w:rFonts w:ascii="Times New Roman" w:hAnsi="Times New Roman" w:cs="Times New Roman"/>
          <w:sz w:val="24"/>
          <w:szCs w:val="24"/>
        </w:rPr>
        <w:t>stk. 2, litra d-g, i det 6. hvidvaskdirektiv, at disse afgørelser ligesom i dag skal kunne offentliggøres.</w:t>
      </w:r>
    </w:p>
    <w:p w14:paraId="5C07636B" w14:textId="77777777" w:rsidR="00327FF0" w:rsidRPr="00796736" w:rsidRDefault="00327FF0" w:rsidP="00A802A5">
      <w:pPr>
        <w:spacing w:line="360" w:lineRule="auto"/>
        <w:rPr>
          <w:rFonts w:ascii="Times New Roman" w:hAnsi="Times New Roman" w:cs="Times New Roman"/>
          <w:sz w:val="24"/>
          <w:szCs w:val="24"/>
        </w:rPr>
      </w:pPr>
    </w:p>
    <w:p w14:paraId="726FEAE4" w14:textId="47B55F48" w:rsidR="00776F2C" w:rsidRPr="00A9036D" w:rsidRDefault="00776F2C" w:rsidP="00776F2C">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Det foreslås i </w:t>
      </w:r>
      <w:r w:rsidRPr="00A9036D">
        <w:rPr>
          <w:rFonts w:ascii="Times New Roman" w:hAnsi="Times New Roman" w:cs="Times New Roman"/>
          <w:i/>
          <w:iCs/>
          <w:sz w:val="24"/>
          <w:szCs w:val="24"/>
        </w:rPr>
        <w:t>stk. 4</w:t>
      </w:r>
      <w:r w:rsidRPr="00A9036D">
        <w:rPr>
          <w:rFonts w:ascii="Times New Roman" w:hAnsi="Times New Roman" w:cs="Times New Roman"/>
          <w:sz w:val="24"/>
          <w:szCs w:val="24"/>
        </w:rPr>
        <w:t xml:space="preserve">, at Finanstilsynet kan offentliggøre en redegørelse om Finanstilsynets praksis efter </w:t>
      </w:r>
      <w:r w:rsidR="004F7882" w:rsidRPr="00796736">
        <w:rPr>
          <w:rFonts w:ascii="Times New Roman" w:hAnsi="Times New Roman" w:cs="Times New Roman"/>
          <w:sz w:val="24"/>
          <w:szCs w:val="24"/>
        </w:rPr>
        <w:fldChar w:fldCharType="begin"/>
      </w:r>
      <w:r w:rsidR="004F7882" w:rsidRPr="00796736">
        <w:rPr>
          <w:rFonts w:ascii="Times New Roman" w:hAnsi="Times New Roman" w:cs="Times New Roman"/>
          <w:sz w:val="24"/>
          <w:szCs w:val="24"/>
        </w:rPr>
        <w:instrText xml:space="preserve"> REF _Ref232596808 \r \h  \* MERGEFORMAT </w:instrText>
      </w:r>
      <w:r w:rsidR="004F7882" w:rsidRPr="00796736">
        <w:rPr>
          <w:rFonts w:ascii="Times New Roman" w:hAnsi="Times New Roman" w:cs="Times New Roman"/>
          <w:sz w:val="24"/>
          <w:szCs w:val="24"/>
        </w:rPr>
      </w:r>
      <w:r w:rsidR="004F7882"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4F7882" w:rsidRPr="00796736">
        <w:rPr>
          <w:rFonts w:ascii="Times New Roman" w:hAnsi="Times New Roman" w:cs="Times New Roman"/>
          <w:sz w:val="24"/>
          <w:szCs w:val="24"/>
        </w:rPr>
        <w:fldChar w:fldCharType="end"/>
      </w:r>
      <w:r w:rsidR="004F7882" w:rsidRPr="00796736">
        <w:rPr>
          <w:rFonts w:ascii="Times New Roman" w:hAnsi="Times New Roman" w:cs="Times New Roman"/>
          <w:sz w:val="24"/>
          <w:szCs w:val="24"/>
        </w:rPr>
        <w:t xml:space="preserve">, stk. 1, og </w:t>
      </w:r>
      <w:r w:rsidR="004F7882" w:rsidRPr="00796736">
        <w:rPr>
          <w:rFonts w:ascii="Times New Roman" w:hAnsi="Times New Roman" w:cs="Times New Roman"/>
          <w:sz w:val="24"/>
          <w:szCs w:val="24"/>
        </w:rPr>
        <w:fldChar w:fldCharType="begin"/>
      </w:r>
      <w:r w:rsidR="004F7882" w:rsidRPr="00796736">
        <w:rPr>
          <w:rFonts w:ascii="Times New Roman" w:hAnsi="Times New Roman" w:cs="Times New Roman"/>
          <w:sz w:val="24"/>
          <w:szCs w:val="24"/>
        </w:rPr>
        <w:instrText xml:space="preserve"> REF _Ref232596960 \r \h  \* MERGEFORMAT </w:instrText>
      </w:r>
      <w:r w:rsidR="004F7882" w:rsidRPr="00796736">
        <w:rPr>
          <w:rFonts w:ascii="Times New Roman" w:hAnsi="Times New Roman" w:cs="Times New Roman"/>
          <w:sz w:val="24"/>
          <w:szCs w:val="24"/>
        </w:rPr>
      </w:r>
      <w:r w:rsidR="004F7882"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4F7882" w:rsidRPr="00796736">
        <w:rPr>
          <w:rFonts w:ascii="Times New Roman" w:hAnsi="Times New Roman" w:cs="Times New Roman"/>
          <w:sz w:val="24"/>
          <w:szCs w:val="24"/>
        </w:rPr>
        <w:fldChar w:fldCharType="end"/>
      </w:r>
      <w:r w:rsidRPr="00A9036D">
        <w:rPr>
          <w:rFonts w:ascii="Times New Roman" w:hAnsi="Times New Roman" w:cs="Times New Roman"/>
          <w:sz w:val="24"/>
          <w:szCs w:val="24"/>
        </w:rPr>
        <w:t>, stk. 4, i det omfang der er sager, som er relevante for at øge transparensen om Finanstilsynets praksis ved egnethedsvurderinger.</w:t>
      </w:r>
    </w:p>
    <w:p w14:paraId="55CA569A" w14:textId="77777777" w:rsidR="00327FF0" w:rsidRPr="00796736" w:rsidRDefault="00327FF0" w:rsidP="00A802A5">
      <w:pPr>
        <w:spacing w:line="360" w:lineRule="auto"/>
        <w:rPr>
          <w:rFonts w:ascii="Times New Roman" w:hAnsi="Times New Roman" w:cs="Times New Roman"/>
          <w:sz w:val="24"/>
          <w:szCs w:val="24"/>
        </w:rPr>
      </w:pPr>
    </w:p>
    <w:p w14:paraId="4E692AF6" w14:textId="0B4C2D63"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w:t>
      </w:r>
      <w:r w:rsidR="00510C9F" w:rsidRPr="00796736">
        <w:rPr>
          <w:rFonts w:ascii="Times New Roman" w:hAnsi="Times New Roman" w:cs="Times New Roman"/>
          <w:sz w:val="24"/>
          <w:szCs w:val="24"/>
        </w:rPr>
        <w:t xml:space="preserve"> </w:t>
      </w:r>
      <w:r w:rsidR="00510C9F" w:rsidRPr="00796736">
        <w:rPr>
          <w:rFonts w:ascii="Times New Roman" w:hAnsi="Times New Roman" w:cs="Times New Roman"/>
          <w:sz w:val="24"/>
          <w:szCs w:val="24"/>
        </w:rPr>
        <w:fldChar w:fldCharType="begin"/>
      </w:r>
      <w:r w:rsidR="00510C9F"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510C9F" w:rsidRPr="00796736">
        <w:rPr>
          <w:rFonts w:ascii="Times New Roman" w:hAnsi="Times New Roman" w:cs="Times New Roman"/>
          <w:sz w:val="24"/>
          <w:szCs w:val="24"/>
        </w:rPr>
      </w:r>
      <w:r w:rsidR="00510C9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510C9F"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4, viderefører § 55, stk. 9, i hvidvaskloven uden ændringer.</w:t>
      </w:r>
    </w:p>
    <w:p w14:paraId="33A1F11D" w14:textId="77777777" w:rsidR="00327FF0" w:rsidRPr="00796736" w:rsidRDefault="00327FF0" w:rsidP="00A802A5">
      <w:pPr>
        <w:spacing w:line="360" w:lineRule="auto"/>
        <w:rPr>
          <w:rFonts w:ascii="Times New Roman" w:hAnsi="Times New Roman" w:cs="Times New Roman"/>
          <w:sz w:val="24"/>
          <w:szCs w:val="24"/>
        </w:rPr>
      </w:pPr>
    </w:p>
    <w:p w14:paraId="66ABC5E4" w14:textId="3CCCD492"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w:t>
      </w:r>
      <w:r w:rsidR="00510C9F" w:rsidRPr="00796736">
        <w:rPr>
          <w:rFonts w:ascii="Times New Roman" w:hAnsi="Times New Roman" w:cs="Times New Roman"/>
          <w:sz w:val="24"/>
          <w:szCs w:val="24"/>
        </w:rPr>
        <w:t xml:space="preserve"> </w:t>
      </w:r>
      <w:r w:rsidR="00510C9F" w:rsidRPr="00796736">
        <w:rPr>
          <w:rFonts w:ascii="Times New Roman" w:hAnsi="Times New Roman" w:cs="Times New Roman"/>
          <w:sz w:val="24"/>
          <w:szCs w:val="24"/>
        </w:rPr>
        <w:fldChar w:fldCharType="begin"/>
      </w:r>
      <w:r w:rsidR="00510C9F"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510C9F" w:rsidRPr="00796736">
        <w:rPr>
          <w:rFonts w:ascii="Times New Roman" w:hAnsi="Times New Roman" w:cs="Times New Roman"/>
          <w:sz w:val="24"/>
          <w:szCs w:val="24"/>
        </w:rPr>
      </w:r>
      <w:r w:rsidR="00510C9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510C9F"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4, indebærer, at Finanstilsynet kan offentliggøre en redegørelse om tilsynets praksis for egnethedsvurderinger af bestyrelses-og direktionsmedlemmer i valutavekslingsvirksomheder og finansielle holdingselskaber med blandet aktivitet, hvis der er sager, som er relevante for at øge transparensen om Finanstilsynets praksis mod offentligheden. </w:t>
      </w:r>
    </w:p>
    <w:p w14:paraId="66D3AC4B" w14:textId="77777777" w:rsidR="00327FF0" w:rsidRPr="00796736" w:rsidRDefault="00327FF0" w:rsidP="00A802A5">
      <w:pPr>
        <w:spacing w:line="360" w:lineRule="auto"/>
        <w:rPr>
          <w:rFonts w:ascii="Times New Roman" w:hAnsi="Times New Roman" w:cs="Times New Roman"/>
          <w:sz w:val="24"/>
          <w:szCs w:val="24"/>
        </w:rPr>
      </w:pPr>
    </w:p>
    <w:p w14:paraId="6185ABBC"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Redegørelsen, der vil have fokus på positive egnethedsafgørelser, kan afgives i form af f.eks. kommenteret beskrivelse af den retningsskabende praksis på området samt dertil knyttede udtalelser af vejledende karakter, som kan bidrage til at afstemme forventningerne mellem virksomhederne og Finanstilsynet med hensyn til, hvordan konkrete sager vurderes.</w:t>
      </w:r>
    </w:p>
    <w:p w14:paraId="601A3A1D" w14:textId="77777777" w:rsidR="00327FF0" w:rsidRPr="00796736" w:rsidRDefault="00327FF0" w:rsidP="00A802A5">
      <w:pPr>
        <w:spacing w:line="360" w:lineRule="auto"/>
        <w:rPr>
          <w:rFonts w:ascii="Times New Roman" w:hAnsi="Times New Roman" w:cs="Times New Roman"/>
          <w:sz w:val="24"/>
          <w:szCs w:val="24"/>
        </w:rPr>
      </w:pPr>
    </w:p>
    <w:p w14:paraId="69345D2C"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inddrage de afgørelser, som vurderes at bidrage til at øge kendskabet til Finanstilsynets praksis. Inddragelse af relevante afgørelser vil ske ud fra en konkret vurdering af den enkelte afgørelses relevans. Ved udarbejdelse af redegørelsen skal Finanstilsynet i videst mulig udstrækning søge at anonymisere personoplysninger, så de fysiske og juridiske personer, som oplysningerne vedrører, ikke kan identificeres.</w:t>
      </w:r>
    </w:p>
    <w:p w14:paraId="18E75DBE" w14:textId="77777777" w:rsidR="00327FF0" w:rsidRPr="00796736" w:rsidRDefault="00327FF0" w:rsidP="00A802A5">
      <w:pPr>
        <w:spacing w:line="360" w:lineRule="auto"/>
        <w:rPr>
          <w:rFonts w:ascii="Times New Roman" w:hAnsi="Times New Roman" w:cs="Times New Roman"/>
          <w:sz w:val="24"/>
          <w:szCs w:val="24"/>
        </w:rPr>
      </w:pPr>
    </w:p>
    <w:p w14:paraId="7F04060E"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Redegørelsen forventes at indeholde visse almindelige personoplysninger fra egnethedsvurderingerne, idet vurderingen heraf i høj grad er baseret på en konkret, individuel vurdering af, om kandidatens samlede viden, faglige kompetencer og erfaring matcher, hvad der må forventes for at kunne varetage den pågældende stilling. Det vurderes som udgangspunkt vanskeligt at give et retvisende billede af praksis uden at redegøre for alle de forhold, der er lagt vægt på i den konkrete vurdering. Idet afgørelserne er så konkret begrundet i konkrete oplysninger om kandidaten, kan det i praksis være vanskeligt at anonymisere omtalen af sagen tilstrækkeligt. I sager om positive egnethedsvurderinger vil der som udgangspunkt være tale om almindelige personoplysninger, som indgår i en begunstigende forvaltningsakt, og det vil dermed være tilstrækkeligt, at Finanstilsynet sikrer en anonymisering i form af, at det ikke umiddelbart er muligt for tredjeparter i offentligheden uden særlig tilknytning til sagen at genkende den pågældende. I redegørelsen kan indgå oplysninger om de kriterier, Finanstilsynet tillægger vægt i negative egnethedsafgørelser, hvis dette vurderes at være relevant for virksomhederne og kandidater. Når der i redegørelsen inddrages kriterier fra afgørelser eller vejledning, hvor kandidaten ikke vurderes egnet, vil Finanstilsynet sikre, at omtalen heraf er anonymiseret, så den fysiske person, som sagen vedrører, ikke kan identificeres. Hvis det ikke vurderes muligt at sikre en effektiv anonymisering, vil sagen og oplysningerne ikke indgå i redegørelsen.</w:t>
      </w:r>
    </w:p>
    <w:p w14:paraId="58694497" w14:textId="77777777" w:rsidR="00327FF0" w:rsidRPr="00796736" w:rsidRDefault="00327FF0" w:rsidP="00A802A5">
      <w:pPr>
        <w:spacing w:line="360" w:lineRule="auto"/>
        <w:rPr>
          <w:rFonts w:ascii="Times New Roman" w:hAnsi="Times New Roman" w:cs="Times New Roman"/>
          <w:sz w:val="24"/>
          <w:szCs w:val="24"/>
        </w:rPr>
      </w:pPr>
    </w:p>
    <w:p w14:paraId="5979384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Frekvensen af, hvor ofte en redegørelse offentliggøres bestemmes ud fra en konkret vurdering af behovet, herunder også antallet af afgørelser, der er truffet i perioden, og om der er truffet afgørelser, der vurderes væsentligt at kunne bidrage til at øge kendskabet til Finanstilsynets praksis.</w:t>
      </w:r>
    </w:p>
    <w:p w14:paraId="1A7123C9" w14:textId="77777777" w:rsidR="00327FF0" w:rsidRPr="00796736" w:rsidRDefault="00327FF0" w:rsidP="00A802A5">
      <w:pPr>
        <w:spacing w:line="360" w:lineRule="auto"/>
        <w:rPr>
          <w:rFonts w:ascii="Times New Roman" w:hAnsi="Times New Roman" w:cs="Times New Roman"/>
          <w:sz w:val="24"/>
          <w:szCs w:val="24"/>
        </w:rPr>
      </w:pPr>
    </w:p>
    <w:p w14:paraId="017692A4" w14:textId="36907726"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beskrivelse af tidspunkt for og varigheden af Finanstilsynets offentliggørelse henvises til bemærkningerne til </w:t>
      </w:r>
      <w:r w:rsidR="00510C9F" w:rsidRPr="00796736">
        <w:rPr>
          <w:rFonts w:ascii="Times New Roman" w:hAnsi="Times New Roman" w:cs="Times New Roman"/>
          <w:sz w:val="24"/>
          <w:szCs w:val="24"/>
        </w:rPr>
        <w:fldChar w:fldCharType="begin"/>
      </w:r>
      <w:r w:rsidR="00510C9F" w:rsidRPr="00796736">
        <w:rPr>
          <w:rFonts w:ascii="Times New Roman" w:hAnsi="Times New Roman" w:cs="Times New Roman"/>
          <w:sz w:val="24"/>
          <w:szCs w:val="24"/>
        </w:rPr>
        <w:instrText xml:space="preserve"> REF _Ref232597521 \r \h </w:instrText>
      </w:r>
      <w:r w:rsidR="00F375BF" w:rsidRPr="00796736">
        <w:rPr>
          <w:rFonts w:ascii="Times New Roman" w:hAnsi="Times New Roman" w:cs="Times New Roman"/>
          <w:sz w:val="24"/>
          <w:szCs w:val="24"/>
        </w:rPr>
        <w:instrText xml:space="preserve"> \* MERGEFORMAT </w:instrText>
      </w:r>
      <w:r w:rsidR="00510C9F" w:rsidRPr="00796736">
        <w:rPr>
          <w:rFonts w:ascii="Times New Roman" w:hAnsi="Times New Roman" w:cs="Times New Roman"/>
          <w:sz w:val="24"/>
          <w:szCs w:val="24"/>
        </w:rPr>
      </w:r>
      <w:r w:rsidR="00510C9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74</w:t>
      </w:r>
      <w:r w:rsidR="00510C9F"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lovforslaget. For beskrivelse af undtagelserne til offentliggørelse henvises til bemærkningerne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_Ref232597480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w:t>
      </w:r>
      <w:r w:rsidR="00510C9F" w:rsidRPr="00796736">
        <w:rPr>
          <w:rFonts w:ascii="Times New Roman" w:hAnsi="Times New Roman" w:cs="Times New Roman"/>
          <w:sz w:val="24"/>
          <w:szCs w:val="24"/>
        </w:rPr>
        <w:t xml:space="preserve"> </w:t>
      </w:r>
      <w:r w:rsidR="00510C9F" w:rsidRPr="00796736">
        <w:rPr>
          <w:rFonts w:ascii="Times New Roman" w:hAnsi="Times New Roman" w:cs="Times New Roman"/>
          <w:sz w:val="24"/>
          <w:szCs w:val="24"/>
        </w:rPr>
        <w:fldChar w:fldCharType="begin"/>
      </w:r>
      <w:r w:rsidR="00510C9F" w:rsidRPr="00796736">
        <w:rPr>
          <w:rFonts w:ascii="Times New Roman"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510C9F" w:rsidRPr="00796736">
        <w:rPr>
          <w:rFonts w:ascii="Times New Roman" w:hAnsi="Times New Roman" w:cs="Times New Roman"/>
          <w:sz w:val="24"/>
          <w:szCs w:val="24"/>
        </w:rPr>
      </w:r>
      <w:r w:rsidR="00510C9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510C9F"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3CE44F08" w14:textId="77777777" w:rsidR="00327FF0" w:rsidRPr="00796736" w:rsidRDefault="00327FF0" w:rsidP="00A802A5">
      <w:pPr>
        <w:spacing w:line="360" w:lineRule="auto"/>
        <w:rPr>
          <w:rFonts w:ascii="Times New Roman" w:hAnsi="Times New Roman" w:cs="Times New Roman"/>
          <w:sz w:val="24"/>
          <w:szCs w:val="24"/>
        </w:rPr>
      </w:pPr>
    </w:p>
    <w:p w14:paraId="1DB8BB41"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er tale om en fravigelse af databeskyttelseslovgivningens regler, jf. databeskyttelsesloven § 1, stk. 3, om behandling af personoplysninger i anden lovgivning inden for databeskyttelsesforordningens rammer for særregler om behandling af personoplysninger, der går forud for reglerne i databeskyttelsesloven.</w:t>
      </w:r>
    </w:p>
    <w:p w14:paraId="6410DDF8" w14:textId="77777777" w:rsidR="00377D64" w:rsidRPr="00796736" w:rsidRDefault="00377D64" w:rsidP="00A802A5">
      <w:pPr>
        <w:spacing w:line="360" w:lineRule="auto"/>
        <w:rPr>
          <w:rFonts w:ascii="Times New Roman" w:hAnsi="Times New Roman" w:cs="Times New Roman"/>
          <w:i/>
          <w:iCs/>
          <w:sz w:val="24"/>
          <w:szCs w:val="24"/>
        </w:rPr>
      </w:pPr>
    </w:p>
    <w:p w14:paraId="4C1E5DD0" w14:textId="77777777" w:rsidR="006A4301" w:rsidRPr="00796736" w:rsidRDefault="006A4301" w:rsidP="00A802A5">
      <w:pPr>
        <w:spacing w:line="360" w:lineRule="auto"/>
        <w:rPr>
          <w:rFonts w:ascii="Times New Roman" w:hAnsi="Times New Roman" w:cs="Times New Roman"/>
          <w:i/>
          <w:iCs/>
          <w:sz w:val="24"/>
          <w:szCs w:val="24"/>
        </w:rPr>
      </w:pPr>
    </w:p>
    <w:p w14:paraId="752D1EEB" w14:textId="6850EE4C" w:rsidR="00240DBE" w:rsidRPr="00796736" w:rsidRDefault="00240DBE" w:rsidP="00A802A5">
      <w:pPr>
        <w:pStyle w:val="Undertitel"/>
      </w:pPr>
      <w:bookmarkStart w:id="2070" w:name="_Toc232109404"/>
      <w:bookmarkStart w:id="2071" w:name="_Toc244879366"/>
      <w:bookmarkStart w:id="2072" w:name="_Toc244880891"/>
      <w:r w:rsidRPr="00796736">
        <w:t xml:space="preserve">Til </w:t>
      </w:r>
      <w:bookmarkEnd w:id="2070"/>
      <w:r w:rsidR="00327FF0" w:rsidRPr="00796736">
        <w:fldChar w:fldCharType="begin"/>
      </w:r>
      <w:r w:rsidR="00327FF0" w:rsidRPr="00796736">
        <w:instrText xml:space="preserve"> REF _Ref239793719 \r \h </w:instrText>
      </w:r>
      <w:r w:rsidR="00F375BF" w:rsidRPr="00796736">
        <w:instrText xml:space="preserve"> \* MERGEFORMAT </w:instrText>
      </w:r>
      <w:r w:rsidR="00327FF0" w:rsidRPr="00796736">
        <w:fldChar w:fldCharType="separate"/>
      </w:r>
      <w:r w:rsidR="008F29E5">
        <w:t>§ 70</w:t>
      </w:r>
      <w:bookmarkEnd w:id="2071"/>
      <w:bookmarkEnd w:id="2072"/>
      <w:r w:rsidR="00327FF0" w:rsidRPr="00796736">
        <w:fldChar w:fldCharType="end"/>
      </w:r>
    </w:p>
    <w:p w14:paraId="752E7AC3" w14:textId="77777777" w:rsidR="00F764CA" w:rsidRPr="00796736" w:rsidRDefault="00F764CA" w:rsidP="00A802A5">
      <w:pPr>
        <w:spacing w:line="360" w:lineRule="auto"/>
        <w:rPr>
          <w:rFonts w:ascii="Times New Roman" w:hAnsi="Times New Roman" w:cs="Times New Roman"/>
          <w:sz w:val="24"/>
          <w:szCs w:val="24"/>
          <w:lang w:eastAsia="da-DK"/>
        </w:rPr>
      </w:pPr>
    </w:p>
    <w:p w14:paraId="06CDB3B1"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 55, stk. 4, 7. pkt., i hvidvaskloven fastsætter, at såfremt en reaktion, der offentliggøres i henhold til § 55 stk. 1, 1. pkt., indbringes for Erhvervsankenævnet eller domstolene, skal dette fremgå af Finanstilsynets offentliggørelse, og det efterfølgende resultat af Erhvervsankenævnets eller domstolenes afgørelse skal ligeledes offentliggøres på Finanstilsynets hjemmeside hurtigst muligt. </w:t>
      </w:r>
    </w:p>
    <w:p w14:paraId="1C734534" w14:textId="77777777" w:rsidR="00327FF0" w:rsidRPr="00796736" w:rsidRDefault="00327FF0" w:rsidP="00A802A5">
      <w:pPr>
        <w:spacing w:line="360" w:lineRule="auto"/>
        <w:rPr>
          <w:rFonts w:ascii="Times New Roman" w:eastAsia="Calibri" w:hAnsi="Times New Roman" w:cs="Times New Roman"/>
          <w:sz w:val="24"/>
          <w:szCs w:val="24"/>
          <w:highlight w:val="yellow"/>
        </w:rPr>
      </w:pPr>
    </w:p>
    <w:p w14:paraId="0D329355" w14:textId="522F9356" w:rsidR="00327FF0"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w:t>
      </w:r>
      <w:r w:rsidR="00510C9F" w:rsidRPr="00796736">
        <w:rPr>
          <w:rFonts w:ascii="Times New Roman" w:eastAsia="Calibri" w:hAnsi="Times New Roman" w:cs="Times New Roman"/>
          <w:sz w:val="24"/>
          <w:szCs w:val="24"/>
        </w:rPr>
        <w:fldChar w:fldCharType="begin"/>
      </w:r>
      <w:r w:rsidR="00510C9F" w:rsidRPr="00796736">
        <w:rPr>
          <w:rFonts w:ascii="Times New Roman" w:eastAsia="Calibri" w:hAnsi="Times New Roman" w:cs="Times New Roman"/>
          <w:sz w:val="24"/>
          <w:szCs w:val="24"/>
        </w:rPr>
        <w:instrText xml:space="preserve"> REF _Ref239793719 \r \h </w:instrText>
      </w:r>
      <w:r w:rsidR="00F375BF" w:rsidRPr="00796736">
        <w:rPr>
          <w:rFonts w:ascii="Times New Roman" w:eastAsia="Calibri" w:hAnsi="Times New Roman" w:cs="Times New Roman"/>
          <w:sz w:val="24"/>
          <w:szCs w:val="24"/>
        </w:rPr>
        <w:instrText xml:space="preserve"> \* MERGEFORMAT </w:instrText>
      </w:r>
      <w:r w:rsidR="00510C9F" w:rsidRPr="00796736">
        <w:rPr>
          <w:rFonts w:ascii="Times New Roman" w:eastAsia="Calibri" w:hAnsi="Times New Roman" w:cs="Times New Roman"/>
          <w:sz w:val="24"/>
          <w:szCs w:val="24"/>
        </w:rPr>
      </w:r>
      <w:r w:rsidR="00510C9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70</w:t>
      </w:r>
      <w:r w:rsidR="00510C9F" w:rsidRPr="00796736">
        <w:rPr>
          <w:rFonts w:ascii="Times New Roman" w:eastAsia="Calibri" w:hAnsi="Times New Roman" w:cs="Times New Roman"/>
          <w:sz w:val="24"/>
          <w:szCs w:val="24"/>
        </w:rPr>
        <w:fldChar w:fldCharType="end"/>
      </w:r>
      <w:r w:rsidR="00510C9F"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viderefører indholdet af § 55, stk. 4, 7. pkt., i hvidvaskloven med sproglige og redaktionelle ændringer</w:t>
      </w:r>
      <w:r w:rsidR="00416EB0">
        <w:rPr>
          <w:rFonts w:ascii="Times New Roman" w:eastAsia="Calibri" w:hAnsi="Times New Roman" w:cs="Times New Roman"/>
          <w:sz w:val="24"/>
          <w:szCs w:val="24"/>
        </w:rPr>
        <w:t xml:space="preserve"> </w:t>
      </w:r>
      <w:r w:rsidR="00416EB0" w:rsidRPr="00A9036D">
        <w:rPr>
          <w:rFonts w:ascii="Times New Roman" w:eastAsia="Calibri" w:hAnsi="Times New Roman" w:cs="Times New Roman"/>
          <w:sz w:val="24"/>
          <w:szCs w:val="24"/>
        </w:rPr>
        <w:t xml:space="preserve">og udvider anvendelsesområdet med offentliggørelser, som sker i henhold til regler udstedt i medfør af </w:t>
      </w:r>
      <w:r w:rsidR="00416EB0">
        <w:rPr>
          <w:rFonts w:ascii="Times New Roman" w:eastAsia="Calibri" w:hAnsi="Times New Roman" w:cs="Times New Roman"/>
          <w:sz w:val="24"/>
          <w:szCs w:val="24"/>
        </w:rPr>
        <w:fldChar w:fldCharType="begin"/>
      </w:r>
      <w:r w:rsidR="00416EB0">
        <w:rPr>
          <w:rFonts w:ascii="Times New Roman" w:eastAsia="Calibri" w:hAnsi="Times New Roman" w:cs="Times New Roman"/>
          <w:sz w:val="24"/>
          <w:szCs w:val="24"/>
        </w:rPr>
        <w:instrText xml:space="preserve"> REF _Ref244855727 \r \h </w:instrText>
      </w:r>
      <w:r w:rsidR="00416EB0">
        <w:rPr>
          <w:rFonts w:ascii="Times New Roman" w:eastAsia="Calibri" w:hAnsi="Times New Roman" w:cs="Times New Roman"/>
          <w:sz w:val="24"/>
          <w:szCs w:val="24"/>
        </w:rPr>
      </w:r>
      <w:r w:rsidR="00416EB0">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68</w:t>
      </w:r>
      <w:r w:rsidR="00416EB0">
        <w:rPr>
          <w:rFonts w:ascii="Times New Roman" w:eastAsia="Calibri" w:hAnsi="Times New Roman" w:cs="Times New Roman"/>
          <w:sz w:val="24"/>
          <w:szCs w:val="24"/>
        </w:rPr>
        <w:fldChar w:fldCharType="end"/>
      </w:r>
      <w:r w:rsidR="00416EB0" w:rsidRPr="00A9036D">
        <w:rPr>
          <w:rFonts w:ascii="Times New Roman" w:eastAsia="Calibri" w:hAnsi="Times New Roman" w:cs="Times New Roman"/>
          <w:sz w:val="24"/>
          <w:szCs w:val="24"/>
        </w:rPr>
        <w:t>.</w:t>
      </w:r>
    </w:p>
    <w:p w14:paraId="41FC010C" w14:textId="77777777" w:rsidR="008D3958" w:rsidRDefault="008D3958" w:rsidP="00A802A5">
      <w:pPr>
        <w:spacing w:line="360" w:lineRule="auto"/>
        <w:rPr>
          <w:rFonts w:ascii="Times New Roman" w:eastAsia="Calibri" w:hAnsi="Times New Roman" w:cs="Times New Roman"/>
          <w:sz w:val="24"/>
          <w:szCs w:val="24"/>
        </w:rPr>
      </w:pPr>
    </w:p>
    <w:p w14:paraId="42F8484D" w14:textId="77777777" w:rsidR="008D3958" w:rsidRPr="00A9036D" w:rsidRDefault="008D3958" w:rsidP="008D3958">
      <w:pPr>
        <w:spacing w:line="360" w:lineRule="auto"/>
        <w:rPr>
          <w:rFonts w:ascii="Times New Roman" w:eastAsia="Calibri" w:hAnsi="Times New Roman" w:cs="Times New Roman"/>
          <w:sz w:val="24"/>
          <w:szCs w:val="24"/>
        </w:rPr>
      </w:pPr>
      <w:r w:rsidRPr="00A9036D">
        <w:rPr>
          <w:rFonts w:ascii="Times New Roman" w:eastAsia="Calibri" w:hAnsi="Times New Roman" w:cs="Times New Roman"/>
          <w:sz w:val="24"/>
          <w:szCs w:val="24"/>
        </w:rPr>
        <w:t>Den foreslåede bestemmelse implementerer artikel 58, stk. 2, 3. pkt., i det 6. hvidvaskdirektiv.</w:t>
      </w:r>
    </w:p>
    <w:p w14:paraId="684AD7FD" w14:textId="77777777" w:rsidR="00327FF0" w:rsidRPr="00796736" w:rsidRDefault="00327FF0" w:rsidP="00A802A5">
      <w:pPr>
        <w:spacing w:line="360" w:lineRule="auto"/>
        <w:rPr>
          <w:rFonts w:ascii="Times New Roman" w:eastAsia="Calibri" w:hAnsi="Times New Roman" w:cs="Times New Roman"/>
          <w:sz w:val="24"/>
          <w:szCs w:val="24"/>
        </w:rPr>
      </w:pPr>
    </w:p>
    <w:p w14:paraId="1A4CFEA2" w14:textId="53D77172"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i </w:t>
      </w:r>
      <w:r w:rsidR="00510C9F" w:rsidRPr="00796736">
        <w:rPr>
          <w:rFonts w:ascii="Times New Roman" w:eastAsia="Calibri" w:hAnsi="Times New Roman" w:cs="Times New Roman"/>
          <w:sz w:val="24"/>
          <w:szCs w:val="24"/>
        </w:rPr>
        <w:fldChar w:fldCharType="begin"/>
      </w:r>
      <w:r w:rsidR="00510C9F" w:rsidRPr="00796736">
        <w:rPr>
          <w:rFonts w:ascii="Times New Roman" w:eastAsia="Calibri" w:hAnsi="Times New Roman" w:cs="Times New Roman"/>
          <w:sz w:val="24"/>
          <w:szCs w:val="24"/>
        </w:rPr>
        <w:instrText xml:space="preserve"> REF _Ref239793719 \r \h </w:instrText>
      </w:r>
      <w:r w:rsidR="00F375BF" w:rsidRPr="00796736">
        <w:rPr>
          <w:rFonts w:ascii="Times New Roman" w:eastAsia="Calibri" w:hAnsi="Times New Roman" w:cs="Times New Roman"/>
          <w:sz w:val="24"/>
          <w:szCs w:val="24"/>
        </w:rPr>
        <w:instrText xml:space="preserve"> \* MERGEFORMAT </w:instrText>
      </w:r>
      <w:r w:rsidR="00510C9F" w:rsidRPr="00796736">
        <w:rPr>
          <w:rFonts w:ascii="Times New Roman" w:eastAsia="Calibri" w:hAnsi="Times New Roman" w:cs="Times New Roman"/>
          <w:sz w:val="24"/>
          <w:szCs w:val="24"/>
        </w:rPr>
      </w:r>
      <w:r w:rsidR="00510C9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70</w:t>
      </w:r>
      <w:r w:rsidR="00510C9F"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at indbringes en reaktion m.v., der offentliggøres i henhold til </w:t>
      </w:r>
      <w:r w:rsidR="00510C9F" w:rsidRPr="00796736">
        <w:rPr>
          <w:rFonts w:ascii="Times New Roman" w:eastAsia="Calibri" w:hAnsi="Times New Roman" w:cs="Times New Roman"/>
          <w:sz w:val="24"/>
          <w:szCs w:val="24"/>
        </w:rPr>
        <w:fldChar w:fldCharType="begin"/>
      </w:r>
      <w:r w:rsidR="00510C9F" w:rsidRPr="00796736">
        <w:rPr>
          <w:rFonts w:ascii="Times New Roman" w:eastAsia="Calibri" w:hAnsi="Times New Roman" w:cs="Times New Roman"/>
          <w:sz w:val="24"/>
          <w:szCs w:val="24"/>
        </w:rPr>
        <w:instrText xml:space="preserve"> REF _Ref239790471 \r \h </w:instrText>
      </w:r>
      <w:r w:rsidR="00F375BF" w:rsidRPr="00796736">
        <w:rPr>
          <w:rFonts w:ascii="Times New Roman" w:eastAsia="Calibri" w:hAnsi="Times New Roman" w:cs="Times New Roman"/>
          <w:sz w:val="24"/>
          <w:szCs w:val="24"/>
        </w:rPr>
        <w:instrText xml:space="preserve"> \* MERGEFORMAT </w:instrText>
      </w:r>
      <w:r w:rsidR="00510C9F" w:rsidRPr="00796736">
        <w:rPr>
          <w:rFonts w:ascii="Times New Roman" w:eastAsia="Calibri" w:hAnsi="Times New Roman" w:cs="Times New Roman"/>
          <w:sz w:val="24"/>
          <w:szCs w:val="24"/>
        </w:rPr>
      </w:r>
      <w:r w:rsidR="00510C9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68</w:t>
      </w:r>
      <w:r w:rsidR="00510C9F" w:rsidRPr="00796736">
        <w:rPr>
          <w:rFonts w:ascii="Times New Roman" w:eastAsia="Calibri" w:hAnsi="Times New Roman" w:cs="Times New Roman"/>
          <w:sz w:val="24"/>
          <w:szCs w:val="24"/>
        </w:rPr>
        <w:fldChar w:fldCharType="end"/>
      </w:r>
      <w:r w:rsidR="008D3958">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regler udstedt i medfør heraf </w:t>
      </w:r>
      <w:r w:rsidR="00B32C33">
        <w:rPr>
          <w:rFonts w:ascii="Times New Roman" w:eastAsia="Calibri" w:hAnsi="Times New Roman" w:cs="Times New Roman"/>
          <w:sz w:val="24"/>
          <w:szCs w:val="24"/>
        </w:rPr>
        <w:t>eller</w:t>
      </w:r>
      <w:r w:rsidRPr="00796736">
        <w:rPr>
          <w:rFonts w:ascii="Times New Roman" w:eastAsia="Calibri" w:hAnsi="Times New Roman" w:cs="Times New Roman"/>
          <w:sz w:val="24"/>
          <w:szCs w:val="24"/>
        </w:rPr>
        <w:t xml:space="preserve"> </w:t>
      </w:r>
      <w:r w:rsidR="00510C9F" w:rsidRPr="00796736">
        <w:rPr>
          <w:rFonts w:ascii="Times New Roman" w:eastAsia="Calibri" w:hAnsi="Times New Roman" w:cs="Times New Roman"/>
          <w:sz w:val="24"/>
          <w:szCs w:val="24"/>
        </w:rPr>
        <w:fldChar w:fldCharType="begin"/>
      </w:r>
      <w:r w:rsidR="00510C9F" w:rsidRPr="00796736">
        <w:rPr>
          <w:rFonts w:ascii="Times New Roman" w:eastAsia="Calibri" w:hAnsi="Times New Roman" w:cs="Times New Roman"/>
          <w:sz w:val="24"/>
          <w:szCs w:val="24"/>
        </w:rPr>
        <w:instrText xml:space="preserve"> REF _Ref239790980 \r \h </w:instrText>
      </w:r>
      <w:r w:rsidR="00F375BF" w:rsidRPr="00796736">
        <w:rPr>
          <w:rFonts w:ascii="Times New Roman" w:eastAsia="Calibri" w:hAnsi="Times New Roman" w:cs="Times New Roman"/>
          <w:sz w:val="24"/>
          <w:szCs w:val="24"/>
        </w:rPr>
        <w:instrText xml:space="preserve"> \* MERGEFORMAT </w:instrText>
      </w:r>
      <w:r w:rsidR="00510C9F" w:rsidRPr="00796736">
        <w:rPr>
          <w:rFonts w:ascii="Times New Roman" w:eastAsia="Calibri" w:hAnsi="Times New Roman" w:cs="Times New Roman"/>
          <w:sz w:val="24"/>
          <w:szCs w:val="24"/>
        </w:rPr>
      </w:r>
      <w:r w:rsidR="00510C9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69</w:t>
      </w:r>
      <w:r w:rsidR="00510C9F" w:rsidRPr="00796736">
        <w:rPr>
          <w:rFonts w:ascii="Times New Roman" w:eastAsia="Calibri" w:hAnsi="Times New Roman" w:cs="Times New Roman"/>
          <w:sz w:val="24"/>
          <w:szCs w:val="24"/>
        </w:rPr>
        <w:fldChar w:fldCharType="end"/>
      </w:r>
      <w:r w:rsidR="00510C9F"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for Erhvervsankenævnet eller domstolene, skal dette fremgå af offentliggørelsen. Status og det efterfølgende resultat af Erhvervsankenævnets eller domstolenes afgørelse skal ligeledes offentliggøres på Finanstilsynets hjemmeside hurtigst muligt.</w:t>
      </w:r>
    </w:p>
    <w:p w14:paraId="726E1892" w14:textId="77777777" w:rsidR="00327FF0" w:rsidRPr="00796736" w:rsidRDefault="00327FF0" w:rsidP="00A802A5">
      <w:pPr>
        <w:spacing w:line="360" w:lineRule="auto"/>
        <w:rPr>
          <w:rFonts w:ascii="Times New Roman" w:eastAsia="Calibri" w:hAnsi="Times New Roman" w:cs="Times New Roman"/>
          <w:sz w:val="24"/>
          <w:szCs w:val="24"/>
        </w:rPr>
      </w:pPr>
    </w:p>
    <w:p w14:paraId="04B18910"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Status kan f.eks. være, at sagen har fået opsættende virkning, at sagen afvises eller lignende, hvorimod status quo ikke skal offentliggøres.</w:t>
      </w:r>
    </w:p>
    <w:p w14:paraId="13B8084E" w14:textId="77777777" w:rsidR="00C85344" w:rsidRPr="00796736" w:rsidRDefault="00C85344" w:rsidP="00A802A5">
      <w:pPr>
        <w:spacing w:line="360" w:lineRule="auto"/>
        <w:rPr>
          <w:rFonts w:ascii="Times New Roman" w:hAnsi="Times New Roman" w:cs="Times New Roman"/>
          <w:i/>
          <w:iCs/>
          <w:sz w:val="24"/>
          <w:szCs w:val="24"/>
        </w:rPr>
      </w:pPr>
    </w:p>
    <w:p w14:paraId="5F080B97" w14:textId="16980BB6" w:rsidR="00240DBE" w:rsidRPr="00796736" w:rsidRDefault="00240DBE" w:rsidP="00A802A5">
      <w:pPr>
        <w:pStyle w:val="Undertitel"/>
      </w:pPr>
      <w:bookmarkStart w:id="2073" w:name="_Toc232109405"/>
      <w:bookmarkStart w:id="2074" w:name="_Toc244879367"/>
      <w:bookmarkStart w:id="2075" w:name="_Toc244880892"/>
      <w:r w:rsidRPr="00796736">
        <w:t xml:space="preserve">Til </w:t>
      </w:r>
      <w:bookmarkEnd w:id="2073"/>
      <w:r w:rsidR="00327FF0" w:rsidRPr="00796736">
        <w:fldChar w:fldCharType="begin"/>
      </w:r>
      <w:r w:rsidR="00327FF0" w:rsidRPr="00796736">
        <w:instrText xml:space="preserve"> REF _Ref232597455 \r \h </w:instrText>
      </w:r>
      <w:r w:rsidR="00F375BF" w:rsidRPr="00796736">
        <w:instrText xml:space="preserve"> \* MERGEFORMAT </w:instrText>
      </w:r>
      <w:r w:rsidR="00327FF0" w:rsidRPr="00796736">
        <w:fldChar w:fldCharType="separate"/>
      </w:r>
      <w:r w:rsidR="008F29E5">
        <w:t>§ 71</w:t>
      </w:r>
      <w:bookmarkEnd w:id="2074"/>
      <w:bookmarkEnd w:id="2075"/>
      <w:r w:rsidR="00327FF0" w:rsidRPr="00796736">
        <w:fldChar w:fldCharType="end"/>
      </w:r>
    </w:p>
    <w:p w14:paraId="661D20E0" w14:textId="77777777" w:rsidR="00CA570A" w:rsidRPr="00796736" w:rsidRDefault="00CA570A" w:rsidP="00A802A5">
      <w:pPr>
        <w:spacing w:line="360" w:lineRule="auto"/>
        <w:rPr>
          <w:rFonts w:ascii="Times New Roman" w:hAnsi="Times New Roman" w:cs="Times New Roman"/>
          <w:sz w:val="24"/>
          <w:szCs w:val="24"/>
        </w:rPr>
      </w:pPr>
    </w:p>
    <w:p w14:paraId="42FEF967" w14:textId="77777777" w:rsidR="00327FF0"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55, stk. 5, 1. og 2. pkt., i hvidvaskloven fastsætter, at når Finanstilsynet har overgivet en sag til politimæssig efterforskning, og der er afsagt fældende dom eller vedtaget bøde, skal Finanstilsynet offentliggøre dommen, bødevedtagelsen eller et resumé heraf, jf. dog § 55, stk. 6. Er dommen ikke endelig, eller er den anket eller genoptaget, skal dette fremgå af offentliggørelsen. </w:t>
      </w:r>
    </w:p>
    <w:p w14:paraId="2D93841F" w14:textId="77777777" w:rsidR="00BA6BEE" w:rsidRDefault="00BA6BEE" w:rsidP="00A802A5">
      <w:pPr>
        <w:spacing w:line="360" w:lineRule="auto"/>
        <w:rPr>
          <w:rFonts w:ascii="Times New Roman" w:hAnsi="Times New Roman" w:cs="Times New Roman"/>
          <w:sz w:val="24"/>
          <w:szCs w:val="24"/>
        </w:rPr>
      </w:pPr>
    </w:p>
    <w:p w14:paraId="34089B16" w14:textId="6CE95669" w:rsidR="00BA6BEE" w:rsidRPr="00796736" w:rsidRDefault="00BA6BEE" w:rsidP="00A802A5">
      <w:pPr>
        <w:spacing w:line="360" w:lineRule="auto"/>
        <w:rPr>
          <w:rFonts w:ascii="Times New Roman" w:hAnsi="Times New Roman" w:cs="Times New Roman"/>
          <w:sz w:val="24"/>
          <w:szCs w:val="24"/>
        </w:rPr>
      </w:pPr>
      <w:r w:rsidRPr="00A9036D">
        <w:rPr>
          <w:rFonts w:ascii="Times New Roman" w:hAnsi="Times New Roman" w:cs="Times New Roman"/>
          <w:sz w:val="24"/>
          <w:szCs w:val="24"/>
        </w:rPr>
        <w:t>Det følger af § 55, stk. 8, i hvidvaskloven, at i sager, hvor Finanstilsynet har offentliggjort en beslutning om at overgive en sag til politimæssig efterforskning efter § 70, stk. 1, 2. pkt., og der træffes afgørelse om påtaleopgivelse eller tiltalefrafald eller afsiges frifindende dom, skal Finanstilsynet efter anmodning fra den fysiske eller juridiske person, som sagen vedrører, offentliggøre oplysninger herom. Den fysiske eller juridiske person skal indsende en kopi af afgørelsen om påtaleopgivelse eller tiltalefrafald eller en kopi af dommen til Finanstilsynet samtidig med anmodning om offentliggørelse. Er påtaleopgivelsen, tiltalefrafaldet eller dommen ikke endelig, skal det fremgå af offentliggørelsen. Modtager Finanstilsynet dokumentation for, at sagen er afsluttet ved endelig påtaleopgivelse eller tiltalefrafald eller afsigelse af endelig frifindende dom, skal Finanstilsynet fjerne alle oplysninger om beslutningen om at overgive sagen til politimæssig efterforskning og eventuelle efterfølgende domme i sagen fra Finanstilsynets hjemmeside.</w:t>
      </w:r>
    </w:p>
    <w:p w14:paraId="4AB2CDD7" w14:textId="77777777" w:rsidR="00327FF0" w:rsidRPr="00796736" w:rsidRDefault="00327FF0" w:rsidP="00A802A5">
      <w:pPr>
        <w:spacing w:line="360" w:lineRule="auto"/>
        <w:rPr>
          <w:rFonts w:ascii="Times New Roman" w:hAnsi="Times New Roman" w:cs="Times New Roman"/>
          <w:sz w:val="24"/>
          <w:szCs w:val="24"/>
        </w:rPr>
      </w:pPr>
    </w:p>
    <w:p w14:paraId="488FA0C0" w14:textId="1DBF271F"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w:t>
      </w:r>
      <w:r w:rsidR="00993974" w:rsidRPr="00796736">
        <w:rPr>
          <w:rFonts w:ascii="Times New Roman" w:hAnsi="Times New Roman" w:cs="Times New Roman"/>
          <w:sz w:val="24"/>
          <w:szCs w:val="24"/>
        </w:rPr>
        <w:fldChar w:fldCharType="begin"/>
      </w:r>
      <w:r w:rsidR="00993974" w:rsidRPr="00796736">
        <w:rPr>
          <w:rFonts w:ascii="Times New Roman" w:hAnsi="Times New Roman" w:cs="Times New Roman"/>
          <w:sz w:val="24"/>
          <w:szCs w:val="24"/>
        </w:rPr>
        <w:instrText xml:space="preserve"> REF _Ref232597455 \r \h </w:instrText>
      </w:r>
      <w:r w:rsidR="00F375BF" w:rsidRPr="00796736">
        <w:rPr>
          <w:rFonts w:ascii="Times New Roman" w:hAnsi="Times New Roman" w:cs="Times New Roman"/>
          <w:sz w:val="24"/>
          <w:szCs w:val="24"/>
        </w:rPr>
        <w:instrText xml:space="preserve"> \* MERGEFORMAT </w:instrText>
      </w:r>
      <w:r w:rsidR="00993974" w:rsidRPr="00796736">
        <w:rPr>
          <w:rFonts w:ascii="Times New Roman" w:hAnsi="Times New Roman" w:cs="Times New Roman"/>
          <w:sz w:val="24"/>
          <w:szCs w:val="24"/>
        </w:rPr>
      </w:r>
      <w:r w:rsidR="0099397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71</w:t>
      </w:r>
      <w:r w:rsidR="0099397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viderefører § 55, stk. 5, 1. og 2. pkt., i hvidvaskloven med sproglige ændringer. Der er ikke tilsigtet materielle ændringer med bestemmelsen.</w:t>
      </w:r>
    </w:p>
    <w:p w14:paraId="4916B1F4" w14:textId="77777777" w:rsidR="00327FF0" w:rsidRPr="00796736" w:rsidRDefault="00327FF0" w:rsidP="00A802A5">
      <w:pPr>
        <w:spacing w:line="360" w:lineRule="auto"/>
        <w:rPr>
          <w:rFonts w:ascii="Times New Roman" w:hAnsi="Times New Roman" w:cs="Times New Roman"/>
          <w:sz w:val="24"/>
          <w:szCs w:val="24"/>
        </w:rPr>
      </w:pPr>
    </w:p>
    <w:p w14:paraId="06B5AD12" w14:textId="76B5FD2D"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at er en sag overgivet til politimæssig efterforskning, og er der faldet helt eller delvis fældende dom eller vedtaget bøde, eller er en sag afgjort med vedtagelse af administrativt bødeforelæg, skal der ske offentliggørelse af dommen, bødevedtagelsen eller et resumé heraf, jf. dog §</w:t>
      </w:r>
      <w:r w:rsidR="00993974" w:rsidRPr="00796736">
        <w:rPr>
          <w:rFonts w:ascii="Times New Roman" w:hAnsi="Times New Roman" w:cs="Times New Roman"/>
          <w:sz w:val="24"/>
          <w:szCs w:val="24"/>
        </w:rPr>
        <w:fldChar w:fldCharType="begin"/>
      </w:r>
      <w:r w:rsidR="00993974" w:rsidRPr="00796736">
        <w:rPr>
          <w:rFonts w:ascii="Times New Roman" w:hAnsi="Times New Roman" w:cs="Times New Roman"/>
          <w:sz w:val="24"/>
          <w:szCs w:val="24"/>
        </w:rPr>
        <w:instrText xml:space="preserve"> REF _Ref232597480 \r \h </w:instrText>
      </w:r>
      <w:r w:rsidR="00F375BF" w:rsidRPr="00796736">
        <w:rPr>
          <w:rFonts w:ascii="Times New Roman" w:hAnsi="Times New Roman" w:cs="Times New Roman"/>
          <w:sz w:val="24"/>
          <w:szCs w:val="24"/>
        </w:rPr>
        <w:instrText xml:space="preserve"> \* MERGEFORMAT </w:instrText>
      </w:r>
      <w:r w:rsidR="00993974" w:rsidRPr="00796736">
        <w:rPr>
          <w:rFonts w:ascii="Times New Roman" w:hAnsi="Times New Roman" w:cs="Times New Roman"/>
          <w:sz w:val="24"/>
          <w:szCs w:val="24"/>
        </w:rPr>
      </w:r>
      <w:r w:rsidR="0099397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993974" w:rsidRPr="00796736">
        <w:rPr>
          <w:rFonts w:ascii="Times New Roman" w:hAnsi="Times New Roman" w:cs="Times New Roman"/>
          <w:sz w:val="24"/>
          <w:szCs w:val="24"/>
        </w:rPr>
        <w:fldChar w:fldCharType="end"/>
      </w:r>
      <w:r w:rsidR="00993974"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og </w:t>
      </w:r>
      <w:r w:rsidR="00993974" w:rsidRPr="00796736">
        <w:rPr>
          <w:rFonts w:ascii="Times New Roman" w:hAnsi="Times New Roman" w:cs="Times New Roman"/>
          <w:sz w:val="24"/>
          <w:szCs w:val="24"/>
        </w:rPr>
        <w:fldChar w:fldCharType="begin"/>
      </w:r>
      <w:r w:rsidR="00993974" w:rsidRPr="00796736">
        <w:rPr>
          <w:rFonts w:ascii="Times New Roman"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993974" w:rsidRPr="00796736">
        <w:rPr>
          <w:rFonts w:ascii="Times New Roman" w:hAnsi="Times New Roman" w:cs="Times New Roman"/>
          <w:sz w:val="24"/>
          <w:szCs w:val="24"/>
        </w:rPr>
      </w:r>
      <w:r w:rsidR="0099397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73</w:t>
      </w:r>
      <w:r w:rsidR="0099397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Er dommen ikke endelig, eller er den anket eller påklaget, skal dette fremgå af offentliggørelsen. </w:t>
      </w:r>
    </w:p>
    <w:p w14:paraId="02BD2D56" w14:textId="77777777" w:rsidR="00327FF0" w:rsidRPr="00796736" w:rsidRDefault="00327FF0" w:rsidP="00A802A5">
      <w:pPr>
        <w:spacing w:line="360" w:lineRule="auto"/>
        <w:rPr>
          <w:rFonts w:ascii="Times New Roman" w:hAnsi="Times New Roman" w:cs="Times New Roman"/>
          <w:sz w:val="24"/>
          <w:szCs w:val="24"/>
        </w:rPr>
      </w:pPr>
    </w:p>
    <w:p w14:paraId="2E80ECA6"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Dommen, det vedtagne bødeforelæg eller resuméet heraf, som skal offentliggøres, vil indeholde den eller de involverede personer eller virksomheders navn(e). Fortrolige oplysninger om kundeforhold vil derimod ikke blive offentliggjort. Dette gælder også fortrolige oplysninger om virksomhedens interne forhold af væsentlig betydning for virksomheden, f.eks. vil ikke-offentligt tilgængelige oplysninger om virksomhedens opbygning og indretning, økonomiske forhold og situation, kundemasse og samarbejdspartnere blive fjernet inden offentliggørelsen, medmindre oplysningerne er nødvendige for forståelsen af dommen, det vedtagne bødeforelæg eller resuméet heraf. Endelig vil der ikke ske offentliggørelse af fortrolige oplysninger modtaget fra udenlandske tilsynsmyndigheder samt oplysninger omfattet af bestemmelser i lov om offentlighed i forvaltningen om undtagelse af oplysninger om private forhold og drifts- eller forretningsforhold m.v.</w:t>
      </w:r>
    </w:p>
    <w:p w14:paraId="23035CD3" w14:textId="77777777" w:rsidR="00327FF0" w:rsidRPr="00796736" w:rsidRDefault="00327FF0" w:rsidP="00A802A5">
      <w:pPr>
        <w:spacing w:line="360" w:lineRule="auto"/>
        <w:rPr>
          <w:rFonts w:ascii="Times New Roman" w:hAnsi="Times New Roman" w:cs="Times New Roman"/>
          <w:sz w:val="24"/>
          <w:szCs w:val="24"/>
        </w:rPr>
      </w:pPr>
    </w:p>
    <w:p w14:paraId="530CBDD4" w14:textId="14EBA80A"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yderligere begrænsninger til Finanstilsynets offentliggørelse henvises der til bemærkningerne til lovforslagets </w:t>
      </w:r>
      <w:r w:rsidR="006C1297">
        <w:rPr>
          <w:rFonts w:ascii="Times New Roman" w:hAnsi="Times New Roman" w:cs="Times New Roman"/>
          <w:sz w:val="24"/>
          <w:szCs w:val="24"/>
        </w:rPr>
        <w:fldChar w:fldCharType="begin"/>
      </w:r>
      <w:r w:rsidR="006C1297">
        <w:rPr>
          <w:rFonts w:ascii="Times New Roman" w:hAnsi="Times New Roman" w:cs="Times New Roman"/>
          <w:sz w:val="24"/>
          <w:szCs w:val="24"/>
        </w:rPr>
        <w:instrText xml:space="preserve"> REF _Ref232597480 \r \h </w:instrText>
      </w:r>
      <w:r w:rsidR="006C1297">
        <w:rPr>
          <w:rFonts w:ascii="Times New Roman" w:hAnsi="Times New Roman" w:cs="Times New Roman"/>
          <w:sz w:val="24"/>
          <w:szCs w:val="24"/>
        </w:rPr>
      </w:r>
      <w:r w:rsidR="006C1297">
        <w:rPr>
          <w:rFonts w:ascii="Times New Roman" w:hAnsi="Times New Roman" w:cs="Times New Roman"/>
          <w:sz w:val="24"/>
          <w:szCs w:val="24"/>
        </w:rPr>
        <w:fldChar w:fldCharType="separate"/>
      </w:r>
      <w:r w:rsidR="008F29E5">
        <w:rPr>
          <w:rFonts w:ascii="Times New Roman" w:hAnsi="Times New Roman" w:cs="Times New Roman"/>
          <w:sz w:val="24"/>
          <w:szCs w:val="24"/>
        </w:rPr>
        <w:t>§ 72</w:t>
      </w:r>
      <w:r w:rsidR="006C1297">
        <w:rPr>
          <w:rFonts w:ascii="Times New Roman" w:hAnsi="Times New Roman" w:cs="Times New Roman"/>
          <w:sz w:val="24"/>
          <w:szCs w:val="24"/>
        </w:rPr>
        <w:fldChar w:fldCharType="end"/>
      </w:r>
    </w:p>
    <w:p w14:paraId="2ADB4A2E" w14:textId="77777777" w:rsidR="00327FF0" w:rsidRPr="00796736" w:rsidRDefault="00327FF0" w:rsidP="00A802A5">
      <w:pPr>
        <w:spacing w:line="360" w:lineRule="auto"/>
        <w:rPr>
          <w:rFonts w:ascii="Times New Roman" w:hAnsi="Times New Roman" w:cs="Times New Roman"/>
          <w:sz w:val="24"/>
          <w:szCs w:val="24"/>
        </w:rPr>
      </w:pPr>
    </w:p>
    <w:p w14:paraId="39B98A3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Offentliggørelse efter bestemmelsen indebærer ikke, at selve den underliggende sag med dertil hørende akter bliver offentlig tilgængelig. Sagen er stadig omfattet af Finanstilsynets tavshedspligt. En eventuel anmodning om aktindsigt, herunder aktindsigt i sagsakter og journal lister, vil derfor være omfattet af de almindelige regler herfor.</w:t>
      </w:r>
    </w:p>
    <w:p w14:paraId="1DF87970" w14:textId="77777777" w:rsidR="00327FF0" w:rsidRPr="00796736" w:rsidRDefault="00327FF0" w:rsidP="00A802A5">
      <w:pPr>
        <w:spacing w:line="360" w:lineRule="auto"/>
        <w:rPr>
          <w:rFonts w:ascii="Times New Roman" w:hAnsi="Times New Roman" w:cs="Times New Roman"/>
          <w:sz w:val="24"/>
          <w:szCs w:val="24"/>
        </w:rPr>
      </w:pPr>
    </w:p>
    <w:p w14:paraId="60577129" w14:textId="4D7DF474" w:rsidR="00327FF0" w:rsidRPr="00796736" w:rsidRDefault="00C15EB7" w:rsidP="00A802A5">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_Ref232597550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75</w:t>
      </w:r>
      <w:r>
        <w:rPr>
          <w:rFonts w:ascii="Times New Roman" w:hAnsi="Times New Roman" w:cs="Times New Roman"/>
          <w:sz w:val="24"/>
          <w:szCs w:val="24"/>
        </w:rPr>
        <w:fldChar w:fldCharType="end"/>
      </w:r>
      <w:r w:rsidR="00327FF0" w:rsidRPr="00796736">
        <w:rPr>
          <w:rFonts w:ascii="Times New Roman" w:hAnsi="Times New Roman" w:cs="Times New Roman"/>
          <w:sz w:val="24"/>
          <w:szCs w:val="24"/>
        </w:rPr>
        <w:t xml:space="preserve">, stk. 1, i lovforslaget fastsætter, at det som udgangspunkt kun er Finanstilsynet, som skal offentliggøre oplysninger herom på tilsynets hjemmeside, hvis det er en sag, der er overgivet til politimæssig efterforskning, vedrørende en virksomhed, som ikke er under tilsyn af Finanstilsynet, og der er faldet helt eller delvis fældende dom eller vedtaget bøde, eller hvis en sag er afgjort med vedtagelse af administrativt bødeforelæg. </w:t>
      </w:r>
    </w:p>
    <w:p w14:paraId="159D29EF" w14:textId="77777777" w:rsidR="00327FF0" w:rsidRPr="00796736" w:rsidRDefault="00327FF0" w:rsidP="00A802A5">
      <w:pPr>
        <w:spacing w:line="360" w:lineRule="auto"/>
        <w:rPr>
          <w:rFonts w:ascii="Times New Roman" w:hAnsi="Times New Roman" w:cs="Times New Roman"/>
          <w:sz w:val="24"/>
          <w:szCs w:val="24"/>
        </w:rPr>
      </w:pPr>
    </w:p>
    <w:p w14:paraId="495E68DA"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 55, stk. 8, i hvidvaskloven, at i sager, hvor Finanstilsynet har offentliggjort en beslutning om at overgive en sag til politimæssig efterforskning efter § 70, stk. 1, 2. pkt., og der træffes afgørelse om påtaleopgivelse eller tiltalefrafald eller afsiges frifindende dom, skal Finanstilsynet efter anmodning fra den fysiske eller juridiske person, som sagen vedrører, offentliggøre oplysninger herom. Den fysiske eller juridiske person skal indsende en kopi af afgørelsen om påtaleopgivelse eller tiltalefrafald eller en kopi af dommen til Finanstilsynet samtidig med anmodning om offentliggørelse. Er påtaleopgivelsen, tiltalefrafaldet eller dommen ikke endelig, skal det fremgå af offentliggørelsen. Modtager Finanstilsynet dokumentation for, at sagen er afsluttet ved endelig påtaleopgivelse eller tiltalefrafald eller afsigelse af endelig frifindende dom, skal Finanstilsynet fjerne alle oplysninger om beslutningen om at overgive sagen til politimæssig efterforskning og eventuelle efterfølgende domme i sagen fra Finanstilsynets hjemmeside.</w:t>
      </w:r>
    </w:p>
    <w:p w14:paraId="45E9416C" w14:textId="77777777" w:rsidR="00327FF0" w:rsidRPr="00796736" w:rsidRDefault="00327FF0" w:rsidP="00A802A5">
      <w:pPr>
        <w:spacing w:line="360" w:lineRule="auto"/>
        <w:rPr>
          <w:rFonts w:ascii="Times New Roman" w:hAnsi="Times New Roman" w:cs="Times New Roman"/>
          <w:sz w:val="24"/>
          <w:szCs w:val="24"/>
        </w:rPr>
      </w:pPr>
    </w:p>
    <w:p w14:paraId="207F97FD" w14:textId="517FE2CC"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2, 1. pkt</w:t>
      </w:r>
      <w:r w:rsidRPr="00796736">
        <w:rPr>
          <w:rFonts w:ascii="Times New Roman" w:hAnsi="Times New Roman" w:cs="Times New Roman"/>
          <w:sz w:val="24"/>
          <w:szCs w:val="24"/>
        </w:rPr>
        <w:t xml:space="preserve">., at i sager, hvor Finanstilsynet har offentliggjort en beslutning om at overgive en sag til politimæssig efterforskning </w:t>
      </w:r>
      <w:r w:rsidR="008B261C">
        <w:rPr>
          <w:rFonts w:ascii="Times New Roman" w:hAnsi="Times New Roman" w:cs="Times New Roman"/>
          <w:sz w:val="24"/>
          <w:szCs w:val="24"/>
        </w:rPr>
        <w:t xml:space="preserve">efter </w:t>
      </w:r>
      <w:r w:rsidR="008B261C">
        <w:rPr>
          <w:rFonts w:ascii="Times New Roman" w:hAnsi="Times New Roman" w:cs="Times New Roman"/>
          <w:sz w:val="24"/>
          <w:szCs w:val="24"/>
        </w:rPr>
        <w:fldChar w:fldCharType="begin"/>
      </w:r>
      <w:r w:rsidR="008B261C">
        <w:rPr>
          <w:rFonts w:ascii="Times New Roman" w:hAnsi="Times New Roman" w:cs="Times New Roman"/>
          <w:sz w:val="24"/>
          <w:szCs w:val="24"/>
        </w:rPr>
        <w:instrText xml:space="preserve"> REF _Ref239790980 \r \h </w:instrText>
      </w:r>
      <w:r w:rsidR="008B261C">
        <w:rPr>
          <w:rFonts w:ascii="Times New Roman" w:hAnsi="Times New Roman" w:cs="Times New Roman"/>
          <w:sz w:val="24"/>
          <w:szCs w:val="24"/>
        </w:rPr>
      </w:r>
      <w:r w:rsidR="008B261C">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8B261C">
        <w:rPr>
          <w:rFonts w:ascii="Times New Roman" w:hAnsi="Times New Roman" w:cs="Times New Roman"/>
          <w:sz w:val="24"/>
          <w:szCs w:val="24"/>
        </w:rPr>
        <w:fldChar w:fldCharType="end"/>
      </w:r>
      <w:r w:rsidR="008B261C">
        <w:rPr>
          <w:rFonts w:ascii="Times New Roman" w:hAnsi="Times New Roman" w:cs="Times New Roman"/>
          <w:sz w:val="24"/>
          <w:szCs w:val="24"/>
        </w:rPr>
        <w:t xml:space="preserve">, </w:t>
      </w:r>
      <w:r w:rsidRPr="00796736">
        <w:rPr>
          <w:rFonts w:ascii="Times New Roman" w:hAnsi="Times New Roman" w:cs="Times New Roman"/>
          <w:sz w:val="24"/>
          <w:szCs w:val="24"/>
        </w:rPr>
        <w:t>1, nr. 3, og der træffes afgørelse om påtaleopgivelse, tiltalefrafald eller afsiges frifindende dom, skal Finanstilsynet efter anmodning fra den virksomhed eller person, som sagen vedrører, offentliggøre oplysninger herom.</w:t>
      </w:r>
    </w:p>
    <w:p w14:paraId="59F690E3" w14:textId="77777777" w:rsidR="00327FF0" w:rsidRPr="00796736" w:rsidRDefault="00327FF0" w:rsidP="00A802A5">
      <w:pPr>
        <w:spacing w:line="360" w:lineRule="auto"/>
        <w:rPr>
          <w:rFonts w:ascii="Times New Roman" w:hAnsi="Times New Roman" w:cs="Times New Roman"/>
          <w:sz w:val="24"/>
          <w:szCs w:val="24"/>
        </w:rPr>
      </w:pPr>
    </w:p>
    <w:p w14:paraId="7DB3D976" w14:textId="77777777" w:rsidR="00FC471F" w:rsidRPr="00A9036D" w:rsidRDefault="00FC471F" w:rsidP="00FC471F">
      <w:pPr>
        <w:spacing w:line="360" w:lineRule="auto"/>
        <w:rPr>
          <w:rFonts w:ascii="Times New Roman" w:hAnsi="Times New Roman" w:cs="Times New Roman"/>
          <w:sz w:val="24"/>
          <w:szCs w:val="24"/>
        </w:rPr>
      </w:pPr>
      <w:r w:rsidRPr="00A9036D">
        <w:rPr>
          <w:rFonts w:ascii="Times New Roman" w:hAnsi="Times New Roman" w:cs="Times New Roman"/>
          <w:sz w:val="24"/>
          <w:szCs w:val="24"/>
        </w:rPr>
        <w:t>Da det ikke i ethvert tilfælde er givet, at den virksomhed eller person som er blevet politianmeldt, ønsker offentliggørelse af påtaleopgivelsen, tiltalefrafaldet eller den frifindende dom, skal der i henhold til stk. 2, 1. pkt., kun ske offentliggørelse af sådanne oplysninger, såfremt virksomheden eller personen anmoder Finanstilsynet herom.</w:t>
      </w:r>
    </w:p>
    <w:p w14:paraId="0C086BDB" w14:textId="77777777" w:rsidR="00327FF0" w:rsidRPr="00796736" w:rsidRDefault="00327FF0" w:rsidP="00A802A5">
      <w:pPr>
        <w:spacing w:line="360" w:lineRule="auto"/>
        <w:rPr>
          <w:rFonts w:ascii="Times New Roman" w:hAnsi="Times New Roman" w:cs="Times New Roman"/>
          <w:sz w:val="24"/>
          <w:szCs w:val="24"/>
        </w:rPr>
      </w:pPr>
    </w:p>
    <w:p w14:paraId="3A1E5FD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stk. 2, 2. pkt., at virksomheden eller personen skal indsende en kopi af afgørelsen om påtaleopgivelse eller tiltalefrafald eller en kopi af dommen til Finanstilsynet samtidig med anmodning om offentliggørelse.</w:t>
      </w:r>
    </w:p>
    <w:p w14:paraId="3A4F862F" w14:textId="77777777" w:rsidR="00327FF0" w:rsidRPr="00796736" w:rsidRDefault="00327FF0" w:rsidP="00A802A5">
      <w:pPr>
        <w:spacing w:line="360" w:lineRule="auto"/>
        <w:rPr>
          <w:rFonts w:ascii="Times New Roman" w:hAnsi="Times New Roman" w:cs="Times New Roman"/>
          <w:sz w:val="24"/>
          <w:szCs w:val="24"/>
        </w:rPr>
      </w:pPr>
    </w:p>
    <w:p w14:paraId="17DB9311"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Baggrunden herfor er, at Finanstilsynet ikke nødvendigvis vil være i besiddelse af afgørelsen eller dommen.</w:t>
      </w:r>
    </w:p>
    <w:p w14:paraId="5DA5AC6B" w14:textId="77777777" w:rsidR="00327FF0" w:rsidRPr="00796736" w:rsidRDefault="00327FF0" w:rsidP="00A802A5">
      <w:pPr>
        <w:spacing w:line="360" w:lineRule="auto"/>
        <w:rPr>
          <w:rFonts w:ascii="Times New Roman" w:hAnsi="Times New Roman" w:cs="Times New Roman"/>
          <w:sz w:val="24"/>
          <w:szCs w:val="24"/>
        </w:rPr>
      </w:pPr>
    </w:p>
    <w:p w14:paraId="37D47C62"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skal offentliggøre afgørelsen om påtaleopgivelse eller tiltalefrafald, eller at der er afsagt frifindende dom i sagen i umiddelbar og naturlig sammenhæng med Finanstilsynets offentliggørelse efter stk. 1 og stk. 2, dvs. det sted på Finanstilsynets hjemmeside, hvor Finanstilsynet tidligere har offentliggjort beslutningen om at overgive sagen til politimæssig efterforskning. De supplerende oplysninger om påtaleopgivelse, tiltalefrafald eller frifindende dom skal fremgå tydeligt af Finanstilsynets hjemmeside.</w:t>
      </w:r>
    </w:p>
    <w:p w14:paraId="6DB48A93" w14:textId="77777777" w:rsidR="00327FF0" w:rsidRPr="00796736" w:rsidRDefault="00327FF0" w:rsidP="00A802A5">
      <w:pPr>
        <w:spacing w:line="360" w:lineRule="auto"/>
        <w:rPr>
          <w:rFonts w:ascii="Times New Roman" w:hAnsi="Times New Roman" w:cs="Times New Roman"/>
          <w:sz w:val="24"/>
          <w:szCs w:val="24"/>
        </w:rPr>
      </w:pPr>
    </w:p>
    <w:p w14:paraId="4235147A"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Offentliggørelse efter bestemmelsen omfatter tillige tilfælde, hvor der er tale om en dom afsagt af en ankeinstans.</w:t>
      </w:r>
    </w:p>
    <w:p w14:paraId="095F5587" w14:textId="77777777" w:rsidR="00327FF0" w:rsidRPr="00796736" w:rsidRDefault="00327FF0" w:rsidP="00A802A5">
      <w:pPr>
        <w:spacing w:line="360" w:lineRule="auto"/>
        <w:rPr>
          <w:rFonts w:ascii="Times New Roman" w:hAnsi="Times New Roman" w:cs="Times New Roman"/>
          <w:sz w:val="24"/>
          <w:szCs w:val="24"/>
        </w:rPr>
      </w:pPr>
    </w:p>
    <w:p w14:paraId="2960E14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2, 3. pkt.,</w:t>
      </w:r>
      <w:r w:rsidRPr="00796736">
        <w:rPr>
          <w:rFonts w:ascii="Times New Roman" w:hAnsi="Times New Roman" w:cs="Times New Roman"/>
          <w:sz w:val="24"/>
          <w:szCs w:val="24"/>
        </w:rPr>
        <w:t> at er påtaleopgivelsen, tiltalefrafaldet eller dommen ikke endelig, skal det fremgå af offentliggørelsen.</w:t>
      </w:r>
    </w:p>
    <w:p w14:paraId="04AF3458" w14:textId="77777777" w:rsidR="00327FF0" w:rsidRPr="00796736" w:rsidRDefault="00327FF0" w:rsidP="00A802A5">
      <w:pPr>
        <w:spacing w:line="360" w:lineRule="auto"/>
        <w:rPr>
          <w:rFonts w:ascii="Times New Roman" w:hAnsi="Times New Roman" w:cs="Times New Roman"/>
          <w:sz w:val="24"/>
          <w:szCs w:val="24"/>
        </w:rPr>
      </w:pPr>
    </w:p>
    <w:p w14:paraId="5077B563"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afgørelse om påtaleopgivelse eller tiltalefrafald er ikke endelig i de tilfælde, hvor afgørelsen om påtaleopgivelse eller tiltalefrafald er påklaget til den overordnede anklagemyndighed. En dom er ikke endelig i de tilfælde, hvor dommen er anket til en højere retsinstans.</w:t>
      </w:r>
    </w:p>
    <w:p w14:paraId="1B767142" w14:textId="77777777" w:rsidR="00327FF0" w:rsidRPr="00796736" w:rsidRDefault="00327FF0" w:rsidP="00A802A5">
      <w:pPr>
        <w:spacing w:line="360" w:lineRule="auto"/>
        <w:rPr>
          <w:rFonts w:ascii="Times New Roman" w:hAnsi="Times New Roman" w:cs="Times New Roman"/>
          <w:sz w:val="24"/>
          <w:szCs w:val="24"/>
        </w:rPr>
      </w:pPr>
    </w:p>
    <w:p w14:paraId="29E39FBC"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2, 4. pkt</w:t>
      </w:r>
      <w:r w:rsidRPr="00796736">
        <w:rPr>
          <w:rFonts w:ascii="Times New Roman" w:hAnsi="Times New Roman" w:cs="Times New Roman"/>
          <w:sz w:val="24"/>
          <w:szCs w:val="24"/>
        </w:rPr>
        <w:t>., at modtager Finanstilsynet dokumentation for, at sagen er afsluttet ved endelig påtaleopgivelse eller tiltalefrafald eller afsigelse af endelig frifindende dom, skal Finanstilsynet fjerne alle oplysninger om beslutningen om at overgive sagen til politimæssig efterforskning og eventuelle efterfølgende domme i sagen fra Finanstilsynets hjemmeside.</w:t>
      </w:r>
    </w:p>
    <w:p w14:paraId="1C73AFF6" w14:textId="77777777" w:rsidR="00327FF0" w:rsidRPr="00796736" w:rsidRDefault="00327FF0" w:rsidP="00A802A5">
      <w:pPr>
        <w:spacing w:line="360" w:lineRule="auto"/>
        <w:rPr>
          <w:rFonts w:ascii="Times New Roman" w:hAnsi="Times New Roman" w:cs="Times New Roman"/>
          <w:sz w:val="24"/>
          <w:szCs w:val="24"/>
        </w:rPr>
      </w:pPr>
    </w:p>
    <w:p w14:paraId="1D3240D8"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 de tilfælde hvor den, som sagen vedrører, ikke anmoder Finanstilsynet om at offentliggøre oplysninger om, at sagen er afsluttet ved påtaleopgivelse, tiltalefrafald eller afsigelse af frifindende dom i medfør af stk. 2, 1. pkt., men ønsker Finanstilsynets offentliggørelse af beslutningen om at overgive sagen til politimæssig efterforskning, herunder eventuelle supplerende oplysninger om efterfølgende domme i sagen, slettet fra Finanstilsynets hjemmeside, kan dette således ske ved indsendelse af dokumentation for sagens afslutning til Finanstilsynet. Finanstilsynet vil herefter i medfør af stk. 2, 4. pkt., slette offentliggørelsen af beslutningen om at overgive sagen til politimæssig efterforskning m.v. fra Finanstilsynets hjemmeside.</w:t>
      </w:r>
    </w:p>
    <w:p w14:paraId="2BEE5518" w14:textId="77777777" w:rsidR="00327FF0" w:rsidRPr="00796736" w:rsidRDefault="00327FF0" w:rsidP="00A802A5">
      <w:pPr>
        <w:spacing w:line="360" w:lineRule="auto"/>
        <w:rPr>
          <w:rFonts w:ascii="Times New Roman" w:hAnsi="Times New Roman" w:cs="Times New Roman"/>
          <w:sz w:val="24"/>
          <w:szCs w:val="24"/>
        </w:rPr>
      </w:pPr>
    </w:p>
    <w:p w14:paraId="71433D2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modtager ikke nødvendigvis oplysninger om og dokumentation for, at en sag overgivet til politimæssig efterforskning er afsluttet ved endelig påtaleopgivelse eller tiltalefrafald eller afsigelse af endelig frifindende dom. Finanstilsynets forpligtelse til at fjerne oplysninger om en beslutning om at overgive en sag til politimæssig efterforskning indtræder derfor først i det tilfælde, hvor Finanstilsynet modtager dokumentation herfor. Det er ikke afgørende, hvem der indsender eller overleverer en sådan dokumentation, og Finanstilsynets forpligtelse til at slette oplysninger om overgivelse af en sag til politimæssig efterforskning indtræder således, uanset om den fornødne dokumentation modtages fra anklagemyndigheden, den pågældende virksomhed eller person, som sagen vedrører, eller fra tredjemand.</w:t>
      </w:r>
    </w:p>
    <w:p w14:paraId="3B8DED4A" w14:textId="77777777" w:rsidR="00327FF0" w:rsidRPr="00796736" w:rsidRDefault="00327FF0" w:rsidP="00A802A5">
      <w:pPr>
        <w:spacing w:line="360" w:lineRule="auto"/>
        <w:rPr>
          <w:rFonts w:ascii="Times New Roman" w:hAnsi="Times New Roman" w:cs="Times New Roman"/>
          <w:sz w:val="24"/>
          <w:szCs w:val="24"/>
        </w:rPr>
      </w:pPr>
    </w:p>
    <w:p w14:paraId="4ED50DEB"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afgørelse om påtaleopgivelse eller tiltalefrafald er ikke endelig i de tilfælde, hvor afgørelsen om påtaleopgivelse eller tiltalefrafald er påklaget til den overordnede anklagemyndighed. En dom er ikke endelig i de tilfælde, hvor dommen er anket til højere retsinstans. Fjernelse af offentliggørelsen af en beslutning om at overgive en sag til politimæssig efterforskning i tilfælde, hvor en sag er afsluttet ved frifindende dom eller afsluttet ved påtaleopgivelse eller tiltalefrafald, vil således først ske efter udløbet af henholdsvis ankefristen eller fristen for at påklage påtaleopgivelsen eller tiltalefrafaldet, da afgørelsen skal være endelig.</w:t>
      </w:r>
    </w:p>
    <w:p w14:paraId="19BE66BD" w14:textId="77777777" w:rsidR="00BB5DED" w:rsidRPr="00796736" w:rsidRDefault="00BB5DED" w:rsidP="00A802A5">
      <w:pPr>
        <w:spacing w:line="360" w:lineRule="auto"/>
        <w:rPr>
          <w:rFonts w:ascii="Times New Roman" w:eastAsia="Calibri" w:hAnsi="Times New Roman" w:cs="Times New Roman"/>
          <w:sz w:val="24"/>
          <w:szCs w:val="24"/>
        </w:rPr>
      </w:pPr>
    </w:p>
    <w:p w14:paraId="4075D1D5" w14:textId="717788CF" w:rsidR="00D86596" w:rsidRPr="00796736" w:rsidRDefault="00240DBE" w:rsidP="00A802A5">
      <w:pPr>
        <w:pStyle w:val="Undertitel"/>
      </w:pPr>
      <w:bookmarkStart w:id="2076" w:name="_Toc232109406"/>
      <w:bookmarkStart w:id="2077" w:name="_Toc244879368"/>
      <w:bookmarkStart w:id="2078" w:name="_Toc244880893"/>
      <w:r w:rsidRPr="00796736">
        <w:t>Til</w:t>
      </w:r>
      <w:bookmarkEnd w:id="2076"/>
      <w:r w:rsidR="002366B0" w:rsidRPr="00796736">
        <w:t xml:space="preserve"> </w:t>
      </w:r>
      <w:r w:rsidR="00327FF0" w:rsidRPr="00796736">
        <w:fldChar w:fldCharType="begin"/>
      </w:r>
      <w:r w:rsidR="00327FF0" w:rsidRPr="00796736">
        <w:instrText xml:space="preserve"> REF _Ref232597480 \r \h </w:instrText>
      </w:r>
      <w:r w:rsidR="00F375BF" w:rsidRPr="00796736">
        <w:instrText xml:space="preserve"> \* MERGEFORMAT </w:instrText>
      </w:r>
      <w:r w:rsidR="00327FF0" w:rsidRPr="00796736">
        <w:fldChar w:fldCharType="separate"/>
      </w:r>
      <w:r w:rsidR="008F29E5">
        <w:t>§ 72</w:t>
      </w:r>
      <w:bookmarkEnd w:id="2077"/>
      <w:bookmarkEnd w:id="2078"/>
      <w:r w:rsidR="00327FF0" w:rsidRPr="00796736">
        <w:fldChar w:fldCharType="end"/>
      </w:r>
    </w:p>
    <w:p w14:paraId="71E8918A" w14:textId="77777777" w:rsidR="00BB5DED" w:rsidRPr="00796736" w:rsidRDefault="00BB5DED" w:rsidP="00A802A5">
      <w:pPr>
        <w:spacing w:line="360" w:lineRule="auto"/>
        <w:rPr>
          <w:rFonts w:ascii="Times New Roman" w:hAnsi="Times New Roman" w:cs="Times New Roman"/>
          <w:sz w:val="24"/>
          <w:szCs w:val="24"/>
        </w:rPr>
      </w:pPr>
    </w:p>
    <w:p w14:paraId="263BDDE3"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55, stk. 6, 2. pkt., i hvidvaskloven kan der ikke ske offentliggørelse efter § 55 stk. 1 og stk. 3-5, hvis det vil medføre uforholdsmæssig stor skade for virksomheden, eller hvis efterforskningsmæssige hensyn taler imod offentliggørelse. </w:t>
      </w:r>
    </w:p>
    <w:p w14:paraId="61BC220F" w14:textId="77777777" w:rsidR="00327FF0" w:rsidRPr="00796736" w:rsidRDefault="00327FF0" w:rsidP="00A802A5">
      <w:pPr>
        <w:spacing w:line="360" w:lineRule="auto"/>
        <w:rPr>
          <w:rFonts w:ascii="Times New Roman" w:hAnsi="Times New Roman" w:cs="Times New Roman"/>
          <w:sz w:val="24"/>
          <w:szCs w:val="24"/>
        </w:rPr>
      </w:pPr>
    </w:p>
    <w:p w14:paraId="09737610"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stk. 1 viderefører § 55, stk. 6, 2. pkt., i hvidvaskloven, med tilføjelse af, at der ikke kan ske offentliggørelse af reaktioner, tvangsbøder m.fl., hvis dette vil true den finansielle stabilitet. </w:t>
      </w:r>
    </w:p>
    <w:p w14:paraId="2D850AC5" w14:textId="77777777" w:rsidR="00327FF0" w:rsidRPr="00796736" w:rsidRDefault="00327FF0" w:rsidP="00A802A5">
      <w:pPr>
        <w:spacing w:line="360" w:lineRule="auto"/>
        <w:rPr>
          <w:rFonts w:ascii="Times New Roman" w:hAnsi="Times New Roman" w:cs="Times New Roman"/>
          <w:sz w:val="24"/>
          <w:szCs w:val="24"/>
        </w:rPr>
      </w:pPr>
    </w:p>
    <w:p w14:paraId="63FB01EE"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implementerer artikel 58, stk. 3, 2. pkt., i det 6. hvidvaskdirektiv. </w:t>
      </w:r>
    </w:p>
    <w:p w14:paraId="2F85E38D" w14:textId="77777777" w:rsidR="00327FF0" w:rsidRPr="00796736" w:rsidRDefault="00327FF0" w:rsidP="00A802A5">
      <w:pPr>
        <w:spacing w:line="360" w:lineRule="auto"/>
        <w:rPr>
          <w:rFonts w:ascii="Times New Roman" w:hAnsi="Times New Roman" w:cs="Times New Roman"/>
          <w:sz w:val="24"/>
          <w:szCs w:val="24"/>
        </w:rPr>
      </w:pPr>
    </w:p>
    <w:p w14:paraId="6FBB9292" w14:textId="3079DD37" w:rsidR="00DA6B96" w:rsidRPr="00A9036D" w:rsidRDefault="00DA6B96" w:rsidP="00DA6B96">
      <w:pPr>
        <w:spacing w:line="360" w:lineRule="auto"/>
        <w:rPr>
          <w:rFonts w:ascii="Times New Roman" w:hAnsi="Times New Roman" w:cs="Times New Roman"/>
          <w:sz w:val="24"/>
          <w:szCs w:val="24"/>
        </w:rPr>
      </w:pPr>
      <w:r w:rsidRPr="00A9036D">
        <w:rPr>
          <w:rFonts w:ascii="Times New Roman" w:hAnsi="Times New Roman" w:cs="Times New Roman"/>
          <w:sz w:val="24"/>
          <w:szCs w:val="24"/>
        </w:rPr>
        <w:t>Det foreslås i </w:t>
      </w:r>
      <w:r w:rsidRPr="00A9036D">
        <w:rPr>
          <w:rFonts w:ascii="Times New Roman" w:hAnsi="Times New Roman" w:cs="Times New Roman"/>
          <w:i/>
          <w:iCs/>
          <w:sz w:val="24"/>
          <w:szCs w:val="24"/>
        </w:rPr>
        <w:t xml:space="preserve">stk. 1, </w:t>
      </w:r>
      <w:r w:rsidRPr="00A9036D">
        <w:rPr>
          <w:rFonts w:ascii="Times New Roman" w:hAnsi="Times New Roman" w:cs="Times New Roman"/>
          <w:sz w:val="24"/>
          <w:szCs w:val="24"/>
        </w:rPr>
        <w:t>at offentliggørelse 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_Ref239790980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69</w:t>
      </w:r>
      <w:r>
        <w:rPr>
          <w:rFonts w:ascii="Times New Roman" w:hAnsi="Times New Roman" w:cs="Times New Roman"/>
          <w:sz w:val="24"/>
          <w:szCs w:val="24"/>
        </w:rPr>
        <w:fldChar w:fldCharType="end"/>
      </w:r>
      <w:r w:rsidRPr="00A9036D">
        <w:rPr>
          <w:rFonts w:ascii="Times New Roman" w:hAnsi="Times New Roman" w:cs="Times New Roman"/>
          <w:sz w:val="24"/>
          <w:szCs w:val="24"/>
        </w:rPr>
        <w:t xml:space="preserve"> og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_Ref232597455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71</w:t>
      </w:r>
      <w:r>
        <w:rPr>
          <w:rFonts w:ascii="Times New Roman" w:hAnsi="Times New Roman" w:cs="Times New Roman"/>
          <w:sz w:val="24"/>
          <w:szCs w:val="24"/>
        </w:rPr>
        <w:fldChar w:fldCharType="end"/>
      </w:r>
      <w:r w:rsidRPr="00A9036D">
        <w:rPr>
          <w:rFonts w:ascii="Times New Roman" w:hAnsi="Times New Roman" w:cs="Times New Roman"/>
          <w:sz w:val="24"/>
          <w:szCs w:val="24"/>
        </w:rPr>
        <w:t xml:space="preserve"> ikke kan ske, hvis 1) det vil medføre uforholdsmæssig stor skade for virksomheden, 2) det vil bringe de finansielle markeders stabilitet i fare, eller 3) efterforskningsmæssige hensyn taler imod offentliggørelse.</w:t>
      </w:r>
    </w:p>
    <w:p w14:paraId="02FBB40E" w14:textId="77777777" w:rsidR="00327FF0" w:rsidRPr="00796736" w:rsidRDefault="00327FF0" w:rsidP="00A802A5">
      <w:pPr>
        <w:spacing w:line="360" w:lineRule="auto"/>
        <w:rPr>
          <w:rFonts w:ascii="Times New Roman" w:hAnsi="Times New Roman" w:cs="Times New Roman"/>
          <w:sz w:val="24"/>
          <w:szCs w:val="24"/>
        </w:rPr>
      </w:pPr>
    </w:p>
    <w:p w14:paraId="0D373031"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uforholdsmæssig stor skade forstås, at der skal være tale om oplysninger, som, hvis de offentliggøres, kan være livstruende for virksomheden. Det er dermed ikke tilstrækkeligt, at oplysningerne potentielt kan medføre større tab for virksomheden, uden at virksomhedens eksistens dermed er i fare.</w:t>
      </w:r>
    </w:p>
    <w:p w14:paraId="194076A3" w14:textId="77777777" w:rsidR="00327FF0" w:rsidRPr="00796736" w:rsidRDefault="00327FF0" w:rsidP="00A802A5">
      <w:pPr>
        <w:spacing w:line="360" w:lineRule="auto"/>
        <w:rPr>
          <w:rFonts w:ascii="Times New Roman" w:hAnsi="Times New Roman" w:cs="Times New Roman"/>
          <w:sz w:val="24"/>
          <w:szCs w:val="24"/>
        </w:rPr>
      </w:pPr>
    </w:p>
    <w:p w14:paraId="5914037A"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Oversendelse af sager til politimæssig efterforskning er en processuel beslutning, som ikke kan påklages. Det forudsættes, at offentliggørelse af en beslutning om at oversende en sag til politimæssig efterforskning alene sker efter høring af den relevante politimyndighed således, at det forinden evt. offentliggørelse afklares, om offentliggørelse vil kunne skade den politimæssige efterforskning. Det kan aftales med anklagemyndigheden, at visse sagskategorier kan offentliggøres uden forudgående høring, når efterforskningsmæssige hensyn taler imod offentliggørelse.</w:t>
      </w:r>
    </w:p>
    <w:p w14:paraId="6FD639B8" w14:textId="77777777" w:rsidR="00327FF0" w:rsidRPr="00796736" w:rsidRDefault="00327FF0" w:rsidP="00A802A5">
      <w:pPr>
        <w:spacing w:line="360" w:lineRule="auto"/>
        <w:rPr>
          <w:rFonts w:ascii="Times New Roman" w:hAnsi="Times New Roman" w:cs="Times New Roman"/>
          <w:sz w:val="24"/>
          <w:szCs w:val="24"/>
        </w:rPr>
      </w:pPr>
    </w:p>
    <w:p w14:paraId="08713AA3"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2 viderefører § 55, stk. 5, 3. pkt., i hvidvaskloven med redaktionelle ændringer. Der er ikke tilsigtet materielle ændringer med bestemmelsen.</w:t>
      </w:r>
    </w:p>
    <w:p w14:paraId="7AE33D2D" w14:textId="77777777" w:rsidR="00327FF0" w:rsidRPr="00796736" w:rsidRDefault="00327FF0" w:rsidP="00A802A5">
      <w:pPr>
        <w:spacing w:line="360" w:lineRule="auto"/>
        <w:rPr>
          <w:rFonts w:ascii="Times New Roman" w:hAnsi="Times New Roman" w:cs="Times New Roman"/>
          <w:sz w:val="24"/>
          <w:szCs w:val="24"/>
        </w:rPr>
      </w:pPr>
    </w:p>
    <w:p w14:paraId="7AAEEFDD"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den gældende § 55, stk. 5, 3. pkt., i hvidvaskloven må offentliggørelsen ikke indeholde fortrolige oplysninger om kundeforhold eller oplysninger omfattet af bestemmelser i lov om offentlighed i forvaltningen om undtagelse af oplysninger om private forhold og drifts- eller forretningsforhold m.v. Offentliggørelsen må ikke indeholde fortrolige oplysninger, der hidrører fra et EU eller EØS-land, medmindre de myndigheder, som har afgivet oplysningerne, har givet deres udtrykkelige tilladelse.</w:t>
      </w:r>
    </w:p>
    <w:p w14:paraId="2434EFB1" w14:textId="77777777" w:rsidR="00327FF0" w:rsidRPr="00796736" w:rsidRDefault="00327FF0" w:rsidP="00A802A5">
      <w:pPr>
        <w:spacing w:line="360" w:lineRule="auto"/>
        <w:rPr>
          <w:rFonts w:ascii="Times New Roman" w:hAnsi="Times New Roman" w:cs="Times New Roman"/>
          <w:sz w:val="24"/>
          <w:szCs w:val="24"/>
        </w:rPr>
      </w:pPr>
    </w:p>
    <w:p w14:paraId="4A50BD15" w14:textId="02039C40" w:rsidR="00AD30AB" w:rsidRPr="00A9036D" w:rsidRDefault="00AD30AB" w:rsidP="00AD30AB">
      <w:pPr>
        <w:spacing w:line="360" w:lineRule="auto"/>
        <w:rPr>
          <w:rFonts w:ascii="Times New Roman" w:hAnsi="Times New Roman" w:cs="Times New Roman"/>
          <w:sz w:val="24"/>
          <w:szCs w:val="24"/>
        </w:rPr>
      </w:pPr>
      <w:r w:rsidRPr="00A9036D">
        <w:rPr>
          <w:rFonts w:ascii="Times New Roman" w:hAnsi="Times New Roman" w:cs="Times New Roman"/>
          <w:sz w:val="24"/>
          <w:szCs w:val="24"/>
        </w:rPr>
        <w:t>Det foreslås i</w:t>
      </w:r>
      <w:r w:rsidRPr="00A9036D">
        <w:rPr>
          <w:rFonts w:ascii="Times New Roman" w:hAnsi="Times New Roman" w:cs="Times New Roman"/>
          <w:i/>
          <w:iCs/>
          <w:sz w:val="24"/>
          <w:szCs w:val="24"/>
        </w:rPr>
        <w:t xml:space="preserve"> stk. 2, nr. 1 </w:t>
      </w:r>
      <w:r w:rsidRPr="00A9036D">
        <w:rPr>
          <w:rFonts w:ascii="Times New Roman" w:hAnsi="Times New Roman" w:cs="Times New Roman"/>
          <w:sz w:val="24"/>
          <w:szCs w:val="24"/>
        </w:rPr>
        <w:t>og</w:t>
      </w:r>
      <w:r w:rsidRPr="00A9036D">
        <w:rPr>
          <w:rFonts w:ascii="Times New Roman" w:hAnsi="Times New Roman" w:cs="Times New Roman"/>
          <w:i/>
          <w:iCs/>
          <w:sz w:val="24"/>
          <w:szCs w:val="24"/>
        </w:rPr>
        <w:t xml:space="preserve"> 2</w:t>
      </w:r>
      <w:r w:rsidRPr="00A9036D">
        <w:rPr>
          <w:rFonts w:ascii="Times New Roman" w:hAnsi="Times New Roman" w:cs="Times New Roman"/>
          <w:sz w:val="24"/>
          <w:szCs w:val="24"/>
        </w:rPr>
        <w:t>,</w:t>
      </w:r>
      <w:r w:rsidRPr="00A9036D">
        <w:rPr>
          <w:rFonts w:ascii="Times New Roman" w:hAnsi="Times New Roman" w:cs="Times New Roman"/>
          <w:i/>
          <w:iCs/>
          <w:sz w:val="24"/>
          <w:szCs w:val="24"/>
        </w:rPr>
        <w:t xml:space="preserve"> </w:t>
      </w:r>
      <w:r w:rsidRPr="00A9036D">
        <w:rPr>
          <w:rFonts w:ascii="Times New Roman" w:hAnsi="Times New Roman" w:cs="Times New Roman"/>
          <w:sz w:val="24"/>
          <w:szCs w:val="24"/>
        </w:rPr>
        <w:t xml:space="preserve">at offentliggørelsen 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_Ref239790980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69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A9036D">
        <w:rPr>
          <w:rFonts w:ascii="Times New Roman" w:hAnsi="Times New Roman" w:cs="Times New Roman"/>
          <w:sz w:val="24"/>
          <w:szCs w:val="24"/>
        </w:rPr>
        <w:t>ikke må indeholde 1) fortrolige oplysninger om kundeforhold eller oplysninger omfattet af § 30 i lov om offentlighed i forvaltningen om undtagelse af oplysninger om private forhold og drifts- eller forretningsforhold m.v., eller 2) fortrolige oplysninger, der hidrører fra finansielle tilsynsmyndigheder i andre lande inden for eller uden for Den Europæiske Union, medmindre de myndigheder, der har afgivet oplysningerne, har givet deres udtrykkelige tilladelse.</w:t>
      </w:r>
    </w:p>
    <w:p w14:paraId="205B6384" w14:textId="77777777" w:rsidR="00327FF0" w:rsidRPr="00796736" w:rsidRDefault="00327FF0" w:rsidP="00A802A5">
      <w:pPr>
        <w:spacing w:line="360" w:lineRule="auto"/>
        <w:rPr>
          <w:rFonts w:ascii="Times New Roman" w:hAnsi="Times New Roman" w:cs="Times New Roman"/>
          <w:sz w:val="24"/>
          <w:szCs w:val="24"/>
        </w:rPr>
      </w:pPr>
    </w:p>
    <w:p w14:paraId="6D058010"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2, nr. 1, indebærer, at de offentliggjorte reaktioner m.v. ikke må indeholde fortrolige oplysninger om kundeforhold om undtagelse af oplysninger om private forhold og drifts- eller forretningsforhold m.v. eller oplysninger omfattet af § 30 i offentlighedsloven om begrænsningen i aktindsigt for visse nærmere bestemte typer af oplysninger.</w:t>
      </w:r>
    </w:p>
    <w:p w14:paraId="070EE019" w14:textId="77777777" w:rsidR="00327FF0" w:rsidRPr="00796736" w:rsidRDefault="00327FF0" w:rsidP="00A802A5">
      <w:pPr>
        <w:spacing w:line="360" w:lineRule="auto"/>
        <w:rPr>
          <w:rFonts w:ascii="Times New Roman" w:hAnsi="Times New Roman" w:cs="Times New Roman"/>
          <w:sz w:val="24"/>
          <w:szCs w:val="24"/>
        </w:rPr>
      </w:pPr>
    </w:p>
    <w:p w14:paraId="60B7E35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2, nr. 2, indebærer, at Finanstilsynet forud for en offentliggørelse af fortrolige oplysninger omfattet af bestemmelsen vil skulle indhente udtrykkeligt samtykke til at offentliggøre den eller de oplysninger, som er modtaget fra en udenlandsk tilsynsmyndighed, hvis Finanstilsynet ønsker at sådanne oplysninger skal indgå i den offentliggjorte version af reaktionen m.v.</w:t>
      </w:r>
    </w:p>
    <w:p w14:paraId="09996CA8" w14:textId="77777777" w:rsidR="00327FF0" w:rsidRPr="00796736" w:rsidRDefault="00327FF0" w:rsidP="00A802A5">
      <w:pPr>
        <w:spacing w:line="360" w:lineRule="auto"/>
        <w:rPr>
          <w:rFonts w:ascii="Times New Roman" w:hAnsi="Times New Roman" w:cs="Times New Roman"/>
          <w:sz w:val="24"/>
          <w:szCs w:val="24"/>
        </w:rPr>
      </w:pPr>
    </w:p>
    <w:p w14:paraId="5DEA19A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den gældende § 55, stk. 3, i hvidvaskloven, kan offentliggørelse efter § 55, stk. 1, der omfatter en fysisk persons navn, dog alene ske ved alvorlige, gentagne eller systematiske overtrædelser af § 10, nr. 1, 2, 4 og 5, § 11, stk. 1 og 2 og stk. 3, 1., 3. og 4. pkt., § 14, stk. 1, stk. 2, 2. pkt., og stk. 3 og 5, § 17, stk. 1 og 2, § 18, § 21, stk. 1, 2. pkt., § 25, stk. 1, § 26, stk. 1 og 3 og stk. 4, 1. pkt., og stk. 6, 1. pkt., og § 30.</w:t>
      </w:r>
    </w:p>
    <w:p w14:paraId="78E73DCF" w14:textId="77777777" w:rsidR="00327FF0" w:rsidRPr="00796736" w:rsidRDefault="00327FF0" w:rsidP="00A802A5">
      <w:pPr>
        <w:spacing w:line="360" w:lineRule="auto"/>
        <w:rPr>
          <w:rFonts w:ascii="Times New Roman" w:hAnsi="Times New Roman" w:cs="Times New Roman"/>
          <w:sz w:val="24"/>
          <w:szCs w:val="24"/>
        </w:rPr>
      </w:pPr>
    </w:p>
    <w:p w14:paraId="5A3B311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3 viderefører § 55, stk. 3. i hvidvaskloven med redaktionelle ændringer. Der er ikke tilsigtet materielle ændringer med bestemmelsen.</w:t>
      </w:r>
    </w:p>
    <w:p w14:paraId="2BD77283" w14:textId="77777777" w:rsidR="00327FF0" w:rsidRPr="00796736" w:rsidRDefault="00327FF0" w:rsidP="00A802A5">
      <w:pPr>
        <w:spacing w:line="360" w:lineRule="auto"/>
        <w:rPr>
          <w:rFonts w:ascii="Times New Roman" w:hAnsi="Times New Roman" w:cs="Times New Roman"/>
          <w:sz w:val="24"/>
          <w:szCs w:val="24"/>
        </w:rPr>
      </w:pPr>
    </w:p>
    <w:p w14:paraId="13709D98" w14:textId="66A353B2" w:rsidR="00F60F19" w:rsidRDefault="00327FF0" w:rsidP="00F60F19">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offentliggørelse efter </w:t>
      </w:r>
      <w:r w:rsidR="00B63237" w:rsidRPr="00796736">
        <w:rPr>
          <w:rFonts w:ascii="Times New Roman" w:hAnsi="Times New Roman" w:cs="Times New Roman"/>
          <w:sz w:val="24"/>
          <w:szCs w:val="24"/>
        </w:rPr>
        <w:fldChar w:fldCharType="begin"/>
      </w:r>
      <w:r w:rsidR="00B63237"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B63237" w:rsidRPr="00796736">
        <w:rPr>
          <w:rFonts w:ascii="Times New Roman" w:hAnsi="Times New Roman" w:cs="Times New Roman"/>
          <w:sz w:val="24"/>
          <w:szCs w:val="24"/>
        </w:rPr>
      </w:r>
      <w:r w:rsidR="00B6323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B6323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der omfatter en persons navn, kan dog alene ske ved alvorlige, gentagne eller systematiske overtrædelser af hvidvaskforordningen eller hvidvaskloven.</w:t>
      </w:r>
    </w:p>
    <w:p w14:paraId="4D7C4CCD" w14:textId="32FFD099" w:rsidR="00327FF0" w:rsidRPr="00796736" w:rsidRDefault="00F60F19" w:rsidP="00A802A5">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Begrebet alvorlige overtrædelser skal forstås i overensstemmelse med </w:t>
      </w:r>
      <w:r w:rsidR="0074006A">
        <w:rPr>
          <w:rFonts w:ascii="Times New Roman" w:hAnsi="Times New Roman" w:cs="Times New Roman"/>
          <w:sz w:val="24"/>
          <w:szCs w:val="24"/>
        </w:rPr>
        <w:fldChar w:fldCharType="begin"/>
      </w:r>
      <w:r w:rsidR="0074006A">
        <w:rPr>
          <w:rFonts w:ascii="Times New Roman" w:hAnsi="Times New Roman" w:cs="Times New Roman"/>
          <w:sz w:val="24"/>
          <w:szCs w:val="24"/>
        </w:rPr>
        <w:instrText xml:space="preserve"> REF _Ref242963797 \r \h </w:instrText>
      </w:r>
      <w:r w:rsidR="0074006A">
        <w:rPr>
          <w:rFonts w:ascii="Times New Roman" w:hAnsi="Times New Roman" w:cs="Times New Roman"/>
          <w:sz w:val="24"/>
          <w:szCs w:val="24"/>
        </w:rPr>
      </w:r>
      <w:r w:rsidR="0074006A">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74006A">
        <w:rPr>
          <w:rFonts w:ascii="Times New Roman" w:hAnsi="Times New Roman" w:cs="Times New Roman"/>
          <w:sz w:val="24"/>
          <w:szCs w:val="24"/>
        </w:rPr>
        <w:fldChar w:fldCharType="end"/>
      </w:r>
      <w:r w:rsidRPr="00A9036D">
        <w:rPr>
          <w:rFonts w:ascii="Times New Roman" w:hAnsi="Times New Roman" w:cs="Times New Roman"/>
          <w:sz w:val="24"/>
          <w:szCs w:val="24"/>
        </w:rPr>
        <w:t xml:space="preserve">, stk. 6, i hvidvaskloven. Der skal derfor være tale om overtrædelser, der efter </w:t>
      </w:r>
      <w:r w:rsidR="0074006A">
        <w:rPr>
          <w:rFonts w:ascii="Times New Roman" w:hAnsi="Times New Roman" w:cs="Times New Roman"/>
          <w:sz w:val="24"/>
          <w:szCs w:val="24"/>
        </w:rPr>
        <w:fldChar w:fldCharType="begin"/>
      </w:r>
      <w:r w:rsidR="0074006A">
        <w:rPr>
          <w:rFonts w:ascii="Times New Roman" w:hAnsi="Times New Roman" w:cs="Times New Roman"/>
          <w:sz w:val="24"/>
          <w:szCs w:val="24"/>
        </w:rPr>
        <w:instrText xml:space="preserve"> REF _Ref242963797 \r \h </w:instrText>
      </w:r>
      <w:r w:rsidR="0074006A">
        <w:rPr>
          <w:rFonts w:ascii="Times New Roman" w:hAnsi="Times New Roman" w:cs="Times New Roman"/>
          <w:sz w:val="24"/>
          <w:szCs w:val="24"/>
        </w:rPr>
      </w:r>
      <w:r w:rsidR="0074006A">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74006A">
        <w:rPr>
          <w:rFonts w:ascii="Times New Roman" w:hAnsi="Times New Roman" w:cs="Times New Roman"/>
          <w:sz w:val="24"/>
          <w:szCs w:val="24"/>
        </w:rPr>
        <w:fldChar w:fldCharType="end"/>
      </w:r>
      <w:r w:rsidRPr="00A9036D">
        <w:rPr>
          <w:rFonts w:ascii="Times New Roman" w:hAnsi="Times New Roman" w:cs="Times New Roman"/>
          <w:sz w:val="24"/>
          <w:szCs w:val="24"/>
        </w:rPr>
        <w:t>, stk. 6, klassificeres som en kategori 3 eller kategori 4. Det vil eksempelvis være, hvor der ikke er udført kundekendskabsprocedurer, som er et grundlæggende krav for opfyldelse af alle lovforslagets øvrige pligter, eller hvor oplysninger om kunder eller transaktioner ikke er opbevaret, hvilket er en forsætning for, at hvidvask og terrorfinansiering kan efterforskes. Endvidere vil bestemmelsen kunne være anvendelig, hvis der ved beløbsmæssigt særligt store transaktioner ikke er krævet og/eller opbevaret identitets- og kontroloplysninger.</w:t>
      </w:r>
    </w:p>
    <w:p w14:paraId="423DE55D" w14:textId="77777777" w:rsidR="00327FF0" w:rsidRPr="00796736" w:rsidRDefault="00327FF0" w:rsidP="00A802A5">
      <w:pPr>
        <w:spacing w:line="360" w:lineRule="auto"/>
        <w:rPr>
          <w:rFonts w:ascii="Times New Roman" w:hAnsi="Times New Roman" w:cs="Times New Roman"/>
          <w:sz w:val="24"/>
          <w:szCs w:val="24"/>
        </w:rPr>
      </w:pPr>
    </w:p>
    <w:p w14:paraId="5B950111"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så vidt angår interessentskaber, hvor en eller flere interessenter er fysiske personer, er disse omfattet af begrebet personoplysninger i henhold til databeskyttelsesloven. Dette gælder tilsvarende for enkeltmandsvirksomheder.</w:t>
      </w:r>
    </w:p>
    <w:p w14:paraId="7E56D2AC" w14:textId="77777777" w:rsidR="00327FF0" w:rsidRPr="00796736" w:rsidRDefault="00327FF0" w:rsidP="00A802A5">
      <w:pPr>
        <w:spacing w:line="360" w:lineRule="auto"/>
        <w:rPr>
          <w:rFonts w:ascii="Times New Roman" w:hAnsi="Times New Roman" w:cs="Times New Roman"/>
          <w:sz w:val="24"/>
          <w:szCs w:val="24"/>
        </w:rPr>
      </w:pPr>
    </w:p>
    <w:p w14:paraId="63DD0718"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55, stk. 7, 1. pkt., i hvidvaskloven fastslår, at hvis offentliggørelse af en afgørelse er undladt i henhold til § 55, stk. 6, 2. pkt., i hvidvaskloven, hvor offentliggørelse efter hvidvaskloven § 55, stk. 1 og 3-5 ikke kan ske, hvis det vil medføre uforholdsmæssig stor skade for virksomheden eller efterforskningsmæssige hensyn taler imod offentliggørelse, skal der ske offentliggørelse efter § 55 stk. 1 og 3-5, når de hensyn, der nødvendiggjorde undladelsen, ikke længere er gældende.</w:t>
      </w:r>
    </w:p>
    <w:p w14:paraId="3166123D" w14:textId="77777777" w:rsidR="00327FF0" w:rsidRPr="00796736" w:rsidRDefault="00327FF0" w:rsidP="00A802A5">
      <w:pPr>
        <w:spacing w:line="360" w:lineRule="auto"/>
        <w:rPr>
          <w:rFonts w:ascii="Times New Roman" w:hAnsi="Times New Roman" w:cs="Times New Roman"/>
          <w:sz w:val="24"/>
          <w:szCs w:val="24"/>
        </w:rPr>
      </w:pPr>
    </w:p>
    <w:p w14:paraId="33D684EE" w14:textId="79099016"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herudover af § 55, stk. 7, </w:t>
      </w:r>
      <w:r w:rsidR="00E937BB" w:rsidRPr="00A9036D">
        <w:rPr>
          <w:rFonts w:ascii="Times New Roman" w:hAnsi="Times New Roman" w:cs="Times New Roman"/>
          <w:sz w:val="24"/>
          <w:szCs w:val="24"/>
        </w:rPr>
        <w:t>i hvidvaskloven med redaktionelle ændringer, som er relateret til, at det i stk. 1 er indsat, at der ikke kan ske offentliggørelse, hvis dette vil true den finansielle stabilitet.</w:t>
      </w:r>
    </w:p>
    <w:p w14:paraId="47B65EF9" w14:textId="77777777" w:rsidR="00327FF0" w:rsidRPr="00796736" w:rsidRDefault="00327FF0" w:rsidP="00A802A5">
      <w:pPr>
        <w:spacing w:line="360" w:lineRule="auto"/>
        <w:rPr>
          <w:rFonts w:ascii="Times New Roman" w:hAnsi="Times New Roman" w:cs="Times New Roman"/>
          <w:sz w:val="24"/>
          <w:szCs w:val="24"/>
        </w:rPr>
      </w:pPr>
    </w:p>
    <w:p w14:paraId="3A665F5B" w14:textId="57AF7B94"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viderefører § 55, stk. 7, i hvidvaskloven med redaktionelle ændringer, dog med tilføjelse af, at det i stk. 1 er indsat, at der ikke kan ske offentliggørelse, hvis dette vil true den finansielle stabilitet</w:t>
      </w:r>
      <w:r w:rsidR="00CE43F8">
        <w:rPr>
          <w:rFonts w:ascii="Times New Roman" w:hAnsi="Times New Roman" w:cs="Times New Roman"/>
          <w:sz w:val="24"/>
          <w:szCs w:val="24"/>
        </w:rPr>
        <w:t>.</w:t>
      </w:r>
    </w:p>
    <w:p w14:paraId="04650B4A" w14:textId="77777777" w:rsidR="00327FF0" w:rsidRPr="00796736" w:rsidRDefault="00327FF0" w:rsidP="00A802A5">
      <w:pPr>
        <w:spacing w:line="360" w:lineRule="auto"/>
        <w:rPr>
          <w:rFonts w:ascii="Times New Roman" w:hAnsi="Times New Roman" w:cs="Times New Roman"/>
          <w:sz w:val="24"/>
          <w:szCs w:val="24"/>
        </w:rPr>
      </w:pPr>
    </w:p>
    <w:p w14:paraId="336ED892" w14:textId="5BAC5774"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at er offentliggørelse undladt i henhold til stk. 1, skal der ske offentliggørelse efter </w:t>
      </w:r>
      <w:r w:rsidR="00B63237" w:rsidRPr="00796736">
        <w:rPr>
          <w:rFonts w:ascii="Times New Roman" w:hAnsi="Times New Roman" w:cs="Times New Roman"/>
          <w:sz w:val="24"/>
          <w:szCs w:val="24"/>
        </w:rPr>
        <w:fldChar w:fldCharType="begin"/>
      </w:r>
      <w:r w:rsidR="00B63237"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B63237" w:rsidRPr="00796736">
        <w:rPr>
          <w:rFonts w:ascii="Times New Roman" w:hAnsi="Times New Roman" w:cs="Times New Roman"/>
          <w:sz w:val="24"/>
          <w:szCs w:val="24"/>
        </w:rPr>
      </w:r>
      <w:r w:rsidR="00B6323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B6323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når de hensyn, der nødvendiggjorde undladelsen, ikke længere er gældende. Dette gælder dog kun i op til 2 år efter datoen for reaktionen. Der skal alene ske</w:t>
      </w:r>
      <w:r w:rsidR="00CE43F8">
        <w:rPr>
          <w:rFonts w:ascii="Times New Roman" w:hAnsi="Times New Roman" w:cs="Times New Roman"/>
          <w:sz w:val="24"/>
          <w:szCs w:val="24"/>
        </w:rPr>
        <w:t xml:space="preserve"> </w:t>
      </w:r>
      <w:r w:rsidRPr="00796736">
        <w:rPr>
          <w:rFonts w:ascii="Times New Roman" w:hAnsi="Times New Roman" w:cs="Times New Roman"/>
          <w:sz w:val="24"/>
          <w:szCs w:val="24"/>
        </w:rPr>
        <w:t>offentliggørelse, hvis der ikke er sket påtaleopgivelse eller tiltalefrafald efter retsplejelovens regler.</w:t>
      </w:r>
    </w:p>
    <w:p w14:paraId="3E7725D7" w14:textId="77777777" w:rsidR="00327FF0" w:rsidRPr="00796736" w:rsidRDefault="00327FF0" w:rsidP="00A802A5">
      <w:pPr>
        <w:spacing w:line="360" w:lineRule="auto"/>
        <w:rPr>
          <w:rFonts w:ascii="Times New Roman" w:hAnsi="Times New Roman" w:cs="Times New Roman"/>
          <w:sz w:val="24"/>
          <w:szCs w:val="24"/>
        </w:rPr>
      </w:pPr>
    </w:p>
    <w:p w14:paraId="7BF389E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Baggrunden for den foreslåede tidsbegrænsning på 2 år er, at den offentlige interesse i sådanne afgørelser aftager kraftigt hen over tid, samt af administrative årsager. </w:t>
      </w:r>
    </w:p>
    <w:p w14:paraId="48FEA38F" w14:textId="77777777" w:rsidR="00327FF0" w:rsidRPr="00796736" w:rsidRDefault="00327FF0" w:rsidP="00A802A5">
      <w:pPr>
        <w:spacing w:line="360" w:lineRule="auto"/>
        <w:rPr>
          <w:rFonts w:ascii="Times New Roman" w:hAnsi="Times New Roman" w:cs="Times New Roman"/>
          <w:i/>
          <w:iCs/>
          <w:sz w:val="24"/>
          <w:szCs w:val="24"/>
        </w:rPr>
      </w:pPr>
    </w:p>
    <w:p w14:paraId="6BD57EC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55, stk. 6, 1. pkt., i hvidvaskloven, skal der ikke ske offentliggørelse af reaktioner efter § 55, stk. 1, om kravene i § 45, medmindre der er tale om reaktioner i medfør af § 51 c på en overtrædelse af kravene.</w:t>
      </w:r>
    </w:p>
    <w:p w14:paraId="786DDD0D" w14:textId="77777777" w:rsidR="00327FF0" w:rsidRPr="00796736" w:rsidRDefault="00327FF0" w:rsidP="00A802A5">
      <w:pPr>
        <w:spacing w:line="360" w:lineRule="auto"/>
        <w:rPr>
          <w:rFonts w:ascii="Times New Roman" w:hAnsi="Times New Roman" w:cs="Times New Roman"/>
          <w:sz w:val="24"/>
          <w:szCs w:val="24"/>
        </w:rPr>
      </w:pPr>
    </w:p>
    <w:p w14:paraId="0649A887" w14:textId="79B8FC44" w:rsidR="00204CF5" w:rsidRPr="00A9036D" w:rsidRDefault="00204CF5" w:rsidP="00204CF5">
      <w:pPr>
        <w:spacing w:line="360" w:lineRule="auto"/>
        <w:rPr>
          <w:rFonts w:ascii="Times New Roman" w:hAnsi="Times New Roman" w:cs="Times New Roman"/>
          <w:sz w:val="24"/>
          <w:szCs w:val="24"/>
        </w:rPr>
      </w:pPr>
      <w:r w:rsidRPr="00A9036D">
        <w:rPr>
          <w:rFonts w:ascii="Times New Roman" w:hAnsi="Times New Roman" w:cs="Times New Roman"/>
          <w:sz w:val="24"/>
          <w:szCs w:val="24"/>
        </w:rPr>
        <w:t>Det foreslås i </w:t>
      </w:r>
      <w:r w:rsidRPr="00A9036D">
        <w:rPr>
          <w:rFonts w:ascii="Times New Roman" w:hAnsi="Times New Roman" w:cs="Times New Roman"/>
          <w:i/>
          <w:iCs/>
          <w:sz w:val="24"/>
          <w:szCs w:val="24"/>
        </w:rPr>
        <w:t>stk. 5,</w:t>
      </w:r>
      <w:r w:rsidRPr="00A9036D">
        <w:rPr>
          <w:rFonts w:ascii="Times New Roman" w:hAnsi="Times New Roman" w:cs="Times New Roman"/>
          <w:sz w:val="24"/>
          <w:szCs w:val="24"/>
        </w:rPr>
        <w:t> at der ikke skal ske offentliggørelse af reaktioner efter</w:t>
      </w:r>
      <w:r w:rsidR="00C50ED7">
        <w:rPr>
          <w:rFonts w:ascii="Times New Roman" w:hAnsi="Times New Roman" w:cs="Times New Roman"/>
          <w:sz w:val="24"/>
          <w:szCs w:val="24"/>
        </w:rPr>
        <w:t xml:space="preserve"> </w:t>
      </w:r>
      <w:r w:rsidR="00C50ED7">
        <w:rPr>
          <w:rFonts w:ascii="Times New Roman" w:hAnsi="Times New Roman" w:cs="Times New Roman"/>
          <w:sz w:val="24"/>
          <w:szCs w:val="24"/>
        </w:rPr>
        <w:fldChar w:fldCharType="begin"/>
      </w:r>
      <w:r w:rsidR="00C50ED7">
        <w:rPr>
          <w:rFonts w:ascii="Times New Roman" w:hAnsi="Times New Roman" w:cs="Times New Roman"/>
          <w:sz w:val="24"/>
          <w:szCs w:val="24"/>
        </w:rPr>
        <w:instrText xml:space="preserve"> REF _Ref239790980 \r \h </w:instrText>
      </w:r>
      <w:r w:rsidR="00C50ED7">
        <w:rPr>
          <w:rFonts w:ascii="Times New Roman" w:hAnsi="Times New Roman" w:cs="Times New Roman"/>
          <w:sz w:val="24"/>
          <w:szCs w:val="24"/>
        </w:rPr>
      </w:r>
      <w:r w:rsidR="00C50ED7">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C50ED7">
        <w:rPr>
          <w:rFonts w:ascii="Times New Roman" w:hAnsi="Times New Roman" w:cs="Times New Roman"/>
          <w:sz w:val="24"/>
          <w:szCs w:val="24"/>
        </w:rPr>
        <w:fldChar w:fldCharType="end"/>
      </w:r>
      <w:r w:rsidRPr="00A9036D">
        <w:rPr>
          <w:rFonts w:ascii="Times New Roman" w:hAnsi="Times New Roman" w:cs="Times New Roman"/>
          <w:sz w:val="24"/>
          <w:szCs w:val="24"/>
        </w:rPr>
        <w:t xml:space="preserve">, stk. 1 nr. 1-4, om kravene i </w:t>
      </w:r>
      <w:r w:rsidR="00C50ED7">
        <w:rPr>
          <w:rFonts w:ascii="Times New Roman" w:hAnsi="Times New Roman" w:cs="Times New Roman"/>
          <w:sz w:val="24"/>
          <w:szCs w:val="24"/>
        </w:rPr>
        <w:t>§</w:t>
      </w:r>
      <w:r w:rsidR="00C50ED7" w:rsidRPr="00796736">
        <w:rPr>
          <w:rFonts w:ascii="Times New Roman" w:hAnsi="Times New Roman" w:cs="Times New Roman"/>
          <w:sz w:val="24"/>
          <w:szCs w:val="24"/>
        </w:rPr>
        <w:fldChar w:fldCharType="begin"/>
      </w:r>
      <w:r w:rsidR="00C50ED7" w:rsidRPr="00796736">
        <w:rPr>
          <w:rFonts w:ascii="Times New Roman" w:hAnsi="Times New Roman" w:cs="Times New Roman"/>
          <w:sz w:val="24"/>
          <w:szCs w:val="24"/>
        </w:rPr>
        <w:instrText xml:space="preserve"> REF _Ref232596808 \r \h  \* MERGEFORMAT </w:instrText>
      </w:r>
      <w:r w:rsidR="00C50ED7" w:rsidRPr="00796736">
        <w:rPr>
          <w:rFonts w:ascii="Times New Roman" w:hAnsi="Times New Roman" w:cs="Times New Roman"/>
          <w:sz w:val="24"/>
          <w:szCs w:val="24"/>
        </w:rPr>
      </w:r>
      <w:r w:rsidR="00C50ED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C50ED7" w:rsidRPr="00796736">
        <w:rPr>
          <w:rFonts w:ascii="Times New Roman" w:hAnsi="Times New Roman" w:cs="Times New Roman"/>
          <w:sz w:val="24"/>
          <w:szCs w:val="24"/>
        </w:rPr>
        <w:fldChar w:fldCharType="end"/>
      </w:r>
      <w:r w:rsidR="00C50ED7">
        <w:rPr>
          <w:rFonts w:ascii="Times New Roman" w:hAnsi="Times New Roman" w:cs="Times New Roman"/>
          <w:sz w:val="24"/>
          <w:szCs w:val="24"/>
        </w:rPr>
        <w:t xml:space="preserve"> og </w:t>
      </w:r>
      <w:r w:rsidR="00C50ED7">
        <w:rPr>
          <w:rFonts w:ascii="Times New Roman" w:hAnsi="Times New Roman" w:cs="Times New Roman"/>
          <w:sz w:val="24"/>
          <w:szCs w:val="24"/>
        </w:rPr>
        <w:fldChar w:fldCharType="begin"/>
      </w:r>
      <w:r w:rsidR="00C50ED7">
        <w:rPr>
          <w:rFonts w:ascii="Times New Roman" w:hAnsi="Times New Roman" w:cs="Times New Roman"/>
          <w:sz w:val="24"/>
          <w:szCs w:val="24"/>
        </w:rPr>
        <w:instrText xml:space="preserve"> REF _Ref243927795 \r \h </w:instrText>
      </w:r>
      <w:r w:rsidR="00C50ED7">
        <w:rPr>
          <w:rFonts w:ascii="Times New Roman" w:hAnsi="Times New Roman" w:cs="Times New Roman"/>
          <w:sz w:val="24"/>
          <w:szCs w:val="24"/>
        </w:rPr>
      </w:r>
      <w:r w:rsidR="00C50ED7">
        <w:rPr>
          <w:rFonts w:ascii="Times New Roman" w:hAnsi="Times New Roman" w:cs="Times New Roman"/>
          <w:sz w:val="24"/>
          <w:szCs w:val="24"/>
        </w:rPr>
        <w:fldChar w:fldCharType="separate"/>
      </w:r>
      <w:r w:rsidR="008F29E5">
        <w:rPr>
          <w:rFonts w:ascii="Times New Roman" w:hAnsi="Times New Roman" w:cs="Times New Roman"/>
          <w:sz w:val="24"/>
          <w:szCs w:val="24"/>
        </w:rPr>
        <w:t>51</w:t>
      </w:r>
      <w:r w:rsidR="00C50ED7">
        <w:rPr>
          <w:rFonts w:ascii="Times New Roman" w:hAnsi="Times New Roman" w:cs="Times New Roman"/>
          <w:sz w:val="24"/>
          <w:szCs w:val="24"/>
        </w:rPr>
        <w:fldChar w:fldCharType="end"/>
      </w:r>
      <w:r w:rsidRPr="00A9036D">
        <w:rPr>
          <w:rFonts w:ascii="Times New Roman" w:hAnsi="Times New Roman" w:cs="Times New Roman"/>
          <w:sz w:val="24"/>
          <w:szCs w:val="24"/>
        </w:rPr>
        <w:t xml:space="preserve">, medmindre der er tale om reaktioner i medfør af </w:t>
      </w:r>
      <w:r w:rsidR="0025181A" w:rsidRPr="00796736">
        <w:rPr>
          <w:rFonts w:ascii="Times New Roman" w:hAnsi="Times New Roman" w:cs="Times New Roman"/>
          <w:sz w:val="24"/>
          <w:szCs w:val="24"/>
        </w:rPr>
        <w:t xml:space="preserve">§ 65 </w:t>
      </w:r>
      <w:r w:rsidRPr="00A9036D">
        <w:rPr>
          <w:rFonts w:ascii="Times New Roman" w:hAnsi="Times New Roman" w:cs="Times New Roman"/>
          <w:sz w:val="24"/>
          <w:szCs w:val="24"/>
        </w:rPr>
        <w:t>en overtrædelse af kravene, jf. dog stk. 1, nr. 1-3, og stk. 2, nr. 1 og 2.</w:t>
      </w:r>
    </w:p>
    <w:p w14:paraId="34EA455D" w14:textId="77777777" w:rsidR="00327FF0" w:rsidRPr="00796736" w:rsidRDefault="00327FF0" w:rsidP="00A802A5">
      <w:pPr>
        <w:spacing w:line="360" w:lineRule="auto"/>
        <w:rPr>
          <w:rFonts w:ascii="Times New Roman" w:hAnsi="Times New Roman" w:cs="Times New Roman"/>
          <w:sz w:val="24"/>
          <w:szCs w:val="24"/>
        </w:rPr>
      </w:pPr>
    </w:p>
    <w:p w14:paraId="50E80DB4" w14:textId="7B1C7C96" w:rsidR="002F3F34" w:rsidRPr="00A9036D" w:rsidRDefault="002F3F34" w:rsidP="002F3F34">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Det foreslåede indebærer, at der ikke vil kunne ske offentliggørelse efter lovforslagets </w:t>
      </w:r>
      <w:r w:rsidR="00F34A55">
        <w:rPr>
          <w:rFonts w:ascii="Times New Roman" w:hAnsi="Times New Roman" w:cs="Times New Roman"/>
          <w:sz w:val="24"/>
          <w:szCs w:val="24"/>
        </w:rPr>
        <w:fldChar w:fldCharType="begin"/>
      </w:r>
      <w:r w:rsidR="00F34A55">
        <w:rPr>
          <w:rFonts w:ascii="Times New Roman" w:hAnsi="Times New Roman" w:cs="Times New Roman"/>
          <w:sz w:val="24"/>
          <w:szCs w:val="24"/>
        </w:rPr>
        <w:instrText xml:space="preserve"> REF _Ref239790980 \r \h </w:instrText>
      </w:r>
      <w:r w:rsidR="00F34A55">
        <w:rPr>
          <w:rFonts w:ascii="Times New Roman" w:hAnsi="Times New Roman" w:cs="Times New Roman"/>
          <w:sz w:val="24"/>
          <w:szCs w:val="24"/>
        </w:rPr>
      </w:r>
      <w:r w:rsidR="00F34A55">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F34A55">
        <w:rPr>
          <w:rFonts w:ascii="Times New Roman" w:hAnsi="Times New Roman" w:cs="Times New Roman"/>
          <w:sz w:val="24"/>
          <w:szCs w:val="24"/>
        </w:rPr>
        <w:fldChar w:fldCharType="end"/>
      </w:r>
      <w:r w:rsidR="00F34A55">
        <w:rPr>
          <w:rFonts w:ascii="Times New Roman" w:hAnsi="Times New Roman" w:cs="Times New Roman"/>
          <w:sz w:val="24"/>
          <w:szCs w:val="24"/>
        </w:rPr>
        <w:t xml:space="preserve"> </w:t>
      </w:r>
      <w:r w:rsidRPr="00A9036D">
        <w:rPr>
          <w:rFonts w:ascii="Times New Roman" w:hAnsi="Times New Roman" w:cs="Times New Roman"/>
          <w:sz w:val="24"/>
          <w:szCs w:val="24"/>
        </w:rPr>
        <w:t>af Finanstilsynets afgørelser i sager om egnethed og hæderlighed for medlemmer af bestyrelsen eller direktionen i en valutavekslingsvirksomhed efter lovforslagets</w:t>
      </w:r>
      <w:r w:rsidR="00F37460" w:rsidRPr="00796736">
        <w:rPr>
          <w:rFonts w:ascii="Times New Roman" w:hAnsi="Times New Roman" w:cs="Times New Roman"/>
          <w:sz w:val="24"/>
          <w:szCs w:val="24"/>
        </w:rPr>
        <w:t xml:space="preserve"> </w:t>
      </w:r>
      <w:r w:rsidR="00F37460" w:rsidRPr="00796736">
        <w:rPr>
          <w:rFonts w:ascii="Times New Roman" w:hAnsi="Times New Roman" w:cs="Times New Roman"/>
          <w:sz w:val="24"/>
          <w:szCs w:val="24"/>
        </w:rPr>
        <w:fldChar w:fldCharType="begin"/>
      </w:r>
      <w:r w:rsidR="00F37460" w:rsidRPr="00796736">
        <w:rPr>
          <w:rFonts w:ascii="Times New Roman" w:hAnsi="Times New Roman" w:cs="Times New Roman"/>
          <w:sz w:val="24"/>
          <w:szCs w:val="24"/>
        </w:rPr>
        <w:instrText xml:space="preserve"> REF _Ref232596808 \r \h  \* MERGEFORMAT </w:instrText>
      </w:r>
      <w:r w:rsidR="00F37460" w:rsidRPr="00796736">
        <w:rPr>
          <w:rFonts w:ascii="Times New Roman" w:hAnsi="Times New Roman" w:cs="Times New Roman"/>
          <w:sz w:val="24"/>
          <w:szCs w:val="24"/>
        </w:rPr>
      </w:r>
      <w:r w:rsidR="00F3746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F37460" w:rsidRPr="00796736">
        <w:rPr>
          <w:rFonts w:ascii="Times New Roman" w:hAnsi="Times New Roman" w:cs="Times New Roman"/>
          <w:sz w:val="24"/>
          <w:szCs w:val="24"/>
        </w:rPr>
        <w:fldChar w:fldCharType="end"/>
      </w:r>
      <w:r w:rsidR="00F37460">
        <w:rPr>
          <w:rFonts w:ascii="Times New Roman" w:hAnsi="Times New Roman" w:cs="Times New Roman"/>
          <w:sz w:val="24"/>
          <w:szCs w:val="24"/>
        </w:rPr>
        <w:t xml:space="preserve"> </w:t>
      </w:r>
      <w:r w:rsidRPr="00A9036D">
        <w:rPr>
          <w:rFonts w:ascii="Times New Roman" w:hAnsi="Times New Roman" w:cs="Times New Roman"/>
          <w:sz w:val="24"/>
          <w:szCs w:val="24"/>
        </w:rPr>
        <w:t xml:space="preserve">og Finanstilsynets afgørelser for medlemmer af øverste eller daglige ledelse efter lovforslagets </w:t>
      </w:r>
      <w:r w:rsidR="00EC3952" w:rsidRPr="00796736">
        <w:rPr>
          <w:rFonts w:ascii="Times New Roman" w:hAnsi="Times New Roman" w:cs="Times New Roman"/>
          <w:sz w:val="24"/>
          <w:szCs w:val="24"/>
        </w:rPr>
        <w:fldChar w:fldCharType="begin"/>
      </w:r>
      <w:r w:rsidR="00EC3952" w:rsidRPr="00796736">
        <w:rPr>
          <w:rFonts w:ascii="Times New Roman" w:hAnsi="Times New Roman" w:cs="Times New Roman"/>
          <w:sz w:val="24"/>
          <w:szCs w:val="24"/>
        </w:rPr>
        <w:instrText xml:space="preserve"> REF _Ref232596960 \r \h  \* MERGEFORMAT </w:instrText>
      </w:r>
      <w:r w:rsidR="00EC3952" w:rsidRPr="00796736">
        <w:rPr>
          <w:rFonts w:ascii="Times New Roman" w:hAnsi="Times New Roman" w:cs="Times New Roman"/>
          <w:sz w:val="24"/>
          <w:szCs w:val="24"/>
        </w:rPr>
      </w:r>
      <w:r w:rsidR="00EC3952"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EC3952" w:rsidRPr="00796736">
        <w:rPr>
          <w:rFonts w:ascii="Times New Roman" w:hAnsi="Times New Roman" w:cs="Times New Roman"/>
          <w:sz w:val="24"/>
          <w:szCs w:val="24"/>
        </w:rPr>
        <w:fldChar w:fldCharType="end"/>
      </w:r>
      <w:r w:rsidRPr="00A9036D">
        <w:rPr>
          <w:rFonts w:ascii="Times New Roman" w:hAnsi="Times New Roman" w:cs="Times New Roman"/>
          <w:sz w:val="24"/>
          <w:szCs w:val="24"/>
        </w:rPr>
        <w:t xml:space="preserve">. Dette vil gælde for alle typer af egnetheds- og hæderlighedssager, det vil sige både for sager, hvor vurderingen efter ansøgning sker forud for eller efter tiltræden i den konkrete stilling. Der skal dog ske offentliggørelse, hvis der er tale om reaktioner i medfør af </w:t>
      </w:r>
      <w:r w:rsidR="007022A7">
        <w:rPr>
          <w:rFonts w:ascii="Times New Roman" w:hAnsi="Times New Roman" w:cs="Times New Roman"/>
          <w:sz w:val="24"/>
          <w:szCs w:val="24"/>
        </w:rPr>
        <w:fldChar w:fldCharType="begin"/>
      </w:r>
      <w:r w:rsidR="007022A7">
        <w:rPr>
          <w:rFonts w:ascii="Times New Roman" w:hAnsi="Times New Roman" w:cs="Times New Roman"/>
          <w:sz w:val="24"/>
          <w:szCs w:val="24"/>
        </w:rPr>
        <w:instrText xml:space="preserve"> REF _Ref237008164 \r \h </w:instrText>
      </w:r>
      <w:r w:rsidR="007022A7">
        <w:rPr>
          <w:rFonts w:ascii="Times New Roman" w:hAnsi="Times New Roman" w:cs="Times New Roman"/>
          <w:sz w:val="24"/>
          <w:szCs w:val="24"/>
        </w:rPr>
      </w:r>
      <w:r w:rsidR="007022A7">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007022A7">
        <w:rPr>
          <w:rFonts w:ascii="Times New Roman" w:hAnsi="Times New Roman" w:cs="Times New Roman"/>
          <w:sz w:val="24"/>
          <w:szCs w:val="24"/>
        </w:rPr>
        <w:fldChar w:fldCharType="end"/>
      </w:r>
      <w:r w:rsidR="007022A7">
        <w:rPr>
          <w:rFonts w:ascii="Times New Roman" w:hAnsi="Times New Roman" w:cs="Times New Roman"/>
          <w:sz w:val="24"/>
          <w:szCs w:val="24"/>
        </w:rPr>
        <w:t xml:space="preserve"> </w:t>
      </w:r>
      <w:r w:rsidRPr="00A9036D">
        <w:rPr>
          <w:rFonts w:ascii="Times New Roman" w:hAnsi="Times New Roman" w:cs="Times New Roman"/>
          <w:sz w:val="24"/>
          <w:szCs w:val="24"/>
        </w:rPr>
        <w:t xml:space="preserve">på en overtrædelse af kravene, medmindre offentliggørelse ikke kan ske efter stk. 1, nr. 1-3, og stk. 2, nr. 1 og 2. </w:t>
      </w:r>
    </w:p>
    <w:p w14:paraId="6749B84E" w14:textId="77777777" w:rsidR="00327FF0" w:rsidRPr="00796736" w:rsidRDefault="00327FF0" w:rsidP="00A802A5">
      <w:pPr>
        <w:spacing w:line="360" w:lineRule="auto"/>
        <w:rPr>
          <w:rFonts w:ascii="Times New Roman" w:hAnsi="Times New Roman" w:cs="Times New Roman"/>
          <w:sz w:val="24"/>
          <w:szCs w:val="24"/>
        </w:rPr>
      </w:pPr>
    </w:p>
    <w:p w14:paraId="123088EA"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dermed en undtagelse til offentliggørelsespligten. Forslaget har til formål at sikre fortrolighed om sagerne af hensyn til de personer, som vurderingerne af egnethed og hæderlighed vedrører.</w:t>
      </w:r>
    </w:p>
    <w:p w14:paraId="28CC0457" w14:textId="77777777" w:rsidR="00D86596" w:rsidRPr="00796736" w:rsidRDefault="00D86596" w:rsidP="00A802A5">
      <w:pPr>
        <w:spacing w:line="360" w:lineRule="auto"/>
        <w:rPr>
          <w:rFonts w:ascii="Times New Roman" w:hAnsi="Times New Roman" w:cs="Times New Roman"/>
          <w:sz w:val="24"/>
          <w:szCs w:val="24"/>
        </w:rPr>
      </w:pPr>
    </w:p>
    <w:p w14:paraId="7EB5E666" w14:textId="6FD6AEFF" w:rsidR="00240DBE" w:rsidRPr="00796736" w:rsidRDefault="00240DBE" w:rsidP="00A802A5">
      <w:pPr>
        <w:pStyle w:val="Undertitel"/>
      </w:pPr>
      <w:bookmarkStart w:id="2079" w:name="_Toc232109407"/>
      <w:bookmarkStart w:id="2080" w:name="_Toc244879369"/>
      <w:bookmarkStart w:id="2081" w:name="_Toc244880894"/>
      <w:r w:rsidRPr="00796736">
        <w:t xml:space="preserve">Til </w:t>
      </w:r>
      <w:bookmarkEnd w:id="2079"/>
      <w:r w:rsidR="00327FF0" w:rsidRPr="00796736">
        <w:fldChar w:fldCharType="begin"/>
      </w:r>
      <w:r w:rsidR="00327FF0" w:rsidRPr="00796736">
        <w:instrText xml:space="preserve"> REF _Ref232597505 \r \h </w:instrText>
      </w:r>
      <w:r w:rsidR="00F375BF" w:rsidRPr="00796736">
        <w:instrText xml:space="preserve"> \* MERGEFORMAT </w:instrText>
      </w:r>
      <w:r w:rsidR="00327FF0" w:rsidRPr="00796736">
        <w:fldChar w:fldCharType="separate"/>
      </w:r>
      <w:r w:rsidR="008F29E5">
        <w:t>§ 73</w:t>
      </w:r>
      <w:bookmarkEnd w:id="2080"/>
      <w:bookmarkEnd w:id="2081"/>
      <w:r w:rsidR="00327FF0" w:rsidRPr="00796736">
        <w:fldChar w:fldCharType="end"/>
      </w:r>
    </w:p>
    <w:p w14:paraId="5FEDA37B" w14:textId="77777777" w:rsidR="00834485" w:rsidRPr="00796736" w:rsidRDefault="00834485" w:rsidP="00A802A5">
      <w:pPr>
        <w:spacing w:line="360" w:lineRule="auto"/>
        <w:jc w:val="center"/>
        <w:rPr>
          <w:rFonts w:ascii="Times New Roman" w:hAnsi="Times New Roman" w:cs="Times New Roman"/>
          <w:i/>
          <w:iCs/>
          <w:sz w:val="24"/>
          <w:szCs w:val="24"/>
        </w:rPr>
      </w:pPr>
    </w:p>
    <w:p w14:paraId="4C2A32D8" w14:textId="32E51310"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w:t>
      </w:r>
      <w:r w:rsidR="00B63237" w:rsidRPr="00796736">
        <w:rPr>
          <w:rFonts w:ascii="Times New Roman" w:hAnsi="Times New Roman" w:cs="Times New Roman"/>
          <w:sz w:val="24"/>
          <w:szCs w:val="24"/>
        </w:rPr>
        <w:fldChar w:fldCharType="begin"/>
      </w:r>
      <w:r w:rsidR="00B63237" w:rsidRPr="00796736">
        <w:rPr>
          <w:rFonts w:ascii="Times New Roman" w:eastAsia="Calibri"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B63237" w:rsidRPr="00796736">
        <w:rPr>
          <w:rFonts w:ascii="Times New Roman" w:hAnsi="Times New Roman" w:cs="Times New Roman"/>
          <w:sz w:val="24"/>
          <w:szCs w:val="24"/>
        </w:rPr>
      </w:r>
      <w:r w:rsidR="00B63237" w:rsidRPr="00796736">
        <w:rPr>
          <w:rFonts w:ascii="Times New Roman" w:hAnsi="Times New Roman" w:cs="Times New Roman"/>
          <w:sz w:val="24"/>
          <w:szCs w:val="24"/>
        </w:rPr>
        <w:fldChar w:fldCharType="separate"/>
      </w:r>
      <w:r w:rsidR="008F29E5">
        <w:rPr>
          <w:rFonts w:ascii="Times New Roman" w:eastAsia="Calibri" w:hAnsi="Times New Roman" w:cs="Times New Roman"/>
          <w:sz w:val="24"/>
          <w:szCs w:val="24"/>
        </w:rPr>
        <w:t>§ 73</w:t>
      </w:r>
      <w:r w:rsidR="00B63237" w:rsidRPr="00796736">
        <w:rPr>
          <w:rFonts w:ascii="Times New Roman" w:hAnsi="Times New Roman" w:cs="Times New Roman"/>
          <w:sz w:val="24"/>
          <w:szCs w:val="24"/>
        </w:rPr>
        <w:fldChar w:fldCharType="end"/>
      </w:r>
      <w:r w:rsidR="00B63237"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 xml:space="preserve">fastsætter regler om Finanstilsynets offentliggørelse i anonymiseret form. </w:t>
      </w:r>
    </w:p>
    <w:p w14:paraId="09ED762B" w14:textId="77777777" w:rsidR="00327FF0" w:rsidRPr="00796736" w:rsidRDefault="00327FF0" w:rsidP="00A802A5">
      <w:pPr>
        <w:spacing w:line="360" w:lineRule="auto"/>
        <w:rPr>
          <w:rFonts w:ascii="Times New Roman" w:eastAsia="Calibri" w:hAnsi="Times New Roman" w:cs="Times New Roman"/>
          <w:sz w:val="24"/>
          <w:szCs w:val="24"/>
        </w:rPr>
      </w:pPr>
    </w:p>
    <w:p w14:paraId="75DB0019"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er ny, og implementerer artikel 58, stk. 3, litra b, i 6. hvidvaskdirektiv. </w:t>
      </w:r>
    </w:p>
    <w:p w14:paraId="6D9FACED" w14:textId="77777777" w:rsidR="00327FF0" w:rsidRPr="00796736" w:rsidRDefault="00327FF0" w:rsidP="00A802A5">
      <w:pPr>
        <w:spacing w:line="360" w:lineRule="auto"/>
        <w:rPr>
          <w:rFonts w:ascii="Times New Roman" w:eastAsia="Calibri" w:hAnsi="Times New Roman" w:cs="Times New Roman"/>
          <w:sz w:val="24"/>
          <w:szCs w:val="24"/>
        </w:rPr>
      </w:pPr>
    </w:p>
    <w:p w14:paraId="21B9E507" w14:textId="76A92643"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følger den gældende § 354 e, stk. 3, i lov om finansiel virksomhed</w:t>
      </w:r>
      <w:r w:rsidR="00360325">
        <w:rPr>
          <w:rFonts w:ascii="Times New Roman" w:eastAsia="Calibri" w:hAnsi="Times New Roman" w:cs="Times New Roman"/>
          <w:sz w:val="24"/>
          <w:szCs w:val="24"/>
        </w:rPr>
        <w:t>, der</w:t>
      </w:r>
      <w:r w:rsidRPr="00796736">
        <w:rPr>
          <w:rFonts w:ascii="Times New Roman" w:eastAsia="Calibri" w:hAnsi="Times New Roman" w:cs="Times New Roman"/>
          <w:sz w:val="24"/>
          <w:szCs w:val="24"/>
        </w:rPr>
        <w:t xml:space="preserve"> fastsætter, at offentliggørelse efter § 345 e, stk. 1, i lov om finansiel virksomhed skal ske i anonymiseret form, hvis offentliggørelse med navns nævnelse vil medføre uforholdsmæssig stor skade for virksomheden eller den fysiske person, efterforskningsmæssige hensyn taler imod offentliggørelse, eller offentliggørelse vil true den finansielle stabilitet. Dette gælder ligeledes i tilfælde, hvor der er tale om offentliggørelse vedrørende en fysisk person, hvis de samfundsmæssige hensyn til offentliggørelse med navns nævnelse må vurderes ikke at være proportionale i forhold til hensynet til personen.</w:t>
      </w:r>
    </w:p>
    <w:p w14:paraId="73940ACB" w14:textId="77777777" w:rsidR="00327FF0" w:rsidRPr="00796736" w:rsidRDefault="00327FF0" w:rsidP="00A802A5">
      <w:pPr>
        <w:spacing w:line="360" w:lineRule="auto"/>
        <w:rPr>
          <w:rFonts w:ascii="Times New Roman" w:eastAsia="Calibri" w:hAnsi="Times New Roman" w:cs="Times New Roman"/>
          <w:sz w:val="24"/>
          <w:szCs w:val="24"/>
        </w:rPr>
      </w:pPr>
    </w:p>
    <w:p w14:paraId="116EF201" w14:textId="1E5D1471"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i </w:t>
      </w:r>
      <w:r w:rsidR="00B63237" w:rsidRPr="00796736">
        <w:rPr>
          <w:rFonts w:ascii="Times New Roman" w:hAnsi="Times New Roman" w:cs="Times New Roman"/>
          <w:sz w:val="24"/>
          <w:szCs w:val="24"/>
        </w:rPr>
        <w:fldChar w:fldCharType="begin"/>
      </w:r>
      <w:r w:rsidR="00B63237" w:rsidRPr="00796736">
        <w:rPr>
          <w:rFonts w:ascii="Times New Roman" w:eastAsia="Calibri" w:hAnsi="Times New Roman" w:cs="Times New Roman"/>
          <w:sz w:val="24"/>
          <w:szCs w:val="24"/>
        </w:rPr>
        <w:instrText xml:space="preserve"> REF _Ref232597505 \r \h </w:instrText>
      </w:r>
      <w:r w:rsidR="00F375BF" w:rsidRPr="00796736">
        <w:rPr>
          <w:rFonts w:ascii="Times New Roman" w:hAnsi="Times New Roman" w:cs="Times New Roman"/>
          <w:sz w:val="24"/>
          <w:szCs w:val="24"/>
        </w:rPr>
        <w:instrText xml:space="preserve"> \* MERGEFORMAT </w:instrText>
      </w:r>
      <w:r w:rsidR="00B63237" w:rsidRPr="00796736">
        <w:rPr>
          <w:rFonts w:ascii="Times New Roman" w:hAnsi="Times New Roman" w:cs="Times New Roman"/>
          <w:sz w:val="24"/>
          <w:szCs w:val="24"/>
        </w:rPr>
      </w:r>
      <w:r w:rsidR="00B63237" w:rsidRPr="00796736">
        <w:rPr>
          <w:rFonts w:ascii="Times New Roman" w:hAnsi="Times New Roman" w:cs="Times New Roman"/>
          <w:sz w:val="24"/>
          <w:szCs w:val="24"/>
        </w:rPr>
        <w:fldChar w:fldCharType="separate"/>
      </w:r>
      <w:r w:rsidR="008F29E5">
        <w:rPr>
          <w:rFonts w:ascii="Times New Roman" w:eastAsia="Calibri" w:hAnsi="Times New Roman" w:cs="Times New Roman"/>
          <w:sz w:val="24"/>
          <w:szCs w:val="24"/>
        </w:rPr>
        <w:t>§ 73</w:t>
      </w:r>
      <w:r w:rsidR="00B63237" w:rsidRPr="00796736">
        <w:rPr>
          <w:rFonts w:ascii="Times New Roman" w:hAnsi="Times New Roman" w:cs="Times New Roman"/>
          <w:sz w:val="24"/>
          <w:szCs w:val="24"/>
        </w:rPr>
        <w:fldChar w:fldCharType="end"/>
      </w:r>
      <w:r w:rsidRPr="00796736">
        <w:rPr>
          <w:rFonts w:ascii="Times New Roman" w:eastAsia="Calibri" w:hAnsi="Times New Roman" w:cs="Times New Roman"/>
          <w:sz w:val="24"/>
          <w:szCs w:val="24"/>
        </w:rPr>
        <w:t xml:space="preserve">, at offentliggørelse efter </w:t>
      </w:r>
      <w:r w:rsidR="00B63237" w:rsidRPr="00796736">
        <w:rPr>
          <w:rFonts w:ascii="Times New Roman" w:eastAsia="Calibri" w:hAnsi="Times New Roman" w:cs="Times New Roman"/>
          <w:sz w:val="24"/>
          <w:szCs w:val="24"/>
        </w:rPr>
        <w:fldChar w:fldCharType="begin"/>
      </w:r>
      <w:r w:rsidR="00B63237" w:rsidRPr="00796736">
        <w:rPr>
          <w:rFonts w:ascii="Times New Roman" w:eastAsia="Calibri" w:hAnsi="Times New Roman" w:cs="Times New Roman"/>
          <w:sz w:val="24"/>
          <w:szCs w:val="24"/>
        </w:rPr>
        <w:instrText xml:space="preserve"> REF _Ref239790980 \r \h </w:instrText>
      </w:r>
      <w:r w:rsidR="00F375BF" w:rsidRPr="00796736">
        <w:rPr>
          <w:rFonts w:ascii="Times New Roman" w:eastAsia="Calibri" w:hAnsi="Times New Roman" w:cs="Times New Roman"/>
          <w:sz w:val="24"/>
          <w:szCs w:val="24"/>
        </w:rPr>
        <w:instrText xml:space="preserve"> \* MERGEFORMAT </w:instrText>
      </w:r>
      <w:r w:rsidR="00B63237" w:rsidRPr="00796736">
        <w:rPr>
          <w:rFonts w:ascii="Times New Roman" w:eastAsia="Calibri" w:hAnsi="Times New Roman" w:cs="Times New Roman"/>
          <w:sz w:val="24"/>
          <w:szCs w:val="24"/>
        </w:rPr>
      </w:r>
      <w:r w:rsidR="00B63237"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69</w:t>
      </w:r>
      <w:r w:rsidR="00B63237" w:rsidRPr="00796736">
        <w:rPr>
          <w:rFonts w:ascii="Times New Roman" w:eastAsia="Calibri" w:hAnsi="Times New Roman" w:cs="Times New Roman"/>
          <w:sz w:val="24"/>
          <w:szCs w:val="24"/>
        </w:rPr>
        <w:fldChar w:fldCharType="end"/>
      </w:r>
      <w:r w:rsidR="00B63237"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skal ske i anonymiseret form i en række tilfælde. </w:t>
      </w:r>
    </w:p>
    <w:p w14:paraId="6846C556" w14:textId="77777777" w:rsidR="00327FF0" w:rsidRPr="00796736" w:rsidRDefault="00327FF0" w:rsidP="00A802A5">
      <w:pPr>
        <w:spacing w:line="360" w:lineRule="auto"/>
        <w:rPr>
          <w:rFonts w:ascii="Times New Roman" w:eastAsia="Calibri" w:hAnsi="Times New Roman" w:cs="Times New Roman"/>
          <w:sz w:val="24"/>
          <w:szCs w:val="24"/>
        </w:rPr>
      </w:pPr>
    </w:p>
    <w:p w14:paraId="7E0D5E30"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det foreslåede </w:t>
      </w:r>
      <w:r w:rsidRPr="00796736">
        <w:rPr>
          <w:rFonts w:ascii="Times New Roman" w:eastAsia="Calibri" w:hAnsi="Times New Roman" w:cs="Times New Roman"/>
          <w:i/>
          <w:iCs/>
          <w:sz w:val="24"/>
          <w:szCs w:val="24"/>
        </w:rPr>
        <w:t>nr. 1</w:t>
      </w:r>
      <w:r w:rsidRPr="00796736">
        <w:rPr>
          <w:rFonts w:ascii="Times New Roman" w:eastAsia="Calibri" w:hAnsi="Times New Roman" w:cs="Times New Roman"/>
          <w:sz w:val="24"/>
          <w:szCs w:val="24"/>
        </w:rPr>
        <w:t> skal offentliggørelse ske i anonymiseret form, hvis offentliggørelse vil medføre uforholdsmæssig stor skade for virksomheden eller personen.</w:t>
      </w:r>
    </w:p>
    <w:p w14:paraId="61E3517E" w14:textId="77777777" w:rsidR="00327FF0" w:rsidRPr="00796736" w:rsidRDefault="00327FF0" w:rsidP="00A802A5">
      <w:pPr>
        <w:spacing w:line="360" w:lineRule="auto"/>
        <w:rPr>
          <w:rFonts w:ascii="Times New Roman" w:eastAsia="Calibri" w:hAnsi="Times New Roman" w:cs="Times New Roman"/>
          <w:sz w:val="24"/>
          <w:szCs w:val="24"/>
        </w:rPr>
      </w:pPr>
    </w:p>
    <w:p w14:paraId="68BA4AED"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Undtagelsen finder således kun anvendelse på de tilfælde, hvor virksomhedens fortsatte drift vil blive truet eller meget væsentlige interesser krænkes.</w:t>
      </w:r>
    </w:p>
    <w:p w14:paraId="4DD9657A" w14:textId="77777777" w:rsidR="00327FF0" w:rsidRPr="00796736" w:rsidRDefault="00327FF0" w:rsidP="00A802A5">
      <w:pPr>
        <w:spacing w:line="360" w:lineRule="auto"/>
        <w:rPr>
          <w:rFonts w:ascii="Times New Roman" w:eastAsia="Calibri" w:hAnsi="Times New Roman" w:cs="Times New Roman"/>
          <w:sz w:val="24"/>
          <w:szCs w:val="24"/>
        </w:rPr>
      </w:pPr>
    </w:p>
    <w:p w14:paraId="2816CB12"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kan eksempelvis være tilfældet, hvis der er risiko for, at offentliggørelsen vil kunne medføre et »run« på virksomheden. Der er endvidere mulighed for at undtage offentliggørelse med navns nævnelse i tilfælde, hvor det vil kunne skade en efterfølgende strafferetlig efterforskning. Ved tvivl vil spørgsmålet om offentliggørelse blive forelagt den relevante politimyndighed.</w:t>
      </w:r>
    </w:p>
    <w:p w14:paraId="0D792B89" w14:textId="77777777" w:rsidR="00327FF0" w:rsidRPr="00796736" w:rsidRDefault="00327FF0" w:rsidP="00A802A5">
      <w:pPr>
        <w:spacing w:line="360" w:lineRule="auto"/>
        <w:rPr>
          <w:rFonts w:ascii="Times New Roman" w:eastAsia="Calibri" w:hAnsi="Times New Roman" w:cs="Times New Roman"/>
          <w:sz w:val="24"/>
          <w:szCs w:val="24"/>
        </w:rPr>
      </w:pPr>
    </w:p>
    <w:p w14:paraId="7C87F0DF"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det foreslåede </w:t>
      </w:r>
      <w:r w:rsidRPr="00796736">
        <w:rPr>
          <w:rFonts w:ascii="Times New Roman" w:eastAsia="Calibri" w:hAnsi="Times New Roman" w:cs="Times New Roman"/>
          <w:i/>
          <w:iCs/>
          <w:sz w:val="24"/>
          <w:szCs w:val="24"/>
        </w:rPr>
        <w:t>nr. 2</w:t>
      </w:r>
      <w:r w:rsidRPr="00796736">
        <w:rPr>
          <w:rFonts w:ascii="Times New Roman" w:eastAsia="Calibri" w:hAnsi="Times New Roman" w:cs="Times New Roman"/>
          <w:sz w:val="24"/>
          <w:szCs w:val="24"/>
        </w:rPr>
        <w:t> skal offentliggørelse ske i anonymiseret form, hvis efterforskningsmæssige hensyn taler imod offentliggørelse.</w:t>
      </w:r>
    </w:p>
    <w:p w14:paraId="06308D82" w14:textId="77777777" w:rsidR="00327FF0" w:rsidRPr="00796736" w:rsidRDefault="00327FF0" w:rsidP="00A802A5">
      <w:pPr>
        <w:spacing w:line="360" w:lineRule="auto"/>
        <w:rPr>
          <w:rFonts w:ascii="Times New Roman" w:eastAsia="Calibri" w:hAnsi="Times New Roman" w:cs="Times New Roman"/>
          <w:sz w:val="24"/>
          <w:szCs w:val="24"/>
        </w:rPr>
      </w:pPr>
    </w:p>
    <w:p w14:paraId="0FB15652"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det foreslåede </w:t>
      </w:r>
      <w:r w:rsidRPr="00796736">
        <w:rPr>
          <w:rFonts w:ascii="Times New Roman" w:eastAsia="Calibri" w:hAnsi="Times New Roman" w:cs="Times New Roman"/>
          <w:i/>
          <w:iCs/>
          <w:sz w:val="24"/>
          <w:szCs w:val="24"/>
        </w:rPr>
        <w:t>nr. 3</w:t>
      </w:r>
      <w:r w:rsidRPr="00796736">
        <w:rPr>
          <w:rFonts w:ascii="Times New Roman" w:eastAsia="Calibri" w:hAnsi="Times New Roman" w:cs="Times New Roman"/>
          <w:sz w:val="24"/>
          <w:szCs w:val="24"/>
        </w:rPr>
        <w:t xml:space="preserve"> skal offentliggørelse ske i anonymiseret form, hvis offentliggørelse vil </w:t>
      </w:r>
      <w:r w:rsidRPr="00796736">
        <w:rPr>
          <w:rFonts w:ascii="Times New Roman" w:hAnsi="Times New Roman" w:cs="Times New Roman"/>
          <w:sz w:val="24"/>
          <w:szCs w:val="24"/>
        </w:rPr>
        <w:t>bringe de finansielle markeders stabilitet i fare.</w:t>
      </w:r>
    </w:p>
    <w:p w14:paraId="21495411" w14:textId="77777777" w:rsidR="00327FF0" w:rsidRPr="00796736" w:rsidRDefault="00327FF0" w:rsidP="00A802A5">
      <w:pPr>
        <w:spacing w:line="360" w:lineRule="auto"/>
        <w:rPr>
          <w:rFonts w:ascii="Times New Roman" w:eastAsia="Calibri" w:hAnsi="Times New Roman" w:cs="Times New Roman"/>
          <w:sz w:val="24"/>
          <w:szCs w:val="24"/>
        </w:rPr>
      </w:pPr>
    </w:p>
    <w:p w14:paraId="152AE692" w14:textId="77777777" w:rsidR="00327FF0" w:rsidRPr="00796736"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det foreslåede </w:t>
      </w:r>
      <w:r w:rsidRPr="00796736">
        <w:rPr>
          <w:rFonts w:ascii="Times New Roman" w:eastAsia="Calibri" w:hAnsi="Times New Roman" w:cs="Times New Roman"/>
          <w:i/>
          <w:iCs/>
          <w:sz w:val="24"/>
          <w:szCs w:val="24"/>
        </w:rPr>
        <w:t>nr. 4</w:t>
      </w:r>
      <w:r w:rsidRPr="00796736">
        <w:rPr>
          <w:rFonts w:ascii="Times New Roman" w:eastAsia="Calibri" w:hAnsi="Times New Roman" w:cs="Times New Roman"/>
          <w:sz w:val="24"/>
          <w:szCs w:val="24"/>
        </w:rPr>
        <w:t> skal offentliggørelse ske i anonymiseret form, hvis samfundsmæssige hensyn til offentliggørelse af en persons navn må vurderes ikke at være proportionale med hensynet til personen.</w:t>
      </w:r>
    </w:p>
    <w:p w14:paraId="29DC3313" w14:textId="77777777" w:rsidR="00327FF0" w:rsidRPr="00796736" w:rsidRDefault="00327FF0" w:rsidP="00A802A5">
      <w:pPr>
        <w:spacing w:line="360" w:lineRule="auto"/>
        <w:rPr>
          <w:rFonts w:ascii="Times New Roman" w:eastAsia="Calibri" w:hAnsi="Times New Roman" w:cs="Times New Roman"/>
          <w:sz w:val="24"/>
          <w:szCs w:val="24"/>
        </w:rPr>
      </w:pPr>
    </w:p>
    <w:p w14:paraId="7FA0370A" w14:textId="77777777" w:rsidR="00327FF0" w:rsidRDefault="00327FF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Dette kan eksempelvis være tilfældet, hvor en offentliggørelse med navns nævnelse må vurderes ikke at ville have en tilstrækkelig præventiv effekt i forhold til det indgreb, som offentliggørelsen vil være i vedkommendes personlige integritet.</w:t>
      </w:r>
    </w:p>
    <w:p w14:paraId="5B264628" w14:textId="77777777" w:rsidR="00957157" w:rsidRDefault="00957157" w:rsidP="00A802A5">
      <w:pPr>
        <w:spacing w:line="360" w:lineRule="auto"/>
        <w:rPr>
          <w:rFonts w:ascii="Times New Roman" w:eastAsia="Calibri" w:hAnsi="Times New Roman" w:cs="Times New Roman"/>
          <w:sz w:val="24"/>
          <w:szCs w:val="24"/>
        </w:rPr>
      </w:pPr>
    </w:p>
    <w:p w14:paraId="0B8D17F3" w14:textId="77777777" w:rsidR="00957157" w:rsidRPr="00A9036D" w:rsidRDefault="00957157" w:rsidP="00957157">
      <w:pPr>
        <w:spacing w:line="360" w:lineRule="auto"/>
        <w:rPr>
          <w:rFonts w:ascii="Times New Roman" w:eastAsia="Calibri" w:hAnsi="Times New Roman" w:cs="Times New Roman"/>
          <w:sz w:val="24"/>
          <w:szCs w:val="24"/>
        </w:rPr>
      </w:pPr>
      <w:r w:rsidRPr="00A9036D">
        <w:rPr>
          <w:rFonts w:ascii="Times New Roman" w:eastAsia="Calibri" w:hAnsi="Times New Roman" w:cs="Times New Roman"/>
          <w:sz w:val="24"/>
          <w:szCs w:val="24"/>
        </w:rPr>
        <w:t>Den foreslåede bestemmelse indebærer, at hvis offentliggørelsen ikke kan ske i anonymiseret form, vil offentliggørelsen ikke skulle foretages.</w:t>
      </w:r>
    </w:p>
    <w:p w14:paraId="4D7E90FD" w14:textId="77777777" w:rsidR="00957157" w:rsidRPr="00796736" w:rsidRDefault="00957157" w:rsidP="00A802A5">
      <w:pPr>
        <w:spacing w:line="360" w:lineRule="auto"/>
        <w:rPr>
          <w:rFonts w:ascii="Times New Roman" w:eastAsia="Calibri" w:hAnsi="Times New Roman" w:cs="Times New Roman"/>
          <w:sz w:val="24"/>
          <w:szCs w:val="24"/>
        </w:rPr>
      </w:pPr>
    </w:p>
    <w:p w14:paraId="406C845A" w14:textId="77777777" w:rsidR="00327FF0" w:rsidRPr="00796736" w:rsidRDefault="00327FF0" w:rsidP="00A802A5">
      <w:pPr>
        <w:spacing w:line="360" w:lineRule="auto"/>
        <w:rPr>
          <w:rFonts w:ascii="Times New Roman" w:eastAsia="Calibri" w:hAnsi="Times New Roman" w:cs="Times New Roman"/>
          <w:sz w:val="24"/>
          <w:szCs w:val="24"/>
        </w:rPr>
      </w:pPr>
    </w:p>
    <w:p w14:paraId="1E1E4524" w14:textId="562E3630" w:rsidR="00327FF0" w:rsidRPr="00796736" w:rsidRDefault="00327FF0" w:rsidP="00A802A5">
      <w:pPr>
        <w:pStyle w:val="Undertitel"/>
      </w:pPr>
      <w:bookmarkStart w:id="2082" w:name="_Toc244879370"/>
      <w:bookmarkStart w:id="2083" w:name="_Toc244880895"/>
      <w:r w:rsidRPr="00796736">
        <w:t xml:space="preserve">Til </w:t>
      </w:r>
      <w:r w:rsidRPr="00796736">
        <w:fldChar w:fldCharType="begin"/>
      </w:r>
      <w:r w:rsidRPr="00796736">
        <w:instrText xml:space="preserve"> REF _Ref232597521 \r \h </w:instrText>
      </w:r>
      <w:r w:rsidR="00F375BF" w:rsidRPr="00796736">
        <w:instrText xml:space="preserve"> \* MERGEFORMAT </w:instrText>
      </w:r>
      <w:r w:rsidRPr="00796736">
        <w:fldChar w:fldCharType="separate"/>
      </w:r>
      <w:r w:rsidR="008F29E5">
        <w:t>§ 74</w:t>
      </w:r>
      <w:bookmarkEnd w:id="2082"/>
      <w:bookmarkEnd w:id="2083"/>
      <w:r w:rsidRPr="00796736">
        <w:fldChar w:fldCharType="end"/>
      </w:r>
    </w:p>
    <w:p w14:paraId="0A4F44C2" w14:textId="7E7B0B33"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B63237" w:rsidRPr="00796736">
        <w:rPr>
          <w:rFonts w:ascii="Times New Roman" w:hAnsi="Times New Roman" w:cs="Times New Roman"/>
          <w:sz w:val="24"/>
          <w:szCs w:val="24"/>
        </w:rPr>
        <w:fldChar w:fldCharType="begin"/>
      </w:r>
      <w:r w:rsidR="00B63237" w:rsidRPr="00796736">
        <w:rPr>
          <w:rFonts w:ascii="Times New Roman" w:hAnsi="Times New Roman" w:cs="Times New Roman"/>
          <w:sz w:val="24"/>
          <w:szCs w:val="24"/>
        </w:rPr>
        <w:instrText xml:space="preserve"> REF _Ref232597521 \r \h </w:instrText>
      </w:r>
      <w:r w:rsidR="00F375BF" w:rsidRPr="00796736">
        <w:rPr>
          <w:rFonts w:ascii="Times New Roman" w:hAnsi="Times New Roman" w:cs="Times New Roman"/>
          <w:sz w:val="24"/>
          <w:szCs w:val="24"/>
        </w:rPr>
        <w:instrText xml:space="preserve"> \* MERGEFORMAT </w:instrText>
      </w:r>
      <w:r w:rsidR="00B63237" w:rsidRPr="00796736">
        <w:rPr>
          <w:rFonts w:ascii="Times New Roman" w:hAnsi="Times New Roman" w:cs="Times New Roman"/>
          <w:sz w:val="24"/>
          <w:szCs w:val="24"/>
        </w:rPr>
      </w:r>
      <w:r w:rsidR="00B6323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74</w:t>
      </w:r>
      <w:r w:rsidR="00B6323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fastsætter tidspunktet for Finanstilsynets offentliggørelse. </w:t>
      </w:r>
    </w:p>
    <w:p w14:paraId="1E0D6F51" w14:textId="77777777" w:rsidR="00327FF0" w:rsidRPr="00796736" w:rsidRDefault="00327FF0" w:rsidP="00A802A5">
      <w:pPr>
        <w:spacing w:line="360" w:lineRule="auto"/>
        <w:rPr>
          <w:rFonts w:ascii="Times New Roman" w:hAnsi="Times New Roman" w:cs="Times New Roman"/>
          <w:sz w:val="24"/>
          <w:szCs w:val="24"/>
        </w:rPr>
      </w:pPr>
    </w:p>
    <w:p w14:paraId="047429AE"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Stk. 1 er ny og implementerer artikel 58, stk. 2, 1. og 2. pkt., i 6. hvidvaskdirektiv.</w:t>
      </w:r>
    </w:p>
    <w:p w14:paraId="776FB4FA" w14:textId="77777777" w:rsidR="00327FF0" w:rsidRPr="00796736" w:rsidRDefault="00327FF0" w:rsidP="00A802A5">
      <w:pPr>
        <w:spacing w:line="360" w:lineRule="auto"/>
        <w:rPr>
          <w:rFonts w:ascii="Times New Roman" w:hAnsi="Times New Roman" w:cs="Times New Roman"/>
          <w:i/>
          <w:iCs/>
          <w:sz w:val="24"/>
          <w:szCs w:val="24"/>
        </w:rPr>
      </w:pPr>
    </w:p>
    <w:p w14:paraId="137EC093"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1, 1. pkt</w:t>
      </w:r>
      <w:r w:rsidRPr="00796736">
        <w:rPr>
          <w:rFonts w:ascii="Times New Roman" w:hAnsi="Times New Roman" w:cs="Times New Roman"/>
          <w:sz w:val="24"/>
          <w:szCs w:val="24"/>
        </w:rPr>
        <w:t>., at offentliggørelse efter det foreslåede kapitel skal ske hurtigst muligt, efter at personen eller virksomheden er underrettet om reaktionen eller beslutningen.</w:t>
      </w:r>
    </w:p>
    <w:p w14:paraId="00AE94A8" w14:textId="77777777" w:rsidR="00327FF0" w:rsidRPr="00796736" w:rsidRDefault="00327FF0" w:rsidP="00A802A5">
      <w:pPr>
        <w:spacing w:line="360" w:lineRule="auto"/>
        <w:rPr>
          <w:rFonts w:ascii="Times New Roman" w:hAnsi="Times New Roman" w:cs="Times New Roman"/>
          <w:sz w:val="24"/>
          <w:szCs w:val="24"/>
        </w:rPr>
      </w:pPr>
    </w:p>
    <w:p w14:paraId="38299829" w14:textId="77777777" w:rsidR="00F1087C" w:rsidRPr="00A9036D" w:rsidRDefault="00F1087C" w:rsidP="00F1087C">
      <w:pPr>
        <w:spacing w:line="360" w:lineRule="auto"/>
        <w:rPr>
          <w:rFonts w:ascii="Times New Roman" w:hAnsi="Times New Roman" w:cs="Times New Roman"/>
          <w:sz w:val="24"/>
          <w:szCs w:val="24"/>
        </w:rPr>
      </w:pPr>
      <w:r w:rsidRPr="00A9036D">
        <w:rPr>
          <w:rFonts w:ascii="Times New Roman" w:hAnsi="Times New Roman" w:cs="Times New Roman"/>
          <w:sz w:val="24"/>
          <w:szCs w:val="24"/>
        </w:rPr>
        <w:t>Ved begrebet hurtigst muligt forstås som udgangspunkt senest dagen efter underretningen af den pågældende virksomhed eller person. Der er ikke formkrav til underretningen, der kan ske både mundtligt og skriftligt.</w:t>
      </w:r>
    </w:p>
    <w:p w14:paraId="71086EEC" w14:textId="77777777" w:rsidR="00327FF0" w:rsidRPr="00796736" w:rsidRDefault="00327FF0" w:rsidP="00A802A5">
      <w:pPr>
        <w:spacing w:line="360" w:lineRule="auto"/>
        <w:rPr>
          <w:rFonts w:ascii="Times New Roman" w:hAnsi="Times New Roman" w:cs="Times New Roman"/>
          <w:sz w:val="24"/>
          <w:szCs w:val="24"/>
        </w:rPr>
      </w:pPr>
    </w:p>
    <w:p w14:paraId="6B943B35"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1, 2. pkt</w:t>
      </w:r>
      <w:r w:rsidRPr="00796736">
        <w:rPr>
          <w:rFonts w:ascii="Times New Roman" w:hAnsi="Times New Roman" w:cs="Times New Roman"/>
          <w:sz w:val="24"/>
          <w:szCs w:val="24"/>
        </w:rPr>
        <w:t>., at hvis Finanstilsynet ikke kan underrette den pågældende, kan der alligevel ske offentliggørelse.</w:t>
      </w:r>
    </w:p>
    <w:p w14:paraId="30B05A9D" w14:textId="77777777" w:rsidR="00327FF0" w:rsidRPr="00796736" w:rsidRDefault="00327FF0" w:rsidP="00A802A5">
      <w:pPr>
        <w:spacing w:line="360" w:lineRule="auto"/>
        <w:rPr>
          <w:rFonts w:ascii="Times New Roman" w:hAnsi="Times New Roman" w:cs="Times New Roman"/>
          <w:sz w:val="24"/>
          <w:szCs w:val="24"/>
        </w:rPr>
      </w:pPr>
    </w:p>
    <w:p w14:paraId="78910456"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hensigten, at offentliggørelsen som udgangspunkt sker dagen efter, at der er truffet afgørelse eller beslutning om at meddele reaktionen. Finanstilsynet skal inden da på forsvarlig vis have forsøgt at komme i kontakt med den pågældende. Hvis den pågældende virksomhed eller person ikke længere kan kontaktes, eksempelvis fordi en virksomhed er ophørt med at eksistere, kan Finanstilsynet foretage offentliggørelse uden forudgående underretning.</w:t>
      </w:r>
    </w:p>
    <w:p w14:paraId="6E604622" w14:textId="77777777" w:rsidR="00327FF0" w:rsidRPr="00796736" w:rsidRDefault="00327FF0" w:rsidP="00A802A5">
      <w:pPr>
        <w:spacing w:line="360" w:lineRule="auto"/>
        <w:rPr>
          <w:rFonts w:ascii="Times New Roman" w:hAnsi="Times New Roman" w:cs="Times New Roman"/>
          <w:sz w:val="24"/>
          <w:szCs w:val="24"/>
        </w:rPr>
      </w:pPr>
    </w:p>
    <w:p w14:paraId="7E6F7FF5"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55, stk. 2., i hvidvaskloven fastsætter, at offentliggjorte reaktioner forbliver på Finanstilsynets hjemmeside i mindst 5 år efter offentliggørelse. Personoplysninger indeholdt i offentliggørelsen må dog kun forblive på Finanstilsynets hjemmeside i det nødvendige tidsrum.</w:t>
      </w:r>
    </w:p>
    <w:p w14:paraId="168CD2B7" w14:textId="77777777" w:rsidR="00327FF0" w:rsidRPr="00796736" w:rsidRDefault="00327FF0" w:rsidP="00A802A5">
      <w:pPr>
        <w:spacing w:line="360" w:lineRule="auto"/>
        <w:rPr>
          <w:rFonts w:ascii="Times New Roman" w:hAnsi="Times New Roman" w:cs="Times New Roman"/>
          <w:sz w:val="24"/>
          <w:szCs w:val="24"/>
        </w:rPr>
      </w:pPr>
    </w:p>
    <w:p w14:paraId="337C81EF" w14:textId="5E86F9FD"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B63237" w:rsidRPr="00796736">
        <w:rPr>
          <w:rFonts w:ascii="Times New Roman" w:hAnsi="Times New Roman" w:cs="Times New Roman"/>
          <w:sz w:val="24"/>
          <w:szCs w:val="24"/>
        </w:rPr>
        <w:fldChar w:fldCharType="begin"/>
      </w:r>
      <w:r w:rsidR="00B63237" w:rsidRPr="00796736">
        <w:rPr>
          <w:rFonts w:ascii="Times New Roman" w:hAnsi="Times New Roman" w:cs="Times New Roman"/>
          <w:sz w:val="24"/>
          <w:szCs w:val="24"/>
        </w:rPr>
        <w:instrText xml:space="preserve"> REF _Ref232597521 \r \h </w:instrText>
      </w:r>
      <w:r w:rsidR="00F375BF" w:rsidRPr="00796736">
        <w:rPr>
          <w:rFonts w:ascii="Times New Roman" w:hAnsi="Times New Roman" w:cs="Times New Roman"/>
          <w:sz w:val="24"/>
          <w:szCs w:val="24"/>
        </w:rPr>
        <w:instrText xml:space="preserve"> \* MERGEFORMAT </w:instrText>
      </w:r>
      <w:r w:rsidR="00B63237" w:rsidRPr="00796736">
        <w:rPr>
          <w:rFonts w:ascii="Times New Roman" w:hAnsi="Times New Roman" w:cs="Times New Roman"/>
          <w:sz w:val="24"/>
          <w:szCs w:val="24"/>
        </w:rPr>
      </w:r>
      <w:r w:rsidR="00B6323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74</w:t>
      </w:r>
      <w:r w:rsidR="00B6323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viderefører § 55, stk. 2, i hvidvaskloven, med en udvidelse af, at personoplysninger dog kun skal fremgå af Finanstilsynets hjemmeside, så længe oplysningerne anses for nødvendige i forhold til de samfundsmæssige hensyn bag offentliggørelsen, og offentliggørelsen forsat er i overensstemmelse med de gældende databeskyttelsesregler. Personoplysninger skal slettes 5 år efter offentliggørelse. Udvidelsen af stk. 2 implementerer artikel 58, stk. 4, i det 6. hvidvaskdirektiv.</w:t>
      </w:r>
    </w:p>
    <w:p w14:paraId="4A91844B" w14:textId="77777777" w:rsidR="00327FF0" w:rsidRPr="00796736" w:rsidRDefault="00327FF0" w:rsidP="00A802A5">
      <w:pPr>
        <w:spacing w:line="360" w:lineRule="auto"/>
        <w:rPr>
          <w:rFonts w:ascii="Times New Roman" w:hAnsi="Times New Roman" w:cs="Times New Roman"/>
          <w:sz w:val="24"/>
          <w:szCs w:val="24"/>
        </w:rPr>
      </w:pPr>
    </w:p>
    <w:p w14:paraId="4B8CFC40"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2, 1. pkt.,</w:t>
      </w:r>
      <w:r w:rsidRPr="00796736">
        <w:rPr>
          <w:rFonts w:ascii="Times New Roman" w:hAnsi="Times New Roman" w:cs="Times New Roman"/>
          <w:sz w:val="24"/>
          <w:szCs w:val="24"/>
        </w:rPr>
        <w:t> at det offentliggjorte skal fremgå af Finanstilsynets hjemmeside i mindst fem år fra offentliggørelsen.</w:t>
      </w:r>
    </w:p>
    <w:p w14:paraId="7AB5F644" w14:textId="77777777" w:rsidR="00327FF0" w:rsidRPr="00796736" w:rsidRDefault="00327FF0" w:rsidP="00A802A5">
      <w:pPr>
        <w:spacing w:line="360" w:lineRule="auto"/>
        <w:rPr>
          <w:rFonts w:ascii="Times New Roman" w:hAnsi="Times New Roman" w:cs="Times New Roman"/>
          <w:sz w:val="24"/>
          <w:szCs w:val="24"/>
        </w:rPr>
      </w:pPr>
    </w:p>
    <w:p w14:paraId="31B598CC"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2, 2 pkt.,</w:t>
      </w:r>
      <w:r w:rsidRPr="00796736">
        <w:rPr>
          <w:rFonts w:ascii="Times New Roman" w:hAnsi="Times New Roman" w:cs="Times New Roman"/>
          <w:sz w:val="24"/>
          <w:szCs w:val="24"/>
        </w:rPr>
        <w:t xml:space="preserve"> at offentliggørelse, som indeholder personoplysninger, dog kun skal fremgå af Finanstilsynets hjemmeside, så længe oplysningerne anses for nødvendige i forhold til de samfundsmæssige hensyn bag offentliggørelsen, og offentliggørelsen forsat er i overensstemmelse med de gældende databeskyttelsesregler. Personoplysninger skal slettes 5 år efter offentliggørelse. </w:t>
      </w:r>
    </w:p>
    <w:p w14:paraId="1EB39AF6" w14:textId="77777777" w:rsidR="00327FF0" w:rsidRPr="00796736" w:rsidRDefault="00327FF0" w:rsidP="00A802A5">
      <w:pPr>
        <w:spacing w:line="360" w:lineRule="auto"/>
        <w:rPr>
          <w:rFonts w:ascii="Times New Roman" w:hAnsi="Times New Roman" w:cs="Times New Roman"/>
          <w:sz w:val="24"/>
          <w:szCs w:val="24"/>
        </w:rPr>
      </w:pPr>
    </w:p>
    <w:p w14:paraId="6B4C827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Artikel 5 i databeskyttelsesforordningen indeholder en række grundlæggende principper, der gælder for alle behandlinger af personoplysninger, herunder fastsætter artikel litra e, at personoplysninger ikke må opbevares på en sådan måde, at det ikke er muligt at identificere de registrerede i et længere tidsrum end det, der er nødvendigt til de formål, hvortil de pågældende personoplysninger behandles.</w:t>
      </w:r>
    </w:p>
    <w:p w14:paraId="71360AC9" w14:textId="77777777" w:rsidR="00327FF0" w:rsidRPr="00796736" w:rsidRDefault="00327FF0" w:rsidP="00A802A5">
      <w:pPr>
        <w:spacing w:line="360" w:lineRule="auto"/>
        <w:rPr>
          <w:rFonts w:ascii="Times New Roman" w:hAnsi="Times New Roman" w:cs="Times New Roman"/>
          <w:sz w:val="24"/>
          <w:szCs w:val="24"/>
        </w:rPr>
      </w:pPr>
    </w:p>
    <w:p w14:paraId="4148AF17"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overensstemmelse med dette fremgår det af stk. 2, 2. pkt., at offentliggjorte oplysninger, som indeholder personoplysninger, dog kun skal fremgå af Finanstilsynets hjemmeside, så længe oplysningerne anses for nødvendige i forhold til de samfundsmæssige hensyn bag offentliggørelsen, og offentliggørelsen forsat er i overensstemmelse med de gældende databeskyttelsesregler. Personoplysninger skal slettes 5 år efter offentliggørelse. </w:t>
      </w:r>
    </w:p>
    <w:p w14:paraId="1C71D8C1" w14:textId="77777777" w:rsidR="00327FF0" w:rsidRPr="00796736" w:rsidRDefault="00327FF0" w:rsidP="00A802A5">
      <w:pPr>
        <w:spacing w:line="360" w:lineRule="auto"/>
        <w:rPr>
          <w:rFonts w:ascii="Times New Roman" w:hAnsi="Times New Roman" w:cs="Times New Roman"/>
          <w:sz w:val="24"/>
          <w:szCs w:val="24"/>
        </w:rPr>
      </w:pPr>
    </w:p>
    <w:p w14:paraId="3DA32CF6" w14:textId="77777777" w:rsidR="00315144" w:rsidRPr="00A9036D" w:rsidRDefault="00315144" w:rsidP="00315144">
      <w:pPr>
        <w:spacing w:line="360" w:lineRule="auto"/>
        <w:rPr>
          <w:rFonts w:ascii="Times New Roman" w:hAnsi="Times New Roman" w:cs="Times New Roman"/>
          <w:sz w:val="24"/>
          <w:szCs w:val="24"/>
        </w:rPr>
      </w:pPr>
      <w:r w:rsidRPr="00A9036D">
        <w:rPr>
          <w:rFonts w:ascii="Times New Roman" w:hAnsi="Times New Roman" w:cs="Times New Roman"/>
          <w:sz w:val="24"/>
          <w:szCs w:val="24"/>
        </w:rPr>
        <w:t>Ved ”offentliggørelse, som indeholder personoplysninger”, forstås offentliggørelser, hvor det er muligt at identificere den fysiske person, som nævnes i det offentliggjorte materiale, jf. også definitionen i databeskyttelsesforordningens artikel 4, nr. 1. Det vil eksempelvis være tilfældet i offentliggørelser af en påtale, et påbud, et administrativt bødeforelæg eller en tvangsbøde, der angiver navnet på den fysiske person, som påtalen, påbuddet, det vedtagne administrative bødeforelæg eller tvangsbøden retter sig mod.</w:t>
      </w:r>
    </w:p>
    <w:p w14:paraId="31AB2289" w14:textId="77777777" w:rsidR="00327FF0" w:rsidRPr="00796736" w:rsidRDefault="00327FF0" w:rsidP="00A802A5">
      <w:pPr>
        <w:spacing w:line="360" w:lineRule="auto"/>
        <w:rPr>
          <w:rFonts w:ascii="Times New Roman" w:hAnsi="Times New Roman" w:cs="Times New Roman"/>
          <w:sz w:val="24"/>
          <w:szCs w:val="24"/>
        </w:rPr>
      </w:pPr>
    </w:p>
    <w:p w14:paraId="0D58B624"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Stk. 2, 2. pkt., vil ikke finde anvendelse i tilfælde, hvor materiale offentliggøres i anonymiseret form på en sådan måde, at det hverken på offentliggørelsestidspunktet eller et senere tidspunkt er muligt at identificere den fysiske person, som er omfattet af materialet.</w:t>
      </w:r>
    </w:p>
    <w:p w14:paraId="1F504AC9" w14:textId="77777777" w:rsidR="00327FF0" w:rsidRPr="00796736" w:rsidRDefault="00327FF0" w:rsidP="00A802A5">
      <w:pPr>
        <w:spacing w:line="360" w:lineRule="auto"/>
        <w:rPr>
          <w:rFonts w:ascii="Times New Roman" w:hAnsi="Times New Roman" w:cs="Times New Roman"/>
          <w:sz w:val="24"/>
          <w:szCs w:val="24"/>
        </w:rPr>
      </w:pPr>
    </w:p>
    <w:p w14:paraId="6651D456" w14:textId="2A411096" w:rsidR="00327FF0" w:rsidRPr="00796736" w:rsidRDefault="00327FF0" w:rsidP="00A802A5">
      <w:pPr>
        <w:pStyle w:val="Undertitel"/>
      </w:pPr>
      <w:bookmarkStart w:id="2084" w:name="_Toc244879371"/>
      <w:bookmarkStart w:id="2085" w:name="_Toc244880896"/>
      <w:r w:rsidRPr="00796736">
        <w:t>Til</w:t>
      </w:r>
      <w:r w:rsidR="002366B0" w:rsidRPr="00796736">
        <w:t xml:space="preserve"> </w:t>
      </w:r>
      <w:r w:rsidR="00B63237" w:rsidRPr="00796736">
        <w:fldChar w:fldCharType="begin"/>
      </w:r>
      <w:r w:rsidR="00B63237" w:rsidRPr="00796736">
        <w:instrText xml:space="preserve"> REF _Ref232597550 \r \h </w:instrText>
      </w:r>
      <w:r w:rsidR="00F375BF" w:rsidRPr="00796736">
        <w:instrText xml:space="preserve"> \* MERGEFORMAT </w:instrText>
      </w:r>
      <w:r w:rsidR="00B63237" w:rsidRPr="00796736">
        <w:fldChar w:fldCharType="separate"/>
      </w:r>
      <w:r w:rsidR="008F29E5">
        <w:t>§ 75</w:t>
      </w:r>
      <w:bookmarkEnd w:id="2084"/>
      <w:bookmarkEnd w:id="2085"/>
      <w:r w:rsidR="00B63237" w:rsidRPr="00796736">
        <w:fldChar w:fldCharType="end"/>
      </w:r>
    </w:p>
    <w:p w14:paraId="129F9DA9" w14:textId="77777777" w:rsidR="008E2EFB" w:rsidRPr="00A9036D" w:rsidRDefault="008E2EFB" w:rsidP="008E2EFB">
      <w:pPr>
        <w:spacing w:line="360" w:lineRule="auto"/>
        <w:rPr>
          <w:rFonts w:ascii="Times New Roman" w:hAnsi="Times New Roman" w:cs="Times New Roman"/>
          <w:sz w:val="24"/>
          <w:szCs w:val="24"/>
        </w:rPr>
      </w:pPr>
      <w:r w:rsidRPr="00A9036D">
        <w:rPr>
          <w:rFonts w:ascii="Times New Roman" w:hAnsi="Times New Roman" w:cs="Times New Roman"/>
          <w:sz w:val="24"/>
          <w:szCs w:val="24"/>
        </w:rPr>
        <w:t>Den gældende § 55, stk. 1, i hvidvaskloven regulerer Finanstilsynets offentliggørelse af reaktioner. Der sker offentliggørelse i de sager, som er nævnt § 47, stk. 1 og 2, § 51 eller § 51 b i hvidvaskloven.</w:t>
      </w:r>
    </w:p>
    <w:p w14:paraId="10700E60" w14:textId="77777777" w:rsidR="008E2EFB" w:rsidRPr="00A9036D" w:rsidRDefault="008E2EFB" w:rsidP="008E2EFB">
      <w:pPr>
        <w:spacing w:line="360" w:lineRule="auto"/>
        <w:rPr>
          <w:rFonts w:ascii="Times New Roman" w:hAnsi="Times New Roman" w:cs="Times New Roman"/>
          <w:sz w:val="24"/>
          <w:szCs w:val="24"/>
        </w:rPr>
      </w:pPr>
    </w:p>
    <w:p w14:paraId="35E43245" w14:textId="5B0D6565" w:rsidR="008E2EFB" w:rsidRPr="00A9036D" w:rsidRDefault="008E2EFB" w:rsidP="008E2EFB">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Den foreslåede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_Ref232597550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75</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A9036D">
        <w:rPr>
          <w:rFonts w:ascii="Times New Roman" w:hAnsi="Times New Roman" w:cs="Times New Roman"/>
          <w:sz w:val="24"/>
          <w:szCs w:val="24"/>
        </w:rPr>
        <w:t>indeholder offentliggørelseshjemlen for så vidt angår virksomheders offentliggørelse, som omfatter tilsynsreaktioner, dom eller bødevedtagelse. Begrebet ”reaktioner” omfatter alle de tilsynsreaktioner, som Finanstilsynets bestyrelse vedtager, og som retter sig mod en part, herunder afgørelser, påbud, påtaler. Beslutninger om at overgive sager til politimæssig efterforskning, skal kun offentliggøres af Finanstilsynet på Finanstilsynets hjemmeside.</w:t>
      </w:r>
    </w:p>
    <w:p w14:paraId="0E696027" w14:textId="77777777" w:rsidR="008E2EFB" w:rsidRPr="00A9036D" w:rsidRDefault="008E2EFB" w:rsidP="008E2EFB">
      <w:pPr>
        <w:spacing w:line="360" w:lineRule="auto"/>
        <w:rPr>
          <w:rFonts w:ascii="Times New Roman" w:hAnsi="Times New Roman" w:cs="Times New Roman"/>
          <w:sz w:val="24"/>
          <w:szCs w:val="24"/>
        </w:rPr>
      </w:pPr>
    </w:p>
    <w:p w14:paraId="7B9A7EE6" w14:textId="77777777" w:rsidR="008E2EFB" w:rsidRPr="00A9036D" w:rsidRDefault="008E2EFB" w:rsidP="008E2EFB">
      <w:pPr>
        <w:spacing w:line="360" w:lineRule="auto"/>
        <w:rPr>
          <w:rFonts w:ascii="Times New Roman" w:hAnsi="Times New Roman" w:cs="Times New Roman"/>
          <w:sz w:val="24"/>
          <w:szCs w:val="24"/>
        </w:rPr>
      </w:pPr>
      <w:r w:rsidRPr="00A9036D">
        <w:rPr>
          <w:rFonts w:ascii="Times New Roman" w:hAnsi="Times New Roman" w:cs="Times New Roman"/>
          <w:sz w:val="24"/>
          <w:szCs w:val="24"/>
        </w:rPr>
        <w:t>Den gældende § 55, stk. 4, 1 pkt., og stk. 5, 3. pkt., i hvidvaskloven fastsætter bl.a., at virksomheden skal offentliggøre oplysningerne omfattet af § 55, stk. 1 på sin hjemmeside på et sted, hvor de naturligt hører hjemme.</w:t>
      </w:r>
    </w:p>
    <w:p w14:paraId="627B7AB2" w14:textId="77777777" w:rsidR="00327FF0" w:rsidRPr="00796736" w:rsidRDefault="00327FF0" w:rsidP="00A802A5">
      <w:pPr>
        <w:spacing w:line="360" w:lineRule="auto"/>
        <w:rPr>
          <w:rFonts w:ascii="Times New Roman" w:hAnsi="Times New Roman" w:cs="Times New Roman"/>
          <w:sz w:val="24"/>
          <w:szCs w:val="24"/>
        </w:rPr>
      </w:pPr>
    </w:p>
    <w:p w14:paraId="361EEFE2"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1 viderefører den gældende § 55, stk. 4, 1. pkt., stk. 5, 3. pkt. i hvidvaskloven med redaktionelle ændringer. Derudover udvides bestemmelsens anvendelsesområdet til at offentliggørelse, som vedrører virksomheder, der ikke er under tilsyn, alene skal ske på Finanstilsynets hjemmeside.</w:t>
      </w:r>
    </w:p>
    <w:p w14:paraId="5BE5762F" w14:textId="77777777" w:rsidR="00327FF0" w:rsidRPr="00796736" w:rsidRDefault="00327FF0" w:rsidP="00A802A5">
      <w:pPr>
        <w:spacing w:line="360" w:lineRule="auto"/>
        <w:rPr>
          <w:rFonts w:ascii="Times New Roman" w:hAnsi="Times New Roman" w:cs="Times New Roman"/>
          <w:sz w:val="24"/>
          <w:szCs w:val="24"/>
        </w:rPr>
      </w:pPr>
    </w:p>
    <w:p w14:paraId="0CF3D50D" w14:textId="6A5643C1"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er en reaktion m.v. rettet mod en virksomhed under tilsyn offentliggjort i medfør af </w:t>
      </w:r>
      <w:r w:rsidR="00B63237" w:rsidRPr="00796736">
        <w:rPr>
          <w:rFonts w:ascii="Times New Roman" w:hAnsi="Times New Roman" w:cs="Times New Roman"/>
          <w:sz w:val="24"/>
          <w:szCs w:val="24"/>
        </w:rPr>
        <w:fldChar w:fldCharType="begin"/>
      </w:r>
      <w:r w:rsidR="00B63237"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B63237" w:rsidRPr="00796736">
        <w:rPr>
          <w:rFonts w:ascii="Times New Roman" w:hAnsi="Times New Roman" w:cs="Times New Roman"/>
          <w:sz w:val="24"/>
          <w:szCs w:val="24"/>
        </w:rPr>
      </w:r>
      <w:r w:rsidR="00B6323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B6323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eller er en dom eller bødevedtagelse rettet mod eller vedtaget af en virksomhed under tilsyn offentliggjort i medfør af </w:t>
      </w:r>
      <w:r w:rsidR="00B63237" w:rsidRPr="00796736">
        <w:rPr>
          <w:rFonts w:ascii="Times New Roman" w:hAnsi="Times New Roman" w:cs="Times New Roman"/>
          <w:sz w:val="24"/>
          <w:szCs w:val="24"/>
        </w:rPr>
        <w:fldChar w:fldCharType="begin"/>
      </w:r>
      <w:r w:rsidR="00B63237" w:rsidRPr="00796736">
        <w:rPr>
          <w:rFonts w:ascii="Times New Roman" w:hAnsi="Times New Roman" w:cs="Times New Roman"/>
          <w:sz w:val="24"/>
          <w:szCs w:val="24"/>
        </w:rPr>
        <w:instrText xml:space="preserve"> REF _Ref239790980 \r \h </w:instrText>
      </w:r>
      <w:r w:rsidR="00F375BF" w:rsidRPr="00796736">
        <w:rPr>
          <w:rFonts w:ascii="Times New Roman" w:hAnsi="Times New Roman" w:cs="Times New Roman"/>
          <w:sz w:val="24"/>
          <w:szCs w:val="24"/>
        </w:rPr>
        <w:instrText xml:space="preserve"> \* MERGEFORMAT </w:instrText>
      </w:r>
      <w:r w:rsidR="00B63237" w:rsidRPr="00796736">
        <w:rPr>
          <w:rFonts w:ascii="Times New Roman" w:hAnsi="Times New Roman" w:cs="Times New Roman"/>
          <w:sz w:val="24"/>
          <w:szCs w:val="24"/>
        </w:rPr>
      </w:r>
      <w:r w:rsidR="00B6323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69</w:t>
      </w:r>
      <w:r w:rsidR="00B6323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skal virksomheden offentliggøre den pågældende reaktion m.v., dom eller bødevedtagelse på sin hjemmeside på et sted, hvor det naturligt hører hjemme. Offentliggørelse, som vedrører virksomheder, der ikke er under tilsyn, skal alene ske på Finanstilsynets hjemmeside.</w:t>
      </w:r>
    </w:p>
    <w:p w14:paraId="0140FD63" w14:textId="77777777" w:rsidR="00327FF0" w:rsidRPr="00796736" w:rsidRDefault="00327FF0" w:rsidP="00A802A5">
      <w:pPr>
        <w:spacing w:line="360" w:lineRule="auto"/>
        <w:rPr>
          <w:rFonts w:ascii="Times New Roman" w:hAnsi="Times New Roman" w:cs="Times New Roman"/>
          <w:sz w:val="24"/>
          <w:szCs w:val="24"/>
        </w:rPr>
      </w:pPr>
    </w:p>
    <w:p w14:paraId="16421B84" w14:textId="77777777" w:rsidR="00682033" w:rsidRPr="00A9036D" w:rsidRDefault="00682033" w:rsidP="00682033">
      <w:pPr>
        <w:spacing w:line="360" w:lineRule="auto"/>
        <w:rPr>
          <w:rFonts w:ascii="Times New Roman" w:hAnsi="Times New Roman" w:cs="Times New Roman"/>
          <w:sz w:val="24"/>
          <w:szCs w:val="24"/>
        </w:rPr>
      </w:pPr>
      <w:r w:rsidRPr="00A9036D">
        <w:rPr>
          <w:rFonts w:ascii="Times New Roman" w:hAnsi="Times New Roman" w:cs="Times New Roman"/>
          <w:sz w:val="24"/>
          <w:szCs w:val="24"/>
        </w:rPr>
        <w:t>Med ”virksomhedens hjemmeside” menes den hjemmeside, som virksomheden normalt anvender til kommunikation med kunder m.v. Det er ikke afgørende, om virksomheden selv ejer hjemmesiden. Kommunikerer virksomheden f.eks. via en koncernhjemmeside, er det denne hjemmeside, der skal anvendes. Såfremt tilsynsreaktionen f.eks. retter sig mod et datterselskab i en koncern, er det på datterselskabets hjemmeside, at tilsynsreaktionen skal offentliggøres, uanset om hjemmesiden måtte være ejet af moderselskabet eller et koncernforbundet selskab. Virksomhedens offentliggørelse efter den foreslåede bestemmelse skal ske på virksomhedens hjemmeside på et sted, hvor det naturligt hører hjemme. Hvis virksomheden ikke har en hjemmeside, sker offentliggørelse alene på Finanstilsynets hjemmeside.</w:t>
      </w:r>
    </w:p>
    <w:p w14:paraId="4438AB3E" w14:textId="77777777" w:rsidR="00327FF0" w:rsidRPr="00796736" w:rsidRDefault="00327FF0" w:rsidP="00A802A5">
      <w:pPr>
        <w:spacing w:line="360" w:lineRule="auto"/>
        <w:rPr>
          <w:rFonts w:ascii="Times New Roman" w:hAnsi="Times New Roman" w:cs="Times New Roman"/>
          <w:sz w:val="24"/>
          <w:szCs w:val="24"/>
        </w:rPr>
      </w:pPr>
    </w:p>
    <w:p w14:paraId="7F2D6243" w14:textId="36D3F7B9" w:rsidR="00C94F3C" w:rsidRPr="00A9036D" w:rsidRDefault="00C94F3C" w:rsidP="00C94F3C">
      <w:pPr>
        <w:spacing w:line="360" w:lineRule="auto"/>
        <w:rPr>
          <w:rFonts w:ascii="Times New Roman" w:hAnsi="Times New Roman" w:cs="Times New Roman"/>
          <w:sz w:val="24"/>
          <w:szCs w:val="24"/>
        </w:rPr>
      </w:pPr>
      <w:r w:rsidRPr="00A9036D">
        <w:rPr>
          <w:rFonts w:ascii="Times New Roman" w:hAnsi="Times New Roman" w:cs="Times New Roman"/>
          <w:sz w:val="24"/>
          <w:szCs w:val="24"/>
        </w:rPr>
        <w:t xml:space="preserve">Overtrædelse kan straffes med bøde, medmindre højere straf er forskyldt efter øvrig lovgivning, jf. lovforslagets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_Ref242963797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139</w:t>
      </w:r>
      <w:r>
        <w:rPr>
          <w:rFonts w:ascii="Times New Roman" w:hAnsi="Times New Roman" w:cs="Times New Roman"/>
          <w:sz w:val="24"/>
          <w:szCs w:val="24"/>
        </w:rPr>
        <w:fldChar w:fldCharType="end"/>
      </w:r>
      <w:r w:rsidRPr="00A9036D">
        <w:rPr>
          <w:rFonts w:ascii="Times New Roman" w:hAnsi="Times New Roman" w:cs="Times New Roman"/>
          <w:sz w:val="24"/>
          <w:szCs w:val="24"/>
        </w:rPr>
        <w:t xml:space="preserve">. Ansvarssubjektet i forhold til overtrædelse af lovforslagets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_Ref232597550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75</w:t>
      </w:r>
      <w:r>
        <w:rPr>
          <w:rFonts w:ascii="Times New Roman" w:hAnsi="Times New Roman" w:cs="Times New Roman"/>
          <w:sz w:val="24"/>
          <w:szCs w:val="24"/>
        </w:rPr>
        <w:fldChar w:fldCharType="end"/>
      </w:r>
      <w:r w:rsidRPr="00A9036D">
        <w:rPr>
          <w:rFonts w:ascii="Times New Roman" w:hAnsi="Times New Roman" w:cs="Times New Roman"/>
          <w:sz w:val="24"/>
          <w:szCs w:val="24"/>
        </w:rPr>
        <w:t>, stk. 1, 1. pkt., er den virksomhed under tilsyn, som en reaktion m.v., bøde eller bødevedtagelse er rettet mod. Det betyder, at en virksomhed under tilsyn, der undlader at offentliggøre en reaktion m.v. eller en dom eller bødevedtagelse, der er omfattet af bestemmelsen, kan straffes med bøde.</w:t>
      </w:r>
    </w:p>
    <w:p w14:paraId="359BBB2F" w14:textId="77777777" w:rsidR="00327FF0" w:rsidRPr="00796736" w:rsidRDefault="00327FF0" w:rsidP="00A802A5">
      <w:pPr>
        <w:spacing w:line="360" w:lineRule="auto"/>
        <w:rPr>
          <w:rFonts w:ascii="Times New Roman" w:hAnsi="Times New Roman" w:cs="Times New Roman"/>
          <w:sz w:val="24"/>
          <w:szCs w:val="24"/>
        </w:rPr>
      </w:pPr>
    </w:p>
    <w:p w14:paraId="3268C4A1" w14:textId="324774A8"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Offentliggørelse i henhold til</w:t>
      </w:r>
      <w:r w:rsidR="00C94F3C">
        <w:rPr>
          <w:rFonts w:ascii="Times New Roman" w:hAnsi="Times New Roman" w:cs="Times New Roman"/>
          <w:sz w:val="24"/>
          <w:szCs w:val="24"/>
        </w:rPr>
        <w:t xml:space="preserve"> den gældende</w:t>
      </w:r>
      <w:r w:rsidRPr="00796736">
        <w:rPr>
          <w:rFonts w:ascii="Times New Roman" w:hAnsi="Times New Roman" w:cs="Times New Roman"/>
          <w:sz w:val="24"/>
          <w:szCs w:val="24"/>
        </w:rPr>
        <w:t xml:space="preserve"> § 55, stk. 4, 2 pkt., i hvidvaskloven skal ske hurtigst muligt, og senest 3 hverdage efter at virksomheden har modtaget underretning om reaktionen, eller senest på tidspunktet for offentliggørelse påkrævet efter lov om værdipapirhandel m.v.</w:t>
      </w:r>
    </w:p>
    <w:p w14:paraId="784C240F" w14:textId="77777777" w:rsidR="00327FF0" w:rsidRPr="00796736" w:rsidRDefault="00327FF0" w:rsidP="00A802A5">
      <w:pPr>
        <w:spacing w:line="360" w:lineRule="auto"/>
        <w:rPr>
          <w:rFonts w:ascii="Times New Roman" w:hAnsi="Times New Roman" w:cs="Times New Roman"/>
          <w:sz w:val="24"/>
          <w:szCs w:val="24"/>
        </w:rPr>
      </w:pPr>
    </w:p>
    <w:p w14:paraId="1C104FE8"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viderefører den gældende § 55, stk. 4, 2 pkt. i hvidvaskloven med en redaktionel ændring. Der er ikke tilsigtet materielle ændringer med bestemmelsen.</w:t>
      </w:r>
    </w:p>
    <w:p w14:paraId="38D645E2" w14:textId="77777777" w:rsidR="00327FF0" w:rsidRPr="00796736" w:rsidRDefault="00327FF0" w:rsidP="00A802A5">
      <w:pPr>
        <w:spacing w:line="360" w:lineRule="auto"/>
        <w:rPr>
          <w:rFonts w:ascii="Times New Roman" w:hAnsi="Times New Roman" w:cs="Times New Roman"/>
          <w:sz w:val="24"/>
          <w:szCs w:val="24"/>
        </w:rPr>
      </w:pPr>
    </w:p>
    <w:p w14:paraId="0F43B756"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at virksomheden skal offentliggøre en reaktion m.v. som nævnt i stk. 1 hurtigst muligt, og senest tre hverdage efter at virksomheden har modtaget reaktionen m.v., eller senest på tidspunktet for offentliggørelse påkrævet efter lov om kapitalmarkeder.</w:t>
      </w:r>
    </w:p>
    <w:p w14:paraId="33DD159E" w14:textId="77777777" w:rsidR="00327FF0" w:rsidRPr="00796736" w:rsidRDefault="00327FF0" w:rsidP="00A802A5">
      <w:pPr>
        <w:spacing w:line="360" w:lineRule="auto"/>
        <w:rPr>
          <w:rFonts w:ascii="Times New Roman" w:hAnsi="Times New Roman" w:cs="Times New Roman"/>
          <w:sz w:val="24"/>
          <w:szCs w:val="24"/>
        </w:rPr>
      </w:pPr>
    </w:p>
    <w:p w14:paraId="43930ACA"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offentliggørelsen af tilsynsreaktionen skal kapitalmarkedsloven m.v. iagttages, hvilket kan have betydning for, hvor hurtigt der skal ske offentliggørelse. Skal virksomheden efter kapitalmarkedsloven udsende en selskabsmeddelelse, skal offentliggørelse af tilsynsreaktionen afvente selskabsmeddelelsen.</w:t>
      </w:r>
    </w:p>
    <w:p w14:paraId="7B11D0A7" w14:textId="77777777" w:rsidR="00327FF0" w:rsidRPr="00796736" w:rsidRDefault="00327FF0" w:rsidP="00A802A5">
      <w:pPr>
        <w:spacing w:line="360" w:lineRule="auto"/>
        <w:rPr>
          <w:rFonts w:ascii="Times New Roman" w:hAnsi="Times New Roman" w:cs="Times New Roman"/>
          <w:sz w:val="24"/>
          <w:szCs w:val="24"/>
        </w:rPr>
      </w:pPr>
    </w:p>
    <w:p w14:paraId="757E9EBC"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Kan selskabet udsætte offentliggørelsen, fordi det vil skade berettigede interesser for selskabet at offentliggøre forholdet, jf. § 239 i lov om kapitalmarkeder, vil offentliggørelsen af tilsynsreaktionen skulle afvente, at hensynet bag hemmeligholdelsen bortfalder.</w:t>
      </w:r>
    </w:p>
    <w:p w14:paraId="159C8D1B" w14:textId="77777777" w:rsidR="00327FF0" w:rsidRPr="00796736" w:rsidRDefault="00327FF0" w:rsidP="00A802A5">
      <w:pPr>
        <w:spacing w:line="360" w:lineRule="auto"/>
        <w:rPr>
          <w:rFonts w:ascii="Times New Roman" w:hAnsi="Times New Roman" w:cs="Times New Roman"/>
          <w:sz w:val="24"/>
          <w:szCs w:val="24"/>
        </w:rPr>
      </w:pPr>
    </w:p>
    <w:p w14:paraId="31DE138F" w14:textId="4E7A95A8"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Overtrædelse kan straffes med bøde, medmindre højere straf er forskyldt efter øvrig lovgivning</w:t>
      </w:r>
      <w:r w:rsidR="0017332B" w:rsidRPr="0017332B">
        <w:rPr>
          <w:rFonts w:ascii="Times New Roman" w:hAnsi="Times New Roman" w:cs="Times New Roman"/>
          <w:sz w:val="24"/>
          <w:szCs w:val="24"/>
        </w:rPr>
        <w:t xml:space="preserve"> </w:t>
      </w:r>
      <w:r w:rsidR="0017332B" w:rsidRPr="00A9036D">
        <w:rPr>
          <w:rFonts w:ascii="Times New Roman" w:hAnsi="Times New Roman" w:cs="Times New Roman"/>
          <w:sz w:val="24"/>
          <w:szCs w:val="24"/>
        </w:rPr>
        <w:t xml:space="preserve">jf. lovforslagets </w:t>
      </w:r>
      <w:r w:rsidR="0017332B">
        <w:rPr>
          <w:rFonts w:ascii="Times New Roman" w:hAnsi="Times New Roman" w:cs="Times New Roman"/>
          <w:sz w:val="24"/>
          <w:szCs w:val="24"/>
        </w:rPr>
        <w:fldChar w:fldCharType="begin"/>
      </w:r>
      <w:r w:rsidR="0017332B">
        <w:rPr>
          <w:rFonts w:ascii="Times New Roman" w:hAnsi="Times New Roman" w:cs="Times New Roman"/>
          <w:sz w:val="24"/>
          <w:szCs w:val="24"/>
        </w:rPr>
        <w:instrText xml:space="preserve"> REF _Ref242963797 \r \h </w:instrText>
      </w:r>
      <w:r w:rsidR="0017332B">
        <w:rPr>
          <w:rFonts w:ascii="Times New Roman" w:hAnsi="Times New Roman" w:cs="Times New Roman"/>
          <w:sz w:val="24"/>
          <w:szCs w:val="24"/>
        </w:rPr>
      </w:r>
      <w:r w:rsidR="0017332B">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17332B">
        <w:rPr>
          <w:rFonts w:ascii="Times New Roman" w:hAnsi="Times New Roman" w:cs="Times New Roman"/>
          <w:sz w:val="24"/>
          <w:szCs w:val="24"/>
        </w:rPr>
        <w:fldChar w:fldCharType="end"/>
      </w:r>
      <w:r w:rsidRPr="00796736">
        <w:rPr>
          <w:rFonts w:ascii="Times New Roman" w:hAnsi="Times New Roman" w:cs="Times New Roman"/>
          <w:sz w:val="24"/>
          <w:szCs w:val="24"/>
        </w:rPr>
        <w:t>. Ansvarssubjektet i forhold til bestemmelsen er den virksomhed, som er omfattet af stk. 1. Det betyder, at en virksomhed omfattet af stk. 1, som undlader at offentliggøre en reaktion m.v. hurtigst muligt og senest tre hverdage efter, at virksomheden har modtaget reaktionen m.v., eller undlader at offentliggøre senest på tidspunktet for offentliggørelse som påkrævet efter lov om kapitalmarkeder, kan straffes med bøde.</w:t>
      </w:r>
    </w:p>
    <w:p w14:paraId="2FA12B1E" w14:textId="77777777" w:rsidR="00327FF0" w:rsidRPr="00796736" w:rsidRDefault="00327FF0" w:rsidP="00A802A5">
      <w:pPr>
        <w:spacing w:line="360" w:lineRule="auto"/>
        <w:rPr>
          <w:rFonts w:ascii="Times New Roman" w:hAnsi="Times New Roman" w:cs="Times New Roman"/>
          <w:sz w:val="24"/>
          <w:szCs w:val="24"/>
        </w:rPr>
      </w:pPr>
    </w:p>
    <w:p w14:paraId="54FFF364" w14:textId="50D71DAA" w:rsidR="00327FF0" w:rsidRPr="00796736" w:rsidRDefault="0017332B"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Den gældende </w:t>
      </w:r>
      <w:r w:rsidR="00327FF0" w:rsidRPr="00796736">
        <w:rPr>
          <w:rFonts w:ascii="Times New Roman" w:hAnsi="Times New Roman" w:cs="Times New Roman"/>
          <w:sz w:val="24"/>
          <w:szCs w:val="24"/>
        </w:rPr>
        <w:t>§ 55, stk. 5, 1. og 2. pkt., fastlægger, at når Finanstilsynet har overgivet en sag til politimæssig efterforskning, og der er afsagt fældende dom eller vedtaget bøde, skal Finanstilsynet offentliggøre dommen, bødevedtagelsen eller et resumé heraf, jf. dog § 55, stk. 6. Er dommen ikke endelig, eller er den anket eller genoptaget, skal dette fremgå af offentliggørelsen</w:t>
      </w:r>
    </w:p>
    <w:p w14:paraId="7A2926D4" w14:textId="77777777" w:rsidR="00327FF0" w:rsidRPr="00796736" w:rsidRDefault="00327FF0" w:rsidP="00A802A5">
      <w:pPr>
        <w:spacing w:line="360" w:lineRule="auto"/>
        <w:rPr>
          <w:rFonts w:ascii="Times New Roman" w:hAnsi="Times New Roman" w:cs="Times New Roman"/>
          <w:sz w:val="24"/>
          <w:szCs w:val="24"/>
        </w:rPr>
      </w:pPr>
    </w:p>
    <w:p w14:paraId="17C39B9D"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55, stk. 5, 3 pkt., i hvidvaskloven fastsætter, at virksomhedens offentliggørelse skal ske på virksomhedens hjemmeside på et sted, hvor det naturligt hører hjemme, hurtigst muligt, og senest 10 hverdage efter at der er faldet dom eller vedtaget bøde, eller senest på tidspunktet for offentliggørelse påkrævet efter lov om værdipapirhandel m.v. </w:t>
      </w:r>
    </w:p>
    <w:p w14:paraId="46358E9B" w14:textId="77777777" w:rsidR="00327FF0" w:rsidRPr="00796736" w:rsidRDefault="00327FF0" w:rsidP="00A802A5">
      <w:pPr>
        <w:spacing w:line="360" w:lineRule="auto"/>
        <w:rPr>
          <w:rFonts w:ascii="Times New Roman" w:hAnsi="Times New Roman" w:cs="Times New Roman"/>
          <w:sz w:val="24"/>
          <w:szCs w:val="24"/>
        </w:rPr>
      </w:pPr>
    </w:p>
    <w:p w14:paraId="0FACAF79"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viderefører § 55, stk. 5, 3 pkt., i hvidvaskloven med redaktionelle ændringer. Der er ikke tilsigtet materielle ændringer med bestemmelsen.</w:t>
      </w:r>
    </w:p>
    <w:p w14:paraId="6ED45C4B" w14:textId="77777777" w:rsidR="00327FF0" w:rsidRPr="00796736" w:rsidRDefault="00327FF0" w:rsidP="00A802A5">
      <w:pPr>
        <w:spacing w:line="360" w:lineRule="auto"/>
        <w:rPr>
          <w:rFonts w:ascii="Times New Roman" w:hAnsi="Times New Roman" w:cs="Times New Roman"/>
          <w:sz w:val="24"/>
          <w:szCs w:val="24"/>
        </w:rPr>
      </w:pPr>
    </w:p>
    <w:p w14:paraId="63E590F2"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at virksomheden skal offentliggøre en dom eller bødevedtagelse som nævnt i stk. 1 hurtigst muligt, og senest 10 hverdage efter der er faldet dom eller vedtaget bøde, eller senest på tidspunktet for offentliggørelse påkrævet efter lov om kapitalmarkeder.</w:t>
      </w:r>
    </w:p>
    <w:p w14:paraId="78F67CBC" w14:textId="77777777" w:rsidR="00327FF0" w:rsidRPr="00796736" w:rsidRDefault="00327FF0" w:rsidP="00A802A5">
      <w:pPr>
        <w:spacing w:line="360" w:lineRule="auto"/>
        <w:rPr>
          <w:rFonts w:ascii="Times New Roman" w:hAnsi="Times New Roman" w:cs="Times New Roman"/>
          <w:sz w:val="24"/>
          <w:szCs w:val="24"/>
        </w:rPr>
      </w:pPr>
    </w:p>
    <w:p w14:paraId="231C3CEC"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offentliggørelsen skal ske på virksomhedens hjemmeside hurtigst muligt og senest 10 hverdage efter, der er faldet helt eller delvist fældende dom eller vedtaget bøde, eller hvis en sag er afgjort med vedtagelse af et administrativt bødeforlæg, eller senest på tidspunktet for offentliggørelse påkrævet efter lov om kapitalmarkeder.</w:t>
      </w:r>
    </w:p>
    <w:p w14:paraId="0D59F0B2" w14:textId="77777777" w:rsidR="00327FF0" w:rsidRPr="00796736" w:rsidRDefault="00327FF0" w:rsidP="00A802A5">
      <w:pPr>
        <w:spacing w:line="360" w:lineRule="auto"/>
        <w:rPr>
          <w:rFonts w:ascii="Times New Roman" w:hAnsi="Times New Roman" w:cs="Times New Roman"/>
          <w:sz w:val="24"/>
          <w:szCs w:val="24"/>
        </w:rPr>
      </w:pPr>
    </w:p>
    <w:p w14:paraId="4E7390AA" w14:textId="65AF6CDB"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Overtrædelse kan straffes med bøde, medmindre højere straf er forskyldt efter øvrig lovgivning</w:t>
      </w:r>
      <w:r w:rsidR="00530E9F">
        <w:rPr>
          <w:rFonts w:ascii="Times New Roman" w:hAnsi="Times New Roman" w:cs="Times New Roman"/>
          <w:sz w:val="24"/>
          <w:szCs w:val="24"/>
        </w:rPr>
        <w:t>,</w:t>
      </w:r>
      <w:r w:rsidR="00530E9F" w:rsidRPr="00530E9F">
        <w:rPr>
          <w:rFonts w:ascii="Times New Roman" w:hAnsi="Times New Roman" w:cs="Times New Roman"/>
          <w:sz w:val="24"/>
          <w:szCs w:val="24"/>
        </w:rPr>
        <w:t xml:space="preserve"> </w:t>
      </w:r>
      <w:r w:rsidR="00530E9F" w:rsidRPr="00A9036D">
        <w:rPr>
          <w:rFonts w:ascii="Times New Roman" w:hAnsi="Times New Roman" w:cs="Times New Roman"/>
          <w:sz w:val="24"/>
          <w:szCs w:val="24"/>
        </w:rPr>
        <w:t xml:space="preserve">jf. lovforslagets </w:t>
      </w:r>
      <w:r w:rsidR="00530E9F">
        <w:rPr>
          <w:rFonts w:ascii="Times New Roman" w:hAnsi="Times New Roman" w:cs="Times New Roman"/>
          <w:sz w:val="24"/>
          <w:szCs w:val="24"/>
        </w:rPr>
        <w:fldChar w:fldCharType="begin"/>
      </w:r>
      <w:r w:rsidR="00530E9F">
        <w:rPr>
          <w:rFonts w:ascii="Times New Roman" w:hAnsi="Times New Roman" w:cs="Times New Roman"/>
          <w:sz w:val="24"/>
          <w:szCs w:val="24"/>
        </w:rPr>
        <w:instrText xml:space="preserve"> REF _Ref242963797 \r \h </w:instrText>
      </w:r>
      <w:r w:rsidR="00530E9F">
        <w:rPr>
          <w:rFonts w:ascii="Times New Roman" w:hAnsi="Times New Roman" w:cs="Times New Roman"/>
          <w:sz w:val="24"/>
          <w:szCs w:val="24"/>
        </w:rPr>
      </w:r>
      <w:r w:rsidR="00530E9F">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530E9F">
        <w:rPr>
          <w:rFonts w:ascii="Times New Roman" w:hAnsi="Times New Roman" w:cs="Times New Roman"/>
          <w:sz w:val="24"/>
          <w:szCs w:val="24"/>
        </w:rPr>
        <w:fldChar w:fldCharType="end"/>
      </w:r>
      <w:r w:rsidR="00530E9F" w:rsidRPr="00A9036D">
        <w:rPr>
          <w:rFonts w:ascii="Times New Roman" w:hAnsi="Times New Roman" w:cs="Times New Roman"/>
          <w:sz w:val="24"/>
          <w:szCs w:val="24"/>
        </w:rPr>
        <w:t xml:space="preserve">. </w:t>
      </w:r>
      <w:r w:rsidRPr="00796736">
        <w:rPr>
          <w:rFonts w:ascii="Times New Roman" w:hAnsi="Times New Roman" w:cs="Times New Roman"/>
          <w:sz w:val="24"/>
          <w:szCs w:val="24"/>
        </w:rPr>
        <w:t xml:space="preserve"> Ansvarssubjektet er den virksomhed, som er omfattet af stk. 1. Det betyder, at en virksomhed omfattet af stk. 1, og som undlader at offentliggøre en dom eller bødevedtagelse, hurtigst muligt, og senest 10 hverdage efter at virksomheden har modtaget reaktionen m.v., eller undlader at offentliggøre senest på tidspunktet for offentliggørelse som påkrævet efter lov om kapitalmarkeder, kan straffes med bøde.</w:t>
      </w:r>
    </w:p>
    <w:p w14:paraId="4281A5D8" w14:textId="77777777" w:rsidR="00327FF0" w:rsidRPr="00796736" w:rsidRDefault="00327FF0" w:rsidP="00A802A5">
      <w:pPr>
        <w:spacing w:line="360" w:lineRule="auto"/>
        <w:rPr>
          <w:rFonts w:ascii="Times New Roman" w:hAnsi="Times New Roman" w:cs="Times New Roman"/>
          <w:sz w:val="24"/>
          <w:szCs w:val="24"/>
        </w:rPr>
      </w:pPr>
    </w:p>
    <w:p w14:paraId="02C43261" w14:textId="38ACF7D6" w:rsidR="00327FF0" w:rsidRPr="00796736" w:rsidRDefault="00530E9F"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Den gældende </w:t>
      </w:r>
      <w:r w:rsidR="00327FF0" w:rsidRPr="00796736">
        <w:rPr>
          <w:rFonts w:ascii="Times New Roman" w:hAnsi="Times New Roman" w:cs="Times New Roman"/>
          <w:sz w:val="24"/>
          <w:szCs w:val="24"/>
        </w:rPr>
        <w:t>§ 55, stk. 4, 3. pkt., i hvidvaskloven fastsætter, at virksomheden samtidig med virksomhedens offentliggørelse efter § 55, stk. 1, skal indsætte et link, som giver direkte adgang til reaktionen, på forsiden af virksomhedens hjemmeside på en synlig måde, og det skal af linket og en eventuel tilknyttet tekst tydeligt fremgå, at der er tale om en reaktion fra Finanstilsynet.</w:t>
      </w:r>
    </w:p>
    <w:p w14:paraId="3BCD5DB9" w14:textId="77777777" w:rsidR="00327FF0" w:rsidRPr="00796736" w:rsidRDefault="00327FF0" w:rsidP="00A802A5">
      <w:pPr>
        <w:spacing w:line="360" w:lineRule="auto"/>
        <w:rPr>
          <w:rFonts w:ascii="Times New Roman" w:hAnsi="Times New Roman" w:cs="Times New Roman"/>
          <w:sz w:val="24"/>
          <w:szCs w:val="24"/>
        </w:rPr>
      </w:pPr>
    </w:p>
    <w:p w14:paraId="50915BAC" w14:textId="6ACF0F89"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Tilsvarende regler om offentliggørelse gælder efter</w:t>
      </w:r>
      <w:r w:rsidR="00530E9F">
        <w:rPr>
          <w:rFonts w:ascii="Times New Roman" w:hAnsi="Times New Roman" w:cs="Times New Roman"/>
          <w:sz w:val="24"/>
          <w:szCs w:val="24"/>
        </w:rPr>
        <w:t xml:space="preserve"> den gældende</w:t>
      </w:r>
      <w:r w:rsidRPr="00796736">
        <w:rPr>
          <w:rFonts w:ascii="Times New Roman" w:hAnsi="Times New Roman" w:cs="Times New Roman"/>
          <w:sz w:val="24"/>
          <w:szCs w:val="24"/>
        </w:rPr>
        <w:t xml:space="preserve"> § 55, stk. 5, 4. pkt., i hvidvaskloven, for så vidt angår en virksomheds offentliggørelse af sager, der er overgivet til politimæssig efterforskning, og der er afsagt fældende dom eller vedtaget bøde.</w:t>
      </w:r>
    </w:p>
    <w:p w14:paraId="7376C1AE" w14:textId="77777777" w:rsidR="00327FF0" w:rsidRPr="00796736" w:rsidRDefault="00327FF0" w:rsidP="00A802A5">
      <w:pPr>
        <w:spacing w:line="360" w:lineRule="auto"/>
        <w:rPr>
          <w:rFonts w:ascii="Times New Roman" w:hAnsi="Times New Roman" w:cs="Times New Roman"/>
          <w:sz w:val="24"/>
          <w:szCs w:val="24"/>
        </w:rPr>
      </w:pPr>
    </w:p>
    <w:p w14:paraId="2DF11524" w14:textId="61CFAC97" w:rsidR="00327FF0" w:rsidRPr="00796736" w:rsidRDefault="00530E9F"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Den gældende </w:t>
      </w:r>
      <w:r w:rsidR="00327FF0" w:rsidRPr="00796736">
        <w:rPr>
          <w:rFonts w:ascii="Times New Roman" w:hAnsi="Times New Roman" w:cs="Times New Roman"/>
          <w:sz w:val="24"/>
          <w:szCs w:val="24"/>
        </w:rPr>
        <w:t>§ 55, stk. 4, 5. pkt., i hvidvaskloven fastsætter, at fjernelse af linket på forsiden og informationerne fra virksomhedens eventuelle hjemmeside skal finde sted efter samme principper, som virksomheden anvender for øvrige meddelelser, dog tidligst når linket og informationerne har ligget på hjemmesiden i 3 måneder, og tidligst efter førstkommende generalforsamling eller repræsentantskabsmøde.</w:t>
      </w:r>
    </w:p>
    <w:p w14:paraId="14C4D355" w14:textId="77777777" w:rsidR="00327FF0" w:rsidRPr="00796736" w:rsidRDefault="00327FF0" w:rsidP="00A802A5">
      <w:pPr>
        <w:spacing w:line="360" w:lineRule="auto"/>
        <w:rPr>
          <w:rFonts w:ascii="Times New Roman" w:hAnsi="Times New Roman" w:cs="Times New Roman"/>
          <w:sz w:val="24"/>
          <w:szCs w:val="24"/>
        </w:rPr>
      </w:pPr>
    </w:p>
    <w:p w14:paraId="5DEC21C5" w14:textId="3E7CDFBA"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Tilsvarende regler gælder efter</w:t>
      </w:r>
      <w:r w:rsidR="00530E9F">
        <w:rPr>
          <w:rFonts w:ascii="Times New Roman" w:hAnsi="Times New Roman" w:cs="Times New Roman"/>
          <w:sz w:val="24"/>
          <w:szCs w:val="24"/>
        </w:rPr>
        <w:t xml:space="preserve"> den gældende</w:t>
      </w:r>
      <w:r w:rsidRPr="00796736">
        <w:rPr>
          <w:rFonts w:ascii="Times New Roman" w:hAnsi="Times New Roman" w:cs="Times New Roman"/>
          <w:sz w:val="24"/>
          <w:szCs w:val="24"/>
        </w:rPr>
        <w:t xml:space="preserve"> § 55, stk. 5, 6. pkt., i hvidvaskloven, for så vidt angår en virksomheds offentliggørelse af sager, der er overgivet til politimæssig efterforskning, og der er og der er afsagt fældende dom eller vedtaget bøde.</w:t>
      </w:r>
    </w:p>
    <w:p w14:paraId="46D85DC1" w14:textId="77777777" w:rsidR="00327FF0" w:rsidRPr="00796736" w:rsidRDefault="00327FF0" w:rsidP="00A802A5">
      <w:pPr>
        <w:spacing w:line="360" w:lineRule="auto"/>
        <w:rPr>
          <w:rFonts w:ascii="Times New Roman" w:hAnsi="Times New Roman" w:cs="Times New Roman"/>
          <w:sz w:val="24"/>
          <w:szCs w:val="24"/>
        </w:rPr>
      </w:pPr>
    </w:p>
    <w:p w14:paraId="7591911F" w14:textId="1CCDDD8F" w:rsidR="00327FF0" w:rsidRPr="00796736" w:rsidRDefault="00530E9F"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Den gældende </w:t>
      </w:r>
      <w:r w:rsidR="00327FF0" w:rsidRPr="00796736">
        <w:rPr>
          <w:rFonts w:ascii="Times New Roman" w:hAnsi="Times New Roman" w:cs="Times New Roman"/>
          <w:sz w:val="24"/>
          <w:szCs w:val="24"/>
        </w:rPr>
        <w:t>§ 55, stk. 4, 6. pkt., i hvidvaskloven fastsætter, at virksomhedens pligt til at offentliggøre oplysningerne på virksomhedens hjemmeside kun gælder for juridiske personer. Der kan således ikke ske offentliggørelse med navns nævnelse af personer eller personligt ejede virksomheder.</w:t>
      </w:r>
    </w:p>
    <w:p w14:paraId="6C79548F" w14:textId="77777777" w:rsidR="00327FF0" w:rsidRPr="00796736" w:rsidRDefault="00327FF0" w:rsidP="00A802A5">
      <w:pPr>
        <w:spacing w:line="360" w:lineRule="auto"/>
        <w:rPr>
          <w:rFonts w:ascii="Times New Roman" w:hAnsi="Times New Roman" w:cs="Times New Roman"/>
          <w:sz w:val="24"/>
          <w:szCs w:val="24"/>
          <w:highlight w:val="yellow"/>
        </w:rPr>
      </w:pPr>
    </w:p>
    <w:p w14:paraId="05ADED5C" w14:textId="5E2825AA"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Tilsvarende regler gælder efter</w:t>
      </w:r>
      <w:r w:rsidR="00530E9F">
        <w:rPr>
          <w:rFonts w:ascii="Times New Roman" w:hAnsi="Times New Roman" w:cs="Times New Roman"/>
          <w:sz w:val="24"/>
          <w:szCs w:val="24"/>
        </w:rPr>
        <w:t xml:space="preserve"> den gældende</w:t>
      </w:r>
      <w:r w:rsidRPr="00796736">
        <w:rPr>
          <w:rFonts w:ascii="Times New Roman" w:hAnsi="Times New Roman" w:cs="Times New Roman"/>
          <w:sz w:val="24"/>
          <w:szCs w:val="24"/>
        </w:rPr>
        <w:t xml:space="preserve"> § 55, stk. 1, 9. pkt., i hvidvaskloven, for så vidt angår en virksomheds offentliggørelse af sager, der er overgivet til politimæssig efterforskning, og der er og der er afsagt fældende dom eller vedtaget bøde.</w:t>
      </w:r>
    </w:p>
    <w:p w14:paraId="7C779C30" w14:textId="77777777" w:rsidR="00327FF0" w:rsidRPr="00796736" w:rsidRDefault="00327FF0" w:rsidP="00A802A5">
      <w:pPr>
        <w:spacing w:line="360" w:lineRule="auto"/>
        <w:rPr>
          <w:rFonts w:ascii="Times New Roman" w:hAnsi="Times New Roman" w:cs="Times New Roman"/>
          <w:sz w:val="24"/>
          <w:szCs w:val="24"/>
        </w:rPr>
      </w:pPr>
    </w:p>
    <w:p w14:paraId="13AFDF5E"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4 viderefører § 55, stk. 4, 3., 5. og 6. pkt., samt § 55, stk. 4, 4., 6. og 9. pkt., i hvidvaskloven med sproglige ændringer. Der er ikke tilsigtet materielle ændringer af reglerne for virksomheders offentliggørelse.</w:t>
      </w:r>
    </w:p>
    <w:p w14:paraId="5D18CB6D" w14:textId="77777777" w:rsidR="00327FF0" w:rsidRPr="00796736" w:rsidRDefault="00327FF0" w:rsidP="00A802A5">
      <w:pPr>
        <w:spacing w:line="360" w:lineRule="auto"/>
        <w:rPr>
          <w:rFonts w:ascii="Times New Roman" w:hAnsi="Times New Roman" w:cs="Times New Roman"/>
          <w:sz w:val="24"/>
          <w:szCs w:val="24"/>
        </w:rPr>
      </w:pPr>
    </w:p>
    <w:p w14:paraId="1B40E9DE" w14:textId="3922DC4E"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w:t>
      </w:r>
      <w:r w:rsidRPr="00796736">
        <w:rPr>
          <w:rFonts w:ascii="Times New Roman" w:hAnsi="Times New Roman" w:cs="Times New Roman"/>
          <w:i/>
          <w:iCs/>
          <w:sz w:val="24"/>
          <w:szCs w:val="24"/>
        </w:rPr>
        <w:t>i stk. 4,</w:t>
      </w:r>
      <w:r w:rsidRPr="00796736">
        <w:rPr>
          <w:rFonts w:ascii="Times New Roman" w:hAnsi="Times New Roman" w:cs="Times New Roman"/>
          <w:sz w:val="24"/>
          <w:szCs w:val="24"/>
        </w:rPr>
        <w:t xml:space="preserve"> at samtidig med virksomhedens offentliggørelse efter stk. 1-3 skal virksomheden indsætte et link, som giver direkte adgang til reaktionen m.v., dommen, bødevedtagelsen eller resumeet, på forsiden af virksomhedens hjemmeside på en synlig måde. Det skal af linket og en eventuel tilknyttet tekst tydeligt fremgå, at der er tale om en reaktion fra Finanstilsynet, en dom eller bødevedtagelse. Fjernelse af informationerne fra virksomhedens hjemmeside skal finde sted efter samme principper, som virksomheden anvender for øvrige meddelelser, dog tidligst når linket og informationerne har ligget på hjemmesiden i </w:t>
      </w:r>
      <w:r w:rsidR="00530E9F">
        <w:rPr>
          <w:rFonts w:ascii="Times New Roman" w:hAnsi="Times New Roman" w:cs="Times New Roman"/>
          <w:sz w:val="24"/>
          <w:szCs w:val="24"/>
        </w:rPr>
        <w:t>tre</w:t>
      </w:r>
      <w:r w:rsidRPr="00796736">
        <w:rPr>
          <w:rFonts w:ascii="Times New Roman" w:hAnsi="Times New Roman" w:cs="Times New Roman"/>
          <w:sz w:val="24"/>
          <w:szCs w:val="24"/>
        </w:rPr>
        <w:t xml:space="preserve"> måneder, og tidligst efter førstkommende generalforsamling eller repræsentantskabsmøde.</w:t>
      </w:r>
    </w:p>
    <w:p w14:paraId="2458B840" w14:textId="77777777" w:rsidR="00327FF0" w:rsidRPr="00796736" w:rsidRDefault="00327FF0" w:rsidP="00A802A5">
      <w:pPr>
        <w:spacing w:line="360" w:lineRule="auto"/>
        <w:rPr>
          <w:rFonts w:ascii="Times New Roman" w:hAnsi="Times New Roman" w:cs="Times New Roman"/>
          <w:sz w:val="24"/>
          <w:szCs w:val="24"/>
        </w:rPr>
      </w:pPr>
    </w:p>
    <w:p w14:paraId="7AA1377A" w14:textId="31640EF9"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w:t>
      </w:r>
      <w:r w:rsidR="00530E9F">
        <w:rPr>
          <w:rFonts w:ascii="Times New Roman" w:hAnsi="Times New Roman" w:cs="Times New Roman"/>
          <w:sz w:val="24"/>
          <w:szCs w:val="24"/>
        </w:rPr>
        <w:t>”</w:t>
      </w:r>
      <w:r w:rsidRPr="00796736">
        <w:rPr>
          <w:rFonts w:ascii="Times New Roman" w:hAnsi="Times New Roman" w:cs="Times New Roman"/>
          <w:sz w:val="24"/>
          <w:szCs w:val="24"/>
        </w:rPr>
        <w:t>virksomhedens hjemmeside</w:t>
      </w:r>
      <w:r w:rsidR="00530E9F">
        <w:rPr>
          <w:rFonts w:ascii="Times New Roman" w:hAnsi="Times New Roman" w:cs="Times New Roman"/>
          <w:sz w:val="24"/>
          <w:szCs w:val="24"/>
        </w:rPr>
        <w:t>”</w:t>
      </w:r>
      <w:r w:rsidRPr="00796736">
        <w:rPr>
          <w:rFonts w:ascii="Times New Roman" w:hAnsi="Times New Roman" w:cs="Times New Roman"/>
          <w:sz w:val="24"/>
          <w:szCs w:val="24"/>
        </w:rPr>
        <w:t xml:space="preserve"> menes den hjemmeside, som virksomheden normalt anvender til kommunikation med kunder m.v. Det er ikke afgørende, om virksomheden selv ejer hjemmesiden. Kommunikerer virksomheden f.eks. via en koncernhjemmeside, er det denne hjemmeside, der skal anvendes. Såfremt tilsynsreaktionen f.eks. retter sig mod et datterselskab i en koncern, er det på datterselskabets hjemmeside, at tilsynsreaktionen skal offentliggøres, uanset om hjemmesiden måtte være ejet af moderselskabet eller et koncernforbundet selskab.</w:t>
      </w:r>
    </w:p>
    <w:p w14:paraId="15DA476C" w14:textId="77777777" w:rsidR="00327FF0" w:rsidRPr="00796736" w:rsidRDefault="00327FF0" w:rsidP="00A802A5">
      <w:pPr>
        <w:spacing w:line="360" w:lineRule="auto"/>
        <w:rPr>
          <w:rFonts w:ascii="Times New Roman" w:hAnsi="Times New Roman" w:cs="Times New Roman"/>
          <w:sz w:val="24"/>
          <w:szCs w:val="24"/>
        </w:rPr>
      </w:pPr>
    </w:p>
    <w:p w14:paraId="71F2B6B3" w14:textId="60D2AE11"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w:t>
      </w:r>
      <w:r w:rsidR="00530E9F">
        <w:rPr>
          <w:rFonts w:ascii="Times New Roman" w:hAnsi="Times New Roman" w:cs="Times New Roman"/>
          <w:sz w:val="24"/>
          <w:szCs w:val="24"/>
        </w:rPr>
        <w:t>”</w:t>
      </w:r>
      <w:r w:rsidRPr="00796736">
        <w:rPr>
          <w:rFonts w:ascii="Times New Roman" w:hAnsi="Times New Roman" w:cs="Times New Roman"/>
          <w:sz w:val="24"/>
          <w:szCs w:val="24"/>
        </w:rPr>
        <w:t>forsiden</w:t>
      </w:r>
      <w:r w:rsidR="00530E9F">
        <w:rPr>
          <w:rFonts w:ascii="Times New Roman" w:hAnsi="Times New Roman" w:cs="Times New Roman"/>
          <w:sz w:val="24"/>
          <w:szCs w:val="24"/>
        </w:rPr>
        <w:t>”</w:t>
      </w:r>
      <w:r w:rsidRPr="00796736">
        <w:rPr>
          <w:rFonts w:ascii="Times New Roman" w:hAnsi="Times New Roman" w:cs="Times New Roman"/>
          <w:sz w:val="24"/>
          <w:szCs w:val="24"/>
        </w:rPr>
        <w:t xml:space="preserve"> menes hjemmesidens indgangsside eller den side, som er tænkt til at være den første side, som kunderne m.v. kommer ind på, når de vil anvende virksomhedens hjemmeside. Det skal af linket (og en eventuel dertil knyttet tekst) tydeligt fremgå, at der er tale om en dom eller bødevedtagelse. Hvis virksomheden ikke har en hjemmeside, sker offentliggørelse alene på Finanstilsynets hjemmeside.</w:t>
      </w:r>
    </w:p>
    <w:p w14:paraId="0757E146" w14:textId="77777777" w:rsidR="00327FF0" w:rsidRPr="00796736" w:rsidRDefault="00327FF0" w:rsidP="00A802A5">
      <w:pPr>
        <w:spacing w:line="360" w:lineRule="auto"/>
        <w:rPr>
          <w:rFonts w:ascii="Times New Roman" w:hAnsi="Times New Roman" w:cs="Times New Roman"/>
          <w:sz w:val="24"/>
          <w:szCs w:val="24"/>
        </w:rPr>
      </w:pPr>
    </w:p>
    <w:p w14:paraId="5169F1CD" w14:textId="3130B2D9"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Overtrædelse kan straffes med bøde, medmindre højere straf er forskyldt efter øvrig lovgivning</w:t>
      </w:r>
      <w:r w:rsidR="00530E9F">
        <w:rPr>
          <w:rFonts w:ascii="Times New Roman" w:hAnsi="Times New Roman" w:cs="Times New Roman"/>
          <w:sz w:val="24"/>
          <w:szCs w:val="24"/>
        </w:rPr>
        <w:t xml:space="preserve"> </w:t>
      </w:r>
      <w:r w:rsidR="00530E9F" w:rsidRPr="00A9036D">
        <w:rPr>
          <w:rFonts w:ascii="Times New Roman" w:hAnsi="Times New Roman" w:cs="Times New Roman"/>
          <w:sz w:val="24"/>
          <w:szCs w:val="24"/>
        </w:rPr>
        <w:t xml:space="preserve">jf. lovforslagets </w:t>
      </w:r>
      <w:r w:rsidR="00530E9F">
        <w:rPr>
          <w:rFonts w:ascii="Times New Roman" w:hAnsi="Times New Roman" w:cs="Times New Roman"/>
          <w:sz w:val="24"/>
          <w:szCs w:val="24"/>
        </w:rPr>
        <w:fldChar w:fldCharType="begin"/>
      </w:r>
      <w:r w:rsidR="00530E9F">
        <w:rPr>
          <w:rFonts w:ascii="Times New Roman" w:hAnsi="Times New Roman" w:cs="Times New Roman"/>
          <w:sz w:val="24"/>
          <w:szCs w:val="24"/>
        </w:rPr>
        <w:instrText xml:space="preserve"> REF _Ref242963797 \r \h </w:instrText>
      </w:r>
      <w:r w:rsidR="00530E9F">
        <w:rPr>
          <w:rFonts w:ascii="Times New Roman" w:hAnsi="Times New Roman" w:cs="Times New Roman"/>
          <w:sz w:val="24"/>
          <w:szCs w:val="24"/>
        </w:rPr>
      </w:r>
      <w:r w:rsidR="00530E9F">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530E9F">
        <w:rPr>
          <w:rFonts w:ascii="Times New Roman" w:hAnsi="Times New Roman" w:cs="Times New Roman"/>
          <w:sz w:val="24"/>
          <w:szCs w:val="24"/>
        </w:rPr>
        <w:fldChar w:fldCharType="end"/>
      </w:r>
      <w:r w:rsidRPr="00796736">
        <w:rPr>
          <w:rFonts w:ascii="Times New Roman" w:hAnsi="Times New Roman" w:cs="Times New Roman"/>
          <w:sz w:val="24"/>
          <w:szCs w:val="24"/>
        </w:rPr>
        <w:t>. Ansvarssubjektet i forhold til overtrædelse er den virksomhed, som er omfattet af stk. 1. Det betyder, at en virksomhed omfattet af stk. 1, som undlader samtidig med offentliggørelse efter stk. 1-3 at indsætte et link med direkte adgang til reaktionen m.v., dommen, bødevedtagelsen eller resumeet på forsiden af virksomhedens hjemmeside og på en synlig måde, kan straffes med bøde. Det betyder også, at en virksomhed omfattet af stk. 1, som undlader at lade det fremgå tydeligt af linket og eventuel tilknyttet tekst, at der er taler om en reaktion fra Finanstilsynet, en dom eller en bødevedtagelse kan straffes med bøde, og at en virksomhed, omfattet af stk. 1, der fjerner informationerne for tidligt eller i strid med de principper, som virksomheden anvender for øvrige meddelelser, kan straffes med bøde.</w:t>
      </w:r>
    </w:p>
    <w:p w14:paraId="686E283A" w14:textId="77777777" w:rsidR="00327FF0" w:rsidRPr="00796736" w:rsidRDefault="00327FF0" w:rsidP="00A802A5">
      <w:pPr>
        <w:spacing w:line="360" w:lineRule="auto"/>
        <w:rPr>
          <w:rFonts w:ascii="Times New Roman" w:hAnsi="Times New Roman" w:cs="Times New Roman"/>
          <w:sz w:val="24"/>
          <w:szCs w:val="24"/>
        </w:rPr>
      </w:pPr>
    </w:p>
    <w:p w14:paraId="650A2258"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gældende § 55, stk. 4, 4. pkt., i hvidvaskloven fastsætter, at hvis virksomheden kommenterer reaktionen i forbindelse med virksomhedens offentliggørelse, skal dette ske i forlængelse af denne, og kommentarerne skal være klart adskilt fra reaktionen.</w:t>
      </w:r>
    </w:p>
    <w:p w14:paraId="50D46BAD" w14:textId="77777777" w:rsidR="00327FF0" w:rsidRPr="00796736" w:rsidRDefault="00327FF0" w:rsidP="00A802A5">
      <w:pPr>
        <w:spacing w:line="360" w:lineRule="auto"/>
        <w:rPr>
          <w:rFonts w:ascii="Times New Roman" w:hAnsi="Times New Roman" w:cs="Times New Roman"/>
          <w:sz w:val="24"/>
          <w:szCs w:val="24"/>
        </w:rPr>
      </w:pPr>
    </w:p>
    <w:p w14:paraId="0033A04C"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gældende § 55, stk. 5, 5. pkt., i hvidvaskloven fastsætter, at hvis virksomheden kommenterer reaktionen i forbindelse med virksomhedens offentliggørelse, skal dette ske i forlængelse af denne, og kommentarerne skal være klart adskilt fra reaktionen.</w:t>
      </w:r>
    </w:p>
    <w:p w14:paraId="57992BEB" w14:textId="77777777" w:rsidR="00327FF0" w:rsidRPr="00796736" w:rsidRDefault="00327FF0" w:rsidP="00A802A5">
      <w:pPr>
        <w:spacing w:line="360" w:lineRule="auto"/>
        <w:rPr>
          <w:rFonts w:ascii="Times New Roman" w:hAnsi="Times New Roman" w:cs="Times New Roman"/>
          <w:sz w:val="24"/>
          <w:szCs w:val="24"/>
        </w:rPr>
      </w:pPr>
    </w:p>
    <w:p w14:paraId="2A36CBF0"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5 viderefører § 55, stk. 4, 4. pkt., og § 55, stk. 5, 5. pkt., i hvidvaskloven med sproglige ændringer. Der er ikke tilsigtet materielle ændringer med bestemmelsen.</w:t>
      </w:r>
    </w:p>
    <w:p w14:paraId="133A77D4" w14:textId="77777777" w:rsidR="00327FF0" w:rsidRPr="00796736" w:rsidRDefault="00327FF0" w:rsidP="00A802A5">
      <w:pPr>
        <w:spacing w:line="360" w:lineRule="auto"/>
        <w:rPr>
          <w:rFonts w:ascii="Times New Roman" w:hAnsi="Times New Roman" w:cs="Times New Roman"/>
          <w:sz w:val="24"/>
          <w:szCs w:val="24"/>
        </w:rPr>
      </w:pPr>
    </w:p>
    <w:p w14:paraId="4513B7FD"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at kommenterer virksomheden reaktionen m.v., dommen, bødevedtagelsen eller resumeet efter stk. 1-3, skal dette ske i forlængelse heraf, og kommentarerne skal være klart adskilt fra reaktion m.v., dommen, bødevedtagelsen eller resumeet.</w:t>
      </w:r>
    </w:p>
    <w:p w14:paraId="208632B0" w14:textId="77777777" w:rsidR="00327FF0" w:rsidRPr="00796736" w:rsidRDefault="00327FF0" w:rsidP="00A802A5">
      <w:pPr>
        <w:spacing w:line="360" w:lineRule="auto"/>
        <w:rPr>
          <w:rFonts w:ascii="Times New Roman" w:hAnsi="Times New Roman" w:cs="Times New Roman"/>
          <w:sz w:val="24"/>
          <w:szCs w:val="24"/>
        </w:rPr>
      </w:pPr>
    </w:p>
    <w:p w14:paraId="5753523E" w14:textId="520A3EC6"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Overtrædelse af lovforslagets </w:t>
      </w:r>
      <w:r w:rsidR="00530E9F">
        <w:rPr>
          <w:rFonts w:ascii="Times New Roman" w:hAnsi="Times New Roman" w:cs="Times New Roman"/>
          <w:sz w:val="24"/>
          <w:szCs w:val="24"/>
        </w:rPr>
        <w:fldChar w:fldCharType="begin"/>
      </w:r>
      <w:r w:rsidR="00530E9F">
        <w:rPr>
          <w:rFonts w:ascii="Times New Roman" w:hAnsi="Times New Roman" w:cs="Times New Roman"/>
          <w:sz w:val="24"/>
          <w:szCs w:val="24"/>
        </w:rPr>
        <w:instrText xml:space="preserve"> REF _Ref232597550 \r \h </w:instrText>
      </w:r>
      <w:r w:rsidR="00530E9F">
        <w:rPr>
          <w:rFonts w:ascii="Times New Roman" w:hAnsi="Times New Roman" w:cs="Times New Roman"/>
          <w:sz w:val="24"/>
          <w:szCs w:val="24"/>
        </w:rPr>
      </w:r>
      <w:r w:rsidR="00530E9F">
        <w:rPr>
          <w:rFonts w:ascii="Times New Roman" w:hAnsi="Times New Roman" w:cs="Times New Roman"/>
          <w:sz w:val="24"/>
          <w:szCs w:val="24"/>
        </w:rPr>
        <w:fldChar w:fldCharType="separate"/>
      </w:r>
      <w:r w:rsidR="008F29E5">
        <w:rPr>
          <w:rFonts w:ascii="Times New Roman" w:hAnsi="Times New Roman" w:cs="Times New Roman"/>
          <w:sz w:val="24"/>
          <w:szCs w:val="24"/>
        </w:rPr>
        <w:t>§ 75</w:t>
      </w:r>
      <w:r w:rsidR="00530E9F">
        <w:rPr>
          <w:rFonts w:ascii="Times New Roman" w:hAnsi="Times New Roman" w:cs="Times New Roman"/>
          <w:sz w:val="24"/>
          <w:szCs w:val="24"/>
        </w:rPr>
        <w:fldChar w:fldCharType="end"/>
      </w:r>
      <w:r w:rsidR="00530E9F">
        <w:rPr>
          <w:rFonts w:ascii="Times New Roman" w:hAnsi="Times New Roman" w:cs="Times New Roman"/>
          <w:sz w:val="24"/>
          <w:szCs w:val="24"/>
        </w:rPr>
        <w:t xml:space="preserve"> </w:t>
      </w:r>
      <w:r w:rsidRPr="00796736">
        <w:rPr>
          <w:rFonts w:ascii="Times New Roman" w:hAnsi="Times New Roman" w:cs="Times New Roman"/>
          <w:sz w:val="24"/>
          <w:szCs w:val="24"/>
        </w:rPr>
        <w:t>kan straffes med bøde, medmindre højere straf er forskyldt efter øvrig lovgivning</w:t>
      </w:r>
      <w:r w:rsidR="00530E9F">
        <w:rPr>
          <w:rFonts w:ascii="Times New Roman" w:hAnsi="Times New Roman" w:cs="Times New Roman"/>
          <w:sz w:val="24"/>
          <w:szCs w:val="24"/>
        </w:rPr>
        <w:t>,</w:t>
      </w:r>
      <w:r w:rsidR="00530E9F" w:rsidRPr="00530E9F">
        <w:rPr>
          <w:rFonts w:ascii="Times New Roman" w:hAnsi="Times New Roman" w:cs="Times New Roman"/>
          <w:sz w:val="24"/>
          <w:szCs w:val="24"/>
        </w:rPr>
        <w:t xml:space="preserve"> </w:t>
      </w:r>
      <w:r w:rsidR="00530E9F" w:rsidRPr="00A9036D">
        <w:rPr>
          <w:rFonts w:ascii="Times New Roman" w:hAnsi="Times New Roman" w:cs="Times New Roman"/>
          <w:sz w:val="24"/>
          <w:szCs w:val="24"/>
        </w:rPr>
        <w:t xml:space="preserve">jf. lovforslagets </w:t>
      </w:r>
      <w:r w:rsidR="00530E9F">
        <w:rPr>
          <w:rFonts w:ascii="Times New Roman" w:hAnsi="Times New Roman" w:cs="Times New Roman"/>
          <w:sz w:val="24"/>
          <w:szCs w:val="24"/>
        </w:rPr>
        <w:fldChar w:fldCharType="begin"/>
      </w:r>
      <w:r w:rsidR="00530E9F">
        <w:rPr>
          <w:rFonts w:ascii="Times New Roman" w:hAnsi="Times New Roman" w:cs="Times New Roman"/>
          <w:sz w:val="24"/>
          <w:szCs w:val="24"/>
        </w:rPr>
        <w:instrText xml:space="preserve"> REF _Ref242963797 \r \h </w:instrText>
      </w:r>
      <w:r w:rsidR="00530E9F">
        <w:rPr>
          <w:rFonts w:ascii="Times New Roman" w:hAnsi="Times New Roman" w:cs="Times New Roman"/>
          <w:sz w:val="24"/>
          <w:szCs w:val="24"/>
        </w:rPr>
      </w:r>
      <w:r w:rsidR="00530E9F">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530E9F">
        <w:rPr>
          <w:rFonts w:ascii="Times New Roman" w:hAnsi="Times New Roman" w:cs="Times New Roman"/>
          <w:sz w:val="24"/>
          <w:szCs w:val="24"/>
        </w:rPr>
        <w:fldChar w:fldCharType="end"/>
      </w:r>
      <w:r w:rsidR="00530E9F" w:rsidRPr="00A9036D">
        <w:rPr>
          <w:rFonts w:ascii="Times New Roman" w:hAnsi="Times New Roman" w:cs="Times New Roman"/>
          <w:sz w:val="24"/>
          <w:szCs w:val="24"/>
        </w:rPr>
        <w:t>.</w:t>
      </w:r>
      <w:r w:rsidRPr="00796736">
        <w:rPr>
          <w:rFonts w:ascii="Times New Roman" w:hAnsi="Times New Roman" w:cs="Times New Roman"/>
          <w:sz w:val="24"/>
          <w:szCs w:val="24"/>
        </w:rPr>
        <w:t xml:space="preserve"> </w:t>
      </w:r>
    </w:p>
    <w:p w14:paraId="3286F93A" w14:textId="77777777" w:rsidR="00327FF0" w:rsidRPr="00796736" w:rsidRDefault="00327FF0" w:rsidP="00A802A5">
      <w:pPr>
        <w:spacing w:line="360" w:lineRule="auto"/>
        <w:rPr>
          <w:rFonts w:ascii="Times New Roman" w:hAnsi="Times New Roman" w:cs="Times New Roman"/>
          <w:sz w:val="24"/>
          <w:szCs w:val="24"/>
        </w:rPr>
      </w:pPr>
    </w:p>
    <w:p w14:paraId="7F1404B4"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Ansvarssubjektet i forhold til bestemmelsen er den virksomhed, som er omfattet af stk. 1. Det betyder, at en virksomhed omfattet af stk. 1, og som kommenterer på reaktionen m.v., dommen eller bødevedtagelsen efter stk. 1-3, og som undlader at gøre det i forlængelse heraf, eller hvor kommentarerne ikke er klart adskilt fra reaktion m.v., dommen, bødevedtagelsen eller resumeet, kan straffes med bøde.</w:t>
      </w:r>
    </w:p>
    <w:p w14:paraId="3E05570A" w14:textId="77777777" w:rsidR="00327FF0" w:rsidRPr="00796736" w:rsidRDefault="00327FF0" w:rsidP="00A802A5">
      <w:pPr>
        <w:spacing w:line="360" w:lineRule="auto"/>
        <w:rPr>
          <w:rFonts w:ascii="Times New Roman" w:hAnsi="Times New Roman" w:cs="Times New Roman"/>
          <w:sz w:val="24"/>
          <w:szCs w:val="24"/>
        </w:rPr>
      </w:pPr>
    </w:p>
    <w:p w14:paraId="6DE8F8F7" w14:textId="0D4412C4"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w:t>
      </w:r>
      <w:r w:rsidR="00530E9F">
        <w:rPr>
          <w:rFonts w:ascii="Times New Roman" w:hAnsi="Times New Roman" w:cs="Times New Roman"/>
          <w:sz w:val="24"/>
          <w:szCs w:val="24"/>
        </w:rPr>
        <w:t xml:space="preserve"> den gældende</w:t>
      </w:r>
      <w:r w:rsidRPr="00796736">
        <w:rPr>
          <w:rFonts w:ascii="Times New Roman" w:hAnsi="Times New Roman" w:cs="Times New Roman"/>
          <w:sz w:val="24"/>
          <w:szCs w:val="24"/>
        </w:rPr>
        <w:t xml:space="preserve"> § 55, stk. 5, 7. pkt., i hvidvaskloven skal virksomheden give meddelelse til Finanstilsynet om virksomhedens offentliggørelsen efter stk. 5, 3. pkt., herunder fremsende en kopi af dommen eller bødevedtagelsen. Finanstilsynet skal herefter offentliggøre dommen, bødevedtagelsen eller et resumé heraf på sin hjemmeside. </w:t>
      </w:r>
    </w:p>
    <w:p w14:paraId="1DA40FDF" w14:textId="77777777" w:rsidR="00327FF0" w:rsidRPr="00796736" w:rsidRDefault="00327FF0" w:rsidP="00A802A5">
      <w:pPr>
        <w:spacing w:line="360" w:lineRule="auto"/>
        <w:rPr>
          <w:rFonts w:ascii="Times New Roman" w:hAnsi="Times New Roman" w:cs="Times New Roman"/>
          <w:sz w:val="24"/>
          <w:szCs w:val="24"/>
        </w:rPr>
      </w:pPr>
    </w:p>
    <w:p w14:paraId="3A01A678"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6 viderefører § § 55, stk. 5, 7. pkt., i hvidvaskloven med sproglige ændringer. Der er ikke tilsigtet materielle ændringer med bestemmelsen.</w:t>
      </w:r>
    </w:p>
    <w:p w14:paraId="6C5C15DE" w14:textId="77777777" w:rsidR="00327FF0" w:rsidRPr="00796736" w:rsidRDefault="00327FF0" w:rsidP="00A802A5">
      <w:pPr>
        <w:spacing w:line="360" w:lineRule="auto"/>
        <w:rPr>
          <w:rFonts w:ascii="Times New Roman" w:hAnsi="Times New Roman" w:cs="Times New Roman"/>
          <w:sz w:val="24"/>
          <w:szCs w:val="24"/>
        </w:rPr>
      </w:pPr>
    </w:p>
    <w:p w14:paraId="23BFE268"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således i </w:t>
      </w:r>
      <w:r w:rsidRPr="00796736">
        <w:rPr>
          <w:rFonts w:ascii="Times New Roman" w:hAnsi="Times New Roman" w:cs="Times New Roman"/>
          <w:i/>
          <w:iCs/>
          <w:sz w:val="24"/>
          <w:szCs w:val="24"/>
        </w:rPr>
        <w:t>stk. 6, 1. pkt</w:t>
      </w:r>
      <w:r w:rsidRPr="00796736">
        <w:rPr>
          <w:rFonts w:ascii="Times New Roman" w:hAnsi="Times New Roman" w:cs="Times New Roman"/>
          <w:sz w:val="24"/>
          <w:szCs w:val="24"/>
        </w:rPr>
        <w:t xml:space="preserve">., at virksomheden skal give meddelelse til Finanstilsynet om offentliggørelsen efter stk. 1, hvis en sag er overgivet til politimæssig efterforskning og der er faldet helt eller delvis fældende dom eller vedtaget bøde, eller hvis en sag er afgjort med vedtagelse af administrativt bødeforelæg, herunder fremsende en kopi af dommen eller bødevedtagelsen. </w:t>
      </w:r>
    </w:p>
    <w:p w14:paraId="135D73E5" w14:textId="77777777" w:rsidR="00327FF0" w:rsidRPr="00796736" w:rsidRDefault="00327FF0" w:rsidP="00A802A5">
      <w:pPr>
        <w:spacing w:line="360" w:lineRule="auto"/>
        <w:rPr>
          <w:rFonts w:ascii="Times New Roman" w:hAnsi="Times New Roman" w:cs="Times New Roman"/>
          <w:sz w:val="24"/>
          <w:szCs w:val="24"/>
        </w:rPr>
      </w:pPr>
    </w:p>
    <w:p w14:paraId="0333CFF1" w14:textId="77777777" w:rsidR="00327FF0" w:rsidRPr="00796736"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6, 2. pkt.,</w:t>
      </w:r>
      <w:r w:rsidRPr="00796736">
        <w:rPr>
          <w:rFonts w:ascii="Times New Roman" w:hAnsi="Times New Roman" w:cs="Times New Roman"/>
          <w:sz w:val="24"/>
          <w:szCs w:val="24"/>
        </w:rPr>
        <w:t> at Finanstilsynet herefter skal offentliggøre dommen, bødevedtagelsen eller et resumé heraf på sin hjemmeside.</w:t>
      </w:r>
    </w:p>
    <w:p w14:paraId="75BD096B" w14:textId="77777777" w:rsidR="00327FF0" w:rsidRPr="00796736" w:rsidRDefault="00327FF0" w:rsidP="00A802A5">
      <w:pPr>
        <w:spacing w:line="360" w:lineRule="auto"/>
        <w:rPr>
          <w:rFonts w:ascii="Times New Roman" w:hAnsi="Times New Roman" w:cs="Times New Roman"/>
          <w:sz w:val="24"/>
          <w:szCs w:val="24"/>
        </w:rPr>
      </w:pPr>
    </w:p>
    <w:p w14:paraId="530E02EA" w14:textId="77777777" w:rsidR="00530E9F" w:rsidRDefault="00327FF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Overtrædelse af bestemmelsen kan straffes med bøde, medmindre højere straf er forskyldt efter øvrig lovgivning</w:t>
      </w:r>
    </w:p>
    <w:p w14:paraId="260410E6" w14:textId="77777777" w:rsidR="00530E9F" w:rsidRDefault="00530E9F" w:rsidP="00A802A5">
      <w:pPr>
        <w:spacing w:line="360" w:lineRule="auto"/>
        <w:rPr>
          <w:rFonts w:ascii="Times New Roman" w:hAnsi="Times New Roman" w:cs="Times New Roman"/>
          <w:sz w:val="24"/>
          <w:szCs w:val="24"/>
        </w:rPr>
      </w:pPr>
    </w:p>
    <w:p w14:paraId="54C6F77D" w14:textId="5810DD3E" w:rsidR="003E5AB6" w:rsidRPr="00A9036D" w:rsidRDefault="003E5AB6" w:rsidP="003E5AB6">
      <w:pPr>
        <w:spacing w:line="360" w:lineRule="auto"/>
        <w:rPr>
          <w:rFonts w:ascii="Times New Roman" w:hAnsi="Times New Roman" w:cs="Times New Roman"/>
          <w:sz w:val="24"/>
          <w:szCs w:val="24"/>
        </w:rPr>
      </w:pPr>
      <w:r w:rsidRPr="00A9036D">
        <w:rPr>
          <w:rFonts w:ascii="Times New Roman" w:hAnsi="Times New Roman" w:cs="Times New Roman"/>
          <w:sz w:val="24"/>
          <w:szCs w:val="24"/>
        </w:rPr>
        <w:t>Overtrædelse af bestemmelsen kan straffes med bøde, medmindre højere straf er forskyldt efter øvrig lovgivning Overtrædelse af bestemmelsen kan straffes med bøde, medmindre højere straf er forskyldt efter øvrig lovgivning</w:t>
      </w:r>
      <w:r>
        <w:rPr>
          <w:rFonts w:ascii="Times New Roman" w:hAnsi="Times New Roman" w:cs="Times New Roman"/>
          <w:sz w:val="24"/>
          <w:szCs w:val="24"/>
        </w:rPr>
        <w:t>,</w:t>
      </w:r>
      <w:r w:rsidRPr="00A9036D">
        <w:rPr>
          <w:rFonts w:ascii="Times New Roman" w:hAnsi="Times New Roman" w:cs="Times New Roman"/>
          <w:sz w:val="24"/>
          <w:szCs w:val="24"/>
        </w:rPr>
        <w:t xml:space="preserve"> jf. lovforslagets § 139. </w:t>
      </w:r>
    </w:p>
    <w:p w14:paraId="701167A0" w14:textId="77777777" w:rsidR="003E5AB6" w:rsidRPr="00A9036D" w:rsidRDefault="003E5AB6" w:rsidP="003E5AB6">
      <w:pPr>
        <w:spacing w:line="360" w:lineRule="auto"/>
        <w:rPr>
          <w:rFonts w:ascii="Times New Roman" w:hAnsi="Times New Roman" w:cs="Times New Roman"/>
          <w:sz w:val="24"/>
          <w:szCs w:val="24"/>
        </w:rPr>
      </w:pPr>
    </w:p>
    <w:p w14:paraId="5D29B325" w14:textId="095F48AA" w:rsidR="003E5AB6" w:rsidRPr="00A9036D" w:rsidRDefault="003E5AB6" w:rsidP="003E5AB6">
      <w:pPr>
        <w:spacing w:line="360" w:lineRule="auto"/>
        <w:rPr>
          <w:rFonts w:ascii="Times New Roman" w:hAnsi="Times New Roman" w:cs="Times New Roman"/>
          <w:sz w:val="24"/>
          <w:szCs w:val="24"/>
        </w:rPr>
      </w:pPr>
      <w:r w:rsidRPr="00A9036D">
        <w:rPr>
          <w:rFonts w:ascii="Times New Roman" w:hAnsi="Times New Roman" w:cs="Times New Roman"/>
          <w:sz w:val="24"/>
          <w:szCs w:val="24"/>
        </w:rPr>
        <w:t>Ansvarssubjektet i forhold til overtrædelse af bestemmelsen er den virksomhed, som er omfattet af stk. 1. Det betyder, at en virksomhed omfattet af stk. 1, som undlader at give meddelelse til Finanstilsynet om offentliggørelse efter stk. 1, hvis en sag er overgivet til politimæssig efterforskning, og der er faldet helt eller delvis fældende dom eller vedtaget bøde, eller hvis en sag er afgjort med vedtagelse af administrativt bødeforelæg, kan straffes med bøde. Det betyder også, at en virksomhed omfattet af stk. 1, som undlader at fremsende en kopi af dommen eller bødevedtagelsen, kan straffes med bøde.</w:t>
      </w:r>
    </w:p>
    <w:p w14:paraId="7B3CC093" w14:textId="66C41429" w:rsidR="00327FF0" w:rsidRPr="00796736" w:rsidRDefault="00327FF0" w:rsidP="00F17E1A">
      <w:pPr>
        <w:spacing w:line="360" w:lineRule="auto"/>
        <w:rPr>
          <w:rFonts w:ascii="Times New Roman" w:hAnsi="Times New Roman" w:cs="Times New Roman"/>
          <w:sz w:val="24"/>
          <w:szCs w:val="24"/>
        </w:rPr>
      </w:pPr>
    </w:p>
    <w:p w14:paraId="6035150D" w14:textId="77777777" w:rsidR="00834485" w:rsidRPr="00796736" w:rsidRDefault="00834485" w:rsidP="00A802A5">
      <w:pPr>
        <w:spacing w:line="360" w:lineRule="auto"/>
        <w:jc w:val="center"/>
        <w:rPr>
          <w:rFonts w:ascii="Times New Roman" w:hAnsi="Times New Roman" w:cs="Times New Roman"/>
          <w:i/>
          <w:iCs/>
          <w:sz w:val="24"/>
          <w:szCs w:val="24"/>
        </w:rPr>
      </w:pPr>
    </w:p>
    <w:p w14:paraId="703EE33B" w14:textId="06F7418D" w:rsidR="00653200" w:rsidRPr="00796736" w:rsidRDefault="00653200" w:rsidP="00A802A5">
      <w:pPr>
        <w:pStyle w:val="Undertitel"/>
      </w:pPr>
      <w:bookmarkStart w:id="2086" w:name="_Toc232109408"/>
      <w:bookmarkStart w:id="2087" w:name="_Toc244879372"/>
      <w:bookmarkStart w:id="2088" w:name="_Toc244880897"/>
      <w:r w:rsidRPr="00796736">
        <w:t xml:space="preserve">Til </w:t>
      </w:r>
      <w:r w:rsidR="00850B44" w:rsidRPr="00796736">
        <w:fldChar w:fldCharType="begin"/>
      </w:r>
      <w:r w:rsidR="00850B44" w:rsidRPr="00796736">
        <w:instrText xml:space="preserve"> REF _Ref232597582 \r \h </w:instrText>
      </w:r>
      <w:r w:rsidR="00967618" w:rsidRPr="00796736">
        <w:instrText xml:space="preserve"> \* MERGEFORMAT </w:instrText>
      </w:r>
      <w:r w:rsidR="00850B44" w:rsidRPr="00796736">
        <w:fldChar w:fldCharType="separate"/>
      </w:r>
      <w:r w:rsidR="008F29E5">
        <w:t>§ 76</w:t>
      </w:r>
      <w:bookmarkEnd w:id="2087"/>
      <w:bookmarkEnd w:id="2088"/>
      <w:r w:rsidR="00850B44" w:rsidRPr="00796736">
        <w:fldChar w:fldCharType="end"/>
      </w:r>
      <w:bookmarkEnd w:id="2086"/>
    </w:p>
    <w:p w14:paraId="37A04F89"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56 fastslår, at Finanstilsynets ansatte under ansvar efter straffelovens §§ 152-152 e er forpligtet til at hemmeligholde fortrolige oplysninger, som de får kendskab til gennem tilsynsvirksomheden, og fortrolige oplysninger, som de får kendskab til fra Finansiel Stabilitet. Det samme gælder personer, der udfører serviceopgaver som led i Finanstilsynets drift, samt eksperter, der handler på Finanstilsynets vegne. Dette gælder også efter ansættelses- eller kontraktforholdets ophør. </w:t>
      </w:r>
    </w:p>
    <w:p w14:paraId="1C18136A" w14:textId="77777777" w:rsidR="00653200" w:rsidRPr="00796736" w:rsidRDefault="00653200" w:rsidP="00A802A5">
      <w:pPr>
        <w:spacing w:line="360" w:lineRule="auto"/>
        <w:rPr>
          <w:rFonts w:ascii="Times New Roman" w:hAnsi="Times New Roman" w:cs="Times New Roman"/>
          <w:sz w:val="24"/>
          <w:szCs w:val="24"/>
        </w:rPr>
      </w:pPr>
    </w:p>
    <w:p w14:paraId="62AD7869"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er i høj grad baseret på et ønske om at beskytte virksomhedernes kunder, det være sig privatpersoner eller erhvervskunder. Hertil kommer et ønske om af konkurrencemæssige grunde at beskytte virksomhedernes forretningsmæssige forhold. Herudover er Finanstilsynets tavshedspligt en afgørende betingelse for den tilsynsmæssige effektivitet. For at Finanstilsynet kan få alle nødvendige oplysninger i en given sag, må virksomhederne og kunderne kunne nære tillid til, at Finanstilsynet ikke videregiver fortrolige oplysninger. </w:t>
      </w:r>
    </w:p>
    <w:p w14:paraId="33F1491C" w14:textId="77777777" w:rsidR="00653200" w:rsidRPr="00796736" w:rsidRDefault="00653200" w:rsidP="00A802A5">
      <w:pPr>
        <w:spacing w:line="360" w:lineRule="auto"/>
        <w:rPr>
          <w:rFonts w:ascii="Times New Roman" w:hAnsi="Times New Roman" w:cs="Times New Roman"/>
          <w:sz w:val="24"/>
          <w:szCs w:val="24"/>
        </w:rPr>
      </w:pPr>
    </w:p>
    <w:p w14:paraId="4A8E7F67" w14:textId="089E5A65" w:rsidR="00653200" w:rsidRPr="00796736" w:rsidRDefault="00653200" w:rsidP="00A802A5">
      <w:pPr>
        <w:spacing w:line="360" w:lineRule="auto"/>
        <w:rPr>
          <w:rFonts w:ascii="Times New Roman" w:eastAsia="Calibri" w:hAnsi="Times New Roman" w:cs="Times New Roman"/>
          <w:sz w:val="24"/>
          <w:szCs w:val="24"/>
        </w:rPr>
      </w:pPr>
      <w:bookmarkStart w:id="2089" w:name="_Hlk221019878"/>
      <w:r w:rsidRPr="00796736">
        <w:rPr>
          <w:rFonts w:ascii="Times New Roman" w:eastAsia="Calibri" w:hAnsi="Times New Roman" w:cs="Times New Roman"/>
          <w:sz w:val="24"/>
          <w:szCs w:val="24"/>
        </w:rPr>
        <w:t xml:space="preserve">Den foreslående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eastAsia="Calibri" w:hAnsi="Times New Roman" w:cs="Times New Roman"/>
          <w:sz w:val="24"/>
          <w:szCs w:val="24"/>
        </w:rPr>
        <w:t xml:space="preserve">, stk. 1, viderefører i vidt omfang indholdet af § 56 i den gældende hvidvasklov. </w:t>
      </w:r>
      <w:r w:rsidRPr="00796736">
        <w:rPr>
          <w:rFonts w:ascii="Times New Roman" w:hAnsi="Times New Roman" w:cs="Times New Roman"/>
          <w:color w:val="09090B"/>
          <w:sz w:val="24"/>
          <w:szCs w:val="24"/>
          <w:shd w:val="clear" w:color="auto" w:fill="FFFFFF"/>
        </w:rPr>
        <w:t xml:space="preserve"> </w:t>
      </w:r>
    </w:p>
    <w:p w14:paraId="57BA7027" w14:textId="77777777" w:rsidR="00653200" w:rsidRPr="00796736" w:rsidRDefault="00653200" w:rsidP="00A802A5">
      <w:pPr>
        <w:spacing w:line="360" w:lineRule="auto"/>
        <w:rPr>
          <w:rFonts w:ascii="Times New Roman" w:hAnsi="Times New Roman" w:cs="Times New Roman"/>
          <w:sz w:val="24"/>
          <w:szCs w:val="24"/>
        </w:rPr>
      </w:pPr>
    </w:p>
    <w:bookmarkEnd w:id="2089"/>
    <w:p w14:paraId="266D6AED"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artikel 44, artikel 51, stk. 1, og artikel 67 og 68 i 6. hvidvaskdirektiv.</w:t>
      </w:r>
    </w:p>
    <w:p w14:paraId="4EABC902" w14:textId="77777777" w:rsidR="00653200" w:rsidRPr="00796736" w:rsidRDefault="00653200" w:rsidP="00A802A5">
      <w:pPr>
        <w:spacing w:line="360" w:lineRule="auto"/>
        <w:rPr>
          <w:rFonts w:ascii="Times New Roman" w:hAnsi="Times New Roman" w:cs="Times New Roman"/>
          <w:sz w:val="24"/>
          <w:szCs w:val="24"/>
        </w:rPr>
      </w:pPr>
    </w:p>
    <w:p w14:paraId="2F4B336F"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1. pkt</w:t>
      </w:r>
      <w:r w:rsidRPr="00796736">
        <w:rPr>
          <w:rFonts w:ascii="Times New Roman" w:hAnsi="Times New Roman" w:cs="Times New Roman"/>
          <w:sz w:val="24"/>
          <w:szCs w:val="24"/>
        </w:rPr>
        <w:t xml:space="preserve">., at Finanstilsynets ansatte under ansvar efter straffelovens §§ 152-152 e er forpligtet til at hemmeligholde fortrolige oplysninger, som de får kendskab til gennem tilsynsvirksomheden. </w:t>
      </w:r>
    </w:p>
    <w:p w14:paraId="7300FDC4" w14:textId="77777777" w:rsidR="00653200" w:rsidRPr="00796736" w:rsidRDefault="00653200" w:rsidP="00A802A5">
      <w:pPr>
        <w:spacing w:line="360" w:lineRule="auto"/>
        <w:rPr>
          <w:rFonts w:ascii="Times New Roman" w:hAnsi="Times New Roman" w:cs="Times New Roman"/>
          <w:sz w:val="24"/>
          <w:szCs w:val="24"/>
        </w:rPr>
      </w:pPr>
    </w:p>
    <w:p w14:paraId="08143D3F"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efter bestemmelsen omfatter også oplysninger, som Finanstilsynet modtager fra udenlandske myndigheder. </w:t>
      </w:r>
    </w:p>
    <w:p w14:paraId="0B7E42E0" w14:textId="77777777" w:rsidR="00653200" w:rsidRPr="00796736" w:rsidRDefault="00653200" w:rsidP="00A802A5">
      <w:pPr>
        <w:spacing w:line="360" w:lineRule="auto"/>
        <w:rPr>
          <w:rFonts w:ascii="Times New Roman" w:hAnsi="Times New Roman" w:cs="Times New Roman"/>
          <w:sz w:val="24"/>
          <w:szCs w:val="24"/>
        </w:rPr>
      </w:pPr>
    </w:p>
    <w:p w14:paraId="05D84C91"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Oplysninger, som Finanstilsynet modtager i forbindelse med sin reguleringsvirksomhed og sin informationsvirksomhed, er ikke er omfattet af Finanstilsynets tavshedspligt. Fortrolighed i relation til disse dele af Finanstilsynets virksomhed alene skal vurderes i forhold til lov om offentlighed i forvaltningen og forvaltningsloven.</w:t>
      </w:r>
    </w:p>
    <w:p w14:paraId="55FE0B33" w14:textId="77777777" w:rsidR="00653200" w:rsidRPr="00796736" w:rsidRDefault="00653200" w:rsidP="00A802A5">
      <w:pPr>
        <w:spacing w:line="360" w:lineRule="auto"/>
        <w:rPr>
          <w:rFonts w:ascii="Times New Roman" w:hAnsi="Times New Roman" w:cs="Times New Roman"/>
          <w:sz w:val="24"/>
          <w:szCs w:val="24"/>
        </w:rPr>
      </w:pPr>
    </w:p>
    <w:p w14:paraId="0E008A08"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fortrolige oplysninger forstås oplysninger om en finansiel virksomheds forretningsmæssige forhold og kunders forhold samt andre oplysninger, som efter deres karakter er fortrolige. Oplysninger, som efter deres karakter er offentlige, f.eks. regnskaber og fondsbørsmeddelelser, er ikke omfattet af tavshedspligten. Tilsvarende gælder oprindeligt fortrolige oplysninger, som uden om tilsynet er blevet offentliggjort ad andre kanaler i en grad, at det er blevet almindeligt kendt. </w:t>
      </w:r>
    </w:p>
    <w:p w14:paraId="45BC1AF7" w14:textId="77777777" w:rsidR="00653200" w:rsidRPr="00796736" w:rsidRDefault="00653200" w:rsidP="00A802A5">
      <w:pPr>
        <w:spacing w:line="360" w:lineRule="auto"/>
        <w:rPr>
          <w:rFonts w:ascii="Times New Roman" w:hAnsi="Times New Roman" w:cs="Times New Roman"/>
          <w:sz w:val="24"/>
          <w:szCs w:val="24"/>
        </w:rPr>
      </w:pPr>
    </w:p>
    <w:p w14:paraId="5C634933"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oplysninger, der efter deres karakter er fortrolige forstås oplysninger, der ikke direkte relaterer sig til enkelte kunders eller virksomheders forhold. Det drejer sig bl.a. om oplysninger om økonomiske eller forretningsmæssige forhold for personer og selskaber, som ikke er kunder i egentlig forstand, men som f.eks. kautionerer for kunder, har ejerandele i den finansielle virksomheds kunder eller på anden vis har en personlig, økonomisk eller forretningsmæssig tilknytning til kunder uden selv at være det. </w:t>
      </w:r>
    </w:p>
    <w:p w14:paraId="67FC10B4" w14:textId="77777777" w:rsidR="00653200" w:rsidRPr="00796736" w:rsidRDefault="00653200" w:rsidP="00A802A5">
      <w:pPr>
        <w:spacing w:line="360" w:lineRule="auto"/>
        <w:rPr>
          <w:rFonts w:ascii="Times New Roman" w:hAnsi="Times New Roman" w:cs="Times New Roman"/>
          <w:sz w:val="24"/>
          <w:szCs w:val="24"/>
        </w:rPr>
      </w:pPr>
    </w:p>
    <w:p w14:paraId="4C19A7CD" w14:textId="0F7C9D18"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Begrebet tilsynsvirksomhed skal ses i forhold til de pligter, der er pålagt Finanstilsynet i kapitel 22 om tilsyn i lov om finansiel virksomhed. Det medfører bl.a., at sager, der relaterer sig til tilsynsforpligtelsen i 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_Ref232597035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hvorefter Finanstilsynet påser overholdelsen af loven og regler udstedt i medfør heraf, samt undersøgelser efter 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_Ref232597202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61</w:t>
      </w:r>
      <w:r w:rsidR="00795FD0" w:rsidRPr="00796736">
        <w:rPr>
          <w:rFonts w:ascii="Times New Roman" w:hAnsi="Times New Roman" w:cs="Times New Roman"/>
          <w:sz w:val="24"/>
          <w:szCs w:val="24"/>
        </w:rPr>
        <w:fldChar w:fldCharType="end"/>
      </w:r>
      <w:r w:rsidR="00795FD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er omfattet af tilsynsvirksomheden. I modsætning hertil er oplysninger, som Finanstilsynet modtager som led i sin reguleringsvirksomhed og informationsvirksomhed, ikke omfattet. Udstedelse af bekendtgørelser med hjemmel i loven er ikke omfattet af tilsynsvirksomheden, ligesom udarbejdelse af årsberetningen er en del af informationsvirksomheden. </w:t>
      </w:r>
    </w:p>
    <w:p w14:paraId="0F473838" w14:textId="77777777" w:rsidR="00653200" w:rsidRPr="00796736" w:rsidRDefault="00653200" w:rsidP="00A802A5">
      <w:pPr>
        <w:spacing w:line="360" w:lineRule="auto"/>
        <w:rPr>
          <w:rFonts w:ascii="Times New Roman" w:hAnsi="Times New Roman" w:cs="Times New Roman"/>
          <w:sz w:val="24"/>
          <w:szCs w:val="24"/>
        </w:rPr>
      </w:pPr>
    </w:p>
    <w:p w14:paraId="3A448087"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Adgangen til aktindsigt i Finanstilsynets sager efter offentlighedsloven begrænses af Finanstilsynets tavshedspligt, jf. § 14, 1. pkt., og § 35 i lov om offentlighed i forvaltningen. </w:t>
      </w:r>
    </w:p>
    <w:p w14:paraId="7103A01E" w14:textId="77777777" w:rsidR="00653200" w:rsidRPr="00796736" w:rsidRDefault="00653200" w:rsidP="00A802A5">
      <w:pPr>
        <w:spacing w:line="360" w:lineRule="auto"/>
        <w:rPr>
          <w:rFonts w:ascii="Times New Roman" w:hAnsi="Times New Roman" w:cs="Times New Roman"/>
          <w:sz w:val="24"/>
          <w:szCs w:val="24"/>
        </w:rPr>
      </w:pPr>
    </w:p>
    <w:p w14:paraId="3322A060"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skærpede tavshedspligt indebærer, at det er strafbart for tilsynets medarbejdere at videregive fortrolige oplysninger om tilsynsarbejdet. I medfør af reglerne i offentlighedslovens § 35 er der ikke adgang til aktindsigt i tilsynssager, idet retten til aktindsigt er begrænset af særlige tavshedspligtbestemmelser i særlovgivningen. Bestemmelsen indebærer, at oplysninger i et dokument, der er omfattet af en særlig tavshedspligt, kan undtages fra aktindsigt.</w:t>
      </w:r>
    </w:p>
    <w:p w14:paraId="526F57EB" w14:textId="77777777" w:rsidR="00653200" w:rsidRPr="00796736" w:rsidRDefault="00653200" w:rsidP="00A802A5">
      <w:pPr>
        <w:spacing w:line="360" w:lineRule="auto"/>
        <w:rPr>
          <w:rFonts w:ascii="Times New Roman" w:hAnsi="Times New Roman" w:cs="Times New Roman"/>
          <w:sz w:val="24"/>
          <w:szCs w:val="24"/>
        </w:rPr>
      </w:pPr>
    </w:p>
    <w:p w14:paraId="148CB26F" w14:textId="2686D6A8"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dog udelukkende adgangen til aktindsigt efter offentlighedsloven, der er begrænset. Parters rettigheder, herunder adgang til aktindsigt, skal afgøres efter forvaltningsloven. Afgørelse af, hvem der er part i forhold til Finanstilsynet, træffes efter 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_Ref232949113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130</w:t>
      </w:r>
      <w:r w:rsidR="00795FD0" w:rsidRPr="00796736">
        <w:rPr>
          <w:rFonts w:ascii="Times New Roman" w:hAnsi="Times New Roman" w:cs="Times New Roman"/>
          <w:sz w:val="24"/>
          <w:szCs w:val="24"/>
        </w:rPr>
        <w:fldChar w:fldCharType="end"/>
      </w:r>
      <w:r w:rsidR="006C4306" w:rsidRPr="00796736">
        <w:rPr>
          <w:rFonts w:ascii="Times New Roman" w:hAnsi="Times New Roman" w:cs="Times New Roman"/>
          <w:sz w:val="24"/>
          <w:szCs w:val="24"/>
        </w:rPr>
        <w:t>.</w:t>
      </w:r>
    </w:p>
    <w:p w14:paraId="3199D8B1" w14:textId="77777777" w:rsidR="00AC2631" w:rsidRPr="00796736" w:rsidRDefault="00AC2631" w:rsidP="00A802A5">
      <w:pPr>
        <w:spacing w:line="360" w:lineRule="auto"/>
        <w:rPr>
          <w:rFonts w:ascii="Times New Roman" w:hAnsi="Times New Roman" w:cs="Times New Roman"/>
          <w:sz w:val="24"/>
          <w:szCs w:val="24"/>
        </w:rPr>
      </w:pPr>
    </w:p>
    <w:p w14:paraId="7E86B2E3" w14:textId="338D28F1" w:rsidR="00AC2631" w:rsidRPr="00796736" w:rsidRDefault="00AC26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vil indebære, at pligten til at meddele oplysninger efter bestemmelsen begrænses af særlige bestemmelser om tavshedspligt fastsat ved lov eller med hjemmel i lov for personer, der virker i offentlig tjeneste eller hverv, jf. § 35 i offentlighedsloven. Behandling af sådanne sager vil således skulle ske under iagttagelse af de regler om tavshedspligt, der gælder for Finanstilsynet. Se nærmere herom i de almindelige bemærkninger pkt. 4.2.</w:t>
      </w:r>
    </w:p>
    <w:p w14:paraId="74A5FA8D" w14:textId="77777777" w:rsidR="00653200" w:rsidRPr="00796736" w:rsidRDefault="00653200" w:rsidP="00A802A5">
      <w:pPr>
        <w:spacing w:line="360" w:lineRule="auto"/>
        <w:rPr>
          <w:rFonts w:ascii="Times New Roman" w:hAnsi="Times New Roman" w:cs="Times New Roman"/>
          <w:sz w:val="24"/>
          <w:szCs w:val="24"/>
        </w:rPr>
      </w:pPr>
    </w:p>
    <w:p w14:paraId="1E89F633"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2. pkt.</w:t>
      </w:r>
      <w:r w:rsidRPr="00796736">
        <w:rPr>
          <w:rFonts w:ascii="Times New Roman" w:hAnsi="Times New Roman" w:cs="Times New Roman"/>
          <w:sz w:val="24"/>
          <w:szCs w:val="24"/>
        </w:rPr>
        <w:t>, at personer, der er ansat i virksomheder, som Finanstilsynet har indgået kontrakt med om udførelsen af serviceopgaver som led i Finanstilsynets drift, også er omfattet af bestemmelsen om tavshedspligt.</w:t>
      </w:r>
    </w:p>
    <w:p w14:paraId="2DB6C97C" w14:textId="77777777" w:rsidR="00653200" w:rsidRPr="00796736" w:rsidRDefault="00653200" w:rsidP="00A802A5">
      <w:pPr>
        <w:spacing w:line="360" w:lineRule="auto"/>
        <w:rPr>
          <w:rFonts w:ascii="Times New Roman" w:hAnsi="Times New Roman" w:cs="Times New Roman"/>
          <w:sz w:val="24"/>
          <w:szCs w:val="24"/>
        </w:rPr>
      </w:pPr>
    </w:p>
    <w:p w14:paraId="585C7469"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Serviceopgaver som led i driften vil f.eks. være rengøring, vagttjeneste, reparation og vedligeholdelse af elektronisk materiel og kantinedrift.</w:t>
      </w:r>
    </w:p>
    <w:p w14:paraId="6DEABC3B" w14:textId="77777777" w:rsidR="00653200" w:rsidRPr="00796736" w:rsidRDefault="00653200" w:rsidP="00A802A5">
      <w:pPr>
        <w:spacing w:line="360" w:lineRule="auto"/>
        <w:rPr>
          <w:rFonts w:ascii="Times New Roman" w:hAnsi="Times New Roman" w:cs="Times New Roman"/>
          <w:sz w:val="24"/>
          <w:szCs w:val="24"/>
        </w:rPr>
      </w:pPr>
    </w:p>
    <w:p w14:paraId="61440656"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3. pkt.</w:t>
      </w:r>
      <w:r w:rsidRPr="00796736">
        <w:rPr>
          <w:rFonts w:ascii="Times New Roman" w:hAnsi="Times New Roman" w:cs="Times New Roman"/>
          <w:sz w:val="24"/>
          <w:szCs w:val="24"/>
        </w:rPr>
        <w:t>, at den udvidede tavshedspligt ligeledes også gælder efter ansættelses- eller kontraktforholdets ophør.</w:t>
      </w:r>
    </w:p>
    <w:p w14:paraId="09B40875" w14:textId="77777777" w:rsidR="00653200" w:rsidRPr="00796736" w:rsidRDefault="00653200" w:rsidP="00A802A5">
      <w:pPr>
        <w:spacing w:line="360" w:lineRule="auto"/>
        <w:rPr>
          <w:rFonts w:ascii="Times New Roman" w:hAnsi="Times New Roman" w:cs="Times New Roman"/>
          <w:sz w:val="24"/>
          <w:szCs w:val="24"/>
        </w:rPr>
      </w:pPr>
    </w:p>
    <w:p w14:paraId="5AB5239B"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at samtykke fra den, som tavshedspligten tilsigter at beskytte, berettiger ikke de personer, der er nævnt i stk. 1, til at videregive fortrolige oplysninger.</w:t>
      </w:r>
    </w:p>
    <w:p w14:paraId="7223C680" w14:textId="77777777" w:rsidR="00653200" w:rsidRPr="00796736" w:rsidRDefault="00653200" w:rsidP="00A802A5">
      <w:pPr>
        <w:spacing w:line="360" w:lineRule="auto"/>
        <w:rPr>
          <w:rFonts w:ascii="Times New Roman" w:hAnsi="Times New Roman" w:cs="Times New Roman"/>
          <w:sz w:val="24"/>
          <w:szCs w:val="24"/>
        </w:rPr>
      </w:pPr>
    </w:p>
    <w:p w14:paraId="61830A7E"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indebærer, at Finanstilsynets tavshedspligt ikke ophæves, selvom den, som tavshedspligten tilsigter at beskytte, giver samtykke til, at Finanstilsynet kan videregive oplysninger. </w:t>
      </w:r>
    </w:p>
    <w:p w14:paraId="7B36767C" w14:textId="77777777" w:rsidR="00653200" w:rsidRPr="00796736" w:rsidRDefault="00653200" w:rsidP="00A802A5">
      <w:pPr>
        <w:spacing w:line="360" w:lineRule="auto"/>
        <w:rPr>
          <w:rFonts w:ascii="Times New Roman" w:hAnsi="Times New Roman" w:cs="Times New Roman"/>
          <w:sz w:val="24"/>
          <w:szCs w:val="24"/>
        </w:rPr>
      </w:pPr>
    </w:p>
    <w:p w14:paraId="736C76C5"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Finanstilsynets tavshedspligt er i høj grad baseret på et ønske om at beskytte de finansielle virksomheders kunder, det være sig privatpersoner eller erhvervskunder. Hertil kommer et ønske om af konkurrencemæssige grunde at beskytte de finansielle virksomheders forretningsmæssige forhold.</w:t>
      </w:r>
    </w:p>
    <w:p w14:paraId="231549FF" w14:textId="77777777" w:rsidR="00653200" w:rsidRPr="00796736" w:rsidRDefault="00653200" w:rsidP="00A802A5">
      <w:pPr>
        <w:spacing w:line="360" w:lineRule="auto"/>
        <w:rPr>
          <w:rFonts w:ascii="Times New Roman" w:hAnsi="Times New Roman" w:cs="Times New Roman"/>
          <w:sz w:val="24"/>
          <w:szCs w:val="24"/>
        </w:rPr>
      </w:pPr>
    </w:p>
    <w:p w14:paraId="02C47ACE"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Finanstilsynets tavshedspligt er en afgørende betingelse for den tilsynsmæssige effektivitet. For at Finanstilsynet kan få alle nødvendige oplysninger i en given sag, må de finansielle virksomheder og kunderne kunne nære tillid til, at Finanstilsynet ikke videregiver fortrolige oplysninger. </w:t>
      </w:r>
    </w:p>
    <w:p w14:paraId="46A7E908" w14:textId="77777777" w:rsidR="00653200" w:rsidRPr="00796736" w:rsidRDefault="00653200" w:rsidP="00A802A5">
      <w:pPr>
        <w:spacing w:line="360" w:lineRule="auto"/>
        <w:rPr>
          <w:rFonts w:ascii="Times New Roman" w:hAnsi="Times New Roman" w:cs="Times New Roman"/>
          <w:sz w:val="24"/>
          <w:szCs w:val="24"/>
        </w:rPr>
      </w:pPr>
    </w:p>
    <w:p w14:paraId="32A3BA97"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Da de fortrolige oplysninger i langt overvejende grad hidrører fra de finansielle virksomheder, vil det være mest korrekt og sikrest, at det er den pågældende virksomhed selv, der meddeler oplysningerne til tredjemand. Oplysninger om virksomhedens kunder kan kun videregives med kundernes samtykke. </w:t>
      </w:r>
    </w:p>
    <w:p w14:paraId="4E3A05CD" w14:textId="77777777" w:rsidR="00653200" w:rsidRPr="00796736" w:rsidRDefault="00653200" w:rsidP="00A802A5">
      <w:pPr>
        <w:spacing w:line="360" w:lineRule="auto"/>
        <w:rPr>
          <w:rFonts w:ascii="Times New Roman" w:hAnsi="Times New Roman" w:cs="Times New Roman"/>
          <w:sz w:val="24"/>
          <w:szCs w:val="24"/>
        </w:rPr>
      </w:pPr>
    </w:p>
    <w:p w14:paraId="22FD663C"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at bestemmelsen i stk. 1 er ikke til hinder for, at Finanstilsynet af egen drift videregiver fortrolige oplysninger i summarisk eller sammenfattende form, når hverken den enkelte virksomhed eller dens kunder kan identificeres.</w:t>
      </w:r>
    </w:p>
    <w:p w14:paraId="6E47E0B0" w14:textId="77777777" w:rsidR="00653200" w:rsidRPr="00796736" w:rsidRDefault="00653200" w:rsidP="00A802A5">
      <w:pPr>
        <w:spacing w:line="360" w:lineRule="auto"/>
        <w:rPr>
          <w:rFonts w:ascii="Times New Roman" w:hAnsi="Times New Roman" w:cs="Times New Roman"/>
          <w:sz w:val="24"/>
          <w:szCs w:val="24"/>
        </w:rPr>
      </w:pPr>
    </w:p>
    <w:p w14:paraId="5683B86C"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dele af artikel 67, stk. 1, i 6. hvidvaskdirektiv.</w:t>
      </w:r>
    </w:p>
    <w:p w14:paraId="1646E413" w14:textId="77777777" w:rsidR="00653200" w:rsidRPr="00796736" w:rsidRDefault="00653200" w:rsidP="00A802A5">
      <w:pPr>
        <w:spacing w:line="360" w:lineRule="auto"/>
        <w:rPr>
          <w:rFonts w:ascii="Times New Roman" w:hAnsi="Times New Roman" w:cs="Times New Roman"/>
          <w:sz w:val="24"/>
          <w:szCs w:val="24"/>
        </w:rPr>
      </w:pPr>
    </w:p>
    <w:p w14:paraId="38A86267"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foreslående bestemmelse vil indebære, at oplysninger, der er omfattet af tavshedspligten i stk. 1, kan videregives af Finanstilsynet, hvis det ikke er muligt at identificere enkeltvirksomheder eller enkeltkunder blandt oplysningerne. Det afgørende for muligheden for videregivelse efter den foreslåede bestemmelse vil være, at der er foretaget en fuldstændig anonymisering. Det vil således ikke være tilstrækkeligt at fjerne eller overstrege navne m.v., hvis det er muligt ud fra f.eks. oplysningernes kontekst at identificere den pågældende virksomhed eller kunde. </w:t>
      </w:r>
    </w:p>
    <w:p w14:paraId="2ED3D76B" w14:textId="77777777" w:rsidR="00653200" w:rsidRPr="00796736" w:rsidRDefault="00653200" w:rsidP="00A802A5">
      <w:pPr>
        <w:spacing w:line="360" w:lineRule="auto"/>
        <w:rPr>
          <w:rFonts w:ascii="Times New Roman" w:hAnsi="Times New Roman" w:cs="Times New Roman"/>
          <w:sz w:val="24"/>
          <w:szCs w:val="24"/>
        </w:rPr>
      </w:pPr>
    </w:p>
    <w:p w14:paraId="0FFC0116"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tilsvarende bestemmelse findes i lov om finansiel virksomhed § 354, stk. 4, hvorefter tavshedspligten efter stk. 1 ikke er til hinder for, at Finanstilsynet af egen drift videregiver fortrolige oplysninger i summarisk eller sammenfattende form, når hverken den enkelte virksomhed eller dens kunder kan identificeres. </w:t>
      </w:r>
    </w:p>
    <w:p w14:paraId="51C25AF8" w14:textId="77777777" w:rsidR="00653200" w:rsidRPr="00796736" w:rsidRDefault="00653200" w:rsidP="00A802A5">
      <w:pPr>
        <w:spacing w:line="360" w:lineRule="auto"/>
        <w:rPr>
          <w:rFonts w:ascii="Times New Roman" w:hAnsi="Times New Roman" w:cs="Times New Roman"/>
          <w:sz w:val="24"/>
          <w:szCs w:val="24"/>
        </w:rPr>
      </w:pPr>
    </w:p>
    <w:p w14:paraId="2828BBDB" w14:textId="11B8DC75"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3, i hvidvaskloven sikrer dermed konsistens og ensartethed med anden finansiel lovgivning. </w:t>
      </w:r>
    </w:p>
    <w:p w14:paraId="507197DC" w14:textId="77777777" w:rsidR="00C61ECA" w:rsidRPr="00796736" w:rsidRDefault="00C61ECA" w:rsidP="00A802A5">
      <w:pPr>
        <w:spacing w:line="360" w:lineRule="auto"/>
        <w:rPr>
          <w:rFonts w:ascii="Times New Roman" w:hAnsi="Times New Roman" w:cs="Times New Roman"/>
          <w:sz w:val="24"/>
          <w:szCs w:val="24"/>
        </w:rPr>
      </w:pPr>
    </w:p>
    <w:p w14:paraId="7523B628" w14:textId="7924C980" w:rsidR="00C61ECA" w:rsidRPr="00796736" w:rsidRDefault="00C61ECA" w:rsidP="00A802A5">
      <w:pPr>
        <w:spacing w:line="360" w:lineRule="auto"/>
        <w:rPr>
          <w:rFonts w:ascii="Times New Roman" w:hAnsi="Times New Roman" w:cs="Times New Roman"/>
          <w:i/>
          <w:iCs/>
          <w:sz w:val="24"/>
          <w:szCs w:val="24"/>
        </w:rPr>
      </w:pPr>
      <w:r w:rsidRPr="00796736">
        <w:rPr>
          <w:rFonts w:ascii="Times New Roman" w:eastAsia="Calibri" w:hAnsi="Times New Roman" w:cs="Times New Roman"/>
          <w:sz w:val="24"/>
          <w:szCs w:val="24"/>
        </w:rPr>
        <w:t xml:space="preserve">Der henvises i øvrigt til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_Ref232964769 \n \h </w:instrText>
      </w:r>
      <w:r w:rsidR="00967618"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3.60</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i lovforslagets almindelige bemærkninger.</w:t>
      </w:r>
    </w:p>
    <w:p w14:paraId="3DBB7948" w14:textId="77777777" w:rsidR="00653200" w:rsidRPr="00796736" w:rsidRDefault="00653200" w:rsidP="00A802A5">
      <w:pPr>
        <w:spacing w:line="360" w:lineRule="auto"/>
        <w:rPr>
          <w:rFonts w:ascii="Times New Roman" w:hAnsi="Times New Roman" w:cs="Times New Roman"/>
          <w:sz w:val="24"/>
          <w:szCs w:val="24"/>
        </w:rPr>
      </w:pPr>
    </w:p>
    <w:p w14:paraId="19A5414A" w14:textId="79E212E9" w:rsidR="00653200" w:rsidRPr="00796736" w:rsidRDefault="00653200" w:rsidP="00A802A5">
      <w:pPr>
        <w:pStyle w:val="Undertitel"/>
      </w:pPr>
      <w:bookmarkStart w:id="2090" w:name="_Toc232109409"/>
      <w:bookmarkStart w:id="2091" w:name="_Toc244879373"/>
      <w:bookmarkStart w:id="2092" w:name="_Toc244880898"/>
      <w:r w:rsidRPr="00796736">
        <w:t xml:space="preserve">Til </w:t>
      </w:r>
      <w:r w:rsidR="00850B44" w:rsidRPr="00796736">
        <w:fldChar w:fldCharType="begin"/>
      </w:r>
      <w:r w:rsidR="00850B44" w:rsidRPr="00796736">
        <w:instrText xml:space="preserve"> REF _Ref232597634 \r \h </w:instrText>
      </w:r>
      <w:r w:rsidR="00967618" w:rsidRPr="00796736">
        <w:instrText xml:space="preserve"> \* MERGEFORMAT </w:instrText>
      </w:r>
      <w:r w:rsidR="00850B44" w:rsidRPr="00796736">
        <w:fldChar w:fldCharType="separate"/>
      </w:r>
      <w:r w:rsidR="008F29E5">
        <w:t>§ 77</w:t>
      </w:r>
      <w:bookmarkEnd w:id="2091"/>
      <w:bookmarkEnd w:id="2092"/>
      <w:r w:rsidR="00850B44" w:rsidRPr="00796736">
        <w:fldChar w:fldCharType="end"/>
      </w:r>
      <w:r w:rsidRPr="00796736">
        <w:t xml:space="preserve"> </w:t>
      </w:r>
      <w:bookmarkEnd w:id="2090"/>
    </w:p>
    <w:p w14:paraId="73C675F7"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Finanstilsynets ansatte er under ansvar efter straffelovens §§ 152-152 e forpligtet til at hemmeligholde fortrolige op lysninger, som de får kendskab til gennem tilsynsvirksomheden, jf. § 56, stk. 1, i hvidvaskloven. Det samme gælder personer, der udfører serviceopgaver som led i Finanstilsynets drift, samt eksperter, der handler på Finanstilsynets vegne. Dette gælder også efter ansættelses- eller kontraktforholdets ophør.</w:t>
      </w:r>
    </w:p>
    <w:p w14:paraId="1FA88CE1" w14:textId="77777777" w:rsidR="00653200" w:rsidRPr="00796736" w:rsidRDefault="00653200" w:rsidP="00A802A5">
      <w:pPr>
        <w:spacing w:line="360" w:lineRule="auto"/>
        <w:rPr>
          <w:rFonts w:ascii="Times New Roman" w:hAnsi="Times New Roman" w:cs="Times New Roman"/>
          <w:sz w:val="24"/>
          <w:szCs w:val="24"/>
        </w:rPr>
      </w:pPr>
    </w:p>
    <w:p w14:paraId="203148DD"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Tavshedspligten er i høj grad baseret på et ønske om at beskytte virksomhedernes kunder, det være sig privatpersoner eller erhvervskunder. Hertil kommer et ønske om af konkurrencemæssige grunde at beskytte virksomhedernes forretningsmæssige forhold. Herudover er Finanstilsynets tavshedspligt en afgørende betingelse for den tilsynsmæssige effektivitet. For at Finanstilsynet kan få alle nødvendige oplysninger i en given sag, må virksomhederne og kunderne kunne nære tillid til, at Finanstilsynet ikke videregiver fortrolige oplysninger.</w:t>
      </w:r>
    </w:p>
    <w:p w14:paraId="1DC517CF" w14:textId="77777777" w:rsidR="00653200" w:rsidRPr="00796736" w:rsidRDefault="00653200" w:rsidP="00A802A5">
      <w:pPr>
        <w:spacing w:line="360" w:lineRule="auto"/>
        <w:rPr>
          <w:rFonts w:ascii="Times New Roman" w:hAnsi="Times New Roman" w:cs="Times New Roman"/>
          <w:sz w:val="24"/>
          <w:szCs w:val="24"/>
        </w:rPr>
      </w:pPr>
    </w:p>
    <w:p w14:paraId="2D2F2BA7"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gældende § 56, stk. 3, i hvidvaskloven fastsætter de tilfælde, hvor der indenfor rammerne af stk. 1 kan videregives fortrolige oplysninger. Det vil sige tilfælde, hvor videregivelse af de fortrolige oplysninger vil være berettiget. Derudover kan der være ganske særlige tilfælde, hvor videregivelse også kan ske indenfor rammerne af stk. 1. </w:t>
      </w:r>
    </w:p>
    <w:p w14:paraId="05AA7C24" w14:textId="77777777" w:rsidR="00653200" w:rsidRPr="00796736" w:rsidRDefault="00653200" w:rsidP="00A802A5">
      <w:pPr>
        <w:spacing w:line="360" w:lineRule="auto"/>
        <w:rPr>
          <w:rFonts w:ascii="Times New Roman" w:hAnsi="Times New Roman" w:cs="Times New Roman"/>
          <w:sz w:val="24"/>
          <w:szCs w:val="24"/>
        </w:rPr>
      </w:pPr>
    </w:p>
    <w:p w14:paraId="786915B7" w14:textId="3C1D6444" w:rsidR="00653200" w:rsidRPr="00796736" w:rsidRDefault="0065320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foreslående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eastAsia="Calibri" w:hAnsi="Times New Roman" w:cs="Times New Roman"/>
          <w:sz w:val="24"/>
          <w:szCs w:val="24"/>
        </w:rPr>
        <w:t xml:space="preserve">, stk. 1, viderefører i vidt omfang indholdet af § 56, stk. 3, i hvidvaskloven med visse indholdsmæssige ændringer. Bestemmelsen foreslås udvidet, så Finanstilsynet får mulighed for at udveksle oplysninger med flere myndigheder og organer. Bestemmelsen omfatter nye tilføjelser, hvorefter Finanstilsynet kan videregive fortrolige oplysninger til Den Europæiske Myndigheden for Bekæmpelse af Hvidvask af Penge og Finansiering af Terrorisme (AMLA), Den Internationale Valutafond (IMF) og Verdensbanken samt Rådet for Finansiel Stabilitet (FSB).  </w:t>
      </w:r>
    </w:p>
    <w:p w14:paraId="727306DD" w14:textId="77777777" w:rsidR="00653200" w:rsidRPr="00796736" w:rsidRDefault="00653200" w:rsidP="00A802A5">
      <w:pPr>
        <w:spacing w:line="360" w:lineRule="auto"/>
        <w:rPr>
          <w:rFonts w:ascii="Times New Roman" w:eastAsia="Calibri" w:hAnsi="Times New Roman" w:cs="Times New Roman"/>
          <w:sz w:val="24"/>
          <w:szCs w:val="24"/>
        </w:rPr>
      </w:pPr>
    </w:p>
    <w:p w14:paraId="41DB3004"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implementerer artikel 51 og dele af artikel 67 og 68 i 6. hvidvaskdirektiv. </w:t>
      </w:r>
    </w:p>
    <w:p w14:paraId="10CDDA4E" w14:textId="77777777" w:rsidR="00653200" w:rsidRPr="00796736" w:rsidRDefault="00653200" w:rsidP="00A802A5">
      <w:pPr>
        <w:spacing w:line="360" w:lineRule="auto"/>
        <w:rPr>
          <w:rFonts w:ascii="Times New Roman" w:hAnsi="Times New Roman" w:cs="Times New Roman"/>
          <w:sz w:val="24"/>
          <w:szCs w:val="24"/>
        </w:rPr>
      </w:pPr>
    </w:p>
    <w:p w14:paraId="443C9570" w14:textId="61597B5B"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har Finanstilsynets ansatte mulighed for at videregive oplysninger på trods af den udvidede tavshedspligt, der gælder for ansatte i Finanstilsynet. Med det foreslåede er tavshedspligten i stk. 1 ikke til hinder for, at fortrolige oplysninger videregives til en række indenlandske og udenlandske tilsynsmyndigheder m.v. Der er tale om myndigheder, som har et væsentligt behov for at modtage disse oplysninger til varetagelse af deres opgaver. </w:t>
      </w:r>
    </w:p>
    <w:p w14:paraId="633DBEE1" w14:textId="77777777" w:rsidR="00653200" w:rsidRPr="00796736" w:rsidRDefault="00653200" w:rsidP="00A802A5">
      <w:pPr>
        <w:spacing w:line="360" w:lineRule="auto"/>
        <w:rPr>
          <w:rFonts w:ascii="Times New Roman" w:hAnsi="Times New Roman" w:cs="Times New Roman"/>
          <w:sz w:val="24"/>
          <w:szCs w:val="24"/>
        </w:rPr>
      </w:pPr>
    </w:p>
    <w:p w14:paraId="52D0ABBB"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at oplysninger til udenlandske myndigheder kun må videregives, når dette er absolut nødvendigt, og kun til den eller de relevante personer, som har brug for at mod tage oplysningerne.</w:t>
      </w:r>
    </w:p>
    <w:p w14:paraId="2A5917A7" w14:textId="77777777" w:rsidR="00653200" w:rsidRPr="00796736" w:rsidRDefault="00653200" w:rsidP="00A802A5">
      <w:pPr>
        <w:spacing w:line="360" w:lineRule="auto"/>
        <w:rPr>
          <w:rFonts w:ascii="Times New Roman" w:hAnsi="Times New Roman" w:cs="Times New Roman"/>
          <w:sz w:val="24"/>
          <w:szCs w:val="24"/>
        </w:rPr>
      </w:pPr>
    </w:p>
    <w:p w14:paraId="36ED18AB" w14:textId="266966AD"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w:t>
      </w:r>
      <w:r w:rsidRPr="00796736">
        <w:rPr>
          <w:rFonts w:ascii="Times New Roman" w:hAnsi="Times New Roman" w:cs="Times New Roman"/>
          <w:sz w:val="24"/>
          <w:szCs w:val="24"/>
        </w:rPr>
        <w:t xml:space="preserve"> at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ikke er til hinder for, at fortrolige oplysninger kan videregives til tilsynsmyndigheder. </w:t>
      </w:r>
    </w:p>
    <w:p w14:paraId="40D81809" w14:textId="77777777" w:rsidR="00653200" w:rsidRPr="00796736" w:rsidRDefault="00653200" w:rsidP="00A802A5">
      <w:pPr>
        <w:spacing w:line="360" w:lineRule="auto"/>
        <w:rPr>
          <w:rFonts w:ascii="Times New Roman" w:hAnsi="Times New Roman" w:cs="Times New Roman"/>
          <w:sz w:val="24"/>
          <w:szCs w:val="24"/>
        </w:rPr>
      </w:pPr>
    </w:p>
    <w:p w14:paraId="3D1EE8C9" w14:textId="4AF58986"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foreslående bestemmelse </w:t>
      </w:r>
      <w:r w:rsidR="001235E4" w:rsidRPr="00796736">
        <w:rPr>
          <w:rFonts w:ascii="Times New Roman" w:hAnsi="Times New Roman" w:cs="Times New Roman"/>
          <w:sz w:val="24"/>
          <w:szCs w:val="24"/>
        </w:rPr>
        <w:t xml:space="preserve">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 videreføre § 56, stk. 3, nr. 1, i hvidvaskloven, og der er dermed ikke tilsigtet nogen materiel ændring.</w:t>
      </w:r>
    </w:p>
    <w:p w14:paraId="65D546DA" w14:textId="77777777" w:rsidR="00653200" w:rsidRPr="00796736" w:rsidRDefault="00653200" w:rsidP="00A802A5">
      <w:pPr>
        <w:spacing w:line="360" w:lineRule="auto"/>
        <w:rPr>
          <w:rFonts w:ascii="Times New Roman" w:hAnsi="Times New Roman" w:cs="Times New Roman"/>
          <w:sz w:val="24"/>
          <w:szCs w:val="24"/>
        </w:rPr>
      </w:pPr>
    </w:p>
    <w:p w14:paraId="420BFF3F" w14:textId="399F5045"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indebærer, at tavshedspligten ikke forhindrer, at Finanstilsynet kan videregive fortrolige oplysninger til andre tilsynsmyndigheder, der er omfattet af </w:t>
      </w:r>
      <w:r w:rsidR="009E281C" w:rsidRPr="00796736">
        <w:rPr>
          <w:rFonts w:ascii="Times New Roman" w:hAnsi="Times New Roman" w:cs="Times New Roman"/>
          <w:sz w:val="24"/>
          <w:szCs w:val="24"/>
        </w:rPr>
        <w:t>hvidvaskforordningen</w:t>
      </w:r>
      <w:r w:rsidRPr="00796736">
        <w:rPr>
          <w:rFonts w:ascii="Times New Roman" w:hAnsi="Times New Roman" w:cs="Times New Roman"/>
          <w:sz w:val="24"/>
          <w:szCs w:val="24"/>
        </w:rPr>
        <w:t xml:space="preserve">. </w:t>
      </w:r>
    </w:p>
    <w:p w14:paraId="614BFCDC" w14:textId="77777777" w:rsidR="00653200" w:rsidRPr="00796736" w:rsidRDefault="00653200" w:rsidP="00A802A5">
      <w:pPr>
        <w:spacing w:line="360" w:lineRule="auto"/>
        <w:rPr>
          <w:rFonts w:ascii="Times New Roman" w:hAnsi="Times New Roman" w:cs="Times New Roman"/>
          <w:sz w:val="24"/>
          <w:szCs w:val="24"/>
        </w:rPr>
      </w:pPr>
    </w:p>
    <w:p w14:paraId="3B30701E"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tilsynsmyndigheder, der er omfattet af denne lov, er Finanstilsynet, Erhvervsstyrelsen, Spillemyndigheden og Advokatrådet. </w:t>
      </w:r>
    </w:p>
    <w:p w14:paraId="4C4A13D4" w14:textId="77777777" w:rsidR="00653200" w:rsidRPr="00796736" w:rsidRDefault="00653200" w:rsidP="00A802A5">
      <w:pPr>
        <w:spacing w:line="360" w:lineRule="auto"/>
        <w:rPr>
          <w:rFonts w:ascii="Times New Roman" w:hAnsi="Times New Roman" w:cs="Times New Roman"/>
          <w:sz w:val="24"/>
          <w:szCs w:val="24"/>
        </w:rPr>
      </w:pPr>
    </w:p>
    <w:p w14:paraId="50E77931"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den forslåede bestemmelse kan Finanstilsynet kan udveksle fortrolige oplysninger med relevante tilsynsmyndigheder, når det er nødvendigt for at varetage tilsynsopgaver efter hvidvaskloven. Formålet er at sikre et effektivt tilsyn og samarbejde, således at Finanstilsynet har adgang til at videregive nødvendige oplysninger for at kunne udføre sine opgaver hensigtsmæssigt.</w:t>
      </w:r>
      <w:bookmarkStart w:id="2093" w:name="_Hlk221092371"/>
      <w:bookmarkStart w:id="2094" w:name="_Hlk221020672"/>
    </w:p>
    <w:p w14:paraId="5B212A16" w14:textId="77777777" w:rsidR="00653200" w:rsidRPr="00796736" w:rsidRDefault="00653200" w:rsidP="00A802A5">
      <w:pPr>
        <w:spacing w:line="360" w:lineRule="auto"/>
        <w:rPr>
          <w:rFonts w:ascii="Times New Roman" w:hAnsi="Times New Roman" w:cs="Times New Roman"/>
          <w:sz w:val="24"/>
          <w:szCs w:val="24"/>
        </w:rPr>
      </w:pPr>
    </w:p>
    <w:p w14:paraId="22586D4E"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Videregivelse af oplysninger, som hidrører fra et andet medlemsland, kan dog alene ske, hvis de myndigheder, der har afgivet oplysningerne, har givet deres udtrykkelige tilladelse hertil. Oplysningerne må desuden kun benyttes til det formål, som tilladelsen vedrører, jf. lovforslagets stk. 4. </w:t>
      </w:r>
    </w:p>
    <w:p w14:paraId="3565FE9C" w14:textId="77777777" w:rsidR="00653200" w:rsidRPr="00796736" w:rsidRDefault="00653200" w:rsidP="00A802A5">
      <w:pPr>
        <w:spacing w:line="360" w:lineRule="auto"/>
        <w:rPr>
          <w:rFonts w:ascii="Times New Roman" w:hAnsi="Times New Roman" w:cs="Times New Roman"/>
          <w:sz w:val="24"/>
          <w:szCs w:val="24"/>
        </w:rPr>
      </w:pPr>
    </w:p>
    <w:p w14:paraId="24E58622" w14:textId="3466A3D0"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betyder, at modtageren bliver underlagt den tavshedspligt, der følger af lovforslagets 66, stk. 1</w:t>
      </w:r>
      <w:bookmarkEnd w:id="2093"/>
      <w:r w:rsidRPr="00796736">
        <w:rPr>
          <w:rFonts w:ascii="Times New Roman" w:hAnsi="Times New Roman" w:cs="Times New Roman"/>
          <w:sz w:val="24"/>
          <w:szCs w:val="24"/>
        </w:rPr>
        <w:t>.</w:t>
      </w:r>
    </w:p>
    <w:p w14:paraId="14578991" w14:textId="77777777" w:rsidR="00653200" w:rsidRPr="00796736" w:rsidRDefault="00653200" w:rsidP="00A802A5">
      <w:pPr>
        <w:spacing w:line="360" w:lineRule="auto"/>
        <w:rPr>
          <w:rFonts w:ascii="Times New Roman" w:hAnsi="Times New Roman" w:cs="Times New Roman"/>
          <w:sz w:val="24"/>
          <w:szCs w:val="24"/>
        </w:rPr>
      </w:pPr>
    </w:p>
    <w:bookmarkEnd w:id="2094"/>
    <w:p w14:paraId="7D453087" w14:textId="463ACB0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2</w:t>
      </w:r>
      <w:r w:rsidRPr="00796736">
        <w:rPr>
          <w:rFonts w:ascii="Times New Roman" w:hAnsi="Times New Roman" w:cs="Times New Roman"/>
          <w:sz w:val="24"/>
          <w:szCs w:val="24"/>
        </w:rPr>
        <w:t xml:space="preserve">, at Finanstilsynet kan videregive fortrolige oplysninger til medlemmer af </w:t>
      </w:r>
      <w:r w:rsidR="00267424" w:rsidRPr="00796736">
        <w:rPr>
          <w:rFonts w:ascii="Times New Roman" w:hAnsi="Times New Roman" w:cs="Times New Roman"/>
          <w:sz w:val="24"/>
          <w:szCs w:val="24"/>
        </w:rPr>
        <w:t>HvidvaskForum</w:t>
      </w:r>
      <w:r w:rsidRPr="00796736">
        <w:rPr>
          <w:rFonts w:ascii="Times New Roman" w:hAnsi="Times New Roman" w:cs="Times New Roman"/>
          <w:sz w:val="24"/>
          <w:szCs w:val="24"/>
        </w:rPr>
        <w:t xml:space="preserve">, jf.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_Ref232620750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129</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6263955D" w14:textId="028D98AC"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2, viderefører indholdet af § 56, stk. 3, nr. 2, i hvidvaskloven. </w:t>
      </w:r>
    </w:p>
    <w:p w14:paraId="21660766" w14:textId="1EE80EAB" w:rsidR="00653200" w:rsidRPr="00796736" w:rsidRDefault="009E281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giver Finanstilsynet mulighed for at videregive og drøfte fortrolige oplysninger i </w:t>
      </w:r>
      <w:r w:rsidR="00267424" w:rsidRPr="00796736">
        <w:rPr>
          <w:rFonts w:ascii="Times New Roman" w:hAnsi="Times New Roman" w:cs="Times New Roman"/>
          <w:sz w:val="24"/>
          <w:szCs w:val="24"/>
        </w:rPr>
        <w:t>HvidvaskForum</w:t>
      </w:r>
      <w:r w:rsidR="00653200" w:rsidRPr="00796736">
        <w:rPr>
          <w:rFonts w:ascii="Times New Roman" w:hAnsi="Times New Roman" w:cs="Times New Roman"/>
          <w:sz w:val="24"/>
          <w:szCs w:val="24"/>
        </w:rPr>
        <w:t xml:space="preserve"> med andre tilsynsmyndigheder omfattet af denne lov samt med Hvidvasksekretariatet. Formålet hermed er at understøtte koordineringen af myndighedernes risikovurderinger og generelle foranstaltninger mod hvidvask og finansiering af terrorisme. </w:t>
      </w:r>
      <w:r w:rsidR="00267424" w:rsidRPr="00796736">
        <w:rPr>
          <w:rFonts w:ascii="Times New Roman" w:hAnsi="Times New Roman" w:cs="Times New Roman"/>
          <w:sz w:val="24"/>
          <w:szCs w:val="24"/>
        </w:rPr>
        <w:t>HvidvaskForum</w:t>
      </w:r>
      <w:r w:rsidR="00653200" w:rsidRPr="00796736">
        <w:rPr>
          <w:rFonts w:ascii="Times New Roman" w:hAnsi="Times New Roman" w:cs="Times New Roman"/>
          <w:sz w:val="24"/>
          <w:szCs w:val="24"/>
        </w:rPr>
        <w:t xml:space="preserve"> efter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_Ref232620750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129</w:t>
      </w:r>
      <w:r w:rsidR="00795FD0" w:rsidRPr="00796736">
        <w:rPr>
          <w:rFonts w:ascii="Times New Roman" w:hAnsi="Times New Roman" w:cs="Times New Roman"/>
          <w:sz w:val="24"/>
          <w:szCs w:val="24"/>
        </w:rPr>
        <w:fldChar w:fldCharType="end"/>
      </w:r>
      <w:r w:rsidR="00795FD0" w:rsidRPr="00796736">
        <w:rPr>
          <w:rFonts w:ascii="Times New Roman" w:hAnsi="Times New Roman" w:cs="Times New Roman"/>
          <w:sz w:val="24"/>
          <w:szCs w:val="24"/>
        </w:rPr>
        <w:t xml:space="preserve"> </w:t>
      </w:r>
      <w:r w:rsidR="00653200" w:rsidRPr="00796736">
        <w:rPr>
          <w:rFonts w:ascii="Times New Roman" w:hAnsi="Times New Roman" w:cs="Times New Roman"/>
          <w:sz w:val="24"/>
          <w:szCs w:val="24"/>
        </w:rPr>
        <w:t>har til formål at sikre et effektivt samarbejde mellem de relevante myndigheder på nationalt plan og at bidrage til udarbejdelsen af den nationale risikovurdering i Danmark.</w:t>
      </w:r>
    </w:p>
    <w:p w14:paraId="7BE9143F" w14:textId="18132163" w:rsidR="00267424" w:rsidRPr="00796736" w:rsidRDefault="00267424"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Finanstilsynet deltager desuden i forskellige samarbejdsfora, f.eks. Operativt Dansk Informations- og efterretnings Netværk (ODIN), hvor retsplejelovens regler om tavshedspligt finder anvendelse.</w:t>
      </w:r>
    </w:p>
    <w:p w14:paraId="62369C22"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 oplysninger, som hidrører fra et andet medlemsland, gælder det, at videregivelse kun kan finde sted, hvis den myndighed, der har afgivet oplysningerne, har givet sit udtrykkelige samtykke, og oplysningerne må kun anvendes til det formål, som samtykket omfatter, jf. lovforslagets stk. 4.</w:t>
      </w:r>
    </w:p>
    <w:p w14:paraId="6410BA83" w14:textId="313DE488"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af oplysningerne bliver underlagt den samme tavshedspligt, som gælder for Finanstilsynet, og således skal behandle oplysningerne fortroligt i overensstemmelse med lovforslagets bestemmelser.</w:t>
      </w:r>
    </w:p>
    <w:p w14:paraId="70D01E96"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3</w:t>
      </w:r>
      <w:r w:rsidRPr="00796736">
        <w:rPr>
          <w:rFonts w:ascii="Times New Roman" w:hAnsi="Times New Roman" w:cs="Times New Roman"/>
          <w:sz w:val="24"/>
          <w:szCs w:val="24"/>
        </w:rPr>
        <w:t xml:space="preserve">, at Finanstilsynet kan videregive fortrolige oplysninger til andre offentlige myndigheder, herunder anklagemyndigheden og politiet, i forbindelse med efterforskning og retsforfølgning af mulige strafbare forhold omfattet af straffeloven, denne lov eller anden tilsynslovgivning. </w:t>
      </w:r>
    </w:p>
    <w:p w14:paraId="7B324904" w14:textId="586FBCBE"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3 viderefører indholdet af § 56, stk. 3, nr. 3, i hvidvaskloven.</w:t>
      </w:r>
    </w:p>
    <w:p w14:paraId="53280747" w14:textId="27DCE73B" w:rsidR="00653200" w:rsidRPr="00796736" w:rsidRDefault="009E281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indebærer, at Finanstilsynet kan videregive fortrolige oplysninger til offentlige myndigheder, når det sker som led i efterforskning og retsforfølgning af strafbare forhold omfattet af straffeloven eller tilsynslovgivningen. Dette udgør en fravigelse af Finanstilsynets udvidede tavshedspligt og giver mulighed for, at relevante oplysninger kan videregives til de myndigheder, der har behov for dem i forbindelse med deres opgavevaretagelse.</w:t>
      </w:r>
    </w:p>
    <w:p w14:paraId="41AC0D21"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er en forudsætning for at bringe bestemmelsen i anvendelse, at der foreligger mulige strafbare forhold efter straffeloven eller tilsynslovgivningen. Oplysningerne kan videregives allerede på et tidligt tidspunkt i sagsbehandlingen, hvor Finanstilsynet undersøger, om der foreligger en overtrædelse, men hvor det endnu ikke er klarlagt, om en fysisk eller juridisk person med rimelig grund er mistænkt for et strafbart forhold. Dette giver mulighed for, at politiet og anklagemyndigheden kan inddrages tidligt i processen og dermed bidrage til at afklare, om der er grundlag for videre efterforskning eller retsforfølgning.</w:t>
      </w:r>
    </w:p>
    <w:p w14:paraId="008078C5" w14:textId="37535233" w:rsidR="00653200" w:rsidRPr="00796736" w:rsidRDefault="009E281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giver Finanstilsynet mulighed for at drøfte konkrete sager med anklagemyndigheden eller politiet med henblik på at vurdere, om der er tale om forhold, der bør give anledning til politianmeldelse, om Finanstilsynet bør foretage yderligere undersøgelser, eller om sagen eventuelt kan afgrænses til udvalgte forhold. Dette bidrager til, at Finanstilsynet kan målrette sin indsats og undgå at indgive politianmeldelser, som på forhånd vurderes ikke at kunne føre til strafferetlig forfølgning.</w:t>
      </w:r>
    </w:p>
    <w:p w14:paraId="5BA5BF82"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Reglen understøtter generelt en friere dialog mellem Finanstilsynet, anklagemyndigheden og politiet om konkrete sager samt om udviklingstendenser, som Finanstilsynet observerer i sektoren.</w:t>
      </w:r>
    </w:p>
    <w:p w14:paraId="00B0C2EF"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Finanstilsynet har ikke pligt til at informere en fysisk eller juridisk person om, at en sag er overgivet til politimæssig efterforskning. Finanstilsynet er dog forpligtet til at overholde reglerne i tvangsindgrebsloven, hvorefter bestemmelser, der forpligter en fysisk eller juridisk person til at afgive oplysninger til Finanstilsynet, som udgangspunkt ikke kan bringes i anvendelse, hvis der er konkret mistanke om, at den pågældende har begået en lovovertrædelse, der kan medføre straf.</w:t>
      </w:r>
    </w:p>
    <w:p w14:paraId="18330E90" w14:textId="4FF9D264"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bliver underlagt den samme tavshedspligt, som gælder for Finanstilsynet, og skal behandle oplysningerne fortroligt i overensstemmelse med lovforslagets bestemmelser.</w:t>
      </w:r>
    </w:p>
    <w:p w14:paraId="79C26594" w14:textId="5E8E55FA"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4</w:t>
      </w:r>
      <w:r w:rsidRPr="00796736">
        <w:rPr>
          <w:rFonts w:ascii="Times New Roman" w:hAnsi="Times New Roman" w:cs="Times New Roman"/>
          <w:sz w:val="24"/>
          <w:szCs w:val="24"/>
        </w:rPr>
        <w:t>, at Finanstilsynet kan videregive fortrolige oplysninger til Skatteforvaltningen</w:t>
      </w:r>
      <w:r w:rsidR="008173F1" w:rsidRPr="00796736">
        <w:rPr>
          <w:rFonts w:ascii="Times New Roman" w:hAnsi="Times New Roman" w:cs="Times New Roman"/>
          <w:sz w:val="24"/>
          <w:szCs w:val="24"/>
        </w:rPr>
        <w:t>.</w:t>
      </w:r>
      <w:r w:rsidRPr="00796736">
        <w:rPr>
          <w:rFonts w:ascii="Times New Roman" w:hAnsi="Times New Roman" w:cs="Times New Roman"/>
          <w:sz w:val="24"/>
          <w:szCs w:val="24"/>
        </w:rPr>
        <w:t xml:space="preserve"> </w:t>
      </w:r>
    </w:p>
    <w:p w14:paraId="31BFDE1C" w14:textId="01B625AE"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4, viderefører indholdet af § 56, stk. 3, nr. 4, i hvidvaskloven, men udvides således, at videregivelse kan ske til Skatteforvaltningen generelt og ikke alene til brug for told- og skatteforvaltningens undersøgelse af mulige overtrædelser af told- og skattelovgivningen.</w:t>
      </w:r>
    </w:p>
    <w:p w14:paraId="28B8934B" w14:textId="221CD5BE" w:rsidR="00653200" w:rsidRPr="00796736" w:rsidRDefault="008173F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indebærer blandt andet, at Finanstilsynet har mulighed for at videregive fortrolige oplysninger til Skatteforvaltningen, når dette sker med henblik på undersøgelse af mulige overtrædelser af told- og skattelovgivningen. Der kan eksempelvis være tale om situationer, hvor en finansiel virksomhed mistænkes for at være anvendt til at gennemføre skatteunddragende transaktioner på vegne af en kunde. Tilsvarende vil Finanstilsynet kunne videregive oplysninger til Skatteforvaltningen</w:t>
      </w:r>
      <w:r w:rsidR="00653200" w:rsidRPr="00796736" w:rsidDel="00F30D23">
        <w:rPr>
          <w:rFonts w:ascii="Times New Roman" w:hAnsi="Times New Roman" w:cs="Times New Roman"/>
          <w:sz w:val="24"/>
          <w:szCs w:val="24"/>
        </w:rPr>
        <w:t xml:space="preserve"> </w:t>
      </w:r>
      <w:r w:rsidR="00653200" w:rsidRPr="00796736">
        <w:rPr>
          <w:rFonts w:ascii="Times New Roman" w:hAnsi="Times New Roman" w:cs="Times New Roman"/>
          <w:sz w:val="24"/>
          <w:szCs w:val="24"/>
        </w:rPr>
        <w:t>om muligt manglende skattetilsvar fra virksomheder under Finanstilsynets tilsyn. Baggrunden for ændringen er hensynet til at sikre et effektivt og målrettet samarbejde mellem myndighederne for at bekæmpe skatteunddragelse. Al relevant information bør således være tilgængelig for at kunne udveksles fortroligt mellem Finanstilsynet og Skatteforvaltningen</w:t>
      </w:r>
      <w:r w:rsidR="00653200" w:rsidRPr="00796736" w:rsidDel="00F30D23">
        <w:rPr>
          <w:rFonts w:ascii="Times New Roman" w:hAnsi="Times New Roman" w:cs="Times New Roman"/>
          <w:sz w:val="24"/>
          <w:szCs w:val="24"/>
        </w:rPr>
        <w:t xml:space="preserve"> </w:t>
      </w:r>
      <w:r w:rsidR="00653200" w:rsidRPr="00796736">
        <w:rPr>
          <w:rFonts w:ascii="Times New Roman" w:hAnsi="Times New Roman" w:cs="Times New Roman"/>
          <w:sz w:val="24"/>
          <w:szCs w:val="24"/>
        </w:rPr>
        <w:t xml:space="preserve">i forbindelse med bekæmpelse af skatteunddragelse. </w:t>
      </w:r>
    </w:p>
    <w:p w14:paraId="4BF763C9" w14:textId="77777777" w:rsidR="00653200" w:rsidRPr="00796736" w:rsidRDefault="00653200" w:rsidP="00A802A5">
      <w:pPr>
        <w:spacing w:line="360" w:lineRule="auto"/>
        <w:rPr>
          <w:rFonts w:ascii="Times New Roman" w:hAnsi="Times New Roman" w:cs="Times New Roman"/>
          <w:sz w:val="24"/>
          <w:szCs w:val="24"/>
        </w:rPr>
      </w:pPr>
    </w:p>
    <w:p w14:paraId="6CBBF10E" w14:textId="283132E1"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udvidelsen af bestemmelsen får Finanstilsynet adgang til at videregive fortrolige oplysninger til Skatteforvaltningen generelt. Dette kan eksempelvis være relevant i forbindelse med Finanstilsynets behandling af sager om registrering efter § </w:t>
      </w:r>
      <w:r w:rsidR="006C4306" w:rsidRPr="00796736">
        <w:rPr>
          <w:rFonts w:ascii="Times New Roman" w:hAnsi="Times New Roman" w:cs="Times New Roman"/>
          <w:sz w:val="24"/>
          <w:szCs w:val="24"/>
        </w:rPr>
        <w:t>46.</w:t>
      </w:r>
      <w:r w:rsidRPr="00796736">
        <w:rPr>
          <w:rFonts w:ascii="Times New Roman" w:hAnsi="Times New Roman" w:cs="Times New Roman"/>
          <w:sz w:val="24"/>
          <w:szCs w:val="24"/>
        </w:rPr>
        <w:t xml:space="preserve"> Formålet med udvidelsen er at sikre, at fortrolige oplysninger, som Finanstilsynet er i besiddelse af – eksempelvis at en virksomhed har anmodet om registrering efter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_Ref232596860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95FD0" w:rsidRPr="00796736">
        <w:rPr>
          <w:rFonts w:ascii="Times New Roman" w:hAnsi="Times New Roman" w:cs="Times New Roman"/>
          <w:sz w:val="24"/>
          <w:szCs w:val="24"/>
        </w:rPr>
        <w:fldChar w:fldCharType="end"/>
      </w:r>
      <w:r w:rsidR="00795FD0" w:rsidRPr="00796736">
        <w:rPr>
          <w:rFonts w:ascii="Times New Roman" w:hAnsi="Times New Roman" w:cs="Times New Roman"/>
          <w:sz w:val="24"/>
          <w:szCs w:val="24"/>
        </w:rPr>
        <w:t xml:space="preserve"> </w:t>
      </w:r>
      <w:r w:rsidRPr="00796736">
        <w:rPr>
          <w:rFonts w:ascii="Times New Roman" w:hAnsi="Times New Roman" w:cs="Times New Roman"/>
          <w:sz w:val="24"/>
          <w:szCs w:val="24"/>
        </w:rPr>
        <w:t>– kan videregives til Skatteforvaltningen. Dette sker med henblik på, at Finanstilsynet kan indhente relevante oplysninger om virksomheden eller personen til brug for vurderingen af, om virksomheden kan registreres efter reglerne i lovforslaget om registrering.</w:t>
      </w:r>
    </w:p>
    <w:p w14:paraId="011B9A87"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sikre et effektivt og målrettet samarbejde mellem Finanstilsynet og Skatteforvaltningen, herunder i forbindelse med bekæmpelse af skatteunddragelse og Finanstilsynets behandling af sager om registrering. Det er væsentligt, at relevante oplysninger kan udveksles fortroligt mellem myndighederne, således at både told- og skatteforvaltningen og Finanstilsynet har adgang til de nødvendige oplysninger for at kunne varetage deres respektive opgaver.</w:t>
      </w:r>
    </w:p>
    <w:p w14:paraId="1B03EB03"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Finanstilsynet kan i henhold til den foreslåede bestemmelse på eget initiativ give sådanne oplysninger til Skatteforvaltningen, når dette sker til brug for Skatteforvaltningens</w:t>
      </w:r>
      <w:r w:rsidRPr="00796736" w:rsidDel="00F30D23">
        <w:rPr>
          <w:rFonts w:ascii="Times New Roman" w:hAnsi="Times New Roman" w:cs="Times New Roman"/>
          <w:sz w:val="24"/>
          <w:szCs w:val="24"/>
        </w:rPr>
        <w:t xml:space="preserve"> </w:t>
      </w:r>
      <w:r w:rsidRPr="00796736">
        <w:rPr>
          <w:rFonts w:ascii="Times New Roman" w:hAnsi="Times New Roman" w:cs="Times New Roman"/>
          <w:sz w:val="24"/>
          <w:szCs w:val="24"/>
        </w:rPr>
        <w:t xml:space="preserve">undersøgelse af skatteunddragelsessager. Europa-Parlamentets og Rådets direktiv 2013/36/EU af 26. juni 2013 om adgang til at udøve virksomhed som kreditinstitut og om tilsyn med kreditinstitutter og investeringsselskaber, om ændring af direktiv 2002/87/EF og om ophævelse af direktiv 2006/48/EF og 2006/49/EF (CRD IV) fastsætter i dag rammerne for, i hvilket omfang Finanstilsynet kan videregive fortrolige oplysninger til bl.a. andre myndigheder. </w:t>
      </w:r>
    </w:p>
    <w:p w14:paraId="005B8DE3" w14:textId="77777777" w:rsidR="00653200" w:rsidRPr="00796736" w:rsidRDefault="00653200" w:rsidP="00A802A5">
      <w:pPr>
        <w:spacing w:line="360" w:lineRule="auto"/>
        <w:rPr>
          <w:rFonts w:ascii="Times New Roman" w:hAnsi="Times New Roman" w:cs="Times New Roman"/>
          <w:sz w:val="24"/>
          <w:szCs w:val="24"/>
        </w:rPr>
      </w:pPr>
    </w:p>
    <w:p w14:paraId="535EFA7E"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giver mulighed for videregivelse af oplysninger til Skatteforvaltningen, også selv om der ikke er tale om mulige strafbare forhold omfattet af straffeloven, men derimod forhold, der udgør en mulig strafbar overtrædelse af told- og skattelovgivningen.</w:t>
      </w:r>
    </w:p>
    <w:p w14:paraId="7DBC9EBB"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 oplysninger, som hidrører fra et andet medlemsland, gælder det, at videregivelse kun kan finde sted, hvis den myndighed, der har afgivet oplysningerne, har givet sit udtrykkelige samtykke, og oplysningerne må kun anvendes til det formål, som samtykket omfatter, jf. lovforslagets stk. 4.</w:t>
      </w:r>
    </w:p>
    <w:p w14:paraId="48227281" w14:textId="0E94A2B0"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bliver underlagt den samme tavshedspligt, som gælder for Finanstilsynet, og skal behandle oplysningerne fortroligt i overensstemmelse med lovforslagets bestemmelser.</w:t>
      </w:r>
    </w:p>
    <w:p w14:paraId="6C8FA164"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5</w:t>
      </w:r>
      <w:r w:rsidRPr="00796736">
        <w:rPr>
          <w:rFonts w:ascii="Times New Roman" w:hAnsi="Times New Roman" w:cs="Times New Roman"/>
          <w:sz w:val="24"/>
          <w:szCs w:val="24"/>
        </w:rPr>
        <w:t xml:space="preserve">, at Finanstilsynet kan videregive oplysninger til vedkommende minister som led i dennes overordnede tilsyn. </w:t>
      </w:r>
    </w:p>
    <w:p w14:paraId="5D2F740F" w14:textId="53A70A93"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5, viderefører indholdet af § 56, stk. 3, nr. 5, i hvidvaskloven. </w:t>
      </w:r>
    </w:p>
    <w:p w14:paraId="008451AC"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Finanstilsynet kan videregive fortrolige oplysninger til vedkommende minister som led i ministerens tilsyn med forvaltningen. </w:t>
      </w:r>
    </w:p>
    <w:p w14:paraId="6F3DEE60" w14:textId="212CB367" w:rsidR="00653200" w:rsidRPr="00796736" w:rsidRDefault="008173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har til formål at sikre, at vedkommende minister har adgang til de nødvendige oplysninger for at kunne føre et effektivt og betryggende tilsyn med Finanstilsynets forvaltning og opgavevaretagelse. </w:t>
      </w:r>
    </w:p>
    <w:p w14:paraId="35EED03D" w14:textId="1D799320"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som i dette tilfælde er vedkommende minister og dennes embedsmænd, vil blive underlagt den samme tavshedspligt, som gælder for Finanstilsynet, og skal behandle oplysningerne fortroligt i overensstemmelse med lovforslagets bestemmelser. Dette sikrer, at fortrolige oplysninger fortsat beskyttes, selvom de videregives.</w:t>
      </w:r>
    </w:p>
    <w:p w14:paraId="25B780D0"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6</w:t>
      </w:r>
      <w:r w:rsidRPr="00796736">
        <w:rPr>
          <w:rFonts w:ascii="Times New Roman" w:hAnsi="Times New Roman" w:cs="Times New Roman"/>
          <w:sz w:val="24"/>
          <w:szCs w:val="24"/>
        </w:rPr>
        <w:t xml:space="preserve">, at Finanstilsynet kan videregive fortrolige oplysninger til administrative myndigheder og domstole, der behandler afgørelser truffet af Finanstilsynet. </w:t>
      </w:r>
    </w:p>
    <w:p w14:paraId="0BD57E70" w14:textId="1E40EE19"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6, viderefører indholdet af § 56, stk. 3, nr. 6, i hvidvaskloven.</w:t>
      </w:r>
    </w:p>
    <w:p w14:paraId="18603E1F"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har til formål at sikre, at administrative myndigheder og domstole, der skal tage stilling til eller efterprøve afgørelser truffet af Finanstilsynet, har adgang til de nødvendige oplysninger for at kunne foretage en korrekt og fyldestgørende behandling af sagen. Dette gælder eksempelvis i forbindelse med klagesager, hvor en afgørelse truffet af Finanstilsynet indbringes for en administrativ klageinstans, eller hvor en afgørelse indbringes for domstolene til prøvelse.</w:t>
      </w:r>
    </w:p>
    <w:p w14:paraId="3F3BDDEA"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Videregivelse af fortrolige oplysninger kan omfatte oplysninger, der har været grundlag for Finanstilsynets afgørelse, samt eventuelle supplerende oplysninger, som er relevante for den videre behandling af sagen. Det er væsentligt, at de myndigheder og domstole, der skal træffe afgørelse i sagen, har adgang til samme oplysninger som Finanstilsynet, således at sagen kan belyses tilstrækkeligt.</w:t>
      </w:r>
    </w:p>
    <w:p w14:paraId="76BD2BC0" w14:textId="28B4CE34"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bliver underlagt den samme tavshedspligt, som gælder for Finanstilsynet, og skal behandle oplysningerne fortroligt i overensstemmelse med lovforslagets bestemmelser. Dette er med til at sikre, at fortrolige oplysninger fortsat beskyttes, selvom de videregives til andre myndigheder eller domstole som led i sagsbehandlingen.</w:t>
      </w:r>
    </w:p>
    <w:p w14:paraId="52446B78"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7</w:t>
      </w:r>
      <w:r w:rsidRPr="00796736">
        <w:rPr>
          <w:rFonts w:ascii="Times New Roman" w:hAnsi="Times New Roman" w:cs="Times New Roman"/>
          <w:sz w:val="24"/>
          <w:szCs w:val="24"/>
        </w:rPr>
        <w:t xml:space="preserve">, at Finanstilsynet kan videregive fortrolige oplysninger til Folketingets Ombudsmand. </w:t>
      </w:r>
    </w:p>
    <w:p w14:paraId="25DBCB37" w14:textId="21FB986C"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7, viderefører indholdet af § 56, stk. 3, nr. 7, i hvidvaskloven.</w:t>
      </w:r>
    </w:p>
    <w:p w14:paraId="7C0FB0AD"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Vælger en part i en sag at klage over en afgørelse, der er afsagt af Finanstilsynet, til Folketingets Ombudsmand, og vurderer ombudsmanden, at klagen giver tilstrækkelig anledning til undersøgelse, vil ombudsmanden både skulle bedømme, om en afgørelse er i strid med det regelsæt, som Finanstilsynet har truffet sin afgørelse på baggrund af, og om Finanstilsynet i sin sagsbehandling har handlet i strid med god forvaltningskik. I forbindelse med ombudsmandens prøvelse af en sag er Finanstilsynet forpligtet til at meddele ombudsmanden de oplysninger samt udlevere de dokumenter mv., som ombudsmanden anmoder om. Dette sikrer, at ombudsmanden har det nødvendige grundlag for at kunne foretage en uafhængig og fyldestgørende vurdering af sagen.</w:t>
      </w:r>
    </w:p>
    <w:p w14:paraId="00F9E9CB" w14:textId="18FC4FDB"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Folketingets Ombudsmand. Det indebærer, at ombudsmanden bliver underlagt den samme tavshedspligt, som gælder for Finanstilsynet, og skal behandle oplysningerne fortroligt i overensstemmelse med lovforslagets bestemmelser.</w:t>
      </w:r>
    </w:p>
    <w:p w14:paraId="0E8AB77D"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ændrer ikke på den gældende retstilstand, men viderefører den eksisterende adgang til videregivelse af fortrolige oplysninger til Folketingets Ombudsmand i forbindelse med dennes tilsynsopgaver.</w:t>
      </w:r>
    </w:p>
    <w:p w14:paraId="7C6B6CB7" w14:textId="4AEB3DE6"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8</w:t>
      </w:r>
      <w:r w:rsidRPr="00796736">
        <w:rPr>
          <w:rFonts w:ascii="Times New Roman" w:hAnsi="Times New Roman" w:cs="Times New Roman"/>
          <w:sz w:val="24"/>
          <w:szCs w:val="24"/>
        </w:rPr>
        <w:t xml:space="preserve">, at Finanstilsynet kan videregive fortrolige oplysninger til en parlamentarisk kommission nedsat af Folketinget. </w:t>
      </w:r>
    </w:p>
    <w:p w14:paraId="40369281" w14:textId="10F94BFF"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8, viderefører indholdet af § 56, stk. 3, nr. 8, i hvidvaskloven. </w:t>
      </w:r>
    </w:p>
    <w:p w14:paraId="7FAD4609" w14:textId="77777777" w:rsidR="008173F1" w:rsidRPr="00796736" w:rsidRDefault="008173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indebærer, at Finanstilsynet har mulighed for at videregive fortrolige oplysninger til en parlamentarisk kommission nedsat af Folketinget, når dette er nødvendigt for kommissionens varetagelse af sine opgaver. </w:t>
      </w:r>
    </w:p>
    <w:p w14:paraId="089F399B" w14:textId="2BC35554"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Videregivelse af oplysninger, som hidrører fra et andet medlemsland, kan dog alene ske, hvis de myndigheder, der har afgivet oplysningerne, har givet deres udtrykkelige tilladelse hertil, og oplysningerne må kun benyttes til det formål, som tilladelsen vedrører, jf. lovforslagets stk. 4. </w:t>
      </w:r>
    </w:p>
    <w:p w14:paraId="5F71A182" w14:textId="785626E8"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9</w:t>
      </w:r>
      <w:r w:rsidRPr="00796736">
        <w:rPr>
          <w:rFonts w:ascii="Times New Roman" w:hAnsi="Times New Roman" w:cs="Times New Roman"/>
          <w:sz w:val="24"/>
          <w:szCs w:val="24"/>
        </w:rPr>
        <w:t xml:space="preserve">, at Finanstilsynet kan videregive fortrolige oplysninger til undersøgelseskommissioner nedsat ved lov eller i henhold til lov om undersøgelseskommissioner. </w:t>
      </w:r>
    </w:p>
    <w:p w14:paraId="254DECE4" w14:textId="63526D95"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9, viderefører indholdet af § 56, stk. 3, nr. 9, i hvidvaskloven. </w:t>
      </w:r>
    </w:p>
    <w:p w14:paraId="3985B98D" w14:textId="34CA680B" w:rsidR="00653200" w:rsidRPr="00796736" w:rsidRDefault="008173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indebærer, at Finanstilsynet har mulighed for at videregive fortrolige oplysninger til undersøgelseskommissioner, når dette er nødvendigt for kommissionens varetagelse af sine opgaver. </w:t>
      </w:r>
    </w:p>
    <w:p w14:paraId="5A2C1E14"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Videregivelse af oplysninger, som hidrører fra et andet medlemsland, kan dog alene ske, hvis de myndigheder, der har afgivet oplysningerne, har givet deres udtrykkelige tilladelse hertil, og oplysningerne må kun benyttes til det formål, som tilladelsen vedrører, jf. lovforslagets stk. 4. </w:t>
      </w:r>
    </w:p>
    <w:p w14:paraId="698AC685"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10,</w:t>
      </w:r>
      <w:r w:rsidRPr="00796736">
        <w:rPr>
          <w:rFonts w:ascii="Times New Roman" w:hAnsi="Times New Roman" w:cs="Times New Roman"/>
          <w:sz w:val="24"/>
          <w:szCs w:val="24"/>
        </w:rPr>
        <w:t xml:space="preserve"> at Finanstilsynet kan videregive fortrolige oplysninger til Statsrevisorerne og Rigsrevisionen. </w:t>
      </w:r>
    </w:p>
    <w:p w14:paraId="0BEED3AE" w14:textId="592E25E2"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10, viderefører indholdet af § 56, stk. 3, nr. 10, i hvidvaskloven.</w:t>
      </w:r>
    </w:p>
    <w:p w14:paraId="643B7B3F"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Adgangen til videregivelse af fortrolige oplysninger til Statsrevisorerne og Rigsrevisionen beror på disse institutioners rolle i den parlamentariske kontrol med forvaltningen. Statsrevisorerne og Rigsrevisionen kan indhente alle oplysninger, der er i Finanstilsynets besiddelse, og som skønnes af betydning for deres arbejde.</w:t>
      </w:r>
    </w:p>
    <w:p w14:paraId="58F41333" w14:textId="2046448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Statsrevisorerne eller Rigsrevisionen. Det indebærer, at modtageren bliver underlagt den samme tavshedspligt, som gælder for Finanstilsynet, og skal behandle oplysningerne fortroligt i overensstemmelse med lovforslagets bestemmelser.</w:t>
      </w:r>
    </w:p>
    <w:p w14:paraId="26917A46" w14:textId="1027039C"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11</w:t>
      </w:r>
      <w:r w:rsidRPr="00796736">
        <w:rPr>
          <w:rFonts w:ascii="Times New Roman" w:hAnsi="Times New Roman" w:cs="Times New Roman"/>
          <w:sz w:val="24"/>
          <w:szCs w:val="24"/>
        </w:rPr>
        <w:t xml:space="preserve">, at Finanstilsynet kan videregive fortrolige oplysninger til skifteretten samt andre myndigheder, </w:t>
      </w:r>
      <w:r w:rsidRPr="00796736">
        <w:rPr>
          <w:rFonts w:ascii="Times New Roman" w:eastAsia="Calibri" w:hAnsi="Times New Roman" w:cs="Times New Roman"/>
          <w:iCs/>
          <w:sz w:val="24"/>
          <w:szCs w:val="24"/>
        </w:rPr>
        <w:t>der medvirker ved en af denne lov omfattet virksomheds likvidation, konkursbehandling eller lignende procedurer, under forudsætning af at modtagerne af oplysningerne har behov herfor til varetagelse af deres opgaver</w:t>
      </w:r>
      <w:r w:rsidR="008173F1" w:rsidRPr="00796736">
        <w:rPr>
          <w:rFonts w:ascii="Times New Roman" w:hAnsi="Times New Roman" w:cs="Times New Roman"/>
          <w:sz w:val="24"/>
          <w:szCs w:val="24"/>
        </w:rPr>
        <w:t>.</w:t>
      </w:r>
      <w:r w:rsidRPr="00796736">
        <w:rPr>
          <w:rFonts w:ascii="Times New Roman" w:hAnsi="Times New Roman" w:cs="Times New Roman"/>
          <w:sz w:val="24"/>
          <w:szCs w:val="24"/>
        </w:rPr>
        <w:t xml:space="preserve"> </w:t>
      </w:r>
    </w:p>
    <w:p w14:paraId="360C94BD" w14:textId="51D81FCA"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11, viderefører indholdet af § 56, stk. 3, nr. 11, i hvidvaskloven. </w:t>
      </w:r>
    </w:p>
    <w:p w14:paraId="1BB2F12D" w14:textId="4C116295" w:rsidR="00653200" w:rsidRPr="00796736" w:rsidRDefault="008173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indebærer, at Finanstilsynet har mulighed for at videregive fortrolige oplysninger til skifteretten, andre relevante myndigheder, kurator samt personer, der er ansvarlige for den lovpligtige revision af finansielle virksomheder, når dette er nødvendigt for, at modtageren kan varetage sine opgaver i forbindelse med likvidation, konkursbehandling eller lignende procedurer. Dette gælder for eksempel i forbindelse med behandling af sager om likvidation eller konkurs af pengeinstitutter, realkreditinstitutter, fondsmæglerselskaber, investeringsforvaltningsselskaber eller forsikringsselskaber.</w:t>
      </w:r>
    </w:p>
    <w:p w14:paraId="3ADB0F02"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Videregivelse af oplysninger til skifteretten eller andre relevante myndigheder, som hidrører fra et andet medlemsland, kan dog alene ske, hvis de myndigheder, der har afgivet oplysningerne, har givet deres udtrykkelige tilladelse hertil, og oplysningerne må kun benyttes til det formål, som tilladelsen vedrører, jf. lovforslagets stk. 4.</w:t>
      </w:r>
    </w:p>
    <w:p w14:paraId="00DB9A65" w14:textId="56A74B71"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bliver underlagt den samme tavshedspligt, som gælder for Finanstilsynet, og skal behandle oplysningerne fortroligt i overensstemmelse med lovforslagets bestemmelser.</w:t>
      </w:r>
    </w:p>
    <w:p w14:paraId="03BEBFEE"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12</w:t>
      </w:r>
      <w:r w:rsidRPr="00796736">
        <w:rPr>
          <w:rFonts w:ascii="Times New Roman" w:hAnsi="Times New Roman" w:cs="Times New Roman"/>
          <w:sz w:val="24"/>
          <w:szCs w:val="24"/>
        </w:rPr>
        <w:t xml:space="preserve">, at Finanstilsynet kan videregive fortrolige oplysninger til Finansiel Stabilitet, under forudsætning af, at Finansiel Stabilitet har behov for oplysningerne for at kunne varetage sine opgaver. </w:t>
      </w:r>
    </w:p>
    <w:p w14:paraId="47D5B985" w14:textId="634C71C5"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12, viderefører indholdet af § 56, stk. 3, nr. 12, i hvidvaskloven.</w:t>
      </w:r>
    </w:p>
    <w:p w14:paraId="6D3B0128"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indebærer, at Finanstilsynet kan videregive fortrolige oplysninger til Finansiel Stabilitet, når dette er nødvendigt for, at Finansiel Stabilitet kan varetage sine opgaver. </w:t>
      </w:r>
    </w:p>
    <w:p w14:paraId="0BA85452"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Oplysningerne kan alene udveksles, hvor der vurderes at være et konkret behov herfor. Det betyder, at Finanstilsynet som udgangspunkt ikke kan stille alle oplysninger, som virksomhederne har indberettet, til rådighed for Finansiel Stabilitet, men kun de oplysninger, der er nødvendige for, at Finansiel Stabilitet kan varetage sine opgaver.</w:t>
      </w:r>
    </w:p>
    <w:p w14:paraId="53B779C5"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Såfremt myndighedsopgaverne i fremtiden skulle blive placeret hos en anden myndighed, vil videregivelsesreglerne blive tilpasset i overensstemmelse hermed.</w:t>
      </w:r>
    </w:p>
    <w:p w14:paraId="40C76C4F" w14:textId="7E7BE4DB"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Finansiel Stabilitet. Det indebærer, at Finansiel Stabilitet bliver underlagt den samme tavshedspligt, som gælder for Finanstilsynet, og skal behandle oplysningerne fortroligt i overensstemmelse med lovforslagets bestemmelser.</w:t>
      </w:r>
    </w:p>
    <w:p w14:paraId="3D92E233" w14:textId="0EFAAEA8"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13</w:t>
      </w:r>
      <w:r w:rsidRPr="00796736">
        <w:rPr>
          <w:rFonts w:ascii="Times New Roman" w:hAnsi="Times New Roman" w:cs="Times New Roman"/>
          <w:sz w:val="24"/>
          <w:szCs w:val="24"/>
        </w:rPr>
        <w:t xml:space="preserve">, at Finanstilsynet kan videregive fortrolige oplysninger til udvalg og grupper nedsat af </w:t>
      </w:r>
      <w:r w:rsidR="00C2373D" w:rsidRPr="00796736">
        <w:rPr>
          <w:rFonts w:ascii="Times New Roman" w:hAnsi="Times New Roman" w:cs="Times New Roman"/>
          <w:sz w:val="24"/>
          <w:szCs w:val="24"/>
        </w:rPr>
        <w:t>skatte- og vækstministeren</w:t>
      </w:r>
      <w:r w:rsidRPr="00796736">
        <w:rPr>
          <w:rFonts w:ascii="Times New Roman" w:hAnsi="Times New Roman" w:cs="Times New Roman"/>
          <w:sz w:val="24"/>
          <w:szCs w:val="24"/>
        </w:rPr>
        <w:t xml:space="preserve">, der har til formål at drøfte og koordinere indsatsen for at sikre den finansielle stabilitet. </w:t>
      </w:r>
    </w:p>
    <w:p w14:paraId="46FC8DA7" w14:textId="2A693BD9"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13, viderefører indholdet af § 56, stk. 3, nr. 13, i hvidvaskloven.</w:t>
      </w:r>
    </w:p>
    <w:p w14:paraId="61D31250" w14:textId="4B088CAD"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bestemmelsen kan Finanstilsynet videregive fortrolige oplysninger til udvalg, grupper m.v. nedsat af </w:t>
      </w:r>
      <w:r w:rsidR="00A63B39" w:rsidRPr="00796736">
        <w:rPr>
          <w:rFonts w:ascii="Times New Roman" w:eastAsia="Calibri" w:hAnsi="Times New Roman" w:cs="Times New Roman"/>
          <w:iCs/>
          <w:sz w:val="24"/>
          <w:szCs w:val="24"/>
        </w:rPr>
        <w:t>skatte- og vækstministeren</w:t>
      </w:r>
      <w:r w:rsidR="00A63B39"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til brug for drøftelser om krisehåndtering og koordinationen af indsatsen for at sikre den finansielle stabilitet. </w:t>
      </w:r>
    </w:p>
    <w:p w14:paraId="79726E4F" w14:textId="6C4B1082"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skal være tale om formaliseret samarbejde med løbende afholdelse af møder og med faste medlemmer, herunder fra </w:t>
      </w:r>
      <w:r w:rsidR="00CD47AE" w:rsidRPr="00796736">
        <w:rPr>
          <w:rFonts w:ascii="Times New Roman" w:hAnsi="Times New Roman" w:cs="Times New Roman"/>
          <w:sz w:val="24"/>
          <w:szCs w:val="24"/>
        </w:rPr>
        <w:t>Skatte- og Vækstministeriet</w:t>
      </w:r>
      <w:r w:rsidRPr="00796736">
        <w:rPr>
          <w:rFonts w:ascii="Times New Roman" w:hAnsi="Times New Roman" w:cs="Times New Roman"/>
          <w:sz w:val="24"/>
          <w:szCs w:val="24"/>
        </w:rPr>
        <w:t xml:space="preserve">, Finansministeriet samt direktions- eller vicedirektionsmedlemmer fra Finanstilsynet, Danmarks Nationalbank. </w:t>
      </w:r>
    </w:p>
    <w:p w14:paraId="35FED871"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Videregivelsen skal ske indenfor udvalget, gruppen m.v., og ministeren kan således ikke vælge kun at videregive oplysninger til enkelte medlemmer.</w:t>
      </w:r>
    </w:p>
    <w:p w14:paraId="0CC237C1" w14:textId="353D79C4"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795FD0" w:rsidRPr="00796736">
        <w:rPr>
          <w:rFonts w:ascii="Times New Roman" w:hAnsi="Times New Roman" w:cs="Times New Roman"/>
          <w:sz w:val="24"/>
          <w:szCs w:val="24"/>
        </w:rPr>
        <w:fldChar w:fldCharType="begin"/>
      </w:r>
      <w:r w:rsidR="00795FD0"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795FD0" w:rsidRPr="00796736">
        <w:rPr>
          <w:rFonts w:ascii="Times New Roman" w:hAnsi="Times New Roman" w:cs="Times New Roman"/>
          <w:sz w:val="24"/>
          <w:szCs w:val="24"/>
        </w:rPr>
      </w:r>
      <w:r w:rsidR="00795FD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795FD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bliver underlagt den samme tavshedspligt, som gælder for Finanstilsynet, og skal behandle oplysningerne fortroligt i overensstemmelse med lovforslagets bestemmelser.</w:t>
      </w:r>
    </w:p>
    <w:p w14:paraId="11E18C48"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14,</w:t>
      </w:r>
      <w:r w:rsidRPr="00796736">
        <w:rPr>
          <w:rFonts w:ascii="Times New Roman" w:hAnsi="Times New Roman" w:cs="Times New Roman"/>
          <w:sz w:val="24"/>
          <w:szCs w:val="24"/>
        </w:rPr>
        <w:t xml:space="preserve"> at Finanstilsynet kan videregive fortrolige oplysninger til Erhvervsstyrelsen i dens egenskab af tilsynsmyndighed for efterlevelse af selskabslovgivningen, når videregivelsen sker med henblik på at styrke det finansielle systems stabilitet og integritet, jf. dog stk. 4. Endvidere kan Finanstilsynet videregive fortrolige oplysninger til Erhvervsstyrelsen, Revisortilsynet og Revisornævnet i deres egenskab af tilsynsmyndighed for den lovpligtige revision af et pengeinstituts, realkreditinstituts, fondsmæglerselskabs, investeringsforvaltningsselskabs eller forsikringsselskabs regnskaber, jf. dog stk. 4. Endvidere kan Finanstilsynet videregive fortrolige oplysninger til Erhvervsstyrelsen, når oplysningerne vedrører en fond eller forening omfattet af §§ 207, 214, 214 a eller 222 i lov om finansiel virksomhed. Endelig foreslås det, at v</w:t>
      </w:r>
      <w:r w:rsidRPr="00796736">
        <w:rPr>
          <w:rFonts w:ascii="Times New Roman" w:eastAsia="Calibri" w:hAnsi="Times New Roman" w:cs="Times New Roman"/>
          <w:iCs/>
          <w:sz w:val="24"/>
          <w:szCs w:val="24"/>
        </w:rPr>
        <w:t>ideregivelse efter 1. pkt. kan kun ske, under forudsætning af at modtageren har behov herfor til varetagelsen af sine opgaver.</w:t>
      </w:r>
    </w:p>
    <w:p w14:paraId="14CF5D3B" w14:textId="32D6404B"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14, viderefører indholdet af § 56, stk. 3, nr. 17, i hvidvaskloven.</w:t>
      </w:r>
    </w:p>
    <w:p w14:paraId="72386750"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det foreslåede stk. 1, nr. 14, har Finanstilsynet mulighed for at videregive oplysninger til Erhvervsstyrelsen i sin egenskab af tilsynsmyndighed for efterlevelse af selskabslovgivningen, når videregivelse sker med henblik på at styrke det finansielle systems stabilitet og integritet, jf. dog stk. 4, Erhvervsstyrelsen og Revisornævnet i deres egenskab af tilsynsmyndighed for den lovpligtige revision af pengeinstitutters, realkreditinstitutters, fondsmæglerselskabers, investeringsforvaltningsselskabers eller forsikringsselskabers regnskaber, jf. dog stk. 4 og Erhvervsstyrelsen, når oplysningerne vedrører en fond eller forening omfattet af §§ 207, 214, 214 a eller 222 i lov om finansiel virksomhed. </w:t>
      </w:r>
    </w:p>
    <w:p w14:paraId="78E061D1"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giver mulighed for, at Finanstilsynet kan videregive fortrolige oplysninger til Erhvervsstyrelsen i kraft af styrelsens egenskab af ansvarlig tilsynsmyndighed for efterlevelse af selskabslovgivningen. Ved efterlevelse af selskabslovgivningen menes de regler, som Erhvervsstyrelsen fører tilsyn med, herunder f.eks. bestemmelser i selskabsloven, fondslovgivningen osv. Det er i den forbindelse et krav, at videregivelse sker med henblik på at styrke det finansielle systems stabilitet og integritet, dvs. at der er et legitimt formål med videregivelsen, og at Erhvervsstyrelsen har behov for oplysningerne til varetagelsen af styrelsens opgaver.</w:t>
      </w:r>
    </w:p>
    <w:p w14:paraId="53159592"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anvendelsen af denne bestemmelse finder lovforslagets stk. 4, anvendelse, hvorfor videregivelse af oplysninger, som hidrører fra en anden medlemsstat, alene kan ske, såfremt de myndigheder, som har afgivet oplysningerne, har givet deres udtrykkelige tilladelse, ligesom oplysningerne udelukkende må benyttes til det formål, som tilladelsen vedrører. </w:t>
      </w:r>
    </w:p>
    <w:p w14:paraId="7E17EB9C"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Nr. 14, giver endvidere mulighed for, at Finanstilsynet kan videregive fortrolige oplysninger til Erhvervsstyrelsen i kraft af, at Erhvervsstyrelsen har ansvaret for det offentlige tilsyn med revisorer og revisionsvirksomheder, jf. § 32 i lov om godkendte revisorer og revisionsvirksomheder, og i den forbindelse kan iværksætte undersøgelser. I den forbindelse er det endvidere fundet relevant, at Finanstilsynet kan videregive oplysninger direkte til Revisortilsynet og Revisornævnet indenfor deres respektive ansvarsområder. Det er et krav, at Erhvervsstyrelsen, Revisortilsynet og Revisornævnet har behov for oplysningerne til varetagelsen af deres opgave.</w:t>
      </w:r>
    </w:p>
    <w:p w14:paraId="76B6BD40"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Endelig giver bestemmelsen mulighed for videregivelse af fortrolige oplysninger til Erhvervsstyrelsen, når oplysningerne vedrører en fond eller forening omfattet § 222 i lov om finansiel virksomhed.</w:t>
      </w:r>
    </w:p>
    <w:p w14:paraId="5B872A92"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Hvis Finanstilsynet således i forbindelse med et finansielt tilsyn får kendskab til oplysninger, som vurderes at være relevante for Erhvervsstyrelsens tilsynsopgaver, kan oplysningerne videregives. Erhvervsstyrelsen vil herefter kunne benytte disse oplysninger i forbindelse med tilsynet med omdannede tidligere finansielle virksomheder eller tilsynet med fonde i henhold til lov om erhvervsdrivende fonde. Det er et krav for anvendelse af bestemmelsen, at Erhvervsstyrelsen har behov for oplysningerne ved varetagelsen af deres opgave.</w:t>
      </w:r>
    </w:p>
    <w:p w14:paraId="6B7919A6"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Videregivelse af oplysninger, som hidrører fra et andet medlemsland, kan kun ske, hvis de myndigheder, der har afgivet oplysningerne, har givet deres udtrykkelige tilladelse hertil, og oplysningerne må kun benyttes til det formål, som tilladelsen vedrører, jf. lovforslagets stk. 4.</w:t>
      </w:r>
    </w:p>
    <w:p w14:paraId="1FD9E3C0" w14:textId="5A939C9E"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bliver underlagt den samme tavshedspligt, som gælder for Finanstilsynet, og skal behandle oplysningerne fortroligt i overensstemmelse med lovforslagets bestemmelser.</w:t>
      </w:r>
    </w:p>
    <w:p w14:paraId="05030CB4"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15</w:t>
      </w:r>
      <w:r w:rsidRPr="00796736">
        <w:rPr>
          <w:rFonts w:ascii="Times New Roman" w:hAnsi="Times New Roman" w:cs="Times New Roman"/>
          <w:sz w:val="24"/>
          <w:szCs w:val="24"/>
        </w:rPr>
        <w:t xml:space="preserve">, at Finanstilsynet kan videregive fortrolige oplysninger til den færøske landsstyremand for finansanliggender som led i ansvaret for den økonomiske stabilitet på Færøerne og til brug for krisehåndtering af pengeinstitutter, realkreditinstitutter, fondsmæglerselskaber, investeringsforvaltningsselskaber eller forsikringsselskaber på Færøerne. </w:t>
      </w:r>
    </w:p>
    <w:p w14:paraId="610B0199" w14:textId="5E9C06A9"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15, viderefører indholdet af § 56, stk. 3, nr. 14, i hvidvaskloven.</w:t>
      </w:r>
    </w:p>
    <w:p w14:paraId="7E492ADD" w14:textId="15C8964B" w:rsidR="00653200" w:rsidRPr="00796736" w:rsidRDefault="008173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indebærer, at Finanstilsynet har mulighed for at videregive fortrolige oplysninger til den færøske landsstyremand for finansanliggender, når dette er nødvendigt for at varetage opgaver i relation til den økonomiske stabilitet på Færøerne eller i forbindelse med krisehåndtering af finansielle virksomheder på Færøerne. Dette kan eksempelvis være relevant i situationer, hvor der er behov for tæt samarbejde og informationsudveksling mellem danske og færøske myndigheder for at sikre en effektiv håndtering af finansielle kriser eller for at understøtte den overordnede økonomiske stabilitet.</w:t>
      </w:r>
    </w:p>
    <w:p w14:paraId="57FE49C8" w14:textId="1676D420"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den færøske landsstyremand for finansanliggender. Det indebærer, at modtageren bliver underlagt den samme tavshedspligt, som gælder for Finanstilsynet, og skal behandle oplysningerne fortroligt i overensstemmelse med lovforslagets bestemmelser.</w:t>
      </w:r>
    </w:p>
    <w:p w14:paraId="51617444"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16</w:t>
      </w:r>
      <w:r w:rsidRPr="00796736">
        <w:rPr>
          <w:rFonts w:ascii="Times New Roman" w:hAnsi="Times New Roman" w:cs="Times New Roman"/>
          <w:sz w:val="24"/>
          <w:szCs w:val="24"/>
        </w:rPr>
        <w:t xml:space="preserve">, at Finanstilsynet kan videregive fortrolige oplysninger til det grønlandske landsstyremedlem for finanser som led i ansvaret for den økonomiske stabilitet i Grønland og til brug for krisehåndtering af pengeinstitutter, realkreditinstitutter, fondsmæglerselskaber, investeringsforvaltningsselskaber eller forsikringsselskaber i Grønland. </w:t>
      </w:r>
    </w:p>
    <w:p w14:paraId="22B64326" w14:textId="155AF3FF"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16, viderefører indholdet af § 56, stk. 3, nr. 15, i hvidvaskloven.</w:t>
      </w:r>
    </w:p>
    <w:p w14:paraId="453AD89A" w14:textId="2E823AFA" w:rsidR="00653200" w:rsidRPr="00796736" w:rsidRDefault="008173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indebærer, at Finanstilsynet har mulighed for at videregive fortrolige oplysninger til det grønlandske landsstyremedlem for finanser, når dette er nødvendigt for at varetage opgaver i relation til den økonomiske stabilitet i Grønland eller i forbindelse med krisehåndtering af finansielle virksomheder i Grønland. Tilsvarende gælder for den færøske landsstyremand for finansanliggender i forhold til Færøerne, jf. stk. 1, nr. 15.</w:t>
      </w:r>
    </w:p>
    <w:p w14:paraId="7D9476F1"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svarer til ministerens adgang til at videregive fortrolige oplysninger til myndigheder i andre lande som led i krisestyring. Oplysningerne til de færøske og grønlandske myndigheder formidles af Finanstilsynet. </w:t>
      </w:r>
    </w:p>
    <w:p w14:paraId="43A3E413"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Baggrunden for bestemmelsen har oprindelig været et ønske fra Færøernes hjemmestyre om at være bedre rustet til at håndtere krisesituationer om finansielle virksomheder på Færøerne. Det blev fundet naturligt at indføre en tilsvarende mulighed for Grønlands Selvstyre.</w:t>
      </w:r>
    </w:p>
    <w:p w14:paraId="017195BB"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Færøerne og Grønland har en selvstændig kompetence for bl.a. den økonomiske politik. Dette skaber behov for, at de færøske og de grønlandske myndigheder så hurtigt som muligt kan modtage fortrolige oplysninger, herunder om kriseramte forsikringsselskaber på Færøerne og i Grønland, der må skønnes at være relevante for, at de færøske henholdsvis de grønlandske myndigheder kan bidrage til den finansielle stabilitet på Færøerne og i Grønland. </w:t>
      </w:r>
    </w:p>
    <w:p w14:paraId="7D89DED4"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Såfremt en krisesituation skulle opstå, tilsigter bestemmelsen at give den færøske landsstyremand for finansielle anliggender og det grønlandske landsstyremedlem for finanser bedre mulighed for at håndtere en krisesituation. Herudover skaber bestemmelsen hjemmel til, at den færøske landsstyremand og det grønlandske landsstyremedlem modtager de fortrolige oplysninger så hurtigt som muligt og samtidig med andre relevante myndigheder.</w:t>
      </w:r>
    </w:p>
    <w:p w14:paraId="2D365830"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Begrebet ”krisehåndtering” skal forstås bredere end det faktiske tidspunkt, hvor en krise i et pengeinstitut, realkreditinstitut, fondsmæglerselskab, investeringsforvaltningsselskab eller forsikringsselskab</w:t>
      </w:r>
      <w:r w:rsidRPr="00796736" w:rsidDel="00640F0F">
        <w:rPr>
          <w:rFonts w:ascii="Times New Roman" w:hAnsi="Times New Roman" w:cs="Times New Roman"/>
          <w:sz w:val="24"/>
          <w:szCs w:val="24"/>
        </w:rPr>
        <w:t xml:space="preserve"> </w:t>
      </w:r>
      <w:r w:rsidRPr="00796736">
        <w:rPr>
          <w:rFonts w:ascii="Times New Roman" w:hAnsi="Times New Roman" w:cs="Times New Roman"/>
          <w:sz w:val="24"/>
          <w:szCs w:val="24"/>
        </w:rPr>
        <w:t xml:space="preserve">på Færøerne eller i Grønland er en realitet. Der vil således være en periode umiddelbart forud eller efter en aktuel krise, hvor der kan være behov for at videregive relevante fortrolige oplysninger. De oplysninger, som kan videregives til den færøske landsstyremand for finansanliggender og det grønlandske landsstyremedlem for finanser, skal være relevante og nødvendige for den konkrete krisehåndtering. </w:t>
      </w:r>
    </w:p>
    <w:p w14:paraId="18E2017B" w14:textId="43C56411"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det grønlandske landsstyremedlem for finanser. Det indebærer, at modtageren bliver underlagt den samme tavshedspligt, som gælder for Finanstilsynet, og skal behandle oplysningerne fortroligt i overensstemmelse med lovforslagets bestemmelser.</w:t>
      </w:r>
    </w:p>
    <w:p w14:paraId="315F8F92" w14:textId="47175966"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17</w:t>
      </w:r>
      <w:r w:rsidRPr="00796736">
        <w:rPr>
          <w:rFonts w:ascii="Times New Roman" w:hAnsi="Times New Roman" w:cs="Times New Roman"/>
          <w:sz w:val="24"/>
          <w:szCs w:val="24"/>
        </w:rPr>
        <w:t xml:space="preserve">, at Finanstilsynet kan videregive fortrolige oplysninger til de færøske tilsynsmyndigheder på det finansielle område. </w:t>
      </w:r>
    </w:p>
    <w:p w14:paraId="3A139D3F" w14:textId="461D372D"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17, viderefører indholdet af § 56, stk. 3, nr. 16, i hvidvaskloven.</w:t>
      </w:r>
    </w:p>
    <w:p w14:paraId="1D843F1F" w14:textId="5A7242E8" w:rsidR="00653200" w:rsidRPr="00796736" w:rsidRDefault="008173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indebærer, at Finanstilsynet har mulighed for at videregive fortrolige oplysninger til de færøske tilsynsmyndigheder på det finansielle område, når dette er nødvendigt for, at de færøske myndigheder kan varetage deres opgaver. Det kan eksempelvis være relevant, hvis Finanstilsynet i forbindelse med tilsyn i danske forsikringsselskaber konstaterer forhold, som også har betydning for de færøske tilsynsmyndigheder.</w:t>
      </w:r>
    </w:p>
    <w:p w14:paraId="75765BCE"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Aktuelt er der én færøsk tilsynsmyndighed på det finansielle område, det færøske forsikringstilsyn, der fører tilsyn med en række forsikringsselskaber samt Føroya Realkreditstovnur, som tilbyder finansiering af skibsfartøjer.</w:t>
      </w:r>
    </w:p>
    <w:p w14:paraId="58ACDBFB"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Videregivelse af oplysninger, som hidrører fra et andet medlemsland, kan dog alene ske, hvis de myndigheder, der har afgivet oplysningerne, har givet deres udtrykkelige tilladelse hertil, og oplysningerne må kun benyttes til det formål, som tilladelsen vedrører, jf. lovforslagets stk. 4.</w:t>
      </w:r>
    </w:p>
    <w:p w14:paraId="7A80069E"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er en betingelse for videregivelsen, at de færøske tilsynsmyndigheder er omfattet af en tavshedspligt, der mindst svarer til den, der gælder efter 66, stk. 1, og at myndigheden har et konkret behov for oplysningerne til varetagelse af sine opgaver. Det er Finanstilsynet, der foretager vurderingen af, om betingelserne for videregivelse er opfyldt.</w:t>
      </w:r>
    </w:p>
    <w:p w14:paraId="1C8AE4D2" w14:textId="65CD66A9"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18</w:t>
      </w:r>
      <w:r w:rsidRPr="00796736">
        <w:rPr>
          <w:rFonts w:ascii="Times New Roman" w:hAnsi="Times New Roman" w:cs="Times New Roman"/>
          <w:sz w:val="24"/>
          <w:szCs w:val="24"/>
        </w:rPr>
        <w:t xml:space="preserve">, at Finanstilsynet får mulighed for at videregive fortrolige oplysninger til Datatilsynet som uafhængig tilsynsmyndighed for efterlevelse af databeskyttelsesreglerne, under forudsætning af, at Datatilsynet har behov for oplysningerne til varetagelsen af sine opgaver. </w:t>
      </w:r>
    </w:p>
    <w:p w14:paraId="177904DD" w14:textId="01926702"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gældende § 56, stk. 3, i hvidvaskloven indeholder ikke en adgang for Finanstilsynet til at dele fortrolige oplysninger med Datatilsynet. 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18, er således ny.</w:t>
      </w:r>
    </w:p>
    <w:p w14:paraId="18BC4B15"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det foreslåede nr. 18, kan Finanstilsynet videregive fortrolige oplysninger til Datatilsynet, når dette er nødvendigt for, at Datatilsynet kan varetage sine opgaver som uafhængig tilsynsmyndighed for databeskyttelsesreglerne, jf. dog stk. 4. Videregivelse af fortrolige oplysninger, der hidrører fra andre EU-lande eller lande, som EU har indgået aftale med på det finansielle område, kan alene ske, hvis de myndigheder, der har afgivet oplysningerne, har givet deres udtrykkelige tilladelse, og oplysningerne må kun benyttes til det formål, som tilladelsen vedrører.</w:t>
      </w:r>
    </w:p>
    <w:p w14:paraId="0A993255"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sikre, at Finanstilsynet i sin egenskab af supplerende tilsynsmyndighed i henhold til særregler udstedt i medfør af databeskyttelsesforordningen kan videregive relevante oplysninger til Datatilsynet, der er den uafhængige tilsynsmyndighed med databeskyttelsesreglerne i Danmark, jf. § 27, stk. 1, i databeskyttelsesloven.</w:t>
      </w:r>
    </w:p>
    <w:p w14:paraId="322CA838"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Datatilsynet fører i medfør af artikel 25 i databeskyttelsesforordningen tilsyn med databeskyttelse gennem design og databeskyttelse gennem standardindstillinger. Databeskyttelse gennem design og standardindstillinger indebærer, at den dataansvarlige allerede fra det tidspunkt, hvor midlerne for behandlingen fastlægges, f.eks. ved indkøb af et nyt it-system, skal gennemføre passende tekniske og organisatoriske foranstaltninger, som er designet med henblik på at sikre en effektiv implementering af de grundlæggende databeskyttelsesprincipper, som f.eks. lovlighed, rimelighed og gennemsigtighed. Den dataansvarlige skal således på forhånd have designet og indrettet sin it-mæssige og organisatoriske forretningsunderstøttelse af behandlinger sådan, at forordningens krav og beskyttelseshensyn varetages som en integreret del i hele behandlingsforløbet. </w:t>
      </w:r>
    </w:p>
    <w:p w14:paraId="763E2ECD"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Adgangen til at videregive fortrolige oplysninger til Datatilsynet vil sikre, at Datatilsynet f.eks. i forbindelse med behandling af en sag, som Finanstilsynet allerede har behandlet, kan genbruge de data, som er indhentet hos den pågældende finansielle virksomhed, og dermed vil den finansielle virksomhed undgå at skulle afgive de samme oplysninger flere gange. </w:t>
      </w:r>
    </w:p>
    <w:p w14:paraId="4A967318"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Desuden sikrer bestemmelsen, at myndighederne kan udveksle informationer om igangværende sager, og som følge heraf vil ændringen være med til at styrke samarbejdet mellem Finanstilsynet og Datatilsynet. Det bemærkes, at muligheden for at videregive fortrolige oplysninger til Datatilsynet ikke er begrænset til de ovenfor fremførte eksempler. </w:t>
      </w:r>
    </w:p>
    <w:p w14:paraId="08CA4D0B" w14:textId="66BB8A68"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Finanstilsynets videregivelse af fortrolige oplysninger til Datatilsynet gælder det, at fortroligheden følger oplysningerne, jf.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4. Det indebærer, at ved Finanstilsynets videregivelse af fortrolige oplysninger vil Datatilsynet være omfattet af den samme skærpede tavshedspligt, som Finanstilsynets ansatte er underlagt efter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Det er hensigten, at udvekslingen af fortrolige oplysninger mellem Finanstilsynet og Datatilsynet begrænses til, hvad der er relevant og forholdsmæssigt under hensyn til formålet med udvekslingen.</w:t>
      </w:r>
    </w:p>
    <w:p w14:paraId="53FA52FF"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skal det bemærkes, at ved eventuel videregivelse af personoplysninger vil de gældende regler vedrørende persondatabeskyttelse finde anvendelse, hvorfor behandlingen af persondata altid vil ske under iagttagelse af gældende lovgivning, herunder databeskyttelsesforordningen og databeskyttelsesloven. </w:t>
      </w:r>
    </w:p>
    <w:p w14:paraId="1CCD5456" w14:textId="26F79C1A" w:rsidR="008173F1"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19</w:t>
      </w:r>
      <w:r w:rsidRPr="00796736">
        <w:rPr>
          <w:rFonts w:ascii="Times New Roman" w:hAnsi="Times New Roman" w:cs="Times New Roman"/>
          <w:sz w:val="24"/>
          <w:szCs w:val="24"/>
        </w:rPr>
        <w:t xml:space="preserve">, at Finanstilsynet kan videregive fortrolige oplysninger til tilsynsmyndigheder </w:t>
      </w:r>
      <w:r w:rsidRPr="00796736">
        <w:rPr>
          <w:rFonts w:ascii="Times New Roman" w:eastAsia="Calibri" w:hAnsi="Times New Roman" w:cs="Times New Roman"/>
          <w:iCs/>
          <w:sz w:val="24"/>
          <w:szCs w:val="24"/>
        </w:rPr>
        <w:t xml:space="preserve">i et land indenfor den Europæiske Union eller et land, som Unionen har indgået aftale med på det finansielle område, der har ansvaret for tilsyn med personers </w:t>
      </w:r>
      <w:r w:rsidRPr="00796736">
        <w:rPr>
          <w:rFonts w:ascii="Times New Roman" w:hAnsi="Times New Roman" w:cs="Times New Roman"/>
          <w:sz w:val="24"/>
          <w:szCs w:val="24"/>
        </w:rPr>
        <w:t>og virksomheders overholdelse</w:t>
      </w:r>
      <w:r w:rsidR="008173F1" w:rsidRPr="00796736">
        <w:rPr>
          <w:rFonts w:ascii="Times New Roman" w:hAnsi="Times New Roman" w:cs="Times New Roman"/>
          <w:sz w:val="24"/>
          <w:szCs w:val="24"/>
        </w:rPr>
        <w:t xml:space="preserve"> af hvidvaskforordningen</w:t>
      </w:r>
      <w:r w:rsidRPr="00796736">
        <w:rPr>
          <w:rFonts w:ascii="Times New Roman" w:hAnsi="Times New Roman" w:cs="Times New Roman"/>
          <w:sz w:val="24"/>
          <w:szCs w:val="24"/>
        </w:rPr>
        <w:t xml:space="preserve">, forordningen om oplysninger, der skal medsendes ved pengeoverførsler og ved overførsler af visse kryptoaktiver, samt forordninger indeholdende regler om finansielle sanktioner mod lande, personer, grupper, juridiske enheder eller organer. </w:t>
      </w:r>
    </w:p>
    <w:p w14:paraId="454EDCB9" w14:textId="4B3A75FD"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Endvidere foreslås det, at videregivelse kan ske under forudsætning af, at modtageren har behov for oplysningerne til varetagelse af sine opgaver. </w:t>
      </w:r>
    </w:p>
    <w:p w14:paraId="7D76881C" w14:textId="465E3585"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19, viderefører § 56, stk. 3, nr. 18, i hvidvaskloven.</w:t>
      </w:r>
    </w:p>
    <w:p w14:paraId="47509162" w14:textId="33F045AA"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w:t>
      </w:r>
      <w:r w:rsidR="008173F1"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t xml:space="preserve">bestemmelse er at sikre, at relevante tilsynsmyndigheder kan få adgang til nødvendige oplysninger for at kunne udføre deres opgaver effektivt, herunder bekæmpelse af hvidvask, finansiering af terrorisme og overholdelse af finansielle sanktioner. </w:t>
      </w:r>
    </w:p>
    <w:p w14:paraId="78E63623"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Videregivelse af oplysninger, som hidrører fra et andet medlemsland, kan alene ske, hvis de myndigheder, der har afgivet oplysningerne, har givet deres udtrykkelige tilladelse hertil, og oplysningerne må kun benyttes til det formål, som tilladelsen vedrører, jf. lovforslagets stk. 4.</w:t>
      </w:r>
    </w:p>
    <w:p w14:paraId="32B7DF3E" w14:textId="2E05DB36"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modtageren. Det indebærer, at modtageren bliver underlagt den samme tavshedspligt, som gælder for Finanstilsynet, og skal behandle oplysningerne fortroligt i overensstemmelse med lovforslagets bestemmelser.</w:t>
      </w:r>
    </w:p>
    <w:p w14:paraId="52FC112F" w14:textId="4A83BB16"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nr. 20</w:t>
      </w:r>
      <w:r w:rsidRPr="00796736">
        <w:rPr>
          <w:rFonts w:ascii="Times New Roman" w:hAnsi="Times New Roman" w:cs="Times New Roman"/>
          <w:sz w:val="24"/>
          <w:szCs w:val="24"/>
        </w:rPr>
        <w:t>, at Finanstilsynet kan videregive fortrolige oplysninger til finansielle tilsynsmyndigheder</w:t>
      </w:r>
      <w:r w:rsidRPr="00796736">
        <w:rPr>
          <w:rFonts w:ascii="Times New Roman" w:eastAsia="Calibri" w:hAnsi="Times New Roman" w:cs="Times New Roman"/>
          <w:iCs/>
          <w:sz w:val="24"/>
          <w:szCs w:val="24"/>
        </w:rPr>
        <w:t xml:space="preserve"> i lande uden for den Europæiske Union eller et land, som Unionen ikke har indgået aftale med på det finansielle område, </w:t>
      </w:r>
      <w:r w:rsidRPr="00796736">
        <w:rPr>
          <w:rFonts w:ascii="Times New Roman" w:hAnsi="Times New Roman" w:cs="Times New Roman"/>
          <w:sz w:val="24"/>
          <w:szCs w:val="24"/>
        </w:rPr>
        <w:t>der har ansvaret for tilsyn med personers og virksomheders overholdelse af lovgivning om forebyggende foranstaltninger mod hvidvask af udbytte og finansiering af terrorisme.</w:t>
      </w:r>
    </w:p>
    <w:p w14:paraId="2B2C12BD" w14:textId="77777777" w:rsidR="00653200" w:rsidRPr="00796736" w:rsidRDefault="00653200" w:rsidP="00A802A5">
      <w:pPr>
        <w:spacing w:line="360" w:lineRule="auto"/>
        <w:rPr>
          <w:rFonts w:ascii="Times New Roman" w:hAnsi="Times New Roman" w:cs="Times New Roman"/>
          <w:sz w:val="24"/>
          <w:szCs w:val="24"/>
        </w:rPr>
      </w:pPr>
    </w:p>
    <w:p w14:paraId="54D7AE42" w14:textId="644FA223"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foreslående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20, videreføre § 56, stk. 3, nr. 19, i hvidvaskloven. </w:t>
      </w:r>
    </w:p>
    <w:p w14:paraId="7144EC65"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bestemmelsen kan Finanstilsynet videregive fortrolige oplysninger til myndigheder og organer, som er ansvarlige for at opretholde den finansielle stabilitet gennem makroprudentiel regulering, og myndigheder eller organer, som har til formål at sikre den finansielle stabilitet. </w:t>
      </w:r>
    </w:p>
    <w:p w14:paraId="7C2DD766"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Danmark sker arbejdet med finansiel stabilitet med deltagelse af Danmarks Nationalbank, Finanstilsynet og de økonomiske ministerier. Koordinationen sker i regi af Koordinationsudvalget for Finansiel Stabilitet og omhandler primært krisehåndtering. Finanstilsynet er ansvarlig for tilsynet med de finansielle virksomheder og markeder og tager i den forbindelse hensyn til sikring af finansiel stabilitet, mens Danmarks Nationalbank tilsvarende har det som et af sine hovedformål at bidrage til sikring af finansiel stabilitet. De økonomiske ministerier overvåger ligeledes den finansielle stabilitet og samfundsøkonomien generelt. Efter henstilling i december 2011 fra ESRB blev Det Systemiske Råd endvidere oprettet i 2012. Med bestemmelsen sikres det, at Finanstilsynet kan videregive fortrolige oplysninger til de tilsvarende myndigheder, organer m.v., som varetager de omhandlede funktioner i tredjelande.</w:t>
      </w:r>
    </w:p>
    <w:p w14:paraId="05AD55E0" w14:textId="0C70573C"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en betingelse for at videregive fortrolige oplysninger i medfør af det foreslåede nr. 20, at modtagerne mindst er underlagt en lovbestemt tavshedspligt, der svarer til tavshedspligten i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at modtagerne af oplysningerne har behov herfor til varetagelsen af deres opgaver, </w:t>
      </w:r>
      <w:bookmarkStart w:id="2095" w:name="_Hlk221021240"/>
      <w:r w:rsidRPr="00796736">
        <w:rPr>
          <w:rFonts w:ascii="Times New Roman" w:hAnsi="Times New Roman" w:cs="Times New Roman"/>
          <w:sz w:val="24"/>
          <w:szCs w:val="24"/>
        </w:rPr>
        <w:t xml:space="preserve">og at der er indgået en samarbejdsaftale mellem landene, jf. stk. 3.  </w:t>
      </w:r>
      <w:bookmarkEnd w:id="2095"/>
    </w:p>
    <w:p w14:paraId="65C4228D"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Videregivelse af oplysninger, som hidrører fra </w:t>
      </w:r>
      <w:r w:rsidRPr="00796736">
        <w:rPr>
          <w:rFonts w:ascii="Times New Roman" w:eastAsia="Calibri" w:hAnsi="Times New Roman" w:cs="Times New Roman"/>
          <w:iCs/>
          <w:sz w:val="24"/>
          <w:szCs w:val="24"/>
        </w:rPr>
        <w:t>lande uden for den Europæiske Union eller et land, som Unionen ikke har indgået aftale med på det finansielle område</w:t>
      </w:r>
      <w:r w:rsidRPr="00796736">
        <w:rPr>
          <w:rFonts w:ascii="Times New Roman" w:hAnsi="Times New Roman" w:cs="Times New Roman"/>
          <w:sz w:val="24"/>
          <w:szCs w:val="24"/>
        </w:rPr>
        <w:t>, kan dog alene ske, hvis de myndigheder, som har afgivet oplysningerne, har givet deres udtrykkelige tilladelse hertil, ligesom oplysningerne udelukkende må benyttes til det formål, som tilladelsen vedrører, jf. lovforslagets stk. 4.</w:t>
      </w:r>
    </w:p>
    <w:p w14:paraId="306E738F"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nr. 21</w:t>
      </w:r>
      <w:r w:rsidRPr="00796736">
        <w:rPr>
          <w:rFonts w:ascii="Times New Roman" w:hAnsi="Times New Roman" w:cs="Times New Roman"/>
          <w:sz w:val="24"/>
          <w:szCs w:val="24"/>
        </w:rPr>
        <w:t xml:space="preserve">, at Finanstilsynet kan videregive fortrolige oplysninger til finansielle efterretningsenheder (FIU) i </w:t>
      </w:r>
      <w:r w:rsidRPr="00796736">
        <w:rPr>
          <w:rFonts w:ascii="Times New Roman" w:eastAsia="Calibri" w:hAnsi="Times New Roman" w:cs="Times New Roman"/>
          <w:iCs/>
          <w:sz w:val="24"/>
          <w:szCs w:val="24"/>
        </w:rPr>
        <w:t>et land inden for den Europæiske Union eller et land, som Unionen har indgået aftale med på det finansielle område</w:t>
      </w:r>
      <w:r w:rsidRPr="00796736">
        <w:rPr>
          <w:rFonts w:ascii="Times New Roman" w:hAnsi="Times New Roman" w:cs="Times New Roman"/>
          <w:sz w:val="24"/>
          <w:szCs w:val="24"/>
        </w:rPr>
        <w:t>, i det omfang videregivelsen er nødvendig for, at disse enheder kan varetage deres opgaver i henhold til regler om forebyggelse og bekæmpelse af hvidvask og finansiering af terrorisme.</w:t>
      </w:r>
    </w:p>
    <w:p w14:paraId="185403DA"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56, stk. 3, giver ikke Finanstilsynet adgang til at dele fortrolige oplysninger direkte med finansielle efterretningsenheder (FIU) i </w:t>
      </w:r>
      <w:r w:rsidRPr="00796736">
        <w:rPr>
          <w:rFonts w:ascii="Times New Roman" w:eastAsia="Calibri" w:hAnsi="Times New Roman" w:cs="Times New Roman"/>
          <w:iCs/>
          <w:sz w:val="24"/>
          <w:szCs w:val="24"/>
        </w:rPr>
        <w:t>et land inden for den Europæiske Union eller et land, som Unionen har indgået aftale med på det finansielle område</w:t>
      </w:r>
      <w:r w:rsidRPr="00796736">
        <w:rPr>
          <w:rFonts w:ascii="Times New Roman" w:hAnsi="Times New Roman" w:cs="Times New Roman"/>
          <w:sz w:val="24"/>
          <w:szCs w:val="24"/>
        </w:rPr>
        <w:t>, i det omfang videregivelsen er nødvendig for, at disse enheder kan varetage deres opgaver i henhold til regler om forebyggelse og bekæmpelse af hvidvask og finansiering af terrorisme.</w:t>
      </w:r>
    </w:p>
    <w:p w14:paraId="6A247FEF" w14:textId="47AB0B3B"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21, indføres der derfor en ny adgang for Finanstilsynet til at videregive fortrolige oplysninger til finansielle efterretningsenheder (FIU) i både </w:t>
      </w:r>
      <w:r w:rsidRPr="00796736">
        <w:rPr>
          <w:rFonts w:ascii="Times New Roman" w:eastAsia="Calibri" w:hAnsi="Times New Roman" w:cs="Times New Roman"/>
          <w:iCs/>
          <w:sz w:val="24"/>
          <w:szCs w:val="24"/>
        </w:rPr>
        <w:t>lande inden for den Europæiske Union eller et land, som Unionen har indgået aftale med på det finansielle område</w:t>
      </w:r>
      <w:r w:rsidRPr="00796736">
        <w:rPr>
          <w:rFonts w:ascii="Times New Roman" w:hAnsi="Times New Roman" w:cs="Times New Roman"/>
          <w:sz w:val="24"/>
          <w:szCs w:val="24"/>
        </w:rPr>
        <w:t>.</w:t>
      </w:r>
    </w:p>
    <w:p w14:paraId="154CE771"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har til formål at styrke det internationale samarbejde om bekæmpelse af hvidvask og terrorfinansiering ved at sikre, at relevante oplysninger kan udveksles direkte mellem Finanstilsynet og finansielle efterretningsenheder. Bestemmelsen vil muliggøre en direkte udveksling af oplysninger mellem Finanstilsynet og finansielle efterretningsenheder, hvilket generelt vil medføre en friere dialog og styrke samarbejdet om forebyggelse og bekæmpelse af hvidvask og terrorfinansiering. Dette kan eksempelvis være relevant i forbindelse med konkrete sager, hvor der er behov for at dele oplysninger om mistænkelige transaktioner eller andre forhold, der kan have betydning for FIU’ernes opgavevaretagelse.</w:t>
      </w:r>
    </w:p>
    <w:p w14:paraId="425797F1"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nr. 22</w:t>
      </w:r>
      <w:r w:rsidRPr="00796736">
        <w:rPr>
          <w:rFonts w:ascii="Times New Roman" w:hAnsi="Times New Roman" w:cs="Times New Roman"/>
          <w:sz w:val="24"/>
          <w:szCs w:val="24"/>
        </w:rPr>
        <w:t xml:space="preserve">, at Finanstilsynet kan videregive fortrolige oplysninger til Den Europæiske Centralbank (ECB), når ECB handler i medfør af Rådets forordning 1024/2013/EU af 15. oktober 2013 om overdragelse af specifikke opgaver til Den Europæiske Centralbank i forbindelse med politikker vedrørende tilsyn med kreditinstitutter. </w:t>
      </w:r>
    </w:p>
    <w:p w14:paraId="356CD3BD" w14:textId="6C3618C3"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22, viderefører indholdet af § 56, stk. 3, nr. 20, i hvidvaskloven.</w:t>
      </w:r>
    </w:p>
    <w:p w14:paraId="2B03D5AC"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indebærer, at Finanstilsynet kan videregive fortrolige oplysninger, som Finanstilsynet har fået kendskab til gennem sin tilsynsvirksomhed, til ECB, når den handler i medfør af Rådets forordning 1024/2013/EU af 15. oktober 2013 om overdragelse af specifikke opgaver til Den Europæiske Centralbank i forbindelse med politikker vedrørende tilsyn med kreditinstitutter. </w:t>
      </w:r>
    </w:p>
    <w:p w14:paraId="4D29036C"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er at sikre, at ECB som tilsynsmyndighed har adgang til de nødvendige oplysninger for at kunne udføre sine opgaver i forbindelse med tilsynet med kreditinstitutter.</w:t>
      </w:r>
    </w:p>
    <w:p w14:paraId="39751B34" w14:textId="0A76B70E"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Når ECB modtager fortrolige oplysninger fra Finanstilsynet i henhold til denne bestemmelse, bliver ECB underlagt den samme tavshedspligt, som gælder for Finanstilsynet, jf.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Dette sikrer, at fortrolige oplysninger fortsat beskyttes, selvom de videregives til ECB.</w:t>
      </w:r>
    </w:p>
    <w:p w14:paraId="5CA172FB"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ændrer ikke på den gældende retstilstand, men viderefører den eksisterende adgang til videregivelse af fortrolige oplysninger til ECB i forbindelse med ECB’s tilsynsopgaver efter forordning 1024/2013/EU.</w:t>
      </w:r>
    </w:p>
    <w:p w14:paraId="38C4DFE6" w14:textId="2B114745"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nr. 23</w:t>
      </w:r>
      <w:r w:rsidRPr="00796736">
        <w:rPr>
          <w:rFonts w:ascii="Times New Roman" w:hAnsi="Times New Roman" w:cs="Times New Roman"/>
          <w:sz w:val="24"/>
          <w:szCs w:val="24"/>
        </w:rPr>
        <w:t xml:space="preserve">, at Finanstilsynet kan videregive fortrolige oplysninger til Den Europæiske Banktilsynsmyndighed (EBA), Det Europæiske Råd for Systemiske Risici (ESRB), Den Europæiske Tilsynsmyndighed for Forsikrings- og Arbejdsmarkedspensionsordninger (EIOPA) og Den Europæiske Værdipapir- og Markedstilsynsmyndighed (ESMA) samt organer etableret af disse, når modtagerne af oplysningerne har behov herfor til varetagelsen af deres opgaver. </w:t>
      </w:r>
    </w:p>
    <w:p w14:paraId="178397BF" w14:textId="09FB0FE1"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23, viderefører indholdet af § 56, stk. 3, nr. 21, i hvidvaskloven. </w:t>
      </w:r>
    </w:p>
    <w:p w14:paraId="2E613FFF" w14:textId="29105486"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kan Finanstilsynet videregive fortrolige oplysninger, som Finanstilsynet har fået kendskab til gennem sin tilsynsvirksomhed, til Den Europæiske Banktilsynsmyndighed, Det Europæiske Råd for Systemiske Risici, Den Europæiske Tilsynsmyndighed for Forsikrings- og Arbejdsmarkedspensionsordninger og Den Europæiske Værdipapir- og Markedstilsynsmyndighed samt organer etableret af disse, når det er nødvendigt for, at modtageren kan varetage sine opgaver. </w:t>
      </w:r>
    </w:p>
    <w:p w14:paraId="4670D1EF" w14:textId="42D45552"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de nævnte myndigheder og organer. Det indebærer, at modtageren bliver underlagt den samme tavshedspligt, som gælder for Finanstilsynet, og skal behandle oplysningerne fortroligt i overensstemmelse med lovforslagets bestemmelser.</w:t>
      </w:r>
    </w:p>
    <w:p w14:paraId="713299FC"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ændrer ikke på den gældende retstilstand, men viderefører den eksisterende adgang til videregivelse af fortrolige oplysninger til de nævnte europæiske myndigheder og organer under de angivne betingelser.</w:t>
      </w:r>
    </w:p>
    <w:p w14:paraId="2783A05C" w14:textId="77777777" w:rsidR="000E0DF1" w:rsidRPr="00796736" w:rsidRDefault="000E0DF1" w:rsidP="00A802A5">
      <w:pPr>
        <w:spacing w:line="360" w:lineRule="auto"/>
        <w:rPr>
          <w:rFonts w:ascii="Times New Roman" w:eastAsia="Calibri" w:hAnsi="Times New Roman" w:cs="Times New Roman"/>
          <w:iCs/>
          <w:color w:val="000000" w:themeColor="text1"/>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nr. 24</w:t>
      </w:r>
      <w:r w:rsidRPr="00796736">
        <w:rPr>
          <w:rFonts w:ascii="Times New Roman" w:hAnsi="Times New Roman" w:cs="Times New Roman"/>
          <w:sz w:val="24"/>
          <w:szCs w:val="24"/>
        </w:rPr>
        <w:t xml:space="preserve">, at Finanstilsynet får mulighed for at videregive fortrolige oplysninger til </w:t>
      </w:r>
      <w:r w:rsidRPr="00796736">
        <w:rPr>
          <w:rFonts w:ascii="Times New Roman" w:eastAsia="Calibri" w:hAnsi="Times New Roman" w:cs="Times New Roman"/>
          <w:iCs/>
          <w:color w:val="000000" w:themeColor="text1"/>
          <w:sz w:val="24"/>
          <w:szCs w:val="24"/>
        </w:rPr>
        <w:t>Myndigheden for Bekæmpelse af Hvidvask af Penge og Finansiering af Terrorisme (AMLA), under forudsætningen af, at AMLA har behov for oplysningerne til varetagelse af sine opgaver.</w:t>
      </w:r>
    </w:p>
    <w:p w14:paraId="1F2134E3" w14:textId="77777777" w:rsidR="000E0DF1" w:rsidRPr="00796736" w:rsidRDefault="000E0DF1" w:rsidP="00A802A5">
      <w:pPr>
        <w:spacing w:line="360" w:lineRule="auto"/>
        <w:rPr>
          <w:rFonts w:ascii="Times New Roman" w:eastAsia="Calibri" w:hAnsi="Times New Roman" w:cs="Times New Roman"/>
          <w:iCs/>
          <w:color w:val="000000" w:themeColor="text1"/>
          <w:sz w:val="24"/>
          <w:szCs w:val="24"/>
        </w:rPr>
      </w:pPr>
    </w:p>
    <w:p w14:paraId="207D1BC9" w14:textId="22406ED8" w:rsidR="000E0DF1" w:rsidRPr="00796736" w:rsidRDefault="000E0D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Finanstilsynet får mulighed for at videregive fortrolige oplysninger til AMLA, når det er nødvendigt for AMLA’s varetagelse af sine opgaver.</w:t>
      </w:r>
    </w:p>
    <w:p w14:paraId="407875F3" w14:textId="05A1F823" w:rsidR="000E0DF1" w:rsidRPr="00796736" w:rsidRDefault="000E0D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følge af oprettelsen af AMLA i henhold til Europa-Parlamentets og Rådets forordning (EU) 2024/1620</w:t>
      </w:r>
      <w:r w:rsidR="00714BC3">
        <w:rPr>
          <w:rFonts w:ascii="Times New Roman" w:hAnsi="Times New Roman" w:cs="Times New Roman"/>
          <w:sz w:val="24"/>
          <w:szCs w:val="24"/>
        </w:rPr>
        <w:t xml:space="preserve"> (AMLA-forordningen)</w:t>
      </w:r>
      <w:r w:rsidRPr="00796736">
        <w:rPr>
          <w:rFonts w:ascii="Times New Roman" w:hAnsi="Times New Roman" w:cs="Times New Roman"/>
          <w:sz w:val="24"/>
          <w:szCs w:val="24"/>
        </w:rPr>
        <w:t xml:space="preserve"> og gennemfører artikel 67, stk. 2, litra a, i 6. hvidvaskdirektiv.</w:t>
      </w:r>
    </w:p>
    <w:p w14:paraId="5B8459F8" w14:textId="40881AC9" w:rsidR="000E0DF1" w:rsidRPr="00796736" w:rsidRDefault="000E0D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AMLA fungerer både som central tilsynsmyndighed med direkte tilsyn over visse finansielle enheder og som koordinerende instans over for de nationale tilsynsmyndigheder. AMLA har desuden regulatoriske opgaver, herunder udarbejdelse af tekniske standarder og retningslinjer. </w:t>
      </w:r>
    </w:p>
    <w:p w14:paraId="7F7C5A47" w14:textId="779230CC" w:rsidR="000E0DF1" w:rsidRPr="00796736" w:rsidRDefault="000C12C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0E0DF1" w:rsidRPr="00796736">
        <w:rPr>
          <w:rFonts w:ascii="Times New Roman" w:hAnsi="Times New Roman" w:cs="Times New Roman"/>
          <w:sz w:val="24"/>
          <w:szCs w:val="24"/>
        </w:rPr>
        <w:t xml:space="preserve"> indebærer desuden, at Finanstilsynet kan videregive fortrolige oplysninger til AMLA om virksomheder og personer, der forbliver under direkte tilsyn på nationalt plan, under forudsætning af, at AMLA anmoder herom, og at oplysningerne er nødvendige for udførelsen af AMLA’s opgaver i henhold til artikel 5, stk. 1, 3 og 4, i </w:t>
      </w:r>
      <w:r w:rsidR="00714BC3">
        <w:rPr>
          <w:rFonts w:ascii="Times New Roman" w:eastAsia="Calibri" w:hAnsi="Times New Roman" w:cs="Times New Roman"/>
          <w:iCs/>
          <w:sz w:val="24"/>
          <w:szCs w:val="24"/>
        </w:rPr>
        <w:t>AMLA-forordningen</w:t>
      </w:r>
      <w:r w:rsidR="000E0DF1" w:rsidRPr="00796736">
        <w:rPr>
          <w:rFonts w:ascii="Times New Roman" w:eastAsia="Calibri" w:hAnsi="Times New Roman" w:cs="Times New Roman"/>
          <w:iCs/>
          <w:sz w:val="24"/>
          <w:szCs w:val="24"/>
        </w:rPr>
        <w:t xml:space="preserve">, jf. artikel 7, stk. 2 og 3, i </w:t>
      </w:r>
      <w:r w:rsidR="00714BC3">
        <w:rPr>
          <w:rFonts w:ascii="Times New Roman" w:eastAsia="Calibri" w:hAnsi="Times New Roman" w:cs="Times New Roman"/>
          <w:iCs/>
          <w:sz w:val="24"/>
          <w:szCs w:val="24"/>
        </w:rPr>
        <w:t>AMLA-forordningen</w:t>
      </w:r>
      <w:r w:rsidR="000E0DF1" w:rsidRPr="00796736">
        <w:rPr>
          <w:rFonts w:ascii="Times New Roman" w:hAnsi="Times New Roman" w:cs="Times New Roman"/>
          <w:sz w:val="24"/>
          <w:szCs w:val="24"/>
        </w:rPr>
        <w:t>. Oplysningerne kan eksempelvis vedrøre forhold, der er relevante for AMLA’s overordnede tilsyns- og koordineringsopgaver, herunder overvågning af nationale tilsynsmyndigheders aktiviteter samt vurdering af risici og trusler på tværs af medlemsstaterne.</w:t>
      </w:r>
    </w:p>
    <w:p w14:paraId="522F5805" w14:textId="77777777" w:rsidR="000C12C1" w:rsidRPr="00796736" w:rsidRDefault="000C12C1" w:rsidP="00A802A5">
      <w:pPr>
        <w:spacing w:line="360" w:lineRule="auto"/>
        <w:rPr>
          <w:rFonts w:ascii="Times New Roman" w:hAnsi="Times New Roman" w:cs="Times New Roman"/>
          <w:sz w:val="24"/>
          <w:szCs w:val="24"/>
        </w:rPr>
      </w:pPr>
    </w:p>
    <w:p w14:paraId="7713FFC5" w14:textId="4479CF76" w:rsidR="000E0DF1" w:rsidRPr="00796736" w:rsidRDefault="000E0DF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Hjemlen til videregivelse af fortrolige oplysninger til AMLA omfatter både AMLA’s generelle opgaver, såsom udarbejdelse af risikovurderinger, modtagelse af indberetninger og udarbejdelse af tekniske standarder, samt AMLA’s direkte tilsyn med udvalgte virksomheder. Finanstilsynet kan således videregive fortrolige oplysninger til AMLA, når dette er nødvendigt for varetagelsen af både generelle og koordinerende opgaver samt i forbindelse med direkte tilsyn med virksomheder.</w:t>
      </w:r>
    </w:p>
    <w:p w14:paraId="2FC4ED6E" w14:textId="55B3DD5D" w:rsidR="000C12C1" w:rsidRPr="00796736" w:rsidRDefault="000C12C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_Ref232597582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de nævnte myndigheder og organer. Det indebærer, at modtageren bliver underlagt den samme tavshedspligt, som gælder for Finanstilsynet, og skal behandle oplysningerne fortroligt i overensstemmelse med lovforslagets bestemmelser.</w:t>
      </w:r>
    </w:p>
    <w:p w14:paraId="3D4A426C" w14:textId="4E2468C4"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nr. 2</w:t>
      </w:r>
      <w:r w:rsidR="000E0DF1" w:rsidRPr="00796736">
        <w:rPr>
          <w:rFonts w:ascii="Times New Roman" w:hAnsi="Times New Roman" w:cs="Times New Roman"/>
          <w:i/>
          <w:iCs/>
          <w:sz w:val="24"/>
          <w:szCs w:val="24"/>
        </w:rPr>
        <w:t>5</w:t>
      </w:r>
      <w:r w:rsidRPr="00796736">
        <w:rPr>
          <w:rFonts w:ascii="Times New Roman" w:hAnsi="Times New Roman" w:cs="Times New Roman"/>
          <w:sz w:val="24"/>
          <w:szCs w:val="24"/>
        </w:rPr>
        <w:t xml:space="preserve">, at Finanstilsynet får mulighed for at videregive fortrolige oplysninger til Den Internationale Valutafond (IMF) og Verdensbanken med henblik på vurderinger som led i programmet til vurdering af den finansielle sektor, efter udtrykkelig anmodning og under forudsætning af, at de har behov for oplysningerne til varetagelsen af deres opgave. </w:t>
      </w:r>
    </w:p>
    <w:p w14:paraId="64E2F609"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56, stk. 3, i hvidvaskloven har Finanstilsynet ikke adgang til at dele fortrolige oplysninger med IMF eller Verdensbanken. </w:t>
      </w:r>
    </w:p>
    <w:p w14:paraId="72059813" w14:textId="77777777" w:rsidR="00653200" w:rsidRPr="00796736" w:rsidRDefault="00653200" w:rsidP="00A802A5">
      <w:pPr>
        <w:spacing w:line="360" w:lineRule="auto"/>
        <w:rPr>
          <w:rFonts w:ascii="Times New Roman" w:hAnsi="Times New Roman" w:cs="Times New Roman"/>
          <w:sz w:val="24"/>
          <w:szCs w:val="24"/>
        </w:rPr>
      </w:pPr>
    </w:p>
    <w:p w14:paraId="5BA804D1" w14:textId="69056888"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2</w:t>
      </w:r>
      <w:r w:rsidR="000E0DF1" w:rsidRPr="00796736">
        <w:rPr>
          <w:rFonts w:ascii="Times New Roman" w:hAnsi="Times New Roman" w:cs="Times New Roman"/>
          <w:sz w:val="24"/>
          <w:szCs w:val="24"/>
        </w:rPr>
        <w:t>5</w:t>
      </w:r>
      <w:r w:rsidRPr="00796736">
        <w:rPr>
          <w:rFonts w:ascii="Times New Roman" w:hAnsi="Times New Roman" w:cs="Times New Roman"/>
          <w:sz w:val="24"/>
          <w:szCs w:val="24"/>
        </w:rPr>
        <w:t>, indføres der derfor en ny adgang for Finanstilsynet til at videregive fortrolige oplysninger til IMF og Verdensbanken, når disse institutioner foretager en undersøgelse af Finanstilsynet, eksempelvis som led i vurderinger af tilsynets funktion eller effektivitet.</w:t>
      </w:r>
    </w:p>
    <w:p w14:paraId="57CD9FC4" w14:textId="77777777" w:rsidR="00653200" w:rsidRPr="00796736" w:rsidRDefault="00653200" w:rsidP="00A802A5">
      <w:pPr>
        <w:spacing w:line="360" w:lineRule="auto"/>
        <w:rPr>
          <w:rFonts w:ascii="Times New Roman" w:hAnsi="Times New Roman" w:cs="Times New Roman"/>
          <w:sz w:val="24"/>
          <w:szCs w:val="24"/>
        </w:rPr>
      </w:pPr>
    </w:p>
    <w:p w14:paraId="0676F3E1"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Videregivelsen af oplysninger kan kun ske, hvis IMF eller Verdensbanken konkret anmoder herom, og hvis oplysningerne er nødvendige for, at de kan gennemføre deres undersøgelse af Finanstilsynet. </w:t>
      </w:r>
    </w:p>
    <w:p w14:paraId="1C76B1C4" w14:textId="77777777" w:rsidR="00653200" w:rsidRPr="00796736" w:rsidRDefault="00653200" w:rsidP="00A802A5">
      <w:pPr>
        <w:spacing w:line="360" w:lineRule="auto"/>
        <w:rPr>
          <w:rFonts w:ascii="Times New Roman" w:hAnsi="Times New Roman" w:cs="Times New Roman"/>
          <w:sz w:val="24"/>
          <w:szCs w:val="24"/>
        </w:rPr>
      </w:pPr>
    </w:p>
    <w:p w14:paraId="108E7A6E"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sikre, at IMF og Verdensbanken har adgang til de nødvendige oplysninger for at kunne foretage en grundig og fyldestgørende vurdering af Finanstilsynets virksomhed, herunder i forbindelse med internationale vurderings- eller evalueringsprogrammer.</w:t>
      </w:r>
    </w:p>
    <w:p w14:paraId="44FB99B7" w14:textId="77777777" w:rsidR="00653200" w:rsidRPr="00796736" w:rsidRDefault="00653200" w:rsidP="00A802A5">
      <w:pPr>
        <w:spacing w:line="360" w:lineRule="auto"/>
        <w:rPr>
          <w:rFonts w:ascii="Times New Roman" w:hAnsi="Times New Roman" w:cs="Times New Roman"/>
          <w:sz w:val="24"/>
          <w:szCs w:val="24"/>
        </w:rPr>
      </w:pPr>
    </w:p>
    <w:p w14:paraId="0344CD76" w14:textId="72303FB1"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IMF eller Verdensbanken. Det indebærer, at modtageren bliver underlagt den samme tavshedspligt, som gælder for Finanstilsynet, og skal behandle oplysningerne fortroligt i overensstemmelse med lovforslagets bestemmelser.</w:t>
      </w:r>
    </w:p>
    <w:p w14:paraId="018AE264" w14:textId="441F2FC2"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nr. 2</w:t>
      </w:r>
      <w:r w:rsidR="000E0DF1" w:rsidRPr="00796736">
        <w:rPr>
          <w:rFonts w:ascii="Times New Roman" w:hAnsi="Times New Roman" w:cs="Times New Roman"/>
          <w:i/>
          <w:iCs/>
          <w:sz w:val="24"/>
          <w:szCs w:val="24"/>
        </w:rPr>
        <w:t>6</w:t>
      </w:r>
      <w:r w:rsidRPr="00796736">
        <w:rPr>
          <w:rFonts w:ascii="Times New Roman" w:hAnsi="Times New Roman" w:cs="Times New Roman"/>
          <w:sz w:val="24"/>
          <w:szCs w:val="24"/>
        </w:rPr>
        <w:t xml:space="preserve">, at Finanstilsynet får mulighed for at videregive fortrolige oplysninger til Rådet for Finansiel Stabilitet (FSB) med henblik på dets tilsynsfunktion, efter udtrykkelig anmodning og under forudsætning af, at FSB har behov for oplysningerne til varetagelsen af sine opgave. </w:t>
      </w:r>
    </w:p>
    <w:p w14:paraId="481BC47C"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56, stk. 3, giver ikke Finanstilsynet adgang til at dele fortrolige oplysninger med FSB. </w:t>
      </w:r>
    </w:p>
    <w:p w14:paraId="6C4DB5AF" w14:textId="1AEA2C76"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2</w:t>
      </w:r>
      <w:r w:rsidR="000E0DF1" w:rsidRPr="00796736">
        <w:rPr>
          <w:rFonts w:ascii="Times New Roman" w:hAnsi="Times New Roman" w:cs="Times New Roman"/>
          <w:sz w:val="24"/>
          <w:szCs w:val="24"/>
        </w:rPr>
        <w:t>6</w:t>
      </w:r>
      <w:r w:rsidRPr="00796736">
        <w:rPr>
          <w:rFonts w:ascii="Times New Roman" w:hAnsi="Times New Roman" w:cs="Times New Roman"/>
          <w:sz w:val="24"/>
          <w:szCs w:val="24"/>
        </w:rPr>
        <w:t>, indføres der derfor en ny adgang for Finanstilsynet til at videregive fortrolige oplysninger til FSB, i tilfælde af, at der påbegyndes eller foretages en undersøgelse af Finanstilsynet, eksempelvis som led i vurderinger af tilsynets funktion eller effektivitet.</w:t>
      </w:r>
    </w:p>
    <w:p w14:paraId="7C3FF634"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bestemmelsen kan Finanstilsynet videregive fortrolige oplysninger til Rådet for Finansiel Stabilitet (FSB) med henblik på dets tilsynsfunktion, efter udtrykkelig anmodning og under forudsætning af, at FSB har behov for oplysningerne til varetagelsen af sine opgaver. Det er således en betingelse, at FSB konkret anmoder om oplysningerne, og at oplysningerne er nødvendige for, at FSB kan udføre sine tilsynsopgaver.</w:t>
      </w:r>
    </w:p>
    <w:p w14:paraId="3CD51E01" w14:textId="512D9884" w:rsidR="00653200" w:rsidRPr="00796736" w:rsidRDefault="00150F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w:t>
      </w:r>
      <w:r w:rsidR="00653200" w:rsidRPr="00796736">
        <w:rPr>
          <w:rFonts w:ascii="Times New Roman" w:hAnsi="Times New Roman" w:cs="Times New Roman"/>
          <w:sz w:val="24"/>
          <w:szCs w:val="24"/>
        </w:rPr>
        <w:t xml:space="preserve"> har til formål at sikre, at FSB har adgang til de nødvendige oplysninger for at kunne foretage en grundig og fyldestgørende vurdering af Finanstilsynets virksomhed, herunder i forbindelse med internationale vurderings- eller evalueringsprogrammer.</w:t>
      </w:r>
    </w:p>
    <w:p w14:paraId="56ECE29B"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har desuden til formål at understøtte FSB’s mulighed for at varetage sine opgaver i relation til overvågning og vurdering af den finansielle stabilitet på tværs af lande og sektorer.</w:t>
      </w:r>
    </w:p>
    <w:p w14:paraId="58BE30C5" w14:textId="52A5E982"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Tavshedspligten i henhold til lovforslagets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følger de oplysninger, der måtte blive videregivet fra Finanstilsynet til FSB. Det indebærer, at FSB bliver underlagt den samme tavshedspligt, som gælder for Finanstilsynet, og skal behandle oplysningerne fortroligt i overensstemmelse med lovforslagets bestemmelser.</w:t>
      </w:r>
    </w:p>
    <w:p w14:paraId="1361D4F4" w14:textId="12FEA7F2"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nr. 2</w:t>
      </w:r>
      <w:r w:rsidR="000E0DF1" w:rsidRPr="00796736">
        <w:rPr>
          <w:rFonts w:ascii="Times New Roman" w:hAnsi="Times New Roman" w:cs="Times New Roman"/>
          <w:i/>
          <w:iCs/>
          <w:sz w:val="24"/>
          <w:szCs w:val="24"/>
        </w:rPr>
        <w:t>7</w:t>
      </w:r>
      <w:r w:rsidRPr="00796736">
        <w:rPr>
          <w:rFonts w:ascii="Times New Roman" w:hAnsi="Times New Roman" w:cs="Times New Roman"/>
          <w:sz w:val="24"/>
          <w:szCs w:val="24"/>
        </w:rPr>
        <w:t xml:space="preserve">, at Finanstilsynet får mulighed for at videregive fortrolige oplysninger til midlertidige undersøgelsesudvalg nedsat af Europa-Parlamentet, hvis videregivelsen er nødvendig for udførelsen af disse udvalgs aktiviteter. </w:t>
      </w:r>
    </w:p>
    <w:p w14:paraId="2B3350E2"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gældende § 56, stk. 3, i hvidvaskloven omfatter ikke en adgang for Finanstilsynet til at dele fortrolige oplysninger med midlertidige undersøgelsesudvalg nedsat af Europa-Parlamentet i overensstemmelse med artikel 226 i REUF og artikel 2 i Europa-Parlamentets, Rådets og Kommissionens afgørelse 95/167/EF, Euratom, EKSF.</w:t>
      </w:r>
    </w:p>
    <w:p w14:paraId="6AB2C970" w14:textId="7A78D28F"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nr. 2</w:t>
      </w:r>
      <w:r w:rsidR="000E0DF1" w:rsidRPr="00796736">
        <w:rPr>
          <w:rFonts w:ascii="Times New Roman" w:hAnsi="Times New Roman" w:cs="Times New Roman"/>
          <w:sz w:val="24"/>
          <w:szCs w:val="24"/>
        </w:rPr>
        <w:t>7</w:t>
      </w:r>
      <w:r w:rsidRPr="00796736">
        <w:rPr>
          <w:rFonts w:ascii="Times New Roman" w:hAnsi="Times New Roman" w:cs="Times New Roman"/>
          <w:sz w:val="24"/>
          <w:szCs w:val="24"/>
        </w:rPr>
        <w:t xml:space="preserve">, indføres en adgang for Finanstilsynet til at videregive fortrolige oplysninger til midlertidige undersøgelsesudvalg nedsat af Europa-Parlamentet, hvis videregivelsen er nødvendig for udførelsen af disse udvalgs aktiviteter. </w:t>
      </w:r>
    </w:p>
    <w:p w14:paraId="67E6B7A2" w14:textId="2DAED439"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foreslåede i nr. 2</w:t>
      </w:r>
      <w:r w:rsidR="000E0DF1" w:rsidRPr="00796736">
        <w:rPr>
          <w:rFonts w:ascii="Times New Roman" w:hAnsi="Times New Roman" w:cs="Times New Roman"/>
          <w:sz w:val="24"/>
          <w:szCs w:val="24"/>
        </w:rPr>
        <w:t>7</w:t>
      </w:r>
      <w:r w:rsidRPr="00796736">
        <w:rPr>
          <w:rFonts w:ascii="Times New Roman" w:hAnsi="Times New Roman" w:cs="Times New Roman"/>
          <w:sz w:val="24"/>
          <w:szCs w:val="24"/>
        </w:rPr>
        <w:t xml:space="preserve"> implementerer artikel 68, stk. 3, sidste afsnit, i 6. hvidvaskdirektiv. </w:t>
      </w:r>
    </w:p>
    <w:p w14:paraId="191FBBEA" w14:textId="1E36D1AD"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videregivelse i henhold til stk. 1, nr. 20, kan alene ske på baggrund af en international samarbejdsaftale, og under forudsætningen af at modtagerne mindst er underlagt en lovbestemt tavshedspligt, der svarer til tavshedspligten i medfør af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har et væsentligt behov for oplysningerne til varetagelsen af deres opgaver. </w:t>
      </w:r>
    </w:p>
    <w:p w14:paraId="7178AF5C"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 56, stk. 4, i hvidvaskloven, at videregivelse i henhold til § 56, stk. 3, nr. 19, kan alene ske på baggrund af en international samarbejdsaftale, og under forudsætning af at modtagerne mindst er underlagt en lovbestemt tavshedspligt, der svarer til tavshedspligten i medfør af § 56, stk. 1, og har et væsentligt behov for oplysningerne til varetagelse af deres opgaver.</w:t>
      </w:r>
    </w:p>
    <w:p w14:paraId="3DEC54D5" w14:textId="577175B5"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foreslående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viderefører § 56 stk. 4, i hvidvaskloven. </w:t>
      </w:r>
    </w:p>
    <w:p w14:paraId="53E44C68" w14:textId="77777777" w:rsidR="00C61ECA" w:rsidRPr="00796736" w:rsidRDefault="00C61ECA" w:rsidP="00A802A5">
      <w:pPr>
        <w:spacing w:line="360" w:lineRule="auto"/>
        <w:rPr>
          <w:rFonts w:ascii="Times New Roman" w:hAnsi="Times New Roman" w:cs="Times New Roman"/>
          <w:sz w:val="24"/>
          <w:szCs w:val="24"/>
        </w:rPr>
      </w:pPr>
    </w:p>
    <w:p w14:paraId="234DDF88"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har til formål at sikre, at fortrolige oplysninger kun videregives til udenlandske myndigheder, når der er etableret et formelt grundlag for samarbejdet, og når der er tilstrækkelige garantier for, at oplysningerne behandles fortroligt og kun anvendes til det formål, de er videregivet til. Kravet om en international samarbejdsaftale skal sikre, at der er klare rammer for udvekslingen af oplysninger, herunder bestemmelser om tavshedspligt og anvendelse af oplysningerne.</w:t>
      </w:r>
    </w:p>
    <w:p w14:paraId="7D851F26"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forudsætter, at modtageren af oplysninger efter stk. 1, nr. 20, er underlagt en tavshedspligt, der mindst svarer til den, der gælder for tilsynsmyndighederne i EU- eller EØS-lande. </w:t>
      </w:r>
    </w:p>
    <w:p w14:paraId="7708DE3A"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Dette skal sikre, at fortrolige oplysninger ikke kommer til uvedkommendes kendskab eller anvendes til andre formål end de, der er relevante for modtagerens tilsynsopgaver. Endvidere skal modtageren have et væsentligt behov for oplysningerne, hvilket indebærer, at videregivelse kun kan ske, hvis oplysningerne er nødvendige for, at modtageren kan varetage sine lovbestemte opgaver.</w:t>
      </w:r>
    </w:p>
    <w:p w14:paraId="2A4246CA"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AMLA forventes senest den 10. juli 2029 at udarbejde udkast til gennemførelsesmæssige tekniske standarder og forelægge dem for Kommissionen med henblik på vedtagelse. Disse udkast til gennemførelsesmæssige tekniske standarder skal præcisere den model, der skal anvendes ved indgåelse af samarbejdsaftaler som omhandlet i artikel 51, stk. 1, i 6. hvidvaskdirektiv.</w:t>
      </w:r>
    </w:p>
    <w:p w14:paraId="4BA286A1" w14:textId="2614C0FF"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alle, der i henhold til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modtager fortrolige oplysninger fra Finanstilsynet, er med hensyn til disse oplysninger undergivet den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_Ref232597582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76</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omhandlende tavshedspligt.</w:t>
      </w:r>
    </w:p>
    <w:p w14:paraId="3513A0C3" w14:textId="04793F26"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foreslående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3, viderefører § 56 stk. 5, i hvidvaskloven. Der er foretaget ændringer således, at bestemmelsen udvides til at, tavshedspligten i lovforslagets</w:t>
      </w:r>
      <w:r w:rsidR="00E91B65"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stk. 1, pålægges alle parter, som modtager fortrolige oplysninger fra Finanstilsynet. </w:t>
      </w:r>
    </w:p>
    <w:p w14:paraId="4D0B1D40" w14:textId="77777777" w:rsidR="00653200" w:rsidRPr="00796736" w:rsidRDefault="00653200" w:rsidP="00A802A5">
      <w:pPr>
        <w:spacing w:line="360" w:lineRule="auto"/>
        <w:rPr>
          <w:rFonts w:ascii="Times New Roman" w:hAnsi="Times New Roman" w:cs="Times New Roman"/>
          <w:sz w:val="24"/>
          <w:szCs w:val="24"/>
        </w:rPr>
      </w:pPr>
    </w:p>
    <w:p w14:paraId="3E6DF3DF" w14:textId="77777777"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artikel 68, stk. 1, i 6. hvidvaskdirektiv.</w:t>
      </w:r>
    </w:p>
    <w:p w14:paraId="1B3180C4"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at videregivelse af fortrolige oplysninger, der hidrører fra</w:t>
      </w:r>
      <w:r w:rsidRPr="00796736">
        <w:rPr>
          <w:rFonts w:ascii="Times New Roman" w:eastAsia="Calibri" w:hAnsi="Times New Roman" w:cs="Times New Roman"/>
          <w:iCs/>
          <w:sz w:val="24"/>
          <w:szCs w:val="24"/>
        </w:rPr>
        <w:t xml:space="preserve"> et land inden for den Europæiske Union eller et land, som Unionen har indgået aftale med på det finansielle område </w:t>
      </w:r>
      <w:r w:rsidRPr="00796736">
        <w:rPr>
          <w:rFonts w:ascii="Times New Roman" w:hAnsi="Times New Roman" w:cs="Times New Roman"/>
          <w:sz w:val="24"/>
          <w:szCs w:val="24"/>
        </w:rPr>
        <w:t xml:space="preserve">eller tilsynsmyndigheder i lande uden for </w:t>
      </w:r>
      <w:r w:rsidRPr="00796736">
        <w:rPr>
          <w:rFonts w:ascii="Times New Roman" w:eastAsia="Calibri" w:hAnsi="Times New Roman" w:cs="Times New Roman"/>
          <w:iCs/>
          <w:sz w:val="24"/>
          <w:szCs w:val="24"/>
        </w:rPr>
        <w:t>den Europæiske Union eller et land, som Unionen har indgået aftale med på det finansielle område</w:t>
      </w:r>
      <w:r w:rsidRPr="00796736">
        <w:rPr>
          <w:rFonts w:ascii="Times New Roman" w:hAnsi="Times New Roman" w:cs="Times New Roman"/>
          <w:sz w:val="24"/>
          <w:szCs w:val="24"/>
        </w:rPr>
        <w:t>, kan endvidere alene ske, såfremt de myndigheder, som har afgivet oplysningerne, har givet deres udtrykkelige tilladelse, og må udelukkende benyttes til det formål, som tilladelsen vedrører.</w:t>
      </w:r>
    </w:p>
    <w:p w14:paraId="55258F02" w14:textId="77777777" w:rsidR="00653200" w:rsidRPr="00796736" w:rsidRDefault="00653200" w:rsidP="00A802A5">
      <w:pPr>
        <w:spacing w:line="360" w:lineRule="auto"/>
        <w:rPr>
          <w:rFonts w:ascii="Times New Roman" w:hAnsi="Times New Roman" w:cs="Times New Roman"/>
          <w:sz w:val="24"/>
          <w:szCs w:val="24"/>
        </w:rPr>
      </w:pPr>
    </w:p>
    <w:p w14:paraId="1CEC1539" w14:textId="77777777" w:rsidR="00653200" w:rsidRPr="00796736" w:rsidRDefault="00653200" w:rsidP="00A802A5">
      <w:pPr>
        <w:spacing w:after="240" w:line="360" w:lineRule="auto"/>
        <w:rPr>
          <w:rFonts w:ascii="Times New Roman" w:hAnsi="Times New Roman" w:cs="Times New Roman"/>
          <w:b/>
          <w:bCs/>
          <w:sz w:val="24"/>
          <w:szCs w:val="24"/>
        </w:rPr>
      </w:pPr>
      <w:r w:rsidRPr="00796736">
        <w:rPr>
          <w:rFonts w:ascii="Times New Roman" w:hAnsi="Times New Roman" w:cs="Times New Roman"/>
          <w:sz w:val="24"/>
          <w:szCs w:val="24"/>
        </w:rPr>
        <w:t>Det følger af gældende § 56, stk. 6, i hvidvaskloven, at videregivelse i henhold til stk. § 56, stk. 3, nr. 1, 2, 8, 9, 11, 16, 18 og 19 af fortrolige oplysninger, som kommer fra et EU- eller EØS-land eller finansielle tilsynsmyndigheder i lande uden for EU eller EØS, kun kan ske, hvis myndigheder, som har afgivet oplysningerne, har givet deres udtrykkelige tilladelse, og må udelukkende benyttes til det formål, som tilladelsen vedrører.</w:t>
      </w:r>
      <w:r w:rsidRPr="00796736">
        <w:rPr>
          <w:rFonts w:ascii="Times New Roman" w:hAnsi="Times New Roman" w:cs="Times New Roman"/>
          <w:b/>
          <w:bCs/>
          <w:sz w:val="24"/>
          <w:szCs w:val="24"/>
        </w:rPr>
        <w:t xml:space="preserve"> </w:t>
      </w:r>
    </w:p>
    <w:p w14:paraId="27F6E8DA" w14:textId="5081236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foreslående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4, viderefører § 56 stk. 6, i hvidvaskloven. Der er foretaget ændringer, således at bestemmelsen tilpasses til ændringerne, der foreslås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w:t>
      </w:r>
    </w:p>
    <w:p w14:paraId="464FAF10" w14:textId="77777777" w:rsidR="00653200" w:rsidRPr="00796736" w:rsidRDefault="00653200" w:rsidP="00A802A5">
      <w:pPr>
        <w:spacing w:line="360" w:lineRule="auto"/>
        <w:rPr>
          <w:rFonts w:ascii="Times New Roman" w:hAnsi="Times New Roman" w:cs="Times New Roman"/>
          <w:sz w:val="24"/>
          <w:szCs w:val="24"/>
        </w:rPr>
      </w:pPr>
    </w:p>
    <w:p w14:paraId="4D8DB9AD"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har til formål at sikre, at fortrolige oplysninger, som Finanstilsynet har modtaget fra udenlandske myndigheder, kun videregives og anvendes i overensstemmelse med de betingelser, som den oprindelige myndighed har fastsat. Dette er i overensstemmelse med internationale samarbejdsaftaler og gældende praksis for udveksling af fortrolige oplysninger mellem myndigheder. Bestemmelsen skal sikre, at fortrolige oplysninger ikke videregives eller anvendes i videre omfang end tilladt af den myndighed, der har afgivet oplysningerne, og at der dermed opretholdes tillid og samarbejde mellem myndigheder på tværs af landegrænser.</w:t>
      </w:r>
    </w:p>
    <w:p w14:paraId="5118F3BE" w14:textId="77777777" w:rsidR="00653200" w:rsidRPr="00796736" w:rsidRDefault="00653200" w:rsidP="00A802A5">
      <w:pPr>
        <w:spacing w:line="360" w:lineRule="auto"/>
        <w:rPr>
          <w:rFonts w:ascii="Times New Roman" w:hAnsi="Times New Roman" w:cs="Times New Roman"/>
          <w:sz w:val="24"/>
          <w:szCs w:val="24"/>
        </w:rPr>
      </w:pPr>
    </w:p>
    <w:p w14:paraId="036B41A8"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at fortrolige oplysninger, som Finanstilsynet modtager, kun må anvendes i forbindelse med tilsynshvervet, herunder pålæggelse af sanktioner, eller hvis tilsynsmyndighedens afgørelse påklages til højere administrativ myndighed eller indbringes for domstolene. </w:t>
      </w:r>
    </w:p>
    <w:p w14:paraId="44C2708B" w14:textId="77777777" w:rsidR="00653200" w:rsidRPr="00796736" w:rsidRDefault="00653200" w:rsidP="00A802A5">
      <w:pPr>
        <w:spacing w:line="360" w:lineRule="auto"/>
        <w:rPr>
          <w:rFonts w:ascii="Times New Roman" w:hAnsi="Times New Roman" w:cs="Times New Roman"/>
          <w:sz w:val="24"/>
          <w:szCs w:val="24"/>
        </w:rPr>
      </w:pPr>
    </w:p>
    <w:p w14:paraId="72646C45"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 56, stk. 7, i hvidvaskloven, at fortrolige oplysninger, som Finanstilsynet, kun må anvendes i forbindelse med tilsynshvervet til at pålægge sanktioner, eller hvis tilsynsmyndighedens afgørelse påklages til højere administrativ myndighed eller indbringes for domstolene. </w:t>
      </w:r>
    </w:p>
    <w:p w14:paraId="119A82DD" w14:textId="77777777" w:rsidR="00653200" w:rsidRPr="00796736" w:rsidRDefault="00653200" w:rsidP="00A802A5">
      <w:pPr>
        <w:spacing w:line="360" w:lineRule="auto"/>
        <w:rPr>
          <w:rFonts w:ascii="Times New Roman" w:hAnsi="Times New Roman" w:cs="Times New Roman"/>
          <w:sz w:val="24"/>
          <w:szCs w:val="24"/>
        </w:rPr>
      </w:pPr>
    </w:p>
    <w:p w14:paraId="6F9B0C0F" w14:textId="511B2DE3"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foreslående bestemmelse i </w:t>
      </w:r>
      <w:r w:rsidR="00C61ECA" w:rsidRPr="00796736">
        <w:rPr>
          <w:rFonts w:ascii="Times New Roman" w:hAnsi="Times New Roman" w:cs="Times New Roman"/>
          <w:sz w:val="24"/>
          <w:szCs w:val="24"/>
        </w:rPr>
        <w:fldChar w:fldCharType="begin"/>
      </w:r>
      <w:r w:rsidR="00C61ECA" w:rsidRPr="00796736">
        <w:rPr>
          <w:rFonts w:ascii="Times New Roman" w:hAnsi="Times New Roman" w:cs="Times New Roman"/>
          <w:sz w:val="24"/>
          <w:szCs w:val="24"/>
        </w:rPr>
        <w:instrText xml:space="preserve"> REF _Ref232597634 \r \h </w:instrText>
      </w:r>
      <w:r w:rsidR="00967618" w:rsidRPr="00796736">
        <w:rPr>
          <w:rFonts w:ascii="Times New Roman" w:hAnsi="Times New Roman" w:cs="Times New Roman"/>
          <w:sz w:val="24"/>
          <w:szCs w:val="24"/>
        </w:rPr>
        <w:instrText xml:space="preserve"> \* MERGEFORMAT </w:instrText>
      </w:r>
      <w:r w:rsidR="00C61ECA" w:rsidRPr="00796736">
        <w:rPr>
          <w:rFonts w:ascii="Times New Roman" w:hAnsi="Times New Roman" w:cs="Times New Roman"/>
          <w:sz w:val="24"/>
          <w:szCs w:val="24"/>
        </w:rPr>
      </w:r>
      <w:r w:rsidR="00C61EC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C61ECA"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5, viderefører § 56, stk. 7, i hvidvaskloven. </w:t>
      </w:r>
    </w:p>
    <w:p w14:paraId="2A2A88FF" w14:textId="77777777" w:rsidR="00653200" w:rsidRPr="00796736" w:rsidRDefault="00653200" w:rsidP="00A802A5">
      <w:pPr>
        <w:spacing w:line="360" w:lineRule="auto"/>
        <w:rPr>
          <w:rFonts w:ascii="Times New Roman" w:hAnsi="Times New Roman" w:cs="Times New Roman"/>
          <w:sz w:val="24"/>
          <w:szCs w:val="24"/>
        </w:rPr>
      </w:pPr>
    </w:p>
    <w:p w14:paraId="3CD667B1" w14:textId="1B04A2C0" w:rsidR="00653200" w:rsidRPr="00796736" w:rsidRDefault="0065320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implementerer artikel </w:t>
      </w:r>
      <w:r w:rsidR="00114854" w:rsidRPr="00796736">
        <w:rPr>
          <w:rFonts w:ascii="Times New Roman" w:hAnsi="Times New Roman" w:cs="Times New Roman"/>
          <w:sz w:val="24"/>
          <w:szCs w:val="24"/>
        </w:rPr>
        <w:t>76</w:t>
      </w:r>
      <w:r w:rsidRPr="00796736">
        <w:rPr>
          <w:rFonts w:ascii="Times New Roman" w:hAnsi="Times New Roman" w:cs="Times New Roman"/>
          <w:sz w:val="24"/>
          <w:szCs w:val="24"/>
        </w:rPr>
        <w:t xml:space="preserve">, stk. 3, i 6. hvidvaskdirektiv. </w:t>
      </w:r>
    </w:p>
    <w:p w14:paraId="0854CEF7" w14:textId="77777777" w:rsidR="00653200" w:rsidRPr="00796736" w:rsidRDefault="0065320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medfører, at Finanstilsynet alene må anvende de fortrolige oplysninger, som Finanstilsynet modtager, som led i varetagelsen af Finanstilsynets opgaver efter den finansielle regulering.</w:t>
      </w:r>
    </w:p>
    <w:p w14:paraId="38948F28" w14:textId="77777777" w:rsidR="00653200" w:rsidRPr="00796736" w:rsidRDefault="00653200" w:rsidP="00A802A5">
      <w:pPr>
        <w:spacing w:line="360" w:lineRule="auto"/>
        <w:rPr>
          <w:rFonts w:ascii="Times New Roman" w:hAnsi="Times New Roman" w:cs="Times New Roman"/>
          <w:i/>
          <w:iCs/>
          <w:sz w:val="24"/>
          <w:szCs w:val="24"/>
        </w:rPr>
      </w:pPr>
    </w:p>
    <w:p w14:paraId="3628E99D" w14:textId="44C1990E" w:rsidR="00653200" w:rsidRPr="00796736" w:rsidRDefault="00653200"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henvises i øvrigt til </w:t>
      </w:r>
      <w:r w:rsidR="00C61ECA" w:rsidRPr="00796736">
        <w:rPr>
          <w:rFonts w:ascii="Times New Roman" w:eastAsia="Calibri" w:hAnsi="Times New Roman" w:cs="Times New Roman"/>
          <w:sz w:val="24"/>
          <w:szCs w:val="24"/>
        </w:rPr>
        <w:fldChar w:fldCharType="begin"/>
      </w:r>
      <w:r w:rsidR="00C61ECA" w:rsidRPr="00796736">
        <w:rPr>
          <w:rFonts w:ascii="Times New Roman" w:eastAsia="Calibri" w:hAnsi="Times New Roman" w:cs="Times New Roman"/>
          <w:sz w:val="24"/>
          <w:szCs w:val="24"/>
        </w:rPr>
        <w:instrText xml:space="preserve"> REF _Ref232964769 \n \h </w:instrText>
      </w:r>
      <w:r w:rsidR="00967618" w:rsidRPr="00796736">
        <w:rPr>
          <w:rFonts w:ascii="Times New Roman" w:eastAsia="Calibri" w:hAnsi="Times New Roman" w:cs="Times New Roman"/>
          <w:sz w:val="24"/>
          <w:szCs w:val="24"/>
        </w:rPr>
        <w:instrText xml:space="preserve"> \* MERGEFORMAT </w:instrText>
      </w:r>
      <w:r w:rsidR="00C61ECA" w:rsidRPr="00796736">
        <w:rPr>
          <w:rFonts w:ascii="Times New Roman" w:eastAsia="Calibri" w:hAnsi="Times New Roman" w:cs="Times New Roman"/>
          <w:sz w:val="24"/>
          <w:szCs w:val="24"/>
        </w:rPr>
      </w:r>
      <w:r w:rsidR="00C61ECA"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3.60</w:t>
      </w:r>
      <w:r w:rsidR="00C61ECA" w:rsidRPr="00796736">
        <w:rPr>
          <w:rFonts w:ascii="Times New Roman" w:eastAsia="Calibri" w:hAnsi="Times New Roman" w:cs="Times New Roman"/>
          <w:sz w:val="24"/>
          <w:szCs w:val="24"/>
        </w:rPr>
        <w:fldChar w:fldCharType="end"/>
      </w:r>
      <w:r w:rsidR="00C61ECA"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i lovforslagets almindelige bemærkninger.</w:t>
      </w:r>
    </w:p>
    <w:p w14:paraId="60572A1E" w14:textId="77777777" w:rsidR="005A0485" w:rsidRPr="00796736" w:rsidRDefault="005A0485" w:rsidP="00A802A5">
      <w:pPr>
        <w:spacing w:line="360" w:lineRule="auto"/>
        <w:rPr>
          <w:rFonts w:ascii="Times New Roman" w:eastAsia="Calibri" w:hAnsi="Times New Roman" w:cs="Times New Roman"/>
          <w:sz w:val="24"/>
          <w:szCs w:val="24"/>
        </w:rPr>
      </w:pPr>
    </w:p>
    <w:p w14:paraId="7497DAA7" w14:textId="3938587E" w:rsidR="005A0485" w:rsidRPr="00796736" w:rsidRDefault="005A0485" w:rsidP="00A802A5">
      <w:pPr>
        <w:pStyle w:val="Undertitel"/>
      </w:pPr>
      <w:bookmarkStart w:id="2096" w:name="_Toc244879374"/>
      <w:bookmarkStart w:id="2097" w:name="_Toc244880899"/>
      <w:r w:rsidRPr="00796736">
        <w:t xml:space="preserve">Til </w:t>
      </w:r>
      <w:r w:rsidRPr="00796736">
        <w:fldChar w:fldCharType="begin"/>
      </w:r>
      <w:r w:rsidRPr="00796736">
        <w:instrText xml:space="preserve"> REF _Ref238213843 \r \h </w:instrText>
      </w:r>
      <w:r w:rsidR="0075395A" w:rsidRPr="00796736">
        <w:instrText xml:space="preserve"> \* MERGEFORMAT </w:instrText>
      </w:r>
      <w:r w:rsidRPr="00796736">
        <w:fldChar w:fldCharType="separate"/>
      </w:r>
      <w:r w:rsidR="008F29E5">
        <w:t>§ 78</w:t>
      </w:r>
      <w:bookmarkEnd w:id="2096"/>
      <w:bookmarkEnd w:id="2097"/>
      <w:r w:rsidRPr="00796736">
        <w:fldChar w:fldCharType="end"/>
      </w:r>
      <w:r w:rsidRPr="00796736">
        <w:t xml:space="preserve"> </w:t>
      </w:r>
    </w:p>
    <w:p w14:paraId="241175F9" w14:textId="77777777" w:rsidR="00904843" w:rsidRPr="00796736" w:rsidRDefault="009048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56 a, stk. 1, at Finanstilsynets ansatte ikke må videregive oplysninger om en person, når den pågældende har indberettet en virksomhed eller en person til Finanstilsynet for overtrædelse eller potentiel overtrædelse af hvidvaskloven, regler udstedt i medfør heraf eller bestemmelser indeholdt i forordninger nævnt i § 47, stk. 1, for så vidt angår de områder af loven, som Finanstilsynet fører tilsyn med.</w:t>
      </w:r>
    </w:p>
    <w:p w14:paraId="3A928800" w14:textId="77777777" w:rsidR="00904843" w:rsidRPr="00796736" w:rsidRDefault="00904843" w:rsidP="00A802A5">
      <w:pPr>
        <w:spacing w:line="360" w:lineRule="auto"/>
        <w:rPr>
          <w:rFonts w:ascii="Times New Roman" w:hAnsi="Times New Roman" w:cs="Times New Roman"/>
          <w:b/>
          <w:bCs/>
          <w:sz w:val="24"/>
          <w:szCs w:val="24"/>
        </w:rPr>
      </w:pPr>
    </w:p>
    <w:p w14:paraId="4CE7932B" w14:textId="20CDA38B" w:rsidR="00904843" w:rsidRPr="00796736" w:rsidRDefault="009048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 56 a, stk. 2, at stk. 1 ikke er til hinder for, at personoplysninger videregives i medfør af hvidvasklovens § 56, stk. 3.</w:t>
      </w:r>
    </w:p>
    <w:p w14:paraId="2CB10D7B" w14:textId="77777777" w:rsidR="00904843" w:rsidRPr="00796736" w:rsidRDefault="00904843" w:rsidP="00A802A5">
      <w:pPr>
        <w:spacing w:line="360" w:lineRule="auto"/>
        <w:rPr>
          <w:rFonts w:ascii="Times New Roman" w:hAnsi="Times New Roman" w:cs="Times New Roman"/>
          <w:b/>
          <w:bCs/>
          <w:sz w:val="24"/>
          <w:szCs w:val="24"/>
        </w:rPr>
      </w:pPr>
    </w:p>
    <w:p w14:paraId="6B05BDEC" w14:textId="113A1CF6" w:rsidR="00904843" w:rsidRPr="00796736" w:rsidRDefault="009048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 56 a, stk. 3, at </w:t>
      </w:r>
      <w:r w:rsidR="001D3629" w:rsidRPr="00796736">
        <w:rPr>
          <w:rFonts w:ascii="Times New Roman" w:hAnsi="Times New Roman" w:cs="Times New Roman"/>
          <w:sz w:val="24"/>
          <w:szCs w:val="24"/>
        </w:rPr>
        <w:t>alle</w:t>
      </w:r>
      <w:r w:rsidRPr="00796736">
        <w:rPr>
          <w:rFonts w:ascii="Times New Roman" w:hAnsi="Times New Roman" w:cs="Times New Roman"/>
          <w:sz w:val="24"/>
          <w:szCs w:val="24"/>
        </w:rPr>
        <w:t>, der modtager personoplysninger efter stk. 2, med hensyn til disse oplysninger er underlagt den tavshedspligt, der følger af stk. 1, jf. dog hvidvasklovens § 56, stk. 5.</w:t>
      </w:r>
    </w:p>
    <w:p w14:paraId="1612F9AC" w14:textId="77777777" w:rsidR="00904843" w:rsidRPr="00796736" w:rsidRDefault="00904843" w:rsidP="00A802A5">
      <w:pPr>
        <w:spacing w:line="360" w:lineRule="auto"/>
        <w:rPr>
          <w:rFonts w:ascii="Times New Roman" w:hAnsi="Times New Roman" w:cs="Times New Roman"/>
          <w:color w:val="C00000"/>
          <w:sz w:val="24"/>
          <w:szCs w:val="24"/>
        </w:rPr>
      </w:pPr>
    </w:p>
    <w:p w14:paraId="16E8657F" w14:textId="5A491834" w:rsidR="003E55EA" w:rsidRPr="00796736" w:rsidRDefault="003E55E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w:t>
      </w:r>
      <w:r w:rsidR="00904843" w:rsidRPr="00796736">
        <w:rPr>
          <w:rFonts w:ascii="Times New Roman" w:hAnsi="Times New Roman" w:cs="Times New Roman"/>
          <w:sz w:val="24"/>
          <w:szCs w:val="24"/>
        </w:rPr>
        <w:fldChar w:fldCharType="begin"/>
      </w:r>
      <w:r w:rsidR="00904843" w:rsidRPr="00796736">
        <w:rPr>
          <w:rFonts w:ascii="Times New Roman" w:hAnsi="Times New Roman" w:cs="Times New Roman"/>
          <w:sz w:val="24"/>
          <w:szCs w:val="24"/>
        </w:rPr>
        <w:instrText xml:space="preserve"> REF _Ref238213843 \r \h  \* MERGEFORMAT </w:instrText>
      </w:r>
      <w:r w:rsidR="00904843" w:rsidRPr="00796736">
        <w:rPr>
          <w:rFonts w:ascii="Times New Roman" w:hAnsi="Times New Roman" w:cs="Times New Roman"/>
          <w:sz w:val="24"/>
          <w:szCs w:val="24"/>
        </w:rPr>
      </w:r>
      <w:r w:rsidR="00904843"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78</w:t>
      </w:r>
      <w:r w:rsidR="00904843" w:rsidRPr="00796736">
        <w:rPr>
          <w:rFonts w:ascii="Times New Roman" w:hAnsi="Times New Roman" w:cs="Times New Roman"/>
          <w:sz w:val="24"/>
          <w:szCs w:val="24"/>
        </w:rPr>
        <w:fldChar w:fldCharType="end"/>
      </w:r>
      <w:r w:rsidR="00904843"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 </w:t>
      </w:r>
      <w:r w:rsidRPr="00796736">
        <w:rPr>
          <w:rFonts w:ascii="Times New Roman" w:hAnsi="Times New Roman" w:cs="Times New Roman"/>
          <w:iCs/>
          <w:sz w:val="24"/>
          <w:szCs w:val="24"/>
        </w:rPr>
        <w:t>viderefører bestemmelsen i § 56 a.</w:t>
      </w:r>
    </w:p>
    <w:p w14:paraId="0836C16F" w14:textId="77777777" w:rsidR="003E55EA" w:rsidRPr="00796736" w:rsidRDefault="003E55EA" w:rsidP="00A802A5">
      <w:pPr>
        <w:spacing w:line="360" w:lineRule="auto"/>
        <w:rPr>
          <w:rFonts w:ascii="Times New Roman" w:hAnsi="Times New Roman" w:cs="Times New Roman"/>
          <w:iCs/>
          <w:sz w:val="24"/>
          <w:szCs w:val="24"/>
        </w:rPr>
      </w:pPr>
    </w:p>
    <w:p w14:paraId="6C8A83EA" w14:textId="77777777" w:rsidR="003E55EA" w:rsidRPr="00796736" w:rsidRDefault="003E55E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implementerer artikel 60, stk. 2, i 6. hvidvaskdirektiv. </w:t>
      </w:r>
    </w:p>
    <w:p w14:paraId="13911B3A" w14:textId="77777777" w:rsidR="003E55EA" w:rsidRPr="00796736" w:rsidRDefault="003E55EA" w:rsidP="00A802A5">
      <w:pPr>
        <w:spacing w:line="360" w:lineRule="auto"/>
        <w:rPr>
          <w:rFonts w:ascii="Times New Roman" w:hAnsi="Times New Roman" w:cs="Times New Roman"/>
          <w:iCs/>
          <w:sz w:val="24"/>
          <w:szCs w:val="24"/>
        </w:rPr>
      </w:pPr>
    </w:p>
    <w:p w14:paraId="4AB9E276" w14:textId="77777777" w:rsidR="003E55EA" w:rsidRPr="00796736" w:rsidRDefault="003E55E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Det fremgår af præambel betragtning nr. 110 til 6. hvidvaskdirektiv, at Europa-Parlamentets og Rådets direktiv (EU) 2019/1937 finder anvendelse på indberetning af overtrædelser af direktiv (EU) 2015/849, der vedrører hvidvask af penge og finansiering af terrorisme, og på beskyttelse af personer, der indberetter sådanne overtrædelser, som omhandlet i del II i bilaget til direktiv (EU) 2019/1937. Da 6. hvidvaskdirektiv ophæver direktiv (EU) 2015/849, bør henvisningen til direktiv (EU) 2015/849 i bilag II til direktiv (EU) 2019/1937 forstås som en henvisning til nærværende direktiv. Samtidig er det nødvendigt at opretholde skræddersyede regler om indberetning af overtrædelser af kravene til for bekæmpelse af hvidvask af penge og finansiering af terrorisme, der supplerer direktiv (EU) 2019/1937, navnlig for så vidt angår kravene til forpligtede enheder om at etablere interne indberetningskanaler og identifikation af de myndigheder, der er kompetente til at modtage og følge op på indberetninger vedrørende overtrædelser af regler om forebyggelse og bekæmpelse af hvidvask af penge og finansiering af terrorisme.</w:t>
      </w:r>
    </w:p>
    <w:p w14:paraId="3FBA6D8B" w14:textId="77777777" w:rsidR="003E55EA" w:rsidRPr="00796736" w:rsidRDefault="003E55EA" w:rsidP="00A802A5">
      <w:pPr>
        <w:spacing w:line="360" w:lineRule="auto"/>
        <w:rPr>
          <w:rFonts w:ascii="Times New Roman" w:hAnsi="Times New Roman" w:cs="Times New Roman"/>
          <w:iCs/>
          <w:sz w:val="24"/>
          <w:szCs w:val="24"/>
        </w:rPr>
      </w:pPr>
    </w:p>
    <w:p w14:paraId="65FD2C74" w14:textId="4877916D" w:rsidR="00305351" w:rsidRPr="00796736" w:rsidRDefault="003E55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Finanstilsynets ansatte ikke må videregive oplysninger om en person, når vedkommende har indberettet en virksomhed eller en person til Finanstilsynet for overtrædelse eller potentiel overtrædelse af hvidvaskloven, regler udstedt i medfør heraf eller bestemmelser indeholdt i forordninger nævnt i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_Ref232597035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 og 2</w:t>
      </w:r>
      <w:r w:rsidRPr="00796736">
        <w:rPr>
          <w:rFonts w:ascii="Times New Roman" w:hAnsi="Times New Roman" w:cs="Times New Roman"/>
          <w:sz w:val="24"/>
          <w:szCs w:val="24"/>
        </w:rPr>
        <w:t>, for de områder af loven, som Finanstilsynet fører tilsyn med.</w:t>
      </w:r>
    </w:p>
    <w:p w14:paraId="0CA4FEF4" w14:textId="77777777" w:rsidR="003E55EA" w:rsidRPr="00796736" w:rsidRDefault="003E55EA" w:rsidP="00A802A5">
      <w:pPr>
        <w:spacing w:line="360" w:lineRule="auto"/>
        <w:rPr>
          <w:rFonts w:ascii="Times New Roman" w:hAnsi="Times New Roman" w:cs="Times New Roman"/>
          <w:iCs/>
          <w:sz w:val="24"/>
          <w:szCs w:val="24"/>
        </w:rPr>
      </w:pPr>
    </w:p>
    <w:p w14:paraId="3AC5BD33" w14:textId="77777777" w:rsidR="00305351" w:rsidRPr="00796736" w:rsidRDefault="003E55E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medfører blandt andet, at oplysninger om en person, der har indberettet en virksomhed eller en person for overtrædelse af hvidvaskloven, for så vidt angår indberetningen ikke er undergivet aktindsigt i medfør af forvaltningsloven eller reglerne om underretning i medfør af retssikkerhedsloven. </w:t>
      </w:r>
    </w:p>
    <w:p w14:paraId="1DCC5833" w14:textId="77777777" w:rsidR="00305351" w:rsidRPr="00796736" w:rsidRDefault="00305351" w:rsidP="00A802A5">
      <w:pPr>
        <w:spacing w:line="360" w:lineRule="auto"/>
        <w:rPr>
          <w:rFonts w:ascii="Times New Roman" w:hAnsi="Times New Roman" w:cs="Times New Roman"/>
          <w:iCs/>
          <w:sz w:val="24"/>
          <w:szCs w:val="24"/>
        </w:rPr>
      </w:pPr>
    </w:p>
    <w:p w14:paraId="0CE89983" w14:textId="722C89D2" w:rsidR="00305351" w:rsidRPr="00796736" w:rsidRDefault="003E55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E37EA8" w:rsidRPr="00796736">
        <w:rPr>
          <w:rFonts w:ascii="Times New Roman" w:hAnsi="Times New Roman" w:cs="Times New Roman"/>
          <w:i/>
          <w:iCs/>
          <w:sz w:val="24"/>
          <w:szCs w:val="24"/>
        </w:rPr>
        <w:fldChar w:fldCharType="begin"/>
      </w:r>
      <w:r w:rsidR="00E37EA8" w:rsidRPr="00796736">
        <w:rPr>
          <w:rFonts w:ascii="Times New Roman" w:hAnsi="Times New Roman" w:cs="Times New Roman"/>
          <w:i/>
          <w:iCs/>
          <w:sz w:val="24"/>
          <w:szCs w:val="24"/>
        </w:rPr>
        <w:instrText xml:space="preserve"> REF _Ref238213843 \r \h  \* MERGEFORMAT </w:instrText>
      </w:r>
      <w:r w:rsidR="00E37EA8" w:rsidRPr="00796736">
        <w:rPr>
          <w:rFonts w:ascii="Times New Roman" w:hAnsi="Times New Roman" w:cs="Times New Roman"/>
          <w:i/>
          <w:iCs/>
          <w:sz w:val="24"/>
          <w:szCs w:val="24"/>
        </w:rPr>
      </w:r>
      <w:r w:rsidR="00E37EA8"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78</w:t>
      </w:r>
      <w:r w:rsidR="00E37EA8" w:rsidRPr="00796736">
        <w:rPr>
          <w:rFonts w:ascii="Times New Roman" w:hAnsi="Times New Roman" w:cs="Times New Roman"/>
          <w:i/>
          <w:iCs/>
          <w:sz w:val="24"/>
          <w:szCs w:val="24"/>
        </w:rPr>
        <w:fldChar w:fldCharType="end"/>
      </w:r>
      <w:r w:rsidR="00E37EA8"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er en særregel, der udvider tavshedspligten i forhold til oplysninger om personer, der indberetter overtrædelser af hvidvaskloven, regler udstedt i medfør heraf og bestemmelser indeholdt i forordninger nævnt i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_Ref232597035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 og 2</w:t>
      </w:r>
      <w:r w:rsidRPr="00796736">
        <w:rPr>
          <w:rFonts w:ascii="Times New Roman" w:hAnsi="Times New Roman" w:cs="Times New Roman"/>
          <w:sz w:val="24"/>
          <w:szCs w:val="24"/>
        </w:rPr>
        <w:t>, for de områder af loven, som Finanstilsynet fører tilsyn med, til Finanstilsynet, således at heller ikke parter vil kunne få aktindsigt i personoplysninger om en person, når vedkommende har indberettet en virksomheds overtrædelse eller potentielle overtrædelse af reguleringen til Finanstilsynet.</w:t>
      </w:r>
    </w:p>
    <w:p w14:paraId="6B7453C9" w14:textId="77777777" w:rsidR="00305351" w:rsidRPr="00796736" w:rsidRDefault="00305351" w:rsidP="00A802A5">
      <w:pPr>
        <w:spacing w:line="360" w:lineRule="auto"/>
        <w:rPr>
          <w:rFonts w:ascii="Times New Roman" w:hAnsi="Times New Roman" w:cs="Times New Roman"/>
          <w:iCs/>
          <w:sz w:val="24"/>
          <w:szCs w:val="24"/>
        </w:rPr>
      </w:pPr>
    </w:p>
    <w:p w14:paraId="3B19AB8C" w14:textId="77777777" w:rsidR="00305351" w:rsidRPr="00796736" w:rsidRDefault="003E55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Personoplysninger skal forstås i overensstemmelse med definitionen heraf i artikel 4, nr. 1, i databeskyttelsesforordningen, hvorefter personoplysninger omfatter enhver form for information om en identificeret eller identificerbar fysisk person. Bestemmelsen omfatter blandt andet oplysninger, som identificerer personen, der indberetter overtrædelsen, i form af oplysninger om dennes identitet, eller enhver oplysning, der indirekte gør det muligt at udlede dennes identitet. Oplysninger, som er gjort anonyme på en sådan måde, at den registrerede ikke længere kan identificeres, er ikke omfattet af begrebet personoplysninger. Ved afgørelsen af, om en person er identificerbar, skal alle de hjælpemidler, der med rimelighed kan tænkes bragt i anvendelse for at identificere den pågældende enten af den dataansvarlige eller af enhver anden person, tages i betragtning.</w:t>
      </w:r>
    </w:p>
    <w:p w14:paraId="6A61566E" w14:textId="77777777" w:rsidR="00305351" w:rsidRPr="00796736" w:rsidRDefault="00305351" w:rsidP="00A802A5">
      <w:pPr>
        <w:spacing w:line="360" w:lineRule="auto"/>
        <w:rPr>
          <w:rFonts w:ascii="Times New Roman" w:hAnsi="Times New Roman" w:cs="Times New Roman"/>
          <w:sz w:val="24"/>
          <w:szCs w:val="24"/>
        </w:rPr>
      </w:pPr>
    </w:p>
    <w:p w14:paraId="56D5547C" w14:textId="51F193FC" w:rsidR="00305351" w:rsidRPr="00796736" w:rsidRDefault="003E55E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kun kunne finde anvendelse i sager om indberetning af overtrædelser eller potentielle overtrædelser af hvidvaskloven, regler udstedt i medfør heraf eller bestemmelser indeholdt forordninger nævnt i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_Ref232597035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 og 2</w:t>
      </w:r>
      <w:r w:rsidRPr="00796736">
        <w:rPr>
          <w:rFonts w:ascii="Times New Roman" w:hAnsi="Times New Roman" w:cs="Times New Roman"/>
          <w:sz w:val="24"/>
          <w:szCs w:val="24"/>
        </w:rPr>
        <w:t>, for de områder af loven, som Finanstilsynet fører tilsyn med, til Finanstilsynet, indberettet af en person om en virksomhed eller en person under tilsyn af Finanstilsynet.</w:t>
      </w:r>
    </w:p>
    <w:p w14:paraId="19130D07" w14:textId="77777777" w:rsidR="00305351" w:rsidRPr="00796736" w:rsidRDefault="00305351" w:rsidP="00A802A5">
      <w:pPr>
        <w:spacing w:line="360" w:lineRule="auto"/>
        <w:rPr>
          <w:rFonts w:ascii="Times New Roman" w:hAnsi="Times New Roman" w:cs="Times New Roman"/>
          <w:sz w:val="24"/>
          <w:szCs w:val="24"/>
        </w:rPr>
      </w:pPr>
    </w:p>
    <w:p w14:paraId="5307492B" w14:textId="5D75F655" w:rsidR="003E55EA"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Såvel overtrædelser som potentielle overtrædelser, f.eks. i tilfælde hvor en indberetning ikke fører til yderligere sagsbehandlingsskridt eller i tilfælde, hvor Finanstilsynet vurderer, at der ikke er tale om en overtrædelse af </w:t>
      </w:r>
      <w:r w:rsidR="008E422C" w:rsidRPr="00796736">
        <w:rPr>
          <w:rFonts w:ascii="Times New Roman" w:hAnsi="Times New Roman" w:cs="Times New Roman"/>
          <w:sz w:val="24"/>
          <w:szCs w:val="24"/>
        </w:rPr>
        <w:t xml:space="preserve">hvidvaskforordningen, </w:t>
      </w:r>
      <w:r w:rsidRPr="00796736">
        <w:rPr>
          <w:rFonts w:ascii="Times New Roman" w:hAnsi="Times New Roman" w:cs="Times New Roman"/>
          <w:sz w:val="24"/>
          <w:szCs w:val="24"/>
        </w:rPr>
        <w:t xml:space="preserve">hvidvaskloven, regler udstedt i medfør heraf eller bestemmelser indeholdt </w:t>
      </w:r>
      <w:r w:rsidR="008E422C" w:rsidRPr="00796736">
        <w:rPr>
          <w:rFonts w:ascii="Times New Roman" w:hAnsi="Times New Roman" w:cs="Times New Roman"/>
          <w:sz w:val="24"/>
          <w:szCs w:val="24"/>
        </w:rPr>
        <w:t xml:space="preserve">i </w:t>
      </w:r>
      <w:r w:rsidRPr="00796736">
        <w:rPr>
          <w:rFonts w:ascii="Times New Roman" w:hAnsi="Times New Roman" w:cs="Times New Roman"/>
          <w:sz w:val="24"/>
          <w:szCs w:val="24"/>
        </w:rPr>
        <w:t xml:space="preserve">forordninger nævnt </w:t>
      </w:r>
      <w:r w:rsidR="00305351" w:rsidRPr="00796736">
        <w:rPr>
          <w:rFonts w:ascii="Times New Roman" w:hAnsi="Times New Roman" w:cs="Times New Roman"/>
          <w:sz w:val="24"/>
          <w:szCs w:val="24"/>
        </w:rPr>
        <w:t xml:space="preserve">i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_Ref232597035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 og 2</w:t>
      </w:r>
      <w:r w:rsidRPr="00796736">
        <w:rPr>
          <w:rFonts w:ascii="Times New Roman" w:hAnsi="Times New Roman" w:cs="Times New Roman"/>
          <w:sz w:val="24"/>
          <w:szCs w:val="24"/>
        </w:rPr>
        <w:t>, som Finanstilsynet fører tilsyn med, er omfattet af forslaget.</w:t>
      </w:r>
    </w:p>
    <w:p w14:paraId="598EC6A5" w14:textId="77777777" w:rsidR="003E55EA"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Det er et krav, at overtrædelsen vedrører regler, som er under tilsyn af Finanstilsynet. Sager vedrørende andre områder, f.eks. indberetning om overtrædelse af skatteretlige regler eller straffeloven, omfattes ikke af bestemmelsens anvendelsesområde.</w:t>
      </w:r>
    </w:p>
    <w:p w14:paraId="5567817B" w14:textId="454F81D9" w:rsidR="003E55EA"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Forslaget medfører, at Finanstilsynet</w:t>
      </w:r>
      <w:r w:rsidR="001D3629"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 </w:t>
      </w:r>
      <w:r w:rsidR="00B43842" w:rsidRPr="00796736">
        <w:rPr>
          <w:rFonts w:ascii="Times New Roman" w:hAnsi="Times New Roman" w:cs="Times New Roman"/>
          <w:sz w:val="24"/>
          <w:szCs w:val="24"/>
        </w:rPr>
        <w:t xml:space="preserve">med </w:t>
      </w:r>
      <w:r w:rsidRPr="00796736">
        <w:rPr>
          <w:rFonts w:ascii="Times New Roman" w:hAnsi="Times New Roman" w:cs="Times New Roman"/>
          <w:sz w:val="24"/>
          <w:szCs w:val="24"/>
        </w:rPr>
        <w:t xml:space="preserve">de undtagelser der følger af stk. 2 – er forpligtet til ikke at videregive oplysninger om personer, der til Finanstilsynet indberetter overtrædelser eller potentielle overtrædelser af </w:t>
      </w:r>
      <w:r w:rsidR="008E422C" w:rsidRPr="00796736">
        <w:rPr>
          <w:rFonts w:ascii="Times New Roman" w:hAnsi="Times New Roman" w:cs="Times New Roman"/>
          <w:sz w:val="24"/>
          <w:szCs w:val="24"/>
        </w:rPr>
        <w:t xml:space="preserve">hvidvaskforordningen, </w:t>
      </w:r>
      <w:r w:rsidRPr="00796736">
        <w:rPr>
          <w:rFonts w:ascii="Times New Roman" w:hAnsi="Times New Roman" w:cs="Times New Roman"/>
          <w:sz w:val="24"/>
          <w:szCs w:val="24"/>
        </w:rPr>
        <w:t xml:space="preserve">hvidvaskloven, regler udstedt i medfør heraf eller bestemmelser indeholdt i forordninger nævnt </w:t>
      </w:r>
      <w:r w:rsidR="00305351" w:rsidRPr="00796736">
        <w:rPr>
          <w:rFonts w:ascii="Times New Roman" w:hAnsi="Times New Roman" w:cs="Times New Roman"/>
          <w:sz w:val="24"/>
          <w:szCs w:val="24"/>
        </w:rPr>
        <w:t xml:space="preserve">i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_Ref232597035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 og 2</w:t>
      </w:r>
      <w:r w:rsidRPr="00796736">
        <w:rPr>
          <w:rFonts w:ascii="Times New Roman" w:hAnsi="Times New Roman" w:cs="Times New Roman"/>
          <w:sz w:val="24"/>
          <w:szCs w:val="24"/>
        </w:rPr>
        <w:t>, for de områder af loven, som Finanstilsynet fører tilsyn med. Forslaget udgør en specialregel (lex specialis) i forhold til de almindelige gældende regler om aktindsigt efter f.eks. forvaltningsloven, underretning efter retssikkerhedsloven eller indsigtsret efter databeskyttelseslovgivningen. Såfremt en part f.eks. har ret til aktindsigt efter forvaltningsloven, vil Finanstilsynet i medfør af lovforslaget være forpligtet til ikke at videregive eller at anonymisere enhver oplysning, der gør det muligt at identificere personen, der har indberettet overtrædelsen.</w:t>
      </w:r>
    </w:p>
    <w:p w14:paraId="7EDF27D8" w14:textId="46283667" w:rsidR="003E55EA" w:rsidRPr="00796736" w:rsidRDefault="00B43842"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w:t>
      </w:r>
      <w:r w:rsidR="003E55EA" w:rsidRPr="00796736">
        <w:rPr>
          <w:rFonts w:ascii="Times New Roman" w:hAnsi="Times New Roman" w:cs="Times New Roman"/>
          <w:sz w:val="24"/>
          <w:szCs w:val="24"/>
        </w:rPr>
        <w:t>ændrer i øvrigt ikke på, at adgangen til aktindsigt i Finanstilsynets sager er begrænset i henhold til § 35 i lov om offentlighed i forvaltningen.</w:t>
      </w:r>
    </w:p>
    <w:p w14:paraId="16E18EA6" w14:textId="127E6FD3" w:rsidR="00305351"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iCs/>
          <w:sz w:val="24"/>
          <w:szCs w:val="24"/>
        </w:rPr>
        <w:t xml:space="preserve">Ligeledes vil det i henhold til forslaget f.eks. ikke være tilladt for Finanstilsynet at videregive personoplysninger om en person, der har indberettet en overtrædelse af hvidvaskforordningen, hvidvaskloven, regler udstedt i medfør </w:t>
      </w:r>
      <w:r w:rsidRPr="00796736">
        <w:rPr>
          <w:rFonts w:ascii="Times New Roman" w:hAnsi="Times New Roman" w:cs="Times New Roman"/>
          <w:sz w:val="24"/>
          <w:szCs w:val="24"/>
        </w:rPr>
        <w:t xml:space="preserve">heraf eller bestemmelser indeholdt i forordninger nævnt </w:t>
      </w:r>
      <w:r w:rsidR="00305351" w:rsidRPr="00796736">
        <w:rPr>
          <w:rFonts w:ascii="Times New Roman" w:hAnsi="Times New Roman" w:cs="Times New Roman"/>
          <w:sz w:val="24"/>
          <w:szCs w:val="24"/>
        </w:rPr>
        <w:t xml:space="preserve">i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_Ref232597035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 og 2</w:t>
      </w:r>
      <w:r w:rsidRPr="00796736">
        <w:rPr>
          <w:rFonts w:ascii="Times New Roman" w:hAnsi="Times New Roman" w:cs="Times New Roman"/>
          <w:sz w:val="24"/>
          <w:szCs w:val="24"/>
        </w:rPr>
        <w:t>, for de områder af loven, som Finanstilsynet fører tilsyn med, i forbindelse med en eventuel underretning forud for gennemførelsen af en beslutning om iværksættelse af et tvangsindgreb efter § 5 i retssikkerhedsloven.</w:t>
      </w:r>
    </w:p>
    <w:p w14:paraId="4F02F28A" w14:textId="1FE89D9C" w:rsidR="00305351"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Herved sikres det, at en person, der har indberettet en virksomheds overtrædelse eller potentielle overtrædelse af reguleringen til Finanstilsynet, beskyttes af den udvidede tavshedspligt medmindre offentliggørelse kræves i henhold til national ret som led i yderligere efterforskning eller efterfølgende retslige procedurer.</w:t>
      </w:r>
    </w:p>
    <w:p w14:paraId="3FFCD77C" w14:textId="3DA0C860" w:rsidR="0075395A"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w:t>
      </w:r>
      <w:r w:rsidR="006631F3" w:rsidRPr="00796736">
        <w:rPr>
          <w:rFonts w:ascii="Times New Roman" w:hAnsi="Times New Roman" w:cs="Times New Roman"/>
          <w:sz w:val="24"/>
          <w:szCs w:val="24"/>
        </w:rPr>
        <w:t>stk. 1</w:t>
      </w:r>
      <w:r w:rsidRPr="00796736">
        <w:rPr>
          <w:rFonts w:ascii="Times New Roman" w:hAnsi="Times New Roman" w:cs="Times New Roman"/>
          <w:sz w:val="24"/>
          <w:szCs w:val="24"/>
        </w:rPr>
        <w:t xml:space="preserve"> ikke er til hinder for videregivelse af oplysningerne efter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_Ref232597634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w:t>
      </w:r>
      <w:r w:rsidRPr="00796736">
        <w:rPr>
          <w:rFonts w:ascii="Times New Roman" w:hAnsi="Times New Roman" w:cs="Times New Roman"/>
          <w:sz w:val="24"/>
          <w:szCs w:val="24"/>
        </w:rPr>
        <w:t xml:space="preserve">. </w:t>
      </w:r>
    </w:p>
    <w:p w14:paraId="3482C288" w14:textId="569DE4AB" w:rsidR="00A1294F"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medfører, at videregivelse af oplysninger til de i </w:t>
      </w:r>
      <w:r w:rsidR="001D3629" w:rsidRPr="00796736">
        <w:rPr>
          <w:rFonts w:ascii="Times New Roman" w:hAnsi="Times New Roman" w:cs="Times New Roman"/>
          <w:sz w:val="24"/>
          <w:szCs w:val="24"/>
        </w:rPr>
        <w:t xml:space="preserve">lovforslagets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_Ref232597634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w:t>
      </w:r>
      <w:r w:rsidRPr="00796736">
        <w:rPr>
          <w:rFonts w:ascii="Times New Roman" w:hAnsi="Times New Roman" w:cs="Times New Roman"/>
          <w:sz w:val="24"/>
          <w:szCs w:val="24"/>
        </w:rPr>
        <w:t xml:space="preserve">, nævnte parter findes begrundet i hensynet til mulighederne for betryggende tilsyn, retssikkerhed, regulering og samarbejde med de i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_Ref232597634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w:t>
      </w:r>
      <w:r w:rsidRPr="00796736">
        <w:rPr>
          <w:rFonts w:ascii="Times New Roman" w:hAnsi="Times New Roman" w:cs="Times New Roman"/>
          <w:sz w:val="24"/>
          <w:szCs w:val="24"/>
        </w:rPr>
        <w:t>, nævnte parter.</w:t>
      </w:r>
    </w:p>
    <w:p w14:paraId="0042845E" w14:textId="5C6AF3AD" w:rsidR="003E55EA"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_Ref232597634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w:t>
      </w:r>
      <w:r w:rsidRPr="00796736">
        <w:rPr>
          <w:rFonts w:ascii="Times New Roman" w:hAnsi="Times New Roman" w:cs="Times New Roman"/>
          <w:sz w:val="24"/>
          <w:szCs w:val="24"/>
        </w:rPr>
        <w:t>, kan der f.eks. ske videregivelse til andre offentlige myndigheder, herunder anklagemyndigheden og politiet i forbindelse med efterforskning og retsforfølgning af strafbare forhold omfattet af straffeloven, hvidvaskforordningen, hvidvaskloven eller anden tilsynslovgivning.</w:t>
      </w:r>
      <w:r w:rsidR="00305351" w:rsidRPr="00796736">
        <w:rPr>
          <w:rFonts w:ascii="Times New Roman" w:hAnsi="Times New Roman" w:cs="Times New Roman"/>
          <w:sz w:val="24"/>
          <w:szCs w:val="24"/>
        </w:rPr>
        <w:t xml:space="preserve"> </w:t>
      </w:r>
    </w:p>
    <w:p w14:paraId="12DCAE7E" w14:textId="0FC6D629" w:rsidR="003E55EA"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alle, der i henhold til stk. 2 modtager personoplysninger, jf. dog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_Ref232597634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3</w:t>
      </w:r>
      <w:r w:rsidRPr="00796736">
        <w:rPr>
          <w:rFonts w:ascii="Times New Roman" w:hAnsi="Times New Roman" w:cs="Times New Roman"/>
          <w:sz w:val="24"/>
          <w:szCs w:val="24"/>
        </w:rPr>
        <w:t xml:space="preserve">, med hensyn til disse oplysninger er undergivet den i stk. 1 omhandlede tavshedspligt. </w:t>
      </w:r>
    </w:p>
    <w:p w14:paraId="371ECEEC" w14:textId="19E8409A" w:rsidR="003E55EA" w:rsidRPr="00796736" w:rsidRDefault="003E55EA" w:rsidP="00A802A5">
      <w:pPr>
        <w:spacing w:before="120"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betyder, at alle, der i henhold til </w:t>
      </w:r>
      <w:r w:rsidR="00305351" w:rsidRPr="00796736">
        <w:rPr>
          <w:rFonts w:ascii="Times New Roman" w:hAnsi="Times New Roman" w:cs="Times New Roman"/>
          <w:sz w:val="24"/>
          <w:szCs w:val="24"/>
        </w:rPr>
        <w:fldChar w:fldCharType="begin"/>
      </w:r>
      <w:r w:rsidR="00305351" w:rsidRPr="00796736">
        <w:rPr>
          <w:rFonts w:ascii="Times New Roman" w:hAnsi="Times New Roman" w:cs="Times New Roman"/>
          <w:sz w:val="24"/>
          <w:szCs w:val="24"/>
        </w:rPr>
        <w:instrText xml:space="preserve"> REF _Ref232597634 \r \h </w:instrText>
      </w:r>
      <w:r w:rsidR="0075395A" w:rsidRPr="00796736">
        <w:rPr>
          <w:rFonts w:ascii="Times New Roman" w:hAnsi="Times New Roman" w:cs="Times New Roman"/>
          <w:sz w:val="24"/>
          <w:szCs w:val="24"/>
        </w:rPr>
        <w:instrText xml:space="preserve"> \* MERGEFORMAT </w:instrText>
      </w:r>
      <w:r w:rsidR="00305351" w:rsidRPr="00796736">
        <w:rPr>
          <w:rFonts w:ascii="Times New Roman" w:hAnsi="Times New Roman" w:cs="Times New Roman"/>
          <w:sz w:val="24"/>
          <w:szCs w:val="24"/>
        </w:rPr>
      </w:r>
      <w:r w:rsidR="0030535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77</w:t>
      </w:r>
      <w:r w:rsidR="00305351" w:rsidRPr="00796736">
        <w:rPr>
          <w:rFonts w:ascii="Times New Roman" w:hAnsi="Times New Roman" w:cs="Times New Roman"/>
          <w:sz w:val="24"/>
          <w:szCs w:val="24"/>
        </w:rPr>
        <w:fldChar w:fldCharType="end"/>
      </w:r>
      <w:r w:rsidR="00305351" w:rsidRPr="00796736">
        <w:rPr>
          <w:rFonts w:ascii="Times New Roman" w:hAnsi="Times New Roman" w:cs="Times New Roman"/>
          <w:sz w:val="24"/>
          <w:szCs w:val="24"/>
        </w:rPr>
        <w:t>, stk. 1</w:t>
      </w:r>
      <w:r w:rsidRPr="00796736">
        <w:rPr>
          <w:rFonts w:ascii="Times New Roman" w:hAnsi="Times New Roman" w:cs="Times New Roman"/>
          <w:sz w:val="24"/>
          <w:szCs w:val="24"/>
        </w:rPr>
        <w:t>, i loven modtager fortrolige oplysninger fra Finanstilsynet, med hensyn til disse oplysninger er undergivet den i stk. 1 omhandlede tavshedspligt.</w:t>
      </w:r>
    </w:p>
    <w:p w14:paraId="60922C0D" w14:textId="19C3E11F" w:rsidR="00305351" w:rsidRPr="00796736" w:rsidRDefault="003E55EA" w:rsidP="00A802A5">
      <w:pPr>
        <w:spacing w:line="360" w:lineRule="auto"/>
        <w:rPr>
          <w:rFonts w:ascii="Times New Roman" w:hAnsi="Times New Roman" w:cs="Times New Roman"/>
          <w:color w:val="000000" w:themeColor="text1"/>
          <w:sz w:val="24"/>
          <w:szCs w:val="24"/>
        </w:rPr>
      </w:pPr>
      <w:r w:rsidRPr="00796736">
        <w:rPr>
          <w:rFonts w:ascii="Times New Roman" w:hAnsi="Times New Roman" w:cs="Times New Roman"/>
          <w:sz w:val="24"/>
          <w:szCs w:val="24"/>
        </w:rPr>
        <w:t>Bestemmelsen</w:t>
      </w:r>
      <w:r w:rsidRPr="00796736">
        <w:rPr>
          <w:rFonts w:ascii="Times New Roman" w:hAnsi="Times New Roman" w:cs="Times New Roman"/>
          <w:color w:val="000000" w:themeColor="text1"/>
          <w:sz w:val="24"/>
          <w:szCs w:val="24"/>
        </w:rPr>
        <w:t xml:space="preserve"> svarer i øvrigt til § 354 g i lov om finansiel virksomhed og tilsvarende bestemmelser i en række andre tilsynslove på Finanstilsynets område.</w:t>
      </w:r>
    </w:p>
    <w:p w14:paraId="2A2E7A4E" w14:textId="77777777" w:rsidR="00D6650D" w:rsidRPr="00796736" w:rsidRDefault="00D6650D" w:rsidP="00A802A5">
      <w:pPr>
        <w:spacing w:line="360" w:lineRule="auto"/>
        <w:rPr>
          <w:rFonts w:ascii="Times New Roman" w:eastAsia="Calibri" w:hAnsi="Times New Roman" w:cs="Times New Roman"/>
          <w:sz w:val="24"/>
          <w:szCs w:val="24"/>
        </w:rPr>
      </w:pPr>
    </w:p>
    <w:p w14:paraId="0FD633BE" w14:textId="59C6F7C9" w:rsidR="00305351" w:rsidRPr="00796736" w:rsidRDefault="000F4687" w:rsidP="00A802A5">
      <w:pPr>
        <w:spacing w:line="360" w:lineRule="auto"/>
        <w:rPr>
          <w:rFonts w:ascii="Times New Roman" w:hAnsi="Times New Roman" w:cs="Times New Roman"/>
          <w:i/>
          <w:iCs/>
          <w:sz w:val="24"/>
          <w:szCs w:val="24"/>
        </w:rPr>
      </w:pPr>
      <w:r w:rsidRPr="00796736">
        <w:rPr>
          <w:rFonts w:ascii="Times New Roman" w:eastAsia="Calibri" w:hAnsi="Times New Roman" w:cs="Times New Roman"/>
          <w:sz w:val="24"/>
          <w:szCs w:val="24"/>
        </w:rPr>
        <w:t xml:space="preserve">Der henvises i øvrigt til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_Ref232964769 \n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3.60</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i lovforslagets almindelige bemærkninger.</w:t>
      </w:r>
    </w:p>
    <w:p w14:paraId="350525F2" w14:textId="77777777" w:rsidR="00D4242A" w:rsidRPr="00796736" w:rsidRDefault="00D4242A" w:rsidP="00A802A5">
      <w:pPr>
        <w:spacing w:line="360" w:lineRule="auto"/>
        <w:jc w:val="center"/>
        <w:rPr>
          <w:rFonts w:ascii="Times New Roman" w:hAnsi="Times New Roman" w:cs="Times New Roman"/>
          <w:i/>
          <w:iCs/>
          <w:sz w:val="24"/>
          <w:szCs w:val="24"/>
        </w:rPr>
      </w:pPr>
    </w:p>
    <w:p w14:paraId="169BDB1F" w14:textId="0931E24C" w:rsidR="00602DAC" w:rsidRPr="00796736" w:rsidRDefault="00602DAC" w:rsidP="00A802A5">
      <w:pPr>
        <w:pStyle w:val="Undertitel"/>
      </w:pPr>
      <w:bookmarkStart w:id="2098" w:name="_Toc232109410"/>
      <w:bookmarkStart w:id="2099" w:name="_Toc244879375"/>
      <w:bookmarkStart w:id="2100" w:name="_Toc244880900"/>
      <w:r w:rsidRPr="00796736">
        <w:t xml:space="preserve">Til </w:t>
      </w:r>
      <w:r w:rsidR="00850B44" w:rsidRPr="00796736">
        <w:fldChar w:fldCharType="begin"/>
      </w:r>
      <w:r w:rsidR="00850B44" w:rsidRPr="00796736">
        <w:instrText xml:space="preserve"> REF _Ref232597665 \r \h </w:instrText>
      </w:r>
      <w:r w:rsidR="00967618" w:rsidRPr="00796736">
        <w:instrText xml:space="preserve"> \* MERGEFORMAT </w:instrText>
      </w:r>
      <w:r w:rsidR="00850B44" w:rsidRPr="00796736">
        <w:fldChar w:fldCharType="separate"/>
      </w:r>
      <w:r w:rsidR="008F29E5">
        <w:t>§ 79</w:t>
      </w:r>
      <w:bookmarkEnd w:id="2099"/>
      <w:bookmarkEnd w:id="2100"/>
      <w:r w:rsidR="00850B44" w:rsidRPr="00796736">
        <w:fldChar w:fldCharType="end"/>
      </w:r>
      <w:r w:rsidR="00D33FA8" w:rsidRPr="00796736">
        <w:t xml:space="preserve"> </w:t>
      </w:r>
      <w:bookmarkEnd w:id="2098"/>
    </w:p>
    <w:p w14:paraId="6035564F" w14:textId="77777777"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1 i den gældende hvidvasklov indeholder en oplistning af de virksomheder og personer, som loven finder anvendelse på.</w:t>
      </w:r>
    </w:p>
    <w:p w14:paraId="793CFBB9" w14:textId="77777777"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57 i den gældende hvidvasklov fastlægger omfanget af Erhvervsstyrelsens tilsynskompetence efter hvidvaskloven som værende den kompetente myndighed i forhold til en række af de ikkefinansielle virksomheder, som omfattet af loven efter § 1, stk. 1, nr. 14-17 og 21. Den gældende § 57 fastlægger ligeledes Erhvervsstyrelsens pligt til og mulighed for at samarbejde med andre tilsynsmyndigheder i EU og EØS.</w:t>
      </w:r>
    </w:p>
    <w:p w14:paraId="3391DF0B" w14:textId="77777777"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nærværende bestemmelse viderefører store dele af den eksisterende § 57 vedrørende Erhvervsstyrelsens tilsyn med visse ændringer. </w:t>
      </w:r>
    </w:p>
    <w:p w14:paraId="7E268621" w14:textId="0C94C67B"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ændres indholdsmæssigt således, at kredsen af omfattede </w:t>
      </w:r>
      <w:r w:rsidR="00940B1D" w:rsidRPr="00796736">
        <w:rPr>
          <w:rFonts w:ascii="Times New Roman" w:eastAsia="Calibri" w:hAnsi="Times New Roman" w:cs="Times New Roman"/>
          <w:sz w:val="24"/>
          <w:szCs w:val="24"/>
        </w:rPr>
        <w:t xml:space="preserve">virksomheder og personer </w:t>
      </w:r>
      <w:r w:rsidRPr="00796736">
        <w:rPr>
          <w:rFonts w:ascii="Times New Roman" w:eastAsia="Calibri" w:hAnsi="Times New Roman" w:cs="Times New Roman"/>
          <w:sz w:val="24"/>
          <w:szCs w:val="24"/>
        </w:rPr>
        <w:t xml:space="preserve">tilpasses som en konsekvens af, at kredsen af forpligtede enheder nu følger af hvidvaskforordningen. Derudover skal Erhvervsstyrelsen påse overholdelsen af hvidvaskforordningen, som en konsekvens af, at størstedelen af de forpligtede enheders forpligtelser nu fremgår heraf. Derudover vil bestemmelsen angående fremmed bistand blive fjernet og bestemmelsen angående, at medlemmer af ledelsen og reelle ejer af udvalgte forpligtede enheder ikke må være dømt for et strafbart forhold, vil blive rykket til en selvstændig bestemmelse. </w:t>
      </w:r>
      <w:r w:rsidR="00911473" w:rsidRPr="00796736">
        <w:rPr>
          <w:rFonts w:ascii="Times New Roman" w:eastAsia="Calibri" w:hAnsi="Times New Roman" w:cs="Times New Roman"/>
          <w:sz w:val="24"/>
          <w:szCs w:val="24"/>
        </w:rPr>
        <w:t>Yderligere udskilles Erhvervsstyrelsens pligt og mulighed for samarbejde med tilsynsmyndigheder i andre EU og EØS-lande til en separat bestemmelse.</w:t>
      </w:r>
    </w:p>
    <w:p w14:paraId="1404A31A" w14:textId="77777777" w:rsidR="00940B1D" w:rsidRPr="00796736" w:rsidRDefault="00940B1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implementerer 6. hvidvaskdirektivs artikel 37, stk. 1, 6 og 7, og artikel 40, stk. 1 og 4. </w:t>
      </w:r>
    </w:p>
    <w:p w14:paraId="4E60024E" w14:textId="6AFC0129"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Erhvervsstyrelsen påser, at de i nr. 1-11 oplistede virksomheder og personer</w:t>
      </w:r>
      <w:r w:rsidRPr="00796736">
        <w:rPr>
          <w:rFonts w:ascii="Times New Roman" w:eastAsia="Times New Roman" w:hAnsi="Times New Roman" w:cs="Times New Roman"/>
          <w:sz w:val="24"/>
          <w:szCs w:val="24"/>
          <w:lang w:eastAsia="da-DK"/>
        </w:rPr>
        <w:t xml:space="preserve">, </w:t>
      </w:r>
      <w:r w:rsidRPr="00796736">
        <w:rPr>
          <w:rFonts w:ascii="Times New Roman" w:hAnsi="Times New Roman" w:cs="Times New Roman"/>
          <w:sz w:val="24"/>
          <w:szCs w:val="24"/>
        </w:rPr>
        <w:t xml:space="preserve">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081A204A"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den gældende retsstilling i dag i store træk videreføres, dog således at der sker en udvidelse af den gruppe af virksomheder og personer, som Erhvervsstyrelsen skal føre tilsyn med som følge af udvidelsen af reglernes anvendelsesområde efter hvidvaskforordningens artikel 3. </w:t>
      </w:r>
    </w:p>
    <w:p w14:paraId="3B51AD6F" w14:textId="5AD8CB40"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vil efter den foreslåede ordning føre tilsyn med, at virksomheder og personer, som er omfattet af § 1, stk. 1 og defineret i § 2, nr. 20-29 samt nr. 32, litra b, samt udenlandske virksomheders og personers filialer, distributører og agenter, der udøver sådan omfattet virksomhed i Danmark</w:t>
      </w:r>
      <w:r w:rsidRPr="00796736">
        <w:rPr>
          <w:rFonts w:ascii="Times New Roman" w:eastAsia="Times New Roman" w:hAnsi="Times New Roman" w:cs="Times New Roman"/>
          <w:sz w:val="24"/>
          <w:szCs w:val="24"/>
          <w:lang w:eastAsia="da-DK"/>
        </w:rPr>
        <w:t xml:space="preserve">, </w:t>
      </w:r>
      <w:r w:rsidRPr="00796736">
        <w:rPr>
          <w:rFonts w:ascii="Times New Roman" w:hAnsi="Times New Roman" w:cs="Times New Roman"/>
          <w:sz w:val="24"/>
          <w:szCs w:val="24"/>
        </w:rPr>
        <w:t>overholder hvidvaskforordningen, hvidvaskloven, regler udstedt i medfør heraf samt love og forordninger indeholdende regler om finansielle sanktioner mod lande, personer, grupper, juridiske enheder eller organer.</w:t>
      </w:r>
    </w:p>
    <w:p w14:paraId="2AB85D6A" w14:textId="05C63C1A"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Ændringen vil medføre, at Erhvervsstyrelsen også skal føre tilsyn med overholdelsen af hvidvaskforordningen. Der vil ske en tilføjelse af hvidvaskforordningen i det retsgrundlag, som Erhvervsstyrelsen skal påse overholdelse af, som en konsekvens af, at de pligter, som omfattede virksomheder og personer skal overholde, fremadrettet vil fremgå af hvidvaskforordningen og derfor ikke længere vil fremgå af hvidvaskloven.</w:t>
      </w:r>
      <w:r w:rsidR="005A265F">
        <w:rPr>
          <w:rFonts w:ascii="Times New Roman" w:hAnsi="Times New Roman" w:cs="Times New Roman"/>
          <w:sz w:val="24"/>
          <w:szCs w:val="24"/>
        </w:rPr>
        <w:t xml:space="preserve"> Erhvervsstyrelsen vil herunder skulle påse overholdelsen af de supplerende retsakter udstedt i medfør af forordningen, herunder reguleringsmæssige tekniske standarder fra AMLA.</w:t>
      </w:r>
    </w:p>
    <w:p w14:paraId="5FB36602"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Ændringen vil på denne baggrund indebære, at der i bestemmelsen for Erhvervsstyrelsens tilsynsforpligtelse og ansvar indskrives en konkret oplistning af de forpligtede enheder efter hvidvaskforordningens artikel 3, som hører under Erhvervsstyrelsens tilsynspopulation. </w:t>
      </w:r>
    </w:p>
    <w:p w14:paraId="005D51B8"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præambelbetragtning nr. 42 til hvidvaskforordningen, at situationer kunne opstå, hvor enkeltpersoner, der betragtes som forpligtede enheder leverer deres tjenester internt til virksomheder, hvis aktiviteter ikke falder ind under forordningens anvendelsesområde. Da disse virksomheder ikke fungerer som gatekeepere i forhold til Unionens finansielle system, er det vigtigt at præcisere, at sådanne ansatte, f.eks. interne advokater, ikke er omfattet af forordningen. Tilsvarende bør enkeltpersoner, der udfører aktiviteter, der omfattet af forordningens anvendelsesområde ikke i sig selv betragtes som forpligtede enheder, når disse aktiviteter udføres i forbindelse med deres ansættelse hos en forpligtet enhed, f.eks. i tilfælde af advokater eller revisorer, der er ansat i et advokatfirma eller et revisionsfirma. </w:t>
      </w:r>
    </w:p>
    <w:p w14:paraId="4A3985AC" w14:textId="77777777" w:rsidR="00D4242A"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hvidvaskforordningens artikel 15, at hvis en fysisk person, der falder ind under en af kategorierne i artikel 3, nr. 3), udøver sin erhvervsmæssige virksomhed som ansat hos en juridisk person, skal de krav, der er fastsat i denne forordning, gælde for denne juridiske person i stedet for den fysiske person. </w:t>
      </w:r>
    </w:p>
    <w:p w14:paraId="46B78CA6" w14:textId="560B0E3E" w:rsidR="005A265F" w:rsidRPr="00796736" w:rsidRDefault="005A265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nr. </w:t>
      </w:r>
      <w:r>
        <w:rPr>
          <w:rFonts w:ascii="Times New Roman" w:hAnsi="Times New Roman" w:cs="Times New Roman"/>
          <w:i/>
          <w:iCs/>
          <w:sz w:val="24"/>
          <w:szCs w:val="24"/>
        </w:rPr>
        <w:t>1</w:t>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Erhvervsstyrelsen påser, at </w:t>
      </w:r>
      <w:r>
        <w:rPr>
          <w:rFonts w:ascii="Times New Roman" w:hAnsi="Times New Roman" w:cs="Times New Roman"/>
          <w:sz w:val="24"/>
          <w:szCs w:val="24"/>
        </w:rPr>
        <w:t>revisorer</w:t>
      </w:r>
      <w:r w:rsidRPr="00796736">
        <w:rPr>
          <w:rFonts w:ascii="Times New Roman" w:hAnsi="Times New Roman" w:cs="Times New Roman"/>
          <w:sz w:val="24"/>
          <w:szCs w:val="24"/>
        </w:rPr>
        <w:t xml:space="preserv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w:t>
      </w:r>
      <w:r>
        <w:rPr>
          <w:rFonts w:ascii="Times New Roman" w:hAnsi="Times New Roman" w:cs="Times New Roman"/>
          <w:sz w:val="24"/>
          <w:szCs w:val="24"/>
        </w:rPr>
        <w:t>20</w:t>
      </w:r>
      <w:r w:rsidRPr="00796736">
        <w:rPr>
          <w:rFonts w:ascii="Times New Roman" w:hAnsi="Times New Roman" w:cs="Times New Roman"/>
          <w:sz w:val="24"/>
          <w:szCs w:val="24"/>
        </w:rPr>
        <w:t xml:space="preserve">,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2E077EC6"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føre tilsyn med virksomheder og personer omfattet af § 2, nr. 20. Dette angår revisorer omfattet af hvidvaskforordningen artikel 3, nr. 3, litra a, herunder revisorer og revisionsvirksomheder godkendt i henhold til revisorloven.</w:t>
      </w:r>
    </w:p>
    <w:p w14:paraId="2FC57199"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viderefører Erhvervsstyrelsens pligt til at føre tilsyn med revisorer og revisionsvirksomheder, der efter den gældende hvidvasklov er omfattet efter § 1, stk. 1, nr. 14.</w:t>
      </w:r>
    </w:p>
    <w:p w14:paraId="091B9361" w14:textId="71825B2A"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2,</w:t>
      </w:r>
      <w:r w:rsidRPr="00796736">
        <w:rPr>
          <w:rFonts w:ascii="Times New Roman" w:hAnsi="Times New Roman" w:cs="Times New Roman"/>
          <w:sz w:val="24"/>
          <w:szCs w:val="24"/>
        </w:rPr>
        <w:t xml:space="preserve"> at Erhvervsstyrelsen påser, at eksterne regnskabskyndige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21,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30461697" w14:textId="0FD6B21A"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ordning skal Erhvervsstyrelsen føre tilsyn med virksomheder og personer omfattet af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4A72D6"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21. Dette angår eksterne regnskabskyndige omfattet af hvidvaskforordningens artikel 3, nr. 3, litra b, herunder eksterne bogholdere og revisorer, som ikke er godkendt i henhold til revisorloven.</w:t>
      </w:r>
    </w:p>
    <w:p w14:paraId="0BDD5CC0"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viderefører Erhvervsstyrelsens pligt til at føre tilsyn med eksterne bogholdere og revisorer, som ikke er godkendt efter revisorloven, der efter den gældende hvidvasklov er omfattet efter § 1, stk. 1, nr. 16. Med den foreslåede ordning ændres betegnelsen af denne type af forpligtede enheder til eksterne regnskabskyndige i overensstemmelse med ordlyden i hvidvaskforordningens artikel 3, nr. 3, litra b.</w:t>
      </w:r>
    </w:p>
    <w:p w14:paraId="0B9F44CE" w14:textId="51E58265"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3,</w:t>
      </w:r>
      <w:r w:rsidRPr="00796736">
        <w:rPr>
          <w:rFonts w:ascii="Times New Roman" w:hAnsi="Times New Roman" w:cs="Times New Roman"/>
          <w:sz w:val="24"/>
          <w:szCs w:val="24"/>
        </w:rPr>
        <w:t xml:space="preserve"> at Erhvervsstyrelsen påser, at skatterådgivere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22,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w:t>
      </w:r>
    </w:p>
    <w:p w14:paraId="463BE693"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føre tilsyn med virksomheder og personer omfattet af § 2, nr. 22. Dette angår skatterådgivere og enhver anden fysisk eller juridisk person omfattet af hvidvaskforordningens artikel 3, nr. 3, litra b.</w:t>
      </w:r>
    </w:p>
    <w:p w14:paraId="683A63B3"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hvidvaskforordningens artikel 3, nr. 3, litra a, at skatterådgivere og enhver anden fysisk eller juridisk person, herunder selvstændige retlige aktører såsom advokater, der forpligter sig til at yde, enten direkte eller ved hjælp af andre personer, som denne anden person har tilknytning til, materiel hjælp, bistand eller rådgivning om skatteanliggender som vigtigste forretnings- eller erhvervsmæssige virksomhed, skal betragtes som forpligtet enhed med henblik på denne forordning.</w:t>
      </w:r>
    </w:p>
    <w:p w14:paraId="230FAC43"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Erhvervsstyrelsens pligt til at føre tilsyn med skatterådgivere og enhver anden person, der forpligter sig til at yde hjælp, bistand eller rådgivning om skatteanliggender som sin vigtigste erhvervsmæssige virksomhed, som efter den gældende hvidvasklov er omfattet efter § 1, stk. 1, nr. 16. </w:t>
      </w:r>
    </w:p>
    <w:p w14:paraId="2B503ED6"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vil skulle føre tilsyn med hele kredsen af forpligtede enheder under hvidvaskforordningens artikel 3, nr. 3, litra a, på nær advokater.</w:t>
      </w:r>
    </w:p>
    <w:p w14:paraId="66F12306" w14:textId="5CDBC21D"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4,</w:t>
      </w:r>
      <w:r w:rsidRPr="00796736">
        <w:rPr>
          <w:rFonts w:ascii="Times New Roman" w:hAnsi="Times New Roman" w:cs="Times New Roman"/>
          <w:sz w:val="24"/>
          <w:szCs w:val="24"/>
        </w:rPr>
        <w:t xml:space="preserve"> at Erhvervsstyrelsen påser, at andre selvstændige retlige aktører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23,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1B2C30A6"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føre tilsyn med virksomheder og personer omfattet af § 2, nr. 23. Dette angår andre selvstændige retlige aktører omfattet af henholdsvis hvidvaskforordningens artikel 3, nr. 3, litra a, og artikel 3, nr. 3, litra b, for så vidt at disse ikke er enten notarer eller advokater.</w:t>
      </w:r>
    </w:p>
    <w:p w14:paraId="26DDF5A6"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skal Erhvervsstyrelsen føre tilsyn med andre retlige aktører end notarer og advokater, når disse udøver de i hvidvaskforordningens artikel 3, nr. 3, litra a og b nævnte ydelser.</w:t>
      </w:r>
    </w:p>
    <w:p w14:paraId="2C25A245"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viderefører Erhvervsstyrelsens pligt til at føre tilsyn med virksomheder og personer, der i øvrigt erhvervsmæssigt leverer samme ydelser som advokater omfattet af den gældende hvidvasklovs § 1, stk. 1, nr. 13, i medfør af den gældende § 1, stk. 1, nr. 16.</w:t>
      </w:r>
    </w:p>
    <w:p w14:paraId="3ACEF70D"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hvidvaskforordningens artikel 3, nr. 3, litra a, at skatterådgivere og enhver anden fysisk eller juridisk person, herunder selvstændige retlige aktører såsom advokater, der forpligter sig til at yde, enten direkte eller ved hjælp af andre personer, som denne anden person har tilknytning til, materiel hjælp, bistand eller rådgivning om skatteanliggender som vigtigste forretnings- eller erhvervsmæssige virksomhed, skal betragtes som forpligtet enhed med henblik på denne forordning.</w:t>
      </w:r>
    </w:p>
    <w:p w14:paraId="30E87A3A"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 hvidvaskforordningens artikel 3, nr. 3, litra b, at notarer, advokater og andre selvstændige retlige aktører, når de på deres kundes vegne eller for dennes regning deltager i en hvilken som helst finansiel transaktion vedrørende fast ejendom eller bistår ved planlægning eller gennemførelsen af transaktioner for deres kunde i forbindelse med én af følgende: 1) køb og salg af fast ejendom eller virksomheder, 2) forvaltning af kunders penge, værdipapirer eller andre aktiver, herunder kryptoaktiver, 3) åbning eller forvaltning af bank-, opsparings, værdipapir- eller kryptoaktivkonti, 4) tilvejebringelse af nødvendig kapital til oprettelse, drift eller ledelse af selskaber, 5) oprettelse, drift eller ledelse af truster, selskaber, fonde eller lignende strukturer.</w:t>
      </w:r>
    </w:p>
    <w:p w14:paraId="6F412984" w14:textId="70934D0B"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5,</w:t>
      </w:r>
      <w:r w:rsidRPr="00796736">
        <w:rPr>
          <w:rFonts w:ascii="Times New Roman" w:hAnsi="Times New Roman" w:cs="Times New Roman"/>
          <w:sz w:val="24"/>
          <w:szCs w:val="24"/>
        </w:rPr>
        <w:t xml:space="preserve"> at Erhvervsstyrelsen påser, at ejendomsmæglere og andre professionelle i forbindelse med fast ejendom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24,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78D24014"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føre tilsyn med virksomheder og personer omfattet af § 2, nr. 24. Dette angår ejendomsmæglere og andre professionelle i forbindelse med fast ejendom omfattet af hvidvaskforordningens artikel 3, nr. 3, litra d.</w:t>
      </w:r>
    </w:p>
    <w:p w14:paraId="5947438B"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Erhvervsstyrelsens pligt til at føre tilsyn med ejendomsmæglere og ejendomsmæglervirksomheder som omfattet efter den gældende hvidvasklovs § 1, stk. 1, nr. 15. </w:t>
      </w:r>
    </w:p>
    <w:p w14:paraId="1DF70AE2"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tilpasses betegnelsen af denne type af forpligtede enheder i overensstemmelse med ordlyden i hvidvaskforordningens artikel 3, nr. 3, litra d til ejendomsmæglere og andre professionelle og omfavner de efter forordningen angivne ydelser.</w:t>
      </w:r>
    </w:p>
    <w:p w14:paraId="29693C58"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blandt andet af præambelbetragtning nr. 56 til hvidvaskforordningen, at de tjenesteydelser, der tilbydes af ejendomsmæglere, omfatter bistand til kunden med at finde en ejendom med henblik på køb, salg, leje eller leasing. Sådanne tjenesteydelser bliver relevante for bekæmpelse af hvidvask af penge og finansiering af terrorisme, når der er klare tegn på, at parterne er villige til at gennemføre købet, salget, lejeforholdet eller leasingforholdet eller træffe de nødvendige forberedende skridt.</w:t>
      </w:r>
    </w:p>
    <w:p w14:paraId="453CD74E" w14:textId="7B353554"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w:t>
      </w:r>
      <w:r w:rsidR="00940B1D" w:rsidRPr="00796736">
        <w:rPr>
          <w:rFonts w:ascii="Times New Roman" w:hAnsi="Times New Roman" w:cs="Times New Roman"/>
          <w:sz w:val="24"/>
          <w:szCs w:val="24"/>
        </w:rPr>
        <w:t xml:space="preserve">hvidvaskforordningens </w:t>
      </w:r>
      <w:r w:rsidRPr="00796736">
        <w:rPr>
          <w:rFonts w:ascii="Times New Roman" w:hAnsi="Times New Roman" w:cs="Times New Roman"/>
          <w:sz w:val="24"/>
          <w:szCs w:val="24"/>
        </w:rPr>
        <w:t xml:space="preserve">præambelbetragtning nr. 57, at transaktioner vedrørende fast ejendom er udsat for risici for hvidvask af penge og finansiering af terrorisme. For at afbøde disse risici bør aktører i forbindelse med fast ejendom, der formidler køb, salg og udlejning af fast ejendom, være omfattet af kravene i denne forordning, uanset deres betegnelse eller hovedvirksomhed eller erhverv, herunder ejendomsudviklere, når og i det omfang de formilder køb, salg og udlejning af fast ejendom. </w:t>
      </w:r>
    </w:p>
    <w:p w14:paraId="320E0B94" w14:textId="53E31750"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6,</w:t>
      </w:r>
      <w:r w:rsidRPr="00796736">
        <w:rPr>
          <w:rFonts w:ascii="Times New Roman" w:hAnsi="Times New Roman" w:cs="Times New Roman"/>
          <w:sz w:val="24"/>
          <w:szCs w:val="24"/>
        </w:rPr>
        <w:t xml:space="preserve"> at Erhvervsstyrelsen påser, at eksterne regnskabskyndige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25,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w:t>
      </w:r>
    </w:p>
    <w:p w14:paraId="77ECFEEE"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føre tilsyn med virksomheder og personer omfattet af § 2, nr. 25. Dette angår fysiske eller juridiske personer omfattet af hvidvaskforordningens artikel 3, nr. 3, litra e, der som regelmæssig eller vigtigste erhvervsmæssige virksomhed handler med ædelmetaller og ædelsten, som oplistet i bilag V til hvidvaskforordningen.</w:t>
      </w:r>
    </w:p>
    <w:p w14:paraId="59FCDD2E"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ny, idet handel med ædelmetaller og ædelsten ikke tidligere har været omfattet af hvidvaskreguleringen.</w:t>
      </w:r>
    </w:p>
    <w:p w14:paraId="66FA64B2"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55 i hvidvaskforordningen definerer ”ædelmetaller og ædelsten” som metaller og sten, der er anført i bilag V til hvidvaskforordningen.</w:t>
      </w:r>
    </w:p>
    <w:p w14:paraId="2EF5F913"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bilag V til hvidvaskforordningen, at ædelmetaller, der er omhandlet i artikel 2, stk. 1, nr. 55 omfatter:</w:t>
      </w:r>
    </w:p>
    <w:p w14:paraId="2D6123C6" w14:textId="77777777" w:rsidR="00D4242A" w:rsidRPr="00796736" w:rsidRDefault="00D4242A">
      <w:pPr>
        <w:pStyle w:val="Listeafsnit"/>
        <w:numPr>
          <w:ilvl w:val="0"/>
          <w:numId w:val="34"/>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Guld</w:t>
      </w:r>
    </w:p>
    <w:p w14:paraId="02A61C8E" w14:textId="77777777" w:rsidR="00D4242A" w:rsidRPr="00796736" w:rsidRDefault="00D4242A">
      <w:pPr>
        <w:pStyle w:val="Listeafsnit"/>
        <w:numPr>
          <w:ilvl w:val="0"/>
          <w:numId w:val="34"/>
        </w:numPr>
        <w:spacing w:line="360" w:lineRule="auto"/>
        <w:rPr>
          <w:rFonts w:ascii="Times New Roman" w:hAnsi="Times New Roman" w:cs="Times New Roman"/>
          <w:sz w:val="24"/>
          <w:szCs w:val="24"/>
        </w:rPr>
      </w:pPr>
      <w:r w:rsidRPr="00796736">
        <w:rPr>
          <w:rFonts w:ascii="Times New Roman" w:hAnsi="Times New Roman" w:cs="Times New Roman"/>
          <w:sz w:val="24"/>
          <w:szCs w:val="24"/>
        </w:rPr>
        <w:t>Sølv</w:t>
      </w:r>
    </w:p>
    <w:p w14:paraId="39A21AD9" w14:textId="77777777" w:rsidR="00D4242A" w:rsidRPr="00796736" w:rsidRDefault="00D4242A">
      <w:pPr>
        <w:pStyle w:val="Listeafsnit"/>
        <w:numPr>
          <w:ilvl w:val="0"/>
          <w:numId w:val="34"/>
        </w:numPr>
        <w:spacing w:line="360" w:lineRule="auto"/>
        <w:rPr>
          <w:rFonts w:ascii="Times New Roman" w:hAnsi="Times New Roman" w:cs="Times New Roman"/>
          <w:sz w:val="24"/>
          <w:szCs w:val="24"/>
        </w:rPr>
      </w:pPr>
      <w:r w:rsidRPr="00796736">
        <w:rPr>
          <w:rFonts w:ascii="Times New Roman" w:hAnsi="Times New Roman" w:cs="Times New Roman"/>
          <w:sz w:val="24"/>
          <w:szCs w:val="24"/>
        </w:rPr>
        <w:t>Platin</w:t>
      </w:r>
    </w:p>
    <w:p w14:paraId="1AECD792" w14:textId="77777777" w:rsidR="00D4242A" w:rsidRPr="00796736" w:rsidRDefault="00D4242A">
      <w:pPr>
        <w:pStyle w:val="Listeafsnit"/>
        <w:numPr>
          <w:ilvl w:val="0"/>
          <w:numId w:val="34"/>
        </w:numPr>
        <w:spacing w:line="360" w:lineRule="auto"/>
        <w:rPr>
          <w:rFonts w:ascii="Times New Roman" w:hAnsi="Times New Roman" w:cs="Times New Roman"/>
          <w:sz w:val="24"/>
          <w:szCs w:val="24"/>
        </w:rPr>
      </w:pPr>
      <w:r w:rsidRPr="00796736">
        <w:rPr>
          <w:rFonts w:ascii="Times New Roman" w:hAnsi="Times New Roman" w:cs="Times New Roman"/>
          <w:sz w:val="24"/>
          <w:szCs w:val="24"/>
        </w:rPr>
        <w:t>Iridium</w:t>
      </w:r>
    </w:p>
    <w:p w14:paraId="0B16B344" w14:textId="77777777" w:rsidR="00D4242A" w:rsidRPr="00796736" w:rsidRDefault="00D4242A">
      <w:pPr>
        <w:pStyle w:val="Listeafsnit"/>
        <w:numPr>
          <w:ilvl w:val="0"/>
          <w:numId w:val="34"/>
        </w:numPr>
        <w:spacing w:line="360" w:lineRule="auto"/>
        <w:rPr>
          <w:rFonts w:ascii="Times New Roman" w:hAnsi="Times New Roman" w:cs="Times New Roman"/>
          <w:sz w:val="24"/>
          <w:szCs w:val="24"/>
        </w:rPr>
      </w:pPr>
      <w:r w:rsidRPr="00796736">
        <w:rPr>
          <w:rFonts w:ascii="Times New Roman" w:hAnsi="Times New Roman" w:cs="Times New Roman"/>
          <w:sz w:val="24"/>
          <w:szCs w:val="24"/>
        </w:rPr>
        <w:t>Osmium</w:t>
      </w:r>
    </w:p>
    <w:p w14:paraId="00E7E62A" w14:textId="77777777" w:rsidR="00D4242A" w:rsidRPr="00796736" w:rsidRDefault="00D4242A">
      <w:pPr>
        <w:pStyle w:val="Listeafsnit"/>
        <w:numPr>
          <w:ilvl w:val="0"/>
          <w:numId w:val="34"/>
        </w:numPr>
        <w:spacing w:line="360" w:lineRule="auto"/>
        <w:rPr>
          <w:rFonts w:ascii="Times New Roman" w:hAnsi="Times New Roman" w:cs="Times New Roman"/>
          <w:sz w:val="24"/>
          <w:szCs w:val="24"/>
        </w:rPr>
      </w:pPr>
      <w:r w:rsidRPr="00796736">
        <w:rPr>
          <w:rFonts w:ascii="Times New Roman" w:hAnsi="Times New Roman" w:cs="Times New Roman"/>
          <w:sz w:val="24"/>
          <w:szCs w:val="24"/>
        </w:rPr>
        <w:t>Palladium</w:t>
      </w:r>
    </w:p>
    <w:p w14:paraId="5B757E0C" w14:textId="77777777" w:rsidR="00D4242A" w:rsidRPr="00796736" w:rsidRDefault="00D4242A">
      <w:pPr>
        <w:pStyle w:val="Listeafsnit"/>
        <w:numPr>
          <w:ilvl w:val="0"/>
          <w:numId w:val="34"/>
        </w:numPr>
        <w:spacing w:line="360" w:lineRule="auto"/>
        <w:rPr>
          <w:rFonts w:ascii="Times New Roman" w:hAnsi="Times New Roman" w:cs="Times New Roman"/>
          <w:sz w:val="24"/>
          <w:szCs w:val="24"/>
        </w:rPr>
      </w:pPr>
      <w:r w:rsidRPr="00796736">
        <w:rPr>
          <w:rFonts w:ascii="Times New Roman" w:hAnsi="Times New Roman" w:cs="Times New Roman"/>
          <w:sz w:val="24"/>
          <w:szCs w:val="24"/>
        </w:rPr>
        <w:t>Rhodium</w:t>
      </w:r>
    </w:p>
    <w:p w14:paraId="45717351" w14:textId="77777777" w:rsidR="00D4242A" w:rsidRPr="00796736" w:rsidRDefault="00D4242A">
      <w:pPr>
        <w:pStyle w:val="Listeafsnit"/>
        <w:numPr>
          <w:ilvl w:val="0"/>
          <w:numId w:val="34"/>
        </w:numPr>
        <w:spacing w:line="360" w:lineRule="auto"/>
        <w:rPr>
          <w:rFonts w:ascii="Times New Roman" w:hAnsi="Times New Roman" w:cs="Times New Roman"/>
          <w:sz w:val="24"/>
          <w:szCs w:val="24"/>
        </w:rPr>
      </w:pPr>
      <w:r w:rsidRPr="00796736">
        <w:rPr>
          <w:rFonts w:ascii="Times New Roman" w:hAnsi="Times New Roman" w:cs="Times New Roman"/>
          <w:sz w:val="24"/>
          <w:szCs w:val="24"/>
        </w:rPr>
        <w:t>Ruthenium</w:t>
      </w:r>
    </w:p>
    <w:p w14:paraId="2C61D161" w14:textId="77777777" w:rsidR="00D4242A" w:rsidRPr="00796736" w:rsidRDefault="00D4242A" w:rsidP="00A802A5">
      <w:pPr>
        <w:spacing w:line="360" w:lineRule="auto"/>
        <w:rPr>
          <w:rFonts w:ascii="Times New Roman" w:hAnsi="Times New Roman" w:cs="Times New Roman"/>
          <w:sz w:val="24"/>
          <w:szCs w:val="24"/>
        </w:rPr>
      </w:pPr>
    </w:p>
    <w:p w14:paraId="3FAA3FBE"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bilag V til hvidvaskforordningen, at ædelsten, der er omhandlet i artikel 2, stk. 1, nr. 55 omfatter:</w:t>
      </w:r>
    </w:p>
    <w:p w14:paraId="015C3D22" w14:textId="77777777" w:rsidR="00D4242A" w:rsidRPr="00796736" w:rsidRDefault="00D4242A">
      <w:pPr>
        <w:pStyle w:val="Listeafsnit"/>
        <w:numPr>
          <w:ilvl w:val="0"/>
          <w:numId w:val="36"/>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Diamant</w:t>
      </w:r>
    </w:p>
    <w:p w14:paraId="4AA20469" w14:textId="77777777" w:rsidR="00D4242A" w:rsidRPr="00796736" w:rsidRDefault="00D4242A">
      <w:pPr>
        <w:pStyle w:val="Listeafsnit"/>
        <w:numPr>
          <w:ilvl w:val="0"/>
          <w:numId w:val="36"/>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Rubin</w:t>
      </w:r>
    </w:p>
    <w:p w14:paraId="44901FCA" w14:textId="77777777" w:rsidR="00D4242A" w:rsidRPr="00796736" w:rsidRDefault="00D4242A">
      <w:pPr>
        <w:pStyle w:val="Listeafsnit"/>
        <w:numPr>
          <w:ilvl w:val="0"/>
          <w:numId w:val="36"/>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Safir</w:t>
      </w:r>
    </w:p>
    <w:p w14:paraId="25B10889" w14:textId="0E1815AE" w:rsidR="00D4242A" w:rsidRPr="00796736" w:rsidRDefault="00D4242A">
      <w:pPr>
        <w:pStyle w:val="Listeafsnit"/>
        <w:numPr>
          <w:ilvl w:val="0"/>
          <w:numId w:val="36"/>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Smaragd </w:t>
      </w:r>
    </w:p>
    <w:p w14:paraId="65A520BD" w14:textId="77777777" w:rsidR="004A72D6" w:rsidRPr="00796736" w:rsidRDefault="004A72D6" w:rsidP="00A802A5">
      <w:pPr>
        <w:pStyle w:val="Listeafsnit"/>
        <w:spacing w:line="360" w:lineRule="auto"/>
        <w:rPr>
          <w:rFonts w:ascii="Times New Roman" w:hAnsi="Times New Roman" w:cs="Times New Roman"/>
          <w:sz w:val="24"/>
          <w:szCs w:val="24"/>
        </w:rPr>
      </w:pPr>
    </w:p>
    <w:p w14:paraId="4D418556" w14:textId="31A4D77D"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7,</w:t>
      </w:r>
      <w:r w:rsidRPr="00796736">
        <w:rPr>
          <w:rFonts w:ascii="Times New Roman" w:hAnsi="Times New Roman" w:cs="Times New Roman"/>
          <w:sz w:val="24"/>
          <w:szCs w:val="24"/>
        </w:rPr>
        <w:t xml:space="preserve"> at Erhvervsstyrelsen påser, at forhandlere af højværdivarer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26,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36E6ECD0"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ordning skal Erhvervsstyrelsen føre tilsyn med virksomheder og personer omfattet af § 2, nr. 26. Dette angår </w:t>
      </w:r>
      <w:r w:rsidRPr="00796736">
        <w:rPr>
          <w:rFonts w:ascii="Times New Roman" w:eastAsia="Times New Roman" w:hAnsi="Times New Roman" w:cs="Times New Roman"/>
          <w:sz w:val="24"/>
          <w:szCs w:val="24"/>
          <w:lang w:eastAsia="da-DK"/>
        </w:rPr>
        <w:t>fysiske eller juridiske personer omfattet af hvidvaskforordningens artikel 3, nr. 3, litra f, der som regelmæssig eller vigtigste erhvervsmæssige virksomhed handler med varer af høj værdi, som oplistet i bilag IV til hvidvaskforordningen.</w:t>
      </w:r>
    </w:p>
    <w:p w14:paraId="5417BDCE"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6C98A460" w14:textId="4D04716D"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 er ny, </w:t>
      </w:r>
      <w:r w:rsidRPr="00796736">
        <w:rPr>
          <w:rFonts w:ascii="Times New Roman" w:hAnsi="Times New Roman" w:cs="Times New Roman"/>
          <w:sz w:val="24"/>
          <w:szCs w:val="24"/>
        </w:rPr>
        <w:t>idet handel med varer af høj værdi ikke tidligere har været omfattet af hvidvaskreguleringen</w:t>
      </w:r>
      <w:r w:rsidRPr="00796736">
        <w:rPr>
          <w:rFonts w:ascii="Times New Roman" w:eastAsia="Times New Roman" w:hAnsi="Times New Roman" w:cs="Times New Roman"/>
          <w:sz w:val="24"/>
          <w:szCs w:val="24"/>
          <w:lang w:eastAsia="da-DK"/>
        </w:rPr>
        <w:t xml:space="preserve">. </w:t>
      </w:r>
    </w:p>
    <w:p w14:paraId="5AE8ABD9"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13A12BA4"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54 i hvidvaskforordningen definerer ”varer af høj værdi” som varer, der er anført i bilag IV til hvidvaskforordningen.</w:t>
      </w:r>
    </w:p>
    <w:p w14:paraId="2913EB13"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bilag IV til hvidvaskforordningen, at varer af høj værdi, der er omhandlet i artikel 2, stk. 1, nr. 54 omfatter:</w:t>
      </w:r>
    </w:p>
    <w:p w14:paraId="7C2E1017" w14:textId="77777777" w:rsidR="00D4242A" w:rsidRPr="00796736" w:rsidRDefault="00D4242A">
      <w:pPr>
        <w:pStyle w:val="Listeafsnit"/>
        <w:numPr>
          <w:ilvl w:val="0"/>
          <w:numId w:val="35"/>
        </w:numPr>
        <w:spacing w:line="360" w:lineRule="auto"/>
        <w:rPr>
          <w:rFonts w:ascii="Times New Roman" w:hAnsi="Times New Roman" w:cs="Times New Roman"/>
          <w:sz w:val="24"/>
          <w:szCs w:val="24"/>
        </w:rPr>
      </w:pPr>
      <w:r w:rsidRPr="00796736">
        <w:rPr>
          <w:rFonts w:ascii="Times New Roman" w:hAnsi="Times New Roman" w:cs="Times New Roman"/>
          <w:sz w:val="24"/>
          <w:szCs w:val="24"/>
        </w:rPr>
        <w:t>smykker, guld- eller sølvsmedevarer med en værdi på over 10 000 EUR eller et tilsvarende beløb i national valuta</w:t>
      </w:r>
    </w:p>
    <w:p w14:paraId="0E2C3A8B" w14:textId="77777777" w:rsidR="00D4242A" w:rsidRPr="00796736" w:rsidRDefault="00D4242A">
      <w:pPr>
        <w:pStyle w:val="Listeafsnit"/>
        <w:numPr>
          <w:ilvl w:val="0"/>
          <w:numId w:val="35"/>
        </w:numPr>
        <w:spacing w:line="360" w:lineRule="auto"/>
        <w:rPr>
          <w:rFonts w:ascii="Times New Roman" w:hAnsi="Times New Roman" w:cs="Times New Roman"/>
          <w:sz w:val="24"/>
          <w:szCs w:val="24"/>
        </w:rPr>
      </w:pPr>
      <w:r w:rsidRPr="00796736">
        <w:rPr>
          <w:rFonts w:ascii="Times New Roman" w:hAnsi="Times New Roman" w:cs="Times New Roman"/>
          <w:sz w:val="24"/>
          <w:szCs w:val="24"/>
        </w:rPr>
        <w:t>ure med værdi på over 10 000 EUR eller et tilsvarende beløb i national valuta</w:t>
      </w:r>
    </w:p>
    <w:p w14:paraId="51CEA775" w14:textId="77777777" w:rsidR="00D4242A" w:rsidRPr="00796736" w:rsidRDefault="00D4242A">
      <w:pPr>
        <w:pStyle w:val="Listeafsnit"/>
        <w:numPr>
          <w:ilvl w:val="0"/>
          <w:numId w:val="35"/>
        </w:numPr>
        <w:spacing w:line="360" w:lineRule="auto"/>
        <w:rPr>
          <w:rFonts w:ascii="Times New Roman" w:hAnsi="Times New Roman" w:cs="Times New Roman"/>
          <w:sz w:val="24"/>
          <w:szCs w:val="24"/>
        </w:rPr>
      </w:pPr>
      <w:r w:rsidRPr="00796736">
        <w:rPr>
          <w:rFonts w:ascii="Times New Roman" w:hAnsi="Times New Roman" w:cs="Times New Roman"/>
          <w:sz w:val="24"/>
          <w:szCs w:val="24"/>
        </w:rPr>
        <w:t>motorkøretøjer til en pris på over 250 000 EUR eller et tilsvarende beløb i national valuta</w:t>
      </w:r>
    </w:p>
    <w:p w14:paraId="7FFB1FD9" w14:textId="77777777" w:rsidR="00D4242A" w:rsidRPr="00796736" w:rsidRDefault="00D4242A">
      <w:pPr>
        <w:pStyle w:val="Listeafsnit"/>
        <w:numPr>
          <w:ilvl w:val="0"/>
          <w:numId w:val="35"/>
        </w:numPr>
        <w:spacing w:line="360" w:lineRule="auto"/>
        <w:rPr>
          <w:rFonts w:ascii="Times New Roman" w:hAnsi="Times New Roman" w:cs="Times New Roman"/>
          <w:sz w:val="24"/>
          <w:szCs w:val="24"/>
        </w:rPr>
      </w:pPr>
      <w:r w:rsidRPr="00796736">
        <w:rPr>
          <w:rFonts w:ascii="Times New Roman" w:hAnsi="Times New Roman" w:cs="Times New Roman"/>
          <w:sz w:val="24"/>
          <w:szCs w:val="24"/>
        </w:rPr>
        <w:t>luftfartøjer til en pris på over 7 500 000 EUR eller et tilsvarende beløb i national valuta</w:t>
      </w:r>
    </w:p>
    <w:p w14:paraId="6001BAB2" w14:textId="77777777" w:rsidR="00D4242A" w:rsidRPr="00796736" w:rsidRDefault="00D4242A">
      <w:pPr>
        <w:pStyle w:val="Listeafsnit"/>
        <w:numPr>
          <w:ilvl w:val="0"/>
          <w:numId w:val="35"/>
        </w:numPr>
        <w:spacing w:line="360" w:lineRule="auto"/>
        <w:rPr>
          <w:rFonts w:ascii="Times New Roman" w:hAnsi="Times New Roman" w:cs="Times New Roman"/>
          <w:sz w:val="24"/>
          <w:szCs w:val="24"/>
        </w:rPr>
      </w:pPr>
      <w:r w:rsidRPr="00796736">
        <w:rPr>
          <w:rFonts w:ascii="Times New Roman" w:hAnsi="Times New Roman" w:cs="Times New Roman"/>
          <w:sz w:val="24"/>
          <w:szCs w:val="24"/>
        </w:rPr>
        <w:t>vandfartøjer til en pris på over 7 500 000 EUR eller et tilsvarende beløb i national valuta</w:t>
      </w:r>
    </w:p>
    <w:p w14:paraId="46411240" w14:textId="77777777" w:rsidR="004A72D6" w:rsidRPr="00796736" w:rsidRDefault="004A72D6" w:rsidP="00A802A5">
      <w:pPr>
        <w:pStyle w:val="Listeafsnit"/>
        <w:spacing w:line="360" w:lineRule="auto"/>
        <w:rPr>
          <w:rFonts w:ascii="Times New Roman" w:hAnsi="Times New Roman" w:cs="Times New Roman"/>
          <w:sz w:val="24"/>
          <w:szCs w:val="24"/>
        </w:rPr>
      </w:pPr>
    </w:p>
    <w:p w14:paraId="3D642A09" w14:textId="3B184049" w:rsidR="00D4242A"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w:t>
      </w:r>
      <w:r w:rsidRPr="00796736">
        <w:rPr>
          <w:rFonts w:ascii="Times New Roman" w:hAnsi="Times New Roman" w:cs="Times New Roman"/>
          <w:i/>
          <w:iCs/>
          <w:sz w:val="24"/>
          <w:szCs w:val="24"/>
        </w:rPr>
        <w:t xml:space="preserve">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8,</w:t>
      </w:r>
      <w:r w:rsidRPr="00796736">
        <w:rPr>
          <w:rFonts w:ascii="Times New Roman" w:hAnsi="Times New Roman" w:cs="Times New Roman"/>
          <w:sz w:val="24"/>
          <w:szCs w:val="24"/>
        </w:rPr>
        <w:t xml:space="preserve"> at Erhvervsstyrelsen påser, at forhandlere af kulturgoder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27,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3A51B167" w14:textId="7AD3A058"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føre tilsyn med virksomheder og personer omfattet af § 2, nr. 2</w:t>
      </w:r>
      <w:r w:rsidR="003D2A25">
        <w:rPr>
          <w:rFonts w:ascii="Times New Roman" w:hAnsi="Times New Roman" w:cs="Times New Roman"/>
          <w:sz w:val="24"/>
          <w:szCs w:val="24"/>
        </w:rPr>
        <w:t>7</w:t>
      </w:r>
      <w:r w:rsidRPr="00796736">
        <w:rPr>
          <w:rFonts w:ascii="Times New Roman" w:hAnsi="Times New Roman" w:cs="Times New Roman"/>
          <w:sz w:val="24"/>
          <w:szCs w:val="24"/>
        </w:rPr>
        <w:t>. Dette angår fysiske eller juridiske personer omfattet af hvidvaskforordningens artikel 3, nr. 3, litra i, som handler med eller formidler handel med kulturgoder, som nærmere defineret i hvidvaskforordningens artikel 2, stk. 1, nr. 56, herunder når dette udføres af kunstgallerier og auktionshuse, hvor værdien af transaktionen eller indbyrdes forbundne transaktioner beløber sig til mindst 10 000 EUR eller et tilsvarende beløb i national valuta.</w:t>
      </w:r>
    </w:p>
    <w:p w14:paraId="091ED194"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Erhvervsstyrelsens pligt til at føre tilsyn med virksomheder, der erhvervsmæssigt opbevarer, handler med eller formidler handle med kunstværker, herunder gallerier og auktionshuse efter den gældende hvidvasklovs § 1, stk. 1, nr. 21. </w:t>
      </w:r>
    </w:p>
    <w:p w14:paraId="7E5ACD90"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tilpasses betegnelsen af denne type af forpligtede enheder i overensstemmelse med ordlyden i hvidvaskforordningens artikel 3, nr. 3, litra j og omfavner de efter forordningen angivne ydelser og produkter.</w:t>
      </w:r>
    </w:p>
    <w:p w14:paraId="13A4BAD4"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56, i hvidvaskforordningen definerer begrebet ”kulturgoder” som goder, der er anført i bilag I til Rådets forordning (EF) nr. 116/2009.</w:t>
      </w:r>
    </w:p>
    <w:p w14:paraId="1F6E4D08"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Rådets forordning (EF) nr. 116/2009 af 18. december 2008 om udførsel af kulturgode indeholder i bilag I en oplistning af en række kategorier af genstande, der hører under begrebet ”kulturgoder”. Dette omfatter blandt andet genstande som malerier, skulpturer og fotografier ligesom det også omfatter genstande som bøger, som er over 100 år gamle, og befordringsmidler, der er over 75 år gamle. Oplistningen af genstandene i det omtalte bilag I er i bilagets punkt B ledsaget af en række økonomiske tærskler for, hvornår genstandene er omfattet af Rådets forordning nr. 116/2009 om udførsel af kulturgoder. Disse tærskelværdier i bilagets punkt B er ikke relevante for, om de pågældende genstandstyper er omfattet af hvidvaskforordningens anvendelsesområde, idet der i hvidvaskforordningens artikel 3, nr. 3, litra i, allerede foreligger en særskilt tærskelværdi for de af hvidvaskforordningen omfattede kulturgoder på 10.000 EUR. </w:t>
      </w:r>
    </w:p>
    <w:p w14:paraId="0E4F6952"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3918FF39" w14:textId="68DC559F" w:rsidR="004A72D6" w:rsidRPr="00796736" w:rsidRDefault="00D4242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20 i hvidvaskforordningen definerer begrebet ”indbyrdes forbundne transaktioner” som to eller flere transaktioner med enten identisk eller lignende oprindelige, bestemmelsessted og formål eller andre relevante karakteristika over en bestemt periode.</w:t>
      </w:r>
    </w:p>
    <w:p w14:paraId="56B31B49" w14:textId="77777777" w:rsidR="004A72D6" w:rsidRPr="00796736" w:rsidRDefault="004A72D6" w:rsidP="00A802A5">
      <w:pPr>
        <w:spacing w:line="360" w:lineRule="auto"/>
        <w:rPr>
          <w:rFonts w:ascii="Times New Roman" w:hAnsi="Times New Roman" w:cs="Times New Roman"/>
          <w:sz w:val="24"/>
          <w:szCs w:val="24"/>
        </w:rPr>
      </w:pPr>
    </w:p>
    <w:p w14:paraId="5D9CF09B" w14:textId="5A96CE1C" w:rsidR="00940B1D"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9,</w:t>
      </w:r>
      <w:r w:rsidRPr="00796736">
        <w:rPr>
          <w:rFonts w:ascii="Times New Roman" w:hAnsi="Times New Roman" w:cs="Times New Roman"/>
          <w:sz w:val="24"/>
          <w:szCs w:val="24"/>
        </w:rPr>
        <w:t xml:space="preserve"> at Erhvervsstyrelsen påser, at  forhandlere og formidlere af højværdivarer og kulturgoder inden for frizoner og toldoplag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28,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w:t>
      </w:r>
    </w:p>
    <w:p w14:paraId="3B7FF6B9"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føre tilsyn med virksomheder og personer omfattet af § 2, nr. 28. Dette angår fysiske eller juridiske personer omfattet af hvidvaskforordningens artikel 3, nr. 3, litra j, som opbevarer, handler med eller formidler handel med kulturgoder, som nærmere defineret i hvidvaskforordningens artikel 2, stk. 1, nr. 56, og varer af høj værdi, som oplistet i bilag IV til hvidvaskforordningen, når dette udføres inden for frizoner og toldoplag, hvor værdien af transaktionen eller indbyrdes forbundne transaktioner beløber sig til mindst 10 000 EUR eller et tilsvarende beløb i national valuta.</w:t>
      </w:r>
    </w:p>
    <w:p w14:paraId="3728EB34"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ny.</w:t>
      </w:r>
    </w:p>
    <w:p w14:paraId="37D3F51F"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56, i hvidvaskforordningen definerer begrebet ”kulturgoder” som goder, der er anført i bilag I til Rådets forordning (EF) nr. 116/2009.</w:t>
      </w:r>
    </w:p>
    <w:p w14:paraId="2F5F34F5"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Rådets forordning (EF) nr. 116/2009 af 18. december 2008 om udførsel af kulturgode indeholder i bilag I en oplistning af en række kategorier af genstande, der hører under begrebet ”kulturgoder”. Dette omfatter blandt andet genstande som malerier, skulpturer og fotografier ligesom det også omfatter genstande som bøger, som er over 100 år gamle, og befordringsmidler, der er over 75 år gamle. Oplistningen af genstandene i det omtalte bilag I er i bilagets punkt B ledsaget af en række økonomiske tærskler for, hvornår genstandene er omfattet af Rådets forordning nr. 116/2009 om udførsel af kulturgoder. Disse tærskelværdier i bilagets punkt B er ikke relevante for, om de pågældende genstandstyper er omfattet af hvidvaskforordningens anvendelsesområde, idet der i hvidvaskforordningens artikel 3, nr. 3, litra i, allerede foreligger en særskilt tærskelværdi for de af hvidvaskforordningen omfattede kulturgoder på 10.000 EUR. </w:t>
      </w:r>
    </w:p>
    <w:p w14:paraId="727F5538"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19F54AB8"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54 i hvidvaskforordningen definerer ”varer af høj værdi” som varer, der er anført i bilag IV til hvidvaskforordningen.</w:t>
      </w:r>
    </w:p>
    <w:p w14:paraId="7240349B"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bilag IV til hvidvaskforordningen, at varer af høj værdi, der er omhandlet i artikel 2, stk. 1, nr. 54 omfatter:</w:t>
      </w:r>
    </w:p>
    <w:p w14:paraId="242F0E41" w14:textId="77777777" w:rsidR="00940B1D" w:rsidRPr="00796736" w:rsidRDefault="00940B1D">
      <w:pPr>
        <w:pStyle w:val="Listeafsnit"/>
        <w:numPr>
          <w:ilvl w:val="0"/>
          <w:numId w:val="46"/>
        </w:numPr>
        <w:spacing w:line="360" w:lineRule="auto"/>
        <w:rPr>
          <w:rFonts w:ascii="Times New Roman" w:hAnsi="Times New Roman" w:cs="Times New Roman"/>
          <w:sz w:val="24"/>
          <w:szCs w:val="24"/>
        </w:rPr>
      </w:pPr>
      <w:r w:rsidRPr="00796736">
        <w:rPr>
          <w:rFonts w:ascii="Times New Roman" w:hAnsi="Times New Roman" w:cs="Times New Roman"/>
          <w:sz w:val="24"/>
          <w:szCs w:val="24"/>
        </w:rPr>
        <w:t>smykker, guld- eller sølvsmedevarer med en værdi på over 10 000 EUR eller et tilsvarende beløb i national valuta</w:t>
      </w:r>
    </w:p>
    <w:p w14:paraId="3C42957A" w14:textId="77777777" w:rsidR="00940B1D" w:rsidRPr="00796736" w:rsidRDefault="00940B1D">
      <w:pPr>
        <w:pStyle w:val="Listeafsnit"/>
        <w:numPr>
          <w:ilvl w:val="0"/>
          <w:numId w:val="46"/>
        </w:numPr>
        <w:spacing w:line="360" w:lineRule="auto"/>
        <w:rPr>
          <w:rFonts w:ascii="Times New Roman" w:hAnsi="Times New Roman" w:cs="Times New Roman"/>
          <w:sz w:val="24"/>
          <w:szCs w:val="24"/>
        </w:rPr>
      </w:pPr>
      <w:r w:rsidRPr="00796736">
        <w:rPr>
          <w:rFonts w:ascii="Times New Roman" w:hAnsi="Times New Roman" w:cs="Times New Roman"/>
          <w:sz w:val="24"/>
          <w:szCs w:val="24"/>
        </w:rPr>
        <w:t>ure med værdi på over 10 000 EUR eller et tilsvarende beløb i national valuta</w:t>
      </w:r>
    </w:p>
    <w:p w14:paraId="616D3632" w14:textId="77777777" w:rsidR="00940B1D" w:rsidRPr="00796736" w:rsidRDefault="00940B1D">
      <w:pPr>
        <w:pStyle w:val="Listeafsnit"/>
        <w:numPr>
          <w:ilvl w:val="0"/>
          <w:numId w:val="46"/>
        </w:numPr>
        <w:spacing w:line="360" w:lineRule="auto"/>
        <w:rPr>
          <w:rFonts w:ascii="Times New Roman" w:hAnsi="Times New Roman" w:cs="Times New Roman"/>
          <w:sz w:val="24"/>
          <w:szCs w:val="24"/>
        </w:rPr>
      </w:pPr>
      <w:r w:rsidRPr="00796736">
        <w:rPr>
          <w:rFonts w:ascii="Times New Roman" w:hAnsi="Times New Roman" w:cs="Times New Roman"/>
          <w:sz w:val="24"/>
          <w:szCs w:val="24"/>
        </w:rPr>
        <w:t>motorkøretøjer til en pris på over 250 000 EUR eller et tilsvarende beløb i national valuta</w:t>
      </w:r>
    </w:p>
    <w:p w14:paraId="35C503F1" w14:textId="77777777" w:rsidR="00940B1D" w:rsidRPr="00796736" w:rsidRDefault="00940B1D">
      <w:pPr>
        <w:pStyle w:val="Listeafsnit"/>
        <w:numPr>
          <w:ilvl w:val="0"/>
          <w:numId w:val="46"/>
        </w:numPr>
        <w:spacing w:line="360" w:lineRule="auto"/>
        <w:rPr>
          <w:rFonts w:ascii="Times New Roman" w:hAnsi="Times New Roman" w:cs="Times New Roman"/>
          <w:sz w:val="24"/>
          <w:szCs w:val="24"/>
        </w:rPr>
      </w:pPr>
      <w:r w:rsidRPr="00796736">
        <w:rPr>
          <w:rFonts w:ascii="Times New Roman" w:hAnsi="Times New Roman" w:cs="Times New Roman"/>
          <w:sz w:val="24"/>
          <w:szCs w:val="24"/>
        </w:rPr>
        <w:t>luftfartøjer til en pris på over 7 500 000 EUR eller et tilsvarende beløb i national valuta</w:t>
      </w:r>
    </w:p>
    <w:p w14:paraId="6234FDFB" w14:textId="77777777" w:rsidR="00940B1D" w:rsidRPr="00796736" w:rsidRDefault="00940B1D">
      <w:pPr>
        <w:pStyle w:val="Listeafsnit"/>
        <w:numPr>
          <w:ilvl w:val="0"/>
          <w:numId w:val="46"/>
        </w:numPr>
        <w:spacing w:line="360" w:lineRule="auto"/>
        <w:rPr>
          <w:rFonts w:ascii="Times New Roman" w:hAnsi="Times New Roman" w:cs="Times New Roman"/>
          <w:sz w:val="24"/>
          <w:szCs w:val="24"/>
        </w:rPr>
      </w:pPr>
      <w:r w:rsidRPr="00796736">
        <w:rPr>
          <w:rFonts w:ascii="Times New Roman" w:hAnsi="Times New Roman" w:cs="Times New Roman"/>
          <w:sz w:val="24"/>
          <w:szCs w:val="24"/>
        </w:rPr>
        <w:t>vandfartøjer til en pris på over 7 500 000 EUR eller et tilsvarende beløb i national valuta</w:t>
      </w:r>
    </w:p>
    <w:p w14:paraId="26006053" w14:textId="77777777" w:rsidR="00940B1D" w:rsidRPr="00796736" w:rsidRDefault="00940B1D" w:rsidP="00A802A5">
      <w:pPr>
        <w:spacing w:line="360" w:lineRule="auto"/>
        <w:rPr>
          <w:rFonts w:ascii="Times New Roman" w:hAnsi="Times New Roman" w:cs="Times New Roman"/>
          <w:sz w:val="24"/>
          <w:szCs w:val="24"/>
        </w:rPr>
      </w:pPr>
    </w:p>
    <w:p w14:paraId="777C1755"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20 i hvidvaskforordningen definerer begrebet ”indbyrdes forbundne transaktioner” som to eller flere transaktioner med enten identisk eller lignende oprindelige, bestemmelsessted og formål eller andre relevante karakteristika over en bestemt periode.</w:t>
      </w:r>
    </w:p>
    <w:p w14:paraId="1CECC7B4" w14:textId="52CEA839"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_Ref236730892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10,</w:t>
      </w:r>
      <w:r w:rsidRPr="00796736">
        <w:rPr>
          <w:rFonts w:ascii="Times New Roman" w:hAnsi="Times New Roman" w:cs="Times New Roman"/>
          <w:sz w:val="24"/>
          <w:szCs w:val="24"/>
        </w:rPr>
        <w:t xml:space="preserve"> at Erhvervsstyrelsen påser, at udbydere af tjenester til truster eller virksomheder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29,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6E980725" w14:textId="0C09340B"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føre tilsyn med virksomheder og personer omfattet af</w:t>
      </w:r>
      <w:r w:rsidR="003D2A25">
        <w:rPr>
          <w:rFonts w:ascii="Times New Roman" w:hAnsi="Times New Roman" w:cs="Times New Roman"/>
          <w:sz w:val="24"/>
          <w:szCs w:val="24"/>
        </w:rPr>
        <w:t xml:space="preserve"> </w:t>
      </w:r>
      <w:r w:rsidR="003D2A25" w:rsidRPr="00796736">
        <w:rPr>
          <w:rFonts w:ascii="Times New Roman" w:hAnsi="Times New Roman" w:cs="Times New Roman"/>
          <w:sz w:val="24"/>
          <w:szCs w:val="24"/>
        </w:rPr>
        <w:fldChar w:fldCharType="begin"/>
      </w:r>
      <w:r w:rsidR="003D2A25" w:rsidRPr="00796736">
        <w:rPr>
          <w:rFonts w:ascii="Times New Roman" w:hAnsi="Times New Roman" w:cs="Times New Roman"/>
          <w:sz w:val="24"/>
          <w:szCs w:val="24"/>
        </w:rPr>
        <w:instrText xml:space="preserve"> REF _Ref232592818 \r \h  \* MERGEFORMAT </w:instrText>
      </w:r>
      <w:r w:rsidR="003D2A25" w:rsidRPr="00796736">
        <w:rPr>
          <w:rFonts w:ascii="Times New Roman" w:hAnsi="Times New Roman" w:cs="Times New Roman"/>
          <w:sz w:val="24"/>
          <w:szCs w:val="24"/>
        </w:rPr>
      </w:r>
      <w:r w:rsidR="003D2A2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3D2A25" w:rsidRPr="00796736">
        <w:rPr>
          <w:rFonts w:ascii="Times New Roman" w:hAnsi="Times New Roman" w:cs="Times New Roman"/>
          <w:sz w:val="24"/>
          <w:szCs w:val="24"/>
        </w:rPr>
        <w:fldChar w:fldCharType="end"/>
      </w:r>
      <w:r w:rsidR="003D2A25" w:rsidRPr="00796736">
        <w:rPr>
          <w:rFonts w:ascii="Times New Roman" w:hAnsi="Times New Roman" w:cs="Times New Roman"/>
          <w:sz w:val="24"/>
          <w:szCs w:val="24"/>
        </w:rPr>
        <w:t>, nr. 29</w:t>
      </w:r>
      <w:r w:rsidR="003D2A25">
        <w:rPr>
          <w:rFonts w:ascii="Times New Roman" w:hAnsi="Times New Roman" w:cs="Times New Roman"/>
          <w:sz w:val="24"/>
          <w:szCs w:val="24"/>
        </w:rPr>
        <w:t>.</w:t>
      </w:r>
      <w:r w:rsidRPr="00796736">
        <w:rPr>
          <w:rFonts w:ascii="Times New Roman" w:hAnsi="Times New Roman" w:cs="Times New Roman"/>
          <w:sz w:val="24"/>
          <w:szCs w:val="24"/>
        </w:rPr>
        <w:t xml:space="preserve"> Dette angår udbydere af tjenester til truster eller virksomheder, som omfattet af hvidvaskforordningens artikel 3, nr. 3, litra c og som nærmere defineret i hvidvaskforordningens artikel 2, stk. 1, nr. 11.</w:t>
      </w:r>
    </w:p>
    <w:p w14:paraId="59570C9A"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viderefører Erhvervsstyrelsens pligt til at føre tilsyn med udbydere af tjenesteydelser til virksomheder, som nærmere defineret i den gældende hvidvasklovs § 2, nr. 12, og som efter den gældende hvidvasklov er omfattet efter § 1, stk. 1, nr. 17. </w:t>
      </w:r>
    </w:p>
    <w:p w14:paraId="7B8B5B04"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11, i hvidvaskforordningen definerer begrebet ”udbydere af tjenester til truster eller virksomheder” som en fysisk eller juridisk person, der som led i sit erhverv leverer en af følgende tjenester til tredjemand:</w:t>
      </w:r>
    </w:p>
    <w:p w14:paraId="2C2F97F3" w14:textId="77777777" w:rsidR="00940B1D" w:rsidRPr="00796736" w:rsidRDefault="00940B1D">
      <w:pPr>
        <w:pStyle w:val="Listeafsnit"/>
        <w:numPr>
          <w:ilvl w:val="1"/>
          <w:numId w:val="23"/>
        </w:numPr>
        <w:spacing w:after="240" w:line="360" w:lineRule="auto"/>
        <w:ind w:left="851" w:hanging="425"/>
        <w:rPr>
          <w:rFonts w:ascii="Times New Roman" w:hAnsi="Times New Roman" w:cs="Times New Roman"/>
          <w:sz w:val="24"/>
          <w:szCs w:val="24"/>
        </w:rPr>
      </w:pPr>
      <w:r w:rsidRPr="00796736">
        <w:rPr>
          <w:rFonts w:ascii="Times New Roman" w:hAnsi="Times New Roman" w:cs="Times New Roman"/>
          <w:sz w:val="24"/>
          <w:szCs w:val="24"/>
        </w:rPr>
        <w:t>danner virksomheder eller andre juridiske personer</w:t>
      </w:r>
    </w:p>
    <w:p w14:paraId="38E5038B" w14:textId="77777777" w:rsidR="00940B1D" w:rsidRPr="00796736" w:rsidRDefault="00940B1D">
      <w:pPr>
        <w:pStyle w:val="Listeafsnit"/>
        <w:numPr>
          <w:ilvl w:val="1"/>
          <w:numId w:val="23"/>
        </w:numPr>
        <w:spacing w:after="240" w:line="360" w:lineRule="auto"/>
        <w:ind w:left="851" w:hanging="425"/>
        <w:rPr>
          <w:rFonts w:ascii="Times New Roman" w:hAnsi="Times New Roman" w:cs="Times New Roman"/>
          <w:sz w:val="24"/>
          <w:szCs w:val="24"/>
        </w:rPr>
      </w:pPr>
      <w:r w:rsidRPr="00796736">
        <w:rPr>
          <w:rFonts w:ascii="Times New Roman" w:hAnsi="Times New Roman" w:cs="Times New Roman"/>
          <w:sz w:val="24"/>
          <w:szCs w:val="24"/>
        </w:rPr>
        <w:t>fungerer som eller sørger for, at en anden person fungerer som medlem af ledelsen i et selskab, deltager i et interessentskab eller beklæder en tilsvarende post i andre juridiske personer</w:t>
      </w:r>
    </w:p>
    <w:p w14:paraId="44C5C32A" w14:textId="77777777" w:rsidR="00940B1D" w:rsidRPr="00796736" w:rsidRDefault="00940B1D">
      <w:pPr>
        <w:pStyle w:val="Listeafsnit"/>
        <w:numPr>
          <w:ilvl w:val="1"/>
          <w:numId w:val="23"/>
        </w:numPr>
        <w:spacing w:after="240" w:line="360" w:lineRule="auto"/>
        <w:ind w:left="851" w:hanging="425"/>
        <w:rPr>
          <w:rFonts w:ascii="Times New Roman" w:hAnsi="Times New Roman" w:cs="Times New Roman"/>
          <w:sz w:val="24"/>
          <w:szCs w:val="24"/>
        </w:rPr>
      </w:pPr>
      <w:r w:rsidRPr="00796736">
        <w:rPr>
          <w:rFonts w:ascii="Times New Roman" w:hAnsi="Times New Roman" w:cs="Times New Roman"/>
          <w:sz w:val="24"/>
          <w:szCs w:val="24"/>
        </w:rPr>
        <w:t>sørger for et vedtægtsmæssigt hjemsted, en forretnings-, post eller forvaltningsadresse såvel som andre dertil knyttede tjenester til et selskab, et interessentskab eller enhver anden juridisk person eller ethvert andet juridisk arrangement</w:t>
      </w:r>
    </w:p>
    <w:p w14:paraId="71DCE9A9" w14:textId="77777777" w:rsidR="00940B1D" w:rsidRPr="00796736" w:rsidRDefault="00940B1D">
      <w:pPr>
        <w:pStyle w:val="Listeafsnit"/>
        <w:numPr>
          <w:ilvl w:val="1"/>
          <w:numId w:val="23"/>
        </w:numPr>
        <w:spacing w:after="240" w:line="360" w:lineRule="auto"/>
        <w:ind w:left="851" w:hanging="425"/>
        <w:rPr>
          <w:rFonts w:ascii="Times New Roman" w:hAnsi="Times New Roman" w:cs="Times New Roman"/>
          <w:sz w:val="24"/>
          <w:szCs w:val="24"/>
        </w:rPr>
      </w:pPr>
      <w:r w:rsidRPr="00796736">
        <w:rPr>
          <w:rFonts w:ascii="Times New Roman" w:hAnsi="Times New Roman" w:cs="Times New Roman"/>
          <w:sz w:val="24"/>
          <w:szCs w:val="24"/>
        </w:rPr>
        <w:t>fungerer som eller sørger for, at en anden person fungerer som forvalter af en viljesbestemt trust eller varetager en tilsvarende funktion for et tilsvarende juridisk arrangement</w:t>
      </w:r>
    </w:p>
    <w:p w14:paraId="42FCFC91" w14:textId="77777777" w:rsidR="00940B1D" w:rsidRPr="00796736" w:rsidRDefault="00940B1D">
      <w:pPr>
        <w:pStyle w:val="Listeafsnit"/>
        <w:numPr>
          <w:ilvl w:val="1"/>
          <w:numId w:val="23"/>
        </w:numPr>
        <w:spacing w:after="240" w:line="360" w:lineRule="auto"/>
        <w:ind w:left="851" w:hanging="425"/>
        <w:rPr>
          <w:rFonts w:ascii="Times New Roman" w:hAnsi="Times New Roman" w:cs="Times New Roman"/>
          <w:sz w:val="24"/>
          <w:szCs w:val="24"/>
        </w:rPr>
      </w:pPr>
      <w:r w:rsidRPr="00796736">
        <w:rPr>
          <w:rFonts w:ascii="Times New Roman" w:hAnsi="Times New Roman" w:cs="Times New Roman"/>
          <w:sz w:val="24"/>
          <w:szCs w:val="24"/>
        </w:rPr>
        <w:t>fungerer som eller sørger for, at en anden person fungerer som nominee-kapitalejer eller tilsvarende for en anden person.</w:t>
      </w:r>
    </w:p>
    <w:p w14:paraId="5C908585" w14:textId="1FFD2ABC"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Udbydere af tjenester til truster eller virksomheder som omfattet af hvidvaskforordningens artikel 3, nr. 3, litra c og underlagt Erhvervsstyrelsens tilsyn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_Ref232597665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er forpligtede til at lade sig registrere hos Erhvervsstyrelsen for at kunne udøve denne virksomhed, jf.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_Ref236728924 \r \h </w:instrText>
      </w:r>
      <w:r w:rsidR="003D2894"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For nærmere om denne registreringspligt henvises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_Ref236728924 \r \h </w:instrText>
      </w:r>
      <w:r w:rsidR="003D2894"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hertil. </w:t>
      </w:r>
    </w:p>
    <w:p w14:paraId="327300D4" w14:textId="79E8A2FD" w:rsidR="004A72D6" w:rsidRPr="00796736" w:rsidRDefault="004A72D6"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_Ref232597665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79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nr. 11,</w:t>
      </w:r>
      <w:r w:rsidRPr="00796736">
        <w:rPr>
          <w:rFonts w:ascii="Times New Roman" w:hAnsi="Times New Roman" w:cs="Times New Roman"/>
          <w:sz w:val="24"/>
          <w:szCs w:val="24"/>
        </w:rPr>
        <w:t xml:space="preserve"> at Erhvervsstyrelsen påser, at ikke-finansielle holdingselskaber med blandet aktivitet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_Ref232583170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som defineret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30, litra b, og filialer, distributører og agenter her i landet af sådanne udenlandske virksomheder og personer, overholder hvidvaskforordningen, denne lov, regler udstedt i medfør heraf samt love og forordninger indeholdende regler om finansielle sanktioner mod lande, personer, grupper, juridiske enheder eller organer.  </w:t>
      </w:r>
    </w:p>
    <w:p w14:paraId="64036CC4" w14:textId="03613C0D"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den foreslåede ordning skal Erhvervsstyrelsen skal føre tilsyn med virksomheder omfattet af § 2, nr. 32, litra b. Dette angår ikke-finansielle holdingselskaber med blandet aktivitet omfattet af hvidvaskforordningens artikel 3, nr. 3, litra m, såfremt mindst ét datterselskab er omfattet af de i § 2, nr. 20-29 oplistede enheder.</w:t>
      </w:r>
    </w:p>
    <w:p w14:paraId="727090EA"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Artikel 2, stk. 1, nr. 13 i hvidvaskforordningen definerer begrebet ”ikkefinansielt holdingselskab med blandet aktivitet” som en virksomhed, som ikke er et finansielt holdingselskab eller et blandet finansielt holdingselskab, og som ikke er datterselskab af en anden virksomhed, og hvis datterselskaber omfatter mindst én forpligtet enhed, jf. artikel 3, nr. 3.</w:t>
      </w:r>
    </w:p>
    <w:p w14:paraId="6374488F"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ny, idet et ikkefinansielt holdingselskab, der ejer mindst én forpligtet enhed underlagt Erhvervsstyrelsens hvidvasktilsyn, ikke tidligere har været anset som en selvstændig forpligtet enhed efter hvidvaskreguleringen.</w:t>
      </w:r>
    </w:p>
    <w:p w14:paraId="7F1070FC"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Erhvervsstyrelsens tilsyn med de ovenfor nævnte personer og virksomheder tilrettelægges på grundlag af en risikobaseret tilgang.</w:t>
      </w:r>
    </w:p>
    <w:p w14:paraId="277E15C0" w14:textId="77777777" w:rsidR="00D4242A" w:rsidRPr="00796736" w:rsidRDefault="00D4242A" w:rsidP="00A802A5">
      <w:pPr>
        <w:spacing w:after="240"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At Erhvervsstyrelsen skal føre et risikobaseret tilsyn, betyder blandt andet, at Erhvervsstyrelsen skal tage hensyn til det skøn, som den enkelte virksomhed eller person er overladt efter hvidvaskforordningen eller denne lov. Virksomheder og personer skal således overlades et skøn i relation til at identificere og håndtere sine risici i relation til hvidvask eller finansiering af terrorisme, så de har mulighed for at prioritere ressourcer til områder med øget risiko.</w:t>
      </w:r>
      <w:r w:rsidRPr="00796736">
        <w:rPr>
          <w:rFonts w:ascii="Times New Roman" w:eastAsia="Times New Roman" w:hAnsi="Times New Roman" w:cs="Times New Roman"/>
          <w:sz w:val="24"/>
          <w:szCs w:val="24"/>
        </w:rPr>
        <w:t xml:space="preserve"> Erhvervsstyrelsen skal foretage en passende gennemgang af de risikovurderinger, der ligger til grund for virksomhedens eller personens skønsbeføjelse, og af tilstrækkeligheden af den pågældendes interne politikker, procedurer og kontroller.   </w:t>
      </w:r>
    </w:p>
    <w:p w14:paraId="2B27E900" w14:textId="77777777" w:rsidR="004A72D6"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artikel 40, stk. 1 i 6. hvidvaskdirektiv, at Erhvervsstyrelsens risikobaserede tilgang til tilsyn skal bero på en klar forståelse af risiciene for hvidvask af penge og finansiering af terrorisme i Danmark og de relevante oplysninger om bestemte indenlandske og udenlandske risici, der er forbundet med de forpligtede enheders kunder, produkter og tjenesteydelser. Erhvervsstyrelsen skal derudover tilrettelægge hyppigheden og intensiteten af tilsyn på grundlag af forpligtede enheders risikoprofil og af risiciene for hvidvask af penge og finansiering af terrorisme i landet. </w:t>
      </w:r>
    </w:p>
    <w:p w14:paraId="559A160E" w14:textId="352273C0"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rPr>
        <w:t>Erhvervsstyrelsen skal ved vurderingen af den forpligtede enheds iboende risikoprofil og residualrisikoprofil samt den hyppighed, hvormed en sådan risikoprofil bør revideres inddrage de reguleringsmæssige tekniske standarder der udarbejdes af AMLA og vedtages af Kommissionen i medfør af hvidvaskforordningens artikel 40, stk. 2.</w:t>
      </w:r>
    </w:p>
    <w:p w14:paraId="0A084FCB"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6. hvidvaskdirektivs artikel 40, stk. 3, at AMLA senest den 10. juli 2028 udsteder retningslinjer til tilsynsorganerne om henholdsvis karakteristikaene ved en risikobaseret tilgang til tilsyn, de foranstaltninger, der skal indføres hos tilsynsorganer for at sikre fyldestgørende og effektivt tilsyn, herunder for at uddanne deres personale, samt de skridt, der skal tages, når der føres tilsyn på et risikofølsomt grundlag.</w:t>
      </w:r>
    </w:p>
    <w:p w14:paraId="6D995018" w14:textId="77777777" w:rsidR="00D4242A" w:rsidRPr="00796736" w:rsidRDefault="00D4242A" w:rsidP="00A802A5">
      <w:pPr>
        <w:spacing w:line="360" w:lineRule="auto"/>
        <w:rPr>
          <w:rFonts w:ascii="Times New Roman" w:eastAsia="Times New Roman" w:hAnsi="Times New Roman" w:cs="Times New Roman"/>
          <w:sz w:val="24"/>
          <w:szCs w:val="24"/>
        </w:rPr>
      </w:pPr>
    </w:p>
    <w:p w14:paraId="4A41EB8E" w14:textId="5F59CC0B" w:rsidR="00D61FF1" w:rsidRPr="00796736" w:rsidRDefault="00D4242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vil kunne påse overholdelsen af love, der indeholder regler om finansielle sanktioner mod lande, personer, grupper, juridiske enheder eller organer, såvel som forordninger på samme område, for virksomheder og personer som nævnt i </w:t>
      </w:r>
      <w:r w:rsidR="00507AF5" w:rsidRPr="00796736">
        <w:rPr>
          <w:rFonts w:ascii="Times New Roman" w:hAnsi="Times New Roman" w:cs="Times New Roman"/>
          <w:sz w:val="24"/>
          <w:szCs w:val="24"/>
        </w:rPr>
        <w:fldChar w:fldCharType="begin"/>
      </w:r>
      <w:r w:rsidR="00507AF5" w:rsidRPr="00796736">
        <w:rPr>
          <w:rFonts w:ascii="Times New Roman" w:hAnsi="Times New Roman" w:cs="Times New Roman"/>
          <w:sz w:val="24"/>
          <w:szCs w:val="24"/>
        </w:rPr>
        <w:instrText xml:space="preserve"> REF _Ref232597665 \r \h  \* MERGEFORMAT </w:instrText>
      </w:r>
      <w:r w:rsidR="00507AF5" w:rsidRPr="00796736">
        <w:rPr>
          <w:rFonts w:ascii="Times New Roman" w:hAnsi="Times New Roman" w:cs="Times New Roman"/>
          <w:sz w:val="24"/>
          <w:szCs w:val="24"/>
        </w:rPr>
      </w:r>
      <w:r w:rsidR="00507AF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00507AF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w:t>
      </w:r>
    </w:p>
    <w:p w14:paraId="11F7C65A" w14:textId="77777777" w:rsidR="00940B1D" w:rsidRPr="00796736" w:rsidRDefault="00940B1D" w:rsidP="00A802A5">
      <w:pPr>
        <w:spacing w:after="240" w:line="360" w:lineRule="auto"/>
        <w:rPr>
          <w:rFonts w:ascii="Times New Roman" w:hAnsi="Times New Roman" w:cs="Times New Roman"/>
          <w:sz w:val="24"/>
          <w:szCs w:val="24"/>
        </w:rPr>
      </w:pPr>
    </w:p>
    <w:p w14:paraId="1CCE4674" w14:textId="76311257" w:rsidR="00940B1D" w:rsidRPr="00796736" w:rsidRDefault="00EE2F35" w:rsidP="00A802A5">
      <w:pPr>
        <w:pStyle w:val="Undertitel"/>
      </w:pPr>
      <w:bookmarkStart w:id="2101" w:name="_Toc244879376"/>
      <w:bookmarkStart w:id="2102" w:name="_Toc244880901"/>
      <w:r w:rsidRPr="00796736">
        <w:t xml:space="preserve">Til </w:t>
      </w:r>
      <w:r w:rsidR="00DC5F96" w:rsidRPr="00796736">
        <w:fldChar w:fldCharType="begin"/>
      </w:r>
      <w:r w:rsidR="00DC5F96" w:rsidRPr="00796736">
        <w:instrText xml:space="preserve"> REF _Ref236649051 \n \h </w:instrText>
      </w:r>
      <w:r w:rsidR="00A47042" w:rsidRPr="00796736">
        <w:instrText xml:space="preserve"> \* MERGEFORMAT </w:instrText>
      </w:r>
      <w:r w:rsidR="00DC5F96" w:rsidRPr="00796736">
        <w:fldChar w:fldCharType="separate"/>
      </w:r>
      <w:r w:rsidR="008F29E5">
        <w:t>§ 80</w:t>
      </w:r>
      <w:bookmarkEnd w:id="2101"/>
      <w:bookmarkEnd w:id="2102"/>
      <w:r w:rsidR="00DC5F96" w:rsidRPr="00796736">
        <w:fldChar w:fldCharType="end"/>
      </w:r>
      <w:r w:rsidR="00DC5F96" w:rsidRPr="00796736">
        <w:t xml:space="preserve"> </w:t>
      </w:r>
    </w:p>
    <w:p w14:paraId="3247DDE3" w14:textId="77777777" w:rsidR="00940B1D" w:rsidRPr="00796736" w:rsidRDefault="00940B1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gældende hvidvasklovs § 57 fastlægger omfanget af Erhvervsstyrelsens tilsynskompetence efter hvidvaskloven og indeholder i stk. 4-6 bestemmelser der fastlægger Erhvervsstyrelsens pligt til og mulighed for at samarbejde med andre tilsynsmyndigheder i EU og EØS.</w:t>
      </w:r>
    </w:p>
    <w:p w14:paraId="0A181C25" w14:textId="77777777" w:rsidR="00940B1D" w:rsidRPr="00796736" w:rsidRDefault="00940B1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indholdet af den gældende hvidvasklovs § 57, stk. 4-6 vedrørende grænseoverskridende samarbejde udskilles til en selvstændig bestemmelse og videreføres med mindre justeringer i form af konsekvensrettelser som følge af vedtagelsen af hvidvaskforordningen. Ligeledes sikres ensartet sprogbrug for Erhvervsstyrelsens tilsynsaktiviteter. </w:t>
      </w:r>
    </w:p>
    <w:p w14:paraId="59FC6047"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Bestemmelsen implementerer 6. hvidvaskdirektivs artikel 44.</w:t>
      </w:r>
    </w:p>
    <w:p w14:paraId="42065D68" w14:textId="1BF99CD0"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004A72D6" w:rsidRPr="00796736">
        <w:rPr>
          <w:rFonts w:ascii="Times New Roman" w:hAnsi="Times New Roman" w:cs="Times New Roman"/>
          <w:sz w:val="24"/>
          <w:szCs w:val="24"/>
        </w:rPr>
        <w:t xml:space="preserve">at Erhvervsstyrelsen skal samarbejde med de kompetente myndigheder i EU- eller EØS- lande om at medvirke ved tilsynsaktiviteter, kontroller på stedet eller inspektioner her i landet, når virksomheder og personer, der udøver de typer af virksomhed, som er nævnt i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der er under tilsyn i et andet EU- eller EØS-land, udøver aktiviteter her i landet eller når virksomheder og personer, som er nævn</w:t>
      </w:r>
      <w:r w:rsidR="003D2A25">
        <w:rPr>
          <w:rFonts w:ascii="Times New Roman" w:hAnsi="Times New Roman" w:cs="Times New Roman"/>
          <w:sz w:val="24"/>
          <w:szCs w:val="24"/>
        </w:rPr>
        <w:t>t i</w:t>
      </w:r>
      <w:r w:rsidR="004A72D6" w:rsidRPr="00796736">
        <w:rPr>
          <w:rFonts w:ascii="Times New Roman" w:hAnsi="Times New Roman" w:cs="Times New Roman"/>
          <w:sz w:val="24"/>
          <w:szCs w:val="24"/>
        </w:rPr>
        <w:t xml:space="preserve">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der er underlagt dansk tilsyn, men opererer i andre EU- eller EØS-lande.</w:t>
      </w:r>
    </w:p>
    <w:p w14:paraId="093A41EA"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viderefører den nuværende § 57, stk. 4.</w:t>
      </w:r>
    </w:p>
    <w:p w14:paraId="1AFF6D66"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blandt andet af præambelbetragtning nr. 90 i 6. hvidvaskdirektiv, at det er afgørende med samarbejde mellem nationale tilsynsorganer for at sikre en fælles tilsynsstrategi i hele Unionen. For at være effektivt skal samarbejdet udnyttes i videst muligt omfang og uafhængigt af tilsynsorganernes respektive art eller status. </w:t>
      </w:r>
    </w:p>
    <w:p w14:paraId="5414AF28"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præambelbetragtning nr. 94 i 6. hvidvaskdirektiv fremgår det blandt andet, at hvis en forpligtet enhed har etableringssteder i en anden medlemsstat, har værtslandet ansvaret for at håndhæve den etablerede virksomheds overholdelse af kravene til forebyggelse af hvidvask og finansiering af terrorisme. Værtslandet bør arbejde tæt samarbejde mellem hjemlandets tilsynsorgan. Der bør således ske underretning af hjemlandets tilsynsorgan om ethvert anliggende, der kan have påvirkning på dets vurdering af, om virksomheden eller personen lever op til politikker og forretningsgange vedrørende bekæmpelse af hvidvask af penge og finansiering af terrorisme.</w:t>
      </w:r>
    </w:p>
    <w:p w14:paraId="389067D9" w14:textId="21FD5C43"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1. pkt.,</w:t>
      </w:r>
      <w:r w:rsidRPr="00796736">
        <w:rPr>
          <w:rFonts w:ascii="Times New Roman" w:hAnsi="Times New Roman" w:cs="Times New Roman"/>
          <w:sz w:val="24"/>
          <w:szCs w:val="24"/>
        </w:rPr>
        <w:t xml:space="preserve"> at tilsynsmyndighederne i et andet EU- eller EØS-land kan efter forudgående aftale med Erhvervsstyrelsen foretage tilsyn hos de her i landet beliggende virksomheder og personer, der udøver de typer af virksomhed, som er nævnt i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med hjemsted i det pågældende land. </w:t>
      </w:r>
    </w:p>
    <w:p w14:paraId="5DDD52F3"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er en videreførelse af § 57, stk. 5, i den nuværende hvidvasklov, med konsekvensrettelse af omfattede virksomheder og personer, som følge af udvidelsen af forpligtede enheder i hvidvaskforordningen. Bemærkningerne for den nævnte bestemmelse videreføres derfor også. </w:t>
      </w:r>
    </w:p>
    <w:p w14:paraId="16ECD344" w14:textId="114D4F06"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præambelbetragtning nr. 93 i 6. hvidvaskdirektiv fremgår det, at hvis en forpligtet enhed har etableringssteder i en anden medlemsstat, herunder gennem et netværk af agenter, bør hjemlandets tilsynsorgan være ansvarlig for tilsynet med den forpligtede enheds anvendelse af koncernens politikker og procedurer for bekæmpelse af hvidvask af penge og finansiering af terrorisme. Dette vil kunne omfatte on-site besøg på etableringssteder, der er baseret i en anden medlemsstat. Hjemlandet tilsynsorgan bør samarbejde tæt sammen med værtslandets tilsynsorgan og bør underrette dette om ethvert anliggende, der kan påvirke dets vurdering af etableringsstedets overholdelse af værtslandet bestemmelser om bekæmpelse af hvidvask af penge og finansiering af terrorisme. </w:t>
      </w:r>
    </w:p>
    <w:p w14:paraId="16718C9B" w14:textId="3547523A"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tilsyn forstås de kontrolbesøg, som Erhvervsstyrelsen foretager hos de personer og virksomheder, som er underlagt Erhvervsstyrelsens tilsyn i henhold til denne lov. Rammerne for Erhvervsstyrelsens tilsyn efter hvidvaskloven fremgår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_Ref232597665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w:t>
      </w:r>
    </w:p>
    <w:p w14:paraId="1D2BD2EE"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Ved hjemsted forstås virksomhedens hovedsæde og personens bopæl, altså den bopæl hvor personen har sin folkeregisteradresse, eller lignende i forhold til det pågældende lands lovgivning.</w:t>
      </w:r>
    </w:p>
    <w:p w14:paraId="3547A5EA"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vil det være et krav, at den udenlandske tilsynsmyndighed aftaler tilsynsbesøget med Erhvervsstyrelsen forud for afviklingen heraf. Erhvervsstyrelsen vil på baggrund af en anmodning om tilsyn her i landet skulle vurdere, hvorvidt tilsynets formål forudsætter fysisk tilstedeværelse her i landet af den udenlandske myndighed. Erhvervsstyrelsen vil derefter skulle meddele den udenlandske myndighed, hvorvidt anmodningen om tilsyn kan imødekommes.</w:t>
      </w:r>
    </w:p>
    <w:p w14:paraId="7BAD39E2" w14:textId="4B9B87C3"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kun omfatte virksomheder og personer nævnt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som er beliggende i Danmark, men som har hjemsted i den pågældende tilsynsmyndigheds hjemland, forudsat at tilsynsmyndigheden er fra et andet EU- eller EØS-land.</w:t>
      </w:r>
    </w:p>
    <w:p w14:paraId="44AC0B6E" w14:textId="546FF63F"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alene kunne anvendes, hvor virksomheder og personer, som udøver den type virksomhed som nævnt i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har hjemsted i et andet EU- eller EØS-land. Bestemmelsen vil således ikke omfatte virksomheder og personer omfattet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med hjemsted i Danmark.</w:t>
      </w:r>
    </w:p>
    <w:p w14:paraId="04DBB2C4" w14:textId="3E188572"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Udenlandske tilsynsmyndigheder fra et EU- eller EØS-land vil alene være kompetente for så vidt angår virksomheder som er nævnt i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som har hjemsted i myndighedens hjemland. Hvis en udenlandsk myndighed vil undersøge den pågældende virksomhed med henvisning til den foreslåede bestemmelse, vil det skulle ske ved fysisk fremmøde hos virksomheden. Tilsyn med virksomhedens overholdelse af regler føres af Erhvervsstyrelsen, jf.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Selve undersøgelsen vil skulle foregå efter danske regler, men den her i landet beliggende virksomhed skal leve op til det udenlandske hjemlands regelsæt på det område, der er genstand for undersøgelsen.</w:t>
      </w:r>
    </w:p>
    <w:p w14:paraId="376F42C0"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udenlandsk myndigheds tilsyn vil skulle foregå under samme betingelser som Erhvervsstyrelsens tilsyn, hvilket betyder, at tilsynet vil skulle ske i overensstemmelse med lov om retssikkerhed ved forvaltningens anvendelse af tvangsindgreb og oplysningspligter. Den udenlandske myndighed vil derfor som udgangspunkt udelukkende have adgang til forretningslokaler og ikke private boliger.</w:t>
      </w:r>
    </w:p>
    <w:p w14:paraId="42607F97" w14:textId="7C9FBDB8"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_Hlk215566342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er det muligt at foretage tilsynsbesøg uden forudgående varsling af virksomheden eller personen. Muligheden for at foretage uanmeldt tilsynsbesøg vil alene kunne anvendes, hvis det er Erhvervsstyrelsens vurdering, at formålet med tilsynsbesøget vil blive forspildt, hvis det blev varslet. Erhvervsstyrelsen vil skulle meddele den udenlandske myndighed, hvorvidt et ønske om et uanmeldt tilsynsbesøg kan imødekommes. Den foreslåede bestemmelse ændrer således ikke på, at udgangspunktet fortsat er, at et tilsynsbesøg skal varsles på forhånd i det omfang, det er muligt. </w:t>
      </w:r>
    </w:p>
    <w:p w14:paraId="0B0B9468" w14:textId="4B02598D"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henvises til bemærkningerne til 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_Hlk215566342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w:t>
      </w:r>
    </w:p>
    <w:p w14:paraId="5649175F"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2. pkt.,</w:t>
      </w:r>
      <w:r w:rsidRPr="00796736">
        <w:rPr>
          <w:rFonts w:ascii="Times New Roman" w:hAnsi="Times New Roman" w:cs="Times New Roman"/>
          <w:sz w:val="24"/>
          <w:szCs w:val="24"/>
        </w:rPr>
        <w:t xml:space="preserve"> at Erhvervsstyrelsen kan deltage i tilsynet som nævnt i 1. pkt.</w:t>
      </w:r>
    </w:p>
    <w:p w14:paraId="42DF12E9" w14:textId="0BA04BAF"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Erhvervsstyrelsen vil kunne beslutte at deltage i en EU- eller EØS-tilsynsmyndigheds tilsyn af virksomheder og personer som nævnt i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Danmark, men som har hjemsted i den pågældende tilsynsmyndigheds hjemland.</w:t>
      </w:r>
    </w:p>
    <w:p w14:paraId="595986EF" w14:textId="2BFCA782"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vil med den foreslåede bestemmelse kunne føre tilsyn med, at virksomheden overholder regler, jf.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_Ref232597665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og at den udenlandske tilsynsmyndigheds tilsyn foregår i overensstemmelse med danske regler herfor.</w:t>
      </w:r>
    </w:p>
    <w:p w14:paraId="5A9A5943"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3. pkt.,</w:t>
      </w:r>
      <w:r w:rsidRPr="00796736">
        <w:rPr>
          <w:rFonts w:ascii="Times New Roman" w:hAnsi="Times New Roman" w:cs="Times New Roman"/>
          <w:sz w:val="24"/>
          <w:szCs w:val="24"/>
        </w:rPr>
        <w:t xml:space="preserve"> at modsætter en virksomhed eller person som nævnt i 1. pkt. sig en kompetent udenlandsk myndigheds tilsyn, kan undersøgelsen kun foretages med Erhvervsstyrelsens medvirken.</w:t>
      </w:r>
    </w:p>
    <w:p w14:paraId="6E5F4264"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At en virksomhed eller person modsætter sig et tilsyn skal forstås som, at virksomheden gør indsigelse mod den del af tilsynets gennemførelse, som vedrører den udenlandske myndighed. Tages indsigelsen ikke til følge, vil tilsynet kun kunne foretages af Erhvervsstyrelsen. Et eksempel på en indsigelse kan f.eks. være, at den udenlandske myndighed er fra Tyskland, og at virksomheden gør indsigelse mod, at tilsynet gennemføres på tysk. Det kan løses ved, at spørgsmål stilles på engelsk.</w:t>
      </w:r>
    </w:p>
    <w:p w14:paraId="5782FB79" w14:textId="16DE9930" w:rsidR="00940B1D" w:rsidRPr="00796736" w:rsidRDefault="00940B1D"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sz w:val="24"/>
          <w:szCs w:val="24"/>
          <w:lang w:eastAsia="da-DK"/>
        </w:rPr>
        <w:t xml:space="preserve">Erhvervsstyrelsen kan anmode de kompetente myndigheder i et EU- eller EØS-land om at medvirke til at påse overholdensen af hvidvaskforordningen, denne lov og regler, der er udstedt i medfør af loven, vedrørende virksomheder og personer, der udøver den type af virksomhed, som er nævnt i lovforslagets </w:t>
      </w:r>
      <w:r w:rsidR="004A72D6" w:rsidRPr="00796736">
        <w:rPr>
          <w:rFonts w:ascii="Times New Roman" w:eastAsia="Times New Roman" w:hAnsi="Times New Roman" w:cs="Times New Roman"/>
          <w:sz w:val="24"/>
          <w:szCs w:val="24"/>
          <w:lang w:eastAsia="da-DK"/>
        </w:rPr>
        <w:t xml:space="preserve">§ 79, </w:t>
      </w:r>
      <w:r w:rsidRPr="00796736">
        <w:rPr>
          <w:rFonts w:ascii="Times New Roman" w:eastAsia="Times New Roman" w:hAnsi="Times New Roman" w:cs="Times New Roman"/>
          <w:sz w:val="24"/>
          <w:szCs w:val="24"/>
          <w:lang w:eastAsia="da-DK"/>
        </w:rPr>
        <w:t>med hjemsted i et andet EU- eller EØS-land ved tilsynsaktioner, kontroller på steder eller inspektioner på et andet EU- eller EØS-lands område.</w:t>
      </w:r>
    </w:p>
    <w:p w14:paraId="56F6489E"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 57, stk. 6, i den nuværende hvidvasklov, med udvidelse i henvisning til retsakter, der skal påses overholdelse, der i den nye bestemmelse også omfatter hvidvaskforordningen og en udvidelse af de omfattede virksomheder og personer, som følge af udvidelsen af forpligtede enheder i hvidvaskforordningen. Bemærkningerne for den nuværende nævnte bestemmelse videreføres derfor også.</w:t>
      </w:r>
    </w:p>
    <w:p w14:paraId="414CB24F"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 stk. 3 vedrører Erhvervsstyrelsens mulighed for at foretage tilsyn i andre EU- eller EØS-lande. Erhvervsstyrelsens tilsyn i andre EU- eller EØS-lande skal ske i overensstemmelse med reglerne i det pågældende land.</w:t>
      </w:r>
    </w:p>
    <w:p w14:paraId="36616388"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finde anvendelse i situationer, hvor Erhvervsstyrelsen fører tilsyn med en virksomhed eller person i Danmark og hvor virksomheden eller personen tillige driver virksomhed i et andet EU- eller EØS-land.</w:t>
      </w:r>
    </w:p>
    <w:p w14:paraId="51342249"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vil Erhvervsstyrelsen kunne foretage tilsyn i udlandet, når det pågældende EU- eller EØS-lands lovmæssige betingelser for afholdelse af tilsyn er opfyldt.</w:t>
      </w:r>
    </w:p>
    <w:p w14:paraId="21F79625" w14:textId="77777777" w:rsidR="00940B1D" w:rsidRPr="00796736" w:rsidRDefault="00940B1D" w:rsidP="00A802A5">
      <w:pPr>
        <w:spacing w:line="360" w:lineRule="auto"/>
        <w:rPr>
          <w:rFonts w:ascii="Times New Roman" w:hAnsi="Times New Roman" w:cs="Times New Roman"/>
          <w:sz w:val="24"/>
          <w:szCs w:val="24"/>
          <w:lang w:eastAsia="da-DK"/>
        </w:rPr>
      </w:pPr>
    </w:p>
    <w:p w14:paraId="5388B6A8" w14:textId="6B7E04B3" w:rsidR="00D61FF1" w:rsidRPr="00796736" w:rsidRDefault="00D61FF1" w:rsidP="00A802A5">
      <w:pPr>
        <w:pStyle w:val="Undertitel"/>
      </w:pPr>
      <w:bookmarkStart w:id="2103" w:name="_Toc232109411"/>
      <w:bookmarkStart w:id="2104" w:name="_Toc244879377"/>
      <w:bookmarkStart w:id="2105" w:name="_Toc244880902"/>
      <w:r w:rsidRPr="00796736">
        <w:t xml:space="preserve">Til </w:t>
      </w:r>
      <w:bookmarkEnd w:id="2103"/>
      <w:r w:rsidR="00850B44" w:rsidRPr="00796736">
        <w:fldChar w:fldCharType="begin"/>
      </w:r>
      <w:r w:rsidR="00850B44" w:rsidRPr="00796736">
        <w:instrText xml:space="preserve"> REF _Hlk215566342 \r \h </w:instrText>
      </w:r>
      <w:r w:rsidR="00967618" w:rsidRPr="00796736">
        <w:instrText xml:space="preserve"> \* MERGEFORMAT </w:instrText>
      </w:r>
      <w:r w:rsidR="00850B44" w:rsidRPr="00796736">
        <w:fldChar w:fldCharType="separate"/>
      </w:r>
      <w:r w:rsidR="008F29E5">
        <w:t>§ 81</w:t>
      </w:r>
      <w:bookmarkEnd w:id="2104"/>
      <w:bookmarkEnd w:id="2105"/>
      <w:r w:rsidR="00850B44" w:rsidRPr="00796736">
        <w:fldChar w:fldCharType="end"/>
      </w:r>
      <w:r w:rsidR="00940B1D" w:rsidRPr="00796736">
        <w:t xml:space="preserve"> </w:t>
      </w:r>
    </w:p>
    <w:p w14:paraId="48B7C87C"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59 i den gældende hvidvasklov indeholder bestemmelser om, hvilke oplysninger Erhvervsstyrelsen har krav på som led i sin tilsynsforpligtelse.</w:t>
      </w:r>
    </w:p>
    <w:p w14:paraId="4D930F64" w14:textId="4AEFE92F"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507AF5" w:rsidRPr="00796736">
        <w:rPr>
          <w:rFonts w:ascii="Times New Roman" w:hAnsi="Times New Roman" w:cs="Times New Roman"/>
          <w:sz w:val="24"/>
          <w:szCs w:val="24"/>
        </w:rPr>
        <w:fldChar w:fldCharType="begin"/>
      </w:r>
      <w:r w:rsidR="00507AF5" w:rsidRPr="00796736">
        <w:rPr>
          <w:rFonts w:ascii="Times New Roman" w:hAnsi="Times New Roman" w:cs="Times New Roman"/>
          <w:sz w:val="24"/>
          <w:szCs w:val="24"/>
        </w:rPr>
        <w:instrText xml:space="preserve"> REF _Hlk215566342 \r \h </w:instrText>
      </w:r>
      <w:r w:rsidR="00967618" w:rsidRPr="00796736">
        <w:rPr>
          <w:rFonts w:ascii="Times New Roman" w:hAnsi="Times New Roman" w:cs="Times New Roman"/>
          <w:sz w:val="24"/>
          <w:szCs w:val="24"/>
        </w:rPr>
        <w:instrText xml:space="preserve"> \* MERGEFORMAT </w:instrText>
      </w:r>
      <w:r w:rsidR="00507AF5" w:rsidRPr="00796736">
        <w:rPr>
          <w:rFonts w:ascii="Times New Roman" w:hAnsi="Times New Roman" w:cs="Times New Roman"/>
          <w:sz w:val="24"/>
          <w:szCs w:val="24"/>
        </w:rPr>
      </w:r>
      <w:r w:rsidR="00507AF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81</w:t>
      </w:r>
      <w:r w:rsidR="00507AF5" w:rsidRPr="00796736">
        <w:rPr>
          <w:rFonts w:ascii="Times New Roman" w:hAnsi="Times New Roman" w:cs="Times New Roman"/>
          <w:sz w:val="24"/>
          <w:szCs w:val="24"/>
        </w:rPr>
        <w:fldChar w:fldCharType="end"/>
      </w:r>
      <w:r w:rsidR="00507AF5" w:rsidRPr="00796736">
        <w:rPr>
          <w:rFonts w:ascii="Times New Roman" w:hAnsi="Times New Roman" w:cs="Times New Roman"/>
          <w:sz w:val="24"/>
          <w:szCs w:val="24"/>
        </w:rPr>
        <w:t xml:space="preserve"> </w:t>
      </w:r>
      <w:r w:rsidRPr="00796736">
        <w:rPr>
          <w:rFonts w:ascii="Times New Roman" w:hAnsi="Times New Roman" w:cs="Times New Roman"/>
          <w:sz w:val="24"/>
          <w:szCs w:val="24"/>
        </w:rPr>
        <w:t>omhandler Erhvervsstyrelsens adgang til oplysninger, som er nødvendige for styrelsens virksomhed. Forslaget viderefører § 59 i den gældende hvidvasklov med visse indholdsmæssige ændringer, da leverandører og underleverandører også pålægges at give de nødvendige oplysninger til Erhvervsstyrelsen.</w:t>
      </w:r>
    </w:p>
    <w:p w14:paraId="1FB5741D" w14:textId="2BFA424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som det er tilfældet i dag, indebære, at virksomheder og personer har pligt til at give Erhvervsstyrelsen de oplysninger, som Erhvervsstyrelsen anmoder om som led i varetagelsen af sin tilsynsforpligtelse.</w:t>
      </w:r>
    </w:p>
    <w:p w14:paraId="1DC26112"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Ændringen er en følge af 6. hvidvaskdirektiv, der i artikel 37, stk. 6, litra a, foreskriver, at tilsynsorganerne skal have beføjelse til at kræve fremlæggelse af alle oplysninger fra forpligtede enheder, som er relevante for overvågning og kontrol af overholdelsen af hvidvaskforordningen og til at gennemføre kontroller, herunder fra tjenesteudbydere, som forpligtede enheder har outsourcet en del af deres opgaver til for at opfylde kravene i hvidvaskforordningen.</w:t>
      </w:r>
    </w:p>
    <w:p w14:paraId="4512BF0A"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ligeledes af 6. hvidvaskdirektivs artikel 56, stk. 3, litra a, at tilsynsorganerne ved hjælp af administrative foranstaltninger skal kunne kræve fremlæggelse uden unødigt ophold af data eller oplysninger, der er nødvendige for udførelsen af deres opgaver.</w:t>
      </w:r>
    </w:p>
    <w:p w14:paraId="24FFD372" w14:textId="3481A6B4"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virksomheder og personer som nævnt i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samt leverandører og underleverandører til disse, skal give Erhvervsstyrelsen de oplysninger, der er nødvendige for styrelsens virksomhed.</w:t>
      </w:r>
    </w:p>
    <w:p w14:paraId="421BCF3C" w14:textId="412F6C40"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 59, stk. 1, i den nuværende hvidvasklov med en udvidelse af den omfattede kreds af pligtsubjekter.</w:t>
      </w:r>
      <w:r w:rsidR="005A265F">
        <w:rPr>
          <w:rFonts w:ascii="Times New Roman" w:hAnsi="Times New Roman" w:cs="Times New Roman"/>
          <w:sz w:val="24"/>
          <w:szCs w:val="24"/>
        </w:rPr>
        <w:t xml:space="preserve"> </w:t>
      </w:r>
      <w:r w:rsidRPr="00796736">
        <w:rPr>
          <w:rFonts w:ascii="Times New Roman" w:hAnsi="Times New Roman" w:cs="Times New Roman"/>
          <w:sz w:val="24"/>
          <w:szCs w:val="24"/>
        </w:rPr>
        <w:t xml:space="preserve">Ændringen afspejler, at Erhvervsstyrelsens tilsynspopulation udvides som følge af, at hvidvaskforordningen indebærer en udvidelse af kredsen af forpligtede enheder. </w:t>
      </w:r>
      <w:r w:rsidRPr="00796736">
        <w:rPr>
          <w:rFonts w:ascii="Times New Roman" w:eastAsia="Calibri" w:hAnsi="Times New Roman" w:cs="Times New Roman"/>
          <w:sz w:val="24"/>
          <w:szCs w:val="24"/>
        </w:rPr>
        <w:t>Bestemmelsen ændres derudover indholdsmæssigt således, at også leverandører og underleverandører omfattes af oplysningspligten.</w:t>
      </w:r>
    </w:p>
    <w:p w14:paraId="1CAEB697"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medføre, at omfattede virksomheder og personer, samt deres leverandører og underleverandører er underlagt en oplysningspligt til Erhvervsstyrelsen. Erhvervsstyrelsen kan dermed kræve de oplysninger, der er nødvendige for styrelsens virksomhed udleveret.</w:t>
      </w:r>
    </w:p>
    <w:p w14:paraId="7798C94F" w14:textId="77777777" w:rsidR="00940B1D" w:rsidRPr="00796736" w:rsidRDefault="00940B1D"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er Erhvervsstyrelsen, der vurderer, hvilke oplysninger der er nødvendige for styrelsens virksomhed og tilsynet med de omfattede enheders overholdelse af reglerne.</w:t>
      </w:r>
    </w:p>
    <w:p w14:paraId="4E256EE9" w14:textId="77777777" w:rsidR="00911473" w:rsidRPr="00796736" w:rsidRDefault="00911473" w:rsidP="00A802A5">
      <w:pPr>
        <w:spacing w:line="360" w:lineRule="auto"/>
        <w:rPr>
          <w:rFonts w:ascii="Times New Roman" w:eastAsia="Times New Roman" w:hAnsi="Times New Roman" w:cs="Times New Roman"/>
          <w:sz w:val="24"/>
          <w:szCs w:val="24"/>
        </w:rPr>
      </w:pPr>
    </w:p>
    <w:p w14:paraId="3B6FCB91" w14:textId="20D34A13"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begrebet ”styrelsens virksomhed” forstås som udgangspunkt enhver aktivitet, der varetages af styrelsens hvidvasktilsyn. Begrebet skal fortolkes bredt. Oplysningspligten omfatter således enhver oplysning, der er nødvendig for Erhvervsstyrelsens tilrettelæggelse og udførelse af Erhvervsstyrelsens tilsynsaktiviteter, herunder i forbindelse med afviklingen af et konkret tilsyn uanset om dette gennemføres som et fysisk tilsyn eller skrivebordstilsyn. Dette kan ligeledes f.eks. omfatte oplysninger til brug for Erhvervsstyrelsens vurdering af, om en virksomhed eller person af omfattet af hvidvaskforordningen og underlagt styrelsens tilsyn. </w:t>
      </w:r>
      <w:r w:rsidR="00911473" w:rsidRPr="00796736">
        <w:rPr>
          <w:rFonts w:ascii="Times New Roman" w:hAnsi="Times New Roman" w:cs="Times New Roman"/>
          <w:sz w:val="24"/>
          <w:szCs w:val="24"/>
        </w:rPr>
        <w:t>Tilsvarende vil det også omfatte enhver oplysning til brug for Erhvervsstyrelsens risikoklassificering af en forpligtet enhed i henhold til regler udstedt i medfør af AMLA-forordningens artikel 49, jf. 6. hvidvaskdirektivs artikel 40, stk. 2.</w:t>
      </w:r>
    </w:p>
    <w:p w14:paraId="4AE15ADC"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 omfattede virksomheders og personers leverandører og underleverandører er omfattet af oplysningspligten, for at sikre at Erhvervsstyrelsens indhentelse af oplysninger ikke kan hindres eller omgås ved outsourcing. De opgaver som Erhvervsstyrelsen skal kunne indhente oplysninger om hos leverandører henholdsvis underleverandører, er opgaver, som Erhvervsstyrelsen ville kunne indhente oplysninger om hos outsourcingvirksomheden, hvis opgaverne ikke var outsourcet.</w:t>
      </w:r>
    </w:p>
    <w:p w14:paraId="426773F4" w14:textId="77777777" w:rsidR="00940B1D" w:rsidRPr="00796736" w:rsidRDefault="00940B1D" w:rsidP="00A802A5">
      <w:pPr>
        <w:spacing w:line="360" w:lineRule="auto"/>
        <w:rPr>
          <w:rFonts w:ascii="Times New Roman" w:hAnsi="Times New Roman" w:cs="Times New Roman"/>
          <w:sz w:val="24"/>
          <w:szCs w:val="24"/>
        </w:rPr>
      </w:pPr>
    </w:p>
    <w:p w14:paraId="73780708" w14:textId="77777777" w:rsidR="00911473" w:rsidRPr="00796736" w:rsidRDefault="0091147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Oplysninger omfattet af oplysningspligten skal gives til Erhvervsstyrelsen hurtigst muligt. Med oplysningspligten følger også en berigtigelsespligt over for Erhvervsstyrelsen, såfremt virksomheden eller personen konstaterer, at oplysningerne ikke har været korrekte på tidspunktet for afgivelsen eller efterfølgende er blevet misvisende.</w:t>
      </w:r>
    </w:p>
    <w:p w14:paraId="5EB2A621" w14:textId="77777777" w:rsidR="00911473" w:rsidRPr="00796736" w:rsidRDefault="00911473" w:rsidP="00A802A5">
      <w:pPr>
        <w:spacing w:line="360" w:lineRule="auto"/>
        <w:rPr>
          <w:rFonts w:ascii="Times New Roman" w:hAnsi="Times New Roman" w:cs="Times New Roman"/>
          <w:sz w:val="24"/>
          <w:szCs w:val="24"/>
        </w:rPr>
      </w:pPr>
    </w:p>
    <w:p w14:paraId="069C334F" w14:textId="2AE880C0" w:rsidR="00911473"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Undlader en virksomhed eller person at give Erhvervsstyrelsen de oplysninger, der er nødvendige til brug for tilsynet, kan Erhvervsstyrelsen udstede et påbud herom efter den foreslåede</w:t>
      </w:r>
      <w:r w:rsidR="003D2A25">
        <w:rPr>
          <w:rFonts w:ascii="Times New Roman" w:hAnsi="Times New Roman" w:cs="Times New Roman"/>
          <w:sz w:val="24"/>
          <w:szCs w:val="24"/>
        </w:rPr>
        <w:t xml:space="preserve"> </w:t>
      </w:r>
      <w:r w:rsidR="003D2A25">
        <w:rPr>
          <w:rFonts w:ascii="Times New Roman" w:hAnsi="Times New Roman" w:cs="Times New Roman"/>
          <w:sz w:val="24"/>
          <w:szCs w:val="24"/>
        </w:rPr>
        <w:fldChar w:fldCharType="begin"/>
      </w:r>
      <w:r w:rsidR="003D2A25">
        <w:rPr>
          <w:rFonts w:ascii="Times New Roman" w:hAnsi="Times New Roman" w:cs="Times New Roman"/>
          <w:sz w:val="24"/>
          <w:szCs w:val="24"/>
        </w:rPr>
        <w:instrText xml:space="preserve"> REF _Ref232597715 \r \h </w:instrText>
      </w:r>
      <w:r w:rsidR="00CB248D">
        <w:rPr>
          <w:rFonts w:ascii="Times New Roman" w:hAnsi="Times New Roman" w:cs="Times New Roman"/>
          <w:sz w:val="24"/>
          <w:szCs w:val="24"/>
        </w:rPr>
        <w:instrText xml:space="preserve"> \* MERGEFORMAT </w:instrText>
      </w:r>
      <w:r w:rsidR="003D2A25">
        <w:rPr>
          <w:rFonts w:ascii="Times New Roman" w:hAnsi="Times New Roman" w:cs="Times New Roman"/>
          <w:sz w:val="24"/>
          <w:szCs w:val="24"/>
        </w:rPr>
      </w:r>
      <w:r w:rsidR="003D2A25">
        <w:rPr>
          <w:rFonts w:ascii="Times New Roman" w:hAnsi="Times New Roman" w:cs="Times New Roman"/>
          <w:sz w:val="24"/>
          <w:szCs w:val="24"/>
        </w:rPr>
        <w:fldChar w:fldCharType="separate"/>
      </w:r>
      <w:r w:rsidR="008F29E5">
        <w:rPr>
          <w:rFonts w:ascii="Times New Roman" w:hAnsi="Times New Roman" w:cs="Times New Roman"/>
          <w:sz w:val="24"/>
          <w:szCs w:val="24"/>
        </w:rPr>
        <w:t>§ 87</w:t>
      </w:r>
      <w:r w:rsidR="003D2A25">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w:t>
      </w:r>
    </w:p>
    <w:p w14:paraId="4370AEDD" w14:textId="77777777" w:rsidR="003D2A25" w:rsidRPr="00574C91"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Et påbud om at fremlægge de nævnte oplysninger vil indebære en oplysningspligt, jf. § 1, stk. 3, i lov om retssikkerhed ved forvaltningens anvendelse af tvangsindgreb og oplysningspligter (retssikkerhedsloven). Dette vil indebære, at oplysningspligten ikke finder anvendelse over for en enkeltperson eller juridisk person, hvis der er konkret mistanke om, at den pågældende har begået en lovovertrædelse, der kan medføre straf, medmindre det kan udelukkes, at de oplysninger, som søges tilvejebragt, kan have betydning for bedømmelsen af den formodede lovovertrædelse, jf. § 10 i retssikkerhedsloven.</w:t>
      </w:r>
    </w:p>
    <w:p w14:paraId="54F1280E" w14:textId="77777777" w:rsidR="003D2A25" w:rsidRPr="00574C91"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 xml:space="preserve">Erhvervsstyrelsen vil i sådanne tilfælde skulle vejlede den mistænkte om, at vedkommende ikke har pligt til at meddele oplysninger, som kan have betydning for bedømmelsen af den formodede lovovertrædelse. </w:t>
      </w:r>
    </w:p>
    <w:p w14:paraId="5B4D66E1" w14:textId="326C13EE" w:rsidR="003D2A25" w:rsidRPr="00796736"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Se nærmere herom i de almindelige bemærkninger pkt. 4.3.</w:t>
      </w:r>
    </w:p>
    <w:p w14:paraId="0656EC3B" w14:textId="16265FFB"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Overtrædelse af bestemmelsen foreslås strafbelagt i henhold til </w:t>
      </w:r>
      <w:r w:rsidR="003D2A25">
        <w:rPr>
          <w:rFonts w:ascii="Times New Roman" w:hAnsi="Times New Roman" w:cs="Times New Roman"/>
          <w:sz w:val="24"/>
          <w:szCs w:val="24"/>
        </w:rPr>
        <w:fldChar w:fldCharType="begin"/>
      </w:r>
      <w:r w:rsidR="003D2A25">
        <w:rPr>
          <w:rFonts w:ascii="Times New Roman" w:hAnsi="Times New Roman" w:cs="Times New Roman"/>
          <w:sz w:val="24"/>
          <w:szCs w:val="24"/>
        </w:rPr>
        <w:instrText xml:space="preserve"> REF _Ref242963797 \r \h </w:instrText>
      </w:r>
      <w:r w:rsidR="00CB248D">
        <w:rPr>
          <w:rFonts w:ascii="Times New Roman" w:hAnsi="Times New Roman" w:cs="Times New Roman"/>
          <w:sz w:val="24"/>
          <w:szCs w:val="24"/>
        </w:rPr>
        <w:instrText xml:space="preserve"> \* MERGEFORMAT </w:instrText>
      </w:r>
      <w:r w:rsidR="003D2A25">
        <w:rPr>
          <w:rFonts w:ascii="Times New Roman" w:hAnsi="Times New Roman" w:cs="Times New Roman"/>
          <w:sz w:val="24"/>
          <w:szCs w:val="24"/>
        </w:rPr>
      </w:r>
      <w:r w:rsidR="003D2A25">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3D2A25">
        <w:rPr>
          <w:rFonts w:ascii="Times New Roman" w:hAnsi="Times New Roman" w:cs="Times New Roman"/>
          <w:sz w:val="24"/>
          <w:szCs w:val="24"/>
        </w:rPr>
        <w:fldChar w:fldCharType="end"/>
      </w:r>
      <w:r w:rsidR="003D2A25">
        <w:rPr>
          <w:rFonts w:ascii="Times New Roman" w:hAnsi="Times New Roman" w:cs="Times New Roman"/>
          <w:sz w:val="24"/>
          <w:szCs w:val="24"/>
        </w:rPr>
        <w:t>, stk. 1, nr. 5</w:t>
      </w:r>
      <w:r w:rsidRPr="00796736">
        <w:rPr>
          <w:rFonts w:ascii="Times New Roman" w:hAnsi="Times New Roman" w:cs="Times New Roman"/>
          <w:sz w:val="24"/>
          <w:szCs w:val="24"/>
        </w:rPr>
        <w:t xml:space="preserve">. Ansvarssubjekterne for overtrædelse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_Hlk215566342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er virksomheder og personer omfattet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003D2A25">
        <w:rPr>
          <w:rFonts w:ascii="Times New Roman" w:hAnsi="Times New Roman" w:cs="Times New Roman"/>
          <w:sz w:val="24"/>
          <w:szCs w:val="24"/>
        </w:rPr>
        <w:t xml:space="preserve"> </w:t>
      </w:r>
      <w:r w:rsidRPr="00796736">
        <w:rPr>
          <w:rFonts w:ascii="Times New Roman" w:hAnsi="Times New Roman" w:cs="Times New Roman"/>
          <w:sz w:val="24"/>
          <w:szCs w:val="24"/>
        </w:rPr>
        <w:t>samt leverandører og underleverandører til disse.  Den strafbare handling består i ikke at give Erhvervsstyrelsen de oplysninger, der er nødvendige for tilsynets virksomhed. Et eksempel på overtrædelse af bestemmelsen er en virksomhed, der ikke vil udlevere virksomhedens procedurer for kundekendskabsprocedurer.</w:t>
      </w:r>
    </w:p>
    <w:p w14:paraId="0F170F21" w14:textId="0E45E3EC"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kan som tvangsmiddel for manglende efterkommelse af påbuddet om udlevering af de påkrævede oplysninger derudover pålægge virksomheden eller personen daglige eller ugentlige tvangsbøder, jf. forslagets </w:t>
      </w:r>
      <w:r w:rsidR="00507AF5" w:rsidRPr="00796736">
        <w:rPr>
          <w:rFonts w:ascii="Times New Roman" w:hAnsi="Times New Roman" w:cs="Times New Roman"/>
          <w:sz w:val="24"/>
          <w:szCs w:val="24"/>
        </w:rPr>
        <w:fldChar w:fldCharType="begin"/>
      </w:r>
      <w:r w:rsidR="00507AF5" w:rsidRPr="00796736">
        <w:rPr>
          <w:rFonts w:ascii="Times New Roman" w:hAnsi="Times New Roman" w:cs="Times New Roman"/>
          <w:sz w:val="24"/>
          <w:szCs w:val="24"/>
        </w:rPr>
        <w:instrText xml:space="preserve"> REF _Ref232610061 \n \h </w:instrText>
      </w:r>
      <w:r w:rsidR="00967618" w:rsidRPr="00796736">
        <w:rPr>
          <w:rFonts w:ascii="Times New Roman" w:hAnsi="Times New Roman" w:cs="Times New Roman"/>
          <w:sz w:val="24"/>
          <w:szCs w:val="24"/>
        </w:rPr>
        <w:instrText xml:space="preserve"> \* MERGEFORMAT </w:instrText>
      </w:r>
      <w:r w:rsidR="00507AF5" w:rsidRPr="00796736">
        <w:rPr>
          <w:rFonts w:ascii="Times New Roman" w:hAnsi="Times New Roman" w:cs="Times New Roman"/>
          <w:sz w:val="24"/>
          <w:szCs w:val="24"/>
        </w:rPr>
      </w:r>
      <w:r w:rsidR="00507AF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136</w:t>
      </w:r>
      <w:r w:rsidR="00507AF5" w:rsidRPr="00796736">
        <w:rPr>
          <w:rFonts w:ascii="Times New Roman" w:hAnsi="Times New Roman" w:cs="Times New Roman"/>
          <w:sz w:val="24"/>
          <w:szCs w:val="24"/>
        </w:rPr>
        <w:fldChar w:fldCharType="end"/>
      </w:r>
      <w:r w:rsidR="00507AF5" w:rsidRPr="00796736">
        <w:rPr>
          <w:rFonts w:ascii="Times New Roman" w:hAnsi="Times New Roman" w:cs="Times New Roman"/>
          <w:sz w:val="24"/>
          <w:szCs w:val="24"/>
        </w:rPr>
        <w:t xml:space="preserve">, </w:t>
      </w:r>
      <w:r w:rsidRPr="00796736">
        <w:rPr>
          <w:rFonts w:ascii="Times New Roman" w:hAnsi="Times New Roman" w:cs="Times New Roman"/>
          <w:sz w:val="24"/>
          <w:szCs w:val="24"/>
        </w:rPr>
        <w:t>stk. 1.</w:t>
      </w:r>
    </w:p>
    <w:p w14:paraId="576E0AA7" w14:textId="45F3374D"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kan ikke pålægge tvangsbøder, hvis styrelsen har en konkret mistanke om, at en enkeltperson eller en juridisk person har begået en lovovertrædelse, jf. § 10 i lov om retssikkerhed ved forvaltningens anvendelse af tvangsindgreb og oplysningspligter (retssikkerhedsloven). Tvangsbøder kan dog anvendes, hvis det kan udelukkes, at de oplysninger, som søges tilvejebragt, kan have betydning for bedømmelsen af den formodede lovovertrædelse. Der henvises til retssikkerhedsloven for fortolkningen af denne bestemmelse.</w:t>
      </w:r>
      <w:r w:rsidR="003D2A25">
        <w:rPr>
          <w:rFonts w:ascii="Times New Roman" w:hAnsi="Times New Roman" w:cs="Times New Roman"/>
          <w:sz w:val="24"/>
          <w:szCs w:val="24"/>
        </w:rPr>
        <w:t xml:space="preserve"> </w:t>
      </w:r>
      <w:r w:rsidR="003D2A25" w:rsidRPr="00574C91">
        <w:rPr>
          <w:rFonts w:ascii="Times New Roman" w:hAnsi="Times New Roman" w:cs="Times New Roman"/>
          <w:sz w:val="24"/>
          <w:szCs w:val="24"/>
        </w:rPr>
        <w:t>Se nærmere herom i de almindelige bemærkninger pkt. 4.3.</w:t>
      </w:r>
    </w:p>
    <w:p w14:paraId="20E4B685"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Erhvervsstyrelsen, hvis formålet tilsiger det, til enhver tid mod behørig legitimation uden retskendelse kan få adgang til virksomheder og personer omfattet af stk. 1 med henblik på indhentelse af oplysninger, herunder ved tilsynsbesøg.</w:t>
      </w:r>
    </w:p>
    <w:p w14:paraId="3052E44C"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 59, stk. 2, i den nuværende hvidvasklov.</w:t>
      </w:r>
    </w:p>
    <w:p w14:paraId="3588406F" w14:textId="49CC22AD" w:rsidR="005A265F" w:rsidRPr="00796736" w:rsidRDefault="005A265F" w:rsidP="005A265F">
      <w:pPr>
        <w:spacing w:after="240" w:line="360" w:lineRule="auto"/>
        <w:rPr>
          <w:rFonts w:ascii="Times New Roman" w:hAnsi="Times New Roman" w:cs="Times New Roman"/>
          <w:sz w:val="24"/>
          <w:szCs w:val="24"/>
        </w:rPr>
      </w:pPr>
      <w:r>
        <w:rPr>
          <w:rFonts w:ascii="Times New Roman" w:hAnsi="Times New Roman" w:cs="Times New Roman"/>
          <w:sz w:val="24"/>
          <w:szCs w:val="24"/>
        </w:rPr>
        <w:t>Den foreslåede bestemmelse vil medføre, at Erhvervsstyrelsen</w:t>
      </w:r>
      <w:r w:rsidRPr="00796736">
        <w:rPr>
          <w:rFonts w:ascii="Times New Roman" w:hAnsi="Times New Roman" w:cs="Times New Roman"/>
          <w:sz w:val="24"/>
          <w:szCs w:val="24"/>
        </w:rPr>
        <w:t xml:space="preserve"> bibeholder med bestemmelsen sine nuværende beføjelser, for så vidt angår tilsynsbesøg hos de virksomheder og personer, der i henhold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_Ref232597665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er underlagt Erhvervsstyrelsens tilsyn.</w:t>
      </w:r>
    </w:p>
    <w:p w14:paraId="5E3428A1" w14:textId="4F9A3F6D" w:rsidR="004A72D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har således fortsat mulighed for at foretage tilsynsbesøg, uden forudgående varsling, hos virksomheder og personer, der indgår i Erhvervsstyrelsens tilsynspopulation, hvis formålet med tilsynsbesøget tilsiger det. Denne hjemmel anvendes alene af Erhvervsstyrelsen i tilfælde, hvor det er Erhvervsstyrelsens vurdering, at formålet med tilsynsbesøget ville blive forspildt, hvis tilsynsbesøget blev varslet. Udgangspunktet er således fortsat, at tilsynsbesøg hos de virksomheder og personer omfattet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_Ref232597665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skal varsles på forhånd, i det omfang det er muligt.</w:t>
      </w:r>
      <w:r w:rsidR="005A265F">
        <w:rPr>
          <w:rFonts w:ascii="Times New Roman" w:hAnsi="Times New Roman" w:cs="Times New Roman"/>
          <w:sz w:val="24"/>
          <w:szCs w:val="24"/>
        </w:rPr>
        <w:t xml:space="preserve"> </w:t>
      </w:r>
      <w:r w:rsidRPr="00796736">
        <w:rPr>
          <w:rFonts w:ascii="Times New Roman" w:hAnsi="Times New Roman" w:cs="Times New Roman"/>
          <w:sz w:val="24"/>
          <w:szCs w:val="24"/>
        </w:rPr>
        <w:t xml:space="preserve">Muligheden for tilsynsbesøg uden forudgående retskendelse eller varsling i forhold til virksomheder og personer omfattet af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_Ref232597665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går videre end artikel 37, stk. 7, i 6. hvidvaskdirektiv. Hensynet til at sikre et effektivt hvidvasktilsyn og forebygge økonomisk kriminalitet er imidlertid så tungtvejende, at det er fundet hensigtsmæssigt at videreføre denne mulighed. Det skyldes, at det er Erhvervsstyrelsens erfaring, at der i konkrete tilfælde forinden varslede tilsynsbesøg er sket fabrikation af den dokumentation, der indhentes fra kunderne hos virksomhederne, ligesom der har været formodning om, at dokumentation har været bortskaffet inden et varslet tilsynsbesøg, således at styrelsen ikke har haft mulighed for at gennemse dette under det varslede tilsynsbesøg.</w:t>
      </w:r>
    </w:p>
    <w:p w14:paraId="5E879DBC" w14:textId="77777777" w:rsidR="005A265F" w:rsidRDefault="005A265F" w:rsidP="005A265F">
      <w:pPr>
        <w:spacing w:after="240" w:line="360" w:lineRule="auto"/>
        <w:rPr>
          <w:rFonts w:ascii="Times New Roman" w:hAnsi="Times New Roman" w:cs="Times New Roman"/>
          <w:sz w:val="24"/>
          <w:szCs w:val="24"/>
        </w:rPr>
      </w:pPr>
      <w:r>
        <w:rPr>
          <w:rFonts w:ascii="Times New Roman" w:eastAsia="Times New Roman" w:hAnsi="Times New Roman" w:cs="Times New Roman"/>
          <w:iCs/>
          <w:sz w:val="24"/>
          <w:szCs w:val="24"/>
          <w:lang w:eastAsia="da-DK"/>
        </w:rPr>
        <w:t>Kontrolbesøget</w:t>
      </w:r>
      <w:r w:rsidRPr="003C4AF5">
        <w:rPr>
          <w:rFonts w:ascii="Times New Roman" w:eastAsia="Times New Roman" w:hAnsi="Times New Roman" w:cs="Times New Roman"/>
          <w:iCs/>
          <w:sz w:val="24"/>
          <w:szCs w:val="24"/>
          <w:lang w:eastAsia="da-DK"/>
        </w:rPr>
        <w:t xml:space="preserve"> vil kunne omfatte lokaliteter, herunder erhvervslokaler, lagerfaciliteter mv., hvorfra der drives erhverv, og således ikke til private boliger. I tilfælde, hvor forretningslokalet befinder sig i et privat hjem, vil </w:t>
      </w:r>
      <w:r>
        <w:rPr>
          <w:rFonts w:ascii="Times New Roman" w:eastAsia="Times New Roman" w:hAnsi="Times New Roman" w:cs="Times New Roman"/>
          <w:iCs/>
          <w:sz w:val="24"/>
          <w:szCs w:val="24"/>
          <w:lang w:eastAsia="da-DK"/>
        </w:rPr>
        <w:t>Erhvervsstyrelsen</w:t>
      </w:r>
      <w:r w:rsidRPr="003C4AF5">
        <w:rPr>
          <w:rFonts w:ascii="Times New Roman" w:eastAsia="Times New Roman" w:hAnsi="Times New Roman" w:cs="Times New Roman"/>
          <w:iCs/>
          <w:sz w:val="24"/>
          <w:szCs w:val="24"/>
          <w:lang w:eastAsia="da-DK"/>
        </w:rPr>
        <w:t xml:space="preserve"> dog kunne få adgang til den del af boligen, hvorfra administrationen af virksomheden foregår</w:t>
      </w:r>
      <w:r>
        <w:rPr>
          <w:rFonts w:ascii="Times New Roman" w:eastAsia="Times New Roman" w:hAnsi="Times New Roman" w:cs="Times New Roman"/>
          <w:iCs/>
          <w:sz w:val="24"/>
          <w:szCs w:val="24"/>
          <w:lang w:eastAsia="da-DK"/>
        </w:rPr>
        <w:t xml:space="preserve"> og</w:t>
      </w:r>
      <w:r w:rsidRPr="003C4AF5">
        <w:rPr>
          <w:rFonts w:ascii="Times New Roman" w:eastAsia="Times New Roman" w:hAnsi="Times New Roman" w:cs="Times New Roman"/>
          <w:iCs/>
          <w:sz w:val="24"/>
          <w:szCs w:val="24"/>
          <w:lang w:eastAsia="da-DK"/>
        </w:rPr>
        <w:t xml:space="preserve"> hvor virksomhedens dokumentation og optegnelser befinder sig. Der vil ved kontrolbesøg efter den foreslåede bestemmelse, som gennemføres uden samtykke, være tale om en husundersøgelse omfattet af grundlovens § 72</w:t>
      </w:r>
      <w:r>
        <w:rPr>
          <w:rFonts w:ascii="Times New Roman" w:eastAsia="Times New Roman" w:hAnsi="Times New Roman" w:cs="Times New Roman"/>
          <w:iCs/>
          <w:sz w:val="24"/>
          <w:szCs w:val="24"/>
          <w:lang w:eastAsia="da-DK"/>
        </w:rPr>
        <w:t>, hvor adgangen uden retskendelse er hjemlet som særegen undtagelse i anden lov.</w:t>
      </w:r>
    </w:p>
    <w:p w14:paraId="13BB2578" w14:textId="77777777" w:rsidR="005A265F" w:rsidRDefault="005A265F" w:rsidP="005A265F">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Erhvervsstyrelsens </w:t>
      </w:r>
      <w:r w:rsidRPr="00796736">
        <w:rPr>
          <w:rFonts w:ascii="Times New Roman" w:eastAsia="Times New Roman" w:hAnsi="Times New Roman" w:cs="Times New Roman"/>
          <w:sz w:val="24"/>
          <w:szCs w:val="24"/>
        </w:rPr>
        <w:t xml:space="preserve">mulighed for at få adgang uden retskendelse vil kun kunne anvendes i tilsynsmæssigt øjemed. </w:t>
      </w:r>
    </w:p>
    <w:p w14:paraId="628D3719" w14:textId="158046DE" w:rsidR="005A265F" w:rsidRPr="005A265F" w:rsidRDefault="005A265F" w:rsidP="00A802A5">
      <w:pPr>
        <w:spacing w:after="240" w:line="360" w:lineRule="auto"/>
        <w:rPr>
          <w:rFonts w:ascii="Times New Roman" w:eastAsia="Times New Roman" w:hAnsi="Times New Roman" w:cs="Times New Roman"/>
          <w:sz w:val="24"/>
          <w:szCs w:val="24"/>
        </w:rPr>
      </w:pPr>
      <w:r w:rsidRPr="00D500FD">
        <w:rPr>
          <w:rFonts w:ascii="Times New Roman" w:eastAsia="Times New Roman" w:hAnsi="Times New Roman" w:cs="Times New Roman"/>
          <w:sz w:val="24"/>
          <w:szCs w:val="24"/>
        </w:rPr>
        <w:t>Hvis der er en begrundet mistanke om en strafbar overtrædelse af lovgivningen, finder retsplejelovens regler om ransagning anvendelse.</w:t>
      </w:r>
    </w:p>
    <w:p w14:paraId="4F80D75D" w14:textId="77777777" w:rsidR="005A265F" w:rsidRPr="00796736" w:rsidRDefault="005A265F" w:rsidP="005A265F">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tilfælde, hvor det efter Erhvervsstyrelsens konkrete vurdering anses for nødvendigt at foretage tilsynsbesøg uden forudgående varsling, vil tilsynsbesøget blive foretaget i overensstemmelse med lov om retssikkerhed ved forvaltningens anvendelse af tvangsindgreb og oplysningspligter. Dette indebærer, at tilsynsbesøget skal foretages under iagttagelse af almindelige retssikkerhedsmæssige principper, herunder eksempelvis forbuddet mod selvinkriminering, jf. § 10 i lov om retssikkerhed ved forvaltningens anvendelse af tvangsindgreb og oplysningspligter (retssikkerhedsloven)</w:t>
      </w:r>
      <w:r>
        <w:rPr>
          <w:rFonts w:ascii="Times New Roman" w:hAnsi="Times New Roman" w:cs="Times New Roman"/>
          <w:sz w:val="24"/>
          <w:szCs w:val="24"/>
        </w:rPr>
        <w:t xml:space="preserve">. </w:t>
      </w:r>
      <w:r>
        <w:rPr>
          <w:rFonts w:ascii="Times New Roman" w:eastAsia="Times New Roman" w:hAnsi="Times New Roman" w:cs="Times New Roman"/>
          <w:sz w:val="24"/>
          <w:szCs w:val="24"/>
        </w:rPr>
        <w:t>Erhvervsstyrelsen</w:t>
      </w:r>
      <w:r w:rsidRPr="00260545">
        <w:rPr>
          <w:rFonts w:ascii="Times New Roman" w:eastAsia="Times New Roman" w:hAnsi="Times New Roman" w:cs="Times New Roman"/>
          <w:sz w:val="24"/>
          <w:szCs w:val="24"/>
        </w:rPr>
        <w:t xml:space="preserve"> vil i sådanne tilfælde skulle vejlede den mistænkte om, at vedkommende ikke har pligt til at meddele oplysninger, som kan have betydning for bedømmelsen af den formodede lovovertrædelse. </w:t>
      </w:r>
      <w:r w:rsidRPr="00FE7B3B">
        <w:rPr>
          <w:rFonts w:ascii="Times New Roman" w:hAnsi="Times New Roman" w:cs="Times New Roman"/>
          <w:sz w:val="24"/>
          <w:szCs w:val="24"/>
        </w:rPr>
        <w:t>Se nærmere herom i de almindelige bemærkninger pkt. 4.3.</w:t>
      </w:r>
    </w:p>
    <w:p w14:paraId="78A468FE" w14:textId="7A402DDB" w:rsidR="00183A40"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forudsætning for at anvende hjemlen til uanmeldte tilsynsbesøg er desuden, at Erhvervsstyrelsen ikke har en begrundet mistanke om en strafbar overtrædelse af lovgivningen, idet sagen i sådanne tilfælde, skal behandles efter retsplejelovens regler om strafferetspleje. Sagen vil i sådanne tilfælde således skulle behandles af politiet.</w:t>
      </w:r>
    </w:p>
    <w:p w14:paraId="6E21F166" w14:textId="77777777" w:rsidR="00D33A4D" w:rsidRPr="00796736" w:rsidRDefault="00D33A4D" w:rsidP="00A802A5">
      <w:pPr>
        <w:spacing w:line="360" w:lineRule="auto"/>
        <w:rPr>
          <w:rFonts w:ascii="Times New Roman" w:hAnsi="Times New Roman" w:cs="Times New Roman"/>
          <w:sz w:val="24"/>
          <w:szCs w:val="24"/>
          <w:lang w:eastAsia="da-DK"/>
        </w:rPr>
      </w:pPr>
    </w:p>
    <w:p w14:paraId="64E76EEC" w14:textId="29985826" w:rsidR="00911473" w:rsidRPr="00796736" w:rsidRDefault="00911473" w:rsidP="00A802A5">
      <w:pPr>
        <w:pStyle w:val="Undertitel"/>
      </w:pPr>
      <w:bookmarkStart w:id="2106" w:name="_Toc244879378"/>
      <w:bookmarkStart w:id="2107" w:name="_Toc244880903"/>
      <w:r w:rsidRPr="00796736">
        <w:t xml:space="preserve">Til </w:t>
      </w:r>
      <w:r w:rsidRPr="00796736">
        <w:fldChar w:fldCharType="begin"/>
      </w:r>
      <w:r w:rsidRPr="00796736">
        <w:instrText xml:space="preserve"> REF _Ref236728924 \r \h  \* MERGEFORMAT </w:instrText>
      </w:r>
      <w:r w:rsidRPr="00796736">
        <w:fldChar w:fldCharType="separate"/>
      </w:r>
      <w:r w:rsidR="008F29E5">
        <w:t>§ 82</w:t>
      </w:r>
      <w:bookmarkEnd w:id="2106"/>
      <w:bookmarkEnd w:id="2107"/>
      <w:r w:rsidRPr="00796736">
        <w:fldChar w:fldCharType="end"/>
      </w:r>
      <w:r w:rsidRPr="00796736">
        <w:t xml:space="preserve"> </w:t>
      </w:r>
    </w:p>
    <w:p w14:paraId="1D973F09" w14:textId="5602A78A"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gældende hvidvasklovs § 58 indeholder en registreringspligt hos Erhvervsstyrelsen for virksomheder og personer, der udbyder tjenesteydelser til virksomheder, som omfattet af den gældende hvidvasklovs § 1, stk. 1, nr. 17. Tjenesteudbydernes registrering hos Erhvervsstyrelsen er en forudsætning for, at den pågældende virksomhed eller person</w:t>
      </w:r>
      <w:r w:rsidR="004A72D6" w:rsidRPr="00796736">
        <w:rPr>
          <w:rFonts w:ascii="Times New Roman" w:hAnsi="Times New Roman" w:cs="Times New Roman"/>
          <w:sz w:val="24"/>
          <w:szCs w:val="24"/>
        </w:rPr>
        <w:t xml:space="preserve"> lovligt</w:t>
      </w:r>
      <w:r w:rsidRPr="00796736">
        <w:rPr>
          <w:rFonts w:ascii="Times New Roman" w:hAnsi="Times New Roman" w:cs="Times New Roman"/>
          <w:sz w:val="24"/>
          <w:szCs w:val="24"/>
        </w:rPr>
        <w:t xml:space="preserve"> kan udøve den pågældende type virksomhed.</w:t>
      </w:r>
    </w:p>
    <w:p w14:paraId="67C8695B"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gældende hvidvasklov indeholder ikke krav om, at de øvrige omfattede virksomheder og personer under Erhvervsstyrelsens tilsyn skal registreres ved Erhvervsstyrelsen.</w:t>
      </w:r>
    </w:p>
    <w:p w14:paraId="6BF03CD0"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Godkendte revisorer og revisionsvirksomheder er underlagt særskilt registrering i Erhvervsstyrelsens offentlige register over godkendte revisorer og revisionsvirksomheder efter § 2, stk. 1 i revisorloven.</w:t>
      </w:r>
    </w:p>
    <w:p w14:paraId="7A59F6B6"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Godkendte ejendomsmæglere m.v. er underlagt særskilt registrering i Erhvervsstyrelsens offentlige register over godkendte ejendomsmæglere m.v. efter § 5 i lov om formidling af fast ejendom m.v.</w:t>
      </w:r>
    </w:p>
    <w:p w14:paraId="685AADC2"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fastlægger en generel registreringspligt hos Erhvervsstyrelsen for de virksomheder og personer, der er underlagt Erhvervsstyrelsens tilsyn i medfør af hvidvaskloven for så vidt, at den pågældende virksomhed eller person ikke er underlagt krav om registrering hos Erhvervsstyrelsen efter anden særskilt ordning.</w:t>
      </w:r>
    </w:p>
    <w:p w14:paraId="79C8DF3D"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er ny og implementerer artikel 4, stk. 3 i 6. hvidvaskdirektiv.</w:t>
      </w:r>
    </w:p>
    <w:p w14:paraId="2A29195A" w14:textId="77CC08A2"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virksomheder og personer, der er underlagt Erhvervsstyrelsens tilsyn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_Ref232597665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skal registreres hos Erhvervsstyrelsen, jf. dog stk. 2.</w:t>
      </w:r>
    </w:p>
    <w:p w14:paraId="05BE64A5"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medføre, at der indføres en generel pligt for de virksomheder og personer, der er underlagt Erhvervsstyrelsens tilsyn, til at registrere sig hos Erhvervsstyrelsen.</w:t>
      </w:r>
    </w:p>
    <w:p w14:paraId="7427C456"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implementerer 6. hvidvaskdirektivs artikel 4, stk. 3, 1. afsnit, hvorefter det følger, at medlemsstaterne skal sikre, at andre forpligtede enheder end valutavekslings- og checkindløsningskontorer, udbydere af tjenester til truster eller virksomheder samt udbydere af spiltjenester, er omfattet af et minimums registreringskrav, der gør det muligt for tilsynsorganerne at identificere dem. </w:t>
      </w:r>
    </w:p>
    <w:p w14:paraId="34A41280" w14:textId="26C59A49"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Registreringspligten indføres for at sikre, at Erhvervsstyrelsen kan føre et effektivt tilsyn med de ikkefinansielle virksomheder og personer, som er underlagt Erhvervsstyrelsens tilsyn i medfør af lovforslagets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_Ref232597665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xml:space="preserve">. Virksomheder og personer under Erhvervsstyrelsens tilsyn, der er underlagt registrering hos Erhvervsstyrelsen efter anden særskilt ordning, vil ikke også skulle registres hos Erhvervsstyrelsen efter denne generelle registreringsordning. </w:t>
      </w:r>
    </w:p>
    <w:p w14:paraId="5E5B587E"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registreringsordningen er at sikre, at Erhvervsstyrelsen til enhver tid kan identificere sin tilsynspopulation. Med registreringen af alle forpligtede virksomheder og personer under Erhvervsstyrelsens tilsynspopulation får Erhvervsstyrelsen yderligere et til ethvert tid opdateret og retvisende billede af tilsynspopulationens sammensætning. Dette understøtter Erhvervsstyrelsens risikobaserede tilsyn og styrker datagrundlaget for tilsynets virksomhed. Yderligere bidrager registreringsordningen til administrationen af den klassificering af de omfattede virksomheder og personers risikoprofil, som Erhvervsstyrelsen skal foretage i medfør af 6. hvidvaskdirektivs artikel 40, stk. 1, litra c, og som indebærer, at de omfattede virksomheder og personer under Erhvervsstyrelsens tilsynspopulation bliver forpligtet til at indrapportere en række datapunkter til Erhvervsstyrelsen i henhold til den reguleringsmæssige tekniske standard, som AMLA udsteder efter 6. hvidvaskdirektivs artikel 40, stk. 2.</w:t>
      </w:r>
    </w:p>
    <w:p w14:paraId="04677F03" w14:textId="28BD24EB"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Registreringspligten vil omfatte de typer virksomheder og personer, der er underlagt Erhvervsstyrelsens tilsyn efter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Dette indebærer som foreslået i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_Ref232597665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xml:space="preserve"> de virksomheder og personer, der anses som forpligtede enheder efter hvidvaskforordningen som omfattet af hvidvaskforordningens artikel 3, nr. 3, litra a-f, i-j og m.</w:t>
      </w:r>
    </w:p>
    <w:p w14:paraId="1A207D05"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visse af de typer af virksomheder og personer, der indgår i Erhvervsstyrelsens tilsynspopulation, er underlagt et særskilt registrerings-krav hos Erhvervsstyrelsen efter anden selvstændig ordning. Dette omfatter udbydere af tjenester til truster og virksomheder, godkendte revisorer og revisionsvirksomheder og godkendte ejendomsmæglere. Af hensyn til ikke at underlægge disse virksomheder og personer et unødigt dobbeltkrav indebærer den foreslåede ordning, at registreringsordningen i medfør af stk. 2 ikke finder anvendelse på disse virksomheder og personer. </w:t>
      </w:r>
    </w:p>
    <w:p w14:paraId="44CF1A9E" w14:textId="19998C21"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Pligten for virksomheder og personer under Erhvervsstyrelsens tilsyn efter den foreslåede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_Ref232597665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rPr>
        <w:t>til at registrere sig hos Erhvervsstyrelsens vil således som udgangspunkt finde anvendelse på hele Erhvervsstyrelsens tilsynspopulation, dog med undtagelse af de i stk. 2 oplistede virksomheder og personer.</w:t>
      </w:r>
    </w:p>
    <w:p w14:paraId="583CF916"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indebærer, at registreringspligten efter den foreslåede ordning blandt andet vil gælde for eksterne regnskabskyndige, skatterådgivere, selvstændige retlige aktører, der hverken er notarer eller advokater, og forhandlere af henholdsvis ædelmetaller og ædelsten, højværdivarer eller kulturgoder. </w:t>
      </w:r>
    </w:p>
    <w:p w14:paraId="362CAB17" w14:textId="7CBCDD19"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Registreringspligten efter den foreslåede ordning vil ligeledes gælde for de ikkefinansielle holdingselskaber med blandet aktivitet, der falder under Erhvervsstyrelsens tilsyn i medfør af den foreslåede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_Ref232597665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xml:space="preserve">. Dette omfatter ethvert ikkefinansielt holdingselskab med blandet aktivitet som defineret i den foreslåede § 2, nr. 32, litra b, hvor mindst ét datterselskab er omfattet af hvidvaskforordningens artikel 3, nr. 3, litra a-f og i-j, og selvstændigt er underlagt Erhvervsstyrelsens tilsyn i medfør af den foreslåede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_Ref232597665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xml:space="preserve">. </w:t>
      </w:r>
    </w:p>
    <w:p w14:paraId="6AAC72FC" w14:textId="2E55D1B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Ikkefinansielle holdingselskaber med blandet aktivitet, der ikke har et datterselskab, som falder under Erhvervsstyrelsens tilsyn efter den foreslåede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_Ref232597665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er ikke omfattet af registreringspligten efter denne bestemmelse og skal derfor ikke registreres hos Erhvervsstyrelsens hvidvasktilsyn.</w:t>
      </w:r>
    </w:p>
    <w:p w14:paraId="74C42162" w14:textId="1BCA451F"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Erhvervsstyrelsens tilsynspopulation henvises til bemærkningerne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xml:space="preserve">. </w:t>
      </w:r>
    </w:p>
    <w:p w14:paraId="2341A5C3"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lang w:eastAsia="da-DK"/>
        </w:rPr>
        <w:t xml:space="preserve">Registreringskravet er ikke forbundet med nærmere betingelser eller begrænsninger i den pågældende virksomheds eller persons udøvelse af de </w:t>
      </w:r>
      <w:r w:rsidRPr="00796736">
        <w:rPr>
          <w:rFonts w:ascii="Times New Roman" w:hAnsi="Times New Roman" w:cs="Times New Roman"/>
          <w:sz w:val="24"/>
          <w:szCs w:val="24"/>
        </w:rPr>
        <w:t>omfattede aktiviteter, idet registreringen alene har til formål at understøtte Erhvervsstyrelsens identifikation af tilsynspopulationen.</w:t>
      </w:r>
    </w:p>
    <w:p w14:paraId="647EE5CE" w14:textId="29BF55DD"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Nærmere regler om anmeldelse og registrering hos Erhvervsstyrelsen, herunder nærmere krav til de oplysninger som virksomhederne og personerne skal angive i forbindelse med anmeldelse om optagelse i registret fastsættes ved bekendtgørelse. Bekendtgørelsen vil blive udstedt i medfør af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_Ref232609038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76D34EC3" w14:textId="3D28A4FE"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Overtrædelse af bestemmelsen foreslås strafbelagt, jf. </w:t>
      </w:r>
      <w:r w:rsidR="003D2A25">
        <w:rPr>
          <w:rFonts w:ascii="Times New Roman" w:hAnsi="Times New Roman" w:cs="Times New Roman"/>
          <w:sz w:val="24"/>
          <w:szCs w:val="24"/>
        </w:rPr>
        <w:fldChar w:fldCharType="begin"/>
      </w:r>
      <w:r w:rsidR="003D2A25">
        <w:rPr>
          <w:rFonts w:ascii="Times New Roman" w:hAnsi="Times New Roman" w:cs="Times New Roman"/>
          <w:sz w:val="24"/>
          <w:szCs w:val="24"/>
        </w:rPr>
        <w:instrText xml:space="preserve"> REF _Ref242963797 \r \h </w:instrText>
      </w:r>
      <w:r w:rsidR="00CB248D">
        <w:rPr>
          <w:rFonts w:ascii="Times New Roman" w:hAnsi="Times New Roman" w:cs="Times New Roman"/>
          <w:sz w:val="24"/>
          <w:szCs w:val="24"/>
        </w:rPr>
        <w:instrText xml:space="preserve"> \* MERGEFORMAT </w:instrText>
      </w:r>
      <w:r w:rsidR="003D2A25">
        <w:rPr>
          <w:rFonts w:ascii="Times New Roman" w:hAnsi="Times New Roman" w:cs="Times New Roman"/>
          <w:sz w:val="24"/>
          <w:szCs w:val="24"/>
        </w:rPr>
      </w:r>
      <w:r w:rsidR="003D2A25">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3D2A25">
        <w:rPr>
          <w:rFonts w:ascii="Times New Roman" w:hAnsi="Times New Roman" w:cs="Times New Roman"/>
          <w:sz w:val="24"/>
          <w:szCs w:val="24"/>
        </w:rPr>
        <w:fldChar w:fldCharType="end"/>
      </w:r>
      <w:r w:rsidR="003D2A25">
        <w:rPr>
          <w:rFonts w:ascii="Times New Roman" w:hAnsi="Times New Roman" w:cs="Times New Roman"/>
          <w:sz w:val="24"/>
          <w:szCs w:val="24"/>
        </w:rPr>
        <w:t>, stk. 1, nr. 5.</w:t>
      </w:r>
      <w:r w:rsidRPr="00796736">
        <w:rPr>
          <w:rFonts w:ascii="Times New Roman" w:hAnsi="Times New Roman" w:cs="Times New Roman"/>
          <w:sz w:val="24"/>
          <w:szCs w:val="24"/>
        </w:rPr>
        <w:t xml:space="preserve"> Ansvarssubjekterne for overtrædelse er virksomheder og personer, der er underlagt Erhvervsstyrelsens tilsyn og omfattet af registreringspligten efter den foreslåede stk. 1, og den strafbare handling består i at udøve den pågældende type virksomhed og erhvervsaktivitet uden at være registreret hos Erhvervsstyrelsen.</w:t>
      </w:r>
    </w:p>
    <w:p w14:paraId="02F5E382" w14:textId="640B0461"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registreringspligten efter stk. 1 ikke finder anvendelse for følgende forpligtede enheder, der er underlagt registreringspligt hos Erhvervsstyrelsen efter anden ordning: 1) Virksomheder og personer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10, der er registreret i Erhvervsstyrelsen register over udbydere af tjenester til truster og virksomheder efter denne lovs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2) Virksomheder og personer, der er registreret i det offentlige register over godkendte revisorer og revisionsvirksomheder efter lov om godkendte revisorer og revisionsvirksomheder. 3) Personer, der er registreret i det offentlige register over godkendte ejendomsmæglere mv. efter lov om formidling af fast ejendom. Hvor en godkendt ejendomsmægler indgår i en ejendomsmæglervirksomhed, vil virksomheden skulle registreres i Erhvervsstyrelsens hvidvaskregister i henhold til stk. 1.</w:t>
      </w:r>
    </w:p>
    <w:p w14:paraId="3A768078"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de oplistede virksomheder og personer ikke vil være omfattet af registreringskravet efter den foreslåede stk. 1, idet de pågældende forpligtede enheder og personer vil være registreret hos Erhvervsstyrelsen efter anden ordning. Den foreslåede bestemmelse udgør en undtagelse til den foreslåede stk. 1, hvorefter virksomheder og personer, der er underlagt Erhvervsstyrelsens tilsyn vil skulle registreres hos Erhvervsstyrelsen. </w:t>
      </w:r>
    </w:p>
    <w:p w14:paraId="6F2B5DBF"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implementerer 6. hvidvaskdirektivs artikel 4, stk. 3, 2. afsnit, hvorefter det følger, at registreringspligten efter bestemmelsens første afsnit ikke finder anvendelse, hvis de pågældende enheder er omfattet af godkendelses- eller registreringskrav i henhold til andre EU-retsakter eller nationale regler, der regulerer adgangen til hvervet eller underlægger det godkendelses- eller registreringskrav, der gør det muligt for tilsynsorganerne at identificere dem.</w:t>
      </w:r>
    </w:p>
    <w:p w14:paraId="6DB866A3"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undtagelsen til registreringsordningen efter stk. 1, er at undgå, at virksomheder og personer, der allerede registreres hos Erhvervsstyrelsen i særskilte registre efter andre ordninger, bliver pålagt et unødvendigt krav om dobbeltregistrering hos Erhvervsstyrelsen. Registrering af de nævnte typer af virksomheder og personer efter den generelle registreringsordning i henhold til stk. 1 er ikke nødvendig, idet Erhvervsstyrelsen har mulighed for at identificere de pågældende forpligtede enheder gennem de særskilte registre hos Erhvervsstyrelsen.</w:t>
      </w:r>
    </w:p>
    <w:p w14:paraId="010412F7" w14:textId="737C164E"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1,</w:t>
      </w:r>
      <w:r w:rsidRPr="00796736">
        <w:rPr>
          <w:rFonts w:ascii="Times New Roman" w:hAnsi="Times New Roman" w:cs="Times New Roman"/>
          <w:sz w:val="24"/>
          <w:szCs w:val="24"/>
        </w:rPr>
        <w:t xml:space="preserve"> at virksomheder og personer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10, der er registreret i Erhvervsstyrelsen register over udbydere af tjenester til truster og virksomheder efter denne lovs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ikke skal registreres hos Erhvervsstyrelsens generelle registreringsordning efter stk. 1.</w:t>
      </w:r>
    </w:p>
    <w:p w14:paraId="512154B5" w14:textId="3BC91321"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xml:space="preserve"> er udbydere af tjenester til truster og virksomheder, som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10, underlagt et selvstændigt krav om registrering hos Erhvervsstyrelsen. Registreringen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xml:space="preserve"> er en forudsætning for, at den pågældende virksomhed eller person kan udbyde de omfattede ydelser. </w:t>
      </w:r>
    </w:p>
    <w:p w14:paraId="4659BC7B"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Ved udbydere af tjenester til truster eller virksomheder forstås i overensstemmelse med lovforslagets § 2, nr. 29, enheder omfattet af hvidvaskfor-ordningens artikel 3, nr. 3, litra c og som nærmere defineret i hvidvaskforordningens artikel 2, stk. 1, nr. 11.</w:t>
      </w:r>
    </w:p>
    <w:p w14:paraId="31934D7A"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Hvidvaskforordningens artikel 2, stk. 1, nr. 11, definerer en udbyder af tjenester til truster eller virksomheder som en fysisk eller juridisk person, der som led i sit erhverv leverer en af følgende tjenester til tredjemand:</w:t>
      </w:r>
    </w:p>
    <w:p w14:paraId="7B1008E0" w14:textId="77777777" w:rsidR="00911473" w:rsidRPr="00796736" w:rsidRDefault="00911473">
      <w:pPr>
        <w:pStyle w:val="Listeafsnit"/>
        <w:numPr>
          <w:ilvl w:val="0"/>
          <w:numId w:val="4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danner virksomheder eller andre juridiske personer</w:t>
      </w:r>
    </w:p>
    <w:p w14:paraId="31316520" w14:textId="77777777" w:rsidR="00911473" w:rsidRPr="00796736" w:rsidRDefault="00911473">
      <w:pPr>
        <w:pStyle w:val="Listeafsnit"/>
        <w:numPr>
          <w:ilvl w:val="0"/>
          <w:numId w:val="4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fungerer som eller sørger for, at en anden person fungerer som medlem af ledelsen i et selskab, deltager i et interessentskab eller beklæder en tilsvarende post i andre juridiske personer</w:t>
      </w:r>
    </w:p>
    <w:p w14:paraId="4F0137E5" w14:textId="77777777" w:rsidR="00911473" w:rsidRPr="00796736" w:rsidRDefault="00911473">
      <w:pPr>
        <w:pStyle w:val="Listeafsnit"/>
        <w:numPr>
          <w:ilvl w:val="0"/>
          <w:numId w:val="4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sørger for et vedtægtsmæssigt hjemsted, en forretnings-, post- eller forvaltningsadresse såvel som andre dertil knyttede tjenester til et selskab, et interessentskab eller enhver anden juridisk person eller ethvert andet juridisk arrangement</w:t>
      </w:r>
    </w:p>
    <w:p w14:paraId="7CCA19AA" w14:textId="77777777" w:rsidR="00911473" w:rsidRPr="00796736" w:rsidRDefault="00911473">
      <w:pPr>
        <w:pStyle w:val="Listeafsnit"/>
        <w:numPr>
          <w:ilvl w:val="0"/>
          <w:numId w:val="4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fungerer som eller sørger for, at en anden person fungerer som forvalter af en viljesbestemt trust eller varetager en tilsvarende funktion for et tilsvarende juridiske arrangement</w:t>
      </w:r>
    </w:p>
    <w:p w14:paraId="704787EA" w14:textId="77777777" w:rsidR="00911473" w:rsidRPr="00796736" w:rsidRDefault="00911473">
      <w:pPr>
        <w:pStyle w:val="Listeafsnit"/>
        <w:numPr>
          <w:ilvl w:val="0"/>
          <w:numId w:val="48"/>
        </w:num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fungerer som eller sørger for, at en anden person fungerer som nominee-kapitalejer eller tilsvarende for en anden person.</w:t>
      </w:r>
    </w:p>
    <w:p w14:paraId="03361146"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Idet registreringsordningen for tjenesteudbydere efter den foreslåede § 85 indebærer en selvstændig identifikation af de omfattede forpligtede enheder, foreslås de pågældende virksomheder og personer undtaget de fra den generelle registreringsordning efter stk. 1.</w:t>
      </w:r>
    </w:p>
    <w:p w14:paraId="4C41683F" w14:textId="264499D6"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Såfremt en tjenesteudbyder, der er registreret hos Erhvervsstyrelsen efter den foreslåede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ejes af et ikkefinansielt holdingselskab, vil moderselskabet selvstændigt skulle registreres hos Erhvervsstyrelsen under den generelle registreringsordning efter stk. 1.</w:t>
      </w:r>
    </w:p>
    <w:p w14:paraId="393E345A"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2,</w:t>
      </w:r>
      <w:r w:rsidRPr="00796736">
        <w:rPr>
          <w:rFonts w:ascii="Times New Roman" w:hAnsi="Times New Roman" w:cs="Times New Roman"/>
          <w:sz w:val="24"/>
          <w:szCs w:val="24"/>
        </w:rPr>
        <w:t xml:space="preserve"> virksomheder og personer, der er registreret i det offentlige register over godkendte revisorer og revisionsvirksomheder efter lov om godkendte revisorer og revisionsvirksomheder, ikke skal registreres hos Erhvervsstyrelsens generelle registreringsordning efter stk. 1.</w:t>
      </w:r>
    </w:p>
    <w:p w14:paraId="0188BBF3" w14:textId="33F7F2CF"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revisorlovens § 2, stk. 1, er godkendte revisorer og revisionsvirksomheder underlagt et selvstændigt krav om registrering hos Erhvervsstyrelsen i Erhvervsstyrelsens offentlige register over godkendte revisorer og revisions-virksomheder.</w:t>
      </w:r>
    </w:p>
    <w:p w14:paraId="759F0568"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registeret over godkendte revisorer og revisionsvirksomheder optages både personer og virksomheder. Registreringen omfatter blandt andet personer, der er godkendt som statsautoriseret revisor eller registreret revisor efter revisorlovens § 3, og virksomheder, der er godkendt som revisionsvirksomhed efter revisorlovens § 13.</w:t>
      </w:r>
    </w:p>
    <w:p w14:paraId="709F6675" w14:textId="7919F47C"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Revisorer er omfattet af hvidvaskforordningen efter artikel 3, nr. 3, litra a, og er i medfør af den foreslåede </w:t>
      </w:r>
      <w:r w:rsidR="004A72D6" w:rsidRPr="00796736">
        <w:rPr>
          <w:rFonts w:ascii="Times New Roman" w:hAnsi="Times New Roman" w:cs="Times New Roman"/>
          <w:sz w:val="24"/>
          <w:szCs w:val="24"/>
          <w:lang w:eastAsia="da-DK"/>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4A72D6" w:rsidRPr="00796736">
        <w:rPr>
          <w:rFonts w:ascii="Times New Roman" w:hAnsi="Times New Roman" w:cs="Times New Roman"/>
          <w:sz w:val="24"/>
          <w:szCs w:val="24"/>
          <w:lang w:eastAsia="da-DK"/>
        </w:rPr>
      </w:r>
      <w:r w:rsidR="004A72D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rPr>
        <w:t>§ 79</w:t>
      </w:r>
      <w:r w:rsidR="004A72D6"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rPr>
        <w:t xml:space="preserve">underlagt Erhvervsstyrelsens tilsyn. Dette omfatter som nærmere defineret i den foreslåede § 2, nr. 20 revisorer og revisionsvirksomheder, der er godkendt i henhold til revisorloven. </w:t>
      </w:r>
    </w:p>
    <w:p w14:paraId="25875CB5"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Som følge af at revisorer og revisionsvirksomheder, der er godkendt i henhold til revisorloven, skal registres i Erhvervsstyrelsens register over godkendte revisorer og revisionsvirksomheder i henhold til revisorloven, foreligger der allerede en selvstændig registrering af disse forpligtede enheder hos Erhvervsstyrelsen. Registeret over godkendte revisorer og revisionsvirksomheder kan således lægges til grund for identifikationen af de pågældende forpligtede enheder i Erhvervsstyrelsens tilsynspopulation, hvorfor det foreslås, at de pågældende revisionsvirksomheder og enkeltpersoner undtages fra den generelle registreringsordning efter stk. 1.</w:t>
      </w:r>
    </w:p>
    <w:p w14:paraId="31D63BA9" w14:textId="045AC5A9"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3,</w:t>
      </w:r>
      <w:r w:rsidRPr="00796736">
        <w:rPr>
          <w:rFonts w:ascii="Times New Roman" w:hAnsi="Times New Roman" w:cs="Times New Roman"/>
          <w:sz w:val="24"/>
          <w:szCs w:val="24"/>
        </w:rPr>
        <w:t xml:space="preserve"> at</w:t>
      </w:r>
      <w:r w:rsidR="004A72D6" w:rsidRPr="00796736">
        <w:rPr>
          <w:rFonts w:ascii="Times New Roman" w:hAnsi="Times New Roman" w:cs="Times New Roman"/>
          <w:sz w:val="24"/>
          <w:szCs w:val="24"/>
        </w:rPr>
        <w:t xml:space="preserve"> </w:t>
      </w:r>
      <w:r w:rsidRPr="00796736">
        <w:rPr>
          <w:rFonts w:ascii="Times New Roman" w:hAnsi="Times New Roman" w:cs="Times New Roman"/>
          <w:sz w:val="24"/>
          <w:szCs w:val="24"/>
        </w:rPr>
        <w:t>personer, der er registreret i det offentlige register over godkendte ejendomsmæglere m.v. efter lov om formidling af fast ejendom m.v., ikke skal registreres hos Erhvervsstyrelsens generelle registreringsordning efter stk. 1. Hvor en godkendt ejendomsmægler indgår i en ejendomsmæglervirksomhed, vil selve virksomheden skulle registreres i Erhvervsstyrelsens hvidvaskregister i henhold til stk. 1.</w:t>
      </w:r>
    </w:p>
    <w:p w14:paraId="02BB8024"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 5 i lov om formidling af fast ejendom mv. er godkendte ejendomsmæglere underlagt selvstændigt krav om registrering hos Erhvervsstyrelsen i Erhvervsstyrelsens offentlige register over godkendte ejendomsmæglere m.v. </w:t>
      </w:r>
    </w:p>
    <w:p w14:paraId="31137990"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I registeret over godkendte ejendomsmæglere m.v. optages alene personer. Registeret omfatter hovedsageligt fysiske personer, der er godkendt som ejendomsmæglere efter lovens § 6. Registreringen gælder dog også advokater, som foretager tilsvarende opgaver efter loven, samt personer, der er etableret som ejendomsmægler i et andet EU eller EØS land eller Schweiz og som midlertidigt og lejlighedsvist leverer ejendomsmæglerydelser her i landet.</w:t>
      </w:r>
    </w:p>
    <w:p w14:paraId="311966FD" w14:textId="6EDC0D4F"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Ejendomsmæglere og andre professionelle i forbindelse med fast ejendom er omfattet af hvidvaskforordningen efter artikel 3, nr. 3, litra d, og er i medfør af den foreslåede </w:t>
      </w:r>
      <w:r w:rsidR="004A72D6" w:rsidRPr="00796736">
        <w:rPr>
          <w:rFonts w:ascii="Times New Roman" w:hAnsi="Times New Roman" w:cs="Times New Roman"/>
          <w:sz w:val="24"/>
          <w:szCs w:val="24"/>
          <w:lang w:eastAsia="da-DK"/>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4A72D6" w:rsidRPr="00796736">
        <w:rPr>
          <w:rFonts w:ascii="Times New Roman" w:hAnsi="Times New Roman" w:cs="Times New Roman"/>
          <w:sz w:val="24"/>
          <w:szCs w:val="24"/>
          <w:lang w:eastAsia="da-DK"/>
        </w:rPr>
      </w:r>
      <w:r w:rsidR="004A72D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rPr>
        <w:t>§ 79</w:t>
      </w:r>
      <w:r w:rsidR="004A72D6"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rPr>
        <w:t xml:space="preserve">underlagt Erhvervsstyrelsens tilsyn. Dette omfatter blandt andet personer, der er godkendt som ejendomsmæglere </w:t>
      </w:r>
    </w:p>
    <w:p w14:paraId="3690C3D0"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Som følge af at personer, der er godkendt som ejendomsmæglere i henhold til lov om formidling af fast ejendom m.v. skal registreres i Erhvervsstyrelsens register over godkendte ejendomsmæglere m.v., foreligger der allerede en selvstændig registrering af disse personer hos Erhvervsstyrelsen. </w:t>
      </w:r>
    </w:p>
    <w:p w14:paraId="2130BBDF" w14:textId="550AF1AA"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Da registreringen efter lov om formidling af fast ejendom m.v. er begrænset til de fysiske personer, som er godkendt som ejendomsmæglere, og relevante advokater og udenlandske ejendomsmæglere, omfatter registreringen alene en andel af den samlede type af forpligtede enheder, der er omfattet af hvidvaskforordningens artikel 3, nr. 3, litra d, og underlagt Erhvervsstyrelsens tilsyn i medfør af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377B0CF6"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artikel 3, nr. 3, litra d i hvidvaskforordningen, at ejendomsmæglere og andre professionelle i forbindelse med fastejendom, for så vidt de optræder som formidlere ved transaktioner vedrørende fast ejendom, herunder i forbindelse med udlejning af fast ejendom i relation til transaktioner, for hvilke den månedlige leje beløber sig til mindst 10.000 EUR eller et tilsvarende beløb i national valuta, uanset betalingsmiddel, anses som forpligtede enheder efter hvidvaskforordningen.</w:t>
      </w:r>
    </w:p>
    <w:p w14:paraId="06AD0EA4" w14:textId="0541FE48"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w:t>
      </w:r>
      <w:r w:rsidR="004A72D6" w:rsidRPr="00796736">
        <w:rPr>
          <w:rFonts w:ascii="Times New Roman" w:hAnsi="Times New Roman" w:cs="Times New Roman"/>
          <w:sz w:val="24"/>
          <w:szCs w:val="24"/>
        </w:rPr>
        <w:t xml:space="preserve">kan </w:t>
      </w:r>
      <w:r w:rsidRPr="00796736">
        <w:rPr>
          <w:rFonts w:ascii="Times New Roman" w:hAnsi="Times New Roman" w:cs="Times New Roman"/>
          <w:sz w:val="24"/>
          <w:szCs w:val="24"/>
        </w:rPr>
        <w:t>anvende registeret over godkendte ejendomsmæglere m.v. til identifikation af de godkendte ejendomsmæglere, som driver sin virksomhed som enkeltmandsvirksomhed eller anden ordning med personlig hæftelse. På denne baggrund foreslås det, at for det tilfælde at en ejendomsmæglervirksomhed drives som enkeltmandsvirksomhed af en person, der er optaget i registeret over godkendte ejendomsmæglere m.v., skal selve enkeltmandsvirksomheden undtages fra den generelle registrerings-ordning efter stk. 1.</w:t>
      </w:r>
    </w:p>
    <w:p w14:paraId="381751D1" w14:textId="5486957B"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Da det offentlige register over godkendte ejendomsmæglere m.v. efter lov om formidling af fast ejendom m.v. ikke kan bidrage til identifikation af den samlede kreds af ejendomsmæglere og andre formidlere af fast ejendom som omfattet af hvidvaskforordningens artikel 3, nr. 3, litra d, og underlagt og underlagt Erhvervsstyrelsens tilsyn i medfør af den foreslåede </w:t>
      </w:r>
      <w:r w:rsidR="004A72D6" w:rsidRPr="00796736">
        <w:rPr>
          <w:rFonts w:ascii="Times New Roman" w:hAnsi="Times New Roman" w:cs="Times New Roman"/>
          <w:sz w:val="24"/>
          <w:szCs w:val="24"/>
          <w:lang w:eastAsia="da-DK"/>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4A72D6" w:rsidRPr="00796736">
        <w:rPr>
          <w:rFonts w:ascii="Times New Roman" w:hAnsi="Times New Roman" w:cs="Times New Roman"/>
          <w:sz w:val="24"/>
          <w:szCs w:val="24"/>
          <w:lang w:eastAsia="da-DK"/>
        </w:rPr>
      </w:r>
      <w:r w:rsidR="004A72D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rPr>
        <w:t>§ 79</w:t>
      </w:r>
      <w:r w:rsidR="004A72D6"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rPr>
        <w:t xml:space="preserve">, vil øvrige virksomheder og personer omfattet heraf skulle registreres efter den generelle registreringsordning i stk. 1. </w:t>
      </w:r>
    </w:p>
    <w:p w14:paraId="71AA8727"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medfører blandt andet, at en ejendomsmæglervirksomhed, der drives på anden vis end en enkeltmandsvirksomhed, vil skulle registreres efter stk. 1. Dette gælder også, selvom den pågældende virksomhed har en medarbejder, reel ejer eller ledelsesmedlem, som er godkendt som ejendomsmægler efter lov om formidling af fast ejendom m.v. og optaget i registeret herfor. </w:t>
      </w:r>
    </w:p>
    <w:p w14:paraId="360FE744"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Tilsvarende vil enhver anden type af virksomhed eller person, der er omfattet af hvidvaskforordningens artikel 3, nr. 3, litra d, skulle registreres efter den generelle registreringsordning efter stk. 1. </w:t>
      </w:r>
    </w:p>
    <w:p w14:paraId="1B27FE89"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gælder i overensstemmelse med hvidvaskforordningens præambelbetragtning nr. 57 enhver anden aktør i forbindelse med fast ejendom, der formidler køb, salg og udlejning af fast ejendom, uanset deres betegnelse eller hovedvirksomhed eller erhverv. </w:t>
      </w:r>
    </w:p>
    <w:p w14:paraId="685C97A6"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Dette omfatter blandt andet erhvervsmæglere, der ikke er underlagt krav om godkendelse og registrering efter lov om formidling af fast ejendom m.v. og ejendomsudviklere, når og i det omfang de formidler køb, salg og udlejning af fast ejendom. Disse virksomheder og personer vil skulle registreres efter den generelle registreringsordning efter stk. 1.</w:t>
      </w:r>
    </w:p>
    <w:p w14:paraId="76A77B8A" w14:textId="00865816"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Erhvervsstyrelsen kan inddrage registrering af en virksomhed eller person, der er registreret hos Erhvervsstyrelsen efter stk. 1, hvis virksomheden eller personen vurderes ikke at falde under Erhvervsstyrelsens tilsyn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sz w:val="24"/>
          <w:szCs w:val="24"/>
          <w:lang w:eastAsia="da-DK"/>
        </w:rPr>
        <w:t>Registreringen efter stk. 1 bortfalder, hvis enheden registreres som ophørt i Det Centrale Virksomhedsregister</w:t>
      </w:r>
      <w:r w:rsidRPr="00796736">
        <w:rPr>
          <w:rFonts w:ascii="Times New Roman" w:hAnsi="Times New Roman" w:cs="Times New Roman"/>
          <w:sz w:val="24"/>
          <w:szCs w:val="24"/>
        </w:rPr>
        <w:t>.</w:t>
      </w:r>
    </w:p>
    <w:p w14:paraId="072037A7"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Erhvervsstyrelsen får mulighed for at inddrage en registrering, hvor virksomheden ikke vurderes at være omfattet af registreringspligten eller virksomheden ikke længere er aktiv. </w:t>
      </w:r>
    </w:p>
    <w:p w14:paraId="7A03A674" w14:textId="77777777"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adgangen for Erhvervsstyrelsen til at inddrage registreringen i de nævnte tilfælde er at opretholde et retvisende og anvendeligt register, hvor alene virksomheder og personer, der falder under Erhvervsstyrelsens tilsyn, indgår. Dette understøttes tilsvarende af Erhvervsstyrelsens adgang til at afregistrere virksomheder, der er registreret som ophørt i Det Centrale Virksomhedsregister.</w:t>
      </w:r>
    </w:p>
    <w:p w14:paraId="001E7E81" w14:textId="1021A96F"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w:t>
      </w:r>
      <w:r w:rsidRPr="00796736">
        <w:rPr>
          <w:rFonts w:ascii="Times New Roman" w:hAnsi="Times New Roman" w:cs="Times New Roman"/>
          <w:i/>
          <w:iCs/>
          <w:sz w:val="24"/>
          <w:szCs w:val="24"/>
        </w:rPr>
        <w:t>stk. 3, 1. pkt</w:t>
      </w:r>
      <w:r w:rsidRPr="00796736">
        <w:rPr>
          <w:rFonts w:ascii="Times New Roman" w:hAnsi="Times New Roman" w:cs="Times New Roman"/>
          <w:sz w:val="24"/>
          <w:szCs w:val="24"/>
        </w:rPr>
        <w:t xml:space="preserve">., vil Erhvervsstyrelsen kunne inddrage registreringen efter stk. 1, hvis virksomheden eller personen vurderes ikke at falde under Erhvervsstyrelsens tilsyn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7915B775" w14:textId="6C19CB54"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virksomhed eller person vurderes ikke at være omfattet af Erhvervsstyrelsens tilsyn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såfremt den pågældende virksomhed eller person ikke udgør en af de typer af forpligtede enheder, der indgår i Erhvervsstyrelsens tilsynspopulation. Dette vil være tilfældet, hvor den pågældende virksomhed eller person ikke udøver en af de pågældende typer af virksomhed eller udbyder en af de pågældende ydelser, der medfører, at virksomheden eller personen anses som forpligtet enhed i medfør af hvidvaskforordningens artikel 3, nr. 3, litra a-f, i-j og m. </w:t>
      </w:r>
    </w:p>
    <w:p w14:paraId="12EC2FF0" w14:textId="78565068"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Adgangen til at </w:t>
      </w:r>
      <w:r w:rsidR="003D2A25">
        <w:rPr>
          <w:rFonts w:ascii="Times New Roman" w:hAnsi="Times New Roman" w:cs="Times New Roman"/>
          <w:sz w:val="24"/>
          <w:szCs w:val="24"/>
        </w:rPr>
        <w:t>inddrage en registrering</w:t>
      </w:r>
      <w:r w:rsidRPr="00796736">
        <w:rPr>
          <w:rFonts w:ascii="Times New Roman" w:hAnsi="Times New Roman" w:cs="Times New Roman"/>
          <w:sz w:val="24"/>
          <w:szCs w:val="24"/>
        </w:rPr>
        <w:t xml:space="preserve"> vil være relevant hvor en virksomhed eller person aldrig har været omfattet af Erhvervsstyrelsens tilsyn, eller hvor en virksomhed eller person ophører med at være omfattet af Erhvervsstyrelsens tilsyn. </w:t>
      </w:r>
    </w:p>
    <w:p w14:paraId="1F1C70C1" w14:textId="1FF9C40A" w:rsidR="004A72D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der ved </w:t>
      </w:r>
      <w:r w:rsidR="003D2A25">
        <w:rPr>
          <w:rFonts w:ascii="Times New Roman" w:hAnsi="Times New Roman" w:cs="Times New Roman"/>
          <w:sz w:val="24"/>
          <w:szCs w:val="24"/>
        </w:rPr>
        <w:t>inddragelse af registrering</w:t>
      </w:r>
      <w:r w:rsidRPr="00796736">
        <w:rPr>
          <w:rFonts w:ascii="Times New Roman" w:hAnsi="Times New Roman" w:cs="Times New Roman"/>
          <w:sz w:val="24"/>
          <w:szCs w:val="24"/>
        </w:rPr>
        <w:t xml:space="preserve"> i tilfælde, hvor en virksomhed eller person tidligere har været en forpligtet enhed og været underlagt Erhvervsstyrelsens tilsyn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men ikke længere udøver den pågældende aktivitet eller ydelser, skal være en bestyrket sikkerhed for, at virksomheden eller personen ikke fortsat er underlagt Erhvervsstyrelsens tilsyn. Dette kan blandt andet søges belyst ved at Erhvervsstyrelsen indhenter en erhvervsmæssig redegørelse eller indgår en dialog med virksomheden om eventuelle planer om genoptagelse af driften eller ændring af erhvervsaktivitet, der medfører at virksomheden eller personen omfattes af Erhvervsstyrelsens tilsyn som en anden type forpligtet enhed.</w:t>
      </w:r>
    </w:p>
    <w:p w14:paraId="2DCE9775" w14:textId="4CB9EAF1" w:rsidR="003D2A25" w:rsidRPr="00796736" w:rsidRDefault="003D2A25" w:rsidP="00A802A5">
      <w:pPr>
        <w:spacing w:after="240" w:line="360" w:lineRule="auto"/>
        <w:rPr>
          <w:rFonts w:ascii="Times New Roman" w:hAnsi="Times New Roman" w:cs="Times New Roman"/>
          <w:sz w:val="24"/>
          <w:szCs w:val="24"/>
        </w:rPr>
      </w:pPr>
      <w:r w:rsidRPr="00361370">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211E56DC"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w:t>
      </w:r>
      <w:r w:rsidRPr="00796736">
        <w:rPr>
          <w:rFonts w:ascii="Times New Roman" w:hAnsi="Times New Roman" w:cs="Times New Roman"/>
          <w:i/>
          <w:iCs/>
          <w:sz w:val="24"/>
          <w:szCs w:val="24"/>
        </w:rPr>
        <w:t>stk. 3, 2. pkt</w:t>
      </w:r>
      <w:r w:rsidRPr="00796736">
        <w:rPr>
          <w:rFonts w:ascii="Times New Roman" w:hAnsi="Times New Roman" w:cs="Times New Roman"/>
          <w:sz w:val="24"/>
          <w:szCs w:val="24"/>
        </w:rPr>
        <w:t xml:space="preserve">., vil registreringen efter stk. 1 bortfalde, hvis </w:t>
      </w:r>
      <w:r w:rsidRPr="00796736">
        <w:rPr>
          <w:rFonts w:ascii="Times New Roman" w:hAnsi="Times New Roman" w:cs="Times New Roman"/>
          <w:sz w:val="24"/>
          <w:szCs w:val="24"/>
          <w:lang w:eastAsia="da-DK"/>
        </w:rPr>
        <w:t>enheden registreres som ophørt i Det Centrale Virksomhedsregister</w:t>
      </w:r>
      <w:r w:rsidRPr="00796736">
        <w:rPr>
          <w:rFonts w:ascii="Times New Roman" w:hAnsi="Times New Roman" w:cs="Times New Roman"/>
          <w:sz w:val="24"/>
          <w:szCs w:val="24"/>
        </w:rPr>
        <w:t>.</w:t>
      </w:r>
    </w:p>
    <w:p w14:paraId="7E0AA82E" w14:textId="7F102DC0" w:rsidR="00911473" w:rsidRPr="00796736" w:rsidRDefault="009114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Når en virksomhed er registreret som ophørt i CVR, har den ikke længere ret til at udøve den relevante aktivitet. Der vil derfor ikke være grundlag for at opretholde registreringen hos Erhvervsstyrelsen.</w:t>
      </w:r>
    </w:p>
    <w:p w14:paraId="13458C22" w14:textId="77777777" w:rsidR="00911473" w:rsidRPr="00796736" w:rsidRDefault="00911473" w:rsidP="00A802A5">
      <w:pPr>
        <w:spacing w:line="360" w:lineRule="auto"/>
        <w:rPr>
          <w:rFonts w:ascii="Times New Roman" w:hAnsi="Times New Roman" w:cs="Times New Roman"/>
          <w:sz w:val="24"/>
          <w:szCs w:val="24"/>
          <w:lang w:eastAsia="da-DK"/>
        </w:rPr>
      </w:pPr>
    </w:p>
    <w:p w14:paraId="633894C9" w14:textId="4CAAD484" w:rsidR="00940B1D" w:rsidRPr="00796736" w:rsidRDefault="00940B1D" w:rsidP="00A802A5">
      <w:pPr>
        <w:pStyle w:val="Undertitel"/>
      </w:pPr>
      <w:bookmarkStart w:id="2108" w:name="_Toc232109418"/>
      <w:bookmarkStart w:id="2109" w:name="_Toc244879379"/>
      <w:bookmarkStart w:id="2110" w:name="_Toc244880904"/>
      <w:r w:rsidRPr="00796736">
        <w:t xml:space="preserve">Til </w:t>
      </w:r>
      <w:bookmarkEnd w:id="2108"/>
      <w:r w:rsidRPr="00796736">
        <w:fldChar w:fldCharType="begin"/>
      </w:r>
      <w:r w:rsidRPr="00796736">
        <w:instrText xml:space="preserve"> REF _Ref232609012 \r \h  \* MERGEFORMAT </w:instrText>
      </w:r>
      <w:r w:rsidRPr="00796736">
        <w:fldChar w:fldCharType="separate"/>
      </w:r>
      <w:r w:rsidR="008F29E5">
        <w:t>§ 83</w:t>
      </w:r>
      <w:bookmarkEnd w:id="2109"/>
      <w:bookmarkEnd w:id="2110"/>
      <w:r w:rsidRPr="00796736">
        <w:fldChar w:fldCharType="end"/>
      </w:r>
      <w:r w:rsidRPr="00796736">
        <w:t xml:space="preserve">  </w:t>
      </w:r>
    </w:p>
    <w:p w14:paraId="633D40F6"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 58 i den gældende hvidvasklov indeholder en registreringspligt hos Erhvervsstyrelsen for udbydere af tjenesteydelser til virksomheder omfattet af den gældende hvidvasklovs § 1, stk. 1, nr. 17. Bestemmelsen indeholder ligeledes en række krav til egnetheden og hæderligheden af virksomheden og dennes ledelsesmedlemmer og reelle ejere, ligesom bestemmelsen fastsætter nærmere betingelser for, hvornår Erhvervsstyrelsen skal undlade at foretage registreringen samt i hvilke tilfælde Erhvervsstyrelsen kan inddrage en allerede foretaget registrering. </w:t>
      </w:r>
    </w:p>
    <w:p w14:paraId="16B2C2DC" w14:textId="1EDDD8BC"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fastlægger en registreringspligt hos Erhvervsstyrelsen for virksomheder og personer, der er omfattet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10,</w:t>
      </w:r>
      <w:r w:rsidRPr="00796736">
        <w:rPr>
          <w:rFonts w:ascii="Times New Roman" w:eastAsia="Times New Roman" w:hAnsi="Times New Roman" w:cs="Times New Roman"/>
          <w:sz w:val="24"/>
          <w:szCs w:val="24"/>
          <w:lang w:eastAsia="da-DK"/>
        </w:rPr>
        <w:t xml:space="preserve"> </w:t>
      </w:r>
      <w:r w:rsidRPr="00796736">
        <w:rPr>
          <w:rFonts w:ascii="Times New Roman" w:hAnsi="Times New Roman" w:cs="Times New Roman"/>
          <w:sz w:val="24"/>
          <w:szCs w:val="24"/>
        </w:rPr>
        <w:t xml:space="preserve">samt fastsætter betingelser herfor. </w:t>
      </w:r>
    </w:p>
    <w:p w14:paraId="0CBA7257" w14:textId="77777777" w:rsidR="00940B1D" w:rsidRPr="00796736" w:rsidRDefault="00940B1D" w:rsidP="00A802A5">
      <w:pPr>
        <w:spacing w:line="360" w:lineRule="auto"/>
        <w:rPr>
          <w:rFonts w:ascii="Times New Roman" w:hAnsi="Times New Roman" w:cs="Times New Roman"/>
          <w:sz w:val="24"/>
          <w:szCs w:val="24"/>
        </w:rPr>
      </w:pPr>
    </w:p>
    <w:p w14:paraId="239AA636" w14:textId="6EC077A8"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viderefører § 58 i gældende hvidvasklov med indholdsmæssige ændringer, herunder udvides bestemmelsen ved, at der stilles nyt krav om, at den øverste og daglige ledelse skal besidde den viden og ekspertise, der er nødvendig for at udføre opgaverne</w:t>
      </w:r>
      <w:r w:rsidR="004A72D6" w:rsidRPr="00796736">
        <w:rPr>
          <w:rFonts w:ascii="Times New Roman" w:hAnsi="Times New Roman" w:cs="Times New Roman"/>
          <w:sz w:val="24"/>
          <w:szCs w:val="24"/>
        </w:rPr>
        <w:t>,</w:t>
      </w:r>
      <w:r w:rsidRPr="00796736">
        <w:rPr>
          <w:rFonts w:ascii="Times New Roman" w:hAnsi="Times New Roman" w:cs="Times New Roman"/>
          <w:sz w:val="24"/>
          <w:szCs w:val="24"/>
        </w:rPr>
        <w:t xml:space="preserve"> ligesom det som følge af direktivnær implementering indskrives, at ledelsesmedlemmer og reelle ejere skal have et godt omdømme i øvrigt. Ligeledes foretages en redaktionel omrokering af bestemmelsens indhold.</w:t>
      </w:r>
    </w:p>
    <w:p w14:paraId="7EE7363D" w14:textId="77777777" w:rsidR="00940B1D" w:rsidRPr="00796736" w:rsidRDefault="00940B1D" w:rsidP="00A802A5">
      <w:pPr>
        <w:spacing w:line="360" w:lineRule="auto"/>
        <w:rPr>
          <w:rFonts w:ascii="Times New Roman" w:hAnsi="Times New Roman" w:cs="Times New Roman"/>
          <w:sz w:val="24"/>
          <w:szCs w:val="24"/>
        </w:rPr>
      </w:pPr>
    </w:p>
    <w:p w14:paraId="0718AD16" w14:textId="77777777" w:rsidR="00940B1D" w:rsidRPr="00796736" w:rsidRDefault="00940B1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sikre, at der ikke udøves de omfattede ydelser uden registrering hos Erhvervsstyrelsen, og at kun virksomheder og personer, der opfylder de relevante krav, kan udøve den omfattede virksomhed i Danmark.</w:t>
      </w:r>
    </w:p>
    <w:p w14:paraId="32651C41" w14:textId="77777777" w:rsidR="00940B1D" w:rsidRPr="00796736" w:rsidRDefault="00940B1D" w:rsidP="00A802A5">
      <w:pPr>
        <w:spacing w:line="360" w:lineRule="auto"/>
        <w:rPr>
          <w:rFonts w:ascii="Times New Roman" w:hAnsi="Times New Roman" w:cs="Times New Roman"/>
          <w:sz w:val="24"/>
          <w:szCs w:val="24"/>
        </w:rPr>
      </w:pPr>
    </w:p>
    <w:p w14:paraId="6BF9AEEB"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præambelbetragtning nr. 9 i 6. hvidvaskdirektiv fremgår det blandt andet, at kriterierne for at afgøre om en person opfylder kravene om godt omdømme, hæderlighed, integritet, viden og ekspertise, skal afspejle behovet for at beskytte sådanne virksomheder mod at blive misbrugt af deres ledere eller reelle ejere med kriminelle formål.</w:t>
      </w:r>
    </w:p>
    <w:p w14:paraId="28E524D9" w14:textId="64A9FFD8"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hvidvaskdirektivets artikel 6, stk. 8, at AMLA</w:t>
      </w:r>
      <w:r w:rsidR="003D2A25">
        <w:rPr>
          <w:rFonts w:ascii="Times New Roman" w:hAnsi="Times New Roman" w:cs="Times New Roman"/>
          <w:sz w:val="24"/>
          <w:szCs w:val="24"/>
        </w:rPr>
        <w:t xml:space="preserve"> </w:t>
      </w:r>
      <w:r w:rsidRPr="00796736">
        <w:rPr>
          <w:rFonts w:ascii="Times New Roman" w:hAnsi="Times New Roman" w:cs="Times New Roman"/>
          <w:sz w:val="24"/>
          <w:szCs w:val="24"/>
        </w:rPr>
        <w:t xml:space="preserve">senest den 10. juli 2029 udsteder retningslinjer om bl.a. kriterierne til at vurdere godt omdømme, hæderlighed og integritet samt viden og ekspertise. </w:t>
      </w:r>
    </w:p>
    <w:p w14:paraId="126A50EA"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gennemfører artikel 4, stk. 1 og artikel 6, stk. 1 og 3 i 6. hvidvaskdirektiv.</w:t>
      </w:r>
    </w:p>
    <w:p w14:paraId="13AED550" w14:textId="37F1EB06"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sz w:val="24"/>
          <w:szCs w:val="24"/>
        </w:rPr>
        <w:t>stk. 1,</w:t>
      </w:r>
      <w:r w:rsidRPr="00796736">
        <w:rPr>
          <w:rFonts w:ascii="Times New Roman" w:hAnsi="Times New Roman" w:cs="Times New Roman"/>
          <w:sz w:val="24"/>
          <w:szCs w:val="24"/>
        </w:rPr>
        <w:t xml:space="preserve"> at virksomheder og personer omfattet af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004A72D6"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skal registreres hos Erhvervsstyrelsen for at kunne udøve denne virksomhed. </w:t>
      </w:r>
    </w:p>
    <w:p w14:paraId="353A094C" w14:textId="079CD943"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gennemfører artikel 4, stk. 1, i 6. hvidvaskdirektiv, hvorefter medlemsstaterne skal sikre, at udbydere af tjenester til truster eller virksomheder enten er meddelt godkendelse eller registreret.</w:t>
      </w:r>
    </w:p>
    <w:p w14:paraId="35A5B71E" w14:textId="545087C2"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Ved udbydere af tjenester til truster eller virksomheder forstås i overensstemmelse med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_Ref232592818 \r \h </w:instrText>
      </w:r>
      <w:r w:rsidR="003D2894"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29,</w:t>
      </w:r>
      <w:r w:rsidRPr="00796736">
        <w:rPr>
          <w:rFonts w:ascii="Times New Roman" w:eastAsia="Times New Roman" w:hAnsi="Times New Roman" w:cs="Times New Roman"/>
          <w:sz w:val="24"/>
          <w:szCs w:val="24"/>
          <w:lang w:eastAsia="da-DK"/>
        </w:rPr>
        <w:t xml:space="preserve"> enheder omfattet af hvidvaskforordningens artikel 3, nr. 3, litra c og som nærmere defineret i hvidvaskforordningens artikel 2, stk. 1, nr. 11.</w:t>
      </w:r>
    </w:p>
    <w:p w14:paraId="316EDB3B"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p>
    <w:p w14:paraId="04DD3E67" w14:textId="77777777" w:rsidR="00940B1D" w:rsidRPr="00796736" w:rsidRDefault="00940B1D"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Hvidvaskforordningens artikel 2, stk. 1, nr. 11, definerer en udbyder af tjenester til truster eller virksomheder som en fysisk eller juridisk person, der som led i sit erhverv leverer en af følgende tjenester til tredjemand:</w:t>
      </w:r>
    </w:p>
    <w:p w14:paraId="36AFB256" w14:textId="77777777" w:rsidR="00940B1D" w:rsidRPr="00796736" w:rsidRDefault="00940B1D">
      <w:pPr>
        <w:pStyle w:val="Listeafsnit"/>
        <w:numPr>
          <w:ilvl w:val="0"/>
          <w:numId w:val="47"/>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danner virksomheder eller andre juridiske personer</w:t>
      </w:r>
    </w:p>
    <w:p w14:paraId="0D595A92" w14:textId="77777777" w:rsidR="00940B1D" w:rsidRPr="00796736" w:rsidRDefault="00940B1D">
      <w:pPr>
        <w:pStyle w:val="Listeafsnit"/>
        <w:numPr>
          <w:ilvl w:val="0"/>
          <w:numId w:val="47"/>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fungerer som eller sørger for, at en anden person fungerer som medlem af ledelsen i et selskab, deltager i et interessentskab eller beklæder en tilsvarende post i andre juridiske personer</w:t>
      </w:r>
    </w:p>
    <w:p w14:paraId="37F457E6" w14:textId="77777777" w:rsidR="00940B1D" w:rsidRPr="00796736" w:rsidRDefault="00940B1D">
      <w:pPr>
        <w:pStyle w:val="Listeafsnit"/>
        <w:numPr>
          <w:ilvl w:val="0"/>
          <w:numId w:val="47"/>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sørger for et vedtægtsmæssigt hjemsted, en forretnings-, post- eller forvaltningsadresse såvel som andre dertil knyttede tjenester til et selskab, et interessentskab eller enhver anden juridisk person eller ethvert andet juridisk arrangement</w:t>
      </w:r>
    </w:p>
    <w:p w14:paraId="33DCE99F" w14:textId="77777777" w:rsidR="00940B1D" w:rsidRPr="00796736" w:rsidRDefault="00940B1D">
      <w:pPr>
        <w:pStyle w:val="Listeafsnit"/>
        <w:numPr>
          <w:ilvl w:val="0"/>
          <w:numId w:val="47"/>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fungerer som eller sørger for, at en anden person fungerer som forvalter af en viljesbestemt trust eller varetager en tilsvarende funktion for et tilsvarende juridiske arrangement</w:t>
      </w:r>
    </w:p>
    <w:p w14:paraId="3CFB5526" w14:textId="1079D124" w:rsidR="00940B1D" w:rsidRPr="00796736" w:rsidRDefault="00940B1D">
      <w:pPr>
        <w:pStyle w:val="Listeafsnit"/>
        <w:numPr>
          <w:ilvl w:val="0"/>
          <w:numId w:val="47"/>
        </w:num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fungerer som eller sørger for, at en anden person fungerer som nominee-kapitalejer eller tilsvarende for en anden person.</w:t>
      </w:r>
    </w:p>
    <w:p w14:paraId="6D0ED793" w14:textId="77777777" w:rsidR="00940B1D" w:rsidRPr="00796736" w:rsidRDefault="00940B1D" w:rsidP="00A802A5">
      <w:pPr>
        <w:pStyle w:val="Listeafsnit"/>
        <w:spacing w:line="360" w:lineRule="auto"/>
        <w:rPr>
          <w:rFonts w:ascii="Times New Roman" w:eastAsia="Times New Roman" w:hAnsi="Times New Roman" w:cs="Times New Roman"/>
          <w:sz w:val="24"/>
          <w:szCs w:val="24"/>
          <w:lang w:eastAsia="da-DK"/>
        </w:rPr>
      </w:pPr>
    </w:p>
    <w:p w14:paraId="10FE6B39" w14:textId="0B11C3B0"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Registreringen i henhold til stk. 1 foretages i Erhvervsstyrelsens hvidvaskregister for tjenesteudbydere. Udbydere af tjenesteydelser til virksomheder anses for at være særligt udsatte for risikoen for at blive misbrugt af sine kunder i forbindelse med hvidvask og terrorfinansiering. </w:t>
      </w:r>
    </w:p>
    <w:p w14:paraId="23498E53" w14:textId="1978DDB3"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har udstedt bekendtgørelse nr. 1288 af 15. november 2017 om anmeldelse og registrering af udbydere af tjenesteydelser til virksomheder i Erhvervsstyrelsens register til bekæmpelse af hvidvask som ændret ved bekendtgørelse nr. 989 af 30. juni 2025, hvori der er fastsat nærmere krav til de oplysninger, som de virksomheder, der er omfattet af registreringskravet, skal angive i forbindelse med anmeldelse om optagelse i registret. Bekendtgørelsen vil blive udstedt på ny, således at den tilpasses eventuelle ændringer i lovgivningen og de administrative procedurer. Dette skal sikre, at reglerne om anmeldelse og registrering fortsat er tidsvarene og understøtter effektiv administration af hvidvaskregisteret. </w:t>
      </w:r>
    </w:p>
    <w:p w14:paraId="3FF6ECFE" w14:textId="701F9E45" w:rsidR="00940B1D"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Overtrædelse af bestemmelsen er strafbelagt, jf.</w:t>
      </w:r>
      <w:r w:rsidR="003D2A25">
        <w:rPr>
          <w:rFonts w:ascii="Times New Roman" w:hAnsi="Times New Roman" w:cs="Times New Roman"/>
          <w:sz w:val="24"/>
          <w:szCs w:val="24"/>
        </w:rPr>
        <w:t xml:space="preserve"> </w:t>
      </w:r>
      <w:r w:rsidR="003D2A25">
        <w:rPr>
          <w:rFonts w:ascii="Times New Roman" w:hAnsi="Times New Roman" w:cs="Times New Roman"/>
          <w:sz w:val="24"/>
          <w:szCs w:val="24"/>
        </w:rPr>
        <w:fldChar w:fldCharType="begin"/>
      </w:r>
      <w:r w:rsidR="003D2A25">
        <w:rPr>
          <w:rFonts w:ascii="Times New Roman" w:hAnsi="Times New Roman" w:cs="Times New Roman"/>
          <w:sz w:val="24"/>
          <w:szCs w:val="24"/>
        </w:rPr>
        <w:instrText xml:space="preserve"> REF _Ref242963797 \r \h </w:instrText>
      </w:r>
      <w:r w:rsidR="00CB248D">
        <w:rPr>
          <w:rFonts w:ascii="Times New Roman" w:hAnsi="Times New Roman" w:cs="Times New Roman"/>
          <w:sz w:val="24"/>
          <w:szCs w:val="24"/>
        </w:rPr>
        <w:instrText xml:space="preserve"> \* MERGEFORMAT </w:instrText>
      </w:r>
      <w:r w:rsidR="003D2A25">
        <w:rPr>
          <w:rFonts w:ascii="Times New Roman" w:hAnsi="Times New Roman" w:cs="Times New Roman"/>
          <w:sz w:val="24"/>
          <w:szCs w:val="24"/>
        </w:rPr>
      </w:r>
      <w:r w:rsidR="003D2A25">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003D2A25">
        <w:rPr>
          <w:rFonts w:ascii="Times New Roman" w:hAnsi="Times New Roman" w:cs="Times New Roman"/>
          <w:sz w:val="24"/>
          <w:szCs w:val="24"/>
        </w:rPr>
        <w:fldChar w:fldCharType="end"/>
      </w:r>
      <w:r w:rsidR="003D2A25">
        <w:rPr>
          <w:rFonts w:ascii="Times New Roman" w:hAnsi="Times New Roman" w:cs="Times New Roman"/>
          <w:sz w:val="24"/>
          <w:szCs w:val="24"/>
        </w:rPr>
        <w:t>, stk. 1, nr. 5.</w:t>
      </w:r>
      <w:r w:rsidRPr="00796736">
        <w:rPr>
          <w:rFonts w:ascii="Times New Roman" w:hAnsi="Times New Roman" w:cs="Times New Roman"/>
          <w:sz w:val="24"/>
          <w:szCs w:val="24"/>
        </w:rPr>
        <w:t xml:space="preserve"> Ansvarssubjekterne for overtrædelse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er virksomheder og personer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10</w:t>
      </w:r>
      <w:r w:rsidRPr="00796736">
        <w:rPr>
          <w:rFonts w:ascii="Times New Roman" w:eastAsia="Times New Roman" w:hAnsi="Times New Roman" w:cs="Times New Roman"/>
          <w:sz w:val="24"/>
          <w:szCs w:val="24"/>
          <w:lang w:eastAsia="da-DK"/>
        </w:rPr>
        <w:t>,</w:t>
      </w:r>
      <w:r w:rsidRPr="00796736">
        <w:rPr>
          <w:rFonts w:ascii="Times New Roman" w:hAnsi="Times New Roman" w:cs="Times New Roman"/>
          <w:sz w:val="24"/>
          <w:szCs w:val="24"/>
        </w:rPr>
        <w:t xml:space="preserve"> og den strafbare handling består i ikke at foretage en registrering ved Erhvervsstyrelsen, inden aktiviteten udøves. Et eksempel på overtrædelse af bestemmelsen er en virksomhed, der foretager virksomhedsoprettelser, uden at være registreret hos Erhvervsstyrelsen.</w:t>
      </w:r>
    </w:p>
    <w:p w14:paraId="06A2C0DD"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Erhvervsstyrelsen skal undlade at foretage registrering efter stk. 1, hvis én af fire betingelser er opfyldt: 1) virksomheden, personen, et medlem af virksomhedens øverste ledelse eller en reel ejer er dømt for hvidvask, de underliggende overtrædelser eller terrorfinansiering, 2) virksomheden, personen, et medlem af virksomhedens øverste ledelse eller en reel ejer har indgivet begæring om rekonstruktionsbehandling, konkurs eller gældssanering eller er under rekonstruktionsbehandling, konkursbehandling eller gældssanering, 3) personen, et medlem af virksomhedens øverste ledelse eller en reel ejer ikke har et godt omdømme eller ikke anses for at handle med hæderlighed og integritet, eller 4) personen eller et medlem af virksomhedens øverste ledelse ikke har den viden og ekspertise, der er nødvendig for at udføre opgaverne.</w:t>
      </w:r>
    </w:p>
    <w:p w14:paraId="6697AF34" w14:textId="77777777" w:rsidR="006A19BB" w:rsidRDefault="006A19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stilles dermed krav om, at Erhvervsstyrelsen skal vurdere, om virksomheder og personer, der skal registreres ved Erhvervsstyrelsen, opfylder krav om egnethed og hæderlighed. Dette omfatter dels selve virksomheden eller personen, herunder indehaveren af en enkeltmandsvirksomhed eller anden ordning med personlig hæftelse, samt ledelsesmedlemmer og reelle ejere. </w:t>
      </w:r>
    </w:p>
    <w:p w14:paraId="2936CD3B" w14:textId="0AC0EE49" w:rsidR="003D2A25" w:rsidRPr="00796736" w:rsidRDefault="003D2A25" w:rsidP="00A802A5">
      <w:pPr>
        <w:spacing w:after="240" w:line="360" w:lineRule="auto"/>
        <w:rPr>
          <w:rFonts w:ascii="Times New Roman"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64295B52" w14:textId="77777777" w:rsidR="006A19BB" w:rsidRPr="00796736" w:rsidRDefault="006A19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bestemmelsen er at sikre, at kun virksomheder og personer med den fornødne egnethed og hæderlig kan drive virksomhed som udbyder af de omfattede tjenester til virksomheder og truster, herunder foretage virksomhedsoprettelser og drive virtuelt kontorhotel. </w:t>
      </w:r>
    </w:p>
    <w:p w14:paraId="330600EA" w14:textId="2C2B6F6F" w:rsidR="006A19BB" w:rsidRPr="00796736" w:rsidRDefault="006A19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virksomheder og personer, der er omfattet af bestemmelsen, skal i overensstemmelse med den foreslåede stk. 4 og stk. 8 samt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_Hlk215566342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give Erhvervsstyrelsen de oplysninger, der er nødvendige for, at Erhvervsstyrelsen kan vurdere, om kravene er opfyldt.</w:t>
      </w:r>
    </w:p>
    <w:p w14:paraId="14E73CE7" w14:textId="42758F44"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gennemfører artikel 6, stk. 1, i 6. hvidvaskdirektiv hvorefter tilsynsorganerne kontrollerer, at medlemmer af den øverste ledelse i de forpligtede enheder, der er omhandlet i artikel 4, stk. 1, herunder udbydere af tjenester til virksomheder og truster, og de reelle ejere af sådanne enheder har et godt omdømme og handler med hæderlighed og integritet. Den øverste ledelse i sådanne enheder skal også besidde den viden og ekspertise, der er nødvendig for at, at de kan udføre deres opgaver. </w:t>
      </w:r>
    </w:p>
    <w:p w14:paraId="3D6B7E74"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”Øverste ledelse” er defineret i hvidvaskforordningens artikel 2, stk. 1, nr. 40 som: medlemmerne af ledelsesorganet i dets ledelsesfunktion samt medarbejdere og ansatte med tilstrækkeligt kendskab til den forpligtede enheds risikoeksponering for hvidvask af penge og finansiering af terrorisme og med tilstrækkelig anciennitet til at træffe beslutninger med indvirkning på dets risikoeksponering. </w:t>
      </w:r>
    </w:p>
    <w:p w14:paraId="5FDEF8C3"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”Ledelsesorganet i dets ledelsesfunktion” er defineret i hvidvaskforordningens artikel 2, stk. 1, nr. 38 som: det ledelsesorgan, der er ansvarlig for den forpligtede enheds daglige ledelse.</w:t>
      </w:r>
    </w:p>
    <w:p w14:paraId="07FA3BC4"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”Ledelsesorgan” er defineret i hvidvaskforordningens artikel 2, stk. 1, nr. 37 som: det eller de organer i en forpligtet enhed, der er udpeget i overensstemmelse med national ret, og som har beføjelse til at fastlægge den forpligtede enheds strategi, mål og overordnede kurs, og som kontrollerer og overvåger ledelsens beslutningstagning, og dette omfatter de personer, der varetager den faktiske ledelse af den forpligtede enheds virksomhed; hvis der ikke findes sådant organ, er ledelsesorganet den person, der varetager den faktiske ledelse af den forpligtede enheds virksomhed.</w:t>
      </w:r>
    </w:p>
    <w:p w14:paraId="2AD2609A"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Ovenstående indebærer, at både medlemmer af virksomhedens øverste og daglige ledelse er omfattet af de oplistede krav til personens hæderlighed og egnethed.</w:t>
      </w:r>
    </w:p>
    <w:p w14:paraId="1BFEF2C6" w14:textId="5CD937DD"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en juridisk person både har en bestyrelse og en direktion, skal både medlemmerne af direktionen og medlemmerne af bestyrelsen opfylde kravene. </w:t>
      </w:r>
    </w:p>
    <w:p w14:paraId="3F4AD490" w14:textId="61479D94" w:rsidR="00940B1D" w:rsidRPr="00796736" w:rsidRDefault="00940B1D"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Har en juridisk person ikke en bestyrelse eller direktion, skal den tilsvarende daglige ledelse opfylde kravene i stk. 2. Dette kan f.eks. være tilfældet ved et kommanditselskab. Har et aktieselskab en direktion og et tilsynsråd, vil medlemmerne af direktionen skulle opfylde kravene. Det er en betingelse, at kravene er opfyldt, og hvis Erhvervsstyrelsen senere erfarer, at virksomheder eller personer ikke opfylder kravene, fordi oplysningerne er blevet tilbageholdt på registreringstidspunktet, kan det medføre, at en registrering inddrages, jf. stk. 6. </w:t>
      </w:r>
      <w:r w:rsidR="004A72D6" w:rsidRPr="00796736">
        <w:rPr>
          <w:rFonts w:ascii="Times New Roman" w:hAnsi="Times New Roman" w:cs="Times New Roman"/>
          <w:sz w:val="24"/>
          <w:szCs w:val="24"/>
        </w:rPr>
        <w:t xml:space="preserve">. En registrering kan ligeledes inddrages, hvis virksomheden eller personen ikke er eller ophører med at være omfattet af denne lovs </w:t>
      </w:r>
      <w:r w:rsidR="004A72D6" w:rsidRPr="00796736">
        <w:rPr>
          <w:rFonts w:ascii="Times New Roman" w:eastAsia="Times New Roman" w:hAnsi="Times New Roman" w:cs="Times New Roman"/>
          <w:sz w:val="24"/>
          <w:szCs w:val="24"/>
          <w:lang w:eastAsia="da-DK"/>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eastAsia="Times New Roman" w:hAnsi="Times New Roman" w:cs="Times New Roman"/>
          <w:sz w:val="24"/>
          <w:szCs w:val="24"/>
          <w:lang w:eastAsia="da-DK"/>
        </w:rPr>
        <w:instrText xml:space="preserve"> \* MERGEFORMAT </w:instrText>
      </w:r>
      <w:r w:rsidR="004A72D6" w:rsidRPr="00796736">
        <w:rPr>
          <w:rFonts w:ascii="Times New Roman" w:eastAsia="Times New Roman" w:hAnsi="Times New Roman" w:cs="Times New Roman"/>
          <w:sz w:val="24"/>
          <w:szCs w:val="24"/>
          <w:lang w:eastAsia="da-DK"/>
        </w:rPr>
      </w:r>
      <w:r w:rsidR="004A72D6" w:rsidRPr="00796736">
        <w:rPr>
          <w:rFonts w:ascii="Times New Roman" w:eastAsia="Times New Roman" w:hAnsi="Times New Roman" w:cs="Times New Roman"/>
          <w:sz w:val="24"/>
          <w:szCs w:val="24"/>
          <w:lang w:eastAsia="da-DK"/>
        </w:rPr>
        <w:fldChar w:fldCharType="separate"/>
      </w:r>
      <w:r w:rsidR="008F29E5">
        <w:rPr>
          <w:rFonts w:ascii="Times New Roman" w:hAnsi="Times New Roman" w:cs="Times New Roman"/>
          <w:sz w:val="24"/>
          <w:szCs w:val="24"/>
        </w:rPr>
        <w:t>§ 79</w:t>
      </w:r>
      <w:r w:rsidR="004A72D6" w:rsidRPr="00796736">
        <w:rPr>
          <w:rFonts w:ascii="Times New Roman" w:eastAsia="Times New Roman" w:hAnsi="Times New Roman" w:cs="Times New Roman"/>
          <w:sz w:val="24"/>
          <w:szCs w:val="24"/>
          <w:lang w:eastAsia="da-DK"/>
        </w:rPr>
        <w:fldChar w:fldCharType="end"/>
      </w:r>
      <w:r w:rsidR="004A72D6" w:rsidRPr="00796736">
        <w:rPr>
          <w:rFonts w:ascii="Times New Roman" w:eastAsia="Times New Roman" w:hAnsi="Times New Roman" w:cs="Times New Roman"/>
          <w:sz w:val="24"/>
          <w:szCs w:val="24"/>
          <w:lang w:eastAsia="da-DK"/>
        </w:rPr>
        <w:t>, nr. 10.</w:t>
      </w:r>
    </w:p>
    <w:p w14:paraId="39187559" w14:textId="707688AE" w:rsidR="004A72D6" w:rsidRPr="00796736" w:rsidRDefault="004A72D6"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 reel ejer skal forstås i overensstemmelse med definitionen i hvidvaskforordningens artikel 2, stk. 1, nr. 28, hvorefter en reel ejer skal forstås som en fysisk person, der i sidste ende ejer eller kontrollerer en juridisk enhed eller en viljebestemt trust eller et lignende juridisk arrangement. Identifikation af reelle ejere er derudover nærmere reguleret i hvidvaskforordningens kapitel 4. Heraf følger, at der skal være tale om en fysisk person, der direkte eller indirekte ejer eller kontrollerer mindst 25 pct. af kapitalandelen, ejerandelen, stemmerettighederne eller andre selskabsbeføjelser af en forpligtet enhed eller som på anden måde direkte eller indirekte kontrollerer virksomheden.</w:t>
      </w:r>
    </w:p>
    <w:p w14:paraId="22F6CB3D" w14:textId="77777777" w:rsidR="004A72D6" w:rsidRPr="00796736" w:rsidRDefault="004A72D6"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1,</w:t>
      </w:r>
      <w:r w:rsidRPr="00796736">
        <w:rPr>
          <w:rFonts w:ascii="Times New Roman" w:hAnsi="Times New Roman" w:cs="Times New Roman"/>
          <w:sz w:val="24"/>
          <w:szCs w:val="24"/>
        </w:rPr>
        <w:t xml:space="preserve"> at Erhvervsstyrelsen skal undlade at foretage registrering efter stk. 1, hvis </w:t>
      </w:r>
      <w:r w:rsidRPr="00796736">
        <w:rPr>
          <w:rFonts w:ascii="Times New Roman" w:hAnsi="Times New Roman" w:cs="Times New Roman"/>
          <w:sz w:val="24"/>
          <w:szCs w:val="24"/>
          <w:lang w:eastAsia="da-DK"/>
        </w:rPr>
        <w:t>virksomheden, personen, et medlem af virksomhedens øverste ledelse eller en reel ejer er dømt for hvidvask, de underliggende lovovertrædelser eller terrorfinansiering.</w:t>
      </w:r>
    </w:p>
    <w:p w14:paraId="30FC62C2" w14:textId="0AFBA6E0"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indebærer, at en virksomhed eller person, der udbyder de omfattede tjenester ikke må være dømt for hvidvask, de underliggende lovovertrædelser eller terrorfinansiering. Dette omfatter ligeledes medlemmerne af den øverste ledelse i en sådan virksomhed samt de reelle ejere. </w:t>
      </w:r>
    </w:p>
    <w:p w14:paraId="5D657023" w14:textId="77777777"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At en relevant part ikke må være dømt for hvidvask, de underliggende lovovertrædelser eller terrorfinansiering skal forstås i overensstemmelse med hvidvaskforordningens bestemmelser herom som følge af forordningens direkte virkning.  </w:t>
      </w:r>
    </w:p>
    <w:p w14:paraId="178BC962" w14:textId="77777777"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følger af hvidvaskforordningens præambelbetragtning nr. 5, 1. og 6. pkt. at siden vedtagelsen af direktiv (EU) 2015/849 har den seneste udvikling i Unionens strafferetlige ramme bidraget til at styrke forebyggelsen og bekæmpelsen af hvidvask af penge, de underliggende lovovertrædelser og finansiering af terrorisme, og at </w:t>
      </w:r>
      <w:r w:rsidRPr="00796736">
        <w:rPr>
          <w:rFonts w:ascii="Times New Roman" w:hAnsi="Times New Roman" w:cs="Times New Roman"/>
          <w:sz w:val="24"/>
          <w:szCs w:val="24"/>
        </w:rPr>
        <w:t xml:space="preserve">Unionens ramme for bekæmpelse af hvidvask af penge og finansiering af terrorisme bør være i fuld overensstemmelse med Unionens strafferetlige ramme. </w:t>
      </w:r>
    </w:p>
    <w:p w14:paraId="68B95FD5"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lang w:eastAsia="da-DK"/>
        </w:rPr>
        <w:t xml:space="preserve">Det følger yderligere af hvidvaskforordningens præambelbetragtning nr. 5, 2. og 4. pkt., at der ved Europa-Parlamentets og Rådets direktiv (EU) 2018/1673 er opnået en fælles forståelse af strafbare handlinger i form af hvidvask af penge og de underliggende lovovertrædelser og </w:t>
      </w:r>
      <w:r w:rsidRPr="00796736">
        <w:rPr>
          <w:rFonts w:ascii="Times New Roman" w:hAnsi="Times New Roman" w:cs="Times New Roman"/>
          <w:sz w:val="24"/>
          <w:szCs w:val="24"/>
        </w:rPr>
        <w:t>ved Europa-Parlamentets og Rådets direktiv (EU) 2017/541 er opnået en fælles forståelse af strafbare handlinger i form af finansiering af terrorisme.</w:t>
      </w:r>
      <w:r w:rsidRPr="00796736">
        <w:rPr>
          <w:rFonts w:ascii="Times New Roman" w:hAnsi="Times New Roman" w:cs="Times New Roman"/>
          <w:sz w:val="24"/>
          <w:szCs w:val="24"/>
          <w:lang w:eastAsia="da-DK"/>
        </w:rPr>
        <w:t xml:space="preserve"> Ligeledes følger det af betragtningens 3. pkt., at det i Europa-Parlamentets og Rådets direktiv (EU) 2017/1371 defineres, at </w:t>
      </w:r>
      <w:r w:rsidRPr="00796736">
        <w:rPr>
          <w:rFonts w:ascii="Times New Roman" w:hAnsi="Times New Roman" w:cs="Times New Roman"/>
          <w:sz w:val="24"/>
          <w:szCs w:val="24"/>
        </w:rPr>
        <w:t xml:space="preserve">finansielle strafbare handlinger, der skader Unionens finansielle interesser, som også bør betragtes som underliggende lovovertrædelser i forbindelse med hvidvask af penge. </w:t>
      </w:r>
    </w:p>
    <w:p w14:paraId="2A9E672A"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hvidvaskforordningens præambelbetragtning nr. 6, fremgår det, at harmoniseringen på det relevante strafferetlige område muliggør en stærk og sammenhængende tilgang på EU-plan til forebyggelse og bekæmpelse af hvidvask af penge og de underliggende lovovertrædelser, herunder korruption. Samtidig sikrer en sådan tilgang, at medlemsstater, der har valgt en bredere tilgang til definitionen af kriminelle handlinger, der udgør underliggende lovovertrædelser i forbindelse med hvidvask af penge, kan fortsætte med at anvende en sådan tilgang. Derfor og i overensstemmelse med direktiv (EU) 2018/1673 bør enhver form for strafbar deltagelse i udførelsen af en underliggende lovovertrædelse for hvidvask af penge som kriminaliseret i henhold til national ret ligeledes betragtes som en kriminel handling med henblik på nævnte direktiv og denne forordning.</w:t>
      </w:r>
    </w:p>
    <w:p w14:paraId="19E8889B" w14:textId="2533E0B3"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 af penge og finansiering af terrorisme er nærmere defineret i hvidvaskforordningens artikel 2, stk. 1 nr. 1 og </w:t>
      </w:r>
      <w:r w:rsidR="004A72D6" w:rsidRPr="00796736">
        <w:rPr>
          <w:rFonts w:ascii="Times New Roman" w:hAnsi="Times New Roman" w:cs="Times New Roman"/>
          <w:sz w:val="24"/>
          <w:szCs w:val="24"/>
        </w:rPr>
        <w:t>2</w:t>
      </w:r>
      <w:r w:rsidRPr="00796736">
        <w:rPr>
          <w:rFonts w:ascii="Times New Roman" w:hAnsi="Times New Roman" w:cs="Times New Roman"/>
          <w:sz w:val="24"/>
          <w:szCs w:val="24"/>
        </w:rPr>
        <w:t xml:space="preserve">. Derudover er de kriminelle handlinger, der udgør underliggende lovovertrædelser i forbindelse med hvidvask af penge defineret i hvidvaskforordningens artikel 2, stk. 1, nr. </w:t>
      </w:r>
      <w:r w:rsidR="004A72D6" w:rsidRPr="00796736">
        <w:rPr>
          <w:rFonts w:ascii="Times New Roman" w:hAnsi="Times New Roman" w:cs="Times New Roman"/>
          <w:sz w:val="24"/>
          <w:szCs w:val="24"/>
        </w:rPr>
        <w:t>3</w:t>
      </w:r>
      <w:r w:rsidRPr="00796736">
        <w:rPr>
          <w:rFonts w:ascii="Times New Roman" w:hAnsi="Times New Roman" w:cs="Times New Roman"/>
          <w:sz w:val="24"/>
          <w:szCs w:val="24"/>
        </w:rPr>
        <w:t xml:space="preserve">. </w:t>
      </w:r>
    </w:p>
    <w:p w14:paraId="08CD6DB1" w14:textId="77777777"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er en forudsætning for registreringsnægtelse efter den foreslåede stk. 2, nr. 1, at det strafbare forhold skal være fastslået ved endelig dom. Et relevant strafbart forhold pådømt i udlandet vil på tilsvarende vis kunne begrunde en registreringsnægtelse efter stk. 2, nr. 1.</w:t>
      </w:r>
    </w:p>
    <w:p w14:paraId="4BF5C870" w14:textId="77777777"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er yderligere en forudsætning for registreringsnægtelse efter den foreslåede stk. 2, nr. 1, at det pådømte strafforhold begrunder en nærliggende fare for misbrug af registreringen i overensstemmelse med straffelovens § 78, stk. 2. Dette inkluderer ligeledes fare for et medlem af den øverste eller daglige ledelses misbrug af stillingen eller hvervet samt en reel ejers misbrug af vedkommendes kontrollerende indflydelse.</w:t>
      </w:r>
    </w:p>
    <w:p w14:paraId="2F173FD0" w14:textId="77777777"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er herunder relevant, at der er tale om en endelig dom for en overtrædelse, der er af en sådan karakter, at det vurderes at have betydning for den registreredes egnethed og hæderlighed. </w:t>
      </w:r>
    </w:p>
    <w:p w14:paraId="0BAF499E"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Kravet om, at der skal være en nærliggende fare for misbrug, betyder, at det ikke er tilstrækkeligt for at undlade at foretage en registrering, at vedkommende er dømt for en strafbar handling. Dette indebærer, at Erhvervsstyrelsen skal foretage en vurdering efter samme princip, som domstolene anvender i forbindelse med en rettighedsfrakendelsessag, og i vurderingen inddrage domspraksis. Der vil herunder skulle foretages en samlet vurdering af overtrædelsens karakter, omfang og betydning for virksomhedens fremtidige drift.</w:t>
      </w:r>
    </w:p>
    <w:p w14:paraId="7080F2C9"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minimere risikoen for hvidvask af penge i virksomheden og kanalisering af penge til terrorformål ved blandt andet at hindre, at personer med bestemmende indflydelse på virksomheden eller ledelsesmæssige beføjelser kan anvende virksomheden til kriminelle formål.  Ved Erhvervsstyrelsens vurdering skal der generelt inddrages en høj grad af væsentlighed, herunder hvorvidt den pågældende reelle ejer eller ledelsesmedlem kan antages at ville anvende virksomheden til hvidvask af penge eller kanalisering af penge til terrorformål.</w:t>
      </w:r>
    </w:p>
    <w:p w14:paraId="1DEEF299" w14:textId="54FF1BBC"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2,</w:t>
      </w:r>
      <w:r w:rsidRPr="00796736">
        <w:rPr>
          <w:rFonts w:ascii="Times New Roman" w:hAnsi="Times New Roman" w:cs="Times New Roman"/>
          <w:sz w:val="24"/>
          <w:szCs w:val="24"/>
        </w:rPr>
        <w:t xml:space="preserve"> at Erhvervsstyrelsen skal undlade at foretage registrering efter stk. 1, hvis </w:t>
      </w:r>
      <w:r w:rsidRPr="00796736">
        <w:rPr>
          <w:rFonts w:ascii="Times New Roman" w:hAnsi="Times New Roman" w:cs="Times New Roman"/>
          <w:sz w:val="24"/>
          <w:szCs w:val="24"/>
          <w:lang w:eastAsia="da-DK"/>
        </w:rPr>
        <w:t xml:space="preserve">virksomheden, personen, et medlem af virksomhedens øverste ledelse eller en reel ejer har indgivet begæring om rekonstruktionsbehandling, konkurs eller gældssanering eller er under rekonstruktionsbehandling, konkursbehandling eller gældssanering. </w:t>
      </w:r>
    </w:p>
    <w:p w14:paraId="72DD8882" w14:textId="77777777"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indebærer, at en virksomhed, der udbyder de omfattede tjenester, ikke må have </w:t>
      </w:r>
      <w:r w:rsidRPr="00796736">
        <w:rPr>
          <w:rFonts w:ascii="Times New Roman" w:hAnsi="Times New Roman" w:cs="Times New Roman"/>
          <w:sz w:val="24"/>
          <w:szCs w:val="24"/>
        </w:rPr>
        <w:t>indgivet begæring om rekonstruktionsbehandling eller konkurs eller være under rekonstruktionsbehandling eller konkursbehandling.</w:t>
      </w:r>
    </w:p>
    <w:p w14:paraId="74FBC772" w14:textId="5F6E147E"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indebærer ligeledes, at en person, der udbyder de omfattede tjenester, ikke må have indgivet begæring om </w:t>
      </w:r>
      <w:r w:rsidRPr="00796736">
        <w:rPr>
          <w:rFonts w:ascii="Times New Roman" w:hAnsi="Times New Roman" w:cs="Times New Roman"/>
          <w:sz w:val="24"/>
          <w:szCs w:val="24"/>
        </w:rPr>
        <w:t>rekonstruktionsbehandling, konkurs</w:t>
      </w:r>
      <w:r w:rsidRPr="00796736">
        <w:rPr>
          <w:rFonts w:ascii="Times New Roman" w:hAnsi="Times New Roman" w:cs="Times New Roman"/>
          <w:sz w:val="24"/>
          <w:szCs w:val="24"/>
          <w:lang w:eastAsia="da-DK"/>
        </w:rPr>
        <w:t xml:space="preserve"> eller gældssanering eller være under rekonstruktionsbehandling, konkursbehandling eller gældssanering. Dette omfatter tillige medlemmerne af den </w:t>
      </w:r>
      <w:r w:rsidR="003D2A25">
        <w:rPr>
          <w:rFonts w:ascii="Times New Roman" w:hAnsi="Times New Roman" w:cs="Times New Roman"/>
          <w:sz w:val="24"/>
          <w:szCs w:val="24"/>
          <w:lang w:eastAsia="da-DK"/>
        </w:rPr>
        <w:t>øverste</w:t>
      </w:r>
      <w:r w:rsidRPr="00796736">
        <w:rPr>
          <w:rFonts w:ascii="Times New Roman" w:hAnsi="Times New Roman" w:cs="Times New Roman"/>
          <w:sz w:val="24"/>
          <w:szCs w:val="24"/>
          <w:lang w:eastAsia="da-DK"/>
        </w:rPr>
        <w:t xml:space="preserve"> ledelse i en sådan virksomhed samt de reelle ejere.</w:t>
      </w:r>
    </w:p>
    <w:p w14:paraId="19EA0B0B"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afgørende er registreringstidspunktet. Det er ikke afgørende i forhold til denne bestemmelse, hvorvidt den relevante part tidligere har været under rekonstruktionsbehandling, konkursbehandling eller gældssanering. Tidligere indgivne begæringer medfører således ikke, at bestemmelsen anses for realiseret.</w:t>
      </w:r>
    </w:p>
    <w:p w14:paraId="42B66A9B"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er et krav i henhold til bestemmelsen, at hvis der alene er tale om en begæring om rekonstruktionsbehandling eller konkurs, skal begæringen være indgivet af den pågældende virksomhed eller person selv. Tilsvarende gælder for omfattede personer for så vidt angår begæring om gældssanering.</w:t>
      </w:r>
    </w:p>
    <w:p w14:paraId="222DA257"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kan således ikke tillægges vægt, at andre har indgivet begæring mod den pågældende virksomhed eller person, medmindre begæringen konkret fører til rekonstruktionsbehandling, konkursbehandling eller gældssanering, hvilket er omfattet af sidste del af den foreslåede bestemmelse. </w:t>
      </w:r>
    </w:p>
    <w:p w14:paraId="54691C28" w14:textId="4A827595"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2, nr. 3, </w:t>
      </w:r>
      <w:r w:rsidRPr="00796736">
        <w:rPr>
          <w:rFonts w:ascii="Times New Roman" w:hAnsi="Times New Roman" w:cs="Times New Roman"/>
          <w:sz w:val="24"/>
          <w:szCs w:val="24"/>
        </w:rPr>
        <w:t xml:space="preserve">Erhvervsstyrelsen skal undlade at foretage registrering efter stk. 1, hvis </w:t>
      </w:r>
      <w:r w:rsidRPr="00796736">
        <w:rPr>
          <w:rFonts w:ascii="Times New Roman" w:hAnsi="Times New Roman" w:cs="Times New Roman"/>
          <w:sz w:val="24"/>
          <w:szCs w:val="24"/>
          <w:lang w:eastAsia="da-DK"/>
        </w:rPr>
        <w:t>personen, et medlem af virksomhedens øverste ledelse eller en reel ejer ikke har et godt omdømme eller ikke anses for at handle med hæderlighed og integritet.</w:t>
      </w:r>
    </w:p>
    <w:p w14:paraId="5F6A0352"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Kravet er nyt og fremgår af artikel 6, stk. 1, 1. pkt. i 6. hvidvaskdirektiv. </w:t>
      </w:r>
    </w:p>
    <w:p w14:paraId="010E4400" w14:textId="77777777" w:rsidR="00940B1D" w:rsidRPr="00796736" w:rsidRDefault="00940B1D"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indebærer, at person, der udbyder de omfattede tjenester ikke må have et dårligt omdømme og skal anses for at handle med hæderlighed og integritet. Dette omfatter ligeledes medlemmerne af den øverste eller daglige ledelse i en virksomhed, der udbyder de omfattede ydelser, samt de reelle ejere af en sådan virksomhed. </w:t>
      </w:r>
    </w:p>
    <w:p w14:paraId="5F3F459B"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6. hvidvaskdirektivs artikel 6, stk. 8, at AMLA senest den 10. juli 2029 udsteder retningslinjer om kriterierne til at vurdere godt omdømme, hæderlighed og integritet som omhandlet i artikel 6, stk. 1 i 6. hvidvaskdirektiv. Ved udarbejdelsen af retningslinjerne, tager AMLA hensyn til de særlige forhold i hver enkelt sektor, hvor de forpligtede enheder driver virksomhed. </w:t>
      </w:r>
    </w:p>
    <w:p w14:paraId="3C6DBEFE"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Frem til at AMLA udsteder retningslinjer for kriterierne for vurderingen af godt omdømme, hæderlighed og integritet, vurderes et ledelsesmedlem eller en reel ejer for at have et godt omdømme, hvis andet ikke er påvist, og hvis der ikke er nogen grund til at nære begrundet tvivl om vedkommendes gode omdømme. Erhvervsstyrelsen lægger alle relevante oplysninger til grund for vurderingen af, om ledelsesmedlemmet eller den reelle ejer har et godt omdømme. Ledelsesmedlemmet eller den reelle ejer anses ikke for at have et godt omdømme, hvis vedkommendes personlige eller forretningsmæssige adfærd giver anledning til begrundet tvivl om vedkommendes evner til at sikre sund og sikker ledelse af virksomheden. </w:t>
      </w:r>
    </w:p>
    <w:p w14:paraId="74385D97" w14:textId="14BCA1C8"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4,</w:t>
      </w:r>
      <w:r w:rsidRPr="00796736">
        <w:rPr>
          <w:rFonts w:ascii="Times New Roman" w:hAnsi="Times New Roman" w:cs="Times New Roman"/>
          <w:sz w:val="24"/>
          <w:szCs w:val="24"/>
        </w:rPr>
        <w:t xml:space="preserve"> at Erhvervsstyrelsen skal undlade at foretage registrering efter stk. 1, hvis </w:t>
      </w:r>
      <w:r w:rsidRPr="00796736">
        <w:rPr>
          <w:rFonts w:ascii="Times New Roman" w:hAnsi="Times New Roman" w:cs="Times New Roman"/>
          <w:sz w:val="24"/>
          <w:szCs w:val="24"/>
          <w:lang w:eastAsia="da-DK"/>
        </w:rPr>
        <w:t>personen eller et medlem af virksomhedens øverste ledelse ikke har den viden og ekspertise, der er nødvendig for at udføre opgaverne</w:t>
      </w:r>
      <w:r w:rsidRPr="00796736">
        <w:rPr>
          <w:rFonts w:ascii="Times New Roman" w:hAnsi="Times New Roman" w:cs="Times New Roman"/>
          <w:sz w:val="24"/>
          <w:szCs w:val="24"/>
        </w:rPr>
        <w:t xml:space="preserve">. </w:t>
      </w:r>
    </w:p>
    <w:p w14:paraId="316B5873"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Kravet er nyt og fremgår af artikel 6, stk. 1, 2. pkt. i 6. hvidvaskdirektiv. </w:t>
      </w:r>
    </w:p>
    <w:p w14:paraId="429D489C"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6. hvidvaskdirektivs artikel 6, stk. 8, at AMLA senest den 10. juli 2029 udsteder retningslinjer om kriterierne til at vurdere viden og ekspertise som omhandlet i artikel 6, stk. 1 i 6. hvidvaskdirektiv. Ved udarbejdelsen af retningslinjerne, tager AMLA hensyn til de særlige forhold i hver enkelt sektor, hvor de forpligtede enheder driver virksomhed. </w:t>
      </w:r>
    </w:p>
    <w:p w14:paraId="2205B159" w14:textId="535B565C"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medlemmer af virksomhedens øverste ledelse eller personen skal besidde den viden og ekspertise, der er nødvendig for at udføre opgaverne. Der opstilles ikke generelle kriterier for, hvilke teoretiske eller praktiske krav personen skal opfylde. Disse varierer, afhængigt af, om der er tale om en direktørpost eller et bestyrelseshverv, og hvilken type virksomhed, der er tale om. I vurderingen kan bl.a. indgå, om personen har en relevant uddannelse, og om vedkommende har ledelseserfaring. En indehaver, der er en enkeltmandsvirksomhed, skal på tilsvarende vis som direktører og bestyrelsesmedlemmer have tilstrækkelig viden til at kunne varetage hvervet som indehaver, herunder om personen har de fornødne kompetencer og ressourcer til at løfte opgaven. </w:t>
      </w:r>
    </w:p>
    <w:p w14:paraId="46E3AECE"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ved Erhvervsstyrelsens vurdering i henhold til stk. 2, nr. 1, finder straffelovens § 78, stk. 3, tilsvarende anvendelse.</w:t>
      </w:r>
    </w:p>
    <w:p w14:paraId="27B5F80B" w14:textId="599E68B1"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medfører, at § 78, stk. 3, i straffeloven finder tilsvarende anvendelse ved Erhvervsstyrelsens vurdering af, om strafbare forhold kan medføre, at der ikke skal ske registrering</w:t>
      </w:r>
      <w:r w:rsidR="004A72D6" w:rsidRPr="00796736">
        <w:rPr>
          <w:rFonts w:ascii="Times New Roman" w:hAnsi="Times New Roman" w:cs="Times New Roman"/>
          <w:sz w:val="24"/>
          <w:szCs w:val="24"/>
        </w:rPr>
        <w:t xml:space="preserve">. </w:t>
      </w:r>
    </w:p>
    <w:p w14:paraId="5FA969C1" w14:textId="1DCE54EB"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Virksomheder og personer nævnt i stk. 1 betragtes som udøvende et hverv, som kræver særlig tilladelse i relation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_Ref238213843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i straffeloven. Henvisningen betyder, at hvis Erhvervsstyrelsen vurderer, at en person ikke opfylder kravene i bestemmelsen, finder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_Ref238213843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3, i straffeloven tilsvarende anvendelse. Dette indebærer blandt andet, at anklagemyndigheden på begæring enten af den, der har fået afslag, eller på begæring af Erhvervsstyrelsen, skal indbringe spørgsmålet om rettighedsfrakendelse for domstolene.</w:t>
      </w:r>
    </w:p>
    <w:p w14:paraId="2157600A" w14:textId="731E3CC4" w:rsidR="00940B1D"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Hvis der rejses straffesag mod virksomheder, herunder medlemmer af virksomhedens ledelse eller personer registreret i medfør af stk. 1, for overtrædelse af straffeloven eller anden relevant lovgivning, mens en virksomhed eller person er registreret ved Erhvervsstyrelsen, kan der under straffesagen nedlægges påstand om, at der skal ske frakendelse af den pågældendes persons rettighed til at udøve aktiviteten</w:t>
      </w:r>
      <w:r w:rsidR="00940B1D" w:rsidRPr="00796736">
        <w:rPr>
          <w:rFonts w:ascii="Times New Roman" w:hAnsi="Times New Roman" w:cs="Times New Roman"/>
          <w:sz w:val="24"/>
          <w:szCs w:val="24"/>
        </w:rPr>
        <w:t>, jf. § 79, stk. 2, jf. § 78 i straffeloven.</w:t>
      </w:r>
    </w:p>
    <w:p w14:paraId="2DD62089"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generelle straffeprocessuelle principper og almindelige retssikkerhedsmæssige hensyn taler for, at spørgsmålet om fortsat registrering afgøres under straffesagen. </w:t>
      </w:r>
    </w:p>
    <w:p w14:paraId="13F47E71" w14:textId="7F07AFFE"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kan derfor som udgangspunkt ikke inddrage en registrering, hvis virksomheden under straffesagen har været registreret ved Erhvervsstyrelsen og domstolene har taget stilling til spørgsmålet. Dette gælder dog ikke for reelle ejere, da disse ikke har en autorisation eller godkendelse omfattet af straffelovens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_Ref238213843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3.</w:t>
      </w:r>
    </w:p>
    <w:p w14:paraId="25A376C4"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kan også anvendes, hvis det er åbenbart, at domstolene ikke har taget stilling til, om et strafbart forhold skal medføre rettighedsfrakendelse.</w:t>
      </w:r>
    </w:p>
    <w:p w14:paraId="02EDF9ED" w14:textId="77777777" w:rsidR="004A72D6" w:rsidRPr="00796736" w:rsidRDefault="004A72D6" w:rsidP="00A802A5">
      <w:pPr>
        <w:spacing w:line="360" w:lineRule="auto"/>
        <w:rPr>
          <w:rFonts w:ascii="Times New Roman" w:hAnsi="Times New Roman" w:cs="Times New Roman"/>
          <w:sz w:val="24"/>
          <w:szCs w:val="24"/>
        </w:rPr>
      </w:pPr>
    </w:p>
    <w:p w14:paraId="3C95A278" w14:textId="7E9999EA"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at Erhvervsstyrelsen kan inddrage registreringen af en virksomhed eller en person efter stk. 1, hvis nye medlemmer af en virksomheds øverste ledelse eller nye reelle ejere ikke giver Erhvervsstyrelsen de oplysninger, der er nødvendige for at Erhvervsstyrelsen kan vurdere, om disse er omfattet af stk. 2.</w:t>
      </w:r>
    </w:p>
    <w:p w14:paraId="69EE40C8"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Dette foreslås som følge af, at Erhvervsstyrelsen vil skulle vurdere, hvorvidt eventuelle nyindtrådte medlemmer af virksomhedens øverste ledelse eller nye reelle ejere, som følge af ændringer i ledelsen eller ejerstruktur efter det oprindelige registreringstidspunkt, kan registreres efter stk. 1. Dette er afgørende for, at Erhvervsstyrelsen kan vurdere, om vedkommende er omfattet af stk. 2, og derfor ikke kan registreres efter stk. 1.</w:t>
      </w:r>
    </w:p>
    <w:p w14:paraId="74381D35" w14:textId="77777777" w:rsidR="004A72D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Modtager Erhvervsstyrelsen ikke oplysningerne fra den nyindtrådte, kan Erhvervsstyrelsen inddrage registreringen efter stk. 1.</w:t>
      </w:r>
    </w:p>
    <w:p w14:paraId="4CAB2850" w14:textId="57C9EE06" w:rsidR="003D2A25" w:rsidRPr="00796736" w:rsidRDefault="003D2A25" w:rsidP="00A802A5">
      <w:pPr>
        <w:spacing w:after="240" w:line="360" w:lineRule="auto"/>
        <w:rPr>
          <w:rFonts w:ascii="Times New Roman"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49B02931" w14:textId="0CEC2AAE" w:rsidR="004A72D6" w:rsidRPr="00796736" w:rsidRDefault="004A72D6" w:rsidP="00A802A5">
      <w:pPr>
        <w:spacing w:after="16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at Erhvervsstyrelsen kan inddrage registreringen af en virksomhed eller person efter stk. 1, hvis et medlem af en virksomheds øverste ledelse eller personen efterfølgende omfattes af stk. 2, nr. 1-4, hvis virksomheden efterfølgende omfattes af stk. 2, nr. 1-2, hvis en reel ejer efterfølgende omfattes af stk. 2, nr. 1-3</w:t>
      </w:r>
      <w:r w:rsidRPr="00796736">
        <w:rPr>
          <w:rFonts w:ascii="Times New Roman" w:eastAsia="Times New Roman" w:hAnsi="Times New Roman" w:cs="Times New Roman"/>
          <w:sz w:val="24"/>
          <w:szCs w:val="24"/>
          <w:lang w:eastAsia="da-DK"/>
        </w:rPr>
        <w:t>.</w:t>
      </w:r>
    </w:p>
    <w:p w14:paraId="622C6E93" w14:textId="010BAE31"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kan inddrage registreringen af en virksomhed eller person efter stk. 1, hvis et virksomheden, personen, et medlem af en virksomheds øverste ledelse eller en reel ejer efterfølgende bliver dømt for hvidvask, de underliggende lovovertrædelser eller terrorfinansiering, jf. stk. 2, nr. 1, eller indgiver begæring om rekonstruktionsbehandling, konkurs eller gældssanering eller kommer under rekonstruktionsbehandling, konkursbehandling eller gældssanering, jf. stk. 2, nr. 2.</w:t>
      </w:r>
    </w:p>
    <w:p w14:paraId="0F30982B" w14:textId="5CD7B535"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der rejses straffesag mod virksomheder, herunder medlemmer af virksomhedens ledelse eller personer registreret i medfør af stk. 1, for overtrædelse af straffeloven eller anden relevant lovgivning, mens en virksomhed eller person er registreret ved Erhvervsstyrelsen, kan der under straffesagen nedlægges påstand om, at der skal ske frakendelse af den pågældendes persons rettighed til at udøve aktiviteten, jf.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jf.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_Ref238213843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straffeloven.</w:t>
      </w:r>
    </w:p>
    <w:p w14:paraId="564A5A2C"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generelle straffeprocessuelle principper og almindelige retssikkerhedsmæssige hensyn taler for, at spørgsmålet om fortsat registrering afgøres under straffesagen. </w:t>
      </w:r>
    </w:p>
    <w:p w14:paraId="7D723ECB" w14:textId="3814AE06"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 Erhvervsstyrelsen kan derfor som udgangspunkt ikke inddrage en registrering, hvis virksomheden under straffesagen har været registreret ved Erhvervsstyrelsen og domstolene har taget stilling til spørgsmålet. Dette gælder dog ikke for reelle ejere, da disse ikke har en autorisation eller godkendelse omfattet af straffelovens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_Ref238213843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3.</w:t>
      </w:r>
    </w:p>
    <w:p w14:paraId="038E25D8"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kan også anvendes, hvis det er åbenbart, at domstolene ikke har taget stilling til, om et strafbart forhold skal medføre rettighedsfrakendelse.</w:t>
      </w:r>
    </w:p>
    <w:p w14:paraId="7F842C4B" w14:textId="77777777" w:rsidR="004A72D6" w:rsidRPr="00796736" w:rsidRDefault="004A72D6" w:rsidP="00A802A5">
      <w:pPr>
        <w:spacing w:line="360" w:lineRule="auto"/>
        <w:rPr>
          <w:rFonts w:ascii="Times New Roman" w:hAnsi="Times New Roman" w:cs="Times New Roman"/>
          <w:sz w:val="24"/>
          <w:szCs w:val="24"/>
        </w:rPr>
      </w:pPr>
    </w:p>
    <w:p w14:paraId="6DE4B038" w14:textId="77777777" w:rsidR="004A72D6" w:rsidRPr="00796736" w:rsidRDefault="004A72D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Ligeledes kan Erhvervsstyrelsen inddrage registreringen, hvis </w:t>
      </w:r>
      <w:r w:rsidRPr="00796736">
        <w:rPr>
          <w:rFonts w:ascii="Times New Roman" w:hAnsi="Times New Roman" w:cs="Times New Roman"/>
          <w:sz w:val="24"/>
          <w:szCs w:val="24"/>
          <w:lang w:eastAsia="da-DK"/>
        </w:rPr>
        <w:t>personen, et medlem af virksomhedens øverste ledelse eller en reel ejer ikke kan opretholde et godt omdømme eller ikke længere anses for at handle med hæderlighed og integritet, jf. stk. 2, nr. 3.</w:t>
      </w:r>
    </w:p>
    <w:p w14:paraId="0BEA1FDF" w14:textId="77777777" w:rsidR="004A72D6" w:rsidRPr="00796736" w:rsidRDefault="004A72D6" w:rsidP="00A802A5">
      <w:pPr>
        <w:spacing w:line="360" w:lineRule="auto"/>
        <w:rPr>
          <w:rFonts w:ascii="Times New Roman" w:hAnsi="Times New Roman" w:cs="Times New Roman"/>
          <w:sz w:val="24"/>
          <w:szCs w:val="24"/>
        </w:rPr>
      </w:pPr>
    </w:p>
    <w:p w14:paraId="28E091F8"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Frem til at AMLA udsteder retningslinjer for kriterierne for vurderingen af godt omdømme, hæderlighed og integritet, vurderes et ledelsesmedlem eller en reel ejer for at have et godt omdømme, hvis andet ikke er påvist, og hvis der ikke er nogen grund til at nære begrundet tvivl om vedkommendes gode omdømme. Erhvervsstyrelsen lægger alle relevante oplysninger til grund for vurderingen af, om ledelsesmedlemmet eller den reelle ejer har et godt omdømme. Ledelsesmedlemmet eller den reelle ejer anses ikke for at have et godt omdømme, hvis vedkommendes personlige eller forretningsmæssige adfærd giver anledning til begrundet tvivl om vedkommendes evner til at sikre sund og sikker ledelse af virksomheden. </w:t>
      </w:r>
    </w:p>
    <w:p w14:paraId="4A4CAA87" w14:textId="77777777" w:rsidR="004A72D6" w:rsidRPr="00796736" w:rsidRDefault="004A72D6" w:rsidP="00A802A5">
      <w:pPr>
        <w:spacing w:after="16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Ydermere vil Erhvervsstyrelsen kunne inddrage registreringen af virksomheden, såfremt det medlem af virksomhedens øverste eller daglige ledelse, der ved registreringen blev anset for at have den viden og ekspertise, som er nødvendig for at udføre opgaverne, forlader virksomheden, idet virksomheden herefter ikke kan anses for at leve op til stk. 2, nr. 4. </w:t>
      </w:r>
    </w:p>
    <w:p w14:paraId="05B3B585" w14:textId="77777777" w:rsidR="00940B1D"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En hjemmel til at inddrage en registrering vil kunne sikre, at personer eller virksomheder, hvis virksomheden, herunder dennes ledelse og reelle ejere, samt personer ikke længere opfylder kravene til hæderlighed, kan tages ud af registret.</w:t>
      </w:r>
    </w:p>
    <w:p w14:paraId="31B8A9B0" w14:textId="30303FBD" w:rsidR="003D2A25" w:rsidRPr="00796736" w:rsidRDefault="003D2A25" w:rsidP="00A802A5">
      <w:pPr>
        <w:spacing w:after="160" w:line="360" w:lineRule="auto"/>
        <w:rPr>
          <w:rFonts w:ascii="Times New Roman" w:hAnsi="Times New Roman" w:cs="Times New Roman"/>
          <w:sz w:val="24"/>
          <w:szCs w:val="24"/>
        </w:rPr>
      </w:pPr>
      <w:r w:rsidRPr="001E2E73">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5A474FC2" w14:textId="23057ECF"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forbindelse med en vurdering af en inddragelse efter stk. </w:t>
      </w:r>
      <w:r w:rsidR="004A72D6" w:rsidRPr="00796736">
        <w:rPr>
          <w:rFonts w:ascii="Times New Roman" w:hAnsi="Times New Roman" w:cs="Times New Roman"/>
          <w:sz w:val="24"/>
          <w:szCs w:val="24"/>
        </w:rPr>
        <w:t>5</w:t>
      </w:r>
      <w:r w:rsidRPr="00796736">
        <w:rPr>
          <w:rFonts w:ascii="Times New Roman" w:hAnsi="Times New Roman" w:cs="Times New Roman"/>
          <w:sz w:val="24"/>
          <w:szCs w:val="24"/>
        </w:rPr>
        <w:t>, finder stk. 3 anvendelse i forhold til Erhvervsstyrelsens vurdering i henhold til stk. 2, nr. 1. Det medfører, at der som udgangspunkt ved strafbare forhold skal ske rettighedsfrakendelse ved domstolene. Ved f.eks. reelle ejere kan der dog ikke ske rettighedsfrakendelse i forbindelse med straffesagen som nævnt under stk. 2, hvorefter Erhvervsstyrelsen kan foretage en administrativ inddragelse. Der henvises desuden til bemærkningerne til stk. 3.</w:t>
      </w:r>
    </w:p>
    <w:p w14:paraId="2B3DF9DF" w14:textId="77777777" w:rsidR="00BE38F8" w:rsidRPr="00796736" w:rsidRDefault="00BE38F8"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6,</w:t>
      </w:r>
      <w:r w:rsidRPr="00796736">
        <w:rPr>
          <w:rFonts w:ascii="Times New Roman" w:hAnsi="Times New Roman" w:cs="Times New Roman"/>
          <w:sz w:val="24"/>
          <w:szCs w:val="24"/>
        </w:rPr>
        <w:t xml:space="preserve"> at Erhvervsstyrelsen kan inddrage registreringen af en virksomhed eller person efter stk. 1, hvis virksomheden eller personen gør sig skyldig i grove eller gentagne overtrædelser af hvidvaskforordningen, denne lov eller regler udstedt i medfør heraf.</w:t>
      </w:r>
    </w:p>
    <w:p w14:paraId="03A7A27A" w14:textId="77777777" w:rsidR="00BE38F8" w:rsidRPr="00796736" w:rsidRDefault="00BE38F8"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medfører, at Erhvervsstyrelsen vil kunne inddrage registreringen, hvis virksomheden eller personen gør sig skyldig i grove eller gentagne overtrædelser af hvidvaskforordningen, denne lov eller regler udstedt i medfør heraf.  At der skal være grove eller gentagne overtrædelser indebærer, at der skal være tale om en klar og væsentlig overtrædelse, som understøttes af klare faktuelle oplysninger. </w:t>
      </w:r>
    </w:p>
    <w:p w14:paraId="5110DA37" w14:textId="77777777" w:rsidR="00BE38F8" w:rsidRPr="00796736" w:rsidRDefault="00BE38F8"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finder f.eks. anvendelse i tilfælde, hvor virksomheden eller personen har undladt at efterleve et påbud fra Erhvervsstyrelsen vedrørende overtrædelser af hvidvaskloven. Det kan eksempelvis være, hvis virksomheden eller personen ikke har foretaget en risikovurdering af, om virksomheden eller personen kan blive misbrugt til hvidvask eller finansiering af terrorisme efter hvidvaskforordningens artikel 10, og ikke efterlever Erhvervsstyrelsens påbud herom. </w:t>
      </w:r>
    </w:p>
    <w:p w14:paraId="2C6A99DD" w14:textId="145F3C1C"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en indgribende reaktionsmulighed for Erhvervsstyrelsen, idet virksomheden eller personen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10 ved en inddragelse af registreringen mister muligheden for at udøve de aktiviteter, der fremgår af hvidvaskforordningens artikel 2, stk. 1, nr. 11.</w:t>
      </w:r>
    </w:p>
    <w:p w14:paraId="53526D98" w14:textId="77777777" w:rsidR="00BE38F8" w:rsidRPr="00796736" w:rsidRDefault="00BE38F8"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Det fremgår af bestemmelsen, at der skal være tale om grove eller gentagne overtrædelser. Inddragelse af registreringen vil typisk være aktuel efter, at der har været givet en frist til berigtigelse af forholdet, og dette ikke er sket. Det forudsættes som udgangspunkt, at en mindre indgribende reaktion er anvendt over for den pågældende virksomhed eller person, før registrering inddrages, eller at forholdende indebærer, at virksomheden eller personen ikke har mulighed for at rette op på overtrædelserne inden for en tilpas kort tidshorisont.</w:t>
      </w:r>
    </w:p>
    <w:p w14:paraId="1C43448D" w14:textId="77777777" w:rsidR="00BE38F8" w:rsidRDefault="00BE38F8"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Kan forholdende rettes op ved mindre en mindre indgribende reaktion, end at trække registreringen, skal den mindre reaktion vælges. En mildere reaktion kan blandt andet være, at Erhvervsstyrelsen giver påbud om at virksomheden retter op på de kritisable forhold, at forholdet, at forholdet anmeldes til politiet eller at Erhvervsstyrelsen giver påbud om afsættelse af compliancemedarbejderen. </w:t>
      </w:r>
    </w:p>
    <w:p w14:paraId="45A78AF1" w14:textId="723CEA83" w:rsidR="003D2A25" w:rsidRPr="00796736" w:rsidRDefault="003D2A25" w:rsidP="00A802A5">
      <w:pPr>
        <w:spacing w:after="240" w:line="360" w:lineRule="auto"/>
        <w:rPr>
          <w:rFonts w:ascii="Times New Roman"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5BA99104" w14:textId="04A0DBBF" w:rsidR="00BE38F8" w:rsidRPr="00796736" w:rsidRDefault="00BE38F8"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afgørelse om inddragelse af registrering vil kunne indbringes for Erhvervsankenævnet i medfør af hvidvasklovens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_Ref241677414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132</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w:t>
      </w:r>
    </w:p>
    <w:p w14:paraId="5AF57E8B" w14:textId="661538E9" w:rsidR="00BE38F8" w:rsidRPr="00796736" w:rsidRDefault="00BE38F8" w:rsidP="00A802A5">
      <w:pPr>
        <w:spacing w:after="160"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7,</w:t>
      </w:r>
      <w:r w:rsidRPr="00796736">
        <w:rPr>
          <w:rFonts w:ascii="Times New Roman" w:hAnsi="Times New Roman" w:cs="Times New Roman"/>
          <w:sz w:val="24"/>
          <w:szCs w:val="24"/>
        </w:rPr>
        <w:t xml:space="preserve"> </w:t>
      </w:r>
      <w:r w:rsidR="004A72D6" w:rsidRPr="00796736">
        <w:rPr>
          <w:rFonts w:ascii="Times New Roman" w:hAnsi="Times New Roman" w:cs="Times New Roman"/>
          <w:sz w:val="24"/>
          <w:szCs w:val="24"/>
        </w:rPr>
        <w:t xml:space="preserve">at </w:t>
      </w:r>
      <w:r w:rsidR="004A72D6" w:rsidRPr="00796736">
        <w:rPr>
          <w:rFonts w:ascii="Times New Roman" w:hAnsi="Times New Roman" w:cs="Times New Roman"/>
          <w:sz w:val="24"/>
          <w:szCs w:val="24"/>
          <w:lang w:eastAsia="da-DK"/>
        </w:rPr>
        <w:t xml:space="preserve">Erhvervsstyrelsen kan inddrage registreringen af en virksomhed eller person efter stk. 1, hvis registreringen er foretaget på baggrund af urigtige eller vildledende oplysninger eller på anden uretmæssig vis, eller hvis virksomheden eller personen ikke er eller ophører med at være omfattet af </w:t>
      </w:r>
      <w:r w:rsidR="004A72D6" w:rsidRPr="00796736">
        <w:rPr>
          <w:rFonts w:ascii="Times New Roman" w:hAnsi="Times New Roman" w:cs="Times New Roman"/>
          <w:sz w:val="24"/>
          <w:szCs w:val="24"/>
          <w:lang w:eastAsia="da-DK"/>
        </w:rPr>
        <w:fldChar w:fldCharType="begin"/>
      </w:r>
      <w:r w:rsidR="004A72D6"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004A72D6" w:rsidRPr="00796736">
        <w:rPr>
          <w:rFonts w:ascii="Times New Roman" w:hAnsi="Times New Roman" w:cs="Times New Roman"/>
          <w:sz w:val="24"/>
          <w:szCs w:val="24"/>
          <w:lang w:eastAsia="da-DK"/>
        </w:rPr>
      </w:r>
      <w:r w:rsidR="004A72D6"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004A72D6" w:rsidRPr="00796736">
        <w:rPr>
          <w:rFonts w:ascii="Times New Roman" w:hAnsi="Times New Roman" w:cs="Times New Roman"/>
          <w:sz w:val="24"/>
          <w:szCs w:val="24"/>
          <w:lang w:eastAsia="da-DK"/>
        </w:rPr>
        <w:fldChar w:fldCharType="end"/>
      </w:r>
      <w:r w:rsidR="003D2A25">
        <w:rPr>
          <w:rFonts w:ascii="Times New Roman" w:hAnsi="Times New Roman" w:cs="Times New Roman"/>
          <w:sz w:val="24"/>
          <w:szCs w:val="24"/>
          <w:lang w:eastAsia="da-DK"/>
        </w:rPr>
        <w:t>,</w:t>
      </w:r>
      <w:r w:rsidR="004A72D6" w:rsidRPr="00796736">
        <w:rPr>
          <w:rFonts w:ascii="Times New Roman" w:hAnsi="Times New Roman" w:cs="Times New Roman"/>
          <w:sz w:val="24"/>
          <w:szCs w:val="24"/>
          <w:lang w:eastAsia="da-DK"/>
        </w:rPr>
        <w:t xml:space="preserve"> nr. 10. Registreringen efter stk. 1 bortfalder, hvis enheden registreres som ophørt i Det Centrale Virksomhedsregister.</w:t>
      </w:r>
    </w:p>
    <w:p w14:paraId="4010411A"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Erhvervsstyrelsen får mulighed for at inddrage en registrering, hvor registreringen er foretaget på et uretmæssigt grundlag, hvor virksomheden ikke vurderes at være omfattet af registreringspligten eller hvor virksomheden ikke længere er aktiv. </w:t>
      </w:r>
    </w:p>
    <w:p w14:paraId="113C0E44" w14:textId="77777777" w:rsidR="004A72D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Formålet med adgangen for Erhvervsstyrelsen til at inddrage registreringen i de nævnte tilfælde er at opretholde et retvisende og anvendeligt register, hvor alene virksomheder og personer, der har opnået registreringen på retvisende og lovligt grundlag opretholdes og hvor alene virksomheder og personer, der er omfattet af registreringspligten indgår. Dette understøttes tilsvarende af Erhvervsstyrelsens adgang til at afregistrere virksomheder, der er registreret som ophørt i Det Centrale Virksomhedsregister. </w:t>
      </w:r>
    </w:p>
    <w:p w14:paraId="64534758" w14:textId="4661DE13" w:rsidR="003D2A25" w:rsidRPr="00796736" w:rsidRDefault="003D2A25" w:rsidP="00A802A5">
      <w:pPr>
        <w:spacing w:after="240" w:line="360" w:lineRule="auto"/>
        <w:rPr>
          <w:rFonts w:ascii="Times New Roman"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1BD6D3D1" w14:textId="2D83DC59"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lang w:eastAsia="da-DK"/>
        </w:rPr>
        <w:t xml:space="preserve">Efter den foreslåede </w:t>
      </w:r>
      <w:r w:rsidRPr="00796736">
        <w:rPr>
          <w:rFonts w:ascii="Times New Roman" w:hAnsi="Times New Roman" w:cs="Times New Roman"/>
          <w:i/>
          <w:iCs/>
          <w:sz w:val="24"/>
          <w:szCs w:val="24"/>
          <w:lang w:eastAsia="da-DK"/>
        </w:rPr>
        <w:t xml:space="preserve">stk. 7, 1. pkt., </w:t>
      </w:r>
      <w:r w:rsidRPr="00796736">
        <w:rPr>
          <w:rFonts w:ascii="Times New Roman" w:hAnsi="Times New Roman" w:cs="Times New Roman"/>
          <w:sz w:val="24"/>
          <w:szCs w:val="24"/>
        </w:rPr>
        <w:t xml:space="preserve">vil Erhvervsstyrelsen kunne inddrage registreringen efter stk. 1, hvis registreringen er foretaget på baggrund af urigtige eller vildledende oplysninger eller på anden uretmæssig vis, eller hvis virksomheden eller personen ikke er eller ophører med at være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10.</w:t>
      </w:r>
    </w:p>
    <w:p w14:paraId="1D896650"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bestemmelsen kan Erhvervsstyrelsen inddrage en registrering, hvis registreringen er foretaget på baggrund af urigtige eller vildledende oplysninger eller på anden uretmæssig vis. Det er en forudsætning for anvendelsen af denne afregistreringsmulighed, at oplysningerne har haft betydning for godkendelsen af registreringen og at oplysningerne har været bevidst urigtige eller vildledende. </w:t>
      </w:r>
    </w:p>
    <w:p w14:paraId="3B26DD8F" w14:textId="5FD59A9D"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bestemmelsen kan Erhvervsstyrelsen inddrage en registrering, hvis virksomheden eller personen ikke er eller ophører med at være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10. En virksomhed eller person vurderes ikke at være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10, såfremt den pågældende virksomhed eller person ikke udgør en forpligtet enhed i henhold til hvidvaskforordningens artikel 3, nr. 3, litra c. Dette vil være tilfældet, hvor den pågældende virksomhed eller person ikke udøver en af de pågældende typer af virksomhed eller udbyder en af de pågældende ydelser, som nærmere defineret i hvidvaskforordningens artikel 2, stk. 1, nr. 11. </w:t>
      </w:r>
    </w:p>
    <w:p w14:paraId="5D0E9043" w14:textId="39D40B78"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Adgangen til afregistrering vil være relevant, hvor en virksomhed eller person aldrig har været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nr.10, eller hvor en virksomhed eller person ophører med at være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10. </w:t>
      </w:r>
    </w:p>
    <w:p w14:paraId="12C147F7" w14:textId="31737908" w:rsidR="004A72D6" w:rsidRPr="00796736" w:rsidRDefault="004A72D6" w:rsidP="00A802A5">
      <w:pPr>
        <w:spacing w:after="160"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forudsættes, at der ved afregistrering i tilfælde, hvor en virksomhed eller person tidligere har udgjort en relevant forpligtet enhed og derved underlagt registreringspligten, men ikke længere udøver den pågældende aktivitet eller ydelser, skal være en bestyrket sikkerhed for, at virksomheden eller personen ikke fortsat er omfattet af registreringspligten. Dette kan blandt andet søges belyst ved at Erhvervsstyrelsen indhenter en erhvervsmæssig redegørelse eller indgår en dialog med virksomheden om eventuelle planer om genoptagelse af driften eller ændring af erhvervsaktivitet, der medfører at virksomheden eller personen omfattes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10</w:t>
      </w:r>
      <w:r w:rsidRPr="00796736">
        <w:rPr>
          <w:rFonts w:ascii="Times New Roman" w:hAnsi="Times New Roman" w:cs="Times New Roman"/>
          <w:sz w:val="24"/>
          <w:szCs w:val="24"/>
          <w:lang w:eastAsia="da-DK"/>
        </w:rPr>
        <w:t>.</w:t>
      </w:r>
    </w:p>
    <w:p w14:paraId="1BF2783E" w14:textId="77777777" w:rsidR="004A72D6" w:rsidRPr="00796736" w:rsidRDefault="004A72D6" w:rsidP="00A802A5">
      <w:pPr>
        <w:spacing w:after="16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Efter den foreslåede </w:t>
      </w:r>
      <w:r w:rsidRPr="00796736">
        <w:rPr>
          <w:rFonts w:ascii="Times New Roman" w:hAnsi="Times New Roman" w:cs="Times New Roman"/>
          <w:i/>
          <w:iCs/>
          <w:sz w:val="24"/>
          <w:szCs w:val="24"/>
          <w:lang w:eastAsia="da-DK"/>
        </w:rPr>
        <w:t xml:space="preserve">stk. 7, 2. pkt., </w:t>
      </w:r>
      <w:r w:rsidRPr="00796736">
        <w:rPr>
          <w:rFonts w:ascii="Times New Roman" w:hAnsi="Times New Roman" w:cs="Times New Roman"/>
          <w:sz w:val="24"/>
          <w:szCs w:val="24"/>
        </w:rPr>
        <w:t xml:space="preserve">vil registreringen efter stk. 1 bortfalde, hvis </w:t>
      </w:r>
      <w:r w:rsidRPr="00796736">
        <w:rPr>
          <w:rFonts w:ascii="Times New Roman" w:hAnsi="Times New Roman" w:cs="Times New Roman"/>
          <w:sz w:val="24"/>
          <w:szCs w:val="24"/>
          <w:lang w:eastAsia="da-DK"/>
        </w:rPr>
        <w:t xml:space="preserve">enheden registreres som ophørt i Det Centrale Virksomhedsregister. </w:t>
      </w:r>
    </w:p>
    <w:p w14:paraId="3FFBAE20"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Med bestemmelsen kan Erhvervsstyrelsen inddrage en registrering, hvis virksomheden er registreret som ophørt i Det Centrale Virksomhedsregister.</w:t>
      </w:r>
    </w:p>
    <w:p w14:paraId="393977EE" w14:textId="5ACD338A"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Når en virksomhed er registreret som ophørt i CVR, har den ikke længere ret til at udøve den relevante aktivitet. Der vil derfor ikke være grundlag for at opretholde registreringen hos Erhvervsstyrelsen.</w:t>
      </w:r>
    </w:p>
    <w:p w14:paraId="6A4949E6" w14:textId="5F2A9825" w:rsidR="003D2A25" w:rsidRDefault="003D2A25" w:rsidP="00A802A5">
      <w:pPr>
        <w:spacing w:after="160"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Det foreslås i </w:t>
      </w:r>
      <w:r w:rsidRPr="00D253F0">
        <w:rPr>
          <w:rFonts w:ascii="Times New Roman" w:hAnsi="Times New Roman" w:cs="Times New Roman"/>
          <w:i/>
          <w:iCs/>
          <w:sz w:val="24"/>
          <w:szCs w:val="24"/>
        </w:rPr>
        <w:t>stk. 8,</w:t>
      </w:r>
      <w:r w:rsidRPr="00D253F0">
        <w:rPr>
          <w:rFonts w:ascii="Times New Roman" w:hAnsi="Times New Roman" w:cs="Times New Roman"/>
          <w:sz w:val="24"/>
          <w:szCs w:val="24"/>
        </w:rPr>
        <w:t xml:space="preserve"> at virksomheder og personer</w:t>
      </w:r>
      <w:r>
        <w:rPr>
          <w:rFonts w:ascii="Times New Roman" w:hAnsi="Times New Roman" w:cs="Times New Roman"/>
          <w:sz w:val="24"/>
          <w:szCs w:val="24"/>
        </w:rPr>
        <w:t xml:space="preserve"> </w:t>
      </w:r>
      <w:r>
        <w:rPr>
          <w:rFonts w:ascii="Times New Roman" w:hAnsi="Times New Roman" w:cs="Times New Roman"/>
          <w:sz w:val="24"/>
          <w:szCs w:val="24"/>
          <w:lang w:eastAsia="da-DK"/>
        </w:rPr>
        <w:t xml:space="preserve">omfattet af </w:t>
      </w:r>
      <w:r>
        <w:rPr>
          <w:rFonts w:ascii="Times New Roman" w:hAnsi="Times New Roman" w:cs="Times New Roman"/>
          <w:sz w:val="24"/>
          <w:szCs w:val="24"/>
          <w:lang w:eastAsia="da-DK"/>
        </w:rPr>
        <w:fldChar w:fldCharType="begin"/>
      </w:r>
      <w:r>
        <w:rPr>
          <w:rFonts w:ascii="Times New Roman" w:hAnsi="Times New Roman" w:cs="Times New Roman"/>
          <w:sz w:val="24"/>
          <w:szCs w:val="24"/>
          <w:lang w:eastAsia="da-DK"/>
        </w:rPr>
        <w:instrText xml:space="preserve"> REF _Ref236730892 \r \h </w:instrText>
      </w:r>
      <w:r w:rsidR="00CB248D">
        <w:rPr>
          <w:rFonts w:ascii="Times New Roman" w:hAnsi="Times New Roman" w:cs="Times New Roman"/>
          <w:sz w:val="24"/>
          <w:szCs w:val="24"/>
          <w:lang w:eastAsia="da-DK"/>
        </w:rPr>
        <w:instrText xml:space="preserve"> \* MERGEFORMAT </w:instrText>
      </w:r>
      <w:r>
        <w:rPr>
          <w:rFonts w:ascii="Times New Roman" w:hAnsi="Times New Roman" w:cs="Times New Roman"/>
          <w:sz w:val="24"/>
          <w:szCs w:val="24"/>
          <w:lang w:eastAsia="da-DK"/>
        </w:rPr>
      </w:r>
      <w:r>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Pr>
          <w:rFonts w:ascii="Times New Roman" w:hAnsi="Times New Roman" w:cs="Times New Roman"/>
          <w:sz w:val="24"/>
          <w:szCs w:val="24"/>
          <w:lang w:eastAsia="da-DK"/>
        </w:rPr>
        <w:fldChar w:fldCharType="end"/>
      </w:r>
      <w:r w:rsidRPr="00D253F0">
        <w:rPr>
          <w:rFonts w:ascii="Times New Roman" w:hAnsi="Times New Roman" w:cs="Times New Roman"/>
          <w:sz w:val="24"/>
          <w:szCs w:val="24"/>
          <w:lang w:eastAsia="da-DK"/>
        </w:rPr>
        <w:t>, nr. 10</w:t>
      </w:r>
      <w:r w:rsidRPr="00D253F0">
        <w:rPr>
          <w:rFonts w:ascii="Times New Roman" w:hAnsi="Times New Roman" w:cs="Times New Roman"/>
          <w:sz w:val="24"/>
          <w:szCs w:val="24"/>
        </w:rPr>
        <w:t>, et medlem af virksomhed</w:t>
      </w:r>
      <w:r>
        <w:rPr>
          <w:rFonts w:ascii="Times New Roman" w:hAnsi="Times New Roman" w:cs="Times New Roman"/>
          <w:sz w:val="24"/>
          <w:szCs w:val="24"/>
        </w:rPr>
        <w:t>en</w:t>
      </w:r>
      <w:r w:rsidRPr="00D253F0">
        <w:rPr>
          <w:rFonts w:ascii="Times New Roman" w:hAnsi="Times New Roman" w:cs="Times New Roman"/>
          <w:sz w:val="24"/>
          <w:szCs w:val="24"/>
        </w:rPr>
        <w:t>s øverste ledelse samt en reel ejer af virksomhed</w:t>
      </w:r>
      <w:r>
        <w:rPr>
          <w:rFonts w:ascii="Times New Roman" w:hAnsi="Times New Roman" w:cs="Times New Roman"/>
          <w:sz w:val="24"/>
          <w:szCs w:val="24"/>
        </w:rPr>
        <w:t>en</w:t>
      </w:r>
      <w:r w:rsidRPr="00D253F0">
        <w:rPr>
          <w:rFonts w:ascii="Times New Roman" w:hAnsi="Times New Roman" w:cs="Times New Roman"/>
          <w:sz w:val="24"/>
          <w:szCs w:val="24"/>
        </w:rPr>
        <w:t xml:space="preserve">, skal meddele Erhvervsstyrelsen oplysninger om efterfølgende ændringer af forhold som nævnt i stk. 2 senest 2 uger efter ændringen. </w:t>
      </w:r>
    </w:p>
    <w:p w14:paraId="740B1730" w14:textId="77777777" w:rsidR="003D2A25" w:rsidRDefault="003D2A25" w:rsidP="00A802A5">
      <w:pPr>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Den foreslåede bestemmelse vil medføre, at virksomheden eller personen samt medlemmer den øverste ledelse eller kreds af reelle ejere vil være forpligtet til af egen drift at informere Erhvervsstyrelsen, såfremt der efter ansøgning om registrering efter stk. 1 indtræder forhold, som er af betydning for vurderingen af, om kravene til egnethed og hæderlighed i stk. 2 fortsat kan anses for at være opfyldt. </w:t>
      </w:r>
    </w:p>
    <w:p w14:paraId="6885733D" w14:textId="77777777" w:rsidR="003D2A25" w:rsidRDefault="003D2A25" w:rsidP="00A802A5">
      <w:pPr>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Det vil herefter være op til Erhvervsstyrelsen at tage stilling til, om virksomheden, personen, medlemmet af den øverste ledelse eller den reelle ejer fortsat kan anses for at være egnet og hæderlig. </w:t>
      </w:r>
      <w:r w:rsidRPr="00D253F0">
        <w:rPr>
          <w:rFonts w:ascii="Times New Roman" w:hAnsi="Times New Roman" w:cs="Times New Roman"/>
          <w:sz w:val="24"/>
          <w:szCs w:val="24"/>
        </w:rPr>
        <w:t>Erhvervsstyrelsen skal anvende oplysningerne til at vurdere, om der skal føres skærpet tilsyn med virksomheden eller personen eller foretage en vurdering af om der skal ske inddragelse af registrering</w:t>
      </w:r>
      <w:r>
        <w:rPr>
          <w:rFonts w:ascii="Times New Roman" w:hAnsi="Times New Roman" w:cs="Times New Roman"/>
          <w:sz w:val="24"/>
          <w:szCs w:val="24"/>
        </w:rPr>
        <w:t xml:space="preserve">. </w:t>
      </w:r>
      <w:r w:rsidRPr="00663C9A">
        <w:rPr>
          <w:rFonts w:ascii="Times New Roman" w:hAnsi="Times New Roman" w:cs="Times New Roman"/>
          <w:sz w:val="24"/>
          <w:szCs w:val="24"/>
        </w:rPr>
        <w:t xml:space="preserve">De oplysninger, som </w:t>
      </w:r>
      <w:r>
        <w:rPr>
          <w:rFonts w:ascii="Times New Roman" w:hAnsi="Times New Roman" w:cs="Times New Roman"/>
          <w:sz w:val="24"/>
          <w:szCs w:val="24"/>
        </w:rPr>
        <w:t xml:space="preserve">Erhvervsstyrelsen </w:t>
      </w:r>
      <w:r w:rsidRPr="00663C9A">
        <w:rPr>
          <w:rFonts w:ascii="Times New Roman" w:hAnsi="Times New Roman" w:cs="Times New Roman"/>
          <w:sz w:val="24"/>
          <w:szCs w:val="24"/>
        </w:rPr>
        <w:t>modtager, vil indgå i denne bedømmelse.</w:t>
      </w:r>
    </w:p>
    <w:p w14:paraId="28B2F26D" w14:textId="72F69B9A" w:rsidR="003D2A25" w:rsidRDefault="003D2A25" w:rsidP="00A802A5">
      <w:pPr>
        <w:spacing w:after="160" w:line="360" w:lineRule="auto"/>
        <w:rPr>
          <w:rFonts w:ascii="Times New Roman" w:hAnsi="Times New Roman" w:cs="Times New Roman"/>
          <w:sz w:val="24"/>
          <w:szCs w:val="24"/>
        </w:rPr>
      </w:pPr>
      <w:r>
        <w:rPr>
          <w:rFonts w:ascii="Times New Roman" w:hAnsi="Times New Roman" w:cs="Times New Roman"/>
          <w:sz w:val="24"/>
          <w:szCs w:val="24"/>
        </w:rPr>
        <w:t>En ændring i et forhold som nævnt i stk. 2 kan for eksempel være</w:t>
      </w:r>
      <w:r w:rsidRPr="00D253F0">
        <w:rPr>
          <w:rFonts w:ascii="Times New Roman" w:hAnsi="Times New Roman" w:cs="Times New Roman"/>
          <w:sz w:val="24"/>
          <w:szCs w:val="24"/>
        </w:rPr>
        <w:t xml:space="preserve">, hvis virksomheden eller personen bliver dømt for et relevant strafbart forhold. </w:t>
      </w:r>
    </w:p>
    <w:p w14:paraId="0113FE77" w14:textId="79BC65EB" w:rsidR="00BE38F8" w:rsidRDefault="00BE38F8"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Meddelelse om ændringer i forholdene skal ske senest 2 uger efter ændringen. </w:t>
      </w:r>
    </w:p>
    <w:p w14:paraId="5E8E309D" w14:textId="77777777" w:rsidR="003D2A25" w:rsidRPr="00574C91" w:rsidRDefault="003D2A25"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Bestemmelsen</w:t>
      </w:r>
      <w:r w:rsidRPr="00574C91">
        <w:rPr>
          <w:rFonts w:ascii="Times New Roman" w:hAnsi="Times New Roman" w:cs="Times New Roman"/>
          <w:sz w:val="24"/>
          <w:szCs w:val="24"/>
        </w:rPr>
        <w:t xml:space="preserve"> vil indebære en oplysningspligt, jf. § 1, stk. 3, i lov om retssikkerhed ved forvaltningens anvendelse af tvangsindgreb og oplysningspligter (retssikkerhedsloven). Dette vil indebære, at oplysningspligten ikke finder anvendelse over for en enkeltperson eller juridisk person, hvis der er konkret mistanke om, at den pågældende har begået en lovovertrædelse, der kan medføre straf, medmindre det kan udelukkes, at de oplysninger, som søges tilvejebragt, kan have betydning for bedømmelsen af den formodede lovovertrædelse, jf. § 10 i retssikkerhedsloven.</w:t>
      </w:r>
    </w:p>
    <w:p w14:paraId="0FEBEF00" w14:textId="77777777" w:rsidR="003D2A25" w:rsidRPr="00574C91"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 xml:space="preserve">Erhvervsstyrelsen vil i sådanne tilfælde skulle vejlede den mistænkte om, at vedkommende ikke har pligt til at meddele oplysninger, som kan have betydning for bedømmelsen af den formodede lovovertrædelse. </w:t>
      </w:r>
    </w:p>
    <w:p w14:paraId="696EE683" w14:textId="4AC8BC0D" w:rsidR="003D2A25" w:rsidRPr="00796736"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Se nærmere herom i de almindelige bemærkninger pkt. 4.3.</w:t>
      </w:r>
    </w:p>
    <w:p w14:paraId="02D09B7C" w14:textId="408A0C84" w:rsidR="00BE38F8" w:rsidRDefault="00BE38F8"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personer som nævnt i bestemmelsen ikke meddeler Erhvervsstyrelsen de pågældende oplysninger, kan Erhvervsstyrelsen udstede et påbud om udlevering heraf i henhold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_Ref232597715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w:t>
      </w:r>
      <w:r w:rsidR="003D2A25">
        <w:rPr>
          <w:rFonts w:ascii="Times New Roman" w:hAnsi="Times New Roman" w:cs="Times New Roman"/>
          <w:sz w:val="24"/>
          <w:szCs w:val="24"/>
        </w:rPr>
        <w:t>.</w:t>
      </w:r>
    </w:p>
    <w:p w14:paraId="2702EA5F" w14:textId="57FA8283" w:rsidR="003D2A25" w:rsidRPr="00D253F0" w:rsidRDefault="003D2A25"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Erhvervsstyrelsen kan som tvangsmiddel for manglende efterkommelse af </w:t>
      </w:r>
      <w:r>
        <w:rPr>
          <w:rFonts w:ascii="Times New Roman" w:hAnsi="Times New Roman" w:cs="Times New Roman"/>
          <w:sz w:val="24"/>
          <w:szCs w:val="24"/>
        </w:rPr>
        <w:t xml:space="preserve">et </w:t>
      </w:r>
      <w:r w:rsidRPr="00D253F0">
        <w:rPr>
          <w:rFonts w:ascii="Times New Roman" w:hAnsi="Times New Roman" w:cs="Times New Roman"/>
          <w:sz w:val="24"/>
          <w:szCs w:val="24"/>
        </w:rPr>
        <w:t xml:space="preserve">påbud om udlevering af de påkrævede oplysninger derudover pålægge virksomheden eller personen daglige eller ugentlige tvangsbøder, jf. forslagets </w:t>
      </w:r>
      <w:r w:rsidRPr="00D253F0">
        <w:rPr>
          <w:rFonts w:ascii="Times New Roman" w:hAnsi="Times New Roman" w:cs="Times New Roman"/>
          <w:sz w:val="24"/>
          <w:szCs w:val="24"/>
        </w:rPr>
        <w:fldChar w:fldCharType="begin"/>
      </w:r>
      <w:r w:rsidRPr="00D253F0">
        <w:rPr>
          <w:rFonts w:ascii="Times New Roman" w:hAnsi="Times New Roman" w:cs="Times New Roman"/>
          <w:sz w:val="24"/>
          <w:szCs w:val="24"/>
        </w:rPr>
        <w:instrText xml:space="preserve"> REF _Ref232610061 \n \h  \* MERGEFORMAT </w:instrText>
      </w:r>
      <w:r w:rsidRPr="00D253F0">
        <w:rPr>
          <w:rFonts w:ascii="Times New Roman" w:hAnsi="Times New Roman" w:cs="Times New Roman"/>
          <w:sz w:val="24"/>
          <w:szCs w:val="24"/>
        </w:rPr>
      </w:r>
      <w:r w:rsidRPr="00D253F0">
        <w:rPr>
          <w:rFonts w:ascii="Times New Roman" w:hAnsi="Times New Roman" w:cs="Times New Roman"/>
          <w:sz w:val="24"/>
          <w:szCs w:val="24"/>
        </w:rPr>
        <w:fldChar w:fldCharType="separate"/>
      </w:r>
      <w:r w:rsidR="008F29E5">
        <w:rPr>
          <w:rFonts w:ascii="Times New Roman" w:hAnsi="Times New Roman" w:cs="Times New Roman"/>
          <w:sz w:val="24"/>
          <w:szCs w:val="24"/>
        </w:rPr>
        <w:t>§ 136</w:t>
      </w:r>
      <w:r w:rsidRPr="00D253F0">
        <w:rPr>
          <w:rFonts w:ascii="Times New Roman" w:hAnsi="Times New Roman" w:cs="Times New Roman"/>
          <w:sz w:val="24"/>
          <w:szCs w:val="24"/>
        </w:rPr>
        <w:fldChar w:fldCharType="end"/>
      </w:r>
      <w:r w:rsidRPr="00D253F0">
        <w:rPr>
          <w:rFonts w:ascii="Times New Roman" w:hAnsi="Times New Roman" w:cs="Times New Roman"/>
          <w:sz w:val="24"/>
          <w:szCs w:val="24"/>
        </w:rPr>
        <w:t>, stk. 1.</w:t>
      </w:r>
    </w:p>
    <w:p w14:paraId="35E60E29" w14:textId="77777777" w:rsidR="003D2A25" w:rsidRDefault="003D2A25" w:rsidP="00A802A5">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Erhvervsstyrelsen kan ikke pålægge tvangsbøder, hvis styrelsen har en konkret mistanke om, at en enkeltperson eller en juridisk person har begået en lovovertrædelse, jf. § 10 i lov om retssikkerhed ved forvaltningens anvendelse af tvangsindgreb og oplysningspligter (retssikkerhedsloven). Tvangsbøder kan dog anvendes, hvis det kan udelukkes, at de oplysninger, som søges tilvejebragt, kan have betydning for bedømmelsen af den formodede lovovertrædelse. Der henvises til retssikkerhedsloven for fortolkningen af denne bestemmelse.</w:t>
      </w:r>
      <w:r w:rsidRPr="00051743">
        <w:rPr>
          <w:rFonts w:ascii="Times New Roman" w:hAnsi="Times New Roman" w:cs="Times New Roman"/>
          <w:sz w:val="24"/>
          <w:szCs w:val="24"/>
        </w:rPr>
        <w:t xml:space="preserve"> </w:t>
      </w:r>
      <w:r w:rsidRPr="00574C91">
        <w:rPr>
          <w:rFonts w:ascii="Times New Roman" w:hAnsi="Times New Roman" w:cs="Times New Roman"/>
          <w:sz w:val="24"/>
          <w:szCs w:val="24"/>
        </w:rPr>
        <w:t>Se nærmere herom i de almindelige bemærkninger pkt. 4.3.</w:t>
      </w:r>
    </w:p>
    <w:p w14:paraId="48DED0F4" w14:textId="060F27DE" w:rsidR="003D2A25" w:rsidRDefault="003D2A25" w:rsidP="00A802A5">
      <w:pPr>
        <w:tabs>
          <w:tab w:val="left" w:pos="4245"/>
        </w:tabs>
        <w:spacing w:line="360" w:lineRule="auto"/>
        <w:rPr>
          <w:rFonts w:ascii="Times New Roman" w:hAnsi="Times New Roman" w:cs="Times New Roman"/>
          <w:sz w:val="24"/>
          <w:szCs w:val="24"/>
        </w:rPr>
      </w:pPr>
      <w:r w:rsidRPr="0074518A">
        <w:rPr>
          <w:rFonts w:ascii="Times New Roman" w:hAnsi="Times New Roman" w:cs="Times New Roman"/>
          <w:sz w:val="24"/>
          <w:szCs w:val="24"/>
        </w:rPr>
        <w:t xml:space="preserve">Overtrædelse af bestemmelsen foreslås strafbelagt i henhold til </w:t>
      </w:r>
      <w:r w:rsidRPr="0074518A">
        <w:rPr>
          <w:rFonts w:ascii="Times New Roman" w:hAnsi="Times New Roman" w:cs="Times New Roman"/>
          <w:sz w:val="24"/>
          <w:szCs w:val="24"/>
        </w:rPr>
        <w:fldChar w:fldCharType="begin"/>
      </w:r>
      <w:r w:rsidRPr="0074518A">
        <w:rPr>
          <w:rFonts w:ascii="Times New Roman" w:hAnsi="Times New Roman" w:cs="Times New Roman"/>
          <w:sz w:val="24"/>
          <w:szCs w:val="24"/>
        </w:rPr>
        <w:instrText xml:space="preserve"> REF _Ref242963797 \r \h </w:instrText>
      </w:r>
      <w:r>
        <w:rPr>
          <w:rFonts w:ascii="Times New Roman" w:hAnsi="Times New Roman" w:cs="Times New Roman"/>
          <w:sz w:val="24"/>
          <w:szCs w:val="24"/>
        </w:rPr>
        <w:instrText xml:space="preserve"> \* MERGEFORMAT </w:instrText>
      </w:r>
      <w:r w:rsidRPr="0074518A">
        <w:rPr>
          <w:rFonts w:ascii="Times New Roman" w:hAnsi="Times New Roman" w:cs="Times New Roman"/>
          <w:sz w:val="24"/>
          <w:szCs w:val="24"/>
        </w:rPr>
      </w:r>
      <w:r w:rsidRPr="0074518A">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Pr="0074518A">
        <w:rPr>
          <w:rFonts w:ascii="Times New Roman" w:hAnsi="Times New Roman" w:cs="Times New Roman"/>
          <w:sz w:val="24"/>
          <w:szCs w:val="24"/>
        </w:rPr>
        <w:fldChar w:fldCharType="end"/>
      </w:r>
      <w:r w:rsidRPr="0074518A">
        <w:rPr>
          <w:rFonts w:ascii="Times New Roman" w:hAnsi="Times New Roman" w:cs="Times New Roman"/>
          <w:sz w:val="24"/>
          <w:szCs w:val="24"/>
        </w:rPr>
        <w:t xml:space="preserve">, stk. 1, nr. 5. Ansvarssubjekterne for overtrædelse af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_Ref232609012 \r \h </w:instrText>
      </w:r>
      <w:r w:rsidR="00CB248D">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83</w:t>
      </w:r>
      <w:r>
        <w:rPr>
          <w:rFonts w:ascii="Times New Roman" w:hAnsi="Times New Roman" w:cs="Times New Roman"/>
          <w:sz w:val="24"/>
          <w:szCs w:val="24"/>
        </w:rPr>
        <w:fldChar w:fldCharType="end"/>
      </w:r>
      <w:r w:rsidRPr="0074518A">
        <w:rPr>
          <w:rFonts w:ascii="Times New Roman" w:hAnsi="Times New Roman" w:cs="Times New Roman"/>
          <w:sz w:val="24"/>
          <w:szCs w:val="24"/>
        </w:rPr>
        <w:t xml:space="preserve">, stk. 8, vil være virksomheder eller personer omfattet af lovforslagets </w:t>
      </w:r>
      <w:r w:rsidRPr="0074518A">
        <w:rPr>
          <w:rFonts w:ascii="Times New Roman" w:hAnsi="Times New Roman" w:cs="Times New Roman"/>
          <w:sz w:val="24"/>
          <w:szCs w:val="24"/>
        </w:rPr>
        <w:fldChar w:fldCharType="begin"/>
      </w:r>
      <w:r w:rsidRPr="0074518A">
        <w:rPr>
          <w:rFonts w:ascii="Times New Roman" w:hAnsi="Times New Roman" w:cs="Times New Roman"/>
          <w:sz w:val="24"/>
          <w:szCs w:val="24"/>
        </w:rPr>
        <w:instrText xml:space="preserve"> REF _Ref236730892 \r \h  \* MERGEFORMAT </w:instrText>
      </w:r>
      <w:r w:rsidRPr="0074518A">
        <w:rPr>
          <w:rFonts w:ascii="Times New Roman" w:hAnsi="Times New Roman" w:cs="Times New Roman"/>
          <w:sz w:val="24"/>
          <w:szCs w:val="24"/>
        </w:rPr>
      </w:r>
      <w:r w:rsidRPr="0074518A">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4518A">
        <w:rPr>
          <w:rFonts w:ascii="Times New Roman" w:hAnsi="Times New Roman" w:cs="Times New Roman"/>
          <w:sz w:val="24"/>
          <w:szCs w:val="24"/>
        </w:rPr>
        <w:fldChar w:fldCharType="end"/>
      </w:r>
      <w:r w:rsidRPr="0074518A">
        <w:rPr>
          <w:rFonts w:ascii="Times New Roman" w:hAnsi="Times New Roman" w:cs="Times New Roman"/>
          <w:sz w:val="24"/>
          <w:szCs w:val="24"/>
        </w:rPr>
        <w:t xml:space="preserve">, nr. 10 og medlemmer af den øverste ledelse eller reelle ejere af en sådan virksomhed. Den strafbare handling består i ikke at give Erhvervsstyrelsen meddelelse om, at der er sket efterfølgende ændringer af forhold, som lå til grund for registreringen efter stk. 2. Et eksempel på overtrædelse er et ledelsesmedlem, der ikke oplyser Erhvervsstyrelsen om ændring i forhold, som har betydning for opfyldelsen af registreringsbetingelserne.      </w:t>
      </w:r>
    </w:p>
    <w:p w14:paraId="407EC039" w14:textId="77777777" w:rsidR="003D2A25" w:rsidRPr="00796736" w:rsidRDefault="003D2A25" w:rsidP="00A802A5">
      <w:pPr>
        <w:tabs>
          <w:tab w:val="left" w:pos="4245"/>
        </w:tabs>
        <w:spacing w:line="360" w:lineRule="auto"/>
        <w:rPr>
          <w:rFonts w:ascii="Times New Roman" w:hAnsi="Times New Roman" w:cs="Times New Roman"/>
          <w:sz w:val="24"/>
          <w:szCs w:val="24"/>
        </w:rPr>
      </w:pPr>
    </w:p>
    <w:p w14:paraId="7A18706C" w14:textId="711E829B" w:rsidR="00940B1D" w:rsidRPr="00796736" w:rsidRDefault="00940B1D" w:rsidP="00A802A5">
      <w:pPr>
        <w:spacing w:after="160"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BE38F8" w:rsidRPr="00796736">
        <w:rPr>
          <w:rFonts w:ascii="Times New Roman" w:hAnsi="Times New Roman" w:cs="Times New Roman"/>
          <w:i/>
          <w:iCs/>
          <w:sz w:val="24"/>
          <w:szCs w:val="24"/>
        </w:rPr>
        <w:t>9</w:t>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 xml:space="preserve">at </w:t>
      </w:r>
      <w:r w:rsidRPr="00796736">
        <w:rPr>
          <w:rFonts w:ascii="Times New Roman" w:hAnsi="Times New Roman" w:cs="Times New Roman"/>
          <w:sz w:val="24"/>
          <w:szCs w:val="24"/>
          <w:lang w:eastAsia="da-DK"/>
        </w:rPr>
        <w:t xml:space="preserve">Erhvervsstyrelsen i særlige tilfælde, hvor Erhvervsstyrelsen vurderer, at et medlem af virksomhedens øverste ledelse eller personen ikke har den fornødne viden og ekspertise efter stk. 2, nr. 4, kan træffe afgørelse om, at personen kan varetage stillingen under nærmere fastsatte betingelser. </w:t>
      </w:r>
    </w:p>
    <w:p w14:paraId="169DD912"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udgør en undtagelse til udgangspunktet om, at Erhvervsstyrelsen efter stk. 2, nr. 4, skal undlade at registrere personen eller et medlem af virksomhedens øverste eller daglige ledelse, såfremt vedkommende ikke har den viden og ekspertise, der er nødvendig for at udføre opgaverne.  </w:t>
      </w:r>
    </w:p>
    <w:p w14:paraId="409D4881" w14:textId="3A8567B3"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Erhvervsstyrelsen ud fra en individuel vurdering kan opstille betingelser for, at et medlem af virksomhedens øverste ledelse kan meddeles en betinget afgørelse om registrering, uanset at personen ikke umiddelbart vurderes at leve op til egnethedskravene i stk. 2, nr. 4, idet vedkommende ved registreringstidspunktet ikke anses for at have den fornødne viden og ekspertise.</w:t>
      </w:r>
    </w:p>
    <w:p w14:paraId="2356036E" w14:textId="77777777" w:rsidR="004A72D6" w:rsidRPr="00796736" w:rsidRDefault="004A72D6"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Bemyndigelsen vil blive anvendt i de tilfælde, hvor Erhvervsstyrelsen enten vurderer, at den pågældende direktør eller bestyrelsesmedlem eller tilsvarende ledelsesmedlem ikke helt har de tilstrækkelige faglige forudsætninger eller erfaring i forhold til den stilling eller hverv, som vedkommende skal besidde. </w:t>
      </w:r>
    </w:p>
    <w:p w14:paraId="4B584B55"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Betingede afgørelser vil kunne bruges, hvis betingelserne kan defineres klart og entydigt og kan opfyldes på kort tid. Det er ligeledes en forudsætning, at der skal være tale om objektive og målbare krav. Det kan være en betingelse om, at den pågældende skal gennemgå en konkret uddannelse eller på anden vis opbygge konkrete kompetencer. Det kan eksempelvis være tilfældet, hvor den pågældende har tilstrækkelig ledelseserfaring, men er ny i den konkrete rolle i den pågældende virksomhed, og derfor mangler kompetencer på et relevant forretnings- eller kontrolområde, såsom hvidvaskforebyggelse, risikostyring m.v. Det kan ligeledes være ved situationer, hvor den pågældende person vurderes ikke at have tilstrækkeligt kendskab til virksomhedens forretningsområde eller kundesegment. </w:t>
      </w:r>
    </w:p>
    <w:p w14:paraId="154EE741"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Vedkommende vil således kunne blive registreret på betingelse af, at personen gennemfører en specifik uddannelse eller træning inden for det relevante område. </w:t>
      </w:r>
    </w:p>
    <w:p w14:paraId="0F0A6742"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af Erhvervsstyrelsen fastsatte betingelser skal være proportionale og tage hensyn til virksomhedens størrelse og kompleksitet. Der skal ligeledes tages hensyn til den pågældendes rolle, opgaver og ansvarsområder i virksomheden. De betingelser, der stilles til den pågældende, vil derfor skulle afvejes op imod de opgaver og det ansvar, den pågældende er forpligtet til at løfte i kraft af sin rolle i virksomheden. Tilsvarende bør der i afvejningen skulle tages højde for den risiko, som den pågældende virksomhed er eksponeret for ud fra de udbudte ydelser, forretningsområder og kundesegment. </w:t>
      </w:r>
    </w:p>
    <w:p w14:paraId="1D27FCC3"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Betingelserne vil blive fastsat med udgangspunkt i den konkrete stilling i den konkrete virksomhed og knytter sig specifikt hertil. Det er derfor ikke givet, at den pågældende vil opfylde egnethedskravet i forhold til en anden stilling i en anden og måske større og mere kompleks virksomhed. </w:t>
      </w:r>
    </w:p>
    <w:p w14:paraId="221877A5"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Betingede afgørelser vil være tidsbegrænsede. Betingelserne skal dermed opfyldes inden for en af Erhvervsstyrelsen fastsat tidsperiode, som ikke bør være længere end højst 18 måneder. Forudsætningen for at opnå en betinget godkendelse vil være, at personen opfylder de fastsatte betingelser, eksempelvis gennemfører den nødvendige uddannelse, træning eller andre afhjælpende foranstaltninger, inden for den af Erhvervsstyrelsen fastsatte tidsperiode. Betingelserne skal fast sættes på en måde, så Erhvervsstyrelsen vil kunne vurdere, om betingelserne er opfyldt inden for fristen. </w:t>
      </w:r>
    </w:p>
    <w:p w14:paraId="1FB2AE44"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skal påse, at den pågældende opfylder betingelserne, når perioden udløber. Erhvervsstyrelsen skal ikke foretage en fornyet prøvelse af, hvorvidt den pågældende opfylder de øvrige egnetheds- og hæderlighedskrav i stk. 2, men alene vurdere, hvorvidt de tidligere meddelte betingelser for opnåelse af den nødvendige viden og ekspertise er opfyldt, således at vedkommende ikke fortsat skal nægtes registrering efter stk. 2, nr. 4.</w:t>
      </w:r>
    </w:p>
    <w:p w14:paraId="24D41875"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skal modtage de oplysninger og dokumentation, som er nødvendige for Erhvervsstyrelsens vurdering af, om vedkommende opfylder betingelserne. </w:t>
      </w:r>
    </w:p>
    <w:p w14:paraId="77BB0B5B" w14:textId="77777777" w:rsidR="00940B1D" w:rsidRPr="00796736"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Erhvervsstyrelsen vurderer, at den pågældende person ikke opfylder de fastsatte betingelser efter fristens udløb, vil konsekvensen være, at den pågældende ikke vurderes fuldt ud at leve op til egnethedskravet efter stk. 2, og derfor ikke kan meddelelses registrering. </w:t>
      </w:r>
    </w:p>
    <w:p w14:paraId="304DC5AB" w14:textId="17935CEE" w:rsidR="00940B1D" w:rsidRDefault="00940B1D" w:rsidP="00A802A5">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Erhvervsstyrelsen vil i særlige tilfælde kunne forlænge fristen for opfyldelse af betingelserne, hvis det vurderes, at den pågældende inden for en rimelig frist kan opfylde betingelserne. Forlængelse af fristen bør ikke overskride seks måneder. </w:t>
      </w:r>
    </w:p>
    <w:p w14:paraId="1312B2E1" w14:textId="3BEE8E39" w:rsidR="003D2A25" w:rsidRPr="00796736" w:rsidRDefault="003D2A25" w:rsidP="00A802A5">
      <w:pPr>
        <w:spacing w:after="240" w:line="360" w:lineRule="auto"/>
        <w:rPr>
          <w:rFonts w:ascii="Times New Roman"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1A0DB2E6" w14:textId="77777777" w:rsidR="00796736" w:rsidRPr="00796736" w:rsidRDefault="00796736" w:rsidP="00A802A5">
      <w:pPr>
        <w:spacing w:after="160" w:line="360" w:lineRule="auto"/>
        <w:rPr>
          <w:rFonts w:ascii="Times New Roman" w:hAnsi="Times New Roman" w:cs="Times New Roman"/>
          <w:sz w:val="24"/>
          <w:szCs w:val="24"/>
        </w:rPr>
      </w:pPr>
    </w:p>
    <w:p w14:paraId="32A5002C" w14:textId="5AC37796" w:rsidR="00940B1D" w:rsidRPr="00796736" w:rsidRDefault="00940B1D" w:rsidP="00A802A5">
      <w:pPr>
        <w:pStyle w:val="Undertitel"/>
      </w:pPr>
      <w:bookmarkStart w:id="2111" w:name="_Toc232109419"/>
      <w:bookmarkStart w:id="2112" w:name="_Toc244879380"/>
      <w:bookmarkStart w:id="2113" w:name="_Toc244880905"/>
      <w:r w:rsidRPr="00796736">
        <w:t xml:space="preserve">Til </w:t>
      </w:r>
      <w:bookmarkEnd w:id="2111"/>
      <w:r w:rsidRPr="00796736">
        <w:fldChar w:fldCharType="begin"/>
      </w:r>
      <w:r w:rsidRPr="00796736">
        <w:instrText xml:space="preserve"> REF _Ref232609038 \r \h  \* MERGEFORMAT </w:instrText>
      </w:r>
      <w:r w:rsidRPr="00796736">
        <w:fldChar w:fldCharType="separate"/>
      </w:r>
      <w:r w:rsidR="008F29E5">
        <w:t>§ 84</w:t>
      </w:r>
      <w:bookmarkEnd w:id="2112"/>
      <w:bookmarkEnd w:id="2113"/>
      <w:r w:rsidRPr="00796736">
        <w:fldChar w:fldCharType="end"/>
      </w:r>
      <w:r w:rsidRPr="00796736">
        <w:t xml:space="preserve"> </w:t>
      </w:r>
    </w:p>
    <w:p w14:paraId="4315F467"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 61 i den gældende hvidvasklov bemyndiger Erhvervsstyrelsen til for udbydere af tjenesteydelser til virksomheder omfattet af hvidvaskloven efter § 1, stk. 1, nr. 17 at fastsætte nærmere regler om anmeldelse, registrering og offentliggørelse, herunder om, hvilke oplysninger der skal registreres og hvilke forhold anmeldere eller andre kan indsende og registrere elektronisk i Erhvervsstyrelsens it-system ved at benytte digital eller tilsvarende elektronisk signatur, og om brugen af dette system. </w:t>
      </w:r>
    </w:p>
    <w:p w14:paraId="667035C4" w14:textId="01BAFEDD"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_Ref232609038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84</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viderefører § 61 i den gældende hvidvasklov </w:t>
      </w:r>
      <w:r w:rsidR="00BE38F8" w:rsidRPr="00796736">
        <w:rPr>
          <w:rFonts w:ascii="Times New Roman" w:hAnsi="Times New Roman" w:cs="Times New Roman"/>
          <w:sz w:val="24"/>
          <w:szCs w:val="24"/>
        </w:rPr>
        <w:t xml:space="preserve">men udvider bestemmelsen, så den også finder anvendelse på den generelle registreringsforpligtelse efter </w:t>
      </w:r>
      <w:r w:rsidR="00BE38F8" w:rsidRPr="00796736">
        <w:rPr>
          <w:rFonts w:ascii="Times New Roman" w:hAnsi="Times New Roman" w:cs="Times New Roman"/>
          <w:sz w:val="24"/>
          <w:szCs w:val="24"/>
        </w:rPr>
        <w:fldChar w:fldCharType="begin"/>
      </w:r>
      <w:r w:rsidR="00BE38F8" w:rsidRPr="00796736">
        <w:rPr>
          <w:rFonts w:ascii="Times New Roman" w:hAnsi="Times New Roman" w:cs="Times New Roman"/>
          <w:sz w:val="24"/>
          <w:szCs w:val="24"/>
        </w:rPr>
        <w:instrText xml:space="preserve"> REF _Ref236728924 \r \h </w:instrText>
      </w:r>
      <w:r w:rsidR="00F375BF" w:rsidRPr="00796736">
        <w:rPr>
          <w:rFonts w:ascii="Times New Roman" w:hAnsi="Times New Roman" w:cs="Times New Roman"/>
          <w:sz w:val="24"/>
          <w:szCs w:val="24"/>
        </w:rPr>
        <w:instrText xml:space="preserve"> \* MERGEFORMAT </w:instrText>
      </w:r>
      <w:r w:rsidR="00BE38F8" w:rsidRPr="00796736">
        <w:rPr>
          <w:rFonts w:ascii="Times New Roman" w:hAnsi="Times New Roman" w:cs="Times New Roman"/>
          <w:sz w:val="24"/>
          <w:szCs w:val="24"/>
        </w:rPr>
      </w:r>
      <w:r w:rsidR="00BE38F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82</w:t>
      </w:r>
      <w:r w:rsidR="00BE38F8" w:rsidRPr="00796736">
        <w:rPr>
          <w:rFonts w:ascii="Times New Roman" w:hAnsi="Times New Roman" w:cs="Times New Roman"/>
          <w:sz w:val="24"/>
          <w:szCs w:val="24"/>
        </w:rPr>
        <w:fldChar w:fldCharType="end"/>
      </w:r>
      <w:r w:rsidR="00BE38F8" w:rsidRPr="00796736">
        <w:rPr>
          <w:rFonts w:ascii="Times New Roman" w:hAnsi="Times New Roman" w:cs="Times New Roman"/>
          <w:sz w:val="24"/>
          <w:szCs w:val="24"/>
        </w:rPr>
        <w:t>.</w:t>
      </w:r>
    </w:p>
    <w:p w14:paraId="79CB8547"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er en dansk særregel og er således ikke et krav i 6. hvidvaskdirektiv.</w:t>
      </w:r>
    </w:p>
    <w:p w14:paraId="0FC4F646" w14:textId="334EE3F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forventes, at der vil blive udstedt en bekendtgørelse som indholdsmæssigt svarer til den gældende bekendtgørelse</w:t>
      </w:r>
      <w:r w:rsidR="00BE38F8" w:rsidRPr="00796736">
        <w:rPr>
          <w:rFonts w:ascii="Times New Roman" w:hAnsi="Times New Roman" w:cs="Times New Roman"/>
          <w:sz w:val="24"/>
          <w:szCs w:val="24"/>
        </w:rPr>
        <w:t xml:space="preserve"> for udbydere af tjenesteydelser til virksomheder samt en ny bekendtgørelse for den generelle registreringsforpligtelse efter </w:t>
      </w:r>
      <w:r w:rsidR="00BE38F8" w:rsidRPr="00796736">
        <w:rPr>
          <w:rFonts w:ascii="Times New Roman" w:hAnsi="Times New Roman" w:cs="Times New Roman"/>
          <w:sz w:val="24"/>
          <w:szCs w:val="24"/>
        </w:rPr>
        <w:fldChar w:fldCharType="begin"/>
      </w:r>
      <w:r w:rsidR="00BE38F8" w:rsidRPr="00796736">
        <w:rPr>
          <w:rFonts w:ascii="Times New Roman" w:hAnsi="Times New Roman" w:cs="Times New Roman"/>
          <w:sz w:val="24"/>
          <w:szCs w:val="24"/>
        </w:rPr>
        <w:instrText xml:space="preserve"> REF _Ref236728924 \r \h </w:instrText>
      </w:r>
      <w:r w:rsidR="00F375BF" w:rsidRPr="00796736">
        <w:rPr>
          <w:rFonts w:ascii="Times New Roman" w:hAnsi="Times New Roman" w:cs="Times New Roman"/>
          <w:sz w:val="24"/>
          <w:szCs w:val="24"/>
        </w:rPr>
        <w:instrText xml:space="preserve"> \* MERGEFORMAT </w:instrText>
      </w:r>
      <w:r w:rsidR="00BE38F8" w:rsidRPr="00796736">
        <w:rPr>
          <w:rFonts w:ascii="Times New Roman" w:hAnsi="Times New Roman" w:cs="Times New Roman"/>
          <w:sz w:val="24"/>
          <w:szCs w:val="24"/>
        </w:rPr>
      </w:r>
      <w:r w:rsidR="00BE38F8"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82</w:t>
      </w:r>
      <w:r w:rsidR="00BE38F8"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747F77B6" w14:textId="1F9BE7AA" w:rsidR="00BE38F8" w:rsidRPr="00796736" w:rsidRDefault="00BE38F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sz w:val="24"/>
          <w:szCs w:val="24"/>
        </w:rPr>
        <w:fldChar w:fldCharType="begin"/>
      </w:r>
      <w:r w:rsidRPr="00796736">
        <w:rPr>
          <w:rFonts w:ascii="Times New Roman" w:hAnsi="Times New Roman" w:cs="Times New Roman"/>
          <w:i/>
          <w:sz w:val="24"/>
          <w:szCs w:val="24"/>
        </w:rPr>
        <w:instrText xml:space="preserve"> REF _Ref232609038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i/>
          <w:sz w:val="24"/>
          <w:szCs w:val="24"/>
        </w:rPr>
        <w:t>§ 84</w:t>
      </w:r>
      <w:r w:rsidRPr="00796736">
        <w:rPr>
          <w:rFonts w:ascii="Times New Roman" w:hAnsi="Times New Roman" w:cs="Times New Roman"/>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Erhvervsstyrelsen kan for virksomheder og personer, der 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_Ref236728924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_Ref233022553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fastsætte nærmere regler om anmeldelse, registrering og offentliggørelse. Dette omfatter blandt andet regler om, hvilke oplysninger der skal registreres, og hvilke forhold anmeldere eller andre kan indsende og registrere elektronisk i styrelsens it-system ved at benytte digital eller tilsvarende elektronisk signatur, og om brugen af dette system.</w:t>
      </w:r>
    </w:p>
    <w:p w14:paraId="63989466" w14:textId="77777777" w:rsidR="00BE38F8" w:rsidRPr="00796736" w:rsidRDefault="00BE38F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 oplysninger, der skal registreres, kan f.eks. være oplysninger om virksomhedens navn og cvr-nr., eller andet registreringsnummer, og for privatpersoner kan det tillige dreje sig om cpr-nr. Endvidere kan det omfatte hvilke typer af ydelser, der tilbydes og samtlige adresser i Danmark, hvor kunder kan henvende sig til virksomheden, samt ændringer i de oprindelige oplysninger.</w:t>
      </w:r>
    </w:p>
    <w:p w14:paraId="6F81E5EB" w14:textId="77777777" w:rsidR="00BE38F8" w:rsidRPr="00796736" w:rsidRDefault="00BE38F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gives samtidig mulighed for, at Erhvervsstyrelsen under iagttagelse af visse regler, herunder persondataloven og forvaltningsloven, kan give anmeldere eller andre mulighed for selv at kunne foretage registreringer i styrelsens it-system. Disse regler kan f.eks. være anvendelse af særlige systemer eller brug af digital signatur eller andre sikkerhedsforanstaltninger.</w:t>
      </w:r>
    </w:p>
    <w:p w14:paraId="655E528B" w14:textId="77777777" w:rsidR="00BE38F8" w:rsidRPr="00796736" w:rsidRDefault="00BE38F8"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præciseres, at Erhvervsstyrelsen kan stille krav om anvendelse af elektronisk signatur i forbindelse med registreringer m.v.</w:t>
      </w:r>
    </w:p>
    <w:p w14:paraId="2DBA7A7D" w14:textId="77777777" w:rsidR="00940B1D" w:rsidRPr="00796736" w:rsidRDefault="00940B1D" w:rsidP="00A802A5">
      <w:pPr>
        <w:spacing w:after="240" w:line="360" w:lineRule="auto"/>
        <w:rPr>
          <w:rFonts w:ascii="Times New Roman" w:hAnsi="Times New Roman" w:cs="Times New Roman"/>
          <w:sz w:val="24"/>
          <w:szCs w:val="24"/>
        </w:rPr>
      </w:pPr>
    </w:p>
    <w:p w14:paraId="65F9E7C6" w14:textId="6AA06FE9" w:rsidR="00940B1D" w:rsidRPr="00796736" w:rsidRDefault="00940B1D" w:rsidP="00A802A5">
      <w:pPr>
        <w:pStyle w:val="Undertitel"/>
      </w:pPr>
      <w:bookmarkStart w:id="2114" w:name="_Toc232109420"/>
      <w:bookmarkStart w:id="2115" w:name="_Toc244879381"/>
      <w:bookmarkStart w:id="2116" w:name="_Toc244880906"/>
      <w:r w:rsidRPr="00796736">
        <w:t xml:space="preserve">Til </w:t>
      </w:r>
      <w:bookmarkEnd w:id="2114"/>
      <w:r w:rsidRPr="00796736">
        <w:fldChar w:fldCharType="begin"/>
      </w:r>
      <w:r w:rsidRPr="00796736">
        <w:instrText xml:space="preserve"> REF _Ref232609060 \r \h  \* MERGEFORMAT </w:instrText>
      </w:r>
      <w:r w:rsidRPr="00796736">
        <w:fldChar w:fldCharType="separate"/>
      </w:r>
      <w:r w:rsidR="008F29E5">
        <w:t>§ 85</w:t>
      </w:r>
      <w:bookmarkEnd w:id="2115"/>
      <w:bookmarkEnd w:id="2116"/>
      <w:r w:rsidRPr="00796736">
        <w:fldChar w:fldCharType="end"/>
      </w:r>
      <w:r w:rsidR="002408BB" w:rsidRPr="00796736">
        <w:t xml:space="preserve"> </w:t>
      </w:r>
    </w:p>
    <w:p w14:paraId="352507ED" w14:textId="0BDCEA0A" w:rsidR="00D71F73" w:rsidRDefault="00D71F7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fremgår af § 57, stk. 2 i den gældende hvidvasklov at medlemmer af ledelsen og reelle ejere af virksomheder samt personer omfattet af § 1, stk. 1, nr. 16 og 21</w:t>
      </w:r>
      <w:r w:rsidR="003D2A25">
        <w:rPr>
          <w:rFonts w:ascii="Times New Roman" w:eastAsia="Calibri" w:hAnsi="Times New Roman" w:cs="Times New Roman"/>
          <w:sz w:val="24"/>
          <w:szCs w:val="24"/>
        </w:rPr>
        <w:t>,</w:t>
      </w:r>
      <w:r w:rsidRPr="00796736">
        <w:rPr>
          <w:rFonts w:ascii="Times New Roman" w:eastAsia="Calibri" w:hAnsi="Times New Roman" w:cs="Times New Roman"/>
          <w:sz w:val="24"/>
          <w:szCs w:val="24"/>
        </w:rPr>
        <w:t xml:space="preserve"> ikke må være dømt for et strafbart forhold, der begrunder en nærliggende fare for misbrug af den pågældendes stilling eller kontrollerende indflydelse. </w:t>
      </w:r>
    </w:p>
    <w:p w14:paraId="6AF4FBC0" w14:textId="77777777" w:rsidR="003D2A25" w:rsidRDefault="003D2A25" w:rsidP="00A802A5">
      <w:pPr>
        <w:spacing w:after="240" w:line="360" w:lineRule="auto"/>
        <w:rPr>
          <w:rFonts w:ascii="Times New Roman" w:hAnsi="Times New Roman" w:cs="Times New Roman"/>
          <w:sz w:val="24"/>
          <w:szCs w:val="24"/>
        </w:rPr>
      </w:pPr>
      <w:r>
        <w:rPr>
          <w:rFonts w:ascii="Times New Roman" w:eastAsia="Calibri" w:hAnsi="Times New Roman" w:cs="Times New Roman"/>
          <w:sz w:val="24"/>
          <w:szCs w:val="24"/>
        </w:rPr>
        <w:t>Dette omfatter i medfør af h</w:t>
      </w:r>
      <w:r>
        <w:rPr>
          <w:rFonts w:ascii="Times New Roman" w:hAnsi="Times New Roman" w:cs="Times New Roman"/>
          <w:sz w:val="24"/>
          <w:szCs w:val="24"/>
        </w:rPr>
        <w:t>vidvasklovens § 1, stk. 1, nr. 16, virksomheder og personer, der leverer samme ydelser som revisorer og revisionsvirksomheder, ejendomsmæglere og ejendomsmæglervirksomheder samt advokater, hvor ydelsen er omfattet af hvidvaskloven. Herunder hører blandt andet eksterne bogholdere og skatterådgivere.</w:t>
      </w:r>
    </w:p>
    <w:p w14:paraId="536AE96A" w14:textId="77777777" w:rsidR="003D2A25" w:rsidRPr="00D253F0" w:rsidRDefault="003D2A25" w:rsidP="00A802A5">
      <w:pPr>
        <w:spacing w:after="240" w:line="360" w:lineRule="auto"/>
        <w:rPr>
          <w:rFonts w:ascii="Times New Roman" w:eastAsia="Calibri" w:hAnsi="Times New Roman" w:cs="Times New Roman"/>
          <w:sz w:val="24"/>
          <w:szCs w:val="24"/>
        </w:rPr>
      </w:pPr>
      <w:r>
        <w:rPr>
          <w:rFonts w:ascii="Times New Roman" w:hAnsi="Times New Roman" w:cs="Times New Roman"/>
          <w:sz w:val="24"/>
          <w:szCs w:val="24"/>
        </w:rPr>
        <w:t xml:space="preserve">Dette omfatter i medfør af hvidvasklovens § 1, stk. 1, nr. 21 ligeledes kunsthandlere mv. </w:t>
      </w:r>
      <w:r w:rsidRPr="00D253F0">
        <w:rPr>
          <w:rFonts w:ascii="Times New Roman" w:eastAsia="Calibri" w:hAnsi="Times New Roman" w:cs="Times New Roman"/>
          <w:sz w:val="24"/>
          <w:szCs w:val="24"/>
        </w:rPr>
        <w:t>Det følger af revisorlovens § 3, stk. 1, at Erhvervsstyrelsen kan godkende en person som statsautoriseret revisor, hvis vedkommende opfylder betingelserne i bestemmelsens nr. 1 – 7. Det følger af revisorlovens § 5, stk. 2, at godkendelse blandt andet kan nægtes under de i straffelovens § 78, stk. 2, nævnte omstændigheder eller hvis den pågældende har udvist en sådan adfærd, at der er grund til at antage, at den pågældende ikke vil kunne varetage opgaven som offentlighedens tillidsrepræsentant på forsvarlig måde.</w:t>
      </w:r>
    </w:p>
    <w:p w14:paraId="47895A4E" w14:textId="77777777" w:rsidR="003D2A25" w:rsidRPr="00D253F0" w:rsidRDefault="003D2A25" w:rsidP="00A802A5">
      <w:pPr>
        <w:spacing w:after="240" w:line="360" w:lineRule="auto"/>
        <w:rPr>
          <w:rFonts w:ascii="Times New Roman" w:hAnsi="Times New Roman" w:cs="Times New Roman"/>
          <w:color w:val="212529"/>
          <w:sz w:val="24"/>
          <w:szCs w:val="24"/>
        </w:rPr>
      </w:pPr>
      <w:r w:rsidRPr="00D253F0">
        <w:rPr>
          <w:rFonts w:ascii="Times New Roman" w:eastAsia="Calibri" w:hAnsi="Times New Roman" w:cs="Times New Roman"/>
          <w:sz w:val="24"/>
          <w:szCs w:val="24"/>
        </w:rPr>
        <w:t>Det følger af lov om formidling af fast ejendoms §§ 5, stk. 1-2, at Erhvervsstyrelsen fører et offentligt register over godkendte ejendomsmæglere m.v., og at en person kan optages i registeret, hvis vedkommende opfylder betingelserne i stk. 2 nr. 1-3. Det følger af lov om formidling af fast ejendoms § 6, stk. 2, at Erhvervsstyrelsen blandt andet kan nægte godkendelse under de omstændigheder, der er nævnt i straffelovens § 78, stk. 2.</w:t>
      </w:r>
    </w:p>
    <w:p w14:paraId="7B5A3128" w14:textId="77777777" w:rsidR="003D2A25" w:rsidRPr="00D253F0" w:rsidRDefault="003D2A25"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Det følger af straffelovens § 78, stk. 2, at den, der er dømt for strafbart forhold, kan udelukkes fra at udøve virksomhed, som kræver en særlig offentlig autorisation eller godkendelse, såfremt det udviste forhold begrunder en nærliggende fare for misbrug af stillingen eller hvervet.</w:t>
      </w:r>
    </w:p>
    <w:p w14:paraId="4E1CCF08" w14:textId="77777777" w:rsidR="003D2A25" w:rsidRPr="004971A1" w:rsidRDefault="003D2A25" w:rsidP="00A802A5">
      <w:pPr>
        <w:spacing w:after="240" w:line="360" w:lineRule="auto"/>
        <w:rPr>
          <w:rFonts w:ascii="Times New Roman" w:hAnsi="Times New Roman" w:cs="Times New Roman"/>
          <w:sz w:val="24"/>
          <w:szCs w:val="24"/>
        </w:rPr>
      </w:pPr>
      <w:r w:rsidRPr="00D253F0">
        <w:rPr>
          <w:rFonts w:ascii="Times New Roman" w:eastAsia="Calibri" w:hAnsi="Times New Roman" w:cs="Times New Roman"/>
          <w:sz w:val="24"/>
          <w:szCs w:val="24"/>
        </w:rPr>
        <w:t>Det følger af straffelovens § 79, stk. 1, at den, som udøver en af de i § 78, stk. 2, omhandlede virksomheder, kan ved dom for strafbart forhold frakendes retten til fortsat at udøve den pågældende virksomhed eller til at udøve den under visse former, såfremt det udviste forhold begrunder en nærliggende fare for misbrug af stillingen. Det samme gælder efter straffelovens § 79, stk. 2 for udøvelse af anden virksomhed, når særlige omstændigheder taler derfor. Dette indebærer, at der kan ske frakendelse af retten til at deltage i ledelsen af en erhvervsvirksomhed her i landet eller i udlandet uden at hæfte personligt og ubegrænset for virksomhedens forpligtelser.</w:t>
      </w:r>
    </w:p>
    <w:p w14:paraId="6B4FDF53" w14:textId="0B4DD128" w:rsidR="004A72D6" w:rsidRDefault="004A72D6"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_Ref232609060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 xml:space="preserve">indebærer en forpligtelse til at medlemmer af den øverste ledelse, reelle ejere og personer omfattet af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_Ref236730892 \r \h </w:instrText>
      </w:r>
      <w:r w:rsidR="001A2696"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79</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nr. 1-9 samt nr. 11, ikke må være dømt for hvidvask, de underliggende lovovertrædelser eller terrorfinansiering. </w:t>
      </w:r>
    </w:p>
    <w:p w14:paraId="642FD67E" w14:textId="77777777" w:rsidR="003D2A25" w:rsidRPr="00796736" w:rsidRDefault="003D2A25" w:rsidP="00A802A5">
      <w:pPr>
        <w:spacing w:line="360" w:lineRule="auto"/>
        <w:rPr>
          <w:rFonts w:ascii="Times New Roman" w:eastAsia="Calibri" w:hAnsi="Times New Roman" w:cs="Times New Roman"/>
          <w:sz w:val="24"/>
          <w:szCs w:val="24"/>
        </w:rPr>
      </w:pPr>
    </w:p>
    <w:p w14:paraId="52FF8AEB" w14:textId="78E94A0F" w:rsidR="003D2A25" w:rsidRDefault="004A72D6"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Kravet om hæderlighed i den gældende § 57, stk. 2 videreføres, men ændres i overensstemmelse med 6. hvidvaskdirektiv til at angå domme for hvidvask, de underliggende lovovertrædelser eller terrorfinansiering. Derudover ensrettes betegnelsen for ledelsesmedlemmer i overensstemmelse med definitionen i 6. hvidvaskdirektiv, og kredsen af omfattede personer udvides til at omfatte alle under Erhvervsstyrelsens tilsyn med undtagelse af tjenesteudbyderne omfattet af forslagets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nr. 10</w:t>
      </w:r>
      <w:r w:rsidRPr="00796736">
        <w:rPr>
          <w:rFonts w:ascii="Times New Roman" w:eastAsia="Calibri" w:hAnsi="Times New Roman" w:cs="Times New Roman"/>
          <w:sz w:val="24"/>
          <w:szCs w:val="24"/>
        </w:rPr>
        <w:t xml:space="preserve">. </w:t>
      </w:r>
    </w:p>
    <w:p w14:paraId="681D8A35" w14:textId="77777777" w:rsidR="003D2A25" w:rsidRDefault="003D2A25" w:rsidP="00A802A5">
      <w:pPr>
        <w:spacing w:line="360" w:lineRule="auto"/>
        <w:rPr>
          <w:rFonts w:ascii="Times New Roman" w:eastAsia="Calibri" w:hAnsi="Times New Roman" w:cs="Times New Roman"/>
          <w:sz w:val="24"/>
          <w:szCs w:val="24"/>
        </w:rPr>
      </w:pPr>
    </w:p>
    <w:p w14:paraId="4DB87908" w14:textId="77777777" w:rsidR="003D2A25" w:rsidRPr="00D253F0" w:rsidRDefault="003D2A25" w:rsidP="00A802A5">
      <w:pPr>
        <w:spacing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Tidligere har revisorer og </w:t>
      </w:r>
      <w:r>
        <w:rPr>
          <w:rFonts w:ascii="Times New Roman" w:eastAsia="Calibri" w:hAnsi="Times New Roman" w:cs="Times New Roman"/>
          <w:sz w:val="24"/>
          <w:szCs w:val="24"/>
        </w:rPr>
        <w:t xml:space="preserve">revisionsvirksomheder samt </w:t>
      </w:r>
      <w:r w:rsidRPr="00D253F0">
        <w:rPr>
          <w:rFonts w:ascii="Times New Roman" w:eastAsia="Calibri" w:hAnsi="Times New Roman" w:cs="Times New Roman"/>
          <w:sz w:val="24"/>
          <w:szCs w:val="24"/>
        </w:rPr>
        <w:t xml:space="preserve">ejendomsmæglere </w:t>
      </w:r>
      <w:r>
        <w:rPr>
          <w:rFonts w:ascii="Times New Roman" w:eastAsia="Calibri" w:hAnsi="Times New Roman" w:cs="Times New Roman"/>
          <w:sz w:val="24"/>
          <w:szCs w:val="24"/>
        </w:rPr>
        <w:t xml:space="preserve">og ejendomsmæglervirksomheder </w:t>
      </w:r>
      <w:r w:rsidRPr="00D253F0">
        <w:rPr>
          <w:rFonts w:ascii="Times New Roman" w:eastAsia="Calibri" w:hAnsi="Times New Roman" w:cs="Times New Roman"/>
          <w:sz w:val="24"/>
          <w:szCs w:val="24"/>
        </w:rPr>
        <w:t>ikke været dækket af hæderlighedskravet i hvidvaskloven grundet de eksisterende godkendelsesordninger</w:t>
      </w:r>
      <w:r>
        <w:rPr>
          <w:rFonts w:ascii="Times New Roman" w:eastAsia="Calibri" w:hAnsi="Times New Roman" w:cs="Times New Roman"/>
          <w:sz w:val="24"/>
          <w:szCs w:val="24"/>
        </w:rPr>
        <w:t xml:space="preserve"> efter revisorloven og lov om formidling af fast ejendom m.v.</w:t>
      </w:r>
      <w:r w:rsidRPr="00D253F0">
        <w:rPr>
          <w:rFonts w:ascii="Times New Roman" w:eastAsia="Calibri" w:hAnsi="Times New Roman" w:cs="Times New Roman"/>
          <w:sz w:val="24"/>
          <w:szCs w:val="24"/>
        </w:rPr>
        <w:t xml:space="preserve">, men idet der kan være medlemmer af ledelsen eller reelle ejere, der ikke omfattes af </w:t>
      </w:r>
      <w:r>
        <w:rPr>
          <w:rFonts w:ascii="Times New Roman" w:eastAsia="Calibri" w:hAnsi="Times New Roman" w:cs="Times New Roman"/>
          <w:sz w:val="24"/>
          <w:szCs w:val="24"/>
        </w:rPr>
        <w:t xml:space="preserve">disse </w:t>
      </w:r>
      <w:r w:rsidRPr="00D253F0">
        <w:rPr>
          <w:rFonts w:ascii="Times New Roman" w:eastAsia="Calibri" w:hAnsi="Times New Roman" w:cs="Times New Roman"/>
          <w:sz w:val="24"/>
          <w:szCs w:val="24"/>
        </w:rPr>
        <w:t>godkendelsesordninger</w:t>
      </w:r>
      <w:r>
        <w:rPr>
          <w:rFonts w:ascii="Times New Roman" w:eastAsia="Calibri" w:hAnsi="Times New Roman" w:cs="Times New Roman"/>
          <w:sz w:val="24"/>
          <w:szCs w:val="24"/>
        </w:rPr>
        <w:t>,</w:t>
      </w:r>
      <w:r w:rsidRPr="00D253F0">
        <w:rPr>
          <w:rFonts w:ascii="Times New Roman" w:eastAsia="Calibri" w:hAnsi="Times New Roman" w:cs="Times New Roman"/>
          <w:sz w:val="24"/>
          <w:szCs w:val="24"/>
        </w:rPr>
        <w:t xml:space="preserve"> udvides kredsen af omfattede for at sikre, at samtlige forpligtede enheder under Erhvervsstyrelsens tilsyn er omfattet af hæderlighedskravet. </w:t>
      </w:r>
    </w:p>
    <w:p w14:paraId="002CE964" w14:textId="77777777" w:rsidR="004A72D6" w:rsidRPr="00796736" w:rsidRDefault="004A72D6" w:rsidP="00A802A5">
      <w:pPr>
        <w:spacing w:line="360" w:lineRule="auto"/>
        <w:rPr>
          <w:rFonts w:ascii="Times New Roman" w:eastAsia="Calibri" w:hAnsi="Times New Roman" w:cs="Times New Roman"/>
          <w:sz w:val="24"/>
          <w:szCs w:val="24"/>
        </w:rPr>
      </w:pPr>
    </w:p>
    <w:p w14:paraId="718DFEDA" w14:textId="77777777" w:rsidR="003D2A25" w:rsidRPr="00D253F0" w:rsidRDefault="003D2A25"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Godkendte ejendomsmæglere og revisor</w:t>
      </w:r>
      <w:r>
        <w:rPr>
          <w:rFonts w:ascii="Times New Roman" w:eastAsia="Calibri" w:hAnsi="Times New Roman" w:cs="Times New Roman"/>
          <w:sz w:val="24"/>
          <w:szCs w:val="24"/>
        </w:rPr>
        <w:t>er</w:t>
      </w:r>
      <w:r w:rsidRPr="00D253F0">
        <w:rPr>
          <w:rFonts w:ascii="Times New Roman" w:eastAsia="Calibri" w:hAnsi="Times New Roman" w:cs="Times New Roman"/>
          <w:sz w:val="24"/>
          <w:szCs w:val="24"/>
        </w:rPr>
        <w:t xml:space="preserve"> er gennem deres respektive godkendelsesordninger allerede omfattet af et krav, om ikke at være straffet på for et forhold, der kan begrunde nærliggende fare for misbrug. Den foreslåede ændring har til formål at sikre, at medlemmer af ledelsen eller reelle ejere af sådanne virksomheder, der ikke selv er godkendte, </w:t>
      </w:r>
      <w:r>
        <w:rPr>
          <w:rFonts w:ascii="Times New Roman" w:eastAsia="Calibri" w:hAnsi="Times New Roman" w:cs="Times New Roman"/>
          <w:sz w:val="24"/>
          <w:szCs w:val="24"/>
        </w:rPr>
        <w:t xml:space="preserve">er underlagt krav om </w:t>
      </w:r>
      <w:r w:rsidRPr="00D253F0">
        <w:rPr>
          <w:rFonts w:ascii="Times New Roman" w:eastAsia="Calibri" w:hAnsi="Times New Roman" w:cs="Times New Roman"/>
          <w:sz w:val="24"/>
          <w:szCs w:val="24"/>
        </w:rPr>
        <w:t xml:space="preserve">ikke </w:t>
      </w:r>
      <w:r>
        <w:rPr>
          <w:rFonts w:ascii="Times New Roman" w:eastAsia="Calibri" w:hAnsi="Times New Roman" w:cs="Times New Roman"/>
          <w:sz w:val="24"/>
          <w:szCs w:val="24"/>
        </w:rPr>
        <w:t>at være</w:t>
      </w:r>
      <w:r w:rsidRPr="00D253F0">
        <w:rPr>
          <w:rFonts w:ascii="Times New Roman" w:eastAsia="Calibri" w:hAnsi="Times New Roman" w:cs="Times New Roman"/>
          <w:sz w:val="24"/>
          <w:szCs w:val="24"/>
        </w:rPr>
        <w:t xml:space="preserve"> dømt for hvidvask, de underliggende lovovertrædelser og terrorfinansiering. </w:t>
      </w:r>
      <w:r>
        <w:rPr>
          <w:rFonts w:ascii="Times New Roman" w:eastAsia="Calibri" w:hAnsi="Times New Roman" w:cs="Times New Roman"/>
          <w:sz w:val="24"/>
          <w:szCs w:val="24"/>
        </w:rPr>
        <w:t>Der er med ordningen ikke tiltænkt ændringer i de gældende godkendelses- og registreringsordninger i henholdsvis revisorloven og lov om formidling af fast ejendom m.v., herunder kriterier for godkendelse og mulighed for inddragelse heraf.</w:t>
      </w:r>
    </w:p>
    <w:p w14:paraId="442157FE" w14:textId="77777777" w:rsidR="004A72D6" w:rsidRPr="00796736" w:rsidRDefault="004A72D6"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Derudover udvides bestemmelsen til at omfatte en eksplicit pligt for virksomheder til at sikre, at medlemmer af ledelsen eller reelle ejere af virksomhed ikke er dømt for hvidvask, de underliggende overtrædelser eller terrorfinansiering samt en pligt til at orientere Erhvervsstyrelsen, såfremt virksomheden får kendskab et sådan forhold.  Udvidelsen skal sikre at en virksomhed også kan holdes ansvarlig, såfremt et medlem af ledelsen eller en reel ejer dømmes for et relevant strafbart forhold, men virksomheden ikke reagerer herpå. </w:t>
      </w:r>
    </w:p>
    <w:p w14:paraId="33D5DF9A" w14:textId="77777777" w:rsidR="00940B1D" w:rsidRPr="00796736" w:rsidRDefault="00940B1D"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gennemfører artikel 6, stk. 2 i 6. hvidvaskdirektiv.</w:t>
      </w:r>
    </w:p>
    <w:p w14:paraId="0FEB27CF"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hvidvaskdirektivets artikel 6, stk. 8, at AMLA senest den 10. juli 2029 udsteder retningslinjer om kriterierne til at vurdere godt omdømme, hæderlighed og integritet samt viden og ekspertise. </w:t>
      </w:r>
    </w:p>
    <w:p w14:paraId="02AE63ED" w14:textId="77777777" w:rsidR="004A72D6" w:rsidRPr="00796736" w:rsidRDefault="004A72D6"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medlem af virksomhedens øverste ledelse i en omfattet virksomhed skal forstås i overensstemmelse med hvidvaskforordningen.  </w:t>
      </w:r>
    </w:p>
    <w:p w14:paraId="773C3517"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”Øverste ledelse” er defineret i hvidvaskforordningens artikel 2, stk. 1, nr. 40 som værende </w:t>
      </w:r>
      <w:r w:rsidRPr="00796736">
        <w:rPr>
          <w:rFonts w:ascii="Times New Roman" w:hAnsi="Times New Roman" w:cs="Times New Roman"/>
          <w:sz w:val="24"/>
          <w:szCs w:val="24"/>
        </w:rPr>
        <w:t>medlemmerne af ledelsesorganet i dets ledelsesfunktion samt medarbejdere og ansatte med tilstrækkeligt kendskab til den forpligtede enheds risikoeksponering for hvidvask af penge og finansiering af terrorisme og med tilstrækkelig anciennitet til at træffe beslutninger med indvirkning på dets risikoeksponering.</w:t>
      </w:r>
    </w:p>
    <w:p w14:paraId="5BCDA3D3"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”Ledelsesorganet i dets ledelsesfunktion” er defineret i hvidvaskforordningens artikel 2, stk. 1, nr. 38 som værende det ledelsesorgan, der er ansvarlig for den forpligtede enheds daglige ledelse.</w:t>
      </w:r>
    </w:p>
    <w:p w14:paraId="7B12B8C7"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”Ledelsesorgan” er defineret i hvidvaskforordningens artikel 2, stk. 1, nr. 37 som værende det eller de organer i en forpligtet enhed, der er udpeget i overensstemmelse med national ret, og som har beføjelse til at fastlægge den forpligtede enheds strategi, mål og overordnede kurs, og som kontrollerer og overvåger ledelsens beslutningstagning, og dette omfatter de personer, der varetager den faktiske ledelse af den forpligtede enheds virksomhed; hvis der ikke findes sådant organ, er ledelsesorganet den person, der varetager den faktiske ledelse af den forpligtede enheds virksomhed.</w:t>
      </w:r>
    </w:p>
    <w:p w14:paraId="1847B669"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Ovenstående indebærer, at både medlemmer af virksomhedens øverste og daglige ledelse er omfattet bestemmelsen.</w:t>
      </w:r>
    </w:p>
    <w:p w14:paraId="46C15E74" w14:textId="0133BEAC"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En reel ejer skal forstås i overensstemmelse med definitionen i hvidvaskforordningens artikel 2, stk. 1, nr. 28, hvorefter en reel ejer skal forstås som en fysisk person, der i sidste ende ejer eller kontrollerer en juridisk enhed eller en viljebestemt trust eller et lignende juridisk arrangement. Identifikation af reelle ejere er derudover nærmere reguleret i hvidvaskforordningens kapitel 4. Heraf følger, at der skal være tale om en fysisk person, der direkte eller indirekte ejer eller kontrollerer mindst 25 pct. af kapitalandelen, ejerandelen, stemmerettighederne eller andre selskabsbeføjelser af en forpligtet enhed eller som på anden måde direkte eller indirekte kontrollerer virksomheden.</w:t>
      </w:r>
    </w:p>
    <w:p w14:paraId="3589F270" w14:textId="14E7E935" w:rsidR="004A72D6" w:rsidRPr="00796736" w:rsidRDefault="004A72D6"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forslås i </w:t>
      </w:r>
      <w:r w:rsidRPr="00796736">
        <w:rPr>
          <w:rFonts w:ascii="Times New Roman" w:eastAsia="Calibri" w:hAnsi="Times New Roman" w:cs="Times New Roman"/>
          <w:i/>
          <w:iCs/>
          <w:sz w:val="24"/>
          <w:szCs w:val="24"/>
        </w:rPr>
        <w:t>stk. 1,</w:t>
      </w:r>
      <w:r w:rsidR="003D2A25">
        <w:rPr>
          <w:rFonts w:ascii="Times New Roman" w:eastAsia="Calibri" w:hAnsi="Times New Roman" w:cs="Times New Roman"/>
          <w:i/>
          <w:iCs/>
          <w:sz w:val="24"/>
          <w:szCs w:val="24"/>
        </w:rPr>
        <w:t xml:space="preserve"> 1. pkt.,</w:t>
      </w:r>
      <w:r w:rsidRPr="00796736">
        <w:rPr>
          <w:rFonts w:ascii="Times New Roman" w:eastAsia="Calibri" w:hAnsi="Times New Roman" w:cs="Times New Roman"/>
          <w:sz w:val="24"/>
          <w:szCs w:val="24"/>
        </w:rPr>
        <w:t xml:space="preserve"> at medlemmer af den øverste ledelse og reelle ejere af virksomheder samt personer omfattet af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_Ref236730892 \r \h </w:instrText>
      </w:r>
      <w:r w:rsidR="001A2696"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79</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nr. 1-9 samt nr. 11, ikke må være dømt for hvidvask, de underliggende lovovertrædelser eller terrorfinansiering. </w:t>
      </w:r>
    </w:p>
    <w:p w14:paraId="39B9CA33" w14:textId="77777777" w:rsidR="00D71F73" w:rsidRPr="00796736" w:rsidRDefault="00D71F73" w:rsidP="00A802A5">
      <w:pPr>
        <w:spacing w:line="360" w:lineRule="auto"/>
        <w:rPr>
          <w:rFonts w:ascii="Times New Roman" w:eastAsia="Calibri" w:hAnsi="Times New Roman" w:cs="Times New Roman"/>
          <w:sz w:val="24"/>
          <w:szCs w:val="24"/>
        </w:rPr>
      </w:pPr>
    </w:p>
    <w:p w14:paraId="66F6B6A4" w14:textId="77777777" w:rsidR="003D2A25" w:rsidRPr="00D253F0" w:rsidRDefault="003D2A25" w:rsidP="00A802A5">
      <w:pPr>
        <w:spacing w:line="360" w:lineRule="auto"/>
        <w:rPr>
          <w:rFonts w:ascii="Times New Roman" w:eastAsia="Times New Roman" w:hAnsi="Times New Roman" w:cs="Times New Roman"/>
          <w:sz w:val="24"/>
          <w:szCs w:val="24"/>
          <w:lang w:eastAsia="da-DK"/>
        </w:rPr>
      </w:pPr>
      <w:r w:rsidRPr="00D253F0">
        <w:rPr>
          <w:rFonts w:ascii="Times New Roman" w:eastAsia="Times New Roman" w:hAnsi="Times New Roman" w:cs="Times New Roman"/>
          <w:sz w:val="24"/>
          <w:szCs w:val="24"/>
          <w:lang w:eastAsia="da-DK"/>
        </w:rPr>
        <w:t>Den forslåede bestemmelse vil videreføre bestemmelsen om, at medlemmer af den øverste ledelse</w:t>
      </w:r>
      <w:r>
        <w:rPr>
          <w:rFonts w:ascii="Times New Roman" w:eastAsia="Times New Roman" w:hAnsi="Times New Roman" w:cs="Times New Roman"/>
          <w:sz w:val="24"/>
          <w:szCs w:val="24"/>
          <w:lang w:eastAsia="da-DK"/>
        </w:rPr>
        <w:t>,</w:t>
      </w:r>
      <w:r w:rsidRPr="00D253F0">
        <w:rPr>
          <w:rFonts w:ascii="Times New Roman" w:eastAsia="Times New Roman" w:hAnsi="Times New Roman" w:cs="Times New Roman"/>
          <w:sz w:val="24"/>
          <w:szCs w:val="24"/>
          <w:lang w:eastAsia="da-DK"/>
        </w:rPr>
        <w:t xml:space="preserve"> reelle ejere </w:t>
      </w:r>
      <w:r>
        <w:rPr>
          <w:rFonts w:ascii="Times New Roman" w:eastAsia="Times New Roman" w:hAnsi="Times New Roman" w:cs="Times New Roman"/>
          <w:sz w:val="24"/>
          <w:szCs w:val="24"/>
          <w:lang w:eastAsia="da-DK"/>
        </w:rPr>
        <w:t xml:space="preserve">og personen, herunder </w:t>
      </w:r>
      <w:r w:rsidRPr="00EE449A">
        <w:rPr>
          <w:rFonts w:ascii="Times New Roman" w:eastAsia="Times New Roman" w:hAnsi="Times New Roman" w:cs="Times New Roman"/>
          <w:sz w:val="24"/>
          <w:szCs w:val="24"/>
          <w:lang w:eastAsia="da-DK"/>
        </w:rPr>
        <w:t>indehaveren af en enkeltmandsvirksomhed eller anden ordning med personlig hæftels</w:t>
      </w:r>
      <w:r>
        <w:rPr>
          <w:rFonts w:ascii="Times New Roman" w:eastAsia="Times New Roman" w:hAnsi="Times New Roman" w:cs="Times New Roman"/>
          <w:sz w:val="24"/>
          <w:szCs w:val="24"/>
          <w:lang w:eastAsia="da-DK"/>
        </w:rPr>
        <w:t xml:space="preserve">e, </w:t>
      </w:r>
      <w:r w:rsidRPr="00D253F0">
        <w:rPr>
          <w:rFonts w:ascii="Times New Roman" w:eastAsia="Times New Roman" w:hAnsi="Times New Roman" w:cs="Times New Roman"/>
          <w:sz w:val="24"/>
          <w:szCs w:val="24"/>
          <w:lang w:eastAsia="da-DK"/>
        </w:rPr>
        <w:t>ikke må være straffede på en måde, der kan medføre risiko for misbrug af den pågældende stilling. I bestemmelsen præciseres det, at vedkommende skal være dømt for hvidvask, de underliggende lovovertrædelser eller terrorfinansiering modsat den tidligere formulering, hvor den pågældende skulle være dømt for et strafbart forhold, der begrunder en nærliggende fare for misbrug af den pågældende stilling eller kontrollerende indflydelse. Den nye formulering er medtaget for at sikre, at der er overensstemmelse med hvidvaskloven og de definitioner, der fremgår af hvidvaskforordningens artikel 2, stk. 1, nr. 1-3.</w:t>
      </w:r>
    </w:p>
    <w:p w14:paraId="595755C7"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4B901D89" w14:textId="5B00C58A" w:rsidR="004A72D6" w:rsidRPr="00796736" w:rsidRDefault="004A72D6"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At medlem</w:t>
      </w:r>
      <w:r w:rsidR="003D2A25">
        <w:rPr>
          <w:rFonts w:ascii="Times New Roman" w:hAnsi="Times New Roman" w:cs="Times New Roman"/>
          <w:sz w:val="24"/>
          <w:szCs w:val="24"/>
          <w:lang w:eastAsia="da-DK"/>
        </w:rPr>
        <w:t>mer</w:t>
      </w:r>
      <w:r w:rsidRPr="00796736">
        <w:rPr>
          <w:rFonts w:ascii="Times New Roman" w:hAnsi="Times New Roman" w:cs="Times New Roman"/>
          <w:sz w:val="24"/>
          <w:szCs w:val="24"/>
          <w:lang w:eastAsia="da-DK"/>
        </w:rPr>
        <w:t xml:space="preserve"> af den øverste ledelse eller reelle ejere ikke må være dømt for hvidvask, de underliggende lovovertrædelser eller terrorfinansiering skal forstås i overensstemmelse med hvidvaskforordningens bestemmelser herom som følge af forordningens direkte virkning.  </w:t>
      </w:r>
    </w:p>
    <w:p w14:paraId="03AAB00B" w14:textId="77777777" w:rsidR="004A72D6" w:rsidRPr="00796736" w:rsidRDefault="004A72D6"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følger af hvidvaskforordningens præambelbetragtning nr. 5, 1. og 6. pkt. at siden vedtagelsen af direktiv (EU) 2015/849 har den seneste udvikling i Unionens strafferetlige ramme bidraget til at styrke forebyggelsen og bekæmpelsen af hvidvask af penge, de underliggende lovovertrædelser og finansiering af terrorisme, og at </w:t>
      </w:r>
      <w:r w:rsidRPr="00796736">
        <w:rPr>
          <w:rFonts w:ascii="Times New Roman" w:hAnsi="Times New Roman" w:cs="Times New Roman"/>
          <w:sz w:val="24"/>
          <w:szCs w:val="24"/>
        </w:rPr>
        <w:t xml:space="preserve">Unionens ramme for bekæmpelse af hvidvask af penge og finansiering af terrorisme bør være i fuld overensstemmelse med Unionens strafferetlige ramme. </w:t>
      </w:r>
    </w:p>
    <w:p w14:paraId="56F029BD"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lang w:eastAsia="da-DK"/>
        </w:rPr>
        <w:t xml:space="preserve">Det følger yderligere af hvidvaskforordningens præambelbetragtning nr. 5, 2. og 4. pkt., at der ved Europa-Parlamentets og Rådets direktiv (EU) 2018/1673 er opnået en fælles forståelse af strafbare handlinger i form af hvidvask af penge og de underliggende lovovertrædelser og </w:t>
      </w:r>
      <w:r w:rsidRPr="00796736">
        <w:rPr>
          <w:rFonts w:ascii="Times New Roman" w:hAnsi="Times New Roman" w:cs="Times New Roman"/>
          <w:sz w:val="24"/>
          <w:szCs w:val="24"/>
        </w:rPr>
        <w:t>ved Europa-Parlamentets og Rådets direktiv (EU) 2017/541 er opnået en fælles forståelse af strafbare handlinger i form af finansiering af terrorisme.</w:t>
      </w:r>
      <w:r w:rsidRPr="00796736">
        <w:rPr>
          <w:rFonts w:ascii="Times New Roman" w:hAnsi="Times New Roman" w:cs="Times New Roman"/>
          <w:sz w:val="24"/>
          <w:szCs w:val="24"/>
          <w:lang w:eastAsia="da-DK"/>
        </w:rPr>
        <w:t xml:space="preserve"> Ligeledes følger det af betragtningens 3. pkt., at det i Europa-Parlamentets og Rådets direktiv (EU) 2017/1371 defineres, at </w:t>
      </w:r>
      <w:r w:rsidRPr="00796736">
        <w:rPr>
          <w:rFonts w:ascii="Times New Roman" w:hAnsi="Times New Roman" w:cs="Times New Roman"/>
          <w:sz w:val="24"/>
          <w:szCs w:val="24"/>
        </w:rPr>
        <w:t xml:space="preserve">finansielle strafbare handlinger, der skader Unionens finansielle interesser, som også bør betragtes som underliggende lovovertrædelser i forbindelse med hvidvask af penge. </w:t>
      </w:r>
    </w:p>
    <w:p w14:paraId="38683ABB"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 hvidvaskforordningens præambelbetragtning nr. 6, fremgår det, at harmoniseringen på det relevante strafferetlige område muliggør en stærk og sammenhængende tilgang på EU-plan til forebyggelse og bekæmpelse af hvidvask af penge og de underliggende lovovertrædelser, herunder korruption. Samtidig sikrer en sådan tilgang, at medlemsstater, der har valgt en bredere tilgang til definitionen af kriminelle handlinger, der udgør underliggende lovovertrædelser i forbindelse med hvidvask af penge, kan fortsætte med at anvende en sådan tilgang. Derfor og i overensstemmelse med direktiv (EU) 2018/1673 bør enhver form for strafbar deltagelse i udførelsen af en underliggende lovovertrædelse for hvidvask af penge som kriminaliseret i henhold til national ret ligeledes betragtes som en kriminel handling med henblik på nævnte direktiv og denne forordning.</w:t>
      </w:r>
    </w:p>
    <w:p w14:paraId="6C7F3DE6"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 af penge og finansiering af terrorisme er nærmere defineret i hvidvaskforordningens artikel 2, stk. 1 nr. 1 og 2. Derudover er de kriminelle handlinger, der udgør underliggende lovovertrædelser i forbindelse med hvidvask af penge defineret i hvidvaskforordningens artikel 2, stk. 1, nr. 3. </w:t>
      </w:r>
    </w:p>
    <w:p w14:paraId="404641AF" w14:textId="22AC0F67" w:rsidR="004A72D6" w:rsidRPr="00796736" w:rsidRDefault="004A72D6"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er en forudsætning for overtrædelse af bestemmelsen, at det strafbare forhold skal være fastslået ved endelig dom. Et relevant strafbart forhold pådømt i udlandet vil på tilsvarende vis kunne medføre overtrædelse af bestemmelsen.</w:t>
      </w:r>
    </w:p>
    <w:p w14:paraId="164199F7" w14:textId="77777777" w:rsidR="004A72D6" w:rsidRPr="00796736" w:rsidRDefault="004A72D6"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er ydermere en forudsætning, at det pådømte strafforhold begrunder en nærliggende fare for misbrug af stillingen. Dette inkluderer ligeledes fare for et medlem af ledelsens misbrug af stillingen samt en reel ejers misbrug af vedkommendes kontrollerende indflydelse.</w:t>
      </w:r>
    </w:p>
    <w:p w14:paraId="47CCF9E4" w14:textId="77777777" w:rsidR="004A72D6" w:rsidRPr="00796736" w:rsidRDefault="004A72D6"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er herunder relevant, at der er tale om en endelig dom for en overtrædelse, der er af en sådan karakter, at det vurderes at have betydning for personens hæderlighed. </w:t>
      </w:r>
    </w:p>
    <w:p w14:paraId="6A3B414A" w14:textId="77777777" w:rsidR="004A72D6" w:rsidRPr="00796736" w:rsidRDefault="004A72D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Kravet om, at der skal være en nærliggende fare for misbrug, betyder, at det ikke er tilstrækkeligt til at være en overtrædelse af den foreslåede bestemmelse, at vedkommende er dømt for en strafbar handling. Det indebærer, at Erhvervsstyrelsen skal foretage en samlet vurdering af overtrædelsens karakter, omfang og betydning for virksomhedens fremtidige drift.</w:t>
      </w:r>
    </w:p>
    <w:p w14:paraId="1C4DCF51" w14:textId="77777777" w:rsidR="004A72D6" w:rsidRPr="00796736" w:rsidRDefault="004A72D6"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Formålet med bestemmelsen er at minimere risikoen for hvidvask af penge i virksomheden og kanalisering af penge til terrorformål ved blandt andet at hindre, at personer med bestemmende indflydelse på virksomheden eller ledelsesmæssige beføjelser kan anvende virksomheden til kriminelle formål.  Ved Erhvervsstyrelsens vurdering skal der generelt inddrages en høj grad af væsentlighed, herunder hvorvidt den pågældende reelle ejer eller ledelsesmedlem kan antages at ville anvende virksomheden til hvidvask af penge eller kanalisering af penge til terrorformål.</w:t>
      </w:r>
    </w:p>
    <w:p w14:paraId="249F7658" w14:textId="77777777" w:rsidR="00940B1D" w:rsidRPr="00796736" w:rsidRDefault="00940B1D"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er en udvidelse af den nuværende bestemmelse og følger af kravet i 6. hvidvaskdirektiv artikel 6, stk. 2. Kravet er derudover også kendt fra FATF’s anbefaling nr. 28.</w:t>
      </w:r>
    </w:p>
    <w:p w14:paraId="1340B6F8" w14:textId="45772542" w:rsidR="004A72D6" w:rsidRDefault="003D2A25" w:rsidP="00A802A5">
      <w:pPr>
        <w:spacing w:line="360" w:lineRule="auto"/>
        <w:rPr>
          <w:rFonts w:ascii="Times New Roman" w:eastAsia="Times New Roman" w:hAnsi="Times New Roman" w:cs="Times New Roman"/>
          <w:sz w:val="24"/>
          <w:szCs w:val="24"/>
          <w:lang w:eastAsia="da-DK"/>
        </w:rPr>
      </w:pPr>
      <w:r w:rsidRPr="00D253F0">
        <w:rPr>
          <w:rFonts w:ascii="Times New Roman" w:hAnsi="Times New Roman" w:cs="Times New Roman"/>
          <w:sz w:val="24"/>
          <w:szCs w:val="24"/>
        </w:rPr>
        <w:t xml:space="preserve">Overtrædelse af bestemmelsen er strafbelagt, jf.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_Ref242963797 \r \h </w:instrText>
      </w:r>
      <w:r w:rsidR="00CB248D">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139</w:t>
      </w:r>
      <w:r>
        <w:rPr>
          <w:rFonts w:ascii="Times New Roman" w:hAnsi="Times New Roman" w:cs="Times New Roman"/>
          <w:sz w:val="24"/>
          <w:szCs w:val="24"/>
        </w:rPr>
        <w:fldChar w:fldCharType="end"/>
      </w:r>
      <w:r>
        <w:rPr>
          <w:rFonts w:ascii="Times New Roman" w:hAnsi="Times New Roman" w:cs="Times New Roman"/>
          <w:sz w:val="24"/>
          <w:szCs w:val="24"/>
        </w:rPr>
        <w:t>, stk. 1, nr. 5</w:t>
      </w:r>
      <w:r w:rsidRPr="00D253F0">
        <w:rPr>
          <w:rFonts w:ascii="Times New Roman" w:hAnsi="Times New Roman" w:cs="Times New Roman"/>
          <w:sz w:val="24"/>
          <w:szCs w:val="24"/>
        </w:rPr>
        <w:t xml:space="preserve">. </w:t>
      </w:r>
      <w:r w:rsidR="004A72D6" w:rsidRPr="00796736">
        <w:rPr>
          <w:rFonts w:ascii="Times New Roman" w:hAnsi="Times New Roman" w:cs="Times New Roman"/>
          <w:sz w:val="24"/>
          <w:szCs w:val="24"/>
        </w:rPr>
        <w:t xml:space="preserve">Ansvarssubjekterne for overtrædelse af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_Ref232609060 \r \h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xml:space="preserve">, stk. 1 er medlemmer af ledelsen eller reelle ejere af virksomheder og personer omfattet af </w:t>
      </w:r>
      <w:r w:rsidR="004A72D6" w:rsidRPr="00796736">
        <w:rPr>
          <w:rFonts w:ascii="Times New Roman" w:hAnsi="Times New Roman" w:cs="Times New Roman"/>
          <w:sz w:val="24"/>
          <w:szCs w:val="24"/>
        </w:rPr>
        <w:fldChar w:fldCharType="begin"/>
      </w:r>
      <w:r w:rsidR="004A72D6" w:rsidRPr="00796736">
        <w:rPr>
          <w:rFonts w:ascii="Times New Roman" w:hAnsi="Times New Roman" w:cs="Times New Roman"/>
          <w:sz w:val="24"/>
          <w:szCs w:val="24"/>
        </w:rPr>
        <w:instrText xml:space="preserve"> REF _Ref236730892 \r \h </w:instrText>
      </w:r>
      <w:r w:rsidR="001A2696" w:rsidRPr="00796736">
        <w:rPr>
          <w:rFonts w:ascii="Times New Roman" w:hAnsi="Times New Roman" w:cs="Times New Roman"/>
          <w:sz w:val="24"/>
          <w:szCs w:val="24"/>
        </w:rPr>
        <w:instrText xml:space="preserve"> \* MERGEFORMAT </w:instrText>
      </w:r>
      <w:r w:rsidR="004A72D6" w:rsidRPr="00796736">
        <w:rPr>
          <w:rFonts w:ascii="Times New Roman" w:hAnsi="Times New Roman" w:cs="Times New Roman"/>
          <w:sz w:val="24"/>
          <w:szCs w:val="24"/>
        </w:rPr>
      </w:r>
      <w:r w:rsidR="004A72D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004A72D6" w:rsidRPr="00796736">
        <w:rPr>
          <w:rFonts w:ascii="Times New Roman" w:hAnsi="Times New Roman" w:cs="Times New Roman"/>
          <w:sz w:val="24"/>
          <w:szCs w:val="24"/>
        </w:rPr>
        <w:fldChar w:fldCharType="end"/>
      </w:r>
      <w:r w:rsidR="004A72D6" w:rsidRPr="00796736">
        <w:rPr>
          <w:rFonts w:ascii="Times New Roman" w:hAnsi="Times New Roman" w:cs="Times New Roman"/>
          <w:sz w:val="24"/>
          <w:szCs w:val="24"/>
        </w:rPr>
        <w:t>, nr. 1-9 samt nr. 11.</w:t>
      </w:r>
      <w:r w:rsidRPr="003D2A25">
        <w:rPr>
          <w:rFonts w:ascii="Times New Roman" w:eastAsia="Times New Roman" w:hAnsi="Times New Roman" w:cs="Times New Roman"/>
          <w:sz w:val="24"/>
          <w:szCs w:val="24"/>
          <w:lang w:eastAsia="da-DK"/>
        </w:rPr>
        <w:t xml:space="preserve"> </w:t>
      </w:r>
      <w:r w:rsidRPr="00D253F0">
        <w:rPr>
          <w:rFonts w:ascii="Times New Roman" w:eastAsia="Times New Roman" w:hAnsi="Times New Roman" w:cs="Times New Roman"/>
          <w:sz w:val="24"/>
          <w:szCs w:val="24"/>
          <w:lang w:eastAsia="da-DK"/>
        </w:rPr>
        <w:t xml:space="preserve">Den strafbare handling kan eksempelvis bestå i erhvervsmæssigt at levere ydelser som </w:t>
      </w:r>
      <w:r>
        <w:rPr>
          <w:rFonts w:ascii="Times New Roman" w:eastAsia="Times New Roman" w:hAnsi="Times New Roman" w:cs="Times New Roman"/>
          <w:sz w:val="24"/>
          <w:szCs w:val="24"/>
          <w:lang w:eastAsia="da-DK"/>
        </w:rPr>
        <w:t>ekstern regnskabskyndig</w:t>
      </w:r>
      <w:r w:rsidRPr="00D253F0">
        <w:rPr>
          <w:rFonts w:ascii="Times New Roman" w:eastAsia="Times New Roman" w:hAnsi="Times New Roman" w:cs="Times New Roman"/>
          <w:sz w:val="24"/>
          <w:szCs w:val="24"/>
          <w:lang w:eastAsia="da-DK"/>
        </w:rPr>
        <w:t>, selvom man er dømt for hvidvask, de underliggende lovovertrædelser eller terrorfinansiering.</w:t>
      </w:r>
    </w:p>
    <w:p w14:paraId="4EC42C00" w14:textId="77777777" w:rsidR="003D2A25" w:rsidRDefault="003D2A25" w:rsidP="00A802A5">
      <w:pPr>
        <w:spacing w:line="360" w:lineRule="auto"/>
        <w:rPr>
          <w:rFonts w:ascii="Times New Roman" w:eastAsia="Times New Roman" w:hAnsi="Times New Roman" w:cs="Times New Roman"/>
          <w:sz w:val="24"/>
          <w:szCs w:val="24"/>
          <w:lang w:eastAsia="da-DK"/>
        </w:rPr>
      </w:pPr>
    </w:p>
    <w:p w14:paraId="6D251A2A" w14:textId="77777777" w:rsidR="003D2A25" w:rsidRDefault="003D2A25" w:rsidP="00A802A5">
      <w:pPr>
        <w:spacing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Det forslås i </w:t>
      </w:r>
      <w:r w:rsidRPr="00D253F0">
        <w:rPr>
          <w:rFonts w:ascii="Times New Roman" w:eastAsia="Calibri" w:hAnsi="Times New Roman" w:cs="Times New Roman"/>
          <w:i/>
          <w:iCs/>
          <w:sz w:val="24"/>
          <w:szCs w:val="24"/>
        </w:rPr>
        <w:t>stk. 1,</w:t>
      </w:r>
      <w:r>
        <w:rPr>
          <w:rFonts w:ascii="Times New Roman" w:eastAsia="Calibri" w:hAnsi="Times New Roman" w:cs="Times New Roman"/>
          <w:i/>
          <w:iCs/>
          <w:sz w:val="24"/>
          <w:szCs w:val="24"/>
        </w:rPr>
        <w:t xml:space="preserve"> 2. pkt.,</w:t>
      </w:r>
      <w:r>
        <w:rPr>
          <w:rFonts w:ascii="Times New Roman" w:eastAsia="Calibri" w:hAnsi="Times New Roman" w:cs="Times New Roman"/>
          <w:sz w:val="24"/>
          <w:szCs w:val="24"/>
        </w:rPr>
        <w:t xml:space="preserve"> at for virksomheder og personer omfattet af </w:t>
      </w:r>
      <w:r w:rsidRPr="00254346">
        <w:rPr>
          <w:rFonts w:ascii="Times New Roman" w:eastAsia="Calibri" w:hAnsi="Times New Roman" w:cs="Times New Roman"/>
          <w:sz w:val="24"/>
          <w:szCs w:val="24"/>
        </w:rPr>
        <w:t>§ 79, nr. 1 og 5 finder 1. pkt. alene anvendelse, hvor medlemmet af den øverste ledelse</w:t>
      </w:r>
      <w:r>
        <w:rPr>
          <w:rFonts w:ascii="Times New Roman" w:eastAsia="Calibri" w:hAnsi="Times New Roman" w:cs="Times New Roman"/>
          <w:sz w:val="24"/>
          <w:szCs w:val="24"/>
        </w:rPr>
        <w:t xml:space="preserve"> eller</w:t>
      </w:r>
      <w:r w:rsidRPr="00254346">
        <w:rPr>
          <w:rFonts w:ascii="Times New Roman" w:eastAsia="Calibri" w:hAnsi="Times New Roman" w:cs="Times New Roman"/>
          <w:sz w:val="24"/>
          <w:szCs w:val="24"/>
        </w:rPr>
        <w:t xml:space="preserve"> den reelle ejer ikke er godkendt efter revisorloven eller lov om formidling af fast ejendom m.v.</w:t>
      </w:r>
    </w:p>
    <w:p w14:paraId="4369BFC9" w14:textId="77777777" w:rsidR="003D2A25" w:rsidRDefault="003D2A25" w:rsidP="00A802A5">
      <w:pPr>
        <w:spacing w:line="360" w:lineRule="auto"/>
        <w:rPr>
          <w:rFonts w:ascii="Times New Roman" w:eastAsia="Calibri" w:hAnsi="Times New Roman" w:cs="Times New Roman"/>
          <w:sz w:val="24"/>
          <w:szCs w:val="24"/>
        </w:rPr>
      </w:pPr>
    </w:p>
    <w:p w14:paraId="4AEF5112" w14:textId="77777777" w:rsidR="003D2A25" w:rsidRDefault="003D2A25" w:rsidP="00A802A5">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Den foreslåede bestemmelse vil medføre, at et medlem af den øverste ledelse eller en reel ejer af en revisions- eller ejendomsmæglervirksomhed, vil være omfattet af hvidvasklovens krav om ikke at være dømt for hvidvask, de underliggende lovovertrædelser eller terrorfinansiering efter stk. 1, for det tilfælde, at vedkommende ikke er omfattet af godkendelsesordningen efter revisorloven eller lov om formidling af fast ejendom m.v., og dermed ikke er underlagt hæderlighedskrav efter særlovgivningen for det pågældende hverv.    </w:t>
      </w:r>
    </w:p>
    <w:p w14:paraId="5A05EB37" w14:textId="77777777" w:rsidR="003D2A25" w:rsidRDefault="003D2A25" w:rsidP="00A802A5">
      <w:pPr>
        <w:spacing w:line="360" w:lineRule="auto"/>
        <w:rPr>
          <w:rFonts w:ascii="Times New Roman" w:eastAsia="Calibri" w:hAnsi="Times New Roman" w:cs="Times New Roman"/>
          <w:sz w:val="24"/>
          <w:szCs w:val="24"/>
        </w:rPr>
      </w:pPr>
    </w:p>
    <w:p w14:paraId="301D885B" w14:textId="77777777" w:rsidR="003D2A25" w:rsidRDefault="003D2A25" w:rsidP="00A802A5">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Formålet med bestemmelsen er at sikre, at hele Erhvervsstyrelsens tilsynspopulation underlægges hæderlighedskravet, herunder ledelsesmedlemmer og reelle ejere, som måtte falde uden for krav om godkendelse efter særlovgivningen for revisorer og ejendomsmæglere. </w:t>
      </w:r>
    </w:p>
    <w:p w14:paraId="7804C9B2" w14:textId="77777777" w:rsidR="003D2A25" w:rsidRDefault="003D2A25" w:rsidP="00A802A5">
      <w:pPr>
        <w:spacing w:line="360" w:lineRule="auto"/>
        <w:rPr>
          <w:rFonts w:ascii="Times New Roman" w:eastAsia="Calibri" w:hAnsi="Times New Roman" w:cs="Times New Roman"/>
          <w:sz w:val="24"/>
          <w:szCs w:val="24"/>
        </w:rPr>
      </w:pPr>
    </w:p>
    <w:p w14:paraId="6ABAAC2B" w14:textId="77777777" w:rsidR="003D2A25" w:rsidRDefault="003D2A25" w:rsidP="00A802A5">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Såfremt et ledelsesmedlem eller en reel ejer af en revisionsvirksomhed eller ejendomsmæglervirksomhed ikke er omfattet af krav om godkendelse efter revisorloven eller lov om formidling af fast ejendom m.v., vil personen ikke være omfattet af hæderlighedskravet tilknyttet godkendelsesordningen, herunder muligheden for at nægte registrering, såfremt der måtte foreligge et strafforhold, som indebærer en risiko for misbrug af stillingen som omhandlet i </w:t>
      </w:r>
      <w:r w:rsidRPr="00D253F0">
        <w:rPr>
          <w:rFonts w:ascii="Times New Roman" w:eastAsia="Calibri" w:hAnsi="Times New Roman" w:cs="Times New Roman"/>
          <w:sz w:val="24"/>
          <w:szCs w:val="24"/>
        </w:rPr>
        <w:t>straffelovens § 78, stk. 2</w:t>
      </w:r>
      <w:r>
        <w:rPr>
          <w:rFonts w:ascii="Times New Roman" w:eastAsia="Calibri" w:hAnsi="Times New Roman" w:cs="Times New Roman"/>
          <w:sz w:val="24"/>
          <w:szCs w:val="24"/>
        </w:rPr>
        <w:t xml:space="preserve">. </w:t>
      </w:r>
    </w:p>
    <w:p w14:paraId="166BED3A" w14:textId="77777777" w:rsidR="003D2A25" w:rsidRDefault="003D2A25" w:rsidP="00A802A5">
      <w:pPr>
        <w:spacing w:line="360" w:lineRule="auto"/>
        <w:rPr>
          <w:rFonts w:ascii="Times New Roman" w:eastAsia="Calibri" w:hAnsi="Times New Roman" w:cs="Times New Roman"/>
          <w:sz w:val="24"/>
          <w:szCs w:val="24"/>
        </w:rPr>
      </w:pPr>
    </w:p>
    <w:p w14:paraId="45788A5C" w14:textId="77777777" w:rsidR="003D2A25" w:rsidRDefault="003D2A25" w:rsidP="00A802A5">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Med bestemmelsen vil et ledelsesmedlem eller en reel ejer af en revisions- eller ejendomsmæglervirksomhed, der ikke falder under godkendelsesordningerne efter særlovgivningen, være omfattet af 1. pkt., og må dermed ikke være dømt for hvidvask, de underliggende lovovertrædelser eller terrorfinansiering. </w:t>
      </w:r>
    </w:p>
    <w:p w14:paraId="3C60BF6B" w14:textId="77777777" w:rsidR="003D2A25" w:rsidRDefault="003D2A25" w:rsidP="00A802A5">
      <w:pPr>
        <w:spacing w:line="360" w:lineRule="auto"/>
        <w:rPr>
          <w:rFonts w:ascii="Times New Roman" w:eastAsia="Calibri" w:hAnsi="Times New Roman" w:cs="Times New Roman"/>
          <w:sz w:val="24"/>
          <w:szCs w:val="24"/>
        </w:rPr>
      </w:pPr>
    </w:p>
    <w:p w14:paraId="669C3719" w14:textId="77777777" w:rsidR="003D2A25" w:rsidRDefault="003D2A25" w:rsidP="00A802A5">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Dette vil blandt andet være tilfældet for et medlem af den øverste ledelse af en revisionsvirksomhed eller ejendomsmægler, hvor ledelsesmedlemmet ikke selv er en godkendt revisor eller ejendomsmægler. Tilsvarende vil en reel ejer af en ejendomsmæglervirksomhed, der ikke selv er godkendt ejendomsmægler, være omfattet af stk. 1, ligesom at ordningen vil omfatte enhver anden professionel i forbindelse med fast ejendom end ejendomsmæglere, herunder disses ledelsesmedlemmer og reelle ejere.</w:t>
      </w:r>
    </w:p>
    <w:p w14:paraId="11FAA203" w14:textId="77777777" w:rsidR="003D2A25" w:rsidRDefault="003D2A25" w:rsidP="00A802A5">
      <w:pPr>
        <w:spacing w:line="360" w:lineRule="auto"/>
        <w:rPr>
          <w:rFonts w:ascii="Times New Roman" w:eastAsia="Calibri" w:hAnsi="Times New Roman" w:cs="Times New Roman"/>
          <w:sz w:val="24"/>
          <w:szCs w:val="24"/>
        </w:rPr>
      </w:pPr>
    </w:p>
    <w:p w14:paraId="5725FE18" w14:textId="77777777" w:rsidR="003D2A25" w:rsidRDefault="003D2A25" w:rsidP="00A802A5">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Ordningen tilsigter alene at omfatte personer, der måtte falde uden for godkendelsesordningerne. Der er med ordningen ikke tiltænkt ændringer i de gældende godkendelses- og registreringsordninger i henholdsvis revisorloven og lov om formidling af fast ejendom m.v., herunder kriterier for godkendelse og mulighed for inddragelse heraf.</w:t>
      </w:r>
    </w:p>
    <w:p w14:paraId="0181D716" w14:textId="77777777" w:rsidR="003D2A25" w:rsidRPr="00796736" w:rsidRDefault="003D2A25" w:rsidP="00A802A5">
      <w:pPr>
        <w:spacing w:line="360" w:lineRule="auto"/>
        <w:rPr>
          <w:rFonts w:ascii="Times New Roman" w:eastAsia="Times New Roman" w:hAnsi="Times New Roman" w:cs="Times New Roman"/>
          <w:sz w:val="24"/>
          <w:szCs w:val="24"/>
          <w:lang w:eastAsia="da-DK"/>
        </w:rPr>
      </w:pPr>
    </w:p>
    <w:p w14:paraId="093CAFB8"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7C4D0775" w14:textId="6F8D7A25" w:rsidR="004A72D6" w:rsidRPr="00796736" w:rsidRDefault="003D2A25" w:rsidP="00A802A5">
      <w:pPr>
        <w:spacing w:line="360" w:lineRule="auto"/>
        <w:rPr>
          <w:rFonts w:ascii="Times New Roman" w:eastAsia="Times New Roman" w:hAnsi="Times New Roman" w:cs="Times New Roman"/>
          <w:sz w:val="24"/>
          <w:szCs w:val="24"/>
          <w:lang w:eastAsia="da-DK"/>
        </w:rPr>
      </w:pPr>
      <w:r w:rsidRPr="00D253F0">
        <w:rPr>
          <w:rFonts w:ascii="Times New Roman" w:eastAsia="Times New Roman" w:hAnsi="Times New Roman" w:cs="Times New Roman"/>
          <w:sz w:val="24"/>
          <w:szCs w:val="24"/>
          <w:lang w:eastAsia="da-DK"/>
        </w:rPr>
        <w:t xml:space="preserve">Det foreslås i </w:t>
      </w:r>
      <w:r w:rsidRPr="00D253F0">
        <w:rPr>
          <w:rFonts w:ascii="Times New Roman" w:eastAsia="Times New Roman" w:hAnsi="Times New Roman" w:cs="Times New Roman"/>
          <w:i/>
          <w:iCs/>
          <w:sz w:val="24"/>
          <w:szCs w:val="24"/>
          <w:lang w:eastAsia="da-DK"/>
        </w:rPr>
        <w:t>stk. 2,</w:t>
      </w:r>
      <w:r w:rsidRPr="00D253F0">
        <w:rPr>
          <w:rFonts w:ascii="Times New Roman" w:eastAsia="Times New Roman" w:hAnsi="Times New Roman" w:cs="Times New Roman"/>
          <w:sz w:val="24"/>
          <w:szCs w:val="24"/>
          <w:lang w:eastAsia="da-DK"/>
        </w:rPr>
        <w:t xml:space="preserve"> at virksomhede</w:t>
      </w:r>
      <w:r>
        <w:rPr>
          <w:rFonts w:ascii="Times New Roman" w:eastAsia="Times New Roman" w:hAnsi="Times New Roman" w:cs="Times New Roman"/>
          <w:sz w:val="24"/>
          <w:szCs w:val="24"/>
          <w:lang w:eastAsia="da-DK"/>
        </w:rPr>
        <w:t xml:space="preserve">r og personer omfattet af </w:t>
      </w:r>
      <w:r>
        <w:rPr>
          <w:rFonts w:ascii="Times New Roman" w:eastAsia="Times New Roman" w:hAnsi="Times New Roman" w:cs="Times New Roman"/>
          <w:sz w:val="24"/>
          <w:szCs w:val="24"/>
          <w:lang w:eastAsia="da-DK"/>
        </w:rPr>
        <w:fldChar w:fldCharType="begin"/>
      </w:r>
      <w:r>
        <w:rPr>
          <w:rFonts w:ascii="Times New Roman" w:eastAsia="Times New Roman" w:hAnsi="Times New Roman" w:cs="Times New Roman"/>
          <w:sz w:val="24"/>
          <w:szCs w:val="24"/>
          <w:lang w:eastAsia="da-DK"/>
        </w:rPr>
        <w:instrText xml:space="preserve"> REF _Ref236730892 \r \h </w:instrText>
      </w:r>
      <w:r w:rsidR="00CB248D">
        <w:rPr>
          <w:rFonts w:ascii="Times New Roman" w:eastAsia="Times New Roman" w:hAnsi="Times New Roman" w:cs="Times New Roman"/>
          <w:sz w:val="24"/>
          <w:szCs w:val="24"/>
          <w:lang w:eastAsia="da-DK"/>
        </w:rPr>
        <w:instrText xml:space="preserve"> \* MERGEFORMAT </w:instrText>
      </w:r>
      <w:r>
        <w:rPr>
          <w:rFonts w:ascii="Times New Roman" w:eastAsia="Times New Roman" w:hAnsi="Times New Roman" w:cs="Times New Roman"/>
          <w:sz w:val="24"/>
          <w:szCs w:val="24"/>
          <w:lang w:eastAsia="da-DK"/>
        </w:rPr>
      </w:r>
      <w:r>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79</w:t>
      </w:r>
      <w:r>
        <w:rPr>
          <w:rFonts w:ascii="Times New Roman" w:eastAsia="Times New Roman" w:hAnsi="Times New Roman" w:cs="Times New Roman"/>
          <w:sz w:val="24"/>
          <w:szCs w:val="24"/>
          <w:lang w:eastAsia="da-DK"/>
        </w:rPr>
        <w:fldChar w:fldCharType="end"/>
      </w:r>
      <w:r>
        <w:rPr>
          <w:rFonts w:ascii="Times New Roman" w:eastAsia="Times New Roman" w:hAnsi="Times New Roman" w:cs="Times New Roman"/>
          <w:sz w:val="24"/>
          <w:szCs w:val="24"/>
          <w:lang w:eastAsia="da-DK"/>
        </w:rPr>
        <w:t>, nr. 1-9 samt nr. 11</w:t>
      </w:r>
      <w:r w:rsidRPr="00D253F0">
        <w:rPr>
          <w:rFonts w:ascii="Times New Roman" w:eastAsia="Times New Roman" w:hAnsi="Times New Roman" w:cs="Times New Roman"/>
          <w:sz w:val="24"/>
          <w:szCs w:val="24"/>
          <w:lang w:eastAsia="da-DK"/>
        </w:rPr>
        <w:t xml:space="preserve"> </w:t>
      </w:r>
      <w:r w:rsidR="004A72D6" w:rsidRPr="00796736">
        <w:rPr>
          <w:rFonts w:ascii="Times New Roman" w:eastAsia="Times New Roman" w:hAnsi="Times New Roman" w:cs="Times New Roman"/>
          <w:sz w:val="24"/>
          <w:szCs w:val="24"/>
          <w:lang w:eastAsia="da-DK"/>
        </w:rPr>
        <w:t xml:space="preserve">har pligt til at sikre, at medlemmer af den øverste ledelse og reelle ejere af virksomheden ikke er dømt for et forhold som omtalt i stk. 1. </w:t>
      </w:r>
    </w:p>
    <w:p w14:paraId="0FDD68A6"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018FD663" w14:textId="77777777" w:rsidR="004A72D6" w:rsidRPr="00796736" w:rsidRDefault="004A72D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Den foreslåede bestemmelse vil medføre, at virksomheden har en forpligtelse til at undersøge og sikre, at medlemmer af ledelsen eller reelle ejer ikke er dømt for hvidvask, de underliggende lovovertrædelser eller terrorfinansiering. </w:t>
      </w:r>
    </w:p>
    <w:p w14:paraId="0EB4D429"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70163D13" w14:textId="77777777" w:rsidR="004A72D6" w:rsidRDefault="004A72D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Formålet med bestemmelsen er at beskytte virksomheder mod misbrug af ledere eller reelle ejer, der ønsker at anvende danske virksomheder til brug for kriminelle formål. Bestemmelsen tildeler virksomheden et selvstændigt ansvar for at sikre, at der ikke er medlemmer af ledelsen eller reelle ejere, der er straffet for et forhold, der vil medføre at virksomheden kan udnyttes. </w:t>
      </w:r>
    </w:p>
    <w:p w14:paraId="6BDEA2C0" w14:textId="77777777" w:rsidR="003D2A25" w:rsidRDefault="003D2A25" w:rsidP="00A802A5">
      <w:pPr>
        <w:spacing w:line="360" w:lineRule="auto"/>
        <w:rPr>
          <w:rFonts w:ascii="Times New Roman" w:eastAsia="Times New Roman" w:hAnsi="Times New Roman" w:cs="Times New Roman"/>
          <w:sz w:val="24"/>
          <w:szCs w:val="24"/>
          <w:lang w:eastAsia="da-DK"/>
        </w:rPr>
      </w:pPr>
    </w:p>
    <w:p w14:paraId="1534DCBE" w14:textId="3932A5D3" w:rsidR="003D2A25" w:rsidRPr="00796736" w:rsidRDefault="003D2A25" w:rsidP="00A802A5">
      <w:pPr>
        <w:spacing w:line="360" w:lineRule="auto"/>
        <w:rPr>
          <w:rFonts w:ascii="Times New Roman" w:eastAsia="Times New Roman" w:hAnsi="Times New Roman" w:cs="Times New Roman"/>
          <w:sz w:val="24"/>
          <w:szCs w:val="24"/>
          <w:lang w:eastAsia="da-DK"/>
        </w:rPr>
      </w:pPr>
      <w:r w:rsidRPr="00583B19">
        <w:rPr>
          <w:rFonts w:ascii="Times New Roman" w:eastAsia="Times New Roman" w:hAnsi="Times New Roman" w:cs="Times New Roman"/>
          <w:sz w:val="24"/>
          <w:szCs w:val="24"/>
          <w:lang w:eastAsia="da-DK"/>
        </w:rPr>
        <w:t>Erhvervsstyrelsen kan ved tilsyn anmode virksomheden om at dokumentere iagttagelsen af pligten efter stk. 2.</w:t>
      </w:r>
    </w:p>
    <w:p w14:paraId="73BBCE9D"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167D739D" w14:textId="3C24E7FB" w:rsidR="003D2A25" w:rsidRPr="00D253F0" w:rsidRDefault="003D2A25" w:rsidP="00A802A5">
      <w:pPr>
        <w:spacing w:line="360" w:lineRule="auto"/>
        <w:rPr>
          <w:rFonts w:ascii="Times New Roman" w:eastAsia="Times New Roman" w:hAnsi="Times New Roman" w:cs="Times New Roman"/>
          <w:sz w:val="24"/>
          <w:szCs w:val="24"/>
          <w:lang w:eastAsia="da-DK"/>
        </w:rPr>
      </w:pPr>
      <w:r w:rsidRPr="00D253F0">
        <w:rPr>
          <w:rFonts w:ascii="Times New Roman" w:hAnsi="Times New Roman" w:cs="Times New Roman"/>
          <w:sz w:val="24"/>
          <w:szCs w:val="24"/>
        </w:rPr>
        <w:t>Overtrædelse af bestemmelsen er strafbelagt, jf.</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_Ref242963797 \r \h </w:instrText>
      </w:r>
      <w:r w:rsidR="00CB248D">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139</w:t>
      </w:r>
      <w:r>
        <w:rPr>
          <w:rFonts w:ascii="Times New Roman" w:hAnsi="Times New Roman" w:cs="Times New Roman"/>
          <w:sz w:val="24"/>
          <w:szCs w:val="24"/>
        </w:rPr>
        <w:fldChar w:fldCharType="end"/>
      </w:r>
      <w:r>
        <w:rPr>
          <w:rFonts w:ascii="Times New Roman" w:hAnsi="Times New Roman" w:cs="Times New Roman"/>
          <w:sz w:val="24"/>
          <w:szCs w:val="24"/>
        </w:rPr>
        <w:t>, stk. 1, nr. 5</w:t>
      </w:r>
      <w:r w:rsidRPr="00D253F0">
        <w:rPr>
          <w:rFonts w:ascii="Times New Roman" w:hAnsi="Times New Roman" w:cs="Times New Roman"/>
          <w:sz w:val="24"/>
          <w:szCs w:val="24"/>
        </w:rPr>
        <w:t xml:space="preserve">. Ansvarssubjekterne for overtrædelse af </w:t>
      </w:r>
      <w:r w:rsidRPr="00D253F0">
        <w:rPr>
          <w:rFonts w:ascii="Times New Roman" w:hAnsi="Times New Roman" w:cs="Times New Roman"/>
          <w:sz w:val="24"/>
          <w:szCs w:val="24"/>
        </w:rPr>
        <w:fldChar w:fldCharType="begin"/>
      </w:r>
      <w:r w:rsidRPr="00D253F0">
        <w:rPr>
          <w:rFonts w:ascii="Times New Roman" w:hAnsi="Times New Roman" w:cs="Times New Roman"/>
          <w:sz w:val="24"/>
          <w:szCs w:val="24"/>
        </w:rPr>
        <w:instrText xml:space="preserve"> REF _Ref232609060 \r \h  \* MERGEFORMAT </w:instrText>
      </w:r>
      <w:r w:rsidRPr="00D253F0">
        <w:rPr>
          <w:rFonts w:ascii="Times New Roman" w:hAnsi="Times New Roman" w:cs="Times New Roman"/>
          <w:sz w:val="24"/>
          <w:szCs w:val="24"/>
        </w:rPr>
      </w:r>
      <w:r w:rsidRPr="00D253F0">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D253F0">
        <w:rPr>
          <w:rFonts w:ascii="Times New Roman" w:hAnsi="Times New Roman" w:cs="Times New Roman"/>
          <w:sz w:val="24"/>
          <w:szCs w:val="24"/>
        </w:rPr>
        <w:fldChar w:fldCharType="end"/>
      </w:r>
      <w:r w:rsidRPr="00D253F0">
        <w:rPr>
          <w:rFonts w:ascii="Times New Roman" w:hAnsi="Times New Roman" w:cs="Times New Roman"/>
          <w:sz w:val="24"/>
          <w:szCs w:val="24"/>
        </w:rPr>
        <w:t xml:space="preserve">, stk. 2 er virksomheder og personer omfattet af </w:t>
      </w:r>
      <w:r w:rsidRPr="00D253F0">
        <w:rPr>
          <w:rFonts w:ascii="Times New Roman" w:hAnsi="Times New Roman" w:cs="Times New Roman"/>
          <w:sz w:val="24"/>
          <w:szCs w:val="24"/>
        </w:rPr>
        <w:fldChar w:fldCharType="begin"/>
      </w:r>
      <w:r w:rsidRPr="00D253F0">
        <w:rPr>
          <w:rFonts w:ascii="Times New Roman" w:hAnsi="Times New Roman" w:cs="Times New Roman"/>
          <w:sz w:val="24"/>
          <w:szCs w:val="24"/>
        </w:rPr>
        <w:instrText xml:space="preserve"> REF _Ref236730892 \r \h  \* MERGEFORMAT </w:instrText>
      </w:r>
      <w:r w:rsidRPr="00D253F0">
        <w:rPr>
          <w:rFonts w:ascii="Times New Roman" w:hAnsi="Times New Roman" w:cs="Times New Roman"/>
          <w:sz w:val="24"/>
          <w:szCs w:val="24"/>
        </w:rPr>
      </w:r>
      <w:r w:rsidRPr="00D253F0">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D253F0">
        <w:rPr>
          <w:rFonts w:ascii="Times New Roman" w:hAnsi="Times New Roman" w:cs="Times New Roman"/>
          <w:sz w:val="24"/>
          <w:szCs w:val="24"/>
        </w:rPr>
        <w:fldChar w:fldCharType="end"/>
      </w:r>
      <w:r w:rsidRPr="00D253F0">
        <w:rPr>
          <w:rFonts w:ascii="Times New Roman" w:hAnsi="Times New Roman" w:cs="Times New Roman"/>
          <w:sz w:val="24"/>
          <w:szCs w:val="24"/>
        </w:rPr>
        <w:t>, nr. 1-9 samt nr. 11.</w:t>
      </w:r>
      <w:r w:rsidRPr="00D253F0">
        <w:rPr>
          <w:rFonts w:ascii="Times New Roman" w:eastAsia="Times New Roman" w:hAnsi="Times New Roman" w:cs="Times New Roman"/>
          <w:sz w:val="24"/>
          <w:szCs w:val="24"/>
          <w:lang w:eastAsia="da-DK"/>
        </w:rPr>
        <w:t xml:space="preserve"> Den strafbare handling kan eksempelvis bestå</w:t>
      </w:r>
      <w:r>
        <w:rPr>
          <w:rFonts w:ascii="Times New Roman" w:eastAsia="Times New Roman" w:hAnsi="Times New Roman" w:cs="Times New Roman"/>
          <w:sz w:val="24"/>
          <w:szCs w:val="24"/>
          <w:lang w:eastAsia="da-DK"/>
        </w:rPr>
        <w:t xml:space="preserve"> i</w:t>
      </w:r>
      <w:r w:rsidRPr="00D253F0">
        <w:rPr>
          <w:rFonts w:ascii="Times New Roman" w:eastAsia="Times New Roman" w:hAnsi="Times New Roman" w:cs="Times New Roman"/>
          <w:sz w:val="24"/>
          <w:szCs w:val="24"/>
          <w:lang w:eastAsia="da-DK"/>
        </w:rPr>
        <w:t>, at virksomheden ikke undersøger hvorvidt et medlem af ledelsen eller en reel ejer er dømt for hvidvask, de underliggende lovovertrædelser eller terrorfinansiering</w:t>
      </w:r>
      <w:r>
        <w:rPr>
          <w:rFonts w:ascii="Times New Roman" w:eastAsia="Times New Roman" w:hAnsi="Times New Roman" w:cs="Times New Roman"/>
          <w:sz w:val="24"/>
          <w:szCs w:val="24"/>
          <w:lang w:eastAsia="da-DK"/>
        </w:rPr>
        <w:t>. Et andet eksempel på den strafbare handling er</w:t>
      </w:r>
      <w:r w:rsidRPr="00D253F0">
        <w:rPr>
          <w:rFonts w:ascii="Times New Roman" w:eastAsia="Times New Roman" w:hAnsi="Times New Roman" w:cs="Times New Roman"/>
          <w:sz w:val="24"/>
          <w:szCs w:val="24"/>
          <w:lang w:eastAsia="da-DK"/>
        </w:rPr>
        <w:t xml:space="preserve"> hvis en virksomhed erhvervsmæssigt levere</w:t>
      </w:r>
      <w:r>
        <w:rPr>
          <w:rFonts w:ascii="Times New Roman" w:eastAsia="Times New Roman" w:hAnsi="Times New Roman" w:cs="Times New Roman"/>
          <w:sz w:val="24"/>
          <w:szCs w:val="24"/>
          <w:lang w:eastAsia="da-DK"/>
        </w:rPr>
        <w:t>r</w:t>
      </w:r>
      <w:r w:rsidRPr="00D253F0">
        <w:rPr>
          <w:rFonts w:ascii="Times New Roman" w:eastAsia="Times New Roman" w:hAnsi="Times New Roman" w:cs="Times New Roman"/>
          <w:sz w:val="24"/>
          <w:szCs w:val="24"/>
          <w:lang w:eastAsia="da-DK"/>
        </w:rPr>
        <w:t xml:space="preserve"> ydelser som </w:t>
      </w:r>
      <w:r>
        <w:rPr>
          <w:rFonts w:ascii="Times New Roman" w:eastAsia="Times New Roman" w:hAnsi="Times New Roman" w:cs="Times New Roman"/>
          <w:sz w:val="24"/>
          <w:szCs w:val="24"/>
          <w:lang w:eastAsia="da-DK"/>
        </w:rPr>
        <w:t>ekstern regnskabskyndig</w:t>
      </w:r>
      <w:r w:rsidRPr="00D253F0">
        <w:rPr>
          <w:rFonts w:ascii="Times New Roman" w:eastAsia="Times New Roman" w:hAnsi="Times New Roman" w:cs="Times New Roman"/>
          <w:sz w:val="24"/>
          <w:szCs w:val="24"/>
          <w:lang w:eastAsia="da-DK"/>
        </w:rPr>
        <w:t>, selvom virksomheden er bekendt med</w:t>
      </w:r>
      <w:r>
        <w:rPr>
          <w:rFonts w:ascii="Times New Roman" w:eastAsia="Times New Roman" w:hAnsi="Times New Roman" w:cs="Times New Roman"/>
          <w:sz w:val="24"/>
          <w:szCs w:val="24"/>
          <w:lang w:eastAsia="da-DK"/>
        </w:rPr>
        <w:t>,</w:t>
      </w:r>
      <w:r w:rsidRPr="00D253F0">
        <w:rPr>
          <w:rFonts w:ascii="Times New Roman" w:eastAsia="Times New Roman" w:hAnsi="Times New Roman" w:cs="Times New Roman"/>
          <w:sz w:val="24"/>
          <w:szCs w:val="24"/>
          <w:lang w:eastAsia="da-DK"/>
        </w:rPr>
        <w:t xml:space="preserve"> at et medlem af ledelsen eller en reel ejer er dømt for hvidvask, de underliggende lovovertrædelser eller terrorfinansiering. </w:t>
      </w:r>
    </w:p>
    <w:p w14:paraId="1AB6417F"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1F9C126E" w14:textId="473018C7" w:rsidR="003D2A25" w:rsidRPr="00D253F0" w:rsidRDefault="003D2A25" w:rsidP="00A802A5">
      <w:pPr>
        <w:spacing w:line="360" w:lineRule="auto"/>
        <w:rPr>
          <w:rFonts w:ascii="Times New Roman" w:eastAsia="Times New Roman" w:hAnsi="Times New Roman" w:cs="Times New Roman"/>
          <w:sz w:val="24"/>
          <w:szCs w:val="24"/>
          <w:lang w:eastAsia="da-DK"/>
        </w:rPr>
      </w:pPr>
      <w:r w:rsidRPr="00D253F0">
        <w:rPr>
          <w:rFonts w:ascii="Times New Roman" w:eastAsia="Times New Roman" w:hAnsi="Times New Roman" w:cs="Times New Roman"/>
          <w:sz w:val="24"/>
          <w:szCs w:val="24"/>
          <w:lang w:eastAsia="da-DK"/>
        </w:rPr>
        <w:t xml:space="preserve">Det foreslås i </w:t>
      </w:r>
      <w:r w:rsidRPr="00D253F0">
        <w:rPr>
          <w:rFonts w:ascii="Times New Roman" w:eastAsia="Times New Roman" w:hAnsi="Times New Roman" w:cs="Times New Roman"/>
          <w:i/>
          <w:iCs/>
          <w:sz w:val="24"/>
          <w:szCs w:val="24"/>
          <w:lang w:eastAsia="da-DK"/>
        </w:rPr>
        <w:t>stk. 3,</w:t>
      </w:r>
      <w:r w:rsidRPr="00D253F0">
        <w:rPr>
          <w:rFonts w:ascii="Times New Roman" w:eastAsia="Times New Roman" w:hAnsi="Times New Roman" w:cs="Times New Roman"/>
          <w:sz w:val="24"/>
          <w:szCs w:val="24"/>
          <w:lang w:eastAsia="da-DK"/>
        </w:rPr>
        <w:t xml:space="preserve"> at virksomheder og personer</w:t>
      </w:r>
      <w:r>
        <w:rPr>
          <w:rFonts w:ascii="Times New Roman" w:eastAsia="Times New Roman" w:hAnsi="Times New Roman" w:cs="Times New Roman"/>
          <w:sz w:val="24"/>
          <w:szCs w:val="24"/>
          <w:lang w:eastAsia="da-DK"/>
        </w:rPr>
        <w:t xml:space="preserve"> omfattet af </w:t>
      </w:r>
      <w:r w:rsidRPr="00D253F0">
        <w:rPr>
          <w:rFonts w:ascii="Times New Roman" w:hAnsi="Times New Roman" w:cs="Times New Roman"/>
          <w:sz w:val="24"/>
          <w:szCs w:val="24"/>
        </w:rPr>
        <w:fldChar w:fldCharType="begin"/>
      </w:r>
      <w:r w:rsidRPr="00D253F0">
        <w:rPr>
          <w:rFonts w:ascii="Times New Roman" w:hAnsi="Times New Roman" w:cs="Times New Roman"/>
          <w:sz w:val="24"/>
          <w:szCs w:val="24"/>
        </w:rPr>
        <w:instrText xml:space="preserve"> REF _Ref236730892 \r \h  \* MERGEFORMAT </w:instrText>
      </w:r>
      <w:r w:rsidRPr="00D253F0">
        <w:rPr>
          <w:rFonts w:ascii="Times New Roman" w:hAnsi="Times New Roman" w:cs="Times New Roman"/>
          <w:sz w:val="24"/>
          <w:szCs w:val="24"/>
        </w:rPr>
      </w:r>
      <w:r w:rsidRPr="00D253F0">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D253F0">
        <w:rPr>
          <w:rFonts w:ascii="Times New Roman" w:hAnsi="Times New Roman" w:cs="Times New Roman"/>
          <w:sz w:val="24"/>
          <w:szCs w:val="24"/>
        </w:rPr>
        <w:fldChar w:fldCharType="end"/>
      </w:r>
      <w:r>
        <w:rPr>
          <w:rFonts w:ascii="Times New Roman" w:eastAsia="Times New Roman" w:hAnsi="Times New Roman" w:cs="Times New Roman"/>
          <w:sz w:val="24"/>
          <w:szCs w:val="24"/>
          <w:lang w:eastAsia="da-DK"/>
        </w:rPr>
        <w:t>, nr. 1-9 samt nr. 11 og</w:t>
      </w:r>
      <w:r w:rsidRPr="00D253F0">
        <w:rPr>
          <w:rFonts w:ascii="Times New Roman" w:eastAsia="Times New Roman" w:hAnsi="Times New Roman" w:cs="Times New Roman"/>
          <w:sz w:val="24"/>
          <w:szCs w:val="24"/>
          <w:lang w:eastAsia="da-DK"/>
        </w:rPr>
        <w:t xml:space="preserve"> </w:t>
      </w:r>
      <w:r>
        <w:rPr>
          <w:rFonts w:ascii="Times New Roman" w:eastAsia="Times New Roman" w:hAnsi="Times New Roman" w:cs="Times New Roman"/>
          <w:sz w:val="24"/>
          <w:szCs w:val="24"/>
          <w:lang w:eastAsia="da-DK"/>
        </w:rPr>
        <w:t>medlemmer af den</w:t>
      </w:r>
      <w:r w:rsidRPr="00D253F0">
        <w:rPr>
          <w:rFonts w:ascii="Times New Roman" w:eastAsia="Times New Roman" w:hAnsi="Times New Roman" w:cs="Times New Roman"/>
          <w:sz w:val="24"/>
          <w:szCs w:val="24"/>
          <w:lang w:eastAsia="da-DK"/>
        </w:rPr>
        <w:t xml:space="preserve"> øverste ledelse samt </w:t>
      </w:r>
      <w:r>
        <w:rPr>
          <w:rFonts w:ascii="Times New Roman" w:eastAsia="Times New Roman" w:hAnsi="Times New Roman" w:cs="Times New Roman"/>
          <w:sz w:val="24"/>
          <w:szCs w:val="24"/>
          <w:lang w:eastAsia="da-DK"/>
        </w:rPr>
        <w:t>reelle ejere</w:t>
      </w:r>
      <w:r w:rsidRPr="00D253F0">
        <w:rPr>
          <w:rFonts w:ascii="Times New Roman" w:eastAsia="Times New Roman" w:hAnsi="Times New Roman" w:cs="Times New Roman"/>
          <w:sz w:val="24"/>
          <w:szCs w:val="24"/>
          <w:lang w:eastAsia="da-DK"/>
        </w:rPr>
        <w:t xml:space="preserve"> af en </w:t>
      </w:r>
      <w:r>
        <w:rPr>
          <w:rFonts w:ascii="Times New Roman" w:eastAsia="Times New Roman" w:hAnsi="Times New Roman" w:cs="Times New Roman"/>
          <w:sz w:val="24"/>
          <w:szCs w:val="24"/>
          <w:lang w:eastAsia="da-DK"/>
        </w:rPr>
        <w:t xml:space="preserve">sådan </w:t>
      </w:r>
      <w:r w:rsidRPr="00D253F0">
        <w:rPr>
          <w:rFonts w:ascii="Times New Roman" w:eastAsia="Times New Roman" w:hAnsi="Times New Roman" w:cs="Times New Roman"/>
          <w:sz w:val="24"/>
          <w:szCs w:val="24"/>
          <w:lang w:eastAsia="da-DK"/>
        </w:rPr>
        <w:t>virksomhed af egen drift skal orientere Erhvervsstyrelsen om forhold omfattet af stk. 1. Orienteringen skal ske hurtigst muligt og senest to uger efter, at virksomheden, personen, et medlem af virksomhed</w:t>
      </w:r>
      <w:r>
        <w:rPr>
          <w:rFonts w:ascii="Times New Roman" w:eastAsia="Times New Roman" w:hAnsi="Times New Roman" w:cs="Times New Roman"/>
          <w:sz w:val="24"/>
          <w:szCs w:val="24"/>
          <w:lang w:eastAsia="da-DK"/>
        </w:rPr>
        <w:t>en</w:t>
      </w:r>
      <w:r w:rsidRPr="00D253F0">
        <w:rPr>
          <w:rFonts w:ascii="Times New Roman" w:eastAsia="Times New Roman" w:hAnsi="Times New Roman" w:cs="Times New Roman"/>
          <w:sz w:val="24"/>
          <w:szCs w:val="24"/>
          <w:lang w:eastAsia="da-DK"/>
        </w:rPr>
        <w:t xml:space="preserve">s øverste ledelse </w:t>
      </w:r>
      <w:r>
        <w:rPr>
          <w:rFonts w:ascii="Times New Roman" w:eastAsia="Times New Roman" w:hAnsi="Times New Roman" w:cs="Times New Roman"/>
          <w:sz w:val="24"/>
          <w:szCs w:val="24"/>
          <w:lang w:eastAsia="da-DK"/>
        </w:rPr>
        <w:t>eller</w:t>
      </w:r>
      <w:r w:rsidRPr="00D253F0">
        <w:rPr>
          <w:rFonts w:ascii="Times New Roman" w:eastAsia="Times New Roman" w:hAnsi="Times New Roman" w:cs="Times New Roman"/>
          <w:sz w:val="24"/>
          <w:szCs w:val="24"/>
          <w:lang w:eastAsia="da-DK"/>
        </w:rPr>
        <w:t xml:space="preserve"> en reel ejer af virksomhed</w:t>
      </w:r>
      <w:r>
        <w:rPr>
          <w:rFonts w:ascii="Times New Roman" w:eastAsia="Times New Roman" w:hAnsi="Times New Roman" w:cs="Times New Roman"/>
          <w:sz w:val="24"/>
          <w:szCs w:val="24"/>
          <w:lang w:eastAsia="da-DK"/>
        </w:rPr>
        <w:t>en</w:t>
      </w:r>
      <w:r w:rsidRPr="00D253F0">
        <w:rPr>
          <w:rFonts w:ascii="Times New Roman" w:eastAsia="Times New Roman" w:hAnsi="Times New Roman" w:cs="Times New Roman"/>
          <w:sz w:val="24"/>
          <w:szCs w:val="24"/>
          <w:lang w:eastAsia="da-DK"/>
        </w:rPr>
        <w:t xml:space="preserve"> får kendskab til forholdet.</w:t>
      </w:r>
    </w:p>
    <w:p w14:paraId="3357DBA1"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33A913F3" w14:textId="1F72688F" w:rsidR="003D2A25" w:rsidRPr="00D253F0" w:rsidRDefault="003D2A25" w:rsidP="00A802A5">
      <w:pPr>
        <w:spacing w:line="360" w:lineRule="auto"/>
        <w:rPr>
          <w:rFonts w:ascii="Times New Roman" w:eastAsia="Times New Roman" w:hAnsi="Times New Roman" w:cs="Times New Roman"/>
          <w:sz w:val="24"/>
          <w:szCs w:val="24"/>
          <w:lang w:eastAsia="da-DK"/>
        </w:rPr>
      </w:pPr>
      <w:r w:rsidRPr="00D253F0">
        <w:rPr>
          <w:rFonts w:ascii="Times New Roman" w:eastAsia="Times New Roman" w:hAnsi="Times New Roman" w:cs="Times New Roman"/>
          <w:sz w:val="24"/>
          <w:szCs w:val="24"/>
          <w:lang w:eastAsia="da-DK"/>
        </w:rPr>
        <w:t xml:space="preserve">Den foreslåede bestemmelse vil medføre, at </w:t>
      </w:r>
      <w:r>
        <w:rPr>
          <w:rFonts w:ascii="Times New Roman" w:hAnsi="Times New Roman" w:cs="Times New Roman"/>
          <w:sz w:val="24"/>
          <w:szCs w:val="24"/>
        </w:rPr>
        <w:t>virksomheden eller personen samt medlemmer den øverste ledelse eller kreds af reelle ejere vil være forpligtet til af egen drift at informere Erhvervsstyrelsen</w:t>
      </w:r>
      <w:r w:rsidRPr="00D253F0">
        <w:rPr>
          <w:rFonts w:ascii="Times New Roman" w:eastAsia="Times New Roman" w:hAnsi="Times New Roman" w:cs="Times New Roman"/>
          <w:sz w:val="24"/>
          <w:szCs w:val="24"/>
          <w:lang w:eastAsia="da-DK"/>
        </w:rPr>
        <w:t xml:space="preserve">, såfremt et medlem af ledelsen og reelle ejere af virksomheder samt personer omfattet af </w:t>
      </w:r>
      <w:r w:rsidRPr="00D253F0">
        <w:rPr>
          <w:rFonts w:ascii="Times New Roman" w:hAnsi="Times New Roman" w:cs="Times New Roman"/>
          <w:sz w:val="24"/>
          <w:szCs w:val="24"/>
        </w:rPr>
        <w:fldChar w:fldCharType="begin"/>
      </w:r>
      <w:r w:rsidRPr="00D253F0">
        <w:rPr>
          <w:rFonts w:ascii="Times New Roman" w:hAnsi="Times New Roman" w:cs="Times New Roman"/>
          <w:sz w:val="24"/>
          <w:szCs w:val="24"/>
        </w:rPr>
        <w:instrText xml:space="preserve"> REF _Ref236730892 \r \h  \* MERGEFORMAT </w:instrText>
      </w:r>
      <w:r w:rsidRPr="00D253F0">
        <w:rPr>
          <w:rFonts w:ascii="Times New Roman" w:hAnsi="Times New Roman" w:cs="Times New Roman"/>
          <w:sz w:val="24"/>
          <w:szCs w:val="24"/>
        </w:rPr>
      </w:r>
      <w:r w:rsidRPr="00D253F0">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D253F0">
        <w:rPr>
          <w:rFonts w:ascii="Times New Roman" w:hAnsi="Times New Roman" w:cs="Times New Roman"/>
          <w:sz w:val="24"/>
          <w:szCs w:val="24"/>
        </w:rPr>
        <w:fldChar w:fldCharType="end"/>
      </w:r>
      <w:r w:rsidRPr="00D253F0">
        <w:rPr>
          <w:rFonts w:ascii="Times New Roman" w:eastAsia="Times New Roman" w:hAnsi="Times New Roman" w:cs="Times New Roman"/>
          <w:sz w:val="24"/>
          <w:szCs w:val="24"/>
          <w:lang w:eastAsia="da-DK"/>
        </w:rPr>
        <w:t xml:space="preserve">, nr. 1-9 samt nr. 11 </w:t>
      </w:r>
      <w:r>
        <w:rPr>
          <w:rFonts w:ascii="Times New Roman" w:eastAsia="Times New Roman" w:hAnsi="Times New Roman" w:cs="Times New Roman"/>
          <w:sz w:val="24"/>
          <w:szCs w:val="24"/>
          <w:lang w:eastAsia="da-DK"/>
        </w:rPr>
        <w:t>er eller bliver</w:t>
      </w:r>
      <w:r w:rsidRPr="00D253F0">
        <w:rPr>
          <w:rFonts w:ascii="Times New Roman" w:eastAsia="Times New Roman" w:hAnsi="Times New Roman" w:cs="Times New Roman"/>
          <w:sz w:val="24"/>
          <w:szCs w:val="24"/>
          <w:lang w:eastAsia="da-DK"/>
        </w:rPr>
        <w:t xml:space="preserve"> dømt for hvidvask, de underliggende lovovertrædelser eller terrorfinansiering. </w:t>
      </w:r>
    </w:p>
    <w:p w14:paraId="034EAFB9"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1FFA3EBA" w14:textId="77777777" w:rsidR="004A72D6" w:rsidRPr="00796736" w:rsidRDefault="004A72D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Orienteringen skal ske hurtigst muligt og senest to uger efter, at virksomheden eller personen får kendskab til forholdet. Det strafbare forhold skal være fastslået ved endelig dom.</w:t>
      </w:r>
    </w:p>
    <w:p w14:paraId="37F2E41B"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524401A4" w14:textId="77777777" w:rsidR="004A72D6" w:rsidRPr="00796736" w:rsidRDefault="004A72D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Formålet med bestemmelsen er at minimere risikoen for hvidvask af penge i virksomheder og kanalisering af penge til terrorformål ved blandt andet at hindre, at personer med bestemmende indflydelse på virksomheden eller ledelsesmæssige beføjelser kan anvende virksomheden til kriminelle formål.</w:t>
      </w:r>
    </w:p>
    <w:p w14:paraId="563A35F4" w14:textId="77777777" w:rsidR="004A72D6" w:rsidRPr="00796736" w:rsidRDefault="004A72D6" w:rsidP="00A802A5">
      <w:pPr>
        <w:spacing w:line="360" w:lineRule="auto"/>
        <w:rPr>
          <w:rFonts w:ascii="Times New Roman" w:eastAsia="Times New Roman" w:hAnsi="Times New Roman" w:cs="Times New Roman"/>
          <w:sz w:val="24"/>
          <w:szCs w:val="24"/>
          <w:lang w:eastAsia="da-DK"/>
        </w:rPr>
      </w:pPr>
    </w:p>
    <w:p w14:paraId="259BD38F" w14:textId="77777777" w:rsidR="004A72D6" w:rsidRDefault="004A72D6"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Erhvervsstyrelsen har behov for oplysningerne for at vurdere om medlemmet af ledelsen eller den reelle ejer af virksomheden samt personen kan fortsætte i virksomheden eller om forholdet er af en sådan art, at vedkommende ikke kan anses for være hæderlig. Ved Erhvervsstyrelsens vurdering skal der generelt inddrages en høj grad af væsentlighed, herunder hvorvidt den pågældende reelle ejer eller ledelsesmedlem kan antages at ville anvende virksomheden til hvidvask af penge eller kanalisering af penge til terrorformål. </w:t>
      </w:r>
    </w:p>
    <w:p w14:paraId="3F24F559" w14:textId="77777777" w:rsidR="003D2A25" w:rsidRDefault="003D2A25" w:rsidP="00A802A5">
      <w:pPr>
        <w:spacing w:line="360" w:lineRule="auto"/>
        <w:rPr>
          <w:rFonts w:ascii="Times New Roman" w:eastAsia="Times New Roman" w:hAnsi="Times New Roman" w:cs="Times New Roman"/>
          <w:sz w:val="24"/>
          <w:szCs w:val="24"/>
          <w:lang w:eastAsia="da-DK"/>
        </w:rPr>
      </w:pPr>
    </w:p>
    <w:p w14:paraId="0E12A657" w14:textId="77777777" w:rsidR="003D2A25" w:rsidRPr="00574C91" w:rsidRDefault="003D2A25"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Bestemmelsen</w:t>
      </w:r>
      <w:r w:rsidRPr="00574C91">
        <w:rPr>
          <w:rFonts w:ascii="Times New Roman" w:hAnsi="Times New Roman" w:cs="Times New Roman"/>
          <w:sz w:val="24"/>
          <w:szCs w:val="24"/>
        </w:rPr>
        <w:t xml:space="preserve"> vil indebære en oplysningspligt, jf. § 1, stk. 3, i lov om retssikkerhed ved forvaltningens anvendelse af tvangsindgreb og oplysningspligter (retssikkerhedsloven). Dette vil indebære, at oplysningspligten ikke finder anvendelse over for en enkeltperson eller juridisk person, hvis der er konkret mistanke om, at den pågældende har begået en lovovertrædelse, der kan medføre straf, medmindre det kan udelukkes, at de oplysninger, som søges tilvejebragt, kan have betydning for bedømmelsen af den formodede lovovertrædelse, jf. § 10 i retssikkerhedsloven.</w:t>
      </w:r>
    </w:p>
    <w:p w14:paraId="7C841C63" w14:textId="77777777" w:rsidR="003D2A25" w:rsidRPr="00574C91"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 xml:space="preserve">Erhvervsstyrelsen vil i sådanne tilfælde skulle vejlede den mistænkte om, at vedkommende ikke har pligt til at meddele oplysninger, som kan have betydning for bedømmelsen af den formodede lovovertrædelse. </w:t>
      </w:r>
    </w:p>
    <w:p w14:paraId="7341F86C" w14:textId="77777777" w:rsidR="003D2A25"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Se nærmere herom i de almindelige bemærkninger pkt. 4.3.</w:t>
      </w:r>
    </w:p>
    <w:p w14:paraId="44E44E2E" w14:textId="77777777" w:rsidR="003D2A25" w:rsidRDefault="003D2A25"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Oplysningspligten vil gælde for enhver i den i stk. 3 nævnte personkreds, herunder også resterende medlemmer af virksomhedens øverste ledelse eller andre reelle ejere af virksomheden.</w:t>
      </w:r>
    </w:p>
    <w:p w14:paraId="326955F0" w14:textId="5EA90003" w:rsidR="003D2A25" w:rsidRPr="00796736" w:rsidRDefault="003D2A25" w:rsidP="00A802A5">
      <w:pPr>
        <w:spacing w:line="360" w:lineRule="auto"/>
        <w:rPr>
          <w:rFonts w:ascii="Times New Roman" w:eastAsia="Times New Roman" w:hAnsi="Times New Roman" w:cs="Times New Roman"/>
          <w:sz w:val="24"/>
          <w:szCs w:val="24"/>
          <w:lang w:eastAsia="da-DK"/>
        </w:rPr>
      </w:pPr>
      <w:r w:rsidRPr="0074518A">
        <w:rPr>
          <w:rFonts w:ascii="Times New Roman" w:hAnsi="Times New Roman" w:cs="Times New Roman"/>
          <w:sz w:val="24"/>
          <w:szCs w:val="24"/>
        </w:rPr>
        <w:t xml:space="preserve">Overtrædelse af bestemmelsen foreslås strafbelagt i henhold til </w:t>
      </w:r>
      <w:r w:rsidRPr="0074518A">
        <w:rPr>
          <w:rFonts w:ascii="Times New Roman" w:hAnsi="Times New Roman" w:cs="Times New Roman"/>
          <w:sz w:val="24"/>
          <w:szCs w:val="24"/>
        </w:rPr>
        <w:fldChar w:fldCharType="begin"/>
      </w:r>
      <w:r w:rsidRPr="0074518A">
        <w:rPr>
          <w:rFonts w:ascii="Times New Roman" w:hAnsi="Times New Roman" w:cs="Times New Roman"/>
          <w:sz w:val="24"/>
          <w:szCs w:val="24"/>
        </w:rPr>
        <w:instrText xml:space="preserve"> REF _Ref242963797 \r \h </w:instrText>
      </w:r>
      <w:r>
        <w:rPr>
          <w:rFonts w:ascii="Times New Roman" w:hAnsi="Times New Roman" w:cs="Times New Roman"/>
          <w:sz w:val="24"/>
          <w:szCs w:val="24"/>
        </w:rPr>
        <w:instrText xml:space="preserve"> \* MERGEFORMAT </w:instrText>
      </w:r>
      <w:r w:rsidRPr="0074518A">
        <w:rPr>
          <w:rFonts w:ascii="Times New Roman" w:hAnsi="Times New Roman" w:cs="Times New Roman"/>
          <w:sz w:val="24"/>
          <w:szCs w:val="24"/>
        </w:rPr>
      </w:r>
      <w:r w:rsidRPr="0074518A">
        <w:rPr>
          <w:rFonts w:ascii="Times New Roman" w:hAnsi="Times New Roman" w:cs="Times New Roman"/>
          <w:sz w:val="24"/>
          <w:szCs w:val="24"/>
        </w:rPr>
        <w:fldChar w:fldCharType="separate"/>
      </w:r>
      <w:r w:rsidR="008F29E5">
        <w:rPr>
          <w:rFonts w:ascii="Times New Roman" w:hAnsi="Times New Roman" w:cs="Times New Roman"/>
          <w:sz w:val="24"/>
          <w:szCs w:val="24"/>
        </w:rPr>
        <w:t>§ 139</w:t>
      </w:r>
      <w:r w:rsidRPr="0074518A">
        <w:rPr>
          <w:rFonts w:ascii="Times New Roman" w:hAnsi="Times New Roman" w:cs="Times New Roman"/>
          <w:sz w:val="24"/>
          <w:szCs w:val="24"/>
        </w:rPr>
        <w:fldChar w:fldCharType="end"/>
      </w:r>
      <w:r w:rsidRPr="0074518A">
        <w:rPr>
          <w:rFonts w:ascii="Times New Roman" w:hAnsi="Times New Roman" w:cs="Times New Roman"/>
          <w:sz w:val="24"/>
          <w:szCs w:val="24"/>
        </w:rPr>
        <w:t xml:space="preserve">, stk. 1, nr. 5. Ansvarssubjekterne for overtrædelse af </w:t>
      </w:r>
      <w:r w:rsidRPr="00D253F0">
        <w:rPr>
          <w:rFonts w:ascii="Times New Roman" w:hAnsi="Times New Roman" w:cs="Times New Roman"/>
          <w:sz w:val="24"/>
          <w:szCs w:val="24"/>
        </w:rPr>
        <w:fldChar w:fldCharType="begin"/>
      </w:r>
      <w:r w:rsidRPr="00D253F0">
        <w:rPr>
          <w:rFonts w:ascii="Times New Roman" w:hAnsi="Times New Roman" w:cs="Times New Roman"/>
          <w:sz w:val="24"/>
          <w:szCs w:val="24"/>
        </w:rPr>
        <w:instrText xml:space="preserve"> REF _Ref232609060 \r \h  \* MERGEFORMAT </w:instrText>
      </w:r>
      <w:r w:rsidRPr="00D253F0">
        <w:rPr>
          <w:rFonts w:ascii="Times New Roman" w:hAnsi="Times New Roman" w:cs="Times New Roman"/>
          <w:sz w:val="24"/>
          <w:szCs w:val="24"/>
        </w:rPr>
      </w:r>
      <w:r w:rsidRPr="00D253F0">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D253F0">
        <w:rPr>
          <w:rFonts w:ascii="Times New Roman" w:hAnsi="Times New Roman" w:cs="Times New Roman"/>
          <w:sz w:val="24"/>
          <w:szCs w:val="24"/>
        </w:rPr>
        <w:fldChar w:fldCharType="end"/>
      </w:r>
      <w:r w:rsidRPr="0074518A">
        <w:rPr>
          <w:rFonts w:ascii="Times New Roman" w:hAnsi="Times New Roman" w:cs="Times New Roman"/>
          <w:sz w:val="24"/>
          <w:szCs w:val="24"/>
        </w:rPr>
        <w:t xml:space="preserve">, stk. </w:t>
      </w:r>
      <w:r>
        <w:rPr>
          <w:rFonts w:ascii="Times New Roman" w:hAnsi="Times New Roman" w:cs="Times New Roman"/>
          <w:sz w:val="24"/>
          <w:szCs w:val="24"/>
        </w:rPr>
        <w:t>3</w:t>
      </w:r>
      <w:r w:rsidRPr="0074518A">
        <w:rPr>
          <w:rFonts w:ascii="Times New Roman" w:hAnsi="Times New Roman" w:cs="Times New Roman"/>
          <w:sz w:val="24"/>
          <w:szCs w:val="24"/>
        </w:rPr>
        <w:t xml:space="preserve">, vil være virksomheder eller personer omfattet af lovforslagets </w:t>
      </w:r>
      <w:r w:rsidRPr="0074518A">
        <w:rPr>
          <w:rFonts w:ascii="Times New Roman" w:hAnsi="Times New Roman" w:cs="Times New Roman"/>
          <w:sz w:val="24"/>
          <w:szCs w:val="24"/>
        </w:rPr>
        <w:fldChar w:fldCharType="begin"/>
      </w:r>
      <w:r w:rsidRPr="0074518A">
        <w:rPr>
          <w:rFonts w:ascii="Times New Roman" w:hAnsi="Times New Roman" w:cs="Times New Roman"/>
          <w:sz w:val="24"/>
          <w:szCs w:val="24"/>
        </w:rPr>
        <w:instrText xml:space="preserve"> REF _Ref236730892 \r \h  \* MERGEFORMAT </w:instrText>
      </w:r>
      <w:r w:rsidRPr="0074518A">
        <w:rPr>
          <w:rFonts w:ascii="Times New Roman" w:hAnsi="Times New Roman" w:cs="Times New Roman"/>
          <w:sz w:val="24"/>
          <w:szCs w:val="24"/>
        </w:rPr>
      </w:r>
      <w:r w:rsidRPr="0074518A">
        <w:rPr>
          <w:rFonts w:ascii="Times New Roman" w:hAnsi="Times New Roman" w:cs="Times New Roman"/>
          <w:sz w:val="24"/>
          <w:szCs w:val="24"/>
        </w:rPr>
        <w:fldChar w:fldCharType="separate"/>
      </w:r>
      <w:r w:rsidR="008F29E5">
        <w:rPr>
          <w:rFonts w:ascii="Times New Roman" w:hAnsi="Times New Roman" w:cs="Times New Roman"/>
          <w:sz w:val="24"/>
          <w:szCs w:val="24"/>
        </w:rPr>
        <w:t>§ 79</w:t>
      </w:r>
      <w:r w:rsidRPr="0074518A">
        <w:rPr>
          <w:rFonts w:ascii="Times New Roman" w:hAnsi="Times New Roman" w:cs="Times New Roman"/>
          <w:sz w:val="24"/>
          <w:szCs w:val="24"/>
        </w:rPr>
        <w:fldChar w:fldCharType="end"/>
      </w:r>
      <w:r w:rsidRPr="0074518A">
        <w:rPr>
          <w:rFonts w:ascii="Times New Roman" w:hAnsi="Times New Roman" w:cs="Times New Roman"/>
          <w:sz w:val="24"/>
          <w:szCs w:val="24"/>
        </w:rPr>
        <w:t xml:space="preserve">, nr. </w:t>
      </w:r>
      <w:r>
        <w:rPr>
          <w:rFonts w:ascii="Times New Roman" w:hAnsi="Times New Roman" w:cs="Times New Roman"/>
          <w:sz w:val="24"/>
          <w:szCs w:val="24"/>
        </w:rPr>
        <w:t>1-9 samt nr. 11</w:t>
      </w:r>
      <w:r w:rsidRPr="0074518A">
        <w:rPr>
          <w:rFonts w:ascii="Times New Roman" w:hAnsi="Times New Roman" w:cs="Times New Roman"/>
          <w:sz w:val="24"/>
          <w:szCs w:val="24"/>
        </w:rPr>
        <w:t xml:space="preserve"> og medlemmer af den øverste ledelse eller reelle ejere af en sådan virksomhed. Den strafbare handling består i ikke at give Erhvervsstyrelsen meddelelse om, at </w:t>
      </w:r>
      <w:r>
        <w:rPr>
          <w:rFonts w:ascii="Times New Roman" w:hAnsi="Times New Roman" w:cs="Times New Roman"/>
          <w:sz w:val="24"/>
          <w:szCs w:val="24"/>
        </w:rPr>
        <w:t>der foreligger forhold omfattet af stk. 1.</w:t>
      </w:r>
      <w:r w:rsidRPr="0074518A">
        <w:rPr>
          <w:rFonts w:ascii="Times New Roman" w:hAnsi="Times New Roman" w:cs="Times New Roman"/>
          <w:sz w:val="24"/>
          <w:szCs w:val="24"/>
        </w:rPr>
        <w:t xml:space="preserve"> Et eksempel på overtrædelse er </w:t>
      </w:r>
      <w:r>
        <w:rPr>
          <w:rFonts w:ascii="Times New Roman" w:hAnsi="Times New Roman" w:cs="Times New Roman"/>
          <w:sz w:val="24"/>
          <w:szCs w:val="24"/>
        </w:rPr>
        <w:t>en virksomhed</w:t>
      </w:r>
      <w:r w:rsidRPr="0074518A">
        <w:rPr>
          <w:rFonts w:ascii="Times New Roman" w:hAnsi="Times New Roman" w:cs="Times New Roman"/>
          <w:sz w:val="24"/>
          <w:szCs w:val="24"/>
        </w:rPr>
        <w:t>, der ikke oplyser Erhvervsstyrelsen om</w:t>
      </w:r>
      <w:r>
        <w:rPr>
          <w:rFonts w:ascii="Times New Roman" w:hAnsi="Times New Roman" w:cs="Times New Roman"/>
          <w:sz w:val="24"/>
          <w:szCs w:val="24"/>
        </w:rPr>
        <w:t>, at et medlem af den øverste ledelse er dømt for en omfattet overtrædelse.</w:t>
      </w:r>
    </w:p>
    <w:p w14:paraId="5471F0D1" w14:textId="77777777" w:rsidR="00D71F73" w:rsidRPr="00796736" w:rsidRDefault="00D71F73" w:rsidP="00A802A5">
      <w:pPr>
        <w:spacing w:line="360" w:lineRule="auto"/>
        <w:rPr>
          <w:rFonts w:ascii="Times New Roman" w:eastAsia="Times New Roman" w:hAnsi="Times New Roman" w:cs="Times New Roman"/>
          <w:sz w:val="24"/>
          <w:szCs w:val="24"/>
          <w:lang w:eastAsia="da-DK"/>
        </w:rPr>
      </w:pPr>
    </w:p>
    <w:p w14:paraId="4A9DD279" w14:textId="77777777" w:rsidR="002408BB" w:rsidRPr="00796736" w:rsidRDefault="002408BB" w:rsidP="00A802A5">
      <w:pPr>
        <w:spacing w:line="360" w:lineRule="auto"/>
        <w:rPr>
          <w:rFonts w:ascii="Times New Roman" w:eastAsia="Times New Roman" w:hAnsi="Times New Roman" w:cs="Times New Roman"/>
          <w:sz w:val="24"/>
          <w:szCs w:val="24"/>
          <w:lang w:eastAsia="da-DK"/>
        </w:rPr>
      </w:pPr>
    </w:p>
    <w:p w14:paraId="0B71543B" w14:textId="02961A43" w:rsidR="002408BB" w:rsidRPr="00796736" w:rsidRDefault="002408BB" w:rsidP="00A802A5">
      <w:pPr>
        <w:pStyle w:val="Undertitel"/>
      </w:pPr>
      <w:bookmarkStart w:id="2117" w:name="_Toc244879382"/>
      <w:bookmarkStart w:id="2118" w:name="_Toc244880907"/>
      <w:r w:rsidRPr="00796736">
        <w:t xml:space="preserve">Til </w:t>
      </w:r>
      <w:r w:rsidRPr="00796736">
        <w:fldChar w:fldCharType="begin"/>
      </w:r>
      <w:r w:rsidRPr="00796736">
        <w:instrText xml:space="preserve"> REF _Ref236734482 \r \h </w:instrText>
      </w:r>
      <w:r w:rsidR="003D2894" w:rsidRPr="00796736">
        <w:instrText xml:space="preserve"> \* MERGEFORMAT </w:instrText>
      </w:r>
      <w:r w:rsidRPr="00796736">
        <w:fldChar w:fldCharType="separate"/>
      </w:r>
      <w:r w:rsidR="008F29E5">
        <w:t>§ 86</w:t>
      </w:r>
      <w:bookmarkEnd w:id="2117"/>
      <w:bookmarkEnd w:id="2118"/>
      <w:r w:rsidRPr="00796736">
        <w:fldChar w:fldCharType="end"/>
      </w:r>
      <w:r w:rsidRPr="00796736">
        <w:t xml:space="preserve"> </w:t>
      </w:r>
    </w:p>
    <w:p w14:paraId="1D27DC98"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60 i den gældende hvidvasklov indeholder bemyndigelse til, at Erhvervsstyrelsen kan påbyde virksomheder og personer omfattet af tilsynet inden for en af styrelsen fastsat frist at foretage de nødvendige foranstaltninger i tilfælde af overtrædelse af bestemmelser i hvidvaskloven, de regler, der er fastsat i medfør heraf, eller forordninger indeholdende regler om finansielle sanktioner mod lande, personer, grupper, juridiske enheder, eller organer.</w:t>
      </w:r>
    </w:p>
    <w:p w14:paraId="1D46863E"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Bemærkningerne til § 60 i den gældende hvidvasklov indeholder i dag en kvalificering af, at afgivelsen af et påbud som udgangspunkt forudsætter en overtrædelse, som er alvorlig, gentagen, systematisk eller en kombination heraf. </w:t>
      </w:r>
    </w:p>
    <w:p w14:paraId="3598B5E4"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medføre, at der ikke længere eksisterer en sådan kvalificering af overtrædelsen. Dette følger af artikel 56, stk. 1 i 6. hvidvaskvaskdirektiv. En overtrædelse behøver således ikke længere at være alvorlig, gentagen, systematisk eller en kombination heraf førend, at der kan afgives et påbud herfor. Erhvervsstyrelsen vil ved anvendelsen af et påbud forsat skulle tage højde for alle relevante omstændigheder, som nærmere behandlet nedenfor.  </w:t>
      </w:r>
    </w:p>
    <w:p w14:paraId="3E86BC9A"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Bestemmelsen implementerer artikel 56, stk. 2, litra a, b og d, stk. 3, og stk. 4, i 6. hvidvaskdirektiv.</w:t>
      </w:r>
    </w:p>
    <w:p w14:paraId="51FE3271" w14:textId="0ABB50D4" w:rsidR="00AD43B7" w:rsidRPr="00796736" w:rsidRDefault="00AD43B7"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_Ref236734482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86</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lang w:eastAsia="da-DK"/>
        </w:rPr>
        <w:t>,</w:t>
      </w:r>
      <w:r w:rsidRPr="00796736">
        <w:rPr>
          <w:rFonts w:ascii="Times New Roman" w:hAnsi="Times New Roman" w:cs="Times New Roman"/>
          <w:sz w:val="24"/>
          <w:szCs w:val="24"/>
          <w:lang w:eastAsia="da-DK"/>
        </w:rPr>
        <w:t xml:space="preserve"> at Erhvervsstyrelsen kan træffe afgørelse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_Ref232597715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87</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_Ref232608940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91</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hvis Erhvervsstyrelsen konstaterer:</w:t>
      </w:r>
      <w:r w:rsidRPr="00796736">
        <w:rPr>
          <w:rFonts w:ascii="Times New Roman" w:eastAsia="Calibri" w:hAnsi="Times New Roman" w:cs="Times New Roman"/>
          <w:iCs/>
          <w:sz w:val="24"/>
          <w:szCs w:val="24"/>
        </w:rPr>
        <w:t xml:space="preserve"> 1) overtrædelse af bestemmelser i hvidvaskforordningen, denne lov, regler udstedt i medfør heraf, eller Europa-Parlamentets og Rådets forordninger indeholdende regler om finansielle sanktioner mod lande, personer, grupper, juridiske enheder eller organer, 2) svagheder i interne politikker, procedurer og kontroller, som sandsynligvis vil føre til en overtrædelse efter nr. 1, eller 3) at interne politikker, procedurer og kontroller ikke står i et rimeligt forhold til de risici for hvidvask, de underliggende overtrædelser eller finansiering af terrorisme, som virksomheden eller personen er eksponeret for.</w:t>
      </w:r>
    </w:p>
    <w:p w14:paraId="1FE1F25E" w14:textId="77777777" w:rsidR="00AD43B7" w:rsidRPr="00796736" w:rsidRDefault="00AD43B7" w:rsidP="00A802A5">
      <w:pPr>
        <w:spacing w:line="360" w:lineRule="auto"/>
        <w:rPr>
          <w:rFonts w:ascii="Times New Roman" w:eastAsia="Calibri" w:hAnsi="Times New Roman" w:cs="Times New Roman"/>
          <w:iCs/>
          <w:sz w:val="24"/>
          <w:szCs w:val="24"/>
        </w:rPr>
      </w:pPr>
    </w:p>
    <w:p w14:paraId="3A1BC768" w14:textId="77777777" w:rsidR="00AD43B7" w:rsidRPr="00796736" w:rsidRDefault="00AD43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iCs/>
          <w:sz w:val="24"/>
          <w:szCs w:val="24"/>
        </w:rPr>
        <w:t>Bestemmelsen implementerer artikel 56, stk. 1, litra a-c), i 6. hvidvaskdirektiv.</w:t>
      </w:r>
    </w:p>
    <w:p w14:paraId="56BDB0A7" w14:textId="77777777" w:rsidR="00AD43B7" w:rsidRPr="00796736" w:rsidRDefault="00AD43B7" w:rsidP="00A802A5">
      <w:pPr>
        <w:spacing w:line="360" w:lineRule="auto"/>
        <w:rPr>
          <w:rFonts w:ascii="Times New Roman" w:eastAsia="Calibri" w:hAnsi="Times New Roman" w:cs="Times New Roman"/>
          <w:iCs/>
          <w:sz w:val="24"/>
          <w:szCs w:val="24"/>
        </w:rPr>
      </w:pPr>
    </w:p>
    <w:p w14:paraId="462EE8A2" w14:textId="3452B2BA" w:rsidR="00AD43B7" w:rsidRPr="00796736" w:rsidRDefault="00AD43B7" w:rsidP="00A802A5">
      <w:pPr>
        <w:spacing w:line="360" w:lineRule="auto"/>
        <w:rPr>
          <w:rFonts w:ascii="Times New Roman" w:hAnsi="Times New Roman" w:cs="Times New Roman"/>
          <w:sz w:val="24"/>
          <w:szCs w:val="24"/>
          <w:lang w:eastAsia="da-DK"/>
        </w:rPr>
      </w:pPr>
      <w:r w:rsidRPr="00796736">
        <w:rPr>
          <w:rFonts w:ascii="Times New Roman" w:eastAsia="Calibri" w:hAnsi="Times New Roman" w:cs="Times New Roman"/>
          <w:iCs/>
          <w:sz w:val="24"/>
          <w:szCs w:val="24"/>
        </w:rPr>
        <w:t xml:space="preserve">Den foreslåede bestemmelse indeholder betingelserne for, hvornår der kan iværksættes administrative foranstaltninger over for virksomheder og personer, som omfattet af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_Ref236730892 \r \h </w:instrText>
      </w:r>
      <w:r w:rsidR="001A2696"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79</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w:t>
      </w:r>
    </w:p>
    <w:p w14:paraId="109F7342" w14:textId="77777777" w:rsidR="00AD43B7" w:rsidRPr="00796736" w:rsidRDefault="00AD43B7" w:rsidP="00A802A5">
      <w:pPr>
        <w:spacing w:line="360" w:lineRule="auto"/>
        <w:rPr>
          <w:rFonts w:ascii="Times New Roman" w:eastAsia="Calibri" w:hAnsi="Times New Roman" w:cs="Times New Roman"/>
          <w:iCs/>
          <w:sz w:val="24"/>
          <w:szCs w:val="24"/>
        </w:rPr>
      </w:pPr>
    </w:p>
    <w:p w14:paraId="50156DBD" w14:textId="72B5DBD5" w:rsidR="00AD43B7" w:rsidRPr="00796736" w:rsidRDefault="00AD43B7" w:rsidP="00A802A5">
      <w:pPr>
        <w:spacing w:line="360" w:lineRule="auto"/>
        <w:rPr>
          <w:rFonts w:ascii="Times New Roman" w:hAnsi="Times New Roman" w:cs="Times New Roman"/>
          <w:sz w:val="24"/>
          <w:szCs w:val="24"/>
          <w:lang w:eastAsia="da-DK"/>
        </w:rPr>
      </w:pPr>
      <w:r w:rsidRPr="00796736">
        <w:rPr>
          <w:rFonts w:ascii="Times New Roman" w:eastAsia="Calibri" w:hAnsi="Times New Roman" w:cs="Times New Roman"/>
          <w:iCs/>
          <w:sz w:val="24"/>
          <w:szCs w:val="24"/>
        </w:rPr>
        <w:t xml:space="preserve">Ved administrative foranstaltninger efter artikel 56 i 6. hvidvaskdirektiv forstås de indgreb og reaktioner, som Erhvervsstyrelsen kan iværksætte over for de virksomheder og personer, der er omfattet af tilsynet i henhold til lovforslagets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_Ref236730892 \r \h </w:instrText>
      </w:r>
      <w:r w:rsidR="001A2696"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79</w:t>
      </w:r>
      <w:r w:rsidRPr="00796736">
        <w:rPr>
          <w:rFonts w:ascii="Times New Roman" w:eastAsia="Calibri" w:hAnsi="Times New Roman" w:cs="Times New Roman"/>
          <w:iCs/>
          <w:sz w:val="24"/>
          <w:szCs w:val="24"/>
        </w:rPr>
        <w:fldChar w:fldCharType="end"/>
      </w:r>
      <w:r w:rsidR="003D2A25">
        <w:rPr>
          <w:rFonts w:ascii="Times New Roman" w:eastAsia="Calibri" w:hAnsi="Times New Roman" w:cs="Times New Roman"/>
          <w:iCs/>
          <w:sz w:val="24"/>
          <w:szCs w:val="24"/>
        </w:rPr>
        <w:t>.</w:t>
      </w:r>
    </w:p>
    <w:p w14:paraId="611FBF6E" w14:textId="77777777" w:rsidR="00AD43B7" w:rsidRPr="00796736" w:rsidRDefault="00AD43B7" w:rsidP="00A802A5">
      <w:pPr>
        <w:spacing w:line="360" w:lineRule="auto"/>
        <w:rPr>
          <w:rFonts w:ascii="Times New Roman" w:hAnsi="Times New Roman" w:cs="Times New Roman"/>
          <w:sz w:val="24"/>
          <w:szCs w:val="24"/>
          <w:lang w:eastAsia="da-DK"/>
        </w:rPr>
      </w:pPr>
    </w:p>
    <w:p w14:paraId="19FFBBA6" w14:textId="4F18959A" w:rsidR="00AD43B7" w:rsidRPr="00796736" w:rsidRDefault="00AD43B7"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nr. 1,</w:t>
      </w:r>
      <w:r w:rsidRPr="00796736">
        <w:rPr>
          <w:rFonts w:ascii="Times New Roman" w:eastAsia="Calibri" w:hAnsi="Times New Roman" w:cs="Times New Roman"/>
          <w:iCs/>
          <w:sz w:val="24"/>
          <w:szCs w:val="24"/>
        </w:rPr>
        <w:t xml:space="preserve"> at Erhvervsstyrelsen kan træffe afgørelse efter </w:t>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_Ref232597715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87</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_Ref232608940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xml:space="preserve"> 91</w:t>
      </w:r>
      <w:r w:rsidRPr="00796736">
        <w:rPr>
          <w:rFonts w:ascii="Times New Roman" w:hAnsi="Times New Roman" w:cs="Times New Roman"/>
          <w:sz w:val="24"/>
          <w:szCs w:val="24"/>
          <w:lang w:eastAsia="da-DK"/>
        </w:rPr>
        <w:fldChar w:fldCharType="end"/>
      </w:r>
      <w:r w:rsidRPr="00796736">
        <w:rPr>
          <w:rFonts w:ascii="Times New Roman" w:eastAsia="Calibri" w:hAnsi="Times New Roman" w:cs="Times New Roman"/>
          <w:iCs/>
          <w:sz w:val="24"/>
          <w:szCs w:val="24"/>
        </w:rPr>
        <w:t>, hvis der konstateres overtrædelse af reglerne i hvidvaskforordningen, denne lov, regler udstedt i medfør heraf, eller Europa-Parlamentets og Rådets forordninger indeholdende regler og finansielle sanktioner mod lande, personer, grupper, juridiske enheder eller organer.</w:t>
      </w:r>
    </w:p>
    <w:p w14:paraId="02CE9D3C" w14:textId="77777777" w:rsidR="00AD43B7" w:rsidRPr="00796736" w:rsidRDefault="00AD43B7" w:rsidP="00A802A5">
      <w:pPr>
        <w:spacing w:line="360" w:lineRule="auto"/>
        <w:rPr>
          <w:rFonts w:ascii="Times New Roman" w:eastAsia="Calibri" w:hAnsi="Times New Roman" w:cs="Times New Roman"/>
          <w:iCs/>
          <w:sz w:val="24"/>
          <w:szCs w:val="24"/>
        </w:rPr>
      </w:pPr>
    </w:p>
    <w:p w14:paraId="4B72B6AD" w14:textId="77777777" w:rsidR="00AD43B7" w:rsidRPr="00796736" w:rsidRDefault="00AD43B7" w:rsidP="00A802A5">
      <w:pPr>
        <w:spacing w:line="360" w:lineRule="auto"/>
        <w:rPr>
          <w:rFonts w:ascii="Times New Roman" w:hAnsi="Times New Roman" w:cs="Times New Roman"/>
          <w:sz w:val="24"/>
          <w:szCs w:val="24"/>
          <w:lang w:eastAsia="da-DK"/>
        </w:rPr>
      </w:pPr>
      <w:r w:rsidRPr="00796736">
        <w:rPr>
          <w:rFonts w:ascii="Times New Roman" w:eastAsia="Calibri" w:hAnsi="Times New Roman" w:cs="Times New Roman"/>
          <w:iCs/>
          <w:sz w:val="24"/>
          <w:szCs w:val="24"/>
        </w:rPr>
        <w:t xml:space="preserve">Den foreslåede bestemmelse omfatter således Erhvervsstyrelsens adgang til at gribe ind over for virksomheder og personer under tilsyn, som ikke overholder de gældende krav til forebyggelse af hvidvask af penge og finansiering af terrorisme. </w:t>
      </w:r>
    </w:p>
    <w:p w14:paraId="0AD6E751" w14:textId="77777777" w:rsidR="00AD43B7" w:rsidRPr="00796736" w:rsidRDefault="00AD43B7" w:rsidP="00A802A5">
      <w:pPr>
        <w:spacing w:line="360" w:lineRule="auto"/>
        <w:rPr>
          <w:rFonts w:ascii="Times New Roman" w:eastAsia="Calibri" w:hAnsi="Times New Roman" w:cs="Times New Roman"/>
          <w:iCs/>
          <w:sz w:val="24"/>
          <w:szCs w:val="24"/>
        </w:rPr>
      </w:pPr>
    </w:p>
    <w:p w14:paraId="7174B815" w14:textId="77777777" w:rsidR="00AD43B7" w:rsidRPr="00796736" w:rsidRDefault="00AD43B7" w:rsidP="00A802A5">
      <w:p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Foranstaltninger kan eksempelvis bestå i påbud, hvor Erhvervsstyrelsen pålægger virksomheder eller personer at udvise en bestemt adfærd eller foretage en konkret handling. Dette kan blandt andet indebære, at en ulovlig eller uhensigtsmæssig adfærd straks bringes til ophør, samt at virksomheden eller personen forpligtes til at undlade at gentage den pågældende adfærd fremadrettet.</w:t>
      </w:r>
    </w:p>
    <w:p w14:paraId="25C6FD89" w14:textId="77777777" w:rsidR="00AD43B7" w:rsidRPr="00796736" w:rsidRDefault="00AD43B7" w:rsidP="00A802A5">
      <w:pPr>
        <w:spacing w:line="360" w:lineRule="auto"/>
        <w:rPr>
          <w:rFonts w:ascii="Times New Roman" w:hAnsi="Times New Roman" w:cs="Times New Roman"/>
          <w:iCs/>
          <w:sz w:val="24"/>
          <w:szCs w:val="24"/>
          <w:lang w:eastAsia="da-DK"/>
        </w:rPr>
      </w:pPr>
    </w:p>
    <w:p w14:paraId="5DF926A4" w14:textId="77777777" w:rsidR="00AD43B7" w:rsidRPr="00796736" w:rsidRDefault="00AD43B7" w:rsidP="00A802A5">
      <w:p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Afgørelser, som Erhvervsstyrelsen træffer efter nr. 1, skal offentliggøres. Efter artikel 58, stk. 1, i 6. hvidvaskdirektiv, skal afgørelser om anvendelse af administrative foranstaltninger truffet i henhold til artikel 56, stk. 1, litra a, offentliggøres i et tilgængeligt format på tilsynsorganernes websted.</w:t>
      </w:r>
    </w:p>
    <w:p w14:paraId="3A4C526C" w14:textId="77777777" w:rsidR="00AD43B7" w:rsidRPr="00796736" w:rsidRDefault="00AD43B7" w:rsidP="00A802A5">
      <w:pPr>
        <w:spacing w:line="360" w:lineRule="auto"/>
        <w:rPr>
          <w:rFonts w:ascii="Times New Roman" w:hAnsi="Times New Roman" w:cs="Times New Roman"/>
          <w:iCs/>
          <w:sz w:val="24"/>
          <w:szCs w:val="24"/>
          <w:lang w:eastAsia="da-DK"/>
        </w:rPr>
      </w:pPr>
    </w:p>
    <w:p w14:paraId="1D02C1D8" w14:textId="3B0120AC" w:rsidR="00AD43B7" w:rsidRPr="00796736" w:rsidRDefault="00AD43B7" w:rsidP="00A802A5">
      <w:p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 xml:space="preserve">Det foreslås i </w:t>
      </w:r>
      <w:r w:rsidRPr="00796736">
        <w:rPr>
          <w:rFonts w:ascii="Times New Roman" w:hAnsi="Times New Roman" w:cs="Times New Roman"/>
          <w:i/>
          <w:sz w:val="24"/>
          <w:szCs w:val="24"/>
          <w:lang w:eastAsia="da-DK"/>
        </w:rPr>
        <w:t>nr. 2,</w:t>
      </w:r>
      <w:r w:rsidRPr="00796736">
        <w:rPr>
          <w:rFonts w:ascii="Times New Roman" w:hAnsi="Times New Roman" w:cs="Times New Roman"/>
          <w:iCs/>
          <w:sz w:val="24"/>
          <w:szCs w:val="24"/>
          <w:lang w:eastAsia="da-DK"/>
        </w:rPr>
        <w:t xml:space="preserve"> at Erhvervsstyrelsen kan træffe afgørelse efter de foreslåede </w:t>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_Ref232597715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87</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_Ref232608940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91</w:t>
      </w:r>
      <w:r w:rsidRPr="00796736">
        <w:rPr>
          <w:rFonts w:ascii="Times New Roman" w:hAnsi="Times New Roman" w:cs="Times New Roman"/>
          <w:sz w:val="24"/>
          <w:szCs w:val="24"/>
          <w:lang w:eastAsia="da-DK"/>
        </w:rPr>
        <w:fldChar w:fldCharType="end"/>
      </w:r>
      <w:r w:rsidRPr="00796736">
        <w:rPr>
          <w:rFonts w:ascii="Times New Roman" w:hAnsi="Times New Roman" w:cs="Times New Roman"/>
          <w:iCs/>
          <w:sz w:val="24"/>
          <w:szCs w:val="24"/>
          <w:lang w:eastAsia="da-DK"/>
        </w:rPr>
        <w:t>, hvis der konstateres svagheder i virksomheden eller personens interne politikker, procedurer og kontroller, som sandsynligvis vil medføre en overtrædelse af reglerne.</w:t>
      </w:r>
    </w:p>
    <w:p w14:paraId="0DD32F53" w14:textId="77777777" w:rsidR="00AD43B7" w:rsidRPr="00796736" w:rsidRDefault="00AD43B7" w:rsidP="00A802A5">
      <w:pPr>
        <w:spacing w:line="360" w:lineRule="auto"/>
        <w:rPr>
          <w:rFonts w:ascii="Times New Roman" w:hAnsi="Times New Roman" w:cs="Times New Roman"/>
          <w:iCs/>
          <w:sz w:val="24"/>
          <w:szCs w:val="24"/>
          <w:lang w:eastAsia="da-DK"/>
        </w:rPr>
      </w:pPr>
    </w:p>
    <w:p w14:paraId="79CB2AF0" w14:textId="77777777" w:rsidR="00AD43B7" w:rsidRPr="00796736" w:rsidRDefault="00AD43B7" w:rsidP="00A802A5">
      <w:p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 xml:space="preserve">Det vil i sådanne situationer være et krav, at de administrative foranstaltninger, som iværksættes, kan forhindre overtrædelser eller risikoen herfor. De foranstaltninger, som iværksættes, vil således skulle have et afværgende eller forebyggende sigte og vil almindeligvis ikke kunne pålægges for at varetage disciplinerende hensyn eller lignende. </w:t>
      </w:r>
    </w:p>
    <w:p w14:paraId="023B2457" w14:textId="77777777" w:rsidR="00AD43B7" w:rsidRPr="00796736" w:rsidRDefault="00AD43B7" w:rsidP="00A802A5">
      <w:pPr>
        <w:spacing w:line="360" w:lineRule="auto"/>
        <w:rPr>
          <w:rFonts w:ascii="Times New Roman" w:hAnsi="Times New Roman" w:cs="Times New Roman"/>
          <w:iCs/>
          <w:sz w:val="24"/>
          <w:szCs w:val="24"/>
          <w:lang w:eastAsia="da-DK"/>
        </w:rPr>
      </w:pPr>
    </w:p>
    <w:p w14:paraId="31EDC77E" w14:textId="77777777" w:rsidR="00AD43B7" w:rsidRPr="00796736" w:rsidRDefault="00AD43B7" w:rsidP="00A802A5">
      <w:p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 xml:space="preserve">Den foreslåede bestemmelse indebærer, at Erhvervsstyrelsen kan gribe ind allerede på et tidligt tidspunkt, hvor der endnu ikke er konstateret en overtrædelse, men hvor der foreligger en reel risiko for, at en overtrædelse kan opstå. </w:t>
      </w:r>
    </w:p>
    <w:p w14:paraId="0A0AF4DC" w14:textId="77777777" w:rsidR="00AD43B7" w:rsidRPr="00796736" w:rsidRDefault="00AD43B7" w:rsidP="00A802A5">
      <w:pPr>
        <w:spacing w:line="360" w:lineRule="auto"/>
        <w:rPr>
          <w:rFonts w:ascii="Times New Roman" w:hAnsi="Times New Roman" w:cs="Times New Roman"/>
          <w:iCs/>
          <w:sz w:val="24"/>
          <w:szCs w:val="24"/>
          <w:lang w:eastAsia="da-DK"/>
        </w:rPr>
      </w:pPr>
    </w:p>
    <w:p w14:paraId="61605C5C" w14:textId="38F9A924" w:rsidR="00AD43B7" w:rsidRPr="00796736" w:rsidRDefault="00AD43B7" w:rsidP="00A802A5">
      <w:p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 xml:space="preserve">Det foreslås i </w:t>
      </w:r>
      <w:r w:rsidRPr="00796736">
        <w:rPr>
          <w:rFonts w:ascii="Times New Roman" w:hAnsi="Times New Roman" w:cs="Times New Roman"/>
          <w:i/>
          <w:sz w:val="24"/>
          <w:szCs w:val="24"/>
          <w:lang w:eastAsia="da-DK"/>
        </w:rPr>
        <w:t>nr. 3,</w:t>
      </w:r>
      <w:r w:rsidRPr="00796736">
        <w:rPr>
          <w:rFonts w:ascii="Times New Roman" w:hAnsi="Times New Roman" w:cs="Times New Roman"/>
          <w:iCs/>
          <w:sz w:val="24"/>
          <w:szCs w:val="24"/>
          <w:lang w:eastAsia="da-DK"/>
        </w:rPr>
        <w:t xml:space="preserve"> at Erhvervsstyrelsen kan træffe afgørelse efter de foreslåede </w:t>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_Ref232597715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87</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_Ref232608940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91</w:t>
      </w:r>
      <w:r w:rsidRPr="00796736">
        <w:rPr>
          <w:rFonts w:ascii="Times New Roman" w:hAnsi="Times New Roman" w:cs="Times New Roman"/>
          <w:sz w:val="24"/>
          <w:szCs w:val="24"/>
          <w:lang w:eastAsia="da-DK"/>
        </w:rPr>
        <w:fldChar w:fldCharType="end"/>
      </w:r>
      <w:r w:rsidRPr="00796736">
        <w:rPr>
          <w:rFonts w:ascii="Times New Roman" w:hAnsi="Times New Roman" w:cs="Times New Roman"/>
          <w:iCs/>
          <w:sz w:val="24"/>
          <w:szCs w:val="24"/>
          <w:lang w:eastAsia="da-DK"/>
        </w:rPr>
        <w:t>, hvis virksomhedens eller personens interne politikker, procedurer og kontroller ikke står i rimeligt forhold til de risici for hvidvask af penge, de underliggende lovovertrædelser eller finansiering af terrorisme, som virksomheden eller personen er eksponeret.</w:t>
      </w:r>
    </w:p>
    <w:p w14:paraId="48C4175A" w14:textId="77777777" w:rsidR="00AD43B7" w:rsidRPr="00796736" w:rsidRDefault="00AD43B7" w:rsidP="00A802A5">
      <w:pPr>
        <w:spacing w:line="360" w:lineRule="auto"/>
        <w:rPr>
          <w:rFonts w:ascii="Times New Roman" w:hAnsi="Times New Roman" w:cs="Times New Roman"/>
          <w:iCs/>
          <w:sz w:val="24"/>
          <w:szCs w:val="24"/>
          <w:lang w:eastAsia="da-DK"/>
        </w:rPr>
      </w:pPr>
    </w:p>
    <w:p w14:paraId="25C0C10C" w14:textId="77777777" w:rsidR="00AD43B7" w:rsidRPr="00796736" w:rsidRDefault="00AD43B7" w:rsidP="00A802A5">
      <w:pPr>
        <w:spacing w:line="360" w:lineRule="auto"/>
        <w:rPr>
          <w:rFonts w:ascii="Times New Roman" w:hAnsi="Times New Roman" w:cs="Times New Roman"/>
          <w:iCs/>
          <w:sz w:val="24"/>
          <w:szCs w:val="24"/>
          <w:lang w:eastAsia="da-DK"/>
        </w:rPr>
      </w:pPr>
      <w:r w:rsidRPr="00796736">
        <w:rPr>
          <w:rFonts w:ascii="Times New Roman" w:hAnsi="Times New Roman" w:cs="Times New Roman"/>
          <w:iCs/>
          <w:sz w:val="24"/>
          <w:szCs w:val="24"/>
          <w:lang w:eastAsia="da-DK"/>
        </w:rPr>
        <w:t>Efter det foreslåede kan Erhvervsstyrelsen stille krav om, at de interne politikker, procedurer og kontroller tilpasses, så de svarer til den konkrete risikoprofil, for at sikre, at virksomheder og personer under et tilsyn har tilstrækkeligt og effektivt beredskab til at forebygge og imødegå de risici, de står overfor.</w:t>
      </w:r>
    </w:p>
    <w:p w14:paraId="6445C47D" w14:textId="77777777" w:rsidR="00D71F73" w:rsidRPr="00796736" w:rsidRDefault="00D71F73" w:rsidP="00303E15">
      <w:pPr>
        <w:spacing w:line="360" w:lineRule="auto"/>
        <w:rPr>
          <w:rFonts w:ascii="Times New Roman" w:hAnsi="Times New Roman" w:cs="Times New Roman"/>
          <w:sz w:val="24"/>
          <w:szCs w:val="24"/>
          <w:lang w:eastAsia="da-DK"/>
        </w:rPr>
      </w:pPr>
    </w:p>
    <w:p w14:paraId="7493BFF8" w14:textId="77777777" w:rsidR="00940B1D" w:rsidRPr="00796736" w:rsidRDefault="00940B1D" w:rsidP="00A802A5">
      <w:pPr>
        <w:spacing w:line="360" w:lineRule="auto"/>
        <w:rPr>
          <w:rFonts w:ascii="Times New Roman" w:hAnsi="Times New Roman" w:cs="Times New Roman"/>
          <w:sz w:val="24"/>
          <w:szCs w:val="24"/>
          <w:lang w:eastAsia="da-DK"/>
        </w:rPr>
      </w:pPr>
    </w:p>
    <w:p w14:paraId="2B8B1B6A" w14:textId="14F87A25" w:rsidR="00D66B0A" w:rsidRPr="00796736" w:rsidRDefault="00B578A7" w:rsidP="00A802A5">
      <w:pPr>
        <w:pStyle w:val="Undertitel"/>
      </w:pPr>
      <w:bookmarkStart w:id="2119" w:name="_Toc232109412"/>
      <w:bookmarkStart w:id="2120" w:name="_Toc244879383"/>
      <w:bookmarkStart w:id="2121" w:name="_Toc244880908"/>
      <w:r w:rsidRPr="00796736">
        <w:t xml:space="preserve">Til </w:t>
      </w:r>
      <w:bookmarkEnd w:id="2119"/>
      <w:r w:rsidR="00850B44" w:rsidRPr="00796736">
        <w:fldChar w:fldCharType="begin"/>
      </w:r>
      <w:r w:rsidR="00850B44" w:rsidRPr="00796736">
        <w:instrText xml:space="preserve"> REF _Ref232597715 \r \h </w:instrText>
      </w:r>
      <w:r w:rsidR="00967618" w:rsidRPr="00796736">
        <w:instrText xml:space="preserve"> \* MERGEFORMAT </w:instrText>
      </w:r>
      <w:r w:rsidR="00850B44" w:rsidRPr="00796736">
        <w:fldChar w:fldCharType="separate"/>
      </w:r>
      <w:r w:rsidR="008F29E5">
        <w:t>§ 87</w:t>
      </w:r>
      <w:bookmarkEnd w:id="2120"/>
      <w:bookmarkEnd w:id="2121"/>
      <w:r w:rsidR="00850B44" w:rsidRPr="00796736">
        <w:fldChar w:fldCharType="end"/>
      </w:r>
      <w:r w:rsidR="002408BB" w:rsidRPr="00796736">
        <w:t xml:space="preserve"> </w:t>
      </w:r>
    </w:p>
    <w:p w14:paraId="6DD5E528"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60 i den gældende hvidvasklov indeholder bemyndigelse til, at Erhvervsstyrelsen kan påbyde virksomheder og personer omfattet af tilsynet inden for en af styrelsen fastsat frist at foretage de nødvendige foranstaltninger i tilfælde af overtrædelse af bestemmelser i hvidvaskloven, de regler, der er fastsat i medfør heraf, eller forordninger indeholdende regler om finansielle sanktioner mod lande, personer, grupper, juridiske enheder, eller organer.</w:t>
      </w:r>
    </w:p>
    <w:p w14:paraId="41C533C8"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60, stk. 2 i den gældende hvidvasklov fastsætter derudover skæringstidspunktet for, hvornår dokumentation skal være udarbejdet for at indgå i vurderingen af en virksomheds eller persons overholdelse af reglerne i hvidvaskloven.</w:t>
      </w:r>
    </w:p>
    <w:p w14:paraId="45604A0F" w14:textId="157ED56D"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507AF5" w:rsidRPr="00796736">
        <w:rPr>
          <w:rFonts w:ascii="Times New Roman" w:hAnsi="Times New Roman" w:cs="Times New Roman"/>
          <w:sz w:val="24"/>
          <w:szCs w:val="24"/>
        </w:rPr>
        <w:fldChar w:fldCharType="begin"/>
      </w:r>
      <w:r w:rsidR="00507AF5" w:rsidRPr="00796736">
        <w:rPr>
          <w:rFonts w:ascii="Times New Roman" w:hAnsi="Times New Roman" w:cs="Times New Roman"/>
          <w:sz w:val="24"/>
          <w:szCs w:val="24"/>
        </w:rPr>
        <w:instrText xml:space="preserve"> REF _Ref232597715 \r \h </w:instrText>
      </w:r>
      <w:r w:rsidR="00967618" w:rsidRPr="00796736">
        <w:rPr>
          <w:rFonts w:ascii="Times New Roman" w:hAnsi="Times New Roman" w:cs="Times New Roman"/>
          <w:sz w:val="24"/>
          <w:szCs w:val="24"/>
        </w:rPr>
        <w:instrText xml:space="preserve"> \* MERGEFORMAT </w:instrText>
      </w:r>
      <w:r w:rsidR="00507AF5" w:rsidRPr="00796736">
        <w:rPr>
          <w:rFonts w:ascii="Times New Roman" w:hAnsi="Times New Roman" w:cs="Times New Roman"/>
          <w:sz w:val="24"/>
          <w:szCs w:val="24"/>
        </w:rPr>
      </w:r>
      <w:r w:rsidR="00507AF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87</w:t>
      </w:r>
      <w:r w:rsidR="00507AF5" w:rsidRPr="00796736">
        <w:rPr>
          <w:rFonts w:ascii="Times New Roman" w:hAnsi="Times New Roman" w:cs="Times New Roman"/>
          <w:sz w:val="24"/>
          <w:szCs w:val="24"/>
        </w:rPr>
        <w:fldChar w:fldCharType="end"/>
      </w:r>
      <w:r w:rsidR="00507AF5" w:rsidRPr="00796736">
        <w:rPr>
          <w:rFonts w:ascii="Times New Roman" w:hAnsi="Times New Roman" w:cs="Times New Roman"/>
          <w:sz w:val="24"/>
          <w:szCs w:val="24"/>
        </w:rPr>
        <w:t xml:space="preserve"> </w:t>
      </w:r>
      <w:r w:rsidRPr="00796736">
        <w:rPr>
          <w:rFonts w:ascii="Times New Roman" w:hAnsi="Times New Roman" w:cs="Times New Roman"/>
          <w:sz w:val="24"/>
          <w:szCs w:val="24"/>
        </w:rPr>
        <w:t>indeholder bemyndigelse til, at Erhvervsstyrelsen kan anvende en række forskellige reaktionsmuligheder over for personer og virksomheder omfattet af tilsynet i tilfælde af konstaterede overtrædelser af lovgivningen, svagheder i interne politikker, procedurer og kontroller, der kan føre til overtrædelser af lovgivningen, eller hvis interne politikker, procedurer og kontroller ikke står i rimeligt forhold til de faktiske risici.</w:t>
      </w:r>
    </w:p>
    <w:p w14:paraId="79EAAF9A" w14:textId="20A7386A"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Bestemmelsen viderefører § 60 i den gældende hvidvasklov me</w:t>
      </w:r>
      <w:r w:rsidR="003D2A25">
        <w:rPr>
          <w:rFonts w:ascii="Times New Roman" w:eastAsia="Calibri" w:hAnsi="Times New Roman" w:cs="Times New Roman"/>
          <w:iCs/>
          <w:sz w:val="24"/>
          <w:szCs w:val="24"/>
        </w:rPr>
        <w:t>d</w:t>
      </w:r>
      <w:r w:rsidRPr="00796736">
        <w:rPr>
          <w:rFonts w:ascii="Times New Roman" w:eastAsia="Calibri" w:hAnsi="Times New Roman" w:cs="Times New Roman"/>
          <w:iCs/>
          <w:sz w:val="24"/>
          <w:szCs w:val="24"/>
        </w:rPr>
        <w:t xml:space="preserve"> en mindre justering, så det fremgår, at det også omfatter tilfælde, hvor interne politikker, procedurer og kontroller, som sandsynligvis vil føre til en overtrædelse efter nr. 1, og hvor interne politikker, procedurer og kontroller ikke står i et rimeligt forhold til de interne risici for hvidvask, de underliggende lovovertrædelser eller finansiering af terrorisme, som virksomheden eller personen er eksponeret for</w:t>
      </w:r>
      <w:r w:rsidR="003D2A25">
        <w:rPr>
          <w:rFonts w:ascii="Times New Roman" w:eastAsia="Calibri" w:hAnsi="Times New Roman" w:cs="Times New Roman"/>
          <w:iCs/>
          <w:sz w:val="24"/>
          <w:szCs w:val="24"/>
        </w:rPr>
        <w:t>.</w:t>
      </w:r>
    </w:p>
    <w:p w14:paraId="3F20DFE1" w14:textId="7EC203F1"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Bestemmelsen implementerer artikel 37, stk. 6, litra b, artikel 53, stk. 2, og stk. 6, og artikel 56, stk. 2, litra b og d, stk. 3, litra b-d, samt stk. 4 i 6. hvidvaskdirektiv Artikel 56, stk. 2, litra e implementeres ved den foreslåede </w:t>
      </w:r>
      <w:r w:rsidR="00494815" w:rsidRPr="00796736">
        <w:rPr>
          <w:rFonts w:ascii="Times New Roman" w:eastAsia="Calibri" w:hAnsi="Times New Roman" w:cs="Times New Roman"/>
          <w:iCs/>
          <w:sz w:val="24"/>
          <w:szCs w:val="24"/>
        </w:rPr>
        <w:fldChar w:fldCharType="begin"/>
      </w:r>
      <w:r w:rsidR="00494815" w:rsidRPr="00796736">
        <w:rPr>
          <w:rFonts w:ascii="Times New Roman" w:eastAsia="Calibri" w:hAnsi="Times New Roman" w:cs="Times New Roman"/>
          <w:iCs/>
          <w:sz w:val="24"/>
          <w:szCs w:val="24"/>
        </w:rPr>
        <w:instrText xml:space="preserve"> REF _Ref239162999 \r \h </w:instrText>
      </w:r>
      <w:r w:rsidR="001A2696" w:rsidRPr="00796736">
        <w:rPr>
          <w:rFonts w:ascii="Times New Roman" w:eastAsia="Calibri" w:hAnsi="Times New Roman" w:cs="Times New Roman"/>
          <w:iCs/>
          <w:sz w:val="24"/>
          <w:szCs w:val="24"/>
        </w:rPr>
        <w:instrText xml:space="preserve"> \* MERGEFORMAT </w:instrText>
      </w:r>
      <w:r w:rsidR="00494815" w:rsidRPr="00796736">
        <w:rPr>
          <w:rFonts w:ascii="Times New Roman" w:eastAsia="Calibri" w:hAnsi="Times New Roman" w:cs="Times New Roman"/>
          <w:iCs/>
          <w:sz w:val="24"/>
          <w:szCs w:val="24"/>
        </w:rPr>
      </w:r>
      <w:r w:rsidR="00494815"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88</w:t>
      </w:r>
      <w:r w:rsidR="00494815"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mens artikel 56, stk. 2, litra g implementeres ved den foreslåede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_Ref232608896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89</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w:t>
      </w:r>
    </w:p>
    <w:p w14:paraId="5EDC10D3" w14:textId="395FE6E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1</w:t>
      </w:r>
      <w:r w:rsidRPr="00796736">
        <w:rPr>
          <w:rFonts w:ascii="Times New Roman" w:eastAsia="Calibri" w:hAnsi="Times New Roman" w:cs="Times New Roman"/>
          <w:iCs/>
          <w:sz w:val="24"/>
          <w:szCs w:val="24"/>
        </w:rPr>
        <w:t xml:space="preserve">, at Erhvervsstyrelsen i tilfælde omfattet af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_Ref236734482 \r \h </w:instrText>
      </w:r>
      <w:r w:rsidR="001A2696"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86</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inden for en af Erhvervsstyrelsen fastsat frist kan påbyde de virksomheder og personer, som er omfattet af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_Ref236730892 \r \h </w:instrText>
      </w:r>
      <w:r w:rsidR="001A2696"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79</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at foretage de nødvendige foranstaltninger.</w:t>
      </w:r>
    </w:p>
    <w:p w14:paraId="7CF13011" w14:textId="532573E6"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fremgår blandt andet af præambelbetragtning nr. 101 i 6. hvidvaskdirektiv, at vigtigheden af at bekæmpe hvidvask af penge og finansiering af terrorisme, bør føre til, at medlemsstaterne i deres nationale ret fastsætte bøder og administrative foranstaltninger, der er effektive, står i rimeligt forhold til overtrædelsen og har afskrækkende virkning, for manglende efterlevelse af forordning (EU) 2024/1624 (hvidvaskforordningen).</w:t>
      </w:r>
    </w:p>
    <w:p w14:paraId="4BCDF9AE"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fremgår blandt andet af præambelbetragtning nr. 105 i 6. hvidvaskdirektiv, at tilsynsorganerne bør kunne anvende administrative foranstaltninger ikke blot for at afhjælpe konstaterede overtrædelser, men også hvis de konstaterer, at svagheder i de interne politikker, procedurer og kontroller sandsynligvis vil føre til overtrædelser af kravene til bekæmpelse af hvidvask af penge og finansiering af terrorisme, eller hvis disse politikker, procedurer og kontroller er utilstrækkelige til at afbøde risici. Dette med henblik på at sikre, at forpligtede enheder overholder kravene til bekæmpelse af hvidvask af penge og finansiering af terrorisme og effektivt afbøder de risici for hvidvask af penge, de underliggende lovovertrædelser og finansiering af terrorisme, som de er eksponeret for. </w:t>
      </w:r>
    </w:p>
    <w:p w14:paraId="37F06BA4"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fremgår tillige af præambelbetragtning nr. 105 i 6. hvidvaskdirektiv, at omfanget af anvendte administrative foranstaltninger og den tid, som forpligtede enheder har til at gennemføre de krævede tiltag, afhænger af de specifikke overtrædelser eller svagheder, der er konstateret.</w:t>
      </w:r>
    </w:p>
    <w:p w14:paraId="1D5E4DD8" w14:textId="48C41794"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forudsættes, at der ved 6. hvidvaskdirektivs anvendelse af begrebet ”administrative foranstaltninger” skal forstås de reaktioner, som Erhvervsstyrelsen kan anvende over for virksomheder og personer under styrelsens tilsyn efter den foreslåede §</w:t>
      </w:r>
      <w:r w:rsidR="00170E30" w:rsidRPr="00796736">
        <w:rPr>
          <w:rFonts w:ascii="Times New Roman" w:eastAsia="Calibri" w:hAnsi="Times New Roman" w:cs="Times New Roman"/>
          <w:iCs/>
          <w:sz w:val="24"/>
          <w:szCs w:val="24"/>
        </w:rPr>
        <w:fldChar w:fldCharType="begin"/>
      </w:r>
      <w:r w:rsidR="00170E30" w:rsidRPr="00796736">
        <w:rPr>
          <w:rFonts w:ascii="Times New Roman" w:eastAsia="Calibri" w:hAnsi="Times New Roman" w:cs="Times New Roman"/>
          <w:iCs/>
          <w:sz w:val="24"/>
          <w:szCs w:val="24"/>
        </w:rPr>
        <w:instrText xml:space="preserve"> REF _Ref232597715 \n \h </w:instrText>
      </w:r>
      <w:r w:rsidR="00967618" w:rsidRPr="00796736">
        <w:rPr>
          <w:rFonts w:ascii="Times New Roman" w:eastAsia="Calibri" w:hAnsi="Times New Roman" w:cs="Times New Roman"/>
          <w:iCs/>
          <w:sz w:val="24"/>
          <w:szCs w:val="24"/>
        </w:rPr>
        <w:instrText xml:space="preserve"> \* MERGEFORMAT </w:instrText>
      </w:r>
      <w:r w:rsidR="00170E30" w:rsidRPr="00796736">
        <w:rPr>
          <w:rFonts w:ascii="Times New Roman" w:eastAsia="Calibri" w:hAnsi="Times New Roman" w:cs="Times New Roman"/>
          <w:iCs/>
          <w:sz w:val="24"/>
          <w:szCs w:val="24"/>
        </w:rPr>
      </w:r>
      <w:r w:rsidR="00170E30"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87</w:t>
      </w:r>
      <w:r w:rsidR="00170E30"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w:t>
      </w:r>
      <w:r w:rsidR="004D6F95" w:rsidRPr="00796736">
        <w:rPr>
          <w:rFonts w:ascii="Times New Roman" w:eastAsia="Calibri" w:hAnsi="Times New Roman" w:cs="Times New Roman"/>
          <w:iCs/>
          <w:sz w:val="24"/>
          <w:szCs w:val="24"/>
        </w:rPr>
        <w:fldChar w:fldCharType="begin"/>
      </w:r>
      <w:r w:rsidR="004D6F95" w:rsidRPr="00796736">
        <w:rPr>
          <w:rFonts w:ascii="Times New Roman" w:eastAsia="Calibri" w:hAnsi="Times New Roman" w:cs="Times New Roman"/>
          <w:iCs/>
          <w:sz w:val="24"/>
          <w:szCs w:val="24"/>
        </w:rPr>
        <w:instrText xml:space="preserve"> REF _Ref232608940 \r \h </w:instrText>
      </w:r>
      <w:r w:rsidR="003D2894" w:rsidRPr="00796736">
        <w:rPr>
          <w:rFonts w:ascii="Times New Roman" w:eastAsia="Calibri" w:hAnsi="Times New Roman" w:cs="Times New Roman"/>
          <w:iCs/>
          <w:sz w:val="24"/>
          <w:szCs w:val="24"/>
        </w:rPr>
        <w:instrText xml:space="preserve"> \* MERGEFORMAT </w:instrText>
      </w:r>
      <w:r w:rsidR="004D6F95" w:rsidRPr="00796736">
        <w:rPr>
          <w:rFonts w:ascii="Times New Roman" w:eastAsia="Calibri" w:hAnsi="Times New Roman" w:cs="Times New Roman"/>
          <w:iCs/>
          <w:sz w:val="24"/>
          <w:szCs w:val="24"/>
        </w:rPr>
      </w:r>
      <w:r w:rsidR="004D6F95"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91</w:t>
      </w:r>
      <w:r w:rsidR="004D6F95"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w:t>
      </w:r>
    </w:p>
    <w:p w14:paraId="1DAC92E4" w14:textId="4A2C0CEE"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Et påbud anvendes i de situationer, hvor Erhvervsstyrelsen påbyder en bestemt adfærd eller handling fremover. Det kan både skyldes, at en virksomhed eller person handler i strid med hvidvaskforordningen, denne lov, regler udstedt i medfør heraf samt love og forordninger indeholdende regler om finansielle sanktioner mod lande, personer, grupper, juridiske enheder eller organer, eller at en virksomhed eller person undlader at handle, hvor handling er påkrævet efter disse retsakter</w:t>
      </w:r>
      <w:r w:rsidR="003D2A25">
        <w:rPr>
          <w:rFonts w:ascii="Times New Roman" w:eastAsia="Calibri" w:hAnsi="Times New Roman" w:cs="Times New Roman"/>
          <w:iCs/>
          <w:sz w:val="24"/>
          <w:szCs w:val="24"/>
        </w:rPr>
        <w:t>.</w:t>
      </w:r>
    </w:p>
    <w:p w14:paraId="5393458B" w14:textId="002F6F02"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Et påbud kan tillige anvendes i de situationer, hvor Erhvervsstyrelsen har konstateret svagheder i virksomhedens eller personens interne politikker, procedurer og kontroller, forudsat at svaghederne sandsynligvis vil føre til en overtrædelse af de i</w:t>
      </w:r>
      <w:r w:rsidR="00D71F73" w:rsidRPr="00796736">
        <w:rPr>
          <w:rFonts w:ascii="Times New Roman" w:eastAsia="Calibri" w:hAnsi="Times New Roman" w:cs="Times New Roman"/>
          <w:iCs/>
          <w:sz w:val="24"/>
          <w:szCs w:val="24"/>
        </w:rPr>
        <w:t xml:space="preserve"> </w:t>
      </w:r>
      <w:r w:rsidR="00D71F73" w:rsidRPr="00796736">
        <w:rPr>
          <w:rFonts w:ascii="Times New Roman" w:eastAsia="Calibri" w:hAnsi="Times New Roman" w:cs="Times New Roman"/>
          <w:iCs/>
          <w:sz w:val="24"/>
          <w:szCs w:val="24"/>
        </w:rPr>
        <w:fldChar w:fldCharType="begin"/>
      </w:r>
      <w:r w:rsidR="00D71F73" w:rsidRPr="00796736">
        <w:rPr>
          <w:rFonts w:ascii="Times New Roman" w:eastAsia="Calibri" w:hAnsi="Times New Roman" w:cs="Times New Roman"/>
          <w:iCs/>
          <w:sz w:val="24"/>
          <w:szCs w:val="24"/>
        </w:rPr>
        <w:instrText xml:space="preserve"> REF _Ref236734482 \r \h </w:instrText>
      </w:r>
      <w:r w:rsidR="00F375BF" w:rsidRPr="00796736">
        <w:rPr>
          <w:rFonts w:ascii="Times New Roman" w:eastAsia="Calibri" w:hAnsi="Times New Roman" w:cs="Times New Roman"/>
          <w:iCs/>
          <w:sz w:val="24"/>
          <w:szCs w:val="24"/>
        </w:rPr>
        <w:instrText xml:space="preserve"> \* MERGEFORMAT </w:instrText>
      </w:r>
      <w:r w:rsidR="00D71F73" w:rsidRPr="00796736">
        <w:rPr>
          <w:rFonts w:ascii="Times New Roman" w:eastAsia="Calibri" w:hAnsi="Times New Roman" w:cs="Times New Roman"/>
          <w:iCs/>
          <w:sz w:val="24"/>
          <w:szCs w:val="24"/>
        </w:rPr>
      </w:r>
      <w:r w:rsidR="00D71F73"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86</w:t>
      </w:r>
      <w:r w:rsidR="00D71F73"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 nr. 1 nævnte retsakter.</w:t>
      </w:r>
    </w:p>
    <w:p w14:paraId="53DFBB10"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Et påbud kan endvidere anvendes i de situationer, hvor Erhvervsstyrelsen har konstateret, at virksomhedens eller personens interne politikker, procedurer og kontroller ikke står i et rimeligt forhold til de risici for hvidvask, de underliggende overtrædelser eller finansiering af terrorisme, som virksomheden eller personen er eksponeret for.</w:t>
      </w:r>
    </w:p>
    <w:p w14:paraId="49183F49"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Erhvervsstyrelsens frist fastsættes ud fra en konkret vurdering i den enkelte sag henset til overtrædelsens karakter. En alvorlig overtrædelse vil f.eks. kunne medføre, at fristen for efterlevelse af påbuddet er kortere end ved mindre alvorlige overtrædelser.</w:t>
      </w:r>
    </w:p>
    <w:p w14:paraId="4240B1A1"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 kan efter udløbet af fristen følge op og vurdere, om virksomheden eller personen har efterkommet påbuddet og gennemført de fornødne foranstaltninger. Dette kan blandt andet ske ved, at Erhvervsstyrelsen beder virksomheden eller personen om at indsende en redegørelse og dokumentation, der beskriver, hvorledes vedkommende har efterlevet Erhvervsstyrelsens påbud, ligesom Erhvervsstyrelsen kan beslutte at gennemføre et opfølgende tilsyn.</w:t>
      </w:r>
    </w:p>
    <w:p w14:paraId="6409742D" w14:textId="5046645F" w:rsidR="003D2A25" w:rsidRPr="00D253F0" w:rsidRDefault="003D2A25" w:rsidP="00A802A5">
      <w:pPr>
        <w:spacing w:after="240" w:line="360" w:lineRule="auto"/>
        <w:rPr>
          <w:rFonts w:ascii="Times New Roman" w:eastAsia="Calibri" w:hAnsi="Times New Roman" w:cs="Times New Roman"/>
          <w:iCs/>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r>
        <w:rPr>
          <w:rFonts w:ascii="Times New Roman" w:hAnsi="Times New Roman" w:cs="Times New Roman"/>
          <w:sz w:val="24"/>
          <w:szCs w:val="24"/>
        </w:rPr>
        <w:t xml:space="preserve"> </w:t>
      </w:r>
      <w:r w:rsidRPr="00D253F0">
        <w:rPr>
          <w:rFonts w:ascii="Times New Roman" w:eastAsia="Calibri" w:hAnsi="Times New Roman" w:cs="Times New Roman"/>
          <w:iCs/>
          <w:sz w:val="24"/>
          <w:szCs w:val="24"/>
        </w:rPr>
        <w:t xml:space="preserve">Efter </w:t>
      </w:r>
      <w:r>
        <w:rPr>
          <w:rFonts w:ascii="Times New Roman" w:hAnsi="Times New Roman" w:cs="Times New Roman"/>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eastAsia="Calibri" w:hAnsi="Times New Roman" w:cs="Times New Roman"/>
          <w:iCs/>
          <w:sz w:val="24"/>
          <w:szCs w:val="24"/>
        </w:rPr>
        <w:t>§ 139</w:t>
      </w:r>
      <w:r>
        <w:rPr>
          <w:rFonts w:ascii="Times New Roman" w:hAnsi="Times New Roman" w:cs="Times New Roman"/>
          <w:sz w:val="24"/>
          <w:szCs w:val="24"/>
        </w:rPr>
        <w:fldChar w:fldCharType="end"/>
      </w:r>
      <w:r>
        <w:rPr>
          <w:rFonts w:ascii="Times New Roman" w:hAnsi="Times New Roman" w:cs="Times New Roman"/>
          <w:sz w:val="24"/>
          <w:szCs w:val="24"/>
        </w:rPr>
        <w:t>, stk. 3</w:t>
      </w:r>
      <w:r>
        <w:rPr>
          <w:rFonts w:ascii="Times New Roman" w:eastAsia="Calibri" w:hAnsi="Times New Roman" w:cs="Times New Roman"/>
          <w:iCs/>
          <w:sz w:val="24"/>
          <w:szCs w:val="24"/>
        </w:rPr>
        <w:t xml:space="preserve"> </w:t>
      </w:r>
      <w:r w:rsidRPr="00D253F0">
        <w:rPr>
          <w:rFonts w:ascii="Times New Roman" w:eastAsia="Calibri" w:hAnsi="Times New Roman" w:cs="Times New Roman"/>
          <w:iCs/>
          <w:sz w:val="24"/>
          <w:szCs w:val="24"/>
        </w:rPr>
        <w:t xml:space="preserve">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 xml:space="preserve">Erhvervsstyrelsen kan udstede </w:t>
      </w:r>
      <w:r w:rsidRPr="00D253F0">
        <w:rPr>
          <w:rFonts w:ascii="Times New Roman" w:eastAsia="Calibri" w:hAnsi="Times New Roman" w:cs="Times New Roman"/>
          <w:iCs/>
          <w:sz w:val="24"/>
          <w:szCs w:val="24"/>
        </w:rPr>
        <w:t>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p>
    <w:p w14:paraId="4BEB29E0"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Et påbud kan både anvendes i relation til at få virksomheden eller personen til at overholde og gennemføre specifikke korrigerende foranstaltninger samt til fremadrettet at foretage en generel adfærdskorrigering, herunder bringe en udvist adfærd til ophør og undlade at gentage en sådan adfærd.</w:t>
      </w:r>
    </w:p>
    <w:p w14:paraId="17B259F5" w14:textId="77777777" w:rsidR="00D4242A" w:rsidRPr="00796736" w:rsidRDefault="00D4242A" w:rsidP="00A802A5">
      <w:pPr>
        <w:spacing w:after="240" w:line="360" w:lineRule="auto"/>
        <w:rPr>
          <w:rFonts w:ascii="Times New Roman" w:eastAsia="Calibri" w:hAnsi="Times New Roman" w:cs="Times New Roman"/>
          <w:b/>
          <w:bCs/>
          <w:iCs/>
          <w:sz w:val="24"/>
          <w:szCs w:val="24"/>
        </w:rPr>
      </w:pPr>
      <w:r w:rsidRPr="00796736">
        <w:rPr>
          <w:rFonts w:ascii="Times New Roman" w:eastAsia="Calibri" w:hAnsi="Times New Roman" w:cs="Times New Roman"/>
          <w:iCs/>
          <w:sz w:val="24"/>
          <w:szCs w:val="24"/>
        </w:rPr>
        <w:t xml:space="preserve">Erhvervsstyrelsen kan blandt andet anvende påbud som middel til at stille krav om, at interne politikker, procedurer og kontroller styrkes, eller at der gennemføres foranstaltninger til nedbringelse af risici for hvidvask eller terrorfinansiering, der er forbundet med virksomhedens eller personens aktiviteter og produkter. Tilsvarende kan et påbud anvendes til at kræve, at virksomheden eller personen anvender en specifik politik eller specifikke krav vedrørende kategorier af kunder eller individuelle kunder, transaktioner, aktiviteter eller leveringskanaler, der udgør en høj risiko. </w:t>
      </w:r>
    </w:p>
    <w:p w14:paraId="3031CED7"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I de situationer, hvor et lovbrud ikke længere eksisterer, kan påbud ikke anvendes som tilsynsreaktion, da der ikke fremadrettet er noget at rette op på. I stedet for kan der gives en påtale, som anses for en variant af påbud, der således anvendes i de situationer, hvor der er konstateret en ikke længere bestående lovovertrædelse.</w:t>
      </w:r>
    </w:p>
    <w:p w14:paraId="01D8E8D9"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Ved ukomplicerede og ikke væsentlige overtrædelser af formalia, og hvor virksomheden eller personen i forbindelse med Erhvervsstyrelsens undersøgelse erkender, at der er begået en fejl, kan Erhvervsstyrelsen som et alternativ til påbud vælge at indgå en mundtlig aftale med virksomheden eller personen om en straksforbedring. Med begrebet straksforbedring forstås, at virksomheden eller personen indvilliger i straks at rette op på forholdet i overensstemmelse med Erhvervsstyrelsens påbud herom, og straksforbedring anvendes, hvor det vurderes, at et påbud vil fremstå unødigt formalistisk.</w:t>
      </w:r>
    </w:p>
    <w:p w14:paraId="79697F08"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 kan derudover udstede henstillinger og yde vejledning til virksomheder og personer under styrelsens tilsyn.</w:t>
      </w:r>
    </w:p>
    <w:p w14:paraId="6D3ACC27"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 skal i forbindelse med fastsættelsen af reaktioner i henhold til denne lov, herunder ved anvendelsen af påbud, tage højde for alle relevante omstændigheder, herunder de faktorer, der er opremset i artikel 53, stk. 6, i 6. hvidvaskdirektiv. Dette indebærer blandt andet, at Erhvervsstyrelsen, hvor det er relevant, skal tage højde for overtrædelsens grovhed og varighed samt antallet af gentagelser, ligesom der også vil skulle tages højde for graden af samarbejde med Erhvervsstyrelsen.</w:t>
      </w:r>
    </w:p>
    <w:p w14:paraId="00A8ACC4"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E</w:t>
      </w:r>
      <w:r w:rsidRPr="00796736">
        <w:rPr>
          <w:rFonts w:ascii="Times New Roman" w:eastAsia="Calibri" w:hAnsi="Times New Roman" w:cs="Times New Roman"/>
          <w:iCs/>
          <w:sz w:val="24"/>
          <w:szCs w:val="24"/>
        </w:rPr>
        <w:t>rhvervsstyrelsens reaktioner skal være effektive, stå i rimeligt forhold til overtrædelsen og have afskrækkende virkning.</w:t>
      </w:r>
    </w:p>
    <w:p w14:paraId="3CB8EA00" w14:textId="2D4FBA6B"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Erhvervsstyrelsen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1938875C"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2,</w:t>
      </w:r>
      <w:r w:rsidRPr="00796736" w:rsidDel="002175A7">
        <w:rPr>
          <w:rFonts w:ascii="Times New Roman" w:eastAsia="Calibri" w:hAnsi="Times New Roman" w:cs="Times New Roman"/>
          <w:i/>
          <w:sz w:val="24"/>
          <w:szCs w:val="24"/>
        </w:rPr>
        <w:t xml:space="preserve"> </w:t>
      </w:r>
      <w:r w:rsidRPr="00796736">
        <w:rPr>
          <w:rFonts w:ascii="Times New Roman" w:eastAsia="Calibri" w:hAnsi="Times New Roman" w:cs="Times New Roman"/>
          <w:iCs/>
          <w:sz w:val="24"/>
          <w:szCs w:val="24"/>
        </w:rPr>
        <w:t>at reaktioner givet efter stk. 1 træffes på grundlag af det materiale og de oplysninger, som foreligger på tidspunktet for tilsynets afslutning. Oplysninger og materiale fremlagt efter dette tidspunkt indgår ikke i grundlaget for afgørelsen, medmindre særlige forhold taler herfor.</w:t>
      </w:r>
    </w:p>
    <w:p w14:paraId="39AF774F" w14:textId="36AAAEFF"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er en</w:t>
      </w:r>
      <w:r w:rsidR="003D2A25">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videreførelse af den gældende hvidvasklovs § 60, stk. 2, med en mindre justering, idet det i sammenhæng med stk. 1 også omfatter tilfælde, hvor påbud er givet på baggrund af en svag i interne politikker, procedurer og kontroller, som sandsynligvis vil føre til en overtrædelse efter nr. 1, og hvor interne politikker, procedurer og kontroller ikke står i et rimeligt forhold til de interne risici for hvidvask, de underliggende lovovertrædelser eller finansiering af terrorisme, som virksomheden eller personen er eksponeret for.</w:t>
      </w:r>
    </w:p>
    <w:p w14:paraId="24A50FD5"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Efter den foreslåede bestemmelses </w:t>
      </w:r>
      <w:r w:rsidRPr="00796736">
        <w:rPr>
          <w:rFonts w:ascii="Times New Roman" w:eastAsia="Calibri" w:hAnsi="Times New Roman" w:cs="Times New Roman"/>
          <w:i/>
          <w:sz w:val="24"/>
          <w:szCs w:val="24"/>
        </w:rPr>
        <w:t>1. pkt.</w:t>
      </w:r>
      <w:r w:rsidRPr="00796736">
        <w:rPr>
          <w:rFonts w:ascii="Times New Roman" w:eastAsia="Calibri" w:hAnsi="Times New Roman" w:cs="Times New Roman"/>
          <w:iCs/>
          <w:sz w:val="24"/>
          <w:szCs w:val="24"/>
        </w:rPr>
        <w:t>, skal reaktioner givet efter stk. 1 træffes på grundlag af det materiale og de oplysninger, som foreligger på tidspunktet for tilsynets afslutning.</w:t>
      </w:r>
    </w:p>
    <w:p w14:paraId="6B5D1EBD"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det som altovervejende udgangspunkt alene vil være materiale og oplysninger, som foreligger på tilsynstidspunktet, der vil kunne indgå i vurderingsgrundlaget. Oplysninger, der er udarbejdet og fremlagt for Erhvervsstyrelsen efterfølgende, vil ikke tillægges betydning ved afgørelsen.</w:t>
      </w:r>
    </w:p>
    <w:p w14:paraId="6E7139FC"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 gennemfører tilsyn enten som tilsyn hos virksomheden eller personen eller som et skrivebordstilsyn.</w:t>
      </w:r>
    </w:p>
    <w:p w14:paraId="08CA662C"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Et tilsyn hos virksomheden eller personen foregår typisk ved, at Erhvervsstyrelsen indledningsvist indhenter materiale fra virksomheden eller personen. Tilsynet består herefter af et møde med virksomheden eller personen. Efter tilsynet kan Erhvervsstyrelsen indhente eventuelt materiale, der ikke var muligt for virksomheden eller personen at udlevere i forbindelse med selve tilsynsbesøget. Afslutningstidspunktet er det tidspunkt, hvor Erhvervsstyrelsen meddeler, at den fysiske gennemgang og indsamling materiale er afsluttet.</w:t>
      </w:r>
    </w:p>
    <w:p w14:paraId="57BE4F92"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Ved et skrivebordstilsyn forstås et tilsyn, som ikke foregår fysisk hos virksomheden eller personen, men hvor Erhvervsstyrelsen indhenter materiale fra virksomheden eller personen. Erhvervsstyrelsen gennemgår det indhentede materiale og udarbejder en afgørelse på baggrund heraf. Afslutningstidspunktet for et skrivebordstilsyn er den frist, som Erhvervsstyrelsen har sat for fremsendelse af det anmodede materiale.</w:t>
      </w:r>
    </w:p>
    <w:p w14:paraId="3AFF669C"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Erhvervsstyrelsens reaktioner omfatter alle de reaktioner, som Erhvervsstyrelsen vedtager, og som retter sig mod en part, herunder straksforbedring, udstedelse af midlertidige forbud til personer i den daglige ledelse, påbud og påtaler.</w:t>
      </w:r>
    </w:p>
    <w:p w14:paraId="7E70717B"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 anvender påbud i tilfælde hvor der er konstateret lovovertrædelse, svagheder i virksomhedens eller personens interne politikker, procedurer og kontroller, der sandsynligvis vil føre til en overtrædelse eller når interne politikker, procedurer og kontroller ikke står i et rimeligt forhold til de risici for hvidvask, de underliggende overtrædelser eller finansiering af terrorisme, som virksomheden eller personen er eksponeret for. Påbud anvendes ved konstaterede tilfælde, der består på tilsynstidspunktet, og hvor der er behov for at pålægge en virksomhed eller personen en bestemt adfærd eller handling fremover. Det kan både være, fordi en virksomhed eller person handler på en lovstridig måde, som Erhvervsstyrelsen påbyder den at ophøre med, og fordi virksomheden eller personen undlader at handle, hvor handling er påkrævet efter lovgivningen.</w:t>
      </w:r>
    </w:p>
    <w:p w14:paraId="5C09274A" w14:textId="77777777" w:rsidR="00D71F73" w:rsidRPr="00796736" w:rsidRDefault="00D71F73"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påbud kan ikke anvendes som en reaktion på et lovbrud, en svaghed eller risiko, der ikke længere eksisterer på tilsynstidspunktet. </w:t>
      </w:r>
    </w:p>
    <w:p w14:paraId="187A1CFD"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sz w:val="24"/>
          <w:szCs w:val="24"/>
        </w:rPr>
        <w:t>En påtale anvendes i forbindelse med en væsentlig lovovertrædelse, svaghed eller risiko, der ikke længere består på tilsynstidspunktet. Det</w:t>
      </w:r>
      <w:r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sz w:val="24"/>
          <w:szCs w:val="24"/>
        </w:rPr>
        <w:t>gælder både, hvor lovovertrædelsen, svagheden eller risikoen vedrører en situation af</w:t>
      </w:r>
      <w:r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sz w:val="24"/>
          <w:szCs w:val="24"/>
        </w:rPr>
        <w:t>midlertidig karakter, der nu er afsluttet og hvor virksomheden eller personen af egen drift har bragt forholdet i orden.</w:t>
      </w:r>
    </w:p>
    <w:p w14:paraId="51C0EF99"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Efter den foreslåede bestemmelses </w:t>
      </w:r>
      <w:r w:rsidRPr="00796736">
        <w:rPr>
          <w:rFonts w:ascii="Times New Roman" w:eastAsia="Calibri" w:hAnsi="Times New Roman" w:cs="Times New Roman"/>
          <w:i/>
          <w:sz w:val="24"/>
          <w:szCs w:val="24"/>
        </w:rPr>
        <w:t>2. pkt.</w:t>
      </w:r>
      <w:r w:rsidRPr="00796736">
        <w:rPr>
          <w:rFonts w:ascii="Times New Roman" w:eastAsia="Calibri" w:hAnsi="Times New Roman" w:cs="Times New Roman"/>
          <w:iCs/>
          <w:sz w:val="24"/>
          <w:szCs w:val="24"/>
        </w:rPr>
        <w:t>, indgår oplysninger og materiale fremlagt efter tidspunktet for tilsynets afslutning ikke i grundlaget for afgørelsen, medmindre særlige forhold taler herfor.</w:t>
      </w:r>
    </w:p>
    <w:p w14:paraId="71B49061"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medføre, at Erhvervsstyrelsen i visse tilfælde vil kunne gøre en undtagelse til 1. pkt. Der vil således kunne forekomme særlige forhold, hvor Erhvervsstyrelsen efter en konkret vurdering vil vælge at medtage oplysninger, der er fremlagt efter tilsynets afslutning. Sådanne særlige forhold vil være situationer, hvor det må vurderes at være sagligt og rimeligt at fravige udgangspunktet. Det kan for eksempel være, at virksomheden eller personen har været ramt af it-nedbrud, som har forhindret adgang til relevante systemer på tilsynstidspunktet, at de relevante oplysninger fysisk befinder sig på et fjernarkiv og derfor ikke kunne fremskaffes rettidigt, eller at en nøglemedarbejder, som alene har adgang til et relevant system, har været fraværende på tilsynstidspunktet, og materialet derfor ikke kunne præsenteres på tilsynet. Dette vil endvidere eksempelvis omfatte situationer, hvor virksomheden eller personen ønsker at afgive en udtalelse i sagen, selv efter at Erhvervsstyrelsen har sikret, at sagen er tilstrækkeligt oplyst, og på den baggrund har afsluttet tilsynet, uanset om dette gennemføres hos virksomheden eller personen eller som et skrivebordstilsyn. Opremsningen er ikke udtømmende. </w:t>
      </w:r>
    </w:p>
    <w:p w14:paraId="3713C43D"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forudsættes i alle tilfælde, at Erhvervsstyrelsen vil skulle foretage en konkret og individuel vurdering af, om det vil være relevant og forsvarligt at inddrage oplysningerne fremlagt efter tilsynsbesøgets afslutning. Erhvervsstyrelsen vil således ved sin vurdering kunne inddrage materiale, som virksomheden eller personen har udarbejdet inden tilsynstidspunktet, også selvom dette materiale først eftersendes til Erhvervsstyrelsen efter tilsynsbesøgets afslutning. Det afgørende vil være, at materialet er udarbejdet forud for tilsynstidspunktet og ikke efterfølgende med henblik på at afhjælpe eller korrigere de konstaterede forhold.</w:t>
      </w:r>
    </w:p>
    <w:p w14:paraId="4B11FE37" w14:textId="77777777" w:rsidR="00796736" w:rsidRPr="00796736" w:rsidRDefault="00796736" w:rsidP="00A802A5">
      <w:pPr>
        <w:spacing w:after="240" w:line="360" w:lineRule="auto"/>
        <w:rPr>
          <w:rFonts w:ascii="Times New Roman" w:eastAsia="Calibri" w:hAnsi="Times New Roman" w:cs="Times New Roman"/>
          <w:iCs/>
          <w:sz w:val="24"/>
          <w:szCs w:val="24"/>
        </w:rPr>
      </w:pPr>
    </w:p>
    <w:p w14:paraId="6213A7E9" w14:textId="13061F1D" w:rsidR="00DC5149" w:rsidRPr="00796736" w:rsidRDefault="00DC5149" w:rsidP="00A802A5">
      <w:pPr>
        <w:pStyle w:val="Undertitel"/>
      </w:pPr>
      <w:bookmarkStart w:id="2122" w:name="_Toc232109413"/>
      <w:bookmarkStart w:id="2123" w:name="_Toc244879384"/>
      <w:bookmarkStart w:id="2124" w:name="_Toc244880909"/>
      <w:r w:rsidRPr="00796736">
        <w:t>Til</w:t>
      </w:r>
      <w:bookmarkEnd w:id="2122"/>
      <w:r w:rsidR="00AD43B7" w:rsidRPr="00796736">
        <w:t xml:space="preserve"> </w:t>
      </w:r>
      <w:r w:rsidR="00AD43B7" w:rsidRPr="00796736">
        <w:fldChar w:fldCharType="begin"/>
      </w:r>
      <w:r w:rsidR="00AD43B7" w:rsidRPr="00796736">
        <w:instrText xml:space="preserve"> REF _Ref239162999 \r \h </w:instrText>
      </w:r>
      <w:r w:rsidR="001A2696" w:rsidRPr="00796736">
        <w:instrText xml:space="preserve"> \* MERGEFORMAT </w:instrText>
      </w:r>
      <w:r w:rsidR="00AD43B7" w:rsidRPr="00796736">
        <w:fldChar w:fldCharType="separate"/>
      </w:r>
      <w:r w:rsidR="008F29E5">
        <w:t>§ 88</w:t>
      </w:r>
      <w:bookmarkEnd w:id="2123"/>
      <w:bookmarkEnd w:id="2124"/>
      <w:r w:rsidR="00AD43B7" w:rsidRPr="00796736">
        <w:fldChar w:fldCharType="end"/>
      </w:r>
      <w:r w:rsidR="00564FB5" w:rsidRPr="00796736">
        <w:t xml:space="preserve"> </w:t>
      </w:r>
    </w:p>
    <w:p w14:paraId="446AA48A"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60 i den gældende hvidvasklov indeholder bemyndigelse til, at Erhvervsstyrelsen kan påbyde virksomheder og personer omfattet af tilsynet inden for en af styrelsen fastsat frist at foretage de nødvendige foranstaltninger i tilfælde af overtrædelse af bestemmelser i hvidvaskloven, de regler, der er fastsat i medfør heraf, eller forordninger indeholdende regler om finansielle sanktioner mod lande, personer, grupper, juridiske enheder, eller organer.</w:t>
      </w:r>
    </w:p>
    <w:p w14:paraId="21FE8CE7" w14:textId="23A176BC"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_Ref239162999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giver Erhvervsstyrelsen mulighed for i tilfælde af alvorlige overtrædelser udover de reaktioner, der er nævnt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_Ref232597715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w:t>
      </w:r>
      <w:r w:rsidRPr="00796736">
        <w:rPr>
          <w:rFonts w:ascii="Times New Roman" w:eastAsia="Calibri" w:hAnsi="Times New Roman" w:cs="Times New Roman"/>
          <w:sz w:val="24"/>
          <w:szCs w:val="24"/>
        </w:rPr>
        <w:t>, at</w:t>
      </w:r>
      <w:r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indskrænke eller begrænse forretningsaktiviteter og transaktioner og kræve afhændelse af aktiviteter.</w:t>
      </w:r>
    </w:p>
    <w:p w14:paraId="3ED73587" w14:textId="77777777"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er ny og implementerer </w:t>
      </w:r>
      <w:r w:rsidRPr="00796736">
        <w:rPr>
          <w:rFonts w:ascii="Times New Roman" w:eastAsia="Calibri" w:hAnsi="Times New Roman" w:cs="Times New Roman"/>
          <w:iCs/>
          <w:sz w:val="24"/>
          <w:szCs w:val="24"/>
        </w:rPr>
        <w:t xml:space="preserve">artikel 37, stk. 6, litra b, artikel 53, stk. 2, og stk. 6 og artikel </w:t>
      </w:r>
      <w:r w:rsidRPr="00796736">
        <w:rPr>
          <w:rFonts w:ascii="Times New Roman" w:eastAsia="Calibri" w:hAnsi="Times New Roman" w:cs="Times New Roman"/>
          <w:sz w:val="24"/>
          <w:szCs w:val="24"/>
        </w:rPr>
        <w:t>56, stk. 2, litra e, og stk. 4.</w:t>
      </w:r>
    </w:p>
    <w:p w14:paraId="612D4818"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fremgår blandt andet af præambelbetragtning nr. 101 i 6. hvidvaskdirektiv, at vigtigheden af at bekæmpe hvidvask af penge og finansiering af terrorisme, bør føre til, at medlemsstaterne i deres nationale ret fastsætte bøder og administrative foranstaltninger, der er effektive, står i rimeligt forhold til overtrædelsen og har afskrækkende virkning, for manglende efterlevelse af forordning (EU) 2024/1624 (hvidvaskforordningen).</w:t>
      </w:r>
    </w:p>
    <w:p w14:paraId="265B6AE5" w14:textId="79B22A3C" w:rsidR="00AD43B7" w:rsidRDefault="00AD43B7"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w:t>
      </w:r>
      <w:r w:rsidRPr="003D2A25">
        <w:rPr>
          <w:rFonts w:ascii="Times New Roman" w:hAnsi="Times New Roman" w:cs="Times New Roman"/>
          <w:sz w:val="24"/>
          <w:szCs w:val="24"/>
        </w:rPr>
        <w:t>i</w:t>
      </w:r>
      <w:r w:rsidRPr="00796736">
        <w:rPr>
          <w:rFonts w:ascii="Times New Roman" w:hAnsi="Times New Roman" w:cs="Times New Roman"/>
          <w:i/>
          <w:iCs/>
          <w:sz w:val="24"/>
          <w:szCs w:val="24"/>
        </w:rPr>
        <w:t xml:space="preserve"> stk. 1</w:t>
      </w:r>
      <w:r w:rsidRPr="00796736">
        <w:rPr>
          <w:rFonts w:ascii="Times New Roman" w:hAnsi="Times New Roman" w:cs="Times New Roman"/>
          <w:sz w:val="24"/>
          <w:szCs w:val="24"/>
        </w:rPr>
        <w:t xml:space="preserve">, at Erhvervsstyrelsen kan i tilfælde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_Ref236734482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påbyde de </w:t>
      </w:r>
      <w:r w:rsidRPr="00796736">
        <w:rPr>
          <w:rFonts w:ascii="Times New Roman" w:eastAsia="Times New Roman" w:hAnsi="Times New Roman" w:cs="Times New Roman"/>
          <w:sz w:val="24"/>
          <w:szCs w:val="24"/>
          <w:lang w:eastAsia="da-DK"/>
        </w:rPr>
        <w:t xml:space="preserve">virksomheder og personer, som er nævnt i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_Ref236730892 \r \h </w:instrText>
      </w:r>
      <w:r w:rsidR="001A2696"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79</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at virksomheden eller personen, midlertidigt ikke må udøve en af Erhvervsstyrelsen nærmere afgrænset forretningsaktivitet (nr. 1), midlertidigt ikke må gennemføre en af Erhvervsstyrelsen nærmere afgrænset type af transaktioner (nr. 2) eller skal afhænde aktiviteter (nr. 3).  </w:t>
      </w:r>
    </w:p>
    <w:p w14:paraId="7D99D43F" w14:textId="77777777" w:rsidR="003D2A25" w:rsidRPr="00796736" w:rsidRDefault="003D2A25" w:rsidP="00A802A5">
      <w:pPr>
        <w:spacing w:line="360" w:lineRule="auto"/>
        <w:rPr>
          <w:rFonts w:ascii="Times New Roman" w:eastAsia="Times New Roman" w:hAnsi="Times New Roman" w:cs="Times New Roman"/>
          <w:sz w:val="24"/>
          <w:szCs w:val="24"/>
          <w:lang w:eastAsia="da-DK"/>
        </w:rPr>
      </w:pPr>
    </w:p>
    <w:p w14:paraId="02D99864" w14:textId="405B70D5" w:rsidR="00AD43B7" w:rsidRPr="003D2A25"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styrkes Erhvervsstyrelsens indgrebsmuligheder, når Erhvervsstyrelsen konstaterer, at en virksomhed eller person har overtrådt hvidvaskforordningen, denne lov eller regler udstedt i medfør heraf, og hvor andre og mildere indgrebsmuligheder er udtømte eller ikke vurderes at være tilstrækkelige. Der skal således foretages en proportionalitetsvurdering i forhold til indgrebsmuligheden.</w:t>
      </w:r>
    </w:p>
    <w:p w14:paraId="3ED61C5C"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 xml:space="preserve">Udstedelsen af et påbud efter stk. 1, nr. 1-3 skal ledsages af en af Erhvervsstyrelsens fastsat frist for, hvornår virksomheden senest skal have iværksat den pågældende foranstaltning. </w:t>
      </w:r>
      <w:r w:rsidRPr="00796736">
        <w:rPr>
          <w:rFonts w:ascii="Times New Roman" w:eastAsia="Calibri" w:hAnsi="Times New Roman" w:cs="Times New Roman"/>
          <w:iCs/>
          <w:sz w:val="24"/>
          <w:szCs w:val="24"/>
        </w:rPr>
        <w:t>Erhvervsstyrelsens frist fastsættes ud fra en konkret vurdering i den enkelte sag henset til overtrædelsens karakter.</w:t>
      </w:r>
    </w:p>
    <w:p w14:paraId="370AC2C0" w14:textId="2010A3DB"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 at reaktionsmulighederne efter</w:t>
      </w:r>
      <w:r w:rsidR="003D2A25">
        <w:rPr>
          <w:rFonts w:ascii="Times New Roman" w:hAnsi="Times New Roman" w:cs="Times New Roman"/>
          <w:sz w:val="24"/>
          <w:szCs w:val="24"/>
        </w:rPr>
        <w:t xml:space="preserve"> </w:t>
      </w:r>
      <w:r w:rsidR="00494815" w:rsidRPr="00796736">
        <w:rPr>
          <w:rFonts w:ascii="Times New Roman" w:hAnsi="Times New Roman" w:cs="Times New Roman"/>
          <w:sz w:val="24"/>
          <w:szCs w:val="24"/>
        </w:rPr>
        <w:fldChar w:fldCharType="begin"/>
      </w:r>
      <w:r w:rsidR="00494815" w:rsidRPr="00796736">
        <w:rPr>
          <w:rFonts w:ascii="Times New Roman" w:hAnsi="Times New Roman" w:cs="Times New Roman"/>
          <w:sz w:val="24"/>
          <w:szCs w:val="24"/>
        </w:rPr>
        <w:instrText xml:space="preserve"> REF _Ref239162999 \r \h </w:instrText>
      </w:r>
      <w:r w:rsidR="001A2696" w:rsidRPr="00796736">
        <w:rPr>
          <w:rFonts w:ascii="Times New Roman" w:hAnsi="Times New Roman" w:cs="Times New Roman"/>
          <w:sz w:val="24"/>
          <w:szCs w:val="24"/>
        </w:rPr>
        <w:instrText xml:space="preserve"> \* MERGEFORMAT </w:instrText>
      </w:r>
      <w:r w:rsidR="00494815" w:rsidRPr="00796736">
        <w:rPr>
          <w:rFonts w:ascii="Times New Roman" w:hAnsi="Times New Roman" w:cs="Times New Roman"/>
          <w:sz w:val="24"/>
          <w:szCs w:val="24"/>
        </w:rPr>
      </w:r>
      <w:r w:rsidR="0049481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88</w:t>
      </w:r>
      <w:r w:rsidR="0049481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1 - 2 alene kan iværksættes som midlertidige foranstaltninger. </w:t>
      </w:r>
    </w:p>
    <w:p w14:paraId="32DE049C"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At foranstaltningen er midlertidig betyder, at påbuddet som udgangspunkt skal udstedes for en kortere periode, hvor det er nødvendigt f.eks. for at forhindre hvidvask eller terrorfinansiering at begrænse nærmere afgrænsede dele af virksomhedens eller personens forretningsaktiviteter og transaktioner, indtil de konstaterede overtrædelser og tilhørende risici ikke længe er til stede. </w:t>
      </w:r>
    </w:p>
    <w:p w14:paraId="0A63ABBE"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Anvendelse af et påbud om afhændelse af aktiviteter mv. kan i sagens natur ikke iværksættes som et midlertidigt greb, idet en gennemførelse af en afhændelse som udgangspunkt vil være definitivt. Det vil dog være muligt for Erhvervsstyrelsen at supplere et påbud efter stk. 1, nr. 3 med en nærmere beskrivelse af, hvornår virksomheden eller personen vil have mulighed for f.eks. at kunne generhverve frasolgte aktiver, genoptage tidligere opsagte kundeforhold eller genoptage nedlukkede forretningsområder. </w:t>
      </w:r>
    </w:p>
    <w:p w14:paraId="4195A380" w14:textId="77777777" w:rsidR="003D2A25" w:rsidRPr="00D253F0" w:rsidRDefault="003D2A25" w:rsidP="00A802A5">
      <w:pPr>
        <w:spacing w:after="240" w:line="360" w:lineRule="auto"/>
        <w:rPr>
          <w:rFonts w:ascii="Times New Roman"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24AE42A3" w14:textId="207A7579" w:rsidR="003D2A25" w:rsidRPr="00D253F0" w:rsidRDefault="003D2A25" w:rsidP="00A802A5">
      <w:pPr>
        <w:spacing w:after="240" w:line="360" w:lineRule="auto"/>
        <w:rPr>
          <w:rFonts w:ascii="Times New Roman" w:eastAsia="Calibri" w:hAnsi="Times New Roman" w:cs="Times New Roman"/>
          <w:iCs/>
          <w:sz w:val="24"/>
          <w:szCs w:val="24"/>
        </w:rPr>
      </w:pPr>
      <w:r w:rsidRPr="00D253F0">
        <w:rPr>
          <w:rFonts w:ascii="Times New Roman" w:eastAsia="Calibri" w:hAnsi="Times New Roman" w:cs="Times New Roman"/>
          <w:iCs/>
          <w:sz w:val="24"/>
          <w:szCs w:val="24"/>
        </w:rPr>
        <w:t>Efter</w:t>
      </w:r>
      <w:r>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w:t>
      </w:r>
      <w:r w:rsidRPr="00D253F0">
        <w:rPr>
          <w:rFonts w:ascii="Times New Roman" w:eastAsia="Calibri" w:hAnsi="Times New Roman" w:cs="Times New Roman"/>
          <w:iCs/>
          <w:sz w:val="24"/>
          <w:szCs w:val="24"/>
        </w:rPr>
        <w:t xml:space="preserve"> 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 xml:space="preserve">Erhvervsstyrelsen kan udstede </w:t>
      </w:r>
      <w:r w:rsidRPr="00D253F0">
        <w:rPr>
          <w:rFonts w:ascii="Times New Roman" w:eastAsia="Calibri" w:hAnsi="Times New Roman" w:cs="Times New Roman"/>
          <w:iCs/>
          <w:sz w:val="24"/>
          <w:szCs w:val="24"/>
        </w:rPr>
        <w:t>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p>
    <w:p w14:paraId="687EFAC6"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Erhvervsstyrelsen skal i forbindelse med fastsættelsen af reaktioner i henhold til denne lov, herunder ved anvendelsen af påbud, tage højde for alle relevante omstændigheder, herunder de faktorer, der er opremset i artikel 53, stk. 6, i 6. hvidvaskdirektiv. Dette indebærer blandt andet, at Erhvervsstyrelsen, hvor det er relevant, skal tage højde for overtrædelsens grovhed og varighed samt antallet af gentagelser, ligesom der også vil skulle tages højde for graden af samarbejde med Erhvervsstyrelsen. </w:t>
      </w:r>
    </w:p>
    <w:p w14:paraId="6A6764A7"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E</w:t>
      </w:r>
      <w:r w:rsidRPr="00796736">
        <w:rPr>
          <w:rFonts w:ascii="Times New Roman" w:eastAsia="Calibri" w:hAnsi="Times New Roman" w:cs="Times New Roman"/>
          <w:iCs/>
          <w:sz w:val="24"/>
          <w:szCs w:val="24"/>
        </w:rPr>
        <w:t>rhvervsstyrelsens reaktioner skal være effektive, stå i rimeligt forhold til overtrædelsen og have afskrækkende virkning.</w:t>
      </w:r>
    </w:p>
    <w:p w14:paraId="1C6DE425" w14:textId="60BD27F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 skal ved vurderingen inddrage de indikatorer til klassificering af niveauet af overtrædelsernes grovhed og kriterier, der skal tages i betragtning, når der anvendes reaktioner i henhold til denne bestemmelse i medfør af de reguleringsmæssige tekniske standarder der udarbejdes af AMLA og vedtages af Kommissionen i medfør af artikel 53, stk. 10 i 6. hvidvaskdirektiv.</w:t>
      </w:r>
    </w:p>
    <w:p w14:paraId="57825872"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Et påbud kan gives i forbindelse med andre tilsynsreaktioner, f.eks. politianmeldelse, men kan også stå alene.</w:t>
      </w:r>
    </w:p>
    <w:p w14:paraId="166B5F7A" w14:textId="411E9C53"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w:t>
      </w:r>
      <w:r w:rsidRPr="00796736">
        <w:rPr>
          <w:rFonts w:ascii="Times New Roman" w:hAnsi="Times New Roman" w:cs="Times New Roman"/>
          <w:sz w:val="24"/>
          <w:szCs w:val="24"/>
        </w:rPr>
        <w:t xml:space="preserve"> at Erhvervsstyrelsen kan i tilfælde, der 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_Ref236734482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påbyde, at virksomheden eller personen midlertidigt ikke må udøve en nærmere afgrænset forretningsaktivitet. </w:t>
      </w:r>
    </w:p>
    <w:p w14:paraId="7FE4AD17"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giver Erhvervsstyrelsen mulighed for målrettet at gribe ind over for specifikke dele af virksomhedens eller personens forretningsaktiviteter, hvor der er konstateret alvorlige overtrædelser af reglerne om forebyggelse af hvidvask og terrorfinansiering. </w:t>
      </w:r>
    </w:p>
    <w:p w14:paraId="02D14CC3"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efter denne bestemmelse kan eksempelvis indebære, at virksomheden eller personen for en periode ikke må udbyde bestemte produkter eller ydelser, hvor Erhvervsstyrelsen har identificeret en særligt forhøjet risiko for hvidvask eller terrorfinansiering, eller hvor virksomheden har væsentlige mangler i sin risikostyring. Dette kan for eksempel være relevant ved visse typer af ydelser eller -forretningsområder, der er eksponeret for en særligt forhøjet risiko, men hvor virksomheden ikke har tilstrækkelige procedurer og kontroller til at sikre overholdelse af gældende regler og mitigering af den pågældende risiko, og hvor en sådan begrænsning er nødvendig for at inddæmme den pågældende risikoeksponering. </w:t>
      </w:r>
    </w:p>
    <w:p w14:paraId="327A7CA1"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Påbuddet kan også rettes mod aktiviteter, der involverer bestemte kundegrupper, distributionskanaler eller samarbejdspartnere, hvor der er identificeret utilstrækkelig kontrol eller forhøjet risiko. </w:t>
      </w:r>
    </w:p>
    <w:p w14:paraId="06CE0208"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give Erhvervsstyrelsen mulighed for hurtigt og effektivt at begrænse eller standse de aktiviteter, der udgør en særlig risiko, indtil virksomheden eller personen har dokumenteret, at de nødvendige foranstaltninger er iværksat for at sikre overholdelse af reglerne.</w:t>
      </w:r>
    </w:p>
    <w:p w14:paraId="34E808D2"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Desuden kan påbuddet efter foreslåede stk. 1, nr. 1, omfatte, at virksomheden eller personen midlertidigt ikke må optage nye kundeforhold. Det giver Erhvervsstyrelsen mulighed for at begrænse virksomheders kundetilgang indtil virksomheden har inddæmmet og mitigeret risikoen forbundet med de konstaterede overtrædelser. Dette kan f.eks.  være relevant, hvis virksomheden ikke har tilstrækkelige procedurer eller kontroller til at sikre overholdelse reglerne, herunder kravene til kundekendskabsprocedurer efter hvidvaskforordningen. </w:t>
      </w:r>
    </w:p>
    <w:p w14:paraId="44A7345C"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vurderingen af, om overtrædelsen har en sådan karakter, at den skal medføre et påbud om ikke at optage kundeforhold, før virksomheden har rettet op på forholdene og kan dokumentere dette, kan der bl.a. lægges vægt på overtrædelsens grovhed, herunder hvor mange og hvor store kunder det drejer sig om, karakteren af kundeforholdene osv. </w:t>
      </w:r>
    </w:p>
    <w:p w14:paraId="5D907F9E"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vil kunne omfatte alle virksomheder er personer kundeforhold, men det kan også begrænset til at omfatte visse dele af kundesegmentet, herunder kunder inden for visse risikobrancher eller med andre særligt risikofyldte karakteristika, som f.eks. udenlandske reelle ejere eller forbindelser til geografiske områder med forhøjet risiko. </w:t>
      </w:r>
    </w:p>
    <w:p w14:paraId="0B7CB435"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Et påbud vil således omfatte den del af kundesegmentet, som er forbundet med en risiko, som tilsiger nødvendigheden af anvendelsen af påbuddet.</w:t>
      </w:r>
    </w:p>
    <w:p w14:paraId="4A1A06A2"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vurderingen af, om overtrædelsen har en sådan karakter, at den skal medføre et påbud om ikke at optage kundeforhold, før virksomheden har rettet op på forholdende og kan dokumentere dette, kan der bl.a. lægges vægt på overtrædelsens grovhed, herunder hvor mange og hvor store kunder det drejer sig om, karakteren af kundeforholdene osv. </w:t>
      </w:r>
    </w:p>
    <w:p w14:paraId="637D433A"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Et påbud om midlertidigt stop for nye kunder vil f.eks. kunne gives, hvis en virksomhed ikke rettidigt har opfyldt eller ikke har udvist vilje eller evne til at ville opfylde et tidligere påbud, som Erhvervsstyrelsen har udstedt til virksomheden. Ligeledes vil et påbud om midlertidigt stop for nye kunder f.eks. kunne gives samtidigt med, at Erhvervsstyrelsen foretager en politianmeldelse af kunden for en række overtrædelser af hvidvaskforordningen eller hvidvaskloven.</w:t>
      </w:r>
    </w:p>
    <w:p w14:paraId="5788E1C2"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kan ligeledes udstede et påbud om midlertidigt stop for nye kunder i en situation, hvor virksomheden ikke udviser evne eller vilje til at rette op på overtrædelser af forordningen eller loven, som Erhvervsstyrelsen har identificeret.</w:t>
      </w:r>
    </w:p>
    <w:p w14:paraId="3949B993"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Erhvervsstyrelsen kan påbyde virksomheden at indføre stop for optagelse af kundeforhold helt eller inden for nærmere afgrænsede forretningsområder, at foretage begrænsninger i udbud af specifikke ydelser, herunder over for bestemte kundegrupper eller risikosegmenter, at afvikle eller afhænde  dele af forretningsaktiviteter, som indebærer en forhøjet risiko for hvidvask eller terrorfinansiering, at ophøre med at tilbyde visse produkter, ydelser, distributionskanaler eller geografiske eksponeringer, hvor virksomheden ikke i tilstrækkelig grad kan sikre overholdelse af regler i hvidvaskforordningen, denne lov eller regler udstedt med i medfør heraf. </w:t>
      </w:r>
    </w:p>
    <w:p w14:paraId="6245DF22"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2,</w:t>
      </w:r>
      <w:r w:rsidRPr="00796736">
        <w:rPr>
          <w:rFonts w:ascii="Times New Roman" w:hAnsi="Times New Roman" w:cs="Times New Roman"/>
          <w:sz w:val="24"/>
          <w:szCs w:val="24"/>
        </w:rPr>
        <w:t xml:space="preserve"> at Erhvervsstyrelsen kan påbyde, at virksomheden eller personen midlertidigt ikke må gennemføre en af Erhvervsstyrelsen nærmere afgrænset type af transaktioner.</w:t>
      </w:r>
    </w:p>
    <w:p w14:paraId="2D8E1736"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giver Erhvervsstyrelsen mulighed for målrettet at gribe ind over for en specifik del af virksomhedens eller personens transaktioner, hvor der er konstateret alvorlig risiko for hvidvask eller terrorfinansiering som følge af væsentlig overtrædelse af reglerne om forebyggelse af hvidvask og terrorfinansiering. </w:t>
      </w:r>
    </w:p>
    <w:p w14:paraId="3F1D2FC2"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efter denne bestemmelse kan eksempelvis indebære, at virksomheden ikke må gennemføre en konkret transaktion, som f.eks. salg af en bestemt vare til en bestemt person, såfremt Erhvervsstyrelsen har konstateret en væsentlig risiko ved transaktionen eller kundeforholdet. </w:t>
      </w:r>
    </w:p>
    <w:p w14:paraId="5DBE07B5"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kan f.eks. være ved tilfælde af væsentlig tvivl om kundens identitet eller midlernes oprindelse, som indebærer en forøget risiko for hvidvask eller terrorfinansiering, og hvor virksomheden ikke har mitigeret dette tilstrækkeligt, herunder ikke har tilrettelagt tilstrækkelige kundekendskabsprocedurer og kontroller efter hvidvaskforordningen. Det kan ligeledes være ved tilfælde af transaktioner med bestemte kundegrupper, herunder eksempelvis kunder fra højrisikolande, politisk eksponerede personer eller andre kundesegmenter, hvor der er konstateret væsentlige mangler i virksomhedens risikostyring. </w:t>
      </w:r>
    </w:p>
    <w:p w14:paraId="5E3A899D"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Endvidere kan påbuddet rettes mod transaktioner, der involverer bestemte geografiske områder, hvor der er forhøjet risiko for hvidvask eller terrorfinansiering, eller hvor virksomheden ikke har tilstrækkelig indsigt i eller kontrol med de involverede parter.</w:t>
      </w:r>
    </w:p>
    <w:p w14:paraId="06BE243B"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kan for eksempel være relevant ved visse typer af ydelser eller -forretningsområder, der er eksponeret for en særligt forhøjet risiko, men hvor virksomheden ikke har tilstrækkelige procedurer og kontroller til at sikre overholdelse af gældende regler og mitigering af den pågældende risiko, og hvor en sådan begrænsning er nødvendig for at inddæmme den pågældende risikoeksponering. </w:t>
      </w:r>
    </w:p>
    <w:p w14:paraId="478096E4"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give Erhvervsstyrelsen mulighed for hurtigt og effektivt at begrænse eller standse transaktioner, der udgør en særlig risiko, indtil virksomheden eller personen har dokumenteret, at de nødvendige foranstaltninger er iværksat for at sikre overholdelse af reglerne.</w:t>
      </w:r>
    </w:p>
    <w:p w14:paraId="5761D758" w14:textId="54C5A7EA"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sz w:val="24"/>
          <w:szCs w:val="24"/>
        </w:rPr>
        <w:t xml:space="preserve">stk. 1, nr. </w:t>
      </w:r>
      <w:r w:rsidR="00AD43B7" w:rsidRPr="00796736">
        <w:rPr>
          <w:rFonts w:ascii="Times New Roman" w:hAnsi="Times New Roman" w:cs="Times New Roman"/>
          <w:i/>
          <w:sz w:val="24"/>
          <w:szCs w:val="24"/>
        </w:rPr>
        <w:t>3</w:t>
      </w:r>
      <w:r w:rsidRPr="00796736">
        <w:rPr>
          <w:rFonts w:ascii="Times New Roman" w:hAnsi="Times New Roman" w:cs="Times New Roman"/>
          <w:i/>
          <w:sz w:val="24"/>
          <w:szCs w:val="24"/>
        </w:rPr>
        <w:t>,</w:t>
      </w:r>
      <w:r w:rsidRPr="00796736">
        <w:rPr>
          <w:rFonts w:ascii="Times New Roman" w:hAnsi="Times New Roman" w:cs="Times New Roman"/>
          <w:sz w:val="24"/>
          <w:szCs w:val="24"/>
        </w:rPr>
        <w:t xml:space="preserve"> at Erhvervsstyrelsen i tilfælde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_Ref236734482 \r \h </w:instrText>
      </w:r>
      <w:r w:rsidR="00F375BF"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kan påbyde, at virksomheden eller personen skal afhænde aktiviteter.</w:t>
      </w:r>
    </w:p>
    <w:p w14:paraId="5F8F2B8D" w14:textId="77777777" w:rsidR="00D71F73" w:rsidRPr="00796736" w:rsidRDefault="00D71F7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afhændelse af aktiviteter menes, at virksomheden eller personen påbydes at afvikle eller ophøre med dele af sine forretningsaktiviteter, således at vedkommende ikke længere udøver den pågældende aktivitet. Dette kan f.eks. omfatte frasalg, lukning eller ophør af forretningsområder, produkter, ydelser eller distributionskanaler, hvor der er identificeret forhøjet risiko for hvidvask eller terrorfinansiering, og hvor den pågældende virksomhed eller person ikke har udvist evne eller vilje til at sikre overholdelse af de relevante krav.</w:t>
      </w:r>
    </w:p>
    <w:p w14:paraId="5645EE08"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Erhvervsstyrelsen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01E68260"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2</w:t>
      </w:r>
      <w:r w:rsidRPr="00796736">
        <w:rPr>
          <w:rFonts w:ascii="Times New Roman" w:eastAsia="Calibri" w:hAnsi="Times New Roman" w:cs="Times New Roman"/>
          <w:iCs/>
          <w:sz w:val="24"/>
          <w:szCs w:val="24"/>
        </w:rPr>
        <w:t>, at afgørelser efter stk. 1 kan finde anvendelse indtil årsagen til påbuddet er udbedret og ellers i et tidsrum fra 6 måneder til 5 år eller indtil videre.</w:t>
      </w:r>
    </w:p>
    <w:p w14:paraId="168641B3" w14:textId="77777777" w:rsidR="00D71F73" w:rsidRPr="00796736" w:rsidRDefault="00D71F7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Erhvervsstyrelsen vil skulle tage stilling til nødvendigheden af påbuddets tidsmæssige udstrækning. Det bemærkes, at Erhvervsstyrelsen i medfør af den foreslåede bestemmelse vil kunne udstede påbud med forskellige elementer og vilkår, som hver især vil kunne forsynes med gyldighedsperioder.</w:t>
      </w:r>
    </w:p>
    <w:p w14:paraId="37932B12" w14:textId="77777777" w:rsidR="00D71F73" w:rsidRPr="00796736" w:rsidRDefault="00D71F7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Der er tale om et væsentligt indgreb over for virksomheden eller personen. Det forudsættes derfor, at Erhvervsstyrelsen hurtigst muligt ved modtagelse af dokumentationen foretager en vurdering af, om det er tilstrækkeligt dokumenteret, at overtrædelsen er ophørt, og meddeler virksomheden eller personen sin vurdering.</w:t>
      </w:r>
    </w:p>
    <w:p w14:paraId="23E8307A" w14:textId="77777777" w:rsidR="00D71F73" w:rsidRPr="00796736" w:rsidRDefault="00D71F7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At overtrædelsen er ophørt, vil f.eks. kunne godtgøres ved, at virksomheden fremsender opdaterede og tilstrækkelige skriftlige politikker, procedurer og kontroller, samt at Erhvervsstyrelsen ved gennemgang af en række konkrete kundesager har konstateret, at de relevante kundekendskabsprocedurer mv. er gennemført og har en tilstrækkelig kvalitet til at mitigere den pågældende risiko, som den manglende efterlevelse af reglerne har medfødt.</w:t>
      </w:r>
    </w:p>
    <w:p w14:paraId="1D98711E" w14:textId="77777777" w:rsidR="00D71F73" w:rsidRPr="00796736" w:rsidRDefault="00D71F7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Såfremt virksomheden ikke har efterlevet påbuddet inden for den fastsatte frist, vil påbuddet forblive opretholdt. Erhvervsstyrelsen vil samtidigt overveje at iværksætte andre reaktionsmuligheder, herunder politianmeldelse.</w:t>
      </w:r>
    </w:p>
    <w:p w14:paraId="6B89989C" w14:textId="2FE2F3F1" w:rsidR="00564FB5" w:rsidRPr="00796736" w:rsidRDefault="00D71F7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Der henvises i øvrigt til pkt. </w:t>
      </w:r>
      <w:r w:rsidR="00AD43B7" w:rsidRPr="00796736">
        <w:rPr>
          <w:rFonts w:ascii="Times New Roman" w:eastAsia="Calibri" w:hAnsi="Times New Roman" w:cs="Times New Roman"/>
          <w:iCs/>
          <w:sz w:val="24"/>
          <w:szCs w:val="24"/>
        </w:rPr>
        <w:fldChar w:fldCharType="begin"/>
      </w:r>
      <w:r w:rsidR="00AD43B7" w:rsidRPr="00796736">
        <w:rPr>
          <w:rFonts w:ascii="Times New Roman" w:eastAsia="Calibri" w:hAnsi="Times New Roman" w:cs="Times New Roman"/>
          <w:iCs/>
          <w:sz w:val="24"/>
          <w:szCs w:val="24"/>
        </w:rPr>
        <w:instrText xml:space="preserve"> REF _Ref241665910 \n \h </w:instrText>
      </w:r>
      <w:r w:rsidR="001A2696" w:rsidRPr="00796736">
        <w:rPr>
          <w:rFonts w:ascii="Times New Roman" w:eastAsia="Calibri" w:hAnsi="Times New Roman" w:cs="Times New Roman"/>
          <w:iCs/>
          <w:sz w:val="24"/>
          <w:szCs w:val="24"/>
        </w:rPr>
        <w:instrText xml:space="preserve"> \* MERGEFORMAT </w:instrText>
      </w:r>
      <w:r w:rsidR="00AD43B7" w:rsidRPr="00796736">
        <w:rPr>
          <w:rFonts w:ascii="Times New Roman" w:eastAsia="Calibri" w:hAnsi="Times New Roman" w:cs="Times New Roman"/>
          <w:iCs/>
          <w:sz w:val="24"/>
          <w:szCs w:val="24"/>
        </w:rPr>
      </w:r>
      <w:r w:rsidR="00AD43B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3.63</w:t>
      </w:r>
      <w:r w:rsidR="00AD43B7"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i lovforslagets almindelige bemærkninger.</w:t>
      </w:r>
    </w:p>
    <w:p w14:paraId="1A0E0E14" w14:textId="77777777" w:rsidR="00D71F73" w:rsidRPr="00796736" w:rsidRDefault="00D71F73" w:rsidP="00A802A5">
      <w:pPr>
        <w:spacing w:after="240" w:line="360" w:lineRule="auto"/>
        <w:rPr>
          <w:rFonts w:ascii="Times New Roman" w:eastAsia="Calibri" w:hAnsi="Times New Roman" w:cs="Times New Roman"/>
          <w:iCs/>
          <w:sz w:val="24"/>
          <w:szCs w:val="24"/>
        </w:rPr>
      </w:pPr>
    </w:p>
    <w:p w14:paraId="3AF9BF3E" w14:textId="30F9D89A" w:rsidR="00564FB5" w:rsidRPr="00796736" w:rsidRDefault="00DF5DE1" w:rsidP="00A802A5">
      <w:pPr>
        <w:pStyle w:val="Undertitel"/>
      </w:pPr>
      <w:bookmarkStart w:id="2125" w:name="_Toc232109414"/>
      <w:bookmarkStart w:id="2126" w:name="_Toc244879385"/>
      <w:bookmarkStart w:id="2127" w:name="_Toc244880910"/>
      <w:r w:rsidRPr="00796736">
        <w:t xml:space="preserve">Til </w:t>
      </w:r>
      <w:bookmarkEnd w:id="2125"/>
      <w:r w:rsidR="00C86CFF" w:rsidRPr="00796736">
        <w:fldChar w:fldCharType="begin"/>
      </w:r>
      <w:r w:rsidR="00C86CFF" w:rsidRPr="00796736">
        <w:instrText xml:space="preserve"> REF _Ref232608896 \r \h </w:instrText>
      </w:r>
      <w:r w:rsidR="00967618" w:rsidRPr="00796736">
        <w:instrText xml:space="preserve"> \* MERGEFORMAT </w:instrText>
      </w:r>
      <w:r w:rsidR="00C86CFF" w:rsidRPr="00796736">
        <w:fldChar w:fldCharType="separate"/>
      </w:r>
      <w:r w:rsidR="008F29E5">
        <w:t>§ 89</w:t>
      </w:r>
      <w:bookmarkEnd w:id="2126"/>
      <w:bookmarkEnd w:id="2127"/>
      <w:r w:rsidR="00C86CFF" w:rsidRPr="00796736">
        <w:fldChar w:fldCharType="end"/>
      </w:r>
      <w:r w:rsidR="00564FB5" w:rsidRPr="00796736">
        <w:t xml:space="preserve"> </w:t>
      </w:r>
    </w:p>
    <w:p w14:paraId="31737DC1" w14:textId="5FFECE49"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60 i den gældende hvidvasklov indeholder bemyndigelse til, at Erhvervsstyrelsen kan påbyde virksomheder og personer omfattet af tilsynet inden for en af styrelsen fastsat frist at foretage de nødvendige foranstaltninger i tilfælde af overtrædelse af bestemmelser i hvidvaskloven, de regler, der er fastsat i medfør heraf, eller forordninger indeholdende regler om finansielle sanktioner mod lande, personer, grupper, juridiske enheder, eller organer.</w:t>
      </w:r>
    </w:p>
    <w:p w14:paraId="2EFB6E17" w14:textId="24871870" w:rsidR="00564FB5" w:rsidRPr="00796736" w:rsidRDefault="00564FB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de specielle bemærkninger til bestemmelsen, at dette indebærer en adgang for Erhvervsstyrelsen til at </w:t>
      </w:r>
      <w:r w:rsidRPr="00796736">
        <w:rPr>
          <w:rFonts w:ascii="Times New Roman" w:eastAsia="Calibri" w:hAnsi="Times New Roman" w:cs="Times New Roman"/>
          <w:sz w:val="24"/>
          <w:szCs w:val="24"/>
        </w:rPr>
        <w:t>udstede et midlertidigt forbud om, at personer i den daglige ledelse i en virksomhed, eller andre fysiske personer, der holdes ansvarlige for overtrædelsen, varetager ledelsen af opgaver i relation til opfyldelse af kravene i hvidvaskloven.</w:t>
      </w:r>
    </w:p>
    <w:p w14:paraId="3371F9AC" w14:textId="06074E94"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_Ref232608896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indeholder bemyndigelse til, at Erhvervsstyrelsen kan påbyde ændringer i en omfattet virksomheds ledelsesstruktur, herunder at Erhvervsstyrelsen kan træffe afgørelse om, at et medlem af virksomhedens øverste ledelse skal udtræde heraf, hvis medlemmet ikke lever op til egnetheds- og hæderlighedskravene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_Ref232609060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Bestemmelsen viderefører og tydeliggør derudover Erhvervsstyrelsens adgang til at udstede et midlertidigt forbud mod at personer, der holdes ansvarlige for overtrædelsen, varetager visse ledelsesmæssige funktioner i virksomheden.</w:t>
      </w:r>
    </w:p>
    <w:p w14:paraId="0DA412A4"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er ny og implementerer artikel 6, stk. 2, artikel 6, stk. 4, </w:t>
      </w:r>
      <w:r w:rsidRPr="00796736">
        <w:rPr>
          <w:rFonts w:ascii="Times New Roman" w:eastAsia="Calibri" w:hAnsi="Times New Roman" w:cs="Times New Roman"/>
          <w:iCs/>
          <w:sz w:val="24"/>
          <w:szCs w:val="24"/>
        </w:rPr>
        <w:t xml:space="preserve">artikel 37, stk. 6, litra b, </w:t>
      </w:r>
      <w:r w:rsidRPr="00796736">
        <w:rPr>
          <w:rFonts w:ascii="Times New Roman" w:eastAsia="Calibri" w:hAnsi="Times New Roman" w:cs="Times New Roman"/>
          <w:sz w:val="24"/>
          <w:szCs w:val="24"/>
        </w:rPr>
        <w:t>artikel</w:t>
      </w:r>
      <w:r w:rsidRPr="00796736">
        <w:rPr>
          <w:rFonts w:ascii="Times New Roman" w:eastAsia="Calibri" w:hAnsi="Times New Roman" w:cs="Times New Roman"/>
          <w:iCs/>
          <w:sz w:val="24"/>
          <w:szCs w:val="24"/>
        </w:rPr>
        <w:t xml:space="preserve"> 53, stk. 2, og stk. 6, og </w:t>
      </w:r>
      <w:r w:rsidRPr="00796736">
        <w:rPr>
          <w:rFonts w:ascii="Times New Roman" w:eastAsia="Calibri" w:hAnsi="Times New Roman" w:cs="Times New Roman"/>
          <w:sz w:val="24"/>
          <w:szCs w:val="24"/>
        </w:rPr>
        <w:t>artikel 56, stk. 2, litra g, stk. 3, litra e, og stk. 4 i 6. hvidvaskdirektiv.</w:t>
      </w:r>
    </w:p>
    <w:p w14:paraId="71D5C56D" w14:textId="05100C05"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1,</w:t>
      </w:r>
      <w:r w:rsidRPr="00796736">
        <w:rPr>
          <w:rFonts w:ascii="Times New Roman" w:eastAsia="Calibri" w:hAnsi="Times New Roman" w:cs="Times New Roman"/>
          <w:sz w:val="24"/>
          <w:szCs w:val="24"/>
        </w:rPr>
        <w:t xml:space="preserve"> at Erhvervsstyrelsen i tilfælde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_Ref236734482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inden for en af Erhvervsstyrelsen fastsat frist kan påbyde de virksomheder, som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at foretage ændringer i ledelsesstrukturen, herunder at visse personer midlertidigt ikke kan varetage ledelsesfunktioner i den pågældende virksomhed.</w:t>
      </w:r>
    </w:p>
    <w:p w14:paraId="3103E72D"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Bestemmelsen implementerer 6. hvidvaskdirektivs artikel 56, stk. 2, litra g og stk. 3, litra e.</w:t>
      </w:r>
    </w:p>
    <w:p w14:paraId="7DC8777F" w14:textId="336B6E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vil medføre, at Erhvervsstyrelsen kan udstede et midlertidigt forbud mod, at et medlem i den øverste ledelse i en virksomhed under Erhvervsstyrelsens tilsyn eller andre personer, der er blevet holdt ansvarlige for forhold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_Ref236734482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nr. 1-3, varetager ledelsesfunktioner i den pågældende virksomhed. </w:t>
      </w:r>
    </w:p>
    <w:p w14:paraId="0E9D2E4A"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Formålet med bestemmelsen er at sikre, at personer, der besidder et ledelsesansvar eller i øvrigt kan holdes ansvarlige for virksomhedens manglende overholdelse af hvidvaskforordningen mv., ikke varetager relevante ledelsesfunktioner i virksomheden, hvor vedkommende fortsat har ansvar for og væsentlig indflydelse på virksomhedens efterlevelse reglerne.</w:t>
      </w:r>
    </w:p>
    <w:p w14:paraId="3F0576C5"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Et midlertidigt forbud efter stk. 1 vil kunne rettes mod relevante medlemmer af virksomhedens øverste ledelse og andre personer, der er ansvarlige for overtrædelsen. Dette vil ud fra en konkret vurdering også kunne omfatte virksomhedens compliancemedarbejder udpeget i henhold til hvidvaskforordningens artikel 11, stk. 2.</w:t>
      </w:r>
    </w:p>
    <w:p w14:paraId="4FAA2BA6" w14:textId="41577C66"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Anvendelsen af et midlertidigt forbud efter stk. 1 vil i videst muligt omfang skulle begrænses til varetagelsen af ledelsesfunktioner og opgaver i relation til virksomhedens efterlevelse af reglerne for forebyggelse og bekæmpelse af hvidvask mv., herunder hvidvaskforordningen og de øvrige retsakter nævnt i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_Ref241667034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80</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Personen kan derfor uanset et midlertidigt forbud efter stk. 1 stadig varetage andre ledelsesmæssige opgaver i virksomheden.</w:t>
      </w:r>
    </w:p>
    <w:p w14:paraId="4E594F1A"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Det, at forbuddet er midlertidigt, betyder, at det skal udstedes for en kortere periode, hvor det er nødvendigt at fjerne den pågældende person f.eks. for at forhindre hvidvask eller terrorfinansiering.</w:t>
      </w:r>
    </w:p>
    <w:p w14:paraId="533C8371" w14:textId="77777777" w:rsidR="00AD43B7"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Virksomheden vil som konsekvens af et midlertidigt forbud efter stk. 1 skulle foretage de fornødne ændringer i ledelsesstrukturen, så det tilsikres, at den pågældende person forbuddet vedrører ikke besidder de relevante ledelsesfunktioner. </w:t>
      </w:r>
    </w:p>
    <w:p w14:paraId="782762EF" w14:textId="77777777" w:rsidR="003D2A25" w:rsidRDefault="003D2A25" w:rsidP="00A802A5">
      <w:pPr>
        <w:spacing w:after="240" w:line="360" w:lineRule="auto"/>
        <w:rPr>
          <w:rFonts w:ascii="Times New Roman"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784B346E" w14:textId="5565CE04" w:rsidR="003D2A25" w:rsidRPr="00796736" w:rsidRDefault="003D2A25"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iCs/>
          <w:sz w:val="24"/>
          <w:szCs w:val="24"/>
        </w:rPr>
        <w:t xml:space="preserve">Efter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w:t>
      </w:r>
      <w:r w:rsidRPr="00D253F0">
        <w:rPr>
          <w:rFonts w:ascii="Times New Roman" w:eastAsia="Calibri" w:hAnsi="Times New Roman" w:cs="Times New Roman"/>
          <w:iCs/>
          <w:sz w:val="24"/>
          <w:szCs w:val="24"/>
        </w:rPr>
        <w:t xml:space="preserve"> 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Erhvervsstyrelsen kan udstede</w:t>
      </w:r>
      <w:r w:rsidRPr="00D253F0">
        <w:rPr>
          <w:rFonts w:ascii="Times New Roman" w:eastAsia="Calibri" w:hAnsi="Times New Roman" w:cs="Times New Roman"/>
          <w:iCs/>
          <w:sz w:val="24"/>
          <w:szCs w:val="24"/>
        </w:rPr>
        <w:t xml:space="preserve"> 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p>
    <w:p w14:paraId="538B6E93" w14:textId="584D9A2E" w:rsidR="00AD43B7" w:rsidRPr="00796736" w:rsidRDefault="00AD43B7"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w:t>
      </w:r>
      <w:r w:rsidRPr="00796736">
        <w:rPr>
          <w:rFonts w:ascii="Times New Roman" w:hAnsi="Times New Roman" w:cs="Times New Roman"/>
          <w:sz w:val="24"/>
          <w:szCs w:val="24"/>
        </w:rPr>
        <w:t xml:space="preserve"> at Erhvervsstyrelsen kan påbyde de </w:t>
      </w:r>
      <w:r w:rsidRPr="00796736">
        <w:rPr>
          <w:rFonts w:ascii="Times New Roman" w:eastAsia="Times New Roman" w:hAnsi="Times New Roman" w:cs="Times New Roman"/>
          <w:sz w:val="24"/>
          <w:szCs w:val="24"/>
          <w:lang w:eastAsia="da-DK"/>
        </w:rPr>
        <w:t xml:space="preserve">virksomheder og personer, som er omfattet af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_Ref236730892 \r \h </w:instrText>
      </w:r>
      <w:r w:rsidR="001A2696"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79</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at afsætte et medlem af virksomhedens øverste ledelse inden for en af Erhvervsstyrelsen fastsat frist, såfremt personen er dømt for </w:t>
      </w:r>
      <w:r w:rsidRPr="00796736">
        <w:rPr>
          <w:rFonts w:ascii="Times New Roman" w:hAnsi="Times New Roman" w:cs="Times New Roman"/>
          <w:sz w:val="24"/>
          <w:szCs w:val="24"/>
          <w:lang w:eastAsia="da-DK"/>
        </w:rPr>
        <w:t>hvidvask af penge, de underliggende lovovertrædelser eller finansiering af terrorisme. Hvor den pågældende person er et medlem bestyrelsen i en sådan virksomhed, kan Erhvervsstyrelsen under samme betingelser som i 1. pkt. påbyde vedkommende at nedlægge sit hverv inden for en af Erhvervsstyrelsen fastsat frist.</w:t>
      </w:r>
    </w:p>
    <w:p w14:paraId="271DE627"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Bestemmelsen implementerer 6. hvidvaskdirektivs artikel 6, stk. 4, 1. pkt.</w:t>
      </w:r>
    </w:p>
    <w:p w14:paraId="41133D76"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vil medføre, at Erhvervsstyrelsen vil kunne træffe afgørelse om, at der skal ske afsættelse af et givent medlem af en omfattet virksomheds øverste ledelse, hvis Erhvervsstyrelsen bliver bekendt med, at vedkommende er dømt for hvidvask af penge, de underliggende lovovertrædelser eller finansiering af terrorisme, herunder at et bestyrelsesmedlem, der er dømt for et sådant forhold, skal nedlægge sit hverv i en omfattet virksomhed. </w:t>
      </w:r>
    </w:p>
    <w:p w14:paraId="1A29A2CC"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Bestemmelsen skal understøtte Erhvervsstyrelsens muligheder for at forhindre, at kriminelle misbruger en forpligtet enhed til at udføre kriminelle handlinger eller underminere det danske værn mod hvidvask og terrorfinansiering.</w:t>
      </w:r>
    </w:p>
    <w:p w14:paraId="4A573829" w14:textId="58C4A471"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 xml:space="preserve">Den foreslåede bestemmelse skal ses i sammenhæng med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1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_Ref232609060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hvorefter et medlem af ledelsen af en omfattet virksomhed, ikke må være dømt for hvidvask af penge, de underliggende lovovertrædelser eller finansiering af terrorisme. For nærmere om definitionen af hvidvask af penge, de underliggende lovovertrædelser og finansiering af terrorisme henvises til bemærkningerne til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_Ref232609060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0F1264C0"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er en forudsætning, at det strafbare forhold skal være fastslået ved endelig dom. Det pådømte strafbare forhold skal være af en sådan karakter, at det vurderes at have betydning for personens hæderlighed som medlem af den øverste ledelse, herunder at forholdet begrunder en betydelig risiko for nærliggende fare for misbrug af stillingen eller hvervet.</w:t>
      </w:r>
    </w:p>
    <w:p w14:paraId="4FAFC3C9"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Et relevant strafbart forhold pådømt i udlandet vil på tilsvarende vis kunne lægges til grund for anvendelsen af bestemmelsen.</w:t>
      </w:r>
    </w:p>
    <w:p w14:paraId="24F6CC0A"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medlem af virksomhedens øverste ledelse i en omfattet virksomhed skal forstås i overensstemmelse med hvidvaskforordningen.  </w:t>
      </w:r>
    </w:p>
    <w:p w14:paraId="2AFE6331"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”Øverste ledelse” er defineret i hvidvaskforordningens artikel 2, stk. 1, nr. 40 som værende </w:t>
      </w:r>
      <w:r w:rsidRPr="00796736">
        <w:rPr>
          <w:rFonts w:ascii="Times New Roman" w:hAnsi="Times New Roman" w:cs="Times New Roman"/>
          <w:sz w:val="24"/>
          <w:szCs w:val="24"/>
        </w:rPr>
        <w:t>medlemmerne af ledelsesorganet i dets ledelsesfunktion samt medarbejdere og ansatte med tilstrækkeligt kendskab til den forpligtede enheds risikoeksponering for hvidvask af penge og finansiering af terrorisme og med tilstrækkelig anciennitet til at træffe beslutninger med indvirkning på dets risikoeksponering.</w:t>
      </w:r>
    </w:p>
    <w:p w14:paraId="7C30142E"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”Ledelsesorganet i dets ledelsesfunktion” er defineret i hvidvaskforordningens artikel 2, stk. 1, nr. 38 som værende det ledelsesorgan, der er ansvarlig for den forpligtede enheds daglige ledelse.</w:t>
      </w:r>
    </w:p>
    <w:p w14:paraId="5B83308E"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”Ledelsesorgan” er defineret i hvidvaskforordningens artikel 2, stk. 1, nr. 37 som værende det eller de organer i en forpligtet enhed, der er udpeget i overensstemmelse med national ret, og som har beføjelse til at fastlægge den forpligtede enheds strategi, mål og overordnede kurs, og som kontrollerer og overvåger ledelsens beslutningstagning, og dette omfatter de personer, der varetager den faktiske ledelse af den forpligtede enheds virksomhed; hvis der ikke findes sådant organ, er ledelsesorganet den person, der varetager den faktiske ledelse af den forpligtede enheds virksomhed.</w:t>
      </w:r>
    </w:p>
    <w:p w14:paraId="52EA9D90" w14:textId="77777777" w:rsidR="00AD43B7" w:rsidRPr="00796736" w:rsidRDefault="00AD43B7"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sz w:val="24"/>
          <w:szCs w:val="24"/>
        </w:rPr>
        <w:t>Ovennævnte definitioner indebærer, at begrebet ”øverste ledelse” efter hvidvaskreguleringen ikke kun dækker de formelle ledelsesmedlemmer i virksomheden, herunder medlemmer af virksomhedens direktion, bestyrelse eller tilsynsråd. Ud fra en konkret vurdering af virksomhedens forhold og den pågældende persons stilling og beføjelser vil andre nøglepersoner med væsentlig indflydelse på virksomhedens risikostyring også kunne anses som værende et medlem af virksomhedens øverste ledelse i henhold til hvidvaskreguleringen, selvom vedkommende ikke besidder en egentlig direktørpost eller varetager et bestyrelseshverv. Det vil f.eks. kunne omfatte virksomhedens compliancemedarbejder udpeget i henhold til hvidvaskforordningens artikel 11, stk. 2, såfremt vedkommende har tilstrækkeligt kendskab til risikoeksponeringen og anciennitet til at kunne træffe beslutninger herom.</w:t>
      </w:r>
    </w:p>
    <w:p w14:paraId="0DAB7F52" w14:textId="61F839DC"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forudsættes for anvendelsen af </w:t>
      </w:r>
      <w:r w:rsidRPr="00796736">
        <w:rPr>
          <w:rFonts w:ascii="Times New Roman" w:eastAsia="Times New Roman" w:hAnsi="Times New Roman" w:cs="Times New Roman"/>
          <w:sz w:val="24"/>
          <w:szCs w:val="24"/>
          <w:lang w:eastAsia="da-DK"/>
        </w:rPr>
        <w:t xml:space="preserve">bestemmelsen, at det pågældende medlem af virksomhedens øverste ledelse ikke kan bestride stillingen som følge af, at vedkommende ikke kan efterleve de foreslåede egnetheds- og hæderlighedskrav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1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_Ref232609060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w:t>
      </w:r>
      <w:r w:rsidRPr="00796736">
        <w:rPr>
          <w:rFonts w:ascii="Times New Roman" w:eastAsia="Times New Roman" w:hAnsi="Times New Roman" w:cs="Times New Roman"/>
          <w:sz w:val="24"/>
          <w:szCs w:val="24"/>
          <w:lang w:eastAsia="da-DK"/>
        </w:rPr>
        <w:t xml:space="preserve"> </w:t>
      </w:r>
      <w:r w:rsidRPr="00796736">
        <w:rPr>
          <w:rFonts w:ascii="Times New Roman" w:eastAsia="Calibri" w:hAnsi="Times New Roman" w:cs="Times New Roman"/>
          <w:sz w:val="24"/>
          <w:szCs w:val="24"/>
        </w:rPr>
        <w:t>Foranstaltningen udmøntes i praksis ved udstedelsen af et påbud, hvorefter virksomheden eller personen inden for en af Erhvervsstyrelsen angivet frist skal have foretaget afsættelse af det pågældende medlem af den øverste ledelse, eller det pågældende bestyrelsesmedlem inden for en af Erhvervsstyrelsen fastsat frist skal have nedlagt sit hverv.</w:t>
      </w:r>
    </w:p>
    <w:p w14:paraId="074036BF"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iCs/>
          <w:sz w:val="24"/>
          <w:szCs w:val="24"/>
        </w:rPr>
        <w:t>Inden Erhvervsstyrelsen påbyder virksomheden at afsætte medlem af den øverste ledelse eller et bestyrelsesmedlem at nedlægge sit hverv, skal der i henhold til reglerne i forvaltningsloven foretages en partshøring af virksomheden og af den, som påbuddet retter sig mod.</w:t>
      </w:r>
    </w:p>
    <w:p w14:paraId="4580FB94" w14:textId="166B73CF" w:rsidR="00AD43B7" w:rsidRPr="00796736" w:rsidRDefault="00AD43B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forventningen, at virksomheden selv træffer de nødvendige foranstaltninger over for det dømte medlem af virksomhedens øverste ledelse, der ikke længere viser sig at være egnet til at bestride stillingen eller hvervet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1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_Ref232609060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Erhvervsstyrelsens indgrebsmuligheder efter stk. 2 skal derfor alene anvendes i de tilfælde, hvor virksomheden ikke selv har afsat det pågældende medlem af virksomhedens øverste ledelse eller vedkommende ikke selv har opsagt sin stilling eller nedlagt sit hverv.</w:t>
      </w:r>
    </w:p>
    <w:p w14:paraId="00402D78" w14:textId="77777777" w:rsidR="00AD43B7" w:rsidRPr="00796736" w:rsidRDefault="00AD43B7" w:rsidP="00A802A5">
      <w:pPr>
        <w:spacing w:line="360" w:lineRule="auto"/>
        <w:rPr>
          <w:rFonts w:ascii="Times New Roman" w:hAnsi="Times New Roman" w:cs="Times New Roman"/>
          <w:sz w:val="24"/>
          <w:szCs w:val="24"/>
        </w:rPr>
      </w:pPr>
    </w:p>
    <w:p w14:paraId="391CF9C2"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Erhvervsstyrelsen skal i forbindelse med fastsættelsen af reaktioner i henhold til denne lov, herunder ved anvendelsen af påbud, tage højde for alle relevante omstændigheder, herunder de faktorer, der er opremset i artikel 53, stk. 6, i 6. hvidvaskdirektiv. Dette indebærer blandt andet, at Erhvervsstyrelsen, hvor det er relevant, skal tage højde for overtrædelsens grovhed og varighed samt antallet af gentagelser, ligesom der også vil skulle tages højde for graden af samarbejde med Erhvervsstyrelsen. </w:t>
      </w:r>
    </w:p>
    <w:p w14:paraId="27A664EA"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E</w:t>
      </w:r>
      <w:r w:rsidRPr="00796736">
        <w:rPr>
          <w:rFonts w:ascii="Times New Roman" w:eastAsia="Calibri" w:hAnsi="Times New Roman" w:cs="Times New Roman"/>
          <w:iCs/>
          <w:sz w:val="24"/>
          <w:szCs w:val="24"/>
        </w:rPr>
        <w:t>rhvervsstyrelsens reaktioner skal være effektive, stå i rimeligt forhold til overtrædelsen og have afskrækkende virkning.</w:t>
      </w:r>
    </w:p>
    <w:p w14:paraId="357A3A47"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Erhvervsstyrelsen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18311841" w14:textId="77777777" w:rsidR="003D2A25" w:rsidRPr="00D253F0" w:rsidRDefault="003D2A25" w:rsidP="00A802A5">
      <w:pPr>
        <w:spacing w:after="240" w:line="360" w:lineRule="auto"/>
        <w:rPr>
          <w:rFonts w:ascii="Times New Roman" w:eastAsia="Calibri" w:hAnsi="Times New Roman" w:cs="Times New Roman"/>
          <w:iCs/>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2E7C312F" w14:textId="047A5DF2" w:rsidR="003D2A25" w:rsidRPr="00D253F0" w:rsidRDefault="003D2A25"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iCs/>
          <w:sz w:val="24"/>
          <w:szCs w:val="24"/>
        </w:rPr>
        <w:t xml:space="preserve">Efter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w:t>
      </w:r>
      <w:r w:rsidRPr="00D253F0">
        <w:rPr>
          <w:rFonts w:ascii="Times New Roman" w:eastAsia="Calibri" w:hAnsi="Times New Roman" w:cs="Times New Roman"/>
          <w:iCs/>
          <w:sz w:val="24"/>
          <w:szCs w:val="24"/>
        </w:rPr>
        <w:t xml:space="preserve"> 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Erhvervsstyrelsen kan udstede</w:t>
      </w:r>
      <w:r w:rsidRPr="00D253F0">
        <w:rPr>
          <w:rFonts w:ascii="Times New Roman" w:eastAsia="Calibri" w:hAnsi="Times New Roman" w:cs="Times New Roman"/>
          <w:iCs/>
          <w:sz w:val="24"/>
          <w:szCs w:val="24"/>
        </w:rPr>
        <w:t xml:space="preserve"> 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r w:rsidRPr="00D253F0">
        <w:rPr>
          <w:rFonts w:ascii="Times New Roman" w:eastAsia="Calibri" w:hAnsi="Times New Roman" w:cs="Times New Roman"/>
          <w:sz w:val="24"/>
          <w:szCs w:val="24"/>
        </w:rPr>
        <w:t xml:space="preserve"> </w:t>
      </w:r>
    </w:p>
    <w:p w14:paraId="6D55DEEB" w14:textId="283BE410"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3,</w:t>
      </w:r>
      <w:r w:rsidRPr="00796736">
        <w:rPr>
          <w:rFonts w:ascii="Times New Roman" w:eastAsia="Calibri" w:hAnsi="Times New Roman" w:cs="Times New Roman"/>
          <w:sz w:val="24"/>
          <w:szCs w:val="24"/>
        </w:rPr>
        <w:t xml:space="preserve"> at </w:t>
      </w:r>
      <w:r w:rsidRPr="00796736">
        <w:rPr>
          <w:rFonts w:ascii="Times New Roman" w:hAnsi="Times New Roman" w:cs="Times New Roman"/>
          <w:sz w:val="24"/>
          <w:szCs w:val="24"/>
          <w:lang w:eastAsia="da-DK"/>
        </w:rPr>
        <w:t xml:space="preserve">Erhvervsstyrelsen kan påbyde de virksomheder og personer, som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_Ref236730892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79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nr. 10, at afsætte et medlem af virksomhedens øverste ledelse inden for en af Erhvervsstyrelsen fastsat frist, såfremt personen ikke kan bestride stillingen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_Ref232609060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85</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2, nr. 2-4. Hvor den pågældende person er et medlem bestyrelsen i en sådan virksomhed, kan Erhvervsstyrelsen under samme betingelser som i 1. pkt. påbyde vedkommende at nedlægge sit hverv inden for en af Erhvervsstyrelsen fastsat frist.</w:t>
      </w:r>
    </w:p>
    <w:p w14:paraId="1255E179" w14:textId="1A308433"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vil medføre, at Erhvervsstyrelsen vil kunne træffe afgørelse om, at der skal ske afsættelse af et givent medlem af den øverste ledelse af en udbyder af tjenesteydelser til virksomheder, hvis Erhvervsstyrelsen bliver bekendt med, at vedkommende ikke lever op til egnethedskravene til ledelsen af en tjenesteudbyder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_Ref232609060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85</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2, nr. 2-4, herunder at et bestyrelsesmedlem, der ikke lever op til disse krav, skal nedlægge sit hverv i den pågældende virksomhed. </w:t>
      </w:r>
    </w:p>
    <w:p w14:paraId="03B79B6E"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Bestemmelsen skal understøtte Erhvervsstyrelsens mulighed for at forhindre, at personer, der ikke anses for at være egnet til at varetage et ledelsesansvar i en udbyder af tjenesteydelser til virksomheder og risikere at underminere det danske værn mod hvidvask og terrorfinansiering.</w:t>
      </w:r>
    </w:p>
    <w:p w14:paraId="35D26E7A" w14:textId="691271BA"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Den foreslåede bestemmelse skal ses i sammenhæng med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2-4, hvorefter et</w:t>
      </w:r>
      <w:r w:rsidRPr="00796736">
        <w:rPr>
          <w:rFonts w:ascii="Times New Roman" w:hAnsi="Times New Roman" w:cs="Times New Roman"/>
          <w:sz w:val="24"/>
          <w:szCs w:val="24"/>
          <w:lang w:eastAsia="da-DK"/>
        </w:rPr>
        <w:t xml:space="preserve"> medlem af den øverste ledelse af en tjenesteudbyder ikke må have indgivet begæring om eller være under rekonstruktionsbehandling, </w:t>
      </w:r>
      <w:r w:rsidRPr="00796736">
        <w:rPr>
          <w:rFonts w:ascii="Times New Roman" w:hAnsi="Times New Roman" w:cs="Times New Roman"/>
          <w:sz w:val="24"/>
          <w:szCs w:val="24"/>
        </w:rPr>
        <w:t xml:space="preserve">konkurs eller gældssanering, jf. 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2, ikke må have et dårligt omdømme eller ikke anses for at handle med hæderlighed og integritet, jf. forslaget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3, samt skal have den nødvendige viden og ekspertise, jf. forslaget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4.</w:t>
      </w:r>
    </w:p>
    <w:p w14:paraId="64E51BE7" w14:textId="7098D810"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For nærmere om indholdet af egnethedskravene henvises til bemærkningerne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2-4.</w:t>
      </w:r>
    </w:p>
    <w:p w14:paraId="446C681A"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medlem af virksomhedens øverste ledelse i en omfattet virksomhed skal forstås i overensstemmelse med hvidvaskforordningen.  </w:t>
      </w:r>
    </w:p>
    <w:p w14:paraId="0DE2789A"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”Øverste ledelse” er defineret i hvidvaskforordningens artikel 2, stk. 1, nr. 40 som værende </w:t>
      </w:r>
      <w:r w:rsidRPr="00796736">
        <w:rPr>
          <w:rFonts w:ascii="Times New Roman" w:hAnsi="Times New Roman" w:cs="Times New Roman"/>
          <w:sz w:val="24"/>
          <w:szCs w:val="24"/>
        </w:rPr>
        <w:t>medlemmerne af ledelsesorganet i dets ledelsesfunktion samt medarbejdere og ansatte med tilstrækkeligt kendskab til den forpligtede enheds risikoeksponering for hvidvask af penge og finansiering af terrorisme og med tilstrækkelig anciennitet til at træffe beslutninger med indvirkning på dets risikoeksponering.</w:t>
      </w:r>
    </w:p>
    <w:p w14:paraId="4439668A"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”Ledelsesorganet i dets ledelsesfunktion” er defineret i hvidvaskforordningens artikel 2, stk. 1, nr. 38 som værende det ledelsesorgan, der er ansvarlig for den forpligtede enheds daglige ledelse.</w:t>
      </w:r>
    </w:p>
    <w:p w14:paraId="691F979E" w14:textId="77777777"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”Ledelsesorgan” er defineret i hvidvaskforordningens artikel 2, stk. 1, nr. 37 som værende det eller de organer i en forpligtet enhed, der er udpeget i overensstemmelse med national ret, og som har beføjelse til at fastlægge den forpligtede enheds strategi, mål og overordnede kurs, og som kontrollerer og overvåger ledelsens beslutningstagning, og dette omfatter de personer, der varetager den faktiske ledelse af den forpligtede enheds virksomhed; hvis der ikke findes sådant organ, er ledelsesorganet den person, der varetager den faktiske ledelse af den forpligtede enheds virksomhed.</w:t>
      </w:r>
    </w:p>
    <w:p w14:paraId="7C088048" w14:textId="77777777" w:rsidR="00AD43B7" w:rsidRPr="00796736" w:rsidRDefault="00AD43B7"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sz w:val="24"/>
          <w:szCs w:val="24"/>
        </w:rPr>
        <w:t>Ovennævnte definitioner indebærer, at begrebet ”øverste ledelse” efter hvidvaskreguleringen ikke kun dækker de formelle ledelsesmedlemmer i virksomheden, herunder medlemmer af virksomhedens direktion, bestyrelse eller tilsynsråd. Ud fra en konkret vurdering af virksomhedens forhold og den pågældende persons stilling og beføjelser vil andre nøglepersoner med væsentlig indflydelse på virksomhedens risikostyring også kunne anses som værende et medlem af virksomhedens øverste ledelse i henhold til hvidvaskreguleringen, selvom vedkommende ikke besidder en egentlig direktørpost eller varetager et bestyrelseshverv. Det vil f.eks. kunne omfatte virksomhedens compliancemedarbejder udpeget i henhold til hvidvaskforordningens artikel 11, stk. 2, såfremt vedkommende har tilstrækkeligt kendskab til risikoeksponeringen og anciennitet til at kunne træffe beslutninger herom.</w:t>
      </w:r>
    </w:p>
    <w:p w14:paraId="6D2E3BF8"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Foranstaltningen udmøntes i praksis ved udstedelsen af et påbud, hvorefter virksomheden eller personen inden for en af Erhvervsstyrelsen angivet frist skal have foretaget afsættelse af det pågældende medlem af den øverste ledelse, eller det pågældende bestyrelsesmedlem inden for en af Erhvervsstyrelsen fastsat frist skal have nedlagt sit hverv.</w:t>
      </w:r>
    </w:p>
    <w:p w14:paraId="21BF9600"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iCs/>
          <w:sz w:val="24"/>
          <w:szCs w:val="24"/>
        </w:rPr>
        <w:t>Inden Erhvervsstyrelsen påbyder virksomheden at afsætte medlem af den øverste ledelse eller et bestyrelsesmedlem at nedlægge sit hverv, skal der i henhold til reglerne i forvaltningsloven foretages en partshøring af virksomheden og af den, som påbuddet retter sig mod.</w:t>
      </w:r>
    </w:p>
    <w:p w14:paraId="4DEA500C" w14:textId="1F8839AF" w:rsidR="00AD43B7" w:rsidRPr="00796736" w:rsidRDefault="00AD43B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forventningen, at virksomheden selv træffer de nødvendige foranstaltninger over for det medlem af virksomhedens øverste ledelse, der ikke længere viser sig at være egnet til at bestride stillingen eller hvervet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2-4.  Erhvervsstyrelsens indgrebsmuligheder efter stk. 2 skal derfor alene anvendes i de tilfælde, hvor virksomheden ikke selv har afsat det pågældende medlem af virksomhedens øverste ledelse eller vedkommende ikke selv har opsagt sin stilling eller nedlagt sit hverv.</w:t>
      </w:r>
    </w:p>
    <w:p w14:paraId="310DB23A" w14:textId="77777777" w:rsidR="00AD43B7" w:rsidRPr="00796736" w:rsidRDefault="00AD43B7" w:rsidP="00A802A5">
      <w:pPr>
        <w:spacing w:line="360" w:lineRule="auto"/>
        <w:rPr>
          <w:rFonts w:ascii="Times New Roman" w:hAnsi="Times New Roman" w:cs="Times New Roman"/>
          <w:sz w:val="24"/>
          <w:szCs w:val="24"/>
        </w:rPr>
      </w:pPr>
    </w:p>
    <w:p w14:paraId="757B3B0D" w14:textId="1C562848" w:rsidR="00AD43B7" w:rsidRPr="00796736" w:rsidRDefault="00AD43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påbud om afsættelse af et medlem af den øverste ledelse, der ikke kan bestride stillingen eller hvervet fordi vedkommende ikke lever op til egnethedskravene i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_Ref232609012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nr. 2-4</w:t>
      </w:r>
      <w:r w:rsidRPr="00796736">
        <w:rPr>
          <w:rFonts w:ascii="Times New Roman" w:eastAsia="Calibri" w:hAnsi="Times New Roman" w:cs="Times New Roman"/>
          <w:sz w:val="24"/>
          <w:szCs w:val="24"/>
        </w:rPr>
        <w:t xml:space="preserve"> vil af Erhvervsstyrelsen kunne iværksættes som en midlertidig foranstaltning, hvorefter vedkommende vil være underlagt et midlertidigt forbud mod at varetage den pågældende stilling eller hverv og således vil kunne indtræde i ledelsen efter en af Erhvervsstyrelsen fastsat karensperiode.</w:t>
      </w:r>
    </w:p>
    <w:p w14:paraId="139555B7" w14:textId="77777777" w:rsidR="00AD43B7" w:rsidRPr="00796736" w:rsidRDefault="00AD43B7" w:rsidP="00A802A5">
      <w:pPr>
        <w:spacing w:line="360" w:lineRule="auto"/>
        <w:rPr>
          <w:rFonts w:ascii="Times New Roman" w:eastAsia="Calibri" w:hAnsi="Times New Roman" w:cs="Times New Roman"/>
          <w:sz w:val="24"/>
          <w:szCs w:val="24"/>
        </w:rPr>
      </w:pPr>
    </w:p>
    <w:p w14:paraId="630607D9" w14:textId="77777777" w:rsidR="00AD43B7" w:rsidRPr="00796736" w:rsidRDefault="00AD43B7"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Erhvervsstyrelsen skal i forbindelse med fastsættelsen af reaktioner i henhold til denne lov, herunder ved anvendelsen af påbud, tage højde for alle relevante omstændigheder, herunder de faktorer, der er opremset i artikel 53, stk. 6, i 6. hvidvaskdirektiv. Dette indebærer blandt andet, at Erhvervsstyrelsen, hvor det er relevant, skal tage højde for overtrædelsens grovhed og varighed samt antallet af gentagelser, ligesom der også vil skulle tages højde for graden af samarbejde med Erhvervsstyrelsen. </w:t>
      </w:r>
    </w:p>
    <w:p w14:paraId="7967FCC6" w14:textId="77777777" w:rsidR="00AD43B7" w:rsidRPr="00796736" w:rsidRDefault="00AD43B7" w:rsidP="00A802A5">
      <w:pPr>
        <w:spacing w:line="360" w:lineRule="auto"/>
        <w:rPr>
          <w:rFonts w:ascii="Times New Roman" w:eastAsia="Calibri" w:hAnsi="Times New Roman" w:cs="Times New Roman"/>
          <w:sz w:val="24"/>
          <w:szCs w:val="24"/>
        </w:rPr>
      </w:pPr>
    </w:p>
    <w:p w14:paraId="25593C2E"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E</w:t>
      </w:r>
      <w:r w:rsidRPr="00796736">
        <w:rPr>
          <w:rFonts w:ascii="Times New Roman" w:eastAsia="Calibri" w:hAnsi="Times New Roman" w:cs="Times New Roman"/>
          <w:iCs/>
          <w:sz w:val="24"/>
          <w:szCs w:val="24"/>
        </w:rPr>
        <w:t>rhvervsstyrelsens reaktioner skal være effektive, stå i rimeligt forhold til overtrædelsen og have afskrækkende virkning.</w:t>
      </w:r>
    </w:p>
    <w:p w14:paraId="6B667B1D"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Erhvervsstyrelsen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73F7D410" w14:textId="77777777" w:rsidR="003D2A25" w:rsidRPr="00D253F0" w:rsidRDefault="003D2A25" w:rsidP="00A802A5">
      <w:pPr>
        <w:spacing w:after="240" w:line="360" w:lineRule="auto"/>
        <w:rPr>
          <w:rFonts w:ascii="Times New Roman" w:eastAsia="Calibri" w:hAnsi="Times New Roman" w:cs="Times New Roman"/>
          <w:iCs/>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058F678C" w14:textId="3E3D380B" w:rsidR="003D2A25" w:rsidRPr="00D253F0" w:rsidRDefault="003D2A25"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iCs/>
          <w:sz w:val="24"/>
          <w:szCs w:val="24"/>
        </w:rPr>
        <w:t xml:space="preserve">Efter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w:t>
      </w:r>
      <w:r w:rsidRPr="00D253F0">
        <w:rPr>
          <w:rFonts w:ascii="Times New Roman" w:eastAsia="Calibri" w:hAnsi="Times New Roman" w:cs="Times New Roman"/>
          <w:iCs/>
          <w:sz w:val="24"/>
          <w:szCs w:val="24"/>
        </w:rPr>
        <w:t xml:space="preserve"> 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Erhvervsstyrelsen kan udstede</w:t>
      </w:r>
      <w:r w:rsidRPr="00D253F0">
        <w:rPr>
          <w:rFonts w:ascii="Times New Roman" w:eastAsia="Calibri" w:hAnsi="Times New Roman" w:cs="Times New Roman"/>
          <w:iCs/>
          <w:sz w:val="24"/>
          <w:szCs w:val="24"/>
        </w:rPr>
        <w:t xml:space="preserve"> 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r w:rsidRPr="00D253F0">
        <w:rPr>
          <w:rFonts w:ascii="Times New Roman" w:eastAsia="Calibri" w:hAnsi="Times New Roman" w:cs="Times New Roman"/>
          <w:sz w:val="24"/>
          <w:szCs w:val="24"/>
        </w:rPr>
        <w:t xml:space="preserve"> </w:t>
      </w:r>
    </w:p>
    <w:p w14:paraId="412B391B"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4,</w:t>
      </w:r>
      <w:r w:rsidRPr="00796736">
        <w:rPr>
          <w:rFonts w:ascii="Times New Roman" w:eastAsia="Calibri" w:hAnsi="Times New Roman" w:cs="Times New Roman"/>
          <w:iCs/>
          <w:sz w:val="24"/>
          <w:szCs w:val="24"/>
        </w:rPr>
        <w:t> at varigheden af påbud meddelt efter stk. 1-3 skal fremgå af påbuddet.</w:t>
      </w:r>
    </w:p>
    <w:p w14:paraId="323A8E96"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foreslåede vil indebære, at varigheden af et påbud meddelt efter stk. 1-3 skal fremgå af selve påbuddet. </w:t>
      </w:r>
    </w:p>
    <w:p w14:paraId="0B7CD8CD" w14:textId="73FAC2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Er et medlem af virksomhedens øverste ledelse dømt for hvidvask af penge, de underliggende lovovertrædelser eller finansiering af terrorisme og derfor ikke lever op til hæderlighedskravene i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_Ref232609012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83</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2, nr. 1 eller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_Ref232609060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85</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kan et påbud ikke tidsbegrænses og vil derfor være permanent. </w:t>
      </w:r>
    </w:p>
    <w:p w14:paraId="4F95EED0" w14:textId="77AC4B69"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Tildeles et påbud som følge af et medlem af virksomhedens øverste ledelse ikke lever op til egnethedskravne i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_Ref232609012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83</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2, nr. 2 eller 3 eller har udvist en sådan adfærd, at der er grund til at antage, at vedkommende ikke varetage hvervet eller stillingen på en forsvarlig måde skal være midlertidigt. </w:t>
      </w:r>
    </w:p>
    <w:p w14:paraId="45F78032"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At påbuddet er midlertidigt betyder, at det skal udstedes for en kortere periode, hvor det er nødvendigt f.eks. for at forhindre hvidvask eller terrorfinansiering at fjerne den pågældende person i en kortere periode. </w:t>
      </w:r>
    </w:p>
    <w:p w14:paraId="42FDE7D0"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Varigheden af påbuddet fastsættes på baggrund af en konkret vurdering af de forhold, der ligger til grund for afgørelsen. Som udgangspunkt kan varigheden fastsættes mellem et og fem år, men særligt alvorlige tilfælde kan varigheden fastsættes til ”indtil videre”. Ved vurderingen af varighedens længde lægger Erhvervsstyrelsen blandt andet vægt på forholdets karakter og grovhed, om der er tale om gentagelsestilfælde, hvor lang tid der er gået siden forholdet, og personens adfærd siden. Gentagelsestilfælde vil have en skærpende betydning for varighedens længde, uanset om de kritisable forhold er af forskellig karakter.</w:t>
      </w:r>
    </w:p>
    <w:p w14:paraId="21B2F4C0"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Som udgangspunkt vil forhold, der ligger mere end ti år tilbage, ikke indgå i vurderingen, medmindre der er tale om særligt alvorlige forhold, gentagelser eller et samlet sagsforløb, hvor ældre forhold indgår sammen med nyere. </w:t>
      </w:r>
    </w:p>
    <w:p w14:paraId="69642996"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Begyndelsestidspunktet for varigheden regnes som udgangspunkt fra datoen for Erhvervsstyrelsens påbud. Hvis påbuddet er begrundet i konkurs, rekonstruktion eller gældssanering, regnes begyndelsestidspunktet fra afslutningen af disse forhold. </w:t>
      </w:r>
    </w:p>
    <w:p w14:paraId="429C5667"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En varighed på fem år vil som udgangspunkt blive fastsat, hvis der ikke er forhold, der taler for en kortere periode, eller hvis forholdenes karakter og omfang tilsiger, at en længere periode er nødvendig. En kortere varighed kan fastsættes, hvis der foreligger formildende omstændigheder, eller hvis forholdet ligger langt tilbage i tid og der ikke er tale om gentagelser.</w:t>
      </w:r>
    </w:p>
    <w:p w14:paraId="02AB9160"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Varigheden kan fastsættes til ”indtil videre”, hvis der er tale om grove forhold eller alvorlige gentagelsestilfælde, der som udgangspunkt ikke ligger mere end ti år tilbage. Dette vil dog kun ske i særligt alvorlige tilfælde, eksempelvis ved, betydelige ledelsesmæssige svigt eller forsætlig overtrædelse af hvidvaskreglerne.</w:t>
      </w:r>
    </w:p>
    <w:p w14:paraId="0AF4CF31"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Overordnet gælder, at de forhold, der begrunder påbuddet, skal have en sådan alvorlig karakter, at det må anses for åbenbart, at hverken Erhvervsstyrelsen eller samfundet kan have tillid til, at den pågældende inden for en overskuelig fremtid vil kunne varetage hvervet som bestyrelsesmedlem eller direktør i en omfattet virksomhed.</w:t>
      </w:r>
    </w:p>
    <w:p w14:paraId="6CBD50EF" w14:textId="5682DDCD"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Erhvervsstyrelsens afgørelse om påbud om afsættelse af en direktør eller bestyrelsesmedlem vil kunne indbringes for Erhvervsankenævnet i overensstemmelse med den foreslåede </w:t>
      </w:r>
      <w:r w:rsidR="00494815" w:rsidRPr="00796736">
        <w:rPr>
          <w:rFonts w:ascii="Times New Roman" w:eastAsia="Calibri" w:hAnsi="Times New Roman" w:cs="Times New Roman"/>
          <w:sz w:val="24"/>
          <w:szCs w:val="24"/>
        </w:rPr>
        <w:fldChar w:fldCharType="begin"/>
      </w:r>
      <w:r w:rsidR="00494815" w:rsidRPr="00796736">
        <w:rPr>
          <w:rFonts w:ascii="Times New Roman" w:eastAsia="Calibri" w:hAnsi="Times New Roman" w:cs="Times New Roman"/>
          <w:sz w:val="24"/>
          <w:szCs w:val="24"/>
        </w:rPr>
        <w:instrText xml:space="preserve"> REF _Ref241677414 \r \h </w:instrText>
      </w:r>
      <w:r w:rsidR="001A2696" w:rsidRPr="00796736">
        <w:rPr>
          <w:rFonts w:ascii="Times New Roman" w:eastAsia="Calibri" w:hAnsi="Times New Roman" w:cs="Times New Roman"/>
          <w:sz w:val="24"/>
          <w:szCs w:val="24"/>
        </w:rPr>
        <w:instrText xml:space="preserve"> \* MERGEFORMAT </w:instrText>
      </w:r>
      <w:r w:rsidR="00494815" w:rsidRPr="00796736">
        <w:rPr>
          <w:rFonts w:ascii="Times New Roman" w:eastAsia="Calibri" w:hAnsi="Times New Roman" w:cs="Times New Roman"/>
          <w:sz w:val="24"/>
          <w:szCs w:val="24"/>
        </w:rPr>
      </w:r>
      <w:r w:rsidR="0049481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132</w:t>
      </w:r>
      <w:r w:rsidR="00494815" w:rsidRPr="00796736">
        <w:rPr>
          <w:rFonts w:ascii="Times New Roman" w:eastAsia="Calibri" w:hAnsi="Times New Roman" w:cs="Times New Roman"/>
          <w:sz w:val="24"/>
          <w:szCs w:val="24"/>
        </w:rPr>
        <w:fldChar w:fldCharType="end"/>
      </w:r>
    </w:p>
    <w:p w14:paraId="35D6D242"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5,</w:t>
      </w:r>
      <w:r w:rsidRPr="00796736">
        <w:rPr>
          <w:rFonts w:ascii="Times New Roman" w:eastAsia="Calibri" w:hAnsi="Times New Roman" w:cs="Times New Roman"/>
          <w:iCs/>
          <w:sz w:val="24"/>
          <w:szCs w:val="24"/>
        </w:rPr>
        <w:t> at Erhvervsstyrelsen kan afregistrere den person, som et påbud efter stk. 2 eller stk. 3 vedrører, fra Det Centrale Virksomhedsregister.</w:t>
      </w:r>
    </w:p>
    <w:p w14:paraId="0D4CF8D5" w14:textId="2B4E9166"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medføre, at hvis et medlem af virksomhedens øverste ledelse, der er registreret som ledelsesmedlem i Det Centrale Virksomhedsregister, ikke kan varetage sin stilling eller hvervet i medfør af lovforslagets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_Ref232609012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83</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2, eller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_Ref232609060 \n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85</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stk. 1, og har modtaget et påbud efter stk. 2 eller stk. 3, vil Erhvervsstyrelsen kunne afregistrere vedkommende fra Det Centrale Virksomhedsregister. </w:t>
      </w:r>
    </w:p>
    <w:p w14:paraId="5CF2C876"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Formålet med bestemmelsen er at understøtte Erhvervsstyrelsens mulighed for effektivt at håndhæve påbud efter stk. 2 eller stk. 3 og adgangen til afregistrering vil være relevant for det tilfælde, at virksomheden mod forventning ikke udviser vilje til at ville afsætte det pågældende ledelsesmedlem som påbudt eller det bestyrelsesmedlem, som har modtaget et påbud, ikke agter at nedlægge sit hverv.</w:t>
      </w:r>
    </w:p>
    <w:p w14:paraId="690142D6"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omfatte personer, der er registreret som ledelsesmedlem i den pågældende virksomhed, herunder i registreringspligtige ledelsesorganer som direktionen, bestyrelse, tilsynsråd eller tilsvarende ledelsesorganer.   </w:t>
      </w:r>
    </w:p>
    <w:p w14:paraId="706E0220"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Adgangen til at afregistrere et relevant ledelsesmedlem vil skulle anvendes diskretionært og forudsætter en vurdering af proportionaliteten af indgrebet under hensyntagen til de mulige implikationer for virksomheden, herunder risiko for tvangsopløsning som følge af manglende lovpligtig ledelse efter blandt andet selskabslovens § 225.</w:t>
      </w:r>
    </w:p>
    <w:p w14:paraId="47548587" w14:textId="77777777" w:rsidR="00AD43B7" w:rsidRPr="00796736"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Erhvervsstyrelsen vil give meddelelse om afregistreringen til både det ledelsesmedlem, som afregistreringen vedrører, og virksomheden, i hvis ledelse, personen er registreret. Der vil være tale om en afgørelse i forvaltningslovens forstand.  </w:t>
      </w:r>
    </w:p>
    <w:p w14:paraId="030648D2" w14:textId="77777777" w:rsidR="003D2A25" w:rsidRDefault="00AD43B7"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Har virksomheden efter afregistreringen ikke den ledelse, der er foreskrevet i relevant lovgivning eller virksomhedens vedtægter, vil dette blive behandlet i henhold til den relevante lovgivning på området.</w:t>
      </w:r>
    </w:p>
    <w:p w14:paraId="10936848" w14:textId="6146168A" w:rsidR="00AD43B7" w:rsidRPr="00796736" w:rsidRDefault="003D2A25" w:rsidP="00A802A5">
      <w:pPr>
        <w:spacing w:after="240" w:line="360" w:lineRule="auto"/>
        <w:rPr>
          <w:rFonts w:ascii="Times New Roman" w:eastAsia="Calibri" w:hAnsi="Times New Roman" w:cs="Times New Roman"/>
          <w:iCs/>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r w:rsidR="00AD43B7" w:rsidRPr="00796736">
        <w:rPr>
          <w:rFonts w:ascii="Times New Roman" w:eastAsia="Calibri" w:hAnsi="Times New Roman" w:cs="Times New Roman"/>
          <w:iCs/>
          <w:sz w:val="24"/>
          <w:szCs w:val="24"/>
        </w:rPr>
        <w:t xml:space="preserve"> </w:t>
      </w:r>
    </w:p>
    <w:p w14:paraId="02145CA4"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6, </w:t>
      </w:r>
      <w:r w:rsidRPr="00796736">
        <w:rPr>
          <w:rFonts w:ascii="Times New Roman" w:eastAsia="Calibri" w:hAnsi="Times New Roman" w:cs="Times New Roman"/>
          <w:iCs/>
          <w:sz w:val="24"/>
          <w:szCs w:val="24"/>
        </w:rPr>
        <w:t xml:space="preserve">at </w:t>
      </w:r>
      <w:r w:rsidRPr="00796736">
        <w:rPr>
          <w:rFonts w:ascii="Times New Roman" w:eastAsia="Times New Roman" w:hAnsi="Times New Roman" w:cs="Times New Roman"/>
          <w:sz w:val="24"/>
          <w:szCs w:val="24"/>
          <w:lang w:eastAsia="da-DK"/>
        </w:rPr>
        <w:t>påbud meddelt efter stk. 2 og stk. 3 kan af virksomheden og den person, som påbuddet vedrører, forlanges indbragt for domstolene. Anmodning herom skal indgives til Erhvervsstyrelsen, inden 4 uger efter at påbuddet er meddelt den pågældende. Anmodningen har ikke opsættende virkning for påbuddet, men retten kan ved kendelse bestemme, at det pågældende medlem af den øverste ledelse under sagens behandling kan opretholde sin stilling eller sit hverv. Erhvervsstyrelsen indbringer sagen for domstolene inden 4 uger efter modtagelse af anmodning herom. Sagen anlægges i den borgerlige retsplejes former.</w:t>
      </w:r>
    </w:p>
    <w:p w14:paraId="4B76CF81" w14:textId="54B91021" w:rsidR="00AD43B7" w:rsidRPr="00796736" w:rsidRDefault="00AD43B7"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Af retssikkerhedsmæssige hensyn er det væsentligt, at både virksomheden og den person, som påbuddet vedrører, har mulighed for at få prøvet Erhvervsstyrelsens afgørelse ved domstolene. Det er Erhvervsstyrelsen, der har ansvaret for at indbringe sagen for domstolene, og dette skal ske inden for en frist på 4 uger efter, at anmodningen er modtaget. Der stilles ikke formkrav til anmodningen, hvilket sikrer en enkel og tilgængelig adgang til domstolsprøvelse.</w:t>
      </w:r>
    </w:p>
    <w:p w14:paraId="28036D05" w14:textId="77777777" w:rsidR="00AD43B7" w:rsidRPr="00796736" w:rsidRDefault="00AD43B7"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Som udgangspunkt tillægges en anmodning om domstolsprøvelse ikke opsættende virkning, da dette vil kunne hindre en løbende og effektiv håndhævelse af kravene om egnethed og hæderlighed for medlemmer af den øverste ledelse. Retten har dog mulighed for, hvis det vurderes relevant at bestemme, at afgørelsen skal tillægges opsættende virkning. Dette sikrer en balance mellem hensynet til effektivt tilsyn og den enkeltes retssikkerhed.</w:t>
      </w:r>
    </w:p>
    <w:p w14:paraId="267A1489"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7, </w:t>
      </w:r>
      <w:r w:rsidRPr="00796736">
        <w:rPr>
          <w:rFonts w:ascii="Times New Roman" w:eastAsia="Calibri" w:hAnsi="Times New Roman" w:cs="Times New Roman"/>
          <w:iCs/>
          <w:sz w:val="24"/>
          <w:szCs w:val="24"/>
        </w:rPr>
        <w:t xml:space="preserve">at </w:t>
      </w:r>
      <w:r w:rsidRPr="00796736">
        <w:rPr>
          <w:rFonts w:ascii="Times New Roman" w:eastAsia="Times New Roman" w:hAnsi="Times New Roman" w:cs="Times New Roman"/>
          <w:sz w:val="24"/>
          <w:szCs w:val="24"/>
          <w:lang w:eastAsia="da-DK"/>
        </w:rPr>
        <w:t>Erhvervsstyrelsen af egen drift eller efter ansøgning kan tilbagekalde et påbud meddelt efter stk. 2 eller stk. 3. Afslår Erhvervsstyrelsen en ansøgning om tilbagekaldelse, kan ansøgeren forlange afslaget indbragt for domstolene. Anmodning herom skal indgives til Erhvervsstyrelsen, inden 4 uger efter at afslaget er meddelt den pågældende. Anmodning om domstolsprøvelse kan dog kun fremsættes, hvis påbuddet ikke er tidsbegrænset, og der er forløbet mindst 5 år fra datoen for udstedelsen af påbuddet, eller mindst 2 år efter at Erhvervsstyrelsens afslag på tilbagekaldelse er stadfæstet ved dom</w:t>
      </w:r>
      <w:r w:rsidRPr="00796736">
        <w:rPr>
          <w:rFonts w:ascii="Times New Roman" w:hAnsi="Times New Roman" w:cs="Times New Roman"/>
          <w:sz w:val="24"/>
          <w:szCs w:val="24"/>
          <w:lang w:eastAsia="da-DK"/>
        </w:rPr>
        <w:t>.</w:t>
      </w:r>
    </w:p>
    <w:p w14:paraId="2BF212BC" w14:textId="7D560227" w:rsidR="00AD43B7" w:rsidRDefault="00AD43B7"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sikrer, at Erhvervsstyrelsen til enhver tid kan tilbagekalde et påbud, hvis forholdene ændrer sig, eller hvis der foreligger nye oplysninger, der taler for, at påbuddet ikke længere bør opretholdes med den fastsatte varighed. En person, der har modtaget et påbud, kan således ansøge Erhvervsstyrelsen om at få påbuddet tilbagekaldt. Hvis Erhvervsstyrelsen afslår ansøgningen, kan ansøgeren forlange, at afslaget indbringes for domstolene. Dette skal ske ved, at ansøgeren indgiver anmodning til Erhvervsstyrelsen inden 4 uger efter, at afslaget er meddelt.</w:t>
      </w:r>
    </w:p>
    <w:p w14:paraId="0DC01F2B" w14:textId="59122A3F" w:rsidR="003D2A25" w:rsidRPr="00796736" w:rsidRDefault="003D2A25" w:rsidP="00A802A5">
      <w:pPr>
        <w:spacing w:after="240" w:line="360" w:lineRule="auto"/>
        <w:rPr>
          <w:rFonts w:ascii="Times New Roman" w:eastAsia="Times New Roman" w:hAnsi="Times New Roman" w:cs="Times New Roman"/>
          <w:sz w:val="24"/>
          <w:szCs w:val="24"/>
          <w:lang w:eastAsia="da-DK"/>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00C58760" w14:textId="77777777" w:rsidR="00AD43B7" w:rsidRPr="00796736" w:rsidRDefault="00AD43B7"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er en betingelse for at kunne kræve domstolsprøvelse af et afslag på tilbagekaldelse, at påbuddets varighed ikke er tidsbegrænset, og at der er forløbet mindst 5 år fra datoen for udstedelsen af påbuddet, eller mindst 2 år efter at Erhvervsstyrelsens afslag på tilbagekaldelse er stadfæstet ved dom. Begrænsningerne har kun betydning for muligheden for at kræve sagen indbragt for domstolene af Erhvervsstyrelsen. En person, som har modtaget et afslag, vil til enhver tid have mulighed for selv at anlægge sag ved domstolene.</w:t>
      </w:r>
    </w:p>
    <w:p w14:paraId="6463894B" w14:textId="77777777" w:rsidR="000F5B70" w:rsidRPr="00796736" w:rsidRDefault="000F5B70" w:rsidP="00A802A5">
      <w:pPr>
        <w:spacing w:after="240" w:line="360" w:lineRule="auto"/>
        <w:rPr>
          <w:rFonts w:ascii="Times New Roman" w:eastAsia="Calibri" w:hAnsi="Times New Roman" w:cs="Times New Roman"/>
          <w:sz w:val="24"/>
          <w:szCs w:val="24"/>
        </w:rPr>
      </w:pPr>
    </w:p>
    <w:p w14:paraId="2241C7B8" w14:textId="53C03310" w:rsidR="000F5B70" w:rsidRPr="00796736" w:rsidRDefault="000F5B70" w:rsidP="00A802A5">
      <w:pPr>
        <w:pStyle w:val="Undertitel"/>
      </w:pPr>
      <w:bookmarkStart w:id="2128" w:name="_Toc232109415"/>
      <w:bookmarkStart w:id="2129" w:name="_Toc244879386"/>
      <w:bookmarkStart w:id="2130" w:name="_Toc244880911"/>
      <w:r w:rsidRPr="00796736">
        <w:t xml:space="preserve">Til </w:t>
      </w:r>
      <w:bookmarkEnd w:id="2128"/>
      <w:r w:rsidR="00C86CFF" w:rsidRPr="00796736">
        <w:fldChar w:fldCharType="begin"/>
      </w:r>
      <w:r w:rsidR="00C86CFF" w:rsidRPr="00796736">
        <w:instrText xml:space="preserve"> REF _Ref232608920 \r \h </w:instrText>
      </w:r>
      <w:r w:rsidR="00967618" w:rsidRPr="00796736">
        <w:instrText xml:space="preserve"> \* MERGEFORMAT </w:instrText>
      </w:r>
      <w:r w:rsidR="00C86CFF" w:rsidRPr="00796736">
        <w:fldChar w:fldCharType="separate"/>
      </w:r>
      <w:r w:rsidR="008F29E5">
        <w:t>§ 90</w:t>
      </w:r>
      <w:bookmarkEnd w:id="2129"/>
      <w:bookmarkEnd w:id="2130"/>
      <w:r w:rsidR="00C86CFF" w:rsidRPr="00796736">
        <w:fldChar w:fldCharType="end"/>
      </w:r>
      <w:r w:rsidR="00564FB5" w:rsidRPr="00796736">
        <w:t xml:space="preserve"> </w:t>
      </w:r>
    </w:p>
    <w:p w14:paraId="7AF47932" w14:textId="77777777" w:rsidR="00564FB5" w:rsidRPr="00796736" w:rsidRDefault="00564FB5"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fremgår af § 57, stk. 2 i den gældende hvidvasklov at medlemmer af den øverste og daglige ledelse og reelle ejere af virksomheder samt personer omfattet af § 1, stk. 1, nr. 16 og 21, henholdsvis bogholdere og skatterådgiver mv. og kunsthandlere, ikke må være dømt for et strafbart forhold, der begrunder en nærliggende fare for misbrug af den pågældendes stilling eller kontrollerende indflydelse. </w:t>
      </w:r>
    </w:p>
    <w:p w14:paraId="75C32D68"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revisorlovens § 3, stk. 1, at Erhvervsstyrelsen kan godkende en person som statsautoriseret revisor, hvis vedkommende opfylder betingelserne i bestemmelsens nr. 1 – 7. Det følger af revisorlovens § 5, stk. 2, at godkendelse blandt andet kan nægtes under de i straffelovens § 78, stk. 2, nævnte omstændigheder eller hvis den pågældende har udvist en sådan adfærd, at der er grund til at antage, at den pågældende ikke vil kunne varetage opgaven som offentlighedens tillidsrepræsentant på forsvarlig måde.</w:t>
      </w:r>
    </w:p>
    <w:p w14:paraId="5BB1D2CF" w14:textId="002CB898" w:rsidR="00AD43B7" w:rsidRPr="00796736" w:rsidRDefault="00AD43B7" w:rsidP="00A802A5">
      <w:pPr>
        <w:spacing w:after="240" w:line="360" w:lineRule="auto"/>
        <w:rPr>
          <w:rFonts w:ascii="Times New Roman" w:hAnsi="Times New Roman" w:cs="Times New Roman"/>
          <w:color w:val="212529"/>
          <w:sz w:val="24"/>
          <w:szCs w:val="24"/>
        </w:rPr>
      </w:pPr>
      <w:r w:rsidRPr="00796736">
        <w:rPr>
          <w:rFonts w:ascii="Times New Roman" w:eastAsia="Calibri" w:hAnsi="Times New Roman" w:cs="Times New Roman"/>
          <w:sz w:val="24"/>
          <w:szCs w:val="24"/>
        </w:rPr>
        <w:t>Det følger af lov om formidling af fast ejendoms § 5, stk. 1-2, at Erhvervsstyrelsen fører et offentligt register over godkendte ejendomsmæglere m.v., og at en person kan optages i registeret, hvis vedkommende opfylder betingelserne i stk. 2 nr. 1-3. Det følger af lov om formidling af fast ejendoms § 6, stk. 2, at Erhvervsstyrelsen blandt andet kan nægte godkendelse under de omstændigheder, der er nævnt i straffelovens § 78, stk. 2.</w:t>
      </w:r>
    </w:p>
    <w:p w14:paraId="4FF13BEB"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straffelovens § 78, stk. 2, at den, der er dømt for strafbart forhold, kan udelukkes fra at udøve virksomhed, som kræver en særlig offentlig autorisation eller godkendelse, såfremt det udviste forhold begrunder en nærliggende fare for misbrug af stillingen eller hvervet.</w:t>
      </w:r>
    </w:p>
    <w:p w14:paraId="7B791481" w14:textId="6F14A3ED"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følger af straffelovens § 79, stk. 1, at den, som udøver en af de i § 78, stk. 2, omhandlede virksomheder, kan ved dom for strafbart forhold frakendes retten til fortsat at udøve den pågældende virksomhed eller til at udøve den under visse former, såfremt det udviste forhold begrunder en nærliggende fare for misbrug af stillingen. Det samme gælder efter straffelovens § 79, stk. 2 for udøvelse af anden virksomhed, når særlige omstændigheder taler derfor. Dette indebærer, at der kan ske frakendelse af retten til at deltage i ledelsen af en erhvervsvirksomhed her i landet eller i udlandet uden at hæfte personligt og ubegrænset for virksomhedens forpligtelser.</w:t>
      </w:r>
    </w:p>
    <w:p w14:paraId="65E41B34" w14:textId="09B10915" w:rsidR="00564FB5" w:rsidRPr="00796736" w:rsidRDefault="00564FB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60 i den gældende hvidvasklov indeholder bemyndigelse til, at Erhvervsstyrelsen kan påbyde virksomheder og personer omfattet af tilsynet inden for en af styrelsen fastsat frist at foretage de nødvendige foranstaltninger i tilfælde af overtrædelse af bestemmelser i hvidvaskloven, de regler, der er fastsat i medfør heraf, eller forordninger indeholdende regler om finansielle sanktioner mod lande, personer, grupper, juridiske enheder, eller organer.</w:t>
      </w:r>
    </w:p>
    <w:p w14:paraId="1751C868" w14:textId="127DB3A6"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 indeholder i dag ikke en bestemmelse, der giver Erhvervsstyrelsen mulighed for </w:t>
      </w:r>
      <w:r w:rsidRPr="00796736" w:rsidDel="004A5C74">
        <w:rPr>
          <w:rFonts w:ascii="Times New Roman" w:hAnsi="Times New Roman" w:cs="Times New Roman"/>
          <w:sz w:val="24"/>
          <w:szCs w:val="24"/>
        </w:rPr>
        <w:t xml:space="preserve">at </w:t>
      </w:r>
      <w:r w:rsidRPr="00796736">
        <w:rPr>
          <w:rFonts w:ascii="Times New Roman" w:hAnsi="Times New Roman" w:cs="Times New Roman"/>
          <w:sz w:val="24"/>
          <w:szCs w:val="24"/>
        </w:rPr>
        <w:t xml:space="preserve">påbyde en reel ejer, der er dømt for hvidvask, de underliggende lovovertrædelser eller terrorfinansiering at ophøre med at udøve kontrol, herunder afhænde sine andele i en forpligtet enhed. </w:t>
      </w:r>
      <w:r w:rsidRPr="00796736">
        <w:rPr>
          <w:rFonts w:ascii="Times New Roman" w:eastAsia="Calibri" w:hAnsi="Times New Roman" w:cs="Times New Roman"/>
          <w:sz w:val="24"/>
          <w:szCs w:val="24"/>
        </w:rPr>
        <w:t xml:space="preserve">Bestemmelsen er derfor ny og skal ses i sammenhæng med de foreslåede bestemmelser i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_Ref232608940 \n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91</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og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_Ref232608991 \n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92</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w:t>
      </w:r>
    </w:p>
    <w:p w14:paraId="4BBC73EB" w14:textId="6B89F02B"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eastAsia="Calibri" w:hAnsi="Times New Roman" w:cs="Times New Roman"/>
          <w:iCs/>
          <w:sz w:val="24"/>
          <w:szCs w:val="24"/>
        </w:rPr>
        <w:fldChar w:fldCharType="begin"/>
      </w:r>
      <w:r w:rsidRPr="00796736">
        <w:rPr>
          <w:rFonts w:ascii="Times New Roman" w:hAnsi="Times New Roman" w:cs="Times New Roman"/>
          <w:sz w:val="24"/>
          <w:szCs w:val="24"/>
        </w:rPr>
        <w:instrText xml:space="preserve"> REF _Ref232608920 \n \h </w:instrText>
      </w:r>
      <w:r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hAnsi="Times New Roman" w:cs="Times New Roman"/>
          <w:sz w:val="24"/>
          <w:szCs w:val="24"/>
        </w:rPr>
        <w:t>§ 90</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w:t>
      </w:r>
      <w:r w:rsidRPr="00796736">
        <w:rPr>
          <w:rFonts w:ascii="Times New Roman" w:hAnsi="Times New Roman" w:cs="Times New Roman"/>
          <w:sz w:val="24"/>
          <w:szCs w:val="24"/>
        </w:rPr>
        <w:t>indeholder bemyndigelse til, at Erhvervsstyrelsen kan træffe afgørelse om, at en reel ejer af en virksomhed skal ophøre med at udøve kontrol, herunder gennem afhændelse af sine ejerandele, hvis personen er dømt for hvidvask af penge, de underliggende lovovertrædelser eller terrorfinansiering.</w:t>
      </w:r>
    </w:p>
    <w:p w14:paraId="23AFBD50" w14:textId="77777777" w:rsidR="00C1561B" w:rsidRPr="00796736" w:rsidRDefault="00C1561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w:t>
      </w:r>
      <w:r w:rsidRPr="00796736" w:rsidDel="00B84029">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implementerer artikel 6, stk. 2, artikel 6, stk. 5, </w:t>
      </w:r>
      <w:r w:rsidRPr="00796736">
        <w:rPr>
          <w:rFonts w:ascii="Times New Roman" w:eastAsia="Calibri" w:hAnsi="Times New Roman" w:cs="Times New Roman"/>
          <w:iCs/>
          <w:sz w:val="24"/>
          <w:szCs w:val="24"/>
        </w:rPr>
        <w:t xml:space="preserve">artikel 37, stk. 6, litra b, </w:t>
      </w:r>
      <w:r w:rsidRPr="00796736">
        <w:rPr>
          <w:rFonts w:ascii="Times New Roman" w:eastAsia="Calibri" w:hAnsi="Times New Roman" w:cs="Times New Roman"/>
          <w:sz w:val="24"/>
          <w:szCs w:val="24"/>
        </w:rPr>
        <w:t>artikel</w:t>
      </w:r>
      <w:r w:rsidRPr="00796736">
        <w:rPr>
          <w:rFonts w:ascii="Times New Roman" w:eastAsia="Calibri" w:hAnsi="Times New Roman" w:cs="Times New Roman"/>
          <w:iCs/>
          <w:sz w:val="24"/>
          <w:szCs w:val="24"/>
        </w:rPr>
        <w:t xml:space="preserve"> 53, stk. 2, og stk. 6, og </w:t>
      </w:r>
      <w:r w:rsidRPr="00796736">
        <w:rPr>
          <w:rFonts w:ascii="Times New Roman" w:eastAsia="Calibri" w:hAnsi="Times New Roman" w:cs="Times New Roman"/>
          <w:sz w:val="24"/>
          <w:szCs w:val="24"/>
        </w:rPr>
        <w:t>artikel 56, stk. 2, litra g, og stk. 4.</w:t>
      </w:r>
    </w:p>
    <w:p w14:paraId="20EB37AF" w14:textId="28DEF4A5"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i</w:t>
      </w:r>
      <w:r w:rsidRPr="00796736">
        <w:rPr>
          <w:rFonts w:ascii="Times New Roman" w:eastAsia="Calibri" w:hAnsi="Times New Roman" w:cs="Times New Roman"/>
          <w:i/>
          <w:iCs/>
          <w:sz w:val="24"/>
          <w:szCs w:val="24"/>
        </w:rPr>
        <w:t xml:space="preserve"> stk. 1,</w:t>
      </w:r>
      <w:r w:rsidRPr="00796736">
        <w:rPr>
          <w:rFonts w:ascii="Times New Roman" w:eastAsia="Calibri" w:hAnsi="Times New Roman" w:cs="Times New Roman"/>
          <w:sz w:val="24"/>
          <w:szCs w:val="24"/>
        </w:rPr>
        <w:t xml:space="preserve"> at Erhvervsstyrelsen kan påbyde en reel ejer af en virksomhed, som er omfattet af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_Ref236730892 \r \h </w:instrText>
      </w:r>
      <w:r w:rsidR="001A2696"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79</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at ophøre med at udøve kontrol med den pågældende virksomhed, herunder afhænde sine ejerandele helt eller delvist, inden for en frist fastsat af Erhvervsstyrelsen, såfremt den pågældende er dømt for hvidvask af penge, de underliggende lovovertrædelser eller finansiering af terrorisme. </w:t>
      </w:r>
    </w:p>
    <w:p w14:paraId="7AC3F828"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medføre, at Erhvervsstyrelsen kan påbyde dømte reelle ejere at ophøre med at udøve kontrol i forpligtede enheder, der er underlagt Erhvervsstyrelsens tilsyn, herunder ved hel eller delvis afhændelse af sine ejerandele. </w:t>
      </w:r>
    </w:p>
    <w:p w14:paraId="57A509E3"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skal understøtte Erhvervsstyrelsens muligheder for at forhindre, at kriminelle misbruger en forpligtet enhed til at udføre kriminelle handlinger eller underminere det danske værn mod hvidvask og terrorfinansiering. </w:t>
      </w:r>
    </w:p>
    <w:p w14:paraId="27CBFC91" w14:textId="1A17EDF5" w:rsidR="00AD43B7" w:rsidRPr="00796736" w:rsidRDefault="00AD43B7"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skal ses i sammenhæng med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_Ref233022553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nr. 1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_Ref240548500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hvorefter en reel ejer af en omfattet virksomhed ikke må en person, der er dømt for hvidvask af penge, de underliggende lovovertrædelser eller finansiering af terrorisme.  </w:t>
      </w:r>
    </w:p>
    <w:p w14:paraId="04F6DBE8" w14:textId="6B91F11D"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Før Erhvervsstyrelsen kan udstede påbud</w:t>
      </w:r>
      <w:r w:rsidR="003D2A25">
        <w:rPr>
          <w:rFonts w:ascii="Times New Roman" w:eastAsia="Calibri" w:hAnsi="Times New Roman" w:cs="Times New Roman"/>
          <w:sz w:val="24"/>
          <w:szCs w:val="24"/>
        </w:rPr>
        <w:t>det</w:t>
      </w:r>
      <w:r w:rsidRPr="00796736">
        <w:rPr>
          <w:rFonts w:ascii="Times New Roman" w:eastAsia="Calibri" w:hAnsi="Times New Roman" w:cs="Times New Roman"/>
          <w:sz w:val="24"/>
          <w:szCs w:val="24"/>
        </w:rPr>
        <w:t xml:space="preserve">, skal den reelle ejer være dømt for hvidvask, de underliggende lovovertrædelser eller terrorfinansiering. </w:t>
      </w:r>
    </w:p>
    <w:p w14:paraId="60531922"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er en forudsætning, at det strafbare forhold skal være fastslået ved endelig dom. Det pådømte strafbare forhold skal være af en sådan karakter, at det vurderes at have betydning for personens hæderlighed som reel ejer eller kontrollerende person, herunder at forholdet</w:t>
      </w:r>
      <w:r w:rsidRPr="00796736">
        <w:rPr>
          <w:rFonts w:ascii="Times New Roman" w:hAnsi="Times New Roman" w:cs="Times New Roman"/>
          <w:sz w:val="24"/>
          <w:szCs w:val="24"/>
          <w:lang w:eastAsia="da-DK"/>
        </w:rPr>
        <w:t xml:space="preserve"> begrunder en betydelig </w:t>
      </w:r>
      <w:r w:rsidRPr="00796736">
        <w:rPr>
          <w:rFonts w:ascii="Times New Roman" w:eastAsia="Calibri" w:hAnsi="Times New Roman" w:cs="Times New Roman"/>
          <w:sz w:val="24"/>
          <w:szCs w:val="24"/>
        </w:rPr>
        <w:t xml:space="preserve">risiko for </w:t>
      </w:r>
      <w:r w:rsidRPr="00796736">
        <w:rPr>
          <w:rFonts w:ascii="Times New Roman" w:hAnsi="Times New Roman" w:cs="Times New Roman"/>
          <w:sz w:val="24"/>
          <w:szCs w:val="24"/>
          <w:lang w:eastAsia="da-DK"/>
        </w:rPr>
        <w:t>nærliggende fare for misbrug af den reelle ejers kontrollerende indflydelse.</w:t>
      </w:r>
    </w:p>
    <w:p w14:paraId="6EF808B0" w14:textId="77777777" w:rsidR="00AD43B7" w:rsidRPr="00796736" w:rsidRDefault="00AD43B7" w:rsidP="00A802A5">
      <w:pPr>
        <w:spacing w:after="240"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Et relevant strafbart forhold pådømt i udlandet vil på tilsvarende vis kunne lægges til grund for anvendelsen af bestemmelsen.</w:t>
      </w:r>
    </w:p>
    <w:p w14:paraId="3C7231E3"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En reel ejer skal forstås i overensstemmelse med definitionen i hvidvaskforordningens artikel 2, stk. 1, nr. 28, hvorefter en reel ejer skal forstås som en fysisk person, der i sidste ende ejer eller kontrollerer en juridisk enhed eller en viljebestemt trust eller et lignende juridisk arrangement. Identifikation af reelle ejere er derudover nærmere reguleret i hvidvaskforordningens kapitel 4. Heraf følger, at der skal være tale om en fysisk person, der direkte eller indirekte ejer eller kontrollerer mindst 25 pct. af kapitalandelen, ejerandelen, stemmerettighederne eller andre selskabsbeføjelser af en forpligtet enhed eller som på anden måde direkte eller indirekte kontrollerer virksomheden. </w:t>
      </w:r>
    </w:p>
    <w:p w14:paraId="03F0A550"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omfatter også personer, der udøver kontrol på anden vis, eksempelvis gennem aftaler, stemmeaftaler eller andre arrangementer, der reelt giver kontrol over virksomheden, uanset om dette sker via ejerandele eller ej. </w:t>
      </w:r>
    </w:p>
    <w:p w14:paraId="2188AD0C" w14:textId="377341DB" w:rsidR="00AD43B7" w:rsidRPr="00796736" w:rsidRDefault="00AD43B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at ”ophøre med at udøve kontrol” forstås, at den pågældende fysiske eller juridiske person ikke længere direkte eller indirekte har mulighed for at udøve bestemmende indflydelse over virksomheden. Med det foreslåede krav om ophør af kontrol, skal personen nedbringe sin ejerandel eller sine stemmerettigheder til et sådant niveau, at personen ikke længere anses for at være reel ejer af virksomheden. På den måde sikres det, at virksomheden ikke kontrolleres af en person, der er dømt for hvidvask, de underliggende forbrydelser eller finansiering af terror.</w:t>
      </w:r>
    </w:p>
    <w:p w14:paraId="61CF7FE1" w14:textId="77777777" w:rsidR="00AD43B7" w:rsidRPr="00796736" w:rsidRDefault="00AD43B7" w:rsidP="00A802A5">
      <w:pPr>
        <w:spacing w:line="360" w:lineRule="auto"/>
        <w:rPr>
          <w:rFonts w:ascii="Times New Roman" w:hAnsi="Times New Roman" w:cs="Times New Roman"/>
          <w:sz w:val="24"/>
          <w:szCs w:val="24"/>
        </w:rPr>
      </w:pPr>
    </w:p>
    <w:p w14:paraId="50625163" w14:textId="77777777" w:rsidR="00AD43B7" w:rsidRPr="00796736" w:rsidRDefault="00AD43B7"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at ”afhænde ejerandele” forstås, at den pågældende person kan ophøre med at udøve kontrol ved at overdrage, sælge eller på anden måde afgive ejerskabet til sine andele i den forpligtede enhed, således at personen efter afhændelse ikke længere har bestemmende indflydelse på den forpligtede enhed. Afhændelsen skal ske på en måde, der reelt og varigt bringer det reelle ejerskab eller kontrollen til ophør, og således at den pågældende ikke længere har bestemmende indflydelse, direkte eller indirekte over den forpligtede enhed. Det er afgørende, at afhændelsen er reel og ikke blot formel, og at den pågældende ikke bevarer nogen form for bestemmende indflydelse over virksomheden. </w:t>
      </w:r>
    </w:p>
    <w:p w14:paraId="192D1F4D" w14:textId="77777777" w:rsidR="00AD43B7" w:rsidRPr="00796736" w:rsidRDefault="00AD43B7" w:rsidP="00A802A5">
      <w:pPr>
        <w:spacing w:line="360" w:lineRule="auto"/>
        <w:rPr>
          <w:rFonts w:ascii="Times New Roman" w:eastAsia="Calibri" w:hAnsi="Times New Roman" w:cs="Times New Roman"/>
          <w:sz w:val="24"/>
          <w:szCs w:val="24"/>
        </w:rPr>
      </w:pPr>
    </w:p>
    <w:p w14:paraId="57184DD6"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Formålet med påbuddet er at sikre, at personer, der ikke længere opfylder kravene til hæderlighed for reelle ejere, ikke skal kunne udøve væsentlig indflydelse på forpligtede enheder. Bestemmelsen skal supplere de eksisterende regler om hæderlighed for reelle ejere og ledelse i forpligtede enheder. Den giver Erhvervsstyrelsen et konkret værktøj til at gribe ind over for reelle ejere eller personer med kontrollerende indflydelse, der ikke længere opfylder kravene, og sikrer dermed, at virksomheder kan drives på et forsvarligt grundlag. Bestemmelsen er et væsentligt element i Erhvervsstyrelsens beføjelser til at sikre, at kun hæderlige personer kan udøve væsentlig indflydelse på forpligtede enheder. Den er udformet bredt for at omfatte både direkte og indirekte ejerskab og kontrol, og den tager højde for de forskellige måder, hvorpå kontrol kan udøves i praksis.</w:t>
      </w:r>
    </w:p>
    <w:p w14:paraId="5F6BA0C7" w14:textId="77777777"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Påbud om afhændelse af ejerandele er en indgribende foranstaltning i forhold til den fysiske person og i forhold til den forpligtede enhed. Erhvervsstyrelsen skal derfor foretage en proportionalitetsvurdering efter de almindelige forvaltningsretlige principper, herunder en vurdering af nødvendighed og forholdsmæssighed. I denne vurdering skal det inddrages, hvilket strafferetligt forhold, den pågældende er dømt for og hvornår den pågældende er dømt.</w:t>
      </w:r>
    </w:p>
    <w:p w14:paraId="08BBE824" w14:textId="77777777" w:rsidR="00AD43B7"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Erhvervsstyrelsen skal vurdere, at den risiko, der er ved at en dømt reel ejer har indflydelse på en forpligtet enhed ikke kan afværges ved brug af en af styrelsens andre reaktionsmuligheder.</w:t>
      </w:r>
    </w:p>
    <w:p w14:paraId="27606616" w14:textId="77777777" w:rsidR="003D2A25" w:rsidRDefault="003D2A25" w:rsidP="00A802A5">
      <w:pPr>
        <w:spacing w:after="240" w:line="360" w:lineRule="auto"/>
        <w:rPr>
          <w:rFonts w:ascii="Times New Roman"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6F90F6FE" w14:textId="7A2ECBE0" w:rsidR="003D2A25" w:rsidRPr="003D2A25" w:rsidRDefault="003D2A25" w:rsidP="00A802A5">
      <w:pPr>
        <w:spacing w:after="240" w:line="360" w:lineRule="auto"/>
        <w:rPr>
          <w:rFonts w:ascii="Times New Roman" w:eastAsia="Times New Roman" w:hAnsi="Times New Roman" w:cs="Times New Roman"/>
          <w:sz w:val="24"/>
          <w:szCs w:val="24"/>
          <w:lang w:eastAsia="da-DK"/>
        </w:rPr>
      </w:pPr>
      <w:r w:rsidRPr="00D253F0">
        <w:rPr>
          <w:rFonts w:ascii="Times New Roman" w:eastAsia="Calibri" w:hAnsi="Times New Roman" w:cs="Times New Roman"/>
          <w:iCs/>
          <w:sz w:val="24"/>
          <w:szCs w:val="24"/>
        </w:rPr>
        <w:t xml:space="preserve">Efter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w:t>
      </w:r>
      <w:r w:rsidRPr="00D253F0">
        <w:rPr>
          <w:rFonts w:ascii="Times New Roman" w:eastAsia="Calibri" w:hAnsi="Times New Roman" w:cs="Times New Roman"/>
          <w:iCs/>
          <w:sz w:val="24"/>
          <w:szCs w:val="24"/>
        </w:rPr>
        <w:t xml:space="preserve"> 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Erhvervsstyrelsen kan udstede</w:t>
      </w:r>
      <w:r w:rsidRPr="00D253F0">
        <w:rPr>
          <w:rFonts w:ascii="Times New Roman" w:eastAsia="Calibri" w:hAnsi="Times New Roman" w:cs="Times New Roman"/>
          <w:iCs/>
          <w:sz w:val="24"/>
          <w:szCs w:val="24"/>
        </w:rPr>
        <w:t xml:space="preserve"> 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p>
    <w:p w14:paraId="2EB02CDA" w14:textId="52D43F3C" w:rsidR="00AD43B7" w:rsidRPr="00796736" w:rsidRDefault="00AD43B7"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bemærkes, at en reel ejer kan indbringe Erhvervsstyrelsens afgørelse om påbud om at ophøre med at udøve kontrol for Erhvervsankenævnet. Det følger af den almindelige klageadgang i hvidvasklovens </w:t>
      </w:r>
      <w:r w:rsidR="003D2A25">
        <w:rPr>
          <w:rFonts w:ascii="Times New Roman" w:eastAsia="Calibri" w:hAnsi="Times New Roman" w:cs="Times New Roman"/>
          <w:sz w:val="24"/>
          <w:szCs w:val="24"/>
        </w:rPr>
        <w:fldChar w:fldCharType="begin"/>
      </w:r>
      <w:r w:rsidR="003D2A25">
        <w:rPr>
          <w:rFonts w:ascii="Times New Roman" w:eastAsia="Calibri" w:hAnsi="Times New Roman" w:cs="Times New Roman"/>
          <w:sz w:val="24"/>
          <w:szCs w:val="24"/>
        </w:rPr>
        <w:instrText xml:space="preserve"> REF _Ref241677414 \r \h </w:instrText>
      </w:r>
      <w:r w:rsidR="00CB248D">
        <w:rPr>
          <w:rFonts w:ascii="Times New Roman" w:eastAsia="Calibri" w:hAnsi="Times New Roman" w:cs="Times New Roman"/>
          <w:sz w:val="24"/>
          <w:szCs w:val="24"/>
        </w:rPr>
        <w:instrText xml:space="preserve"> \* MERGEFORMAT </w:instrText>
      </w:r>
      <w:r w:rsidR="003D2A25">
        <w:rPr>
          <w:rFonts w:ascii="Times New Roman" w:eastAsia="Calibri" w:hAnsi="Times New Roman" w:cs="Times New Roman"/>
          <w:sz w:val="24"/>
          <w:szCs w:val="24"/>
        </w:rPr>
      </w:r>
      <w:r w:rsidR="003D2A25">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132</w:t>
      </w:r>
      <w:r w:rsidR="003D2A25">
        <w:rPr>
          <w:rFonts w:ascii="Times New Roman" w:eastAsia="Calibri" w:hAnsi="Times New Roman" w:cs="Times New Roman"/>
          <w:sz w:val="24"/>
          <w:szCs w:val="24"/>
        </w:rPr>
        <w:fldChar w:fldCharType="end"/>
      </w:r>
      <w:r w:rsidR="00065BBB" w:rsidRPr="00796736">
        <w:rPr>
          <w:rFonts w:ascii="Times New Roman" w:eastAsia="Calibri" w:hAnsi="Times New Roman" w:cs="Times New Roman"/>
          <w:sz w:val="24"/>
          <w:szCs w:val="24"/>
        </w:rPr>
        <w:t xml:space="preserve">. </w:t>
      </w:r>
    </w:p>
    <w:p w14:paraId="7F9E4BC7"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w:t>
      </w:r>
      <w:r w:rsidRPr="00796736">
        <w:rPr>
          <w:rFonts w:ascii="Times New Roman" w:eastAsia="Calibri" w:hAnsi="Times New Roman" w:cs="Times New Roman"/>
          <w:sz w:val="24"/>
          <w:szCs w:val="24"/>
        </w:rPr>
        <w:t xml:space="preserve"> at varigheden af påbuddet meddelt efter stk. 1, skal fremgå af afgørelsen. </w:t>
      </w:r>
    </w:p>
    <w:p w14:paraId="76CE1D42" w14:textId="77777777" w:rsidR="00065BBB" w:rsidRPr="00796736" w:rsidRDefault="00065BBB" w:rsidP="00A802A5">
      <w:pPr>
        <w:spacing w:after="240" w:line="360" w:lineRule="auto"/>
        <w:rPr>
          <w:rFonts w:ascii="Times New Roman" w:eastAsia="Times New Roman" w:hAnsi="Times New Roman" w:cs="Times New Roman"/>
          <w:sz w:val="24"/>
          <w:szCs w:val="24"/>
        </w:rPr>
      </w:pPr>
      <w:r w:rsidRPr="00796736">
        <w:rPr>
          <w:rFonts w:ascii="Times New Roman" w:eastAsia="Calibri" w:hAnsi="Times New Roman" w:cs="Times New Roman"/>
          <w:sz w:val="24"/>
          <w:szCs w:val="24"/>
        </w:rPr>
        <w:t xml:space="preserve">Den foreslåede bestemmelse vil medføre, at det af Erhvervsstyrelsens afgørelse om meddelelse af et påbud efter stk. 1 skal fremgå, hvor </w:t>
      </w:r>
      <w:r w:rsidRPr="00796736">
        <w:rPr>
          <w:rFonts w:ascii="Times New Roman" w:eastAsia="Times New Roman" w:hAnsi="Times New Roman" w:cs="Times New Roman"/>
          <w:sz w:val="24"/>
          <w:szCs w:val="24"/>
        </w:rPr>
        <w:t xml:space="preserve">længe den pågældende person ikke må være reel ejer af en forpligtet enhed. </w:t>
      </w:r>
    </w:p>
    <w:p w14:paraId="5C455281" w14:textId="77777777" w:rsidR="00065BBB" w:rsidRPr="00796736" w:rsidRDefault="00065BBB" w:rsidP="00A802A5">
      <w:pPr>
        <w:spacing w:line="360" w:lineRule="auto"/>
        <w:rPr>
          <w:rFonts w:ascii="Times New Roman" w:eastAsia="Calibri" w:hAnsi="Times New Roman" w:cs="Times New Roman"/>
          <w:sz w:val="24"/>
          <w:szCs w:val="24"/>
        </w:rPr>
      </w:pPr>
      <w:r w:rsidRPr="00796736">
        <w:rPr>
          <w:rFonts w:ascii="Times New Roman" w:eastAsia="Times New Roman" w:hAnsi="Times New Roman" w:cs="Times New Roman"/>
          <w:sz w:val="24"/>
          <w:szCs w:val="24"/>
        </w:rPr>
        <w:t xml:space="preserve">Bestemmelsen betyder, at Erhvervsstyrelsen som udgangspunkt ikke må inddrage de forhold, der lå til grund for påbuddet efter udløbet af den fastsatte varighed, hvis den pågældende person på et senere tidspunkt igen ønsker at indtræde som reel ejer af en forpligtet enhed. Dette kan f.eks. være som reel ejer ved overtagelse af ejerskab i en allerede eksisterende forpligtet enhed eller ved stiftelsen af en ny forpligtet enhed. </w:t>
      </w:r>
      <w:r w:rsidRPr="00796736">
        <w:rPr>
          <w:rFonts w:ascii="Times New Roman" w:eastAsia="Calibri" w:hAnsi="Times New Roman" w:cs="Times New Roman"/>
          <w:sz w:val="24"/>
          <w:szCs w:val="24"/>
        </w:rPr>
        <w:t xml:space="preserve">I en ny vurdering vil de tidligere forhold, der førte til påbuddet efter stk. 1, således ikke indgå, medmindre særlige omstændigheder gør sig gældende. </w:t>
      </w:r>
    </w:p>
    <w:p w14:paraId="6A7AFD7F" w14:textId="77777777" w:rsidR="00065BBB" w:rsidRPr="00796736" w:rsidRDefault="00065BBB" w:rsidP="00A802A5">
      <w:pPr>
        <w:spacing w:line="360" w:lineRule="auto"/>
        <w:rPr>
          <w:rFonts w:ascii="Times New Roman" w:eastAsia="Calibri" w:hAnsi="Times New Roman" w:cs="Times New Roman"/>
          <w:sz w:val="24"/>
          <w:szCs w:val="24"/>
        </w:rPr>
      </w:pPr>
    </w:p>
    <w:p w14:paraId="0B5BDACA"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Varigheden af påbud fastsættes på baggrund af en konkret og samlet vurdering, hvor Erhvervsstyrelsen blandt andet lægger vægt på alvoren af overtrædelsen og den tid, der er gået siden overtrædelsen. Varigheden kan som udgangspunkt fastsættes fra et år til fem år, men kan i særligt alvorlige sager fastsættes til ”indtil videre”. </w:t>
      </w:r>
    </w:p>
    <w:p w14:paraId="5DE52F34"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Kumulative effekter af flere mindre overtrædelser kan være skærpende, ligesom særligt grove overtrædelser kan medføre, at varigheden fastsættes til ”indtil videre”. En sådan varighed vil dog kun anvendes i særligt alvorlige sager, f.eks. ved grov økonomisk kriminalitet.</w:t>
      </w:r>
    </w:p>
    <w:p w14:paraId="3C50C418"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Retningsgivende for fastsættelsen af varigheden på ”indtil videre” er, at der skal være tale om grove forhold, der som udgangspunkt ikke ligger mere end 10 år tilbage i tiden. Det vil således alene være i særligt alvorlige sager, at Erhvervsstyrelsen vil fastsætte varigheden til ”indtil videre”. Der kan eksempelvis være tale om særdeles grove forhold med overtrædelse af straffelovens berigelsesforbrydelser, forsætlig tilsidesættelse af hvidvasklovens krav eller egentlig medvirken til økonomisk kriminalitet. </w:t>
      </w:r>
    </w:p>
    <w:p w14:paraId="017F9D45"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Som udgangspunkt vil Erhvervsstyrelsen ikke inddrage forhold i en vurdering af en persons hæderlighed, der er mere end 10 år gamle. Erhvervsstyrelsen vil dog kunne inddrage forhold, der ligger længere tilbage i tid, hvis forholdene er særligt alvorlige, eller hvis disse er en del af et sammenhængende sagsforløb, hvor dele er mindre end 10 år gamle. Alvorlige forhold kan f.eks. være svindel, forsætlig tilsidesættelse af hvidvasklovens krav eller egentlig medvirken til økonomisk kriminalitet. Det vil omvendt også betyde, at der skal være særlige forhold, der gør sig gældende, hvis Erhvervsstyrelsen skal inddrage forhold, der ligger mere end 10 år tilbage. Ud over hensynet til omfanget, karakteren og grovheden af de forhold, der begrunder påbuddet, vil Erhvervsstyrelsen også lægge vægt på, hvorvidt der er grund til at antage, at den pågældende fortsat ikke vil kunne varetage hvervet eller stillingen på forsvarlig måde. Det beror på en vurdering af de konkrete forhold, herunder om forholdet er så kritisabelt, at en længere varighed er påkrævet, eller hvor varigheden i særligt alvorlige sager bør være ”indtil videre”.</w:t>
      </w:r>
    </w:p>
    <w:p w14:paraId="17C11DA9"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Erhvervsstyrelsen vil herunder skulle tage stilling til den reelle risiko for, at det strafbare forhold fortsat vil kunne lægge til grund for en formodning eller antagelse om misbrug af den kontrollerende indflydelse i den pågældende virksomhed. Ved vurderingen vil der yderligere skulle lægges vægt på den konkrete iboende risiko i den pågældende forpligtede enhed, herunder foretages en vurdering af risikoen forbundet med dennes forretningsaktiviteter, ydelser og kundeportefølje mv. </w:t>
      </w:r>
    </w:p>
    <w:p w14:paraId="669B9BB5"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Varigheden af påbuddet regnes fra datoen for Erhvervsstyrelsen afgørelse.</w:t>
      </w:r>
    </w:p>
    <w:p w14:paraId="7AB166C0"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 xml:space="preserve">stk. 3, </w:t>
      </w:r>
      <w:r w:rsidRPr="00796736">
        <w:rPr>
          <w:rFonts w:ascii="Times New Roman" w:eastAsia="Calibri" w:hAnsi="Times New Roman" w:cs="Times New Roman"/>
          <w:sz w:val="24"/>
          <w:szCs w:val="24"/>
        </w:rPr>
        <w:t>at når Erhvervsstyrelsen har meddelt påbuddet efter stk. 1, suspenderes de forvaltningsmæssige og økonomiske beføjelser, der kan henføres til modtageren af påbuddet efter stk. 1, i den pågældende virksomhed.</w:t>
      </w:r>
    </w:p>
    <w:p w14:paraId="02BFBCCE"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vil indebære, at en person, der modtager et påbud efter det foreslåede stk. 1, får suspenderet både sine forvaltningsmæssige og økonomiske beføjelser overfor den forpligtede enhed. ”Forvaltningsmæssige” og ”økonomiske” beføjelser skal forstås på samme måde som i selskabsloven. Med forvaltningsmæssige beføjelser menes eksempelvis retten til at deltage, tage ordet og stemme på generalforsamlingen. Med økonomiske beføjelser menes eksempelvis retten til at modtage udbytte og andre udbetalinger.</w:t>
      </w:r>
    </w:p>
    <w:p w14:paraId="10BAD16D"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Suspensionen sker for at virksomheden kan drives videre af de øvrige reelle ejere. Det kan dog have den betydning, at de øvrige ejere kan foretage dispositioner, som modtageren af påbud efter stk. 1 ikke nødvendigvis er enige i.</w:t>
      </w:r>
    </w:p>
    <w:p w14:paraId="6A010AFA" w14:textId="67AB2B69"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 xml:space="preserve">stk. </w:t>
      </w:r>
      <w:r w:rsidR="003D2A25">
        <w:rPr>
          <w:rFonts w:ascii="Times New Roman" w:eastAsia="Calibri" w:hAnsi="Times New Roman" w:cs="Times New Roman"/>
          <w:i/>
          <w:iCs/>
          <w:sz w:val="24"/>
          <w:szCs w:val="24"/>
        </w:rPr>
        <w:t>4</w:t>
      </w:r>
      <w:r w:rsidRPr="00796736">
        <w:rPr>
          <w:rFonts w:ascii="Times New Roman" w:eastAsia="Calibri" w:hAnsi="Times New Roman" w:cs="Times New Roman"/>
          <w:i/>
          <w:iCs/>
          <w:sz w:val="24"/>
          <w:szCs w:val="24"/>
        </w:rPr>
        <w:t>,</w:t>
      </w:r>
      <w:r w:rsidRPr="00796736">
        <w:rPr>
          <w:rFonts w:ascii="Times New Roman" w:eastAsia="Calibri" w:hAnsi="Times New Roman" w:cs="Times New Roman"/>
          <w:i/>
          <w:sz w:val="24"/>
          <w:szCs w:val="24"/>
        </w:rPr>
        <w:t xml:space="preserve"> 1. pkt</w:t>
      </w:r>
      <w:r w:rsidRPr="00796736">
        <w:rPr>
          <w:rFonts w:ascii="Times New Roman" w:eastAsia="Calibri" w:hAnsi="Times New Roman" w:cs="Times New Roman"/>
          <w:i/>
          <w:iCs/>
          <w:sz w:val="24"/>
          <w:szCs w:val="24"/>
        </w:rPr>
        <w:t>.</w:t>
      </w:r>
      <w:r w:rsidRPr="00796736">
        <w:rPr>
          <w:rFonts w:ascii="Times New Roman" w:eastAsia="Calibri" w:hAnsi="Times New Roman" w:cs="Times New Roman"/>
          <w:i/>
          <w:sz w:val="24"/>
          <w:szCs w:val="24"/>
        </w:rPr>
        <w:t xml:space="preserve">, </w:t>
      </w:r>
      <w:r w:rsidRPr="00796736">
        <w:rPr>
          <w:rFonts w:ascii="Times New Roman" w:eastAsia="Calibri" w:hAnsi="Times New Roman" w:cs="Times New Roman"/>
          <w:sz w:val="24"/>
          <w:szCs w:val="24"/>
        </w:rPr>
        <w:t xml:space="preserve">at giver kapitalandele eller ejerandele omfattet af den foreslåede stk. 1 ret til udbytte eller andre udbetalinger, skal den forpligtede enheds ledelse deponere udbyttet efter fristen i stk. 1 er udløbet og indtil påbuddet efterkommes. </w:t>
      </w:r>
    </w:p>
    <w:p w14:paraId="450F1B7F"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hvor en person har modtaget et påbud efter det foreslåede stk. 1 og dermed har mistet sine økonomiske beføjelser efter stk. 2, forpligtes virksomhedens ledelse til at deponere den pågældende persons udbytte, indtil personen har efterkommet påbuddet. </w:t>
      </w:r>
    </w:p>
    <w:p w14:paraId="6CA2F4E3" w14:textId="77777777" w:rsidR="003D2A25"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 xml:space="preserve">stk. </w:t>
      </w:r>
      <w:r w:rsidR="003D2A25">
        <w:rPr>
          <w:rFonts w:ascii="Times New Roman" w:eastAsia="Calibri" w:hAnsi="Times New Roman" w:cs="Times New Roman"/>
          <w:i/>
          <w:iCs/>
          <w:sz w:val="24"/>
          <w:szCs w:val="24"/>
        </w:rPr>
        <w:t>4</w:t>
      </w:r>
      <w:r w:rsidRPr="00796736">
        <w:rPr>
          <w:rFonts w:ascii="Times New Roman" w:eastAsia="Calibri" w:hAnsi="Times New Roman" w:cs="Times New Roman"/>
          <w:i/>
          <w:iCs/>
          <w:sz w:val="24"/>
          <w:szCs w:val="24"/>
        </w:rPr>
        <w:t>, 2. pkt.,</w:t>
      </w:r>
      <w:r w:rsidRPr="00796736">
        <w:rPr>
          <w:rFonts w:ascii="Times New Roman" w:eastAsia="Calibri" w:hAnsi="Times New Roman" w:cs="Times New Roman"/>
          <w:sz w:val="24"/>
          <w:szCs w:val="24"/>
        </w:rPr>
        <w:t xml:space="preserve"> at udbyttet udbetales til personen, når personen har dokumenteret over for den forpligtede enheds ledelse, at påbuddet er efterkommet. </w:t>
      </w:r>
    </w:p>
    <w:p w14:paraId="6F9EA895" w14:textId="30349773"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vil indebære, at når den reelle ejer afhænder sine andele i en forpligtet enhed, kan personen således få udbetalt udbyttet.</w:t>
      </w:r>
    </w:p>
    <w:p w14:paraId="34B646FA"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Uanset at personen har mistet sine økonomiske beføjelser, jf. det foreslåede stk. 2, kan personen således få udbetalt udbytte, såfremt personen efterkommer påbuddet efter det foreslåede stk. 1.</w:t>
      </w:r>
    </w:p>
    <w:p w14:paraId="16F7B2C6" w14:textId="77777777" w:rsidR="003D2A25"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at udbyttet vil blive udbetalt, når personen har dokumenteret overfor virksomhedens ledelse, at påbuddet er efterkommet og vedkommende er ophørt med at udøve kontrol. </w:t>
      </w:r>
    </w:p>
    <w:p w14:paraId="4FCDBF8F" w14:textId="429987B3"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5, </w:t>
      </w:r>
      <w:r w:rsidRPr="00796736">
        <w:rPr>
          <w:rFonts w:ascii="Times New Roman" w:eastAsia="Calibri" w:hAnsi="Times New Roman" w:cs="Times New Roman"/>
          <w:iCs/>
          <w:sz w:val="24"/>
          <w:szCs w:val="24"/>
        </w:rPr>
        <w:t xml:space="preserve">at </w:t>
      </w:r>
      <w:r w:rsidRPr="00796736">
        <w:rPr>
          <w:rFonts w:ascii="Times New Roman" w:eastAsia="Times New Roman" w:hAnsi="Times New Roman" w:cs="Times New Roman"/>
          <w:sz w:val="24"/>
          <w:szCs w:val="24"/>
          <w:lang w:eastAsia="da-DK"/>
        </w:rPr>
        <w:t>påbud meddelt efter stk. 1 kan af virksomheden og den person, som påbuddet vedrører, forlanges indbragt for domstolene. Anmodning herom skal indgives til Erhvervsstyrelsen, inden 4 uger efter at påbuddet er meddelt den pågældende. Anmodningen har ikke opsættende virkning for påbuddet, men retten kan ved kendelse bestemme, at afgørelsen skal have opsættende virkning. Erhvervsstyrelsen indbringer sagen for domstolene inden 4 uger efter modtagelse af anmodning herom. Sagen anlægges i den borgerlige retsplejes former.</w:t>
      </w:r>
    </w:p>
    <w:p w14:paraId="1C85FB41" w14:textId="0E1C6B36" w:rsidR="00065BBB" w:rsidRPr="00796736" w:rsidRDefault="00065BBB"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Af retssikkerhedsmæssige hensyn er det væsentligt, at både virksomheden og den person, som påbuddet vedrører, har mulighed for at få prøvet Erhvervsstyrelsens afgørelse ved domstolene. Det er Erhvervsstyrelsen, der har ansvaret for at indbringe sagen for domstolene, og dette skal ske inden for en frist på 4 uger efter, at anmodningen er modtaget. Der stilles ikke formkrav til anmodningen, hvilket sikrer en enkel og tilgængelig adgang til domstolsprøvelse.</w:t>
      </w:r>
    </w:p>
    <w:p w14:paraId="5B04BF55" w14:textId="77777777" w:rsidR="00065BBB" w:rsidRPr="00796736" w:rsidRDefault="00065BBB"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Som udgangspunkt tillægges en anmodning om domstolsprøvelse ikke opsættende virkning, da dette vil kunne hindre en løbende og effektiv håndhævelse af kravene om egnethed og hæderlighed for reelle ejere. Retten har dog mulighed for, hvis det vurderes relevant at bestemme, at afgørelsen skal tillægges opsættende virkning. Dette sikrer en balance mellem hensynet til effektivt tilsyn og den enkeltes retssikkerhed.</w:t>
      </w:r>
    </w:p>
    <w:p w14:paraId="602D0E19" w14:textId="27726FE4" w:rsidR="00065BBB" w:rsidRPr="00796736" w:rsidRDefault="00065BBB" w:rsidP="00A802A5">
      <w:pPr>
        <w:spacing w:after="240" w:line="360" w:lineRule="auto"/>
        <w:rPr>
          <w:rFonts w:ascii="Times New Roman" w:hAnsi="Times New Roman" w:cs="Times New Roman"/>
          <w:sz w:val="24"/>
          <w:szCs w:val="24"/>
          <w:lang w:eastAsia="da-DK"/>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w:t>
      </w:r>
      <w:r w:rsidR="003D2A25">
        <w:rPr>
          <w:rFonts w:ascii="Times New Roman" w:eastAsia="Calibri" w:hAnsi="Times New Roman" w:cs="Times New Roman"/>
          <w:i/>
          <w:sz w:val="24"/>
          <w:szCs w:val="24"/>
        </w:rPr>
        <w:t>6</w:t>
      </w:r>
      <w:r w:rsidRPr="00796736">
        <w:rPr>
          <w:rFonts w:ascii="Times New Roman" w:eastAsia="Calibri" w:hAnsi="Times New Roman" w:cs="Times New Roman"/>
          <w:i/>
          <w:sz w:val="24"/>
          <w:szCs w:val="24"/>
        </w:rPr>
        <w:t xml:space="preserve">, </w:t>
      </w:r>
      <w:r w:rsidRPr="00796736">
        <w:rPr>
          <w:rFonts w:ascii="Times New Roman" w:eastAsia="Calibri" w:hAnsi="Times New Roman" w:cs="Times New Roman"/>
          <w:iCs/>
          <w:sz w:val="24"/>
          <w:szCs w:val="24"/>
        </w:rPr>
        <w:t xml:space="preserve">at </w:t>
      </w:r>
      <w:r w:rsidRPr="00796736">
        <w:rPr>
          <w:rFonts w:ascii="Times New Roman" w:eastAsia="Times New Roman" w:hAnsi="Times New Roman" w:cs="Times New Roman"/>
          <w:sz w:val="24"/>
          <w:szCs w:val="24"/>
          <w:lang w:eastAsia="da-DK"/>
        </w:rPr>
        <w:t>Erhvervsstyrelsen af egen drift eller efter ansøgning kan tilbagekalde et påbud meddelt efter stk.</w:t>
      </w:r>
      <w:r w:rsidR="003D2A25">
        <w:rPr>
          <w:rFonts w:ascii="Times New Roman" w:eastAsia="Times New Roman" w:hAnsi="Times New Roman" w:cs="Times New Roman"/>
          <w:sz w:val="24"/>
          <w:szCs w:val="24"/>
          <w:lang w:eastAsia="da-DK"/>
        </w:rPr>
        <w:t xml:space="preserve"> 1</w:t>
      </w:r>
      <w:r w:rsidRPr="00796736">
        <w:rPr>
          <w:rFonts w:ascii="Times New Roman" w:eastAsia="Times New Roman" w:hAnsi="Times New Roman" w:cs="Times New Roman"/>
          <w:sz w:val="24"/>
          <w:szCs w:val="24"/>
          <w:lang w:eastAsia="da-DK"/>
        </w:rPr>
        <w:t>. Afslår Erhvervsstyrelsen en ansøgning om tilbagekaldelse, kan ansøgeren forlange afslaget indbragt for domstolene. Anmodning herom skal indgives til Erhvervsstyrelsen, inden 4 uger efter at afslaget er meddelt den pågældende. Anmodning om domstolsprøvelse kan dog kun fremsættes, hvis påbuddet ikke er tidsbegrænset, og der er forløbet mindst 5 år fra datoen for udstedelsen af påbuddet, eller mindst 2 år efter at Erhvervsstyrelsens afslag på tilbagekaldelse er stadfæstet ved dom</w:t>
      </w:r>
      <w:r w:rsidRPr="00796736">
        <w:rPr>
          <w:rFonts w:ascii="Times New Roman" w:hAnsi="Times New Roman" w:cs="Times New Roman"/>
          <w:sz w:val="24"/>
          <w:szCs w:val="24"/>
          <w:lang w:eastAsia="da-DK"/>
        </w:rPr>
        <w:t>.</w:t>
      </w:r>
    </w:p>
    <w:p w14:paraId="2099F89B" w14:textId="7349B627" w:rsidR="00065BBB" w:rsidRDefault="00065BBB"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Bestemmelsen sikrer, at Erhvervsstyrelsen til enhver tid kan tilbagekalde et påbud, hvis forholdene ændrer sig, eller hvis der foreligger nye oplysninger, der taler for, at påbuddet ikke længere bør opretholdes med den fastsatte varighed. En person, der har modtaget et påbud, kan således ansøge Erhvervsstyrelsen om at få påbuddet tilbagekaldt. Hvis Erhvervsstyrelsen afslår ansøgningen, kan ansøgeren forlange, at afslaget indbringes for domstolene. Dette skal ske ved, at ansøgeren indgiver anmodning til Erhvervsstyrelsen inden 4 uger efter, at afslaget er meddelt.</w:t>
      </w:r>
    </w:p>
    <w:p w14:paraId="7A2F92B8" w14:textId="0E1C8C1E" w:rsidR="003D2A25" w:rsidRPr="00796736" w:rsidRDefault="003D2A25" w:rsidP="00A802A5">
      <w:pPr>
        <w:spacing w:after="240" w:line="360" w:lineRule="auto"/>
        <w:rPr>
          <w:rFonts w:ascii="Times New Roman" w:eastAsia="Times New Roman" w:hAnsi="Times New Roman" w:cs="Times New Roman"/>
          <w:sz w:val="24"/>
          <w:szCs w:val="24"/>
          <w:lang w:eastAsia="da-DK"/>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4DE31359" w14:textId="77777777" w:rsidR="00065BBB" w:rsidRPr="00796736" w:rsidRDefault="00065BBB" w:rsidP="00A802A5">
      <w:pPr>
        <w:spacing w:after="240"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Det er en betingelse for at kunne kræve domstolsprøvelse af et afslag på tilbagekaldelse, at påbuddets varighed ikke er tidsbegrænset, og at der er forløbet mindst 5 år fra datoen for udstedelsen af påbuddet, eller mindst 2 år efter at Erhvervsstyrelsens afslag på tilbagekaldelse er stadfæstet ved dom. Begrænsningerne har kun betydning for muligheden for at kræve sagen indbragt for domstolene af Erhvervsstyrelsen. En person, som har modtaget et afslag, vil til enhver tid have mulighed for selv at anlægge sag ved domstolene.</w:t>
      </w:r>
    </w:p>
    <w:p w14:paraId="32447044" w14:textId="77777777" w:rsidR="00121083" w:rsidRPr="00796736" w:rsidRDefault="00121083" w:rsidP="00A802A5">
      <w:pPr>
        <w:spacing w:after="240" w:line="360" w:lineRule="auto"/>
        <w:rPr>
          <w:rFonts w:ascii="Times New Roman" w:eastAsia="Calibri" w:hAnsi="Times New Roman" w:cs="Times New Roman"/>
          <w:sz w:val="24"/>
          <w:szCs w:val="24"/>
        </w:rPr>
      </w:pPr>
    </w:p>
    <w:p w14:paraId="2955D4AD" w14:textId="6E2C399B" w:rsidR="00121083" w:rsidRPr="00796736" w:rsidRDefault="00121083" w:rsidP="00A802A5">
      <w:pPr>
        <w:pStyle w:val="Undertitel"/>
      </w:pPr>
      <w:bookmarkStart w:id="2131" w:name="_Toc232109416"/>
      <w:bookmarkStart w:id="2132" w:name="_Toc244879387"/>
      <w:bookmarkStart w:id="2133" w:name="_Toc244880912"/>
      <w:r w:rsidRPr="00796736">
        <w:t xml:space="preserve">Til </w:t>
      </w:r>
      <w:bookmarkEnd w:id="2131"/>
      <w:r w:rsidR="00C86CFF" w:rsidRPr="00796736">
        <w:fldChar w:fldCharType="begin"/>
      </w:r>
      <w:r w:rsidR="00C86CFF" w:rsidRPr="00796736">
        <w:instrText xml:space="preserve"> REF _Ref232608940 \r \h </w:instrText>
      </w:r>
      <w:r w:rsidR="00967618" w:rsidRPr="00796736">
        <w:instrText xml:space="preserve"> \* MERGEFORMAT </w:instrText>
      </w:r>
      <w:r w:rsidR="00C86CFF" w:rsidRPr="00796736">
        <w:fldChar w:fldCharType="separate"/>
      </w:r>
      <w:r w:rsidR="008F29E5">
        <w:t>§ 91</w:t>
      </w:r>
      <w:bookmarkEnd w:id="2132"/>
      <w:bookmarkEnd w:id="2133"/>
      <w:r w:rsidR="00C86CFF" w:rsidRPr="00796736">
        <w:fldChar w:fldCharType="end"/>
      </w:r>
      <w:r w:rsidR="007C4669" w:rsidRPr="00796736">
        <w:br/>
      </w:r>
    </w:p>
    <w:p w14:paraId="26F08EEC" w14:textId="09D1E6F6"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findes i hvidvaskloven ikke bestemmelser om virksomheders forpligtelser til at sikre adskillelse af en reel ejer, der er dømt for relevant strafbart forhold. Bestemmelsen er ny og skal ses i sammenhæng med de foreslåede bestemmelser i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_Ref232608920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90</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og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_Ref232608991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92</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w:t>
      </w:r>
    </w:p>
    <w:p w14:paraId="497D43AA" w14:textId="77777777"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implementerer artikel 6, stk. 5, </w:t>
      </w:r>
      <w:r w:rsidRPr="00796736">
        <w:rPr>
          <w:rFonts w:ascii="Times New Roman" w:eastAsia="Calibri" w:hAnsi="Times New Roman" w:cs="Times New Roman"/>
          <w:iCs/>
          <w:sz w:val="24"/>
          <w:szCs w:val="24"/>
        </w:rPr>
        <w:t xml:space="preserve">artikel 37, stk. 6, litra b, </w:t>
      </w:r>
      <w:r w:rsidRPr="00796736">
        <w:rPr>
          <w:rFonts w:ascii="Times New Roman" w:eastAsia="Calibri" w:hAnsi="Times New Roman" w:cs="Times New Roman"/>
          <w:sz w:val="24"/>
          <w:szCs w:val="24"/>
        </w:rPr>
        <w:t>artikel</w:t>
      </w:r>
      <w:r w:rsidRPr="00796736">
        <w:rPr>
          <w:rFonts w:ascii="Times New Roman" w:eastAsia="Calibri" w:hAnsi="Times New Roman" w:cs="Times New Roman"/>
          <w:iCs/>
          <w:sz w:val="24"/>
          <w:szCs w:val="24"/>
        </w:rPr>
        <w:t xml:space="preserve"> 53, stk. 2, og stk. 6, og </w:t>
      </w:r>
      <w:r w:rsidRPr="00796736">
        <w:rPr>
          <w:rFonts w:ascii="Times New Roman" w:eastAsia="Calibri" w:hAnsi="Times New Roman" w:cs="Times New Roman"/>
          <w:sz w:val="24"/>
          <w:szCs w:val="24"/>
        </w:rPr>
        <w:t>artikel 56, stk. 2, litra g, og stk. 4.</w:t>
      </w:r>
    </w:p>
    <w:p w14:paraId="6599BD41" w14:textId="338DC3FF"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i</w:t>
      </w:r>
      <w:r w:rsidR="00ED648F" w:rsidRPr="00796736">
        <w:rPr>
          <w:rFonts w:ascii="Times New Roman" w:hAnsi="Times New Roman" w:cs="Times New Roman"/>
          <w:sz w:val="24"/>
          <w:szCs w:val="24"/>
        </w:rPr>
        <w:t xml:space="preserve"> </w:t>
      </w:r>
      <w:r w:rsidR="00ED648F" w:rsidRPr="00796736">
        <w:rPr>
          <w:rFonts w:ascii="Times New Roman" w:hAnsi="Times New Roman" w:cs="Times New Roman"/>
          <w:i/>
          <w:iCs/>
          <w:sz w:val="24"/>
          <w:szCs w:val="24"/>
        </w:rPr>
        <w:fldChar w:fldCharType="begin"/>
      </w:r>
      <w:r w:rsidR="00ED648F" w:rsidRPr="00796736">
        <w:rPr>
          <w:rFonts w:ascii="Times New Roman" w:hAnsi="Times New Roman" w:cs="Times New Roman"/>
          <w:i/>
          <w:iCs/>
          <w:sz w:val="24"/>
          <w:szCs w:val="24"/>
        </w:rPr>
        <w:instrText xml:space="preserve"> REF _Ref232608940 \r \h  \* MERGEFORMAT </w:instrText>
      </w:r>
      <w:r w:rsidR="00ED648F" w:rsidRPr="00796736">
        <w:rPr>
          <w:rFonts w:ascii="Times New Roman" w:hAnsi="Times New Roman" w:cs="Times New Roman"/>
          <w:i/>
          <w:iCs/>
          <w:sz w:val="24"/>
          <w:szCs w:val="24"/>
        </w:rPr>
      </w:r>
      <w:r w:rsidR="00ED648F"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91</w:t>
      </w:r>
      <w:r w:rsidR="00ED648F" w:rsidRPr="00796736">
        <w:rPr>
          <w:rFonts w:ascii="Times New Roman" w:hAnsi="Times New Roman" w:cs="Times New Roman"/>
          <w:i/>
          <w:iCs/>
          <w:sz w:val="24"/>
          <w:szCs w:val="24"/>
        </w:rPr>
        <w:fldChar w:fldCharType="end"/>
      </w:r>
      <w:r w:rsidRPr="00796736">
        <w:rPr>
          <w:rFonts w:ascii="Times New Roman" w:eastAsia="Calibri" w:hAnsi="Times New Roman" w:cs="Times New Roman"/>
          <w:i/>
          <w:iCs/>
          <w:sz w:val="24"/>
          <w:szCs w:val="24"/>
        </w:rPr>
        <w:t>, stk. 1,</w:t>
      </w:r>
      <w:r w:rsidRPr="00796736">
        <w:rPr>
          <w:rFonts w:ascii="Times New Roman" w:eastAsia="Calibri" w:hAnsi="Times New Roman" w:cs="Times New Roman"/>
          <w:sz w:val="24"/>
          <w:szCs w:val="24"/>
        </w:rPr>
        <w:t xml:space="preserve"> at umiddelbart efter afgivelse af påbud efter den foreslåede </w:t>
      </w:r>
      <w:r w:rsidR="00ED648F" w:rsidRPr="00796736">
        <w:rPr>
          <w:rFonts w:ascii="Times New Roman" w:eastAsia="Calibri" w:hAnsi="Times New Roman" w:cs="Times New Roman"/>
          <w:sz w:val="24"/>
          <w:szCs w:val="24"/>
        </w:rPr>
        <w:fldChar w:fldCharType="begin"/>
      </w:r>
      <w:r w:rsidR="00ED648F" w:rsidRPr="00796736">
        <w:rPr>
          <w:rFonts w:ascii="Times New Roman" w:eastAsia="Calibri" w:hAnsi="Times New Roman" w:cs="Times New Roman"/>
          <w:sz w:val="24"/>
          <w:szCs w:val="24"/>
        </w:rPr>
        <w:instrText xml:space="preserve"> REF _Ref232608920 \r \h </w:instrText>
      </w:r>
      <w:r w:rsidR="00967618" w:rsidRPr="00796736">
        <w:rPr>
          <w:rFonts w:ascii="Times New Roman" w:eastAsia="Calibri" w:hAnsi="Times New Roman" w:cs="Times New Roman"/>
          <w:sz w:val="24"/>
          <w:szCs w:val="24"/>
        </w:rPr>
        <w:instrText xml:space="preserve"> \* MERGEFORMAT </w:instrText>
      </w:r>
      <w:r w:rsidR="00ED648F" w:rsidRPr="00796736">
        <w:rPr>
          <w:rFonts w:ascii="Times New Roman" w:eastAsia="Calibri" w:hAnsi="Times New Roman" w:cs="Times New Roman"/>
          <w:sz w:val="24"/>
          <w:szCs w:val="24"/>
        </w:rPr>
      </w:r>
      <w:r w:rsidR="00ED648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90</w:t>
      </w:r>
      <w:r w:rsidR="00ED648F"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1, </w:t>
      </w:r>
      <w:r w:rsidR="00065BBB" w:rsidRPr="00796736">
        <w:rPr>
          <w:rFonts w:ascii="Times New Roman" w:eastAsia="Calibri" w:hAnsi="Times New Roman" w:cs="Times New Roman"/>
          <w:sz w:val="24"/>
          <w:szCs w:val="24"/>
        </w:rPr>
        <w:t>meddeler Erhvervsstyrelsen virksomheden, at den pågældende person er blevet påbudt at ophøre med at udøve kontrol af den pågældende virksomhed, og at personens forvaltningsmæssige og økonomiske beføjelser i virksomheden er suspenderet.</w:t>
      </w:r>
    </w:p>
    <w:p w14:paraId="4715B4D4"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vil medføre, at Erhvervsstyrelsen vil orientere virksomheden om, at en af virksomhedens reelle ejere er dømt for hvidvask af penge, de underliggende lovovertrædelser eller finansiering af terrorisme, der bevirker, at personen er blevet påbudt at ophøre med at udøve kontrol i virksomheden, samt at personens forvaltningsmæssige og økonomiske beføjelser i virksomheden er suspenderet.</w:t>
      </w:r>
    </w:p>
    <w:p w14:paraId="4F734D7F"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Bestemmelsen skal ses i sammenhæng med den foreslåede stk. 3, hvorefter virksomheden, den øverste ledelse og eventuelle øvrige reelle ejere forpligtes til at sikre, at den dømte reelle ejer ikke kan udøve sine forvaltningsmæssige og økonomiske beføjelser i virksomheden. Meddelelsen skal gøre det muligt for ledelsen og eventuelle øvrige reelle ejere at leve op til forpligtelsen i stk. 3.</w:t>
      </w:r>
    </w:p>
    <w:p w14:paraId="567F1751"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Meddelelse af oplysningerne til den forpligtede enhed vurderes at være nødvendige for, at virksomheden kan medvirke til at sikre og opretholde adskillelsen af den dømte reelle ejer fra den forpligtede enhed.</w:t>
      </w:r>
    </w:p>
    <w:p w14:paraId="450E2463"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w:t>
      </w:r>
      <w:r w:rsidRPr="00796736">
        <w:rPr>
          <w:rFonts w:ascii="Times New Roman" w:eastAsia="Calibri" w:hAnsi="Times New Roman" w:cs="Times New Roman"/>
          <w:sz w:val="24"/>
          <w:szCs w:val="24"/>
        </w:rPr>
        <w:t xml:space="preserve"> at de øvrige ejeres andel af stemmerettighederne, der er noteret i virksomhedens ejerbog eller tilsvarende fortegnelse, forhøjes forholdsmæssigt med den påbudte persons stemmerettigheder i perioden fra meddelelse af påbuddet og indtil påbuddet efterkommes.</w:t>
      </w:r>
    </w:p>
    <w:p w14:paraId="62812606"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vil medføre, at de øvrige ejeres andel af stemmerettighederne, der er noteret i virksomheden ejerbog eller tilsvarende fortegnelse, forhøjes forholdsmæssigt med den påbudte persons stemmerettigheder. De øvrige reelle ejere vil således kunne have mulighed for at fortsætte virksomhedens drift, herunder foretage dispositioner, hvor dømte personers stemmerettigheder er nødvendige for at gennemføre disse. Såfremt virksomheden ikke har andre ejere, vil konsekvensen være, at der ikke er nogen at overgive rettighederne til.</w:t>
      </w:r>
    </w:p>
    <w:p w14:paraId="49AF3705" w14:textId="2E37A8B0"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medfører ikke en forpligtelse for de andre ejere til at varetage den påbudte persons interesser, mens de er tildelt disse stemmerettigheder i virksomheden. Tværtimod forudsættes det, at den dømte reelle ejer ikke indirekte kan udøve indflydelse på virksomheden gennem de øvrige ejere, herunder at de øvrige reelle ejere ikke forvalter den dømte ejers interesser. Forhøjelsen gælder fra det tidspunkt, hvor personen modtager et påbud efter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_Ref232608920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90</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1 og varer indtil personen er ophørt med at udøve kontrol i den forpligtede enhed, herunder gennem afhændelse af sine ejerandele, i overensstemmelse med påbuddet. </w:t>
      </w:r>
    </w:p>
    <w:p w14:paraId="6AEF94F5" w14:textId="77777777"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For så vidt angår ejerregistreringen i Det Centrale Virksomhedsregister, vil disse ikke kunne ændres. Det skyldes, at ejerskabet består uændret. </w:t>
      </w:r>
    </w:p>
    <w:p w14:paraId="154D52C6"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3,</w:t>
      </w:r>
      <w:r w:rsidRPr="00796736">
        <w:rPr>
          <w:rFonts w:ascii="Times New Roman" w:eastAsia="Calibri" w:hAnsi="Times New Roman" w:cs="Times New Roman"/>
          <w:sz w:val="24"/>
          <w:szCs w:val="24"/>
        </w:rPr>
        <w:t xml:space="preserve"> at virksomheden, den øverste ledelse og eventuelle øvrige reelle ejere efter meddelelse i stk. 1 er forpligtet til at sikre, at personen ikke kan udnytte sine forvaltningsmæssige og økonomiske beføjelser.</w:t>
      </w:r>
    </w:p>
    <w:p w14:paraId="4EEC07B5"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 foreslåede bestemmelse vil indebære, at ledelsen og eventuelle øvrige reelle ejere forpligtes til at sikre, at personen ikke kan udnytte sine forvaltningsmæssige og økonomiske beføjelser efter, at personen er meddelt et påbud og frem til, at personen er ophørt med at udøve kontrol i virksomheden. </w:t>
      </w:r>
    </w:p>
    <w:p w14:paraId="15839769" w14:textId="6048FDAA"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foreslås i</w:t>
      </w:r>
      <w:r w:rsidRPr="00796736">
        <w:rPr>
          <w:rFonts w:ascii="Times New Roman" w:eastAsia="Calibri" w:hAnsi="Times New Roman" w:cs="Times New Roman"/>
          <w:i/>
          <w:iCs/>
          <w:sz w:val="24"/>
          <w:szCs w:val="24"/>
        </w:rPr>
        <w:t xml:space="preserve"> stk. 4,</w:t>
      </w:r>
      <w:r w:rsidRPr="00796736">
        <w:rPr>
          <w:rFonts w:ascii="Times New Roman" w:eastAsia="Calibri" w:hAnsi="Times New Roman" w:cs="Times New Roman"/>
          <w:sz w:val="24"/>
          <w:szCs w:val="24"/>
        </w:rPr>
        <w:t xml:space="preserve"> at Erhvervsstyrelsen kan påbyde virksomheden at indføre specifikke nødvendige foranstaltninger for at afskære den pågældende reelle ejer fra at udøve kontrol med virksomheden.</w:t>
      </w:r>
    </w:p>
    <w:p w14:paraId="65C8B898"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medføre, at Erhvervsstyrelsen kan påbyde virksomheden at indføre specifikke foranstaltninger, der er nødvendigt for at den dømte reelle ejer afskæres fra virksomheden. </w:t>
      </w:r>
    </w:p>
    <w:p w14:paraId="45A43E73"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”nødvendige foranstaltninger” forstås handlinger, undladelser og tiltag, som i praksis afskærer en fysisk eller juridisk person, som direkte eller indirekte ejer eller kontrollerer en virksomhed, fra at udøve kontrol med virksomheden. Den forpligtede enhed kan f.eks. påbydes at inddrage den reelle ejers adgangskort til lokalerne, firmakreditkort og andre goder eller sikre udelukkelse fra virksomhedens IT-systemer m.v.  Påbuddet skal anvendes til at sikre, at den forpligtede enhed afskærmer den forpligtede enhed fra den reelle ejer effektivt. </w:t>
      </w:r>
    </w:p>
    <w:p w14:paraId="2AE23EB7"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Påbuddet skal anvendes ud fra en individuel vurdering af bl.a. den forpligtede enheds samarbejdsvillighed med styrelsen og de trin som den forpligtede enhed tager for at afskærme den dømte reelle ejer fra at udøve kontrol med virksomheden. </w:t>
      </w:r>
    </w:p>
    <w:p w14:paraId="21BEA574" w14:textId="01849906" w:rsidR="006B150D"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Erhvervsstyrelsen kan anmode om en redegørelse og dokumentation for, hvordan virksomheden sikrer, at påbuddet efterkommes, i overensstemmelse med den foreslåede </w:t>
      </w:r>
      <w:r w:rsidR="00ED648F" w:rsidRPr="00796736">
        <w:rPr>
          <w:rFonts w:ascii="Times New Roman" w:eastAsia="Calibri" w:hAnsi="Times New Roman" w:cs="Times New Roman"/>
          <w:sz w:val="24"/>
          <w:szCs w:val="24"/>
        </w:rPr>
        <w:fldChar w:fldCharType="begin"/>
      </w:r>
      <w:r w:rsidR="00ED648F" w:rsidRPr="00796736">
        <w:rPr>
          <w:rFonts w:ascii="Times New Roman" w:eastAsia="Calibri" w:hAnsi="Times New Roman" w:cs="Times New Roman"/>
          <w:sz w:val="24"/>
          <w:szCs w:val="24"/>
        </w:rPr>
        <w:instrText xml:space="preserve"> REF _Ref232597715 \r \h </w:instrText>
      </w:r>
      <w:r w:rsidR="00967618" w:rsidRPr="00796736">
        <w:rPr>
          <w:rFonts w:ascii="Times New Roman" w:eastAsia="Calibri" w:hAnsi="Times New Roman" w:cs="Times New Roman"/>
          <w:sz w:val="24"/>
          <w:szCs w:val="24"/>
        </w:rPr>
        <w:instrText xml:space="preserve"> \* MERGEFORMAT </w:instrText>
      </w:r>
      <w:r w:rsidR="00ED648F" w:rsidRPr="00796736">
        <w:rPr>
          <w:rFonts w:ascii="Times New Roman" w:eastAsia="Calibri" w:hAnsi="Times New Roman" w:cs="Times New Roman"/>
          <w:sz w:val="24"/>
          <w:szCs w:val="24"/>
        </w:rPr>
      </w:r>
      <w:r w:rsidR="00ED648F"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87</w:t>
      </w:r>
      <w:r w:rsidR="00ED648F"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stk. 1.</w:t>
      </w:r>
    </w:p>
    <w:p w14:paraId="3343738C" w14:textId="77777777" w:rsidR="003D2A25" w:rsidRDefault="003D2A25" w:rsidP="00A802A5">
      <w:pPr>
        <w:spacing w:after="240" w:line="360" w:lineRule="auto"/>
        <w:rPr>
          <w:rFonts w:ascii="Times New Roman" w:eastAsia="Calibri"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6AA41195" w14:textId="06B72DDB" w:rsidR="003D2A25" w:rsidRPr="00796736" w:rsidRDefault="003D2A25"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iCs/>
          <w:sz w:val="24"/>
          <w:szCs w:val="24"/>
        </w:rPr>
        <w:t xml:space="preserve">Efter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w:t>
      </w:r>
      <w:r w:rsidRPr="00D253F0">
        <w:rPr>
          <w:rFonts w:ascii="Times New Roman" w:eastAsia="Calibri" w:hAnsi="Times New Roman" w:cs="Times New Roman"/>
          <w:iCs/>
          <w:sz w:val="24"/>
          <w:szCs w:val="24"/>
        </w:rPr>
        <w:t xml:space="preserve"> 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Erhvervsstyrelsen kan udstede</w:t>
      </w:r>
      <w:r w:rsidRPr="00D253F0">
        <w:rPr>
          <w:rFonts w:ascii="Times New Roman" w:eastAsia="Calibri" w:hAnsi="Times New Roman" w:cs="Times New Roman"/>
          <w:iCs/>
          <w:sz w:val="24"/>
          <w:szCs w:val="24"/>
        </w:rPr>
        <w:t xml:space="preserve"> 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p>
    <w:p w14:paraId="3F3DA3A4" w14:textId="77777777" w:rsidR="00ED648F" w:rsidRPr="00796736" w:rsidRDefault="00ED648F" w:rsidP="00A802A5">
      <w:pPr>
        <w:spacing w:after="240" w:line="360" w:lineRule="auto"/>
        <w:rPr>
          <w:rFonts w:ascii="Times New Roman" w:eastAsia="Calibri" w:hAnsi="Times New Roman" w:cs="Times New Roman"/>
          <w:sz w:val="24"/>
          <w:szCs w:val="24"/>
        </w:rPr>
      </w:pPr>
    </w:p>
    <w:p w14:paraId="0C027171" w14:textId="4F75470E" w:rsidR="007C4669" w:rsidRPr="00796736" w:rsidRDefault="007C4669" w:rsidP="00A802A5">
      <w:pPr>
        <w:pStyle w:val="Undertitel"/>
      </w:pPr>
      <w:bookmarkStart w:id="2134" w:name="_Toc232109417"/>
      <w:bookmarkStart w:id="2135" w:name="_Toc244879388"/>
      <w:bookmarkStart w:id="2136" w:name="_Toc244880913"/>
      <w:r w:rsidRPr="00796736">
        <w:t xml:space="preserve">Til </w:t>
      </w:r>
      <w:bookmarkEnd w:id="2134"/>
      <w:r w:rsidR="00C86CFF" w:rsidRPr="00796736">
        <w:fldChar w:fldCharType="begin"/>
      </w:r>
      <w:r w:rsidR="00C86CFF" w:rsidRPr="00796736">
        <w:instrText xml:space="preserve"> REF _Ref232608991 \r \h </w:instrText>
      </w:r>
      <w:r w:rsidR="00967618" w:rsidRPr="00796736">
        <w:instrText xml:space="preserve"> \* MERGEFORMAT </w:instrText>
      </w:r>
      <w:r w:rsidR="00C86CFF" w:rsidRPr="00796736">
        <w:fldChar w:fldCharType="separate"/>
      </w:r>
      <w:r w:rsidR="008F29E5">
        <w:t>§ 92</w:t>
      </w:r>
      <w:bookmarkEnd w:id="2135"/>
      <w:bookmarkEnd w:id="2136"/>
      <w:r w:rsidR="00C86CFF" w:rsidRPr="00796736">
        <w:fldChar w:fldCharType="end"/>
      </w:r>
      <w:r w:rsidR="006B150D" w:rsidRPr="00796736">
        <w:br/>
      </w:r>
    </w:p>
    <w:p w14:paraId="7AEA53AE"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Det findes i den gældende hvidvasklov ikke bestemmelser om, at Erhvervsstyrelsen kan anmode skifteretten om at opløse en omfattet virksomhed.</w:t>
      </w:r>
    </w:p>
    <w:p w14:paraId="545B287C" w14:textId="77777777" w:rsidR="00D4242A" w:rsidRPr="00796736" w:rsidRDefault="00D4242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er ny og implementerer 6. hvidvaskdirektivs artikel 6, stk. 5. </w:t>
      </w:r>
    </w:p>
    <w:p w14:paraId="129B4288" w14:textId="2A756E56"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1,</w:t>
      </w:r>
      <w:r w:rsidRPr="00796736">
        <w:rPr>
          <w:rFonts w:ascii="Times New Roman" w:eastAsia="Calibri" w:hAnsi="Times New Roman" w:cs="Times New Roman"/>
          <w:sz w:val="24"/>
          <w:szCs w:val="24"/>
        </w:rPr>
        <w:t xml:space="preserve"> at Erhvervsstyrelsen kan anmode skifteretten om at opløse en virksomhed i overensstemmelse med den lovgivning, som er gældende for virksomheden, hvis 1) den reelle ejer undlader at efterkomme et påbud efter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_Ref232608920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90</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1, inden for den fastsatte frist og, 2) virksomheden undlader at efterkomme et påbud efter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_Ref232608940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91</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4, inden for den fastsatte frist. </w:t>
      </w:r>
    </w:p>
    <w:p w14:paraId="4C78CEF3" w14:textId="5E8261A5"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forslåede bestemmelse vil medføre, at Erhvervsstyrelsen vil kunne oversende en virksomhed til tvangsopløsning, hvis de to kumulative betingelser er opfyldt. Den første betingelse er, at en reel ejer undlader at efterkomme et påbud efter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_Ref232608920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90</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1, om at ophøre med at udøve kontrol, herunder gennem afhændelse af sine ejerandele, inden for den fastsatte frist. Den anden betingelse er, at virksomheden undlader at efterkomme et påbud efter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_Ref232608940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91</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4, om at indføre de specifikke nødvendige foranstaltninger inden for den fastsatte frist. </w:t>
      </w:r>
    </w:p>
    <w:p w14:paraId="1474F062" w14:textId="23C6FCCA" w:rsidR="00065BBB"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Betingelserne er kumulative og Erhvervsstyrelsen vil således ikke kunne oversende virksomheden til tvangsopløsning, hvis en virksomhed har efterkommet et påbud og har truffet de nødvendige foranstaltninger for at sikre, at en virksomhed er afskærmet fra en dømt reel ejer. </w:t>
      </w:r>
    </w:p>
    <w:p w14:paraId="0FEBCB59" w14:textId="785E4B2C" w:rsidR="003D2A25" w:rsidRPr="00796736" w:rsidRDefault="003D2A25" w:rsidP="00A802A5">
      <w:pPr>
        <w:spacing w:after="240" w:line="360" w:lineRule="auto"/>
        <w:rPr>
          <w:rFonts w:ascii="Times New Roman" w:eastAsia="Calibri"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23DC90C6"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Erhvervsstyrelsen er ikke pligtig til at træffe beslutning om anmodning om tvangsopløsning. Vurderingen af, om der kan ske oversendelse til tvangsopløsning vil blive foretaget på baggrund af en konkret vurdering fra sag til sag i forhold til rimelighed og proportionalitet. </w:t>
      </w:r>
    </w:p>
    <w:p w14:paraId="5FAAC907"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I vurderingen af, om det er rimeligt og proportionalt at anmode om tvangsopløsning af virksomheden, vil antallet af andre reelle ejere f.eks. kunne indgå, således at flere andre reelle ejere vil tale imod en tvangsopløsning, idet styrkeforholdet formodes at være imod den dømte reelle ejer i det tilfælde. Ved vurderingen skal det yderligere inddrages, om de tiltag, som virksomheden har truffet for at afskærme den dømte reelle ejer fra virksomheden, er effektive og egnede. Såfremt foranstaltningerne er dette, vil det tale imod en anmodning om tvangsopløsning. I sager, hvor en virksomhed påtænkes oversendt til tvangsopløsning, vil virksomheden få mulighed for at berigtige forholdet inden for en nærmere angivet frist, inden sagen oversendes til skifteretten, såfremt forholdet er muligt at berigtige. Berigtiger virksomheden forholdet inden for den angivne fist, vil virksomheden ikke blive oversendt til tvangsopløsning. Finder berigtigelse ikke sted, oversendes virksomheden til tvangsopløsning. Muligheden for at tvangsopløse en virksomhed vil være sidste udvej, hvis forholdet ikke berigtiges. </w:t>
      </w:r>
    </w:p>
    <w:p w14:paraId="35EF0E39"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w:t>
      </w:r>
      <w:r w:rsidRPr="00796736">
        <w:rPr>
          <w:rFonts w:ascii="Times New Roman" w:eastAsia="Calibri" w:hAnsi="Times New Roman" w:cs="Times New Roman"/>
          <w:i/>
          <w:sz w:val="24"/>
          <w:szCs w:val="24"/>
        </w:rPr>
        <w:t xml:space="preserve"> </w:t>
      </w:r>
      <w:r w:rsidRPr="00796736">
        <w:rPr>
          <w:rFonts w:ascii="Times New Roman" w:eastAsia="Calibri" w:hAnsi="Times New Roman" w:cs="Times New Roman"/>
          <w:sz w:val="24"/>
          <w:szCs w:val="24"/>
        </w:rPr>
        <w:t>at Erhvervsstyrelsen kan slette en filial af en udenlandsk virksomhed fra styrelsens it-system i de stk. 1, nævnte situationer. Hvis de i stk. 1, nævnte situationer vedrører et interessentskab eller kommanditselskab, kan styrelsen slette registreringen af interessentskabet eller kommanditselskabet i styrelsens register.</w:t>
      </w:r>
    </w:p>
    <w:p w14:paraId="2F018423" w14:textId="77777777" w:rsidR="00065BBB"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 foreslåede bestemmelser vil medføre, at Erhvervsstyrelsen kan slette en filial af en udenlandsk virksomhed eller et interessentskab eller kommanditselskab fra styrelsens it-system, hvis en reel ejer ikke efterkommer et påbud om at ophøre med at udøve kontrol og virksomheden ikke indfører de påbudte nødvendige foranstaltninger.  </w:t>
      </w:r>
    </w:p>
    <w:p w14:paraId="4B43336D" w14:textId="7A453605" w:rsidR="003D2A25" w:rsidRPr="00796736" w:rsidRDefault="003D2A25" w:rsidP="00A802A5">
      <w:pPr>
        <w:spacing w:after="240" w:line="360" w:lineRule="auto"/>
        <w:rPr>
          <w:rFonts w:ascii="Times New Roman" w:eastAsia="Calibri" w:hAnsi="Times New Roman" w:cs="Times New Roman"/>
          <w:sz w:val="24"/>
          <w:szCs w:val="24"/>
        </w:rPr>
      </w:pPr>
      <w:r w:rsidRPr="00483074">
        <w:rPr>
          <w:rFonts w:ascii="Times New Roman" w:hAnsi="Times New Roman" w:cs="Times New Roman"/>
          <w:sz w:val="24"/>
          <w:szCs w:val="24"/>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68370DFA"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Erhvervsstyrelsen er ikke pligtig til at træffe beslutning om sletning. Vurderingen af, om der kan ske sletning, vil blive foretaget på baggrund af en konkret vurdering fra sag til sag i forhold til rimelighed og proportionalitet. </w:t>
      </w:r>
    </w:p>
    <w:p w14:paraId="232012CD" w14:textId="77777777" w:rsidR="00065BBB" w:rsidRPr="00796736" w:rsidRDefault="00065BBB"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I vurderingen af, om det er rimeligt og proportionalt at slette registreringen, vil antallet af deltager i den forpligtede enhed f.eks. kunne indgå, således at flere deltagere vil tale imod en sletning, idet styrkeforholdet formodes at være imod den kriminelle i det tilfælde.  Ved vurderingen skal det yderligere inddrages, om de tiltag, som virksomheden har truffet for at afskærme den dømte reelle ejer fra virksomheden, er effektive og egnede. Såfremt foranstaltningerne er dette, vil det tale imod sletning.</w:t>
      </w:r>
    </w:p>
    <w:p w14:paraId="658F7A91" w14:textId="38DDD843" w:rsidR="00676AEE" w:rsidRPr="00796736" w:rsidRDefault="00676AEE" w:rsidP="00A802A5">
      <w:pPr>
        <w:spacing w:after="240" w:line="360" w:lineRule="auto"/>
        <w:rPr>
          <w:rFonts w:ascii="Times New Roman" w:hAnsi="Times New Roman" w:cs="Times New Roman"/>
          <w:sz w:val="24"/>
          <w:szCs w:val="24"/>
        </w:rPr>
      </w:pPr>
    </w:p>
    <w:p w14:paraId="7CE63DCF" w14:textId="62814499" w:rsidR="00D33A4D" w:rsidRPr="00796736" w:rsidRDefault="00D33A4D" w:rsidP="00A802A5">
      <w:pPr>
        <w:pStyle w:val="Undertitel"/>
        <w:rPr>
          <w:iCs/>
        </w:rPr>
      </w:pPr>
      <w:bookmarkStart w:id="2137" w:name="_Toc244879389"/>
      <w:bookmarkStart w:id="2138" w:name="_Toc244880914"/>
      <w:r w:rsidRPr="00796736">
        <w:t xml:space="preserve">Til </w:t>
      </w:r>
      <w:r w:rsidR="009D0E1A" w:rsidRPr="00796736">
        <w:fldChar w:fldCharType="begin"/>
      </w:r>
      <w:r w:rsidR="009D0E1A" w:rsidRPr="00796736">
        <w:instrText xml:space="preserve"> REF _Ref233056803 \r \h </w:instrText>
      </w:r>
      <w:r w:rsidR="00EA770E" w:rsidRPr="00796736">
        <w:instrText xml:space="preserve"> \* MERGEFORMAT </w:instrText>
      </w:r>
      <w:r w:rsidR="009D0E1A" w:rsidRPr="00796736">
        <w:fldChar w:fldCharType="separate"/>
      </w:r>
      <w:r w:rsidR="008F29E5">
        <w:t>§ 93</w:t>
      </w:r>
      <w:bookmarkEnd w:id="2137"/>
      <w:bookmarkEnd w:id="2138"/>
      <w:r w:rsidR="009D0E1A" w:rsidRPr="00796736">
        <w:fldChar w:fldCharType="end"/>
      </w:r>
      <w:r w:rsidRPr="00796736">
        <w:t xml:space="preserve"> </w:t>
      </w:r>
    </w:p>
    <w:p w14:paraId="3A2BE8CD" w14:textId="77777777" w:rsidR="00564FB5" w:rsidRPr="00796736" w:rsidRDefault="00564F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findes aktuelt ingen hjemmel til at oprette private-partnerskaber, hvor personer og virksomheder kan udveksle oplysninger med henblik på at forbygge eller bekæmpe hvidvask eller terrorfinansiering. </w:t>
      </w:r>
    </w:p>
    <w:p w14:paraId="418ECCE6" w14:textId="77777777" w:rsidR="00564FB5" w:rsidRPr="00796736" w:rsidRDefault="00564FB5" w:rsidP="00A802A5">
      <w:pPr>
        <w:spacing w:line="360" w:lineRule="auto"/>
        <w:rPr>
          <w:rFonts w:ascii="Times New Roman" w:hAnsi="Times New Roman" w:cs="Times New Roman"/>
          <w:sz w:val="24"/>
          <w:szCs w:val="24"/>
        </w:rPr>
      </w:pPr>
    </w:p>
    <w:p w14:paraId="1E5777E3" w14:textId="77777777" w:rsidR="00564FB5" w:rsidRPr="00796736" w:rsidRDefault="00564FB5" w:rsidP="00A802A5">
      <w:pPr>
        <w:spacing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Af hvidvaskforordningens artikel 75 fremgår muligheden for, at forpligtede enheder frivilligt kan indgå partnerskaber med henblik på udveksling af oplysninger. </w:t>
      </w:r>
      <w:r w:rsidRPr="00796736">
        <w:rPr>
          <w:rFonts w:ascii="Times New Roman" w:eastAsia="Calibri" w:hAnsi="Times New Roman" w:cs="Times New Roman"/>
          <w:sz w:val="24"/>
          <w:szCs w:val="24"/>
        </w:rPr>
        <w:t>Medlemmer af partnerskaber til udveksling af oplysninger kan udveksle oplysninger med hinanden, hvis det er strengt nødvendigt for at opfylde forpligtelserne i henhold til forordningens kapitel 3 om kundekendskabsprocedurer samt artikel 69 om indberetning af mistanke. Endvidere skal udvekslingen være i overensstemmelse med de grundlæggende rettigheder og retssikkerhedsgarantier.</w:t>
      </w:r>
    </w:p>
    <w:p w14:paraId="1C9EFB43" w14:textId="77777777" w:rsidR="00564FB5" w:rsidRPr="00796736" w:rsidRDefault="00564FB5" w:rsidP="00A802A5">
      <w:pPr>
        <w:spacing w:line="360" w:lineRule="auto"/>
        <w:rPr>
          <w:rFonts w:ascii="Times New Roman" w:eastAsia="Calibri" w:hAnsi="Times New Roman" w:cs="Times New Roman"/>
          <w:sz w:val="24"/>
          <w:szCs w:val="24"/>
        </w:rPr>
      </w:pPr>
    </w:p>
    <w:p w14:paraId="7905F3A1" w14:textId="77777777"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Oplysninger, der udveksles inden for rammerne af et partnerskab til udveksling af oplysninger, begrænses til oplysninger om kunden, om formålet med og den tilsigtede art af forretningsforbindelsen, og hvis relevant om midlernes oprindelse, oplysninger om kundetransaktioner, oplysninger om risikofaktorer forbundet med kunden samt oplysninger om mistanke, som er indberettet i henhold til forordningens artikel 69. </w:t>
      </w:r>
    </w:p>
    <w:p w14:paraId="6F5422F5" w14:textId="77777777" w:rsidR="00564FB5" w:rsidRPr="00796736" w:rsidRDefault="00564FB5" w:rsidP="00A802A5">
      <w:pPr>
        <w:spacing w:line="360" w:lineRule="auto"/>
        <w:rPr>
          <w:rFonts w:ascii="Times New Roman" w:eastAsia="Calibri" w:hAnsi="Times New Roman" w:cs="Times New Roman"/>
          <w:sz w:val="24"/>
          <w:szCs w:val="24"/>
        </w:rPr>
      </w:pPr>
    </w:p>
    <w:p w14:paraId="09CE08D1" w14:textId="77777777" w:rsidR="00564FB5" w:rsidRPr="00796736" w:rsidRDefault="00564FB5"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Af forordningens artikel 75, stk. 7, fremgår det, at hvis tilsynsmyndighederne finder det nødvendigt, skal forpligtede enheder, der deltager i et partnerskab til udveksling af oplysninger, få foretaget en uafhængig revision af, hvordan dette partnerskab fungerer, og udveksle resultaterne med tilsynsmyndighederne.</w:t>
      </w:r>
    </w:p>
    <w:p w14:paraId="4034FE7C" w14:textId="77777777" w:rsidR="00564FB5" w:rsidRPr="00796736" w:rsidRDefault="00564FB5" w:rsidP="00A802A5">
      <w:pPr>
        <w:spacing w:line="360" w:lineRule="auto"/>
        <w:rPr>
          <w:rFonts w:ascii="Times New Roman" w:hAnsi="Times New Roman" w:cs="Times New Roman"/>
          <w:sz w:val="24"/>
          <w:szCs w:val="24"/>
        </w:rPr>
      </w:pPr>
    </w:p>
    <w:p w14:paraId="4C13BC9A" w14:textId="61B64F21" w:rsidR="00564FB5" w:rsidRPr="00796736" w:rsidRDefault="00564F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w:t>
      </w:r>
      <w:r w:rsidR="00065BBB" w:rsidRPr="00796736">
        <w:rPr>
          <w:rFonts w:ascii="Times New Roman" w:hAnsi="Times New Roman" w:cs="Times New Roman"/>
          <w:sz w:val="24"/>
          <w:szCs w:val="24"/>
        </w:rPr>
        <w:t>at Erhvervsstyrelsen kan påbyde virksomheder og personer, der deltager i et partnerskab med henblik på udveksling af oplysninger i henhold til hvidvaskforordningens artikel 75, at få foretaget en uafhængig revision af, hvordan partnerskabet fungerer.</w:t>
      </w:r>
    </w:p>
    <w:p w14:paraId="2C374CD1" w14:textId="77777777" w:rsidR="00564FB5" w:rsidRPr="00796736" w:rsidRDefault="00564FB5" w:rsidP="00A802A5">
      <w:pPr>
        <w:spacing w:line="360" w:lineRule="auto"/>
        <w:rPr>
          <w:rFonts w:ascii="Times New Roman" w:hAnsi="Times New Roman" w:cs="Times New Roman"/>
          <w:sz w:val="24"/>
          <w:szCs w:val="24"/>
        </w:rPr>
      </w:pPr>
    </w:p>
    <w:p w14:paraId="33D885F3" w14:textId="77777777" w:rsidR="003D2A25" w:rsidRPr="00D253F0" w:rsidRDefault="003D2A25" w:rsidP="00A802A5">
      <w:pPr>
        <w:spacing w:line="360" w:lineRule="auto"/>
        <w:rPr>
          <w:rFonts w:ascii="Times New Roman" w:hAnsi="Times New Roman" w:cs="Times New Roman"/>
          <w:sz w:val="24"/>
          <w:szCs w:val="24"/>
        </w:rPr>
      </w:pPr>
      <w:r>
        <w:rPr>
          <w:rFonts w:ascii="Times New Roman" w:hAnsi="Times New Roman" w:cs="Times New Roman"/>
          <w:sz w:val="24"/>
          <w:szCs w:val="24"/>
        </w:rPr>
        <w:t>Den foreslåede bestemmelse vil indebære, at Erhvervsstyrelsen kan træffe afgørelse om, at der skal foretages en uafhængig revision af indgået partnerskab om udveksling af oplysninger efter hvidvaskforordningens artikel 75.</w:t>
      </w:r>
    </w:p>
    <w:p w14:paraId="46AE60EB" w14:textId="77777777" w:rsidR="00564FB5" w:rsidRPr="00796736" w:rsidRDefault="00564FB5" w:rsidP="00A802A5">
      <w:pPr>
        <w:spacing w:line="360" w:lineRule="auto"/>
        <w:rPr>
          <w:rFonts w:ascii="Times New Roman" w:hAnsi="Times New Roman" w:cs="Times New Roman"/>
          <w:sz w:val="24"/>
          <w:szCs w:val="24"/>
        </w:rPr>
      </w:pPr>
    </w:p>
    <w:p w14:paraId="2AC8F808" w14:textId="77777777" w:rsidR="00564FB5" w:rsidRPr="00796736" w:rsidRDefault="00564F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er ny og udmønter artikel 75, stk. 7, i Euro-Parlaments og Rådets forordningen (EU) 2024/1624 af 31. maj 2024 om forebyggende foranstaltninger mod anvendelse af det finansielle system til hvidvask af penge eller finansiering af terrorisme. </w:t>
      </w:r>
    </w:p>
    <w:p w14:paraId="7AE00A84" w14:textId="77777777" w:rsidR="00564FB5" w:rsidRPr="00796736" w:rsidRDefault="00564FB5" w:rsidP="00A802A5">
      <w:pPr>
        <w:spacing w:line="360" w:lineRule="auto"/>
        <w:rPr>
          <w:rFonts w:ascii="Times New Roman" w:hAnsi="Times New Roman" w:cs="Times New Roman"/>
          <w:sz w:val="24"/>
          <w:szCs w:val="24"/>
        </w:rPr>
      </w:pPr>
    </w:p>
    <w:p w14:paraId="20695956" w14:textId="66DAEFCA"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nævnte type partnerskab er ikke selvstændigt underlagt et egentlig tilsyn fra f.eks. Erhvervsstyrelsen. Derfor er der behov for at Erhvervsstyrelsen kan påbyde, at partnerskabet skal få foretaget en uafhængig revision</w:t>
      </w:r>
      <w:r w:rsidR="003D2A25">
        <w:rPr>
          <w:rFonts w:ascii="Times New Roman" w:hAnsi="Times New Roman" w:cs="Times New Roman"/>
          <w:sz w:val="24"/>
          <w:szCs w:val="24"/>
        </w:rPr>
        <w:t>.</w:t>
      </w:r>
      <w:r w:rsidRPr="00796736">
        <w:rPr>
          <w:rFonts w:ascii="Times New Roman" w:hAnsi="Times New Roman" w:cs="Times New Roman"/>
          <w:sz w:val="24"/>
          <w:szCs w:val="24"/>
        </w:rPr>
        <w:t xml:space="preserve"> </w:t>
      </w:r>
    </w:p>
    <w:p w14:paraId="2C2EA41C" w14:textId="77777777" w:rsidR="00564FB5" w:rsidRPr="00796736" w:rsidRDefault="00564FB5" w:rsidP="00A802A5">
      <w:pPr>
        <w:spacing w:line="360" w:lineRule="auto"/>
        <w:rPr>
          <w:rFonts w:ascii="Times New Roman" w:hAnsi="Times New Roman" w:cs="Times New Roman"/>
          <w:sz w:val="24"/>
          <w:szCs w:val="24"/>
        </w:rPr>
      </w:pPr>
    </w:p>
    <w:p w14:paraId="145A845E" w14:textId="77777777" w:rsidR="00564FB5" w:rsidRPr="00796736" w:rsidRDefault="00564F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kan være nødvendigt at påbyde en uafhængig revision, hvis der opstår tvivl om, hvorvidt partnerskabet overholder gældende lovgivning og regler for informationsudveksling, herunder krav til datasikkerhed, fortrolighed og korrekt håndtering af personoplysninger. Dette kan eksempelvis være relevant, hvis der identificeres uregelmæssigheder i partnerskabets processer, hvis der modtages indberetninger om potentielle brud på reglerne, eller hvis der i forbindelse med tilsyn konstateres manglende dokumentation for, hvordan partnerskabet fungerer i praksis. En uafhængig revision kan således bidrage til at klarlægge, om partnerskabet fungerer forsvarligt og i overensstemmelse med de fastsatte krav.</w:t>
      </w:r>
    </w:p>
    <w:p w14:paraId="6F94C244" w14:textId="77777777" w:rsidR="00564FB5" w:rsidRPr="00796736" w:rsidRDefault="00564FB5" w:rsidP="00A802A5">
      <w:pPr>
        <w:spacing w:line="360" w:lineRule="auto"/>
        <w:rPr>
          <w:rFonts w:ascii="Times New Roman" w:hAnsi="Times New Roman" w:cs="Times New Roman"/>
          <w:sz w:val="24"/>
          <w:szCs w:val="24"/>
        </w:rPr>
      </w:pPr>
    </w:p>
    <w:p w14:paraId="563DE62C" w14:textId="77777777" w:rsidR="00065BBB"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Virksomheder og personer, som deltager i et partnerskab med henblik på udveksling af oplysninger, vil fortsat være underlagt selvstændigt tilsyn af f.eks. Erhvervsstyrelsen. Det sædvanlige tilsyn, herunder hvidvasktilsynet med de pågældende personer og virksomheder, forbliver uændret. </w:t>
      </w:r>
    </w:p>
    <w:p w14:paraId="42599728" w14:textId="77777777" w:rsidR="003D2A25" w:rsidRDefault="003D2A25" w:rsidP="00A802A5">
      <w:pPr>
        <w:spacing w:line="360" w:lineRule="auto"/>
        <w:rPr>
          <w:rFonts w:ascii="Times New Roman" w:hAnsi="Times New Roman" w:cs="Times New Roman"/>
          <w:sz w:val="24"/>
          <w:szCs w:val="24"/>
        </w:rPr>
      </w:pPr>
    </w:p>
    <w:p w14:paraId="3B37628F" w14:textId="77777777" w:rsidR="003D2A25" w:rsidRDefault="003D2A25" w:rsidP="00A802A5">
      <w:pPr>
        <w:spacing w:line="360" w:lineRule="auto"/>
        <w:rPr>
          <w:rFonts w:ascii="Times New Roman" w:hAnsi="Times New Roman" w:cs="Times New Roman"/>
          <w:sz w:val="24"/>
          <w:szCs w:val="24"/>
        </w:rPr>
      </w:pPr>
      <w:r>
        <w:rPr>
          <w:rFonts w:ascii="Times New Roman" w:hAnsi="Times New Roman" w:cs="Times New Roman"/>
          <w:sz w:val="24"/>
          <w:szCs w:val="24"/>
        </w:rPr>
        <w:t>Bestemmelsen</w:t>
      </w:r>
      <w:r w:rsidRPr="00483074">
        <w:rPr>
          <w:rFonts w:ascii="Times New Roman" w:hAnsi="Times New Roman" w:cs="Times New Roman"/>
          <w:sz w:val="24"/>
          <w:szCs w:val="24"/>
        </w:rPr>
        <w:t xml:space="preserve">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56CCE96E" w14:textId="77777777" w:rsidR="003D2A25" w:rsidRDefault="003D2A25" w:rsidP="00A802A5">
      <w:pPr>
        <w:spacing w:line="360" w:lineRule="auto"/>
        <w:rPr>
          <w:rFonts w:ascii="Times New Roman" w:hAnsi="Times New Roman" w:cs="Times New Roman"/>
          <w:sz w:val="24"/>
          <w:szCs w:val="24"/>
        </w:rPr>
      </w:pPr>
    </w:p>
    <w:p w14:paraId="0E2406DE" w14:textId="63440671" w:rsidR="003D2A25" w:rsidRDefault="003D2A25" w:rsidP="00A802A5">
      <w:pPr>
        <w:spacing w:line="360" w:lineRule="auto"/>
        <w:rPr>
          <w:rFonts w:ascii="Times New Roman" w:hAnsi="Times New Roman" w:cs="Times New Roman"/>
          <w:sz w:val="24"/>
          <w:szCs w:val="24"/>
        </w:rPr>
      </w:pPr>
      <w:r w:rsidRPr="00D253F0">
        <w:rPr>
          <w:rFonts w:ascii="Times New Roman" w:eastAsia="Calibri" w:hAnsi="Times New Roman" w:cs="Times New Roman"/>
          <w:iCs/>
          <w:sz w:val="24"/>
          <w:szCs w:val="24"/>
        </w:rPr>
        <w:t xml:space="preserve">Efter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w:t>
      </w:r>
      <w:r w:rsidRPr="00D253F0">
        <w:rPr>
          <w:rFonts w:ascii="Times New Roman" w:eastAsia="Calibri" w:hAnsi="Times New Roman" w:cs="Times New Roman"/>
          <w:iCs/>
          <w:sz w:val="24"/>
          <w:szCs w:val="24"/>
        </w:rPr>
        <w:t xml:space="preserve"> 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Erhvervsstyrelsen kan udstede</w:t>
      </w:r>
      <w:r w:rsidRPr="00D253F0">
        <w:rPr>
          <w:rFonts w:ascii="Times New Roman" w:eastAsia="Calibri" w:hAnsi="Times New Roman" w:cs="Times New Roman"/>
          <w:iCs/>
          <w:sz w:val="24"/>
          <w:szCs w:val="24"/>
        </w:rPr>
        <w:t xml:space="preserve"> 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p>
    <w:p w14:paraId="17282753" w14:textId="77777777" w:rsidR="003D2A25" w:rsidRDefault="003D2A25" w:rsidP="00A802A5">
      <w:pPr>
        <w:spacing w:line="360" w:lineRule="auto"/>
        <w:rPr>
          <w:rFonts w:ascii="Times New Roman" w:hAnsi="Times New Roman" w:cs="Times New Roman"/>
          <w:sz w:val="24"/>
          <w:szCs w:val="24"/>
        </w:rPr>
      </w:pPr>
    </w:p>
    <w:p w14:paraId="7A796939" w14:textId="77777777" w:rsidR="003D2A25" w:rsidRDefault="003D2A25" w:rsidP="00A802A5">
      <w:pPr>
        <w:spacing w:line="360" w:lineRule="auto"/>
        <w:rPr>
          <w:rFonts w:ascii="Times New Roman" w:hAnsi="Times New Roman" w:cs="Times New Roman"/>
          <w:sz w:val="24"/>
          <w:szCs w:val="24"/>
        </w:rPr>
      </w:pPr>
      <w:r>
        <w:rPr>
          <w:rFonts w:ascii="Times New Roman" w:hAnsi="Times New Roman" w:cs="Times New Roman"/>
          <w:sz w:val="24"/>
          <w:szCs w:val="24"/>
        </w:rPr>
        <w:t>Det foreslås i</w:t>
      </w:r>
      <w:r w:rsidRPr="00D253F0">
        <w:rPr>
          <w:rFonts w:ascii="Times New Roman" w:hAnsi="Times New Roman" w:cs="Times New Roman"/>
          <w:sz w:val="24"/>
          <w:szCs w:val="24"/>
        </w:rPr>
        <w:t xml:space="preserve"> </w:t>
      </w:r>
      <w:r w:rsidRPr="00D253F0">
        <w:rPr>
          <w:rFonts w:ascii="Times New Roman" w:hAnsi="Times New Roman" w:cs="Times New Roman"/>
          <w:i/>
          <w:iCs/>
          <w:sz w:val="24"/>
          <w:szCs w:val="24"/>
        </w:rPr>
        <w:t>stk. 2</w:t>
      </w:r>
      <w:r>
        <w:rPr>
          <w:rFonts w:ascii="Times New Roman" w:hAnsi="Times New Roman" w:cs="Times New Roman"/>
          <w:i/>
          <w:iCs/>
          <w:sz w:val="24"/>
          <w:szCs w:val="24"/>
        </w:rPr>
        <w:t>,</w:t>
      </w:r>
      <w:r w:rsidRPr="00D253F0">
        <w:rPr>
          <w:rFonts w:ascii="Times New Roman" w:hAnsi="Times New Roman" w:cs="Times New Roman"/>
          <w:sz w:val="24"/>
          <w:szCs w:val="24"/>
        </w:rPr>
        <w:t xml:space="preserve"> </w:t>
      </w:r>
      <w:r>
        <w:rPr>
          <w:rFonts w:ascii="Times New Roman" w:hAnsi="Times New Roman" w:cs="Times New Roman"/>
          <w:sz w:val="24"/>
          <w:szCs w:val="24"/>
        </w:rPr>
        <w:t>at</w:t>
      </w:r>
      <w:r w:rsidRPr="00D253F0">
        <w:rPr>
          <w:rFonts w:ascii="Times New Roman" w:hAnsi="Times New Roman" w:cs="Times New Roman"/>
          <w:sz w:val="24"/>
          <w:szCs w:val="24"/>
        </w:rPr>
        <w:t xml:space="preserve"> Erhvervsstyrelsen </w:t>
      </w:r>
      <w:r>
        <w:rPr>
          <w:rFonts w:ascii="Times New Roman" w:hAnsi="Times New Roman" w:cs="Times New Roman"/>
          <w:sz w:val="24"/>
          <w:szCs w:val="24"/>
        </w:rPr>
        <w:t xml:space="preserve">kan </w:t>
      </w:r>
      <w:r w:rsidRPr="00D253F0">
        <w:rPr>
          <w:rFonts w:ascii="Times New Roman" w:hAnsi="Times New Roman" w:cs="Times New Roman"/>
          <w:sz w:val="24"/>
          <w:szCs w:val="24"/>
        </w:rPr>
        <w:t>påbyde, at</w:t>
      </w:r>
      <w:r w:rsidRPr="00D253F0">
        <w:rPr>
          <w:rFonts w:ascii="Times New Roman" w:hAnsi="Times New Roman" w:cs="Times New Roman"/>
          <w:i/>
          <w:iCs/>
          <w:sz w:val="24"/>
          <w:szCs w:val="24"/>
        </w:rPr>
        <w:t xml:space="preserve"> </w:t>
      </w:r>
      <w:r w:rsidRPr="00D253F0">
        <w:rPr>
          <w:rFonts w:ascii="Times New Roman" w:hAnsi="Times New Roman" w:cs="Times New Roman"/>
          <w:sz w:val="24"/>
          <w:szCs w:val="24"/>
        </w:rPr>
        <w:t>resultatet af den uafhængige revision skal udveksles med Erhvervsstyrelsen.</w:t>
      </w:r>
    </w:p>
    <w:p w14:paraId="1EC6BA40" w14:textId="77777777" w:rsidR="003D2A25" w:rsidRDefault="003D2A25" w:rsidP="00A802A5">
      <w:pPr>
        <w:spacing w:line="360" w:lineRule="auto"/>
        <w:rPr>
          <w:rFonts w:ascii="Times New Roman" w:hAnsi="Times New Roman" w:cs="Times New Roman"/>
          <w:sz w:val="24"/>
          <w:szCs w:val="24"/>
        </w:rPr>
      </w:pPr>
    </w:p>
    <w:p w14:paraId="48E3FD8B" w14:textId="77777777" w:rsidR="003D2A25" w:rsidRPr="00D253F0" w:rsidRDefault="003D2A25" w:rsidP="00A802A5">
      <w:pPr>
        <w:spacing w:line="360" w:lineRule="auto"/>
        <w:rPr>
          <w:rFonts w:ascii="Times New Roman" w:hAnsi="Times New Roman" w:cs="Times New Roman"/>
          <w:sz w:val="24"/>
          <w:szCs w:val="24"/>
        </w:rPr>
      </w:pPr>
      <w:r>
        <w:rPr>
          <w:rFonts w:ascii="Times New Roman" w:hAnsi="Times New Roman" w:cs="Times New Roman"/>
          <w:sz w:val="24"/>
          <w:szCs w:val="24"/>
        </w:rPr>
        <w:t>Den foreslåede bestemmelse vil medføre, at Erhvervsstyrelsen kan træffe afgørelse om at få udleveret kopi af resultatet af den uafhængige revision af partnerskabet.</w:t>
      </w:r>
    </w:p>
    <w:p w14:paraId="110A34B9" w14:textId="77777777" w:rsidR="00564FB5" w:rsidRPr="00796736" w:rsidRDefault="00564FB5" w:rsidP="00A802A5">
      <w:pPr>
        <w:spacing w:line="360" w:lineRule="auto"/>
        <w:rPr>
          <w:rFonts w:ascii="Times New Roman" w:hAnsi="Times New Roman" w:cs="Times New Roman"/>
          <w:sz w:val="24"/>
          <w:szCs w:val="24"/>
        </w:rPr>
      </w:pPr>
    </w:p>
    <w:p w14:paraId="4F955C4C" w14:textId="394249BA" w:rsidR="00564FB5" w:rsidRDefault="00564FB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Oplysninger om virksomheder og personers deltagelse i et partnerskab vil, ligesom resultaterne af en uafhængig revision indgå i det løbende tilsyn med virksomhederne og personerne.</w:t>
      </w:r>
    </w:p>
    <w:p w14:paraId="2EF29DFA" w14:textId="77777777" w:rsidR="003D2A25" w:rsidRDefault="003D2A25" w:rsidP="00A802A5">
      <w:pPr>
        <w:spacing w:line="360" w:lineRule="auto"/>
        <w:rPr>
          <w:rFonts w:ascii="Times New Roman" w:hAnsi="Times New Roman" w:cs="Times New Roman"/>
          <w:sz w:val="24"/>
          <w:szCs w:val="24"/>
        </w:rPr>
      </w:pPr>
    </w:p>
    <w:p w14:paraId="53545962" w14:textId="77777777" w:rsidR="003D2A25" w:rsidRDefault="003D2A25"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Bestemmelsen</w:t>
      </w:r>
      <w:r w:rsidRPr="00483074">
        <w:rPr>
          <w:rFonts w:ascii="Times New Roman" w:hAnsi="Times New Roman" w:cs="Times New Roman"/>
          <w:sz w:val="24"/>
          <w:szCs w:val="24"/>
        </w:rPr>
        <w:t xml:space="preserve">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65F5D8E5" w14:textId="1C993634" w:rsidR="003D2A25" w:rsidRDefault="003D2A25" w:rsidP="00A802A5">
      <w:pPr>
        <w:spacing w:after="240" w:line="360" w:lineRule="auto"/>
        <w:rPr>
          <w:rFonts w:ascii="Times New Roman" w:hAnsi="Times New Roman" w:cs="Times New Roman"/>
          <w:sz w:val="24"/>
          <w:szCs w:val="24"/>
        </w:rPr>
      </w:pPr>
      <w:r w:rsidRPr="00D253F0">
        <w:rPr>
          <w:rFonts w:ascii="Times New Roman" w:eastAsia="Calibri" w:hAnsi="Times New Roman" w:cs="Times New Roman"/>
          <w:iCs/>
          <w:sz w:val="24"/>
          <w:szCs w:val="24"/>
        </w:rPr>
        <w:t xml:space="preserve">Efter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3</w:t>
      </w:r>
      <w:r w:rsidRPr="00D253F0">
        <w:rPr>
          <w:rFonts w:ascii="Times New Roman" w:eastAsia="Calibri" w:hAnsi="Times New Roman" w:cs="Times New Roman"/>
          <w:iCs/>
          <w:sz w:val="24"/>
          <w:szCs w:val="24"/>
        </w:rPr>
        <w:t xml:space="preserve"> og </w:t>
      </w:r>
      <w:r w:rsidRPr="00D253F0">
        <w:rPr>
          <w:rFonts w:ascii="Times New Roman" w:eastAsia="Calibri" w:hAnsi="Times New Roman" w:cs="Times New Roman"/>
          <w:iCs/>
          <w:sz w:val="24"/>
          <w:szCs w:val="24"/>
        </w:rPr>
        <w:fldChar w:fldCharType="begin"/>
      </w:r>
      <w:r w:rsidRPr="00D253F0">
        <w:rPr>
          <w:rFonts w:ascii="Times New Roman" w:eastAsia="Calibri" w:hAnsi="Times New Roman" w:cs="Times New Roman"/>
          <w:iCs/>
          <w:sz w:val="24"/>
          <w:szCs w:val="24"/>
        </w:rPr>
        <w:instrText xml:space="preserve"> REF _Ref232610061 \n \h  \* MERGEFORMAT </w:instrText>
      </w:r>
      <w:r w:rsidRPr="00D253F0">
        <w:rPr>
          <w:rFonts w:ascii="Times New Roman" w:eastAsia="Calibri" w:hAnsi="Times New Roman" w:cs="Times New Roman"/>
          <w:iCs/>
          <w:sz w:val="24"/>
          <w:szCs w:val="24"/>
        </w:rPr>
      </w:r>
      <w:r w:rsidRPr="00D253F0">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Pr="00D253F0">
        <w:rPr>
          <w:rFonts w:ascii="Times New Roman" w:eastAsia="Calibri" w:hAnsi="Times New Roman" w:cs="Times New Roman"/>
          <w:iCs/>
          <w:sz w:val="24"/>
          <w:szCs w:val="24"/>
        </w:rPr>
        <w:fldChar w:fldCharType="end"/>
      </w:r>
      <w:r w:rsidRPr="00D253F0">
        <w:rPr>
          <w:rFonts w:ascii="Times New Roman" w:eastAsia="Calibri" w:hAnsi="Times New Roman" w:cs="Times New Roman"/>
          <w:iCs/>
          <w:sz w:val="24"/>
          <w:szCs w:val="24"/>
        </w:rPr>
        <w:t xml:space="preserve"> i forslaget kan undladelse af at efterkomme påbuddet straffes med bøde eller </w:t>
      </w:r>
      <w:r>
        <w:rPr>
          <w:rFonts w:ascii="Times New Roman" w:eastAsia="Calibri" w:hAnsi="Times New Roman" w:cs="Times New Roman"/>
          <w:iCs/>
          <w:sz w:val="24"/>
          <w:szCs w:val="24"/>
        </w:rPr>
        <w:t>Erhvervsstyrelsen kan udstede</w:t>
      </w:r>
      <w:r w:rsidRPr="00D253F0">
        <w:rPr>
          <w:rFonts w:ascii="Times New Roman" w:eastAsia="Calibri" w:hAnsi="Times New Roman" w:cs="Times New Roman"/>
          <w:iCs/>
          <w:sz w:val="24"/>
          <w:szCs w:val="24"/>
        </w:rPr>
        <w:t xml:space="preserve"> tvangsbøde</w:t>
      </w:r>
      <w:r>
        <w:rPr>
          <w:rFonts w:ascii="Times New Roman" w:eastAsia="Calibri" w:hAnsi="Times New Roman" w:cs="Times New Roman"/>
          <w:iCs/>
          <w:sz w:val="24"/>
          <w:szCs w:val="24"/>
        </w:rPr>
        <w:t>r</w:t>
      </w:r>
      <w:r w:rsidRPr="00D253F0">
        <w:rPr>
          <w:rFonts w:ascii="Times New Roman" w:eastAsia="Calibri" w:hAnsi="Times New Roman" w:cs="Times New Roman"/>
          <w:iCs/>
          <w:sz w:val="24"/>
          <w:szCs w:val="24"/>
        </w:rPr>
        <w:t>.</w:t>
      </w:r>
    </w:p>
    <w:p w14:paraId="238EB04B" w14:textId="77777777" w:rsidR="003D2A25" w:rsidRPr="00574C91"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 xml:space="preserve">Et påbud om at fremlægge </w:t>
      </w:r>
      <w:r>
        <w:rPr>
          <w:rFonts w:ascii="Times New Roman" w:hAnsi="Times New Roman" w:cs="Times New Roman"/>
          <w:sz w:val="24"/>
          <w:szCs w:val="24"/>
        </w:rPr>
        <w:t>resultatet af den uafhængige revision</w:t>
      </w:r>
      <w:r w:rsidRPr="00574C91">
        <w:rPr>
          <w:rFonts w:ascii="Times New Roman" w:hAnsi="Times New Roman" w:cs="Times New Roman"/>
          <w:sz w:val="24"/>
          <w:szCs w:val="24"/>
        </w:rPr>
        <w:t xml:space="preserve"> vil indebære en oplysningspligt, jf. § 1, stk. 3, i lov om retssikkerhed ved forvaltningens anvendelse af tvangsindgreb og oplysningspligter (retssikkerhedsloven). Dette vil indebære, at oplysningspligten ikke finder anvendelse over for en enkeltperson eller juridisk person, hvis der er konkret mistanke om, at den pågældende har begået en lovovertrædelse, der kan medføre straf, medmindre det kan udelukkes, at de oplysninger, som søges tilvejebragt, kan have betydning for bedømmelsen af den formodede lovovertrædelse, jf. § 10 i retssikkerhedsloven.</w:t>
      </w:r>
    </w:p>
    <w:p w14:paraId="340E04B0" w14:textId="77777777" w:rsidR="003D2A25" w:rsidRPr="00574C91"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 xml:space="preserve">Erhvervsstyrelsen vil i sådanne tilfælde skulle vejlede den mistænkte om, at vedkommende ikke har pligt til at meddele oplysninger, som kan have betydning for bedømmelsen af den formodede lovovertrædelse. </w:t>
      </w:r>
    </w:p>
    <w:p w14:paraId="18D6ACCE" w14:textId="77777777" w:rsidR="003D2A25" w:rsidRDefault="003D2A25" w:rsidP="00A802A5">
      <w:pPr>
        <w:spacing w:after="240" w:line="360" w:lineRule="auto"/>
        <w:rPr>
          <w:rFonts w:ascii="Times New Roman" w:hAnsi="Times New Roman" w:cs="Times New Roman"/>
          <w:sz w:val="24"/>
          <w:szCs w:val="24"/>
        </w:rPr>
      </w:pPr>
      <w:r w:rsidRPr="00574C91">
        <w:rPr>
          <w:rFonts w:ascii="Times New Roman" w:hAnsi="Times New Roman" w:cs="Times New Roman"/>
          <w:sz w:val="24"/>
          <w:szCs w:val="24"/>
        </w:rPr>
        <w:t>Se nærmere herom i de almindelige bemærkninger pkt. 4.3.</w:t>
      </w:r>
    </w:p>
    <w:p w14:paraId="4A260BB8" w14:textId="43BADDF4" w:rsidR="00A00AFA" w:rsidRPr="00796736" w:rsidRDefault="003D2A25" w:rsidP="005A265F">
      <w:pPr>
        <w:spacing w:after="240" w:line="360" w:lineRule="auto"/>
        <w:rPr>
          <w:rFonts w:ascii="Times New Roman" w:hAnsi="Times New Roman" w:cs="Times New Roman"/>
          <w:sz w:val="24"/>
          <w:szCs w:val="24"/>
        </w:rPr>
      </w:pPr>
      <w:r w:rsidRPr="00D253F0">
        <w:rPr>
          <w:rFonts w:ascii="Times New Roman" w:hAnsi="Times New Roman" w:cs="Times New Roman"/>
          <w:sz w:val="24"/>
          <w:szCs w:val="24"/>
        </w:rPr>
        <w:t xml:space="preserve">Erhvervsstyrelsen kan </w:t>
      </w:r>
      <w:r>
        <w:rPr>
          <w:rFonts w:ascii="Times New Roman" w:hAnsi="Times New Roman" w:cs="Times New Roman"/>
          <w:sz w:val="24"/>
          <w:szCs w:val="24"/>
        </w:rPr>
        <w:t xml:space="preserve">ligeledes </w:t>
      </w:r>
      <w:r w:rsidRPr="00D253F0">
        <w:rPr>
          <w:rFonts w:ascii="Times New Roman" w:hAnsi="Times New Roman" w:cs="Times New Roman"/>
          <w:sz w:val="24"/>
          <w:szCs w:val="24"/>
        </w:rPr>
        <w:t>ikke pålægge tvangsbøder, hvis styrelsen har en konkret mistanke om, at en enkeltperson eller en juridisk person har begået en lovovertrædelse, jf. § 10 i lov om retssikkerhed ved forvaltningens anvendelse af tvangsindgreb og oplysningspligter (retssikkerhedsloven). Tvangsbøder kan dog anvendes, hvis det kan udelukkes, at de oplysninger, som søges tilvejebragt, kan have betydning for bedømmelsen af den formodede lovovertrædelse.</w:t>
      </w:r>
    </w:p>
    <w:p w14:paraId="20CF420F" w14:textId="77777777" w:rsidR="00A00AFA" w:rsidRPr="00796736" w:rsidRDefault="00A00AFA" w:rsidP="00A802A5">
      <w:pPr>
        <w:spacing w:line="360" w:lineRule="auto"/>
        <w:rPr>
          <w:rFonts w:ascii="Times New Roman" w:eastAsia="Times New Roman" w:hAnsi="Times New Roman" w:cs="Times New Roman"/>
          <w:sz w:val="24"/>
          <w:szCs w:val="24"/>
          <w:lang w:eastAsia="da-DK"/>
        </w:rPr>
      </w:pPr>
    </w:p>
    <w:p w14:paraId="244CCE28" w14:textId="5A0AB58F" w:rsidR="00A00AFA" w:rsidRPr="00796736" w:rsidRDefault="00A00AFA" w:rsidP="00A802A5">
      <w:pPr>
        <w:pStyle w:val="Undertitel"/>
      </w:pPr>
      <w:bookmarkStart w:id="2139" w:name="_Toc232109422"/>
      <w:bookmarkStart w:id="2140" w:name="_Toc244879390"/>
      <w:bookmarkStart w:id="2141" w:name="_Toc244880915"/>
      <w:r w:rsidRPr="00796736">
        <w:t xml:space="preserve">Til </w:t>
      </w:r>
      <w:bookmarkEnd w:id="2139"/>
      <w:r w:rsidR="00C86CFF" w:rsidRPr="00796736">
        <w:fldChar w:fldCharType="begin"/>
      </w:r>
      <w:r w:rsidR="00C86CFF" w:rsidRPr="00796736">
        <w:instrText xml:space="preserve"> REF _Ref232609108 \r \h </w:instrText>
      </w:r>
      <w:r w:rsidR="00967618" w:rsidRPr="00796736">
        <w:instrText xml:space="preserve"> \* MERGEFORMAT </w:instrText>
      </w:r>
      <w:r w:rsidR="00C86CFF" w:rsidRPr="00796736">
        <w:fldChar w:fldCharType="separate"/>
      </w:r>
      <w:r w:rsidR="008F29E5">
        <w:t>§ 94</w:t>
      </w:r>
      <w:bookmarkEnd w:id="2140"/>
      <w:bookmarkEnd w:id="2141"/>
      <w:r w:rsidR="00C86CFF" w:rsidRPr="00796736">
        <w:fldChar w:fldCharType="end"/>
      </w:r>
      <w:r w:rsidR="00564FB5" w:rsidRPr="00796736">
        <w:t xml:space="preserve"> </w:t>
      </w:r>
    </w:p>
    <w:p w14:paraId="76EC8DC8"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62 i den gældende hvidvasklov fastlægger Erhvervsstyrelsens pligt til at offentliggøre reaktioner og beslutninger om at overgive sager til politimæssig efterforskning.</w:t>
      </w:r>
    </w:p>
    <w:p w14:paraId="6C082964" w14:textId="315788E2"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w:t>
      </w:r>
      <w:r w:rsidR="006275AF" w:rsidRPr="00796736">
        <w:rPr>
          <w:rFonts w:ascii="Times New Roman" w:hAnsi="Times New Roman" w:cs="Times New Roman"/>
          <w:sz w:val="24"/>
          <w:szCs w:val="24"/>
        </w:rPr>
        <w:fldChar w:fldCharType="begin"/>
      </w:r>
      <w:r w:rsidR="006275AF" w:rsidRPr="00796736">
        <w:rPr>
          <w:rFonts w:ascii="Times New Roman" w:hAnsi="Times New Roman" w:cs="Times New Roman"/>
          <w:sz w:val="24"/>
          <w:szCs w:val="24"/>
        </w:rPr>
        <w:instrText xml:space="preserve"> REF _Ref232609108 \r \h </w:instrText>
      </w:r>
      <w:r w:rsidR="00967618" w:rsidRPr="00796736">
        <w:rPr>
          <w:rFonts w:ascii="Times New Roman" w:hAnsi="Times New Roman" w:cs="Times New Roman"/>
          <w:sz w:val="24"/>
          <w:szCs w:val="24"/>
        </w:rPr>
        <w:instrText xml:space="preserve"> \* MERGEFORMAT </w:instrText>
      </w:r>
      <w:r w:rsidR="006275AF" w:rsidRPr="00796736">
        <w:rPr>
          <w:rFonts w:ascii="Times New Roman" w:hAnsi="Times New Roman" w:cs="Times New Roman"/>
          <w:sz w:val="24"/>
          <w:szCs w:val="24"/>
        </w:rPr>
      </w:r>
      <w:r w:rsidR="006275A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94</w:t>
      </w:r>
      <w:r w:rsidR="006275AF" w:rsidRPr="00796736">
        <w:rPr>
          <w:rFonts w:ascii="Times New Roman" w:hAnsi="Times New Roman" w:cs="Times New Roman"/>
          <w:sz w:val="24"/>
          <w:szCs w:val="24"/>
        </w:rPr>
        <w:fldChar w:fldCharType="end"/>
      </w:r>
      <w:r w:rsidR="006275AF" w:rsidRPr="00796736">
        <w:rPr>
          <w:rFonts w:ascii="Times New Roman" w:hAnsi="Times New Roman" w:cs="Times New Roman"/>
          <w:sz w:val="24"/>
          <w:szCs w:val="24"/>
        </w:rPr>
        <w:t xml:space="preserve"> </w:t>
      </w:r>
      <w:r w:rsidRPr="00796736">
        <w:rPr>
          <w:rFonts w:ascii="Times New Roman" w:hAnsi="Times New Roman" w:cs="Times New Roman"/>
          <w:iCs/>
          <w:sz w:val="24"/>
          <w:szCs w:val="24"/>
        </w:rPr>
        <w:t xml:space="preserve">vedrører Erhvervsstyrelsens pligt til at offentliggøre reaktioner, pålagte tvangsbøder og beslutninger om at overgive sager til politimæssig efterforskning. </w:t>
      </w:r>
    </w:p>
    <w:p w14:paraId="1028C55C"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viderefører § 62 i den gældende lov med en række indholdsmæssige ændringer, som afspejler kravene i 6. hvidvaskdirektiv i relation til udvidelsen af reaktionsmulighederne for tilsynsmyndighederne, herunder pligten til at offentliggøre pålæggelse af tvangsbøder. Ligeledes foretages en række strukturelle ændringer. </w:t>
      </w:r>
    </w:p>
    <w:p w14:paraId="072820C9"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Bestemmelsen implementerer artikel 56, stk. 2, litra c og artikel 58 i 6. hvidvaskdirektiv.</w:t>
      </w:r>
    </w:p>
    <w:p w14:paraId="297E61A3" w14:textId="363D122D"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1</w:t>
      </w:r>
      <w:r w:rsidRPr="00796736">
        <w:rPr>
          <w:rFonts w:ascii="Times New Roman" w:eastAsia="Calibri" w:hAnsi="Times New Roman" w:cs="Times New Roman"/>
          <w:iCs/>
          <w:sz w:val="24"/>
          <w:szCs w:val="24"/>
        </w:rPr>
        <w:t xml:space="preserve">, at reaktioner givet efter </w:t>
      </w:r>
      <w:r w:rsidR="006275AF" w:rsidRPr="00796736">
        <w:rPr>
          <w:rFonts w:ascii="Times New Roman" w:eastAsia="Times New Roman" w:hAnsi="Times New Roman" w:cs="Times New Roman"/>
          <w:sz w:val="24"/>
          <w:szCs w:val="24"/>
          <w:lang w:eastAsia="da-DK"/>
        </w:rPr>
        <w:fldChar w:fldCharType="begin"/>
      </w:r>
      <w:r w:rsidR="006275AF" w:rsidRPr="00796736">
        <w:rPr>
          <w:rFonts w:ascii="Times New Roman" w:eastAsia="Calibri" w:hAnsi="Times New Roman" w:cs="Times New Roman"/>
          <w:iCs/>
          <w:sz w:val="24"/>
          <w:szCs w:val="24"/>
        </w:rPr>
        <w:instrText xml:space="preserve"> REF _Ref232597665 \r \h </w:instrText>
      </w:r>
      <w:r w:rsidR="00967618" w:rsidRPr="00796736">
        <w:rPr>
          <w:rFonts w:ascii="Times New Roman" w:eastAsia="Times New Roman" w:hAnsi="Times New Roman" w:cs="Times New Roman"/>
          <w:sz w:val="24"/>
          <w:szCs w:val="24"/>
          <w:lang w:eastAsia="da-DK"/>
        </w:rPr>
        <w:instrText xml:space="preserve"> \* MERGEFORMAT </w:instrText>
      </w:r>
      <w:r w:rsidR="006275AF" w:rsidRPr="00796736">
        <w:rPr>
          <w:rFonts w:ascii="Times New Roman" w:eastAsia="Times New Roman" w:hAnsi="Times New Roman" w:cs="Times New Roman"/>
          <w:sz w:val="24"/>
          <w:szCs w:val="24"/>
          <w:lang w:eastAsia="da-DK"/>
        </w:rPr>
      </w:r>
      <w:r w:rsidR="006275AF" w:rsidRPr="00796736">
        <w:rPr>
          <w:rFonts w:ascii="Times New Roman" w:eastAsia="Times New Roman" w:hAnsi="Times New Roman" w:cs="Times New Roman"/>
          <w:sz w:val="24"/>
          <w:szCs w:val="24"/>
          <w:lang w:eastAsia="da-DK"/>
        </w:rPr>
        <w:fldChar w:fldCharType="separate"/>
      </w:r>
      <w:r w:rsidR="008F29E5">
        <w:rPr>
          <w:rFonts w:ascii="Times New Roman" w:eastAsia="Calibri" w:hAnsi="Times New Roman" w:cs="Times New Roman"/>
          <w:iCs/>
          <w:sz w:val="24"/>
          <w:szCs w:val="24"/>
        </w:rPr>
        <w:t>§ 79</w:t>
      </w:r>
      <w:r w:rsidR="006275AF"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stk. 1, </w:t>
      </w:r>
      <w:r w:rsidR="006275AF" w:rsidRPr="00796736">
        <w:rPr>
          <w:rFonts w:ascii="Times New Roman" w:eastAsia="Times New Roman" w:hAnsi="Times New Roman" w:cs="Times New Roman"/>
          <w:sz w:val="24"/>
          <w:szCs w:val="24"/>
          <w:lang w:eastAsia="da-DK"/>
        </w:rPr>
        <w:fldChar w:fldCharType="begin"/>
      </w:r>
      <w:r w:rsidR="006275AF" w:rsidRPr="00796736">
        <w:rPr>
          <w:rFonts w:ascii="Times New Roman" w:eastAsia="Times New Roman" w:hAnsi="Times New Roman" w:cs="Times New Roman"/>
          <w:sz w:val="24"/>
          <w:szCs w:val="24"/>
          <w:lang w:eastAsia="da-DK"/>
        </w:rPr>
        <w:instrText xml:space="preserve"> REF _Ref232597715 \r \h </w:instrText>
      </w:r>
      <w:r w:rsidR="00967618" w:rsidRPr="00796736">
        <w:rPr>
          <w:rFonts w:ascii="Times New Roman" w:eastAsia="Times New Roman" w:hAnsi="Times New Roman" w:cs="Times New Roman"/>
          <w:sz w:val="24"/>
          <w:szCs w:val="24"/>
          <w:lang w:eastAsia="da-DK"/>
        </w:rPr>
        <w:instrText xml:space="preserve"> \* MERGEFORMAT </w:instrText>
      </w:r>
      <w:r w:rsidR="006275AF" w:rsidRPr="00796736">
        <w:rPr>
          <w:rFonts w:ascii="Times New Roman" w:eastAsia="Times New Roman" w:hAnsi="Times New Roman" w:cs="Times New Roman"/>
          <w:sz w:val="24"/>
          <w:szCs w:val="24"/>
          <w:lang w:eastAsia="da-DK"/>
        </w:rPr>
      </w:r>
      <w:r w:rsidR="006275AF"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87</w:t>
      </w:r>
      <w:r w:rsidR="006275AF" w:rsidRPr="00796736">
        <w:rPr>
          <w:rFonts w:ascii="Times New Roman" w:eastAsia="Times New Roman" w:hAnsi="Times New Roman" w:cs="Times New Roman"/>
          <w:sz w:val="24"/>
          <w:szCs w:val="24"/>
          <w:lang w:eastAsia="da-DK"/>
        </w:rPr>
        <w:fldChar w:fldCharType="end"/>
      </w:r>
      <w:r w:rsidRPr="00796736">
        <w:rPr>
          <w:rFonts w:ascii="Times New Roman" w:eastAsia="Calibri" w:hAnsi="Times New Roman" w:cs="Times New Roman"/>
          <w:sz w:val="24"/>
          <w:szCs w:val="24"/>
        </w:rPr>
        <w:t xml:space="preserve">, stk. </w:t>
      </w:r>
      <w:r w:rsidRPr="00796736">
        <w:rPr>
          <w:rFonts w:ascii="Times New Roman" w:eastAsia="Times New Roman" w:hAnsi="Times New Roman" w:cs="Times New Roman"/>
          <w:sz w:val="24"/>
          <w:szCs w:val="24"/>
          <w:lang w:eastAsia="da-DK"/>
        </w:rPr>
        <w:t xml:space="preserve">1, </w:t>
      </w:r>
      <w:r w:rsidR="00065BBB" w:rsidRPr="00796736">
        <w:rPr>
          <w:rFonts w:ascii="Times New Roman" w:eastAsia="Times New Roman" w:hAnsi="Times New Roman" w:cs="Times New Roman"/>
          <w:sz w:val="24"/>
          <w:szCs w:val="24"/>
          <w:lang w:eastAsia="da-DK"/>
        </w:rPr>
        <w:fldChar w:fldCharType="begin"/>
      </w:r>
      <w:r w:rsidR="00065BBB" w:rsidRPr="00796736">
        <w:rPr>
          <w:rFonts w:ascii="Times New Roman" w:eastAsia="Times New Roman" w:hAnsi="Times New Roman" w:cs="Times New Roman"/>
          <w:sz w:val="24"/>
          <w:szCs w:val="24"/>
          <w:lang w:eastAsia="da-DK"/>
        </w:rPr>
        <w:instrText xml:space="preserve"> REF _Ref239162999 \r \h </w:instrText>
      </w:r>
      <w:r w:rsidR="001A2696" w:rsidRPr="00796736">
        <w:rPr>
          <w:rFonts w:ascii="Times New Roman" w:eastAsia="Times New Roman" w:hAnsi="Times New Roman" w:cs="Times New Roman"/>
          <w:sz w:val="24"/>
          <w:szCs w:val="24"/>
          <w:lang w:eastAsia="da-DK"/>
        </w:rPr>
        <w:instrText xml:space="preserve"> \* MERGEFORMAT </w:instrText>
      </w:r>
      <w:r w:rsidR="00065BBB" w:rsidRPr="00796736">
        <w:rPr>
          <w:rFonts w:ascii="Times New Roman" w:eastAsia="Times New Roman" w:hAnsi="Times New Roman" w:cs="Times New Roman"/>
          <w:sz w:val="24"/>
          <w:szCs w:val="24"/>
          <w:lang w:eastAsia="da-DK"/>
        </w:rPr>
      </w:r>
      <w:r w:rsidR="00065BBB"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88</w:t>
      </w:r>
      <w:r w:rsidR="00065BBB"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stk. 1 og </w:t>
      </w:r>
      <w:r w:rsidR="006275AF" w:rsidRPr="00796736">
        <w:rPr>
          <w:rFonts w:ascii="Times New Roman" w:eastAsia="Times New Roman" w:hAnsi="Times New Roman" w:cs="Times New Roman"/>
          <w:sz w:val="24"/>
          <w:szCs w:val="24"/>
          <w:lang w:eastAsia="da-DK"/>
        </w:rPr>
        <w:fldChar w:fldCharType="begin"/>
      </w:r>
      <w:r w:rsidR="006275AF" w:rsidRPr="00796736">
        <w:rPr>
          <w:rFonts w:ascii="Times New Roman" w:eastAsia="Times New Roman" w:hAnsi="Times New Roman" w:cs="Times New Roman"/>
          <w:sz w:val="24"/>
          <w:szCs w:val="24"/>
          <w:lang w:eastAsia="da-DK"/>
        </w:rPr>
        <w:instrText xml:space="preserve"> REF _Ref232608896 \r \h </w:instrText>
      </w:r>
      <w:r w:rsidR="00967618" w:rsidRPr="00796736">
        <w:rPr>
          <w:rFonts w:ascii="Times New Roman" w:eastAsia="Times New Roman" w:hAnsi="Times New Roman" w:cs="Times New Roman"/>
          <w:sz w:val="24"/>
          <w:szCs w:val="24"/>
          <w:lang w:eastAsia="da-DK"/>
        </w:rPr>
        <w:instrText xml:space="preserve"> \* MERGEFORMAT </w:instrText>
      </w:r>
      <w:r w:rsidR="006275AF" w:rsidRPr="00796736">
        <w:rPr>
          <w:rFonts w:ascii="Times New Roman" w:eastAsia="Times New Roman" w:hAnsi="Times New Roman" w:cs="Times New Roman"/>
          <w:sz w:val="24"/>
          <w:szCs w:val="24"/>
          <w:lang w:eastAsia="da-DK"/>
        </w:rPr>
      </w:r>
      <w:r w:rsidR="006275AF"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89</w:t>
      </w:r>
      <w:r w:rsidR="006275AF"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1</w:t>
      </w:r>
      <w:r w:rsidRPr="00796736">
        <w:rPr>
          <w:rFonts w:ascii="Times New Roman" w:eastAsia="Calibri" w:hAnsi="Times New Roman" w:cs="Times New Roman"/>
          <w:iCs/>
          <w:sz w:val="24"/>
          <w:szCs w:val="24"/>
        </w:rPr>
        <w:t xml:space="preserve">, samt tvangsbøder pålagt efter </w:t>
      </w:r>
      <w:r w:rsidR="006275AF" w:rsidRPr="00796736">
        <w:rPr>
          <w:rFonts w:ascii="Times New Roman" w:eastAsia="Calibri" w:hAnsi="Times New Roman" w:cs="Times New Roman"/>
          <w:iCs/>
          <w:sz w:val="24"/>
          <w:szCs w:val="24"/>
        </w:rPr>
        <w:fldChar w:fldCharType="begin"/>
      </w:r>
      <w:r w:rsidR="006275AF" w:rsidRPr="00796736">
        <w:rPr>
          <w:rFonts w:ascii="Times New Roman" w:eastAsia="Calibri" w:hAnsi="Times New Roman" w:cs="Times New Roman"/>
          <w:iCs/>
          <w:sz w:val="24"/>
          <w:szCs w:val="24"/>
        </w:rPr>
        <w:instrText xml:space="preserve"> REF _Ref232610061 \r \h </w:instrText>
      </w:r>
      <w:r w:rsidR="00967618" w:rsidRPr="00796736">
        <w:rPr>
          <w:rFonts w:ascii="Times New Roman" w:eastAsia="Calibri" w:hAnsi="Times New Roman" w:cs="Times New Roman"/>
          <w:iCs/>
          <w:sz w:val="24"/>
          <w:szCs w:val="24"/>
        </w:rPr>
        <w:instrText xml:space="preserve"> \* MERGEFORMAT </w:instrText>
      </w:r>
      <w:r w:rsidR="006275AF" w:rsidRPr="00796736">
        <w:rPr>
          <w:rFonts w:ascii="Times New Roman" w:eastAsia="Calibri" w:hAnsi="Times New Roman" w:cs="Times New Roman"/>
          <w:iCs/>
          <w:sz w:val="24"/>
          <w:szCs w:val="24"/>
        </w:rPr>
      </w:r>
      <w:r w:rsidR="006275AF"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006275AF"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skal offentliggøres af Erhvervsstyrelsen på Erhvervsstyrelsens hjemmeside, jf. dog stk. 7. Dette gælder også beslutninger om at overgive sager til politimæssig efterforskning, der offentliggøres som resumé, jf. dog stk. 7. Offentliggørelsen skal omfatte den juridiske eller fysiske persons navn, jf. dog, stk. 4.</w:t>
      </w:r>
    </w:p>
    <w:p w14:paraId="707480E7"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medføre, at den gældende retstilling i dag i store træk videreføres, hvorefter Erhvervsstyrelsen er forpligtet til at offentliggøre reaktioner og beslutninger om at overgive sager til politimæssig efterforskning på sin hjemmeside under i iagttagelse af de relevante hensyn i den gældende § 62.</w:t>
      </w:r>
    </w:p>
    <w:p w14:paraId="40822431" w14:textId="0A1D1C82"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Der vil blive foretaget en udvidelse af de tilsynsreaktioner, som Erhvervsstyrelsen vil skulle offentliggøre på sin hjemmeside, idet 6. hvidvaskdirektiv indeholder en række udvidede beføjelser for tilsynsmyndighederne, som foreslås implementeret lovforslagets </w:t>
      </w:r>
      <w:r w:rsidR="006275AF" w:rsidRPr="00796736">
        <w:rPr>
          <w:rFonts w:ascii="Times New Roman" w:eastAsia="Calibri" w:hAnsi="Times New Roman" w:cs="Times New Roman"/>
          <w:iCs/>
          <w:sz w:val="24"/>
          <w:szCs w:val="24"/>
        </w:rPr>
        <w:t>§</w:t>
      </w:r>
      <w:r w:rsidR="006275AF" w:rsidRPr="00796736">
        <w:rPr>
          <w:rFonts w:ascii="Times New Roman" w:eastAsia="Calibri" w:hAnsi="Times New Roman" w:cs="Times New Roman"/>
          <w:iCs/>
          <w:sz w:val="24"/>
          <w:szCs w:val="24"/>
        </w:rPr>
        <w:fldChar w:fldCharType="begin"/>
      </w:r>
      <w:r w:rsidR="006275AF" w:rsidRPr="00796736">
        <w:rPr>
          <w:rFonts w:ascii="Times New Roman" w:eastAsia="Calibri" w:hAnsi="Times New Roman" w:cs="Times New Roman"/>
          <w:iCs/>
          <w:sz w:val="24"/>
          <w:szCs w:val="24"/>
        </w:rPr>
        <w:instrText xml:space="preserve"> REF _Ref232597715 \r \h </w:instrText>
      </w:r>
      <w:r w:rsidR="00967618" w:rsidRPr="00796736">
        <w:rPr>
          <w:rFonts w:ascii="Times New Roman" w:eastAsia="Calibri" w:hAnsi="Times New Roman" w:cs="Times New Roman"/>
          <w:iCs/>
          <w:sz w:val="24"/>
          <w:szCs w:val="24"/>
        </w:rPr>
        <w:instrText xml:space="preserve"> \* MERGEFORMAT </w:instrText>
      </w:r>
      <w:r w:rsidR="006275AF" w:rsidRPr="00796736">
        <w:rPr>
          <w:rFonts w:ascii="Times New Roman" w:eastAsia="Calibri" w:hAnsi="Times New Roman" w:cs="Times New Roman"/>
          <w:iCs/>
          <w:sz w:val="24"/>
          <w:szCs w:val="24"/>
        </w:rPr>
      </w:r>
      <w:r w:rsidR="006275AF"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87</w:t>
      </w:r>
      <w:r w:rsidR="006275AF" w:rsidRPr="00796736">
        <w:rPr>
          <w:rFonts w:ascii="Times New Roman" w:eastAsia="Calibri" w:hAnsi="Times New Roman" w:cs="Times New Roman"/>
          <w:iCs/>
          <w:sz w:val="24"/>
          <w:szCs w:val="24"/>
        </w:rPr>
        <w:fldChar w:fldCharType="end"/>
      </w:r>
      <w:r w:rsidR="003E4F37"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w:t>
      </w:r>
      <w:r w:rsidR="003E4F37" w:rsidRPr="00796736">
        <w:rPr>
          <w:rFonts w:ascii="Times New Roman" w:eastAsia="Calibri" w:hAnsi="Times New Roman" w:cs="Times New Roman"/>
          <w:iCs/>
          <w:sz w:val="24"/>
          <w:szCs w:val="24"/>
        </w:rPr>
        <w:t xml:space="preserve"> </w:t>
      </w:r>
      <w:r w:rsidR="003E4F37" w:rsidRPr="00796736">
        <w:rPr>
          <w:rFonts w:ascii="Times New Roman" w:eastAsia="Calibri" w:hAnsi="Times New Roman" w:cs="Times New Roman"/>
          <w:iCs/>
          <w:sz w:val="24"/>
          <w:szCs w:val="24"/>
        </w:rPr>
        <w:fldChar w:fldCharType="begin"/>
      </w:r>
      <w:r w:rsidR="003E4F37" w:rsidRPr="00796736">
        <w:rPr>
          <w:rFonts w:ascii="Times New Roman" w:eastAsia="Calibri" w:hAnsi="Times New Roman" w:cs="Times New Roman"/>
          <w:iCs/>
          <w:sz w:val="24"/>
          <w:szCs w:val="24"/>
        </w:rPr>
        <w:instrText xml:space="preserve"> REF _Ref232608991 \r \h </w:instrText>
      </w:r>
      <w:r w:rsidR="00967618" w:rsidRPr="00796736">
        <w:rPr>
          <w:rFonts w:ascii="Times New Roman" w:eastAsia="Calibri" w:hAnsi="Times New Roman" w:cs="Times New Roman"/>
          <w:iCs/>
          <w:sz w:val="24"/>
          <w:szCs w:val="24"/>
        </w:rPr>
        <w:instrText xml:space="preserve"> \* MERGEFORMAT </w:instrText>
      </w:r>
      <w:r w:rsidR="003E4F37" w:rsidRPr="00796736">
        <w:rPr>
          <w:rFonts w:ascii="Times New Roman" w:eastAsia="Calibri" w:hAnsi="Times New Roman" w:cs="Times New Roman"/>
          <w:iCs/>
          <w:sz w:val="24"/>
          <w:szCs w:val="24"/>
        </w:rPr>
      </w:r>
      <w:r w:rsidR="003E4F3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92</w:t>
      </w:r>
      <w:r w:rsidR="003E4F37" w:rsidRPr="00796736">
        <w:rPr>
          <w:rFonts w:ascii="Times New Roman" w:eastAsia="Calibri" w:hAnsi="Times New Roman" w:cs="Times New Roman"/>
          <w:iCs/>
          <w:sz w:val="24"/>
          <w:szCs w:val="24"/>
        </w:rPr>
        <w:fldChar w:fldCharType="end"/>
      </w:r>
      <w:r w:rsidR="003E4F37"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 xml:space="preserve">og </w:t>
      </w:r>
      <w:r w:rsidR="006275AF" w:rsidRPr="00796736">
        <w:rPr>
          <w:rFonts w:ascii="Times New Roman" w:eastAsia="Calibri" w:hAnsi="Times New Roman" w:cs="Times New Roman"/>
          <w:iCs/>
          <w:sz w:val="24"/>
          <w:szCs w:val="24"/>
        </w:rPr>
        <w:fldChar w:fldCharType="begin"/>
      </w:r>
      <w:r w:rsidR="006275AF" w:rsidRPr="00796736">
        <w:rPr>
          <w:rFonts w:ascii="Times New Roman" w:eastAsia="Calibri" w:hAnsi="Times New Roman" w:cs="Times New Roman"/>
          <w:iCs/>
          <w:sz w:val="24"/>
          <w:szCs w:val="24"/>
        </w:rPr>
        <w:instrText xml:space="preserve"> REF _Ref232610061 \r \h </w:instrText>
      </w:r>
      <w:r w:rsidR="00967618" w:rsidRPr="00796736">
        <w:rPr>
          <w:rFonts w:ascii="Times New Roman" w:eastAsia="Calibri" w:hAnsi="Times New Roman" w:cs="Times New Roman"/>
          <w:iCs/>
          <w:sz w:val="24"/>
          <w:szCs w:val="24"/>
        </w:rPr>
        <w:instrText xml:space="preserve"> \* MERGEFORMAT </w:instrText>
      </w:r>
      <w:r w:rsidR="006275AF" w:rsidRPr="00796736">
        <w:rPr>
          <w:rFonts w:ascii="Times New Roman" w:eastAsia="Calibri" w:hAnsi="Times New Roman" w:cs="Times New Roman"/>
          <w:iCs/>
          <w:sz w:val="24"/>
          <w:szCs w:val="24"/>
        </w:rPr>
      </w:r>
      <w:r w:rsidR="006275AF"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006275AF"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Erhvervsstyrelsen skal i henhold til </w:t>
      </w:r>
      <w:r w:rsidR="00065BBB" w:rsidRPr="00796736">
        <w:rPr>
          <w:rFonts w:ascii="Times New Roman" w:eastAsia="Calibri" w:hAnsi="Times New Roman" w:cs="Times New Roman"/>
          <w:iCs/>
          <w:sz w:val="24"/>
          <w:szCs w:val="24"/>
        </w:rPr>
        <w:fldChar w:fldCharType="begin"/>
      </w:r>
      <w:r w:rsidR="00065BBB" w:rsidRPr="00796736">
        <w:rPr>
          <w:rFonts w:ascii="Times New Roman" w:eastAsia="Calibri" w:hAnsi="Times New Roman" w:cs="Times New Roman"/>
          <w:iCs/>
          <w:sz w:val="24"/>
          <w:szCs w:val="24"/>
        </w:rPr>
        <w:instrText xml:space="preserve"> REF _Ref239162999 \r \h </w:instrText>
      </w:r>
      <w:r w:rsidR="001A2696" w:rsidRPr="00796736">
        <w:rPr>
          <w:rFonts w:ascii="Times New Roman" w:eastAsia="Calibri" w:hAnsi="Times New Roman" w:cs="Times New Roman"/>
          <w:iCs/>
          <w:sz w:val="24"/>
          <w:szCs w:val="24"/>
        </w:rPr>
        <w:instrText xml:space="preserve"> \* MERGEFORMAT </w:instrText>
      </w:r>
      <w:r w:rsidR="00065BBB" w:rsidRPr="00796736">
        <w:rPr>
          <w:rFonts w:ascii="Times New Roman" w:eastAsia="Calibri" w:hAnsi="Times New Roman" w:cs="Times New Roman"/>
          <w:iCs/>
          <w:sz w:val="24"/>
          <w:szCs w:val="24"/>
        </w:rPr>
      </w:r>
      <w:r w:rsidR="00065BBB"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88</w:t>
      </w:r>
      <w:r w:rsidR="00065BBB"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w:t>
      </w:r>
      <w:r w:rsidR="003E4F37" w:rsidRPr="00796736">
        <w:rPr>
          <w:rFonts w:ascii="Times New Roman" w:eastAsia="Calibri" w:hAnsi="Times New Roman" w:cs="Times New Roman"/>
          <w:iCs/>
          <w:sz w:val="24"/>
          <w:szCs w:val="24"/>
        </w:rPr>
        <w:fldChar w:fldCharType="begin"/>
      </w:r>
      <w:r w:rsidR="003E4F37" w:rsidRPr="00796736">
        <w:rPr>
          <w:rFonts w:ascii="Times New Roman" w:eastAsia="Calibri" w:hAnsi="Times New Roman" w:cs="Times New Roman"/>
          <w:iCs/>
          <w:sz w:val="24"/>
          <w:szCs w:val="24"/>
        </w:rPr>
        <w:instrText xml:space="preserve"> REF _Ref232608991 \r \h </w:instrText>
      </w:r>
      <w:r w:rsidR="00967618" w:rsidRPr="00796736">
        <w:rPr>
          <w:rFonts w:ascii="Times New Roman" w:eastAsia="Calibri" w:hAnsi="Times New Roman" w:cs="Times New Roman"/>
          <w:iCs/>
          <w:sz w:val="24"/>
          <w:szCs w:val="24"/>
        </w:rPr>
        <w:instrText xml:space="preserve"> \* MERGEFORMAT </w:instrText>
      </w:r>
      <w:r w:rsidR="003E4F37" w:rsidRPr="00796736">
        <w:rPr>
          <w:rFonts w:ascii="Times New Roman" w:eastAsia="Calibri" w:hAnsi="Times New Roman" w:cs="Times New Roman"/>
          <w:iCs/>
          <w:sz w:val="24"/>
          <w:szCs w:val="24"/>
        </w:rPr>
      </w:r>
      <w:r w:rsidR="003E4F3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92</w:t>
      </w:r>
      <w:r w:rsidR="003E4F37" w:rsidRPr="00796736">
        <w:rPr>
          <w:rFonts w:ascii="Times New Roman" w:eastAsia="Calibri" w:hAnsi="Times New Roman" w:cs="Times New Roman"/>
          <w:iCs/>
          <w:sz w:val="24"/>
          <w:szCs w:val="24"/>
        </w:rPr>
        <w:fldChar w:fldCharType="end"/>
      </w:r>
      <w:r w:rsidR="003E4F37"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 xml:space="preserve">kunne indskrænke eller begrænse forretningsaktiviteter og transaktioner, kræve afhændelse af aktiviteter og kræve ændringer i ledelsesstrukturen og ejerkredsen, mens Erhvervsstyrelsen i henhold til </w:t>
      </w:r>
      <w:r w:rsidR="003E4F37" w:rsidRPr="00796736">
        <w:rPr>
          <w:rFonts w:ascii="Times New Roman" w:eastAsia="Calibri" w:hAnsi="Times New Roman" w:cs="Times New Roman"/>
          <w:iCs/>
          <w:sz w:val="24"/>
          <w:szCs w:val="24"/>
        </w:rPr>
        <w:fldChar w:fldCharType="begin"/>
      </w:r>
      <w:r w:rsidR="003E4F37" w:rsidRPr="00796736">
        <w:rPr>
          <w:rFonts w:ascii="Times New Roman" w:eastAsia="Calibri" w:hAnsi="Times New Roman" w:cs="Times New Roman"/>
          <w:iCs/>
          <w:sz w:val="24"/>
          <w:szCs w:val="24"/>
        </w:rPr>
        <w:instrText xml:space="preserve"> REF _Ref232610061 \r \h </w:instrText>
      </w:r>
      <w:r w:rsidR="00967618" w:rsidRPr="00796736">
        <w:rPr>
          <w:rFonts w:ascii="Times New Roman" w:eastAsia="Calibri" w:hAnsi="Times New Roman" w:cs="Times New Roman"/>
          <w:iCs/>
          <w:sz w:val="24"/>
          <w:szCs w:val="24"/>
        </w:rPr>
        <w:instrText xml:space="preserve"> \* MERGEFORMAT </w:instrText>
      </w:r>
      <w:r w:rsidR="003E4F37" w:rsidRPr="00796736">
        <w:rPr>
          <w:rFonts w:ascii="Times New Roman" w:eastAsia="Calibri" w:hAnsi="Times New Roman" w:cs="Times New Roman"/>
          <w:iCs/>
          <w:sz w:val="24"/>
          <w:szCs w:val="24"/>
        </w:rPr>
      </w:r>
      <w:r w:rsidR="003E4F3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003E4F37" w:rsidRPr="00796736">
        <w:rPr>
          <w:rFonts w:ascii="Times New Roman" w:eastAsia="Calibri" w:hAnsi="Times New Roman" w:cs="Times New Roman"/>
          <w:iCs/>
          <w:sz w:val="24"/>
          <w:szCs w:val="24"/>
        </w:rPr>
        <w:fldChar w:fldCharType="end"/>
      </w:r>
      <w:r w:rsidR="003E4F37"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 xml:space="preserve">skal kunne pålægge tvangsbøder for manglende efterkommelse af en tilsynsreaktion. Der henvises til </w:t>
      </w:r>
      <w:r w:rsidR="003E4F37" w:rsidRPr="00796736">
        <w:rPr>
          <w:rFonts w:ascii="Times New Roman" w:eastAsia="Calibri" w:hAnsi="Times New Roman" w:cs="Times New Roman"/>
          <w:iCs/>
          <w:sz w:val="24"/>
          <w:szCs w:val="24"/>
        </w:rPr>
        <w:t>§</w:t>
      </w:r>
      <w:r w:rsidR="003E4F37" w:rsidRPr="00796736">
        <w:rPr>
          <w:rFonts w:ascii="Times New Roman" w:eastAsia="Calibri" w:hAnsi="Times New Roman" w:cs="Times New Roman"/>
          <w:iCs/>
          <w:sz w:val="24"/>
          <w:szCs w:val="24"/>
        </w:rPr>
        <w:fldChar w:fldCharType="begin"/>
      </w:r>
      <w:r w:rsidR="003E4F37" w:rsidRPr="00796736">
        <w:rPr>
          <w:rFonts w:ascii="Times New Roman" w:eastAsia="Calibri" w:hAnsi="Times New Roman" w:cs="Times New Roman"/>
          <w:iCs/>
          <w:sz w:val="24"/>
          <w:szCs w:val="24"/>
        </w:rPr>
        <w:instrText xml:space="preserve"> REF _Ref232597715 \r \h </w:instrText>
      </w:r>
      <w:r w:rsidR="00967618" w:rsidRPr="00796736">
        <w:rPr>
          <w:rFonts w:ascii="Times New Roman" w:eastAsia="Calibri" w:hAnsi="Times New Roman" w:cs="Times New Roman"/>
          <w:iCs/>
          <w:sz w:val="24"/>
          <w:szCs w:val="24"/>
        </w:rPr>
        <w:instrText xml:space="preserve"> \* MERGEFORMAT </w:instrText>
      </w:r>
      <w:r w:rsidR="003E4F37" w:rsidRPr="00796736">
        <w:rPr>
          <w:rFonts w:ascii="Times New Roman" w:eastAsia="Calibri" w:hAnsi="Times New Roman" w:cs="Times New Roman"/>
          <w:iCs/>
          <w:sz w:val="24"/>
          <w:szCs w:val="24"/>
        </w:rPr>
      </w:r>
      <w:r w:rsidR="003E4F3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87</w:t>
      </w:r>
      <w:r w:rsidR="003E4F37" w:rsidRPr="00796736">
        <w:rPr>
          <w:rFonts w:ascii="Times New Roman" w:eastAsia="Calibri" w:hAnsi="Times New Roman" w:cs="Times New Roman"/>
          <w:iCs/>
          <w:sz w:val="24"/>
          <w:szCs w:val="24"/>
        </w:rPr>
        <w:fldChar w:fldCharType="end"/>
      </w:r>
      <w:r w:rsidR="003E4F37" w:rsidRPr="00796736">
        <w:rPr>
          <w:rFonts w:ascii="Times New Roman" w:eastAsia="Calibri" w:hAnsi="Times New Roman" w:cs="Times New Roman"/>
          <w:iCs/>
          <w:sz w:val="24"/>
          <w:szCs w:val="24"/>
        </w:rPr>
        <w:t xml:space="preserve"> – </w:t>
      </w:r>
      <w:r w:rsidR="003E4F37" w:rsidRPr="00796736">
        <w:rPr>
          <w:rFonts w:ascii="Times New Roman" w:eastAsia="Calibri" w:hAnsi="Times New Roman" w:cs="Times New Roman"/>
          <w:iCs/>
          <w:sz w:val="24"/>
          <w:szCs w:val="24"/>
        </w:rPr>
        <w:fldChar w:fldCharType="begin"/>
      </w:r>
      <w:r w:rsidR="003E4F37" w:rsidRPr="00796736">
        <w:rPr>
          <w:rFonts w:ascii="Times New Roman" w:eastAsia="Calibri" w:hAnsi="Times New Roman" w:cs="Times New Roman"/>
          <w:iCs/>
          <w:sz w:val="24"/>
          <w:szCs w:val="24"/>
        </w:rPr>
        <w:instrText xml:space="preserve"> REF _Ref232608991 \r \h </w:instrText>
      </w:r>
      <w:r w:rsidR="00967618" w:rsidRPr="00796736">
        <w:rPr>
          <w:rFonts w:ascii="Times New Roman" w:eastAsia="Calibri" w:hAnsi="Times New Roman" w:cs="Times New Roman"/>
          <w:iCs/>
          <w:sz w:val="24"/>
          <w:szCs w:val="24"/>
        </w:rPr>
        <w:instrText xml:space="preserve"> \* MERGEFORMAT </w:instrText>
      </w:r>
      <w:r w:rsidR="003E4F37" w:rsidRPr="00796736">
        <w:rPr>
          <w:rFonts w:ascii="Times New Roman" w:eastAsia="Calibri" w:hAnsi="Times New Roman" w:cs="Times New Roman"/>
          <w:iCs/>
          <w:sz w:val="24"/>
          <w:szCs w:val="24"/>
        </w:rPr>
      </w:r>
      <w:r w:rsidR="003E4F3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92</w:t>
      </w:r>
      <w:r w:rsidR="003E4F37" w:rsidRPr="00796736">
        <w:rPr>
          <w:rFonts w:ascii="Times New Roman" w:eastAsia="Calibri" w:hAnsi="Times New Roman" w:cs="Times New Roman"/>
          <w:iCs/>
          <w:sz w:val="24"/>
          <w:szCs w:val="24"/>
        </w:rPr>
        <w:fldChar w:fldCharType="end"/>
      </w:r>
      <w:r w:rsidR="003E4F37" w:rsidRPr="00796736">
        <w:rPr>
          <w:rFonts w:ascii="Times New Roman" w:eastAsia="Calibri" w:hAnsi="Times New Roman" w:cs="Times New Roman"/>
          <w:iCs/>
          <w:sz w:val="24"/>
          <w:szCs w:val="24"/>
        </w:rPr>
        <w:t xml:space="preserve"> </w:t>
      </w:r>
      <w:r w:rsidRPr="00796736">
        <w:rPr>
          <w:rFonts w:ascii="Times New Roman" w:eastAsia="Calibri" w:hAnsi="Times New Roman" w:cs="Times New Roman"/>
          <w:iCs/>
          <w:sz w:val="24"/>
          <w:szCs w:val="24"/>
        </w:rPr>
        <w:t xml:space="preserve">og </w:t>
      </w:r>
      <w:r w:rsidR="003E4F37" w:rsidRPr="00796736">
        <w:rPr>
          <w:rFonts w:ascii="Times New Roman" w:eastAsia="Calibri" w:hAnsi="Times New Roman" w:cs="Times New Roman"/>
          <w:iCs/>
          <w:sz w:val="24"/>
          <w:szCs w:val="24"/>
        </w:rPr>
        <w:fldChar w:fldCharType="begin"/>
      </w:r>
      <w:r w:rsidR="003E4F37" w:rsidRPr="00796736">
        <w:rPr>
          <w:rFonts w:ascii="Times New Roman" w:eastAsia="Calibri" w:hAnsi="Times New Roman" w:cs="Times New Roman"/>
          <w:iCs/>
          <w:sz w:val="24"/>
          <w:szCs w:val="24"/>
        </w:rPr>
        <w:instrText xml:space="preserve"> REF _Ref232610061 \r \h </w:instrText>
      </w:r>
      <w:r w:rsidR="00967618" w:rsidRPr="00796736">
        <w:rPr>
          <w:rFonts w:ascii="Times New Roman" w:eastAsia="Calibri" w:hAnsi="Times New Roman" w:cs="Times New Roman"/>
          <w:iCs/>
          <w:sz w:val="24"/>
          <w:szCs w:val="24"/>
        </w:rPr>
        <w:instrText xml:space="preserve"> \* MERGEFORMAT </w:instrText>
      </w:r>
      <w:r w:rsidR="003E4F37" w:rsidRPr="00796736">
        <w:rPr>
          <w:rFonts w:ascii="Times New Roman" w:eastAsia="Calibri" w:hAnsi="Times New Roman" w:cs="Times New Roman"/>
          <w:iCs/>
          <w:sz w:val="24"/>
          <w:szCs w:val="24"/>
        </w:rPr>
      </w:r>
      <w:r w:rsidR="003E4F37"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136</w:t>
      </w:r>
      <w:r w:rsidR="003E4F37"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med tilhørende bemærkninger. </w:t>
      </w:r>
    </w:p>
    <w:p w14:paraId="5BB33275"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Erhvervsstyrelsen vil med den foreslåede ændring af bestemmelsen tillige skulle offentliggøre afgørelse om iværksættelse af disse foranstaltninger på sin hjemmeside. </w:t>
      </w:r>
    </w:p>
    <w:p w14:paraId="04A3975D" w14:textId="77777777" w:rsidR="00D4242A" w:rsidRPr="00796736" w:rsidRDefault="00D4242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Bestemmelsen implementerer artikel 58, stk. 1, stk. 2, 1. og 2. afsnit, 1. pkt., og stk. 3, 1. afsnit, 1. pkt. i 6. hvidvaskdirektiv.</w:t>
      </w:r>
    </w:p>
    <w:p w14:paraId="12F26AA2"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Begrebet reaktioner omfatter alle de reaktioner, som Erhvervsstyrelsen vedtager, og som retter sig mod en part, herunder afgørelser, påbud, påtaler og beslutninger om at overgive sager til politimæssig efterforskning. Det omfatter tillige enhver afgørelse om pålæggelse af tvangsbøder.</w:t>
      </w:r>
    </w:p>
    <w:p w14:paraId="3BB35318" w14:textId="04E7EB1A"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Erhvervsstyrelsen kan efter den nuværende hvidvasklovs § 60 påbyde virksomheder og personer under Erhvervsstyrelsens tilsyn at foretage de nødvendige foranstaltninger i tilfælde af overtrædelse af lovgivning om forebyggende foranstaltninger mod hvidvask af udbytte og finansiering af terrorisme, og forordninger indeholdende regler om finansielle sanktioner mod lande, personer, grupper, juridiske enheder eller organer. Det foreslås i lovforslagets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_Ref232597715 \r \h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87</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1, jf.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_Ref236734482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86</w:t>
      </w:r>
      <w:r w:rsidRPr="00796736">
        <w:rPr>
          <w:rFonts w:ascii="Times New Roman" w:hAnsi="Times New Roman" w:cs="Times New Roman"/>
          <w:sz w:val="24"/>
          <w:szCs w:val="24"/>
          <w:lang w:eastAsia="da-DK"/>
        </w:rPr>
        <w:fldChar w:fldCharType="end"/>
      </w:r>
      <w:r w:rsidRPr="00796736">
        <w:rPr>
          <w:rFonts w:ascii="Times New Roman" w:hAnsi="Times New Roman" w:cs="Times New Roman"/>
          <w:iCs/>
          <w:sz w:val="24"/>
          <w:szCs w:val="24"/>
        </w:rPr>
        <w:t xml:space="preserve">, nr. 2-3,  at Erhvervsstyrelsen i tillæg hertil skal kunne afgive påbud om at foretage de nødvendige foranstaltninger i tilfælde af svagheder i interne politikker, procedurer og kontroller, som sandsynligvis vil kunne føre til en overtrædelse af førnævnte lovgivning, eller at interne politikker, procedurer og kontroller ikke står i et rimeligt forhold til de risici for hvidvask, de underliggende overtrædelser eller finansiering af terrorisme, som virksomheden eller personen er eksponeret for. </w:t>
      </w:r>
    </w:p>
    <w:p w14:paraId="7CACF5DB" w14:textId="63CA1F60"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Det fremgår af præambelbetragtning nr. 105 i 6. hvidvaskdirektiv, at i overensstemmelse med målet med offentliggørelse om at straffe og uddanne, bør kun afgørelser om at anvende administrative foranstaltninger i forbindelse med overtrædelser af kravene til bekæmpelse af hvidvask af penge og finansiering af terrorisme offentliggøres, men ikke administrative foranstaltninger, der anvendes for at forhindre en sådan overtrædelse.</w:t>
      </w:r>
      <w:r w:rsidR="00065BBB" w:rsidRPr="00796736">
        <w:rPr>
          <w:rFonts w:ascii="Times New Roman" w:hAnsi="Times New Roman" w:cs="Times New Roman"/>
          <w:iCs/>
          <w:sz w:val="24"/>
          <w:szCs w:val="24"/>
        </w:rPr>
        <w:t xml:space="preserve"> Dette er fastsat i direktivets artikel 58, stk. 1.</w:t>
      </w:r>
    </w:p>
    <w:p w14:paraId="36AC3190" w14:textId="3816DC8A"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på denne baggrund, at der alene skal ske offentliggørelse, hvor der er konstateret en faktisk overtrædelse af lovgivningen. Erhvervsstyrelsen skal således ikke offentliggøre påbud vedrørende svagheder i interne politikker, procedurer og kontroller, som sandsynligvis vil føre til en overtrædelse af lovgivningen, jf.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_Ref236734482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86</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nr. 2, eller at interne politikker, procedurer og kontroller ikke står i et rimeligt forhold til de risici for hvidvask, som virksomheden eller personen er eksponeret for jf.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_Ref236734482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86</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nr. 3.</w:t>
      </w:r>
    </w:p>
    <w:p w14:paraId="26BBFD96"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Offentliggørelsesmeddelelsen skal som minimum identificere den fysiske eller juridiske person og overtrædelsens art. Erhvervsstyrelsen skal dog alene offentliggøre et resumé af beslutningen om at overgive en sag til politimæssig efterforskning, hvilket betyder, at beslutningen ikke skal offentliggøres i sin helhed.</w:t>
      </w:r>
    </w:p>
    <w:p w14:paraId="14FC3445" w14:textId="77777777" w:rsidR="00D4242A"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Ved offentliggørelse af en afgørelse om pålæggelse af en tvangsbøde, skal offentliggørelsesmeddelelsen tillige indeholde oplysninger om dennes beløbsstørrelse.</w:t>
      </w:r>
    </w:p>
    <w:p w14:paraId="14E2AA08" w14:textId="77777777" w:rsidR="005A265F" w:rsidRPr="00796736" w:rsidRDefault="005A265F" w:rsidP="005A265F">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oplysninger om, at fysiske personer har overtrådt lovgivningen, udgør personoplysninger, der er omfattet af databeskyttelsesforordningen og databeskyttelsesloven. Oplysningerne er omfattet af databeskyttelsesforordningens artikel 6. Oplysningerne er desuden omfattet af artikel 10, da der er tale om personoplysninger vedrørende lovovertrædelser. </w:t>
      </w:r>
    </w:p>
    <w:p w14:paraId="56A1B591" w14:textId="77777777" w:rsidR="005A265F" w:rsidRPr="00796736" w:rsidRDefault="005A265F" w:rsidP="005A265F">
      <w:pPr>
        <w:spacing w:line="360" w:lineRule="auto"/>
        <w:rPr>
          <w:rFonts w:ascii="Times New Roman" w:hAnsi="Times New Roman" w:cs="Times New Roman"/>
          <w:sz w:val="24"/>
          <w:szCs w:val="24"/>
        </w:rPr>
      </w:pPr>
    </w:p>
    <w:p w14:paraId="14BF7284" w14:textId="77777777" w:rsidR="005A265F" w:rsidRPr="00796736" w:rsidRDefault="005A265F" w:rsidP="005A265F">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behandling af personoplysninger, der forudsætningsvist sker ved offentliggørelsen, vurderes at have hjemmel i databeskyttelsesforordningens artikel 6, stk. 1, litra e, om bl.a. udførelse af en opgave i samfundets interesse, som den dataansvarlige har fået pålagt. Der lægges herved navnlig vægt på, at den omtalte behandling af personoplysninger er en forudsætning for gennemførelse af 6. hvidvaskdirektivs artikel 58. </w:t>
      </w:r>
    </w:p>
    <w:p w14:paraId="0F98E894" w14:textId="77777777" w:rsidR="005A265F" w:rsidRPr="00796736" w:rsidRDefault="005A265F" w:rsidP="005A265F">
      <w:pPr>
        <w:spacing w:line="360" w:lineRule="auto"/>
        <w:rPr>
          <w:rFonts w:ascii="Times New Roman" w:hAnsi="Times New Roman" w:cs="Times New Roman"/>
          <w:sz w:val="24"/>
          <w:szCs w:val="24"/>
        </w:rPr>
      </w:pPr>
    </w:p>
    <w:p w14:paraId="781F3933" w14:textId="77777777" w:rsidR="005A265F" w:rsidRPr="00796736" w:rsidRDefault="005A265F" w:rsidP="005A265F">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databeskyttelsesforordningens artikel 10, at behandling af personoplysninger vedrørende bl.a. lovovertrædelser på grundlag af artikel 6, stk. 1, kun må foretages under kontrol af en offentlig myndighed, eller hvis behandling har hjemmel i EU-retten eller medlemsstaternes nationale ret, som giver passende garantier for den registreredes rettigheder og frihedsrettigheder. </w:t>
      </w:r>
    </w:p>
    <w:p w14:paraId="60E245A6" w14:textId="77777777" w:rsidR="005A265F" w:rsidRPr="00796736" w:rsidRDefault="005A265F" w:rsidP="005A265F">
      <w:pPr>
        <w:spacing w:line="360" w:lineRule="auto"/>
        <w:rPr>
          <w:rFonts w:ascii="Times New Roman" w:hAnsi="Times New Roman" w:cs="Times New Roman"/>
          <w:sz w:val="24"/>
          <w:szCs w:val="24"/>
        </w:rPr>
      </w:pPr>
    </w:p>
    <w:p w14:paraId="5E3AE7FC" w14:textId="701662DB" w:rsidR="005A265F" w:rsidRDefault="005A265F" w:rsidP="005A265F">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den foreslåede bestemmelse skaber hjemmel for </w:t>
      </w:r>
      <w:r>
        <w:rPr>
          <w:rFonts w:ascii="Times New Roman" w:hAnsi="Times New Roman" w:cs="Times New Roman"/>
          <w:sz w:val="24"/>
          <w:szCs w:val="24"/>
        </w:rPr>
        <w:t>Erhvervsstyrelsen</w:t>
      </w:r>
      <w:r w:rsidRPr="00796736">
        <w:rPr>
          <w:rFonts w:ascii="Times New Roman" w:hAnsi="Times New Roman" w:cs="Times New Roman"/>
          <w:sz w:val="24"/>
          <w:szCs w:val="24"/>
        </w:rPr>
        <w:t xml:space="preserve"> til at behandle oplysninger om lovovertrædelser, jf. databeskyttelsesforordningens artikel 10. Det vurderes, at hjemlen giver passende garantier for registreredes rettigheder og frihedsrettigheder. Der lægges i den forbindelse vægt på, at ordningen er en forudsætning for gennemførelse af 6. hvidvaskdirektivs artikel 58. </w:t>
      </w:r>
    </w:p>
    <w:p w14:paraId="63A1ADBA" w14:textId="77777777" w:rsidR="005A265F" w:rsidRPr="00796736" w:rsidRDefault="005A265F" w:rsidP="005A265F">
      <w:pPr>
        <w:spacing w:line="360" w:lineRule="auto"/>
        <w:rPr>
          <w:rFonts w:ascii="Times New Roman" w:hAnsi="Times New Roman" w:cs="Times New Roman"/>
          <w:sz w:val="24"/>
          <w:szCs w:val="24"/>
        </w:rPr>
      </w:pPr>
    </w:p>
    <w:p w14:paraId="2A6DE733"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Ved en beslutning om at oversende en sag til politimæssig efterforskning kan der ikke ske offentliggørelse, hvis offentliggørelsen vil kunne skade den politimæssige efterforskning, eller hvis den vil medføre uforholdsmæssig stor skade for virksomheden eller personen. Der skal derfor ved vurderingen af, om der skal ske offentliggørelse, foretages en afvejning af behovet for at offentliggøre en politianmeldelse over for de betænkeligheder, herunder af retssikkerhedsmæssig karakter, som offentliggørelsen kan give anledning til.</w:t>
      </w:r>
    </w:p>
    <w:p w14:paraId="554B68D7"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Oversendelse af sager til politimæssig efterforskning er en processuel beslutning, som ikke kan påklages. Det forudsættes, at offentliggørelse af en beslutning om at oversende en sag til politimæssig efterforskning alene sker efter høring af den relevante politimyndighed. Det kan aftales med anklagemyndigheden, at visse sagskategorier kan offentliggøres uden forudgående høring.</w:t>
      </w:r>
    </w:p>
    <w:p w14:paraId="4306F750"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offentliggjorte tilsynsreaktion vil indeholde den eller de involverede virksomheders navn(e). Derimod vil fortrolige oplysninger om kundeforhold blive offentliggjort, jf. den foreslåede bestemmelse i stk. 7. Dette gælder også fortrolige oplysninger om virksomhedens interne forhold af væsentlig betydning for virksomheden, f.eks. vil ikke-offentligt tilgængelige oplysninger om dens opbygning og indretning, dens økonomiske forhold og situation, dens kundemasse og dens samarbejdspartnere, blive fjernet inden offentliggørelsen, medmindre oplysningerne er nødvendige for forståelsen af tilsynsreaktionen. Endelig vil der ikke ske offentliggørelse af fortrolige oplysninger modtaget fra udenlandske tilsynsmyndigheder samt oplysninger omfattet af bestemmelser i lov om offentlighed i forvaltningen om undtagelse af oplysninger om private forhold og drifts- eller forretningsforhold m.v.</w:t>
      </w:r>
    </w:p>
    <w:p w14:paraId="6A09C871" w14:textId="7B64D02F"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Offentliggørelse indebærer ikke, at selve den underliggende sag med dertilhørende akter bliver offentlig tilgængelig. Sagen er stadig omfattet af Erhvervsstyrelsens tavshedspligt i henhold til lovforslagets </w:t>
      </w:r>
      <w:r w:rsidR="003E4F37" w:rsidRPr="00796736">
        <w:rPr>
          <w:rFonts w:ascii="Times New Roman" w:hAnsi="Times New Roman" w:cs="Times New Roman"/>
          <w:sz w:val="24"/>
          <w:szCs w:val="24"/>
        </w:rPr>
        <w:fldChar w:fldCharType="begin"/>
      </w:r>
      <w:r w:rsidR="003E4F37" w:rsidRPr="00796736">
        <w:rPr>
          <w:rFonts w:ascii="Times New Roman" w:hAnsi="Times New Roman" w:cs="Times New Roman"/>
          <w:sz w:val="24"/>
          <w:szCs w:val="24"/>
        </w:rPr>
        <w:instrText xml:space="preserve"> REF _Ref232609141 \r \h </w:instrText>
      </w:r>
      <w:r w:rsidR="00967618" w:rsidRPr="00796736">
        <w:rPr>
          <w:rFonts w:ascii="Times New Roman" w:hAnsi="Times New Roman" w:cs="Times New Roman"/>
          <w:sz w:val="24"/>
          <w:szCs w:val="24"/>
        </w:rPr>
        <w:instrText xml:space="preserve"> \* MERGEFORMAT </w:instrText>
      </w:r>
      <w:r w:rsidR="003E4F37" w:rsidRPr="00796736">
        <w:rPr>
          <w:rFonts w:ascii="Times New Roman" w:hAnsi="Times New Roman" w:cs="Times New Roman"/>
          <w:sz w:val="24"/>
          <w:szCs w:val="24"/>
        </w:rPr>
      </w:r>
      <w:r w:rsidR="003E4F3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95</w:t>
      </w:r>
      <w:r w:rsidR="003E4F3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En eventuel anmodning om aktindsigt, herunder aktindsigt i sagsakter og journalliste, vil derfor være omfattet af de almindelige regler herfor.</w:t>
      </w:r>
    </w:p>
    <w:p w14:paraId="4D40842E"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offentliggørelse skal ske umiddelbart efter at den, reaktionen er rettet imod, er blevet underrettet herom.</w:t>
      </w:r>
    </w:p>
    <w:p w14:paraId="16A442DC"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ny, og implementerer artikel 58, stk. 2, 1. afsnit, i 6. hvidvaskdirektiv.</w:t>
      </w:r>
    </w:p>
    <w:p w14:paraId="36A5B4AF"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Offentliggørelsen skal i henhold til artikel 58, stk. 2, 1. afsnit i 6. hvidvaskdirektiv foretages umiddelbart efter at de personer, der er ansvarlige for overtrædelsen, er underrettet om de pågældende afgørelser. </w:t>
      </w:r>
    </w:p>
    <w:p w14:paraId="0E117159"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Den gældende hvidvasklov indeholder ikke nærmere angivelse af et tidspunkt for, hvornår Erhvervsstyrelsen skal offentliggøre en tilsynsreaktion. Det følger dog af bemærkningerne til den gældende § 60, stk. 1, at det er hensigten, at offentliggørelsen som udgangspunkt sker senest dagen efter, at der er truffet afgørelse eller beslutning om at meddele tilsynsreaktionen.</w:t>
      </w:r>
    </w:p>
    <w:p w14:paraId="4E3619A8"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vurderes hensigtsmæssigt, at det tidsmæssige aspekt for offentliggørelsen indskrives i loven af hensyn til en direktivnær implementering af direktivets artikel 58, stk. 2. </w:t>
      </w:r>
    </w:p>
    <w:p w14:paraId="6518D998" w14:textId="06F2FB1A"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vurderes ikke formålstjenstligt at videreføre de tidligere bemærkninger, idet det i vurderingen af, hvor hurtigt offentliggørelsen kan ske, fremadrettet skal sikres, at den, som reaktionen er rettet imod, skal være underrettet om offentliggørelsen, hvilket ikke er sikret dagen efter, at der er truffet afgørelse eller beslutning om at meddele tilsynsreaktionen. </w:t>
      </w:r>
    </w:p>
    <w:p w14:paraId="1B080040"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orienterer forinden den pågældende virksomhed, hvis navn vil fremgå af offentliggørelsen, om den forestående offentliggørelse, således at virksomheden har mulighed for at kunne forberede sig herpå.</w:t>
      </w:r>
    </w:p>
    <w:p w14:paraId="459C5C48" w14:textId="1A8D0A8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iCs/>
          <w:sz w:val="24"/>
          <w:szCs w:val="24"/>
        </w:rPr>
        <w:t>Det fremgår af præambelbetragtning nr. 109 i 6. hvidvaskdirektiv, at offentliggørelse af en bøde eller administrativ foranstaltning for overtrædelse af hvidvaskforordningen (forordning (EU) 2024/1624) kan have en stærk afskrækkende virkning mod gentagelse af en sådan overtrædelse. En sådan offentliggørelse bør imidlertid være forholdsmæssig, og når tilsynsorganerne træffer afgørelse om, hvorvidt en bøde eller administrativ foranstaltning skal offentliggøres, bør de tage hensyn til overtrædelsens grovhed og den afskrækkende virkning, som det er sandsynligt, at offentliggørelsen vil have. Med henblik herpå kunne medlemsstaterne beslutte at udsætte offentliggørelsen af administrative foranstaltninger, der kan påklages, når disse foranstaltninger anvendes til at afhjælpe en overtrædelse, der ikke er alvorlig, gentagen eller systematisk.  Dette er fastsat i direktivets artikel 58, stk. 2, 2. afsnit.</w:t>
      </w:r>
    </w:p>
    <w:p w14:paraId="1CFE4D5A"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kan for reaktioner afgivet for at afhjælpe en overtrædelse, der ikke er alvorlig, gentagen eller systematisk, beslutte at udsætte offentliggørelsen til efter udløbet af klagefristen.</w:t>
      </w:r>
    </w:p>
    <w:p w14:paraId="62EA2EB7"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offentliggjorte reaktioner forbliver på Erhvervsstyrelsens hjemmeside i 5 år efter offentliggørelse. Personoplysninger indeholdt i offentliggørelsen må dog kun forblive på Erhvervsstyrelsens hjemmeside i det nødvendige tidsrum.</w:t>
      </w:r>
    </w:p>
    <w:p w14:paraId="4D0F0516"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direkte videreførelse af den nuværende § 62, stk. 2, og implementerer artikel 58, stk. 4, i 6. hvidvaskdirektiv.</w:t>
      </w:r>
    </w:p>
    <w:p w14:paraId="5657DF01"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offentliggjorte reaktioner skal slettes fra Erhvervsstyrelsens hjemmeside fem år efter offentliggørelse. Personoplysninger indeholdt i offentliggørelsen må dog kun forblive på Erhvervsstyrelsens hjemmeside i det nødvendige tidsrum i overensstemmelse med de gældende databeskyttelsesregler, herunder databeskyttelsesforordningen. </w:t>
      </w:r>
    </w:p>
    <w:p w14:paraId="62EAFDEF" w14:textId="39F9877F" w:rsidR="00065BBB"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det nødvendige tidsrum forstås så længe oplysningerne anses for nødvendige i forhold til de samfundsmæssige hensyn bag offentliggørelsen. Der er således mulighed for efter en konkret vurdering af lade personoplysninger indeholdt i offentliggørelsen forblive på hjemmesiden i et kortere tidsrum. Der vil her navnlig skulle lægges vægt på overtrædelsens grovhed på den ene side og hensynet til beskyttelsen af personoplysninger på den anden side. </w:t>
      </w:r>
    </w:p>
    <w:p w14:paraId="39080CA1" w14:textId="77777777" w:rsidR="005A265F" w:rsidRPr="00796736" w:rsidRDefault="005A265F" w:rsidP="005A265F">
      <w:pPr>
        <w:spacing w:line="360" w:lineRule="auto"/>
        <w:rPr>
          <w:rFonts w:ascii="Times New Roman" w:hAnsi="Times New Roman" w:cs="Times New Roman"/>
          <w:sz w:val="24"/>
          <w:szCs w:val="24"/>
        </w:rPr>
      </w:pPr>
      <w:r w:rsidRPr="00796736">
        <w:rPr>
          <w:rFonts w:ascii="Times New Roman" w:hAnsi="Times New Roman" w:cs="Times New Roman"/>
          <w:sz w:val="24"/>
          <w:szCs w:val="24"/>
        </w:rPr>
        <w:t>Artikel 5 i databeskyttelsesforordningen indeholder en række grundlæggende principper, der gælder for alle behandlinger af personoplysninger, herunder fastsætter artikel litra e, at personoplysninger ikke må opbevares på en sådan måde, at det ikke er muligt at identificere de registrerede i et længere tidsrum end det, der er nødvendigt til de formål, hvortil de pågældende personoplysninger behandles.</w:t>
      </w:r>
    </w:p>
    <w:p w14:paraId="04D93F67" w14:textId="77777777" w:rsidR="005A265F" w:rsidRPr="00796736" w:rsidRDefault="005A265F" w:rsidP="005A265F">
      <w:pPr>
        <w:spacing w:line="360" w:lineRule="auto"/>
        <w:rPr>
          <w:rFonts w:ascii="Times New Roman" w:eastAsia="Times New Roman" w:hAnsi="Times New Roman" w:cs="Times New Roman"/>
          <w:sz w:val="24"/>
          <w:szCs w:val="24"/>
        </w:rPr>
      </w:pPr>
    </w:p>
    <w:p w14:paraId="1D620DC3" w14:textId="77777777" w:rsidR="005A265F" w:rsidRPr="00796736" w:rsidRDefault="005A265F" w:rsidP="005A265F">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I overensstemmelse med dette fremgår det af stk. 3, 2. pkt., at offentliggjorte oplysninger, som indeholder personoplysninger, dog kun skal fremgå af </w:t>
      </w:r>
      <w:r>
        <w:rPr>
          <w:rFonts w:ascii="Times New Roman" w:eastAsia="Times New Roman" w:hAnsi="Times New Roman" w:cs="Times New Roman"/>
          <w:sz w:val="24"/>
          <w:szCs w:val="24"/>
        </w:rPr>
        <w:t>Erhvervsstyrelsens</w:t>
      </w:r>
      <w:r w:rsidRPr="00796736">
        <w:rPr>
          <w:rFonts w:ascii="Times New Roman" w:eastAsia="Times New Roman" w:hAnsi="Times New Roman" w:cs="Times New Roman"/>
          <w:sz w:val="24"/>
          <w:szCs w:val="24"/>
        </w:rPr>
        <w:t xml:space="preserve"> hjemmeside, så længe oplysningerne anses for nødvendige i forhold til de samfundsmæssige hensyn bag offentliggørelsen, og offentliggørelsen fortsat er i overensstemmelse med de gældende databeskyttelsesregler, herunder databeskyttelsesforordningen. Der er således mulighed for efter en konkret vurdering at lade personoplysninger indeholdt i offentliggørelsen forblive på hjemmesiden i et kortere tidsrum. Personoplysninger skal slettes 5 år efter offentliggørelse.</w:t>
      </w:r>
    </w:p>
    <w:p w14:paraId="55B6C648" w14:textId="77777777" w:rsidR="005A265F" w:rsidRPr="00796736" w:rsidRDefault="005A265F" w:rsidP="005A265F">
      <w:pPr>
        <w:spacing w:line="360" w:lineRule="auto"/>
        <w:rPr>
          <w:rFonts w:ascii="Times New Roman" w:eastAsia="Times New Roman" w:hAnsi="Times New Roman" w:cs="Times New Roman"/>
          <w:sz w:val="24"/>
          <w:szCs w:val="24"/>
        </w:rPr>
      </w:pPr>
    </w:p>
    <w:p w14:paraId="7B59A47B" w14:textId="77ED3987" w:rsidR="005A265F" w:rsidRDefault="005A265F" w:rsidP="005A265F">
      <w:pPr>
        <w:spacing w:line="360" w:lineRule="auto"/>
        <w:rPr>
          <w:rFonts w:ascii="Times New Roman" w:hAnsi="Times New Roman" w:cs="Times New Roman"/>
          <w:sz w:val="24"/>
          <w:szCs w:val="24"/>
        </w:rPr>
      </w:pPr>
      <w:r w:rsidRPr="00796736">
        <w:rPr>
          <w:rFonts w:ascii="Times New Roman" w:hAnsi="Times New Roman" w:cs="Times New Roman"/>
          <w:sz w:val="24"/>
          <w:szCs w:val="24"/>
        </w:rPr>
        <w:t>Ved offentliggørelse, som indeholder personoplysninger, forstås offentliggørelser, hvor det er muligt at identificere den fysiske person, som nævnes i det offentliggjorte materiale, jf. også definitionen i databeskyttelsesforordningens artikel 4, nr. 1. Det vil eksempelvis være tilfældet i offentliggørelser af en påtale, et påbud, et administrativt bødeforelæg eller en tvangsbøde, der angiver navnet på den fysiske person, som påtalen, påbuddet, det vedtagne administrative bødeforelæg eller tvangsbøden retter sig mod.</w:t>
      </w:r>
    </w:p>
    <w:p w14:paraId="1DA0F80D" w14:textId="77777777" w:rsidR="005A265F" w:rsidRPr="00796736" w:rsidRDefault="005A265F" w:rsidP="005A265F">
      <w:pPr>
        <w:spacing w:line="360" w:lineRule="auto"/>
        <w:rPr>
          <w:rFonts w:ascii="Times New Roman" w:hAnsi="Times New Roman" w:cs="Times New Roman"/>
          <w:sz w:val="24"/>
          <w:szCs w:val="24"/>
        </w:rPr>
      </w:pPr>
    </w:p>
    <w:p w14:paraId="283D9877"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4, </w:t>
      </w:r>
      <w:r w:rsidRPr="00796736">
        <w:rPr>
          <w:rFonts w:ascii="Times New Roman" w:hAnsi="Times New Roman" w:cs="Times New Roman"/>
          <w:sz w:val="24"/>
          <w:szCs w:val="24"/>
        </w:rPr>
        <w:t>at offentliggørelse efter stk. 1, der omfatter en fysisk persons navn, kun kan ske, hvis Erhvervsstyrelsen ikke anser offentliggørelsen af identiteten af den fysiske person for at være uforholdsmæssig efter en individuel vurdering.</w:t>
      </w:r>
    </w:p>
    <w:p w14:paraId="5E0EE0ED" w14:textId="34CFEAF4"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videreførelse af den nuværende § 62, stk. 3, med indholdsmæssige ændringer, og implementerer artikel 58, stk. 3, 2. afsnit, i 6. hvidvaskdirektiv.</w:t>
      </w:r>
    </w:p>
    <w:p w14:paraId="7BD7B9D0" w14:textId="09A00AF9"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 den nuværende § 62, stk. 3, følger det, at offentliggørelse efter stk. 1, der omfatter en fysisk persons navn, alene kan ske ved personens alvorlige, gentagne eller systematiske overtrædelser af </w:t>
      </w:r>
      <w:r w:rsidR="00065BBB" w:rsidRPr="00796736">
        <w:rPr>
          <w:rFonts w:ascii="Times New Roman" w:hAnsi="Times New Roman" w:cs="Times New Roman"/>
          <w:sz w:val="24"/>
          <w:szCs w:val="24"/>
        </w:rPr>
        <w:t xml:space="preserve">en række nærmere angivet bestemmelser. </w:t>
      </w:r>
    </w:p>
    <w:p w14:paraId="1E0058FA" w14:textId="5BD1B332"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foreslås ændret, så lovteksten ikke længere indeholder en direkte kvalificering af, hvilke overtrædelser af konkrete bestemmelser, der vil kunne tilsige offentliggørelse af en fysisk persons navn. Den foreslåede ændring skyldes en direktivnær implementering af 6. hvidvaskdirektiv, der ikke indeholder en direkte kvalificering af grundlaget for offentliggørelse, der omfatter en fysisk persons navn. Artikel 58, stk. 3, 2. afsnit i 6. hvidvaskdirektiv tilsiger, at offentliggørelse, der omfattet en fysisk persons navn, skal bero på en individuel vurdering af forholdsmæssigheden af offentliggørelsen.</w:t>
      </w:r>
    </w:p>
    <w:p w14:paraId="0E621E67"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udgør en undtagelse til hovedreglen om, at den fysiske eller juridiske persons navn skal fremgå af offentliggørelsen efter bestemmelsens stk. 1.</w:t>
      </w:r>
    </w:p>
    <w:p w14:paraId="65351601"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uforholdsmæssig forstås, at offentliggørelsen af den pågældende persons identitet eller personoplysninger vil udgøre et uproportionalt indgreb i vedkommendes rettigheder, som ikke står mål med det formål, som offentliggørelsen varetager. Erhvervsstyrelsen skal således foretage en konkret proportionalitetsafvejning af indgrebets beskaffenhed over for den eller de berørte personer og det formål, som offentliggørelsen søger at varetage. I denne afvejning vil karakteren af den konstaterede overtrædelse indgå med betydelig vægt.  </w:t>
      </w:r>
    </w:p>
    <w:p w14:paraId="409A143B"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offentliggørelse med navn i en konkret sag ikke vil kunne ske, vil det fortsat være muligt for Erhvervsstyrelsen at offentliggøre afgørelsen i anonymiseret form. Det forudsætter dog, at man ikke ud fra beskrivelsen af sagens faktum med stor sandsynlighed kan udlede, hvilken virksomhed eller person tilsynsreaktionen vedrører. </w:t>
      </w:r>
    </w:p>
    <w:p w14:paraId="3BFA6A9B"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vil også efter den foreslåede bestemmelse være muligt at udsætte offentliggørelse, indtil offentliggørelse af de pågældende personers identitet eller personoplysninger ud fra en konkret vurdering ikke uforholdsmæssig.</w:t>
      </w:r>
    </w:p>
    <w:p w14:paraId="2AE8B1D1" w14:textId="5E8CC7D1"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behandling af personoplysninger i forhold til offentliggørelse af straffedomme og lovovertrædelser henvises til pkt. </w:t>
      </w:r>
      <w:r w:rsidR="005A265F">
        <w:rPr>
          <w:rFonts w:ascii="Times New Roman" w:hAnsi="Times New Roman" w:cs="Times New Roman"/>
          <w:sz w:val="24"/>
          <w:szCs w:val="24"/>
        </w:rPr>
        <w:t>5</w:t>
      </w:r>
      <w:r w:rsidRPr="00796736">
        <w:rPr>
          <w:rFonts w:ascii="Times New Roman" w:hAnsi="Times New Roman" w:cs="Times New Roman"/>
          <w:sz w:val="24"/>
          <w:szCs w:val="24"/>
        </w:rPr>
        <w:t xml:space="preserve"> i lovforslagets almindelige bemærkninger.</w:t>
      </w:r>
    </w:p>
    <w:p w14:paraId="7206FC8A"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5,</w:t>
      </w:r>
      <w:r w:rsidRPr="00796736">
        <w:rPr>
          <w:rFonts w:ascii="Times New Roman" w:hAnsi="Times New Roman" w:cs="Times New Roman"/>
          <w:sz w:val="24"/>
          <w:szCs w:val="24"/>
        </w:rPr>
        <w:t xml:space="preserve"> at indbringes reaktionen, der offentliggøres i henhold til stk. 1, 1. pkt., for Erhvervsankenævnet eller domstolene, skal dette fremgå af Erhvervsstyrelsens offentliggørelse, og det efterfølgende resultat af Erhvervsankenævnets eller domstolenes afgørelse skal ligeledes offentliggøres på Erhvervsstyrelsens hjemmeside hurtigst muligt.</w:t>
      </w:r>
    </w:p>
    <w:p w14:paraId="1113238F"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direkte videreførelse af den nuværende § 62, stk. 4, og implementerer artikel 58, stk. 2, 3. afsnit, i 6. hvidvaskdirektiv.</w:t>
      </w:r>
    </w:p>
    <w:p w14:paraId="2647EE4E"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det tilfælde at resultatet af Erhvervsankenævnets eller domstolens afgørelse annullerer eller underkender en af Erhvervsstyrelsen truffet afgørelse, herunder om pålæggelse af tvangsbøder, skal offentliggørelsesmeddelelsen suppleres med oplysninger herom.  </w:t>
      </w:r>
    </w:p>
    <w:p w14:paraId="308DF982" w14:textId="024E829C"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6, </w:t>
      </w:r>
      <w:r w:rsidRPr="00796736">
        <w:rPr>
          <w:rFonts w:ascii="Times New Roman" w:hAnsi="Times New Roman" w:cs="Times New Roman"/>
          <w:sz w:val="24"/>
          <w:szCs w:val="24"/>
        </w:rPr>
        <w:t xml:space="preserve">at har Erhvervsstyrelsen overgivet en sag til politimæssig efterforskning, og er der afsagt fældende dom eller vedtaget bøde, skal Erhvervsstyrelsen offentliggøre dommen, bødevedtagelsen eller et resumé heraf, jf. dog stk. </w:t>
      </w:r>
      <w:r w:rsidR="00065BBB" w:rsidRPr="00796736">
        <w:rPr>
          <w:rFonts w:ascii="Times New Roman" w:hAnsi="Times New Roman" w:cs="Times New Roman"/>
          <w:sz w:val="24"/>
          <w:szCs w:val="24"/>
        </w:rPr>
        <w:t>7</w:t>
      </w:r>
      <w:r w:rsidRPr="00796736">
        <w:rPr>
          <w:rFonts w:ascii="Times New Roman" w:hAnsi="Times New Roman" w:cs="Times New Roman"/>
          <w:sz w:val="24"/>
          <w:szCs w:val="24"/>
        </w:rPr>
        <w:t>. Er dommen ikke endelig, eller er den anket eller genoptaget, skal dette fremgå af offentliggørelsen.</w:t>
      </w:r>
    </w:p>
    <w:p w14:paraId="51A9BB87"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direkte videreførelse af den nuværende § 62, stk. 5, og implementerer artikel 58, stk. 1, og stk. 3, 1. afsnit, 1. pkt. i 6. hvidvaskdirektiv.</w:t>
      </w:r>
    </w:p>
    <w:p w14:paraId="6ACA4394"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vil medføre, at dommen, det vedtagne bødeforelæg, eller resuméet heraf, som skal offentliggøres, vil indeholde den eller de involverede virksomheder eller personers navn(e).</w:t>
      </w:r>
    </w:p>
    <w:p w14:paraId="54A5826F" w14:textId="19ABB1A2"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Offentliggørelsesmeddelelsen skal tillige indeholde oplysninger om bødens beløbsstørrelse.</w:t>
      </w:r>
    </w:p>
    <w:p w14:paraId="5B4425B2"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Fortrolige oplysninger om kundeforhold vil ikke blive offentliggjort. Dette gælder også fortrolige oplysninger om interne forhold af væsentlig betydning for virksomheden, f.eks. vil ikke-offentligt tilgængelige oplysninger om virksomhedens opbygning og indretning, økonomiske forhold og situation, kundemasse og samarbejdspartnere blive fjernet inden offentliggørelsen, medmindre oplysningerne er nødvendige for forståelsen af dommen, det vedtagne bødeforelæg, eller resuméet heraf. </w:t>
      </w:r>
    </w:p>
    <w:p w14:paraId="78FEC7DC" w14:textId="67716A4D"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Offentliggørelse indebærer ikke, at selve den underliggende sag med dertilhørende akter bliver offentlig tilgængelig. Sagen er stadig omfattet af Erhvervsstyrelsens tavshedspligt i henhold til lovforslagets </w:t>
      </w:r>
      <w:r w:rsidR="003E4F37" w:rsidRPr="00796736">
        <w:rPr>
          <w:rFonts w:ascii="Times New Roman" w:hAnsi="Times New Roman" w:cs="Times New Roman"/>
          <w:sz w:val="24"/>
          <w:szCs w:val="24"/>
        </w:rPr>
        <w:fldChar w:fldCharType="begin"/>
      </w:r>
      <w:r w:rsidR="003E4F37" w:rsidRPr="00796736">
        <w:rPr>
          <w:rFonts w:ascii="Times New Roman" w:hAnsi="Times New Roman" w:cs="Times New Roman"/>
          <w:sz w:val="24"/>
          <w:szCs w:val="24"/>
        </w:rPr>
        <w:instrText xml:space="preserve"> REF _Ref232609141 \r \h </w:instrText>
      </w:r>
      <w:r w:rsidR="00967618" w:rsidRPr="00796736">
        <w:rPr>
          <w:rFonts w:ascii="Times New Roman" w:hAnsi="Times New Roman" w:cs="Times New Roman"/>
          <w:sz w:val="24"/>
          <w:szCs w:val="24"/>
        </w:rPr>
        <w:instrText xml:space="preserve"> \* MERGEFORMAT </w:instrText>
      </w:r>
      <w:r w:rsidR="003E4F37" w:rsidRPr="00796736">
        <w:rPr>
          <w:rFonts w:ascii="Times New Roman" w:hAnsi="Times New Roman" w:cs="Times New Roman"/>
          <w:sz w:val="24"/>
          <w:szCs w:val="24"/>
        </w:rPr>
      </w:r>
      <w:r w:rsidR="003E4F3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95</w:t>
      </w:r>
      <w:r w:rsidR="003E4F37" w:rsidRPr="00796736">
        <w:rPr>
          <w:rFonts w:ascii="Times New Roman" w:hAnsi="Times New Roman" w:cs="Times New Roman"/>
          <w:sz w:val="24"/>
          <w:szCs w:val="24"/>
        </w:rPr>
        <w:fldChar w:fldCharType="end"/>
      </w:r>
      <w:r w:rsidRPr="00796736">
        <w:rPr>
          <w:rFonts w:ascii="Times New Roman" w:hAnsi="Times New Roman" w:cs="Times New Roman"/>
          <w:sz w:val="24"/>
          <w:szCs w:val="24"/>
        </w:rPr>
        <w:t>. En eventuel anmodning om aktindsigt, herunder aktindsigt i sagsakter og journalliste, vil derfor være omfattet af de almindelige regler herfor</w:t>
      </w:r>
      <w:r w:rsidR="00065BBB" w:rsidRPr="00796736">
        <w:rPr>
          <w:rFonts w:ascii="Times New Roman" w:hAnsi="Times New Roman" w:cs="Times New Roman"/>
          <w:sz w:val="24"/>
          <w:szCs w:val="24"/>
        </w:rPr>
        <w:t>.</w:t>
      </w:r>
    </w:p>
    <w:p w14:paraId="614638EF"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7,</w:t>
      </w:r>
      <w:r w:rsidRPr="00796736">
        <w:rPr>
          <w:rFonts w:ascii="Times New Roman" w:hAnsi="Times New Roman" w:cs="Times New Roman"/>
          <w:sz w:val="24"/>
          <w:szCs w:val="24"/>
        </w:rPr>
        <w:t xml:space="preserve"> at offentliggørelse efter stk. 1-6 dog ikke kan ske, hvis det vil være uforholdsmæssigt efter en individuel vurdering, efterforskningsmæssige hensyn til imod offentliggørelse eller offentliggørelsen ikke står i rimeligt forhold til overtrædelsens karakter. Offentliggørelsen må ikke indeholde fortrolige oplysninger om kundeforhold eller oplysninger omfattet af bestemmelser i lov om offentlighed i forvaltningen om undtagelse af oplysninger om private forhold og drifts- eller forretningsforhold m.v. Offentliggørelsen må ikke indeholde fortrolige oplysninger, der hidrører fra et EU eller EØS-land, medmindre de myndigheder, som har afgivet oplysningerne, har givet deres udtrykkelige tilladelse.</w:t>
      </w:r>
    </w:p>
    <w:p w14:paraId="4C86EF98" w14:textId="77777777" w:rsidR="00065BBB"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den nuværende § 62, stk. 6, med mindre indholdsmæssige justeringer, og implementerer artikel 58, stk. 3, 1. afsnit, 2. pkt. og 2. afsnit., i 6. hvidvaskdirektiv.</w:t>
      </w:r>
    </w:p>
    <w:p w14:paraId="08F2440E" w14:textId="0D8899F4"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medføre, at Erhvervsstyrelsen ikke må offentliggøre reaktioner, afgørelser om pålæggelse af tvangsbøder eller beslutning om at oversende en sag til politimæssig efterforskning, hvis offentliggørelsen vil være uforholdsmæssig efter en individuel vurdering, eller hvis offentliggørelsen ikke står i rimeligt forhold til overtrædelsens karakter.</w:t>
      </w:r>
    </w:p>
    <w:p w14:paraId="512974DF"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w:t>
      </w:r>
      <w:r w:rsidRPr="00796736">
        <w:rPr>
          <w:rFonts w:ascii="Times New Roman" w:eastAsia="Times New Roman" w:hAnsi="Times New Roman" w:cs="Times New Roman"/>
          <w:sz w:val="24"/>
          <w:szCs w:val="24"/>
        </w:rPr>
        <w:t>»</w:t>
      </w:r>
      <w:r w:rsidRPr="00796736">
        <w:rPr>
          <w:rFonts w:ascii="Times New Roman" w:hAnsi="Times New Roman" w:cs="Times New Roman"/>
          <w:sz w:val="24"/>
          <w:szCs w:val="24"/>
        </w:rPr>
        <w:t>uforholdsmæssig</w:t>
      </w:r>
      <w:r w:rsidRPr="00796736">
        <w:rPr>
          <w:rFonts w:ascii="Times New Roman" w:eastAsia="Times New Roman" w:hAnsi="Times New Roman" w:cs="Times New Roman"/>
          <w:sz w:val="24"/>
          <w:szCs w:val="24"/>
        </w:rPr>
        <w:t>«</w:t>
      </w:r>
      <w:r w:rsidRPr="00796736">
        <w:rPr>
          <w:rFonts w:ascii="Times New Roman" w:hAnsi="Times New Roman" w:cs="Times New Roman"/>
          <w:sz w:val="24"/>
          <w:szCs w:val="24"/>
        </w:rPr>
        <w:t xml:space="preserve"> forstås, at offentliggørelsen af den ansvarlige virksomhed eller persons identitet vil udgøre et uproportionalt indgreb i vedkommendes rettigheder, som ikke står mål med det formål, som offentliggørelsen varetager. Erhvervsstyrelsen skal således foretage en konkret proportionalitetsafvejning af indgrebets beskaffenhed og det formål, som offentliggørelsen søger at varetage. I denne afvejning vil karakteren af den konstaterede overtrædelse indgå med betydelig vægt.  </w:t>
      </w:r>
    </w:p>
    <w:p w14:paraId="3E757A29"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Undtagelsen vil herunder kunne finde anvendelse, hvis offentliggørelsen af de pågældende oplysninger vil være truende for virksomhedens eksistens og stå i misforhold til offentliggørelsen af de overtrædelser, som er konstateret. Det er ikke tilstrækkeligt, at oplysningerne potentielt kan medføre større tab for virksomheden, uden at virksomhedens eksistens dermed er i fare.</w:t>
      </w:r>
    </w:p>
    <w:p w14:paraId="35087FBE" w14:textId="5715CCE8"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må</w:t>
      </w:r>
      <w:r w:rsidR="00065BBB" w:rsidRPr="00796736">
        <w:rPr>
          <w:rFonts w:ascii="Times New Roman" w:hAnsi="Times New Roman" w:cs="Times New Roman"/>
          <w:sz w:val="24"/>
          <w:szCs w:val="24"/>
        </w:rPr>
        <w:t xml:space="preserve"> endvidere</w:t>
      </w:r>
      <w:r w:rsidRPr="00796736">
        <w:rPr>
          <w:rFonts w:ascii="Times New Roman" w:hAnsi="Times New Roman" w:cs="Times New Roman"/>
          <w:sz w:val="24"/>
          <w:szCs w:val="24"/>
        </w:rPr>
        <w:t xml:space="preserve"> ikke offentliggøre reaktioner og beslutning om at oversende en sag til politimæssig efterforskning, hvis offentliggørelsen vil kunne skade den politimæssige efterforskning. Det forudsættes, at offentliggørelse af en beslutning om at oversende en sag til politimæssig efterforskning alene sker efter høring af den politimyndighed, som sagen er oversendt til. Såfremt politiet indstiller, at der ikke sker offentliggørelse, må der ikke ske offentliggørelse. Det kan aftales med anklagemyndigheden, at visse sagskategorier kan offentliggøres uden forudgående høring.</w:t>
      </w:r>
    </w:p>
    <w:p w14:paraId="2219598B"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offentliggørelse i en konkret sag ikke vil kunne ske af efterforskningsmæssige hensyn, vil det fortsat være muligt for Erhvervsstyrelsen at offentliggøre afgørelsen i anonymiseret form. Det forudsætter dog, at beskrivelsen af sagens faktum ikke bringer den igangværende efterforskning i fare. </w:t>
      </w:r>
    </w:p>
    <w:p w14:paraId="05CA020F" w14:textId="35BF4C14"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skal ved vurderingen af, om der skal ske offentliggørelse af en beslutning om at oversende en sag til politimæssig efterforskning, foretages en afvejning af behovet for at offentliggøre en politianmeldelse over for de betænkeligheder, herunder af retssikkerhedsmæssig karakter, som offentliggørelsen kan give anledning til. Oversendelse af sager til politimæssig efterforskning er en processuel beslutning, som ikke kan påklages.</w:t>
      </w:r>
    </w:p>
    <w:p w14:paraId="418CE1D8"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må ikke offentliggøre reaktioner, afgørelser om pålæggelse af tvangsbøder eller beslutning om at oversende en sag til politimæssig efterforskning, hvis offentliggørelsen vil være uforholdsmæssig efter en individuel vurdering, eller hvis offentliggørelsen ikke står i rimeligt forhold til overtrædelsens karakter.</w:t>
      </w:r>
    </w:p>
    <w:p w14:paraId="54C0E5B9"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uforholdsmæssig forstås, at offentliggørelsen af den ansvarlige virksomhed eller persons identitet vil udgøre et uproportionalt indgreb i vedkommendes rettigheder, som ikke står mål med det formål, som offentliggørelsen varetager. Erhvervsstyrelsen skal således foretage en konkret proportionalitetsafvejning af indgrebets beskaffenhed og det formål, som offentliggørelsen søger at varetage. I denne afvejning vil karakteren af den konstaterede overtrædelse indgå med betydelig vægt.  </w:t>
      </w:r>
    </w:p>
    <w:p w14:paraId="0739C446"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Undtagelsen vil herunder kunne finde anvendelse, hvis offentliggørelsen af de pågældende oplysninger vil være truende for virksomhedens eksistens og stå i misforhold til offentliggørelsen af de overtrædelser, som er konstateret. Det er ikke tilstrækkeligt, at oplysningerne potentielt kan medføre større tab for virksomheden, uden at virksomhedens eksistens dermed er i fare.</w:t>
      </w:r>
    </w:p>
    <w:p w14:paraId="4E2B71A5"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Der skal ved vurderingen af, om der skal ske offentliggørelse af en beslutning om at oversende en sag til politimæssig efterforskning, foretages en afvejning af behovet for at offentliggøre en politianmeldelse over for de betænkeligheder, herunder af retssikkerhedsmæssig karakter, som offentliggørelsen kan give anledning til. Oversendelse af sager til politimæssig efterforskning er en processuel beslutning, som ikke kan påklages.</w:t>
      </w:r>
    </w:p>
    <w:p w14:paraId="1EEF3A5E"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Offentliggørelsen må ikke indeholde fortrolige oplysninger om kundeforhold eller oplysninger omfattet af bestemmelser i lov om offentlighed i forvaltningen om undtagelse af oplysninger om private forhold og drifts- eller forretningsforhold m.v. Offentliggørelsen må desuden ikke indeholde fortrolige oplysninger, der hidrører fra et EU eller EØS-land, medmindre de myndigheder, som har afgivet oplysningerne, har givet deres udtrykkelige tilladelse.</w:t>
      </w:r>
    </w:p>
    <w:p w14:paraId="4B406071" w14:textId="4F0331C2"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8,</w:t>
      </w:r>
      <w:r w:rsidRPr="00796736">
        <w:rPr>
          <w:rFonts w:ascii="Times New Roman" w:hAnsi="Times New Roman" w:cs="Times New Roman"/>
          <w:sz w:val="24"/>
          <w:szCs w:val="24"/>
        </w:rPr>
        <w:t xml:space="preserve"> at er offentliggørelse undladt i henhold til stk. </w:t>
      </w:r>
      <w:r w:rsidR="00065BBB" w:rsidRPr="00796736">
        <w:rPr>
          <w:rFonts w:ascii="Times New Roman" w:hAnsi="Times New Roman" w:cs="Times New Roman"/>
          <w:sz w:val="24"/>
          <w:szCs w:val="24"/>
        </w:rPr>
        <w:t>7</w:t>
      </w:r>
      <w:r w:rsidRPr="00796736">
        <w:rPr>
          <w:rFonts w:ascii="Times New Roman" w:hAnsi="Times New Roman" w:cs="Times New Roman"/>
          <w:sz w:val="24"/>
          <w:szCs w:val="24"/>
        </w:rPr>
        <w:t>, 1. pkt., skal der ske offentliggørelse efter stk. 1-6, når de hensyn, der nødvendiggjorde undladelsen, ikke længere er gældende. Efter 2 år fra datoen fra reaktionen, eller beslutningen om at overgive sagen til politimæssig efterforskning skal der dog ikke ske offentliggørelse uanset 1. pkt. Der skal alene ske offentliggørelse, hvis der ikke er sket påtaleopgivelse eller tiltalefrafald efter retsplejelovens regler.</w:t>
      </w:r>
    </w:p>
    <w:p w14:paraId="7FC0B6AC"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direkte videreførelse af den nuværende § 62, stk. 7, og implementerer artikel 58, stk. 3, 2. afsnit, litra a, i 6. hvidvaskdirektiv.</w:t>
      </w:r>
    </w:p>
    <w:p w14:paraId="1F2CECB5" w14:textId="4EE14449"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Erhvervsstyrelsen har undladt offentliggørelse i henhold til stk. </w:t>
      </w:r>
      <w:r w:rsidR="00065BBB" w:rsidRPr="00796736">
        <w:rPr>
          <w:rFonts w:ascii="Times New Roman" w:hAnsi="Times New Roman" w:cs="Times New Roman"/>
          <w:sz w:val="24"/>
          <w:szCs w:val="24"/>
        </w:rPr>
        <w:t>7</w:t>
      </w:r>
      <w:r w:rsidRPr="00796736">
        <w:rPr>
          <w:rFonts w:ascii="Times New Roman" w:hAnsi="Times New Roman" w:cs="Times New Roman"/>
          <w:sz w:val="24"/>
          <w:szCs w:val="24"/>
        </w:rPr>
        <w:t>, 1. pkt., skal der ske offentliggørelse efter stk. 1-</w:t>
      </w:r>
      <w:r w:rsidR="00065BBB" w:rsidRPr="00796736">
        <w:rPr>
          <w:rFonts w:ascii="Times New Roman" w:hAnsi="Times New Roman" w:cs="Times New Roman"/>
          <w:sz w:val="24"/>
          <w:szCs w:val="24"/>
        </w:rPr>
        <w:t>6</w:t>
      </w:r>
      <w:r w:rsidRPr="00796736">
        <w:rPr>
          <w:rFonts w:ascii="Times New Roman" w:hAnsi="Times New Roman" w:cs="Times New Roman"/>
          <w:sz w:val="24"/>
          <w:szCs w:val="24"/>
        </w:rPr>
        <w:t xml:space="preserve">, når de hensyn, der nødvendiggjorde undladelsen, ikke længere er gældende. Dette gælder dog kun i op til 2 år efter datoen for reaktionen, den pålagte tvangsbøde eller beslutningen om at overgive sagen til politimæssig efterforskning. Offentliggørelse skal dog alene finde sted, hvis der ikke er sket påtaleopgivelse eller tiltalefrafald efter retsplejelovens regler. </w:t>
      </w:r>
    </w:p>
    <w:p w14:paraId="198197ED"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Baggrunden herfor er, at den offentlige interesse i sådanne reaktioner aftager kraftigt hen over tid og af administrative årsager. På denne baggrund foreslås en grænse på to år.</w:t>
      </w:r>
    </w:p>
    <w:p w14:paraId="621A0590" w14:textId="1B54570E" w:rsidR="00065BBB" w:rsidRPr="00796736" w:rsidRDefault="00065BBB" w:rsidP="00A802A5">
      <w:pPr>
        <w:spacing w:after="240"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9,</w:t>
      </w:r>
      <w:r w:rsidRPr="00796736">
        <w:rPr>
          <w:rFonts w:ascii="Times New Roman" w:hAnsi="Times New Roman" w:cs="Times New Roman"/>
          <w:sz w:val="24"/>
          <w:szCs w:val="24"/>
        </w:rPr>
        <w:t xml:space="preserve"> at i sager, hvor Erhvervsstyrelsen har offentliggjort en beslutning om at overgive en sag til politimæssig efterforskning efter stk. 1, 2. pkt., og der træffes afgørelse om påtaleopgivelse eller tiltalefrafald eller afsiges frifindende dom, skal Erhvervsstyrelsen, hvis styrelsen bliver bekendt hermed, offentliggøre oplysninger herom. Den fysiske eller juridiske person skal indsende en kopi af afgørelsen om påtaleopgivelse eller tiltalefrafald eller en kopi af dommen til Erhvervsstyrelsen. Er påtaleopgivelsen, tiltalefrafaldet eller dommen ikke endelig, skal det fremgå af offentliggørelsen. Modtager Erhvervsstyrelsen dokumentation for, at sagen er afsluttet ved endelig påtaleopgivelse eller tiltalefrafald eller afsigelse af endelig frifindende dom, skal Erhvervsstyrelsen opdatere offentliggørelsesmeddelelsen i overensstemmelse hermed. </w:t>
      </w:r>
      <w:r w:rsidRPr="00796736">
        <w:rPr>
          <w:rFonts w:ascii="Times New Roman" w:eastAsia="Times New Roman" w:hAnsi="Times New Roman" w:cs="Times New Roman"/>
          <w:sz w:val="24"/>
          <w:szCs w:val="24"/>
          <w:lang w:eastAsia="da-DK"/>
        </w:rPr>
        <w:t>Dette gælder tilsvarende, hvis der er tale om en anke- eller genoptagelsessag.</w:t>
      </w:r>
    </w:p>
    <w:p w14:paraId="7F398C83" w14:textId="0D9C839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den nuværende § 62, stk. 8, med indholdsmæssige ændringer og implementerer artikel 58, stk. 2, 3. afsnit, 2. pkt., i 6. hvidvaskdirektiv.</w:t>
      </w:r>
    </w:p>
    <w:p w14:paraId="0C7B5454"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foreslås ændret, så lovteksten ikke længere indeholder et krav om, at opdatering af offentliggørelsesmeddelelsen med information om påtaleopgivelse, tiltalefrafald eller frifindende dom forudsætter anmodning herom fra den fysiske eller juridiske person, som sagen vedrører. Med den foreslåede bestemmelse skal Erhvervsstyrelsen blot være blevet bekendt med, at der er sket påtaleopgivelse, tiltalefrafald eller frifindende dom. Yderligere forslås bestemmelsen ændret, så Erhvervsstyrelsen skal offentliggøre udfaldet af en endelig påtaleopgivelse, tiltalefrafald eller en endelig frifindende dom i forhold til den gældende bestemmelse, hvorefter styrelsen skulle fjerne de relevante oplysninger. De foreslåede ændringer skyldes en direktivnær implementering af 6. hvidvaskdirektiv, der ikke indeholder sådanne krav. </w:t>
      </w:r>
    </w:p>
    <w:p w14:paraId="0C32A9A3"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9, 1. pkt</w:t>
      </w:r>
      <w:r w:rsidRPr="00796736">
        <w:rPr>
          <w:rFonts w:ascii="Times New Roman" w:hAnsi="Times New Roman" w:cs="Times New Roman"/>
          <w:sz w:val="24"/>
          <w:szCs w:val="24"/>
        </w:rPr>
        <w:t xml:space="preserve">., at i sager, hvor Erhvervsstyrelsen har offentliggjort en beslutning om at overgive en sag til politimæssig efterforskning efter stk. 1, 2. pkt., og der træffes afgørelse om påtaleopgivelse eller tiltalefrafald eller afsiges frifindende dom, skal Erhvervsstyrelsen, hvis styrelsen bliver bekendt hermed, offentliggøre oplysninger herom. </w:t>
      </w:r>
    </w:p>
    <w:p w14:paraId="7A519250"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9, 2. pkt.,</w:t>
      </w:r>
      <w:r w:rsidRPr="00796736">
        <w:rPr>
          <w:rFonts w:ascii="Times New Roman" w:hAnsi="Times New Roman" w:cs="Times New Roman"/>
          <w:sz w:val="24"/>
          <w:szCs w:val="24"/>
        </w:rPr>
        <w:t xml:space="preserve"> at den fysiske eller juridiske person, som sagen vedrører, skal indsende en kopi af afgørelsen om påtaleopgivelse eller tiltalefrafald eller en kopi af dommen til Erhvervsstyrelsen. </w:t>
      </w:r>
    </w:p>
    <w:p w14:paraId="42ED33C6" w14:textId="06D4B2CF"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er den juridiske eller fysiske person selv, som skal sende Erhvervsstyrelsen en kopi af afgørelsen om påtaleopgivelse, tiltalefrafald eller den frifindende dom, idet Erhvervsstyrelsen ikke nødvendigvis vil være i besiddelse heraf.</w:t>
      </w:r>
    </w:p>
    <w:p w14:paraId="20E806ED"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skal offentliggøre, at sagen er sluttet uden tiltale, at sagen er sluttet ved tiltalefrafald, eller at der er afsagt frifindende dom i sagen i umiddelbar og naturlig sammenhæng med Erhvervsstyrelsens offentliggørelse efter stk. 1, 2. pkt., dvs. det sted på Erhvervsstyrelsens hjemmeside, hvor Erhvervsstyrelsens tidligere har offentliggjort beslutningen om at overgive sagen til politimæssig efterforskning. De supplerende oplysninger om påtaleopgivelse, tiltalefrafald eller frifindende dom skal fremgå tydeligt af Erhvervsstyrelsens hjemmeside.</w:t>
      </w:r>
    </w:p>
    <w:p w14:paraId="005E7D54"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Offentliggørelse efter den foreslåede bestemmelse omfatter tillige tilfælde, hvor der er tale om en dom afsagt af en ankeinstans.</w:t>
      </w:r>
    </w:p>
    <w:p w14:paraId="43FAC114"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9, 3. pkt.,</w:t>
      </w:r>
      <w:r w:rsidRPr="00796736">
        <w:rPr>
          <w:rFonts w:ascii="Times New Roman" w:hAnsi="Times New Roman" w:cs="Times New Roman"/>
          <w:sz w:val="24"/>
          <w:szCs w:val="24"/>
        </w:rPr>
        <w:t xml:space="preserve"> at det skal fremgå af offentliggørelsen, hvis påtaleopgivelsen, tiltalefrafaldet eller dommen ikke er endelig. </w:t>
      </w:r>
    </w:p>
    <w:p w14:paraId="05CDF3A3"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En afgørelse om påtaleopgivelse eller tiltalefrafald er ikke endelig i de tilfælde, hvor afgørelsen om påtaleopgivelse eller tiltalefrafald er påklaget til den overordnende anklagemyndighed. En dom er ikke endelig i de tilfælde, hvor dommen er anket til en højere retsinstans.</w:t>
      </w:r>
    </w:p>
    <w:p w14:paraId="1841F938" w14:textId="77777777" w:rsidR="00065BBB"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stk. 9, 4. pkt., </w:t>
      </w:r>
      <w:r w:rsidRPr="00796736">
        <w:rPr>
          <w:rFonts w:ascii="Times New Roman" w:hAnsi="Times New Roman" w:cs="Times New Roman"/>
          <w:sz w:val="24"/>
          <w:szCs w:val="24"/>
        </w:rPr>
        <w:t>at modtager Erhvervsstyrelsen dokumentation for, at sagen er afsluttet ved endelig påtaleopgivelse eller tiltalefrafald eller afsigelse af endelig frifindende dom, skal Erhvervsstyrelsen opdatere offentliggørelsen i overensstemmelse hermed.</w:t>
      </w:r>
      <w:r w:rsidRPr="00796736" w:rsidDel="00EC2F5A">
        <w:rPr>
          <w:rFonts w:ascii="Times New Roman" w:hAnsi="Times New Roman" w:cs="Times New Roman"/>
          <w:sz w:val="24"/>
          <w:szCs w:val="24"/>
        </w:rPr>
        <w:t xml:space="preserve"> </w:t>
      </w:r>
    </w:p>
    <w:p w14:paraId="49086E22" w14:textId="7AB54C6D"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modtager ikke nødvendigvis oplysninger om og dokumentation for, at en sag overgivet til politimæssig efterforskning er afsluttet ved endelig påtaleopgivelse eller tiltalefrafald eller afsigelse af endelig frifindende dom. Erhvervsstyrelsens forpligtelse til at opdatere offentliggørelsesmeddelelsen med oplysninger herom indtræder derfor først i det tilfælde, hvor Erhvervsstyrelsen modtager dokumentation herfor. Det er ikke afgørende, hvem der indsender eller overleverer en sådan dokumentation, og Erhvervsstyrelsens forpligtelse til at opdatere offentliggørelsen indtræder således, uanset om den fornødne dokumentation modtages fra anklagemyndigheden, den pågældende fysiske eller juridiske person, som sagen vedrører, eller af tredjemand.</w:t>
      </w:r>
    </w:p>
    <w:p w14:paraId="6375F7D9"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afgørelse om påtaleopgivelse eller tiltalefrafald er ikke endelig i de tilfælde, hvor afgørelsen om påtaleopgivelse eller tiltalefrafald er påklaget til den overordnede anklagemyndighed. En dom er ikke endelig i de tilfælde, hvor dommen er anket til højere retsinstans. Opdateringen om offentliggørelsen af en beslutning om at overgive en sag til politimæssig efterforskning i tilfælde, hvor en sag er afsluttet ved frifindende dom eller afsluttet ved påtaleopgivelse eller tiltalefrafald, vil således først ske efter udløbet af henholdsvis ankefristen eller fristen for at påklage påtaleopgivelsen eller tiltalefrafaldet, da afgørelsen skal være endelig. </w:t>
      </w:r>
    </w:p>
    <w:p w14:paraId="3FB23672" w14:textId="77777777" w:rsidR="00D4242A" w:rsidRPr="00796736" w:rsidRDefault="00D4242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Såfremt sagen bliver genstand for anke eller genoptagelse med frifindelse af den fysiske eller juridiske person til følge, skal Erhvervsstyrelsen tilsvarende offentliggøre resultatet af dommen i ankesagen eller den genoptagede sag.</w:t>
      </w:r>
    </w:p>
    <w:p w14:paraId="6D3AAD08" w14:textId="77777777" w:rsidR="00C6147D" w:rsidRPr="00796736" w:rsidRDefault="00C6147D" w:rsidP="00A802A5">
      <w:pPr>
        <w:spacing w:line="360" w:lineRule="auto"/>
        <w:rPr>
          <w:rFonts w:ascii="Times New Roman" w:hAnsi="Times New Roman" w:cs="Times New Roman"/>
          <w:sz w:val="24"/>
          <w:szCs w:val="24"/>
        </w:rPr>
      </w:pPr>
    </w:p>
    <w:p w14:paraId="39E96573" w14:textId="1E1EAAAC" w:rsidR="00C6147D" w:rsidRPr="00796736" w:rsidRDefault="00C6147D" w:rsidP="00A802A5">
      <w:pPr>
        <w:pStyle w:val="Undertitel"/>
      </w:pPr>
      <w:bookmarkStart w:id="2142" w:name="_Toc232109423"/>
      <w:bookmarkStart w:id="2143" w:name="_Toc244879391"/>
      <w:bookmarkStart w:id="2144" w:name="_Toc244880916"/>
      <w:r w:rsidRPr="00796736">
        <w:t xml:space="preserve">Til </w:t>
      </w:r>
      <w:bookmarkEnd w:id="2142"/>
      <w:r w:rsidR="00C86CFF" w:rsidRPr="00796736">
        <w:fldChar w:fldCharType="begin"/>
      </w:r>
      <w:r w:rsidR="00C86CFF" w:rsidRPr="00796736">
        <w:instrText xml:space="preserve"> REF _Ref232609141 \r \h </w:instrText>
      </w:r>
      <w:r w:rsidR="00967618" w:rsidRPr="00796736">
        <w:instrText xml:space="preserve"> \* MERGEFORMAT </w:instrText>
      </w:r>
      <w:r w:rsidR="00C86CFF" w:rsidRPr="00796736">
        <w:fldChar w:fldCharType="separate"/>
      </w:r>
      <w:r w:rsidR="008F29E5">
        <w:t>§ 95</w:t>
      </w:r>
      <w:bookmarkEnd w:id="2143"/>
      <w:bookmarkEnd w:id="2144"/>
      <w:r w:rsidR="00C86CFF" w:rsidRPr="00796736">
        <w:fldChar w:fldCharType="end"/>
      </w:r>
      <w:r w:rsidR="00564FB5" w:rsidRPr="00796736">
        <w:t xml:space="preserve"> </w:t>
      </w:r>
    </w:p>
    <w:p w14:paraId="10F04D2E"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 63 i den gældende hvidvasklov </w:t>
      </w:r>
      <w:r w:rsidRPr="00796736">
        <w:rPr>
          <w:rFonts w:ascii="Times New Roman" w:hAnsi="Times New Roman" w:cs="Times New Roman"/>
          <w:iCs/>
          <w:sz w:val="24"/>
          <w:szCs w:val="24"/>
        </w:rPr>
        <w:t>fastlægger</w:t>
      </w:r>
      <w:r w:rsidRPr="00796736">
        <w:rPr>
          <w:rFonts w:ascii="Times New Roman" w:hAnsi="Times New Roman" w:cs="Times New Roman"/>
          <w:sz w:val="24"/>
          <w:szCs w:val="24"/>
        </w:rPr>
        <w:t xml:space="preserve"> en tavshedspligt for bl.a. </w:t>
      </w:r>
      <w:r w:rsidRPr="00796736">
        <w:rPr>
          <w:rFonts w:ascii="Times New Roman" w:hAnsi="Times New Roman" w:cs="Times New Roman"/>
          <w:iCs/>
          <w:sz w:val="24"/>
          <w:szCs w:val="24"/>
        </w:rPr>
        <w:t xml:space="preserve">Erhvervsstyrelsens ansatte samt nærmere regler om, hvornår fortrolige oplysninger kan videregives. </w:t>
      </w:r>
    </w:p>
    <w:p w14:paraId="6DCDA6D7" w14:textId="5049606C"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_Ref232609141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iCs/>
          <w:sz w:val="24"/>
          <w:szCs w:val="24"/>
        </w:rPr>
        <w:t>viderefører bestemmelsen i § 63 med visse indholdsmæssige ændringer, herunder at der kan deles fortrolige oplysninger med AMLA samt til midlertidige undersøgelsesudvalg nedsat af Europa-Parlamentet, hvis videregivelsen er nødvendig for udførelsen af disse udvalgs aktiviteter.</w:t>
      </w:r>
    </w:p>
    <w:p w14:paraId="05866ABD"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Bestemmelsen implementerer artikel 44, 1. pkt., artikel 51, stk. 1, artikel 65, stk. 1, artikel 66, stk. 1, artikel 67 og 68 i 6. hvidvaskdirektiv.</w:t>
      </w:r>
    </w:p>
    <w:p w14:paraId="10B9860B"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1,</w:t>
      </w:r>
      <w:r w:rsidRPr="00796736">
        <w:rPr>
          <w:rFonts w:ascii="Times New Roman" w:hAnsi="Times New Roman" w:cs="Times New Roman"/>
          <w:iCs/>
          <w:sz w:val="24"/>
          <w:szCs w:val="24"/>
        </w:rPr>
        <w:t xml:space="preserve"> at Erhvervsstyrelsens ansatte er under ansvar efter straffelovens §§ 152- 152 e forpligtet til at hemmeligholde fortrolige oplysninger, som de får kendskab til gennem tilsynsvirksomheden. Det samme gælder personer, der udfører serviceopgaver som led i tilsynets drift, og eksperter, der handler på Erhvervsstyrelsen vegne. Det gælder også efter ansættelses- eller kontraktforholdets ophør.</w:t>
      </w:r>
    </w:p>
    <w:p w14:paraId="3857FC02" w14:textId="77777777"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iCs/>
          <w:sz w:val="24"/>
          <w:szCs w:val="24"/>
        </w:rPr>
        <w:t xml:space="preserve">Med personer, der udfører serviceopgaver, menes f.eks. rengøring, vagttjeneste, reparation og vedligeholdelse af elektronisk materiel og kantinedrift. Dette gælder også efter ansættelses- eller kontraktforholdets ophør. Tavshedspligten omhandler udelukkende fortrolige oplysninger samt oplysninger, som Erhvervsstyrelsen har modtaget i forbindelse med sin tilsynsvirksomhed. Tavshedspligten omfatter også oplysninger, som Erhvervsstyrelsen modtager fra udenlandske myndigheder. Således er oplysninger, som Erhvervsstyrelsen modtager i anden forbindelse end med den omfattede tilsynsvirksomhed, ikke omfattet af Erhvervsstyrelsens tavshedspligt. </w:t>
      </w:r>
    </w:p>
    <w:p w14:paraId="226BB26B" w14:textId="48B2CABD" w:rsidR="00065BBB" w:rsidRPr="00796736" w:rsidRDefault="005A265F"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Ved fortrolige oplysninger forstås</w:t>
      </w:r>
      <w:r>
        <w:rPr>
          <w:rFonts w:ascii="Times New Roman" w:hAnsi="Times New Roman" w:cs="Times New Roman"/>
          <w:iCs/>
          <w:sz w:val="24"/>
          <w:szCs w:val="24"/>
        </w:rPr>
        <w:t>, i overensstemmelse med forvaltningslovens § 27,</w:t>
      </w:r>
      <w:r w:rsidRPr="00796736">
        <w:rPr>
          <w:rFonts w:ascii="Times New Roman" w:hAnsi="Times New Roman" w:cs="Times New Roman"/>
          <w:iCs/>
          <w:sz w:val="24"/>
          <w:szCs w:val="24"/>
        </w:rPr>
        <w:t xml:space="preserve"> oplysninger om virksomheders forretningsmæssige forhold og personlige forhold samt andre oplysninger, som efter deres karakter er fortrolige. </w:t>
      </w:r>
      <w:r w:rsidR="00065BBB" w:rsidRPr="00796736">
        <w:rPr>
          <w:rFonts w:ascii="Times New Roman" w:hAnsi="Times New Roman" w:cs="Times New Roman"/>
          <w:iCs/>
          <w:sz w:val="24"/>
          <w:szCs w:val="24"/>
        </w:rPr>
        <w:t>Ved oplysninger, der efter deres karakter er fortrolige, forstås oplysninger, der ikke direkte relaterer sig til enkelte kunders eller virksomheders forhold. Oplysninger, som efter deres karakter er offentlige, f.eks. regnskaber og selskabsmeddelelser, er ikke omfattet af tavshedspligten. Tilsvarende gælder oprindeligt fortrolige oplysninger, som er blevet offentliggjort ad andre kanaler og derved er blevet almindeligt kendte.</w:t>
      </w:r>
    </w:p>
    <w:p w14:paraId="18A8769C" w14:textId="77777777" w:rsidR="00065BBB"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Den skærpede tavshedspligt indebærer, at det er strafbart for tilsynets medarbejdere at videregive fortrolige oplysninger om tilsynsarbejdet. I medfør af reglerne i offentlighedslovens § 35 er der ikke adgang til aktindsigt i tilsynssager, idet retten til aktindsigt er begrænset af særlige tavshedspligtbestemmelser i særlovgivningen. Bestemmelsen indebærer, at oplysninger i et dokument, der er omfattet af en særlig tavshedspligt, kan undtages fra aktindsigt.</w:t>
      </w:r>
    </w:p>
    <w:p w14:paraId="0611B937" w14:textId="1BAA55D7" w:rsidR="005A265F" w:rsidRPr="00D500FD" w:rsidRDefault="005A265F" w:rsidP="005A265F">
      <w:pPr>
        <w:spacing w:line="360" w:lineRule="auto"/>
        <w:rPr>
          <w:rFonts w:ascii="Times New Roman" w:hAnsi="Times New Roman" w:cs="Times New Roman"/>
          <w:sz w:val="24"/>
          <w:szCs w:val="24"/>
        </w:rPr>
      </w:pPr>
      <w:r w:rsidRPr="00D500FD">
        <w:rPr>
          <w:rFonts w:ascii="Times New Roman" w:hAnsi="Times New Roman" w:cs="Times New Roman"/>
          <w:sz w:val="24"/>
          <w:szCs w:val="24"/>
        </w:rPr>
        <w:t xml:space="preserve">Det er dog udelukkende adgangen til aktindsigt efter offentlighedsloven, der er begrænset. Parters rettigheder, herunder adgang til aktindsigt, skal afgøres efter forvaltningsloven. Afgørelse af, hvem der er part i forhold til </w:t>
      </w:r>
      <w:r>
        <w:rPr>
          <w:rFonts w:ascii="Times New Roman" w:hAnsi="Times New Roman" w:cs="Times New Roman"/>
          <w:sz w:val="24"/>
          <w:szCs w:val="24"/>
        </w:rPr>
        <w:t>Erhvervsstyrelsen</w:t>
      </w:r>
      <w:r w:rsidRPr="00D500FD">
        <w:rPr>
          <w:rFonts w:ascii="Times New Roman" w:hAnsi="Times New Roman" w:cs="Times New Roman"/>
          <w:sz w:val="24"/>
          <w:szCs w:val="24"/>
        </w:rPr>
        <w:t xml:space="preserve">, træffes efter forslagets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_Ref232609879 \r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131</w:t>
      </w:r>
      <w:r>
        <w:rPr>
          <w:rFonts w:ascii="Times New Roman" w:hAnsi="Times New Roman" w:cs="Times New Roman"/>
          <w:sz w:val="24"/>
          <w:szCs w:val="24"/>
        </w:rPr>
        <w:fldChar w:fldCharType="end"/>
      </w:r>
      <w:r w:rsidRPr="00D500FD">
        <w:rPr>
          <w:rFonts w:ascii="Times New Roman" w:hAnsi="Times New Roman" w:cs="Times New Roman"/>
          <w:sz w:val="24"/>
          <w:szCs w:val="24"/>
        </w:rPr>
        <w:t>.</w:t>
      </w:r>
    </w:p>
    <w:p w14:paraId="70FB25DB" w14:textId="77777777" w:rsidR="005A265F" w:rsidRDefault="005A265F" w:rsidP="005A265F">
      <w:pPr>
        <w:spacing w:line="360" w:lineRule="auto"/>
        <w:rPr>
          <w:rFonts w:ascii="Times New Roman" w:eastAsia="Times New Roman" w:hAnsi="Times New Roman" w:cs="Times New Roman"/>
          <w:sz w:val="24"/>
          <w:szCs w:val="24"/>
        </w:rPr>
      </w:pPr>
    </w:p>
    <w:p w14:paraId="7C5FE644" w14:textId="1AEB2CEE" w:rsidR="005A265F" w:rsidRDefault="005A265F" w:rsidP="005A265F">
      <w:pPr>
        <w:spacing w:line="360" w:lineRule="auto"/>
        <w:rPr>
          <w:rFonts w:ascii="Times New Roman" w:eastAsia="Times New Roman" w:hAnsi="Times New Roman" w:cs="Times New Roman"/>
          <w:sz w:val="24"/>
          <w:szCs w:val="24"/>
        </w:rPr>
      </w:pPr>
      <w:r w:rsidRPr="00DA76F4">
        <w:rPr>
          <w:rFonts w:ascii="Times New Roman" w:eastAsia="Times New Roman" w:hAnsi="Times New Roman" w:cs="Times New Roman"/>
          <w:sz w:val="24"/>
          <w:szCs w:val="24"/>
        </w:rPr>
        <w:t xml:space="preserve">Bestemmelsen vil indebære, at pligten til at meddele oplysninger efter bestemmelsen begrænses af særlige bestemmelser om tavshedspligt fastsat ved lov eller med hjemmel i lov for personer, der virker i offentlig tjeneste eller hverv, jf. § 35 i offentlighedsloven. Behandling af sådanne sager vil således skulle ske under iagttagelse af de regler om tavshedspligt, der gælder for </w:t>
      </w:r>
      <w:r>
        <w:rPr>
          <w:rFonts w:ascii="Times New Roman" w:eastAsia="Times New Roman" w:hAnsi="Times New Roman" w:cs="Times New Roman"/>
          <w:sz w:val="24"/>
          <w:szCs w:val="24"/>
        </w:rPr>
        <w:t>Erhvervsstyrelsen</w:t>
      </w:r>
      <w:r w:rsidRPr="00DA76F4">
        <w:rPr>
          <w:rFonts w:ascii="Times New Roman" w:eastAsia="Times New Roman" w:hAnsi="Times New Roman" w:cs="Times New Roman"/>
          <w:sz w:val="24"/>
          <w:szCs w:val="24"/>
        </w:rPr>
        <w:t>. Se nærmere herom i de almindelige bemærkninger pkt. 4.2.</w:t>
      </w:r>
    </w:p>
    <w:p w14:paraId="4183C8E9" w14:textId="77777777" w:rsidR="005A265F" w:rsidRPr="005A265F" w:rsidRDefault="005A265F" w:rsidP="005A265F">
      <w:pPr>
        <w:spacing w:line="360" w:lineRule="auto"/>
        <w:rPr>
          <w:rFonts w:ascii="Times New Roman" w:eastAsia="Times New Roman" w:hAnsi="Times New Roman" w:cs="Times New Roman"/>
          <w:sz w:val="24"/>
          <w:szCs w:val="24"/>
        </w:rPr>
      </w:pPr>
    </w:p>
    <w:p w14:paraId="11DAF9F1"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2,</w:t>
      </w:r>
      <w:r w:rsidRPr="00796736">
        <w:rPr>
          <w:rFonts w:ascii="Times New Roman" w:hAnsi="Times New Roman" w:cs="Times New Roman"/>
          <w:iCs/>
          <w:sz w:val="24"/>
          <w:szCs w:val="24"/>
        </w:rPr>
        <w:t xml:space="preserve"> at samtykke fra den, som tavshedspligten tilsigter at beskytte, berettiger ikke personer som nævnt i stk. 1 til at videregive fortrolige oplysninger. </w:t>
      </w:r>
    </w:p>
    <w:p w14:paraId="18B36008"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Erhvervsstyrelsens tavshedspligt er i høj grad baseret på et ønske om at beskytte de ikkefinansielle virksomheders kunder, det være sig privatpersoner eller erhvervskunder. Hertil kommer et ønske om af konkurrencemæssige grunde at beskytte de ikkefinansielle virksomheders forretningsmæssige forhold. </w:t>
      </w:r>
    </w:p>
    <w:p w14:paraId="3477BF57"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Erhvervsstyrelsens tavshedspligt er en afgørende betingelse for den tilsynsmæssige effektivitet. For at Erhvervsstyrelsen kan få alle nødvendige oplysninger i en given sag, må de ikkefinansielle virksomheder og disses kunder kunne nære tillid til, at tilsynet ikke videregiver fortrolige oplysninger. Da de fortrolige oplysninger i langt overvejende grad hidrører fra ikkefinansielle virksomheder, vil det være mest korrekt og sikrest, at det er den pågældende virksomhed selv, der meddeler oplysningerne til tredjemand. Oplysninger om virksomhedens kunder kan kun videregives med disses samtykke.</w:t>
      </w:r>
    </w:p>
    <w:p w14:paraId="70F43B6D"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3,</w:t>
      </w:r>
      <w:r w:rsidRPr="00796736">
        <w:rPr>
          <w:rFonts w:ascii="Times New Roman" w:hAnsi="Times New Roman" w:cs="Times New Roman"/>
          <w:iCs/>
          <w:sz w:val="24"/>
          <w:szCs w:val="24"/>
        </w:rPr>
        <w:t xml:space="preserve"> at stk.1 ikke er til hinder for at, Erhvervsstyrelsen videregiver fortrolige oplysninger i summarisk eller sammenfattende form, når hverken den enkelte virksomhed eller dens kunder kan identificeres. </w:t>
      </w:r>
    </w:p>
    <w:p w14:paraId="6498C818"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vil indebære, at oplysninger, der er omfattet af tavshedspligten i stk. 1, kan videregives af Erhvervsstyrelsen, hvis det ikke er muligt at identificere enkeltvirksomheder eller enkeltkunder blandt oplysningerne. Det afgørende for muligheden for videregivelse efter den foreslåede bestemmelse vil være, at der er foretaget en fuldstændig anonymisering. Det vil således ikke være tilstrækkeligt at fjerne eller overstrege navne m.v., hvis det er muligt ud fra f.eks. oplysningernes kontekst at identificere den pågældende virksomhed eller kunde. </w:t>
      </w:r>
    </w:p>
    <w:p w14:paraId="54413887"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 xml:space="preserve">stk. 4, </w:t>
      </w:r>
      <w:r w:rsidRPr="00796736">
        <w:rPr>
          <w:rFonts w:ascii="Times New Roman" w:hAnsi="Times New Roman" w:cs="Times New Roman"/>
          <w:iCs/>
          <w:sz w:val="24"/>
          <w:szCs w:val="24"/>
        </w:rPr>
        <w:t xml:space="preserve">at bestemmelsen i stk. 1 ikke er til hinder for, at fortrolige oplysninger kan videregives til en række indenlandske og udenlandske tilsynsmyndigheder m.v. Der er tale om myndigheder, som har et væsentligt behov for at modtage disse oplysninger til varetagelse af sine opgaver. </w:t>
      </w:r>
    </w:p>
    <w:p w14:paraId="65227DE4"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Bestemmelsen er opbygget på den måde, at fortrolige oplysninger, der kan videregives til danske myndigheder m.fl. opregnes i nr. 1-12. Fortrolige oplysninger, der kan videregives til færøske og grønlandske tilsynsmyndigheder, fremgår af nr. 13. Fortrolige oplysninger, der kan videregives til myndigheder m.v. inden for EU og EØS-lande, opregnes i nr. 14-16. Fortrolige oplysninger, der kan videregives til tilsynsmyndigheder i lande uden for EU eller EØS, fremgår af nr. 17.</w:t>
      </w:r>
    </w:p>
    <w:p w14:paraId="0A7968F6" w14:textId="77777777" w:rsidR="005A265F" w:rsidRDefault="005A265F" w:rsidP="005A265F">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Videregivelse kan kun ske i overensstemmelse med reglerne i databeskyttelseslovgivningen. </w:t>
      </w:r>
    </w:p>
    <w:p w14:paraId="6EBC5791" w14:textId="77777777" w:rsidR="005A265F" w:rsidRPr="00DD0991" w:rsidRDefault="005A265F" w:rsidP="005A265F">
      <w:pPr>
        <w:spacing w:line="360" w:lineRule="auto"/>
        <w:rPr>
          <w:rFonts w:ascii="Times New Roman" w:eastAsia="Times New Roman" w:hAnsi="Times New Roman" w:cs="Times New Roman"/>
          <w:sz w:val="24"/>
          <w:szCs w:val="24"/>
        </w:rPr>
      </w:pPr>
    </w:p>
    <w:p w14:paraId="4A7855D7" w14:textId="77777777" w:rsidR="005A265F" w:rsidRDefault="005A265F" w:rsidP="005A265F">
      <w:pPr>
        <w:spacing w:line="360" w:lineRule="auto"/>
        <w:rPr>
          <w:rFonts w:ascii="Times New Roman" w:hAnsi="Times New Roman" w:cs="Times New Roman"/>
          <w:iCs/>
          <w:sz w:val="24"/>
          <w:szCs w:val="24"/>
        </w:rPr>
      </w:pPr>
      <w:r>
        <w:rPr>
          <w:rFonts w:ascii="Times New Roman" w:hAnsi="Times New Roman" w:cs="Times New Roman"/>
          <w:iCs/>
          <w:sz w:val="24"/>
          <w:szCs w:val="24"/>
        </w:rPr>
        <w:t>Bestemmelsen understøtter Erhvervsstyrelsens tilsyn og deltagelse i diverse myndighedssamarbejder under iagttagelse af forvaltningsrettens principper for videregivelse af oplysninger mellem offentlige myndigheder, som omfattet af blandt andet forvaltningslovens § 28 og § 31.</w:t>
      </w:r>
    </w:p>
    <w:p w14:paraId="0581FA97" w14:textId="77777777" w:rsidR="005A265F" w:rsidRDefault="005A265F" w:rsidP="005A265F">
      <w:pPr>
        <w:spacing w:line="360" w:lineRule="auto"/>
        <w:rPr>
          <w:rFonts w:ascii="Times New Roman" w:hAnsi="Times New Roman" w:cs="Times New Roman"/>
          <w:iCs/>
          <w:sz w:val="24"/>
          <w:szCs w:val="24"/>
        </w:rPr>
      </w:pPr>
    </w:p>
    <w:p w14:paraId="77446E6A" w14:textId="41DF6517" w:rsidR="00065BBB" w:rsidRPr="00796736" w:rsidRDefault="005A265F" w:rsidP="005A265F">
      <w:pPr>
        <w:spacing w:after="240" w:line="360" w:lineRule="auto"/>
        <w:rPr>
          <w:rFonts w:ascii="Times New Roman" w:hAnsi="Times New Roman" w:cs="Times New Roman"/>
          <w:iCs/>
          <w:sz w:val="24"/>
          <w:szCs w:val="24"/>
        </w:rPr>
      </w:pPr>
      <w:r>
        <w:rPr>
          <w:rFonts w:ascii="Times New Roman" w:hAnsi="Times New Roman" w:cs="Times New Roman"/>
          <w:iCs/>
          <w:sz w:val="24"/>
          <w:szCs w:val="24"/>
        </w:rPr>
        <w:t xml:space="preserve">Efter artikel 65 og 66 i 6. hvidvaskdirektivs skal Erhvervsstyrelsen blandt andet indgå i et tæt samarbejde med øvrige relevante myndigheder i relation til henholdsvis revisorer og området for finansielle sanktioner, herunder af egen drift overveje behovet for udveksling af oplysninger med f.eks. Hvidvasksekretariatet eller tilsynet med revisorer efter revisorloven. </w:t>
      </w:r>
      <w:r w:rsidR="00065BBB" w:rsidRPr="00796736">
        <w:rPr>
          <w:rFonts w:ascii="Times New Roman" w:hAnsi="Times New Roman" w:cs="Times New Roman"/>
          <w:iCs/>
          <w:sz w:val="24"/>
          <w:szCs w:val="24"/>
        </w:rPr>
        <w:t>Erhvervsstyrelsen deltager</w:t>
      </w:r>
      <w:r>
        <w:rPr>
          <w:rFonts w:ascii="Times New Roman" w:hAnsi="Times New Roman" w:cs="Times New Roman"/>
          <w:iCs/>
          <w:sz w:val="24"/>
          <w:szCs w:val="24"/>
        </w:rPr>
        <w:t xml:space="preserve"> derudover</w:t>
      </w:r>
      <w:r w:rsidR="00065BBB" w:rsidRPr="00796736">
        <w:rPr>
          <w:rFonts w:ascii="Times New Roman" w:hAnsi="Times New Roman" w:cs="Times New Roman"/>
          <w:iCs/>
          <w:sz w:val="24"/>
          <w:szCs w:val="24"/>
        </w:rPr>
        <w:t xml:space="preserve"> i forskellige samarbejdsfora, f.eks. Operativt Dansk Informations- og efterretnings Netværk (ODIN), hvor retsplejelovens regler om tavshedspligt finder anvendelse. </w:t>
      </w:r>
    </w:p>
    <w:p w14:paraId="174CC981"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Hjemlen til videregivelse af fortrolige oplysninger til AMLA omfatter både AMLA’s generelle opgaver, såsom udarbejdelse af risikovurderinger, modtagelse af indberetninger og udarbejdelse af tekniske standarder, samt AMLA’s tilsyn med udvalgte virksomheder. Erhvervsstyrelsen kan således videregive fortrolige oplysninger til AMLA, når dette er nødvendigt for varetagelsen af både generelle og koordinerede opgaver samt i forbindelse med tilsyn med virksomheder.</w:t>
      </w:r>
    </w:p>
    <w:p w14:paraId="77DB0A0A"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bemærkes, at oplysninger til udenlandske myndigheder kun må videregives, når dette er absolut nødvendigt og kun til den eller de relevante personer, som har brug for at modtage oplysningerne. </w:t>
      </w:r>
    </w:p>
    <w:p w14:paraId="291D19F8"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5,</w:t>
      </w:r>
      <w:r w:rsidRPr="00796736">
        <w:rPr>
          <w:rFonts w:ascii="Times New Roman" w:hAnsi="Times New Roman" w:cs="Times New Roman"/>
          <w:iCs/>
          <w:sz w:val="24"/>
          <w:szCs w:val="24"/>
        </w:rPr>
        <w:t xml:space="preserve"> at videregivelse i henhold til stk. 4, nr. 17, alene kan ske på baggrund af en international samarbejdsaftale, og under forudsætning af at modtagerne mindst er underlagt en lovbestemt tavshedspligt, der svarer til tavshedspligten i medfør af stk. 1, og har et væsentligt behov for oplysningerne til varetagelse af deres opgaver. </w:t>
      </w:r>
    </w:p>
    <w:p w14:paraId="5C7A0E24"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Samarbejdsaftalen skal overholde gældende databeskyttelsesregler og være gensidige samt underlagt en garanti om krav om tavshedspligt, der mindst svarer til den, der gælder for tilsynsmyndighederne i landene inden for EU eller EØS. Udvekslingen af fortrolige oplysninger inden for rammerne af samarbejdsaftalen må kun anvendes med henblik på de pågældende myndigheders udførelse af deres tilsynsopgaver.</w:t>
      </w:r>
    </w:p>
    <w:p w14:paraId="517D6D1E"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Efter artikel 51, stk. 4 i 6. hvidvaskdirektiv, skal AMLA senest den 10. juli 2029 udarbejde udkast til gennemførelsesmæssige tekniske standarder og forelægger dem for Kommissionen med henblik på vedtagelse. Disse udkast til gennemførelses tekniske standarder skal præcisere den model, der skal anvendes til indgåelse af samarbejdsaftaler.</w:t>
      </w:r>
    </w:p>
    <w:p w14:paraId="53D00345"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6,</w:t>
      </w:r>
      <w:r w:rsidRPr="00796736">
        <w:rPr>
          <w:rFonts w:ascii="Times New Roman" w:hAnsi="Times New Roman" w:cs="Times New Roman"/>
          <w:iCs/>
          <w:sz w:val="24"/>
          <w:szCs w:val="24"/>
        </w:rPr>
        <w:t xml:space="preserve"> at alle, der i henhold til stk. 4, nr. 1-13, modtager fortrolige oplysninger fra Erhvervsstyrelsen, er med hensyn til disse oplysninger undergivet den i stk. 1 omhandlede tavshedspligt. </w:t>
      </w:r>
    </w:p>
    <w:p w14:paraId="6E1A5311"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Den foreslåede bestemmelse medfører, at tavshedspligten i stk. 1 følger de fortrolige oplysninger, når disse videregives efter stk. 4. Bestemmelsen indebærer ikke indskrænkninger i grundlæggende principper indenfor retsplejen. Bestemmelsen har derfor bl.a. ingen indflydelse på en forsvarers ret til at blive gjort bekendt med sagens materiale, jf. den forslåede bestemmelse i stk. 4, nr. 3.</w:t>
      </w:r>
    </w:p>
    <w:p w14:paraId="02F1ADB0"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7,</w:t>
      </w:r>
      <w:r w:rsidRPr="00796736">
        <w:rPr>
          <w:rFonts w:ascii="Times New Roman" w:hAnsi="Times New Roman" w:cs="Times New Roman"/>
          <w:iCs/>
          <w:sz w:val="24"/>
          <w:szCs w:val="24"/>
        </w:rPr>
        <w:t xml:space="preserve"> at videregivelse i henhold til stk. 4, nr. 1, 2, 8, 9, 11 og 13-17, af fortrolige oplysninger, der hidrører fra et EU- eller EØS-land eller tilsynsmyndigheder i lande uden for EU- eller EØS, kan endvidere alene ske, såfremt de myndigheder, som har afgivet oplysningerne, har givet deres udtrykkelige tilladelse, og må udelukkende benyttes til det formål, som tilladelsen vedrører.</w:t>
      </w:r>
    </w:p>
    <w:p w14:paraId="0CA0EBD1"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har til formål at sikre, at fortrolige oplysninger, som Erhvervsstyrelsen har modtaget fra udenlandske myndigheder, kun videregives og anvendes i overensstemmelse med de betingelser, som den oprindelig myndighed har fastsat. Bestemmelsen skal sikre, at fortrolige oplysninger ikke videregives eller anvendes i videre omfang end tilladt af den myndighed, der har afgivet oplysningerne, og at der dermed opretholdes tillid og samarbejde mellem myndigheder på tværs af landegrænser. </w:t>
      </w:r>
    </w:p>
    <w:p w14:paraId="14837138"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8,</w:t>
      </w:r>
      <w:r w:rsidRPr="00796736">
        <w:rPr>
          <w:rFonts w:ascii="Times New Roman" w:hAnsi="Times New Roman" w:cs="Times New Roman"/>
          <w:iCs/>
          <w:sz w:val="24"/>
          <w:szCs w:val="24"/>
        </w:rPr>
        <w:t xml:space="preserve"> at fortrolige oplysninger, som Erhvervsstyrelsen modtager, kun må anvendes i forbindelse med tilsynshvervet, herunder til at pålægge sanktioner, eller hvis tilsynsmyndighederne afgørelse påklages til højere administrativ myndighed eller indbringes for domstolene. </w:t>
      </w:r>
    </w:p>
    <w:p w14:paraId="119B35F9" w14:textId="77777777" w:rsidR="00065BBB" w:rsidRPr="00796736" w:rsidRDefault="00065BBB"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medfører, at Erhvervsstyrelsen alene må anvende de fortrolige oplysninger, som Erhvervsstyrelsen modtager, som led i varetagelsen af Erhvervsstyrelsen opgaver efter lovgivningen. </w:t>
      </w:r>
    </w:p>
    <w:p w14:paraId="60671DB9" w14:textId="77777777" w:rsidR="00CF4737" w:rsidRPr="00796736" w:rsidRDefault="00CF4737" w:rsidP="00A802A5">
      <w:pPr>
        <w:spacing w:after="240" w:line="360" w:lineRule="auto"/>
        <w:rPr>
          <w:rFonts w:ascii="Times New Roman" w:hAnsi="Times New Roman" w:cs="Times New Roman"/>
          <w:iCs/>
          <w:sz w:val="24"/>
          <w:szCs w:val="24"/>
        </w:rPr>
      </w:pPr>
    </w:p>
    <w:p w14:paraId="684B6273" w14:textId="0D57F953" w:rsidR="00C6147D" w:rsidRPr="00796736" w:rsidRDefault="00C6147D" w:rsidP="00A802A5">
      <w:pPr>
        <w:pStyle w:val="Undertitel"/>
      </w:pPr>
      <w:bookmarkStart w:id="2145" w:name="_Toc232109424"/>
      <w:bookmarkStart w:id="2146" w:name="_Toc244879392"/>
      <w:bookmarkStart w:id="2147" w:name="_Toc244880917"/>
      <w:r w:rsidRPr="00796736">
        <w:t xml:space="preserve">Til </w:t>
      </w:r>
      <w:bookmarkEnd w:id="2145"/>
      <w:r w:rsidR="00C86CFF" w:rsidRPr="00796736">
        <w:fldChar w:fldCharType="begin"/>
      </w:r>
      <w:r w:rsidR="00C86CFF" w:rsidRPr="00796736">
        <w:instrText xml:space="preserve"> REF _Ref232609164 \r \h </w:instrText>
      </w:r>
      <w:r w:rsidR="00967618" w:rsidRPr="00796736">
        <w:instrText xml:space="preserve"> \* MERGEFORMAT </w:instrText>
      </w:r>
      <w:r w:rsidR="00C86CFF" w:rsidRPr="00796736">
        <w:fldChar w:fldCharType="separate"/>
      </w:r>
      <w:r w:rsidR="008F29E5">
        <w:t>§ 96</w:t>
      </w:r>
      <w:bookmarkEnd w:id="2146"/>
      <w:bookmarkEnd w:id="2147"/>
      <w:r w:rsidR="00C86CFF" w:rsidRPr="00796736">
        <w:fldChar w:fldCharType="end"/>
      </w:r>
    </w:p>
    <w:p w14:paraId="25A13C1E" w14:textId="4DE84563"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63 a i den gældende hvidvasklov er en særregel, der udvider tavshedspligten i forhold til oplysninger om personer, der indberetter overtrædelser til Erhvervsstyrelsen, således at parter ikke vil kunne få aktindsigt i personoplysninger om en person, når vedkommende har indberettet en virksomheds overtrædelse eller potentielle overtrædelse til Erhvervsstyrelsen.</w:t>
      </w:r>
    </w:p>
    <w:p w14:paraId="358C0711" w14:textId="647C91D8"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w:t>
      </w:r>
      <w:r w:rsidR="002D4A76" w:rsidRPr="00796736">
        <w:rPr>
          <w:rFonts w:ascii="Times New Roman" w:hAnsi="Times New Roman" w:cs="Times New Roman"/>
          <w:sz w:val="24"/>
          <w:szCs w:val="24"/>
        </w:rPr>
        <w:fldChar w:fldCharType="begin"/>
      </w:r>
      <w:r w:rsidR="002D4A76" w:rsidRPr="00796736">
        <w:rPr>
          <w:rFonts w:ascii="Times New Roman" w:hAnsi="Times New Roman" w:cs="Times New Roman"/>
          <w:sz w:val="24"/>
          <w:szCs w:val="24"/>
        </w:rPr>
        <w:instrText xml:space="preserve"> REF _Ref232609164 \r \h </w:instrText>
      </w:r>
      <w:r w:rsidR="00967618" w:rsidRPr="00796736">
        <w:rPr>
          <w:rFonts w:ascii="Times New Roman" w:hAnsi="Times New Roman" w:cs="Times New Roman"/>
          <w:sz w:val="24"/>
          <w:szCs w:val="24"/>
        </w:rPr>
        <w:instrText xml:space="preserve"> \* MERGEFORMAT </w:instrText>
      </w:r>
      <w:r w:rsidR="002D4A76" w:rsidRPr="00796736">
        <w:rPr>
          <w:rFonts w:ascii="Times New Roman" w:hAnsi="Times New Roman" w:cs="Times New Roman"/>
          <w:sz w:val="24"/>
          <w:szCs w:val="24"/>
        </w:rPr>
      </w:r>
      <w:r w:rsidR="002D4A76"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96</w:t>
      </w:r>
      <w:r w:rsidR="002D4A76" w:rsidRPr="00796736">
        <w:rPr>
          <w:rFonts w:ascii="Times New Roman" w:hAnsi="Times New Roman" w:cs="Times New Roman"/>
          <w:sz w:val="24"/>
          <w:szCs w:val="24"/>
        </w:rPr>
        <w:fldChar w:fldCharType="end"/>
      </w:r>
      <w:r w:rsidR="002D4A76" w:rsidRPr="00796736">
        <w:rPr>
          <w:rFonts w:ascii="Times New Roman" w:hAnsi="Times New Roman" w:cs="Times New Roman"/>
          <w:sz w:val="24"/>
          <w:szCs w:val="24"/>
        </w:rPr>
        <w:t xml:space="preserve"> </w:t>
      </w:r>
      <w:r w:rsidRPr="00796736">
        <w:rPr>
          <w:rFonts w:ascii="Times New Roman" w:hAnsi="Times New Roman" w:cs="Times New Roman"/>
          <w:iCs/>
          <w:sz w:val="24"/>
          <w:szCs w:val="24"/>
        </w:rPr>
        <w:t>viderefører bestemmelsen i § 63 a.</w:t>
      </w:r>
    </w:p>
    <w:p w14:paraId="57F7EB8B"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implementerer artikel 60, stk. 2. </w:t>
      </w:r>
    </w:p>
    <w:p w14:paraId="5D142190"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Det fremgår af præambel betragtning nr. 110 til 6. hvidvaskdirektiv, at Europa-Parlamentets og Rådets direktiv (EU) 2019/1937 finder anvendelse på indberetning af overtrædelser af direktiv (EU) 2015/849, der vedrører hvidvask af penge og finansiering af terrorisme, og på beskyttelse af personer, der indberetter sådanne overtrædelser, som omhandlet i del II i bilaget til direktiv (EU) 2019/1937. Da 6. hvidvaskdirektiv ophæver direktiv (EU) 2015/849, bør henvisningen til direktiv (EU) 2015/849 i bilag II til direktiv (EU) 2019/1937 forstås som en henvisning til nærværende direktiv. Samtidig er det nødvendigt at opretholde skræddersyede regler om indberetning af overtrædelser af kravene til for bekæmpelse af hvidvask af penge og finansiering af terrorisme, der supplerer direktiv (EU) 2019/1937, navnlig for så vidt angår kravene til forpligtede enheder om at etablere interne indberetningskanaler og identifikation af de myndigheder, der er kompetente til at modtage og følge op på indberetninger vedrørende overtrædelser af regler om forebyggelse og bekæmpelse af hvidvask af penge og finansiering af terrorisme.</w:t>
      </w:r>
    </w:p>
    <w:p w14:paraId="68588AFE" w14:textId="413FFBDE"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stk.1,</w:t>
      </w:r>
      <w:r w:rsidRPr="00796736">
        <w:rPr>
          <w:rFonts w:ascii="Times New Roman" w:hAnsi="Times New Roman" w:cs="Times New Roman"/>
          <w:iCs/>
          <w:sz w:val="24"/>
          <w:szCs w:val="24"/>
        </w:rPr>
        <w:t xml:space="preserve"> at Erhvervsstyrelsens ansatte ikke må videregive oplysninger om en person, når vedkommende har indberettet en virksomhed eller en person til Erhvervsstyrelsen for overtrædelse eller potentiel overtrædelse af hvidvaskforordningen, denne lov, regler udstedt i medfør heraf eller bestemmelser indeholder i forordninger som nævnt i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_Ref232597665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79</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for de områder som Erhvervsstyrelsen fører tilsyn med, jf. dog stk. 2.</w:t>
      </w:r>
    </w:p>
    <w:p w14:paraId="27D931E1"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medfører blandt andet, at oplysninger om en person, der har indberettet en virksomhed eller en person for overtrædelse af hvidvaskloven, for så vidt angår indberetningen ikke er undergivet aktindsigt i medfør af forvaltningsloven eller reglerne om underretning i medfør af retssikkerhedsloven. </w:t>
      </w:r>
    </w:p>
    <w:p w14:paraId="525B4507"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sz w:val="24"/>
          <w:szCs w:val="24"/>
        </w:rPr>
        <w:t>Personoplysninger skal forstås i overensstemmelse med definitionen heraf i artikel 4, nr. 1, i databeskyttelsesforordningen, hvorefter personoplysninger omfatter enhver form for information om en identificeret eller identificerbar fysisk person. Bestemmelsen omfatter blandt andet oplysninger, som identificerer personen, der indberetter overtrædelsen, i form af oplysninger om dennes identitet, eller enhver oplysning, der indirekte gør det muligt at udlede dennes identitet. Oplysninger, som er gjort anonyme på en sådan måde, at den registrerede ikke længere kan identificeres, er ikke omfattet af begrebet personoplysninger. Ved afgørelsen af, om en person er identificerbar, skal alle de hjælpemidler, der med rimelighed kan tænkes bragt i anvendelse for at identificere den pågældende enten af den dataansvarlige eller af enhver anden person, tages i betragtning.</w:t>
      </w:r>
    </w:p>
    <w:p w14:paraId="1273F18A" w14:textId="10AB9CE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Der kan foretages indberetning til Erhvervsstyrelsens hvidvaskteam via en mail-postkasse, som fremgår af Erhvervsstyrelsens hjemmeside. Bestemmelsen vil kun kunne finde anvendelse i sager om indberetning af overtrædelser eller potentielle overtrædelser af hvidvaskforordningen, hvidvaskloven, regler udstedt i medfør heraf eller bestemmelser indeholdt i forordninger nævnt i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_Ref232597665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79</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for de områder af loven, som Erhvervsstyrelsen fører tilsyn med, til Erhvervsstyrelsen, indberettet af en person om en virksomhed eller en person under tilsyn af Erhvervsstyrelsen.</w:t>
      </w:r>
    </w:p>
    <w:p w14:paraId="0506065D" w14:textId="304FA570"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Såvel overtrædelser som potentielle overtrædelser, f.eks. i tilfælde hvor en indberetning ikke fører til yderligere sagsbehandlingsskridt, eller i tilfælde hvor Erhvervsstyrelsen vurderer, at der ikke er tale om en overtrædelse af hvidvaskforordningen, hvidvaskloven, regler udstedt i medfør heraf eller bestemmelser indeholdt i forordninger nævnt i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_Ref232597665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79</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som Erhvervsstyrelsen fører tilsyn med, er omfattet af forslaget.</w:t>
      </w:r>
    </w:p>
    <w:p w14:paraId="532EDF59"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Det er et krav, at overtrædelsen vedrører regler, som er under tilsyn af Erhvervsstyrelsen. Sager vedrørende andre områder, f.eks. indberetning om overtrædelse af skatteretlige regler eller straffeloven, omfattes ikke af bestemmelsens anvendelsesområde.</w:t>
      </w:r>
    </w:p>
    <w:p w14:paraId="483B30B3" w14:textId="31F40C16"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Forslaget medfører, at Erhvervsstyrelsen – med de undtagelser der følger af stk. 2 – er forpligtet til ikke at videregive oplysninger om personer, der til Erhvervsstyrelsen indberetter overtrædelser eller potentielle overtrædelser af hvidvaskforordningen, hvidvaskloven, regler udstedt i medfør heraf eller bestemmelser indeholdt i forordninger nævnt i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_Ref232597665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79</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for de områder af loven, som Erhvervsstyrelsen fører tilsyn med. Forslaget udgør en specialregel (lex specialis) i forhold til de almindelige gældende regler om aktindsigt efter f.eks. forvaltningsloven, underretning efter retssikkerhedsloven eller indsigtsret efter databeskyttelseslovgivningen. Såfremt en part f.eks. har ret til aktindsigt efter forvaltningsloven, vil Erhvervsstyrelsen i medfør af lovforslaget være forpligtet til ikke at videregive eller at anonymisere enhver oplysning, der gør det muligt at identificere personen, der har indberettet overtrædelsen.</w:t>
      </w:r>
    </w:p>
    <w:p w14:paraId="21C814ED"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Forslaget ændrer i øvrigt ikke på, at adgangen til aktindsigt i Erhvervsstyrelsens sager er begrænset i henhold til § 35 i lov om offentlighed i forvaltningen.</w:t>
      </w:r>
    </w:p>
    <w:p w14:paraId="13D79008" w14:textId="2D01F112"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Ligeledes vil det i henhold til forslaget f.eks. ikke være tilladt for Erhvervsstyrelsen at videregive personoplysninger om en person, der har indberettet en overtrædelse af hvidvaskforordningen, hvidvaskloven, regler udstedt i medfør heraf eller bestemmelser indeholdt i forordninger nævnt i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_Ref232597665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79</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for de områder af loven, som Erhvervsstyrelsen fører tilsyn med, i forbindelse med en eventuel underretning forud for gennemførelsen af en beslutning om iværksættelse af et tvangsindgreb efter § 5 i retssikkerhedsloven.</w:t>
      </w:r>
    </w:p>
    <w:p w14:paraId="4FBD44C5" w14:textId="77777777"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Herved sikres det, at en person, der har indberettet en virksomheds overtrædelse eller potentielle overtrædelse af reguleringen til Erhvervsstyrelsen, beskyttes af den udvidede tavshedspligt, medmindre offentliggørelse kræves i henhold til national ret som led i yderligere efterforskning eller efterfølgende retslige procedurer.</w:t>
      </w:r>
    </w:p>
    <w:p w14:paraId="2B040672" w14:textId="539D68AB"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2,</w:t>
      </w:r>
      <w:r w:rsidRPr="00796736">
        <w:rPr>
          <w:rFonts w:ascii="Times New Roman" w:hAnsi="Times New Roman" w:cs="Times New Roman"/>
          <w:iCs/>
          <w:sz w:val="24"/>
          <w:szCs w:val="24"/>
        </w:rPr>
        <w:t xml:space="preserve"> at bestemmelsen ikke er til hinder for, at personoplysningerne videregives i medfør af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_Ref232609141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3.</w:t>
      </w:r>
    </w:p>
    <w:p w14:paraId="547804D3" w14:textId="3E07050F"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medfører, at videregivelse af oplysninger til de i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_Ref232609141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3 nævnte parter findes begrundet i hensynet til mulighederne for betryggende tilsyn, retssikkerhed, regulering og samarbejde med de i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_Ref232609141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3, nævnte parter. Efter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_Ref232609141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3, kan der f.eks. ske videregivelse til andre offentlige myndigheder, herunder anklagemyndigheden og politiet i forbindelse med efterforskning og retsforfølgning af strafbare forhold omfattet af straffeloven, hvidvaskforordningen, hvidvaskloven eller anden tilsynslovgivning.</w:t>
      </w:r>
    </w:p>
    <w:p w14:paraId="1B5E0273" w14:textId="479E0BA9"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3,</w:t>
      </w:r>
      <w:r w:rsidRPr="00796736">
        <w:rPr>
          <w:rFonts w:ascii="Times New Roman" w:hAnsi="Times New Roman" w:cs="Times New Roman"/>
          <w:iCs/>
          <w:sz w:val="24"/>
          <w:szCs w:val="24"/>
        </w:rPr>
        <w:t xml:space="preserve"> at alle, der i henhold til stk. 2 modtager personlysninger, jf. dog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_Ref232609141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5, er med hensyn til disse oplysninger undergivet den i stk. 1 omhandlede tavshedspligt. </w:t>
      </w:r>
    </w:p>
    <w:p w14:paraId="0090A98F" w14:textId="70B14B76" w:rsidR="00D4242A" w:rsidRPr="00796736" w:rsidRDefault="00D4242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svarer til den foreslåede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_Ref232609141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5, der fastslår, at alle, der i henhold til </w:t>
      </w:r>
      <w:r w:rsidR="002D4A76" w:rsidRPr="00796736">
        <w:rPr>
          <w:rFonts w:ascii="Times New Roman" w:hAnsi="Times New Roman" w:cs="Times New Roman"/>
          <w:iCs/>
          <w:sz w:val="24"/>
          <w:szCs w:val="24"/>
        </w:rPr>
        <w:fldChar w:fldCharType="begin"/>
      </w:r>
      <w:r w:rsidR="002D4A76" w:rsidRPr="00796736">
        <w:rPr>
          <w:rFonts w:ascii="Times New Roman" w:hAnsi="Times New Roman" w:cs="Times New Roman"/>
          <w:iCs/>
          <w:sz w:val="24"/>
          <w:szCs w:val="24"/>
        </w:rPr>
        <w:instrText xml:space="preserve"> REF _Ref232609141 \r \h </w:instrText>
      </w:r>
      <w:r w:rsidR="00967618" w:rsidRPr="00796736">
        <w:rPr>
          <w:rFonts w:ascii="Times New Roman" w:hAnsi="Times New Roman" w:cs="Times New Roman"/>
          <w:iCs/>
          <w:sz w:val="24"/>
          <w:szCs w:val="24"/>
        </w:rPr>
        <w:instrText xml:space="preserve"> \* MERGEFORMAT </w:instrText>
      </w:r>
      <w:r w:rsidR="002D4A76" w:rsidRPr="00796736">
        <w:rPr>
          <w:rFonts w:ascii="Times New Roman" w:hAnsi="Times New Roman" w:cs="Times New Roman"/>
          <w:iCs/>
          <w:sz w:val="24"/>
          <w:szCs w:val="24"/>
        </w:rPr>
      </w:r>
      <w:r w:rsidR="002D4A76"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2D4A76"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3, nr. 1-13, modtager fortrolige oplysninger fra Erhvervsstyrelsen, med hensyn til disse oplysninger er undergivet den i stk. 1 omhandlede tavshedspligt.</w:t>
      </w:r>
    </w:p>
    <w:p w14:paraId="22A98E9C" w14:textId="77777777" w:rsidR="00C1561B" w:rsidRPr="00796736" w:rsidRDefault="00C1561B" w:rsidP="00A802A5">
      <w:pPr>
        <w:spacing w:after="240" w:line="360" w:lineRule="auto"/>
        <w:rPr>
          <w:rFonts w:ascii="Times New Roman" w:hAnsi="Times New Roman" w:cs="Times New Roman"/>
          <w:iCs/>
          <w:sz w:val="24"/>
          <w:szCs w:val="24"/>
        </w:rPr>
      </w:pPr>
    </w:p>
    <w:p w14:paraId="087A8A09" w14:textId="55F04F3C" w:rsidR="00A16C19" w:rsidRPr="00796736" w:rsidRDefault="00A16C19" w:rsidP="00A802A5">
      <w:pPr>
        <w:pStyle w:val="Undertitel"/>
      </w:pPr>
      <w:bookmarkStart w:id="2148" w:name="_Toc232109425"/>
      <w:bookmarkStart w:id="2149" w:name="_Toc244879393"/>
      <w:bookmarkStart w:id="2150" w:name="_Toc244880918"/>
      <w:r w:rsidRPr="00796736">
        <w:t xml:space="preserve">Til </w:t>
      </w:r>
      <w:r w:rsidR="00C86CFF" w:rsidRPr="00796736">
        <w:fldChar w:fldCharType="begin"/>
      </w:r>
      <w:r w:rsidR="00C86CFF" w:rsidRPr="00796736">
        <w:instrText xml:space="preserve"> REF _Ref232609193 \r \h </w:instrText>
      </w:r>
      <w:r w:rsidR="00967618" w:rsidRPr="00796736">
        <w:instrText xml:space="preserve"> \* MERGEFORMAT </w:instrText>
      </w:r>
      <w:r w:rsidR="00C86CFF" w:rsidRPr="00796736">
        <w:fldChar w:fldCharType="separate"/>
      </w:r>
      <w:r w:rsidR="008F29E5">
        <w:t>§ 97</w:t>
      </w:r>
      <w:bookmarkEnd w:id="2149"/>
      <w:bookmarkEnd w:id="2150"/>
      <w:r w:rsidR="00C86CFF" w:rsidRPr="00796736">
        <w:fldChar w:fldCharType="end"/>
      </w:r>
      <w:r w:rsidR="000348AD" w:rsidRPr="00796736">
        <w:t xml:space="preserve"> </w:t>
      </w:r>
      <w:bookmarkEnd w:id="2148"/>
    </w:p>
    <w:p w14:paraId="600E3C3B"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64, stk. 1, påser Advokatrådet, at advokater omfattet af § 1, stk. 1, nr. 13, og advokater etableret i en anden EU-medlemsstat, i et EØS-land eller i Schweiz, og som udøver advokatvirksomhed her i landet, overholder loven og de regler, der er udstedt i medfør heraf, samt love og forordninger indeholdelse regler om finansielle sanktioner mod lande, personer, grupper, juridiske enheder eller organer. Dette gælder dog ikke overholdelse af § 36. Efter hvidvasklovens § 26 a, skal Sekretariatet for Advokatsamfundet offentliggøre en rapport med en række oplysninger. </w:t>
      </w:r>
    </w:p>
    <w:p w14:paraId="1D298FC8" w14:textId="77777777" w:rsidR="00A16C19" w:rsidRPr="00796736" w:rsidRDefault="00A16C19" w:rsidP="00A802A5">
      <w:pPr>
        <w:spacing w:line="360" w:lineRule="auto"/>
        <w:rPr>
          <w:rFonts w:ascii="Times New Roman" w:hAnsi="Times New Roman" w:cs="Times New Roman"/>
          <w:sz w:val="24"/>
          <w:szCs w:val="24"/>
        </w:rPr>
      </w:pPr>
    </w:p>
    <w:p w14:paraId="5E7DB828" w14:textId="6ED0C635" w:rsidR="00A16C19" w:rsidRPr="00796736" w:rsidRDefault="00A16C19"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I henhold til hvidvaskforordningens artikel 3, nr. 3, litra</w:t>
      </w:r>
      <w:r w:rsidR="00EB57D1">
        <w:rPr>
          <w:rFonts w:ascii="Times New Roman" w:eastAsia="Times New Roman" w:hAnsi="Times New Roman" w:cs="Times New Roman"/>
          <w:iCs/>
          <w:sz w:val="24"/>
          <w:szCs w:val="24"/>
          <w:lang w:eastAsia="da-DK"/>
        </w:rPr>
        <w:t xml:space="preserve"> a og</w:t>
      </w:r>
      <w:r w:rsidRPr="00796736">
        <w:rPr>
          <w:rFonts w:ascii="Times New Roman" w:eastAsia="Times New Roman" w:hAnsi="Times New Roman" w:cs="Times New Roman"/>
          <w:iCs/>
          <w:sz w:val="24"/>
          <w:szCs w:val="24"/>
          <w:lang w:eastAsia="da-DK"/>
        </w:rPr>
        <w:t xml:space="preserve"> b, finder hvidvaskforordningen i visse situationer anvendelse på advokater og advokatselskaber.</w:t>
      </w:r>
    </w:p>
    <w:p w14:paraId="180EC1D5" w14:textId="77777777" w:rsidR="00A16C19" w:rsidRPr="00796736" w:rsidRDefault="00A16C19" w:rsidP="00A802A5">
      <w:pPr>
        <w:spacing w:line="360" w:lineRule="auto"/>
        <w:rPr>
          <w:rFonts w:ascii="Times New Roman" w:hAnsi="Times New Roman" w:cs="Times New Roman"/>
          <w:sz w:val="24"/>
          <w:szCs w:val="24"/>
        </w:rPr>
      </w:pPr>
    </w:p>
    <w:p w14:paraId="092EC00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Efter retsplejelovens § 143, stk. 2, fører Advokatrådet, der er Advokatsamfundets bestyrelse, tilsyn med, at advokater, deres autoriserede fuldmægtige, fællesskaber af advokater og advokatselskaber. Finder rådet, at en advokat ikke har handlet i overensstemmelse med de pligter, stillingen medfører, kan det indklage den pågældende for Advokatnævnet.</w:t>
      </w:r>
    </w:p>
    <w:p w14:paraId="618A8AFD" w14:textId="77777777" w:rsidR="00A16C19" w:rsidRPr="00796736" w:rsidRDefault="00A16C19" w:rsidP="00A802A5">
      <w:pPr>
        <w:spacing w:line="360" w:lineRule="auto"/>
        <w:rPr>
          <w:rFonts w:ascii="Times New Roman" w:hAnsi="Times New Roman" w:cs="Times New Roman"/>
          <w:sz w:val="24"/>
          <w:szCs w:val="24"/>
        </w:rPr>
      </w:pPr>
    </w:p>
    <w:p w14:paraId="1B02E4B4" w14:textId="4C42969B"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gældende ret henvises til pkt. </w:t>
      </w:r>
      <w:r w:rsidR="006444F0" w:rsidRPr="00796736">
        <w:rPr>
          <w:rFonts w:ascii="Times New Roman" w:hAnsi="Times New Roman" w:cs="Times New Roman"/>
          <w:sz w:val="24"/>
          <w:szCs w:val="24"/>
        </w:rPr>
        <w:fldChar w:fldCharType="begin"/>
      </w:r>
      <w:r w:rsidR="006444F0" w:rsidRPr="00796736">
        <w:rPr>
          <w:rFonts w:ascii="Times New Roman" w:hAnsi="Times New Roman" w:cs="Times New Roman"/>
          <w:sz w:val="24"/>
          <w:szCs w:val="24"/>
        </w:rPr>
        <w:instrText xml:space="preserve"> REF _Ref232967290 \n \h </w:instrText>
      </w:r>
      <w:r w:rsidR="00967618" w:rsidRPr="00796736">
        <w:rPr>
          <w:rFonts w:ascii="Times New Roman" w:hAnsi="Times New Roman" w:cs="Times New Roman"/>
          <w:sz w:val="24"/>
          <w:szCs w:val="24"/>
        </w:rPr>
        <w:instrText xml:space="preserve"> \* MERGEFORMAT </w:instrText>
      </w:r>
      <w:r w:rsidR="006444F0" w:rsidRPr="00796736">
        <w:rPr>
          <w:rFonts w:ascii="Times New Roman" w:hAnsi="Times New Roman" w:cs="Times New Roman"/>
          <w:sz w:val="24"/>
          <w:szCs w:val="24"/>
        </w:rPr>
      </w:r>
      <w:r w:rsidR="006444F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3.66.1</w:t>
      </w:r>
      <w:r w:rsidR="006444F0" w:rsidRPr="00796736">
        <w:rPr>
          <w:rFonts w:ascii="Times New Roman" w:hAnsi="Times New Roman" w:cs="Times New Roman"/>
          <w:sz w:val="24"/>
          <w:szCs w:val="24"/>
        </w:rPr>
        <w:fldChar w:fldCharType="end"/>
      </w:r>
      <w:r w:rsidR="006444F0"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 lovforslagets almindelige bemærkninger. </w:t>
      </w:r>
    </w:p>
    <w:p w14:paraId="590C8A3B" w14:textId="77777777" w:rsidR="00A16C19" w:rsidRPr="00796736" w:rsidRDefault="00A16C19" w:rsidP="00A802A5">
      <w:pPr>
        <w:spacing w:line="360" w:lineRule="auto"/>
        <w:rPr>
          <w:rFonts w:ascii="Times New Roman" w:hAnsi="Times New Roman" w:cs="Times New Roman"/>
          <w:sz w:val="24"/>
          <w:szCs w:val="24"/>
        </w:rPr>
      </w:pPr>
    </w:p>
    <w:p w14:paraId="511FE627" w14:textId="44DB1119"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006444F0" w:rsidRPr="00796736">
        <w:rPr>
          <w:rFonts w:ascii="Times New Roman" w:eastAsia="Calibri" w:hAnsi="Times New Roman" w:cs="Times New Roman"/>
          <w:i/>
          <w:iCs/>
          <w:sz w:val="24"/>
          <w:szCs w:val="24"/>
        </w:rPr>
        <w:fldChar w:fldCharType="begin"/>
      </w:r>
      <w:r w:rsidR="006444F0" w:rsidRPr="00796736">
        <w:rPr>
          <w:rFonts w:ascii="Times New Roman" w:eastAsia="Calibri" w:hAnsi="Times New Roman" w:cs="Times New Roman"/>
          <w:i/>
          <w:iCs/>
          <w:sz w:val="24"/>
          <w:szCs w:val="24"/>
        </w:rPr>
        <w:instrText xml:space="preserve"> REF _Ref232609193 \r \h  \* MERGEFORMAT </w:instrText>
      </w:r>
      <w:r w:rsidR="006444F0" w:rsidRPr="00796736">
        <w:rPr>
          <w:rFonts w:ascii="Times New Roman" w:eastAsia="Calibri" w:hAnsi="Times New Roman" w:cs="Times New Roman"/>
          <w:i/>
          <w:iCs/>
          <w:sz w:val="24"/>
          <w:szCs w:val="24"/>
        </w:rPr>
      </w:r>
      <w:r w:rsidR="006444F0"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97</w:t>
      </w:r>
      <w:r w:rsidR="006444F0" w:rsidRPr="00796736">
        <w:rPr>
          <w:rFonts w:ascii="Times New Roman" w:eastAsia="Calibri" w:hAnsi="Times New Roman" w:cs="Times New Roman"/>
          <w:i/>
          <w:iCs/>
          <w:sz w:val="24"/>
          <w:szCs w:val="24"/>
        </w:rPr>
        <w:fldChar w:fldCharType="end"/>
      </w:r>
      <w:r w:rsidRPr="00796736">
        <w:rPr>
          <w:rFonts w:ascii="Times New Roman" w:hAnsi="Times New Roman" w:cs="Times New Roman"/>
          <w:i/>
          <w:iCs/>
          <w:sz w:val="24"/>
          <w:szCs w:val="24"/>
        </w:rPr>
        <w:t xml:space="preserve">, stk. 1, </w:t>
      </w:r>
      <w:r w:rsidR="00B23930" w:rsidRPr="00796736">
        <w:rPr>
          <w:rFonts w:ascii="Times New Roman" w:hAnsi="Times New Roman" w:cs="Times New Roman"/>
          <w:sz w:val="24"/>
          <w:szCs w:val="24"/>
        </w:rPr>
        <w:t xml:space="preserve">at </w:t>
      </w:r>
      <w:r w:rsidR="00B23930" w:rsidRPr="00796736">
        <w:rPr>
          <w:rFonts w:ascii="Times New Roman" w:eastAsia="Times New Roman" w:hAnsi="Times New Roman" w:cs="Times New Roman"/>
          <w:iCs/>
          <w:sz w:val="24"/>
          <w:szCs w:val="24"/>
          <w:lang w:eastAsia="da-DK"/>
        </w:rPr>
        <w:t xml:space="preserve">Advokatrådet på risikobaseret grundlag </w:t>
      </w:r>
      <w:r w:rsidR="00B23930" w:rsidRPr="00796736">
        <w:rPr>
          <w:rFonts w:ascii="Times New Roman" w:hAnsi="Times New Roman" w:cs="Times New Roman"/>
          <w:sz w:val="24"/>
          <w:szCs w:val="24"/>
          <w:lang w:eastAsia="da-DK"/>
        </w:rPr>
        <w:t>fører på tilsyn med, at advokater, herunder advokater, der er etableret i en anden EU-medlemsstat, i et EØS-land eller i Schweiz, og som udøver advokatvirksomhed her i landet, overholder hvidvaskforordningen, denne lov og regler udstedt i medfør heraf, samt love og forordninger, som indeholder regler om målrettede finansielle sanktioner.</w:t>
      </w:r>
    </w:p>
    <w:p w14:paraId="4FCD5583"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282E6A1" w14:textId="614F00AA"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foreslås, at Advokatrådets rolle som tilsynsmyndighed på hvidvaskområdet for advokater videreføres, idet det foreslås, at Advokatrådet skal påse, at advokater overholder bestemmelserne på hvidvaskområdet. Heri ligger e</w:t>
      </w:r>
      <w:r w:rsidR="00EB57D1">
        <w:rPr>
          <w:rFonts w:ascii="Times New Roman" w:eastAsia="Times New Roman" w:hAnsi="Times New Roman" w:cs="Times New Roman"/>
          <w:iCs/>
          <w:sz w:val="24"/>
          <w:szCs w:val="24"/>
          <w:lang w:eastAsia="da-DK"/>
        </w:rPr>
        <w:t>t</w:t>
      </w:r>
      <w:r w:rsidRPr="00796736">
        <w:rPr>
          <w:rFonts w:ascii="Times New Roman" w:eastAsia="Times New Roman" w:hAnsi="Times New Roman" w:cs="Times New Roman"/>
          <w:iCs/>
          <w:sz w:val="24"/>
          <w:szCs w:val="24"/>
          <w:lang w:eastAsia="da-DK"/>
        </w:rPr>
        <w:t xml:space="preserve"> krav om et aktivt tilsyn, der vil omfatte udstedelse af vejledning, rådgivning, undersøgelser og inspektioner. Advokatrådets tilsyn omfatter advokater og deres aktiviteter som nævnt i definitionen i den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_Ref232592818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2</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nr. 31.</w:t>
      </w:r>
    </w:p>
    <w:p w14:paraId="72ABFF10"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4B64F5D5"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forudsættes, ligesom tilfældet er i dag, at Advokatrådet h</w:t>
      </w:r>
      <w:r w:rsidRPr="00796736">
        <w:rPr>
          <w:rFonts w:ascii="Times New Roman" w:hAnsi="Times New Roman" w:cs="Times New Roman"/>
          <w:sz w:val="24"/>
          <w:szCs w:val="24"/>
        </w:rPr>
        <w:t>ar de tilstrækkelige finansielle, menneskelige og tekniske ressourcer til at udføre deres opgaver som anført i den foreslåede bestemmelse.  Advokatrådets personale vil, ligesom tilfældet er i dag, udvise en høj grad af integritet, er tilstrækkeligt kvalificeret og fastholder høje professionelle standarder, herunder standarder for fortrolighed og databeskyttelse samt standarder for behandling af interessekonflikter. Der henvises i den forbindelse til § 20, stk. 2, om interessekonflikter, og § 24, stk. 3, om tavshedspligt, i bekendtgørelse nr. 1631 af 19. december 2024 om godkendelse af vedtægt for Det Danske Advokatsamfund.</w:t>
      </w:r>
    </w:p>
    <w:p w14:paraId="7B37D14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15968AB" w14:textId="0C04E211" w:rsidR="00B23930" w:rsidRPr="00796736" w:rsidRDefault="00EB57D1"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Tilsynet skal finde sted på grundlag af en vurdering af risikoen for overtrædelse af </w:t>
      </w:r>
      <w:r>
        <w:rPr>
          <w:rFonts w:ascii="Times New Roman" w:eastAsia="Times New Roman" w:hAnsi="Times New Roman" w:cs="Times New Roman"/>
          <w:iCs/>
          <w:sz w:val="24"/>
          <w:szCs w:val="24"/>
          <w:lang w:eastAsia="da-DK"/>
        </w:rPr>
        <w:t>hvidvaskforordningen, denne lov eller regler udstedt i medfør af hvidvaskforordningen eller denne lov</w:t>
      </w:r>
      <w:r w:rsidRPr="00D253F0">
        <w:rPr>
          <w:rFonts w:ascii="Times New Roman" w:eastAsia="Times New Roman" w:hAnsi="Times New Roman" w:cs="Times New Roman"/>
          <w:iCs/>
          <w:sz w:val="24"/>
          <w:szCs w:val="24"/>
          <w:lang w:eastAsia="da-DK"/>
        </w:rPr>
        <w:t>.</w:t>
      </w:r>
      <w:r>
        <w:rPr>
          <w:rFonts w:ascii="Times New Roman" w:eastAsia="Times New Roman" w:hAnsi="Times New Roman" w:cs="Times New Roman"/>
          <w:iCs/>
          <w:sz w:val="24"/>
          <w:szCs w:val="24"/>
          <w:lang w:eastAsia="da-DK"/>
        </w:rPr>
        <w:t xml:space="preserve"> </w:t>
      </w:r>
      <w:r w:rsidR="00B23930" w:rsidRPr="00796736">
        <w:rPr>
          <w:rFonts w:ascii="Times New Roman" w:eastAsia="Times New Roman" w:hAnsi="Times New Roman" w:cs="Times New Roman"/>
          <w:iCs/>
          <w:sz w:val="24"/>
          <w:szCs w:val="24"/>
          <w:lang w:eastAsia="da-DK"/>
        </w:rPr>
        <w:t xml:space="preserve">At tilsynet skal være risikobaseret indebærer, at Advokatrådet skal have en klar forståelse for risiciene for hvidvask og terrorfinansiering i Danmark, vurdere alle relevante oplysninger om bestemte danske og udenlandske risici, der er forbundet med de omfattede advokaters klienter og tjenesteydelser, og fastsætte hyppigheden og intensiteten af on-site og off-site tilsyn på grundlag af de forpligtede advokaters risikoprofil og af risiciene for hvidvask og finansiering af terrorisme i Danmark. I forhold til sidstnævnte udarbejder Advokatrådet et årligt tilsynsprogram, som skal tage hensyn til den tidsplan og de ressourcer, der er nødvendige for omgående at kunne reagere i tilfælde af objektive og betydelige tegn på tilsidesættelse af hvidvaskforordningen, jf. herved det foreslåede stk. 2, nr. 4. </w:t>
      </w:r>
    </w:p>
    <w:p w14:paraId="7E73BEC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6EC5F64"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risikobaserede tilsyn indebærer, at Advokatrådet ligesom i dag skal tage hensyn til omfanget af det skøn, som de omfattede advokater er tillagt, og foretage en gennemgang af de risikovurderinger, som ligger grund for denne skønsbeføjelse og af tilstrækkeligheden af de interne politikker, procedurer og retningslinjer.</w:t>
      </w:r>
    </w:p>
    <w:p w14:paraId="7E2700F5"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2CDCF7E" w14:textId="6393D8CD"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Advokatrådet vil som led i sit tilsyn bl.a. skulle formidle relevante oplysninger omfattet af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_Ref232583170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Advokatrådet vil også skulle overvåge de omfattede advokaters overholdelse af deres forpligtelser i forbindelse med målrettede finansielle sanktioner.</w:t>
      </w:r>
    </w:p>
    <w:p w14:paraId="32387D3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41F4974"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følger af hvidvaskforordningens artikel 10, stk. 3, at tilsynsorganerne kan beslutte, at der ikke stilles krav om individuelle dokumenterede risikovurderinger på virksomhedsplan, hvis de specifikke risici i forbindelse med sektoren er klare og forudsigelige. Dette indebærer i relation til Advokatrådets tilsynsopgave, at rådet som led i sit tilsyn løbende kan vurdere, om de specifikke risici i forbindelse med advokatsektoren er klare og forudsigelige og i bekræftende fald undtagelsesvist undlade at stille krav om en individuel dokumenteret risikovurdering efter forordningens artikel 10, jf. herved hvidvaskdirektivets artikel 37, stk. 5, litra b. </w:t>
      </w:r>
    </w:p>
    <w:p w14:paraId="409DFC8F"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6D5CFF4A" w14:textId="6EB07C89"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bemærkes, at det vil være et krav, at der er en god forståelse for risiciene i sektoren, førend der vil kunne undtages fra kravet om en risikovurdering, hvilket det vil være op til Advokatrådet at vurdere, om er tilfældet. Det vil i almindelighed kræve, at de specifikke risici er klare og forudsigelige, og vurderingen vil skulle foretages på et risikobaseret og dokumenteret grundlag. </w:t>
      </w:r>
    </w:p>
    <w:p w14:paraId="22828A8D"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0107754" w14:textId="493D9152"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Advokatrådet vil endvidere bl.a. kunne kræve fremlæggelse af oplysninger og vil skulle gennemføre alle nødvendige kontrolbesøg og undersøgelser mv. for at kontrollere, at advokaterne opfylder hvidvaskforordningen og eventuelle administrative foranstaltninger pålagt efter de foreslåede bestemmelser herom, jf. herved det foreslåede stk. 3 og 4. Endelig vil Advokatrådet som led i sit tilsyn skulle træffe passende tilsynsforanstaltninger for at imødegå eventuelle overtrædelser af gældende krav begået af advokaterne, der er identificeret i processen med tilsynsvurderinger, og følge op på gennemførelsen af sådanne foranstaltninger, jf. herved den foreslåede </w:t>
      </w:r>
      <w:r w:rsidRPr="00796736">
        <w:rPr>
          <w:rFonts w:ascii="Times New Roman" w:eastAsia="Calibri" w:hAnsi="Times New Roman" w:cs="Times New Roman"/>
          <w:sz w:val="24"/>
          <w:szCs w:val="24"/>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stk. 3 og 4, og den foreslåede</w:t>
      </w:r>
      <w:r w:rsidR="005066AC">
        <w:rPr>
          <w:rFonts w:ascii="Times New Roman" w:eastAsia="Calibri" w:hAnsi="Times New Roman" w:cs="Times New Roman"/>
          <w:sz w:val="24"/>
          <w:szCs w:val="24"/>
        </w:rPr>
        <w:t xml:space="preserve"> § 102</w:t>
      </w:r>
      <w:r w:rsidRPr="00796736">
        <w:rPr>
          <w:rFonts w:ascii="Times New Roman" w:eastAsia="Times New Roman" w:hAnsi="Times New Roman" w:cs="Times New Roman"/>
          <w:sz w:val="24"/>
          <w:szCs w:val="24"/>
          <w:lang w:eastAsia="da-DK"/>
        </w:rPr>
        <w:t>.</w:t>
      </w:r>
    </w:p>
    <w:p w14:paraId="6EBF2F5B"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7889D03"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Som det er tilfældet efter gældende ret, vil Advokatrådets tilsynsforpligtelse endvidere omfatte advokater, som er etableret i en anden EU-medlemsstat, i et EØS-land eller Schweiz, og som udøver advokatvirksomhed her i landet, og som rådet i forvejen fører tilsyn med i medfør af hvidvaskloven og bekendtgørelse nr. 1429 af 11. december 2007 om EU-advokaters tjenesteydelser her i landet. </w:t>
      </w:r>
    </w:p>
    <w:p w14:paraId="0EFC45B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7F0C7910"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er ikke tilladt for advokater, der er etableret i tredjelande, at udøve advokatvirksomhed her i landet, hvorfor ordlyden i den foreslåede bestemmelse alene tager sigte på advokater, der er etableret i en anden EU-medlemsstat, i et EØS-land eller i Schweiz.</w:t>
      </w:r>
    </w:p>
    <w:p w14:paraId="1C8D625C"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77032D86"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er en videreførelse af hvidvasklovens § 64, stk. 1, med visse præciseringer, idet det nu fremgår af ordlyden, at tilsynet skal være risikobaseret. Bestemmelsen implementerer hvidvaskdirektivets artikel 37, stk. 1-3 og 5, og artikel 40, stk. 1 og 4. </w:t>
      </w:r>
    </w:p>
    <w:p w14:paraId="4FF6602B" w14:textId="77777777" w:rsidR="00A16C19" w:rsidRPr="00796736" w:rsidRDefault="00A16C19" w:rsidP="00A802A5">
      <w:pPr>
        <w:spacing w:line="360" w:lineRule="auto"/>
        <w:rPr>
          <w:rFonts w:ascii="Times New Roman" w:hAnsi="Times New Roman" w:cs="Times New Roman"/>
          <w:sz w:val="24"/>
          <w:szCs w:val="24"/>
        </w:rPr>
      </w:pPr>
    </w:p>
    <w:p w14:paraId="72662BA1"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ikke i gældende ret reguleret, hvilke specifikke opgaver Advokatrådet som minimum skal udføre som led i sit hvidvasktilsyn. </w:t>
      </w:r>
    </w:p>
    <w:p w14:paraId="1EB8FB55" w14:textId="77777777" w:rsidR="00A16C19" w:rsidRPr="00796736" w:rsidRDefault="00A16C19" w:rsidP="00A802A5">
      <w:pPr>
        <w:spacing w:line="360" w:lineRule="auto"/>
        <w:rPr>
          <w:rFonts w:ascii="Times New Roman" w:hAnsi="Times New Roman" w:cs="Times New Roman"/>
          <w:sz w:val="24"/>
          <w:szCs w:val="24"/>
        </w:rPr>
      </w:pPr>
    </w:p>
    <w:p w14:paraId="00F6FCC5"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iCs/>
          <w:sz w:val="24"/>
          <w:szCs w:val="24"/>
          <w:lang w:eastAsia="da-DK"/>
        </w:rPr>
        <w:t>Advokatrådet som minimum udfører en række opgaver som led sit i tilsyn efter stk. 1.</w:t>
      </w:r>
    </w:p>
    <w:p w14:paraId="2EFFFDAE" w14:textId="77777777" w:rsidR="00A16C19" w:rsidRPr="00796736" w:rsidRDefault="00A16C19" w:rsidP="00A802A5">
      <w:pPr>
        <w:spacing w:line="360" w:lineRule="auto"/>
        <w:rPr>
          <w:rFonts w:ascii="Times New Roman" w:hAnsi="Times New Roman" w:cs="Times New Roman"/>
          <w:sz w:val="24"/>
          <w:szCs w:val="24"/>
        </w:rPr>
      </w:pPr>
    </w:p>
    <w:p w14:paraId="3CC520F5"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2, nr. 1, </w:t>
      </w:r>
      <w:r w:rsidRPr="00796736">
        <w:rPr>
          <w:rFonts w:ascii="Times New Roman" w:eastAsia="Times New Roman" w:hAnsi="Times New Roman" w:cs="Times New Roman"/>
          <w:iCs/>
          <w:sz w:val="24"/>
          <w:szCs w:val="24"/>
          <w:lang w:eastAsia="da-DK"/>
        </w:rPr>
        <w:t xml:space="preserve">at Advokatrådet som led i tilsynet efter stk. 1 kontrollerer tilstrækkeligheden og gennemførelsen af advokaternes interne politikker, procedurer og kontroller i henhold til hvidvaskforordningens kapitel II og af de menneskelige ressourcer, der er afsat til udførelsen af de opgaver, der kræves efter forordningen. </w:t>
      </w:r>
    </w:p>
    <w:p w14:paraId="66C0070C"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02AFB6D"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jf. hvidvaskdirektivets artikel 37, stk. 5, litra c, at Advokatrådet som led i sit tilsyn vil skulle kontrollere tilstrækkeligheden og gennemførelsen af advokaternes interne politikker, procedurer og kontroller i henhold til hvidvaskforordningens kapitel II og af de menneskelige ressourcer, der er afsat til udførelsen af de opgaver, der kræves efter hvidvaskforordningen. Der sigtes navnlig til bestemmelserne i afdeling I og III. </w:t>
      </w:r>
    </w:p>
    <w:p w14:paraId="7EC28A67"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632A1E9D" w14:textId="7CB4E9D9"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I tilfælde, hvor der føres tilsyn med advokatvirksomheder, hvor der er advokater ansat, bemærkes, at visse forpligtelser efter deres natur påhviler advokatselskaberne eller fællesskaberne af advokater. Det drejer sig om f.eks. krav til virksomhedens organisering, indretning og drift, herunder krav til risikovurderinger, politikker, procedurer, interne kontroller og øvrige virksomhedsrettede foranstaltninger. Sådanne forpligtelser påhviler advokatvirksomheden som juridisk person og ikke enkeltpersoner som advokater, jf. herved bemærkningerne til den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_Ref232592818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2</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nr. 31, og forordningens præambelbetragtning nr. 42, uanset at de pågældende advokater udfører aktiviteter, som omfattes af forordningens anvendelsesområde, når sådanne aktiviteter udføres som led i ansættelsen. </w:t>
      </w:r>
    </w:p>
    <w:p w14:paraId="61E54C44"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34ABC7BD" w14:textId="09F51250"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Andre forpligtelser knytter sig til håndteringen af det konkrete klientforhold, herunder gennemførelsen af kundekendskabsprocedurer og den løbende vurdering af klientforholdet. Aktiviteterne angående disse forpligtelser udføres af advokaten, der bistår klienten, men påhviler som udgangspunkt advokatselskabet eller fællesskabet af advokater, når aktiviteterne udføres i forbindelse med den pågældendes ansættelse hos et fællesskab af advokater eller et advokatselskab. Dette ændrer imidlertid ikke på, at den enkelte advokat fortsat bærer ansvaret for de pligter, der gælder for udførelsen af advokatgerningen, og at en tilsidesættelse af reglerne på hvidvaskområdet vil kunne indgå i en samlet vurdering af den pågældendes overholdelse af reglerne, som gælder for udførelse af advokatgerningen. Det vil inden for disse rammer være op til Advokatrådets tilsynsmæssige skøn og indenfor rammerne af forordningens præambelbetragtning nr. 42, om den manglende overholdelse af en given forpligtelse nærmest er at henføre til advokaten som enkeltperson eller advokatselskabet eller fællesskabet af advokater som juridisk person eller om ansvaret kan henføres til begge parter.</w:t>
      </w:r>
      <w:r w:rsidR="00EB57D1">
        <w:rPr>
          <w:rFonts w:ascii="Times New Roman" w:eastAsia="Times New Roman" w:hAnsi="Times New Roman" w:cs="Times New Roman"/>
          <w:iCs/>
          <w:sz w:val="24"/>
          <w:szCs w:val="24"/>
          <w:lang w:eastAsia="da-DK"/>
        </w:rPr>
        <w:t xml:space="preserve"> I forbindelse med en indbringelse af en sag for Advokatnævnet om en ansat advokats manglende efterlevelse af hvidvaskreglerne vil Advokatrådet således kunne indstille til administrative foranstaltninger efter det foreslåede regelsæt overfor advokatvirksomheden, mens Advokatrådet tillige vil kunne tage stilling til, om advokatens manglende efterlevelse af hvidvaskreglerne efter en konkret vurdering tillige udgør en overtrædelse af god advokatskik for den pågældende.</w:t>
      </w:r>
      <w:r w:rsidR="00512965">
        <w:rPr>
          <w:rFonts w:ascii="Times New Roman" w:eastAsia="Times New Roman" w:hAnsi="Times New Roman" w:cs="Times New Roman"/>
          <w:iCs/>
          <w:sz w:val="24"/>
          <w:szCs w:val="24"/>
          <w:lang w:eastAsia="da-DK"/>
        </w:rPr>
        <w:t xml:space="preserve"> </w:t>
      </w:r>
      <w:r w:rsidR="006618CA">
        <w:rPr>
          <w:rFonts w:ascii="Times New Roman" w:eastAsia="Times New Roman" w:hAnsi="Times New Roman" w:cs="Times New Roman"/>
          <w:iCs/>
          <w:sz w:val="24"/>
          <w:szCs w:val="24"/>
          <w:lang w:eastAsia="da-DK"/>
        </w:rPr>
        <w:t xml:space="preserve">Det samme vil gøre sig gældende for autoriserede fuldmægtige i relation til deres arbejdsgiver. </w:t>
      </w:r>
      <w:r w:rsidR="006618CA" w:rsidRPr="00D253F0">
        <w:rPr>
          <w:rFonts w:ascii="Times New Roman" w:eastAsia="Times New Roman" w:hAnsi="Times New Roman" w:cs="Times New Roman"/>
          <w:iCs/>
          <w:sz w:val="24"/>
          <w:szCs w:val="24"/>
          <w:lang w:eastAsia="da-DK"/>
        </w:rPr>
        <w:t xml:space="preserve">  </w:t>
      </w:r>
      <w:r w:rsidR="006618CA" w:rsidRPr="00796736">
        <w:rPr>
          <w:rFonts w:ascii="Times New Roman" w:eastAsia="Times New Roman" w:hAnsi="Times New Roman" w:cs="Times New Roman"/>
          <w:iCs/>
          <w:sz w:val="24"/>
          <w:szCs w:val="24"/>
          <w:lang w:eastAsia="da-DK"/>
        </w:rPr>
        <w:t xml:space="preserve"> </w:t>
      </w:r>
    </w:p>
    <w:p w14:paraId="4BE64A8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CC70107"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2, nr. 2, </w:t>
      </w:r>
      <w:r w:rsidRPr="00796736">
        <w:rPr>
          <w:rFonts w:ascii="Times New Roman" w:eastAsia="Times New Roman" w:hAnsi="Times New Roman" w:cs="Times New Roman"/>
          <w:iCs/>
          <w:sz w:val="24"/>
          <w:szCs w:val="24"/>
          <w:lang w:eastAsia="da-DK"/>
        </w:rPr>
        <w:t xml:space="preserve">at Advokatrådet som led i tilsynet efter stk. 1 regelmæssigt vurderer og overvåger de risici </w:t>
      </w:r>
      <w:r w:rsidRPr="00796736">
        <w:rPr>
          <w:rFonts w:ascii="Times New Roman" w:hAnsi="Times New Roman" w:cs="Times New Roman"/>
          <w:sz w:val="24"/>
          <w:szCs w:val="24"/>
        </w:rPr>
        <w:t>for hvidvask af penge og finansiering af terrorisme samt de risici for manglende gennemførelse og omgåelse af målrettede finansielle sanktioner, som advokaterne og advokatselskaberne er udsat for.</w:t>
      </w:r>
    </w:p>
    <w:p w14:paraId="597F4268" w14:textId="77777777" w:rsidR="00A16C19" w:rsidRPr="00796736" w:rsidRDefault="00A16C19" w:rsidP="00A802A5">
      <w:pPr>
        <w:spacing w:line="360" w:lineRule="auto"/>
        <w:rPr>
          <w:rFonts w:ascii="Times New Roman" w:hAnsi="Times New Roman" w:cs="Times New Roman"/>
          <w:sz w:val="24"/>
          <w:szCs w:val="24"/>
        </w:rPr>
      </w:pPr>
    </w:p>
    <w:p w14:paraId="022379F5"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Advokatrådet </w:t>
      </w:r>
      <w:r w:rsidRPr="00796736">
        <w:rPr>
          <w:rFonts w:ascii="Times New Roman" w:eastAsia="Times New Roman" w:hAnsi="Times New Roman" w:cs="Times New Roman"/>
          <w:iCs/>
          <w:sz w:val="24"/>
          <w:szCs w:val="24"/>
          <w:lang w:eastAsia="da-DK"/>
        </w:rPr>
        <w:t xml:space="preserve">som led i tilsynet efter stk. 1 regelmæssigt vurderer og overvåger de risici </w:t>
      </w:r>
      <w:r w:rsidRPr="00796736">
        <w:rPr>
          <w:rFonts w:ascii="Times New Roman" w:hAnsi="Times New Roman" w:cs="Times New Roman"/>
          <w:sz w:val="24"/>
          <w:szCs w:val="24"/>
        </w:rPr>
        <w:t>for hvidvask af penge og finansiering af terrorisme samt de risici for manglende gennemførelse og omgåelse af målrettede finansielle sanktioner, som advokaterne og advokatselskaberne er udsat for.</w:t>
      </w:r>
    </w:p>
    <w:p w14:paraId="260A6E3E" w14:textId="77777777" w:rsidR="00A16C19" w:rsidRPr="00796736" w:rsidRDefault="00A16C19" w:rsidP="00A802A5">
      <w:pPr>
        <w:spacing w:line="360" w:lineRule="auto"/>
        <w:rPr>
          <w:rFonts w:ascii="Times New Roman" w:hAnsi="Times New Roman" w:cs="Times New Roman"/>
          <w:sz w:val="24"/>
          <w:szCs w:val="24"/>
        </w:rPr>
      </w:pPr>
    </w:p>
    <w:p w14:paraId="793409E1"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foreslås </w:t>
      </w:r>
      <w:r w:rsidRPr="00796736">
        <w:rPr>
          <w:rFonts w:ascii="Times New Roman" w:eastAsia="Times New Roman" w:hAnsi="Times New Roman" w:cs="Times New Roman"/>
          <w:iCs/>
          <w:sz w:val="24"/>
          <w:szCs w:val="24"/>
          <w:lang w:eastAsia="da-DK"/>
        </w:rPr>
        <w:t xml:space="preserve">det i </w:t>
      </w:r>
      <w:r w:rsidRPr="00796736">
        <w:rPr>
          <w:rFonts w:ascii="Times New Roman" w:eastAsia="Times New Roman" w:hAnsi="Times New Roman" w:cs="Times New Roman"/>
          <w:i/>
          <w:sz w:val="24"/>
          <w:szCs w:val="24"/>
          <w:lang w:eastAsia="da-DK"/>
        </w:rPr>
        <w:t xml:space="preserve">stk. 2, nr. 3, </w:t>
      </w:r>
      <w:r w:rsidRPr="00796736">
        <w:rPr>
          <w:rFonts w:ascii="Times New Roman" w:eastAsia="Times New Roman" w:hAnsi="Times New Roman" w:cs="Times New Roman"/>
          <w:iCs/>
          <w:sz w:val="24"/>
          <w:szCs w:val="24"/>
          <w:lang w:eastAsia="da-DK"/>
        </w:rPr>
        <w:t xml:space="preserve">at Advokatrådet som led i tilsynet efter stk. 1 </w:t>
      </w:r>
      <w:r w:rsidRPr="00796736">
        <w:rPr>
          <w:rFonts w:ascii="Times New Roman" w:hAnsi="Times New Roman" w:cs="Times New Roman"/>
          <w:sz w:val="24"/>
          <w:szCs w:val="24"/>
        </w:rPr>
        <w:t>udarbejder et årligt tilsynsprogram, som skal tage hensyn til den tidsplan og de ressourcer, der er nødvendige for omgående at kunne reagere i tilfælde af objektive og betydelige tegn på tilsidesættelse af hvidvaskforordningen.</w:t>
      </w:r>
    </w:p>
    <w:p w14:paraId="5C6BE6E9" w14:textId="77777777" w:rsidR="00A16C19" w:rsidRPr="00796736" w:rsidRDefault="00A16C19" w:rsidP="00A802A5">
      <w:pPr>
        <w:spacing w:line="360" w:lineRule="auto"/>
        <w:rPr>
          <w:rFonts w:ascii="Times New Roman" w:hAnsi="Times New Roman" w:cs="Times New Roman"/>
          <w:sz w:val="24"/>
          <w:szCs w:val="24"/>
        </w:rPr>
      </w:pPr>
    </w:p>
    <w:p w14:paraId="32866152"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forslåede bestemmelse vil indebære, at </w:t>
      </w:r>
      <w:r w:rsidRPr="00796736">
        <w:rPr>
          <w:rFonts w:ascii="Times New Roman" w:eastAsia="Times New Roman" w:hAnsi="Times New Roman" w:cs="Times New Roman"/>
          <w:iCs/>
          <w:sz w:val="24"/>
          <w:szCs w:val="24"/>
          <w:lang w:eastAsia="da-DK"/>
        </w:rPr>
        <w:t xml:space="preserve">Advokatrådet som led i tilsynet efter stk. 1 </w:t>
      </w:r>
      <w:r w:rsidRPr="00796736">
        <w:rPr>
          <w:rFonts w:ascii="Times New Roman" w:hAnsi="Times New Roman" w:cs="Times New Roman"/>
          <w:sz w:val="24"/>
          <w:szCs w:val="24"/>
        </w:rPr>
        <w:t>udarbejder et årligt tilsynsprogram, som skal tage hensyn til den tidsplan og de ressourcer, der er nødvendige for omgående at kunne reagere i tilfælde af objektive og betydelige tegn på tilsidesættelse af hvidvaskforordningen. Med objektive og betydelige tegn på tilsidesættelse af hvidvaskforordningen i en forpligtet enhed menes f.eks. efter offentlige afsløringer eller oplysninger indgivet af whistleblowere, jf. præambelbetragtning nr. 88.</w:t>
      </w:r>
    </w:p>
    <w:p w14:paraId="6850571C" w14:textId="77777777" w:rsidR="00A16C19" w:rsidRPr="00796736" w:rsidRDefault="00A16C19" w:rsidP="00A802A5">
      <w:pPr>
        <w:spacing w:line="360" w:lineRule="auto"/>
        <w:rPr>
          <w:rFonts w:ascii="Times New Roman" w:hAnsi="Times New Roman" w:cs="Times New Roman"/>
          <w:sz w:val="24"/>
          <w:szCs w:val="24"/>
        </w:rPr>
      </w:pPr>
    </w:p>
    <w:p w14:paraId="6D2AC295"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Advokatrådets udarbejdelse af tilsynsprogrammet i henhold til den foreslåede bestemmelse vil ske med henblik på at fastsætte hyppigheden og intensiteten af on-site og off-site og tematiske tilsyn på grundlag af advokaterne og advokatselskabernes risikoprofil og af risiciene for hvidvask af penge og terrorfinansiering i Danmark, jf. herved hvidvaskdirektivets artikel 40, stk. 1, litra c. </w:t>
      </w:r>
      <w:r w:rsidRPr="00796736">
        <w:rPr>
          <w:rFonts w:ascii="Times New Roman" w:eastAsia="Times New Roman" w:hAnsi="Times New Roman" w:cs="Times New Roman"/>
          <w:iCs/>
          <w:sz w:val="24"/>
          <w:szCs w:val="24"/>
          <w:lang w:eastAsia="da-DK"/>
        </w:rPr>
        <w:t xml:space="preserve"> </w:t>
      </w:r>
    </w:p>
    <w:p w14:paraId="1C77C02C" w14:textId="77777777" w:rsidR="00A16C19" w:rsidRPr="00796736" w:rsidRDefault="00A16C19" w:rsidP="00A802A5">
      <w:pPr>
        <w:spacing w:line="360" w:lineRule="auto"/>
        <w:rPr>
          <w:rFonts w:ascii="Times New Roman" w:hAnsi="Times New Roman" w:cs="Times New Roman"/>
          <w:sz w:val="24"/>
          <w:szCs w:val="24"/>
        </w:rPr>
      </w:pPr>
    </w:p>
    <w:p w14:paraId="39141D25" w14:textId="3F23FEA8" w:rsidR="00A16C19"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det foreslåede tilsynsprogram vil kunne udgøre en del af den samlede plan, som Advokatrådet i medfør af </w:t>
      </w:r>
      <w:r w:rsidR="00A16C19" w:rsidRPr="00796736">
        <w:rPr>
          <w:rFonts w:ascii="Times New Roman" w:hAnsi="Times New Roman" w:cs="Times New Roman"/>
          <w:sz w:val="24"/>
          <w:szCs w:val="24"/>
        </w:rPr>
        <w:t xml:space="preserve">§ 143, stk. 5, årligt skal udarbejde for sin tilsynsvirksomhed. </w:t>
      </w:r>
    </w:p>
    <w:p w14:paraId="53AEE104" w14:textId="77777777" w:rsidR="00A16C19" w:rsidRPr="00796736" w:rsidRDefault="00A16C19" w:rsidP="00A802A5">
      <w:pPr>
        <w:spacing w:line="360" w:lineRule="auto"/>
        <w:rPr>
          <w:rFonts w:ascii="Times New Roman" w:hAnsi="Times New Roman" w:cs="Times New Roman"/>
          <w:sz w:val="24"/>
          <w:szCs w:val="24"/>
        </w:rPr>
      </w:pPr>
    </w:p>
    <w:p w14:paraId="76FB48B7"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gennemføres direktivets artikel 37, stk. 5, og artikel 40, stk. 1. </w:t>
      </w:r>
    </w:p>
    <w:p w14:paraId="212194C3" w14:textId="77777777" w:rsidR="00A16C19" w:rsidRPr="00796736" w:rsidRDefault="00A16C19" w:rsidP="00A802A5">
      <w:pPr>
        <w:spacing w:line="360" w:lineRule="auto"/>
        <w:rPr>
          <w:rFonts w:ascii="Times New Roman" w:hAnsi="Times New Roman" w:cs="Times New Roman"/>
          <w:sz w:val="24"/>
          <w:szCs w:val="24"/>
        </w:rPr>
      </w:pPr>
    </w:p>
    <w:p w14:paraId="2054AF1E" w14:textId="77777777" w:rsidR="00A16C19"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64, stk. 2, at Advokatrådet inden for en af Advokatrådet fastsat frist kan påbyde advokater som nævnt i stk. 1 foretage de nødvendige foranstaltninger i tilfælde af overtrædelse af bestemmelser i denne lov, de regler, der er fastsat i medfør heraf, eller Europa-Parlamentets og Rådets forordninger indeholdende regler om finansielle sanktioner mod lande, personer, grupper, juridiske enheder eller organer.</w:t>
      </w:r>
    </w:p>
    <w:p w14:paraId="1BF85094" w14:textId="77777777" w:rsidR="00EA7622" w:rsidRDefault="00EA7622" w:rsidP="00A802A5">
      <w:pPr>
        <w:spacing w:line="360" w:lineRule="auto"/>
        <w:rPr>
          <w:rFonts w:ascii="Times New Roman" w:hAnsi="Times New Roman" w:cs="Times New Roman"/>
          <w:sz w:val="24"/>
          <w:szCs w:val="24"/>
        </w:rPr>
      </w:pPr>
    </w:p>
    <w:p w14:paraId="396CE1C0" w14:textId="77777777" w:rsidR="00EA7622" w:rsidRPr="00EB5ECB" w:rsidRDefault="00EA7622" w:rsidP="00EA7622">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sz w:val="24"/>
          <w:szCs w:val="24"/>
          <w:lang w:eastAsia="da-DK"/>
        </w:rPr>
        <w:t>Det følger af retsplejelovens § 143, stk. 3, at</w:t>
      </w:r>
      <w:r w:rsidRPr="00796736">
        <w:rPr>
          <w:rFonts w:ascii="Times New Roman" w:eastAsia="Times New Roman" w:hAnsi="Times New Roman" w:cs="Times New Roman"/>
          <w:iCs/>
          <w:sz w:val="24"/>
          <w:szCs w:val="24"/>
          <w:lang w:eastAsia="da-DK"/>
        </w:rPr>
        <w:t> Advokatrådet kan kræve alle oplysninger af advokater, deres autoriserede fuldmægtige, advokatselskaber, jf. § 124, og fællesskaber af advokater, herunder arbejdspapirer, korrespondance og andre dokumenter, der skønnes at være nødvendige for rådets tilsyn af, om der er sket eller vil ske en overtrædelse af bestemmelserne i retsplejeloven eller bestemmelser fastsat i medfør af denne lov. Kapitel 4 i retssikkerhedsloven gælder for Advokatrådets varetagelse af opgaver efter 1. og 2. pkt.</w:t>
      </w:r>
    </w:p>
    <w:p w14:paraId="1F1D12F4" w14:textId="77777777" w:rsidR="00EA7622" w:rsidRPr="00796736" w:rsidRDefault="00EA7622" w:rsidP="00A802A5">
      <w:pPr>
        <w:spacing w:line="360" w:lineRule="auto"/>
        <w:rPr>
          <w:rFonts w:ascii="Times New Roman" w:hAnsi="Times New Roman" w:cs="Times New Roman"/>
          <w:sz w:val="24"/>
          <w:szCs w:val="24"/>
        </w:rPr>
      </w:pPr>
    </w:p>
    <w:p w14:paraId="6BCEE72A" w14:textId="77777777" w:rsidR="00A16C19" w:rsidRPr="00796736" w:rsidRDefault="00A16C19" w:rsidP="00A802A5">
      <w:pPr>
        <w:spacing w:line="360" w:lineRule="auto"/>
        <w:rPr>
          <w:rFonts w:ascii="Times New Roman" w:hAnsi="Times New Roman" w:cs="Times New Roman"/>
          <w:sz w:val="24"/>
          <w:szCs w:val="24"/>
        </w:rPr>
      </w:pPr>
    </w:p>
    <w:p w14:paraId="44857FB3" w14:textId="77777777" w:rsidR="00EB57D1" w:rsidRPr="00D253F0" w:rsidRDefault="00EB57D1" w:rsidP="00A802A5">
      <w:pPr>
        <w:spacing w:line="360" w:lineRule="auto"/>
        <w:rPr>
          <w:rFonts w:ascii="Times New Roman" w:eastAsia="Times New Roman" w:hAnsi="Times New Roman" w:cs="Times New Roman"/>
          <w:iCs/>
          <w:sz w:val="24"/>
          <w:szCs w:val="24"/>
          <w:lang w:eastAsia="da-DK"/>
        </w:rPr>
      </w:pPr>
      <w:r w:rsidRPr="00D253F0">
        <w:rPr>
          <w:rFonts w:ascii="Times New Roman" w:hAnsi="Times New Roman" w:cs="Times New Roman"/>
          <w:sz w:val="24"/>
          <w:szCs w:val="24"/>
        </w:rPr>
        <w:t xml:space="preserve">Det foreslås i </w:t>
      </w:r>
      <w:r w:rsidRPr="00D253F0">
        <w:rPr>
          <w:rFonts w:ascii="Times New Roman" w:hAnsi="Times New Roman" w:cs="Times New Roman"/>
          <w:i/>
          <w:iCs/>
          <w:sz w:val="24"/>
          <w:szCs w:val="24"/>
        </w:rPr>
        <w:t xml:space="preserve">stk. 3, 1. pkt., </w:t>
      </w:r>
      <w:r w:rsidRPr="00D253F0">
        <w:rPr>
          <w:rFonts w:ascii="Times New Roman" w:hAnsi="Times New Roman" w:cs="Times New Roman"/>
          <w:sz w:val="24"/>
          <w:szCs w:val="24"/>
        </w:rPr>
        <w:t>at A</w:t>
      </w:r>
      <w:r w:rsidRPr="00D253F0">
        <w:rPr>
          <w:rFonts w:ascii="Times New Roman" w:eastAsia="Times New Roman" w:hAnsi="Times New Roman" w:cs="Times New Roman"/>
          <w:iCs/>
          <w:sz w:val="24"/>
          <w:szCs w:val="24"/>
          <w:lang w:eastAsia="da-DK"/>
        </w:rPr>
        <w:t xml:space="preserve">dvokatrådet kan </w:t>
      </w:r>
      <w:r>
        <w:rPr>
          <w:rFonts w:ascii="Times New Roman" w:eastAsia="Times New Roman" w:hAnsi="Times New Roman" w:cs="Times New Roman"/>
          <w:iCs/>
          <w:sz w:val="24"/>
          <w:szCs w:val="24"/>
          <w:lang w:eastAsia="da-DK"/>
        </w:rPr>
        <w:t xml:space="preserve">kræve alle oplysninger af </w:t>
      </w:r>
      <w:r w:rsidRPr="00D253F0">
        <w:rPr>
          <w:rFonts w:ascii="Times New Roman" w:eastAsia="Times New Roman" w:hAnsi="Times New Roman" w:cs="Times New Roman"/>
          <w:iCs/>
          <w:sz w:val="24"/>
          <w:szCs w:val="24"/>
          <w:lang w:eastAsia="da-DK"/>
        </w:rPr>
        <w:t>advokater omfattet af stk. 1, herunder arbejdspapirer, korrespondance og andre dokumenter, som er relevante for tilsyn efter stk. 1.</w:t>
      </w:r>
    </w:p>
    <w:p w14:paraId="0B91F204"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1EC809F" w14:textId="73B00A83" w:rsidR="00B23930" w:rsidRPr="00796736" w:rsidRDefault="00EB57D1"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Den foreslåede bestemmelse vil indebære, at Advokatrådet som led i sit tilsyn efter hvidvaskloven har mulighed for at </w:t>
      </w:r>
      <w:r>
        <w:rPr>
          <w:rFonts w:ascii="Times New Roman" w:eastAsia="Times New Roman" w:hAnsi="Times New Roman" w:cs="Times New Roman"/>
          <w:iCs/>
          <w:sz w:val="24"/>
          <w:szCs w:val="24"/>
          <w:lang w:eastAsia="da-DK"/>
        </w:rPr>
        <w:t>kræve alle oplysninger af</w:t>
      </w:r>
      <w:r w:rsidRPr="00D253F0">
        <w:rPr>
          <w:rFonts w:ascii="Times New Roman" w:eastAsia="Times New Roman" w:hAnsi="Times New Roman" w:cs="Times New Roman"/>
          <w:iCs/>
          <w:sz w:val="24"/>
          <w:szCs w:val="24"/>
          <w:lang w:eastAsia="da-DK"/>
        </w:rPr>
        <w:t xml:space="preserve"> advokater, som er relevante for de tilsynsopgaverne efter stk. 1. </w:t>
      </w:r>
      <w:r w:rsidR="00B23930" w:rsidRPr="00796736">
        <w:rPr>
          <w:rFonts w:ascii="Times New Roman" w:eastAsia="Times New Roman" w:hAnsi="Times New Roman" w:cs="Times New Roman"/>
          <w:iCs/>
          <w:sz w:val="24"/>
          <w:szCs w:val="24"/>
          <w:lang w:eastAsia="da-DK"/>
        </w:rPr>
        <w:t xml:space="preserve">Oplysningerne skal således være nødvendige af hensyn til overvågning og kontrol med reglerne i hvidvaskforordningen, denne lov eller regler udstedt i medfør af loven. Det vil være op til Advokatrådet i det enkelte tilfælde konkret at vurdere, hvornår og hvilke oplysninger det er nødvendigt at modtage for at kunne føre et effektivt tilsyn. Det bemærkes, at den foreslåede bestemmelse ikke indebærer, at enhver anmodning om oplysninger til brug for tilsynet anses for et påbud i medfør af den foreslåede bestemmelse. Udgangspunktet for Advokatrådets tilsynsvirksomhed vil således fortsat i praksis basere sig på et samarbejde mellem rådet og de advokater, der føres tilsyn med, og bestemmelsen vil kun være relevant i de tilfælde, hvor advokaten på trods af anmodning herom ikke har fremlagt de fornødne oplysninger mv. </w:t>
      </w:r>
    </w:p>
    <w:p w14:paraId="390F091D"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10DD5D9A"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være begrænset til at omfatte advokater omfattet af hvidvaskreguleringen. For advokater, hvis virksomhed tillige består af aktiviteter, som ikke er omfattet af hvidvaskreguleringen, vil bestemmelsen kun finde anvendelse for så vidt angår den omfattede del.  </w:t>
      </w:r>
    </w:p>
    <w:p w14:paraId="4D31C740"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9B5C7C8" w14:textId="57518B4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Kravet om nødvendighed indebærer en betingelse om proportionalitet, som Advokatrådet ved påbud efter den foreslåede bestemmelse vil skulle iagttage. Advokatrådet vil således som udgangspunkt skulle begrænse påbuddet til kun at angå det materiale, som vurderes relevant for tilsyns- og kontrolvirksomheden, og omfanget af oplysningspligten i medfør af påbuddet vil skulle fas</w:t>
      </w:r>
      <w:r w:rsidR="00EB57D1">
        <w:rPr>
          <w:rFonts w:ascii="Times New Roman" w:eastAsia="Times New Roman" w:hAnsi="Times New Roman" w:cs="Times New Roman"/>
          <w:iCs/>
          <w:sz w:val="24"/>
          <w:szCs w:val="24"/>
          <w:lang w:eastAsia="da-DK"/>
        </w:rPr>
        <w:t>tsættes</w:t>
      </w:r>
      <w:r w:rsidRPr="00796736">
        <w:rPr>
          <w:rFonts w:ascii="Times New Roman" w:eastAsia="Times New Roman" w:hAnsi="Times New Roman" w:cs="Times New Roman"/>
          <w:iCs/>
          <w:sz w:val="24"/>
          <w:szCs w:val="24"/>
          <w:lang w:eastAsia="da-DK"/>
        </w:rPr>
        <w:t xml:space="preserve"> i overensstemmelse med de skærpede regler om advokaters vidneudelukkelsespligt, som følger af retsplejeloven. </w:t>
      </w:r>
    </w:p>
    <w:p w14:paraId="1DBDFBDB"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D49C608" w14:textId="77777777" w:rsidR="00FF675C" w:rsidRPr="00796736" w:rsidRDefault="00FF675C" w:rsidP="00FF675C">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En manglende efterlevelse af påbuddet vil efter en konkret vurdering </w:t>
      </w:r>
      <w:r>
        <w:rPr>
          <w:rFonts w:ascii="Times New Roman" w:eastAsia="Times New Roman" w:hAnsi="Times New Roman" w:cs="Times New Roman"/>
          <w:iCs/>
          <w:sz w:val="24"/>
          <w:szCs w:val="24"/>
          <w:lang w:eastAsia="da-DK"/>
        </w:rPr>
        <w:t>kunne mødes med administrative foranstaltninger fra Advokatrådet eller, efter indstilling fra Advokatrådet, Advokatnævnet efter de respektive bestemmelser herom</w:t>
      </w:r>
      <w:r w:rsidRPr="00796736">
        <w:rPr>
          <w:rFonts w:ascii="Times New Roman" w:eastAsia="Times New Roman" w:hAnsi="Times New Roman" w:cs="Times New Roman"/>
          <w:iCs/>
          <w:sz w:val="24"/>
          <w:szCs w:val="24"/>
          <w:lang w:eastAsia="da-DK"/>
        </w:rPr>
        <w:t xml:space="preserve">, såfremt dette skønnes nødvendigt og egnet. Derudover vil den manglende fremlæggelse af oplysningerne i henhold til et påbud senere efter omstændighederne kunne tillægges processuel skadevirkning for advokaten ved vurderingen af, om den pågældende har overholdt sine forpligtelser i henhold til hvidvasklovgivningen. Herved forstås, at vedkommende risikerer, at Advokatrådets senere vurdering af, om der er grundlag for at </w:t>
      </w:r>
      <w:r>
        <w:rPr>
          <w:rFonts w:ascii="Times New Roman" w:eastAsia="Times New Roman" w:hAnsi="Times New Roman" w:cs="Times New Roman"/>
          <w:iCs/>
          <w:sz w:val="24"/>
          <w:szCs w:val="24"/>
          <w:lang w:eastAsia="da-DK"/>
        </w:rPr>
        <w:t xml:space="preserve">iværksætte administrative foranstaltninger, indstille til administrative foranstaltninger eller tvangsbøder eller foretage politianmeldelse </w:t>
      </w:r>
      <w:r w:rsidRPr="00796736">
        <w:rPr>
          <w:rFonts w:ascii="Times New Roman" w:eastAsia="Times New Roman" w:hAnsi="Times New Roman" w:cs="Times New Roman"/>
          <w:iCs/>
          <w:sz w:val="24"/>
          <w:szCs w:val="24"/>
          <w:lang w:eastAsia="da-DK"/>
        </w:rPr>
        <w:t xml:space="preserve">vil kunne træffes på det foreliggende grundlag. </w:t>
      </w:r>
    </w:p>
    <w:p w14:paraId="1F21BFA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36B6E9D" w14:textId="61A0B68D" w:rsidR="00B23930" w:rsidRPr="00796736" w:rsidRDefault="00EB57D1"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Advokatrådets </w:t>
      </w:r>
      <w:r>
        <w:rPr>
          <w:rFonts w:ascii="Times New Roman" w:eastAsia="Times New Roman" w:hAnsi="Times New Roman" w:cs="Times New Roman"/>
          <w:iCs/>
          <w:sz w:val="24"/>
          <w:szCs w:val="24"/>
          <w:lang w:eastAsia="da-DK"/>
        </w:rPr>
        <w:t>mulighed for at kræve oplysninger af advokater</w:t>
      </w:r>
      <w:r w:rsidRPr="00D253F0">
        <w:rPr>
          <w:rFonts w:ascii="Times New Roman" w:eastAsia="Times New Roman" w:hAnsi="Times New Roman" w:cs="Times New Roman"/>
          <w:iCs/>
          <w:sz w:val="24"/>
          <w:szCs w:val="24"/>
          <w:lang w:eastAsia="da-DK"/>
        </w:rPr>
        <w:t xml:space="preserve"> efter den foreslåede bestemmelse vil være omfattet af retssikkerhedsloven</w:t>
      </w:r>
      <w:r w:rsidR="00B23930" w:rsidRPr="00796736">
        <w:rPr>
          <w:rFonts w:ascii="Times New Roman" w:eastAsia="Times New Roman" w:hAnsi="Times New Roman" w:cs="Times New Roman"/>
          <w:iCs/>
          <w:sz w:val="24"/>
          <w:szCs w:val="24"/>
          <w:lang w:eastAsia="da-DK"/>
        </w:rPr>
        <w:t xml:space="preserve">, herunder kapitel 4 om retten til ikke at inkriminere sig selv, jf. det foreslåede stk. 6, hvortil der i øvrigt henvises. Dette medfører, at hvis der er konkret mistanke om, at en advokat har begået en lovovertrædelse, der kan medføre straf, gælder den foreslåede stk. 3 om pligt til at meddele oplysninger til Advokatrådet ikke i forhold til den pågældende advokat, medmindre det kan udelukkes, at de oplysninger, som søges tilvejebragt, kan have betydning for bedømmelsen af den konkrete lovovertrædelse.  En manglende efterlevelse af påbud efter den foreslåede bestemmelse som udgangspunkt ikke vil være underlagt disciplinære sanktioner eller vil kunne mødes med administrative foranstaltninger efter de foreslåede bestemmelser herom, såfremt forholdet må anses for omfattet af retten til ikke at inkriminere sig selv mv.  </w:t>
      </w:r>
    </w:p>
    <w:p w14:paraId="1DAEBFB4"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697ED4B" w14:textId="1C587C9E" w:rsidR="00455521" w:rsidRDefault="00455521" w:rsidP="00455521">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Den foreslåede bestemmelse skal endvidere ses i sammenhæng med retsplejelovens § 143, stk. 3, idet den vil udgøre en specialregel, som vil finde anvendelse for Advokatrådets hvidvasktilsyn</w:t>
      </w:r>
      <w:r>
        <w:rPr>
          <w:rFonts w:ascii="Times New Roman" w:eastAsia="Times New Roman" w:hAnsi="Times New Roman" w:cs="Times New Roman"/>
          <w:iCs/>
          <w:sz w:val="24"/>
          <w:szCs w:val="24"/>
          <w:lang w:eastAsia="da-DK"/>
        </w:rPr>
        <w:t>. Dette indebærer bl.a., at bestemmelsens anvendelsesområde vil skulle fastlægges på baggrund af hvidvaskforordningen,</w:t>
      </w:r>
      <w:r w:rsidRPr="00D253F0">
        <w:rPr>
          <w:rFonts w:ascii="Times New Roman" w:eastAsia="Times New Roman" w:hAnsi="Times New Roman" w:cs="Times New Roman"/>
          <w:iCs/>
          <w:sz w:val="24"/>
          <w:szCs w:val="24"/>
          <w:lang w:eastAsia="da-DK"/>
        </w:rPr>
        <w:t xml:space="preserve"> herunder forordningens artikler 21 og 70 </w:t>
      </w:r>
      <w:r>
        <w:rPr>
          <w:rFonts w:ascii="Times New Roman" w:eastAsia="Times New Roman" w:hAnsi="Times New Roman" w:cs="Times New Roman"/>
          <w:iCs/>
          <w:sz w:val="24"/>
          <w:szCs w:val="24"/>
          <w:lang w:eastAsia="da-DK"/>
        </w:rPr>
        <w:t>samt</w:t>
      </w:r>
      <w:r w:rsidRPr="00D253F0">
        <w:rPr>
          <w:rFonts w:ascii="Times New Roman" w:eastAsia="Times New Roman" w:hAnsi="Times New Roman" w:cs="Times New Roman"/>
          <w:iCs/>
          <w:sz w:val="24"/>
          <w:szCs w:val="24"/>
          <w:lang w:eastAsia="da-DK"/>
        </w:rPr>
        <w:t xml:space="preserve"> den supplerende regel i den foreslåede </w:t>
      </w:r>
      <w:r w:rsidRPr="00D253F0">
        <w:rPr>
          <w:rFonts w:ascii="Times New Roman" w:eastAsia="Times New Roman" w:hAnsi="Times New Roman" w:cs="Times New Roman"/>
          <w:iCs/>
          <w:sz w:val="24"/>
          <w:szCs w:val="24"/>
          <w:lang w:eastAsia="da-DK"/>
        </w:rPr>
        <w:fldChar w:fldCharType="begin"/>
      </w:r>
      <w:r w:rsidRPr="00D253F0">
        <w:rPr>
          <w:rFonts w:ascii="Times New Roman" w:eastAsia="Times New Roman" w:hAnsi="Times New Roman" w:cs="Times New Roman"/>
          <w:iCs/>
          <w:sz w:val="24"/>
          <w:szCs w:val="24"/>
          <w:lang w:eastAsia="da-DK"/>
        </w:rPr>
        <w:instrText xml:space="preserve"> REF _Ref232609412 \r \h  \* MERGEFORMAT </w:instrText>
      </w:r>
      <w:r w:rsidRPr="00D253F0">
        <w:rPr>
          <w:rFonts w:ascii="Times New Roman" w:eastAsia="Times New Roman" w:hAnsi="Times New Roman" w:cs="Times New Roman"/>
          <w:iCs/>
          <w:sz w:val="24"/>
          <w:szCs w:val="24"/>
          <w:lang w:eastAsia="da-DK"/>
        </w:rPr>
      </w:r>
      <w:r w:rsidRPr="00D253F0">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111</w:t>
      </w:r>
      <w:r w:rsidRPr="00D253F0">
        <w:rPr>
          <w:rFonts w:ascii="Times New Roman" w:eastAsia="Times New Roman" w:hAnsi="Times New Roman" w:cs="Times New Roman"/>
          <w:iCs/>
          <w:sz w:val="24"/>
          <w:szCs w:val="24"/>
          <w:lang w:eastAsia="da-DK"/>
        </w:rPr>
        <w:fldChar w:fldCharType="end"/>
      </w:r>
      <w:r w:rsidRPr="00D253F0">
        <w:rPr>
          <w:rFonts w:ascii="Times New Roman" w:eastAsia="Times New Roman" w:hAnsi="Times New Roman" w:cs="Times New Roman"/>
          <w:iCs/>
          <w:sz w:val="24"/>
          <w:szCs w:val="24"/>
          <w:lang w:eastAsia="da-DK"/>
        </w:rPr>
        <w:t xml:space="preserve">. </w:t>
      </w:r>
      <w:r>
        <w:rPr>
          <w:rFonts w:ascii="Times New Roman" w:eastAsia="Times New Roman" w:hAnsi="Times New Roman" w:cs="Times New Roman"/>
          <w:iCs/>
          <w:sz w:val="24"/>
          <w:szCs w:val="24"/>
          <w:lang w:eastAsia="da-DK"/>
        </w:rPr>
        <w:t xml:space="preserve">Dette indebærer, at Advokatrådet efter den foreslåede bestemmelse vil være afskåret fra at indhente eller konsultere visse oplysninger omfattet af retten til fortrolighed, som relaterer sig til retssager, i forbindelse med sit tilsyn, medmindre undtagelserne i artikel 21, stk. 2, eller 70, stk. 2, eller regler udstedt i medfør af den foreslåede </w:t>
      </w:r>
      <w:r w:rsidRPr="00D253F0">
        <w:rPr>
          <w:rFonts w:ascii="Times New Roman" w:eastAsia="Times New Roman" w:hAnsi="Times New Roman" w:cs="Times New Roman"/>
          <w:iCs/>
          <w:sz w:val="24"/>
          <w:szCs w:val="24"/>
          <w:lang w:eastAsia="da-DK"/>
        </w:rPr>
        <w:fldChar w:fldCharType="begin"/>
      </w:r>
      <w:r w:rsidRPr="00D253F0">
        <w:rPr>
          <w:rFonts w:ascii="Times New Roman" w:eastAsia="Times New Roman" w:hAnsi="Times New Roman" w:cs="Times New Roman"/>
          <w:iCs/>
          <w:sz w:val="24"/>
          <w:szCs w:val="24"/>
          <w:lang w:eastAsia="da-DK"/>
        </w:rPr>
        <w:instrText xml:space="preserve"> REF _Ref232609412 \r \h  \* MERGEFORMAT </w:instrText>
      </w:r>
      <w:r w:rsidRPr="00D253F0">
        <w:rPr>
          <w:rFonts w:ascii="Times New Roman" w:eastAsia="Times New Roman" w:hAnsi="Times New Roman" w:cs="Times New Roman"/>
          <w:iCs/>
          <w:sz w:val="24"/>
          <w:szCs w:val="24"/>
          <w:lang w:eastAsia="da-DK"/>
        </w:rPr>
      </w:r>
      <w:r w:rsidRPr="00D253F0">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111</w:t>
      </w:r>
      <w:r w:rsidRPr="00D253F0">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2, finder anvendelse. </w:t>
      </w:r>
      <w:r w:rsidRPr="00D253F0">
        <w:rPr>
          <w:rFonts w:ascii="Times New Roman" w:eastAsia="Times New Roman" w:hAnsi="Times New Roman" w:cs="Times New Roman"/>
          <w:iCs/>
          <w:sz w:val="24"/>
          <w:szCs w:val="24"/>
          <w:lang w:eastAsia="da-DK"/>
        </w:rPr>
        <w:t>De</w:t>
      </w:r>
      <w:r>
        <w:rPr>
          <w:rFonts w:ascii="Times New Roman" w:eastAsia="Times New Roman" w:hAnsi="Times New Roman" w:cs="Times New Roman"/>
          <w:iCs/>
          <w:sz w:val="24"/>
          <w:szCs w:val="24"/>
          <w:lang w:eastAsia="da-DK"/>
        </w:rPr>
        <w:t>t betyder</w:t>
      </w:r>
      <w:r w:rsidRPr="00D253F0">
        <w:rPr>
          <w:rFonts w:ascii="Times New Roman" w:eastAsia="Times New Roman" w:hAnsi="Times New Roman" w:cs="Times New Roman"/>
          <w:iCs/>
          <w:sz w:val="24"/>
          <w:szCs w:val="24"/>
          <w:lang w:eastAsia="da-DK"/>
        </w:rPr>
        <w:t xml:space="preserve">, at Advokatrådet som </w:t>
      </w:r>
      <w:r>
        <w:rPr>
          <w:rFonts w:ascii="Times New Roman" w:eastAsia="Times New Roman" w:hAnsi="Times New Roman" w:cs="Times New Roman"/>
          <w:iCs/>
          <w:sz w:val="24"/>
          <w:szCs w:val="24"/>
          <w:lang w:eastAsia="da-DK"/>
        </w:rPr>
        <w:t xml:space="preserve">led i sit hvidvasktilsyn vil være afskåret fra at kræve, at advokater fremlægger </w:t>
      </w:r>
      <w:r w:rsidRPr="00AE7096">
        <w:rPr>
          <w:rFonts w:ascii="Times New Roman" w:eastAsia="Times New Roman" w:hAnsi="Times New Roman" w:cs="Times New Roman"/>
          <w:iCs/>
          <w:sz w:val="24"/>
          <w:szCs w:val="24"/>
          <w:lang w:eastAsia="da-DK"/>
        </w:rPr>
        <w:t xml:space="preserve">oplysninger, som </w:t>
      </w:r>
      <w:r>
        <w:rPr>
          <w:rFonts w:ascii="Times New Roman" w:eastAsia="Times New Roman" w:hAnsi="Times New Roman" w:cs="Times New Roman"/>
          <w:iCs/>
          <w:sz w:val="24"/>
          <w:szCs w:val="24"/>
          <w:lang w:eastAsia="da-DK"/>
        </w:rPr>
        <w:t>advokaten</w:t>
      </w:r>
      <w:r w:rsidRPr="00AE7096">
        <w:rPr>
          <w:rFonts w:ascii="Times New Roman" w:eastAsia="Times New Roman" w:hAnsi="Times New Roman" w:cs="Times New Roman"/>
          <w:iCs/>
          <w:sz w:val="24"/>
          <w:szCs w:val="24"/>
          <w:lang w:eastAsia="da-DK"/>
        </w:rPr>
        <w:t xml:space="preserve"> modtager fra eller indhenter om en k</w:t>
      </w:r>
      <w:r>
        <w:rPr>
          <w:rFonts w:ascii="Times New Roman" w:eastAsia="Times New Roman" w:hAnsi="Times New Roman" w:cs="Times New Roman"/>
          <w:iCs/>
          <w:sz w:val="24"/>
          <w:szCs w:val="24"/>
          <w:lang w:eastAsia="da-DK"/>
        </w:rPr>
        <w:t>lient</w:t>
      </w:r>
      <w:r w:rsidRPr="00AE7096">
        <w:rPr>
          <w:rFonts w:ascii="Times New Roman" w:eastAsia="Times New Roman" w:hAnsi="Times New Roman" w:cs="Times New Roman"/>
          <w:iCs/>
          <w:sz w:val="24"/>
          <w:szCs w:val="24"/>
          <w:lang w:eastAsia="da-DK"/>
        </w:rPr>
        <w:t xml:space="preserve">, når de vurderer den pågældende </w:t>
      </w:r>
      <w:r>
        <w:rPr>
          <w:rFonts w:ascii="Times New Roman" w:eastAsia="Times New Roman" w:hAnsi="Times New Roman" w:cs="Times New Roman"/>
          <w:iCs/>
          <w:sz w:val="24"/>
          <w:szCs w:val="24"/>
          <w:lang w:eastAsia="da-DK"/>
        </w:rPr>
        <w:t>klient</w:t>
      </w:r>
      <w:r w:rsidRPr="00AE7096">
        <w:rPr>
          <w:rFonts w:ascii="Times New Roman" w:eastAsia="Times New Roman" w:hAnsi="Times New Roman" w:cs="Times New Roman"/>
          <w:iCs/>
          <w:sz w:val="24"/>
          <w:szCs w:val="24"/>
          <w:lang w:eastAsia="da-DK"/>
        </w:rPr>
        <w:t>s retsstilling eller forsvarer eller repræsenterer denne under eller i forbindelse med retssager, herunder rådgiver om indledning eller undgåelse af sådanne retssager, uanset om sådanne oplysninger er modtaget eller indhentet før, under eller efter sådanne retssager</w:t>
      </w:r>
      <w:r>
        <w:rPr>
          <w:rFonts w:ascii="Times New Roman" w:eastAsia="Times New Roman" w:hAnsi="Times New Roman" w:cs="Times New Roman"/>
          <w:iCs/>
          <w:sz w:val="24"/>
          <w:szCs w:val="24"/>
          <w:lang w:eastAsia="da-DK"/>
        </w:rPr>
        <w:t>. Dette gælder dog ikke, hvis advokaten</w:t>
      </w:r>
      <w:r w:rsidRPr="009C688B">
        <w:rPr>
          <w:rFonts w:ascii="Times New Roman" w:eastAsia="Times New Roman" w:hAnsi="Times New Roman" w:cs="Times New Roman"/>
          <w:iCs/>
          <w:sz w:val="24"/>
          <w:szCs w:val="24"/>
          <w:lang w:eastAsia="da-DK"/>
        </w:rPr>
        <w:t xml:space="preserve"> deltager i hvidvask eller </w:t>
      </w:r>
      <w:r>
        <w:rPr>
          <w:rFonts w:ascii="Times New Roman" w:eastAsia="Times New Roman" w:hAnsi="Times New Roman" w:cs="Times New Roman"/>
          <w:iCs/>
          <w:sz w:val="24"/>
          <w:szCs w:val="24"/>
          <w:lang w:eastAsia="da-DK"/>
        </w:rPr>
        <w:t>terror</w:t>
      </w:r>
      <w:r w:rsidRPr="009C688B">
        <w:rPr>
          <w:rFonts w:ascii="Times New Roman" w:eastAsia="Times New Roman" w:hAnsi="Times New Roman" w:cs="Times New Roman"/>
          <w:iCs/>
          <w:sz w:val="24"/>
          <w:szCs w:val="24"/>
          <w:lang w:eastAsia="da-DK"/>
        </w:rPr>
        <w:t xml:space="preserve">finansiering, eller den juridiske rådgivning ydes med henblik på hvidvask eller </w:t>
      </w:r>
      <w:r>
        <w:rPr>
          <w:rFonts w:ascii="Times New Roman" w:eastAsia="Times New Roman" w:hAnsi="Times New Roman" w:cs="Times New Roman"/>
          <w:iCs/>
          <w:sz w:val="24"/>
          <w:szCs w:val="24"/>
          <w:lang w:eastAsia="da-DK"/>
        </w:rPr>
        <w:t>terror</w:t>
      </w:r>
      <w:r w:rsidRPr="009C688B">
        <w:rPr>
          <w:rFonts w:ascii="Times New Roman" w:eastAsia="Times New Roman" w:hAnsi="Times New Roman" w:cs="Times New Roman"/>
          <w:iCs/>
          <w:sz w:val="24"/>
          <w:szCs w:val="24"/>
          <w:lang w:eastAsia="da-DK"/>
        </w:rPr>
        <w:t xml:space="preserve">finansiering, eller hvis </w:t>
      </w:r>
      <w:r>
        <w:rPr>
          <w:rFonts w:ascii="Times New Roman" w:eastAsia="Times New Roman" w:hAnsi="Times New Roman" w:cs="Times New Roman"/>
          <w:iCs/>
          <w:sz w:val="24"/>
          <w:szCs w:val="24"/>
          <w:lang w:eastAsia="da-DK"/>
        </w:rPr>
        <w:t>advokaten</w:t>
      </w:r>
      <w:r w:rsidRPr="009C688B">
        <w:rPr>
          <w:rFonts w:ascii="Times New Roman" w:eastAsia="Times New Roman" w:hAnsi="Times New Roman" w:cs="Times New Roman"/>
          <w:iCs/>
          <w:sz w:val="24"/>
          <w:szCs w:val="24"/>
          <w:lang w:eastAsia="da-DK"/>
        </w:rPr>
        <w:t xml:space="preserve"> har kendskab til, at k</w:t>
      </w:r>
      <w:r>
        <w:rPr>
          <w:rFonts w:ascii="Times New Roman" w:eastAsia="Times New Roman" w:hAnsi="Times New Roman" w:cs="Times New Roman"/>
          <w:iCs/>
          <w:sz w:val="24"/>
          <w:szCs w:val="24"/>
          <w:lang w:eastAsia="da-DK"/>
        </w:rPr>
        <w:t>lienten</w:t>
      </w:r>
      <w:r w:rsidRPr="009C688B">
        <w:rPr>
          <w:rFonts w:ascii="Times New Roman" w:eastAsia="Times New Roman" w:hAnsi="Times New Roman" w:cs="Times New Roman"/>
          <w:iCs/>
          <w:sz w:val="24"/>
          <w:szCs w:val="24"/>
          <w:lang w:eastAsia="da-DK"/>
        </w:rPr>
        <w:t xml:space="preserve"> søger juridisk rådgivning med henblik på hvidvask eller </w:t>
      </w:r>
      <w:r>
        <w:rPr>
          <w:rFonts w:ascii="Times New Roman" w:eastAsia="Times New Roman" w:hAnsi="Times New Roman" w:cs="Times New Roman"/>
          <w:iCs/>
          <w:sz w:val="24"/>
          <w:szCs w:val="24"/>
          <w:lang w:eastAsia="da-DK"/>
        </w:rPr>
        <w:t>terror</w:t>
      </w:r>
      <w:r w:rsidRPr="009C688B">
        <w:rPr>
          <w:rFonts w:ascii="Times New Roman" w:eastAsia="Times New Roman" w:hAnsi="Times New Roman" w:cs="Times New Roman"/>
          <w:iCs/>
          <w:sz w:val="24"/>
          <w:szCs w:val="24"/>
          <w:lang w:eastAsia="da-DK"/>
        </w:rPr>
        <w:t xml:space="preserve">finansiering. </w:t>
      </w:r>
      <w:r>
        <w:rPr>
          <w:rFonts w:ascii="Times New Roman" w:eastAsia="Times New Roman" w:hAnsi="Times New Roman" w:cs="Times New Roman"/>
          <w:iCs/>
          <w:sz w:val="24"/>
          <w:szCs w:val="24"/>
          <w:lang w:eastAsia="da-DK"/>
        </w:rPr>
        <w:t>Det bemærkes, at undtagelsesbestemmelserne og dermed begrænsningen i Advokatrådets beføjelser alene vedrører advokatvirksomhed mv. i relation til retssager.</w:t>
      </w:r>
    </w:p>
    <w:p w14:paraId="7991A235" w14:textId="77777777" w:rsidR="00EB57D1" w:rsidRDefault="00EB57D1" w:rsidP="00A802A5">
      <w:pPr>
        <w:spacing w:line="360" w:lineRule="auto"/>
        <w:rPr>
          <w:rFonts w:ascii="Times New Roman" w:eastAsia="Times New Roman" w:hAnsi="Times New Roman" w:cs="Times New Roman"/>
          <w:iCs/>
          <w:sz w:val="24"/>
          <w:szCs w:val="24"/>
          <w:lang w:eastAsia="da-DK"/>
        </w:rPr>
      </w:pPr>
    </w:p>
    <w:p w14:paraId="6308BCC5" w14:textId="78346D53" w:rsidR="00EB57D1" w:rsidRPr="00D253F0" w:rsidRDefault="00EB57D1"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Det bemærkes i øvrigt, at Advokatrådet ikke i medfør af den foreslåede bestemmelse vil have adgang til materiale, som er irrelevant for Advokatrådets tilsynsgerning efter stk. 1. Det indebærer, at Advokatrådet ikke med henblik på hvidvasktilsyn kan indhente oplysninger hos advokaten, som angår aktiviteter, der ikke er omfattet af hvidvaskforordningens anvendelsesområde.</w:t>
      </w:r>
      <w:r>
        <w:rPr>
          <w:rFonts w:ascii="Times New Roman" w:eastAsia="Times New Roman" w:hAnsi="Times New Roman" w:cs="Times New Roman"/>
          <w:iCs/>
          <w:sz w:val="24"/>
          <w:szCs w:val="24"/>
          <w:lang w:eastAsia="da-DK"/>
        </w:rPr>
        <w:t xml:space="preserve"> </w:t>
      </w:r>
      <w:r w:rsidRPr="00D253F0">
        <w:rPr>
          <w:rFonts w:ascii="Times New Roman" w:eastAsia="Times New Roman" w:hAnsi="Times New Roman" w:cs="Times New Roman"/>
          <w:iCs/>
          <w:sz w:val="24"/>
          <w:szCs w:val="24"/>
          <w:lang w:eastAsia="da-DK"/>
        </w:rPr>
        <w:t xml:space="preserve">Det indebærer f.eks., at materiale, som hidrører fra den pågældende advokats gerning som forsvarsadvokat ikke vil kunne omfattes af et påbud i medfør af den foreslåede bestemmelse. </w:t>
      </w:r>
      <w:r w:rsidRPr="00D253F0">
        <w:rPr>
          <w:rFonts w:ascii="Times New Roman" w:hAnsi="Times New Roman" w:cs="Times New Roman"/>
          <w:sz w:val="24"/>
          <w:szCs w:val="24"/>
          <w:lang w:eastAsia="da-DK"/>
        </w:rPr>
        <w:t>Det indebærer også, at Advokatrådet vil have mulighed for at afkræve tjenesteydere, som advokater har uddelegeret en del af deres opgaver til for at opfylde kravene på hvidvaskområdet, jf. herved den foreslåede</w:t>
      </w:r>
      <w:r>
        <w:rPr>
          <w:rFonts w:ascii="Times New Roman" w:hAnsi="Times New Roman" w:cs="Times New Roman"/>
          <w:sz w:val="24"/>
          <w:szCs w:val="24"/>
          <w:lang w:eastAsia="da-DK"/>
        </w:rPr>
        <w:t xml:space="preserve"> </w:t>
      </w:r>
      <w:r>
        <w:rPr>
          <w:rFonts w:ascii="Times New Roman" w:hAnsi="Times New Roman" w:cs="Times New Roman"/>
          <w:sz w:val="24"/>
          <w:szCs w:val="24"/>
          <w:lang w:eastAsia="da-DK"/>
        </w:rPr>
        <w:fldChar w:fldCharType="begin"/>
      </w:r>
      <w:r>
        <w:rPr>
          <w:rFonts w:ascii="Times New Roman" w:hAnsi="Times New Roman" w:cs="Times New Roman"/>
          <w:sz w:val="24"/>
          <w:szCs w:val="24"/>
          <w:lang w:eastAsia="da-DK"/>
        </w:rPr>
        <w:instrText xml:space="preserve"> REF _Ref232609193 \r \h </w:instrText>
      </w:r>
      <w:r w:rsidR="00CB248D">
        <w:rPr>
          <w:rFonts w:ascii="Times New Roman" w:hAnsi="Times New Roman" w:cs="Times New Roman"/>
          <w:sz w:val="24"/>
          <w:szCs w:val="24"/>
          <w:lang w:eastAsia="da-DK"/>
        </w:rPr>
        <w:instrText xml:space="preserve"> \* MERGEFORMAT </w:instrText>
      </w:r>
      <w:r>
        <w:rPr>
          <w:rFonts w:ascii="Times New Roman" w:hAnsi="Times New Roman" w:cs="Times New Roman"/>
          <w:sz w:val="24"/>
          <w:szCs w:val="24"/>
          <w:lang w:eastAsia="da-DK"/>
        </w:rPr>
      </w:r>
      <w:r>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97</w:t>
      </w:r>
      <w:r>
        <w:rPr>
          <w:rFonts w:ascii="Times New Roman" w:hAnsi="Times New Roman" w:cs="Times New Roman"/>
          <w:sz w:val="24"/>
          <w:szCs w:val="24"/>
          <w:lang w:eastAsia="da-DK"/>
        </w:rPr>
        <w:fldChar w:fldCharType="end"/>
      </w:r>
      <w:r w:rsidRPr="00D253F0">
        <w:rPr>
          <w:rFonts w:ascii="Times New Roman" w:hAnsi="Times New Roman" w:cs="Times New Roman"/>
          <w:sz w:val="24"/>
          <w:szCs w:val="24"/>
          <w:lang w:eastAsia="da-DK"/>
        </w:rPr>
        <w:t>, stk. 3, 2. pkt.</w:t>
      </w:r>
    </w:p>
    <w:p w14:paraId="613EB299" w14:textId="77777777" w:rsidR="00EB57D1" w:rsidRDefault="00EB57D1" w:rsidP="00A802A5">
      <w:pPr>
        <w:spacing w:line="360" w:lineRule="auto"/>
        <w:rPr>
          <w:rFonts w:ascii="Times New Roman" w:eastAsia="Times New Roman" w:hAnsi="Times New Roman" w:cs="Times New Roman"/>
          <w:iCs/>
          <w:sz w:val="24"/>
          <w:szCs w:val="24"/>
          <w:lang w:eastAsia="da-DK"/>
        </w:rPr>
      </w:pPr>
    </w:p>
    <w:p w14:paraId="3D567A0A" w14:textId="77777777" w:rsidR="00EB57D1" w:rsidRDefault="00EB57D1" w:rsidP="00A802A5">
      <w:pPr>
        <w:spacing w:line="360" w:lineRule="auto"/>
        <w:rPr>
          <w:rFonts w:ascii="Times New Roman" w:eastAsia="Times New Roman" w:hAnsi="Times New Roman" w:cs="Times New Roman"/>
          <w:iCs/>
          <w:sz w:val="24"/>
          <w:szCs w:val="24"/>
          <w:lang w:eastAsia="da-DK"/>
        </w:rPr>
      </w:pPr>
      <w:r w:rsidRPr="002C5586">
        <w:rPr>
          <w:rFonts w:ascii="Times New Roman" w:eastAsia="Times New Roman" w:hAnsi="Times New Roman" w:cs="Times New Roman"/>
          <w:iCs/>
          <w:sz w:val="24"/>
          <w:szCs w:val="24"/>
          <w:lang w:eastAsia="da-DK"/>
        </w:rPr>
        <w:t>Det foreslåede ændrer imidlertid ikke på, at tilsynet med klientkontoområdet fortsat vil kunne udgøre et centralt element i hvidvasktilsynet og omvendt, således at oplysninger om eksempelvis klientmidler og transaktioner gennemført via en klientkonto kan muliggøre identifikationen af klientforhold eller aktiviteter omfattet af hvidvaskreguleringen og dermed understøtte eller danne grundlag for det risikobaserede hvidvasktilsyn</w:t>
      </w:r>
      <w:r>
        <w:rPr>
          <w:rFonts w:ascii="Times New Roman" w:eastAsia="Times New Roman" w:hAnsi="Times New Roman" w:cs="Times New Roman"/>
          <w:iCs/>
          <w:sz w:val="24"/>
          <w:szCs w:val="24"/>
          <w:lang w:eastAsia="da-DK"/>
        </w:rPr>
        <w:t xml:space="preserve">. </w:t>
      </w:r>
      <w:r w:rsidRPr="002C5586">
        <w:rPr>
          <w:rFonts w:ascii="Times New Roman" w:eastAsia="Times New Roman" w:hAnsi="Times New Roman" w:cs="Times New Roman"/>
          <w:iCs/>
          <w:sz w:val="24"/>
          <w:szCs w:val="24"/>
          <w:lang w:eastAsia="da-DK"/>
        </w:rPr>
        <w:t>Tilsvarende vil oplysninger indhentet som led i Advokatrådets hvidvasktilsyn efter denne lov kunne indgå i den øvrige tilsynsvirksomhed, herunder ved vurderingen af overtrædelser af god advokatskik og ved tilsyn efter retsplejelovens regler, i det omfang det er foreneligt med reglerne i denne foreslåede lov.</w:t>
      </w:r>
      <w:r>
        <w:rPr>
          <w:rFonts w:ascii="Times New Roman" w:eastAsia="Times New Roman" w:hAnsi="Times New Roman" w:cs="Times New Roman"/>
          <w:iCs/>
          <w:sz w:val="24"/>
          <w:szCs w:val="24"/>
          <w:lang w:eastAsia="da-DK"/>
        </w:rPr>
        <w:t xml:space="preserve"> </w:t>
      </w:r>
    </w:p>
    <w:p w14:paraId="39949F09" w14:textId="77777777" w:rsidR="00EB57D1" w:rsidRDefault="00EB57D1" w:rsidP="00A802A5">
      <w:pPr>
        <w:spacing w:line="360" w:lineRule="auto"/>
        <w:rPr>
          <w:rFonts w:ascii="Times New Roman" w:eastAsia="Times New Roman" w:hAnsi="Times New Roman" w:cs="Times New Roman"/>
          <w:iCs/>
          <w:sz w:val="24"/>
          <w:szCs w:val="24"/>
          <w:lang w:eastAsia="da-DK"/>
        </w:rPr>
      </w:pPr>
    </w:p>
    <w:p w14:paraId="15A5E81A" w14:textId="77777777" w:rsidR="00EB57D1" w:rsidRPr="00D253F0" w:rsidRDefault="00EB57D1" w:rsidP="00A802A5">
      <w:pPr>
        <w:spacing w:line="360" w:lineRule="auto"/>
        <w:rPr>
          <w:rFonts w:ascii="Times New Roman" w:eastAsia="Times New Roman" w:hAnsi="Times New Roman" w:cs="Times New Roman"/>
          <w:iCs/>
          <w:sz w:val="24"/>
          <w:szCs w:val="24"/>
          <w:lang w:eastAsia="da-DK"/>
        </w:rPr>
      </w:pPr>
      <w:r w:rsidRPr="002C5586">
        <w:rPr>
          <w:rFonts w:ascii="Times New Roman" w:eastAsia="Times New Roman" w:hAnsi="Times New Roman" w:cs="Times New Roman"/>
          <w:iCs/>
          <w:sz w:val="24"/>
          <w:szCs w:val="24"/>
          <w:lang w:eastAsia="da-DK"/>
        </w:rPr>
        <w:t>Den foreslåede ændring vil således ikke indebære et skarpt skel eller adskillelse mellem de forskellige dele af Advokatrådets tilsynsvirksomhed med advokathvervet, og den nære sammenhæng mellem hvidvaskreglerne, håndteringen af klientmidler og overholdelsen af de advokatretlige regler i øvrigt vil således i almindelighed fortsat kunne begrunde, at Advokatrådet til brug for de forskellige grene af sin tilsynsvirksomhed deler oplysninger på tværs eller udfører samlede tilsyn.</w:t>
      </w:r>
    </w:p>
    <w:p w14:paraId="6072E8CF" w14:textId="77777777" w:rsidR="00EB57D1" w:rsidRDefault="00EB57D1" w:rsidP="00A802A5">
      <w:pPr>
        <w:spacing w:line="360" w:lineRule="auto"/>
        <w:rPr>
          <w:rFonts w:ascii="Times New Roman" w:eastAsia="Times New Roman" w:hAnsi="Times New Roman" w:cs="Times New Roman"/>
          <w:iCs/>
          <w:sz w:val="24"/>
          <w:szCs w:val="24"/>
          <w:lang w:eastAsia="da-DK"/>
        </w:rPr>
      </w:pPr>
    </w:p>
    <w:p w14:paraId="178F88E2" w14:textId="77777777" w:rsidR="006C6689" w:rsidRPr="00796736" w:rsidRDefault="006C6689" w:rsidP="006C6689">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i stk. 3 viderefører delvist hvidvasklovens § 64, stk. 2</w:t>
      </w:r>
      <w:r>
        <w:rPr>
          <w:rFonts w:ascii="Times New Roman" w:eastAsia="Times New Roman" w:hAnsi="Times New Roman" w:cs="Times New Roman"/>
          <w:iCs/>
          <w:sz w:val="24"/>
          <w:szCs w:val="24"/>
          <w:lang w:eastAsia="da-DK"/>
        </w:rPr>
        <w:t>, og gennemfører 6. hvidvaskdirektivs artikel 37, stk. 6, litra a</w:t>
      </w:r>
      <w:r w:rsidRPr="00796736">
        <w:rPr>
          <w:rFonts w:ascii="Times New Roman" w:eastAsia="Times New Roman" w:hAnsi="Times New Roman" w:cs="Times New Roman"/>
          <w:iCs/>
          <w:sz w:val="24"/>
          <w:szCs w:val="24"/>
          <w:lang w:eastAsia="da-DK"/>
        </w:rPr>
        <w:t xml:space="preserve">. </w:t>
      </w:r>
    </w:p>
    <w:p w14:paraId="503DADCF" w14:textId="77777777" w:rsidR="00CE528D" w:rsidRPr="00796736" w:rsidRDefault="00CE528D" w:rsidP="00A802A5">
      <w:pPr>
        <w:spacing w:line="360" w:lineRule="auto"/>
        <w:rPr>
          <w:rFonts w:ascii="Times New Roman" w:eastAsia="Times New Roman" w:hAnsi="Times New Roman" w:cs="Times New Roman"/>
          <w:iCs/>
          <w:sz w:val="24"/>
          <w:szCs w:val="24"/>
          <w:lang w:eastAsia="da-DK"/>
        </w:rPr>
      </w:pPr>
    </w:p>
    <w:p w14:paraId="53B8B2BC"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stk. 3, 2. pkt.</w:t>
      </w:r>
      <w:r w:rsidRPr="00796736">
        <w:rPr>
          <w:rFonts w:ascii="Times New Roman" w:eastAsia="Times New Roman" w:hAnsi="Times New Roman" w:cs="Times New Roman"/>
          <w:iCs/>
          <w:sz w:val="24"/>
          <w:szCs w:val="24"/>
          <w:lang w:eastAsia="da-DK"/>
        </w:rPr>
        <w:t>, at 1. pkt. finder tilsvarende anvendelse for tjenesteydere, som advokater har uddelegeret en del af deres opgaver til for at opfylde kravene i reglerne nævnt i stk. 1.</w:t>
      </w:r>
    </w:p>
    <w:p w14:paraId="24DB06B6" w14:textId="77777777" w:rsidR="00CE528D" w:rsidRPr="00796736" w:rsidRDefault="00CE528D" w:rsidP="00A802A5">
      <w:pPr>
        <w:spacing w:line="360" w:lineRule="auto"/>
        <w:rPr>
          <w:rFonts w:ascii="Times New Roman" w:eastAsia="Times New Roman" w:hAnsi="Times New Roman" w:cs="Times New Roman"/>
          <w:iCs/>
          <w:sz w:val="24"/>
          <w:szCs w:val="24"/>
          <w:lang w:eastAsia="da-DK"/>
        </w:rPr>
      </w:pPr>
    </w:p>
    <w:p w14:paraId="4CC0C8F6"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indebærer, at Advokatrådet tillige vil kunne påbyde tjenesteydere og samarbejdspartnere m.v., som advokater omfattet af Advokatrådets hvidvasktilsyn har outsourcet en del af deres opgaver til for at opfylde kravene i reglerne nævnt i stk. 1. Advokatrådets kompetence vil være begrænset til den del af samarbejdspartnerens virksomhed, som vedrører den outsourcede opgave, også i tilfælde, hvor samarbejdspartneren ikke i øvrigt er omfattet af hvidvaskreguleringen.</w:t>
      </w:r>
    </w:p>
    <w:p w14:paraId="1AEA7098"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2EEE27EC"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Med ”tjenesteydere” skal forstås enhver tjenesteudbyder, herunder leverandører og underleverandører, eksterne konsulenter og andre tredjeparter, som advokaterne i medfør af hvidvaskforordningens artikel 18 har outsourcet opgaver til. </w:t>
      </w:r>
    </w:p>
    <w:p w14:paraId="21C25B0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82C146F"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Advokatrådet udøver tilsyn med advokater, deres autoriserede advokatfuldmægtige, advokatfællesskaber samt advokatselskaber i medfør af retsplejeloven og hvidvaskloven. Gennemførelse af kontrolbesøg i henhold til gældende ret forudsætter enten den pågældendes samtykke eller forudgående indhentelse af retskendelse ved domstolene.</w:t>
      </w:r>
    </w:p>
    <w:p w14:paraId="3182CF50"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2BE2799" w14:textId="33771FA9"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stk. 4, 1. og 2. pkt.,</w:t>
      </w:r>
      <w:r w:rsidRPr="00796736">
        <w:rPr>
          <w:rFonts w:ascii="Times New Roman" w:eastAsia="Times New Roman" w:hAnsi="Times New Roman" w:cs="Times New Roman"/>
          <w:iCs/>
          <w:sz w:val="24"/>
          <w:szCs w:val="24"/>
          <w:lang w:eastAsia="da-DK"/>
        </w:rPr>
        <w:t xml:space="preserve"> at</w:t>
      </w:r>
      <w:r w:rsidRPr="00796736">
        <w:rPr>
          <w:rFonts w:ascii="Times New Roman" w:eastAsia="Times New Roman" w:hAnsi="Times New Roman" w:cs="Times New Roman"/>
          <w:i/>
          <w:sz w:val="24"/>
          <w:szCs w:val="24"/>
          <w:lang w:eastAsia="da-DK"/>
        </w:rPr>
        <w:t xml:space="preserve"> </w:t>
      </w:r>
      <w:r w:rsidRPr="00796736">
        <w:rPr>
          <w:rFonts w:ascii="Times New Roman" w:eastAsia="Times New Roman" w:hAnsi="Times New Roman" w:cs="Times New Roman"/>
          <w:iCs/>
          <w:sz w:val="24"/>
          <w:szCs w:val="24"/>
          <w:lang w:eastAsia="da-DK"/>
        </w:rPr>
        <w:t>Advokatrådet mod behørig legitimation uden retskendelse kan få adgang til de lokaliteter, hvorfra advokaterne udøver virksomhed, når det er nødvendigt af hensyn til at føre tilsyn efter stk. 1. Rådet kan som led i kontrolbesøget foretage nærmere undersøgelser af materiale hos advokaterne, herunder tage kopi af optegnelser, arbejdspapirer, og dokumentation for overholdelse af reglerne.</w:t>
      </w:r>
    </w:p>
    <w:p w14:paraId="0644574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0F0BF5B"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at Advokatrådet kan gennemføre kontrolbesøg hos advokater, når det er nødvendigt som led i rådets tilsyns-, kontrol- og overvågningsvirksomhed mod behørig legitimation uden retskendelse. Kontrolbesøget vil kunne omfatte lokaliteter, herunder erhvervslokaler, lagerfaciliteter mv., hvorfra der drives erhverv, og således ikke til private boliger. I tilfælde, hvor forretningslokalet befinder sig i et privat hjem, vil Advokatrådet dog kunne få adgang til den del af boligen, hvorfra administrationen af virksomheden foregår, og hvor virksomhedens dokumentation og optegnelser befinder sig. Der vil ved kontrolbesøg efter den foreslåede bestemmelse, som gennemføres uden samtykke, være tale om en husundersøgelse omfattet af grundlovens § 72. </w:t>
      </w:r>
    </w:p>
    <w:p w14:paraId="61C467D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45A40C4"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Bestemmelsen vil endvidere medføre, at Advokatrådet vil kunne få adgang til og vil kunne tage kopi af optegnelser, arbejdspapirer og dokumentation for overholdelse af reglerne med henblik på at gennemgå materiale, der kan have betydning for kontrollen. Dette vil være i tilfælde hvor dokumentationen eller optegnelserne foreligger fysisk såvel som elektronisk. Det bemærkes, at materialet, som Advokatrådet vil have adgang til, vil være underlagt de samme begrænsninger som følge af forordningens bestemmelser som tilfældet er for den foreslåede bestemmelse om påbud til fremlæggelse af oplysninger i stk. 3, hvortil der henvises.</w:t>
      </w:r>
    </w:p>
    <w:p w14:paraId="5269760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2E1ECC5" w14:textId="242A47E8" w:rsidR="00A16C19"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forudsættes således, at materiale mv., som Advokatrådet ved eller må formode angår en advokats gerning som forsvarsadvokat overfor en klient i relation til en straffesag vil falde uden for hvidvaskforordningens anvendelsesområde og ikke vil kunne gennemgås som led i kontrolbesøget. </w:t>
      </w:r>
      <w:r w:rsidR="00A16C19" w:rsidRPr="00796736">
        <w:rPr>
          <w:rFonts w:ascii="Times New Roman" w:eastAsia="Times New Roman" w:hAnsi="Times New Roman" w:cs="Times New Roman"/>
          <w:iCs/>
          <w:sz w:val="24"/>
          <w:szCs w:val="24"/>
          <w:lang w:eastAsia="da-DK"/>
        </w:rPr>
        <w:t xml:space="preserve">Dette gælder dog ikke i tilfælde omfattet af hvidvaskforordningens artikel 21, stk. 2, artikel 70, stk. 2, og regler udstedt i medfør af den foreslåede </w:t>
      </w:r>
      <w:r w:rsidR="001A545D" w:rsidRPr="00796736">
        <w:rPr>
          <w:rFonts w:ascii="Times New Roman" w:eastAsia="Times New Roman" w:hAnsi="Times New Roman" w:cs="Times New Roman"/>
          <w:iCs/>
          <w:sz w:val="24"/>
          <w:szCs w:val="24"/>
          <w:lang w:eastAsia="da-DK"/>
        </w:rPr>
        <w:fldChar w:fldCharType="begin"/>
      </w:r>
      <w:r w:rsidR="001A545D" w:rsidRPr="00796736">
        <w:rPr>
          <w:rFonts w:ascii="Times New Roman" w:eastAsia="Times New Roman" w:hAnsi="Times New Roman" w:cs="Times New Roman"/>
          <w:iCs/>
          <w:sz w:val="24"/>
          <w:szCs w:val="24"/>
          <w:lang w:eastAsia="da-DK"/>
        </w:rPr>
        <w:instrText xml:space="preserve"> REF _Ref232609366 \r \h </w:instrText>
      </w:r>
      <w:r w:rsidR="002C5834" w:rsidRPr="00796736">
        <w:rPr>
          <w:rFonts w:ascii="Times New Roman" w:eastAsia="Times New Roman" w:hAnsi="Times New Roman" w:cs="Times New Roman"/>
          <w:iCs/>
          <w:sz w:val="24"/>
          <w:szCs w:val="24"/>
          <w:lang w:eastAsia="da-DK"/>
        </w:rPr>
        <w:instrText xml:space="preserve"> \* MERGEFORMAT </w:instrText>
      </w:r>
      <w:r w:rsidR="001A545D" w:rsidRPr="00796736">
        <w:rPr>
          <w:rFonts w:ascii="Times New Roman" w:eastAsia="Times New Roman" w:hAnsi="Times New Roman" w:cs="Times New Roman"/>
          <w:iCs/>
          <w:sz w:val="24"/>
          <w:szCs w:val="24"/>
          <w:lang w:eastAsia="da-DK"/>
        </w:rPr>
      </w:r>
      <w:r w:rsidR="001A545D"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110</w:t>
      </w:r>
      <w:r w:rsidR="001A545D" w:rsidRPr="00796736">
        <w:rPr>
          <w:rFonts w:ascii="Times New Roman" w:eastAsia="Times New Roman" w:hAnsi="Times New Roman" w:cs="Times New Roman"/>
          <w:iCs/>
          <w:sz w:val="24"/>
          <w:szCs w:val="24"/>
          <w:lang w:eastAsia="da-DK"/>
        </w:rPr>
        <w:fldChar w:fldCharType="end"/>
      </w:r>
      <w:r w:rsidR="00A16C19" w:rsidRPr="00796736">
        <w:rPr>
          <w:rFonts w:ascii="Times New Roman" w:eastAsia="Times New Roman" w:hAnsi="Times New Roman" w:cs="Times New Roman"/>
          <w:iCs/>
          <w:sz w:val="24"/>
          <w:szCs w:val="24"/>
          <w:lang w:eastAsia="da-DK"/>
        </w:rPr>
        <w:t xml:space="preserve">, stk. 2. </w:t>
      </w:r>
    </w:p>
    <w:p w14:paraId="20450F92"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4379213" w14:textId="77777777" w:rsidR="00B23930"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giver mulighed for, at kontrolbesøget kan gennemføres uden retskendelse. Det vil være et krav, at det i den konkrete situation har været nødvendigt at gennemføre det pågældende kontrolbesøg, og at det i den forbindelse ikke har været muligt at indhente en forudgående retskendelse.</w:t>
      </w:r>
    </w:p>
    <w:p w14:paraId="6DD91B76"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628E8498" w14:textId="6311B29A" w:rsidR="00A16C19" w:rsidRPr="00796736" w:rsidRDefault="0028023B" w:rsidP="00A802A5">
      <w:pPr>
        <w:spacing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K</w:t>
      </w:r>
      <w:r w:rsidR="00A16C19" w:rsidRPr="00796736">
        <w:rPr>
          <w:rFonts w:ascii="Times New Roman" w:eastAsia="Times New Roman" w:hAnsi="Times New Roman" w:cs="Times New Roman"/>
          <w:iCs/>
          <w:sz w:val="24"/>
          <w:szCs w:val="24"/>
          <w:lang w:eastAsia="da-DK"/>
        </w:rPr>
        <w:t>ontrolbesøg efter den foreslåede bestemmelse vil skulle ske i overensstemmelse med de relevante bestemmelser i retssikkerhedsloven, jf. det foreslåede stk. 6. Udgangspunktet er således, at kontrolbesøg skal varsles og i øvrigt skal søges gennemført ved den forpligtede advokat eller advokatselskabs frivillige medvirken. Der henvises til bemærkningerne til stk. 6 for en nærmere gennemgang af kravene nødvendighed og proportionalitet ved udførelsen af kontrolbesøg.</w:t>
      </w:r>
    </w:p>
    <w:p w14:paraId="6C9355F1"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34318125" w14:textId="42297726"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indebærer således i sammenhæng med det foreslåede stk. 6, at Advokatrådet kan foretage kontrolbesøg uden retskendelse og forudgående varsel, hvis det er nødvendigt for at kunne foretage tilsyn efter stk. 1, herunder hvis et konkret tilsynsmæssigt behov tilsiger det, hvis den pågældende advokat mv. enten ikke vil fremlægge oplysninger efter påbud herom, ikke vil medvirke frivilligt eller på anden vis modvirker inspektionen.</w:t>
      </w:r>
    </w:p>
    <w:p w14:paraId="10819A4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7096911"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4, 3. pkt., </w:t>
      </w:r>
      <w:r w:rsidRPr="00796736">
        <w:rPr>
          <w:rFonts w:ascii="Times New Roman" w:hAnsi="Times New Roman" w:cs="Times New Roman"/>
          <w:sz w:val="24"/>
          <w:szCs w:val="24"/>
        </w:rPr>
        <w:t xml:space="preserve">at politiet om nødvendigt yder bistand til gennemførelse af kontrol efter 1. pkt. </w:t>
      </w:r>
    </w:p>
    <w:p w14:paraId="1F109D00" w14:textId="77777777" w:rsidR="00A16C19" w:rsidRPr="00796736" w:rsidRDefault="00A16C19" w:rsidP="00A802A5">
      <w:pPr>
        <w:spacing w:line="360" w:lineRule="auto"/>
        <w:rPr>
          <w:rFonts w:ascii="Times New Roman" w:hAnsi="Times New Roman" w:cs="Times New Roman"/>
          <w:sz w:val="24"/>
          <w:szCs w:val="24"/>
        </w:rPr>
      </w:pPr>
    </w:p>
    <w:p w14:paraId="5B63CB16"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politiets bistand efter bestemmelsen vil begrænse sig til overvindelse af fysiske hindringer for gennemførelsen af kontrollen, f.eks. skaffe adgang til et aflåst rum. </w:t>
      </w:r>
    </w:p>
    <w:p w14:paraId="1E72ECC7" w14:textId="77777777" w:rsidR="00A16C19" w:rsidRPr="00796736" w:rsidRDefault="00A16C19" w:rsidP="00A802A5">
      <w:pPr>
        <w:spacing w:line="360" w:lineRule="auto"/>
        <w:rPr>
          <w:rFonts w:ascii="Times New Roman" w:hAnsi="Times New Roman" w:cs="Times New Roman"/>
          <w:sz w:val="24"/>
          <w:szCs w:val="24"/>
        </w:rPr>
      </w:pPr>
    </w:p>
    <w:p w14:paraId="39F24358"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Selve kontrollen vil skulle gennemføres af Advokatrådet. Advokatrådet er en selvejende institution oprettet ved lov, som ikke er en del af den offentlige forvaltning. Den myndighedsudøvelse, som et kontrolbesøg indebærer, skal som udgangspunkt ske frivilligt. For så vidt angår kontrolbesøg hos en forpligtet advokat mv., som modsætter sig kontrolbesøget, kan dette alene ske ved politiets medvirken. Politiets bistand vil skulle ske efter reglerne i lov om politiets virksomhed. Hvis der på tidspunktet for politiets bistand ved Advokatrådets kontrolbesøg kommer til at være – eller i forbindelse hermed kommer til at opstå – konkret mistanke om et strafbart forhold, vil politiets bistand til gennemførelsen af kontrollen skulle ske i overensstemmelse med retsplejelovens regler, når bistanden har karakter af efterforskning.</w:t>
      </w:r>
    </w:p>
    <w:p w14:paraId="1E0E5186" w14:textId="77777777" w:rsidR="00A16C19" w:rsidRPr="00796736" w:rsidRDefault="00A16C19" w:rsidP="00A802A5">
      <w:pPr>
        <w:spacing w:line="360" w:lineRule="auto"/>
        <w:rPr>
          <w:rFonts w:ascii="Times New Roman" w:hAnsi="Times New Roman" w:cs="Times New Roman"/>
          <w:sz w:val="24"/>
          <w:szCs w:val="24"/>
        </w:rPr>
      </w:pPr>
    </w:p>
    <w:p w14:paraId="265A5141"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Politiets bistand vil i øvrigt skulle ske under hensyn til politiets sædvanlige prioritering af opgaver og ressourcer.</w:t>
      </w:r>
    </w:p>
    <w:p w14:paraId="71EC00B4"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730A474A"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4, 4. pkt.,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1-3 pkt., finder tilsvarende anvendelse for tjenesteydere, som advokater har uddelegeret en del af deres opgaver til for at opfylde kravene i reglerne nævnt i stk. 1.</w:t>
      </w:r>
    </w:p>
    <w:p w14:paraId="18C9C09F" w14:textId="77777777" w:rsidR="001A545D" w:rsidRPr="00796736" w:rsidRDefault="001A545D" w:rsidP="00A802A5">
      <w:pPr>
        <w:spacing w:line="360" w:lineRule="auto"/>
        <w:rPr>
          <w:rFonts w:ascii="Times New Roman" w:eastAsia="Times New Roman" w:hAnsi="Times New Roman" w:cs="Times New Roman"/>
          <w:iCs/>
          <w:sz w:val="24"/>
          <w:szCs w:val="24"/>
          <w:lang w:eastAsia="da-DK"/>
        </w:rPr>
      </w:pPr>
    </w:p>
    <w:p w14:paraId="0E5F8107" w14:textId="3C158DD3"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indebærer, at mod behørig legitimation uden retskendelse vil Advokatrådet tillige kunne foretage kontrolbesøg hos tjenesteydere, som advokater omfattet af Advokatrådets hvidvasktilsyn har outsourcet en del af deres opgaver til for at opfylde kravene i reglerne nævnt i stk. 1. Advokatrådet vil i den forbindelse kunne foretage undersøgelser og kræve en kopi af dokumentation og optegnelser for overholdelsen af reglerne udleveret og politiet vil om fornødent kunne yde bistand hertil. Advokatrådets kompetence vil være begrænset til den del af samarbejdspartnerens virksomhed, som vedrører den outsourcede opgave, også i tilfælde, hvor samarbejdspartneren ikke i øvrigt er omfattet af hvidvaskreguleringen.</w:t>
      </w:r>
    </w:p>
    <w:p w14:paraId="00E5A437"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04D98E14"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Med ”tjenesteydere” skal forstås enhver tjenesteudbyder, herunder leverandører og underleverandører, eksterne konsulenter og andre tredjeparter, som advokaterne i medfør af hvidvaskforordningens artikel 18 har outsourcet opgaver til.</w:t>
      </w:r>
    </w:p>
    <w:p w14:paraId="6BF46036" w14:textId="77777777" w:rsidR="001A545D" w:rsidRPr="00796736" w:rsidRDefault="001A545D" w:rsidP="00A802A5">
      <w:pPr>
        <w:spacing w:line="360" w:lineRule="auto"/>
        <w:rPr>
          <w:rFonts w:ascii="Times New Roman" w:eastAsia="Times New Roman" w:hAnsi="Times New Roman" w:cs="Times New Roman"/>
          <w:iCs/>
          <w:sz w:val="24"/>
          <w:szCs w:val="24"/>
          <w:lang w:eastAsia="da-DK"/>
        </w:rPr>
      </w:pPr>
    </w:p>
    <w:p w14:paraId="05E3EE48" w14:textId="1E18E259"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 foreslåede bestemmelser i stk. 3 og 4, samt den foreslåede </w:t>
      </w:r>
      <w:r w:rsidR="005F3D74" w:rsidRPr="00796736">
        <w:rPr>
          <w:rFonts w:ascii="Times New Roman" w:hAnsi="Times New Roman" w:cs="Times New Roman"/>
          <w:sz w:val="24"/>
          <w:szCs w:val="24"/>
        </w:rPr>
        <w:fldChar w:fldCharType="begin"/>
      </w:r>
      <w:r w:rsidR="005F3D74" w:rsidRPr="00796736">
        <w:rPr>
          <w:rFonts w:ascii="Times New Roman" w:hAnsi="Times New Roman" w:cs="Times New Roman"/>
          <w:sz w:val="24"/>
          <w:szCs w:val="24"/>
        </w:rPr>
        <w:instrText xml:space="preserve"> REF _Ref232609304 \r \h </w:instrText>
      </w:r>
      <w:r w:rsidR="00967618" w:rsidRPr="00796736">
        <w:rPr>
          <w:rFonts w:ascii="Times New Roman" w:hAnsi="Times New Roman" w:cs="Times New Roman"/>
          <w:sz w:val="24"/>
          <w:szCs w:val="24"/>
        </w:rPr>
        <w:instrText xml:space="preserve"> \* MERGEFORMAT </w:instrText>
      </w:r>
      <w:r w:rsidR="005F3D74" w:rsidRPr="00796736">
        <w:rPr>
          <w:rFonts w:ascii="Times New Roman" w:hAnsi="Times New Roman" w:cs="Times New Roman"/>
          <w:sz w:val="24"/>
          <w:szCs w:val="24"/>
        </w:rPr>
      </w:r>
      <w:r w:rsidR="005F3D7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101</w:t>
      </w:r>
      <w:r w:rsidR="005F3D74" w:rsidRPr="00796736">
        <w:rPr>
          <w:rFonts w:ascii="Times New Roman" w:hAnsi="Times New Roman" w:cs="Times New Roman"/>
          <w:sz w:val="24"/>
          <w:szCs w:val="24"/>
        </w:rPr>
        <w:fldChar w:fldCharType="end"/>
      </w:r>
      <w:r w:rsidRPr="00796736">
        <w:rPr>
          <w:rFonts w:ascii="Times New Roman" w:hAnsi="Times New Roman" w:cs="Times New Roman"/>
          <w:sz w:val="24"/>
          <w:szCs w:val="24"/>
        </w:rPr>
        <w:t>, implementeres hvidvaskdirektivets artikel 37, stk. 6.</w:t>
      </w:r>
    </w:p>
    <w:p w14:paraId="1439016C" w14:textId="77777777" w:rsidR="00A16C19" w:rsidRPr="00796736" w:rsidRDefault="00A16C19" w:rsidP="00A802A5">
      <w:pPr>
        <w:spacing w:line="360" w:lineRule="auto"/>
        <w:rPr>
          <w:rFonts w:ascii="Times New Roman" w:hAnsi="Times New Roman" w:cs="Times New Roman"/>
          <w:sz w:val="24"/>
          <w:szCs w:val="24"/>
        </w:rPr>
      </w:pPr>
    </w:p>
    <w:p w14:paraId="69F847BA"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Hvidvaskdirektivets artikel 39 handler om fremlæggelse af oplysninger for de forpligtede enheder som led i tilsynsopgaven.</w:t>
      </w:r>
    </w:p>
    <w:p w14:paraId="74E48CF3" w14:textId="77777777" w:rsidR="00A16C19" w:rsidRPr="00796736" w:rsidRDefault="00A16C19" w:rsidP="00A802A5">
      <w:pPr>
        <w:spacing w:line="360" w:lineRule="auto"/>
        <w:rPr>
          <w:rFonts w:ascii="Times New Roman" w:hAnsi="Times New Roman" w:cs="Times New Roman"/>
          <w:sz w:val="24"/>
          <w:szCs w:val="24"/>
        </w:rPr>
      </w:pPr>
    </w:p>
    <w:p w14:paraId="7F003312"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hvidvasklovens § 26 a, at Sekretariatet for Advokatsamfundet årligt offentliggør en rapport, der skal indeholde oplysninger om følgende:</w:t>
      </w:r>
    </w:p>
    <w:p w14:paraId="45B42FDA" w14:textId="77777777" w:rsidR="00A16C19" w:rsidRPr="00796736" w:rsidRDefault="00A16C19">
      <w:pPr>
        <w:pStyle w:val="Listeafsnit"/>
        <w:numPr>
          <w:ilvl w:val="0"/>
          <w:numId w:val="37"/>
        </w:num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Antallet af modtagne indberetninger om mulige overtrædelser af denne lov. </w:t>
      </w:r>
    </w:p>
    <w:p w14:paraId="2C9C90D8" w14:textId="77777777" w:rsidR="00A16C19" w:rsidRPr="00796736" w:rsidRDefault="00A16C19">
      <w:pPr>
        <w:pStyle w:val="Listeafsnit"/>
        <w:numPr>
          <w:ilvl w:val="0"/>
          <w:numId w:val="37"/>
        </w:numPr>
        <w:spacing w:line="360" w:lineRule="auto"/>
        <w:rPr>
          <w:rFonts w:ascii="Times New Roman" w:hAnsi="Times New Roman" w:cs="Times New Roman"/>
          <w:sz w:val="24"/>
          <w:szCs w:val="24"/>
        </w:rPr>
      </w:pPr>
      <w:r w:rsidRPr="00796736">
        <w:rPr>
          <w:rFonts w:ascii="Times New Roman" w:hAnsi="Times New Roman" w:cs="Times New Roman"/>
          <w:sz w:val="24"/>
          <w:szCs w:val="24"/>
        </w:rPr>
        <w:t>Antallet af modtagne underretninger efter § 26, stk. 2, og antallet af sådanne underretninger, som sekretariatet for Advokatsamfundet har sendt til Hvidvasksekretariatet.</w:t>
      </w:r>
    </w:p>
    <w:p w14:paraId="0D6D6F5C" w14:textId="77777777" w:rsidR="00A16C19" w:rsidRPr="00796736" w:rsidRDefault="00A16C19">
      <w:pPr>
        <w:pStyle w:val="Listeafsnit"/>
        <w:numPr>
          <w:ilvl w:val="0"/>
          <w:numId w:val="37"/>
        </w:numPr>
        <w:spacing w:line="360" w:lineRule="auto"/>
        <w:rPr>
          <w:rFonts w:ascii="Times New Roman" w:hAnsi="Times New Roman" w:cs="Times New Roman"/>
          <w:sz w:val="24"/>
          <w:szCs w:val="24"/>
        </w:rPr>
      </w:pPr>
      <w:r w:rsidRPr="00796736">
        <w:rPr>
          <w:rFonts w:ascii="Times New Roman" w:hAnsi="Times New Roman" w:cs="Times New Roman"/>
          <w:sz w:val="24"/>
          <w:szCs w:val="24"/>
        </w:rPr>
        <w:t>Antallet og indholdet af foranstaltninger truffet af Advokatrådet efter § 64, stk. 2, med henblik på at overvåge, at virksomheder og personer omfattet af loven overholder deres forpligtelser i medfør af kapitel 2 om risikovurdering og risikostyring, kapitel 3 om kundekendskabsprocedurer og kapitel 5 om undersøgelses-, noterings-, underretnings-, oplysnings- og opbevaringspligt.</w:t>
      </w:r>
    </w:p>
    <w:p w14:paraId="3A55DB70" w14:textId="77777777" w:rsidR="00A16C19" w:rsidRPr="00796736" w:rsidRDefault="00A16C19" w:rsidP="00A802A5">
      <w:pPr>
        <w:spacing w:line="360" w:lineRule="auto"/>
        <w:rPr>
          <w:rFonts w:ascii="Times New Roman" w:hAnsi="Times New Roman" w:cs="Times New Roman"/>
          <w:sz w:val="24"/>
          <w:szCs w:val="24"/>
        </w:rPr>
      </w:pPr>
    </w:p>
    <w:p w14:paraId="0AD02850"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5,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 xml:space="preserve">Advokatrådet udarbejder en årlig aktivitetsrapport, hvoraf en sammenfatning offentliggøres. Sammenfatningen må ikke indeholde fortrolige oplysninger og skal indeholde antallet af advokater, deres autoriserede fuldmægtige, fællesskaber af advokater og advokatselskaber under tilsyn, en beskrivelse af Advokatrådets opgaver og beføjelser og en oversigt over udførte tilsynsaktiviteter. </w:t>
      </w:r>
    </w:p>
    <w:p w14:paraId="6EA7499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2C03A52"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Bestemmelsen indebærer, at </w:t>
      </w:r>
      <w:r w:rsidRPr="00796736">
        <w:rPr>
          <w:rFonts w:ascii="Times New Roman" w:eastAsia="Times New Roman" w:hAnsi="Times New Roman" w:cs="Times New Roman"/>
          <w:iCs/>
          <w:sz w:val="24"/>
          <w:szCs w:val="24"/>
          <w:lang w:eastAsia="da-DK"/>
        </w:rPr>
        <w:t>Advokatrådet vil skulle udarbejde en årlig aktivitetsrapport, hvoraf en sammenfatning offentliggøres. Sammenfatningen vil ikke måtte ikke indeholde fortrolige oplysninger og vil skulle indeholde antallet af advokater og advokatselskaber under tilsyn, en beskrivelse af Advokatrådets beføjelser og en oversigt over udførte tilsynsaktiviteter.</w:t>
      </w:r>
    </w:p>
    <w:p w14:paraId="438A2272"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5585445" w14:textId="34A18164"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viderefører hvidvasklovens § 26 a, idet den præciseres i form af specifikke krav til, hvad rapporten skal indeholde, ligesom det nu ikke er selve rapporten, men en sammenfatning heraf, som skal offentliggøres. </w:t>
      </w:r>
    </w:p>
    <w:p w14:paraId="48A5A146"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528DBD7"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Med den foreslåede bestemmelse gennemføres direktivets artikel 40, stk. 5.</w:t>
      </w:r>
    </w:p>
    <w:p w14:paraId="5B867FAD"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1DCEF01"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er en selvejende institution oprettet ved lov, som ikke er en del af den offentlige forvaltning. Retssikkerhedsloven gælder derfor som udgangspunkt ikke for rådet. </w:t>
      </w:r>
    </w:p>
    <w:p w14:paraId="23C9ED6E" w14:textId="77777777" w:rsidR="00A16C19" w:rsidRPr="00796736" w:rsidRDefault="00A16C19" w:rsidP="00A802A5">
      <w:pPr>
        <w:spacing w:line="360" w:lineRule="auto"/>
        <w:rPr>
          <w:rFonts w:ascii="Times New Roman" w:hAnsi="Times New Roman" w:cs="Times New Roman"/>
          <w:sz w:val="24"/>
          <w:szCs w:val="24"/>
        </w:rPr>
      </w:pPr>
    </w:p>
    <w:p w14:paraId="189BA819"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6,</w:t>
      </w:r>
      <w:r w:rsidRPr="00796736">
        <w:rPr>
          <w:rFonts w:ascii="Times New Roman" w:hAnsi="Times New Roman" w:cs="Times New Roman"/>
          <w:sz w:val="24"/>
          <w:szCs w:val="24"/>
        </w:rPr>
        <w:t xml:space="preserve"> at kapitel 2-4, bortset fra § 3 i lov om retssikkerhed ved forvaltningens anvendelse af tvangsindgreb og oplysningspligter finder tilsvarende anvendelse for Advokatrådets varetagelse af opgaver efter stk. 3 og 4. </w:t>
      </w:r>
    </w:p>
    <w:p w14:paraId="4C498A6F" w14:textId="77777777" w:rsidR="00A16C19" w:rsidRPr="00796736" w:rsidRDefault="00A16C19" w:rsidP="00A802A5">
      <w:pPr>
        <w:spacing w:line="360" w:lineRule="auto"/>
        <w:rPr>
          <w:rFonts w:ascii="Times New Roman" w:hAnsi="Times New Roman" w:cs="Times New Roman"/>
          <w:sz w:val="24"/>
          <w:szCs w:val="24"/>
        </w:rPr>
      </w:pPr>
    </w:p>
    <w:p w14:paraId="2F5BB382" w14:textId="3AEDE46E" w:rsidR="00B23930"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retssikkerhedslovens kapitel 2-4 skal gælde for rådets varetagelse af opgaver efter det foreslåede stk. 3 og 4 med henblik på at sikre den fornødne retssikkerhed i forbindelse med Advokatrådets udøvelse af tilsynsbeføjelser. Som det også fremgår af bemærkningerne til stk. 3 og 4, vil de foreslåede oplysningspligter og tilsynsbeføjelser udgøre tvangsindgreb, der er at sidestille med tvangsindgreb omfattet af retssikkerhedslovens § 1, stk. 1, nr. 1 (husundersøgelse, herunder undersøgelse af kontorlokaler, der ikke er offentligt tilgængelige) og 2 (undersøgelse eller beslaglæggelse af breve og andre papirer) og oplysningspligt omfattet af § 1, stk. 3.</w:t>
      </w:r>
      <w:r w:rsidR="00B23930" w:rsidRPr="00796736">
        <w:rPr>
          <w:rFonts w:ascii="Times New Roman" w:hAnsi="Times New Roman" w:cs="Times New Roman"/>
          <w:sz w:val="24"/>
          <w:szCs w:val="24"/>
        </w:rPr>
        <w:t xml:space="preserve"> Dette vil indebære, at retssikkerhedslovens kapitel 2-4 ikke vil finde anvendelse ved de dele af Advokatrådets tilsynsvirksomhed, som ikke har karakter af tvangsindgreb. Af hensyn til, at Advokatrådet ikke er omfattet af forvaltningsloven, vil Advokatrådet heller ikke skulle være omfattet af forvaltningsloven ved at være omfattet af retssikkerhedslovens § 3.</w:t>
      </w:r>
    </w:p>
    <w:p w14:paraId="6C0251F3" w14:textId="77777777" w:rsidR="00B23930" w:rsidRPr="00796736" w:rsidRDefault="00B23930" w:rsidP="00A802A5">
      <w:pPr>
        <w:spacing w:line="360" w:lineRule="auto"/>
        <w:rPr>
          <w:rFonts w:ascii="Times New Roman" w:hAnsi="Times New Roman" w:cs="Times New Roman"/>
          <w:sz w:val="24"/>
          <w:szCs w:val="24"/>
        </w:rPr>
      </w:pPr>
    </w:p>
    <w:p w14:paraId="300EBB4F"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indebære, at Advokatrådet vil skulle iagttage proportionalitetsprincippet og kun må anvende disse tvangsindgreb mv., hvis mindre indgribende foranstaltninger ikke er tilstrækkelige, og hvis indgrebet står i rimeligt forhold til formålet med indgrebet, jf. retssikkerhedslovens § 2. </w:t>
      </w:r>
    </w:p>
    <w:p w14:paraId="5EBE5544" w14:textId="77777777" w:rsidR="00B23930" w:rsidRPr="00796736" w:rsidRDefault="00B23930" w:rsidP="00A802A5">
      <w:pPr>
        <w:spacing w:line="360" w:lineRule="auto"/>
        <w:rPr>
          <w:rFonts w:ascii="Times New Roman" w:hAnsi="Times New Roman" w:cs="Times New Roman"/>
          <w:sz w:val="24"/>
          <w:szCs w:val="24"/>
        </w:rPr>
      </w:pPr>
    </w:p>
    <w:p w14:paraId="1CCF0E41" w14:textId="77777777" w:rsidR="00EB57D1" w:rsidRPr="00D253F0" w:rsidRDefault="00EB57D1"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Det foreslåede vil endvidere indebære, at retssikkerhedslovens § 3 ikke finder anvendelse for Advokatrådets tvangsindgreb, idet Advokatrådet ikke er omfattet af forvaltningsloven. Forvaltningslovens regler gælder således ikke for Advokatrådet, selvom Advokatrådet i praksis efterlever visse forvaltningsretlige principper i forbindelse med tilsynsvirksomheden såsom</w:t>
      </w:r>
      <w:r>
        <w:rPr>
          <w:rFonts w:ascii="Times New Roman" w:hAnsi="Times New Roman" w:cs="Times New Roman"/>
          <w:sz w:val="24"/>
          <w:szCs w:val="24"/>
        </w:rPr>
        <w:t xml:space="preserve"> almindelige regler om inhabilitet,</w:t>
      </w:r>
      <w:r w:rsidRPr="00D253F0">
        <w:rPr>
          <w:rFonts w:ascii="Times New Roman" w:hAnsi="Times New Roman" w:cs="Times New Roman"/>
          <w:sz w:val="24"/>
          <w:szCs w:val="24"/>
        </w:rPr>
        <w:t xml:space="preserve"> høring af parter over faktum og udkast til konklusion i tilsynssager</w:t>
      </w:r>
      <w:r>
        <w:rPr>
          <w:rFonts w:ascii="Times New Roman" w:hAnsi="Times New Roman" w:cs="Times New Roman"/>
          <w:sz w:val="24"/>
          <w:szCs w:val="24"/>
        </w:rPr>
        <w:t>, såfremt de konstaterede forhold kan medføre en reaktion</w:t>
      </w:r>
      <w:r w:rsidRPr="00D253F0">
        <w:rPr>
          <w:rFonts w:ascii="Times New Roman" w:hAnsi="Times New Roman" w:cs="Times New Roman"/>
          <w:sz w:val="24"/>
          <w:szCs w:val="24"/>
        </w:rPr>
        <w:t xml:space="preserve">. Dette vil også være forudsat efter den foreslåede ordning. </w:t>
      </w:r>
    </w:p>
    <w:p w14:paraId="30CBC4E9" w14:textId="77777777" w:rsidR="00B23930" w:rsidRPr="00796736" w:rsidRDefault="00B23930" w:rsidP="00A802A5">
      <w:pPr>
        <w:spacing w:line="360" w:lineRule="auto"/>
        <w:rPr>
          <w:rFonts w:ascii="Times New Roman" w:hAnsi="Times New Roman" w:cs="Times New Roman"/>
          <w:sz w:val="24"/>
          <w:szCs w:val="24"/>
        </w:rPr>
      </w:pPr>
    </w:p>
    <w:p w14:paraId="3607CD4D" w14:textId="65518A6D"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 øvrige af retssikkerhedslovens regler om fremgangsmåden ved gennemførelsen af tvangsindgreb vil dog finde anvendelse. Det foreslåede vil indebære, at de skriftlige begrundelseskrav i retssikkerhedslovens § 5, stk. 2, nr. 4, stk. 3, 2. pkt., og stk. 6, 2. pkt., samt kravet om, at en underretning om forestående tilsyn skal indeholde oplysninger om partens ret til at lade sig repræsentere, jf. § 5, stk. 2, nr. 2, efter henholdsvis forvaltningslovens §§ 24 og 8, ikke vil være krav, som Advokatrådet er underlagt i medfør af forvaltningsloven, men vil være underlagt som følge af, at retssikkerhedsloven finder tilsvarende anvendelse for Advokatrådets virksomhed. I øvrigt vil </w:t>
      </w:r>
      <w:r w:rsidRPr="00796736">
        <w:rPr>
          <w:rFonts w:ascii="Times New Roman" w:eastAsia="Times New Roman" w:hAnsi="Times New Roman" w:cs="Times New Roman"/>
          <w:iCs/>
          <w:sz w:val="24"/>
          <w:szCs w:val="24"/>
          <w:lang w:eastAsia="da-DK"/>
        </w:rPr>
        <w:t>Advokatrådet ved beslutninger om iværksættelse af tvangsindgreb skulle følge fremgangsmåden beskrevet i retssikkerhedslovens §§ 4-8. Det indebærer bl.a., at Advokatrådet forud for gennemførelsen af en beslutning om iværksættelse af et tvangsindgreb, som udgangspunkt skal underrette den berørte part om beslutningen, jf. § 5, medmindre en af undtagelserne i § 5, stk. 4, nr. 1-5, gør sig gældende, at tvangsindgrebet skal foretages så skånsomt, som omstændighederne tillader, jf. § 7, og at Advokatrådet skal udfærdige en rapport om udførelsen af tvangsindgrebet og udlevere rapporten til den berørte part snarest muligt, hvis Advokatrådet under gennemførelsen af indgrebet finder, at den berørte part har tilsidesat regler i lovgivningen mv., jf. § 8.</w:t>
      </w:r>
    </w:p>
    <w:p w14:paraId="16859E63" w14:textId="40348C0F" w:rsidR="00A16C19" w:rsidRPr="00796736" w:rsidRDefault="00A16C19" w:rsidP="00A802A5">
      <w:pPr>
        <w:spacing w:line="360" w:lineRule="auto"/>
        <w:rPr>
          <w:rFonts w:ascii="Times New Roman" w:hAnsi="Times New Roman" w:cs="Times New Roman"/>
          <w:sz w:val="24"/>
          <w:szCs w:val="24"/>
        </w:rPr>
      </w:pPr>
    </w:p>
    <w:p w14:paraId="6946462E"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så vidt angår oplysningspligterne i det foreslåede stk. 3 indebærer den foreslåede bestemmelse, at retssikkerhedslovens kapitel 4 finder anvendelse. Det indebærer efter retssikkerhedslovens § 10, stk. 1, 1. pkt., at Advokatrådet ikke kan pålægge en person, mod hvem der er rettet en konkret mistanke om, at vedkommende har begået en lovovertrædelse, der kan medføre straf, at afgive oplysninger. Det gælder dog ikke, hvis det kan udelukkes, at de oplysninger, som søges tilvejebragt, kan have betydning for bedømmelsen af den formodede lovovertrædelse, jf. 1. pkt. Udtrykket ”straf” i retssikkerhedslovens § 10 skal forstås i overensstemmelse med Den Europæiske Menneskerettighedskonventions artikel 6, jf. bemærkningerne til retssikkerhedsloven, jf. Folketingstidende 2003-04, tillæg A, side 3096 ff.</w:t>
      </w:r>
    </w:p>
    <w:p w14:paraId="4245853D" w14:textId="77777777" w:rsidR="00A16C19" w:rsidRPr="00796736" w:rsidRDefault="00A16C19" w:rsidP="00A802A5">
      <w:pPr>
        <w:spacing w:line="360" w:lineRule="auto"/>
        <w:rPr>
          <w:rFonts w:ascii="Times New Roman" w:hAnsi="Times New Roman" w:cs="Times New Roman"/>
          <w:sz w:val="24"/>
          <w:szCs w:val="24"/>
        </w:rPr>
      </w:pPr>
    </w:p>
    <w:p w14:paraId="3F9436B7" w14:textId="504EED43"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Retssikkerhedslovens § 2 indeholder et krav om nødvendighed, der for det første indebærer, at formålet bag den konkrete kontrolvirksomhed skal være af en vis tyngde, og at der således skal herske proportionalitet mellem formålet, som søges varetaget ved kontrolbesøget, og indgrebet. Det bemærkes i den forbindelse, at advokater mv., herunder deres erhvervslokaler, nyder en særlig beskyttelse. Dette indebærer, at kontrolmuligheden i medfør af den foreslåede bestemmelse i stk. 4 som udgangspunkt alene vil skulle anvendes, når Advokatrådet på risikobaseret grundlag har grund til at antage, at der ved den pågældende advokat mv. forekommer eller er en forhøjet risiko for</w:t>
      </w:r>
      <w:r w:rsidRPr="00796736">
        <w:rPr>
          <w:rFonts w:ascii="Times New Roman" w:eastAsia="Times New Roman" w:hAnsi="Times New Roman" w:cs="Times New Roman"/>
          <w:iCs/>
          <w:sz w:val="24"/>
          <w:szCs w:val="24"/>
          <w:lang w:eastAsia="da-DK"/>
        </w:rPr>
        <w:t xml:space="preserve"> egentlige overtrædelser af kravene efter loven, regler udstedt i medfør af loven eller hvidvaskforordningen, og når mindre indgribende foranstaltninger vurderes utilstrækkelige. Som anført ovenfor under bemærkningerne til de foreslåede stk. 4 vil det f.eks. være tilfældet, hvis et konkret tilsynsmæssigt behov tilsiger det på baggrund af f.eks. en indberetning, eller hvis den pågældende advokat mv. enten ikke vil fremlægge oplysninger efter påbud herom, ikke vil medvirke frivilligt eller på anden vis modvirker inspektionen.</w:t>
      </w:r>
    </w:p>
    <w:p w14:paraId="4C454784"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DD5EF49"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Kravet om nødvendighed og proportionalitet indebærer således, at Advokatrådet ikke vil kunne udføre kontrolbesøg omfattet af bestemmelsen, hvis formålet med kontrolbesøget kan imødekommes ved almindelig kommunikation, vejledning eller et påbud efter stk. 3. Advokatrådet vil således i almindelighed skulle have forsøgt sig med mindre indgribende midler, herunder rådgivning og henstillinger eller påbud om fremlæggelse af oplysninger efter stk. 3, førend der skrides til kontrolbesøg efter den foreslåede bestemmelse. </w:t>
      </w:r>
    </w:p>
    <w:p w14:paraId="765FA029" w14:textId="77777777" w:rsidR="00A16C19" w:rsidRPr="00796736" w:rsidRDefault="00A16C19" w:rsidP="00A802A5">
      <w:pPr>
        <w:spacing w:line="360" w:lineRule="auto"/>
        <w:rPr>
          <w:rFonts w:ascii="Times New Roman" w:hAnsi="Times New Roman" w:cs="Times New Roman"/>
          <w:sz w:val="24"/>
          <w:szCs w:val="24"/>
        </w:rPr>
      </w:pPr>
    </w:p>
    <w:p w14:paraId="4D9040C0" w14:textId="1C069C6A" w:rsidR="00A16C19" w:rsidRPr="00796736" w:rsidRDefault="00A16C19"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Endvidere vil det foreslåede stk. 6 indebære, at Advokatrådet ikke kan gennemføre et tvangsindgreb efter reglerne i retssikkerhedsloven, hvis vedkommende advokat eller advokatselskab m.v. med rimelig grund mistænkes for at have begået en strafbar lovovertrædelse, jf. § 9, stk. 1, i retssikkerhedsloven. I et sådant tilfælde vil tvangsindgrebet skulle gennemføres efter reglerne i retsplejeloven om strafferetsplejen, medmindre tvangsindgrebet gennemføres med henblik på at tilvejebringe oplysninger til brug for behandlingen af andre spørgsmål end fastsættelse af straf, jf. § 9, stk. 2, i retssikkerhedsloven. Advokatrådet vil således i medfør af den foreslåede ordning kunne foretage kontrolbesøg med henblik på at føre tilsyn med overholdelsen af hvidvaskreglerne, og vil på baggrund af et sådant kontrolbesøg kunne tage stilling til, om der er grundlag for disciplinærsanktioner mod advokaten efter retsplejelovens § 147 c. </w:t>
      </w:r>
    </w:p>
    <w:p w14:paraId="3210E955" w14:textId="77777777" w:rsidR="00A16C19" w:rsidRPr="00796736" w:rsidRDefault="00A16C19" w:rsidP="00A802A5">
      <w:pPr>
        <w:spacing w:line="360" w:lineRule="auto"/>
        <w:rPr>
          <w:rFonts w:ascii="Times New Roman" w:hAnsi="Times New Roman" w:cs="Times New Roman"/>
          <w:sz w:val="24"/>
          <w:szCs w:val="24"/>
        </w:rPr>
      </w:pPr>
    </w:p>
    <w:p w14:paraId="4DD424B7"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E915B38" w14:textId="6EBC74FB" w:rsidR="00A16C19" w:rsidRPr="00796736" w:rsidRDefault="00A16C19" w:rsidP="00A802A5">
      <w:pPr>
        <w:pStyle w:val="Undertitel"/>
      </w:pPr>
      <w:bookmarkStart w:id="2151" w:name="_Toc232109426"/>
      <w:bookmarkStart w:id="2152" w:name="_Toc244879394"/>
      <w:bookmarkStart w:id="2153" w:name="_Toc244880919"/>
      <w:r w:rsidRPr="00796736">
        <w:t xml:space="preserve">Til </w:t>
      </w:r>
      <w:bookmarkEnd w:id="2151"/>
      <w:r w:rsidR="00065BBB" w:rsidRPr="00796736">
        <w:fldChar w:fldCharType="begin"/>
      </w:r>
      <w:r w:rsidR="00065BBB" w:rsidRPr="00796736">
        <w:instrText xml:space="preserve"> REF _Ref239435286 \r \h </w:instrText>
      </w:r>
      <w:r w:rsidR="001A2696" w:rsidRPr="00796736">
        <w:instrText xml:space="preserve"> \* MERGEFORMAT </w:instrText>
      </w:r>
      <w:r w:rsidR="00065BBB" w:rsidRPr="00796736">
        <w:fldChar w:fldCharType="separate"/>
      </w:r>
      <w:r w:rsidR="008F29E5">
        <w:t>§ 98</w:t>
      </w:r>
      <w:bookmarkEnd w:id="2152"/>
      <w:bookmarkEnd w:id="2153"/>
      <w:r w:rsidR="00065BBB" w:rsidRPr="00796736">
        <w:fldChar w:fldCharType="end"/>
      </w:r>
    </w:p>
    <w:p w14:paraId="09654BEA" w14:textId="7BB593B2" w:rsidR="00A16C19" w:rsidRPr="00796736" w:rsidRDefault="00A16C19"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Hvidvaskloven indeholder i dag ikke bestemmelser om Advokatrådets forpligtelse til som tilsynsmyndighed at fremlægge oplysninger for advokater og advokatselskaber som led i sit tilsyn. </w:t>
      </w:r>
      <w:r w:rsidR="00B23930" w:rsidRPr="00796736">
        <w:rPr>
          <w:rFonts w:ascii="Times New Roman" w:hAnsi="Times New Roman" w:cs="Times New Roman"/>
          <w:sz w:val="24"/>
          <w:szCs w:val="24"/>
          <w:lang w:eastAsia="da-DK"/>
        </w:rPr>
        <w:t>Advokatrådet bidrager dog allerede i dag til generel oplysning på hvidvaskområdet for advokater, herunder om reglernes betydning for dem.</w:t>
      </w:r>
    </w:p>
    <w:p w14:paraId="0E1DF7F3" w14:textId="77777777" w:rsidR="00A16C19" w:rsidRPr="00796736" w:rsidRDefault="00A16C19" w:rsidP="00A802A5">
      <w:pPr>
        <w:spacing w:line="360" w:lineRule="auto"/>
        <w:rPr>
          <w:rFonts w:ascii="Times New Roman" w:hAnsi="Times New Roman" w:cs="Times New Roman"/>
          <w:sz w:val="24"/>
          <w:szCs w:val="24"/>
          <w:lang w:eastAsia="da-DK"/>
        </w:rPr>
      </w:pPr>
    </w:p>
    <w:p w14:paraId="2EBDD1A3" w14:textId="1ECF6BA5"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lang w:eastAsia="da-DK"/>
        </w:rPr>
        <w:t>Det foreslås i</w:t>
      </w:r>
      <w:r w:rsidR="00065BBB" w:rsidRPr="00796736">
        <w:rPr>
          <w:rFonts w:ascii="Times New Roman" w:hAnsi="Times New Roman" w:cs="Times New Roman"/>
          <w:sz w:val="24"/>
          <w:szCs w:val="24"/>
          <w:lang w:eastAsia="da-DK"/>
        </w:rPr>
        <w:t xml:space="preserve"> </w:t>
      </w:r>
      <w:r w:rsidR="00065BBB" w:rsidRPr="00796736">
        <w:rPr>
          <w:rFonts w:ascii="Times New Roman" w:hAnsi="Times New Roman" w:cs="Times New Roman"/>
          <w:i/>
          <w:iCs/>
          <w:sz w:val="24"/>
          <w:szCs w:val="24"/>
        </w:rPr>
        <w:fldChar w:fldCharType="begin"/>
      </w:r>
      <w:r w:rsidR="00065BBB" w:rsidRPr="00796736">
        <w:rPr>
          <w:rFonts w:ascii="Times New Roman" w:hAnsi="Times New Roman" w:cs="Times New Roman"/>
          <w:sz w:val="24"/>
          <w:szCs w:val="24"/>
          <w:lang w:eastAsia="da-DK"/>
        </w:rPr>
        <w:instrText xml:space="preserve"> REF _Ref239435286 \r \h </w:instrText>
      </w:r>
      <w:r w:rsidR="001A2696" w:rsidRPr="00796736">
        <w:rPr>
          <w:rFonts w:ascii="Times New Roman" w:hAnsi="Times New Roman" w:cs="Times New Roman"/>
          <w:i/>
          <w:iCs/>
          <w:sz w:val="24"/>
          <w:szCs w:val="24"/>
        </w:rPr>
        <w:instrText xml:space="preserve"> \* MERGEFORMAT </w:instrText>
      </w:r>
      <w:r w:rsidR="00065BBB" w:rsidRPr="00796736">
        <w:rPr>
          <w:rFonts w:ascii="Times New Roman" w:hAnsi="Times New Roman" w:cs="Times New Roman"/>
          <w:i/>
          <w:iCs/>
          <w:sz w:val="24"/>
          <w:szCs w:val="24"/>
        </w:rPr>
      </w:r>
      <w:r w:rsidR="00065BBB" w:rsidRPr="00796736">
        <w:rPr>
          <w:rFonts w:ascii="Times New Roman" w:hAnsi="Times New Roman" w:cs="Times New Roman"/>
          <w:i/>
          <w:iCs/>
          <w:sz w:val="24"/>
          <w:szCs w:val="24"/>
        </w:rPr>
        <w:fldChar w:fldCharType="separate"/>
      </w:r>
      <w:r w:rsidR="008F29E5">
        <w:rPr>
          <w:rFonts w:ascii="Times New Roman" w:hAnsi="Times New Roman" w:cs="Times New Roman"/>
          <w:sz w:val="24"/>
          <w:szCs w:val="24"/>
          <w:lang w:eastAsia="da-DK"/>
        </w:rPr>
        <w:t>§ 98</w:t>
      </w:r>
      <w:r w:rsidR="00065BBB"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lang w:eastAsia="da-DK"/>
        </w:rPr>
        <w:t xml:space="preserve">, stk. 1, 1. pkt., </w:t>
      </w:r>
      <w:r w:rsidR="00B23930" w:rsidRPr="00796736">
        <w:rPr>
          <w:rFonts w:ascii="Times New Roman" w:hAnsi="Times New Roman" w:cs="Times New Roman"/>
          <w:sz w:val="24"/>
          <w:szCs w:val="24"/>
          <w:lang w:eastAsia="da-DK"/>
        </w:rPr>
        <w:t xml:space="preserve">at </w:t>
      </w:r>
      <w:r w:rsidR="00B23930" w:rsidRPr="00796736">
        <w:rPr>
          <w:rFonts w:ascii="Times New Roman" w:eastAsia="Times New Roman" w:hAnsi="Times New Roman" w:cs="Times New Roman"/>
          <w:iCs/>
          <w:sz w:val="24"/>
          <w:szCs w:val="24"/>
          <w:lang w:eastAsia="da-DK"/>
        </w:rPr>
        <w:t xml:space="preserve">Advokatrådet </w:t>
      </w:r>
      <w:r w:rsidR="00B23930" w:rsidRPr="00796736">
        <w:rPr>
          <w:rFonts w:ascii="Times New Roman" w:hAnsi="Times New Roman" w:cs="Times New Roman"/>
          <w:sz w:val="24"/>
          <w:szCs w:val="24"/>
          <w:lang w:eastAsia="da-DK"/>
        </w:rPr>
        <w:t>stiller oplysninger om hvidvask af penge og finansiering af terrorisme, herunder risikovurderinger, retningslinjer og rapporter m.v., til rådighed for advokater under sit tilsyn.</w:t>
      </w:r>
    </w:p>
    <w:p w14:paraId="43202212" w14:textId="77777777" w:rsidR="00A16C19" w:rsidRPr="00796736" w:rsidRDefault="00A16C19" w:rsidP="00A802A5">
      <w:pPr>
        <w:spacing w:line="360" w:lineRule="auto"/>
        <w:rPr>
          <w:rFonts w:ascii="Times New Roman" w:hAnsi="Times New Roman" w:cs="Times New Roman"/>
          <w:sz w:val="24"/>
          <w:szCs w:val="24"/>
          <w:lang w:eastAsia="da-DK"/>
        </w:rPr>
      </w:pPr>
    </w:p>
    <w:p w14:paraId="5DE9545C"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indebærer, at Advokatrådet skal stille en række oplysninger om hvidvask af penge og finansiering af terrorisme, herunder risikovurderinger, retningslinjer og rapport mv., til rådighed for advokater under deres tilsyn. Advokatrådets forpligtelse består overordnet i at stille relevante og tilgængelige oplysninger til rådighed for advokatbranchen. </w:t>
      </w:r>
    </w:p>
    <w:p w14:paraId="0AFA7C1C"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4677FF36" w14:textId="2DFF9392"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Oplysningspligten vil bl.a. omfatte oplysninger om den risikovurdering på EU-plan, som Europa-Kommissionen foretager i henhold til hvidvaskdirektivets artikel 7, og relevante henstillinger fra Kommissionen i medfør af denne artikel og de nationale eller sektorspecifikke risikovurderinger udarbejdet i medfør af </w:t>
      </w:r>
      <w:r w:rsidR="001A545D" w:rsidRPr="00796736">
        <w:rPr>
          <w:rFonts w:ascii="Times New Roman" w:eastAsia="Times New Roman" w:hAnsi="Times New Roman" w:cs="Times New Roman"/>
          <w:iCs/>
          <w:sz w:val="24"/>
          <w:szCs w:val="24"/>
          <w:lang w:eastAsia="da-DK"/>
        </w:rPr>
        <w:fldChar w:fldCharType="begin"/>
      </w:r>
      <w:r w:rsidR="001A545D" w:rsidRPr="00796736">
        <w:rPr>
          <w:rFonts w:ascii="Times New Roman" w:eastAsia="Times New Roman" w:hAnsi="Times New Roman" w:cs="Times New Roman"/>
          <w:iCs/>
          <w:sz w:val="24"/>
          <w:szCs w:val="24"/>
          <w:lang w:eastAsia="da-DK"/>
        </w:rPr>
        <w:instrText xml:space="preserve"> REF _Ref232596210 \r \h </w:instrText>
      </w:r>
      <w:r w:rsidR="002C5834" w:rsidRPr="00796736">
        <w:rPr>
          <w:rFonts w:ascii="Times New Roman" w:eastAsia="Times New Roman" w:hAnsi="Times New Roman" w:cs="Times New Roman"/>
          <w:iCs/>
          <w:sz w:val="24"/>
          <w:szCs w:val="24"/>
          <w:lang w:eastAsia="da-DK"/>
        </w:rPr>
        <w:instrText xml:space="preserve"> \* MERGEFORMAT </w:instrText>
      </w:r>
      <w:r w:rsidR="001A545D" w:rsidRPr="00796736">
        <w:rPr>
          <w:rFonts w:ascii="Times New Roman" w:eastAsia="Times New Roman" w:hAnsi="Times New Roman" w:cs="Times New Roman"/>
          <w:iCs/>
          <w:sz w:val="24"/>
          <w:szCs w:val="24"/>
          <w:lang w:eastAsia="da-DK"/>
        </w:rPr>
      </w:r>
      <w:r w:rsidR="001A545D"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31</w:t>
      </w:r>
      <w:r w:rsidR="001A545D" w:rsidRPr="00796736">
        <w:rPr>
          <w:rFonts w:ascii="Times New Roman" w:eastAsia="Times New Roman" w:hAnsi="Times New Roman" w:cs="Times New Roman"/>
          <w:iCs/>
          <w:sz w:val="24"/>
          <w:szCs w:val="24"/>
          <w:lang w:eastAsia="da-DK"/>
        </w:rPr>
        <w:fldChar w:fldCharType="end"/>
      </w:r>
      <w:r w:rsidR="001A545D" w:rsidRPr="00796736">
        <w:rPr>
          <w:rFonts w:ascii="Times New Roman" w:eastAsia="Times New Roman" w:hAnsi="Times New Roman" w:cs="Times New Roman"/>
          <w:iCs/>
          <w:sz w:val="24"/>
          <w:szCs w:val="24"/>
          <w:lang w:eastAsia="da-DK"/>
        </w:rPr>
        <w:t>.</w:t>
      </w:r>
    </w:p>
    <w:p w14:paraId="04868793"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80BB46C"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Oplysningspligten vil også omfatte relevante retningslinjer, henstillinger og udtalelser udstedt af AMLA i medfør af AMLA-forordningens artikel 54 og 55 og oplysninger om tredjelande identificeret i henhold til hvidvaskforordningens kapitel II, afdeling 2. </w:t>
      </w:r>
    </w:p>
    <w:p w14:paraId="3415588B"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9144282" w14:textId="77777777" w:rsidR="00C53769" w:rsidRPr="00796736" w:rsidRDefault="00C53769" w:rsidP="00C53769">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Derudover omfatter oplysningspligten de </w:t>
      </w:r>
      <w:r w:rsidRPr="00796736">
        <w:rPr>
          <w:rFonts w:ascii="Times New Roman" w:hAnsi="Times New Roman" w:cs="Times New Roman"/>
          <w:sz w:val="24"/>
          <w:szCs w:val="24"/>
        </w:rPr>
        <w:t xml:space="preserve">retningslinjer og rapporter, der er udarbejdet af AMLA, andre tilsynsorganer og, hvor det er relevant, </w:t>
      </w:r>
      <w:r>
        <w:rPr>
          <w:rFonts w:ascii="Times New Roman" w:hAnsi="Times New Roman" w:cs="Times New Roman"/>
          <w:sz w:val="24"/>
          <w:szCs w:val="24"/>
        </w:rPr>
        <w:t>Hvidvaskenheden</w:t>
      </w:r>
      <w:r w:rsidRPr="00796736">
        <w:rPr>
          <w:rFonts w:ascii="Times New Roman" w:hAnsi="Times New Roman" w:cs="Times New Roman"/>
          <w:sz w:val="24"/>
          <w:szCs w:val="24"/>
        </w:rPr>
        <w:t xml:space="preserve"> som tilsynsmyndighed for Advokatrådet, Hvidvasksekretariatet eller en anden kompetent myndighed eller internationale organisationer og standardsættere, vedrørende metoder til hvidvask af penge og finansiering af terrorisme, som måtte gælde for en sektor, og angivelser, der kan lette identifikationen af transaktioner eller aktiviteter, der risikerer at være forbundet med hvidvask af penge og finansiering af terrorisme i den pågældende sektor, samt retningslinjer om advokater og advokatvirksomheders forpligtelser i forbindelse med målrettede finansielle sanktioner.</w:t>
      </w:r>
    </w:p>
    <w:p w14:paraId="44FDE1C0" w14:textId="77777777" w:rsidR="00A16C19" w:rsidRPr="00796736" w:rsidRDefault="00A16C19" w:rsidP="00A802A5">
      <w:pPr>
        <w:spacing w:line="360" w:lineRule="auto"/>
        <w:rPr>
          <w:rFonts w:ascii="Times New Roman" w:hAnsi="Times New Roman" w:cs="Times New Roman"/>
          <w:sz w:val="24"/>
          <w:szCs w:val="24"/>
        </w:rPr>
      </w:pPr>
    </w:p>
    <w:p w14:paraId="5ACA5D69"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gennemfører hvidvaskdirektivets artikel 39, stk. 1 og 2. </w:t>
      </w:r>
    </w:p>
    <w:p w14:paraId="206E7D1B" w14:textId="77777777" w:rsidR="00A16C19" w:rsidRPr="00796736" w:rsidRDefault="00A16C19" w:rsidP="00A802A5">
      <w:pPr>
        <w:spacing w:line="360" w:lineRule="auto"/>
        <w:rPr>
          <w:rFonts w:ascii="Times New Roman" w:hAnsi="Times New Roman" w:cs="Times New Roman"/>
          <w:sz w:val="24"/>
          <w:szCs w:val="24"/>
        </w:rPr>
      </w:pPr>
    </w:p>
    <w:p w14:paraId="49C2473B" w14:textId="6EC4A25F"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1, 2. pkt.,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Advokatrådet omgående stiller oplysninger om personer eller enheder, der er udpeget i forbindelse med målrettede finansielle sanktioner eller FN’s finansielle sanktioner, til rådighed for advokater, deres autoriserede fuldmægtige, fællesskaber af advokater og advokatselskaber under</w:t>
      </w:r>
      <w:r w:rsidR="00B23930" w:rsidRPr="00796736">
        <w:rPr>
          <w:rFonts w:ascii="Times New Roman" w:eastAsia="Times New Roman" w:hAnsi="Times New Roman" w:cs="Times New Roman"/>
          <w:iCs/>
          <w:sz w:val="24"/>
          <w:szCs w:val="24"/>
          <w:lang w:eastAsia="da-DK"/>
        </w:rPr>
        <w:t xml:space="preserve"> sit</w:t>
      </w:r>
      <w:r w:rsidRPr="00796736">
        <w:rPr>
          <w:rFonts w:ascii="Times New Roman" w:eastAsia="Times New Roman" w:hAnsi="Times New Roman" w:cs="Times New Roman"/>
          <w:iCs/>
          <w:sz w:val="24"/>
          <w:szCs w:val="24"/>
          <w:lang w:eastAsia="da-DK"/>
        </w:rPr>
        <w:t xml:space="preserve"> tilsyn. </w:t>
      </w:r>
    </w:p>
    <w:p w14:paraId="3D3374C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153F7D6"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at Advokatrådet omgående vil skulle stille oplysninger om personer eller enheder, der er udpeget i forbindelse med målrettede finansielle sanktioner eller FN’s finansielle sanktioner til rådighed for advokater og advokatselskaber under deres tilsyn. Forpligtelsen til ”omgående” at stille de pågældende oplysninger til rådighed indebærer ikke, at Advokatrådet etablerer og løbende vedligeholder en selvstændig sanktionsliste, men at rådet på en risikobaseret basis sørger for hurtigt at videreformidle information herom på baggrund af de autoritative sanktionslister eller sørger for at henvise hertil. </w:t>
      </w:r>
    </w:p>
    <w:p w14:paraId="68B970C4" w14:textId="77777777" w:rsidR="00A16C19" w:rsidRPr="00796736" w:rsidRDefault="00A16C19" w:rsidP="00A802A5">
      <w:pPr>
        <w:spacing w:line="360" w:lineRule="auto"/>
        <w:rPr>
          <w:rFonts w:ascii="Times New Roman" w:hAnsi="Times New Roman" w:cs="Times New Roman"/>
          <w:sz w:val="24"/>
          <w:szCs w:val="24"/>
        </w:rPr>
      </w:pPr>
    </w:p>
    <w:p w14:paraId="10D457F0"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stk. 2,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 xml:space="preserve">Advokatrådet informerer advokater om deres forpligtelser, herunder gennem offentlige kampagneaktiviteter i det omfang det er hensigtsmæssigt.  </w:t>
      </w:r>
    </w:p>
    <w:p w14:paraId="734BACD1" w14:textId="77777777" w:rsidR="00A16C19" w:rsidRPr="00796736" w:rsidRDefault="00A16C19" w:rsidP="00A802A5">
      <w:pPr>
        <w:spacing w:line="360" w:lineRule="auto"/>
        <w:ind w:firstLine="238"/>
        <w:rPr>
          <w:rFonts w:ascii="Times New Roman" w:eastAsia="Times New Roman" w:hAnsi="Times New Roman" w:cs="Times New Roman"/>
          <w:iCs/>
          <w:sz w:val="24"/>
          <w:szCs w:val="24"/>
          <w:lang w:eastAsia="da-DK"/>
        </w:rPr>
      </w:pPr>
    </w:p>
    <w:p w14:paraId="3931B10F"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indebære, at Advokatrådet, i det omfang, det er hensigtsmæssigt, skal udføre offentlige kampagneaktiviteter eller outreachaktiviteter for at informere advokater og advokatselskaber, som Advokatrådet fører tilsyn med, om deres forpligtelser. </w:t>
      </w:r>
    </w:p>
    <w:p w14:paraId="42624BEA" w14:textId="77777777" w:rsidR="00A16C19" w:rsidRPr="00796736" w:rsidRDefault="00A16C19" w:rsidP="00A802A5">
      <w:pPr>
        <w:spacing w:line="360" w:lineRule="auto"/>
        <w:rPr>
          <w:rFonts w:ascii="Times New Roman" w:hAnsi="Times New Roman" w:cs="Times New Roman"/>
          <w:sz w:val="24"/>
          <w:szCs w:val="24"/>
        </w:rPr>
      </w:pPr>
    </w:p>
    <w:p w14:paraId="50072414" w14:textId="77777777" w:rsidR="00A16C19" w:rsidRPr="00796736" w:rsidRDefault="00A16C1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skal ses i sammenhæng med stk. 1, idet outreachaktiviteterne også vil omfatte formidling af udpegning under målrettede finansielle sanktioner og FN's finansielle sanktioner, som bør ske omgående, når sådan udpegning har fundet sted, således at advokatsektoren er i stand til at overholde deres forpligtelser. </w:t>
      </w:r>
    </w:p>
    <w:p w14:paraId="3CFFE576" w14:textId="77777777" w:rsidR="00A16C19" w:rsidRPr="00796736" w:rsidRDefault="00A16C1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Da advokater og advokatselskabers gennemførelse af kravene til bekæmpelse af hvidvask af penge og finansiering af terrorisme indebærer behandling af personoplysninger, er det vigtigt, at Advokatrådet er opmærksomt på vejledninger og andre publikationer, der udsendes af databeskyttelsesmyndighederne, enten på nationalt plan eller på EU-plan gennem Det Europæiske Databeskyttelsesråd, og at de i relevant omfang medtager disse oplysninger i deres formidling til advokaterne og advokatselskaberne under deres tilsyn.</w:t>
      </w:r>
    </w:p>
    <w:p w14:paraId="73384F32" w14:textId="77777777" w:rsidR="00B23930" w:rsidRPr="00796736" w:rsidRDefault="00B23930"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være op til Advokatrådet, hvordan den nærmere tilrettelæggelse af outreachaktiviteterne tilrettelægges, men den vil kunne tilrettelægges målrettet, eksempelvis gennem offentliggørelse på Advokatsamfundets hjemmeside, nyheder, faglige orienteringer eller artikler, dialogmøder, kurser, webinarer eller direkte kommunikation til de omfattede virksomheder og personer. </w:t>
      </w:r>
    </w:p>
    <w:p w14:paraId="13BDCB98" w14:textId="77777777" w:rsidR="00B23930" w:rsidRPr="00796736" w:rsidRDefault="00B23930" w:rsidP="00A802A5">
      <w:pPr>
        <w:spacing w:after="240" w:line="360" w:lineRule="auto"/>
        <w:rPr>
          <w:rFonts w:ascii="Times New Roman" w:hAnsi="Times New Roman" w:cs="Times New Roman"/>
          <w:sz w:val="24"/>
          <w:szCs w:val="24"/>
        </w:rPr>
      </w:pPr>
    </w:p>
    <w:p w14:paraId="48434D93" w14:textId="640B3A84" w:rsidR="00A16C19"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gennemfører hvidvaskdirektivets artikel 39, stk. 4. </w:t>
      </w:r>
    </w:p>
    <w:p w14:paraId="3655CB89" w14:textId="77777777" w:rsidR="00277AAC" w:rsidRDefault="00277AAC" w:rsidP="00277AAC">
      <w:pPr>
        <w:spacing w:line="360" w:lineRule="auto"/>
        <w:rPr>
          <w:rFonts w:ascii="Times New Roman" w:hAnsi="Times New Roman" w:cs="Times New Roman"/>
          <w:sz w:val="24"/>
          <w:szCs w:val="24"/>
        </w:rPr>
      </w:pPr>
    </w:p>
    <w:p w14:paraId="14D2C7AD" w14:textId="15D3865B" w:rsidR="00277AAC" w:rsidRDefault="00277AAC" w:rsidP="00277AAC">
      <w:pPr>
        <w:spacing w:line="360" w:lineRule="auto"/>
        <w:rPr>
          <w:rFonts w:ascii="Times New Roman" w:hAnsi="Times New Roman" w:cs="Times New Roman"/>
          <w:sz w:val="24"/>
          <w:szCs w:val="24"/>
        </w:rPr>
      </w:pPr>
      <w:r>
        <w:rPr>
          <w:rFonts w:ascii="Times New Roman" w:hAnsi="Times New Roman" w:cs="Times New Roman"/>
          <w:sz w:val="24"/>
          <w:szCs w:val="24"/>
        </w:rPr>
        <w:t xml:space="preserve">Det foreslås i </w:t>
      </w:r>
      <w:r>
        <w:rPr>
          <w:rFonts w:ascii="Times New Roman" w:hAnsi="Times New Roman" w:cs="Times New Roman"/>
          <w:i/>
          <w:iCs/>
          <w:sz w:val="24"/>
          <w:szCs w:val="24"/>
        </w:rPr>
        <w:t xml:space="preserve">stk. 3, </w:t>
      </w:r>
      <w:r>
        <w:rPr>
          <w:rFonts w:ascii="Times New Roman" w:hAnsi="Times New Roman" w:cs="Times New Roman"/>
          <w:sz w:val="24"/>
          <w:szCs w:val="24"/>
        </w:rPr>
        <w:t xml:space="preserve">at Advokatrådet underretter Hvidvasksekretariatet om listen over etableringssteder, hvorfra der drives advokatvirksomhed her i landet, eventuelle relevante konstateringer, der tyder på alvorlige svagheder i advokaternes indberetningssystemer og resultaterne af de risikovurderinger, der er foretaget i henhold til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_Ref232609193 \r \h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Pr>
          <w:rFonts w:ascii="Times New Roman" w:eastAsia="Times New Roman" w:hAnsi="Times New Roman" w:cs="Times New Roman"/>
          <w:iCs/>
          <w:sz w:val="24"/>
          <w:szCs w:val="24"/>
          <w:lang w:eastAsia="da-DK"/>
        </w:rPr>
        <w:fldChar w:fldCharType="end"/>
      </w:r>
      <w:r>
        <w:rPr>
          <w:rFonts w:ascii="Times New Roman" w:hAnsi="Times New Roman" w:cs="Times New Roman"/>
          <w:sz w:val="24"/>
          <w:szCs w:val="24"/>
        </w:rPr>
        <w:t>, stk. 1, i sammenfattet form.</w:t>
      </w:r>
    </w:p>
    <w:p w14:paraId="2660A9EC" w14:textId="77777777" w:rsidR="00277AAC" w:rsidRDefault="00277AAC" w:rsidP="00277AAC">
      <w:pPr>
        <w:spacing w:line="360" w:lineRule="auto"/>
        <w:rPr>
          <w:rFonts w:ascii="Times New Roman" w:hAnsi="Times New Roman" w:cs="Times New Roman"/>
          <w:sz w:val="24"/>
          <w:szCs w:val="24"/>
        </w:rPr>
      </w:pPr>
    </w:p>
    <w:p w14:paraId="22FA2473" w14:textId="4D6BE049" w:rsidR="00277AAC" w:rsidRDefault="00277AAC" w:rsidP="00277AAC">
      <w:pPr>
        <w:spacing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 xml:space="preserve">Det foreslåede indebærer, at Advokatrådet – indenfor rammerne af den særlige tavshedspligt, der gælder for advokater, hvidvaskforordningens artikel 70 og den foreslåede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_Ref232609412 \r \h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111</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1 – underretter Hvidvasksekretariatet over listen over etableringssteder, hvorfra der drives grænseoverskridende advokatvirksomhed her i landet, eventuelle relevante eventuelle relevante konstateringer, der tyder på alvorlige svagheder i advokaternes indberetningssystemer og resultaterne af de risikovurderinger, der er foretaget i henhold til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_Ref232609193 \r \h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1, i sammenfattet form. </w:t>
      </w:r>
    </w:p>
    <w:p w14:paraId="71C4FB5A" w14:textId="77777777" w:rsidR="00277AAC" w:rsidRDefault="00277AAC" w:rsidP="00277AAC">
      <w:pPr>
        <w:spacing w:line="360" w:lineRule="auto"/>
        <w:rPr>
          <w:rFonts w:ascii="Times New Roman" w:eastAsia="Times New Roman" w:hAnsi="Times New Roman" w:cs="Times New Roman"/>
          <w:iCs/>
          <w:sz w:val="24"/>
          <w:szCs w:val="24"/>
          <w:lang w:eastAsia="da-DK"/>
        </w:rPr>
      </w:pPr>
    </w:p>
    <w:p w14:paraId="656AA648" w14:textId="0CAA066B" w:rsidR="00277AAC" w:rsidRDefault="00277AAC" w:rsidP="00277AAC">
      <w:pPr>
        <w:spacing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 xml:space="preserve">Med den foreslåede bestemmelse gennemføres 6. hvidvaskdirektivs artikel 43 for Advokatrådets vedkommende. </w:t>
      </w:r>
    </w:p>
    <w:p w14:paraId="6A7C363A" w14:textId="77777777" w:rsidR="00277AAC" w:rsidRPr="00796736" w:rsidRDefault="00277AAC" w:rsidP="00A802A5">
      <w:pPr>
        <w:spacing w:line="360" w:lineRule="auto"/>
        <w:rPr>
          <w:rFonts w:ascii="Times New Roman" w:hAnsi="Times New Roman" w:cs="Times New Roman"/>
          <w:sz w:val="24"/>
          <w:szCs w:val="24"/>
        </w:rPr>
      </w:pPr>
    </w:p>
    <w:p w14:paraId="5903DF56" w14:textId="77777777" w:rsidR="00A16C19" w:rsidRPr="00796736" w:rsidRDefault="00A16C19" w:rsidP="00A802A5">
      <w:pPr>
        <w:spacing w:line="360" w:lineRule="auto"/>
        <w:rPr>
          <w:rFonts w:ascii="Times New Roman" w:hAnsi="Times New Roman" w:cs="Times New Roman"/>
          <w:sz w:val="24"/>
          <w:szCs w:val="24"/>
        </w:rPr>
      </w:pPr>
    </w:p>
    <w:p w14:paraId="049BC568" w14:textId="08E4DC10" w:rsidR="00A16C19" w:rsidRPr="00796736" w:rsidRDefault="00A16C19" w:rsidP="00A802A5">
      <w:pPr>
        <w:pStyle w:val="Undertitel"/>
      </w:pPr>
      <w:bookmarkStart w:id="2154" w:name="_Toc232109427"/>
      <w:bookmarkStart w:id="2155" w:name="_Toc244879395"/>
      <w:bookmarkStart w:id="2156" w:name="_Toc244880920"/>
      <w:r w:rsidRPr="00796736">
        <w:t xml:space="preserve">Til </w:t>
      </w:r>
      <w:bookmarkEnd w:id="2154"/>
      <w:r w:rsidR="00C86CFF" w:rsidRPr="00796736">
        <w:fldChar w:fldCharType="begin"/>
      </w:r>
      <w:r w:rsidR="00C86CFF" w:rsidRPr="00796736">
        <w:instrText xml:space="preserve"> REF _Ref232609241 \r \h </w:instrText>
      </w:r>
      <w:r w:rsidR="00967618" w:rsidRPr="00796736">
        <w:instrText xml:space="preserve"> \* MERGEFORMAT </w:instrText>
      </w:r>
      <w:r w:rsidR="00C86CFF" w:rsidRPr="00796736">
        <w:fldChar w:fldCharType="separate"/>
      </w:r>
      <w:r w:rsidR="008F29E5">
        <w:t>§ 99</w:t>
      </w:r>
      <w:bookmarkEnd w:id="2155"/>
      <w:bookmarkEnd w:id="2156"/>
      <w:r w:rsidR="00C86CFF" w:rsidRPr="00796736">
        <w:fldChar w:fldCharType="end"/>
      </w:r>
    </w:p>
    <w:p w14:paraId="66F0CE1E" w14:textId="77777777" w:rsidR="00A16C19" w:rsidRPr="00796736" w:rsidRDefault="00A16C19" w:rsidP="00A802A5">
      <w:pPr>
        <w:spacing w:line="360" w:lineRule="auto"/>
        <w:rPr>
          <w:rFonts w:ascii="Times New Roman" w:hAnsi="Times New Roman" w:cs="Times New Roman"/>
          <w:sz w:val="24"/>
          <w:szCs w:val="24"/>
        </w:rPr>
      </w:pPr>
    </w:p>
    <w:p w14:paraId="3F203C99"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Hvidvasklovens § 64, stk. 3-5, indeholder en række regler om Advokatrådets samarbejde med andre landes kompetente myndigheder og om tilsynsmyndigheder i EU- og EØS-landes muligheder for at foretage inspektioner mv. her i landet samt om rådets muligheder for at anmode kompetente myndigheder i udlandet om at medvirke til at påse overholdelsen af reglerne på hvidvaskområdet.</w:t>
      </w:r>
    </w:p>
    <w:p w14:paraId="52C1A268" w14:textId="77777777" w:rsidR="00A16C19" w:rsidRPr="00796736" w:rsidRDefault="00A16C19" w:rsidP="00A802A5">
      <w:pPr>
        <w:spacing w:line="360" w:lineRule="auto"/>
        <w:rPr>
          <w:rFonts w:ascii="Times New Roman" w:hAnsi="Times New Roman" w:cs="Times New Roman"/>
          <w:sz w:val="24"/>
          <w:szCs w:val="24"/>
        </w:rPr>
      </w:pPr>
    </w:p>
    <w:p w14:paraId="69804E0A" w14:textId="44247105"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gældende ret henvises til pkt. </w:t>
      </w:r>
      <w:r w:rsidR="008329A5" w:rsidRPr="00796736">
        <w:rPr>
          <w:rFonts w:ascii="Times New Roman" w:hAnsi="Times New Roman" w:cs="Times New Roman"/>
          <w:sz w:val="24"/>
          <w:szCs w:val="24"/>
        </w:rPr>
        <w:fldChar w:fldCharType="begin"/>
      </w:r>
      <w:r w:rsidR="008329A5" w:rsidRPr="00796736">
        <w:rPr>
          <w:rFonts w:ascii="Times New Roman" w:hAnsi="Times New Roman" w:cs="Times New Roman"/>
          <w:sz w:val="24"/>
          <w:szCs w:val="24"/>
        </w:rPr>
        <w:instrText xml:space="preserve"> REF _Ref232967869 \n \h </w:instrText>
      </w:r>
      <w:r w:rsidR="00967618" w:rsidRPr="00796736">
        <w:rPr>
          <w:rFonts w:ascii="Times New Roman" w:hAnsi="Times New Roman" w:cs="Times New Roman"/>
          <w:sz w:val="24"/>
          <w:szCs w:val="24"/>
        </w:rPr>
        <w:instrText xml:space="preserve"> \* MERGEFORMAT </w:instrText>
      </w:r>
      <w:r w:rsidR="008329A5" w:rsidRPr="00796736">
        <w:rPr>
          <w:rFonts w:ascii="Times New Roman" w:hAnsi="Times New Roman" w:cs="Times New Roman"/>
          <w:sz w:val="24"/>
          <w:szCs w:val="24"/>
        </w:rPr>
      </w:r>
      <w:r w:rsidR="008329A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3.67.1</w:t>
      </w:r>
      <w:r w:rsidR="008329A5" w:rsidRPr="00796736">
        <w:rPr>
          <w:rFonts w:ascii="Times New Roman" w:hAnsi="Times New Roman" w:cs="Times New Roman"/>
          <w:sz w:val="24"/>
          <w:szCs w:val="24"/>
        </w:rPr>
        <w:fldChar w:fldCharType="end"/>
      </w:r>
      <w:r w:rsidR="008329A5"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 lovforslagets almindelige bemærkninger. </w:t>
      </w:r>
    </w:p>
    <w:p w14:paraId="7A3EC2CD" w14:textId="77777777" w:rsidR="00A16C19" w:rsidRPr="00796736" w:rsidRDefault="00A16C19" w:rsidP="00A802A5">
      <w:pPr>
        <w:spacing w:line="360" w:lineRule="auto"/>
        <w:rPr>
          <w:rFonts w:ascii="Times New Roman" w:hAnsi="Times New Roman" w:cs="Times New Roman"/>
          <w:sz w:val="24"/>
          <w:szCs w:val="24"/>
        </w:rPr>
      </w:pPr>
    </w:p>
    <w:p w14:paraId="54C42543" w14:textId="2A40D36E"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008329A5" w:rsidRPr="00796736">
        <w:rPr>
          <w:rFonts w:ascii="Times New Roman" w:hAnsi="Times New Roman" w:cs="Times New Roman"/>
          <w:i/>
          <w:iCs/>
          <w:sz w:val="24"/>
          <w:szCs w:val="24"/>
        </w:rPr>
        <w:fldChar w:fldCharType="begin"/>
      </w:r>
      <w:r w:rsidR="008329A5" w:rsidRPr="00796736">
        <w:rPr>
          <w:rFonts w:ascii="Times New Roman" w:hAnsi="Times New Roman" w:cs="Times New Roman"/>
          <w:i/>
          <w:iCs/>
          <w:sz w:val="24"/>
          <w:szCs w:val="24"/>
        </w:rPr>
        <w:instrText xml:space="preserve"> REF _Ref232609241 \r \h  \* MERGEFORMAT </w:instrText>
      </w:r>
      <w:r w:rsidR="008329A5" w:rsidRPr="00796736">
        <w:rPr>
          <w:rFonts w:ascii="Times New Roman" w:hAnsi="Times New Roman" w:cs="Times New Roman"/>
          <w:i/>
          <w:iCs/>
          <w:sz w:val="24"/>
          <w:szCs w:val="24"/>
        </w:rPr>
      </w:r>
      <w:r w:rsidR="008329A5"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99</w:t>
      </w:r>
      <w:r w:rsidR="008329A5" w:rsidRPr="00796736">
        <w:rPr>
          <w:rFonts w:ascii="Times New Roman" w:hAnsi="Times New Roman" w:cs="Times New Roman"/>
          <w:i/>
          <w:iCs/>
          <w:sz w:val="24"/>
          <w:szCs w:val="24"/>
        </w:rPr>
        <w:fldChar w:fldCharType="end"/>
      </w:r>
      <w:r w:rsidR="008329A5"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 xml:space="preserve">stk. 1, </w:t>
      </w:r>
      <w:r w:rsidR="00B23930" w:rsidRPr="00796736">
        <w:rPr>
          <w:rFonts w:ascii="Times New Roman" w:hAnsi="Times New Roman" w:cs="Times New Roman"/>
          <w:sz w:val="24"/>
          <w:szCs w:val="24"/>
        </w:rPr>
        <w:t xml:space="preserve">at </w:t>
      </w:r>
      <w:r w:rsidR="00B23930" w:rsidRPr="00796736">
        <w:rPr>
          <w:rFonts w:ascii="Times New Roman" w:eastAsia="Times New Roman" w:hAnsi="Times New Roman" w:cs="Times New Roman"/>
          <w:iCs/>
          <w:sz w:val="24"/>
          <w:szCs w:val="24"/>
          <w:lang w:eastAsia="da-DK"/>
        </w:rPr>
        <w:t xml:space="preserve">Advokatrådet skal </w:t>
      </w:r>
      <w:r w:rsidR="00B23930" w:rsidRPr="00796736">
        <w:rPr>
          <w:rFonts w:ascii="Times New Roman" w:hAnsi="Times New Roman" w:cs="Times New Roman"/>
          <w:sz w:val="24"/>
          <w:szCs w:val="24"/>
          <w:lang w:eastAsia="da-DK"/>
        </w:rPr>
        <w:t>samarbejde med tilsynsorganerne i EU-medlemsstater, EØS-lande og Schweiz om udførelsen af tilsyn, når advokater under tilsyn i disse lande udøver advokatvirksomhed her i landet, eller når en dansk advokat, der er underlagt dansk tilsyn, udøver advokatvirksomhed heri.</w:t>
      </w:r>
    </w:p>
    <w:p w14:paraId="03D65FAC" w14:textId="77777777" w:rsidR="00A16C19" w:rsidRPr="00796736" w:rsidRDefault="00A16C19" w:rsidP="00A802A5">
      <w:pPr>
        <w:spacing w:line="360" w:lineRule="auto"/>
        <w:rPr>
          <w:rFonts w:ascii="Times New Roman" w:hAnsi="Times New Roman" w:cs="Times New Roman"/>
          <w:sz w:val="24"/>
          <w:szCs w:val="24"/>
        </w:rPr>
      </w:pPr>
    </w:p>
    <w:p w14:paraId="4C38559D"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indebærer, at Advokatrådet i videst muligt omfang vil skulle samarbejde med tilsynsorganerne i de andre lande, hvilket kan omfatte, at rådet inden for rammerne af det anmodende tilsynsorgans beføjelser foretages undersøgelser på vegne af en anmodende tilsynsmyndighed samt efterfølgende udveksler de oplysninger, som fremkommer under en sådan undersøgelse, eller faciliterer den anmodende tilsynsmyndigheds foretagelse af sådanne undersøgelser, jf. herved også det foreslåede stk. 2-5. Den foreslåede bestemmelse forudsætter, at tilsynet med en advokats grænseoverskridende aktiviteter deles mellem Advokatrådet og hjemlandets tilsynsorganer i henhold til hvidvaskdirektivets artikel 37, stk. 1. </w:t>
      </w:r>
    </w:p>
    <w:p w14:paraId="283936B6" w14:textId="77777777" w:rsidR="00B23930" w:rsidRPr="00796736" w:rsidRDefault="00B23930" w:rsidP="00A802A5">
      <w:pPr>
        <w:spacing w:line="360" w:lineRule="auto"/>
        <w:rPr>
          <w:rFonts w:ascii="Times New Roman" w:hAnsi="Times New Roman" w:cs="Times New Roman"/>
          <w:sz w:val="24"/>
          <w:szCs w:val="24"/>
        </w:rPr>
      </w:pPr>
    </w:p>
    <w:p w14:paraId="35F4B351"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”udøver advokatvirksomhed” forstås i denne sammenhæng de grænseoverskridende aktiviteter, som er omhandlet i 6. hvidvaskdirektivs artikel 54, stk. 1.</w:t>
      </w:r>
    </w:p>
    <w:p w14:paraId="0790040B" w14:textId="77777777" w:rsidR="00B23930" w:rsidRPr="00796736" w:rsidRDefault="00B23930" w:rsidP="00A802A5">
      <w:pPr>
        <w:spacing w:line="360" w:lineRule="auto"/>
        <w:rPr>
          <w:rFonts w:ascii="Times New Roman" w:hAnsi="Times New Roman" w:cs="Times New Roman"/>
          <w:sz w:val="24"/>
          <w:szCs w:val="24"/>
        </w:rPr>
      </w:pPr>
    </w:p>
    <w:p w14:paraId="3A30856D" w14:textId="42AB7256" w:rsidR="00361B87" w:rsidRPr="00D253F0" w:rsidRDefault="00361B8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Den foreslåede bestemmelse vil endvidere indebære, at Advokatrådet har kompetence til af føre tilsyn </w:t>
      </w:r>
      <w:r>
        <w:rPr>
          <w:rFonts w:ascii="Times New Roman" w:hAnsi="Times New Roman" w:cs="Times New Roman"/>
          <w:sz w:val="24"/>
          <w:szCs w:val="24"/>
        </w:rPr>
        <w:t xml:space="preserve">efter den foreslåede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_Ref232609193 \r \h </w:instrText>
      </w:r>
      <w:r w:rsidR="00CB248D">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97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D253F0">
        <w:rPr>
          <w:rFonts w:ascii="Times New Roman" w:hAnsi="Times New Roman" w:cs="Times New Roman"/>
          <w:sz w:val="24"/>
          <w:szCs w:val="24"/>
        </w:rPr>
        <w:t xml:space="preserve">med advokater beskikket i en EU-medlemsstat, et EØS-land eller Schweiz, som er registreret hos Advokatsamfundet (EU-advokater), og advokater beskikket i en EU-medlemsstat, et EØS-land eller Schweiz, som driver advokatvirksomhed i Danmark i form af grænseoverskridende tjenesteydelser. </w:t>
      </w:r>
    </w:p>
    <w:p w14:paraId="2B4B22EA" w14:textId="77777777" w:rsidR="00A16C19" w:rsidRPr="00796736" w:rsidRDefault="00A16C19" w:rsidP="00A802A5">
      <w:pPr>
        <w:spacing w:line="360" w:lineRule="auto"/>
        <w:rPr>
          <w:rFonts w:ascii="Times New Roman" w:hAnsi="Times New Roman" w:cs="Times New Roman"/>
          <w:sz w:val="24"/>
          <w:szCs w:val="24"/>
        </w:rPr>
      </w:pPr>
    </w:p>
    <w:p w14:paraId="71103EDF"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vil indebære, at Advokatrådet i medfør af samarbejdsforpligtelsen skal underrettes af hjemlandets tilsynsorgan om ethvert anliggende, der kan have påvirkning på hjemlandets tilsynsorgans vurdering af, om etableringsstedet overholder de danske regler for bekæmpelse af hvidvask og terrorfinansiering. </w:t>
      </w:r>
    </w:p>
    <w:p w14:paraId="1748F81C" w14:textId="77777777" w:rsidR="00B23930" w:rsidRPr="00796736" w:rsidRDefault="00B23930" w:rsidP="00A802A5">
      <w:pPr>
        <w:spacing w:line="360" w:lineRule="auto"/>
        <w:rPr>
          <w:rFonts w:ascii="Times New Roman" w:hAnsi="Times New Roman" w:cs="Times New Roman"/>
          <w:sz w:val="24"/>
          <w:szCs w:val="24"/>
        </w:rPr>
      </w:pPr>
    </w:p>
    <w:p w14:paraId="656310D4"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vil endvidere skulle foretage underretning til hjemlandets tilsynsorgan med henblik på dennes vurdering af advokatens anvendelse af politikker og procedurer for bekæmpelse af hvidvask og terrorfinansiering og give hjemlandets tilsynsmyndighed mulighed for at træffe foranstaltninger til at imødegå enhver konstateret overtrædelse. </w:t>
      </w:r>
    </w:p>
    <w:p w14:paraId="3183B1EC" w14:textId="77777777" w:rsidR="00A16C19" w:rsidRPr="00796736" w:rsidRDefault="00A16C19" w:rsidP="00A802A5">
      <w:pPr>
        <w:spacing w:line="360" w:lineRule="auto"/>
        <w:rPr>
          <w:rFonts w:ascii="Times New Roman" w:hAnsi="Times New Roman" w:cs="Times New Roman"/>
          <w:sz w:val="24"/>
          <w:szCs w:val="24"/>
        </w:rPr>
      </w:pPr>
    </w:p>
    <w:p w14:paraId="44B353C1"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vil f.eks. skulle underrettes til hjemlandets tilsynsorgan, hvis en advokat efter påbud fra Advokatrådet fortsat ikke lever op til hvidvasklovens krav til politikker og forretningsgange, ligesom manglende gennemførelse af kundekendskabsprocedurer, som vil medføre disciplinær forfølgning, vil medføre pligt til at underrette hjemlandets tilsynsorgan. </w:t>
      </w:r>
    </w:p>
    <w:p w14:paraId="4B17E1C4" w14:textId="77777777" w:rsidR="00A16C19" w:rsidRPr="00796736" w:rsidRDefault="00A16C19" w:rsidP="00A802A5">
      <w:pPr>
        <w:spacing w:line="360" w:lineRule="auto"/>
        <w:rPr>
          <w:rFonts w:ascii="Times New Roman" w:hAnsi="Times New Roman" w:cs="Times New Roman"/>
          <w:sz w:val="24"/>
          <w:szCs w:val="24"/>
        </w:rPr>
      </w:pPr>
    </w:p>
    <w:p w14:paraId="592A7BD8" w14:textId="248C9130"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endvidere, at hvis Advokatrådet opdager alvorlige, gentagne eller systematiske overtrædelser af bestemmelserne for bekæmpelse af hvidvask og terrorfinansiering, der fordrer øjeblikkelige retsmidler, vil rådet kunne anvende passende og forholdsmæssige midlertidige afhjælpende foranstaltninger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_Ref241670553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der under tilsvarende omstændigheder gælder for advokater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_Ref232609193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med henblik på at afhjælpe sådanne alvorlige, gentagne eller systematiske overtrædelser, hvor det er hensigtsmæssigt med bistand fra eller i samarbejde med hjemlandets tilsynsorgan.</w:t>
      </w:r>
    </w:p>
    <w:p w14:paraId="34BA8A08" w14:textId="77777777" w:rsidR="00A16C19" w:rsidRPr="00796736" w:rsidRDefault="00A16C19" w:rsidP="00A802A5">
      <w:pPr>
        <w:spacing w:line="360" w:lineRule="auto"/>
        <w:rPr>
          <w:rFonts w:ascii="Times New Roman" w:hAnsi="Times New Roman" w:cs="Times New Roman"/>
          <w:sz w:val="24"/>
          <w:szCs w:val="24"/>
        </w:rPr>
      </w:pPr>
    </w:p>
    <w:p w14:paraId="2A6BBE11"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endvidere, at Advokatrådet fortsat vil føre tilsyn med EU-advokater registreret hos Advokatsamfundet og advokater fra andre EU-medlemsstater, EØS-lande eller Schweiz, som udøver tjenesteydelser i Danmark. Er advokaten en del af en koncern, som har hjemsted i hjemlandet, vil hjemlandet føre tilsyn med koncernens forpligtelser.</w:t>
      </w:r>
    </w:p>
    <w:p w14:paraId="157BD411" w14:textId="77777777" w:rsidR="00A16C19" w:rsidRPr="00796736" w:rsidRDefault="00A16C19" w:rsidP="00A802A5">
      <w:pPr>
        <w:spacing w:line="360" w:lineRule="auto"/>
        <w:rPr>
          <w:rFonts w:ascii="Times New Roman" w:hAnsi="Times New Roman" w:cs="Times New Roman"/>
          <w:sz w:val="24"/>
          <w:szCs w:val="24"/>
        </w:rPr>
      </w:pPr>
    </w:p>
    <w:p w14:paraId="4A83520A"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svarer med de fornødne tilpasninger til den gældende hvidvasklovs § 64, stk. 3, og gennemfører hvidvaskdirektivets artikel 44 og artikel 47, stk. 1, litra c. </w:t>
      </w:r>
    </w:p>
    <w:p w14:paraId="368A769E" w14:textId="77777777" w:rsidR="00B23930" w:rsidRPr="00796736" w:rsidRDefault="00B23930" w:rsidP="00A802A5">
      <w:pPr>
        <w:spacing w:line="360" w:lineRule="auto"/>
        <w:rPr>
          <w:rFonts w:ascii="Times New Roman" w:hAnsi="Times New Roman" w:cs="Times New Roman"/>
          <w:sz w:val="24"/>
          <w:szCs w:val="24"/>
        </w:rPr>
      </w:pPr>
    </w:p>
    <w:p w14:paraId="3C6EFB0B"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2, 1. pkt.,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 xml:space="preserve">Advokatrådet som led i samarbejdet efter stk. 1 efter anmodning eller på eget initiativ mindst én gang om året giver tilsynsorganer i andre EU-medlemsstater, EØS-lande eller Schweiz alle oplysninger om advokater under rådets tilsyn, der er nødvendige for udførelsen af deres tilsynsopgaver. </w:t>
      </w:r>
    </w:p>
    <w:p w14:paraId="08A1B56F"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3EBA0E09"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en forpligtelse for Advokatrådet til som led i samarbejdet efter stk. 1 at udveksle en række oplysninger. </w:t>
      </w:r>
    </w:p>
    <w:p w14:paraId="02B93748"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168A67A0"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Advokatrådet vil i medfør af bestemmelsen skulle udveksle oplysninger med værtslandets tilsynsorganer om de aktiviteter, der reelt udføres af advokater undergivet Advokatrådets tilsyn på værtslandets område, som rådet modtager i forbindelse med sine tilsynsaktiviteter. Den foreslåede bestemmelse tager navnlig sigte på de situationer, hvor den advokat, rådet fører tilsyn med, reelt bedriver advokatvirksomhed på en anden EU-værtsstats, EØS-værtslands eller på Schweiz’ område, og rådet modtager oplysninger herom som led i sine tilsynsaktiviteter.  Advokatrådet vil have mulighed for at udveksle oplysningerne i sammenfattet form, idet rådet dog omgående vil skulle imødekomme værtslandets anmodning om yderligere oplysninger. </w:t>
      </w:r>
    </w:p>
    <w:p w14:paraId="56B62DE2" w14:textId="77777777" w:rsidR="00B23930" w:rsidRPr="00796736" w:rsidRDefault="00B23930" w:rsidP="00A802A5">
      <w:pPr>
        <w:spacing w:line="360" w:lineRule="auto"/>
        <w:rPr>
          <w:rFonts w:ascii="Times New Roman" w:hAnsi="Times New Roman" w:cs="Times New Roman"/>
          <w:sz w:val="24"/>
          <w:szCs w:val="24"/>
        </w:rPr>
      </w:pPr>
    </w:p>
    <w:p w14:paraId="260B0FE5" w14:textId="77777777" w:rsidR="00B23930" w:rsidRPr="00796736" w:rsidRDefault="00B23930" w:rsidP="00A802A5">
      <w:pPr>
        <w:spacing w:line="360" w:lineRule="auto"/>
        <w:rPr>
          <w:rFonts w:ascii="Times New Roman" w:hAnsi="Times New Roman" w:cs="Times New Roman"/>
          <w:iCs/>
          <w:sz w:val="24"/>
          <w:szCs w:val="24"/>
        </w:rPr>
      </w:pPr>
      <w:r w:rsidRPr="00796736">
        <w:rPr>
          <w:rFonts w:ascii="Times New Roman" w:eastAsia="Times New Roman" w:hAnsi="Times New Roman" w:cs="Times New Roman"/>
          <w:iCs/>
          <w:sz w:val="24"/>
          <w:szCs w:val="24"/>
          <w:lang w:eastAsia="da-DK"/>
        </w:rPr>
        <w:t xml:space="preserve">Den foreslåede bestemmelse vil omfatte situationer, hvor en advokat undergivet Advokatrådets tilsyn bedriver advokatvirksomhed i en anden EU-værtsstat, EØS-værtsland eller i Schweiz, og rådet er i besiddelse af oplysninger, som er nødvendige for det pågældende værtslands tilsynsorgans tilsynsopgaver. Det forudsættes, at oplysningsforpligtelsen ud fra hensyn til et risikobaseret og effektivt tilsyn primært skal ske efter anmodning, idet Advokatrådet dog også af egen drift vil skulle udveksle de pågældende oplysninger, jf. dog det nedenfor anførte om oplysninger mv. omfattet af tavshedspligten.  </w:t>
      </w:r>
    </w:p>
    <w:p w14:paraId="116D8109"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30FBFCA1"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omfatte navnlig omfatte oplysninger, der i væsentlig grad kan påvirke vurderingen af den pågældende advokats iboende risikoeksponering i den anden stat. Det omfatter bl.a. relevante oplysninger om de reelle ejere og den øverste ledelse, herunder resultaterne af kontrol og egnethed og hæderlighed. De pågældende oplysninger vil være omfattet, uanset om de udføres i henhold til regler, som implementerer hvidvaskdirektivet eller andre EU-retsakter og kundeskabsoplysninger, herunder kundekartoteker og transaktionsfortegnelser, jf. hvidvaskdirektivets artikel 47, stk. 1, 2. afsnit, litra a, jf. artikel 46, stk. 3, 1. afsnit, litra b og d.  </w:t>
      </w:r>
    </w:p>
    <w:p w14:paraId="4E177578"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75025348"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bemærkes, at bestemmelsen bl.a. omfatter oplysninger, som er omfattet af tavshedspligten, navnlig kundekendskabsoplysninger, kundekartoteker og transaktionsfortegnelser. </w:t>
      </w:r>
    </w:p>
    <w:p w14:paraId="7541F76D"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7EBDFD9D"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Advokatrådets vurdering af, om videregivelsen af sådanne oplysninger er nødvendige for udførelsen af den anmodende tilsynsorgans tilsynsopgaver, vil i sådanne tilfælde være skærpet. Advokatrådet vil skulle foretage en afvejning af på den ene side hensynet til at værne om tavshedspligten og på den anden side hensynet til de tilsynsmæssige behov, som organet ønsker at få oplysningerne udleveret med henblik på at varetage. </w:t>
      </w:r>
    </w:p>
    <w:p w14:paraId="59B77B53"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6F0312C4"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forudsættes derudover, at Advokatrådet kun vil skulle udveksle oplysninger omfattet af tavshedspligten, hvis Advokatrådet har modtaget en eksplicit anmodning herom, og Advokatrådet vil i forbindelse med en sådan anmodning kunne bede det anmodende organ indskærpe behovet for at udlevere oplysninger omfattet af tavshedspligten. I det omfang anmodningen kan imødekommes ved udlevering af andre oplysninger, vil Advokatrådet skulle udlevere sådanne oplysninger.</w:t>
      </w:r>
    </w:p>
    <w:p w14:paraId="63F3CD75"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1B1DDCD8" w14:textId="446BCCA3"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2, 2. pkt., </w:t>
      </w:r>
      <w:r w:rsidRPr="00796736">
        <w:rPr>
          <w:rFonts w:ascii="Times New Roman" w:eastAsia="Times New Roman" w:hAnsi="Times New Roman" w:cs="Times New Roman"/>
          <w:iCs/>
          <w:sz w:val="24"/>
          <w:szCs w:val="24"/>
          <w:lang w:eastAsia="da-DK"/>
        </w:rPr>
        <w:t xml:space="preserve">at Advokatrådet endvidere underretter disse tilsynsorganer om enhver negativ udvikling hos advokaten, som i alvorlig grad kan påvirke dennes overholdelse af gældende krav, og om foranstaltninger, som rådet agter skal iværksættes efter §§ </w:t>
      </w:r>
      <w:r w:rsidR="009F3543">
        <w:rPr>
          <w:rFonts w:ascii="Times New Roman" w:eastAsia="Times New Roman" w:hAnsi="Times New Roman" w:cs="Times New Roman"/>
          <w:iCs/>
          <w:sz w:val="24"/>
          <w:szCs w:val="24"/>
          <w:lang w:eastAsia="da-DK"/>
        </w:rPr>
        <w:t>102</w:t>
      </w:r>
      <w:r w:rsidRPr="00796736">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_Ref239435504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107</w:t>
      </w:r>
      <w:r w:rsidRPr="00796736">
        <w:rPr>
          <w:rFonts w:ascii="Times New Roman" w:eastAsia="Times New Roman" w:hAnsi="Times New Roman" w:cs="Times New Roman"/>
          <w:iCs/>
          <w:sz w:val="24"/>
          <w:szCs w:val="24"/>
          <w:lang w:eastAsia="da-DK"/>
        </w:rPr>
        <w:fldChar w:fldCharType="end"/>
      </w:r>
      <w:r w:rsidR="009F3543">
        <w:rPr>
          <w:rFonts w:ascii="Times New Roman" w:eastAsia="Times New Roman" w:hAnsi="Times New Roman" w:cs="Times New Roman"/>
          <w:iCs/>
          <w:sz w:val="24"/>
          <w:szCs w:val="24"/>
          <w:lang w:eastAsia="da-DK"/>
        </w:rPr>
        <w:t>.</w:t>
      </w:r>
    </w:p>
    <w:p w14:paraId="63AE0E0D"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275E02C8"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Den foreslåede bestemmelse vil indebære, at Advokatrådet </w:t>
      </w:r>
      <w:r w:rsidRPr="00796736">
        <w:rPr>
          <w:rFonts w:ascii="Times New Roman" w:hAnsi="Times New Roman" w:cs="Times New Roman"/>
          <w:sz w:val="24"/>
          <w:szCs w:val="24"/>
        </w:rPr>
        <w:t>underretter det andet lands tilsynsorganer om enhver negativ udvikling i forbindelse med advokaten, dens etableringssteder eller typer af infrastruktur, som i alvorlig grad kunne påvirke advokatens overholdelse af gældende krav, og administrative foranstaltninger, som de agter at anvende i overensstemmelse med de foreslåede bestemmelser herom.</w:t>
      </w:r>
    </w:p>
    <w:p w14:paraId="5C9D885F" w14:textId="77777777" w:rsidR="00B23930" w:rsidRPr="00796736" w:rsidRDefault="00B23930" w:rsidP="00A802A5">
      <w:pPr>
        <w:spacing w:line="360" w:lineRule="auto"/>
        <w:rPr>
          <w:rFonts w:ascii="Times New Roman" w:hAnsi="Times New Roman" w:cs="Times New Roman"/>
          <w:sz w:val="24"/>
          <w:szCs w:val="24"/>
        </w:rPr>
      </w:pPr>
    </w:p>
    <w:p w14:paraId="22859CEC"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Oplysninger omfattet af denne bestemmelse vil skulle give mindst én gang årligt.</w:t>
      </w:r>
    </w:p>
    <w:p w14:paraId="7AE1DF99" w14:textId="77777777" w:rsidR="00B23930" w:rsidRPr="00796736" w:rsidRDefault="00B23930" w:rsidP="00A802A5">
      <w:pPr>
        <w:spacing w:line="360" w:lineRule="auto"/>
        <w:rPr>
          <w:rFonts w:ascii="Times New Roman" w:hAnsi="Times New Roman" w:cs="Times New Roman"/>
          <w:sz w:val="24"/>
          <w:szCs w:val="24"/>
        </w:rPr>
      </w:pPr>
    </w:p>
    <w:p w14:paraId="464BF6EE" w14:textId="77777777" w:rsidR="00B23930"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gennemfører hvidvaskdirektivets artikel 45, stk. 2, og 47, stk. 1, litra a og b. </w:t>
      </w:r>
    </w:p>
    <w:p w14:paraId="6B4CD629" w14:textId="77777777" w:rsidR="00B23930" w:rsidRPr="00796736" w:rsidRDefault="00B23930" w:rsidP="00A802A5">
      <w:pPr>
        <w:spacing w:line="360" w:lineRule="auto"/>
        <w:rPr>
          <w:rFonts w:ascii="Times New Roman" w:hAnsi="Times New Roman" w:cs="Times New Roman"/>
          <w:sz w:val="24"/>
          <w:szCs w:val="24"/>
        </w:rPr>
      </w:pPr>
    </w:p>
    <w:p w14:paraId="7DC0CA98" w14:textId="36B904D1" w:rsidR="00B23930" w:rsidRPr="00796736" w:rsidRDefault="00B23930"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w:t>
      </w:r>
      <w:r w:rsidRPr="00796736">
        <w:rPr>
          <w:rFonts w:ascii="Times New Roman" w:hAnsi="Times New Roman" w:cs="Times New Roman"/>
          <w:sz w:val="24"/>
          <w:szCs w:val="24"/>
        </w:rPr>
        <w:t xml:space="preserve">at som </w:t>
      </w:r>
      <w:r w:rsidRPr="00796736">
        <w:rPr>
          <w:rFonts w:ascii="Times New Roman" w:eastAsia="Times New Roman" w:hAnsi="Times New Roman" w:cs="Times New Roman"/>
          <w:iCs/>
          <w:sz w:val="24"/>
          <w:szCs w:val="24"/>
          <w:lang w:eastAsia="da-DK"/>
        </w:rPr>
        <w:t xml:space="preserve">led i samarbejdet efter stk. 1 kan Advokatrådet foretage undersøgelser efter reglerne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på vegne af tilsynsorganer i andre EU-medlemsstater, EØS-lande og Schweiz og videregive oplysninger, der indhentes gennem sådanne undersøgelser, til det pågældende tilsynsorgan.</w:t>
      </w:r>
    </w:p>
    <w:p w14:paraId="6829120B" w14:textId="77777777" w:rsidR="00B23930" w:rsidRPr="00796736" w:rsidRDefault="00B23930" w:rsidP="00A802A5">
      <w:pPr>
        <w:spacing w:line="360" w:lineRule="auto"/>
        <w:rPr>
          <w:rFonts w:ascii="Times New Roman" w:hAnsi="Times New Roman" w:cs="Times New Roman"/>
          <w:sz w:val="24"/>
          <w:szCs w:val="24"/>
        </w:rPr>
      </w:pPr>
    </w:p>
    <w:p w14:paraId="0AA60E56" w14:textId="11DBE162"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Den foreslåede bestemmelse indebærer, at Advokatrådet efter anmodning herom vil kunne foretage tilsynsopgaver efter den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hAnsi="Times New Roman" w:cs="Times New Roman"/>
          <w:sz w:val="24"/>
          <w:szCs w:val="24"/>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hAnsi="Times New Roman" w:cs="Times New Roman"/>
          <w:sz w:val="24"/>
          <w:szCs w:val="24"/>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på vegne af de udenlandske tilsynsorganer overfor advokater her i landet, herunder anmodninger om at udlevere oplysninger og andre tilsynsmæssige opgaver. </w:t>
      </w:r>
    </w:p>
    <w:p w14:paraId="1F80A0A8"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24A01557"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Den foreslåede bestemmelse implementerer 6. hvidvaskdirektivs artikel 44 og artikel 47, stk. 1, litra c. </w:t>
      </w:r>
      <w:r w:rsidRPr="00796736">
        <w:rPr>
          <w:rFonts w:ascii="Times New Roman" w:hAnsi="Times New Roman" w:cs="Times New Roman"/>
          <w:sz w:val="24"/>
          <w:szCs w:val="24"/>
        </w:rPr>
        <w:t xml:space="preserve"> </w:t>
      </w:r>
    </w:p>
    <w:p w14:paraId="67792CCA" w14:textId="77777777" w:rsidR="00A16C19" w:rsidRPr="00796736" w:rsidRDefault="00A16C19" w:rsidP="00A802A5">
      <w:pPr>
        <w:spacing w:line="360" w:lineRule="auto"/>
        <w:rPr>
          <w:rFonts w:ascii="Times New Roman" w:hAnsi="Times New Roman" w:cs="Times New Roman"/>
          <w:sz w:val="24"/>
          <w:szCs w:val="24"/>
        </w:rPr>
      </w:pPr>
    </w:p>
    <w:p w14:paraId="6CAE2824" w14:textId="4104D374"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4, </w:t>
      </w:r>
      <w:r w:rsidRPr="00796736">
        <w:rPr>
          <w:rFonts w:ascii="Times New Roman" w:eastAsia="Times New Roman" w:hAnsi="Times New Roman" w:cs="Times New Roman"/>
          <w:iCs/>
          <w:sz w:val="24"/>
          <w:szCs w:val="24"/>
          <w:lang w:eastAsia="da-DK"/>
        </w:rPr>
        <w:t xml:space="preserve">at som led i samarbejdet efter stk. 1 kan tilsynsorganer i andre EU-medlemsstater, EØS-lande og Schweiz efter forudgående aftale med Advokatrådet få adgang til de her i landet beliggende lokaliteter, hvorfra advokater med hjemsted i det pågældende land driver virksomhed. Advokatrådet kan deltage i kontrolbesøg som nævnt i 1. pkt. Modsætter en advokat som nævnt i 1. pkt. sig en tilsynsorgans kontrolbesøg, kan undersøgelsen kun foretages med Advokatrådets medvirken efter reglerne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p>
    <w:p w14:paraId="6BC4B801" w14:textId="77777777" w:rsidR="00B23930" w:rsidRPr="00796736" w:rsidRDefault="00B23930" w:rsidP="00A802A5">
      <w:pPr>
        <w:spacing w:line="360" w:lineRule="auto"/>
        <w:rPr>
          <w:rFonts w:ascii="Times New Roman" w:hAnsi="Times New Roman" w:cs="Times New Roman"/>
          <w:sz w:val="24"/>
          <w:szCs w:val="24"/>
        </w:rPr>
      </w:pPr>
    </w:p>
    <w:p w14:paraId="36371DB1"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være et krav efter den foreslåede bestemmelse, at det udenlandske tilsynsorgan aftaler tilsynsbesøget med Advokatrådet forud for tilsynsbesøget. Advokatrådet vil på baggrund af en anmodning om tilsyn her i landet vurdere, hvorvidt tilsynets formål forudsætter fysisk tilstedeværelse her i landet af det udenlandske organ. Advokatrådet vil meddele det udenlandske tilsynsorgan, hvorvidt anmodningen om tilsyn kan imødekommes. </w:t>
      </w:r>
    </w:p>
    <w:p w14:paraId="6DC468A5" w14:textId="77777777" w:rsidR="00A16C19" w:rsidRPr="00796736" w:rsidRDefault="00A16C19" w:rsidP="00A802A5">
      <w:pPr>
        <w:spacing w:line="360" w:lineRule="auto"/>
        <w:rPr>
          <w:rFonts w:ascii="Times New Roman" w:hAnsi="Times New Roman" w:cs="Times New Roman"/>
          <w:sz w:val="24"/>
          <w:szCs w:val="24"/>
        </w:rPr>
      </w:pPr>
    </w:p>
    <w:p w14:paraId="219B159C"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alene omfatte her i landet beliggende advokater med hjemsted i det pågældende land, dvs. ”EU-advokater”. Bestemmelsen vil således ikke omfatte danske personer og virksomheder, dvs. personer og selskaber etableret her i landet. Bestemmelsen kan tænkes anvendt, hvor virksomheder og personer har hjemsted i en anden EU-medlemsstat, et EØS-land eller Schweiz. </w:t>
      </w:r>
    </w:p>
    <w:p w14:paraId="27EE4A64" w14:textId="77777777" w:rsidR="00A16C19" w:rsidRPr="00796736" w:rsidRDefault="00A16C19" w:rsidP="00A802A5">
      <w:pPr>
        <w:spacing w:line="360" w:lineRule="auto"/>
        <w:rPr>
          <w:rFonts w:ascii="Times New Roman" w:hAnsi="Times New Roman" w:cs="Times New Roman"/>
          <w:sz w:val="24"/>
          <w:szCs w:val="24"/>
        </w:rPr>
      </w:pPr>
    </w:p>
    <w:p w14:paraId="7BA8A0B6" w14:textId="789AEA38" w:rsidR="00A16C19"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Udenlandske tilsynsorganer fra en EU-medlemsstat, et EØS-land eller Schweiz vil alene være kompetente for så vidt angår personer og virksomheder, som har hjemsted i organets hjemland. Hvis et udenlandsk organ vil undersøge den pågældende virksomhed, vil dette skulle ske ved anmodning om oplysninger fra Advokatrådet eller ved fysisk fremmøde hos virksomheden. </w:t>
      </w:r>
      <w:r w:rsidR="00A16C19" w:rsidRPr="00796736">
        <w:rPr>
          <w:rFonts w:ascii="Times New Roman" w:hAnsi="Times New Roman" w:cs="Times New Roman"/>
          <w:sz w:val="24"/>
          <w:szCs w:val="24"/>
        </w:rPr>
        <w:t xml:space="preserve">Tilsyn med virksomhedens overholdelse af danske regler føres derimod af Advokatrådet, jf. </w:t>
      </w:r>
      <w:r w:rsidR="008329A5" w:rsidRPr="00796736">
        <w:rPr>
          <w:rFonts w:ascii="Times New Roman" w:hAnsi="Times New Roman" w:cs="Times New Roman"/>
          <w:sz w:val="24"/>
          <w:szCs w:val="24"/>
        </w:rPr>
        <w:fldChar w:fldCharType="begin"/>
      </w:r>
      <w:r w:rsidR="008329A5" w:rsidRPr="00796736">
        <w:rPr>
          <w:rFonts w:ascii="Times New Roman" w:hAnsi="Times New Roman" w:cs="Times New Roman"/>
          <w:sz w:val="24"/>
          <w:szCs w:val="24"/>
        </w:rPr>
        <w:instrText xml:space="preserve"> REF _Ref232609193 \r \h </w:instrText>
      </w:r>
      <w:r w:rsidR="00967618" w:rsidRPr="00796736">
        <w:rPr>
          <w:rFonts w:ascii="Times New Roman" w:hAnsi="Times New Roman" w:cs="Times New Roman"/>
          <w:sz w:val="24"/>
          <w:szCs w:val="24"/>
        </w:rPr>
        <w:instrText xml:space="preserve"> \* MERGEFORMAT </w:instrText>
      </w:r>
      <w:r w:rsidR="008329A5" w:rsidRPr="00796736">
        <w:rPr>
          <w:rFonts w:ascii="Times New Roman" w:hAnsi="Times New Roman" w:cs="Times New Roman"/>
          <w:sz w:val="24"/>
          <w:szCs w:val="24"/>
        </w:rPr>
      </w:r>
      <w:r w:rsidR="008329A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008329A5" w:rsidRPr="00796736">
        <w:rPr>
          <w:rFonts w:ascii="Times New Roman" w:hAnsi="Times New Roman" w:cs="Times New Roman"/>
          <w:sz w:val="24"/>
          <w:szCs w:val="24"/>
        </w:rPr>
        <w:fldChar w:fldCharType="end"/>
      </w:r>
      <w:r w:rsidR="00A16C19" w:rsidRPr="00796736">
        <w:rPr>
          <w:rFonts w:ascii="Times New Roman" w:hAnsi="Times New Roman" w:cs="Times New Roman"/>
          <w:sz w:val="24"/>
          <w:szCs w:val="24"/>
        </w:rPr>
        <w:t xml:space="preserve">, stk. 1. Selve undersøgelsen vil foregå efter danske processuelle regler, men den her i landet beliggende virksomhed skal leve op til det udenlandske hjemlands regelsæt på det område, der er genstand for undersøgelsen. </w:t>
      </w:r>
    </w:p>
    <w:p w14:paraId="0F2A63C6" w14:textId="77777777" w:rsidR="00A16C19" w:rsidRPr="00796736" w:rsidRDefault="00A16C19" w:rsidP="00A802A5">
      <w:pPr>
        <w:spacing w:line="360" w:lineRule="auto"/>
        <w:rPr>
          <w:rFonts w:ascii="Times New Roman" w:hAnsi="Times New Roman" w:cs="Times New Roman"/>
          <w:sz w:val="24"/>
          <w:szCs w:val="24"/>
        </w:rPr>
      </w:pPr>
    </w:p>
    <w:p w14:paraId="2FD0BC38" w14:textId="071F6769"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udenlandsk organs tilsyn vil skulle foregå under samme betingelser som Advokatrådets tilsyn, hvilket betyder, at tilsynet skal ske i overensstemmelse med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_Ref232609193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herunder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_Ref232609193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6. Dette indebærer, at kontrolbesøg efter den foreslåede bestemmelse ligeledes vil skulle ske i overensstemmelse med reglerne i retssikkerhedslovens kapitel 2-4.</w:t>
      </w:r>
    </w:p>
    <w:p w14:paraId="57803CD8" w14:textId="77777777" w:rsidR="00A16C19" w:rsidRPr="00796736" w:rsidRDefault="00A16C19" w:rsidP="00A802A5">
      <w:pPr>
        <w:spacing w:line="360" w:lineRule="auto"/>
        <w:rPr>
          <w:rFonts w:ascii="Times New Roman" w:hAnsi="Times New Roman" w:cs="Times New Roman"/>
          <w:sz w:val="24"/>
          <w:szCs w:val="24"/>
        </w:rPr>
      </w:pPr>
    </w:p>
    <w:p w14:paraId="0879206B"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indebærer bl.a., at der er mulighed for at foretage tilsynsbesøg uden forudgående varsling. Muligheden for at foretage uanmeldt tilsynsbesøg skal alene anvendes, hvis det er Advokatrådets vurdering, at formålet med tilsynsbesøget ville blive forspildt, hvis det blev varslet. Advokatrådet meddeler det udenlandske organ, hvorvidt et ønske om et uanmeldt tilsynsbesøg kan imødekommes. Udgangspunktet er således som efter gældende ret, at et tilsynsbesøg skal varsles på forhånd, i det omfang, det er muligt.</w:t>
      </w:r>
    </w:p>
    <w:p w14:paraId="564C8B4D" w14:textId="77777777" w:rsidR="00A16C19" w:rsidRPr="00796736" w:rsidRDefault="00A16C19" w:rsidP="00A802A5">
      <w:pPr>
        <w:spacing w:line="360" w:lineRule="auto"/>
        <w:rPr>
          <w:rFonts w:ascii="Times New Roman" w:hAnsi="Times New Roman" w:cs="Times New Roman"/>
          <w:sz w:val="24"/>
          <w:szCs w:val="24"/>
        </w:rPr>
      </w:pPr>
    </w:p>
    <w:p w14:paraId="5C2D9BCF" w14:textId="77777777" w:rsidR="005424F4" w:rsidRPr="00796736" w:rsidRDefault="005424F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bemærkes i den forbindelse, at der vil være tale om en videreførelse af gældende ret, idet Advokatrådets praksis afspejler, at tilsynsbesøg som udgangspunkt varsles på forhånd. Dette gælder også spontane tilsyn, som afhængig af de konkrete omstændigheder kan have en mere hastende karakter. Varsling sker som udgangspunkt forud for tilsynsbesøget, medmindre Advokatrådet vurderer, at formålet med tilsynet ellers ville blive forspildt.</w:t>
      </w:r>
    </w:p>
    <w:p w14:paraId="1C9F5C91" w14:textId="77777777" w:rsidR="005424F4" w:rsidRPr="00796736" w:rsidRDefault="005424F4" w:rsidP="00A802A5">
      <w:pPr>
        <w:spacing w:line="360" w:lineRule="auto"/>
        <w:rPr>
          <w:rFonts w:ascii="Times New Roman" w:hAnsi="Times New Roman" w:cs="Times New Roman"/>
          <w:sz w:val="24"/>
          <w:szCs w:val="24"/>
        </w:rPr>
      </w:pPr>
    </w:p>
    <w:p w14:paraId="250336E1"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2. pkt., vil indebære, at Advokatrådet kan deltage i tilsynsbesøget som nævnt i 1. pkt.</w:t>
      </w:r>
    </w:p>
    <w:p w14:paraId="0A5E23A7" w14:textId="77777777" w:rsidR="00A16C19" w:rsidRPr="00796736" w:rsidRDefault="00A16C19" w:rsidP="00A802A5">
      <w:pPr>
        <w:spacing w:line="360" w:lineRule="auto"/>
        <w:rPr>
          <w:rFonts w:ascii="Times New Roman" w:hAnsi="Times New Roman" w:cs="Times New Roman"/>
          <w:sz w:val="24"/>
          <w:szCs w:val="24"/>
        </w:rPr>
      </w:pPr>
    </w:p>
    <w:p w14:paraId="588A7CAE" w14:textId="4A55B213"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vil dermed kunne føre tilsyn med, at advokaten overholder danske regler, jf. </w:t>
      </w:r>
      <w:r w:rsidR="008329A5" w:rsidRPr="00796736">
        <w:rPr>
          <w:rFonts w:ascii="Times New Roman" w:hAnsi="Times New Roman" w:cs="Times New Roman"/>
          <w:sz w:val="24"/>
          <w:szCs w:val="24"/>
        </w:rPr>
        <w:fldChar w:fldCharType="begin"/>
      </w:r>
      <w:r w:rsidR="008329A5" w:rsidRPr="00796736">
        <w:rPr>
          <w:rFonts w:ascii="Times New Roman" w:hAnsi="Times New Roman" w:cs="Times New Roman"/>
          <w:sz w:val="24"/>
          <w:szCs w:val="24"/>
        </w:rPr>
        <w:instrText xml:space="preserve"> REF _Ref232609193 \r \h </w:instrText>
      </w:r>
      <w:r w:rsidR="00967618" w:rsidRPr="00796736">
        <w:rPr>
          <w:rFonts w:ascii="Times New Roman" w:hAnsi="Times New Roman" w:cs="Times New Roman"/>
          <w:sz w:val="24"/>
          <w:szCs w:val="24"/>
        </w:rPr>
        <w:instrText xml:space="preserve"> \* MERGEFORMAT </w:instrText>
      </w:r>
      <w:r w:rsidR="008329A5" w:rsidRPr="00796736">
        <w:rPr>
          <w:rFonts w:ascii="Times New Roman" w:hAnsi="Times New Roman" w:cs="Times New Roman"/>
          <w:sz w:val="24"/>
          <w:szCs w:val="24"/>
        </w:rPr>
      </w:r>
      <w:r w:rsidR="008329A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008329A5"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jf. artikel 47 i hvidvaskdirektivet, og at de</w:t>
      </w:r>
      <w:r w:rsidR="00B23930" w:rsidRPr="00796736">
        <w:rPr>
          <w:rFonts w:ascii="Times New Roman" w:hAnsi="Times New Roman" w:cs="Times New Roman"/>
          <w:sz w:val="24"/>
          <w:szCs w:val="24"/>
        </w:rPr>
        <w:t>t</w:t>
      </w:r>
      <w:r w:rsidRPr="00796736">
        <w:rPr>
          <w:rFonts w:ascii="Times New Roman" w:hAnsi="Times New Roman" w:cs="Times New Roman"/>
          <w:sz w:val="24"/>
          <w:szCs w:val="24"/>
        </w:rPr>
        <w:t xml:space="preserve"> udenlandske tilsyn</w:t>
      </w:r>
      <w:r w:rsidR="00B23930" w:rsidRPr="00796736">
        <w:rPr>
          <w:rFonts w:ascii="Times New Roman" w:hAnsi="Times New Roman" w:cs="Times New Roman"/>
          <w:sz w:val="24"/>
          <w:szCs w:val="24"/>
        </w:rPr>
        <w:t>sorgan</w:t>
      </w:r>
      <w:r w:rsidRPr="00796736">
        <w:rPr>
          <w:rFonts w:ascii="Times New Roman" w:hAnsi="Times New Roman" w:cs="Times New Roman"/>
          <w:sz w:val="24"/>
          <w:szCs w:val="24"/>
        </w:rPr>
        <w:t xml:space="preserve"> tilsyn foregår i overensstemmelse med danske regler herfor.</w:t>
      </w:r>
    </w:p>
    <w:p w14:paraId="53DE1632" w14:textId="77777777" w:rsidR="00A16C19" w:rsidRPr="00796736" w:rsidRDefault="00A16C19" w:rsidP="00A802A5">
      <w:pPr>
        <w:spacing w:line="360" w:lineRule="auto"/>
        <w:rPr>
          <w:rFonts w:ascii="Times New Roman" w:hAnsi="Times New Roman" w:cs="Times New Roman"/>
          <w:sz w:val="24"/>
          <w:szCs w:val="24"/>
        </w:rPr>
      </w:pPr>
    </w:p>
    <w:p w14:paraId="78B6F6F4" w14:textId="34A82EF0"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3. pkt. indebærer, at såfremt en advokat modsætter sig tilsynsorganets kontrolbesøg, kan undersøgelsen kun foretages med Advokatrådets medvirken. At virksomheden modsætter sig et kontrolbesøg skal forstås som, at virksomheden gør indsigelse mod dets gennemførelse. Advokatrådet vil i sådanne tilfælde tillige skulle forsøge sig med frivillighed, førend der skrides til tvangsmæssige foranstaltninger, jf. herved den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hAnsi="Times New Roman" w:cs="Times New Roman"/>
          <w:sz w:val="24"/>
          <w:szCs w:val="24"/>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hAnsi="Times New Roman" w:cs="Times New Roman"/>
          <w:sz w:val="24"/>
          <w:szCs w:val="24"/>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p>
    <w:p w14:paraId="32AD988D" w14:textId="77777777" w:rsidR="00A16C19" w:rsidRPr="00796736" w:rsidRDefault="00A16C19" w:rsidP="00A802A5">
      <w:pPr>
        <w:spacing w:line="360" w:lineRule="auto"/>
        <w:rPr>
          <w:rFonts w:ascii="Times New Roman" w:hAnsi="Times New Roman" w:cs="Times New Roman"/>
          <w:sz w:val="24"/>
          <w:szCs w:val="24"/>
        </w:rPr>
      </w:pPr>
    </w:p>
    <w:p w14:paraId="79D92A36"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svarer med de fornødne tilpasninger til den gældende hvidvasklovs § 64, stk. 4, og gennemfører hvidvaskdirektivets artikel 47, stk. 1, litra c, for så vidt angår her i landet beliggende advokater med hjemsted i det pågældende land, dvs. ”EU-advokater”.</w:t>
      </w:r>
    </w:p>
    <w:p w14:paraId="5A481FD9" w14:textId="77777777" w:rsidR="00A16C19" w:rsidRPr="00796736" w:rsidRDefault="00A16C19" w:rsidP="00A802A5">
      <w:pPr>
        <w:spacing w:line="360" w:lineRule="auto"/>
        <w:rPr>
          <w:rFonts w:ascii="Times New Roman" w:hAnsi="Times New Roman" w:cs="Times New Roman"/>
          <w:sz w:val="24"/>
          <w:szCs w:val="24"/>
        </w:rPr>
      </w:pPr>
    </w:p>
    <w:p w14:paraId="31F02882"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5,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Advokatrådet som led i samarbejdet efter stk. 1 kan anmode tilsynsorganer i andre EU-medlemsstater, EØS-lande og Schweiz om alle oplysninger, der er nødvendige fore udførelsen af Advokatrådets tilsynsopgaver. Advokatrådet kan endvidere anmode disse tilsynsorganer om at foretage undersøgelser i det pågældende land og videregive oplysninger, der indhentes gennem sådanne undersøgelser, til Advokatrådet samt om at medvirke til, at Advokatrådet får adgang til de lokaliteter, hvorfra advokaten driver virksomhed i det pågældende land.</w:t>
      </w:r>
      <w:r w:rsidRPr="00796736" w:rsidDel="000F05A6">
        <w:rPr>
          <w:rFonts w:ascii="Times New Roman" w:eastAsia="Times New Roman" w:hAnsi="Times New Roman" w:cs="Times New Roman"/>
          <w:iCs/>
          <w:sz w:val="24"/>
          <w:szCs w:val="24"/>
          <w:lang w:eastAsia="da-DK"/>
        </w:rPr>
        <w:t xml:space="preserve"> </w:t>
      </w:r>
    </w:p>
    <w:p w14:paraId="7D23E698" w14:textId="77777777" w:rsidR="00A16C19" w:rsidRPr="00796736" w:rsidRDefault="00A16C19" w:rsidP="00A802A5">
      <w:pPr>
        <w:spacing w:line="360" w:lineRule="auto"/>
        <w:rPr>
          <w:rFonts w:ascii="Times New Roman" w:hAnsi="Times New Roman" w:cs="Times New Roman"/>
          <w:sz w:val="24"/>
          <w:szCs w:val="24"/>
        </w:rPr>
      </w:pPr>
    </w:p>
    <w:p w14:paraId="69E0EABD"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Hvor stk. 2 vedrører udenlandske tilsynsorganers mulighed for at foretage inspektioner her i landet og Advokatrådets bistand hertil, vedrører stk. 3 Advokatrådets mulighed for at foretage inspektioner i udlandet. Advokatrådets inspektioner i udlandet skal ske i overensstemmelse med reglerne i det pågældende land. </w:t>
      </w:r>
    </w:p>
    <w:p w14:paraId="749A4859" w14:textId="77777777" w:rsidR="00B23930" w:rsidRPr="00796736" w:rsidRDefault="00B23930" w:rsidP="00A802A5">
      <w:pPr>
        <w:spacing w:line="360" w:lineRule="auto"/>
        <w:rPr>
          <w:rFonts w:ascii="Times New Roman" w:hAnsi="Times New Roman" w:cs="Times New Roman"/>
          <w:sz w:val="24"/>
          <w:szCs w:val="24"/>
        </w:rPr>
      </w:pPr>
    </w:p>
    <w:p w14:paraId="5DD6698E"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finde anvendelse i situationer, hvor Advokatrådet fører tilsyn med advokater, og hvor advokaten tillige driver virksomhed i en anden EU-medlemsstat, et EØS-land eller i Schweiz. </w:t>
      </w:r>
    </w:p>
    <w:p w14:paraId="059C43BB" w14:textId="77777777" w:rsidR="00B23930" w:rsidRPr="00796736" w:rsidRDefault="00B23930" w:rsidP="00A802A5">
      <w:pPr>
        <w:spacing w:line="360" w:lineRule="auto"/>
        <w:rPr>
          <w:rFonts w:ascii="Times New Roman" w:hAnsi="Times New Roman" w:cs="Times New Roman"/>
          <w:sz w:val="24"/>
          <w:szCs w:val="24"/>
        </w:rPr>
      </w:pPr>
    </w:p>
    <w:p w14:paraId="56DF19ED"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vil Advokatrådet kunne foretage inspektioner i udlandet, når det pågældende lands lovmæssige betingelser for afholdelse af inspektioner er opfyldt.</w:t>
      </w:r>
    </w:p>
    <w:p w14:paraId="740F8833" w14:textId="77777777" w:rsidR="00A16C19" w:rsidRPr="00796736" w:rsidRDefault="00A16C19" w:rsidP="00A802A5">
      <w:pPr>
        <w:spacing w:line="360" w:lineRule="auto"/>
        <w:rPr>
          <w:rFonts w:ascii="Times New Roman" w:hAnsi="Times New Roman" w:cs="Times New Roman"/>
          <w:sz w:val="24"/>
          <w:szCs w:val="24"/>
        </w:rPr>
      </w:pPr>
    </w:p>
    <w:p w14:paraId="12E8FBB9"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svarer med de fornødne tilpasninger til den gældende hvidvasklovs § 64, stk. 5 og gennemfører hvidvaskdirektivets artikel 47, stk. 1, litra c, for så vidt angår danske advokater og advokatselskaber, som bedriver advokatvirksomhed i et andet EU- eller EØS-land. </w:t>
      </w:r>
    </w:p>
    <w:p w14:paraId="16D82D39"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359BB80"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bookmarkStart w:id="2157" w:name="_Toc232109429"/>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6, </w:t>
      </w:r>
      <w:r w:rsidRPr="00796736">
        <w:rPr>
          <w:rFonts w:ascii="Times New Roman" w:eastAsia="Times New Roman" w:hAnsi="Times New Roman" w:cs="Times New Roman"/>
          <w:iCs/>
          <w:sz w:val="24"/>
          <w:szCs w:val="24"/>
          <w:lang w:eastAsia="da-DK"/>
        </w:rPr>
        <w:t>at Advokatrådet kan indbringe spørgsmål om andre landes tilsynsorganers manglende efterlevelse af organernes samarbejdsforpligtelser efter hvidvaskdirektivet for AMLA.</w:t>
      </w:r>
    </w:p>
    <w:p w14:paraId="147ADF84"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48DD7F67"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vil indebære, at Advokatrådet kan indbringe spørgsmål om andre landes tilsynsorganers manglende efterlevelse af organernes samarbejdsforpligtelser efter hvidvaskdirektivet for AMLA.</w:t>
      </w:r>
    </w:p>
    <w:p w14:paraId="746D71F3" w14:textId="77777777" w:rsidR="00B23930" w:rsidRPr="00796736" w:rsidRDefault="00B23930" w:rsidP="00A802A5">
      <w:pPr>
        <w:spacing w:line="360" w:lineRule="auto"/>
        <w:rPr>
          <w:rFonts w:ascii="Times New Roman" w:eastAsia="Times New Roman" w:hAnsi="Times New Roman" w:cs="Times New Roman"/>
          <w:iCs/>
          <w:sz w:val="24"/>
          <w:szCs w:val="24"/>
          <w:lang w:eastAsia="da-DK"/>
        </w:rPr>
      </w:pPr>
    </w:p>
    <w:p w14:paraId="25B967D2"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Den foreslåede bestemmelse omfatter for det første den situation, hvor et tilsynsorgan </w:t>
      </w:r>
      <w:r w:rsidRPr="00796736">
        <w:rPr>
          <w:rFonts w:ascii="Times New Roman" w:hAnsi="Times New Roman" w:cs="Times New Roman"/>
          <w:sz w:val="24"/>
          <w:szCs w:val="24"/>
        </w:rPr>
        <w:t xml:space="preserve">ikke har meddelt de oplysninger, der er omhandlet i artikel 47, stk. 1, andet afsnit, litra a og b, hvilket i Danmark vil svare til oplysningspligterne, som følger af det foreslåede stk. 4. Bestemmelsen vil for det andet omfatte den situation, hvor en anmodning om samarbejde er blevet afvist eller ikke er besvaret inden for en rimelig frist. Bestemmelsen vil for det tredje omfatte den situation, at der på grundlag af objektive grunde er uenighed om konstaterede overtrædelser og om de bøder, der skal pålægges, eller administrative foranstaltninger, der skal anvendes overfor advokaten for at afhjælpe disse overtrædelser. Der er ikke tale om en udtømmende opregning. </w:t>
      </w:r>
    </w:p>
    <w:p w14:paraId="54D0B689" w14:textId="77777777" w:rsidR="00B23930" w:rsidRPr="00796736" w:rsidRDefault="00B23930" w:rsidP="00A802A5">
      <w:pPr>
        <w:spacing w:line="360" w:lineRule="auto"/>
        <w:rPr>
          <w:rFonts w:ascii="Times New Roman" w:hAnsi="Times New Roman" w:cs="Times New Roman"/>
          <w:sz w:val="24"/>
          <w:szCs w:val="24"/>
        </w:rPr>
      </w:pPr>
    </w:p>
    <w:p w14:paraId="65F7780A" w14:textId="77777777" w:rsidR="00B23930" w:rsidRPr="00796736" w:rsidRDefault="00B2393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gennemfører hvidvaskdirektivets artikel 47, stk. 3. </w:t>
      </w:r>
    </w:p>
    <w:p w14:paraId="1CC55C4A" w14:textId="0C31477B" w:rsidR="00A16C19" w:rsidRPr="00796736" w:rsidRDefault="00A16C19" w:rsidP="00A802A5">
      <w:pPr>
        <w:pStyle w:val="Undertitel"/>
        <w:rPr>
          <w:iCs/>
        </w:rPr>
      </w:pPr>
      <w:bookmarkStart w:id="2158" w:name="_Toc244879396"/>
      <w:bookmarkStart w:id="2159" w:name="_Toc244880921"/>
      <w:r w:rsidRPr="00796736">
        <w:t xml:space="preserve">Til </w:t>
      </w:r>
      <w:bookmarkEnd w:id="2157"/>
      <w:r w:rsidR="00C86CFF" w:rsidRPr="00796736">
        <w:fldChar w:fldCharType="begin"/>
      </w:r>
      <w:r w:rsidR="00C86CFF" w:rsidRPr="00796736">
        <w:instrText xml:space="preserve"> REF _Ref232609280 \r \h </w:instrText>
      </w:r>
      <w:r w:rsidR="00967618" w:rsidRPr="00796736">
        <w:instrText xml:space="preserve"> \* MERGEFORMAT </w:instrText>
      </w:r>
      <w:r w:rsidR="00C86CFF" w:rsidRPr="00796736">
        <w:fldChar w:fldCharType="separate"/>
      </w:r>
      <w:r w:rsidR="008F29E5">
        <w:t>§ 100</w:t>
      </w:r>
      <w:bookmarkEnd w:id="2158"/>
      <w:bookmarkEnd w:id="2159"/>
      <w:r w:rsidR="00C86CFF" w:rsidRPr="00796736">
        <w:fldChar w:fldCharType="end"/>
      </w:r>
    </w:p>
    <w:p w14:paraId="5A72377B" w14:textId="77777777" w:rsidR="00A16C19" w:rsidRPr="00796736" w:rsidRDefault="00A16C19" w:rsidP="00A802A5">
      <w:pPr>
        <w:spacing w:line="360" w:lineRule="auto"/>
        <w:rPr>
          <w:rFonts w:ascii="Times New Roman" w:hAnsi="Times New Roman" w:cs="Times New Roman"/>
          <w:sz w:val="24"/>
          <w:szCs w:val="24"/>
        </w:rPr>
      </w:pPr>
    </w:p>
    <w:p w14:paraId="6AC75727"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Hvidvasklovens § 56, stk. 4 og 6, og § 63, stk. 4 og 6, indeholder regler om henholdsvis Finanstilsynets og Erhvervsstyrelsens videregivelse af oplysninger til tilsynsmyndigheder i lande uden for EU og EØS. Der findes ikke et tilsvarende regelsæt for Advokatrådet. </w:t>
      </w:r>
    </w:p>
    <w:p w14:paraId="7C675B77" w14:textId="0242074B"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br/>
        <w:t xml:space="preserve">For nærmere om gældende ret henvises til pkt. </w:t>
      </w:r>
      <w:r w:rsidR="00C14270" w:rsidRPr="00796736">
        <w:rPr>
          <w:rFonts w:ascii="Times New Roman" w:eastAsia="Times New Roman" w:hAnsi="Times New Roman" w:cs="Times New Roman"/>
          <w:iCs/>
          <w:sz w:val="24"/>
          <w:szCs w:val="24"/>
          <w:lang w:eastAsia="da-DK"/>
        </w:rPr>
        <w:fldChar w:fldCharType="begin"/>
      </w:r>
      <w:r w:rsidR="00C14270" w:rsidRPr="00796736">
        <w:rPr>
          <w:rFonts w:ascii="Times New Roman" w:eastAsia="Times New Roman" w:hAnsi="Times New Roman" w:cs="Times New Roman"/>
          <w:iCs/>
          <w:sz w:val="24"/>
          <w:szCs w:val="24"/>
          <w:lang w:eastAsia="da-DK"/>
        </w:rPr>
        <w:instrText xml:space="preserve"> REF _Ref232968223 \n \h </w:instrText>
      </w:r>
      <w:r w:rsidR="00967618" w:rsidRPr="00796736">
        <w:rPr>
          <w:rFonts w:ascii="Times New Roman" w:eastAsia="Times New Roman" w:hAnsi="Times New Roman" w:cs="Times New Roman"/>
          <w:iCs/>
          <w:sz w:val="24"/>
          <w:szCs w:val="24"/>
          <w:lang w:eastAsia="da-DK"/>
        </w:rPr>
        <w:instrText xml:space="preserve"> \* MERGEFORMAT </w:instrText>
      </w:r>
      <w:r w:rsidR="00C14270" w:rsidRPr="00796736">
        <w:rPr>
          <w:rFonts w:ascii="Times New Roman" w:eastAsia="Times New Roman" w:hAnsi="Times New Roman" w:cs="Times New Roman"/>
          <w:iCs/>
          <w:sz w:val="24"/>
          <w:szCs w:val="24"/>
          <w:lang w:eastAsia="da-DK"/>
        </w:rPr>
      </w:r>
      <w:r w:rsidR="00C14270"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3.68.1</w:t>
      </w:r>
      <w:r w:rsidR="00C14270" w:rsidRPr="00796736">
        <w:rPr>
          <w:rFonts w:ascii="Times New Roman" w:eastAsia="Times New Roman" w:hAnsi="Times New Roman" w:cs="Times New Roman"/>
          <w:iCs/>
          <w:sz w:val="24"/>
          <w:szCs w:val="24"/>
          <w:lang w:eastAsia="da-DK"/>
        </w:rPr>
        <w:fldChar w:fldCharType="end"/>
      </w:r>
      <w:r w:rsidR="00C14270" w:rsidRPr="00796736">
        <w:rPr>
          <w:rFonts w:ascii="Times New Roman" w:eastAsia="Times New Roman" w:hAnsi="Times New Roman" w:cs="Times New Roman"/>
          <w:iCs/>
          <w:sz w:val="24"/>
          <w:szCs w:val="24"/>
          <w:lang w:eastAsia="da-DK"/>
        </w:rPr>
        <w:t xml:space="preserve"> </w:t>
      </w:r>
      <w:r w:rsidRPr="00796736">
        <w:rPr>
          <w:rFonts w:ascii="Times New Roman" w:hAnsi="Times New Roman" w:cs="Times New Roman"/>
          <w:sz w:val="24"/>
          <w:szCs w:val="24"/>
        </w:rPr>
        <w:t xml:space="preserve">i lovforslagets almindelige bemærkninger. </w:t>
      </w:r>
    </w:p>
    <w:p w14:paraId="242CDE71" w14:textId="77777777" w:rsidR="00A16C19" w:rsidRPr="00796736" w:rsidRDefault="00A16C19" w:rsidP="00A802A5">
      <w:pPr>
        <w:spacing w:line="360" w:lineRule="auto"/>
        <w:rPr>
          <w:rFonts w:ascii="Times New Roman" w:hAnsi="Times New Roman" w:cs="Times New Roman"/>
          <w:sz w:val="24"/>
          <w:szCs w:val="24"/>
        </w:rPr>
      </w:pPr>
    </w:p>
    <w:p w14:paraId="685E526A" w14:textId="3F23F261"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00C14270" w:rsidRPr="00796736">
        <w:rPr>
          <w:rFonts w:ascii="Times New Roman" w:hAnsi="Times New Roman" w:cs="Times New Roman"/>
          <w:i/>
          <w:iCs/>
          <w:sz w:val="24"/>
          <w:szCs w:val="24"/>
        </w:rPr>
        <w:fldChar w:fldCharType="begin"/>
      </w:r>
      <w:r w:rsidR="00C14270" w:rsidRPr="00796736">
        <w:rPr>
          <w:rFonts w:ascii="Times New Roman" w:hAnsi="Times New Roman" w:cs="Times New Roman"/>
          <w:i/>
          <w:iCs/>
          <w:sz w:val="24"/>
          <w:szCs w:val="24"/>
        </w:rPr>
        <w:instrText xml:space="preserve"> REF _Ref232609280 \r \h  \* MERGEFORMAT </w:instrText>
      </w:r>
      <w:r w:rsidR="00C14270" w:rsidRPr="00796736">
        <w:rPr>
          <w:rFonts w:ascii="Times New Roman" w:hAnsi="Times New Roman" w:cs="Times New Roman"/>
          <w:i/>
          <w:iCs/>
          <w:sz w:val="24"/>
          <w:szCs w:val="24"/>
        </w:rPr>
      </w:r>
      <w:r w:rsidR="00C1427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100</w:t>
      </w:r>
      <w:r w:rsidR="00C14270"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stk. 1, 1. pkt.,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 xml:space="preserve">Advokatrådet kan indgå aftaler om samarbejde og udveksling af fortrolige oplysninger med deres modparter i lande uden for EU og EØS. </w:t>
      </w:r>
    </w:p>
    <w:p w14:paraId="3486A813" w14:textId="77777777" w:rsidR="00C14270" w:rsidRPr="00796736" w:rsidRDefault="00C14270" w:rsidP="00A802A5">
      <w:pPr>
        <w:spacing w:line="360" w:lineRule="auto"/>
        <w:rPr>
          <w:rFonts w:ascii="Times New Roman" w:eastAsia="Times New Roman" w:hAnsi="Times New Roman" w:cs="Times New Roman"/>
          <w:iCs/>
          <w:sz w:val="24"/>
          <w:szCs w:val="24"/>
          <w:lang w:eastAsia="da-DK"/>
        </w:rPr>
      </w:pPr>
    </w:p>
    <w:p w14:paraId="077A78F6"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at Advokatrådet kan indgå aftaler vedrørende samarbejde og udveksling af fortrolige oplysninger med deres modparter i lande uden for EU, EØS og Schweiz. </w:t>
      </w:r>
    </w:p>
    <w:p w14:paraId="574C7900"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7E2B89F"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Ved fortrolige oplysninger forstås i denne sammenhæng oplysninger </w:t>
      </w:r>
      <w:r w:rsidRPr="00796736">
        <w:rPr>
          <w:rFonts w:ascii="Times New Roman" w:hAnsi="Times New Roman" w:cs="Times New Roman"/>
          <w:sz w:val="24"/>
          <w:szCs w:val="24"/>
        </w:rPr>
        <w:t>om virksomheders forretningsmæssige forhold og personlige forhold samt andre oplysninger, som efter deres karakter er fortrolige. Ved oplysninger, der efter deres karakter er fortrolige, forstås oplysninger om juridiske personer og oplysninger, som uden at være personoplysninger, af andre grunde er fortrolige. Oplysninger, som efter deres karakter er offentlige, f.eks. regnskaber og selskabsmeddelelser, anses ikke for at være fortrolige oplysninger. Tilsvarende gælder oprindeligt fortrolige oplysninger, som er blevet offentliggjort ad andre kanaler og derved er blevet almindeligt kendte.</w:t>
      </w:r>
    </w:p>
    <w:p w14:paraId="3908C0A9" w14:textId="77777777" w:rsidR="005424F4" w:rsidRPr="00796736" w:rsidRDefault="005424F4" w:rsidP="00A802A5">
      <w:pPr>
        <w:spacing w:line="360" w:lineRule="auto"/>
        <w:rPr>
          <w:rFonts w:ascii="Times New Roman" w:hAnsi="Times New Roman" w:cs="Times New Roman"/>
          <w:sz w:val="24"/>
          <w:szCs w:val="24"/>
        </w:rPr>
      </w:pPr>
    </w:p>
    <w:p w14:paraId="0166411E" w14:textId="77777777" w:rsidR="005424F4" w:rsidRPr="00796736" w:rsidRDefault="005424F4"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bemærkes, at den foreslåede bestemmelse også vil kunne give mulighed for at indgå samarbejdsaftaler, som omfatter oplysninger, som vedrører klienters forhold, herunder oplysninger om klienters sager eller opdrag. Sådanne oplysninger vil være omfattet af advokaters tavshedspligt og klientbeskyttelsen. Omfatter aftalerne tillige sådanne oplysninger, vil det indebære en begrænsning af, hvilke modparter, som Advokatrådet i medfør af den foreslåede bestemmelse vil kunne indgå aftaler med. Der henvises til bemærkningerne til 2. pkt. nedenfor. </w:t>
      </w:r>
    </w:p>
    <w:p w14:paraId="2164BDA3"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F35B8BE"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Ved modparter i lande uden for EU, EØS eller Schweiz skal forstås relevante tilsynsorganer, tilsynsmyndigheder eller selvregulerende organer i lande uden for EU, EØS eller Schweiz, som fører tilsyn med advokathvervet på hvidvaskområdet. Advokatrådet vil i medfør af gældende ret skulle sikre, at overførsel af personoplysninger sker i overensstemmelse med databeskyttelsesforordningen og databeskyttelseslovens regler om tredjelandsoverførsler og at de indgåede samarbejdsaftaler lever op til databeskyttelsesforordningens og -lovens krav.</w:t>
      </w:r>
    </w:p>
    <w:p w14:paraId="18A2F355"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459AA1AB" w14:textId="31A5D246"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2. pkt., </w:t>
      </w:r>
      <w:r w:rsidRPr="00796736">
        <w:rPr>
          <w:rFonts w:ascii="Times New Roman" w:eastAsia="Times New Roman" w:hAnsi="Times New Roman" w:cs="Times New Roman"/>
          <w:iCs/>
          <w:sz w:val="24"/>
          <w:szCs w:val="24"/>
          <w:lang w:eastAsia="da-DK"/>
        </w:rPr>
        <w:t xml:space="preserve">at aftaler efter 1. pkt. skal være gensidige og underlagt garanti om tavshedspligt, som svarer til </w:t>
      </w:r>
      <w:r w:rsidRPr="00796736">
        <w:rPr>
          <w:rFonts w:ascii="Times New Roman" w:hAnsi="Times New Roman" w:cs="Times New Roman"/>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_Ref239246753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eastAsia="Times New Roman" w:hAnsi="Times New Roman" w:cs="Times New Roman"/>
          <w:iCs/>
          <w:sz w:val="24"/>
          <w:szCs w:val="24"/>
          <w:lang w:eastAsia="da-DK"/>
        </w:rPr>
        <w:t>§ 109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w:t>
      </w:r>
      <w:r w:rsidRPr="00796736">
        <w:rPr>
          <w:rFonts w:ascii="Times New Roman" w:eastAsia="Times New Roman" w:hAnsi="Times New Roman" w:cs="Times New Roman"/>
          <w:iCs/>
          <w:sz w:val="24"/>
          <w:szCs w:val="24"/>
          <w:lang w:eastAsia="da-DK"/>
        </w:rPr>
        <w:t xml:space="preserve"> </w:t>
      </w:r>
    </w:p>
    <w:p w14:paraId="2E9A5559"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D02696E"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foreslåede vil indebære, at modparterne i det modtagende land skal være underlagt krav om tavshedspligt, der mindst svarer til de krav, der gælder for tilsynsorganerne i EU, EØS eller Schweiz, og at dette på tidspunktet for Advokatrådets indgåelse af samarbejdsaftalen med sikkerhed kan lægges til grund. Der er på dette punkt tale om en videreførelse af de krav, som i dag gælder for Finanstilsynet og Erhvervsstyrelsen i medfør af henholdsvis § 56, stk. 4, og § 63, stk. 4, i hvidvaskloven. </w:t>
      </w:r>
    </w:p>
    <w:p w14:paraId="1A127D50" w14:textId="77777777" w:rsidR="005424F4" w:rsidRPr="00796736" w:rsidRDefault="005424F4" w:rsidP="00A802A5">
      <w:pPr>
        <w:spacing w:line="360" w:lineRule="auto"/>
        <w:rPr>
          <w:rFonts w:ascii="Times New Roman" w:eastAsia="Times New Roman" w:hAnsi="Times New Roman" w:cs="Times New Roman"/>
          <w:iCs/>
          <w:sz w:val="24"/>
          <w:szCs w:val="24"/>
          <w:lang w:eastAsia="da-DK"/>
        </w:rPr>
      </w:pPr>
    </w:p>
    <w:p w14:paraId="17145002" w14:textId="77777777" w:rsidR="005424F4" w:rsidRPr="00796736" w:rsidRDefault="005424F4"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bemærkes, at i det omfang der er tale om indgåelse af aftaler om oplysninger omfattet af advokaters tavshedspligt og klientbeskyttelsen, vil kravet om gensidighed indebære en begrænsning af, hvilke modparter, som Advokatrådet vil kunne indgå aftaler med. Det forudsættes således, at Advokatrådet kun vil kunne dele sådanne oplysninger med modparter, der efter national ret i tredjelandet er underlagt de samme retlige standarder og uafhængighed som Advokatrådet i Danmark. </w:t>
      </w:r>
    </w:p>
    <w:p w14:paraId="4A11D1B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8A83C45"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gennemfører sammen med stk. 2 hvidvaskdirektivets artikel 51, stk. 1. </w:t>
      </w:r>
    </w:p>
    <w:p w14:paraId="591CD92A"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42C3FFA4" w14:textId="7ADDB218"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00C14270" w:rsidRPr="00796736">
        <w:rPr>
          <w:rFonts w:ascii="Times New Roman" w:hAnsi="Times New Roman" w:cs="Times New Roman"/>
          <w:i/>
          <w:iCs/>
          <w:sz w:val="24"/>
          <w:szCs w:val="24"/>
        </w:rPr>
        <w:fldChar w:fldCharType="begin"/>
      </w:r>
      <w:r w:rsidR="00C14270" w:rsidRPr="00796736">
        <w:rPr>
          <w:rFonts w:ascii="Times New Roman" w:hAnsi="Times New Roman" w:cs="Times New Roman"/>
          <w:i/>
          <w:iCs/>
          <w:sz w:val="24"/>
          <w:szCs w:val="24"/>
        </w:rPr>
        <w:instrText xml:space="preserve"> REF _Ref232609280 \r \h  \* MERGEFORMAT </w:instrText>
      </w:r>
      <w:r w:rsidR="00C14270" w:rsidRPr="00796736">
        <w:rPr>
          <w:rFonts w:ascii="Times New Roman" w:hAnsi="Times New Roman" w:cs="Times New Roman"/>
          <w:i/>
          <w:iCs/>
          <w:sz w:val="24"/>
          <w:szCs w:val="24"/>
        </w:rPr>
      </w:r>
      <w:r w:rsidR="00C1427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100</w:t>
      </w:r>
      <w:r w:rsidR="00C14270" w:rsidRPr="00796736">
        <w:rPr>
          <w:rFonts w:ascii="Times New Roman" w:hAnsi="Times New Roman" w:cs="Times New Roman"/>
          <w:i/>
          <w:iCs/>
          <w:sz w:val="24"/>
          <w:szCs w:val="24"/>
        </w:rPr>
        <w:fldChar w:fldCharType="end"/>
      </w:r>
      <w:r w:rsidRPr="00796736">
        <w:rPr>
          <w:rFonts w:ascii="Times New Roman" w:eastAsia="Times New Roman" w:hAnsi="Times New Roman" w:cs="Times New Roman"/>
          <w:i/>
          <w:sz w:val="24"/>
          <w:szCs w:val="24"/>
          <w:lang w:eastAsia="da-DK"/>
        </w:rPr>
        <w:t xml:space="preserve">, stk. 2, 1. pkt., </w:t>
      </w:r>
      <w:r w:rsidRPr="00796736">
        <w:rPr>
          <w:rFonts w:ascii="Times New Roman" w:eastAsia="Times New Roman" w:hAnsi="Times New Roman" w:cs="Times New Roman"/>
          <w:iCs/>
          <w:sz w:val="24"/>
          <w:szCs w:val="24"/>
          <w:lang w:eastAsia="da-DK"/>
        </w:rPr>
        <w:t>at udveksling af fortrolige oplysninger efter samarbejdsaftaler efter stk. 1 kun må ske med henblik på Advokatrådet og dets modparts udførelse af tilsynsopgaver</w:t>
      </w:r>
      <w:r w:rsidR="00306122" w:rsidRPr="00796736">
        <w:rPr>
          <w:rFonts w:ascii="Times New Roman" w:eastAsia="Times New Roman" w:hAnsi="Times New Roman" w:cs="Times New Roman"/>
          <w:iCs/>
          <w:sz w:val="24"/>
          <w:szCs w:val="24"/>
          <w:lang w:eastAsia="da-DK"/>
        </w:rPr>
        <w:t>.</w:t>
      </w:r>
    </w:p>
    <w:p w14:paraId="7433192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759FB69"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at udveksling af fortrolige oplysninger efter samarbejdsaftaler efter det foreslåede stk. 1 kun må ske med henblik på henholdsvis Advokatrådet og dets modparts udførelse af tilsynsopgaver, det vil sige Advokatrådets tilsynsopgaver i medfør af de foreslåede tilsynsbestemmelser og den relevante modparts tilsynsopgaver i det pågældende tredjeland. </w:t>
      </w:r>
    </w:p>
    <w:p w14:paraId="020ED52C"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E14AD4A"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indebærer en begrænsning af, til hvilke formål de udvekslede oplysninger må anvendes. </w:t>
      </w:r>
    </w:p>
    <w:p w14:paraId="4A489B1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70C17296"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2, 2. pkt., </w:t>
      </w:r>
      <w:r w:rsidRPr="00796736">
        <w:rPr>
          <w:rFonts w:ascii="Times New Roman" w:eastAsia="Times New Roman" w:hAnsi="Times New Roman" w:cs="Times New Roman"/>
          <w:iCs/>
          <w:sz w:val="24"/>
          <w:szCs w:val="24"/>
          <w:lang w:eastAsia="da-DK"/>
        </w:rPr>
        <w:t xml:space="preserve">at oplysninger, som Advokatrådet har modtaget fra et tilsynsorgan i en anden EU-medlemsstat eller EØS-medlemsstat, kun må videregives med dette organs udtrykkelige samtykke og kun til formål omfattet af dette samtykke. </w:t>
      </w:r>
    </w:p>
    <w:p w14:paraId="184CB46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9B63812"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at oplysninger, som Advokatrådet har modtaget fra et tilsynsorgan i en anden EU-medlemsstat, EØS-land eller Schweiz, kun må videregives med dette tilsynsorgans udtrykkelige samtykke og kun til formål omfattet af dette samtykke. </w:t>
      </w:r>
    </w:p>
    <w:p w14:paraId="54435477"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60C47C0"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foreslåede stk. 2 svarer med visse tilpasninger til, hvad der i medfør af § 56, stk. 6, og § 63, stk. 6, i dag gælder for henholdsvis Finanstilsynet og Erhvervsstyrelsen. </w:t>
      </w:r>
    </w:p>
    <w:p w14:paraId="10296785"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F7519D5"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gennemfører sammen med det foreslåede stk. 1 hvidvaskdirektivets artikel 51, stk. 1. </w:t>
      </w:r>
    </w:p>
    <w:p w14:paraId="6A6CC2EA"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97E703C" w14:textId="584DD48C"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00C14270" w:rsidRPr="00796736">
        <w:rPr>
          <w:rFonts w:ascii="Times New Roman" w:hAnsi="Times New Roman" w:cs="Times New Roman"/>
          <w:i/>
          <w:iCs/>
          <w:sz w:val="24"/>
          <w:szCs w:val="24"/>
        </w:rPr>
        <w:fldChar w:fldCharType="begin"/>
      </w:r>
      <w:r w:rsidR="00C14270" w:rsidRPr="00796736">
        <w:rPr>
          <w:rFonts w:ascii="Times New Roman" w:hAnsi="Times New Roman" w:cs="Times New Roman"/>
          <w:i/>
          <w:iCs/>
          <w:sz w:val="24"/>
          <w:szCs w:val="24"/>
        </w:rPr>
        <w:instrText xml:space="preserve"> REF _Ref232609280 \r \h  \* MERGEFORMAT </w:instrText>
      </w:r>
      <w:r w:rsidR="00C14270" w:rsidRPr="00796736">
        <w:rPr>
          <w:rFonts w:ascii="Times New Roman" w:hAnsi="Times New Roman" w:cs="Times New Roman"/>
          <w:i/>
          <w:iCs/>
          <w:sz w:val="24"/>
          <w:szCs w:val="24"/>
        </w:rPr>
      </w:r>
      <w:r w:rsidR="00C14270"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100</w:t>
      </w:r>
      <w:r w:rsidR="00C14270" w:rsidRPr="00796736">
        <w:rPr>
          <w:rFonts w:ascii="Times New Roman" w:hAnsi="Times New Roman" w:cs="Times New Roman"/>
          <w:i/>
          <w:iCs/>
          <w:sz w:val="24"/>
          <w:szCs w:val="24"/>
        </w:rPr>
        <w:fldChar w:fldCharType="end"/>
      </w:r>
      <w:r w:rsidRPr="00796736">
        <w:rPr>
          <w:rFonts w:ascii="Times New Roman" w:eastAsia="Times New Roman" w:hAnsi="Times New Roman" w:cs="Times New Roman"/>
          <w:i/>
          <w:sz w:val="24"/>
          <w:szCs w:val="24"/>
          <w:lang w:eastAsia="da-DK"/>
        </w:rPr>
        <w:t xml:space="preserve">, stk. 3, </w:t>
      </w:r>
      <w:r w:rsidRPr="00796736">
        <w:rPr>
          <w:rFonts w:ascii="Times New Roman" w:eastAsia="Times New Roman" w:hAnsi="Times New Roman" w:cs="Times New Roman"/>
          <w:iCs/>
          <w:sz w:val="24"/>
          <w:szCs w:val="24"/>
          <w:lang w:eastAsia="da-DK"/>
        </w:rPr>
        <w:t>at Advokatrådet senest 1 måned efter undertegnelsen underretter AMLA om enhver aftale efter stk. 1</w:t>
      </w:r>
    </w:p>
    <w:p w14:paraId="32A496D9"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F3BCFA2"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at Advokatrådet vil skulle underrette AMLA om samarbejdsaftaler, som indgås med tilsynsmyndigheder i lande uden for EU og EØS. Underretningen vil skulle sætte AMLA i stand til at vurdere ækvivalensen af de krav om tavshedspligt, der gælder for modparten i tredjelande, og vil dermed bl.a. skulle forsynes med oplysninger herom. </w:t>
      </w:r>
    </w:p>
    <w:p w14:paraId="64995AA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E1B1A71" w14:textId="1EE07FD4"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gennemfører hvidvaskdirektivets artikel 51, stk. 3. </w:t>
      </w:r>
    </w:p>
    <w:p w14:paraId="50D239EA" w14:textId="77777777" w:rsidR="00A16C19" w:rsidRPr="00796736" w:rsidRDefault="00A16C19" w:rsidP="00A802A5">
      <w:pPr>
        <w:spacing w:line="360" w:lineRule="auto"/>
        <w:rPr>
          <w:rFonts w:ascii="Times New Roman" w:hAnsi="Times New Roman" w:cs="Times New Roman"/>
          <w:sz w:val="24"/>
          <w:szCs w:val="24"/>
        </w:rPr>
      </w:pPr>
    </w:p>
    <w:p w14:paraId="2C04B02F" w14:textId="754F1CC1" w:rsidR="00A16C19" w:rsidRPr="00796736" w:rsidRDefault="00A16C19" w:rsidP="00A802A5">
      <w:pPr>
        <w:pStyle w:val="Undertitel"/>
      </w:pPr>
      <w:bookmarkStart w:id="2160" w:name="_Toc232109430"/>
      <w:bookmarkStart w:id="2161" w:name="_Toc244879397"/>
      <w:bookmarkStart w:id="2162" w:name="_Toc244880922"/>
      <w:r w:rsidRPr="00796736">
        <w:t xml:space="preserve">Til </w:t>
      </w:r>
      <w:bookmarkEnd w:id="2160"/>
      <w:r w:rsidR="00C86CFF" w:rsidRPr="00796736">
        <w:fldChar w:fldCharType="begin"/>
      </w:r>
      <w:r w:rsidR="00C86CFF" w:rsidRPr="00796736">
        <w:instrText xml:space="preserve"> REF _Ref232609304 \r \h </w:instrText>
      </w:r>
      <w:r w:rsidR="00967618" w:rsidRPr="00796736">
        <w:instrText xml:space="preserve"> \* MERGEFORMAT </w:instrText>
      </w:r>
      <w:r w:rsidR="00C86CFF" w:rsidRPr="00796736">
        <w:fldChar w:fldCharType="separate"/>
      </w:r>
      <w:r w:rsidR="008F29E5">
        <w:t>§ 101</w:t>
      </w:r>
      <w:bookmarkEnd w:id="2161"/>
      <w:bookmarkEnd w:id="2162"/>
      <w:r w:rsidR="00C86CFF" w:rsidRPr="00796736">
        <w:fldChar w:fldCharType="end"/>
      </w:r>
    </w:p>
    <w:p w14:paraId="4FA75DE0" w14:textId="77777777" w:rsidR="00F15CA0" w:rsidRPr="00796736" w:rsidRDefault="00F15CA0" w:rsidP="00A802A5">
      <w:pPr>
        <w:spacing w:line="360" w:lineRule="auto"/>
        <w:rPr>
          <w:rFonts w:ascii="Times New Roman" w:hAnsi="Times New Roman" w:cs="Times New Roman"/>
          <w:sz w:val="24"/>
          <w:szCs w:val="24"/>
          <w:lang w:eastAsia="da-DK"/>
        </w:rPr>
      </w:pPr>
    </w:p>
    <w:p w14:paraId="4AE7BD4F"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64, stk. 2, kan Advokatrådet inden for en af Advokatrådet fastsat frist påbyde advokater som nævnt i stk. 1 at foretage de nødvendige foranstaltninger i tilfælde af overtrædelse af bestemmelser i hvidvaskloven, regler fastsat i medfør heraf eller forordninger indeholdende regler om finansielle sanktioner mod lande, personer, grupper, juridiske enheder eller organer. </w:t>
      </w:r>
    </w:p>
    <w:p w14:paraId="37566F6B" w14:textId="77777777" w:rsidR="00A16C19" w:rsidRPr="00796736" w:rsidRDefault="00A16C19" w:rsidP="00A802A5">
      <w:pPr>
        <w:spacing w:line="360" w:lineRule="auto"/>
        <w:rPr>
          <w:rFonts w:ascii="Times New Roman" w:hAnsi="Times New Roman" w:cs="Times New Roman"/>
          <w:sz w:val="24"/>
          <w:szCs w:val="24"/>
        </w:rPr>
      </w:pPr>
    </w:p>
    <w:p w14:paraId="7CF59640" w14:textId="77777777" w:rsidR="00361B87" w:rsidRPr="00D253F0" w:rsidRDefault="00361B87"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Reglerne om Advokatnævnets reaktionsmuligheder i disciplinærsager findes i retsplejelovens kapitel 15 b, herunder retsplejelovens § 147 c, </w:t>
      </w:r>
      <w:r>
        <w:rPr>
          <w:rFonts w:ascii="Times New Roman" w:hAnsi="Times New Roman" w:cs="Times New Roman"/>
          <w:sz w:val="24"/>
          <w:szCs w:val="24"/>
        </w:rPr>
        <w:t>om Advokatnævnets muligheder for at ikende advokater bøder for overtrædelse af god advokatskik, fratage advokater konkrete sager, frakende advokater retten til at udføre forretninger af en nærmere angivet karakter og frakende advokater retten til at udøve advokatvirksomhed</w:t>
      </w:r>
      <w:r w:rsidRPr="00D253F0">
        <w:rPr>
          <w:rFonts w:ascii="Times New Roman" w:hAnsi="Times New Roman" w:cs="Times New Roman"/>
          <w:sz w:val="24"/>
          <w:szCs w:val="24"/>
        </w:rPr>
        <w:t>,</w:t>
      </w:r>
      <w:r>
        <w:rPr>
          <w:rFonts w:ascii="Times New Roman" w:hAnsi="Times New Roman" w:cs="Times New Roman"/>
          <w:sz w:val="24"/>
          <w:szCs w:val="24"/>
        </w:rPr>
        <w:t xml:space="preserve"> ligesom bestemmelsen indeholder regler</w:t>
      </w:r>
      <w:r w:rsidRPr="00D253F0">
        <w:rPr>
          <w:rFonts w:ascii="Times New Roman" w:hAnsi="Times New Roman" w:cs="Times New Roman"/>
          <w:sz w:val="24"/>
          <w:szCs w:val="24"/>
        </w:rPr>
        <w:t xml:space="preserve"> om Advokatnævnets mulighed for at pålægge advokater tvangsbøder med henblik på vedkommendes efterlevelse af forpligtelser efter retsplejeloven og regler udstedt i medfør heraf. </w:t>
      </w:r>
    </w:p>
    <w:p w14:paraId="5102844C" w14:textId="77777777" w:rsidR="00A16C19" w:rsidRPr="00796736" w:rsidRDefault="00A16C19" w:rsidP="00A802A5">
      <w:pPr>
        <w:spacing w:line="360" w:lineRule="auto"/>
        <w:rPr>
          <w:rFonts w:ascii="Times New Roman" w:hAnsi="Times New Roman" w:cs="Times New Roman"/>
          <w:sz w:val="24"/>
          <w:szCs w:val="24"/>
        </w:rPr>
      </w:pPr>
    </w:p>
    <w:p w14:paraId="689A4680" w14:textId="1602B12F"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gældende ret henvises til pkt. </w:t>
      </w:r>
      <w:r w:rsidR="003B185A" w:rsidRPr="00796736">
        <w:rPr>
          <w:rFonts w:ascii="Times New Roman" w:hAnsi="Times New Roman" w:cs="Times New Roman"/>
          <w:sz w:val="24"/>
          <w:szCs w:val="24"/>
        </w:rPr>
        <w:fldChar w:fldCharType="begin"/>
      </w:r>
      <w:r w:rsidR="003B185A" w:rsidRPr="00796736">
        <w:rPr>
          <w:rFonts w:ascii="Times New Roman" w:hAnsi="Times New Roman" w:cs="Times New Roman"/>
          <w:sz w:val="24"/>
          <w:szCs w:val="24"/>
        </w:rPr>
        <w:instrText xml:space="preserve"> REF _Ref232968328 \n \h </w:instrText>
      </w:r>
      <w:r w:rsidR="00967618" w:rsidRPr="00796736">
        <w:rPr>
          <w:rFonts w:ascii="Times New Roman" w:hAnsi="Times New Roman" w:cs="Times New Roman"/>
          <w:sz w:val="24"/>
          <w:szCs w:val="24"/>
        </w:rPr>
        <w:instrText xml:space="preserve"> \* MERGEFORMAT </w:instrText>
      </w:r>
      <w:r w:rsidR="003B185A" w:rsidRPr="00796736">
        <w:rPr>
          <w:rFonts w:ascii="Times New Roman" w:hAnsi="Times New Roman" w:cs="Times New Roman"/>
          <w:sz w:val="24"/>
          <w:szCs w:val="24"/>
        </w:rPr>
      </w:r>
      <w:r w:rsidR="003B185A"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w:t>
      </w:r>
      <w:r w:rsidR="003B185A" w:rsidRPr="00796736">
        <w:rPr>
          <w:rFonts w:ascii="Times New Roman" w:hAnsi="Times New Roman" w:cs="Times New Roman"/>
          <w:sz w:val="24"/>
          <w:szCs w:val="24"/>
        </w:rPr>
        <w:fldChar w:fldCharType="end"/>
      </w:r>
      <w:r w:rsidR="003B185A" w:rsidRPr="00796736">
        <w:rPr>
          <w:rFonts w:ascii="Times New Roman" w:hAnsi="Times New Roman" w:cs="Times New Roman"/>
          <w:sz w:val="24"/>
          <w:szCs w:val="24"/>
        </w:rPr>
        <w:t xml:space="preserve"> </w:t>
      </w:r>
      <w:r w:rsidRPr="00796736">
        <w:rPr>
          <w:rFonts w:ascii="Times New Roman" w:hAnsi="Times New Roman" w:cs="Times New Roman"/>
          <w:sz w:val="24"/>
          <w:szCs w:val="24"/>
        </w:rPr>
        <w:t xml:space="preserve">i de almindelige bemærkninger. </w:t>
      </w:r>
    </w:p>
    <w:p w14:paraId="018F961D" w14:textId="77777777" w:rsidR="00A16C19" w:rsidRPr="00796736" w:rsidRDefault="00A16C19" w:rsidP="00A802A5">
      <w:pPr>
        <w:spacing w:line="360" w:lineRule="auto"/>
        <w:rPr>
          <w:rFonts w:ascii="Times New Roman" w:hAnsi="Times New Roman" w:cs="Times New Roman"/>
          <w:sz w:val="24"/>
          <w:szCs w:val="24"/>
        </w:rPr>
      </w:pPr>
    </w:p>
    <w:p w14:paraId="29BF49E6" w14:textId="5AD58D71"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sz w:val="24"/>
          <w:szCs w:val="24"/>
        </w:rPr>
        <w:instrText xml:space="preserve"> REF _Ref242893180 \r \h </w:instrText>
      </w:r>
      <w:r w:rsidR="00AB17CC" w:rsidRPr="00796736">
        <w:rPr>
          <w:rFonts w:ascii="Times New Roman" w:hAnsi="Times New Roman" w:cs="Times New Roman"/>
          <w:i/>
          <w:iCs/>
          <w:sz w:val="24"/>
          <w:szCs w:val="24"/>
        </w:rPr>
        <w:instrText xml:space="preserve">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sz w:val="24"/>
          <w:szCs w:val="24"/>
        </w:rPr>
        <w:t>§ 101</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iCs/>
          <w:sz w:val="24"/>
          <w:szCs w:val="24"/>
          <w:lang w:eastAsia="da-DK"/>
        </w:rPr>
        <w:t xml:space="preserve">Advokatrådet kan iværksætte eller indstille til iværksættelse af foranstaltninger efter </w:t>
      </w:r>
      <w:r w:rsidR="003013DF">
        <w:rPr>
          <w:rFonts w:ascii="Times New Roman" w:hAnsi="Times New Roman" w:cs="Times New Roman"/>
          <w:sz w:val="24"/>
          <w:szCs w:val="24"/>
          <w:lang w:eastAsia="da-DK"/>
        </w:rPr>
        <w:fldChar w:fldCharType="begin"/>
      </w:r>
      <w:r w:rsidR="003013DF">
        <w:rPr>
          <w:rFonts w:ascii="Times New Roman" w:eastAsia="Times New Roman" w:hAnsi="Times New Roman" w:cs="Times New Roman"/>
          <w:iCs/>
          <w:sz w:val="24"/>
          <w:szCs w:val="24"/>
          <w:lang w:eastAsia="da-DK"/>
        </w:rPr>
        <w:instrText xml:space="preserve"> REF _Ref244787564 \r \h </w:instrText>
      </w:r>
      <w:r w:rsidR="003013DF">
        <w:rPr>
          <w:rFonts w:ascii="Times New Roman" w:hAnsi="Times New Roman" w:cs="Times New Roman"/>
          <w:sz w:val="24"/>
          <w:szCs w:val="24"/>
          <w:lang w:eastAsia="da-DK"/>
        </w:rPr>
      </w:r>
      <w:r w:rsidR="003013DF">
        <w:rPr>
          <w:rFonts w:ascii="Times New Roman" w:hAnsi="Times New Roman" w:cs="Times New Roman"/>
          <w:sz w:val="24"/>
          <w:szCs w:val="24"/>
          <w:lang w:eastAsia="da-DK"/>
        </w:rPr>
        <w:fldChar w:fldCharType="separate"/>
      </w:r>
      <w:r w:rsidR="003013DF">
        <w:rPr>
          <w:rFonts w:ascii="Times New Roman" w:eastAsia="Times New Roman" w:hAnsi="Times New Roman" w:cs="Times New Roman"/>
          <w:iCs/>
          <w:sz w:val="24"/>
          <w:szCs w:val="24"/>
          <w:lang w:eastAsia="da-DK"/>
        </w:rPr>
        <w:t>§ 102</w:t>
      </w:r>
      <w:r w:rsidR="003013DF">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_Ref236987494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overfor advokater, hvis rådet konstaterer </w:t>
      </w:r>
      <w:r w:rsidRPr="00796736">
        <w:rPr>
          <w:rFonts w:ascii="Times New Roman" w:eastAsia="Times New Roman" w:hAnsi="Times New Roman" w:cs="Times New Roman"/>
          <w:iCs/>
          <w:sz w:val="24"/>
          <w:szCs w:val="24"/>
          <w:lang w:eastAsia="da-DK"/>
        </w:rPr>
        <w:t xml:space="preserve"> </w:t>
      </w:r>
    </w:p>
    <w:p w14:paraId="2A82BBB9" w14:textId="474DA75B" w:rsidR="00306122" w:rsidRPr="00796736" w:rsidRDefault="00306122">
      <w:pPr>
        <w:pStyle w:val="Listeafsnit"/>
        <w:numPr>
          <w:ilvl w:val="0"/>
          <w:numId w:val="38"/>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overtrædelser af de regler, der er nævnt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w:t>
      </w:r>
    </w:p>
    <w:p w14:paraId="74686066" w14:textId="4E36D4AC" w:rsidR="00306122" w:rsidRPr="00796736" w:rsidRDefault="00306122">
      <w:pPr>
        <w:pStyle w:val="Listeafsnit"/>
        <w:numPr>
          <w:ilvl w:val="0"/>
          <w:numId w:val="38"/>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svagheder i interne politikker, procedurer og kontroller, som sandsynligvis vil medføre en overtrædelse af de regler, der er nævnt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og administrative foranstaltninger kan forhindre forekomsten af sådanne overtrædelser eller mindske risikoen herfor, eller</w:t>
      </w:r>
    </w:p>
    <w:p w14:paraId="63473219" w14:textId="2C7B29FA" w:rsidR="00306122" w:rsidRPr="00361B87" w:rsidRDefault="00306122">
      <w:pPr>
        <w:pStyle w:val="Listeafsnit"/>
        <w:numPr>
          <w:ilvl w:val="0"/>
          <w:numId w:val="38"/>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at </w:t>
      </w:r>
      <w:r w:rsidR="00361B87" w:rsidRPr="00D253F0">
        <w:rPr>
          <w:rFonts w:ascii="Times New Roman" w:eastAsia="Times New Roman" w:hAnsi="Times New Roman" w:cs="Times New Roman"/>
          <w:iCs/>
          <w:sz w:val="24"/>
          <w:szCs w:val="24"/>
          <w:lang w:eastAsia="da-DK"/>
        </w:rPr>
        <w:t>advokaten</w:t>
      </w:r>
      <w:r w:rsidR="00361B87">
        <w:rPr>
          <w:rFonts w:ascii="Times New Roman" w:eastAsia="Times New Roman" w:hAnsi="Times New Roman" w:cs="Times New Roman"/>
          <w:iCs/>
          <w:sz w:val="24"/>
          <w:szCs w:val="24"/>
          <w:lang w:eastAsia="da-DK"/>
        </w:rPr>
        <w:t>s</w:t>
      </w:r>
      <w:r w:rsidR="00361B87" w:rsidRPr="00D253F0">
        <w:rPr>
          <w:rFonts w:ascii="Times New Roman" w:eastAsia="Times New Roman" w:hAnsi="Times New Roman" w:cs="Times New Roman"/>
          <w:iCs/>
          <w:sz w:val="24"/>
          <w:szCs w:val="24"/>
          <w:lang w:eastAsia="da-DK"/>
        </w:rPr>
        <w:t xml:space="preserve"> interne politikker, procedurer og kontroller ikke står i rimeligt forhold til de risici for hvidvask, underliggende lovovertrædelser, </w:t>
      </w:r>
      <w:r w:rsidR="00361B87">
        <w:rPr>
          <w:rFonts w:ascii="Times New Roman" w:eastAsia="Times New Roman" w:hAnsi="Times New Roman" w:cs="Times New Roman"/>
          <w:iCs/>
          <w:sz w:val="24"/>
          <w:szCs w:val="24"/>
          <w:lang w:eastAsia="da-DK"/>
        </w:rPr>
        <w:t>terror</w:t>
      </w:r>
      <w:r w:rsidR="00361B87" w:rsidRPr="00D253F0">
        <w:rPr>
          <w:rFonts w:ascii="Times New Roman" w:eastAsia="Times New Roman" w:hAnsi="Times New Roman" w:cs="Times New Roman"/>
          <w:iCs/>
          <w:sz w:val="24"/>
          <w:szCs w:val="24"/>
          <w:lang w:eastAsia="da-DK"/>
        </w:rPr>
        <w:t>finansiering eller overtrædelse af regler om finansielle sanktioner, som advokaten er eksponeret for.</w:t>
      </w:r>
    </w:p>
    <w:p w14:paraId="3D59CB77"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38DF5AAA" w14:textId="05AB921C"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indeholder betingelserne for, hvornår der kan iværksættes administrative foranstaltninger over for advokater omfattet af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og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_Ref232609241 \r \h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99</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dvs. danske advokater, EU- og EØS-advokater samt schweiziske advokater. Den foreslåede bestemmelse omfatter tre forskellige situationer, som Advokatrådet som led i sit risikobaserede tilsyn konstaterer, hvor der vil kunne iværksættes en række administrative foranstaltninger.</w:t>
      </w:r>
    </w:p>
    <w:p w14:paraId="30128922"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4E715744" w14:textId="77777777" w:rsidR="00A66FE2" w:rsidRPr="00796736" w:rsidRDefault="00A66FE2" w:rsidP="00A66FE2">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Advokatrådet vil for det første kunne iværksætte foranstaltninger </w:t>
      </w:r>
      <w:r>
        <w:rPr>
          <w:rFonts w:ascii="Times New Roman" w:eastAsia="Times New Roman" w:hAnsi="Times New Roman" w:cs="Times New Roman"/>
          <w:iCs/>
          <w:sz w:val="24"/>
          <w:szCs w:val="24"/>
          <w:lang w:eastAsia="da-DK"/>
        </w:rPr>
        <w:t xml:space="preserve">eller indstille til, at Advokatnævnet iværksætter administrative foranstaltninger </w:t>
      </w:r>
      <w:r w:rsidRPr="00796736">
        <w:rPr>
          <w:rFonts w:ascii="Times New Roman" w:eastAsia="Times New Roman" w:hAnsi="Times New Roman" w:cs="Times New Roman"/>
          <w:iCs/>
          <w:sz w:val="24"/>
          <w:szCs w:val="24"/>
          <w:lang w:eastAsia="da-DK"/>
        </w:rPr>
        <w:t xml:space="preserve">efter stk. 1, nr. 1, hvis rådet konstaterer overtrædelser af hvidvaskforordningen, denne lov eller regler udstedt i medfør af denne lov. </w:t>
      </w:r>
    </w:p>
    <w:p w14:paraId="02008736" w14:textId="54DC1A9C"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4A094061" w14:textId="77777777" w:rsidR="00C73C3F" w:rsidRPr="00796736" w:rsidRDefault="00C73C3F" w:rsidP="00C73C3F">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Advokatrådet vil for det andet efter det foreslåede stk. 1, nr. 2</w:t>
      </w:r>
      <w:r>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t xml:space="preserve"> kunne</w:t>
      </w:r>
      <w:r>
        <w:rPr>
          <w:rFonts w:ascii="Times New Roman" w:eastAsia="Times New Roman" w:hAnsi="Times New Roman" w:cs="Times New Roman"/>
          <w:iCs/>
          <w:sz w:val="24"/>
          <w:szCs w:val="24"/>
          <w:lang w:eastAsia="da-DK"/>
        </w:rPr>
        <w:t xml:space="preserve"> iværksætte administrative foranstaltninger</w:t>
      </w:r>
      <w:r w:rsidRPr="00796736">
        <w:rPr>
          <w:rFonts w:ascii="Times New Roman" w:eastAsia="Times New Roman" w:hAnsi="Times New Roman" w:cs="Times New Roman"/>
          <w:iCs/>
          <w:sz w:val="24"/>
          <w:szCs w:val="24"/>
          <w:lang w:eastAsia="da-DK"/>
        </w:rPr>
        <w:t xml:space="preserve"> </w:t>
      </w:r>
      <w:r>
        <w:rPr>
          <w:rFonts w:ascii="Times New Roman" w:eastAsia="Times New Roman" w:hAnsi="Times New Roman" w:cs="Times New Roman"/>
          <w:iCs/>
          <w:sz w:val="24"/>
          <w:szCs w:val="24"/>
          <w:lang w:eastAsia="da-DK"/>
        </w:rPr>
        <w:t>eller indstille til, at Advokatnævnet iværksætter administrative foranstaltninger</w:t>
      </w:r>
      <w:r w:rsidRPr="00796736">
        <w:rPr>
          <w:rFonts w:ascii="Times New Roman" w:eastAsia="Times New Roman" w:hAnsi="Times New Roman" w:cs="Times New Roman"/>
          <w:iCs/>
          <w:sz w:val="24"/>
          <w:szCs w:val="24"/>
          <w:lang w:eastAsia="da-DK"/>
        </w:rPr>
        <w:t xml:space="preserve">, hvis det konstaterer svagheder i personens eller virksomhedens interne politikker, procedurer og kontroller, som sandsynligvis vil føre til egentlige overtrædelser som nævnt ovenfor. Det vil i sådanne situationer være et krav, at de administrative foranstaltninger, som iværksættes, kan forhindre forekomsten af overtrædelser eller risikoen herfor. De foranstaltninger, som iværksættes, vil således skulle have et afværgende eller forebyggende sigte og vil i almindelighed ikke kunne pålægges fore at varetage disciplinerende hensyn eller lignende. </w:t>
      </w:r>
    </w:p>
    <w:p w14:paraId="3423476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D0367A6" w14:textId="77777777" w:rsidR="00004A2C" w:rsidRPr="00796736" w:rsidRDefault="00004A2C" w:rsidP="00004A2C">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Advokatrådet vil for det tredje efter det foreslåede stk. 1, nr. 3, kunne</w:t>
      </w:r>
      <w:r>
        <w:rPr>
          <w:rFonts w:ascii="Times New Roman" w:eastAsia="Times New Roman" w:hAnsi="Times New Roman" w:cs="Times New Roman"/>
          <w:iCs/>
          <w:sz w:val="24"/>
          <w:szCs w:val="24"/>
          <w:lang w:eastAsia="da-DK"/>
        </w:rPr>
        <w:t xml:space="preserve"> iværksætte administrative foranstaltninger</w:t>
      </w:r>
      <w:r w:rsidRPr="00796736">
        <w:rPr>
          <w:rFonts w:ascii="Times New Roman" w:eastAsia="Times New Roman" w:hAnsi="Times New Roman" w:cs="Times New Roman"/>
          <w:iCs/>
          <w:sz w:val="24"/>
          <w:szCs w:val="24"/>
          <w:lang w:eastAsia="da-DK"/>
        </w:rPr>
        <w:t xml:space="preserve"> </w:t>
      </w:r>
      <w:r>
        <w:rPr>
          <w:rFonts w:ascii="Times New Roman" w:eastAsia="Times New Roman" w:hAnsi="Times New Roman" w:cs="Times New Roman"/>
          <w:iCs/>
          <w:sz w:val="24"/>
          <w:szCs w:val="24"/>
          <w:lang w:eastAsia="da-DK"/>
        </w:rPr>
        <w:t>eller indstille til, at Advokatnævnet iværksætter administrative foranstaltninger</w:t>
      </w:r>
      <w:r w:rsidRPr="00796736">
        <w:rPr>
          <w:rFonts w:ascii="Times New Roman" w:eastAsia="Times New Roman" w:hAnsi="Times New Roman" w:cs="Times New Roman"/>
          <w:iCs/>
          <w:sz w:val="24"/>
          <w:szCs w:val="24"/>
          <w:lang w:eastAsia="da-DK"/>
        </w:rPr>
        <w:t xml:space="preserve">, hvis rådet konstaterer at den omfattede person eller virksomhed har interne politikker, procedurer og kontroller, der ikke står i rimeligt forhold til de risici for hvidvask af penge, de underliggende lovovertrædelser eller finansiering af terrorisme, som enheden er eksponeret for. De foranstaltninger, som iværksættes i sådanne tilfælde, vil ligeledes skulle have et afværgende eller forebyggende sigte. </w:t>
      </w:r>
    </w:p>
    <w:p w14:paraId="45AE71B4"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04CD42A" w14:textId="7F563E82"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bemærkes endvidere, at kun afgørelser om at anvende administrative foranstaltninger i forbindelse med overtrædelser af kravene til bekæmpelse af hvidvask af penge og finansiering af terrorisme offentliggøres, men ikke administrative foranstaltninger, der anvendes for at forhindre en sådan overtrædelse, jf. herved også den foreslåede </w:t>
      </w:r>
      <w:r w:rsidR="003B185A" w:rsidRPr="00796736">
        <w:rPr>
          <w:rFonts w:ascii="Times New Roman" w:eastAsia="Times New Roman" w:hAnsi="Times New Roman" w:cs="Times New Roman"/>
          <w:iCs/>
          <w:sz w:val="24"/>
          <w:szCs w:val="24"/>
          <w:lang w:eastAsia="da-DK"/>
        </w:rPr>
        <w:fldChar w:fldCharType="begin"/>
      </w:r>
      <w:r w:rsidR="003B185A" w:rsidRPr="00796736">
        <w:rPr>
          <w:rFonts w:ascii="Times New Roman" w:eastAsia="Times New Roman" w:hAnsi="Times New Roman" w:cs="Times New Roman"/>
          <w:iCs/>
          <w:sz w:val="24"/>
          <w:szCs w:val="24"/>
          <w:lang w:eastAsia="da-DK"/>
        </w:rPr>
        <w:instrText xml:space="preserve"> REF _Ref232609331 \r \h </w:instrText>
      </w:r>
      <w:r w:rsidR="00967618" w:rsidRPr="00796736">
        <w:rPr>
          <w:rFonts w:ascii="Times New Roman" w:eastAsia="Times New Roman" w:hAnsi="Times New Roman" w:cs="Times New Roman"/>
          <w:iCs/>
          <w:sz w:val="24"/>
          <w:szCs w:val="24"/>
          <w:lang w:eastAsia="da-DK"/>
        </w:rPr>
        <w:instrText xml:space="preserve"> \* MERGEFORMAT </w:instrText>
      </w:r>
      <w:r w:rsidR="003B185A" w:rsidRPr="00796736">
        <w:rPr>
          <w:rFonts w:ascii="Times New Roman" w:eastAsia="Times New Roman" w:hAnsi="Times New Roman" w:cs="Times New Roman"/>
          <w:iCs/>
          <w:sz w:val="24"/>
          <w:szCs w:val="24"/>
          <w:lang w:eastAsia="da-DK"/>
        </w:rPr>
      </w:r>
      <w:r w:rsidR="003B185A"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108</w:t>
      </w:r>
      <w:r w:rsidR="003B185A"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p>
    <w:p w14:paraId="2E743DE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EE66650" w14:textId="721B34E5" w:rsidR="00361B87"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Rådet vil kunne indstille til en kombination af de administrative foranstaltninger efter </w:t>
      </w:r>
      <w:r w:rsidR="00004A2C">
        <w:rPr>
          <w:rFonts w:ascii="Times New Roman" w:eastAsia="Times New Roman" w:hAnsi="Times New Roman" w:cs="Times New Roman"/>
          <w:iCs/>
          <w:sz w:val="24"/>
          <w:szCs w:val="24"/>
          <w:lang w:eastAsia="da-DK"/>
        </w:rPr>
        <w:fldChar w:fldCharType="begin"/>
      </w:r>
      <w:r w:rsidR="00004A2C">
        <w:rPr>
          <w:rFonts w:ascii="Times New Roman" w:eastAsia="Times New Roman" w:hAnsi="Times New Roman" w:cs="Times New Roman"/>
          <w:iCs/>
          <w:sz w:val="24"/>
          <w:szCs w:val="24"/>
          <w:lang w:eastAsia="da-DK"/>
        </w:rPr>
        <w:instrText xml:space="preserve"> REF _Ref244787564 \r \h </w:instrText>
      </w:r>
      <w:r w:rsidR="00004A2C">
        <w:rPr>
          <w:rFonts w:ascii="Times New Roman" w:eastAsia="Times New Roman" w:hAnsi="Times New Roman" w:cs="Times New Roman"/>
          <w:iCs/>
          <w:sz w:val="24"/>
          <w:szCs w:val="24"/>
          <w:lang w:eastAsia="da-DK"/>
        </w:rPr>
      </w:r>
      <w:r w:rsidR="00004A2C">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102</w:t>
      </w:r>
      <w:r w:rsidR="00004A2C">
        <w:rPr>
          <w:rFonts w:ascii="Times New Roman" w:eastAsia="Times New Roman" w:hAnsi="Times New Roman" w:cs="Times New Roman"/>
          <w:iCs/>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_Ref236987494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eastAsia="Times New Roman" w:hAnsi="Times New Roman" w:cs="Times New Roman"/>
          <w:iCs/>
          <w:sz w:val="24"/>
          <w:szCs w:val="24"/>
          <w:lang w:eastAsia="da-DK"/>
        </w:rPr>
        <w:t xml:space="preserve"> jf. stk. 1, </w:t>
      </w:r>
      <w:r w:rsidR="00361B87" w:rsidRPr="00D253F0">
        <w:rPr>
          <w:rFonts w:ascii="Times New Roman" w:eastAsia="Times New Roman" w:hAnsi="Times New Roman" w:cs="Times New Roman"/>
          <w:iCs/>
          <w:sz w:val="24"/>
          <w:szCs w:val="24"/>
          <w:lang w:eastAsia="da-DK"/>
        </w:rPr>
        <w:t xml:space="preserve">med </w:t>
      </w:r>
      <w:r w:rsidR="00361B87">
        <w:rPr>
          <w:rFonts w:ascii="Times New Roman" w:eastAsia="Times New Roman" w:hAnsi="Times New Roman" w:cs="Times New Roman"/>
          <w:iCs/>
          <w:sz w:val="24"/>
          <w:szCs w:val="24"/>
          <w:lang w:eastAsia="da-DK"/>
        </w:rPr>
        <w:t>disciplinær</w:t>
      </w:r>
      <w:r w:rsidR="00361B87" w:rsidRPr="00D253F0">
        <w:rPr>
          <w:rFonts w:ascii="Times New Roman" w:eastAsia="Times New Roman" w:hAnsi="Times New Roman" w:cs="Times New Roman"/>
          <w:iCs/>
          <w:sz w:val="24"/>
          <w:szCs w:val="24"/>
          <w:lang w:eastAsia="da-DK"/>
        </w:rPr>
        <w:t xml:space="preserve">bøder for </w:t>
      </w:r>
      <w:r w:rsidR="00361B87">
        <w:rPr>
          <w:rFonts w:ascii="Times New Roman" w:eastAsia="Times New Roman" w:hAnsi="Times New Roman" w:cs="Times New Roman"/>
          <w:iCs/>
          <w:sz w:val="24"/>
          <w:szCs w:val="24"/>
          <w:lang w:eastAsia="da-DK"/>
        </w:rPr>
        <w:t>overtrædelser af god advokatskik, jf. den manglende efterlevelse af</w:t>
      </w:r>
      <w:r w:rsidR="00361B87" w:rsidRPr="00D253F0">
        <w:rPr>
          <w:rFonts w:ascii="Times New Roman" w:eastAsia="Times New Roman" w:hAnsi="Times New Roman" w:cs="Times New Roman"/>
          <w:iCs/>
          <w:sz w:val="24"/>
          <w:szCs w:val="24"/>
          <w:lang w:eastAsia="da-DK"/>
        </w:rPr>
        <w:t xml:space="preserve"> hvidvaskforordningen og reglerne i denne lov, navnlig hvor der er tale om alvorlige, gentagne og systematiske overtrædelser.</w:t>
      </w:r>
      <w:r w:rsidR="00361B87">
        <w:rPr>
          <w:rFonts w:ascii="Times New Roman" w:eastAsia="Times New Roman" w:hAnsi="Times New Roman" w:cs="Times New Roman"/>
          <w:iCs/>
          <w:sz w:val="24"/>
          <w:szCs w:val="24"/>
          <w:lang w:eastAsia="da-DK"/>
        </w:rPr>
        <w:t xml:space="preserve"> For nærmere om sammenhængen mellem hvidvaskreglerne og reglerne om god advokatskik henvises til den foreslåede stk. 3 og bemærkningerne hertil.</w:t>
      </w:r>
      <w:r w:rsidR="00361B87" w:rsidRPr="00D253F0">
        <w:rPr>
          <w:rFonts w:ascii="Times New Roman" w:eastAsia="Times New Roman" w:hAnsi="Times New Roman" w:cs="Times New Roman"/>
          <w:iCs/>
          <w:sz w:val="24"/>
          <w:szCs w:val="24"/>
          <w:lang w:eastAsia="da-DK"/>
        </w:rPr>
        <w:t xml:space="preserve"> </w:t>
      </w:r>
    </w:p>
    <w:p w14:paraId="17EFF085" w14:textId="77777777" w:rsidR="00361B87" w:rsidRDefault="00361B87" w:rsidP="00A802A5">
      <w:pPr>
        <w:spacing w:line="360" w:lineRule="auto"/>
        <w:rPr>
          <w:rFonts w:ascii="Times New Roman" w:eastAsia="Times New Roman" w:hAnsi="Times New Roman" w:cs="Times New Roman"/>
          <w:iCs/>
          <w:sz w:val="24"/>
          <w:szCs w:val="24"/>
          <w:lang w:eastAsia="da-DK"/>
        </w:rPr>
      </w:pPr>
    </w:p>
    <w:p w14:paraId="0D898402" w14:textId="53F0ED5F" w:rsidR="00306122" w:rsidRPr="00796736" w:rsidRDefault="00361B87" w:rsidP="00A802A5">
      <w:pPr>
        <w:spacing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 xml:space="preserve">Administrative foranstaltninger efter de foreslåede bestemmelser vil skulle ledsages med bindende frister for deres gennemførelse, hvor det er relevant. </w:t>
      </w:r>
      <w:r w:rsidRPr="003A1AB5">
        <w:rPr>
          <w:rFonts w:ascii="Times New Roman" w:eastAsia="Times New Roman" w:hAnsi="Times New Roman" w:cs="Times New Roman"/>
          <w:iCs/>
          <w:sz w:val="24"/>
          <w:szCs w:val="24"/>
          <w:lang w:eastAsia="da-DK"/>
        </w:rPr>
        <w:t>Hvis der konstateres flere overtrædelser eller svagheder, kunne der gælde forskellige frister for gennemførelsen af de enkelte administrative foranstaltninger.</w:t>
      </w:r>
    </w:p>
    <w:p w14:paraId="1F07A976"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3FCCBD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er en videreførelse af hvidvasklovens § 64, stk. 2, med enkelte justeringer, som gennemfører direktivets artikel 56, stk. 1 og 4.</w:t>
      </w:r>
    </w:p>
    <w:p w14:paraId="1424C4E2" w14:textId="77777777" w:rsidR="00A16C19" w:rsidRPr="00796736" w:rsidRDefault="00A16C19" w:rsidP="00A802A5">
      <w:pPr>
        <w:spacing w:line="360" w:lineRule="auto"/>
        <w:rPr>
          <w:rFonts w:ascii="Times New Roman" w:hAnsi="Times New Roman" w:cs="Times New Roman"/>
          <w:sz w:val="24"/>
          <w:szCs w:val="24"/>
        </w:rPr>
      </w:pPr>
    </w:p>
    <w:p w14:paraId="54F7FE0E" w14:textId="0082D75C" w:rsidR="004823E4" w:rsidRPr="00796736" w:rsidRDefault="004823E4" w:rsidP="004823E4">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2, </w:t>
      </w:r>
      <w:r w:rsidRPr="00796736">
        <w:rPr>
          <w:rFonts w:ascii="Times New Roman" w:hAnsi="Times New Roman" w:cs="Times New Roman"/>
          <w:sz w:val="24"/>
          <w:szCs w:val="24"/>
        </w:rPr>
        <w:t xml:space="preserve">at Advokatrådet ved vurderingen af, hvilke administrative foranstaltninger, som skal </w:t>
      </w:r>
      <w:r w:rsidRPr="00796736">
        <w:rPr>
          <w:rFonts w:ascii="Times New Roman" w:eastAsia="Times New Roman" w:hAnsi="Times New Roman" w:cs="Times New Roman"/>
          <w:iCs/>
          <w:sz w:val="24"/>
          <w:szCs w:val="24"/>
          <w:lang w:eastAsia="da-DK"/>
        </w:rPr>
        <w:t xml:space="preserve">iværksættes efter </w:t>
      </w:r>
      <w:r>
        <w:rPr>
          <w:rFonts w:ascii="Times New Roman" w:eastAsia="Times New Roman" w:hAnsi="Times New Roman" w:cs="Times New Roman"/>
          <w:iCs/>
          <w:sz w:val="24"/>
          <w:szCs w:val="24"/>
          <w:lang w:eastAsia="da-DK"/>
        </w:rPr>
        <w:t>§</w:t>
      </w:r>
      <w:r>
        <w:rPr>
          <w:rFonts w:ascii="Times New Roman" w:hAnsi="Times New Roman" w:cs="Times New Roman"/>
          <w:sz w:val="24"/>
          <w:szCs w:val="24"/>
          <w:lang w:eastAsia="da-DK"/>
        </w:rPr>
        <w:fldChar w:fldCharType="begin"/>
      </w:r>
      <w:r>
        <w:rPr>
          <w:rFonts w:ascii="Times New Roman" w:eastAsia="Times New Roman" w:hAnsi="Times New Roman" w:cs="Times New Roman"/>
          <w:iCs/>
          <w:sz w:val="24"/>
          <w:szCs w:val="24"/>
          <w:lang w:eastAsia="da-DK"/>
        </w:rPr>
        <w:instrText xml:space="preserve"> REF _Ref244787564 \r \h </w:instrText>
      </w:r>
      <w:r>
        <w:rPr>
          <w:rFonts w:ascii="Times New Roman" w:hAnsi="Times New Roman" w:cs="Times New Roman"/>
          <w:sz w:val="24"/>
          <w:szCs w:val="24"/>
          <w:lang w:eastAsia="da-DK"/>
        </w:rPr>
      </w:r>
      <w:r>
        <w:rPr>
          <w:rFonts w:ascii="Times New Roman" w:hAnsi="Times New Roman" w:cs="Times New Roman"/>
          <w:sz w:val="24"/>
          <w:szCs w:val="24"/>
          <w:lang w:eastAsia="da-DK"/>
        </w:rPr>
        <w:fldChar w:fldCharType="separate"/>
      </w:r>
      <w:r w:rsidR="008F29E5">
        <w:rPr>
          <w:rFonts w:ascii="Times New Roman" w:eastAsia="Times New Roman" w:hAnsi="Times New Roman" w:cs="Times New Roman"/>
          <w:iCs/>
          <w:sz w:val="24"/>
          <w:szCs w:val="24"/>
          <w:lang w:eastAsia="da-DK"/>
        </w:rPr>
        <w:t>§ 102</w:t>
      </w:r>
      <w:r>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Pr>
          <w:rFonts w:ascii="Times New Roman" w:hAnsi="Times New Roman" w:cs="Times New Roman"/>
          <w:sz w:val="24"/>
          <w:szCs w:val="24"/>
          <w:lang w:eastAsia="da-DK"/>
        </w:rPr>
        <w:fldChar w:fldCharType="begin"/>
      </w:r>
      <w:r>
        <w:rPr>
          <w:rFonts w:ascii="Times New Roman" w:hAnsi="Times New Roman" w:cs="Times New Roman"/>
          <w:sz w:val="24"/>
          <w:szCs w:val="24"/>
          <w:lang w:eastAsia="da-DK"/>
        </w:rPr>
        <w:instrText xml:space="preserve"> REF _Ref244787908 \r \h </w:instrText>
      </w:r>
      <w:r>
        <w:rPr>
          <w:rFonts w:ascii="Times New Roman" w:hAnsi="Times New Roman" w:cs="Times New Roman"/>
          <w:sz w:val="24"/>
          <w:szCs w:val="24"/>
          <w:lang w:eastAsia="da-DK"/>
        </w:rPr>
      </w:r>
      <w:r>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106</w:t>
      </w:r>
      <w:r>
        <w:rPr>
          <w:rFonts w:ascii="Times New Roman" w:hAnsi="Times New Roman" w:cs="Times New Roman"/>
          <w:sz w:val="24"/>
          <w:szCs w:val="24"/>
          <w:lang w:eastAsia="da-DK"/>
        </w:rPr>
        <w:fldChar w:fldCharType="end"/>
      </w:r>
      <w:r w:rsidRPr="00796736">
        <w:rPr>
          <w:rFonts w:ascii="Times New Roman" w:eastAsia="Times New Roman" w:hAnsi="Times New Roman" w:cs="Times New Roman"/>
          <w:iCs/>
          <w:sz w:val="24"/>
          <w:szCs w:val="24"/>
          <w:lang w:eastAsia="da-DK"/>
        </w:rPr>
        <w:t xml:space="preserve"> blandt andet inddrage regler udstedt i medfør af AMLA-forordningens artikel 49, jf. hvidvaskdirektivets artikel 53, stk. 10. 1. pkt. finder tilsvarende anvendelse for Advokatrådets vurdering af, om der skal pålægges tvangsbøder efter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_Ref239757742 \r \h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138</w:t>
      </w:r>
      <w:r w:rsidRPr="00796736">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w:t>
      </w:r>
      <w:r w:rsidRPr="00796736">
        <w:rPr>
          <w:rFonts w:ascii="Times New Roman" w:eastAsia="Times New Roman" w:hAnsi="Times New Roman" w:cs="Times New Roman"/>
          <w:iCs/>
          <w:sz w:val="24"/>
          <w:szCs w:val="24"/>
          <w:lang w:eastAsia="da-DK"/>
        </w:rPr>
        <w:t>1. pkt.</w:t>
      </w:r>
      <w:r>
        <w:rPr>
          <w:rFonts w:ascii="Times New Roman" w:eastAsia="Times New Roman" w:hAnsi="Times New Roman" w:cs="Times New Roman"/>
          <w:iCs/>
          <w:sz w:val="24"/>
          <w:szCs w:val="24"/>
          <w:lang w:eastAsia="da-DK"/>
        </w:rPr>
        <w:t xml:space="preserve"> finder tilsvarende anvendelse for Advokatnævnets vurdering af sagen. </w:t>
      </w:r>
    </w:p>
    <w:p w14:paraId="086385A6" w14:textId="77777777" w:rsidR="00607F0F" w:rsidRPr="00796736" w:rsidRDefault="00607F0F" w:rsidP="00A802A5">
      <w:pPr>
        <w:spacing w:line="360" w:lineRule="auto"/>
        <w:rPr>
          <w:rFonts w:ascii="Times New Roman" w:hAnsi="Times New Roman" w:cs="Times New Roman"/>
          <w:sz w:val="24"/>
          <w:szCs w:val="24"/>
        </w:rPr>
      </w:pPr>
    </w:p>
    <w:p w14:paraId="40A4DDC7" w14:textId="123A17D0" w:rsidR="00FE7053" w:rsidRPr="00796736" w:rsidRDefault="00FE7053" w:rsidP="00FE7053">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Advokatrådet skal inddrage de reguleringsmæssige tekniske standarder, som Kommissionen udsteder i medfør af AMLA-forordningens artikel 49, jf. hvidvaskdirektivets artikel 53, stk. 10</w:t>
      </w:r>
      <w:r>
        <w:rPr>
          <w:rFonts w:ascii="Times New Roman" w:hAnsi="Times New Roman" w:cs="Times New Roman"/>
          <w:sz w:val="24"/>
          <w:szCs w:val="24"/>
        </w:rPr>
        <w:t xml:space="preserve"> ved vurderingen af, hvilke administrative foranstaltninger, som skal iværksættes eller indstilles til iværksættelse af</w:t>
      </w:r>
      <w:r w:rsidRPr="00796736">
        <w:rPr>
          <w:rFonts w:ascii="Times New Roman" w:hAnsi="Times New Roman" w:cs="Times New Roman"/>
          <w:sz w:val="24"/>
          <w:szCs w:val="24"/>
        </w:rPr>
        <w:t xml:space="preserve">. For en nærmere gennemgang heraf henvises pkt.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_Ref244798833 \n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3.92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06CBDD5A" w14:textId="77777777" w:rsidR="00607F0F" w:rsidRPr="00796736" w:rsidRDefault="00607F0F" w:rsidP="00A802A5">
      <w:pPr>
        <w:spacing w:line="360" w:lineRule="auto"/>
        <w:rPr>
          <w:rFonts w:ascii="Times New Roman" w:hAnsi="Times New Roman" w:cs="Times New Roman"/>
          <w:sz w:val="24"/>
          <w:szCs w:val="24"/>
        </w:rPr>
      </w:pPr>
    </w:p>
    <w:p w14:paraId="55F785E8" w14:textId="1159E6CD" w:rsidR="00607F0F" w:rsidRPr="00796736" w:rsidRDefault="00607F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Foruden indholdet af de reguleringsmæssige tekniske standarder vil Advokatrådet overordnet skulle påse, at de foranstaltninger eller tvangsbøder, som påbydes og pålægges, er effektive, står i rimeligt forhold til overtrædelsen og er proportionale. </w:t>
      </w:r>
      <w:r w:rsidR="00306122" w:rsidRPr="00796736">
        <w:rPr>
          <w:rFonts w:ascii="Times New Roman" w:eastAsia="Times New Roman" w:hAnsi="Times New Roman" w:cs="Times New Roman"/>
          <w:iCs/>
          <w:sz w:val="24"/>
          <w:szCs w:val="24"/>
          <w:lang w:eastAsia="da-DK"/>
        </w:rPr>
        <w:t>Det bemærkes, at de tre opregnede situationer er alternative i den forstand, at der vil kunne udstedes påbud i hvert af de opregnede tilfælde. Den foreslåede bestemmelse omfatter imidlertid såvel egentlig overtrædelser efter nr. 1, som svagheder eller uforholdsmæssigheder i interne politikker mv. efter nr. 2 og 3. Som det også vil følge af bemærkningerne til de enkelte foreslåede påbudsbestemmelser, vil et påbuds karakter og intensitet i den konkrete situation afhænge af, hvilken situation, der er tale om. Det forudsættes således at de mest indgribende foranstaltninger såsom begrænsninger i forretningsaktiviteter, ændringer i ledelsesstrukturen og frakendelse af retten til at udøve advokatvirksomhed, som udgangspunkt vil forudsætte konstaterede og kvalificerede overtrædelser af grov karakter.</w:t>
      </w:r>
    </w:p>
    <w:p w14:paraId="13D908AD" w14:textId="77777777" w:rsidR="00607F0F" w:rsidRPr="00796736" w:rsidRDefault="00607F0F" w:rsidP="00A802A5">
      <w:pPr>
        <w:spacing w:line="360" w:lineRule="auto"/>
        <w:rPr>
          <w:rFonts w:ascii="Times New Roman" w:hAnsi="Times New Roman" w:cs="Times New Roman"/>
          <w:sz w:val="24"/>
          <w:szCs w:val="24"/>
        </w:rPr>
      </w:pPr>
    </w:p>
    <w:p w14:paraId="41D4C9D5" w14:textId="77777777" w:rsidR="00306122"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Advokatrådet vil således skulle tage højde for bl.a. overtrædelsens grovhed og varighed, antallet af gentagelser af overtrædelsen, graden af ansvar hos den fysiske eller juridiske person, der holdes ansvarlig, den finansielle styrke hos den fysiske eller juridiske person, der holdes ansvarlig, herunder i lyset af dennes samlede omsætning eller årsindkomst, den fordel, der er opnået som følge af overtrædelsen begået af den fysiske eller juridiske person, der holdes ansvarlig, såfremt den kan beregnes, tredjemands tab som følge af overtrædelsen, såfremt den kan beregnet, graden af samarbejde mellem den fysiske eller juridiske person, der holdes ansvarlig, og den kompetente myndighed og endelige overtrædelser, som den fysiske eller juridiske person, der holdes ansvarlig, tidligere har begået.</w:t>
      </w:r>
    </w:p>
    <w:p w14:paraId="19479671" w14:textId="77777777" w:rsidR="004A11CE" w:rsidRDefault="004A11CE" w:rsidP="004A11CE">
      <w:pPr>
        <w:spacing w:line="360" w:lineRule="auto"/>
        <w:rPr>
          <w:rFonts w:ascii="Times New Roman" w:eastAsia="Times New Roman" w:hAnsi="Times New Roman" w:cs="Times New Roman"/>
          <w:iCs/>
          <w:sz w:val="24"/>
          <w:szCs w:val="24"/>
          <w:lang w:eastAsia="da-DK"/>
        </w:rPr>
      </w:pPr>
      <w:r w:rsidRPr="002959DB">
        <w:rPr>
          <w:rFonts w:ascii="Times New Roman" w:eastAsia="Times New Roman" w:hAnsi="Times New Roman" w:cs="Times New Roman"/>
          <w:iCs/>
          <w:sz w:val="24"/>
          <w:szCs w:val="24"/>
          <w:lang w:eastAsia="da-DK"/>
        </w:rPr>
        <w:t>Som det også fremgår af bemærkningerne til den foreslåede stk. 3, skal det foreslåede reaktionssystem for advokater ses i sammenhæng med det almindelige disciplinære system efter retsplejeloven. De to regelsæt har forskellige vurderingsgrundlag, men vil efter omstændighederne kunne finde anvendelse på samme faktiske forhold.</w:t>
      </w:r>
    </w:p>
    <w:p w14:paraId="6A6332BB" w14:textId="77777777" w:rsidR="004A11CE" w:rsidRPr="002959DB" w:rsidRDefault="004A11CE" w:rsidP="004A11CE">
      <w:pPr>
        <w:spacing w:line="360" w:lineRule="auto"/>
        <w:ind w:firstLine="340"/>
        <w:rPr>
          <w:rFonts w:ascii="Times New Roman" w:eastAsia="Times New Roman" w:hAnsi="Times New Roman" w:cs="Times New Roman"/>
          <w:iCs/>
          <w:sz w:val="24"/>
          <w:szCs w:val="24"/>
          <w:lang w:eastAsia="da-DK"/>
        </w:rPr>
      </w:pPr>
    </w:p>
    <w:p w14:paraId="7A9E2D49" w14:textId="77777777" w:rsidR="004A11CE" w:rsidRDefault="004A11CE" w:rsidP="004A11CE">
      <w:pPr>
        <w:spacing w:line="360" w:lineRule="auto"/>
        <w:rPr>
          <w:rFonts w:ascii="Times New Roman" w:eastAsia="Times New Roman" w:hAnsi="Times New Roman" w:cs="Times New Roman"/>
          <w:iCs/>
          <w:sz w:val="24"/>
          <w:szCs w:val="24"/>
          <w:lang w:eastAsia="da-DK"/>
        </w:rPr>
      </w:pPr>
      <w:r w:rsidRPr="002959DB">
        <w:rPr>
          <w:rFonts w:ascii="Times New Roman" w:eastAsia="Times New Roman" w:hAnsi="Times New Roman" w:cs="Times New Roman"/>
          <w:iCs/>
          <w:sz w:val="24"/>
          <w:szCs w:val="24"/>
          <w:lang w:eastAsia="da-DK"/>
        </w:rPr>
        <w:t xml:space="preserve">Konstaterer Advokatrådet som led i sit tilsyn en overtrædelse af hvidvaskforordningen, denne lov eller regler udstedt i medfør heraf, skal Advokatrådet vurdere, hvilken reaktion overtrædelsen giver grundlag for efter hvidvaskområdets regler. Ved vurderingen af de administrative foranstaltninger skal Advokatrådet bl.a. inddrage regler udstedt i medfør af AMLA-forordningens artikel 49, jf. hvidvaskdirektivets artikel 53, stk. 10. Den tilsvarende vurdering skal foretages af Advokatnævnet ved nævnets behandling af sagen. Advokatrådet </w:t>
      </w:r>
      <w:r>
        <w:rPr>
          <w:rFonts w:ascii="Times New Roman" w:eastAsia="Times New Roman" w:hAnsi="Times New Roman" w:cs="Times New Roman"/>
          <w:iCs/>
          <w:sz w:val="24"/>
          <w:szCs w:val="24"/>
          <w:lang w:eastAsia="da-DK"/>
        </w:rPr>
        <w:t>skal foretage en vurdering af, om</w:t>
      </w:r>
      <w:r w:rsidRPr="002959DB">
        <w:rPr>
          <w:rFonts w:ascii="Times New Roman" w:eastAsia="Times New Roman" w:hAnsi="Times New Roman" w:cs="Times New Roman"/>
          <w:iCs/>
          <w:sz w:val="24"/>
          <w:szCs w:val="24"/>
          <w:lang w:eastAsia="da-DK"/>
        </w:rPr>
        <w:t xml:space="preserve"> de foranstaltninger, der </w:t>
      </w:r>
      <w:r>
        <w:rPr>
          <w:rFonts w:ascii="Times New Roman" w:eastAsia="Times New Roman" w:hAnsi="Times New Roman" w:cs="Times New Roman"/>
          <w:iCs/>
          <w:sz w:val="24"/>
          <w:szCs w:val="24"/>
          <w:lang w:eastAsia="da-DK"/>
        </w:rPr>
        <w:t>iværksættes eller indstilles til at iværksætte</w:t>
      </w:r>
      <w:r w:rsidRPr="002959DB">
        <w:rPr>
          <w:rFonts w:ascii="Times New Roman" w:eastAsia="Times New Roman" w:hAnsi="Times New Roman" w:cs="Times New Roman"/>
          <w:iCs/>
          <w:sz w:val="24"/>
          <w:szCs w:val="24"/>
          <w:lang w:eastAsia="da-DK"/>
        </w:rPr>
        <w:t>, er effektive, står i rimeligt forhold til overtrædelsen og er proportionale.</w:t>
      </w:r>
      <w:r>
        <w:rPr>
          <w:rFonts w:ascii="Times New Roman" w:eastAsia="Times New Roman" w:hAnsi="Times New Roman" w:cs="Times New Roman"/>
          <w:iCs/>
          <w:sz w:val="24"/>
          <w:szCs w:val="24"/>
          <w:lang w:eastAsia="da-DK"/>
        </w:rPr>
        <w:t xml:space="preserve"> Advokatnævnet vil skulle foretage en selvstændig vurdering heraf ved selve afgørelsen.</w:t>
      </w:r>
    </w:p>
    <w:p w14:paraId="213C454E" w14:textId="77777777" w:rsidR="004A11CE" w:rsidRPr="002959DB" w:rsidRDefault="004A11CE" w:rsidP="004A11CE">
      <w:pPr>
        <w:spacing w:line="360" w:lineRule="auto"/>
        <w:ind w:firstLine="340"/>
        <w:rPr>
          <w:rFonts w:ascii="Times New Roman" w:eastAsia="Times New Roman" w:hAnsi="Times New Roman" w:cs="Times New Roman"/>
          <w:iCs/>
          <w:sz w:val="24"/>
          <w:szCs w:val="24"/>
          <w:lang w:eastAsia="da-DK"/>
        </w:rPr>
      </w:pPr>
    </w:p>
    <w:p w14:paraId="203B7783" w14:textId="77777777" w:rsidR="004A11CE" w:rsidRDefault="004A11CE" w:rsidP="004A11CE">
      <w:pPr>
        <w:spacing w:line="360" w:lineRule="auto"/>
        <w:rPr>
          <w:rFonts w:ascii="Times New Roman" w:eastAsia="Times New Roman" w:hAnsi="Times New Roman" w:cs="Times New Roman"/>
          <w:iCs/>
          <w:sz w:val="24"/>
          <w:szCs w:val="24"/>
          <w:lang w:eastAsia="da-DK"/>
        </w:rPr>
      </w:pPr>
      <w:r w:rsidRPr="002959DB">
        <w:rPr>
          <w:rFonts w:ascii="Times New Roman" w:eastAsia="Times New Roman" w:hAnsi="Times New Roman" w:cs="Times New Roman"/>
          <w:iCs/>
          <w:sz w:val="24"/>
          <w:szCs w:val="24"/>
          <w:lang w:eastAsia="da-DK"/>
        </w:rPr>
        <w:t>Advokatnævnets behandling af en indstilling om administrative foranstaltninger sker således på grundlag af hvidvaskområdets regler og udgør ikke i sig selv en disciplinærretlig vurdering af, om advokaten har tilsidesat god advokatskik.</w:t>
      </w:r>
    </w:p>
    <w:p w14:paraId="24649C95" w14:textId="77777777" w:rsidR="004A11CE" w:rsidRPr="002959DB" w:rsidRDefault="004A11CE" w:rsidP="004A11CE">
      <w:pPr>
        <w:spacing w:line="360" w:lineRule="auto"/>
        <w:ind w:firstLine="340"/>
        <w:rPr>
          <w:rFonts w:ascii="Times New Roman" w:eastAsia="Times New Roman" w:hAnsi="Times New Roman" w:cs="Times New Roman"/>
          <w:iCs/>
          <w:sz w:val="24"/>
          <w:szCs w:val="24"/>
          <w:lang w:eastAsia="da-DK"/>
        </w:rPr>
      </w:pPr>
    </w:p>
    <w:p w14:paraId="42D7B840" w14:textId="77777777" w:rsidR="004A11CE" w:rsidRPr="002959DB" w:rsidRDefault="004A11CE" w:rsidP="004A11CE">
      <w:pPr>
        <w:spacing w:line="360" w:lineRule="auto"/>
        <w:rPr>
          <w:rFonts w:ascii="Times New Roman" w:eastAsia="Times New Roman" w:hAnsi="Times New Roman" w:cs="Times New Roman"/>
          <w:iCs/>
          <w:sz w:val="24"/>
          <w:szCs w:val="24"/>
          <w:lang w:eastAsia="da-DK"/>
        </w:rPr>
      </w:pPr>
      <w:r w:rsidRPr="002959DB">
        <w:rPr>
          <w:rFonts w:ascii="Times New Roman" w:eastAsia="Times New Roman" w:hAnsi="Times New Roman" w:cs="Times New Roman"/>
          <w:iCs/>
          <w:sz w:val="24"/>
          <w:szCs w:val="24"/>
          <w:lang w:eastAsia="da-DK"/>
        </w:rPr>
        <w:t xml:space="preserve">Der henvises for nærmere om sammenhængen mellem de to regelsæt til den foreslåede stk. 3 og bemærkningerne hertil straks nedenfor. </w:t>
      </w:r>
    </w:p>
    <w:p w14:paraId="2042FE75" w14:textId="77777777" w:rsidR="00361B87" w:rsidRDefault="00361B87" w:rsidP="00A802A5">
      <w:pPr>
        <w:spacing w:line="360" w:lineRule="auto"/>
        <w:rPr>
          <w:rFonts w:ascii="Times New Roman" w:eastAsia="Times New Roman" w:hAnsi="Times New Roman" w:cs="Times New Roman"/>
          <w:iCs/>
          <w:sz w:val="24"/>
          <w:szCs w:val="24"/>
          <w:lang w:eastAsia="da-DK"/>
        </w:rPr>
      </w:pPr>
    </w:p>
    <w:p w14:paraId="3A2ADC06" w14:textId="77777777" w:rsidR="004A11CE" w:rsidRPr="00361B87" w:rsidRDefault="004A11CE" w:rsidP="00A802A5">
      <w:pPr>
        <w:spacing w:line="360" w:lineRule="auto"/>
        <w:rPr>
          <w:rFonts w:ascii="Times New Roman" w:eastAsia="Times New Roman" w:hAnsi="Times New Roman" w:cs="Times New Roman"/>
          <w:iCs/>
          <w:sz w:val="24"/>
          <w:szCs w:val="24"/>
          <w:lang w:eastAsia="da-DK"/>
        </w:rPr>
      </w:pPr>
    </w:p>
    <w:p w14:paraId="2CCE782F" w14:textId="0ECB6D9D" w:rsidR="00306122" w:rsidRPr="00796736" w:rsidRDefault="00306122" w:rsidP="00A802A5">
      <w:pPr>
        <w:spacing w:after="240"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afgørelse om </w:t>
      </w:r>
      <w:r w:rsidRPr="00796736">
        <w:rPr>
          <w:rFonts w:ascii="Times New Roman" w:eastAsia="Times New Roman" w:hAnsi="Times New Roman" w:cs="Times New Roman"/>
          <w:iCs/>
          <w:sz w:val="24"/>
          <w:szCs w:val="24"/>
          <w:lang w:eastAsia="da-DK"/>
        </w:rPr>
        <w:t xml:space="preserve">foranstaltninger efter </w:t>
      </w:r>
      <w:r w:rsidR="004A11CE">
        <w:rPr>
          <w:rFonts w:ascii="Times New Roman" w:eastAsia="Times New Roman" w:hAnsi="Times New Roman" w:cs="Times New Roman"/>
          <w:iCs/>
          <w:sz w:val="24"/>
          <w:szCs w:val="24"/>
          <w:lang w:eastAsia="da-DK"/>
        </w:rPr>
        <w:fldChar w:fldCharType="begin"/>
      </w:r>
      <w:r w:rsidR="004A11CE">
        <w:rPr>
          <w:rFonts w:ascii="Times New Roman" w:eastAsia="Times New Roman" w:hAnsi="Times New Roman" w:cs="Times New Roman"/>
          <w:iCs/>
          <w:sz w:val="24"/>
          <w:szCs w:val="24"/>
          <w:lang w:eastAsia="da-DK"/>
        </w:rPr>
        <w:instrText xml:space="preserve"> REF _Ref244787574 \n \h </w:instrText>
      </w:r>
      <w:r w:rsidR="004A11CE">
        <w:rPr>
          <w:rFonts w:ascii="Times New Roman" w:eastAsia="Times New Roman" w:hAnsi="Times New Roman" w:cs="Times New Roman"/>
          <w:iCs/>
          <w:sz w:val="24"/>
          <w:szCs w:val="24"/>
          <w:lang w:eastAsia="da-DK"/>
        </w:rPr>
      </w:r>
      <w:r w:rsidR="004A11CE">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103</w:t>
      </w:r>
      <w:r w:rsidR="004A11CE">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_Ref236987494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eastAsia="Times New Roman" w:hAnsi="Times New Roman" w:cs="Times New Roman"/>
          <w:iCs/>
          <w:sz w:val="24"/>
          <w:szCs w:val="24"/>
          <w:lang w:eastAsia="da-DK"/>
        </w:rPr>
        <w:t>§ 106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samt tvangsbøder efter</w:t>
      </w:r>
      <w:r w:rsidR="00361B87">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_Ref239757742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138</w:t>
      </w:r>
      <w:r w:rsidRPr="00796736">
        <w:rPr>
          <w:rFonts w:ascii="Times New Roman" w:hAnsi="Times New Roman" w:cs="Times New Roman"/>
          <w:sz w:val="24"/>
          <w:szCs w:val="24"/>
          <w:lang w:eastAsia="da-DK"/>
        </w:rPr>
        <w:fldChar w:fldCharType="end"/>
      </w:r>
      <w:r w:rsidRPr="00796736">
        <w:rPr>
          <w:rFonts w:ascii="Times New Roman" w:eastAsia="Times New Roman" w:hAnsi="Times New Roman" w:cs="Times New Roman"/>
          <w:iCs/>
          <w:sz w:val="24"/>
          <w:szCs w:val="24"/>
          <w:lang w:eastAsia="da-DK"/>
        </w:rPr>
        <w:t xml:space="preserve">, træffes af Advokatnævnet efter indstilling fra Advokatrådet. </w:t>
      </w:r>
      <w:r w:rsidR="00361B87" w:rsidRPr="00D253F0">
        <w:rPr>
          <w:rFonts w:ascii="Times New Roman" w:eastAsia="Times New Roman" w:hAnsi="Times New Roman" w:cs="Times New Roman"/>
          <w:iCs/>
          <w:sz w:val="24"/>
          <w:szCs w:val="24"/>
          <w:lang w:eastAsia="da-DK"/>
        </w:rPr>
        <w:t xml:space="preserve">Retsplejelovens </w:t>
      </w:r>
      <w:r w:rsidR="00361B87">
        <w:rPr>
          <w:rFonts w:ascii="Times New Roman" w:eastAsia="Times New Roman" w:hAnsi="Times New Roman" w:cs="Times New Roman"/>
          <w:iCs/>
          <w:sz w:val="24"/>
          <w:szCs w:val="24"/>
          <w:lang w:eastAsia="da-DK"/>
        </w:rPr>
        <w:t>§ 147 b, stk. 5-7, § 147 c, stk. 10 og 11, 1. pkt., og §§ 147 d-147 g</w:t>
      </w:r>
      <w:r w:rsidR="004A11CE">
        <w:rPr>
          <w:rFonts w:ascii="Times New Roman" w:eastAsia="Times New Roman" w:hAnsi="Times New Roman" w:cs="Times New Roman"/>
          <w:iCs/>
          <w:sz w:val="24"/>
          <w:szCs w:val="24"/>
          <w:lang w:eastAsia="da-DK"/>
        </w:rPr>
        <w:t>,</w:t>
      </w:r>
      <w:r w:rsidR="00361B87" w:rsidRPr="00D253F0">
        <w:rPr>
          <w:rFonts w:ascii="Times New Roman" w:eastAsia="Times New Roman" w:hAnsi="Times New Roman" w:cs="Times New Roman"/>
          <w:iCs/>
          <w:sz w:val="24"/>
          <w:szCs w:val="24"/>
          <w:lang w:eastAsia="da-DK"/>
        </w:rPr>
        <w:t xml:space="preserve"> finder tilsvarende anvendelse for Advokatnævnets behandling af </w:t>
      </w:r>
      <w:r w:rsidR="00CB4860" w:rsidRPr="00D253F0">
        <w:rPr>
          <w:rFonts w:ascii="Times New Roman" w:eastAsia="Times New Roman" w:hAnsi="Times New Roman" w:cs="Times New Roman"/>
          <w:iCs/>
          <w:sz w:val="24"/>
          <w:szCs w:val="24"/>
          <w:lang w:eastAsia="da-DK"/>
        </w:rPr>
        <w:t>sådanne sager</w:t>
      </w:r>
      <w:r w:rsidR="00CB4860">
        <w:rPr>
          <w:rFonts w:ascii="Times New Roman" w:eastAsia="Times New Roman" w:hAnsi="Times New Roman" w:cs="Times New Roman"/>
          <w:iCs/>
          <w:sz w:val="24"/>
          <w:szCs w:val="24"/>
          <w:lang w:eastAsia="da-DK"/>
        </w:rPr>
        <w:t xml:space="preserve"> og sager efter </w:t>
      </w:r>
      <w:r w:rsidR="00CB4860">
        <w:rPr>
          <w:rFonts w:ascii="Times New Roman" w:eastAsia="Times New Roman" w:hAnsi="Times New Roman" w:cs="Times New Roman"/>
          <w:iCs/>
          <w:sz w:val="24"/>
          <w:szCs w:val="24"/>
          <w:lang w:eastAsia="da-DK"/>
        </w:rPr>
        <w:fldChar w:fldCharType="begin"/>
      </w:r>
      <w:r w:rsidR="00CB4860">
        <w:rPr>
          <w:rFonts w:ascii="Times New Roman" w:eastAsia="Times New Roman" w:hAnsi="Times New Roman" w:cs="Times New Roman"/>
          <w:iCs/>
          <w:sz w:val="24"/>
          <w:szCs w:val="24"/>
          <w:lang w:eastAsia="da-DK"/>
        </w:rPr>
        <w:instrText xml:space="preserve"> REF _Ref244787564 \n \h </w:instrText>
      </w:r>
      <w:r w:rsidR="00CB4860">
        <w:rPr>
          <w:rFonts w:ascii="Times New Roman" w:eastAsia="Times New Roman" w:hAnsi="Times New Roman" w:cs="Times New Roman"/>
          <w:iCs/>
          <w:sz w:val="24"/>
          <w:szCs w:val="24"/>
          <w:lang w:eastAsia="da-DK"/>
        </w:rPr>
      </w:r>
      <w:r w:rsidR="00CB4860">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102</w:t>
      </w:r>
      <w:r w:rsidR="00CB4860">
        <w:rPr>
          <w:rFonts w:ascii="Times New Roman" w:eastAsia="Times New Roman" w:hAnsi="Times New Roman" w:cs="Times New Roman"/>
          <w:iCs/>
          <w:sz w:val="24"/>
          <w:szCs w:val="24"/>
          <w:lang w:eastAsia="da-DK"/>
        </w:rPr>
        <w:fldChar w:fldCharType="end"/>
      </w:r>
      <w:r w:rsidR="00CB4860">
        <w:rPr>
          <w:rFonts w:ascii="Times New Roman" w:eastAsia="Times New Roman" w:hAnsi="Times New Roman" w:cs="Times New Roman"/>
          <w:iCs/>
          <w:sz w:val="24"/>
          <w:szCs w:val="24"/>
          <w:lang w:eastAsia="da-DK"/>
        </w:rPr>
        <w:t>, stk. 2</w:t>
      </w:r>
      <w:r w:rsidR="00CB4860" w:rsidRPr="00D253F0">
        <w:rPr>
          <w:rFonts w:ascii="Times New Roman" w:eastAsia="Times New Roman" w:hAnsi="Times New Roman" w:cs="Times New Roman"/>
          <w:iCs/>
          <w:sz w:val="24"/>
          <w:szCs w:val="24"/>
          <w:lang w:eastAsia="da-DK"/>
        </w:rPr>
        <w:t>.</w:t>
      </w:r>
    </w:p>
    <w:p w14:paraId="07E56B62" w14:textId="77777777" w:rsidR="00306122" w:rsidRPr="00796736" w:rsidRDefault="00306122" w:rsidP="00A802A5">
      <w:pPr>
        <w:spacing w:after="240"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vil indebære, at det vil være Advokatnævnet, som træffer afgørelse om at iværksætte de forskellige administrative foranstaltninger efter de foreslåede bestemmelser for den manglende overholdelse mv. af reglerne i hvidvaskforordningen, reglerne i den foreslåede lov eller regler udstedt i medfør heraf. Advokatnævnets afgørelse vil ske efter indstilling fra Advokatrådet, hvilket vil sige, at Advokatrådet indbringer sagen for Advokatnævnet, herunder med stillingtagen til, hvilken foranstaltning, som bør iværksættes. Dette svarer til Advokatrådets praksis for indbringelse af disciplinærsager for nævnet i dag.</w:t>
      </w:r>
    </w:p>
    <w:p w14:paraId="25FF6D51" w14:textId="77777777" w:rsidR="00361B87" w:rsidRPr="00D253F0" w:rsidRDefault="00361B87" w:rsidP="00A802A5">
      <w:pPr>
        <w:spacing w:after="240"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Den foreslåede bestemmelse vil indebære, at Advokatnævnet er kompetent til at tage stilling til sager, som alene vedrører advokaters manglende </w:t>
      </w:r>
      <w:r>
        <w:rPr>
          <w:rFonts w:ascii="Times New Roman" w:eastAsia="Times New Roman" w:hAnsi="Times New Roman" w:cs="Times New Roman"/>
          <w:iCs/>
          <w:sz w:val="24"/>
          <w:szCs w:val="24"/>
          <w:lang w:eastAsia="da-DK"/>
        </w:rPr>
        <w:t>efterlevelse</w:t>
      </w:r>
      <w:r w:rsidRPr="00D253F0">
        <w:rPr>
          <w:rFonts w:ascii="Times New Roman" w:eastAsia="Times New Roman" w:hAnsi="Times New Roman" w:cs="Times New Roman"/>
          <w:iCs/>
          <w:sz w:val="24"/>
          <w:szCs w:val="24"/>
          <w:lang w:eastAsia="da-DK"/>
        </w:rPr>
        <w:t xml:space="preserve"> mv. af hvidvaskreguleringen</w:t>
      </w:r>
      <w:r>
        <w:rPr>
          <w:rFonts w:ascii="Times New Roman" w:eastAsia="Times New Roman" w:hAnsi="Times New Roman" w:cs="Times New Roman"/>
          <w:iCs/>
          <w:sz w:val="24"/>
          <w:szCs w:val="24"/>
          <w:lang w:eastAsia="da-DK"/>
        </w:rPr>
        <w:t xml:space="preserve">, jf. de tilfælde, der er nævnt i stk. 1, nr. 1-3, og vil skulle foretage vurderingen af den manglende efterlevelse i sådanne sager samt reaktionen herpå efter reglerne nævnt i den foreslåede stk. 2. </w:t>
      </w:r>
      <w:r w:rsidRPr="00D253F0">
        <w:rPr>
          <w:rFonts w:ascii="Times New Roman" w:eastAsia="Times New Roman" w:hAnsi="Times New Roman" w:cs="Times New Roman"/>
          <w:iCs/>
          <w:sz w:val="24"/>
          <w:szCs w:val="24"/>
          <w:lang w:eastAsia="da-DK"/>
        </w:rPr>
        <w:t xml:space="preserve">Dette ændrer ikke på, at Advokatnævnet – ligesom tilfældet er i dag – vil være kompetent til efter retsplejelovens regler at tage stilling til spørgsmål om advokaters overholdelse af god advokatskik, hvori overholdelse af hvidvaskreguleringen fortsat vil kunne indgå som et moment i vurderingen. Den foreslåede bestemmelse indebærer således en </w:t>
      </w:r>
      <w:r>
        <w:rPr>
          <w:rFonts w:ascii="Times New Roman" w:eastAsia="Times New Roman" w:hAnsi="Times New Roman" w:cs="Times New Roman"/>
          <w:iCs/>
          <w:sz w:val="24"/>
          <w:szCs w:val="24"/>
          <w:lang w:eastAsia="da-DK"/>
        </w:rPr>
        <w:t>modifikation</w:t>
      </w:r>
      <w:r w:rsidRPr="00D253F0">
        <w:rPr>
          <w:rFonts w:ascii="Times New Roman" w:eastAsia="Times New Roman" w:hAnsi="Times New Roman" w:cs="Times New Roman"/>
          <w:iCs/>
          <w:sz w:val="24"/>
          <w:szCs w:val="24"/>
          <w:lang w:eastAsia="da-DK"/>
        </w:rPr>
        <w:t xml:space="preserve"> af Advokatnævnets eksisterende reaktionsmuligheder efter retsplejeloven, </w:t>
      </w:r>
      <w:r>
        <w:rPr>
          <w:rFonts w:ascii="Times New Roman" w:eastAsia="Times New Roman" w:hAnsi="Times New Roman" w:cs="Times New Roman"/>
          <w:iCs/>
          <w:sz w:val="24"/>
          <w:szCs w:val="24"/>
          <w:lang w:eastAsia="da-DK"/>
        </w:rPr>
        <w:t>derved at</w:t>
      </w:r>
      <w:r w:rsidRPr="00D253F0">
        <w:rPr>
          <w:rFonts w:ascii="Times New Roman" w:eastAsia="Times New Roman" w:hAnsi="Times New Roman" w:cs="Times New Roman"/>
          <w:iCs/>
          <w:sz w:val="24"/>
          <w:szCs w:val="24"/>
          <w:lang w:eastAsia="da-DK"/>
        </w:rPr>
        <w:t xml:space="preserve"> sager om den manglende overholdelse mv. af hvidvaskreguleringen vil skulle behandles og sanktionere</w:t>
      </w:r>
      <w:r>
        <w:rPr>
          <w:rFonts w:ascii="Times New Roman" w:eastAsia="Times New Roman" w:hAnsi="Times New Roman" w:cs="Times New Roman"/>
          <w:iCs/>
          <w:sz w:val="24"/>
          <w:szCs w:val="24"/>
          <w:lang w:eastAsia="da-DK"/>
        </w:rPr>
        <w:t xml:space="preserve">s </w:t>
      </w:r>
      <w:r w:rsidRPr="00D253F0">
        <w:rPr>
          <w:rFonts w:ascii="Times New Roman" w:eastAsia="Times New Roman" w:hAnsi="Times New Roman" w:cs="Times New Roman"/>
          <w:iCs/>
          <w:sz w:val="24"/>
          <w:szCs w:val="24"/>
          <w:lang w:eastAsia="da-DK"/>
        </w:rPr>
        <w:t xml:space="preserve">ved </w:t>
      </w:r>
      <w:r>
        <w:rPr>
          <w:rFonts w:ascii="Times New Roman" w:eastAsia="Times New Roman" w:hAnsi="Times New Roman" w:cs="Times New Roman"/>
          <w:iCs/>
          <w:sz w:val="24"/>
          <w:szCs w:val="24"/>
          <w:lang w:eastAsia="da-DK"/>
        </w:rPr>
        <w:t>administrative foranstaltninger</w:t>
      </w:r>
      <w:r w:rsidRPr="00D253F0">
        <w:rPr>
          <w:rFonts w:ascii="Times New Roman" w:eastAsia="Times New Roman" w:hAnsi="Times New Roman" w:cs="Times New Roman"/>
          <w:iCs/>
          <w:sz w:val="24"/>
          <w:szCs w:val="24"/>
          <w:lang w:eastAsia="da-DK"/>
        </w:rPr>
        <w:t xml:space="preserve"> efter de foreslåede regler i denne lov. </w:t>
      </w:r>
    </w:p>
    <w:p w14:paraId="33C6FC62" w14:textId="77777777" w:rsidR="00361B87" w:rsidRDefault="00361B87" w:rsidP="00A802A5">
      <w:pPr>
        <w:spacing w:after="240"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Advokatrådet vil alt efter sagens omstændigheder kunne indbringe en sag for nævnet, som både angår overholdelsen af hvidvaskreguleringen og overholdelsen af god advokatskik til samlet bedømmelse. Det bemærkes i relation hertil, at såfremt den manglende overholdelse af god advokatskik baserer sig på </w:t>
      </w:r>
      <w:r>
        <w:rPr>
          <w:rFonts w:ascii="Times New Roman" w:eastAsia="Times New Roman" w:hAnsi="Times New Roman" w:cs="Times New Roman"/>
          <w:iCs/>
          <w:sz w:val="24"/>
          <w:szCs w:val="24"/>
          <w:lang w:eastAsia="da-DK"/>
        </w:rPr>
        <w:t xml:space="preserve">et forhold om </w:t>
      </w:r>
      <w:r w:rsidRPr="00D253F0">
        <w:rPr>
          <w:rFonts w:ascii="Times New Roman" w:eastAsia="Times New Roman" w:hAnsi="Times New Roman" w:cs="Times New Roman"/>
          <w:iCs/>
          <w:sz w:val="24"/>
          <w:szCs w:val="24"/>
          <w:lang w:eastAsia="da-DK"/>
        </w:rPr>
        <w:t>manglende overholdelse af hvidvaskreglerne, vil forholdet skulle bedømmes og sanktioneres efter de materielle regler i den foreslåede lov.</w:t>
      </w:r>
      <w:r>
        <w:rPr>
          <w:rFonts w:ascii="Times New Roman" w:eastAsia="Times New Roman" w:hAnsi="Times New Roman" w:cs="Times New Roman"/>
          <w:iCs/>
          <w:sz w:val="24"/>
          <w:szCs w:val="24"/>
          <w:lang w:eastAsia="da-DK"/>
        </w:rPr>
        <w:t xml:space="preserve"> Dette indebærer, at de foreslåede regler om vurderingen af overtrædelsens mv. grovhed og de administrative foranstaltninger som lex specialis vil finde anvendelse i forhold til retsplejelovens regler om fratagelse af sager, frakendelse og tvangsbøder. Advokatrådet vil samtidig – ligesom tilfældet er i dag – under henvisning til retsplejelovens almindelige regler kunne nedlægge påstand om en disciplinærsanktion i form af bøde for manglende overholdelse af god advokatskik. Ved overtrædelser af hvidvaskreglerne, der efter Advokatrådets vurdering er af en sådan beskaffenhed, at der er grundlag for tillige at gøre et strafferetligt bødeansvar eller fængselsstraf gældende, vil Advokatrådet skulle indgive en anmeldelse til politiet herom, hvilket forudsættes at være sjældnere forekommende.</w:t>
      </w:r>
    </w:p>
    <w:p w14:paraId="73CD1DD4" w14:textId="016DA5C0" w:rsidR="00361B87" w:rsidRDefault="00361B87" w:rsidP="00A802A5">
      <w:pPr>
        <w:spacing w:after="240"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Er der tale om en sag med forskellige forhold, hvoraf nogle kan henføres til den manglende overholdelse mv. af hvidvaskreguleringen, mens andre kan henføres til </w:t>
      </w:r>
      <w:r>
        <w:rPr>
          <w:rFonts w:ascii="Times New Roman" w:eastAsia="Times New Roman" w:hAnsi="Times New Roman" w:cs="Times New Roman"/>
          <w:iCs/>
          <w:sz w:val="24"/>
          <w:szCs w:val="24"/>
          <w:lang w:eastAsia="da-DK"/>
        </w:rPr>
        <w:t>den manglende overholdelse af andre regler</w:t>
      </w:r>
      <w:r w:rsidRPr="00D253F0">
        <w:rPr>
          <w:rFonts w:ascii="Times New Roman" w:eastAsia="Times New Roman" w:hAnsi="Times New Roman" w:cs="Times New Roman"/>
          <w:iCs/>
          <w:sz w:val="24"/>
          <w:szCs w:val="24"/>
          <w:lang w:eastAsia="da-DK"/>
        </w:rPr>
        <w:t>, vil Advokatnævnet fortsat kunne behandle forholdene samlet og vil i et sådant tilfælde skulle vurdere forholdene, som relaterer sig til hvidvaskreguleringen, efter</w:t>
      </w:r>
      <w:r>
        <w:rPr>
          <w:rFonts w:ascii="Times New Roman" w:eastAsia="Times New Roman" w:hAnsi="Times New Roman" w:cs="Times New Roman"/>
          <w:iCs/>
          <w:sz w:val="24"/>
          <w:szCs w:val="24"/>
          <w:lang w:eastAsia="da-DK"/>
        </w:rPr>
        <w:t xml:space="preserve"> de foreslåede</w:t>
      </w:r>
      <w:r w:rsidRPr="00D253F0">
        <w:rPr>
          <w:rFonts w:ascii="Times New Roman" w:eastAsia="Times New Roman" w:hAnsi="Times New Roman" w:cs="Times New Roman"/>
          <w:iCs/>
          <w:sz w:val="24"/>
          <w:szCs w:val="24"/>
          <w:lang w:eastAsia="da-DK"/>
        </w:rPr>
        <w:t xml:space="preserve"> regler i denne lov.</w:t>
      </w:r>
    </w:p>
    <w:p w14:paraId="1EFE533E" w14:textId="5F380FE1" w:rsidR="00361B87"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 xml:space="preserve">Retsgrundlaget for Advokatnævnets valg af sanktion vil i sådanne tilfælde bero på en helhedsvurdering af sagens samlede forhold. Vurderer Advokatnævnet, at hvidvaskforholdet ikke isoleret set er af en sådan beskaffenhed, at det giver anledning til iværksættelse af administrative foranstaltninger efter de foreslåede bestemmelser i denne lov, vil Advokatnævnet kunne behandle sagen som et spørgsmål om overtrædelse af god advokatskik og fastsætte sanktionen på baggrund af retsplejelovens regler i form af eksempelvis en bøde eller irettesættelse. Er sagens øvrige forhold af en sådan beskaffenhed, at der efter retsplejelovens regler er grundlag for afgørelse om fratagelse af sager eller frakendelser mv., vil Advokatnævnet ligesom i dag kunne træffe afgørelse herom. Vurderer Advokatnævnet omvendt, at hvidvaskforholdet efter en samlet vurdering er af en sådan beskaffenhed, at det isoleret set giver anledning til iværksættelse af administrative foranstaltninger efter de foreslåede bestemmelser herom, vil retsgrundlaget for Advokatnævnets fastsættelse af sanktion være de foreslåede regler i </w:t>
      </w:r>
      <w:r w:rsidR="003013DF">
        <w:rPr>
          <w:rFonts w:ascii="Times New Roman" w:eastAsia="Times New Roman" w:hAnsi="Times New Roman" w:cs="Times New Roman"/>
          <w:iCs/>
          <w:sz w:val="24"/>
          <w:szCs w:val="24"/>
          <w:lang w:eastAsia="da-DK"/>
        </w:rPr>
        <w:fldChar w:fldCharType="begin"/>
      </w:r>
      <w:r w:rsidR="003013DF">
        <w:rPr>
          <w:rFonts w:ascii="Times New Roman" w:eastAsia="Times New Roman" w:hAnsi="Times New Roman" w:cs="Times New Roman"/>
          <w:iCs/>
          <w:sz w:val="24"/>
          <w:szCs w:val="24"/>
          <w:lang w:eastAsia="da-DK"/>
        </w:rPr>
        <w:instrText xml:space="preserve"> REF _Ref244787574 \r \h </w:instrText>
      </w:r>
      <w:r w:rsidR="003013DF">
        <w:rPr>
          <w:rFonts w:ascii="Times New Roman" w:eastAsia="Times New Roman" w:hAnsi="Times New Roman" w:cs="Times New Roman"/>
          <w:iCs/>
          <w:sz w:val="24"/>
          <w:szCs w:val="24"/>
          <w:lang w:eastAsia="da-DK"/>
        </w:rPr>
      </w:r>
      <w:r w:rsidR="003013DF">
        <w:rPr>
          <w:rFonts w:ascii="Times New Roman" w:eastAsia="Times New Roman" w:hAnsi="Times New Roman" w:cs="Times New Roman"/>
          <w:iCs/>
          <w:sz w:val="24"/>
          <w:szCs w:val="24"/>
          <w:lang w:eastAsia="da-DK"/>
        </w:rPr>
        <w:fldChar w:fldCharType="separate"/>
      </w:r>
      <w:r w:rsidR="003013DF">
        <w:rPr>
          <w:rFonts w:ascii="Times New Roman" w:eastAsia="Times New Roman" w:hAnsi="Times New Roman" w:cs="Times New Roman"/>
          <w:iCs/>
          <w:sz w:val="24"/>
          <w:szCs w:val="24"/>
          <w:lang w:eastAsia="da-DK"/>
        </w:rPr>
        <w:t>§ 103</w:t>
      </w:r>
      <w:r w:rsidR="003013DF">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_Ref236987494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106</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men Advokatnævnet vil i tillæg hertil kunne pålægge Advokaten en eventuel disciplinærsanktion i form af en bøde for overtrædelse af god advokatskik efter retsplejelovens regler. Ligesom i tilfældet ovenfor, vil Advokatrådet i sager, hvor det skønnes, at der på baggrund af den manglende efterlevelse af hvidvaskreglerne er grundlag for tillige at gøre et strafferetligt bødeansvar eller en fængselsstraf gældende, vil Advokatrådet skulle indgive en anmeldelse til politiet herom.</w:t>
      </w:r>
    </w:p>
    <w:p w14:paraId="1DCC2381" w14:textId="77777777" w:rsidR="00361B87" w:rsidRPr="00D253F0"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 xml:space="preserve">Den foreslåede ordning vil således indebære, at den manglende overholdelse af hvidvaskreguleringen principielt vurderes og sanktioneres uafhængigt af vurderingen af, om advokaten har tilsidesat god advokatskik. Sidstnævnte vurdering vil således følge de nugældende regler herom, herunder reglerne om gentagelsesvirkning og bødefastsættelse i det disciplinære spor. Som nævnt ovenfor vil Advokatrådet imidlertid i forbindelse med indledning af en sag om overtrædelse af hvidvaskreguleringen tillige kunne gøre gældende, at der ved samme hændelsesforløb er sket en tilsidesættelse af god advokatskik, hvorved den pågældende overtrædelse ved en senere sag om god advokatskik vil kunne tillægges gentagelsesvirkning. </w:t>
      </w:r>
      <w:r w:rsidRPr="00D253F0">
        <w:rPr>
          <w:rFonts w:ascii="Times New Roman" w:eastAsia="Times New Roman" w:hAnsi="Times New Roman" w:cs="Times New Roman"/>
          <w:iCs/>
          <w:sz w:val="24"/>
          <w:szCs w:val="24"/>
          <w:lang w:eastAsia="da-DK"/>
        </w:rPr>
        <w:t xml:space="preserve">  </w:t>
      </w:r>
    </w:p>
    <w:p w14:paraId="3B7AC542" w14:textId="3DB2BFB6" w:rsidR="00361B87" w:rsidRDefault="00361B87" w:rsidP="00A802A5">
      <w:pPr>
        <w:spacing w:after="240"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Den foreslåede bestemmelse vil endvidere indebære, at </w:t>
      </w:r>
      <w:r>
        <w:rPr>
          <w:rFonts w:ascii="Times New Roman" w:eastAsia="Times New Roman" w:hAnsi="Times New Roman" w:cs="Times New Roman"/>
          <w:iCs/>
          <w:sz w:val="24"/>
          <w:szCs w:val="24"/>
          <w:lang w:eastAsia="da-DK"/>
        </w:rPr>
        <w:t>reglerne i retsplejelovens</w:t>
      </w:r>
      <w:r w:rsidRPr="00D253F0">
        <w:rPr>
          <w:rFonts w:ascii="Times New Roman" w:eastAsia="Times New Roman" w:hAnsi="Times New Roman" w:cs="Times New Roman"/>
          <w:iCs/>
          <w:sz w:val="24"/>
          <w:szCs w:val="24"/>
          <w:lang w:eastAsia="da-DK"/>
        </w:rPr>
        <w:t xml:space="preserve"> </w:t>
      </w:r>
      <w:r>
        <w:rPr>
          <w:rFonts w:ascii="Times New Roman" w:eastAsia="Times New Roman" w:hAnsi="Times New Roman" w:cs="Times New Roman"/>
          <w:iCs/>
          <w:sz w:val="24"/>
          <w:szCs w:val="24"/>
          <w:lang w:eastAsia="da-DK"/>
        </w:rPr>
        <w:t>§ 147 b, stk. 4-6, § 147 c, stk. 10 og 11, 1. pkt., og §§ 147 d-147 g</w:t>
      </w:r>
      <w:r w:rsidRPr="00D253F0" w:rsidDel="00C759F3">
        <w:rPr>
          <w:rFonts w:ascii="Times New Roman" w:eastAsia="Times New Roman" w:hAnsi="Times New Roman" w:cs="Times New Roman"/>
          <w:iCs/>
          <w:sz w:val="24"/>
          <w:szCs w:val="24"/>
          <w:lang w:eastAsia="da-DK"/>
        </w:rPr>
        <w:t xml:space="preserve"> </w:t>
      </w:r>
      <w:r w:rsidRPr="00D253F0">
        <w:rPr>
          <w:rFonts w:ascii="Times New Roman" w:eastAsia="Times New Roman" w:hAnsi="Times New Roman" w:cs="Times New Roman"/>
          <w:iCs/>
          <w:sz w:val="24"/>
          <w:szCs w:val="24"/>
          <w:lang w:eastAsia="da-DK"/>
        </w:rPr>
        <w:t>vil finde tilsvarende anvendelse for sager ved Advokatnævnet om administrative foranstaltninger efter denne lov</w:t>
      </w:r>
      <w:r w:rsidR="00C41AD3">
        <w:rPr>
          <w:rFonts w:ascii="Times New Roman" w:eastAsia="Times New Roman" w:hAnsi="Times New Roman" w:cs="Times New Roman"/>
          <w:iCs/>
          <w:sz w:val="24"/>
          <w:szCs w:val="24"/>
          <w:lang w:eastAsia="da-DK"/>
        </w:rPr>
        <w:t xml:space="preserve">, ved nævnets prøvelse af Advokatrådets påbud efter </w:t>
      </w:r>
      <w:r w:rsidR="00C41AD3">
        <w:rPr>
          <w:rFonts w:ascii="Times New Roman" w:eastAsia="Times New Roman" w:hAnsi="Times New Roman" w:cs="Times New Roman"/>
          <w:iCs/>
          <w:sz w:val="24"/>
          <w:szCs w:val="24"/>
          <w:lang w:eastAsia="da-DK"/>
        </w:rPr>
        <w:fldChar w:fldCharType="begin"/>
      </w:r>
      <w:r w:rsidR="00C41AD3">
        <w:rPr>
          <w:rFonts w:ascii="Times New Roman" w:eastAsia="Times New Roman" w:hAnsi="Times New Roman" w:cs="Times New Roman"/>
          <w:iCs/>
          <w:sz w:val="24"/>
          <w:szCs w:val="24"/>
          <w:lang w:eastAsia="da-DK"/>
        </w:rPr>
        <w:instrText xml:space="preserve"> REF _Ref244787564 \n \h </w:instrText>
      </w:r>
      <w:r w:rsidR="00C41AD3">
        <w:rPr>
          <w:rFonts w:ascii="Times New Roman" w:eastAsia="Times New Roman" w:hAnsi="Times New Roman" w:cs="Times New Roman"/>
          <w:iCs/>
          <w:sz w:val="24"/>
          <w:szCs w:val="24"/>
          <w:lang w:eastAsia="da-DK"/>
        </w:rPr>
      </w:r>
      <w:r w:rsidR="00C41AD3">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102</w:t>
      </w:r>
      <w:r w:rsidR="00C41AD3">
        <w:rPr>
          <w:rFonts w:ascii="Times New Roman" w:eastAsia="Times New Roman" w:hAnsi="Times New Roman" w:cs="Times New Roman"/>
          <w:iCs/>
          <w:sz w:val="24"/>
          <w:szCs w:val="24"/>
          <w:lang w:eastAsia="da-DK"/>
        </w:rPr>
        <w:fldChar w:fldCharType="end"/>
      </w:r>
      <w:r w:rsidR="00C41AD3">
        <w:rPr>
          <w:rFonts w:ascii="Times New Roman" w:eastAsia="Times New Roman" w:hAnsi="Times New Roman" w:cs="Times New Roman"/>
          <w:iCs/>
          <w:sz w:val="24"/>
          <w:szCs w:val="24"/>
          <w:lang w:eastAsia="da-DK"/>
        </w:rPr>
        <w:t>, stk. 2</w:t>
      </w:r>
      <w:r w:rsidR="00C41AD3" w:rsidRPr="00D253F0">
        <w:rPr>
          <w:rFonts w:ascii="Times New Roman" w:eastAsia="Times New Roman" w:hAnsi="Times New Roman" w:cs="Times New Roman"/>
          <w:iCs/>
          <w:sz w:val="24"/>
          <w:szCs w:val="24"/>
          <w:lang w:eastAsia="da-DK"/>
        </w:rPr>
        <w:t xml:space="preserve">. Dette omfatter også regler udstedt i medfør af </w:t>
      </w:r>
      <w:r w:rsidR="00C41AD3">
        <w:rPr>
          <w:rFonts w:ascii="Times New Roman" w:eastAsia="Times New Roman" w:hAnsi="Times New Roman" w:cs="Times New Roman"/>
          <w:iCs/>
          <w:sz w:val="24"/>
          <w:szCs w:val="24"/>
          <w:lang w:eastAsia="da-DK"/>
        </w:rPr>
        <w:t>de pågældende bestemmelser</w:t>
      </w:r>
      <w:r w:rsidR="00C41AD3" w:rsidRPr="00D253F0">
        <w:rPr>
          <w:rFonts w:ascii="Times New Roman" w:eastAsia="Times New Roman" w:hAnsi="Times New Roman" w:cs="Times New Roman"/>
          <w:iCs/>
          <w:sz w:val="24"/>
          <w:szCs w:val="24"/>
          <w:lang w:eastAsia="da-DK"/>
        </w:rPr>
        <w:t>.</w:t>
      </w:r>
    </w:p>
    <w:p w14:paraId="6FEE540F" w14:textId="6EEE6997" w:rsidR="00361B87"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Bestemmelsernes</w:t>
      </w:r>
      <w:r w:rsidRPr="00D253F0">
        <w:rPr>
          <w:rFonts w:ascii="Times New Roman" w:eastAsia="Times New Roman" w:hAnsi="Times New Roman" w:cs="Times New Roman"/>
          <w:iCs/>
          <w:sz w:val="24"/>
          <w:szCs w:val="24"/>
          <w:lang w:eastAsia="da-DK"/>
        </w:rPr>
        <w:t xml:space="preserve"> tilsvarende anvendelse indebærer i denne sammenhæng, at de foreslåede bestemmelser om administrative foranstaltninger i </w:t>
      </w:r>
      <w:r w:rsidR="003013DF">
        <w:rPr>
          <w:rFonts w:ascii="Times New Roman" w:eastAsia="Times New Roman" w:hAnsi="Times New Roman" w:cs="Times New Roman"/>
          <w:iCs/>
          <w:sz w:val="24"/>
          <w:szCs w:val="24"/>
          <w:lang w:eastAsia="da-DK"/>
        </w:rPr>
        <w:fldChar w:fldCharType="begin"/>
      </w:r>
      <w:r w:rsidR="003013DF">
        <w:rPr>
          <w:rFonts w:ascii="Times New Roman" w:eastAsia="Times New Roman" w:hAnsi="Times New Roman" w:cs="Times New Roman"/>
          <w:iCs/>
          <w:sz w:val="24"/>
          <w:szCs w:val="24"/>
          <w:lang w:eastAsia="da-DK"/>
        </w:rPr>
        <w:instrText xml:space="preserve"> REF _Ref244787574 \r \h </w:instrText>
      </w:r>
      <w:r w:rsidR="003013DF">
        <w:rPr>
          <w:rFonts w:ascii="Times New Roman" w:eastAsia="Times New Roman" w:hAnsi="Times New Roman" w:cs="Times New Roman"/>
          <w:iCs/>
          <w:sz w:val="24"/>
          <w:szCs w:val="24"/>
          <w:lang w:eastAsia="da-DK"/>
        </w:rPr>
      </w:r>
      <w:r w:rsidR="003013DF">
        <w:rPr>
          <w:rFonts w:ascii="Times New Roman" w:eastAsia="Times New Roman" w:hAnsi="Times New Roman" w:cs="Times New Roman"/>
          <w:iCs/>
          <w:sz w:val="24"/>
          <w:szCs w:val="24"/>
          <w:lang w:eastAsia="da-DK"/>
        </w:rPr>
        <w:fldChar w:fldCharType="separate"/>
      </w:r>
      <w:r w:rsidR="003013DF">
        <w:rPr>
          <w:rFonts w:ascii="Times New Roman" w:eastAsia="Times New Roman" w:hAnsi="Times New Roman" w:cs="Times New Roman"/>
          <w:iCs/>
          <w:sz w:val="24"/>
          <w:szCs w:val="24"/>
          <w:lang w:eastAsia="da-DK"/>
        </w:rPr>
        <w:t>§ 103</w:t>
      </w:r>
      <w:r w:rsidR="003013DF">
        <w:rPr>
          <w:rFonts w:ascii="Times New Roman" w:eastAsia="Times New Roman" w:hAnsi="Times New Roman" w:cs="Times New Roman"/>
          <w:iCs/>
          <w:sz w:val="24"/>
          <w:szCs w:val="24"/>
          <w:lang w:eastAsia="da-DK"/>
        </w:rPr>
        <w:fldChar w:fldCharType="end"/>
      </w:r>
      <w:r w:rsidRPr="00D253F0">
        <w:rPr>
          <w:rFonts w:ascii="Times New Roman" w:eastAsia="Times New Roman" w:hAnsi="Times New Roman" w:cs="Times New Roman"/>
          <w:iCs/>
          <w:sz w:val="24"/>
          <w:szCs w:val="24"/>
          <w:lang w:eastAsia="da-DK"/>
        </w:rPr>
        <w:t>-</w:t>
      </w:r>
      <w:r w:rsidRPr="00D253F0">
        <w:rPr>
          <w:rFonts w:ascii="Times New Roman" w:eastAsia="Times New Roman" w:hAnsi="Times New Roman" w:cs="Times New Roman"/>
          <w:iCs/>
          <w:sz w:val="24"/>
          <w:szCs w:val="24"/>
          <w:lang w:eastAsia="da-DK"/>
        </w:rPr>
        <w:fldChar w:fldCharType="begin"/>
      </w:r>
      <w:r w:rsidRPr="00D253F0">
        <w:rPr>
          <w:rFonts w:ascii="Times New Roman" w:eastAsia="Times New Roman" w:hAnsi="Times New Roman" w:cs="Times New Roman"/>
          <w:iCs/>
          <w:sz w:val="24"/>
          <w:szCs w:val="24"/>
          <w:lang w:eastAsia="da-DK"/>
        </w:rPr>
        <w:instrText xml:space="preserve"> REF _Ref239435504 \r \h  \* MERGEFORMAT </w:instrText>
      </w:r>
      <w:r w:rsidRPr="00D253F0">
        <w:rPr>
          <w:rFonts w:ascii="Times New Roman" w:eastAsia="Times New Roman" w:hAnsi="Times New Roman" w:cs="Times New Roman"/>
          <w:iCs/>
          <w:sz w:val="24"/>
          <w:szCs w:val="24"/>
          <w:lang w:eastAsia="da-DK"/>
        </w:rPr>
      </w:r>
      <w:r w:rsidRPr="00D253F0">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107</w:t>
      </w:r>
      <w:r w:rsidRPr="00D253F0">
        <w:rPr>
          <w:rFonts w:ascii="Times New Roman" w:eastAsia="Times New Roman" w:hAnsi="Times New Roman" w:cs="Times New Roman"/>
          <w:iCs/>
          <w:sz w:val="24"/>
          <w:szCs w:val="24"/>
          <w:lang w:eastAsia="da-DK"/>
        </w:rPr>
        <w:fldChar w:fldCharType="end"/>
      </w:r>
      <w:r w:rsidRPr="00D253F0">
        <w:rPr>
          <w:rFonts w:ascii="Times New Roman" w:eastAsia="Times New Roman" w:hAnsi="Times New Roman" w:cs="Times New Roman"/>
          <w:iCs/>
          <w:sz w:val="24"/>
          <w:szCs w:val="24"/>
          <w:lang w:eastAsia="da-DK"/>
        </w:rPr>
        <w:t xml:space="preserve"> vil træde i stedet for retsplejelovens § 147 c for så vidt angår det isolerede spørgsmål om sanktioner for den manglende overholdelse af hvidvaskreglerne. Det indebærer f.eks., at fristreglerne, reglerne om vidneafhøring, reglerne om domstolsprøvelse og om ophævelse af foranstaltninger i retsplejelovens kapitel 15 b finder tilsvarende anvendelse for administrative foranstaltninger påbudt efter denne lov. </w:t>
      </w:r>
    </w:p>
    <w:p w14:paraId="251BB08C" w14:textId="77777777" w:rsidR="00361B87"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 xml:space="preserve">Retsplejelovens § 147 b, stk. 4 og 5, indeholder regler om Advokatnævnets muligheder for af egen drift eller efter begæring at genoptage behandlingen af en klage. Bestemmelsens stk. 6 regulerer Advokatnævnets mulighed for at lade parter og vidner afhøre ved byretten det sted, hvor de bor.  </w:t>
      </w:r>
    </w:p>
    <w:p w14:paraId="3250B052" w14:textId="77777777" w:rsidR="00361B87"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 xml:space="preserve">Retsplejelovens § 147 c, stk. 10, foreskriver, at nævnets afgørelser ikke kan indbringes for anden administrativ myndighed og skal indeholde oplysning om adgangen til domstolsprøvelse, samt fristen herfor, hvilket tillige vil gælde for nævnets afgørelser efter de foreslåede bestemmelser. Efter § 147 c, stk. 11, 1. pkt., sender Advokatnævnet </w:t>
      </w:r>
      <w:r w:rsidRPr="000C02F8">
        <w:rPr>
          <w:rFonts w:ascii="Times New Roman" w:eastAsia="Times New Roman" w:hAnsi="Times New Roman" w:cs="Times New Roman"/>
          <w:iCs/>
          <w:sz w:val="24"/>
          <w:szCs w:val="24"/>
          <w:lang w:eastAsia="da-DK"/>
        </w:rPr>
        <w:t>meddelelse om en afgørelse til klageren, advokaten, fællesskabet af advokater, advokatselskabet, personen, der i medfør af § 124 c, stk. 1, nr. 2, ejer aktier eller anparter i et advokatselskab, Advokatrådet og Justitsministeriet</w:t>
      </w:r>
      <w:r>
        <w:rPr>
          <w:rFonts w:ascii="Times New Roman" w:eastAsia="Times New Roman" w:hAnsi="Times New Roman" w:cs="Times New Roman"/>
          <w:iCs/>
          <w:sz w:val="24"/>
          <w:szCs w:val="24"/>
          <w:lang w:eastAsia="da-DK"/>
        </w:rPr>
        <w:t>. Bestemmelsen vil i forhold til den foreslåede ordning indebære, at Advokatnævnet vil skulle sende meddelelse om afgørelse til Advokatrådet, den berørte advokat og Justitsministeriet. Det vil efter den foreslåede bestemmelse om offentliggørelse være Advokatrådet, som drager omsorg for offentliggørelsen af nævnets afgørelser efter hvidvaskreglerne.</w:t>
      </w:r>
    </w:p>
    <w:p w14:paraId="5C88FBE0" w14:textId="3B652EB9" w:rsidR="00361B87"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Retsplejelovens §§ 147 d og 147 e regulerer mulighederne for at indbringe Advokatnævnets afgørelser efter § 147 c, stk. 1-4, 8 eller 9 for retten, fristerne herfor og virkningen af samt reglerne for sagsanlægget, herunder spørgsmål om opsættende virkning, procesformen og værneting.</w:t>
      </w:r>
      <w:r w:rsidR="007C59E6">
        <w:rPr>
          <w:rFonts w:ascii="Times New Roman" w:eastAsia="Times New Roman" w:hAnsi="Times New Roman" w:cs="Times New Roman"/>
          <w:iCs/>
          <w:sz w:val="24"/>
          <w:szCs w:val="24"/>
          <w:lang w:eastAsia="da-DK"/>
        </w:rPr>
        <w:t xml:space="preserve"> Bestemmelserne vil finde tilsvarende anvendelse for indbringelse af Advokatnævnets sager truffet i medfør af de foreslåede bestemmelser.</w:t>
      </w:r>
    </w:p>
    <w:p w14:paraId="43D3E469" w14:textId="17F9B542" w:rsidR="00343D66" w:rsidRDefault="00361B87" w:rsidP="00A802A5">
      <w:pPr>
        <w:spacing w:after="240" w:line="360" w:lineRule="auto"/>
        <w:rPr>
          <w:rFonts w:ascii="Times New Roman" w:hAnsi="Times New Roman" w:cs="Times New Roman"/>
          <w:sz w:val="24"/>
          <w:szCs w:val="24"/>
          <w:lang w:eastAsia="da-DK"/>
        </w:rPr>
      </w:pPr>
      <w:r>
        <w:rPr>
          <w:rFonts w:ascii="Times New Roman" w:eastAsia="Times New Roman" w:hAnsi="Times New Roman" w:cs="Times New Roman"/>
          <w:iCs/>
          <w:sz w:val="24"/>
          <w:szCs w:val="24"/>
          <w:lang w:eastAsia="da-DK"/>
        </w:rPr>
        <w:t>Retsplejelovens § 147 f regulerer Advokatnævnets mulighed for til enhver til at ophæve en frakendelse efter § 147 c, stk. 3, 4, 8 og 9, hvilket vil finde tilsvarende anvendelse for nævnets afgørelser om frakendelser eller ændringer i ledelsesstrukturen efter</w:t>
      </w:r>
      <w:r w:rsidR="007C59E6">
        <w:rPr>
          <w:rFonts w:ascii="Times New Roman" w:eastAsia="Times New Roman" w:hAnsi="Times New Roman" w:cs="Times New Roman"/>
          <w:iCs/>
          <w:sz w:val="24"/>
          <w:szCs w:val="24"/>
          <w:lang w:eastAsia="da-DK"/>
        </w:rPr>
        <w:t xml:space="preserve"> henholdsvis</w:t>
      </w:r>
      <w:r w:rsidR="00D16F47">
        <w:rPr>
          <w:rFonts w:ascii="Times New Roman" w:eastAsia="Times New Roman" w:hAnsi="Times New Roman" w:cs="Times New Roman"/>
          <w:iCs/>
          <w:sz w:val="24"/>
          <w:szCs w:val="24"/>
          <w:lang w:eastAsia="da-DK"/>
        </w:rPr>
        <w:t xml:space="preserve"> </w:t>
      </w:r>
      <w:r w:rsidR="00D16F47">
        <w:rPr>
          <w:rFonts w:ascii="Times New Roman" w:eastAsia="Times New Roman" w:hAnsi="Times New Roman" w:cs="Times New Roman"/>
          <w:iCs/>
          <w:sz w:val="24"/>
          <w:szCs w:val="24"/>
          <w:lang w:eastAsia="da-DK"/>
        </w:rPr>
        <w:fldChar w:fldCharType="begin"/>
      </w:r>
      <w:r w:rsidR="00D16F47">
        <w:rPr>
          <w:rFonts w:ascii="Times New Roman" w:eastAsia="Times New Roman" w:hAnsi="Times New Roman" w:cs="Times New Roman"/>
          <w:iCs/>
          <w:sz w:val="24"/>
          <w:szCs w:val="24"/>
          <w:lang w:eastAsia="da-DK"/>
        </w:rPr>
        <w:instrText xml:space="preserve"> REF _Ref244787574 \n \h </w:instrText>
      </w:r>
      <w:r w:rsidR="00D16F47">
        <w:rPr>
          <w:rFonts w:ascii="Times New Roman" w:eastAsia="Times New Roman" w:hAnsi="Times New Roman" w:cs="Times New Roman"/>
          <w:iCs/>
          <w:sz w:val="24"/>
          <w:szCs w:val="24"/>
          <w:lang w:eastAsia="da-DK"/>
        </w:rPr>
      </w:r>
      <w:r w:rsidR="00D16F47">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103</w:t>
      </w:r>
      <w:r w:rsidR="00D16F47">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1, nr. 2,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_Ref243868282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104</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w:t>
      </w:r>
      <w:r w:rsidR="00D16F47">
        <w:rPr>
          <w:rFonts w:ascii="Times New Roman" w:eastAsia="Times New Roman" w:hAnsi="Times New Roman" w:cs="Times New Roman"/>
          <w:iCs/>
          <w:sz w:val="24"/>
          <w:szCs w:val="24"/>
          <w:lang w:eastAsia="da-DK"/>
        </w:rPr>
        <w:t xml:space="preserve">og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_Ref236998239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105</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stk. 1</w:t>
      </w:r>
      <w:r w:rsidR="002D0A6D">
        <w:rPr>
          <w:rFonts w:ascii="Times New Roman" w:eastAsia="Times New Roman" w:hAnsi="Times New Roman" w:cs="Times New Roman"/>
          <w:iCs/>
          <w:sz w:val="24"/>
          <w:szCs w:val="24"/>
          <w:lang w:eastAsia="da-DK"/>
        </w:rPr>
        <w:t xml:space="preserve">. Retsplejelovens § 147 f vil endvidere finde tilsvarende anvendelse for afgørelser </w:t>
      </w:r>
      <w:r>
        <w:rPr>
          <w:rFonts w:ascii="Times New Roman" w:eastAsia="Times New Roman" w:hAnsi="Times New Roman" w:cs="Times New Roman"/>
          <w:iCs/>
          <w:sz w:val="24"/>
          <w:szCs w:val="24"/>
          <w:lang w:eastAsia="da-DK"/>
        </w:rPr>
        <w:t xml:space="preserve">efter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_Ref236998239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105</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2, nr. 1, og </w:t>
      </w:r>
      <w:r w:rsidRPr="00D253F0">
        <w:rPr>
          <w:rFonts w:ascii="Times New Roman" w:hAnsi="Times New Roman" w:cs="Times New Roman"/>
          <w:sz w:val="24"/>
          <w:szCs w:val="24"/>
          <w:lang w:eastAsia="da-DK"/>
        </w:rPr>
        <w:fldChar w:fldCharType="begin"/>
      </w:r>
      <w:r w:rsidRPr="00D253F0">
        <w:rPr>
          <w:rFonts w:ascii="Times New Roman" w:hAnsi="Times New Roman" w:cs="Times New Roman"/>
          <w:sz w:val="24"/>
          <w:szCs w:val="24"/>
          <w:lang w:eastAsia="da-DK"/>
        </w:rPr>
        <w:instrText xml:space="preserve"> REF _Ref236987494 \r \h  \* MERGEFORMAT </w:instrText>
      </w:r>
      <w:r w:rsidRPr="00D253F0">
        <w:rPr>
          <w:rFonts w:ascii="Times New Roman" w:hAnsi="Times New Roman" w:cs="Times New Roman"/>
          <w:sz w:val="24"/>
          <w:szCs w:val="24"/>
          <w:lang w:eastAsia="da-DK"/>
        </w:rPr>
      </w:r>
      <w:r w:rsidRPr="00D253F0">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Pr="00D253F0">
        <w:rPr>
          <w:rFonts w:ascii="Times New Roman" w:hAnsi="Times New Roman" w:cs="Times New Roman"/>
          <w:sz w:val="24"/>
          <w:szCs w:val="24"/>
          <w:lang w:eastAsia="da-DK"/>
        </w:rPr>
        <w:fldChar w:fldCharType="end"/>
      </w:r>
      <w:r w:rsidR="00343D66">
        <w:rPr>
          <w:rFonts w:ascii="Times New Roman" w:hAnsi="Times New Roman" w:cs="Times New Roman"/>
          <w:sz w:val="24"/>
          <w:szCs w:val="24"/>
          <w:lang w:eastAsia="da-DK"/>
        </w:rPr>
        <w:t>, hvorefter nævnet vil kunne ophæve et forbud mod, at personer dømt for overtrædelse af straffelovens §§ 114 b, 290 eller 290 a deltager i virksomhedens øverste ledelse eller mod, at sådanne personer er reelle ejere.</w:t>
      </w:r>
    </w:p>
    <w:p w14:paraId="05A77329" w14:textId="77777777" w:rsidR="00F700C4" w:rsidRDefault="00F700C4" w:rsidP="00F700C4">
      <w:pPr>
        <w:spacing w:after="240" w:line="360" w:lineRule="auto"/>
        <w:rPr>
          <w:rFonts w:ascii="Times New Roman" w:eastAsia="Times New Roman" w:hAnsi="Times New Roman" w:cs="Times New Roman"/>
          <w:iCs/>
          <w:sz w:val="24"/>
          <w:szCs w:val="24"/>
          <w:lang w:eastAsia="da-DK"/>
        </w:rPr>
      </w:pPr>
      <w:r>
        <w:rPr>
          <w:rFonts w:ascii="Times New Roman" w:hAnsi="Times New Roman" w:cs="Times New Roman"/>
          <w:sz w:val="24"/>
          <w:szCs w:val="24"/>
          <w:lang w:eastAsia="da-DK"/>
        </w:rPr>
        <w:t xml:space="preserve">Af § 147 f, stk. 2 fremgår det, at er </w:t>
      </w:r>
      <w:r w:rsidRPr="00336207">
        <w:rPr>
          <w:rFonts w:ascii="Times New Roman" w:hAnsi="Times New Roman" w:cs="Times New Roman"/>
          <w:sz w:val="24"/>
          <w:szCs w:val="24"/>
          <w:lang w:eastAsia="da-DK"/>
        </w:rPr>
        <w:t>frakendelsen sket indtil videre, og afslår Advokatnævnet en ansøgning om ophævelse af frakendelsen, kan den pågældende forlange spørgsmålet indbragt for retten, såfremt der er forløbet 5 år efter frakendelsen. Sagen anlægges af justitsministeren i den borgerlige retsplejes former. Godkender retten Advokatnævnets afgørelse, kan spørgsmålet først på ny indbringes for retten efter 2 års forløb.</w:t>
      </w:r>
      <w:r>
        <w:rPr>
          <w:rFonts w:ascii="Times New Roman" w:hAnsi="Times New Roman" w:cs="Times New Roman"/>
          <w:sz w:val="24"/>
          <w:szCs w:val="24"/>
          <w:lang w:eastAsia="da-DK"/>
        </w:rPr>
        <w:t xml:space="preserve"> </w:t>
      </w:r>
      <w:r>
        <w:rPr>
          <w:rFonts w:ascii="Times New Roman" w:eastAsia="Times New Roman" w:hAnsi="Times New Roman" w:cs="Times New Roman"/>
          <w:iCs/>
          <w:sz w:val="24"/>
          <w:szCs w:val="24"/>
          <w:lang w:eastAsia="da-DK"/>
        </w:rPr>
        <w:t xml:space="preserve"> </w:t>
      </w:r>
    </w:p>
    <w:p w14:paraId="6DE0B3F1" w14:textId="77777777" w:rsidR="00361B87" w:rsidRPr="00851C7A"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Endelig fremgår det af retsplejelovens § 147 g, stk. 1, at a</w:t>
      </w:r>
      <w:r w:rsidRPr="00851C7A">
        <w:rPr>
          <w:rFonts w:ascii="Times New Roman" w:eastAsia="Times New Roman" w:hAnsi="Times New Roman" w:cs="Times New Roman"/>
          <w:iCs/>
          <w:sz w:val="24"/>
          <w:szCs w:val="24"/>
          <w:lang w:eastAsia="da-DK"/>
        </w:rPr>
        <w:t>dvokaten eller personen, der i medfør af § 124 c, stk. 1, nr. 2, ejer aktier eller anparter i et advokatselskab, kan forlange en afgørelse efter § 147 c, stk. 5 eller 6, indbragt for retten. Retten kan stadfæste, ophæve eller ændre afgørelsen</w:t>
      </w:r>
      <w:r>
        <w:rPr>
          <w:rFonts w:ascii="Times New Roman" w:eastAsia="Times New Roman" w:hAnsi="Times New Roman" w:cs="Times New Roman"/>
          <w:iCs/>
          <w:sz w:val="24"/>
          <w:szCs w:val="24"/>
          <w:lang w:eastAsia="da-DK"/>
        </w:rPr>
        <w:t>.</w:t>
      </w:r>
    </w:p>
    <w:p w14:paraId="60641577" w14:textId="77777777" w:rsidR="00361B87" w:rsidRPr="00851C7A"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sz w:val="24"/>
          <w:szCs w:val="24"/>
          <w:lang w:eastAsia="da-DK"/>
        </w:rPr>
        <w:t>Efter stk. 2 skal a</w:t>
      </w:r>
      <w:r w:rsidRPr="00851C7A">
        <w:rPr>
          <w:rFonts w:ascii="Times New Roman" w:eastAsia="Times New Roman" w:hAnsi="Times New Roman" w:cs="Times New Roman"/>
          <w:iCs/>
          <w:sz w:val="24"/>
          <w:szCs w:val="24"/>
          <w:lang w:eastAsia="da-DK"/>
        </w:rPr>
        <w:t>nmodning om sagsanlæg fremsættes over for justitsministeren, inden 14 dage efter at afgørelsen er meddelt den pågældende. Justitsministeren anlægger herefter uden ugrundet ophold sag i den borgerlige retsplejes former mod advokaten eller personen, der i medfør af § 124 c, stk. 1, nr. 2, ejer aktier eller anparter i et advokatselskab. Retten træffer afgørelse inden for 4 uger efter sagens anlæg.</w:t>
      </w:r>
    </w:p>
    <w:p w14:paraId="7A986C3D" w14:textId="77777777" w:rsidR="00361B87" w:rsidRPr="00851C7A"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sz w:val="24"/>
          <w:szCs w:val="24"/>
          <w:lang w:eastAsia="da-DK"/>
        </w:rPr>
        <w:t>Efter stk. 3 har a</w:t>
      </w:r>
      <w:r w:rsidRPr="00851C7A">
        <w:rPr>
          <w:rFonts w:ascii="Times New Roman" w:eastAsia="Times New Roman" w:hAnsi="Times New Roman" w:cs="Times New Roman"/>
          <w:iCs/>
          <w:sz w:val="24"/>
          <w:szCs w:val="24"/>
          <w:lang w:eastAsia="da-DK"/>
        </w:rPr>
        <w:t>nmodning om sagsanlæg ikke opsættende virkning, medmindre retten undtagelsesvis beslutter dette. Anke har ikke opsættende virkning.</w:t>
      </w:r>
    </w:p>
    <w:p w14:paraId="447D6396" w14:textId="4DF02FF0" w:rsidR="00361B87" w:rsidRPr="000C02F8"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 xml:space="preserve">Den foreslåede bestemmelse vil være relevant i forhold til midlertidige afgørelser efter den foreslåede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_Ref239435504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107</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hvor der er truffet midlertidig afgørelse overfor advokater efter</w:t>
      </w:r>
      <w:r w:rsidR="003013DF">
        <w:rPr>
          <w:rFonts w:ascii="Times New Roman" w:eastAsia="Times New Roman" w:hAnsi="Times New Roman" w:cs="Times New Roman"/>
          <w:iCs/>
          <w:sz w:val="24"/>
          <w:szCs w:val="24"/>
          <w:lang w:eastAsia="da-DK"/>
        </w:rPr>
        <w:fldChar w:fldCharType="begin"/>
      </w:r>
      <w:r w:rsidR="003013DF">
        <w:rPr>
          <w:rFonts w:ascii="Times New Roman" w:eastAsia="Times New Roman" w:hAnsi="Times New Roman" w:cs="Times New Roman"/>
          <w:iCs/>
          <w:sz w:val="24"/>
          <w:szCs w:val="24"/>
          <w:lang w:eastAsia="da-DK"/>
        </w:rPr>
        <w:instrText xml:space="preserve"> REF _Ref244787574 \r \h </w:instrText>
      </w:r>
      <w:r w:rsidR="003013DF">
        <w:rPr>
          <w:rFonts w:ascii="Times New Roman" w:eastAsia="Times New Roman" w:hAnsi="Times New Roman" w:cs="Times New Roman"/>
          <w:iCs/>
          <w:sz w:val="24"/>
          <w:szCs w:val="24"/>
          <w:lang w:eastAsia="da-DK"/>
        </w:rPr>
      </w:r>
      <w:r w:rsidR="003013DF">
        <w:rPr>
          <w:rFonts w:ascii="Times New Roman" w:eastAsia="Times New Roman" w:hAnsi="Times New Roman" w:cs="Times New Roman"/>
          <w:iCs/>
          <w:sz w:val="24"/>
          <w:szCs w:val="24"/>
          <w:lang w:eastAsia="da-DK"/>
        </w:rPr>
        <w:fldChar w:fldCharType="separate"/>
      </w:r>
      <w:r w:rsidR="003013DF">
        <w:rPr>
          <w:rFonts w:ascii="Times New Roman" w:eastAsia="Times New Roman" w:hAnsi="Times New Roman" w:cs="Times New Roman"/>
          <w:iCs/>
          <w:sz w:val="24"/>
          <w:szCs w:val="24"/>
          <w:lang w:eastAsia="da-DK"/>
        </w:rPr>
        <w:t>§ 103</w:t>
      </w:r>
      <w:r w:rsidR="003013DF">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1, nr. 2 eller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_Ref243868282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104</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samt personer, som er adressater for midlertidige afgørelser efter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_Ref236998239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105</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og </w:t>
      </w:r>
      <w:r w:rsidRPr="00D253F0">
        <w:rPr>
          <w:rFonts w:ascii="Times New Roman" w:hAnsi="Times New Roman" w:cs="Times New Roman"/>
          <w:sz w:val="24"/>
          <w:szCs w:val="24"/>
          <w:lang w:eastAsia="da-DK"/>
        </w:rPr>
        <w:fldChar w:fldCharType="begin"/>
      </w:r>
      <w:r w:rsidRPr="00D253F0">
        <w:rPr>
          <w:rFonts w:ascii="Times New Roman" w:hAnsi="Times New Roman" w:cs="Times New Roman"/>
          <w:sz w:val="24"/>
          <w:szCs w:val="24"/>
          <w:lang w:eastAsia="da-DK"/>
        </w:rPr>
        <w:instrText xml:space="preserve"> REF _Ref236987494 \r \h  \* MERGEFORMAT </w:instrText>
      </w:r>
      <w:r w:rsidRPr="00D253F0">
        <w:rPr>
          <w:rFonts w:ascii="Times New Roman" w:hAnsi="Times New Roman" w:cs="Times New Roman"/>
          <w:sz w:val="24"/>
          <w:szCs w:val="24"/>
          <w:lang w:eastAsia="da-DK"/>
        </w:rPr>
      </w:r>
      <w:r w:rsidRPr="00D253F0">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Pr="00D253F0">
        <w:rPr>
          <w:rFonts w:ascii="Times New Roman" w:hAnsi="Times New Roman" w:cs="Times New Roman"/>
          <w:sz w:val="24"/>
          <w:szCs w:val="24"/>
          <w:lang w:eastAsia="da-DK"/>
        </w:rPr>
        <w:fldChar w:fldCharType="end"/>
      </w:r>
      <w:r>
        <w:rPr>
          <w:rFonts w:ascii="Times New Roman" w:hAnsi="Times New Roman" w:cs="Times New Roman"/>
          <w:sz w:val="24"/>
          <w:szCs w:val="24"/>
          <w:lang w:eastAsia="da-DK"/>
        </w:rPr>
        <w:t>, jf.</w:t>
      </w:r>
      <w:r>
        <w:rPr>
          <w:rFonts w:ascii="Times New Roman" w:eastAsia="Times New Roman" w:hAnsi="Times New Roman" w:cs="Times New Roman"/>
          <w:iCs/>
          <w:sz w:val="24"/>
          <w:szCs w:val="24"/>
          <w:lang w:eastAsia="da-DK"/>
        </w:rPr>
        <w:t xml:space="preserve">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_Ref239435504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107</w:t>
      </w:r>
      <w:r>
        <w:rPr>
          <w:rFonts w:ascii="Times New Roman" w:eastAsia="Times New Roman" w:hAnsi="Times New Roman" w:cs="Times New Roman"/>
          <w:iCs/>
          <w:sz w:val="24"/>
          <w:szCs w:val="24"/>
          <w:lang w:eastAsia="da-DK"/>
        </w:rPr>
        <w:fldChar w:fldCharType="end"/>
      </w:r>
      <w:r>
        <w:rPr>
          <w:rFonts w:ascii="Times New Roman" w:hAnsi="Times New Roman" w:cs="Times New Roman"/>
          <w:sz w:val="24"/>
          <w:szCs w:val="24"/>
          <w:lang w:eastAsia="da-DK"/>
        </w:rPr>
        <w:t>.</w:t>
      </w:r>
    </w:p>
    <w:p w14:paraId="19623C0C" w14:textId="67E29891" w:rsidR="00361B87" w:rsidRDefault="00361B87" w:rsidP="00A802A5">
      <w:pPr>
        <w:spacing w:after="240" w:line="360" w:lineRule="auto"/>
        <w:rPr>
          <w:rFonts w:ascii="Times New Roman" w:eastAsia="Times New Roman" w:hAnsi="Times New Roman" w:cs="Times New Roman"/>
          <w:iCs/>
          <w:sz w:val="24"/>
          <w:szCs w:val="24"/>
          <w:lang w:eastAsia="da-DK"/>
        </w:rPr>
      </w:pPr>
      <w:r>
        <w:rPr>
          <w:rFonts w:ascii="Times New Roman" w:hAnsi="Times New Roman" w:cs="Times New Roman"/>
          <w:sz w:val="24"/>
          <w:szCs w:val="24"/>
        </w:rPr>
        <w:t xml:space="preserve">Det foreslås i </w:t>
      </w:r>
      <w:r>
        <w:rPr>
          <w:rFonts w:ascii="Times New Roman" w:hAnsi="Times New Roman" w:cs="Times New Roman"/>
          <w:i/>
          <w:iCs/>
          <w:sz w:val="24"/>
          <w:szCs w:val="24"/>
        </w:rPr>
        <w:t xml:space="preserve">stk. 4, </w:t>
      </w:r>
      <w:r>
        <w:rPr>
          <w:rFonts w:ascii="Times New Roman" w:hAnsi="Times New Roman" w:cs="Times New Roman"/>
          <w:sz w:val="24"/>
          <w:szCs w:val="24"/>
        </w:rPr>
        <w:t xml:space="preserve">at afgørelser </w:t>
      </w:r>
      <w:r>
        <w:rPr>
          <w:rFonts w:ascii="Times New Roman" w:eastAsia="Times New Roman" w:hAnsi="Times New Roman" w:cs="Times New Roman"/>
          <w:iCs/>
          <w:sz w:val="24"/>
          <w:szCs w:val="24"/>
          <w:lang w:eastAsia="da-DK"/>
        </w:rPr>
        <w:t>efter</w:t>
      </w:r>
      <w:r w:rsidR="003013DF">
        <w:rPr>
          <w:rFonts w:ascii="Times New Roman" w:eastAsia="Times New Roman" w:hAnsi="Times New Roman" w:cs="Times New Roman"/>
          <w:iCs/>
          <w:sz w:val="24"/>
          <w:szCs w:val="24"/>
          <w:lang w:eastAsia="da-DK"/>
        </w:rPr>
        <w:t xml:space="preserve"> </w:t>
      </w:r>
      <w:r w:rsidR="003013DF">
        <w:rPr>
          <w:rFonts w:ascii="Times New Roman" w:eastAsia="Times New Roman" w:hAnsi="Times New Roman" w:cs="Times New Roman"/>
          <w:iCs/>
          <w:sz w:val="24"/>
          <w:szCs w:val="24"/>
          <w:lang w:eastAsia="da-DK"/>
        </w:rPr>
        <w:fldChar w:fldCharType="begin"/>
      </w:r>
      <w:r w:rsidR="003013DF">
        <w:rPr>
          <w:rFonts w:ascii="Times New Roman" w:eastAsia="Times New Roman" w:hAnsi="Times New Roman" w:cs="Times New Roman"/>
          <w:iCs/>
          <w:sz w:val="24"/>
          <w:szCs w:val="24"/>
          <w:lang w:eastAsia="da-DK"/>
        </w:rPr>
        <w:instrText xml:space="preserve"> REF _Ref244787574 \r \h </w:instrText>
      </w:r>
      <w:r w:rsidR="003013DF">
        <w:rPr>
          <w:rFonts w:ascii="Times New Roman" w:eastAsia="Times New Roman" w:hAnsi="Times New Roman" w:cs="Times New Roman"/>
          <w:iCs/>
          <w:sz w:val="24"/>
          <w:szCs w:val="24"/>
          <w:lang w:eastAsia="da-DK"/>
        </w:rPr>
      </w:r>
      <w:r w:rsidR="003013DF">
        <w:rPr>
          <w:rFonts w:ascii="Times New Roman" w:eastAsia="Times New Roman" w:hAnsi="Times New Roman" w:cs="Times New Roman"/>
          <w:iCs/>
          <w:sz w:val="24"/>
          <w:szCs w:val="24"/>
          <w:lang w:eastAsia="da-DK"/>
        </w:rPr>
        <w:fldChar w:fldCharType="separate"/>
      </w:r>
      <w:r w:rsidR="003013DF">
        <w:rPr>
          <w:rFonts w:ascii="Times New Roman" w:eastAsia="Times New Roman" w:hAnsi="Times New Roman" w:cs="Times New Roman"/>
          <w:iCs/>
          <w:sz w:val="24"/>
          <w:szCs w:val="24"/>
          <w:lang w:eastAsia="da-DK"/>
        </w:rPr>
        <w:t>§ 103</w:t>
      </w:r>
      <w:r w:rsidR="003013DF">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1, nr. 2,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_Ref243868282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104</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og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_Ref236998239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105</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1, kan gøres betingede på vilkår af, at advokaten i en prøvetid på 5 år regnet fra Advokatnævnets afgørelse ikke omfattes af de tilfælde, der er nævnt i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_Ref242893180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stk. 1, under sådanne omstændigheder, at der efter en samlet bedømmelse skal træffes en ubetinget afgørelse efter</w:t>
      </w:r>
      <w:r w:rsidR="003514CD">
        <w:rPr>
          <w:rFonts w:ascii="Times New Roman" w:eastAsia="Times New Roman" w:hAnsi="Times New Roman" w:cs="Times New Roman"/>
          <w:iCs/>
          <w:sz w:val="24"/>
          <w:szCs w:val="24"/>
          <w:lang w:eastAsia="da-DK"/>
        </w:rPr>
        <w:fldChar w:fldCharType="begin"/>
      </w:r>
      <w:r w:rsidR="003514CD">
        <w:rPr>
          <w:rFonts w:ascii="Times New Roman" w:eastAsia="Times New Roman" w:hAnsi="Times New Roman" w:cs="Times New Roman"/>
          <w:iCs/>
          <w:sz w:val="24"/>
          <w:szCs w:val="24"/>
          <w:lang w:eastAsia="da-DK"/>
        </w:rPr>
        <w:instrText xml:space="preserve"> REF _Ref244787574 \r \h </w:instrText>
      </w:r>
      <w:r w:rsidR="003514CD">
        <w:rPr>
          <w:rFonts w:ascii="Times New Roman" w:eastAsia="Times New Roman" w:hAnsi="Times New Roman" w:cs="Times New Roman"/>
          <w:iCs/>
          <w:sz w:val="24"/>
          <w:szCs w:val="24"/>
          <w:lang w:eastAsia="da-DK"/>
        </w:rPr>
      </w:r>
      <w:r w:rsidR="003514CD">
        <w:rPr>
          <w:rFonts w:ascii="Times New Roman" w:eastAsia="Times New Roman" w:hAnsi="Times New Roman" w:cs="Times New Roman"/>
          <w:iCs/>
          <w:sz w:val="24"/>
          <w:szCs w:val="24"/>
          <w:lang w:eastAsia="da-DK"/>
        </w:rPr>
        <w:fldChar w:fldCharType="separate"/>
      </w:r>
      <w:r w:rsidR="003514CD">
        <w:rPr>
          <w:rFonts w:ascii="Times New Roman" w:eastAsia="Times New Roman" w:hAnsi="Times New Roman" w:cs="Times New Roman"/>
          <w:iCs/>
          <w:sz w:val="24"/>
          <w:szCs w:val="24"/>
          <w:lang w:eastAsia="da-DK"/>
        </w:rPr>
        <w:t>§ 103</w:t>
      </w:r>
      <w:r w:rsidR="003514CD">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stk. 1, nr. 2,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_Ref243868282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104</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xml:space="preserve"> og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_Ref236998239 \r \h </w:instrText>
      </w:r>
      <w:r w:rsidR="00CB248D">
        <w:rPr>
          <w:rFonts w:ascii="Times New Roman" w:eastAsia="Times New Roman" w:hAnsi="Times New Roman" w:cs="Times New Roman"/>
          <w:iCs/>
          <w:sz w:val="24"/>
          <w:szCs w:val="24"/>
          <w:lang w:eastAsia="da-DK"/>
        </w:rPr>
        <w:instrText xml:space="preserve"> \* MERGEFORMAT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105</w:t>
      </w:r>
      <w:r>
        <w:rPr>
          <w:rFonts w:ascii="Times New Roman" w:eastAsia="Times New Roman" w:hAnsi="Times New Roman" w:cs="Times New Roman"/>
          <w:iCs/>
          <w:sz w:val="24"/>
          <w:szCs w:val="24"/>
          <w:lang w:eastAsia="da-DK"/>
        </w:rPr>
        <w:fldChar w:fldCharType="end"/>
      </w:r>
      <w:r>
        <w:rPr>
          <w:rFonts w:ascii="Times New Roman" w:eastAsia="Times New Roman" w:hAnsi="Times New Roman" w:cs="Times New Roman"/>
          <w:iCs/>
          <w:sz w:val="24"/>
          <w:szCs w:val="24"/>
          <w:lang w:eastAsia="da-DK"/>
        </w:rPr>
        <w:t>, stk. 1. Retsplejelovens § 147 c, stk. 3, 3.-5. pkt. finder tilsvarende anvendelse for betingede afgørelser efter 1. pkt.</w:t>
      </w:r>
    </w:p>
    <w:p w14:paraId="68A667EE" w14:textId="77777777" w:rsidR="00361B87" w:rsidRDefault="00361B87"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Den foreslåede bestemmelse vil indebære, at Advokatnævnet vil have mulighed for at træffe en betinget afgørelse, for derved at gøre advokaten tydeligt opmærksom på det forhold, at den udviste adfærd er uønsket og kan lede til en ubetinget afgørelse om enten frakendelse eller ændringer i ledelsesstrukturen, hvis den fortsættes. Den foreslåede bestemmelse skal ses i lyset af retsplejelovens § 147 c, stk. 3, hvorefter Advokatnævnet har mulighed for betinget af frakende advokaten retten til at udføre sager eller forretninger af en nærmere angiven karakter eller retten til at udøve advokatvirksomhed, hvis den pågældende har gjort sig skyldig i grov eller oftere gentagen overtrædelse af sine pligter som advokat.</w:t>
      </w:r>
    </w:p>
    <w:p w14:paraId="52EE11EA" w14:textId="77777777" w:rsidR="00361B87" w:rsidRDefault="00361B87"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Det foreslåede vil indebære, at der ved en </w:t>
      </w:r>
      <w:r w:rsidRPr="003D6622">
        <w:rPr>
          <w:rFonts w:ascii="Times New Roman" w:hAnsi="Times New Roman" w:cs="Times New Roman"/>
          <w:sz w:val="24"/>
          <w:szCs w:val="24"/>
        </w:rPr>
        <w:t xml:space="preserve">betinget </w:t>
      </w:r>
      <w:r>
        <w:rPr>
          <w:rFonts w:ascii="Times New Roman" w:hAnsi="Times New Roman" w:cs="Times New Roman"/>
          <w:sz w:val="24"/>
          <w:szCs w:val="24"/>
        </w:rPr>
        <w:t>afgørelse</w:t>
      </w:r>
      <w:r w:rsidRPr="003D6622">
        <w:rPr>
          <w:rFonts w:ascii="Times New Roman" w:hAnsi="Times New Roman" w:cs="Times New Roman"/>
          <w:sz w:val="24"/>
          <w:szCs w:val="24"/>
        </w:rPr>
        <w:t xml:space="preserve"> fastsættes en prøvetid på op til 5 år regnet fra Advokatnævnets afgørelse. Hvis advokaten inden for prøvetiden for den betingede frakendelse bliver genstand for endnu en sag ved Advokatnævnet</w:t>
      </w:r>
      <w:r>
        <w:rPr>
          <w:rFonts w:ascii="Times New Roman" w:hAnsi="Times New Roman" w:cs="Times New Roman"/>
          <w:sz w:val="24"/>
          <w:szCs w:val="24"/>
        </w:rPr>
        <w:t xml:space="preserve"> om manglende efterlevelse af hvidvaskreglerne</w:t>
      </w:r>
      <w:r w:rsidRPr="003D6622">
        <w:rPr>
          <w:rFonts w:ascii="Times New Roman" w:hAnsi="Times New Roman" w:cs="Times New Roman"/>
          <w:sz w:val="24"/>
          <w:szCs w:val="24"/>
        </w:rPr>
        <w:t xml:space="preserve">, kan der idømmes en samlet sanktion, hvis der er grundlag for, at </w:t>
      </w:r>
      <w:r>
        <w:rPr>
          <w:rFonts w:ascii="Times New Roman" w:hAnsi="Times New Roman" w:cs="Times New Roman"/>
          <w:sz w:val="24"/>
          <w:szCs w:val="24"/>
        </w:rPr>
        <w:t>afgørelsen</w:t>
      </w:r>
      <w:r w:rsidRPr="003D6622">
        <w:rPr>
          <w:rFonts w:ascii="Times New Roman" w:hAnsi="Times New Roman" w:cs="Times New Roman"/>
          <w:sz w:val="24"/>
          <w:szCs w:val="24"/>
        </w:rPr>
        <w:t xml:space="preserve"> skal fuldbyrdes. Ved vurderingen af, om </w:t>
      </w:r>
      <w:r>
        <w:rPr>
          <w:rFonts w:ascii="Times New Roman" w:hAnsi="Times New Roman" w:cs="Times New Roman"/>
          <w:sz w:val="24"/>
          <w:szCs w:val="24"/>
        </w:rPr>
        <w:t>afgørelsen</w:t>
      </w:r>
      <w:r w:rsidRPr="003D6622">
        <w:rPr>
          <w:rFonts w:ascii="Times New Roman" w:hAnsi="Times New Roman" w:cs="Times New Roman"/>
          <w:sz w:val="24"/>
          <w:szCs w:val="24"/>
        </w:rPr>
        <w:t xml:space="preserve"> skal fuldbyrdes, indgår, om den tilsidesættelse af </w:t>
      </w:r>
      <w:r>
        <w:rPr>
          <w:rFonts w:ascii="Times New Roman" w:hAnsi="Times New Roman" w:cs="Times New Roman"/>
          <w:sz w:val="24"/>
          <w:szCs w:val="24"/>
        </w:rPr>
        <w:t>hvidvaskreglerne</w:t>
      </w:r>
      <w:r w:rsidRPr="003D6622">
        <w:rPr>
          <w:rFonts w:ascii="Times New Roman" w:hAnsi="Times New Roman" w:cs="Times New Roman"/>
          <w:sz w:val="24"/>
          <w:szCs w:val="24"/>
        </w:rPr>
        <w:t xml:space="preserve">, som advokaten nu findes skyldig i, er af så alvorlig karakter, at </w:t>
      </w:r>
      <w:r>
        <w:rPr>
          <w:rFonts w:ascii="Times New Roman" w:hAnsi="Times New Roman" w:cs="Times New Roman"/>
          <w:sz w:val="24"/>
          <w:szCs w:val="24"/>
        </w:rPr>
        <w:t xml:space="preserve">der overfor den </w:t>
      </w:r>
      <w:r w:rsidRPr="003D6622">
        <w:rPr>
          <w:rFonts w:ascii="Times New Roman" w:hAnsi="Times New Roman" w:cs="Times New Roman"/>
          <w:sz w:val="24"/>
          <w:szCs w:val="24"/>
        </w:rPr>
        <w:t xml:space="preserve">pågældende nu efter en samlet vurdering </w:t>
      </w:r>
      <w:r>
        <w:rPr>
          <w:rFonts w:ascii="Times New Roman" w:hAnsi="Times New Roman" w:cs="Times New Roman"/>
          <w:sz w:val="24"/>
          <w:szCs w:val="24"/>
        </w:rPr>
        <w:t>er grundlag for at iværksætte foranstaltningen</w:t>
      </w:r>
      <w:r w:rsidRPr="003D6622">
        <w:rPr>
          <w:rFonts w:ascii="Times New Roman" w:hAnsi="Times New Roman" w:cs="Times New Roman"/>
          <w:sz w:val="24"/>
          <w:szCs w:val="24"/>
        </w:rPr>
        <w:t xml:space="preserve">. </w:t>
      </w:r>
    </w:p>
    <w:p w14:paraId="123232E6" w14:textId="4D6E63FA" w:rsidR="00361B87" w:rsidRDefault="00361B87" w:rsidP="00A802A5">
      <w:pPr>
        <w:spacing w:line="360" w:lineRule="auto"/>
        <w:rPr>
          <w:rFonts w:ascii="Times New Roman" w:hAnsi="Times New Roman" w:cs="Times New Roman"/>
          <w:sz w:val="24"/>
          <w:szCs w:val="24"/>
        </w:rPr>
      </w:pPr>
      <w:r w:rsidRPr="003D6622">
        <w:rPr>
          <w:rFonts w:ascii="Times New Roman" w:hAnsi="Times New Roman" w:cs="Times New Roman"/>
          <w:sz w:val="24"/>
          <w:szCs w:val="24"/>
        </w:rPr>
        <w:t xml:space="preserve">Som udgangspunkt vil betingelserne for at fuldbyrde </w:t>
      </w:r>
      <w:r>
        <w:rPr>
          <w:rFonts w:ascii="Times New Roman" w:hAnsi="Times New Roman" w:cs="Times New Roman"/>
          <w:sz w:val="24"/>
          <w:szCs w:val="24"/>
        </w:rPr>
        <w:t>afgørelsen</w:t>
      </w:r>
      <w:r w:rsidRPr="003D6622">
        <w:rPr>
          <w:rFonts w:ascii="Times New Roman" w:hAnsi="Times New Roman" w:cs="Times New Roman"/>
          <w:sz w:val="24"/>
          <w:szCs w:val="24"/>
        </w:rPr>
        <w:t xml:space="preserve"> være opfyldt, </w:t>
      </w:r>
      <w:r>
        <w:rPr>
          <w:rFonts w:ascii="Times New Roman" w:hAnsi="Times New Roman" w:cs="Times New Roman"/>
          <w:sz w:val="24"/>
          <w:szCs w:val="24"/>
        </w:rPr>
        <w:t xml:space="preserve">idet den pågældende advokat ved det udviste forhold kan </w:t>
      </w:r>
      <w:r w:rsidRPr="003D6622">
        <w:rPr>
          <w:rFonts w:ascii="Times New Roman" w:hAnsi="Times New Roman" w:cs="Times New Roman"/>
          <w:sz w:val="24"/>
          <w:szCs w:val="24"/>
        </w:rPr>
        <w:t xml:space="preserve">give grund til at antage, at advokaten ikke for fremtiden vil </w:t>
      </w:r>
      <w:r>
        <w:rPr>
          <w:rFonts w:ascii="Times New Roman" w:hAnsi="Times New Roman" w:cs="Times New Roman"/>
          <w:sz w:val="24"/>
          <w:szCs w:val="24"/>
        </w:rPr>
        <w:t>kunne efterleve hvidvaskreglerne i forbindelse med udøvelsen af advokatvirksomhed. Advokatnævnet træffer afgørelse om foranstaltningens varighed.</w:t>
      </w:r>
      <w:r w:rsidR="00B32D15">
        <w:rPr>
          <w:rFonts w:ascii="Times New Roman" w:hAnsi="Times New Roman" w:cs="Times New Roman"/>
          <w:sz w:val="24"/>
          <w:szCs w:val="24"/>
        </w:rPr>
        <w:t xml:space="preserve"> </w:t>
      </w:r>
      <w:r w:rsidRPr="00D253F0">
        <w:rPr>
          <w:rFonts w:ascii="Times New Roman" w:hAnsi="Times New Roman" w:cs="Times New Roman"/>
          <w:sz w:val="24"/>
          <w:szCs w:val="24"/>
        </w:rPr>
        <w:t xml:space="preserve">Det forudsættes, at </w:t>
      </w:r>
      <w:r>
        <w:rPr>
          <w:rFonts w:ascii="Times New Roman" w:hAnsi="Times New Roman" w:cs="Times New Roman"/>
          <w:sz w:val="24"/>
          <w:szCs w:val="24"/>
        </w:rPr>
        <w:t>iværksættelse af administrative foranstaltninger efter de foreslåede bestemmelser</w:t>
      </w:r>
      <w:r w:rsidRPr="00D253F0">
        <w:rPr>
          <w:rFonts w:ascii="Times New Roman" w:hAnsi="Times New Roman" w:cs="Times New Roman"/>
          <w:sz w:val="24"/>
          <w:szCs w:val="24"/>
        </w:rPr>
        <w:t xml:space="preserve"> ved førstegangstilfælde gøres betingede ved forhold omfattet af den foreslåede § 101, stk. 1, nr. 2 og 3.</w:t>
      </w:r>
    </w:p>
    <w:p w14:paraId="1FB8BBF5" w14:textId="77777777" w:rsidR="00F32ECD" w:rsidRDefault="00F32ECD" w:rsidP="00A802A5">
      <w:pPr>
        <w:spacing w:line="360" w:lineRule="auto"/>
        <w:rPr>
          <w:rFonts w:ascii="Times New Roman" w:hAnsi="Times New Roman" w:cs="Times New Roman"/>
          <w:sz w:val="24"/>
          <w:szCs w:val="24"/>
        </w:rPr>
      </w:pPr>
    </w:p>
    <w:p w14:paraId="705C8D2A" w14:textId="77777777" w:rsidR="00F32ECD" w:rsidRDefault="00F32ECD" w:rsidP="00F32ECD">
      <w:pPr>
        <w:spacing w:line="360" w:lineRule="auto"/>
        <w:rPr>
          <w:rFonts w:ascii="Times New Roman" w:hAnsi="Times New Roman" w:cs="Times New Roman"/>
          <w:sz w:val="24"/>
          <w:szCs w:val="24"/>
        </w:rPr>
      </w:pPr>
      <w:r>
        <w:rPr>
          <w:rFonts w:ascii="Times New Roman" w:hAnsi="Times New Roman" w:cs="Times New Roman"/>
          <w:sz w:val="24"/>
          <w:szCs w:val="24"/>
        </w:rPr>
        <w:t xml:space="preserve">Det foreslås i </w:t>
      </w:r>
      <w:r>
        <w:rPr>
          <w:rFonts w:ascii="Times New Roman" w:hAnsi="Times New Roman" w:cs="Times New Roman"/>
          <w:i/>
          <w:iCs/>
          <w:sz w:val="24"/>
          <w:szCs w:val="24"/>
        </w:rPr>
        <w:t xml:space="preserve">stk. 5, </w:t>
      </w:r>
      <w:r>
        <w:rPr>
          <w:rFonts w:ascii="Times New Roman" w:hAnsi="Times New Roman" w:cs="Times New Roman"/>
          <w:sz w:val="24"/>
          <w:szCs w:val="24"/>
        </w:rPr>
        <w:t>at justitsministeren kan fastsætte nærmere regler for Advokatnævnets behandling af sager omfattet af stk. 3 og 4,</w:t>
      </w:r>
      <w:r w:rsidRPr="00DA6731">
        <w:rPr>
          <w:rFonts w:ascii="Times New Roman" w:eastAsia="Times New Roman" w:hAnsi="Times New Roman" w:cs="Times New Roman"/>
          <w:iCs/>
          <w:sz w:val="24"/>
          <w:szCs w:val="24"/>
          <w:lang w:eastAsia="da-DK"/>
        </w:rPr>
        <w:t xml:space="preserve"> </w:t>
      </w:r>
      <w:r>
        <w:rPr>
          <w:rFonts w:ascii="Times New Roman" w:eastAsia="Times New Roman" w:hAnsi="Times New Roman" w:cs="Times New Roman"/>
          <w:iCs/>
          <w:sz w:val="24"/>
          <w:szCs w:val="24"/>
          <w:lang w:eastAsia="da-DK"/>
        </w:rPr>
        <w:t>herunder om fravigelse af forvaltningslovens § 8, stk. 1, og § 21, stk. 1, og det forvaltningsretlige officialprincip.</w:t>
      </w:r>
    </w:p>
    <w:p w14:paraId="29A06C1C" w14:textId="77777777" w:rsidR="00F32ECD" w:rsidRDefault="00F32ECD" w:rsidP="00F32ECD">
      <w:pPr>
        <w:spacing w:line="360" w:lineRule="auto"/>
        <w:ind w:firstLine="340"/>
        <w:rPr>
          <w:rFonts w:ascii="Times New Roman" w:hAnsi="Times New Roman" w:cs="Times New Roman"/>
          <w:sz w:val="24"/>
          <w:szCs w:val="24"/>
        </w:rPr>
      </w:pPr>
    </w:p>
    <w:p w14:paraId="0A603EB9" w14:textId="77777777" w:rsidR="00F32ECD" w:rsidRDefault="00F32ECD" w:rsidP="00F32ECD">
      <w:pPr>
        <w:spacing w:line="360" w:lineRule="auto"/>
        <w:rPr>
          <w:rFonts w:ascii="Times New Roman" w:hAnsi="Times New Roman" w:cs="Times New Roman"/>
          <w:sz w:val="24"/>
          <w:szCs w:val="24"/>
        </w:rPr>
      </w:pPr>
      <w:r>
        <w:rPr>
          <w:rFonts w:ascii="Times New Roman" w:hAnsi="Times New Roman" w:cs="Times New Roman"/>
          <w:sz w:val="24"/>
          <w:szCs w:val="24"/>
        </w:rPr>
        <w:t xml:space="preserve">Den foreslåede bestemmelse vil indebære, at justitsministeren vil kunne fastsætte nærmere regler for Advokatnævnets behandling af sager efter den foreslåede lov, </w:t>
      </w:r>
      <w:r>
        <w:rPr>
          <w:rFonts w:ascii="Times New Roman" w:eastAsia="Times New Roman" w:hAnsi="Times New Roman" w:cs="Times New Roman"/>
          <w:iCs/>
          <w:sz w:val="24"/>
          <w:szCs w:val="24"/>
          <w:lang w:eastAsia="da-DK"/>
        </w:rPr>
        <w:t>herunder om fravigelse af forvaltningslovens § 8, stk. 1, og § 21, stk. 1, og det forvaltningsretlige officialprincip. Bestemmelsen skal ses i sammenhæng med retsplejelovens § 147 c, stk. 7.</w:t>
      </w:r>
    </w:p>
    <w:p w14:paraId="2952FCCD" w14:textId="77777777" w:rsidR="00F32ECD" w:rsidRDefault="00F32ECD" w:rsidP="00F32ECD">
      <w:pPr>
        <w:spacing w:line="360" w:lineRule="auto"/>
        <w:ind w:firstLine="340"/>
        <w:rPr>
          <w:rFonts w:ascii="Times New Roman" w:hAnsi="Times New Roman" w:cs="Times New Roman"/>
          <w:sz w:val="24"/>
          <w:szCs w:val="24"/>
        </w:rPr>
      </w:pPr>
    </w:p>
    <w:p w14:paraId="6FB903C9" w14:textId="77777777" w:rsidR="00F32ECD" w:rsidRDefault="00F32ECD" w:rsidP="00F32ECD">
      <w:pPr>
        <w:spacing w:line="360" w:lineRule="auto"/>
        <w:rPr>
          <w:rFonts w:ascii="Times New Roman" w:hAnsi="Times New Roman" w:cs="Times New Roman"/>
          <w:sz w:val="24"/>
          <w:szCs w:val="24"/>
        </w:rPr>
      </w:pPr>
      <w:r>
        <w:rPr>
          <w:rFonts w:ascii="Times New Roman" w:hAnsi="Times New Roman" w:cs="Times New Roman"/>
          <w:sz w:val="24"/>
          <w:szCs w:val="24"/>
        </w:rPr>
        <w:t xml:space="preserve">Det forudsættes, at regler fastsat i medfør af den foreslåede bestemmelse indsættes i regler udstedt i medfør af retsplejelovens bestemmelser om Advokatnævnet, altså bekendtgørelse nr. 1630 af 19. december 2024 om Advokatnævnets virksomhed ved behandling af klager over advokater mv. </w:t>
      </w:r>
    </w:p>
    <w:p w14:paraId="27D32284" w14:textId="77777777" w:rsidR="00F32ECD" w:rsidRDefault="00F32ECD" w:rsidP="00F32ECD">
      <w:pPr>
        <w:spacing w:line="360" w:lineRule="auto"/>
        <w:ind w:firstLine="340"/>
        <w:rPr>
          <w:rFonts w:ascii="Times New Roman" w:hAnsi="Times New Roman" w:cs="Times New Roman"/>
          <w:sz w:val="24"/>
          <w:szCs w:val="24"/>
        </w:rPr>
      </w:pPr>
    </w:p>
    <w:p w14:paraId="69DFFC64" w14:textId="77777777" w:rsidR="00F32ECD" w:rsidRDefault="00F32ECD" w:rsidP="00F32ECD">
      <w:pPr>
        <w:spacing w:line="360" w:lineRule="auto"/>
        <w:rPr>
          <w:rFonts w:ascii="Times New Roman" w:hAnsi="Times New Roman" w:cs="Times New Roman"/>
          <w:sz w:val="24"/>
          <w:szCs w:val="24"/>
        </w:rPr>
      </w:pPr>
      <w:r>
        <w:rPr>
          <w:rFonts w:ascii="Times New Roman" w:hAnsi="Times New Roman" w:cs="Times New Roman"/>
          <w:sz w:val="24"/>
          <w:szCs w:val="24"/>
        </w:rPr>
        <w:t xml:space="preserve">Der vil på tilsvarende måde vil kunne fastsættes regler om inhabilitet, indbringelse af sager for Advokatnævnet, klagesagens forberedelse og nævnets behandling af sager om midlertidig frakendelse vil kunne tilpasses af hensyn til de foreslåede bestemmelser. </w:t>
      </w:r>
    </w:p>
    <w:p w14:paraId="50E26B62" w14:textId="77777777" w:rsidR="00F32ECD" w:rsidRDefault="00F32ECD" w:rsidP="00F32ECD">
      <w:pPr>
        <w:spacing w:line="360" w:lineRule="auto"/>
        <w:ind w:firstLine="340"/>
        <w:rPr>
          <w:rFonts w:ascii="Times New Roman" w:hAnsi="Times New Roman" w:cs="Times New Roman"/>
          <w:sz w:val="24"/>
          <w:szCs w:val="24"/>
        </w:rPr>
      </w:pPr>
    </w:p>
    <w:p w14:paraId="193E6D63" w14:textId="578C31D5" w:rsidR="00F32ECD" w:rsidRDefault="00F32ECD" w:rsidP="00F32ECD">
      <w:pPr>
        <w:spacing w:line="360" w:lineRule="auto"/>
        <w:rPr>
          <w:rFonts w:ascii="Times New Roman" w:hAnsi="Times New Roman" w:cs="Times New Roman"/>
          <w:sz w:val="24"/>
          <w:szCs w:val="24"/>
        </w:rPr>
      </w:pPr>
      <w:r>
        <w:rPr>
          <w:rFonts w:ascii="Times New Roman" w:hAnsi="Times New Roman" w:cs="Times New Roman"/>
          <w:sz w:val="24"/>
          <w:szCs w:val="24"/>
        </w:rPr>
        <w:t xml:space="preserve">Ligesom efter retsplejelovens § 147 c, stk. 7, 2. pkt., vil der i medfør af den foreslåede bestemmelse kunne fastsættes regler om fravigelse af forvaltningslovens § 8, stk. 1, og § 21, stk. 1, og det forvaltningsretlige officialprincip. Det forudsættes, at der vil blive fastsat regler om sådanne fravigelser for så vidt angår nævnets behandling af midlertidige sager efter den foreslåede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_Ref239435504 \n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107</w:t>
      </w:r>
      <w:r>
        <w:rPr>
          <w:rFonts w:ascii="Times New Roman" w:hAnsi="Times New Roman" w:cs="Times New Roman"/>
          <w:sz w:val="24"/>
          <w:szCs w:val="24"/>
        </w:rPr>
        <w:fldChar w:fldCharType="end"/>
      </w:r>
      <w:r>
        <w:rPr>
          <w:rFonts w:ascii="Times New Roman" w:hAnsi="Times New Roman" w:cs="Times New Roman"/>
          <w:sz w:val="24"/>
          <w:szCs w:val="24"/>
        </w:rPr>
        <w:t>.</w:t>
      </w:r>
    </w:p>
    <w:p w14:paraId="0AF74031" w14:textId="77777777" w:rsidR="00F32ECD" w:rsidRDefault="00F32ECD" w:rsidP="00F32ECD">
      <w:pPr>
        <w:spacing w:line="360" w:lineRule="auto"/>
        <w:ind w:firstLine="340"/>
        <w:rPr>
          <w:rFonts w:ascii="Times New Roman" w:hAnsi="Times New Roman" w:cs="Times New Roman"/>
          <w:sz w:val="24"/>
          <w:szCs w:val="24"/>
        </w:rPr>
      </w:pPr>
    </w:p>
    <w:p w14:paraId="4A664761" w14:textId="77777777" w:rsidR="00F32ECD" w:rsidRDefault="00F32ECD" w:rsidP="00F32ECD">
      <w:pPr>
        <w:spacing w:line="360" w:lineRule="auto"/>
        <w:rPr>
          <w:rFonts w:ascii="Times New Roman" w:hAnsi="Times New Roman" w:cs="Times New Roman"/>
          <w:sz w:val="24"/>
          <w:szCs w:val="24"/>
        </w:rPr>
      </w:pPr>
      <w:r w:rsidRPr="001448CB">
        <w:rPr>
          <w:rFonts w:ascii="Times New Roman" w:hAnsi="Times New Roman" w:cs="Times New Roman"/>
          <w:sz w:val="24"/>
          <w:szCs w:val="24"/>
        </w:rPr>
        <w:t xml:space="preserve">De forvaltningsretlige regler, som justitsministeren bemyndiges til at fravige på bekendtgørelsesniveau, er for det første </w:t>
      </w:r>
      <w:r>
        <w:rPr>
          <w:rFonts w:ascii="Times New Roman" w:hAnsi="Times New Roman" w:cs="Times New Roman"/>
          <w:sz w:val="24"/>
          <w:szCs w:val="24"/>
        </w:rPr>
        <w:t xml:space="preserve">forvaltningslovens § 8, stk. 1, </w:t>
      </w:r>
      <w:r w:rsidRPr="001448CB">
        <w:rPr>
          <w:rFonts w:ascii="Times New Roman" w:hAnsi="Times New Roman" w:cs="Times New Roman"/>
          <w:sz w:val="24"/>
          <w:szCs w:val="24"/>
        </w:rPr>
        <w:t>hvorefter en part på ethvert tidspunkt kan vælge at lade sig partsrepræsentere af enhver habil person. Det forventes, at justitsministeren fastsætter regler om, at parten</w:t>
      </w:r>
      <w:r>
        <w:rPr>
          <w:rFonts w:ascii="Times New Roman" w:hAnsi="Times New Roman" w:cs="Times New Roman"/>
          <w:sz w:val="24"/>
          <w:szCs w:val="24"/>
        </w:rPr>
        <w:t xml:space="preserve">, dvs. advokaten, </w:t>
      </w:r>
      <w:r w:rsidRPr="001448CB">
        <w:rPr>
          <w:rFonts w:ascii="Times New Roman" w:hAnsi="Times New Roman" w:cs="Times New Roman"/>
          <w:sz w:val="24"/>
          <w:szCs w:val="24"/>
        </w:rPr>
        <w:t>skal vælge en partsrepræsentant i form af en forsvarer inden for 7 dage. Det forventes, at det kun bliver muligt at skifte forsvarer, hvis Advokatnævnet skønner, at det ikke vil forsinke afgørelsen om midlertidig frakendelse.</w:t>
      </w:r>
    </w:p>
    <w:p w14:paraId="50CD3B30" w14:textId="77777777" w:rsidR="00F32ECD" w:rsidRPr="001448CB" w:rsidRDefault="00F32ECD" w:rsidP="00F32ECD">
      <w:pPr>
        <w:spacing w:line="360" w:lineRule="auto"/>
        <w:ind w:firstLine="340"/>
        <w:rPr>
          <w:rFonts w:ascii="Times New Roman" w:hAnsi="Times New Roman" w:cs="Times New Roman"/>
          <w:sz w:val="24"/>
          <w:szCs w:val="24"/>
        </w:rPr>
      </w:pPr>
    </w:p>
    <w:p w14:paraId="6C64904E" w14:textId="77777777" w:rsidR="00F32ECD" w:rsidRDefault="00F32ECD" w:rsidP="00F32ECD">
      <w:pPr>
        <w:spacing w:line="360" w:lineRule="auto"/>
        <w:rPr>
          <w:rFonts w:ascii="Times New Roman" w:hAnsi="Times New Roman" w:cs="Times New Roman"/>
          <w:sz w:val="24"/>
          <w:szCs w:val="24"/>
        </w:rPr>
      </w:pPr>
      <w:r w:rsidRPr="001448CB">
        <w:rPr>
          <w:rFonts w:ascii="Times New Roman" w:hAnsi="Times New Roman" w:cs="Times New Roman"/>
          <w:sz w:val="24"/>
          <w:szCs w:val="24"/>
        </w:rPr>
        <w:t xml:space="preserve">For det andet bemyndiges justitsministeren til at fravige </w:t>
      </w:r>
      <w:r>
        <w:rPr>
          <w:rFonts w:ascii="Times New Roman" w:hAnsi="Times New Roman" w:cs="Times New Roman"/>
          <w:sz w:val="24"/>
          <w:szCs w:val="24"/>
        </w:rPr>
        <w:t>forvaltningslovens § 21, stk. 1.</w:t>
      </w:r>
      <w:r w:rsidRPr="001448CB">
        <w:rPr>
          <w:rFonts w:ascii="Times New Roman" w:hAnsi="Times New Roman" w:cs="Times New Roman"/>
          <w:sz w:val="24"/>
          <w:szCs w:val="24"/>
        </w:rPr>
        <w:t xml:space="preserve"> Det forventes, at justitsministeren fastsætter regler, der fraviger, at en part på ethvert tidspunkt kan forlange, at en sags afgørelse udsættes, indtil parten har afgivet en udtalelse. Det skal i den forbindelse bemærkes, at parten dog forventeligt altid vil blive partshørt med en frist på tre uger.</w:t>
      </w:r>
    </w:p>
    <w:p w14:paraId="6900E171" w14:textId="77777777" w:rsidR="00F32ECD" w:rsidRPr="001448CB" w:rsidRDefault="00F32ECD" w:rsidP="00F32ECD">
      <w:pPr>
        <w:spacing w:line="360" w:lineRule="auto"/>
        <w:ind w:firstLine="340"/>
        <w:rPr>
          <w:rFonts w:ascii="Times New Roman" w:hAnsi="Times New Roman" w:cs="Times New Roman"/>
          <w:sz w:val="24"/>
          <w:szCs w:val="24"/>
        </w:rPr>
      </w:pPr>
    </w:p>
    <w:p w14:paraId="61D59579" w14:textId="77777777" w:rsidR="00F32ECD" w:rsidRPr="001448CB" w:rsidRDefault="00F32ECD" w:rsidP="00F32ECD">
      <w:pPr>
        <w:spacing w:line="360" w:lineRule="auto"/>
        <w:rPr>
          <w:rFonts w:ascii="Times New Roman" w:hAnsi="Times New Roman" w:cs="Times New Roman"/>
          <w:sz w:val="24"/>
          <w:szCs w:val="24"/>
        </w:rPr>
      </w:pPr>
      <w:r w:rsidRPr="001448CB">
        <w:rPr>
          <w:rFonts w:ascii="Times New Roman" w:hAnsi="Times New Roman" w:cs="Times New Roman"/>
          <w:sz w:val="24"/>
          <w:szCs w:val="24"/>
        </w:rPr>
        <w:t>For det tredje bemyndiges justitsministeren til at fravige det forvaltningsretlige officialprincip, der forventes modificeret ved fastsættelsen af regler om, at adgangen til at komme med yderligere oplysninger til sagen afskæres efter en bestemt tidsfrist.</w:t>
      </w:r>
    </w:p>
    <w:p w14:paraId="2086D9C1" w14:textId="77777777" w:rsidR="00F32ECD" w:rsidRPr="00D253F0" w:rsidRDefault="00F32ECD" w:rsidP="00A802A5">
      <w:pPr>
        <w:spacing w:line="360" w:lineRule="auto"/>
        <w:rPr>
          <w:rFonts w:ascii="Times New Roman" w:hAnsi="Times New Roman" w:cs="Times New Roman"/>
          <w:sz w:val="24"/>
          <w:szCs w:val="24"/>
        </w:rPr>
      </w:pPr>
    </w:p>
    <w:p w14:paraId="56C1E1D6" w14:textId="77777777" w:rsidR="00607F0F" w:rsidRPr="00796736" w:rsidRDefault="00607F0F" w:rsidP="00A802A5">
      <w:pPr>
        <w:spacing w:line="360" w:lineRule="auto"/>
        <w:rPr>
          <w:rFonts w:ascii="Times New Roman" w:hAnsi="Times New Roman" w:cs="Times New Roman"/>
          <w:sz w:val="24"/>
          <w:szCs w:val="24"/>
        </w:rPr>
      </w:pPr>
    </w:p>
    <w:p w14:paraId="622B1D29" w14:textId="6AF8E9F9" w:rsidR="00607F0F" w:rsidRPr="00796736" w:rsidRDefault="00607F0F" w:rsidP="00A802A5">
      <w:pPr>
        <w:pStyle w:val="Undertitel"/>
      </w:pPr>
      <w:bookmarkStart w:id="2163" w:name="_Toc244879398"/>
      <w:bookmarkStart w:id="2164" w:name="_Toc244880923"/>
      <w:r w:rsidRPr="00796736">
        <w:t xml:space="preserve">Til </w:t>
      </w:r>
      <w:r w:rsidR="00D57C9C">
        <w:fldChar w:fldCharType="begin"/>
      </w:r>
      <w:r w:rsidR="00D57C9C">
        <w:instrText xml:space="preserve"> REF _Ref244787564 \r \h </w:instrText>
      </w:r>
      <w:r w:rsidR="00D57C9C">
        <w:fldChar w:fldCharType="separate"/>
      </w:r>
      <w:r w:rsidR="008F29E5">
        <w:t>§ 102</w:t>
      </w:r>
      <w:bookmarkEnd w:id="2163"/>
      <w:bookmarkEnd w:id="2164"/>
      <w:r w:rsidR="00D57C9C">
        <w:fldChar w:fldCharType="end"/>
      </w:r>
    </w:p>
    <w:p w14:paraId="140E3CCA" w14:textId="77777777" w:rsidR="00607F0F" w:rsidRPr="00796736" w:rsidRDefault="00607F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hvidvasklovens § 64, stk. 2, kan Advokatrådet inden for en af Advokatrådet fastsat frist påbyde advokater som nævnt i stk. 1 at foretage de nødvendige foranstaltninger i tilfælde af overtrædelse af bestemmelser i hvidvaskloven, regler fastsat i medfør heraf eller forordninger indeholdende regler om finansielle sanktioner mod lande, personer, grupper, juridiske enheder eller organer.</w:t>
      </w:r>
    </w:p>
    <w:p w14:paraId="013EC41D" w14:textId="77777777" w:rsidR="00607F0F" w:rsidRPr="00796736" w:rsidRDefault="00607F0F" w:rsidP="00A802A5">
      <w:pPr>
        <w:spacing w:line="360" w:lineRule="auto"/>
        <w:rPr>
          <w:rFonts w:ascii="Times New Roman" w:hAnsi="Times New Roman" w:cs="Times New Roman"/>
          <w:sz w:val="24"/>
          <w:szCs w:val="24"/>
        </w:rPr>
      </w:pPr>
    </w:p>
    <w:p w14:paraId="090BFA1A" w14:textId="087FB716"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gældende ret og Advokatrådets påbudsvirksomhed henvises til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_Ref242893862 \n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3.69.1.1.2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lovforslagets almindelige bemærkninger.</w:t>
      </w:r>
    </w:p>
    <w:p w14:paraId="48594F05" w14:textId="77777777" w:rsidR="00607F0F" w:rsidRPr="00796736" w:rsidRDefault="00607F0F" w:rsidP="00A802A5">
      <w:pPr>
        <w:spacing w:line="360" w:lineRule="auto"/>
        <w:rPr>
          <w:rFonts w:ascii="Times New Roman" w:hAnsi="Times New Roman" w:cs="Times New Roman"/>
          <w:sz w:val="24"/>
          <w:szCs w:val="24"/>
        </w:rPr>
      </w:pPr>
    </w:p>
    <w:p w14:paraId="40B7CD82" w14:textId="1E904EA5" w:rsidR="00BA7CA9"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00752E2F">
        <w:rPr>
          <w:rFonts w:ascii="Times New Roman" w:hAnsi="Times New Roman" w:cs="Times New Roman"/>
          <w:i/>
          <w:iCs/>
          <w:sz w:val="24"/>
          <w:szCs w:val="24"/>
        </w:rPr>
        <w:t xml:space="preserve"> </w:t>
      </w:r>
      <w:r w:rsidR="00752E2F">
        <w:rPr>
          <w:rFonts w:ascii="Times New Roman" w:hAnsi="Times New Roman" w:cs="Times New Roman"/>
          <w:i/>
          <w:iCs/>
          <w:sz w:val="24"/>
          <w:szCs w:val="24"/>
        </w:rPr>
        <w:fldChar w:fldCharType="begin"/>
      </w:r>
      <w:r w:rsidR="00752E2F">
        <w:rPr>
          <w:rFonts w:ascii="Times New Roman" w:hAnsi="Times New Roman" w:cs="Times New Roman"/>
          <w:i/>
          <w:iCs/>
          <w:sz w:val="24"/>
          <w:szCs w:val="24"/>
        </w:rPr>
        <w:instrText xml:space="preserve"> REF _Ref244787564 \r \h </w:instrText>
      </w:r>
      <w:r w:rsidR="00752E2F">
        <w:rPr>
          <w:rFonts w:ascii="Times New Roman" w:hAnsi="Times New Roman" w:cs="Times New Roman"/>
          <w:i/>
          <w:iCs/>
          <w:sz w:val="24"/>
          <w:szCs w:val="24"/>
        </w:rPr>
      </w:r>
      <w:r w:rsidR="00752E2F">
        <w:rPr>
          <w:rFonts w:ascii="Times New Roman" w:hAnsi="Times New Roman" w:cs="Times New Roman"/>
          <w:i/>
          <w:iCs/>
          <w:sz w:val="24"/>
          <w:szCs w:val="24"/>
        </w:rPr>
        <w:fldChar w:fldCharType="separate"/>
      </w:r>
      <w:r w:rsidR="00752E2F">
        <w:rPr>
          <w:rFonts w:ascii="Times New Roman" w:hAnsi="Times New Roman" w:cs="Times New Roman"/>
          <w:i/>
          <w:iCs/>
          <w:sz w:val="24"/>
          <w:szCs w:val="24"/>
        </w:rPr>
        <w:t>§ 102</w:t>
      </w:r>
      <w:r w:rsidR="00752E2F">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i </w:t>
      </w:r>
      <w:r w:rsidRPr="00796736">
        <w:rPr>
          <w:rFonts w:ascii="Times New Roman" w:hAnsi="Times New Roman" w:cs="Times New Roman"/>
          <w:sz w:val="24"/>
          <w:szCs w:val="24"/>
          <w:lang w:eastAsia="da-DK"/>
        </w:rPr>
        <w:t xml:space="preserve">tilfælde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_Ref242893180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1, udstede henstillinger og inden for en af rådet fastsat frist påbyde advokater at foretage nødvendige foranstaltninger. Advokatrådet kan endvidere påbyde advokaten at bringe den udviste adfærd til ophør og undlade at gentage en sådan.</w:t>
      </w:r>
    </w:p>
    <w:p w14:paraId="695C12D4" w14:textId="2D62796A"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br/>
        <w:t xml:space="preserve">Det vil være et krav for anvendelsen af foranstaltninger efter den foreslåede bestemmelse, at der er tale om en situation som omhandlet i </w:t>
      </w:r>
      <w:r w:rsidR="00607F0F" w:rsidRPr="00796736">
        <w:rPr>
          <w:rFonts w:ascii="Times New Roman" w:eastAsia="Times New Roman" w:hAnsi="Times New Roman" w:cs="Times New Roman"/>
          <w:iCs/>
          <w:sz w:val="24"/>
          <w:szCs w:val="24"/>
          <w:lang w:eastAsia="da-DK"/>
        </w:rPr>
        <w:fldChar w:fldCharType="begin"/>
      </w:r>
      <w:r w:rsidR="00607F0F" w:rsidRPr="00796736">
        <w:rPr>
          <w:rFonts w:ascii="Times New Roman" w:eastAsia="Times New Roman" w:hAnsi="Times New Roman" w:cs="Times New Roman"/>
          <w:iCs/>
          <w:sz w:val="24"/>
          <w:szCs w:val="24"/>
          <w:lang w:eastAsia="da-DK"/>
        </w:rPr>
        <w:instrText xml:space="preserve"> REF _Ref232609304 \r \h </w:instrText>
      </w:r>
      <w:r w:rsidR="002C5834" w:rsidRPr="00796736">
        <w:rPr>
          <w:rFonts w:ascii="Times New Roman" w:eastAsia="Times New Roman" w:hAnsi="Times New Roman" w:cs="Times New Roman"/>
          <w:iCs/>
          <w:sz w:val="24"/>
          <w:szCs w:val="24"/>
          <w:lang w:eastAsia="da-DK"/>
        </w:rPr>
        <w:instrText xml:space="preserve"> \* MERGEFORMAT </w:instrText>
      </w:r>
      <w:r w:rsidR="00607F0F" w:rsidRPr="00796736">
        <w:rPr>
          <w:rFonts w:ascii="Times New Roman" w:eastAsia="Times New Roman" w:hAnsi="Times New Roman" w:cs="Times New Roman"/>
          <w:iCs/>
          <w:sz w:val="24"/>
          <w:szCs w:val="24"/>
          <w:lang w:eastAsia="da-DK"/>
        </w:rPr>
      </w:r>
      <w:r w:rsidR="00607F0F"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00607F0F" w:rsidRPr="00796736">
        <w:rPr>
          <w:rFonts w:ascii="Times New Roman" w:eastAsia="Times New Roman" w:hAnsi="Times New Roman" w:cs="Times New Roman"/>
          <w:iCs/>
          <w:sz w:val="24"/>
          <w:szCs w:val="24"/>
          <w:lang w:eastAsia="da-DK"/>
        </w:rPr>
        <w:fldChar w:fldCharType="end"/>
      </w:r>
      <w:r w:rsidR="00607F0F" w:rsidRPr="00796736">
        <w:rPr>
          <w:rFonts w:ascii="Times New Roman" w:eastAsia="Times New Roman" w:hAnsi="Times New Roman" w:cs="Times New Roman"/>
          <w:iCs/>
          <w:sz w:val="24"/>
          <w:szCs w:val="24"/>
          <w:lang w:eastAsia="da-DK"/>
        </w:rPr>
        <w:t>, stk. 1</w:t>
      </w:r>
      <w:r w:rsidRPr="00796736">
        <w:rPr>
          <w:rFonts w:ascii="Times New Roman" w:eastAsia="Times New Roman" w:hAnsi="Times New Roman" w:cs="Times New Roman"/>
          <w:iCs/>
          <w:sz w:val="24"/>
          <w:szCs w:val="24"/>
          <w:lang w:eastAsia="da-DK"/>
        </w:rPr>
        <w:t xml:space="preserve">, </w:t>
      </w:r>
      <w:r w:rsidR="00361B87" w:rsidRPr="00D253F0">
        <w:rPr>
          <w:rFonts w:ascii="Times New Roman" w:eastAsia="Times New Roman" w:hAnsi="Times New Roman" w:cs="Times New Roman"/>
          <w:iCs/>
          <w:sz w:val="24"/>
          <w:szCs w:val="24"/>
          <w:lang w:eastAsia="da-DK"/>
        </w:rPr>
        <w:t>og at de påtænkte foranstaltninger er nødvendige af hensyn til enten overtrædelsen, svaghederne eller risikoeksponeringen herfor, herunder konkrete og egnede i relation til den pågældende mangel og afgrænset til det nødvendige. De forskellige foranstaltninger vil kunne kombineres, hvis Advokatrådet efter en konkret vurdering finder det påkrævet og hensigtsmæssigt af hensyn til de overtrædelser eller risici mv., som er konstateret, eller hvis de konkrete omstændigheder tilsiger, at visse foranstaltninger skal</w:t>
      </w:r>
      <w:r w:rsidR="00361B87">
        <w:rPr>
          <w:rFonts w:ascii="Times New Roman" w:eastAsia="Times New Roman" w:hAnsi="Times New Roman" w:cs="Times New Roman"/>
          <w:iCs/>
          <w:sz w:val="24"/>
          <w:szCs w:val="24"/>
          <w:lang w:eastAsia="da-DK"/>
        </w:rPr>
        <w:t xml:space="preserve"> rette sig mod overordnede forhold i et advokatselskab eller et fællesskab af advokater, mens andre foranstaltninger skal målrettes enkelte ansatte advokater i den pågældende advokatvirksomhed, uanset</w:t>
      </w:r>
      <w:r w:rsidR="00361B87" w:rsidRPr="00D253F0">
        <w:rPr>
          <w:rFonts w:ascii="Times New Roman" w:eastAsia="Times New Roman" w:hAnsi="Times New Roman" w:cs="Times New Roman"/>
          <w:iCs/>
          <w:sz w:val="24"/>
          <w:szCs w:val="24"/>
          <w:lang w:eastAsia="da-DK"/>
        </w:rPr>
        <w:t xml:space="preserve"> </w:t>
      </w:r>
      <w:r w:rsidR="00361B87">
        <w:rPr>
          <w:rFonts w:ascii="Times New Roman" w:eastAsia="Times New Roman" w:hAnsi="Times New Roman" w:cs="Times New Roman"/>
          <w:iCs/>
          <w:sz w:val="24"/>
          <w:szCs w:val="24"/>
          <w:lang w:eastAsia="da-DK"/>
        </w:rPr>
        <w:t>at de pågældende altså ikke er forpligtede enheder efter hvidvaskreguleringen.</w:t>
      </w:r>
      <w:r w:rsidR="00361B87" w:rsidRPr="00D253F0">
        <w:rPr>
          <w:rFonts w:ascii="Times New Roman" w:eastAsia="Times New Roman" w:hAnsi="Times New Roman" w:cs="Times New Roman"/>
          <w:iCs/>
          <w:sz w:val="24"/>
          <w:szCs w:val="24"/>
          <w:lang w:eastAsia="da-DK"/>
        </w:rPr>
        <w:t xml:space="preserve"> Omfanget af foranstaltninger og den tid, som de omfattede personer eller virksomheder har til at gennemføre de krævede tiltag, afhænger af de specifikke overtrædelser, svagheder eller risici, der er konstateret. Hvis der konstateres flere overtrædelser eller svagheder, vil Advokatrådet have mulighed for at fastsætte forskellige frister for gennemførelsen af de enkelte administrative foranstaltninger. Foranstaltningerne skal være effektive, stå i rimeligt forhold til overtrædelsen og have en afskrækkende virkning, jf. herved præambelbetragtning nr. 101.</w:t>
      </w:r>
    </w:p>
    <w:p w14:paraId="0C4B48DA"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73BB7EB8"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giver for det første Advokatrådet mulighed for at udstede henstillinger, jf. hvidvaskdirektivets artikel 56, stk. 2, litra a. Henstillinger, herunder bemærkninger i tilsynsrapporter, forudsættes navnlig anvendt i tilfælde, hvor der enten er tale om en overtrædelse af mere beskeden karakter eller om svagheder mv., som blotlægger en mere fjerntliggende sandsynlighed for, at en overtrædelse materialiserer sig. Den foreslåede mulighed for at udstede henstillinger vil i sådanne situationer være udgangspunktet, idet det dog vil afhænge af den konkrete situation, om henstillingen skal ledsages eller erstattes af mere indgribende foranstaltninger – også i førstegangstilfælde. Henstillinger efter den foreslåede bestemmelse vil ikke have karakter af påbud og vil ikke kunne gennemtvinges ved pålæg af tvangsbøder. </w:t>
      </w:r>
    </w:p>
    <w:p w14:paraId="2BD8EF23"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648010E" w14:textId="09D7DEEB"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giver for det andet Advokatrådet mulighed for at påbyde personer og virksomheder omfattet af </w:t>
      </w:r>
      <w:r w:rsidR="00AC3ED9">
        <w:rPr>
          <w:rFonts w:ascii="Times New Roman" w:eastAsia="Times New Roman" w:hAnsi="Times New Roman" w:cs="Times New Roman"/>
          <w:iCs/>
          <w:sz w:val="24"/>
          <w:szCs w:val="24"/>
          <w:lang w:eastAsia="da-DK"/>
        </w:rPr>
        <w:t>§</w:t>
      </w:r>
      <w:r w:rsidR="003B185A" w:rsidRPr="00796736">
        <w:rPr>
          <w:rFonts w:ascii="Times New Roman" w:eastAsia="Times New Roman" w:hAnsi="Times New Roman" w:cs="Times New Roman"/>
          <w:iCs/>
          <w:sz w:val="24"/>
          <w:szCs w:val="24"/>
          <w:lang w:eastAsia="da-DK"/>
        </w:rPr>
        <w:t>§</w:t>
      </w:r>
      <w:r w:rsidR="003B185A" w:rsidRPr="00796736">
        <w:rPr>
          <w:rFonts w:ascii="Times New Roman" w:eastAsia="Times New Roman" w:hAnsi="Times New Roman" w:cs="Times New Roman"/>
          <w:iCs/>
          <w:sz w:val="24"/>
          <w:szCs w:val="24"/>
          <w:lang w:eastAsia="da-DK"/>
        </w:rPr>
        <w:fldChar w:fldCharType="begin"/>
      </w:r>
      <w:r w:rsidR="003B185A" w:rsidRPr="00796736">
        <w:rPr>
          <w:rFonts w:ascii="Times New Roman" w:eastAsia="Times New Roman" w:hAnsi="Times New Roman" w:cs="Times New Roman"/>
          <w:iCs/>
          <w:sz w:val="24"/>
          <w:szCs w:val="24"/>
          <w:lang w:eastAsia="da-DK"/>
        </w:rPr>
        <w:instrText xml:space="preserve"> REF _Ref232609193 \r \h </w:instrText>
      </w:r>
      <w:r w:rsidR="00967618" w:rsidRPr="00796736">
        <w:rPr>
          <w:rFonts w:ascii="Times New Roman" w:eastAsia="Times New Roman" w:hAnsi="Times New Roman" w:cs="Times New Roman"/>
          <w:iCs/>
          <w:sz w:val="24"/>
          <w:szCs w:val="24"/>
          <w:lang w:eastAsia="da-DK"/>
        </w:rPr>
        <w:instrText xml:space="preserve"> \* MERGEFORMAT </w:instrText>
      </w:r>
      <w:r w:rsidR="003B185A" w:rsidRPr="00796736">
        <w:rPr>
          <w:rFonts w:ascii="Times New Roman" w:eastAsia="Times New Roman" w:hAnsi="Times New Roman" w:cs="Times New Roman"/>
          <w:iCs/>
          <w:sz w:val="24"/>
          <w:szCs w:val="24"/>
          <w:lang w:eastAsia="da-DK"/>
        </w:rPr>
      </w:r>
      <w:r w:rsidR="003B185A"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xml:space="preserve"> 97</w:t>
      </w:r>
      <w:r w:rsidR="003B185A" w:rsidRPr="00796736">
        <w:rPr>
          <w:rFonts w:ascii="Times New Roman" w:eastAsia="Times New Roman" w:hAnsi="Times New Roman" w:cs="Times New Roman"/>
          <w:iCs/>
          <w:sz w:val="24"/>
          <w:szCs w:val="24"/>
          <w:lang w:eastAsia="da-DK"/>
        </w:rPr>
        <w:fldChar w:fldCharType="end"/>
      </w:r>
      <w:r w:rsidR="003B185A" w:rsidRPr="00796736">
        <w:rPr>
          <w:rFonts w:ascii="Times New Roman" w:eastAsia="Times New Roman" w:hAnsi="Times New Roman" w:cs="Times New Roman"/>
          <w:iCs/>
          <w:sz w:val="24"/>
          <w:szCs w:val="24"/>
          <w:lang w:eastAsia="da-DK"/>
        </w:rPr>
        <w:t xml:space="preserve"> og</w:t>
      </w:r>
      <w:r w:rsidR="00306122" w:rsidRPr="00796736">
        <w:rPr>
          <w:rFonts w:ascii="Times New Roman" w:eastAsia="Times New Roman" w:hAnsi="Times New Roman" w:cs="Times New Roman"/>
          <w:iCs/>
          <w:sz w:val="24"/>
          <w:szCs w:val="24"/>
          <w:lang w:eastAsia="da-DK"/>
        </w:rPr>
        <w:t xml:space="preserve"> </w:t>
      </w:r>
      <w:r w:rsidR="00306122" w:rsidRPr="00796736">
        <w:rPr>
          <w:rFonts w:ascii="Times New Roman" w:eastAsia="Times New Roman" w:hAnsi="Times New Roman" w:cs="Times New Roman"/>
          <w:iCs/>
          <w:sz w:val="24"/>
          <w:szCs w:val="24"/>
          <w:lang w:eastAsia="da-DK"/>
        </w:rPr>
        <w:fldChar w:fldCharType="begin"/>
      </w:r>
      <w:r w:rsidR="00306122" w:rsidRPr="00796736">
        <w:rPr>
          <w:rFonts w:ascii="Times New Roman" w:eastAsia="Times New Roman" w:hAnsi="Times New Roman" w:cs="Times New Roman"/>
          <w:iCs/>
          <w:sz w:val="24"/>
          <w:szCs w:val="24"/>
          <w:lang w:eastAsia="da-DK"/>
        </w:rPr>
        <w:instrText xml:space="preserve"> REF _Ref232583170 \r \h </w:instrText>
      </w:r>
      <w:r w:rsidR="00AB17CC" w:rsidRPr="00796736">
        <w:rPr>
          <w:rFonts w:ascii="Times New Roman" w:eastAsia="Times New Roman" w:hAnsi="Times New Roman" w:cs="Times New Roman"/>
          <w:iCs/>
          <w:sz w:val="24"/>
          <w:szCs w:val="24"/>
          <w:lang w:eastAsia="da-DK"/>
        </w:rPr>
        <w:instrText xml:space="preserve"> \* MERGEFORMAT </w:instrText>
      </w:r>
      <w:r w:rsidR="00306122" w:rsidRPr="00796736">
        <w:rPr>
          <w:rFonts w:ascii="Times New Roman" w:eastAsia="Times New Roman" w:hAnsi="Times New Roman" w:cs="Times New Roman"/>
          <w:iCs/>
          <w:sz w:val="24"/>
          <w:szCs w:val="24"/>
          <w:lang w:eastAsia="da-DK"/>
        </w:rPr>
      </w:r>
      <w:r w:rsidR="00306122"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1</w:t>
      </w:r>
      <w:r w:rsidR="00306122" w:rsidRPr="00796736">
        <w:rPr>
          <w:rFonts w:ascii="Times New Roman" w:eastAsia="Times New Roman" w:hAnsi="Times New Roman" w:cs="Times New Roman"/>
          <w:iCs/>
          <w:sz w:val="24"/>
          <w:szCs w:val="24"/>
          <w:lang w:eastAsia="da-DK"/>
        </w:rPr>
        <w:fldChar w:fldCharType="end"/>
      </w:r>
      <w:r w:rsidR="00AC3ED9">
        <w:rPr>
          <w:rFonts w:ascii="Times New Roman" w:eastAsia="Times New Roman" w:hAnsi="Times New Roman" w:cs="Times New Roman"/>
          <w:iCs/>
          <w:sz w:val="24"/>
          <w:szCs w:val="24"/>
          <w:lang w:eastAsia="da-DK"/>
        </w:rPr>
        <w:t xml:space="preserve"> </w:t>
      </w:r>
      <w:r w:rsidRPr="00796736">
        <w:rPr>
          <w:rFonts w:ascii="Times New Roman" w:eastAsia="Times New Roman" w:hAnsi="Times New Roman" w:cs="Times New Roman"/>
          <w:iCs/>
          <w:sz w:val="24"/>
          <w:szCs w:val="24"/>
          <w:lang w:eastAsia="da-DK"/>
        </w:rPr>
        <w:t xml:space="preserve">at </w:t>
      </w:r>
      <w:r w:rsidR="00607F0F" w:rsidRPr="00796736">
        <w:rPr>
          <w:rFonts w:ascii="Times New Roman" w:eastAsia="Times New Roman" w:hAnsi="Times New Roman" w:cs="Times New Roman"/>
          <w:iCs/>
          <w:sz w:val="24"/>
          <w:szCs w:val="24"/>
          <w:lang w:eastAsia="da-DK"/>
        </w:rPr>
        <w:t>overholde, herunder gennemføre, specifikke korrigerende foranstaltninger, jf. hvidvaskdirektivets artikel 56, stk. 2, litra b.</w:t>
      </w:r>
    </w:p>
    <w:p w14:paraId="1D8C86AC"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798AD402" w14:textId="77777777" w:rsidR="00306122"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mulighed svarer til den nugældende § 64, stk. 2, i hvidvaskloven, idet der dog også vil være mulighed for at udstede påbud i andre tilfælde end deciderede overtrædelser. Det forudsættes imidlertid, at påbuddene og fristerne for deres efterlevelse i henhold til proportionalitetsprincippet vil skulle afstemmes i forhold til alvoren af den overtrædelse eller risiko mv., som er identificeret. </w:t>
      </w:r>
    </w:p>
    <w:p w14:paraId="02331C61"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591866DC" w14:textId="77777777" w:rsidR="00361B87" w:rsidRPr="00D253F0" w:rsidRDefault="00361B87"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De korrigerende foranstaltninger vil f.eks. kunne gå ud på at afhjælpe mangler i de interne politikker, procedurer og kontroller, eller at der anvendes en specifik politik eller specifikke krav vedrørende kategorier af </w:t>
      </w:r>
      <w:r>
        <w:rPr>
          <w:rFonts w:ascii="Times New Roman" w:eastAsia="Times New Roman" w:hAnsi="Times New Roman" w:cs="Times New Roman"/>
          <w:iCs/>
          <w:sz w:val="24"/>
          <w:szCs w:val="24"/>
          <w:lang w:eastAsia="da-DK"/>
        </w:rPr>
        <w:t>klienter</w:t>
      </w:r>
      <w:r w:rsidRPr="00D253F0">
        <w:rPr>
          <w:rFonts w:ascii="Times New Roman" w:eastAsia="Times New Roman" w:hAnsi="Times New Roman" w:cs="Times New Roman"/>
          <w:iCs/>
          <w:sz w:val="24"/>
          <w:szCs w:val="24"/>
          <w:lang w:eastAsia="da-DK"/>
        </w:rPr>
        <w:t xml:space="preserve"> eller individuelle </w:t>
      </w:r>
      <w:r>
        <w:rPr>
          <w:rFonts w:ascii="Times New Roman" w:eastAsia="Times New Roman" w:hAnsi="Times New Roman" w:cs="Times New Roman"/>
          <w:iCs/>
          <w:sz w:val="24"/>
          <w:szCs w:val="24"/>
          <w:lang w:eastAsia="da-DK"/>
        </w:rPr>
        <w:t>klienter</w:t>
      </w:r>
      <w:r w:rsidRPr="00D253F0">
        <w:rPr>
          <w:rFonts w:ascii="Times New Roman" w:eastAsia="Times New Roman" w:hAnsi="Times New Roman" w:cs="Times New Roman"/>
          <w:iCs/>
          <w:sz w:val="24"/>
          <w:szCs w:val="24"/>
          <w:lang w:eastAsia="da-DK"/>
        </w:rPr>
        <w:t xml:space="preserve">, transaktioner, aktiviteter eller leveringskanaler, der udgør en høj risiko. Det ville også kunne indebære et krav om udarbejdelse eller revision af virksomhedens risikovurdering, politikker, forretningsgange og kontroller samt gennemførsel af intern undervisning, screening af medarbejdere eller etablering af en whistleblowerordning, samt dokumentation herfor. </w:t>
      </w:r>
    </w:p>
    <w:p w14:paraId="182EFAE3" w14:textId="77777777" w:rsidR="00361B87" w:rsidRPr="00D253F0" w:rsidRDefault="00361B87" w:rsidP="00A802A5">
      <w:pPr>
        <w:spacing w:line="360" w:lineRule="auto"/>
        <w:rPr>
          <w:rFonts w:ascii="Times New Roman" w:eastAsia="Times New Roman" w:hAnsi="Times New Roman" w:cs="Times New Roman"/>
          <w:iCs/>
          <w:sz w:val="24"/>
          <w:szCs w:val="24"/>
          <w:lang w:eastAsia="da-DK"/>
        </w:rPr>
      </w:pPr>
    </w:p>
    <w:p w14:paraId="5D5B9EB2" w14:textId="77777777" w:rsidR="00361B87" w:rsidRPr="00D253F0" w:rsidRDefault="00361B87"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Et påbud efter den foreslåede bestemmelse vil endvidere f.eks. kunne angå kravene til kundekendskabsprocedurerne eller en opfyldelse af undersøgelses-, noterings-, underretnings- og opbevaringspligter. Et påbud i medfør af den foreslåede bestemmelse </w:t>
      </w:r>
      <w:r>
        <w:rPr>
          <w:rFonts w:ascii="Times New Roman" w:eastAsia="Times New Roman" w:hAnsi="Times New Roman" w:cs="Times New Roman"/>
          <w:iCs/>
          <w:sz w:val="24"/>
          <w:szCs w:val="24"/>
          <w:lang w:eastAsia="da-DK"/>
        </w:rPr>
        <w:t>kan</w:t>
      </w:r>
      <w:r w:rsidRPr="00D253F0">
        <w:rPr>
          <w:rFonts w:ascii="Times New Roman" w:eastAsia="Times New Roman" w:hAnsi="Times New Roman" w:cs="Times New Roman"/>
          <w:iCs/>
          <w:sz w:val="24"/>
          <w:szCs w:val="24"/>
          <w:lang w:eastAsia="da-DK"/>
        </w:rPr>
        <w:t xml:space="preserve"> i overensstemmelse med Advokatrådets risikobaserede tilsyn blive fulgt op af et såkaldt genbesøg, hvor rådets tilsyn på ny </w:t>
      </w:r>
      <w:r>
        <w:rPr>
          <w:rFonts w:ascii="Times New Roman" w:eastAsia="Times New Roman" w:hAnsi="Times New Roman" w:cs="Times New Roman"/>
          <w:iCs/>
          <w:sz w:val="24"/>
          <w:szCs w:val="24"/>
          <w:lang w:eastAsia="da-DK"/>
        </w:rPr>
        <w:t>kan</w:t>
      </w:r>
      <w:r w:rsidRPr="00D253F0">
        <w:rPr>
          <w:rFonts w:ascii="Times New Roman" w:eastAsia="Times New Roman" w:hAnsi="Times New Roman" w:cs="Times New Roman"/>
          <w:iCs/>
          <w:sz w:val="24"/>
          <w:szCs w:val="24"/>
          <w:lang w:eastAsia="da-DK"/>
        </w:rPr>
        <w:t xml:space="preserve"> gennemgå konkrete sager </w:t>
      </w:r>
      <w:r>
        <w:rPr>
          <w:rFonts w:ascii="Times New Roman" w:eastAsia="Times New Roman" w:hAnsi="Times New Roman" w:cs="Times New Roman"/>
          <w:iCs/>
          <w:sz w:val="24"/>
          <w:szCs w:val="24"/>
          <w:lang w:eastAsia="da-DK"/>
        </w:rPr>
        <w:t xml:space="preserve">eller andre forhold </w:t>
      </w:r>
      <w:r w:rsidRPr="00D253F0">
        <w:rPr>
          <w:rFonts w:ascii="Times New Roman" w:eastAsia="Times New Roman" w:hAnsi="Times New Roman" w:cs="Times New Roman"/>
          <w:iCs/>
          <w:sz w:val="24"/>
          <w:szCs w:val="24"/>
          <w:lang w:eastAsia="da-DK"/>
        </w:rPr>
        <w:t xml:space="preserve">omfattet af hvidvaskreguleringen med henblik på at vurdere, om advokaten har efterkommet påbuddet og efterlever sine forpligtelser. </w:t>
      </w:r>
    </w:p>
    <w:p w14:paraId="4B9BBD20" w14:textId="77777777" w:rsidR="00776E67" w:rsidRPr="00796736" w:rsidRDefault="00776E67" w:rsidP="00A802A5">
      <w:pPr>
        <w:spacing w:line="360" w:lineRule="auto"/>
        <w:rPr>
          <w:rFonts w:ascii="Times New Roman" w:eastAsia="Times New Roman" w:hAnsi="Times New Roman" w:cs="Times New Roman"/>
          <w:iCs/>
          <w:sz w:val="24"/>
          <w:szCs w:val="24"/>
          <w:lang w:eastAsia="da-DK"/>
        </w:rPr>
      </w:pPr>
    </w:p>
    <w:p w14:paraId="48C716AD" w14:textId="77777777" w:rsidR="00607F0F"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giver for det </w:t>
      </w:r>
      <w:r w:rsidR="00607F0F" w:rsidRPr="00796736">
        <w:rPr>
          <w:rFonts w:ascii="Times New Roman" w:eastAsia="Times New Roman" w:hAnsi="Times New Roman" w:cs="Times New Roman"/>
          <w:iCs/>
          <w:sz w:val="24"/>
          <w:szCs w:val="24"/>
          <w:lang w:eastAsia="da-DK"/>
        </w:rPr>
        <w:t>tredje</w:t>
      </w:r>
      <w:r w:rsidRPr="00796736">
        <w:rPr>
          <w:rFonts w:ascii="Times New Roman" w:eastAsia="Times New Roman" w:hAnsi="Times New Roman" w:cs="Times New Roman"/>
          <w:iCs/>
          <w:sz w:val="24"/>
          <w:szCs w:val="24"/>
          <w:lang w:eastAsia="da-DK"/>
        </w:rPr>
        <w:t xml:space="preserve"> mulighed for at påbyde, at personen eller virksomheden skal bringe den udviste adfærd til opfør og undlade at gentage en sådan adfærd, jf. </w:t>
      </w:r>
      <w:r w:rsidR="00607F0F" w:rsidRPr="00796736">
        <w:rPr>
          <w:rFonts w:ascii="Times New Roman" w:eastAsia="Times New Roman" w:hAnsi="Times New Roman" w:cs="Times New Roman"/>
          <w:iCs/>
          <w:sz w:val="24"/>
          <w:szCs w:val="24"/>
          <w:lang w:eastAsia="da-DK"/>
        </w:rPr>
        <w:t xml:space="preserve">herved hvidvaskdirektivets artikel 56, stk. 2, litra d. Den foreslåede mulighed forudsættes anvendt forud for mere indgribende foranstaltninger i de situationer, hvor ophøret af en bestemt adfærd og den manglende gentagelse heraf vil kunne eliminere sandsynligheden eller risiciene for overtrædelser mv. Den foreslåede bestemmelse vil endvidere kunne anvendes i sammenhæng med de øvrige påbud, eventuelt som en del af et vilkår om en flerhed af korrigerende foranstaltninger. </w:t>
      </w:r>
    </w:p>
    <w:p w14:paraId="68B79B8E"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5043FD46" w14:textId="77777777" w:rsidR="00607F0F" w:rsidRPr="00796736" w:rsidRDefault="00607F0F"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Endelig </w:t>
      </w:r>
      <w:r w:rsidRPr="00796736">
        <w:rPr>
          <w:rFonts w:ascii="Times New Roman" w:hAnsi="Times New Roman" w:cs="Times New Roman"/>
          <w:sz w:val="24"/>
          <w:szCs w:val="24"/>
        </w:rPr>
        <w:t xml:space="preserve">vil Advokatrådet i medfør af den foreslåede bestemmelse have mulighed for at påbyde de omfattede personer hyppigere underretningskrav. Dette vil f.eks.  kunne være relevant i tilfælde, hvor der ikke længere eksisterer en overtrædelse, men der ikke desto mindre skønnes behov for et påbud for at forhindre eller forebygge, at der sker en tilsvarende overtrædelse mv. Den foreslåede mulighed vil endvidere kunne kombineres med de øvrige foranstaltninger i situationer, hvor det af hensyn til at forebygge fremtidige overtrædelser eller risici herfor må anses for nødvendigt. </w:t>
      </w:r>
    </w:p>
    <w:p w14:paraId="5B58364D"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44ECCCC5" w14:textId="77777777" w:rsidR="00306122" w:rsidRDefault="00306122"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forudsættes i alle tilfælde, at Advokatrådet vil skulle foretage en konkret og individuel vurdering af, om det vil være relevant og forsvarligt at inddrage oplysningerne fremlagt efter tilsynsbesøgets afslutning. Advokatrådet vil således ved sin vurdering kunne inddrage materiale, som virksomheden eller personen har udarbejdet inden tilsynstidspunktet, også selvom dette materiale først eftersendes til Advokatrådet efter tilsynsbesøgets afslutning. Det afgørende vil være, at materialet er udarbejdet forud for tilsynstidspunktet og ikke efterfølgende med henblik på at afhjælpe eller korrigere de konstaterede forhold.</w:t>
      </w:r>
    </w:p>
    <w:p w14:paraId="03C9C988" w14:textId="77777777" w:rsidR="00C56C5B" w:rsidRPr="000B0FB0" w:rsidRDefault="00C56C5B" w:rsidP="00C56C5B">
      <w:pPr>
        <w:spacing w:after="240" w:line="36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Det foreslås i </w:t>
      </w:r>
      <w:r>
        <w:rPr>
          <w:rFonts w:ascii="Times New Roman" w:eastAsia="Calibri" w:hAnsi="Times New Roman" w:cs="Times New Roman"/>
          <w:i/>
          <w:sz w:val="24"/>
          <w:szCs w:val="24"/>
        </w:rPr>
        <w:t xml:space="preserve">stk. 2, </w:t>
      </w:r>
      <w:r>
        <w:rPr>
          <w:rFonts w:ascii="Times New Roman" w:eastAsia="Calibri" w:hAnsi="Times New Roman" w:cs="Times New Roman"/>
          <w:iCs/>
          <w:sz w:val="24"/>
          <w:szCs w:val="24"/>
        </w:rPr>
        <w:t xml:space="preserve">at </w:t>
      </w:r>
      <w:r>
        <w:rPr>
          <w:rFonts w:ascii="Times New Roman" w:hAnsi="Times New Roman" w:cs="Times New Roman"/>
          <w:sz w:val="24"/>
          <w:szCs w:val="24"/>
          <w:lang w:eastAsia="da-DK"/>
        </w:rPr>
        <w:t>m</w:t>
      </w:r>
      <w:r w:rsidRPr="00E83713">
        <w:rPr>
          <w:rFonts w:ascii="Times New Roman" w:hAnsi="Times New Roman" w:cs="Times New Roman"/>
          <w:sz w:val="24"/>
          <w:szCs w:val="24"/>
          <w:lang w:eastAsia="da-DK"/>
        </w:rPr>
        <w:t>odtagere af påbud efter stk. 1 senest 4 uger fra påbuddets meddelelse</w:t>
      </w:r>
      <w:r>
        <w:rPr>
          <w:rFonts w:ascii="Times New Roman" w:hAnsi="Times New Roman" w:cs="Times New Roman"/>
          <w:sz w:val="24"/>
          <w:szCs w:val="24"/>
          <w:lang w:eastAsia="da-DK"/>
        </w:rPr>
        <w:t xml:space="preserve"> kan</w:t>
      </w:r>
      <w:r w:rsidRPr="00E83713">
        <w:rPr>
          <w:rFonts w:ascii="Times New Roman" w:hAnsi="Times New Roman" w:cs="Times New Roman"/>
          <w:sz w:val="24"/>
          <w:szCs w:val="24"/>
          <w:lang w:eastAsia="da-DK"/>
        </w:rPr>
        <w:t xml:space="preserve"> indbringe påbuddet for Advokatnævnet.</w:t>
      </w:r>
    </w:p>
    <w:p w14:paraId="6F4526FE" w14:textId="77777777" w:rsidR="00C56C5B" w:rsidRPr="00472995" w:rsidRDefault="00C56C5B" w:rsidP="00C56C5B">
      <w:pPr>
        <w:spacing w:line="360" w:lineRule="auto"/>
        <w:rPr>
          <w:rFonts w:ascii="Times New Roman" w:hAnsi="Times New Roman" w:cs="Times New Roman"/>
          <w:sz w:val="24"/>
          <w:szCs w:val="24"/>
        </w:rPr>
      </w:pPr>
      <w:r w:rsidRPr="00472995">
        <w:rPr>
          <w:rFonts w:ascii="Times New Roman" w:hAnsi="Times New Roman" w:cs="Times New Roman"/>
          <w:sz w:val="24"/>
          <w:szCs w:val="24"/>
        </w:rPr>
        <w:t xml:space="preserve">Den foreslåede bestemmelse vil indebære, at modtageren af et påbud efter det foreslåede </w:t>
      </w:r>
      <w:r>
        <w:rPr>
          <w:rFonts w:ascii="Times New Roman" w:hAnsi="Times New Roman" w:cs="Times New Roman"/>
          <w:sz w:val="24"/>
          <w:szCs w:val="24"/>
        </w:rPr>
        <w:t>stk. 1</w:t>
      </w:r>
      <w:r w:rsidRPr="00472995">
        <w:rPr>
          <w:rFonts w:ascii="Times New Roman" w:hAnsi="Times New Roman" w:cs="Times New Roman"/>
          <w:sz w:val="24"/>
          <w:szCs w:val="24"/>
        </w:rPr>
        <w:t xml:space="preserve">, har mulighed for at klage over afgørelsen om påbud. Advokatnævnet vil ved vurderingen af det indbragte påbud skulle tage stilling til, om påbuddet er nødvendigt og proportionalt i henhold til hvidvaskområdets regler. Det forudsættes, at Advokatnævnet ved prøvelsen af Advokatrådets afgørelse om påbud som udgangspunkt ikke foretager en selvstændig efterprøvelse af Advokatrådets tilsynsfaglige skøn. Nævnet kan imidlertid prøve, om skønnet er udøvet inden for de retlige rammer for tilsynet, om afgørelsen hviler på et korrekt og tilstrækkeligt oplyst grundlag, og om principperne om nødvendighed og proportionalitet, er iagttaget. </w:t>
      </w:r>
    </w:p>
    <w:p w14:paraId="4AF5CE24" w14:textId="77777777" w:rsidR="00C56C5B" w:rsidRDefault="00C56C5B" w:rsidP="00C56C5B">
      <w:pPr>
        <w:spacing w:line="360" w:lineRule="auto"/>
        <w:ind w:firstLine="340"/>
        <w:rPr>
          <w:rFonts w:ascii="Times New Roman" w:hAnsi="Times New Roman" w:cs="Times New Roman"/>
          <w:sz w:val="24"/>
          <w:szCs w:val="24"/>
        </w:rPr>
      </w:pPr>
    </w:p>
    <w:p w14:paraId="52F21C42" w14:textId="77777777" w:rsidR="00C56C5B" w:rsidRPr="00D253F0" w:rsidRDefault="00C56C5B" w:rsidP="00C56C5B">
      <w:pPr>
        <w:spacing w:line="360" w:lineRule="auto"/>
        <w:rPr>
          <w:rFonts w:ascii="Times New Roman" w:hAnsi="Times New Roman" w:cs="Times New Roman"/>
          <w:sz w:val="24"/>
          <w:szCs w:val="24"/>
        </w:rPr>
      </w:pPr>
      <w:r w:rsidRPr="00D253F0">
        <w:rPr>
          <w:rFonts w:ascii="Times New Roman" w:hAnsi="Times New Roman" w:cs="Times New Roman"/>
          <w:sz w:val="24"/>
          <w:szCs w:val="24"/>
        </w:rPr>
        <w:t>Ved påbud efter den foreslåede</w:t>
      </w:r>
      <w:r>
        <w:rPr>
          <w:rFonts w:ascii="Times New Roman" w:hAnsi="Times New Roman" w:cs="Times New Roman"/>
          <w:sz w:val="24"/>
          <w:szCs w:val="24"/>
        </w:rPr>
        <w:t xml:space="preserve"> </w:t>
      </w:r>
      <w:r>
        <w:rPr>
          <w:rFonts w:ascii="Times New Roman" w:eastAsia="Times New Roman" w:hAnsi="Times New Roman" w:cs="Times New Roman"/>
          <w:iCs/>
          <w:sz w:val="24"/>
          <w:szCs w:val="24"/>
          <w:lang w:eastAsia="da-DK"/>
        </w:rPr>
        <w:t>stk. 1</w:t>
      </w:r>
      <w:r w:rsidRPr="00D253F0">
        <w:rPr>
          <w:rFonts w:ascii="Times New Roman" w:eastAsia="Times New Roman" w:hAnsi="Times New Roman" w:cs="Times New Roman"/>
          <w:iCs/>
          <w:sz w:val="24"/>
          <w:szCs w:val="24"/>
          <w:lang w:eastAsia="da-DK"/>
        </w:rPr>
        <w:t xml:space="preserve"> </w:t>
      </w:r>
      <w:r w:rsidRPr="00D253F0">
        <w:rPr>
          <w:rFonts w:ascii="Times New Roman" w:hAnsi="Times New Roman" w:cs="Times New Roman"/>
          <w:sz w:val="24"/>
          <w:szCs w:val="24"/>
        </w:rPr>
        <w:t xml:space="preserve">vil Advokatrådet således skulle vejlede om muligheden for at indbringe påbuddet for Advokatnævnet og i den forbindelse vejlede om fristen herfor. </w:t>
      </w:r>
    </w:p>
    <w:p w14:paraId="2D33005F" w14:textId="77777777" w:rsidR="00C56C5B" w:rsidRPr="00D253F0" w:rsidRDefault="00C56C5B" w:rsidP="00C56C5B">
      <w:pPr>
        <w:spacing w:line="360" w:lineRule="auto"/>
        <w:ind w:firstLine="340"/>
        <w:rPr>
          <w:rFonts w:ascii="Times New Roman" w:hAnsi="Times New Roman" w:cs="Times New Roman"/>
          <w:sz w:val="24"/>
          <w:szCs w:val="24"/>
        </w:rPr>
      </w:pPr>
    </w:p>
    <w:p w14:paraId="18A201AC" w14:textId="77777777" w:rsidR="00C56C5B" w:rsidRPr="00D253F0" w:rsidRDefault="00C56C5B" w:rsidP="00C56C5B">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Fristen regnes fra påbuddets meddelelse og udløber ved udgangen af døgnet 4 uger fra denne dato. Falder udløbsdagen på en helligdag, vil fristen udløbe ved udgangen af den førstkommende hverdag. </w:t>
      </w:r>
    </w:p>
    <w:p w14:paraId="1A26F010" w14:textId="77777777" w:rsidR="00C56C5B" w:rsidRDefault="00C56C5B" w:rsidP="00C56C5B">
      <w:pPr>
        <w:spacing w:line="360" w:lineRule="auto"/>
        <w:ind w:firstLine="340"/>
        <w:rPr>
          <w:rFonts w:ascii="Times New Roman" w:hAnsi="Times New Roman" w:cs="Times New Roman"/>
          <w:sz w:val="24"/>
          <w:szCs w:val="24"/>
        </w:rPr>
      </w:pPr>
    </w:p>
    <w:p w14:paraId="62D461B7" w14:textId="69FB1526" w:rsidR="00C56C5B" w:rsidRDefault="00C56C5B" w:rsidP="00C56C5B">
      <w:pPr>
        <w:spacing w:line="360" w:lineRule="auto"/>
        <w:rPr>
          <w:rFonts w:ascii="Times New Roman" w:hAnsi="Times New Roman" w:cs="Times New Roman"/>
          <w:sz w:val="24"/>
          <w:szCs w:val="24"/>
        </w:rPr>
      </w:pPr>
      <w:r>
        <w:rPr>
          <w:rFonts w:ascii="Times New Roman" w:hAnsi="Times New Roman" w:cs="Times New Roman"/>
          <w:sz w:val="24"/>
          <w:szCs w:val="24"/>
        </w:rPr>
        <w:t xml:space="preserve">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_Ref242893180 \n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101</w:t>
      </w:r>
      <w:r>
        <w:rPr>
          <w:rFonts w:ascii="Times New Roman" w:hAnsi="Times New Roman" w:cs="Times New Roman"/>
          <w:sz w:val="24"/>
          <w:szCs w:val="24"/>
        </w:rPr>
        <w:fldChar w:fldCharType="end"/>
      </w:r>
      <w:r>
        <w:rPr>
          <w:rFonts w:ascii="Times New Roman" w:hAnsi="Times New Roman" w:cs="Times New Roman"/>
          <w:sz w:val="24"/>
          <w:szCs w:val="24"/>
        </w:rPr>
        <w:t>, stk. 3, finder visse af retsplejelovens bestemmelser tilsvarende anvendelse for sager omfattet af den foreslåede bestemmelse.</w:t>
      </w:r>
    </w:p>
    <w:p w14:paraId="13F39C8F" w14:textId="77777777" w:rsidR="00C56C5B" w:rsidRPr="00796736" w:rsidRDefault="00C56C5B" w:rsidP="00A802A5">
      <w:pPr>
        <w:spacing w:after="240" w:line="360" w:lineRule="auto"/>
        <w:rPr>
          <w:rFonts w:ascii="Times New Roman" w:eastAsia="Calibri" w:hAnsi="Times New Roman" w:cs="Times New Roman"/>
          <w:iCs/>
          <w:sz w:val="24"/>
          <w:szCs w:val="24"/>
        </w:rPr>
      </w:pPr>
    </w:p>
    <w:p w14:paraId="16E626C5" w14:textId="77777777" w:rsidR="00607F0F" w:rsidRPr="00796736" w:rsidRDefault="00607F0F" w:rsidP="00A802A5">
      <w:pPr>
        <w:spacing w:line="360" w:lineRule="auto"/>
        <w:rPr>
          <w:rFonts w:ascii="Times New Roman" w:hAnsi="Times New Roman" w:cs="Times New Roman"/>
          <w:sz w:val="24"/>
          <w:szCs w:val="24"/>
        </w:rPr>
      </w:pPr>
    </w:p>
    <w:p w14:paraId="7DC23579" w14:textId="76F0E502" w:rsidR="00607F0F" w:rsidRPr="00796736" w:rsidRDefault="00607F0F" w:rsidP="00A802A5">
      <w:pPr>
        <w:pStyle w:val="Undertitel"/>
      </w:pPr>
      <w:bookmarkStart w:id="2165" w:name="_Toc244879399"/>
      <w:bookmarkStart w:id="2166" w:name="_Toc244880924"/>
      <w:r w:rsidRPr="00796736">
        <w:t xml:space="preserve">Til </w:t>
      </w:r>
      <w:r w:rsidR="00D57C9C">
        <w:fldChar w:fldCharType="begin"/>
      </w:r>
      <w:r w:rsidR="00D57C9C">
        <w:instrText xml:space="preserve"> REF _Ref244787574 \r \h </w:instrText>
      </w:r>
      <w:r w:rsidR="00D57C9C">
        <w:fldChar w:fldCharType="separate"/>
      </w:r>
      <w:r w:rsidR="008F29E5">
        <w:t>§ 103</w:t>
      </w:r>
      <w:bookmarkEnd w:id="2165"/>
      <w:bookmarkEnd w:id="2166"/>
      <w:r w:rsidR="00D57C9C">
        <w:fldChar w:fldCharType="end"/>
      </w:r>
    </w:p>
    <w:p w14:paraId="4E0AEE61"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Efter retsplejelovens § 147 c, stk. 8, kan Advokatnævnet frakende en advokat retten til at udføre sager eller forretninger af nærmere angiven karakter eller retten til at udøve advokatvirksomhed, hvis den pågældende har gjort sig skyldig i grov eller oftere gentagen overtrædelse af sine pligter som advokat, og de udviste forhold giver grund til at antage, at den pågældende ikke for fremtiden vil udøve advokatvirksomhed på forsvarlig måde. Frakendelsen kan ske i et tidsrum fra 6 måneder til 5 år eller indtil videre. </w:t>
      </w:r>
    </w:p>
    <w:p w14:paraId="1467E8F7"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71610A85"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Efter § 147 c, stk. 9, kan Advokatnævnet træffe en tilsvarende afgørelse overfor personer, der er nævnt i retsplejelovens § 124 c, stk. 1, nr. 2, og som ejer aktier eller anparter i et advokatselskab. </w:t>
      </w:r>
    </w:p>
    <w:p w14:paraId="37317999"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573FEB75"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Efter § 147 c, stk. 5 og 6, kan Advokatnævnet under behandling af en sag efter stk. 8 og 9 træffe afgørelser om midlertidige frakendelser, hvis der er overhængende fare for, at der vil ske grov eller oftere gentagen overtrædelse af henholdsvis pligterne, som påhviler advokater og reglerne, som regulerer advokathvervet under sagens behandling.  </w:t>
      </w:r>
    </w:p>
    <w:p w14:paraId="2437AE1E"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4FB7E17A" w14:textId="7D965B3E" w:rsidR="00607F0F" w:rsidRPr="00796736" w:rsidRDefault="00607F0F"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hAnsi="Times New Roman" w:cs="Times New Roman"/>
          <w:i/>
          <w:iCs/>
          <w:sz w:val="24"/>
          <w:szCs w:val="24"/>
        </w:rPr>
        <w:t xml:space="preserve"> </w:t>
      </w:r>
      <w:r w:rsidR="00C56C5B">
        <w:rPr>
          <w:rFonts w:ascii="Times New Roman" w:hAnsi="Times New Roman" w:cs="Times New Roman"/>
          <w:i/>
          <w:iCs/>
          <w:sz w:val="24"/>
          <w:szCs w:val="24"/>
        </w:rPr>
        <w:fldChar w:fldCharType="begin"/>
      </w:r>
      <w:r w:rsidR="00C56C5B">
        <w:rPr>
          <w:rFonts w:ascii="Times New Roman" w:hAnsi="Times New Roman" w:cs="Times New Roman"/>
          <w:i/>
          <w:iCs/>
          <w:sz w:val="24"/>
          <w:szCs w:val="24"/>
        </w:rPr>
        <w:instrText xml:space="preserve"> REF _Ref244787574 \n \h </w:instrText>
      </w:r>
      <w:r w:rsidR="00C56C5B">
        <w:rPr>
          <w:rFonts w:ascii="Times New Roman" w:hAnsi="Times New Roman" w:cs="Times New Roman"/>
          <w:i/>
          <w:iCs/>
          <w:sz w:val="24"/>
          <w:szCs w:val="24"/>
        </w:rPr>
      </w:r>
      <w:r w:rsidR="00C56C5B">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103</w:t>
      </w:r>
      <w:r w:rsidR="00C56C5B">
        <w:rPr>
          <w:rFonts w:ascii="Times New Roman" w:hAnsi="Times New Roman" w:cs="Times New Roman"/>
          <w:i/>
          <w:iCs/>
          <w:sz w:val="24"/>
          <w:szCs w:val="24"/>
        </w:rPr>
        <w:fldChar w:fldCharType="end"/>
      </w:r>
      <w:r w:rsidRPr="00796736">
        <w:rPr>
          <w:rFonts w:ascii="Times New Roman" w:hAnsi="Times New Roman" w:cs="Times New Roman"/>
          <w:sz w:val="24"/>
          <w:szCs w:val="24"/>
        </w:rPr>
        <w:t xml:space="preserve"> </w:t>
      </w:r>
      <w:r w:rsidR="00361B87" w:rsidRPr="00D253F0">
        <w:rPr>
          <w:rFonts w:ascii="Times New Roman" w:eastAsia="Times New Roman" w:hAnsi="Times New Roman" w:cs="Times New Roman"/>
          <w:iCs/>
          <w:sz w:val="24"/>
          <w:szCs w:val="24"/>
          <w:lang w:eastAsia="da-DK"/>
        </w:rPr>
        <w:t xml:space="preserve">at indføre en regel om Advokatnævnets muligheder for efter indstilling fra Advokatrådet at </w:t>
      </w:r>
      <w:r w:rsidR="00361B87">
        <w:rPr>
          <w:rFonts w:ascii="Times New Roman" w:eastAsia="Times New Roman" w:hAnsi="Times New Roman" w:cs="Times New Roman"/>
          <w:iCs/>
          <w:sz w:val="24"/>
          <w:szCs w:val="24"/>
          <w:lang w:eastAsia="da-DK"/>
        </w:rPr>
        <w:t>iværksætte administrative foranstaltninger overfor</w:t>
      </w:r>
      <w:r w:rsidR="00361B87" w:rsidRPr="00D253F0">
        <w:rPr>
          <w:rFonts w:ascii="Times New Roman" w:eastAsia="Times New Roman" w:hAnsi="Times New Roman" w:cs="Times New Roman"/>
          <w:iCs/>
          <w:sz w:val="24"/>
          <w:szCs w:val="24"/>
          <w:lang w:eastAsia="da-DK"/>
        </w:rPr>
        <w:t xml:space="preserve"> advokater, som indskrænker deres forretningsaktiviteter mv.</w:t>
      </w:r>
    </w:p>
    <w:p w14:paraId="5C51E620"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2BE446E2" w14:textId="1F46A03A"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Bestemmelsen skal ses som en særregel ved siden af retsplejelovens almindelige regler i kapitel 15 b, idet det nu vil være muligt for Advokatrådet at indbringe en sag for Advokatnævnet med påstand om, at der overfor advokaterne m.v. skal træffes afgørelse om de omhandlede foranstaltninger for overtrædelse af hvidvaskreguleringen. Indholdet af påbuddet efter den foreslåede bestemmelse vil kunne kombineres, ligesom påbuddet vil kunne kombineres med påbud efter de foreslåede bestemmelser i </w:t>
      </w:r>
      <w:r w:rsidR="00687BA4">
        <w:rPr>
          <w:rFonts w:ascii="Times New Roman" w:eastAsia="Times New Roman" w:hAnsi="Times New Roman" w:cs="Times New Roman"/>
          <w:iCs/>
          <w:sz w:val="24"/>
          <w:szCs w:val="24"/>
          <w:lang w:eastAsia="da-DK"/>
        </w:rPr>
        <w:t>§</w:t>
      </w:r>
      <w:r w:rsidR="00017DF3">
        <w:rPr>
          <w:rFonts w:ascii="Times New Roman" w:eastAsia="Times New Roman" w:hAnsi="Times New Roman" w:cs="Times New Roman"/>
          <w:iCs/>
          <w:sz w:val="24"/>
          <w:szCs w:val="24"/>
          <w:lang w:eastAsia="da-DK"/>
        </w:rPr>
        <w:t xml:space="preserve"> 102</w:t>
      </w:r>
      <w:r w:rsidRPr="00796736">
        <w:rPr>
          <w:rFonts w:ascii="Times New Roman" w:eastAsia="Times New Roman" w:hAnsi="Times New Roman" w:cs="Times New Roman"/>
          <w:iCs/>
          <w:sz w:val="24"/>
          <w:szCs w:val="24"/>
          <w:lang w:eastAsia="da-DK"/>
        </w:rPr>
        <w:t xml:space="preserve"> og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_Ref236987494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106</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Henset til afgørelsens indgribende karakter, herunder for den pågældende advokats klient, forudsættes den foreslåede bestemmelse</w:t>
      </w:r>
      <w:r w:rsidR="00361B87">
        <w:rPr>
          <w:rFonts w:ascii="Times New Roman" w:eastAsia="Times New Roman" w:hAnsi="Times New Roman" w:cs="Times New Roman"/>
          <w:iCs/>
          <w:sz w:val="24"/>
          <w:szCs w:val="24"/>
          <w:lang w:eastAsia="da-DK"/>
        </w:rPr>
        <w:t xml:space="preserve"> i almindelighed</w:t>
      </w:r>
      <w:r w:rsidRPr="00796736">
        <w:rPr>
          <w:rFonts w:ascii="Times New Roman" w:eastAsia="Times New Roman" w:hAnsi="Times New Roman" w:cs="Times New Roman"/>
          <w:iCs/>
          <w:sz w:val="24"/>
          <w:szCs w:val="24"/>
          <w:lang w:eastAsia="da-DK"/>
        </w:rPr>
        <w:t xml:space="preserve"> anvendt restriktivt og som udgangspunkt kun ved konstaterede, kvalificerede overtrædelser, hvor mindre indgribende foranstaltninger skønnes utilstrækkelige. </w:t>
      </w:r>
    </w:p>
    <w:p w14:paraId="7D91BAB3"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368EA9BA" w14:textId="574620D1"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bemærkes, at afgørelser efter den foreslåede bestemmelse vil udgøre ganske indgribende foranstaltninger i advokaternes næringsliv, som vil være underlagt krav om nødvendighed og proportionalitet. Dette indebærer, at Advokatrådet forinden der skrides til at indbringe sagen for Advokatnævnet efter den foreslåede bestemmelse som udgangspunkt vil skulle have forsøgt sig med mindre indgribende foranstaltninger, ligesom det forudsættes, at afgørelser efter den foreslåede bestemmelse i almindelighed alene vil være relevante ved egentlige overtrædelser, som tillige er af en vis beskaffenhed, jf. det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_Ref242893180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stk. 1, nr. 1. Det vil være et krav, at der er en konkret sammenhæng mellem den konstaterede overtrædelse og den aktivitet, sagstype, forretningstype eller klientforhold, som begrænses. Det bemærkes i tillæg hertil, at for afgørelser efter den foreslåede bestemmelse for enkeltmandsvirksomheder reelt vil svare til en hel eller delvis nedlukning af den pågældende advokats virksomhed. Dette hensyn vil skulle tillægges særlig vægt i proportionalitetsvurderingen, herunder i vurderingen af, om formålet vil kunne nås ved betingede påbud, skærpet tilsyn eller opfølgning samt henstillinger, ligesom det vil skulle indgå i vurderingen af påbuddets tidsmæssige udstrækning efter stk. 2. I det omfang det i henhold til den relevante sag er muligt, vil frakendelser i medfør af bestemmelsen kunne være både betinget og ubetinget.</w:t>
      </w:r>
    </w:p>
    <w:p w14:paraId="3916B0F0"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43D78FA7" w14:textId="65C28B17" w:rsidR="00361B87" w:rsidRPr="00D253F0" w:rsidRDefault="00607F0F"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00C56C5B">
        <w:rPr>
          <w:rFonts w:ascii="Times New Roman" w:hAnsi="Times New Roman" w:cs="Times New Roman"/>
          <w:i/>
          <w:iCs/>
          <w:sz w:val="24"/>
          <w:szCs w:val="24"/>
        </w:rPr>
        <w:fldChar w:fldCharType="begin"/>
      </w:r>
      <w:r w:rsidR="00C56C5B">
        <w:rPr>
          <w:rFonts w:ascii="Times New Roman" w:eastAsia="Times New Roman" w:hAnsi="Times New Roman" w:cs="Times New Roman"/>
          <w:iCs/>
          <w:sz w:val="24"/>
          <w:szCs w:val="24"/>
          <w:lang w:eastAsia="da-DK"/>
        </w:rPr>
        <w:instrText xml:space="preserve"> REF _Ref244787574 \n \h </w:instrText>
      </w:r>
      <w:r w:rsidR="00C56C5B">
        <w:rPr>
          <w:rFonts w:ascii="Times New Roman" w:hAnsi="Times New Roman" w:cs="Times New Roman"/>
          <w:i/>
          <w:iCs/>
          <w:sz w:val="24"/>
          <w:szCs w:val="24"/>
        </w:rPr>
      </w:r>
      <w:r w:rsidR="00C56C5B">
        <w:rPr>
          <w:rFonts w:ascii="Times New Roman" w:hAnsi="Times New Roman" w:cs="Times New Roman"/>
          <w:i/>
          <w:iCs/>
          <w:sz w:val="24"/>
          <w:szCs w:val="24"/>
        </w:rPr>
        <w:fldChar w:fldCharType="separate"/>
      </w:r>
      <w:r w:rsidR="008F29E5">
        <w:rPr>
          <w:rFonts w:ascii="Times New Roman" w:eastAsia="Times New Roman" w:hAnsi="Times New Roman" w:cs="Times New Roman"/>
          <w:iCs/>
          <w:sz w:val="24"/>
          <w:szCs w:val="24"/>
          <w:lang w:eastAsia="da-DK"/>
        </w:rPr>
        <w:t>§ 103</w:t>
      </w:r>
      <w:r w:rsidR="00C56C5B">
        <w:rPr>
          <w:rFonts w:ascii="Times New Roman" w:hAnsi="Times New Roman" w:cs="Times New Roman"/>
          <w:i/>
          <w:iCs/>
          <w:sz w:val="24"/>
          <w:szCs w:val="24"/>
        </w:rPr>
        <w:fldChar w:fldCharType="end"/>
      </w:r>
      <w:r w:rsidRPr="00796736">
        <w:rPr>
          <w:rFonts w:ascii="Times New Roman" w:eastAsia="Times New Roman" w:hAnsi="Times New Roman" w:cs="Times New Roman"/>
          <w:i/>
          <w:sz w:val="24"/>
          <w:szCs w:val="24"/>
          <w:lang w:eastAsia="da-DK"/>
        </w:rPr>
        <w:t xml:space="preserve">, stk. 1, nr. 1, </w:t>
      </w:r>
      <w:r w:rsidR="00306122" w:rsidRPr="00796736">
        <w:rPr>
          <w:rFonts w:ascii="Times New Roman" w:eastAsia="Times New Roman" w:hAnsi="Times New Roman" w:cs="Times New Roman"/>
          <w:iCs/>
          <w:sz w:val="24"/>
          <w:szCs w:val="24"/>
          <w:lang w:eastAsia="da-DK"/>
        </w:rPr>
        <w:t xml:space="preserve">at Advokatnævnet efter indstilling fra Advokatrådet i de tilfælde, der er nævnt i </w:t>
      </w:r>
      <w:r w:rsidR="00306122" w:rsidRPr="00796736">
        <w:rPr>
          <w:rFonts w:ascii="Times New Roman" w:eastAsia="Times New Roman" w:hAnsi="Times New Roman" w:cs="Times New Roman"/>
          <w:iCs/>
          <w:sz w:val="24"/>
          <w:szCs w:val="24"/>
          <w:lang w:eastAsia="da-DK"/>
        </w:rPr>
        <w:fldChar w:fldCharType="begin"/>
      </w:r>
      <w:r w:rsidR="00306122" w:rsidRPr="00796736">
        <w:rPr>
          <w:rFonts w:ascii="Times New Roman" w:eastAsia="Times New Roman" w:hAnsi="Times New Roman" w:cs="Times New Roman"/>
          <w:iCs/>
          <w:sz w:val="24"/>
          <w:szCs w:val="24"/>
          <w:lang w:eastAsia="da-DK"/>
        </w:rPr>
        <w:instrText xml:space="preserve"> REF _Ref242893180 \r \h </w:instrText>
      </w:r>
      <w:r w:rsidR="00AB17CC" w:rsidRPr="00796736">
        <w:rPr>
          <w:rFonts w:ascii="Times New Roman" w:eastAsia="Times New Roman" w:hAnsi="Times New Roman" w:cs="Times New Roman"/>
          <w:iCs/>
          <w:sz w:val="24"/>
          <w:szCs w:val="24"/>
          <w:lang w:eastAsia="da-DK"/>
        </w:rPr>
        <w:instrText xml:space="preserve"> \* MERGEFORMAT </w:instrText>
      </w:r>
      <w:r w:rsidR="00306122" w:rsidRPr="00796736">
        <w:rPr>
          <w:rFonts w:ascii="Times New Roman" w:eastAsia="Times New Roman" w:hAnsi="Times New Roman" w:cs="Times New Roman"/>
          <w:iCs/>
          <w:sz w:val="24"/>
          <w:szCs w:val="24"/>
          <w:lang w:eastAsia="da-DK"/>
        </w:rPr>
      </w:r>
      <w:r w:rsidR="00306122"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00306122" w:rsidRPr="00796736">
        <w:rPr>
          <w:rFonts w:ascii="Times New Roman" w:eastAsia="Times New Roman" w:hAnsi="Times New Roman" w:cs="Times New Roman"/>
          <w:iCs/>
          <w:sz w:val="24"/>
          <w:szCs w:val="24"/>
          <w:lang w:eastAsia="da-DK"/>
        </w:rPr>
        <w:fldChar w:fldCharType="end"/>
      </w:r>
      <w:r w:rsidR="00306122" w:rsidRPr="00796736">
        <w:rPr>
          <w:rFonts w:ascii="Times New Roman" w:eastAsia="Times New Roman" w:hAnsi="Times New Roman" w:cs="Times New Roman"/>
          <w:iCs/>
          <w:sz w:val="24"/>
          <w:szCs w:val="24"/>
          <w:lang w:eastAsia="da-DK"/>
        </w:rPr>
        <w:t>, stk. 1</w:t>
      </w:r>
      <w:r w:rsidR="00361B87">
        <w:rPr>
          <w:rFonts w:ascii="Times New Roman" w:eastAsia="Times New Roman" w:hAnsi="Times New Roman" w:cs="Times New Roman"/>
          <w:iCs/>
          <w:sz w:val="24"/>
          <w:szCs w:val="24"/>
          <w:lang w:eastAsia="da-DK"/>
        </w:rPr>
        <w:t>,</w:t>
      </w:r>
      <w:r w:rsidR="00361B87" w:rsidRPr="00D253F0">
        <w:rPr>
          <w:rFonts w:ascii="Times New Roman" w:eastAsia="Times New Roman" w:hAnsi="Times New Roman" w:cs="Times New Roman"/>
          <w:iCs/>
          <w:sz w:val="24"/>
          <w:szCs w:val="24"/>
          <w:lang w:eastAsia="da-DK"/>
        </w:rPr>
        <w:t xml:space="preserve"> </w:t>
      </w:r>
      <w:r w:rsidR="00361B87">
        <w:rPr>
          <w:rFonts w:ascii="Times New Roman" w:eastAsia="Times New Roman" w:hAnsi="Times New Roman" w:cs="Times New Roman"/>
          <w:iCs/>
          <w:sz w:val="24"/>
          <w:szCs w:val="24"/>
          <w:lang w:eastAsia="da-DK"/>
        </w:rPr>
        <w:t xml:space="preserve">kan </w:t>
      </w:r>
      <w:r w:rsidR="00361B87" w:rsidRPr="00D253F0">
        <w:rPr>
          <w:rFonts w:ascii="Times New Roman" w:eastAsia="Times New Roman" w:hAnsi="Times New Roman" w:cs="Times New Roman"/>
          <w:iCs/>
          <w:sz w:val="24"/>
          <w:szCs w:val="24"/>
          <w:lang w:eastAsia="da-DK"/>
        </w:rPr>
        <w:t>fratage advokaten en eller flere sager og lade en anden af klienten godkendt advokat færdiggøre sagen eller sagerne.</w:t>
      </w:r>
    </w:p>
    <w:p w14:paraId="3FAEDE26" w14:textId="77777777" w:rsidR="00361B87" w:rsidRPr="00D253F0" w:rsidRDefault="00361B87" w:rsidP="00A802A5">
      <w:pPr>
        <w:spacing w:line="360" w:lineRule="auto"/>
        <w:rPr>
          <w:rFonts w:ascii="Times New Roman" w:eastAsia="Times New Roman" w:hAnsi="Times New Roman" w:cs="Times New Roman"/>
          <w:iCs/>
          <w:sz w:val="24"/>
          <w:szCs w:val="24"/>
          <w:lang w:eastAsia="da-DK"/>
        </w:rPr>
      </w:pPr>
    </w:p>
    <w:p w14:paraId="328D2189" w14:textId="1F59D065" w:rsidR="00361B87" w:rsidRPr="00D253F0" w:rsidRDefault="00361B87"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Den foreslåede bestemmelse vil give </w:t>
      </w:r>
      <w:r>
        <w:rPr>
          <w:rFonts w:ascii="Times New Roman" w:eastAsia="Times New Roman" w:hAnsi="Times New Roman" w:cs="Times New Roman"/>
          <w:iCs/>
          <w:sz w:val="24"/>
          <w:szCs w:val="24"/>
          <w:lang w:eastAsia="da-DK"/>
        </w:rPr>
        <w:t>Advokatnævnet</w:t>
      </w:r>
      <w:r w:rsidRPr="00D253F0">
        <w:rPr>
          <w:rFonts w:ascii="Times New Roman" w:eastAsia="Times New Roman" w:hAnsi="Times New Roman" w:cs="Times New Roman"/>
          <w:iCs/>
          <w:sz w:val="24"/>
          <w:szCs w:val="24"/>
          <w:lang w:eastAsia="da-DK"/>
        </w:rPr>
        <w:t xml:space="preserve"> mulighed for at </w:t>
      </w:r>
      <w:r>
        <w:rPr>
          <w:rFonts w:ascii="Times New Roman" w:eastAsia="Times New Roman" w:hAnsi="Times New Roman" w:cs="Times New Roman"/>
          <w:iCs/>
          <w:sz w:val="24"/>
          <w:szCs w:val="24"/>
          <w:lang w:eastAsia="da-DK"/>
        </w:rPr>
        <w:t>fratage advokaten en eller flere sager og lade en anden af klienten godkendt advo</w:t>
      </w:r>
      <w:r w:rsidR="00755D38">
        <w:rPr>
          <w:rFonts w:ascii="Times New Roman" w:eastAsia="Times New Roman" w:hAnsi="Times New Roman" w:cs="Times New Roman"/>
          <w:iCs/>
          <w:sz w:val="24"/>
          <w:szCs w:val="24"/>
          <w:lang w:eastAsia="da-DK"/>
        </w:rPr>
        <w:t>kat</w:t>
      </w:r>
      <w:r>
        <w:rPr>
          <w:rFonts w:ascii="Times New Roman" w:eastAsia="Times New Roman" w:hAnsi="Times New Roman" w:cs="Times New Roman"/>
          <w:iCs/>
          <w:sz w:val="24"/>
          <w:szCs w:val="24"/>
          <w:lang w:eastAsia="da-DK"/>
        </w:rPr>
        <w:t xml:space="preserve"> færdiggøre sagen eller sagerne. Dette vil efter omstændighederne indebære, at </w:t>
      </w:r>
      <w:r w:rsidRPr="00D253F0">
        <w:rPr>
          <w:rFonts w:ascii="Times New Roman" w:eastAsia="Times New Roman" w:hAnsi="Times New Roman" w:cs="Times New Roman"/>
          <w:iCs/>
          <w:sz w:val="24"/>
          <w:szCs w:val="24"/>
          <w:lang w:eastAsia="da-DK"/>
        </w:rPr>
        <w:t>advokaten foretage</w:t>
      </w:r>
      <w:r>
        <w:rPr>
          <w:rFonts w:ascii="Times New Roman" w:eastAsia="Times New Roman" w:hAnsi="Times New Roman" w:cs="Times New Roman"/>
          <w:iCs/>
          <w:sz w:val="24"/>
          <w:szCs w:val="24"/>
          <w:lang w:eastAsia="da-DK"/>
        </w:rPr>
        <w:t>r</w:t>
      </w:r>
      <w:r w:rsidRPr="00D253F0">
        <w:rPr>
          <w:rFonts w:ascii="Times New Roman" w:eastAsia="Times New Roman" w:hAnsi="Times New Roman" w:cs="Times New Roman"/>
          <w:iCs/>
          <w:sz w:val="24"/>
          <w:szCs w:val="24"/>
          <w:lang w:eastAsia="da-DK"/>
        </w:rPr>
        <w:t xml:space="preserve"> afhændelser af sager, dvs. frasælge en del af sin forretning. Der vil i forbindelse med afgørelser efter den foreslåede ordning skulle lægges særlig vægt på hensynet til klientens frie advokatvalg.  </w:t>
      </w:r>
    </w:p>
    <w:p w14:paraId="5E73929A" w14:textId="6B4C546A"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12CC0653"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omfatter aktuelle sager, herunder forretninger og igangværende transaktioner, ligesom en afgørelse efter den foreslåede bestemmelse vil indebære, at advokaten opsiger aktuelle klient- eller kundeforhold af en nærmere angiven karakter.</w:t>
      </w:r>
    </w:p>
    <w:p w14:paraId="381B529A"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0B3CBD7C" w14:textId="19A58C4F"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I tilfælde, hvor påbuddet angår en advokats omfattet af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_Ref232609304 \r \h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stk. 1-3, </w:t>
      </w:r>
      <w:r w:rsidR="00105D16" w:rsidRPr="00796736">
        <w:rPr>
          <w:rFonts w:ascii="Times New Roman" w:eastAsia="Times New Roman" w:hAnsi="Times New Roman" w:cs="Times New Roman"/>
          <w:iCs/>
          <w:sz w:val="24"/>
          <w:szCs w:val="24"/>
          <w:lang w:eastAsia="da-DK"/>
        </w:rPr>
        <w:t xml:space="preserve">som indgår i en advokatvirksomhed med flere ansatte, og påbuddet udelukkende er udløst af den en enkelt advokat eller dennes autoriserede fuldmægtig, vil Advokatrådet </w:t>
      </w:r>
      <w:r w:rsidR="00105D16">
        <w:rPr>
          <w:rFonts w:ascii="Times New Roman" w:eastAsia="Times New Roman" w:hAnsi="Times New Roman" w:cs="Times New Roman"/>
          <w:iCs/>
          <w:sz w:val="24"/>
          <w:szCs w:val="24"/>
          <w:lang w:eastAsia="da-DK"/>
        </w:rPr>
        <w:t xml:space="preserve">vil </w:t>
      </w:r>
      <w:r w:rsidR="00105D16" w:rsidRPr="00796736">
        <w:rPr>
          <w:rFonts w:ascii="Times New Roman" w:eastAsia="Times New Roman" w:hAnsi="Times New Roman" w:cs="Times New Roman"/>
          <w:iCs/>
          <w:sz w:val="24"/>
          <w:szCs w:val="24"/>
          <w:lang w:eastAsia="da-DK"/>
        </w:rPr>
        <w:t>efter omstændighederne kunne udforme</w:t>
      </w:r>
      <w:r w:rsidR="00105D16">
        <w:rPr>
          <w:rFonts w:ascii="Times New Roman" w:eastAsia="Times New Roman" w:hAnsi="Times New Roman" w:cs="Times New Roman"/>
          <w:iCs/>
          <w:sz w:val="24"/>
          <w:szCs w:val="24"/>
          <w:lang w:eastAsia="da-DK"/>
        </w:rPr>
        <w:t xml:space="preserve"> sin indstilling</w:t>
      </w:r>
      <w:r w:rsidR="00105D16" w:rsidRPr="00796736">
        <w:rPr>
          <w:rFonts w:ascii="Times New Roman" w:eastAsia="Times New Roman" w:hAnsi="Times New Roman" w:cs="Times New Roman"/>
          <w:iCs/>
          <w:sz w:val="24"/>
          <w:szCs w:val="24"/>
          <w:lang w:eastAsia="da-DK"/>
        </w:rPr>
        <w:t xml:space="preserve"> således, </w:t>
      </w:r>
      <w:r w:rsidR="00105D16">
        <w:rPr>
          <w:rFonts w:ascii="Times New Roman" w:eastAsia="Times New Roman" w:hAnsi="Times New Roman" w:cs="Times New Roman"/>
          <w:iCs/>
          <w:sz w:val="24"/>
          <w:szCs w:val="24"/>
          <w:lang w:eastAsia="da-DK"/>
        </w:rPr>
        <w:t xml:space="preserve">at det indstilles, </w:t>
      </w:r>
      <w:r w:rsidR="00105D16" w:rsidRPr="00796736">
        <w:rPr>
          <w:rFonts w:ascii="Times New Roman" w:eastAsia="Times New Roman" w:hAnsi="Times New Roman" w:cs="Times New Roman"/>
          <w:iCs/>
          <w:sz w:val="24"/>
          <w:szCs w:val="24"/>
          <w:lang w:eastAsia="da-DK"/>
        </w:rPr>
        <w:t>at aktuelle sagerne overføres til en anden advokat inden for samme advokatvirksomhed. En sådan overførsel vil forudsætte, at hensynet bag påbuddet fortsat vil kunne varetages. Hvis dette ikke kan lade sig gøre, vil et påbud efter den foreslåede bestemmelse efter omstændighederne indebære, at sagen vil skulle overgå til en helt ny advokat.</w:t>
      </w:r>
    </w:p>
    <w:p w14:paraId="343DE1DD"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450EAE61" w14:textId="6896C995" w:rsidR="00306122" w:rsidRPr="00796736" w:rsidRDefault="0047672F"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Der vil skulle være tale om sager af en nærmere angiven karakter. Det vil for at være omfattet af bestemmelsen være et krav, at der materielt er tale om en sagstype, som omfattes af hvidvaskreguleringen. Advokatrådet</w:t>
      </w:r>
      <w:r>
        <w:rPr>
          <w:rFonts w:ascii="Times New Roman" w:eastAsia="Times New Roman" w:hAnsi="Times New Roman" w:cs="Times New Roman"/>
          <w:iCs/>
          <w:sz w:val="24"/>
          <w:szCs w:val="24"/>
          <w:lang w:eastAsia="da-DK"/>
        </w:rPr>
        <w:t xml:space="preserve"> vil skulle begrunde sin indstilling, og Advokatnævnet sin afgørelse</w:t>
      </w:r>
      <w:r w:rsidRPr="00796736">
        <w:rPr>
          <w:rFonts w:ascii="Times New Roman" w:eastAsia="Times New Roman" w:hAnsi="Times New Roman" w:cs="Times New Roman"/>
          <w:iCs/>
          <w:sz w:val="24"/>
          <w:szCs w:val="24"/>
          <w:lang w:eastAsia="da-DK"/>
        </w:rPr>
        <w:t xml:space="preserve"> under henvisning til, at en given sag eller flere sager vil skulle fratages på grund af en konstateret overtrædelse, en sandsynlighed herfor eller risikoeksponering</w:t>
      </w:r>
      <w:r w:rsidR="00306122" w:rsidRPr="00796736">
        <w:rPr>
          <w:rFonts w:ascii="Times New Roman" w:eastAsia="Times New Roman" w:hAnsi="Times New Roman" w:cs="Times New Roman"/>
          <w:iCs/>
          <w:sz w:val="24"/>
          <w:szCs w:val="24"/>
          <w:lang w:eastAsia="da-DK"/>
        </w:rPr>
        <w:t xml:space="preserve">, jf. </w:t>
      </w:r>
      <w:r w:rsidR="00306122" w:rsidRPr="00796736">
        <w:rPr>
          <w:rFonts w:ascii="Times New Roman" w:eastAsia="Times New Roman" w:hAnsi="Times New Roman" w:cs="Times New Roman"/>
          <w:iCs/>
          <w:sz w:val="24"/>
          <w:szCs w:val="24"/>
          <w:lang w:eastAsia="da-DK"/>
        </w:rPr>
        <w:fldChar w:fldCharType="begin"/>
      </w:r>
      <w:r w:rsidR="00306122" w:rsidRPr="00796736">
        <w:rPr>
          <w:rFonts w:ascii="Times New Roman" w:eastAsia="Times New Roman" w:hAnsi="Times New Roman" w:cs="Times New Roman"/>
          <w:iCs/>
          <w:sz w:val="24"/>
          <w:szCs w:val="24"/>
          <w:lang w:eastAsia="da-DK"/>
        </w:rPr>
        <w:instrText xml:space="preserve"> REF _Ref232609304 \r \h  \* MERGEFORMAT </w:instrText>
      </w:r>
      <w:r w:rsidR="00306122" w:rsidRPr="00796736">
        <w:rPr>
          <w:rFonts w:ascii="Times New Roman" w:eastAsia="Times New Roman" w:hAnsi="Times New Roman" w:cs="Times New Roman"/>
          <w:iCs/>
          <w:sz w:val="24"/>
          <w:szCs w:val="24"/>
          <w:lang w:eastAsia="da-DK"/>
        </w:rPr>
      </w:r>
      <w:r w:rsidR="00306122"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00306122" w:rsidRPr="00796736">
        <w:rPr>
          <w:rFonts w:ascii="Times New Roman" w:eastAsia="Times New Roman" w:hAnsi="Times New Roman" w:cs="Times New Roman"/>
          <w:iCs/>
          <w:sz w:val="24"/>
          <w:szCs w:val="24"/>
          <w:lang w:eastAsia="da-DK"/>
        </w:rPr>
        <w:fldChar w:fldCharType="end"/>
      </w:r>
      <w:r w:rsidR="00306122" w:rsidRPr="00796736">
        <w:rPr>
          <w:rFonts w:ascii="Times New Roman" w:eastAsia="Times New Roman" w:hAnsi="Times New Roman" w:cs="Times New Roman"/>
          <w:iCs/>
          <w:sz w:val="24"/>
          <w:szCs w:val="24"/>
          <w:lang w:eastAsia="da-DK"/>
        </w:rPr>
        <w:t>, stk. 1, nr. 1-3. Det bemærkes, at ved konstateringen af alvorlige, gentagne eller systematiske overtrædelser vil Advokatrådet have videre rammer til som led i sit tilsynsfaglige skøn at vurdere, hvilke sager, som rådet indstiller skal omfattes af påbuddet.</w:t>
      </w:r>
    </w:p>
    <w:p w14:paraId="5F44A9EF"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683828D6" w14:textId="1D46E285"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Der vil ved afgørelser efter den foreslåede bestemmelse tillige ske et indgreb i den eller de klienter, hvis aktuelle kontraktforhold med advokaten berøres af afgørelsen om fratagelse, herunder klientens ret til frit advokatvalg. I tillæg hertil er der en række hensyn at tage til klienten, såsom hensynet til fortrolighed, interessekonflikter, procesfrister og en forsvarlig afslutning eller overdragelse af den pågældende sag. Ved Advokatrådets overvejelser om indstilling og Advokatnævnets afgørelse efter den foreslåede bestemmelse vil der derfor skulle foretages en samlet hensynsafvejning, hvor der på den ene side lægges vægt på omfanget og alvorligheden af den konstaterede overtrædelse mv. efter den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_Ref232609304 \r \h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stk. 1, nr. 1-3, og på den anden side lægges vægt på hensynet til den eller de berørte klienters interesser. Det forudsættes, at der i tilfælde, hvor en afgørelse efter den foreslåede bestemmelse vil indebære væsentlige negative konsekvenser for den berørte klients interesser, vil skulle være tale om ganske kvalificerede og grove overtrædelser af centrale pligter på hvidvaskområdet.   </w:t>
      </w:r>
    </w:p>
    <w:p w14:paraId="4D8392FA"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4BAA569D" w14:textId="4699CC5A"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w:t>
      </w:r>
      <w:r w:rsidR="0047672F" w:rsidRPr="0047672F">
        <w:rPr>
          <w:rFonts w:ascii="Times New Roman" w:hAnsi="Times New Roman" w:cs="Times New Roman"/>
          <w:i/>
          <w:iCs/>
          <w:sz w:val="24"/>
          <w:szCs w:val="24"/>
        </w:rPr>
        <w:fldChar w:fldCharType="begin"/>
      </w:r>
      <w:r w:rsidR="0047672F" w:rsidRPr="0047672F">
        <w:rPr>
          <w:rFonts w:ascii="Times New Roman" w:eastAsia="Times New Roman" w:hAnsi="Times New Roman" w:cs="Times New Roman"/>
          <w:i/>
          <w:iCs/>
          <w:sz w:val="24"/>
          <w:szCs w:val="24"/>
          <w:lang w:eastAsia="da-DK"/>
        </w:rPr>
        <w:instrText xml:space="preserve"> REF _Ref244787574 \n \h </w:instrText>
      </w:r>
      <w:r w:rsidR="0047672F" w:rsidRPr="0047672F">
        <w:rPr>
          <w:rFonts w:ascii="Times New Roman" w:hAnsi="Times New Roman" w:cs="Times New Roman"/>
          <w:i/>
          <w:iCs/>
          <w:sz w:val="24"/>
          <w:szCs w:val="24"/>
        </w:rPr>
        <w:instrText xml:space="preserve"> \* MERGEFORMAT </w:instrText>
      </w:r>
      <w:r w:rsidR="0047672F" w:rsidRPr="0047672F">
        <w:rPr>
          <w:rFonts w:ascii="Times New Roman" w:hAnsi="Times New Roman" w:cs="Times New Roman"/>
          <w:i/>
          <w:iCs/>
          <w:sz w:val="24"/>
          <w:szCs w:val="24"/>
        </w:rPr>
      </w:r>
      <w:r w:rsidR="0047672F" w:rsidRPr="0047672F">
        <w:rPr>
          <w:rFonts w:ascii="Times New Roman" w:hAnsi="Times New Roman" w:cs="Times New Roman"/>
          <w:i/>
          <w:iCs/>
          <w:sz w:val="24"/>
          <w:szCs w:val="24"/>
        </w:rPr>
        <w:fldChar w:fldCharType="separate"/>
      </w:r>
      <w:r w:rsidR="008F29E5">
        <w:rPr>
          <w:rFonts w:ascii="Times New Roman" w:eastAsia="Times New Roman" w:hAnsi="Times New Roman" w:cs="Times New Roman"/>
          <w:i/>
          <w:iCs/>
          <w:sz w:val="24"/>
          <w:szCs w:val="24"/>
          <w:lang w:eastAsia="da-DK"/>
        </w:rPr>
        <w:t>§ 103</w:t>
      </w:r>
      <w:r w:rsidR="0047672F" w:rsidRPr="0047672F">
        <w:rPr>
          <w:rFonts w:ascii="Times New Roman" w:hAnsi="Times New Roman" w:cs="Times New Roman"/>
          <w:i/>
          <w:iCs/>
          <w:sz w:val="24"/>
          <w:szCs w:val="24"/>
        </w:rPr>
        <w:fldChar w:fldCharType="end"/>
      </w:r>
      <w:r w:rsidRPr="0047672F">
        <w:rPr>
          <w:rFonts w:ascii="Times New Roman" w:eastAsia="Times New Roman" w:hAnsi="Times New Roman" w:cs="Times New Roman"/>
          <w:i/>
          <w:iCs/>
          <w:sz w:val="24"/>
          <w:szCs w:val="24"/>
          <w:lang w:eastAsia="da-DK"/>
        </w:rPr>
        <w:t>, stk</w:t>
      </w:r>
      <w:r w:rsidRPr="00796736">
        <w:rPr>
          <w:rFonts w:ascii="Times New Roman" w:eastAsia="Times New Roman" w:hAnsi="Times New Roman" w:cs="Times New Roman"/>
          <w:i/>
          <w:sz w:val="24"/>
          <w:szCs w:val="24"/>
          <w:lang w:eastAsia="da-DK"/>
        </w:rPr>
        <w:t xml:space="preserve">. 1, nr. 2, </w:t>
      </w:r>
      <w:r w:rsidRPr="00796736">
        <w:rPr>
          <w:rFonts w:ascii="Times New Roman" w:eastAsia="Times New Roman" w:hAnsi="Times New Roman" w:cs="Times New Roman"/>
          <w:iCs/>
          <w:sz w:val="24"/>
          <w:szCs w:val="24"/>
          <w:lang w:eastAsia="da-DK"/>
        </w:rPr>
        <w:t xml:space="preserve">at Advokatnævnet efter indstilling fra Advokatrådet i de tilfælde, der er nævnt i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_Ref232609304 \r \h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stk. 1, </w:t>
      </w:r>
      <w:r w:rsidR="00361B87">
        <w:rPr>
          <w:rFonts w:ascii="Times New Roman" w:eastAsia="Times New Roman" w:hAnsi="Times New Roman" w:cs="Times New Roman"/>
          <w:iCs/>
          <w:sz w:val="24"/>
          <w:szCs w:val="24"/>
          <w:lang w:eastAsia="da-DK"/>
        </w:rPr>
        <w:t>kan</w:t>
      </w:r>
      <w:r w:rsidR="00361B87" w:rsidRPr="00D253F0">
        <w:rPr>
          <w:rFonts w:ascii="Times New Roman" w:eastAsia="Times New Roman" w:hAnsi="Times New Roman" w:cs="Times New Roman"/>
          <w:iCs/>
          <w:sz w:val="24"/>
          <w:szCs w:val="24"/>
          <w:lang w:eastAsia="da-DK"/>
        </w:rPr>
        <w:t xml:space="preserve"> frakende advokaten retten til at udføre forretninger, herunder gennemføre transaktioner og optage bestemte klientforhold, eller sager af nærmere angivet karakter.</w:t>
      </w:r>
    </w:p>
    <w:p w14:paraId="170D071B"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7FCE335C" w14:textId="77777777" w:rsidR="00361B87" w:rsidRPr="00D253F0" w:rsidRDefault="00361B87"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Den foreslåede bestemmelse vil indebære, at Advokatnævnet efter indstilling fra rådet kan t</w:t>
      </w:r>
      <w:r>
        <w:rPr>
          <w:rFonts w:ascii="Times New Roman" w:eastAsia="Times New Roman" w:hAnsi="Times New Roman" w:cs="Times New Roman"/>
          <w:iCs/>
          <w:sz w:val="24"/>
          <w:szCs w:val="24"/>
          <w:lang w:eastAsia="da-DK"/>
        </w:rPr>
        <w:t>ræffe afgørelse om, at</w:t>
      </w:r>
      <w:r w:rsidRPr="00D253F0">
        <w:rPr>
          <w:rFonts w:ascii="Times New Roman" w:eastAsia="Times New Roman" w:hAnsi="Times New Roman" w:cs="Times New Roman"/>
          <w:iCs/>
          <w:sz w:val="24"/>
          <w:szCs w:val="24"/>
          <w:lang w:eastAsia="da-DK"/>
        </w:rPr>
        <w:t xml:space="preserve"> advokater ikke må udføre sager, forretninger, herunder gennemføre transaktioner eller optage bestemte klientforhold, af en nærmere angivet karakter. Bestemmelsen vil både finde anvendelse for såvel igangværende sager og forretninger, ligesom bestemmelsen vil give mulighed for, at Advokatnævnet kan meddele advokaten et påbud om, at vedkommende i en nærmere angivet periode ikke må udføre sager eller forretninger. Ved igangværende sager vil afgørelsen skulle kombineres med en afgørelse om fratagelse efter det foreslåede nr. 1</w:t>
      </w:r>
      <w:r>
        <w:rPr>
          <w:rFonts w:ascii="Times New Roman" w:eastAsia="Times New Roman" w:hAnsi="Times New Roman" w:cs="Times New Roman"/>
          <w:iCs/>
          <w:sz w:val="24"/>
          <w:szCs w:val="24"/>
          <w:lang w:eastAsia="da-DK"/>
        </w:rPr>
        <w:t>.</w:t>
      </w:r>
    </w:p>
    <w:p w14:paraId="07F9F19E"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1AB6F49F" w14:textId="0D12A994" w:rsidR="00607F0F" w:rsidRPr="00796736" w:rsidRDefault="00607F0F"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I tilfælde, hvor påbuddet angår en advokat omfattet af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_Ref232609304 \r \h </w:instrText>
      </w:r>
      <w:r w:rsidR="002C5834"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stk. 1-3, </w:t>
      </w:r>
      <w:r w:rsidR="001E0F09" w:rsidRPr="00796736">
        <w:rPr>
          <w:rFonts w:ascii="Times New Roman" w:eastAsia="Times New Roman" w:hAnsi="Times New Roman" w:cs="Times New Roman"/>
          <w:iCs/>
          <w:sz w:val="24"/>
          <w:szCs w:val="24"/>
          <w:lang w:eastAsia="da-DK"/>
        </w:rPr>
        <w:t xml:space="preserve">som indgår i en advokatvirksomhed med flere ansatte, og påbuddet udelukkende er udløst af den en enkelt advokat eller dennes autoriserede fuldmægtig, vil Advokatrådet efter omstændighederne kunne udforme </w:t>
      </w:r>
      <w:r w:rsidR="001E0F09">
        <w:rPr>
          <w:rFonts w:ascii="Times New Roman" w:eastAsia="Times New Roman" w:hAnsi="Times New Roman" w:cs="Times New Roman"/>
          <w:iCs/>
          <w:sz w:val="24"/>
          <w:szCs w:val="24"/>
          <w:lang w:eastAsia="da-DK"/>
        </w:rPr>
        <w:t>sin indstilling</w:t>
      </w:r>
      <w:r w:rsidR="001E0F09" w:rsidRPr="00796736">
        <w:rPr>
          <w:rFonts w:ascii="Times New Roman" w:eastAsia="Times New Roman" w:hAnsi="Times New Roman" w:cs="Times New Roman"/>
          <w:iCs/>
          <w:sz w:val="24"/>
          <w:szCs w:val="24"/>
          <w:lang w:eastAsia="da-DK"/>
        </w:rPr>
        <w:t xml:space="preserve"> således, at typen af sager eller forretninger alene frakendes den pågældende advokat og at sagstypen eller forretningen således bliver inden for advokatvirksomheden. Dette forudsætter, at hensynet bag påbuddet fortsat vil kunne varetages. Hvis dette ikke kan lade sig gøre, vil et påbud efter den foreslåede bestemmelse efter omstændighederne skulle ledsages af et påbud efter den foreslåede nr. 1, om afhændelse af sager, herunder opsigelse af klientforhold.</w:t>
      </w:r>
    </w:p>
    <w:p w14:paraId="77D33068"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7BF4EBE8" w14:textId="487928D4" w:rsidR="00607F0F"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Fælles for tilfældene er, at der skal være tale om sager eller forretninger af en nærmere angiven karakter. Det vil for at være omfattet af bestemmelsen være et krav, at der materielt er tale om en sags- eller forretningstype, herunder et klientforhold, som omfattes af hvidvaskreguleringen. Advokatrådet og -nævnet vil således skulle begrunde afgørelsen under henvisning til, at en given sagstype f.eks. ikke må udføres på grund af en konstateret overtrædelse, en sandsynlighed herfor eller risikoeksponering, jf</w:t>
      </w:r>
      <w:r w:rsidR="00607F0F" w:rsidRPr="00796736">
        <w:rPr>
          <w:rFonts w:ascii="Times New Roman" w:eastAsia="Times New Roman" w:hAnsi="Times New Roman" w:cs="Times New Roman"/>
          <w:iCs/>
          <w:sz w:val="24"/>
          <w:szCs w:val="24"/>
          <w:lang w:eastAsia="da-DK"/>
        </w:rPr>
        <w:t xml:space="preserve">. </w:t>
      </w:r>
      <w:r w:rsidR="00607F0F" w:rsidRPr="00796736">
        <w:rPr>
          <w:rFonts w:ascii="Times New Roman" w:eastAsia="Times New Roman" w:hAnsi="Times New Roman" w:cs="Times New Roman"/>
          <w:iCs/>
          <w:sz w:val="24"/>
          <w:szCs w:val="24"/>
          <w:lang w:eastAsia="da-DK"/>
        </w:rPr>
        <w:fldChar w:fldCharType="begin"/>
      </w:r>
      <w:r w:rsidR="00607F0F" w:rsidRPr="00796736">
        <w:rPr>
          <w:rFonts w:ascii="Times New Roman" w:eastAsia="Times New Roman" w:hAnsi="Times New Roman" w:cs="Times New Roman"/>
          <w:iCs/>
          <w:sz w:val="24"/>
          <w:szCs w:val="24"/>
          <w:lang w:eastAsia="da-DK"/>
        </w:rPr>
        <w:instrText xml:space="preserve"> REF _Ref232609304 \r \h </w:instrText>
      </w:r>
      <w:r w:rsidR="002C5834" w:rsidRPr="00796736">
        <w:rPr>
          <w:rFonts w:ascii="Times New Roman" w:eastAsia="Times New Roman" w:hAnsi="Times New Roman" w:cs="Times New Roman"/>
          <w:iCs/>
          <w:sz w:val="24"/>
          <w:szCs w:val="24"/>
          <w:lang w:eastAsia="da-DK"/>
        </w:rPr>
        <w:instrText xml:space="preserve"> \* MERGEFORMAT </w:instrText>
      </w:r>
      <w:r w:rsidR="00607F0F" w:rsidRPr="00796736">
        <w:rPr>
          <w:rFonts w:ascii="Times New Roman" w:eastAsia="Times New Roman" w:hAnsi="Times New Roman" w:cs="Times New Roman"/>
          <w:iCs/>
          <w:sz w:val="24"/>
          <w:szCs w:val="24"/>
          <w:lang w:eastAsia="da-DK"/>
        </w:rPr>
      </w:r>
      <w:r w:rsidR="00607F0F"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00607F0F" w:rsidRPr="00796736">
        <w:rPr>
          <w:rFonts w:ascii="Times New Roman" w:eastAsia="Times New Roman" w:hAnsi="Times New Roman" w:cs="Times New Roman"/>
          <w:iCs/>
          <w:sz w:val="24"/>
          <w:szCs w:val="24"/>
          <w:lang w:eastAsia="da-DK"/>
        </w:rPr>
        <w:fldChar w:fldCharType="end"/>
      </w:r>
      <w:r w:rsidR="00607F0F" w:rsidRPr="00796736">
        <w:rPr>
          <w:rFonts w:ascii="Times New Roman" w:eastAsia="Times New Roman" w:hAnsi="Times New Roman" w:cs="Times New Roman"/>
          <w:iCs/>
          <w:sz w:val="24"/>
          <w:szCs w:val="24"/>
          <w:lang w:eastAsia="da-DK"/>
        </w:rPr>
        <w:t xml:space="preserve">, stk. 1, nr. 1-3. </w:t>
      </w:r>
      <w:r w:rsidRPr="00796736">
        <w:rPr>
          <w:rFonts w:ascii="Times New Roman" w:eastAsia="Times New Roman" w:hAnsi="Times New Roman" w:cs="Times New Roman"/>
          <w:iCs/>
          <w:sz w:val="24"/>
          <w:szCs w:val="24"/>
          <w:lang w:eastAsia="da-DK"/>
        </w:rPr>
        <w:t xml:space="preserve">Det bemærkes, at ved konstateringen af alvorlige, gentagne eller systematiske overtrædelser vil Advokatrådet have videre rammer til som led i sit tilsynsfaglige skøn at vurdere, hvilke sager eller forretninger, som rådet indstiller skal omfattes af påbuddet. </w:t>
      </w:r>
    </w:p>
    <w:p w14:paraId="7E0B134C"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09F039BB" w14:textId="4D11DF20" w:rsidR="00607F0F"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bemærkes i den forbindelse, at et påbud efter den foreslåede bestemmelse vil være underlagt et krav om nødvendighed og proportionalitet. Dette indebærer, at Advokatrådet forinden der skrides til at indbringe sagen for Advokatnævnet efter den foreslåede bestemmelse som udgangspunkt vil skulle have forsøgt sig med mindre indgribende foranstaltninger, ligesom det forudsættes, at et påbud efter den foreslåede bestemmelse i almindelighed kun vil være relevant ved egentlige overtrædelser af en vis beskaffenhed, </w:t>
      </w:r>
      <w:r w:rsidR="00607F0F" w:rsidRPr="00796736">
        <w:rPr>
          <w:rFonts w:ascii="Times New Roman" w:eastAsia="Times New Roman" w:hAnsi="Times New Roman" w:cs="Times New Roman"/>
          <w:iCs/>
          <w:sz w:val="24"/>
          <w:szCs w:val="24"/>
          <w:lang w:eastAsia="da-DK"/>
        </w:rPr>
        <w:t xml:space="preserve">jf. det foreslåede </w:t>
      </w:r>
      <w:r w:rsidR="00607F0F" w:rsidRPr="00796736">
        <w:rPr>
          <w:rFonts w:ascii="Times New Roman" w:eastAsia="Times New Roman" w:hAnsi="Times New Roman" w:cs="Times New Roman"/>
          <w:iCs/>
          <w:sz w:val="24"/>
          <w:szCs w:val="24"/>
          <w:lang w:eastAsia="da-DK"/>
        </w:rPr>
        <w:fldChar w:fldCharType="begin"/>
      </w:r>
      <w:r w:rsidR="00607F0F" w:rsidRPr="00796736">
        <w:rPr>
          <w:rFonts w:ascii="Times New Roman" w:eastAsia="Times New Roman" w:hAnsi="Times New Roman" w:cs="Times New Roman"/>
          <w:iCs/>
          <w:sz w:val="24"/>
          <w:szCs w:val="24"/>
          <w:lang w:eastAsia="da-DK"/>
        </w:rPr>
        <w:instrText xml:space="preserve"> REF _Ref232609304 \r \h </w:instrText>
      </w:r>
      <w:r w:rsidR="002C5834" w:rsidRPr="00796736">
        <w:rPr>
          <w:rFonts w:ascii="Times New Roman" w:eastAsia="Times New Roman" w:hAnsi="Times New Roman" w:cs="Times New Roman"/>
          <w:iCs/>
          <w:sz w:val="24"/>
          <w:szCs w:val="24"/>
          <w:lang w:eastAsia="da-DK"/>
        </w:rPr>
        <w:instrText xml:space="preserve"> \* MERGEFORMAT </w:instrText>
      </w:r>
      <w:r w:rsidR="00607F0F" w:rsidRPr="00796736">
        <w:rPr>
          <w:rFonts w:ascii="Times New Roman" w:eastAsia="Times New Roman" w:hAnsi="Times New Roman" w:cs="Times New Roman"/>
          <w:iCs/>
          <w:sz w:val="24"/>
          <w:szCs w:val="24"/>
          <w:lang w:eastAsia="da-DK"/>
        </w:rPr>
      </w:r>
      <w:r w:rsidR="00607F0F"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00607F0F" w:rsidRPr="00796736">
        <w:rPr>
          <w:rFonts w:ascii="Times New Roman" w:eastAsia="Times New Roman" w:hAnsi="Times New Roman" w:cs="Times New Roman"/>
          <w:iCs/>
          <w:sz w:val="24"/>
          <w:szCs w:val="24"/>
          <w:lang w:eastAsia="da-DK"/>
        </w:rPr>
        <w:fldChar w:fldCharType="end"/>
      </w:r>
      <w:r w:rsidR="00607F0F" w:rsidRPr="00796736">
        <w:rPr>
          <w:rFonts w:ascii="Times New Roman" w:eastAsia="Times New Roman" w:hAnsi="Times New Roman" w:cs="Times New Roman"/>
          <w:iCs/>
          <w:sz w:val="24"/>
          <w:szCs w:val="24"/>
          <w:lang w:eastAsia="da-DK"/>
        </w:rPr>
        <w:t>, stk. 1, nr. 1. I det omfang det i henhold til den relevante forretningsaktivitet eller transaktion er muligt, vil frakendelser i medfør af bestemmelsen kunne være både betinget og ubetinget.</w:t>
      </w:r>
    </w:p>
    <w:p w14:paraId="5BA12290"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47C21C76" w14:textId="77777777" w:rsidR="00361B87" w:rsidRPr="00D253F0" w:rsidRDefault="00361B87"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Det foreslås i </w:t>
      </w:r>
      <w:r w:rsidRPr="00D253F0">
        <w:rPr>
          <w:rFonts w:ascii="Times New Roman" w:eastAsia="Times New Roman" w:hAnsi="Times New Roman" w:cs="Times New Roman"/>
          <w:i/>
          <w:sz w:val="24"/>
          <w:szCs w:val="24"/>
          <w:lang w:eastAsia="da-DK"/>
        </w:rPr>
        <w:t>stk. 2,</w:t>
      </w:r>
      <w:r w:rsidRPr="00D253F0">
        <w:rPr>
          <w:rFonts w:ascii="Times New Roman" w:eastAsia="Times New Roman" w:hAnsi="Times New Roman" w:cs="Times New Roman"/>
          <w:iCs/>
          <w:sz w:val="24"/>
          <w:szCs w:val="24"/>
          <w:lang w:eastAsia="da-DK"/>
        </w:rPr>
        <w:t xml:space="preserve"> at </w:t>
      </w:r>
      <w:r>
        <w:rPr>
          <w:rFonts w:ascii="Times New Roman" w:eastAsia="Times New Roman" w:hAnsi="Times New Roman" w:cs="Times New Roman"/>
          <w:iCs/>
          <w:sz w:val="24"/>
          <w:szCs w:val="24"/>
          <w:lang w:eastAsia="da-DK"/>
        </w:rPr>
        <w:t>frakendelse</w:t>
      </w:r>
      <w:r w:rsidRPr="00D253F0">
        <w:rPr>
          <w:rFonts w:ascii="Times New Roman" w:eastAsia="Times New Roman" w:hAnsi="Times New Roman" w:cs="Times New Roman"/>
          <w:iCs/>
          <w:sz w:val="24"/>
          <w:szCs w:val="24"/>
          <w:lang w:eastAsia="da-DK"/>
        </w:rPr>
        <w:t xml:space="preserve"> efter stk. 1</w:t>
      </w:r>
      <w:r>
        <w:rPr>
          <w:rFonts w:ascii="Times New Roman" w:eastAsia="Times New Roman" w:hAnsi="Times New Roman" w:cs="Times New Roman"/>
          <w:iCs/>
          <w:sz w:val="24"/>
          <w:szCs w:val="24"/>
          <w:lang w:eastAsia="da-DK"/>
        </w:rPr>
        <w:t>, nr. 2</w:t>
      </w:r>
      <w:r w:rsidRPr="00D253F0">
        <w:rPr>
          <w:rFonts w:ascii="Times New Roman" w:eastAsia="Times New Roman" w:hAnsi="Times New Roman" w:cs="Times New Roman"/>
          <w:iCs/>
          <w:sz w:val="24"/>
          <w:szCs w:val="24"/>
          <w:lang w:eastAsia="da-DK"/>
        </w:rPr>
        <w:t xml:space="preserve"> kan </w:t>
      </w:r>
      <w:r>
        <w:rPr>
          <w:rFonts w:ascii="Times New Roman" w:eastAsia="Times New Roman" w:hAnsi="Times New Roman" w:cs="Times New Roman"/>
          <w:iCs/>
          <w:sz w:val="24"/>
          <w:szCs w:val="24"/>
          <w:lang w:eastAsia="da-DK"/>
        </w:rPr>
        <w:t>ske</w:t>
      </w:r>
      <w:r w:rsidRPr="00D253F0">
        <w:rPr>
          <w:rFonts w:ascii="Times New Roman" w:eastAsia="Times New Roman" w:hAnsi="Times New Roman" w:cs="Times New Roman"/>
          <w:iCs/>
          <w:sz w:val="24"/>
          <w:szCs w:val="24"/>
          <w:lang w:eastAsia="da-DK"/>
        </w:rPr>
        <w:t xml:space="preserve"> i et tidsrum fra 6 måneder til 5 år eller indtil videre. </w:t>
      </w:r>
    </w:p>
    <w:p w14:paraId="7CCABB99" w14:textId="77777777" w:rsidR="00361B87" w:rsidRPr="00D253F0" w:rsidRDefault="00361B87" w:rsidP="00A802A5">
      <w:pPr>
        <w:spacing w:line="360" w:lineRule="auto"/>
        <w:rPr>
          <w:rFonts w:ascii="Times New Roman" w:eastAsia="Times New Roman" w:hAnsi="Times New Roman" w:cs="Times New Roman"/>
          <w:iCs/>
          <w:sz w:val="24"/>
          <w:szCs w:val="24"/>
          <w:lang w:eastAsia="da-DK"/>
        </w:rPr>
      </w:pPr>
    </w:p>
    <w:p w14:paraId="088BC988" w14:textId="5B1AB84A" w:rsidR="00361B87" w:rsidRPr="00D253F0" w:rsidRDefault="00361B87" w:rsidP="00A802A5">
      <w:pPr>
        <w:spacing w:line="360" w:lineRule="auto"/>
        <w:rPr>
          <w:rFonts w:ascii="Times New Roman" w:eastAsia="Times New Roman" w:hAnsi="Times New Roman" w:cs="Times New Roman"/>
          <w:iCs/>
          <w:sz w:val="24"/>
          <w:szCs w:val="24"/>
          <w:lang w:eastAsia="da-DK"/>
        </w:rPr>
      </w:pPr>
      <w:r w:rsidRPr="00D253F0">
        <w:rPr>
          <w:rFonts w:ascii="Times New Roman" w:eastAsia="Times New Roman" w:hAnsi="Times New Roman" w:cs="Times New Roman"/>
          <w:iCs/>
          <w:sz w:val="24"/>
          <w:szCs w:val="24"/>
          <w:lang w:eastAsia="da-DK"/>
        </w:rPr>
        <w:t xml:space="preserve">Den foreslåede bestemmelse vil indebære, at </w:t>
      </w:r>
      <w:r>
        <w:rPr>
          <w:rFonts w:ascii="Times New Roman" w:eastAsia="Times New Roman" w:hAnsi="Times New Roman" w:cs="Times New Roman"/>
          <w:iCs/>
          <w:sz w:val="24"/>
          <w:szCs w:val="24"/>
          <w:lang w:eastAsia="da-DK"/>
        </w:rPr>
        <w:t>Advokatnævnet</w:t>
      </w:r>
      <w:r w:rsidRPr="00D253F0">
        <w:rPr>
          <w:rFonts w:ascii="Times New Roman" w:eastAsia="Times New Roman" w:hAnsi="Times New Roman" w:cs="Times New Roman"/>
          <w:iCs/>
          <w:sz w:val="24"/>
          <w:szCs w:val="24"/>
          <w:lang w:eastAsia="da-DK"/>
        </w:rPr>
        <w:t xml:space="preserve"> vil skulle tage stilling til nødvendigheden af </w:t>
      </w:r>
      <w:r>
        <w:rPr>
          <w:rFonts w:ascii="Times New Roman" w:eastAsia="Times New Roman" w:hAnsi="Times New Roman" w:cs="Times New Roman"/>
          <w:iCs/>
          <w:sz w:val="24"/>
          <w:szCs w:val="24"/>
          <w:lang w:eastAsia="da-DK"/>
        </w:rPr>
        <w:t>foranstaltningens</w:t>
      </w:r>
      <w:r w:rsidRPr="00D253F0">
        <w:rPr>
          <w:rFonts w:ascii="Times New Roman" w:eastAsia="Times New Roman" w:hAnsi="Times New Roman" w:cs="Times New Roman"/>
          <w:iCs/>
          <w:sz w:val="24"/>
          <w:szCs w:val="24"/>
          <w:lang w:eastAsia="da-DK"/>
        </w:rPr>
        <w:t xml:space="preserve"> tidsmæssige udstrækning. Det bemærkes, at </w:t>
      </w:r>
      <w:r>
        <w:rPr>
          <w:rFonts w:ascii="Times New Roman" w:eastAsia="Times New Roman" w:hAnsi="Times New Roman" w:cs="Times New Roman"/>
          <w:iCs/>
          <w:sz w:val="24"/>
          <w:szCs w:val="24"/>
          <w:lang w:eastAsia="da-DK"/>
        </w:rPr>
        <w:t>nævnet</w:t>
      </w:r>
      <w:r w:rsidRPr="00D253F0">
        <w:rPr>
          <w:rFonts w:ascii="Times New Roman" w:eastAsia="Times New Roman" w:hAnsi="Times New Roman" w:cs="Times New Roman"/>
          <w:iCs/>
          <w:sz w:val="24"/>
          <w:szCs w:val="24"/>
          <w:lang w:eastAsia="da-DK"/>
        </w:rPr>
        <w:t xml:space="preserve"> i medfør af den foreslåede bestemmelse vil kunne </w:t>
      </w:r>
      <w:r>
        <w:rPr>
          <w:rFonts w:ascii="Times New Roman" w:eastAsia="Times New Roman" w:hAnsi="Times New Roman" w:cs="Times New Roman"/>
          <w:iCs/>
          <w:sz w:val="24"/>
          <w:szCs w:val="24"/>
          <w:lang w:eastAsia="da-DK"/>
        </w:rPr>
        <w:t>iværksætte en foranstaltning</w:t>
      </w:r>
      <w:r w:rsidRPr="00D253F0">
        <w:rPr>
          <w:rFonts w:ascii="Times New Roman" w:eastAsia="Times New Roman" w:hAnsi="Times New Roman" w:cs="Times New Roman"/>
          <w:iCs/>
          <w:sz w:val="24"/>
          <w:szCs w:val="24"/>
          <w:lang w:eastAsia="da-DK"/>
        </w:rPr>
        <w:t xml:space="preserve"> med forskellige elementer og vilkår, som hver især vil kunne forsynes med</w:t>
      </w:r>
      <w:r w:rsidR="00FF4620">
        <w:rPr>
          <w:rFonts w:ascii="Times New Roman" w:eastAsia="Times New Roman" w:hAnsi="Times New Roman" w:cs="Times New Roman"/>
          <w:iCs/>
          <w:sz w:val="24"/>
          <w:szCs w:val="24"/>
          <w:lang w:eastAsia="da-DK"/>
        </w:rPr>
        <w:t xml:space="preserve"> individuelle</w:t>
      </w:r>
      <w:r w:rsidRPr="00D253F0">
        <w:rPr>
          <w:rFonts w:ascii="Times New Roman" w:eastAsia="Times New Roman" w:hAnsi="Times New Roman" w:cs="Times New Roman"/>
          <w:iCs/>
          <w:sz w:val="24"/>
          <w:szCs w:val="24"/>
          <w:lang w:eastAsia="da-DK"/>
        </w:rPr>
        <w:t xml:space="preserve"> gyldighedsperioder. </w:t>
      </w:r>
    </w:p>
    <w:p w14:paraId="52A771F7"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689CB5A7" w14:textId="246BB202" w:rsidR="00607F0F" w:rsidRPr="00796736" w:rsidRDefault="00607F0F" w:rsidP="00A802A5">
      <w:pPr>
        <w:pStyle w:val="Undertitel"/>
      </w:pPr>
      <w:bookmarkStart w:id="2167" w:name="_Toc244879400"/>
      <w:bookmarkStart w:id="2168" w:name="_Toc244880925"/>
      <w:r w:rsidRPr="00796736">
        <w:t>Til</w:t>
      </w:r>
      <w:r w:rsidR="005424F4" w:rsidRPr="00796736">
        <w:t xml:space="preserve"> </w:t>
      </w:r>
      <w:r w:rsidR="00306122" w:rsidRPr="00796736">
        <w:fldChar w:fldCharType="begin"/>
      </w:r>
      <w:r w:rsidR="00306122" w:rsidRPr="00796736">
        <w:instrText xml:space="preserve"> REF _Ref242808596 \r \h </w:instrText>
      </w:r>
      <w:r w:rsidR="00AB17CC" w:rsidRPr="00796736">
        <w:instrText xml:space="preserve"> \* MERGEFORMAT </w:instrText>
      </w:r>
      <w:r w:rsidR="00306122" w:rsidRPr="00796736">
        <w:fldChar w:fldCharType="separate"/>
      </w:r>
      <w:r w:rsidR="008F29E5">
        <w:t>§ 104</w:t>
      </w:r>
      <w:bookmarkEnd w:id="2167"/>
      <w:bookmarkEnd w:id="2168"/>
      <w:r w:rsidR="00306122" w:rsidRPr="00796736">
        <w:fldChar w:fldCharType="end"/>
      </w:r>
    </w:p>
    <w:p w14:paraId="337A7289" w14:textId="77777777"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følger af retsplejelovens § 147 c, stk. 8, at har en advokat gjort sig skyldig i grov eller oftere gentagen overtrædelse af sine pligter som advokat, de udviste forhold giver grund til at antage, at den pågældende ikke for fremtiden vil udøve advokatvirksomhed på forsvarlig måde, kan Advokatnævnet bl.a. frakende advokaten retten til at udøve advokatvirksomhed. Frakendelsen kan ske i et tidsrum fra 6 måneder til 5 år eller indtil videre. </w:t>
      </w:r>
    </w:p>
    <w:p w14:paraId="7B88B4FA" w14:textId="77777777"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br/>
        <w:t xml:space="preserve">Det følger af § 147 c, stk. 9, at Advokatnævnet under tilsvarende omstændigheder kan træffe afgørelse om, at en person, der er nævnt i § 124 c, stk. 1, nr. 2, og som ejer aktier eller anparter i et advokatselskab, kan frakendes retten til at eje aktier eller anparter i et advokatselskab. </w:t>
      </w:r>
    </w:p>
    <w:p w14:paraId="4693D866" w14:textId="77777777" w:rsidR="00306122" w:rsidRPr="00796736" w:rsidRDefault="00306122" w:rsidP="00A802A5">
      <w:pPr>
        <w:spacing w:line="360" w:lineRule="auto"/>
        <w:rPr>
          <w:rFonts w:ascii="Times New Roman" w:hAnsi="Times New Roman" w:cs="Times New Roman"/>
          <w:sz w:val="24"/>
          <w:szCs w:val="24"/>
          <w:lang w:eastAsia="da-DK"/>
        </w:rPr>
      </w:pPr>
    </w:p>
    <w:p w14:paraId="30E1AB61" w14:textId="2D70096B"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foreslås i</w:t>
      </w:r>
      <w:r w:rsidRPr="00796736">
        <w:rPr>
          <w:rFonts w:ascii="Times New Roman" w:hAnsi="Times New Roman" w:cs="Times New Roman"/>
          <w:i/>
          <w:iCs/>
          <w:sz w:val="24"/>
          <w:szCs w:val="24"/>
          <w:lang w:eastAsia="da-DK"/>
        </w:rPr>
        <w:t xml:space="preserve"> </w:t>
      </w:r>
      <w:r w:rsidRPr="00796736">
        <w:rPr>
          <w:rFonts w:ascii="Times New Roman" w:hAnsi="Times New Roman" w:cs="Times New Roman"/>
          <w:i/>
          <w:iCs/>
          <w:sz w:val="24"/>
          <w:szCs w:val="24"/>
          <w:lang w:eastAsia="da-DK"/>
        </w:rPr>
        <w:fldChar w:fldCharType="begin"/>
      </w:r>
      <w:r w:rsidRPr="00796736">
        <w:rPr>
          <w:rFonts w:ascii="Times New Roman" w:hAnsi="Times New Roman" w:cs="Times New Roman"/>
          <w:i/>
          <w:iCs/>
          <w:sz w:val="24"/>
          <w:szCs w:val="24"/>
          <w:lang w:eastAsia="da-DK"/>
        </w:rPr>
        <w:instrText xml:space="preserve"> REF _Ref242808596 \r \h </w:instrText>
      </w:r>
      <w:r w:rsidR="00AB17CC" w:rsidRPr="00796736">
        <w:rPr>
          <w:rFonts w:ascii="Times New Roman" w:hAnsi="Times New Roman" w:cs="Times New Roman"/>
          <w:i/>
          <w:iCs/>
          <w:sz w:val="24"/>
          <w:szCs w:val="24"/>
          <w:lang w:eastAsia="da-DK"/>
        </w:rPr>
        <w:instrText xml:space="preserve"> \* MERGEFORMAT </w:instrText>
      </w:r>
      <w:r w:rsidRPr="00796736">
        <w:rPr>
          <w:rFonts w:ascii="Times New Roman" w:hAnsi="Times New Roman" w:cs="Times New Roman"/>
          <w:i/>
          <w:iCs/>
          <w:sz w:val="24"/>
          <w:szCs w:val="24"/>
          <w:lang w:eastAsia="da-DK"/>
        </w:rPr>
      </w:r>
      <w:r w:rsidRPr="00796736">
        <w:rPr>
          <w:rFonts w:ascii="Times New Roman" w:hAnsi="Times New Roman" w:cs="Times New Roman"/>
          <w:i/>
          <w:iCs/>
          <w:sz w:val="24"/>
          <w:szCs w:val="24"/>
          <w:lang w:eastAsia="da-DK"/>
        </w:rPr>
        <w:fldChar w:fldCharType="separate"/>
      </w:r>
      <w:r w:rsidR="008F29E5">
        <w:rPr>
          <w:rFonts w:ascii="Times New Roman" w:hAnsi="Times New Roman" w:cs="Times New Roman"/>
          <w:i/>
          <w:iCs/>
          <w:sz w:val="24"/>
          <w:szCs w:val="24"/>
          <w:lang w:eastAsia="da-DK"/>
        </w:rPr>
        <w:t>§ 104</w:t>
      </w:r>
      <w:r w:rsidRPr="00796736">
        <w:rPr>
          <w:rFonts w:ascii="Times New Roman" w:hAnsi="Times New Roman" w:cs="Times New Roman"/>
          <w:i/>
          <w:iCs/>
          <w:sz w:val="24"/>
          <w:szCs w:val="24"/>
          <w:lang w:eastAsia="da-DK"/>
        </w:rPr>
        <w:fldChar w:fldCharType="end"/>
      </w:r>
      <w:r w:rsidRPr="00796736">
        <w:rPr>
          <w:rFonts w:ascii="Times New Roman" w:hAnsi="Times New Roman" w:cs="Times New Roman"/>
          <w:i/>
          <w:iCs/>
          <w:sz w:val="24"/>
          <w:szCs w:val="24"/>
          <w:lang w:eastAsia="da-DK"/>
        </w:rPr>
        <w:t xml:space="preserve">, </w:t>
      </w:r>
      <w:r w:rsidRPr="00796736">
        <w:rPr>
          <w:rFonts w:ascii="Times New Roman" w:hAnsi="Times New Roman" w:cs="Times New Roman"/>
          <w:sz w:val="24"/>
          <w:szCs w:val="24"/>
          <w:lang w:eastAsia="da-DK"/>
        </w:rPr>
        <w:t xml:space="preserve">at Advokatnævnet efter indstilling fra Advokatrådet i de tilfælde, der er nævnt i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_Ref242893180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w:t>
      </w:r>
      <w:r w:rsidR="00FF4620">
        <w:rPr>
          <w:rFonts w:ascii="Times New Roman" w:hAnsi="Times New Roman" w:cs="Times New Roman"/>
          <w:sz w:val="24"/>
          <w:szCs w:val="24"/>
          <w:lang w:eastAsia="da-DK"/>
        </w:rPr>
        <w:t xml:space="preserve">kan </w:t>
      </w:r>
      <w:r w:rsidRPr="00796736">
        <w:rPr>
          <w:rFonts w:ascii="Times New Roman" w:hAnsi="Times New Roman" w:cs="Times New Roman"/>
          <w:sz w:val="24"/>
          <w:szCs w:val="24"/>
          <w:lang w:eastAsia="da-DK"/>
        </w:rPr>
        <w:t>frakende advokate</w:t>
      </w:r>
      <w:r w:rsidR="00361B87">
        <w:rPr>
          <w:rFonts w:ascii="Times New Roman" w:hAnsi="Times New Roman" w:cs="Times New Roman"/>
          <w:sz w:val="24"/>
          <w:szCs w:val="24"/>
          <w:lang w:eastAsia="da-DK"/>
        </w:rPr>
        <w:t>n</w:t>
      </w:r>
      <w:r w:rsidRPr="00796736">
        <w:rPr>
          <w:rFonts w:ascii="Times New Roman" w:hAnsi="Times New Roman" w:cs="Times New Roman"/>
          <w:sz w:val="24"/>
          <w:szCs w:val="24"/>
          <w:lang w:eastAsia="da-DK"/>
        </w:rPr>
        <w:t xml:space="preserve"> retten til at udøve advokatvirksomhed. Frakendelsen kan ske i et tidsrum fra 6 måneder til 5 år eller indtil videre. </w:t>
      </w:r>
    </w:p>
    <w:p w14:paraId="5C787869" w14:textId="77777777" w:rsidR="00306122" w:rsidRPr="00796736" w:rsidRDefault="00306122" w:rsidP="00A802A5">
      <w:pPr>
        <w:spacing w:line="360" w:lineRule="auto"/>
        <w:rPr>
          <w:rFonts w:ascii="Times New Roman" w:hAnsi="Times New Roman" w:cs="Times New Roman"/>
          <w:sz w:val="24"/>
          <w:szCs w:val="24"/>
          <w:lang w:eastAsia="da-DK"/>
        </w:rPr>
      </w:pPr>
    </w:p>
    <w:p w14:paraId="14B03BA0" w14:textId="58DF8203"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giver mulighed for, at Advokatrådet kan indbringe en sag for Advokatnævnet med indstilling om, at nævnet skal frakende advokaten retten til at udøve advokatvirksomhed. </w:t>
      </w:r>
      <w:r w:rsidR="00361B87" w:rsidRPr="00D253F0">
        <w:rPr>
          <w:rFonts w:ascii="Times New Roman" w:hAnsi="Times New Roman" w:cs="Times New Roman"/>
          <w:sz w:val="24"/>
          <w:szCs w:val="24"/>
          <w:lang w:eastAsia="da-DK"/>
        </w:rPr>
        <w:t xml:space="preserve">Den foreslåede frakendelseskompetence vil alene knytte sig til </w:t>
      </w:r>
      <w:r w:rsidR="00FF4620">
        <w:rPr>
          <w:rFonts w:ascii="Times New Roman" w:hAnsi="Times New Roman" w:cs="Times New Roman"/>
          <w:sz w:val="24"/>
          <w:szCs w:val="24"/>
          <w:lang w:eastAsia="da-DK"/>
        </w:rPr>
        <w:t>tilfældene</w:t>
      </w:r>
      <w:r w:rsidR="00361B87" w:rsidRPr="00D253F0">
        <w:rPr>
          <w:rFonts w:ascii="Times New Roman" w:hAnsi="Times New Roman" w:cs="Times New Roman"/>
          <w:sz w:val="24"/>
          <w:szCs w:val="24"/>
          <w:lang w:eastAsia="da-DK"/>
        </w:rPr>
        <w:t xml:space="preserve"> nævnt i</w:t>
      </w:r>
      <w:r w:rsidR="00361B87">
        <w:rPr>
          <w:rFonts w:ascii="Times New Roman" w:hAnsi="Times New Roman" w:cs="Times New Roman"/>
          <w:sz w:val="24"/>
          <w:szCs w:val="24"/>
          <w:lang w:eastAsia="da-DK"/>
        </w:rPr>
        <w:t xml:space="preserve"> </w:t>
      </w:r>
      <w:r w:rsidR="00361B87">
        <w:rPr>
          <w:rFonts w:ascii="Times New Roman" w:hAnsi="Times New Roman" w:cs="Times New Roman"/>
          <w:sz w:val="24"/>
          <w:szCs w:val="24"/>
          <w:lang w:eastAsia="da-DK"/>
        </w:rPr>
        <w:fldChar w:fldCharType="begin"/>
      </w:r>
      <w:r w:rsidR="00361B87">
        <w:rPr>
          <w:rFonts w:ascii="Times New Roman" w:hAnsi="Times New Roman" w:cs="Times New Roman"/>
          <w:sz w:val="24"/>
          <w:szCs w:val="24"/>
          <w:lang w:eastAsia="da-DK"/>
        </w:rPr>
        <w:instrText xml:space="preserve"> REF _Ref242893180 \r \h </w:instrText>
      </w:r>
      <w:r w:rsidR="00CB248D">
        <w:rPr>
          <w:rFonts w:ascii="Times New Roman" w:hAnsi="Times New Roman" w:cs="Times New Roman"/>
          <w:sz w:val="24"/>
          <w:szCs w:val="24"/>
          <w:lang w:eastAsia="da-DK"/>
        </w:rPr>
        <w:instrText xml:space="preserve"> \* MERGEFORMAT </w:instrText>
      </w:r>
      <w:r w:rsidR="00361B87">
        <w:rPr>
          <w:rFonts w:ascii="Times New Roman" w:hAnsi="Times New Roman" w:cs="Times New Roman"/>
          <w:sz w:val="24"/>
          <w:szCs w:val="24"/>
          <w:lang w:eastAsia="da-DK"/>
        </w:rPr>
      </w:r>
      <w:r w:rsidR="00361B87">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00361B87">
        <w:rPr>
          <w:rFonts w:ascii="Times New Roman" w:hAnsi="Times New Roman" w:cs="Times New Roman"/>
          <w:sz w:val="24"/>
          <w:szCs w:val="24"/>
          <w:lang w:eastAsia="da-DK"/>
        </w:rPr>
        <w:fldChar w:fldCharType="end"/>
      </w:r>
      <w:r w:rsidR="00361B87" w:rsidRPr="00D253F0">
        <w:rPr>
          <w:rFonts w:ascii="Times New Roman" w:hAnsi="Times New Roman" w:cs="Times New Roman"/>
          <w:sz w:val="24"/>
          <w:szCs w:val="24"/>
          <w:lang w:eastAsia="da-DK"/>
        </w:rPr>
        <w:t xml:space="preserve">, stk. 1, og vil således </w:t>
      </w:r>
      <w:r w:rsidR="00361B87">
        <w:rPr>
          <w:rFonts w:ascii="Times New Roman" w:hAnsi="Times New Roman" w:cs="Times New Roman"/>
          <w:sz w:val="24"/>
          <w:szCs w:val="24"/>
          <w:lang w:eastAsia="da-DK"/>
        </w:rPr>
        <w:t xml:space="preserve">principielt </w:t>
      </w:r>
      <w:r w:rsidR="00361B87" w:rsidRPr="00D253F0">
        <w:rPr>
          <w:rFonts w:ascii="Times New Roman" w:hAnsi="Times New Roman" w:cs="Times New Roman"/>
          <w:sz w:val="24"/>
          <w:szCs w:val="24"/>
          <w:lang w:eastAsia="da-DK"/>
        </w:rPr>
        <w:t>være relevant ved tilfælde af manglende overholdelse af risikovurderinger og politikker, manglende overholdelse af kundekendskabsprocedurer, manglende dokumentation for identitetskontrol og manglende kontrol af, om klienter er politisk eksponerede personer.</w:t>
      </w:r>
    </w:p>
    <w:p w14:paraId="47EC16AE" w14:textId="77777777" w:rsidR="00306122" w:rsidRPr="00796736" w:rsidRDefault="00306122" w:rsidP="00A802A5">
      <w:pPr>
        <w:spacing w:line="360" w:lineRule="auto"/>
        <w:rPr>
          <w:rFonts w:ascii="Times New Roman" w:hAnsi="Times New Roman" w:cs="Times New Roman"/>
          <w:sz w:val="24"/>
          <w:szCs w:val="24"/>
          <w:lang w:eastAsia="da-DK"/>
        </w:rPr>
      </w:pPr>
    </w:p>
    <w:p w14:paraId="472EFBD5" w14:textId="32BE135F"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Frakendelse af retten til at udøve advokatvirksomhed på grund af manglende overholdelse af hvidvaskreguleringen vil være den mest indgribende reaktion, der kan anvendes overfor en advokat. Det forudsættes, at bestemmelsen i almindelighed alene vil finde anvendelse ved egentlige overtrædelser af reglerne i hvidvaskforordningen, denne lov eller regler udstedt i medfør heraf, jf.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_Ref242893180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nr. 1, </w:t>
      </w:r>
      <w:r w:rsidR="00361B87" w:rsidRPr="00D253F0">
        <w:rPr>
          <w:rFonts w:ascii="Times New Roman" w:hAnsi="Times New Roman" w:cs="Times New Roman"/>
          <w:sz w:val="24"/>
          <w:szCs w:val="24"/>
          <w:lang w:eastAsia="da-DK"/>
        </w:rPr>
        <w:t xml:space="preserve">som er af en alvorlig, gentagen eller systematisk karakter. Advokatrådet og Advokatnævnet vil i den forbindelse skulle foretage en samlet vurdering af advokatens forhold. Der vil kunne lægges vægt på, om overtrædelsen mv. vedrører helt grundlæggende pligter i henhold til hvidvaskreglerne, om der er risiko for klientskadelig adfærd, om forholdet er systematisk eller har stået på over længere tid, om der er tale om grove eller gentagne tilsidesættelser, om advokaten tidligere er sanktioneret </w:t>
      </w:r>
      <w:r w:rsidR="00361B87">
        <w:rPr>
          <w:rFonts w:ascii="Times New Roman" w:hAnsi="Times New Roman" w:cs="Times New Roman"/>
          <w:sz w:val="24"/>
          <w:szCs w:val="24"/>
          <w:lang w:eastAsia="da-DK"/>
        </w:rPr>
        <w:t xml:space="preserve">for manglende efterlevelse af hvidvaskreguleringen </w:t>
      </w:r>
      <w:r w:rsidR="00361B87" w:rsidRPr="00D253F0">
        <w:rPr>
          <w:rFonts w:ascii="Times New Roman" w:hAnsi="Times New Roman" w:cs="Times New Roman"/>
          <w:sz w:val="24"/>
          <w:szCs w:val="24"/>
          <w:lang w:eastAsia="da-DK"/>
        </w:rPr>
        <w:t>og om advokaten gennem en længere periode har tilsidesat påbud eller tilsynsmæssige krav</w:t>
      </w:r>
      <w:r w:rsidR="00361B87">
        <w:rPr>
          <w:rFonts w:ascii="Times New Roman" w:hAnsi="Times New Roman" w:cs="Times New Roman"/>
          <w:sz w:val="24"/>
          <w:szCs w:val="24"/>
          <w:lang w:eastAsia="da-DK"/>
        </w:rPr>
        <w:t>. Efter en konkret vurdering vil også krav</w:t>
      </w:r>
      <w:r w:rsidR="00361B87" w:rsidRPr="00D253F0">
        <w:rPr>
          <w:rFonts w:ascii="Times New Roman" w:hAnsi="Times New Roman" w:cs="Times New Roman"/>
          <w:sz w:val="24"/>
          <w:szCs w:val="24"/>
          <w:lang w:eastAsia="da-DK"/>
        </w:rPr>
        <w:t>, der relaterer sig til overholdelsen af normen om god advokatskik</w:t>
      </w:r>
      <w:r w:rsidR="00361B87">
        <w:rPr>
          <w:rFonts w:ascii="Times New Roman" w:hAnsi="Times New Roman" w:cs="Times New Roman"/>
          <w:sz w:val="24"/>
          <w:szCs w:val="24"/>
          <w:lang w:eastAsia="da-DK"/>
        </w:rPr>
        <w:t>, kunne indgå i en sådan vurdering, hvis de efter Advokatrådets og Advokatnævnets vurdering har indflydelse på vurderingen efter hvidvaskreglerne</w:t>
      </w:r>
      <w:r w:rsidR="00361B87" w:rsidRPr="00D253F0">
        <w:rPr>
          <w:rFonts w:ascii="Times New Roman" w:hAnsi="Times New Roman" w:cs="Times New Roman"/>
          <w:sz w:val="24"/>
          <w:szCs w:val="24"/>
          <w:lang w:eastAsia="da-DK"/>
        </w:rPr>
        <w:t xml:space="preserve">. Det bemærkes endvidere, at </w:t>
      </w:r>
      <w:r w:rsidR="00361B87">
        <w:rPr>
          <w:rFonts w:ascii="Times New Roman" w:hAnsi="Times New Roman" w:cs="Times New Roman"/>
          <w:sz w:val="24"/>
          <w:szCs w:val="24"/>
          <w:lang w:eastAsia="da-DK"/>
        </w:rPr>
        <w:t>et</w:t>
      </w:r>
      <w:r w:rsidR="00361B87" w:rsidRPr="00D253F0">
        <w:rPr>
          <w:rFonts w:ascii="Times New Roman" w:hAnsi="Times New Roman" w:cs="Times New Roman"/>
          <w:sz w:val="24"/>
          <w:szCs w:val="24"/>
          <w:lang w:eastAsia="da-DK"/>
        </w:rPr>
        <w:t xml:space="preserve"> enkeltstående </w:t>
      </w:r>
      <w:r w:rsidR="00361B87">
        <w:rPr>
          <w:rFonts w:ascii="Times New Roman" w:hAnsi="Times New Roman" w:cs="Times New Roman"/>
          <w:sz w:val="24"/>
          <w:szCs w:val="24"/>
          <w:lang w:eastAsia="da-DK"/>
        </w:rPr>
        <w:t>tilfælde af manglende efterlevelse af hvidvaskreglerne efter proportionalitetsprincippet</w:t>
      </w:r>
      <w:r w:rsidR="00361B87" w:rsidRPr="00D253F0">
        <w:rPr>
          <w:rFonts w:ascii="Times New Roman" w:hAnsi="Times New Roman" w:cs="Times New Roman"/>
          <w:sz w:val="24"/>
          <w:szCs w:val="24"/>
          <w:lang w:eastAsia="da-DK"/>
        </w:rPr>
        <w:t xml:space="preserve"> i almindelighed kun vil kunne føre til frakendelse, hvis den efter karakter, grovhed og konkret risiko synes så alvorlig, at mindre indgribende foranstaltninger ikke vil kunne sikre fremtidig efterlevelse. </w:t>
      </w:r>
    </w:p>
    <w:p w14:paraId="1C37285A" w14:textId="77777777" w:rsidR="00306122" w:rsidRPr="00796736" w:rsidRDefault="00306122" w:rsidP="00A802A5">
      <w:pPr>
        <w:spacing w:line="360" w:lineRule="auto"/>
        <w:rPr>
          <w:rFonts w:ascii="Times New Roman" w:hAnsi="Times New Roman" w:cs="Times New Roman"/>
          <w:sz w:val="24"/>
          <w:szCs w:val="24"/>
          <w:lang w:eastAsia="da-DK"/>
        </w:rPr>
      </w:pPr>
    </w:p>
    <w:p w14:paraId="0B13C1EA" w14:textId="556B5566"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bemærkes, at frakendelse efter den foreslåede bestemmelse vil indebære, at mange af retsvirkningerne ved påbud efter den foreslåede</w:t>
      </w:r>
      <w:r w:rsidR="009C0D2D">
        <w:rPr>
          <w:rFonts w:ascii="Times New Roman" w:hAnsi="Times New Roman" w:cs="Times New Roman"/>
          <w:sz w:val="24"/>
          <w:szCs w:val="24"/>
          <w:lang w:eastAsia="da-DK"/>
        </w:rPr>
        <w:fldChar w:fldCharType="begin"/>
      </w:r>
      <w:r w:rsidR="009C0D2D">
        <w:rPr>
          <w:rFonts w:ascii="Times New Roman" w:hAnsi="Times New Roman" w:cs="Times New Roman"/>
          <w:sz w:val="24"/>
          <w:szCs w:val="24"/>
          <w:lang w:eastAsia="da-DK"/>
        </w:rPr>
        <w:instrText xml:space="preserve"> REF _Ref244787574 \r \h </w:instrText>
      </w:r>
      <w:r w:rsidR="009C0D2D">
        <w:rPr>
          <w:rFonts w:ascii="Times New Roman" w:hAnsi="Times New Roman" w:cs="Times New Roman"/>
          <w:sz w:val="24"/>
          <w:szCs w:val="24"/>
          <w:lang w:eastAsia="da-DK"/>
        </w:rPr>
      </w:r>
      <w:r w:rsidR="009C0D2D">
        <w:rPr>
          <w:rFonts w:ascii="Times New Roman" w:hAnsi="Times New Roman" w:cs="Times New Roman"/>
          <w:sz w:val="24"/>
          <w:szCs w:val="24"/>
          <w:lang w:eastAsia="da-DK"/>
        </w:rPr>
        <w:fldChar w:fldCharType="separate"/>
      </w:r>
      <w:r w:rsidR="009C0D2D">
        <w:rPr>
          <w:rFonts w:ascii="Times New Roman" w:hAnsi="Times New Roman" w:cs="Times New Roman"/>
          <w:sz w:val="24"/>
          <w:szCs w:val="24"/>
          <w:lang w:eastAsia="da-DK"/>
        </w:rPr>
        <w:t>§ 103</w:t>
      </w:r>
      <w:r w:rsidR="009C0D2D">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reelt vil indtræde som følge af frakendelsen, men frakendelsen vil også få betydning for de eventuelle dele af den pågældende advokats virksomhed, som ikke er omfattet af hvidvaskreguleringen. </w:t>
      </w:r>
    </w:p>
    <w:p w14:paraId="1002F0D9" w14:textId="77777777" w:rsidR="00306122" w:rsidRPr="00796736" w:rsidRDefault="00306122" w:rsidP="00A802A5">
      <w:pPr>
        <w:spacing w:line="360" w:lineRule="auto"/>
        <w:rPr>
          <w:rFonts w:ascii="Times New Roman" w:hAnsi="Times New Roman" w:cs="Times New Roman"/>
          <w:sz w:val="24"/>
          <w:szCs w:val="24"/>
          <w:lang w:eastAsia="da-DK"/>
        </w:rPr>
      </w:pPr>
    </w:p>
    <w:p w14:paraId="5BDE6935" w14:textId="7CB0A6DF"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forudsættes derfor, at der</w:t>
      </w:r>
      <w:r w:rsidR="009D11EC">
        <w:rPr>
          <w:rFonts w:ascii="Times New Roman" w:hAnsi="Times New Roman" w:cs="Times New Roman"/>
          <w:sz w:val="24"/>
          <w:szCs w:val="24"/>
          <w:lang w:eastAsia="da-DK"/>
        </w:rPr>
        <w:t xml:space="preserve"> efter proportionalitetsprincippet</w:t>
      </w:r>
      <w:r w:rsidRPr="00796736">
        <w:rPr>
          <w:rFonts w:ascii="Times New Roman" w:hAnsi="Times New Roman" w:cs="Times New Roman"/>
          <w:sz w:val="24"/>
          <w:szCs w:val="24"/>
          <w:lang w:eastAsia="da-DK"/>
        </w:rPr>
        <w:t xml:space="preserve"> i almindelighed kun vil kunne ske frakendelse efter den foreslåede bestemmelse, hvis overtrædelsen mv. har en sådan karakter, at den pågældende advokats fortsatte advokatvirke – uanset om det angår sagsområder omfattet af hvidvaskreguleringen – frembyder en sådan risiko, at en frakendelse vurderes at være den eneste udvej. Som ved afgørelser efter den foreslåede </w:t>
      </w:r>
      <w:r w:rsidR="00DD17CE">
        <w:rPr>
          <w:rFonts w:ascii="Times New Roman" w:hAnsi="Times New Roman" w:cs="Times New Roman"/>
          <w:sz w:val="24"/>
          <w:szCs w:val="24"/>
          <w:lang w:eastAsia="da-DK"/>
        </w:rPr>
        <w:fldChar w:fldCharType="begin"/>
      </w:r>
      <w:r w:rsidR="00DD17CE">
        <w:rPr>
          <w:rFonts w:ascii="Times New Roman" w:hAnsi="Times New Roman" w:cs="Times New Roman"/>
          <w:sz w:val="24"/>
          <w:szCs w:val="24"/>
          <w:lang w:eastAsia="da-DK"/>
        </w:rPr>
        <w:instrText xml:space="preserve"> REF _Ref244787574 \n \h </w:instrText>
      </w:r>
      <w:r w:rsidR="00DD17CE">
        <w:rPr>
          <w:rFonts w:ascii="Times New Roman" w:hAnsi="Times New Roman" w:cs="Times New Roman"/>
          <w:sz w:val="24"/>
          <w:szCs w:val="24"/>
          <w:lang w:eastAsia="da-DK"/>
        </w:rPr>
      </w:r>
      <w:r w:rsidR="00DD17CE">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103</w:t>
      </w:r>
      <w:r w:rsidR="00DD17CE">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1, skal der i frakendelsessager vedrørende advokater med igangværende sager lægges særlig vægt på hensynet til de pågældende advokaters klienter, herunder hensynet til frit advokatvalg, fortrolighed, interessekonflikter, procesfrister og en forsvarlig afslutning eller overdragelse af sagen. Klienten bør ikke stilles ringere som følge af en administrativ foranstaltning rettet mod advokaten</w:t>
      </w:r>
      <w:r w:rsidR="00DD17CE">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t xml:space="preserve"> </w:t>
      </w:r>
    </w:p>
    <w:p w14:paraId="7E76EED1"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344C27B9" w14:textId="08CC9379" w:rsidR="00607F0F"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For sammenhængen mellem Advokatnævnets behandling af en sag om frakendelse efter hvidvaskreglerne alene og Advokatnævnets øvrige sager om frakendelse på grund af den manglende overholdelse af de regler, der gælder for advokathvervet henvises til den foreslåede </w:t>
      </w:r>
      <w:r w:rsidRPr="00796736">
        <w:rPr>
          <w:rFonts w:ascii="Times New Roman" w:hAnsi="Times New Roman" w:cs="Times New Roman"/>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_Ref242893180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eastAsia="Times New Roman" w:hAnsi="Times New Roman" w:cs="Times New Roman"/>
          <w:iCs/>
          <w:sz w:val="24"/>
          <w:szCs w:val="24"/>
          <w:lang w:eastAsia="da-DK"/>
        </w:rPr>
        <w:t>§ 101</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3 og bemærkningerne dertil.</w:t>
      </w:r>
    </w:p>
    <w:p w14:paraId="40D8A0B8" w14:textId="77777777" w:rsidR="00607F0F" w:rsidRPr="00796736" w:rsidRDefault="00607F0F" w:rsidP="00A802A5">
      <w:pPr>
        <w:spacing w:line="360" w:lineRule="auto"/>
        <w:rPr>
          <w:rFonts w:ascii="Times New Roman" w:eastAsia="Times New Roman" w:hAnsi="Times New Roman" w:cs="Times New Roman"/>
          <w:iCs/>
          <w:sz w:val="24"/>
          <w:szCs w:val="24"/>
          <w:lang w:eastAsia="da-DK"/>
        </w:rPr>
      </w:pPr>
    </w:p>
    <w:p w14:paraId="682F9FC9" w14:textId="29798474" w:rsidR="00607F0F" w:rsidRPr="00796736" w:rsidRDefault="00607F0F" w:rsidP="00A802A5">
      <w:pPr>
        <w:pStyle w:val="Undertitel"/>
      </w:pPr>
      <w:bookmarkStart w:id="2169" w:name="_Toc244879401"/>
      <w:bookmarkStart w:id="2170" w:name="_Toc244880926"/>
      <w:r w:rsidRPr="00796736">
        <w:t xml:space="preserve">Til </w:t>
      </w:r>
      <w:r w:rsidRPr="00796736">
        <w:fldChar w:fldCharType="begin"/>
      </w:r>
      <w:r w:rsidRPr="00796736">
        <w:instrText xml:space="preserve"> REF _Ref236998239 \r \h </w:instrText>
      </w:r>
      <w:r w:rsidR="002C5834" w:rsidRPr="00796736">
        <w:instrText xml:space="preserve"> \* MERGEFORMAT </w:instrText>
      </w:r>
      <w:r w:rsidRPr="00796736">
        <w:fldChar w:fldCharType="separate"/>
      </w:r>
      <w:r w:rsidR="008F29E5">
        <w:t>§ 105</w:t>
      </w:r>
      <w:bookmarkEnd w:id="2169"/>
      <w:bookmarkEnd w:id="2170"/>
      <w:r w:rsidRPr="00796736">
        <w:fldChar w:fldCharType="end"/>
      </w:r>
      <w:r w:rsidR="005424F4" w:rsidRPr="00796736">
        <w:t xml:space="preserve"> </w:t>
      </w:r>
    </w:p>
    <w:p w14:paraId="59B8F9E1" w14:textId="77777777"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Efter retsplejelovens § 147 c, stk. 8, 1. pkt., kan Advokatnævnet træffe afgørelse om, at en advokat bl.a. frakendes retten til at udøve advokatvirksomhed. Efter retsplejelovens § 147 c, stk. 9, 1. pkt., kan Advokatnævnet endvidere træffe afgørelse om, at én af de personer, der er nævnt i lovens § 124 c, stk. 1, nr. 2, og som ejer aktier eller anparter i et advokatselskab, frakendes retten til at eje aktier eller anparter i et advokatselskab. Det er en betingelse efter begge bestemmelser, at den pågældende har gjort sig skyldig i grov eller oftere gentagen overtrædelse af henholdsvis sine pligter som advokat og de regler, som regulerer advokathvervet.</w:t>
      </w:r>
    </w:p>
    <w:p w14:paraId="2856FF92" w14:textId="77777777" w:rsidR="00306122" w:rsidRPr="00796736" w:rsidRDefault="00306122" w:rsidP="00A802A5">
      <w:pPr>
        <w:spacing w:line="360" w:lineRule="auto"/>
        <w:rPr>
          <w:rFonts w:ascii="Times New Roman" w:hAnsi="Times New Roman" w:cs="Times New Roman"/>
          <w:sz w:val="24"/>
          <w:szCs w:val="24"/>
          <w:lang w:eastAsia="da-DK"/>
        </w:rPr>
      </w:pPr>
    </w:p>
    <w:p w14:paraId="2C973B90" w14:textId="49904422"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foreslås i</w:t>
      </w:r>
      <w:r w:rsidRPr="00796736">
        <w:rPr>
          <w:rFonts w:ascii="Times New Roman" w:eastAsia="Times New Roman" w:hAnsi="Times New Roman" w:cs="Times New Roman"/>
          <w:i/>
          <w:iCs/>
          <w:sz w:val="24"/>
          <w:szCs w:val="24"/>
          <w:lang w:eastAsia="da-DK"/>
        </w:rPr>
        <w:t xml:space="preserve"> </w:t>
      </w:r>
      <w:r w:rsidRPr="00796736">
        <w:rPr>
          <w:rFonts w:ascii="Times New Roman" w:hAnsi="Times New Roman" w:cs="Times New Roman"/>
          <w:i/>
          <w:iCs/>
          <w:sz w:val="24"/>
          <w:szCs w:val="24"/>
        </w:rPr>
        <w:fldChar w:fldCharType="begin"/>
      </w:r>
      <w:r w:rsidRPr="00796736">
        <w:rPr>
          <w:rFonts w:ascii="Times New Roman" w:eastAsia="Times New Roman" w:hAnsi="Times New Roman" w:cs="Times New Roman"/>
          <w:i/>
          <w:iCs/>
          <w:sz w:val="24"/>
          <w:szCs w:val="24"/>
          <w:lang w:eastAsia="da-DK"/>
        </w:rPr>
        <w:instrText xml:space="preserve"> REF _Ref236998239 \r \h </w:instrText>
      </w:r>
      <w:r w:rsidR="00AB17CC" w:rsidRPr="00796736">
        <w:rPr>
          <w:rFonts w:ascii="Times New Roman" w:hAnsi="Times New Roman" w:cs="Times New Roman"/>
          <w:i/>
          <w:iCs/>
          <w:sz w:val="24"/>
          <w:szCs w:val="24"/>
        </w:rPr>
        <w:instrText xml:space="preserve">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eastAsia="Times New Roman" w:hAnsi="Times New Roman" w:cs="Times New Roman"/>
          <w:i/>
          <w:iCs/>
          <w:sz w:val="24"/>
          <w:szCs w:val="24"/>
          <w:lang w:eastAsia="da-DK"/>
        </w:rPr>
        <w:t>§ 105</w:t>
      </w:r>
      <w:r w:rsidRPr="00796736">
        <w:rPr>
          <w:rFonts w:ascii="Times New Roman" w:hAnsi="Times New Roman" w:cs="Times New Roman"/>
          <w:i/>
          <w:iCs/>
          <w:sz w:val="24"/>
          <w:szCs w:val="24"/>
        </w:rPr>
        <w:fldChar w:fldCharType="end"/>
      </w:r>
      <w:r w:rsidRPr="00796736">
        <w:rPr>
          <w:rFonts w:ascii="Times New Roman" w:eastAsia="Times New Roman" w:hAnsi="Times New Roman" w:cs="Times New Roman"/>
          <w:i/>
          <w:sz w:val="24"/>
          <w:szCs w:val="24"/>
          <w:lang w:eastAsia="da-DK"/>
        </w:rPr>
        <w:t xml:space="preserve">, stk. 1, </w:t>
      </w:r>
      <w:r w:rsidRPr="00796736">
        <w:rPr>
          <w:rFonts w:ascii="Times New Roman" w:eastAsia="Times New Roman" w:hAnsi="Times New Roman" w:cs="Times New Roman"/>
          <w:iCs/>
          <w:sz w:val="24"/>
          <w:szCs w:val="24"/>
          <w:lang w:eastAsia="da-DK"/>
        </w:rPr>
        <w:t xml:space="preserve">at Advokatnævnet </w:t>
      </w:r>
      <w:r w:rsidRPr="00796736">
        <w:rPr>
          <w:rFonts w:ascii="Times New Roman" w:hAnsi="Times New Roman" w:cs="Times New Roman"/>
          <w:sz w:val="24"/>
          <w:szCs w:val="24"/>
          <w:lang w:eastAsia="da-DK"/>
        </w:rPr>
        <w:t xml:space="preserve">efter indstilling fra Advokatrådet i de tilfælde, der er nævnt i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_Ref242893180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kan påbyde et fællesskab af advokater eller et advokatselskab  at foretage ændringer i ledelsesstrukturen, herunder ved overtrædelser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_Ref242893180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1, nr. 1, et forbud mod, at visse personer varetager ledelsesfunktioner.</w:t>
      </w:r>
    </w:p>
    <w:p w14:paraId="40D4CDA4"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3EE1ED9C"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Den foreslåede bestemmelse indebærer, at Advokatnævnet vil have mulighed for efter indstilling fra Advokatrådet at træffe afgørelse om at påbyde advokater at foretage ændringer i ledelsesstrukturen. </w:t>
      </w:r>
      <w:r w:rsidRPr="00796736">
        <w:rPr>
          <w:rFonts w:ascii="Times New Roman" w:hAnsi="Times New Roman" w:cs="Times New Roman"/>
          <w:sz w:val="24"/>
          <w:szCs w:val="24"/>
        </w:rPr>
        <w:t xml:space="preserve">Afgørelser efter den foreslåede bestemmelse vil skulle rette sig mod personer i ledelsesstrukturen, hvilket navnlig vil sige personer i den øverste ledelse af virksomheden, jf. definitionen i hvidvaskforordningens artikel 2, stk. 2, nr. 40. </w:t>
      </w:r>
      <w:r w:rsidRPr="00796736">
        <w:rPr>
          <w:rFonts w:ascii="Times New Roman" w:eastAsia="Times New Roman" w:hAnsi="Times New Roman" w:cs="Times New Roman"/>
          <w:iCs/>
          <w:sz w:val="24"/>
          <w:szCs w:val="24"/>
          <w:lang w:eastAsia="da-DK"/>
        </w:rPr>
        <w:t>Med ændringer i ledelsesstrukturen sigtes f.eks. til</w:t>
      </w:r>
      <w:r w:rsidRPr="00796736">
        <w:rPr>
          <w:rFonts w:ascii="Times New Roman" w:hAnsi="Times New Roman" w:cs="Times New Roman"/>
          <w:sz w:val="24"/>
          <w:szCs w:val="24"/>
        </w:rPr>
        <w:t xml:space="preserve"> ændringer af sammensætningen i ledelsesorganerne, dvs. det eller de organer hos advokaten, der har beføjelse til at fastlægge strategi, mål og overordnet kurs eller ændringer i sammensætningen af de medarbejdere og ansatte, som uden at være en del af ledelsesorganet i dets ledelsesfunktion har tilstrækkeligt kendskab til advokatens risikoeksponering for hvidvask og terrorfinansiering og tilstrækkelig anciennitet til at træffe beslutninger med indvirkning på advokatens risikoeksponering. </w:t>
      </w:r>
    </w:p>
    <w:p w14:paraId="7C655C20" w14:textId="77777777" w:rsidR="00306122" w:rsidRPr="00796736" w:rsidRDefault="00306122" w:rsidP="00A802A5">
      <w:pPr>
        <w:spacing w:line="360" w:lineRule="auto"/>
        <w:rPr>
          <w:rFonts w:ascii="Times New Roman" w:hAnsi="Times New Roman" w:cs="Times New Roman"/>
          <w:sz w:val="24"/>
          <w:szCs w:val="24"/>
        </w:rPr>
      </w:pPr>
    </w:p>
    <w:p w14:paraId="578C2B63" w14:textId="1A40C003"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også give mulighed for, at der træffes afgørelse om forbud mod, at personer med ledelsesansvar i en virksomhed eller andre fysiske personer, der er blevet holdt ansvarlige for et forhold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_Ref242893180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1, varetager ledelsesfunktioner, dvs. personer med ansvar for den faktiske og daglige ledelse i den pågældende virksomhed. </w:t>
      </w:r>
    </w:p>
    <w:p w14:paraId="3769673B" w14:textId="77777777" w:rsidR="00306122" w:rsidRPr="00796736" w:rsidRDefault="00306122" w:rsidP="00A802A5">
      <w:pPr>
        <w:spacing w:line="360" w:lineRule="auto"/>
        <w:rPr>
          <w:rFonts w:ascii="Times New Roman" w:hAnsi="Times New Roman" w:cs="Times New Roman"/>
          <w:sz w:val="24"/>
          <w:szCs w:val="24"/>
        </w:rPr>
      </w:pPr>
    </w:p>
    <w:p w14:paraId="61AA1C59" w14:textId="77777777" w:rsidR="00306122"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Forbuddet vil skulle være nødvendigt af hensyn til den konstaterede overtrædelse, f.eks. hvis det er nødvendigt at fjerne den pågældende person f.eks. for at forhindre hvidvask eller terrorfinansiering. Det bemærkes, at forbud eller andre påbud om ændringer i ledelsesstrukturen efter den foreslåede bestemmelse også vil kunne gælde for kortere perioder såsom en måned, jf. det foreslåede stk. 4, hvis årsagen til påbuddet kan isoleres til en enkeltstående problemstilling, som kan ventes afsluttet indenfor denne periode og der ikke i øvrigt er grundlag for at træffe afgørelse efter den foreslåede bestemmelse. </w:t>
      </w:r>
    </w:p>
    <w:p w14:paraId="54DF1AC7" w14:textId="77777777" w:rsidR="00361B87" w:rsidRPr="00796736" w:rsidRDefault="00361B87" w:rsidP="00A802A5">
      <w:pPr>
        <w:spacing w:line="360" w:lineRule="auto"/>
        <w:rPr>
          <w:rFonts w:ascii="Times New Roman" w:hAnsi="Times New Roman" w:cs="Times New Roman"/>
          <w:sz w:val="24"/>
          <w:szCs w:val="24"/>
        </w:rPr>
      </w:pPr>
    </w:p>
    <w:p w14:paraId="560E5AF9" w14:textId="77777777" w:rsidR="00306122"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afgørelser i medfør af den foreslåede bestemmelse vil udgøre et betydeligt indgreb i den pågældende virksomheds organisering, og det forudsættes derfor alene anvendt, hvis mindre indgribende foranstaltninger såsom kompetenceudvikling, ekstern bistand, ændrede kontrolfunktioner eller skærpet opfølgning ikke er tilstrækkeligt. </w:t>
      </w:r>
    </w:p>
    <w:p w14:paraId="7079BFC6" w14:textId="77777777" w:rsidR="00361B87" w:rsidRDefault="00361B87" w:rsidP="00A802A5">
      <w:pPr>
        <w:spacing w:line="360" w:lineRule="auto"/>
        <w:rPr>
          <w:rFonts w:ascii="Times New Roman" w:hAnsi="Times New Roman" w:cs="Times New Roman"/>
          <w:sz w:val="24"/>
          <w:szCs w:val="24"/>
        </w:rPr>
      </w:pPr>
    </w:p>
    <w:p w14:paraId="01C2BC62" w14:textId="7014DDF0" w:rsidR="00361B87" w:rsidRPr="00796736" w:rsidRDefault="00361B87" w:rsidP="00A802A5">
      <w:pPr>
        <w:spacing w:line="360" w:lineRule="auto"/>
        <w:rPr>
          <w:rFonts w:ascii="Times New Roman" w:hAnsi="Times New Roman" w:cs="Times New Roman"/>
          <w:sz w:val="24"/>
          <w:szCs w:val="24"/>
        </w:rPr>
      </w:pPr>
      <w:r>
        <w:rPr>
          <w:rFonts w:ascii="Times New Roman" w:hAnsi="Times New Roman" w:cs="Times New Roman"/>
          <w:sz w:val="24"/>
          <w:szCs w:val="24"/>
        </w:rPr>
        <w:t xml:space="preserve">En afgørelse om forbud efter den foreslåede bestemmelse omfatter den faktiske varetagelse af ledelsesfunktionerne samt formelle titler eller registreringer. Adressaten for en sådan afgørelse vil således ikke ved f.eks. fuldmagter eller anden faktisk placering af de samme opgaver kunne omgå forbuddet. </w:t>
      </w:r>
    </w:p>
    <w:p w14:paraId="7FC4D7B9" w14:textId="77777777" w:rsidR="00306122" w:rsidRPr="00796736" w:rsidRDefault="00306122" w:rsidP="00A802A5">
      <w:pPr>
        <w:spacing w:line="360" w:lineRule="auto"/>
        <w:rPr>
          <w:rFonts w:ascii="Times New Roman" w:hAnsi="Times New Roman" w:cs="Times New Roman"/>
          <w:sz w:val="24"/>
          <w:szCs w:val="24"/>
        </w:rPr>
      </w:pPr>
    </w:p>
    <w:p w14:paraId="3D94C92C"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implementerer hvidvaskdirektivets artikel 56, stk. 2, litra g, og stk. 3, litra e.</w:t>
      </w:r>
    </w:p>
    <w:p w14:paraId="0FF6654B" w14:textId="77777777" w:rsidR="00306122" w:rsidRPr="00796736" w:rsidRDefault="00306122" w:rsidP="00A802A5">
      <w:pPr>
        <w:spacing w:line="360" w:lineRule="auto"/>
        <w:rPr>
          <w:rFonts w:ascii="Times New Roman" w:hAnsi="Times New Roman" w:cs="Times New Roman"/>
          <w:sz w:val="24"/>
          <w:szCs w:val="24"/>
        </w:rPr>
      </w:pPr>
    </w:p>
    <w:p w14:paraId="7A98AC95" w14:textId="63523E4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2, nr. 1,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 xml:space="preserve">Advokatnævnet </w:t>
      </w:r>
      <w:r w:rsidRPr="00796736">
        <w:rPr>
          <w:rFonts w:ascii="Times New Roman" w:hAnsi="Times New Roman" w:cs="Times New Roman"/>
          <w:sz w:val="24"/>
          <w:szCs w:val="24"/>
          <w:lang w:eastAsia="da-DK"/>
        </w:rPr>
        <w:t xml:space="preserve">endvidere efter indstilling fra Advokatrådet </w:t>
      </w:r>
      <w:r w:rsidRPr="00796736">
        <w:rPr>
          <w:rFonts w:ascii="Times New Roman" w:eastAsia="Times New Roman" w:hAnsi="Times New Roman" w:cs="Times New Roman"/>
          <w:iCs/>
          <w:sz w:val="24"/>
          <w:szCs w:val="24"/>
          <w:lang w:eastAsia="da-DK"/>
        </w:rPr>
        <w:t>kan påbyde en advokat at foretage ændringer i ledelsesstrukturen, herunder forbyde at personer, som er dømt for overtrædelse af straffeloven §§ 114 b, 290 eller 290 a, eller de forudgående lovovertrædelser, deltager i virksomhedens øverste ledelse.</w:t>
      </w:r>
    </w:p>
    <w:p w14:paraId="4E21D520" w14:textId="77777777" w:rsidR="00306122" w:rsidRPr="00796736" w:rsidRDefault="00306122" w:rsidP="00A802A5">
      <w:pPr>
        <w:spacing w:line="360" w:lineRule="auto"/>
        <w:rPr>
          <w:rFonts w:ascii="Times New Roman" w:hAnsi="Times New Roman" w:cs="Times New Roman"/>
          <w:sz w:val="24"/>
          <w:szCs w:val="24"/>
        </w:rPr>
      </w:pPr>
    </w:p>
    <w:p w14:paraId="02FA165A"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Advokatnævnet har mulighed for at træffe afgørelse om, at advokater eller andre personer dømt for overtrædelse af straffelovens §§ 114 b, om terrorfinansiering, 290 om hæleri, eller 290 a om hvidvask, eller de forudgående lovovertrædelser, deltager i den øverste ledelse hos advokaten. Med forudgående lovovertrædelser menes lovovertrædelser, som efter deres gerningsindhold har eller er tilsigtet at genere et udbytte, som efterfølgende vil kunne indgå i en lovovertrædelse omfattet af §§ 114 b, 290 eller 290 a. Med ”øverste ledelse” sigtes i overensstemmelse med hvidvaskforordningens artikel 2, stk. 1, nr. 40, til medlemmerne af ledelsesorganet i dets ledelsesfunktion samt medarbejdere og ansatte med tilstrækkeligt kendskab til den pågældende advokatvirksomheds risikoeksponering for hvidvask og terrorfinansiering og med tilstrækkelig anciennitet til at træffe beslutninger med indvirkning på risikoeksponeringen. Et påbud efter den foreslåede bestemmelse vil således også kunne omfatte personer, der ejer aktier eller anparter i et advokatselskab, uden selv at være advokater, jf. retsplejelovens § 124 c, stk. 1, nr. 2, samt øvrige medarbejdere, der lever op til forordningens definition. </w:t>
      </w:r>
    </w:p>
    <w:p w14:paraId="4F38397C" w14:textId="77777777" w:rsidR="00306122" w:rsidRPr="00796736" w:rsidRDefault="00306122" w:rsidP="00A802A5">
      <w:pPr>
        <w:spacing w:line="360" w:lineRule="auto"/>
        <w:rPr>
          <w:rFonts w:ascii="Times New Roman" w:hAnsi="Times New Roman" w:cs="Times New Roman"/>
          <w:sz w:val="24"/>
          <w:szCs w:val="24"/>
        </w:rPr>
      </w:pPr>
    </w:p>
    <w:p w14:paraId="3B022C22" w14:textId="0D97152E"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Afgørelser efter den foreslåede bestemmelse vil omfatte den pågældende virksomhed, og vil efter omstændighederne kunne ledsages af et påbud mod en advokat eller anden person, som er reel ejer efter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_Ref236987494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5D63D5EA" w14:textId="77777777" w:rsidR="00306122" w:rsidRPr="00796736" w:rsidRDefault="00306122" w:rsidP="00A802A5">
      <w:pPr>
        <w:spacing w:line="360" w:lineRule="auto"/>
        <w:rPr>
          <w:rFonts w:ascii="Times New Roman" w:hAnsi="Times New Roman" w:cs="Times New Roman"/>
          <w:sz w:val="24"/>
          <w:szCs w:val="24"/>
        </w:rPr>
      </w:pPr>
    </w:p>
    <w:p w14:paraId="5A12495F" w14:textId="391C8C8B" w:rsidR="00306122" w:rsidRPr="00796736" w:rsidRDefault="009F44A0"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vil omfatte fællesskaber af advokater og advokatselskaber samt øvrige advokatvirksomheder, der er organiseret således, at de har en øverste ledelse. For virksomhedsformer, hvor dette ikke er tilfældet, f.eks. enkeltmandsvirksomheder, vil Advokatrådet i stedet være henvist til at</w:t>
      </w:r>
      <w:r>
        <w:rPr>
          <w:rFonts w:ascii="Times New Roman" w:hAnsi="Times New Roman" w:cs="Times New Roman"/>
          <w:sz w:val="24"/>
          <w:szCs w:val="24"/>
        </w:rPr>
        <w:t xml:space="preserve"> indstille til anvendelse af den </w:t>
      </w:r>
      <w:r w:rsidRPr="00796736">
        <w:rPr>
          <w:rFonts w:ascii="Times New Roman" w:hAnsi="Times New Roman" w:cs="Times New Roman"/>
          <w:sz w:val="24"/>
          <w:szCs w:val="24"/>
        </w:rPr>
        <w:t xml:space="preserve">foreslåede bestemmelse i </w:t>
      </w:r>
      <w:r w:rsidR="00306122" w:rsidRPr="00796736">
        <w:rPr>
          <w:rFonts w:ascii="Times New Roman" w:hAnsi="Times New Roman" w:cs="Times New Roman"/>
          <w:sz w:val="24"/>
          <w:szCs w:val="24"/>
        </w:rPr>
        <w:fldChar w:fldCharType="begin"/>
      </w:r>
      <w:r w:rsidR="00306122" w:rsidRPr="00796736">
        <w:rPr>
          <w:rFonts w:ascii="Times New Roman" w:hAnsi="Times New Roman" w:cs="Times New Roman"/>
          <w:sz w:val="24"/>
          <w:szCs w:val="24"/>
        </w:rPr>
        <w:instrText xml:space="preserve"> REF _Ref236998239 \r \h </w:instrText>
      </w:r>
      <w:r w:rsidR="00AB17CC" w:rsidRPr="00796736">
        <w:rPr>
          <w:rFonts w:ascii="Times New Roman" w:hAnsi="Times New Roman" w:cs="Times New Roman"/>
          <w:sz w:val="24"/>
          <w:szCs w:val="24"/>
        </w:rPr>
        <w:instrText xml:space="preserve"> \* MERGEFORMAT </w:instrText>
      </w:r>
      <w:r w:rsidR="00306122" w:rsidRPr="00796736">
        <w:rPr>
          <w:rFonts w:ascii="Times New Roman" w:hAnsi="Times New Roman" w:cs="Times New Roman"/>
          <w:sz w:val="24"/>
          <w:szCs w:val="24"/>
        </w:rPr>
      </w:r>
      <w:r w:rsidR="00306122"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105</w:t>
      </w:r>
      <w:r w:rsidR="00306122" w:rsidRPr="00796736">
        <w:rPr>
          <w:rFonts w:ascii="Times New Roman" w:hAnsi="Times New Roman" w:cs="Times New Roman"/>
          <w:sz w:val="24"/>
          <w:szCs w:val="24"/>
        </w:rPr>
        <w:fldChar w:fldCharType="end"/>
      </w:r>
      <w:r w:rsidR="00306122" w:rsidRPr="00796736">
        <w:rPr>
          <w:rFonts w:ascii="Times New Roman" w:hAnsi="Times New Roman" w:cs="Times New Roman"/>
          <w:sz w:val="24"/>
          <w:szCs w:val="24"/>
        </w:rPr>
        <w:t>, om frakendelse af retten til at udøve advokatvirksomhed, hvis betingelserne herfor er opfyldt.</w:t>
      </w:r>
    </w:p>
    <w:p w14:paraId="0A95B9C6"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2D04A8DD" w14:textId="005C2ACE"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forbud mod deltagelse i den øverste ledelse af virksomheden vil efter omstændighederne omfatte sådanne praktiske og tekniske foranstaltninger, som efter Advokatrådets konkrete vurdering er nødvendige for at sikre den effektive fuldbyrdelse af formålet med et påbud efter stk. 1, at adskille den dømte advokat mv. fra fællesskabet af advokater eller advokatselskabet eller at sikre sig, at advokaten eller dennes autoriserede fuldmægtig nedlægger deres hverv. Et sådant påbud vil kunne meddeles efter den foreslåede</w:t>
      </w:r>
      <w:r w:rsidR="00B36761">
        <w:rPr>
          <w:rFonts w:ascii="Times New Roman" w:hAnsi="Times New Roman" w:cs="Times New Roman"/>
          <w:sz w:val="24"/>
          <w:szCs w:val="24"/>
        </w:rPr>
        <w:fldChar w:fldCharType="begin"/>
      </w:r>
      <w:r w:rsidR="00B36761">
        <w:rPr>
          <w:rFonts w:ascii="Times New Roman" w:hAnsi="Times New Roman" w:cs="Times New Roman"/>
          <w:sz w:val="24"/>
          <w:szCs w:val="24"/>
        </w:rPr>
        <w:instrText xml:space="preserve"> REF _Ref244787564 \r \h </w:instrText>
      </w:r>
      <w:r w:rsidR="00B36761">
        <w:rPr>
          <w:rFonts w:ascii="Times New Roman" w:hAnsi="Times New Roman" w:cs="Times New Roman"/>
          <w:sz w:val="24"/>
          <w:szCs w:val="24"/>
        </w:rPr>
      </w:r>
      <w:r w:rsidR="00B36761">
        <w:rPr>
          <w:rFonts w:ascii="Times New Roman" w:hAnsi="Times New Roman" w:cs="Times New Roman"/>
          <w:sz w:val="24"/>
          <w:szCs w:val="24"/>
        </w:rPr>
        <w:fldChar w:fldCharType="separate"/>
      </w:r>
      <w:r w:rsidR="00B36761">
        <w:rPr>
          <w:rFonts w:ascii="Times New Roman" w:hAnsi="Times New Roman" w:cs="Times New Roman"/>
          <w:sz w:val="24"/>
          <w:szCs w:val="24"/>
        </w:rPr>
        <w:t>§ 102</w:t>
      </w:r>
      <w:r w:rsidR="00B36761">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2. pkt., eller stk. 2. </w:t>
      </w:r>
    </w:p>
    <w:p w14:paraId="26CEE826" w14:textId="77777777" w:rsidR="00306122" w:rsidRPr="00796736" w:rsidRDefault="00306122" w:rsidP="00A802A5">
      <w:pPr>
        <w:spacing w:line="360" w:lineRule="auto"/>
        <w:rPr>
          <w:rFonts w:ascii="Times New Roman" w:hAnsi="Times New Roman" w:cs="Times New Roman"/>
          <w:sz w:val="24"/>
          <w:szCs w:val="24"/>
        </w:rPr>
      </w:pPr>
    </w:p>
    <w:p w14:paraId="713581C6" w14:textId="6591F47E" w:rsidR="000270B4" w:rsidRPr="00796736" w:rsidRDefault="000270B4" w:rsidP="000270B4">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vil indebære, at Advokatnævnet </w:t>
      </w:r>
      <w:r>
        <w:rPr>
          <w:rFonts w:ascii="Times New Roman" w:hAnsi="Times New Roman" w:cs="Times New Roman"/>
          <w:sz w:val="24"/>
          <w:szCs w:val="24"/>
        </w:rPr>
        <w:t>efter indstilling fra</w:t>
      </w:r>
      <w:r w:rsidRPr="00796736">
        <w:rPr>
          <w:rFonts w:ascii="Times New Roman" w:hAnsi="Times New Roman" w:cs="Times New Roman"/>
          <w:sz w:val="24"/>
          <w:szCs w:val="24"/>
        </w:rPr>
        <w:t xml:space="preserve"> Advokatrådet vil kunne </w:t>
      </w:r>
      <w:r>
        <w:rPr>
          <w:rFonts w:ascii="Times New Roman" w:hAnsi="Times New Roman" w:cs="Times New Roman"/>
          <w:sz w:val="24"/>
          <w:szCs w:val="24"/>
        </w:rPr>
        <w:t xml:space="preserve">træffe afgørelse 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_Ref236998239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105</w:t>
      </w:r>
      <w:r>
        <w:rPr>
          <w:rFonts w:ascii="Times New Roman" w:hAnsi="Times New Roman" w:cs="Times New Roman"/>
          <w:sz w:val="24"/>
          <w:szCs w:val="24"/>
        </w:rPr>
        <w:fldChar w:fldCharType="end"/>
      </w:r>
      <w:r>
        <w:rPr>
          <w:rFonts w:ascii="Times New Roman" w:hAnsi="Times New Roman" w:cs="Times New Roman"/>
          <w:sz w:val="24"/>
          <w:szCs w:val="24"/>
        </w:rPr>
        <w:t xml:space="preserve">. Advokatrådet vil i relevant omfang kunne supplere afgørelsen med henstillinger eller påbud 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_Ref244787564 \n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102</w:t>
      </w:r>
      <w:r>
        <w:rPr>
          <w:rFonts w:ascii="Times New Roman" w:hAnsi="Times New Roman" w:cs="Times New Roman"/>
          <w:sz w:val="24"/>
          <w:szCs w:val="24"/>
        </w:rPr>
        <w:fldChar w:fldCharType="end"/>
      </w:r>
      <w:r>
        <w:rPr>
          <w:rFonts w:ascii="Times New Roman" w:hAnsi="Times New Roman" w:cs="Times New Roman"/>
          <w:sz w:val="24"/>
          <w:szCs w:val="24"/>
        </w:rPr>
        <w:t xml:space="preserve">, herunder henstillinger til </w:t>
      </w:r>
      <w:r w:rsidRPr="00796736">
        <w:rPr>
          <w:rFonts w:ascii="Times New Roman" w:hAnsi="Times New Roman" w:cs="Times New Roman"/>
          <w:sz w:val="24"/>
          <w:szCs w:val="24"/>
        </w:rPr>
        <w:t>fællesskabet af advokater eller advokatselskabet</w:t>
      </w:r>
      <w:r>
        <w:rPr>
          <w:rFonts w:ascii="Times New Roman" w:hAnsi="Times New Roman" w:cs="Times New Roman"/>
          <w:sz w:val="24"/>
          <w:szCs w:val="24"/>
        </w:rPr>
        <w:t xml:space="preserve"> om</w:t>
      </w:r>
      <w:r w:rsidRPr="00796736">
        <w:rPr>
          <w:rFonts w:ascii="Times New Roman" w:hAnsi="Times New Roman" w:cs="Times New Roman"/>
          <w:sz w:val="24"/>
          <w:szCs w:val="24"/>
        </w:rPr>
        <w:t>, at den pågældendes forvaltningsmæssige og økonomiske beføjelser i virksomheden er suspenderet.</w:t>
      </w:r>
    </w:p>
    <w:p w14:paraId="014EE8FE" w14:textId="77777777" w:rsidR="00306122" w:rsidRPr="00796736" w:rsidRDefault="00306122" w:rsidP="00A802A5">
      <w:pPr>
        <w:spacing w:line="360" w:lineRule="auto"/>
        <w:rPr>
          <w:rFonts w:ascii="Times New Roman" w:hAnsi="Times New Roman" w:cs="Times New Roman"/>
          <w:sz w:val="24"/>
          <w:szCs w:val="24"/>
        </w:rPr>
      </w:pPr>
    </w:p>
    <w:p w14:paraId="4B4CFB57"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indebærer endvidere, at ledelsen og evt. øvrige reelle ejere i det pågældende fællesskab eller selskab, som modtager et påbud efter den foreslåede bestemmelse, vil skulle sikre, at personen ikke kan udnytte sine forvaltningsmæssige og økonomiske beføjelser efter at personen har fået meddelt et påbud om afhændelse efter stk. 1.</w:t>
      </w:r>
    </w:p>
    <w:p w14:paraId="635312BE" w14:textId="77777777" w:rsidR="00306122" w:rsidRPr="00796736" w:rsidRDefault="00306122" w:rsidP="00A802A5">
      <w:pPr>
        <w:spacing w:line="360" w:lineRule="auto"/>
        <w:rPr>
          <w:rFonts w:ascii="Times New Roman" w:hAnsi="Times New Roman" w:cs="Times New Roman"/>
          <w:sz w:val="24"/>
          <w:szCs w:val="24"/>
        </w:rPr>
      </w:pPr>
    </w:p>
    <w:p w14:paraId="0502FC09"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derudover indebære, at fællesskabet eller selskabet vil kunne påbydes at foretage en række specifikke nødvendige foranstaltninger for at sikre, at den dømte reelle ejer effektivt afskæres. </w:t>
      </w:r>
    </w:p>
    <w:p w14:paraId="5E8BA628" w14:textId="77777777" w:rsidR="00306122" w:rsidRPr="00796736" w:rsidRDefault="00306122" w:rsidP="00A802A5">
      <w:pPr>
        <w:spacing w:line="360" w:lineRule="auto"/>
        <w:rPr>
          <w:rFonts w:ascii="Times New Roman" w:hAnsi="Times New Roman" w:cs="Times New Roman"/>
          <w:sz w:val="24"/>
          <w:szCs w:val="24"/>
        </w:rPr>
      </w:pPr>
    </w:p>
    <w:p w14:paraId="2E7231E9"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”nødvendige foranstaltninger” forstås handlinger, undladelser og tiltag, som i praksis afskærer den fysiske person, som direkte eller indirekte ejer eller kontrollerer en virksomhed, fra at udøve kontrol med virksomheden. Fællesskabet eller selskabet kan f.eks. påbydes at inddrage den reelle ejers adgangskort til lokalerne, firmakreditkort eller udelukkelse fra virksomhedens IT-systemer m.v. Påbuddet skal anvendes til at sikre, at fællesskabet eller selskabet afskærmer den forpligtede enhed fra den reelle ejer effektivt. </w:t>
      </w:r>
    </w:p>
    <w:p w14:paraId="6DF18844" w14:textId="77777777" w:rsidR="00306122" w:rsidRPr="00796736" w:rsidRDefault="00306122" w:rsidP="00A802A5">
      <w:pPr>
        <w:spacing w:line="360" w:lineRule="auto"/>
        <w:rPr>
          <w:rFonts w:ascii="Times New Roman" w:hAnsi="Times New Roman" w:cs="Times New Roman"/>
          <w:sz w:val="24"/>
          <w:szCs w:val="24"/>
        </w:rPr>
      </w:pPr>
    </w:p>
    <w:p w14:paraId="660583A0"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Påbuddet skal anvendes ud fra en individuel vurdering af bl.a. den forpligtede enheds samarbejdsvillighed med Advokatrådet. </w:t>
      </w:r>
    </w:p>
    <w:p w14:paraId="7C9772C1" w14:textId="77777777" w:rsidR="00306122" w:rsidRPr="00796736" w:rsidRDefault="00306122" w:rsidP="00A802A5">
      <w:pPr>
        <w:spacing w:line="360" w:lineRule="auto"/>
        <w:rPr>
          <w:rFonts w:ascii="Times New Roman" w:hAnsi="Times New Roman" w:cs="Times New Roman"/>
          <w:sz w:val="24"/>
          <w:szCs w:val="24"/>
        </w:rPr>
      </w:pPr>
    </w:p>
    <w:p w14:paraId="591A49F4" w14:textId="395A8E00"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kan anmode om en redegørelse og dokumentation for, hvordan virksomheden sikrer, at påbuddet efterkommes, i overensstemmelse med den foreslåede tilsynsbestemmelse i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_Ref232609193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6093E896" w14:textId="77777777" w:rsidR="00306122" w:rsidRPr="00796736" w:rsidRDefault="00306122" w:rsidP="00A802A5">
      <w:pPr>
        <w:spacing w:line="360" w:lineRule="auto"/>
        <w:rPr>
          <w:rFonts w:ascii="Times New Roman" w:hAnsi="Times New Roman" w:cs="Times New Roman"/>
          <w:sz w:val="24"/>
          <w:szCs w:val="24"/>
        </w:rPr>
      </w:pPr>
    </w:p>
    <w:p w14:paraId="254E9F41"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forudsættes, at sådanne påbud kun meddeles i det omfang en afgørelse efter den foreslåede bestemmelse ikke er tilstrækkeligt.</w:t>
      </w:r>
    </w:p>
    <w:p w14:paraId="54405582" w14:textId="77777777" w:rsidR="00306122" w:rsidRPr="00796736" w:rsidRDefault="00306122" w:rsidP="00A802A5">
      <w:pPr>
        <w:spacing w:line="360" w:lineRule="auto"/>
        <w:rPr>
          <w:rFonts w:ascii="Times New Roman" w:hAnsi="Times New Roman" w:cs="Times New Roman"/>
          <w:sz w:val="24"/>
          <w:szCs w:val="24"/>
        </w:rPr>
      </w:pPr>
    </w:p>
    <w:p w14:paraId="431D2E59"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implementeres hvidvaskdirektivets artikel 6, stk. 4. </w:t>
      </w:r>
    </w:p>
    <w:p w14:paraId="5187E92B" w14:textId="77777777" w:rsidR="00306122" w:rsidRPr="00796736" w:rsidRDefault="00306122" w:rsidP="00A802A5">
      <w:pPr>
        <w:spacing w:line="360" w:lineRule="auto"/>
        <w:rPr>
          <w:rFonts w:ascii="Times New Roman" w:hAnsi="Times New Roman" w:cs="Times New Roman"/>
          <w:sz w:val="24"/>
          <w:szCs w:val="24"/>
        </w:rPr>
      </w:pPr>
    </w:p>
    <w:p w14:paraId="6608F27B" w14:textId="658E6D56"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2</w:t>
      </w:r>
      <w:r w:rsidRPr="00796736">
        <w:rPr>
          <w:rFonts w:ascii="Times New Roman" w:hAnsi="Times New Roman" w:cs="Times New Roman"/>
          <w:sz w:val="24"/>
          <w:szCs w:val="24"/>
        </w:rPr>
        <w:t xml:space="preserve">, at Advokatnævnet efter indstilling fra Advokatrådet </w:t>
      </w:r>
      <w:r w:rsidRPr="00796736">
        <w:rPr>
          <w:rFonts w:ascii="Times New Roman" w:eastAsia="Times New Roman" w:hAnsi="Times New Roman" w:cs="Times New Roman"/>
          <w:iCs/>
          <w:sz w:val="24"/>
          <w:szCs w:val="24"/>
          <w:lang w:eastAsia="da-DK"/>
        </w:rPr>
        <w:t>endvidere kan påbyde advokater at foretage ændringer i ledelsesstrukturen, herunder forbyde at personer, som er tiltalt for overtrædelse af straffelovens § 114 b, 290 eller 290 a eller de forudgående lovovertrædelser, deltager i virksomhedens øverste ledelse eller som reelle ejere heraf, indtil straffesagen er afgjort.</w:t>
      </w:r>
    </w:p>
    <w:p w14:paraId="004B4D0D" w14:textId="77777777" w:rsidR="00306122" w:rsidRPr="00796736" w:rsidRDefault="00306122" w:rsidP="00A802A5">
      <w:pPr>
        <w:spacing w:line="360" w:lineRule="auto"/>
        <w:rPr>
          <w:rFonts w:ascii="Times New Roman" w:hAnsi="Times New Roman" w:cs="Times New Roman"/>
          <w:sz w:val="24"/>
          <w:szCs w:val="24"/>
        </w:rPr>
      </w:pPr>
    </w:p>
    <w:p w14:paraId="63D7A291" w14:textId="77777777" w:rsidR="00306122" w:rsidRPr="00796736" w:rsidRDefault="00306122"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skal ses i sammenhæng med det foreslåede nr. 1, herunder personkredsen, som bestemmelsen vedrører for så vidt angår den øverste ledelse. </w:t>
      </w:r>
    </w:p>
    <w:p w14:paraId="62849361" w14:textId="77777777" w:rsidR="00306122" w:rsidRPr="00796736" w:rsidRDefault="00306122" w:rsidP="00A802A5">
      <w:pPr>
        <w:spacing w:line="360" w:lineRule="auto"/>
        <w:rPr>
          <w:rFonts w:ascii="Times New Roman" w:hAnsi="Times New Roman" w:cs="Times New Roman"/>
          <w:iCs/>
          <w:sz w:val="24"/>
          <w:szCs w:val="24"/>
        </w:rPr>
      </w:pPr>
    </w:p>
    <w:p w14:paraId="1316DE63" w14:textId="77777777" w:rsidR="00306122" w:rsidRPr="00796736" w:rsidRDefault="00306122"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Efter den foreslåede bestemmelse vil Advokatnævnet have mulighed for at træffe en midlertidig afgørelse om, at en advokat deltager i den øverste ledelse hos advokaten fra det tidspunkt, hvor den pågældende er tiltalt for overtrædelse af straffelovens § 114 b om terrorfinansiering, § 290 om hæleri eller § 290 a om hvidvask, eller de forudgående lovovertrædelser. Efter bestemmelsen vil et sådant forbud kunne gælde frem til straffesagens afgørelse, hvorefter Advokatnævnet vil kunne træffe afgørelse efter den foreslåede stk. 1, nr. 1. Det indebærer, at Advokatnævnet vil have mulighed for at ophæve den midlertidige afgørelse, hvis betingelserne herfor ikke længere er opfyldt, ligesom afgørelsen vil bortfalde ved afsigelse af dom i straffesagen eller hvis der meddeles et tiltalefrafald. </w:t>
      </w:r>
    </w:p>
    <w:p w14:paraId="6F5E2FE3" w14:textId="77777777" w:rsidR="00306122" w:rsidRPr="00796736" w:rsidRDefault="00306122" w:rsidP="00A802A5">
      <w:pPr>
        <w:spacing w:line="360" w:lineRule="auto"/>
        <w:rPr>
          <w:rFonts w:ascii="Times New Roman" w:hAnsi="Times New Roman" w:cs="Times New Roman"/>
          <w:iCs/>
          <w:sz w:val="24"/>
          <w:szCs w:val="24"/>
        </w:rPr>
      </w:pPr>
    </w:p>
    <w:p w14:paraId="0B6012F3"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iCs/>
          <w:sz w:val="24"/>
          <w:szCs w:val="24"/>
        </w:rPr>
        <w:t xml:space="preserve">Det vil for det første være en betingelse for iværksættelse af foranstaltninger efter den foreslåede bestemmelse, at advokaten eller personen er tiltalt efter én af nævnte bestemmelser eller en forudgående lovovertrædelse. </w:t>
      </w:r>
      <w:r w:rsidRPr="00796736">
        <w:rPr>
          <w:rFonts w:ascii="Times New Roman" w:hAnsi="Times New Roman" w:cs="Times New Roman"/>
          <w:sz w:val="24"/>
          <w:szCs w:val="24"/>
        </w:rPr>
        <w:t>Med forudgående lovovertrædelser menes lovovertrædelser ligesom efter nr. 1, som efter deres gerningsindhold har eller er tilsigtet at genere et udbytte, som efterfølgende vil kunne indgå i en lovovertrædelse omfattet af §§ 114 b, 290 eller 290 a.</w:t>
      </w:r>
    </w:p>
    <w:p w14:paraId="7FC3B4F0" w14:textId="77777777" w:rsidR="00306122" w:rsidRPr="00796736" w:rsidRDefault="00306122" w:rsidP="00A802A5">
      <w:pPr>
        <w:spacing w:line="360" w:lineRule="auto"/>
        <w:rPr>
          <w:rFonts w:ascii="Times New Roman" w:hAnsi="Times New Roman" w:cs="Times New Roman"/>
          <w:sz w:val="24"/>
          <w:szCs w:val="24"/>
        </w:rPr>
      </w:pPr>
    </w:p>
    <w:p w14:paraId="12015207" w14:textId="77777777" w:rsidR="00306122" w:rsidRPr="00796736" w:rsidRDefault="00306122" w:rsidP="00A802A5">
      <w:pPr>
        <w:spacing w:line="360" w:lineRule="auto"/>
        <w:rPr>
          <w:rFonts w:ascii="Times New Roman" w:hAnsi="Times New Roman" w:cs="Times New Roman"/>
          <w:iCs/>
          <w:sz w:val="24"/>
          <w:szCs w:val="24"/>
        </w:rPr>
      </w:pPr>
      <w:r w:rsidRPr="00796736">
        <w:rPr>
          <w:rFonts w:ascii="Times New Roman" w:hAnsi="Times New Roman" w:cs="Times New Roman"/>
          <w:sz w:val="24"/>
          <w:szCs w:val="24"/>
        </w:rPr>
        <w:t xml:space="preserve">Det vil endvidere være en betingelse for anvendelse af den foreslåede bestemmelse, at Advokatrådet og Advokatnævnet finder det påkrævet at træffe en midlertidig afgørelse, fordi sagens omstændigheder indebærer en risiko, hvis man skulle afvente en domsafsigelse eller anden afslutning på straffesagen. Advokatrådet og Advokatnævnet vil i denne vurdering kunne lægge vægt på omfanget, grovheden og karakteren af den lovovertrædelse, som den pågældende er tiltalt for, ligesom der vil kunne lægges vægt på, hvor lang tid det må forventes at behandle sagen. Advokatnævnet og Advokatrådet vil endvidere skulle inddrage hensynet til den pågældende person, herunder hensynet til den pågældendes indtjeningsmuligheder og næringsinteresser. Det bemærkes, at hvor den pågældende er tiltalt for mere kvalificerede lovovertrædelser, eller straffesagen ikke kan ventes afsluttet indenfor rimelig tid fra forkyndelsen af anklageskriftet, vil betingelserne for meddelelse af en midlertidig afgørelse efter den foreslåede bestemmelse i almindelighed anses for opfyldte. </w:t>
      </w:r>
    </w:p>
    <w:p w14:paraId="57B48D50" w14:textId="77777777" w:rsidR="00306122" w:rsidRPr="00796736" w:rsidRDefault="00306122" w:rsidP="00A802A5">
      <w:pPr>
        <w:spacing w:line="360" w:lineRule="auto"/>
        <w:rPr>
          <w:rFonts w:ascii="Times New Roman" w:hAnsi="Times New Roman" w:cs="Times New Roman"/>
          <w:iCs/>
          <w:sz w:val="24"/>
          <w:szCs w:val="24"/>
        </w:rPr>
      </w:pPr>
    </w:p>
    <w:p w14:paraId="3AE3FA50" w14:textId="77777777" w:rsidR="00DE0CD2" w:rsidRPr="00796736" w:rsidRDefault="00DE0CD2" w:rsidP="00DE0CD2">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I tilfælde af, at den dømte anker en straffesag, og Advokatrådet fortsat finder, at betingelserne for en midlertidig afgørelse er opfyldte i perioden under anke, vil Advokatrådet kunne</w:t>
      </w:r>
      <w:r>
        <w:rPr>
          <w:rFonts w:ascii="Times New Roman" w:hAnsi="Times New Roman" w:cs="Times New Roman"/>
          <w:iCs/>
          <w:sz w:val="24"/>
          <w:szCs w:val="24"/>
        </w:rPr>
        <w:t xml:space="preserve"> indstille til, at Advokatnævnet træffer</w:t>
      </w:r>
      <w:r w:rsidRPr="00796736">
        <w:rPr>
          <w:rFonts w:ascii="Times New Roman" w:hAnsi="Times New Roman" w:cs="Times New Roman"/>
          <w:iCs/>
          <w:sz w:val="24"/>
          <w:szCs w:val="24"/>
        </w:rPr>
        <w:t xml:space="preserve"> en fornyet afgørelse herom under anken.</w:t>
      </w:r>
    </w:p>
    <w:p w14:paraId="034FCEFE" w14:textId="77777777" w:rsidR="00306122" w:rsidRPr="00796736" w:rsidRDefault="00306122" w:rsidP="00A802A5">
      <w:pPr>
        <w:spacing w:line="360" w:lineRule="auto"/>
        <w:rPr>
          <w:rFonts w:ascii="Times New Roman" w:hAnsi="Times New Roman" w:cs="Times New Roman"/>
          <w:iCs/>
          <w:sz w:val="24"/>
          <w:szCs w:val="24"/>
        </w:rPr>
      </w:pPr>
    </w:p>
    <w:p w14:paraId="0C33D700" w14:textId="77777777" w:rsidR="00361B87" w:rsidRPr="00D253F0" w:rsidRDefault="00361B87" w:rsidP="00A802A5">
      <w:pPr>
        <w:spacing w:line="360" w:lineRule="auto"/>
        <w:rPr>
          <w:rFonts w:ascii="Times New Roman" w:hAnsi="Times New Roman" w:cs="Times New Roman"/>
          <w:iCs/>
          <w:sz w:val="24"/>
          <w:szCs w:val="24"/>
        </w:rPr>
      </w:pPr>
      <w:r w:rsidRPr="00D253F0">
        <w:rPr>
          <w:rFonts w:ascii="Times New Roman" w:hAnsi="Times New Roman" w:cs="Times New Roman"/>
          <w:iCs/>
          <w:sz w:val="24"/>
          <w:szCs w:val="24"/>
        </w:rPr>
        <w:t xml:space="preserve">Det foreslås i </w:t>
      </w:r>
      <w:r w:rsidRPr="00D253F0">
        <w:rPr>
          <w:rFonts w:ascii="Times New Roman" w:hAnsi="Times New Roman" w:cs="Times New Roman"/>
          <w:i/>
          <w:sz w:val="24"/>
          <w:szCs w:val="24"/>
        </w:rPr>
        <w:t xml:space="preserve">stk. 3, </w:t>
      </w:r>
      <w:r w:rsidRPr="00D253F0">
        <w:rPr>
          <w:rFonts w:ascii="Times New Roman" w:hAnsi="Times New Roman" w:cs="Times New Roman"/>
          <w:iCs/>
          <w:sz w:val="24"/>
          <w:szCs w:val="24"/>
        </w:rPr>
        <w:t xml:space="preserve">at påbud efter stk. 1, nr. 1, </w:t>
      </w:r>
      <w:r>
        <w:rPr>
          <w:rFonts w:ascii="Times New Roman" w:hAnsi="Times New Roman" w:cs="Times New Roman"/>
          <w:iCs/>
          <w:sz w:val="24"/>
          <w:szCs w:val="24"/>
        </w:rPr>
        <w:t>gives for</w:t>
      </w:r>
      <w:r w:rsidRPr="00D253F0">
        <w:rPr>
          <w:rFonts w:ascii="Times New Roman" w:hAnsi="Times New Roman" w:cs="Times New Roman"/>
          <w:iCs/>
          <w:sz w:val="24"/>
          <w:szCs w:val="24"/>
        </w:rPr>
        <w:t xml:space="preserve"> et tidsrum fra 1 måned til 5 år eller indtil videre. </w:t>
      </w:r>
    </w:p>
    <w:p w14:paraId="3D060405" w14:textId="77777777" w:rsidR="00306122" w:rsidRPr="00796736" w:rsidRDefault="00306122" w:rsidP="00A802A5">
      <w:pPr>
        <w:spacing w:line="360" w:lineRule="auto"/>
        <w:rPr>
          <w:rFonts w:ascii="Times New Roman" w:hAnsi="Times New Roman" w:cs="Times New Roman"/>
          <w:iCs/>
          <w:sz w:val="24"/>
          <w:szCs w:val="24"/>
        </w:rPr>
      </w:pPr>
    </w:p>
    <w:p w14:paraId="2AD4FE86"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bestemmelse vil påbud om ændringer i ledelsesstrukturen efter den foreslåede stk. 1 og påbud efter stk. 2 om, at visse personer ikke må deltage i den øverste ledelse eller som reelle ejere, kunne gælde i en periode fra 1 måned til 5 år eller indtil videre. </w:t>
      </w:r>
    </w:p>
    <w:p w14:paraId="483511D4" w14:textId="77777777" w:rsidR="00306122" w:rsidRPr="00796736" w:rsidRDefault="00306122" w:rsidP="00A802A5">
      <w:pPr>
        <w:spacing w:line="360" w:lineRule="auto"/>
        <w:rPr>
          <w:rFonts w:ascii="Times New Roman" w:hAnsi="Times New Roman" w:cs="Times New Roman"/>
          <w:sz w:val="24"/>
          <w:szCs w:val="24"/>
        </w:rPr>
      </w:pPr>
    </w:p>
    <w:p w14:paraId="36F9BFDE" w14:textId="29B2F729"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Perioden for påbuddets længde vil afhænge af de nærmere omstændigheder omkring påbuddet, herunder om forholdet i sager omfattet af det foreslåede stk. 1 er omfattet af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_Ref242893180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1, 2 eller 3. I sager omfattet af den foreslåede stk. 2 vil Advokatnævnet og Advokatrådet kunne lægge vægt på kriminalitetens art og grovhed, ligesom længden af den idømte straf vil kunne indgå i vurderingen. </w:t>
      </w:r>
    </w:p>
    <w:p w14:paraId="264276ED" w14:textId="77777777" w:rsidR="00306122" w:rsidRPr="00796736" w:rsidRDefault="00306122" w:rsidP="00A802A5">
      <w:pPr>
        <w:spacing w:line="360" w:lineRule="auto"/>
        <w:rPr>
          <w:rFonts w:ascii="Times New Roman" w:hAnsi="Times New Roman" w:cs="Times New Roman"/>
          <w:sz w:val="24"/>
          <w:szCs w:val="24"/>
        </w:rPr>
      </w:pPr>
    </w:p>
    <w:p w14:paraId="7AE6A845" w14:textId="77777777" w:rsidR="00607F0F" w:rsidRPr="00796736" w:rsidRDefault="00607F0F" w:rsidP="00A802A5">
      <w:pPr>
        <w:spacing w:line="360" w:lineRule="auto"/>
        <w:rPr>
          <w:rFonts w:ascii="Times New Roman" w:hAnsi="Times New Roman" w:cs="Times New Roman"/>
          <w:sz w:val="24"/>
          <w:szCs w:val="24"/>
        </w:rPr>
      </w:pPr>
    </w:p>
    <w:p w14:paraId="7DD24C29" w14:textId="6912796F" w:rsidR="00607F0F" w:rsidRPr="00796736" w:rsidRDefault="00607F0F" w:rsidP="00A802A5">
      <w:pPr>
        <w:pStyle w:val="Undertitel"/>
      </w:pPr>
      <w:bookmarkStart w:id="2171" w:name="_Toc244879402"/>
      <w:bookmarkStart w:id="2172" w:name="_Toc244880927"/>
      <w:r w:rsidRPr="00796736">
        <w:t xml:space="preserve">Til </w:t>
      </w:r>
      <w:r w:rsidRPr="00796736">
        <w:fldChar w:fldCharType="begin"/>
      </w:r>
      <w:r w:rsidRPr="00796736">
        <w:instrText xml:space="preserve"> REF _Ref236987494 \r \h </w:instrText>
      </w:r>
      <w:r w:rsidR="002C5834" w:rsidRPr="00796736">
        <w:instrText xml:space="preserve"> \* MERGEFORMAT </w:instrText>
      </w:r>
      <w:r w:rsidRPr="00796736">
        <w:fldChar w:fldCharType="separate"/>
      </w:r>
      <w:r w:rsidR="008F29E5">
        <w:t>§ 106</w:t>
      </w:r>
      <w:bookmarkEnd w:id="2171"/>
      <w:bookmarkEnd w:id="2172"/>
      <w:r w:rsidRPr="00796736">
        <w:fldChar w:fldCharType="end"/>
      </w:r>
    </w:p>
    <w:p w14:paraId="774168AE" w14:textId="77777777" w:rsidR="00306122" w:rsidRPr="00796736" w:rsidRDefault="00306122" w:rsidP="00A802A5">
      <w:pPr>
        <w:spacing w:line="360" w:lineRule="auto"/>
        <w:jc w:val="left"/>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Efter retsplejelovens § 147 c, stk. 8, 1. pkt., kan Advokatnævnet træffe afgørelse om, at en advokat bl.a. frakendes retten til at udøve advokatvirksomhed. Efter retsplejelovens § 147 c, stk. 9, 1. pkt., kan Advokatnævnet endvidere træffe afgørelse om, at én af de personer, der er nævnt i lovens § 124 c, stk. 1, nr. 2, og som ejer aktier eller anparter i et advokatselskab, frakendes retten til at eje aktier eller anparter i et advokatselskab. Det er en betingelse efter begge bestemmelser, at den pågældende har gjort sig skyldig i grov eller oftere gentagen overtrædelse af henholdsvis sine pligter som advokat og de regler, som regulerer advokathvervet.   </w:t>
      </w:r>
    </w:p>
    <w:p w14:paraId="2359DF03"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49CD3D0C" w14:textId="41181222" w:rsidR="00306122" w:rsidRPr="00796736" w:rsidRDefault="00306122" w:rsidP="00A802A5">
      <w:pPr>
        <w:spacing w:line="360" w:lineRule="auto"/>
        <w:jc w:val="left"/>
        <w:rPr>
          <w:rFonts w:ascii="Times New Roman" w:hAnsi="Times New Roman" w:cs="Times New Roman"/>
          <w:sz w:val="24"/>
          <w:szCs w:val="24"/>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fldChar w:fldCharType="begin"/>
      </w:r>
      <w:r w:rsidRPr="00796736">
        <w:rPr>
          <w:rFonts w:ascii="Times New Roman" w:eastAsia="Times New Roman" w:hAnsi="Times New Roman" w:cs="Times New Roman"/>
          <w:i/>
          <w:sz w:val="24"/>
          <w:szCs w:val="24"/>
          <w:lang w:eastAsia="da-DK"/>
        </w:rPr>
        <w:instrText xml:space="preserve"> REF _Ref236987494 \r \h  \* MERGEFORMAT </w:instrText>
      </w:r>
      <w:r w:rsidRPr="00796736">
        <w:rPr>
          <w:rFonts w:ascii="Times New Roman" w:eastAsia="Times New Roman" w:hAnsi="Times New Roman" w:cs="Times New Roman"/>
          <w:i/>
          <w:sz w:val="24"/>
          <w:szCs w:val="24"/>
          <w:lang w:eastAsia="da-DK"/>
        </w:rPr>
      </w:r>
      <w:r w:rsidRPr="00796736">
        <w:rPr>
          <w:rFonts w:ascii="Times New Roman" w:eastAsia="Times New Roman" w:hAnsi="Times New Roman" w:cs="Times New Roman"/>
          <w:i/>
          <w:sz w:val="24"/>
          <w:szCs w:val="24"/>
          <w:lang w:eastAsia="da-DK"/>
        </w:rPr>
        <w:fldChar w:fldCharType="separate"/>
      </w:r>
      <w:r w:rsidR="008F29E5">
        <w:rPr>
          <w:rFonts w:ascii="Times New Roman" w:eastAsia="Times New Roman" w:hAnsi="Times New Roman" w:cs="Times New Roman"/>
          <w:i/>
          <w:sz w:val="24"/>
          <w:szCs w:val="24"/>
          <w:lang w:eastAsia="da-DK"/>
        </w:rPr>
        <w:t>§ 106</w:t>
      </w:r>
      <w:r w:rsidRPr="00796736">
        <w:rPr>
          <w:rFonts w:ascii="Times New Roman" w:eastAsia="Times New Roman" w:hAnsi="Times New Roman" w:cs="Times New Roman"/>
          <w:i/>
          <w:sz w:val="24"/>
          <w:szCs w:val="24"/>
          <w:lang w:eastAsia="da-DK"/>
        </w:rPr>
        <w:fldChar w:fldCharType="end"/>
      </w:r>
      <w:r w:rsidRPr="00796736">
        <w:rPr>
          <w:rFonts w:ascii="Times New Roman" w:eastAsia="Times New Roman" w:hAnsi="Times New Roman" w:cs="Times New Roman"/>
          <w:i/>
          <w:sz w:val="24"/>
          <w:szCs w:val="24"/>
          <w:lang w:eastAsia="da-DK"/>
        </w:rPr>
        <w:t xml:space="preserve">, </w:t>
      </w:r>
      <w:r w:rsidRPr="00796736">
        <w:rPr>
          <w:rFonts w:ascii="Times New Roman" w:eastAsia="Times New Roman" w:hAnsi="Times New Roman" w:cs="Times New Roman"/>
          <w:iCs/>
          <w:sz w:val="24"/>
          <w:szCs w:val="24"/>
          <w:lang w:eastAsia="da-DK"/>
        </w:rPr>
        <w:t xml:space="preserve">at Advokatnævnet </w:t>
      </w:r>
      <w:r w:rsidRPr="00796736">
        <w:rPr>
          <w:rFonts w:ascii="Times New Roman" w:hAnsi="Times New Roman" w:cs="Times New Roman"/>
          <w:sz w:val="24"/>
          <w:szCs w:val="24"/>
          <w:lang w:eastAsia="da-DK"/>
        </w:rPr>
        <w:t xml:space="preserve">efter indstilling fra Advokatrådet kan påbyde personer, som er dømt for </w:t>
      </w:r>
      <w:r w:rsidRPr="00796736">
        <w:rPr>
          <w:rFonts w:ascii="Times New Roman" w:eastAsia="Times New Roman" w:hAnsi="Times New Roman" w:cs="Times New Roman"/>
          <w:iCs/>
          <w:sz w:val="24"/>
          <w:szCs w:val="24"/>
          <w:lang w:eastAsia="da-DK"/>
        </w:rPr>
        <w:t xml:space="preserve">overtrædelse af straffeloven §§ 114 b, 290 og 290 a, </w:t>
      </w:r>
      <w:r w:rsidR="00361B87" w:rsidRPr="00D253F0">
        <w:rPr>
          <w:rFonts w:ascii="Times New Roman" w:eastAsia="Times New Roman" w:hAnsi="Times New Roman" w:cs="Times New Roman"/>
          <w:iCs/>
          <w:sz w:val="24"/>
          <w:szCs w:val="24"/>
          <w:lang w:eastAsia="da-DK"/>
        </w:rPr>
        <w:t xml:space="preserve">eller de forudgående </w:t>
      </w:r>
      <w:r w:rsidR="00361B87" w:rsidRPr="00D253F0">
        <w:rPr>
          <w:rFonts w:ascii="Times New Roman" w:hAnsi="Times New Roman" w:cs="Times New Roman"/>
          <w:sz w:val="24"/>
          <w:szCs w:val="24"/>
        </w:rPr>
        <w:t xml:space="preserve">lovovertrædelser, og som er reel ejer i et fællesskab af advokater eller et advokatselskab, </w:t>
      </w:r>
      <w:r w:rsidR="00361B87">
        <w:rPr>
          <w:rFonts w:ascii="Times New Roman" w:hAnsi="Times New Roman" w:cs="Times New Roman"/>
          <w:sz w:val="24"/>
          <w:szCs w:val="24"/>
        </w:rPr>
        <w:t xml:space="preserve">at ophøre med at være reel ejer, herunder ved om nødvendigt at </w:t>
      </w:r>
      <w:r w:rsidR="00361B87" w:rsidRPr="00D253F0">
        <w:rPr>
          <w:rFonts w:ascii="Times New Roman" w:hAnsi="Times New Roman" w:cs="Times New Roman"/>
          <w:sz w:val="24"/>
          <w:szCs w:val="24"/>
        </w:rPr>
        <w:t>inden for en af nævnet fastsat frist skal at afhænde ejerandele eller kapitalandele i det det pågældende fællesskab eller selskab.</w:t>
      </w:r>
    </w:p>
    <w:p w14:paraId="61ABCFB9"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174CC84C"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En afgørelse efter den foreslåede bestemmelse vil indebære, at personer, som er reelle ejere af den pågældende virksomhed, vil skulle afhænde ejerandele eller kapitalandele i det pågældende fællesskab eller selskab. Dette vil efter omstændighederne kunne være tilfældet for personer, som ikke er advokater og har ejerandele, idet det dog bemærkes, at vedkommende skal kunne betragtes som reel ejer.</w:t>
      </w:r>
    </w:p>
    <w:p w14:paraId="77ACC826"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br/>
        <w:t>Den foreslåede bestemmelse vil for advokater, hvis fællesskab af advokater er organiseret som et interessentskab, indebære, at de for det første vil skulle afhænde sin ejerandel. Alt afhængig af det pågældende interessentskabs samejeoverenskomst vil det automatisk indebære, at den pågældende udtræder af interessentskabet og løses fra sine og interessentskabets forpligtelser og ellers vil påbuddet tillige omfatte en sådan retsvirkning. Det bemærkes i relation hertil, at der for interessentskabets medkontrahenter vil være tale om et debitorskifte uden, at de pågældende har meddelt deres samtykke hertil. Advokatrådet og Advokatnævnet vil ved afgørelser efter den foreslåede bestemmelse skulle tage særskilt hensyn hertil. For et advokatselskab vil den foreslåede bestemmelse indebære, at ejerandels- eller kapitalandelindehaveren afhænder sine ejerandele eller kapitalandele til de øvrige partnere og medejere eller evt. til en ny indtrædende medejer.</w:t>
      </w:r>
    </w:p>
    <w:p w14:paraId="3A875104"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743BDFFD"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Ved at afhænde ejerandele forstås, at den pågældende person skal overdrage, sælge eller på anden måde afgive ejerskabet til sine ejerandele, således at personen ikke længere opfylder kriterierne for at have kvalificerede ejerandele eller udøve kontrol over virksomheden. Afhændelsen skal ske på en måde, der reelt og varigt bringer ejerskabet eller kontrollen til ophør, og således at den pågældende ikke længere har bestemmende indflydelse, direkte eller indirekte, over virksomheden. Det kan eksempelvis ske ved salg af aktier eller anparter, overdragelse af ejerandele til tredjemand, eller ved at indgå aftaler, der bringer stemmeret eller kontrol til ophør. Det er afgørende, at afhændelsen er reel og ikke blot formel, og at den pågældende ikke bevarer nogen form for bestemmende indflydelse over virksomheden.</w:t>
      </w:r>
    </w:p>
    <w:p w14:paraId="380CEF70"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634A5F59"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Bestemmelsen omfatter også personer, der udøver kontrol på anden vis, eksempelvis gennem aftaler, stemmeaftaler eller andre arrangementer, der reelt giver kontrol over selskabet eller fællesskabet, uanset om dette sker via ejerandele eller ej.</w:t>
      </w:r>
    </w:p>
    <w:p w14:paraId="3738B3FF"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3DBD1EB4" w14:textId="6AFCE6BA" w:rsidR="003F4FA1" w:rsidRPr="00796736" w:rsidRDefault="003F4FA1" w:rsidP="003F4FA1">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forudsættes, at Advokatrådet</w:t>
      </w:r>
      <w:r>
        <w:rPr>
          <w:rFonts w:ascii="Times New Roman" w:eastAsia="Times New Roman" w:hAnsi="Times New Roman" w:cs="Times New Roman"/>
          <w:iCs/>
          <w:sz w:val="24"/>
          <w:szCs w:val="24"/>
          <w:lang w:eastAsia="da-DK"/>
        </w:rPr>
        <w:t xml:space="preserve"> overvejer mindre indgribende tiltag førend der skrides til at indstille til afgørelse efter den foreslåede bestemmelse og at Advokatnævnet foretager en selvstændig proportionalitetsvurdering af, om indgrebet er forholdsmæssigt. </w:t>
      </w:r>
      <w:r w:rsidRPr="00796736">
        <w:rPr>
          <w:rFonts w:ascii="Times New Roman" w:eastAsia="Times New Roman" w:hAnsi="Times New Roman" w:cs="Times New Roman"/>
          <w:iCs/>
          <w:sz w:val="24"/>
          <w:szCs w:val="24"/>
          <w:lang w:eastAsia="da-DK"/>
        </w:rPr>
        <w:t xml:space="preserve">Det afgørende er, at de pågældende personer adskilles fra at kunne udøve bestemmelse indflydelse overfor advokatselskabet eller fællesskabet af advokater, og i det omfang dette formål kan imødekommes med mindre indgribende foranstaltninger, vil Advokatrådet først skulle forsøge sig hermed. Det forudsættes endvidere, at Advokatnævnet og Advokatrådet ved vurderingen af, inden for hvilken frist påbuddet skal være gennemført, blandt andet vil skulle tage hensyn til, at adressaten for påbuddet ikke påføres et urimeligt økonomisk tab eller at afhændelsen på anden måde er uforholdsmæssigt tabsgivende samt at der sker en reel og forsvarlig afvikling af den pågældendes aktiviteter. </w:t>
      </w:r>
      <w:r>
        <w:rPr>
          <w:rFonts w:ascii="Times New Roman" w:eastAsia="Times New Roman" w:hAnsi="Times New Roman" w:cs="Times New Roman"/>
          <w:iCs/>
          <w:sz w:val="24"/>
          <w:szCs w:val="24"/>
          <w:lang w:eastAsia="da-DK"/>
        </w:rPr>
        <w:t>Advokatrådet</w:t>
      </w:r>
      <w:r w:rsidRPr="00796736">
        <w:rPr>
          <w:rFonts w:ascii="Times New Roman" w:eastAsia="Times New Roman" w:hAnsi="Times New Roman" w:cs="Times New Roman"/>
          <w:iCs/>
          <w:sz w:val="24"/>
          <w:szCs w:val="24"/>
          <w:lang w:eastAsia="da-DK"/>
        </w:rPr>
        <w:t xml:space="preserve"> vil i sådanne tilfælde kunne supplere en afgørelse med påbud efter den foreslåede</w:t>
      </w:r>
      <w:r>
        <w:rPr>
          <w:rFonts w:ascii="Times New Roman" w:eastAsia="Times New Roman" w:hAnsi="Times New Roman" w:cs="Times New Roman"/>
          <w:iCs/>
          <w:sz w:val="24"/>
          <w:szCs w:val="24"/>
          <w:lang w:eastAsia="da-DK"/>
        </w:rPr>
        <w:t xml:space="preserve"> </w:t>
      </w:r>
      <w:r>
        <w:rPr>
          <w:rFonts w:ascii="Times New Roman" w:eastAsia="Times New Roman" w:hAnsi="Times New Roman" w:cs="Times New Roman"/>
          <w:iCs/>
          <w:sz w:val="24"/>
          <w:szCs w:val="24"/>
          <w:lang w:eastAsia="da-DK"/>
        </w:rPr>
        <w:fldChar w:fldCharType="begin"/>
      </w:r>
      <w:r>
        <w:rPr>
          <w:rFonts w:ascii="Times New Roman" w:eastAsia="Times New Roman" w:hAnsi="Times New Roman" w:cs="Times New Roman"/>
          <w:iCs/>
          <w:sz w:val="24"/>
          <w:szCs w:val="24"/>
          <w:lang w:eastAsia="da-DK"/>
        </w:rPr>
        <w:instrText xml:space="preserve"> REF _Ref244787564 \n \h </w:instrText>
      </w:r>
      <w:r>
        <w:rPr>
          <w:rFonts w:ascii="Times New Roman" w:eastAsia="Times New Roman" w:hAnsi="Times New Roman" w:cs="Times New Roman"/>
          <w:iCs/>
          <w:sz w:val="24"/>
          <w:szCs w:val="24"/>
          <w:lang w:eastAsia="da-DK"/>
        </w:rPr>
      </w:r>
      <w:r>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102</w:t>
      </w:r>
      <w:r>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som skal finde anvendelse indtil fristen er udløbet.</w:t>
      </w:r>
    </w:p>
    <w:p w14:paraId="2592CBDF" w14:textId="77777777" w:rsidR="00607F0F" w:rsidRPr="00796736" w:rsidRDefault="00607F0F" w:rsidP="00A802A5">
      <w:pPr>
        <w:spacing w:line="360" w:lineRule="auto"/>
        <w:rPr>
          <w:rFonts w:ascii="Times New Roman" w:hAnsi="Times New Roman" w:cs="Times New Roman"/>
          <w:sz w:val="24"/>
          <w:szCs w:val="24"/>
        </w:rPr>
      </w:pPr>
    </w:p>
    <w:p w14:paraId="25765739" w14:textId="5900A7BF" w:rsidR="00607F0F" w:rsidRPr="00796736" w:rsidRDefault="00607F0F" w:rsidP="00A802A5">
      <w:pPr>
        <w:pStyle w:val="Undertitel"/>
      </w:pPr>
      <w:bookmarkStart w:id="2173" w:name="_Toc244879403"/>
      <w:bookmarkStart w:id="2174" w:name="_Toc244880928"/>
      <w:r w:rsidRPr="00796736">
        <w:t xml:space="preserve">Til </w:t>
      </w:r>
      <w:r w:rsidRPr="00796736">
        <w:fldChar w:fldCharType="begin"/>
      </w:r>
      <w:r w:rsidRPr="00796736">
        <w:instrText xml:space="preserve"> REF _Ref236998578 \r \h </w:instrText>
      </w:r>
      <w:r w:rsidR="002C5834" w:rsidRPr="00796736">
        <w:instrText xml:space="preserve"> \* MERGEFORMAT </w:instrText>
      </w:r>
      <w:r w:rsidRPr="00796736">
        <w:fldChar w:fldCharType="separate"/>
      </w:r>
      <w:r w:rsidR="008F29E5">
        <w:t>§ 107</w:t>
      </w:r>
      <w:bookmarkEnd w:id="2173"/>
      <w:bookmarkEnd w:id="2174"/>
      <w:r w:rsidRPr="00796736">
        <w:fldChar w:fldCharType="end"/>
      </w:r>
    </w:p>
    <w:p w14:paraId="20D7386B" w14:textId="18ED3699"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retsplejelovens § 147 c, stk. 5 og 6, kan Advokatnævnet ved behandling af sager efter § 147 c, stk. 8 og 9, træffe afgørelse henholdsvis midlertidig frakendelse af retten til at udøve advokatvirksomhed og retten til at eje aktier eller anparter i et advokatselskab. For nærmere herom henvises til gennemgangen af reglerne i pkt. </w:t>
      </w:r>
      <w:r w:rsidR="00FA6C24" w:rsidRPr="00796736">
        <w:rPr>
          <w:rFonts w:ascii="Times New Roman" w:hAnsi="Times New Roman" w:cs="Times New Roman"/>
          <w:sz w:val="24"/>
          <w:szCs w:val="24"/>
        </w:rPr>
        <w:fldChar w:fldCharType="begin"/>
      </w:r>
      <w:r w:rsidR="00FA6C24" w:rsidRPr="00796736">
        <w:rPr>
          <w:rFonts w:ascii="Times New Roman" w:hAnsi="Times New Roman" w:cs="Times New Roman"/>
          <w:sz w:val="24"/>
          <w:szCs w:val="24"/>
        </w:rPr>
        <w:instrText xml:space="preserve"> REF _Ref242904665 \n \h </w:instrText>
      </w:r>
      <w:r w:rsidR="00AB17CC" w:rsidRPr="00796736">
        <w:rPr>
          <w:rFonts w:ascii="Times New Roman" w:hAnsi="Times New Roman" w:cs="Times New Roman"/>
          <w:sz w:val="24"/>
          <w:szCs w:val="24"/>
        </w:rPr>
        <w:instrText xml:space="preserve"> \* MERGEFORMAT </w:instrText>
      </w:r>
      <w:r w:rsidR="00FA6C24" w:rsidRPr="00796736">
        <w:rPr>
          <w:rFonts w:ascii="Times New Roman" w:hAnsi="Times New Roman" w:cs="Times New Roman"/>
          <w:sz w:val="24"/>
          <w:szCs w:val="24"/>
        </w:rPr>
      </w:r>
      <w:r w:rsidR="00FA6C24"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w:t>
      </w:r>
      <w:r w:rsidR="00FA6C24" w:rsidRPr="00796736">
        <w:rPr>
          <w:rFonts w:ascii="Times New Roman" w:hAnsi="Times New Roman" w:cs="Times New Roman"/>
          <w:sz w:val="24"/>
          <w:szCs w:val="24"/>
        </w:rPr>
        <w:fldChar w:fldCharType="end"/>
      </w:r>
      <w:r w:rsidR="00FA6C24"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B9C3683" w14:textId="77777777" w:rsidR="00306122" w:rsidRPr="00796736" w:rsidRDefault="00306122" w:rsidP="00A802A5">
      <w:pPr>
        <w:spacing w:line="360" w:lineRule="auto"/>
        <w:rPr>
          <w:rFonts w:ascii="Times New Roman" w:hAnsi="Times New Roman" w:cs="Times New Roman"/>
          <w:sz w:val="24"/>
          <w:szCs w:val="24"/>
        </w:rPr>
      </w:pPr>
    </w:p>
    <w:p w14:paraId="32E43108" w14:textId="2E38021B"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_Ref239435504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107</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 xml:space="preserve">at Advokatrådet </w:t>
      </w:r>
      <w:r w:rsidRPr="00796736">
        <w:rPr>
          <w:rFonts w:ascii="Times New Roman" w:hAnsi="Times New Roman" w:cs="Times New Roman"/>
          <w:sz w:val="24"/>
          <w:szCs w:val="24"/>
          <w:lang w:eastAsia="da-DK"/>
        </w:rPr>
        <w:t xml:space="preserve">under Advokatnævnets behandling af en sag efter </w:t>
      </w:r>
      <w:r w:rsidR="003F4FA1">
        <w:rPr>
          <w:rFonts w:ascii="Times New Roman" w:hAnsi="Times New Roman" w:cs="Times New Roman"/>
          <w:sz w:val="24"/>
          <w:szCs w:val="24"/>
          <w:lang w:eastAsia="da-DK"/>
        </w:rPr>
        <w:fldChar w:fldCharType="begin"/>
      </w:r>
      <w:r w:rsidR="003F4FA1">
        <w:rPr>
          <w:rFonts w:ascii="Times New Roman" w:hAnsi="Times New Roman" w:cs="Times New Roman"/>
          <w:sz w:val="24"/>
          <w:szCs w:val="24"/>
          <w:lang w:eastAsia="da-DK"/>
        </w:rPr>
        <w:instrText xml:space="preserve"> REF _Ref244787574 \n \h </w:instrText>
      </w:r>
      <w:r w:rsidR="003F4FA1">
        <w:rPr>
          <w:rFonts w:ascii="Times New Roman" w:hAnsi="Times New Roman" w:cs="Times New Roman"/>
          <w:sz w:val="24"/>
          <w:szCs w:val="24"/>
          <w:lang w:eastAsia="da-DK"/>
        </w:rPr>
      </w:r>
      <w:r w:rsidR="003F4FA1">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103</w:t>
      </w:r>
      <w:r w:rsidR="003F4FA1">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_Ref236987494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kan meddele advokaten et midlertidigt påbud, hvis rådet skønner, at der er en begrundet mistanke om, at betingelserne for meddelelse af påbud efter én af bestemmelserne er opfyldt, og hvis der er overhængende fare for, at advokaten under sagens behandling groft eller oftere gentagent vil foretage overtrædelser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_Ref242893180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nr. 1. </w:t>
      </w:r>
      <w:r w:rsidR="00B10B2C">
        <w:rPr>
          <w:rFonts w:ascii="Times New Roman" w:eastAsia="Times New Roman" w:hAnsi="Times New Roman" w:cs="Times New Roman"/>
          <w:iCs/>
          <w:sz w:val="24"/>
          <w:szCs w:val="24"/>
          <w:lang w:eastAsia="da-DK"/>
        </w:rPr>
        <w:t>Retsplejelovens § 147 c, stk. 5, 2. pkt. finder tilsvarende anvendelse for midlertidige afgørelser efter 1. pkt.</w:t>
      </w:r>
    </w:p>
    <w:p w14:paraId="7739DA0B"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016EC58C"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skal forstås i overensstemmelse med retsplejelovens § 147 c, stk. 5 og 6, dog således at kompetencen til at meddele midlertidige foranstaltninger er tillagt Advokatrådet og ikke Advokatnævnet. Det bemærkes, at bestemmelsen indeholder to betingelser, som begge vil skulle være opfyldte, førend der kan meddeles et påbud. </w:t>
      </w:r>
    </w:p>
    <w:p w14:paraId="119D2E8E" w14:textId="4C1CBDC2"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br/>
        <w:t>Rådet skal for det første have en begrundet mistanke om, at betingelserne for at meddele et påbud efter én af de foreslåede bestemmelser er opfyldt. Denne betingelse</w:t>
      </w:r>
      <w:r w:rsidR="00B10B2C">
        <w:rPr>
          <w:rFonts w:ascii="Times New Roman" w:eastAsia="Times New Roman" w:hAnsi="Times New Roman" w:cs="Times New Roman"/>
          <w:iCs/>
          <w:sz w:val="24"/>
          <w:szCs w:val="24"/>
          <w:lang w:eastAsia="da-DK"/>
        </w:rPr>
        <w:t xml:space="preserve"> </w:t>
      </w:r>
      <w:r w:rsidRPr="00796736">
        <w:rPr>
          <w:rFonts w:ascii="Times New Roman" w:eastAsia="Times New Roman" w:hAnsi="Times New Roman" w:cs="Times New Roman"/>
          <w:iCs/>
          <w:sz w:val="24"/>
          <w:szCs w:val="24"/>
          <w:lang w:eastAsia="da-DK"/>
        </w:rPr>
        <w:t xml:space="preserve">vil i almindelighed kunne anses for opfyldt i forbindelse med rådets indledning af sager om påbud. </w:t>
      </w:r>
    </w:p>
    <w:p w14:paraId="560FB4E2"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339B2964" w14:textId="0FFA602D"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Efter den anden betingelse skal der være overhængende fare for, at advokaten under sagens behandling vil groft eller oftere gentagent vil foretage overtrædelser omfattet af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_Ref242893180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stk. 1, nr. 1. Den foreslåede bestemmelse skal forstås i overensstemmelse med retsplejelovens § 147 c, stk. 5 og 6, hvilket indebærer, at der med ”overhængende fare” skal forstås, at det kræves, at der foreligger konkrete og aktuelle oplysninger, som både sandsynliggør, at betingelserne for den endelige foranstaltning er opfyldt og at der under sagens behandling vil være en nærliggende risiko for grove eller gentagne overtrædelser, der ikke kan afværges med mindre indgribende foranstaltninger.</w:t>
      </w:r>
    </w:p>
    <w:p w14:paraId="628FB70B"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29CD2AF1" w14:textId="48A6E3B5" w:rsidR="00E10EFF" w:rsidRPr="00796736" w:rsidRDefault="00E10EFF" w:rsidP="00E10EFF">
      <w:pPr>
        <w:spacing w:line="360" w:lineRule="auto"/>
        <w:rPr>
          <w:rFonts w:ascii="Times New Roman" w:eastAsia="Times New Roman" w:hAnsi="Times New Roman" w:cs="Times New Roman"/>
          <w:iCs/>
          <w:sz w:val="24"/>
          <w:szCs w:val="24"/>
          <w:lang w:eastAsia="da-DK"/>
        </w:rPr>
      </w:pPr>
      <w:r>
        <w:rPr>
          <w:rFonts w:ascii="Times New Roman" w:eastAsia="Times New Roman" w:hAnsi="Times New Roman" w:cs="Times New Roman"/>
          <w:iCs/>
          <w:sz w:val="24"/>
          <w:szCs w:val="24"/>
          <w:lang w:eastAsia="da-DK"/>
        </w:rPr>
        <w:t>Det foreslåede</w:t>
      </w:r>
      <w:r w:rsidRPr="00796736">
        <w:rPr>
          <w:rFonts w:ascii="Times New Roman" w:eastAsia="Times New Roman" w:hAnsi="Times New Roman" w:cs="Times New Roman"/>
          <w:iCs/>
          <w:sz w:val="24"/>
          <w:szCs w:val="24"/>
          <w:lang w:eastAsia="da-DK"/>
        </w:rPr>
        <w:t xml:space="preserve"> 2. pkt. </w:t>
      </w:r>
      <w:r>
        <w:rPr>
          <w:rFonts w:ascii="Times New Roman" w:eastAsia="Times New Roman" w:hAnsi="Times New Roman" w:cs="Times New Roman"/>
          <w:iCs/>
          <w:sz w:val="24"/>
          <w:szCs w:val="24"/>
          <w:lang w:eastAsia="da-DK"/>
        </w:rPr>
        <w:t>vil indebære, at Advokatnævnets</w:t>
      </w:r>
      <w:r w:rsidRPr="00796736">
        <w:rPr>
          <w:rFonts w:ascii="Times New Roman" w:eastAsia="Times New Roman" w:hAnsi="Times New Roman" w:cs="Times New Roman"/>
          <w:iCs/>
          <w:sz w:val="24"/>
          <w:szCs w:val="24"/>
          <w:lang w:eastAsia="da-DK"/>
        </w:rPr>
        <w:t xml:space="preserve"> midlertidige afgørelse </w:t>
      </w:r>
      <w:r>
        <w:rPr>
          <w:rFonts w:ascii="Times New Roman" w:eastAsia="Times New Roman" w:hAnsi="Times New Roman" w:cs="Times New Roman"/>
          <w:iCs/>
          <w:sz w:val="24"/>
          <w:szCs w:val="24"/>
          <w:lang w:eastAsia="da-DK"/>
        </w:rPr>
        <w:t xml:space="preserve">gælder </w:t>
      </w:r>
      <w:r w:rsidRPr="00796736">
        <w:rPr>
          <w:rFonts w:ascii="Times New Roman" w:eastAsia="Times New Roman" w:hAnsi="Times New Roman" w:cs="Times New Roman"/>
          <w:iCs/>
          <w:sz w:val="24"/>
          <w:szCs w:val="24"/>
          <w:lang w:eastAsia="da-DK"/>
        </w:rPr>
        <w:t xml:space="preserve">indtil </w:t>
      </w:r>
      <w:r>
        <w:rPr>
          <w:rFonts w:ascii="Times New Roman" w:eastAsia="Times New Roman" w:hAnsi="Times New Roman" w:cs="Times New Roman"/>
          <w:iCs/>
          <w:sz w:val="24"/>
          <w:szCs w:val="24"/>
          <w:lang w:eastAsia="da-DK"/>
        </w:rPr>
        <w:t xml:space="preserve">Advokatnævnets afgørelse i sagen efter </w:t>
      </w:r>
      <w:r w:rsidR="003730E4">
        <w:rPr>
          <w:rFonts w:ascii="Times New Roman" w:hAnsi="Times New Roman" w:cs="Times New Roman"/>
          <w:sz w:val="24"/>
          <w:szCs w:val="24"/>
          <w:lang w:eastAsia="da-DK"/>
        </w:rPr>
        <w:fldChar w:fldCharType="begin"/>
      </w:r>
      <w:r w:rsidR="003730E4">
        <w:rPr>
          <w:rFonts w:ascii="Times New Roman" w:eastAsia="Times New Roman" w:hAnsi="Times New Roman" w:cs="Times New Roman"/>
          <w:iCs/>
          <w:sz w:val="24"/>
          <w:szCs w:val="24"/>
          <w:lang w:eastAsia="da-DK"/>
        </w:rPr>
        <w:instrText xml:space="preserve"> REF _Ref244787574 \n \h </w:instrText>
      </w:r>
      <w:r w:rsidR="003730E4">
        <w:rPr>
          <w:rFonts w:ascii="Times New Roman" w:hAnsi="Times New Roman" w:cs="Times New Roman"/>
          <w:sz w:val="24"/>
          <w:szCs w:val="24"/>
          <w:lang w:eastAsia="da-DK"/>
        </w:rPr>
      </w:r>
      <w:r w:rsidR="003730E4">
        <w:rPr>
          <w:rFonts w:ascii="Times New Roman" w:hAnsi="Times New Roman" w:cs="Times New Roman"/>
          <w:sz w:val="24"/>
          <w:szCs w:val="24"/>
          <w:lang w:eastAsia="da-DK"/>
        </w:rPr>
        <w:fldChar w:fldCharType="separate"/>
      </w:r>
      <w:r w:rsidR="008F29E5">
        <w:rPr>
          <w:rFonts w:ascii="Times New Roman" w:eastAsia="Times New Roman" w:hAnsi="Times New Roman" w:cs="Times New Roman"/>
          <w:iCs/>
          <w:sz w:val="24"/>
          <w:szCs w:val="24"/>
          <w:lang w:eastAsia="da-DK"/>
        </w:rPr>
        <w:t>§ 103</w:t>
      </w:r>
      <w:r w:rsidR="003730E4">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003730E4">
        <w:rPr>
          <w:rFonts w:ascii="Times New Roman" w:hAnsi="Times New Roman" w:cs="Times New Roman"/>
          <w:sz w:val="24"/>
          <w:szCs w:val="24"/>
          <w:lang w:eastAsia="da-DK"/>
        </w:rPr>
        <w:fldChar w:fldCharType="begin"/>
      </w:r>
      <w:r w:rsidR="003730E4">
        <w:rPr>
          <w:rFonts w:ascii="Times New Roman" w:hAnsi="Times New Roman" w:cs="Times New Roman"/>
          <w:sz w:val="24"/>
          <w:szCs w:val="24"/>
          <w:lang w:eastAsia="da-DK"/>
        </w:rPr>
        <w:instrText xml:space="preserve"> REF _Ref244787908 \n \h </w:instrText>
      </w:r>
      <w:r w:rsidR="003730E4">
        <w:rPr>
          <w:rFonts w:ascii="Times New Roman" w:hAnsi="Times New Roman" w:cs="Times New Roman"/>
          <w:sz w:val="24"/>
          <w:szCs w:val="24"/>
          <w:lang w:eastAsia="da-DK"/>
        </w:rPr>
      </w:r>
      <w:r w:rsidR="003730E4">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106</w:t>
      </w:r>
      <w:r w:rsidR="003730E4">
        <w:rPr>
          <w:rFonts w:ascii="Times New Roman" w:hAnsi="Times New Roman" w:cs="Times New Roman"/>
          <w:sz w:val="24"/>
          <w:szCs w:val="24"/>
          <w:lang w:eastAsia="da-DK"/>
        </w:rPr>
        <w:fldChar w:fldCharType="end"/>
      </w:r>
      <w:r>
        <w:rPr>
          <w:rFonts w:ascii="Times New Roman" w:hAnsi="Times New Roman" w:cs="Times New Roman"/>
          <w:sz w:val="24"/>
          <w:szCs w:val="24"/>
          <w:lang w:eastAsia="da-DK"/>
        </w:rPr>
        <w:t xml:space="preserve"> er endelig</w:t>
      </w:r>
      <w:r>
        <w:rPr>
          <w:rFonts w:ascii="Times New Roman" w:eastAsia="Times New Roman" w:hAnsi="Times New Roman" w:cs="Times New Roman"/>
          <w:iCs/>
          <w:sz w:val="24"/>
          <w:szCs w:val="24"/>
          <w:lang w:eastAsia="da-DK"/>
        </w:rPr>
        <w:t xml:space="preserve"> eller retten har truffet afgørelse i medfør af retsplejelovens § 147 e, stk. 3, som finder tilsvarende anvendelse, jf. </w:t>
      </w:r>
      <w:r w:rsidR="003730E4">
        <w:rPr>
          <w:rFonts w:ascii="Times New Roman" w:hAnsi="Times New Roman" w:cs="Times New Roman"/>
          <w:sz w:val="24"/>
          <w:szCs w:val="24"/>
          <w:lang w:eastAsia="da-DK"/>
        </w:rPr>
        <w:fldChar w:fldCharType="begin"/>
      </w:r>
      <w:r w:rsidR="003730E4">
        <w:rPr>
          <w:rFonts w:ascii="Times New Roman" w:eastAsia="Times New Roman" w:hAnsi="Times New Roman" w:cs="Times New Roman"/>
          <w:iCs/>
          <w:sz w:val="24"/>
          <w:szCs w:val="24"/>
          <w:lang w:eastAsia="da-DK"/>
        </w:rPr>
        <w:instrText xml:space="preserve"> REF _Ref242893180 \n \h </w:instrText>
      </w:r>
      <w:r w:rsidR="003730E4">
        <w:rPr>
          <w:rFonts w:ascii="Times New Roman" w:hAnsi="Times New Roman" w:cs="Times New Roman"/>
          <w:sz w:val="24"/>
          <w:szCs w:val="24"/>
          <w:lang w:eastAsia="da-DK"/>
        </w:rPr>
      </w:r>
      <w:r w:rsidR="003730E4">
        <w:rPr>
          <w:rFonts w:ascii="Times New Roman" w:hAnsi="Times New Roman" w:cs="Times New Roman"/>
          <w:sz w:val="24"/>
          <w:szCs w:val="24"/>
          <w:lang w:eastAsia="da-DK"/>
        </w:rPr>
        <w:fldChar w:fldCharType="separate"/>
      </w:r>
      <w:r w:rsidR="008F29E5">
        <w:rPr>
          <w:rFonts w:ascii="Times New Roman" w:eastAsia="Times New Roman" w:hAnsi="Times New Roman" w:cs="Times New Roman"/>
          <w:iCs/>
          <w:sz w:val="24"/>
          <w:szCs w:val="24"/>
          <w:lang w:eastAsia="da-DK"/>
        </w:rPr>
        <w:t>§ 101</w:t>
      </w:r>
      <w:r w:rsidR="003730E4">
        <w:rPr>
          <w:rFonts w:ascii="Times New Roman" w:hAnsi="Times New Roman" w:cs="Times New Roman"/>
          <w:sz w:val="24"/>
          <w:szCs w:val="24"/>
          <w:lang w:eastAsia="da-DK"/>
        </w:rPr>
        <w:fldChar w:fldCharType="end"/>
      </w:r>
      <w:r w:rsidR="003730E4">
        <w:rPr>
          <w:rFonts w:ascii="Times New Roman" w:hAnsi="Times New Roman" w:cs="Times New Roman"/>
          <w:sz w:val="24"/>
          <w:szCs w:val="24"/>
          <w:lang w:eastAsia="da-DK"/>
        </w:rPr>
        <w:t xml:space="preserve">, </w:t>
      </w:r>
      <w:r>
        <w:rPr>
          <w:rFonts w:ascii="Times New Roman" w:hAnsi="Times New Roman" w:cs="Times New Roman"/>
          <w:sz w:val="24"/>
          <w:szCs w:val="24"/>
          <w:lang w:eastAsia="da-DK"/>
        </w:rPr>
        <w:t xml:space="preserve">stk. 3, 2. pkt. </w:t>
      </w:r>
      <w:r>
        <w:rPr>
          <w:rFonts w:ascii="Times New Roman" w:eastAsia="Times New Roman" w:hAnsi="Times New Roman" w:cs="Times New Roman"/>
          <w:iCs/>
          <w:sz w:val="24"/>
          <w:szCs w:val="24"/>
          <w:lang w:eastAsia="da-DK"/>
        </w:rPr>
        <w:t xml:space="preserve"> </w:t>
      </w:r>
    </w:p>
    <w:p w14:paraId="40F54FF8" w14:textId="77777777" w:rsidR="00607F0F" w:rsidRPr="00796736" w:rsidRDefault="00607F0F" w:rsidP="00A802A5">
      <w:pPr>
        <w:spacing w:line="360" w:lineRule="auto"/>
        <w:rPr>
          <w:rFonts w:ascii="Times New Roman" w:hAnsi="Times New Roman" w:cs="Times New Roman"/>
          <w:sz w:val="24"/>
          <w:szCs w:val="24"/>
        </w:rPr>
      </w:pPr>
    </w:p>
    <w:p w14:paraId="10D5AED7" w14:textId="047511F3" w:rsidR="007A2663" w:rsidRPr="00796736" w:rsidRDefault="00A16C19" w:rsidP="00A802A5">
      <w:pPr>
        <w:pStyle w:val="Undertitel"/>
      </w:pPr>
      <w:bookmarkStart w:id="2175" w:name="_Toc232109431"/>
      <w:bookmarkStart w:id="2176" w:name="_Toc244879404"/>
      <w:bookmarkStart w:id="2177" w:name="_Toc244880929"/>
      <w:r w:rsidRPr="00796736">
        <w:t xml:space="preserve">Til </w:t>
      </w:r>
      <w:bookmarkEnd w:id="2175"/>
      <w:r w:rsidR="00C86CFF" w:rsidRPr="00796736">
        <w:fldChar w:fldCharType="begin"/>
      </w:r>
      <w:r w:rsidR="00C86CFF" w:rsidRPr="00796736">
        <w:instrText xml:space="preserve"> REF _Ref232609331 \r \h </w:instrText>
      </w:r>
      <w:r w:rsidR="00967618" w:rsidRPr="00796736">
        <w:instrText xml:space="preserve"> \* MERGEFORMAT </w:instrText>
      </w:r>
      <w:r w:rsidR="00C86CFF" w:rsidRPr="00796736">
        <w:fldChar w:fldCharType="separate"/>
      </w:r>
      <w:r w:rsidR="008F29E5">
        <w:t>§ 108</w:t>
      </w:r>
      <w:bookmarkEnd w:id="2176"/>
      <w:bookmarkEnd w:id="2177"/>
      <w:r w:rsidR="00C86CFF" w:rsidRPr="00796736">
        <w:fldChar w:fldCharType="end"/>
      </w:r>
    </w:p>
    <w:p w14:paraId="48426161" w14:textId="77777777" w:rsidR="000C231E" w:rsidRPr="00796736" w:rsidRDefault="000C231E" w:rsidP="000C231E">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gældende hvidvasklovs § 64 a, stk. 1-9, </w:t>
      </w:r>
      <w:r w:rsidRPr="00D253F0">
        <w:rPr>
          <w:rFonts w:ascii="Times New Roman" w:hAnsi="Times New Roman" w:cs="Times New Roman"/>
          <w:sz w:val="24"/>
          <w:szCs w:val="24"/>
        </w:rPr>
        <w:t xml:space="preserve">gælder en række regler for </w:t>
      </w:r>
      <w:r>
        <w:rPr>
          <w:rFonts w:ascii="Times New Roman" w:hAnsi="Times New Roman" w:cs="Times New Roman"/>
          <w:sz w:val="24"/>
          <w:szCs w:val="24"/>
        </w:rPr>
        <w:t>offentliggørelse af afgørelser og foranstaltninger, som træffes som led i Advokatrådets tilsyn samt de afgørelser, som Advokatnævnet træffer efter indstilling fra Advokatrådet</w:t>
      </w:r>
      <w:r w:rsidRPr="00D253F0">
        <w:rPr>
          <w:rFonts w:ascii="Times New Roman" w:hAnsi="Times New Roman" w:cs="Times New Roman"/>
          <w:sz w:val="24"/>
          <w:szCs w:val="24"/>
        </w:rPr>
        <w:t>.</w:t>
      </w:r>
    </w:p>
    <w:p w14:paraId="2F69E1E9" w14:textId="77777777" w:rsidR="00A16C19" w:rsidRPr="00796736" w:rsidRDefault="00A16C19" w:rsidP="00A802A5">
      <w:pPr>
        <w:spacing w:line="360" w:lineRule="auto"/>
        <w:rPr>
          <w:rFonts w:ascii="Times New Roman" w:hAnsi="Times New Roman" w:cs="Times New Roman"/>
          <w:sz w:val="24"/>
          <w:szCs w:val="24"/>
        </w:rPr>
      </w:pPr>
    </w:p>
    <w:p w14:paraId="0C0C6BD5" w14:textId="5FF24060"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gældende ret henvises til pkt. </w:t>
      </w:r>
      <w:r w:rsidR="00397FDE" w:rsidRPr="00796736">
        <w:rPr>
          <w:rFonts w:ascii="Times New Roman" w:hAnsi="Times New Roman" w:cs="Times New Roman"/>
          <w:sz w:val="24"/>
          <w:szCs w:val="24"/>
        </w:rPr>
        <w:fldChar w:fldCharType="begin"/>
      </w:r>
      <w:r w:rsidR="00397FDE" w:rsidRPr="00796736">
        <w:rPr>
          <w:rFonts w:ascii="Times New Roman" w:hAnsi="Times New Roman" w:cs="Times New Roman"/>
          <w:sz w:val="24"/>
          <w:szCs w:val="24"/>
        </w:rPr>
        <w:instrText xml:space="preserve"> REF _Ref232968617 \n \h </w:instrText>
      </w:r>
      <w:r w:rsidR="00967618" w:rsidRPr="00796736">
        <w:rPr>
          <w:rFonts w:ascii="Times New Roman" w:hAnsi="Times New Roman" w:cs="Times New Roman"/>
          <w:sz w:val="24"/>
          <w:szCs w:val="24"/>
        </w:rPr>
        <w:instrText xml:space="preserve"> \* MERGEFORMAT </w:instrText>
      </w:r>
      <w:r w:rsidR="00397FDE" w:rsidRPr="00796736">
        <w:rPr>
          <w:rFonts w:ascii="Times New Roman" w:hAnsi="Times New Roman" w:cs="Times New Roman"/>
          <w:sz w:val="24"/>
          <w:szCs w:val="24"/>
        </w:rPr>
      </w:r>
      <w:r w:rsidR="00397FD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3.69</w:t>
      </w:r>
      <w:r w:rsidR="00397FDE" w:rsidRPr="00796736">
        <w:rPr>
          <w:rFonts w:ascii="Times New Roman" w:hAnsi="Times New Roman" w:cs="Times New Roman"/>
          <w:sz w:val="24"/>
          <w:szCs w:val="24"/>
        </w:rPr>
        <w:fldChar w:fldCharType="end"/>
      </w:r>
      <w:r w:rsidR="00397FDE"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53919498" w14:textId="77777777" w:rsidR="00A16C19" w:rsidRPr="00796736" w:rsidRDefault="00A16C19" w:rsidP="00A802A5">
      <w:pPr>
        <w:spacing w:line="360" w:lineRule="auto"/>
        <w:rPr>
          <w:rFonts w:ascii="Times New Roman" w:hAnsi="Times New Roman" w:cs="Times New Roman"/>
          <w:sz w:val="24"/>
          <w:szCs w:val="24"/>
        </w:rPr>
      </w:pPr>
    </w:p>
    <w:p w14:paraId="46DA969A" w14:textId="123C4C13" w:rsidR="00A16C19"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_Ref232609331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108</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stk. 1,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 xml:space="preserve">Advokatrådets og </w:t>
      </w:r>
      <w:r w:rsidRPr="00796736">
        <w:rPr>
          <w:rFonts w:ascii="Times New Roman" w:hAnsi="Times New Roman" w:cs="Times New Roman"/>
          <w:sz w:val="24"/>
          <w:szCs w:val="24"/>
          <w:lang w:eastAsia="da-DK"/>
        </w:rPr>
        <w:t xml:space="preserve">Advokatnævnets administrative foranstaltninger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_Ref241670553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0</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2. pkt., </w:t>
      </w:r>
      <w:r w:rsidR="00CF43DC">
        <w:rPr>
          <w:rFonts w:ascii="Times New Roman" w:hAnsi="Times New Roman" w:cs="Times New Roman"/>
          <w:sz w:val="24"/>
          <w:szCs w:val="24"/>
          <w:lang w:eastAsia="da-DK"/>
        </w:rPr>
        <w:fldChar w:fldCharType="begin"/>
      </w:r>
      <w:r w:rsidR="00CF43DC">
        <w:rPr>
          <w:rFonts w:ascii="Times New Roman" w:hAnsi="Times New Roman" w:cs="Times New Roman"/>
          <w:sz w:val="24"/>
          <w:szCs w:val="24"/>
          <w:lang w:eastAsia="da-DK"/>
        </w:rPr>
        <w:instrText xml:space="preserve"> REF _Ref244787574 \n \h </w:instrText>
      </w:r>
      <w:r w:rsidR="00CF43DC">
        <w:rPr>
          <w:rFonts w:ascii="Times New Roman" w:hAnsi="Times New Roman" w:cs="Times New Roman"/>
          <w:sz w:val="24"/>
          <w:szCs w:val="24"/>
          <w:lang w:eastAsia="da-DK"/>
        </w:rPr>
      </w:r>
      <w:r w:rsidR="00CF43DC">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103</w:t>
      </w:r>
      <w:r w:rsidR="00CF43DC">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_Ref236998239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105</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og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_Ref239435504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107</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jf. </w:t>
      </w:r>
      <w:r w:rsidR="00CF43DC">
        <w:rPr>
          <w:rFonts w:ascii="Times New Roman" w:hAnsi="Times New Roman" w:cs="Times New Roman"/>
          <w:sz w:val="24"/>
          <w:szCs w:val="24"/>
          <w:lang w:eastAsia="da-DK"/>
        </w:rPr>
        <w:fldChar w:fldCharType="begin"/>
      </w:r>
      <w:r w:rsidR="00CF43DC">
        <w:rPr>
          <w:rFonts w:ascii="Times New Roman" w:hAnsi="Times New Roman" w:cs="Times New Roman"/>
          <w:sz w:val="24"/>
          <w:szCs w:val="24"/>
          <w:lang w:eastAsia="da-DK"/>
        </w:rPr>
        <w:instrText xml:space="preserve"> REF _Ref244787574 \n \h </w:instrText>
      </w:r>
      <w:r w:rsidR="00CF43DC">
        <w:rPr>
          <w:rFonts w:ascii="Times New Roman" w:hAnsi="Times New Roman" w:cs="Times New Roman"/>
          <w:sz w:val="24"/>
          <w:szCs w:val="24"/>
          <w:lang w:eastAsia="da-DK"/>
        </w:rPr>
      </w:r>
      <w:r w:rsidR="00CF43DC">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103</w:t>
      </w:r>
      <w:r w:rsidR="00CF43DC">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_Ref236998239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105</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jf.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_Ref242893180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101</w:t>
      </w:r>
      <w:r w:rsidRPr="00796736">
        <w:rPr>
          <w:rFonts w:ascii="Times New Roman" w:hAnsi="Times New Roman" w:cs="Times New Roman"/>
          <w:sz w:val="24"/>
          <w:szCs w:val="24"/>
          <w:lang w:eastAsia="da-DK"/>
        </w:rPr>
        <w:fldChar w:fldCharType="end"/>
      </w:r>
      <w:r w:rsidR="00CF43DC">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 xml:space="preserve">stk. 1, nr. 1, samt tvangsbøder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_Ref239757742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138</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og beslutninger om at overdrage en sag til politimæssig efterforskning skal offentliggøres af Advokatrådet på Advokatsamfundets hjemmeside, jf. dog stk. 4. Offentliggørelsen skal indeholde oplysninger om overtrædelsens type og art samt ved tvangsbøder deres beløb. Offentliggørelsen skal endvidere indeholde oplysning om advokatens navn, jf. dog stk. 3 og 4.</w:t>
      </w:r>
    </w:p>
    <w:p w14:paraId="7BCDB92C"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16E8385D" w14:textId="438E7E2B" w:rsidR="00DA721D" w:rsidRPr="00796736" w:rsidRDefault="00DA721D" w:rsidP="00DA721D">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Begrebet administrative foranstaltninger omfatter </w:t>
      </w:r>
      <w:r>
        <w:rPr>
          <w:rFonts w:ascii="Times New Roman" w:hAnsi="Times New Roman" w:cs="Times New Roman"/>
          <w:sz w:val="24"/>
          <w:szCs w:val="24"/>
        </w:rPr>
        <w:t>de</w:t>
      </w:r>
      <w:r w:rsidRPr="00D253F0">
        <w:rPr>
          <w:rFonts w:ascii="Times New Roman" w:hAnsi="Times New Roman" w:cs="Times New Roman"/>
          <w:sz w:val="24"/>
          <w:szCs w:val="24"/>
        </w:rPr>
        <w:t xml:space="preserve"> skridt, som Advokatrådet </w:t>
      </w:r>
      <w:r>
        <w:rPr>
          <w:rFonts w:ascii="Times New Roman" w:hAnsi="Times New Roman" w:cs="Times New Roman"/>
          <w:sz w:val="24"/>
          <w:szCs w:val="24"/>
        </w:rPr>
        <w:t xml:space="preserve">træffer efter </w:t>
      </w:r>
      <w:r>
        <w:rPr>
          <w:rFonts w:ascii="Times New Roman" w:hAnsi="Times New Roman" w:cs="Times New Roman"/>
          <w:sz w:val="24"/>
          <w:szCs w:val="24"/>
          <w:lang w:eastAsia="da-DK"/>
        </w:rPr>
        <w:fldChar w:fldCharType="begin"/>
      </w:r>
      <w:r>
        <w:rPr>
          <w:rFonts w:ascii="Times New Roman" w:hAnsi="Times New Roman" w:cs="Times New Roman"/>
          <w:sz w:val="24"/>
          <w:szCs w:val="24"/>
        </w:rPr>
        <w:instrText xml:space="preserve"> REF _Ref244787564 \n \h </w:instrText>
      </w:r>
      <w:r>
        <w:rPr>
          <w:rFonts w:ascii="Times New Roman" w:hAnsi="Times New Roman" w:cs="Times New Roman"/>
          <w:sz w:val="24"/>
          <w:szCs w:val="24"/>
          <w:lang w:eastAsia="da-DK"/>
        </w:rPr>
      </w:r>
      <w:r>
        <w:rPr>
          <w:rFonts w:ascii="Times New Roman" w:hAnsi="Times New Roman" w:cs="Times New Roman"/>
          <w:sz w:val="24"/>
          <w:szCs w:val="24"/>
          <w:lang w:eastAsia="da-DK"/>
        </w:rPr>
        <w:fldChar w:fldCharType="separate"/>
      </w:r>
      <w:r w:rsidR="008F29E5">
        <w:rPr>
          <w:rFonts w:ascii="Times New Roman" w:hAnsi="Times New Roman" w:cs="Times New Roman"/>
          <w:sz w:val="24"/>
          <w:szCs w:val="24"/>
        </w:rPr>
        <w:t>§ 102</w:t>
      </w:r>
      <w:r>
        <w:rPr>
          <w:rFonts w:ascii="Times New Roman" w:hAnsi="Times New Roman" w:cs="Times New Roman"/>
          <w:sz w:val="24"/>
          <w:szCs w:val="24"/>
          <w:lang w:eastAsia="da-DK"/>
        </w:rPr>
        <w:fldChar w:fldCharType="end"/>
      </w:r>
      <w:r>
        <w:rPr>
          <w:rFonts w:ascii="Times New Roman" w:hAnsi="Times New Roman" w:cs="Times New Roman"/>
          <w:sz w:val="24"/>
          <w:szCs w:val="24"/>
          <w:lang w:eastAsia="da-DK"/>
        </w:rPr>
        <w:t>, stk. 1, 2. pkt.,</w:t>
      </w:r>
      <w:r>
        <w:rPr>
          <w:rFonts w:ascii="Times New Roman" w:hAnsi="Times New Roman" w:cs="Times New Roman"/>
          <w:sz w:val="24"/>
          <w:szCs w:val="24"/>
        </w:rPr>
        <w:t xml:space="preserve"> samt de afgørelser, som</w:t>
      </w:r>
      <w:r w:rsidRPr="00D253F0">
        <w:rPr>
          <w:rFonts w:ascii="Times New Roman" w:hAnsi="Times New Roman" w:cs="Times New Roman"/>
          <w:sz w:val="24"/>
          <w:szCs w:val="24"/>
        </w:rPr>
        <w:t xml:space="preserve"> Advokatnævnet </w:t>
      </w:r>
      <w:r>
        <w:rPr>
          <w:rFonts w:ascii="Times New Roman" w:hAnsi="Times New Roman" w:cs="Times New Roman"/>
          <w:sz w:val="24"/>
          <w:szCs w:val="24"/>
        </w:rPr>
        <w:t>træffer efter indstilling fra Advokatrådet. Det omfatter endvidere Advokatrådets</w:t>
      </w:r>
      <w:r w:rsidRPr="00D253F0">
        <w:rPr>
          <w:rFonts w:ascii="Times New Roman" w:hAnsi="Times New Roman" w:cs="Times New Roman"/>
          <w:sz w:val="24"/>
          <w:szCs w:val="24"/>
        </w:rPr>
        <w:t xml:space="preserve"> beslutninger om at overgive sager til politimæssig efterforskning i medfør af de nævnte bestemmelser.</w:t>
      </w:r>
      <w:r>
        <w:rPr>
          <w:rFonts w:ascii="Times New Roman" w:hAnsi="Times New Roman" w:cs="Times New Roman"/>
          <w:sz w:val="24"/>
          <w:szCs w:val="24"/>
        </w:rPr>
        <w:t xml:space="preserve"> Det bemærkes for så vidt angår Advokatrådets påbud, at alene påbud efter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_Ref244787564 \n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102</w:t>
      </w:r>
      <w:r>
        <w:rPr>
          <w:rFonts w:ascii="Times New Roman" w:hAnsi="Times New Roman" w:cs="Times New Roman"/>
          <w:sz w:val="24"/>
          <w:szCs w:val="24"/>
        </w:rPr>
        <w:fldChar w:fldCharType="end"/>
      </w:r>
      <w:r>
        <w:rPr>
          <w:rFonts w:ascii="Times New Roman" w:hAnsi="Times New Roman" w:cs="Times New Roman"/>
          <w:sz w:val="24"/>
          <w:szCs w:val="24"/>
        </w:rPr>
        <w:t>, stk. 1, 2. pkt., vil være omfattet af bestemmelsen.</w:t>
      </w:r>
      <w:r w:rsidRPr="00D253F0">
        <w:rPr>
          <w:rFonts w:ascii="Times New Roman" w:hAnsi="Times New Roman" w:cs="Times New Roman"/>
          <w:sz w:val="24"/>
          <w:szCs w:val="24"/>
        </w:rPr>
        <w:t xml:space="preserve"> </w:t>
      </w:r>
      <w:r w:rsidRPr="00796736">
        <w:rPr>
          <w:rFonts w:ascii="Times New Roman" w:hAnsi="Times New Roman" w:cs="Times New Roman"/>
          <w:sz w:val="24"/>
          <w:szCs w:val="24"/>
        </w:rPr>
        <w:t xml:space="preserve">Offentliggørelsesmeddelelsen skal som minimum identificere den fysiske eller juridiske person og overtrædelsens art. Det vil være et krav, at der er tale om tilsynsreaktioner eller -foranstaltninger på baggrund af egentlige overtrædelser af hvidvaskforordningen, denne lov eller regler udstedt i medfør af loven, førend der kan ske offentliggørelse, jf. den foreslåede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_Ref242893180 \n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101</w:t>
      </w:r>
      <w:r>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nr. 1.  </w:t>
      </w:r>
    </w:p>
    <w:p w14:paraId="392B4B09" w14:textId="77777777" w:rsidR="00A16C19" w:rsidRPr="00796736" w:rsidRDefault="00A16C19" w:rsidP="00A802A5">
      <w:pPr>
        <w:spacing w:line="360" w:lineRule="auto"/>
        <w:rPr>
          <w:rFonts w:ascii="Times New Roman" w:hAnsi="Times New Roman" w:cs="Times New Roman"/>
          <w:sz w:val="24"/>
          <w:szCs w:val="24"/>
        </w:rPr>
      </w:pPr>
    </w:p>
    <w:p w14:paraId="3D036F30" w14:textId="77D2E934"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Det foreslåede indebærer, at der ikke vil kunne ske offentliggørelse i situationer, hvor der ikke er konstateret en overtrædelse, men alene er konstateret svagheder i de omfattede personer eller virksomheders interne politikker, procedurer og kontroller, som sandsynligvis vil føre til overtrædelser eller hvis disse ikke står i rimeligt forhold til de risici for hvidvask af penge, de underliggende lovovertrædelser eller finansiering af terrorisme, som personen eller virksomheden er eksponeret for og der er iværksat eller pålagt administrative foranstaltninger efter den foreslåede</w:t>
      </w:r>
      <w:r w:rsidR="00091B06">
        <w:rPr>
          <w:rFonts w:ascii="Times New Roman" w:eastAsia="Times New Roman" w:hAnsi="Times New Roman" w:cs="Times New Roman"/>
          <w:iCs/>
          <w:sz w:val="24"/>
          <w:szCs w:val="24"/>
          <w:lang w:eastAsia="da-DK"/>
        </w:rPr>
        <w:t xml:space="preserve"> § 102</w:t>
      </w:r>
      <w:r w:rsidRPr="00796736">
        <w:rPr>
          <w:rFonts w:ascii="Times New Roman" w:eastAsia="Times New Roman" w:hAnsi="Times New Roman" w:cs="Times New Roman"/>
          <w:iCs/>
          <w:sz w:val="24"/>
          <w:szCs w:val="24"/>
          <w:lang w:eastAsia="da-DK"/>
        </w:rPr>
        <w:t xml:space="preserve">, som sigter til at forhindre eller afværge, at en overtrædelse materialiserer sig. Dette vil f.eks. kunne omfatte vejledende indsatser eller henstillinger. </w:t>
      </w:r>
    </w:p>
    <w:p w14:paraId="59DAA5D3" w14:textId="77777777" w:rsidR="00A16C19" w:rsidRPr="00796736" w:rsidRDefault="00A16C19" w:rsidP="00A802A5">
      <w:pPr>
        <w:spacing w:line="360" w:lineRule="auto"/>
        <w:rPr>
          <w:rFonts w:ascii="Times New Roman" w:hAnsi="Times New Roman" w:cs="Times New Roman"/>
          <w:sz w:val="24"/>
          <w:szCs w:val="24"/>
        </w:rPr>
      </w:pPr>
    </w:p>
    <w:p w14:paraId="5EDE9194"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kan undlade at offentliggøre administrative foranstaltninger og foranstaltninger iværksat i forbindelse med tilsyn, herunder beslutninger om at overdrage en sag til politimæssig efterforskning, </w:t>
      </w:r>
      <w:r w:rsidRPr="00796736">
        <w:rPr>
          <w:rFonts w:ascii="Times New Roman" w:eastAsia="Times New Roman" w:hAnsi="Times New Roman" w:cs="Times New Roman"/>
          <w:iCs/>
          <w:sz w:val="24"/>
          <w:szCs w:val="24"/>
          <w:lang w:eastAsia="da-DK"/>
        </w:rPr>
        <w:t>hvis offentliggørelsen af de pågældende personers identitet eller personoplysninger ud fra en konkret vurdering er uforholdsmæssig, efterforskningsmæssige hensyn taler imod offentliggørelse, eller offentliggørelsen ikke står i rimeligt forhold til overtrædelsens mv. karakter</w:t>
      </w:r>
      <w:r w:rsidRPr="00796736">
        <w:rPr>
          <w:rFonts w:ascii="Times New Roman" w:hAnsi="Times New Roman" w:cs="Times New Roman"/>
          <w:sz w:val="24"/>
          <w:szCs w:val="24"/>
        </w:rPr>
        <w:t>, jf. det foreslåede stk. 4. Det forudsættes, at offentliggørelsen som udgangspunkt skal ske umiddelbart efter, at der er truffet afgørelse eller beslutning om at meddele foranstaltningen. Advokatrådet skal forinden offentliggørelsen orientere den pågældende fysiske eller juridiske person, hvis navn vil fremgå af offentliggørelsen, om den forestående offentliggørelse, således at den pågældende har mulighed for at kunne forberede sig på offentliggørelse.</w:t>
      </w:r>
    </w:p>
    <w:p w14:paraId="2976C2B8" w14:textId="77777777" w:rsidR="00A16C19" w:rsidRPr="00796736" w:rsidRDefault="00A16C19" w:rsidP="00A802A5">
      <w:pPr>
        <w:spacing w:line="360" w:lineRule="auto"/>
        <w:rPr>
          <w:rFonts w:ascii="Times New Roman" w:hAnsi="Times New Roman" w:cs="Times New Roman"/>
          <w:sz w:val="24"/>
          <w:szCs w:val="24"/>
        </w:rPr>
      </w:pPr>
    </w:p>
    <w:p w14:paraId="4C18E46F"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oplysninger om, at fysiske personer har overtrådt lovgivningen, udgør personoplysninger, der er omfattet af databeskyttelsesforordningen og databeskyttelsesloven. Oplysningerne er omfattet af databeskyttelsesforordningens artikel 6. Oplysningerne er desuden omfattet af artikel 10, da der er tale om personoplysninger vedrørende lovovertrædelser. </w:t>
      </w:r>
    </w:p>
    <w:p w14:paraId="72005D20" w14:textId="77777777" w:rsidR="00A16C19" w:rsidRPr="00796736" w:rsidRDefault="00A16C19" w:rsidP="00A802A5">
      <w:pPr>
        <w:spacing w:line="360" w:lineRule="auto"/>
        <w:rPr>
          <w:rFonts w:ascii="Times New Roman" w:hAnsi="Times New Roman" w:cs="Times New Roman"/>
          <w:sz w:val="24"/>
          <w:szCs w:val="24"/>
        </w:rPr>
      </w:pPr>
    </w:p>
    <w:p w14:paraId="1301768F"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behandling af personoplysninger, der forudsætningsvist sker ved offentliggørelsen, vurderes at have hjemmel i databeskyttelsesforordningens artikel 6, stk. 1, litra e, om bl.a. udførelse af en opgave i samfundets interesse, som den dataansvarlige har fået pålagt. Der lægges herved navnlig vægt på, at den omtalte behandling af personoplysninger er en forudsætning for gennemførelse hvidvaskdirektivets artikel 59. </w:t>
      </w:r>
    </w:p>
    <w:p w14:paraId="3A2E0F03" w14:textId="77777777" w:rsidR="00A16C19" w:rsidRPr="00796736" w:rsidRDefault="00A16C19" w:rsidP="00A802A5">
      <w:pPr>
        <w:spacing w:line="360" w:lineRule="auto"/>
        <w:rPr>
          <w:rFonts w:ascii="Times New Roman" w:hAnsi="Times New Roman" w:cs="Times New Roman"/>
          <w:sz w:val="24"/>
          <w:szCs w:val="24"/>
        </w:rPr>
      </w:pPr>
    </w:p>
    <w:p w14:paraId="1402AF5F"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databeskyttelsesforordningens artikel 10, at behandling af personoplysninger vedrørende bl.a. lovovertrædelser på grundlag af artikel 6, stk. 1, kun må foretages under kontrol af en offentlig myndighed, eller hvis behandling har hjemmel i EU-retten eller medlemsstaternes nationale ret, som giver passende garantier for den registreredes rettigheder og frihedsrettigheder. </w:t>
      </w:r>
    </w:p>
    <w:p w14:paraId="460E9BB7" w14:textId="77777777" w:rsidR="00A16C19" w:rsidRPr="00796736" w:rsidRDefault="00A16C19" w:rsidP="00A802A5">
      <w:pPr>
        <w:spacing w:line="360" w:lineRule="auto"/>
        <w:rPr>
          <w:rFonts w:ascii="Times New Roman" w:hAnsi="Times New Roman" w:cs="Times New Roman"/>
          <w:sz w:val="24"/>
          <w:szCs w:val="24"/>
        </w:rPr>
      </w:pPr>
    </w:p>
    <w:p w14:paraId="39788AE8"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den foreslåede bestemmelse skaber hjemmel for Advokatrådet til at behandle oplysninger om lovovertrædelser, jf. databeskyttelsesforordningens artikel 10. Det vurderes, at hjemlen giver passende garantier for registreredes rettigheder og frihedsrettigheder. Der lægges i den forbindelse vægt på, at ordningen er en forudsætning for gennemførelse af hvidvaskdirektivets artikel 58. </w:t>
      </w:r>
    </w:p>
    <w:p w14:paraId="6075AE6F" w14:textId="77777777" w:rsidR="00A16C19" w:rsidRPr="00796736" w:rsidRDefault="00A16C19" w:rsidP="00A802A5">
      <w:pPr>
        <w:spacing w:line="360" w:lineRule="auto"/>
        <w:rPr>
          <w:rFonts w:ascii="Times New Roman" w:hAnsi="Times New Roman" w:cs="Times New Roman"/>
          <w:sz w:val="24"/>
          <w:szCs w:val="24"/>
        </w:rPr>
      </w:pPr>
    </w:p>
    <w:p w14:paraId="1DB1D575" w14:textId="02AC440E"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lægges desuden vægt på, at offentliggørelse som følge af den foreslåede </w:t>
      </w:r>
      <w:r w:rsidR="00397FDE" w:rsidRPr="00796736">
        <w:rPr>
          <w:rFonts w:ascii="Times New Roman" w:hAnsi="Times New Roman" w:cs="Times New Roman"/>
          <w:sz w:val="24"/>
          <w:szCs w:val="24"/>
        </w:rPr>
        <w:fldChar w:fldCharType="begin"/>
      </w:r>
      <w:r w:rsidR="00397FDE" w:rsidRPr="00796736">
        <w:rPr>
          <w:rFonts w:ascii="Times New Roman" w:hAnsi="Times New Roman" w:cs="Times New Roman"/>
          <w:sz w:val="24"/>
          <w:szCs w:val="24"/>
        </w:rPr>
        <w:instrText xml:space="preserve"> REF _Ref232609331 \r \h </w:instrText>
      </w:r>
      <w:r w:rsidR="00967618" w:rsidRPr="00796736">
        <w:rPr>
          <w:rFonts w:ascii="Times New Roman" w:hAnsi="Times New Roman" w:cs="Times New Roman"/>
          <w:sz w:val="24"/>
          <w:szCs w:val="24"/>
        </w:rPr>
        <w:instrText xml:space="preserve"> \* MERGEFORMAT </w:instrText>
      </w:r>
      <w:r w:rsidR="00397FDE" w:rsidRPr="00796736">
        <w:rPr>
          <w:rFonts w:ascii="Times New Roman" w:hAnsi="Times New Roman" w:cs="Times New Roman"/>
          <w:sz w:val="24"/>
          <w:szCs w:val="24"/>
        </w:rPr>
      </w:r>
      <w:r w:rsidR="00397FD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108</w:t>
      </w:r>
      <w:r w:rsidR="00397FDE"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3 og 4, alene forudsættes i de mere alvorlige tilfælde af egentlige overtrædelser og at personoplysninger indeholdt i offentliggørelsen kun må forblive på Advokatsamfundets hjemmeside i det nødvendige tidsrum, jf. den foreslåede </w:t>
      </w:r>
      <w:r w:rsidR="00397FDE" w:rsidRPr="00796736">
        <w:rPr>
          <w:rFonts w:ascii="Times New Roman" w:hAnsi="Times New Roman" w:cs="Times New Roman"/>
          <w:sz w:val="24"/>
          <w:szCs w:val="24"/>
        </w:rPr>
        <w:fldChar w:fldCharType="begin"/>
      </w:r>
      <w:r w:rsidR="00397FDE" w:rsidRPr="00796736">
        <w:rPr>
          <w:rFonts w:ascii="Times New Roman" w:hAnsi="Times New Roman" w:cs="Times New Roman"/>
          <w:sz w:val="24"/>
          <w:szCs w:val="24"/>
        </w:rPr>
        <w:instrText xml:space="preserve"> REF _Ref232609331 \r \h </w:instrText>
      </w:r>
      <w:r w:rsidR="00967618" w:rsidRPr="00796736">
        <w:rPr>
          <w:rFonts w:ascii="Times New Roman" w:hAnsi="Times New Roman" w:cs="Times New Roman"/>
          <w:sz w:val="24"/>
          <w:szCs w:val="24"/>
        </w:rPr>
        <w:instrText xml:space="preserve"> \* MERGEFORMAT </w:instrText>
      </w:r>
      <w:r w:rsidR="00397FDE" w:rsidRPr="00796736">
        <w:rPr>
          <w:rFonts w:ascii="Times New Roman" w:hAnsi="Times New Roman" w:cs="Times New Roman"/>
          <w:sz w:val="24"/>
          <w:szCs w:val="24"/>
        </w:rPr>
      </w:r>
      <w:r w:rsidR="00397FD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108</w:t>
      </w:r>
      <w:r w:rsidR="00397FDE"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2. pkt.</w:t>
      </w:r>
    </w:p>
    <w:p w14:paraId="4A56AA04" w14:textId="77777777" w:rsidR="00A16C19" w:rsidRPr="00796736" w:rsidRDefault="00A16C19" w:rsidP="00A802A5">
      <w:pPr>
        <w:spacing w:line="360" w:lineRule="auto"/>
        <w:rPr>
          <w:rFonts w:ascii="Times New Roman" w:hAnsi="Times New Roman" w:cs="Times New Roman"/>
          <w:sz w:val="24"/>
          <w:szCs w:val="24"/>
        </w:rPr>
      </w:pPr>
    </w:p>
    <w:p w14:paraId="79C54459"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Med den foreslåede bestemmelse gennemføres hvidvaskdirektivets artikel 58, stk. 1 og 3. Bestemmelsen er en videreførelse af hvidvasklovens § 64 a, stk. 1, med de tilpasninger, som er nødvendige af hensyn til hvidvaskdirektivets artikel 58, stk. 1 og 3.  </w:t>
      </w:r>
    </w:p>
    <w:p w14:paraId="1FDC15ED"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26A0DD2"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2, </w:t>
      </w:r>
      <w:r w:rsidRPr="00796736">
        <w:rPr>
          <w:rFonts w:ascii="Times New Roman" w:eastAsia="Times New Roman" w:hAnsi="Times New Roman" w:cs="Times New Roman"/>
          <w:iCs/>
          <w:sz w:val="24"/>
          <w:szCs w:val="24"/>
          <w:lang w:eastAsia="da-DK"/>
        </w:rPr>
        <w:t xml:space="preserve">at offentliggørelse efter stk. 1 skal ske umiddelbart efter, at de ansvarlige er underrettet herom, jf. dog stk. 5, og forbliver på Advokatsamfundets hjemmeside i 5 år efter offentliggørelsen. Personoplysninger indeholdt i offentliggørelsen må dog kun forblive på Advokatsamfundets hjemmeside i det nødvendige tidsrum.  </w:t>
      </w:r>
    </w:p>
    <w:p w14:paraId="5068B6B1"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CEBF71B"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indebærer, at offentliggørelse af foranstaltninger skal ske umiddelbart efter de ansvarlige er underrettet herom, og forbliver på Advokatsamfundets hjemmeside i 5 år efter offentliggørelsen, hvorefter de slettes. Det medfører, at afgørelserne vil skulle slettes efter fem år. Det følger dog af det foreslåede 2. pkt., at personoplysninger kun må forblive på Advokatsamfundets hjemmeside i det nødvendige tidsrum. </w:t>
      </w:r>
    </w:p>
    <w:p w14:paraId="0BA237D7"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6F56A13" w14:textId="3488996F"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Ved det nødvendige tidsrum forstås ligesom efter gældende ret, så længe oplysningerne anses for nødvendige i forhold til de samfundsmæssige hensyn bag offentliggørelsen. Der er således mulighed for efter en konkret vurdering at lade personoplysningerne indeholdt i offentliggørelsen forblive offentligt i et kortere tidsrum. Der vil her navnlig skulle lægges vægt på overtrædelsens karakter, alder og grovhed, foranstaltningens varighed, om afgørelsen fortsat er relevant for beskyttelsen af offentligheden og hensynet til beskyttelsen af personoplysninger for den registrerede.</w:t>
      </w:r>
    </w:p>
    <w:p w14:paraId="12C4BA03"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020BE1D"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Med den foreslåede bestemmelse gennemføres hvidvaskdirektivets artikel 58, stk. 2 og 4. </w:t>
      </w:r>
    </w:p>
    <w:p w14:paraId="232A1AC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D111A60"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stk. 3,</w:t>
      </w:r>
      <w:r w:rsidRPr="00796736">
        <w:rPr>
          <w:rFonts w:ascii="Times New Roman" w:eastAsia="Times New Roman" w:hAnsi="Times New Roman" w:cs="Times New Roman"/>
          <w:iCs/>
          <w:sz w:val="24"/>
          <w:szCs w:val="24"/>
          <w:lang w:eastAsia="da-DK"/>
        </w:rPr>
        <w:t xml:space="preserve"> at Advokatrådet kan undlade at lade offentliggørelse efter stk. 1 omfatte advokatens navn, når der er tale om foranstaltninger af efterforskningsmæssig karakter. </w:t>
      </w:r>
    </w:p>
    <w:p w14:paraId="66944D6F"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26B9561"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udgøre en undtagelse til hovedreglen i det foreslåede stk. 1 om, at den fysiske eller juridiske persons navn skal fremgå af offentliggørelsen. </w:t>
      </w:r>
    </w:p>
    <w:p w14:paraId="544EA652"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84F69D5" w14:textId="52ECB578"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Den foreslåede bestemmelse omfatter for det første de tilfælde, hvor der er tale om foranstaltninger af efterforskningsmæssig karakter. Dette omfatter navnlig tilfælde, hvor Advokatrådet overdrager sagen til politimæssig efterforskning</w:t>
      </w:r>
      <w:r w:rsidR="00361B87">
        <w:rPr>
          <w:rFonts w:ascii="Times New Roman" w:eastAsia="Times New Roman" w:hAnsi="Times New Roman" w:cs="Times New Roman"/>
          <w:iCs/>
          <w:sz w:val="24"/>
          <w:szCs w:val="24"/>
          <w:lang w:eastAsia="da-DK"/>
        </w:rPr>
        <w:t>.</w:t>
      </w:r>
    </w:p>
    <w:p w14:paraId="4D32A6A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02184CD"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4, </w:t>
      </w:r>
      <w:r w:rsidRPr="00796736">
        <w:rPr>
          <w:rFonts w:ascii="Times New Roman" w:eastAsia="Times New Roman" w:hAnsi="Times New Roman" w:cs="Times New Roman"/>
          <w:iCs/>
          <w:sz w:val="24"/>
          <w:szCs w:val="24"/>
          <w:lang w:eastAsia="da-DK"/>
        </w:rPr>
        <w:t>at offentliggørelse efter stk. 1 kan udsættes og undergives anonymisering eller helt undlades, hvis offentliggørelsen af den pågældende advokats identitet eller personoplysninger ud fra en konkret vurdering er uforholdsmæssig, efterforskningsmæssige hensyn taler imod offentliggørelse eller offentliggørelsen ikke står i rimeligt forhold til overtrædelsens karakter.</w:t>
      </w:r>
    </w:p>
    <w:p w14:paraId="793D4BC9"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F915934"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ligesom det foreslåede stk. 3 udgøre en undtagelse til hovedreglen om offentliggørelse efter stk. 1. </w:t>
      </w:r>
    </w:p>
    <w:p w14:paraId="4617EB0B"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EA0E5F5"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Der vil efter den foreslåede bestemmelse for det første være mulighed for at udsætte offentliggørelsen, indtil offentliggørelse af de pågældende personers identitet eller personoplysninger ud fra en konkret vurdering ikke er uforholdsmæssig eller efterforskningsmæssige hensyn ikke længere tilsiger, at der ikke kan ske offentliggørelse. </w:t>
      </w:r>
    </w:p>
    <w:p w14:paraId="1DA29D21"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272CC84"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I en sådan situation, hvor offentliggørelse af personoplysningerne enten må anses for uforholdsmæssig, eller offentliggørelsen bringer en igangværende efterforskning i fare, vil der for andet være mulighed for at offentliggøre afgørelsen på anonymt grundlag på en måde, som er i overensstemmelse med dansk ret, hvis en anonym offentliggørelse sikrer en effektiv beskyttelse af de pågældende personoplysninger. I denne situation vil der på et eventuelt senere tidspunkt kunne ske en offentliggørelse af også de anonymiserede oplysninger, hvis det forudsættes, at grundene til den anonyme offentliggørelse vil bortfalde inden for dette tidsrum.</w:t>
      </w:r>
    </w:p>
    <w:p w14:paraId="091C890C"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26C2417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Ved uforholdsmæssig forstås, at offentliggørelsen af identitet eller personoplysninger vil indebære et uproportionalt indgreb i vedkommendes rettigheder, som ikke står mål med det formål, som offentliggørelsen varetager. Der skal således foretages en konkret proportionalitetsvurdering af på den ene side indgrebets beskaffenhed overfor den eller de berørte personer og på den anden side det formål, som offentliggørelsen søger at varetage. I denne afvejning vil karakteren af den konstaterede overtrædelse indgå med betydelig vægt. </w:t>
      </w:r>
    </w:p>
    <w:p w14:paraId="0556543B"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BEA1623"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Endelig vil der efter den foreslåede bestemmelse helt kunne undlades at foretage offentliggørelse af afgørelsen. Dette vil være relevant i tilfælde, hvor udsættelse af offentliggørelsen og anonymisering af oplysningerne begge må anses for uproportionale løsninger, fordi der har været tale om administrative foranstaltninger over for overtrædelser, der vurderes at være af mindre betydning. Der vil endvidere kunne lægges vægt på, om der er tale om oplysninger om enkeltpersoners private, herunder økonomiske, forhold og tekniske indretninger eller fremgangsmåder eller om drifts- eller forretningsforhold el.lign., for så vidt som sådanne oplysninger er af væsentlig økonomisk betydning for den person eller virksomhed, som oplysningerne angår. </w:t>
      </w:r>
    </w:p>
    <w:p w14:paraId="3E6035D6"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0BFE314E" w14:textId="2457D64D"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Bestemmelsen vil derudover kunne finde anvendelse, hvor offentliggørelsen af de pågældende oplysninger vil være truende for virksomhedens eksistens, som står i et misforhold til de overtrædelser, som er konstateret. Det er dermed ikke tilstrækkeligt, at oplysningerne potentielt kan medføre større tab for personen eller virksomheden, uden at virksomhedens eksistens dermed er i fare. </w:t>
      </w:r>
      <w:r w:rsidR="00306122" w:rsidRPr="00796736">
        <w:rPr>
          <w:rFonts w:ascii="Times New Roman" w:eastAsia="Times New Roman" w:hAnsi="Times New Roman" w:cs="Times New Roman"/>
          <w:iCs/>
          <w:sz w:val="24"/>
          <w:szCs w:val="24"/>
          <w:lang w:eastAsia="da-DK"/>
        </w:rPr>
        <w:t>Advokatrådet vil derudover skulle lægge vægt på, om der er tale om en endelig eller midlertidig afgørelse. For de mere indgribende foranstaltninger vil offentliggørelse forud for prøvelse have en sådan skade, som ikke fuldt ud kan genoprettes ved anonymisering, sletning eller ændring. Advokatrådet vil derfor ved vurderingen af, om udsættelse eller undladelse er påkrævet, tage hensyn til overtrædelsens grovhed, offentlighedens interesse, sagens status og risikoen for uforholdsmæssig skade.</w:t>
      </w:r>
    </w:p>
    <w:p w14:paraId="31B639A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36CE9DFA"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Med den foreslåede bestemmelse gennemføres hvidvaskdirektivets artikel 58, stk. 3. Bestemmelsen viderefører med visse justeringer hvidvasklovens § 64 a, stk. 5 og 6, idet der nu også er mulighed for alligevel at foretage offentliggørelse, hvis en anonymisering kan imødegå de hensyn, som taler imod offentliggørelse. </w:t>
      </w:r>
    </w:p>
    <w:p w14:paraId="2F8F3F49"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3D91E0E" w14:textId="639EA4C9" w:rsidR="00A16C19"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5, </w:t>
      </w:r>
      <w:r w:rsidRPr="00796736">
        <w:rPr>
          <w:rFonts w:ascii="Times New Roman" w:eastAsia="Times New Roman" w:hAnsi="Times New Roman" w:cs="Times New Roman"/>
          <w:iCs/>
          <w:sz w:val="24"/>
          <w:szCs w:val="24"/>
          <w:lang w:eastAsia="da-DK"/>
        </w:rPr>
        <w:t xml:space="preserve">at er Advokatrådets påbud indbragt for Advokatnævnet eller er en administrativ foranstaltning iværksat af Advokatnævnet indbragt for retten, og har påbuddet eller foranstaltningen ikke til formål at afværge alvorlige, gentagne eller systematiske overtrædelser, udsætter Advokatrådet offentliggørelsen indtil udløbet af fristen for at indbringe sagen for Advokatnævnet eller retten.  </w:t>
      </w:r>
    </w:p>
    <w:p w14:paraId="44F48030" w14:textId="77777777" w:rsidR="00306122" w:rsidRPr="00796736" w:rsidRDefault="00306122" w:rsidP="00A802A5">
      <w:pPr>
        <w:spacing w:line="360" w:lineRule="auto"/>
        <w:rPr>
          <w:rFonts w:ascii="Times New Roman" w:hAnsi="Times New Roman" w:cs="Times New Roman"/>
          <w:iCs/>
          <w:sz w:val="24"/>
          <w:szCs w:val="24"/>
        </w:rPr>
      </w:pPr>
    </w:p>
    <w:p w14:paraId="31BD97D0" w14:textId="77777777" w:rsidR="00306122" w:rsidRPr="00796736" w:rsidRDefault="00306122"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indebærer, at i de tilfælde, hvor Advokatrådets påbud er indbragt for Advokatnævnet eller Advokatnævnets afgørelse er indbragt for retten, og foranstaltningen ikke har til formål at afværge alvorlige, gentagne eller systematiske overtrædelser, vil Advokatrådet skulle udsætte offentliggørelse af reaktionen eller foranstaltningen indtil udløbet af klagefristen. </w:t>
      </w:r>
    </w:p>
    <w:p w14:paraId="5175C62D" w14:textId="77777777" w:rsidR="00306122" w:rsidRPr="00796736" w:rsidRDefault="00306122" w:rsidP="00A802A5">
      <w:pPr>
        <w:spacing w:line="360" w:lineRule="auto"/>
        <w:rPr>
          <w:rFonts w:ascii="Times New Roman" w:hAnsi="Times New Roman" w:cs="Times New Roman"/>
          <w:iCs/>
          <w:sz w:val="24"/>
          <w:szCs w:val="24"/>
        </w:rPr>
      </w:pPr>
    </w:p>
    <w:p w14:paraId="2E408E5B" w14:textId="77777777" w:rsidR="00306122" w:rsidRPr="00796736" w:rsidRDefault="00306122"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Med den foreslåede bestemmelse gennemføres hvidvaskdirektivets artikel 58, stk. 2.</w:t>
      </w:r>
    </w:p>
    <w:p w14:paraId="65E75EC8" w14:textId="77777777" w:rsidR="00A16C19" w:rsidRPr="00796736" w:rsidRDefault="00A16C19" w:rsidP="00A802A5">
      <w:pPr>
        <w:spacing w:line="360" w:lineRule="auto"/>
        <w:rPr>
          <w:rFonts w:ascii="Times New Roman" w:hAnsi="Times New Roman" w:cs="Times New Roman"/>
          <w:iCs/>
          <w:sz w:val="24"/>
          <w:szCs w:val="24"/>
        </w:rPr>
      </w:pPr>
    </w:p>
    <w:p w14:paraId="782C1364" w14:textId="77777777" w:rsidR="00A16C19" w:rsidRPr="00796736" w:rsidRDefault="00A16C19"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Med den foreslåede bestemmelse gennemføres hvidvaskdirektivets artikel 58, stk. 2.</w:t>
      </w:r>
    </w:p>
    <w:p w14:paraId="4DF0E361" w14:textId="77777777" w:rsidR="00A16C19" w:rsidRPr="00796736" w:rsidRDefault="00A16C19" w:rsidP="00A802A5">
      <w:pPr>
        <w:spacing w:line="360" w:lineRule="auto"/>
        <w:rPr>
          <w:rFonts w:ascii="Times New Roman" w:hAnsi="Times New Roman" w:cs="Times New Roman"/>
          <w:iCs/>
          <w:sz w:val="24"/>
          <w:szCs w:val="24"/>
        </w:rPr>
      </w:pPr>
    </w:p>
    <w:p w14:paraId="2D4FEA6A"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 xml:space="preserve">stk. 6, </w:t>
      </w:r>
      <w:r w:rsidRPr="00796736">
        <w:rPr>
          <w:rFonts w:ascii="Times New Roman" w:hAnsi="Times New Roman" w:cs="Times New Roman"/>
          <w:iCs/>
          <w:sz w:val="24"/>
          <w:szCs w:val="24"/>
        </w:rPr>
        <w:t xml:space="preserve">at </w:t>
      </w:r>
      <w:r w:rsidRPr="00796736">
        <w:rPr>
          <w:rFonts w:ascii="Times New Roman" w:eastAsia="Times New Roman" w:hAnsi="Times New Roman" w:cs="Times New Roman"/>
          <w:iCs/>
          <w:sz w:val="24"/>
          <w:szCs w:val="24"/>
          <w:lang w:eastAsia="da-DK"/>
        </w:rPr>
        <w:t>har Advokatrådet overgivet en sag til politimæssig efterforskning, og er der afsagt fældende dom eller vedtaget bøde, skal rådet offentliggøre dommen, bødevedtagelsen eller et resumé heraf, jf. dog stk. 4 og 5. Er dommen ikke endelig, skal dette fremgå af offentliggørelsen.</w:t>
      </w:r>
    </w:p>
    <w:p w14:paraId="6DE0A6BE"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E69B6BD"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Dommen, det vedtagne bødeforelæg eller resuméet heraf, som skal offentliggøres, vil indeholde den eller de involverede virksomheder eller personers navn(e). Offentliggørelse indebærer ikke, at selve den underliggende sag med dertilhørende akter bliver offentlig tilgængelig. </w:t>
      </w:r>
    </w:p>
    <w:p w14:paraId="18946A46" w14:textId="77777777" w:rsidR="00A16C19" w:rsidRPr="00796736" w:rsidRDefault="00A16C19" w:rsidP="00A802A5">
      <w:pPr>
        <w:spacing w:line="360" w:lineRule="auto"/>
        <w:rPr>
          <w:rFonts w:ascii="Times New Roman" w:hAnsi="Times New Roman" w:cs="Times New Roman"/>
          <w:sz w:val="24"/>
          <w:szCs w:val="24"/>
        </w:rPr>
      </w:pPr>
    </w:p>
    <w:p w14:paraId="10BDAB57"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Sagen er stadig omfattet af Advokatrådets tavshedspligt i henhold til retsplejelovens § 143 b.</w:t>
      </w:r>
    </w:p>
    <w:p w14:paraId="5762ED04" w14:textId="77777777" w:rsidR="00A16C19" w:rsidRPr="00796736" w:rsidRDefault="00A16C19" w:rsidP="00A802A5">
      <w:pPr>
        <w:spacing w:line="360" w:lineRule="auto"/>
        <w:rPr>
          <w:rFonts w:ascii="Times New Roman" w:hAnsi="Times New Roman" w:cs="Times New Roman"/>
          <w:sz w:val="24"/>
          <w:szCs w:val="24"/>
        </w:rPr>
      </w:pPr>
    </w:p>
    <w:p w14:paraId="092B8614"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Bestemmelsen svarer med visse justeringer til den gældende hvidvasklovs § 64 a, stk. 4, og gennemfører sammen med de foreslåede stk. 7 og 8 artikel 58, stk. 2. </w:t>
      </w:r>
    </w:p>
    <w:p w14:paraId="65C355A6"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10937D33"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sz w:val="24"/>
          <w:szCs w:val="24"/>
          <w:lang w:eastAsia="da-DK"/>
        </w:rPr>
        <w:t xml:space="preserve">stk. 7, </w:t>
      </w:r>
      <w:r w:rsidRPr="00796736">
        <w:rPr>
          <w:rFonts w:ascii="Times New Roman" w:eastAsia="Times New Roman" w:hAnsi="Times New Roman" w:cs="Times New Roman"/>
          <w:iCs/>
          <w:sz w:val="24"/>
          <w:szCs w:val="24"/>
          <w:lang w:eastAsia="da-DK"/>
        </w:rPr>
        <w:t>at i sager, hvor Advokatrådet har offentliggjort en beslutning om at overgive en sag til politimæssig efterforskning efter stk. 1, og der træffes afgørelse om påtaleopgivelse eller tiltalefrafald eller påbuddet omgøres i Advokatnævnet eller der afsiges frifindende dom ved domstolene, kan rådet, hvis det bliver bekendt hermed, offentliggøre oplysninger herom på Advokatsamfundets hjemmeside. Advokaten skal indsende en kopi af afgørelsen om påtaleopgivelse eller tiltalefrafald eller en kopi af frifindende afgørelse eller dom til rådet samtidig med anmodning om offentliggørelse. Er påtaleopgivelsen, tiltalefrafaldet, afgørelsen eller dommen ikke endelig, skal det fremgå af offentliggørelsen. Modtager rådet dokumentation for, at sagen er afsluttet ved endelig påtaleopgivelse, tiltalefrafald eller afsigelse af endelig frifindende afgørelse eller dom, skal rådet fjerne alle oplysninger om beslutningen om at overgive sagen til politimæssig efterforskning og eventuelle efterfølgende domme i sagen fra Advokatsamfundets hjemmeside</w:t>
      </w:r>
    </w:p>
    <w:p w14:paraId="1DB4903D"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6D07E40A"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Da det ikke i ethvert tilfælde vil være givet, at advokaten som er blevet politianmeldt, ønsker offentliggørelse af anklagemyndighedens meddelelse af påtaleopgivelse eller tiltalefrafald eller en domstols frifindende dom, forudsættes Advokatrådet at høre advokaten herom forinden der sker offentliggørelse. I alle øvrige tilfælde forudsættes rådet at skulle offentliggøre oplysninger som omhandlet i bestemmelsen, hvis rådet bliver opmærksom herpå.</w:t>
      </w:r>
    </w:p>
    <w:p w14:paraId="42863934" w14:textId="77777777" w:rsidR="00A16C19" w:rsidRPr="00796736" w:rsidRDefault="00A16C19" w:rsidP="00A802A5">
      <w:pPr>
        <w:spacing w:line="360" w:lineRule="auto"/>
        <w:rPr>
          <w:rFonts w:ascii="Times New Roman" w:hAnsi="Times New Roman" w:cs="Times New Roman"/>
          <w:sz w:val="24"/>
          <w:szCs w:val="24"/>
        </w:rPr>
      </w:pPr>
    </w:p>
    <w:p w14:paraId="30DB2494"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 vil skulle offentliggøre, at sagen er sluttet uden tiltale, at sagen er sluttet ved tiltalefrafald, eller at der er afsagt frifindende dom i sagen i umiddelbar og naturlig sammenhæng med rådets offentliggørelse efter den forslåede stk. 1, dvs. det sted på Advokatsamfundets hjemmeside, hvor rådet tidligere har offentliggjort beslutningen om at overgive sagen til politimæssig efterforskning. De supplerende oplysninger om påtaleopgivelse, tiltalefrafald eller frifindende dom vil tydeligt skulle fremgå af Advokatsamfundets hjemmeside. </w:t>
      </w:r>
    </w:p>
    <w:p w14:paraId="5D38C3F0" w14:textId="77777777" w:rsidR="00A16C19" w:rsidRPr="00796736" w:rsidRDefault="00A16C19" w:rsidP="00A802A5">
      <w:pPr>
        <w:spacing w:line="360" w:lineRule="auto"/>
        <w:rPr>
          <w:rFonts w:ascii="Times New Roman" w:hAnsi="Times New Roman" w:cs="Times New Roman"/>
          <w:sz w:val="24"/>
          <w:szCs w:val="24"/>
        </w:rPr>
      </w:pPr>
    </w:p>
    <w:p w14:paraId="65C1C65F"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Offentliggørelse efter den foreslåede bestemmelse vil tillige skulle omfatte tilfælde, hvor der er afsagt dom ved en ankeinstans.</w:t>
      </w:r>
    </w:p>
    <w:p w14:paraId="55E411D6" w14:textId="77777777" w:rsidR="00A16C19" w:rsidRPr="00796736" w:rsidRDefault="00A16C19" w:rsidP="00A802A5">
      <w:pPr>
        <w:spacing w:line="360" w:lineRule="auto"/>
        <w:rPr>
          <w:rFonts w:ascii="Times New Roman" w:hAnsi="Times New Roman" w:cs="Times New Roman"/>
          <w:sz w:val="24"/>
          <w:szCs w:val="24"/>
        </w:rPr>
      </w:pPr>
    </w:p>
    <w:p w14:paraId="1323557B"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2. pkt. medfører, at advokaten selv vil skulle indsende en kopi af de relevante dokumenter, som vedkommende ønsker offentliggjort, da Advokatrådet ikke nødvendigvis vil være i besiddelse af de pågældende dokumenter.</w:t>
      </w:r>
    </w:p>
    <w:p w14:paraId="27BADDDC" w14:textId="77777777" w:rsidR="00A16C19" w:rsidRPr="00796736" w:rsidRDefault="00A16C19" w:rsidP="00A802A5">
      <w:pPr>
        <w:spacing w:line="360" w:lineRule="auto"/>
        <w:rPr>
          <w:rFonts w:ascii="Times New Roman" w:hAnsi="Times New Roman" w:cs="Times New Roman"/>
          <w:sz w:val="24"/>
          <w:szCs w:val="24"/>
        </w:rPr>
      </w:pPr>
    </w:p>
    <w:p w14:paraId="46DE05DB"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det foreslåede 3. pkt. vil det tydeligt skulle fremgå af offentliggørelsen, hvis påtaleopgivelsen, tiltalefrafaldet, afgørelsen eller dommen ikke er endelig. En afgørelse om påtaleopgivelse eller tiltalefrafald er ikke endelig i de tilfælde, hvor afgørelsen om påtaleopgivelse eller tiltalefrafald er påklaget til den overordnende anklagemyndighed. En dom er ikke endelig i de tilfælde, hvor dommen er anket til en højere retsinstans.</w:t>
      </w:r>
    </w:p>
    <w:p w14:paraId="4E938098" w14:textId="77777777" w:rsidR="00A16C19" w:rsidRPr="00796736" w:rsidRDefault="00A16C19" w:rsidP="00A802A5">
      <w:pPr>
        <w:spacing w:line="360" w:lineRule="auto"/>
        <w:rPr>
          <w:rFonts w:ascii="Times New Roman" w:hAnsi="Times New Roman" w:cs="Times New Roman"/>
          <w:sz w:val="24"/>
          <w:szCs w:val="24"/>
        </w:rPr>
      </w:pPr>
    </w:p>
    <w:p w14:paraId="0BB91F7D"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de tilfælde, hvor den, som sagen vedrører, ikke anmoder Advokatrådet om at offentliggøre oplysninger om, at sagen er afsluttet ved påtaleopgivelse, tiltalefrafald eller afsigelse af frifindende dom i henhold til 1. pkt., men ønsker rådets offentliggørelse af beslutningen om at overgive sagen til politimæssig efterforskning, herunder eventuelle supplerende oplysninger om efterfølgende domme i sagen, slettet fra Advokatsamfundets hjemmeside, kan dette således ske ved indsendelse af dokumentation for sagens afslutning til rådet. Advokatrådet vil herefter efter 4. pkt. slette offentliggørelsen af beslutningen om at overgive sagen til politimæssig efterforskning m.v. fra rådets hjemmeside. </w:t>
      </w:r>
    </w:p>
    <w:p w14:paraId="57F9B0D6" w14:textId="77777777" w:rsidR="00A16C19" w:rsidRPr="00796736" w:rsidRDefault="00A16C19" w:rsidP="00A802A5">
      <w:pPr>
        <w:spacing w:line="360" w:lineRule="auto"/>
        <w:rPr>
          <w:rFonts w:ascii="Times New Roman" w:hAnsi="Times New Roman" w:cs="Times New Roman"/>
          <w:sz w:val="24"/>
          <w:szCs w:val="24"/>
        </w:rPr>
      </w:pPr>
    </w:p>
    <w:p w14:paraId="2101E4F3"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Advokatrådets forpligtelse til at fjerne oplysninger om en beslutning om at overgive en sag til politimæssig efterforskning indtræder derfor først i det tilfælde, hvor rådet modtager dokumentation herfor. Det er ikke afgørende, hvem der indsender eller overleverer en sådan dokumentation, og rådets forpligtelse til at slette oplysninger om overgivelse af en sag til politimæssig efterforskning indtræder således, uanset om den fornødne dokumentation modtages fra anklagemyndigheden, den pågældende advokat eller det advokatselskab, som sagen vedrører, eller fra tredjemand. </w:t>
      </w:r>
    </w:p>
    <w:p w14:paraId="60B904A2" w14:textId="77777777" w:rsidR="00A16C19" w:rsidRPr="00796736" w:rsidRDefault="00A16C19" w:rsidP="00A802A5">
      <w:pPr>
        <w:spacing w:line="360" w:lineRule="auto"/>
        <w:rPr>
          <w:rFonts w:ascii="Times New Roman" w:hAnsi="Times New Roman" w:cs="Times New Roman"/>
          <w:sz w:val="24"/>
          <w:szCs w:val="24"/>
        </w:rPr>
      </w:pPr>
    </w:p>
    <w:p w14:paraId="34F3AA32" w14:textId="77777777" w:rsidR="00A16C19" w:rsidRPr="00796736" w:rsidRDefault="00A16C19"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afgørelse om påtaleopgivelse eller tiltalefrafald er ikke endelig i de tilfælde, hvor afgørelsen om påtaleopgivelse eller tiltalefrafald er påklaget til den overordnede anklagemyndighed. En dom er ikke endelig i de tilfælde, hvor dommen er anket til højere retsinstans. Fjernelse af offentliggørelsen af en beslutning om at overgive en sag til politimæssig efterforskning i tilfælde, hvor en sag er afsluttet ved frifindende dom eller afsluttet ved påtaleopgivelse eller tiltalefrafald, vil således først ske efter udløbet af henholdsvis ankefristen eller fristen for at påklage påtaleopgivelsen eller tiltalefrafaldet, da afgørelsen skal være endelig. </w:t>
      </w:r>
    </w:p>
    <w:p w14:paraId="02D516DC" w14:textId="77777777" w:rsidR="00A16C19" w:rsidRPr="00796736" w:rsidRDefault="00A16C19" w:rsidP="00A802A5">
      <w:pPr>
        <w:spacing w:line="360" w:lineRule="auto"/>
        <w:rPr>
          <w:rFonts w:ascii="Times New Roman" w:hAnsi="Times New Roman" w:cs="Times New Roman"/>
          <w:sz w:val="24"/>
          <w:szCs w:val="24"/>
        </w:rPr>
      </w:pPr>
    </w:p>
    <w:p w14:paraId="43DAAF78"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Den foreslåede bestemmelse svarer til den gældende hvidvasklovs § 64 a, stk. 7, og gennemfører sammen med stk. 6 og 8 hvidvaskdirektivets artikel 58, stk. 2. </w:t>
      </w:r>
    </w:p>
    <w:p w14:paraId="378A5541" w14:textId="77777777" w:rsidR="00A16C19" w:rsidRPr="00796736" w:rsidRDefault="00A16C19" w:rsidP="00A802A5">
      <w:pPr>
        <w:spacing w:line="360" w:lineRule="auto"/>
        <w:rPr>
          <w:rFonts w:ascii="Times New Roman" w:hAnsi="Times New Roman" w:cs="Times New Roman"/>
          <w:iCs/>
          <w:sz w:val="24"/>
          <w:szCs w:val="24"/>
        </w:rPr>
      </w:pPr>
    </w:p>
    <w:p w14:paraId="5C3F25B3"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8,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Advokatrådet ved en advokat mv., som er frifundet, skal offentliggøre resultatet af anken eller genoptagelsen, hvis rådet bliver bekendt hermed. Advokaten skal indsende kopi af dommen i ankesagen eller den genoptagne sag. Er resultatet af anken eller den genoptagne sag et andet end resultatet af dommen offentliggjort i medfør af stk. 6, 1. pkt., kan rådet beslutte at fjerne dommen fra Advokatsamfundets hjemmeside.</w:t>
      </w:r>
    </w:p>
    <w:p w14:paraId="798E145F"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021298A9"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bliver Advokatrådet opmærksom på, at en advokat mv. er blevet frifundet, skal Advokatrådet offentliggøre oplysninger herom. Det forudsættes, at Advokatrådet ikke selv skal føre opsyn med, om der er sket frifindelser i offentliggjorte sager, men hvis rådet bliver bekendt hermed, vil rådet i medfør af den foreslåede bestemmelse være forpligtet til at offentliggøre oplysninger herom. Det er ikke afgørende, hvem der indsender eller overleverer en sådan dokumentation til Advokatrådet, og rådets forpligtelse til at opdatere offentliggørelsen indtræder således, uanset om den fornødne dokumentation modtages fra anklagemyndigheden, den pågældende fysiske eller juridiske person, som sagen vedrører, eller af tredjemand.</w:t>
      </w:r>
    </w:p>
    <w:p w14:paraId="1E774ADC" w14:textId="77777777" w:rsidR="00306122" w:rsidRPr="00796736" w:rsidRDefault="00306122" w:rsidP="00A802A5">
      <w:pPr>
        <w:spacing w:line="360" w:lineRule="auto"/>
        <w:rPr>
          <w:rFonts w:ascii="Times New Roman" w:hAnsi="Times New Roman" w:cs="Times New Roman"/>
          <w:sz w:val="24"/>
          <w:szCs w:val="24"/>
        </w:rPr>
      </w:pPr>
    </w:p>
    <w:p w14:paraId="617FADFE"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Advokaten skal indsende kopi af dommen i ankesagen eller den genoptagne sag, idet Advokatrådet ikke kan antages at være i besiddelse heraf. Offentliggørelsen vil skulle ske det sted på Advokatsamfundets hjemmeside, hvor rådet tidligere har offentliggjort beslutningen om at overgive sagen til politimæssig efterforskning mv. Oplysningerne vil skulle fremgå tydeligt. </w:t>
      </w:r>
    </w:p>
    <w:p w14:paraId="7A42D278" w14:textId="77777777" w:rsidR="00306122" w:rsidRPr="00796736" w:rsidRDefault="00306122" w:rsidP="00A802A5">
      <w:pPr>
        <w:spacing w:line="360" w:lineRule="auto"/>
        <w:rPr>
          <w:rFonts w:ascii="Times New Roman" w:hAnsi="Times New Roman" w:cs="Times New Roman"/>
          <w:sz w:val="24"/>
          <w:szCs w:val="24"/>
        </w:rPr>
      </w:pPr>
    </w:p>
    <w:p w14:paraId="709146B1"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en dom er ikke endelig i de tilfælde, hvor dommen er anket til højere retsinstans. Opdateringen om offentliggørelsen af en beslutning om at overgive en sag til politimæssig efterforskning i tilfælde, hvor en sag er afsluttet ved frifindende dom, vil således først ske efter udløbet af henholdsvis ankefristen, da afgørelsen skal være endelig. </w:t>
      </w:r>
    </w:p>
    <w:p w14:paraId="1051F34F" w14:textId="77777777" w:rsidR="00306122" w:rsidRPr="00796736" w:rsidRDefault="00306122" w:rsidP="00A802A5">
      <w:pPr>
        <w:spacing w:line="360" w:lineRule="auto"/>
        <w:rPr>
          <w:rFonts w:ascii="Times New Roman" w:hAnsi="Times New Roman" w:cs="Times New Roman"/>
          <w:sz w:val="24"/>
          <w:szCs w:val="24"/>
        </w:rPr>
      </w:pPr>
    </w:p>
    <w:p w14:paraId="32EFCCAE"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Den foreslåede bestemmelse viderefører den nugældende § 64 a, stk. 8, og gennemfører sammen med de foreslåede stk. 6 og 7 hvidvaskdirektivets artikel 58, stk. 2. </w:t>
      </w:r>
    </w:p>
    <w:p w14:paraId="348C04C8" w14:textId="77777777" w:rsidR="00306122" w:rsidRPr="00796736" w:rsidRDefault="00306122" w:rsidP="00A802A5">
      <w:pPr>
        <w:spacing w:line="360" w:lineRule="auto"/>
        <w:rPr>
          <w:rFonts w:ascii="Times New Roman" w:hAnsi="Times New Roman" w:cs="Times New Roman"/>
          <w:sz w:val="24"/>
          <w:szCs w:val="24"/>
        </w:rPr>
      </w:pPr>
    </w:p>
    <w:p w14:paraId="7AA030C3" w14:textId="2268A6B5"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 xml:space="preserve">Endelig foreslås det i </w:t>
      </w:r>
      <w:r w:rsidRPr="00796736">
        <w:rPr>
          <w:rFonts w:ascii="Times New Roman" w:hAnsi="Times New Roman" w:cs="Times New Roman"/>
          <w:i/>
          <w:iCs/>
          <w:sz w:val="24"/>
          <w:szCs w:val="24"/>
        </w:rPr>
        <w:t xml:space="preserve">stk. 9, </w:t>
      </w:r>
      <w:r w:rsidRPr="00796736">
        <w:rPr>
          <w:rFonts w:ascii="Times New Roman" w:hAnsi="Times New Roman" w:cs="Times New Roman"/>
          <w:sz w:val="24"/>
          <w:szCs w:val="24"/>
        </w:rPr>
        <w:t xml:space="preserve">at </w:t>
      </w:r>
      <w:r w:rsidRPr="00796736">
        <w:rPr>
          <w:rFonts w:ascii="Times New Roman" w:eastAsia="Times New Roman" w:hAnsi="Times New Roman" w:cs="Times New Roman"/>
          <w:iCs/>
          <w:sz w:val="24"/>
          <w:szCs w:val="24"/>
          <w:lang w:eastAsia="da-DK"/>
        </w:rPr>
        <w:t xml:space="preserve">Advokatrådet underretter AMLA om administrative foranstaltninger iværksat efter denne lov, herunder om klager i forbindelse hermed og resultatet af disse. I sager omfattet af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_Ref232609241 \r \h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99</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stk. 1, underretter rådet endvidere tilsynsorganerne i de lande, hvor den juridiske eller fysiske person tillige driver virksomhed.  </w:t>
      </w:r>
    </w:p>
    <w:p w14:paraId="6E7BAD50"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19B4B54D" w14:textId="06FE736A"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Advokatrådets underretningsforpligtelse efter den foreslåede bestemmelse vil først indtræde, når der foreligger en endelig afgørelse, og klagefristen for den pågældende instans er udløbet. Den foreslåede underretningsforpligtelse vil ikke skulle afhænge af, om og i hvilket omfang der er sket offentliggørelse af den pågældende tilsynsreaktion eller -foranstaltning efter reglerne i de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_Ref232609331 \r \h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108</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stk. 1-9. Det forudsættes således, at AMLA altid vil skulle underrettes efter det foreslåede 1. pkt., og at Advokatrådet i sager omfattet af 2. pkt. foruden AMLA vil skulle underrette de relevante tilsynsorganer i de lande, hvor den fysiske eller juridiske person tillige driver virksomhed. </w:t>
      </w:r>
    </w:p>
    <w:p w14:paraId="449BF95A"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2EB9DC3F"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bemærkes, at Advokatrådet ikke i medfør af den foreslåede bestemmelse vil skulle underrette tilsynsmyndighederne i andre lande end i EU- og EØS-medlemslande samt Schweiz, såfremt den pågældende fysiske eller juridiske person, foruden virksomhed i et EU- eller EØS-land samt Schweiz, tillige driver virksomhed i et sådant tredjeland.   </w:t>
      </w:r>
    </w:p>
    <w:p w14:paraId="2B431B9A"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4886BE0F"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gennemfører hvidvaskdirektivets artikel 59, stk. 1. </w:t>
      </w:r>
    </w:p>
    <w:p w14:paraId="71382923"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3717A243" w14:textId="77777777" w:rsidR="00306122" w:rsidRPr="00796736" w:rsidRDefault="00306122" w:rsidP="00A802A5">
      <w:pPr>
        <w:spacing w:line="360" w:lineRule="auto"/>
        <w:rPr>
          <w:rFonts w:ascii="Times New Roman" w:eastAsia="Times New Roman" w:hAnsi="Times New Roman" w:cs="Times New Roman"/>
          <w:iCs/>
          <w:sz w:val="24"/>
          <w:szCs w:val="24"/>
          <w:lang w:eastAsia="da-DK"/>
        </w:rPr>
      </w:pPr>
    </w:p>
    <w:p w14:paraId="14607D1C" w14:textId="57AFC93C" w:rsidR="00306122" w:rsidRPr="00796736" w:rsidRDefault="00306122" w:rsidP="00A802A5">
      <w:pPr>
        <w:pStyle w:val="Undertitel"/>
      </w:pPr>
      <w:bookmarkStart w:id="2178" w:name="_Toc244879405"/>
      <w:bookmarkStart w:id="2179" w:name="_Toc244880930"/>
      <w:r w:rsidRPr="00796736">
        <w:t xml:space="preserve">Til </w:t>
      </w:r>
      <w:r w:rsidRPr="00796736">
        <w:fldChar w:fldCharType="begin"/>
      </w:r>
      <w:r w:rsidRPr="00796736">
        <w:instrText xml:space="preserve"> REF _Ref239246753 \r \h </w:instrText>
      </w:r>
      <w:r w:rsidR="00AB17CC" w:rsidRPr="00796736">
        <w:instrText xml:space="preserve"> \* MERGEFORMAT </w:instrText>
      </w:r>
      <w:r w:rsidRPr="00796736">
        <w:fldChar w:fldCharType="separate"/>
      </w:r>
      <w:r w:rsidR="008F29E5">
        <w:t>§ 109</w:t>
      </w:r>
      <w:bookmarkEnd w:id="2178"/>
      <w:bookmarkEnd w:id="2179"/>
      <w:r w:rsidRPr="00796736">
        <w:fldChar w:fldCharType="end"/>
      </w:r>
    </w:p>
    <w:p w14:paraId="4624AE60"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retsplejelovens § 143 b, stk. 1, finder straffelovens §§ 152 og 152 c-152 f tilsvarende anvendelse for Advokatrådets medlemmer mv. og personer, der udfører serviceopgaver for dem, for så vidt angår de oplysninger, som de får kendskab til gennem tilsynsvirksomheden. Efter stk. 2 må fortrolige oplysninger modtaget i henhold til retsplejelovens kapitel 15 kun bruges i forbindelse med tilsynshvervet og efter stk. 3 kan oplysningerne videregives til relevante offentlige myndigheder til varetagelse af de pågældendes opgave ri henhold til loven. </w:t>
      </w:r>
    </w:p>
    <w:p w14:paraId="08426648" w14:textId="77777777" w:rsidR="00306122" w:rsidRPr="00796736" w:rsidRDefault="00306122" w:rsidP="00A802A5">
      <w:pPr>
        <w:spacing w:line="360" w:lineRule="auto"/>
        <w:rPr>
          <w:rFonts w:ascii="Times New Roman" w:hAnsi="Times New Roman" w:cs="Times New Roman"/>
          <w:sz w:val="24"/>
          <w:szCs w:val="24"/>
        </w:rPr>
      </w:pPr>
    </w:p>
    <w:p w14:paraId="765A7D9E" w14:textId="4B227FF3" w:rsidR="00306122" w:rsidRPr="00796736" w:rsidRDefault="00306122" w:rsidP="00A802A5">
      <w:pPr>
        <w:spacing w:line="360" w:lineRule="auto"/>
        <w:rPr>
          <w:rFonts w:ascii="Times New Roman" w:hAnsi="Times New Roman" w:cs="Times New Roman"/>
          <w:sz w:val="24"/>
          <w:szCs w:val="24"/>
        </w:rPr>
      </w:pPr>
      <w:bookmarkStart w:id="2180" w:name="_Hlk241526462"/>
      <w:r w:rsidRPr="00796736">
        <w:rPr>
          <w:rFonts w:ascii="Times New Roman" w:hAnsi="Times New Roman" w:cs="Times New Roman"/>
          <w:sz w:val="24"/>
          <w:szCs w:val="24"/>
        </w:rPr>
        <w:t xml:space="preserve">For nærmere om gældende ret henvises til lovforslagets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_Ref240718220 \n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3.70</w:t>
      </w:r>
      <w:r w:rsidRPr="00796736">
        <w:rPr>
          <w:rFonts w:ascii="Times New Roman" w:hAnsi="Times New Roman" w:cs="Times New Roman"/>
          <w:sz w:val="24"/>
          <w:szCs w:val="24"/>
        </w:rPr>
        <w:fldChar w:fldCharType="end"/>
      </w:r>
    </w:p>
    <w:bookmarkEnd w:id="2180"/>
    <w:p w14:paraId="08920FB6" w14:textId="77777777" w:rsidR="00306122" w:rsidRPr="00796736" w:rsidRDefault="00306122" w:rsidP="00A802A5">
      <w:pPr>
        <w:spacing w:line="360" w:lineRule="auto"/>
        <w:rPr>
          <w:rFonts w:ascii="Times New Roman" w:hAnsi="Times New Roman" w:cs="Times New Roman"/>
          <w:sz w:val="24"/>
          <w:szCs w:val="24"/>
        </w:rPr>
      </w:pPr>
    </w:p>
    <w:p w14:paraId="66716F97" w14:textId="72AE0396"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_Ref239246753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109</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stk. 1, </w:t>
      </w:r>
      <w:r w:rsidRPr="00796736">
        <w:rPr>
          <w:rFonts w:ascii="Times New Roman" w:hAnsi="Times New Roman" w:cs="Times New Roman"/>
          <w:sz w:val="24"/>
          <w:szCs w:val="24"/>
        </w:rPr>
        <w:t xml:space="preserve">at straffelovens §§ 152 og 152 c-152 f </w:t>
      </w:r>
      <w:r w:rsidRPr="00796736">
        <w:rPr>
          <w:rFonts w:ascii="Times New Roman" w:hAnsi="Times New Roman" w:cs="Times New Roman"/>
          <w:sz w:val="24"/>
          <w:szCs w:val="24"/>
          <w:lang w:eastAsia="da-DK"/>
        </w:rPr>
        <w:t xml:space="preserve">finder tilsvarende anvendelse for Advokatrådets medlemmer, medlemmer af Advokatrådets udvalg, Advokatsamfundets ansatte og Advokatrådets kontaktpersoner, for så vidt angår oplysninger, som de får kendskab til gennem tilsynsvirksomheden efter denne lov. Det samme gælder for personer, der udfører serviceopgaver for de organisationer, der er nævnt i 1. pkt. </w:t>
      </w:r>
    </w:p>
    <w:p w14:paraId="28D2CFB8" w14:textId="77777777" w:rsidR="00306122" w:rsidRPr="00796736" w:rsidRDefault="00306122" w:rsidP="00A802A5">
      <w:pPr>
        <w:spacing w:line="360" w:lineRule="auto"/>
        <w:rPr>
          <w:rFonts w:ascii="Times New Roman" w:hAnsi="Times New Roman" w:cs="Times New Roman"/>
          <w:sz w:val="24"/>
          <w:szCs w:val="24"/>
        </w:rPr>
      </w:pPr>
    </w:p>
    <w:p w14:paraId="3A7793D8" w14:textId="2D49CF19"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om Advokatrådets mv. tavshedspligt svarer med få justeringer til retsplejelovens § 143 b, stk. 1, og vil indebære en videreførelse af gældende ret for så vidt angår de oplysninger, som Advokatrådet mv. får kendskab til i forbindelse med sin tilsynsvirksomhed efter denne lov. Bestemmelsen svarer endvidere til personkredsen omfattet af retsplejelovens § 143 b, stk. 1</w:t>
      </w:r>
      <w:r w:rsidR="00394C42" w:rsidRPr="00394C42">
        <w:rPr>
          <w:rFonts w:ascii="Times New Roman" w:hAnsi="Times New Roman" w:cs="Times New Roman"/>
          <w:sz w:val="24"/>
          <w:szCs w:val="24"/>
        </w:rPr>
        <w:t xml:space="preserve"> </w:t>
      </w:r>
      <w:r w:rsidR="00394C42">
        <w:rPr>
          <w:rFonts w:ascii="Times New Roman" w:hAnsi="Times New Roman" w:cs="Times New Roman"/>
          <w:sz w:val="24"/>
          <w:szCs w:val="24"/>
        </w:rPr>
        <w:t>og bestemmelsens anvendelsesområde vil i det væsentligste svare til retsplejelovens § 143 b, stk. 1, med de modifikationer, som følger af de foreslåede bestemmelser om videregivelse af oplysninger</w:t>
      </w:r>
      <w:r w:rsidR="00394C42" w:rsidRPr="00D253F0">
        <w:rPr>
          <w:rFonts w:ascii="Times New Roman" w:hAnsi="Times New Roman" w:cs="Times New Roman"/>
          <w:sz w:val="24"/>
          <w:szCs w:val="24"/>
        </w:rPr>
        <w:t>.</w:t>
      </w:r>
      <w:r w:rsidR="00270361">
        <w:rPr>
          <w:rFonts w:ascii="Times New Roman" w:hAnsi="Times New Roman" w:cs="Times New Roman"/>
          <w:sz w:val="24"/>
          <w:szCs w:val="24"/>
        </w:rPr>
        <w:t xml:space="preserve"> Med Advokatsamfundets ansatte mv. menes til de af Advokatsamfundets ansatte, som leverer sekretariatsbetjening mv. til Advokatrådet.</w:t>
      </w:r>
    </w:p>
    <w:p w14:paraId="186FA2AF" w14:textId="77777777" w:rsidR="00306122" w:rsidRPr="00796736" w:rsidRDefault="00306122" w:rsidP="00A802A5">
      <w:pPr>
        <w:spacing w:line="360" w:lineRule="auto"/>
        <w:rPr>
          <w:rFonts w:ascii="Times New Roman" w:hAnsi="Times New Roman" w:cs="Times New Roman"/>
          <w:sz w:val="24"/>
          <w:szCs w:val="24"/>
        </w:rPr>
      </w:pPr>
    </w:p>
    <w:p w14:paraId="0DC0C58E" w14:textId="08CD4D4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omfatte enhver oplysning, som Advokatrådet som led i sin egen </w:t>
      </w:r>
      <w:r w:rsidR="00394C42">
        <w:rPr>
          <w:rFonts w:ascii="Times New Roman" w:hAnsi="Times New Roman" w:cs="Times New Roman"/>
          <w:sz w:val="24"/>
          <w:szCs w:val="24"/>
        </w:rPr>
        <w:t>hvidvask</w:t>
      </w:r>
      <w:r w:rsidRPr="00796736">
        <w:rPr>
          <w:rFonts w:ascii="Times New Roman" w:hAnsi="Times New Roman" w:cs="Times New Roman"/>
          <w:sz w:val="24"/>
          <w:szCs w:val="24"/>
        </w:rPr>
        <w:t>tilsynsvirksomhed kommer i besiddelse af, ligesom den vil omfatte oplysninger, som Advokatrådet i tilsynsøjemed modtager fra andre tilsynsorganer eller offentlige myndigheder i øvrigt. Bestemmelsen omfatter ligeledes oplysninger, som Advokatrådet har modtaget fra et andet lands tilsynsorganer eller kompetente myndigheder.</w:t>
      </w:r>
    </w:p>
    <w:p w14:paraId="376791FB" w14:textId="77777777" w:rsidR="00306122" w:rsidRPr="00796736" w:rsidRDefault="00306122" w:rsidP="00A802A5">
      <w:pPr>
        <w:spacing w:line="360" w:lineRule="auto"/>
        <w:rPr>
          <w:rFonts w:ascii="Times New Roman" w:hAnsi="Times New Roman" w:cs="Times New Roman"/>
          <w:sz w:val="24"/>
          <w:szCs w:val="24"/>
        </w:rPr>
      </w:pPr>
    </w:p>
    <w:p w14:paraId="1B582945"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omfatter fortrolige oplysninger. Ved fortrolige oplysninger forstås i overensstemmelse med forvaltningslovens § 27 oplysninger om enkeltpersoners private forhold, virksomheders forretningsmæssige forhold samt andre oplysninger, som uden at være personoplysninger, af andre grunde er fortrolige. Oplysninger, som efter deres karakter er offentlige, f.eks. regnskaber og selskabsmeddelelser, anses ikke for at være fortrolige oplysninger. Tilsvarende gælder oprindeligt fortrolige oplysninger, som uden om Advokatrådet er blevet offentliggjort ad andre kanaler i en grad, at det er blevet almindeligt kendt.</w:t>
      </w:r>
    </w:p>
    <w:p w14:paraId="203402CD" w14:textId="77777777" w:rsidR="00306122" w:rsidRPr="00796736" w:rsidRDefault="00306122" w:rsidP="00A802A5">
      <w:pPr>
        <w:spacing w:line="360" w:lineRule="auto"/>
        <w:rPr>
          <w:rFonts w:ascii="Times New Roman" w:hAnsi="Times New Roman" w:cs="Times New Roman"/>
          <w:sz w:val="24"/>
          <w:szCs w:val="24"/>
        </w:rPr>
      </w:pPr>
    </w:p>
    <w:p w14:paraId="065C37EF"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oplysninger, der efter deres karakter er fortrolige, forstås oplysninger, der ikke direkte relaterer sig til enkelte kunders eller virksomheders forhold. Det drejer sig bl.a. om oplysninger om økonomiske eller forretningsmæssige forhold for personer og selskaber, som ikke er kunder i egentlig forstand, men som f.eks. kautionerer for kunder, har ejerandele i den finansielle virksomheds kunder eller på anden vis har en personlig, økonomisk eller forretningsmæssig tilknytning til kunder uden selv at være det. </w:t>
      </w:r>
    </w:p>
    <w:p w14:paraId="1ADA8DEA" w14:textId="77777777" w:rsidR="00306122" w:rsidRPr="00796736" w:rsidRDefault="00306122" w:rsidP="00A802A5">
      <w:pPr>
        <w:spacing w:line="360" w:lineRule="auto"/>
        <w:rPr>
          <w:rFonts w:ascii="Times New Roman" w:hAnsi="Times New Roman" w:cs="Times New Roman"/>
          <w:sz w:val="24"/>
          <w:szCs w:val="24"/>
        </w:rPr>
      </w:pPr>
    </w:p>
    <w:p w14:paraId="4D83056D"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Dette indebærer, at oplysninger i summarisk eller samlet form, som har en sådan karakter, at de enkelte virksomheder og personer ikke kan identificeres, ikke har karakter af fortrolige oplysninger. Det er i den forbindelse afgørende for muligheden for videregivelse, at der er foretaget en fuldstændig anonymisering. Det vil således ikke være tilstrækkeligt at fjerne eller overstrege navne mv., hvis det er muligt ud fra f.eks. oplysningernes kontekst at identificere den pågældende virksomhed eller kunde.</w:t>
      </w:r>
    </w:p>
    <w:p w14:paraId="36740203" w14:textId="77777777" w:rsidR="00306122" w:rsidRPr="00796736" w:rsidRDefault="00306122" w:rsidP="00A802A5">
      <w:pPr>
        <w:spacing w:line="360" w:lineRule="auto"/>
        <w:rPr>
          <w:rFonts w:ascii="Times New Roman" w:hAnsi="Times New Roman" w:cs="Times New Roman"/>
          <w:sz w:val="24"/>
          <w:szCs w:val="24"/>
        </w:rPr>
      </w:pPr>
    </w:p>
    <w:p w14:paraId="1B7DF7A5"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omfatte personer, der udfører serviceopgaver for de i 1. pkt. nævnte personer, hvilket vil indebære, at personer, der f.eks. arbejder med rengøring, vagttjeneste reparation og vedligeholdelse af elektronisk materiel, herunder IT-udstyr, og kantinedrift for Advokatrådet mv. vil være omfattet af tavshedspligten. </w:t>
      </w:r>
    </w:p>
    <w:p w14:paraId="4A924484" w14:textId="77777777" w:rsidR="00306122" w:rsidRPr="00796736" w:rsidRDefault="00306122" w:rsidP="00A802A5">
      <w:pPr>
        <w:spacing w:line="360" w:lineRule="auto"/>
        <w:rPr>
          <w:rFonts w:ascii="Times New Roman" w:hAnsi="Times New Roman" w:cs="Times New Roman"/>
          <w:sz w:val="24"/>
          <w:szCs w:val="24"/>
        </w:rPr>
      </w:pPr>
    </w:p>
    <w:p w14:paraId="685B520B"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den foreslåede bestemmelse gennemføres 6. hvidvaskdirektivs artikel 67, stk. 1. </w:t>
      </w:r>
    </w:p>
    <w:p w14:paraId="126764E3" w14:textId="77777777" w:rsidR="00306122" w:rsidRPr="00796736" w:rsidRDefault="00306122" w:rsidP="00A802A5">
      <w:pPr>
        <w:spacing w:line="360" w:lineRule="auto"/>
        <w:rPr>
          <w:rFonts w:ascii="Times New Roman" w:hAnsi="Times New Roman" w:cs="Times New Roman"/>
          <w:sz w:val="24"/>
          <w:szCs w:val="24"/>
        </w:rPr>
      </w:pPr>
    </w:p>
    <w:p w14:paraId="239619BB"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fortrolige oplysninger, </w:t>
      </w:r>
      <w:r w:rsidRPr="00796736">
        <w:rPr>
          <w:rFonts w:ascii="Times New Roman" w:hAnsi="Times New Roman" w:cs="Times New Roman"/>
          <w:sz w:val="24"/>
          <w:szCs w:val="24"/>
          <w:lang w:eastAsia="da-DK"/>
        </w:rPr>
        <w:t xml:space="preserve">De personer, der er nævnt i stk. 1, modtager som led i tilsynshvervet efter denne lov, må kun anvendes i forbindelse med tilsynshvervet.  </w:t>
      </w:r>
    </w:p>
    <w:p w14:paraId="5065D66D" w14:textId="77777777" w:rsidR="00306122" w:rsidRPr="00796736" w:rsidRDefault="00306122" w:rsidP="00A802A5">
      <w:pPr>
        <w:spacing w:line="360" w:lineRule="auto"/>
        <w:rPr>
          <w:rFonts w:ascii="Times New Roman" w:hAnsi="Times New Roman" w:cs="Times New Roman"/>
          <w:sz w:val="24"/>
          <w:szCs w:val="24"/>
        </w:rPr>
      </w:pPr>
    </w:p>
    <w:p w14:paraId="6DDFF5FA"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svarer retsplejelovens § 143 b, stk. 2, for så vidt angår de oplysninger, som Advokatrådet mv. modtager som led i tilsynshvervet efter denne lov, dvs. de fortrolige oplysninger omfattet af stk. 1, dvs. f.eks. til at udføre sine opgaver i medfør af denne lov og anden lovgivning på området for bekæmpelse af hvidvask og terrorfinansiering, herunder iværksætte administrative foranstaltninger.</w:t>
      </w:r>
    </w:p>
    <w:p w14:paraId="43EC649E" w14:textId="77777777" w:rsidR="00306122" w:rsidRPr="00796736" w:rsidRDefault="00306122" w:rsidP="00A802A5">
      <w:pPr>
        <w:spacing w:line="360" w:lineRule="auto"/>
        <w:rPr>
          <w:rFonts w:ascii="Times New Roman" w:hAnsi="Times New Roman" w:cs="Times New Roman"/>
          <w:sz w:val="24"/>
          <w:szCs w:val="24"/>
        </w:rPr>
      </w:pPr>
    </w:p>
    <w:p w14:paraId="5EDCD158"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At oplysningerne kun må anvendes i forbindelse med tilsynshvervet indebærer, at de f.eks. vil kunne anvendes i forbindelse med iværksættelsen af administrative foranstaltninger, ved pålæg af tvangsbøder og ved retslige procedurer, som Advokatrådet mv. beskæftiger sig med som led i sin tilsynsvirksomhed. </w:t>
      </w:r>
    </w:p>
    <w:p w14:paraId="585815E7" w14:textId="77777777" w:rsidR="00306122" w:rsidRPr="00796736" w:rsidRDefault="00306122" w:rsidP="00A802A5">
      <w:pPr>
        <w:spacing w:line="360" w:lineRule="auto"/>
        <w:rPr>
          <w:rFonts w:ascii="Times New Roman" w:hAnsi="Times New Roman" w:cs="Times New Roman"/>
          <w:sz w:val="24"/>
          <w:szCs w:val="24"/>
        </w:rPr>
      </w:pPr>
    </w:p>
    <w:p w14:paraId="464D1F33" w14:textId="1A5DE429"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w:t>
      </w:r>
      <w:r w:rsidRPr="00796736">
        <w:rPr>
          <w:rFonts w:ascii="Times New Roman" w:hAnsi="Times New Roman" w:cs="Times New Roman"/>
          <w:sz w:val="24"/>
          <w:szCs w:val="24"/>
        </w:rPr>
        <w:t xml:space="preserve"> at d</w:t>
      </w:r>
      <w:r w:rsidRPr="00796736">
        <w:rPr>
          <w:rFonts w:ascii="Times New Roman" w:hAnsi="Times New Roman" w:cs="Times New Roman"/>
          <w:sz w:val="24"/>
          <w:szCs w:val="24"/>
          <w:lang w:eastAsia="da-DK"/>
        </w:rPr>
        <w:t xml:space="preserve">e personer, der er nævnt i stk. 1, </w:t>
      </w:r>
      <w:r w:rsidRPr="00796736">
        <w:rPr>
          <w:rFonts w:ascii="Times New Roman" w:hAnsi="Times New Roman" w:cs="Times New Roman"/>
          <w:sz w:val="24"/>
          <w:szCs w:val="24"/>
        </w:rPr>
        <w:t>kan indenfor rammerne af hvidvaskforordningens artikel 70, stk. 2, videregive oplysninger som nævnt i stk. 1 til følgende myndigheder, organer og instanser til varetagelse af deres opgaver på området for bekæmpelse af hvidvask og terrorfinansiering eller andet tilsyn efter deres lovgivning</w:t>
      </w:r>
      <w:r w:rsidR="00394C42">
        <w:rPr>
          <w:rFonts w:ascii="Times New Roman" w:hAnsi="Times New Roman" w:cs="Times New Roman"/>
          <w:sz w:val="24"/>
          <w:szCs w:val="24"/>
        </w:rPr>
        <w:t>.</w:t>
      </w:r>
      <w:r w:rsidRPr="00796736">
        <w:rPr>
          <w:rFonts w:ascii="Times New Roman" w:hAnsi="Times New Roman" w:cs="Times New Roman"/>
          <w:sz w:val="24"/>
          <w:szCs w:val="24"/>
        </w:rPr>
        <w:t xml:space="preserve"> </w:t>
      </w:r>
    </w:p>
    <w:p w14:paraId="17B2D107" w14:textId="77777777" w:rsidR="00306122" w:rsidRPr="00796736" w:rsidRDefault="00306122" w:rsidP="00A802A5">
      <w:pPr>
        <w:spacing w:line="360" w:lineRule="auto"/>
        <w:rPr>
          <w:rFonts w:ascii="Times New Roman" w:hAnsi="Times New Roman" w:cs="Times New Roman"/>
          <w:sz w:val="24"/>
          <w:szCs w:val="24"/>
        </w:rPr>
      </w:pPr>
    </w:p>
    <w:p w14:paraId="4209C9CB"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det vil være berettiget for Advokatrådet mv. – indenfor rammerne af hvidvaskforordningens artikel 70, stk. 2 – at videregive oplysninger til de pågældende myndigheder, organer og instanser med henblik på deres varetagelse af ved lov fastsatte opgaver på området for bekæmpelse af hvidvask og terrorfinansiering eller andet tilsyn efter deres lovgivning. Bestemmelsen vil dermed indebære en ret, men ikke en pligt, til at videregive de omhandlede fortrolige oplysninger. Det vil således være op til Advokatrådets konkrete vurdering i det enkelte tilfælde, om betingelserne for videregivelse af de pågældende oplysninger er opfyldte og kan rummes inden for Advokatrådets tavshedspligt og advokaternes tavshedspligt samt hensynet til advokat-klientfortroligheden.</w:t>
      </w:r>
    </w:p>
    <w:p w14:paraId="0C8F38D5" w14:textId="77777777" w:rsidR="00306122" w:rsidRPr="00796736" w:rsidRDefault="00306122" w:rsidP="00A802A5">
      <w:pPr>
        <w:spacing w:line="360" w:lineRule="auto"/>
        <w:rPr>
          <w:rFonts w:ascii="Times New Roman" w:hAnsi="Times New Roman" w:cs="Times New Roman"/>
          <w:sz w:val="24"/>
          <w:szCs w:val="24"/>
        </w:rPr>
      </w:pPr>
    </w:p>
    <w:p w14:paraId="6D83ECD0"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indeholde to betingelser, som begge vil skulle være opfyldte, førend der kan ske videregivelse af oplysninger efter den foreslåede bestemmelse. Videregivelsen vil for det første skulle ske inden for rammerne af hvidvaskforordningens artikel 70, stk. 2. Dette vil indebære, at oplysninger, som advokater har modtaget eller indhentet om en klient, når de vurderer den pågældendes retsstilling eller forsvarer eller repræsenterer denne eller i forbindelse med retssager, herunder rådgiver om indledning eller undgåelse af sådanne retssager, uanset om oplysningerne er modtaget eller indhentet før, under eller efter sådanne retssager, ikke vil være omfattet af videregivelsesadgangen. Advokatrådet vil således ikke kunne videregive sådanne oplysninger i medfør af den foreslåede bestemmelse, medmindre advokaterne deltager i hvidvask, de underliggende lovovertrædelser eller terrorfinansiering, yder juridisk rådgivning med henblik herpå eller har kendskab til, at klienten søger juridisk rådgivning med henblik herpå. Sidstnævnte vil kunne udledes af objektive, faktiske forhold.  </w:t>
      </w:r>
    </w:p>
    <w:p w14:paraId="7920D28F" w14:textId="77777777" w:rsidR="00306122" w:rsidRPr="00796736" w:rsidRDefault="00306122" w:rsidP="00A802A5">
      <w:pPr>
        <w:spacing w:line="360" w:lineRule="auto"/>
        <w:rPr>
          <w:rFonts w:ascii="Times New Roman" w:hAnsi="Times New Roman" w:cs="Times New Roman"/>
          <w:sz w:val="24"/>
          <w:szCs w:val="24"/>
        </w:rPr>
      </w:pPr>
    </w:p>
    <w:p w14:paraId="7B3AA079" w14:textId="77777777" w:rsidR="00306122"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den anden betingelse vil oplysningerne kunne videregives til de opregnede myndigheder, organer eller instanser med henblik på de pågældendes varetagelse af deres ved lov fastsatte opgaver på området for bekæmpelse af hvidvask og terrorfinansiering eller andet tilsyn efter deres lovgivning. Videregivelse af oplysninger, som hidrører fra et andet medlemsland, kan dog alene ske, hvis de myndigheder, der har afgivet oplysningerne, har givet deres udtrykkelige tilladelse hertil og oplysningerne må desuden kun benyttes til det formål, som tilladelsen vedrører, jf. det foreslåede stk. 5.</w:t>
      </w:r>
    </w:p>
    <w:p w14:paraId="7A23D7A5" w14:textId="77777777" w:rsidR="00394C42" w:rsidRDefault="00394C42" w:rsidP="00A802A5">
      <w:pPr>
        <w:spacing w:line="360" w:lineRule="auto"/>
        <w:rPr>
          <w:rFonts w:ascii="Times New Roman" w:hAnsi="Times New Roman" w:cs="Times New Roman"/>
          <w:sz w:val="24"/>
          <w:szCs w:val="24"/>
        </w:rPr>
      </w:pPr>
    </w:p>
    <w:p w14:paraId="55E00296" w14:textId="5E80A6C7" w:rsidR="00394C42" w:rsidRPr="00796736" w:rsidRDefault="00394C42" w:rsidP="00A802A5">
      <w:pPr>
        <w:spacing w:line="360" w:lineRule="auto"/>
        <w:rPr>
          <w:rFonts w:ascii="Times New Roman" w:hAnsi="Times New Roman" w:cs="Times New Roman"/>
          <w:sz w:val="24"/>
          <w:szCs w:val="24"/>
        </w:rPr>
      </w:pPr>
      <w:r>
        <w:rPr>
          <w:rFonts w:ascii="Times New Roman" w:hAnsi="Times New Roman" w:cs="Times New Roman"/>
          <w:sz w:val="24"/>
          <w:szCs w:val="24"/>
        </w:rPr>
        <w:t>Det forudsættes, at vil</w:t>
      </w:r>
      <w:r w:rsidRPr="00C50D4A">
        <w:rPr>
          <w:rFonts w:ascii="Times New Roman" w:hAnsi="Times New Roman" w:cs="Times New Roman"/>
          <w:sz w:val="24"/>
          <w:szCs w:val="24"/>
        </w:rPr>
        <w:t xml:space="preserve"> kunne videregive oplysninger til Advokatnævnet i de sager, hvor nævnet efter indstilling fra Advokatrådet skal træffe afgørelse om administrative foranstaltninger </w:t>
      </w:r>
      <w:r>
        <w:rPr>
          <w:rFonts w:ascii="Times New Roman" w:hAnsi="Times New Roman" w:cs="Times New Roman"/>
          <w:sz w:val="24"/>
          <w:szCs w:val="24"/>
        </w:rPr>
        <w:t xml:space="preserve">efter de foreslåede bestemmelser herom, således at </w:t>
      </w:r>
      <w:r w:rsidRPr="00C50D4A">
        <w:rPr>
          <w:rFonts w:ascii="Times New Roman" w:hAnsi="Times New Roman" w:cs="Times New Roman"/>
          <w:sz w:val="24"/>
          <w:szCs w:val="24"/>
        </w:rPr>
        <w:t xml:space="preserve">Advokatnævnet </w:t>
      </w:r>
      <w:r>
        <w:rPr>
          <w:rFonts w:ascii="Times New Roman" w:hAnsi="Times New Roman" w:cs="Times New Roman"/>
          <w:sz w:val="24"/>
          <w:szCs w:val="24"/>
        </w:rPr>
        <w:t>kan</w:t>
      </w:r>
      <w:r w:rsidRPr="00C50D4A">
        <w:rPr>
          <w:rFonts w:ascii="Times New Roman" w:hAnsi="Times New Roman" w:cs="Times New Roman"/>
          <w:sz w:val="24"/>
          <w:szCs w:val="24"/>
        </w:rPr>
        <w:t xml:space="preserve"> foretage en selvstændig og materiel vurdering af, om betingelserne for den pågældende foranstaltning er opfyldt</w:t>
      </w:r>
      <w:r>
        <w:rPr>
          <w:rFonts w:ascii="Times New Roman" w:hAnsi="Times New Roman" w:cs="Times New Roman"/>
          <w:sz w:val="24"/>
          <w:szCs w:val="24"/>
        </w:rPr>
        <w:t>. Dette forventes i almindelighed at omfatte oplysningerne omfattet af stk. 1 og 2</w:t>
      </w:r>
      <w:r w:rsidRPr="00C50D4A">
        <w:rPr>
          <w:rFonts w:ascii="Times New Roman" w:hAnsi="Times New Roman" w:cs="Times New Roman"/>
          <w:sz w:val="24"/>
          <w:szCs w:val="24"/>
        </w:rPr>
        <w:t>, der er relevante og nødvendige for denne vurdering</w:t>
      </w:r>
      <w:r>
        <w:rPr>
          <w:rFonts w:ascii="Times New Roman" w:hAnsi="Times New Roman" w:cs="Times New Roman"/>
          <w:sz w:val="24"/>
          <w:szCs w:val="24"/>
        </w:rPr>
        <w:t>.</w:t>
      </w:r>
    </w:p>
    <w:p w14:paraId="132B2AC9" w14:textId="77777777" w:rsidR="00306122" w:rsidRPr="00796736" w:rsidRDefault="00306122" w:rsidP="00A802A5">
      <w:pPr>
        <w:spacing w:line="360" w:lineRule="auto"/>
        <w:rPr>
          <w:rFonts w:ascii="Times New Roman" w:hAnsi="Times New Roman" w:cs="Times New Roman"/>
          <w:sz w:val="24"/>
          <w:szCs w:val="24"/>
        </w:rPr>
      </w:pPr>
    </w:p>
    <w:p w14:paraId="7A1518FD"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1, </w:t>
      </w:r>
      <w:r w:rsidRPr="00796736">
        <w:rPr>
          <w:rFonts w:ascii="Times New Roman" w:hAnsi="Times New Roman" w:cs="Times New Roman"/>
          <w:sz w:val="24"/>
          <w:szCs w:val="24"/>
        </w:rPr>
        <w:t xml:space="preserve">at videregivelse kan ske til tilsynsorganer og -myndigheder i henhold til denne lov </w:t>
      </w:r>
      <w:r w:rsidRPr="00796736">
        <w:rPr>
          <w:rFonts w:ascii="Times New Roman" w:hAnsi="Times New Roman" w:cs="Times New Roman"/>
          <w:sz w:val="24"/>
          <w:szCs w:val="24"/>
          <w:lang w:eastAsia="da-DK"/>
        </w:rPr>
        <w:t>eller i en anden EU-medlemsstat, EØS-land og Schweiz, samt AMLA.</w:t>
      </w:r>
    </w:p>
    <w:p w14:paraId="166C960D" w14:textId="77777777" w:rsidR="00306122" w:rsidRPr="00796736" w:rsidRDefault="00306122" w:rsidP="00A802A5">
      <w:pPr>
        <w:spacing w:line="360" w:lineRule="auto"/>
        <w:rPr>
          <w:rFonts w:ascii="Times New Roman" w:hAnsi="Times New Roman" w:cs="Times New Roman"/>
          <w:sz w:val="24"/>
          <w:szCs w:val="24"/>
        </w:rPr>
      </w:pPr>
    </w:p>
    <w:p w14:paraId="5EC5392D"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tavshedspligten ikke forhindrer, at Advokatrådet mv. kan videregive oplysninger til tilsynsmyndigheder omfattet af den foreslåede lov samt til AMLA. Det vil omfatte Finanstilsynet, Erhvervsstyrelsen og Spillemyndigheden.  </w:t>
      </w:r>
    </w:p>
    <w:p w14:paraId="4F2F65FD" w14:textId="77777777" w:rsidR="00306122" w:rsidRPr="00796736" w:rsidRDefault="00306122" w:rsidP="00A802A5">
      <w:pPr>
        <w:spacing w:line="360" w:lineRule="auto"/>
        <w:rPr>
          <w:rFonts w:ascii="Times New Roman" w:hAnsi="Times New Roman" w:cs="Times New Roman"/>
          <w:sz w:val="24"/>
          <w:szCs w:val="24"/>
        </w:rPr>
      </w:pPr>
    </w:p>
    <w:p w14:paraId="6868714D"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derudover indebære, at Advokatrådet vil have mulighed for at dele oplysninger med tilsynsorganer og myndigheder i andre EU- og EØS-medlemsstater. </w:t>
      </w:r>
      <w:r w:rsidRPr="00796736">
        <w:rPr>
          <w:rFonts w:ascii="Times New Roman" w:hAnsi="Times New Roman" w:cs="Times New Roman"/>
          <w:i/>
          <w:iCs/>
          <w:sz w:val="24"/>
          <w:szCs w:val="24"/>
        </w:rPr>
        <w:t xml:space="preserve"> </w:t>
      </w:r>
    </w:p>
    <w:p w14:paraId="09CF8160" w14:textId="77777777" w:rsidR="00306122" w:rsidRPr="00796736" w:rsidRDefault="00306122" w:rsidP="00A802A5">
      <w:pPr>
        <w:spacing w:line="360" w:lineRule="auto"/>
        <w:rPr>
          <w:rFonts w:ascii="Times New Roman" w:hAnsi="Times New Roman" w:cs="Times New Roman"/>
          <w:sz w:val="24"/>
          <w:szCs w:val="24"/>
        </w:rPr>
      </w:pPr>
    </w:p>
    <w:p w14:paraId="78A2F0A6"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2, </w:t>
      </w:r>
      <w:r w:rsidRPr="00796736">
        <w:rPr>
          <w:rFonts w:ascii="Times New Roman" w:hAnsi="Times New Roman" w:cs="Times New Roman"/>
          <w:sz w:val="24"/>
          <w:szCs w:val="24"/>
        </w:rPr>
        <w:t xml:space="preserve">at videregivelse kan ske til færøske og </w:t>
      </w:r>
      <w:r w:rsidRPr="00796736">
        <w:rPr>
          <w:rFonts w:ascii="Times New Roman" w:hAnsi="Times New Roman" w:cs="Times New Roman"/>
          <w:sz w:val="24"/>
          <w:szCs w:val="24"/>
          <w:lang w:eastAsia="da-DK"/>
        </w:rPr>
        <w:t>grønlandske tilsynsmyndigheder på området for forebyggelse af hvidvask og terrorfinansiering, under forudsætning af at modtagerne er underlagt en lovbestemt tavshedspligt, der mindst svarer til tavshedspligten i medfør af stk. 1, og at modtagerne har behov for oplysningerne til varetagelse af deres opgaver.</w:t>
      </w:r>
    </w:p>
    <w:p w14:paraId="1DF71A06" w14:textId="77777777" w:rsidR="00306122" w:rsidRPr="00796736" w:rsidRDefault="00306122" w:rsidP="00A802A5">
      <w:pPr>
        <w:spacing w:line="360" w:lineRule="auto"/>
        <w:rPr>
          <w:rFonts w:ascii="Times New Roman" w:hAnsi="Times New Roman" w:cs="Times New Roman"/>
          <w:sz w:val="24"/>
          <w:szCs w:val="24"/>
        </w:rPr>
      </w:pPr>
    </w:p>
    <w:p w14:paraId="2BAE2CA0" w14:textId="7729F795"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3, </w:t>
      </w:r>
      <w:r w:rsidRPr="00796736">
        <w:rPr>
          <w:rFonts w:ascii="Times New Roman" w:hAnsi="Times New Roman" w:cs="Times New Roman"/>
          <w:sz w:val="24"/>
          <w:szCs w:val="24"/>
        </w:rPr>
        <w:t xml:space="preserve">at videregivelse kan ske til medlemmer </w:t>
      </w:r>
      <w:r w:rsidRPr="00796736">
        <w:rPr>
          <w:rFonts w:ascii="Times New Roman" w:hAnsi="Times New Roman" w:cs="Times New Roman"/>
          <w:sz w:val="24"/>
          <w:szCs w:val="24"/>
          <w:lang w:eastAsia="da-DK"/>
        </w:rPr>
        <w:t xml:space="preserve">af Hvidvaskforum eller andre grupper mv. nedsat af skatte- og vækstministeren, jf.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_Ref232620750 \r \h </w:instrText>
      </w:r>
      <w:r w:rsidR="00AB17CC"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129</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under forudsætning af, at alle medlemmerne er underlagt en lovbestemt tavshedspligt, der mindst svarer til tavshedspligten i medfør af stk. 1.</w:t>
      </w:r>
    </w:p>
    <w:p w14:paraId="53F2C4CC" w14:textId="77777777" w:rsidR="00306122" w:rsidRPr="00796736" w:rsidRDefault="00306122" w:rsidP="00A802A5">
      <w:pPr>
        <w:spacing w:line="360" w:lineRule="auto"/>
        <w:rPr>
          <w:rFonts w:ascii="Times New Roman" w:hAnsi="Times New Roman" w:cs="Times New Roman"/>
          <w:sz w:val="24"/>
          <w:szCs w:val="24"/>
          <w:lang w:eastAsia="da-DK"/>
        </w:rPr>
      </w:pPr>
    </w:p>
    <w:p w14:paraId="2374BBAD" w14:textId="099B22DE"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giver Advokatrådet mv. mulighed for at videregive og drøfte fortrolige oplysninger i et samarbejdsforum med andre tilsynsmyndigheder omfattet af denne lov samt med Hvidvasksekretariatet. Formålet hermed er at understøtte koordineringen af myndighedernes risikovurderinger og generelle foranstaltninger mod hvidvask og finansiering af terrorisme. Samarbejdsforummet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_Ref232620750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har til formål at sikre et effektivt samarbejde mellem de relevante myndigheder på nationalt plan og at bidrage til udarbejdelsen af den nationale risikovurdering i Danmark. For de personer, som deltager i </w:t>
      </w:r>
      <w:r w:rsidR="007A6122">
        <w:rPr>
          <w:rFonts w:ascii="Times New Roman" w:hAnsi="Times New Roman" w:cs="Times New Roman"/>
          <w:sz w:val="24"/>
          <w:szCs w:val="24"/>
        </w:rPr>
        <w:t>de</w:t>
      </w:r>
      <w:r w:rsidRPr="00796736">
        <w:rPr>
          <w:rFonts w:ascii="Times New Roman" w:hAnsi="Times New Roman" w:cs="Times New Roman"/>
          <w:sz w:val="24"/>
          <w:szCs w:val="24"/>
        </w:rPr>
        <w:t xml:space="preserve"> omhandlede fora, som ikke er offentlige myndigheder, vil det være et krav, at de er underlagt en tavshedspligt, som mindst svarer til den, der følger af stk. 1. </w:t>
      </w:r>
    </w:p>
    <w:p w14:paraId="50508F19"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4, </w:t>
      </w:r>
      <w:r w:rsidRPr="00796736">
        <w:rPr>
          <w:rFonts w:ascii="Times New Roman" w:hAnsi="Times New Roman" w:cs="Times New Roman"/>
          <w:sz w:val="24"/>
          <w:szCs w:val="24"/>
        </w:rPr>
        <w:t>at videregivelse kan ske til Hvidvasksekretariatet.</w:t>
      </w:r>
    </w:p>
    <w:p w14:paraId="3D8E9536" w14:textId="77777777" w:rsidR="00306122" w:rsidRPr="00796736" w:rsidRDefault="00306122" w:rsidP="00A802A5">
      <w:pPr>
        <w:spacing w:line="360" w:lineRule="auto"/>
        <w:rPr>
          <w:rFonts w:ascii="Times New Roman" w:hAnsi="Times New Roman" w:cs="Times New Roman"/>
          <w:sz w:val="24"/>
          <w:szCs w:val="24"/>
        </w:rPr>
      </w:pPr>
    </w:p>
    <w:p w14:paraId="21FF1E5F" w14:textId="6637E746"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Advokatrådet mv. vil kunne videregive oplysninger til Hvidvasksekretariatet med henblik på Hvidvasksekretariatets opgavevaretagelse i medfør af denne lov. Bestemmelsen skal i øvrigt ses i sammenhæng med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_Ref232609412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hvidvasksforordningens artikel 70, stk. 1, hvorefter Advokatrådet fremsender modtagne indberetninger fra advokater til Hvidvasksekretariatet med det samme og ufiltreret. Der henvises for nærmere herom til 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_Ref232609412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bemærkningerne dertil.</w:t>
      </w:r>
    </w:p>
    <w:p w14:paraId="533CEF9D" w14:textId="77777777" w:rsidR="00306122" w:rsidRPr="00796736" w:rsidRDefault="00306122" w:rsidP="00A802A5">
      <w:pPr>
        <w:spacing w:line="360" w:lineRule="auto"/>
        <w:rPr>
          <w:rFonts w:ascii="Times New Roman" w:hAnsi="Times New Roman" w:cs="Times New Roman"/>
          <w:sz w:val="24"/>
          <w:szCs w:val="24"/>
        </w:rPr>
      </w:pPr>
    </w:p>
    <w:p w14:paraId="63C1305A"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5, </w:t>
      </w:r>
      <w:r w:rsidRPr="00796736">
        <w:rPr>
          <w:rFonts w:ascii="Times New Roman" w:hAnsi="Times New Roman" w:cs="Times New Roman"/>
          <w:sz w:val="24"/>
          <w:szCs w:val="24"/>
        </w:rPr>
        <w:t xml:space="preserve">at videregivelse kan ske til Skatteforvaltningen. </w:t>
      </w:r>
    </w:p>
    <w:p w14:paraId="0568D021" w14:textId="77777777" w:rsidR="00306122" w:rsidRPr="00796736" w:rsidRDefault="00306122" w:rsidP="00A802A5">
      <w:pPr>
        <w:spacing w:line="360" w:lineRule="auto"/>
        <w:rPr>
          <w:rFonts w:ascii="Times New Roman" w:hAnsi="Times New Roman" w:cs="Times New Roman"/>
          <w:sz w:val="24"/>
          <w:szCs w:val="24"/>
        </w:rPr>
      </w:pPr>
    </w:p>
    <w:p w14:paraId="3ACB5F53" w14:textId="77777777" w:rsidR="00EC1228" w:rsidRPr="00796736" w:rsidRDefault="00EC1228" w:rsidP="00EC1228">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videregivelse kan ske til Skatteforvaltningen generelt og ikke alene til brug for Skatteforvaltningens undersøgelse af mulige overtrædelser af told- og skattelovgivningen</w:t>
      </w:r>
      <w:r>
        <w:rPr>
          <w:rFonts w:ascii="Times New Roman" w:hAnsi="Times New Roman" w:cs="Times New Roman"/>
          <w:sz w:val="24"/>
          <w:szCs w:val="24"/>
        </w:rPr>
        <w:t>, men også til forvaltningens almindelige sagsbehandling</w:t>
      </w:r>
      <w:r w:rsidRPr="00796736">
        <w:rPr>
          <w:rFonts w:ascii="Times New Roman" w:hAnsi="Times New Roman" w:cs="Times New Roman"/>
          <w:sz w:val="24"/>
          <w:szCs w:val="24"/>
        </w:rPr>
        <w:t xml:space="preserve">. Det vil dog være et krav, at videregivelsen sker med henblik på Skatteforvaltningens ved lov foreskrevne opgavevaretagelse. </w:t>
      </w:r>
    </w:p>
    <w:p w14:paraId="60178572" w14:textId="6024BB2C"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Advokatrådet mv.  har mulighed for at videregive fortrolige oplysninger til Skatteforvaltningen, når dette sker med henblik på undersøgelse af mulige overtrædelser af told- og skattelovgivningen. Der kan eksempelvis være tale om situationer, hvor en advokat mv. mistænkes for at være anvendt til at gennemføre skatteunddragende transaktioner på vegne af en kunde. Tilsvarende vil Advokatrådet mv. kunne videregive oplysninger til Skatteforvaltningen</w:t>
      </w:r>
      <w:r w:rsidRPr="00796736" w:rsidDel="00F30D23">
        <w:rPr>
          <w:rFonts w:ascii="Times New Roman" w:hAnsi="Times New Roman" w:cs="Times New Roman"/>
          <w:sz w:val="24"/>
          <w:szCs w:val="24"/>
        </w:rPr>
        <w:t xml:space="preserve"> </w:t>
      </w:r>
      <w:r w:rsidRPr="00796736">
        <w:rPr>
          <w:rFonts w:ascii="Times New Roman" w:hAnsi="Times New Roman" w:cs="Times New Roman"/>
          <w:sz w:val="24"/>
          <w:szCs w:val="24"/>
        </w:rPr>
        <w:t xml:space="preserve">om muligt manglende skattetilsvar fra advokater under Advokatrådets tilsyn. </w:t>
      </w:r>
    </w:p>
    <w:p w14:paraId="01673E3C" w14:textId="77777777" w:rsidR="00306122" w:rsidRPr="00796736" w:rsidRDefault="00306122" w:rsidP="00A802A5">
      <w:pPr>
        <w:spacing w:line="360" w:lineRule="auto"/>
        <w:rPr>
          <w:rFonts w:ascii="Times New Roman" w:hAnsi="Times New Roman" w:cs="Times New Roman"/>
          <w:sz w:val="24"/>
          <w:szCs w:val="24"/>
        </w:rPr>
      </w:pPr>
    </w:p>
    <w:p w14:paraId="70CB32C6" w14:textId="4DC7F640"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som for de øvrige muligheder for videregivelse i medfør af den foreslåede bestemmelse være et krav, at forholdet er omfattet af hvidvaskforordningens artikel 70, stk. 2, 2. afsnit eller regler udstedt i medfør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_Ref232609412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Dette indebærer, at advokaten enten skal deltage i hvidvask, de underliggende lovovertrædelser eller terrorfinansiering, yder juridisk rådgivning med henblik herpå eller har kendskab til, at klienten søger juridisk rådgivning med henblik herpå. For så vidt angår sidstnævnte vil kendskabet eller formålet kunne udledes af objektive, faktiske forhold, som vil skulle dokumenteres. </w:t>
      </w:r>
    </w:p>
    <w:p w14:paraId="3E67D1DD"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6, </w:t>
      </w:r>
      <w:r w:rsidRPr="00796736">
        <w:rPr>
          <w:rFonts w:ascii="Times New Roman" w:hAnsi="Times New Roman" w:cs="Times New Roman"/>
          <w:sz w:val="24"/>
          <w:szCs w:val="24"/>
        </w:rPr>
        <w:t>at videregivelse kan ske til Advokatnævnet og domstolene.</w:t>
      </w:r>
    </w:p>
    <w:p w14:paraId="2FEADAEF" w14:textId="77777777" w:rsidR="00306122" w:rsidRPr="00796736" w:rsidRDefault="00306122" w:rsidP="00A802A5">
      <w:pPr>
        <w:spacing w:line="360" w:lineRule="auto"/>
        <w:rPr>
          <w:rFonts w:ascii="Times New Roman" w:hAnsi="Times New Roman" w:cs="Times New Roman"/>
          <w:sz w:val="24"/>
          <w:szCs w:val="24"/>
        </w:rPr>
      </w:pPr>
    </w:p>
    <w:p w14:paraId="5FDDDFE2"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Advokatrådet mv. vil kunne videregive fortrolige oplysninger omfattet af stk. 1 til Advokatnævnet og domstolene.</w:t>
      </w:r>
    </w:p>
    <w:p w14:paraId="5DE2D1DE" w14:textId="77777777" w:rsidR="00306122" w:rsidRPr="00796736" w:rsidRDefault="00306122" w:rsidP="00A802A5">
      <w:pPr>
        <w:spacing w:line="360" w:lineRule="auto"/>
        <w:rPr>
          <w:rFonts w:ascii="Times New Roman" w:hAnsi="Times New Roman" w:cs="Times New Roman"/>
          <w:sz w:val="24"/>
          <w:szCs w:val="24"/>
        </w:rPr>
      </w:pPr>
    </w:p>
    <w:p w14:paraId="2158DF4C" w14:textId="77777777" w:rsidR="00394C42" w:rsidRDefault="00394C42"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For så vidt angår Advokatnævnet</w:t>
      </w:r>
      <w:r>
        <w:rPr>
          <w:rFonts w:ascii="Times New Roman" w:hAnsi="Times New Roman" w:cs="Times New Roman"/>
          <w:sz w:val="24"/>
          <w:szCs w:val="24"/>
        </w:rPr>
        <w:t xml:space="preserve"> henvises til bemærkningerne ovenfor, idet den foreslåede</w:t>
      </w:r>
      <w:r w:rsidRPr="00D253F0">
        <w:rPr>
          <w:rFonts w:ascii="Times New Roman" w:hAnsi="Times New Roman" w:cs="Times New Roman"/>
          <w:sz w:val="24"/>
          <w:szCs w:val="24"/>
        </w:rPr>
        <w:t xml:space="preserve"> bestemmelse for det første</w:t>
      </w:r>
      <w:r>
        <w:rPr>
          <w:rFonts w:ascii="Times New Roman" w:hAnsi="Times New Roman" w:cs="Times New Roman"/>
          <w:sz w:val="24"/>
          <w:szCs w:val="24"/>
        </w:rPr>
        <w:t xml:space="preserve"> skal</w:t>
      </w:r>
      <w:r w:rsidRPr="00D253F0">
        <w:rPr>
          <w:rFonts w:ascii="Times New Roman" w:hAnsi="Times New Roman" w:cs="Times New Roman"/>
          <w:sz w:val="24"/>
          <w:szCs w:val="24"/>
        </w:rPr>
        <w:t xml:space="preserve"> ses i sammenhæng med de foreslåede bestemmelser om påbud om administrative foranstaltninger, hvorefter Advokatnævnet efter indstilling fra Advokatrådet vil have kompetence til at træffe afgørelse om en lang række spørgsmål på hvidvaskområdet. Den foreslåede bestemmelse vil indebære, at rådet med henblik på behandlingen af sådanne sager kan videregive oplysninger til Advokatnævnet. Advokatrådet mv. vil derudover kunne videregive oplysninger, som rådet kommer bliver bekendt med i forbindelse med udøvelsen af tilsynet, der kan medføre en disciplinærsag ved Advokatnævnet. </w:t>
      </w:r>
    </w:p>
    <w:p w14:paraId="73675611" w14:textId="77777777" w:rsidR="00394C42" w:rsidRDefault="00394C42" w:rsidP="00A802A5">
      <w:pPr>
        <w:spacing w:line="360" w:lineRule="auto"/>
        <w:rPr>
          <w:rFonts w:ascii="Times New Roman" w:hAnsi="Times New Roman" w:cs="Times New Roman"/>
          <w:sz w:val="24"/>
          <w:szCs w:val="24"/>
        </w:rPr>
      </w:pPr>
    </w:p>
    <w:p w14:paraId="619A19A6" w14:textId="09A0A85B"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muliggør endvidere videregivelse af oplysninger til domstolene. Det forudsættes, at den foreslåede bestemmelse navnlig vil være relevant i forbindelse med behandlingen af sager og prøvelse af afgørelser truffet i medfør af denne lov, men den vil også kunne anvendes i andre sager.</w:t>
      </w:r>
    </w:p>
    <w:p w14:paraId="6FD6D3A3" w14:textId="77777777" w:rsidR="00306122" w:rsidRPr="00796736" w:rsidRDefault="00306122" w:rsidP="00A802A5">
      <w:pPr>
        <w:spacing w:line="360" w:lineRule="auto"/>
        <w:rPr>
          <w:rFonts w:ascii="Times New Roman" w:hAnsi="Times New Roman" w:cs="Times New Roman"/>
          <w:sz w:val="24"/>
          <w:szCs w:val="24"/>
        </w:rPr>
      </w:pPr>
    </w:p>
    <w:p w14:paraId="1F82085B"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3, nr. 7,</w:t>
      </w:r>
      <w:r w:rsidRPr="00796736">
        <w:rPr>
          <w:rFonts w:ascii="Times New Roman" w:hAnsi="Times New Roman" w:cs="Times New Roman"/>
          <w:sz w:val="24"/>
          <w:szCs w:val="24"/>
        </w:rPr>
        <w:t xml:space="preserve"> at videregivelse kan ske til Datatilsynet. </w:t>
      </w:r>
    </w:p>
    <w:p w14:paraId="5A875383" w14:textId="77777777" w:rsidR="00306122" w:rsidRPr="00796736" w:rsidRDefault="00306122" w:rsidP="00A802A5">
      <w:pPr>
        <w:spacing w:line="360" w:lineRule="auto"/>
        <w:rPr>
          <w:rFonts w:ascii="Times New Roman" w:hAnsi="Times New Roman" w:cs="Times New Roman"/>
          <w:sz w:val="24"/>
          <w:szCs w:val="24"/>
        </w:rPr>
      </w:pPr>
    </w:p>
    <w:p w14:paraId="149BBB3C"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det foreslåede nr. 8, vil Advokatrådet kunne videregive fortrolige oplysninger til Datatilsynet, når dette er nødvendigt for, at Datatilsynet kan varetage sine opgaver som uafhængig tilsynsmyndighed for databeskyttelsesreglerne. Videregivelse af fortrolige oplysninger, der hidrører fra andre EU-lande eller lande, som EU har indgået aftale med på området for internationalt advokatsamarbejde, kan alene ske, hvis de myndigheder, der har afgivet oplysningerne, har givet deres udtrykkelige tilladelse, og oplysningerne må kun benyttes til det formål, som tilladelsen vedrører.</w:t>
      </w:r>
    </w:p>
    <w:p w14:paraId="356A9CD4"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sikre, at Advokatrådet i sin egenskab af supplerende tilsynsorgan i henhold til særregler udstedt i medfør af databeskyttelsesforordningen kan videregive relevante oplysninger til Datatilsynet, der er den uafhængige tilsynsmyndighed med databeskyttelsesreglerne i Danmark, jf. § 27, stk. 1, i databeskyttelsesloven.</w:t>
      </w:r>
    </w:p>
    <w:p w14:paraId="560F350D"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Datatilsynet fører i medfør af artikel 25 i databeskyttelsesforordningen tilsyn med databeskyttelse gennem design og databeskyttelse gennem standardindstillinger. Databeskyttelse gennem design og standardindstillinger indebærer, at den dataansvarlige allerede fra det tidspunkt, hvor midlerne for behandlingen fastlægges, f.eks. ved indkøb af et nyt it-system, skal gennemføre passende tekniske og organisatoriske foranstaltninger, som er designet med henblik på at sikre en effektiv implementering af de grundlæggende databeskyttelsesprincipper, som f.eks. lovlighed, rimelighed og gennemsigtighed. Den dataansvarlige skal således på forhånd have designet og indrettet sin it-mæssige og organisatoriske forretningsunderstøttelse af behandlinger sådan, at forordningens krav og beskyttelseshensyn varetages som en integreret del i hele behandlingsforløbet. </w:t>
      </w:r>
    </w:p>
    <w:p w14:paraId="20730ADE"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Adgangen til at videregive fortrolige oplysninger til Datatilsynet vil sikre, at Datatilsynet f.eks. i forbindelse med behandling af en sag, som Advokatrådet allerede har behandlet, kan genbruge de data, som er indhentet hos den pågældende advokat mv., og dermed vil advokaten undgå at skulle afgive de samme oplysninger flere gange. </w:t>
      </w:r>
    </w:p>
    <w:p w14:paraId="7874A3A3"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Desuden sikrer bestemmelsen, at myndighederne kan udveksle informationer om igangværende sager, og som følge heraf vil ændringen være med til at styrke samarbejdet mellem Advokatrådet og Datatilsynet. Det bemærkes, at muligheden for at videregive fortrolige oplysninger til Datatilsynet ikke er begrænset til de ovenfor fremførte eksempler. </w:t>
      </w:r>
    </w:p>
    <w:p w14:paraId="2DB69EE0"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Udvekslingen af fortrolige oplysninger mellem Advokatrådet mv. og Datatilsynet vil skulle begrænses til, hvad der er relevant og forholdsmæssigt under hensyn til formålet med udvekslingen og som anført ovenfor i øvrigt sker indenfor rammerne af hvidvaskforordningens artikel 70.</w:t>
      </w:r>
    </w:p>
    <w:p w14:paraId="51F9B830"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Endelig skal det bemærkes, at ved eventuel videregivelse af personoplysninger vil de gældende regler vedrørende databeskyttelse finde anvendelse, hvorfor behandlingen af personoplysninger altid vil ske under iagttagelse af gældende lovgivning, herunder databeskyttelsesforordningen og databeskyttelsesloven. </w:t>
      </w:r>
    </w:p>
    <w:p w14:paraId="741BE7D8" w14:textId="77777777"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8, </w:t>
      </w:r>
      <w:r w:rsidRPr="00796736">
        <w:rPr>
          <w:rFonts w:ascii="Times New Roman" w:hAnsi="Times New Roman" w:cs="Times New Roman"/>
          <w:sz w:val="24"/>
          <w:szCs w:val="24"/>
        </w:rPr>
        <w:t xml:space="preserve">at videregivelse kan ske til myndigheder </w:t>
      </w:r>
      <w:r w:rsidRPr="00796736">
        <w:rPr>
          <w:rFonts w:ascii="Times New Roman" w:hAnsi="Times New Roman" w:cs="Times New Roman"/>
          <w:sz w:val="24"/>
          <w:szCs w:val="24"/>
          <w:lang w:eastAsia="da-DK"/>
        </w:rPr>
        <w:t>omfattet af hvidvaskforordningens artikel 2, stk. 1, nr. 44, litra c og d, herunder politiet, anklagemyndigheden og justitsministeren samt andre myndigheder, der har til formål at bekæmpe hvidvask og terrorfinansiering.</w:t>
      </w:r>
    </w:p>
    <w:p w14:paraId="6D9A4493" w14:textId="77777777" w:rsidR="00306122" w:rsidRPr="00796736" w:rsidRDefault="00306122" w:rsidP="00A802A5">
      <w:pPr>
        <w:spacing w:line="360" w:lineRule="auto"/>
        <w:rPr>
          <w:rFonts w:ascii="Times New Roman" w:hAnsi="Times New Roman" w:cs="Times New Roman"/>
          <w:sz w:val="24"/>
          <w:szCs w:val="24"/>
          <w:lang w:eastAsia="da-DK"/>
        </w:rPr>
      </w:pPr>
    </w:p>
    <w:p w14:paraId="5245A606"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indebærer, at Advokatrådet kan videregive fortrolige oplysninger til offentlige myndigheder, der har til opgave at efterforske eller retsforfølge i sager om hvidvask, de underliggende lovovertrædelser eller terrorfinansiering, eller som har til opgave at opspore, beslaglægge eller indefryse eller konfiskere kriminelle aktiver eller har fået til ansvar at bekæmpe hvidvask og terrorfinansiering, herunder politiet, anklagemyndigheden og justitsministeren. Bestemmelsen udgør en fravigelse af Advokatrådets mv. udvidede tavshedspligt og giver mulighed for, at relevante oplysninger kan videregives til de myndigheder, der har behov for dem i forbindelse med deres opgavevaretagelse. </w:t>
      </w:r>
    </w:p>
    <w:p w14:paraId="54FF204D"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en forudsætning for at bringe bestemmelsen i anvendelse, at der foreligger mulige strafbare forhold. I den forbindelse vil Advokatrådet have mulighed for at videregive oplysningerne til politiet eller anklagemyndigheden, hvilket også er tilfældet efter den nugældende bestemmelse i retsplejelovens § 143 b, stk. 3. Oplysningerne vil kun kunne videregives, hvis betingelserne i hvidvaskforordningens artikel 70, stk. 2, 2. afsnit er opfyldte. Det vil bero på en konkret vurdering, om en videregivelse af oplysninger fra Advokatrådet mv. til en offentlig myndighed vil være berettiget. </w:t>
      </w:r>
    </w:p>
    <w:p w14:paraId="5A8707EE"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Advokatrådet vil ikke have pligt til at informere en fysisk eller juridisk person om, at en sag er overgivet til politimæssig efterforskning.</w:t>
      </w:r>
    </w:p>
    <w:p w14:paraId="09482D20" w14:textId="77777777"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9, </w:t>
      </w:r>
      <w:r w:rsidRPr="00796736">
        <w:rPr>
          <w:rFonts w:ascii="Times New Roman" w:hAnsi="Times New Roman" w:cs="Times New Roman"/>
          <w:sz w:val="24"/>
          <w:szCs w:val="24"/>
        </w:rPr>
        <w:t xml:space="preserve">at videregivelse kan ske til </w:t>
      </w:r>
      <w:r w:rsidRPr="00796736">
        <w:rPr>
          <w:rFonts w:ascii="Times New Roman" w:hAnsi="Times New Roman" w:cs="Times New Roman"/>
          <w:sz w:val="24"/>
          <w:szCs w:val="24"/>
          <w:lang w:eastAsia="da-DK"/>
        </w:rPr>
        <w:t xml:space="preserve">personer, der medvirker ved en af denne lov </w:t>
      </w:r>
      <w:r w:rsidRPr="00796736" w:rsidDel="0014143D">
        <w:rPr>
          <w:rFonts w:ascii="Times New Roman" w:hAnsi="Times New Roman" w:cs="Times New Roman"/>
          <w:sz w:val="24"/>
          <w:szCs w:val="24"/>
          <w:lang w:eastAsia="da-DK"/>
        </w:rPr>
        <w:t>omfattet</w:t>
      </w:r>
      <w:r w:rsidRPr="00796736">
        <w:rPr>
          <w:rFonts w:ascii="Times New Roman" w:hAnsi="Times New Roman" w:cs="Times New Roman"/>
          <w:sz w:val="24"/>
          <w:szCs w:val="24"/>
          <w:lang w:eastAsia="da-DK"/>
        </w:rPr>
        <w:t xml:space="preserve"> person eller virksomheds likvidation, konkursbehandling eller lignende procedurer, under forudsætning af at modtagerne af oplysninger har behov herfor til varetagelse af deres opgaver.</w:t>
      </w:r>
    </w:p>
    <w:p w14:paraId="30F7DB2D" w14:textId="77777777" w:rsidR="00306122" w:rsidRPr="00796736" w:rsidRDefault="00306122" w:rsidP="00A802A5">
      <w:pPr>
        <w:spacing w:line="360" w:lineRule="auto"/>
        <w:rPr>
          <w:rFonts w:ascii="Times New Roman" w:hAnsi="Times New Roman" w:cs="Times New Roman"/>
          <w:sz w:val="24"/>
          <w:szCs w:val="24"/>
          <w:lang w:eastAsia="da-DK"/>
        </w:rPr>
      </w:pPr>
    </w:p>
    <w:p w14:paraId="2FA009D1"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Advokatrådet mv. har mulighed for at videregive fortrolige oplysninger til personer, der er ansvarlige for likvidationen, konkurs- eller rekonstruktionsbehandlingen mv. af personer og virksomheder omfattet af denne lov, når dette er nødvendigt for, at modtageren kan varetage sine opgaver i forbindelse med sådanne procedurer. Det kunne f.eks. være kurator i et konkursbo eller bobestyrer i et dødsbo.</w:t>
      </w:r>
    </w:p>
    <w:p w14:paraId="29A560CF"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3, nr. 10, </w:t>
      </w:r>
      <w:r w:rsidRPr="00796736">
        <w:rPr>
          <w:rFonts w:ascii="Times New Roman" w:hAnsi="Times New Roman" w:cs="Times New Roman"/>
          <w:sz w:val="24"/>
          <w:szCs w:val="24"/>
        </w:rPr>
        <w:t>at videregivelse kan ske til andre ministerier og offentlige myndigheder.</w:t>
      </w:r>
    </w:p>
    <w:p w14:paraId="487F9C6C" w14:textId="77777777" w:rsidR="00306122" w:rsidRPr="00796736" w:rsidRDefault="00306122" w:rsidP="00A802A5">
      <w:pPr>
        <w:spacing w:line="360" w:lineRule="auto"/>
        <w:rPr>
          <w:rFonts w:ascii="Times New Roman" w:hAnsi="Times New Roman" w:cs="Times New Roman"/>
          <w:sz w:val="24"/>
          <w:szCs w:val="24"/>
        </w:rPr>
      </w:pPr>
    </w:p>
    <w:p w14:paraId="62A0B00D"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har karakter af en opsamlingsbestemmelse, som vil omfatte andre ministerier og offentlige myndigheder, som til brug for deres tilsynsmæssige opgavevaretagelse har brug for oplysninger omfattet af det foreslåede stk. 1. </w:t>
      </w:r>
    </w:p>
    <w:p w14:paraId="498ED43D" w14:textId="77777777" w:rsidR="00306122" w:rsidRPr="00796736" w:rsidRDefault="00306122" w:rsidP="00A802A5">
      <w:pPr>
        <w:spacing w:line="360" w:lineRule="auto"/>
        <w:rPr>
          <w:rFonts w:ascii="Times New Roman" w:hAnsi="Times New Roman" w:cs="Times New Roman"/>
          <w:sz w:val="24"/>
          <w:szCs w:val="24"/>
        </w:rPr>
      </w:pPr>
    </w:p>
    <w:p w14:paraId="0771091F" w14:textId="77777777" w:rsidR="00306122" w:rsidRPr="00796736" w:rsidRDefault="0030612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vil f.eks. give mulighed for, at Advokatrådet kan videregive fortrolige oplysninger til Erhvervsstyrelsen i kraft af styrelsens egenskab af ansvarlig tilsynsmyndighed for efterlevelse af selskabslovgivningen. Ved efterlevelse af selskabslovgivningen menes de regler, som Erhvervsstyrelsen fører tilsyn med, herunder f.eks. bestemmelser i selskabsloven og fondslovgivningen. Det er i den forbindelse et krav, at videregivelse sker med henblik på at styrke det finansielle systems stabilitet og integritet, dvs. at der er et legitimt formål med videregivelsen, og at Erhvervsstyrelsen har behov for oplysningerne til varetagelsen af styrelsens opgaver. Det bemærkes, at oplysninger tillige vil kunne videregives til brug for Erhvervsstyrelsens hvidvasktilsyn efter det foreslåede nr. 1. </w:t>
      </w:r>
    </w:p>
    <w:p w14:paraId="16779F64" w14:textId="77777777"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4,</w:t>
      </w:r>
      <w:r w:rsidRPr="00796736">
        <w:rPr>
          <w:rFonts w:ascii="Times New Roman" w:hAnsi="Times New Roman" w:cs="Times New Roman"/>
          <w:sz w:val="24"/>
          <w:szCs w:val="24"/>
        </w:rPr>
        <w:t xml:space="preserve"> at </w:t>
      </w:r>
      <w:r w:rsidRPr="00796736">
        <w:rPr>
          <w:rFonts w:ascii="Times New Roman" w:hAnsi="Times New Roman" w:cs="Times New Roman"/>
          <w:sz w:val="24"/>
          <w:szCs w:val="24"/>
          <w:lang w:eastAsia="da-DK"/>
        </w:rPr>
        <w:t xml:space="preserve">de personer, der er nævnt i stk. 1, endvidere kan videregive oplysninger som nævnt i stk. 1 til en række organer, når det er strengt nødvendigt af hensyn til varetagelse af deres opgaver efter deres lovgivning og modtagerne er underlagt en lovbestemt tavshedspligt, der mindst svarer til tavshedspligten i medfør af stk. 1.  </w:t>
      </w:r>
    </w:p>
    <w:p w14:paraId="062A6A7E" w14:textId="77777777" w:rsidR="00306122" w:rsidRPr="00796736" w:rsidRDefault="00306122" w:rsidP="00A802A5">
      <w:pPr>
        <w:spacing w:line="360" w:lineRule="auto"/>
        <w:rPr>
          <w:rFonts w:ascii="Times New Roman" w:hAnsi="Times New Roman" w:cs="Times New Roman"/>
          <w:sz w:val="24"/>
          <w:szCs w:val="24"/>
        </w:rPr>
      </w:pPr>
    </w:p>
    <w:p w14:paraId="0B4FBF50" w14:textId="77777777" w:rsidR="00394C42" w:rsidRPr="00D253F0" w:rsidRDefault="00394C42" w:rsidP="00A802A5">
      <w:pPr>
        <w:spacing w:line="360" w:lineRule="auto"/>
        <w:rPr>
          <w:rFonts w:ascii="Times New Roman" w:hAnsi="Times New Roman" w:cs="Times New Roman"/>
          <w:sz w:val="24"/>
          <w:szCs w:val="24"/>
          <w:lang w:eastAsia="da-DK"/>
        </w:rPr>
      </w:pPr>
      <w:r w:rsidRPr="00D253F0">
        <w:rPr>
          <w:rFonts w:ascii="Times New Roman" w:hAnsi="Times New Roman" w:cs="Times New Roman"/>
          <w:sz w:val="24"/>
          <w:szCs w:val="24"/>
        </w:rPr>
        <w:t xml:space="preserve">Det foreslås i </w:t>
      </w:r>
      <w:r w:rsidRPr="00D253F0">
        <w:rPr>
          <w:rFonts w:ascii="Times New Roman" w:hAnsi="Times New Roman" w:cs="Times New Roman"/>
          <w:i/>
          <w:iCs/>
          <w:sz w:val="24"/>
          <w:szCs w:val="24"/>
        </w:rPr>
        <w:t xml:space="preserve">stk. 4, nr. 1, </w:t>
      </w:r>
      <w:r w:rsidRPr="00D253F0">
        <w:rPr>
          <w:rFonts w:ascii="Times New Roman" w:hAnsi="Times New Roman" w:cs="Times New Roman"/>
          <w:sz w:val="24"/>
          <w:szCs w:val="24"/>
        </w:rPr>
        <w:t xml:space="preserve">at videregivelse kan ske til Folketinget, </w:t>
      </w:r>
      <w:r w:rsidRPr="00D253F0">
        <w:rPr>
          <w:rFonts w:ascii="Times New Roman" w:hAnsi="Times New Roman" w:cs="Times New Roman"/>
          <w:sz w:val="24"/>
          <w:szCs w:val="24"/>
          <w:lang w:eastAsia="da-DK"/>
        </w:rPr>
        <w:t xml:space="preserve">herunder organer og udvalg under </w:t>
      </w:r>
      <w:r>
        <w:rPr>
          <w:rFonts w:ascii="Times New Roman" w:hAnsi="Times New Roman" w:cs="Times New Roman"/>
          <w:sz w:val="24"/>
          <w:szCs w:val="24"/>
          <w:lang w:eastAsia="da-DK"/>
        </w:rPr>
        <w:t xml:space="preserve">eller </w:t>
      </w:r>
      <w:r w:rsidRPr="00D253F0">
        <w:rPr>
          <w:rFonts w:ascii="Times New Roman" w:hAnsi="Times New Roman" w:cs="Times New Roman"/>
          <w:sz w:val="24"/>
          <w:szCs w:val="24"/>
          <w:lang w:eastAsia="da-DK"/>
        </w:rPr>
        <w:t>nedsat af Folketinget.</w:t>
      </w:r>
    </w:p>
    <w:p w14:paraId="6114DCC0" w14:textId="77777777" w:rsidR="00306122" w:rsidRPr="00796736" w:rsidRDefault="00306122" w:rsidP="00A802A5">
      <w:pPr>
        <w:spacing w:line="360" w:lineRule="auto"/>
        <w:rPr>
          <w:rFonts w:ascii="Times New Roman" w:hAnsi="Times New Roman" w:cs="Times New Roman"/>
          <w:sz w:val="24"/>
          <w:szCs w:val="24"/>
          <w:lang w:eastAsia="da-DK"/>
        </w:rPr>
      </w:pPr>
    </w:p>
    <w:p w14:paraId="7E365144" w14:textId="1E83B469" w:rsidR="00394C42" w:rsidRDefault="00394C42"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Den foreslåede bestemmelse vil indebære, at Advokatrådet har mulighed for at videregive fortrolige oplysninger til</w:t>
      </w:r>
      <w:r>
        <w:rPr>
          <w:rFonts w:ascii="Times New Roman" w:hAnsi="Times New Roman" w:cs="Times New Roman"/>
          <w:sz w:val="24"/>
          <w:szCs w:val="24"/>
        </w:rPr>
        <w:t xml:space="preserve"> Folketinget, herunder medlemmer af organer og udvalg under eller nedsat af Folketinget. Det omfatter foruden de forskellige folketingsudvalg organer under Folketinget, herunder Folketingets formand, medlemmer af Præsidiet, Statsrevisorerne og Rigsrevisionen. Derudover vil Advokatrådet have mulighed for at videregive oplysningerne til et organ</w:t>
      </w:r>
      <w:r w:rsidRPr="00D253F0">
        <w:rPr>
          <w:rFonts w:ascii="Times New Roman" w:hAnsi="Times New Roman" w:cs="Times New Roman"/>
          <w:sz w:val="24"/>
          <w:szCs w:val="24"/>
        </w:rPr>
        <w:t xml:space="preserve"> nedsat af Folketinget, når dette er nødvendigt for </w:t>
      </w:r>
      <w:r>
        <w:rPr>
          <w:rFonts w:ascii="Times New Roman" w:hAnsi="Times New Roman" w:cs="Times New Roman"/>
          <w:sz w:val="24"/>
          <w:szCs w:val="24"/>
        </w:rPr>
        <w:t xml:space="preserve">organets </w:t>
      </w:r>
      <w:r w:rsidRPr="00D253F0">
        <w:rPr>
          <w:rFonts w:ascii="Times New Roman" w:hAnsi="Times New Roman" w:cs="Times New Roman"/>
          <w:sz w:val="24"/>
          <w:szCs w:val="24"/>
        </w:rPr>
        <w:t>varetagelse af sine opgaver.</w:t>
      </w:r>
      <w:r>
        <w:rPr>
          <w:rFonts w:ascii="Times New Roman" w:hAnsi="Times New Roman" w:cs="Times New Roman"/>
          <w:sz w:val="24"/>
          <w:szCs w:val="24"/>
        </w:rPr>
        <w:t xml:space="preserve"> Den foreslåede bestemmelse vil omfatte de personer, der udfører opgaver som led i en uvildig advokatundersøgelse eller en faglig ekspertudredning, jf. § 61, stk. 1, nr. 1 og 2, i Folketingets Forretningsorden.</w:t>
      </w:r>
    </w:p>
    <w:p w14:paraId="15083E70" w14:textId="77777777" w:rsidR="00394C42" w:rsidRPr="00D253F0" w:rsidRDefault="00394C42" w:rsidP="00A802A5">
      <w:pPr>
        <w:spacing w:line="360" w:lineRule="auto"/>
        <w:rPr>
          <w:rFonts w:ascii="Times New Roman" w:hAnsi="Times New Roman" w:cs="Times New Roman"/>
          <w:sz w:val="24"/>
          <w:szCs w:val="24"/>
        </w:rPr>
      </w:pPr>
    </w:p>
    <w:p w14:paraId="30A4831A" w14:textId="65B499DF" w:rsidR="00306122" w:rsidRDefault="00394C42" w:rsidP="00A802A5">
      <w:pPr>
        <w:spacing w:line="360" w:lineRule="auto"/>
        <w:rPr>
          <w:rFonts w:ascii="Times New Roman" w:hAnsi="Times New Roman" w:cs="Times New Roman"/>
          <w:sz w:val="24"/>
          <w:szCs w:val="24"/>
        </w:rPr>
      </w:pPr>
      <w:r w:rsidRPr="00D253F0">
        <w:rPr>
          <w:rFonts w:ascii="Times New Roman" w:hAnsi="Times New Roman" w:cs="Times New Roman"/>
          <w:sz w:val="24"/>
          <w:szCs w:val="24"/>
        </w:rPr>
        <w:t xml:space="preserve">Det vil være et krav, at </w:t>
      </w:r>
      <w:r>
        <w:rPr>
          <w:rFonts w:ascii="Times New Roman" w:hAnsi="Times New Roman" w:cs="Times New Roman"/>
          <w:sz w:val="24"/>
          <w:szCs w:val="24"/>
        </w:rPr>
        <w:t>opdraget for undersøgelsen omfatter en undersøgelse af de</w:t>
      </w:r>
      <w:r w:rsidRPr="00D253F0">
        <w:rPr>
          <w:rFonts w:ascii="Times New Roman" w:hAnsi="Times New Roman" w:cs="Times New Roman"/>
          <w:sz w:val="24"/>
          <w:szCs w:val="24"/>
        </w:rPr>
        <w:t xml:space="preserve"> aktiviteter, som udføres af tilsynsorganer</w:t>
      </w:r>
      <w:r w:rsidR="004F6CA7">
        <w:rPr>
          <w:rFonts w:ascii="Times New Roman" w:hAnsi="Times New Roman" w:cs="Times New Roman"/>
          <w:sz w:val="24"/>
          <w:szCs w:val="24"/>
        </w:rPr>
        <w:t>ne</w:t>
      </w:r>
      <w:r w:rsidRPr="00D253F0">
        <w:rPr>
          <w:rFonts w:ascii="Times New Roman" w:hAnsi="Times New Roman" w:cs="Times New Roman"/>
          <w:sz w:val="24"/>
          <w:szCs w:val="24"/>
        </w:rPr>
        <w:t xml:space="preserve"> efter denne lov eller myndigheder med ansvar for lovgivningen. Det vil for det andet være et krav, at oplysningerne er nødvendige for u</w:t>
      </w:r>
      <w:r>
        <w:rPr>
          <w:rFonts w:ascii="Times New Roman" w:hAnsi="Times New Roman" w:cs="Times New Roman"/>
          <w:sz w:val="24"/>
          <w:szCs w:val="24"/>
        </w:rPr>
        <w:t>ndersøgelsen</w:t>
      </w:r>
      <w:r w:rsidRPr="00D253F0">
        <w:rPr>
          <w:rFonts w:ascii="Times New Roman" w:hAnsi="Times New Roman" w:cs="Times New Roman"/>
          <w:sz w:val="24"/>
          <w:szCs w:val="24"/>
        </w:rPr>
        <w:t>.</w:t>
      </w:r>
    </w:p>
    <w:p w14:paraId="4E5A2C05" w14:textId="77777777" w:rsidR="00394C42" w:rsidRPr="00796736" w:rsidRDefault="00394C42" w:rsidP="00A802A5">
      <w:pPr>
        <w:spacing w:line="360" w:lineRule="auto"/>
        <w:rPr>
          <w:rFonts w:ascii="Times New Roman" w:hAnsi="Times New Roman" w:cs="Times New Roman"/>
          <w:sz w:val="24"/>
          <w:szCs w:val="24"/>
        </w:rPr>
      </w:pPr>
    </w:p>
    <w:p w14:paraId="32464D4B"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for de øvrige videregivelser vil det endvidere være et krav, at de personer, som modtager oplysningerne, er underlagt krav om tavshedspligt efter dansk ret, som svarer til, hvad der følger af det foreslåede stk. 1 og at oplysninger, som stammer fra en anden medlemsstat, ikke videregives uden udtrykkeligt samtykke fra det tilsynsorgan, som har givet oplysningerne, og kun anvendes til de formål, som samtykket omfatter, jf. herved det foreslåede stk. 5.</w:t>
      </w:r>
    </w:p>
    <w:p w14:paraId="4E100FB6" w14:textId="77777777" w:rsidR="00306122" w:rsidRPr="00796736" w:rsidRDefault="00306122" w:rsidP="00A802A5">
      <w:pPr>
        <w:spacing w:line="360" w:lineRule="auto"/>
        <w:rPr>
          <w:rFonts w:ascii="Times New Roman" w:hAnsi="Times New Roman" w:cs="Times New Roman"/>
          <w:sz w:val="24"/>
          <w:szCs w:val="24"/>
        </w:rPr>
      </w:pPr>
    </w:p>
    <w:p w14:paraId="59378E4F"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4, nr. 2, </w:t>
      </w:r>
      <w:r w:rsidRPr="00796736">
        <w:rPr>
          <w:rFonts w:ascii="Times New Roman" w:hAnsi="Times New Roman" w:cs="Times New Roman"/>
          <w:sz w:val="24"/>
          <w:szCs w:val="24"/>
        </w:rPr>
        <w:t>at videregivelse kan ske til Folketingets Ombudsmand.</w:t>
      </w:r>
    </w:p>
    <w:p w14:paraId="435B5AB2" w14:textId="77777777" w:rsidR="00306122" w:rsidRPr="00796736" w:rsidRDefault="00306122" w:rsidP="00A802A5">
      <w:pPr>
        <w:spacing w:line="360" w:lineRule="auto"/>
        <w:rPr>
          <w:rFonts w:ascii="Times New Roman" w:hAnsi="Times New Roman" w:cs="Times New Roman"/>
          <w:sz w:val="24"/>
          <w:szCs w:val="24"/>
        </w:rPr>
      </w:pPr>
    </w:p>
    <w:p w14:paraId="22B32B05"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Vælger en part i en sag at klage over en afgørelse, der er afsagt af Finanstilsynet, Erhvervsstyrelsen eller Spillemyndigheden samt en anden offentlig myndighed til Folketingets Ombudsmand, og vurderer ombudsmanden, at klagen giver tilstrækkelig anledning til undersøgelse, vil ombudsmanden både skulle bedømme, om en afgørelse er i strid med det regelsæt, som myndigheden har truffet sin afgørelse på baggrund af, og om myndigheden i sin sagsbehandling har handlet i strid med god forvaltningskik. Den foreslåede bestemmelse indebærer, at Advokatrådet mv. i forbindelse med en sådan sag vil have mulighed for at dele relevant fortroligt materiale med ombudsmanden med henblik på dennes prøvelse af den pågældende myndigheds afgørelse. Bestemmelsen vil være relevant i tilfælde, hvor Advokatrådet mv. er i besiddelse af nogle oplysninger, som er relevante for en afgørelsessag truffet af en anden myndighed, og hvor delingen med ombudsmanden dermed er relevante for ombudsmandens prøvelse. Det foreslåede ændrer ikke på, at Advokatrådet mv. ikke er omfattet af ombudsmandens kompetence. </w:t>
      </w:r>
    </w:p>
    <w:p w14:paraId="4E8615D0" w14:textId="77777777" w:rsidR="00306122" w:rsidRPr="00796736" w:rsidRDefault="00306122" w:rsidP="00A802A5">
      <w:pPr>
        <w:spacing w:line="360" w:lineRule="auto"/>
        <w:rPr>
          <w:rFonts w:ascii="Times New Roman" w:hAnsi="Times New Roman" w:cs="Times New Roman"/>
          <w:sz w:val="24"/>
          <w:szCs w:val="24"/>
        </w:rPr>
      </w:pPr>
    </w:p>
    <w:p w14:paraId="08FFB2D8"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4, nr. 3, </w:t>
      </w:r>
      <w:r w:rsidRPr="00796736">
        <w:rPr>
          <w:rFonts w:ascii="Times New Roman" w:hAnsi="Times New Roman" w:cs="Times New Roman"/>
          <w:sz w:val="24"/>
          <w:szCs w:val="24"/>
        </w:rPr>
        <w:t xml:space="preserve">at videregivelse kan ske til undersøgelseskommissioner og granskningskommissioner nedsat ved lov eller i henhold til lov om undersøgelseskommissioner og granskningskommissioner. </w:t>
      </w:r>
    </w:p>
    <w:p w14:paraId="547CB99F" w14:textId="77777777" w:rsidR="00306122" w:rsidRPr="00796736" w:rsidRDefault="00306122" w:rsidP="00A802A5">
      <w:pPr>
        <w:spacing w:line="360" w:lineRule="auto"/>
        <w:rPr>
          <w:rFonts w:ascii="Times New Roman" w:hAnsi="Times New Roman" w:cs="Times New Roman"/>
          <w:sz w:val="24"/>
          <w:szCs w:val="24"/>
        </w:rPr>
      </w:pPr>
    </w:p>
    <w:p w14:paraId="4FE9E898" w14:textId="27AE87EC"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Advokatrådet mv. har mulighed for at videregive fortrolige oplysninger til undersøgelses</w:t>
      </w:r>
      <w:r w:rsidR="00394C42">
        <w:rPr>
          <w:rFonts w:ascii="Times New Roman" w:hAnsi="Times New Roman" w:cs="Times New Roman"/>
          <w:sz w:val="24"/>
          <w:szCs w:val="24"/>
        </w:rPr>
        <w:t>- og gransknings</w:t>
      </w:r>
      <w:r w:rsidRPr="00796736">
        <w:rPr>
          <w:rFonts w:ascii="Times New Roman" w:hAnsi="Times New Roman" w:cs="Times New Roman"/>
          <w:sz w:val="24"/>
          <w:szCs w:val="24"/>
        </w:rPr>
        <w:t>kommissioner, når dette er nødvendigt for kommissionens varetagelse af sine opgaver.</w:t>
      </w:r>
    </w:p>
    <w:p w14:paraId="5B8CF545" w14:textId="77777777" w:rsidR="00306122" w:rsidRPr="00796736" w:rsidRDefault="00306122" w:rsidP="00A802A5">
      <w:pPr>
        <w:spacing w:line="360" w:lineRule="auto"/>
        <w:rPr>
          <w:rFonts w:ascii="Times New Roman" w:hAnsi="Times New Roman" w:cs="Times New Roman"/>
          <w:sz w:val="24"/>
          <w:szCs w:val="24"/>
        </w:rPr>
      </w:pPr>
    </w:p>
    <w:p w14:paraId="49AA410A" w14:textId="77777777"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4, nr. 4, </w:t>
      </w:r>
      <w:r w:rsidRPr="00796736">
        <w:rPr>
          <w:rFonts w:ascii="Times New Roman" w:hAnsi="Times New Roman" w:cs="Times New Roman"/>
          <w:sz w:val="24"/>
          <w:szCs w:val="24"/>
        </w:rPr>
        <w:t xml:space="preserve">at videregivelse kan ske til midlertidige </w:t>
      </w:r>
      <w:r w:rsidRPr="00796736">
        <w:rPr>
          <w:rFonts w:ascii="Times New Roman" w:hAnsi="Times New Roman" w:cs="Times New Roman"/>
          <w:sz w:val="24"/>
          <w:szCs w:val="24"/>
          <w:lang w:eastAsia="da-DK"/>
        </w:rPr>
        <w:t>undersøgelsesudvalg nedsat af Europa-Parlamentet, hvis videregivelsen er nødvendig for udførelsen af disse udvalgs aktiviteter.</w:t>
      </w:r>
    </w:p>
    <w:p w14:paraId="238E08D5" w14:textId="77777777" w:rsidR="00306122" w:rsidRPr="00796736" w:rsidRDefault="00306122" w:rsidP="00A802A5">
      <w:pPr>
        <w:spacing w:line="360" w:lineRule="auto"/>
        <w:rPr>
          <w:rFonts w:ascii="Times New Roman" w:hAnsi="Times New Roman" w:cs="Times New Roman"/>
          <w:sz w:val="24"/>
          <w:szCs w:val="24"/>
        </w:rPr>
      </w:pPr>
    </w:p>
    <w:p w14:paraId="1AF591F2"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bestemmelsen gennemføres 6. hvidvaskdirektivs artikel 68, stk. 1. </w:t>
      </w:r>
    </w:p>
    <w:p w14:paraId="59ECBE17" w14:textId="77777777" w:rsidR="00306122" w:rsidRPr="00796736" w:rsidRDefault="00306122" w:rsidP="00A802A5">
      <w:pPr>
        <w:spacing w:line="360" w:lineRule="auto"/>
        <w:rPr>
          <w:rFonts w:ascii="Times New Roman" w:hAnsi="Times New Roman" w:cs="Times New Roman"/>
          <w:sz w:val="24"/>
          <w:szCs w:val="24"/>
        </w:rPr>
      </w:pPr>
    </w:p>
    <w:p w14:paraId="6A4555A4" w14:textId="77777777" w:rsidR="00306122" w:rsidRPr="00796736" w:rsidRDefault="00306122"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5, </w:t>
      </w:r>
      <w:r w:rsidRPr="00796736">
        <w:rPr>
          <w:rFonts w:ascii="Times New Roman" w:hAnsi="Times New Roman" w:cs="Times New Roman"/>
          <w:sz w:val="24"/>
          <w:szCs w:val="24"/>
        </w:rPr>
        <w:t xml:space="preserve">at videregivelse </w:t>
      </w:r>
      <w:r w:rsidRPr="00796736">
        <w:rPr>
          <w:rFonts w:ascii="Times New Roman" w:hAnsi="Times New Roman" w:cs="Times New Roman"/>
          <w:sz w:val="24"/>
          <w:szCs w:val="24"/>
          <w:lang w:eastAsia="da-DK"/>
        </w:rPr>
        <w:t>i henhold til stk. 3 og 4 af fortrolige oplysninger, der hidrører fra kompetente myndigheder og tilsynsorganer m.v. i et EU-medlemsstat, EØS-land eller Schweiz kan ske, såfremt de, som har afgivet oplysningerne, har givet deres udtrykkelige tilladelse. Oplysningerne må udelukkende benyttes til det formål, som tilladelsen vedrører.</w:t>
      </w:r>
    </w:p>
    <w:p w14:paraId="00F353E4" w14:textId="77777777" w:rsidR="00306122" w:rsidRPr="00796736" w:rsidRDefault="00306122" w:rsidP="00A802A5">
      <w:pPr>
        <w:spacing w:line="360" w:lineRule="auto"/>
        <w:rPr>
          <w:rFonts w:ascii="Times New Roman" w:hAnsi="Times New Roman" w:cs="Times New Roman"/>
          <w:sz w:val="24"/>
          <w:szCs w:val="24"/>
          <w:lang w:eastAsia="da-DK"/>
        </w:rPr>
      </w:pPr>
    </w:p>
    <w:p w14:paraId="11E6071B" w14:textId="77777777" w:rsidR="00306122" w:rsidRPr="00796736" w:rsidRDefault="003061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indebære, at fortrolige oplysninger, som Advokatrådet mv. har modtaget fra udenlandske myndigheder, kun videregives og anvendes i overensstemmelse med de betingelser, som den oprindelige myndighed har fastsat. Dette er i overensstemmelse med internationale samarbejdsaftaler og gældende praksis for udveksling af fortrolige oplysninger mellem myndigheder. Bestemmelsen skal sikre, at fortrolige oplysninger ikke videregives eller anvendes i videre omfang end tilladt af den myndighed, der har afgivet oplysningerne, og at der dermed opretholdes tillid og samarbejde mellem myndigheder på tværs af landegrænser.</w:t>
      </w:r>
    </w:p>
    <w:p w14:paraId="181FA305" w14:textId="77777777" w:rsidR="00306122" w:rsidRPr="00796736" w:rsidRDefault="00306122" w:rsidP="00A802A5">
      <w:pPr>
        <w:spacing w:line="360" w:lineRule="auto"/>
        <w:rPr>
          <w:rFonts w:ascii="Times New Roman" w:hAnsi="Times New Roman" w:cs="Times New Roman"/>
          <w:sz w:val="24"/>
          <w:szCs w:val="24"/>
          <w:lang w:eastAsia="da-DK"/>
        </w:rPr>
      </w:pPr>
    </w:p>
    <w:p w14:paraId="77DADCDE" w14:textId="77777777" w:rsidR="00306122" w:rsidRPr="00796736" w:rsidRDefault="00306122" w:rsidP="00A802A5">
      <w:pPr>
        <w:spacing w:line="360" w:lineRule="auto"/>
        <w:rPr>
          <w:rFonts w:ascii="Times New Roman" w:hAnsi="Times New Roman" w:cs="Times New Roman"/>
          <w:sz w:val="24"/>
          <w:szCs w:val="24"/>
          <w:lang w:eastAsia="da-DK"/>
        </w:rPr>
      </w:pPr>
    </w:p>
    <w:p w14:paraId="5225A3AB" w14:textId="77777777" w:rsidR="00A16C19" w:rsidRPr="00796736" w:rsidRDefault="00A16C19" w:rsidP="00A802A5">
      <w:pPr>
        <w:spacing w:line="360" w:lineRule="auto"/>
        <w:rPr>
          <w:rFonts w:ascii="Times New Roman" w:hAnsi="Times New Roman" w:cs="Times New Roman"/>
          <w:sz w:val="24"/>
          <w:szCs w:val="24"/>
        </w:rPr>
      </w:pPr>
    </w:p>
    <w:p w14:paraId="136A6607" w14:textId="03CF34B4" w:rsidR="00A16C19" w:rsidRPr="00796736" w:rsidRDefault="00A16C19" w:rsidP="00A802A5">
      <w:pPr>
        <w:pStyle w:val="Undertitel"/>
      </w:pPr>
      <w:bookmarkStart w:id="2181" w:name="_Toc232109432"/>
      <w:bookmarkStart w:id="2182" w:name="_Toc244879406"/>
      <w:bookmarkStart w:id="2183" w:name="_Toc244880931"/>
      <w:r w:rsidRPr="00796736">
        <w:t xml:space="preserve">Til </w:t>
      </w:r>
      <w:bookmarkEnd w:id="2181"/>
      <w:r w:rsidR="00C86CFF" w:rsidRPr="00796736">
        <w:fldChar w:fldCharType="begin"/>
      </w:r>
      <w:r w:rsidR="00C86CFF" w:rsidRPr="00796736">
        <w:instrText xml:space="preserve"> REF _Ref232609366 \r \h </w:instrText>
      </w:r>
      <w:r w:rsidR="00967618" w:rsidRPr="00796736">
        <w:instrText xml:space="preserve"> \* MERGEFORMAT </w:instrText>
      </w:r>
      <w:r w:rsidR="00C86CFF" w:rsidRPr="00796736">
        <w:fldChar w:fldCharType="separate"/>
      </w:r>
      <w:r w:rsidR="008F29E5">
        <w:t>§ 110</w:t>
      </w:r>
      <w:bookmarkEnd w:id="2182"/>
      <w:bookmarkEnd w:id="2183"/>
      <w:r w:rsidR="00C86CFF" w:rsidRPr="00796736">
        <w:fldChar w:fldCharType="end"/>
      </w:r>
    </w:p>
    <w:p w14:paraId="12EC564A"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Reglerne om Advokatrådets tilsynsforpligtelse på hvidvaskområdet er i dag reguleret i hvidvasklovens §§ 64 og 64 a. </w:t>
      </w:r>
    </w:p>
    <w:p w14:paraId="0FB7170C" w14:textId="4793F684"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Der er ikke i hvidvaskloven eller i øvrigt fastsat regler om et tilsyn med Advokatrådets overholdelse af sine tilsynsforpligtelser. </w:t>
      </w:r>
    </w:p>
    <w:p w14:paraId="7DFBE9BE" w14:textId="1F83E2B4" w:rsidR="00ED3B81"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fldChar w:fldCharType="begin"/>
      </w:r>
      <w:r w:rsidRPr="00796736">
        <w:rPr>
          <w:rFonts w:ascii="Times New Roman" w:eastAsia="Calibri" w:hAnsi="Times New Roman" w:cs="Times New Roman"/>
          <w:i/>
          <w:iCs/>
          <w:sz w:val="24"/>
          <w:szCs w:val="24"/>
        </w:rPr>
        <w:instrText xml:space="preserve"> REF _Ref232609366 \r \h  \* MERGEFORMAT </w:instrText>
      </w:r>
      <w:r w:rsidRPr="00796736">
        <w:rPr>
          <w:rFonts w:ascii="Times New Roman" w:eastAsia="Calibri" w:hAnsi="Times New Roman" w:cs="Times New Roman"/>
          <w:i/>
          <w:iCs/>
          <w:sz w:val="24"/>
          <w:szCs w:val="24"/>
        </w:rPr>
      </w:r>
      <w:r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110</w:t>
      </w:r>
      <w:r w:rsidRPr="00796736">
        <w:rPr>
          <w:rFonts w:ascii="Times New Roman" w:eastAsia="Calibri" w:hAnsi="Times New Roman" w:cs="Times New Roman"/>
          <w:i/>
          <w:iCs/>
          <w:sz w:val="24"/>
          <w:szCs w:val="24"/>
        </w:rPr>
        <w:fldChar w:fldCharType="end"/>
      </w:r>
      <w:r w:rsidRPr="00796736">
        <w:rPr>
          <w:rFonts w:ascii="Times New Roman" w:eastAsia="Calibri" w:hAnsi="Times New Roman" w:cs="Times New Roman"/>
          <w:i/>
          <w:iCs/>
          <w:sz w:val="24"/>
          <w:szCs w:val="24"/>
        </w:rPr>
        <w:t>, stk. 1,</w:t>
      </w:r>
      <w:r w:rsidRPr="00796736">
        <w:rPr>
          <w:rFonts w:ascii="Times New Roman" w:eastAsia="Calibri" w:hAnsi="Times New Roman" w:cs="Times New Roman"/>
          <w:sz w:val="24"/>
          <w:szCs w:val="24"/>
        </w:rPr>
        <w:t xml:space="preserve"> </w:t>
      </w:r>
      <w:r w:rsidR="00394C42" w:rsidRPr="00D253F0">
        <w:rPr>
          <w:rFonts w:ascii="Times New Roman" w:eastAsia="Calibri" w:hAnsi="Times New Roman" w:cs="Times New Roman"/>
          <w:sz w:val="24"/>
          <w:szCs w:val="24"/>
        </w:rPr>
        <w:t xml:space="preserve">at </w:t>
      </w:r>
      <w:r w:rsidR="00394C42">
        <w:rPr>
          <w:rFonts w:ascii="Times New Roman" w:eastAsia="Calibri" w:hAnsi="Times New Roman" w:cs="Times New Roman"/>
          <w:sz w:val="24"/>
          <w:szCs w:val="24"/>
        </w:rPr>
        <w:t>der under Advokatsamfundet oprettes en uafhængig Hvidvaskenhed, som</w:t>
      </w:r>
      <w:r w:rsidR="00394C42" w:rsidRPr="00D253F0">
        <w:rPr>
          <w:rFonts w:ascii="Times New Roman" w:eastAsia="Calibri" w:hAnsi="Times New Roman" w:cs="Times New Roman"/>
          <w:sz w:val="24"/>
          <w:szCs w:val="24"/>
        </w:rPr>
        <w:t xml:space="preserve"> påser, at Advokatrådet fyldestgørende og effektivt varetager sine funktioner og overholder sine tilsynsforpligtelser efter hvidvaskforordningen, denne lov og regler udstedt i medfør heraf, herunder ved at udstikke retningslinjer for Advokatrådets udførelse af sine tilsynsopgaver</w:t>
      </w:r>
      <w:r w:rsidR="002C1AAC">
        <w:rPr>
          <w:rFonts w:ascii="Times New Roman" w:eastAsia="Calibri" w:hAnsi="Times New Roman" w:cs="Times New Roman"/>
          <w:sz w:val="24"/>
          <w:szCs w:val="24"/>
        </w:rPr>
        <w:t xml:space="preserve"> efter hvidvaskforordningen, denne lov og regler udstedt i medfør heraf</w:t>
      </w:r>
      <w:r w:rsidR="002C1AAC" w:rsidRPr="00D253F0">
        <w:rPr>
          <w:rFonts w:ascii="Times New Roman" w:eastAsia="Calibri" w:hAnsi="Times New Roman" w:cs="Times New Roman"/>
          <w:sz w:val="24"/>
          <w:szCs w:val="24"/>
        </w:rPr>
        <w:t>.</w:t>
      </w:r>
    </w:p>
    <w:p w14:paraId="195F2884" w14:textId="08327CB2" w:rsidR="00394C42" w:rsidRPr="00796736" w:rsidRDefault="00394C42" w:rsidP="00A802A5">
      <w:pPr>
        <w:spacing w:after="24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Den foreslåede bestemmelse vil indebære oprettelsen af en ny og uafhængig Hvidvaskenhed under Advokatsamfundet. Enheden vil være en myndighed og en del af den offentlige forvaltning og enhedens virksomhed vil således være underlagt forvaltningsloven, offentlighedsloven og retssikkerhedsloven. Enheden vil være uafhængig i den forstand, at den vil være personelt og funktionelt uafhængig af såvel den øvrige offentlige forvaltning som de øvrige dele af Advokatsamfundet, herunder Advokatrådet og Advokatnævnet. Det forudsættes – ligesom det er tilfældet i dag for Advokatnævnet – at Advokatsamfundet vil kunne yde sekretariatsbistand til Hvidvaskenheden under den forudsætning, at den personelle og funktionelle uafhængighed opretholdes. </w:t>
      </w:r>
    </w:p>
    <w:p w14:paraId="644873EB" w14:textId="1F194D1F" w:rsidR="00306122" w:rsidRPr="00796736" w:rsidRDefault="003061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tilsynsforpligtelse indebærer herefter, at </w:t>
      </w:r>
      <w:r w:rsidR="00394C42">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fører tilsyn med Advokatrådets varetagelse af sine funktioner i medfør af de foreslåede tilsynsbestemmelser i denne lov, regler udstedt i medfør af loven, ligesom der føres tilsyn med, at Advokatrådet efterlever sine forpligtelser og funktioner i medfør af hvidvaskforordningen.</w:t>
      </w:r>
    </w:p>
    <w:p w14:paraId="5200B98C" w14:textId="29996BE9" w:rsidR="001A3E92" w:rsidRDefault="00394C42" w:rsidP="00A802A5">
      <w:pPr>
        <w:spacing w:after="240" w:line="360" w:lineRule="auto"/>
        <w:rPr>
          <w:rFonts w:ascii="Times New Roman" w:eastAsia="Calibri" w:hAnsi="Times New Roman" w:cs="Times New Roman"/>
          <w:sz w:val="24"/>
          <w:szCs w:val="24"/>
        </w:rPr>
      </w:pPr>
      <w:r>
        <w:rPr>
          <w:rFonts w:ascii="Times New Roman" w:eastAsia="Calibri" w:hAnsi="Times New Roman" w:cs="Times New Roman"/>
          <w:sz w:val="24"/>
          <w:szCs w:val="24"/>
        </w:rPr>
        <w:t>Hvidvaskenhedens</w:t>
      </w:r>
      <w:r w:rsidR="00306122" w:rsidRPr="00796736">
        <w:rPr>
          <w:rFonts w:ascii="Times New Roman" w:eastAsia="Calibri" w:hAnsi="Times New Roman" w:cs="Times New Roman"/>
          <w:sz w:val="24"/>
          <w:szCs w:val="24"/>
        </w:rPr>
        <w:t xml:space="preserve"> tilsyn vil herefter blandt andet bestå i at kontrollere, at Advokatrådet opfylder sine forpligtelser efter </w:t>
      </w:r>
      <w:r w:rsidR="00306122" w:rsidRPr="00796736">
        <w:rPr>
          <w:rFonts w:ascii="Times New Roman" w:eastAsia="Calibri" w:hAnsi="Times New Roman" w:cs="Times New Roman"/>
          <w:sz w:val="24"/>
          <w:szCs w:val="24"/>
        </w:rPr>
        <w:fldChar w:fldCharType="begin"/>
      </w:r>
      <w:r w:rsidR="00306122" w:rsidRPr="00796736">
        <w:rPr>
          <w:rFonts w:ascii="Times New Roman" w:eastAsia="Calibri" w:hAnsi="Times New Roman" w:cs="Times New Roman"/>
          <w:sz w:val="24"/>
          <w:szCs w:val="24"/>
        </w:rPr>
        <w:instrText xml:space="preserve"> REF _Ref232609193 \r \h </w:instrText>
      </w:r>
      <w:r w:rsidR="00AB17CC" w:rsidRPr="00796736">
        <w:rPr>
          <w:rFonts w:ascii="Times New Roman" w:eastAsia="Calibri" w:hAnsi="Times New Roman" w:cs="Times New Roman"/>
          <w:sz w:val="24"/>
          <w:szCs w:val="24"/>
        </w:rPr>
        <w:instrText xml:space="preserve"> \* MERGEFORMAT </w:instrText>
      </w:r>
      <w:r w:rsidR="00306122" w:rsidRPr="00796736">
        <w:rPr>
          <w:rFonts w:ascii="Times New Roman" w:eastAsia="Calibri" w:hAnsi="Times New Roman" w:cs="Times New Roman"/>
          <w:sz w:val="24"/>
          <w:szCs w:val="24"/>
        </w:rPr>
      </w:r>
      <w:r w:rsidR="0030612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97</w:t>
      </w:r>
      <w:r w:rsidR="00306122" w:rsidRPr="00796736">
        <w:rPr>
          <w:rFonts w:ascii="Times New Roman" w:eastAsia="Calibri" w:hAnsi="Times New Roman" w:cs="Times New Roman"/>
          <w:sz w:val="24"/>
          <w:szCs w:val="24"/>
        </w:rPr>
        <w:fldChar w:fldCharType="end"/>
      </w:r>
      <w:r w:rsidR="00306122" w:rsidRPr="00796736">
        <w:rPr>
          <w:rFonts w:ascii="Times New Roman" w:eastAsia="Calibri" w:hAnsi="Times New Roman" w:cs="Times New Roman"/>
          <w:sz w:val="24"/>
          <w:szCs w:val="24"/>
        </w:rPr>
        <w:t>-</w:t>
      </w:r>
      <w:r w:rsidR="00306122" w:rsidRPr="00796736">
        <w:rPr>
          <w:rFonts w:ascii="Times New Roman" w:eastAsia="Calibri" w:hAnsi="Times New Roman" w:cs="Times New Roman"/>
          <w:sz w:val="24"/>
          <w:szCs w:val="24"/>
        </w:rPr>
        <w:fldChar w:fldCharType="begin"/>
      </w:r>
      <w:r w:rsidR="00306122" w:rsidRPr="00796736">
        <w:rPr>
          <w:rFonts w:ascii="Times New Roman" w:eastAsia="Calibri" w:hAnsi="Times New Roman" w:cs="Times New Roman"/>
          <w:sz w:val="24"/>
          <w:szCs w:val="24"/>
        </w:rPr>
        <w:instrText xml:space="preserve"> REF _Ref232941264 \r \h </w:instrText>
      </w:r>
      <w:r w:rsidR="00AB17CC" w:rsidRPr="00796736">
        <w:rPr>
          <w:rFonts w:ascii="Times New Roman" w:eastAsia="Calibri" w:hAnsi="Times New Roman" w:cs="Times New Roman"/>
          <w:sz w:val="24"/>
          <w:szCs w:val="24"/>
        </w:rPr>
        <w:instrText xml:space="preserve"> \* MERGEFORMAT </w:instrText>
      </w:r>
      <w:r w:rsidR="00306122" w:rsidRPr="00796736">
        <w:rPr>
          <w:rFonts w:ascii="Times New Roman" w:eastAsia="Calibri" w:hAnsi="Times New Roman" w:cs="Times New Roman"/>
          <w:sz w:val="24"/>
          <w:szCs w:val="24"/>
        </w:rPr>
      </w:r>
      <w:r w:rsidR="0030612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100</w:t>
      </w:r>
      <w:r w:rsidR="00306122" w:rsidRPr="00796736">
        <w:rPr>
          <w:rFonts w:ascii="Times New Roman" w:eastAsia="Calibri" w:hAnsi="Times New Roman" w:cs="Times New Roman"/>
          <w:sz w:val="24"/>
          <w:szCs w:val="24"/>
        </w:rPr>
        <w:fldChar w:fldCharType="end"/>
      </w:r>
      <w:r w:rsidR="00306122" w:rsidRPr="00796736">
        <w:rPr>
          <w:rFonts w:ascii="Times New Roman" w:eastAsia="Calibri" w:hAnsi="Times New Roman" w:cs="Times New Roman"/>
          <w:sz w:val="24"/>
          <w:szCs w:val="24"/>
        </w:rPr>
        <w:t xml:space="preserve">, </w:t>
      </w:r>
      <w:r>
        <w:rPr>
          <w:rFonts w:ascii="Times New Roman" w:eastAsia="Calibri" w:hAnsi="Times New Roman" w:cs="Times New Roman"/>
          <w:sz w:val="24"/>
          <w:szCs w:val="24"/>
        </w:rPr>
        <w:t>herunder rådets</w:t>
      </w:r>
      <w:r w:rsidR="00306122" w:rsidRPr="00796736">
        <w:rPr>
          <w:rFonts w:ascii="Times New Roman" w:eastAsia="Calibri" w:hAnsi="Times New Roman" w:cs="Times New Roman"/>
          <w:sz w:val="24"/>
          <w:szCs w:val="24"/>
        </w:rPr>
        <w:t xml:space="preserve"> praksis for</w:t>
      </w:r>
      <w:r>
        <w:rPr>
          <w:rFonts w:ascii="Times New Roman" w:eastAsia="Calibri" w:hAnsi="Times New Roman" w:cs="Times New Roman"/>
          <w:sz w:val="24"/>
          <w:szCs w:val="24"/>
        </w:rPr>
        <w:t xml:space="preserve"> indbringelse af sager om</w:t>
      </w:r>
      <w:r w:rsidR="00306122" w:rsidRPr="00796736">
        <w:rPr>
          <w:rFonts w:ascii="Times New Roman" w:eastAsia="Calibri" w:hAnsi="Times New Roman" w:cs="Times New Roman"/>
          <w:sz w:val="24"/>
          <w:szCs w:val="24"/>
        </w:rPr>
        <w:t xml:space="preserve"> administrative foranstaltninger</w:t>
      </w:r>
      <w:r w:rsidR="00426582">
        <w:rPr>
          <w:rFonts w:ascii="Times New Roman" w:eastAsia="Calibri" w:hAnsi="Times New Roman" w:cs="Times New Roman"/>
          <w:sz w:val="24"/>
          <w:szCs w:val="24"/>
        </w:rPr>
        <w:t>, herunder rådets</w:t>
      </w:r>
      <w:r w:rsidR="00426582" w:rsidRPr="00796736">
        <w:rPr>
          <w:rFonts w:ascii="Times New Roman" w:eastAsia="Calibri" w:hAnsi="Times New Roman" w:cs="Times New Roman"/>
          <w:sz w:val="24"/>
          <w:szCs w:val="24"/>
        </w:rPr>
        <w:t xml:space="preserve"> </w:t>
      </w:r>
      <w:r w:rsidR="00426582">
        <w:rPr>
          <w:rFonts w:ascii="Times New Roman" w:eastAsia="Calibri" w:hAnsi="Times New Roman" w:cs="Times New Roman"/>
          <w:sz w:val="24"/>
          <w:szCs w:val="24"/>
        </w:rPr>
        <w:t xml:space="preserve">generelle </w:t>
      </w:r>
      <w:r w:rsidR="00426582" w:rsidRPr="00796736">
        <w:rPr>
          <w:rFonts w:ascii="Times New Roman" w:eastAsia="Calibri" w:hAnsi="Times New Roman" w:cs="Times New Roman"/>
          <w:sz w:val="24"/>
          <w:szCs w:val="24"/>
        </w:rPr>
        <w:t>praksis for</w:t>
      </w:r>
      <w:r w:rsidR="00426582">
        <w:rPr>
          <w:rFonts w:ascii="Times New Roman" w:eastAsia="Calibri" w:hAnsi="Times New Roman" w:cs="Times New Roman"/>
          <w:sz w:val="24"/>
          <w:szCs w:val="24"/>
        </w:rPr>
        <w:t xml:space="preserve"> indbringelse af sager om</w:t>
      </w:r>
      <w:r w:rsidR="00426582" w:rsidRPr="00796736">
        <w:rPr>
          <w:rFonts w:ascii="Times New Roman" w:eastAsia="Calibri" w:hAnsi="Times New Roman" w:cs="Times New Roman"/>
          <w:sz w:val="24"/>
          <w:szCs w:val="24"/>
        </w:rPr>
        <w:t xml:space="preserve"> administrative foranstaltninger</w:t>
      </w:r>
      <w:r w:rsidR="00426582">
        <w:rPr>
          <w:rFonts w:ascii="Times New Roman" w:eastAsia="Calibri" w:hAnsi="Times New Roman" w:cs="Times New Roman"/>
          <w:sz w:val="24"/>
          <w:szCs w:val="24"/>
        </w:rPr>
        <w:t>, uden at Hvidvaskenheden herved kan instruere Advokatrådet om behandlingen eller indbringelsen af konkrete sager.</w:t>
      </w:r>
    </w:p>
    <w:p w14:paraId="12E2B10C" w14:textId="67334251" w:rsidR="00306122" w:rsidRPr="00796736" w:rsidRDefault="00394C42" w:rsidP="00A802A5">
      <w:pPr>
        <w:spacing w:after="240" w:line="360" w:lineRule="auto"/>
        <w:rPr>
          <w:rFonts w:ascii="Times New Roman" w:eastAsia="Calibri" w:hAnsi="Times New Roman" w:cs="Times New Roman"/>
          <w:sz w:val="24"/>
          <w:szCs w:val="24"/>
        </w:rPr>
      </w:pPr>
      <w:r>
        <w:rPr>
          <w:rFonts w:ascii="Times New Roman" w:eastAsia="Calibri" w:hAnsi="Times New Roman" w:cs="Times New Roman"/>
          <w:sz w:val="24"/>
          <w:szCs w:val="24"/>
        </w:rPr>
        <w:t>Enheden vil kunne</w:t>
      </w:r>
      <w:r w:rsidR="00306122" w:rsidRPr="00796736">
        <w:rPr>
          <w:rFonts w:ascii="Times New Roman" w:eastAsia="Calibri" w:hAnsi="Times New Roman" w:cs="Times New Roman"/>
          <w:sz w:val="24"/>
          <w:szCs w:val="24"/>
        </w:rPr>
        <w:t xml:space="preserve"> udstikke retningslinjer for Advokatrådets udførelse af sine opgaver efter </w:t>
      </w:r>
      <w:r w:rsidR="00306122" w:rsidRPr="00796736">
        <w:rPr>
          <w:rFonts w:ascii="Times New Roman" w:eastAsia="Calibri" w:hAnsi="Times New Roman" w:cs="Times New Roman"/>
          <w:sz w:val="24"/>
          <w:szCs w:val="24"/>
        </w:rPr>
        <w:fldChar w:fldCharType="begin"/>
      </w:r>
      <w:r w:rsidR="00306122" w:rsidRPr="00796736">
        <w:rPr>
          <w:rFonts w:ascii="Times New Roman" w:eastAsia="Calibri" w:hAnsi="Times New Roman" w:cs="Times New Roman"/>
          <w:sz w:val="24"/>
          <w:szCs w:val="24"/>
        </w:rPr>
        <w:instrText xml:space="preserve"> REF _Ref232609193 \r \h </w:instrText>
      </w:r>
      <w:r w:rsidR="00AB17CC" w:rsidRPr="00796736">
        <w:rPr>
          <w:rFonts w:ascii="Times New Roman" w:eastAsia="Calibri" w:hAnsi="Times New Roman" w:cs="Times New Roman"/>
          <w:sz w:val="24"/>
          <w:szCs w:val="24"/>
        </w:rPr>
        <w:instrText xml:space="preserve"> \* MERGEFORMAT </w:instrText>
      </w:r>
      <w:r w:rsidR="00306122" w:rsidRPr="00796736">
        <w:rPr>
          <w:rFonts w:ascii="Times New Roman" w:eastAsia="Calibri" w:hAnsi="Times New Roman" w:cs="Times New Roman"/>
          <w:sz w:val="24"/>
          <w:szCs w:val="24"/>
        </w:rPr>
      </w:r>
      <w:r w:rsidR="0030612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97</w:t>
      </w:r>
      <w:r w:rsidR="00306122" w:rsidRPr="00796736">
        <w:rPr>
          <w:rFonts w:ascii="Times New Roman" w:eastAsia="Calibri" w:hAnsi="Times New Roman" w:cs="Times New Roman"/>
          <w:sz w:val="24"/>
          <w:szCs w:val="24"/>
        </w:rPr>
        <w:fldChar w:fldCharType="end"/>
      </w:r>
      <w:r w:rsidR="00306122" w:rsidRPr="00796736">
        <w:rPr>
          <w:rFonts w:ascii="Times New Roman" w:eastAsia="Calibri" w:hAnsi="Times New Roman" w:cs="Times New Roman"/>
          <w:sz w:val="24"/>
          <w:szCs w:val="24"/>
        </w:rPr>
        <w:t>-</w:t>
      </w:r>
      <w:r w:rsidR="00306122" w:rsidRPr="00796736">
        <w:rPr>
          <w:rFonts w:ascii="Times New Roman" w:eastAsia="Calibri" w:hAnsi="Times New Roman" w:cs="Times New Roman"/>
          <w:sz w:val="24"/>
          <w:szCs w:val="24"/>
        </w:rPr>
        <w:fldChar w:fldCharType="begin"/>
      </w:r>
      <w:r w:rsidR="00306122" w:rsidRPr="00796736">
        <w:rPr>
          <w:rFonts w:ascii="Times New Roman" w:eastAsia="Calibri" w:hAnsi="Times New Roman" w:cs="Times New Roman"/>
          <w:sz w:val="24"/>
          <w:szCs w:val="24"/>
        </w:rPr>
        <w:instrText xml:space="preserve"> REF _Ref232609331 \r \h </w:instrText>
      </w:r>
      <w:r w:rsidR="00AB17CC" w:rsidRPr="00796736">
        <w:rPr>
          <w:rFonts w:ascii="Times New Roman" w:eastAsia="Calibri" w:hAnsi="Times New Roman" w:cs="Times New Roman"/>
          <w:sz w:val="24"/>
          <w:szCs w:val="24"/>
        </w:rPr>
        <w:instrText xml:space="preserve"> \* MERGEFORMAT </w:instrText>
      </w:r>
      <w:r w:rsidR="00306122" w:rsidRPr="00796736">
        <w:rPr>
          <w:rFonts w:ascii="Times New Roman" w:eastAsia="Calibri" w:hAnsi="Times New Roman" w:cs="Times New Roman"/>
          <w:sz w:val="24"/>
          <w:szCs w:val="24"/>
        </w:rPr>
      </w:r>
      <w:r w:rsidR="0030612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108</w:t>
      </w:r>
      <w:r w:rsidR="00306122" w:rsidRPr="00796736">
        <w:rPr>
          <w:rFonts w:ascii="Times New Roman" w:eastAsia="Calibri" w:hAnsi="Times New Roman" w:cs="Times New Roman"/>
          <w:sz w:val="24"/>
          <w:szCs w:val="24"/>
        </w:rPr>
        <w:fldChar w:fldCharType="end"/>
      </w:r>
      <w:r w:rsidR="00306122" w:rsidRPr="00796736">
        <w:rPr>
          <w:rFonts w:ascii="Times New Roman" w:eastAsia="Calibri" w:hAnsi="Times New Roman" w:cs="Times New Roman"/>
          <w:sz w:val="24"/>
          <w:szCs w:val="24"/>
        </w:rPr>
        <w:t xml:space="preserve">, og </w:t>
      </w:r>
      <w:r w:rsidR="005241F6">
        <w:rPr>
          <w:rFonts w:ascii="Times New Roman" w:eastAsia="Calibri" w:hAnsi="Times New Roman" w:cs="Times New Roman"/>
          <w:sz w:val="24"/>
          <w:szCs w:val="24"/>
        </w:rPr>
        <w:t>føre tilsyn med, at Advokatrådet varetager sine lovbestemte tilsynsforpligtelser i overensstemmelse med gældende ret</w:t>
      </w:r>
      <w:r w:rsidR="005241F6" w:rsidRPr="00796736">
        <w:rPr>
          <w:rFonts w:ascii="Times New Roman" w:eastAsia="Calibri" w:hAnsi="Times New Roman" w:cs="Times New Roman"/>
          <w:sz w:val="24"/>
          <w:szCs w:val="24"/>
        </w:rPr>
        <w:t>.</w:t>
      </w:r>
      <w:r w:rsidR="005241F6">
        <w:rPr>
          <w:rFonts w:ascii="Times New Roman" w:eastAsia="Calibri" w:hAnsi="Times New Roman" w:cs="Times New Roman"/>
          <w:sz w:val="24"/>
          <w:szCs w:val="24"/>
        </w:rPr>
        <w:t xml:space="preserve"> Enhedens kompetence til at udstikke retningslinjer vil være inden for rammerne af Advokatrådets tilsynsforpligtelser efter hvidvasklovgivningen og uden at Hvidvaskenheden herved overtager Advokatrådets tilsynsopgaver eller kompetence i konkrete tilsynssager. </w:t>
      </w:r>
      <w:r>
        <w:rPr>
          <w:rFonts w:ascii="Times New Roman" w:eastAsia="Calibri" w:hAnsi="Times New Roman" w:cs="Times New Roman"/>
          <w:sz w:val="24"/>
          <w:szCs w:val="24"/>
        </w:rPr>
        <w:t xml:space="preserve">Enheden </w:t>
      </w:r>
      <w:r w:rsidR="00306122" w:rsidRPr="00796736">
        <w:rPr>
          <w:rFonts w:ascii="Times New Roman" w:eastAsia="Calibri" w:hAnsi="Times New Roman" w:cs="Times New Roman"/>
          <w:sz w:val="24"/>
          <w:szCs w:val="24"/>
        </w:rPr>
        <w:t xml:space="preserve">vil endvidere som led i sit tilsyn kunne gennemgå de undtagelser, som Advokatrådet som led i sit tilsyn, jf. </w:t>
      </w:r>
      <w:r w:rsidR="00306122" w:rsidRPr="00796736">
        <w:rPr>
          <w:rFonts w:ascii="Times New Roman" w:eastAsia="Calibri" w:hAnsi="Times New Roman" w:cs="Times New Roman"/>
          <w:sz w:val="24"/>
          <w:szCs w:val="24"/>
        </w:rPr>
        <w:fldChar w:fldCharType="begin"/>
      </w:r>
      <w:r w:rsidR="00306122" w:rsidRPr="00796736">
        <w:rPr>
          <w:rFonts w:ascii="Times New Roman" w:eastAsia="Calibri" w:hAnsi="Times New Roman" w:cs="Times New Roman"/>
          <w:sz w:val="24"/>
          <w:szCs w:val="24"/>
        </w:rPr>
        <w:instrText xml:space="preserve"> REF _Ref232609193 \r \h </w:instrText>
      </w:r>
      <w:r w:rsidR="00AB17CC" w:rsidRPr="00796736">
        <w:rPr>
          <w:rFonts w:ascii="Times New Roman" w:eastAsia="Calibri" w:hAnsi="Times New Roman" w:cs="Times New Roman"/>
          <w:sz w:val="24"/>
          <w:szCs w:val="24"/>
        </w:rPr>
        <w:instrText xml:space="preserve"> \* MERGEFORMAT </w:instrText>
      </w:r>
      <w:r w:rsidR="00306122" w:rsidRPr="00796736">
        <w:rPr>
          <w:rFonts w:ascii="Times New Roman" w:eastAsia="Calibri" w:hAnsi="Times New Roman" w:cs="Times New Roman"/>
          <w:sz w:val="24"/>
          <w:szCs w:val="24"/>
        </w:rPr>
      </w:r>
      <w:r w:rsidR="0030612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97</w:t>
      </w:r>
      <w:r w:rsidR="00306122" w:rsidRPr="00796736">
        <w:rPr>
          <w:rFonts w:ascii="Times New Roman" w:eastAsia="Calibri" w:hAnsi="Times New Roman" w:cs="Times New Roman"/>
          <w:sz w:val="24"/>
          <w:szCs w:val="24"/>
        </w:rPr>
        <w:fldChar w:fldCharType="end"/>
      </w:r>
      <w:r w:rsidR="00306122" w:rsidRPr="00796736">
        <w:rPr>
          <w:rFonts w:ascii="Times New Roman" w:eastAsia="Calibri" w:hAnsi="Times New Roman" w:cs="Times New Roman"/>
          <w:sz w:val="24"/>
          <w:szCs w:val="24"/>
        </w:rPr>
        <w:t xml:space="preserve">, stk. 1, indrømmer fra forpligtelsen til at udarbejde en individuel dokumenteret risikovurdering i henhold til hvidvaskforordningens artikel 10, og regelmæssigt at underrette Advokatrådet om enhver aktivitet eller opgave, som AMLA har planlagt eller udført og som er relevant for Advokatrådets udøvelse af sin tilsynsfunktion og navnlig for planlægningen af peerevalueringer efter artikel 35 i AMLA-forordningen. </w:t>
      </w:r>
    </w:p>
    <w:p w14:paraId="44706396" w14:textId="77777777" w:rsidR="00BE0E27" w:rsidRPr="00796736" w:rsidRDefault="00BE0E27" w:rsidP="00BE0E27">
      <w:pPr>
        <w:spacing w:after="240" w:line="360" w:lineRule="auto"/>
        <w:rPr>
          <w:rFonts w:ascii="Times New Roman" w:eastAsia="Calibri" w:hAnsi="Times New Roman" w:cs="Times New Roman"/>
          <w:sz w:val="24"/>
          <w:szCs w:val="24"/>
        </w:rPr>
      </w:pPr>
      <w:r>
        <w:rPr>
          <w:rFonts w:ascii="Times New Roman" w:eastAsia="Calibri" w:hAnsi="Times New Roman" w:cs="Times New Roman"/>
          <w:sz w:val="24"/>
          <w:szCs w:val="24"/>
        </w:rPr>
        <w:t>Hvidvaskenhedens</w:t>
      </w:r>
      <w:r w:rsidRPr="00796736">
        <w:rPr>
          <w:rFonts w:ascii="Times New Roman" w:eastAsia="Calibri" w:hAnsi="Times New Roman" w:cs="Times New Roman"/>
          <w:sz w:val="24"/>
          <w:szCs w:val="24"/>
        </w:rPr>
        <w:t xml:space="preserve"> tilsyn </w:t>
      </w:r>
      <w:r>
        <w:rPr>
          <w:rFonts w:ascii="Times New Roman" w:eastAsia="Calibri" w:hAnsi="Times New Roman" w:cs="Times New Roman"/>
          <w:sz w:val="24"/>
          <w:szCs w:val="24"/>
        </w:rPr>
        <w:t>kan endvidere omfatte andre elementer af Advokatrådets tilsynsvirksomhed, i det omfang dette er nødvendigt</w:t>
      </w:r>
      <w:r w:rsidRPr="0079673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for at kontrollere Advokatrådets overholdelse af de tilsynsforpligtelser, der følger af hvidvaskforordningen, denne lov eller regler udstedt i medfør heraf. </w:t>
      </w:r>
    </w:p>
    <w:p w14:paraId="28E60341"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Det forudsættes,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orienterer politiet, herunder Hvidvasksekretariatet, om enhver strafbar overtrædelse, som opdages i forbindelse med tilsynet, jf. herved direktivets artikel 4.</w:t>
      </w:r>
    </w:p>
    <w:p w14:paraId="3EDD3C6B" w14:textId="4B2C7E43" w:rsidR="00306122" w:rsidRPr="00796736" w:rsidRDefault="003061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bemærkes, at </w:t>
      </w:r>
      <w:r w:rsidR="00394C42">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som offentlig myndighed er underlagt en tavshedspligt, som svarer til den Advokatrådet er underlagt i medfør af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_Ref239246753 \r \h </w:instrText>
      </w:r>
      <w:r w:rsidR="00AB17CC"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109</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med hensyn til de oplysninger, som </w:t>
      </w:r>
      <w:r w:rsidR="00394C42">
        <w:rPr>
          <w:rFonts w:ascii="Times New Roman" w:eastAsia="Calibri" w:hAnsi="Times New Roman" w:cs="Times New Roman"/>
          <w:sz w:val="24"/>
          <w:szCs w:val="24"/>
        </w:rPr>
        <w:t>enheden</w:t>
      </w:r>
      <w:r w:rsidRPr="00796736">
        <w:rPr>
          <w:rFonts w:ascii="Times New Roman" w:eastAsia="Calibri" w:hAnsi="Times New Roman" w:cs="Times New Roman"/>
          <w:sz w:val="24"/>
          <w:szCs w:val="24"/>
        </w:rPr>
        <w:t xml:space="preserve"> modtager som led i tilsynet.</w:t>
      </w:r>
    </w:p>
    <w:p w14:paraId="527907B5"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Med bestemmelsen gennemføres direktivets artikel 52, stk. 1 og 2.</w:t>
      </w:r>
    </w:p>
    <w:p w14:paraId="570866E5"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Det foreslås i </w:t>
      </w:r>
      <w:r w:rsidRPr="00D253F0">
        <w:rPr>
          <w:rFonts w:ascii="Times New Roman" w:eastAsia="Calibri" w:hAnsi="Times New Roman" w:cs="Times New Roman"/>
          <w:i/>
          <w:iCs/>
          <w:sz w:val="24"/>
          <w:szCs w:val="24"/>
        </w:rPr>
        <w:t>stk. 2, 1. pkt.,</w:t>
      </w:r>
      <w:r w:rsidRPr="00D253F0">
        <w:rPr>
          <w:rFonts w:ascii="Times New Roman" w:eastAsia="Calibri" w:hAnsi="Times New Roman" w:cs="Times New Roman"/>
          <w:sz w:val="24"/>
          <w:szCs w:val="24"/>
        </w:rPr>
        <w:t xml:space="preserve">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i forbindelse med tilsyn efter stk. 1 kan påbyde Advokatrådet at fremlægge alle oplysninger, der er relevante for at overvåge overholdelsen af reglerne nævnt heri.</w:t>
      </w:r>
    </w:p>
    <w:p w14:paraId="78603069"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Den foreslåede bestemmelse vil indebære,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i forbindelse med sit tilsyn efter stk. 1 kan påbyde Advokatrådet at fremlægge af alle oplysninger, der er relevante for overvågelsen af Advokatrådets hvidvasktilsyn. </w:t>
      </w:r>
    </w:p>
    <w:p w14:paraId="6D548228"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Et påbud til Advokatrådet om at fremlægge ovennævnte oplysninger vil udgøre en afgørelse i forvaltningslovens forstand, hvilket vil indebære,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vil skulle iagttage forvaltningslovens regler om partsrettigheder, herunder bl.a. vejledningspligt, partshøring, begrundelse og klagevejledning, og at der som udgangspunkt vil kunne anmodes om aktindsigt i afgørelserne efter forvaltningsloven. Det vil derudover være et krav,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konkret har anledning til at afkræve Advokatrådet de pågældende oplysninger. En sådan konkret anledning kunne f.eks. være, hvis </w:t>
      </w:r>
      <w:r>
        <w:rPr>
          <w:rFonts w:ascii="Times New Roman" w:eastAsia="Calibri" w:hAnsi="Times New Roman" w:cs="Times New Roman"/>
          <w:sz w:val="24"/>
          <w:szCs w:val="24"/>
        </w:rPr>
        <w:t>enheden</w:t>
      </w:r>
      <w:r w:rsidRPr="00D253F0">
        <w:rPr>
          <w:rFonts w:ascii="Times New Roman" w:eastAsia="Calibri" w:hAnsi="Times New Roman" w:cs="Times New Roman"/>
          <w:sz w:val="24"/>
          <w:szCs w:val="24"/>
        </w:rPr>
        <w:t xml:space="preserve"> ikke kan udføre et fyldestgørende tilsyn og kontrol uden de pågældende oplysninger, eller hvis </w:t>
      </w:r>
      <w:r>
        <w:rPr>
          <w:rFonts w:ascii="Times New Roman" w:eastAsia="Calibri" w:hAnsi="Times New Roman" w:cs="Times New Roman"/>
          <w:sz w:val="24"/>
          <w:szCs w:val="24"/>
        </w:rPr>
        <w:t>enheden</w:t>
      </w:r>
      <w:r w:rsidRPr="00D253F0">
        <w:rPr>
          <w:rFonts w:ascii="Times New Roman" w:eastAsia="Calibri" w:hAnsi="Times New Roman" w:cs="Times New Roman"/>
          <w:sz w:val="24"/>
          <w:szCs w:val="24"/>
        </w:rPr>
        <w:t xml:space="preserve"> konkret får mistanke om en utilbørlig påvirkning af tilsynsfunktionerne og -opgaven, og Advokatrådet ikke af egen drift har søgt at medvirke til sagens oplysning. </w:t>
      </w:r>
    </w:p>
    <w:p w14:paraId="14A4DEB3"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Et påbud om at fremlægge de nævnte oplysninger vil indebære en oplysningspligt, jf. § 1, stk. 3, i lov om retssikkerhed ved forvaltningens anvendelse af tvangsindgreb og oplysningspligter (retssikkerhedsloven). Det indebærer, at oplysningspligten vil være omfattet af retssikkerhedslovens kapitel 4, som medfører, at oplysningspligten ikke gælder i det tilfælde, hvor der er en konkret mistanke om, at Advokatrådet har begået en lovovertrædelse, der kan medføre straf, medmindre det kan udelukkes, at de oplysninger, der søges tilvejebragt, kan have betydning for bedømmelsen af den formodede lovovertrædelse, jf. retssikkerhedslovens § 10, stk. 1. Det bemærkes dog, at muligheden for at fastsætte regler om foranstaltninger eller sanktioner for Advokatrådets manglende efterkommelse af et påbud ikke er udnyttet, hvorfor manglende efterlevelse af et påbud efter den foreslåede bestemmelse som udgangspunkt ikke vil være underlagt straf eller andre sanktioner efter denne lov.</w:t>
      </w:r>
    </w:p>
    <w:p w14:paraId="140044A2"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2, 2. pkt.,</w:t>
      </w:r>
      <w:r w:rsidRPr="00796736">
        <w:rPr>
          <w:rFonts w:ascii="Times New Roman" w:eastAsia="Calibri" w:hAnsi="Times New Roman" w:cs="Times New Roman"/>
          <w:sz w:val="24"/>
          <w:szCs w:val="24"/>
        </w:rPr>
        <w:t xml:space="preserve"> at et påbud efter 1. pkt. kan omfatte oplysninger omfattet af hvidvaskforordningens artikel 21, stk. 2, eller artikel 70, stk. 2, efter betingelserne heri. </w:t>
      </w:r>
    </w:p>
    <w:p w14:paraId="1A43EC0C" w14:textId="38DBE1AE" w:rsidR="00306122" w:rsidRPr="00796736" w:rsidRDefault="003061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indebære, at </w:t>
      </w:r>
      <w:r w:rsidR="00394C42">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ikke vil kunne indhente oplysninger indhentet fra advokater og advokatselskaber, når disse har vurderet deres klients retsstilling, underlagt betingelserne i hvidvaskforordningens artikel 21, stk. 2, eller har forsvaret eller repræsenteret klienten under eller i forbindelse med retssager, herunder rådgivet om indledning eller undgåelse af sådanne retssager, uanset om oplysningerne er indhentet før, under eller efter sådanne retssager. </w:t>
      </w:r>
    </w:p>
    <w:p w14:paraId="18A2EBF5" w14:textId="3C7312E1"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Vurderingen af, om oplysningerne kan omfattes af påbuddet om fremlæggelse af oplysninger eller kontrollen, vil således afhænge af, om de pågældende oplysninger er undtaget efter hvidvaskforordningens artikel 21, stk. 2, eller artikel 70, stk. 2. Det foreslåede indebærer derfor, at regler fastsat i medfør af den foreslåede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_Ref232609412 \r \h </w:instrText>
      </w:r>
      <w:r w:rsidR="00F375BF"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111</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stk. 2, også vil have betydning for, om oplysningerne er omfattet af et påbud om fremlæggelse og kontrollen. Dette indebærer, at </w:t>
      </w:r>
      <w:r w:rsidR="00394C42">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kun vil kunne kræve oplysninger, som advokater har indhentet til brug for vurderingen af klientens retstilling, repræsentation eller forsvar samt rådgivning af vedkommende, hvis advokaten deltager i hvidvask af penge, de underliggende lovovertrædelser eller finansiering af terrorisme, yder juridisk rådgivning med henblik herpå eller har kendskab til, at kunden søger juridisk rådgivning med henblik herpå. Undtagelsen til udgangspunktet om tavshedspligt vil skulle fortolkes indskrænkende.</w:t>
      </w:r>
    </w:p>
    <w:p w14:paraId="3D42C369"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Med den foreslåede bestemmelse gennemføres sammen med det foreslåede stk. 3 og 4 direktivets artikel 52, stk. 3.</w:t>
      </w:r>
    </w:p>
    <w:p w14:paraId="007C34BF"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Det foreslås i </w:t>
      </w:r>
      <w:r w:rsidRPr="00D253F0">
        <w:rPr>
          <w:rFonts w:ascii="Times New Roman" w:eastAsia="Calibri" w:hAnsi="Times New Roman" w:cs="Times New Roman"/>
          <w:i/>
          <w:iCs/>
          <w:sz w:val="24"/>
          <w:szCs w:val="24"/>
        </w:rPr>
        <w:t>stk. 3, 1. og 2. pkt.,</w:t>
      </w:r>
      <w:r w:rsidRPr="00D253F0">
        <w:rPr>
          <w:rFonts w:ascii="Times New Roman" w:eastAsia="Calibri" w:hAnsi="Times New Roman" w:cs="Times New Roman"/>
          <w:sz w:val="24"/>
          <w:szCs w:val="24"/>
        </w:rPr>
        <w:t xml:space="preserve"> at </w:t>
      </w:r>
      <w:r>
        <w:rPr>
          <w:rFonts w:ascii="Times New Roman" w:hAnsi="Times New Roman" w:cs="Times New Roman"/>
          <w:sz w:val="24"/>
          <w:szCs w:val="24"/>
          <w:lang w:eastAsia="da-DK"/>
        </w:rPr>
        <w:t>Hvidvaskenheden</w:t>
      </w:r>
      <w:r w:rsidRPr="00D253F0">
        <w:rPr>
          <w:rFonts w:ascii="Times New Roman" w:hAnsi="Times New Roman" w:cs="Times New Roman"/>
          <w:sz w:val="24"/>
          <w:szCs w:val="24"/>
          <w:lang w:eastAsia="da-DK"/>
        </w:rPr>
        <w:t xml:space="preserve"> </w:t>
      </w:r>
      <w:r w:rsidRPr="00D253F0">
        <w:rPr>
          <w:rFonts w:ascii="Times New Roman" w:eastAsia="Times New Roman" w:hAnsi="Times New Roman" w:cs="Times New Roman"/>
          <w:iCs/>
          <w:sz w:val="24"/>
          <w:szCs w:val="24"/>
          <w:lang w:eastAsia="da-DK"/>
        </w:rPr>
        <w:t xml:space="preserve">mod behørig legitimation uden retskendelse kan få adgang til de lokaliteter, hvorfra Advokatrådet udøver tilsynsvirksomhed, når det er nødvendigt for at føre tilsyn efter stk. 1. </w:t>
      </w:r>
      <w:r>
        <w:rPr>
          <w:rFonts w:ascii="Times New Roman" w:hAnsi="Times New Roman" w:cs="Times New Roman"/>
          <w:sz w:val="24"/>
          <w:szCs w:val="24"/>
          <w:lang w:eastAsia="da-DK"/>
        </w:rPr>
        <w:t>Enheden</w:t>
      </w:r>
      <w:r w:rsidRPr="00D253F0">
        <w:rPr>
          <w:rFonts w:ascii="Times New Roman" w:hAnsi="Times New Roman" w:cs="Times New Roman"/>
          <w:sz w:val="24"/>
          <w:szCs w:val="24"/>
          <w:lang w:eastAsia="da-DK"/>
        </w:rPr>
        <w:t xml:space="preserve"> </w:t>
      </w:r>
      <w:r w:rsidRPr="00D253F0">
        <w:rPr>
          <w:rFonts w:ascii="Times New Roman" w:eastAsia="Times New Roman" w:hAnsi="Times New Roman" w:cs="Times New Roman"/>
          <w:iCs/>
          <w:sz w:val="24"/>
          <w:szCs w:val="24"/>
          <w:lang w:eastAsia="da-DK"/>
        </w:rPr>
        <w:t>kan som led i kontrolbesøg foretage nærmere undersøgelse af materiale hos Advokatrådet, herunder tage kopi af optegnelser og arbejdspapirer samt dokumentation for efterlevelse af tilsynsforpligtelserne</w:t>
      </w:r>
    </w:p>
    <w:p w14:paraId="38003C7C"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Efter den foreslåede bestemmelse vil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mod behørig legitimation kunne gennemføre kontrolbesøg hos Advokatrådet, når det er nødvendigt for at føre tilsyn efter stk. 1, herunder overvåge og føre kontrol med Advokatrådets overholdelse af sine tilsynsforpligtelser efter reglerne nævnt heri. </w:t>
      </w:r>
      <w:r>
        <w:rPr>
          <w:rFonts w:ascii="Times New Roman" w:eastAsia="Calibri" w:hAnsi="Times New Roman" w:cs="Times New Roman"/>
          <w:sz w:val="24"/>
          <w:szCs w:val="24"/>
        </w:rPr>
        <w:t>Enheden</w:t>
      </w:r>
      <w:r w:rsidRPr="00D253F0">
        <w:rPr>
          <w:rFonts w:ascii="Times New Roman" w:eastAsia="Calibri" w:hAnsi="Times New Roman" w:cs="Times New Roman"/>
          <w:sz w:val="24"/>
          <w:szCs w:val="24"/>
        </w:rPr>
        <w:t xml:space="preserve"> kan i den forbindelse foretage nærmere undersøgelse af materiale hos Advokatrådet, herunder tage kopi af optegnelser og arbejdspapirer samt dokumentation for efterlevelse af tilsynsforpligtelserne. </w:t>
      </w:r>
    </w:p>
    <w:p w14:paraId="7C1D2441"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Kontrolbesøget efter den foreslåede bestemmelse vil kun omfatte lokaliteter, hvorfra Advokatrådet varetager sine tilsynsforpligtelser. Bestemmelsen vil indebære,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vil kunne få adgang til dokumentation og optegnelser, med henblik på at gennemgå materiale, som har betydning for kontrollen. Dette gælder uanset, om dokumentationen eller optegnelserne foreligger fysisk eller elektronisk. Kontrolbesøget vil kun kunne omfatte materiale, som er relevant for </w:t>
      </w:r>
      <w:r>
        <w:rPr>
          <w:rFonts w:ascii="Times New Roman" w:eastAsia="Calibri" w:hAnsi="Times New Roman" w:cs="Times New Roman"/>
          <w:sz w:val="24"/>
          <w:szCs w:val="24"/>
        </w:rPr>
        <w:t>enhedens</w:t>
      </w:r>
      <w:r w:rsidRPr="00D253F0">
        <w:rPr>
          <w:rFonts w:ascii="Times New Roman" w:eastAsia="Calibri" w:hAnsi="Times New Roman" w:cs="Times New Roman"/>
          <w:sz w:val="24"/>
          <w:szCs w:val="24"/>
        </w:rPr>
        <w:t xml:space="preserve"> tilsyn mv. af Advokatrådets efterlevelse af sine forpligtelser i henhold til hvidvasklovgivningen. </w:t>
      </w:r>
    </w:p>
    <w:p w14:paraId="5EE7243A"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Kontrolbesøg og adgang til dokumentation efter den foreslåede bestemmelse vil udgøre tvangsindgreb omfattet af retssikkerhedslovens § 1, stk. 1, nr. 1 (husundersøgelse, som også omfatter undersøgelse af kontorlokaler, der ikke er offentligt tilgængelige), og nr. 2 (undersøgelse eller beslaglæggelse af breve og andre papirer). Det medfører, at retssikkerhedslovens kapitel 2 og 3 finder anvendelse. Det indebærer bl.a., at tvangsindgrebene kun må anvendes, hvis mindre indgribende foranstaltninger ikke er tilstrækkelige, og hvis indgrebet står i rimeligt forhold til formålet med indgrebet, jf. retssikkerhedslovens § 2.  Kontrolbesøg efter den foreslåede bestemmelse vil således ikke kunne gennemføres, hvis mindre indgribende foranstaltninger såsom almindelig vejledningsvirksomhed eller påbud efter de foreslåede stk. 2 og 3 havde været tilstrækkeligt. </w:t>
      </w:r>
    </w:p>
    <w:p w14:paraId="6465A49A" w14:textId="0656735F" w:rsidR="00ED3B81" w:rsidRPr="00796736" w:rsidRDefault="003061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Henset til Advokatrådets særlige rolle, vil kravet om nødvendighed og proportionalitet i retssikkerhedslovens § 2 være skærpet, hvilket vil indebære, at kontrolbesøg kun kan gennemføres ved alvorlige, gentagne eller systematiske tilsidesættelser af Advokatrådets tilsynsforpligtelser. Det vil således ikke være tilstrækkeligt, at Advokatrådet har skønnet, at det ikke var påkrævet at påbyde eller indstille til iværksættelse af administrative foranstaltninger efter de foreslåede </w:t>
      </w:r>
      <w:r w:rsidR="00E52402">
        <w:rPr>
          <w:rFonts w:ascii="Times New Roman" w:eastAsia="Calibri" w:hAnsi="Times New Roman" w:cs="Times New Roman"/>
          <w:sz w:val="24"/>
          <w:szCs w:val="24"/>
        </w:rPr>
        <w:fldChar w:fldCharType="begin"/>
      </w:r>
      <w:r w:rsidR="00E52402">
        <w:rPr>
          <w:rFonts w:ascii="Times New Roman" w:eastAsia="Calibri" w:hAnsi="Times New Roman" w:cs="Times New Roman"/>
          <w:sz w:val="24"/>
          <w:szCs w:val="24"/>
        </w:rPr>
        <w:instrText xml:space="preserve"> REF _Ref244787564 \r \h </w:instrText>
      </w:r>
      <w:r w:rsidR="00E52402">
        <w:rPr>
          <w:rFonts w:ascii="Times New Roman" w:eastAsia="Calibri" w:hAnsi="Times New Roman" w:cs="Times New Roman"/>
          <w:sz w:val="24"/>
          <w:szCs w:val="24"/>
        </w:rPr>
      </w:r>
      <w:r w:rsidR="00E52402">
        <w:rPr>
          <w:rFonts w:ascii="Times New Roman" w:eastAsia="Calibri" w:hAnsi="Times New Roman" w:cs="Times New Roman"/>
          <w:sz w:val="24"/>
          <w:szCs w:val="24"/>
        </w:rPr>
        <w:fldChar w:fldCharType="separate"/>
      </w:r>
      <w:r w:rsidR="00E52402">
        <w:rPr>
          <w:rFonts w:ascii="Times New Roman" w:eastAsia="Calibri" w:hAnsi="Times New Roman" w:cs="Times New Roman"/>
          <w:sz w:val="24"/>
          <w:szCs w:val="24"/>
        </w:rPr>
        <w:t>§ 102</w:t>
      </w:r>
      <w:r w:rsidR="00E52402">
        <w:rPr>
          <w:rFonts w:ascii="Times New Roman" w:eastAsia="Calibri" w:hAnsi="Times New Roman" w:cs="Times New Roman"/>
          <w:sz w:val="24"/>
          <w:szCs w:val="24"/>
        </w:rPr>
        <w:fldChar w:fldCharType="end"/>
      </w:r>
      <w:r w:rsidR="00ED3B81" w:rsidRPr="00796736">
        <w:rPr>
          <w:rFonts w:ascii="Times New Roman" w:eastAsia="Calibri" w:hAnsi="Times New Roman" w:cs="Times New Roman"/>
          <w:sz w:val="24"/>
          <w:szCs w:val="24"/>
        </w:rPr>
        <w:t>-</w:t>
      </w:r>
      <w:r w:rsidR="00ED3B81" w:rsidRPr="00796736">
        <w:rPr>
          <w:rFonts w:ascii="Times New Roman" w:eastAsia="Calibri" w:hAnsi="Times New Roman" w:cs="Times New Roman"/>
          <w:sz w:val="24"/>
          <w:szCs w:val="24"/>
        </w:rPr>
        <w:fldChar w:fldCharType="begin"/>
      </w:r>
      <w:r w:rsidR="00ED3B81" w:rsidRPr="00796736">
        <w:rPr>
          <w:rFonts w:ascii="Times New Roman" w:eastAsia="Calibri" w:hAnsi="Times New Roman" w:cs="Times New Roman"/>
          <w:sz w:val="24"/>
          <w:szCs w:val="24"/>
        </w:rPr>
        <w:instrText xml:space="preserve"> REF _Ref239435504 \r \h </w:instrText>
      </w:r>
      <w:r w:rsidR="00F375BF" w:rsidRPr="00796736">
        <w:rPr>
          <w:rFonts w:ascii="Times New Roman" w:eastAsia="Calibri" w:hAnsi="Times New Roman" w:cs="Times New Roman"/>
          <w:sz w:val="24"/>
          <w:szCs w:val="24"/>
        </w:rPr>
        <w:instrText xml:space="preserve"> \* MERGEFORMAT </w:instrText>
      </w:r>
      <w:r w:rsidR="00ED3B81" w:rsidRPr="00796736">
        <w:rPr>
          <w:rFonts w:ascii="Times New Roman" w:eastAsia="Calibri" w:hAnsi="Times New Roman" w:cs="Times New Roman"/>
          <w:sz w:val="24"/>
          <w:szCs w:val="24"/>
        </w:rPr>
      </w:r>
      <w:r w:rsidR="00ED3B81"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107</w:t>
      </w:r>
      <w:r w:rsidR="00ED3B81" w:rsidRPr="00796736">
        <w:rPr>
          <w:rFonts w:ascii="Times New Roman" w:eastAsia="Calibri" w:hAnsi="Times New Roman" w:cs="Times New Roman"/>
          <w:sz w:val="24"/>
          <w:szCs w:val="24"/>
        </w:rPr>
        <w:fldChar w:fldCharType="end"/>
      </w:r>
      <w:r w:rsidR="00ED3B81" w:rsidRPr="00796736">
        <w:rPr>
          <w:rFonts w:ascii="Times New Roman" w:eastAsia="Calibri" w:hAnsi="Times New Roman" w:cs="Times New Roman"/>
          <w:sz w:val="24"/>
          <w:szCs w:val="24"/>
        </w:rPr>
        <w:t xml:space="preserve"> i tilfælde af overtrædelser eller ved en fejl har offentliggjort personlige oplysninger i videre omfang, end hvad der følger af den foreslåede </w:t>
      </w:r>
      <w:r w:rsidR="00ED3B81" w:rsidRPr="00796736">
        <w:rPr>
          <w:rFonts w:ascii="Times New Roman" w:eastAsia="Calibri" w:hAnsi="Times New Roman" w:cs="Times New Roman"/>
          <w:sz w:val="24"/>
          <w:szCs w:val="24"/>
        </w:rPr>
        <w:fldChar w:fldCharType="begin"/>
      </w:r>
      <w:r w:rsidR="00ED3B81" w:rsidRPr="00796736">
        <w:rPr>
          <w:rFonts w:ascii="Times New Roman" w:eastAsia="Calibri" w:hAnsi="Times New Roman" w:cs="Times New Roman"/>
          <w:sz w:val="24"/>
          <w:szCs w:val="24"/>
        </w:rPr>
        <w:instrText xml:space="preserve"> REF _Ref232609331 \r \h </w:instrText>
      </w:r>
      <w:r w:rsidR="00F375BF" w:rsidRPr="00796736">
        <w:rPr>
          <w:rFonts w:ascii="Times New Roman" w:eastAsia="Calibri" w:hAnsi="Times New Roman" w:cs="Times New Roman"/>
          <w:sz w:val="24"/>
          <w:szCs w:val="24"/>
        </w:rPr>
        <w:instrText xml:space="preserve"> \* MERGEFORMAT </w:instrText>
      </w:r>
      <w:r w:rsidR="00ED3B81" w:rsidRPr="00796736">
        <w:rPr>
          <w:rFonts w:ascii="Times New Roman" w:eastAsia="Calibri" w:hAnsi="Times New Roman" w:cs="Times New Roman"/>
          <w:sz w:val="24"/>
          <w:szCs w:val="24"/>
        </w:rPr>
      </w:r>
      <w:r w:rsidR="00ED3B81"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108</w:t>
      </w:r>
      <w:r w:rsidR="00ED3B81" w:rsidRPr="00796736">
        <w:rPr>
          <w:rFonts w:ascii="Times New Roman" w:eastAsia="Calibri" w:hAnsi="Times New Roman" w:cs="Times New Roman"/>
          <w:sz w:val="24"/>
          <w:szCs w:val="24"/>
        </w:rPr>
        <w:fldChar w:fldCharType="end"/>
      </w:r>
      <w:r w:rsidR="00ED3B81"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Derimod vil en systematisk undladelse af at udstede påbud eller indstille til iværksættelse af administrative foranstaltninger eller en gentagen tilsidesættelse af databeskyttelsesreglerne ved offentliggørelsen af afgørelser efter omstændighederne kunne danne grundlag for et tilsynsbesøg, såfremt manglerne ikke kan afhjælpes ved andre, mindre indgribende foranstaltninger.</w:t>
      </w:r>
      <w:r w:rsidRPr="00E52402">
        <w:rPr>
          <w:rFonts w:ascii="Times New Roman" w:eastAsia="Calibri" w:hAnsi="Times New Roman" w:cs="Times New Roman"/>
          <w:sz w:val="24"/>
          <w:szCs w:val="24"/>
        </w:rPr>
        <w:t xml:space="preserve"> Kravet</w:t>
      </w:r>
      <w:r w:rsidRPr="00796736">
        <w:rPr>
          <w:rFonts w:ascii="Times New Roman" w:eastAsia="Calibri" w:hAnsi="Times New Roman" w:cs="Times New Roman"/>
          <w:sz w:val="24"/>
          <w:szCs w:val="24"/>
        </w:rPr>
        <w:t xml:space="preserve"> om proportionalitet vil derudover indebære, at kontrolbesøget skal søges afgrænset i videst muligt omfang, og at det i almindelighed præcist vil skulle angives, hvilket materiale, som kontrolbesøget retter sig imod og under hvilke omstændigheder.</w:t>
      </w:r>
    </w:p>
    <w:p w14:paraId="097DDC82" w14:textId="77777777" w:rsidR="00306122" w:rsidRPr="00796736" w:rsidRDefault="003061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forudsættes, at kontrolbesøget søges gennemført ved Advokatrådets frivillige medvirken, men vil ellers kunne gennemføres i henhold til retssikkerhedslovens regler, herunder uden Advokatrådets samtykke, så skånsomt, som omstændighederne tillader det og efter reglerne om varsling mv.   </w:t>
      </w:r>
    </w:p>
    <w:p w14:paraId="09AEC682"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3, 3. pkt.,</w:t>
      </w:r>
      <w:r w:rsidRPr="00796736">
        <w:rPr>
          <w:rFonts w:ascii="Times New Roman" w:eastAsia="Calibri" w:hAnsi="Times New Roman" w:cs="Times New Roman"/>
          <w:sz w:val="24"/>
          <w:szCs w:val="24"/>
        </w:rPr>
        <w:t xml:space="preserve"> at kontrol efter 1. og 2. pkt. kan omfatte oplysninger omfattet af hvidvaskforordningens artikel 21, stk. 2, eller artikel 70, stk. 2, efter betingelserne heri.</w:t>
      </w:r>
    </w:p>
    <w:p w14:paraId="11022D90" w14:textId="2E465EEA"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svarer til den foreslåede stk. 2, 2. pkt., og vil indebære, at kontrolbesøg efter den foreslåede bestemmelse som udgangspunkt bl.a. ikke vil omfatte oplysninger indhentet fra advokater, når disse har vurderet deres klients retsstilling, underlagt betingelserne i hvidvaskforordningens artikel 21, stk. 2, eller har forsvaret eller repræsenteret klienten under eller i forbindelse med retssager, herunder rådgivet om indledning eller undgåelse af sådanne retssager, uanset om oplysningerne er indhentet før, under eller efter sådanne retssager. </w:t>
      </w:r>
    </w:p>
    <w:p w14:paraId="1B9AB9F7" w14:textId="1C61A8C5"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Vurderingen af, om oplysningerne kan omfattes af kontrollen, vil således afhænge af, om de pågældende oplysninger er undtaget efter hvidvaskforordningens artikel 21, stk. 2, eller artikel 70, stk. 2. Det foreslåede indebærer derfor, at regler fastsat i medfør af den foreslåede</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_Ref232609412 \r \h </w:instrText>
      </w:r>
      <w:r w:rsidR="00F375BF"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111</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stk. 2, også vil have betydning for, om oplysningerne er omfattet af kontrolbesøget.</w:t>
      </w:r>
    </w:p>
    <w:p w14:paraId="19DD0B9B"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Gør Advokatrådet i forbindelse med kontrolbesøget gældende, at oplysninger eller materiale er omfattet af de nævnte bestemmelser, vil spørgsmålet kunne indbringes for retten, som ved kendelse vil kunne tage stilling til, om oplysningerne eller materiale kan tilgås som led i kontrolbesøget. Det forudsættes, at behandlingen af sådanne sager som udgangspunkt vil skulle ske på skriftligt grundlag.  </w:t>
      </w:r>
    </w:p>
    <w:p w14:paraId="5012E8BD" w14:textId="77777777" w:rsidR="00ED3B81" w:rsidRPr="00796736" w:rsidRDefault="00ED3B8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stk. </w:t>
      </w:r>
      <w:r w:rsidRPr="00796736">
        <w:rPr>
          <w:rFonts w:ascii="Times New Roman" w:eastAsia="Calibri" w:hAnsi="Times New Roman" w:cs="Times New Roman"/>
          <w:i/>
          <w:iCs/>
          <w:sz w:val="24"/>
          <w:szCs w:val="24"/>
        </w:rPr>
        <w:t>3, 4. pkt.,</w:t>
      </w:r>
      <w:r w:rsidRPr="00796736">
        <w:rPr>
          <w:rFonts w:ascii="Times New Roman" w:eastAsia="Calibri" w:hAnsi="Times New Roman" w:cs="Times New Roman"/>
          <w:sz w:val="24"/>
          <w:szCs w:val="24"/>
        </w:rPr>
        <w:t xml:space="preserve"> at politiet om fornødent yder bistand til gennemførelse af kontrol efter 1. pkt.  </w:t>
      </w:r>
    </w:p>
    <w:p w14:paraId="09D9F2F2" w14:textId="6B55131F" w:rsidR="00306122" w:rsidRPr="00796736" w:rsidRDefault="003061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Politiets bistand efter den foreslåede bestemmelse vil begrænse sig til overvindelse af fysiske hindringer for gennemførelsen af kontrollen, f.eks. skaffe adgang til et aflåst rum. Selve kontrollen vil skulle gennemføres af </w:t>
      </w:r>
      <w:r w:rsidR="00394C42">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Politiets bistand vil skulle ske efter reglerne i lov om politiets virksomhed. Hvis der på tidspunktet for politiets bistand ved kontrolbesøget kommer til at være – eller i forbindelse hermed kommer til at opstå – konkret mistanke om et strafbart forhold, vil politiets bistand til gennemførelsen af kontrollen skulle ske i overensstemmelse med retsplejelovens regler, når bistanden har karakter af efterforskning. Politiets bistand vil i øvrigt skulle ske under hensyn til politiets sædvanlige prioritering af opgaver og ressourcer. </w:t>
      </w:r>
    </w:p>
    <w:p w14:paraId="4EA312D2" w14:textId="4BF6B7D3" w:rsidR="00306122" w:rsidRPr="00796736" w:rsidRDefault="003061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4,</w:t>
      </w:r>
      <w:r w:rsidRPr="00796736">
        <w:rPr>
          <w:rFonts w:ascii="Times New Roman" w:eastAsia="Calibri" w:hAnsi="Times New Roman" w:cs="Times New Roman"/>
          <w:sz w:val="24"/>
          <w:szCs w:val="24"/>
        </w:rPr>
        <w:t xml:space="preserve"> at </w:t>
      </w:r>
      <w:r w:rsidR="00394C42">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w:t>
      </w:r>
      <w:r w:rsidRPr="00796736">
        <w:rPr>
          <w:rFonts w:ascii="Times New Roman" w:eastAsia="Times New Roman" w:hAnsi="Times New Roman" w:cs="Times New Roman"/>
          <w:iCs/>
          <w:sz w:val="24"/>
          <w:szCs w:val="24"/>
          <w:lang w:eastAsia="da-DK"/>
        </w:rPr>
        <w:t>som led i tilsynet efter stk. 1 kan påbyde Advokatrådet at følge nærmere angivne instruktioner med henblik på at afhjælpe manglende efterlevelse af rådets funktioner og tilsynsforpligtelser efter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_Ref232609193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97</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_Ref232941264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100</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eller for at forhindre sådanne mangler.</w:t>
      </w:r>
    </w:p>
    <w:p w14:paraId="70092A3C" w14:textId="47A23DCD" w:rsidR="00306122" w:rsidRPr="00796736" w:rsidRDefault="00306122"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foreslåede vil endvidere indebære, at </w:t>
      </w:r>
      <w:r w:rsidR="00394C42">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kan udstede påbud om, at Advokatrådet skal følge nærmere angivne instruktioner for enten at afhjælpe en konstateret manglende efterlevelse af rådets funktioner og tilsynsforpligtelser eller for at forhindre sådanne mangler. Efter den foreslåede bestemmelse vil </w:t>
      </w:r>
      <w:r w:rsidR="00394C42">
        <w:rPr>
          <w:rFonts w:ascii="Times New Roman" w:eastAsia="Calibri" w:hAnsi="Times New Roman" w:cs="Times New Roman"/>
          <w:sz w:val="24"/>
          <w:szCs w:val="24"/>
        </w:rPr>
        <w:t>Hvidvaskenheden</w:t>
      </w:r>
      <w:r w:rsidRPr="00796736">
        <w:rPr>
          <w:rFonts w:ascii="Times New Roman" w:eastAsia="Calibri" w:hAnsi="Times New Roman" w:cs="Times New Roman"/>
          <w:sz w:val="24"/>
          <w:szCs w:val="24"/>
        </w:rPr>
        <w:t xml:space="preserve"> ved udstedelsen af instrukser til Advokatrådet om udførelsen af funktionerne efter de foreslåede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_Ref232609193 \r \h </w:instrText>
      </w:r>
      <w:r w:rsidR="00AB17CC"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97</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w:t>
      </w:r>
      <w:r w:rsidR="00BD38B1" w:rsidRPr="00796736">
        <w:rPr>
          <w:rFonts w:ascii="Times New Roman" w:eastAsia="Calibri" w:hAnsi="Times New Roman" w:cs="Times New Roman"/>
          <w:sz w:val="24"/>
          <w:szCs w:val="24"/>
        </w:rPr>
        <w:t xml:space="preserve">skulle tage hensyn til alle relevante retningslinjer, </w:t>
      </w:r>
      <w:r w:rsidR="00BD38B1">
        <w:rPr>
          <w:rFonts w:ascii="Times New Roman" w:eastAsia="Calibri" w:hAnsi="Times New Roman" w:cs="Times New Roman"/>
          <w:sz w:val="24"/>
          <w:szCs w:val="24"/>
        </w:rPr>
        <w:t>som enheden</w:t>
      </w:r>
      <w:r w:rsidR="00BD38B1" w:rsidRPr="00796736">
        <w:rPr>
          <w:rFonts w:ascii="Times New Roman" w:eastAsia="Calibri" w:hAnsi="Times New Roman" w:cs="Times New Roman"/>
          <w:sz w:val="24"/>
          <w:szCs w:val="24"/>
        </w:rPr>
        <w:t xml:space="preserve"> tidligere har udstukket, eller som er udstukket af AMLA. </w:t>
      </w:r>
      <w:r w:rsidR="00BD38B1">
        <w:rPr>
          <w:rFonts w:ascii="Times New Roman" w:eastAsia="Calibri" w:hAnsi="Times New Roman" w:cs="Times New Roman"/>
          <w:sz w:val="24"/>
          <w:szCs w:val="24"/>
        </w:rPr>
        <w:t>Det forudsættes, at der som udgangspunkt vil skulle foreligge konkrete og væsentlige holdepunkter for, at Advokatrådet ellers vil tilsidesætte en nærmere angivet tilsynsforpligtelse, førend Hvidvaskenheden vil skulle udstede påbud i medfør af den foreslåede bestemmelse.</w:t>
      </w:r>
    </w:p>
    <w:p w14:paraId="56FA3930" w14:textId="62E8F893" w:rsidR="00394C42" w:rsidRPr="00D253F0" w:rsidRDefault="00394C42" w:rsidP="00A802A5">
      <w:pPr>
        <w:spacing w:after="240" w:line="360" w:lineRule="auto"/>
        <w:rPr>
          <w:rFonts w:ascii="Times New Roman" w:eastAsia="Calibri" w:hAnsi="Times New Roman" w:cs="Times New Roman"/>
          <w:sz w:val="24"/>
          <w:szCs w:val="24"/>
        </w:rPr>
      </w:pPr>
      <w:bookmarkStart w:id="2184" w:name="_Toc232109433"/>
      <w:r w:rsidRPr="00D253F0">
        <w:rPr>
          <w:rFonts w:ascii="Times New Roman" w:eastAsia="Calibri" w:hAnsi="Times New Roman" w:cs="Times New Roman"/>
          <w:sz w:val="24"/>
          <w:szCs w:val="24"/>
        </w:rPr>
        <w:t xml:space="preserve">Der vil i sådanne situationer ligeledes være tale om en afgørelse i forvaltningslovens forstand, hvilket vil indebære,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skal iagttage forvaltningslovens regler om partsrettigheder, herunder bl.a. vejledningspligt, partshøring, begrundelse og klagevejledning, og at der som udgangspunkt vil kunne anmodes om aktindsigt i afgørelserne efter forvaltningsloven. I førstnævnte tilfælde vil det være et krav for udstedelse af et påbud efter bestemmelsen,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ved et tilsyn har konstateret en manglende efterlevelse af de tilsynsregler, som følger af hvidvaskforordningen, loven eller regler udstedt i medfør af loven. Det forudsættes,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forinden, at der skrides til et egentligt påbud, søger at afhjælpe manglen gennem vejledninger og henstillinger. I sidstnævnte tilfælde vil der være tale om præventive foranstaltninger, som tager sigte på at afværge fremtidige mangler. Den foreslåede bestemmelse vil navnlig være relevant i de situationer, hvor </w:t>
      </w:r>
      <w:r>
        <w:rPr>
          <w:rFonts w:ascii="Times New Roman" w:eastAsia="Calibri" w:hAnsi="Times New Roman" w:cs="Times New Roman"/>
          <w:sz w:val="24"/>
          <w:szCs w:val="24"/>
        </w:rPr>
        <w:t>enheden</w:t>
      </w:r>
      <w:r w:rsidRPr="00D253F0">
        <w:rPr>
          <w:rFonts w:ascii="Times New Roman" w:eastAsia="Calibri" w:hAnsi="Times New Roman" w:cs="Times New Roman"/>
          <w:sz w:val="24"/>
          <w:szCs w:val="24"/>
        </w:rPr>
        <w:t xml:space="preserve"> konstaterer en åbenlys uhensigtsmæssighed i Advokatrådets forretnings- og sagsgange mv., som, dog uden at den har ført til en decideret mangel, er behæftet med væsentlige og forudberegnelige risici. </w:t>
      </w:r>
    </w:p>
    <w:p w14:paraId="5870C299"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Med den foreslåede bestemmelse gennemføres sammen med det foreslåede stk. 2 og 3 direktivets artikel 52, stk. 2 og 3.</w:t>
      </w:r>
    </w:p>
    <w:p w14:paraId="78E65174" w14:textId="1E95042F"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Det foreslås i </w:t>
      </w:r>
      <w:r w:rsidRPr="00D253F0">
        <w:rPr>
          <w:rFonts w:ascii="Times New Roman" w:eastAsia="Calibri" w:hAnsi="Times New Roman" w:cs="Times New Roman"/>
          <w:i/>
          <w:iCs/>
          <w:sz w:val="24"/>
          <w:szCs w:val="24"/>
        </w:rPr>
        <w:t>stk. 5,</w:t>
      </w:r>
      <w:r w:rsidRPr="00D253F0">
        <w:rPr>
          <w:rFonts w:ascii="Times New Roman" w:eastAsia="Calibri" w:hAnsi="Times New Roman" w:cs="Times New Roman"/>
          <w:sz w:val="24"/>
          <w:szCs w:val="24"/>
        </w:rPr>
        <w:t xml:space="preserve">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underretter AMLA om foranstaltninger iværksat efter stk. 2 og 3, klager i forbindelse hermed og resultatet heraf.</w:t>
      </w:r>
    </w:p>
    <w:p w14:paraId="36CFC23B" w14:textId="55CE3E50"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Den foreslåede bestemmelse vil indebære,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vil skulle underrette AMLA om foranstaltninger iværksat over for Advokatrådet efter de foreslåede stk. 2 og 3, klager i forbindelse hermed og resultatet heraf. Det forudsættes, at underretning vil skulle ske én gang årligt, hvor der har været iværksat foranstaltninger, er klaget over sådanne eller foreligger et resultat på baggrund af en klage. </w:t>
      </w:r>
    </w:p>
    <w:p w14:paraId="5B5B2B45"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Den foreslåede bestemmelse gennemfører direktivets artikel 59, stk. 1. </w:t>
      </w:r>
    </w:p>
    <w:p w14:paraId="5397EE1A"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Det følger af retsplejelovens § 143, stk. 5, at Advokatrådet årligt skal udarbejde en samlet plan for sin tilsynsvirksomhed. Advokatrådet afgiver årligt en rapport over det udførte tilsyn til justitsministeren, som offentliggøres. Det følger endvidere af retsplejelovens § 145 a, at Advokatnævnet årligt afgiver en beretning om sin virksomhed til justitsministeren og at den offentliggøres.</w:t>
      </w:r>
    </w:p>
    <w:p w14:paraId="069634D7" w14:textId="6439689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Det foreslås i </w:t>
      </w:r>
      <w:r w:rsidRPr="00D253F0">
        <w:rPr>
          <w:rFonts w:ascii="Times New Roman" w:eastAsia="Calibri" w:hAnsi="Times New Roman" w:cs="Times New Roman"/>
          <w:i/>
          <w:iCs/>
          <w:sz w:val="24"/>
          <w:szCs w:val="24"/>
        </w:rPr>
        <w:t>stk. 6,</w:t>
      </w:r>
      <w:r w:rsidRPr="00D253F0">
        <w:rPr>
          <w:rFonts w:ascii="Times New Roman" w:eastAsia="Calibri" w:hAnsi="Times New Roman" w:cs="Times New Roman"/>
          <w:sz w:val="24"/>
          <w:szCs w:val="24"/>
        </w:rPr>
        <w:t xml:space="preserve"> at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udarbejder og offentliggør en årsrapport om Advokatrådets tilsyn. </w:t>
      </w:r>
    </w:p>
    <w:p w14:paraId="4B75C3F8" w14:textId="77777777"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Årsrapporten vil for det første skulle indeholde oplysninger om antallet og arten af de overtrædelser, som Advokatrådet har konstateret, og de bøder, som er pålagt, eller administrative foranstaltninger, der er anvendt overfor advokater.</w:t>
      </w:r>
    </w:p>
    <w:p w14:paraId="7FEBCCD8" w14:textId="777A1AF5"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Rapporten vil for det andet skulle indeholde oplysninger om antallet af mistænkelige transaktioner underrettet af de forpligtede advokater, der er underlagt Advokatrådets tilsyn, til Hvidvasksekretariatet, uanset om de er underrettet direktiv i medfør af hvidvaskforordningens artikel 69 eller fremsendt af Advokatrådet til Hvidvasksekretariatet i medfør af den foreslåede</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REF _Ref232609412 \r \h </w:instrText>
      </w:r>
      <w:r w:rsidR="00CB248D">
        <w:rPr>
          <w:rFonts w:ascii="Times New Roman" w:eastAsia="Calibri" w:hAnsi="Times New Roman" w:cs="Times New Roman"/>
          <w:sz w:val="24"/>
          <w:szCs w:val="24"/>
        </w:rPr>
        <w:instrText xml:space="preserve"> \* MERGEFORMAT </w:instrText>
      </w:r>
      <w:r>
        <w:rPr>
          <w:rFonts w:ascii="Times New Roman" w:eastAsia="Calibri" w:hAnsi="Times New Roman" w:cs="Times New Roman"/>
          <w:sz w:val="24"/>
          <w:szCs w:val="24"/>
        </w:rPr>
      </w:r>
      <w:r>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111</w:t>
      </w:r>
      <w:r>
        <w:rPr>
          <w:rFonts w:ascii="Times New Roman" w:eastAsia="Calibri" w:hAnsi="Times New Roman" w:cs="Times New Roman"/>
          <w:sz w:val="24"/>
          <w:szCs w:val="24"/>
        </w:rPr>
        <w:fldChar w:fldCharType="end"/>
      </w:r>
      <w:r w:rsidRPr="00D253F0">
        <w:rPr>
          <w:rFonts w:ascii="Times New Roman" w:eastAsia="Calibri" w:hAnsi="Times New Roman" w:cs="Times New Roman"/>
          <w:sz w:val="24"/>
          <w:szCs w:val="24"/>
        </w:rPr>
        <w:t>.</w:t>
      </w:r>
    </w:p>
    <w:p w14:paraId="141E6CD0" w14:textId="096E476B"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Rapporten vil for det tredje skulle indeholde oplysninger om antallet og beskrivelsen af bøder samt administrative foranstaltninger og tvangsbøder anvendt i henhold den foreslåede</w:t>
      </w:r>
      <w:r>
        <w:rPr>
          <w:rFonts w:ascii="Times New Roman" w:eastAsia="Calibri" w:hAnsi="Times New Roman" w:cs="Times New Roman"/>
          <w:sz w:val="24"/>
          <w:szCs w:val="24"/>
        </w:rPr>
        <w:t xml:space="preserve"> bestemmelse herom</w:t>
      </w:r>
      <w:r w:rsidRPr="00D253F0">
        <w:rPr>
          <w:rFonts w:ascii="Times New Roman" w:eastAsia="Calibri" w:hAnsi="Times New Roman" w:cs="Times New Roman"/>
          <w:sz w:val="24"/>
          <w:szCs w:val="24"/>
        </w:rPr>
        <w:t xml:space="preserve"> iværksat af Advokatnævnet </w:t>
      </w:r>
      <w:r>
        <w:rPr>
          <w:rFonts w:ascii="Times New Roman" w:eastAsia="Calibri" w:hAnsi="Times New Roman" w:cs="Times New Roman"/>
          <w:sz w:val="24"/>
          <w:szCs w:val="24"/>
        </w:rPr>
        <w:t xml:space="preserve">efter indstilling fra Advokatrådet </w:t>
      </w:r>
      <w:r w:rsidRPr="00D253F0">
        <w:rPr>
          <w:rFonts w:ascii="Times New Roman" w:eastAsia="Calibri" w:hAnsi="Times New Roman" w:cs="Times New Roman"/>
          <w:sz w:val="24"/>
          <w:szCs w:val="24"/>
        </w:rPr>
        <w:t xml:space="preserve">for at sikre advokaters overholdelse af hvidvaskforordningen. </w:t>
      </w:r>
    </w:p>
    <w:p w14:paraId="6E41223B" w14:textId="66B69030" w:rsidR="00394C42" w:rsidRPr="00D253F0" w:rsidRDefault="00394C42" w:rsidP="00A802A5">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Rapporten vil endelig skulle indeholde oplysninger om antallet og beskrivelsen af påbud, kontrolbesøg og instruktioner, som </w:t>
      </w:r>
      <w:r>
        <w:rPr>
          <w:rFonts w:ascii="Times New Roman" w:eastAsia="Calibri" w:hAnsi="Times New Roman" w:cs="Times New Roman"/>
          <w:sz w:val="24"/>
          <w:szCs w:val="24"/>
        </w:rPr>
        <w:t>Hvidvaskenheden</w:t>
      </w:r>
      <w:r w:rsidRPr="00D253F0">
        <w:rPr>
          <w:rFonts w:ascii="Times New Roman" w:eastAsia="Calibri" w:hAnsi="Times New Roman" w:cs="Times New Roman"/>
          <w:sz w:val="24"/>
          <w:szCs w:val="24"/>
        </w:rPr>
        <w:t xml:space="preserve"> eventuelt har truffet og udstedt efter de foreslåede stk. 2-4.</w:t>
      </w:r>
    </w:p>
    <w:p w14:paraId="1170A527" w14:textId="77777777" w:rsidR="0028680B" w:rsidRPr="00D253F0" w:rsidRDefault="0028680B" w:rsidP="0028680B">
      <w:pPr>
        <w:spacing w:after="240" w:line="360" w:lineRule="auto"/>
        <w:rPr>
          <w:rFonts w:ascii="Times New Roman" w:eastAsia="Calibri" w:hAnsi="Times New Roman" w:cs="Times New Roman"/>
          <w:sz w:val="24"/>
          <w:szCs w:val="24"/>
        </w:rPr>
      </w:pPr>
      <w:r w:rsidRPr="00D253F0">
        <w:rPr>
          <w:rFonts w:ascii="Times New Roman" w:eastAsia="Calibri" w:hAnsi="Times New Roman" w:cs="Times New Roman"/>
          <w:sz w:val="24"/>
          <w:szCs w:val="24"/>
        </w:rPr>
        <w:t xml:space="preserve">Rapporten forudsættes i øvrigt gjort tilgængelig på </w:t>
      </w:r>
      <w:r>
        <w:rPr>
          <w:rFonts w:ascii="Times New Roman" w:eastAsia="Calibri" w:hAnsi="Times New Roman" w:cs="Times New Roman"/>
          <w:sz w:val="24"/>
          <w:szCs w:val="24"/>
        </w:rPr>
        <w:t>Advokatsamfundets</w:t>
      </w:r>
      <w:r w:rsidRPr="00D253F0">
        <w:rPr>
          <w:rFonts w:ascii="Times New Roman" w:eastAsia="Calibri" w:hAnsi="Times New Roman" w:cs="Times New Roman"/>
          <w:sz w:val="24"/>
          <w:szCs w:val="24"/>
        </w:rPr>
        <w:t xml:space="preserve"> hjemmeside og sendt til Kommissionen og AMLA. Det forudsættes, at rapporten vil kunne indarbejdes</w:t>
      </w:r>
      <w:r>
        <w:rPr>
          <w:rFonts w:ascii="Times New Roman" w:eastAsia="Calibri" w:hAnsi="Times New Roman" w:cs="Times New Roman"/>
          <w:sz w:val="24"/>
          <w:szCs w:val="24"/>
        </w:rPr>
        <w:t xml:space="preserve"> som en fast bestanddel</w:t>
      </w:r>
      <w:r w:rsidRPr="00D253F0">
        <w:rPr>
          <w:rFonts w:ascii="Times New Roman" w:eastAsia="Calibri" w:hAnsi="Times New Roman" w:cs="Times New Roman"/>
          <w:sz w:val="24"/>
          <w:szCs w:val="24"/>
        </w:rPr>
        <w:t xml:space="preserve"> i </w:t>
      </w:r>
      <w:r>
        <w:rPr>
          <w:rFonts w:ascii="Times New Roman" w:eastAsia="Calibri" w:hAnsi="Times New Roman" w:cs="Times New Roman"/>
          <w:sz w:val="24"/>
          <w:szCs w:val="24"/>
        </w:rPr>
        <w:t xml:space="preserve">enten </w:t>
      </w:r>
      <w:r w:rsidRPr="00D253F0">
        <w:rPr>
          <w:rFonts w:ascii="Times New Roman" w:eastAsia="Calibri" w:hAnsi="Times New Roman" w:cs="Times New Roman"/>
          <w:sz w:val="24"/>
          <w:szCs w:val="24"/>
        </w:rPr>
        <w:t>den årlige beretning, som Advokat</w:t>
      </w:r>
      <w:r>
        <w:rPr>
          <w:rFonts w:ascii="Times New Roman" w:eastAsia="Calibri" w:hAnsi="Times New Roman" w:cs="Times New Roman"/>
          <w:sz w:val="24"/>
          <w:szCs w:val="24"/>
        </w:rPr>
        <w:t xml:space="preserve">rådet </w:t>
      </w:r>
      <w:r w:rsidRPr="00D253F0">
        <w:rPr>
          <w:rFonts w:ascii="Times New Roman" w:eastAsia="Calibri" w:hAnsi="Times New Roman" w:cs="Times New Roman"/>
          <w:sz w:val="24"/>
          <w:szCs w:val="24"/>
        </w:rPr>
        <w:t xml:space="preserve">afgiver </w:t>
      </w:r>
      <w:r>
        <w:rPr>
          <w:rFonts w:ascii="Times New Roman" w:eastAsia="Calibri" w:hAnsi="Times New Roman" w:cs="Times New Roman"/>
          <w:sz w:val="24"/>
          <w:szCs w:val="24"/>
        </w:rPr>
        <w:t xml:space="preserve">årligt over det udførte tilsyn til </w:t>
      </w:r>
      <w:r w:rsidRPr="00D253F0">
        <w:rPr>
          <w:rFonts w:ascii="Times New Roman" w:eastAsia="Calibri" w:hAnsi="Times New Roman" w:cs="Times New Roman"/>
          <w:sz w:val="24"/>
          <w:szCs w:val="24"/>
        </w:rPr>
        <w:t>justitsministeren, jf. retsplejelovens § 14</w:t>
      </w:r>
      <w:r>
        <w:rPr>
          <w:rFonts w:ascii="Times New Roman" w:eastAsia="Calibri" w:hAnsi="Times New Roman" w:cs="Times New Roman"/>
          <w:sz w:val="24"/>
          <w:szCs w:val="24"/>
        </w:rPr>
        <w:t>3, stk. 5</w:t>
      </w:r>
      <w:r w:rsidRPr="00D253F0">
        <w:rPr>
          <w:rFonts w:ascii="Times New Roman" w:eastAsia="Calibri" w:hAnsi="Times New Roman" w:cs="Times New Roman"/>
          <w:sz w:val="24"/>
          <w:szCs w:val="24"/>
        </w:rPr>
        <w:t xml:space="preserve">. </w:t>
      </w:r>
    </w:p>
    <w:p w14:paraId="30C6DF61" w14:textId="77777777" w:rsidR="00394C42" w:rsidRPr="00D253F0" w:rsidRDefault="00394C42" w:rsidP="00A802A5">
      <w:pPr>
        <w:spacing w:after="240" w:line="360" w:lineRule="auto"/>
        <w:rPr>
          <w:rFonts w:ascii="Times New Roman" w:hAnsi="Times New Roman" w:cs="Times New Roman"/>
          <w:sz w:val="24"/>
          <w:szCs w:val="24"/>
        </w:rPr>
      </w:pPr>
      <w:r w:rsidRPr="00D253F0">
        <w:rPr>
          <w:rFonts w:ascii="Times New Roman" w:eastAsia="Calibri" w:hAnsi="Times New Roman" w:cs="Times New Roman"/>
          <w:sz w:val="24"/>
          <w:szCs w:val="24"/>
        </w:rPr>
        <w:t xml:space="preserve">Med den foreslåede bestemmelse gennemføres direktivets artikel 52, stk. 7. </w:t>
      </w:r>
    </w:p>
    <w:bookmarkEnd w:id="2184"/>
    <w:p w14:paraId="203D0966" w14:textId="77777777" w:rsidR="00A16C19" w:rsidRPr="00796736" w:rsidRDefault="00A16C19" w:rsidP="00A802A5">
      <w:pPr>
        <w:spacing w:line="360" w:lineRule="auto"/>
        <w:rPr>
          <w:rFonts w:ascii="Times New Roman" w:hAnsi="Times New Roman" w:cs="Times New Roman"/>
          <w:sz w:val="24"/>
          <w:szCs w:val="24"/>
        </w:rPr>
      </w:pPr>
    </w:p>
    <w:p w14:paraId="609E4F51" w14:textId="603F94D4" w:rsidR="00A16C19" w:rsidRPr="00796736" w:rsidRDefault="00A16C19" w:rsidP="00A802A5">
      <w:pPr>
        <w:pStyle w:val="Undertitel"/>
        <w:rPr>
          <w:iCs/>
        </w:rPr>
      </w:pPr>
      <w:bookmarkStart w:id="2185" w:name="_Toc232109434"/>
      <w:bookmarkStart w:id="2186" w:name="_Toc244879407"/>
      <w:bookmarkStart w:id="2187" w:name="_Toc244880932"/>
      <w:r w:rsidRPr="00796736">
        <w:t xml:space="preserve">Til </w:t>
      </w:r>
      <w:bookmarkEnd w:id="2185"/>
      <w:r w:rsidR="00B7511B" w:rsidRPr="00796736">
        <w:fldChar w:fldCharType="begin"/>
      </w:r>
      <w:r w:rsidR="00B7511B" w:rsidRPr="00796736">
        <w:instrText xml:space="preserve"> REF _Ref232609412 \r \h </w:instrText>
      </w:r>
      <w:r w:rsidR="00967618" w:rsidRPr="00796736">
        <w:instrText xml:space="preserve"> \* MERGEFORMAT </w:instrText>
      </w:r>
      <w:r w:rsidR="00B7511B" w:rsidRPr="00796736">
        <w:fldChar w:fldCharType="separate"/>
      </w:r>
      <w:r w:rsidR="008F29E5">
        <w:t>§ 111</w:t>
      </w:r>
      <w:bookmarkEnd w:id="2186"/>
      <w:bookmarkEnd w:id="2187"/>
      <w:r w:rsidR="00B7511B" w:rsidRPr="00796736">
        <w:fldChar w:fldCharType="end"/>
      </w:r>
    </w:p>
    <w:p w14:paraId="3455B848" w14:textId="77777777" w:rsidR="00A16C19" w:rsidRPr="00796736" w:rsidRDefault="00A16C1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hvidvasklovens § 26, stk. 1, er virksomheder og personer forpligtet til omgående at underrette Hvidvasksekretariatet, hvis virksomheden eller personen er vidende om, har mistanke om eller rimelig grund til at formode, at en transaktion, midler eller en aktivitet har eller har haft tilknytning til hvidvask eller finansiering af terrorisme. </w:t>
      </w:r>
    </w:p>
    <w:p w14:paraId="578B8489" w14:textId="77777777" w:rsidR="00A16C19" w:rsidRPr="00796736" w:rsidRDefault="00A16C1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stk. 2 kan medlemmer af Advokatsamfundet i tilfælde af mistanke underrette sekretariatet for Advokatsamfundet, der efter en vurdering af, om der er underretningspligt i henhold til stk. 1, omgående og uredigeret skal videregive underretningen til Hvidvasksekretariatet. </w:t>
      </w:r>
    </w:p>
    <w:p w14:paraId="1E686891" w14:textId="77777777" w:rsidR="00A16C19" w:rsidRPr="00796736" w:rsidRDefault="00A16C1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 27, stk. 1, er advokater under visse omstændigheder undtaget fra pligten i § 26 til at foretage underretning på baggrund af oplysninger, som disse modtager fra eller indhenter om en klient i forbindelse med advokatgerningen i relation til klienten.</w:t>
      </w:r>
    </w:p>
    <w:p w14:paraId="268052A0" w14:textId="77777777" w:rsidR="00A16C19" w:rsidRPr="00796736" w:rsidRDefault="00A16C19"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Underretningsforpligtelsen efter forordningens artikel 69, stk. 1, fastslår, at forpligtede enheder mv. skal samarbejde fuldt ud med FIU’er ved omgående for det første at foretage underretning til FIU’en på eget initiativ, hvor den forpligtede enhed får kendskab til, har mistanke om eller har rimelig grund til mistanke om, at midler eller aktiviteter, uanset det pågældende beløbs størrelse, er udbytte fra kriminelle handlinger eller forbundet med finansiering af terrorisme eller kriminelle handlinger, og ved at imødekomme FIU’ens anmodninger om yderligere oplysninger i sådanne tilfælde. For det andet skal de forpligtede enheder mv. samarbejde fuldt ud med FIU’en ved omgående efter anmodning fra FIU’en at give denne alle nødvendige oplysninger, herunder oplysninger om transaktionsfortegnelser, inden for de fastsatte frister.  </w:t>
      </w:r>
    </w:p>
    <w:p w14:paraId="23EE96B3" w14:textId="77777777" w:rsidR="00A16C19" w:rsidRPr="00796736" w:rsidRDefault="00A16C19"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følger af stk. 1, at alle mistænkelige transaktioner, herunder forsøg på transaktioner og mistanke som følge af manglende evne til at gennemføre kundekendskabsprocedurer, underrettes i overensstemmelse med proceduren ovenfor. Det fremgår endvidere, at de forpligtede enheder skal besvare anmodninger fra FIU’en om oplysninger inden for fem arbejdsdage, og at FIU’en i berettigede og hastende tilfælde kan forkorte denne frist, herunder til mindre end 24 timer. FIU’en kan også forlænge svarfristen ud over de fem arbejdsdage, hvis den finder det berettiget, og forudsat at forlængelsen ikke undergraver FIU’ens analyse. </w:t>
      </w:r>
    </w:p>
    <w:p w14:paraId="13180AF3" w14:textId="77777777" w:rsidR="00A16C19" w:rsidRPr="00796736" w:rsidRDefault="00A16C19"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følger af artikel 69, stk. 2, andet afsnit, at en mistanke i henhold til det første kriterie i stk. 1, baseres på kundernes og deres modparters karakteristika, transaktionens eller aktivitetens omfang eller art eller dennes metoder eller mønstre, forbindelsen mellem flere transaktioner eller aktiviteter, midlernes oprindelige, bestemmelsessted eller anvendelse eller eventuelle andre forhold, som den forpligtede enhed har kendskab til, herunder sammenhængen mellem transaktionen eller aktiviteten og de oplysninger, der er indhentet i henhold til forordningens kapitel III, herunder kundens risikoprofil.  </w:t>
      </w:r>
    </w:p>
    <w:p w14:paraId="1C68CF6A" w14:textId="14640835" w:rsidR="00A16C19" w:rsidRPr="00796736" w:rsidRDefault="00A16C1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Hvidvaskforordningens artikel 70 indeholder regler om advokater underretning af oplysninger, herunder mulighed for nationalt at fastsætte supplerende bestemmelser om underretning til selvregulerende organer. </w:t>
      </w:r>
    </w:p>
    <w:p w14:paraId="7BE9E5C1" w14:textId="08B2B579" w:rsidR="00A16C19" w:rsidRPr="00796736" w:rsidRDefault="00A16C19"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gældende ret henvises til pkt. </w:t>
      </w:r>
      <w:r w:rsidR="008A2D9E" w:rsidRPr="00796736">
        <w:rPr>
          <w:rFonts w:ascii="Times New Roman" w:hAnsi="Times New Roman" w:cs="Times New Roman"/>
          <w:sz w:val="24"/>
          <w:szCs w:val="24"/>
        </w:rPr>
        <w:fldChar w:fldCharType="begin"/>
      </w:r>
      <w:r w:rsidR="008A2D9E" w:rsidRPr="00796736">
        <w:rPr>
          <w:rFonts w:ascii="Times New Roman" w:hAnsi="Times New Roman" w:cs="Times New Roman"/>
          <w:sz w:val="24"/>
          <w:szCs w:val="24"/>
        </w:rPr>
        <w:instrText xml:space="preserve"> REF _Ref232970935 \n \h </w:instrText>
      </w:r>
      <w:r w:rsidR="00967618" w:rsidRPr="00796736">
        <w:rPr>
          <w:rFonts w:ascii="Times New Roman" w:hAnsi="Times New Roman" w:cs="Times New Roman"/>
          <w:sz w:val="24"/>
          <w:szCs w:val="24"/>
        </w:rPr>
        <w:instrText xml:space="preserve"> \* MERGEFORMAT </w:instrText>
      </w:r>
      <w:r w:rsidR="008A2D9E" w:rsidRPr="00796736">
        <w:rPr>
          <w:rFonts w:ascii="Times New Roman" w:hAnsi="Times New Roman" w:cs="Times New Roman"/>
          <w:sz w:val="24"/>
          <w:szCs w:val="24"/>
        </w:rPr>
      </w:r>
      <w:r w:rsidR="008A2D9E"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3.72.1</w:t>
      </w:r>
      <w:r w:rsidR="008A2D9E" w:rsidRPr="00796736">
        <w:rPr>
          <w:rFonts w:ascii="Times New Roman" w:hAnsi="Times New Roman" w:cs="Times New Roman"/>
          <w:sz w:val="24"/>
          <w:szCs w:val="24"/>
        </w:rPr>
        <w:fldChar w:fldCharType="end"/>
      </w:r>
      <w:r w:rsidR="008A2D9E"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57200B8E" w14:textId="5AFF2509" w:rsidR="00A16C19" w:rsidRPr="00796736" w:rsidRDefault="00A16C19" w:rsidP="00A802A5">
      <w:pPr>
        <w:spacing w:line="360" w:lineRule="auto"/>
        <w:rPr>
          <w:rFonts w:ascii="Times New Roman" w:eastAsia="Times New Roman" w:hAnsi="Times New Roman" w:cs="Times New Roman"/>
          <w:i/>
          <w:sz w:val="24"/>
          <w:szCs w:val="24"/>
          <w:lang w:eastAsia="da-DK"/>
        </w:rPr>
      </w:pPr>
      <w:r w:rsidRPr="00796736">
        <w:rPr>
          <w:rFonts w:ascii="Times New Roman" w:eastAsia="Calibri" w:hAnsi="Times New Roman" w:cs="Times New Roman"/>
          <w:iCs/>
          <w:sz w:val="24"/>
          <w:szCs w:val="24"/>
        </w:rPr>
        <w:t xml:space="preserve">Det foreslås i </w:t>
      </w:r>
      <w:r w:rsidR="008A2D9E" w:rsidRPr="00796736">
        <w:rPr>
          <w:rFonts w:ascii="Times New Roman" w:eastAsia="Calibri" w:hAnsi="Times New Roman" w:cs="Times New Roman"/>
          <w:i/>
          <w:iCs/>
          <w:sz w:val="24"/>
          <w:szCs w:val="24"/>
        </w:rPr>
        <w:fldChar w:fldCharType="begin"/>
      </w:r>
      <w:r w:rsidR="008A2D9E" w:rsidRPr="00796736">
        <w:rPr>
          <w:rFonts w:ascii="Times New Roman" w:eastAsia="Calibri" w:hAnsi="Times New Roman" w:cs="Times New Roman"/>
          <w:i/>
          <w:iCs/>
          <w:sz w:val="24"/>
          <w:szCs w:val="24"/>
        </w:rPr>
        <w:instrText xml:space="preserve"> REF _Ref232609412 \r \h  \* MERGEFORMAT </w:instrText>
      </w:r>
      <w:r w:rsidR="008A2D9E" w:rsidRPr="00796736">
        <w:rPr>
          <w:rFonts w:ascii="Times New Roman" w:eastAsia="Calibri" w:hAnsi="Times New Roman" w:cs="Times New Roman"/>
          <w:i/>
          <w:iCs/>
          <w:sz w:val="24"/>
          <w:szCs w:val="24"/>
        </w:rPr>
      </w:r>
      <w:r w:rsidR="008A2D9E"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111</w:t>
      </w:r>
      <w:r w:rsidR="008A2D9E" w:rsidRPr="00796736">
        <w:rPr>
          <w:rFonts w:ascii="Times New Roman" w:eastAsia="Calibri" w:hAnsi="Times New Roman" w:cs="Times New Roman"/>
          <w:i/>
          <w:iCs/>
          <w:sz w:val="24"/>
          <w:szCs w:val="24"/>
        </w:rPr>
        <w:fldChar w:fldCharType="end"/>
      </w:r>
      <w:r w:rsidRPr="00796736">
        <w:rPr>
          <w:rFonts w:ascii="Times New Roman" w:eastAsia="Calibri" w:hAnsi="Times New Roman" w:cs="Times New Roman"/>
          <w:i/>
          <w:sz w:val="24"/>
          <w:szCs w:val="24"/>
        </w:rPr>
        <w:t xml:space="preserve">, stk. 1, </w:t>
      </w:r>
      <w:r w:rsidRPr="00796736">
        <w:rPr>
          <w:rFonts w:ascii="Times New Roman" w:eastAsia="Calibri" w:hAnsi="Times New Roman" w:cs="Times New Roman"/>
          <w:iCs/>
          <w:sz w:val="24"/>
          <w:szCs w:val="24"/>
        </w:rPr>
        <w:t xml:space="preserve">at </w:t>
      </w:r>
      <w:r w:rsidRPr="00796736">
        <w:rPr>
          <w:rFonts w:ascii="Times New Roman" w:eastAsia="Times New Roman" w:hAnsi="Times New Roman" w:cs="Times New Roman"/>
          <w:iCs/>
          <w:sz w:val="24"/>
          <w:szCs w:val="24"/>
          <w:lang w:eastAsia="da-DK"/>
        </w:rPr>
        <w:t xml:space="preserve">advokater og advokatselskaber kan foretage underretninger efter hvidvaskforordningens artikel 69, stk. 1, til Advokatrådet, der, såfremt oplysninger er omfattet af underretningspligten, </w:t>
      </w:r>
      <w:r w:rsidR="00ED3B81" w:rsidRPr="00796736">
        <w:rPr>
          <w:rFonts w:ascii="Times New Roman" w:eastAsia="Times New Roman" w:hAnsi="Times New Roman" w:cs="Times New Roman"/>
          <w:iCs/>
          <w:sz w:val="24"/>
          <w:szCs w:val="24"/>
          <w:lang w:eastAsia="da-DK"/>
        </w:rPr>
        <w:t xml:space="preserve">omgående </w:t>
      </w:r>
      <w:r w:rsidRPr="00796736">
        <w:rPr>
          <w:rFonts w:ascii="Times New Roman" w:eastAsia="Times New Roman" w:hAnsi="Times New Roman" w:cs="Times New Roman"/>
          <w:iCs/>
          <w:sz w:val="24"/>
          <w:szCs w:val="24"/>
          <w:lang w:eastAsia="da-DK"/>
        </w:rPr>
        <w:t>fremsender oplysningerne til Hvidvasksekretariatet ufiltreret, jf. dog forordningens artikel 70, stk. 2.</w:t>
      </w:r>
    </w:p>
    <w:p w14:paraId="03683CE7" w14:textId="77777777" w:rsidR="00A16C19" w:rsidRPr="00796736" w:rsidRDefault="00A16C19" w:rsidP="00A802A5">
      <w:pPr>
        <w:spacing w:line="360" w:lineRule="auto"/>
        <w:rPr>
          <w:rFonts w:ascii="Times New Roman" w:eastAsia="Times New Roman" w:hAnsi="Times New Roman" w:cs="Times New Roman"/>
          <w:iCs/>
          <w:sz w:val="24"/>
          <w:szCs w:val="24"/>
          <w:lang w:eastAsia="da-DK"/>
        </w:rPr>
      </w:pPr>
    </w:p>
    <w:p w14:paraId="50F51620" w14:textId="77777777" w:rsidR="00A16C19" w:rsidRPr="00796736" w:rsidRDefault="00A16C19"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supplerer forordningens artikel 70, stk. 1, og fastslår, at medlemmer af advokatsamfundet fremsender oplysninger omfattet af hvidvaskforordningens artikel 69, stk. 1, til Advokatrådet, som fremsender oplysningerne til Hvidvasksekretariatet med det samme og ufiltreret, jf. dog forordningens artikel 70, stk. 2. </w:t>
      </w:r>
    </w:p>
    <w:p w14:paraId="655EA9E8" w14:textId="77777777" w:rsidR="00A16C19" w:rsidRPr="00796736" w:rsidRDefault="00A16C19"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indebærer, at medlemmer af Advokatsamfundet kan opfylde deres underretningsforpligtelse ved at fremsende de omfattede oplysninger til Advokatrådet. Dette udgør en videreførelse af den underretningsmodel, som følger af den gældende hvidvasklov. Det bemærkes, at der ligesom efter gældende ret ikke vil være en pligt til at underrette til Advokatrådet, før der sker underretning til Hvidvasksekretariatet. Medlemmer af Advokatsamfundet kan således vælge i stedet at foretage en underretning direkte til Hvidvasksekretariatet frem for til Advokatrådet. </w:t>
      </w:r>
    </w:p>
    <w:p w14:paraId="7F1D7D35" w14:textId="05328A8F" w:rsidR="00ED3B81" w:rsidRPr="00796736" w:rsidRDefault="00ED3B81"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bemærkes, at underretningsforpligtelsen ikke være opfyldt alene ved fremsendelse af en e-mail med en generel beskrivelse af en bekymring eller mistanke. Underretningsforpligtelsen vil heller ikke være opfyldt ved blot at fremsende en række oplysninger til Advokatrådet. Den underretning, der fremsendes til Advokatrådet med henblik på videreformidling til Hvidvasksekretariatet, vil som udgangspunkt skulle være vurderet som omfattet af underretningspligten og indeholde de oplysninger, der gør det muligt at vurdere og videreformidle underretningen. Det indebærer bl.a., at overvejelser vedrørende undtagelsen til underretningsforpligtelsen bør være beskrevet. Endelig bør eventuelle undersøgelser foretaget i anledning af mistanken beskrives, herunder relevante noteringer og dokumentation udarbejdet som led i undersøgelsesprocessen og i overensstemmelse med noteringspligten.</w:t>
      </w:r>
    </w:p>
    <w:p w14:paraId="7BA912C7" w14:textId="77777777" w:rsidR="00A16C19" w:rsidRPr="00796736" w:rsidRDefault="00A16C19"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 xml:space="preserve">stk. 2, </w:t>
      </w:r>
      <w:r w:rsidRPr="00796736">
        <w:rPr>
          <w:rFonts w:ascii="Times New Roman" w:eastAsia="Calibri" w:hAnsi="Times New Roman" w:cs="Times New Roman"/>
          <w:iCs/>
          <w:sz w:val="24"/>
          <w:szCs w:val="24"/>
        </w:rPr>
        <w:t xml:space="preserve">at justitsministeren </w:t>
      </w:r>
      <w:r w:rsidRPr="00796736">
        <w:rPr>
          <w:rFonts w:ascii="Times New Roman" w:eastAsia="Times New Roman" w:hAnsi="Times New Roman" w:cs="Times New Roman"/>
          <w:iCs/>
          <w:sz w:val="24"/>
          <w:szCs w:val="24"/>
          <w:lang w:eastAsia="da-DK"/>
        </w:rPr>
        <w:t>kan fastsætte regler om underretning efter stk. 1 i forhold til oplysninger vedrørende visse typer af transaktioner, uanset at sådanne oplysninger er modtaget fra eller indhentet om en kunde for at vurdere den pågældendes retsstilling eller for at forsvare eller repræsentere den pågældende under eller i forbindelse med en retssag og uanset om oplysningerne er indhentet før, under eller efter sådanne retssager, når underretning af sådanne oplysninger er berettiget af hensyn til en højere risiko for hvidvask af penge, de underliggende lovovertrædelser eller finansiering af terrorisme forbundet med disse typer af transaktioner. Ministeren kan i den forbindelse fastsætte regler om, at advokater og advokatselskaber underlægges yderligere underretningsforpligtelser.</w:t>
      </w:r>
    </w:p>
    <w:p w14:paraId="204252E8" w14:textId="77777777" w:rsidR="00A16C19" w:rsidRPr="00796736" w:rsidRDefault="00A16C19"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Bestemmelsen supplerer hvidvaskforordningens artikel 70, stk. 3, og indebærer, at justitsministeren har mulighed for udover de situationer, der er omhandlet i hvidvaskforordningens artikel 70, stk. 2, andet afsnit, hvis det er berettiget på grund af de højere risici for hvidvask af penge, de underliggende lovovertrædelser eller finansiering af terrorisme i forbindelse med visse typer transaktioner, at beslutte, at undtagelsen omhandlet i stk. 2, første afsnit ikke finder anvendelse på disse typer transaktioner. Ministeren vil i den forbindelse, hvor det er relevant, kunne fastsætte regler, hvorefter advokater og advokatselskaber pålægges yderligere underretningsforpligtelser.</w:t>
      </w:r>
    </w:p>
    <w:p w14:paraId="230EF721" w14:textId="697BA0D9" w:rsidR="00ED3B81" w:rsidRPr="00796736" w:rsidRDefault="00A16C19"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 xml:space="preserve">Det er en betingelse for at udnytte bemyndigelsen, at sådanne regler må anses for berettiget af hensyn til den højere risiko for hvidvask af penge, de underliggende lovovertrædelser eller finansiering af terrorisme forbundet med visse typer af transaktioner. Vurderingen af, om betingelsen er opfyldt, vil kunne ske ud fra en risikobaseret tilgang, hvor der eksempelvis vil kunne lægges vægt på den nationale risikovurdering, erfaringer fra transaktionstyper, hvor der er en skærpet kundekendskabsprocedure, ligesom der vil kunne lægges vægt på, om transaktionen angår et højrisikoland. </w:t>
      </w:r>
      <w:r w:rsidR="00ED3B81" w:rsidRPr="00796736">
        <w:rPr>
          <w:rFonts w:ascii="Times New Roman" w:hAnsi="Times New Roman" w:cs="Times New Roman"/>
          <w:sz w:val="24"/>
          <w:szCs w:val="24"/>
        </w:rPr>
        <w:t xml:space="preserve">Idet adgangen vil fortrolig juridisk rådgivning og beskyttelsen af kommunikationen mellem advokat og klient udgør grundlæggende retssikkerhedsgarantier, forudsættes det, at sådanne regler kun vil kunne udstedes, hvis Advokatrådet eller </w:t>
      </w:r>
      <w:r w:rsidR="0088282A">
        <w:rPr>
          <w:rFonts w:ascii="Times New Roman" w:hAnsi="Times New Roman" w:cs="Times New Roman"/>
          <w:sz w:val="24"/>
          <w:szCs w:val="24"/>
        </w:rPr>
        <w:t>Hvidvaskenheden</w:t>
      </w:r>
      <w:r w:rsidR="00ED3B81" w:rsidRPr="00796736">
        <w:rPr>
          <w:rFonts w:ascii="Times New Roman" w:hAnsi="Times New Roman" w:cs="Times New Roman"/>
          <w:sz w:val="24"/>
          <w:szCs w:val="24"/>
        </w:rPr>
        <w:t xml:space="preserve"> overfor justitsministeren klart tilkendegiver, at der på baggrund af deres tilsynsvirksomhed mv. er et klart behov for fastsættelsen af sådanne yderligere regler og at reglerne efter deres indhold er nødvendige og proportionale i forhold til det indgreb i advokat-klient fortroligheden, som de indebærer.</w:t>
      </w:r>
    </w:p>
    <w:p w14:paraId="2B735670" w14:textId="6D07831F" w:rsidR="00A16C19" w:rsidRPr="00796736" w:rsidRDefault="00ED3B8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Justitsministeren vil således skulle foretage en konkret proportionalitetsvurdering af, om det indgreb i advokat-klient fortroligheden, som reglerne indebærer overfor hensynet til at bekæmpe hvidvask og terrorfinansiering. Ministeren vil i den forbindelse skulle overveje, om de nuværende undtagelser i forordningens artikel 70, stk. 2, ikke er tilstrækkelige, ligesom yderligere indskrænkninger i beskyttelsen af advokat-klient fortroligheden vil skulle være i overensstemmelse med Chartrets artikel 7 og 47 og Den Europæiske Menneskerettighedskonventions (EMRK) artikel 6 og 8, herunder de i Den Europæiske Menneskerettighedsdomstols praksis fastsatte undtagelser til beskyttelsen af advokat-klient fortroligheden.   </w:t>
      </w:r>
    </w:p>
    <w:p w14:paraId="5D0D4FAE" w14:textId="77777777" w:rsidR="00A06D45" w:rsidRPr="00796736" w:rsidRDefault="00A06D45" w:rsidP="00A802A5">
      <w:pPr>
        <w:spacing w:line="360" w:lineRule="auto"/>
        <w:rPr>
          <w:rFonts w:ascii="Times New Roman" w:hAnsi="Times New Roman" w:cs="Times New Roman"/>
          <w:sz w:val="24"/>
          <w:szCs w:val="24"/>
        </w:rPr>
      </w:pPr>
    </w:p>
    <w:p w14:paraId="137B9738" w14:textId="79421761" w:rsidR="00CD2C50" w:rsidRPr="00796736" w:rsidRDefault="00A06D45" w:rsidP="00A802A5">
      <w:pPr>
        <w:pStyle w:val="Undertitel"/>
      </w:pPr>
      <w:bookmarkStart w:id="2188" w:name="_Toc232109435"/>
      <w:bookmarkStart w:id="2189" w:name="_Toc244879408"/>
      <w:bookmarkStart w:id="2190" w:name="_Toc244880933"/>
      <w:r w:rsidRPr="00796736">
        <w:t xml:space="preserve">Til </w:t>
      </w:r>
      <w:r w:rsidR="00B7511B" w:rsidRPr="00796736">
        <w:fldChar w:fldCharType="begin"/>
      </w:r>
      <w:r w:rsidR="00B7511B" w:rsidRPr="00796736">
        <w:instrText xml:space="preserve"> REF _Ref232609450 \r \h </w:instrText>
      </w:r>
      <w:r w:rsidR="00967618" w:rsidRPr="00796736">
        <w:instrText xml:space="preserve"> \* MERGEFORMAT </w:instrText>
      </w:r>
      <w:r w:rsidR="00B7511B" w:rsidRPr="00796736">
        <w:fldChar w:fldCharType="separate"/>
      </w:r>
      <w:r w:rsidR="008F29E5">
        <w:t>§ 112</w:t>
      </w:r>
      <w:bookmarkEnd w:id="2189"/>
      <w:bookmarkEnd w:id="2190"/>
      <w:r w:rsidR="00B7511B" w:rsidRPr="00796736">
        <w:fldChar w:fldCharType="end"/>
      </w:r>
      <w:r w:rsidR="003B0F9D" w:rsidRPr="00796736">
        <w:t xml:space="preserve"> </w:t>
      </w:r>
      <w:bookmarkEnd w:id="2188"/>
    </w:p>
    <w:p w14:paraId="6565B342" w14:textId="58FDF2D5" w:rsidR="00987630"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Hvidvasklovens </w:t>
      </w:r>
      <w:r w:rsidR="00987630" w:rsidRPr="00796736">
        <w:rPr>
          <w:rFonts w:ascii="Times New Roman" w:eastAsia="Times New Roman" w:hAnsi="Times New Roman" w:cs="Times New Roman"/>
          <w:sz w:val="24"/>
          <w:szCs w:val="24"/>
        </w:rPr>
        <w:t>§ 65 fastlægger omfanget af Spillemyndighedens tilsynskompetence.</w:t>
      </w:r>
    </w:p>
    <w:p w14:paraId="099AC9FD" w14:textId="77777777" w:rsidR="00987630" w:rsidRPr="00796736" w:rsidRDefault="00987630" w:rsidP="00A802A5">
      <w:pPr>
        <w:spacing w:line="360" w:lineRule="auto"/>
        <w:rPr>
          <w:rFonts w:ascii="Times New Roman" w:eastAsia="Times New Roman" w:hAnsi="Times New Roman" w:cs="Times New Roman"/>
          <w:sz w:val="24"/>
          <w:szCs w:val="24"/>
        </w:rPr>
      </w:pPr>
    </w:p>
    <w:p w14:paraId="1243AEAD" w14:textId="77777777" w:rsidR="00987630" w:rsidRPr="00796736" w:rsidRDefault="0098763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Efter bestemmelsen påser Spillemyndigheden, at udbydere af spil omfattet af § 1, stk. 1, nr. 19, og filialer, distributører og agenter her i landet af sådanne udenlandske virksomheder og personer overholder loven, de regler, der er udstedt i medfør heraf, og love og forordninger indeholdende regler om finansielle sanktioner mod lande, personer, grupper, juridiske enheder eller organer. Dette gælder dog ikke overholdelse af § 36.</w:t>
      </w:r>
    </w:p>
    <w:p w14:paraId="4990EC6D" w14:textId="77777777" w:rsidR="00987630" w:rsidRPr="00796736" w:rsidRDefault="00987630" w:rsidP="00A802A5">
      <w:pPr>
        <w:spacing w:line="360" w:lineRule="auto"/>
        <w:rPr>
          <w:rFonts w:ascii="Times New Roman" w:eastAsia="Times New Roman" w:hAnsi="Times New Roman" w:cs="Times New Roman"/>
          <w:sz w:val="24"/>
          <w:szCs w:val="24"/>
        </w:rPr>
      </w:pPr>
    </w:p>
    <w:p w14:paraId="02DA0C0D"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at videreføre dele af bestemmelsen med visse ændringer. Bestemmelsen foreslås ændret indholdsmæssigt således, at kredsen af omfattede tilpasses som en konsekvens af, at kredsen af forpligtede enheder nu følger af hvidvaskforordningen. Derudover vil Spillemyndigheden skulle påse overholdelsen af hvidvaskforordningen, som en konsekvens af, at de forpligtede enheders forpligtelser nu fremgår heraf. </w:t>
      </w:r>
    </w:p>
    <w:p w14:paraId="20D920CA" w14:textId="77777777" w:rsidR="00987630" w:rsidRPr="00796736" w:rsidRDefault="00987630" w:rsidP="00A802A5">
      <w:pPr>
        <w:spacing w:line="360" w:lineRule="auto"/>
        <w:rPr>
          <w:rFonts w:ascii="Times New Roman" w:eastAsia="Times New Roman" w:hAnsi="Times New Roman" w:cs="Times New Roman"/>
          <w:sz w:val="24"/>
          <w:szCs w:val="24"/>
        </w:rPr>
      </w:pPr>
    </w:p>
    <w:p w14:paraId="548855BF" w14:textId="045A4782" w:rsidR="007B6F66" w:rsidRPr="00796736" w:rsidRDefault="0098763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w:t>
      </w:r>
      <w:r w:rsidR="007B6F66" w:rsidRPr="00796736">
        <w:rPr>
          <w:rFonts w:ascii="Times New Roman" w:eastAsia="Times New Roman" w:hAnsi="Times New Roman" w:cs="Times New Roman"/>
          <w:sz w:val="24"/>
          <w:szCs w:val="24"/>
        </w:rPr>
        <w:t>t</w:t>
      </w:r>
      <w:r w:rsidRPr="00796736">
        <w:rPr>
          <w:rFonts w:ascii="Times New Roman" w:eastAsia="Times New Roman" w:hAnsi="Times New Roman" w:cs="Times New Roman"/>
          <w:sz w:val="24"/>
          <w:szCs w:val="24"/>
        </w:rPr>
        <w:t xml:space="preserve"> foresl</w:t>
      </w:r>
      <w:r w:rsidR="007B6F66" w:rsidRPr="00796736">
        <w:rPr>
          <w:rFonts w:ascii="Times New Roman" w:eastAsia="Times New Roman" w:hAnsi="Times New Roman" w:cs="Times New Roman"/>
          <w:sz w:val="24"/>
          <w:szCs w:val="24"/>
        </w:rPr>
        <w:t>ås i</w:t>
      </w:r>
      <w:r w:rsidRPr="00796736">
        <w:rPr>
          <w:rFonts w:ascii="Times New Roman" w:eastAsia="Times New Roman" w:hAnsi="Times New Roman" w:cs="Times New Roman"/>
          <w:sz w:val="24"/>
          <w:szCs w:val="24"/>
        </w:rPr>
        <w:t xml:space="preserve"> </w:t>
      </w:r>
      <w:r w:rsidR="00F724B5" w:rsidRPr="00796736">
        <w:rPr>
          <w:rFonts w:ascii="Times New Roman" w:eastAsia="Calibri" w:hAnsi="Times New Roman" w:cs="Times New Roman"/>
          <w:sz w:val="24"/>
          <w:szCs w:val="24"/>
        </w:rPr>
        <w:fldChar w:fldCharType="begin"/>
      </w:r>
      <w:r w:rsidR="00F724B5" w:rsidRPr="00796736">
        <w:rPr>
          <w:rFonts w:ascii="Times New Roman" w:eastAsia="Calibri" w:hAnsi="Times New Roman" w:cs="Times New Roman"/>
          <w:sz w:val="24"/>
          <w:szCs w:val="24"/>
        </w:rPr>
        <w:instrText xml:space="preserve"> REF _Ref232609450 \r \h </w:instrText>
      </w:r>
      <w:r w:rsidR="00967618" w:rsidRPr="00796736">
        <w:rPr>
          <w:rFonts w:ascii="Times New Roman" w:eastAsia="Calibri" w:hAnsi="Times New Roman" w:cs="Times New Roman"/>
          <w:sz w:val="24"/>
          <w:szCs w:val="24"/>
        </w:rPr>
        <w:instrText xml:space="preserve"> \* MERGEFORMAT </w:instrText>
      </w:r>
      <w:r w:rsidR="00F724B5" w:rsidRPr="00796736">
        <w:rPr>
          <w:rFonts w:ascii="Times New Roman" w:eastAsia="Calibri" w:hAnsi="Times New Roman" w:cs="Times New Roman"/>
          <w:sz w:val="24"/>
          <w:szCs w:val="24"/>
        </w:rPr>
      </w:r>
      <w:r w:rsidR="00F724B5"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112</w:t>
      </w:r>
      <w:r w:rsidR="00F724B5" w:rsidRPr="00796736">
        <w:rPr>
          <w:rFonts w:ascii="Times New Roman" w:eastAsia="Calibri" w:hAnsi="Times New Roman" w:cs="Times New Roman"/>
          <w:sz w:val="24"/>
          <w:szCs w:val="24"/>
        </w:rPr>
        <w:fldChar w:fldCharType="end"/>
      </w:r>
      <w:r w:rsidR="007B6F66" w:rsidRPr="00796736">
        <w:rPr>
          <w:rFonts w:ascii="Times New Roman" w:eastAsia="Calibri" w:hAnsi="Times New Roman" w:cs="Times New Roman"/>
          <w:sz w:val="24"/>
          <w:szCs w:val="24"/>
        </w:rPr>
        <w:t xml:space="preserve">, at </w:t>
      </w:r>
      <w:r w:rsidRPr="00796736">
        <w:rPr>
          <w:rFonts w:ascii="Times New Roman" w:eastAsia="Times New Roman" w:hAnsi="Times New Roman" w:cs="Times New Roman"/>
          <w:sz w:val="24"/>
          <w:szCs w:val="24"/>
        </w:rPr>
        <w:t>Spillemyndigheden</w:t>
      </w:r>
      <w:r w:rsidR="007B6F66" w:rsidRPr="00796736">
        <w:rPr>
          <w:rFonts w:ascii="Times New Roman" w:eastAsia="Times New Roman" w:hAnsi="Times New Roman" w:cs="Times New Roman"/>
          <w:sz w:val="24"/>
          <w:szCs w:val="24"/>
        </w:rPr>
        <w:t xml:space="preserve"> påser, at </w:t>
      </w:r>
    </w:p>
    <w:p w14:paraId="3EC8A6F6" w14:textId="7E3600F7" w:rsidR="005A4AFF"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D55072" w:rsidRPr="00796736">
        <w:rPr>
          <w:rFonts w:ascii="Times New Roman" w:eastAsia="Times New Roman" w:hAnsi="Times New Roman" w:cs="Times New Roman"/>
          <w:sz w:val="24"/>
          <w:szCs w:val="24"/>
        </w:rPr>
        <w:t xml:space="preserve"> </w:t>
      </w:r>
      <w:r w:rsidR="00922AA1" w:rsidRPr="00796736">
        <w:rPr>
          <w:rFonts w:ascii="Times New Roman" w:eastAsia="Times New Roman" w:hAnsi="Times New Roman" w:cs="Times New Roman"/>
          <w:sz w:val="24"/>
          <w:szCs w:val="24"/>
        </w:rPr>
        <w:t>udbydere af spil, som er omfattet af § 1, stk. 1, og som nævnt i § 2, nr. 30, der er underlagt krav om tilladelse i Danmark for at kunne drive virksomhed i henhold til den frie udveksling af tjenesteydelser, overholder hvidvaskforordningen, denne lov, og de regler der er udstedt i medfør heraf, og forordninger indeholdende regler om finansielle sanktioner mod lande, personer, grupper, juridiske enheder eller organer</w:t>
      </w:r>
      <w:r w:rsidRPr="00796736">
        <w:rPr>
          <w:rFonts w:ascii="Times New Roman" w:eastAsia="Times New Roman" w:hAnsi="Times New Roman" w:cs="Times New Roman"/>
          <w:sz w:val="24"/>
          <w:szCs w:val="24"/>
        </w:rPr>
        <w:t>, og</w:t>
      </w:r>
      <w:r w:rsidR="00922AA1"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color w:val="000000" w:themeColor="text1"/>
          <w:sz w:val="24"/>
          <w:szCs w:val="24"/>
        </w:rPr>
        <w:t xml:space="preserve">2) </w:t>
      </w:r>
      <w:r w:rsidR="00922AA1" w:rsidRPr="00796736">
        <w:rPr>
          <w:rFonts w:ascii="Times New Roman" w:eastAsia="Times New Roman" w:hAnsi="Times New Roman" w:cs="Times New Roman"/>
          <w:sz w:val="24"/>
          <w:szCs w:val="24"/>
        </w:rPr>
        <w:t xml:space="preserve">ikkefinansielle holdingselskaber med blandet aktivitet, som er omfattet af § 1, stk. 1, og som nævnt i § 2, nr. 32, litra c, </w:t>
      </w:r>
      <w:r w:rsidR="00922AA1" w:rsidRPr="00796736">
        <w:rPr>
          <w:rFonts w:ascii="Times New Roman" w:eastAsia="Times New Roman" w:hAnsi="Times New Roman" w:cs="Times New Roman"/>
          <w:iCs/>
          <w:sz w:val="24"/>
          <w:szCs w:val="24"/>
        </w:rPr>
        <w:t>der har et datterselskab omfattet af nr. 1</w:t>
      </w:r>
      <w:r w:rsidR="00922AA1" w:rsidRPr="00796736">
        <w:rPr>
          <w:rFonts w:ascii="Times New Roman" w:eastAsia="Times New Roman" w:hAnsi="Times New Roman" w:cs="Times New Roman"/>
          <w:sz w:val="24"/>
          <w:szCs w:val="24"/>
        </w:rPr>
        <w:t>, overholder hvidvaskforordningen, denne lov, og de regler der er udstedt i medfør heraf, og forordninger indeholdende regler om finansielle sanktioner mod lande, personer, grupper, juridiske enheder eller organer.</w:t>
      </w:r>
    </w:p>
    <w:p w14:paraId="1E577442" w14:textId="77777777" w:rsidR="007B6F66" w:rsidRPr="00796736" w:rsidRDefault="007B6F66" w:rsidP="00A802A5">
      <w:pPr>
        <w:spacing w:line="360" w:lineRule="auto"/>
        <w:rPr>
          <w:rFonts w:ascii="Times New Roman" w:eastAsia="Times New Roman" w:hAnsi="Times New Roman" w:cs="Times New Roman"/>
          <w:sz w:val="24"/>
          <w:szCs w:val="24"/>
        </w:rPr>
      </w:pPr>
    </w:p>
    <w:p w14:paraId="1C13B7EF"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Bestemmelsen fastsætter Spillemyndighedens tilsynsforpligtelse. Forslaget implementerer 6. hvidvaskdirektivs artikel 37, stk. 1, 6 og 7, artikel 40, stk. 1, 1. afsnit og stk. 4, og artikel 44, 1. pkt. </w:t>
      </w:r>
    </w:p>
    <w:p w14:paraId="4005411B" w14:textId="77777777" w:rsidR="007B6F66" w:rsidRPr="00796736" w:rsidRDefault="007B6F66" w:rsidP="00A802A5">
      <w:pPr>
        <w:spacing w:line="360" w:lineRule="auto"/>
        <w:rPr>
          <w:rFonts w:ascii="Times New Roman" w:eastAsia="Times New Roman" w:hAnsi="Times New Roman" w:cs="Times New Roman"/>
          <w:sz w:val="24"/>
          <w:szCs w:val="24"/>
        </w:rPr>
      </w:pPr>
    </w:p>
    <w:p w14:paraId="60A0EC71" w14:textId="77777777" w:rsidR="00CD2C50" w:rsidRPr="00796736" w:rsidRDefault="00CD2C5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artikel 4, stk. 2, i 6. hvidvaskdirektiv, at medlemsstaterne sikrer, at alle udbydere af spiltjenester reguleres. </w:t>
      </w:r>
    </w:p>
    <w:p w14:paraId="3BCE2FB2" w14:textId="77777777" w:rsidR="00CD2C50" w:rsidRPr="00796736" w:rsidRDefault="00CD2C50" w:rsidP="00A802A5">
      <w:pPr>
        <w:spacing w:line="360" w:lineRule="auto"/>
        <w:rPr>
          <w:rFonts w:ascii="Times New Roman" w:eastAsia="Times New Roman" w:hAnsi="Times New Roman" w:cs="Times New Roman"/>
          <w:sz w:val="24"/>
          <w:szCs w:val="24"/>
        </w:rPr>
      </w:pPr>
    </w:p>
    <w:p w14:paraId="63796930" w14:textId="77777777" w:rsidR="00987630" w:rsidRPr="00796736" w:rsidRDefault="0098763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blandt andet af præambelbetragtning nr. 95 i 6. hvidvaskdirektiv, at ”(p)å områder, der ikke er harmoniseret på EU-plan, kan medlemsstaterne vedtage nationale foranstaltninger, selv hvis disse foranstaltninger udgør begrænsninger af det indre markeds friheder. Dette er f.eks. tilfældet med foranstaltninger, der er truffet for at regulere leveringen af spiltjenester, navnlig når disse aktiviteter udføres online uden nogen infrastruktur i medlemsstaten. For at være forenelige med EU-retten skal sådanne foranstaltninger dog opfylde en almen interesse, være ikkediskriminerende og egnede til at nå dette mål, og de må ikke gå ud over, hvad der er strengt nødvendigt for at nå målet. Hvis medlemsstaterne underlægger leveringen af tjenester, der er reguleret i henhold til Unionens ramme for bekæmpelse af hvidvask af penge og finansiering af terrorisme, specifikke godkendelseskrav såsom opnåelse af en godkendelse, bør de også være ansvarlige for tilsynet med disse tjenester.” </w:t>
      </w:r>
    </w:p>
    <w:p w14:paraId="43C54B1A" w14:textId="77777777" w:rsidR="00987630" w:rsidRPr="00796736" w:rsidRDefault="00987630" w:rsidP="00A802A5">
      <w:pPr>
        <w:spacing w:line="360" w:lineRule="auto"/>
        <w:rPr>
          <w:rFonts w:ascii="Times New Roman" w:eastAsia="Times New Roman" w:hAnsi="Times New Roman" w:cs="Times New Roman"/>
          <w:sz w:val="24"/>
          <w:szCs w:val="24"/>
        </w:rPr>
      </w:pPr>
    </w:p>
    <w:p w14:paraId="5B4F0639" w14:textId="7777777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Alle udbydere af spil, som har tilladelse til at udbyde spil her i landet, vil således være underlagt Spillemyndighedens tilsyn, uanset om den forpligtede enhed har hjemsted i Danmark, som skal forstås i overensstemmelse med definitionen af »hjemland« i artikel 2, nr. 5, i 6. hvidvaskdirektiv, eller om den forpligtede enhed driver virksomhed i henhold til den frie udveksling af tjenesteydelser. Dette er tilfældet, fordi en udbyder af spil som det altovervejende udgangspunkt skal have en tilladelse for at kunne udbyde spil i Danmark, og leveringen af denne tjenesteydelse er således underlagt et specifikt godkendelseskrav, som det er beskrevet ovenfor i gengivelsen af præambelbetragtning nr. 95 i 6. hvidvaskdirektiv.</w:t>
      </w:r>
    </w:p>
    <w:p w14:paraId="640A8EC4" w14:textId="77777777" w:rsidR="00987630" w:rsidRPr="00796736" w:rsidRDefault="00987630" w:rsidP="00A802A5">
      <w:pPr>
        <w:spacing w:line="360" w:lineRule="auto"/>
        <w:rPr>
          <w:rFonts w:ascii="Times New Roman" w:eastAsia="Times New Roman" w:hAnsi="Times New Roman" w:cs="Times New Roman"/>
          <w:sz w:val="24"/>
          <w:szCs w:val="24"/>
        </w:rPr>
      </w:pPr>
    </w:p>
    <w:p w14:paraId="73E5B224" w14:textId="67B216A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vil medføre, at den gældende retsstilling i dag i store træk videreføres, dog således at der sker en udvidelse i forhold til, hvilke virksomheder og personer Spillemyndigheden skal føre tilsyn med. Spillemyndigheden </w:t>
      </w:r>
      <w:r w:rsidR="007B6F66" w:rsidRPr="00796736">
        <w:rPr>
          <w:rFonts w:ascii="Times New Roman" w:eastAsia="Times New Roman" w:hAnsi="Times New Roman" w:cs="Times New Roman"/>
          <w:sz w:val="24"/>
          <w:szCs w:val="24"/>
        </w:rPr>
        <w:t xml:space="preserve">vil som </w:t>
      </w:r>
      <w:r w:rsidRPr="00796736">
        <w:rPr>
          <w:rFonts w:ascii="Times New Roman" w:eastAsia="Times New Roman" w:hAnsi="Times New Roman" w:cs="Times New Roman"/>
          <w:sz w:val="24"/>
          <w:szCs w:val="24"/>
        </w:rPr>
        <w:t>noget nyt også</w:t>
      </w:r>
      <w:r w:rsidR="007B6F66" w:rsidRPr="00796736">
        <w:rPr>
          <w:rFonts w:ascii="Times New Roman" w:eastAsia="Times New Roman" w:hAnsi="Times New Roman" w:cs="Times New Roman"/>
          <w:sz w:val="24"/>
          <w:szCs w:val="24"/>
        </w:rPr>
        <w:t xml:space="preserve"> skulle</w:t>
      </w:r>
      <w:r w:rsidRPr="00796736">
        <w:rPr>
          <w:rFonts w:ascii="Times New Roman" w:eastAsia="Times New Roman" w:hAnsi="Times New Roman" w:cs="Times New Roman"/>
          <w:sz w:val="24"/>
          <w:szCs w:val="24"/>
        </w:rPr>
        <w:t xml:space="preserve"> føre tilsyn med ikkefinansielle holdingselskaber med blandet aktivitet, hvis mindst ét datterselskab er en udbyder af spil, som nævnt i § 2, nr. 30, der har tilladelse til at udbyde spil i Danmark.  Ændringen sker som følge af 6. hvidvaskdirektiv.</w:t>
      </w:r>
    </w:p>
    <w:p w14:paraId="4DF0065D" w14:textId="77777777" w:rsidR="00922AA1" w:rsidRPr="00796736" w:rsidRDefault="00922AA1" w:rsidP="00A802A5">
      <w:pPr>
        <w:spacing w:line="360" w:lineRule="auto"/>
        <w:rPr>
          <w:rFonts w:ascii="Times New Roman" w:eastAsia="Times New Roman" w:hAnsi="Times New Roman" w:cs="Times New Roman"/>
          <w:sz w:val="24"/>
          <w:szCs w:val="24"/>
        </w:rPr>
      </w:pPr>
    </w:p>
    <w:p w14:paraId="0C30FE39" w14:textId="7777777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Ændringen vil derudover medføre, at Spillemyndigheden også skal føre tilsyn med overholdelse af hvidvaskforordningen. Som en konsekvens af, at de pligter, som forpligtede enheder skal overholde, fremadrettet ikke længere vil fremgå af hvidvaskloven, men i stedet af hvidvaskforordningen, tilføjes hvidvaskforordningen til det retsgrundlag, som Spillemyndigheden skal påse overholdelse af.</w:t>
      </w:r>
    </w:p>
    <w:p w14:paraId="2B664169" w14:textId="77777777" w:rsidR="00D55072" w:rsidRPr="00796736" w:rsidRDefault="00D55072" w:rsidP="00A802A5">
      <w:pPr>
        <w:spacing w:line="360" w:lineRule="auto"/>
        <w:rPr>
          <w:rFonts w:ascii="Times New Roman" w:eastAsia="Times New Roman" w:hAnsi="Times New Roman" w:cs="Times New Roman"/>
          <w:sz w:val="24"/>
          <w:szCs w:val="24"/>
        </w:rPr>
      </w:pPr>
    </w:p>
    <w:p w14:paraId="403E3EA5" w14:textId="55E81A27" w:rsidR="00D55072" w:rsidRPr="00796736" w:rsidRDefault="00D5507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Hvidvaskforordningen gælder direkte i EU's medlemsstater. Forordningen omfatter en udvidelse af de eksisterende regler i 4. og 5. hvidvaskdirektiv såvel som nye regler for de forpligtede enheder. Forpligtede enheder kan være både virksomheder og enkeltpersoner, der erhvervsmæssigt driver den pågældende form for virksomhed. Hvidvaskforordningen medfører eksempelvis ændringer i kravene vedrørende identifikation af kunder og reelle ejere og interne skriftlige politikker, procedurer og kontroller til at sikre, at de overholder finansielle sanktioner mod lande, virksomheder og personer.</w:t>
      </w:r>
    </w:p>
    <w:p w14:paraId="4E957B6A" w14:textId="77777777" w:rsidR="00922AA1" w:rsidRPr="00796736" w:rsidRDefault="00922AA1" w:rsidP="00A802A5">
      <w:pPr>
        <w:spacing w:line="360" w:lineRule="auto"/>
        <w:rPr>
          <w:rFonts w:ascii="Times New Roman" w:eastAsia="Times New Roman" w:hAnsi="Times New Roman" w:cs="Times New Roman"/>
          <w:sz w:val="24"/>
          <w:szCs w:val="24"/>
        </w:rPr>
      </w:pPr>
    </w:p>
    <w:p w14:paraId="57AC7FE0" w14:textId="5C222FFF" w:rsidR="00922AA1" w:rsidRPr="00796736" w:rsidRDefault="00922AA1"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rPr>
        <w:t>Spillemyndigheden</w:t>
      </w:r>
      <w:r w:rsidR="007B6F66"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som led i sit tilsyn også</w:t>
      </w:r>
      <w:r w:rsidR="007B6F66" w:rsidRPr="00796736">
        <w:rPr>
          <w:rFonts w:ascii="Times New Roman" w:eastAsia="Times New Roman" w:hAnsi="Times New Roman" w:cs="Times New Roman"/>
          <w:sz w:val="24"/>
          <w:szCs w:val="24"/>
        </w:rPr>
        <w:t xml:space="preserve"> skulle</w:t>
      </w:r>
      <w:r w:rsidRPr="00796736">
        <w:rPr>
          <w:rFonts w:ascii="Times New Roman" w:eastAsia="Times New Roman" w:hAnsi="Times New Roman" w:cs="Times New Roman"/>
          <w:sz w:val="24"/>
          <w:szCs w:val="24"/>
        </w:rPr>
        <w:t xml:space="preserve"> påse overholdelsen af forordninger indeholdende regler om finansielle sanktioner mod lande, personer, grupper, juridiske enheder eller organer. </w:t>
      </w:r>
    </w:p>
    <w:p w14:paraId="0FB2A392" w14:textId="77777777" w:rsidR="00922AA1" w:rsidRPr="00796736" w:rsidRDefault="00922AA1" w:rsidP="00A802A5">
      <w:pPr>
        <w:spacing w:line="360" w:lineRule="auto"/>
        <w:rPr>
          <w:rFonts w:ascii="Times New Roman" w:eastAsia="Times New Roman" w:hAnsi="Times New Roman" w:cs="Times New Roman"/>
          <w:sz w:val="24"/>
          <w:szCs w:val="24"/>
        </w:rPr>
      </w:pPr>
    </w:p>
    <w:p w14:paraId="5339E0CB" w14:textId="45A04F95"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Spillemyndighedens tilsyn med virksomheders og personers overholdelse af forordninger, der indeholder regler om finansielle sanktioner mod lande, personer, grupper, juridiske enheder eller organer, vil bl.a. kunne udøves ved, at Spillemyndigheden kræver de oplysninger af virksomheden eller personen, der er nødvendige for Spillemyndighedens virksomhed, i henhold til de</w:t>
      </w:r>
      <w:r w:rsidR="007B6F66" w:rsidRPr="00796736">
        <w:rPr>
          <w:rFonts w:ascii="Times New Roman" w:eastAsia="Times New Roman" w:hAnsi="Times New Roman" w:cs="Times New Roman"/>
          <w:sz w:val="24"/>
          <w:szCs w:val="24"/>
        </w:rPr>
        <w:t>n</w:t>
      </w:r>
      <w:r w:rsidRPr="00796736">
        <w:rPr>
          <w:rFonts w:ascii="Times New Roman" w:eastAsia="Times New Roman" w:hAnsi="Times New Roman" w:cs="Times New Roman"/>
          <w:sz w:val="24"/>
          <w:szCs w:val="24"/>
        </w:rPr>
        <w:t xml:space="preserve"> foreslåede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_Ref236144676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116</w:t>
      </w:r>
      <w:r w:rsidRPr="00796736">
        <w:rPr>
          <w:rFonts w:ascii="Times New Roman" w:eastAsia="Times New Roman" w:hAnsi="Times New Roman" w:cs="Times New Roman"/>
          <w:sz w:val="24"/>
          <w:szCs w:val="24"/>
        </w:rPr>
        <w:fldChar w:fldCharType="end"/>
      </w:r>
      <w:r w:rsidR="007B6F66"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 </w:t>
      </w:r>
    </w:p>
    <w:p w14:paraId="6E71B3E5" w14:textId="77777777" w:rsidR="00922AA1" w:rsidRPr="00796736" w:rsidRDefault="00922AA1" w:rsidP="00A802A5">
      <w:pPr>
        <w:spacing w:line="360" w:lineRule="auto"/>
        <w:rPr>
          <w:rFonts w:ascii="Times New Roman" w:eastAsia="Times New Roman" w:hAnsi="Times New Roman" w:cs="Times New Roman"/>
          <w:sz w:val="24"/>
          <w:szCs w:val="24"/>
        </w:rPr>
      </w:pPr>
    </w:p>
    <w:p w14:paraId="1B0F4477" w14:textId="77777777" w:rsidR="00922AA1" w:rsidRPr="00796736" w:rsidRDefault="00922AA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at de forpligtede enheder under Spillemyndighedens tilsyn vil være de fysiske og juridiske personer, som er omfattet af hvidvaskforordningen i medfør af forordningens artikel 3, nr. 3, litra g og m. </w:t>
      </w:r>
    </w:p>
    <w:p w14:paraId="33C24ED7" w14:textId="7404993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Spillemyndighedens tilsyn </w:t>
      </w:r>
      <w:r w:rsidR="007B6F66"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tilrettelægges på grundlag af en risikobaseret tilgang.</w:t>
      </w:r>
    </w:p>
    <w:p w14:paraId="40575E21" w14:textId="77777777" w:rsidR="00922AA1" w:rsidRPr="00796736" w:rsidRDefault="00922AA1" w:rsidP="00A802A5">
      <w:pPr>
        <w:spacing w:line="360" w:lineRule="auto"/>
        <w:rPr>
          <w:rFonts w:ascii="Times New Roman" w:eastAsia="Times New Roman" w:hAnsi="Times New Roman" w:cs="Times New Roman"/>
          <w:sz w:val="24"/>
          <w:szCs w:val="24"/>
        </w:rPr>
      </w:pPr>
    </w:p>
    <w:p w14:paraId="2B6BB969"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6. hvidvaskdirektivs præambelbetragtning nr. 84, at ”(m)edlemsstaterne bør sikre et effektivt, uvildigt og risikobaseret tilsyn med alle forpligtede enheder, fortrinsvis foretaget af offentlige myndigheder gennem et særskilt og uafhængigt nationalt tilsynsorgan. De nationale tilsynsorganer bør kunne udføre en bred vifte af opgaver for at kunne føre effektivt tilsyn med alle forpligtede enheder.” </w:t>
      </w:r>
    </w:p>
    <w:p w14:paraId="5EB4CE34" w14:textId="77777777" w:rsidR="007B6F66" w:rsidRPr="00796736" w:rsidRDefault="007B6F66" w:rsidP="00A802A5">
      <w:pPr>
        <w:spacing w:line="360" w:lineRule="auto"/>
        <w:rPr>
          <w:rFonts w:ascii="Times New Roman" w:eastAsia="Times New Roman" w:hAnsi="Times New Roman" w:cs="Times New Roman"/>
          <w:sz w:val="24"/>
          <w:szCs w:val="24"/>
        </w:rPr>
      </w:pPr>
    </w:p>
    <w:p w14:paraId="595791A8"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 skal anvende en risikobaseret tilgang til arbejdet, som vil kunne sætte myndigheden i stand til effektivt at koncentrere sine ressourcer der, hvor risiciene er størst samtidig med, at det sikres, at der ikke er unødig fokus på områder, der udgør en begrænset risiko. Den risikobaserede tilgang vil ligeledes sikre, at myndigheden får et indgående kendskab til og forståelse af de risici, som er til stede på de områder, som Spillemyndigheden fører tilsyn med. Spillemyndigheden vil på baggrund af den risikobaserede tilgang fastsætte hyppigheden og intensiteten af Spillemyndighedens tilsyn med de enkelte virksomheder og personer.</w:t>
      </w:r>
    </w:p>
    <w:p w14:paraId="59E13AF9" w14:textId="77777777" w:rsidR="00922AA1" w:rsidRPr="00796736" w:rsidRDefault="00922AA1" w:rsidP="00A802A5">
      <w:pPr>
        <w:spacing w:line="360" w:lineRule="auto"/>
        <w:rPr>
          <w:rFonts w:ascii="Times New Roman" w:eastAsia="Times New Roman" w:hAnsi="Times New Roman" w:cs="Times New Roman"/>
          <w:sz w:val="24"/>
          <w:szCs w:val="24"/>
        </w:rPr>
      </w:pPr>
    </w:p>
    <w:p w14:paraId="6589C59D" w14:textId="252623C9" w:rsidR="00922AA1"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At tilrettelæggelsen af det risikobaserede tilsyn sker på grundlag af en risikobaseret tilgang, vil bl.a. indebære, at Spillemyndigheden i relation til udbydere af spil skal vurdere de forskellige spilområders iboende risiko og residuale risiko. Derudover vil Spillemyndigheden skulle foretage en vurdering og klassificering af en iboende risikoprofil og residualrisikoprofil for den enkelte udbyder af spil. Risikovurderingerne vil skulle inddrage resultaterne af Europa-Kommissionens supranationale risikovurdering</w:t>
      </w:r>
      <w:r w:rsidR="00922AA1" w:rsidRPr="00796736">
        <w:rPr>
          <w:rFonts w:ascii="Times New Roman" w:eastAsia="Times New Roman" w:hAnsi="Times New Roman" w:cs="Times New Roman"/>
          <w:sz w:val="24"/>
          <w:szCs w:val="24"/>
        </w:rPr>
        <w:t xml:space="preserve">, jf. artikel 7 i 6. hvidvaskdirektiv, samt den nationale risikovurdering, jf. </w:t>
      </w:r>
      <w:r w:rsidR="00922AA1" w:rsidRPr="00796736">
        <w:rPr>
          <w:rFonts w:ascii="Times New Roman" w:eastAsia="Times New Roman" w:hAnsi="Times New Roman" w:cs="Times New Roman"/>
          <w:sz w:val="24"/>
          <w:szCs w:val="24"/>
        </w:rPr>
        <w:fldChar w:fldCharType="begin"/>
      </w:r>
      <w:r w:rsidR="00922AA1" w:rsidRPr="00796736">
        <w:rPr>
          <w:rFonts w:ascii="Times New Roman" w:eastAsia="Times New Roman" w:hAnsi="Times New Roman" w:cs="Times New Roman"/>
          <w:sz w:val="24"/>
          <w:szCs w:val="24"/>
        </w:rPr>
        <w:instrText xml:space="preserve"> REF _Ref232596210 \r \h </w:instrText>
      </w:r>
      <w:r w:rsidR="00F375BF" w:rsidRPr="00796736">
        <w:rPr>
          <w:rFonts w:ascii="Times New Roman" w:eastAsia="Times New Roman" w:hAnsi="Times New Roman" w:cs="Times New Roman"/>
          <w:sz w:val="24"/>
          <w:szCs w:val="24"/>
        </w:rPr>
        <w:instrText xml:space="preserve"> \* MERGEFORMAT </w:instrText>
      </w:r>
      <w:r w:rsidR="00922AA1" w:rsidRPr="00796736">
        <w:rPr>
          <w:rFonts w:ascii="Times New Roman" w:eastAsia="Times New Roman" w:hAnsi="Times New Roman" w:cs="Times New Roman"/>
          <w:sz w:val="24"/>
          <w:szCs w:val="24"/>
        </w:rPr>
      </w:r>
      <w:r w:rsidR="00922AA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31</w:t>
      </w:r>
      <w:r w:rsidR="00922AA1" w:rsidRPr="00796736">
        <w:rPr>
          <w:rFonts w:ascii="Times New Roman" w:eastAsia="Times New Roman" w:hAnsi="Times New Roman" w:cs="Times New Roman"/>
          <w:sz w:val="24"/>
          <w:szCs w:val="24"/>
        </w:rPr>
        <w:fldChar w:fldCharType="end"/>
      </w:r>
      <w:r w:rsidR="00922AA1" w:rsidRPr="00796736">
        <w:rPr>
          <w:rFonts w:ascii="Times New Roman" w:eastAsia="Times New Roman" w:hAnsi="Times New Roman" w:cs="Times New Roman"/>
          <w:sz w:val="24"/>
          <w:szCs w:val="24"/>
        </w:rPr>
        <w:t xml:space="preserve"> i de</w:t>
      </w:r>
      <w:r w:rsidRPr="00796736">
        <w:rPr>
          <w:rFonts w:ascii="Times New Roman" w:eastAsia="Times New Roman" w:hAnsi="Times New Roman" w:cs="Times New Roman"/>
          <w:sz w:val="24"/>
          <w:szCs w:val="24"/>
        </w:rPr>
        <w:t>n foreslåede</w:t>
      </w:r>
      <w:r w:rsidR="00922AA1" w:rsidRPr="00796736">
        <w:rPr>
          <w:rFonts w:ascii="Times New Roman" w:eastAsia="Times New Roman" w:hAnsi="Times New Roman" w:cs="Times New Roman"/>
          <w:sz w:val="24"/>
          <w:szCs w:val="24"/>
        </w:rPr>
        <w:t xml:space="preserve"> lov og vurdere alle relevante oplysninger om bestemte indenlandske og udenlandske risici, der er forbundet med de forpligtede enheders forretningsmodel, herunder de forpligtede enheders kunder, produkter og tjenesteydelser.</w:t>
      </w:r>
    </w:p>
    <w:p w14:paraId="322D090C" w14:textId="77777777" w:rsidR="00922AA1" w:rsidRPr="00796736" w:rsidRDefault="00922AA1" w:rsidP="00A802A5">
      <w:pPr>
        <w:spacing w:line="360" w:lineRule="auto"/>
        <w:rPr>
          <w:rFonts w:ascii="Times New Roman" w:eastAsia="Times New Roman" w:hAnsi="Times New Roman" w:cs="Times New Roman"/>
          <w:sz w:val="24"/>
          <w:szCs w:val="24"/>
        </w:rPr>
      </w:pPr>
    </w:p>
    <w:p w14:paraId="2BC329A0"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Tilrettelæggelsen af det risikobaserede tilsyn på grundlag af en risikobaseret tilgang vil også indebære, at Spillemyndigheden skal igangsætte og gennemføre tilsyn på baggrund af konkrete interne og eksterne oplysninger om de forpligtede enheder.</w:t>
      </w:r>
    </w:p>
    <w:p w14:paraId="094ABC45" w14:textId="77777777" w:rsidR="00922AA1" w:rsidRPr="00796736" w:rsidRDefault="00922AA1" w:rsidP="00A802A5">
      <w:pPr>
        <w:spacing w:line="360" w:lineRule="auto"/>
        <w:rPr>
          <w:rFonts w:ascii="Times New Roman" w:eastAsia="Times New Roman" w:hAnsi="Times New Roman" w:cs="Times New Roman"/>
          <w:sz w:val="24"/>
          <w:szCs w:val="24"/>
        </w:rPr>
      </w:pPr>
    </w:p>
    <w:p w14:paraId="174EAF86" w14:textId="3862C0BB" w:rsidR="00987630"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 xml:space="preserve">At Spillemyndigheden skal føre et risikobaseret tilsyn, betyder blandt andet, at Spillemyndigheden i forbindelse med gennemførelse af tilsyn skal tage hensyn til det skøn, som den enkelte virksomhed eller person er overladt efter hvidvaskforordningen eller denne lov. </w:t>
      </w:r>
      <w:r w:rsidRPr="00796736">
        <w:rPr>
          <w:rFonts w:ascii="Times New Roman" w:eastAsia="Times New Roman" w:hAnsi="Times New Roman" w:cs="Times New Roman"/>
          <w:sz w:val="24"/>
          <w:szCs w:val="24"/>
        </w:rPr>
        <w:t xml:space="preserve">De forpligtede virksomheder og personer skal således overlades et skøn i relation til at identificere og håndtere deres risici i relation til hvidvask eller finansiering af terrorisme, så de har mulighed for at prioritere ressourcer til områder med øget risiko. De er f.eks. overladt et skøn til selv at identificere og vurdere relevante risikofaktorer, der er forbundet med deres forretningsmodel, samt til at implementere passende mitigerende foranstaltninger, som begrænser den vurderede risiko. Spillemyndigheden skal foretage en passende gennemgang af de risikovurderinger, der ligger til grund for denne skønsbeføjelse og af tilstrækkeligheden af virksomhedens eller personens interne politikker, procedurer og kontroller.  </w:t>
      </w:r>
    </w:p>
    <w:p w14:paraId="764C8D46" w14:textId="77777777" w:rsidR="00922AA1" w:rsidRPr="00796736" w:rsidRDefault="00922AA1" w:rsidP="00A802A5">
      <w:pPr>
        <w:spacing w:line="360" w:lineRule="auto"/>
        <w:rPr>
          <w:rFonts w:ascii="Times New Roman" w:eastAsia="Times New Roman" w:hAnsi="Times New Roman" w:cs="Times New Roman"/>
          <w:sz w:val="24"/>
          <w:szCs w:val="24"/>
        </w:rPr>
      </w:pPr>
    </w:p>
    <w:p w14:paraId="6D84210E" w14:textId="77777777" w:rsidR="00D55072" w:rsidRPr="00796736" w:rsidRDefault="00D5507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skal ved vurderingen og klassificeringen af den forpligtede enheds iboende risikoprofil og residualrisikoprofil, samt den hyppighed, hvormed denne risikoprofil bør revideres inddrage de reguleringsmæssige tekniske standarder, der udarbejdes af AMLA og vedtages af Kommissionen. </w:t>
      </w:r>
    </w:p>
    <w:p w14:paraId="485B2291" w14:textId="77777777" w:rsidR="00987630" w:rsidRPr="00796736" w:rsidRDefault="00987630" w:rsidP="00A802A5">
      <w:pPr>
        <w:spacing w:line="360" w:lineRule="auto"/>
        <w:rPr>
          <w:rFonts w:ascii="Times New Roman" w:eastAsia="Times New Roman" w:hAnsi="Times New Roman" w:cs="Times New Roman"/>
          <w:sz w:val="24"/>
          <w:szCs w:val="24"/>
        </w:rPr>
      </w:pPr>
    </w:p>
    <w:p w14:paraId="6B49E61F" w14:textId="77777777" w:rsidR="00987630" w:rsidRPr="00796736" w:rsidRDefault="0098763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AMLA udsteder senest den 10. juli 2028 retningslinjer til tilsynsmyndigheder om karakteristikaene ved en risikobaseret tilgang til tilsyn, de foranstaltninger, der skal indføres hos tilsynsmyndighederne for at sikre fyldestgørende og effektivt tilsyn, herunder for at uddanne deres personale, og de skridt, der skal tages, når der føres tilsyn på et risikobaseret grundlag.</w:t>
      </w:r>
    </w:p>
    <w:p w14:paraId="778FCFD5" w14:textId="77777777" w:rsidR="00987630" w:rsidRPr="00796736" w:rsidRDefault="00987630" w:rsidP="00A802A5">
      <w:pPr>
        <w:spacing w:line="360" w:lineRule="auto"/>
        <w:rPr>
          <w:rFonts w:ascii="Times New Roman" w:eastAsia="Times New Roman" w:hAnsi="Times New Roman" w:cs="Times New Roman"/>
          <w:sz w:val="24"/>
          <w:szCs w:val="24"/>
        </w:rPr>
      </w:pPr>
    </w:p>
    <w:p w14:paraId="6325045B" w14:textId="77777777" w:rsidR="00987630" w:rsidRPr="00796736" w:rsidRDefault="0098763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 kan som led i sit tilsynsvirke yde generel vejledning om reglerne og tage kontakt til relevante brancheforeninger. </w:t>
      </w:r>
    </w:p>
    <w:p w14:paraId="1E24F924" w14:textId="77777777" w:rsidR="00987630" w:rsidRPr="00796736" w:rsidRDefault="00987630" w:rsidP="00A802A5">
      <w:pPr>
        <w:spacing w:line="360" w:lineRule="auto"/>
        <w:rPr>
          <w:rFonts w:ascii="Times New Roman" w:eastAsia="Times New Roman" w:hAnsi="Times New Roman" w:cs="Times New Roman"/>
          <w:sz w:val="24"/>
          <w:szCs w:val="24"/>
        </w:rPr>
      </w:pPr>
    </w:p>
    <w:p w14:paraId="38A3D3BA" w14:textId="77777777" w:rsidR="005A4AFF" w:rsidRPr="00796736" w:rsidRDefault="005A4AFF"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foreslås i </w:t>
      </w:r>
      <w:r w:rsidRPr="00796736">
        <w:rPr>
          <w:rFonts w:ascii="Times New Roman" w:eastAsia="Times New Roman" w:hAnsi="Times New Roman" w:cs="Times New Roman"/>
          <w:i/>
          <w:sz w:val="24"/>
          <w:szCs w:val="24"/>
        </w:rPr>
        <w:t>stk. 2</w:t>
      </w:r>
      <w:r w:rsidRPr="00796736">
        <w:rPr>
          <w:rFonts w:ascii="Times New Roman" w:eastAsia="Times New Roman" w:hAnsi="Times New Roman" w:cs="Times New Roman"/>
          <w:iCs/>
          <w:sz w:val="24"/>
          <w:szCs w:val="24"/>
        </w:rPr>
        <w:t>, at</w:t>
      </w:r>
      <w:r w:rsidRPr="00796736">
        <w:rPr>
          <w:rFonts w:ascii="Times New Roman" w:eastAsia="Times New Roman" w:hAnsi="Times New Roman" w:cs="Times New Roman"/>
          <w:sz w:val="24"/>
          <w:szCs w:val="24"/>
        </w:rPr>
        <w:t xml:space="preserve"> Spillemyndigheden skal samarbejde med de kompetente tilsynsmyndigheder i et andet EU- eller EØS-land.</w:t>
      </w:r>
    </w:p>
    <w:p w14:paraId="000F718B" w14:textId="77777777" w:rsidR="00987630" w:rsidRPr="00796736" w:rsidRDefault="00987630" w:rsidP="00A802A5">
      <w:pPr>
        <w:spacing w:line="360" w:lineRule="auto"/>
        <w:rPr>
          <w:rFonts w:ascii="Times New Roman" w:eastAsia="Times New Roman" w:hAnsi="Times New Roman" w:cs="Times New Roman"/>
          <w:color w:val="000000" w:themeColor="text1"/>
          <w:sz w:val="24"/>
          <w:szCs w:val="24"/>
        </w:rPr>
      </w:pPr>
    </w:p>
    <w:p w14:paraId="515B76EF" w14:textId="485CF3DF" w:rsidR="007B6F66" w:rsidRPr="00796736" w:rsidRDefault="00F724B5"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_Ref232609450 \r \h </w:instrText>
      </w:r>
      <w:r w:rsidR="00967618"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112</w:t>
      </w:r>
      <w:r w:rsidRPr="00796736">
        <w:rPr>
          <w:rFonts w:ascii="Times New Roman" w:eastAsia="Calibri" w:hAnsi="Times New Roman" w:cs="Times New Roman"/>
          <w:sz w:val="24"/>
          <w:szCs w:val="24"/>
        </w:rPr>
        <w:fldChar w:fldCharType="end"/>
      </w:r>
      <w:r w:rsidR="00987630" w:rsidRPr="00796736">
        <w:rPr>
          <w:rFonts w:ascii="Times New Roman" w:eastAsia="Times New Roman" w:hAnsi="Times New Roman" w:cs="Times New Roman"/>
          <w:color w:val="000000" w:themeColor="text1"/>
          <w:sz w:val="24"/>
          <w:szCs w:val="24"/>
        </w:rPr>
        <w:t xml:space="preserve">, </w:t>
      </w:r>
      <w:r w:rsidR="005A4AFF" w:rsidRPr="00796736">
        <w:rPr>
          <w:rFonts w:ascii="Times New Roman" w:eastAsia="Times New Roman" w:hAnsi="Times New Roman" w:cs="Times New Roman"/>
          <w:color w:val="000000" w:themeColor="text1"/>
          <w:sz w:val="24"/>
          <w:szCs w:val="24"/>
        </w:rPr>
        <w:t xml:space="preserve">stk. 2, implementerer artikel 44 i 6. hvidvaskdirektiv. </w:t>
      </w:r>
    </w:p>
    <w:p w14:paraId="43540FCB" w14:textId="77777777" w:rsidR="007B6F66" w:rsidRPr="00796736" w:rsidRDefault="007B6F66" w:rsidP="00A802A5">
      <w:pPr>
        <w:spacing w:line="360" w:lineRule="auto"/>
        <w:rPr>
          <w:rFonts w:ascii="Times New Roman" w:eastAsia="Times New Roman" w:hAnsi="Times New Roman" w:cs="Times New Roman"/>
          <w:color w:val="000000" w:themeColor="text1"/>
          <w:sz w:val="24"/>
          <w:szCs w:val="24"/>
        </w:rPr>
      </w:pPr>
    </w:p>
    <w:p w14:paraId="24E12097" w14:textId="38919028" w:rsidR="005A4AFF" w:rsidRPr="00796736" w:rsidRDefault="005A4AFF"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rPr>
        <w:t>Det foreslåede stk. 2 fastsætter, at</w:t>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rPr>
        <w:t>Spillemyndigheden skal samarbejde med de kompetente tilsynsmyndigheder i et andet EU- eller EØS-land</w:t>
      </w:r>
      <w:r w:rsidRPr="00796736">
        <w:rPr>
          <w:rFonts w:ascii="Times New Roman" w:hAnsi="Times New Roman" w:cs="Times New Roman"/>
          <w:sz w:val="24"/>
          <w:szCs w:val="24"/>
        </w:rPr>
        <w:t>.</w:t>
      </w:r>
    </w:p>
    <w:p w14:paraId="6BABFA8C" w14:textId="77777777" w:rsidR="005A4AFF" w:rsidRPr="00796736" w:rsidRDefault="005A4AFF" w:rsidP="00A802A5">
      <w:pPr>
        <w:spacing w:line="360" w:lineRule="auto"/>
        <w:rPr>
          <w:rFonts w:ascii="Times New Roman" w:hAnsi="Times New Roman" w:cs="Times New Roman"/>
          <w:sz w:val="24"/>
          <w:szCs w:val="24"/>
        </w:rPr>
      </w:pPr>
    </w:p>
    <w:p w14:paraId="3FB7C7D1" w14:textId="6BDD0FA5" w:rsidR="005A4AFF" w:rsidRPr="00796736" w:rsidRDefault="005A4AF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w:t>
      </w:r>
      <w:r w:rsidR="007B6F66" w:rsidRPr="00796736">
        <w:rPr>
          <w:rFonts w:ascii="Times New Roman" w:hAnsi="Times New Roman" w:cs="Times New Roman"/>
          <w:sz w:val="24"/>
          <w:szCs w:val="24"/>
        </w:rPr>
        <w:t xml:space="preserve"> vil</w:t>
      </w:r>
      <w:r w:rsidRPr="00796736">
        <w:rPr>
          <w:rFonts w:ascii="Times New Roman" w:hAnsi="Times New Roman" w:cs="Times New Roman"/>
          <w:sz w:val="24"/>
          <w:szCs w:val="24"/>
        </w:rPr>
        <w:t xml:space="preserve"> indebære, at Spillemyndigheden i videst muligt omfang vil skulle samarbejde med tilsynsorganerne i de andre </w:t>
      </w:r>
      <w:r w:rsidR="007B6F66" w:rsidRPr="00796736">
        <w:rPr>
          <w:rFonts w:ascii="Times New Roman" w:hAnsi="Times New Roman" w:cs="Times New Roman"/>
          <w:sz w:val="24"/>
          <w:szCs w:val="24"/>
        </w:rPr>
        <w:t>EU- og EØS-lande.</w:t>
      </w:r>
    </w:p>
    <w:p w14:paraId="0879799E" w14:textId="77777777" w:rsidR="005A4AFF" w:rsidRPr="00796736" w:rsidRDefault="005A4AFF" w:rsidP="00A802A5">
      <w:pPr>
        <w:spacing w:line="360" w:lineRule="auto"/>
        <w:rPr>
          <w:rFonts w:ascii="Times New Roman" w:hAnsi="Times New Roman" w:cs="Times New Roman"/>
          <w:sz w:val="24"/>
          <w:szCs w:val="24"/>
        </w:rPr>
      </w:pPr>
    </w:p>
    <w:p w14:paraId="373B49F6" w14:textId="77777777" w:rsidR="005A4AFF" w:rsidRPr="00796736" w:rsidRDefault="005A4AF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blandt andet af præambelbetragtning nr. 90 i 6. hvidvaskdirektiv, at det er afgørende med samarbejde mellem nationale tilsynsorganer for at sikre en fælles tilsynsstrategi i hele Unionen. For at være effektivt skal samarbejdet udnyttes i videst muligt omfang og uafhængigt af tilsynsorganernes respektive art eller status. </w:t>
      </w:r>
    </w:p>
    <w:p w14:paraId="31F6E622" w14:textId="532CE064" w:rsidR="00987630" w:rsidRPr="00796736" w:rsidRDefault="005A4AF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Dette samarbejde kan omfatte deling af oplysninger, som er nødvendige for tilsynsorganers tilsynsopgaver. En sådan deling af oplysninger kan ske enten på anmodning eller på eget initiativ. Deling af oplysninger kan indebære, at </w:t>
      </w:r>
      <w:r w:rsidR="00922AA1" w:rsidRPr="00796736">
        <w:rPr>
          <w:rFonts w:ascii="Times New Roman" w:hAnsi="Times New Roman" w:cs="Times New Roman"/>
          <w:sz w:val="24"/>
          <w:szCs w:val="24"/>
        </w:rPr>
        <w:t>Spillemyndigheden kan underrette et tilsynsorgan om en negativ udvikling, der kan have betydning for tilsynsorganets tilsyn med en forpligtet enhed, f.eks. en udbyder af spil, herunder orientere om Spillemyndighedens tilsynsreaktioner over for den pågældende virksomhed eller person.</w:t>
      </w:r>
    </w:p>
    <w:p w14:paraId="5C46D545" w14:textId="18532667" w:rsidR="00CD2C50" w:rsidRPr="00796736" w:rsidRDefault="00987630"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 xml:space="preserve">For nærmere om Spillemyndighedens tilsynskompetence henvises til pkt. </w:t>
      </w:r>
      <w:r w:rsidR="00F724B5" w:rsidRPr="00796736">
        <w:rPr>
          <w:rFonts w:ascii="Times New Roman" w:hAnsi="Times New Roman" w:cs="Times New Roman"/>
          <w:sz w:val="24"/>
          <w:szCs w:val="24"/>
        </w:rPr>
        <w:fldChar w:fldCharType="begin"/>
      </w:r>
      <w:r w:rsidR="00F724B5" w:rsidRPr="00796736">
        <w:rPr>
          <w:rFonts w:ascii="Times New Roman" w:hAnsi="Times New Roman" w:cs="Times New Roman"/>
          <w:sz w:val="24"/>
          <w:szCs w:val="24"/>
        </w:rPr>
        <w:instrText xml:space="preserve"> REF _Ref232971235 \n \h </w:instrText>
      </w:r>
      <w:r w:rsidR="00967618" w:rsidRPr="00796736">
        <w:rPr>
          <w:rFonts w:ascii="Times New Roman" w:hAnsi="Times New Roman" w:cs="Times New Roman"/>
          <w:sz w:val="24"/>
          <w:szCs w:val="24"/>
        </w:rPr>
        <w:instrText xml:space="preserve"> \* MERGEFORMAT </w:instrText>
      </w:r>
      <w:r w:rsidR="00F724B5" w:rsidRPr="00796736">
        <w:rPr>
          <w:rFonts w:ascii="Times New Roman" w:hAnsi="Times New Roman" w:cs="Times New Roman"/>
          <w:sz w:val="24"/>
          <w:szCs w:val="24"/>
        </w:rPr>
      </w:r>
      <w:r w:rsidR="00F724B5"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3.73</w:t>
      </w:r>
      <w:r w:rsidR="00F724B5" w:rsidRPr="00796736">
        <w:rPr>
          <w:rFonts w:ascii="Times New Roman" w:hAnsi="Times New Roman" w:cs="Times New Roman"/>
          <w:sz w:val="24"/>
          <w:szCs w:val="24"/>
        </w:rPr>
        <w:fldChar w:fldCharType="end"/>
      </w:r>
      <w:r w:rsidR="00F724B5"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354A117D" w14:textId="77777777" w:rsidR="00CD2C50" w:rsidRPr="00796736" w:rsidRDefault="00CD2C50" w:rsidP="00A802A5">
      <w:pPr>
        <w:spacing w:line="360" w:lineRule="auto"/>
        <w:rPr>
          <w:rFonts w:ascii="Times New Roman" w:eastAsia="Times New Roman" w:hAnsi="Times New Roman" w:cs="Times New Roman"/>
          <w:sz w:val="24"/>
          <w:szCs w:val="24"/>
        </w:rPr>
      </w:pPr>
    </w:p>
    <w:p w14:paraId="50B30E8D" w14:textId="77777777" w:rsidR="009C6431" w:rsidRPr="00796736" w:rsidRDefault="009C6431" w:rsidP="00A802A5">
      <w:pPr>
        <w:spacing w:line="360" w:lineRule="auto"/>
        <w:rPr>
          <w:rFonts w:ascii="Times New Roman" w:eastAsia="Times New Roman" w:hAnsi="Times New Roman" w:cs="Times New Roman"/>
          <w:sz w:val="24"/>
          <w:szCs w:val="24"/>
        </w:rPr>
      </w:pPr>
    </w:p>
    <w:p w14:paraId="4E07B1A6" w14:textId="78B04884" w:rsidR="005A4AFF" w:rsidRPr="00796736" w:rsidRDefault="00CD2C50" w:rsidP="00A802A5">
      <w:pPr>
        <w:pStyle w:val="Undertitel"/>
      </w:pPr>
      <w:bookmarkStart w:id="2191" w:name="_Toc244879409"/>
      <w:bookmarkStart w:id="2192" w:name="_Toc244880934"/>
      <w:r w:rsidRPr="00796736">
        <w:t xml:space="preserve">Til </w:t>
      </w:r>
      <w:r w:rsidR="005A4AFF" w:rsidRPr="00796736">
        <w:fldChar w:fldCharType="begin"/>
      </w:r>
      <w:r w:rsidR="005A4AFF" w:rsidRPr="00796736">
        <w:instrText xml:space="preserve"> REF _Ref236334077 \r \h </w:instrText>
      </w:r>
      <w:r w:rsidR="00A47042" w:rsidRPr="00796736">
        <w:instrText xml:space="preserve"> \* MERGEFORMAT </w:instrText>
      </w:r>
      <w:r w:rsidR="005A4AFF" w:rsidRPr="00796736">
        <w:fldChar w:fldCharType="separate"/>
      </w:r>
      <w:r w:rsidR="008F29E5">
        <w:t>§ 113</w:t>
      </w:r>
      <w:bookmarkEnd w:id="2191"/>
      <w:bookmarkEnd w:id="2192"/>
      <w:r w:rsidR="005A4AFF" w:rsidRPr="00796736">
        <w:fldChar w:fldCharType="end"/>
      </w:r>
      <w:r w:rsidR="005A4AFF" w:rsidRPr="00796736">
        <w:t xml:space="preserve"> </w:t>
      </w:r>
    </w:p>
    <w:p w14:paraId="56646EEB" w14:textId="1A1A61C3" w:rsidR="005A4AFF" w:rsidRPr="00796736" w:rsidRDefault="005A4AFF"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Efter hvidvaskloven</w:t>
      </w:r>
      <w:r w:rsidR="007B6F66" w:rsidRPr="00796736">
        <w:rPr>
          <w:rFonts w:ascii="Times New Roman" w:eastAsia="Times New Roman" w:hAnsi="Times New Roman" w:cs="Times New Roman"/>
          <w:color w:val="000000" w:themeColor="text1"/>
          <w:sz w:val="24"/>
          <w:szCs w:val="24"/>
        </w:rPr>
        <w:t>s § 67</w:t>
      </w:r>
      <w:r w:rsidRPr="00796736">
        <w:rPr>
          <w:rFonts w:ascii="Times New Roman" w:eastAsia="Times New Roman" w:hAnsi="Times New Roman" w:cs="Times New Roman"/>
          <w:color w:val="000000" w:themeColor="text1"/>
          <w:sz w:val="24"/>
          <w:szCs w:val="24"/>
        </w:rPr>
        <w:t>, kan skatte</w:t>
      </w:r>
      <w:r w:rsidR="007B6F66" w:rsidRPr="00796736">
        <w:rPr>
          <w:rFonts w:ascii="Times New Roman" w:eastAsia="Times New Roman" w:hAnsi="Times New Roman" w:cs="Times New Roman"/>
          <w:color w:val="000000" w:themeColor="text1"/>
          <w:sz w:val="24"/>
          <w:szCs w:val="24"/>
        </w:rPr>
        <w:t>- og vækst</w:t>
      </w:r>
      <w:r w:rsidRPr="00796736">
        <w:rPr>
          <w:rFonts w:ascii="Times New Roman" w:eastAsia="Times New Roman" w:hAnsi="Times New Roman" w:cs="Times New Roman"/>
          <w:color w:val="000000" w:themeColor="text1"/>
          <w:sz w:val="24"/>
          <w:szCs w:val="24"/>
        </w:rPr>
        <w:t>ministeren fastsætte nærmere regler om anmeldelse og offentliggørelse for udbydere af spil, herunder hvilke oplysninger, der skal anmeldes og hvilke forhold der kan indsendes og registreres i Spillemyndighedens it-system.</w:t>
      </w:r>
    </w:p>
    <w:p w14:paraId="66001D29" w14:textId="77777777" w:rsidR="005A4AFF" w:rsidRPr="00796736" w:rsidRDefault="005A4AFF" w:rsidP="00A802A5">
      <w:pPr>
        <w:spacing w:line="360" w:lineRule="auto"/>
        <w:rPr>
          <w:rFonts w:ascii="Times New Roman" w:eastAsia="Times New Roman" w:hAnsi="Times New Roman" w:cs="Times New Roman"/>
          <w:color w:val="000000" w:themeColor="text1"/>
          <w:sz w:val="24"/>
          <w:szCs w:val="24"/>
        </w:rPr>
      </w:pPr>
    </w:p>
    <w:p w14:paraId="2D6BAE66" w14:textId="2695B7E5" w:rsidR="005A4AFF" w:rsidRPr="00796736" w:rsidRDefault="005A4AFF"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Den foreslåede bestemmelse</w:t>
      </w:r>
      <w:r w:rsidR="007B6F66" w:rsidRPr="00796736">
        <w:rPr>
          <w:rFonts w:ascii="Times New Roman" w:eastAsia="Times New Roman" w:hAnsi="Times New Roman" w:cs="Times New Roman"/>
          <w:color w:val="000000" w:themeColor="text1"/>
          <w:sz w:val="24"/>
          <w:szCs w:val="24"/>
        </w:rPr>
        <w:t xml:space="preserve"> vil</w:t>
      </w:r>
      <w:r w:rsidRPr="00796736">
        <w:rPr>
          <w:rFonts w:ascii="Times New Roman" w:eastAsia="Times New Roman" w:hAnsi="Times New Roman" w:cs="Times New Roman"/>
          <w:color w:val="000000" w:themeColor="text1"/>
          <w:sz w:val="24"/>
          <w:szCs w:val="24"/>
        </w:rPr>
        <w:t xml:space="preserve"> videreføre</w:t>
      </w:r>
      <w:r w:rsidR="007B6F66" w:rsidRPr="00796736">
        <w:rPr>
          <w:rFonts w:ascii="Times New Roman" w:eastAsia="Times New Roman" w:hAnsi="Times New Roman" w:cs="Times New Roman"/>
          <w:color w:val="000000" w:themeColor="text1"/>
          <w:sz w:val="24"/>
          <w:szCs w:val="24"/>
        </w:rPr>
        <w:t xml:space="preserve"> hvidvasklovens</w:t>
      </w:r>
      <w:r w:rsidRPr="00796736">
        <w:rPr>
          <w:rFonts w:ascii="Times New Roman" w:eastAsia="Times New Roman" w:hAnsi="Times New Roman" w:cs="Times New Roman"/>
          <w:color w:val="000000" w:themeColor="text1"/>
          <w:sz w:val="24"/>
          <w:szCs w:val="24"/>
        </w:rPr>
        <w:t xml:space="preserve"> § 67 med visse indholdsmæssige ændringer.</w:t>
      </w:r>
    </w:p>
    <w:p w14:paraId="170E463D" w14:textId="77777777" w:rsidR="005A4AFF" w:rsidRPr="00796736" w:rsidRDefault="005A4AFF" w:rsidP="00A802A5">
      <w:pPr>
        <w:spacing w:line="360" w:lineRule="auto"/>
        <w:rPr>
          <w:rFonts w:ascii="Times New Roman" w:eastAsia="Times New Roman" w:hAnsi="Times New Roman" w:cs="Times New Roman"/>
          <w:color w:val="000000" w:themeColor="text1"/>
          <w:sz w:val="24"/>
          <w:szCs w:val="24"/>
        </w:rPr>
      </w:pPr>
    </w:p>
    <w:p w14:paraId="32ED4861" w14:textId="37E8776A" w:rsidR="007B6F66" w:rsidRPr="00796736" w:rsidRDefault="005A4AFF"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_Ref236334077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113</w:t>
      </w:r>
      <w:r w:rsidRPr="00796736">
        <w:rPr>
          <w:rFonts w:ascii="Times New Roman" w:hAnsi="Times New Roman" w:cs="Times New Roman"/>
          <w:i/>
          <w:iCs/>
          <w:sz w:val="24"/>
          <w:szCs w:val="24"/>
        </w:rPr>
        <w:fldChar w:fldCharType="end"/>
      </w:r>
      <w:r w:rsidRPr="00796736">
        <w:rPr>
          <w:rFonts w:ascii="Times New Roman" w:eastAsia="Times New Roman" w:hAnsi="Times New Roman" w:cs="Times New Roman"/>
          <w:color w:val="000000" w:themeColor="text1"/>
          <w:sz w:val="24"/>
          <w:szCs w:val="24"/>
        </w:rPr>
        <w:t xml:space="preserve">, at </w:t>
      </w:r>
      <w:r w:rsidR="00922AA1" w:rsidRPr="00796736">
        <w:rPr>
          <w:rFonts w:ascii="Times New Roman" w:eastAsia="Times New Roman" w:hAnsi="Times New Roman" w:cs="Times New Roman"/>
          <w:sz w:val="24"/>
          <w:szCs w:val="24"/>
        </w:rPr>
        <w:t xml:space="preserve">skatte- og vækstministeren for virksomheder og personer som omfattet af </w:t>
      </w:r>
      <w:r w:rsidR="00922AA1" w:rsidRPr="00796736">
        <w:rPr>
          <w:rFonts w:ascii="Times New Roman" w:eastAsia="Calibri" w:hAnsi="Times New Roman" w:cs="Times New Roman"/>
          <w:sz w:val="24"/>
          <w:szCs w:val="24"/>
        </w:rPr>
        <w:fldChar w:fldCharType="begin"/>
      </w:r>
      <w:r w:rsidR="00922AA1" w:rsidRPr="00796736">
        <w:rPr>
          <w:rFonts w:ascii="Times New Roman" w:eastAsia="Calibri" w:hAnsi="Times New Roman" w:cs="Times New Roman"/>
          <w:sz w:val="24"/>
          <w:szCs w:val="24"/>
        </w:rPr>
        <w:instrText xml:space="preserve"> REF _Ref232609450 \r \h  \* MERGEFORMAT </w:instrText>
      </w:r>
      <w:r w:rsidR="00922AA1" w:rsidRPr="00796736">
        <w:rPr>
          <w:rFonts w:ascii="Times New Roman" w:eastAsia="Calibri" w:hAnsi="Times New Roman" w:cs="Times New Roman"/>
          <w:sz w:val="24"/>
          <w:szCs w:val="24"/>
        </w:rPr>
      </w:r>
      <w:r w:rsidR="00922AA1"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112</w:t>
      </w:r>
      <w:r w:rsidR="00922AA1" w:rsidRPr="00796736">
        <w:rPr>
          <w:rFonts w:ascii="Times New Roman" w:eastAsia="Calibri" w:hAnsi="Times New Roman" w:cs="Times New Roman"/>
          <w:sz w:val="24"/>
          <w:szCs w:val="24"/>
        </w:rPr>
        <w:fldChar w:fldCharType="end"/>
      </w:r>
      <w:r w:rsidR="00922AA1" w:rsidRPr="00796736">
        <w:rPr>
          <w:rFonts w:ascii="Times New Roman" w:eastAsia="Times New Roman" w:hAnsi="Times New Roman" w:cs="Times New Roman"/>
          <w:sz w:val="24"/>
          <w:szCs w:val="24"/>
        </w:rPr>
        <w:t xml:space="preserve">, stk. 1, </w:t>
      </w:r>
      <w:r w:rsidR="007B6F66" w:rsidRPr="00796736">
        <w:rPr>
          <w:rFonts w:ascii="Times New Roman" w:eastAsia="Times New Roman" w:hAnsi="Times New Roman" w:cs="Times New Roman"/>
          <w:sz w:val="24"/>
          <w:szCs w:val="24"/>
        </w:rPr>
        <w:t>kan fastsætte nærmere regler om registrering. Dette omfatter bl.a., hvilke oplysninger der skal registreres, og hvilke forhold virksomheder, personer eller andre kan indsende og registrere elektronisk i Spillemyndighedens IT-system ved at benytte digital eller tilsvarende elektronisk signatur, og om brugen af dette system.</w:t>
      </w:r>
    </w:p>
    <w:p w14:paraId="1A04C933" w14:textId="77777777" w:rsidR="00922AA1" w:rsidRPr="00796736" w:rsidRDefault="00922AA1" w:rsidP="00A802A5">
      <w:pPr>
        <w:spacing w:line="360" w:lineRule="auto"/>
        <w:rPr>
          <w:rFonts w:ascii="Times New Roman" w:eastAsia="Times New Roman" w:hAnsi="Times New Roman" w:cs="Times New Roman"/>
          <w:sz w:val="24"/>
          <w:szCs w:val="24"/>
        </w:rPr>
      </w:pPr>
    </w:p>
    <w:p w14:paraId="44A76997" w14:textId="07657C69"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er hensigten, at bemyndigelsen vil kunne udmøntes i regler om, at en udbyder af spil, som omfattet af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_Ref232609450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112</w:t>
      </w:r>
      <w:r w:rsidRPr="00796736">
        <w:rPr>
          <w:rFonts w:ascii="Times New Roman" w:eastAsia="Calibri" w:hAnsi="Times New Roman" w:cs="Times New Roman"/>
          <w:sz w:val="24"/>
          <w:szCs w:val="24"/>
        </w:rPr>
        <w:fldChar w:fldCharType="end"/>
      </w:r>
      <w:r w:rsidRPr="00796736">
        <w:rPr>
          <w:rFonts w:ascii="Times New Roman" w:eastAsia="Times New Roman" w:hAnsi="Times New Roman" w:cs="Times New Roman"/>
          <w:sz w:val="24"/>
          <w:szCs w:val="24"/>
        </w:rPr>
        <w:t>, stk. 1, nr. 1,</w:t>
      </w:r>
      <w:r w:rsidRPr="00796736" w:rsidDel="00394EAA">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blandt andet skal</w:t>
      </w:r>
      <w:r w:rsidR="007B6F66" w:rsidRPr="00796736">
        <w:rPr>
          <w:rFonts w:ascii="Times New Roman" w:eastAsia="Times New Roman" w:hAnsi="Times New Roman" w:cs="Times New Roman"/>
          <w:sz w:val="24"/>
          <w:szCs w:val="24"/>
        </w:rPr>
        <w:t xml:space="preserve"> registrere</w:t>
      </w:r>
      <w:r w:rsidRPr="00796736">
        <w:rPr>
          <w:rFonts w:ascii="Times New Roman" w:eastAsia="Times New Roman" w:hAnsi="Times New Roman" w:cs="Times New Roman"/>
          <w:sz w:val="24"/>
          <w:szCs w:val="24"/>
        </w:rPr>
        <w:t xml:space="preserve"> navn, adresse, eventuelt cvr-nummer eller cpr-nummer, oplysninger om øverste ledelse, daglige ledelse og reelle ejere samt oplysninger om i hvilket EU- eller EØS-land, der udbydes spil, herunder med angivelse af kontaktoplysninger til det pågældende lands spillemyndighed og hvidvasktilsynsmyndighed for udbydere af spil. </w:t>
      </w:r>
    </w:p>
    <w:p w14:paraId="4D7D89C6" w14:textId="658AAB4E" w:rsidR="005A4AFF" w:rsidRPr="00796736" w:rsidRDefault="005A4AFF" w:rsidP="00A802A5">
      <w:pPr>
        <w:spacing w:line="360" w:lineRule="auto"/>
        <w:rPr>
          <w:rFonts w:ascii="Times New Roman" w:eastAsia="Times New Roman" w:hAnsi="Times New Roman" w:cs="Times New Roman"/>
          <w:sz w:val="24"/>
          <w:szCs w:val="24"/>
        </w:rPr>
      </w:pPr>
    </w:p>
    <w:p w14:paraId="69E8AE83" w14:textId="77777777" w:rsidR="00922AA1" w:rsidRPr="00796736" w:rsidRDefault="00922AA1" w:rsidP="00A802A5">
      <w:pPr>
        <w:spacing w:line="360" w:lineRule="auto"/>
        <w:rPr>
          <w:rFonts w:ascii="Times New Roman" w:eastAsia="Times New Roman" w:hAnsi="Times New Roman" w:cs="Times New Roman"/>
          <w:sz w:val="24"/>
          <w:szCs w:val="24"/>
        </w:rPr>
      </w:pPr>
    </w:p>
    <w:p w14:paraId="1E7BD133" w14:textId="6F1E728C"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er derudover hensigten, at bemyndigelsen vil kunne udmøntes i regler om, at ikkefinansielle holdingselskaber med blandet aktivitet, som har mindst ét datterselskab, der er en udbyder af spil, omfattet af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_Ref232609450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112</w:t>
      </w:r>
      <w:r w:rsidRPr="00796736">
        <w:rPr>
          <w:rFonts w:ascii="Times New Roman" w:eastAsia="Calibri"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blandt andet skal </w:t>
      </w:r>
      <w:r w:rsidR="007B6F66" w:rsidRPr="00796736">
        <w:rPr>
          <w:rFonts w:ascii="Times New Roman" w:eastAsia="Times New Roman" w:hAnsi="Times New Roman" w:cs="Times New Roman"/>
          <w:sz w:val="24"/>
          <w:szCs w:val="24"/>
        </w:rPr>
        <w:t>registrere</w:t>
      </w:r>
      <w:r w:rsidRPr="00796736">
        <w:rPr>
          <w:rFonts w:ascii="Times New Roman" w:eastAsia="Times New Roman" w:hAnsi="Times New Roman" w:cs="Times New Roman"/>
          <w:sz w:val="24"/>
          <w:szCs w:val="24"/>
        </w:rPr>
        <w:t xml:space="preserve"> navn og cvr-nummer.</w:t>
      </w:r>
    </w:p>
    <w:p w14:paraId="0F1563CD" w14:textId="77777777" w:rsidR="00922AA1" w:rsidRPr="00796736" w:rsidRDefault="00922AA1" w:rsidP="00A802A5">
      <w:pPr>
        <w:spacing w:line="360" w:lineRule="auto"/>
        <w:rPr>
          <w:rFonts w:ascii="Times New Roman" w:eastAsia="Times New Roman" w:hAnsi="Times New Roman" w:cs="Times New Roman"/>
          <w:sz w:val="24"/>
          <w:szCs w:val="24"/>
        </w:rPr>
      </w:pPr>
    </w:p>
    <w:p w14:paraId="42A273E2" w14:textId="7777777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 vil derved have et overblik over, hvilke udbydere af spil der har opnået tilladelse i andre EU- eller EØS-lande til at udbyde spil, samt hvilke ikkefinansielle holdingselskaber med blandet aktivitet som vil høre under Spillemyndighedens tilsyn.</w:t>
      </w:r>
    </w:p>
    <w:p w14:paraId="6D4478B8" w14:textId="77777777" w:rsidR="00922AA1" w:rsidRPr="00796736" w:rsidRDefault="00922AA1" w:rsidP="00A802A5">
      <w:pPr>
        <w:spacing w:line="360" w:lineRule="auto"/>
        <w:rPr>
          <w:rFonts w:ascii="Times New Roman" w:eastAsia="Times New Roman" w:hAnsi="Times New Roman" w:cs="Times New Roman"/>
          <w:sz w:val="24"/>
          <w:szCs w:val="24"/>
        </w:rPr>
      </w:pPr>
    </w:p>
    <w:p w14:paraId="74D92E28"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gives samtidig mulighed for, at skatte- og vækstministeren under iagttagelse af visse regler, herunder databeskyttelseslovgivningen og forvaltningsloven, vil kunne give virksomheder, personer eller andre mulighed for selv at kunne foretage registreringer i Spillemyndighedens IT-system. Disse regler kan f.eks. være anvendelse af særlige systemer eller brug af digital signatur eller andre sikkerhedsforanstaltninger.</w:t>
      </w:r>
    </w:p>
    <w:p w14:paraId="44583BCF" w14:textId="77777777" w:rsidR="005A4AFF" w:rsidRPr="00796736" w:rsidRDefault="005A4AFF" w:rsidP="00A802A5">
      <w:pPr>
        <w:spacing w:line="360" w:lineRule="auto"/>
        <w:rPr>
          <w:rFonts w:ascii="Times New Roman" w:hAnsi="Times New Roman" w:cs="Times New Roman"/>
          <w:sz w:val="24"/>
          <w:szCs w:val="24"/>
        </w:rPr>
      </w:pPr>
    </w:p>
    <w:p w14:paraId="15728194" w14:textId="47D4F2E8" w:rsidR="005A4AFF" w:rsidRPr="00796736" w:rsidRDefault="005A4AFF" w:rsidP="00A802A5">
      <w:pPr>
        <w:pStyle w:val="Undertitel"/>
      </w:pPr>
      <w:bookmarkStart w:id="2193" w:name="_Toc244879410"/>
      <w:bookmarkStart w:id="2194" w:name="_Toc244880935"/>
      <w:r w:rsidRPr="00796736">
        <w:t xml:space="preserve">Til </w:t>
      </w:r>
      <w:r w:rsidRPr="00796736">
        <w:fldChar w:fldCharType="begin"/>
      </w:r>
      <w:r w:rsidRPr="00796736">
        <w:instrText xml:space="preserve"> REF _Ref236334226 \r \h </w:instrText>
      </w:r>
      <w:r w:rsidR="00A47042" w:rsidRPr="00796736">
        <w:instrText xml:space="preserve"> \* MERGEFORMAT </w:instrText>
      </w:r>
      <w:r w:rsidRPr="00796736">
        <w:fldChar w:fldCharType="separate"/>
      </w:r>
      <w:r w:rsidR="008F29E5">
        <w:t>§ 114</w:t>
      </w:r>
      <w:bookmarkEnd w:id="2193"/>
      <w:bookmarkEnd w:id="2194"/>
      <w:r w:rsidRPr="00796736">
        <w:fldChar w:fldCharType="end"/>
      </w:r>
      <w:r w:rsidRPr="00796736">
        <w:t xml:space="preserve"> </w:t>
      </w:r>
    </w:p>
    <w:p w14:paraId="0041A60A" w14:textId="16A7743E"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findes ikke i den gældende hvidvasklov en bestemmelse om, at </w:t>
      </w:r>
      <w:r w:rsidR="007B6F66" w:rsidRPr="00796736">
        <w:rPr>
          <w:rFonts w:ascii="Times New Roman" w:eastAsia="Times New Roman" w:hAnsi="Times New Roman" w:cs="Times New Roman"/>
          <w:sz w:val="24"/>
          <w:szCs w:val="24"/>
        </w:rPr>
        <w:t>skatte- og vækstministeren</w:t>
      </w:r>
      <w:r w:rsidRPr="00796736">
        <w:rPr>
          <w:rFonts w:ascii="Times New Roman" w:eastAsia="Times New Roman" w:hAnsi="Times New Roman" w:cs="Times New Roman"/>
          <w:sz w:val="24"/>
          <w:szCs w:val="24"/>
        </w:rPr>
        <w:t xml:space="preserve"> kan fastsætte forpligtelser for Spillemyndigheden i en forretningsgang. Spillemyndighedens forpligtelser på hvidvaskområdet fremgår af den gældende hvidvasklov med undtagelse af en forpligtelse, der følger af artikel 32, stk. 6, i 4. hvidvaskdirektiv om, at de kompetente myndigheder skal give FIU'en feedback om anvendelsen af de oplysninger, der er leveret i overensstemmelse med artikel 32, og om resultatet af de efterforskninger eller kontrolbesøg, der er udført på grundlag heraf. Denne forpligtelse fremgår for Spillemyndigheden af Den juridiske vejledning. Spillemyndigheden er hvert halve år forpligtet til at give feedback til Hvidvasksekretariatet om anvendelsen af de oplysninger, der er leveret af Hvidvasksekretariatet, og om resultatet af de efterforskninger eller kontrolbesøg, der er udført på grundlag heraf. </w:t>
      </w:r>
    </w:p>
    <w:p w14:paraId="718B8E85" w14:textId="77777777" w:rsidR="00922AA1" w:rsidRPr="00796736" w:rsidRDefault="00922AA1" w:rsidP="00A802A5">
      <w:pPr>
        <w:spacing w:line="360" w:lineRule="auto"/>
        <w:rPr>
          <w:rFonts w:ascii="Times New Roman" w:eastAsia="Times New Roman" w:hAnsi="Times New Roman" w:cs="Times New Roman"/>
          <w:sz w:val="24"/>
          <w:szCs w:val="24"/>
        </w:rPr>
      </w:pPr>
    </w:p>
    <w:p w14:paraId="11E769B3" w14:textId="77777777" w:rsidR="00922AA1" w:rsidRPr="00796736" w:rsidRDefault="00922AA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Bestemmelsen er derfor ny.</w:t>
      </w:r>
    </w:p>
    <w:p w14:paraId="4596B099" w14:textId="77777777" w:rsidR="005A4AFF" w:rsidRPr="00796736" w:rsidRDefault="005A4AFF" w:rsidP="00A802A5">
      <w:pPr>
        <w:spacing w:line="360" w:lineRule="auto"/>
        <w:rPr>
          <w:rFonts w:ascii="Times New Roman" w:eastAsia="Times New Roman" w:hAnsi="Times New Roman" w:cs="Times New Roman"/>
          <w:sz w:val="24"/>
          <w:szCs w:val="24"/>
        </w:rPr>
      </w:pPr>
    </w:p>
    <w:p w14:paraId="4101C116" w14:textId="3654EE74"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_Ref236334226 \r \h </w:instrText>
      </w:r>
      <w:r w:rsidR="00A47042"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114</w:t>
      </w:r>
      <w:r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at </w:t>
      </w:r>
      <w:r w:rsidR="007B6F66" w:rsidRPr="00796736">
        <w:rPr>
          <w:rFonts w:ascii="Times New Roman" w:eastAsia="Times New Roman" w:hAnsi="Times New Roman" w:cs="Times New Roman"/>
          <w:sz w:val="24"/>
          <w:szCs w:val="24"/>
        </w:rPr>
        <w:t xml:space="preserve">skatte- og vækstministeren </w:t>
      </w:r>
      <w:r w:rsidRPr="00796736">
        <w:rPr>
          <w:rFonts w:ascii="Times New Roman" w:eastAsia="Times New Roman" w:hAnsi="Times New Roman" w:cs="Times New Roman"/>
          <w:sz w:val="24"/>
          <w:szCs w:val="24"/>
        </w:rPr>
        <w:t>i en forretningsgang kan fastsætte forpligtelser, der retter sig mod Spillemyndigheden i relation til forebyggelse og bekæmpelse af hvidvask af penge og finansiering af terrorisme.</w:t>
      </w:r>
    </w:p>
    <w:p w14:paraId="7B594B38" w14:textId="77777777" w:rsidR="005A4AFF" w:rsidRPr="00796736" w:rsidRDefault="005A4AFF" w:rsidP="00A802A5">
      <w:pPr>
        <w:spacing w:line="360" w:lineRule="auto"/>
        <w:rPr>
          <w:rFonts w:ascii="Times New Roman" w:eastAsia="Times New Roman" w:hAnsi="Times New Roman" w:cs="Times New Roman"/>
          <w:sz w:val="24"/>
          <w:szCs w:val="24"/>
        </w:rPr>
      </w:pPr>
    </w:p>
    <w:p w14:paraId="324DFDE4"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vil medføre, at en række af de myndighedsrettede krav, der følger af 6. hvidvaskdirektiv, ikke reguleres i den foreslåede lov, men i en forretningsgang, som Spillemyndigheden vil være forpligtet til at efterleve. </w:t>
      </w:r>
    </w:p>
    <w:p w14:paraId="59FA9B04" w14:textId="76535A22"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br/>
      </w:r>
      <w:r w:rsidR="007B6F66" w:rsidRPr="00796736">
        <w:rPr>
          <w:rFonts w:ascii="Times New Roman" w:eastAsia="Times New Roman" w:hAnsi="Times New Roman" w:cs="Times New Roman"/>
          <w:sz w:val="24"/>
          <w:szCs w:val="24"/>
        </w:rPr>
        <w:t>Det, der tiltænkes reguleret i en forretningsgang, vil således være krav, der ikke er normerende for borgeres og virksomheders retsstilling, men som udelukkende forpligter Spillemyndigheden. Det vil f.eks. være krav om, at tilsynsorganerne skal stille oplysninger om hvidvask af penge og finansiering af terrorisme til rådighed for forpligtede enheder under deres tilsyn, herunder bl.a. nationale og sektorspecifikke risikovurderinger. Det vil ligeledes være krav om, at tilsynsorganerne skal udarbejde årlige tilsynsprogrammer, årlige aktivitetsrapporter, sende diverse oplysninger til Hvidvasksekretariatet og underrette AMLA om samarbejdsaftaler med tilsynsorganer i tredjelande.</w:t>
      </w:r>
    </w:p>
    <w:p w14:paraId="7E19C835" w14:textId="77777777" w:rsidR="005A4AFF" w:rsidRPr="00796736" w:rsidRDefault="005A4AFF" w:rsidP="00A802A5">
      <w:pPr>
        <w:spacing w:line="360" w:lineRule="auto"/>
        <w:rPr>
          <w:rFonts w:ascii="Times New Roman" w:eastAsia="Times New Roman" w:hAnsi="Times New Roman" w:cs="Times New Roman"/>
          <w:sz w:val="24"/>
          <w:szCs w:val="24"/>
        </w:rPr>
      </w:pPr>
    </w:p>
    <w:p w14:paraId="1C672DFF" w14:textId="5FA283DF" w:rsidR="00A06D45"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henvises i øvrigt til </w:t>
      </w:r>
      <w:r w:rsidR="007B6F66" w:rsidRPr="00796736">
        <w:rPr>
          <w:rFonts w:ascii="Times New Roman" w:eastAsia="Times New Roman" w:hAnsi="Times New Roman" w:cs="Times New Roman"/>
          <w:sz w:val="24"/>
          <w:szCs w:val="24"/>
        </w:rPr>
        <w:t>pkt.</w:t>
      </w:r>
      <w:r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_Ref236644988 \n \h </w:instrText>
      </w:r>
      <w:r w:rsidR="00A47042"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3.75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i de almindelige bemærkninger til lovforslaget.  </w:t>
      </w:r>
    </w:p>
    <w:p w14:paraId="4D7ADF82" w14:textId="77777777" w:rsidR="005A4AFF" w:rsidRPr="00796736" w:rsidRDefault="005A4AFF" w:rsidP="00A802A5">
      <w:pPr>
        <w:spacing w:line="360" w:lineRule="auto"/>
        <w:rPr>
          <w:rFonts w:ascii="Times New Roman" w:eastAsia="Times New Roman" w:hAnsi="Times New Roman" w:cs="Times New Roman"/>
          <w:sz w:val="24"/>
          <w:szCs w:val="24"/>
        </w:rPr>
      </w:pPr>
    </w:p>
    <w:p w14:paraId="7DDD5CFF" w14:textId="2B1E60EF" w:rsidR="005A4AFF" w:rsidRPr="00796736" w:rsidRDefault="005A4AFF" w:rsidP="00A802A5">
      <w:pPr>
        <w:pStyle w:val="Undertitel"/>
      </w:pPr>
      <w:bookmarkStart w:id="2195" w:name="_Toc244879411"/>
      <w:bookmarkStart w:id="2196" w:name="_Toc244880936"/>
      <w:r w:rsidRPr="00796736">
        <w:t xml:space="preserve">Til </w:t>
      </w:r>
      <w:r w:rsidRPr="00796736">
        <w:fldChar w:fldCharType="begin"/>
      </w:r>
      <w:r w:rsidRPr="00796736">
        <w:instrText xml:space="preserve"> REF _Ref236641619 \r \h </w:instrText>
      </w:r>
      <w:r w:rsidR="00A47042" w:rsidRPr="00796736">
        <w:instrText xml:space="preserve"> \* MERGEFORMAT </w:instrText>
      </w:r>
      <w:r w:rsidRPr="00796736">
        <w:fldChar w:fldCharType="separate"/>
      </w:r>
      <w:r w:rsidR="008F29E5">
        <w:t>§ 115</w:t>
      </w:r>
      <w:bookmarkEnd w:id="2195"/>
      <w:bookmarkEnd w:id="2196"/>
      <w:r w:rsidRPr="00796736">
        <w:fldChar w:fldCharType="end"/>
      </w:r>
      <w:r w:rsidRPr="00796736">
        <w:t xml:space="preserve"> </w:t>
      </w:r>
    </w:p>
    <w:p w14:paraId="3045B14D"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 29, stk. 1, i lov om spil, at der kun kan gives tilladelse til udbud og arrangering af spil til ansøgere, der må antages at kunne udøve virksomhed med spil på økonomisk og faglig forsvarlig vis.</w:t>
      </w:r>
    </w:p>
    <w:p w14:paraId="7CAFAAD0" w14:textId="77777777" w:rsidR="005A4AFF" w:rsidRPr="00796736" w:rsidRDefault="005A4AFF" w:rsidP="00A802A5">
      <w:pPr>
        <w:spacing w:line="360" w:lineRule="auto"/>
        <w:rPr>
          <w:rFonts w:ascii="Times New Roman" w:eastAsia="Times New Roman" w:hAnsi="Times New Roman" w:cs="Times New Roman"/>
          <w:sz w:val="24"/>
          <w:szCs w:val="24"/>
        </w:rPr>
      </w:pPr>
    </w:p>
    <w:p w14:paraId="7A38F794"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 29, stk. 2, i lov om spil, at tilladelse ikke kan gives, hvis ansøgeren, reelle ejere, medlemmer af direktion eller bestyrelse eller andre, der kan øve en bestemmende indflydelse på virksomhedens drift, har udvist en sådan adfærd, at der er grund til at antage, at virksomheden ikke vil blive drevet på forsvarlig måde.</w:t>
      </w:r>
    </w:p>
    <w:p w14:paraId="767ED915" w14:textId="77777777" w:rsidR="005A4AFF" w:rsidRPr="00796736" w:rsidRDefault="005A4AFF" w:rsidP="00A802A5">
      <w:pPr>
        <w:spacing w:line="360" w:lineRule="auto"/>
        <w:rPr>
          <w:rFonts w:ascii="Times New Roman" w:eastAsia="Times New Roman" w:hAnsi="Times New Roman" w:cs="Times New Roman"/>
          <w:sz w:val="24"/>
          <w:szCs w:val="24"/>
        </w:rPr>
      </w:pPr>
    </w:p>
    <w:p w14:paraId="77DB7822" w14:textId="77777777" w:rsidR="007B6F66"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I § 29, stk. 1 og 2, er indeholdt en hæderligheds- og egnethedsvurdering, som baserer sig på en spilfaglig vurdering af, om en udbyder af spil samt dennes øverste ledelse og reelle ejere må antages at kunne udøve virksomhed med spil på forsvarlig måde. I bemærkningerne til bestemmelsen er det ikke eksplicit nævnt, at denne hæderligheds- og egnethedsvurdering også indeholder en vurdering af hvidvaskrelaterede krav. </w:t>
      </w:r>
    </w:p>
    <w:p w14:paraId="491F5CA1" w14:textId="77777777" w:rsidR="007B6F66" w:rsidRPr="00796736" w:rsidRDefault="007B6F66" w:rsidP="00A802A5">
      <w:pPr>
        <w:spacing w:line="360" w:lineRule="auto"/>
        <w:rPr>
          <w:rFonts w:ascii="Times New Roman" w:eastAsia="Times New Roman" w:hAnsi="Times New Roman" w:cs="Times New Roman"/>
          <w:sz w:val="24"/>
          <w:szCs w:val="24"/>
        </w:rPr>
      </w:pPr>
    </w:p>
    <w:p w14:paraId="7B5ADF41" w14:textId="0373FB2C"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Henset hertil og da der i artikel 6, stk. 1 og 4, i 6. hvidvaskdirektiv kræves en hæderligheds- og egnethedsvurdering af den øverste ledelse hos udbydere af spil, foreslås det, at der i </w:t>
      </w:r>
      <w:r w:rsidR="00922AA1" w:rsidRPr="00796736">
        <w:rPr>
          <w:rFonts w:ascii="Times New Roman" w:eastAsia="Times New Roman" w:hAnsi="Times New Roman" w:cs="Times New Roman"/>
          <w:sz w:val="24"/>
          <w:szCs w:val="24"/>
        </w:rPr>
        <w:fldChar w:fldCharType="begin"/>
      </w:r>
      <w:r w:rsidR="00922AA1" w:rsidRPr="00796736">
        <w:rPr>
          <w:rFonts w:ascii="Times New Roman" w:eastAsia="Times New Roman" w:hAnsi="Times New Roman" w:cs="Times New Roman"/>
          <w:sz w:val="24"/>
          <w:szCs w:val="24"/>
        </w:rPr>
        <w:instrText xml:space="preserve"> REF _Ref236641619 \r \h </w:instrText>
      </w:r>
      <w:r w:rsidR="00F375BF" w:rsidRPr="00796736">
        <w:rPr>
          <w:rFonts w:ascii="Times New Roman" w:eastAsia="Times New Roman" w:hAnsi="Times New Roman" w:cs="Times New Roman"/>
          <w:sz w:val="24"/>
          <w:szCs w:val="24"/>
        </w:rPr>
        <w:instrText xml:space="preserve"> \* MERGEFORMAT </w:instrText>
      </w:r>
      <w:r w:rsidR="00922AA1" w:rsidRPr="00796736">
        <w:rPr>
          <w:rFonts w:ascii="Times New Roman" w:eastAsia="Times New Roman" w:hAnsi="Times New Roman" w:cs="Times New Roman"/>
          <w:sz w:val="24"/>
          <w:szCs w:val="24"/>
        </w:rPr>
      </w:r>
      <w:r w:rsidR="00922AA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00922AA1"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og 2, fastsættes regler om, at et medlem af den øverste ledelse og reelle ejere </w:t>
      </w:r>
      <w:r w:rsidR="00922AA1" w:rsidRPr="00796736">
        <w:rPr>
          <w:rFonts w:ascii="Times New Roman" w:eastAsia="Times New Roman" w:hAnsi="Times New Roman" w:cs="Times New Roman"/>
          <w:sz w:val="24"/>
          <w:szCs w:val="24"/>
        </w:rPr>
        <w:t xml:space="preserve">hos en virksomhed eller person omfattet af </w:t>
      </w:r>
      <w:r w:rsidR="00922AA1" w:rsidRPr="00796736">
        <w:rPr>
          <w:rFonts w:ascii="Times New Roman" w:eastAsia="Times New Roman" w:hAnsi="Times New Roman" w:cs="Times New Roman"/>
          <w:sz w:val="24"/>
          <w:szCs w:val="24"/>
        </w:rPr>
        <w:fldChar w:fldCharType="begin"/>
      </w:r>
      <w:r w:rsidR="00922AA1"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00922AA1" w:rsidRPr="00796736">
        <w:rPr>
          <w:rFonts w:ascii="Times New Roman" w:eastAsia="Times New Roman" w:hAnsi="Times New Roman" w:cs="Times New Roman"/>
          <w:sz w:val="24"/>
          <w:szCs w:val="24"/>
        </w:rPr>
      </w:r>
      <w:r w:rsidR="00922AA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922AA1" w:rsidRPr="00796736">
        <w:rPr>
          <w:rFonts w:ascii="Times New Roman" w:eastAsia="Times New Roman" w:hAnsi="Times New Roman" w:cs="Times New Roman"/>
          <w:sz w:val="24"/>
          <w:szCs w:val="24"/>
        </w:rPr>
        <w:fldChar w:fldCharType="end"/>
      </w:r>
      <w:r w:rsidR="00922AA1" w:rsidRPr="00796736">
        <w:rPr>
          <w:rFonts w:ascii="Times New Roman" w:eastAsia="Times New Roman" w:hAnsi="Times New Roman" w:cs="Times New Roman"/>
          <w:sz w:val="24"/>
          <w:szCs w:val="24"/>
        </w:rPr>
        <w:t xml:space="preserve">, stk. 1, nr. 1, </w:t>
      </w:r>
      <w:r w:rsidRPr="00796736">
        <w:rPr>
          <w:rFonts w:ascii="Times New Roman" w:eastAsia="Times New Roman" w:hAnsi="Times New Roman" w:cs="Times New Roman"/>
          <w:sz w:val="24"/>
          <w:szCs w:val="24"/>
        </w:rPr>
        <w:t xml:space="preserve">skal have et godt omdømme og handle med hæderlighed og integritet, samt at et medlem af den øverste ledelse skal besidde den viden og ekspertise, der er nødvendig for, at medlemmet kan udføre sine opgaver. </w:t>
      </w:r>
    </w:p>
    <w:p w14:paraId="6833BEB7" w14:textId="77777777" w:rsidR="005A4AFF" w:rsidRPr="00796736" w:rsidRDefault="005A4AFF" w:rsidP="00A802A5">
      <w:pPr>
        <w:spacing w:line="360" w:lineRule="auto"/>
        <w:rPr>
          <w:rFonts w:ascii="Times New Roman" w:eastAsia="Times New Roman" w:hAnsi="Times New Roman" w:cs="Times New Roman"/>
          <w:sz w:val="24"/>
          <w:szCs w:val="24"/>
        </w:rPr>
      </w:pPr>
    </w:p>
    <w:p w14:paraId="2428674C"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Bestemmelsen implementerer artikel 6, stk. 1 og 3, i 6. hvidvaskdirektiv. </w:t>
      </w:r>
    </w:p>
    <w:p w14:paraId="3D0F88E7" w14:textId="77777777" w:rsidR="005A4AFF" w:rsidRPr="00796736" w:rsidRDefault="005A4AFF" w:rsidP="00A802A5">
      <w:pPr>
        <w:spacing w:line="360" w:lineRule="auto"/>
        <w:rPr>
          <w:rFonts w:ascii="Times New Roman" w:eastAsia="Times New Roman" w:hAnsi="Times New Roman" w:cs="Times New Roman"/>
          <w:sz w:val="24"/>
          <w:szCs w:val="24"/>
        </w:rPr>
      </w:pPr>
    </w:p>
    <w:p w14:paraId="1803EBE6" w14:textId="4A33323B" w:rsidR="005A4AFF"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bemærkes, at der med implementeringen af artikel 6, stk. 1 og 3, tillige vil ske en implementering af Financial Action Task Force’s (FATF) tekniske anbefaling nr. 28.1.b. om, at kompetente myndigheder skal sikre, at der er tilstrækkelige juridiske og lovgivningsmæssige foranstaltninger, som kan være med til at forhindre, at kriminelle eller deres partnere er reelle ejere, har en bestemmende indflydelse eller er medlemmer af bestyrelse eller direktion i et selskab. Den tekniske anbefaling 28.1.b. blev ved lov nr. 467 af 8. maj 2024 om ændring af lov om spil implementeret i § 29, stk. 2, i lov om spil. Der henvises til Folketingstidende 2023-2024, tillæg A, L 100 som fremsat pkt. 2.5.2, side 15. Der er ikke tilsigtet ændringer vedrørende dette. </w:t>
      </w:r>
      <w:r w:rsidR="005A4AFF" w:rsidRPr="00796736">
        <w:rPr>
          <w:rFonts w:ascii="Times New Roman" w:eastAsia="Times New Roman" w:hAnsi="Times New Roman" w:cs="Times New Roman"/>
          <w:sz w:val="24"/>
          <w:szCs w:val="24"/>
        </w:rPr>
        <w:t>Der er ikke tilsigtet ændringer vedrørende dette. Se nærmere i dette lovforslags § 136, til nr. 2.</w:t>
      </w:r>
    </w:p>
    <w:p w14:paraId="697D9232" w14:textId="77777777" w:rsidR="005A4AFF" w:rsidRPr="00796736" w:rsidRDefault="005A4AFF" w:rsidP="00A802A5">
      <w:pPr>
        <w:spacing w:line="360" w:lineRule="auto"/>
        <w:rPr>
          <w:rFonts w:ascii="Times New Roman" w:eastAsia="Times New Roman" w:hAnsi="Times New Roman" w:cs="Times New Roman"/>
          <w:sz w:val="24"/>
          <w:szCs w:val="24"/>
        </w:rPr>
      </w:pPr>
    </w:p>
    <w:p w14:paraId="115E787C"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I Europa-Parlamentets og Rådets forordning (EU) 2024/1624 defineres "øverste ledelse" i artikel 2, stk. 1, nr. 40.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7040EB3C" w14:textId="77777777" w:rsidR="005A4AFF" w:rsidRPr="00796736" w:rsidRDefault="005A4AFF" w:rsidP="00A802A5">
      <w:pPr>
        <w:spacing w:line="360" w:lineRule="auto"/>
        <w:rPr>
          <w:rFonts w:ascii="Times New Roman" w:eastAsia="Times New Roman" w:hAnsi="Times New Roman" w:cs="Times New Roman"/>
          <w:sz w:val="24"/>
          <w:szCs w:val="24"/>
        </w:rPr>
      </w:pPr>
    </w:p>
    <w:p w14:paraId="058D53DD" w14:textId="35BC7B5B"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bl.a. af præambelbetragtning nr. 9 i 6. hvidvaskdirektiv, at tilsynsorganerne skal </w:t>
      </w:r>
      <w:r w:rsidR="007B6F66"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sikre, at de personer, som i praksis leder forpligtede enheders drift, samt disses reelle ejere har et godt omdømme og handler med hæderlighed og integritet og besidder den viden og ekspertise, der er nødvendig for, at de kan udføre deres opgaver. Som minimum bør kriterierne for at afgøre, om en person opfylder disse krav, afspejle behovet for at beskytte forpligtede enheder mod at blive misbrugt af deres ledere eller reelle ejere med kriminelle formål for øje. For at fremme en fælles tilgang til tilsynsorganernes kontrol af, at ledelsen og de reelle ejere af forpligtede enheder opfylder disse krav, bør AMLA udstede retningslinjer for kriterierne for vurdering af godt omdømme, hæderlighed og integritet og kriterierne for vurdering af viden og ekspertise.</w:t>
      </w:r>
      <w:r w:rsidR="007B6F66" w:rsidRPr="00796736">
        <w:rPr>
          <w:rFonts w:ascii="Times New Roman" w:eastAsia="Times New Roman" w:hAnsi="Times New Roman" w:cs="Times New Roman"/>
          <w:sz w:val="24"/>
          <w:szCs w:val="24"/>
        </w:rPr>
        <w:t xml:space="preserve">”. </w:t>
      </w:r>
    </w:p>
    <w:p w14:paraId="19D6EA87" w14:textId="77777777" w:rsidR="005A4AFF" w:rsidRPr="00796736" w:rsidRDefault="005A4AFF" w:rsidP="00A802A5">
      <w:pPr>
        <w:spacing w:line="360" w:lineRule="auto"/>
        <w:rPr>
          <w:rFonts w:ascii="Times New Roman" w:eastAsia="Times New Roman" w:hAnsi="Times New Roman" w:cs="Times New Roman"/>
          <w:sz w:val="24"/>
          <w:szCs w:val="24"/>
        </w:rPr>
      </w:pPr>
    </w:p>
    <w:p w14:paraId="23F86A8A" w14:textId="6224FF75" w:rsidR="007B6F66"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af præambelbetragtning nr. 10 i 6. hvidvaskdirektiv, at </w:t>
      </w:r>
      <w:r w:rsidR="007B6F66"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med henblik på at vurdere egnetheden af personer, der varetager en ledelsesfunktion i eller på anden måde kontrollerer forpligtede enheder, bør enhver udveksling af oplysninger om domme for strafbare forhold foretages i henhold til Rådets rammeafgørelse 2009/315/RIA (9) og Rådets afgørelse 2009/316/RIA (10). Desuden bør tilsynsorganerne kunne få adgang til alle de oplysninger, der er nødvendige for at kontrollere den øverste ledelses viden og ekspertise samt deres gode omdømme, hæderlighed og integritet, herunder oplysninger, der er tilgængelige via pålidelige og uafhængige kilder.</w:t>
      </w:r>
      <w:r w:rsidR="007B6F66"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 </w:t>
      </w:r>
    </w:p>
    <w:p w14:paraId="12D83D33" w14:textId="77777777" w:rsidR="007B6F66" w:rsidRPr="00796736" w:rsidRDefault="007B6F66" w:rsidP="00A802A5">
      <w:pPr>
        <w:spacing w:line="360" w:lineRule="auto"/>
        <w:rPr>
          <w:rFonts w:ascii="Times New Roman" w:eastAsia="Times New Roman" w:hAnsi="Times New Roman" w:cs="Times New Roman"/>
          <w:sz w:val="24"/>
          <w:szCs w:val="24"/>
        </w:rPr>
      </w:pPr>
    </w:p>
    <w:p w14:paraId="64EFFB15" w14:textId="2BF5E17D"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lægges til grund, at oplysningerne kan indhentes med hjemmel i lov om spil og i hvidvaskloven.</w:t>
      </w:r>
    </w:p>
    <w:p w14:paraId="65803DC0" w14:textId="77777777" w:rsidR="005A4AFF" w:rsidRPr="00796736" w:rsidRDefault="005A4AFF" w:rsidP="00A802A5">
      <w:pPr>
        <w:spacing w:line="360" w:lineRule="auto"/>
        <w:rPr>
          <w:rFonts w:ascii="Times New Roman" w:eastAsia="Times New Roman" w:hAnsi="Times New Roman" w:cs="Times New Roman"/>
          <w:sz w:val="24"/>
          <w:szCs w:val="24"/>
        </w:rPr>
      </w:pPr>
    </w:p>
    <w:p w14:paraId="03CDE8E3" w14:textId="650AEADF"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AMLA udsteder retningslinjer om kriterierne til at vurdere godt omdømme, hæderlighed og integritet, kriterierne til at vurdere viden og ekspertise</w:t>
      </w:r>
      <w:r w:rsidR="007B6F66" w:rsidRPr="00796736">
        <w:rPr>
          <w:rFonts w:ascii="Times New Roman" w:eastAsia="Times New Roman" w:hAnsi="Times New Roman" w:cs="Times New Roman"/>
          <w:sz w:val="24"/>
          <w:szCs w:val="24"/>
        </w:rPr>
        <w:t xml:space="preserve"> og</w:t>
      </w:r>
      <w:r w:rsidRPr="00796736">
        <w:rPr>
          <w:rFonts w:ascii="Times New Roman" w:eastAsia="Times New Roman" w:hAnsi="Times New Roman" w:cs="Times New Roman"/>
          <w:sz w:val="24"/>
          <w:szCs w:val="24"/>
        </w:rPr>
        <w:t xml:space="preserve"> tilsynsorganernes konsekvente anvendelse af den beføjelse, de er tillagt i henhold til denne artikel.</w:t>
      </w:r>
    </w:p>
    <w:p w14:paraId="0D6C02CB" w14:textId="77777777" w:rsidR="005A4AFF" w:rsidRPr="00796736" w:rsidRDefault="005A4AFF" w:rsidP="00A802A5">
      <w:pPr>
        <w:spacing w:line="360" w:lineRule="auto"/>
        <w:rPr>
          <w:rFonts w:ascii="Times New Roman" w:eastAsia="Times New Roman" w:hAnsi="Times New Roman" w:cs="Times New Roman"/>
          <w:sz w:val="24"/>
          <w:szCs w:val="24"/>
        </w:rPr>
      </w:pPr>
    </w:p>
    <w:p w14:paraId="03B3CD50" w14:textId="6AD84492"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stk. 1, nr. 1</w:t>
      </w:r>
      <w:r w:rsidRPr="00796736">
        <w:rPr>
          <w:rFonts w:ascii="Times New Roman" w:eastAsia="Times New Roman" w:hAnsi="Times New Roman" w:cs="Times New Roman"/>
          <w:sz w:val="24"/>
          <w:szCs w:val="24"/>
        </w:rPr>
        <w:t xml:space="preserve">, at et medlem af den øverste ledelse hos </w:t>
      </w:r>
      <w:r w:rsidR="00922AA1" w:rsidRPr="00796736">
        <w:rPr>
          <w:rFonts w:ascii="Times New Roman" w:eastAsia="Times New Roman" w:hAnsi="Times New Roman" w:cs="Times New Roman"/>
          <w:sz w:val="24"/>
          <w:szCs w:val="24"/>
        </w:rPr>
        <w:t xml:space="preserve">en virksomhed eller person omfattet af </w:t>
      </w:r>
      <w:r w:rsidR="00922AA1" w:rsidRPr="00796736">
        <w:rPr>
          <w:rFonts w:ascii="Times New Roman" w:eastAsia="Times New Roman" w:hAnsi="Times New Roman" w:cs="Times New Roman"/>
          <w:sz w:val="24"/>
          <w:szCs w:val="24"/>
        </w:rPr>
        <w:fldChar w:fldCharType="begin"/>
      </w:r>
      <w:r w:rsidR="00922AA1"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00922AA1" w:rsidRPr="00796736">
        <w:rPr>
          <w:rFonts w:ascii="Times New Roman" w:eastAsia="Times New Roman" w:hAnsi="Times New Roman" w:cs="Times New Roman"/>
          <w:sz w:val="24"/>
          <w:szCs w:val="24"/>
        </w:rPr>
      </w:r>
      <w:r w:rsidR="00922AA1"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922AA1" w:rsidRPr="00796736">
        <w:rPr>
          <w:rFonts w:ascii="Times New Roman" w:eastAsia="Times New Roman" w:hAnsi="Times New Roman" w:cs="Times New Roman"/>
          <w:sz w:val="24"/>
          <w:szCs w:val="24"/>
        </w:rPr>
        <w:fldChar w:fldCharType="end"/>
      </w:r>
      <w:r w:rsidR="00922AA1" w:rsidRPr="00796736">
        <w:rPr>
          <w:rFonts w:ascii="Times New Roman" w:eastAsia="Times New Roman" w:hAnsi="Times New Roman" w:cs="Times New Roman"/>
          <w:sz w:val="24"/>
          <w:szCs w:val="24"/>
        </w:rPr>
        <w:t>, stk. 1, nr. 1,</w:t>
      </w:r>
      <w:r w:rsidRPr="00796736">
        <w:rPr>
          <w:rFonts w:ascii="Times New Roman" w:eastAsia="Times New Roman" w:hAnsi="Times New Roman" w:cs="Times New Roman"/>
          <w:sz w:val="24"/>
          <w:szCs w:val="24"/>
        </w:rPr>
        <w:t xml:space="preserve"> skal have et godt omdømme og handle med hæderlighed og integritet.</w:t>
      </w:r>
    </w:p>
    <w:p w14:paraId="23D825F2" w14:textId="77777777" w:rsidR="005A4AFF" w:rsidRPr="00796736" w:rsidRDefault="005A4AFF" w:rsidP="00A802A5">
      <w:pPr>
        <w:spacing w:line="360" w:lineRule="auto"/>
        <w:rPr>
          <w:rFonts w:ascii="Times New Roman" w:eastAsia="Times New Roman" w:hAnsi="Times New Roman" w:cs="Times New Roman"/>
          <w:sz w:val="24"/>
          <w:szCs w:val="24"/>
        </w:rPr>
      </w:pPr>
    </w:p>
    <w:p w14:paraId="36346B03"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 indebærer, at de personer, der er en del af ledelsen hos en udbyder af spil, skal have en høj standard, både når det gælder deres faglige og ledelsesmæssige kompetencer og deres personlige adfærd. Det er vigtigt, at ledelsesmedlemmer generelt udviser en høj grad af hæderlighed og integritet samt tilstrækkelig uafhængighed ved varetagelse af hvervet eller stillingen.</w:t>
      </w:r>
    </w:p>
    <w:p w14:paraId="13FA317A" w14:textId="77777777" w:rsidR="005A4AFF" w:rsidRPr="00796736" w:rsidRDefault="005A4AFF" w:rsidP="00A802A5">
      <w:pPr>
        <w:spacing w:line="360" w:lineRule="auto"/>
        <w:rPr>
          <w:rFonts w:ascii="Times New Roman" w:eastAsia="Times New Roman" w:hAnsi="Times New Roman" w:cs="Times New Roman"/>
          <w:sz w:val="24"/>
          <w:szCs w:val="24"/>
        </w:rPr>
      </w:pPr>
    </w:p>
    <w:p w14:paraId="5DC3A1A3"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Kravet om, at et ledelsesmedlem skal udvise tilstrækkelig uafhængighed ved varetagelse af hvervet eller stillingen, vil indebære, at ledelsesmedlemmet i forbindelse med udførelsen af det konkrete hverv eller stillingen skal udvise den fornødne uafhængighed, som stillingen eller hvervet nødvendiggør. For bestyrelsesmedlemmer vil det f.eks. betyde, at det enkelte bestyrelsesmedlem i tilstrækkelig grad skal kunne agere uafhængigt af den daglige ledelse hos udbyderen af spil og således i tilstrækkelig grad kunne udfordre og overvåge direktionens arbejde. Tilsvarende vil det for direktionsmedlemmer betyde, at det enkelte medlem i tilstrækkelig grad løbende skal kunne overvåge, udfordre og føre tilsyn med ledende medarbejderes arbejde.</w:t>
      </w:r>
    </w:p>
    <w:p w14:paraId="049C5CA7" w14:textId="77777777" w:rsidR="005A4AFF" w:rsidRPr="00796736" w:rsidRDefault="005A4AFF" w:rsidP="00A802A5">
      <w:pPr>
        <w:spacing w:line="360" w:lineRule="auto"/>
        <w:rPr>
          <w:rFonts w:ascii="Times New Roman" w:eastAsia="Times New Roman" w:hAnsi="Times New Roman" w:cs="Times New Roman"/>
          <w:sz w:val="24"/>
          <w:szCs w:val="24"/>
        </w:rPr>
      </w:pPr>
    </w:p>
    <w:p w14:paraId="7D9B3640" w14:textId="17593626"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Ledelsesmedlemmer </w:t>
      </w:r>
      <w:r w:rsidR="007B6F66"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endvidere </w:t>
      </w:r>
      <w:r w:rsidR="007B6F66" w:rsidRPr="00796736">
        <w:rPr>
          <w:rFonts w:ascii="Times New Roman" w:eastAsia="Times New Roman" w:hAnsi="Times New Roman" w:cs="Times New Roman"/>
          <w:sz w:val="24"/>
          <w:szCs w:val="24"/>
        </w:rPr>
        <w:t xml:space="preserve">skulle </w:t>
      </w:r>
      <w:r w:rsidRPr="00796736">
        <w:rPr>
          <w:rFonts w:ascii="Times New Roman" w:eastAsia="Times New Roman" w:hAnsi="Times New Roman" w:cs="Times New Roman"/>
          <w:sz w:val="24"/>
          <w:szCs w:val="24"/>
        </w:rPr>
        <w:t>have et godt omdømme. Det er vigtigt at opretholde det omgivende samfunds tillid til, at spilbranchen er en branche, der har et kontinuerligt fokus på at forebygge og bekæmpe hvidvask og terrorfinansiering, og hensynet hertil tilsiger, at også medlemmer af bestyrelsen og direktionen samt, hvor udbyderen af spil er en enkeltmandsvirksomhed, indehaveren, skal have et tilstrækkeligt godt omdømme i samfundet. Manglende tillid til enkelte ledelsesmedlemmer i dele af spilbranchen vil kunne have en afsmittende effekt på hele spilbranchens omdømme og tilliden til den samlede branche. Ved vurderingen af, om det pågældende bestyrelses- eller direktionsmedlem eller, hvor udbyderen af spil er en enkeltmandsvirksomhed, indehaveren, eller den eller de ledelsesansvarlige, lever op til kravene i det foreslåede stk. 1, nr. 1, skal der derfor lægges vægt på hensynet til at opretholde tilliden til spilbranchen set ud fra et perspektiv om, at branchen ønsker at forebygge og bekæmpe hvidvask og terrorfinansiering.</w:t>
      </w:r>
    </w:p>
    <w:p w14:paraId="467D3DAE" w14:textId="77777777" w:rsidR="005A4AFF" w:rsidRPr="00796736" w:rsidRDefault="005A4AFF" w:rsidP="00A802A5">
      <w:pPr>
        <w:spacing w:line="360" w:lineRule="auto"/>
        <w:rPr>
          <w:rFonts w:ascii="Times New Roman" w:eastAsia="Times New Roman" w:hAnsi="Times New Roman" w:cs="Times New Roman"/>
          <w:sz w:val="24"/>
          <w:szCs w:val="24"/>
        </w:rPr>
      </w:pPr>
    </w:p>
    <w:p w14:paraId="1E07C650" w14:textId="7237C1CA"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Et medlem af bestyrelsen eller direktionen eller, hvor udbyderen af spil er en enkeltmandsvirksomhed, indehaveren, eller den eller de ledelsesansvarlige, vil blive anset for at have et godt omdømme, hvis andet ikke er påvist, og hvis der ikke er nogen grund til at nære begrundet tvivl om vedkommendes gode omdømme. Spillemyndigheden vil lægge alle relevante oplysninger til grund ved vurderingen af, om bestyrelses- eller direktionsmedlemmet, indehaveren eller den eller de ledelsesansvarlige har et godt omdømme. Medlemmet, henholdsvis indehaveren eller den eller de ledelsesansvarlige, vil ikke blive anset for at have et godt omdømme, hvis vedkommendes personlige eller forretningsmæssige adfærd giver anledning til begrundet tvivl om vedkommendes evner til at sikre en sund og sikker ledelse af udbyderen af spil.</w:t>
      </w:r>
    </w:p>
    <w:p w14:paraId="12700310" w14:textId="77777777" w:rsidR="007B6F66" w:rsidRPr="00796736" w:rsidRDefault="007B6F66" w:rsidP="00A802A5">
      <w:pPr>
        <w:spacing w:line="360" w:lineRule="auto"/>
        <w:rPr>
          <w:rFonts w:ascii="Times New Roman" w:eastAsia="Times New Roman" w:hAnsi="Times New Roman" w:cs="Times New Roman"/>
          <w:sz w:val="24"/>
          <w:szCs w:val="24"/>
        </w:rPr>
      </w:pPr>
    </w:p>
    <w:p w14:paraId="206159BF"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Denne vurdering vil blive baseret bl.a. på alle kriminelle og administrative overtrædelser, inddragelse af tidligere tilladelser, licenser eller lignende, tidligere afskedigelser og baggrunden herfor. I vurderingen af medlemmets henholdsvis indehaverens omdømme vil Spillemyndigheden tage hensyn til alvoren af overtrædelsen, den tid, der er gået siden overtrædelsen, og personens opførsel i mellemtiden, herunder om der er tale om gentagne overtrædelser. Specielt i forhold til direktører vil det være vanskeligt at opretholde tilliden til vedkommende, hvis den virksomhed, som vedkommende leder, har modtaget gentagne påbud for manglende overholdelse af hvidvasklovgivningen.</w:t>
      </w:r>
    </w:p>
    <w:p w14:paraId="76DE63B2" w14:textId="77777777" w:rsidR="005A4AFF" w:rsidRPr="00796736" w:rsidRDefault="005A4AFF" w:rsidP="00A802A5">
      <w:pPr>
        <w:spacing w:line="360" w:lineRule="auto"/>
        <w:rPr>
          <w:rFonts w:ascii="Times New Roman" w:eastAsia="Times New Roman" w:hAnsi="Times New Roman" w:cs="Times New Roman"/>
          <w:sz w:val="24"/>
          <w:szCs w:val="24"/>
        </w:rPr>
      </w:pPr>
    </w:p>
    <w:p w14:paraId="4CA392C8" w14:textId="5C77428C"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Kravene i stk. 1, nr. 1, </w:t>
      </w:r>
      <w:r w:rsidR="007B6F66"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være opfyldt til enhver tid. Dette indebærer, at de skal opfyldes fra det tidspunkt, hvor </w:t>
      </w:r>
      <w:r w:rsidR="00922AA1" w:rsidRPr="00796736">
        <w:rPr>
          <w:rFonts w:ascii="Times New Roman" w:eastAsia="Times New Roman" w:hAnsi="Times New Roman" w:cs="Times New Roman"/>
          <w:sz w:val="24"/>
          <w:szCs w:val="24"/>
        </w:rPr>
        <w:t>virksomheden eller personen</w:t>
      </w:r>
      <w:r w:rsidRPr="00796736">
        <w:rPr>
          <w:rFonts w:ascii="Times New Roman" w:eastAsia="Times New Roman" w:hAnsi="Times New Roman" w:cs="Times New Roman"/>
          <w:sz w:val="24"/>
          <w:szCs w:val="24"/>
        </w:rPr>
        <w:t xml:space="preserve"> ansøger om tilladelse til at udbyde spil i Danmark og i hele den periode, hvori den pågældende varetager hvervet eller stillingen.</w:t>
      </w:r>
    </w:p>
    <w:p w14:paraId="23ADDA99" w14:textId="77777777" w:rsidR="005A4AFF" w:rsidRPr="00796736" w:rsidRDefault="005A4AFF" w:rsidP="00A802A5">
      <w:pPr>
        <w:spacing w:line="360" w:lineRule="auto"/>
        <w:rPr>
          <w:rFonts w:ascii="Times New Roman" w:eastAsia="Times New Roman" w:hAnsi="Times New Roman" w:cs="Times New Roman"/>
          <w:sz w:val="24"/>
          <w:szCs w:val="24"/>
        </w:rPr>
      </w:pPr>
    </w:p>
    <w:p w14:paraId="5FA7E903"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stk. 1, nr. 2</w:t>
      </w:r>
      <w:r w:rsidRPr="00796736">
        <w:rPr>
          <w:rFonts w:ascii="Times New Roman" w:eastAsia="Times New Roman" w:hAnsi="Times New Roman" w:cs="Times New Roman"/>
          <w:sz w:val="24"/>
          <w:szCs w:val="24"/>
        </w:rPr>
        <w:t>, at et medlem af den øverste ledelse skal besidde den viden og ekspertise, der er nødvendig for, at medlemmet kan udføre sine opgaver.</w:t>
      </w:r>
    </w:p>
    <w:p w14:paraId="47A2F23A" w14:textId="77777777" w:rsidR="005A4AFF" w:rsidRPr="00796736" w:rsidRDefault="005A4AFF" w:rsidP="00A802A5">
      <w:pPr>
        <w:spacing w:line="360" w:lineRule="auto"/>
        <w:rPr>
          <w:rFonts w:ascii="Times New Roman" w:eastAsia="Times New Roman" w:hAnsi="Times New Roman" w:cs="Times New Roman"/>
          <w:sz w:val="24"/>
          <w:szCs w:val="24"/>
        </w:rPr>
      </w:pPr>
    </w:p>
    <w:p w14:paraId="5133889D" w14:textId="6301B4BD"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Kravene skal være opfyldt til enhver tid, hvilket indebærer, at de </w:t>
      </w:r>
      <w:r w:rsidR="007B6F66"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opfyldes fra det tidspunkt, hvor </w:t>
      </w:r>
      <w:r w:rsidR="00922AA1" w:rsidRPr="00796736">
        <w:rPr>
          <w:rFonts w:ascii="Times New Roman" w:eastAsia="Times New Roman" w:hAnsi="Times New Roman" w:cs="Times New Roman"/>
          <w:sz w:val="24"/>
          <w:szCs w:val="24"/>
        </w:rPr>
        <w:t>en virksomhed eller person</w:t>
      </w:r>
      <w:r w:rsidRPr="00796736">
        <w:rPr>
          <w:rFonts w:ascii="Times New Roman" w:eastAsia="Times New Roman" w:hAnsi="Times New Roman" w:cs="Times New Roman"/>
          <w:sz w:val="24"/>
          <w:szCs w:val="24"/>
        </w:rPr>
        <w:t xml:space="preserve"> ansøger om tilladelse til at udbyde spil i Danmark og i hele den periode, hvori den pågældende varetager hvervet eller stillingen.</w:t>
      </w:r>
    </w:p>
    <w:p w14:paraId="410CDE4E" w14:textId="77777777" w:rsidR="005A4AFF" w:rsidRPr="00796736" w:rsidRDefault="005A4AFF" w:rsidP="00A802A5">
      <w:pPr>
        <w:spacing w:line="360" w:lineRule="auto"/>
        <w:rPr>
          <w:rFonts w:ascii="Times New Roman" w:eastAsia="Times New Roman" w:hAnsi="Times New Roman" w:cs="Times New Roman"/>
          <w:sz w:val="24"/>
          <w:szCs w:val="24"/>
        </w:rPr>
      </w:pPr>
    </w:p>
    <w:p w14:paraId="25B92610" w14:textId="2F51A2FD"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w:t>
      </w:r>
      <w:r w:rsidR="007B6F66" w:rsidRPr="00796736">
        <w:rPr>
          <w:rFonts w:ascii="Times New Roman" w:eastAsia="Times New Roman" w:hAnsi="Times New Roman" w:cs="Times New Roman"/>
          <w:sz w:val="24"/>
          <w:szCs w:val="24"/>
        </w:rPr>
        <w:t xml:space="preserve"> vil ikke blive</w:t>
      </w:r>
      <w:r w:rsidRPr="00796736">
        <w:rPr>
          <w:rFonts w:ascii="Times New Roman" w:eastAsia="Times New Roman" w:hAnsi="Times New Roman" w:cs="Times New Roman"/>
          <w:sz w:val="24"/>
          <w:szCs w:val="24"/>
        </w:rPr>
        <w:t xml:space="preserve"> opstille</w:t>
      </w:r>
      <w:r w:rsidR="007B6F66" w:rsidRPr="00796736">
        <w:rPr>
          <w:rFonts w:ascii="Times New Roman" w:eastAsia="Times New Roman" w:hAnsi="Times New Roman" w:cs="Times New Roman"/>
          <w:sz w:val="24"/>
          <w:szCs w:val="24"/>
        </w:rPr>
        <w:t>t</w:t>
      </w:r>
      <w:r w:rsidRPr="00796736">
        <w:rPr>
          <w:rFonts w:ascii="Times New Roman" w:eastAsia="Times New Roman" w:hAnsi="Times New Roman" w:cs="Times New Roman"/>
          <w:sz w:val="24"/>
          <w:szCs w:val="24"/>
        </w:rPr>
        <w:t xml:space="preserve"> generelle kriterier for, hvilke teoretiske eller praktiske krav personen skal opfylde. Disse varierer, afhængigt af om der er tale om en direktørpost, et bestyrelseshverv eller</w:t>
      </w:r>
      <w:r w:rsidR="007B6F66" w:rsidRPr="00796736">
        <w:rPr>
          <w:rFonts w:ascii="Times New Roman" w:eastAsia="Times New Roman" w:hAnsi="Times New Roman" w:cs="Times New Roman"/>
          <w:sz w:val="24"/>
          <w:szCs w:val="24"/>
        </w:rPr>
        <w:t xml:space="preserve"> en</w:t>
      </w:r>
      <w:r w:rsidRPr="00796736">
        <w:rPr>
          <w:rFonts w:ascii="Times New Roman" w:eastAsia="Times New Roman" w:hAnsi="Times New Roman" w:cs="Times New Roman"/>
          <w:sz w:val="24"/>
          <w:szCs w:val="24"/>
        </w:rPr>
        <w:t xml:space="preserve"> ledelses</w:t>
      </w:r>
      <w:r w:rsidR="007B6F66" w:rsidRPr="00796736">
        <w:rPr>
          <w:rFonts w:ascii="Times New Roman" w:eastAsia="Times New Roman" w:hAnsi="Times New Roman" w:cs="Times New Roman"/>
          <w:sz w:val="24"/>
          <w:szCs w:val="24"/>
        </w:rPr>
        <w:t xml:space="preserve">post. </w:t>
      </w:r>
    </w:p>
    <w:p w14:paraId="4AF5F17A" w14:textId="77777777" w:rsidR="005A4AFF" w:rsidRPr="00796736" w:rsidRDefault="005A4AFF" w:rsidP="00A802A5">
      <w:pPr>
        <w:spacing w:line="360" w:lineRule="auto"/>
        <w:rPr>
          <w:rFonts w:ascii="Times New Roman" w:eastAsia="Times New Roman" w:hAnsi="Times New Roman" w:cs="Times New Roman"/>
          <w:sz w:val="24"/>
          <w:szCs w:val="24"/>
        </w:rPr>
      </w:pPr>
    </w:p>
    <w:p w14:paraId="07FF2544" w14:textId="6AA2A5E0"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I vurderingen kan bl.a. indgå, om personen har en relevant uddannelse, og om vedkommende har ledelseserfaring. Der vil i praksis blive stillet mindre krav til et bestyrelsesmedlem end til en direktør, ligesom kravene vil blive skærpet, hvis der er tale om en stor og/eller kompleks udbyder af spil. Der vil ikke blive stillet et ubetinget krav om, at et bestyrelsesmedlem har særlig indsigt i forhold for udbydere af spil. Det bemærkes dog, at dette kan være et krav i den hæderligheds- og egnethedsvurdering, der foretages i medfør af § 29, stk. 2, i lov om spil. I forhold til at opfylde kravet i hvidvasklovens </w:t>
      </w:r>
      <w:r w:rsidRPr="00796736">
        <w:rPr>
          <w:rFonts w:ascii="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_Ref236641619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rPr>
        <w:t>, stk. 1, nr. 2, så vil en særlig indsigt i hvidvasklovgivningen, som er relevant, kunne være tilstrækkelig. De øvrige kompetencer i bestyrelsen eller direktionen vil ikke blive inddraget i forbindelse med vurderingen af, om et bestyrelsesmedlem eller en direktør opfylder kravene. Egnetheds- og hæderlighedsvurderingen vil være knyttet til stillingen eller hvervet hos den konkrete udbyder af spil. Derfor vil man ikke kunne overføre egnetheds- og hæderlighedsvurderingen fra den ene udbyder af spil til den anden udbyder af spil.</w:t>
      </w:r>
    </w:p>
    <w:p w14:paraId="5447091B" w14:textId="77777777" w:rsidR="005A4AFF" w:rsidRPr="00796736" w:rsidRDefault="005A4AFF" w:rsidP="00A802A5">
      <w:pPr>
        <w:spacing w:line="360" w:lineRule="auto"/>
        <w:rPr>
          <w:rFonts w:ascii="Times New Roman" w:eastAsia="Times New Roman" w:hAnsi="Times New Roman" w:cs="Times New Roman"/>
          <w:sz w:val="24"/>
          <w:szCs w:val="24"/>
        </w:rPr>
      </w:pPr>
    </w:p>
    <w:p w14:paraId="44352B9F"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En udbyder af spil, der er en enkeltmandsvirksomhed, skal på tilsvarende vis som direktører og bestyrelsesmedlemmer have tilstrækkelig viden, faglig kompetence og erfaring om hvidvaskreglerne til at kunne varetage hvervet som udbyder af spil, der er omfattet af hvidvasklovgivningen. Ved vurderingen af indehaverens viden, faglige kompetencer og erfaring på hvidvaskområdet vil der blive lagt vægt på, om vedkommende har de fornødne kompetencer og ressourcer til at forebygge og bekæmpe hvidvask og terrorfinansiering.</w:t>
      </w:r>
    </w:p>
    <w:p w14:paraId="46D7524C" w14:textId="77777777" w:rsidR="005A4AFF" w:rsidRPr="00796736" w:rsidRDefault="005A4AFF" w:rsidP="00A802A5">
      <w:pPr>
        <w:spacing w:line="360" w:lineRule="auto"/>
        <w:rPr>
          <w:rFonts w:ascii="Times New Roman" w:eastAsia="Times New Roman" w:hAnsi="Times New Roman" w:cs="Times New Roman"/>
          <w:sz w:val="24"/>
          <w:szCs w:val="24"/>
        </w:rPr>
      </w:pPr>
    </w:p>
    <w:p w14:paraId="3F249F1B" w14:textId="77777777" w:rsidR="007B6F66"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stk. 2, at stk. 1, nr. 1</w:t>
      </w:r>
      <w:r w:rsidRPr="00796736">
        <w:rPr>
          <w:rFonts w:ascii="Times New Roman" w:eastAsia="Times New Roman" w:hAnsi="Times New Roman" w:cs="Times New Roman"/>
          <w:sz w:val="24"/>
          <w:szCs w:val="24"/>
        </w:rPr>
        <w:t xml:space="preserve">, finder tilsvarende anvendelse for reelle ejere. </w:t>
      </w:r>
    </w:p>
    <w:p w14:paraId="217D3F90" w14:textId="77777777" w:rsidR="007B6F66" w:rsidRPr="00796736" w:rsidRDefault="007B6F66" w:rsidP="00A802A5">
      <w:pPr>
        <w:spacing w:line="360" w:lineRule="auto"/>
        <w:rPr>
          <w:rFonts w:ascii="Times New Roman" w:eastAsia="Times New Roman" w:hAnsi="Times New Roman" w:cs="Times New Roman"/>
          <w:sz w:val="24"/>
          <w:szCs w:val="24"/>
        </w:rPr>
      </w:pPr>
    </w:p>
    <w:p w14:paraId="32BFC388"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Dette følger direkte af 6. hvidvaskdirektivs artikel 6, stk. 1 og 3, og implementeres således. Reelle ejere vil dermed være underlagt de samme krav som den øverste ledelse, der er beskrevet ovenfor under det foreslåede stk. 1, nr. 1. </w:t>
      </w:r>
    </w:p>
    <w:p w14:paraId="4E3AD37A" w14:textId="77777777" w:rsidR="005A4AFF" w:rsidRPr="00796736" w:rsidRDefault="005A4AFF" w:rsidP="00A802A5">
      <w:pPr>
        <w:spacing w:line="360" w:lineRule="auto"/>
        <w:rPr>
          <w:rFonts w:ascii="Times New Roman" w:eastAsia="Times New Roman" w:hAnsi="Times New Roman" w:cs="Times New Roman"/>
          <w:sz w:val="24"/>
          <w:szCs w:val="24"/>
        </w:rPr>
      </w:pPr>
    </w:p>
    <w:p w14:paraId="41CFDA05" w14:textId="188C751F"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Reelle ejere skal forstås i overensstemmelse med definitionen af reelle ejere i </w:t>
      </w:r>
      <w:r w:rsidR="007B6F66" w:rsidRPr="00796736">
        <w:rPr>
          <w:rFonts w:ascii="Times New Roman" w:eastAsia="Times New Roman" w:hAnsi="Times New Roman" w:cs="Times New Roman"/>
          <w:sz w:val="24"/>
          <w:szCs w:val="24"/>
        </w:rPr>
        <w:t xml:space="preserve">hvidvaskforordningens </w:t>
      </w:r>
      <w:r w:rsidRPr="00796736">
        <w:rPr>
          <w:rFonts w:ascii="Times New Roman" w:eastAsia="Times New Roman" w:hAnsi="Times New Roman" w:cs="Times New Roman"/>
          <w:sz w:val="24"/>
          <w:szCs w:val="24"/>
        </w:rPr>
        <w:t xml:space="preserve">artikel 2, stk. 1, nr. 28, hvorefter en reel ejer skal forstås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forpligtet enhed eller som på anden måde direkte eller indirekte kontrollerer virksomheden. Identifikation af reelle ejere er derudover nærmere reguleret i </w:t>
      </w:r>
      <w:r w:rsidR="007B6F66" w:rsidRPr="00796736">
        <w:rPr>
          <w:rFonts w:ascii="Times New Roman" w:eastAsia="Times New Roman" w:hAnsi="Times New Roman" w:cs="Times New Roman"/>
          <w:sz w:val="24"/>
          <w:szCs w:val="24"/>
        </w:rPr>
        <w:t>hvidvask</w:t>
      </w:r>
      <w:r w:rsidRPr="00796736">
        <w:rPr>
          <w:rFonts w:ascii="Times New Roman" w:eastAsia="Times New Roman" w:hAnsi="Times New Roman" w:cs="Times New Roman"/>
          <w:sz w:val="24"/>
          <w:szCs w:val="24"/>
        </w:rPr>
        <w:t>forordningens kapitel 4.</w:t>
      </w:r>
    </w:p>
    <w:p w14:paraId="5DEBBE77" w14:textId="77777777" w:rsidR="005A4AFF" w:rsidRPr="00796736" w:rsidRDefault="005A4AFF" w:rsidP="00A802A5">
      <w:pPr>
        <w:spacing w:line="360" w:lineRule="auto"/>
        <w:rPr>
          <w:rFonts w:ascii="Times New Roman" w:eastAsia="Times New Roman" w:hAnsi="Times New Roman" w:cs="Times New Roman"/>
          <w:sz w:val="24"/>
          <w:szCs w:val="24"/>
        </w:rPr>
      </w:pPr>
    </w:p>
    <w:p w14:paraId="17F13BCA" w14:textId="4C85A008"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sz w:val="24"/>
          <w:szCs w:val="24"/>
        </w:rPr>
        <w:t>stk. 3,</w:t>
      </w:r>
      <w:r w:rsidRPr="00796736">
        <w:rPr>
          <w:rFonts w:ascii="Times New Roman" w:eastAsia="Times New Roman" w:hAnsi="Times New Roman" w:cs="Times New Roman"/>
          <w:sz w:val="24"/>
          <w:szCs w:val="24"/>
        </w:rPr>
        <w:t xml:space="preserve"> at betingelserne i stk. 1 og 2 for virksomheder og personer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1, nr. 1, skal være opfyldt ved ansøgning om tilladelse til udbud af spil i medfør af lov om spil og skal opretholdes i hele tilladelsesperioden. Det vil således være en forudsætning for at opnå tilladelse til udbud og arrangering af spil i medfør af lov om spil, at betingelserne i stk. 1 og 2 er opfyldte. Det vil ligeledes være en forudsætning, at betingelserne fortsat er opfyldte i hele tilladelsesperioden. Henvisningen til lov om spil foreslås, da der dermed ikke er nogen tvivl om, at hæderligheds- og egnethedsvurderingen efter denne bestemmelse vil være en forudsætning for at opnå og opretholde en tilladelse til udbud og arrangering af spil.</w:t>
      </w:r>
    </w:p>
    <w:p w14:paraId="1341AF07" w14:textId="77777777" w:rsidR="005A4AFF" w:rsidRPr="00796736" w:rsidRDefault="005A4AFF" w:rsidP="00A802A5">
      <w:pPr>
        <w:spacing w:line="360" w:lineRule="auto"/>
        <w:rPr>
          <w:rFonts w:ascii="Times New Roman" w:eastAsia="Times New Roman" w:hAnsi="Times New Roman" w:cs="Times New Roman"/>
          <w:sz w:val="24"/>
          <w:szCs w:val="24"/>
        </w:rPr>
      </w:pPr>
    </w:p>
    <w:p w14:paraId="59E45231" w14:textId="39FA5B44"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vil i tilladelsesperioden løbende skulle foretage en screening af reelle ejere og medlemmer af den øverste ledelse, herunder bl.a. op mod diverse sanktionslister, databaser mv. </w:t>
      </w:r>
    </w:p>
    <w:p w14:paraId="273219EA" w14:textId="77777777" w:rsidR="005A4AFF" w:rsidRPr="00796736" w:rsidRDefault="005A4AFF" w:rsidP="00A802A5">
      <w:pPr>
        <w:spacing w:line="360" w:lineRule="auto"/>
        <w:rPr>
          <w:rFonts w:ascii="Times New Roman" w:eastAsia="Times New Roman" w:hAnsi="Times New Roman" w:cs="Times New Roman"/>
          <w:sz w:val="24"/>
          <w:szCs w:val="24"/>
        </w:rPr>
      </w:pPr>
    </w:p>
    <w:p w14:paraId="4818E001"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Screeningen skal foretages ud fra en risikobaseret tilgang, forstået på den måde, at forpligtede enheder, som har en personkreds, der udgør en øget risiko, vil blive underlagt en skærpet screening.</w:t>
      </w:r>
    </w:p>
    <w:p w14:paraId="7D565077" w14:textId="77777777" w:rsidR="005A4AFF" w:rsidRPr="00796736" w:rsidRDefault="005A4AFF" w:rsidP="00A802A5">
      <w:pPr>
        <w:spacing w:line="360" w:lineRule="auto"/>
        <w:rPr>
          <w:rFonts w:ascii="Times New Roman" w:eastAsia="Times New Roman" w:hAnsi="Times New Roman" w:cs="Times New Roman"/>
          <w:sz w:val="24"/>
          <w:szCs w:val="24"/>
        </w:rPr>
      </w:pPr>
    </w:p>
    <w:p w14:paraId="08DAD06F" w14:textId="7359D7B8"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 vil således også have mulighed for at indhente oplysninger hos de forpligtede enheder, hvis dette skønnes nødvendigt for at foretage en screening.</w:t>
      </w:r>
    </w:p>
    <w:p w14:paraId="33655F2D" w14:textId="77777777" w:rsidR="007B6F66" w:rsidRPr="00796736" w:rsidRDefault="007B6F66" w:rsidP="00A802A5">
      <w:pPr>
        <w:spacing w:line="360" w:lineRule="auto"/>
        <w:rPr>
          <w:rFonts w:ascii="Times New Roman" w:eastAsia="Times New Roman" w:hAnsi="Times New Roman" w:cs="Times New Roman"/>
          <w:sz w:val="24"/>
          <w:szCs w:val="24"/>
        </w:rPr>
      </w:pPr>
    </w:p>
    <w:p w14:paraId="66D6D6D0" w14:textId="77777777"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stk. 4,</w:t>
      </w:r>
      <w:r w:rsidRPr="00796736">
        <w:rPr>
          <w:rFonts w:ascii="Times New Roman" w:eastAsia="Times New Roman" w:hAnsi="Times New Roman" w:cs="Times New Roman"/>
          <w:sz w:val="24"/>
          <w:szCs w:val="24"/>
        </w:rPr>
        <w:t xml:space="preserve"> at </w:t>
      </w:r>
      <w:r w:rsidRPr="00796736">
        <w:rPr>
          <w:rFonts w:ascii="Times New Roman" w:hAnsi="Times New Roman" w:cs="Times New Roman"/>
          <w:sz w:val="24"/>
          <w:szCs w:val="24"/>
        </w:rPr>
        <w:t>enhver ændring af de oplysninger, der er lagt til grund for opfyldelse af betingelserne i stk. 1, skal meddeles Spillemyndigheden senest 2 uger efter ændringen.</w:t>
      </w:r>
    </w:p>
    <w:p w14:paraId="5AFBCABE" w14:textId="77777777" w:rsidR="007B6F66" w:rsidRPr="00796736" w:rsidRDefault="007B6F66" w:rsidP="00A802A5">
      <w:pPr>
        <w:spacing w:line="360" w:lineRule="auto"/>
        <w:rPr>
          <w:rFonts w:ascii="Times New Roman" w:hAnsi="Times New Roman" w:cs="Times New Roman"/>
          <w:sz w:val="24"/>
          <w:szCs w:val="24"/>
        </w:rPr>
      </w:pPr>
    </w:p>
    <w:p w14:paraId="089DCB6B" w14:textId="20D883FF"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foreslåede vil indebære, at indtræder der efter ansøgning om tilladelse til virksomheder eller personer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forhold vedrørende et medlem af den øverste ledelse, som er af betydning for vurderingen af, om kravene til egnethed og hæderlighed i stk. 1 fortsat kan anses for at være opfyldt, vil medlemmet af den øverste ledelse eller virksomheden eller personen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som medlemmet er ansat hos, tillige være forpligtet til af egen drift at informere Spillemyndigheden herom. Det vil herefter være op til Spillemyndigheden at tage stilling til, om medlemmet af den øverste ledelse fortsat kan anses for at være egnet og hæderlig. De oplysninger, som Spillemyndigheden modtager, vil indgå i denne bedømmelse. </w:t>
      </w:r>
    </w:p>
    <w:p w14:paraId="28918D08" w14:textId="77777777" w:rsidR="007B6F66" w:rsidRPr="00796736" w:rsidRDefault="007B6F66" w:rsidP="00A802A5">
      <w:pPr>
        <w:spacing w:line="360" w:lineRule="auto"/>
        <w:rPr>
          <w:rFonts w:ascii="Times New Roman" w:eastAsia="Times New Roman" w:hAnsi="Times New Roman" w:cs="Times New Roman"/>
          <w:sz w:val="24"/>
          <w:szCs w:val="24"/>
        </w:rPr>
      </w:pPr>
    </w:p>
    <w:p w14:paraId="72DC387B" w14:textId="78145D10" w:rsidR="007B6F6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Overtrædelse af bestemmelsen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_Ref236641619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4, foreslås strafbelagt. Med bestemmelsen i forslagets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_Ref236641619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4, foreslås det således, at et medlem af den øverste ledelse, der undlader senest 2 uger efter ændringen at meddele Spillemyndigheden oplysninger, der er nævnt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_Ref236641619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4, hvis forholdene ændres, kan straffes med bøde. Den strafbare handling består i undladelsen af rettidigt at meddele oplysninger om de ændrede forhold. Ansvarssubjektet for overtrædelse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_Ref236641619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4, vil være virksomheden eller personen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w:t>
      </w:r>
    </w:p>
    <w:p w14:paraId="1902E34E" w14:textId="7A1875A8" w:rsidR="007B7BA4" w:rsidRPr="00796736" w:rsidRDefault="007B7BA4" w:rsidP="00A802A5">
      <w:pPr>
        <w:spacing w:line="360" w:lineRule="auto"/>
        <w:rPr>
          <w:rFonts w:ascii="Times New Roman" w:eastAsia="Times New Roman" w:hAnsi="Times New Roman" w:cs="Times New Roman"/>
          <w:sz w:val="24"/>
          <w:szCs w:val="24"/>
        </w:rPr>
      </w:pPr>
      <w:r w:rsidRPr="000D614A">
        <w:rPr>
          <w:rFonts w:ascii="Times New Roman" w:eastAsia="Times New Roman" w:hAnsi="Times New Roman" w:cs="Times New Roman"/>
          <w:sz w:val="24"/>
          <w:szCs w:val="24"/>
        </w:rPr>
        <w:t>Bestemmelsen vil</w:t>
      </w:r>
      <w:r>
        <w:rPr>
          <w:rFonts w:ascii="Times New Roman" w:eastAsia="Times New Roman" w:hAnsi="Times New Roman" w:cs="Times New Roman"/>
          <w:sz w:val="24"/>
          <w:szCs w:val="24"/>
        </w:rPr>
        <w:t xml:space="preserve"> dog</w:t>
      </w:r>
      <w:r w:rsidRPr="000D614A">
        <w:rPr>
          <w:rFonts w:ascii="Times New Roman" w:eastAsia="Times New Roman" w:hAnsi="Times New Roman" w:cs="Times New Roman"/>
          <w:sz w:val="24"/>
          <w:szCs w:val="24"/>
        </w:rPr>
        <w:t xml:space="preserve"> indebære, at oplysningspligten ikke</w:t>
      </w:r>
      <w:r>
        <w:rPr>
          <w:rFonts w:ascii="Times New Roman" w:eastAsia="Times New Roman" w:hAnsi="Times New Roman" w:cs="Times New Roman"/>
          <w:sz w:val="24"/>
          <w:szCs w:val="24"/>
        </w:rPr>
        <w:t xml:space="preserve"> vil kunne</w:t>
      </w:r>
      <w:r w:rsidRPr="000D614A">
        <w:rPr>
          <w:rFonts w:ascii="Times New Roman" w:eastAsia="Times New Roman" w:hAnsi="Times New Roman" w:cs="Times New Roman"/>
          <w:sz w:val="24"/>
          <w:szCs w:val="24"/>
        </w:rPr>
        <w:t xml:space="preserve"> finde anvendelse over for en enkeltperson eller juridisk person, hvis der er konkret mistanke om, at den pågældende har begået en lovovertrædelse, der kan medføre straf, medmindre det kan udelukkes, at oplysningerne kan have betydning for bedømmelsen af den formodede lovovertrædelse, jf. § 10 i retssikkerhedsloven. </w:t>
      </w:r>
      <w:r>
        <w:rPr>
          <w:rFonts w:ascii="Times New Roman" w:eastAsia="Times New Roman" w:hAnsi="Times New Roman" w:cs="Times New Roman"/>
          <w:sz w:val="24"/>
          <w:szCs w:val="24"/>
        </w:rPr>
        <w:t>Spillemyndigheden</w:t>
      </w:r>
      <w:r w:rsidRPr="000D614A">
        <w:rPr>
          <w:rFonts w:ascii="Times New Roman" w:eastAsia="Times New Roman" w:hAnsi="Times New Roman" w:cs="Times New Roman"/>
          <w:sz w:val="24"/>
          <w:szCs w:val="24"/>
        </w:rPr>
        <w:t xml:space="preserve"> vil i sådanne tilfælde skulle vejlede den mistænkte om, at vedkommende ikke har pligt til at meddele oplysninger, som kan have betydning for bedømmelsen af den formodede lovovertrædelse. Se nærmere herom i de almindelige bemærkninger pkt. 4.3.</w:t>
      </w:r>
    </w:p>
    <w:p w14:paraId="056FB8F4" w14:textId="77777777" w:rsidR="007B6F66" w:rsidRPr="00796736" w:rsidRDefault="007B6F66" w:rsidP="00A802A5">
      <w:pPr>
        <w:spacing w:line="360" w:lineRule="auto"/>
        <w:rPr>
          <w:rFonts w:ascii="Times New Roman" w:eastAsia="Times New Roman" w:hAnsi="Times New Roman" w:cs="Times New Roman"/>
          <w:i/>
          <w:iCs/>
          <w:sz w:val="24"/>
          <w:szCs w:val="24"/>
        </w:rPr>
      </w:pPr>
    </w:p>
    <w:p w14:paraId="2A171C45" w14:textId="69D49C34" w:rsidR="007B6F66" w:rsidRPr="00796736" w:rsidRDefault="007B6F66"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henvises i øvrigt til pkt.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_Ref241436849 \n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3.76</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i lovforslagets almindelige bemærkninger.</w:t>
      </w:r>
    </w:p>
    <w:p w14:paraId="69F6BADC" w14:textId="77777777" w:rsidR="005A4AFF" w:rsidRPr="00796736" w:rsidRDefault="005A4AFF" w:rsidP="00A802A5">
      <w:pPr>
        <w:spacing w:line="360" w:lineRule="auto"/>
        <w:rPr>
          <w:rFonts w:ascii="Times New Roman" w:eastAsia="Times New Roman" w:hAnsi="Times New Roman" w:cs="Times New Roman"/>
          <w:sz w:val="24"/>
          <w:szCs w:val="24"/>
        </w:rPr>
      </w:pPr>
    </w:p>
    <w:p w14:paraId="37F1F634" w14:textId="75A20186" w:rsidR="005A4AFF" w:rsidRPr="00796736" w:rsidRDefault="005A4AFF" w:rsidP="00A802A5">
      <w:pPr>
        <w:pStyle w:val="Undertitel"/>
      </w:pPr>
      <w:bookmarkStart w:id="2197" w:name="_Toc244879412"/>
      <w:bookmarkStart w:id="2198" w:name="_Toc244880937"/>
      <w:r w:rsidRPr="00796736">
        <w:t xml:space="preserve">Til </w:t>
      </w:r>
      <w:r w:rsidRPr="00796736">
        <w:fldChar w:fldCharType="begin"/>
      </w:r>
      <w:r w:rsidRPr="00796736">
        <w:instrText xml:space="preserve"> REF _Ref236144676 \r \h </w:instrText>
      </w:r>
      <w:r w:rsidR="00A47042" w:rsidRPr="00796736">
        <w:instrText xml:space="preserve"> \* MERGEFORMAT </w:instrText>
      </w:r>
      <w:r w:rsidRPr="00796736">
        <w:fldChar w:fldCharType="separate"/>
      </w:r>
      <w:r w:rsidR="008F29E5">
        <w:t>§ 116</w:t>
      </w:r>
      <w:bookmarkEnd w:id="2197"/>
      <w:bookmarkEnd w:id="2198"/>
      <w:r w:rsidRPr="00796736">
        <w:fldChar w:fldCharType="end"/>
      </w:r>
      <w:r w:rsidRPr="00796736">
        <w:t xml:space="preserve"> </w:t>
      </w:r>
    </w:p>
    <w:p w14:paraId="27F93706" w14:textId="77777777" w:rsidR="007B6F66" w:rsidRPr="00796736" w:rsidRDefault="007B6F66"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Hvidvasklovens § 65 indeholder bestemmelser om, hvilke oplysninger Spillemyndigheden har krav på som led i sin tilsynsforpligtelse.</w:t>
      </w:r>
    </w:p>
    <w:p w14:paraId="1B2E3665" w14:textId="14C1A0C9" w:rsidR="005A4AFF" w:rsidRPr="00796736" w:rsidRDefault="005A4AF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_Ref236144676 \r \h </w:instrText>
      </w:r>
      <w:r w:rsidR="00A47042"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omhandler </w:t>
      </w:r>
      <w:r w:rsidR="007B6F66" w:rsidRPr="00796736">
        <w:rPr>
          <w:rFonts w:ascii="Times New Roman" w:hAnsi="Times New Roman" w:cs="Times New Roman"/>
          <w:sz w:val="24"/>
          <w:szCs w:val="24"/>
        </w:rPr>
        <w:t>Spillemyndighedens indhentning af oplysninger, som er nødvendige for Spillemyndigheden virksomhed. Forslaget vil videreføre hvidvasklovens § 65, stk. 2-4, med visse indholdsmæssige ændringer, da leverandører og underleverandører også vil blive pålagt at give de nødvendige oplysninger til Spillemyndigheden.</w:t>
      </w:r>
    </w:p>
    <w:p w14:paraId="56E972BE" w14:textId="77777777" w:rsidR="005A4AFF" w:rsidRPr="00796736" w:rsidRDefault="005A4AF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Ændringen er en følge af 6. hvidvaskdirektiv, der i artikel 37, stk. 6, litra a, foreskriver, at tilsynsorganerne skal have beføjelse til at kræve fremlæggelse af alle oplysninger fra forpligtede enheder, som er relevante for overvågning og kontrol af overholdelsen af hvidvaskforordningen, og til at gennemføre kontroller, herunder fra tjenesteudbydere, som forpligtede enheder har outsourcet en del af deres opgaver til for at opfylde kravene i hvidvaskforordningen.</w:t>
      </w:r>
    </w:p>
    <w:p w14:paraId="54E3C9C0" w14:textId="77777777" w:rsidR="005A4AFF" w:rsidRPr="00796736" w:rsidRDefault="005A4AFF"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ligeledes af 6. hvidvaskdirektivs artikel 56, stk. 3, litra a, at tilsynsorganerne ved hjælp af administrative foranstaltninger skal kunne kræve fremlæggelse uden unødigt ophold af data eller oplysninger, der er nødvendige for udførelsen af deres opgaver.</w:t>
      </w:r>
    </w:p>
    <w:p w14:paraId="41BFA5B7" w14:textId="75D54EBA" w:rsidR="005A4AFF" w:rsidRPr="00796736" w:rsidRDefault="005A4AFF"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foreslås i </w:t>
      </w:r>
      <w:r w:rsidRPr="00796736">
        <w:rPr>
          <w:rFonts w:ascii="Times New Roman" w:eastAsia="Times New Roman" w:hAnsi="Times New Roman" w:cs="Times New Roman"/>
          <w:i/>
          <w:color w:val="000000" w:themeColor="text1"/>
          <w:sz w:val="24"/>
          <w:szCs w:val="24"/>
        </w:rPr>
        <w:t>stk. 1</w:t>
      </w:r>
      <w:r w:rsidRPr="00796736">
        <w:rPr>
          <w:rFonts w:ascii="Times New Roman" w:eastAsia="Times New Roman" w:hAnsi="Times New Roman" w:cs="Times New Roman"/>
          <w:color w:val="000000" w:themeColor="text1"/>
          <w:sz w:val="24"/>
          <w:szCs w:val="24"/>
        </w:rPr>
        <w:t xml:space="preserve">, at </w:t>
      </w:r>
      <w:r w:rsidR="0058659A" w:rsidRPr="00796736">
        <w:rPr>
          <w:rFonts w:ascii="Times New Roman" w:eastAsia="Times New Roman" w:hAnsi="Times New Roman" w:cs="Times New Roman"/>
          <w:sz w:val="24"/>
          <w:szCs w:val="24"/>
        </w:rPr>
        <w:t xml:space="preserve">virksomheder og personer omfattet af </w:t>
      </w:r>
      <w:r w:rsidR="0058659A" w:rsidRPr="00796736">
        <w:rPr>
          <w:rFonts w:ascii="Times New Roman" w:eastAsia="Times New Roman" w:hAnsi="Times New Roman" w:cs="Times New Roman"/>
          <w:sz w:val="24"/>
          <w:szCs w:val="24"/>
        </w:rPr>
        <w:fldChar w:fldCharType="begin"/>
      </w:r>
      <w:r w:rsidR="0058659A"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0058659A" w:rsidRPr="00796736">
        <w:rPr>
          <w:rFonts w:ascii="Times New Roman" w:eastAsia="Times New Roman" w:hAnsi="Times New Roman" w:cs="Times New Roman"/>
          <w:sz w:val="24"/>
          <w:szCs w:val="24"/>
        </w:rPr>
      </w:r>
      <w:r w:rsidR="0058659A"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58659A" w:rsidRPr="00796736">
        <w:rPr>
          <w:rFonts w:ascii="Times New Roman" w:eastAsia="Times New Roman" w:hAnsi="Times New Roman" w:cs="Times New Roman"/>
          <w:sz w:val="24"/>
          <w:szCs w:val="24"/>
        </w:rPr>
        <w:fldChar w:fldCharType="end"/>
      </w:r>
      <w:r w:rsidR="0058659A" w:rsidRPr="00796736">
        <w:rPr>
          <w:rFonts w:ascii="Times New Roman" w:eastAsia="Times New Roman" w:hAnsi="Times New Roman" w:cs="Times New Roman"/>
          <w:sz w:val="24"/>
          <w:szCs w:val="24"/>
        </w:rPr>
        <w:t>, stk. 1</w:t>
      </w:r>
      <w:r w:rsidRPr="00796736">
        <w:rPr>
          <w:rFonts w:ascii="Times New Roman" w:eastAsia="Times New Roman" w:hAnsi="Times New Roman" w:cs="Times New Roman"/>
          <w:sz w:val="24"/>
          <w:szCs w:val="24"/>
        </w:rPr>
        <w:t xml:space="preserve">, samt leverandører og underleverandører til disse, skal give Spillemyndigheden de oplysninger, der er nødvendige for </w:t>
      </w:r>
      <w:r w:rsidR="00222625" w:rsidRPr="00796736">
        <w:rPr>
          <w:rFonts w:ascii="Times New Roman" w:eastAsia="Times New Roman" w:hAnsi="Times New Roman" w:cs="Times New Roman"/>
          <w:sz w:val="24"/>
          <w:szCs w:val="24"/>
        </w:rPr>
        <w:t>Spille</w:t>
      </w:r>
      <w:r w:rsidRPr="00796736">
        <w:rPr>
          <w:rFonts w:ascii="Times New Roman" w:eastAsia="Times New Roman" w:hAnsi="Times New Roman" w:cs="Times New Roman"/>
          <w:sz w:val="24"/>
          <w:szCs w:val="24"/>
        </w:rPr>
        <w:t>myndighedens virksomhed</w:t>
      </w:r>
      <w:r w:rsidRPr="00796736">
        <w:rPr>
          <w:rFonts w:ascii="Times New Roman" w:eastAsia="Times New Roman" w:hAnsi="Times New Roman" w:cs="Times New Roman"/>
          <w:color w:val="000000" w:themeColor="text1"/>
          <w:sz w:val="24"/>
          <w:szCs w:val="24"/>
        </w:rPr>
        <w:t>.</w:t>
      </w:r>
    </w:p>
    <w:p w14:paraId="70452496" w14:textId="77777777" w:rsidR="005A4AFF" w:rsidRPr="00796736" w:rsidRDefault="005A4AFF" w:rsidP="00A802A5">
      <w:pPr>
        <w:spacing w:line="360" w:lineRule="auto"/>
        <w:rPr>
          <w:rFonts w:ascii="Times New Roman" w:eastAsia="Times New Roman" w:hAnsi="Times New Roman" w:cs="Times New Roman"/>
          <w:color w:val="000000" w:themeColor="text1"/>
          <w:sz w:val="24"/>
          <w:szCs w:val="24"/>
        </w:rPr>
      </w:pPr>
    </w:p>
    <w:p w14:paraId="52CF0D82" w14:textId="3607CD7F" w:rsidR="005A4AFF" w:rsidRPr="00796736" w:rsidRDefault="00D55072" w:rsidP="00A802A5">
      <w:pPr>
        <w:spacing w:after="240" w:line="360" w:lineRule="auto"/>
        <w:rPr>
          <w:rFonts w:ascii="Times New Roman" w:hAnsi="Times New Roman" w:cs="Times New Roman"/>
          <w:sz w:val="24"/>
          <w:szCs w:val="24"/>
        </w:rPr>
      </w:pPr>
      <w:r w:rsidRPr="00796736">
        <w:rPr>
          <w:rFonts w:ascii="Times New Roman" w:eastAsia="Times New Roman" w:hAnsi="Times New Roman" w:cs="Times New Roman"/>
          <w:color w:val="000000" w:themeColor="text1"/>
          <w:sz w:val="24"/>
          <w:szCs w:val="24"/>
        </w:rPr>
        <w:t>Den foreslåede bestemmelse viderefører hvidvasklovens § 65, stk. 2,</w:t>
      </w:r>
      <w:r w:rsidRPr="00796736">
        <w:rPr>
          <w:rFonts w:ascii="Times New Roman" w:eastAsia="Times New Roman" w:hAnsi="Times New Roman" w:cs="Times New Roman"/>
          <w:sz w:val="24"/>
          <w:szCs w:val="24"/>
        </w:rPr>
        <w:t xml:space="preserve"> med en udvidelse af den omfattede kreds af pligtsubjekter. </w:t>
      </w:r>
      <w:r w:rsidRPr="00796736">
        <w:rPr>
          <w:rFonts w:ascii="Times New Roman" w:hAnsi="Times New Roman" w:cs="Times New Roman"/>
          <w:sz w:val="24"/>
          <w:szCs w:val="24"/>
        </w:rPr>
        <w:t xml:space="preserve"> </w:t>
      </w:r>
      <w:r w:rsidRPr="00796736">
        <w:rPr>
          <w:rFonts w:ascii="Times New Roman" w:eastAsia="Calibri" w:hAnsi="Times New Roman" w:cs="Times New Roman"/>
          <w:sz w:val="24"/>
          <w:szCs w:val="24"/>
        </w:rPr>
        <w:t>Bestemmelsen ændres derudover indholdsmæssigt således, at også leverandører og underleverandører omfattes af oplysningspligten.</w:t>
      </w:r>
    </w:p>
    <w:p w14:paraId="6C462464" w14:textId="2453C56F"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vil medføre, at omfattede virksomheder og personer, samt deres leverandører og underleverandører </w:t>
      </w:r>
      <w:r w:rsidR="00222625" w:rsidRPr="00796736">
        <w:rPr>
          <w:rFonts w:ascii="Times New Roman" w:eastAsia="Times New Roman" w:hAnsi="Times New Roman" w:cs="Times New Roman"/>
          <w:sz w:val="24"/>
          <w:szCs w:val="24"/>
        </w:rPr>
        <w:t>vil være</w:t>
      </w:r>
      <w:r w:rsidRPr="00796736">
        <w:rPr>
          <w:rFonts w:ascii="Times New Roman" w:eastAsia="Times New Roman" w:hAnsi="Times New Roman" w:cs="Times New Roman"/>
          <w:sz w:val="24"/>
          <w:szCs w:val="24"/>
        </w:rPr>
        <w:t xml:space="preserve"> underlagt en oplysningspligt til Spillemyndigheden. Spillemyndigheden kan dermed kræve de oplysninger, der er nødvendige for </w:t>
      </w:r>
      <w:r w:rsidR="0058659A" w:rsidRPr="00796736">
        <w:rPr>
          <w:rFonts w:ascii="Times New Roman" w:eastAsia="Times New Roman" w:hAnsi="Times New Roman" w:cs="Times New Roman"/>
          <w:sz w:val="24"/>
          <w:szCs w:val="24"/>
        </w:rPr>
        <w:t>Spillemyndighedens</w:t>
      </w:r>
      <w:r w:rsidRPr="00796736">
        <w:rPr>
          <w:rFonts w:ascii="Times New Roman" w:eastAsia="Times New Roman" w:hAnsi="Times New Roman" w:cs="Times New Roman"/>
          <w:sz w:val="24"/>
          <w:szCs w:val="24"/>
        </w:rPr>
        <w:t xml:space="preserve"> virksomhed</w:t>
      </w:r>
      <w:r w:rsidR="0058659A"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udleveret.</w:t>
      </w:r>
    </w:p>
    <w:p w14:paraId="59EF0D4F" w14:textId="77777777" w:rsidR="005A4AFF" w:rsidRPr="00796736" w:rsidRDefault="005A4AFF" w:rsidP="00A802A5">
      <w:pPr>
        <w:spacing w:line="360" w:lineRule="auto"/>
        <w:rPr>
          <w:rFonts w:ascii="Times New Roman" w:eastAsia="Times New Roman" w:hAnsi="Times New Roman" w:cs="Times New Roman"/>
          <w:sz w:val="24"/>
          <w:szCs w:val="24"/>
        </w:rPr>
      </w:pPr>
    </w:p>
    <w:p w14:paraId="42DE68A4" w14:textId="3D51BA53"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 omfattede virksomheders og personers leverandører og underleverandører </w:t>
      </w:r>
      <w:r w:rsidR="00222625"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også</w:t>
      </w:r>
      <w:r w:rsidR="00222625" w:rsidRPr="00796736">
        <w:rPr>
          <w:rFonts w:ascii="Times New Roman" w:eastAsia="Times New Roman" w:hAnsi="Times New Roman" w:cs="Times New Roman"/>
          <w:sz w:val="24"/>
          <w:szCs w:val="24"/>
        </w:rPr>
        <w:t xml:space="preserve"> være</w:t>
      </w:r>
      <w:r w:rsidRPr="00796736">
        <w:rPr>
          <w:rFonts w:ascii="Times New Roman" w:eastAsia="Times New Roman" w:hAnsi="Times New Roman" w:cs="Times New Roman"/>
          <w:sz w:val="24"/>
          <w:szCs w:val="24"/>
        </w:rPr>
        <w:t xml:space="preserve"> forpligtet til at udlevere relevante oplysninger for at sikre</w:t>
      </w:r>
      <w:r w:rsidR="0058659A"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at Spillemyndighedens indhentelse af oplysninger ikke kan hindres eller omgås ved outsourcing. </w:t>
      </w:r>
    </w:p>
    <w:p w14:paraId="6961265B" w14:textId="77777777" w:rsidR="005A4AFF" w:rsidRPr="00796736" w:rsidRDefault="005A4AFF" w:rsidP="00A802A5">
      <w:pPr>
        <w:spacing w:line="360" w:lineRule="auto"/>
        <w:rPr>
          <w:rFonts w:ascii="Times New Roman" w:eastAsia="Times New Roman" w:hAnsi="Times New Roman" w:cs="Times New Roman"/>
          <w:sz w:val="24"/>
          <w:szCs w:val="24"/>
        </w:rPr>
      </w:pPr>
    </w:p>
    <w:p w14:paraId="4BC23543"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vil være Spillemyndigheden, der vurderer, hvilke oplysninger der er brug for til at udføre det fornødne tilsyn med de forpligtede enheders overholdelse af reglerne. Der vil i princippet ikke være nogen begrænsning i forhold til, hvad Spillemyndigheden kan bede om, men der skal være en sammenhæng mellem den ønskede oplysning og det regelsæt, som Spillemyndigheden i den konkrete situation påser overholdelsen af. </w:t>
      </w:r>
    </w:p>
    <w:p w14:paraId="4D05E8FE" w14:textId="77777777" w:rsidR="00D55072" w:rsidRPr="00796736" w:rsidRDefault="00D55072" w:rsidP="00A802A5">
      <w:pPr>
        <w:spacing w:line="360" w:lineRule="auto"/>
        <w:rPr>
          <w:rFonts w:ascii="Times New Roman" w:eastAsia="Times New Roman" w:hAnsi="Times New Roman" w:cs="Times New Roman"/>
          <w:sz w:val="24"/>
          <w:szCs w:val="24"/>
        </w:rPr>
      </w:pPr>
    </w:p>
    <w:p w14:paraId="342358DD" w14:textId="77717D09" w:rsidR="005A4AFF" w:rsidRPr="00796736" w:rsidRDefault="00D55072" w:rsidP="00A802A5">
      <w:pPr>
        <w:spacing w:after="240"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Ved begrebet ”spillemyndighedens virksomhed” forstås som udgangspunkt enhver aktivitet, der varetages af Spillemyndighedens hvidvasktilsyn. Begrebet skal fortolkes bredt. Oplysningspligten omfatter således enhver oplysning, der er nødvendig for Spillemyndighedens tilrettelæggelse og udførelse af tilsynsaktiviteter, herunder i forbindelse med afviklingen af et konkret tilsyn. Dette kan ligeledes f.eks. omfatte oplysninger til brug for Spillemyndighedens vurdering af, om en virksomhed eller person er omfattet af hvidvaskforordningen og underlagt Spillemyndighedens tilsyn. Tilsvarende vil det også kunne omfatte enhver oplysning til brug for Spillemyndighedens risikoklassificering af en forpligtet enhed i henhold til regler udstedt i medfør af AMLA-forordningens artikel 49, jf. 6. hvidvaskdirektivs artikel 40, stk. 2.</w:t>
      </w:r>
    </w:p>
    <w:p w14:paraId="71AF7B4D"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 opgaver, som Spillemyndigheden skal kunne indhente oplysninger om hos leverandører og underleverandører, er opgaver, som Spillemyndigheden ville kunne indhente oplysninger om hos den forpligtede enhed, hvis opgaverne ikke var outsourcet. Det vil f.eks. kunne være oplysninger fra en forhandler, som en udbyder af spil har outsourcet opgaver til. </w:t>
      </w:r>
    </w:p>
    <w:p w14:paraId="7BC5DEE2" w14:textId="77777777" w:rsidR="005A4AFF" w:rsidRPr="00796736" w:rsidRDefault="005A4AFF" w:rsidP="00A802A5">
      <w:pPr>
        <w:spacing w:line="360" w:lineRule="auto"/>
        <w:rPr>
          <w:rFonts w:ascii="Times New Roman" w:eastAsia="Times New Roman" w:hAnsi="Times New Roman" w:cs="Times New Roman"/>
          <w:sz w:val="24"/>
          <w:szCs w:val="24"/>
        </w:rPr>
      </w:pPr>
    </w:p>
    <w:p w14:paraId="710474DE" w14:textId="59ED5254" w:rsidR="005A4AFF" w:rsidRPr="00796736" w:rsidRDefault="00D5507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Undlader en virksomhed eller person som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AB17CC"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1, at give Spillemyndigheden de oplysninger, der er nødvendige til brug for Spillemyndighedens virksomhed, vil Spillemyndigheden kunne udstede et påbud</w:t>
      </w:r>
      <w:r w:rsidR="005A4AFF" w:rsidRPr="00796736">
        <w:rPr>
          <w:rFonts w:ascii="Times New Roman" w:eastAsia="Times New Roman" w:hAnsi="Times New Roman" w:cs="Times New Roman"/>
          <w:sz w:val="24"/>
          <w:szCs w:val="24"/>
        </w:rPr>
        <w:t xml:space="preserve">, jf. </w:t>
      </w:r>
      <w:r w:rsidR="005A4AFF" w:rsidRPr="00796736">
        <w:rPr>
          <w:rFonts w:ascii="Times New Roman" w:eastAsia="Times New Roman" w:hAnsi="Times New Roman" w:cs="Times New Roman"/>
          <w:sz w:val="24"/>
          <w:szCs w:val="24"/>
        </w:rPr>
        <w:fldChar w:fldCharType="begin"/>
      </w:r>
      <w:r w:rsidR="005A4AFF" w:rsidRPr="00796736">
        <w:rPr>
          <w:rFonts w:ascii="Times New Roman" w:eastAsia="Times New Roman" w:hAnsi="Times New Roman" w:cs="Times New Roman"/>
          <w:sz w:val="24"/>
          <w:szCs w:val="24"/>
        </w:rPr>
        <w:instrText xml:space="preserve"> REF _Ref236643746 \r \h </w:instrText>
      </w:r>
      <w:r w:rsidR="00A47042" w:rsidRPr="00796736">
        <w:rPr>
          <w:rFonts w:ascii="Times New Roman" w:eastAsia="Times New Roman" w:hAnsi="Times New Roman" w:cs="Times New Roman"/>
          <w:sz w:val="24"/>
          <w:szCs w:val="24"/>
        </w:rPr>
        <w:instrText xml:space="preserve"> \* MERGEFORMAT </w:instrText>
      </w:r>
      <w:r w:rsidR="005A4AFF" w:rsidRPr="00796736">
        <w:rPr>
          <w:rFonts w:ascii="Times New Roman" w:eastAsia="Times New Roman" w:hAnsi="Times New Roman" w:cs="Times New Roman"/>
          <w:sz w:val="24"/>
          <w:szCs w:val="24"/>
        </w:rPr>
      </w:r>
      <w:r w:rsidR="005A4AFF"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118</w:t>
      </w:r>
      <w:r w:rsidR="005A4AFF" w:rsidRPr="00796736">
        <w:rPr>
          <w:rFonts w:ascii="Times New Roman" w:eastAsia="Times New Roman" w:hAnsi="Times New Roman" w:cs="Times New Roman"/>
          <w:sz w:val="24"/>
          <w:szCs w:val="24"/>
        </w:rPr>
        <w:fldChar w:fldCharType="end"/>
      </w:r>
      <w:r w:rsidR="005A4AFF" w:rsidRPr="00796736">
        <w:rPr>
          <w:rFonts w:ascii="Times New Roman" w:eastAsia="Times New Roman" w:hAnsi="Times New Roman" w:cs="Times New Roman"/>
          <w:sz w:val="24"/>
          <w:szCs w:val="24"/>
        </w:rPr>
        <w:t xml:space="preserve">, stk. 1. </w:t>
      </w:r>
    </w:p>
    <w:p w14:paraId="0DCB811E" w14:textId="77777777" w:rsidR="005A4AFF" w:rsidRPr="00796736" w:rsidRDefault="005A4AFF" w:rsidP="00A802A5">
      <w:pPr>
        <w:spacing w:line="360" w:lineRule="auto"/>
        <w:rPr>
          <w:rFonts w:ascii="Times New Roman" w:eastAsia="Times New Roman" w:hAnsi="Times New Roman" w:cs="Times New Roman"/>
          <w:sz w:val="24"/>
          <w:szCs w:val="24"/>
        </w:rPr>
      </w:pPr>
    </w:p>
    <w:p w14:paraId="53252075" w14:textId="33F561A5" w:rsidR="005A4AFF" w:rsidRPr="00796736" w:rsidRDefault="00D55072"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vil som tvangsmiddel for manglende efterkommelse af et påbud om udlevering af oplysninger derudover kunne pålægge virksomheden eller personen som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AB17CC"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w:t>
      </w:r>
      <w:r w:rsidR="005A4AFF" w:rsidRPr="00796736">
        <w:rPr>
          <w:rFonts w:ascii="Times New Roman" w:eastAsia="Times New Roman" w:hAnsi="Times New Roman" w:cs="Times New Roman"/>
          <w:sz w:val="24"/>
          <w:szCs w:val="24"/>
        </w:rPr>
        <w:t xml:space="preserve">daglige eller ugentlige tvangsbøder, jf. </w:t>
      </w:r>
      <w:r w:rsidR="00222625" w:rsidRPr="00796736">
        <w:rPr>
          <w:rFonts w:ascii="Times New Roman" w:eastAsia="Times New Roman" w:hAnsi="Times New Roman" w:cs="Times New Roman"/>
          <w:sz w:val="24"/>
          <w:szCs w:val="24"/>
        </w:rPr>
        <w:fldChar w:fldCharType="begin"/>
      </w:r>
      <w:r w:rsidR="00222625" w:rsidRPr="00796736">
        <w:rPr>
          <w:rFonts w:ascii="Times New Roman" w:eastAsia="Times New Roman" w:hAnsi="Times New Roman" w:cs="Times New Roman"/>
          <w:sz w:val="24"/>
          <w:szCs w:val="24"/>
        </w:rPr>
        <w:instrText xml:space="preserve"> REF _Ref236647753 \r \h </w:instrText>
      </w:r>
      <w:r w:rsidR="007F4BB9" w:rsidRPr="00796736">
        <w:rPr>
          <w:rFonts w:ascii="Times New Roman" w:eastAsia="Times New Roman" w:hAnsi="Times New Roman" w:cs="Times New Roman"/>
          <w:sz w:val="24"/>
          <w:szCs w:val="24"/>
        </w:rPr>
        <w:instrText xml:space="preserve"> \* MERGEFORMAT </w:instrText>
      </w:r>
      <w:r w:rsidR="00222625" w:rsidRPr="00796736">
        <w:rPr>
          <w:rFonts w:ascii="Times New Roman" w:eastAsia="Times New Roman" w:hAnsi="Times New Roman" w:cs="Times New Roman"/>
          <w:sz w:val="24"/>
          <w:szCs w:val="24"/>
        </w:rPr>
      </w:r>
      <w:r w:rsidR="00222625"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137</w:t>
      </w:r>
      <w:r w:rsidR="00222625" w:rsidRPr="00796736">
        <w:rPr>
          <w:rFonts w:ascii="Times New Roman" w:eastAsia="Times New Roman" w:hAnsi="Times New Roman" w:cs="Times New Roman"/>
          <w:sz w:val="24"/>
          <w:szCs w:val="24"/>
        </w:rPr>
        <w:fldChar w:fldCharType="end"/>
      </w:r>
      <w:r w:rsidR="005A4AFF" w:rsidRPr="00796736">
        <w:rPr>
          <w:rFonts w:ascii="Times New Roman" w:eastAsia="Times New Roman" w:hAnsi="Times New Roman" w:cs="Times New Roman"/>
          <w:sz w:val="24"/>
          <w:szCs w:val="24"/>
        </w:rPr>
        <w:t xml:space="preserve">. </w:t>
      </w:r>
    </w:p>
    <w:p w14:paraId="525B0A0F" w14:textId="77777777" w:rsidR="005A4AFF" w:rsidRDefault="005A4AFF" w:rsidP="00A802A5">
      <w:pPr>
        <w:spacing w:line="360" w:lineRule="auto"/>
        <w:rPr>
          <w:rFonts w:ascii="Times New Roman" w:eastAsia="Times New Roman" w:hAnsi="Times New Roman" w:cs="Times New Roman"/>
          <w:sz w:val="24"/>
          <w:szCs w:val="24"/>
        </w:rPr>
      </w:pPr>
    </w:p>
    <w:p w14:paraId="3C93ABE6" w14:textId="2A7EE2EB" w:rsidR="007B7BA4" w:rsidRPr="00796736" w:rsidRDefault="007B7BA4" w:rsidP="00A802A5">
      <w:pPr>
        <w:spacing w:line="360" w:lineRule="auto"/>
        <w:rPr>
          <w:rFonts w:ascii="Times New Roman" w:eastAsia="Times New Roman" w:hAnsi="Times New Roman" w:cs="Times New Roman"/>
          <w:sz w:val="24"/>
          <w:szCs w:val="24"/>
        </w:rPr>
      </w:pPr>
      <w:r w:rsidRPr="000D614A">
        <w:rPr>
          <w:rFonts w:ascii="Times New Roman" w:eastAsia="Times New Roman" w:hAnsi="Times New Roman" w:cs="Times New Roman"/>
          <w:sz w:val="24"/>
          <w:szCs w:val="24"/>
        </w:rPr>
        <w:t>Bestemmelsen vil</w:t>
      </w:r>
      <w:r>
        <w:rPr>
          <w:rFonts w:ascii="Times New Roman" w:eastAsia="Times New Roman" w:hAnsi="Times New Roman" w:cs="Times New Roman"/>
          <w:sz w:val="24"/>
          <w:szCs w:val="24"/>
        </w:rPr>
        <w:t xml:space="preserve"> dog</w:t>
      </w:r>
      <w:r w:rsidRPr="000D614A">
        <w:rPr>
          <w:rFonts w:ascii="Times New Roman" w:eastAsia="Times New Roman" w:hAnsi="Times New Roman" w:cs="Times New Roman"/>
          <w:sz w:val="24"/>
          <w:szCs w:val="24"/>
        </w:rPr>
        <w:t xml:space="preserve"> indebære, at oplysningspligten ikke</w:t>
      </w:r>
      <w:r>
        <w:rPr>
          <w:rFonts w:ascii="Times New Roman" w:eastAsia="Times New Roman" w:hAnsi="Times New Roman" w:cs="Times New Roman"/>
          <w:sz w:val="24"/>
          <w:szCs w:val="24"/>
        </w:rPr>
        <w:t xml:space="preserve"> vil kunne</w:t>
      </w:r>
      <w:r w:rsidRPr="000D614A">
        <w:rPr>
          <w:rFonts w:ascii="Times New Roman" w:eastAsia="Times New Roman" w:hAnsi="Times New Roman" w:cs="Times New Roman"/>
          <w:sz w:val="24"/>
          <w:szCs w:val="24"/>
        </w:rPr>
        <w:t xml:space="preserve"> finde anvendelse over for en enkeltperson eller juridisk person, hvis der er konkret mistanke om, at den pågældende har begået en lovovertrædelse, der kan medføre straf, medmindre det kan udelukkes, at oplysningerne kan have betydning for bedømmelsen af den formodede lovovertrædelse, jf. § 10 i retssikkerhedsloven. </w:t>
      </w:r>
      <w:r>
        <w:rPr>
          <w:rFonts w:ascii="Times New Roman" w:eastAsia="Times New Roman" w:hAnsi="Times New Roman" w:cs="Times New Roman"/>
          <w:sz w:val="24"/>
          <w:szCs w:val="24"/>
        </w:rPr>
        <w:t>Spillemyndigheden</w:t>
      </w:r>
      <w:r w:rsidRPr="000D614A">
        <w:rPr>
          <w:rFonts w:ascii="Times New Roman" w:eastAsia="Times New Roman" w:hAnsi="Times New Roman" w:cs="Times New Roman"/>
          <w:sz w:val="24"/>
          <w:szCs w:val="24"/>
        </w:rPr>
        <w:t xml:space="preserve"> vil i sådanne tilfælde skulle vejlede den mistænkte om, at vedkommende ikke har pligt til at meddele oplysninger, som kan have betydning for bedømmelsen af den formodede lovovertrædelse. Se nærmere herom i de almindelige bemærkninger pkt. 4.3.</w:t>
      </w:r>
    </w:p>
    <w:p w14:paraId="0600F6B6" w14:textId="1BA6CC0A" w:rsidR="005A4AFF" w:rsidRPr="00796736" w:rsidRDefault="0058659A" w:rsidP="00A802A5">
      <w:pPr>
        <w:tabs>
          <w:tab w:val="left" w:pos="4245"/>
        </w:tabs>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b/>
      </w:r>
    </w:p>
    <w:p w14:paraId="6CFF6D63" w14:textId="583C12B6"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Overtrædelse af bestemmelsen er strafbelagt, jf. </w:t>
      </w:r>
      <w:r w:rsidR="007B7BA4">
        <w:rPr>
          <w:rFonts w:ascii="Times New Roman" w:eastAsia="Times New Roman" w:hAnsi="Times New Roman" w:cs="Times New Roman"/>
          <w:sz w:val="24"/>
          <w:szCs w:val="24"/>
        </w:rPr>
        <w:fldChar w:fldCharType="begin"/>
      </w:r>
      <w:r w:rsidR="007B7BA4">
        <w:rPr>
          <w:rFonts w:ascii="Times New Roman" w:eastAsia="Times New Roman" w:hAnsi="Times New Roman" w:cs="Times New Roman"/>
          <w:sz w:val="24"/>
          <w:szCs w:val="24"/>
        </w:rPr>
        <w:instrText xml:space="preserve"> REF _Ref242963797 \r \h </w:instrText>
      </w:r>
      <w:r w:rsidR="00CB248D">
        <w:rPr>
          <w:rFonts w:ascii="Times New Roman" w:eastAsia="Times New Roman" w:hAnsi="Times New Roman" w:cs="Times New Roman"/>
          <w:sz w:val="24"/>
          <w:szCs w:val="24"/>
        </w:rPr>
        <w:instrText xml:space="preserve"> \* MERGEFORMAT </w:instrText>
      </w:r>
      <w:r w:rsidR="007B7BA4">
        <w:rPr>
          <w:rFonts w:ascii="Times New Roman" w:eastAsia="Times New Roman" w:hAnsi="Times New Roman" w:cs="Times New Roman"/>
          <w:sz w:val="24"/>
          <w:szCs w:val="24"/>
        </w:rPr>
      </w:r>
      <w:r w:rsidR="007B7BA4">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139</w:t>
      </w:r>
      <w:r w:rsidR="007B7BA4">
        <w:rPr>
          <w:rFonts w:ascii="Times New Roman" w:eastAsia="Times New Roman" w:hAnsi="Times New Roman" w:cs="Times New Roman"/>
          <w:sz w:val="24"/>
          <w:szCs w:val="24"/>
        </w:rPr>
        <w:fldChar w:fldCharType="end"/>
      </w:r>
      <w:r w:rsidR="007B7BA4">
        <w:rPr>
          <w:rFonts w:ascii="Times New Roman" w:eastAsia="Times New Roman" w:hAnsi="Times New Roman" w:cs="Times New Roman"/>
          <w:sz w:val="24"/>
          <w:szCs w:val="24"/>
        </w:rPr>
        <w:t xml:space="preserve">. </w:t>
      </w:r>
      <w:r w:rsidR="00D55072" w:rsidRPr="00796736">
        <w:rPr>
          <w:rFonts w:ascii="Times New Roman" w:eastAsia="Times New Roman" w:hAnsi="Times New Roman" w:cs="Times New Roman"/>
          <w:sz w:val="24"/>
          <w:szCs w:val="24"/>
        </w:rPr>
        <w:t xml:space="preserve">Ansvarssubjekterne for overtrædelse af bestemmelsen vil være virksomheder og personer omfattet af lovens </w:t>
      </w:r>
      <w:r w:rsidR="00D55072" w:rsidRPr="00796736">
        <w:rPr>
          <w:rFonts w:ascii="Times New Roman" w:eastAsia="Times New Roman" w:hAnsi="Times New Roman" w:cs="Times New Roman"/>
          <w:sz w:val="24"/>
          <w:szCs w:val="24"/>
        </w:rPr>
        <w:fldChar w:fldCharType="begin"/>
      </w:r>
      <w:r w:rsidR="00D55072" w:rsidRPr="00796736">
        <w:rPr>
          <w:rFonts w:ascii="Times New Roman" w:eastAsia="Times New Roman" w:hAnsi="Times New Roman" w:cs="Times New Roman"/>
          <w:sz w:val="24"/>
          <w:szCs w:val="24"/>
        </w:rPr>
        <w:instrText xml:space="preserve"> REF _Ref239189479 \r \h </w:instrText>
      </w:r>
      <w:r w:rsidR="00AB17CC" w:rsidRPr="00796736">
        <w:rPr>
          <w:rFonts w:ascii="Times New Roman" w:eastAsia="Times New Roman" w:hAnsi="Times New Roman" w:cs="Times New Roman"/>
          <w:sz w:val="24"/>
          <w:szCs w:val="24"/>
        </w:rPr>
        <w:instrText xml:space="preserve"> \* MERGEFORMAT </w:instrText>
      </w:r>
      <w:r w:rsidR="00D55072" w:rsidRPr="00796736">
        <w:rPr>
          <w:rFonts w:ascii="Times New Roman" w:eastAsia="Times New Roman" w:hAnsi="Times New Roman" w:cs="Times New Roman"/>
          <w:sz w:val="24"/>
          <w:szCs w:val="24"/>
        </w:rPr>
      </w:r>
      <w:r w:rsidR="00D55072"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D55072" w:rsidRPr="00796736">
        <w:rPr>
          <w:rFonts w:ascii="Times New Roman" w:eastAsia="Times New Roman" w:hAnsi="Times New Roman" w:cs="Times New Roman"/>
          <w:sz w:val="24"/>
          <w:szCs w:val="24"/>
        </w:rPr>
        <w:fldChar w:fldCharType="end"/>
      </w:r>
      <w:r w:rsidR="00D55072" w:rsidRPr="00796736">
        <w:rPr>
          <w:rFonts w:ascii="Times New Roman" w:eastAsia="Times New Roman" w:hAnsi="Times New Roman" w:cs="Times New Roman"/>
          <w:sz w:val="24"/>
          <w:szCs w:val="24"/>
        </w:rPr>
        <w:t>, stk. 1, og den strafbare handling vil bestå i ikke at give Spillemyndigheden de oplysninger, der er nødvendige for Spillemyndighedens virksomhed. Et eksempel på overtrædelse af bestemmelsen er en virksomhed, der ikke vil udlevere virksomhedens kundekendskabsprocedurer.</w:t>
      </w:r>
    </w:p>
    <w:p w14:paraId="036DA591" w14:textId="77777777" w:rsidR="0058659A" w:rsidRPr="00796736" w:rsidRDefault="0058659A" w:rsidP="00A802A5">
      <w:pPr>
        <w:tabs>
          <w:tab w:val="left" w:pos="4245"/>
        </w:tabs>
        <w:spacing w:line="360" w:lineRule="auto"/>
        <w:rPr>
          <w:rFonts w:ascii="Times New Roman" w:eastAsia="Times New Roman" w:hAnsi="Times New Roman" w:cs="Times New Roman"/>
          <w:sz w:val="24"/>
          <w:szCs w:val="24"/>
        </w:rPr>
      </w:pPr>
    </w:p>
    <w:p w14:paraId="5A6EB95A" w14:textId="7FAA0171" w:rsidR="0058659A" w:rsidRPr="00796736" w:rsidRDefault="0058659A"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foreslås i </w:t>
      </w:r>
      <w:r w:rsidRPr="00796736">
        <w:rPr>
          <w:rFonts w:ascii="Times New Roman" w:eastAsia="Times New Roman" w:hAnsi="Times New Roman" w:cs="Times New Roman"/>
          <w:i/>
          <w:iCs/>
          <w:sz w:val="24"/>
          <w:szCs w:val="24"/>
        </w:rPr>
        <w:t>stk. 2</w:t>
      </w:r>
      <w:r w:rsidRPr="00796736">
        <w:rPr>
          <w:rFonts w:ascii="Times New Roman" w:eastAsia="Times New Roman" w:hAnsi="Times New Roman" w:cs="Times New Roman"/>
          <w:sz w:val="24"/>
          <w:szCs w:val="24"/>
        </w:rPr>
        <w:t xml:space="preserve">, at virksomheder og personer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1, nr. 1, skal give Spillemyndigheden adgang til deres spilsystem ved hjælp af fjernadgang eller lignende, hvis spilsystemet ikke er placeret her i landet.</w:t>
      </w:r>
    </w:p>
    <w:p w14:paraId="64C9A143" w14:textId="77777777" w:rsidR="0058659A" w:rsidRPr="00796736" w:rsidRDefault="0058659A" w:rsidP="00A802A5">
      <w:pPr>
        <w:spacing w:line="360" w:lineRule="auto"/>
        <w:rPr>
          <w:rFonts w:ascii="Times New Roman" w:eastAsia="Times New Roman" w:hAnsi="Times New Roman" w:cs="Times New Roman"/>
          <w:color w:val="000000" w:themeColor="text1"/>
          <w:sz w:val="24"/>
          <w:szCs w:val="24"/>
        </w:rPr>
      </w:pPr>
    </w:p>
    <w:p w14:paraId="16B9EAE2" w14:textId="77777777" w:rsidR="00222625" w:rsidRPr="00796736" w:rsidRDefault="00222625"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Den foreslåede bestemmelse viderefører hvidvasklovens § 65, stk. 4, med sproglige ændringer.</w:t>
      </w:r>
    </w:p>
    <w:p w14:paraId="781234BB" w14:textId="77777777" w:rsidR="0058659A" w:rsidRPr="00796736" w:rsidRDefault="0058659A" w:rsidP="00A802A5">
      <w:pPr>
        <w:spacing w:line="360" w:lineRule="auto"/>
        <w:rPr>
          <w:rFonts w:ascii="Times New Roman" w:eastAsia="Times New Roman" w:hAnsi="Times New Roman" w:cs="Times New Roman"/>
          <w:color w:val="000000" w:themeColor="text1"/>
          <w:sz w:val="24"/>
          <w:szCs w:val="24"/>
        </w:rPr>
      </w:pPr>
    </w:p>
    <w:p w14:paraId="36E1B3A4" w14:textId="224A1234"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foreslåede indebærer, at udbydere af spil omfattet af loven, der har et spilsystem, der ikke er placeret her i landet, skal give Spillemyndigheden adgang til spilsystemet ved hjælp af fjernadgang for så vidt angående de dele af spilsystemet, der vedrører hvidvask. Det er normal praksis efter lov om spil, at udbyderen skal give fjernadgang inden for 5 hverdage. Fjernadgangen vil f.eks. kunne ske ved, at ansatte fra virksomheden møder fysisk op hos Spillemyndigheden og giver adgang til deres system eller via skærmdeling på et videomøde.</w:t>
      </w:r>
    </w:p>
    <w:p w14:paraId="4FD2AA58" w14:textId="77777777" w:rsidR="005A4AFF" w:rsidRPr="00796736" w:rsidRDefault="005A4AFF" w:rsidP="00A802A5">
      <w:pPr>
        <w:spacing w:line="360" w:lineRule="auto"/>
        <w:rPr>
          <w:rFonts w:ascii="Times New Roman" w:eastAsia="Times New Roman" w:hAnsi="Times New Roman" w:cs="Times New Roman"/>
          <w:sz w:val="24"/>
          <w:szCs w:val="24"/>
        </w:rPr>
      </w:pPr>
    </w:p>
    <w:p w14:paraId="5FDDC9A9" w14:textId="4C0C5B7E"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Ved spilsystemet skal forstås systemer, der anvendes til styring af spilkonti, håndtering af spillernes midler og lagring af oplysninger vedrørende kunder samt systemer, der anvendes til udbud og afvikling af spil, herunder fastlægger og lagrer resultatet af et spil, beregner, hvorvidt spilleren har vundet eller tabt et spil og lagring af oplysninger vedrørende kundernes deltagelse i spil. De dele af spilsystemet, som vedrører hvidvask, kan f.eks. være overvågning af transaktioner og systemalarmer ved mistænkelige transaktioner, herunder transaktioner til og fra spilkonti samt transaktioner i selve spillene. Kravet </w:t>
      </w:r>
      <w:r w:rsidR="00222625"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muliggøre en betryggende kontrol af udbydere af spil, hvor spilsystemet eller dele heraf ikke er placeret her i landet. For spiludbydere med en dansk tilladelse henvises der til spillelovgivningens tekniske krav, som beskriver de tekniske funktioner og kvalitetskrav m.v., som spiludbyderens spilsystem skal indeholde eller opfylde for, at sikkerheden omkring spilsystemet bliver opretholdt, herunder f.eks. sikring af datagrundlag til brug for tilsyn. </w:t>
      </w:r>
    </w:p>
    <w:p w14:paraId="5A8E4D95" w14:textId="77777777" w:rsidR="005A4AFF" w:rsidRPr="00796736" w:rsidRDefault="005A4AFF" w:rsidP="00A802A5">
      <w:pPr>
        <w:spacing w:line="360" w:lineRule="auto"/>
        <w:rPr>
          <w:rFonts w:ascii="Times New Roman" w:eastAsia="Times New Roman" w:hAnsi="Times New Roman" w:cs="Times New Roman"/>
          <w:sz w:val="24"/>
          <w:szCs w:val="24"/>
        </w:rPr>
      </w:pPr>
    </w:p>
    <w:p w14:paraId="20432A44" w14:textId="66181ACE" w:rsidR="005A4AFF" w:rsidRPr="00796736" w:rsidRDefault="005A4AFF"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foreslås i </w:t>
      </w:r>
      <w:r w:rsidRPr="00796736">
        <w:rPr>
          <w:rFonts w:ascii="Times New Roman" w:eastAsia="Times New Roman" w:hAnsi="Times New Roman" w:cs="Times New Roman"/>
          <w:i/>
          <w:iCs/>
          <w:sz w:val="24"/>
          <w:szCs w:val="24"/>
        </w:rPr>
        <w:t>stk. 3</w:t>
      </w:r>
      <w:r w:rsidRPr="00796736">
        <w:rPr>
          <w:rFonts w:ascii="Times New Roman" w:eastAsia="Times New Roman" w:hAnsi="Times New Roman" w:cs="Times New Roman"/>
          <w:sz w:val="24"/>
          <w:szCs w:val="24"/>
        </w:rPr>
        <w:t xml:space="preserve">, at Spillemyndigheden til enhver tid mod behørig legitimation uden retskendelse kan få adgang til </w:t>
      </w:r>
      <w:r w:rsidR="0058659A" w:rsidRPr="00796736">
        <w:rPr>
          <w:rFonts w:ascii="Times New Roman" w:eastAsia="Times New Roman" w:hAnsi="Times New Roman" w:cs="Times New Roman"/>
          <w:sz w:val="24"/>
          <w:szCs w:val="24"/>
        </w:rPr>
        <w:t xml:space="preserve">virksomheder og personer som omfattet af </w:t>
      </w:r>
      <w:r w:rsidR="0058659A" w:rsidRPr="00796736">
        <w:rPr>
          <w:rFonts w:ascii="Times New Roman" w:eastAsia="Times New Roman" w:hAnsi="Times New Roman" w:cs="Times New Roman"/>
          <w:sz w:val="24"/>
          <w:szCs w:val="24"/>
        </w:rPr>
        <w:fldChar w:fldCharType="begin"/>
      </w:r>
      <w:r w:rsidR="0058659A"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0058659A" w:rsidRPr="00796736">
        <w:rPr>
          <w:rFonts w:ascii="Times New Roman" w:eastAsia="Times New Roman" w:hAnsi="Times New Roman" w:cs="Times New Roman"/>
          <w:sz w:val="24"/>
          <w:szCs w:val="24"/>
        </w:rPr>
      </w:r>
      <w:r w:rsidR="0058659A"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58659A" w:rsidRPr="00796736">
        <w:rPr>
          <w:rFonts w:ascii="Times New Roman" w:eastAsia="Times New Roman" w:hAnsi="Times New Roman" w:cs="Times New Roman"/>
          <w:sz w:val="24"/>
          <w:szCs w:val="24"/>
        </w:rPr>
        <w:fldChar w:fldCharType="end"/>
      </w:r>
      <w:r w:rsidR="0058659A" w:rsidRPr="00796736">
        <w:rPr>
          <w:rFonts w:ascii="Times New Roman" w:eastAsia="Times New Roman" w:hAnsi="Times New Roman" w:cs="Times New Roman"/>
          <w:sz w:val="24"/>
          <w:szCs w:val="24"/>
        </w:rPr>
        <w:t>, stk. 1, nr. 1</w:t>
      </w:r>
      <w:r w:rsidRPr="00796736">
        <w:rPr>
          <w:rFonts w:ascii="Times New Roman" w:eastAsia="Times New Roman" w:hAnsi="Times New Roman" w:cs="Times New Roman"/>
          <w:sz w:val="24"/>
          <w:szCs w:val="24"/>
        </w:rPr>
        <w:t>, med henblik på at indhente oplysninger, herunder ved tilsyn.</w:t>
      </w:r>
    </w:p>
    <w:p w14:paraId="4BB94413" w14:textId="77777777" w:rsidR="005A4AFF" w:rsidRPr="00796736" w:rsidRDefault="005A4AFF" w:rsidP="00A802A5">
      <w:pPr>
        <w:spacing w:line="360" w:lineRule="auto"/>
        <w:rPr>
          <w:rFonts w:ascii="Times New Roman" w:eastAsia="Times New Roman" w:hAnsi="Times New Roman" w:cs="Times New Roman"/>
          <w:color w:val="000000" w:themeColor="text1"/>
          <w:sz w:val="24"/>
          <w:szCs w:val="24"/>
        </w:rPr>
      </w:pPr>
    </w:p>
    <w:p w14:paraId="1D7570C9" w14:textId="77777777" w:rsidR="005A4AFF" w:rsidRPr="00796736" w:rsidDel="00602396" w:rsidRDefault="005A4AFF" w:rsidP="00A802A5">
      <w:pPr>
        <w:spacing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rPr>
        <w:t xml:space="preserve">Bestemmelsen implementerer artikel 37, stk. 7, i 6. hvidvaskdirektiv, som kræver, at de kompetente myndigheder for udbydere af spil har udvidede tilsynsbeføjelser, herunder navnlig mulighed for at gennemføre tilsyn på stedet. </w:t>
      </w:r>
    </w:p>
    <w:p w14:paraId="3D74875E" w14:textId="77777777" w:rsidR="005A4AFF" w:rsidRPr="00796736" w:rsidDel="00602396" w:rsidRDefault="005A4AFF" w:rsidP="00A802A5">
      <w:pPr>
        <w:spacing w:line="360" w:lineRule="auto"/>
        <w:rPr>
          <w:rFonts w:ascii="Times New Roman" w:eastAsia="Times New Roman" w:hAnsi="Times New Roman" w:cs="Times New Roman"/>
          <w:sz w:val="24"/>
          <w:szCs w:val="24"/>
        </w:rPr>
      </w:pPr>
    </w:p>
    <w:p w14:paraId="3A79EB67" w14:textId="2B53922B"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viderefører hvidvasklovens § 65, stk. </w:t>
      </w:r>
      <w:r w:rsidR="0058659A" w:rsidRPr="00796736">
        <w:rPr>
          <w:rFonts w:ascii="Times New Roman" w:eastAsia="Times New Roman" w:hAnsi="Times New Roman" w:cs="Times New Roman"/>
          <w:sz w:val="24"/>
          <w:szCs w:val="24"/>
        </w:rPr>
        <w:t>3.</w:t>
      </w:r>
    </w:p>
    <w:p w14:paraId="7248A87B" w14:textId="77777777" w:rsidR="005A4AFF" w:rsidRPr="00796736" w:rsidRDefault="005A4AFF" w:rsidP="00A802A5">
      <w:pPr>
        <w:spacing w:line="360" w:lineRule="auto"/>
        <w:rPr>
          <w:rFonts w:ascii="Times New Roman" w:eastAsia="Times New Roman" w:hAnsi="Times New Roman" w:cs="Times New Roman"/>
          <w:sz w:val="24"/>
          <w:szCs w:val="24"/>
        </w:rPr>
      </w:pPr>
    </w:p>
    <w:p w14:paraId="65B9EEF9"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vil medføre, at Spillemyndigheden, som det er tilfældet i dag, vil have mulighed for at foretage tilsynsbesøg uden forudgående varsling hos udbydere af spil. Denne hjemmel til at foretage uanmeldte tilsynsbesøg uden forudgående varsling vil alene skulle anvendes af Spillemyndigheden i tilfælde, hvor det er Spillemyndighedens vurdering, at formålet med tilsynsbesøget ville blive forspildt, hvis tilsynsbesøget varsles. </w:t>
      </w:r>
    </w:p>
    <w:p w14:paraId="2911B6C7" w14:textId="77777777" w:rsidR="00222625" w:rsidRPr="00796736" w:rsidRDefault="00222625" w:rsidP="00A802A5">
      <w:pPr>
        <w:spacing w:line="360" w:lineRule="auto"/>
        <w:rPr>
          <w:rFonts w:ascii="Times New Roman" w:eastAsia="Times New Roman" w:hAnsi="Times New Roman" w:cs="Times New Roman"/>
          <w:sz w:val="24"/>
          <w:szCs w:val="24"/>
        </w:rPr>
      </w:pPr>
    </w:p>
    <w:p w14:paraId="279DAE7C"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vil kun kunne få adgang til en udbyder af spils forretningslokaler uden retskendelse, hvis det er nødvendigt for, at Spillemyndigheden kan udøve sin tilsynsvirksomhed. Det er en betingelse, at formålet ikke vil kunne opnås ved brug af mindre indgribende foranstaltninger som f.eks. påbud eller tvangsbøder. Kravet om nødvendighed i den foreslåede bestemmelse indebærer, at formålet bag den konkrete tilsynsvirksomhed vil skulle være af en vis tyngde, og at der således skal herske proportionalitet mellem formålet, som søges varetaget ved tilsynsbesøget og tilsynsbesøget. Spillemyndigheden vil således i almindelighed skulle have forsøgt sig med mindre indgribende midler, førend der skrides til tilsynsbesøg efter den foreslåede bestemmelse. </w:t>
      </w:r>
    </w:p>
    <w:p w14:paraId="04C12A95" w14:textId="77777777" w:rsidR="005A4AFF" w:rsidRPr="00796736" w:rsidRDefault="005A4AFF" w:rsidP="00A802A5">
      <w:pPr>
        <w:spacing w:line="360" w:lineRule="auto"/>
        <w:rPr>
          <w:rFonts w:ascii="Times New Roman" w:eastAsia="Times New Roman" w:hAnsi="Times New Roman" w:cs="Times New Roman"/>
          <w:sz w:val="24"/>
          <w:szCs w:val="24"/>
        </w:rPr>
      </w:pPr>
    </w:p>
    <w:p w14:paraId="6990E22F"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om Spillemyndighedens adgang uden retskendelse vil således udgøre en særegen undtagelse til at fravige kravet om retskendelse i grundlovens § 72, 2. pkt., for foretagelse af husundersøgelse. Spillemyndigheden vil som udgangspunkt udelukkende have adgang til forretningslokaler og således ikke til private boliger. I tilfælde, hvor en udbyder af spils forretningslokale befinder sig i et privat hjem, vil Spillemyndigheden dog have adgang til det lokale i det private hjem, hvorfra udbyderen af spil foretager sine forretninger. </w:t>
      </w:r>
    </w:p>
    <w:p w14:paraId="57CA2E86" w14:textId="77777777" w:rsidR="005A4AFF" w:rsidRPr="00796736" w:rsidRDefault="005A4AFF" w:rsidP="00A802A5">
      <w:pPr>
        <w:spacing w:line="360" w:lineRule="auto"/>
        <w:rPr>
          <w:rFonts w:ascii="Times New Roman" w:eastAsia="Times New Roman" w:hAnsi="Times New Roman" w:cs="Times New Roman"/>
          <w:sz w:val="24"/>
          <w:szCs w:val="24"/>
        </w:rPr>
      </w:pPr>
    </w:p>
    <w:p w14:paraId="588A9952"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vil have behov for at kunne udøve sin tilsynsvirksomhed, også i de særlige tilfælde, hvor en udbyder af spil måtte nægte at give de nødvendige oplysninger til brug for tilsynet eller modarbejder et tilsynsbesøg. </w:t>
      </w:r>
    </w:p>
    <w:p w14:paraId="5828BDB9" w14:textId="77777777" w:rsidR="00222625" w:rsidRPr="00796736" w:rsidRDefault="00222625" w:rsidP="00A802A5">
      <w:pPr>
        <w:spacing w:line="360" w:lineRule="auto"/>
        <w:rPr>
          <w:rFonts w:ascii="Times New Roman" w:eastAsia="Times New Roman" w:hAnsi="Times New Roman" w:cs="Times New Roman"/>
          <w:sz w:val="24"/>
          <w:szCs w:val="24"/>
        </w:rPr>
      </w:pPr>
    </w:p>
    <w:p w14:paraId="2E03415E"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Udgangspunktet vil således fortsat være, at tilsynsbesøg skal varsles på forhånd, i det omfang det er muligt. Hjemlen vil derfor kunne tænkes anvendt, f.eks. hvor en udbyder af spil undtagelsesvist nægter Spillemyndigheden adgang til virksomheden i forbindelse med et ordinært tilsynsbesøg. Der vil også kunne være tale om en situation, der kræver, at Spillemyndigheden handler omgående, og hvor en umiddelbar adgang til virksomheden er en forudsætning for at håndtere situationen. Hvis en udbyder af spil undtagelsesvist skulle modarbejde et tilsynsbesøg i disse situationer, er der ikke fundet grundlag for at foretage begrænsninger i Spillemyndighedens adgang til uden retskendelse at foretage tilsynsbesøg.</w:t>
      </w:r>
    </w:p>
    <w:p w14:paraId="3F6344FF" w14:textId="77777777" w:rsidR="005A4AFF" w:rsidRPr="00796736" w:rsidRDefault="005A4AFF" w:rsidP="00A802A5">
      <w:pPr>
        <w:spacing w:line="360" w:lineRule="auto"/>
        <w:rPr>
          <w:rFonts w:ascii="Times New Roman" w:eastAsia="Times New Roman" w:hAnsi="Times New Roman" w:cs="Times New Roman"/>
          <w:sz w:val="24"/>
          <w:szCs w:val="24"/>
        </w:rPr>
      </w:pPr>
    </w:p>
    <w:p w14:paraId="5E5AD2B6" w14:textId="2FAD96F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Spillemyndighedens mulighed for at få adgang uden retskendelse </w:t>
      </w:r>
      <w:r w:rsidR="00222625"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kun</w:t>
      </w:r>
      <w:r w:rsidR="00222625"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anvendes i tilsynsmæssigt øjemed. </w:t>
      </w:r>
    </w:p>
    <w:p w14:paraId="5D52756B" w14:textId="77777777" w:rsidR="005A4AFF" w:rsidRPr="00796736" w:rsidRDefault="005A4AFF" w:rsidP="00A802A5">
      <w:pPr>
        <w:spacing w:line="360" w:lineRule="auto"/>
        <w:rPr>
          <w:rFonts w:ascii="Times New Roman" w:eastAsia="Times New Roman" w:hAnsi="Times New Roman" w:cs="Times New Roman"/>
          <w:sz w:val="24"/>
          <w:szCs w:val="24"/>
        </w:rPr>
      </w:pPr>
    </w:p>
    <w:p w14:paraId="27793DB7" w14:textId="77777777" w:rsidR="007B7BA4" w:rsidRDefault="007B7BA4" w:rsidP="00A802A5">
      <w:pPr>
        <w:spacing w:line="360" w:lineRule="auto"/>
        <w:rPr>
          <w:rFonts w:ascii="Times New Roman" w:eastAsia="Times New Roman" w:hAnsi="Times New Roman" w:cs="Times New Roman"/>
          <w:sz w:val="24"/>
          <w:szCs w:val="24"/>
        </w:rPr>
      </w:pPr>
      <w:r w:rsidRPr="00D500FD">
        <w:rPr>
          <w:rFonts w:ascii="Times New Roman" w:eastAsia="Times New Roman" w:hAnsi="Times New Roman" w:cs="Times New Roman"/>
          <w:sz w:val="24"/>
          <w:szCs w:val="24"/>
        </w:rPr>
        <w:t xml:space="preserve">Hvis der er en begrundet mistanke om en strafbar overtrædelse af lovgivningen, finder retsplejelovens regler om ransagning anvendelse. I tilfælde, hvor det efter Spillemyndighedens konkrete vurdering anses for nødvendigt at foretage tilsynsbesøg uden forudgående varsling, vil tilsynsbesøget blive foretaget i overensstemmelse med lov om retssikkerhed ved forvaltningens anvendelse af tvangsindgreb og oplysningspligter (retssikkerhedsloven). </w:t>
      </w:r>
    </w:p>
    <w:p w14:paraId="71414B93" w14:textId="77777777" w:rsidR="007B7BA4" w:rsidRPr="00260545" w:rsidRDefault="007B7B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Dette</w:t>
      </w:r>
      <w:r w:rsidRPr="00260545">
        <w:rPr>
          <w:rFonts w:ascii="Times New Roman" w:eastAsia="Times New Roman" w:hAnsi="Times New Roman" w:cs="Times New Roman"/>
          <w:sz w:val="24"/>
          <w:szCs w:val="24"/>
        </w:rPr>
        <w:t xml:space="preserve"> vil indebære, at oplysningspligten ikke </w:t>
      </w:r>
      <w:r>
        <w:rPr>
          <w:rFonts w:ascii="Times New Roman" w:eastAsia="Times New Roman" w:hAnsi="Times New Roman" w:cs="Times New Roman"/>
          <w:sz w:val="24"/>
          <w:szCs w:val="24"/>
        </w:rPr>
        <w:t xml:space="preserve">vil skulle finde </w:t>
      </w:r>
      <w:r w:rsidRPr="00260545">
        <w:rPr>
          <w:rFonts w:ascii="Times New Roman" w:eastAsia="Times New Roman" w:hAnsi="Times New Roman" w:cs="Times New Roman"/>
          <w:sz w:val="24"/>
          <w:szCs w:val="24"/>
        </w:rPr>
        <w:t xml:space="preserve">anvendelse over for en enkeltperson eller juridisk person, hvis der er konkret mistanke om, at den pågældende har begået en lovovertrædelse, der kan medføre straf, medmindre det kan udelukkes, at oplysningerne kan have betydning for bedømmelsen af den formodede lovovertrædelse, jf. § 10 i retssikkerhedsloven. </w:t>
      </w:r>
      <w:r>
        <w:rPr>
          <w:rFonts w:ascii="Times New Roman" w:eastAsia="Times New Roman" w:hAnsi="Times New Roman" w:cs="Times New Roman"/>
          <w:sz w:val="24"/>
          <w:szCs w:val="24"/>
        </w:rPr>
        <w:t>Spillem</w:t>
      </w:r>
      <w:r w:rsidRPr="00260545">
        <w:rPr>
          <w:rFonts w:ascii="Times New Roman" w:eastAsia="Times New Roman" w:hAnsi="Times New Roman" w:cs="Times New Roman"/>
          <w:sz w:val="24"/>
          <w:szCs w:val="24"/>
        </w:rPr>
        <w:t>yndigheden vil i sådanne tilfælde skulle vejlede den mistænkte om, at vedkommende ikke har pligt til at meddele oplysninger, som kan have betydning for bedømmelsen af den formodede lovovertrædelse. Se nærmere herom i de almindelige bemærkninger pkt. 4.3.</w:t>
      </w:r>
    </w:p>
    <w:p w14:paraId="32A3E882" w14:textId="77777777" w:rsidR="005A4AFF" w:rsidRPr="00796736" w:rsidRDefault="005A4AFF" w:rsidP="00A802A5">
      <w:pPr>
        <w:spacing w:line="360" w:lineRule="auto"/>
        <w:rPr>
          <w:rFonts w:ascii="Times New Roman" w:eastAsia="Times New Roman" w:hAnsi="Times New Roman" w:cs="Times New Roman"/>
          <w:sz w:val="24"/>
          <w:szCs w:val="24"/>
        </w:rPr>
      </w:pPr>
    </w:p>
    <w:p w14:paraId="00783D35"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En forudsætning for at anvende hjemlen til uanmeldte tilsynsbesøg vil desuden være, at Spillemyndigheden ikke har en begrundet mistanke om en strafbar overtrædelse af lovgivningen, idet sagen i så fald skal behandles efter retsplejelovens regler om strafferetspleje. Sagen vil i sådanne tilfælde således skulle behandles af politiet.</w:t>
      </w:r>
    </w:p>
    <w:p w14:paraId="317B6491" w14:textId="77777777" w:rsidR="005A4AFF" w:rsidRPr="00796736" w:rsidRDefault="005A4AFF" w:rsidP="00A802A5">
      <w:pPr>
        <w:spacing w:line="360" w:lineRule="auto"/>
        <w:rPr>
          <w:rFonts w:ascii="Times New Roman" w:eastAsia="Times New Roman" w:hAnsi="Times New Roman" w:cs="Times New Roman"/>
          <w:sz w:val="24"/>
          <w:szCs w:val="24"/>
        </w:rPr>
      </w:pPr>
    </w:p>
    <w:p w14:paraId="65CDEC69" w14:textId="77777777"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 xml:space="preserve">Det foreslås i </w:t>
      </w:r>
      <w:r w:rsidRPr="00796736">
        <w:rPr>
          <w:rFonts w:ascii="Times New Roman" w:eastAsia="Times New Roman" w:hAnsi="Times New Roman" w:cs="Times New Roman"/>
          <w:i/>
          <w:iCs/>
          <w:color w:val="000000" w:themeColor="text1"/>
          <w:sz w:val="24"/>
          <w:szCs w:val="24"/>
        </w:rPr>
        <w:t>stk. 4</w:t>
      </w:r>
      <w:r w:rsidRPr="00796736">
        <w:rPr>
          <w:rFonts w:ascii="Times New Roman" w:eastAsia="Times New Roman" w:hAnsi="Times New Roman" w:cs="Times New Roman"/>
          <w:color w:val="000000" w:themeColor="text1"/>
          <w:sz w:val="24"/>
          <w:szCs w:val="24"/>
        </w:rPr>
        <w:t xml:space="preserve">, at </w:t>
      </w:r>
      <w:r w:rsidRPr="00796736">
        <w:rPr>
          <w:rFonts w:ascii="Times New Roman" w:eastAsia="Times New Roman" w:hAnsi="Times New Roman" w:cs="Times New Roman"/>
          <w:sz w:val="24"/>
          <w:szCs w:val="24"/>
        </w:rPr>
        <w:t>med henblik på opfyldelse af stk. 3, skal Spillemyndigheden som minimum kunne:</w:t>
      </w:r>
    </w:p>
    <w:p w14:paraId="27F35AE7" w14:textId="53E104B7" w:rsidR="005A4AFF" w:rsidRPr="00796736" w:rsidRDefault="005A4AFF">
      <w:pPr>
        <w:pStyle w:val="Listeafsnit"/>
        <w:numPr>
          <w:ilvl w:val="0"/>
          <w:numId w:val="41"/>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undersøge regnskaber og registre tilhørende </w:t>
      </w:r>
      <w:r w:rsidR="0058659A" w:rsidRPr="00796736">
        <w:rPr>
          <w:rFonts w:ascii="Times New Roman" w:eastAsia="Times New Roman" w:hAnsi="Times New Roman" w:cs="Times New Roman"/>
          <w:sz w:val="24"/>
          <w:szCs w:val="24"/>
        </w:rPr>
        <w:t>virksomheder og personer som</w:t>
      </w:r>
      <w:r w:rsidRPr="00796736">
        <w:rPr>
          <w:rFonts w:ascii="Times New Roman" w:eastAsia="Times New Roman" w:hAnsi="Times New Roman" w:cs="Times New Roman"/>
          <w:sz w:val="24"/>
          <w:szCs w:val="24"/>
        </w:rPr>
        <w:t xml:space="preserve"> omfattet af </w:t>
      </w:r>
      <w:r w:rsidR="0058659A" w:rsidRPr="00796736">
        <w:rPr>
          <w:rFonts w:ascii="Times New Roman" w:eastAsia="Times New Roman" w:hAnsi="Times New Roman" w:cs="Times New Roman"/>
          <w:sz w:val="24"/>
          <w:szCs w:val="24"/>
        </w:rPr>
        <w:fldChar w:fldCharType="begin"/>
      </w:r>
      <w:r w:rsidR="0058659A"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0058659A" w:rsidRPr="00796736">
        <w:rPr>
          <w:rFonts w:ascii="Times New Roman" w:eastAsia="Times New Roman" w:hAnsi="Times New Roman" w:cs="Times New Roman"/>
          <w:sz w:val="24"/>
          <w:szCs w:val="24"/>
        </w:rPr>
      </w:r>
      <w:r w:rsidR="0058659A"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58659A" w:rsidRPr="00796736">
        <w:rPr>
          <w:rFonts w:ascii="Times New Roman" w:eastAsia="Times New Roman" w:hAnsi="Times New Roman" w:cs="Times New Roman"/>
          <w:sz w:val="24"/>
          <w:szCs w:val="24"/>
        </w:rPr>
        <w:fldChar w:fldCharType="end"/>
      </w:r>
      <w:r w:rsidR="0058659A"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stk. 1</w:t>
      </w:r>
      <w:r w:rsidR="0058659A" w:rsidRPr="00796736">
        <w:rPr>
          <w:rFonts w:ascii="Times New Roman" w:eastAsia="Times New Roman" w:hAnsi="Times New Roman" w:cs="Times New Roman"/>
          <w:sz w:val="24"/>
          <w:szCs w:val="24"/>
        </w:rPr>
        <w:t>, nr. 1</w:t>
      </w:r>
      <w:r w:rsidRPr="00796736">
        <w:rPr>
          <w:rFonts w:ascii="Times New Roman" w:eastAsia="Times New Roman" w:hAnsi="Times New Roman" w:cs="Times New Roman"/>
          <w:sz w:val="24"/>
          <w:szCs w:val="24"/>
        </w:rPr>
        <w:t>, og tage kopier eller uddrag af sådanne regnskaber og registre,</w:t>
      </w:r>
    </w:p>
    <w:p w14:paraId="3DF312D4" w14:textId="6A209492" w:rsidR="005A4AFF" w:rsidRPr="00796736" w:rsidRDefault="005A4AFF">
      <w:pPr>
        <w:pStyle w:val="Listeafsnit"/>
        <w:numPr>
          <w:ilvl w:val="0"/>
          <w:numId w:val="41"/>
        </w:num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få adgang til software, databaser, IT-værktøjer eller andre elektroniske midler til registrering af oplysninger, der anvendes af udbydere af spil omfattet af </w:t>
      </w:r>
      <w:r w:rsidR="0058659A" w:rsidRPr="00796736">
        <w:rPr>
          <w:rFonts w:ascii="Times New Roman" w:eastAsia="Times New Roman" w:hAnsi="Times New Roman" w:cs="Times New Roman"/>
          <w:sz w:val="24"/>
          <w:szCs w:val="24"/>
        </w:rPr>
        <w:fldChar w:fldCharType="begin"/>
      </w:r>
      <w:r w:rsidR="0058659A"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0058659A" w:rsidRPr="00796736">
        <w:rPr>
          <w:rFonts w:ascii="Times New Roman" w:eastAsia="Times New Roman" w:hAnsi="Times New Roman" w:cs="Times New Roman"/>
          <w:sz w:val="24"/>
          <w:szCs w:val="24"/>
        </w:rPr>
      </w:r>
      <w:r w:rsidR="0058659A"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58659A" w:rsidRPr="00796736">
        <w:rPr>
          <w:rFonts w:ascii="Times New Roman" w:eastAsia="Times New Roman" w:hAnsi="Times New Roman" w:cs="Times New Roman"/>
          <w:sz w:val="24"/>
          <w:szCs w:val="24"/>
        </w:rPr>
        <w:fldChar w:fldCharType="end"/>
      </w:r>
      <w:r w:rsidR="0058659A"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stk. 1</w:t>
      </w:r>
      <w:r w:rsidR="0058659A" w:rsidRPr="00796736">
        <w:rPr>
          <w:rFonts w:ascii="Times New Roman" w:eastAsia="Times New Roman" w:hAnsi="Times New Roman" w:cs="Times New Roman"/>
          <w:sz w:val="24"/>
          <w:szCs w:val="24"/>
        </w:rPr>
        <w:t>, nr. 1</w:t>
      </w:r>
      <w:r w:rsidRPr="00796736">
        <w:rPr>
          <w:rFonts w:ascii="Times New Roman" w:eastAsia="Times New Roman" w:hAnsi="Times New Roman" w:cs="Times New Roman"/>
          <w:sz w:val="24"/>
          <w:szCs w:val="24"/>
        </w:rPr>
        <w:t>,</w:t>
      </w:r>
      <w:r w:rsidR="00222625" w:rsidRPr="00796736">
        <w:rPr>
          <w:rFonts w:ascii="Times New Roman" w:eastAsia="Times New Roman" w:hAnsi="Times New Roman" w:cs="Times New Roman"/>
          <w:sz w:val="24"/>
          <w:szCs w:val="24"/>
        </w:rPr>
        <w:t xml:space="preserve"> og</w:t>
      </w:r>
    </w:p>
    <w:p w14:paraId="312630B9" w14:textId="77777777" w:rsidR="005A4AFF" w:rsidRPr="00796736" w:rsidRDefault="005A4AFF">
      <w:pPr>
        <w:pStyle w:val="Listeafsnit"/>
        <w:numPr>
          <w:ilvl w:val="0"/>
          <w:numId w:val="41"/>
        </w:num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sz w:val="24"/>
          <w:szCs w:val="24"/>
        </w:rPr>
        <w:t>indhente skriftlige eller mundtlige oplysninger fra enhver person, der er ansvarlige for de interne politikker, procedurer og kontroller for bekæmpelse af hvidvask af penge og finansiering af terrorisme, eller deres repræsentanter eller personale, samt fra repræsentanter for eller personale i enheder, som den forpligtede enhed har outsourcet opgaver til i henhold til artikel 18 i hvidvaskforordningen, og udspørge enhver anden person, der samtykker heri, med det formål at indhente oplysninger om genstanden for en efterforskning</w:t>
      </w:r>
      <w:r w:rsidRPr="00796736">
        <w:rPr>
          <w:rFonts w:ascii="Times New Roman" w:eastAsia="Times New Roman" w:hAnsi="Times New Roman" w:cs="Times New Roman"/>
          <w:color w:val="000000" w:themeColor="text1"/>
          <w:sz w:val="24"/>
          <w:szCs w:val="24"/>
        </w:rPr>
        <w:t>.</w:t>
      </w:r>
    </w:p>
    <w:p w14:paraId="2127FDA7" w14:textId="77777777" w:rsidR="005A4AFF" w:rsidRPr="00796736" w:rsidRDefault="005A4AFF" w:rsidP="00A802A5">
      <w:pPr>
        <w:spacing w:line="360" w:lineRule="auto"/>
        <w:rPr>
          <w:rFonts w:ascii="Times New Roman" w:eastAsia="Times New Roman" w:hAnsi="Times New Roman" w:cs="Times New Roman"/>
          <w:color w:val="000000" w:themeColor="text1"/>
          <w:sz w:val="24"/>
          <w:szCs w:val="24"/>
        </w:rPr>
      </w:pPr>
    </w:p>
    <w:p w14:paraId="163ABE58" w14:textId="706A93EB"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_Ref236144676 \r \h </w:instrText>
      </w:r>
      <w:r w:rsidR="00A47042"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stk. 4, implementerer artikel 37, stk. 7, i 6. hvidvaskdirektiv. </w:t>
      </w:r>
    </w:p>
    <w:p w14:paraId="66A5052A" w14:textId="77777777" w:rsidR="005A4AFF" w:rsidRPr="00796736" w:rsidRDefault="005A4AFF" w:rsidP="00A802A5">
      <w:pPr>
        <w:spacing w:line="360" w:lineRule="auto"/>
        <w:rPr>
          <w:rFonts w:ascii="Times New Roman" w:eastAsia="Times New Roman" w:hAnsi="Times New Roman" w:cs="Times New Roman"/>
          <w:sz w:val="24"/>
          <w:szCs w:val="24"/>
        </w:rPr>
      </w:pPr>
    </w:p>
    <w:p w14:paraId="69493137" w14:textId="0D69F3F0"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 fastsætter, hvad Spillemyndigheden som minimum skal kunne kræve at få adgang til i forbindelse med opfyldelse af det foreslåede stk. 3. Der er ikke tale om en udtømmende liste, og Spillemyndigheden vil derfor kunne anvende yderligere tiltag.</w:t>
      </w:r>
    </w:p>
    <w:p w14:paraId="7E12F6EB" w14:textId="77777777" w:rsidR="005A4AFF" w:rsidRPr="00796736" w:rsidRDefault="005A4AFF" w:rsidP="00A802A5">
      <w:pPr>
        <w:spacing w:line="360" w:lineRule="auto"/>
        <w:rPr>
          <w:rFonts w:ascii="Times New Roman" w:hAnsi="Times New Roman" w:cs="Times New Roman"/>
          <w:sz w:val="24"/>
          <w:szCs w:val="24"/>
        </w:rPr>
      </w:pPr>
    </w:p>
    <w:p w14:paraId="321B6931" w14:textId="77777777" w:rsidR="0058659A" w:rsidRPr="00796736" w:rsidRDefault="0058659A" w:rsidP="00A802A5">
      <w:pPr>
        <w:spacing w:line="360" w:lineRule="auto"/>
        <w:rPr>
          <w:rFonts w:ascii="Times New Roman" w:hAnsi="Times New Roman" w:cs="Times New Roman"/>
          <w:sz w:val="24"/>
          <w:szCs w:val="24"/>
        </w:rPr>
      </w:pPr>
    </w:p>
    <w:p w14:paraId="38979C18" w14:textId="40985B15" w:rsidR="005A4AFF" w:rsidRPr="00796736" w:rsidRDefault="005A4AFF" w:rsidP="00A802A5">
      <w:pPr>
        <w:pStyle w:val="Undertitel"/>
      </w:pPr>
      <w:bookmarkStart w:id="2199" w:name="_Toc244879413"/>
      <w:bookmarkStart w:id="2200" w:name="_Toc244880938"/>
      <w:r w:rsidRPr="00796736">
        <w:t xml:space="preserve">Til </w:t>
      </w:r>
      <w:r w:rsidR="001C7943" w:rsidRPr="00796736">
        <w:fldChar w:fldCharType="begin"/>
      </w:r>
      <w:r w:rsidR="001C7943" w:rsidRPr="00796736">
        <w:instrText xml:space="preserve"> REF _Ref236144985 \r \h </w:instrText>
      </w:r>
      <w:r w:rsidR="00A47042" w:rsidRPr="00796736">
        <w:instrText xml:space="preserve"> \* MERGEFORMAT </w:instrText>
      </w:r>
      <w:r w:rsidR="001C7943" w:rsidRPr="00796736">
        <w:fldChar w:fldCharType="separate"/>
      </w:r>
      <w:r w:rsidR="008F29E5">
        <w:t>§ 117</w:t>
      </w:r>
      <w:bookmarkEnd w:id="2199"/>
      <w:bookmarkEnd w:id="2200"/>
      <w:r w:rsidR="001C7943" w:rsidRPr="00796736">
        <w:fldChar w:fldCharType="end"/>
      </w:r>
      <w:r w:rsidRPr="00796736">
        <w:t xml:space="preserve"> </w:t>
      </w:r>
    </w:p>
    <w:p w14:paraId="2B4C0EF9" w14:textId="5EA6389C" w:rsidR="005A4AFF" w:rsidRPr="00796736" w:rsidRDefault="005A4AFF"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Efter</w:t>
      </w:r>
      <w:r w:rsidR="00222625" w:rsidRPr="00796736">
        <w:rPr>
          <w:rFonts w:ascii="Times New Roman" w:eastAsia="Times New Roman" w:hAnsi="Times New Roman" w:cs="Times New Roman"/>
          <w:sz w:val="24"/>
          <w:szCs w:val="24"/>
        </w:rPr>
        <w:t xml:space="preserve"> hvidvasklovens</w:t>
      </w:r>
      <w:r w:rsidRPr="00796736">
        <w:rPr>
          <w:rFonts w:ascii="Times New Roman" w:eastAsia="Times New Roman" w:hAnsi="Times New Roman" w:cs="Times New Roman"/>
          <w:sz w:val="24"/>
          <w:szCs w:val="24"/>
        </w:rPr>
        <w:t xml:space="preserve"> § 66 kan Spillemyndigheden inden for en af Spillemyndigheden fastsat frist påbyde udbydere af spil at foretage de nødvendige foranstaltninger i tilfælde </w:t>
      </w:r>
      <w:r w:rsidR="0058659A" w:rsidRPr="00796736">
        <w:rPr>
          <w:rFonts w:ascii="Times New Roman" w:eastAsia="Times New Roman" w:hAnsi="Times New Roman" w:cs="Times New Roman"/>
          <w:sz w:val="24"/>
          <w:szCs w:val="24"/>
        </w:rPr>
        <w:t>af</w:t>
      </w:r>
      <w:r w:rsidRPr="00796736">
        <w:rPr>
          <w:rFonts w:ascii="Times New Roman" w:eastAsia="Times New Roman" w:hAnsi="Times New Roman" w:cs="Times New Roman"/>
          <w:sz w:val="24"/>
          <w:szCs w:val="24"/>
        </w:rPr>
        <w:t xml:space="preserve"> overtrædelse af</w:t>
      </w:r>
      <w:r w:rsidRPr="00796736">
        <w:rPr>
          <w:rFonts w:ascii="Times New Roman" w:hAnsi="Times New Roman" w:cs="Times New Roman"/>
          <w:color w:val="2F2F2B"/>
          <w:spacing w:val="2"/>
          <w:sz w:val="24"/>
          <w:szCs w:val="24"/>
          <w:shd w:val="clear" w:color="auto" w:fill="FFFFFF"/>
        </w:rPr>
        <w:t xml:space="preserve"> </w:t>
      </w:r>
      <w:r w:rsidRPr="00796736">
        <w:rPr>
          <w:rFonts w:ascii="Times New Roman" w:eastAsia="Times New Roman" w:hAnsi="Times New Roman" w:cs="Times New Roman"/>
          <w:sz w:val="24"/>
          <w:szCs w:val="24"/>
        </w:rPr>
        <w:t xml:space="preserve">bestemmelser i hvidvaskloven, regler udstedt i medfør heraf, eller Europa-Parlamentets og Rådets forordninger indeholdende regler om finansielle sanktioner mod lande, personer, grupper, juridiske enheder eller organer. </w:t>
      </w:r>
    </w:p>
    <w:p w14:paraId="1FE74086" w14:textId="77777777" w:rsidR="005A4AFF" w:rsidRPr="00796736" w:rsidRDefault="005A4AFF" w:rsidP="00A802A5">
      <w:pPr>
        <w:spacing w:line="360" w:lineRule="auto"/>
        <w:rPr>
          <w:rFonts w:ascii="Times New Roman" w:hAnsi="Times New Roman" w:cs="Times New Roman"/>
          <w:sz w:val="24"/>
          <w:szCs w:val="24"/>
        </w:rPr>
      </w:pPr>
    </w:p>
    <w:p w14:paraId="05A314E6" w14:textId="68242C38" w:rsidR="005A4AFF" w:rsidRPr="00796736" w:rsidRDefault="005A4AFF" w:rsidP="00A802A5">
      <w:pPr>
        <w:spacing w:line="360" w:lineRule="auto"/>
        <w:rPr>
          <w:rFonts w:ascii="Times New Roman" w:eastAsia="Times New Roman" w:hAnsi="Times New Roman" w:cs="Times New Roman"/>
          <w:iCs/>
          <w:sz w:val="24"/>
          <w:szCs w:val="24"/>
          <w:lang w:eastAsia="da-DK"/>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w:t>
      </w:r>
      <w:r w:rsidR="001C7943" w:rsidRPr="00796736">
        <w:rPr>
          <w:rFonts w:ascii="Times New Roman" w:eastAsia="Calibri" w:hAnsi="Times New Roman" w:cs="Times New Roman"/>
          <w:i/>
          <w:iCs/>
          <w:sz w:val="24"/>
          <w:szCs w:val="24"/>
        </w:rPr>
        <w:fldChar w:fldCharType="begin"/>
      </w:r>
      <w:r w:rsidR="001C7943" w:rsidRPr="00796736">
        <w:rPr>
          <w:rFonts w:ascii="Times New Roman" w:eastAsia="Calibri" w:hAnsi="Times New Roman" w:cs="Times New Roman"/>
          <w:i/>
          <w:iCs/>
          <w:sz w:val="24"/>
          <w:szCs w:val="24"/>
        </w:rPr>
        <w:instrText xml:space="preserve"> REF _Ref236144985 \r \h  \* MERGEFORMAT </w:instrText>
      </w:r>
      <w:r w:rsidR="001C7943" w:rsidRPr="00796736">
        <w:rPr>
          <w:rFonts w:ascii="Times New Roman" w:eastAsia="Calibri" w:hAnsi="Times New Roman" w:cs="Times New Roman"/>
          <w:i/>
          <w:iCs/>
          <w:sz w:val="24"/>
          <w:szCs w:val="24"/>
        </w:rPr>
      </w:r>
      <w:r w:rsidR="001C7943"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117</w:t>
      </w:r>
      <w:r w:rsidR="001C7943" w:rsidRPr="00796736">
        <w:rPr>
          <w:rFonts w:ascii="Times New Roman" w:eastAsia="Calibri" w:hAnsi="Times New Roman" w:cs="Times New Roman"/>
          <w:i/>
          <w:iCs/>
          <w:sz w:val="24"/>
          <w:szCs w:val="24"/>
        </w:rPr>
        <w:fldChar w:fldCharType="end"/>
      </w:r>
      <w:r w:rsidRPr="00796736">
        <w:rPr>
          <w:rFonts w:ascii="Times New Roman" w:hAnsi="Times New Roman" w:cs="Times New Roman"/>
          <w:i/>
          <w:iCs/>
          <w:sz w:val="24"/>
          <w:szCs w:val="24"/>
        </w:rPr>
        <w:t>,</w:t>
      </w:r>
      <w:r w:rsidRPr="00796736">
        <w:rPr>
          <w:rFonts w:ascii="Times New Roman" w:hAnsi="Times New Roman" w:cs="Times New Roman"/>
          <w:sz w:val="24"/>
          <w:szCs w:val="24"/>
        </w:rPr>
        <w:t xml:space="preserve"> at </w:t>
      </w:r>
      <w:r w:rsidRPr="00796736">
        <w:rPr>
          <w:rFonts w:ascii="Times New Roman" w:eastAsia="Times New Roman" w:hAnsi="Times New Roman" w:cs="Times New Roman"/>
          <w:iCs/>
          <w:sz w:val="24"/>
          <w:szCs w:val="24"/>
          <w:lang w:eastAsia="da-DK"/>
        </w:rPr>
        <w:t>Spillemyndigheden kan træffe afgørelse efter §</w:t>
      </w:r>
      <w:r w:rsidR="001C7943" w:rsidRPr="00796736">
        <w:rPr>
          <w:rFonts w:ascii="Times New Roman" w:eastAsia="Times New Roman" w:hAnsi="Times New Roman" w:cs="Times New Roman"/>
          <w:iCs/>
          <w:sz w:val="24"/>
          <w:szCs w:val="24"/>
          <w:lang w:eastAsia="da-DK"/>
        </w:rPr>
        <w:fldChar w:fldCharType="begin"/>
      </w:r>
      <w:r w:rsidR="001C7943" w:rsidRPr="00796736">
        <w:rPr>
          <w:rFonts w:ascii="Times New Roman" w:eastAsia="Times New Roman" w:hAnsi="Times New Roman" w:cs="Times New Roman"/>
          <w:iCs/>
          <w:sz w:val="24"/>
          <w:szCs w:val="24"/>
          <w:lang w:eastAsia="da-DK"/>
        </w:rPr>
        <w:instrText xml:space="preserve"> REF _Ref236643746 \r \h </w:instrText>
      </w:r>
      <w:r w:rsidR="00A47042" w:rsidRPr="00796736">
        <w:rPr>
          <w:rFonts w:ascii="Times New Roman" w:eastAsia="Times New Roman" w:hAnsi="Times New Roman" w:cs="Times New Roman"/>
          <w:iCs/>
          <w:sz w:val="24"/>
          <w:szCs w:val="24"/>
          <w:lang w:eastAsia="da-DK"/>
        </w:rPr>
        <w:instrText xml:space="preserve"> \* MERGEFORMAT </w:instrText>
      </w:r>
      <w:r w:rsidR="001C7943" w:rsidRPr="00796736">
        <w:rPr>
          <w:rFonts w:ascii="Times New Roman" w:eastAsia="Times New Roman" w:hAnsi="Times New Roman" w:cs="Times New Roman"/>
          <w:iCs/>
          <w:sz w:val="24"/>
          <w:szCs w:val="24"/>
          <w:lang w:eastAsia="da-DK"/>
        </w:rPr>
      </w:r>
      <w:r w:rsidR="001C7943"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118</w:t>
      </w:r>
      <w:r w:rsidR="001C7943"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r w:rsidR="001C7943" w:rsidRPr="00796736">
        <w:rPr>
          <w:rFonts w:ascii="Times New Roman" w:eastAsia="Times New Roman" w:hAnsi="Times New Roman" w:cs="Times New Roman"/>
          <w:iCs/>
          <w:sz w:val="24"/>
          <w:szCs w:val="24"/>
          <w:lang w:eastAsia="da-DK"/>
        </w:rPr>
        <w:fldChar w:fldCharType="begin"/>
      </w:r>
      <w:r w:rsidR="001C7943" w:rsidRPr="00796736">
        <w:rPr>
          <w:rFonts w:ascii="Times New Roman" w:eastAsia="Times New Roman" w:hAnsi="Times New Roman" w:cs="Times New Roman"/>
          <w:iCs/>
          <w:sz w:val="24"/>
          <w:szCs w:val="24"/>
          <w:lang w:eastAsia="da-DK"/>
        </w:rPr>
        <w:instrText xml:space="preserve"> REF _Ref236145057 \r \h </w:instrText>
      </w:r>
      <w:r w:rsidR="00A47042" w:rsidRPr="00796736">
        <w:rPr>
          <w:rFonts w:ascii="Times New Roman" w:eastAsia="Times New Roman" w:hAnsi="Times New Roman" w:cs="Times New Roman"/>
          <w:iCs/>
          <w:sz w:val="24"/>
          <w:szCs w:val="24"/>
          <w:lang w:eastAsia="da-DK"/>
        </w:rPr>
        <w:instrText xml:space="preserve"> \* MERGEFORMAT </w:instrText>
      </w:r>
      <w:r w:rsidR="001C7943" w:rsidRPr="00796736">
        <w:rPr>
          <w:rFonts w:ascii="Times New Roman" w:eastAsia="Times New Roman" w:hAnsi="Times New Roman" w:cs="Times New Roman"/>
          <w:iCs/>
          <w:sz w:val="24"/>
          <w:szCs w:val="24"/>
          <w:lang w:eastAsia="da-DK"/>
        </w:rPr>
      </w:r>
      <w:r w:rsidR="001C7943"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121</w:t>
      </w:r>
      <w:r w:rsidR="001C7943"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hvis Spillemyndigheden konstatere</w:t>
      </w:r>
      <w:r w:rsidR="0058659A" w:rsidRPr="00796736">
        <w:rPr>
          <w:rFonts w:ascii="Times New Roman" w:eastAsia="Times New Roman" w:hAnsi="Times New Roman" w:cs="Times New Roman"/>
          <w:iCs/>
          <w:sz w:val="24"/>
          <w:szCs w:val="24"/>
          <w:lang w:eastAsia="da-DK"/>
        </w:rPr>
        <w:t>r</w:t>
      </w:r>
    </w:p>
    <w:p w14:paraId="1B86F074" w14:textId="76B6A36C" w:rsidR="00222625" w:rsidRPr="00796736" w:rsidRDefault="00222625">
      <w:pPr>
        <w:pStyle w:val="Listeafsnit"/>
        <w:numPr>
          <w:ilvl w:val="0"/>
          <w:numId w:val="43"/>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overtrædelse af reglerne i hvidvaskforordningen, denne lov, og de regler der er udstedt i medfør heraf </w:t>
      </w:r>
      <w:r w:rsidRPr="00796736">
        <w:rPr>
          <w:rFonts w:ascii="Times New Roman" w:hAnsi="Times New Roman" w:cs="Times New Roman"/>
          <w:sz w:val="24"/>
          <w:szCs w:val="24"/>
        </w:rPr>
        <w:t>eller Europa-Parlamentets og Rådets forordninger indeholdende regler om finansielle sanktioner mod lande, personer, grupper, juridiske enheder eller organer</w:t>
      </w:r>
      <w:r w:rsidRPr="00796736">
        <w:rPr>
          <w:rFonts w:ascii="Times New Roman" w:eastAsia="Times New Roman" w:hAnsi="Times New Roman" w:cs="Times New Roman"/>
          <w:iCs/>
          <w:sz w:val="24"/>
          <w:szCs w:val="24"/>
          <w:lang w:eastAsia="da-DK"/>
        </w:rPr>
        <w:t xml:space="preserve">, eller </w:t>
      </w:r>
    </w:p>
    <w:p w14:paraId="43E5DE15" w14:textId="77777777" w:rsidR="00222625" w:rsidRPr="00796736" w:rsidRDefault="00222625">
      <w:pPr>
        <w:pStyle w:val="Listeafsnit"/>
        <w:numPr>
          <w:ilvl w:val="0"/>
          <w:numId w:val="43"/>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svagheder i interne politikker, procedurer og kontroller, som sandsynligvis vil medføre en overtrædelse af de krav, </w:t>
      </w:r>
      <w:r w:rsidRPr="00796736">
        <w:rPr>
          <w:rFonts w:ascii="Times New Roman" w:hAnsi="Times New Roman" w:cs="Times New Roman"/>
          <w:sz w:val="24"/>
          <w:szCs w:val="24"/>
        </w:rPr>
        <w:t xml:space="preserve">der fremgår af nr. 1, </w:t>
      </w:r>
      <w:r w:rsidRPr="00796736">
        <w:rPr>
          <w:rFonts w:ascii="Times New Roman" w:eastAsia="Times New Roman" w:hAnsi="Times New Roman" w:cs="Times New Roman"/>
          <w:iCs/>
          <w:sz w:val="24"/>
          <w:szCs w:val="24"/>
          <w:lang w:eastAsia="da-DK"/>
        </w:rPr>
        <w:t xml:space="preserve">eller </w:t>
      </w:r>
    </w:p>
    <w:p w14:paraId="73301DE1" w14:textId="22EE3D59" w:rsidR="00D55072" w:rsidRPr="00796736" w:rsidRDefault="00D55072">
      <w:pPr>
        <w:pStyle w:val="Listeafsnit"/>
        <w:numPr>
          <w:ilvl w:val="0"/>
          <w:numId w:val="43"/>
        </w:num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at interne politikker, procedurer og kontroller ikke står i rimeligt forhold til de risici for hvidvask, de underliggende lovovertrædelser eller finansiering af terrorisme, som </w:t>
      </w:r>
      <w:r w:rsidRPr="00796736">
        <w:rPr>
          <w:rFonts w:ascii="Times New Roman" w:hAnsi="Times New Roman" w:cs="Times New Roman"/>
          <w:sz w:val="24"/>
          <w:szCs w:val="24"/>
        </w:rPr>
        <w:t xml:space="preserve">virksomheder eller personer, som 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_Ref239189479 \r \h </w:instrText>
      </w:r>
      <w:r w:rsidR="00AB17CC"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er eksponeret for</w:t>
      </w:r>
      <w:r w:rsidRPr="00796736">
        <w:rPr>
          <w:rFonts w:ascii="Times New Roman" w:eastAsia="Times New Roman" w:hAnsi="Times New Roman" w:cs="Times New Roman"/>
          <w:iCs/>
          <w:sz w:val="24"/>
          <w:szCs w:val="24"/>
          <w:lang w:eastAsia="da-DK"/>
        </w:rPr>
        <w:t>.</w:t>
      </w:r>
    </w:p>
    <w:p w14:paraId="12851416" w14:textId="77777777" w:rsidR="005A4AFF" w:rsidRPr="00796736" w:rsidRDefault="005A4AFF" w:rsidP="00A802A5">
      <w:pPr>
        <w:spacing w:line="360" w:lineRule="auto"/>
        <w:rPr>
          <w:rFonts w:ascii="Times New Roman" w:eastAsia="Times New Roman" w:hAnsi="Times New Roman" w:cs="Times New Roman"/>
          <w:iCs/>
          <w:sz w:val="24"/>
          <w:szCs w:val="24"/>
          <w:lang w:eastAsia="da-DK"/>
        </w:rPr>
      </w:pPr>
    </w:p>
    <w:p w14:paraId="16605022" w14:textId="23E2E2D0" w:rsidR="005A4AFF" w:rsidRPr="00796736" w:rsidRDefault="005A4AFF"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indeholder betingelserne for, hvornår der kan iværksættes administrative foranstaltninger over for virksomheder og personer som </w:t>
      </w:r>
      <w:r w:rsidR="0058659A" w:rsidRPr="00796736">
        <w:rPr>
          <w:rFonts w:ascii="Times New Roman" w:eastAsia="Times New Roman" w:hAnsi="Times New Roman" w:cs="Times New Roman"/>
          <w:iCs/>
          <w:sz w:val="24"/>
          <w:szCs w:val="24"/>
          <w:lang w:eastAsia="da-DK"/>
        </w:rPr>
        <w:t xml:space="preserve">omfattet af </w:t>
      </w:r>
      <w:r w:rsidR="0058659A" w:rsidRPr="00796736">
        <w:rPr>
          <w:rFonts w:ascii="Times New Roman" w:eastAsia="Times New Roman" w:hAnsi="Times New Roman" w:cs="Times New Roman"/>
          <w:iCs/>
          <w:sz w:val="24"/>
          <w:szCs w:val="24"/>
          <w:lang w:eastAsia="da-DK"/>
        </w:rPr>
        <w:fldChar w:fldCharType="begin"/>
      </w:r>
      <w:r w:rsidR="0058659A" w:rsidRPr="00796736">
        <w:rPr>
          <w:rFonts w:ascii="Times New Roman" w:eastAsia="Times New Roman" w:hAnsi="Times New Roman" w:cs="Times New Roman"/>
          <w:iCs/>
          <w:sz w:val="24"/>
          <w:szCs w:val="24"/>
          <w:lang w:eastAsia="da-DK"/>
        </w:rPr>
        <w:instrText xml:space="preserve"> REF _Ref239189479 \r \h </w:instrText>
      </w:r>
      <w:r w:rsidR="00F375BF" w:rsidRPr="00796736">
        <w:rPr>
          <w:rFonts w:ascii="Times New Roman" w:eastAsia="Times New Roman" w:hAnsi="Times New Roman" w:cs="Times New Roman"/>
          <w:iCs/>
          <w:sz w:val="24"/>
          <w:szCs w:val="24"/>
          <w:lang w:eastAsia="da-DK"/>
        </w:rPr>
        <w:instrText xml:space="preserve"> \* MERGEFORMAT </w:instrText>
      </w:r>
      <w:r w:rsidR="0058659A" w:rsidRPr="00796736">
        <w:rPr>
          <w:rFonts w:ascii="Times New Roman" w:eastAsia="Times New Roman" w:hAnsi="Times New Roman" w:cs="Times New Roman"/>
          <w:iCs/>
          <w:sz w:val="24"/>
          <w:szCs w:val="24"/>
          <w:lang w:eastAsia="da-DK"/>
        </w:rPr>
      </w:r>
      <w:r w:rsidR="0058659A"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112</w:t>
      </w:r>
      <w:r w:rsidR="0058659A" w:rsidRPr="00796736">
        <w:rPr>
          <w:rFonts w:ascii="Times New Roman" w:eastAsia="Times New Roman" w:hAnsi="Times New Roman" w:cs="Times New Roman"/>
          <w:iCs/>
          <w:sz w:val="24"/>
          <w:szCs w:val="24"/>
          <w:lang w:eastAsia="da-DK"/>
        </w:rPr>
        <w:fldChar w:fldCharType="end"/>
      </w:r>
      <w:r w:rsidR="0058659A" w:rsidRPr="00796736">
        <w:rPr>
          <w:rFonts w:ascii="Times New Roman" w:eastAsia="Times New Roman" w:hAnsi="Times New Roman" w:cs="Times New Roman"/>
          <w:iCs/>
          <w:sz w:val="24"/>
          <w:szCs w:val="24"/>
          <w:lang w:eastAsia="da-DK"/>
        </w:rPr>
        <w:t>, stk. 1.</w:t>
      </w:r>
      <w:r w:rsidRPr="00796736">
        <w:rPr>
          <w:rFonts w:ascii="Times New Roman" w:eastAsia="Times New Roman" w:hAnsi="Times New Roman" w:cs="Times New Roman"/>
          <w:iCs/>
          <w:sz w:val="24"/>
          <w:szCs w:val="24"/>
          <w:lang w:eastAsia="da-DK"/>
        </w:rPr>
        <w:t xml:space="preserve"> Den foreslåede bestemmelse omfatter tre forskellige situationer, </w:t>
      </w:r>
      <w:r w:rsidR="0058659A" w:rsidRPr="00796736">
        <w:rPr>
          <w:rFonts w:ascii="Times New Roman" w:eastAsia="Times New Roman" w:hAnsi="Times New Roman" w:cs="Times New Roman"/>
          <w:iCs/>
          <w:sz w:val="24"/>
          <w:szCs w:val="24"/>
          <w:lang w:eastAsia="da-DK"/>
        </w:rPr>
        <w:t>hvor</w:t>
      </w:r>
      <w:r w:rsidRPr="00796736">
        <w:rPr>
          <w:rFonts w:ascii="Times New Roman" w:eastAsia="Times New Roman" w:hAnsi="Times New Roman" w:cs="Times New Roman"/>
          <w:iCs/>
          <w:sz w:val="24"/>
          <w:szCs w:val="24"/>
          <w:lang w:eastAsia="da-DK"/>
        </w:rPr>
        <w:t xml:space="preserve"> Spillemyndigheden som led i sit risikobaserede tilsyn vil kunne iværksætte en række administrative foranstaltninger.</w:t>
      </w:r>
    </w:p>
    <w:p w14:paraId="0D47AE6D" w14:textId="77777777" w:rsidR="00222625" w:rsidRPr="00796736" w:rsidRDefault="00222625" w:rsidP="00A802A5">
      <w:pPr>
        <w:spacing w:line="360" w:lineRule="auto"/>
        <w:rPr>
          <w:rFonts w:ascii="Times New Roman" w:eastAsia="Times New Roman" w:hAnsi="Times New Roman" w:cs="Times New Roman"/>
          <w:iCs/>
          <w:sz w:val="24"/>
          <w:szCs w:val="24"/>
          <w:lang w:eastAsia="da-DK"/>
        </w:rPr>
      </w:pPr>
    </w:p>
    <w:p w14:paraId="089CDD48" w14:textId="4C883E9A" w:rsidR="00D55072" w:rsidRDefault="00D55072"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Ved administrative foranstaltninger efter artikel 56 i 6. hvidvaskdirektiv forstås de indgreb og reaktioner, som Spillemyndigheden kan iværksætte over for de virksomheder og personer, som er omfattet af tilsynet i henhold til lovforslagets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_Ref239189479 \r \h </w:instrText>
      </w:r>
      <w:r w:rsidR="00AB17CC"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112</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w:t>
      </w:r>
    </w:p>
    <w:p w14:paraId="25375BF3" w14:textId="77777777" w:rsidR="007B7BA4" w:rsidRDefault="007B7BA4" w:rsidP="00A802A5">
      <w:pPr>
        <w:spacing w:line="360" w:lineRule="auto"/>
        <w:rPr>
          <w:rFonts w:ascii="Times New Roman" w:eastAsia="Calibri" w:hAnsi="Times New Roman" w:cs="Times New Roman"/>
          <w:iCs/>
          <w:sz w:val="24"/>
          <w:szCs w:val="24"/>
        </w:rPr>
      </w:pPr>
    </w:p>
    <w:p w14:paraId="457B512D" w14:textId="5D1C7D8D" w:rsidR="007B7BA4" w:rsidRPr="00796736" w:rsidRDefault="007B7BA4" w:rsidP="00A802A5">
      <w:pPr>
        <w:spacing w:line="360" w:lineRule="auto"/>
        <w:rPr>
          <w:rFonts w:ascii="Times New Roman" w:eastAsia="Times New Roman" w:hAnsi="Times New Roman" w:cs="Times New Roman"/>
          <w:iCs/>
          <w:sz w:val="24"/>
          <w:szCs w:val="24"/>
          <w:lang w:eastAsia="da-DK"/>
        </w:rPr>
      </w:pPr>
      <w:r w:rsidRPr="008B2C3D">
        <w:rPr>
          <w:rFonts w:ascii="Times New Roman" w:eastAsia="Times New Roman" w:hAnsi="Times New Roman" w:cs="Times New Roman"/>
          <w:iCs/>
          <w:sz w:val="24"/>
          <w:szCs w:val="24"/>
          <w:lang w:eastAsia="da-DK"/>
        </w:rPr>
        <w:t xml:space="preserve">Bestemmelsen vil indebære, at der </w:t>
      </w:r>
      <w:r>
        <w:rPr>
          <w:rFonts w:ascii="Times New Roman" w:eastAsia="Times New Roman" w:hAnsi="Times New Roman" w:cs="Times New Roman"/>
          <w:iCs/>
          <w:sz w:val="24"/>
          <w:szCs w:val="24"/>
          <w:lang w:eastAsia="da-DK"/>
        </w:rPr>
        <w:t xml:space="preserve">vil skulle </w:t>
      </w:r>
      <w:r w:rsidRPr="008B2C3D">
        <w:rPr>
          <w:rFonts w:ascii="Times New Roman" w:eastAsia="Times New Roman" w:hAnsi="Times New Roman" w:cs="Times New Roman"/>
          <w:iCs/>
          <w:sz w:val="24"/>
          <w:szCs w:val="24"/>
          <w:lang w:eastAsia="da-DK"/>
        </w:rPr>
        <w:t>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640D3F36" w14:textId="77777777" w:rsidR="005A4AFF" w:rsidRPr="00796736" w:rsidRDefault="005A4AFF" w:rsidP="00A802A5">
      <w:pPr>
        <w:spacing w:line="360" w:lineRule="auto"/>
        <w:rPr>
          <w:rFonts w:ascii="Times New Roman" w:eastAsia="Times New Roman" w:hAnsi="Times New Roman" w:cs="Times New Roman"/>
          <w:iCs/>
          <w:sz w:val="24"/>
          <w:szCs w:val="24"/>
          <w:lang w:eastAsia="da-DK"/>
        </w:rPr>
      </w:pPr>
    </w:p>
    <w:p w14:paraId="76F9EEE1" w14:textId="66DEE35D"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iCs/>
          <w:sz w:val="24"/>
          <w:szCs w:val="24"/>
          <w:lang w:eastAsia="da-DK"/>
        </w:rPr>
        <w:t>nr. 1,</w:t>
      </w:r>
      <w:r w:rsidRPr="00796736">
        <w:rPr>
          <w:rFonts w:ascii="Times New Roman" w:eastAsia="Times New Roman" w:hAnsi="Times New Roman" w:cs="Times New Roman"/>
          <w:iCs/>
          <w:sz w:val="24"/>
          <w:szCs w:val="24"/>
          <w:lang w:eastAsia="da-DK"/>
        </w:rPr>
        <w:t xml:space="preserve"> at Spillemyndigheden kan træffe afgørelse efter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_Ref236643746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118</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_Ref241439504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121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hvis Spillemyndigheden konstaterer overtrædelse af reglerne i hvidvaskforordningen, denne lov, regler udstedt i medfør heraf, eller Europa-Parlamentets og Rådets forordninger indeholdende regler og finansielle sanktioner mod lande, personer, grupper, juridiske enheder eller organer.</w:t>
      </w:r>
    </w:p>
    <w:p w14:paraId="6D4E149D"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6779B402"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omfatter således Spilleyndighedens adgang til at kunne gribe ind over for virksomheder og personer under tilsyn, som ikke overholder de gældende krav til forebyggelse af hvidvask af penge og finansiering af terrorisme. </w:t>
      </w:r>
    </w:p>
    <w:p w14:paraId="42FB9D00"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49C2CE88"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Foranstaltninger kan f.eks. bestå i påbud, hvor Spillemyndigheden pålægger virksomheder eller personer at udvise en bestemt adfærd eller foretage en konkret handling. Dette kan blandt andet indebære, at en ulovlig eller uhensigtsmæssig adfærd straks bringes til ophør, samt at virksomheden eller personen forpligtes til at undlade at gentage den pågældende adfærd fremadrettet.</w:t>
      </w:r>
    </w:p>
    <w:p w14:paraId="517A26D3"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56304A50"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Afgørelser, som Spillemyndigheden træffer efter nr. 1, skal offentliggøres. Efter artikel 58, stk. 1, i 6. hvidvaskdirektiv, skal afgørelser om anvendelse af administrative foranstaltninger truffet i henhold til artikel 56, stk. 1, litra a, offentliggøres i et tilgængeligt format på tilsynsorganernes websted.</w:t>
      </w:r>
    </w:p>
    <w:p w14:paraId="159FBADA"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2BD0043B" w14:textId="5CA1E57E"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iCs/>
          <w:sz w:val="24"/>
          <w:szCs w:val="24"/>
          <w:lang w:eastAsia="da-DK"/>
        </w:rPr>
        <w:t>nr. 2,</w:t>
      </w:r>
      <w:r w:rsidRPr="00796736">
        <w:rPr>
          <w:rFonts w:ascii="Times New Roman" w:eastAsia="Times New Roman" w:hAnsi="Times New Roman" w:cs="Times New Roman"/>
          <w:iCs/>
          <w:sz w:val="24"/>
          <w:szCs w:val="24"/>
          <w:lang w:eastAsia="da-DK"/>
        </w:rPr>
        <w:t xml:space="preserve"> at Spillemyndigheden kan træffe afgørelse efter de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_Ref236643746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118</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_Ref241439504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121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hvis Spillemyndigheden konstaterer svagheder i virksomhedens eller personens interne politikker, procedurer og kontroller, som sandsynligvis vil medføre en overtrædelse af reglerne.</w:t>
      </w:r>
    </w:p>
    <w:p w14:paraId="663F0666"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1AE57563"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vil i sådanne situationer være et krav, at de administrative foranstaltninger, som iværksættes, kan forhindre overtrædelser eller risikoen herfor. De foranstaltninger, som iværksættes, vil således skulle have et afværgende eller forebyggende sigte og vil i almindelighed ikke kunne pålægges for at varetage disciplinerende hensyn eller lignende. </w:t>
      </w:r>
    </w:p>
    <w:p w14:paraId="6FD513E1"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5C68926D"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at Spillemyndigheden vil kunne gribe ind allerede på et tidligt tidspunkt, hvor der endnu ikke er konstateret en overtrædelse, men hvor der foreligger en reel risiko for, at en overtrædelse kan opstå. </w:t>
      </w:r>
    </w:p>
    <w:p w14:paraId="32C64AD2"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7C31315A" w14:textId="5984F46D"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foreslås i </w:t>
      </w:r>
      <w:r w:rsidRPr="00796736">
        <w:rPr>
          <w:rFonts w:ascii="Times New Roman" w:eastAsia="Times New Roman" w:hAnsi="Times New Roman" w:cs="Times New Roman"/>
          <w:i/>
          <w:iCs/>
          <w:sz w:val="24"/>
          <w:szCs w:val="24"/>
          <w:lang w:eastAsia="da-DK"/>
        </w:rPr>
        <w:t>nr. 3,</w:t>
      </w:r>
      <w:r w:rsidRPr="00796736">
        <w:rPr>
          <w:rFonts w:ascii="Times New Roman" w:eastAsia="Times New Roman" w:hAnsi="Times New Roman" w:cs="Times New Roman"/>
          <w:iCs/>
          <w:sz w:val="24"/>
          <w:szCs w:val="24"/>
          <w:lang w:eastAsia="da-DK"/>
        </w:rPr>
        <w:t xml:space="preserve"> at Spillemyndigheden kan træffe afgørelse efter de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_Ref236643746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118</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_Ref241439504 \r \h </w:instrText>
      </w:r>
      <w:r w:rsidR="00AB17CC"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121</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hvis Spillemyndigheden konstaterer, at virksomhedens eller personens interne politikker, procedurer og kontroller ikke står i rimeligt forhold til de risici for hvidvask af penge, de underliggende lovovertrædelser eller finansiering af terrorisme, som virksomheden eller personen er eksponeret.</w:t>
      </w:r>
    </w:p>
    <w:p w14:paraId="063F4C73"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456489E8"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 foranstaltninger, som iværksættes i sådanne tilfælde, vil ligeledes skulle have et afværgende eller forebyggende sigte. </w:t>
      </w:r>
    </w:p>
    <w:p w14:paraId="3D0B509D"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76206DE0"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Efter det foreslåede kan Spillemyndigheden stille krav om, at de interne politikker, procedurer og kontroller tilpasses, så de svarer til den konkrete risikoprofil, for at sikre, at virksomheder og personer under et tilsyn har tilstrækkeligt og effektivt beredskab til at forebygge og imødegå de risici, de står overfor.</w:t>
      </w:r>
    </w:p>
    <w:p w14:paraId="55241838"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64C20145" w14:textId="53541937" w:rsidR="001C58D1" w:rsidRPr="00796736" w:rsidRDefault="001C58D1" w:rsidP="00A802A5">
      <w:pPr>
        <w:spacing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Det bemærkes, at det kun vil være afgørelser om at anvende administrative foranstaltninger i forbindelse med overtrædelser af kravene til bekæmpelse af hvidvask af penge og finansiering af terrorisme efter nr. 1, der skal offentliggøres, og således ikke administrative foranstaltninger efter nr. 2 og 3, der anvendes for at forhindre en sådan overtrædelse, jf. herved også den foreslåede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_Ref232609613 \r \h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124</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w:t>
      </w:r>
    </w:p>
    <w:p w14:paraId="01B7A79C" w14:textId="77777777" w:rsidR="001C58D1" w:rsidRPr="00796736" w:rsidRDefault="001C58D1" w:rsidP="00A802A5">
      <w:pPr>
        <w:spacing w:line="360" w:lineRule="auto"/>
        <w:rPr>
          <w:rFonts w:ascii="Times New Roman" w:eastAsia="Times New Roman" w:hAnsi="Times New Roman" w:cs="Times New Roman"/>
          <w:iCs/>
          <w:sz w:val="24"/>
          <w:szCs w:val="24"/>
          <w:lang w:eastAsia="da-DK"/>
        </w:rPr>
      </w:pPr>
    </w:p>
    <w:p w14:paraId="7DA5C297" w14:textId="77777777" w:rsidR="001C58D1" w:rsidRPr="00796736" w:rsidRDefault="001C58D1"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 xml:space="preserve">Bestemmelsen implementerer 6. hvidvaskdirektivs </w:t>
      </w:r>
      <w:r w:rsidRPr="00796736">
        <w:rPr>
          <w:rFonts w:ascii="Times New Roman" w:eastAsia="Times New Roman" w:hAnsi="Times New Roman" w:cs="Times New Roman"/>
          <w:sz w:val="24"/>
          <w:szCs w:val="24"/>
        </w:rPr>
        <w:t>artikel 56, stk. 1.</w:t>
      </w:r>
    </w:p>
    <w:p w14:paraId="55916D9D" w14:textId="77777777" w:rsidR="000D1C3A" w:rsidRPr="00796736" w:rsidRDefault="000D1C3A" w:rsidP="00A802A5">
      <w:pPr>
        <w:spacing w:line="360" w:lineRule="auto"/>
        <w:rPr>
          <w:rFonts w:ascii="Times New Roman" w:hAnsi="Times New Roman" w:cs="Times New Roman"/>
          <w:sz w:val="24"/>
          <w:szCs w:val="24"/>
        </w:rPr>
      </w:pPr>
    </w:p>
    <w:p w14:paraId="13BC5F8A" w14:textId="41205EE8" w:rsidR="001A00DB" w:rsidRPr="00796736" w:rsidRDefault="00A06D45" w:rsidP="00A802A5">
      <w:pPr>
        <w:pStyle w:val="Undertitel"/>
      </w:pPr>
      <w:bookmarkStart w:id="2201" w:name="_Toc232109436"/>
      <w:bookmarkStart w:id="2202" w:name="_Toc244879414"/>
      <w:bookmarkStart w:id="2203" w:name="_Toc244880939"/>
      <w:r w:rsidRPr="00796736">
        <w:t xml:space="preserve">Til </w:t>
      </w:r>
      <w:bookmarkEnd w:id="2201"/>
      <w:r w:rsidR="001C7943" w:rsidRPr="00796736">
        <w:fldChar w:fldCharType="begin"/>
      </w:r>
      <w:r w:rsidR="001C7943" w:rsidRPr="00796736">
        <w:instrText xml:space="preserve"> REF _Ref236643746 \n \h </w:instrText>
      </w:r>
      <w:r w:rsidR="00A47042" w:rsidRPr="00796736">
        <w:instrText xml:space="preserve"> \* MERGEFORMAT </w:instrText>
      </w:r>
      <w:r w:rsidR="001C7943" w:rsidRPr="00796736">
        <w:fldChar w:fldCharType="separate"/>
      </w:r>
      <w:r w:rsidR="008F29E5">
        <w:t>§ 118</w:t>
      </w:r>
      <w:bookmarkEnd w:id="2202"/>
      <w:bookmarkEnd w:id="2203"/>
      <w:r w:rsidR="001C7943" w:rsidRPr="00796736">
        <w:fldChar w:fldCharType="end"/>
      </w:r>
    </w:p>
    <w:p w14:paraId="3CA9F565" w14:textId="192A7F22" w:rsidR="001A00DB" w:rsidRPr="00796736" w:rsidRDefault="001A00D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Efter</w:t>
      </w:r>
      <w:r w:rsidR="00222625" w:rsidRPr="00796736">
        <w:rPr>
          <w:rFonts w:ascii="Times New Roman" w:eastAsia="Times New Roman" w:hAnsi="Times New Roman" w:cs="Times New Roman"/>
          <w:sz w:val="24"/>
          <w:szCs w:val="24"/>
        </w:rPr>
        <w:t xml:space="preserve"> hvidvasklovens</w:t>
      </w:r>
      <w:r w:rsidRPr="00796736">
        <w:rPr>
          <w:rFonts w:ascii="Times New Roman" w:eastAsia="Times New Roman" w:hAnsi="Times New Roman" w:cs="Times New Roman"/>
          <w:sz w:val="24"/>
          <w:szCs w:val="24"/>
        </w:rPr>
        <w:t xml:space="preserve"> § 66 kan Spillemyndigheden, inden for en af Spillemyndigheden fastsat frist, påbyde udbydere af spil at foretage de nødvendige foranstaltninger i tilfælde at overtrædelse af</w:t>
      </w:r>
      <w:r w:rsidRPr="00796736">
        <w:rPr>
          <w:rFonts w:ascii="Times New Roman" w:hAnsi="Times New Roman" w:cs="Times New Roman"/>
          <w:color w:val="2F2F2B"/>
          <w:spacing w:val="2"/>
          <w:sz w:val="24"/>
          <w:szCs w:val="24"/>
          <w:shd w:val="clear" w:color="auto" w:fill="FFFFFF"/>
        </w:rPr>
        <w:t xml:space="preserve"> </w:t>
      </w:r>
      <w:r w:rsidRPr="00796736">
        <w:rPr>
          <w:rFonts w:ascii="Times New Roman" w:eastAsia="Times New Roman" w:hAnsi="Times New Roman" w:cs="Times New Roman"/>
          <w:sz w:val="24"/>
          <w:szCs w:val="24"/>
        </w:rPr>
        <w:t xml:space="preserve">bestemmelser i hvidvaskloven, regler udstedt i medfør heraf, eller Europa-Parlamentets og Rådets forordninger indeholdende regler om finansielle sanktioner mod lande, personer, grupper, juridiske enheder eller organer. </w:t>
      </w:r>
    </w:p>
    <w:p w14:paraId="5F37E960" w14:textId="77777777" w:rsidR="001A00DB" w:rsidRPr="00796736" w:rsidRDefault="001A00DB" w:rsidP="00A802A5">
      <w:pPr>
        <w:spacing w:line="360" w:lineRule="auto"/>
        <w:rPr>
          <w:rFonts w:ascii="Times New Roman" w:eastAsia="Times New Roman" w:hAnsi="Times New Roman" w:cs="Times New Roman"/>
          <w:sz w:val="24"/>
          <w:szCs w:val="24"/>
        </w:rPr>
      </w:pPr>
    </w:p>
    <w:p w14:paraId="0232045F" w14:textId="4D46992A"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_Ref236643746 \n \h </w:instrText>
      </w:r>
      <w:r w:rsidR="00A47042"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118</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w:t>
      </w:r>
      <w:r w:rsidRPr="00796736">
        <w:rPr>
          <w:rFonts w:ascii="Times New Roman" w:eastAsia="Times New Roman" w:hAnsi="Times New Roman" w:cs="Times New Roman"/>
          <w:sz w:val="24"/>
          <w:szCs w:val="24"/>
        </w:rPr>
        <w:t xml:space="preserve">indeholder bemyndigelse til, at Spillemyndigheden kan anvende en række forskellige reaktionsmuligheder over for </w:t>
      </w:r>
      <w:r w:rsidR="009C423A" w:rsidRPr="00796736">
        <w:rPr>
          <w:rFonts w:ascii="Times New Roman" w:eastAsia="Times New Roman" w:hAnsi="Times New Roman" w:cs="Times New Roman"/>
          <w:sz w:val="24"/>
          <w:szCs w:val="24"/>
        </w:rPr>
        <w:t>virksomheder og personer</w:t>
      </w:r>
      <w:r w:rsidRPr="00796736">
        <w:rPr>
          <w:rFonts w:ascii="Times New Roman" w:eastAsia="Times New Roman" w:hAnsi="Times New Roman" w:cs="Times New Roman"/>
          <w:sz w:val="24"/>
          <w:szCs w:val="24"/>
        </w:rPr>
        <w:t xml:space="preserve"> omfattet af tilsynet i tilfælde af konstaterede overtrædelser af lovgivningen, svagheder i interne politikker, procedurer og kontroller, der kan føre til overtrædelser af lovgivningen, eller hvis interne politikker, procedurer og kontroller ikke står i rimeligt forhold til de faktiske risici, jf. den foreslåede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_Ref236144985 \n \h </w:instrText>
      </w:r>
      <w:r w:rsidR="00A47042"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117</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w:t>
      </w:r>
    </w:p>
    <w:p w14:paraId="5F72C011" w14:textId="77777777" w:rsidR="001A00DB" w:rsidRPr="00796736" w:rsidRDefault="001A00DB" w:rsidP="00A802A5">
      <w:pPr>
        <w:spacing w:line="360" w:lineRule="auto"/>
        <w:rPr>
          <w:rFonts w:ascii="Times New Roman" w:eastAsia="Times New Roman" w:hAnsi="Times New Roman" w:cs="Times New Roman"/>
          <w:sz w:val="24"/>
          <w:szCs w:val="24"/>
        </w:rPr>
      </w:pPr>
    </w:p>
    <w:p w14:paraId="503F28B6" w14:textId="6F7B6C14" w:rsidR="001A00DB" w:rsidRPr="00796736" w:rsidRDefault="001A00DB"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Bestemmelsen viderefører</w:t>
      </w:r>
      <w:r w:rsidR="00222625" w:rsidRPr="00796736">
        <w:rPr>
          <w:rFonts w:ascii="Times New Roman" w:eastAsia="Times New Roman" w:hAnsi="Times New Roman" w:cs="Times New Roman"/>
          <w:iCs/>
          <w:sz w:val="24"/>
          <w:szCs w:val="24"/>
        </w:rPr>
        <w:t xml:space="preserve"> hvidvasklovens</w:t>
      </w:r>
      <w:r w:rsidRPr="00796736">
        <w:rPr>
          <w:rFonts w:ascii="Times New Roman" w:eastAsia="Times New Roman" w:hAnsi="Times New Roman" w:cs="Times New Roman"/>
          <w:iCs/>
          <w:sz w:val="24"/>
          <w:szCs w:val="24"/>
        </w:rPr>
        <w:t xml:space="preserve"> § 66 med visse indholdsmæssige ændringer, som afspejler kravene i 6. hvidvaskdirektiv. </w:t>
      </w:r>
    </w:p>
    <w:p w14:paraId="2209B479" w14:textId="77777777" w:rsidR="001A00DB" w:rsidRPr="00796736" w:rsidRDefault="001A00DB" w:rsidP="00A802A5">
      <w:pPr>
        <w:spacing w:line="360" w:lineRule="auto"/>
        <w:rPr>
          <w:rFonts w:ascii="Times New Roman" w:eastAsia="Times New Roman" w:hAnsi="Times New Roman" w:cs="Times New Roman"/>
          <w:sz w:val="24"/>
          <w:szCs w:val="24"/>
        </w:rPr>
      </w:pPr>
    </w:p>
    <w:p w14:paraId="4AC6E7A6" w14:textId="399A1ECA"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_Ref236643746 \n \h </w:instrText>
      </w:r>
      <w:r w:rsidR="00A47042"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118</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w:t>
      </w:r>
      <w:r w:rsidRPr="00796736">
        <w:rPr>
          <w:rFonts w:ascii="Times New Roman" w:eastAsia="Times New Roman" w:hAnsi="Times New Roman" w:cs="Times New Roman"/>
          <w:sz w:val="24"/>
          <w:szCs w:val="24"/>
        </w:rPr>
        <w:t xml:space="preserve">fastsætter, at Spillemyndigheden kan træffe afgørelse om at udstede et påbud til </w:t>
      </w:r>
      <w:r w:rsidR="009C423A" w:rsidRPr="00796736">
        <w:rPr>
          <w:rFonts w:ascii="Times New Roman" w:eastAsia="Times New Roman" w:hAnsi="Times New Roman" w:cs="Times New Roman"/>
          <w:sz w:val="24"/>
          <w:szCs w:val="24"/>
        </w:rPr>
        <w:t xml:space="preserve">virksomheder og personer omfattet af </w:t>
      </w:r>
      <w:r w:rsidR="009C423A" w:rsidRPr="00796736">
        <w:rPr>
          <w:rFonts w:ascii="Times New Roman" w:eastAsia="Times New Roman" w:hAnsi="Times New Roman" w:cs="Times New Roman"/>
          <w:iCs/>
          <w:sz w:val="24"/>
          <w:szCs w:val="24"/>
          <w:lang w:eastAsia="da-DK"/>
        </w:rPr>
        <w:fldChar w:fldCharType="begin"/>
      </w:r>
      <w:r w:rsidR="009C423A" w:rsidRPr="00796736">
        <w:rPr>
          <w:rFonts w:ascii="Times New Roman" w:eastAsia="Times New Roman" w:hAnsi="Times New Roman" w:cs="Times New Roman"/>
          <w:iCs/>
          <w:sz w:val="24"/>
          <w:szCs w:val="24"/>
          <w:lang w:eastAsia="da-DK"/>
        </w:rPr>
        <w:instrText xml:space="preserve"> REF _Ref239189479 \r \h </w:instrText>
      </w:r>
      <w:r w:rsidR="00F375BF" w:rsidRPr="00796736">
        <w:rPr>
          <w:rFonts w:ascii="Times New Roman" w:eastAsia="Times New Roman" w:hAnsi="Times New Roman" w:cs="Times New Roman"/>
          <w:iCs/>
          <w:sz w:val="24"/>
          <w:szCs w:val="24"/>
          <w:lang w:eastAsia="da-DK"/>
        </w:rPr>
        <w:instrText xml:space="preserve"> \* MERGEFORMAT </w:instrText>
      </w:r>
      <w:r w:rsidR="009C423A" w:rsidRPr="00796736">
        <w:rPr>
          <w:rFonts w:ascii="Times New Roman" w:eastAsia="Times New Roman" w:hAnsi="Times New Roman" w:cs="Times New Roman"/>
          <w:iCs/>
          <w:sz w:val="24"/>
          <w:szCs w:val="24"/>
          <w:lang w:eastAsia="da-DK"/>
        </w:rPr>
      </w:r>
      <w:r w:rsidR="009C423A"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112</w:t>
      </w:r>
      <w:r w:rsidR="009C423A" w:rsidRPr="00796736">
        <w:rPr>
          <w:rFonts w:ascii="Times New Roman" w:eastAsia="Times New Roman" w:hAnsi="Times New Roman" w:cs="Times New Roman"/>
          <w:iCs/>
          <w:sz w:val="24"/>
          <w:szCs w:val="24"/>
          <w:lang w:eastAsia="da-DK"/>
        </w:rPr>
        <w:fldChar w:fldCharType="end"/>
      </w:r>
      <w:r w:rsidR="009C423A" w:rsidRPr="00796736">
        <w:rPr>
          <w:rFonts w:ascii="Times New Roman" w:eastAsia="Times New Roman" w:hAnsi="Times New Roman" w:cs="Times New Roman"/>
          <w:iCs/>
          <w:sz w:val="24"/>
          <w:szCs w:val="24"/>
          <w:lang w:eastAsia="da-DK"/>
        </w:rPr>
        <w:t>, stk. 1.</w:t>
      </w:r>
    </w:p>
    <w:p w14:paraId="4BB1B15B" w14:textId="77777777" w:rsidR="001C7943" w:rsidRPr="00796736" w:rsidRDefault="001C7943" w:rsidP="00A802A5">
      <w:pPr>
        <w:spacing w:line="360" w:lineRule="auto"/>
        <w:rPr>
          <w:rFonts w:ascii="Times New Roman" w:eastAsia="Times New Roman" w:hAnsi="Times New Roman" w:cs="Times New Roman"/>
          <w:sz w:val="24"/>
          <w:szCs w:val="24"/>
        </w:rPr>
      </w:pPr>
    </w:p>
    <w:p w14:paraId="7AEDD908" w14:textId="483874D0" w:rsidR="001C7943"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Forslaget implementerer artikel 37, stk. 6, litra b, 53, stk. 2 og stk. 6, og artikel 56, stk. 2, litra a, b og d, og stk. 3, litra b-d og stk. 4 i 6. hvidvaskdirektiv.</w:t>
      </w:r>
    </w:p>
    <w:p w14:paraId="3EFC78FF" w14:textId="77777777" w:rsidR="007B7BA4" w:rsidRDefault="007B7BA4" w:rsidP="00A802A5">
      <w:pPr>
        <w:spacing w:line="360" w:lineRule="auto"/>
        <w:rPr>
          <w:rFonts w:ascii="Times New Roman" w:eastAsia="Times New Roman" w:hAnsi="Times New Roman" w:cs="Times New Roman"/>
          <w:sz w:val="24"/>
          <w:szCs w:val="24"/>
        </w:rPr>
      </w:pPr>
    </w:p>
    <w:p w14:paraId="7C8971F5" w14:textId="00EE7977" w:rsidR="007B7BA4" w:rsidRPr="007B7BA4" w:rsidRDefault="007B7BA4" w:rsidP="00A802A5">
      <w:pPr>
        <w:spacing w:line="360" w:lineRule="auto"/>
        <w:rPr>
          <w:rFonts w:ascii="Times New Roman" w:eastAsia="Times New Roman" w:hAnsi="Times New Roman" w:cs="Times New Roman"/>
          <w:iCs/>
          <w:sz w:val="24"/>
          <w:szCs w:val="24"/>
          <w:lang w:eastAsia="da-DK"/>
        </w:rPr>
      </w:pPr>
      <w:r w:rsidRPr="008B2C3D">
        <w:rPr>
          <w:rFonts w:ascii="Times New Roman" w:eastAsia="Times New Roman" w:hAnsi="Times New Roman" w:cs="Times New Roman"/>
          <w:iCs/>
          <w:sz w:val="24"/>
          <w:szCs w:val="24"/>
          <w:lang w:eastAsia="da-DK"/>
        </w:rPr>
        <w:t xml:space="preserve">Bestemmelsen vil indebære, at der </w:t>
      </w:r>
      <w:r>
        <w:rPr>
          <w:rFonts w:ascii="Times New Roman" w:eastAsia="Times New Roman" w:hAnsi="Times New Roman" w:cs="Times New Roman"/>
          <w:iCs/>
          <w:sz w:val="24"/>
          <w:szCs w:val="24"/>
          <w:lang w:eastAsia="da-DK"/>
        </w:rPr>
        <w:t xml:space="preserve">vil skulle </w:t>
      </w:r>
      <w:r w:rsidRPr="008B2C3D">
        <w:rPr>
          <w:rFonts w:ascii="Times New Roman" w:eastAsia="Times New Roman" w:hAnsi="Times New Roman" w:cs="Times New Roman"/>
          <w:iCs/>
          <w:sz w:val="24"/>
          <w:szCs w:val="24"/>
          <w:lang w:eastAsia="da-DK"/>
        </w:rPr>
        <w:t>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11ABF41B" w14:textId="77777777" w:rsidR="001C7943" w:rsidRPr="00796736" w:rsidRDefault="001C7943" w:rsidP="00A802A5">
      <w:pPr>
        <w:spacing w:line="360" w:lineRule="auto"/>
        <w:rPr>
          <w:rFonts w:ascii="Times New Roman" w:eastAsia="Times New Roman" w:hAnsi="Times New Roman" w:cs="Times New Roman"/>
          <w:sz w:val="24"/>
          <w:szCs w:val="24"/>
        </w:rPr>
      </w:pPr>
    </w:p>
    <w:p w14:paraId="0CC06E61" w14:textId="55BED739"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i</w:t>
      </w:r>
      <w:r w:rsidR="00222625" w:rsidRPr="00796736">
        <w:rPr>
          <w:rFonts w:ascii="Times New Roman" w:eastAsia="Times New Roman" w:hAnsi="Times New Roman" w:cs="Times New Roman"/>
          <w:sz w:val="24"/>
          <w:szCs w:val="24"/>
        </w:rPr>
        <w:t xml:space="preserve"> </w:t>
      </w:r>
      <w:r w:rsidR="00222625" w:rsidRPr="00796736">
        <w:rPr>
          <w:rFonts w:ascii="Times New Roman" w:eastAsia="Times New Roman" w:hAnsi="Times New Roman" w:cs="Times New Roman"/>
          <w:sz w:val="24"/>
          <w:szCs w:val="24"/>
        </w:rPr>
        <w:fldChar w:fldCharType="begin"/>
      </w:r>
      <w:r w:rsidR="00222625" w:rsidRPr="00796736">
        <w:rPr>
          <w:rFonts w:ascii="Times New Roman" w:eastAsia="Times New Roman" w:hAnsi="Times New Roman" w:cs="Times New Roman"/>
          <w:sz w:val="24"/>
          <w:szCs w:val="24"/>
        </w:rPr>
        <w:instrText xml:space="preserve"> REF _Ref236643746 \r \h </w:instrText>
      </w:r>
      <w:r w:rsidR="007F4BB9" w:rsidRPr="00796736">
        <w:rPr>
          <w:rFonts w:ascii="Times New Roman" w:eastAsia="Times New Roman" w:hAnsi="Times New Roman" w:cs="Times New Roman"/>
          <w:sz w:val="24"/>
          <w:szCs w:val="24"/>
        </w:rPr>
        <w:instrText xml:space="preserve"> \* MERGEFORMAT </w:instrText>
      </w:r>
      <w:r w:rsidR="00222625" w:rsidRPr="00796736">
        <w:rPr>
          <w:rFonts w:ascii="Times New Roman" w:eastAsia="Times New Roman" w:hAnsi="Times New Roman" w:cs="Times New Roman"/>
          <w:sz w:val="24"/>
          <w:szCs w:val="24"/>
        </w:rPr>
      </w:r>
      <w:r w:rsidR="00222625"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118</w:t>
      </w:r>
      <w:r w:rsidR="00222625" w:rsidRPr="00796736">
        <w:rPr>
          <w:rFonts w:ascii="Times New Roman" w:eastAsia="Times New Roman" w:hAnsi="Times New Roman" w:cs="Times New Roman"/>
          <w:sz w:val="24"/>
          <w:szCs w:val="24"/>
        </w:rPr>
        <w:fldChar w:fldCharType="end"/>
      </w:r>
      <w:r w:rsidR="00222625"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i/>
          <w:sz w:val="24"/>
          <w:szCs w:val="24"/>
        </w:rPr>
        <w:t>stk. 1</w:t>
      </w:r>
      <w:r w:rsidRPr="00796736">
        <w:rPr>
          <w:rFonts w:ascii="Times New Roman" w:eastAsia="Times New Roman" w:hAnsi="Times New Roman" w:cs="Times New Roman"/>
          <w:sz w:val="24"/>
          <w:szCs w:val="24"/>
        </w:rPr>
        <w:t>, at Spillemyndigheden inden for en af Spillemyndigheden fastsat frist kan påbyde virksomheder og persone</w:t>
      </w:r>
      <w:r w:rsidR="00222625" w:rsidRPr="00796736">
        <w:rPr>
          <w:rFonts w:ascii="Times New Roman" w:eastAsia="Times New Roman" w:hAnsi="Times New Roman" w:cs="Times New Roman"/>
          <w:sz w:val="24"/>
          <w:szCs w:val="24"/>
        </w:rPr>
        <w:t>r,</w:t>
      </w:r>
      <w:r w:rsidRPr="00796736">
        <w:rPr>
          <w:rFonts w:ascii="Times New Roman" w:eastAsia="Times New Roman" w:hAnsi="Times New Roman" w:cs="Times New Roman"/>
          <w:sz w:val="24"/>
          <w:szCs w:val="24"/>
        </w:rPr>
        <w:t xml:space="preserve"> </w:t>
      </w:r>
      <w:r w:rsidR="009C423A" w:rsidRPr="00796736">
        <w:rPr>
          <w:rFonts w:ascii="Times New Roman" w:eastAsia="Times New Roman" w:hAnsi="Times New Roman" w:cs="Times New Roman"/>
          <w:sz w:val="24"/>
          <w:szCs w:val="24"/>
        </w:rPr>
        <w:t xml:space="preserve">omfattet af </w:t>
      </w:r>
      <w:r w:rsidR="009C423A" w:rsidRPr="00796736">
        <w:rPr>
          <w:rFonts w:ascii="Times New Roman" w:eastAsia="Times New Roman" w:hAnsi="Times New Roman" w:cs="Times New Roman"/>
          <w:iCs/>
          <w:sz w:val="24"/>
          <w:szCs w:val="24"/>
          <w:lang w:eastAsia="da-DK"/>
        </w:rPr>
        <w:fldChar w:fldCharType="begin"/>
      </w:r>
      <w:r w:rsidR="009C423A" w:rsidRPr="00796736">
        <w:rPr>
          <w:rFonts w:ascii="Times New Roman" w:eastAsia="Times New Roman" w:hAnsi="Times New Roman" w:cs="Times New Roman"/>
          <w:iCs/>
          <w:sz w:val="24"/>
          <w:szCs w:val="24"/>
          <w:lang w:eastAsia="da-DK"/>
        </w:rPr>
        <w:instrText xml:space="preserve"> REF _Ref239189479 \r \h </w:instrText>
      </w:r>
      <w:r w:rsidR="00F375BF" w:rsidRPr="00796736">
        <w:rPr>
          <w:rFonts w:ascii="Times New Roman" w:eastAsia="Times New Roman" w:hAnsi="Times New Roman" w:cs="Times New Roman"/>
          <w:iCs/>
          <w:sz w:val="24"/>
          <w:szCs w:val="24"/>
          <w:lang w:eastAsia="da-DK"/>
        </w:rPr>
        <w:instrText xml:space="preserve"> \* MERGEFORMAT </w:instrText>
      </w:r>
      <w:r w:rsidR="009C423A" w:rsidRPr="00796736">
        <w:rPr>
          <w:rFonts w:ascii="Times New Roman" w:eastAsia="Times New Roman" w:hAnsi="Times New Roman" w:cs="Times New Roman"/>
          <w:iCs/>
          <w:sz w:val="24"/>
          <w:szCs w:val="24"/>
          <w:lang w:eastAsia="da-DK"/>
        </w:rPr>
      </w:r>
      <w:r w:rsidR="009C423A"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 112</w:t>
      </w:r>
      <w:r w:rsidR="009C423A" w:rsidRPr="00796736">
        <w:rPr>
          <w:rFonts w:ascii="Times New Roman" w:eastAsia="Times New Roman" w:hAnsi="Times New Roman" w:cs="Times New Roman"/>
          <w:iCs/>
          <w:sz w:val="24"/>
          <w:szCs w:val="24"/>
          <w:lang w:eastAsia="da-DK"/>
        </w:rPr>
        <w:fldChar w:fldCharType="end"/>
      </w:r>
      <w:r w:rsidR="009C423A" w:rsidRPr="00796736">
        <w:rPr>
          <w:rFonts w:ascii="Times New Roman" w:eastAsia="Times New Roman" w:hAnsi="Times New Roman" w:cs="Times New Roman"/>
          <w:iCs/>
          <w:sz w:val="24"/>
          <w:szCs w:val="24"/>
          <w:lang w:eastAsia="da-DK"/>
        </w:rPr>
        <w:t xml:space="preserve">, stk. 1, </w:t>
      </w:r>
      <w:r w:rsidRPr="00796736">
        <w:rPr>
          <w:rFonts w:ascii="Times New Roman" w:eastAsia="Times New Roman" w:hAnsi="Times New Roman" w:cs="Times New Roman"/>
          <w:sz w:val="24"/>
          <w:szCs w:val="24"/>
        </w:rPr>
        <w:t xml:space="preserve">at foretage de nødvendige foranstaltninger. </w:t>
      </w:r>
    </w:p>
    <w:p w14:paraId="4D57260D" w14:textId="77777777" w:rsidR="001C7943" w:rsidRPr="00796736" w:rsidRDefault="001C7943" w:rsidP="00A802A5">
      <w:pPr>
        <w:spacing w:line="360" w:lineRule="auto"/>
        <w:rPr>
          <w:rFonts w:ascii="Times New Roman" w:eastAsia="Times New Roman" w:hAnsi="Times New Roman" w:cs="Times New Roman"/>
          <w:sz w:val="24"/>
          <w:szCs w:val="24"/>
        </w:rPr>
      </w:pPr>
    </w:p>
    <w:p w14:paraId="6714B024"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Bemærkningerne til den gældende hvidvasklovs § 66 indeholder en kvalificering af, at afgivelsen af et påbud forudsætter en overtrædelse, som er alvorlig, gentagen, systematisk eller en kombination heraf. Der henvises til Folketingstidende 2016-2017, tillæg A, L 41 som fremsat, bemærkningerne til § 59, side 177. </w:t>
      </w:r>
    </w:p>
    <w:p w14:paraId="0CC9920A" w14:textId="77777777" w:rsidR="001C7943" w:rsidRPr="00796736" w:rsidRDefault="001C7943" w:rsidP="00A802A5">
      <w:pPr>
        <w:spacing w:line="360" w:lineRule="auto"/>
        <w:rPr>
          <w:rFonts w:ascii="Times New Roman" w:eastAsia="Times New Roman" w:hAnsi="Times New Roman" w:cs="Times New Roman"/>
          <w:sz w:val="24"/>
          <w:szCs w:val="24"/>
        </w:rPr>
      </w:pPr>
    </w:p>
    <w:p w14:paraId="2BF43EE9" w14:textId="012045DD"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 vil medføre, at der ikke længere eksisterer en sådan kvalificering af overtrædelsen. En overtrædelse behøver således ikke længere at være alvorlig, gentagen, systematisk eller en kombination heraf førend, at der kan afgives et påbud. Spillemyndigheden vil ved anvendelsen af et påbud for</w:t>
      </w:r>
      <w:r w:rsidR="009C423A" w:rsidRPr="00796736">
        <w:rPr>
          <w:rFonts w:ascii="Times New Roman" w:eastAsia="Times New Roman" w:hAnsi="Times New Roman" w:cs="Times New Roman"/>
          <w:sz w:val="24"/>
          <w:szCs w:val="24"/>
        </w:rPr>
        <w:t>t</w:t>
      </w:r>
      <w:r w:rsidRPr="00796736">
        <w:rPr>
          <w:rFonts w:ascii="Times New Roman" w:eastAsia="Times New Roman" w:hAnsi="Times New Roman" w:cs="Times New Roman"/>
          <w:sz w:val="24"/>
          <w:szCs w:val="24"/>
        </w:rPr>
        <w:t xml:space="preserve">sat skulle tage højde for alle relevante omstændigheder, som nærmere behandlet nedenfor.  </w:t>
      </w:r>
    </w:p>
    <w:p w14:paraId="236A6464" w14:textId="77777777" w:rsidR="001A00DB" w:rsidRPr="00796736" w:rsidRDefault="001A00DB" w:rsidP="00A802A5">
      <w:pPr>
        <w:spacing w:line="360" w:lineRule="auto"/>
        <w:rPr>
          <w:rFonts w:ascii="Times New Roman" w:eastAsia="Times New Roman" w:hAnsi="Times New Roman" w:cs="Times New Roman"/>
          <w:sz w:val="24"/>
          <w:szCs w:val="24"/>
        </w:rPr>
      </w:pPr>
    </w:p>
    <w:p w14:paraId="439A2273" w14:textId="4FBE2ADA" w:rsidR="001A00DB" w:rsidRPr="00796736" w:rsidRDefault="001A00D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blandt andet af præambelbetragtning nr. 101 i 6. hvidvaskdirektiv, at ”vigtigheden af at bekæmpe hvidvask af penge og finansiering af terrorisme, bør føre til, at medlemsstaterne i deres nationale ret fastsætte bøder og administrative foranstaltninger, der er effektive, står i rimeligt forhold til overtrædelsen og har afskrækkende virkning, for manglende efterlevelse af forordning (EU) 2024/1624</w:t>
      </w:r>
      <w:r w:rsidR="00222625" w:rsidRPr="00796736">
        <w:rPr>
          <w:rFonts w:ascii="Times New Roman" w:eastAsia="Times New Roman" w:hAnsi="Times New Roman" w:cs="Times New Roman"/>
          <w:sz w:val="24"/>
          <w:szCs w:val="24"/>
        </w:rPr>
        <w:t xml:space="preserve">”. </w:t>
      </w:r>
    </w:p>
    <w:p w14:paraId="0B28729E" w14:textId="77777777" w:rsidR="001A00DB" w:rsidRPr="00796736" w:rsidRDefault="001A00DB" w:rsidP="00A802A5">
      <w:pPr>
        <w:spacing w:line="360" w:lineRule="auto"/>
        <w:rPr>
          <w:rFonts w:ascii="Times New Roman" w:eastAsia="Times New Roman" w:hAnsi="Times New Roman" w:cs="Times New Roman"/>
          <w:sz w:val="24"/>
          <w:szCs w:val="24"/>
        </w:rPr>
      </w:pPr>
    </w:p>
    <w:p w14:paraId="29C1CCE6" w14:textId="77777777" w:rsidR="001A00DB" w:rsidRPr="00796736" w:rsidRDefault="001A00D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fremgår blandt andet af præambelbetragtning nr. 105 i 6. hvidvaskdirektiv, at ”(m)ed henblik på at sikre, at forpligtede enheder overholder kravene til bekæmpelse af hvidvask af penge og finansiering af terrorisme og effektivt afbøder de risici for hvidvask af penge, de underliggende lovovertrædelser og finansiering af terrorisme, som de er eksponeret for, bør tilsynsorganerne kunne anvende administrative foranstaltninger ikke blot for at afhjælpe konstaterede overtrædelser, men også hvis de konstaterer, at svagheder i de interne politikker, procedurer og kontroller sandsynligvis vil føre til overtrædelser af kravene til bekæmpelse af hvidvask af penge og finansiering af terrorisme, eller hvis disse politikker, procedurer og kontroller er utilstrækkelige til at afbøde risici.” </w:t>
      </w:r>
    </w:p>
    <w:p w14:paraId="0ADE618F" w14:textId="77777777" w:rsidR="001A00DB" w:rsidRPr="00796736" w:rsidRDefault="001A00DB" w:rsidP="00A802A5">
      <w:pPr>
        <w:spacing w:line="360" w:lineRule="auto"/>
        <w:rPr>
          <w:rFonts w:ascii="Times New Roman" w:eastAsia="Times New Roman" w:hAnsi="Times New Roman" w:cs="Times New Roman"/>
          <w:sz w:val="24"/>
          <w:szCs w:val="24"/>
        </w:rPr>
      </w:pPr>
    </w:p>
    <w:p w14:paraId="105161CD" w14:textId="77777777" w:rsidR="001A00DB" w:rsidRPr="00796736" w:rsidRDefault="001A00DB"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Det fremgår også af præambelbetragtning nr. 105 i 6. hvidvaskdirektiv, at ”omfanget af anvendte administrative foranstaltninger og den tid, som forpligtede enheder har til at gennemføre de krævede tiltag, afhænger af de specifikke overtrædelser eller svagheder, der er konstateret.”</w:t>
      </w:r>
    </w:p>
    <w:p w14:paraId="1D21A774" w14:textId="77777777" w:rsidR="001A00DB" w:rsidRPr="00796736" w:rsidRDefault="001A00DB" w:rsidP="00A802A5">
      <w:pPr>
        <w:spacing w:line="360" w:lineRule="auto"/>
        <w:rPr>
          <w:rFonts w:ascii="Times New Roman" w:eastAsia="Times New Roman" w:hAnsi="Times New Roman" w:cs="Times New Roman"/>
          <w:sz w:val="24"/>
          <w:szCs w:val="24"/>
        </w:rPr>
      </w:pPr>
    </w:p>
    <w:p w14:paraId="2F21C689" w14:textId="57C9F45D" w:rsidR="001A00DB" w:rsidRPr="00796736" w:rsidRDefault="001A00D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forudsættes, at når der i artikel 56 i 6. hvidvaskdirektiv henvises til </w:t>
      </w:r>
      <w:r w:rsidRPr="00796736">
        <w:rPr>
          <w:rFonts w:ascii="Times New Roman" w:eastAsia="Times New Roman" w:hAnsi="Times New Roman" w:cs="Times New Roman"/>
          <w:color w:val="000000" w:themeColor="text1"/>
          <w:sz w:val="24"/>
          <w:szCs w:val="24"/>
        </w:rPr>
        <w:t>»</w:t>
      </w:r>
      <w:r w:rsidRPr="00796736">
        <w:rPr>
          <w:rFonts w:ascii="Times New Roman" w:eastAsia="Times New Roman" w:hAnsi="Times New Roman" w:cs="Times New Roman"/>
          <w:sz w:val="24"/>
          <w:szCs w:val="24"/>
        </w:rPr>
        <w:t>administrative foranstaltninger</w:t>
      </w:r>
      <w:r w:rsidRPr="00796736">
        <w:rPr>
          <w:rFonts w:ascii="Times New Roman" w:eastAsia="Times New Roman" w:hAnsi="Times New Roman" w:cs="Times New Roman"/>
          <w:color w:val="000000" w:themeColor="text1"/>
          <w:sz w:val="24"/>
          <w:szCs w:val="24"/>
        </w:rPr>
        <w:t>«</w:t>
      </w:r>
      <w:r w:rsidRPr="00796736">
        <w:rPr>
          <w:rFonts w:ascii="Times New Roman" w:eastAsia="Times New Roman" w:hAnsi="Times New Roman" w:cs="Times New Roman"/>
          <w:sz w:val="24"/>
          <w:szCs w:val="24"/>
        </w:rPr>
        <w:t xml:space="preserve">, skal dette forstås som de reaktioner, Spillemyndigheden kan anvende over for </w:t>
      </w:r>
      <w:r w:rsidR="009C423A" w:rsidRPr="00796736">
        <w:rPr>
          <w:rFonts w:ascii="Times New Roman" w:eastAsia="Times New Roman" w:hAnsi="Times New Roman" w:cs="Times New Roman"/>
          <w:sz w:val="24"/>
          <w:szCs w:val="24"/>
        </w:rPr>
        <w:t>virksomheder og personer omfattet af Spillemyndighedens tilsyn</w:t>
      </w:r>
      <w:r w:rsidRPr="00796736">
        <w:rPr>
          <w:rFonts w:ascii="Times New Roman" w:eastAsia="Times New Roman" w:hAnsi="Times New Roman" w:cs="Times New Roman"/>
          <w:sz w:val="24"/>
          <w:szCs w:val="24"/>
        </w:rPr>
        <w:t xml:space="preserve">. </w:t>
      </w:r>
    </w:p>
    <w:p w14:paraId="3DCA54DB" w14:textId="77777777" w:rsidR="001A00DB" w:rsidRPr="00796736" w:rsidRDefault="001A00DB" w:rsidP="00A802A5">
      <w:pPr>
        <w:spacing w:line="360" w:lineRule="auto"/>
        <w:rPr>
          <w:rFonts w:ascii="Times New Roman" w:eastAsia="Times New Roman" w:hAnsi="Times New Roman" w:cs="Times New Roman"/>
          <w:sz w:val="24"/>
          <w:szCs w:val="24"/>
        </w:rPr>
      </w:pPr>
    </w:p>
    <w:p w14:paraId="16261C4B" w14:textId="6A9F1E3C" w:rsidR="001A00DB" w:rsidRPr="00796736" w:rsidRDefault="001A00DB"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Et påbud </w:t>
      </w:r>
      <w:r w:rsidR="00222625" w:rsidRPr="00796736">
        <w:rPr>
          <w:rFonts w:ascii="Times New Roman" w:eastAsia="Times New Roman" w:hAnsi="Times New Roman" w:cs="Times New Roman"/>
          <w:iCs/>
          <w:sz w:val="24"/>
          <w:szCs w:val="24"/>
        </w:rPr>
        <w:t>vil</w:t>
      </w:r>
      <w:r w:rsidRPr="00796736">
        <w:rPr>
          <w:rFonts w:ascii="Times New Roman" w:eastAsia="Times New Roman" w:hAnsi="Times New Roman" w:cs="Times New Roman"/>
          <w:iCs/>
          <w:sz w:val="24"/>
          <w:szCs w:val="24"/>
        </w:rPr>
        <w:t xml:space="preserve"> både anvendes i relation til at få </w:t>
      </w:r>
      <w:r w:rsidR="009C423A" w:rsidRPr="00796736">
        <w:rPr>
          <w:rFonts w:ascii="Times New Roman" w:eastAsia="Times New Roman" w:hAnsi="Times New Roman" w:cs="Times New Roman"/>
          <w:iCs/>
          <w:sz w:val="24"/>
          <w:szCs w:val="24"/>
        </w:rPr>
        <w:t>virksomheden eller personen</w:t>
      </w:r>
      <w:r w:rsidRPr="00796736">
        <w:rPr>
          <w:rFonts w:ascii="Times New Roman" w:eastAsia="Times New Roman" w:hAnsi="Times New Roman" w:cs="Times New Roman"/>
          <w:iCs/>
          <w:sz w:val="24"/>
          <w:szCs w:val="24"/>
        </w:rPr>
        <w:t xml:space="preserve"> til at overholde og gennemføre specifikke korrigerende foranstaltninger samt til fremadrettet at foretage en generel adfærdskorrigering, herunder bringe en udvist adfærd til ophør og undlade at gentage en sådan adfærd.</w:t>
      </w:r>
    </w:p>
    <w:p w14:paraId="4F182EB4" w14:textId="77777777" w:rsidR="001A00DB" w:rsidRPr="00796736" w:rsidRDefault="001A00DB" w:rsidP="00A802A5">
      <w:pPr>
        <w:spacing w:line="360" w:lineRule="auto"/>
        <w:rPr>
          <w:rFonts w:ascii="Times New Roman" w:eastAsia="Times New Roman" w:hAnsi="Times New Roman" w:cs="Times New Roman"/>
          <w:sz w:val="24"/>
          <w:szCs w:val="24"/>
        </w:rPr>
      </w:pPr>
    </w:p>
    <w:p w14:paraId="1A8F6288" w14:textId="77777777" w:rsidR="001C58D1" w:rsidRPr="00796736" w:rsidRDefault="001C58D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Et påbud vil kunne anvendes i de situationer, hvor Spillemyndigheden påbyder en bestemt adfærd eller handling fremover. Det kan både skyldes, at virksomheden eller personen handler i strid med hvidvaskforordningen, den foreslåede lov, regler udstedt i medfør heraf </w:t>
      </w:r>
      <w:r w:rsidRPr="00796736">
        <w:rPr>
          <w:rFonts w:ascii="Times New Roman" w:hAnsi="Times New Roman" w:cs="Times New Roman"/>
          <w:sz w:val="24"/>
          <w:szCs w:val="24"/>
        </w:rPr>
        <w:t>eller Europa-Parlamentets og Rådets forordninger indeholdende regler om finansielle sanktioner mod lande, personer, grupper, juridiske enheder eller organer</w:t>
      </w:r>
      <w:r w:rsidRPr="00796736">
        <w:rPr>
          <w:rFonts w:ascii="Times New Roman" w:eastAsia="Times New Roman" w:hAnsi="Times New Roman" w:cs="Times New Roman"/>
          <w:sz w:val="24"/>
          <w:szCs w:val="24"/>
        </w:rPr>
        <w:t xml:space="preserve">, eller at virksomheden eller personen undlader at handle, hvor handling er påkrævet efter disse retsakter. </w:t>
      </w:r>
    </w:p>
    <w:p w14:paraId="2A01F4E3" w14:textId="77777777" w:rsidR="001A00DB" w:rsidRPr="00796736" w:rsidRDefault="001A00DB" w:rsidP="00A802A5">
      <w:pPr>
        <w:spacing w:line="360" w:lineRule="auto"/>
        <w:rPr>
          <w:rFonts w:ascii="Times New Roman" w:eastAsia="Times New Roman" w:hAnsi="Times New Roman" w:cs="Times New Roman"/>
          <w:sz w:val="24"/>
          <w:szCs w:val="24"/>
        </w:rPr>
      </w:pPr>
    </w:p>
    <w:p w14:paraId="281C83F4" w14:textId="429849C5" w:rsidR="001A00DB" w:rsidRPr="00796736" w:rsidRDefault="001A00D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Et påbud </w:t>
      </w:r>
      <w:r w:rsidR="00222625"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også</w:t>
      </w:r>
      <w:r w:rsidR="00222625"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anvendes i de situationer, hvor Spillemyndigheden har konstateret svagheder i </w:t>
      </w:r>
      <w:r w:rsidR="009C423A" w:rsidRPr="00796736">
        <w:rPr>
          <w:rFonts w:ascii="Times New Roman" w:eastAsia="Times New Roman" w:hAnsi="Times New Roman" w:cs="Times New Roman"/>
          <w:sz w:val="24"/>
          <w:szCs w:val="24"/>
        </w:rPr>
        <w:t>virksomhedens eller personens</w:t>
      </w:r>
      <w:r w:rsidRPr="00796736">
        <w:rPr>
          <w:rFonts w:ascii="Times New Roman" w:eastAsia="Times New Roman" w:hAnsi="Times New Roman" w:cs="Times New Roman"/>
          <w:sz w:val="24"/>
          <w:szCs w:val="24"/>
        </w:rPr>
        <w:t xml:space="preserve"> interne politikker, procedurer og kontroller, som sandsynligvis vil føre til en overtrædelse af de krav, der fremgår af det foreslåede </w:t>
      </w:r>
      <w:r w:rsidR="001C7943" w:rsidRPr="00796736">
        <w:rPr>
          <w:rFonts w:ascii="Times New Roman" w:eastAsia="Calibri" w:hAnsi="Times New Roman" w:cs="Times New Roman"/>
          <w:sz w:val="24"/>
          <w:szCs w:val="24"/>
        </w:rPr>
        <w:fldChar w:fldCharType="begin"/>
      </w:r>
      <w:r w:rsidR="001C7943" w:rsidRPr="00796736">
        <w:rPr>
          <w:rFonts w:ascii="Times New Roman" w:eastAsia="Calibri" w:hAnsi="Times New Roman" w:cs="Times New Roman"/>
          <w:sz w:val="24"/>
          <w:szCs w:val="24"/>
        </w:rPr>
        <w:instrText xml:space="preserve"> REF _Ref236643746 \n \h </w:instrText>
      </w:r>
      <w:r w:rsidR="00A47042" w:rsidRPr="00796736">
        <w:rPr>
          <w:rFonts w:ascii="Times New Roman" w:eastAsia="Calibri" w:hAnsi="Times New Roman" w:cs="Times New Roman"/>
          <w:sz w:val="24"/>
          <w:szCs w:val="24"/>
        </w:rPr>
        <w:instrText xml:space="preserve"> \* MERGEFORMAT </w:instrText>
      </w:r>
      <w:r w:rsidR="001C7943" w:rsidRPr="00796736">
        <w:rPr>
          <w:rFonts w:ascii="Times New Roman" w:eastAsia="Calibri" w:hAnsi="Times New Roman" w:cs="Times New Roman"/>
          <w:sz w:val="24"/>
          <w:szCs w:val="24"/>
        </w:rPr>
      </w:r>
      <w:r w:rsidR="001C7943"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118</w:t>
      </w:r>
      <w:r w:rsidR="001C7943" w:rsidRPr="00796736">
        <w:rPr>
          <w:rFonts w:ascii="Times New Roman" w:eastAsia="Calibri"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Det vil i sådanne situationer være et krav, at påbuddet kan forhindre forekomsten af overtrædelser eller risikoen herfor. Påbuddet vil således skulle have et afværgende eller forebyggende sigte og vil i almindelighed ikke kunne pålægges for at varetage disciplinerende hensyn eller lignende. </w:t>
      </w:r>
    </w:p>
    <w:p w14:paraId="68FEF929" w14:textId="77777777" w:rsidR="001A00DB" w:rsidRPr="00796736" w:rsidRDefault="001A00DB" w:rsidP="00A802A5">
      <w:pPr>
        <w:spacing w:line="360" w:lineRule="auto"/>
        <w:rPr>
          <w:rFonts w:ascii="Times New Roman" w:eastAsia="Times New Roman" w:hAnsi="Times New Roman" w:cs="Times New Roman"/>
          <w:sz w:val="24"/>
          <w:szCs w:val="24"/>
        </w:rPr>
      </w:pPr>
    </w:p>
    <w:p w14:paraId="18A98BB7" w14:textId="2F3FEA45" w:rsidR="001A00DB" w:rsidRPr="00796736" w:rsidRDefault="001A00DB"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sz w:val="24"/>
          <w:szCs w:val="24"/>
        </w:rPr>
        <w:t xml:space="preserve">Et påbud </w:t>
      </w:r>
      <w:r w:rsidR="00222625"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endvidere</w:t>
      </w:r>
      <w:r w:rsidR="00222625"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anvendes i de situationer, hvor Spillemyndigheden har konstateret, at </w:t>
      </w:r>
      <w:r w:rsidR="009C423A" w:rsidRPr="00796736">
        <w:rPr>
          <w:rFonts w:ascii="Times New Roman" w:eastAsia="Times New Roman" w:hAnsi="Times New Roman" w:cs="Times New Roman"/>
          <w:sz w:val="24"/>
          <w:szCs w:val="24"/>
        </w:rPr>
        <w:t>virksomhedens eller personens</w:t>
      </w:r>
      <w:r w:rsidRPr="00796736">
        <w:rPr>
          <w:rFonts w:ascii="Times New Roman" w:eastAsia="Times New Roman" w:hAnsi="Times New Roman" w:cs="Times New Roman"/>
          <w:sz w:val="24"/>
          <w:szCs w:val="24"/>
        </w:rPr>
        <w:t xml:space="preserve"> interne politikker, procedurer og kontroller ikke står i et rimeligt forhold til de risici for hvidvask, de underliggende lovovertrædelser eller finansiering af terrorisme, som </w:t>
      </w:r>
      <w:r w:rsidR="009C423A" w:rsidRPr="00796736">
        <w:rPr>
          <w:rFonts w:ascii="Times New Roman" w:eastAsia="Times New Roman" w:hAnsi="Times New Roman" w:cs="Times New Roman"/>
          <w:sz w:val="24"/>
          <w:szCs w:val="24"/>
        </w:rPr>
        <w:t>virksomheden eller personen</w:t>
      </w:r>
      <w:r w:rsidRPr="00796736">
        <w:rPr>
          <w:rFonts w:ascii="Times New Roman" w:eastAsia="Times New Roman" w:hAnsi="Times New Roman" w:cs="Times New Roman"/>
          <w:sz w:val="24"/>
          <w:szCs w:val="24"/>
        </w:rPr>
        <w:t xml:space="preserve"> er eksponeret for</w:t>
      </w:r>
      <w:r w:rsidRPr="00796736">
        <w:rPr>
          <w:rFonts w:ascii="Times New Roman" w:eastAsia="Times New Roman" w:hAnsi="Times New Roman" w:cs="Times New Roman"/>
          <w:color w:val="000000" w:themeColor="text1"/>
          <w:sz w:val="24"/>
          <w:szCs w:val="24"/>
        </w:rPr>
        <w:t xml:space="preserve">. Påbuddet vil ligeledes i sådanne tilfælde skulle have et afværgende eller forebyggende sigte.  </w:t>
      </w:r>
    </w:p>
    <w:p w14:paraId="3B619B96" w14:textId="77777777" w:rsidR="001A00DB" w:rsidRPr="00796736" w:rsidRDefault="001A00DB" w:rsidP="00A802A5">
      <w:pPr>
        <w:spacing w:line="360" w:lineRule="auto"/>
        <w:rPr>
          <w:rFonts w:ascii="Times New Roman" w:eastAsia="Times New Roman" w:hAnsi="Times New Roman" w:cs="Times New Roman"/>
          <w:iCs/>
          <w:color w:val="000000" w:themeColor="text1"/>
          <w:sz w:val="24"/>
          <w:szCs w:val="24"/>
        </w:rPr>
      </w:pPr>
    </w:p>
    <w:p w14:paraId="2A9A947F" w14:textId="50405EDD" w:rsidR="001A00DB" w:rsidRPr="00796736" w:rsidRDefault="001A00DB"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iCs/>
          <w:color w:val="000000" w:themeColor="text1"/>
          <w:sz w:val="24"/>
          <w:szCs w:val="24"/>
        </w:rPr>
        <w:t xml:space="preserve">Spillemyndigheden </w:t>
      </w:r>
      <w:r w:rsidR="00222625" w:rsidRPr="00796736">
        <w:rPr>
          <w:rFonts w:ascii="Times New Roman" w:eastAsia="Times New Roman" w:hAnsi="Times New Roman" w:cs="Times New Roman"/>
          <w:iCs/>
          <w:color w:val="000000" w:themeColor="text1"/>
          <w:sz w:val="24"/>
          <w:szCs w:val="24"/>
        </w:rPr>
        <w:t>vil</w:t>
      </w:r>
      <w:r w:rsidRPr="00796736">
        <w:rPr>
          <w:rFonts w:ascii="Times New Roman" w:eastAsia="Times New Roman" w:hAnsi="Times New Roman" w:cs="Times New Roman"/>
          <w:iCs/>
          <w:color w:val="000000" w:themeColor="text1"/>
          <w:sz w:val="24"/>
          <w:szCs w:val="24"/>
        </w:rPr>
        <w:t xml:space="preserve"> blandt andet</w:t>
      </w:r>
      <w:r w:rsidR="00222625" w:rsidRPr="00796736">
        <w:rPr>
          <w:rFonts w:ascii="Times New Roman" w:eastAsia="Times New Roman" w:hAnsi="Times New Roman" w:cs="Times New Roman"/>
          <w:iCs/>
          <w:color w:val="000000" w:themeColor="text1"/>
          <w:sz w:val="24"/>
          <w:szCs w:val="24"/>
        </w:rPr>
        <w:t xml:space="preserve"> kunne</w:t>
      </w:r>
      <w:r w:rsidRPr="00796736">
        <w:rPr>
          <w:rFonts w:ascii="Times New Roman" w:eastAsia="Times New Roman" w:hAnsi="Times New Roman" w:cs="Times New Roman"/>
          <w:iCs/>
          <w:color w:val="000000" w:themeColor="text1"/>
          <w:sz w:val="24"/>
          <w:szCs w:val="24"/>
        </w:rPr>
        <w:t xml:space="preserve"> anvende påbud som middel til at stille krav om, at interne politikker, procedurer og kontroller styrkes, eller at der gennemføres foranstaltninger til nedbringelse af risici for hvidvask eller terrorfinansiering, der er forbundet med </w:t>
      </w:r>
      <w:r w:rsidR="009C423A" w:rsidRPr="00796736">
        <w:rPr>
          <w:rFonts w:ascii="Times New Roman" w:eastAsia="Times New Roman" w:hAnsi="Times New Roman" w:cs="Times New Roman"/>
          <w:iCs/>
          <w:color w:val="000000" w:themeColor="text1"/>
          <w:sz w:val="24"/>
          <w:szCs w:val="24"/>
        </w:rPr>
        <w:t>virksomhedens eller personens</w:t>
      </w:r>
      <w:r w:rsidRPr="00796736">
        <w:rPr>
          <w:rFonts w:ascii="Times New Roman" w:eastAsia="Times New Roman" w:hAnsi="Times New Roman" w:cs="Times New Roman"/>
          <w:iCs/>
          <w:color w:val="000000" w:themeColor="text1"/>
          <w:sz w:val="24"/>
          <w:szCs w:val="24"/>
        </w:rPr>
        <w:t xml:space="preserve"> aktiviteter og produkter. Tilsvarende </w:t>
      </w:r>
      <w:r w:rsidR="00222625" w:rsidRPr="00796736">
        <w:rPr>
          <w:rFonts w:ascii="Times New Roman" w:eastAsia="Times New Roman" w:hAnsi="Times New Roman" w:cs="Times New Roman"/>
          <w:iCs/>
          <w:color w:val="000000" w:themeColor="text1"/>
          <w:sz w:val="24"/>
          <w:szCs w:val="24"/>
        </w:rPr>
        <w:t>vil</w:t>
      </w:r>
      <w:r w:rsidRPr="00796736">
        <w:rPr>
          <w:rFonts w:ascii="Times New Roman" w:eastAsia="Times New Roman" w:hAnsi="Times New Roman" w:cs="Times New Roman"/>
          <w:iCs/>
          <w:color w:val="000000" w:themeColor="text1"/>
          <w:sz w:val="24"/>
          <w:szCs w:val="24"/>
        </w:rPr>
        <w:t xml:space="preserve"> et påbud</w:t>
      </w:r>
      <w:r w:rsidR="00222625" w:rsidRPr="00796736">
        <w:rPr>
          <w:rFonts w:ascii="Times New Roman" w:eastAsia="Times New Roman" w:hAnsi="Times New Roman" w:cs="Times New Roman"/>
          <w:iCs/>
          <w:color w:val="000000" w:themeColor="text1"/>
          <w:sz w:val="24"/>
          <w:szCs w:val="24"/>
        </w:rPr>
        <w:t xml:space="preserve"> kunne</w:t>
      </w:r>
      <w:r w:rsidRPr="00796736">
        <w:rPr>
          <w:rFonts w:ascii="Times New Roman" w:eastAsia="Times New Roman" w:hAnsi="Times New Roman" w:cs="Times New Roman"/>
          <w:iCs/>
          <w:color w:val="000000" w:themeColor="text1"/>
          <w:sz w:val="24"/>
          <w:szCs w:val="24"/>
        </w:rPr>
        <w:t xml:space="preserve"> anvendes til at kræve, at </w:t>
      </w:r>
      <w:r w:rsidR="009C423A" w:rsidRPr="00796736">
        <w:rPr>
          <w:rFonts w:ascii="Times New Roman" w:eastAsia="Times New Roman" w:hAnsi="Times New Roman" w:cs="Times New Roman"/>
          <w:iCs/>
          <w:color w:val="000000" w:themeColor="text1"/>
          <w:sz w:val="24"/>
          <w:szCs w:val="24"/>
        </w:rPr>
        <w:t>virksomheden eller personen</w:t>
      </w:r>
      <w:r w:rsidRPr="00796736">
        <w:rPr>
          <w:rFonts w:ascii="Times New Roman" w:eastAsia="Times New Roman" w:hAnsi="Times New Roman" w:cs="Times New Roman"/>
          <w:iCs/>
          <w:color w:val="000000" w:themeColor="text1"/>
          <w:sz w:val="24"/>
          <w:szCs w:val="24"/>
        </w:rPr>
        <w:t xml:space="preserve"> anvender en specifik politik eller specifikke krav vedrørende kategorier af kunder eller individuelle kunder, transaktioner, aktiviteter eller leveringskanaler, der udgør en høj risiko. </w:t>
      </w:r>
    </w:p>
    <w:p w14:paraId="073F9F29" w14:textId="77777777" w:rsidR="001A00DB" w:rsidRPr="00796736" w:rsidRDefault="001A00DB" w:rsidP="00A802A5">
      <w:pPr>
        <w:spacing w:line="360" w:lineRule="auto"/>
        <w:rPr>
          <w:rFonts w:ascii="Times New Roman" w:eastAsia="Times New Roman" w:hAnsi="Times New Roman" w:cs="Times New Roman"/>
          <w:sz w:val="24"/>
          <w:szCs w:val="24"/>
        </w:rPr>
      </w:pPr>
    </w:p>
    <w:p w14:paraId="649CF6B5" w14:textId="4A51ECC1" w:rsidR="001C58D1" w:rsidRPr="00796736" w:rsidRDefault="001C58D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de situationer, hvor Spillemyndigheden har konstateret et lovbrud, men hvor lovbruddet ikke længere eksisterer, kan påbud ikke anvendes som tilsynsreaktion, da der ikke fremadrettet er noget at rette op på. I stedet for kan der gives en påtale, som anses for en variant af påbud. Påtaler anvendes således i de situationer, hvor der er konstateret en lovovertrædelse, men hvor lovovertrædelsen ikke længere består. </w:t>
      </w:r>
    </w:p>
    <w:p w14:paraId="59DB9B51" w14:textId="77777777" w:rsidR="009C423A" w:rsidRPr="00796736" w:rsidRDefault="009C423A" w:rsidP="00A802A5">
      <w:pPr>
        <w:spacing w:line="360" w:lineRule="auto"/>
        <w:rPr>
          <w:rFonts w:ascii="Times New Roman" w:eastAsia="Times New Roman" w:hAnsi="Times New Roman" w:cs="Times New Roman"/>
          <w:sz w:val="24"/>
          <w:szCs w:val="24"/>
        </w:rPr>
      </w:pPr>
    </w:p>
    <w:p w14:paraId="321B7A5A" w14:textId="62954F51"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Ved ukomplicerede og ikke væsentlige overtrædelser af formalia, og hvor virksomheden eller personen i forbindelse med Spillemyndighedens undersøgelse erkender, at der er begået en fejl, </w:t>
      </w:r>
      <w:r w:rsidR="00222625"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Spillemyndigheden som et alternativ til påbud</w:t>
      </w:r>
      <w:r w:rsidR="00222625"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indgå en mundtlig aftale med virksomheden eller personen om en straksforbedring. Med begrebet straksforbedring forstås, at virksomheden eller personen indvilliger i straks at rette op på forholdet og dokumenterer dette. En straksforbedring </w:t>
      </w:r>
      <w:r w:rsidR="00222625" w:rsidRPr="00796736">
        <w:rPr>
          <w:rFonts w:ascii="Times New Roman" w:eastAsia="Times New Roman" w:hAnsi="Times New Roman" w:cs="Times New Roman"/>
          <w:sz w:val="24"/>
          <w:szCs w:val="24"/>
        </w:rPr>
        <w:t>vil kunne</w:t>
      </w:r>
      <w:r w:rsidRPr="00796736">
        <w:rPr>
          <w:rFonts w:ascii="Times New Roman" w:eastAsia="Times New Roman" w:hAnsi="Times New Roman" w:cs="Times New Roman"/>
          <w:sz w:val="24"/>
          <w:szCs w:val="24"/>
        </w:rPr>
        <w:t xml:space="preserve"> anvendes, hvor det vurderes, at et påbud vil fremstå unødigt formalistisk.</w:t>
      </w:r>
    </w:p>
    <w:p w14:paraId="738C2672" w14:textId="77777777" w:rsidR="009C423A" w:rsidRPr="00796736" w:rsidRDefault="009C423A" w:rsidP="00A802A5">
      <w:pPr>
        <w:spacing w:line="360" w:lineRule="auto"/>
        <w:rPr>
          <w:rFonts w:ascii="Times New Roman" w:eastAsia="Times New Roman" w:hAnsi="Times New Roman" w:cs="Times New Roman"/>
          <w:sz w:val="24"/>
          <w:szCs w:val="24"/>
        </w:rPr>
      </w:pPr>
    </w:p>
    <w:p w14:paraId="767A35C3" w14:textId="77777777"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Ved fastsættelse af en reaktion vil Spillemyndigheden skulle tage højde for alle relevante omstændigheder, herunder de faktorer, der er opregnet i artikel 53, stk. 6, i 6. hvidvaskdirektiv. Dette vil bl.a. indebære, at Spillemyndigheden, hvor det er relevant, skal tage højde for overtrædelsens grovhed og varighed og antallet af gentagelser af overtrædelsen. Derudover vil Spillemyndigheden skulle tage højde for graden af samarbejde med Spillemyndigheden samt tidligere overtrædelser.</w:t>
      </w:r>
    </w:p>
    <w:p w14:paraId="59A4895B" w14:textId="77777777" w:rsidR="009C423A" w:rsidRPr="00796736" w:rsidRDefault="009C423A" w:rsidP="00A802A5">
      <w:pPr>
        <w:spacing w:line="360" w:lineRule="auto"/>
        <w:rPr>
          <w:rFonts w:ascii="Times New Roman" w:eastAsia="Times New Roman" w:hAnsi="Times New Roman" w:cs="Times New Roman"/>
          <w:sz w:val="24"/>
          <w:szCs w:val="24"/>
        </w:rPr>
      </w:pPr>
    </w:p>
    <w:p w14:paraId="18365096" w14:textId="683B2733"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Reaktionen </w:t>
      </w:r>
      <w:r w:rsidR="00222625"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være effektiv, stå i rimeligt forhold til overtrædelsen og have afskrækkende virkning.</w:t>
      </w:r>
    </w:p>
    <w:p w14:paraId="76BE4CE0" w14:textId="77777777" w:rsidR="009C423A" w:rsidRPr="00796736" w:rsidRDefault="009C423A" w:rsidP="00A802A5">
      <w:pPr>
        <w:spacing w:line="360" w:lineRule="auto"/>
        <w:rPr>
          <w:rFonts w:ascii="Times New Roman" w:eastAsia="Times New Roman" w:hAnsi="Times New Roman" w:cs="Times New Roman"/>
          <w:sz w:val="24"/>
          <w:szCs w:val="24"/>
        </w:rPr>
      </w:pPr>
    </w:p>
    <w:p w14:paraId="7D982B07" w14:textId="7CE15E1E"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Spillemyndighedens frist for virksomhedens eller personens efterlevelse af et påbud</w:t>
      </w:r>
      <w:r w:rsidR="00222625" w:rsidRPr="00796736">
        <w:rPr>
          <w:rFonts w:ascii="Times New Roman" w:eastAsia="Times New Roman" w:hAnsi="Times New Roman" w:cs="Times New Roman"/>
          <w:sz w:val="24"/>
          <w:szCs w:val="24"/>
        </w:rPr>
        <w:t xml:space="preserve"> vil skulle</w:t>
      </w:r>
      <w:r w:rsidRPr="00796736">
        <w:rPr>
          <w:rFonts w:ascii="Times New Roman" w:eastAsia="Times New Roman" w:hAnsi="Times New Roman" w:cs="Times New Roman"/>
          <w:sz w:val="24"/>
          <w:szCs w:val="24"/>
        </w:rPr>
        <w:t xml:space="preserve"> fastsættes ud fra en konkret vurdering i den enkelte sag henset til overtrædelsens karakter. En alvorlig overtrædelse vil f.eks. kunne medføre, at fristen for efterlevelse af påbuddet er kortere end ved mindre alvorlige overtrædelser. </w:t>
      </w:r>
    </w:p>
    <w:p w14:paraId="51B79CE9" w14:textId="77777777" w:rsidR="009C423A" w:rsidRPr="00796736" w:rsidRDefault="009C423A" w:rsidP="00A802A5">
      <w:pPr>
        <w:spacing w:line="360" w:lineRule="auto"/>
        <w:rPr>
          <w:rFonts w:ascii="Times New Roman" w:eastAsia="Times New Roman" w:hAnsi="Times New Roman" w:cs="Times New Roman"/>
          <w:sz w:val="24"/>
          <w:szCs w:val="24"/>
        </w:rPr>
      </w:pPr>
    </w:p>
    <w:p w14:paraId="5B4B5B47" w14:textId="77777777" w:rsidR="00222625" w:rsidRPr="00796736" w:rsidRDefault="00222625"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sz w:val="24"/>
          <w:szCs w:val="24"/>
        </w:rPr>
        <w:t>Spillemyndigheden vil skulle følge op på og vurdere, om de foranstaltninger, som virksomheden eller personen har gennemført som følge af et påbud, er tilstrækkelige.</w:t>
      </w:r>
      <w:r w:rsidRPr="00796736">
        <w:rPr>
          <w:rFonts w:ascii="Times New Roman" w:eastAsia="Times New Roman" w:hAnsi="Times New Roman" w:cs="Times New Roman"/>
          <w:iCs/>
          <w:sz w:val="24"/>
          <w:szCs w:val="24"/>
        </w:rPr>
        <w:t xml:space="preserve"> Dette vil bl.a. kunne ske ved, at Spillemyndigheden beder virksomheden eller personen om at indsende dokumentation, der beskriver, hvordan virksomheden eller personen har efterkommet Spillemyndighedens påbud, ligesom Spillemyndigheden kan vælge at iværksætte et opfølgende tilsyn.</w:t>
      </w:r>
    </w:p>
    <w:p w14:paraId="1C06EDF6" w14:textId="77777777" w:rsidR="001C7943" w:rsidRPr="00796736" w:rsidRDefault="001C7943" w:rsidP="00A802A5">
      <w:pPr>
        <w:spacing w:line="360" w:lineRule="auto"/>
        <w:rPr>
          <w:rFonts w:ascii="Times New Roman" w:eastAsia="Times New Roman" w:hAnsi="Times New Roman" w:cs="Times New Roman"/>
          <w:sz w:val="24"/>
          <w:szCs w:val="24"/>
        </w:rPr>
      </w:pPr>
    </w:p>
    <w:p w14:paraId="5E284C60" w14:textId="3F202A5F" w:rsidR="00222625" w:rsidRPr="00796736" w:rsidRDefault="0022262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Efter lovforslagets </w:t>
      </w:r>
      <w:r w:rsidR="007B7BA4">
        <w:rPr>
          <w:rFonts w:ascii="Times New Roman" w:eastAsia="Times New Roman" w:hAnsi="Times New Roman" w:cs="Times New Roman"/>
          <w:sz w:val="24"/>
          <w:szCs w:val="24"/>
        </w:rPr>
        <w:fldChar w:fldCharType="begin"/>
      </w:r>
      <w:r w:rsidR="007B7BA4">
        <w:rPr>
          <w:rFonts w:ascii="Times New Roman" w:eastAsia="Times New Roman" w:hAnsi="Times New Roman" w:cs="Times New Roman"/>
          <w:sz w:val="24"/>
          <w:szCs w:val="24"/>
        </w:rPr>
        <w:instrText xml:space="preserve"> REF _Ref242963797 \r \h </w:instrText>
      </w:r>
      <w:r w:rsidR="00CB248D">
        <w:rPr>
          <w:rFonts w:ascii="Times New Roman" w:eastAsia="Times New Roman" w:hAnsi="Times New Roman" w:cs="Times New Roman"/>
          <w:sz w:val="24"/>
          <w:szCs w:val="24"/>
        </w:rPr>
        <w:instrText xml:space="preserve"> \* MERGEFORMAT </w:instrText>
      </w:r>
      <w:r w:rsidR="007B7BA4">
        <w:rPr>
          <w:rFonts w:ascii="Times New Roman" w:eastAsia="Times New Roman" w:hAnsi="Times New Roman" w:cs="Times New Roman"/>
          <w:sz w:val="24"/>
          <w:szCs w:val="24"/>
        </w:rPr>
      </w:r>
      <w:r w:rsidR="007B7BA4">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139</w:t>
      </w:r>
      <w:r w:rsidR="007B7BA4">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og </w:t>
      </w:r>
      <w:r w:rsidR="00DC7BCE" w:rsidRPr="00796736">
        <w:rPr>
          <w:rFonts w:ascii="Times New Roman" w:eastAsia="Times New Roman" w:hAnsi="Times New Roman" w:cs="Times New Roman"/>
          <w:sz w:val="24"/>
          <w:szCs w:val="24"/>
        </w:rPr>
        <w:fldChar w:fldCharType="begin"/>
      </w:r>
      <w:r w:rsidR="00DC7BCE" w:rsidRPr="00796736">
        <w:rPr>
          <w:rFonts w:ascii="Times New Roman" w:eastAsia="Times New Roman" w:hAnsi="Times New Roman" w:cs="Times New Roman"/>
          <w:sz w:val="24"/>
          <w:szCs w:val="24"/>
        </w:rPr>
        <w:instrText xml:space="preserve"> REF _Ref236647753 \r \h </w:instrText>
      </w:r>
      <w:r w:rsidR="007F4BB9" w:rsidRPr="00796736">
        <w:rPr>
          <w:rFonts w:ascii="Times New Roman" w:eastAsia="Times New Roman" w:hAnsi="Times New Roman" w:cs="Times New Roman"/>
          <w:sz w:val="24"/>
          <w:szCs w:val="24"/>
        </w:rPr>
        <w:instrText xml:space="preserve"> \* MERGEFORMAT </w:instrText>
      </w:r>
      <w:r w:rsidR="00DC7BCE" w:rsidRPr="00796736">
        <w:rPr>
          <w:rFonts w:ascii="Times New Roman" w:eastAsia="Times New Roman" w:hAnsi="Times New Roman" w:cs="Times New Roman"/>
          <w:sz w:val="24"/>
          <w:szCs w:val="24"/>
        </w:rPr>
      </w:r>
      <w:r w:rsidR="00DC7BCE"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137</w:t>
      </w:r>
      <w:r w:rsidR="00DC7BCE"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w:t>
      </w:r>
      <w:r w:rsidR="001C58D1" w:rsidRPr="00796736">
        <w:rPr>
          <w:rFonts w:ascii="Times New Roman" w:eastAsia="Times New Roman" w:hAnsi="Times New Roman" w:cs="Times New Roman"/>
          <w:sz w:val="24"/>
          <w:szCs w:val="24"/>
        </w:rPr>
        <w:t>vil undladelse af at efterkomme påbuddet kunne straffes med bøde eller tvangsbøde.</w:t>
      </w:r>
    </w:p>
    <w:p w14:paraId="4C028D91" w14:textId="77777777" w:rsidR="001A00DB" w:rsidRPr="00796736" w:rsidRDefault="001A00DB" w:rsidP="00A802A5">
      <w:pPr>
        <w:spacing w:line="360" w:lineRule="auto"/>
        <w:rPr>
          <w:rFonts w:ascii="Times New Roman" w:eastAsia="Times New Roman" w:hAnsi="Times New Roman" w:cs="Times New Roman"/>
          <w:sz w:val="24"/>
          <w:szCs w:val="24"/>
        </w:rPr>
      </w:pPr>
    </w:p>
    <w:p w14:paraId="55F93402" w14:textId="77777777"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 vil indebære, at Spillemyndigheden skal inddrage de reguleringsmæssige tekniske standarder, der fastsætter indikatorer til klassificering af niveauet af overtrædelsernes grovhed og kriterier, der skal tages i betragtning, når der anvendes reaktioner, som Kommissionen udsteder i medfør af AMLA-forordningens artikel 49, jf. hvidvaskdirektivets artikel 53, stk. 10.</w:t>
      </w:r>
    </w:p>
    <w:p w14:paraId="544D235E" w14:textId="77777777" w:rsidR="009C423A" w:rsidRPr="00796736" w:rsidRDefault="009C423A" w:rsidP="00A802A5">
      <w:pPr>
        <w:spacing w:line="360" w:lineRule="auto"/>
        <w:rPr>
          <w:rFonts w:ascii="Times New Roman" w:hAnsi="Times New Roman" w:cs="Times New Roman"/>
          <w:sz w:val="24"/>
          <w:szCs w:val="24"/>
        </w:rPr>
      </w:pPr>
    </w:p>
    <w:p w14:paraId="2E52A38B" w14:textId="77777777"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 xml:space="preserve">stk. 2, </w:t>
      </w:r>
      <w:r w:rsidRPr="00796736">
        <w:rPr>
          <w:rFonts w:ascii="Times New Roman" w:eastAsia="Calibri" w:hAnsi="Times New Roman" w:cs="Times New Roman"/>
          <w:sz w:val="24"/>
          <w:szCs w:val="24"/>
        </w:rPr>
        <w:t>at reaktioner givet efter stk. 1 træffes på grundlag af det materiale og de oplysninger, som foreligger senest på undersøgelsestidspunktet. Oplysninger og materiale fremlagt efter dette tidspunkt indgår ikke i grundlaget for afgørelsen, medmindre særlige forhold taler herfor.</w:t>
      </w:r>
    </w:p>
    <w:p w14:paraId="3358CF88" w14:textId="77777777" w:rsidR="009C423A" w:rsidRPr="00796736" w:rsidRDefault="009C423A"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er ny. </w:t>
      </w:r>
    </w:p>
    <w:p w14:paraId="711E6B8C" w14:textId="7A10A7D4" w:rsidR="009C423A" w:rsidRPr="00796736" w:rsidRDefault="009C423A" w:rsidP="00A802A5">
      <w:pPr>
        <w:spacing w:after="240" w:line="360" w:lineRule="auto"/>
        <w:rPr>
          <w:rFonts w:ascii="Times New Roman" w:hAnsi="Times New Roman" w:cs="Times New Roman"/>
          <w:sz w:val="24"/>
          <w:szCs w:val="24"/>
        </w:rPr>
      </w:pPr>
      <w:r w:rsidRPr="00796736">
        <w:rPr>
          <w:rFonts w:ascii="Times New Roman" w:eastAsia="Calibri" w:hAnsi="Times New Roman" w:cs="Times New Roman"/>
          <w:iCs/>
          <w:sz w:val="24"/>
          <w:szCs w:val="24"/>
        </w:rPr>
        <w:t>Det følger af</w:t>
      </w:r>
      <w:r w:rsidR="00DC7BCE" w:rsidRPr="00796736">
        <w:rPr>
          <w:rFonts w:ascii="Times New Roman" w:eastAsia="Calibri" w:hAnsi="Times New Roman" w:cs="Times New Roman"/>
          <w:iCs/>
          <w:sz w:val="24"/>
          <w:szCs w:val="24"/>
        </w:rPr>
        <w:t xml:space="preserve"> hvidvasklovens</w:t>
      </w:r>
      <w:r w:rsidRPr="00796736">
        <w:rPr>
          <w:rFonts w:ascii="Times New Roman" w:eastAsia="Calibri" w:hAnsi="Times New Roman" w:cs="Times New Roman"/>
          <w:iCs/>
          <w:sz w:val="24"/>
          <w:szCs w:val="24"/>
        </w:rPr>
        <w:t xml:space="preserve"> § 65, stk. 1, at Spillemyndigheden fører tilsyn med, at de omfattede virksomheder og personer overholder reglerne om forebyggelse af hvidvask og finansiering af terrorisme. </w:t>
      </w:r>
      <w:r w:rsidRPr="00796736">
        <w:rPr>
          <w:rFonts w:ascii="Times New Roman" w:hAnsi="Times New Roman" w:cs="Times New Roman"/>
          <w:sz w:val="24"/>
          <w:szCs w:val="24"/>
        </w:rPr>
        <w:t>Tilsynet omfatter både nationale regler, herunder hvidvaskloven, regler fastsat med hjemmel i hvidvaskloven samt relevante love og forordninger indeholdende regler om finansielle sanktioner mod lande, personer, grupper, juridiske enheder eller organer.</w:t>
      </w:r>
    </w:p>
    <w:p w14:paraId="3710BD37" w14:textId="1BA4B8B9" w:rsidR="009C423A" w:rsidRPr="00796736" w:rsidRDefault="009C423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følger af</w:t>
      </w:r>
      <w:r w:rsidR="00DC7BCE" w:rsidRPr="00796736">
        <w:rPr>
          <w:rFonts w:ascii="Times New Roman" w:hAnsi="Times New Roman" w:cs="Times New Roman"/>
          <w:sz w:val="24"/>
          <w:szCs w:val="24"/>
        </w:rPr>
        <w:t xml:space="preserve"> </w:t>
      </w:r>
      <w:r w:rsidR="00DC7BCE" w:rsidRPr="00796736">
        <w:rPr>
          <w:rFonts w:ascii="Times New Roman" w:eastAsia="Calibri" w:hAnsi="Times New Roman" w:cs="Times New Roman"/>
          <w:iCs/>
          <w:sz w:val="24"/>
          <w:szCs w:val="24"/>
        </w:rPr>
        <w:t>hvidvasklovens</w:t>
      </w:r>
      <w:r w:rsidRPr="00796736">
        <w:rPr>
          <w:rFonts w:ascii="Times New Roman" w:hAnsi="Times New Roman" w:cs="Times New Roman"/>
          <w:sz w:val="24"/>
          <w:szCs w:val="24"/>
        </w:rPr>
        <w:t xml:space="preserve"> § 66, at Spillemyndigheden kan påbyde udbydere af spil omfattet af § 1, stk. 1, nr. 19, at foretage de nødvendige foranstaltninger i tilfælde af overtrædelse af bestemmelser i denne lov, regler udstedt i medfør heraf, eller Europa-Parlamentets og Rådets forordninger indeholdende regler om finansielle sanktioner mod lande, personer, grupper, juridiske enheder eller organer.</w:t>
      </w:r>
    </w:p>
    <w:p w14:paraId="1837BB6D" w14:textId="77777777" w:rsidR="009C423A" w:rsidRPr="00796736" w:rsidRDefault="009C423A" w:rsidP="00A802A5">
      <w:pPr>
        <w:spacing w:after="240" w:line="360" w:lineRule="auto"/>
        <w:rPr>
          <w:rFonts w:ascii="Times New Roman" w:eastAsia="Calibri" w:hAnsi="Times New Roman" w:cs="Times New Roman"/>
          <w:iCs/>
          <w:sz w:val="24"/>
          <w:szCs w:val="24"/>
        </w:rPr>
      </w:pPr>
      <w:r w:rsidRPr="00796736">
        <w:rPr>
          <w:rFonts w:ascii="Times New Roman" w:hAnsi="Times New Roman" w:cs="Times New Roman"/>
          <w:sz w:val="24"/>
          <w:szCs w:val="24"/>
        </w:rPr>
        <w:t>Påbud anvendes i de tilfælde, hvor virksomheden eller personen pålægges at bringe forhold i overensstemmelse med hvidvaskreguleringen inden en given frist. Påtaler anvendes i de tilfælde, hvor Spillemyndigheden har konstateret forhold, som ikke er i overensstemmelse med hvidvaskreguleringen, men hvor virksomheden eller personen ikke får påbud om bestemte handlinger eller undladelser, f.eks. fordi forholdet er ophørt med at eksistere, så der ikke længere er noget at rette op på.</w:t>
      </w:r>
    </w:p>
    <w:p w14:paraId="2D1E1346" w14:textId="77777777" w:rsidR="009C423A" w:rsidRPr="00796736" w:rsidRDefault="009C423A"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Efter den foreslåede bestemmelses</w:t>
      </w:r>
      <w:r w:rsidRPr="00796736">
        <w:rPr>
          <w:rFonts w:ascii="Times New Roman" w:eastAsia="Calibri" w:hAnsi="Times New Roman" w:cs="Times New Roman"/>
          <w:i/>
          <w:iCs/>
          <w:sz w:val="24"/>
          <w:szCs w:val="24"/>
        </w:rPr>
        <w:t xml:space="preserve"> 1. pkt.</w:t>
      </w:r>
      <w:r w:rsidRPr="00796736">
        <w:rPr>
          <w:rFonts w:ascii="Times New Roman" w:eastAsia="Calibri" w:hAnsi="Times New Roman" w:cs="Times New Roman"/>
          <w:sz w:val="24"/>
          <w:szCs w:val="24"/>
        </w:rPr>
        <w:t xml:space="preserve"> skal Spillemyndighedens reaktioner givet efter stk. 1 træffes på grundlag af det materiale og de oplysninger, som foreligger senest på undersøgelsestidspunktet.</w:t>
      </w:r>
    </w:p>
    <w:p w14:paraId="75D633A0" w14:textId="77777777" w:rsidR="009C423A" w:rsidRPr="00796736" w:rsidRDefault="009C423A" w:rsidP="00A802A5">
      <w:pPr>
        <w:spacing w:line="360" w:lineRule="auto"/>
        <w:rPr>
          <w:rFonts w:ascii="Times New Roman" w:eastAsia="Calibri" w:hAnsi="Times New Roman" w:cs="Times New Roman"/>
          <w:sz w:val="24"/>
          <w:szCs w:val="24"/>
        </w:rPr>
      </w:pPr>
    </w:p>
    <w:p w14:paraId="3587811A" w14:textId="77777777" w:rsidR="009C423A" w:rsidRPr="00796736" w:rsidRDefault="009C423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vil skabe transparens om, at Spillemyndighedens påbud som følge af et tilsyn som udgangspunkt træffes på grundlag af det materiale og de oplysninger, som foreligger på undersøgelsestidspunktet. Det vil sige de oplysninger og det materiale, der foreligger senest på tidspunktet for afslutningen af Spillemyndighedens fysiske eller virtuelle interview med virksomheden eller personen under tilsyn, eller, hvis der ikke er afholdt interview, senest på tidspunktet for fristen for fremsendelse af det materiale, som Spillemyndigheden har anmodet om til brug for tilsynet.</w:t>
      </w:r>
    </w:p>
    <w:p w14:paraId="2A70A594" w14:textId="77777777" w:rsidR="009C423A" w:rsidRPr="00796736" w:rsidRDefault="009C423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skabe klarhed om, hvilket faktuelt grundlag Spillemyndigheden baserer sine afgørelser på og samtidig sikre, at vurderingen sker på et afgrænset og dokumenterbart tidspunkt.</w:t>
      </w:r>
    </w:p>
    <w:p w14:paraId="3E8CDE28" w14:textId="77777777" w:rsidR="009C423A" w:rsidRPr="00796736" w:rsidRDefault="009C423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tilsyn med en virksomhed eller en person foregår typisk ved, at Spillemyndigheden indledningsvist anmoder om skriftligt materiale fra virksomheden eller personen. Når Spillemyndigheden har foretaget en indledende gennemgang af materialet, afholdes der herefter enten et fysisk interview hos virksomheden eller personen eller et virtuelt interview med virksomheden eller personen. I nogle tilfælde vil Spillemyndigheden ud fra en konkret vurdering træffe afgørelse på grundlag af det modtagne materiale uden at have afholdt et interview. </w:t>
      </w:r>
    </w:p>
    <w:p w14:paraId="3D3371A2" w14:textId="29A96C7A" w:rsidR="009C423A" w:rsidRPr="00796736" w:rsidRDefault="009C423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Afslutningstidspunktet for et fysisk eller virtuelt interview vil typisk være det tidspunkt, hvor Spillemyndigheden meddeler, at der ikke er flere spørgsmål til materialet, og hvor virksomheden eller personen har bekræftet, at denne har givet de oplysninger, Spillemyndigheden har efterspurgt til interviewet. Der kan være tilfælde, hvor det under interviewet aftales, at virksomheden eller personen skal indsende yderligere materiale efter interviewets afslutning. I dette tilfælde vil afslutningstidspunktet først være senest på tidspunktet for fristen for fremsendelse af dette yderligere materiale.</w:t>
      </w:r>
    </w:p>
    <w:p w14:paraId="799B2A2A" w14:textId="7A9E2418"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ikke hensigten med bestemmelsen, at virksomheden eller personen skal kunne anmode om forlængelse af fristen for fremsendelse af materiale, da formålet med bestemmelsen er at skabe klarhed om, hvilket faktuelt grundlag Spillemyndigheden baserer sine afgørelser på og samtidig sikre, at vurderingen sker på et afgrænset og dokumenterbart tidspunkt</w:t>
      </w:r>
      <w:r w:rsidR="00DC7BCE" w:rsidRPr="00796736">
        <w:rPr>
          <w:rFonts w:ascii="Times New Roman" w:hAnsi="Times New Roman" w:cs="Times New Roman"/>
          <w:sz w:val="24"/>
          <w:szCs w:val="24"/>
        </w:rPr>
        <w:t>.</w:t>
      </w:r>
    </w:p>
    <w:p w14:paraId="50AD970D" w14:textId="77777777" w:rsidR="009C423A" w:rsidRPr="00796736" w:rsidRDefault="009C423A" w:rsidP="00A802A5">
      <w:pPr>
        <w:spacing w:line="360" w:lineRule="auto"/>
        <w:rPr>
          <w:rFonts w:ascii="Times New Roman" w:hAnsi="Times New Roman" w:cs="Times New Roman"/>
          <w:sz w:val="24"/>
          <w:szCs w:val="24"/>
        </w:rPr>
      </w:pPr>
    </w:p>
    <w:p w14:paraId="2E88A910" w14:textId="77777777" w:rsidR="009C423A" w:rsidRPr="00796736" w:rsidRDefault="009C423A" w:rsidP="00A802A5">
      <w:pPr>
        <w:spacing w:line="360" w:lineRule="auto"/>
        <w:rPr>
          <w:rFonts w:ascii="Times New Roman" w:hAnsi="Times New Roman" w:cs="Times New Roman"/>
          <w:sz w:val="24"/>
          <w:szCs w:val="24"/>
        </w:rPr>
      </w:pPr>
      <w:r w:rsidRPr="00796736">
        <w:rPr>
          <w:rFonts w:ascii="Times New Roman" w:eastAsia="Calibri" w:hAnsi="Times New Roman" w:cs="Times New Roman"/>
          <w:sz w:val="24"/>
          <w:szCs w:val="24"/>
        </w:rPr>
        <w:t xml:space="preserve">Den foreslåede bestemmelse vil indebære, at det som altovervejende udgangspunkt alene vil være materiale og oplysninger, som foreligger på undersøgelsestidspunktet, der kan indgå i vurderingsgrundlaget for afgørelsen. Oplysninger og materiale, der er udarbejdet og fremlagt for Spillemyndigheden efterfølgende, vil således ikke indgå i vurderingsgrundlaget for afgørelsen. </w:t>
      </w:r>
    </w:p>
    <w:p w14:paraId="4BCA8E66" w14:textId="77777777" w:rsidR="009C423A" w:rsidRPr="00796736" w:rsidRDefault="009C423A" w:rsidP="00A802A5">
      <w:pPr>
        <w:spacing w:line="360" w:lineRule="auto"/>
        <w:rPr>
          <w:rFonts w:ascii="Times New Roman" w:eastAsia="Calibri" w:hAnsi="Times New Roman" w:cs="Times New Roman"/>
          <w:sz w:val="24"/>
          <w:szCs w:val="24"/>
        </w:rPr>
      </w:pPr>
    </w:p>
    <w:p w14:paraId="34C5B2C0" w14:textId="77777777" w:rsidR="009C423A" w:rsidRPr="00796736" w:rsidRDefault="009C423A"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sz w:val="24"/>
          <w:szCs w:val="24"/>
        </w:rPr>
        <w:t xml:space="preserve">Efter den foreslåede bestemmelses </w:t>
      </w:r>
      <w:r w:rsidRPr="00796736">
        <w:rPr>
          <w:rFonts w:ascii="Times New Roman" w:eastAsia="Calibri" w:hAnsi="Times New Roman" w:cs="Times New Roman"/>
          <w:i/>
          <w:iCs/>
          <w:sz w:val="24"/>
          <w:szCs w:val="24"/>
        </w:rPr>
        <w:t>2. pkt.</w:t>
      </w:r>
      <w:r w:rsidRPr="00796736">
        <w:rPr>
          <w:rFonts w:ascii="Times New Roman" w:eastAsia="Calibri" w:hAnsi="Times New Roman" w:cs="Times New Roman"/>
          <w:sz w:val="24"/>
          <w:szCs w:val="24"/>
        </w:rPr>
        <w:t xml:space="preserve"> indgår oplysninger og materiale </w:t>
      </w:r>
      <w:r w:rsidRPr="00796736">
        <w:rPr>
          <w:rFonts w:ascii="Times New Roman" w:eastAsia="Calibri" w:hAnsi="Times New Roman" w:cs="Times New Roman"/>
          <w:iCs/>
          <w:sz w:val="24"/>
          <w:szCs w:val="24"/>
        </w:rPr>
        <w:t>fremlagt efter undersøgelsestidspunktet ikke i grundlaget for afgørelsen, medmindre særlige forhold taler herfor.</w:t>
      </w:r>
    </w:p>
    <w:p w14:paraId="1F674578" w14:textId="77777777" w:rsidR="009C423A" w:rsidRPr="00796736" w:rsidRDefault="009C423A" w:rsidP="00A802A5">
      <w:pPr>
        <w:spacing w:line="360" w:lineRule="auto"/>
        <w:rPr>
          <w:rFonts w:ascii="Times New Roman" w:eastAsia="Calibri" w:hAnsi="Times New Roman" w:cs="Times New Roman"/>
          <w:iCs/>
          <w:sz w:val="24"/>
          <w:szCs w:val="24"/>
        </w:rPr>
      </w:pPr>
    </w:p>
    <w:p w14:paraId="57E0DEA4" w14:textId="77777777" w:rsidR="009C423A" w:rsidRPr="00796736" w:rsidRDefault="009C423A"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bestemmelse vil medføre, at Spillemyndigheden i visse tilfælde vil kunne gøre en undtagelse til 1. pkt. Der vil således kunne forekomme særlige forhold, hvor Spillemyndigheden efter en konkret vurdering vil kunne vælge at medtage oplysninger og materiale, der er fremlagt efter undersøgelsestidspunktet. Sådanne særlige forhold vil kunne være situationer, hvor det må vurderes at være sagligt og rimeligt at fravige udgangspunktet. Det vil for eksempel kunne være, at virksomheden har været ramt af IT-nedbrud, som har forhindret adgang til relevante systemer på undersøgelsestidspunktet, eller at de relevante oplysninger fysisk befinder sig på et fjernarkiv og derfor ikke kunne fremskaffes rettidigt. Opremsningen er ikke udtømmende. </w:t>
      </w:r>
    </w:p>
    <w:p w14:paraId="68CA0F72" w14:textId="77777777" w:rsidR="009C423A" w:rsidRPr="00796736" w:rsidRDefault="009C423A" w:rsidP="00A802A5">
      <w:pPr>
        <w:spacing w:line="360" w:lineRule="auto"/>
        <w:rPr>
          <w:rFonts w:ascii="Times New Roman" w:eastAsia="Calibri" w:hAnsi="Times New Roman" w:cs="Times New Roman"/>
          <w:iCs/>
          <w:sz w:val="24"/>
          <w:szCs w:val="24"/>
        </w:rPr>
      </w:pPr>
    </w:p>
    <w:p w14:paraId="2ABF6866" w14:textId="77777777" w:rsidR="009C423A" w:rsidRPr="00796736" w:rsidRDefault="009C423A"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forudsættes i alle tilfælde, at Spillemyndigheden vil skulle foretage en konkret og individuel vurdering af, om det er relevant og forsvarligt at inddrage oplysninger og materiale fremlagt efter undersøgelsestidspunktet. Spillemyndigheden vil således ved sin vurdering kunne inddrage materiale, som virksomheden eller personen har udarbejdet inden undersøgelsestidspunktet, også selvom dette materiale først eftersendes til Spillemyndigheden efter undersøgelsestidspunktet. Det afgørende vil være, at materialet er udarbejdet forud for undersøgelsestidspunktet og ikke efterfølgende med henblik på at afhjælpe eller korrigere de konstaterede forhold. </w:t>
      </w:r>
    </w:p>
    <w:p w14:paraId="77E7B9F1" w14:textId="77777777" w:rsidR="009C423A" w:rsidRPr="00796736" w:rsidRDefault="009C423A" w:rsidP="00A802A5">
      <w:pPr>
        <w:spacing w:line="360" w:lineRule="auto"/>
        <w:rPr>
          <w:rFonts w:ascii="Times New Roman" w:eastAsia="Calibri" w:hAnsi="Times New Roman" w:cs="Times New Roman"/>
          <w:sz w:val="24"/>
          <w:szCs w:val="24"/>
        </w:rPr>
      </w:pPr>
    </w:p>
    <w:p w14:paraId="0381828F" w14:textId="1C4D7F54"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 nærmere om Spillemyndighedens mulighed for at give påbud henvises til pkt.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_Ref236646654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Pr="00796736">
        <w:rPr>
          <w:rFonts w:ascii="Times New Roman" w:eastAsia="Calibri" w:hAnsi="Times New Roman" w:cs="Times New Roman"/>
          <w:sz w:val="24"/>
          <w:szCs w:val="24"/>
        </w:rPr>
        <w:t xml:space="preserve"> i lovforslagets almindelige bemærkninger.</w:t>
      </w:r>
    </w:p>
    <w:p w14:paraId="70268D9F" w14:textId="77777777" w:rsidR="003B0F9D" w:rsidRPr="00796736" w:rsidRDefault="003B0F9D" w:rsidP="00A802A5">
      <w:pPr>
        <w:spacing w:line="360" w:lineRule="auto"/>
        <w:rPr>
          <w:rFonts w:ascii="Times New Roman" w:hAnsi="Times New Roman" w:cs="Times New Roman"/>
          <w:sz w:val="24"/>
          <w:szCs w:val="24"/>
          <w:lang w:eastAsia="da-DK"/>
        </w:rPr>
      </w:pPr>
    </w:p>
    <w:p w14:paraId="7063FEAA" w14:textId="77777777" w:rsidR="001C7943" w:rsidRPr="00796736" w:rsidRDefault="001C7943" w:rsidP="00A802A5">
      <w:pPr>
        <w:spacing w:line="360" w:lineRule="auto"/>
        <w:rPr>
          <w:rFonts w:ascii="Times New Roman" w:hAnsi="Times New Roman" w:cs="Times New Roman"/>
          <w:sz w:val="24"/>
          <w:szCs w:val="24"/>
          <w:lang w:eastAsia="da-DK"/>
        </w:rPr>
      </w:pPr>
    </w:p>
    <w:p w14:paraId="6819830C" w14:textId="68F8CE39" w:rsidR="001C7943" w:rsidRPr="00796736" w:rsidRDefault="000078B1" w:rsidP="00A802A5">
      <w:pPr>
        <w:pStyle w:val="Undertitel"/>
      </w:pPr>
      <w:bookmarkStart w:id="2204" w:name="_Toc232109437"/>
      <w:bookmarkStart w:id="2205" w:name="_Toc244879415"/>
      <w:bookmarkStart w:id="2206" w:name="_Toc244880940"/>
      <w:r w:rsidRPr="00796736">
        <w:t xml:space="preserve">Til </w:t>
      </w:r>
      <w:bookmarkEnd w:id="2204"/>
      <w:r w:rsidR="00B7511B" w:rsidRPr="00796736">
        <w:fldChar w:fldCharType="begin"/>
      </w:r>
      <w:r w:rsidR="00B7511B" w:rsidRPr="00796736">
        <w:instrText xml:space="preserve"> REF _Ref232609511 \r \h </w:instrText>
      </w:r>
      <w:r w:rsidR="00967618" w:rsidRPr="00796736">
        <w:instrText xml:space="preserve"> \* MERGEFORMAT </w:instrText>
      </w:r>
      <w:r w:rsidR="00B7511B" w:rsidRPr="00796736">
        <w:fldChar w:fldCharType="separate"/>
      </w:r>
      <w:r w:rsidR="008F29E5">
        <w:t>§ 119</w:t>
      </w:r>
      <w:bookmarkEnd w:id="2205"/>
      <w:bookmarkEnd w:id="2206"/>
      <w:r w:rsidR="00B7511B" w:rsidRPr="00796736">
        <w:fldChar w:fldCharType="end"/>
      </w:r>
    </w:p>
    <w:p w14:paraId="42B2B505" w14:textId="77777777" w:rsidR="001C58D1" w:rsidRPr="00796736" w:rsidRDefault="001C58D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Efter </w:t>
      </w:r>
      <w:r w:rsidRPr="00796736">
        <w:rPr>
          <w:rFonts w:ascii="Times New Roman" w:eastAsia="Calibri" w:hAnsi="Times New Roman" w:cs="Times New Roman"/>
          <w:iCs/>
          <w:sz w:val="24"/>
          <w:szCs w:val="24"/>
        </w:rPr>
        <w:t>hvidvasklovens</w:t>
      </w:r>
      <w:r w:rsidRPr="00796736">
        <w:rPr>
          <w:rFonts w:ascii="Times New Roman" w:eastAsia="Times New Roman" w:hAnsi="Times New Roman" w:cs="Times New Roman"/>
          <w:sz w:val="24"/>
          <w:szCs w:val="24"/>
        </w:rPr>
        <w:t xml:space="preserve"> § 66 kan Spillemyndigheden, inden for en af Spillemyndigheden fastsat frist, påbyde udbydere af spil at foretage de nødvendige foranstaltninger i tilfælde at overtrædelse af</w:t>
      </w:r>
      <w:r w:rsidRPr="00796736">
        <w:rPr>
          <w:rFonts w:ascii="Times New Roman" w:hAnsi="Times New Roman" w:cs="Times New Roman"/>
          <w:color w:val="2F2F2B"/>
          <w:spacing w:val="2"/>
          <w:sz w:val="24"/>
          <w:szCs w:val="24"/>
          <w:shd w:val="clear" w:color="auto" w:fill="FFFFFF"/>
        </w:rPr>
        <w:t xml:space="preserve"> </w:t>
      </w:r>
      <w:r w:rsidRPr="00796736">
        <w:rPr>
          <w:rFonts w:ascii="Times New Roman" w:eastAsia="Times New Roman" w:hAnsi="Times New Roman" w:cs="Times New Roman"/>
          <w:sz w:val="24"/>
          <w:szCs w:val="24"/>
        </w:rPr>
        <w:t xml:space="preserve">bestemmelser i hvidvaskloven, regler udstedt i medfør heraf, eller Europa-Parlamentets og Rådets forordninger indeholdende regler om finansielle sanktioner mod lande, personer, grupper, juridiske enheder eller organer. </w:t>
      </w:r>
    </w:p>
    <w:p w14:paraId="5CD75C3A" w14:textId="77777777" w:rsidR="001C58D1" w:rsidRPr="00796736" w:rsidRDefault="001C58D1" w:rsidP="00A802A5">
      <w:pPr>
        <w:spacing w:line="360" w:lineRule="auto"/>
        <w:rPr>
          <w:rFonts w:ascii="Times New Roman" w:eastAsia="Calibri" w:hAnsi="Times New Roman" w:cs="Times New Roman"/>
          <w:sz w:val="24"/>
          <w:szCs w:val="24"/>
        </w:rPr>
      </w:pPr>
    </w:p>
    <w:p w14:paraId="4CFA0DFD" w14:textId="5FE7D4A1" w:rsidR="001C58D1" w:rsidRPr="00796736" w:rsidRDefault="001C58D1" w:rsidP="00A802A5">
      <w:pPr>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foreslåede </w:t>
      </w:r>
      <w:r w:rsidR="00AF4272" w:rsidRPr="00796736">
        <w:rPr>
          <w:rFonts w:ascii="Times New Roman" w:eastAsia="Calibri" w:hAnsi="Times New Roman" w:cs="Times New Roman"/>
          <w:sz w:val="24"/>
          <w:szCs w:val="24"/>
        </w:rPr>
        <w:fldChar w:fldCharType="begin"/>
      </w:r>
      <w:r w:rsidR="00AF4272" w:rsidRPr="00796736">
        <w:rPr>
          <w:rFonts w:ascii="Times New Roman" w:eastAsia="Calibri" w:hAnsi="Times New Roman" w:cs="Times New Roman"/>
          <w:sz w:val="24"/>
          <w:szCs w:val="24"/>
        </w:rPr>
        <w:instrText xml:space="preserve"> REF _Ref232609511 \r \h </w:instrText>
      </w:r>
      <w:r w:rsidR="00AB17CC" w:rsidRPr="00796736">
        <w:rPr>
          <w:rFonts w:ascii="Times New Roman" w:eastAsia="Calibri" w:hAnsi="Times New Roman" w:cs="Times New Roman"/>
          <w:sz w:val="24"/>
          <w:szCs w:val="24"/>
        </w:rPr>
        <w:instrText xml:space="preserve"> \* MERGEFORMAT </w:instrText>
      </w:r>
      <w:r w:rsidR="00AF4272" w:rsidRPr="00796736">
        <w:rPr>
          <w:rFonts w:ascii="Times New Roman" w:eastAsia="Calibri" w:hAnsi="Times New Roman" w:cs="Times New Roman"/>
          <w:sz w:val="24"/>
          <w:szCs w:val="24"/>
        </w:rPr>
      </w:r>
      <w:r w:rsidR="00AF427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119</w:t>
      </w:r>
      <w:r w:rsidR="00AF4272" w:rsidRPr="00796736">
        <w:rPr>
          <w:rFonts w:ascii="Times New Roman" w:eastAsia="Calibri" w:hAnsi="Times New Roman" w:cs="Times New Roman"/>
          <w:sz w:val="24"/>
          <w:szCs w:val="24"/>
        </w:rPr>
        <w:fldChar w:fldCharType="end"/>
      </w:r>
      <w:r w:rsidR="00AF4272"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 xml:space="preserve"> fastsætter, at Spillemyndigheden udover de reaktioner, der er nævnt i den foreslåede </w:t>
      </w:r>
      <w:r w:rsidR="00AF4272" w:rsidRPr="00796736">
        <w:rPr>
          <w:rFonts w:ascii="Times New Roman" w:eastAsia="Calibri" w:hAnsi="Times New Roman" w:cs="Times New Roman"/>
          <w:sz w:val="24"/>
          <w:szCs w:val="24"/>
        </w:rPr>
        <w:fldChar w:fldCharType="begin"/>
      </w:r>
      <w:r w:rsidR="00AF4272" w:rsidRPr="00796736">
        <w:rPr>
          <w:rFonts w:ascii="Times New Roman" w:eastAsia="Calibri" w:hAnsi="Times New Roman" w:cs="Times New Roman"/>
          <w:sz w:val="24"/>
          <w:szCs w:val="24"/>
        </w:rPr>
        <w:instrText xml:space="preserve"> REF _Ref236643746 \r \h </w:instrText>
      </w:r>
      <w:r w:rsidR="00AB17CC" w:rsidRPr="00796736">
        <w:rPr>
          <w:rFonts w:ascii="Times New Roman" w:eastAsia="Calibri" w:hAnsi="Times New Roman" w:cs="Times New Roman"/>
          <w:sz w:val="24"/>
          <w:szCs w:val="24"/>
        </w:rPr>
        <w:instrText xml:space="preserve"> \* MERGEFORMAT </w:instrText>
      </w:r>
      <w:r w:rsidR="00AF4272" w:rsidRPr="00796736">
        <w:rPr>
          <w:rFonts w:ascii="Times New Roman" w:eastAsia="Calibri" w:hAnsi="Times New Roman" w:cs="Times New Roman"/>
          <w:sz w:val="24"/>
          <w:szCs w:val="24"/>
        </w:rPr>
      </w:r>
      <w:r w:rsidR="00AF427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118</w:t>
      </w:r>
      <w:r w:rsidR="00AF4272"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stk. 1, kan anvende yderligere foranstaltninger.</w:t>
      </w:r>
    </w:p>
    <w:p w14:paraId="2FF7727C" w14:textId="77777777" w:rsidR="001C58D1" w:rsidRPr="00796736" w:rsidRDefault="001C58D1" w:rsidP="00A802A5">
      <w:pPr>
        <w:spacing w:line="360" w:lineRule="auto"/>
        <w:rPr>
          <w:rFonts w:ascii="Times New Roman" w:eastAsia="Times New Roman" w:hAnsi="Times New Roman" w:cs="Times New Roman"/>
          <w:sz w:val="24"/>
          <w:szCs w:val="24"/>
        </w:rPr>
      </w:pPr>
    </w:p>
    <w:p w14:paraId="42EFD524" w14:textId="77777777" w:rsidR="001C58D1" w:rsidRDefault="001C58D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er ny og implementerer </w:t>
      </w:r>
      <w:r w:rsidRPr="00796736">
        <w:rPr>
          <w:rFonts w:ascii="Times New Roman" w:eastAsia="Calibri" w:hAnsi="Times New Roman" w:cs="Times New Roman"/>
          <w:iCs/>
          <w:sz w:val="24"/>
          <w:szCs w:val="24"/>
        </w:rPr>
        <w:t xml:space="preserve">artikel 37, stk. 6, litra b, artikel 53, stk. 2, og 6, og artikel </w:t>
      </w:r>
      <w:r w:rsidRPr="00796736">
        <w:rPr>
          <w:rFonts w:ascii="Times New Roman" w:eastAsia="Calibri" w:hAnsi="Times New Roman" w:cs="Times New Roman"/>
          <w:sz w:val="24"/>
          <w:szCs w:val="24"/>
        </w:rPr>
        <w:t>56, stk. 2, litra e, og stk. 4.</w:t>
      </w:r>
    </w:p>
    <w:p w14:paraId="577A0FD5" w14:textId="5B83753A" w:rsidR="007B7BA4" w:rsidRDefault="007B7BA4" w:rsidP="00A802A5">
      <w:pPr>
        <w:spacing w:line="360" w:lineRule="auto"/>
        <w:rPr>
          <w:rFonts w:ascii="Times New Roman" w:eastAsia="Times New Roman" w:hAnsi="Times New Roman" w:cs="Times New Roman"/>
          <w:iCs/>
          <w:sz w:val="24"/>
          <w:szCs w:val="24"/>
          <w:lang w:eastAsia="da-DK"/>
        </w:rPr>
      </w:pPr>
      <w:r w:rsidRPr="008B2C3D">
        <w:rPr>
          <w:rFonts w:ascii="Times New Roman" w:eastAsia="Times New Roman" w:hAnsi="Times New Roman" w:cs="Times New Roman"/>
          <w:iCs/>
          <w:sz w:val="24"/>
          <w:szCs w:val="24"/>
          <w:lang w:eastAsia="da-DK"/>
        </w:rPr>
        <w:t xml:space="preserve">Bestemmelsen vil indebære, at der </w:t>
      </w:r>
      <w:r>
        <w:rPr>
          <w:rFonts w:ascii="Times New Roman" w:eastAsia="Times New Roman" w:hAnsi="Times New Roman" w:cs="Times New Roman"/>
          <w:iCs/>
          <w:sz w:val="24"/>
          <w:szCs w:val="24"/>
          <w:lang w:eastAsia="da-DK"/>
        </w:rPr>
        <w:t xml:space="preserve">vil skulle </w:t>
      </w:r>
      <w:r w:rsidRPr="008B2C3D">
        <w:rPr>
          <w:rFonts w:ascii="Times New Roman" w:eastAsia="Times New Roman" w:hAnsi="Times New Roman" w:cs="Times New Roman"/>
          <w:iCs/>
          <w:sz w:val="24"/>
          <w:szCs w:val="24"/>
          <w:lang w:eastAsia="da-DK"/>
        </w:rPr>
        <w:t>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282128A0" w14:textId="77777777" w:rsidR="007B7BA4" w:rsidRPr="007B7BA4" w:rsidRDefault="007B7BA4" w:rsidP="00A802A5">
      <w:pPr>
        <w:spacing w:line="360" w:lineRule="auto"/>
        <w:rPr>
          <w:rFonts w:ascii="Times New Roman" w:eastAsia="Times New Roman" w:hAnsi="Times New Roman" w:cs="Times New Roman"/>
          <w:iCs/>
          <w:sz w:val="24"/>
          <w:szCs w:val="24"/>
          <w:lang w:eastAsia="da-DK"/>
        </w:rPr>
      </w:pPr>
    </w:p>
    <w:p w14:paraId="05D0949B" w14:textId="6E446853" w:rsidR="001C58D1" w:rsidRPr="00796736" w:rsidRDefault="001C58D1" w:rsidP="00A802A5">
      <w:pPr>
        <w:spacing w:line="360" w:lineRule="auto"/>
        <w:jc w:val="left"/>
        <w:rPr>
          <w:rFonts w:ascii="Times New Roman" w:eastAsia="Times New Roman" w:hAnsi="Times New Roman" w:cs="Times New Roman"/>
          <w:sz w:val="24"/>
          <w:szCs w:val="24"/>
          <w:lang w:eastAsia="da-DK"/>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1</w:t>
      </w:r>
      <w:r w:rsidRPr="00796736">
        <w:rPr>
          <w:rFonts w:ascii="Times New Roman" w:eastAsia="Calibri" w:hAnsi="Times New Roman" w:cs="Times New Roman"/>
          <w:sz w:val="24"/>
          <w:szCs w:val="24"/>
        </w:rPr>
        <w:t xml:space="preserve">, at Spillemyndigheden kan i tilfælde omfattet af </w:t>
      </w:r>
      <w:r w:rsidR="00AF4272" w:rsidRPr="00796736">
        <w:rPr>
          <w:rFonts w:ascii="Times New Roman" w:eastAsia="Calibri" w:hAnsi="Times New Roman" w:cs="Times New Roman"/>
          <w:sz w:val="24"/>
          <w:szCs w:val="24"/>
        </w:rPr>
        <w:fldChar w:fldCharType="begin"/>
      </w:r>
      <w:r w:rsidR="00AF4272" w:rsidRPr="00796736">
        <w:rPr>
          <w:rFonts w:ascii="Times New Roman" w:eastAsia="Calibri" w:hAnsi="Times New Roman" w:cs="Times New Roman"/>
          <w:sz w:val="24"/>
          <w:szCs w:val="24"/>
        </w:rPr>
        <w:instrText xml:space="preserve"> REF _Ref236144985 \r \h </w:instrText>
      </w:r>
      <w:r w:rsidR="00AB17CC" w:rsidRPr="00796736">
        <w:rPr>
          <w:rFonts w:ascii="Times New Roman" w:eastAsia="Calibri" w:hAnsi="Times New Roman" w:cs="Times New Roman"/>
          <w:sz w:val="24"/>
          <w:szCs w:val="24"/>
        </w:rPr>
        <w:instrText xml:space="preserve"> \* MERGEFORMAT </w:instrText>
      </w:r>
      <w:r w:rsidR="00AF4272" w:rsidRPr="00796736">
        <w:rPr>
          <w:rFonts w:ascii="Times New Roman" w:eastAsia="Calibri" w:hAnsi="Times New Roman" w:cs="Times New Roman"/>
          <w:sz w:val="24"/>
          <w:szCs w:val="24"/>
        </w:rPr>
      </w:r>
      <w:r w:rsidR="00AF427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117</w:t>
      </w:r>
      <w:r w:rsidR="00AF4272"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påbyde de virksomheder og personer</w:t>
      </w:r>
      <w:r w:rsidRPr="00796736">
        <w:rPr>
          <w:rFonts w:ascii="Times New Roman" w:eastAsia="Times New Roman" w:hAnsi="Times New Roman" w:cs="Times New Roman"/>
          <w:sz w:val="24"/>
          <w:szCs w:val="24"/>
          <w:lang w:eastAsia="da-DK"/>
        </w:rPr>
        <w:t xml:space="preserve">, omfattet af </w:t>
      </w:r>
      <w:r w:rsidR="00AF4272" w:rsidRPr="00796736">
        <w:rPr>
          <w:rFonts w:ascii="Times New Roman" w:eastAsia="Times New Roman" w:hAnsi="Times New Roman" w:cs="Times New Roman"/>
          <w:sz w:val="24"/>
          <w:szCs w:val="24"/>
          <w:lang w:eastAsia="da-DK"/>
        </w:rPr>
        <w:fldChar w:fldCharType="begin"/>
      </w:r>
      <w:r w:rsidR="00AF4272" w:rsidRPr="00796736">
        <w:rPr>
          <w:rFonts w:ascii="Times New Roman" w:eastAsia="Times New Roman" w:hAnsi="Times New Roman" w:cs="Times New Roman"/>
          <w:sz w:val="24"/>
          <w:szCs w:val="24"/>
          <w:lang w:eastAsia="da-DK"/>
        </w:rPr>
        <w:instrText xml:space="preserve"> REF _Ref239189479 \r \h </w:instrText>
      </w:r>
      <w:r w:rsidR="00AB17CC" w:rsidRPr="00796736">
        <w:rPr>
          <w:rFonts w:ascii="Times New Roman" w:eastAsia="Times New Roman" w:hAnsi="Times New Roman" w:cs="Times New Roman"/>
          <w:sz w:val="24"/>
          <w:szCs w:val="24"/>
          <w:lang w:eastAsia="da-DK"/>
        </w:rPr>
        <w:instrText xml:space="preserve"> \* MERGEFORMAT </w:instrText>
      </w:r>
      <w:r w:rsidR="00AF4272" w:rsidRPr="00796736">
        <w:rPr>
          <w:rFonts w:ascii="Times New Roman" w:eastAsia="Times New Roman" w:hAnsi="Times New Roman" w:cs="Times New Roman"/>
          <w:sz w:val="24"/>
          <w:szCs w:val="24"/>
          <w:lang w:eastAsia="da-DK"/>
        </w:rPr>
      </w:r>
      <w:r w:rsidR="00AF4272"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112</w:t>
      </w:r>
      <w:r w:rsidR="00AF4272" w:rsidRPr="00796736">
        <w:rPr>
          <w:rFonts w:ascii="Times New Roman" w:eastAsia="Times New Roman" w:hAnsi="Times New Roman" w:cs="Times New Roman"/>
          <w:sz w:val="24"/>
          <w:szCs w:val="24"/>
          <w:lang w:eastAsia="da-DK"/>
        </w:rPr>
        <w:fldChar w:fldCharType="end"/>
      </w:r>
      <w:r w:rsidR="00AF4272" w:rsidRPr="00796736">
        <w:rPr>
          <w:rFonts w:ascii="Times New Roman" w:eastAsia="Times New Roman" w:hAnsi="Times New Roman" w:cs="Times New Roman"/>
          <w:sz w:val="24"/>
          <w:szCs w:val="24"/>
          <w:lang w:eastAsia="da-DK"/>
        </w:rPr>
        <w:t xml:space="preserve">, </w:t>
      </w:r>
      <w:r w:rsidRPr="00796736">
        <w:rPr>
          <w:rFonts w:ascii="Times New Roman" w:eastAsia="Times New Roman" w:hAnsi="Times New Roman" w:cs="Times New Roman"/>
          <w:sz w:val="24"/>
          <w:szCs w:val="24"/>
          <w:lang w:eastAsia="da-DK"/>
        </w:rPr>
        <w:t>stk. 1, at virksomheden og personen 1) midlertidigt ikke må udøve en af Spillemyndigheden nærmere afgrænset forretningsaktivitet, 2) midlertidigt ikke må gennemføre en af Spillemyndigheden nærmere afgrænset type af transaktioner, eller 3) skal afhænde aktiviteter.</w:t>
      </w:r>
    </w:p>
    <w:p w14:paraId="2DE1BF93" w14:textId="77777777" w:rsidR="001C58D1" w:rsidRPr="00796736" w:rsidRDefault="001C58D1" w:rsidP="00A802A5">
      <w:pPr>
        <w:spacing w:line="360" w:lineRule="auto"/>
        <w:jc w:val="left"/>
        <w:rPr>
          <w:rFonts w:ascii="Times New Roman" w:eastAsia="Times New Roman" w:hAnsi="Times New Roman" w:cs="Times New Roman"/>
          <w:sz w:val="24"/>
          <w:szCs w:val="24"/>
          <w:lang w:eastAsia="da-DK"/>
        </w:rPr>
      </w:pPr>
    </w:p>
    <w:p w14:paraId="487F25E5" w14:textId="66F4471D" w:rsidR="001C58D1" w:rsidRPr="00796736" w:rsidRDefault="001C58D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Da der er tale om en indgribende foranstaltning forudsættes det, at anvendelsen af bestemmelsen og de oplistede reaktionsmuligheder vil skulle begrænses til situationer, hvor Spillemyndigheden konstaterer en alvorlig overtrædelse af lovgivningen. Dette vil betyde, at bestemmelsen i almindelighed kun vil kunne finde anvendelse ved konstaterede overtrædelser, jf. det foreslåede </w:t>
      </w:r>
      <w:r w:rsidR="00AF4272" w:rsidRPr="00796736">
        <w:rPr>
          <w:rFonts w:ascii="Times New Roman" w:eastAsia="Calibri" w:hAnsi="Times New Roman" w:cs="Times New Roman"/>
          <w:sz w:val="24"/>
          <w:szCs w:val="24"/>
        </w:rPr>
        <w:fldChar w:fldCharType="begin"/>
      </w:r>
      <w:r w:rsidR="00AF4272" w:rsidRPr="00796736">
        <w:rPr>
          <w:rFonts w:ascii="Times New Roman" w:eastAsia="Calibri" w:hAnsi="Times New Roman" w:cs="Times New Roman"/>
          <w:sz w:val="24"/>
          <w:szCs w:val="24"/>
        </w:rPr>
        <w:instrText xml:space="preserve"> REF _Ref236144985 \r \h </w:instrText>
      </w:r>
      <w:r w:rsidR="00AB17CC" w:rsidRPr="00796736">
        <w:rPr>
          <w:rFonts w:ascii="Times New Roman" w:eastAsia="Calibri" w:hAnsi="Times New Roman" w:cs="Times New Roman"/>
          <w:sz w:val="24"/>
          <w:szCs w:val="24"/>
        </w:rPr>
        <w:instrText xml:space="preserve"> \* MERGEFORMAT </w:instrText>
      </w:r>
      <w:r w:rsidR="00AF4272" w:rsidRPr="00796736">
        <w:rPr>
          <w:rFonts w:ascii="Times New Roman" w:eastAsia="Calibri" w:hAnsi="Times New Roman" w:cs="Times New Roman"/>
          <w:sz w:val="24"/>
          <w:szCs w:val="24"/>
        </w:rPr>
      </w:r>
      <w:r w:rsidR="00AF427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117</w:t>
      </w:r>
      <w:r w:rsidR="00AF4272"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stk. 1, nr. 1. Dette skal ses i sammenhæng med 6. hvidvaskdirektivs præambelbetragtning nr. 101, hvoraf det fremgår, at de pålagte administrative foranstaltninger skal være effektive og stå i rimeligt forhold til overtrædelsen. Dette vurderes nødvendigt henset til den indgribende karakter af de oplistede foranstaltninger.</w:t>
      </w:r>
    </w:p>
    <w:p w14:paraId="50DDA492" w14:textId="77777777" w:rsidR="001C58D1" w:rsidRPr="00796736" w:rsidRDefault="001C58D1"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sz w:val="24"/>
          <w:szCs w:val="24"/>
        </w:rPr>
        <w:t>Udstedelsen af påbuddet vil skulle ledsages af en af Spillemyndigheden fastsat frist for, hvornår virksomheden eller personen senest skal have iværksat den pågældende foranstaltning. Spillemyndighedens</w:t>
      </w:r>
      <w:r w:rsidRPr="00796736">
        <w:rPr>
          <w:rFonts w:ascii="Times New Roman" w:eastAsia="Calibri" w:hAnsi="Times New Roman" w:cs="Times New Roman"/>
          <w:iCs/>
          <w:sz w:val="24"/>
          <w:szCs w:val="24"/>
        </w:rPr>
        <w:t xml:space="preserve"> frist vil blive fastsat ud fra en konkret vurdering i den enkelte sag henset til overtrædelsens karakter.</w:t>
      </w:r>
    </w:p>
    <w:p w14:paraId="61FF61D5" w14:textId="2789A031" w:rsidR="001C58D1" w:rsidRPr="00796736" w:rsidRDefault="001C58D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at reaktionsmulighederne efter </w:t>
      </w:r>
      <w:r w:rsidR="00AF4272" w:rsidRPr="00796736">
        <w:rPr>
          <w:rFonts w:ascii="Times New Roman" w:eastAsia="Calibri" w:hAnsi="Times New Roman" w:cs="Times New Roman"/>
          <w:sz w:val="24"/>
          <w:szCs w:val="24"/>
        </w:rPr>
        <w:fldChar w:fldCharType="begin"/>
      </w:r>
      <w:r w:rsidR="00AF4272" w:rsidRPr="00796736">
        <w:rPr>
          <w:rFonts w:ascii="Times New Roman" w:eastAsia="Calibri" w:hAnsi="Times New Roman" w:cs="Times New Roman"/>
          <w:sz w:val="24"/>
          <w:szCs w:val="24"/>
        </w:rPr>
        <w:instrText xml:space="preserve"> REF _Ref232609511 \r \h </w:instrText>
      </w:r>
      <w:r w:rsidR="00AB17CC" w:rsidRPr="00796736">
        <w:rPr>
          <w:rFonts w:ascii="Times New Roman" w:eastAsia="Calibri" w:hAnsi="Times New Roman" w:cs="Times New Roman"/>
          <w:sz w:val="24"/>
          <w:szCs w:val="24"/>
        </w:rPr>
        <w:instrText xml:space="preserve"> \* MERGEFORMAT </w:instrText>
      </w:r>
      <w:r w:rsidR="00AF4272" w:rsidRPr="00796736">
        <w:rPr>
          <w:rFonts w:ascii="Times New Roman" w:eastAsia="Calibri" w:hAnsi="Times New Roman" w:cs="Times New Roman"/>
          <w:sz w:val="24"/>
          <w:szCs w:val="24"/>
        </w:rPr>
      </w:r>
      <w:r w:rsidR="00AF427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119</w:t>
      </w:r>
      <w:r w:rsidR="00AF4272"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stk. 1, nr. 1 og 2, alene skal kunne iværksættes som midlertidige foranstaltninger.</w:t>
      </w:r>
    </w:p>
    <w:p w14:paraId="1D591EB1" w14:textId="77777777" w:rsidR="001C58D1" w:rsidRPr="00796736" w:rsidRDefault="001C58D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At foranstaltningen er midlertidig betyder, at påbuddet vil skulle udstedes for en kortere periode, hvor det er nødvendigt f.eks. for at forhindre hvidvask af penge eller terrorfinansiering, eller begrænse nærmere afgrænsede dele af forretningsaktiviteter og transaktioner, indtil de konstaterede overtrædelser og tilhørende risici ikke længe er til stede. </w:t>
      </w:r>
    </w:p>
    <w:p w14:paraId="07A7D14C" w14:textId="31042D6B" w:rsidR="001C58D1" w:rsidRPr="00796736" w:rsidRDefault="001C58D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påbud vil kunne gives i forbindelse med andre tilsynsreaktioner, f.eks. politianmeldelse. </w:t>
      </w:r>
    </w:p>
    <w:p w14:paraId="5FA63681" w14:textId="74A84C80" w:rsidR="001C58D1" w:rsidRPr="00796736" w:rsidRDefault="001C58D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stk. 1, nr. 1,</w:t>
      </w:r>
      <w:r w:rsidRPr="00796736">
        <w:rPr>
          <w:rFonts w:ascii="Times New Roman" w:eastAsia="Calibri" w:hAnsi="Times New Roman" w:cs="Times New Roman"/>
          <w:sz w:val="24"/>
          <w:szCs w:val="24"/>
        </w:rPr>
        <w:t xml:space="preserve"> at Spillemyndigheden i tilfælde, der er omfattet af </w:t>
      </w:r>
      <w:r w:rsidR="00AF4272" w:rsidRPr="00796736">
        <w:rPr>
          <w:rFonts w:ascii="Times New Roman" w:eastAsia="Calibri" w:hAnsi="Times New Roman" w:cs="Times New Roman"/>
          <w:sz w:val="24"/>
          <w:szCs w:val="24"/>
        </w:rPr>
        <w:fldChar w:fldCharType="begin"/>
      </w:r>
      <w:r w:rsidR="00AF4272" w:rsidRPr="00796736">
        <w:rPr>
          <w:rFonts w:ascii="Times New Roman" w:eastAsia="Calibri" w:hAnsi="Times New Roman" w:cs="Times New Roman"/>
          <w:sz w:val="24"/>
          <w:szCs w:val="24"/>
        </w:rPr>
        <w:instrText xml:space="preserve"> REF _Ref236144985 \r \h </w:instrText>
      </w:r>
      <w:r w:rsidR="00AB17CC" w:rsidRPr="00796736">
        <w:rPr>
          <w:rFonts w:ascii="Times New Roman" w:eastAsia="Calibri" w:hAnsi="Times New Roman" w:cs="Times New Roman"/>
          <w:sz w:val="24"/>
          <w:szCs w:val="24"/>
        </w:rPr>
        <w:instrText xml:space="preserve"> \* MERGEFORMAT </w:instrText>
      </w:r>
      <w:r w:rsidR="00AF4272" w:rsidRPr="00796736">
        <w:rPr>
          <w:rFonts w:ascii="Times New Roman" w:eastAsia="Calibri" w:hAnsi="Times New Roman" w:cs="Times New Roman"/>
          <w:sz w:val="24"/>
          <w:szCs w:val="24"/>
        </w:rPr>
      </w:r>
      <w:r w:rsidR="00AF427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117</w:t>
      </w:r>
      <w:r w:rsidR="00AF4272"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kan påbyde, at virksomheden eller personen midlertidigt ikke må udøve en af Spillemyndigheden nærmere afgrænset forretningsaktivitet. </w:t>
      </w:r>
    </w:p>
    <w:p w14:paraId="0685DD31" w14:textId="77777777" w:rsidR="001C58D1" w:rsidRPr="00796736" w:rsidRDefault="001C58D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påbud efter denne bestemmelse kan eksempelvis indebære, at virksomheden eller personen for en periode ikke må udbyde bestemte produkter eller ydelser, hvor Spillemyndigheden har identificeret en særligt forhøjet risiko for hvidvask eller terrorfinansiering, eller hvor virksomheden har væsentlige mangler i sin risikostyring. Dette kan f.eks. være relevant ved visse typer af ydelser eller forretningsområder, der er eksponeret for en forhøjet risiko, men hvor virksomheden ikke har tilstrækkelige procedurer og kontroller til at sikre overholdelse af regler og mitigering af den pågældende risiko, og hvor en sådan begrænsning er nødvendig for at inddæmme den pågældende risikoeksponering. </w:t>
      </w:r>
    </w:p>
    <w:p w14:paraId="58834A9C" w14:textId="77777777" w:rsidR="001C58D1" w:rsidRPr="00796736" w:rsidRDefault="001C58D1"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Påbuddet kan også rettes mod aktiviteter, der involverer bestemte kundegrupper, distributionskanaler eller samarbejdspartnere, hvor der er identificeret utilstrækkelig kontrol eller forhøjet risiko. </w:t>
      </w:r>
    </w:p>
    <w:p w14:paraId="3FD22A26"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give Spillemyndigheden mulighed for hurtigt og effektivt at begrænse eller standse de aktiviteter, der udgør en særlig risiko, indtil virksomheden eller personen har dokumenteret, at de nødvendige foranstaltninger er iværksat for at sikre overholdelse af reglerne.</w:t>
      </w:r>
    </w:p>
    <w:p w14:paraId="7CA7C7B9"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Desuden kan påbuddet efter det foreslåede stk. 1, nr. 1, omfatte, at virksomheden eller personen midlertidigt ikke må optage nye kundeforhold. Dette kan f.eks.  være relevant, hvis virksomheden ikke har tilstrækkelige procedurer eller kontroller til at sikre overholdelse af reglerne om kundekendskabsprocedurer efter hvidvaskforordningen. </w:t>
      </w:r>
    </w:p>
    <w:p w14:paraId="4BA5EED4"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vurderingen af, om overtrædelsen har en sådan karakter, at den skal medføre et påbud om ikke at optage nye kundeforhold, før virksomheden har rettet op på forholdene og kan dokumentere dette, kan der bl.a. lægges vægt på overtrædelsens grovhed, herunder hvor mange kunder det drejer sig om, karakteren af kundeforholdene mv. </w:t>
      </w:r>
    </w:p>
    <w:p w14:paraId="37C82723"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Et påbud vil kunne omfatte alle virksomhedens er personens kundeforhold, men det kan også begrænset til at omfatte visse dele af kundesegmentet. Et påbud vil således kun omfatte den del af virksomhedens kunder, som er forbundet med en risiko, som tilsiger nødvendigheden af anvendelsen af påbuddet.</w:t>
      </w:r>
    </w:p>
    <w:p w14:paraId="149247AE"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Et påbud om midlertidigt stop for nye kunder vil f.eks. kunne gives, hvis en virksomhed ikke rettidigt har opfyldt eller ikke har udvist vilje eller evne til at ville opfylde et tidligere påbud, som Spillemyndigheden har udstedt til virksomheden. Ligeledes vil et påbud om midlertidigt stop for nye kunder f.eks. kunne gives samtidigt med, at Spillemyndigheden foretager en politianmeldelse af virksomheden.</w:t>
      </w:r>
    </w:p>
    <w:p w14:paraId="4AD48925"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Spillemyndigheden kan ligeledes udstede et påbud om midlertidigt stop for nye kunder i en situation, hvor virksomheden ikke udviser evne eller vilje til at rette op på overtrædelser af hvidvaskforordningen eller denne lov, som Spillemyndigheden har identificeret.</w:t>
      </w:r>
    </w:p>
    <w:p w14:paraId="569E2D5A"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Spillemyndigheden kan påbyde virksomheden at indføre stop for optagelse af nye kundeforhold helt eller inden for nærmere afgrænsede forretningsområder, at foretage begrænsninger i udbud af specifikke ydelser, herunder over for bestemte kundegrupper eller risikosegmenter, at afvikle eller afhænde dele af forretningsaktiviteter, som indebærer en forhøjet risiko for hvidvask eller terrorfinansiering, at ophøre med at tilbyde visse produkter, ydelser, distributionskanaler eller geografiske eksponeringer, hvor virksomheden ikke i tilstrækkelig grad kan sikre overholdelse af regler i hvidvaskforordningen, denne lov eller regler udstedt med i medfør heraf. </w:t>
      </w:r>
    </w:p>
    <w:p w14:paraId="0D3EB887"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2,</w:t>
      </w:r>
      <w:r w:rsidRPr="00796736">
        <w:rPr>
          <w:rFonts w:ascii="Times New Roman" w:hAnsi="Times New Roman" w:cs="Times New Roman"/>
          <w:sz w:val="24"/>
          <w:szCs w:val="24"/>
        </w:rPr>
        <w:t xml:space="preserve"> at Spillemyndigheden kan påbyde, at virksomheden eller personen midlertidigt ikke må gennemføre en af Spillemyndigheden nærmere afgrænset type af transaktioner.</w:t>
      </w:r>
    </w:p>
    <w:p w14:paraId="3A39DCEC"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giver Spillemyndigheden mulighed for målrettet at gribe ind over for en specifik del af virksomhedens eller personens transaktioner, hvor der er konstateret forhøjet risiko for hvidvask eller terrorfinansiering eller hvor virksomheden eller personen ikke har tilstrækkelige kontroller eller procedurer til at sikre overholdelse af gældende regler.</w:t>
      </w:r>
    </w:p>
    <w:p w14:paraId="58DD2752"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Et påbud efter nr. 2 vil f.eks. kunne indebære, at virksomheden eller personen ikke må gennemføre en konkret transaktion, hvis Spillemyndigheden har konstateret en forhøjet risiko ved transaktionen. </w:t>
      </w:r>
    </w:p>
    <w:p w14:paraId="373A499C"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vil f.eks. kunne være ved tilfælde af væsentlig tvivl om midlernes oprindelse, som indebærer en forhøjet risiko for hvidvask eller terrorfinansiering, og hvor virksomheden eller personen ikke har mitigeret dette tilstrækkeligt, herunder ikke har tilrettelagt tilstrækkelige kundekendskabsprocedurer og kontroller efter hvidvaskforordningen. </w:t>
      </w:r>
    </w:p>
    <w:p w14:paraId="5226B0D3" w14:textId="77777777"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 vil ligeledes kunne være ved tilfælde af transaktioner med bestemte kundegrupper, herunder eksempelvis kunder fra højrisikolande eller politisk eksponerede personer. Endvidere vil påbuddet kunne rettes mod transaktioner, der involverer bestemte geografiske områder, hvor der er forhøjet risiko for hvidvask eller terrorfinansiering.</w:t>
      </w:r>
    </w:p>
    <w:p w14:paraId="75788F28" w14:textId="7B79D16C"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Formålet med bestemmelsen er at give Spillemyndigheden mulighed for hurtigt og effektivt at begrænse eller standse transaktioner, der udgør en særlig risiko, indtil virksomheden eller personen har dokumenteret, at de nødvendige foranstaltninger er iværksat for at sikre overholdelse af reglerne.</w:t>
      </w:r>
    </w:p>
    <w:p w14:paraId="2D18E96B" w14:textId="47BE5ACB" w:rsidR="001C58D1" w:rsidRPr="00796736" w:rsidRDefault="001C58D1" w:rsidP="00A802A5">
      <w:pPr>
        <w:tabs>
          <w:tab w:val="left" w:pos="1605"/>
        </w:tabs>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sz w:val="24"/>
          <w:szCs w:val="24"/>
        </w:rPr>
        <w:t>stk. 1, nr. 3,</w:t>
      </w:r>
      <w:r w:rsidRPr="00796736">
        <w:rPr>
          <w:rFonts w:ascii="Times New Roman" w:eastAsia="Calibri" w:hAnsi="Times New Roman" w:cs="Times New Roman"/>
          <w:sz w:val="24"/>
          <w:szCs w:val="24"/>
        </w:rPr>
        <w:t xml:space="preserve"> at Spillemyndigheden i tilfælde omfattet af </w:t>
      </w:r>
      <w:r w:rsidR="00AF4272" w:rsidRPr="00796736">
        <w:rPr>
          <w:rFonts w:ascii="Times New Roman" w:eastAsia="Calibri" w:hAnsi="Times New Roman" w:cs="Times New Roman"/>
          <w:sz w:val="24"/>
          <w:szCs w:val="24"/>
        </w:rPr>
        <w:fldChar w:fldCharType="begin"/>
      </w:r>
      <w:r w:rsidR="00AF4272" w:rsidRPr="00796736">
        <w:rPr>
          <w:rFonts w:ascii="Times New Roman" w:eastAsia="Calibri" w:hAnsi="Times New Roman" w:cs="Times New Roman"/>
          <w:sz w:val="24"/>
          <w:szCs w:val="24"/>
        </w:rPr>
        <w:instrText xml:space="preserve"> REF _Ref236144985 \r \h </w:instrText>
      </w:r>
      <w:r w:rsidR="00AB17CC" w:rsidRPr="00796736">
        <w:rPr>
          <w:rFonts w:ascii="Times New Roman" w:eastAsia="Calibri" w:hAnsi="Times New Roman" w:cs="Times New Roman"/>
          <w:sz w:val="24"/>
          <w:szCs w:val="24"/>
        </w:rPr>
        <w:instrText xml:space="preserve"> \* MERGEFORMAT </w:instrText>
      </w:r>
      <w:r w:rsidR="00AF4272" w:rsidRPr="00796736">
        <w:rPr>
          <w:rFonts w:ascii="Times New Roman" w:eastAsia="Calibri" w:hAnsi="Times New Roman" w:cs="Times New Roman"/>
          <w:sz w:val="24"/>
          <w:szCs w:val="24"/>
        </w:rPr>
      </w:r>
      <w:r w:rsidR="00AF4272"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117</w:t>
      </w:r>
      <w:r w:rsidR="00AF4272" w:rsidRPr="00796736">
        <w:rPr>
          <w:rFonts w:ascii="Times New Roman" w:eastAsia="Calibri" w:hAnsi="Times New Roman" w:cs="Times New Roman"/>
          <w:sz w:val="24"/>
          <w:szCs w:val="24"/>
        </w:rPr>
        <w:fldChar w:fldCharType="end"/>
      </w:r>
      <w:r w:rsidR="00AF4272" w:rsidRPr="00796736">
        <w:rPr>
          <w:rFonts w:ascii="Times New Roman" w:eastAsia="Calibri" w:hAnsi="Times New Roman" w:cs="Times New Roman"/>
          <w:sz w:val="24"/>
          <w:szCs w:val="24"/>
        </w:rPr>
        <w:t xml:space="preserve"> </w:t>
      </w:r>
      <w:r w:rsidRPr="00796736">
        <w:rPr>
          <w:rFonts w:ascii="Times New Roman" w:eastAsia="Calibri" w:hAnsi="Times New Roman" w:cs="Times New Roman"/>
          <w:sz w:val="24"/>
          <w:szCs w:val="24"/>
        </w:rPr>
        <w:t>kan påbyde, at virksomheden eller personen skal afhænde aktiviteter</w:t>
      </w:r>
    </w:p>
    <w:p w14:paraId="2FBF7953" w14:textId="4AAA79A1"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afhændelse af aktiviteter menes, at virksomheden eller personen påbydes at afvikle eller ophøre med dele af sine forretningsaktiviteter, så virksomheden eller personen ikke længere udøver den pågældende aktivitet. Dette vil f.eks. kunne omfatte frasalg, lukning eller ophør af forretningsområder, produkter, ydelser eller distributionskanaler, hvor der er identificeret forhøjet risiko for hvidvask eller terrorfinansiering, og hvor den pågældende virksomhed eller person ikke har udvist evne eller vilje til at sikre overholdelse af de relevante krav.</w:t>
      </w:r>
    </w:p>
    <w:p w14:paraId="5F9E3B9E" w14:textId="090903F0" w:rsidR="001C58D1" w:rsidRPr="00796736" w:rsidRDefault="001C58D1"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Med den foreslåede bestemmelse vil Spillemyndighedens indgrebsmuligheder blive styrket, når Spillemyndigheden konstaterer, at en virksomhed eller person har begået alvorlige overtrædelser af hvidvaskforordningen, den foreslåede lov eller regler udstedt i medfør heraf. Det forudsættes, at andre og mildere indgrebsmuligheder er udtømte eller ikke vil være tilstrækkelige. Der skal således foretages en proportionalitetsvurdering i forhold til indgrebsmuligheden.</w:t>
      </w:r>
    </w:p>
    <w:p w14:paraId="54620DC4" w14:textId="0B9D1B28" w:rsidR="001C58D1" w:rsidRPr="00796736" w:rsidRDefault="001C58D1"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Efter </w:t>
      </w:r>
      <w:r w:rsidR="007B7BA4">
        <w:rPr>
          <w:rFonts w:ascii="Times New Roman" w:eastAsia="Calibri" w:hAnsi="Times New Roman" w:cs="Times New Roman"/>
          <w:iCs/>
          <w:sz w:val="24"/>
          <w:szCs w:val="24"/>
        </w:rPr>
        <w:fldChar w:fldCharType="begin"/>
      </w:r>
      <w:r w:rsidR="007B7BA4">
        <w:rPr>
          <w:rFonts w:ascii="Times New Roman" w:eastAsia="Calibri" w:hAnsi="Times New Roman" w:cs="Times New Roman"/>
          <w:iCs/>
          <w:sz w:val="24"/>
          <w:szCs w:val="24"/>
        </w:rPr>
        <w:instrText xml:space="preserve"> REF _Ref242963797 \r \h </w:instrText>
      </w:r>
      <w:r w:rsidR="00CB248D">
        <w:rPr>
          <w:rFonts w:ascii="Times New Roman" w:eastAsia="Calibri" w:hAnsi="Times New Roman" w:cs="Times New Roman"/>
          <w:iCs/>
          <w:sz w:val="24"/>
          <w:szCs w:val="24"/>
        </w:rPr>
        <w:instrText xml:space="preserve"> \* MERGEFORMAT </w:instrText>
      </w:r>
      <w:r w:rsidR="007B7BA4">
        <w:rPr>
          <w:rFonts w:ascii="Times New Roman" w:eastAsia="Calibri" w:hAnsi="Times New Roman" w:cs="Times New Roman"/>
          <w:iCs/>
          <w:sz w:val="24"/>
          <w:szCs w:val="24"/>
        </w:rPr>
      </w:r>
      <w:r w:rsidR="007B7BA4">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sidR="007B7BA4">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og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_Ref232971154 \r \h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137</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 i lovforslaget vil undladelse af at efterkomme påbuddet kunne straffes med bøde eller tvangsbøde.</w:t>
      </w:r>
    </w:p>
    <w:p w14:paraId="50B6EB39" w14:textId="77777777" w:rsidR="001C58D1" w:rsidRPr="00796736" w:rsidRDefault="001C58D1"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Spillemyndigheden vil i forbindelse med fastsættelsen af reaktioner, herunder ved anvendelsen af påbud, skulle tage højde for alle relevante omstændigheder, herunder de faktorer, der fremgår af artikel 53, stk. 6, i 6. hvidvaskdirektiv. Dette indebærer blandt andet, at Spillemyndigheden, hvor det er relevant, skal tage højde for overtrædelsens grovhed og varighed samt antallet af gentagelser, ligesom der også vil skulle tages højde for graden af samarbejde med Spillemyndigheden. </w:t>
      </w:r>
    </w:p>
    <w:p w14:paraId="146ACD71" w14:textId="77777777" w:rsidR="001C58D1" w:rsidRPr="00796736" w:rsidRDefault="001C58D1"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Spillemyndigheden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60581275" w14:textId="77777777" w:rsidR="001C58D1" w:rsidRPr="00796736" w:rsidRDefault="001C58D1"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2</w:t>
      </w:r>
      <w:r w:rsidRPr="00796736">
        <w:rPr>
          <w:rFonts w:ascii="Times New Roman" w:eastAsia="Calibri" w:hAnsi="Times New Roman" w:cs="Times New Roman"/>
          <w:iCs/>
          <w:sz w:val="24"/>
          <w:szCs w:val="24"/>
        </w:rPr>
        <w:t xml:space="preserve">, at afgørelser efter stk. 1 kan finde anvendelse, indtil årsagen til påbuddet er udbedret og ellers i et tidsrum fra 6 måneder til 5 år eller indtil videre. </w:t>
      </w:r>
    </w:p>
    <w:p w14:paraId="2DC90B5D" w14:textId="77777777" w:rsidR="001C58D1" w:rsidRPr="00796736" w:rsidRDefault="001C58D1" w:rsidP="00A802A5">
      <w:pPr>
        <w:spacing w:after="240"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Den foreslåede bestemmelse vil indebære, at Spillemyndigheden vil skulle tage stilling til nødvendigheden af påbuddets tidsmæssige udstrækning. </w:t>
      </w:r>
    </w:p>
    <w:p w14:paraId="14C5C81A" w14:textId="77777777" w:rsidR="001C58D1" w:rsidRPr="00796736" w:rsidRDefault="001C58D1" w:rsidP="00A802A5">
      <w:pPr>
        <w:spacing w:after="240"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Der er tale om et væsentligt indgreb over for virksomheden eller personen. Det forudsættes derfor, at Spillemyndigheden hurtigst muligt ved modtagelse af dokumentationen vil skulle vurdere, om det er tilstrækkeligt dokumenteret, at overtrædelsen er ophørt, og meddele virksomheden eller personen sin vurdering.</w:t>
      </w:r>
    </w:p>
    <w:p w14:paraId="029A54B5" w14:textId="77777777" w:rsidR="001C58D1" w:rsidRPr="00796736" w:rsidRDefault="001C58D1" w:rsidP="00A802A5">
      <w:pPr>
        <w:spacing w:after="240"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At overtrædelsen er ophørt, vil f.eks. kunne godtgøres ved, at virksomheden fremsender opdaterede og tilstrækkelige skriftlige politikker, procedurer og kontroller, samt at Spillemyndigheden ved gennemgang af en række konkrete kundesager har konstateret, at de relevante kundekendskabsprocedurer mv. er gennemført og har en tilstrækkelig kvalitet til at mitigere den pågældende risiko, som den manglende efterlevelse af reglerne har medfødt.</w:t>
      </w:r>
    </w:p>
    <w:p w14:paraId="75B04D43" w14:textId="77777777" w:rsidR="001C58D1" w:rsidRPr="00796736" w:rsidRDefault="001C58D1" w:rsidP="00A802A5">
      <w:pPr>
        <w:spacing w:after="240"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Såfremt virksomheden eller personen ikke har efterlevet påbuddet inden for den fastsatte frist, vil påbuddet forblive opretholdt. Spillemyndigheden vil samtidig kunne overveje at iværksætte andre reaktionsmuligheder, herunder politianmeldelse.</w:t>
      </w:r>
    </w:p>
    <w:p w14:paraId="5FF94392" w14:textId="75AFD0DD" w:rsidR="00DC7BCE" w:rsidRPr="00796736" w:rsidRDefault="00DC7BCE" w:rsidP="00A802A5">
      <w:pPr>
        <w:spacing w:after="240" w:line="360" w:lineRule="auto"/>
        <w:rPr>
          <w:rFonts w:ascii="Times New Roman" w:eastAsia="Times New Roman" w:hAnsi="Times New Roman" w:cs="Times New Roman"/>
          <w:iCs/>
          <w:sz w:val="24"/>
          <w:szCs w:val="24"/>
          <w:lang w:eastAsia="da-DK"/>
        </w:rPr>
      </w:pPr>
      <w:r w:rsidRPr="00796736">
        <w:rPr>
          <w:rFonts w:ascii="Times New Roman" w:eastAsia="Times New Roman" w:hAnsi="Times New Roman" w:cs="Times New Roman"/>
          <w:iCs/>
          <w:sz w:val="24"/>
          <w:szCs w:val="24"/>
          <w:lang w:eastAsia="da-DK"/>
        </w:rPr>
        <w:t xml:space="preserve">Der henvises i øvrigt til pkt. </w:t>
      </w:r>
      <w:r w:rsidRPr="00796736">
        <w:rPr>
          <w:rFonts w:ascii="Times New Roman" w:eastAsia="Times New Roman" w:hAnsi="Times New Roman" w:cs="Times New Roman"/>
          <w:iCs/>
          <w:sz w:val="24"/>
          <w:szCs w:val="24"/>
          <w:lang w:eastAsia="da-DK"/>
        </w:rPr>
        <w:fldChar w:fldCharType="begin"/>
      </w:r>
      <w:r w:rsidRPr="00796736">
        <w:rPr>
          <w:rFonts w:ascii="Times New Roman" w:eastAsia="Times New Roman" w:hAnsi="Times New Roman" w:cs="Times New Roman"/>
          <w:iCs/>
          <w:sz w:val="24"/>
          <w:szCs w:val="24"/>
          <w:lang w:eastAsia="da-DK"/>
        </w:rPr>
        <w:instrText xml:space="preserve"> REF _Ref241438526 \n \h </w:instrText>
      </w:r>
      <w:r w:rsidR="007F4BB9" w:rsidRPr="00796736">
        <w:rPr>
          <w:rFonts w:ascii="Times New Roman" w:eastAsia="Times New Roman" w:hAnsi="Times New Roman" w:cs="Times New Roman"/>
          <w:iCs/>
          <w:sz w:val="24"/>
          <w:szCs w:val="24"/>
          <w:lang w:eastAsia="da-DK"/>
        </w:rPr>
        <w:instrText xml:space="preserve"> \* MERGEFORMAT </w:instrText>
      </w:r>
      <w:r w:rsidRPr="00796736">
        <w:rPr>
          <w:rFonts w:ascii="Times New Roman" w:eastAsia="Times New Roman" w:hAnsi="Times New Roman" w:cs="Times New Roman"/>
          <w:iCs/>
          <w:sz w:val="24"/>
          <w:szCs w:val="24"/>
          <w:lang w:eastAsia="da-DK"/>
        </w:rPr>
      </w:r>
      <w:r w:rsidRPr="00796736">
        <w:rPr>
          <w:rFonts w:ascii="Times New Roman" w:eastAsia="Times New Roman" w:hAnsi="Times New Roman" w:cs="Times New Roman"/>
          <w:iCs/>
          <w:sz w:val="24"/>
          <w:szCs w:val="24"/>
          <w:lang w:eastAsia="da-DK"/>
        </w:rPr>
        <w:fldChar w:fldCharType="separate"/>
      </w:r>
      <w:r w:rsidR="008F29E5">
        <w:rPr>
          <w:rFonts w:ascii="Times New Roman" w:eastAsia="Times New Roman" w:hAnsi="Times New Roman" w:cs="Times New Roman"/>
          <w:iCs/>
          <w:sz w:val="24"/>
          <w:szCs w:val="24"/>
          <w:lang w:eastAsia="da-DK"/>
        </w:rPr>
        <w:t>3.78</w:t>
      </w:r>
      <w:r w:rsidRPr="00796736">
        <w:rPr>
          <w:rFonts w:ascii="Times New Roman" w:eastAsia="Times New Roman" w:hAnsi="Times New Roman" w:cs="Times New Roman"/>
          <w:iCs/>
          <w:sz w:val="24"/>
          <w:szCs w:val="24"/>
          <w:lang w:eastAsia="da-DK"/>
        </w:rPr>
        <w:fldChar w:fldCharType="end"/>
      </w:r>
      <w:r w:rsidRPr="00796736">
        <w:rPr>
          <w:rFonts w:ascii="Times New Roman" w:eastAsia="Times New Roman" w:hAnsi="Times New Roman" w:cs="Times New Roman"/>
          <w:iCs/>
          <w:sz w:val="24"/>
          <w:szCs w:val="24"/>
          <w:lang w:eastAsia="da-DK"/>
        </w:rPr>
        <w:t xml:space="preserve"> i lovforslagets almindelige bemærkninger.</w:t>
      </w:r>
    </w:p>
    <w:p w14:paraId="24BF1C67" w14:textId="77777777" w:rsidR="009C423A" w:rsidRPr="00796736" w:rsidRDefault="009C423A" w:rsidP="00A802A5">
      <w:pPr>
        <w:spacing w:after="240" w:line="360" w:lineRule="auto"/>
        <w:rPr>
          <w:rFonts w:ascii="Times New Roman" w:eastAsia="Calibri" w:hAnsi="Times New Roman" w:cs="Times New Roman"/>
          <w:iCs/>
          <w:sz w:val="24"/>
          <w:szCs w:val="24"/>
        </w:rPr>
      </w:pPr>
    </w:p>
    <w:p w14:paraId="6A8E8AA6" w14:textId="35E64F0E" w:rsidR="00D168C4" w:rsidRPr="00796736" w:rsidRDefault="000078B1" w:rsidP="00A802A5">
      <w:pPr>
        <w:pStyle w:val="Undertitel"/>
      </w:pPr>
      <w:bookmarkStart w:id="2207" w:name="_Toc232109438"/>
      <w:bookmarkStart w:id="2208" w:name="_Toc244879416"/>
      <w:bookmarkStart w:id="2209" w:name="_Toc244880941"/>
      <w:r w:rsidRPr="00796736">
        <w:t xml:space="preserve">Til </w:t>
      </w:r>
      <w:bookmarkEnd w:id="2207"/>
      <w:r w:rsidR="00B7511B" w:rsidRPr="00796736">
        <w:fldChar w:fldCharType="begin"/>
      </w:r>
      <w:r w:rsidR="00B7511B" w:rsidRPr="00796736">
        <w:instrText xml:space="preserve"> REF _Ref232609546 \r \h </w:instrText>
      </w:r>
      <w:r w:rsidR="00967618" w:rsidRPr="00796736">
        <w:instrText xml:space="preserve"> \* MERGEFORMAT </w:instrText>
      </w:r>
      <w:r w:rsidR="00B7511B" w:rsidRPr="00796736">
        <w:fldChar w:fldCharType="separate"/>
      </w:r>
      <w:r w:rsidR="008F29E5">
        <w:t>§ 120</w:t>
      </w:r>
      <w:bookmarkEnd w:id="2208"/>
      <w:bookmarkEnd w:id="2209"/>
      <w:r w:rsidR="00B7511B" w:rsidRPr="00796736">
        <w:fldChar w:fldCharType="end"/>
      </w:r>
    </w:p>
    <w:p w14:paraId="44E880D1" w14:textId="7AF26814"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Hvidvaskloven indeholder i dag ikke en bestemmelse, der giver Spillemyndigheden mulighed for at påbyde en reel ejer, der er dømt for hvidvask, de underliggende lovovertrædelser eller terrorfinansiering</w:t>
      </w:r>
      <w:r w:rsidR="009C423A" w:rsidRPr="00796736">
        <w:rPr>
          <w:rFonts w:ascii="Times New Roman" w:hAnsi="Times New Roman" w:cs="Times New Roman"/>
          <w:sz w:val="24"/>
          <w:szCs w:val="24"/>
        </w:rPr>
        <w:t>,</w:t>
      </w:r>
      <w:r w:rsidRPr="00796736">
        <w:rPr>
          <w:rFonts w:ascii="Times New Roman" w:hAnsi="Times New Roman" w:cs="Times New Roman"/>
          <w:sz w:val="24"/>
          <w:szCs w:val="24"/>
        </w:rPr>
        <w:t xml:space="preserve"> at afhænde sine andele i en forpligtet enhed.</w:t>
      </w:r>
    </w:p>
    <w:p w14:paraId="49FBE64C" w14:textId="7301C325"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w:t>
      </w:r>
      <w:r w:rsidR="00DC7BCE" w:rsidRPr="00796736">
        <w:rPr>
          <w:rFonts w:ascii="Times New Roman" w:hAnsi="Times New Roman" w:cs="Times New Roman"/>
          <w:sz w:val="24"/>
          <w:szCs w:val="24"/>
        </w:rPr>
        <w:t>t</w:t>
      </w:r>
      <w:r w:rsidRPr="00796736">
        <w:rPr>
          <w:rFonts w:ascii="Times New Roman" w:hAnsi="Times New Roman" w:cs="Times New Roman"/>
          <w:sz w:val="24"/>
          <w:szCs w:val="24"/>
        </w:rPr>
        <w:t xml:space="preserve"> foreslå</w:t>
      </w:r>
      <w:r w:rsidR="00DC7BCE" w:rsidRPr="00796736">
        <w:rPr>
          <w:rFonts w:ascii="Times New Roman" w:hAnsi="Times New Roman" w:cs="Times New Roman"/>
          <w:sz w:val="24"/>
          <w:szCs w:val="24"/>
        </w:rPr>
        <w:t>s i</w:t>
      </w:r>
      <w:r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_Ref232609546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at </w:t>
      </w:r>
      <w:r w:rsidR="009C423A" w:rsidRPr="00796736">
        <w:rPr>
          <w:rFonts w:ascii="Times New Roman" w:hAnsi="Times New Roman" w:cs="Times New Roman"/>
          <w:sz w:val="24"/>
          <w:szCs w:val="24"/>
        </w:rPr>
        <w:t>Spillemyndigheden kan træffe afgørelse om, at en reel ejer af en virksomhed skal ophøre med at udøve kontrol, herunder afhænde besiddelsen af sine ejerandele, helt eller delvist, hvis den reelle ejer er er dømt for hvidvask af penge, de relevante underliggende lovovertrædelser eller finansiering af terrorisme.</w:t>
      </w:r>
    </w:p>
    <w:p w14:paraId="530576E9" w14:textId="77777777"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er ny og implementerer artikel 6, stk. 2, artikel 6, stk. 5, </w:t>
      </w:r>
      <w:r w:rsidRPr="00796736">
        <w:rPr>
          <w:rFonts w:ascii="Times New Roman" w:eastAsia="Calibri" w:hAnsi="Times New Roman" w:cs="Times New Roman"/>
          <w:iCs/>
          <w:sz w:val="24"/>
          <w:szCs w:val="24"/>
        </w:rPr>
        <w:t xml:space="preserve">artikel 37, stk. 6, litra b, </w:t>
      </w:r>
      <w:r w:rsidRPr="00796736">
        <w:rPr>
          <w:rFonts w:ascii="Times New Roman" w:eastAsia="Calibri" w:hAnsi="Times New Roman" w:cs="Times New Roman"/>
          <w:sz w:val="24"/>
          <w:szCs w:val="24"/>
        </w:rPr>
        <w:t>artikel</w:t>
      </w:r>
      <w:r w:rsidRPr="00796736">
        <w:rPr>
          <w:rFonts w:ascii="Times New Roman" w:eastAsia="Calibri" w:hAnsi="Times New Roman" w:cs="Times New Roman"/>
          <w:iCs/>
          <w:sz w:val="24"/>
          <w:szCs w:val="24"/>
        </w:rPr>
        <w:t xml:space="preserve"> 53, stk. 2, stk. 4, 1. afsnit og stk. 6, og </w:t>
      </w:r>
      <w:r w:rsidRPr="00796736">
        <w:rPr>
          <w:rFonts w:ascii="Times New Roman" w:eastAsia="Calibri" w:hAnsi="Times New Roman" w:cs="Times New Roman"/>
          <w:sz w:val="24"/>
          <w:szCs w:val="24"/>
        </w:rPr>
        <w:t>artikel 56, stk. 4.</w:t>
      </w:r>
    </w:p>
    <w:p w14:paraId="13AFA436" w14:textId="67F0A8A4" w:rsidR="009C423A"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Foranstaltningen</w:t>
      </w:r>
      <w:r w:rsidR="00DC7BCE" w:rsidRPr="00796736">
        <w:rPr>
          <w:rFonts w:ascii="Times New Roman" w:eastAsia="Calibri" w:hAnsi="Times New Roman" w:cs="Times New Roman"/>
          <w:sz w:val="24"/>
          <w:szCs w:val="24"/>
        </w:rPr>
        <w:t xml:space="preserve"> vil skulle</w:t>
      </w:r>
      <w:r w:rsidRPr="00796736">
        <w:rPr>
          <w:rFonts w:ascii="Times New Roman" w:eastAsia="Calibri" w:hAnsi="Times New Roman" w:cs="Times New Roman"/>
          <w:sz w:val="24"/>
          <w:szCs w:val="24"/>
        </w:rPr>
        <w:t xml:space="preserve"> udmøntes ved udstedelse af et påbud, hvorefter den reelle ejer inden for en af Spillemyndigheden angivet frist skal have ophørt med at udøve kontrol, herunder afhændet sine ejerandele helt eller delvist. </w:t>
      </w:r>
    </w:p>
    <w:p w14:paraId="18AB7C75" w14:textId="508C90CC" w:rsidR="007B7BA4" w:rsidRDefault="007B7BA4" w:rsidP="00A802A5">
      <w:pPr>
        <w:spacing w:line="360" w:lineRule="auto"/>
        <w:rPr>
          <w:rFonts w:ascii="Times New Roman" w:eastAsia="Times New Roman" w:hAnsi="Times New Roman" w:cs="Times New Roman"/>
          <w:iCs/>
          <w:sz w:val="24"/>
          <w:szCs w:val="24"/>
          <w:lang w:eastAsia="da-DK"/>
        </w:rPr>
      </w:pPr>
      <w:r w:rsidRPr="008B2C3D">
        <w:rPr>
          <w:rFonts w:ascii="Times New Roman" w:eastAsia="Times New Roman" w:hAnsi="Times New Roman" w:cs="Times New Roman"/>
          <w:iCs/>
          <w:sz w:val="24"/>
          <w:szCs w:val="24"/>
          <w:lang w:eastAsia="da-DK"/>
        </w:rPr>
        <w:t xml:space="preserve">Bestemmelsen vil indebære, at der </w:t>
      </w:r>
      <w:r>
        <w:rPr>
          <w:rFonts w:ascii="Times New Roman" w:eastAsia="Times New Roman" w:hAnsi="Times New Roman" w:cs="Times New Roman"/>
          <w:iCs/>
          <w:sz w:val="24"/>
          <w:szCs w:val="24"/>
          <w:lang w:eastAsia="da-DK"/>
        </w:rPr>
        <w:t xml:space="preserve">vil skulle </w:t>
      </w:r>
      <w:r w:rsidRPr="008B2C3D">
        <w:rPr>
          <w:rFonts w:ascii="Times New Roman" w:eastAsia="Times New Roman" w:hAnsi="Times New Roman" w:cs="Times New Roman"/>
          <w:iCs/>
          <w:sz w:val="24"/>
          <w:szCs w:val="24"/>
          <w:lang w:eastAsia="da-DK"/>
        </w:rPr>
        <w:t>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75B4EDAA" w14:textId="77777777" w:rsidR="007B7BA4" w:rsidRPr="007B7BA4" w:rsidRDefault="007B7BA4" w:rsidP="00A802A5">
      <w:pPr>
        <w:spacing w:line="360" w:lineRule="auto"/>
        <w:rPr>
          <w:rFonts w:ascii="Times New Roman" w:eastAsia="Times New Roman" w:hAnsi="Times New Roman" w:cs="Times New Roman"/>
          <w:iCs/>
          <w:sz w:val="24"/>
          <w:szCs w:val="24"/>
          <w:lang w:eastAsia="da-DK"/>
        </w:rPr>
      </w:pPr>
    </w:p>
    <w:p w14:paraId="543B5DBE" w14:textId="76D258AF"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Calibri" w:hAnsi="Times New Roman" w:cs="Times New Roman"/>
          <w:sz w:val="24"/>
          <w:szCs w:val="24"/>
        </w:rPr>
        <w:t xml:space="preserve">Det foreslås i </w:t>
      </w:r>
      <w:r w:rsidR="00DC7BCE" w:rsidRPr="00796736">
        <w:rPr>
          <w:rFonts w:ascii="Times New Roman" w:eastAsia="Calibri" w:hAnsi="Times New Roman" w:cs="Times New Roman"/>
          <w:i/>
          <w:iCs/>
          <w:sz w:val="24"/>
          <w:szCs w:val="24"/>
        </w:rPr>
        <w:fldChar w:fldCharType="begin"/>
      </w:r>
      <w:r w:rsidR="00DC7BCE" w:rsidRPr="00796736">
        <w:rPr>
          <w:rFonts w:ascii="Times New Roman" w:eastAsia="Calibri" w:hAnsi="Times New Roman" w:cs="Times New Roman"/>
          <w:i/>
          <w:iCs/>
          <w:sz w:val="24"/>
          <w:szCs w:val="24"/>
        </w:rPr>
        <w:instrText xml:space="preserve"> REF _Ref232609546 \r \h  \* MERGEFORMAT </w:instrText>
      </w:r>
      <w:r w:rsidR="00DC7BCE" w:rsidRPr="00796736">
        <w:rPr>
          <w:rFonts w:ascii="Times New Roman" w:eastAsia="Calibri" w:hAnsi="Times New Roman" w:cs="Times New Roman"/>
          <w:i/>
          <w:iCs/>
          <w:sz w:val="24"/>
          <w:szCs w:val="24"/>
        </w:rPr>
      </w:r>
      <w:r w:rsidR="00DC7BCE"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120</w:t>
      </w:r>
      <w:r w:rsidR="00DC7BCE" w:rsidRPr="00796736">
        <w:rPr>
          <w:rFonts w:ascii="Times New Roman" w:eastAsia="Calibri" w:hAnsi="Times New Roman" w:cs="Times New Roman"/>
          <w:i/>
          <w:iCs/>
          <w:sz w:val="24"/>
          <w:szCs w:val="24"/>
        </w:rPr>
        <w:fldChar w:fldCharType="end"/>
      </w:r>
      <w:r w:rsidR="00DC7BCE"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
          <w:iCs/>
          <w:sz w:val="24"/>
          <w:szCs w:val="24"/>
        </w:rPr>
        <w:t>stk. 1</w:t>
      </w:r>
      <w:r w:rsidRPr="00796736">
        <w:rPr>
          <w:rFonts w:ascii="Times New Roman" w:eastAsia="Calibri" w:hAnsi="Times New Roman" w:cs="Times New Roman"/>
          <w:sz w:val="24"/>
          <w:szCs w:val="24"/>
        </w:rPr>
        <w:t xml:space="preserve">, at </w:t>
      </w:r>
      <w:r w:rsidRPr="00796736">
        <w:rPr>
          <w:rFonts w:ascii="Times New Roman" w:eastAsia="Times New Roman" w:hAnsi="Times New Roman" w:cs="Times New Roman"/>
          <w:sz w:val="24"/>
          <w:szCs w:val="24"/>
        </w:rPr>
        <w:t xml:space="preserve">Spillemyndigheden kan påbyde en reel ejer af en virksomhed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1, at ophøre med at udøve kontrol med den pågældende virksomhed, herunder afhænde sine ejerandele helt eller delvist, inden for en af Spillemyndigheden fastsat frist, såfremt den pågældende er dømt for hvidvask af penge, de relevante underliggende lovovertrædelser eller finansiering af terrorisme.</w:t>
      </w:r>
    </w:p>
    <w:p w14:paraId="04882FB9" w14:textId="77777777" w:rsidR="009C423A" w:rsidRPr="00796736" w:rsidRDefault="009C423A" w:rsidP="00A802A5">
      <w:pPr>
        <w:spacing w:line="360" w:lineRule="auto"/>
        <w:rPr>
          <w:rFonts w:ascii="Times New Roman" w:eastAsia="Times New Roman" w:hAnsi="Times New Roman" w:cs="Times New Roman"/>
          <w:sz w:val="24"/>
          <w:szCs w:val="24"/>
        </w:rPr>
      </w:pPr>
    </w:p>
    <w:p w14:paraId="779B7CAF" w14:textId="77777777" w:rsidR="009C423A" w:rsidRPr="00796736" w:rsidRDefault="009C423A" w:rsidP="00A802A5">
      <w:pPr>
        <w:spacing w:after="240" w:line="360" w:lineRule="auto"/>
        <w:rPr>
          <w:rFonts w:ascii="Times New Roman" w:eastAsia="Times New Roman" w:hAnsi="Times New Roman" w:cs="Times New Roman"/>
          <w:sz w:val="24"/>
          <w:szCs w:val="24"/>
        </w:rPr>
      </w:pPr>
      <w:r w:rsidRPr="00796736">
        <w:rPr>
          <w:rFonts w:ascii="Times New Roman" w:eastAsia="Calibri" w:hAnsi="Times New Roman" w:cs="Times New Roman"/>
          <w:sz w:val="24"/>
          <w:szCs w:val="24"/>
        </w:rPr>
        <w:t xml:space="preserve">Den foreslåede bestemmelse vil indebære, at Spillemyndigheden kan påbyde kriminelle reelle ejere at afhænde ejerandele i forpligtede enheder, der er underlagt Spillemyndighedens tilsyn. Bestemmelsen skal understøtte Spillemyndighedens muligheder for at forhindre, at kriminelle misbruger forpligtede enheder til at udføre kriminelle handlinger. </w:t>
      </w:r>
    </w:p>
    <w:p w14:paraId="1414D47F" w14:textId="0FB8E285" w:rsidR="001C7943"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Times New Roman" w:hAnsi="Times New Roman" w:cs="Times New Roman"/>
          <w:sz w:val="24"/>
          <w:szCs w:val="24"/>
        </w:rPr>
        <w:t xml:space="preserve">Bestemmelsen </w:t>
      </w:r>
      <w:r w:rsidR="00DC7BCE"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bl.a. </w:t>
      </w:r>
      <w:r w:rsidR="00DC7BCE" w:rsidRPr="00796736">
        <w:rPr>
          <w:rFonts w:ascii="Times New Roman" w:eastAsia="Times New Roman" w:hAnsi="Times New Roman" w:cs="Times New Roman"/>
          <w:sz w:val="24"/>
          <w:szCs w:val="24"/>
        </w:rPr>
        <w:t xml:space="preserve">have </w:t>
      </w:r>
      <w:r w:rsidRPr="00796736">
        <w:rPr>
          <w:rFonts w:ascii="Times New Roman" w:eastAsia="Times New Roman" w:hAnsi="Times New Roman" w:cs="Times New Roman"/>
          <w:sz w:val="24"/>
          <w:szCs w:val="24"/>
        </w:rPr>
        <w:t xml:space="preserve">til formål at sikre, at personer, der er reelle ejere i virksomheder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w:t>
      </w:r>
      <w:r w:rsidR="001C7943" w:rsidRPr="00796736">
        <w:rPr>
          <w:rFonts w:ascii="Times New Roman" w:eastAsia="Times New Roman" w:hAnsi="Times New Roman" w:cs="Times New Roman"/>
          <w:sz w:val="24"/>
          <w:szCs w:val="24"/>
        </w:rPr>
        <w:t xml:space="preserve">opfylder de krav til hæderlighed og integritet, som følger af lovforslagets </w:t>
      </w:r>
      <w:r w:rsidR="001C7943" w:rsidRPr="00796736">
        <w:rPr>
          <w:rFonts w:ascii="Times New Roman" w:eastAsia="Times New Roman" w:hAnsi="Times New Roman" w:cs="Times New Roman"/>
          <w:sz w:val="24"/>
          <w:szCs w:val="24"/>
        </w:rPr>
        <w:fldChar w:fldCharType="begin"/>
      </w:r>
      <w:r w:rsidR="001C7943" w:rsidRPr="00796736">
        <w:rPr>
          <w:rFonts w:ascii="Times New Roman" w:eastAsia="Times New Roman" w:hAnsi="Times New Roman" w:cs="Times New Roman"/>
          <w:sz w:val="24"/>
          <w:szCs w:val="24"/>
        </w:rPr>
        <w:instrText xml:space="preserve"> REF _Ref236641619 \n \h </w:instrText>
      </w:r>
      <w:r w:rsidR="00A47042" w:rsidRPr="00796736">
        <w:rPr>
          <w:rFonts w:ascii="Times New Roman" w:eastAsia="Times New Roman" w:hAnsi="Times New Roman" w:cs="Times New Roman"/>
          <w:sz w:val="24"/>
          <w:szCs w:val="24"/>
        </w:rPr>
        <w:instrText xml:space="preserve"> \* MERGEFORMAT </w:instrText>
      </w:r>
      <w:r w:rsidR="001C7943" w:rsidRPr="00796736">
        <w:rPr>
          <w:rFonts w:ascii="Times New Roman" w:eastAsia="Times New Roman" w:hAnsi="Times New Roman" w:cs="Times New Roman"/>
          <w:sz w:val="24"/>
          <w:szCs w:val="24"/>
        </w:rPr>
      </w:r>
      <w:r w:rsidR="001C7943"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115</w:t>
      </w:r>
      <w:r w:rsidR="001C7943"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w:t>
      </w:r>
    </w:p>
    <w:p w14:paraId="7E28B56B" w14:textId="2FDB61EA" w:rsidR="001C7943"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Bestemmelsen</w:t>
      </w:r>
      <w:r w:rsidR="00DC7BCE"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sk</w:t>
      </w:r>
      <w:r w:rsidR="00DC7BCE" w:rsidRPr="00796736">
        <w:rPr>
          <w:rFonts w:ascii="Times New Roman" w:eastAsia="Times New Roman" w:hAnsi="Times New Roman" w:cs="Times New Roman"/>
          <w:sz w:val="24"/>
          <w:szCs w:val="24"/>
        </w:rPr>
        <w:t>ulle</w:t>
      </w:r>
      <w:r w:rsidRPr="00796736">
        <w:rPr>
          <w:rFonts w:ascii="Times New Roman" w:eastAsia="Times New Roman" w:hAnsi="Times New Roman" w:cs="Times New Roman"/>
          <w:sz w:val="24"/>
          <w:szCs w:val="24"/>
        </w:rPr>
        <w:t xml:space="preserve"> understøtte Spillemyndighedens mulighed for at gribe ind over for reelle ejere, der som følge af strafansvar for alvorlige lovovertrædelser ikke længere anses for hæderlige. Dette er centralt for bl.a. at sikre, at f.eks. udbydere af spil udøver virksomhed med spil på faglig forsvarlig vis. </w:t>
      </w:r>
      <w:r w:rsidRPr="00796736">
        <w:rPr>
          <w:rFonts w:ascii="Times New Roman" w:eastAsia="Calibri" w:hAnsi="Times New Roman" w:cs="Times New Roman"/>
          <w:sz w:val="24"/>
          <w:szCs w:val="24"/>
        </w:rPr>
        <w:t>Bestemmelsen</w:t>
      </w:r>
      <w:r w:rsidR="00DC7BCE" w:rsidRPr="00796736">
        <w:rPr>
          <w:rFonts w:ascii="Times New Roman" w:eastAsia="Calibri" w:hAnsi="Times New Roman" w:cs="Times New Roman"/>
          <w:sz w:val="24"/>
          <w:szCs w:val="24"/>
        </w:rPr>
        <w:t xml:space="preserve"> vil</w:t>
      </w:r>
      <w:r w:rsidRPr="00796736">
        <w:rPr>
          <w:rFonts w:ascii="Times New Roman" w:eastAsia="Calibri" w:hAnsi="Times New Roman" w:cs="Times New Roman"/>
          <w:sz w:val="24"/>
          <w:szCs w:val="24"/>
        </w:rPr>
        <w:t xml:space="preserve"> således </w:t>
      </w:r>
      <w:r w:rsidR="00DC7BCE" w:rsidRPr="00796736">
        <w:rPr>
          <w:rFonts w:ascii="Times New Roman" w:eastAsia="Calibri" w:hAnsi="Times New Roman" w:cs="Times New Roman"/>
          <w:sz w:val="24"/>
          <w:szCs w:val="24"/>
        </w:rPr>
        <w:t xml:space="preserve">give </w:t>
      </w:r>
      <w:r w:rsidRPr="00796736">
        <w:rPr>
          <w:rFonts w:ascii="Times New Roman" w:eastAsia="Calibri" w:hAnsi="Times New Roman" w:cs="Times New Roman"/>
          <w:sz w:val="24"/>
          <w:szCs w:val="24"/>
        </w:rPr>
        <w:t>Spillemyndigheden mulighed for at gribe ind over for ejere eller kontrollerende personer, der ikke længere opfylder kravene. Bestemmelsen er udformet bredt for at omfatte både direkte og indirekte ejerskab og kontrol, og den tager højde for de forskellige områder, hvorpå kontrol kan udøves i praksis</w:t>
      </w:r>
      <w:r w:rsidR="001C7943" w:rsidRPr="00796736">
        <w:rPr>
          <w:rFonts w:ascii="Times New Roman" w:eastAsia="Calibri" w:hAnsi="Times New Roman" w:cs="Times New Roman"/>
          <w:sz w:val="24"/>
          <w:szCs w:val="24"/>
        </w:rPr>
        <w:t>.</w:t>
      </w:r>
    </w:p>
    <w:p w14:paraId="7AC4CD4B" w14:textId="77777777" w:rsidR="001C7943" w:rsidRPr="00796736" w:rsidRDefault="001C7943" w:rsidP="00A802A5">
      <w:pPr>
        <w:spacing w:line="360" w:lineRule="auto"/>
        <w:rPr>
          <w:rFonts w:ascii="Times New Roman" w:eastAsia="Times New Roman" w:hAnsi="Times New Roman" w:cs="Times New Roman"/>
          <w:sz w:val="24"/>
          <w:szCs w:val="24"/>
        </w:rPr>
      </w:pPr>
    </w:p>
    <w:p w14:paraId="6B04A729" w14:textId="6218AEFD"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En reel ejer skal forstås i overensstemmelse med definitionen i hvidvaskforordningen</w:t>
      </w:r>
      <w:r w:rsidR="00DC7BCE" w:rsidRPr="00796736">
        <w:rPr>
          <w:rFonts w:ascii="Times New Roman" w:eastAsia="Times New Roman" w:hAnsi="Times New Roman" w:cs="Times New Roman"/>
          <w:sz w:val="24"/>
          <w:szCs w:val="24"/>
        </w:rPr>
        <w:t>s</w:t>
      </w:r>
      <w:r w:rsidRPr="00796736">
        <w:rPr>
          <w:rFonts w:ascii="Times New Roman" w:eastAsia="Times New Roman" w:hAnsi="Times New Roman" w:cs="Times New Roman"/>
          <w:sz w:val="24"/>
          <w:szCs w:val="24"/>
        </w:rPr>
        <w:t xml:space="preserve"> artikel 2, stk. 1, nr. 28, hvorefter en reel ejer skal forstås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forpligtet enhed eller som på anden måde direkte eller indirekte kontrollerer virksomheden. Identifikation af reelle ejere er derudover nærmere reguleret i hvidvaskforordningens kapitel 4.</w:t>
      </w:r>
    </w:p>
    <w:p w14:paraId="2C8DC5E8" w14:textId="77777777" w:rsidR="001C7943" w:rsidRPr="00796736" w:rsidRDefault="001C7943" w:rsidP="00A802A5">
      <w:pPr>
        <w:spacing w:line="360" w:lineRule="auto"/>
        <w:rPr>
          <w:rFonts w:ascii="Times New Roman" w:eastAsia="Times New Roman" w:hAnsi="Times New Roman" w:cs="Times New Roman"/>
          <w:sz w:val="24"/>
          <w:szCs w:val="24"/>
        </w:rPr>
      </w:pPr>
    </w:p>
    <w:p w14:paraId="4A9CC080" w14:textId="188C644D"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Dette</w:t>
      </w:r>
      <w:r w:rsidR="00DC7BCE"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betyde, at også situationer, hvor kontrol udøves på anden vis end gennem formelt ejerskab, </w:t>
      </w:r>
      <w:r w:rsidR="00DC7BCE" w:rsidRPr="00796736">
        <w:rPr>
          <w:rFonts w:ascii="Times New Roman" w:eastAsia="Times New Roman" w:hAnsi="Times New Roman" w:cs="Times New Roman"/>
          <w:sz w:val="24"/>
          <w:szCs w:val="24"/>
        </w:rPr>
        <w:t>vil kunne</w:t>
      </w:r>
      <w:r w:rsidRPr="00796736">
        <w:rPr>
          <w:rFonts w:ascii="Times New Roman" w:eastAsia="Times New Roman" w:hAnsi="Times New Roman" w:cs="Times New Roman"/>
          <w:sz w:val="24"/>
          <w:szCs w:val="24"/>
        </w:rPr>
        <w:t xml:space="preserve"> omfattes. Det kan eksempelvis være tilfælde, hvor en person gennem aftaler, stemmeaftaler eller på anden måde reelt har bestemmende og kontrollerende indflydelse over virksomheden, uanset om dette sker via ejerandele eller ej. Det </w:t>
      </w:r>
      <w:r w:rsidR="00DC7BCE"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således</w:t>
      </w:r>
      <w:r w:rsidR="00DC7BCE" w:rsidRPr="00796736">
        <w:rPr>
          <w:rFonts w:ascii="Times New Roman" w:eastAsia="Times New Roman" w:hAnsi="Times New Roman" w:cs="Times New Roman"/>
          <w:sz w:val="24"/>
          <w:szCs w:val="24"/>
        </w:rPr>
        <w:t xml:space="preserve"> være</w:t>
      </w:r>
      <w:r w:rsidRPr="00796736">
        <w:rPr>
          <w:rFonts w:ascii="Times New Roman" w:eastAsia="Times New Roman" w:hAnsi="Times New Roman" w:cs="Times New Roman"/>
          <w:sz w:val="24"/>
          <w:szCs w:val="24"/>
        </w:rPr>
        <w:t xml:space="preserve"> tilstrækkeligt, at der har kunnet udøves en kontrollerende indflydelse på ledelsen. Hvorvidt dette er tilfældet,</w:t>
      </w:r>
      <w:r w:rsidR="00DC7BCE"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bero på en konkret vurdering.</w:t>
      </w:r>
    </w:p>
    <w:p w14:paraId="7A91BE25" w14:textId="77777777" w:rsidR="009C423A" w:rsidRPr="00796736" w:rsidRDefault="009C423A" w:rsidP="00A802A5">
      <w:pPr>
        <w:spacing w:line="360" w:lineRule="auto"/>
        <w:rPr>
          <w:rFonts w:ascii="Times New Roman" w:eastAsia="Times New Roman" w:hAnsi="Times New Roman" w:cs="Times New Roman"/>
          <w:sz w:val="24"/>
          <w:szCs w:val="24"/>
        </w:rPr>
      </w:pPr>
    </w:p>
    <w:p w14:paraId="443894DE" w14:textId="3D22B0FF"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Ved ”at ophøre med at udøve kontrol” forstås, at den pågældende reelle ejer ikke længere direkte eller indirekte </w:t>
      </w:r>
      <w:r w:rsidR="00DC7BCE" w:rsidRPr="00796736">
        <w:rPr>
          <w:rFonts w:ascii="Times New Roman" w:eastAsia="Times New Roman" w:hAnsi="Times New Roman" w:cs="Times New Roman"/>
          <w:sz w:val="24"/>
          <w:szCs w:val="24"/>
        </w:rPr>
        <w:t>vil have</w:t>
      </w:r>
      <w:r w:rsidRPr="00796736">
        <w:rPr>
          <w:rFonts w:ascii="Times New Roman" w:eastAsia="Times New Roman" w:hAnsi="Times New Roman" w:cs="Times New Roman"/>
          <w:sz w:val="24"/>
          <w:szCs w:val="24"/>
        </w:rPr>
        <w:t xml:space="preserve"> mulighed for at udøve bestemmende kontrol over virksomheden. Dette kan blandt andet ske ved, at personen nedbringer sin ejerandel eller sine stemmerettigheder til under en nærmere angivet grænse, hvis det er nødvendigt for at sikre, at virksomheden ikke kontrolleres af den reelle ejer.</w:t>
      </w:r>
    </w:p>
    <w:p w14:paraId="49B3D334" w14:textId="77777777" w:rsidR="009C423A" w:rsidRPr="00796736" w:rsidRDefault="009C423A" w:rsidP="00A802A5">
      <w:pPr>
        <w:spacing w:line="360" w:lineRule="auto"/>
        <w:rPr>
          <w:rFonts w:ascii="Times New Roman" w:eastAsia="Times New Roman" w:hAnsi="Times New Roman" w:cs="Times New Roman"/>
          <w:sz w:val="24"/>
          <w:szCs w:val="24"/>
        </w:rPr>
      </w:pPr>
    </w:p>
    <w:p w14:paraId="12BA4178" w14:textId="5EA1C27F"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Et påbud om at ophøre med at udøve kontrol </w:t>
      </w:r>
      <w:r w:rsidR="00DC7BCE"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således efter omstændighederne</w:t>
      </w:r>
      <w:r w:rsidR="00DC7BCE"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indebære, at den pågældende skal nedbringe sin direkte eller indirekte ejerandel til et niveau, hvor ejerandelen ikke længere giver mulighed for at udøve bestemmende indflydelse over virksomheden. </w:t>
      </w:r>
    </w:p>
    <w:p w14:paraId="0E6E4854" w14:textId="77777777" w:rsidR="009C423A" w:rsidRPr="00796736" w:rsidRDefault="009C423A" w:rsidP="00A802A5">
      <w:pPr>
        <w:spacing w:line="360" w:lineRule="auto"/>
        <w:rPr>
          <w:rFonts w:ascii="Times New Roman" w:eastAsia="Times New Roman" w:hAnsi="Times New Roman" w:cs="Times New Roman"/>
          <w:sz w:val="24"/>
          <w:szCs w:val="24"/>
        </w:rPr>
      </w:pPr>
    </w:p>
    <w:p w14:paraId="37D966AE" w14:textId="77777777" w:rsidR="009C423A"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 vil i den forbindelse ikke alene kunne lægge vægt på den formelle ejerandel, men også på den faktiske indflydelse, som den reelle ejer kan udøve over virksomheden. Vurderingen kan blandt andet omfatte tilfælde, hvor den reelle ejer gennem direkte eller indirekte ejerskab, stemmerettigheder, aftaler, vedtægtsbestemmelser eller andre former for indflydelse har mulighed for at påvirke virksomhedens ledelse, drift eller væsentlige beslutninger.</w:t>
      </w:r>
    </w:p>
    <w:p w14:paraId="2A44E27A" w14:textId="77777777" w:rsidR="009C423A" w:rsidRPr="00796736" w:rsidRDefault="009C423A" w:rsidP="00A802A5">
      <w:pPr>
        <w:spacing w:line="360" w:lineRule="auto"/>
        <w:rPr>
          <w:rFonts w:ascii="Times New Roman" w:eastAsia="Times New Roman" w:hAnsi="Times New Roman" w:cs="Times New Roman"/>
          <w:sz w:val="24"/>
          <w:szCs w:val="24"/>
        </w:rPr>
      </w:pPr>
    </w:p>
    <w:p w14:paraId="2E11043F" w14:textId="0088DAB8" w:rsidR="001C7943" w:rsidRPr="00796736" w:rsidRDefault="009C423A"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Hvis personens ejerskab beror på en selskabsretlig holdingstruktur med flere selskaber eller lignende, </w:t>
      </w:r>
      <w:r w:rsidR="00DC7BCE"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det</w:t>
      </w:r>
      <w:r w:rsidR="00DC7BCE" w:rsidRPr="00796736">
        <w:rPr>
          <w:rFonts w:ascii="Times New Roman" w:eastAsia="Times New Roman" w:hAnsi="Times New Roman" w:cs="Times New Roman"/>
          <w:sz w:val="24"/>
          <w:szCs w:val="24"/>
        </w:rPr>
        <w:t xml:space="preserve"> være</w:t>
      </w:r>
      <w:r w:rsidRPr="00796736">
        <w:rPr>
          <w:rFonts w:ascii="Times New Roman" w:eastAsia="Times New Roman" w:hAnsi="Times New Roman" w:cs="Times New Roman"/>
          <w:sz w:val="24"/>
          <w:szCs w:val="24"/>
        </w:rPr>
        <w:t xml:space="preserve"> afgørende, at personens samlede direkte eller indirekte ejerskab eller øvrige kontrolmulighed bringes ned til et niveau, hvor personen ikke længere kan udøve bestemmende indflydelse over virksomheden.</w:t>
      </w:r>
    </w:p>
    <w:p w14:paraId="59AA0C47" w14:textId="77777777" w:rsidR="009C423A" w:rsidRPr="00796736" w:rsidRDefault="009C423A" w:rsidP="00A802A5">
      <w:pPr>
        <w:spacing w:line="360" w:lineRule="auto"/>
        <w:rPr>
          <w:rFonts w:ascii="Times New Roman" w:eastAsia="Times New Roman" w:hAnsi="Times New Roman" w:cs="Times New Roman"/>
          <w:sz w:val="24"/>
          <w:szCs w:val="24"/>
        </w:rPr>
      </w:pPr>
    </w:p>
    <w:p w14:paraId="5DDCA267" w14:textId="611A7AE0"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Ved "at afhænde ejerandele" forstås, at den reelle ejer </w:t>
      </w:r>
      <w:r w:rsidR="00DC7BCE"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overdrage, sælge eller på anden måde afgive ejerskabet til sine ejerandele. Afhændelsen</w:t>
      </w:r>
      <w:r w:rsidR="00DC7BCE" w:rsidRPr="00796736">
        <w:rPr>
          <w:rFonts w:ascii="Times New Roman" w:eastAsia="Times New Roman" w:hAnsi="Times New Roman" w:cs="Times New Roman"/>
          <w:sz w:val="24"/>
          <w:szCs w:val="24"/>
        </w:rPr>
        <w:t xml:space="preserve"> vil skulle</w:t>
      </w:r>
      <w:r w:rsidRPr="00796736">
        <w:rPr>
          <w:rFonts w:ascii="Times New Roman" w:eastAsia="Times New Roman" w:hAnsi="Times New Roman" w:cs="Times New Roman"/>
          <w:sz w:val="24"/>
          <w:szCs w:val="24"/>
        </w:rPr>
        <w:t xml:space="preserve"> ske på en måde, der reelt og varigt bringer ejerskabet eller kontrollen til ophør. Det kan eksempelvis ske ved salg af aktier eller anparter eller overdragelse af ejerandele til tredjemand. Det </w:t>
      </w:r>
      <w:r w:rsidR="00DC7BCE" w:rsidRPr="00796736">
        <w:rPr>
          <w:rFonts w:ascii="Times New Roman" w:eastAsia="Times New Roman" w:hAnsi="Times New Roman" w:cs="Times New Roman"/>
          <w:sz w:val="24"/>
          <w:szCs w:val="24"/>
        </w:rPr>
        <w:t>vil være</w:t>
      </w:r>
      <w:r w:rsidRPr="00796736">
        <w:rPr>
          <w:rFonts w:ascii="Times New Roman" w:eastAsia="Times New Roman" w:hAnsi="Times New Roman" w:cs="Times New Roman"/>
          <w:sz w:val="24"/>
          <w:szCs w:val="24"/>
        </w:rPr>
        <w:t xml:space="preserve"> afgørende, at afhændelsen er reel og ikke blot formel, og at den pågældende ikke bevarer nogen form for bestemmende indflydelse over virksomheden.</w:t>
      </w:r>
    </w:p>
    <w:p w14:paraId="744F2820" w14:textId="77777777" w:rsidR="001C7943" w:rsidRPr="00796736" w:rsidRDefault="001C7943" w:rsidP="00A802A5">
      <w:pPr>
        <w:spacing w:line="360" w:lineRule="auto"/>
        <w:rPr>
          <w:rFonts w:ascii="Times New Roman" w:eastAsia="Times New Roman" w:hAnsi="Times New Roman" w:cs="Times New Roman"/>
          <w:sz w:val="24"/>
          <w:szCs w:val="24"/>
        </w:rPr>
      </w:pPr>
    </w:p>
    <w:p w14:paraId="7EDE09DF" w14:textId="2D8B7584" w:rsidR="009C423A"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Et påbud om afhændelse af ejerandele vil kun kunne udstedes, hvis den pågældende reelle ejer er dømt for hvidvask af penge, de relevante underliggende lovovertrædelser eller finansiering af terrorisme. Det betyder, at der vil skulle foreligge en endelig dom eller vedtagelse af bøde for en overtrædelse, der er af en sådan karakter, at det vurderes at have betydning for den pågældendes hæderlighed som reel ejer eller kontrollerende person. </w:t>
      </w:r>
      <w:r w:rsidRPr="00796736">
        <w:rPr>
          <w:rFonts w:ascii="Times New Roman" w:hAnsi="Times New Roman" w:cs="Times New Roman"/>
          <w:iCs/>
          <w:sz w:val="24"/>
          <w:szCs w:val="24"/>
        </w:rPr>
        <w:t xml:space="preserve">Spillemyndigheden vil således skulle modtage dokumentation for, at der foreligger en endelig fældende dom. </w:t>
      </w:r>
      <w:r w:rsidRPr="00796736">
        <w:rPr>
          <w:rFonts w:ascii="Times New Roman" w:eastAsia="Calibri" w:hAnsi="Times New Roman" w:cs="Times New Roman"/>
          <w:sz w:val="24"/>
          <w:szCs w:val="24"/>
        </w:rPr>
        <w:t xml:space="preserve">Det, at en person skal være dømt for hvidvask, de underliggende lovovertrædelser samt finansiering af terrorisme, skal forstås i overensstemmelse med straffelovens bestemmelser herom. </w:t>
      </w:r>
    </w:p>
    <w:p w14:paraId="7B75FE8A"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Påbud om at ophøre med at udøve kontrol, herunder ved nedbringelse af ejerandele, er en indgribende foranstaltning i forhold til den fysiske person og i forhold til den forpligtede enhed, og Spillemyndigheden vil skulle foretage en proportionalitetsvurdering efter de almindelige forvaltningsretlige principper, herunder en vurdering af nødvendighed og forholdsmæssighed. I denne vurdering vil omfanget af den reelle ejers kontrol med virksomheden kunne inddrages, hvilket strafbart forhold den pågældende er dømt for, og hvornår den pågældende er dømt, muligheden for at opnå det ønskede resultat ved mindre indgribende foranstaltninger, konsekvenserne for virksomheden, øvrige ejere og eventuelle tredjemænd, om der er tale om enkeltstående eller gentagne forhold, samt om virksomheden og den pågældende ejer har udvist samarbejdsvilje og forsøgt at rette op på forholdene.</w:t>
      </w:r>
    </w:p>
    <w:p w14:paraId="7C3F59A6" w14:textId="04E4112B"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Spillemyndigheden </w:t>
      </w:r>
      <w:r w:rsidR="00C55DA0" w:rsidRPr="00796736">
        <w:rPr>
          <w:rFonts w:ascii="Times New Roman" w:eastAsia="Calibri" w:hAnsi="Times New Roman" w:cs="Times New Roman"/>
          <w:sz w:val="24"/>
          <w:szCs w:val="24"/>
        </w:rPr>
        <w:t>vil skulle</w:t>
      </w:r>
      <w:r w:rsidRPr="00796736">
        <w:rPr>
          <w:rFonts w:ascii="Times New Roman" w:eastAsia="Calibri" w:hAnsi="Times New Roman" w:cs="Times New Roman"/>
          <w:sz w:val="24"/>
          <w:szCs w:val="24"/>
        </w:rPr>
        <w:t xml:space="preserve"> vurdere, at den risiko, der er ved, at en dømt reel ejer har indflydelse på en forpligtet enhed, ikke kan afværges ved brug af en af de øvrige reaktionsmuligheder. </w:t>
      </w:r>
    </w:p>
    <w:p w14:paraId="255F1D62" w14:textId="0F3376E5"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Påbuddet </w:t>
      </w:r>
      <w:r w:rsidR="00C55DA0" w:rsidRPr="00796736">
        <w:rPr>
          <w:rFonts w:ascii="Times New Roman" w:eastAsia="Calibri" w:hAnsi="Times New Roman" w:cs="Times New Roman"/>
          <w:sz w:val="24"/>
          <w:szCs w:val="24"/>
        </w:rPr>
        <w:t>vil skulle</w:t>
      </w:r>
      <w:r w:rsidRPr="00796736">
        <w:rPr>
          <w:rFonts w:ascii="Times New Roman" w:eastAsia="Calibri" w:hAnsi="Times New Roman" w:cs="Times New Roman"/>
          <w:sz w:val="24"/>
          <w:szCs w:val="24"/>
        </w:rPr>
        <w:t xml:space="preserve"> være begrundet og indeholde en nærmere angivelse af, hvad der kræves for, at den pågældende ikke længere anses for at udøve kontrol. Hvis påbuddet indebærer, at ejerandelen skal nedbringes, </w:t>
      </w:r>
      <w:r w:rsidR="00C55DA0" w:rsidRPr="00796736">
        <w:rPr>
          <w:rFonts w:ascii="Times New Roman" w:eastAsia="Calibri" w:hAnsi="Times New Roman" w:cs="Times New Roman"/>
          <w:sz w:val="24"/>
          <w:szCs w:val="24"/>
        </w:rPr>
        <w:t>vil</w:t>
      </w:r>
      <w:r w:rsidRPr="00796736">
        <w:rPr>
          <w:rFonts w:ascii="Times New Roman" w:eastAsia="Calibri" w:hAnsi="Times New Roman" w:cs="Times New Roman"/>
          <w:sz w:val="24"/>
          <w:szCs w:val="24"/>
        </w:rPr>
        <w:t xml:space="preserve"> påbuddet</w:t>
      </w:r>
      <w:r w:rsidR="00C55DA0" w:rsidRPr="00796736">
        <w:rPr>
          <w:rFonts w:ascii="Times New Roman" w:eastAsia="Calibri" w:hAnsi="Times New Roman" w:cs="Times New Roman"/>
          <w:sz w:val="24"/>
          <w:szCs w:val="24"/>
        </w:rPr>
        <w:t xml:space="preserve"> skulle</w:t>
      </w:r>
      <w:r w:rsidRPr="00796736">
        <w:rPr>
          <w:rFonts w:ascii="Times New Roman" w:eastAsia="Calibri" w:hAnsi="Times New Roman" w:cs="Times New Roman"/>
          <w:sz w:val="24"/>
          <w:szCs w:val="24"/>
        </w:rPr>
        <w:t xml:space="preserve"> angive, til hvilken grænse ejerandelen skal nedbringes. Ejerandelen vil som udgangspunkt skulle bringes ned under 25 pct., medmindre en lavere grænse efter en konkret vurdering er nødvendig for at sikre, at den pågældende ikke fortsat har mulighed for at udøve kontrol over virksomheden.</w:t>
      </w:r>
    </w:p>
    <w:p w14:paraId="4CF6F79E" w14:textId="13C8BEEA"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Fristen for at efterkomme påbuddet </w:t>
      </w:r>
      <w:r w:rsidR="00C55DA0" w:rsidRPr="00796736">
        <w:rPr>
          <w:rFonts w:ascii="Times New Roman" w:eastAsia="Calibri" w:hAnsi="Times New Roman" w:cs="Times New Roman"/>
          <w:sz w:val="24"/>
          <w:szCs w:val="24"/>
        </w:rPr>
        <w:t>vil skulle</w:t>
      </w:r>
      <w:r w:rsidRPr="00796736">
        <w:rPr>
          <w:rFonts w:ascii="Times New Roman" w:eastAsia="Calibri" w:hAnsi="Times New Roman" w:cs="Times New Roman"/>
          <w:sz w:val="24"/>
          <w:szCs w:val="24"/>
        </w:rPr>
        <w:t xml:space="preserve"> fastsættes under hensyntagen til de konkrete omstændigheder i den enkelte sag. Fristen skal være passende og proportional, men samtidig sikre, at den pågældende reelle ejer ikke i længere tid end nødvendigt bevarer en indflydelse på virksomheden, som vurderes uforenelig med kravene til kontrol, egnethed og hæderlighed.</w:t>
      </w:r>
    </w:p>
    <w:p w14:paraId="39863906" w14:textId="13CA31E6"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fastsættelsen af fristen </w:t>
      </w:r>
      <w:r w:rsidR="00C55DA0" w:rsidRPr="00796736">
        <w:rPr>
          <w:rFonts w:ascii="Times New Roman" w:eastAsia="Calibri" w:hAnsi="Times New Roman" w:cs="Times New Roman"/>
          <w:sz w:val="24"/>
          <w:szCs w:val="24"/>
        </w:rPr>
        <w:t>vil</w:t>
      </w:r>
      <w:r w:rsidRPr="00796736">
        <w:rPr>
          <w:rFonts w:ascii="Times New Roman" w:eastAsia="Calibri" w:hAnsi="Times New Roman" w:cs="Times New Roman"/>
          <w:sz w:val="24"/>
          <w:szCs w:val="24"/>
        </w:rPr>
        <w:t xml:space="preserve"> Spillemyndigheden blandt andet </w:t>
      </w:r>
      <w:r w:rsidR="00C55DA0" w:rsidRPr="00796736">
        <w:rPr>
          <w:rFonts w:ascii="Times New Roman" w:eastAsia="Calibri" w:hAnsi="Times New Roman" w:cs="Times New Roman"/>
          <w:sz w:val="24"/>
          <w:szCs w:val="24"/>
        </w:rPr>
        <w:t xml:space="preserve">kunne </w:t>
      </w:r>
      <w:r w:rsidRPr="00796736">
        <w:rPr>
          <w:rFonts w:ascii="Times New Roman" w:eastAsia="Calibri" w:hAnsi="Times New Roman" w:cs="Times New Roman"/>
          <w:sz w:val="24"/>
          <w:szCs w:val="24"/>
        </w:rPr>
        <w:t>lægge vægt på ejerandelens størrelse, virksomhedens forhold, ejer- og koncernstruktur, markedssituationen og de praktiske muligheder for at gennemføre afhændelsen eller på anden måde bringe kontrollen til ophør.</w:t>
      </w:r>
    </w:p>
    <w:p w14:paraId="04659AF9" w14:textId="7D3F2629"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i s</w:t>
      </w:r>
      <w:r w:rsidRPr="00796736">
        <w:rPr>
          <w:rFonts w:ascii="Times New Roman" w:eastAsia="Times New Roman" w:hAnsi="Times New Roman" w:cs="Times New Roman"/>
          <w:i/>
          <w:iCs/>
          <w:sz w:val="24"/>
          <w:szCs w:val="24"/>
        </w:rPr>
        <w:t>tk. 2</w:t>
      </w:r>
      <w:r w:rsidRPr="00796736">
        <w:rPr>
          <w:rFonts w:ascii="Times New Roman" w:eastAsia="Times New Roman" w:hAnsi="Times New Roman" w:cs="Times New Roman"/>
          <w:sz w:val="24"/>
          <w:szCs w:val="24"/>
        </w:rPr>
        <w:t>, at varigheden af påbuddet meddelt efter stk. 1 skal fremgå af afgørelsen.</w:t>
      </w:r>
    </w:p>
    <w:p w14:paraId="48F7049E" w14:textId="77777777" w:rsidR="001C7943" w:rsidRPr="00796736" w:rsidRDefault="001C7943" w:rsidP="00A802A5">
      <w:pPr>
        <w:spacing w:line="360" w:lineRule="auto"/>
        <w:rPr>
          <w:rFonts w:ascii="Times New Roman" w:eastAsia="Times New Roman" w:hAnsi="Times New Roman" w:cs="Times New Roman"/>
          <w:sz w:val="24"/>
          <w:szCs w:val="24"/>
        </w:rPr>
      </w:pPr>
    </w:p>
    <w:p w14:paraId="47790A26"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Dette betyder, at det af afgørelsen skal fremgå, hvor længe den pågældende person ikke må være reel ejer af en forpligtet enhed. </w:t>
      </w:r>
    </w:p>
    <w:p w14:paraId="09872B1A" w14:textId="77777777" w:rsidR="001C7943" w:rsidRPr="00796736" w:rsidRDefault="001C7943" w:rsidP="00A802A5">
      <w:pPr>
        <w:spacing w:line="360" w:lineRule="auto"/>
        <w:rPr>
          <w:rFonts w:ascii="Times New Roman" w:eastAsia="Times New Roman" w:hAnsi="Times New Roman" w:cs="Times New Roman"/>
          <w:sz w:val="24"/>
          <w:szCs w:val="24"/>
        </w:rPr>
      </w:pPr>
    </w:p>
    <w:p w14:paraId="1E9ADA55"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Bestemmelsen vil betyde, at Spillemyndigheden som udgangspunkt ikke må inddrage de forhold, der lå til grund for påbuddet efter udløbet af den fastsatte varighed, hvis den pågældende person på et senere tidspunkt igen ønsker at indtræde som reel ejer af en forpligtet enhed. Dette kan f.eks.  være som reel ejer af en udbyder af spil, der allerede har en tilladelse til at udbyde spil, eller en udbyder af spil, der søger om tilladelse til at udbyde spil i Danmark. </w:t>
      </w:r>
      <w:r w:rsidRPr="00796736">
        <w:rPr>
          <w:rFonts w:ascii="Times New Roman" w:eastAsia="Calibri" w:hAnsi="Times New Roman" w:cs="Times New Roman"/>
          <w:sz w:val="24"/>
          <w:szCs w:val="24"/>
        </w:rPr>
        <w:t>I en ny vurdering vil de tidligere forhold, der førte til påbuddet efter stk. 1, således ikke kunne indgå, medmindre særlige omstændigheder gør sig gældende.</w:t>
      </w:r>
    </w:p>
    <w:p w14:paraId="15A8E743" w14:textId="77777777" w:rsidR="009C423A" w:rsidRPr="00796736" w:rsidRDefault="009C423A" w:rsidP="00A802A5">
      <w:pPr>
        <w:spacing w:line="360" w:lineRule="auto"/>
        <w:rPr>
          <w:rFonts w:ascii="Times New Roman" w:eastAsia="Times New Roman" w:hAnsi="Times New Roman" w:cs="Times New Roman"/>
          <w:sz w:val="24"/>
          <w:szCs w:val="24"/>
        </w:rPr>
      </w:pPr>
    </w:p>
    <w:p w14:paraId="61691DC6"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Varigheden af påbud vil skulle fastsættes på baggrund af en konkret og samlet vurdering, hvor Spillemyndigheden blandt andet vil lægge vægt på alvoren af overtrædelsen og den tid, der er gået siden overtrædelsen. Varigheden vil som udgangspunkt kunne fastsættes fra 1 år til 5 år, men kan i særligt alvorlige sager fastsættes til ”indtil videre”. </w:t>
      </w:r>
    </w:p>
    <w:p w14:paraId="10141AAE"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Kumulative effekter af flere mindre overtrædelser vil kunne være skærpende, ligesom særligt grove overtrædelser vil kunne medføre, at varigheden fastsættes til ”indtil videre”. En sådan varighed vil dog kun kunne anvendes i særligt alvorlige sager, f.eks. ved grov økonomisk kriminalitet.</w:t>
      </w:r>
    </w:p>
    <w:p w14:paraId="6E50334A"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Retningsgivende for fastsættelsen af varigheden på ”indtil videre” er, at der vil skulle være tale om grove forhold, der som udgangspunkt ikke ligger mere end 10 år tilbage i tiden. Det vil således alene være i særligt alvorlige sager, at Spillemyndigheden vil kunne fastsætte varigheden til ”indtil videre”. Der kan eksempelvis være tale om særdeles grove forhold med overtrædelse af straffelovens bestemmelser om økonomisk kriminalitet, forsætlig tilsidesættelse af hvidvasklovens krav eller egentlig medvirken til økonomisk kriminalitet. </w:t>
      </w:r>
    </w:p>
    <w:p w14:paraId="67CB6EEE"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Som udgangspunkt vil Spillemyndigheden ikke inddrage forhold i en vurdering af en persons hæderlighed, der er mere end 10 år gamle. Spillemyndigheden vil dog kunne inddrage forhold, der ligger længere tilbage i tid, hvis forholdene er særligt alvorlige, eller hvis disse er en del af et sammenhængende sagsforløb, hvor dele er mindre end 10 år gamle. Alvorlige forhold kan f.eks. være økonomisk kriminalitet, forsætlig tilsidesættelse af hvidvasklovens krav eller egentlig medvirken til økonomisk kriminalitet. Det vil omvendt også betyde, at der vil skulle være særlige forhold, der gør sig gældende, hvis Spillemyndigheden skal inddrage forhold, der ligger mere end 10 år tilbage. Ud over hensynet til omfanget, karakteren og grovheden af de forhold, der begrunder påbuddet, vil Spillemyndigheden også kunne lægge vægt på, hvorvidt der er grund til at antage, at den pågældende fortsat ikke vil kunne varetage hvervet eller stillingen på forsvarlig måde. Det vil bero på en vurdering af de konkrete forhold, herunder om forholdet er så kritisabelt, at en længere varighed er påkrævet, eller hvor varigheden i særligt alvorlige sager bør være ”indtil videre”.</w:t>
      </w:r>
    </w:p>
    <w:p w14:paraId="6B62F4D7" w14:textId="05B29726" w:rsidR="009C423A" w:rsidRPr="007B7BA4"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Varigheden af påbuddet vil blive regnet fra datoen for Spillemyndighedens afgørelse. </w:t>
      </w:r>
    </w:p>
    <w:p w14:paraId="5F989979" w14:textId="3D3F8A20" w:rsidR="009C423A" w:rsidRPr="00796736" w:rsidRDefault="001C7943" w:rsidP="00A802A5">
      <w:pPr>
        <w:tabs>
          <w:tab w:val="left" w:pos="1500"/>
        </w:tabs>
        <w:spacing w:line="360" w:lineRule="auto"/>
        <w:rPr>
          <w:rFonts w:ascii="Times New Roman" w:eastAsia="Calibri" w:hAnsi="Times New Roman" w:cs="Times New Roman"/>
          <w:sz w:val="24"/>
          <w:szCs w:val="24"/>
        </w:rPr>
      </w:pPr>
      <w:r w:rsidRPr="00796736">
        <w:rPr>
          <w:rFonts w:ascii="Times New Roman" w:eastAsia="Times New Roman" w:hAnsi="Times New Roman" w:cs="Times New Roman"/>
          <w:sz w:val="24"/>
          <w:szCs w:val="24"/>
        </w:rPr>
        <w:t>Det foreslås i s</w:t>
      </w:r>
      <w:r w:rsidRPr="00796736">
        <w:rPr>
          <w:rFonts w:ascii="Times New Roman" w:eastAsia="Times New Roman" w:hAnsi="Times New Roman" w:cs="Times New Roman"/>
          <w:i/>
          <w:iCs/>
          <w:sz w:val="24"/>
          <w:szCs w:val="24"/>
        </w:rPr>
        <w:t xml:space="preserve">tk. </w:t>
      </w:r>
      <w:r w:rsidR="007B7BA4">
        <w:rPr>
          <w:rFonts w:ascii="Times New Roman" w:eastAsia="Times New Roman" w:hAnsi="Times New Roman" w:cs="Times New Roman"/>
          <w:i/>
          <w:iCs/>
          <w:sz w:val="24"/>
          <w:szCs w:val="24"/>
        </w:rPr>
        <w:t>3</w:t>
      </w:r>
      <w:r w:rsidRPr="00796736">
        <w:rPr>
          <w:rFonts w:ascii="Times New Roman" w:eastAsia="Times New Roman" w:hAnsi="Times New Roman" w:cs="Times New Roman"/>
          <w:sz w:val="24"/>
          <w:szCs w:val="24"/>
        </w:rPr>
        <w:t xml:space="preserve">, </w:t>
      </w:r>
      <w:r w:rsidR="009C423A" w:rsidRPr="00796736">
        <w:rPr>
          <w:rFonts w:ascii="Times New Roman" w:eastAsia="Calibri" w:hAnsi="Times New Roman" w:cs="Times New Roman"/>
          <w:sz w:val="24"/>
          <w:szCs w:val="24"/>
        </w:rPr>
        <w:t>at Spillemyndigheden kan påbyde virksomheden at indføre specifikke nødvendige foranstaltninger for at afskære den pågældende reelle ejer fra at udøve kontrol med virksomheden i en af Spillemyndigheden fastsat periode.</w:t>
      </w:r>
    </w:p>
    <w:p w14:paraId="3757865A" w14:textId="77777777" w:rsidR="00C55DA0" w:rsidRPr="00796736" w:rsidRDefault="00C55DA0" w:rsidP="00A802A5">
      <w:pPr>
        <w:tabs>
          <w:tab w:val="left" w:pos="1500"/>
        </w:tabs>
        <w:spacing w:line="360" w:lineRule="auto"/>
        <w:rPr>
          <w:rFonts w:ascii="Times New Roman" w:eastAsia="Calibri" w:hAnsi="Times New Roman" w:cs="Times New Roman"/>
          <w:sz w:val="24"/>
          <w:szCs w:val="24"/>
        </w:rPr>
      </w:pPr>
    </w:p>
    <w:p w14:paraId="0FDDF3C8" w14:textId="4AD686D5" w:rsidR="009C423A" w:rsidRPr="00796736" w:rsidRDefault="009C423A" w:rsidP="00A802A5">
      <w:pPr>
        <w:tabs>
          <w:tab w:val="left" w:pos="1500"/>
        </w:tab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Den foreslåede bestemmelse indebærer, at Spillemyndigheden</w:t>
      </w:r>
      <w:r w:rsidR="00C55DA0" w:rsidRPr="00796736">
        <w:rPr>
          <w:rFonts w:ascii="Times New Roman" w:eastAsia="Calibri" w:hAnsi="Times New Roman" w:cs="Times New Roman"/>
          <w:sz w:val="24"/>
          <w:szCs w:val="24"/>
        </w:rPr>
        <w:t xml:space="preserve"> vil</w:t>
      </w:r>
      <w:r w:rsidRPr="00796736">
        <w:rPr>
          <w:rFonts w:ascii="Times New Roman" w:eastAsia="Calibri" w:hAnsi="Times New Roman" w:cs="Times New Roman"/>
          <w:sz w:val="24"/>
          <w:szCs w:val="24"/>
        </w:rPr>
        <w:t xml:space="preserve"> få mulighed for at påbyde virksomheden at indføre specifikke nødvendige foranstaltninger for at afskærme den forpligtede enhed fra den reelle ejer. </w:t>
      </w:r>
    </w:p>
    <w:p w14:paraId="6E6629C7" w14:textId="77777777" w:rsidR="009C423A" w:rsidRPr="00796736" w:rsidRDefault="009C423A" w:rsidP="00A802A5">
      <w:pPr>
        <w:tabs>
          <w:tab w:val="left" w:pos="1500"/>
        </w:tabs>
        <w:spacing w:line="360" w:lineRule="auto"/>
        <w:rPr>
          <w:rFonts w:ascii="Times New Roman" w:eastAsia="Calibri" w:hAnsi="Times New Roman" w:cs="Times New Roman"/>
          <w:sz w:val="24"/>
          <w:szCs w:val="24"/>
        </w:rPr>
      </w:pPr>
    </w:p>
    <w:p w14:paraId="7B742405" w14:textId="77777777" w:rsidR="00C55DA0" w:rsidRPr="00796736" w:rsidRDefault="00C55DA0" w:rsidP="00A802A5">
      <w:pPr>
        <w:tabs>
          <w:tab w:val="left" w:pos="1500"/>
        </w:tab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Ved nødvendige foranstaltninger forstås handlinger, undladelser og tiltag, som i praksis afskærer en fysisk eller juridisk person, som direkte eller indirekte ejer eller kontrollerer en virksomhed, fra at udøve kontrol med virksomheden. Den forpligtede enhed vil f.eks. kunne påbydes at suspendere den reelle ejers stemmerettigheder, eller hvis den pågældende person har adgang til og benytter virksomhedens lokaler, at inddrage den pågældendes adgangskort, firmakreditkort eller udelukke den pågældende fra virksomhedens IT-systemer m.v.  </w:t>
      </w:r>
    </w:p>
    <w:p w14:paraId="3196D61E" w14:textId="77777777" w:rsidR="00C55DA0" w:rsidRPr="00796736" w:rsidRDefault="00C55DA0" w:rsidP="00A802A5">
      <w:pPr>
        <w:tabs>
          <w:tab w:val="left" w:pos="1500"/>
        </w:tabs>
        <w:spacing w:line="360" w:lineRule="auto"/>
        <w:rPr>
          <w:rFonts w:ascii="Times New Roman" w:eastAsia="Calibri" w:hAnsi="Times New Roman" w:cs="Times New Roman"/>
          <w:sz w:val="24"/>
          <w:szCs w:val="24"/>
        </w:rPr>
      </w:pPr>
    </w:p>
    <w:p w14:paraId="1C973F4F"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Påbuddet vil skulle anvendes til at sikre, at den forpligtede enhed effektivt afskærmer den forpligtede enhed fra den reelle ejer. </w:t>
      </w:r>
    </w:p>
    <w:p w14:paraId="716469A7"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Påbuddet vil skulle anvendes ud fra en individuel vurdering af bl.a. den forpligtede enheds samarbejdsvillighed med Spillemyndigheden og foranstaltninger, som den forpligtede enhed tager for at afskærme den forpligtede enhed fra den reelle ejer. </w:t>
      </w:r>
    </w:p>
    <w:p w14:paraId="34360F19"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Spillemyndigheden vil kunne anmode om en redegørelse og dokumentation for, hvordan virksomheden sikrer, at påbuddet efterkommes.</w:t>
      </w:r>
    </w:p>
    <w:p w14:paraId="18EE0D6C"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Den af Spillemyndigheden fastsatte periode skal ikke kunne overstige varigheden fastsat efter stk. 2.  </w:t>
      </w:r>
    </w:p>
    <w:p w14:paraId="7F85ABD1" w14:textId="44145F3A"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foreslås i </w:t>
      </w:r>
      <w:r w:rsidRPr="00796736">
        <w:rPr>
          <w:rFonts w:ascii="Times New Roman" w:eastAsia="Calibri" w:hAnsi="Times New Roman" w:cs="Times New Roman"/>
          <w:i/>
          <w:iCs/>
          <w:sz w:val="24"/>
          <w:szCs w:val="24"/>
        </w:rPr>
        <w:t xml:space="preserve">stk. </w:t>
      </w:r>
      <w:r w:rsidR="007B7BA4">
        <w:rPr>
          <w:rFonts w:ascii="Times New Roman" w:eastAsia="Calibri" w:hAnsi="Times New Roman" w:cs="Times New Roman"/>
          <w:i/>
          <w:iCs/>
          <w:sz w:val="24"/>
          <w:szCs w:val="24"/>
        </w:rPr>
        <w:t>4</w:t>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sz w:val="24"/>
          <w:szCs w:val="24"/>
        </w:rPr>
        <w:t>at h</w:t>
      </w:r>
      <w:r w:rsidRPr="00796736">
        <w:rPr>
          <w:rFonts w:ascii="Times New Roman" w:eastAsia="Times New Roman" w:hAnsi="Times New Roman" w:cs="Times New Roman"/>
          <w:sz w:val="24"/>
          <w:szCs w:val="24"/>
        </w:rPr>
        <w:t xml:space="preserve">vis en person, der efter stk. 1, er påbudt at ophøre med at udøve kontrol, herunder afhænde sine ejerandele helt eller delvist, ikke har efterkommet påbuddet inden for den frist, som Spillemyndigheden har fastsat, kan Spillemyndigheden, for så vidt angår virksomheder og personer omfattet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nr. 1, tilbagekalde virksomhedens eller personens tilladelse til at udbyde spil i Danmark. </w:t>
      </w:r>
    </w:p>
    <w:p w14:paraId="461D6AFC" w14:textId="03CE7340"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Hvis f.eks. en reel ejer således ikke har efterkommet et meddelt påbud, vil Spillemyndigheden have mulighed for at tilbagekalde udbyderen af spils tilladelse til at udbyde spil i Danmark, jf. den foreslåede ændring af § 44 i lov om spil, jf. lovforslagets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_Ref233637850 \r \h </w:instrText>
      </w:r>
      <w:r w:rsidR="007F4BB9"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154</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nr. 6.</w:t>
      </w:r>
    </w:p>
    <w:p w14:paraId="719E1B56" w14:textId="1EDC2B00" w:rsidR="00C55DA0"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Det følger af den foreslåede ændring af § 44, i lov om spil, at Spillemyndigheden kan tilbagekalde en tilladelse til udbud af spil i Danmark, hvis den reelle ejer er dømt for hvidvask af penge, de relevante underliggende lovovertrædelser eller finansiering af terrorisme.  </w:t>
      </w:r>
    </w:p>
    <w:p w14:paraId="2C2FD109" w14:textId="2179DE4D" w:rsidR="007B7BA4" w:rsidRPr="00796736" w:rsidRDefault="007B7BA4" w:rsidP="00A802A5">
      <w:pPr>
        <w:spacing w:after="24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Dette </w:t>
      </w:r>
      <w:r w:rsidRPr="00BA67DE">
        <w:rPr>
          <w:rFonts w:ascii="Times New Roman" w:eastAsia="Calibri" w:hAnsi="Times New Roman" w:cs="Times New Roman"/>
          <w:sz w:val="24"/>
          <w:szCs w:val="24"/>
        </w:rPr>
        <w:t xml:space="preserve">vil indebære, at der </w:t>
      </w:r>
      <w:r>
        <w:rPr>
          <w:rFonts w:ascii="Times New Roman" w:eastAsia="Calibri" w:hAnsi="Times New Roman" w:cs="Times New Roman"/>
          <w:sz w:val="24"/>
          <w:szCs w:val="24"/>
        </w:rPr>
        <w:t xml:space="preserve">vil skulle </w:t>
      </w:r>
      <w:r w:rsidRPr="00BA67DE">
        <w:rPr>
          <w:rFonts w:ascii="Times New Roman" w:eastAsia="Calibri" w:hAnsi="Times New Roman" w:cs="Times New Roman"/>
          <w:sz w:val="24"/>
          <w:szCs w:val="24"/>
        </w:rPr>
        <w:t>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598BB19E"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Spillemyndigheden vil ikke være forpligtet til at tilbagekalde tilladelsen, men en sådan beslutning vil bero på en konkret vurdering af rimelighed og proportionalitet, herunder antallet af ejere i virksomheden og karakteren af overtrædelsen. </w:t>
      </w:r>
    </w:p>
    <w:p w14:paraId="5F29F282"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Bestemmelsen vil sikre, at Spillemyndigheden har tilstrækkelige beføjelser til at håndhæve påbud udstedt efter stk. 1, og at manglende efterkommelse kan få konsekvenser for virksomhedens ret til at udbyde spil i Danmark. </w:t>
      </w:r>
    </w:p>
    <w:p w14:paraId="67494595" w14:textId="77777777" w:rsidR="00C55DA0" w:rsidRPr="00796736" w:rsidRDefault="00C55DA0" w:rsidP="00A802A5">
      <w:pPr>
        <w:spacing w:line="360" w:lineRule="auto"/>
        <w:rPr>
          <w:rFonts w:ascii="Times New Roman" w:eastAsia="Times New Roman" w:hAnsi="Times New Roman" w:cs="Times New Roman"/>
          <w:sz w:val="24"/>
          <w:szCs w:val="24"/>
        </w:rPr>
      </w:pPr>
    </w:p>
    <w:p w14:paraId="00FF559A" w14:textId="54F38F56"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i s</w:t>
      </w:r>
      <w:r w:rsidRPr="00796736">
        <w:rPr>
          <w:rFonts w:ascii="Times New Roman" w:eastAsia="Times New Roman" w:hAnsi="Times New Roman" w:cs="Times New Roman"/>
          <w:i/>
          <w:iCs/>
          <w:sz w:val="24"/>
          <w:szCs w:val="24"/>
        </w:rPr>
        <w:t xml:space="preserve">tk. </w:t>
      </w:r>
      <w:r w:rsidR="007B7BA4">
        <w:rPr>
          <w:rFonts w:ascii="Times New Roman" w:eastAsia="Times New Roman" w:hAnsi="Times New Roman" w:cs="Times New Roman"/>
          <w:i/>
          <w:iCs/>
          <w:sz w:val="24"/>
          <w:szCs w:val="24"/>
        </w:rPr>
        <w:t>5</w:t>
      </w:r>
      <w:r w:rsidRPr="00796736">
        <w:rPr>
          <w:rFonts w:ascii="Times New Roman" w:eastAsia="Times New Roman" w:hAnsi="Times New Roman" w:cs="Times New Roman"/>
          <w:i/>
          <w:iCs/>
          <w:sz w:val="24"/>
          <w:szCs w:val="24"/>
        </w:rPr>
        <w:t>, 1. og 2. pkt.</w:t>
      </w:r>
      <w:r w:rsidRPr="00796736">
        <w:rPr>
          <w:rFonts w:ascii="Times New Roman" w:eastAsia="Times New Roman" w:hAnsi="Times New Roman" w:cs="Times New Roman"/>
          <w:sz w:val="24"/>
          <w:szCs w:val="24"/>
        </w:rPr>
        <w:t xml:space="preserve">, at påbud meddelt efter stk. 1 kan af virksomheden og den person, som påbuddet vedrører, forlanges indbragt for domstolene. Anmodning herom skal indgives til Spillemyndigheden inden 3 måneder efter, at påbuddet er meddelt den pågældende. </w:t>
      </w:r>
    </w:p>
    <w:p w14:paraId="5E839AB5" w14:textId="77777777" w:rsidR="00C55DA0" w:rsidRPr="00796736" w:rsidRDefault="00C55DA0" w:rsidP="00A802A5">
      <w:pPr>
        <w:spacing w:line="360" w:lineRule="auto"/>
        <w:rPr>
          <w:rFonts w:ascii="Times New Roman" w:eastAsia="Times New Roman" w:hAnsi="Times New Roman" w:cs="Times New Roman"/>
          <w:sz w:val="24"/>
          <w:szCs w:val="24"/>
        </w:rPr>
      </w:pPr>
    </w:p>
    <w:p w14:paraId="47451626" w14:textId="65593306" w:rsidR="007B7BA4"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Dermed er klagefristen den samme, uanset om der er tale om en klage til Landsskatteretten eller domstolsprøvelse.  3-måneders-fristen skal regnes fra datoen for afgørelsen. 3-måneders-fristen forudsætter, at klagevejledningen ikke er mangelfuld. Bestemmelsen svarer til § 48, stk. 3, i skatteforvaltningsloven, hvor en endelig administrativ afgørelse ikke kan indbringes for domstolene senere end tre måneder efter, at afgørelsen er truffet. </w:t>
      </w:r>
    </w:p>
    <w:p w14:paraId="0B6A08D3" w14:textId="77777777" w:rsidR="007B7BA4" w:rsidRPr="00D500FD" w:rsidRDefault="007B7BA4" w:rsidP="00A802A5">
      <w:pPr>
        <w:spacing w:line="360" w:lineRule="auto"/>
        <w:rPr>
          <w:rFonts w:ascii="Times New Roman" w:eastAsia="Times New Roman" w:hAnsi="Times New Roman" w:cs="Times New Roman"/>
          <w:sz w:val="24"/>
          <w:szCs w:val="24"/>
        </w:rPr>
      </w:pPr>
    </w:p>
    <w:p w14:paraId="13CF1BCB" w14:textId="11290FDF" w:rsidR="007B7BA4" w:rsidRPr="00796736" w:rsidRDefault="007B7B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bemærkes, at adgangen til domstolsprøvelse ikke </w:t>
      </w:r>
      <w:r w:rsidRPr="002E36FA">
        <w:rPr>
          <w:rFonts w:ascii="Times New Roman" w:eastAsia="Times New Roman" w:hAnsi="Times New Roman" w:cs="Times New Roman"/>
          <w:sz w:val="24"/>
          <w:szCs w:val="24"/>
        </w:rPr>
        <w:t xml:space="preserve">afskærer muligheden for at indbringe </w:t>
      </w:r>
      <w:r>
        <w:rPr>
          <w:rFonts w:ascii="Times New Roman" w:eastAsia="Times New Roman" w:hAnsi="Times New Roman" w:cs="Times New Roman"/>
          <w:sz w:val="24"/>
          <w:szCs w:val="24"/>
        </w:rPr>
        <w:t>afgørelsen</w:t>
      </w:r>
      <w:r w:rsidRPr="002E36FA">
        <w:rPr>
          <w:rFonts w:ascii="Times New Roman" w:eastAsia="Times New Roman" w:hAnsi="Times New Roman" w:cs="Times New Roman"/>
          <w:sz w:val="24"/>
          <w:szCs w:val="24"/>
        </w:rPr>
        <w:t xml:space="preserve"> for en administrativ rekursinstans</w:t>
      </w:r>
      <w:r>
        <w:rPr>
          <w:rFonts w:ascii="Times New Roman" w:eastAsia="Times New Roman" w:hAnsi="Times New Roman" w:cs="Times New Roman"/>
          <w:sz w:val="24"/>
          <w:szCs w:val="24"/>
        </w:rPr>
        <w:t>.</w:t>
      </w:r>
    </w:p>
    <w:p w14:paraId="2EC9DF25" w14:textId="77777777" w:rsidR="00C55DA0" w:rsidRPr="00796736" w:rsidRDefault="00C55DA0" w:rsidP="00A802A5">
      <w:pPr>
        <w:spacing w:line="360" w:lineRule="auto"/>
        <w:rPr>
          <w:rFonts w:ascii="Times New Roman" w:eastAsia="Times New Roman" w:hAnsi="Times New Roman" w:cs="Times New Roman"/>
          <w:sz w:val="24"/>
          <w:szCs w:val="24"/>
        </w:rPr>
      </w:pPr>
    </w:p>
    <w:p w14:paraId="11825CE5" w14:textId="471DC2DF"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sz w:val="24"/>
          <w:szCs w:val="24"/>
        </w:rPr>
        <w:t>3.-5. pkt.,</w:t>
      </w:r>
      <w:r w:rsidRPr="00796736">
        <w:rPr>
          <w:rFonts w:ascii="Times New Roman" w:eastAsia="Times New Roman" w:hAnsi="Times New Roman" w:cs="Times New Roman"/>
          <w:sz w:val="24"/>
          <w:szCs w:val="24"/>
        </w:rPr>
        <w:t xml:space="preserve"> at anmodningen ikke har opsættende virkning for påbuddet, men retten kan ved kendelse bestemme, at afgørelsen skal tillægges opsættende virkning. Spillemyndigheden skal indbringe sagen for domstolene inden 4 uger efter modtagelse af anmodning herom. Sagen anlægges i den borgerlige retsplejes former. </w:t>
      </w:r>
    </w:p>
    <w:p w14:paraId="5132777C" w14:textId="77777777" w:rsidR="00C55DA0" w:rsidRPr="00796736" w:rsidRDefault="00C55DA0" w:rsidP="00A802A5">
      <w:pPr>
        <w:spacing w:line="360" w:lineRule="auto"/>
        <w:rPr>
          <w:rFonts w:ascii="Times New Roman" w:eastAsia="Times New Roman" w:hAnsi="Times New Roman" w:cs="Times New Roman"/>
          <w:sz w:val="24"/>
          <w:szCs w:val="24"/>
        </w:rPr>
      </w:pPr>
    </w:p>
    <w:p w14:paraId="181EB607"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Af retssikkerhedsmæssige hensyn er det væsentligt, at både virksomheden og den person, som påbuddet vedrører, har mulighed for at få prøvet Spillemyndighedens afgørelse ved domstolene. Det er Spillemyndigheden, der har ansvaret for at indbringe sagen for domstolene, og dette skal ske inden for en frist på 4 uger efter, at anmodningen er modtaget. Der stilles ikke formkrav til anmodningen, hvilket sikrer en enkel og tilgængelig adgang til domstolsprøvelse.</w:t>
      </w:r>
    </w:p>
    <w:p w14:paraId="6D39E62F" w14:textId="77777777" w:rsidR="00C55DA0" w:rsidRPr="00796736" w:rsidRDefault="00C55DA0" w:rsidP="00A802A5">
      <w:pPr>
        <w:spacing w:line="360" w:lineRule="auto"/>
        <w:rPr>
          <w:rFonts w:ascii="Times New Roman" w:eastAsia="Times New Roman" w:hAnsi="Times New Roman" w:cs="Times New Roman"/>
          <w:sz w:val="24"/>
          <w:szCs w:val="24"/>
        </w:rPr>
      </w:pPr>
    </w:p>
    <w:p w14:paraId="61408964"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Som udgangspunkt tillægges en anmodning om domstolsprøvelse ikke opsættende virkning, da dette vil kunne hindre en løbende og effektiv håndhævelse af kravene om egnethed og hæderlighed for reelle ejere. Retten har dog mulighed for at bestemme, at afgørelsen skal tillægges opsættende virkning. Dette sikrer en balance mellem hensynet til effektivt tilsyn og den enkeltes retssikkerhed.</w:t>
      </w:r>
    </w:p>
    <w:p w14:paraId="03E3A5F6" w14:textId="77777777" w:rsidR="00C55DA0" w:rsidRPr="00796736" w:rsidRDefault="00C55DA0" w:rsidP="00A802A5">
      <w:pPr>
        <w:spacing w:line="360" w:lineRule="auto"/>
        <w:rPr>
          <w:rFonts w:ascii="Times New Roman" w:eastAsia="Times New Roman" w:hAnsi="Times New Roman" w:cs="Times New Roman"/>
          <w:sz w:val="24"/>
          <w:szCs w:val="24"/>
        </w:rPr>
      </w:pPr>
    </w:p>
    <w:p w14:paraId="4F627FAB" w14:textId="09D6D1F4"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i s</w:t>
      </w:r>
      <w:r w:rsidRPr="00796736">
        <w:rPr>
          <w:rFonts w:ascii="Times New Roman" w:eastAsia="Times New Roman" w:hAnsi="Times New Roman" w:cs="Times New Roman"/>
          <w:i/>
          <w:iCs/>
          <w:sz w:val="24"/>
          <w:szCs w:val="24"/>
        </w:rPr>
        <w:t xml:space="preserve">tk. </w:t>
      </w:r>
      <w:r w:rsidR="007B7BA4">
        <w:rPr>
          <w:rFonts w:ascii="Times New Roman" w:eastAsia="Times New Roman" w:hAnsi="Times New Roman" w:cs="Times New Roman"/>
          <w:i/>
          <w:iCs/>
          <w:sz w:val="24"/>
          <w:szCs w:val="24"/>
        </w:rPr>
        <w:t>6</w:t>
      </w:r>
      <w:r w:rsidRPr="00796736">
        <w:rPr>
          <w:rFonts w:ascii="Times New Roman" w:eastAsia="Times New Roman" w:hAnsi="Times New Roman" w:cs="Times New Roman"/>
          <w:sz w:val="24"/>
          <w:szCs w:val="24"/>
        </w:rPr>
        <w:t xml:space="preserve">, at Spillemyndigheden af egen drift eller efter ansøgning kan tilbagekalde et påbud meddelt efter stk. 1. Afslår Spillemyndigheden en ansøgning om tilbagekaldelse, kan ansøgeren forlange afslaget indbragt for domstolene. Anmodning herom skal indgives til Spillemyndigheden inden 3 måneder efter, at afslaget er meddelt den pågældende. Anmodning om domstolsprøvelse kan dog kun fremsættes, hvis påbuddet ikke er tidsbegrænset, og der er forløbet mindst 5 år fra datoen for udstedelsen af påbuddet, eller mindst 2 år efter at Spillemyndighedens afslag på tilbagekaldelse er stadfæstet ved dom. </w:t>
      </w:r>
    </w:p>
    <w:p w14:paraId="10C8B0E5" w14:textId="77777777" w:rsidR="00C55DA0" w:rsidRPr="00796736" w:rsidRDefault="00C55DA0" w:rsidP="00A802A5">
      <w:pPr>
        <w:spacing w:line="360" w:lineRule="auto"/>
        <w:rPr>
          <w:rFonts w:ascii="Times New Roman" w:eastAsia="Times New Roman" w:hAnsi="Times New Roman" w:cs="Times New Roman"/>
          <w:sz w:val="24"/>
          <w:szCs w:val="24"/>
        </w:rPr>
      </w:pPr>
    </w:p>
    <w:p w14:paraId="7E36F8A3"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Dermed er klagefristen den samme, uanset om der er tale om en klage til Landsskatteretten eller domstolsprøvelse. 3-måneders-fristen skal regnes fra datoen for afgørelsen. 3-måneders-fristen forudsætter, at klagevejledningen ikke er mangelfuld. Bestemmelsen svarer til skatteforvaltningens § 48, stk. 3, , hvor en endelig administrativ afgørelse ikke kan indbringes for domstolene senere end 3 måneder efter, at afgørelsen er truffet.</w:t>
      </w:r>
    </w:p>
    <w:p w14:paraId="1DED6EF1" w14:textId="77777777" w:rsidR="00C55DA0" w:rsidRPr="00796736" w:rsidRDefault="00C55DA0" w:rsidP="00A802A5">
      <w:pPr>
        <w:spacing w:line="360" w:lineRule="auto"/>
        <w:rPr>
          <w:rFonts w:ascii="Times New Roman" w:eastAsia="Times New Roman" w:hAnsi="Times New Roman" w:cs="Times New Roman"/>
          <w:sz w:val="24"/>
          <w:szCs w:val="24"/>
        </w:rPr>
      </w:pPr>
    </w:p>
    <w:p w14:paraId="38C5D26B"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Bestemmelsen vil sikre, at Spillemyndigheden til enhver tid kan tilbagekalde et påbud, hvis forholdene ændrer sig, eller hvis der foreligger nye oplysninger, der taler for, at påbuddet ikke længere bør opretholdes med den fastsatte varighed. En person, der har modtaget et påbud, kan således ansøge Spillemyndigheden om at få påbuddet tilbagekaldt. Hvis Spillemyndigheden afslår ansøgningen, kan ansøgeren forlange, at afslaget indbringes for domstolene. Dette skal ske ved, at ansøgeren indgiver anmodning til Spillemyndigheden inden 3 måneder efter, at afslaget er meddelt.</w:t>
      </w:r>
    </w:p>
    <w:p w14:paraId="1826158F" w14:textId="77777777" w:rsidR="00C55DA0" w:rsidRPr="00796736" w:rsidRDefault="00C55DA0" w:rsidP="00A802A5">
      <w:pPr>
        <w:spacing w:line="360" w:lineRule="auto"/>
        <w:rPr>
          <w:rFonts w:ascii="Times New Roman" w:hAnsi="Times New Roman" w:cs="Times New Roman"/>
          <w:iCs/>
          <w:sz w:val="24"/>
          <w:szCs w:val="24"/>
        </w:rPr>
      </w:pPr>
    </w:p>
    <w:p w14:paraId="0815DBC1" w14:textId="77777777" w:rsidR="00C55DA0" w:rsidRDefault="00C55DA0"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Det vil være en betingelse for at kunne kræve domstolsprøvelse af et afslag på tilbagekaldelse, at påbuddets varighed ikke er tidsbegrænset, og at der er forløbet mindst 5 år fra datoen for udstedelsen af påbuddet, eller mindst 2 år efter at Spillemyndighedens afslag på tilbagekaldelse er stadfæstet ved dom. Begrænsningerne har kun betydning for muligheden for at kræve sagen indbragt for domstolene af Spillemyndigheden. En person, som har modtaget et afslag, vil til enhver tid have mulighed for selv at anlægge sag ved domstolene.</w:t>
      </w:r>
    </w:p>
    <w:p w14:paraId="08B68A49" w14:textId="7C165C34" w:rsidR="007B7BA4" w:rsidRPr="007B7BA4" w:rsidRDefault="007B7BA4" w:rsidP="00A802A5">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bemærkes, at adgangen til domstolsprøvelse ikke </w:t>
      </w:r>
      <w:r w:rsidRPr="002E36FA">
        <w:rPr>
          <w:rFonts w:ascii="Times New Roman" w:eastAsia="Times New Roman" w:hAnsi="Times New Roman" w:cs="Times New Roman"/>
          <w:sz w:val="24"/>
          <w:szCs w:val="24"/>
        </w:rPr>
        <w:t xml:space="preserve">afskærer muligheden for at indbringe </w:t>
      </w:r>
      <w:r>
        <w:rPr>
          <w:rFonts w:ascii="Times New Roman" w:eastAsia="Times New Roman" w:hAnsi="Times New Roman" w:cs="Times New Roman"/>
          <w:sz w:val="24"/>
          <w:szCs w:val="24"/>
        </w:rPr>
        <w:t>afgørelsen</w:t>
      </w:r>
      <w:r w:rsidRPr="002E36FA">
        <w:rPr>
          <w:rFonts w:ascii="Times New Roman" w:eastAsia="Times New Roman" w:hAnsi="Times New Roman" w:cs="Times New Roman"/>
          <w:sz w:val="24"/>
          <w:szCs w:val="24"/>
        </w:rPr>
        <w:t xml:space="preserve"> for en administrativ rekursinstans</w:t>
      </w:r>
      <w:r>
        <w:rPr>
          <w:rFonts w:ascii="Times New Roman" w:eastAsia="Times New Roman" w:hAnsi="Times New Roman" w:cs="Times New Roman"/>
          <w:sz w:val="24"/>
          <w:szCs w:val="24"/>
        </w:rPr>
        <w:t>.</w:t>
      </w:r>
    </w:p>
    <w:p w14:paraId="5C3ECFBD" w14:textId="77777777" w:rsidR="001C7943" w:rsidRPr="00796736" w:rsidRDefault="001C7943" w:rsidP="00A802A5">
      <w:pPr>
        <w:spacing w:after="240" w:line="360" w:lineRule="auto"/>
        <w:rPr>
          <w:rFonts w:ascii="Times New Roman" w:hAnsi="Times New Roman" w:cs="Times New Roman"/>
          <w:iCs/>
          <w:sz w:val="24"/>
          <w:szCs w:val="24"/>
        </w:rPr>
      </w:pPr>
    </w:p>
    <w:p w14:paraId="70B46557" w14:textId="77C98C64" w:rsidR="001C7943" w:rsidRPr="00796736" w:rsidRDefault="001C7943" w:rsidP="00A802A5">
      <w:pPr>
        <w:pStyle w:val="Undertitel"/>
      </w:pPr>
      <w:bookmarkStart w:id="2210" w:name="_Toc244879417"/>
      <w:bookmarkStart w:id="2211" w:name="_Toc244880942"/>
      <w:r w:rsidRPr="00796736">
        <w:t xml:space="preserve">Til </w:t>
      </w:r>
      <w:r w:rsidRPr="00796736">
        <w:fldChar w:fldCharType="begin"/>
      </w:r>
      <w:r w:rsidRPr="00796736">
        <w:instrText xml:space="preserve"> REF _Ref236145057 \n \h </w:instrText>
      </w:r>
      <w:r w:rsidR="00A47042" w:rsidRPr="00796736">
        <w:instrText xml:space="preserve"> \* MERGEFORMAT </w:instrText>
      </w:r>
      <w:r w:rsidRPr="00796736">
        <w:fldChar w:fldCharType="separate"/>
      </w:r>
      <w:r w:rsidR="008F29E5">
        <w:t>§ 121</w:t>
      </w:r>
      <w:bookmarkEnd w:id="2210"/>
      <w:bookmarkEnd w:id="2211"/>
      <w:r w:rsidRPr="00796736">
        <w:fldChar w:fldCharType="end"/>
      </w:r>
      <w:r w:rsidRPr="00796736">
        <w:t xml:space="preserve"> </w:t>
      </w:r>
    </w:p>
    <w:p w14:paraId="3067A501"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Hvidvasklovens § 66 indeholder bemyndigelse til, at Spillemyndigheden kan påbyde udbydere af spil inden for en af Spillemyndigheden fastsat frist at foretage de nødvendige foranstaltninger i tilfælde af overtrædelse af bestemmelser i hvidvaskloven, de regler, der er fastsat i medfør heraf, eller forordninger indeholdende regler om finansielle sanktioner mod lande, personer, grupper, juridiske enheder eller organer.</w:t>
      </w:r>
    </w:p>
    <w:p w14:paraId="57E94BD8" w14:textId="77777777" w:rsidR="001C7943" w:rsidRPr="00796736" w:rsidRDefault="001C7943" w:rsidP="00A802A5">
      <w:pPr>
        <w:spacing w:line="360" w:lineRule="auto"/>
        <w:rPr>
          <w:rFonts w:ascii="Times New Roman" w:hAnsi="Times New Roman" w:cs="Times New Roman"/>
          <w:iCs/>
          <w:sz w:val="24"/>
          <w:szCs w:val="24"/>
        </w:rPr>
      </w:pPr>
    </w:p>
    <w:p w14:paraId="2C0F88EB" w14:textId="254B712E"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_Ref236145057 \n \h </w:instrText>
      </w:r>
      <w:r w:rsidR="00A47042"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iCs/>
          <w:sz w:val="24"/>
          <w:szCs w:val="24"/>
        </w:rPr>
        <w:t xml:space="preserve">indeholder bemyndigelse til, at Spillemyndigheden kan træffe afgørelse om, at et medlem af bestyrelsen eller direktionen i selskaber m.v. (juridiske personer) skal udtræde af bestyrelsen eller direktionen, hvis medlemmet </w:t>
      </w:r>
      <w:r w:rsidR="009C423A" w:rsidRPr="00796736">
        <w:rPr>
          <w:rFonts w:ascii="Times New Roman" w:hAnsi="Times New Roman" w:cs="Times New Roman"/>
          <w:iCs/>
          <w:sz w:val="24"/>
          <w:szCs w:val="24"/>
        </w:rPr>
        <w:t xml:space="preserve">er dømt for hvidvask af penge, de relevante underliggende lovovertrædelser eller finansiering af terrorisme, eller </w:t>
      </w:r>
      <w:r w:rsidRPr="00796736">
        <w:rPr>
          <w:rFonts w:ascii="Times New Roman" w:hAnsi="Times New Roman" w:cs="Times New Roman"/>
          <w:iCs/>
          <w:sz w:val="24"/>
          <w:szCs w:val="24"/>
        </w:rPr>
        <w:t xml:space="preserve">ikke lever op til egnetheds- og hæderlighedskravene efter den foreslåede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_Ref236641619 \n \h </w:instrText>
      </w:r>
      <w:r w:rsidR="00A47042"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115</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w:t>
      </w:r>
    </w:p>
    <w:p w14:paraId="6B0464FA" w14:textId="77777777" w:rsidR="001C7943" w:rsidRPr="00796736" w:rsidRDefault="001C7943" w:rsidP="00A802A5">
      <w:pPr>
        <w:spacing w:line="360" w:lineRule="auto"/>
        <w:rPr>
          <w:rFonts w:ascii="Times New Roman" w:hAnsi="Times New Roman" w:cs="Times New Roman"/>
          <w:iCs/>
          <w:sz w:val="24"/>
          <w:szCs w:val="24"/>
        </w:rPr>
      </w:pPr>
    </w:p>
    <w:p w14:paraId="719E4F97"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bemærkes, at der i bemærkningerne til § 66 i den gældende hvidvasklov er indeholdt en adgang for Spillemyndigheden til at udstede et midlertidigt forbud om, at personer i den daglige ledelse i en virksomhed, eller andre fysiske personer, der holdes ansvarlige for overtrædelsen, varetager ledelsen af opgaver i relation til opfyldelse af kravene i hvidvaskloven. Der henvises til Folketingstidende 2016-2017, tillæg A, L 41 som fremsat, bemærkningerne til § 59, side 177. </w:t>
      </w:r>
    </w:p>
    <w:p w14:paraId="58DAE7CB" w14:textId="77777777" w:rsidR="001C7943" w:rsidRPr="00796736" w:rsidRDefault="001C7943" w:rsidP="00A802A5">
      <w:pPr>
        <w:spacing w:line="360" w:lineRule="auto"/>
        <w:rPr>
          <w:rFonts w:ascii="Times New Roman" w:hAnsi="Times New Roman" w:cs="Times New Roman"/>
          <w:iCs/>
          <w:sz w:val="24"/>
          <w:szCs w:val="24"/>
        </w:rPr>
      </w:pPr>
    </w:p>
    <w:p w14:paraId="43470859" w14:textId="77777777" w:rsidR="00C55DA0"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Den foreslåede bestemmelse medfører, at der ikke længere vil eksistere en mulighed for alene at foretage en indskrænkning af vedkommendes ledelsesmæssige opgaver, idet anvendelsen af bestemmelsen forudsætter, at vedkommende afsættes og derved fratages alle ledelsesmæssige opgaver i perioden.</w:t>
      </w:r>
    </w:p>
    <w:p w14:paraId="1EC38017" w14:textId="77777777" w:rsidR="007B7BA4" w:rsidRDefault="007B7BA4" w:rsidP="00A802A5">
      <w:pPr>
        <w:spacing w:line="360" w:lineRule="auto"/>
        <w:rPr>
          <w:rFonts w:ascii="Times New Roman" w:hAnsi="Times New Roman" w:cs="Times New Roman"/>
          <w:iCs/>
          <w:sz w:val="24"/>
          <w:szCs w:val="24"/>
        </w:rPr>
      </w:pPr>
    </w:p>
    <w:p w14:paraId="07E51C19" w14:textId="6AA8F880" w:rsidR="007B7BA4" w:rsidRPr="007B7BA4" w:rsidRDefault="007B7BA4" w:rsidP="00A802A5">
      <w:pPr>
        <w:spacing w:line="360" w:lineRule="auto"/>
        <w:rPr>
          <w:rFonts w:ascii="Times New Roman" w:eastAsia="Calibri" w:hAnsi="Times New Roman" w:cs="Times New Roman"/>
          <w:sz w:val="24"/>
          <w:szCs w:val="24"/>
        </w:rPr>
      </w:pPr>
      <w:r w:rsidRPr="00BA67DE">
        <w:rPr>
          <w:rFonts w:ascii="Times New Roman" w:eastAsia="Calibri" w:hAnsi="Times New Roman" w:cs="Times New Roman"/>
          <w:sz w:val="24"/>
          <w:szCs w:val="24"/>
        </w:rPr>
        <w:t xml:space="preserve">Bestemmelsen vil indebære, at der </w:t>
      </w:r>
      <w:r>
        <w:rPr>
          <w:rFonts w:ascii="Times New Roman" w:eastAsia="Calibri" w:hAnsi="Times New Roman" w:cs="Times New Roman"/>
          <w:sz w:val="24"/>
          <w:szCs w:val="24"/>
        </w:rPr>
        <w:t xml:space="preserve">vil skulle </w:t>
      </w:r>
      <w:r w:rsidRPr="00BA67DE">
        <w:rPr>
          <w:rFonts w:ascii="Times New Roman" w:eastAsia="Calibri" w:hAnsi="Times New Roman" w:cs="Times New Roman"/>
          <w:sz w:val="24"/>
          <w:szCs w:val="24"/>
        </w:rPr>
        <w:t>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60FB32E8" w14:textId="57F3E939"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 </w:t>
      </w:r>
    </w:p>
    <w:p w14:paraId="6FD2CB95" w14:textId="7E9BCCD0"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_Ref241439504 \r \h </w:instrText>
      </w:r>
      <w:r w:rsidR="007F4BB9"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121</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1, at </w:t>
      </w:r>
      <w:r w:rsidRPr="00796736">
        <w:rPr>
          <w:rFonts w:ascii="Times New Roman" w:hAnsi="Times New Roman" w:cs="Times New Roman"/>
          <w:sz w:val="24"/>
          <w:szCs w:val="24"/>
        </w:rPr>
        <w:t xml:space="preserve">Spillemyndigheden i tilfælde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_Ref236144985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inden for en af spillemyndigheden fastsat frist</w:t>
      </w:r>
      <w:r w:rsidR="00EA5BF5" w:rsidRPr="00796736">
        <w:rPr>
          <w:rFonts w:ascii="Times New Roman" w:hAnsi="Times New Roman" w:cs="Times New Roman"/>
          <w:sz w:val="24"/>
          <w:szCs w:val="24"/>
        </w:rPr>
        <w:t xml:space="preserve"> kan</w:t>
      </w:r>
      <w:r w:rsidRPr="00796736">
        <w:rPr>
          <w:rFonts w:ascii="Times New Roman" w:hAnsi="Times New Roman" w:cs="Times New Roman"/>
          <w:sz w:val="24"/>
          <w:szCs w:val="24"/>
        </w:rPr>
        <w:t xml:space="preserve"> påbyde de virksomheder og personer omfattet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_Ref239189479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at foretage visse ændringer i ledelsesstrukturen, herunder at visse personer midlertidigt ikke kan varetage ledelsesfunktioner i den pågældende virksomhed.  </w:t>
      </w:r>
    </w:p>
    <w:p w14:paraId="04D90673" w14:textId="77777777" w:rsidR="00C55DA0" w:rsidRPr="00796736" w:rsidRDefault="00C55DA0" w:rsidP="00A802A5">
      <w:pPr>
        <w:spacing w:line="360" w:lineRule="auto"/>
        <w:rPr>
          <w:rFonts w:ascii="Times New Roman" w:hAnsi="Times New Roman" w:cs="Times New Roman"/>
          <w:iCs/>
          <w:sz w:val="24"/>
          <w:szCs w:val="24"/>
        </w:rPr>
      </w:pPr>
    </w:p>
    <w:p w14:paraId="14D90BDF"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Bestemmelsen er ny og implementerer 6. hvidvaskdirektivs artikel 56, stk. 2, litra g og stk. 3, litra e.</w:t>
      </w:r>
    </w:p>
    <w:p w14:paraId="65A93649" w14:textId="77777777" w:rsidR="00C55DA0" w:rsidRPr="00796736" w:rsidRDefault="00C55DA0" w:rsidP="00A802A5">
      <w:pPr>
        <w:spacing w:line="360" w:lineRule="auto"/>
        <w:rPr>
          <w:rFonts w:ascii="Times New Roman" w:hAnsi="Times New Roman" w:cs="Times New Roman"/>
          <w:iCs/>
          <w:sz w:val="24"/>
          <w:szCs w:val="24"/>
        </w:rPr>
      </w:pPr>
    </w:p>
    <w:p w14:paraId="27948B47" w14:textId="2781BED1"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foreslåede bestemmelse vil medføre, at Spillemyndigheden vil kunne udstede et midlertidigt forbud mod, at et medlem i den øverste ledelse i en virksomhed under Spillemyndighedens tilsyn eller andre personer, der er blevet holdt ansvarlige for forhold omfattet af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_Ref236144985 \r \h </w:instrText>
      </w:r>
      <w:r w:rsidR="007F4BB9"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117</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varetager ledelsesfunktioner i den pågældende virksomhed. </w:t>
      </w:r>
    </w:p>
    <w:p w14:paraId="08AFE6D5" w14:textId="77777777" w:rsidR="00C55DA0" w:rsidRPr="00796736" w:rsidRDefault="00C55DA0" w:rsidP="00A802A5">
      <w:pPr>
        <w:spacing w:line="360" w:lineRule="auto"/>
        <w:rPr>
          <w:rFonts w:ascii="Times New Roman" w:hAnsi="Times New Roman" w:cs="Times New Roman"/>
          <w:iCs/>
          <w:sz w:val="24"/>
          <w:szCs w:val="24"/>
        </w:rPr>
      </w:pPr>
    </w:p>
    <w:p w14:paraId="5F372A28"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Formålet med bestemmelsen er at sikre, at personer, der besidder et ledelsesansvar eller i øvrigt kan holdes ansvarlige for virksomhedens manglende overholdelse af hvidvaskforordningen mv., ikke varetager relevante ledelsesfunktioner i virksomheden, hvor vedkommende fortsat har ansvar for og væsentlig indflydelse på virksomhedens efterlevelse reglerne.</w:t>
      </w:r>
    </w:p>
    <w:p w14:paraId="625923E2" w14:textId="77777777" w:rsidR="00C55DA0" w:rsidRPr="00796736" w:rsidRDefault="00C55DA0" w:rsidP="00A802A5">
      <w:pPr>
        <w:spacing w:line="360" w:lineRule="auto"/>
        <w:rPr>
          <w:rFonts w:ascii="Times New Roman" w:hAnsi="Times New Roman" w:cs="Times New Roman"/>
          <w:iCs/>
          <w:sz w:val="24"/>
          <w:szCs w:val="24"/>
        </w:rPr>
      </w:pPr>
    </w:p>
    <w:p w14:paraId="10C28FC3"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Et midlertidigt forbud efter stk. 1 vil kunne rettes mod relevante medlemmer af virksomhedens øverste ledelse og andre personer, der er ansvarlige for overtrædelsen. Dette vil ud fra en konkret vurdering også kunne omfatte virksomhedens compliancemedarbejder udpeget i henhold til hvidvaskforordningens artikel 11, stk. 2.</w:t>
      </w:r>
    </w:p>
    <w:p w14:paraId="1311EC95" w14:textId="77777777" w:rsidR="00C55DA0" w:rsidRPr="00796736" w:rsidRDefault="00C55DA0" w:rsidP="00A802A5">
      <w:pPr>
        <w:spacing w:line="360" w:lineRule="auto"/>
        <w:rPr>
          <w:rFonts w:ascii="Times New Roman" w:hAnsi="Times New Roman" w:cs="Times New Roman"/>
          <w:iCs/>
          <w:sz w:val="24"/>
          <w:szCs w:val="24"/>
        </w:rPr>
      </w:pPr>
    </w:p>
    <w:p w14:paraId="31ADC135" w14:textId="14694FAB"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Anvendelsen af et midlertidigt forbud efter stk. 1 vil i videst muligt omfang skulle begrænses til varetagelsen af ledelsesfunktioner og opgaver i relation til virksomhedens efterlevelse af reglerne for forebyggelse og bekæmpelse af hvidvask mv., herunder hvidvaskforordningen og de øvrige retsakter nævnt i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_Ref236144985 \r \h </w:instrText>
      </w:r>
      <w:r w:rsidR="007F4BB9"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117</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Personen vil derfor uanset et midlertidigt forbud efter stk. 1 stadig kunne varetage andre ledelsesmæssige opgaver i virksomheden.</w:t>
      </w:r>
    </w:p>
    <w:p w14:paraId="71D9E71E" w14:textId="77777777" w:rsidR="00C55DA0" w:rsidRPr="00796736" w:rsidRDefault="00C55DA0" w:rsidP="00A802A5">
      <w:pPr>
        <w:spacing w:line="360" w:lineRule="auto"/>
        <w:rPr>
          <w:rFonts w:ascii="Times New Roman" w:hAnsi="Times New Roman" w:cs="Times New Roman"/>
          <w:iCs/>
          <w:sz w:val="24"/>
          <w:szCs w:val="24"/>
        </w:rPr>
      </w:pPr>
    </w:p>
    <w:p w14:paraId="4F845412"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Det, at forbuddet er midlertidigt, betyder, at det vil skulle udstedes for en kortere periode, hvor det er nødvendigt at fjerne den pågældende person f.eks. for at forhindre hvidvask eller terrorfinansiering.</w:t>
      </w:r>
    </w:p>
    <w:p w14:paraId="229A1F37" w14:textId="77777777" w:rsidR="00C55DA0" w:rsidRPr="00796736" w:rsidRDefault="00C55DA0" w:rsidP="00A802A5">
      <w:pPr>
        <w:spacing w:line="360" w:lineRule="auto"/>
        <w:rPr>
          <w:rFonts w:ascii="Times New Roman" w:hAnsi="Times New Roman" w:cs="Times New Roman"/>
          <w:iCs/>
          <w:sz w:val="24"/>
          <w:szCs w:val="24"/>
        </w:rPr>
      </w:pPr>
    </w:p>
    <w:p w14:paraId="0DAC514F"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Virksomheden vil som konsekvens af et midlertidigt forbud efter stk. 1 skulle foretage de fornødne ændringer i ledelsesstrukturen, så det tilsikres, at den pågældende person forbuddet vedrører ikke vil kunne besidde de relevante ledelsesfunktioner. </w:t>
      </w:r>
    </w:p>
    <w:p w14:paraId="1FDCD828" w14:textId="77777777" w:rsidR="001C7943" w:rsidRPr="00796736" w:rsidRDefault="001C7943" w:rsidP="00A802A5">
      <w:pPr>
        <w:spacing w:line="360" w:lineRule="auto"/>
        <w:rPr>
          <w:rFonts w:ascii="Times New Roman" w:hAnsi="Times New Roman" w:cs="Times New Roman"/>
          <w:iCs/>
          <w:sz w:val="24"/>
          <w:szCs w:val="24"/>
        </w:rPr>
      </w:pPr>
    </w:p>
    <w:p w14:paraId="0D02C8BB" w14:textId="6160B65D"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iCs/>
          <w:sz w:val="24"/>
          <w:szCs w:val="24"/>
        </w:rPr>
        <w:t xml:space="preserve">stk. 2, </w:t>
      </w:r>
      <w:r w:rsidRPr="00796736">
        <w:rPr>
          <w:rFonts w:ascii="Times New Roman" w:hAnsi="Times New Roman" w:cs="Times New Roman"/>
          <w:iCs/>
          <w:sz w:val="24"/>
          <w:szCs w:val="24"/>
        </w:rPr>
        <w:t xml:space="preserve">at Spillemyndigheden kan påbyde virksomheder og personer, omfattet af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_Ref239189479 \r \h </w:instrText>
      </w:r>
      <w:r w:rsidR="007F4BB9"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112</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nr. 1, at afsætte en person fra den øverste ledelse, inden for en af Spillemyndigheden fastsat frist, hvis personen:</w:t>
      </w:r>
    </w:p>
    <w:p w14:paraId="0E2A400D" w14:textId="05E7FA78" w:rsidR="00EA5BF5"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1) Er dømt for hvidvask af penge, de relevante underliggende lovovertrædelser eller finansiering af terrorisme.</w:t>
      </w:r>
    </w:p>
    <w:p w14:paraId="7D0E0C2B" w14:textId="12DD587B" w:rsidR="00C55DA0" w:rsidRPr="007B7BA4"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2)</w:t>
      </w:r>
      <w:r w:rsidR="007B7BA4">
        <w:rPr>
          <w:rFonts w:ascii="Times New Roman" w:hAnsi="Times New Roman" w:cs="Times New Roman"/>
          <w:iCs/>
          <w:sz w:val="24"/>
          <w:szCs w:val="24"/>
        </w:rPr>
        <w:t xml:space="preserve"> </w:t>
      </w:r>
      <w:r w:rsidRPr="00796736">
        <w:rPr>
          <w:rFonts w:ascii="Times New Roman" w:hAnsi="Times New Roman" w:cs="Times New Roman"/>
          <w:iCs/>
          <w:sz w:val="24"/>
          <w:szCs w:val="24"/>
        </w:rPr>
        <w:t xml:space="preserve">Ikke opfylder betingelserne i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_Ref236641619 \r \h </w:instrText>
      </w:r>
      <w:r w:rsidR="007F4BB9"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115</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nr. 1 og 2, der er nødvendige for at bestride stillingen.</w:t>
      </w:r>
    </w:p>
    <w:p w14:paraId="1EF5CA3B" w14:textId="77777777" w:rsidR="00C55DA0" w:rsidRPr="00796736" w:rsidRDefault="00C55DA0" w:rsidP="00A802A5">
      <w:pPr>
        <w:spacing w:line="360" w:lineRule="auto"/>
        <w:rPr>
          <w:rFonts w:ascii="Times New Roman" w:hAnsi="Times New Roman" w:cs="Times New Roman"/>
          <w:iCs/>
          <w:sz w:val="24"/>
          <w:szCs w:val="24"/>
        </w:rPr>
      </w:pPr>
    </w:p>
    <w:p w14:paraId="565BFDFE" w14:textId="7866AF16"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Spillemyndigheden kan under samme betingelser som i 1</w:t>
      </w:r>
      <w:r w:rsidRPr="00796736" w:rsidDel="00CB679A">
        <w:rPr>
          <w:rFonts w:ascii="Times New Roman" w:hAnsi="Times New Roman" w:cs="Times New Roman"/>
          <w:iCs/>
          <w:sz w:val="24"/>
          <w:szCs w:val="24"/>
        </w:rPr>
        <w:t>. pkt.</w:t>
      </w:r>
      <w:r w:rsidRPr="00796736">
        <w:rPr>
          <w:rFonts w:ascii="Times New Roman" w:hAnsi="Times New Roman" w:cs="Times New Roman"/>
          <w:iCs/>
          <w:sz w:val="24"/>
          <w:szCs w:val="24"/>
        </w:rPr>
        <w:t xml:space="preserve"> påbyde et medlem af bestyrelsen hos en virksomhed, som er omfattet af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_Ref239189479 \r \h </w:instrText>
      </w:r>
      <w:r w:rsidR="007F4BB9"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112</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nr. 1, at nedlægge sit hverv inden for en af Spillemyndigheden fastsat frist.</w:t>
      </w:r>
    </w:p>
    <w:p w14:paraId="222BDAD5" w14:textId="77777777" w:rsidR="00C55DA0" w:rsidRPr="00796736" w:rsidRDefault="00C55DA0" w:rsidP="00A802A5">
      <w:pPr>
        <w:spacing w:line="360" w:lineRule="auto"/>
        <w:rPr>
          <w:rFonts w:ascii="Times New Roman" w:hAnsi="Times New Roman" w:cs="Times New Roman"/>
          <w:iCs/>
          <w:sz w:val="24"/>
          <w:szCs w:val="24"/>
        </w:rPr>
      </w:pPr>
    </w:p>
    <w:p w14:paraId="0776E3E4"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er ny og implementerer artikel 6, stk. 4, artikel 53, stk. 4, </w:t>
      </w:r>
      <w:r w:rsidRPr="00796736" w:rsidDel="00AA299F">
        <w:rPr>
          <w:rFonts w:ascii="Times New Roman" w:hAnsi="Times New Roman" w:cs="Times New Roman"/>
          <w:iCs/>
          <w:sz w:val="24"/>
          <w:szCs w:val="24"/>
        </w:rPr>
        <w:t>1</w:t>
      </w:r>
      <w:r w:rsidRPr="00796736">
        <w:rPr>
          <w:rFonts w:ascii="Times New Roman" w:hAnsi="Times New Roman" w:cs="Times New Roman"/>
          <w:iCs/>
          <w:sz w:val="24"/>
          <w:szCs w:val="24"/>
        </w:rPr>
        <w:t xml:space="preserve"> afsnit og artikel 56, stk. 2, litra g, i 6. hvidvaskdirektiv. </w:t>
      </w:r>
    </w:p>
    <w:p w14:paraId="7DEF11EA" w14:textId="77777777" w:rsidR="001C7943" w:rsidRPr="00796736" w:rsidRDefault="001C7943" w:rsidP="00A802A5">
      <w:pPr>
        <w:spacing w:line="360" w:lineRule="auto"/>
        <w:rPr>
          <w:rFonts w:ascii="Times New Roman" w:hAnsi="Times New Roman" w:cs="Times New Roman"/>
          <w:iCs/>
          <w:sz w:val="24"/>
          <w:szCs w:val="24"/>
        </w:rPr>
      </w:pPr>
    </w:p>
    <w:p w14:paraId="578F3571" w14:textId="77777777"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I Europa-Parlamentets og Rådets forordning (EU) 2024/1624 defineres "øverste ledelse" i artikel 2, stk. 1, nr. 40.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2C021E92" w14:textId="77777777" w:rsidR="001C7943" w:rsidRPr="00796736" w:rsidRDefault="001C7943" w:rsidP="00A802A5">
      <w:pPr>
        <w:spacing w:line="360" w:lineRule="auto"/>
        <w:rPr>
          <w:rFonts w:ascii="Times New Roman" w:hAnsi="Times New Roman" w:cs="Times New Roman"/>
          <w:iCs/>
          <w:sz w:val="24"/>
          <w:szCs w:val="24"/>
        </w:rPr>
      </w:pPr>
    </w:p>
    <w:p w14:paraId="685B9DCE" w14:textId="431A7E7F"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forudsættes for anvendelsen af bestemmelsen, at den pågældende person fra den øverste ledelse, herunder direktør eller medlem af bestyrelsen, er dømt for hvidvask af penge, de relevante underliggende lovovertrædelser eller finansiering af terrorisme, eller ikke kan bestride stillingen som følge af, at vedkommende ikke kan efterleve de foreslåede hæderligheds- og egnethedskrav efter de foreslåede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_Ref236641619 \n \h </w:instrText>
      </w:r>
      <w:r w:rsidR="00A47042"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115</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1, nr.  1 og 2. </w:t>
      </w:r>
    </w:p>
    <w:p w14:paraId="1DC1CEB7" w14:textId="77777777" w:rsidR="001C7943" w:rsidRPr="00796736" w:rsidRDefault="001C7943" w:rsidP="00A802A5">
      <w:pPr>
        <w:spacing w:line="360" w:lineRule="auto"/>
        <w:rPr>
          <w:rFonts w:ascii="Times New Roman" w:hAnsi="Times New Roman" w:cs="Times New Roman"/>
          <w:iCs/>
          <w:sz w:val="24"/>
          <w:szCs w:val="24"/>
        </w:rPr>
      </w:pPr>
    </w:p>
    <w:p w14:paraId="4EA72518" w14:textId="7FE7AE17" w:rsidR="009C423A"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Spillemyndigheden </w:t>
      </w:r>
      <w:r w:rsidR="00C55DA0" w:rsidRPr="00796736">
        <w:rPr>
          <w:rFonts w:ascii="Times New Roman" w:hAnsi="Times New Roman" w:cs="Times New Roman"/>
          <w:iCs/>
          <w:sz w:val="24"/>
          <w:szCs w:val="24"/>
        </w:rPr>
        <w:t>vil skulle</w:t>
      </w:r>
      <w:r w:rsidRPr="00796736">
        <w:rPr>
          <w:rFonts w:ascii="Times New Roman" w:hAnsi="Times New Roman" w:cs="Times New Roman"/>
          <w:iCs/>
          <w:sz w:val="24"/>
          <w:szCs w:val="24"/>
        </w:rPr>
        <w:t xml:space="preserve"> således modtage dokumentation for, at der foreligger en endelig fældende dom. </w:t>
      </w:r>
    </w:p>
    <w:p w14:paraId="22B76095" w14:textId="77777777" w:rsidR="009C423A" w:rsidRPr="00796736" w:rsidRDefault="009C423A" w:rsidP="00A802A5">
      <w:pPr>
        <w:spacing w:line="360" w:lineRule="auto"/>
        <w:rPr>
          <w:rFonts w:ascii="Times New Roman" w:hAnsi="Times New Roman" w:cs="Times New Roman"/>
          <w:iCs/>
          <w:sz w:val="24"/>
          <w:szCs w:val="24"/>
        </w:rPr>
      </w:pPr>
    </w:p>
    <w:p w14:paraId="2F240505" w14:textId="717E994F" w:rsidR="001C7943"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I relation til hæderligheds- og egnethedsvurderingen vil Spillemyndigheden foretage en konkret vurdering af, om personen anses for at leve op til hæderligheds- og egnethedskravet i de </w:t>
      </w:r>
      <w:r w:rsidR="001C7943" w:rsidRPr="00796736">
        <w:rPr>
          <w:rFonts w:ascii="Times New Roman" w:hAnsi="Times New Roman" w:cs="Times New Roman"/>
          <w:iCs/>
          <w:sz w:val="24"/>
          <w:szCs w:val="24"/>
        </w:rPr>
        <w:t xml:space="preserve">foreslåede </w:t>
      </w:r>
      <w:r w:rsidR="001C7943" w:rsidRPr="00796736">
        <w:rPr>
          <w:rFonts w:ascii="Times New Roman" w:hAnsi="Times New Roman" w:cs="Times New Roman"/>
          <w:iCs/>
          <w:sz w:val="24"/>
          <w:szCs w:val="24"/>
        </w:rPr>
        <w:fldChar w:fldCharType="begin"/>
      </w:r>
      <w:r w:rsidR="001C7943" w:rsidRPr="00796736">
        <w:rPr>
          <w:rFonts w:ascii="Times New Roman" w:hAnsi="Times New Roman" w:cs="Times New Roman"/>
          <w:iCs/>
          <w:sz w:val="24"/>
          <w:szCs w:val="24"/>
        </w:rPr>
        <w:instrText xml:space="preserve"> REF _Ref236641619 \n \h </w:instrText>
      </w:r>
      <w:r w:rsidR="00A47042" w:rsidRPr="00796736">
        <w:rPr>
          <w:rFonts w:ascii="Times New Roman" w:hAnsi="Times New Roman" w:cs="Times New Roman"/>
          <w:iCs/>
          <w:sz w:val="24"/>
          <w:szCs w:val="24"/>
        </w:rPr>
        <w:instrText xml:space="preserve"> \* MERGEFORMAT </w:instrText>
      </w:r>
      <w:r w:rsidR="001C7943" w:rsidRPr="00796736">
        <w:rPr>
          <w:rFonts w:ascii="Times New Roman" w:hAnsi="Times New Roman" w:cs="Times New Roman"/>
          <w:iCs/>
          <w:sz w:val="24"/>
          <w:szCs w:val="24"/>
        </w:rPr>
      </w:r>
      <w:r w:rsidR="001C7943"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115</w:t>
      </w:r>
      <w:r w:rsidR="001C7943" w:rsidRPr="00796736">
        <w:rPr>
          <w:rFonts w:ascii="Times New Roman" w:hAnsi="Times New Roman" w:cs="Times New Roman"/>
          <w:iCs/>
          <w:sz w:val="24"/>
          <w:szCs w:val="24"/>
        </w:rPr>
        <w:fldChar w:fldCharType="end"/>
      </w:r>
      <w:r w:rsidR="001C7943" w:rsidRPr="00796736">
        <w:rPr>
          <w:rFonts w:ascii="Times New Roman" w:hAnsi="Times New Roman" w:cs="Times New Roman"/>
          <w:iCs/>
          <w:sz w:val="24"/>
          <w:szCs w:val="24"/>
        </w:rPr>
        <w:t>, stk. 1, nr.  1 og 2. Der kan indgå forskellige parametre i denne vurdering, som f.eks. om negativ omtale i medierne skal have en konsekvens.</w:t>
      </w:r>
    </w:p>
    <w:p w14:paraId="13E14FAF" w14:textId="77777777" w:rsidR="001C7943" w:rsidRPr="00796736" w:rsidRDefault="001C7943" w:rsidP="00A802A5">
      <w:pPr>
        <w:spacing w:line="360" w:lineRule="auto"/>
        <w:rPr>
          <w:rFonts w:ascii="Times New Roman" w:hAnsi="Times New Roman" w:cs="Times New Roman"/>
          <w:iCs/>
          <w:sz w:val="24"/>
          <w:szCs w:val="24"/>
        </w:rPr>
      </w:pPr>
    </w:p>
    <w:p w14:paraId="45BAAF43" w14:textId="5C4EBA5B"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Efterkommer </w:t>
      </w:r>
      <w:r w:rsidR="009C423A" w:rsidRPr="00796736">
        <w:rPr>
          <w:rFonts w:ascii="Times New Roman" w:hAnsi="Times New Roman" w:cs="Times New Roman"/>
          <w:iCs/>
          <w:sz w:val="24"/>
          <w:szCs w:val="24"/>
        </w:rPr>
        <w:t>virksomheden</w:t>
      </w:r>
      <w:r w:rsidRPr="00796736">
        <w:rPr>
          <w:rFonts w:ascii="Times New Roman" w:hAnsi="Times New Roman" w:cs="Times New Roman"/>
          <w:iCs/>
          <w:sz w:val="24"/>
          <w:szCs w:val="24"/>
        </w:rPr>
        <w:t xml:space="preserve"> ikke påbuddet, følger det af de</w:t>
      </w:r>
      <w:r w:rsidR="00C55DA0" w:rsidRPr="00796736">
        <w:rPr>
          <w:rFonts w:ascii="Times New Roman" w:hAnsi="Times New Roman" w:cs="Times New Roman"/>
          <w:iCs/>
          <w:sz w:val="24"/>
          <w:szCs w:val="24"/>
        </w:rPr>
        <w:t>n</w:t>
      </w:r>
      <w:r w:rsidRPr="00796736">
        <w:rPr>
          <w:rFonts w:ascii="Times New Roman" w:hAnsi="Times New Roman" w:cs="Times New Roman"/>
          <w:iCs/>
          <w:sz w:val="24"/>
          <w:szCs w:val="24"/>
        </w:rPr>
        <w:t xml:space="preserve"> foreslåede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_Ref236647753 \n \h </w:instrText>
      </w:r>
      <w:r w:rsidR="00A47042"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137</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at Spillemyndigheden har hjemmel til at pålægge tvangsbøder til </w:t>
      </w:r>
      <w:r w:rsidR="009C423A" w:rsidRPr="00796736">
        <w:rPr>
          <w:rFonts w:ascii="Times New Roman" w:hAnsi="Times New Roman" w:cs="Times New Roman"/>
          <w:iCs/>
          <w:sz w:val="24"/>
          <w:szCs w:val="24"/>
        </w:rPr>
        <w:t>virksomheden</w:t>
      </w:r>
      <w:r w:rsidRPr="00796736">
        <w:rPr>
          <w:rFonts w:ascii="Times New Roman" w:hAnsi="Times New Roman" w:cs="Times New Roman"/>
          <w:iCs/>
          <w:sz w:val="24"/>
          <w:szCs w:val="24"/>
        </w:rPr>
        <w:t xml:space="preserve"> i de situationer, hvor </w:t>
      </w:r>
      <w:r w:rsidR="009C423A" w:rsidRPr="00796736">
        <w:rPr>
          <w:rFonts w:ascii="Times New Roman" w:hAnsi="Times New Roman" w:cs="Times New Roman"/>
          <w:iCs/>
          <w:sz w:val="24"/>
          <w:szCs w:val="24"/>
        </w:rPr>
        <w:t>virksomheden</w:t>
      </w:r>
      <w:r w:rsidRPr="00796736">
        <w:rPr>
          <w:rFonts w:ascii="Times New Roman" w:hAnsi="Times New Roman" w:cs="Times New Roman"/>
          <w:iCs/>
          <w:sz w:val="24"/>
          <w:szCs w:val="24"/>
        </w:rPr>
        <w:t xml:space="preserve"> ikke efterkommer et påbud om at afsætte en person fra den øverste ledelse.</w:t>
      </w:r>
    </w:p>
    <w:p w14:paraId="25E26A25" w14:textId="77777777" w:rsidR="001C7943" w:rsidRPr="00796736" w:rsidRDefault="001C7943" w:rsidP="00A802A5">
      <w:pPr>
        <w:spacing w:line="360" w:lineRule="auto"/>
        <w:rPr>
          <w:rFonts w:ascii="Times New Roman" w:hAnsi="Times New Roman" w:cs="Times New Roman"/>
          <w:iCs/>
          <w:sz w:val="24"/>
          <w:szCs w:val="24"/>
        </w:rPr>
      </w:pPr>
    </w:p>
    <w:p w14:paraId="7A0EC7E2" w14:textId="35512163"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Foranstaltningen</w:t>
      </w:r>
      <w:r w:rsidR="00C55DA0" w:rsidRPr="00796736">
        <w:rPr>
          <w:rFonts w:ascii="Times New Roman" w:hAnsi="Times New Roman" w:cs="Times New Roman"/>
          <w:iCs/>
          <w:sz w:val="24"/>
          <w:szCs w:val="24"/>
        </w:rPr>
        <w:t xml:space="preserve"> vil blive</w:t>
      </w:r>
      <w:r w:rsidRPr="00796736">
        <w:rPr>
          <w:rFonts w:ascii="Times New Roman" w:hAnsi="Times New Roman" w:cs="Times New Roman"/>
          <w:iCs/>
          <w:sz w:val="24"/>
          <w:szCs w:val="24"/>
        </w:rPr>
        <w:t xml:space="preserve"> udmønte</w:t>
      </w:r>
      <w:r w:rsidR="00C55DA0" w:rsidRPr="00796736">
        <w:rPr>
          <w:rFonts w:ascii="Times New Roman" w:hAnsi="Times New Roman" w:cs="Times New Roman"/>
          <w:iCs/>
          <w:sz w:val="24"/>
          <w:szCs w:val="24"/>
        </w:rPr>
        <w:t>t</w:t>
      </w:r>
      <w:r w:rsidRPr="00796736">
        <w:rPr>
          <w:rFonts w:ascii="Times New Roman" w:hAnsi="Times New Roman" w:cs="Times New Roman"/>
          <w:iCs/>
          <w:sz w:val="24"/>
          <w:szCs w:val="24"/>
        </w:rPr>
        <w:t xml:space="preserve"> i praksis ved udstedelsen af et påbud, hvorefter </w:t>
      </w:r>
      <w:r w:rsidR="009C423A" w:rsidRPr="00796736">
        <w:rPr>
          <w:rFonts w:ascii="Times New Roman" w:hAnsi="Times New Roman" w:cs="Times New Roman"/>
          <w:iCs/>
          <w:sz w:val="24"/>
          <w:szCs w:val="24"/>
        </w:rPr>
        <w:t>virksomheden</w:t>
      </w:r>
      <w:r w:rsidRPr="00796736">
        <w:rPr>
          <w:rFonts w:ascii="Times New Roman" w:hAnsi="Times New Roman" w:cs="Times New Roman"/>
          <w:iCs/>
          <w:sz w:val="24"/>
          <w:szCs w:val="24"/>
        </w:rPr>
        <w:t xml:space="preserve"> inden for en af Spillemyndigheden angivet frist skal have foretaget afsættelse af personen fra den øverste ledelse.</w:t>
      </w:r>
    </w:p>
    <w:p w14:paraId="5AEF55A8" w14:textId="77777777" w:rsidR="00C55DA0" w:rsidRPr="00796736" w:rsidRDefault="00C55DA0" w:rsidP="00A802A5">
      <w:pPr>
        <w:spacing w:line="360" w:lineRule="auto"/>
        <w:rPr>
          <w:rFonts w:ascii="Times New Roman" w:hAnsi="Times New Roman" w:cs="Times New Roman"/>
          <w:iCs/>
          <w:sz w:val="24"/>
          <w:szCs w:val="24"/>
        </w:rPr>
      </w:pPr>
    </w:p>
    <w:p w14:paraId="2AB5EE3E" w14:textId="45BC4CA9"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Spillemyndigheden vil således efter stk. 2, nr. 2, 2. pkt., kunne påbyde et medlem af bestyrelsen hos en udbyder af spil at nedlægge sit hverv, hvis Spillemyndigheden vurderer, at vedkommende ikke kan varetage sit hverv som følge af manglende efterlevelse af kravene om egnethed og hæderlighed i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_Ref236641619 \r \h </w:instrText>
      </w:r>
      <w:r w:rsidR="007F4BB9"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115</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nr.  1 og 2.</w:t>
      </w:r>
    </w:p>
    <w:p w14:paraId="4DDDC124" w14:textId="77777777" w:rsidR="001C7943" w:rsidRPr="00796736" w:rsidRDefault="001C7943" w:rsidP="00A802A5">
      <w:pPr>
        <w:spacing w:line="360" w:lineRule="auto"/>
        <w:rPr>
          <w:rFonts w:ascii="Times New Roman" w:hAnsi="Times New Roman" w:cs="Times New Roman"/>
          <w:iCs/>
          <w:sz w:val="24"/>
          <w:szCs w:val="24"/>
        </w:rPr>
      </w:pPr>
    </w:p>
    <w:p w14:paraId="4F4754CC" w14:textId="1B81B560"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forudsættes for anvendelsen af bestemmelsen, at det pågældende bestyrelsesmedlem ikke </w:t>
      </w:r>
      <w:r w:rsidR="00C55DA0" w:rsidRPr="00796736">
        <w:rPr>
          <w:rFonts w:ascii="Times New Roman" w:hAnsi="Times New Roman" w:cs="Times New Roman"/>
          <w:iCs/>
          <w:sz w:val="24"/>
          <w:szCs w:val="24"/>
        </w:rPr>
        <w:t>vil kunne</w:t>
      </w:r>
      <w:r w:rsidRPr="00796736">
        <w:rPr>
          <w:rFonts w:ascii="Times New Roman" w:hAnsi="Times New Roman" w:cs="Times New Roman"/>
          <w:iCs/>
          <w:sz w:val="24"/>
          <w:szCs w:val="24"/>
        </w:rPr>
        <w:t xml:space="preserve"> bestride hvervet som følge af manglende opfyldelse af de foreslåede hæderlighedskrav i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_Ref236641619 \n \h </w:instrText>
      </w:r>
      <w:r w:rsidR="00A47042"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115</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stk. 1, nr.  1 og 2. </w:t>
      </w:r>
    </w:p>
    <w:p w14:paraId="75268D45" w14:textId="77777777" w:rsidR="009C423A" w:rsidRPr="00796736" w:rsidRDefault="009C423A" w:rsidP="00A802A5">
      <w:pPr>
        <w:spacing w:line="360" w:lineRule="auto"/>
        <w:rPr>
          <w:rFonts w:ascii="Times New Roman" w:hAnsi="Times New Roman" w:cs="Times New Roman"/>
          <w:iCs/>
          <w:sz w:val="24"/>
          <w:szCs w:val="24"/>
        </w:rPr>
      </w:pPr>
    </w:p>
    <w:p w14:paraId="7E8D0453" w14:textId="66C000DB"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Foranstaltningen gennemføres i praksis ved, at Spillemyndigheden</w:t>
      </w:r>
      <w:r w:rsidR="00C55DA0" w:rsidRPr="00796736">
        <w:rPr>
          <w:rFonts w:ascii="Times New Roman" w:hAnsi="Times New Roman" w:cs="Times New Roman"/>
          <w:iCs/>
          <w:sz w:val="24"/>
          <w:szCs w:val="24"/>
        </w:rPr>
        <w:t xml:space="preserve"> vil</w:t>
      </w:r>
      <w:r w:rsidRPr="00796736">
        <w:rPr>
          <w:rFonts w:ascii="Times New Roman" w:hAnsi="Times New Roman" w:cs="Times New Roman"/>
          <w:iCs/>
          <w:sz w:val="24"/>
          <w:szCs w:val="24"/>
        </w:rPr>
        <w:t xml:space="preserve"> udstede et påbud, hvorefter den pågældende inden for en af Spillemyndigheden fastsat frist skal have nedlagt sit hverv.</w:t>
      </w:r>
    </w:p>
    <w:p w14:paraId="02EBEBC7" w14:textId="77777777" w:rsidR="001C7943" w:rsidRPr="00796736" w:rsidRDefault="001C7943" w:rsidP="00A802A5">
      <w:pPr>
        <w:spacing w:line="360" w:lineRule="auto"/>
        <w:rPr>
          <w:rFonts w:ascii="Times New Roman" w:hAnsi="Times New Roman" w:cs="Times New Roman"/>
          <w:iCs/>
          <w:sz w:val="24"/>
          <w:szCs w:val="24"/>
        </w:rPr>
      </w:pPr>
    </w:p>
    <w:p w14:paraId="53F1F95D"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Det er forventningen, at virksomheden selv vil gribe ind over for den direktør eller det bestyrelsesmedlem, der ikke længere viser sig at være egnet og hæderlig til at bestride stillingen eller hvervet. Spillemyndighedens indgrebsmuligheder vil derfor alene skulle anvendes i de tilfælde, hvor virksomheden ikke selv har afsat den pågældende direktør eller anmodet det pågældende bestyrelsesmedlem om at nedlægge sit hverv.</w:t>
      </w:r>
    </w:p>
    <w:p w14:paraId="14C7BA3F" w14:textId="77777777" w:rsidR="001C7943" w:rsidRPr="00796736" w:rsidRDefault="001C7943" w:rsidP="00A802A5">
      <w:pPr>
        <w:spacing w:line="360" w:lineRule="auto"/>
        <w:rPr>
          <w:rFonts w:ascii="Times New Roman" w:hAnsi="Times New Roman" w:cs="Times New Roman"/>
          <w:iCs/>
          <w:sz w:val="24"/>
          <w:szCs w:val="24"/>
        </w:rPr>
      </w:pPr>
    </w:p>
    <w:p w14:paraId="4D40B83C" w14:textId="3D94F399" w:rsidR="001C7943"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Inden Spillemyndigheden påbyder virksomheden at afsætte en person fra øverste ledelse eller et bestyrelsesmedlem at nedlægge sit hverv, skal der i henhold til reglerne i forvaltningsloven foretages en partshøring af virksomheden og af den, som påbuddet retter sig mod. I denne fase vil virksomheden have mulighed for af egen drift at afsætte en direktør</w:t>
      </w:r>
      <w:r w:rsidR="001C7943" w:rsidRPr="00796736">
        <w:rPr>
          <w:rFonts w:ascii="Times New Roman" w:hAnsi="Times New Roman" w:cs="Times New Roman"/>
          <w:iCs/>
          <w:sz w:val="24"/>
          <w:szCs w:val="24"/>
        </w:rPr>
        <w:t xml:space="preserve">. </w:t>
      </w:r>
    </w:p>
    <w:p w14:paraId="46E8BC39" w14:textId="77777777" w:rsidR="001C7943" w:rsidRPr="00796736" w:rsidRDefault="001C7943" w:rsidP="00A802A5">
      <w:pPr>
        <w:spacing w:line="360" w:lineRule="auto"/>
        <w:rPr>
          <w:rFonts w:ascii="Times New Roman" w:hAnsi="Times New Roman" w:cs="Times New Roman"/>
          <w:iCs/>
          <w:sz w:val="24"/>
          <w:szCs w:val="24"/>
        </w:rPr>
      </w:pPr>
    </w:p>
    <w:p w14:paraId="3619A195" w14:textId="63EED85A"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Efterlever bestyrelsesmedlemmet ikke et påbud udstedt af Spillemyndigheden, vil vedkommende kunne straffes med bøde, jf. </w:t>
      </w:r>
      <w:r w:rsidR="007B7BA4">
        <w:rPr>
          <w:rFonts w:ascii="Times New Roman" w:hAnsi="Times New Roman" w:cs="Times New Roman"/>
          <w:iCs/>
          <w:sz w:val="24"/>
          <w:szCs w:val="24"/>
        </w:rPr>
        <w:fldChar w:fldCharType="begin"/>
      </w:r>
      <w:r w:rsidR="007B7BA4">
        <w:rPr>
          <w:rFonts w:ascii="Times New Roman" w:hAnsi="Times New Roman" w:cs="Times New Roman"/>
          <w:iCs/>
          <w:sz w:val="24"/>
          <w:szCs w:val="24"/>
        </w:rPr>
        <w:instrText xml:space="preserve"> REF _Ref242963797 \r \h </w:instrText>
      </w:r>
      <w:r w:rsidR="00CB248D">
        <w:rPr>
          <w:rFonts w:ascii="Times New Roman" w:hAnsi="Times New Roman" w:cs="Times New Roman"/>
          <w:iCs/>
          <w:sz w:val="24"/>
          <w:szCs w:val="24"/>
        </w:rPr>
        <w:instrText xml:space="preserve"> \* MERGEFORMAT </w:instrText>
      </w:r>
      <w:r w:rsidR="007B7BA4">
        <w:rPr>
          <w:rFonts w:ascii="Times New Roman" w:hAnsi="Times New Roman" w:cs="Times New Roman"/>
          <w:iCs/>
          <w:sz w:val="24"/>
          <w:szCs w:val="24"/>
        </w:rPr>
      </w:r>
      <w:r w:rsidR="007B7BA4">
        <w:rPr>
          <w:rFonts w:ascii="Times New Roman" w:hAnsi="Times New Roman" w:cs="Times New Roman"/>
          <w:iCs/>
          <w:sz w:val="24"/>
          <w:szCs w:val="24"/>
        </w:rPr>
        <w:fldChar w:fldCharType="separate"/>
      </w:r>
      <w:r w:rsidR="008F29E5">
        <w:rPr>
          <w:rFonts w:ascii="Times New Roman" w:hAnsi="Times New Roman" w:cs="Times New Roman"/>
          <w:iCs/>
          <w:sz w:val="24"/>
          <w:szCs w:val="24"/>
        </w:rPr>
        <w:t>§ 139</w:t>
      </w:r>
      <w:r w:rsidR="007B7BA4">
        <w:rPr>
          <w:rFonts w:ascii="Times New Roman" w:hAnsi="Times New Roman" w:cs="Times New Roman"/>
          <w:iCs/>
          <w:sz w:val="24"/>
          <w:szCs w:val="24"/>
        </w:rPr>
        <w:fldChar w:fldCharType="end"/>
      </w:r>
      <w:r w:rsidRPr="00796736">
        <w:rPr>
          <w:rFonts w:ascii="Times New Roman" w:hAnsi="Times New Roman" w:cs="Times New Roman"/>
          <w:iCs/>
          <w:sz w:val="24"/>
          <w:szCs w:val="24"/>
        </w:rPr>
        <w:t>, som foreslås med dette lovforslag.</w:t>
      </w:r>
    </w:p>
    <w:p w14:paraId="6404487C" w14:textId="77777777" w:rsidR="001C7943" w:rsidRPr="00796736" w:rsidRDefault="001C7943" w:rsidP="00A802A5">
      <w:pPr>
        <w:spacing w:line="360" w:lineRule="auto"/>
        <w:rPr>
          <w:rFonts w:ascii="Times New Roman" w:hAnsi="Times New Roman" w:cs="Times New Roman"/>
          <w:iCs/>
          <w:sz w:val="24"/>
          <w:szCs w:val="24"/>
        </w:rPr>
      </w:pPr>
    </w:p>
    <w:p w14:paraId="3C843BE5"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Spillemyndigheden vil i forbindelse med fastsættelsen af reaktioner i henhold til denne lov, herunder ved anvendelsen af påbud, skulle tage højde for alle relevante omstændigheder, herunder de faktorer, der er opregnet i artikel 53, stk. 6, i 6. hvidvaskdirektiv. Dette indebærer blandt andet, at Spillemyndigheden, hvor det er relevant, vil skulle tage højde for overtrædelsens grovhed og varighed samt antallet af gentagelser, ligesom der også vil skulle tages højde for graden af samarbejde med Spillemyndigheden. Spillemyndighedens reaktioner skal være effektive, stå i rimeligt forhold til overtrædelsen og have afskrækkende virkning.</w:t>
      </w:r>
    </w:p>
    <w:p w14:paraId="0A639DC4" w14:textId="77777777" w:rsidR="001C7943" w:rsidRPr="00796736" w:rsidRDefault="001C7943" w:rsidP="00A802A5">
      <w:pPr>
        <w:spacing w:line="360" w:lineRule="auto"/>
        <w:rPr>
          <w:rFonts w:ascii="Times New Roman" w:hAnsi="Times New Roman" w:cs="Times New Roman"/>
          <w:iCs/>
          <w:sz w:val="24"/>
          <w:szCs w:val="24"/>
        </w:rPr>
      </w:pPr>
    </w:p>
    <w:p w14:paraId="108DB91E" w14:textId="317DEF24" w:rsidR="001C7943"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Den foreslåede bestemmelse vil indebære, at Spillemyndigheden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6B2B4FCB" w14:textId="77777777" w:rsidR="009C423A" w:rsidRPr="00796736" w:rsidRDefault="009C423A" w:rsidP="00A802A5">
      <w:pPr>
        <w:spacing w:line="360" w:lineRule="auto"/>
        <w:rPr>
          <w:rFonts w:ascii="Times New Roman" w:hAnsi="Times New Roman" w:cs="Times New Roman"/>
          <w:iCs/>
          <w:sz w:val="24"/>
          <w:szCs w:val="24"/>
        </w:rPr>
      </w:pPr>
    </w:p>
    <w:p w14:paraId="2DBD365E" w14:textId="520B7D35"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 xml:space="preserve">stk. </w:t>
      </w:r>
      <w:r w:rsidR="00C55DA0" w:rsidRPr="00796736">
        <w:rPr>
          <w:rFonts w:ascii="Times New Roman" w:hAnsi="Times New Roman" w:cs="Times New Roman"/>
          <w:i/>
          <w:iCs/>
          <w:sz w:val="24"/>
          <w:szCs w:val="24"/>
        </w:rPr>
        <w:t>3</w:t>
      </w:r>
      <w:r w:rsidRPr="00796736">
        <w:rPr>
          <w:rFonts w:ascii="Times New Roman" w:hAnsi="Times New Roman" w:cs="Times New Roman"/>
          <w:iCs/>
          <w:sz w:val="24"/>
          <w:szCs w:val="24"/>
        </w:rPr>
        <w:t>, at Spillemyndigheden kan påbyde virksomheder og personer</w:t>
      </w:r>
      <w:r w:rsidR="00C55DA0" w:rsidRPr="00796736">
        <w:rPr>
          <w:rFonts w:ascii="Times New Roman" w:hAnsi="Times New Roman" w:cs="Times New Roman"/>
          <w:iCs/>
          <w:sz w:val="24"/>
          <w:szCs w:val="24"/>
        </w:rPr>
        <w:t xml:space="preserve"> </w:t>
      </w:r>
      <w:r w:rsidRPr="00796736">
        <w:rPr>
          <w:rFonts w:ascii="Times New Roman" w:hAnsi="Times New Roman" w:cs="Times New Roman"/>
          <w:iCs/>
          <w:sz w:val="24"/>
          <w:szCs w:val="24"/>
        </w:rPr>
        <w:t xml:space="preserve">omfattet af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_Ref239189479 \r \h </w:instrText>
      </w:r>
      <w:r w:rsidR="00F375BF"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112</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nr. 2, at afsætte en person fra den øverste ledelse, inden for en af Spillemyndigheden fastsat frist, hvis personen er dømt for hvidvask af penge, de relevante underliggende lovovertrædelser eller finansiering af terrorisme.</w:t>
      </w:r>
    </w:p>
    <w:p w14:paraId="4EDB8D63" w14:textId="77777777" w:rsidR="009C423A" w:rsidRPr="00796736" w:rsidRDefault="009C423A" w:rsidP="00A802A5">
      <w:pPr>
        <w:spacing w:line="360" w:lineRule="auto"/>
        <w:rPr>
          <w:rFonts w:ascii="Times New Roman" w:hAnsi="Times New Roman" w:cs="Times New Roman"/>
          <w:iCs/>
          <w:sz w:val="24"/>
          <w:szCs w:val="24"/>
        </w:rPr>
      </w:pPr>
    </w:p>
    <w:p w14:paraId="57CBF59E" w14:textId="279490DA"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er ny og implementerer artikel 6, stk. 2, </w:t>
      </w:r>
      <w:r w:rsidRPr="00796736">
        <w:rPr>
          <w:rFonts w:ascii="Times New Roman" w:hAnsi="Times New Roman" w:cs="Times New Roman"/>
          <w:sz w:val="24"/>
          <w:szCs w:val="24"/>
        </w:rPr>
        <w:t>artikel 53, stk. 4, 1. afsnit og artikel 56, stk. 2, litra g, i 6. hvidvaskdirektiv.</w:t>
      </w:r>
      <w:r w:rsidRPr="00796736">
        <w:rPr>
          <w:rFonts w:ascii="Times New Roman" w:hAnsi="Times New Roman" w:cs="Times New Roman"/>
          <w:iCs/>
          <w:sz w:val="24"/>
          <w:szCs w:val="24"/>
        </w:rPr>
        <w:t xml:space="preserve"> I Europa-Parlamentets og Rådets forordning (EU) 2024/1624 defineres "øverste ledelse" i artikel 2, stk. 1, nr. 40.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469A8265" w14:textId="77777777" w:rsidR="009C423A" w:rsidRPr="00796736" w:rsidRDefault="009C423A" w:rsidP="00A802A5">
      <w:pPr>
        <w:spacing w:line="360" w:lineRule="auto"/>
        <w:rPr>
          <w:rFonts w:ascii="Times New Roman" w:hAnsi="Times New Roman" w:cs="Times New Roman"/>
          <w:iCs/>
          <w:sz w:val="24"/>
          <w:szCs w:val="24"/>
        </w:rPr>
      </w:pPr>
    </w:p>
    <w:p w14:paraId="308927EC" w14:textId="7F87AACF"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forudsættes for anvendelsen af bestemmelsen, at den pågældende person fra den øverste ledelse, herunder direktør eller medlem af bestyrelsen, er dømt for hvidvask af penge, de relevante underliggende lovovertrædelser eller finansiering af terrorisme. Spillemyndigheden </w:t>
      </w:r>
      <w:r w:rsidR="00C55DA0" w:rsidRPr="00796736">
        <w:rPr>
          <w:rFonts w:ascii="Times New Roman" w:hAnsi="Times New Roman" w:cs="Times New Roman"/>
          <w:iCs/>
          <w:sz w:val="24"/>
          <w:szCs w:val="24"/>
        </w:rPr>
        <w:t>vil</w:t>
      </w:r>
      <w:r w:rsidRPr="00796736">
        <w:rPr>
          <w:rFonts w:ascii="Times New Roman" w:hAnsi="Times New Roman" w:cs="Times New Roman"/>
          <w:iCs/>
          <w:sz w:val="24"/>
          <w:szCs w:val="24"/>
        </w:rPr>
        <w:t xml:space="preserve"> således</w:t>
      </w:r>
      <w:r w:rsidR="00C55DA0" w:rsidRPr="00796736">
        <w:rPr>
          <w:rFonts w:ascii="Times New Roman" w:hAnsi="Times New Roman" w:cs="Times New Roman"/>
          <w:iCs/>
          <w:sz w:val="24"/>
          <w:szCs w:val="24"/>
        </w:rPr>
        <w:t xml:space="preserve"> skulle</w:t>
      </w:r>
      <w:r w:rsidRPr="00796736">
        <w:rPr>
          <w:rFonts w:ascii="Times New Roman" w:hAnsi="Times New Roman" w:cs="Times New Roman"/>
          <w:iCs/>
          <w:sz w:val="24"/>
          <w:szCs w:val="24"/>
        </w:rPr>
        <w:t xml:space="preserve"> modtage dokumentation for, at der foreligger en endelig fældende dom. </w:t>
      </w:r>
    </w:p>
    <w:p w14:paraId="4A6C74B7" w14:textId="77777777" w:rsidR="009C423A" w:rsidRPr="00796736" w:rsidRDefault="009C423A" w:rsidP="00A802A5">
      <w:pPr>
        <w:spacing w:line="360" w:lineRule="auto"/>
        <w:rPr>
          <w:rFonts w:ascii="Times New Roman" w:hAnsi="Times New Roman" w:cs="Times New Roman"/>
          <w:iCs/>
          <w:sz w:val="24"/>
          <w:szCs w:val="24"/>
        </w:rPr>
      </w:pPr>
    </w:p>
    <w:p w14:paraId="3DC67EC6" w14:textId="302578DE"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Efterkommer virksomheden ikke påbuddet, følger det af de</w:t>
      </w:r>
      <w:r w:rsidR="00C55DA0" w:rsidRPr="00796736">
        <w:rPr>
          <w:rFonts w:ascii="Times New Roman" w:hAnsi="Times New Roman" w:cs="Times New Roman"/>
          <w:iCs/>
          <w:sz w:val="24"/>
          <w:szCs w:val="24"/>
        </w:rPr>
        <w:t>n</w:t>
      </w:r>
      <w:r w:rsidRPr="00796736">
        <w:rPr>
          <w:rFonts w:ascii="Times New Roman" w:hAnsi="Times New Roman" w:cs="Times New Roman"/>
          <w:iCs/>
          <w:sz w:val="24"/>
          <w:szCs w:val="24"/>
        </w:rPr>
        <w:t xml:space="preserve"> foreslåede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_Ref236647753 \r \h </w:instrText>
      </w:r>
      <w:r w:rsidR="00F375BF"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137</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at Spillemyndigheden </w:t>
      </w:r>
      <w:r w:rsidR="00C55DA0" w:rsidRPr="00796736">
        <w:rPr>
          <w:rFonts w:ascii="Times New Roman" w:hAnsi="Times New Roman" w:cs="Times New Roman"/>
          <w:iCs/>
          <w:sz w:val="24"/>
          <w:szCs w:val="24"/>
        </w:rPr>
        <w:t>vil have</w:t>
      </w:r>
      <w:r w:rsidRPr="00796736">
        <w:rPr>
          <w:rFonts w:ascii="Times New Roman" w:hAnsi="Times New Roman" w:cs="Times New Roman"/>
          <w:iCs/>
          <w:sz w:val="24"/>
          <w:szCs w:val="24"/>
        </w:rPr>
        <w:t xml:space="preserve"> hjemmel til at pålægge tvangsbøder til virksomheden i de situationer, hvor virksomheden ikke efterkommer et påbud om at afsætte en person fra den øverste ledelse.</w:t>
      </w:r>
    </w:p>
    <w:p w14:paraId="02FA5A29" w14:textId="77777777" w:rsidR="009C423A" w:rsidRPr="00796736" w:rsidRDefault="009C423A" w:rsidP="00A802A5">
      <w:pPr>
        <w:spacing w:line="360" w:lineRule="auto"/>
        <w:rPr>
          <w:rFonts w:ascii="Times New Roman" w:hAnsi="Times New Roman" w:cs="Times New Roman"/>
          <w:iCs/>
          <w:sz w:val="24"/>
          <w:szCs w:val="24"/>
        </w:rPr>
      </w:pPr>
    </w:p>
    <w:p w14:paraId="59617D68" w14:textId="697A1906"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Foranstaltningen </w:t>
      </w:r>
      <w:r w:rsidR="00C55DA0" w:rsidRPr="00796736">
        <w:rPr>
          <w:rFonts w:ascii="Times New Roman" w:hAnsi="Times New Roman" w:cs="Times New Roman"/>
          <w:iCs/>
          <w:sz w:val="24"/>
          <w:szCs w:val="24"/>
        </w:rPr>
        <w:t xml:space="preserve">vil </w:t>
      </w:r>
      <w:r w:rsidRPr="00796736">
        <w:rPr>
          <w:rFonts w:ascii="Times New Roman" w:hAnsi="Times New Roman" w:cs="Times New Roman"/>
          <w:iCs/>
          <w:sz w:val="24"/>
          <w:szCs w:val="24"/>
        </w:rPr>
        <w:t>i praksis</w:t>
      </w:r>
      <w:r w:rsidR="00C55DA0" w:rsidRPr="00796736">
        <w:rPr>
          <w:rFonts w:ascii="Times New Roman" w:hAnsi="Times New Roman" w:cs="Times New Roman"/>
          <w:iCs/>
          <w:sz w:val="24"/>
          <w:szCs w:val="24"/>
        </w:rPr>
        <w:t xml:space="preserve"> blive udmøntet</w:t>
      </w:r>
      <w:r w:rsidRPr="00796736">
        <w:rPr>
          <w:rFonts w:ascii="Times New Roman" w:hAnsi="Times New Roman" w:cs="Times New Roman"/>
          <w:iCs/>
          <w:sz w:val="24"/>
          <w:szCs w:val="24"/>
        </w:rPr>
        <w:t xml:space="preserve"> ved udstedelsen af et påbud, hvorefter virksomheden inden for en af Spillemyndigheden angivet frist skal have foretaget afsættelse af personen fra den øverste ledelse.</w:t>
      </w:r>
    </w:p>
    <w:p w14:paraId="0C14E690" w14:textId="77777777" w:rsidR="009C423A" w:rsidRPr="00796736" w:rsidRDefault="009C423A" w:rsidP="00A802A5">
      <w:pPr>
        <w:spacing w:line="360" w:lineRule="auto"/>
        <w:rPr>
          <w:rFonts w:ascii="Times New Roman" w:hAnsi="Times New Roman" w:cs="Times New Roman"/>
          <w:iCs/>
          <w:sz w:val="24"/>
          <w:szCs w:val="24"/>
        </w:rPr>
      </w:pPr>
    </w:p>
    <w:p w14:paraId="18DDDC62" w14:textId="6DE0F15F"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Inden Spillemyndigheden påbyder virksomheden at afsætte en person fra</w:t>
      </w:r>
      <w:r w:rsidR="00C55DA0" w:rsidRPr="00796736">
        <w:rPr>
          <w:rFonts w:ascii="Times New Roman" w:hAnsi="Times New Roman" w:cs="Times New Roman"/>
          <w:iCs/>
          <w:sz w:val="24"/>
          <w:szCs w:val="24"/>
        </w:rPr>
        <w:t xml:space="preserve"> den</w:t>
      </w:r>
      <w:r w:rsidRPr="00796736">
        <w:rPr>
          <w:rFonts w:ascii="Times New Roman" w:hAnsi="Times New Roman" w:cs="Times New Roman"/>
          <w:iCs/>
          <w:sz w:val="24"/>
          <w:szCs w:val="24"/>
        </w:rPr>
        <w:t xml:space="preserve"> øverste ledelse, skal der i henhold til reglerne i forvaltningsloven foretages en partshøring af virksomheden og af den, som påbuddet retter sig mod. I denne fase vil virksomheden have mulighed for af egen drift at afsætte en direktør. </w:t>
      </w:r>
    </w:p>
    <w:p w14:paraId="125C6CAD" w14:textId="77777777" w:rsidR="009C423A" w:rsidRPr="00796736" w:rsidRDefault="009C423A" w:rsidP="00A802A5">
      <w:pPr>
        <w:spacing w:line="360" w:lineRule="auto"/>
        <w:rPr>
          <w:rFonts w:ascii="Times New Roman" w:hAnsi="Times New Roman" w:cs="Times New Roman"/>
          <w:iCs/>
          <w:sz w:val="24"/>
          <w:szCs w:val="24"/>
        </w:rPr>
      </w:pPr>
    </w:p>
    <w:p w14:paraId="2CD5FA7A"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Spillemyndigheden vil i forbindelse med fastsættelsen af reaktioner i henhold til den foreslåede lov, herunder ved anvendelsen af påbud, skulle tage højde for alle relevante omstændigheder, herunder de faktorer, der er opremset i artikel 53, stk. 6, i 6. hvidvaskdirektiv. Dette indebærer blandt andet, at Spillemyndigheden, hvor det er relevant, vil skulle tage højde for overtrædelsens grovhed og varighed samt antallet af gentagelser, ligesom der også vil skulle tages højde for graden af samarbejde med Spillemyndigheden. Spillemyndighedens reaktioner skal være effektive, stå i rimeligt forhold til overtrædelsen og have afskrækkende virkning.</w:t>
      </w:r>
    </w:p>
    <w:p w14:paraId="7141CA63" w14:textId="77777777" w:rsidR="009C423A" w:rsidRPr="00796736" w:rsidRDefault="009C423A" w:rsidP="00A802A5">
      <w:pPr>
        <w:spacing w:line="360" w:lineRule="auto"/>
        <w:rPr>
          <w:rFonts w:ascii="Times New Roman" w:hAnsi="Times New Roman" w:cs="Times New Roman"/>
          <w:iCs/>
          <w:sz w:val="24"/>
          <w:szCs w:val="24"/>
        </w:rPr>
      </w:pPr>
    </w:p>
    <w:p w14:paraId="76B2358C" w14:textId="3390AFF2"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Den foreslåede bestemmelse vil indebære, at Spillemyndigheden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47FCE839" w14:textId="77777777" w:rsidR="009C423A" w:rsidRPr="00796736" w:rsidRDefault="009C423A" w:rsidP="00A802A5">
      <w:pPr>
        <w:spacing w:line="360" w:lineRule="auto"/>
        <w:rPr>
          <w:rFonts w:ascii="Times New Roman" w:hAnsi="Times New Roman" w:cs="Times New Roman"/>
          <w:iCs/>
          <w:sz w:val="24"/>
          <w:szCs w:val="24"/>
        </w:rPr>
      </w:pPr>
    </w:p>
    <w:p w14:paraId="28035DDC" w14:textId="610D249A"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 xml:space="preserve">stk. </w:t>
      </w:r>
      <w:r w:rsidR="00C55DA0" w:rsidRPr="00796736">
        <w:rPr>
          <w:rFonts w:ascii="Times New Roman" w:hAnsi="Times New Roman" w:cs="Times New Roman"/>
          <w:i/>
          <w:sz w:val="24"/>
          <w:szCs w:val="24"/>
        </w:rPr>
        <w:t>4</w:t>
      </w:r>
      <w:r w:rsidRPr="00796736">
        <w:rPr>
          <w:rFonts w:ascii="Times New Roman" w:hAnsi="Times New Roman" w:cs="Times New Roman"/>
          <w:iCs/>
          <w:sz w:val="24"/>
          <w:szCs w:val="24"/>
        </w:rPr>
        <w:t xml:space="preserve">, at Spillemyndigheden kan påbyde </w:t>
      </w:r>
      <w:r w:rsidR="009C423A" w:rsidRPr="00796736">
        <w:rPr>
          <w:rFonts w:ascii="Times New Roman" w:hAnsi="Times New Roman" w:cs="Times New Roman"/>
          <w:iCs/>
          <w:sz w:val="24"/>
          <w:szCs w:val="24"/>
        </w:rPr>
        <w:t xml:space="preserve">virksomheder omfattet af </w:t>
      </w:r>
      <w:r w:rsidR="009C423A" w:rsidRPr="00796736">
        <w:rPr>
          <w:rFonts w:ascii="Times New Roman" w:hAnsi="Times New Roman" w:cs="Times New Roman"/>
          <w:iCs/>
          <w:sz w:val="24"/>
          <w:szCs w:val="24"/>
        </w:rPr>
        <w:fldChar w:fldCharType="begin"/>
      </w:r>
      <w:r w:rsidR="009C423A" w:rsidRPr="00796736">
        <w:rPr>
          <w:rFonts w:ascii="Times New Roman" w:hAnsi="Times New Roman" w:cs="Times New Roman"/>
          <w:iCs/>
          <w:sz w:val="24"/>
          <w:szCs w:val="24"/>
        </w:rPr>
        <w:instrText xml:space="preserve"> REF _Ref239189479 \r \h </w:instrText>
      </w:r>
      <w:r w:rsidR="00F375BF" w:rsidRPr="00796736">
        <w:rPr>
          <w:rFonts w:ascii="Times New Roman" w:hAnsi="Times New Roman" w:cs="Times New Roman"/>
          <w:iCs/>
          <w:sz w:val="24"/>
          <w:szCs w:val="24"/>
        </w:rPr>
        <w:instrText xml:space="preserve"> \* MERGEFORMAT </w:instrText>
      </w:r>
      <w:r w:rsidR="009C423A" w:rsidRPr="00796736">
        <w:rPr>
          <w:rFonts w:ascii="Times New Roman" w:hAnsi="Times New Roman" w:cs="Times New Roman"/>
          <w:iCs/>
          <w:sz w:val="24"/>
          <w:szCs w:val="24"/>
        </w:rPr>
      </w:r>
      <w:r w:rsidR="009C423A"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112</w:t>
      </w:r>
      <w:r w:rsidR="009C423A" w:rsidRPr="00796736">
        <w:rPr>
          <w:rFonts w:ascii="Times New Roman" w:hAnsi="Times New Roman" w:cs="Times New Roman"/>
          <w:iCs/>
          <w:sz w:val="24"/>
          <w:szCs w:val="24"/>
        </w:rPr>
        <w:fldChar w:fldCharType="end"/>
      </w:r>
      <w:r w:rsidR="009C423A" w:rsidRPr="00796736">
        <w:rPr>
          <w:rFonts w:ascii="Times New Roman" w:hAnsi="Times New Roman" w:cs="Times New Roman"/>
          <w:iCs/>
          <w:sz w:val="24"/>
          <w:szCs w:val="24"/>
        </w:rPr>
        <w:t>, stk. 1, nr. 1</w:t>
      </w:r>
      <w:r w:rsidRPr="00796736">
        <w:rPr>
          <w:rFonts w:ascii="Times New Roman" w:hAnsi="Times New Roman" w:cs="Times New Roman"/>
          <w:iCs/>
          <w:sz w:val="24"/>
          <w:szCs w:val="24"/>
        </w:rPr>
        <w:t xml:space="preserve">, midlertidigt at afsætte en person fra den øverste ledelse, hvis personen ikke opfylder betingelserne i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_Ref236641619 \n \h </w:instrText>
      </w:r>
      <w:r w:rsidR="00A47042"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115</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stk. 1, nr. 1 og 2, der er nødvendige for at bestride stillingen. Spillemyndigheden</w:t>
      </w:r>
      <w:r w:rsidR="00C55DA0" w:rsidRPr="00796736">
        <w:rPr>
          <w:rFonts w:ascii="Times New Roman" w:hAnsi="Times New Roman" w:cs="Times New Roman"/>
          <w:iCs/>
          <w:sz w:val="24"/>
          <w:szCs w:val="24"/>
        </w:rPr>
        <w:t xml:space="preserve"> kan</w:t>
      </w:r>
      <w:r w:rsidRPr="00796736">
        <w:rPr>
          <w:rFonts w:ascii="Times New Roman" w:hAnsi="Times New Roman" w:cs="Times New Roman"/>
          <w:iCs/>
          <w:sz w:val="24"/>
          <w:szCs w:val="24"/>
        </w:rPr>
        <w:t xml:space="preserve"> under</w:t>
      </w:r>
      <w:r w:rsidR="00C55DA0" w:rsidRPr="00796736">
        <w:rPr>
          <w:rFonts w:ascii="Times New Roman" w:hAnsi="Times New Roman" w:cs="Times New Roman"/>
          <w:iCs/>
          <w:sz w:val="24"/>
          <w:szCs w:val="24"/>
        </w:rPr>
        <w:t xml:space="preserve"> de</w:t>
      </w:r>
      <w:r w:rsidRPr="00796736">
        <w:rPr>
          <w:rFonts w:ascii="Times New Roman" w:hAnsi="Times New Roman" w:cs="Times New Roman"/>
          <w:iCs/>
          <w:sz w:val="24"/>
          <w:szCs w:val="24"/>
        </w:rPr>
        <w:t xml:space="preserve"> samme betingelser som i 1. pkt. påbyde et medlem af bestyrelsen hos</w:t>
      </w:r>
      <w:r w:rsidR="009C423A" w:rsidRPr="00796736">
        <w:rPr>
          <w:rFonts w:ascii="Times New Roman" w:hAnsi="Times New Roman" w:cs="Times New Roman"/>
          <w:iCs/>
          <w:sz w:val="24"/>
          <w:szCs w:val="24"/>
        </w:rPr>
        <w:t xml:space="preserve"> virksomheden, som omfattet af </w:t>
      </w:r>
      <w:r w:rsidR="009C423A" w:rsidRPr="00796736">
        <w:rPr>
          <w:rFonts w:ascii="Times New Roman" w:hAnsi="Times New Roman" w:cs="Times New Roman"/>
          <w:iCs/>
          <w:sz w:val="24"/>
          <w:szCs w:val="24"/>
        </w:rPr>
        <w:fldChar w:fldCharType="begin"/>
      </w:r>
      <w:r w:rsidR="009C423A" w:rsidRPr="00796736">
        <w:rPr>
          <w:rFonts w:ascii="Times New Roman" w:hAnsi="Times New Roman" w:cs="Times New Roman"/>
          <w:iCs/>
          <w:sz w:val="24"/>
          <w:szCs w:val="24"/>
        </w:rPr>
        <w:instrText xml:space="preserve"> REF _Ref239189479 \r \h </w:instrText>
      </w:r>
      <w:r w:rsidR="00F375BF" w:rsidRPr="00796736">
        <w:rPr>
          <w:rFonts w:ascii="Times New Roman" w:hAnsi="Times New Roman" w:cs="Times New Roman"/>
          <w:iCs/>
          <w:sz w:val="24"/>
          <w:szCs w:val="24"/>
        </w:rPr>
        <w:instrText xml:space="preserve"> \* MERGEFORMAT </w:instrText>
      </w:r>
      <w:r w:rsidR="009C423A" w:rsidRPr="00796736">
        <w:rPr>
          <w:rFonts w:ascii="Times New Roman" w:hAnsi="Times New Roman" w:cs="Times New Roman"/>
          <w:iCs/>
          <w:sz w:val="24"/>
          <w:szCs w:val="24"/>
        </w:rPr>
      </w:r>
      <w:r w:rsidR="009C423A"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112</w:t>
      </w:r>
      <w:r w:rsidR="009C423A" w:rsidRPr="00796736">
        <w:rPr>
          <w:rFonts w:ascii="Times New Roman" w:hAnsi="Times New Roman" w:cs="Times New Roman"/>
          <w:iCs/>
          <w:sz w:val="24"/>
          <w:szCs w:val="24"/>
        </w:rPr>
        <w:fldChar w:fldCharType="end"/>
      </w:r>
      <w:r w:rsidR="009C423A" w:rsidRPr="00796736">
        <w:rPr>
          <w:rFonts w:ascii="Times New Roman" w:hAnsi="Times New Roman" w:cs="Times New Roman"/>
          <w:iCs/>
          <w:sz w:val="24"/>
          <w:szCs w:val="24"/>
        </w:rPr>
        <w:t>, stk. 1, nr. 1</w:t>
      </w:r>
      <w:r w:rsidRPr="00796736">
        <w:rPr>
          <w:rFonts w:ascii="Times New Roman" w:hAnsi="Times New Roman" w:cs="Times New Roman"/>
          <w:iCs/>
          <w:sz w:val="24"/>
          <w:szCs w:val="24"/>
        </w:rPr>
        <w:t>,</w:t>
      </w:r>
      <w:r w:rsidR="00C55DA0" w:rsidRPr="00796736">
        <w:rPr>
          <w:rFonts w:ascii="Times New Roman" w:hAnsi="Times New Roman" w:cs="Times New Roman"/>
          <w:iCs/>
          <w:sz w:val="24"/>
          <w:szCs w:val="24"/>
        </w:rPr>
        <w:t xml:space="preserve"> midlertidigt</w:t>
      </w:r>
      <w:r w:rsidRPr="00796736">
        <w:rPr>
          <w:rFonts w:ascii="Times New Roman" w:hAnsi="Times New Roman" w:cs="Times New Roman"/>
          <w:iCs/>
          <w:sz w:val="24"/>
          <w:szCs w:val="24"/>
        </w:rPr>
        <w:t xml:space="preserve"> at nedlægge sit hverv inden for en af Spillemyndigheden fastsat frist.</w:t>
      </w:r>
    </w:p>
    <w:p w14:paraId="24348FF9" w14:textId="77777777" w:rsidR="001C7943" w:rsidRPr="00796736" w:rsidRDefault="001C7943" w:rsidP="00A802A5">
      <w:pPr>
        <w:spacing w:line="360" w:lineRule="auto"/>
        <w:rPr>
          <w:rFonts w:ascii="Times New Roman" w:hAnsi="Times New Roman" w:cs="Times New Roman"/>
          <w:iCs/>
          <w:sz w:val="24"/>
          <w:szCs w:val="24"/>
        </w:rPr>
      </w:pPr>
    </w:p>
    <w:p w14:paraId="0F840F23" w14:textId="77777777"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Bestemmelsen er ny og implementerer artikel 6, stk. 4, og artikel 56, stk. 3, litra e, i 6. hvidvaskdirektiv.</w:t>
      </w:r>
    </w:p>
    <w:p w14:paraId="584576B9" w14:textId="77777777" w:rsidR="001C7943" w:rsidRPr="00796736" w:rsidRDefault="001C7943" w:rsidP="00A802A5">
      <w:pPr>
        <w:spacing w:line="360" w:lineRule="auto"/>
        <w:rPr>
          <w:rFonts w:ascii="Times New Roman" w:hAnsi="Times New Roman" w:cs="Times New Roman"/>
          <w:iCs/>
          <w:sz w:val="24"/>
          <w:szCs w:val="24"/>
        </w:rPr>
      </w:pPr>
    </w:p>
    <w:p w14:paraId="7BE87C35" w14:textId="139668A7"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w:t>
      </w:r>
      <w:r w:rsidR="00C55DA0" w:rsidRPr="00796736">
        <w:rPr>
          <w:rFonts w:ascii="Times New Roman" w:hAnsi="Times New Roman" w:cs="Times New Roman"/>
          <w:iCs/>
          <w:sz w:val="24"/>
          <w:szCs w:val="24"/>
        </w:rPr>
        <w:t xml:space="preserve">vil </w:t>
      </w:r>
      <w:r w:rsidRPr="00796736">
        <w:rPr>
          <w:rFonts w:ascii="Times New Roman" w:hAnsi="Times New Roman" w:cs="Times New Roman"/>
          <w:iCs/>
          <w:sz w:val="24"/>
          <w:szCs w:val="24"/>
        </w:rPr>
        <w:t xml:space="preserve">give mulighed for at gribe ind hurtigt og effektivt, hvis der opstår tvivl om ledelsens kompetencer, og dermed forebygge potentielle risici for </w:t>
      </w:r>
      <w:r w:rsidR="009C423A" w:rsidRPr="00796736">
        <w:rPr>
          <w:rFonts w:ascii="Times New Roman" w:hAnsi="Times New Roman" w:cs="Times New Roman"/>
          <w:iCs/>
          <w:sz w:val="24"/>
          <w:szCs w:val="24"/>
        </w:rPr>
        <w:t>virksomheden</w:t>
      </w:r>
      <w:r w:rsidRPr="00796736">
        <w:rPr>
          <w:rFonts w:ascii="Times New Roman" w:hAnsi="Times New Roman" w:cs="Times New Roman"/>
          <w:iCs/>
          <w:sz w:val="24"/>
          <w:szCs w:val="24"/>
        </w:rPr>
        <w:t>.</w:t>
      </w:r>
    </w:p>
    <w:p w14:paraId="20F1F7C4" w14:textId="77777777" w:rsidR="001C7943" w:rsidRPr="00796736" w:rsidRDefault="001C7943" w:rsidP="00A802A5">
      <w:pPr>
        <w:spacing w:line="360" w:lineRule="auto"/>
        <w:rPr>
          <w:rFonts w:ascii="Times New Roman" w:hAnsi="Times New Roman" w:cs="Times New Roman"/>
          <w:iCs/>
          <w:sz w:val="24"/>
          <w:szCs w:val="24"/>
        </w:rPr>
      </w:pPr>
    </w:p>
    <w:p w14:paraId="78B81BB9"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Der henvises til definitionen af øverste ledelse i hvidvaskforordningens artikel 2, stk. 1, nr. 40.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w:t>
      </w:r>
    </w:p>
    <w:p w14:paraId="025A5EEC" w14:textId="77777777" w:rsidR="001C7943" w:rsidRPr="00796736" w:rsidRDefault="001C7943" w:rsidP="00A802A5">
      <w:pPr>
        <w:spacing w:line="360" w:lineRule="auto"/>
        <w:rPr>
          <w:rFonts w:ascii="Times New Roman" w:hAnsi="Times New Roman" w:cs="Times New Roman"/>
          <w:iCs/>
          <w:sz w:val="24"/>
          <w:szCs w:val="24"/>
        </w:rPr>
      </w:pPr>
    </w:p>
    <w:p w14:paraId="5FF83184" w14:textId="11B551E4" w:rsidR="001C7943"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w:t>
      </w:r>
      <w:r w:rsidR="00C55DA0" w:rsidRPr="00796736">
        <w:rPr>
          <w:rFonts w:ascii="Times New Roman" w:hAnsi="Times New Roman" w:cs="Times New Roman"/>
          <w:iCs/>
          <w:sz w:val="24"/>
          <w:szCs w:val="24"/>
        </w:rPr>
        <w:t>vil have</w:t>
      </w:r>
      <w:r w:rsidRPr="00796736">
        <w:rPr>
          <w:rFonts w:ascii="Times New Roman" w:hAnsi="Times New Roman" w:cs="Times New Roman"/>
          <w:iCs/>
          <w:sz w:val="24"/>
          <w:szCs w:val="24"/>
        </w:rPr>
        <w:t xml:space="preserve"> til formål at styrke Spillemyndighedens muligheder for at sikre, at den øverste ledelse i den forpligtede enhed til enhver tid opfylder de krav, der stilles til egnethed og hæderlighed. Det foreslås, at Spillemyndigheden </w:t>
      </w:r>
      <w:r w:rsidR="00C55DA0" w:rsidRPr="00796736">
        <w:rPr>
          <w:rFonts w:ascii="Times New Roman" w:hAnsi="Times New Roman" w:cs="Times New Roman"/>
          <w:iCs/>
          <w:sz w:val="24"/>
          <w:szCs w:val="24"/>
        </w:rPr>
        <w:t>vil kunne</w:t>
      </w:r>
      <w:r w:rsidRPr="00796736">
        <w:rPr>
          <w:rFonts w:ascii="Times New Roman" w:hAnsi="Times New Roman" w:cs="Times New Roman"/>
          <w:iCs/>
          <w:sz w:val="24"/>
          <w:szCs w:val="24"/>
        </w:rPr>
        <w:t xml:space="preserve"> påbyde den forpligtede enhed midlertidigt at afsætte en person fra den øverste ledelse, når der er rejst tiltale mod den pågældende i en straffesag om overtrædelse af lovgivning, der relaterer sig til hvidvask af penge og terrorfinansiering. Dette gælder, indtil straffesagen er afgjort, hvis en domfældelse vil medføre, at vedkommende ikke opfylder </w:t>
      </w:r>
      <w:r w:rsidR="001C7943" w:rsidRPr="00796736">
        <w:rPr>
          <w:rFonts w:ascii="Times New Roman" w:hAnsi="Times New Roman" w:cs="Times New Roman"/>
          <w:iCs/>
          <w:sz w:val="24"/>
          <w:szCs w:val="24"/>
        </w:rPr>
        <w:t xml:space="preserve">kravene i </w:t>
      </w:r>
      <w:r w:rsidR="001C7943" w:rsidRPr="00796736">
        <w:rPr>
          <w:rFonts w:ascii="Times New Roman" w:hAnsi="Times New Roman" w:cs="Times New Roman"/>
          <w:iCs/>
          <w:sz w:val="24"/>
          <w:szCs w:val="24"/>
        </w:rPr>
        <w:fldChar w:fldCharType="begin"/>
      </w:r>
      <w:r w:rsidR="001C7943" w:rsidRPr="00796736">
        <w:rPr>
          <w:rFonts w:ascii="Times New Roman" w:hAnsi="Times New Roman" w:cs="Times New Roman"/>
          <w:iCs/>
          <w:sz w:val="24"/>
          <w:szCs w:val="24"/>
        </w:rPr>
        <w:instrText xml:space="preserve"> REF _Ref236641619 \n \h </w:instrText>
      </w:r>
      <w:r w:rsidR="00A47042" w:rsidRPr="00796736">
        <w:rPr>
          <w:rFonts w:ascii="Times New Roman" w:hAnsi="Times New Roman" w:cs="Times New Roman"/>
          <w:iCs/>
          <w:sz w:val="24"/>
          <w:szCs w:val="24"/>
        </w:rPr>
        <w:instrText xml:space="preserve"> \* MERGEFORMAT </w:instrText>
      </w:r>
      <w:r w:rsidR="001C7943" w:rsidRPr="00796736">
        <w:rPr>
          <w:rFonts w:ascii="Times New Roman" w:hAnsi="Times New Roman" w:cs="Times New Roman"/>
          <w:iCs/>
          <w:sz w:val="24"/>
          <w:szCs w:val="24"/>
        </w:rPr>
      </w:r>
      <w:r w:rsidR="001C7943"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115</w:t>
      </w:r>
      <w:r w:rsidR="001C7943" w:rsidRPr="00796736">
        <w:rPr>
          <w:rFonts w:ascii="Times New Roman" w:hAnsi="Times New Roman" w:cs="Times New Roman"/>
          <w:iCs/>
          <w:sz w:val="24"/>
          <w:szCs w:val="24"/>
        </w:rPr>
        <w:fldChar w:fldCharType="end"/>
      </w:r>
      <w:r w:rsidR="001C7943" w:rsidRPr="00796736">
        <w:rPr>
          <w:rFonts w:ascii="Times New Roman" w:hAnsi="Times New Roman" w:cs="Times New Roman"/>
          <w:iCs/>
          <w:sz w:val="24"/>
          <w:szCs w:val="24"/>
        </w:rPr>
        <w:t xml:space="preserve">, stk. </w:t>
      </w:r>
      <w:r w:rsidR="00C55DA0" w:rsidRPr="00796736">
        <w:rPr>
          <w:rFonts w:ascii="Times New Roman" w:hAnsi="Times New Roman" w:cs="Times New Roman"/>
          <w:iCs/>
          <w:sz w:val="24"/>
          <w:szCs w:val="24"/>
        </w:rPr>
        <w:t xml:space="preserve">1. </w:t>
      </w:r>
    </w:p>
    <w:p w14:paraId="4F906E1F" w14:textId="77777777" w:rsidR="001C7943" w:rsidRPr="00796736" w:rsidRDefault="001C7943" w:rsidP="00A802A5">
      <w:pPr>
        <w:spacing w:line="360" w:lineRule="auto"/>
        <w:rPr>
          <w:rFonts w:ascii="Times New Roman" w:hAnsi="Times New Roman" w:cs="Times New Roman"/>
          <w:iCs/>
          <w:sz w:val="24"/>
          <w:szCs w:val="24"/>
        </w:rPr>
      </w:pPr>
    </w:p>
    <w:p w14:paraId="3ED4895A" w14:textId="44542434"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Formålet med bestemmelsen </w:t>
      </w:r>
      <w:r w:rsidR="00C55DA0" w:rsidRPr="00796736">
        <w:rPr>
          <w:rFonts w:ascii="Times New Roman" w:hAnsi="Times New Roman" w:cs="Times New Roman"/>
          <w:iCs/>
          <w:sz w:val="24"/>
          <w:szCs w:val="24"/>
        </w:rPr>
        <w:t>vil være</w:t>
      </w:r>
      <w:r w:rsidRPr="00796736">
        <w:rPr>
          <w:rFonts w:ascii="Times New Roman" w:hAnsi="Times New Roman" w:cs="Times New Roman"/>
          <w:iCs/>
          <w:sz w:val="24"/>
          <w:szCs w:val="24"/>
        </w:rPr>
        <w:t xml:space="preserve"> at forebygge, at personer, der er under tiltale for alvorlige lovovertrædelser relateret til hvidvask af penge eller terrorfinansiering, fortsat kan bestride ledelsesposter hos virksomheden</w:t>
      </w:r>
      <w:r w:rsidRPr="00796736">
        <w:rPr>
          <w:rFonts w:ascii="Times New Roman" w:hAnsi="Times New Roman" w:cs="Times New Roman"/>
          <w:sz w:val="24"/>
          <w:szCs w:val="24"/>
        </w:rPr>
        <w:t xml:space="preserve"> under tilsyn</w:t>
      </w:r>
      <w:r w:rsidRPr="00796736">
        <w:rPr>
          <w:rFonts w:ascii="Times New Roman" w:hAnsi="Times New Roman" w:cs="Times New Roman"/>
          <w:iCs/>
          <w:sz w:val="24"/>
          <w:szCs w:val="24"/>
        </w:rPr>
        <w:t xml:space="preserve">, hvor en eventuel domfældelse vil have betydning for vedkommendes egnethed og hæderlighed. </w:t>
      </w:r>
    </w:p>
    <w:p w14:paraId="7AA629EB" w14:textId="77777777" w:rsidR="009C423A" w:rsidRPr="00796736" w:rsidRDefault="009C423A" w:rsidP="00A802A5">
      <w:pPr>
        <w:spacing w:line="360" w:lineRule="auto"/>
        <w:rPr>
          <w:rFonts w:ascii="Times New Roman" w:hAnsi="Times New Roman" w:cs="Times New Roman"/>
          <w:iCs/>
          <w:sz w:val="24"/>
          <w:szCs w:val="24"/>
        </w:rPr>
      </w:pPr>
    </w:p>
    <w:p w14:paraId="53A30F9C" w14:textId="3B8C5129" w:rsidR="009C423A" w:rsidRPr="00796736"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Det tager i de fleste tilfælde lang tid, inden et strafansvar bliver pålagt. Imidlertid tilsiger hensynet til virksomheden, kunderne og de almene samfundsinteresser, som ligger bag reglerne om egnethed og hæderlighed, at Spillemyndigheden</w:t>
      </w:r>
      <w:r w:rsidR="00C55DA0" w:rsidRPr="00796736">
        <w:rPr>
          <w:rFonts w:ascii="Times New Roman" w:hAnsi="Times New Roman" w:cs="Times New Roman"/>
          <w:iCs/>
          <w:sz w:val="24"/>
          <w:szCs w:val="24"/>
        </w:rPr>
        <w:t xml:space="preserve"> vil</w:t>
      </w:r>
      <w:r w:rsidRPr="00796736">
        <w:rPr>
          <w:rFonts w:ascii="Times New Roman" w:hAnsi="Times New Roman" w:cs="Times New Roman"/>
          <w:iCs/>
          <w:sz w:val="24"/>
          <w:szCs w:val="24"/>
        </w:rPr>
        <w:t xml:space="preserve"> få mulighed for at gribe ind over for et ledelsesmedlem på et tidligere tidspunkt for at afværge risikoen for, at vedkommende påfører virksomheden skade. </w:t>
      </w:r>
    </w:p>
    <w:p w14:paraId="3191EB3A" w14:textId="77777777" w:rsidR="001C7943" w:rsidRPr="00796736" w:rsidRDefault="001C7943" w:rsidP="00A802A5">
      <w:pPr>
        <w:spacing w:line="360" w:lineRule="auto"/>
        <w:rPr>
          <w:rFonts w:ascii="Times New Roman" w:hAnsi="Times New Roman" w:cs="Times New Roman"/>
          <w:iCs/>
          <w:sz w:val="24"/>
          <w:szCs w:val="24"/>
        </w:rPr>
      </w:pPr>
    </w:p>
    <w:p w14:paraId="45F9F0F4" w14:textId="77777777"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At forbuddet er midlertidigt indebærer, at det udstedes for en begrænset periode, hvor det er nødvendigt, eksempelvis for at forhindre hvidvask eller terrorfinansiering, at fjerne den pågældende person fra ledelsen. I situationer, hvor et midlertidigt forbud ikke er tilstrækkeligt, og der er behov for permanent afsættelse, vil der som udgangspunkt ikke skulle udstedes et påbud om midlertidigt forbud efter denne bestemmelse.</w:t>
      </w:r>
    </w:p>
    <w:p w14:paraId="209D9529" w14:textId="77777777" w:rsidR="001C7943" w:rsidRPr="00796736" w:rsidRDefault="001C7943" w:rsidP="00A802A5">
      <w:pPr>
        <w:spacing w:line="360" w:lineRule="auto"/>
        <w:rPr>
          <w:rFonts w:ascii="Times New Roman" w:hAnsi="Times New Roman" w:cs="Times New Roman"/>
          <w:iCs/>
          <w:sz w:val="24"/>
          <w:szCs w:val="24"/>
        </w:rPr>
      </w:pPr>
    </w:p>
    <w:p w14:paraId="641D88CC"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Ved vurderingen af, om der skal meddeles et midlertidigt påbud i medfør af stk. 4, vil Spillemyndigheden skulle afveje forseelsens grovhed og det konkrete behov for at fjerne vedkommende over for hensynet til den pågældendes retssikkerhed.</w:t>
      </w:r>
    </w:p>
    <w:p w14:paraId="5FDD4836" w14:textId="77777777" w:rsidR="001C7943" w:rsidRPr="00796736" w:rsidRDefault="001C7943" w:rsidP="00A802A5">
      <w:pPr>
        <w:spacing w:line="360" w:lineRule="auto"/>
        <w:rPr>
          <w:rFonts w:ascii="Times New Roman" w:hAnsi="Times New Roman" w:cs="Times New Roman"/>
          <w:iCs/>
          <w:sz w:val="24"/>
          <w:szCs w:val="24"/>
        </w:rPr>
      </w:pPr>
    </w:p>
    <w:p w14:paraId="336B1509"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Den endelige stillingtagen til, hvorvidt en person opfylder betingelserne for at være direktør eller bestyrelsesmedlem i sager, hvor ledelsesmedlemmet midlertidigt er fjernet fra virksomhedens ledelse, forudsættes at finde sted i forbindelse med afgørelsen af straffesagen. Dette vil dog ikke være tilfældet, hvis der i forbindelse med straffesagen er sket rettighedsfrakendelse med hensyn til den eller de stillinger, hæderligheds- og egnethedsvurderingen angår. </w:t>
      </w:r>
    </w:p>
    <w:p w14:paraId="2E12C1C1" w14:textId="77777777" w:rsidR="00C55DA0" w:rsidRPr="00796736" w:rsidRDefault="00C55DA0" w:rsidP="00A802A5">
      <w:pPr>
        <w:spacing w:line="360" w:lineRule="auto"/>
        <w:rPr>
          <w:rFonts w:ascii="Times New Roman" w:hAnsi="Times New Roman" w:cs="Times New Roman"/>
          <w:iCs/>
          <w:sz w:val="24"/>
          <w:szCs w:val="24"/>
        </w:rPr>
      </w:pPr>
    </w:p>
    <w:p w14:paraId="209FC788"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Spillemyndigheden vil skulle fastsætte en frist for efterlevelse af påbuddet, så virksomheden får mulighed for at iværksætte de nødvendige tiltag inden for en rimelig tidsramme. Det er hensigten, at fristen fastsættes under hensyntagen til virksomhedens forhold og den konkrete situation.</w:t>
      </w:r>
    </w:p>
    <w:p w14:paraId="0BE0C34B" w14:textId="77777777" w:rsidR="001C7943" w:rsidRPr="00796736" w:rsidRDefault="001C7943" w:rsidP="00A802A5">
      <w:pPr>
        <w:spacing w:line="360" w:lineRule="auto"/>
        <w:rPr>
          <w:rFonts w:ascii="Times New Roman" w:hAnsi="Times New Roman" w:cs="Times New Roman"/>
          <w:iCs/>
          <w:sz w:val="24"/>
          <w:szCs w:val="24"/>
        </w:rPr>
      </w:pPr>
    </w:p>
    <w:p w14:paraId="48B0D91B" w14:textId="75ABDDE2"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omfatter også bestyrelsesmedlemmer, idet Spillemyndigheden under samme betingelser </w:t>
      </w:r>
      <w:r w:rsidR="00C55DA0" w:rsidRPr="00796736">
        <w:rPr>
          <w:rFonts w:ascii="Times New Roman" w:hAnsi="Times New Roman" w:cs="Times New Roman"/>
          <w:iCs/>
          <w:sz w:val="24"/>
          <w:szCs w:val="24"/>
        </w:rPr>
        <w:t>vil kunne</w:t>
      </w:r>
      <w:r w:rsidRPr="00796736">
        <w:rPr>
          <w:rFonts w:ascii="Times New Roman" w:hAnsi="Times New Roman" w:cs="Times New Roman"/>
          <w:iCs/>
          <w:sz w:val="24"/>
          <w:szCs w:val="24"/>
        </w:rPr>
        <w:t xml:space="preserve"> påbyde et medlem af bestyrelsen at nedlægge sit hverv. Dette sikrer, at hele ledelsen i virksomheden er omfattet af reglerne, og at Spillemyndigheden kan gribe ind, hvis der opstår tvivl om et bestyrelsesmedlems egnethed og hæderlighed som følge af en straffesag relateret til hvidvask af penge eller terrorfinansiering.</w:t>
      </w:r>
    </w:p>
    <w:p w14:paraId="4385B7E0" w14:textId="77777777" w:rsidR="001C7943" w:rsidRPr="00796736" w:rsidRDefault="001C7943" w:rsidP="00A802A5">
      <w:pPr>
        <w:spacing w:line="360" w:lineRule="auto"/>
        <w:rPr>
          <w:rFonts w:ascii="Times New Roman" w:hAnsi="Times New Roman" w:cs="Times New Roman"/>
          <w:iCs/>
          <w:sz w:val="24"/>
          <w:szCs w:val="24"/>
        </w:rPr>
      </w:pPr>
    </w:p>
    <w:p w14:paraId="7BEBE8C2" w14:textId="5A0082DE" w:rsidR="001C7943" w:rsidRPr="00796736" w:rsidRDefault="001C7943"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bemærkes, at bestemmelsen ikke forudsætter, at der er truffet endelig afgørelse i straffesagen, men alene at der er rejst tiltale, og at en eventuel domfældelse vil have betydning for opfyldelsen af kravene til ledelsen. Dette er begrundet i hensynet til at beskytte </w:t>
      </w:r>
      <w:r w:rsidR="009C423A" w:rsidRPr="00796736">
        <w:rPr>
          <w:rFonts w:ascii="Times New Roman" w:hAnsi="Times New Roman" w:cs="Times New Roman"/>
          <w:iCs/>
          <w:sz w:val="24"/>
          <w:szCs w:val="24"/>
        </w:rPr>
        <w:t>virksomhedens</w:t>
      </w:r>
      <w:r w:rsidRPr="00796736">
        <w:rPr>
          <w:rFonts w:ascii="Times New Roman" w:hAnsi="Times New Roman" w:cs="Times New Roman"/>
          <w:iCs/>
          <w:sz w:val="24"/>
          <w:szCs w:val="24"/>
        </w:rPr>
        <w:t xml:space="preserve"> integritet og tilliden til den ikkefinansielle sektor.</w:t>
      </w:r>
    </w:p>
    <w:p w14:paraId="244D5942" w14:textId="77777777" w:rsidR="001C7943" w:rsidRPr="00796736" w:rsidRDefault="001C7943" w:rsidP="00A802A5">
      <w:pPr>
        <w:spacing w:line="360" w:lineRule="auto"/>
        <w:rPr>
          <w:rFonts w:ascii="Times New Roman" w:hAnsi="Times New Roman" w:cs="Times New Roman"/>
          <w:iCs/>
          <w:sz w:val="24"/>
          <w:szCs w:val="24"/>
        </w:rPr>
      </w:pPr>
    </w:p>
    <w:p w14:paraId="4A36053D"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Pr="00796736">
        <w:rPr>
          <w:rFonts w:ascii="Times New Roman" w:hAnsi="Times New Roman" w:cs="Times New Roman"/>
          <w:i/>
          <w:sz w:val="24"/>
          <w:szCs w:val="24"/>
        </w:rPr>
        <w:t>stk. 5,</w:t>
      </w:r>
      <w:r w:rsidRPr="00796736">
        <w:rPr>
          <w:rFonts w:ascii="Times New Roman" w:hAnsi="Times New Roman" w:cs="Times New Roman"/>
          <w:iCs/>
          <w:sz w:val="24"/>
          <w:szCs w:val="24"/>
        </w:rPr>
        <w:t xml:space="preserve"> at varigheden af påbud meddelt efter stk. 1-4 skal fremgå af påbuddet. </w:t>
      </w:r>
    </w:p>
    <w:p w14:paraId="1573E122" w14:textId="77777777" w:rsidR="00C55DA0" w:rsidRPr="00796736" w:rsidRDefault="00C55DA0" w:rsidP="00A802A5">
      <w:pPr>
        <w:spacing w:line="360" w:lineRule="auto"/>
        <w:rPr>
          <w:rFonts w:ascii="Times New Roman" w:hAnsi="Times New Roman" w:cs="Times New Roman"/>
          <w:iCs/>
          <w:sz w:val="24"/>
          <w:szCs w:val="24"/>
        </w:rPr>
      </w:pPr>
    </w:p>
    <w:p w14:paraId="1990A561" w14:textId="77777777" w:rsidR="00C55DA0" w:rsidRPr="00796736" w:rsidRDefault="00C55DA0"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foreslåede vil indebære, at varigheden af et påbud meddelt efter stk. 1-4, skal fremgå af selve påbuddet. </w:t>
      </w:r>
    </w:p>
    <w:p w14:paraId="5D252D6A" w14:textId="77777777" w:rsidR="00C55DA0" w:rsidRPr="00796736" w:rsidRDefault="00C55DA0"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medføre, at det af Spillemyndighedens afgørelse om påbud efter stk. 1-4 skal fremgå, hvor længe den pågældende person ikke må varetage den pågældende ledelsesfunktion i virksomheden. </w:t>
      </w:r>
    </w:p>
    <w:p w14:paraId="764C17AB"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Varigheden af påbuddet fastsættes på baggrund af en konkret vurdering af de forhold, der ligger til grund for afgørelsen. </w:t>
      </w:r>
    </w:p>
    <w:p w14:paraId="6034E4FE" w14:textId="77777777"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Som udgangspunkt kan varigheden af påbud meddelt efter stk. 1 fastsættes mellem 1 måned til 5 år. </w:t>
      </w:r>
    </w:p>
    <w:p w14:paraId="6841D770" w14:textId="6D9C1C69" w:rsidR="00C55DA0" w:rsidRPr="00796736" w:rsidRDefault="00C55DA0"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Som udgangspunkt kan varigheden af et påbud efter stk. 2-4 fastsættes mellem 1 og 5 år, men ved særligt alvorlige tilfælde kan varigheden fastsættes til ”indtil videre”. Ved vurderingen af varighedens længde vil Spillemyndigheden blandt andet lægge vægt på forholdets karakter og grovhed, antallet af gentagelser af overtrædelser, hvor lang tid der er gået siden forholdet, og personens adfærd siden. Hvis der er tale om tilfælde med gentagelser af overtrædelser vil det have en skærpende betydning for varighedens længde, uanset om de kritisable forhold er af forskellig karakter.</w:t>
      </w:r>
    </w:p>
    <w:p w14:paraId="6A14E18E" w14:textId="77777777"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Som udgangspunkt vil forhold, der ligger mere end 10 år tilbage, ikke indgå i vurderingen, medmindre der er tale om særligt alvorlige forhold, gentagelser af overtrædelser eller et samlet sagsforløb, hvor ældre forhold indgår sammen med nyere. </w:t>
      </w:r>
    </w:p>
    <w:p w14:paraId="3E1DE206" w14:textId="77777777"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Begyndelsestidspunktet for varigheden regnes som udgangspunkt fra datoen for Spillemyndighedens påbud. Hvis påbuddet er begrundet i konkurs, rekonstruktion eller gældssanering, regnes begyndelsestidspunktet fra afslutningen af disse forhold. </w:t>
      </w:r>
    </w:p>
    <w:p w14:paraId="6A058435" w14:textId="602E6A6F" w:rsidR="009C423A" w:rsidRPr="00796736"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Varigheden kan fastsættes til ”indtil videre”, hvis der er tale om grove forhold eller alvorlige tilfælde af gentagelse af overtrædelser, der som udgangspunkt ikke ligger mere end 10 år tilbage. Dette vil dog kun</w:t>
      </w:r>
      <w:r w:rsidR="00C55DA0" w:rsidRPr="00796736">
        <w:rPr>
          <w:rFonts w:ascii="Times New Roman" w:eastAsia="Calibri" w:hAnsi="Times New Roman" w:cs="Times New Roman"/>
          <w:sz w:val="24"/>
          <w:szCs w:val="24"/>
        </w:rPr>
        <w:t xml:space="preserve"> kunne</w:t>
      </w:r>
      <w:r w:rsidRPr="00796736">
        <w:rPr>
          <w:rFonts w:ascii="Times New Roman" w:eastAsia="Calibri" w:hAnsi="Times New Roman" w:cs="Times New Roman"/>
          <w:sz w:val="24"/>
          <w:szCs w:val="24"/>
        </w:rPr>
        <w:t xml:space="preserve"> ske i særligt alvorlige tilfælde, eksempelvis ved betydelige ledelsesmæssige svigt eller forsætlig overtrædelse af hvidvaskreglerne.</w:t>
      </w:r>
    </w:p>
    <w:p w14:paraId="74CCE12E" w14:textId="772DF9D5" w:rsidR="00C55DA0" w:rsidRPr="007B7BA4" w:rsidRDefault="009C423A" w:rsidP="00A802A5">
      <w:pPr>
        <w:spacing w:after="240"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 xml:space="preserve">Overordnet gælder, at de forhold, der begrunder påbuddet, </w:t>
      </w:r>
      <w:r w:rsidR="00C55DA0" w:rsidRPr="00796736">
        <w:rPr>
          <w:rFonts w:ascii="Times New Roman" w:eastAsia="Calibri" w:hAnsi="Times New Roman" w:cs="Times New Roman"/>
          <w:sz w:val="24"/>
          <w:szCs w:val="24"/>
        </w:rPr>
        <w:t>vil skulle</w:t>
      </w:r>
      <w:r w:rsidRPr="00796736">
        <w:rPr>
          <w:rFonts w:ascii="Times New Roman" w:eastAsia="Calibri" w:hAnsi="Times New Roman" w:cs="Times New Roman"/>
          <w:sz w:val="24"/>
          <w:szCs w:val="24"/>
        </w:rPr>
        <w:t xml:space="preserve"> have en så alvorlig karakter, at det må anses for åbenbart, at hverken Spillemyndigheden eller samfundet kan have tillid til, at den pågældende inden for en overskuelig fremtid vil kunne varetage hvervet som en del af den øverste ledelse i en omfattet virksomhed.</w:t>
      </w:r>
    </w:p>
    <w:p w14:paraId="3EF2A96E" w14:textId="7FD522F0"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i s</w:t>
      </w:r>
      <w:r w:rsidRPr="00796736">
        <w:rPr>
          <w:rFonts w:ascii="Times New Roman" w:eastAsia="Times New Roman" w:hAnsi="Times New Roman" w:cs="Times New Roman"/>
          <w:i/>
          <w:iCs/>
          <w:sz w:val="24"/>
          <w:szCs w:val="24"/>
        </w:rPr>
        <w:t>tk.</w:t>
      </w:r>
      <w:r w:rsidR="007B7BA4">
        <w:rPr>
          <w:rFonts w:ascii="Times New Roman" w:eastAsia="Times New Roman" w:hAnsi="Times New Roman" w:cs="Times New Roman"/>
          <w:i/>
          <w:iCs/>
          <w:sz w:val="24"/>
          <w:szCs w:val="24"/>
        </w:rPr>
        <w:t>6</w:t>
      </w:r>
      <w:r w:rsidRPr="00796736">
        <w:rPr>
          <w:rFonts w:ascii="Times New Roman" w:eastAsia="Times New Roman" w:hAnsi="Times New Roman" w:cs="Times New Roman"/>
          <w:i/>
          <w:iCs/>
          <w:sz w:val="24"/>
          <w:szCs w:val="24"/>
        </w:rPr>
        <w:t>, 1. og 2. pkt.</w:t>
      </w:r>
      <w:r w:rsidRPr="00796736">
        <w:rPr>
          <w:rFonts w:ascii="Times New Roman" w:eastAsia="Times New Roman" w:hAnsi="Times New Roman" w:cs="Times New Roman"/>
          <w:sz w:val="24"/>
          <w:szCs w:val="24"/>
        </w:rPr>
        <w:t xml:space="preserve">, at påbud meddelt efter stk. 1-4 kan af virksomheden og den person, som påbuddet vedrører, forlanges indbragt for domstolene. Anmodning herom skal indgives til Spillemyndigheden inden 3 måneder efter, at påbuddet er meddelt den pågældende. </w:t>
      </w:r>
    </w:p>
    <w:p w14:paraId="7E5AA777" w14:textId="77777777" w:rsidR="00C55DA0" w:rsidRPr="00796736" w:rsidRDefault="00C55DA0" w:rsidP="00A802A5">
      <w:pPr>
        <w:spacing w:line="360" w:lineRule="auto"/>
        <w:rPr>
          <w:rFonts w:ascii="Times New Roman" w:eastAsia="Times New Roman" w:hAnsi="Times New Roman" w:cs="Times New Roman"/>
          <w:sz w:val="24"/>
          <w:szCs w:val="24"/>
        </w:rPr>
      </w:pPr>
    </w:p>
    <w:p w14:paraId="76D77D82"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Dermed er klagefristen den samme, uanset om der er tale om en klage til Landsskatteretten eller domstolsprøvelse.  3-måneders-fristen skal regnes fra datoen for afgørelsen. 3-måneders-fristen forudsætter, at klagevejledningen ikke er mangelfuld. Bestemmelsen svarer til § 48, stk. 3, i skatteforvaltningsloven, hvor en endelig administrativ afgørelse ikke kan indbringes for domstolene senere end tre måneder efter, at afgørelsen er truffet. </w:t>
      </w:r>
    </w:p>
    <w:p w14:paraId="43F6D90A" w14:textId="77777777" w:rsidR="00C55DA0" w:rsidRPr="00796736" w:rsidRDefault="00C55DA0" w:rsidP="00A802A5">
      <w:pPr>
        <w:spacing w:line="360" w:lineRule="auto"/>
        <w:rPr>
          <w:rFonts w:ascii="Times New Roman" w:eastAsia="Times New Roman" w:hAnsi="Times New Roman" w:cs="Times New Roman"/>
          <w:sz w:val="24"/>
          <w:szCs w:val="24"/>
        </w:rPr>
      </w:pPr>
    </w:p>
    <w:p w14:paraId="6FF1355D"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sz w:val="24"/>
          <w:szCs w:val="24"/>
        </w:rPr>
        <w:t>3.-5. pkt.,</w:t>
      </w:r>
      <w:r w:rsidRPr="00796736">
        <w:rPr>
          <w:rFonts w:ascii="Times New Roman" w:eastAsia="Times New Roman" w:hAnsi="Times New Roman" w:cs="Times New Roman"/>
          <w:sz w:val="24"/>
          <w:szCs w:val="24"/>
        </w:rPr>
        <w:t xml:space="preserve"> at anmodningen ikke har opsættende virkning for påbuddet, men retten kan ved kendelse bestemme, at afgørelsen skal tillægges opsættende virkning. Spillemyndigheden skal indbringe sagen for domstolene inden 4 uger efter modtagelse af anmodning herom. Sagen anlægges i den borgerlige retsplejes former. </w:t>
      </w:r>
    </w:p>
    <w:p w14:paraId="13991DBC" w14:textId="77777777" w:rsidR="00C55DA0" w:rsidRPr="00796736" w:rsidRDefault="00C55DA0" w:rsidP="00A802A5">
      <w:pPr>
        <w:spacing w:line="360" w:lineRule="auto"/>
        <w:rPr>
          <w:rFonts w:ascii="Times New Roman" w:eastAsia="Times New Roman" w:hAnsi="Times New Roman" w:cs="Times New Roman"/>
          <w:sz w:val="24"/>
          <w:szCs w:val="24"/>
        </w:rPr>
      </w:pPr>
    </w:p>
    <w:p w14:paraId="74166CF7"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Af retssikkerhedsmæssige hensyn er det væsentligt, at både virksomheden og den person, som påbuddet vedrører, har mulighed for at få prøvet Spillemyndighedens afgørelse ved domstolene. Det er Spillemyndigheden, der har ansvaret for at indbringe sagen for domstolene, og dette skal ske inden for en frist på 4 uger efter, at anmodningen er modtaget. Der stilles ikke formkrav til anmodningen, hvilket sikrer en enkel og tilgængelig adgang til domstolsprøvelse.</w:t>
      </w:r>
    </w:p>
    <w:p w14:paraId="1B5F3E5D" w14:textId="77777777" w:rsidR="00C55DA0" w:rsidRPr="00796736" w:rsidRDefault="00C55DA0" w:rsidP="00A802A5">
      <w:pPr>
        <w:spacing w:line="360" w:lineRule="auto"/>
        <w:rPr>
          <w:rFonts w:ascii="Times New Roman" w:eastAsia="Times New Roman" w:hAnsi="Times New Roman" w:cs="Times New Roman"/>
          <w:sz w:val="24"/>
          <w:szCs w:val="24"/>
        </w:rPr>
      </w:pPr>
    </w:p>
    <w:p w14:paraId="2FE8285D"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Som udgangspunkt tillægges en anmodning om domstolsprøvelse ikke opsættende virkning, da dette vil kunne hindre en løbende og effektiv håndhævelse af kravene om egnethed og hæderlighed for den øverste ledelse. Retten har dog mulighed for at bestemme, at afgørelsen skal tillægges opsættende virkning. Dette sikrer en balance mellem hensynet til effektivt tilsyn og den enkeltes retssikkerhed.</w:t>
      </w:r>
    </w:p>
    <w:p w14:paraId="7861428F" w14:textId="77777777" w:rsidR="00C55DA0" w:rsidRPr="00796736" w:rsidRDefault="00C55DA0" w:rsidP="00A802A5">
      <w:pPr>
        <w:spacing w:line="360" w:lineRule="auto"/>
        <w:rPr>
          <w:rFonts w:ascii="Times New Roman" w:eastAsia="Times New Roman" w:hAnsi="Times New Roman" w:cs="Times New Roman"/>
          <w:sz w:val="24"/>
          <w:szCs w:val="24"/>
        </w:rPr>
      </w:pPr>
    </w:p>
    <w:p w14:paraId="464372CB" w14:textId="12352B45"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i s</w:t>
      </w:r>
      <w:r w:rsidRPr="00796736">
        <w:rPr>
          <w:rFonts w:ascii="Times New Roman" w:eastAsia="Times New Roman" w:hAnsi="Times New Roman" w:cs="Times New Roman"/>
          <w:i/>
          <w:iCs/>
          <w:sz w:val="24"/>
          <w:szCs w:val="24"/>
        </w:rPr>
        <w:t xml:space="preserve">tk. </w:t>
      </w:r>
      <w:r w:rsidR="007B7BA4">
        <w:rPr>
          <w:rFonts w:ascii="Times New Roman" w:eastAsia="Times New Roman" w:hAnsi="Times New Roman" w:cs="Times New Roman"/>
          <w:i/>
          <w:iCs/>
          <w:sz w:val="24"/>
          <w:szCs w:val="24"/>
        </w:rPr>
        <w:t>7</w:t>
      </w:r>
      <w:r w:rsidRPr="00796736">
        <w:rPr>
          <w:rFonts w:ascii="Times New Roman" w:eastAsia="Times New Roman" w:hAnsi="Times New Roman" w:cs="Times New Roman"/>
          <w:sz w:val="24"/>
          <w:szCs w:val="24"/>
        </w:rPr>
        <w:t xml:space="preserve">, at Spillemyndigheden af egen drift eller efter ansøgning kan tilbagekalde et påbud meddelt efter stk. 1-4. Afslår Spillemyndigheden en ansøgning om tilbagekaldelse, kan ansøgeren forlange afslaget indbragt for domstolene. Anmodning herom skal indgives til Spillemyndigheden inden 3 måneder efter, at afslaget er meddelt den pågældende. Anmodning om domstolsprøvelse kan dog kun fremsættes, hvis påbuddet ikke er tidsbegrænset, og der er forløbet mindst 5 år fra datoen for udstedelsen af påbuddet, eller mindst 2 år efter at Spillemyndighedens afslag på tilbagekaldelse er stadfæstet ved dom. </w:t>
      </w:r>
    </w:p>
    <w:p w14:paraId="24979F8D" w14:textId="77777777" w:rsidR="00C55DA0" w:rsidRPr="00796736" w:rsidRDefault="00C55DA0" w:rsidP="00A802A5">
      <w:pPr>
        <w:spacing w:line="360" w:lineRule="auto"/>
        <w:rPr>
          <w:rFonts w:ascii="Times New Roman" w:eastAsia="Times New Roman" w:hAnsi="Times New Roman" w:cs="Times New Roman"/>
          <w:sz w:val="24"/>
          <w:szCs w:val="24"/>
        </w:rPr>
      </w:pPr>
    </w:p>
    <w:p w14:paraId="67D0BAD6"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Dermed er klagefristen den samme, uanset om der er tale om en klage til Landsskatteretten eller domstolsprøvelse. 3-måneders-fristen skal regnes fra datoen for afgørelsen. 3-måneders-fristen forudsætter, at klagevejledningen ikke er mangelfuld. Bestemmelsen svarer til skatteforvaltningens § 48, stk. 3, hvor en endelig administrativ afgørelse ikke kan indbringes for domstolene senere end 3 måneder efter, at afgørelsen er truffet.</w:t>
      </w:r>
    </w:p>
    <w:p w14:paraId="4D9CA30B" w14:textId="77777777" w:rsidR="00C55DA0" w:rsidRPr="00796736" w:rsidRDefault="00C55DA0" w:rsidP="00A802A5">
      <w:pPr>
        <w:spacing w:line="360" w:lineRule="auto"/>
        <w:rPr>
          <w:rFonts w:ascii="Times New Roman" w:eastAsia="Times New Roman" w:hAnsi="Times New Roman" w:cs="Times New Roman"/>
          <w:sz w:val="24"/>
          <w:szCs w:val="24"/>
        </w:rPr>
      </w:pPr>
    </w:p>
    <w:p w14:paraId="0D27CE24" w14:textId="77777777" w:rsidR="00C55DA0" w:rsidRPr="00796736"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Bestemmelsen vil sikre, at Spillemyndigheden til enhver tid kan tilbagekalde et påbud, hvis forholdene ændrer sig, eller hvis der foreligger nye oplysninger, der taler for, at påbuddet ikke længere bør opretholdes med den fastsatte varighed. En person, der har modtaget et påbud, kan således ansøge Spillemyndigheden om at få påbuddet tilbagekaldt. Hvis Spillemyndigheden afslår ansøgningen, kan ansøgeren forlange, at afslaget indbringes for domstolene. Dette skal ske ved, at ansøgeren indgiver anmodning til Spillemyndigheden inden 3 måneder efter, at afslaget er meddelt.</w:t>
      </w:r>
    </w:p>
    <w:p w14:paraId="4B1BF931" w14:textId="77777777" w:rsidR="00C55DA0" w:rsidRPr="00796736" w:rsidRDefault="00C55DA0" w:rsidP="00A802A5">
      <w:pPr>
        <w:spacing w:line="360" w:lineRule="auto"/>
        <w:rPr>
          <w:rFonts w:ascii="Times New Roman" w:hAnsi="Times New Roman" w:cs="Times New Roman"/>
          <w:iCs/>
          <w:sz w:val="24"/>
          <w:szCs w:val="24"/>
        </w:rPr>
      </w:pPr>
    </w:p>
    <w:p w14:paraId="77555A26" w14:textId="0A15F0F1" w:rsidR="007B7BA4" w:rsidRDefault="00C55DA0"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Det vil være en betingelse for at kunne kræve domstolsprøvelse af et afslag på tilbagekaldelse, at påbuddets varighed ikke er tidsbegrænset, og at der er forløbet mindst 5 år fra datoen for udstedelsen af påbuddet, eller mindst 2 år efter at Spillemyndighedens afslag på tilbagekaldelse er stadfæstet ved dom. Begrænsningerne har kun betydning for muligheden for at kræve sagen indbragt for domstolene af Spillemyndigheden. En person, som har modtaget et afslag, vil til enhver tid have mulighed for selv at anlægge sag ved domstolene.</w:t>
      </w:r>
    </w:p>
    <w:p w14:paraId="4F2852C3" w14:textId="77777777" w:rsidR="007B7BA4" w:rsidRDefault="007B7BA4" w:rsidP="00A802A5">
      <w:pPr>
        <w:spacing w:line="360" w:lineRule="auto"/>
        <w:rPr>
          <w:rFonts w:ascii="Times New Roman" w:hAnsi="Times New Roman" w:cs="Times New Roman"/>
          <w:iCs/>
          <w:sz w:val="24"/>
          <w:szCs w:val="24"/>
        </w:rPr>
      </w:pPr>
    </w:p>
    <w:p w14:paraId="28C14E18" w14:textId="77777777" w:rsidR="007B7BA4" w:rsidRDefault="007B7B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bemærkes, at adgangen til domstolsprøvelse ikke </w:t>
      </w:r>
      <w:r w:rsidRPr="002E36FA">
        <w:rPr>
          <w:rFonts w:ascii="Times New Roman" w:eastAsia="Times New Roman" w:hAnsi="Times New Roman" w:cs="Times New Roman"/>
          <w:sz w:val="24"/>
          <w:szCs w:val="24"/>
        </w:rPr>
        <w:t xml:space="preserve">afskærer muligheden for at indbringe </w:t>
      </w:r>
      <w:r>
        <w:rPr>
          <w:rFonts w:ascii="Times New Roman" w:eastAsia="Times New Roman" w:hAnsi="Times New Roman" w:cs="Times New Roman"/>
          <w:sz w:val="24"/>
          <w:szCs w:val="24"/>
        </w:rPr>
        <w:t>afgørelsen</w:t>
      </w:r>
      <w:r w:rsidRPr="002E36FA">
        <w:rPr>
          <w:rFonts w:ascii="Times New Roman" w:eastAsia="Times New Roman" w:hAnsi="Times New Roman" w:cs="Times New Roman"/>
          <w:sz w:val="24"/>
          <w:szCs w:val="24"/>
        </w:rPr>
        <w:t xml:space="preserve"> for en administrativ rekursinstans</w:t>
      </w:r>
      <w:r>
        <w:rPr>
          <w:rFonts w:ascii="Times New Roman" w:eastAsia="Times New Roman" w:hAnsi="Times New Roman" w:cs="Times New Roman"/>
          <w:sz w:val="24"/>
          <w:szCs w:val="24"/>
        </w:rPr>
        <w:t>.</w:t>
      </w:r>
    </w:p>
    <w:p w14:paraId="114F42C6" w14:textId="77777777" w:rsidR="007B7BA4" w:rsidRPr="00796736" w:rsidRDefault="007B7BA4" w:rsidP="00A802A5">
      <w:pPr>
        <w:spacing w:line="360" w:lineRule="auto"/>
        <w:rPr>
          <w:rFonts w:ascii="Times New Roman" w:hAnsi="Times New Roman" w:cs="Times New Roman"/>
          <w:iCs/>
          <w:sz w:val="24"/>
          <w:szCs w:val="24"/>
        </w:rPr>
      </w:pPr>
    </w:p>
    <w:p w14:paraId="541260CB" w14:textId="76854EE4" w:rsidR="00796736" w:rsidRPr="00796736" w:rsidRDefault="00796736" w:rsidP="00A802A5">
      <w:pPr>
        <w:spacing w:line="360" w:lineRule="auto"/>
        <w:rPr>
          <w:rFonts w:ascii="Times New Roman" w:hAnsi="Times New Roman" w:cs="Times New Roman"/>
          <w:iCs/>
          <w:sz w:val="24"/>
          <w:szCs w:val="24"/>
        </w:rPr>
      </w:pPr>
    </w:p>
    <w:p w14:paraId="7CA01E58" w14:textId="229EA81F" w:rsidR="001C7943" w:rsidRPr="00796736" w:rsidRDefault="001C7943" w:rsidP="00A802A5">
      <w:pPr>
        <w:pStyle w:val="Undertitel"/>
      </w:pPr>
      <w:bookmarkStart w:id="2212" w:name="_Toc244879418"/>
      <w:bookmarkStart w:id="2213" w:name="_Toc244880943"/>
      <w:r w:rsidRPr="00796736">
        <w:t xml:space="preserve">Til </w:t>
      </w:r>
      <w:r w:rsidRPr="00796736">
        <w:fldChar w:fldCharType="begin"/>
      </w:r>
      <w:r w:rsidRPr="00796736">
        <w:instrText xml:space="preserve"> REF _Ref236647910 \n \h </w:instrText>
      </w:r>
      <w:r w:rsidR="00A47042" w:rsidRPr="00796736">
        <w:instrText xml:space="preserve"> \* MERGEFORMAT </w:instrText>
      </w:r>
      <w:r w:rsidRPr="00796736">
        <w:fldChar w:fldCharType="separate"/>
      </w:r>
      <w:r w:rsidR="008F29E5">
        <w:t>§ 122</w:t>
      </w:r>
      <w:bookmarkEnd w:id="2212"/>
      <w:bookmarkEnd w:id="2213"/>
      <w:r w:rsidRPr="00796736">
        <w:fldChar w:fldCharType="end"/>
      </w:r>
    </w:p>
    <w:p w14:paraId="5127D787" w14:textId="1945214D" w:rsidR="009C423A" w:rsidRPr="00796736" w:rsidRDefault="009C423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Der findes aktuelt ingen hjemmel til at oprette </w:t>
      </w:r>
      <w:r w:rsidR="00C55DA0" w:rsidRPr="00796736">
        <w:rPr>
          <w:rFonts w:ascii="Times New Roman" w:hAnsi="Times New Roman" w:cs="Times New Roman"/>
          <w:iCs/>
          <w:sz w:val="24"/>
          <w:szCs w:val="24"/>
        </w:rPr>
        <w:t xml:space="preserve">private </w:t>
      </w:r>
      <w:r w:rsidRPr="00796736">
        <w:rPr>
          <w:rFonts w:ascii="Times New Roman" w:hAnsi="Times New Roman" w:cs="Times New Roman"/>
          <w:iCs/>
          <w:sz w:val="24"/>
          <w:szCs w:val="24"/>
        </w:rPr>
        <w:t xml:space="preserve">partnerskaber, hvor virksomheder og personer kan udveksle oplysninger med henblik på at forebygge eller bekæmpe hvidvask eller terrorfinansiering. </w:t>
      </w:r>
    </w:p>
    <w:p w14:paraId="0D78816B" w14:textId="77777777" w:rsidR="001C7943"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Af hvidvaskforordningens artikel 75 fremgår muligheden for, at forpligtede enheder frivilligt kan indgå partnerskaber med henblik på udveksling af oplysninger. Medlemmer af partnerskaber til udveksling af oplysninger kan udveksle oplysninger med hinanden, hvis det er strengt nødvendigt for at opfylde forpligtelserne i henhold til forordningens kapitel 3 om kundekendskabsprocedurer samt artikel 69 om indberetning af mistanke. Endvidere skal udvekslingen være i overensstemmelse med de grundlæggende rettigheder og retssikkerhedsgarantier.</w:t>
      </w:r>
    </w:p>
    <w:p w14:paraId="6309A303" w14:textId="71707303" w:rsidR="001C7943"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Oplysninger, der udveksles inden for rammerne af et partnerskab til udveksling af oplysninger,</w:t>
      </w:r>
      <w:r w:rsidR="00C55DA0" w:rsidRPr="00796736">
        <w:rPr>
          <w:rFonts w:ascii="Times New Roman" w:hAnsi="Times New Roman" w:cs="Times New Roman"/>
          <w:iCs/>
          <w:sz w:val="24"/>
          <w:szCs w:val="24"/>
        </w:rPr>
        <w:t xml:space="preserve"> vil blive</w:t>
      </w:r>
      <w:r w:rsidRPr="00796736">
        <w:rPr>
          <w:rFonts w:ascii="Times New Roman" w:hAnsi="Times New Roman" w:cs="Times New Roman"/>
          <w:iCs/>
          <w:sz w:val="24"/>
          <w:szCs w:val="24"/>
        </w:rPr>
        <w:t xml:space="preserve"> begræns</w:t>
      </w:r>
      <w:r w:rsidR="00C55DA0" w:rsidRPr="00796736">
        <w:rPr>
          <w:rFonts w:ascii="Times New Roman" w:hAnsi="Times New Roman" w:cs="Times New Roman"/>
          <w:iCs/>
          <w:sz w:val="24"/>
          <w:szCs w:val="24"/>
        </w:rPr>
        <w:t>et</w:t>
      </w:r>
      <w:r w:rsidRPr="00796736">
        <w:rPr>
          <w:rFonts w:ascii="Times New Roman" w:hAnsi="Times New Roman" w:cs="Times New Roman"/>
          <w:iCs/>
          <w:sz w:val="24"/>
          <w:szCs w:val="24"/>
        </w:rPr>
        <w:t xml:space="preserve"> til oplysninger om kunden, om formålet med og den tilsigtede art af forretningsforbindelsen, og hvis relevant om midlernes oprindelse, oplysninger om kundetransaktioner, oplysninger om risikofaktorer forbundet med kunden samt oplysninger om mistanker, som er indberettet i henhold til forordningens artikel 69. </w:t>
      </w:r>
    </w:p>
    <w:p w14:paraId="03BF8C53" w14:textId="77777777" w:rsidR="001C7943"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Af forordningens artikel 75, stk. 7, fremgår det, at hvis tilsynsmyndighederne finder det nødvendigt, skal forpligtede enheder, der deltager i et partnerskab til udveksling af oplysninger, få foretaget en uafhængig revision af, hvordan dette partnerskab fungerer, og udveksle resultaterne med tilsynsmyndighederne.</w:t>
      </w:r>
    </w:p>
    <w:p w14:paraId="243309AD" w14:textId="77777777" w:rsidR="007B7BA4" w:rsidRPr="00D500FD" w:rsidRDefault="007B7BA4" w:rsidP="00A802A5">
      <w:pPr>
        <w:spacing w:after="240" w:line="360" w:lineRule="auto"/>
        <w:rPr>
          <w:rFonts w:ascii="Times New Roman" w:hAnsi="Times New Roman" w:cs="Times New Roman"/>
          <w:iCs/>
          <w:sz w:val="24"/>
          <w:szCs w:val="24"/>
        </w:rPr>
      </w:pPr>
      <w:r w:rsidRPr="00BA67DE">
        <w:rPr>
          <w:rFonts w:ascii="Times New Roman" w:eastAsia="Calibri" w:hAnsi="Times New Roman" w:cs="Times New Roman"/>
          <w:sz w:val="24"/>
          <w:szCs w:val="24"/>
        </w:rPr>
        <w:t xml:space="preserve">Bestemmelsen vil indebære, at der </w:t>
      </w:r>
      <w:r>
        <w:rPr>
          <w:rFonts w:ascii="Times New Roman" w:eastAsia="Calibri" w:hAnsi="Times New Roman" w:cs="Times New Roman"/>
          <w:sz w:val="24"/>
          <w:szCs w:val="24"/>
        </w:rPr>
        <w:t xml:space="preserve">vil skulle </w:t>
      </w:r>
      <w:r w:rsidRPr="00BA67DE">
        <w:rPr>
          <w:rFonts w:ascii="Times New Roman" w:eastAsia="Calibri" w:hAnsi="Times New Roman" w:cs="Times New Roman"/>
          <w:sz w:val="24"/>
          <w:szCs w:val="24"/>
        </w:rPr>
        <w:t>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382FFE14" w14:textId="748E59B3" w:rsidR="007B7BA4" w:rsidRPr="00796736" w:rsidRDefault="007B7BA4" w:rsidP="00A802A5">
      <w:pPr>
        <w:spacing w:after="240" w:line="360" w:lineRule="auto"/>
        <w:rPr>
          <w:rFonts w:ascii="Times New Roman" w:hAnsi="Times New Roman" w:cs="Times New Roman"/>
          <w:iCs/>
          <w:sz w:val="24"/>
          <w:szCs w:val="24"/>
        </w:rPr>
      </w:pPr>
      <w:r w:rsidRPr="00D500FD">
        <w:rPr>
          <w:rFonts w:ascii="Times New Roman" w:hAnsi="Times New Roman" w:cs="Times New Roman"/>
          <w:iCs/>
          <w:sz w:val="24"/>
          <w:szCs w:val="24"/>
        </w:rPr>
        <w:t>Den foreslåede bestemmelse er ny og udmønter hvidvaskforordningens artikel 75, stk. 7.</w:t>
      </w:r>
    </w:p>
    <w:p w14:paraId="0DA5DED0" w14:textId="70DDE490" w:rsidR="007B7BA4" w:rsidRPr="00D500FD" w:rsidRDefault="007B7BA4" w:rsidP="00A802A5">
      <w:pPr>
        <w:spacing w:after="240" w:line="360" w:lineRule="auto"/>
        <w:rPr>
          <w:rFonts w:ascii="Times New Roman" w:hAnsi="Times New Roman" w:cs="Times New Roman"/>
          <w:iCs/>
          <w:sz w:val="24"/>
          <w:szCs w:val="24"/>
        </w:rPr>
      </w:pPr>
      <w:r w:rsidRPr="00D500FD">
        <w:rPr>
          <w:rFonts w:ascii="Times New Roman" w:hAnsi="Times New Roman" w:cs="Times New Roman"/>
          <w:iCs/>
          <w:sz w:val="24"/>
          <w:szCs w:val="24"/>
        </w:rPr>
        <w:t xml:space="preserve">Det foreslås i </w:t>
      </w:r>
      <w:r w:rsidRPr="007B7BA4">
        <w:rPr>
          <w:rFonts w:ascii="Times New Roman" w:hAnsi="Times New Roman" w:cs="Times New Roman"/>
          <w:i/>
          <w:iCs/>
          <w:sz w:val="24"/>
          <w:szCs w:val="24"/>
        </w:rPr>
        <w:fldChar w:fldCharType="begin"/>
      </w:r>
      <w:r w:rsidRPr="007B7BA4">
        <w:rPr>
          <w:rFonts w:ascii="Times New Roman" w:hAnsi="Times New Roman" w:cs="Times New Roman"/>
          <w:i/>
          <w:iCs/>
          <w:sz w:val="24"/>
          <w:szCs w:val="24"/>
        </w:rPr>
        <w:instrText xml:space="preserve"> REF _Ref236647910 \r \h  \* MERGEFORMAT </w:instrText>
      </w:r>
      <w:r w:rsidRPr="007B7BA4">
        <w:rPr>
          <w:rFonts w:ascii="Times New Roman" w:hAnsi="Times New Roman" w:cs="Times New Roman"/>
          <w:i/>
          <w:iCs/>
          <w:sz w:val="24"/>
          <w:szCs w:val="24"/>
        </w:rPr>
      </w:r>
      <w:r w:rsidRPr="007B7BA4">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122</w:t>
      </w:r>
      <w:r w:rsidRPr="007B7BA4">
        <w:rPr>
          <w:rFonts w:ascii="Times New Roman" w:hAnsi="Times New Roman" w:cs="Times New Roman"/>
          <w:i/>
          <w:iCs/>
          <w:sz w:val="24"/>
          <w:szCs w:val="24"/>
        </w:rPr>
        <w:fldChar w:fldCharType="end"/>
      </w:r>
      <w:r w:rsidRPr="00D500FD">
        <w:rPr>
          <w:rFonts w:ascii="Times New Roman" w:hAnsi="Times New Roman" w:cs="Times New Roman"/>
          <w:i/>
          <w:iCs/>
          <w:sz w:val="24"/>
          <w:szCs w:val="24"/>
        </w:rPr>
        <w:t>,</w:t>
      </w:r>
      <w:r>
        <w:rPr>
          <w:rFonts w:ascii="Times New Roman" w:hAnsi="Times New Roman" w:cs="Times New Roman"/>
          <w:i/>
          <w:sz w:val="24"/>
          <w:szCs w:val="24"/>
        </w:rPr>
        <w:t xml:space="preserve"> </w:t>
      </w:r>
      <w:r>
        <w:rPr>
          <w:rFonts w:ascii="Times New Roman" w:hAnsi="Times New Roman" w:cs="Times New Roman"/>
          <w:i/>
          <w:iCs/>
          <w:sz w:val="24"/>
          <w:szCs w:val="24"/>
        </w:rPr>
        <w:t>stk. 1,</w:t>
      </w:r>
      <w:r w:rsidRPr="00D500FD">
        <w:rPr>
          <w:rFonts w:ascii="Times New Roman" w:hAnsi="Times New Roman" w:cs="Times New Roman"/>
          <w:iCs/>
          <w:sz w:val="24"/>
          <w:szCs w:val="24"/>
        </w:rPr>
        <w:t xml:space="preserve"> at Spillemyndigheden kan påbyde virksomheder og personer omfattet af </w:t>
      </w:r>
      <w:r>
        <w:rPr>
          <w:rFonts w:ascii="Times New Roman" w:hAnsi="Times New Roman" w:cs="Times New Roman"/>
          <w:iCs/>
          <w:sz w:val="24"/>
          <w:szCs w:val="24"/>
        </w:rPr>
        <w:fldChar w:fldCharType="begin"/>
      </w:r>
      <w:r>
        <w:rPr>
          <w:rFonts w:ascii="Times New Roman" w:hAnsi="Times New Roman" w:cs="Times New Roman"/>
          <w:iCs/>
          <w:sz w:val="24"/>
          <w:szCs w:val="24"/>
        </w:rPr>
        <w:instrText xml:space="preserve"> REF _Ref243859246 \r \h </w:instrText>
      </w:r>
      <w:r w:rsidR="00CB248D">
        <w:rPr>
          <w:rFonts w:ascii="Times New Roman" w:hAnsi="Times New Roman" w:cs="Times New Roman"/>
          <w:iCs/>
          <w:sz w:val="24"/>
          <w:szCs w:val="24"/>
        </w:rPr>
        <w:instrText xml:space="preserve"> \* MERGEFORMAT </w:instrText>
      </w:r>
      <w:r>
        <w:rPr>
          <w:rFonts w:ascii="Times New Roman" w:hAnsi="Times New Roman" w:cs="Times New Roman"/>
          <w:iCs/>
          <w:sz w:val="24"/>
          <w:szCs w:val="24"/>
        </w:rPr>
      </w:r>
      <w:r>
        <w:rPr>
          <w:rFonts w:ascii="Times New Roman" w:hAnsi="Times New Roman" w:cs="Times New Roman"/>
          <w:iCs/>
          <w:sz w:val="24"/>
          <w:szCs w:val="24"/>
        </w:rPr>
        <w:fldChar w:fldCharType="separate"/>
      </w:r>
      <w:r w:rsidR="008F29E5">
        <w:rPr>
          <w:rFonts w:ascii="Times New Roman" w:hAnsi="Times New Roman" w:cs="Times New Roman"/>
          <w:iCs/>
          <w:sz w:val="24"/>
          <w:szCs w:val="24"/>
        </w:rPr>
        <w:t>§ 113</w:t>
      </w:r>
      <w:r>
        <w:rPr>
          <w:rFonts w:ascii="Times New Roman" w:hAnsi="Times New Roman" w:cs="Times New Roman"/>
          <w:iCs/>
          <w:sz w:val="24"/>
          <w:szCs w:val="24"/>
        </w:rPr>
        <w:fldChar w:fldCharType="end"/>
      </w:r>
      <w:r>
        <w:rPr>
          <w:rFonts w:ascii="Times New Roman" w:hAnsi="Times New Roman" w:cs="Times New Roman"/>
          <w:iCs/>
          <w:sz w:val="24"/>
          <w:szCs w:val="24"/>
        </w:rPr>
        <w:t xml:space="preserve">, </w:t>
      </w:r>
      <w:r w:rsidRPr="00D500FD">
        <w:rPr>
          <w:rFonts w:ascii="Times New Roman" w:hAnsi="Times New Roman" w:cs="Times New Roman"/>
          <w:iCs/>
          <w:sz w:val="24"/>
          <w:szCs w:val="24"/>
        </w:rPr>
        <w:t xml:space="preserve">stk. 1, der deltager i et partnerskab med henblik på udveksling af oplysninger i henhold til hvidvaskforordningens artikel 75, at få foretaget en uafhængig revision af, hvordan partnerskabet fungerer. </w:t>
      </w:r>
    </w:p>
    <w:p w14:paraId="35302488" w14:textId="77777777" w:rsidR="00C55DA0" w:rsidRPr="00796736" w:rsidRDefault="00C55DA0"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Den foreslåede bestemmelse er ny og udmønter hvidvaskforordningens artikel 75, stk. 7.</w:t>
      </w:r>
    </w:p>
    <w:p w14:paraId="68E1FF54" w14:textId="56798DA9" w:rsidR="001C7943"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Den nævnte type partnerskab er ikke selvstændigt underlagt et egentlig tilsyn fra Spillemyndigheden. Derfor er der behov for</w:t>
      </w:r>
      <w:r w:rsidR="00C55DA0" w:rsidRPr="00796736">
        <w:rPr>
          <w:rFonts w:ascii="Times New Roman" w:hAnsi="Times New Roman" w:cs="Times New Roman"/>
          <w:iCs/>
          <w:sz w:val="24"/>
          <w:szCs w:val="24"/>
        </w:rPr>
        <w:t>,</w:t>
      </w:r>
      <w:r w:rsidRPr="00796736">
        <w:rPr>
          <w:rFonts w:ascii="Times New Roman" w:hAnsi="Times New Roman" w:cs="Times New Roman"/>
          <w:iCs/>
          <w:sz w:val="24"/>
          <w:szCs w:val="24"/>
        </w:rPr>
        <w:t xml:space="preserve"> at Spillemyndigheden </w:t>
      </w:r>
      <w:r w:rsidR="00C55DA0" w:rsidRPr="00796736">
        <w:rPr>
          <w:rFonts w:ascii="Times New Roman" w:hAnsi="Times New Roman" w:cs="Times New Roman"/>
          <w:iCs/>
          <w:sz w:val="24"/>
          <w:szCs w:val="24"/>
        </w:rPr>
        <w:t>vil kunne</w:t>
      </w:r>
      <w:r w:rsidRPr="00796736">
        <w:rPr>
          <w:rFonts w:ascii="Times New Roman" w:hAnsi="Times New Roman" w:cs="Times New Roman"/>
          <w:iCs/>
          <w:sz w:val="24"/>
          <w:szCs w:val="24"/>
        </w:rPr>
        <w:t xml:space="preserve"> påbyde, at partnerskabet skal få foretaget en uafhængig revision</w:t>
      </w:r>
      <w:r w:rsidR="007B7BA4">
        <w:rPr>
          <w:rFonts w:ascii="Times New Roman" w:hAnsi="Times New Roman" w:cs="Times New Roman"/>
          <w:iCs/>
          <w:sz w:val="24"/>
          <w:szCs w:val="24"/>
        </w:rPr>
        <w:t>.</w:t>
      </w:r>
    </w:p>
    <w:p w14:paraId="410D25DD" w14:textId="77777777" w:rsidR="001C7943"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Det kan være nødvendigt at påbyde en uafhængig revision, hvis der opstår tvivl om, hvorvidt partnerskabet overholder gældende lovgivning og regler for informationsudveksling, herunder krav til datasikkerhed, fortrolighed og korrekt håndtering af personoplysninger. Dette kan eksempelvis være relevant, hvis der identificeres uregelmæssigheder i partnerskabets processer, hvis der modtages indberetninger om potentielle brud på reglerne, eller hvis der i forbindelse med tilsyn konstateres manglende dokumentation for, hvordan partnerskabet fungerer i praksis. En uafhængig revision kan således bidrage til at klarlægge, om partnerskabet fungerer forsvarligt og i overensstemmelse med de fastsatte krav.</w:t>
      </w:r>
    </w:p>
    <w:p w14:paraId="4B275C8C" w14:textId="08AFD605" w:rsidR="009C423A" w:rsidRPr="00796736" w:rsidRDefault="009C423A"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Virksomheder og personer, som deltager i et partnerskab med henblik på udveksling af oplysninger, vil fortsat være underlagt selvstændigt tilsyn af Spillemyndigheden. Det sædvanlige tilsyn, herunder hvidvasktilsynet med de pågældende virksomheder og personer,</w:t>
      </w:r>
      <w:r w:rsidR="00C55DA0" w:rsidRPr="00796736">
        <w:rPr>
          <w:rFonts w:ascii="Times New Roman" w:hAnsi="Times New Roman" w:cs="Times New Roman"/>
          <w:iCs/>
          <w:sz w:val="24"/>
          <w:szCs w:val="24"/>
        </w:rPr>
        <w:t xml:space="preserve"> vil</w:t>
      </w:r>
      <w:r w:rsidRPr="00796736">
        <w:rPr>
          <w:rFonts w:ascii="Times New Roman" w:hAnsi="Times New Roman" w:cs="Times New Roman"/>
          <w:iCs/>
          <w:sz w:val="24"/>
          <w:szCs w:val="24"/>
        </w:rPr>
        <w:t xml:space="preserve"> forblive uændret. </w:t>
      </w:r>
    </w:p>
    <w:p w14:paraId="06EA30BD" w14:textId="4A6D25CD" w:rsidR="009C423A" w:rsidRDefault="009C423A"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Oplysninger om virksomheder</w:t>
      </w:r>
      <w:r w:rsidR="00C55DA0" w:rsidRPr="00796736">
        <w:rPr>
          <w:rFonts w:ascii="Times New Roman" w:hAnsi="Times New Roman" w:cs="Times New Roman"/>
          <w:iCs/>
          <w:sz w:val="24"/>
          <w:szCs w:val="24"/>
        </w:rPr>
        <w:t>s</w:t>
      </w:r>
      <w:r w:rsidRPr="00796736">
        <w:rPr>
          <w:rFonts w:ascii="Times New Roman" w:hAnsi="Times New Roman" w:cs="Times New Roman"/>
          <w:iCs/>
          <w:sz w:val="24"/>
          <w:szCs w:val="24"/>
        </w:rPr>
        <w:t xml:space="preserve"> og personers deltagelse i et partnerskab vi</w:t>
      </w:r>
      <w:r w:rsidR="00C55DA0" w:rsidRPr="00796736">
        <w:rPr>
          <w:rFonts w:ascii="Times New Roman" w:hAnsi="Times New Roman" w:cs="Times New Roman"/>
          <w:iCs/>
          <w:sz w:val="24"/>
          <w:szCs w:val="24"/>
        </w:rPr>
        <w:t>l</w:t>
      </w:r>
      <w:r w:rsidRPr="00796736">
        <w:rPr>
          <w:rFonts w:ascii="Times New Roman" w:hAnsi="Times New Roman" w:cs="Times New Roman"/>
          <w:iCs/>
          <w:sz w:val="24"/>
          <w:szCs w:val="24"/>
        </w:rPr>
        <w:t xml:space="preserve"> ligesom resultaterne af en uafhængig revision indgå i det løbende tilsyn med virksomhederne og personerne.</w:t>
      </w:r>
    </w:p>
    <w:p w14:paraId="6A8A2EDF" w14:textId="77777777" w:rsidR="007B7BA4" w:rsidRDefault="007B7BA4" w:rsidP="00A802A5">
      <w:pPr>
        <w:spacing w:line="360" w:lineRule="auto"/>
        <w:rPr>
          <w:rFonts w:ascii="Times New Roman" w:hAnsi="Times New Roman" w:cs="Times New Roman"/>
          <w:iCs/>
          <w:sz w:val="24"/>
          <w:szCs w:val="24"/>
        </w:rPr>
      </w:pPr>
    </w:p>
    <w:p w14:paraId="74719234" w14:textId="77777777" w:rsidR="007B7BA4" w:rsidRPr="00D500FD" w:rsidRDefault="007B7BA4" w:rsidP="00A802A5">
      <w:pPr>
        <w:spacing w:line="360" w:lineRule="auto"/>
        <w:rPr>
          <w:rFonts w:ascii="Times New Roman" w:hAnsi="Times New Roman" w:cs="Times New Roman"/>
          <w:sz w:val="24"/>
          <w:szCs w:val="24"/>
        </w:rPr>
      </w:pPr>
      <w:r w:rsidRPr="00D500FD">
        <w:rPr>
          <w:rFonts w:ascii="Times New Roman" w:hAnsi="Times New Roman" w:cs="Times New Roman"/>
          <w:sz w:val="24"/>
          <w:szCs w:val="24"/>
        </w:rPr>
        <w:t xml:space="preserve">Efter det foreslåede </w:t>
      </w:r>
      <w:r w:rsidRPr="00D500FD">
        <w:rPr>
          <w:rFonts w:ascii="Times New Roman" w:hAnsi="Times New Roman" w:cs="Times New Roman"/>
          <w:i/>
          <w:iCs/>
          <w:sz w:val="24"/>
          <w:szCs w:val="24"/>
        </w:rPr>
        <w:t>stk. 2</w:t>
      </w:r>
      <w:r w:rsidRPr="00D500FD">
        <w:rPr>
          <w:rFonts w:ascii="Times New Roman" w:hAnsi="Times New Roman" w:cs="Times New Roman"/>
          <w:sz w:val="24"/>
          <w:szCs w:val="24"/>
        </w:rPr>
        <w:t xml:space="preserve"> kan </w:t>
      </w:r>
      <w:r>
        <w:rPr>
          <w:rFonts w:ascii="Times New Roman" w:hAnsi="Times New Roman" w:cs="Times New Roman"/>
          <w:sz w:val="24"/>
          <w:szCs w:val="24"/>
        </w:rPr>
        <w:t>Spillemyndigheden</w:t>
      </w:r>
      <w:r w:rsidRPr="00D500FD">
        <w:rPr>
          <w:rFonts w:ascii="Times New Roman" w:hAnsi="Times New Roman" w:cs="Times New Roman"/>
          <w:sz w:val="24"/>
          <w:szCs w:val="24"/>
        </w:rPr>
        <w:t xml:space="preserve"> påbyde, at</w:t>
      </w:r>
      <w:r w:rsidRPr="00D500FD">
        <w:rPr>
          <w:rFonts w:ascii="Times New Roman" w:hAnsi="Times New Roman" w:cs="Times New Roman"/>
          <w:i/>
          <w:iCs/>
          <w:sz w:val="24"/>
          <w:szCs w:val="24"/>
        </w:rPr>
        <w:t xml:space="preserve"> </w:t>
      </w:r>
      <w:r w:rsidRPr="00D500FD">
        <w:rPr>
          <w:rFonts w:ascii="Times New Roman" w:hAnsi="Times New Roman" w:cs="Times New Roman"/>
          <w:sz w:val="24"/>
          <w:szCs w:val="24"/>
        </w:rPr>
        <w:t xml:space="preserve">resultatet af den uafhængige revision skal udveksles med </w:t>
      </w:r>
      <w:r>
        <w:rPr>
          <w:rFonts w:ascii="Times New Roman" w:hAnsi="Times New Roman" w:cs="Times New Roman"/>
          <w:sz w:val="24"/>
          <w:szCs w:val="24"/>
        </w:rPr>
        <w:t>Spillemyndigheden</w:t>
      </w:r>
      <w:r w:rsidRPr="00D500FD" w:rsidDel="009C2E3F">
        <w:rPr>
          <w:rFonts w:ascii="Times New Roman" w:hAnsi="Times New Roman" w:cs="Times New Roman"/>
          <w:sz w:val="24"/>
          <w:szCs w:val="24"/>
        </w:rPr>
        <w:t>.</w:t>
      </w:r>
    </w:p>
    <w:p w14:paraId="4402D804" w14:textId="77777777" w:rsidR="007B7BA4" w:rsidRDefault="007B7BA4" w:rsidP="00A802A5">
      <w:pPr>
        <w:spacing w:line="360" w:lineRule="auto"/>
        <w:rPr>
          <w:rFonts w:ascii="Times New Roman" w:hAnsi="Times New Roman" w:cs="Times New Roman"/>
          <w:iCs/>
          <w:sz w:val="24"/>
          <w:szCs w:val="24"/>
        </w:rPr>
      </w:pPr>
    </w:p>
    <w:p w14:paraId="596AE21F" w14:textId="75F936AE" w:rsidR="007B7BA4" w:rsidRPr="00796736" w:rsidRDefault="007B7BA4" w:rsidP="00A802A5">
      <w:pPr>
        <w:spacing w:line="360" w:lineRule="auto"/>
        <w:rPr>
          <w:rFonts w:ascii="Times New Roman" w:hAnsi="Times New Roman" w:cs="Times New Roman"/>
          <w:iCs/>
          <w:sz w:val="24"/>
          <w:szCs w:val="24"/>
        </w:rPr>
      </w:pPr>
      <w:r>
        <w:rPr>
          <w:rFonts w:ascii="Times New Roman" w:hAnsi="Times New Roman" w:cs="Times New Roman"/>
          <w:iCs/>
          <w:sz w:val="24"/>
          <w:szCs w:val="24"/>
        </w:rPr>
        <w:t>O</w:t>
      </w:r>
      <w:r w:rsidRPr="00DD262B">
        <w:rPr>
          <w:rFonts w:ascii="Times New Roman" w:hAnsi="Times New Roman" w:cs="Times New Roman"/>
          <w:iCs/>
          <w:sz w:val="24"/>
          <w:szCs w:val="24"/>
        </w:rPr>
        <w:t xml:space="preserve">plysningspligten vil </w:t>
      </w:r>
      <w:r>
        <w:rPr>
          <w:rFonts w:ascii="Times New Roman" w:hAnsi="Times New Roman" w:cs="Times New Roman"/>
          <w:iCs/>
          <w:sz w:val="24"/>
          <w:szCs w:val="24"/>
        </w:rPr>
        <w:t>dog</w:t>
      </w:r>
      <w:r w:rsidRPr="00DD262B">
        <w:rPr>
          <w:rFonts w:ascii="Times New Roman" w:hAnsi="Times New Roman" w:cs="Times New Roman"/>
          <w:iCs/>
          <w:sz w:val="24"/>
          <w:szCs w:val="24"/>
        </w:rPr>
        <w:t xml:space="preserve"> ikke </w:t>
      </w:r>
      <w:r>
        <w:rPr>
          <w:rFonts w:ascii="Times New Roman" w:hAnsi="Times New Roman" w:cs="Times New Roman"/>
          <w:iCs/>
          <w:sz w:val="24"/>
          <w:szCs w:val="24"/>
        </w:rPr>
        <w:t>skulle finde</w:t>
      </w:r>
      <w:r w:rsidRPr="00DD262B">
        <w:rPr>
          <w:rFonts w:ascii="Times New Roman" w:hAnsi="Times New Roman" w:cs="Times New Roman"/>
          <w:iCs/>
          <w:sz w:val="24"/>
          <w:szCs w:val="24"/>
        </w:rPr>
        <w:t xml:space="preserve"> anvendelse over for en enkeltperson eller juridisk person, hvis der er konkret mistanke om, at den pågældende har begået en lovovertrædelse, der kan medføre straf, medmindre det kan udelukkes, at oplysningerne kan have betydning for bedømmelsen af den formodede lovovertrædelse, jf. § 10 i retssikkerhedsloven. </w:t>
      </w:r>
      <w:r>
        <w:rPr>
          <w:rFonts w:ascii="Times New Roman" w:hAnsi="Times New Roman" w:cs="Times New Roman"/>
          <w:iCs/>
          <w:sz w:val="24"/>
          <w:szCs w:val="24"/>
        </w:rPr>
        <w:t>Spillem</w:t>
      </w:r>
      <w:r w:rsidRPr="00DD262B">
        <w:rPr>
          <w:rFonts w:ascii="Times New Roman" w:hAnsi="Times New Roman" w:cs="Times New Roman"/>
          <w:iCs/>
          <w:sz w:val="24"/>
          <w:szCs w:val="24"/>
        </w:rPr>
        <w:t>yndigheden vil i sådanne tilfælde skulle vejlede den mistænkte om, at vedkommende ikke har pligt til at meddele oplysninger, som kan have betydning for bedømmelsen af den formodede lovovertrædelse. Se nærmere herom i de almindelige bemærkninger pkt. 4.3.</w:t>
      </w:r>
    </w:p>
    <w:p w14:paraId="33E2063D" w14:textId="77777777" w:rsidR="009C423A" w:rsidRPr="00796736" w:rsidRDefault="009C423A" w:rsidP="00A802A5">
      <w:pPr>
        <w:spacing w:line="360" w:lineRule="auto"/>
        <w:rPr>
          <w:rFonts w:ascii="Times New Roman" w:hAnsi="Times New Roman" w:cs="Times New Roman"/>
          <w:iCs/>
          <w:sz w:val="24"/>
          <w:szCs w:val="24"/>
        </w:rPr>
      </w:pPr>
    </w:p>
    <w:p w14:paraId="401642CC" w14:textId="20CA8904" w:rsidR="009C423A" w:rsidRPr="00796736" w:rsidRDefault="009C4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henvises i øvrigt til pkt</w:t>
      </w:r>
      <w:r w:rsidR="00BD12DF" w:rsidRPr="00796736">
        <w:rPr>
          <w:rFonts w:ascii="Times New Roman" w:hAnsi="Times New Roman" w:cs="Times New Roman"/>
          <w:sz w:val="24"/>
          <w:szCs w:val="24"/>
        </w:rPr>
        <w:t xml:space="preserve">. </w:t>
      </w:r>
      <w:r w:rsidR="00BD12DF" w:rsidRPr="00796736">
        <w:rPr>
          <w:rFonts w:ascii="Times New Roman" w:hAnsi="Times New Roman" w:cs="Times New Roman"/>
          <w:sz w:val="24"/>
          <w:szCs w:val="24"/>
        </w:rPr>
        <w:fldChar w:fldCharType="begin"/>
      </w:r>
      <w:r w:rsidR="00BD12DF" w:rsidRPr="00796736">
        <w:rPr>
          <w:rFonts w:ascii="Times New Roman" w:hAnsi="Times New Roman" w:cs="Times New Roman"/>
          <w:sz w:val="24"/>
          <w:szCs w:val="24"/>
        </w:rPr>
        <w:instrText xml:space="preserve"> REF _Ref239324557 \n \h </w:instrText>
      </w:r>
      <w:r w:rsidR="00F375BF" w:rsidRPr="00796736">
        <w:rPr>
          <w:rFonts w:ascii="Times New Roman" w:hAnsi="Times New Roman" w:cs="Times New Roman"/>
          <w:sz w:val="24"/>
          <w:szCs w:val="24"/>
        </w:rPr>
        <w:instrText xml:space="preserve"> \* MERGEFORMAT </w:instrText>
      </w:r>
      <w:r w:rsidR="00BD12DF" w:rsidRPr="00796736">
        <w:rPr>
          <w:rFonts w:ascii="Times New Roman" w:hAnsi="Times New Roman" w:cs="Times New Roman"/>
          <w:sz w:val="24"/>
          <w:szCs w:val="24"/>
        </w:rPr>
      </w:r>
      <w:r w:rsidR="00BD12DF"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3.79</w:t>
      </w:r>
      <w:r w:rsidR="00BD12DF" w:rsidRPr="00796736">
        <w:rPr>
          <w:rFonts w:ascii="Times New Roman" w:hAnsi="Times New Roman" w:cs="Times New Roman"/>
          <w:sz w:val="24"/>
          <w:szCs w:val="24"/>
        </w:rPr>
        <w:fldChar w:fldCharType="end"/>
      </w:r>
      <w:r w:rsidR="00BD12DF" w:rsidRPr="00796736">
        <w:rPr>
          <w:rFonts w:ascii="Times New Roman" w:hAnsi="Times New Roman" w:cs="Times New Roman"/>
          <w:sz w:val="24"/>
          <w:szCs w:val="24"/>
        </w:rPr>
        <w:t xml:space="preserve"> </w:t>
      </w:r>
      <w:r w:rsidRPr="00796736">
        <w:rPr>
          <w:rFonts w:ascii="Times New Roman" w:hAnsi="Times New Roman" w:cs="Times New Roman"/>
          <w:sz w:val="24"/>
          <w:szCs w:val="24"/>
        </w:rPr>
        <w:t>i lovforslagets almindelige bemærkninger.</w:t>
      </w:r>
    </w:p>
    <w:p w14:paraId="7011F73B" w14:textId="77777777" w:rsidR="00EB1756" w:rsidRPr="00796736" w:rsidRDefault="00EB1756" w:rsidP="00A802A5">
      <w:pPr>
        <w:spacing w:line="360" w:lineRule="auto"/>
        <w:rPr>
          <w:rFonts w:ascii="Times New Roman" w:hAnsi="Times New Roman" w:cs="Times New Roman"/>
          <w:i/>
          <w:sz w:val="24"/>
          <w:szCs w:val="24"/>
        </w:rPr>
      </w:pPr>
    </w:p>
    <w:p w14:paraId="48D02BCF" w14:textId="6A37926D" w:rsidR="00EB1756" w:rsidRPr="00796736" w:rsidRDefault="000078B1" w:rsidP="00A802A5">
      <w:pPr>
        <w:pStyle w:val="Undertitel"/>
      </w:pPr>
      <w:bookmarkStart w:id="2214" w:name="_Toc232109440"/>
      <w:bookmarkStart w:id="2215" w:name="_Toc244879419"/>
      <w:bookmarkStart w:id="2216" w:name="_Toc244880944"/>
      <w:r w:rsidRPr="00796736">
        <w:t xml:space="preserve">Til </w:t>
      </w:r>
      <w:bookmarkEnd w:id="2214"/>
      <w:r w:rsidR="00B7511B" w:rsidRPr="00796736">
        <w:fldChar w:fldCharType="begin"/>
      </w:r>
      <w:r w:rsidR="00B7511B" w:rsidRPr="00796736">
        <w:instrText xml:space="preserve"> REF _Ref232609592 \r \h </w:instrText>
      </w:r>
      <w:r w:rsidR="00967618" w:rsidRPr="00796736">
        <w:instrText xml:space="preserve"> \* MERGEFORMAT </w:instrText>
      </w:r>
      <w:r w:rsidR="00B7511B" w:rsidRPr="00796736">
        <w:fldChar w:fldCharType="separate"/>
      </w:r>
      <w:r w:rsidR="008F29E5">
        <w:t>§ 123</w:t>
      </w:r>
      <w:bookmarkEnd w:id="2215"/>
      <w:bookmarkEnd w:id="2216"/>
      <w:r w:rsidR="00B7511B" w:rsidRPr="00796736">
        <w:fldChar w:fldCharType="end"/>
      </w:r>
    </w:p>
    <w:p w14:paraId="797E69BD" w14:textId="44C9F79E"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Efter hvidvasklovens § 68 skal Spillemyndigheden offentliggøre reaktioner og beslutninger om at overgive sager til politimæssig efterforskning.</w:t>
      </w:r>
    </w:p>
    <w:p w14:paraId="01AB79F7" w14:textId="77777777" w:rsidR="00C55DA0" w:rsidRPr="00796736" w:rsidRDefault="00C55DA0" w:rsidP="00A802A5">
      <w:pPr>
        <w:spacing w:line="360" w:lineRule="auto"/>
        <w:rPr>
          <w:rFonts w:ascii="Times New Roman" w:eastAsia="Times New Roman" w:hAnsi="Times New Roman" w:cs="Times New Roman"/>
          <w:sz w:val="24"/>
          <w:szCs w:val="24"/>
        </w:rPr>
      </w:pPr>
    </w:p>
    <w:p w14:paraId="2A72A76A" w14:textId="27450B05"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_Ref232609592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123</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rPr>
        <w:t>vedrører Spillemyndighedens pligt til at offentliggøre reaktioner, pålagte tvangsbøder og beslutninger om at overgive sager til politimæssig efterforskning.</w:t>
      </w:r>
    </w:p>
    <w:p w14:paraId="0B8D4735" w14:textId="77777777" w:rsidR="00C55DA0" w:rsidRPr="00796736" w:rsidRDefault="00C55DA0" w:rsidP="00A802A5">
      <w:pPr>
        <w:spacing w:line="360" w:lineRule="auto"/>
        <w:rPr>
          <w:rFonts w:ascii="Times New Roman" w:eastAsia="Times New Roman" w:hAnsi="Times New Roman" w:cs="Times New Roman"/>
          <w:sz w:val="24"/>
          <w:szCs w:val="24"/>
        </w:rPr>
      </w:pPr>
    </w:p>
    <w:p w14:paraId="45F1817D"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viderefører hvidvasklovens § 68, med de tilpasninger, som er nødvendige af hensyn til kravene i 6. hvidvaskdirektiv, herunder pligt til at offentliggøre pålagte tvangsbøder. </w:t>
      </w:r>
    </w:p>
    <w:p w14:paraId="4BB93023" w14:textId="77777777" w:rsidR="001C7943" w:rsidRPr="00796736" w:rsidRDefault="001C7943" w:rsidP="00A802A5">
      <w:pPr>
        <w:spacing w:line="360" w:lineRule="auto"/>
        <w:rPr>
          <w:rFonts w:ascii="Times New Roman" w:eastAsia="Times New Roman" w:hAnsi="Times New Roman" w:cs="Times New Roman"/>
          <w:sz w:val="24"/>
          <w:szCs w:val="24"/>
        </w:rPr>
      </w:pPr>
    </w:p>
    <w:p w14:paraId="1A787CF1"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Bestemmelsen implementerer artikel 56, stk. 2, litra c, og artikel 58, i 6. hvidvaskdirektiv.</w:t>
      </w:r>
    </w:p>
    <w:p w14:paraId="1B5DF54E" w14:textId="77777777" w:rsidR="001C7943" w:rsidRPr="00796736" w:rsidRDefault="001C7943" w:rsidP="00A802A5">
      <w:pPr>
        <w:spacing w:line="360" w:lineRule="auto"/>
        <w:rPr>
          <w:rFonts w:ascii="Times New Roman" w:eastAsia="Times New Roman" w:hAnsi="Times New Roman" w:cs="Times New Roman"/>
          <w:sz w:val="24"/>
          <w:szCs w:val="24"/>
        </w:rPr>
      </w:pPr>
    </w:p>
    <w:p w14:paraId="7E987D4F" w14:textId="264EFDB4"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1,</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at reaktioner givet efter</w:t>
      </w:r>
      <w:r w:rsidR="00C55DA0" w:rsidRPr="00796736">
        <w:rPr>
          <w:rFonts w:ascii="Times New Roman" w:eastAsia="Times New Roman" w:hAnsi="Times New Roman" w:cs="Times New Roman"/>
          <w:sz w:val="24"/>
          <w:szCs w:val="24"/>
        </w:rPr>
        <w:t xml:space="preserve"> </w:t>
      </w:r>
      <w:r w:rsidR="00C55DA0" w:rsidRPr="00796736">
        <w:rPr>
          <w:rFonts w:ascii="Times New Roman" w:eastAsia="Times New Roman" w:hAnsi="Times New Roman" w:cs="Times New Roman"/>
          <w:sz w:val="24"/>
          <w:szCs w:val="24"/>
        </w:rPr>
        <w:fldChar w:fldCharType="begin"/>
      </w:r>
      <w:r w:rsidR="00C55DA0" w:rsidRPr="00796736">
        <w:rPr>
          <w:rFonts w:ascii="Times New Roman" w:eastAsia="Times New Roman" w:hAnsi="Times New Roman" w:cs="Times New Roman"/>
          <w:sz w:val="24"/>
          <w:szCs w:val="24"/>
        </w:rPr>
        <w:instrText xml:space="preserve"> REF _Ref239189479 \r \h </w:instrText>
      </w:r>
      <w:r w:rsidR="007F4BB9" w:rsidRPr="00796736">
        <w:rPr>
          <w:rFonts w:ascii="Times New Roman" w:eastAsia="Times New Roman" w:hAnsi="Times New Roman" w:cs="Times New Roman"/>
          <w:sz w:val="24"/>
          <w:szCs w:val="24"/>
        </w:rPr>
        <w:instrText xml:space="preserve"> \* MERGEFORMAT </w:instrText>
      </w:r>
      <w:r w:rsidR="00C55DA0" w:rsidRPr="00796736">
        <w:rPr>
          <w:rFonts w:ascii="Times New Roman" w:eastAsia="Times New Roman" w:hAnsi="Times New Roman" w:cs="Times New Roman"/>
          <w:sz w:val="24"/>
          <w:szCs w:val="24"/>
        </w:rPr>
      </w:r>
      <w:r w:rsidR="00C55DA0"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00C55DA0" w:rsidRPr="00796736">
        <w:rPr>
          <w:rFonts w:ascii="Times New Roman" w:eastAsia="Times New Roman" w:hAnsi="Times New Roman" w:cs="Times New Roman"/>
          <w:sz w:val="24"/>
          <w:szCs w:val="24"/>
        </w:rPr>
        <w:fldChar w:fldCharType="end"/>
      </w:r>
      <w:r w:rsidR="00C55DA0" w:rsidRPr="00796736">
        <w:rPr>
          <w:rFonts w:ascii="Times New Roman" w:eastAsia="Times New Roman" w:hAnsi="Times New Roman" w:cs="Times New Roman"/>
          <w:sz w:val="24"/>
          <w:szCs w:val="24"/>
        </w:rPr>
        <w:t>, stk. 1,</w:t>
      </w:r>
      <w:r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_Ref236643746 \n \h </w:instrText>
      </w:r>
      <w:r w:rsidR="00A47042"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118</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_Ref232609511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119</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_Ref232609546 \n \h </w:instrText>
      </w:r>
      <w:r w:rsidR="00A47042"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120</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og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_Ref236145057 \n \h </w:instrText>
      </w:r>
      <w:r w:rsidR="00A47042"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121</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og 2, samt pålagte tvangsbøder efter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_Ref232971154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137</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skal offentliggøres af Spillemyndigheden på Spillemyndighedens hjemmeside, jf. dog stk. 6 og 7. Beslutninger om at overgive sager til politimæssig efterforskning offentliggøres som resumé, jf. dog stk. 6 og 7. Offentliggørelsen skal omfatte den juridiske eller fysiske persons navn, jf. dog stk. 6</w:t>
      </w:r>
      <w:r w:rsidRPr="00796736">
        <w:rPr>
          <w:rFonts w:ascii="Times New Roman" w:eastAsia="Times New Roman" w:hAnsi="Times New Roman" w:cs="Times New Roman"/>
          <w:color w:val="000000" w:themeColor="text1"/>
          <w:sz w:val="24"/>
          <w:szCs w:val="24"/>
        </w:rPr>
        <w:t>.</w:t>
      </w:r>
    </w:p>
    <w:p w14:paraId="3B0C46F2" w14:textId="77777777" w:rsidR="001C7943" w:rsidRPr="00796736" w:rsidRDefault="001C7943" w:rsidP="00A802A5">
      <w:pPr>
        <w:spacing w:line="360" w:lineRule="auto"/>
        <w:rPr>
          <w:rFonts w:ascii="Times New Roman" w:eastAsia="Times New Roman" w:hAnsi="Times New Roman" w:cs="Times New Roman"/>
          <w:color w:val="000000" w:themeColor="text1"/>
          <w:sz w:val="24"/>
          <w:szCs w:val="24"/>
        </w:rPr>
      </w:pPr>
    </w:p>
    <w:p w14:paraId="610A8682" w14:textId="73620CCD" w:rsidR="001C7943" w:rsidRPr="00796736" w:rsidRDefault="001C794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medføre, at den gældende retstilling i store træk videreføres, hvorefter Spillemyndigheden er forpligtet til at offentliggøre reaktioner og beslutninger om at overgive sager til politimæssig efterforskning på sin hjemmeside</w:t>
      </w:r>
      <w:r w:rsidR="00C55DA0" w:rsidRPr="00796736">
        <w:rPr>
          <w:rFonts w:ascii="Times New Roman" w:eastAsia="Calibri" w:hAnsi="Times New Roman" w:cs="Times New Roman"/>
          <w:iCs/>
          <w:sz w:val="24"/>
          <w:szCs w:val="24"/>
        </w:rPr>
        <w:t>.</w:t>
      </w:r>
    </w:p>
    <w:p w14:paraId="64FB9544" w14:textId="58CE8000" w:rsidR="00026F02" w:rsidRPr="00796736" w:rsidRDefault="001C7943"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Der </w:t>
      </w:r>
      <w:r w:rsidR="00C55DA0" w:rsidRPr="00796736">
        <w:rPr>
          <w:rFonts w:ascii="Times New Roman" w:eastAsia="Calibri" w:hAnsi="Times New Roman" w:cs="Times New Roman"/>
          <w:iCs/>
          <w:sz w:val="24"/>
          <w:szCs w:val="24"/>
        </w:rPr>
        <w:t xml:space="preserve">foreslås </w:t>
      </w:r>
      <w:r w:rsidRPr="00796736">
        <w:rPr>
          <w:rFonts w:ascii="Times New Roman" w:eastAsia="Calibri" w:hAnsi="Times New Roman" w:cs="Times New Roman"/>
          <w:iCs/>
          <w:sz w:val="24"/>
          <w:szCs w:val="24"/>
        </w:rPr>
        <w:t>dog en udvidelse af de tilsynsreaktioner, som Spillemyndigheden skal offentliggøre på sin hjemmeside, idet 6. hvidvaskdirektiv indeholder en række udvidede beføjelser for tilsynsmyndighederne, som foreslås implementeret</w:t>
      </w:r>
      <w:r w:rsidR="00026F02" w:rsidRPr="00796736">
        <w:rPr>
          <w:rFonts w:ascii="Times New Roman" w:eastAsia="Calibri" w:hAnsi="Times New Roman" w:cs="Times New Roman"/>
          <w:iCs/>
          <w:sz w:val="24"/>
          <w:szCs w:val="24"/>
        </w:rPr>
        <w:t xml:space="preserve"> i</w:t>
      </w:r>
      <w:r w:rsidRPr="00796736">
        <w:rPr>
          <w:rFonts w:ascii="Times New Roman" w:eastAsia="Calibri" w:hAnsi="Times New Roman" w:cs="Times New Roman"/>
          <w:iCs/>
          <w:sz w:val="24"/>
          <w:szCs w:val="24"/>
        </w:rPr>
        <w:t xml:space="preserve"> lovforslagets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_Ref236144985 \n \h </w:instrText>
      </w:r>
      <w:r w:rsidR="00A47042"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117</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_Ref236145057 \n \h </w:instrText>
      </w:r>
      <w:r w:rsidR="00A47042"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121</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xml:space="preserve"> og</w:t>
      </w:r>
      <w:r w:rsidRPr="00796736">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_Ref232971154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137</w:t>
      </w:r>
      <w:r w:rsidRPr="00796736">
        <w:rPr>
          <w:rFonts w:ascii="Times New Roman" w:eastAsia="Times New Roman" w:hAnsi="Times New Roman" w:cs="Times New Roman"/>
          <w:sz w:val="24"/>
          <w:szCs w:val="24"/>
        </w:rPr>
        <w:fldChar w:fldCharType="end"/>
      </w:r>
      <w:r w:rsidRPr="00796736">
        <w:rPr>
          <w:rFonts w:ascii="Times New Roman" w:eastAsia="Calibri" w:hAnsi="Times New Roman" w:cs="Times New Roman"/>
          <w:iCs/>
          <w:sz w:val="24"/>
          <w:szCs w:val="24"/>
        </w:rPr>
        <w:t xml:space="preserve">. Spillemyndigheden </w:t>
      </w:r>
      <w:r w:rsidR="00C55DA0" w:rsidRPr="00796736">
        <w:rPr>
          <w:rFonts w:ascii="Times New Roman" w:eastAsia="Calibri" w:hAnsi="Times New Roman" w:cs="Times New Roman"/>
          <w:iCs/>
          <w:sz w:val="24"/>
          <w:szCs w:val="24"/>
        </w:rPr>
        <w:t>skal</w:t>
      </w:r>
      <w:r w:rsidRPr="00796736">
        <w:rPr>
          <w:rFonts w:ascii="Times New Roman" w:eastAsia="Calibri" w:hAnsi="Times New Roman" w:cs="Times New Roman"/>
          <w:iCs/>
          <w:sz w:val="24"/>
          <w:szCs w:val="24"/>
        </w:rPr>
        <w:t xml:space="preserve"> i henhold til </w:t>
      </w:r>
      <w:r w:rsidR="00303E15">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_Ref236643746 \n \h </w:instrText>
      </w:r>
      <w:r w:rsidR="00A47042"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118</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_Ref236145057 \n \h </w:instrText>
      </w:r>
      <w:r w:rsidR="00A47042"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121</w:t>
      </w:r>
      <w:r w:rsidRPr="00796736">
        <w:rPr>
          <w:rFonts w:ascii="Times New Roman" w:eastAsia="Calibri" w:hAnsi="Times New Roman" w:cs="Times New Roman"/>
          <w:iCs/>
          <w:sz w:val="24"/>
          <w:szCs w:val="24"/>
        </w:rPr>
        <w:fldChar w:fldCharType="end"/>
      </w:r>
      <w:r w:rsidR="00C55DA0" w:rsidRPr="00796736">
        <w:rPr>
          <w:rFonts w:ascii="Times New Roman" w:eastAsia="Calibri" w:hAnsi="Times New Roman" w:cs="Times New Roman"/>
          <w:iCs/>
          <w:sz w:val="24"/>
          <w:szCs w:val="24"/>
        </w:rPr>
        <w:t xml:space="preserve"> kunne</w:t>
      </w:r>
      <w:r w:rsidRPr="00796736">
        <w:rPr>
          <w:rFonts w:ascii="Times New Roman" w:eastAsia="Calibri" w:hAnsi="Times New Roman" w:cs="Times New Roman"/>
          <w:iCs/>
          <w:sz w:val="24"/>
          <w:szCs w:val="24"/>
        </w:rPr>
        <w:t xml:space="preserve"> give påbud for overtrædelse af hvidvaskreguleringen, indskrænke eller begrænse forretningsaktiviteter og transaktioner, kræve afhændelse af aktiviteter og kræve ændringer i ledelsesstrukturen og ejerkredsen, mens Spillemyndigheden i henhold til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_Ref232971154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137</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w:t>
      </w:r>
      <w:r w:rsidRPr="00796736">
        <w:rPr>
          <w:rFonts w:ascii="Times New Roman" w:eastAsia="Calibri" w:hAnsi="Times New Roman" w:cs="Times New Roman"/>
          <w:iCs/>
          <w:sz w:val="24"/>
          <w:szCs w:val="24"/>
        </w:rPr>
        <w:t xml:space="preserve">skal kunne pålægge tvangsbøder for manglende efterkommelse af en tilsynsreaktion. </w:t>
      </w:r>
    </w:p>
    <w:p w14:paraId="10BBB734" w14:textId="52469FE8" w:rsidR="00026F02"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Spillemyndigheden kan efter den </w:t>
      </w:r>
      <w:r w:rsidR="00C55DA0" w:rsidRPr="00796736">
        <w:rPr>
          <w:rFonts w:ascii="Times New Roman" w:hAnsi="Times New Roman" w:cs="Times New Roman"/>
          <w:iCs/>
          <w:sz w:val="24"/>
          <w:szCs w:val="24"/>
        </w:rPr>
        <w:t>gældende</w:t>
      </w:r>
      <w:r w:rsidRPr="00796736">
        <w:rPr>
          <w:rFonts w:ascii="Times New Roman" w:hAnsi="Times New Roman" w:cs="Times New Roman"/>
          <w:iCs/>
          <w:sz w:val="24"/>
          <w:szCs w:val="24"/>
        </w:rPr>
        <w:t xml:space="preserve"> hvidvasklovs § 66 påbyde virksomheder og personer under Spillemyndighedens tilsyn at foretage de nødvendige foranstaltninger i tilfælde af overtrædelse af lovgivning om forebyggende foranstaltninger mod hvidvask af udbytte og finansiering af terrorisme, og forordninger indeholdende regler om finansielle sanktioner mod lande, personer, grupper, juridiske enheder eller organer. </w:t>
      </w:r>
    </w:p>
    <w:p w14:paraId="6BD705D6" w14:textId="4BEBA9DB" w:rsidR="001C7943" w:rsidRPr="00796736" w:rsidRDefault="001C7943" w:rsidP="00A802A5">
      <w:pPr>
        <w:spacing w:after="240" w:line="360" w:lineRule="auto"/>
        <w:rPr>
          <w:rFonts w:ascii="Times New Roman" w:eastAsia="Times New Roman" w:hAnsi="Times New Roman" w:cs="Times New Roman"/>
          <w:sz w:val="24"/>
          <w:szCs w:val="24"/>
        </w:rPr>
      </w:pPr>
      <w:r w:rsidRPr="00796736">
        <w:rPr>
          <w:rFonts w:ascii="Times New Roman" w:hAnsi="Times New Roman" w:cs="Times New Roman"/>
          <w:iCs/>
          <w:sz w:val="24"/>
          <w:szCs w:val="24"/>
        </w:rPr>
        <w:t xml:space="preserve">Det foreslås i lovforslagets </w:t>
      </w:r>
      <w:r w:rsidRPr="00796736">
        <w:rPr>
          <w:rFonts w:ascii="Times New Roman" w:hAnsi="Times New Roman" w:cs="Times New Roman"/>
          <w:iCs/>
          <w:sz w:val="24"/>
          <w:szCs w:val="24"/>
        </w:rPr>
        <w:fldChar w:fldCharType="begin"/>
      </w:r>
      <w:r w:rsidRPr="00796736">
        <w:rPr>
          <w:rFonts w:ascii="Times New Roman" w:hAnsi="Times New Roman" w:cs="Times New Roman"/>
          <w:iCs/>
          <w:sz w:val="24"/>
          <w:szCs w:val="24"/>
        </w:rPr>
        <w:instrText xml:space="preserve"> REF _Ref236144985 \n \h </w:instrText>
      </w:r>
      <w:r w:rsidR="00A47042"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117</w:t>
      </w:r>
      <w:r w:rsidRPr="00796736">
        <w:rPr>
          <w:rFonts w:ascii="Times New Roman" w:hAnsi="Times New Roman" w:cs="Times New Roman"/>
          <w:iCs/>
          <w:sz w:val="24"/>
          <w:szCs w:val="24"/>
        </w:rPr>
        <w:fldChar w:fldCharType="end"/>
      </w:r>
      <w:r w:rsidRPr="00796736">
        <w:rPr>
          <w:rFonts w:ascii="Times New Roman" w:hAnsi="Times New Roman" w:cs="Times New Roman"/>
          <w:iCs/>
          <w:sz w:val="24"/>
          <w:szCs w:val="24"/>
        </w:rPr>
        <w:t xml:space="preserve"> og i overensstemmelse med 6. hvidvaskdirektiv, at Spillemyndigheden udover ved egentlige overtrædelser også skal kunne afgive påbud om at foretage de nødvendige foranstaltninger i tilfælde af svagheder i interne politikker, procedurer og kontroller, som sandsynligvis vil kunne føre til en overtrædelse af førnævnte lovgivning, eller hvis interne politikker, procedurer og kontroller ikke står i et rimeligt forhold til de risici for hvidvask, de underliggende overtrædelser eller finansiering af terrorisme, som virksomheden eller personen er eksponeret for. </w:t>
      </w:r>
    </w:p>
    <w:p w14:paraId="3307D010" w14:textId="77777777"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fremgår blandt andet af præambelbetragtning nr. 105 i 6. hvidvaskdirektiv, at ”(i) overensstemmelse med målet med offentliggørelse om at straffe og uddanne, bør kun afgørelser om at anvende administrative foranstaltninger i forbindelse med overtrædelse af kravene til bekæmpelse af hvidvask af penge og finansiering af terrorisme offentliggøres, men ikke administrative foranstaltninger, der anvendes for at forhindre en sådan overtrædelse.” </w:t>
      </w:r>
    </w:p>
    <w:p w14:paraId="6CB8FB51" w14:textId="77777777" w:rsidR="00C55DA0" w:rsidRPr="00796736" w:rsidRDefault="00C55DA0" w:rsidP="00A802A5">
      <w:pPr>
        <w:spacing w:line="360" w:lineRule="auto"/>
        <w:rPr>
          <w:rFonts w:ascii="Times New Roman" w:eastAsia="Times New Roman" w:hAnsi="Times New Roman" w:cs="Times New Roman"/>
          <w:color w:val="000000" w:themeColor="text1"/>
          <w:sz w:val="24"/>
          <w:szCs w:val="24"/>
        </w:rPr>
      </w:pPr>
    </w:p>
    <w:p w14:paraId="0F8E3350"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 xml:space="preserve">Det betyder, at Spillemyndigheden kun vil skulle offentliggøre reaktioner, hvor der er sket en egentlig </w:t>
      </w:r>
      <w:r w:rsidRPr="00796736">
        <w:rPr>
          <w:rFonts w:ascii="Times New Roman" w:eastAsia="Times New Roman" w:hAnsi="Times New Roman" w:cs="Times New Roman"/>
          <w:sz w:val="24"/>
          <w:szCs w:val="24"/>
        </w:rPr>
        <w:t xml:space="preserve">overtrædelse af bestemmelser i hvidvaskforordningen, den foreslåede lov og de regler der er udstedt i medfør heraf. </w:t>
      </w:r>
    </w:p>
    <w:p w14:paraId="6DC403F0" w14:textId="77777777" w:rsidR="001C7943" w:rsidRPr="00796736" w:rsidRDefault="001C7943" w:rsidP="00A802A5">
      <w:pPr>
        <w:spacing w:line="360" w:lineRule="auto"/>
        <w:rPr>
          <w:rFonts w:ascii="Times New Roman" w:eastAsia="Times New Roman" w:hAnsi="Times New Roman" w:cs="Times New Roman"/>
          <w:sz w:val="24"/>
          <w:szCs w:val="24"/>
        </w:rPr>
      </w:pPr>
    </w:p>
    <w:p w14:paraId="133F3120" w14:textId="7351AEA9" w:rsidR="001C7943"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 vil således ikke skulle offentliggøre reaktioner givet for svagheder i interne politikker, procedurer og kontroller, som sandsynligvis vil føre til en overtrædelse af hvidvaskforordningen, den foreslåede lov og de regler, der er udstedt i medfør heraf, eller for at interne politikker, procedurer og kontroller ikke står i et rimeligt forhold til de risici for hvidvask, de underliggende lovovertrædelser eller finansiering af terrorisme, som virksomheden eller personen er eksponeret for</w:t>
      </w:r>
      <w:r w:rsidR="001C7943" w:rsidRPr="00796736">
        <w:rPr>
          <w:rFonts w:ascii="Times New Roman" w:eastAsia="Times New Roman" w:hAnsi="Times New Roman" w:cs="Times New Roman"/>
          <w:sz w:val="24"/>
          <w:szCs w:val="24"/>
        </w:rPr>
        <w:t xml:space="preserve">, jf. </w:t>
      </w:r>
      <w:r w:rsidR="001C7943" w:rsidRPr="00796736">
        <w:rPr>
          <w:rFonts w:ascii="Times New Roman" w:eastAsia="Times New Roman" w:hAnsi="Times New Roman" w:cs="Times New Roman"/>
          <w:sz w:val="24"/>
          <w:szCs w:val="24"/>
        </w:rPr>
        <w:fldChar w:fldCharType="begin"/>
      </w:r>
      <w:r w:rsidR="001C7943" w:rsidRPr="00796736">
        <w:rPr>
          <w:rFonts w:ascii="Times New Roman" w:eastAsia="Times New Roman" w:hAnsi="Times New Roman" w:cs="Times New Roman"/>
          <w:sz w:val="24"/>
          <w:szCs w:val="24"/>
        </w:rPr>
        <w:instrText xml:space="preserve"> REF _Ref236144985 \n \h </w:instrText>
      </w:r>
      <w:r w:rsidR="00A47042" w:rsidRPr="00796736">
        <w:rPr>
          <w:rFonts w:ascii="Times New Roman" w:eastAsia="Times New Roman" w:hAnsi="Times New Roman" w:cs="Times New Roman"/>
          <w:sz w:val="24"/>
          <w:szCs w:val="24"/>
        </w:rPr>
        <w:instrText xml:space="preserve"> \* MERGEFORMAT </w:instrText>
      </w:r>
      <w:r w:rsidR="001C7943" w:rsidRPr="00796736">
        <w:rPr>
          <w:rFonts w:ascii="Times New Roman" w:eastAsia="Times New Roman" w:hAnsi="Times New Roman" w:cs="Times New Roman"/>
          <w:sz w:val="24"/>
          <w:szCs w:val="24"/>
        </w:rPr>
      </w:r>
      <w:r w:rsidR="001C7943"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117</w:t>
      </w:r>
      <w:r w:rsidR="001C7943" w:rsidRPr="00796736">
        <w:rPr>
          <w:rFonts w:ascii="Times New Roman" w:eastAsia="Times New Roman" w:hAnsi="Times New Roman" w:cs="Times New Roman"/>
          <w:sz w:val="24"/>
          <w:szCs w:val="24"/>
        </w:rPr>
        <w:fldChar w:fldCharType="end"/>
      </w:r>
      <w:r w:rsidR="001C7943" w:rsidRPr="00796736">
        <w:rPr>
          <w:rFonts w:ascii="Times New Roman" w:eastAsia="Times New Roman" w:hAnsi="Times New Roman" w:cs="Times New Roman"/>
          <w:sz w:val="24"/>
          <w:szCs w:val="24"/>
        </w:rPr>
        <w:t>, stk. 1, litra b og c.</w:t>
      </w:r>
    </w:p>
    <w:p w14:paraId="5AC5C1FD" w14:textId="77777777" w:rsidR="001C7943" w:rsidRPr="00796736" w:rsidRDefault="001C7943" w:rsidP="00A802A5">
      <w:pPr>
        <w:spacing w:line="360" w:lineRule="auto"/>
        <w:rPr>
          <w:rFonts w:ascii="Times New Roman" w:eastAsia="Times New Roman" w:hAnsi="Times New Roman" w:cs="Times New Roman"/>
          <w:color w:val="000000" w:themeColor="text1"/>
          <w:sz w:val="24"/>
          <w:szCs w:val="24"/>
        </w:rPr>
      </w:pPr>
    </w:p>
    <w:p w14:paraId="6FAFEDEF" w14:textId="511F39BE"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w:t>
      </w:r>
      <w:r w:rsidR="00C55DA0"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desuden </w:t>
      </w:r>
      <w:r w:rsidR="00C55DA0" w:rsidRPr="00796736">
        <w:rPr>
          <w:rFonts w:ascii="Times New Roman" w:eastAsia="Times New Roman" w:hAnsi="Times New Roman" w:cs="Times New Roman"/>
          <w:sz w:val="24"/>
          <w:szCs w:val="24"/>
        </w:rPr>
        <w:t xml:space="preserve">kunne </w:t>
      </w:r>
      <w:r w:rsidRPr="00796736">
        <w:rPr>
          <w:rFonts w:ascii="Times New Roman" w:eastAsia="Times New Roman" w:hAnsi="Times New Roman" w:cs="Times New Roman"/>
          <w:sz w:val="24"/>
          <w:szCs w:val="24"/>
        </w:rPr>
        <w:t xml:space="preserve">ske offentliggørelse af reaktioner truffet i medfør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_Ref233637850 \n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154</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nr. 5 og 6, </w:t>
      </w:r>
      <w:r w:rsidR="00026F02" w:rsidRPr="00796736">
        <w:rPr>
          <w:rFonts w:ascii="Times New Roman" w:eastAsia="Times New Roman" w:hAnsi="Times New Roman" w:cs="Times New Roman"/>
          <w:sz w:val="24"/>
          <w:szCs w:val="24"/>
        </w:rPr>
        <w:t>om ændringer i § 44 i lov om spil. Det foreslås således i § 44, stk. 1, nr. 11 og stk. 3, at en tilladelse kan tilbagekaldes, enten hvis udbyderen af spil ved alvorlige, gentagne eller systematiske overtrædelser</w:t>
      </w:r>
      <w:r w:rsidR="00026F02" w:rsidRPr="00796736">
        <w:rPr>
          <w:rFonts w:ascii="Times New Roman" w:eastAsia="Times New Roman" w:hAnsi="Times New Roman" w:cs="Times New Roman"/>
          <w:i/>
          <w:iCs/>
          <w:sz w:val="24"/>
          <w:szCs w:val="24"/>
        </w:rPr>
        <w:t xml:space="preserve"> </w:t>
      </w:r>
      <w:r w:rsidR="00026F02" w:rsidRPr="00796736">
        <w:rPr>
          <w:rFonts w:ascii="Times New Roman" w:eastAsia="Times New Roman" w:hAnsi="Times New Roman" w:cs="Times New Roman"/>
          <w:sz w:val="24"/>
          <w:szCs w:val="24"/>
        </w:rPr>
        <w:t xml:space="preserve">har overtrådt hvidvaskforordningen, eller hvis den reelle ejer bliver dømt for hvidvask af penge, de relevante underliggende lovovertrædelser eller finansiering af terrorisme. Tilbagekaldelsen sker således alene på baggrund af overtrædelser af hvidvaskreglerne, hvorfor disse reaktioner bør omfattes af offentliggørelsesordningen i henhold til reglerne i hvidvaskloven. </w:t>
      </w:r>
    </w:p>
    <w:p w14:paraId="4B47E0A9" w14:textId="77777777" w:rsidR="001C7943" w:rsidRPr="00796736" w:rsidRDefault="001C7943" w:rsidP="00A802A5">
      <w:pPr>
        <w:spacing w:line="360" w:lineRule="auto"/>
        <w:rPr>
          <w:rFonts w:ascii="Times New Roman" w:eastAsia="Times New Roman" w:hAnsi="Times New Roman" w:cs="Times New Roman"/>
          <w:color w:val="000000" w:themeColor="text1"/>
          <w:sz w:val="24"/>
          <w:szCs w:val="24"/>
        </w:rPr>
      </w:pPr>
    </w:p>
    <w:p w14:paraId="1F829088" w14:textId="1F993AEB"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forudsættes, at der ved begrebet »reaktioner« forstås alle reaktioner, som Spillemyndigheden </w:t>
      </w:r>
      <w:r w:rsidR="00C55DA0" w:rsidRPr="00796736">
        <w:rPr>
          <w:rFonts w:ascii="Times New Roman" w:eastAsia="Times New Roman" w:hAnsi="Times New Roman" w:cs="Times New Roman"/>
          <w:sz w:val="24"/>
          <w:szCs w:val="24"/>
        </w:rPr>
        <w:t>udsteder</w:t>
      </w:r>
      <w:r w:rsidRPr="00796736">
        <w:rPr>
          <w:rFonts w:ascii="Times New Roman" w:eastAsia="Times New Roman" w:hAnsi="Times New Roman" w:cs="Times New Roman"/>
          <w:sz w:val="24"/>
          <w:szCs w:val="24"/>
        </w:rPr>
        <w:t>, og som retter sig mod en part, herunder afgørelser, påbud, påtaler og beslutninger om at overgive sager til politimæssig efterforskning, samt afgørelse om pålæggelse af tvangsbøder.</w:t>
      </w:r>
    </w:p>
    <w:p w14:paraId="6EEF82C7" w14:textId="77777777" w:rsidR="001C7943" w:rsidRPr="00796736" w:rsidRDefault="001C7943" w:rsidP="00A802A5">
      <w:pPr>
        <w:spacing w:line="360" w:lineRule="auto"/>
        <w:rPr>
          <w:rFonts w:ascii="Times New Roman" w:eastAsia="Times New Roman" w:hAnsi="Times New Roman" w:cs="Times New Roman"/>
          <w:sz w:val="24"/>
          <w:szCs w:val="24"/>
        </w:rPr>
      </w:pPr>
    </w:p>
    <w:p w14:paraId="7578F02B" w14:textId="3B2F18CC" w:rsidR="001C7943"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fremgår af præambelbetragtning nr. 109 i 6. hvidvaskdirektiv, at offentliggørelse af en bøde eller administrativ foranstaltning for overtrædelse af hvidvaskforordningen kan have en stærk afskrækkende virkning mod gentagelse af en sådan overtrædelse. En sådan offentliggørelse bør imidlertid være forholdsmæssig, og når tilsynsorganerne træffer afgørelse om, hvorvidt en bøde eller administrativ foranstaltning skal offentliggøres, bør de tage hensyn til overtrædelsens grovhed og den afskrækkende virkning, som det er sandsynligt, at offentliggørelsen vil have. Med henblik herpå kunne medlemsstaterne beslutte at udsætte offentliggørelsen af administrative foranstaltninger, der kan påklages, når disse foranstaltninger anvendes til at afhjælpe en overtrædelse, der ikke er alvorlig, gentagen eller systematisk.  </w:t>
      </w:r>
    </w:p>
    <w:p w14:paraId="43EDAC45"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Er der indgivet klage over en reaktion, og reaktionen ikke har til formål at afhjælpe alvorlige, gentagne eller systematiske overtrædelser, vil Spillemyndigheden således kunne beslutte at udsætte offentliggørelse af reaktionen indtil udløbet af klagefristen.</w:t>
      </w:r>
    </w:p>
    <w:p w14:paraId="0444DA11" w14:textId="77777777" w:rsidR="00C55DA0" w:rsidRPr="00796736" w:rsidRDefault="00C55DA0" w:rsidP="00A802A5">
      <w:pPr>
        <w:spacing w:line="360" w:lineRule="auto"/>
        <w:rPr>
          <w:rFonts w:ascii="Times New Roman" w:eastAsia="Times New Roman" w:hAnsi="Times New Roman" w:cs="Times New Roman"/>
          <w:sz w:val="24"/>
          <w:szCs w:val="24"/>
        </w:rPr>
      </w:pPr>
    </w:p>
    <w:p w14:paraId="1135F989"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Offentliggørelsesmeddelelsen vil som minimum skulle identificere den fysiske eller juridiske person og overtrædelsens art, samt ved bøder og tvangsbøder bødens beløb. Spillemyndigheden vil dog alene skulle offentliggøre et resumé af beslutningen om at overgive en sag til politimæssig efterforskning, hvilket betyder, at beslutningen ikke skal offentliggøres i sin helhed. </w:t>
      </w:r>
    </w:p>
    <w:p w14:paraId="20DFBA29" w14:textId="77777777" w:rsidR="00EA5BF5" w:rsidRPr="00796736" w:rsidRDefault="00EA5BF5" w:rsidP="00A802A5">
      <w:pPr>
        <w:spacing w:line="360" w:lineRule="auto"/>
        <w:rPr>
          <w:rFonts w:ascii="Times New Roman" w:eastAsia="Times New Roman" w:hAnsi="Times New Roman" w:cs="Times New Roman"/>
          <w:sz w:val="24"/>
          <w:szCs w:val="24"/>
        </w:rPr>
      </w:pPr>
    </w:p>
    <w:p w14:paraId="771B826A" w14:textId="5CB1C7AB" w:rsidR="00EA5BF5" w:rsidRPr="00796736" w:rsidRDefault="00EA5B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Spillemyndigheden kan undlade at offentliggøre reaktioner givet i forbindelse med tilsyn efter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_Ref236643746 \n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118</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_Ref232609511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119</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_Ref232609546 \n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120</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og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_Ref236145057 \n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121</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stk. 1 og 2, samt pålagte tvangsbøder efter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_Ref232971154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137</w:t>
      </w:r>
      <w:r w:rsidRPr="00796736">
        <w:rPr>
          <w:rFonts w:ascii="Times New Roman" w:eastAsia="Times New Roman" w:hAnsi="Times New Roman" w:cs="Times New Roman"/>
          <w:sz w:val="24"/>
          <w:szCs w:val="24"/>
        </w:rPr>
        <w:fldChar w:fldCharType="end"/>
      </w:r>
      <w:r w:rsidRPr="00796736">
        <w:rPr>
          <w:rFonts w:ascii="Times New Roman" w:hAnsi="Times New Roman" w:cs="Times New Roman"/>
          <w:sz w:val="24"/>
          <w:szCs w:val="24"/>
        </w:rPr>
        <w:t xml:space="preserve">, herunder beslutninger om at overdrage en sag til politimæssig efterforskning, </w:t>
      </w:r>
      <w:r w:rsidRPr="00796736">
        <w:rPr>
          <w:rFonts w:ascii="Times New Roman" w:eastAsia="Times New Roman" w:hAnsi="Times New Roman" w:cs="Times New Roman"/>
          <w:iCs/>
          <w:sz w:val="24"/>
          <w:szCs w:val="24"/>
          <w:lang w:eastAsia="da-DK"/>
        </w:rPr>
        <w:t>hvis offentliggørelsen af de pågældende personers identitet eller personoplysninger ud fra en individuel vurdering er uforholdsmæssig, hvis det vil medføre uforholdsmæssig stor skade, efterforskningsmæssige hensyn taler imod offentliggørelse, eller offentliggørelsen ikke står i rimeligt forhold til overtrædelsens karakter</w:t>
      </w:r>
      <w:r w:rsidRPr="00796736">
        <w:rPr>
          <w:rFonts w:ascii="Times New Roman" w:hAnsi="Times New Roman" w:cs="Times New Roman"/>
          <w:sz w:val="24"/>
          <w:szCs w:val="24"/>
        </w:rPr>
        <w:t>, jf. det foreslåede stk. 6 og 7.</w:t>
      </w:r>
    </w:p>
    <w:p w14:paraId="75671F1B" w14:textId="77777777" w:rsidR="00EA5BF5" w:rsidRPr="00796736" w:rsidRDefault="00EA5BF5" w:rsidP="00A802A5">
      <w:pPr>
        <w:spacing w:line="360" w:lineRule="auto"/>
        <w:rPr>
          <w:rFonts w:ascii="Times New Roman" w:hAnsi="Times New Roman" w:cs="Times New Roman"/>
          <w:sz w:val="24"/>
          <w:szCs w:val="24"/>
        </w:rPr>
      </w:pPr>
    </w:p>
    <w:p w14:paraId="10213FBB" w14:textId="77777777" w:rsidR="00EA5BF5" w:rsidRPr="00796736" w:rsidRDefault="00EA5B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bemærkes, at oplysninger om, at fysiske personer har overtrådt lovgivningen, udgør personoplysninger, der er omfattet af databeskyttelsesforordningen og databeskyttelsesloven. Oplysningerne er omfattet af databeskyttelsesforordningens artikel 6. Oplysningerne er desuden omfattet af artikel 10, da der er tale om personoplysninger vedrørende lovovertrædelser. </w:t>
      </w:r>
    </w:p>
    <w:p w14:paraId="66969238" w14:textId="77777777" w:rsidR="00EA5BF5" w:rsidRPr="00796736" w:rsidRDefault="00EA5BF5" w:rsidP="00A802A5">
      <w:pPr>
        <w:spacing w:line="360" w:lineRule="auto"/>
        <w:rPr>
          <w:rFonts w:ascii="Times New Roman" w:hAnsi="Times New Roman" w:cs="Times New Roman"/>
          <w:sz w:val="24"/>
          <w:szCs w:val="24"/>
        </w:rPr>
      </w:pPr>
    </w:p>
    <w:p w14:paraId="39744B68" w14:textId="77777777" w:rsidR="00EA5BF5" w:rsidRPr="00796736" w:rsidRDefault="00EA5B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behandling af personoplysninger, der forudsætningsvist sker ved offentliggørelsen, vurderes at have hjemmel i databeskyttelsesforordningens artikel 6, stk. 1, litra e, om bl.a. udførelse af en opgave i samfundets interesse, som den dataansvarlige har fået pålagt. Der lægges herved navnlig vægt på, at den omtalte behandling af personoplysninger er en forudsætning for gennemførelse af 6. hvidvaskdirektivs artikel 58. </w:t>
      </w:r>
    </w:p>
    <w:p w14:paraId="3D7D9F2F" w14:textId="77777777" w:rsidR="00EA5BF5" w:rsidRPr="00796736" w:rsidRDefault="00EA5BF5" w:rsidP="00A802A5">
      <w:pPr>
        <w:spacing w:line="360" w:lineRule="auto"/>
        <w:rPr>
          <w:rFonts w:ascii="Times New Roman" w:hAnsi="Times New Roman" w:cs="Times New Roman"/>
          <w:sz w:val="24"/>
          <w:szCs w:val="24"/>
        </w:rPr>
      </w:pPr>
    </w:p>
    <w:p w14:paraId="1750B614" w14:textId="77777777" w:rsidR="00EA5BF5" w:rsidRPr="00796736" w:rsidRDefault="00EA5B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databeskyttelsesforordningens artikel 10, at behandling af personoplysninger vedrørende bl.a. lovovertrædelser på grundlag af artikel 6, stk. 1, kun må foretages under kontrol af en offentlig myndighed, eller hvis behandling har hjemmel i EU-retten eller medlemsstaternes nationale ret, som giver passende garantier for den registreredes rettigheder og frihedsrettigheder. </w:t>
      </w:r>
    </w:p>
    <w:p w14:paraId="0E65D53E" w14:textId="77777777" w:rsidR="00EA5BF5" w:rsidRPr="00796736" w:rsidRDefault="00EA5BF5" w:rsidP="00A802A5">
      <w:pPr>
        <w:spacing w:line="360" w:lineRule="auto"/>
        <w:rPr>
          <w:rFonts w:ascii="Times New Roman" w:hAnsi="Times New Roman" w:cs="Times New Roman"/>
          <w:sz w:val="24"/>
          <w:szCs w:val="24"/>
        </w:rPr>
      </w:pPr>
    </w:p>
    <w:p w14:paraId="2C9FE55A" w14:textId="6FECEECB" w:rsidR="00EA5BF5" w:rsidRPr="00796736" w:rsidRDefault="00EA5B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forudsættes, at den foreslåede bestemmelse skaber hjemmel for Spillemyndigheden til at behandle oplysninger om lovovertrædelser, jf. databeskyttelsesforordningens artikel 10. Det vurderes, at hjemlen giver passende garantier for registreredes rettigheder og frihedsrettigheder. Der lægges i den forbindelse vægt på, at ordningen er en forudsætning for gennemførelse af 6. hvidvaskdirektivs artikel 58. </w:t>
      </w:r>
    </w:p>
    <w:p w14:paraId="5EB2C41A" w14:textId="77777777" w:rsidR="00C55DA0" w:rsidRPr="00796736" w:rsidRDefault="00C55DA0" w:rsidP="00A802A5">
      <w:pPr>
        <w:spacing w:line="360" w:lineRule="auto"/>
        <w:rPr>
          <w:rFonts w:ascii="Times New Roman" w:eastAsia="Times New Roman" w:hAnsi="Times New Roman" w:cs="Times New Roman"/>
          <w:sz w:val="24"/>
          <w:szCs w:val="24"/>
        </w:rPr>
      </w:pPr>
    </w:p>
    <w:p w14:paraId="4A90F390" w14:textId="77777777" w:rsidR="00EA5BF5" w:rsidRPr="00796736" w:rsidRDefault="00EA5B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en beslutning om at oversende en sag til politimæssig efterforskning vil der ikke kunne ske offentliggørelse, hvis offentliggørelsen </w:t>
      </w:r>
      <w:r w:rsidRPr="00796736">
        <w:rPr>
          <w:rFonts w:ascii="Times New Roman" w:eastAsia="Times New Roman" w:hAnsi="Times New Roman" w:cs="Times New Roman"/>
          <w:sz w:val="24"/>
          <w:szCs w:val="24"/>
        </w:rPr>
        <w:t>vil medføre uforholdsmæssig stor skade </w:t>
      </w:r>
      <w:r w:rsidRPr="00796736">
        <w:rPr>
          <w:rFonts w:ascii="Times New Roman" w:hAnsi="Times New Roman" w:cs="Times New Roman"/>
          <w:sz w:val="24"/>
          <w:szCs w:val="24"/>
          <w:lang w:eastAsia="da-DK"/>
        </w:rPr>
        <w:t>efter en individuel vurdering</w:t>
      </w:r>
      <w:r w:rsidRPr="00796736">
        <w:rPr>
          <w:rFonts w:ascii="Times New Roman" w:eastAsia="Times New Roman" w:hAnsi="Times New Roman" w:cs="Times New Roman"/>
          <w:sz w:val="24"/>
          <w:szCs w:val="24"/>
        </w:rPr>
        <w:t>, efterforskningsmæssige hensyn taler imod offentliggørelse,</w:t>
      </w:r>
      <w:r w:rsidRPr="00796736">
        <w:rPr>
          <w:rFonts w:ascii="Times New Roman" w:hAnsi="Times New Roman" w:cs="Times New Roman"/>
          <w:sz w:val="24"/>
          <w:szCs w:val="24"/>
          <w:lang w:eastAsia="da-DK"/>
        </w:rPr>
        <w:t xml:space="preserve"> eller offentliggørelsen ikke står i rimeligt forhold til overtrædelsens karakter</w:t>
      </w:r>
      <w:r w:rsidRPr="00796736">
        <w:rPr>
          <w:rFonts w:ascii="Times New Roman" w:hAnsi="Times New Roman" w:cs="Times New Roman"/>
          <w:sz w:val="24"/>
          <w:szCs w:val="24"/>
        </w:rPr>
        <w:t xml:space="preserve">, jf. det foreslåede stk. 7. </w:t>
      </w:r>
    </w:p>
    <w:p w14:paraId="432AD08A" w14:textId="77777777" w:rsidR="001C7943" w:rsidRPr="00796736" w:rsidRDefault="001C7943" w:rsidP="00A802A5">
      <w:pPr>
        <w:spacing w:after="240"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Den offentliggjorte tilsynsreaktion vil indeholde den eller de involverede virksomheders navn(e). Derimod vil fortrolige oplysninger om kundeforhold ikke blive offentliggjort, jf. den foreslåede bestemmelse i stk. 7. Dette gælder også fortrolige oplysninger om virksomhedens interne forhold af væsentlig betydning for virksomheden. Endelig vil der ikke ske offentliggørelse af fortrolige oplysninger modtaget fra udenlandske tilsynsmyndigheder samt oplysninger omfattet af bestemmelser i lov om offentlighed i forvaltningen om undtagelse af oplysninger om private forhold og drifts- eller forretningsforhold m.v.</w:t>
      </w:r>
    </w:p>
    <w:p w14:paraId="69885280" w14:textId="2F769978"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Offentliggørelse af en reaktion vil ikke indebære, at selve den underliggende sag med dertilhørende akter bliver offentlig tilgængelig. Sagen vil stadig være omfattet af Spillemyndighedens tavshedspligt i henhold til lovforslagets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_Ref232609613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124</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En eventuel anmodning om aktindsigt, herunder aktindsigt i sagsakter og journalliste, vil derfor være omfattet af de almindelige regler herfor.</w:t>
      </w:r>
    </w:p>
    <w:p w14:paraId="0D24277D" w14:textId="77777777" w:rsidR="00026F02" w:rsidRPr="00796736" w:rsidRDefault="00026F02" w:rsidP="00A802A5">
      <w:pPr>
        <w:spacing w:line="360" w:lineRule="auto"/>
        <w:rPr>
          <w:rFonts w:ascii="Times New Roman" w:eastAsia="Times New Roman" w:hAnsi="Times New Roman" w:cs="Times New Roman"/>
          <w:sz w:val="24"/>
          <w:szCs w:val="24"/>
        </w:rPr>
      </w:pPr>
    </w:p>
    <w:p w14:paraId="0A3A7DB5" w14:textId="6677632A"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2,</w:t>
      </w:r>
      <w:r w:rsidRPr="00796736">
        <w:rPr>
          <w:rFonts w:ascii="Times New Roman" w:eastAsia="Times New Roman" w:hAnsi="Times New Roman" w:cs="Times New Roman"/>
          <w:color w:val="000000" w:themeColor="text1"/>
          <w:sz w:val="24"/>
          <w:szCs w:val="24"/>
        </w:rPr>
        <w:t xml:space="preserve"> at o</w:t>
      </w:r>
      <w:r w:rsidRPr="00796736">
        <w:rPr>
          <w:rFonts w:ascii="Times New Roman" w:eastAsia="Times New Roman" w:hAnsi="Times New Roman" w:cs="Times New Roman"/>
          <w:sz w:val="24"/>
          <w:szCs w:val="24"/>
        </w:rPr>
        <w:t>ffentliggørelse skal ske umiddelbart efter, at den, reaktionen er rettet imod, er blevet underrettet om reaktionen.</w:t>
      </w:r>
    </w:p>
    <w:p w14:paraId="00F53E08" w14:textId="77777777" w:rsidR="001C7943" w:rsidRPr="00796736" w:rsidRDefault="001C7943" w:rsidP="00A802A5">
      <w:pPr>
        <w:spacing w:line="360" w:lineRule="auto"/>
        <w:rPr>
          <w:rFonts w:ascii="Times New Roman" w:eastAsia="Times New Roman" w:hAnsi="Times New Roman" w:cs="Times New Roman"/>
          <w:sz w:val="24"/>
          <w:szCs w:val="24"/>
        </w:rPr>
      </w:pPr>
    </w:p>
    <w:p w14:paraId="5B597200" w14:textId="77777777"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ny, og implementerer artikel 58, stk. 2, 1. afsnit, i 6. hvidvaskdirektiv.</w:t>
      </w:r>
    </w:p>
    <w:p w14:paraId="11775394" w14:textId="31F8D6B5" w:rsidR="001C7943"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Den gældende hvidvasklov indeholder ikke nærmere angivelse af et tidspunkt for, hvornår Spillemyndigheden skal offentliggøre en tilsynsreaktion. Det følger dog af bemærkningerne til den gældende § 68, at det er hensigten, at offentliggørelsen som udgangspunkt sker senest dagen efter, at der er truffet afgørelse eller beslutning om at meddele tilsynsreaktionen.</w:t>
      </w:r>
      <w:r w:rsidR="00C55DA0" w:rsidRPr="00796736">
        <w:rPr>
          <w:rFonts w:ascii="Times New Roman" w:hAnsi="Times New Roman" w:cs="Times New Roman"/>
          <w:iCs/>
          <w:sz w:val="24"/>
          <w:szCs w:val="24"/>
        </w:rPr>
        <w:t xml:space="preserve"> Der henvises til Folketingstidende 2016-2017, tillæg A, L 41 som fremsat, bemærkningerne til § 61, side 179. </w:t>
      </w:r>
    </w:p>
    <w:p w14:paraId="70E5A374" w14:textId="0D13A79D" w:rsidR="00026F02" w:rsidRPr="00796736" w:rsidRDefault="00026F02"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vurderes hensigtsmæssigt, at det tidsmæssige aspekt for offentliggørelsen indskrives i loven af hensyn til en direktivnær implementering af direktivets artikel 58, stk. 2. </w:t>
      </w:r>
    </w:p>
    <w:p w14:paraId="126FF304" w14:textId="47C87146" w:rsidR="00026F02" w:rsidRPr="00796736" w:rsidRDefault="00026F02" w:rsidP="00A802A5">
      <w:pPr>
        <w:spacing w:after="240"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indebærer, at offentliggørelse skal ske i umiddelbar forlængelse af, at reaktionen er meddelt parten. I forslaget er der ikke angivet et tidspunkt for, hvornår Spillemyndigheden skal offentliggøre en reaktion. Det er dog hensigten, at offentliggørelsen som udgangspunkt skal ske senest </w:t>
      </w:r>
      <w:r w:rsidR="00C55DA0" w:rsidRPr="00796736">
        <w:rPr>
          <w:rFonts w:ascii="Times New Roman" w:eastAsia="Times New Roman" w:hAnsi="Times New Roman" w:cs="Times New Roman"/>
          <w:sz w:val="24"/>
          <w:szCs w:val="24"/>
        </w:rPr>
        <w:t>2</w:t>
      </w:r>
      <w:r w:rsidRPr="00796736">
        <w:rPr>
          <w:rFonts w:ascii="Times New Roman" w:eastAsia="Times New Roman" w:hAnsi="Times New Roman" w:cs="Times New Roman"/>
          <w:sz w:val="24"/>
          <w:szCs w:val="24"/>
        </w:rPr>
        <w:t xml:space="preserve"> dage efter, at der er truffet afgørelse eller beslutning om at meddele reaktionen. </w:t>
      </w:r>
    </w:p>
    <w:p w14:paraId="56AB7203"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 vil forinden offentliggørelse orientere den pågældende virksomhed eller person, hvis navn vil fremgå af offentliggørelsen, om den forestående offentliggørelse, så udbyderen eller personen har mulighed for at kunne forberede sig herpå.</w:t>
      </w:r>
    </w:p>
    <w:p w14:paraId="55EACCBD" w14:textId="77777777" w:rsidR="001C7943" w:rsidRPr="00796736" w:rsidRDefault="001C7943" w:rsidP="00A802A5">
      <w:pPr>
        <w:spacing w:line="360" w:lineRule="auto"/>
        <w:rPr>
          <w:rFonts w:ascii="Times New Roman" w:eastAsia="Times New Roman" w:hAnsi="Times New Roman" w:cs="Times New Roman"/>
          <w:sz w:val="24"/>
          <w:szCs w:val="24"/>
        </w:rPr>
      </w:pPr>
    </w:p>
    <w:p w14:paraId="2BBD4102" w14:textId="77777777"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3,</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at offentliggjorte reaktioner forbliver på Spillemyndighedens hjemmeside i 5 år efter offentliggørelse. Personoplysninger indeholdt i offentliggørelsen må dog kun forblive på Spillemyndighedens hjemmeside i det nødvendige tidsrum i overensstemmelse med de gældende databeskyttelsesregler.</w:t>
      </w:r>
    </w:p>
    <w:p w14:paraId="1673B51B" w14:textId="77777777" w:rsidR="001C7943" w:rsidRPr="00796736" w:rsidRDefault="001C7943" w:rsidP="00A802A5">
      <w:pPr>
        <w:spacing w:line="360" w:lineRule="auto"/>
        <w:rPr>
          <w:rFonts w:ascii="Times New Roman" w:eastAsia="Times New Roman" w:hAnsi="Times New Roman" w:cs="Times New Roman"/>
          <w:sz w:val="24"/>
          <w:szCs w:val="24"/>
        </w:rPr>
      </w:pPr>
    </w:p>
    <w:p w14:paraId="6FF79C4E" w14:textId="01311CA6"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w:t>
      </w:r>
      <w:r w:rsidR="00C55DA0" w:rsidRPr="00796736">
        <w:rPr>
          <w:rFonts w:ascii="Times New Roman" w:eastAsia="Times New Roman" w:hAnsi="Times New Roman" w:cs="Times New Roman"/>
          <w:sz w:val="24"/>
          <w:szCs w:val="24"/>
        </w:rPr>
        <w:t xml:space="preserve">vil </w:t>
      </w:r>
      <w:r w:rsidRPr="00796736">
        <w:rPr>
          <w:rFonts w:ascii="Times New Roman" w:eastAsia="Times New Roman" w:hAnsi="Times New Roman" w:cs="Times New Roman"/>
          <w:sz w:val="24"/>
          <w:szCs w:val="24"/>
        </w:rPr>
        <w:t xml:space="preserve">medføre, at offentliggjorte reaktioner skal slettes fra Spillemyndighedens hjemmeside 5 år efter offentliggørelse. </w:t>
      </w:r>
    </w:p>
    <w:p w14:paraId="093451D4" w14:textId="77777777" w:rsidR="001C7943" w:rsidRPr="00796736" w:rsidRDefault="001C7943" w:rsidP="00A802A5">
      <w:pPr>
        <w:spacing w:line="360" w:lineRule="auto"/>
        <w:rPr>
          <w:rFonts w:ascii="Times New Roman" w:eastAsia="Times New Roman" w:hAnsi="Times New Roman" w:cs="Times New Roman"/>
          <w:sz w:val="24"/>
          <w:szCs w:val="24"/>
        </w:rPr>
      </w:pPr>
    </w:p>
    <w:p w14:paraId="3A3B46A3" w14:textId="6C39EED6" w:rsidR="00EA5BF5" w:rsidRPr="00796736" w:rsidRDefault="00EA5B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Artikel 5 i databeskyttelsesforordningen indeholder en række grundlæggende principper, der gælder for alle behandlinger af personoplysninger, herunder fastsætter artikel litra e, at personoplysninger ikke må opbevares på en sådan måde, at det ikke er muligt at identificere de registrerede i et længere tidsrum end det, der er nødvendigt til de formål, hvortil de pågældende personoplysninger behandles.</w:t>
      </w:r>
    </w:p>
    <w:p w14:paraId="69D4763E" w14:textId="77777777" w:rsidR="00EA5BF5" w:rsidRPr="00796736" w:rsidRDefault="00EA5BF5" w:rsidP="00A802A5">
      <w:pPr>
        <w:spacing w:line="360" w:lineRule="auto"/>
        <w:rPr>
          <w:rFonts w:ascii="Times New Roman" w:eastAsia="Times New Roman" w:hAnsi="Times New Roman" w:cs="Times New Roman"/>
          <w:sz w:val="24"/>
          <w:szCs w:val="24"/>
        </w:rPr>
      </w:pPr>
    </w:p>
    <w:p w14:paraId="1DD5C157" w14:textId="77777777" w:rsidR="00EA5BF5" w:rsidRPr="00796736" w:rsidRDefault="00EA5BF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I overensstemmelse med dette fremgår det af stk. 3, 2. pkt., at offentliggjorte oplysninger, som indeholder personoplysninger, dog kun skal fremgå af Spillemyndighedens hjemmeside, så længe oplysningerne anses for nødvendige i forhold til de samfundsmæssige hensyn bag offentliggørelsen, og offentliggørelsen fortsat er i overensstemmelse med de gældende databeskyttelsesregler, herunder databeskyttelsesforordningen. Der er således mulighed for efter en konkret vurdering at lade personoplysninger indeholdt i offentliggørelsen forblive på hjemmesiden i et kortere tidsrum. Personoplysninger skal slettes 5 år efter offentliggørelse.</w:t>
      </w:r>
    </w:p>
    <w:p w14:paraId="52E66BE5" w14:textId="77777777" w:rsidR="00EA5BF5" w:rsidRPr="00796736" w:rsidRDefault="00EA5BF5" w:rsidP="00A802A5">
      <w:pPr>
        <w:spacing w:line="360" w:lineRule="auto"/>
        <w:rPr>
          <w:rFonts w:ascii="Times New Roman" w:eastAsia="Times New Roman" w:hAnsi="Times New Roman" w:cs="Times New Roman"/>
          <w:sz w:val="24"/>
          <w:szCs w:val="24"/>
        </w:rPr>
      </w:pPr>
    </w:p>
    <w:p w14:paraId="28AA258E" w14:textId="77777777" w:rsidR="00EA5BF5" w:rsidRPr="00796736" w:rsidRDefault="00EA5B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Ved offentliggørelse, som indeholder personoplysninger, forstås offentliggørelser, hvor det er muligt at identificere den fysiske person, som nævnes i det offentliggjorte materiale, jf. også definitionen i databeskyttelsesforordningens artikel 4, nr. 1. Det vil eksempelvis være tilfældet i offentliggørelser af en påtale, et påbud, et administrativt bødeforelæg eller en tvangsbøde, der angiver navnet på den fysiske person, som påtalen, påbuddet, det vedtagne administrative bødeforelæg eller tvangsbøden retter sig mod.</w:t>
      </w:r>
    </w:p>
    <w:p w14:paraId="226F8312" w14:textId="77777777" w:rsidR="00EA5BF5" w:rsidRPr="00796736" w:rsidRDefault="00EA5BF5" w:rsidP="00A802A5">
      <w:pPr>
        <w:spacing w:line="360" w:lineRule="auto"/>
        <w:rPr>
          <w:rFonts w:ascii="Times New Roman" w:hAnsi="Times New Roman" w:cs="Times New Roman"/>
          <w:sz w:val="24"/>
          <w:szCs w:val="24"/>
        </w:rPr>
      </w:pPr>
    </w:p>
    <w:p w14:paraId="03031786" w14:textId="207174AB" w:rsidR="00EA5BF5" w:rsidRPr="00796736" w:rsidRDefault="00EA5B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Stk. 3, 2. pkt., vil ikke finde anvendelse i tilfælde, hvor materiale offentliggøres i anonymiseret form på en sådan måde, at det hverken på offentliggørelsestidspunktet eller et senere tidspunkt er muligt at identificere den fysiske person, som er omfattet af materialet.</w:t>
      </w:r>
    </w:p>
    <w:p w14:paraId="5BE3F0DC" w14:textId="77777777" w:rsidR="001C7943" w:rsidRPr="00796736" w:rsidRDefault="001C7943" w:rsidP="00A802A5">
      <w:pPr>
        <w:spacing w:line="360" w:lineRule="auto"/>
        <w:rPr>
          <w:rFonts w:ascii="Times New Roman" w:eastAsia="Times New Roman" w:hAnsi="Times New Roman" w:cs="Times New Roman"/>
          <w:sz w:val="24"/>
          <w:szCs w:val="24"/>
        </w:rPr>
      </w:pPr>
    </w:p>
    <w:p w14:paraId="529C0D4D" w14:textId="0651B840"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 er en videreførelse af hvidvasklovens § 68, stk. 2, uden indholdsmæssige ændringer.</w:t>
      </w:r>
    </w:p>
    <w:p w14:paraId="47B71398" w14:textId="77777777" w:rsidR="001C7943" w:rsidRPr="00796736" w:rsidRDefault="001C7943" w:rsidP="00A802A5">
      <w:pPr>
        <w:spacing w:line="360" w:lineRule="auto"/>
        <w:rPr>
          <w:rFonts w:ascii="Times New Roman" w:eastAsia="Times New Roman" w:hAnsi="Times New Roman" w:cs="Times New Roman"/>
          <w:sz w:val="24"/>
          <w:szCs w:val="24"/>
        </w:rPr>
      </w:pPr>
    </w:p>
    <w:p w14:paraId="55779924" w14:textId="77777777"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4,</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at indbringes reaktionen, der offentliggøres i henhold til stk. 1, 1. pkt., for Landsskatteretten eller domstolene, skal dette fremgå af Spillemyndighedens offentliggørelse, og det efterfølgende resultat af Landsskatterettens eller domstolenes afgørelse skal ligeledes offentliggøres på Spillemyndighedens hjemmeside hurtigst muligt.</w:t>
      </w:r>
    </w:p>
    <w:p w14:paraId="683ADBA2" w14:textId="77777777" w:rsidR="001C7943" w:rsidRPr="00796736" w:rsidRDefault="001C7943" w:rsidP="00A802A5">
      <w:pPr>
        <w:spacing w:line="360" w:lineRule="auto"/>
        <w:rPr>
          <w:rFonts w:ascii="Times New Roman" w:eastAsia="Times New Roman" w:hAnsi="Times New Roman" w:cs="Times New Roman"/>
          <w:sz w:val="24"/>
          <w:szCs w:val="24"/>
        </w:rPr>
      </w:pPr>
    </w:p>
    <w:p w14:paraId="3508C2B9" w14:textId="52A18E2C"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hvidvasklovens § 68, stk. 4, uden indholdsmæssige ændringer. Bestemmelsen implementerer artikel 58, stk. 2, 3. afsnit, i 6. hvidvaskdirektiv.</w:t>
      </w:r>
    </w:p>
    <w:p w14:paraId="02E1A649" w14:textId="77777777" w:rsidR="00C55DA0" w:rsidRPr="00796736" w:rsidRDefault="00C55DA0" w:rsidP="00A802A5">
      <w:pPr>
        <w:spacing w:after="240"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 xml:space="preserve">Hvis resultatet af Landsskatteretten eller domstolens afgørelse annullerer eller underkender Spillemyndighedens afgørelse, herunder om pålæggelse af tvangsbøder, vil offentliggørelsesmeddelelsen skulle suppleres med oplysninger herom.  </w:t>
      </w:r>
    </w:p>
    <w:p w14:paraId="57483C13" w14:textId="6958C407"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5, </w:t>
      </w:r>
      <w:r w:rsidRPr="00796736">
        <w:rPr>
          <w:rFonts w:ascii="Times New Roman" w:eastAsia="Times New Roman" w:hAnsi="Times New Roman" w:cs="Times New Roman"/>
          <w:sz w:val="24"/>
          <w:szCs w:val="24"/>
        </w:rPr>
        <w:t xml:space="preserve">at </w:t>
      </w:r>
      <w:r w:rsidR="00C55DA0" w:rsidRPr="00796736">
        <w:rPr>
          <w:rFonts w:ascii="Times New Roman" w:eastAsia="Times New Roman" w:hAnsi="Times New Roman" w:cs="Times New Roman"/>
          <w:sz w:val="24"/>
          <w:szCs w:val="24"/>
        </w:rPr>
        <w:t>har</w:t>
      </w:r>
      <w:r w:rsidRPr="00796736">
        <w:rPr>
          <w:rFonts w:ascii="Times New Roman" w:eastAsia="Times New Roman" w:hAnsi="Times New Roman" w:cs="Times New Roman"/>
          <w:sz w:val="24"/>
          <w:szCs w:val="24"/>
        </w:rPr>
        <w:t xml:space="preserve"> Spillemyndigheden overgivet en sag til politimæssig efterforskning, og der er afsagt fældende dom eller vedtaget bøde, skal Spillemyndigheden offentliggøre dommen, bødevedtagelsen eller et resumé heraf, jf. dog stk. 6 og 7. Er dommen ikke endelig, eller er den anket eller genoptaget, skal dette fremgå af offentliggørelsen</w:t>
      </w:r>
      <w:r w:rsidRPr="00796736">
        <w:rPr>
          <w:rFonts w:ascii="Times New Roman" w:eastAsia="Times New Roman" w:hAnsi="Times New Roman" w:cs="Times New Roman"/>
          <w:color w:val="000000" w:themeColor="text1"/>
          <w:sz w:val="24"/>
          <w:szCs w:val="24"/>
        </w:rPr>
        <w:t>.</w:t>
      </w:r>
    </w:p>
    <w:p w14:paraId="09358590" w14:textId="77777777" w:rsidR="001C7943" w:rsidRPr="00796736" w:rsidRDefault="001C7943" w:rsidP="00A802A5">
      <w:pPr>
        <w:spacing w:line="360" w:lineRule="auto"/>
        <w:rPr>
          <w:rFonts w:ascii="Times New Roman" w:eastAsia="Times New Roman" w:hAnsi="Times New Roman" w:cs="Times New Roman"/>
          <w:sz w:val="24"/>
          <w:szCs w:val="24"/>
        </w:rPr>
      </w:pPr>
    </w:p>
    <w:p w14:paraId="6551A4ED" w14:textId="685EF306" w:rsidR="001C7943" w:rsidRPr="00796736" w:rsidRDefault="001C7943" w:rsidP="00A802A5">
      <w:pPr>
        <w:spacing w:after="240"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Den foreslåede bestemmelse er en videreførelse af hvidvasklovens § 68, stk. 5, og implementerer artikel 58, stk. 1, og stk. 3, 1. afsnit, 1. pkt. i 6. hvidvaskdirektiv.</w:t>
      </w:r>
    </w:p>
    <w:p w14:paraId="0830FA1C" w14:textId="58EFDDCB"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rPr>
        <w:t xml:space="preserve">Bestemmelsen medfører, at dommen, det vedtagne bødeforelæg eller resuméet heraf, som skal offentliggøres, vil indeholde den eller de involverede virksomheder eller personers navn(e). </w:t>
      </w:r>
      <w:r w:rsidRPr="00796736">
        <w:rPr>
          <w:rFonts w:ascii="Times New Roman" w:hAnsi="Times New Roman" w:cs="Times New Roman"/>
          <w:sz w:val="24"/>
          <w:szCs w:val="24"/>
        </w:rPr>
        <w:t>Offentliggørelsesmeddelelsen skal tillige indeholde oplysninger om bødens størrelse.</w:t>
      </w:r>
    </w:p>
    <w:p w14:paraId="79F28E55"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Offentliggørelse vil ikke indebære, at selve den underliggende sag med dertilhørende akter bliver offentlig tilgængelig.</w:t>
      </w:r>
    </w:p>
    <w:p w14:paraId="0CEBC866" w14:textId="77777777" w:rsidR="001C7943" w:rsidRPr="00796736" w:rsidRDefault="001C7943" w:rsidP="00A802A5">
      <w:pPr>
        <w:spacing w:line="360" w:lineRule="auto"/>
        <w:rPr>
          <w:rFonts w:ascii="Times New Roman" w:eastAsia="Times New Roman" w:hAnsi="Times New Roman" w:cs="Times New Roman"/>
          <w:sz w:val="24"/>
          <w:szCs w:val="24"/>
        </w:rPr>
      </w:pPr>
    </w:p>
    <w:p w14:paraId="4C739B64" w14:textId="033B736A"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Sagen </w:t>
      </w:r>
      <w:r w:rsidR="00C55DA0"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stadig</w:t>
      </w:r>
      <w:r w:rsidR="00C55DA0" w:rsidRPr="00796736">
        <w:rPr>
          <w:rFonts w:ascii="Times New Roman" w:eastAsia="Times New Roman" w:hAnsi="Times New Roman" w:cs="Times New Roman"/>
          <w:sz w:val="24"/>
          <w:szCs w:val="24"/>
        </w:rPr>
        <w:t xml:space="preserve"> være</w:t>
      </w:r>
      <w:r w:rsidRPr="00796736">
        <w:rPr>
          <w:rFonts w:ascii="Times New Roman" w:eastAsia="Times New Roman" w:hAnsi="Times New Roman" w:cs="Times New Roman"/>
          <w:sz w:val="24"/>
          <w:szCs w:val="24"/>
        </w:rPr>
        <w:t xml:space="preserve"> omfattet af Spillemyndighedens tavshedspligt i henhold til lovforslagets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_Ref232609613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124</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En eventuel anmodning om aktindsigt, herunder aktindsigt i sagsakter og journalliste, vil derfor være omfattet af de almindelige regler herfor. </w:t>
      </w:r>
    </w:p>
    <w:p w14:paraId="0A1D16DC" w14:textId="77777777" w:rsidR="001C7943" w:rsidRPr="00796736" w:rsidRDefault="001C7943" w:rsidP="00A802A5">
      <w:pPr>
        <w:spacing w:line="360" w:lineRule="auto"/>
        <w:rPr>
          <w:rFonts w:ascii="Times New Roman" w:eastAsia="Times New Roman" w:hAnsi="Times New Roman" w:cs="Times New Roman"/>
          <w:sz w:val="24"/>
          <w:szCs w:val="24"/>
        </w:rPr>
      </w:pPr>
    </w:p>
    <w:p w14:paraId="126D1B65" w14:textId="77777777"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 xml:space="preserve">Det foreslås </w:t>
      </w:r>
      <w:r w:rsidRPr="00796736">
        <w:rPr>
          <w:rFonts w:ascii="Times New Roman" w:eastAsia="Times New Roman" w:hAnsi="Times New Roman" w:cs="Times New Roman"/>
          <w:i/>
          <w:iCs/>
          <w:color w:val="000000" w:themeColor="text1"/>
          <w:sz w:val="24"/>
          <w:szCs w:val="24"/>
        </w:rPr>
        <w:t>i stk. 6,</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at offentliggørelse efter stk. 1, der omfatter en fysisk persons navn, kun kan ske, hvis Spillemyndigheden efter en individuel vurdering ikke anser offentliggørelsen af identiteten af den fysiske person for at være uforholdsmæssig.</w:t>
      </w:r>
    </w:p>
    <w:p w14:paraId="16B37986" w14:textId="77777777" w:rsidR="001C7943" w:rsidRPr="00796736" w:rsidRDefault="001C7943" w:rsidP="00A802A5">
      <w:pPr>
        <w:spacing w:line="360" w:lineRule="auto"/>
        <w:rPr>
          <w:rFonts w:ascii="Times New Roman" w:eastAsia="Times New Roman" w:hAnsi="Times New Roman" w:cs="Times New Roman"/>
          <w:sz w:val="24"/>
          <w:szCs w:val="24"/>
        </w:rPr>
      </w:pPr>
    </w:p>
    <w:p w14:paraId="0DACA3D0" w14:textId="3B958263" w:rsidR="00C55DA0" w:rsidRPr="00796736" w:rsidRDefault="00C55DA0"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viderefører hvidvasklovens § 68, stk. 3, med indholdsmæssige ændringer, og implementerer artikel 58, stk. 3, 2. afsnit i 6. hvidvaskdirektiv. Efter hvidvasklovens § 68, stk. 3, kan der kun ske offentliggørelse efter stk. 1 af en fysisk persons navn, ved dennes alvorlige, gentagne eller systematiske overtrædelser af en række nærmere angivet bestemmelser. </w:t>
      </w:r>
    </w:p>
    <w:p w14:paraId="6CF34453" w14:textId="77777777" w:rsidR="001C7943" w:rsidRPr="00796736" w:rsidRDefault="001C7943" w:rsidP="00A802A5">
      <w:pPr>
        <w:spacing w:line="360" w:lineRule="auto"/>
        <w:rPr>
          <w:rFonts w:ascii="Times New Roman" w:eastAsia="Times New Roman" w:hAnsi="Times New Roman" w:cs="Times New Roman"/>
          <w:sz w:val="24"/>
          <w:szCs w:val="24"/>
        </w:rPr>
      </w:pPr>
    </w:p>
    <w:p w14:paraId="4B9106AF" w14:textId="18589994"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 vil ikke længere indeholde en sådan kvalificeret begrænsning af, hvilke overtrædelser af konkrete bestemmelser der vil kunne medføre offentliggørelse af en fysisk persons navn.</w:t>
      </w:r>
    </w:p>
    <w:p w14:paraId="15BA3C05" w14:textId="77777777" w:rsidR="001C7943" w:rsidRPr="00796736" w:rsidRDefault="001C7943" w:rsidP="00A802A5">
      <w:pPr>
        <w:spacing w:line="360" w:lineRule="auto"/>
        <w:rPr>
          <w:rFonts w:ascii="Times New Roman" w:eastAsia="Times New Roman" w:hAnsi="Times New Roman" w:cs="Times New Roman"/>
          <w:sz w:val="24"/>
          <w:szCs w:val="24"/>
        </w:rPr>
      </w:pPr>
    </w:p>
    <w:p w14:paraId="249D5A7E" w14:textId="27B8B2CA"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ændring skyldes en direktivnær implementering af 6. hvidvaskdirektiv, der ikke indeholder en direkte kvalificering af grundlaget for offentliggørelse, der omfatter en fysisk persons navn. Artikel 58, stk. 3, 2. afsnit</w:t>
      </w:r>
      <w:r w:rsidR="00C55DA0" w:rsidRPr="00796736">
        <w:rPr>
          <w:rFonts w:ascii="Times New Roman" w:hAnsi="Times New Roman" w:cs="Times New Roman"/>
          <w:sz w:val="24"/>
          <w:szCs w:val="24"/>
        </w:rPr>
        <w:t>,</w:t>
      </w:r>
      <w:r w:rsidRPr="00796736">
        <w:rPr>
          <w:rFonts w:ascii="Times New Roman" w:hAnsi="Times New Roman" w:cs="Times New Roman"/>
          <w:sz w:val="24"/>
          <w:szCs w:val="24"/>
        </w:rPr>
        <w:t xml:space="preserve"> i 6. hvidvaskdirektiv tilsiger, at offentliggørelse, der omfatte</w:t>
      </w:r>
      <w:r w:rsidR="00026F02" w:rsidRPr="00796736">
        <w:rPr>
          <w:rFonts w:ascii="Times New Roman" w:hAnsi="Times New Roman" w:cs="Times New Roman"/>
          <w:sz w:val="24"/>
          <w:szCs w:val="24"/>
        </w:rPr>
        <w:t>r</w:t>
      </w:r>
      <w:r w:rsidRPr="00796736">
        <w:rPr>
          <w:rFonts w:ascii="Times New Roman" w:hAnsi="Times New Roman" w:cs="Times New Roman"/>
          <w:sz w:val="24"/>
          <w:szCs w:val="24"/>
        </w:rPr>
        <w:t xml:space="preserve"> en fysisk persons navn, skal bero på en individuel vurdering af forholdsmæssigheden af offentliggørelsen.</w:t>
      </w:r>
    </w:p>
    <w:p w14:paraId="43A562F9" w14:textId="77777777"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udgør en undtagelse til hovedreglen om, at den fysiske eller juridiske persons navn skal fremgå af offentliggørelsen efter stk. 1.</w:t>
      </w:r>
    </w:p>
    <w:p w14:paraId="3AD2C412" w14:textId="63103AB6"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w:t>
      </w:r>
      <w:r w:rsidR="00C55DA0"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således efter den foreslåede bestemmelse</w:t>
      </w:r>
      <w:r w:rsidR="00C55DA0"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undlade at offentliggøre reaktioner, hvis offentliggørelse af de pågældende personers identitet eller personoplysninger ud fra en konkret vurdering er uforholdsmæssig.</w:t>
      </w:r>
    </w:p>
    <w:p w14:paraId="42B8C9AB" w14:textId="77777777" w:rsidR="001C7943" w:rsidRPr="00796736" w:rsidRDefault="001C7943" w:rsidP="00A802A5">
      <w:pPr>
        <w:spacing w:line="360" w:lineRule="auto"/>
        <w:rPr>
          <w:rFonts w:ascii="Times New Roman" w:eastAsia="Times New Roman" w:hAnsi="Times New Roman" w:cs="Times New Roman"/>
          <w:sz w:val="24"/>
          <w:szCs w:val="24"/>
        </w:rPr>
      </w:pPr>
    </w:p>
    <w:p w14:paraId="0E821830" w14:textId="77777777" w:rsidR="00EA5BF5" w:rsidRPr="00796736" w:rsidRDefault="00EA5B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w:t>
      </w:r>
      <w:r w:rsidRPr="00796736">
        <w:rPr>
          <w:rFonts w:ascii="Times New Roman" w:eastAsia="Times New Roman" w:hAnsi="Times New Roman" w:cs="Times New Roman"/>
          <w:sz w:val="24"/>
          <w:szCs w:val="24"/>
        </w:rPr>
        <w:t>»</w:t>
      </w:r>
      <w:r w:rsidRPr="00796736">
        <w:rPr>
          <w:rFonts w:ascii="Times New Roman" w:hAnsi="Times New Roman" w:cs="Times New Roman"/>
          <w:sz w:val="24"/>
          <w:szCs w:val="24"/>
        </w:rPr>
        <w:t>uforholdsmæssig</w:t>
      </w:r>
      <w:r w:rsidRPr="00796736">
        <w:rPr>
          <w:rFonts w:ascii="Times New Roman" w:eastAsia="Times New Roman" w:hAnsi="Times New Roman" w:cs="Times New Roman"/>
          <w:sz w:val="24"/>
          <w:szCs w:val="24"/>
        </w:rPr>
        <w:t>«</w:t>
      </w:r>
      <w:r w:rsidRPr="00796736">
        <w:rPr>
          <w:rFonts w:ascii="Times New Roman" w:hAnsi="Times New Roman" w:cs="Times New Roman"/>
          <w:sz w:val="24"/>
          <w:szCs w:val="24"/>
        </w:rPr>
        <w:t xml:space="preserve"> forstås, at offentliggørelsen af den pågældende persons identitet eller personoplysninger vil udgøre et uproportionalt indgreb i vedkommendes rettigheder, som ikke står mål med det formål, som offentliggørelsen varetager. Spillemyndigheden vil således skulle foretage en konkret proportionalitetsafvejning af på den ene side indgrebets beskaffenhed over for den eller de berørte personer og på den anden side det formål, som offentliggørelsen søger at varetage. I denne afvejning vil karakteren af den konstaterede overtrædelse indgå med betydelig vægt. </w:t>
      </w:r>
    </w:p>
    <w:p w14:paraId="1CE52603" w14:textId="77777777" w:rsidR="00EA5BF5" w:rsidRPr="00796736" w:rsidRDefault="00EA5BF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Hvis offentliggørelse med navn i en konkret sag ikke vil kunne ske, vil det fortsat være muligt for Spillemyndigheden at offentliggøre reaktionen i anonymiseret form. Det forudsætter dog, at man ikke ud fra beskrivelsen af sagens faktum vil kunne udlede, hvilken person reaktionen vedrører. </w:t>
      </w:r>
    </w:p>
    <w:p w14:paraId="1DF00726" w14:textId="77777777" w:rsidR="00EA5BF5" w:rsidRPr="00796736" w:rsidRDefault="00EA5BF5" w:rsidP="00A802A5">
      <w:pPr>
        <w:spacing w:line="360" w:lineRule="auto"/>
        <w:rPr>
          <w:rFonts w:ascii="Times New Roman" w:eastAsia="Times New Roman" w:hAnsi="Times New Roman" w:cs="Times New Roman"/>
          <w:sz w:val="24"/>
          <w:szCs w:val="24"/>
        </w:rPr>
      </w:pPr>
    </w:p>
    <w:p w14:paraId="1C4F1047" w14:textId="77777777" w:rsidR="00EA5BF5" w:rsidRPr="00796736" w:rsidRDefault="00EA5BF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vil også efter den foreslåede bestemmelse være muligt at udsætte offentliggørelse, indtil offentliggørelse af de pågældende personers identitet eller personoplysninger ud fra en konkret vurdering ikke er uforholdsmæssig. </w:t>
      </w:r>
    </w:p>
    <w:p w14:paraId="3167E558" w14:textId="77777777" w:rsidR="00EA5BF5" w:rsidRPr="00796736" w:rsidRDefault="00EA5BF5" w:rsidP="00A802A5">
      <w:pPr>
        <w:spacing w:line="360" w:lineRule="auto"/>
        <w:rPr>
          <w:rFonts w:ascii="Times New Roman" w:eastAsia="Times New Roman" w:hAnsi="Times New Roman" w:cs="Times New Roman"/>
          <w:sz w:val="24"/>
          <w:szCs w:val="24"/>
        </w:rPr>
      </w:pPr>
    </w:p>
    <w:p w14:paraId="3BD7B9FD" w14:textId="77777777" w:rsidR="00EA5BF5" w:rsidRPr="00796736" w:rsidRDefault="00EA5BF5"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7,</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 xml:space="preserve">at offentliggørelse efter stk. 1 og 4-6 dog ikke kan ske, hvis det vil medføre uforholdsmæssig stor skade efter en individuel vurdering, efterforskningsmæssige hensyn taler imod offentliggørelse, </w:t>
      </w:r>
      <w:r w:rsidRPr="00796736">
        <w:rPr>
          <w:rFonts w:ascii="Times New Roman" w:hAnsi="Times New Roman" w:cs="Times New Roman"/>
          <w:sz w:val="24"/>
          <w:szCs w:val="24"/>
          <w:lang w:eastAsia="da-DK"/>
        </w:rPr>
        <w:t>eller offentliggørelsen ikke står i rimeligt forhold til overtrædelsens karakter</w:t>
      </w:r>
      <w:r w:rsidRPr="00796736">
        <w:rPr>
          <w:rFonts w:ascii="Times New Roman" w:eastAsia="Times New Roman" w:hAnsi="Times New Roman" w:cs="Times New Roman"/>
          <w:sz w:val="24"/>
          <w:szCs w:val="24"/>
        </w:rPr>
        <w:t>. Offentliggørelsen må ikke indeholde fortrolige oplysninger om kundeforhold eller oplysninger omfattet af bestemmelser i lov om offentlighed i forvaltningen om undtagelse af oplysninger om private forhold og drifts- eller forretningsforhold m.v. Offentliggørelsen må ikke indeholde fortrolige oplysninger, der hidrører fra et EU- eller EØS-land, medmindre de myndigheder, som har afgivet oplysningerne, har givet deres udtrykkelige tilladelse</w:t>
      </w:r>
      <w:r w:rsidRPr="00796736">
        <w:rPr>
          <w:rFonts w:ascii="Times New Roman" w:eastAsia="Times New Roman" w:hAnsi="Times New Roman" w:cs="Times New Roman"/>
          <w:color w:val="000000" w:themeColor="text1"/>
          <w:sz w:val="24"/>
          <w:szCs w:val="24"/>
        </w:rPr>
        <w:t>.</w:t>
      </w:r>
    </w:p>
    <w:p w14:paraId="7F888778" w14:textId="77777777" w:rsidR="001C7943" w:rsidRPr="00796736" w:rsidRDefault="001C7943" w:rsidP="00A802A5">
      <w:pPr>
        <w:spacing w:line="360" w:lineRule="auto"/>
        <w:rPr>
          <w:rFonts w:ascii="Times New Roman" w:eastAsia="Times New Roman" w:hAnsi="Times New Roman" w:cs="Times New Roman"/>
          <w:sz w:val="24"/>
          <w:szCs w:val="24"/>
        </w:rPr>
      </w:pPr>
    </w:p>
    <w:p w14:paraId="33C1F0FE" w14:textId="77777777"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hvidvasklovens § 68, stk. 6, med mindre indholdsmæssige justeringer. Bestemmelsen implementerer artikel 58, stk. 3, 1. afsnit, 2. pkt. og 2. afsnit., i 6. hvidvaskdirektiv.</w:t>
      </w:r>
    </w:p>
    <w:p w14:paraId="65835382" w14:textId="6D899656" w:rsidR="00EA5BF5" w:rsidRPr="00796736" w:rsidRDefault="00EA5B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Spillemyndigheden ikke må offentliggøre reaktioner, afgørelser om pålæggelse af tvangsbøder eller beslutning om at oversende en sag til politimæssig efterforskning, hvis offentliggørelsen vil medføre uforholdsmæssig stor skade efter en individuel vurdering, </w:t>
      </w:r>
      <w:r w:rsidRPr="00796736">
        <w:rPr>
          <w:rFonts w:ascii="Times New Roman" w:eastAsia="Times New Roman" w:hAnsi="Times New Roman" w:cs="Times New Roman"/>
          <w:sz w:val="24"/>
          <w:szCs w:val="24"/>
        </w:rPr>
        <w:t>efterforskningsmæssige hensyn taler imod offentliggørelse,</w:t>
      </w:r>
      <w:r w:rsidRPr="00796736">
        <w:rPr>
          <w:rFonts w:ascii="Times New Roman" w:hAnsi="Times New Roman" w:cs="Times New Roman"/>
          <w:sz w:val="24"/>
          <w:szCs w:val="24"/>
        </w:rPr>
        <w:t xml:space="preserve"> eller hvis offentliggørelsen ikke står i rimeligt forhold til overtrædelsens karakter.</w:t>
      </w:r>
    </w:p>
    <w:p w14:paraId="343DEF94" w14:textId="77777777" w:rsidR="00EA5BF5" w:rsidRPr="00796736" w:rsidRDefault="00EA5B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w:t>
      </w:r>
      <w:r w:rsidRPr="00796736">
        <w:rPr>
          <w:rFonts w:ascii="Times New Roman" w:eastAsia="Times New Roman" w:hAnsi="Times New Roman" w:cs="Times New Roman"/>
          <w:sz w:val="24"/>
          <w:szCs w:val="24"/>
        </w:rPr>
        <w:t>»</w:t>
      </w:r>
      <w:r w:rsidRPr="00796736">
        <w:rPr>
          <w:rFonts w:ascii="Times New Roman" w:hAnsi="Times New Roman" w:cs="Times New Roman"/>
          <w:sz w:val="24"/>
          <w:szCs w:val="24"/>
        </w:rPr>
        <w:t>uforholdsmæssig</w:t>
      </w:r>
      <w:r w:rsidRPr="00796736">
        <w:rPr>
          <w:rFonts w:ascii="Times New Roman" w:eastAsia="Times New Roman" w:hAnsi="Times New Roman" w:cs="Times New Roman"/>
          <w:sz w:val="24"/>
          <w:szCs w:val="24"/>
        </w:rPr>
        <w:t>«</w:t>
      </w:r>
      <w:r w:rsidRPr="00796736">
        <w:rPr>
          <w:rFonts w:ascii="Times New Roman" w:hAnsi="Times New Roman" w:cs="Times New Roman"/>
          <w:sz w:val="24"/>
          <w:szCs w:val="24"/>
        </w:rPr>
        <w:t xml:space="preserve"> forstås, at offentliggørelsen af den ansvarlige virksomhed eller persons identitet vil udgøre et uproportionalt indgreb i vedkommendes rettigheder, som ikke står mål med det formål, som offentliggørelsen varetager. Spillemyndigheden vil således skulle foretage en konkret proportionalitetsafvejning af indgrebets beskaffenhed og det formål, som offentliggørelsen søger at varetage. I denne afvejning vil karakteren af den konstaterede overtrædelse skulle indgå med betydelig vægt.</w:t>
      </w:r>
    </w:p>
    <w:p w14:paraId="49231EF1" w14:textId="11B9889C" w:rsidR="001C7943" w:rsidRPr="00796736" w:rsidRDefault="00980C7C" w:rsidP="00A802A5">
      <w:pPr>
        <w:spacing w:after="240"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Undtagelsen vil herunder kunne finde anvendelse, hvis offentliggørelsen af de pågældende oplysninger vil være truende for virksomhedens eksistens og stå i misforhold til offentliggørelsen af de overtrædelser, som er konstateret. Det vil ikke være tilstrækkeligt, at oplysningerne potentielt kan medføre større tab for virksomheden uden. at virksomhedens eksistens dermed er i fare.</w:t>
      </w:r>
    </w:p>
    <w:p w14:paraId="5741E70D"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Offentliggørelsen må ikke indeholde fortrolige oplysninger om kundeforhold, </w:t>
      </w:r>
      <w:r w:rsidRPr="00796736">
        <w:rPr>
          <w:rFonts w:ascii="Times New Roman" w:hAnsi="Times New Roman" w:cs="Times New Roman"/>
          <w:sz w:val="24"/>
          <w:szCs w:val="24"/>
        </w:rPr>
        <w:t>oplysninger omfattet af bestemmelser i lov om offentlighed i forvaltningen om undtagelse af oplysninger om private forhold og drifts- eller forretningsforhold m.v.,</w:t>
      </w:r>
      <w:r w:rsidRPr="00796736">
        <w:rPr>
          <w:rFonts w:ascii="Times New Roman" w:eastAsia="Times New Roman" w:hAnsi="Times New Roman" w:cs="Times New Roman"/>
          <w:sz w:val="24"/>
          <w:szCs w:val="24"/>
        </w:rPr>
        <w:t xml:space="preserve"> eller oplysninger om potentielle købere af en nødlidende virksomhed i de tilfælde, hvor overtagelsen ikke gennemføres. Dette gælder også fortrolige oplysninger om den juridiske personens interne forhold af væsentlig betydning for denne, f.eks. vil ikke-offentligt tilgængelige oplysninger om den juridiske persons opbygning og indretning, økonomiske forhold og situation, kundemasse og samarbejdspartnere blive fjernet inden offentliggørelsen, medmindre oplysningerne er nødvendige for forståelsen af dommen, det vedtagne bødeforelæg eller resuméet heraf. </w:t>
      </w:r>
    </w:p>
    <w:p w14:paraId="7CF76F1C" w14:textId="77777777" w:rsidR="001C7943" w:rsidRPr="00796736" w:rsidRDefault="001C7943" w:rsidP="00A802A5">
      <w:pPr>
        <w:spacing w:line="360" w:lineRule="auto"/>
        <w:rPr>
          <w:rFonts w:ascii="Times New Roman" w:eastAsia="Times New Roman" w:hAnsi="Times New Roman" w:cs="Times New Roman"/>
          <w:sz w:val="24"/>
          <w:szCs w:val="24"/>
        </w:rPr>
      </w:pPr>
    </w:p>
    <w:p w14:paraId="2F3B3A45" w14:textId="77777777" w:rsidR="00EA5BF5" w:rsidRPr="00796736" w:rsidRDefault="00EA5BF5"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Spillemyndigheden må ikke offentliggøre reaktioner og beslutninger om at oversende en sag til politimæssig efterforskning, hvis offentliggørelse vil kunne skade den politimæssige efterforskning.</w:t>
      </w:r>
    </w:p>
    <w:p w14:paraId="16C0CB13" w14:textId="77777777" w:rsidR="001C7943" w:rsidRPr="00796736" w:rsidRDefault="001C7943" w:rsidP="00A802A5">
      <w:pPr>
        <w:spacing w:line="360" w:lineRule="auto"/>
        <w:rPr>
          <w:rFonts w:ascii="Times New Roman" w:eastAsia="Times New Roman" w:hAnsi="Times New Roman" w:cs="Times New Roman"/>
          <w:sz w:val="24"/>
          <w:szCs w:val="24"/>
        </w:rPr>
      </w:pPr>
    </w:p>
    <w:p w14:paraId="7D3B5A96" w14:textId="1F32A18C"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forudsættes, at offentliggørelse af en beslutning om at oversende en sag til politimæssig efterforskning alene sker efter høring af den politimyndighed, som sagen er oversendt til. Såfremt politiet indstiller, at der ikke sker offentliggørelse, må der ikke ske offentliggørelse. Det kan aftales med anklagemyndigheden, at visse sagskategorier kan offentliggøres uden forudgående høring. </w:t>
      </w:r>
    </w:p>
    <w:p w14:paraId="690F1FA8" w14:textId="77777777" w:rsidR="001C7943" w:rsidRPr="00796736" w:rsidRDefault="001C7943" w:rsidP="00A802A5">
      <w:pPr>
        <w:spacing w:line="360" w:lineRule="auto"/>
        <w:rPr>
          <w:rFonts w:ascii="Times New Roman" w:eastAsia="Times New Roman" w:hAnsi="Times New Roman" w:cs="Times New Roman"/>
          <w:sz w:val="24"/>
          <w:szCs w:val="24"/>
        </w:rPr>
      </w:pPr>
    </w:p>
    <w:p w14:paraId="043E50EB" w14:textId="77777777"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Hvis offentliggørelse i en konkret sag ikke vil kunne ske af efterforskningsmæssige hensyn, vil det fortsat være muligt for Spillemyndigheden at offentliggøre afgørelsen i anonymiseret form. Det forudsætter dog, at beskrivelsen af sagens faktum ikke bringer den igangværende efterforskning i fare.</w:t>
      </w:r>
    </w:p>
    <w:p w14:paraId="1458D9FA" w14:textId="77777777" w:rsidR="00EA5BF5" w:rsidRPr="00796736" w:rsidRDefault="00EA5BF5" w:rsidP="00A802A5">
      <w:pPr>
        <w:spacing w:after="240" w:line="360" w:lineRule="auto"/>
        <w:rPr>
          <w:rFonts w:ascii="Times New Roman" w:hAnsi="Times New Roman" w:cs="Times New Roman"/>
          <w:sz w:val="24"/>
          <w:szCs w:val="24"/>
        </w:rPr>
      </w:pPr>
    </w:p>
    <w:p w14:paraId="45232607" w14:textId="77777777" w:rsidR="00EA5BF5" w:rsidRPr="00796736" w:rsidRDefault="00EA5B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skal ved vurderingen af, om der skal ske offentliggørelse af en beslutning om at oversende en sag til politimæssig efterforskning, foretages en afvejning af behovet for at offentliggøre en politianmeldelse over for de betænkeligheder, herunder af retssikkerhedsmæssig karakter, som offentliggørelsen kan give anledning til. </w:t>
      </w:r>
    </w:p>
    <w:p w14:paraId="670EFD95" w14:textId="44FA46BC" w:rsidR="00EA5BF5" w:rsidRPr="00796736" w:rsidRDefault="00EA5BF5" w:rsidP="00A802A5">
      <w:pPr>
        <w:spacing w:after="240" w:line="360" w:lineRule="auto"/>
        <w:rPr>
          <w:rFonts w:ascii="Times New Roman" w:hAnsi="Times New Roman" w:cs="Times New Roman"/>
          <w:sz w:val="24"/>
          <w:szCs w:val="24"/>
        </w:rPr>
      </w:pPr>
      <w:r w:rsidRPr="00796736">
        <w:rPr>
          <w:rFonts w:ascii="Times New Roman" w:eastAsia="Times New Roman" w:hAnsi="Times New Roman" w:cs="Times New Roman"/>
          <w:sz w:val="24"/>
          <w:szCs w:val="24"/>
        </w:rPr>
        <w:t>Oversendelse af sager til politimæssig efterforskning er en processuel beslutning, som ikke kan påklages.</w:t>
      </w:r>
    </w:p>
    <w:p w14:paraId="65B2F586" w14:textId="00E686C6"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foreslås </w:t>
      </w:r>
      <w:r w:rsidRPr="00796736">
        <w:rPr>
          <w:rFonts w:ascii="Times New Roman" w:eastAsia="Times New Roman" w:hAnsi="Times New Roman" w:cs="Times New Roman"/>
          <w:i/>
          <w:iCs/>
          <w:color w:val="000000" w:themeColor="text1"/>
          <w:sz w:val="24"/>
          <w:szCs w:val="24"/>
        </w:rPr>
        <w:t>i stk. 8,</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 xml:space="preserve">at </w:t>
      </w:r>
      <w:r w:rsidR="00980C7C" w:rsidRPr="00796736">
        <w:rPr>
          <w:rFonts w:ascii="Times New Roman" w:eastAsia="Times New Roman" w:hAnsi="Times New Roman" w:cs="Times New Roman"/>
          <w:sz w:val="24"/>
          <w:szCs w:val="24"/>
        </w:rPr>
        <w:t>er</w:t>
      </w:r>
      <w:r w:rsidRPr="00796736">
        <w:rPr>
          <w:rFonts w:ascii="Times New Roman" w:eastAsia="Times New Roman" w:hAnsi="Times New Roman" w:cs="Times New Roman"/>
          <w:sz w:val="24"/>
          <w:szCs w:val="24"/>
        </w:rPr>
        <w:t xml:space="preserve"> offentliggørelse undladt i henhold til stk. 7, 1. pkt., skal der ske offentliggørelse efter stk. 1 og 4-6, når de hensyn, der nødvendiggjorde undladelsen, ikke længere er gældende. Efter 2 år fra datoen for reaktionen eller beslutningen om at overgive sagen til politimæssig efterforskning skal der dog ikke ske offentliggørelse uanset 1. pkt. Der skal alene ske offentliggørelse, hvis der ikke er sket påtaleopgivelse eller tiltalefrafald efter retsplejelovens regler</w:t>
      </w:r>
      <w:r w:rsidRPr="00796736">
        <w:rPr>
          <w:rFonts w:ascii="Times New Roman" w:eastAsia="Times New Roman" w:hAnsi="Times New Roman" w:cs="Times New Roman"/>
          <w:color w:val="000000" w:themeColor="text1"/>
          <w:sz w:val="24"/>
          <w:szCs w:val="24"/>
        </w:rPr>
        <w:t>.</w:t>
      </w:r>
    </w:p>
    <w:p w14:paraId="1D8211B0" w14:textId="77777777" w:rsidR="001C7943" w:rsidRPr="00796736" w:rsidRDefault="001C7943" w:rsidP="00A802A5">
      <w:pPr>
        <w:spacing w:line="360" w:lineRule="auto"/>
        <w:rPr>
          <w:rFonts w:ascii="Times New Roman" w:eastAsia="Times New Roman" w:hAnsi="Times New Roman" w:cs="Times New Roman"/>
          <w:sz w:val="24"/>
          <w:szCs w:val="24"/>
        </w:rPr>
      </w:pPr>
    </w:p>
    <w:p w14:paraId="21ED5805" w14:textId="77777777" w:rsidR="001C7943" w:rsidRPr="00796736" w:rsidRDefault="001C7943" w:rsidP="00A802A5">
      <w:pPr>
        <w:spacing w:after="240"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Den foreslåede bestemmelse er en direkte videreførelse af hvidvasklovens § 68, stk. 7, og implementerer artikel 58, stk. 3, 2. afsnit, litra a, i 6. hvidvaskdirektiv.</w:t>
      </w:r>
    </w:p>
    <w:p w14:paraId="29566B72" w14:textId="063539B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Hvis Spillemyndigheden har undladt offentliggørelse i henhold til de</w:t>
      </w:r>
      <w:r w:rsidR="00980C7C" w:rsidRPr="00796736">
        <w:rPr>
          <w:rFonts w:ascii="Times New Roman" w:eastAsia="Times New Roman" w:hAnsi="Times New Roman" w:cs="Times New Roman"/>
          <w:sz w:val="24"/>
          <w:szCs w:val="24"/>
        </w:rPr>
        <w:t>t</w:t>
      </w:r>
      <w:r w:rsidRPr="00796736">
        <w:rPr>
          <w:rFonts w:ascii="Times New Roman" w:eastAsia="Times New Roman" w:hAnsi="Times New Roman" w:cs="Times New Roman"/>
          <w:sz w:val="24"/>
          <w:szCs w:val="24"/>
        </w:rPr>
        <w:t xml:space="preserve"> foreslåede stk. 7, 1. pkt. </w:t>
      </w:r>
      <w:r w:rsidR="00980C7C"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der således</w:t>
      </w:r>
      <w:r w:rsidR="00980C7C" w:rsidRPr="00796736">
        <w:rPr>
          <w:rFonts w:ascii="Times New Roman" w:eastAsia="Times New Roman" w:hAnsi="Times New Roman" w:cs="Times New Roman"/>
          <w:sz w:val="24"/>
          <w:szCs w:val="24"/>
        </w:rPr>
        <w:t xml:space="preserve"> skulle</w:t>
      </w:r>
      <w:r w:rsidRPr="00796736">
        <w:rPr>
          <w:rFonts w:ascii="Times New Roman" w:eastAsia="Times New Roman" w:hAnsi="Times New Roman" w:cs="Times New Roman"/>
          <w:sz w:val="24"/>
          <w:szCs w:val="24"/>
        </w:rPr>
        <w:t xml:space="preserve"> ske offentliggørelse, når de hensyn, der nødvendiggjorde undladelsen, ikke længere er til stede. Dette gælder dog kun i op til 2 år efter datoen for reaktionen, den pålagte tvangsbøde eller beslutning om at overgive sagen til politiet. </w:t>
      </w:r>
    </w:p>
    <w:p w14:paraId="7364ADA8" w14:textId="77777777" w:rsidR="001C7943" w:rsidRPr="00796736" w:rsidRDefault="001C7943" w:rsidP="00A802A5">
      <w:pPr>
        <w:spacing w:line="360" w:lineRule="auto"/>
        <w:rPr>
          <w:rFonts w:ascii="Times New Roman" w:eastAsia="Times New Roman" w:hAnsi="Times New Roman" w:cs="Times New Roman"/>
          <w:sz w:val="24"/>
          <w:szCs w:val="24"/>
        </w:rPr>
      </w:pPr>
    </w:p>
    <w:p w14:paraId="7866FD8A"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Baggrunden herfor er, at den offentlige interesse i sådanne reaktioner aftager kraftigt over tid og af administrative årsager. På denne baggrund foreslås en grænse på 2 år. </w:t>
      </w:r>
    </w:p>
    <w:p w14:paraId="22198C8C" w14:textId="77777777" w:rsidR="001C7943" w:rsidRPr="00796736" w:rsidRDefault="001C7943" w:rsidP="00A802A5">
      <w:pPr>
        <w:spacing w:line="360" w:lineRule="auto"/>
        <w:rPr>
          <w:rFonts w:ascii="Times New Roman" w:eastAsia="Times New Roman" w:hAnsi="Times New Roman" w:cs="Times New Roman"/>
          <w:sz w:val="24"/>
          <w:szCs w:val="24"/>
        </w:rPr>
      </w:pPr>
    </w:p>
    <w:p w14:paraId="10382D04" w14:textId="4928BA6B" w:rsidR="001C7943" w:rsidRDefault="00980C7C"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foreslås </w:t>
      </w:r>
      <w:r w:rsidRPr="00796736">
        <w:rPr>
          <w:rFonts w:ascii="Times New Roman" w:eastAsia="Times New Roman" w:hAnsi="Times New Roman" w:cs="Times New Roman"/>
          <w:i/>
          <w:iCs/>
          <w:color w:val="000000" w:themeColor="text1"/>
          <w:sz w:val="24"/>
          <w:szCs w:val="24"/>
        </w:rPr>
        <w:t>i stk. 9,</w:t>
      </w:r>
      <w:r w:rsidRPr="00796736">
        <w:rPr>
          <w:rFonts w:ascii="Times New Roman" w:eastAsia="Times New Roman" w:hAnsi="Times New Roman" w:cs="Times New Roman"/>
          <w:color w:val="000000" w:themeColor="text1"/>
          <w:sz w:val="24"/>
          <w:szCs w:val="24"/>
        </w:rPr>
        <w:t xml:space="preserve"> </w:t>
      </w:r>
      <w:r w:rsidR="007B7BA4" w:rsidRPr="00D500FD">
        <w:rPr>
          <w:rFonts w:ascii="Times New Roman" w:eastAsia="Times New Roman" w:hAnsi="Times New Roman" w:cs="Times New Roman"/>
          <w:sz w:val="24"/>
          <w:szCs w:val="24"/>
        </w:rPr>
        <w:t>at i sager, hvor Spillemyndigheden har offentliggjort en beslutning om at overgive en sag til politimæssig efterforskning efter stk. 1, 2. pkt., og der træffes afgørelse om påtaleopgivelse eller tiltalefrafald eller afsiges frifindende dom, skal Spillemyndigheden offentliggøre oplysninger herom</w:t>
      </w:r>
      <w:r w:rsidR="007B7BA4">
        <w:rPr>
          <w:rFonts w:ascii="Times New Roman" w:eastAsia="Times New Roman" w:hAnsi="Times New Roman" w:cs="Times New Roman"/>
          <w:sz w:val="24"/>
          <w:szCs w:val="24"/>
        </w:rPr>
        <w:t>, hvis Spillemyndigheden bliver bekendt hermed</w:t>
      </w:r>
      <w:r w:rsidR="007B7BA4" w:rsidRPr="00D500FD">
        <w:rPr>
          <w:rFonts w:ascii="Times New Roman" w:eastAsia="Times New Roman" w:hAnsi="Times New Roman" w:cs="Times New Roman"/>
          <w:sz w:val="24"/>
          <w:szCs w:val="24"/>
        </w:rPr>
        <w:t>. Den fysiske eller juridiske person skal indsende en kopi af afgørelsen om påtaleopgivelse eller tiltalefrafald eller en kopi af dommen til Spillemyndigheden. Er påtaleopgivelsen, tiltalefrafaldet eller dommen ikke endelig, skal det fremgå af offentliggørelsen. Modtager Spillemyndigheden dokumentation for, at sagen er afsluttet ved endelig påtaleopgivelse eller tiltalefrafald eller afsigelse af endelig frifindende dom, skal Spillemyndigheden fjerne alle oplysninger om beslutningen om at overgive sagen til politimæssig efterforskning og eventuelle efterfølgende domme i sagen fra Spillemyndighedens hjemmeside</w:t>
      </w:r>
      <w:r w:rsidR="007B7BA4" w:rsidRPr="00D500FD">
        <w:rPr>
          <w:rFonts w:ascii="Times New Roman" w:eastAsia="Times New Roman" w:hAnsi="Times New Roman" w:cs="Times New Roman"/>
          <w:color w:val="000000" w:themeColor="text1"/>
          <w:sz w:val="24"/>
          <w:szCs w:val="24"/>
        </w:rPr>
        <w:t>.</w:t>
      </w:r>
    </w:p>
    <w:p w14:paraId="2D3398AF" w14:textId="77777777" w:rsidR="007B7BA4" w:rsidRPr="00796736" w:rsidRDefault="007B7BA4" w:rsidP="00A802A5">
      <w:pPr>
        <w:spacing w:line="360" w:lineRule="auto"/>
        <w:rPr>
          <w:rFonts w:ascii="Times New Roman" w:eastAsia="Times New Roman" w:hAnsi="Times New Roman" w:cs="Times New Roman"/>
          <w:sz w:val="24"/>
          <w:szCs w:val="24"/>
        </w:rPr>
      </w:pPr>
    </w:p>
    <w:p w14:paraId="5623ACF9" w14:textId="77777777" w:rsidR="001C7943" w:rsidRPr="00796736" w:rsidRDefault="001C794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hvidvasklovens § 68, stk. 8, og implementerer artikel 58, stk. 2, 3. afsnit, 2. pkt., i 6. hvidvaskdirektiv.</w:t>
      </w:r>
    </w:p>
    <w:p w14:paraId="39BF6C77" w14:textId="40AE843A" w:rsidR="001C7943"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er den juridiske eller fysiske person selv, som vil skulle sende Spillemyndigheden en kopi af afgørelsen om påtaleopgivelse, tiltalefrafald eller den frifindende dom, idet Spillemyndigheden ikke nødvendigvis vil være i besiddelse heraf. </w:t>
      </w:r>
    </w:p>
    <w:p w14:paraId="39AB2FE8" w14:textId="77777777" w:rsidR="00980C7C" w:rsidRPr="00796736" w:rsidRDefault="00980C7C" w:rsidP="00A802A5">
      <w:pPr>
        <w:spacing w:line="360" w:lineRule="auto"/>
        <w:rPr>
          <w:rFonts w:ascii="Times New Roman" w:eastAsia="Times New Roman" w:hAnsi="Times New Roman" w:cs="Times New Roman"/>
          <w:sz w:val="24"/>
          <w:szCs w:val="24"/>
        </w:rPr>
      </w:pPr>
    </w:p>
    <w:p w14:paraId="7FB0DC4E" w14:textId="2FD63E4A"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w:t>
      </w:r>
      <w:r w:rsidR="00980C7C" w:rsidRPr="00796736">
        <w:rPr>
          <w:rFonts w:ascii="Times New Roman" w:eastAsia="Times New Roman" w:hAnsi="Times New Roman" w:cs="Times New Roman"/>
          <w:sz w:val="24"/>
          <w:szCs w:val="24"/>
        </w:rPr>
        <w:t>vil skulle</w:t>
      </w:r>
      <w:r w:rsidRPr="00796736">
        <w:rPr>
          <w:rFonts w:ascii="Times New Roman" w:eastAsia="Times New Roman" w:hAnsi="Times New Roman" w:cs="Times New Roman"/>
          <w:sz w:val="24"/>
          <w:szCs w:val="24"/>
        </w:rPr>
        <w:t xml:space="preserve"> offentliggøre, at sagen er sluttet uden tiltale, at sagen er sluttet ved tiltalefrafald, eller at der er afsagt frifindende dom i sagen i umiddelbar og naturlig sammenhæng med Spillemyndighedens offentliggørelse efter stk. 1, 2. pkt., det vil sige det sted på Spillemyndighedens hjemmeside, hvor Spillemyndigheden tidligere har offentliggjort beslutningen om at overgive sagen til politimæssig efterforskning. De supplerende oplysninger om påtaleopgivelse, tiltalefrafald eller frifindende dom skal fremgå tydeligt af Spillemyndighedens hjemmeside. </w:t>
      </w:r>
    </w:p>
    <w:p w14:paraId="3F009CB0" w14:textId="77777777" w:rsidR="001C7943" w:rsidRPr="00796736" w:rsidRDefault="001C7943" w:rsidP="00A802A5">
      <w:pPr>
        <w:spacing w:line="360" w:lineRule="auto"/>
        <w:rPr>
          <w:rFonts w:ascii="Times New Roman" w:eastAsia="Times New Roman" w:hAnsi="Times New Roman" w:cs="Times New Roman"/>
          <w:sz w:val="24"/>
          <w:szCs w:val="24"/>
        </w:rPr>
      </w:pPr>
    </w:p>
    <w:p w14:paraId="1587EBA0"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Offentliggørelse efter den foreslåede bestemmelse omfatter tillige tilfælde, hvor der er tale om en dom afsagt af en ankeinstans. </w:t>
      </w:r>
    </w:p>
    <w:p w14:paraId="1A670AE1" w14:textId="77777777" w:rsidR="001C7943" w:rsidRPr="00796736" w:rsidRDefault="001C7943" w:rsidP="00A802A5">
      <w:pPr>
        <w:spacing w:line="360" w:lineRule="auto"/>
        <w:rPr>
          <w:rFonts w:ascii="Times New Roman" w:eastAsia="Times New Roman" w:hAnsi="Times New Roman" w:cs="Times New Roman"/>
          <w:sz w:val="24"/>
          <w:szCs w:val="24"/>
        </w:rPr>
      </w:pPr>
    </w:p>
    <w:p w14:paraId="7E192497" w14:textId="49BB50C9"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Efter det foreslåede 3. pkt. skal det fremgå af offentliggørelsen, hvis påtaleopgivelsen, tiltalefrafaldet eller dommen ikke er endelig. </w:t>
      </w:r>
    </w:p>
    <w:p w14:paraId="259DA04E" w14:textId="77777777" w:rsidR="001C7943" w:rsidRPr="00796736" w:rsidRDefault="001C7943" w:rsidP="00A802A5">
      <w:pPr>
        <w:spacing w:line="360" w:lineRule="auto"/>
        <w:rPr>
          <w:rFonts w:ascii="Times New Roman" w:eastAsia="Times New Roman" w:hAnsi="Times New Roman" w:cs="Times New Roman"/>
          <w:sz w:val="24"/>
          <w:szCs w:val="24"/>
        </w:rPr>
      </w:pPr>
    </w:p>
    <w:p w14:paraId="2B1B9619"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En afgørelse om påtaleopgivelse eller tiltalefrafald er ikke endelig i de tilfælde, hvor afgørelsen om påtaleopgivelse eller tiltalefrafald er påklaget til den overordnede anklagemyndighed. En dom er ikke endelig i de tilfælde, hvor dommen er anket til en højere retsinstans. </w:t>
      </w:r>
    </w:p>
    <w:p w14:paraId="5C59F4AD" w14:textId="77777777" w:rsidR="001C7943" w:rsidRPr="00796736" w:rsidRDefault="001C7943" w:rsidP="00A802A5">
      <w:pPr>
        <w:spacing w:line="360" w:lineRule="auto"/>
        <w:rPr>
          <w:rFonts w:ascii="Times New Roman" w:eastAsia="Times New Roman" w:hAnsi="Times New Roman" w:cs="Times New Roman"/>
          <w:sz w:val="24"/>
          <w:szCs w:val="24"/>
        </w:rPr>
      </w:pPr>
    </w:p>
    <w:p w14:paraId="020C8883"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4. pkt., at modtager Spillemyndigheden dokumentation for, at sagen er afsluttet ved endelig påtaleopgivelse eller tiltalefrafald eller afsigelse af endelig frifindende dom, skal Spillemyndigheden fjerne alle oplysninger om beslutningen om at overgive sagen til politimæssig efterforskning og eventuelle efterfølgende domme i sagen fra Spillemyndighedens hjemmeside. </w:t>
      </w:r>
    </w:p>
    <w:p w14:paraId="637998BD" w14:textId="77777777" w:rsidR="001C7943" w:rsidRPr="00796736" w:rsidRDefault="001C7943" w:rsidP="00A802A5">
      <w:pPr>
        <w:spacing w:line="360" w:lineRule="auto"/>
        <w:rPr>
          <w:rFonts w:ascii="Times New Roman" w:eastAsia="Times New Roman" w:hAnsi="Times New Roman" w:cs="Times New Roman"/>
          <w:sz w:val="24"/>
          <w:szCs w:val="24"/>
        </w:rPr>
      </w:pPr>
    </w:p>
    <w:p w14:paraId="503E7252"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modtager ikke nødvendigvis oplysninger om og dokumentation for, at en sag overgivet til politimæssig efterforskning er afsluttet ved endelig påtaleopgivelse eller tiltalefrafald eller afsigelse af endelig frifindende dom. Spillemyndighedens forpligtelse til at fjerne oplysninger om en beslutning om at overgive en sag til politimæssig efterforskning vil derfor først indtræde i det tilfælde, hvor Spillemyndigheden modtager dokumentation herfor. </w:t>
      </w:r>
    </w:p>
    <w:p w14:paraId="6240FB23" w14:textId="77777777" w:rsidR="001C7943" w:rsidRPr="00796736" w:rsidRDefault="001C7943" w:rsidP="00A802A5">
      <w:pPr>
        <w:spacing w:line="360" w:lineRule="auto"/>
        <w:rPr>
          <w:rFonts w:ascii="Times New Roman" w:eastAsia="Times New Roman" w:hAnsi="Times New Roman" w:cs="Times New Roman"/>
          <w:sz w:val="24"/>
          <w:szCs w:val="24"/>
        </w:rPr>
      </w:pPr>
    </w:p>
    <w:p w14:paraId="150C7211"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er ikke afgørende, hvem der indsender eller overleverer en sådan dokumentation, og Spillemyndighedens forpligtelse til at slette oplysninger om overgivelse af en sag til politimæssig efterforskning vil således indtræde, uanset om den fornødne dokumentation modtages fra anklagemyndigheden, den pågældende fysiske eller juridiske person, som sagen vedrører, eller fra tredjemand.</w:t>
      </w:r>
    </w:p>
    <w:p w14:paraId="07225B86" w14:textId="77777777" w:rsidR="001C7943" w:rsidRPr="00796736" w:rsidRDefault="001C7943" w:rsidP="00A802A5">
      <w:pPr>
        <w:spacing w:line="360" w:lineRule="auto"/>
        <w:rPr>
          <w:rFonts w:ascii="Times New Roman" w:eastAsia="Times New Roman" w:hAnsi="Times New Roman" w:cs="Times New Roman"/>
          <w:sz w:val="24"/>
          <w:szCs w:val="24"/>
        </w:rPr>
      </w:pPr>
    </w:p>
    <w:p w14:paraId="69AB0D45" w14:textId="50786812"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En afgørelse om påtaleopgivelse eller tiltalefrafald er ikke endelig i de tilfælde, hvor afgørelsen om påtaleopgivelse eller tiltalefrafald er påklaget til den overordnede anklagemyndighed. En dom er ikke endelig i de tilfælde, hvor dommen er anket til en højere retsinstans. Fjernelse af offentliggørelsen af en beslutning om at overgive en sag til politimæssig efterforskning i tilfælde, hvor en sag er afsluttet ved påtaleopgivelse eller tiltalefrafald eller frifindende dom, vil således først ske efter udløbet af henholdsvis ankefristen eller fristen for at påklage påtaleopgivelsen eller tiltalefrafaldet, da afgørelsen skal være endelig.</w:t>
      </w:r>
    </w:p>
    <w:p w14:paraId="6D2C157D" w14:textId="77777777" w:rsidR="000078B1" w:rsidRPr="00796736" w:rsidRDefault="000078B1" w:rsidP="00A802A5">
      <w:pPr>
        <w:spacing w:line="360" w:lineRule="auto"/>
        <w:rPr>
          <w:rFonts w:ascii="Times New Roman" w:eastAsia="Times New Roman" w:hAnsi="Times New Roman" w:cs="Times New Roman"/>
          <w:sz w:val="24"/>
          <w:szCs w:val="24"/>
        </w:rPr>
      </w:pPr>
    </w:p>
    <w:p w14:paraId="7D173F0E" w14:textId="77777777" w:rsidR="000078B1" w:rsidRPr="00796736" w:rsidRDefault="000078B1" w:rsidP="00A802A5">
      <w:pPr>
        <w:spacing w:line="360" w:lineRule="auto"/>
        <w:ind w:firstLine="238"/>
        <w:jc w:val="center"/>
        <w:rPr>
          <w:rFonts w:ascii="Times New Roman" w:hAnsi="Times New Roman" w:cs="Times New Roman"/>
          <w:iCs/>
          <w:sz w:val="24"/>
          <w:szCs w:val="24"/>
        </w:rPr>
      </w:pPr>
    </w:p>
    <w:p w14:paraId="1A63801E" w14:textId="6C610B91" w:rsidR="006D455B" w:rsidRPr="00796736" w:rsidRDefault="000078B1" w:rsidP="00A802A5">
      <w:pPr>
        <w:pStyle w:val="Undertitel"/>
      </w:pPr>
      <w:bookmarkStart w:id="2217" w:name="_Toc232109441"/>
      <w:bookmarkStart w:id="2218" w:name="_Toc244879420"/>
      <w:bookmarkStart w:id="2219" w:name="_Toc244880945"/>
      <w:r w:rsidRPr="00796736">
        <w:t xml:space="preserve">Til </w:t>
      </w:r>
      <w:bookmarkEnd w:id="2217"/>
      <w:r w:rsidR="00B7511B" w:rsidRPr="00796736">
        <w:fldChar w:fldCharType="begin"/>
      </w:r>
      <w:r w:rsidR="00B7511B" w:rsidRPr="00796736">
        <w:instrText xml:space="preserve"> REF _Ref232609613 \r \h </w:instrText>
      </w:r>
      <w:r w:rsidR="00967618" w:rsidRPr="00796736">
        <w:instrText xml:space="preserve"> \* MERGEFORMAT </w:instrText>
      </w:r>
      <w:r w:rsidR="00B7511B" w:rsidRPr="00796736">
        <w:fldChar w:fldCharType="separate"/>
      </w:r>
      <w:r w:rsidR="008F29E5">
        <w:t>§ 124</w:t>
      </w:r>
      <w:bookmarkEnd w:id="2218"/>
      <w:bookmarkEnd w:id="2219"/>
      <w:r w:rsidR="00B7511B" w:rsidRPr="00796736">
        <w:fldChar w:fldCharType="end"/>
      </w:r>
    </w:p>
    <w:p w14:paraId="3F52967C" w14:textId="6C3263E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Hvidvasklovens § 69 fastlægger en tavshedspligt for Spillemyndighedens ansatte samt nærmere regler om, hvornår fortrolige oplysninger kan videregives. </w:t>
      </w:r>
    </w:p>
    <w:p w14:paraId="1293A8D2" w14:textId="77777777" w:rsidR="000078B1" w:rsidRPr="00796736" w:rsidRDefault="000078B1" w:rsidP="00A802A5">
      <w:pPr>
        <w:spacing w:line="360" w:lineRule="auto"/>
        <w:rPr>
          <w:rFonts w:ascii="Times New Roman" w:eastAsia="Times New Roman" w:hAnsi="Times New Roman" w:cs="Times New Roman"/>
          <w:sz w:val="24"/>
          <w:szCs w:val="24"/>
        </w:rPr>
      </w:pPr>
    </w:p>
    <w:p w14:paraId="45C02BAC" w14:textId="0C04549A" w:rsidR="000078B1" w:rsidRPr="00796736" w:rsidRDefault="000078B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w:t>
      </w:r>
      <w:r w:rsidR="006A019B" w:rsidRPr="00796736">
        <w:rPr>
          <w:rFonts w:ascii="Times New Roman" w:hAnsi="Times New Roman" w:cs="Times New Roman"/>
          <w:sz w:val="24"/>
          <w:szCs w:val="24"/>
        </w:rPr>
        <w:fldChar w:fldCharType="begin"/>
      </w:r>
      <w:r w:rsidR="006A019B" w:rsidRPr="00796736">
        <w:rPr>
          <w:rFonts w:ascii="Times New Roman" w:hAnsi="Times New Roman" w:cs="Times New Roman"/>
          <w:sz w:val="24"/>
          <w:szCs w:val="24"/>
        </w:rPr>
        <w:instrText xml:space="preserve"> REF _Ref232609613 \r \h </w:instrText>
      </w:r>
      <w:r w:rsidR="00967618" w:rsidRPr="00796736">
        <w:rPr>
          <w:rFonts w:ascii="Times New Roman" w:hAnsi="Times New Roman" w:cs="Times New Roman"/>
          <w:sz w:val="24"/>
          <w:szCs w:val="24"/>
        </w:rPr>
        <w:instrText xml:space="preserve"> \* MERGEFORMAT </w:instrText>
      </w:r>
      <w:r w:rsidR="006A019B" w:rsidRPr="00796736">
        <w:rPr>
          <w:rFonts w:ascii="Times New Roman" w:hAnsi="Times New Roman" w:cs="Times New Roman"/>
          <w:sz w:val="24"/>
          <w:szCs w:val="24"/>
        </w:rPr>
      </w:r>
      <w:r w:rsidR="006A019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124</w:t>
      </w:r>
      <w:r w:rsidR="006A019B" w:rsidRPr="00796736">
        <w:rPr>
          <w:rFonts w:ascii="Times New Roman" w:hAnsi="Times New Roman" w:cs="Times New Roman"/>
          <w:sz w:val="24"/>
          <w:szCs w:val="24"/>
        </w:rPr>
        <w:fldChar w:fldCharType="end"/>
      </w:r>
      <w:r w:rsidR="006A019B"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indeholder regler om tavshedspligt og videregivelse af fortrolige oplysninger. </w:t>
      </w:r>
      <w:r w:rsidR="00980C7C" w:rsidRPr="00796736">
        <w:rPr>
          <w:rFonts w:ascii="Times New Roman" w:eastAsia="Times New Roman" w:hAnsi="Times New Roman" w:cs="Times New Roman"/>
          <w:sz w:val="24"/>
          <w:szCs w:val="24"/>
        </w:rPr>
        <w:t>Bestemmelsen viderefører hvidvasklovens § 69 med visse indholdsmæssige ændringer.</w:t>
      </w:r>
    </w:p>
    <w:p w14:paraId="785845D7" w14:textId="77777777" w:rsidR="000078B1" w:rsidRPr="00796736" w:rsidRDefault="000078B1" w:rsidP="00A802A5">
      <w:pPr>
        <w:spacing w:line="360" w:lineRule="auto"/>
        <w:rPr>
          <w:rFonts w:ascii="Times New Roman" w:eastAsia="Times New Roman" w:hAnsi="Times New Roman" w:cs="Times New Roman"/>
          <w:sz w:val="24"/>
          <w:szCs w:val="24"/>
        </w:rPr>
      </w:pPr>
    </w:p>
    <w:p w14:paraId="1292A177"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 viderefører hvidvasklovens § 69 med visse indholdsmæssige ændringer, således at der kan deles fortrolige oplysninger med en udvidet kreds, herunder med AMLA.</w:t>
      </w:r>
    </w:p>
    <w:p w14:paraId="1E491D03" w14:textId="77777777" w:rsidR="001C7943" w:rsidRPr="00796736" w:rsidRDefault="001C7943" w:rsidP="00A802A5">
      <w:pPr>
        <w:spacing w:line="360" w:lineRule="auto"/>
        <w:rPr>
          <w:rFonts w:ascii="Times New Roman" w:eastAsia="Times New Roman" w:hAnsi="Times New Roman" w:cs="Times New Roman"/>
          <w:sz w:val="24"/>
          <w:szCs w:val="24"/>
        </w:rPr>
      </w:pPr>
    </w:p>
    <w:p w14:paraId="75EABA34"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Bestemmelsen implementerer artikel 44, 1. pkt., artikel 51, stk. 1, artikel 65, stk. 1, artikel 66, stk. 1, artikel 67, stk. 1 og 2, og artikel 68 i 6. hvidvaskdirektiv. </w:t>
      </w:r>
    </w:p>
    <w:p w14:paraId="48F64CFC" w14:textId="77777777" w:rsidR="001C7943" w:rsidRPr="00796736" w:rsidRDefault="001C7943" w:rsidP="00A802A5">
      <w:pPr>
        <w:spacing w:line="360" w:lineRule="auto"/>
        <w:rPr>
          <w:rFonts w:ascii="Times New Roman" w:eastAsia="Times New Roman" w:hAnsi="Times New Roman" w:cs="Times New Roman"/>
          <w:sz w:val="24"/>
          <w:szCs w:val="24"/>
        </w:rPr>
      </w:pPr>
    </w:p>
    <w:p w14:paraId="2BF42F32" w14:textId="140D600A"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00980C7C" w:rsidRPr="00796736">
        <w:rPr>
          <w:rFonts w:ascii="Times New Roman" w:eastAsia="Times New Roman" w:hAnsi="Times New Roman" w:cs="Times New Roman"/>
          <w:i/>
          <w:iCs/>
          <w:color w:val="000000" w:themeColor="text1"/>
          <w:sz w:val="24"/>
          <w:szCs w:val="24"/>
        </w:rPr>
        <w:t xml:space="preserve"> </w:t>
      </w:r>
      <w:r w:rsidR="00980C7C" w:rsidRPr="00796736">
        <w:rPr>
          <w:rFonts w:ascii="Times New Roman" w:eastAsia="Times New Roman" w:hAnsi="Times New Roman" w:cs="Times New Roman"/>
          <w:i/>
          <w:iCs/>
          <w:color w:val="000000" w:themeColor="text1"/>
          <w:sz w:val="24"/>
          <w:szCs w:val="24"/>
        </w:rPr>
        <w:fldChar w:fldCharType="begin"/>
      </w:r>
      <w:r w:rsidR="00980C7C" w:rsidRPr="00796736">
        <w:rPr>
          <w:rFonts w:ascii="Times New Roman" w:eastAsia="Times New Roman" w:hAnsi="Times New Roman" w:cs="Times New Roman"/>
          <w:i/>
          <w:iCs/>
          <w:color w:val="000000" w:themeColor="text1"/>
          <w:sz w:val="24"/>
          <w:szCs w:val="24"/>
        </w:rPr>
        <w:instrText xml:space="preserve"> REF _Ref232609613 \r \h  \* MERGEFORMAT </w:instrText>
      </w:r>
      <w:r w:rsidR="00980C7C" w:rsidRPr="00796736">
        <w:rPr>
          <w:rFonts w:ascii="Times New Roman" w:eastAsia="Times New Roman" w:hAnsi="Times New Roman" w:cs="Times New Roman"/>
          <w:i/>
          <w:iCs/>
          <w:color w:val="000000" w:themeColor="text1"/>
          <w:sz w:val="24"/>
          <w:szCs w:val="24"/>
        </w:rPr>
      </w:r>
      <w:r w:rsidR="00980C7C" w:rsidRPr="00796736">
        <w:rPr>
          <w:rFonts w:ascii="Times New Roman" w:eastAsia="Times New Roman" w:hAnsi="Times New Roman" w:cs="Times New Roman"/>
          <w:i/>
          <w:iCs/>
          <w:color w:val="000000" w:themeColor="text1"/>
          <w:sz w:val="24"/>
          <w:szCs w:val="24"/>
        </w:rPr>
        <w:fldChar w:fldCharType="separate"/>
      </w:r>
      <w:r w:rsidR="008F29E5">
        <w:rPr>
          <w:rFonts w:ascii="Times New Roman" w:eastAsia="Times New Roman" w:hAnsi="Times New Roman" w:cs="Times New Roman"/>
          <w:i/>
          <w:iCs/>
          <w:color w:val="000000" w:themeColor="text1"/>
          <w:sz w:val="24"/>
          <w:szCs w:val="24"/>
        </w:rPr>
        <w:t>§ 124</w:t>
      </w:r>
      <w:r w:rsidR="00980C7C" w:rsidRPr="00796736">
        <w:rPr>
          <w:rFonts w:ascii="Times New Roman" w:eastAsia="Times New Roman" w:hAnsi="Times New Roman" w:cs="Times New Roman"/>
          <w:i/>
          <w:iCs/>
          <w:color w:val="000000" w:themeColor="text1"/>
          <w:sz w:val="24"/>
          <w:szCs w:val="24"/>
        </w:rPr>
        <w:fldChar w:fldCharType="end"/>
      </w:r>
      <w:r w:rsidR="00980C7C" w:rsidRPr="00796736">
        <w:rPr>
          <w:rFonts w:ascii="Times New Roman" w:eastAsia="Times New Roman" w:hAnsi="Times New Roman" w:cs="Times New Roman"/>
          <w:color w:val="000000" w:themeColor="text1"/>
          <w:sz w:val="24"/>
          <w:szCs w:val="24"/>
        </w:rPr>
        <w:t>,</w:t>
      </w:r>
      <w:r w:rsidRPr="00796736">
        <w:rPr>
          <w:rFonts w:ascii="Times New Roman" w:eastAsia="Times New Roman" w:hAnsi="Times New Roman" w:cs="Times New Roman"/>
          <w:i/>
          <w:iCs/>
          <w:color w:val="000000" w:themeColor="text1"/>
          <w:sz w:val="24"/>
          <w:szCs w:val="24"/>
        </w:rPr>
        <w:t xml:space="preserve"> stk. 1,</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at Spillemyndighedens ansatte under ansvar efter </w:t>
      </w:r>
      <w:hyperlink r:id="rId28">
        <w:r w:rsidRPr="00796736">
          <w:rPr>
            <w:rStyle w:val="Hyperlink"/>
            <w:rFonts w:ascii="Times New Roman" w:eastAsia="Times New Roman" w:hAnsi="Times New Roman" w:cs="Times New Roman"/>
            <w:color w:val="auto"/>
            <w:sz w:val="24"/>
            <w:szCs w:val="24"/>
            <w:u w:val="none"/>
          </w:rPr>
          <w:t>straffelovens §§ 152</w:t>
        </w:r>
      </w:hyperlink>
      <w:r w:rsidRPr="00796736">
        <w:rPr>
          <w:rFonts w:ascii="Times New Roman" w:eastAsia="Times New Roman" w:hAnsi="Times New Roman" w:cs="Times New Roman"/>
          <w:sz w:val="24"/>
          <w:szCs w:val="24"/>
        </w:rPr>
        <w:t>-</w:t>
      </w:r>
      <w:hyperlink r:id="rId29">
        <w:r w:rsidRPr="00796736">
          <w:rPr>
            <w:rStyle w:val="Hyperlink"/>
            <w:rFonts w:ascii="Times New Roman" w:eastAsia="Times New Roman" w:hAnsi="Times New Roman" w:cs="Times New Roman"/>
            <w:color w:val="auto"/>
            <w:sz w:val="24"/>
            <w:szCs w:val="24"/>
            <w:u w:val="none"/>
          </w:rPr>
          <w:t>152 e</w:t>
        </w:r>
      </w:hyperlink>
      <w:r w:rsidRPr="00796736">
        <w:rPr>
          <w:rFonts w:ascii="Times New Roman" w:eastAsia="Times New Roman" w:hAnsi="Times New Roman" w:cs="Times New Roman"/>
          <w:sz w:val="24"/>
          <w:szCs w:val="24"/>
        </w:rPr>
        <w:t> </w:t>
      </w:r>
      <w:r w:rsidR="005D6D6F" w:rsidRPr="00796736">
        <w:rPr>
          <w:rFonts w:ascii="Times New Roman" w:eastAsia="Times New Roman" w:hAnsi="Times New Roman" w:cs="Times New Roman"/>
          <w:sz w:val="24"/>
          <w:szCs w:val="24"/>
        </w:rPr>
        <w:t xml:space="preserve">er </w:t>
      </w:r>
      <w:r w:rsidRPr="00796736">
        <w:rPr>
          <w:rFonts w:ascii="Times New Roman" w:eastAsia="Times New Roman" w:hAnsi="Times New Roman" w:cs="Times New Roman"/>
          <w:sz w:val="24"/>
          <w:szCs w:val="24"/>
        </w:rPr>
        <w:t>forpligtet til at hemmeligholde fortrolige oplysninger, som de får kendskab til gennem tilsynsvirksomheden</w:t>
      </w:r>
      <w:r w:rsidR="00980C7C" w:rsidRPr="00796736">
        <w:rPr>
          <w:rFonts w:ascii="Times New Roman" w:eastAsia="Times New Roman" w:hAnsi="Times New Roman" w:cs="Times New Roman"/>
          <w:sz w:val="24"/>
          <w:szCs w:val="24"/>
        </w:rPr>
        <w:t>, jf. dog stk. 2</w:t>
      </w:r>
      <w:r w:rsidRPr="00796736">
        <w:rPr>
          <w:rFonts w:ascii="Times New Roman" w:eastAsia="Times New Roman" w:hAnsi="Times New Roman" w:cs="Times New Roman"/>
          <w:sz w:val="24"/>
          <w:szCs w:val="24"/>
        </w:rPr>
        <w:t>. Det samme gælder personer, der udfører serviceopgaver som led i myndighedens drift, og eksperter, der handler på myndighedens vegne. Dette gælder også efter ansættelses- eller kontraktforholdets ophør</w:t>
      </w:r>
      <w:r w:rsidRPr="00796736">
        <w:rPr>
          <w:rFonts w:ascii="Times New Roman" w:eastAsia="Times New Roman" w:hAnsi="Times New Roman" w:cs="Times New Roman"/>
          <w:color w:val="000000" w:themeColor="text1"/>
          <w:sz w:val="24"/>
          <w:szCs w:val="24"/>
        </w:rPr>
        <w:t>.</w:t>
      </w:r>
    </w:p>
    <w:p w14:paraId="36F96230" w14:textId="77777777" w:rsidR="001C7943" w:rsidRPr="00796736" w:rsidRDefault="001C7943" w:rsidP="00A802A5">
      <w:pPr>
        <w:spacing w:line="360" w:lineRule="auto"/>
        <w:rPr>
          <w:rFonts w:ascii="Times New Roman" w:eastAsia="Times New Roman" w:hAnsi="Times New Roman" w:cs="Times New Roman"/>
          <w:sz w:val="24"/>
          <w:szCs w:val="24"/>
        </w:rPr>
      </w:pPr>
    </w:p>
    <w:p w14:paraId="51C36E39"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Med personer, der udfører serviceopgaver, menes f.eks. rengøring, vagttjeneste, reparation og vedligeholdelse af elektronisk materiel og kantinedrift. Dette gælder også efter ansættelses- eller kontraktforholdets ophør. Tavshedspligten omhandler udelukkende fortrolige oplysninger samt oplysninger, som Spillemyndigheden har modtaget i forbindelse med sin tilsynsvirksomhed. Tavshedspligten omfatter også oplysninger, som Spillemyndigheden modtager fra udenlandske myndigheder. </w:t>
      </w:r>
    </w:p>
    <w:p w14:paraId="27B9B681" w14:textId="77777777" w:rsidR="000078B1" w:rsidRPr="00796736" w:rsidRDefault="000078B1" w:rsidP="00A802A5">
      <w:pPr>
        <w:spacing w:line="360" w:lineRule="auto"/>
        <w:rPr>
          <w:rFonts w:ascii="Times New Roman" w:eastAsia="Times New Roman" w:hAnsi="Times New Roman" w:cs="Times New Roman"/>
          <w:sz w:val="24"/>
          <w:szCs w:val="24"/>
        </w:rPr>
      </w:pPr>
    </w:p>
    <w:p w14:paraId="1A9B4B22" w14:textId="77777777" w:rsidR="000078B1" w:rsidRPr="00796736" w:rsidRDefault="000078B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Ved fortrolige oplysninger forstås oplysninger om virksomheders forretningsmæssige forhold og personlige forhold samt andre oplysninger, som efter deres karakter er fortrolige. Ved oplysninger, der efter deres karakter er fortrolige, forstås oplysninger, der direkte relaterer sig til enkelte kunders eller virksomheders forhold. Oplysninger, som efter deres karakter er offentlige, f.eks. regnskaber og selskabsmeddelelser, er ikke omfattet af tavshedspligten. Tilsvarende gælder oprindeligt fortrolige oplysninger, som er blevet offentliggjort ad andre kanaler og derved er blevet almindeligt kendte. Det forudsættes i den forbindelse, at offentliggørelsen er sket på lovlig vis. </w:t>
      </w:r>
    </w:p>
    <w:p w14:paraId="529E20C8" w14:textId="77777777" w:rsidR="000078B1" w:rsidRPr="00796736" w:rsidRDefault="000078B1" w:rsidP="00A802A5">
      <w:pPr>
        <w:spacing w:line="360" w:lineRule="auto"/>
        <w:rPr>
          <w:rFonts w:ascii="Times New Roman" w:eastAsia="Times New Roman" w:hAnsi="Times New Roman" w:cs="Times New Roman"/>
          <w:sz w:val="24"/>
          <w:szCs w:val="24"/>
        </w:rPr>
      </w:pPr>
    </w:p>
    <w:p w14:paraId="175C72CC" w14:textId="77777777" w:rsidR="000078B1" w:rsidRDefault="000078B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skærpede tavshedspligt indebærer, at det er strafbart for tilsynets medarbejdere at videregive fortrolige oplysninger om tilsynsarbejdet. I medfør af reglerne i offentlighedslovens § 35 er der ikke adgang til aktindsigt i tilsynssager, idet retten til aktindsigt er begrænset af særlige tavshedspligtbestemmelser i særlovgivningen. Bestemmelsen indebærer, at oplysninger i et dokument, der er omfattet af en særlig tavshedspligt, kan undtages fra aktindsigt. </w:t>
      </w:r>
    </w:p>
    <w:p w14:paraId="794D6863" w14:textId="77777777" w:rsidR="007B7BA4" w:rsidRDefault="007B7BA4" w:rsidP="00A802A5">
      <w:pPr>
        <w:spacing w:line="360" w:lineRule="auto"/>
        <w:rPr>
          <w:rFonts w:ascii="Times New Roman" w:eastAsia="Times New Roman" w:hAnsi="Times New Roman" w:cs="Times New Roman"/>
          <w:sz w:val="24"/>
          <w:szCs w:val="24"/>
        </w:rPr>
      </w:pPr>
    </w:p>
    <w:p w14:paraId="22442F9B" w14:textId="49B8C482" w:rsidR="007B7BA4" w:rsidRPr="00D500FD" w:rsidRDefault="007B7BA4" w:rsidP="00A802A5">
      <w:pPr>
        <w:spacing w:line="360" w:lineRule="auto"/>
        <w:rPr>
          <w:rFonts w:ascii="Times New Roman" w:hAnsi="Times New Roman" w:cs="Times New Roman"/>
          <w:sz w:val="24"/>
          <w:szCs w:val="24"/>
        </w:rPr>
      </w:pPr>
      <w:r w:rsidRPr="00D500FD">
        <w:rPr>
          <w:rFonts w:ascii="Times New Roman" w:hAnsi="Times New Roman" w:cs="Times New Roman"/>
          <w:sz w:val="24"/>
          <w:szCs w:val="24"/>
        </w:rPr>
        <w:t xml:space="preserve">Det er dog udelukkende adgangen til aktindsigt efter offentlighedsloven, der er begrænset. Parters rettigheder, herunder adgang til aktindsigt, skal afgøres efter forvaltningsloven. Afgørelse af, hvem der er part i forhold til </w:t>
      </w:r>
      <w:r>
        <w:rPr>
          <w:rFonts w:ascii="Times New Roman" w:hAnsi="Times New Roman" w:cs="Times New Roman"/>
          <w:sz w:val="24"/>
          <w:szCs w:val="24"/>
        </w:rPr>
        <w:t>Spillemyndigheden</w:t>
      </w:r>
      <w:r w:rsidRPr="00D500FD">
        <w:rPr>
          <w:rFonts w:ascii="Times New Roman" w:hAnsi="Times New Roman" w:cs="Times New Roman"/>
          <w:sz w:val="24"/>
          <w:szCs w:val="24"/>
        </w:rPr>
        <w:t xml:space="preserve">, træffes efter forslagets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_Ref232609879 \r \h </w:instrText>
      </w:r>
      <w:r w:rsidR="00CB248D">
        <w:rPr>
          <w:rFonts w:ascii="Times New Roman" w:hAnsi="Times New Roman" w:cs="Times New Roman"/>
          <w:sz w:val="24"/>
          <w:szCs w:val="24"/>
        </w:rPr>
        <w:instrText xml:space="preserve">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8F29E5">
        <w:rPr>
          <w:rFonts w:ascii="Times New Roman" w:hAnsi="Times New Roman" w:cs="Times New Roman"/>
          <w:sz w:val="24"/>
          <w:szCs w:val="24"/>
        </w:rPr>
        <w:t>§ 131</w:t>
      </w:r>
      <w:r>
        <w:rPr>
          <w:rFonts w:ascii="Times New Roman" w:hAnsi="Times New Roman" w:cs="Times New Roman"/>
          <w:sz w:val="24"/>
          <w:szCs w:val="24"/>
        </w:rPr>
        <w:fldChar w:fldCharType="end"/>
      </w:r>
      <w:r w:rsidRPr="00D500FD">
        <w:rPr>
          <w:rFonts w:ascii="Times New Roman" w:hAnsi="Times New Roman" w:cs="Times New Roman"/>
          <w:sz w:val="24"/>
          <w:szCs w:val="24"/>
        </w:rPr>
        <w:t>.</w:t>
      </w:r>
    </w:p>
    <w:p w14:paraId="2CE32487" w14:textId="77777777" w:rsidR="007B7BA4" w:rsidRDefault="007B7BA4" w:rsidP="00A802A5">
      <w:pPr>
        <w:spacing w:line="360" w:lineRule="auto"/>
        <w:rPr>
          <w:rFonts w:ascii="Times New Roman" w:eastAsia="Times New Roman" w:hAnsi="Times New Roman" w:cs="Times New Roman"/>
          <w:sz w:val="24"/>
          <w:szCs w:val="24"/>
        </w:rPr>
      </w:pPr>
    </w:p>
    <w:p w14:paraId="20FD1301" w14:textId="77777777" w:rsidR="007B7BA4" w:rsidRPr="00D500FD" w:rsidRDefault="007B7BA4" w:rsidP="00A802A5">
      <w:pPr>
        <w:spacing w:line="360" w:lineRule="auto"/>
        <w:rPr>
          <w:rFonts w:ascii="Times New Roman" w:eastAsia="Times New Roman" w:hAnsi="Times New Roman" w:cs="Times New Roman"/>
          <w:sz w:val="24"/>
          <w:szCs w:val="24"/>
        </w:rPr>
      </w:pPr>
      <w:r w:rsidRPr="00DA76F4">
        <w:rPr>
          <w:rFonts w:ascii="Times New Roman" w:eastAsia="Times New Roman" w:hAnsi="Times New Roman" w:cs="Times New Roman"/>
          <w:sz w:val="24"/>
          <w:szCs w:val="24"/>
        </w:rPr>
        <w:t xml:space="preserve">Bestemmelsen vil indebære, at pligten til at meddele oplysninger efter bestemmelsen begrænses af særlige bestemmelser om tavshedspligt fastsat ved lov eller med hjemmel i lov for personer, der virker i offentlig tjeneste eller hverv, jf. § 35 i offentlighedsloven. Behandling af sådanne sager vil således skulle ske under iagttagelse af de regler om tavshedspligt, der gælder for </w:t>
      </w:r>
      <w:r>
        <w:rPr>
          <w:rFonts w:ascii="Times New Roman" w:eastAsia="Times New Roman" w:hAnsi="Times New Roman" w:cs="Times New Roman"/>
          <w:sz w:val="24"/>
          <w:szCs w:val="24"/>
        </w:rPr>
        <w:t>Spillemyndigheden</w:t>
      </w:r>
      <w:r w:rsidRPr="00DA76F4">
        <w:rPr>
          <w:rFonts w:ascii="Times New Roman" w:eastAsia="Times New Roman" w:hAnsi="Times New Roman" w:cs="Times New Roman"/>
          <w:sz w:val="24"/>
          <w:szCs w:val="24"/>
        </w:rPr>
        <w:t>. Se nærmere herom i de almindelige bemærkninger pkt. 4.2.</w:t>
      </w:r>
    </w:p>
    <w:p w14:paraId="3E723924" w14:textId="77777777" w:rsidR="007B7BA4" w:rsidRPr="00796736" w:rsidRDefault="007B7BA4" w:rsidP="00A802A5">
      <w:pPr>
        <w:spacing w:line="360" w:lineRule="auto"/>
        <w:rPr>
          <w:rFonts w:ascii="Times New Roman" w:eastAsia="Times New Roman" w:hAnsi="Times New Roman" w:cs="Times New Roman"/>
          <w:sz w:val="24"/>
          <w:szCs w:val="24"/>
        </w:rPr>
      </w:pPr>
    </w:p>
    <w:p w14:paraId="50ACC34A" w14:textId="77777777" w:rsidR="000078B1" w:rsidRPr="00796736" w:rsidRDefault="000078B1" w:rsidP="00A802A5">
      <w:pPr>
        <w:spacing w:line="360" w:lineRule="auto"/>
        <w:rPr>
          <w:rFonts w:ascii="Times New Roman" w:eastAsia="Times New Roman" w:hAnsi="Times New Roman" w:cs="Times New Roman"/>
          <w:sz w:val="24"/>
          <w:szCs w:val="24"/>
        </w:rPr>
      </w:pPr>
    </w:p>
    <w:p w14:paraId="6E5C641A" w14:textId="77777777"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2, </w:t>
      </w:r>
      <w:r w:rsidRPr="00796736">
        <w:rPr>
          <w:rFonts w:ascii="Times New Roman" w:eastAsia="Times New Roman" w:hAnsi="Times New Roman" w:cs="Times New Roman"/>
          <w:sz w:val="24"/>
          <w:szCs w:val="24"/>
        </w:rPr>
        <w:t>at samtykke fra den, som tavshedspligten tilsigter at beskytte, ikke berettiger personer som nævnt i stk. 1 til at videregive fortrolige oplysninger</w:t>
      </w:r>
      <w:r w:rsidRPr="00796736">
        <w:rPr>
          <w:rFonts w:ascii="Times New Roman" w:eastAsia="Times New Roman" w:hAnsi="Times New Roman" w:cs="Times New Roman"/>
          <w:color w:val="000000" w:themeColor="text1"/>
          <w:sz w:val="24"/>
          <w:szCs w:val="24"/>
        </w:rPr>
        <w:t>.</w:t>
      </w:r>
    </w:p>
    <w:p w14:paraId="69793107" w14:textId="77777777" w:rsidR="001C7943" w:rsidRPr="00796736" w:rsidRDefault="001C7943" w:rsidP="00A802A5">
      <w:pPr>
        <w:spacing w:line="360" w:lineRule="auto"/>
        <w:rPr>
          <w:rFonts w:ascii="Times New Roman" w:eastAsia="Times New Roman" w:hAnsi="Times New Roman" w:cs="Times New Roman"/>
          <w:sz w:val="24"/>
          <w:szCs w:val="24"/>
        </w:rPr>
      </w:pPr>
    </w:p>
    <w:p w14:paraId="695AD5D9"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Spillemyndighedens tavshedspligt er i høj grad baseret på et ønske om at beskytte udbydere af spils kunder. Hertil kommer et ønske om af konkurrencemæssige grunde at beskytte virksomheders og personers forretningsmæssige forhold. </w:t>
      </w:r>
    </w:p>
    <w:p w14:paraId="0E9F3643" w14:textId="77777777" w:rsidR="000078B1" w:rsidRPr="00796736" w:rsidRDefault="000078B1" w:rsidP="00A802A5">
      <w:pPr>
        <w:spacing w:line="360" w:lineRule="auto"/>
        <w:rPr>
          <w:rFonts w:ascii="Times New Roman" w:eastAsia="Times New Roman" w:hAnsi="Times New Roman" w:cs="Times New Roman"/>
          <w:sz w:val="24"/>
          <w:szCs w:val="24"/>
        </w:rPr>
      </w:pPr>
    </w:p>
    <w:p w14:paraId="0A66444C" w14:textId="5922CC8B" w:rsidR="001D7672" w:rsidRPr="00796736" w:rsidRDefault="000078B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Spillemyndighedens tavshedspligt er en afgørende betingelse for den tilsynsmæssige effektivitet. For at tilsynet kan få alle nødvendige oplysninger i en given sag må </w:t>
      </w:r>
      <w:r w:rsidR="005D6D6F" w:rsidRPr="00796736">
        <w:rPr>
          <w:rFonts w:ascii="Times New Roman" w:eastAsia="Times New Roman" w:hAnsi="Times New Roman" w:cs="Times New Roman"/>
          <w:sz w:val="24"/>
          <w:szCs w:val="24"/>
        </w:rPr>
        <w:t>virksomheder og personer, herunder udbydere af spil</w:t>
      </w:r>
      <w:r w:rsidRPr="00796736">
        <w:rPr>
          <w:rFonts w:ascii="Times New Roman" w:eastAsia="Times New Roman" w:hAnsi="Times New Roman" w:cs="Times New Roman"/>
          <w:sz w:val="24"/>
          <w:szCs w:val="24"/>
        </w:rPr>
        <w:t xml:space="preserve"> og disses kunder</w:t>
      </w:r>
      <w:r w:rsidR="00980C7C" w:rsidRPr="00796736">
        <w:rPr>
          <w:rFonts w:ascii="Times New Roman" w:eastAsia="Times New Roman" w:hAnsi="Times New Roman" w:cs="Times New Roman"/>
          <w:sz w:val="24"/>
          <w:szCs w:val="24"/>
        </w:rPr>
        <w:t>,</w:t>
      </w:r>
      <w:r w:rsidRPr="00796736">
        <w:rPr>
          <w:rFonts w:ascii="Times New Roman" w:eastAsia="Times New Roman" w:hAnsi="Times New Roman" w:cs="Times New Roman"/>
          <w:sz w:val="24"/>
          <w:szCs w:val="24"/>
        </w:rPr>
        <w:t xml:space="preserve"> kunne nære tillid til, at tilsynet ikke videregiver fortrolige oplysninger. Da de fortrolige oplysninger i langt overvejende grad hidrører fra udbydere af spil, vil det være mest korrekt og sikrest, at det er den pågældende udbyder selv, der meddeler oplysningerne til tredjemand. Oplysninger om udbydernes kunder kan kun videregives med disses samtykke.</w:t>
      </w:r>
    </w:p>
    <w:p w14:paraId="6BECB1DE" w14:textId="77777777" w:rsidR="001D7672" w:rsidRPr="00796736" w:rsidRDefault="001D7672" w:rsidP="00A802A5">
      <w:pPr>
        <w:spacing w:line="360" w:lineRule="auto"/>
        <w:rPr>
          <w:rFonts w:ascii="Times New Roman" w:eastAsia="Times New Roman" w:hAnsi="Times New Roman" w:cs="Times New Roman"/>
          <w:sz w:val="24"/>
          <w:szCs w:val="24"/>
        </w:rPr>
      </w:pPr>
    </w:p>
    <w:p w14:paraId="01E6E630" w14:textId="77777777" w:rsidR="001D7672" w:rsidRPr="00796736" w:rsidRDefault="001D7672" w:rsidP="00A802A5">
      <w:pPr>
        <w:spacing w:line="360" w:lineRule="auto"/>
        <w:rPr>
          <w:rFonts w:ascii="Times New Roman" w:hAnsi="Times New Roman" w:cs="Times New Roman"/>
          <w:sz w:val="24"/>
          <w:szCs w:val="24"/>
          <w:lang w:eastAsia="da-DK"/>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stk. 3</w:t>
      </w:r>
      <w:r w:rsidRPr="00796736">
        <w:rPr>
          <w:rFonts w:ascii="Times New Roman" w:eastAsia="Times New Roman" w:hAnsi="Times New Roman" w:cs="Times New Roman"/>
          <w:sz w:val="24"/>
          <w:szCs w:val="24"/>
        </w:rPr>
        <w:t>, at st</w:t>
      </w:r>
      <w:r w:rsidRPr="00796736">
        <w:rPr>
          <w:rFonts w:ascii="Times New Roman" w:hAnsi="Times New Roman" w:cs="Times New Roman"/>
          <w:sz w:val="24"/>
          <w:szCs w:val="24"/>
          <w:lang w:eastAsia="da-DK"/>
        </w:rPr>
        <w:t>k. 1 ikke er til hinder for, at Spillemyndigheden videregiver fortrolige oplysninger i summarisk eller sammenfattende form, når hverken den enkelte virksomhed eller dens kunder kan identificeres.</w:t>
      </w:r>
    </w:p>
    <w:p w14:paraId="1219765D" w14:textId="77777777" w:rsidR="001D7672" w:rsidRPr="00796736" w:rsidRDefault="001D7672" w:rsidP="00A802A5">
      <w:pPr>
        <w:spacing w:line="360" w:lineRule="auto"/>
        <w:rPr>
          <w:rFonts w:ascii="Times New Roman" w:hAnsi="Times New Roman" w:cs="Times New Roman"/>
          <w:sz w:val="24"/>
          <w:szCs w:val="24"/>
        </w:rPr>
      </w:pPr>
    </w:p>
    <w:p w14:paraId="19D00C5F" w14:textId="07BA8AB1" w:rsidR="001C7943" w:rsidRPr="00796736" w:rsidRDefault="001C794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indebære, at oplysninger, der er omfattet af tavshedspligten i stk. 1, kan videregives af Spillemyndigheden, hvis det ikke er muligt at identificere enkeltvirksomheder eller enkeltkunder blandt oplysningerne. Det afgørende for muligheden for videregivelse efter den foreslåede bestemmelse vil være, at der er foretaget en fuldstændig anonymisering. Det vil således ikke være tilstrækkeligt at fjerne eller overstrege navne m.v., hvis det er muligt ud fra f.eks. oplysningernes kontekst at identificere den pågældende virksomhed eller kunde. </w:t>
      </w:r>
    </w:p>
    <w:p w14:paraId="5D7765EA" w14:textId="77777777" w:rsidR="001C7943" w:rsidRPr="00796736" w:rsidRDefault="001C7943" w:rsidP="00A802A5">
      <w:pPr>
        <w:spacing w:line="360" w:lineRule="auto"/>
        <w:rPr>
          <w:rFonts w:ascii="Times New Roman" w:eastAsia="Times New Roman" w:hAnsi="Times New Roman" w:cs="Times New Roman"/>
          <w:sz w:val="24"/>
          <w:szCs w:val="24"/>
        </w:rPr>
      </w:pPr>
    </w:p>
    <w:p w14:paraId="51B5D246"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 xml:space="preserve">Det foreslås i </w:t>
      </w:r>
      <w:r w:rsidRPr="00796736">
        <w:rPr>
          <w:rFonts w:ascii="Times New Roman" w:eastAsia="Times New Roman" w:hAnsi="Times New Roman" w:cs="Times New Roman"/>
          <w:i/>
          <w:iCs/>
          <w:color w:val="000000" w:themeColor="text1"/>
          <w:sz w:val="24"/>
          <w:szCs w:val="24"/>
        </w:rPr>
        <w:t>stk. 4,</w:t>
      </w:r>
      <w:r w:rsidRPr="00796736">
        <w:rPr>
          <w:rFonts w:ascii="Times New Roman" w:eastAsia="Times New Roman" w:hAnsi="Times New Roman" w:cs="Times New Roman"/>
          <w:color w:val="000000" w:themeColor="text1"/>
          <w:sz w:val="24"/>
          <w:szCs w:val="24"/>
        </w:rPr>
        <w:t xml:space="preserve"> at s</w:t>
      </w:r>
      <w:r w:rsidRPr="00796736">
        <w:rPr>
          <w:rFonts w:ascii="Times New Roman" w:eastAsia="Times New Roman" w:hAnsi="Times New Roman" w:cs="Times New Roman"/>
          <w:sz w:val="24"/>
          <w:szCs w:val="24"/>
        </w:rPr>
        <w:t>tk. 1 ikke er til hinder for, at fortrolige oplysninger videregives til:</w:t>
      </w:r>
    </w:p>
    <w:p w14:paraId="4750B786"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 Tilsynsmyndigheder i henhold til denne lov.</w:t>
      </w:r>
    </w:p>
    <w:p w14:paraId="24724DBB" w14:textId="479CD515" w:rsidR="005108A4"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2) Medlemmer af Hvidvaskforum, jf.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_Ref232620750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129</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w:t>
      </w:r>
    </w:p>
    <w:p w14:paraId="56480CFA" w14:textId="62B8B3D0" w:rsidR="005108A4" w:rsidRPr="00796736" w:rsidRDefault="005108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Hvidvasksekretariatet. </w:t>
      </w:r>
    </w:p>
    <w:p w14:paraId="4486E086" w14:textId="685F00A1" w:rsidR="005108A4" w:rsidRPr="00796736" w:rsidRDefault="005108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80C7C" w:rsidRPr="00796736">
        <w:rPr>
          <w:rFonts w:ascii="Times New Roman" w:eastAsia="Times New Roman" w:hAnsi="Times New Roman" w:cs="Times New Roman"/>
          <w:sz w:val="24"/>
          <w:szCs w:val="24"/>
        </w:rPr>
        <w:t>) Andre offentlige myndigheder, anklagemyndigheden og politiet, i forbindelse med efterforskning og retsforfølgning af mulige strafbare forhold omfattet af straffeloven, hvidvaskforordningen, denne lov eller regler udstedt i medfør heraf, eller anden tilsynslovgivning.</w:t>
      </w:r>
    </w:p>
    <w:p w14:paraId="34265652" w14:textId="0F45E020" w:rsidR="00980C7C" w:rsidRPr="00796736" w:rsidRDefault="005108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980C7C" w:rsidRPr="00796736">
        <w:rPr>
          <w:rFonts w:ascii="Times New Roman" w:eastAsia="Times New Roman" w:hAnsi="Times New Roman" w:cs="Times New Roman"/>
          <w:sz w:val="24"/>
          <w:szCs w:val="24"/>
        </w:rPr>
        <w:t>) Told- og skatteforvaltningen, når videregivelse sker til brug for told- og skatteforvaltningens undersøgelse af mulige overtrædelser af skatte- og afgiftslovgivningen.</w:t>
      </w:r>
    </w:p>
    <w:p w14:paraId="3DCA5770" w14:textId="3C1B6A49" w:rsidR="00980C7C" w:rsidRPr="00796736" w:rsidRDefault="005108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980C7C" w:rsidRPr="00796736">
        <w:rPr>
          <w:rFonts w:ascii="Times New Roman" w:eastAsia="Times New Roman" w:hAnsi="Times New Roman" w:cs="Times New Roman"/>
          <w:sz w:val="24"/>
          <w:szCs w:val="24"/>
        </w:rPr>
        <w:t>) Vedkommende minister som led i dennes overordnede tilsyn.</w:t>
      </w:r>
    </w:p>
    <w:p w14:paraId="168940C0" w14:textId="7C27BDC2" w:rsidR="00980C7C" w:rsidRPr="00796736" w:rsidRDefault="005108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980C7C" w:rsidRPr="00796736">
        <w:rPr>
          <w:rFonts w:ascii="Times New Roman" w:eastAsia="Times New Roman" w:hAnsi="Times New Roman" w:cs="Times New Roman"/>
          <w:sz w:val="24"/>
          <w:szCs w:val="24"/>
        </w:rPr>
        <w:t>) Administrative myndigheder og domstole, som behandler afgørelser, der er truffet af spillemyndigheden.</w:t>
      </w:r>
    </w:p>
    <w:p w14:paraId="2A85D028" w14:textId="0D7603DA" w:rsidR="00980C7C" w:rsidRPr="00796736" w:rsidRDefault="005108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980C7C" w:rsidRPr="00796736">
        <w:rPr>
          <w:rFonts w:ascii="Times New Roman" w:eastAsia="Times New Roman" w:hAnsi="Times New Roman" w:cs="Times New Roman"/>
          <w:sz w:val="24"/>
          <w:szCs w:val="24"/>
        </w:rPr>
        <w:t>) Folketingets Ombudsmand.</w:t>
      </w:r>
    </w:p>
    <w:p w14:paraId="6A8F502B" w14:textId="259A777A" w:rsidR="00980C7C" w:rsidRPr="00796736" w:rsidRDefault="005108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80C7C" w:rsidRPr="00796736">
        <w:rPr>
          <w:rFonts w:ascii="Times New Roman" w:eastAsia="Times New Roman" w:hAnsi="Times New Roman" w:cs="Times New Roman"/>
          <w:sz w:val="24"/>
          <w:szCs w:val="24"/>
        </w:rPr>
        <w:t>) En parlamentarisk kommission nedsat af Folketinget.</w:t>
      </w:r>
    </w:p>
    <w:p w14:paraId="17035FF5" w14:textId="5D9583EA" w:rsidR="00980C7C" w:rsidRPr="00796736" w:rsidRDefault="005108A4" w:rsidP="00A802A5">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980C7C" w:rsidRPr="00796736">
        <w:rPr>
          <w:rFonts w:ascii="Times New Roman" w:eastAsia="Times New Roman" w:hAnsi="Times New Roman" w:cs="Times New Roman"/>
          <w:sz w:val="24"/>
          <w:szCs w:val="24"/>
        </w:rPr>
        <w:t xml:space="preserve">) </w:t>
      </w:r>
      <w:r w:rsidR="007B7BA4" w:rsidRPr="00D500FD">
        <w:rPr>
          <w:rFonts w:ascii="Times New Roman" w:eastAsia="Times New Roman" w:hAnsi="Times New Roman" w:cs="Times New Roman"/>
          <w:sz w:val="24"/>
          <w:szCs w:val="24"/>
        </w:rPr>
        <w:t xml:space="preserve">Undersøgelseskommissioner </w:t>
      </w:r>
      <w:r w:rsidR="007B7BA4">
        <w:rPr>
          <w:rFonts w:ascii="Times New Roman" w:eastAsia="Times New Roman" w:hAnsi="Times New Roman" w:cs="Times New Roman"/>
          <w:sz w:val="24"/>
          <w:szCs w:val="24"/>
        </w:rPr>
        <w:t xml:space="preserve">og granskningskommissioner </w:t>
      </w:r>
      <w:r w:rsidR="007B7BA4" w:rsidRPr="00D500FD">
        <w:rPr>
          <w:rFonts w:ascii="Times New Roman" w:eastAsia="Times New Roman" w:hAnsi="Times New Roman" w:cs="Times New Roman"/>
          <w:sz w:val="24"/>
          <w:szCs w:val="24"/>
        </w:rPr>
        <w:t>nedsat ved lov eller i henhold til lov om undersøgelseskommissioner og granskningskommissioner.</w:t>
      </w:r>
    </w:p>
    <w:p w14:paraId="778507C7" w14:textId="3532080D"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1</w:t>
      </w:r>
      <w:r w:rsidRPr="00796736">
        <w:rPr>
          <w:rFonts w:ascii="Times New Roman" w:eastAsia="Times New Roman" w:hAnsi="Times New Roman" w:cs="Times New Roman"/>
          <w:sz w:val="24"/>
          <w:szCs w:val="24"/>
        </w:rPr>
        <w:t>) Statsrevisorerne og Rigsrevisionen.</w:t>
      </w:r>
    </w:p>
    <w:p w14:paraId="45884BF6" w14:textId="4D5F90F8"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2</w:t>
      </w:r>
      <w:r w:rsidRPr="00796736">
        <w:rPr>
          <w:rFonts w:ascii="Times New Roman" w:eastAsia="Times New Roman" w:hAnsi="Times New Roman" w:cs="Times New Roman"/>
          <w:sz w:val="24"/>
          <w:szCs w:val="24"/>
        </w:rPr>
        <w:t>) Skifteretten, andre myndigheder, der medvirker ved en af denne lovs omfattede virksomheds likvidation, konkursbehandling eller lignede procedurer, kurator og personer, der er ansvarlige for den lovpligtige revision af en udbyder af spil, under forudsætning af at modtagerne af oplysningerne har behov herfor til varetagelse af deres opgaver.</w:t>
      </w:r>
    </w:p>
    <w:p w14:paraId="18D70126" w14:textId="24EF5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3</w:t>
      </w:r>
      <w:r w:rsidRPr="00796736">
        <w:rPr>
          <w:rFonts w:ascii="Times New Roman" w:eastAsia="Times New Roman" w:hAnsi="Times New Roman" w:cs="Times New Roman"/>
          <w:sz w:val="24"/>
          <w:szCs w:val="24"/>
        </w:rPr>
        <w:t>) Udvalg og grupper m.v. nedsat af erhvervs- og konkurrencekraftsministeren eller skatte- og vækstministeren, der har til formål at drøfte og koordinere indsatsen til forebyggelse af hvidvask og finansiering af terrorisme.</w:t>
      </w:r>
    </w:p>
    <w:p w14:paraId="0B53CE0C" w14:textId="1CF9C15F"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4</w:t>
      </w:r>
      <w:r w:rsidRPr="00796736">
        <w:rPr>
          <w:rFonts w:ascii="Times New Roman" w:eastAsia="Times New Roman" w:hAnsi="Times New Roman" w:cs="Times New Roman"/>
          <w:sz w:val="24"/>
          <w:szCs w:val="24"/>
        </w:rPr>
        <w:t>) Færøske og grønlandske tilsynsmyndigheder på området for forebyggelse af hvidvask og finansiering af terrorisme, under forudsætning af, at disse er underlagt en lovbestemt tavshedspligt, der mindst svarer til tavshedspligten i medfør af stk. 1, og at modtagerne har behov for oplysningerne til varetagelse af deres opgaver.</w:t>
      </w:r>
    </w:p>
    <w:p w14:paraId="29146187" w14:textId="3EF30458"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5</w:t>
      </w:r>
      <w:r w:rsidRPr="00796736">
        <w:rPr>
          <w:rFonts w:ascii="Times New Roman" w:eastAsia="Times New Roman" w:hAnsi="Times New Roman" w:cs="Times New Roman"/>
          <w:sz w:val="24"/>
          <w:szCs w:val="24"/>
        </w:rPr>
        <w:t xml:space="preserve">) Tilsynsmyndigheder i andre EU- eller EØS-lande, der har ansvaret for tilsyn med de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1, omfattede virksomheders og personers overholdelse af lovgivning om forebyggende foranstaltninger mod hvidvask og finansiering af terrorisme og forordninger indeholdende regler om finansielle sanktioner mod lande, personer, grupper, juridiske enheder eller organer, under forudsætning af at modtagerne af oplysninger har et væsentligt behov herfor til varetagelsen af deres opgaver.</w:t>
      </w:r>
    </w:p>
    <w:p w14:paraId="0DEE303E" w14:textId="72BDDD50"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6</w:t>
      </w:r>
      <w:r w:rsidRPr="00796736">
        <w:rPr>
          <w:rFonts w:ascii="Times New Roman" w:eastAsia="Times New Roman" w:hAnsi="Times New Roman" w:cs="Times New Roman"/>
          <w:sz w:val="24"/>
          <w:szCs w:val="24"/>
        </w:rPr>
        <w:t>) Myndigheden for bekæmpelse af hvidvask af penge og finansiering af terrorisme (herefter AMLA).</w:t>
      </w:r>
    </w:p>
    <w:p w14:paraId="05BD76D8" w14:textId="4E8CF51B"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7</w:t>
      </w:r>
      <w:r w:rsidRPr="00796736">
        <w:rPr>
          <w:rFonts w:ascii="Times New Roman" w:eastAsia="Times New Roman" w:hAnsi="Times New Roman" w:cs="Times New Roman"/>
          <w:sz w:val="24"/>
          <w:szCs w:val="24"/>
        </w:rPr>
        <w:t xml:space="preserve">) Midlertidige undersøgelsesudvalg nedsat af Europa-Parlamentet.  </w:t>
      </w:r>
    </w:p>
    <w:p w14:paraId="5084F869" w14:textId="21497BF0"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8</w:t>
      </w:r>
      <w:r w:rsidRPr="00796736">
        <w:rPr>
          <w:rFonts w:ascii="Times New Roman" w:eastAsia="Times New Roman" w:hAnsi="Times New Roman" w:cs="Times New Roman"/>
          <w:sz w:val="24"/>
          <w:szCs w:val="24"/>
        </w:rPr>
        <w:t xml:space="preserve">) Tilsynsmyndigheder i lande uden for EU eller EØS, der har ansvaret for tilsyn med de i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_Ref239189479 \r \h </w:instrText>
      </w:r>
      <w:r w:rsidR="007F4BB9"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112</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1, omfattede virksomheders og personers overholdelse af lovgivning om forebyggende foranstaltninger mod hvidvask og finansiering af terrorisme.</w:t>
      </w:r>
    </w:p>
    <w:p w14:paraId="183AB9FA" w14:textId="77777777" w:rsidR="00980C7C" w:rsidRPr="00796736" w:rsidRDefault="00980C7C" w:rsidP="00A802A5">
      <w:pPr>
        <w:spacing w:line="360" w:lineRule="auto"/>
        <w:rPr>
          <w:rFonts w:ascii="Times New Roman" w:hAnsi="Times New Roman" w:cs="Times New Roman"/>
          <w:sz w:val="24"/>
          <w:szCs w:val="24"/>
        </w:rPr>
      </w:pPr>
    </w:p>
    <w:p w14:paraId="1FFD5987"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iCs/>
          <w:sz w:val="24"/>
          <w:szCs w:val="24"/>
        </w:rPr>
        <w:t>Der er tale om myndigheder, som har et væsentligt behov for at modtage disse oplysninger til varetagelse af myndighedens opgaver.</w:t>
      </w:r>
    </w:p>
    <w:p w14:paraId="6EC1D3FA" w14:textId="77777777" w:rsidR="001C7943" w:rsidRPr="00796736" w:rsidRDefault="001C7943" w:rsidP="00A802A5">
      <w:pPr>
        <w:spacing w:line="360" w:lineRule="auto"/>
        <w:rPr>
          <w:rFonts w:ascii="Times New Roman" w:eastAsia="Times New Roman" w:hAnsi="Times New Roman" w:cs="Times New Roman"/>
          <w:sz w:val="24"/>
          <w:szCs w:val="24"/>
        </w:rPr>
      </w:pPr>
    </w:p>
    <w:p w14:paraId="0CD2BBE4" w14:textId="77777777" w:rsidR="005108A4" w:rsidRPr="00796736" w:rsidRDefault="005108A4" w:rsidP="005108A4">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Bestemmelsen er opbygget på den måde, at fortrolige oplysninger, der kan videregives til danske myndigheder m.fl., opregnes i nr. 1-1</w:t>
      </w:r>
      <w:r>
        <w:rPr>
          <w:rFonts w:ascii="Times New Roman" w:eastAsia="Times New Roman" w:hAnsi="Times New Roman" w:cs="Times New Roman"/>
          <w:sz w:val="24"/>
          <w:szCs w:val="24"/>
        </w:rPr>
        <w:t>3</w:t>
      </w:r>
      <w:r w:rsidRPr="00796736">
        <w:rPr>
          <w:rFonts w:ascii="Times New Roman" w:eastAsia="Times New Roman" w:hAnsi="Times New Roman" w:cs="Times New Roman"/>
          <w:sz w:val="24"/>
          <w:szCs w:val="24"/>
        </w:rPr>
        <w:t>. Fortrolige oplysninger, der kan videregives til færøske og grønlandske tilsynsmyndigheder, fremgår af nr. 1</w:t>
      </w:r>
      <w:r>
        <w:rPr>
          <w:rFonts w:ascii="Times New Roman" w:eastAsia="Times New Roman" w:hAnsi="Times New Roman" w:cs="Times New Roman"/>
          <w:sz w:val="24"/>
          <w:szCs w:val="24"/>
        </w:rPr>
        <w:t>4</w:t>
      </w:r>
      <w:r w:rsidRPr="00796736">
        <w:rPr>
          <w:rFonts w:ascii="Times New Roman" w:eastAsia="Times New Roman" w:hAnsi="Times New Roman" w:cs="Times New Roman"/>
          <w:sz w:val="24"/>
          <w:szCs w:val="24"/>
        </w:rPr>
        <w:t>. Fortrolige oplysninger, der kan videregives til myndigheder m.v. inden for EU- og EØS-lande, opregnes i nr. 1</w:t>
      </w:r>
      <w:r>
        <w:rPr>
          <w:rFonts w:ascii="Times New Roman" w:eastAsia="Times New Roman" w:hAnsi="Times New Roman" w:cs="Times New Roman"/>
          <w:sz w:val="24"/>
          <w:szCs w:val="24"/>
        </w:rPr>
        <w:t>5</w:t>
      </w:r>
      <w:r w:rsidRPr="00796736">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796736">
        <w:rPr>
          <w:rFonts w:ascii="Times New Roman" w:eastAsia="Times New Roman" w:hAnsi="Times New Roman" w:cs="Times New Roman"/>
          <w:sz w:val="24"/>
          <w:szCs w:val="24"/>
        </w:rPr>
        <w:t>, og i nr. 1</w:t>
      </w:r>
      <w:r>
        <w:rPr>
          <w:rFonts w:ascii="Times New Roman" w:eastAsia="Times New Roman" w:hAnsi="Times New Roman" w:cs="Times New Roman"/>
          <w:sz w:val="24"/>
          <w:szCs w:val="24"/>
        </w:rPr>
        <w:t>8</w:t>
      </w:r>
      <w:r w:rsidRPr="00796736">
        <w:rPr>
          <w:rFonts w:ascii="Times New Roman" w:eastAsia="Times New Roman" w:hAnsi="Times New Roman" w:cs="Times New Roman"/>
          <w:sz w:val="24"/>
          <w:szCs w:val="24"/>
        </w:rPr>
        <w:t xml:space="preserve"> opregnes myndigheder i lande uden for EU- og EØS-lande (tredjelande). </w:t>
      </w:r>
    </w:p>
    <w:p w14:paraId="0BC923B8" w14:textId="77777777" w:rsidR="001D7672" w:rsidRPr="00796736" w:rsidRDefault="001D7672" w:rsidP="00A802A5">
      <w:pPr>
        <w:spacing w:line="360" w:lineRule="auto"/>
        <w:rPr>
          <w:rFonts w:ascii="Times New Roman" w:eastAsia="Times New Roman" w:hAnsi="Times New Roman" w:cs="Times New Roman"/>
          <w:sz w:val="24"/>
          <w:szCs w:val="24"/>
        </w:rPr>
      </w:pPr>
    </w:p>
    <w:p w14:paraId="3BCEB98B" w14:textId="77777777" w:rsidR="001D7672" w:rsidRPr="00796736" w:rsidRDefault="001D7672"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Spillemyndigheden deltager i forskellige samarbejdsfora, f.eks. Operativt Dansk Informations- og efterretnings Netværk (ODIN), hvor retsplejelovens regler om tavshedspligt finder anvendelse. </w:t>
      </w:r>
    </w:p>
    <w:p w14:paraId="55B68BE2" w14:textId="201E4A8C" w:rsidR="001D7672" w:rsidRPr="00796736" w:rsidRDefault="001D7672"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Hjemlen til videregivelse af fortrolige oplysninger til AMLA omfatter både AMLA’s generelle opgaver, såsom udarbejdelse af risikovurderinger, modtagelse af indberetninger og udarbejdelse af tekniske standarder, samt AMLA’s tilsyn med udvalgte virksomheder. Spillemyndigheden kan således videregive fortrolige oplysninger til AMLA, når dette er nødvendigt for varetagelsen af både generelle og koordinerende opgaver samt i forbindelse med tilsyn med virksomheder</w:t>
      </w:r>
      <w:r w:rsidR="005D6D6F" w:rsidRPr="00796736">
        <w:rPr>
          <w:rFonts w:ascii="Times New Roman" w:hAnsi="Times New Roman" w:cs="Times New Roman"/>
          <w:sz w:val="24"/>
          <w:szCs w:val="24"/>
        </w:rPr>
        <w:t xml:space="preserve"> og personer</w:t>
      </w:r>
      <w:r w:rsidRPr="00796736">
        <w:rPr>
          <w:rFonts w:ascii="Times New Roman" w:hAnsi="Times New Roman" w:cs="Times New Roman"/>
          <w:sz w:val="24"/>
          <w:szCs w:val="24"/>
        </w:rPr>
        <w:t>.</w:t>
      </w:r>
    </w:p>
    <w:p w14:paraId="67AF085B" w14:textId="77777777" w:rsidR="000078B1" w:rsidRPr="00796736" w:rsidRDefault="000078B1" w:rsidP="00A802A5">
      <w:pPr>
        <w:spacing w:line="360" w:lineRule="auto"/>
        <w:rPr>
          <w:rFonts w:ascii="Times New Roman" w:eastAsia="Times New Roman" w:hAnsi="Times New Roman" w:cs="Times New Roman"/>
          <w:sz w:val="24"/>
          <w:szCs w:val="24"/>
        </w:rPr>
      </w:pPr>
    </w:p>
    <w:p w14:paraId="40E0856B" w14:textId="77777777" w:rsidR="000078B1" w:rsidRPr="00796736" w:rsidRDefault="000078B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bemærkes, at oplysninger til udenlandske myndigheder kun må videregives, når dette er absolut nødvendigt, og kun til den eller de relevante personer, som har brug for at modtage oplysningerne. </w:t>
      </w:r>
    </w:p>
    <w:p w14:paraId="006B251A" w14:textId="77777777" w:rsidR="000078B1" w:rsidRPr="00796736" w:rsidRDefault="000078B1" w:rsidP="00A802A5">
      <w:pPr>
        <w:spacing w:line="360" w:lineRule="auto"/>
        <w:rPr>
          <w:rFonts w:ascii="Times New Roman" w:eastAsia="Times New Roman" w:hAnsi="Times New Roman" w:cs="Times New Roman"/>
          <w:sz w:val="24"/>
          <w:szCs w:val="24"/>
        </w:rPr>
      </w:pPr>
    </w:p>
    <w:p w14:paraId="297B1802" w14:textId="5E486CA4" w:rsidR="000078B1" w:rsidRPr="00796736" w:rsidRDefault="000078B1"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Videregivelse efter </w:t>
      </w:r>
      <w:r w:rsidR="006A019B" w:rsidRPr="00796736">
        <w:rPr>
          <w:rFonts w:ascii="Times New Roman" w:hAnsi="Times New Roman" w:cs="Times New Roman"/>
          <w:sz w:val="24"/>
          <w:szCs w:val="24"/>
        </w:rPr>
        <w:fldChar w:fldCharType="begin"/>
      </w:r>
      <w:r w:rsidR="006A019B" w:rsidRPr="00796736">
        <w:rPr>
          <w:rFonts w:ascii="Times New Roman" w:hAnsi="Times New Roman" w:cs="Times New Roman"/>
          <w:sz w:val="24"/>
          <w:szCs w:val="24"/>
        </w:rPr>
        <w:instrText xml:space="preserve"> REF _Ref232609613 \r \h </w:instrText>
      </w:r>
      <w:r w:rsidR="00967618" w:rsidRPr="00796736">
        <w:rPr>
          <w:rFonts w:ascii="Times New Roman" w:hAnsi="Times New Roman" w:cs="Times New Roman"/>
          <w:sz w:val="24"/>
          <w:szCs w:val="24"/>
        </w:rPr>
        <w:instrText xml:space="preserve"> \* MERGEFORMAT </w:instrText>
      </w:r>
      <w:r w:rsidR="006A019B" w:rsidRPr="00796736">
        <w:rPr>
          <w:rFonts w:ascii="Times New Roman" w:hAnsi="Times New Roman" w:cs="Times New Roman"/>
          <w:sz w:val="24"/>
          <w:szCs w:val="24"/>
        </w:rPr>
      </w:r>
      <w:r w:rsidR="006A019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124</w:t>
      </w:r>
      <w:r w:rsidR="006A019B" w:rsidRPr="00796736">
        <w:rPr>
          <w:rFonts w:ascii="Times New Roman" w:hAnsi="Times New Roman" w:cs="Times New Roman"/>
          <w:sz w:val="24"/>
          <w:szCs w:val="24"/>
        </w:rPr>
        <w:fldChar w:fldCharType="end"/>
      </w:r>
      <w:r w:rsidR="006A019B"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rPr>
        <w:t xml:space="preserve">kan kun ske i overensstemmelse med reglerne i databeskyttelseslovgivningen. </w:t>
      </w:r>
    </w:p>
    <w:p w14:paraId="7254DC17" w14:textId="77777777" w:rsidR="000078B1" w:rsidRPr="00796736" w:rsidRDefault="000078B1" w:rsidP="00A802A5">
      <w:pPr>
        <w:spacing w:line="360" w:lineRule="auto"/>
        <w:rPr>
          <w:rFonts w:ascii="Times New Roman" w:eastAsia="Times New Roman" w:hAnsi="Times New Roman" w:cs="Times New Roman"/>
          <w:sz w:val="24"/>
          <w:szCs w:val="24"/>
        </w:rPr>
      </w:pPr>
    </w:p>
    <w:p w14:paraId="2CC5D273" w14:textId="06A2C333"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5,</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at videregivelse i henhold til stk. 4, nr. 1</w:t>
      </w:r>
      <w:r w:rsidR="005108A4">
        <w:rPr>
          <w:rFonts w:ascii="Times New Roman" w:eastAsia="Times New Roman" w:hAnsi="Times New Roman" w:cs="Times New Roman"/>
          <w:sz w:val="24"/>
          <w:szCs w:val="24"/>
        </w:rPr>
        <w:t>8</w:t>
      </w:r>
      <w:r w:rsidRPr="00796736">
        <w:rPr>
          <w:rFonts w:ascii="Times New Roman" w:eastAsia="Times New Roman" w:hAnsi="Times New Roman" w:cs="Times New Roman"/>
          <w:sz w:val="24"/>
          <w:szCs w:val="24"/>
        </w:rPr>
        <w:t>, alene kan ske på baggrund af en international samarbejdsaftale og under forudsætning af at modtagerne mindst er underlagt en lovbestemt tavshedspligt, der svarer til tavshedspligten i medfør af stk. 1, og har et væsentligt behov for oplysningerne til varetagelse af deres opgaver.</w:t>
      </w:r>
    </w:p>
    <w:p w14:paraId="7439C179" w14:textId="77777777" w:rsidR="00EA5BF5" w:rsidRPr="00796736" w:rsidRDefault="00EA5BF5" w:rsidP="00A802A5">
      <w:pPr>
        <w:spacing w:line="360" w:lineRule="auto"/>
        <w:rPr>
          <w:rFonts w:ascii="Times New Roman" w:eastAsia="Times New Roman" w:hAnsi="Times New Roman" w:cs="Times New Roman"/>
          <w:sz w:val="24"/>
          <w:szCs w:val="24"/>
        </w:rPr>
      </w:pPr>
    </w:p>
    <w:p w14:paraId="76D6C9FD" w14:textId="13EE4706" w:rsidR="00EA5BF5" w:rsidRPr="00796736" w:rsidRDefault="00EA5BF5" w:rsidP="00A802A5">
      <w:pPr>
        <w:spacing w:after="240" w:line="360" w:lineRule="auto"/>
        <w:rPr>
          <w:rFonts w:ascii="Times New Roman" w:hAnsi="Times New Roman" w:cs="Times New Roman"/>
          <w:iCs/>
          <w:sz w:val="24"/>
          <w:szCs w:val="24"/>
        </w:rPr>
      </w:pPr>
      <w:r w:rsidRPr="00796736">
        <w:rPr>
          <w:rFonts w:ascii="Times New Roman" w:hAnsi="Times New Roman" w:cs="Times New Roman"/>
          <w:sz w:val="24"/>
          <w:szCs w:val="24"/>
        </w:rPr>
        <w:t xml:space="preserve">Bestemmelsen har til formål at sikre, at fortrolige oplysninger kun videregives til udenlandske myndigheder, når der er etableret et formelt grundlag for samarbejdet, og når der er tilstrækkelige garantier for, at oplysningerne behandles fortroligt og kun anvendes til det formål, de er videregivet til. Kravet om en international samarbejdsaftale skal sikre, at der er klare rammer for udvekslingen af oplysninger, herunder bestemmelser om tavshedspligt og anvendelse af oplysningerne. </w:t>
      </w:r>
      <w:r w:rsidRPr="00796736">
        <w:rPr>
          <w:rFonts w:ascii="Times New Roman" w:hAnsi="Times New Roman" w:cs="Times New Roman"/>
          <w:iCs/>
          <w:sz w:val="24"/>
          <w:szCs w:val="24"/>
        </w:rPr>
        <w:t>Samarbejdsaftalen skal herudover overholde gældende databeskyttelsesregler.</w:t>
      </w:r>
    </w:p>
    <w:p w14:paraId="4E44D3E5" w14:textId="77777777" w:rsidR="001C7943" w:rsidRPr="00796736" w:rsidRDefault="001C7943" w:rsidP="00A802A5">
      <w:pPr>
        <w:spacing w:line="360" w:lineRule="auto"/>
        <w:rPr>
          <w:rFonts w:ascii="Times New Roman" w:eastAsia="Times New Roman" w:hAnsi="Times New Roman" w:cs="Times New Roman"/>
          <w:sz w:val="24"/>
          <w:szCs w:val="24"/>
        </w:rPr>
      </w:pPr>
    </w:p>
    <w:p w14:paraId="4181E609" w14:textId="77A961ED"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 forudsætter, at modtageren af oplysninger efter stk. 4, nr. 1</w:t>
      </w:r>
      <w:r w:rsidR="005108A4">
        <w:rPr>
          <w:rFonts w:ascii="Times New Roman" w:eastAsia="Times New Roman" w:hAnsi="Times New Roman" w:cs="Times New Roman"/>
          <w:sz w:val="24"/>
          <w:szCs w:val="24"/>
        </w:rPr>
        <w:t>8</w:t>
      </w:r>
      <w:r w:rsidRPr="00796736">
        <w:rPr>
          <w:rFonts w:ascii="Times New Roman" w:eastAsia="Times New Roman" w:hAnsi="Times New Roman" w:cs="Times New Roman"/>
          <w:sz w:val="24"/>
          <w:szCs w:val="24"/>
        </w:rPr>
        <w:t>, er underlagt en tavshedspligt, der mindst svarer til den, der gælder for tilsynsmyndighederne i landene inden</w:t>
      </w:r>
      <w:r w:rsidR="00980C7C" w:rsidRPr="00796736">
        <w:rPr>
          <w:rFonts w:ascii="Times New Roman" w:eastAsia="Times New Roman" w:hAnsi="Times New Roman" w:cs="Times New Roman"/>
          <w:sz w:val="24"/>
          <w:szCs w:val="24"/>
        </w:rPr>
        <w:t xml:space="preserve"> for</w:t>
      </w:r>
      <w:r w:rsidRPr="00796736">
        <w:rPr>
          <w:rFonts w:ascii="Times New Roman" w:eastAsia="Times New Roman" w:hAnsi="Times New Roman" w:cs="Times New Roman"/>
          <w:sz w:val="24"/>
          <w:szCs w:val="24"/>
        </w:rPr>
        <w:t xml:space="preserve"> EU eller EØS. </w:t>
      </w:r>
    </w:p>
    <w:p w14:paraId="51870DEC" w14:textId="77777777" w:rsidR="00EA5BF5" w:rsidRPr="00796736" w:rsidRDefault="00EA5BF5" w:rsidP="00A802A5">
      <w:pPr>
        <w:spacing w:line="360" w:lineRule="auto"/>
        <w:rPr>
          <w:rFonts w:ascii="Times New Roman" w:eastAsia="Times New Roman" w:hAnsi="Times New Roman" w:cs="Times New Roman"/>
          <w:sz w:val="24"/>
          <w:szCs w:val="24"/>
        </w:rPr>
      </w:pPr>
    </w:p>
    <w:p w14:paraId="2F62CC0D" w14:textId="64DBAEC9" w:rsidR="001C7943" w:rsidRPr="00796736" w:rsidRDefault="00EA5B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Dette skal sikre, at fortrolige oplysninger ikke kommer til uvedkommendes kendskab eller anvendes til andre formål end de, der er relevante for modtagerens tilsynsopgaver. Endvidere skal modtageren have et væsentligt behov for oplysningerne, hvilket indebærer, at videregivelse kun kan ske, hvis oplysningerne er nødvendige for, at modtageren kan varetage sine lovbestemte opgaver.</w:t>
      </w:r>
    </w:p>
    <w:p w14:paraId="7C3ACDF5" w14:textId="77777777" w:rsidR="001C7943"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AMLA udarbejder senest den 10. juli 2029 udkast til gennemførelsesmæssige tekniske standarder og forelægger dem for Kommissionen med henblik på vedtagelse. Disse udkast til gennemførelsesmæssige tekniske standarder skal præcisere den model, der skal anvendes til indgåelse af samarbejdsaftaler </w:t>
      </w:r>
      <w:r w:rsidRPr="00796736">
        <w:rPr>
          <w:rFonts w:ascii="Times New Roman" w:hAnsi="Times New Roman" w:cs="Times New Roman"/>
          <w:sz w:val="24"/>
          <w:szCs w:val="24"/>
        </w:rPr>
        <w:t>som omhandlet i artikel 51, stk. 1, i 6. hvidvaskdirektiv</w:t>
      </w:r>
      <w:r w:rsidRPr="00796736">
        <w:rPr>
          <w:rFonts w:ascii="Times New Roman" w:hAnsi="Times New Roman" w:cs="Times New Roman"/>
          <w:iCs/>
          <w:sz w:val="24"/>
          <w:szCs w:val="24"/>
        </w:rPr>
        <w:t>.</w:t>
      </w:r>
    </w:p>
    <w:p w14:paraId="76FC3BE4" w14:textId="35E98B06"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 xml:space="preserve">Det foreslås </w:t>
      </w:r>
      <w:r w:rsidRPr="00796736">
        <w:rPr>
          <w:rFonts w:ascii="Times New Roman" w:eastAsia="Times New Roman" w:hAnsi="Times New Roman" w:cs="Times New Roman"/>
          <w:i/>
          <w:iCs/>
          <w:color w:val="000000" w:themeColor="text1"/>
          <w:sz w:val="24"/>
          <w:szCs w:val="24"/>
        </w:rPr>
        <w:t>i stk. 6,</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at alle, der i henhold til stk. 4, nr. 1-1</w:t>
      </w:r>
      <w:r w:rsidR="005108A4">
        <w:rPr>
          <w:rFonts w:ascii="Times New Roman" w:eastAsia="Times New Roman" w:hAnsi="Times New Roman" w:cs="Times New Roman"/>
          <w:sz w:val="24"/>
          <w:szCs w:val="24"/>
        </w:rPr>
        <w:t>4</w:t>
      </w:r>
      <w:r w:rsidRPr="00796736">
        <w:rPr>
          <w:rFonts w:ascii="Times New Roman" w:eastAsia="Times New Roman" w:hAnsi="Times New Roman" w:cs="Times New Roman"/>
          <w:sz w:val="24"/>
          <w:szCs w:val="24"/>
        </w:rPr>
        <w:t>, modtager fortrolige oplysninger fra Spillemyndigheden, er med hensyn til disse oplysninger undergivet den i stk. 1 omhandlede tavshedspligt.</w:t>
      </w:r>
    </w:p>
    <w:p w14:paraId="3C6C4CE5" w14:textId="77777777" w:rsidR="001C7943" w:rsidRPr="00796736" w:rsidRDefault="001C7943" w:rsidP="00A802A5">
      <w:pPr>
        <w:spacing w:line="360" w:lineRule="auto"/>
        <w:rPr>
          <w:rFonts w:ascii="Times New Roman" w:eastAsia="Times New Roman" w:hAnsi="Times New Roman" w:cs="Times New Roman"/>
          <w:sz w:val="24"/>
          <w:szCs w:val="24"/>
        </w:rPr>
      </w:pPr>
    </w:p>
    <w:p w14:paraId="45929ED3" w14:textId="63F5AB58" w:rsidR="001C7943" w:rsidRPr="00796736" w:rsidRDefault="001C7943"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Den foreslåede bestemmelse</w:t>
      </w:r>
      <w:r w:rsidR="00980C7C" w:rsidRPr="00796736">
        <w:rPr>
          <w:rFonts w:ascii="Times New Roman" w:hAnsi="Times New Roman" w:cs="Times New Roman"/>
          <w:iCs/>
          <w:sz w:val="24"/>
          <w:szCs w:val="24"/>
        </w:rPr>
        <w:t xml:space="preserve"> vil</w:t>
      </w:r>
      <w:r w:rsidRPr="00796736">
        <w:rPr>
          <w:rFonts w:ascii="Times New Roman" w:hAnsi="Times New Roman" w:cs="Times New Roman"/>
          <w:iCs/>
          <w:sz w:val="24"/>
          <w:szCs w:val="24"/>
        </w:rPr>
        <w:t xml:space="preserve"> medføre, at tavshedspligten i stk. 1 følger de fortrolige oplysninger, når disse videregives efter stk. 4. Bestemmelsen indebærer ikke indskrænkninger i grundlæggende principper inden</w:t>
      </w:r>
      <w:r w:rsidR="005D6D6F" w:rsidRPr="00796736">
        <w:rPr>
          <w:rFonts w:ascii="Times New Roman" w:hAnsi="Times New Roman" w:cs="Times New Roman"/>
          <w:iCs/>
          <w:sz w:val="24"/>
          <w:szCs w:val="24"/>
        </w:rPr>
        <w:t xml:space="preserve"> </w:t>
      </w:r>
      <w:r w:rsidRPr="00796736">
        <w:rPr>
          <w:rFonts w:ascii="Times New Roman" w:hAnsi="Times New Roman" w:cs="Times New Roman"/>
          <w:iCs/>
          <w:sz w:val="24"/>
          <w:szCs w:val="24"/>
        </w:rPr>
        <w:t>for retsplejen. Bestemmelsen har derfor bl.a. ingen indflydelse på en forsvarers ret til at blive gjort bekendt med sagens materiale, jf. den forslåede bestemmelse i stk. 4, nr. 3.</w:t>
      </w:r>
    </w:p>
    <w:p w14:paraId="24E3EE61" w14:textId="2A46D421"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7,</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 xml:space="preserve">at videregivelse i henhold til stk. 4, nr. 1, 2, </w:t>
      </w:r>
      <w:r w:rsidR="005108A4">
        <w:rPr>
          <w:rFonts w:ascii="Times New Roman" w:eastAsia="Times New Roman" w:hAnsi="Times New Roman" w:cs="Times New Roman"/>
          <w:sz w:val="24"/>
          <w:szCs w:val="24"/>
        </w:rPr>
        <w:t>9</w:t>
      </w:r>
      <w:r w:rsidRPr="00796736">
        <w:rPr>
          <w:rFonts w:ascii="Times New Roman" w:eastAsia="Times New Roman" w:hAnsi="Times New Roman" w:cs="Times New Roman"/>
          <w:sz w:val="24"/>
          <w:szCs w:val="24"/>
        </w:rPr>
        <w:t xml:space="preserve">, </w:t>
      </w:r>
      <w:r w:rsidR="005108A4">
        <w:rPr>
          <w:rFonts w:ascii="Times New Roman" w:eastAsia="Times New Roman" w:hAnsi="Times New Roman" w:cs="Times New Roman"/>
          <w:sz w:val="24"/>
          <w:szCs w:val="24"/>
        </w:rPr>
        <w:t>10</w:t>
      </w:r>
      <w:r w:rsidRPr="00796736">
        <w:rPr>
          <w:rFonts w:ascii="Times New Roman" w:eastAsia="Times New Roman" w:hAnsi="Times New Roman" w:cs="Times New Roman"/>
          <w:sz w:val="24"/>
          <w:szCs w:val="24"/>
        </w:rPr>
        <w:t>, 1</w:t>
      </w:r>
      <w:r w:rsidR="005108A4">
        <w:rPr>
          <w:rFonts w:ascii="Times New Roman" w:eastAsia="Times New Roman" w:hAnsi="Times New Roman" w:cs="Times New Roman"/>
          <w:sz w:val="24"/>
          <w:szCs w:val="24"/>
        </w:rPr>
        <w:t>2</w:t>
      </w:r>
      <w:r w:rsidRPr="00796736">
        <w:rPr>
          <w:rFonts w:ascii="Times New Roman" w:eastAsia="Times New Roman" w:hAnsi="Times New Roman" w:cs="Times New Roman"/>
          <w:sz w:val="24"/>
          <w:szCs w:val="24"/>
        </w:rPr>
        <w:t xml:space="preserve"> og 1</w:t>
      </w:r>
      <w:r w:rsidR="005108A4">
        <w:rPr>
          <w:rFonts w:ascii="Times New Roman" w:eastAsia="Times New Roman" w:hAnsi="Times New Roman" w:cs="Times New Roman"/>
          <w:sz w:val="24"/>
          <w:szCs w:val="24"/>
        </w:rPr>
        <w:t>4</w:t>
      </w:r>
      <w:r w:rsidRPr="00796736">
        <w:rPr>
          <w:rFonts w:ascii="Times New Roman" w:eastAsia="Times New Roman" w:hAnsi="Times New Roman" w:cs="Times New Roman"/>
          <w:sz w:val="24"/>
          <w:szCs w:val="24"/>
        </w:rPr>
        <w:t>-1</w:t>
      </w:r>
      <w:r w:rsidR="005108A4">
        <w:rPr>
          <w:rFonts w:ascii="Times New Roman" w:eastAsia="Times New Roman" w:hAnsi="Times New Roman" w:cs="Times New Roman"/>
          <w:sz w:val="24"/>
          <w:szCs w:val="24"/>
        </w:rPr>
        <w:t>8</w:t>
      </w:r>
      <w:r w:rsidRPr="00796736">
        <w:rPr>
          <w:rFonts w:ascii="Times New Roman" w:eastAsia="Times New Roman" w:hAnsi="Times New Roman" w:cs="Times New Roman"/>
          <w:sz w:val="24"/>
          <w:szCs w:val="24"/>
        </w:rPr>
        <w:t>, af fortrolige oplysninger, der hidrører fra et EU- eller EØS-land eller tilsynsmyndigheder i lande uden for EU eller EØS, endvidere alene kan ske, såfremt de myndigheder, som har afgivet oplysningerne, har givet deres udtrykkelige tilladelse, og må udelukkende benyttes til det formål, som tilladelsen vedrører.</w:t>
      </w:r>
    </w:p>
    <w:p w14:paraId="573CBE07" w14:textId="77777777" w:rsidR="001C7943" w:rsidRPr="00796736" w:rsidRDefault="001C7943" w:rsidP="00A802A5">
      <w:pPr>
        <w:spacing w:line="360" w:lineRule="auto"/>
        <w:rPr>
          <w:rFonts w:ascii="Times New Roman" w:eastAsia="Times New Roman" w:hAnsi="Times New Roman" w:cs="Times New Roman"/>
          <w:sz w:val="24"/>
          <w:szCs w:val="24"/>
        </w:rPr>
      </w:pPr>
    </w:p>
    <w:p w14:paraId="5052F4A0" w14:textId="1CFFF60A" w:rsidR="001C7943" w:rsidRPr="00796736" w:rsidRDefault="001C7943"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 xml:space="preserve">Det foreslås </w:t>
      </w:r>
      <w:r w:rsidRPr="00796736">
        <w:rPr>
          <w:rFonts w:ascii="Times New Roman" w:eastAsia="Times New Roman" w:hAnsi="Times New Roman" w:cs="Times New Roman"/>
          <w:i/>
          <w:iCs/>
          <w:color w:val="000000" w:themeColor="text1"/>
          <w:sz w:val="24"/>
          <w:szCs w:val="24"/>
        </w:rPr>
        <w:t>i stk. 8,</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 xml:space="preserve">at fortrolige oplysninger, som Spillemyndigheden modtager, kun må anvendes i forbindelse med tilsynshvervet, herunder til at pålægge sanktioner, eller hvis </w:t>
      </w:r>
      <w:r w:rsidR="00980C7C" w:rsidRPr="00796736">
        <w:rPr>
          <w:rFonts w:ascii="Times New Roman" w:eastAsia="Times New Roman" w:hAnsi="Times New Roman" w:cs="Times New Roman"/>
          <w:sz w:val="24"/>
          <w:szCs w:val="24"/>
        </w:rPr>
        <w:t>Spille</w:t>
      </w:r>
      <w:r w:rsidRPr="00796736">
        <w:rPr>
          <w:rFonts w:ascii="Times New Roman" w:eastAsia="Times New Roman" w:hAnsi="Times New Roman" w:cs="Times New Roman"/>
          <w:sz w:val="24"/>
          <w:szCs w:val="24"/>
        </w:rPr>
        <w:t>myndighedens afgørelse påklages til højere administrativ myndighed eller indbringes for domstolene.</w:t>
      </w:r>
    </w:p>
    <w:p w14:paraId="197F6F0D" w14:textId="77777777" w:rsidR="001C7943" w:rsidRPr="00796736" w:rsidRDefault="001C7943" w:rsidP="00A802A5">
      <w:pPr>
        <w:spacing w:line="360" w:lineRule="auto"/>
        <w:rPr>
          <w:rFonts w:ascii="Times New Roman" w:eastAsia="Times New Roman" w:hAnsi="Times New Roman" w:cs="Times New Roman"/>
          <w:sz w:val="24"/>
          <w:szCs w:val="24"/>
        </w:rPr>
      </w:pPr>
    </w:p>
    <w:p w14:paraId="48D3FFCB" w14:textId="32C10DD5"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 foreslåede bestemmelse</w:t>
      </w:r>
      <w:r w:rsidR="00980C7C" w:rsidRPr="00796736">
        <w:rPr>
          <w:rFonts w:ascii="Times New Roman" w:eastAsia="Times New Roman" w:hAnsi="Times New Roman" w:cs="Times New Roman"/>
          <w:sz w:val="24"/>
          <w:szCs w:val="24"/>
        </w:rPr>
        <w:t xml:space="preserve"> vil</w:t>
      </w:r>
      <w:r w:rsidRPr="00796736">
        <w:rPr>
          <w:rFonts w:ascii="Times New Roman" w:eastAsia="Times New Roman" w:hAnsi="Times New Roman" w:cs="Times New Roman"/>
          <w:sz w:val="24"/>
          <w:szCs w:val="24"/>
        </w:rPr>
        <w:t xml:space="preserve"> medføre, at Spillemyndigheden alene må anvende de fortrolige oplysninger, som Spillemyndigheden modtager, som led i varetagelsen af Spillemyndighedens opgaver efter lovgivningen. </w:t>
      </w:r>
    </w:p>
    <w:p w14:paraId="55449BA8" w14:textId="77777777" w:rsidR="001D7672" w:rsidRPr="00796736" w:rsidRDefault="001D7672" w:rsidP="00A802A5">
      <w:pPr>
        <w:spacing w:line="360" w:lineRule="auto"/>
        <w:rPr>
          <w:rFonts w:ascii="Times New Roman" w:eastAsia="Times New Roman" w:hAnsi="Times New Roman" w:cs="Times New Roman"/>
          <w:sz w:val="24"/>
          <w:szCs w:val="24"/>
        </w:rPr>
      </w:pPr>
    </w:p>
    <w:p w14:paraId="637BECEC" w14:textId="77777777" w:rsidR="001C7943" w:rsidRPr="00796736" w:rsidRDefault="001C7943" w:rsidP="00A802A5">
      <w:pPr>
        <w:spacing w:line="360" w:lineRule="auto"/>
        <w:rPr>
          <w:rFonts w:ascii="Times New Roman" w:eastAsia="Times New Roman" w:hAnsi="Times New Roman" w:cs="Times New Roman"/>
          <w:sz w:val="24"/>
          <w:szCs w:val="24"/>
        </w:rPr>
      </w:pPr>
    </w:p>
    <w:p w14:paraId="04EC0A15" w14:textId="1BA9BAF2" w:rsidR="001C7943" w:rsidRPr="00796736" w:rsidRDefault="001C7943" w:rsidP="00A802A5">
      <w:pPr>
        <w:pStyle w:val="Undertitel"/>
      </w:pPr>
      <w:bookmarkStart w:id="2220" w:name="_Toc244879421"/>
      <w:bookmarkStart w:id="2221" w:name="_Toc244880946"/>
      <w:r w:rsidRPr="00796736">
        <w:t xml:space="preserve">Til </w:t>
      </w:r>
      <w:r w:rsidRPr="00796736">
        <w:fldChar w:fldCharType="begin"/>
      </w:r>
      <w:r w:rsidRPr="00796736">
        <w:instrText xml:space="preserve"> REF _Ref236648779 \n \h </w:instrText>
      </w:r>
      <w:r w:rsidR="00A47042" w:rsidRPr="00796736">
        <w:instrText xml:space="preserve"> \* MERGEFORMAT </w:instrText>
      </w:r>
      <w:r w:rsidRPr="00796736">
        <w:fldChar w:fldCharType="separate"/>
      </w:r>
      <w:r w:rsidR="008F29E5">
        <w:t>§ 125</w:t>
      </w:r>
      <w:bookmarkEnd w:id="2220"/>
      <w:bookmarkEnd w:id="2221"/>
      <w:r w:rsidRPr="00796736">
        <w:fldChar w:fldCharType="end"/>
      </w:r>
      <w:r w:rsidRPr="00796736">
        <w:t xml:space="preserve"> </w:t>
      </w:r>
    </w:p>
    <w:p w14:paraId="01965008" w14:textId="092ACD50" w:rsidR="001C7943" w:rsidRPr="00796736" w:rsidRDefault="00980C7C"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Hvidvasklovens </w:t>
      </w:r>
      <w:r w:rsidR="001C7943" w:rsidRPr="00796736">
        <w:rPr>
          <w:rFonts w:ascii="Times New Roman" w:eastAsia="Times New Roman" w:hAnsi="Times New Roman" w:cs="Times New Roman"/>
          <w:iCs/>
          <w:sz w:val="24"/>
          <w:szCs w:val="24"/>
        </w:rPr>
        <w:t>§ 69 a er en særregel, der udvider tavshedspligten i forhold til oplysninger om personer, der indberetter overtrædelser til Spillemyndigheden, således at parter ikke vil kunne få aktindsigt i personoplysninger om en person, når vedkommende har indberettet en virksomheds overtrædelse eller potentielle overtrædelse til Spillemyndigheden.</w:t>
      </w:r>
    </w:p>
    <w:p w14:paraId="7E88EA04"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6586949D" w14:textId="1085CC13"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Den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_Ref236648779 \n \h </w:instrText>
      </w:r>
      <w:r w:rsidR="00A47042"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Times New Roman" w:hAnsi="Times New Roman" w:cs="Times New Roman"/>
          <w:iCs/>
          <w:sz w:val="24"/>
          <w:szCs w:val="24"/>
        </w:rPr>
        <w:t>viderefører bestemmelsen i hvidvasklovens § 69 a.</w:t>
      </w:r>
    </w:p>
    <w:p w14:paraId="77002578"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5BAA7603" w14:textId="77777777"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Bestemmelsen implementerer artikel 60, stk. 2, i 6. hvidvaskdirektiv. </w:t>
      </w:r>
    </w:p>
    <w:p w14:paraId="43493C71" w14:textId="77777777" w:rsidR="005D6D6F" w:rsidRPr="00796736" w:rsidRDefault="005D6D6F" w:rsidP="00A802A5">
      <w:pPr>
        <w:spacing w:line="360" w:lineRule="auto"/>
        <w:rPr>
          <w:rFonts w:ascii="Times New Roman" w:eastAsia="Times New Roman" w:hAnsi="Times New Roman" w:cs="Times New Roman"/>
          <w:iCs/>
          <w:sz w:val="24"/>
          <w:szCs w:val="24"/>
        </w:rPr>
      </w:pPr>
    </w:p>
    <w:p w14:paraId="45053557" w14:textId="2EEA6FE6"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Det fremgår af præambelbetragtning nr. 110 til 6. hvidvaskdirektiv, at Europa-Parlamentets og Rådets direktiv (EU) 2019/1937 finder anvendelse på indberetning af overtrædelser af direktiv (EU) 2015/849, der vedrører hvidvask af penge og finansiering af terrorisme, og på beskyttelse af personer, der indberetter sådanne overtrædelser, som omhandlet i del II i bilaget til direktiv (EU) 2019/1937. Da 6. hvidvaskdirektiv ophæver direktiv (EU) 2015/849, bør henvisningen til direktiv (EU) 2015/849 i bilag II til direktiv (EU) 2019/1937 forstås som en henvisning til nærværende direktiv. Samtidig er det nødvendigt at opretholde skræddersyede regler om indberetning af overtrædelser af kravene til for bekæmpelse af hvidvask af penge og finansiering af terrorisme, der supplerer direktiv (EU) 2019/1937, navnlig for så vidt angår kravene til forpligtede enheder om at etablere interne indberetningskanaler og identifikation af de myndigheder, der er kompetente til at modtage og følge op på indberetninger vedrørende overtrædelser af regler om forebyggelse og bekæmpelse af hvidvask af penge og finansiering af terrorisme.</w:t>
      </w:r>
    </w:p>
    <w:p w14:paraId="73DC184E"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5D9D5009" w14:textId="36F55796"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Det foreslås i </w:t>
      </w:r>
      <w:r w:rsidRPr="00796736">
        <w:rPr>
          <w:rFonts w:ascii="Times New Roman" w:eastAsia="Times New Roman" w:hAnsi="Times New Roman" w:cs="Times New Roman"/>
          <w:i/>
          <w:sz w:val="24"/>
          <w:szCs w:val="24"/>
        </w:rPr>
        <w:t>stk.1,</w:t>
      </w:r>
      <w:r w:rsidRPr="00796736">
        <w:rPr>
          <w:rFonts w:ascii="Times New Roman" w:eastAsia="Times New Roman" w:hAnsi="Times New Roman" w:cs="Times New Roman"/>
          <w:iCs/>
          <w:sz w:val="24"/>
          <w:szCs w:val="24"/>
        </w:rPr>
        <w:t xml:space="preserve"> at Spillemyndighedens ansatte ikke må videregive oplysninger om en person, når vedkommende har indberettet en virksomhed eller en person til Spille</w:t>
      </w:r>
      <w:r w:rsidR="005D6D6F" w:rsidRPr="00796736">
        <w:rPr>
          <w:rFonts w:ascii="Times New Roman" w:eastAsia="Times New Roman" w:hAnsi="Times New Roman" w:cs="Times New Roman"/>
          <w:iCs/>
          <w:sz w:val="24"/>
          <w:szCs w:val="24"/>
        </w:rPr>
        <w:t>m</w:t>
      </w:r>
      <w:r w:rsidRPr="00796736">
        <w:rPr>
          <w:rFonts w:ascii="Times New Roman" w:eastAsia="Times New Roman" w:hAnsi="Times New Roman" w:cs="Times New Roman"/>
          <w:iCs/>
          <w:sz w:val="24"/>
          <w:szCs w:val="24"/>
        </w:rPr>
        <w:t>yndigheden for overtrædelse eller potentiel overtrædelse af hvidvaskforordningen, denne lov, regler udstedt i medfør heraf eller bestemmelser indehold</w:t>
      </w:r>
      <w:r w:rsidR="00980C7C" w:rsidRPr="00796736">
        <w:rPr>
          <w:rFonts w:ascii="Times New Roman" w:eastAsia="Times New Roman" w:hAnsi="Times New Roman" w:cs="Times New Roman"/>
          <w:iCs/>
          <w:sz w:val="24"/>
          <w:szCs w:val="24"/>
        </w:rPr>
        <w:t>t</w:t>
      </w:r>
      <w:r w:rsidRPr="00796736">
        <w:rPr>
          <w:rFonts w:ascii="Times New Roman" w:eastAsia="Times New Roman" w:hAnsi="Times New Roman" w:cs="Times New Roman"/>
          <w:iCs/>
          <w:sz w:val="24"/>
          <w:szCs w:val="24"/>
        </w:rPr>
        <w:t xml:space="preserve"> i forordninger som nævnt i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_Ref236144985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117</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xml:space="preserve"> for de områder</w:t>
      </w:r>
      <w:r w:rsidR="005D6D6F" w:rsidRPr="00796736">
        <w:rPr>
          <w:rFonts w:ascii="Times New Roman" w:eastAsia="Times New Roman" w:hAnsi="Times New Roman" w:cs="Times New Roman"/>
          <w:iCs/>
          <w:sz w:val="24"/>
          <w:szCs w:val="24"/>
        </w:rPr>
        <w:t>,</w:t>
      </w:r>
      <w:r w:rsidRPr="00796736">
        <w:rPr>
          <w:rFonts w:ascii="Times New Roman" w:eastAsia="Times New Roman" w:hAnsi="Times New Roman" w:cs="Times New Roman"/>
          <w:iCs/>
          <w:sz w:val="24"/>
          <w:szCs w:val="24"/>
        </w:rPr>
        <w:t xml:space="preserve"> som Spillemyndigheden fører tilsyn med, jf. dog stk. 2.</w:t>
      </w:r>
    </w:p>
    <w:p w14:paraId="77145217"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3695B3AC" w14:textId="77777777" w:rsidR="00980C7C" w:rsidRPr="00796736" w:rsidRDefault="00980C7C"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Den foreslåede bestemmelse vil bl.a. medføre, at oplysninger om en person, der har indberettet en virksomhed eller en person for overtrædelse eller potentiel overtrædelse af hvidvaskloven, for så vidt angår indberetningen ikke er undergivet aktindsigt i medfør af forvaltningsloven eller reglerne om underretning i medfør af retssikkerhedsloven. </w:t>
      </w:r>
    </w:p>
    <w:p w14:paraId="0F2FA425"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31B8D371" w14:textId="77777777" w:rsidR="001C7943" w:rsidRPr="00796736" w:rsidRDefault="001C7943"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Personoplysninger skal forstås i overensstemmelse med definitionen heraf i artikel 4, nr. 1, i databeskyttelsesforordningen, hvorefter personoplysninger omfatter enhver form for information om en identificeret eller identificerbar fysisk person. Bestemmelsen omfatter blandt andet oplysninger, som identificerer personen, der indberetter overtrædelsen, i form af oplysninger om dennes identitet, eller enhver oplysning, der indirekte gør det muligt at udlede dennes identitet. Oplysninger, som er gjort anonyme på en sådan måde, at den registrerede ikke længere kan identificeres, er ikke omfattet af begrebet personoplysninger. Ved afgørelsen af, om en person er identificerbar, skal alle de hjælpemidler, der med rimelighed kan tænkes bragt i anvendelse for at identificere den pågældende enten af den dataansvarlige eller af enhver anden person, tages i betragtning.</w:t>
      </w:r>
    </w:p>
    <w:p w14:paraId="1A947224"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4BEB8B9F" w14:textId="32E5CDDE" w:rsidR="001C7943" w:rsidRPr="00796736" w:rsidRDefault="005D6D6F"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Der kan foretages indberetning til Spillemyndigheden via Spillemyndighedens whistleblowerordning om hvidvask, som er tilgængelig på Spillemyndighedens hjemmeside</w:t>
      </w:r>
      <w:r w:rsidR="001C7943" w:rsidRPr="00796736">
        <w:rPr>
          <w:rFonts w:ascii="Times New Roman" w:eastAsia="Times New Roman" w:hAnsi="Times New Roman" w:cs="Times New Roman"/>
          <w:iCs/>
          <w:sz w:val="24"/>
          <w:szCs w:val="24"/>
        </w:rPr>
        <w:t xml:space="preserve">. </w:t>
      </w:r>
    </w:p>
    <w:p w14:paraId="2658239C"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1E5AF123" w14:textId="6649214A"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Bestemmelsen vil kun kunne finde anvendelse i sager om indberetning af overtrædelser eller potentielle overtrædelser af hvidvaskforordningen, hvidvaskloven, regler udstedt i medfør heraf eller bestemmelser indeholdt i forordninger nævnt i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_Ref236144985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117</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xml:space="preserve">, </w:t>
      </w:r>
      <w:r w:rsidR="005D6D6F" w:rsidRPr="00796736">
        <w:rPr>
          <w:rFonts w:ascii="Times New Roman" w:eastAsia="Times New Roman" w:hAnsi="Times New Roman" w:cs="Times New Roman"/>
          <w:iCs/>
          <w:sz w:val="24"/>
          <w:szCs w:val="24"/>
        </w:rPr>
        <w:t>som er indberettet af en person om en virksomhed eller en person under tilsyn af Spillemyndigheden.</w:t>
      </w:r>
    </w:p>
    <w:p w14:paraId="21E1A0E9"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67E6D246" w14:textId="70B4F0AA"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Såvel overtrædelser som potentielle overtrædelser, f.eks. i tilfælde hvor en indberetning ikke fører til yderligere sagsbehandlingsskridt</w:t>
      </w:r>
      <w:r w:rsidR="00980C7C" w:rsidRPr="00796736">
        <w:rPr>
          <w:rFonts w:ascii="Times New Roman" w:eastAsia="Times New Roman" w:hAnsi="Times New Roman" w:cs="Times New Roman"/>
          <w:iCs/>
          <w:sz w:val="24"/>
          <w:szCs w:val="24"/>
        </w:rPr>
        <w:t>,</w:t>
      </w:r>
      <w:r w:rsidRPr="00796736">
        <w:rPr>
          <w:rFonts w:ascii="Times New Roman" w:eastAsia="Times New Roman" w:hAnsi="Times New Roman" w:cs="Times New Roman"/>
          <w:iCs/>
          <w:sz w:val="24"/>
          <w:szCs w:val="24"/>
        </w:rPr>
        <w:t xml:space="preserve"> eller i tilfælde hvor Spillemyndigheden vurderer, at der ikke er tale om en overtrædelse af hvidvaskforordningen, hvidvaskloven, regler udstedt i medfør heraf eller bestemmelser indeholdt i forordninger nævnt i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_Ref236144985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117</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som Spillemyndigheden fører tilsyn med, er omfattet af forslaget.</w:t>
      </w:r>
    </w:p>
    <w:p w14:paraId="1D1DBA26"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187AFACE" w14:textId="77777777"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Det er et krav, at overtrædelsen vedrører regler, som er under tilsyn af Spillemyndigheden. Sager vedrørende andre områder, f.eks. indberetning om overtrædelse af skatteretlige regler eller straffeloven, omfattes ikke af bestemmelsens anvendelsesområde.</w:t>
      </w:r>
    </w:p>
    <w:p w14:paraId="40F470C0"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7C964D43" w14:textId="4E377895"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Forslaget</w:t>
      </w:r>
      <w:r w:rsidR="00980C7C" w:rsidRPr="00796736">
        <w:rPr>
          <w:rFonts w:ascii="Times New Roman" w:eastAsia="Times New Roman" w:hAnsi="Times New Roman" w:cs="Times New Roman"/>
          <w:iCs/>
          <w:sz w:val="24"/>
          <w:szCs w:val="24"/>
        </w:rPr>
        <w:t xml:space="preserve"> vil</w:t>
      </w:r>
      <w:r w:rsidRPr="00796736">
        <w:rPr>
          <w:rFonts w:ascii="Times New Roman" w:eastAsia="Times New Roman" w:hAnsi="Times New Roman" w:cs="Times New Roman"/>
          <w:iCs/>
          <w:sz w:val="24"/>
          <w:szCs w:val="24"/>
        </w:rPr>
        <w:t xml:space="preserve"> medføre, at Spillemyndigheden – med de undtagelser der følger af stk. 2 – er forpligtet til ikke at videregive oplysninger om personer, der til Spillemyndigheden indberetter overtrædelser eller potentielle overtrædelser af hvidvaskforordningen, </w:t>
      </w:r>
      <w:r w:rsidR="00980C7C" w:rsidRPr="00796736">
        <w:rPr>
          <w:rFonts w:ascii="Times New Roman" w:eastAsia="Times New Roman" w:hAnsi="Times New Roman" w:cs="Times New Roman"/>
          <w:iCs/>
          <w:sz w:val="24"/>
          <w:szCs w:val="24"/>
        </w:rPr>
        <w:t>den foreslåede lov</w:t>
      </w:r>
      <w:r w:rsidRPr="00796736">
        <w:rPr>
          <w:rFonts w:ascii="Times New Roman" w:eastAsia="Times New Roman" w:hAnsi="Times New Roman" w:cs="Times New Roman"/>
          <w:iCs/>
          <w:sz w:val="24"/>
          <w:szCs w:val="24"/>
        </w:rPr>
        <w:t xml:space="preserve">, regler udstedt i medfør heraf eller bestemmelser indeholdt i forordninger nævnt i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_Ref236144985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117</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for de områder af loven, som Spillemyndigheden fører tilsyn med. Forslaget udgør en specialregel (lex specialis</w:t>
      </w:r>
      <w:r w:rsidR="005D6D6F" w:rsidRPr="00796736">
        <w:rPr>
          <w:rFonts w:ascii="Times New Roman" w:eastAsia="Times New Roman" w:hAnsi="Times New Roman" w:cs="Times New Roman"/>
          <w:iCs/>
          <w:sz w:val="24"/>
          <w:szCs w:val="24"/>
        </w:rPr>
        <w:t xml:space="preserve">) i forhold til de almindelige gældende regler om aktindsigt efter f.eks. forvaltningsloven, underretning efter </w:t>
      </w:r>
      <w:r w:rsidR="005D6D6F" w:rsidRPr="00796736">
        <w:rPr>
          <w:rFonts w:ascii="Times New Roman" w:hAnsi="Times New Roman" w:cs="Times New Roman"/>
          <w:sz w:val="24"/>
          <w:szCs w:val="24"/>
        </w:rPr>
        <w:t>lov om retssikkerhed ved forvaltningens anvendelse af tvangsindgreb og oplysningspligter (retssikkerhedsloven)</w:t>
      </w:r>
      <w:r w:rsidR="005D6D6F" w:rsidRPr="00796736">
        <w:rPr>
          <w:rFonts w:ascii="Times New Roman" w:eastAsia="Times New Roman" w:hAnsi="Times New Roman" w:cs="Times New Roman"/>
          <w:iCs/>
          <w:sz w:val="24"/>
          <w:szCs w:val="24"/>
        </w:rPr>
        <w:t xml:space="preserve"> eller indsigtsret efter databeskyttelseslovgivningen. Såfremt en part f.eks. har ret til aktindsigt efter forvaltningsloven, vil Spillemyndigheden i medfør af lovforslaget være forpligtet til ikke at videregive eller at anonymisere enhver oplysning, der gør det muligt at identificere personen, der har indberettet overtrædelsen.</w:t>
      </w:r>
    </w:p>
    <w:p w14:paraId="2D1F098A"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133EBE24" w14:textId="77777777" w:rsidR="00980C7C" w:rsidRDefault="00980C7C"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Forslaget ændrer i øvrigt ikke på, at adgangen til aktindsigt i Spillemyndighedens sager er begrænset i henhold til offentlighedslovens § 35.</w:t>
      </w:r>
    </w:p>
    <w:p w14:paraId="38EEF248" w14:textId="77777777" w:rsidR="007B7BA4" w:rsidRDefault="007B7BA4" w:rsidP="00A802A5">
      <w:pPr>
        <w:spacing w:line="360" w:lineRule="auto"/>
        <w:rPr>
          <w:rFonts w:ascii="Times New Roman" w:eastAsia="Times New Roman" w:hAnsi="Times New Roman" w:cs="Times New Roman"/>
          <w:iCs/>
          <w:sz w:val="24"/>
          <w:szCs w:val="24"/>
        </w:rPr>
      </w:pPr>
    </w:p>
    <w:p w14:paraId="2AD70452" w14:textId="56B5054E" w:rsidR="007B7BA4" w:rsidRPr="00796736" w:rsidRDefault="007B7BA4" w:rsidP="00A802A5">
      <w:pPr>
        <w:spacing w:line="360" w:lineRule="auto"/>
        <w:rPr>
          <w:rFonts w:ascii="Times New Roman" w:eastAsia="Times New Roman" w:hAnsi="Times New Roman" w:cs="Times New Roman"/>
          <w:iCs/>
          <w:sz w:val="24"/>
          <w:szCs w:val="24"/>
        </w:rPr>
      </w:pPr>
      <w:r w:rsidRPr="001A3713">
        <w:rPr>
          <w:rFonts w:ascii="Times New Roman" w:eastAsia="Times New Roman" w:hAnsi="Times New Roman" w:cs="Times New Roman"/>
          <w:iCs/>
          <w:sz w:val="24"/>
          <w:szCs w:val="24"/>
        </w:rPr>
        <w:t>Bestemmelsen vil</w:t>
      </w:r>
      <w:r>
        <w:rPr>
          <w:rFonts w:ascii="Times New Roman" w:eastAsia="Times New Roman" w:hAnsi="Times New Roman" w:cs="Times New Roman"/>
          <w:iCs/>
          <w:sz w:val="24"/>
          <w:szCs w:val="24"/>
        </w:rPr>
        <w:t xml:space="preserve"> således</w:t>
      </w:r>
      <w:r w:rsidRPr="001A3713">
        <w:rPr>
          <w:rFonts w:ascii="Times New Roman" w:eastAsia="Times New Roman" w:hAnsi="Times New Roman" w:cs="Times New Roman"/>
          <w:iCs/>
          <w:sz w:val="24"/>
          <w:szCs w:val="24"/>
        </w:rPr>
        <w:t xml:space="preserve"> indebære, at pligten til at meddele oplysninger efter bestemmelsen begrænses af særlige bestemmelser om tavshedspligt fastsat ved lov eller med hjemmel i lov for personer, der virker i offentlig tjeneste eller hverv, jf. § 35 i offentlighedsloven. Behandling af sådanne sager vil således skulle ske under iagttagelse af de regler om tavshedspligt, der gælder for </w:t>
      </w:r>
      <w:r>
        <w:rPr>
          <w:rFonts w:ascii="Times New Roman" w:eastAsia="Times New Roman" w:hAnsi="Times New Roman" w:cs="Times New Roman"/>
          <w:iCs/>
          <w:sz w:val="24"/>
          <w:szCs w:val="24"/>
        </w:rPr>
        <w:t>Spille</w:t>
      </w:r>
      <w:r w:rsidRPr="001A3713">
        <w:rPr>
          <w:rFonts w:ascii="Times New Roman" w:eastAsia="Times New Roman" w:hAnsi="Times New Roman" w:cs="Times New Roman"/>
          <w:iCs/>
          <w:sz w:val="24"/>
          <w:szCs w:val="24"/>
        </w:rPr>
        <w:t>myndigheden. Se nærmere herom i de almindelige bemærkninger pkt. 4.2.</w:t>
      </w:r>
    </w:p>
    <w:p w14:paraId="582BCE52" w14:textId="77777777" w:rsidR="005D6D6F" w:rsidRPr="00796736" w:rsidRDefault="005D6D6F" w:rsidP="00A802A5">
      <w:pPr>
        <w:spacing w:line="360" w:lineRule="auto"/>
        <w:rPr>
          <w:rFonts w:ascii="Times New Roman" w:eastAsia="Times New Roman" w:hAnsi="Times New Roman" w:cs="Times New Roman"/>
          <w:iCs/>
          <w:sz w:val="24"/>
          <w:szCs w:val="24"/>
        </w:rPr>
      </w:pPr>
    </w:p>
    <w:p w14:paraId="7A84EB22" w14:textId="1775CE1E"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Ligeledes vil det i henhold til forslaget f.eks. ikke være tilladt for Spillemyndigheden at videregive personoplysninger om en person, der har indberettet en overtrædelse af hvidvaskforordningen,</w:t>
      </w:r>
      <w:r w:rsidR="00980C7C" w:rsidRPr="00796736">
        <w:rPr>
          <w:rFonts w:ascii="Times New Roman" w:eastAsia="Times New Roman" w:hAnsi="Times New Roman" w:cs="Times New Roman"/>
          <w:iCs/>
          <w:sz w:val="24"/>
          <w:szCs w:val="24"/>
        </w:rPr>
        <w:t xml:space="preserve"> den foreslåede lov</w:t>
      </w:r>
      <w:r w:rsidRPr="00796736">
        <w:rPr>
          <w:rFonts w:ascii="Times New Roman" w:eastAsia="Times New Roman" w:hAnsi="Times New Roman" w:cs="Times New Roman"/>
          <w:iCs/>
          <w:sz w:val="24"/>
          <w:szCs w:val="24"/>
        </w:rPr>
        <w:t xml:space="preserve">, regler udstedt i medfør heraf eller bestemmelser indeholdt i forordninger nævnt i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_Ref236144985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117</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xml:space="preserve">, </w:t>
      </w:r>
      <w:r w:rsidR="005D6D6F" w:rsidRPr="00796736">
        <w:rPr>
          <w:rFonts w:ascii="Times New Roman" w:eastAsia="Times New Roman" w:hAnsi="Times New Roman" w:cs="Times New Roman"/>
          <w:iCs/>
          <w:sz w:val="24"/>
          <w:szCs w:val="24"/>
        </w:rPr>
        <w:t xml:space="preserve">for de områder af loven, som Spillemyndigheden fører tilsyn med, i forbindelse med en eventuel underretning forud for gennemførelsen af en beslutning om iværksættelse af et tvangsindgreb efter § 5 </w:t>
      </w:r>
      <w:r w:rsidR="005D6D6F" w:rsidRPr="00796736">
        <w:rPr>
          <w:rFonts w:ascii="Times New Roman" w:hAnsi="Times New Roman" w:cs="Times New Roman"/>
          <w:sz w:val="24"/>
          <w:szCs w:val="24"/>
        </w:rPr>
        <w:t>i lov om retssikkerhed ved forvaltningens anvendelse af tvangsindgreb og oplysningspligter (retssikkerhedsloven)</w:t>
      </w:r>
      <w:r w:rsidR="005D6D6F" w:rsidRPr="00796736">
        <w:rPr>
          <w:rFonts w:ascii="Times New Roman" w:eastAsia="Times New Roman" w:hAnsi="Times New Roman" w:cs="Times New Roman"/>
          <w:iCs/>
          <w:sz w:val="24"/>
          <w:szCs w:val="24"/>
        </w:rPr>
        <w:t>.</w:t>
      </w:r>
    </w:p>
    <w:p w14:paraId="583D5F6D"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745C8960" w14:textId="77777777" w:rsidR="005D6D6F" w:rsidRPr="00796736" w:rsidRDefault="005D6D6F"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Herved sikres det, at en person, der har indberettet en virksomheds eller persons overtrædelse eller potentielle overtrædelse af reguleringen til Spillemyndigheden, beskyttes af den udvidede tavshedspligt, medmindre offentliggørelse kræves i henhold til national ret som led i yderligere efterforskning eller efterfølgende retslige procedurer.</w:t>
      </w:r>
    </w:p>
    <w:p w14:paraId="43BEF071"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0F1B09FA" w14:textId="17661981"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Det foreslås i </w:t>
      </w:r>
      <w:r w:rsidRPr="00796736">
        <w:rPr>
          <w:rFonts w:ascii="Times New Roman" w:eastAsia="Times New Roman" w:hAnsi="Times New Roman" w:cs="Times New Roman"/>
          <w:i/>
          <w:sz w:val="24"/>
          <w:szCs w:val="24"/>
        </w:rPr>
        <w:t>stk. 2,</w:t>
      </w:r>
      <w:r w:rsidRPr="00796736">
        <w:rPr>
          <w:rFonts w:ascii="Times New Roman" w:eastAsia="Times New Roman" w:hAnsi="Times New Roman" w:cs="Times New Roman"/>
          <w:iCs/>
          <w:sz w:val="24"/>
          <w:szCs w:val="24"/>
        </w:rPr>
        <w:t xml:space="preserve"> at bestemmelsen ikke er til hinder for, at personoplysningerne videregives i medfør af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_Ref232609613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124</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stk. 4.</w:t>
      </w:r>
    </w:p>
    <w:p w14:paraId="1B5A7704"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78949AF5" w14:textId="2B638B72"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Den foreslåede bestemmelse</w:t>
      </w:r>
      <w:r w:rsidR="00980C7C" w:rsidRPr="00796736">
        <w:rPr>
          <w:rFonts w:ascii="Times New Roman" w:eastAsia="Times New Roman" w:hAnsi="Times New Roman" w:cs="Times New Roman"/>
          <w:iCs/>
          <w:sz w:val="24"/>
          <w:szCs w:val="24"/>
        </w:rPr>
        <w:t xml:space="preserve"> vil</w:t>
      </w:r>
      <w:r w:rsidRPr="00796736">
        <w:rPr>
          <w:rFonts w:ascii="Times New Roman" w:eastAsia="Times New Roman" w:hAnsi="Times New Roman" w:cs="Times New Roman"/>
          <w:iCs/>
          <w:sz w:val="24"/>
          <w:szCs w:val="24"/>
        </w:rPr>
        <w:t xml:space="preserve"> medføre, at videregivelse af oplysninger til de i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_Ref232609613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124</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stk. 4</w:t>
      </w:r>
      <w:r w:rsidR="005D6D6F" w:rsidRPr="00796736">
        <w:rPr>
          <w:rFonts w:ascii="Times New Roman" w:eastAsia="Times New Roman" w:hAnsi="Times New Roman" w:cs="Times New Roman"/>
          <w:iCs/>
          <w:sz w:val="24"/>
          <w:szCs w:val="24"/>
        </w:rPr>
        <w:t>,</w:t>
      </w:r>
      <w:r w:rsidRPr="00796736">
        <w:rPr>
          <w:rFonts w:ascii="Times New Roman" w:eastAsia="Times New Roman" w:hAnsi="Times New Roman" w:cs="Times New Roman"/>
          <w:iCs/>
          <w:sz w:val="24"/>
          <w:szCs w:val="24"/>
        </w:rPr>
        <w:t xml:space="preserve"> nævnte parter findes begrundet i hensynet til mulighederne for betryggende tilsyn, retssikkerhed, regulering og samarbejde med de i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_Ref232609613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124</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xml:space="preserve">, stk. 4, nævnte parter. Efter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_Ref232609613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124</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xml:space="preserve">, stk. 4, kan der f.eks. ske videregivelse til andre offentlige myndigheder, herunder anklagemyndigheden og politiet i forbindelse med efterforskning og retsforfølgning af strafbare forhold omfattet af straffeloven, hvidvaskforordningen, </w:t>
      </w:r>
      <w:r w:rsidR="00980C7C" w:rsidRPr="00796736">
        <w:rPr>
          <w:rFonts w:ascii="Times New Roman" w:eastAsia="Times New Roman" w:hAnsi="Times New Roman" w:cs="Times New Roman"/>
          <w:iCs/>
          <w:sz w:val="24"/>
          <w:szCs w:val="24"/>
        </w:rPr>
        <w:t xml:space="preserve">den foreslåede lov </w:t>
      </w:r>
      <w:r w:rsidRPr="00796736">
        <w:rPr>
          <w:rFonts w:ascii="Times New Roman" w:eastAsia="Times New Roman" w:hAnsi="Times New Roman" w:cs="Times New Roman"/>
          <w:iCs/>
          <w:sz w:val="24"/>
          <w:szCs w:val="24"/>
        </w:rPr>
        <w:t>eller anden tilsynslovgivning.</w:t>
      </w:r>
    </w:p>
    <w:p w14:paraId="7809A648"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253D0CF9" w14:textId="2515E064" w:rsidR="001C7943"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Det foreslås i </w:t>
      </w:r>
      <w:r w:rsidRPr="00796736">
        <w:rPr>
          <w:rFonts w:ascii="Times New Roman" w:eastAsia="Times New Roman" w:hAnsi="Times New Roman" w:cs="Times New Roman"/>
          <w:i/>
          <w:sz w:val="24"/>
          <w:szCs w:val="24"/>
        </w:rPr>
        <w:t>stk. 3,</w:t>
      </w:r>
      <w:r w:rsidRPr="00796736">
        <w:rPr>
          <w:rFonts w:ascii="Times New Roman" w:eastAsia="Times New Roman" w:hAnsi="Times New Roman" w:cs="Times New Roman"/>
          <w:iCs/>
          <w:sz w:val="24"/>
          <w:szCs w:val="24"/>
        </w:rPr>
        <w:t xml:space="preserve"> at alle, der i henhold til stk. 2 modtager personlysninger, jf. dog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_Ref232609613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124</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xml:space="preserve">, stk. 6, er med hensyn til disse oplysninger undergivet den i stk. 1 omhandlede tavshedspligt. </w:t>
      </w:r>
    </w:p>
    <w:p w14:paraId="322766D4" w14:textId="77777777" w:rsidR="001C7943" w:rsidRPr="00796736" w:rsidRDefault="001C7943" w:rsidP="00A802A5">
      <w:pPr>
        <w:spacing w:line="360" w:lineRule="auto"/>
        <w:rPr>
          <w:rFonts w:ascii="Times New Roman" w:eastAsia="Times New Roman" w:hAnsi="Times New Roman" w:cs="Times New Roman"/>
          <w:iCs/>
          <w:sz w:val="24"/>
          <w:szCs w:val="24"/>
        </w:rPr>
      </w:pPr>
    </w:p>
    <w:p w14:paraId="5F149566" w14:textId="290F5317" w:rsidR="001D7672" w:rsidRPr="00796736" w:rsidRDefault="001C7943" w:rsidP="00A802A5">
      <w:pPr>
        <w:spacing w:line="360" w:lineRule="auto"/>
        <w:rPr>
          <w:rFonts w:ascii="Times New Roman" w:eastAsia="Times New Roman" w:hAnsi="Times New Roman" w:cs="Times New Roman"/>
          <w:iCs/>
          <w:sz w:val="24"/>
          <w:szCs w:val="24"/>
        </w:rPr>
      </w:pPr>
      <w:r w:rsidRPr="00796736">
        <w:rPr>
          <w:rFonts w:ascii="Times New Roman" w:eastAsia="Times New Roman" w:hAnsi="Times New Roman" w:cs="Times New Roman"/>
          <w:iCs/>
          <w:sz w:val="24"/>
          <w:szCs w:val="24"/>
        </w:rPr>
        <w:t xml:space="preserve">Den foreslåede bestemmelse svarer til den foreslåede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_Ref232609613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124</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xml:space="preserve">, stk. 6, der fastslår, at alle, der i henhold til </w:t>
      </w:r>
      <w:r w:rsidRPr="00796736">
        <w:rPr>
          <w:rFonts w:ascii="Times New Roman" w:eastAsia="Times New Roman" w:hAnsi="Times New Roman" w:cs="Times New Roman"/>
          <w:iCs/>
          <w:sz w:val="24"/>
          <w:szCs w:val="24"/>
        </w:rPr>
        <w:fldChar w:fldCharType="begin"/>
      </w:r>
      <w:r w:rsidRPr="00796736">
        <w:rPr>
          <w:rFonts w:ascii="Times New Roman" w:eastAsia="Times New Roman" w:hAnsi="Times New Roman" w:cs="Times New Roman"/>
          <w:iCs/>
          <w:sz w:val="24"/>
          <w:szCs w:val="24"/>
        </w:rPr>
        <w:instrText xml:space="preserve"> REF _Ref232609613 \n \h </w:instrText>
      </w:r>
      <w:r w:rsidR="00A47042" w:rsidRPr="00796736">
        <w:rPr>
          <w:rFonts w:ascii="Times New Roman" w:eastAsia="Times New Roman" w:hAnsi="Times New Roman" w:cs="Times New Roman"/>
          <w:iCs/>
          <w:sz w:val="24"/>
          <w:szCs w:val="24"/>
        </w:rPr>
        <w:instrText xml:space="preserve"> \* MERGEFORMAT </w:instrText>
      </w:r>
      <w:r w:rsidRPr="00796736">
        <w:rPr>
          <w:rFonts w:ascii="Times New Roman" w:eastAsia="Times New Roman" w:hAnsi="Times New Roman" w:cs="Times New Roman"/>
          <w:iCs/>
          <w:sz w:val="24"/>
          <w:szCs w:val="24"/>
        </w:rPr>
      </w:r>
      <w:r w:rsidRPr="00796736">
        <w:rPr>
          <w:rFonts w:ascii="Times New Roman" w:eastAsia="Times New Roman" w:hAnsi="Times New Roman" w:cs="Times New Roman"/>
          <w:iCs/>
          <w:sz w:val="24"/>
          <w:szCs w:val="24"/>
        </w:rPr>
        <w:fldChar w:fldCharType="separate"/>
      </w:r>
      <w:r w:rsidR="008F29E5">
        <w:rPr>
          <w:rFonts w:ascii="Times New Roman" w:eastAsia="Times New Roman" w:hAnsi="Times New Roman" w:cs="Times New Roman"/>
          <w:iCs/>
          <w:sz w:val="24"/>
          <w:szCs w:val="24"/>
        </w:rPr>
        <w:t>§ 124</w:t>
      </w:r>
      <w:r w:rsidRPr="00796736">
        <w:rPr>
          <w:rFonts w:ascii="Times New Roman" w:eastAsia="Times New Roman" w:hAnsi="Times New Roman" w:cs="Times New Roman"/>
          <w:iCs/>
          <w:sz w:val="24"/>
          <w:szCs w:val="24"/>
        </w:rPr>
        <w:fldChar w:fldCharType="end"/>
      </w:r>
      <w:r w:rsidRPr="00796736">
        <w:rPr>
          <w:rFonts w:ascii="Times New Roman" w:eastAsia="Times New Roman" w:hAnsi="Times New Roman" w:cs="Times New Roman"/>
          <w:iCs/>
          <w:sz w:val="24"/>
          <w:szCs w:val="24"/>
        </w:rPr>
        <w:t>, stk. 6, nr. 1-13, modtager fortrolige oplysninger fra Spillemyndigheden, med hensyn til disse oplysninger er undergivet den i stk. 1 omhandlede tavshedspligt.</w:t>
      </w:r>
    </w:p>
    <w:p w14:paraId="12DF17A1" w14:textId="77777777" w:rsidR="00A06D45" w:rsidRPr="00796736" w:rsidRDefault="00A06D45" w:rsidP="00A802A5">
      <w:pPr>
        <w:spacing w:line="360" w:lineRule="auto"/>
        <w:rPr>
          <w:rFonts w:ascii="Times New Roman" w:hAnsi="Times New Roman" w:cs="Times New Roman"/>
          <w:sz w:val="24"/>
          <w:szCs w:val="24"/>
        </w:rPr>
      </w:pPr>
    </w:p>
    <w:p w14:paraId="139A467F" w14:textId="512D69A9" w:rsidR="00A06D45" w:rsidRPr="00796736" w:rsidRDefault="00A06D45" w:rsidP="00A802A5">
      <w:pPr>
        <w:pStyle w:val="Undertitel"/>
      </w:pPr>
      <w:bookmarkStart w:id="2222" w:name="_Toc232109442"/>
      <w:bookmarkStart w:id="2223" w:name="_Toc244879422"/>
      <w:bookmarkStart w:id="2224" w:name="_Toc244880947"/>
      <w:r w:rsidRPr="00796736">
        <w:t xml:space="preserve">Til </w:t>
      </w:r>
      <w:r w:rsidR="009C6431" w:rsidRPr="00796736">
        <w:fldChar w:fldCharType="begin"/>
      </w:r>
      <w:r w:rsidR="009C6431" w:rsidRPr="00796736">
        <w:instrText xml:space="preserve"> REF _Ref232622220 \r \h </w:instrText>
      </w:r>
      <w:r w:rsidR="00EA770E" w:rsidRPr="00796736">
        <w:instrText xml:space="preserve"> \* MERGEFORMAT </w:instrText>
      </w:r>
      <w:r w:rsidR="009C6431" w:rsidRPr="00796736">
        <w:fldChar w:fldCharType="separate"/>
      </w:r>
      <w:r w:rsidR="008F29E5">
        <w:t>§ 126</w:t>
      </w:r>
      <w:bookmarkEnd w:id="2223"/>
      <w:bookmarkEnd w:id="2224"/>
      <w:r w:rsidR="009C6431" w:rsidRPr="00796736">
        <w:fldChar w:fldCharType="end"/>
      </w:r>
      <w:bookmarkEnd w:id="2222"/>
    </w:p>
    <w:p w14:paraId="58EF426B"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70 i hvidvaskloven omfatter en bemyndigelse til, at erhvervsministeren kan fastsætte regler om skriftlig kommunikation m.v. </w:t>
      </w:r>
    </w:p>
    <w:p w14:paraId="6DD3D9B6" w14:textId="77777777" w:rsidR="007F3E85" w:rsidRPr="00796736" w:rsidRDefault="007F3E85" w:rsidP="00A802A5">
      <w:pPr>
        <w:spacing w:line="360" w:lineRule="auto"/>
        <w:rPr>
          <w:rFonts w:ascii="Times New Roman" w:hAnsi="Times New Roman" w:cs="Times New Roman"/>
          <w:sz w:val="24"/>
          <w:szCs w:val="24"/>
        </w:rPr>
      </w:pPr>
    </w:p>
    <w:p w14:paraId="735408F6"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er en videreførelse af § 70 i hvidvaskloven.</w:t>
      </w:r>
    </w:p>
    <w:p w14:paraId="79E8AA4B" w14:textId="77777777" w:rsidR="007F3E85" w:rsidRPr="00796736" w:rsidRDefault="007F3E85" w:rsidP="00A802A5">
      <w:pPr>
        <w:spacing w:line="360" w:lineRule="auto"/>
        <w:rPr>
          <w:rFonts w:ascii="Times New Roman" w:hAnsi="Times New Roman" w:cs="Times New Roman"/>
          <w:sz w:val="24"/>
          <w:szCs w:val="24"/>
        </w:rPr>
      </w:pPr>
    </w:p>
    <w:p w14:paraId="35DAC778" w14:textId="1C6627CC" w:rsidR="009C6431"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9C6431" w:rsidRPr="00796736">
        <w:rPr>
          <w:rFonts w:ascii="Times New Roman" w:eastAsia="Calibri" w:hAnsi="Times New Roman" w:cs="Times New Roman"/>
          <w:i/>
          <w:iCs/>
          <w:sz w:val="24"/>
          <w:szCs w:val="24"/>
        </w:rPr>
        <w:fldChar w:fldCharType="begin"/>
      </w:r>
      <w:r w:rsidR="009C6431" w:rsidRPr="00796736">
        <w:rPr>
          <w:rFonts w:ascii="Times New Roman" w:eastAsia="Calibri" w:hAnsi="Times New Roman" w:cs="Times New Roman"/>
          <w:i/>
          <w:iCs/>
          <w:sz w:val="24"/>
          <w:szCs w:val="24"/>
        </w:rPr>
        <w:instrText xml:space="preserve"> REF _Ref232622220 \r \h  \* MERGEFORMAT </w:instrText>
      </w:r>
      <w:r w:rsidR="009C6431" w:rsidRPr="00796736">
        <w:rPr>
          <w:rFonts w:ascii="Times New Roman" w:eastAsia="Calibri" w:hAnsi="Times New Roman" w:cs="Times New Roman"/>
          <w:i/>
          <w:iCs/>
          <w:sz w:val="24"/>
          <w:szCs w:val="24"/>
        </w:rPr>
      </w:r>
      <w:r w:rsidR="009C6431"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126</w:t>
      </w:r>
      <w:r w:rsidR="009C6431" w:rsidRPr="00796736">
        <w:rPr>
          <w:rFonts w:ascii="Times New Roman" w:eastAsia="Calibri"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w:t>
      </w:r>
      <w:r w:rsidR="009C6431" w:rsidRPr="00796736">
        <w:rPr>
          <w:rFonts w:ascii="Times New Roman" w:hAnsi="Times New Roman" w:cs="Times New Roman"/>
          <w:sz w:val="24"/>
          <w:szCs w:val="24"/>
        </w:rPr>
        <w:t xml:space="preserve">skatte- og vækstministeren og erhvervs- og konkurrencekraftsministeren kan fastsætte regler om, at skriftlig kommunikation til og fra skatte- og vækstministeren og erhvervs- og konkurrencekraftsministeren, Finanstilsynet, Spillemyndigheden og Erhvervsstyrelsen om forhold, som er omfattet af denne lov eller regler udstedt i medfør af denne lov, skal foregå digitalt. </w:t>
      </w:r>
    </w:p>
    <w:p w14:paraId="25232228" w14:textId="77777777" w:rsidR="009C6431" w:rsidRPr="00796736" w:rsidRDefault="009C6431" w:rsidP="00A802A5">
      <w:pPr>
        <w:spacing w:line="360" w:lineRule="auto"/>
        <w:rPr>
          <w:rFonts w:ascii="Times New Roman" w:hAnsi="Times New Roman" w:cs="Times New Roman"/>
          <w:sz w:val="24"/>
          <w:szCs w:val="24"/>
        </w:rPr>
      </w:pPr>
    </w:p>
    <w:p w14:paraId="4FE23105"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Forslaget indebærer, at bl.a. skriftlige henvendelser m.v. til skatte- og vækstministeren og erhvervs- og konkurrencekraftsministeren, Finanstilsynet, Spillemyndigheden og Erhvervsstyrelsen om forhold, som er omfattet af loven eller af regler, som er udstedt i medfør af loven, ikke anses for behørigt modtaget hos tilsynet, hvis de indsendes på anden vis end den foreskrevne digitale måde.</w:t>
      </w:r>
    </w:p>
    <w:p w14:paraId="337F7A83" w14:textId="77777777" w:rsidR="009C6431" w:rsidRPr="00796736" w:rsidRDefault="009C6431" w:rsidP="00A802A5">
      <w:pPr>
        <w:spacing w:line="360" w:lineRule="auto"/>
        <w:rPr>
          <w:rFonts w:ascii="Times New Roman" w:hAnsi="Times New Roman" w:cs="Times New Roman"/>
          <w:sz w:val="24"/>
          <w:szCs w:val="24"/>
        </w:rPr>
      </w:pPr>
    </w:p>
    <w:p w14:paraId="7F30677A" w14:textId="2C2C5132" w:rsidR="007F3E85"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oplysninger m.v. sendes til Finanstilsynet, Spillemyndigheden eller Erhvervsstyrelsen på anden måde end den foreskrevne digitale måde, eksempelvis pr. brev, følger det af den almindelige vejledningspligt, jf. forvaltningslovens § 7, at tilsynet må vejlede om reglerne på området, herunder om pligten til at kommunikere på den foreskrevne digitale måde. </w:t>
      </w:r>
    </w:p>
    <w:p w14:paraId="7EFEB88A" w14:textId="77777777" w:rsidR="007F3E85" w:rsidRPr="00796736" w:rsidRDefault="007F3E85" w:rsidP="00A802A5">
      <w:pPr>
        <w:spacing w:line="360" w:lineRule="auto"/>
        <w:rPr>
          <w:rFonts w:ascii="Times New Roman" w:hAnsi="Times New Roman" w:cs="Times New Roman"/>
          <w:sz w:val="24"/>
          <w:szCs w:val="24"/>
        </w:rPr>
      </w:pPr>
    </w:p>
    <w:p w14:paraId="22EDB4E9"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Hvis oplysninger m.v. sendes til Finanstilsynet, Spillemyndigheden eller Erhvervsstyrelsen på anden måde end den foreskrevne digitale måde, eksempelvis pr. brev, følger det af den almindelige vejledningspligt, jf. forvaltningslovens § 7, at tilsynet må vejlede om reglerne på området, herunder om pligten til at kommunikere på den foreskrevne digitale måde. </w:t>
      </w:r>
    </w:p>
    <w:p w14:paraId="01C6E594" w14:textId="77777777" w:rsidR="007F3E85" w:rsidRPr="00796736" w:rsidRDefault="007F3E85" w:rsidP="00A802A5">
      <w:pPr>
        <w:spacing w:line="360" w:lineRule="auto"/>
        <w:rPr>
          <w:rFonts w:ascii="Times New Roman" w:hAnsi="Times New Roman" w:cs="Times New Roman"/>
          <w:sz w:val="24"/>
          <w:szCs w:val="24"/>
        </w:rPr>
      </w:pPr>
    </w:p>
    <w:p w14:paraId="5743F492" w14:textId="35752389"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Samtidig indebærer forslaget, at meddelelser m.v. til eller fra Finanstilsynet, Spillemyndigheden eller Erhvervsstyrelsen, der sendes på den foreskrevne digitale måde, anses for at være kommet frem til modtageren på det tidspunkt, hvor meddelelsen m.v. er tilgængelig digitalt for modtageren, jf.</w:t>
      </w:r>
      <w:r w:rsidRPr="00796736">
        <w:rPr>
          <w:rStyle w:val="Kommentarhenvisning"/>
          <w:rFonts w:ascii="Times New Roman" w:hAnsi="Times New Roman" w:cs="Times New Roman"/>
          <w:sz w:val="24"/>
          <w:szCs w:val="24"/>
        </w:rPr>
        <w:t xml:space="preserve"> </w:t>
      </w:r>
      <w:r w:rsidRPr="00796736">
        <w:rPr>
          <w:rFonts w:ascii="Times New Roman" w:hAnsi="Times New Roman" w:cs="Times New Roman"/>
          <w:sz w:val="24"/>
          <w:szCs w:val="24"/>
        </w:rPr>
        <w:t xml:space="preserve">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_Ref232609769 \r \h </w:instrText>
      </w:r>
      <w:r w:rsidR="00EA770E"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Det vil sige med samme retsvirkninger som fysisk post, der anses for at være kommet frem, når den pågældende meddelelse m.v. er lagt i modtagerens fysiske postkasse. </w:t>
      </w:r>
    </w:p>
    <w:p w14:paraId="650A75CE" w14:textId="77777777" w:rsidR="009C6431" w:rsidRPr="00796736" w:rsidRDefault="009C6431" w:rsidP="00A802A5">
      <w:pPr>
        <w:spacing w:line="360" w:lineRule="auto"/>
        <w:rPr>
          <w:rFonts w:ascii="Times New Roman" w:hAnsi="Times New Roman" w:cs="Times New Roman"/>
          <w:sz w:val="24"/>
          <w:szCs w:val="24"/>
        </w:rPr>
      </w:pPr>
    </w:p>
    <w:p w14:paraId="5D5647D6"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Pligten til at kommunikere digitalt vil også omfatte kommunikation mellem tilsynet og en rådgiver, som optræder på virksomhedens vegne over for tilsynet.</w:t>
      </w:r>
    </w:p>
    <w:p w14:paraId="520EBB13" w14:textId="77777777" w:rsidR="009C6431" w:rsidRPr="00796736" w:rsidRDefault="009C6431" w:rsidP="00A802A5">
      <w:pPr>
        <w:spacing w:line="360" w:lineRule="auto"/>
        <w:rPr>
          <w:rFonts w:ascii="Times New Roman" w:hAnsi="Times New Roman" w:cs="Times New Roman"/>
          <w:sz w:val="24"/>
          <w:szCs w:val="24"/>
        </w:rPr>
      </w:pPr>
    </w:p>
    <w:p w14:paraId="1A2BBC0B"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Bemyndigelsen vil kunne udnyttes til at udstede regler om, hvem der omfattes af pligten til at kommunikere digitalt med tilsynet, om hvilke forhold og på hvilken måde.</w:t>
      </w:r>
    </w:p>
    <w:p w14:paraId="3D512867" w14:textId="77777777" w:rsidR="007F3E85" w:rsidRPr="00796736" w:rsidRDefault="007F3E85" w:rsidP="00A802A5">
      <w:pPr>
        <w:spacing w:line="360" w:lineRule="auto"/>
        <w:rPr>
          <w:rFonts w:ascii="Times New Roman" w:hAnsi="Times New Roman" w:cs="Times New Roman"/>
          <w:sz w:val="24"/>
          <w:szCs w:val="24"/>
        </w:rPr>
      </w:pPr>
    </w:p>
    <w:p w14:paraId="7AA9A8F4"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Ved henvendelser til Finanstilsynet, Spillemyndigheden eller Erhvervsstyrelsen kan myndighederne stille krav om, at den pågældende oplyser en e-mailadresse, som den pågældende kan kontaktes på i forbindelse med behandlingen af en konkret sag eller henvendelse. I den forbindelse kan der også pålægges den pågældende en pligt til at underrette tilsynet om en eventuel ændring i e-mailadressen, inden den konkrete sag afsluttes eller henvendelsen besvares, medmindre e-mails automatisk bliver videresendt til den nye e-mailadresse. </w:t>
      </w:r>
    </w:p>
    <w:p w14:paraId="59C3A32F" w14:textId="77777777" w:rsidR="009C6431" w:rsidRPr="00796736" w:rsidRDefault="009C6431" w:rsidP="00A802A5">
      <w:pPr>
        <w:spacing w:line="360" w:lineRule="auto"/>
        <w:rPr>
          <w:rFonts w:ascii="Times New Roman" w:hAnsi="Times New Roman" w:cs="Times New Roman"/>
          <w:sz w:val="24"/>
          <w:szCs w:val="24"/>
        </w:rPr>
      </w:pPr>
    </w:p>
    <w:p w14:paraId="4158165E"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Bemyndigelsen vil bl.a. kunne anvendes til at fastsætte regler om, at Finanstilsynet, Spillemyndigheden eller Erhvervsstyrelsen kan sende visse meddelelser, herunder afgørelser, forbud, påbud m.v., til virksomhedens henholdsvis et ledelsesmedlems digitale postkasse med de retsvirkninger, der følger af lov om Offentlig Digital Post fra offentlige afsendere, jf. lovbekendtgørelse nr. 686 af 15. april 2021. </w:t>
      </w:r>
    </w:p>
    <w:p w14:paraId="6B5EFB3F" w14:textId="77777777" w:rsidR="009C6431" w:rsidRPr="00796736" w:rsidRDefault="009C6431" w:rsidP="00A802A5">
      <w:pPr>
        <w:spacing w:line="360" w:lineRule="auto"/>
        <w:rPr>
          <w:rFonts w:ascii="Times New Roman" w:hAnsi="Times New Roman" w:cs="Times New Roman"/>
          <w:sz w:val="24"/>
          <w:szCs w:val="24"/>
        </w:rPr>
      </w:pPr>
    </w:p>
    <w:p w14:paraId="35D99DB1"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Bemyndigelsen kan endvidere benyttes til at fastsætte overgangsordninger, som skal lette overgangen til obligatorisk digital kommunikation. Bemyndigelsen kan endvidere benyttes til at fastsætte regler om fritagelse fra pligten til digital kommunikation. Fritagelsesmuligheden tænkes navnlig anvendt, hvor det er påkrævet at anvende en dansk digital signatur, og der er tale om en virksomhed med hjemsted i udlandet, som ikke kan få en dansk digital signatur eller en person uden dansk CPR-nummer.</w:t>
      </w:r>
    </w:p>
    <w:p w14:paraId="7883683D" w14:textId="77777777" w:rsidR="009C6431" w:rsidRPr="00796736" w:rsidRDefault="009C6431" w:rsidP="00A802A5">
      <w:pPr>
        <w:spacing w:line="360" w:lineRule="auto"/>
        <w:rPr>
          <w:rFonts w:ascii="Times New Roman" w:hAnsi="Times New Roman" w:cs="Times New Roman"/>
          <w:sz w:val="24"/>
          <w:szCs w:val="24"/>
        </w:rPr>
      </w:pPr>
    </w:p>
    <w:p w14:paraId="6442DD4D"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Fritagelsesmuligheden tænkes endvidere anvendt i forbindelse med, at Finanstilsynet, Spillemyndigheden eller Erhvervsstyrelsen har sagstyper, der omfatter meget store mængder materiale, og som det derfor vil være uhensigtsmæssigt for både virksomheden og myndigheden at skulle sende digitalt.  Dette er primært i forbindelse med undersøgelsesmateriale. Forud for, at tilsynsmyndigheden tager på undersøgelse i en virksomhed omfattet af lovforslaget, anmoder tilsynsmyndigheden virksomheden om at indsende materiale. Der er ofte tale om meget omfattende mængder materiale, hvorfor det kan være hensigtsmæssigt, at der ikke er krav om, at det indsendes digitalt. </w:t>
      </w:r>
    </w:p>
    <w:p w14:paraId="7430B799" w14:textId="77777777" w:rsidR="009C6431" w:rsidRPr="00796736" w:rsidRDefault="009C6431" w:rsidP="00A802A5">
      <w:pPr>
        <w:spacing w:line="360" w:lineRule="auto"/>
        <w:rPr>
          <w:rFonts w:ascii="Times New Roman" w:hAnsi="Times New Roman" w:cs="Times New Roman"/>
          <w:sz w:val="24"/>
          <w:szCs w:val="24"/>
        </w:rPr>
      </w:pPr>
    </w:p>
    <w:p w14:paraId="0C00669D"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Derudover skal det bemærkes, at den kommunikation, der er mellem en virksomhed og tilsynsmyndigheden, når tilsynsmyndigheden er på undersøgelse i virksomheden, fortsat vil kunne foregå på stedet. Dette både med hensyn til forevisning af legitimation og evt. udlevering af dokumenter under undersøgelsen. På samme måde kan kommunikationen på møder i øvrigt, herunder afrapporteringsmødet efter en undersøgelse fortsat ske uændret.</w:t>
      </w:r>
    </w:p>
    <w:p w14:paraId="066D5C98" w14:textId="77777777" w:rsidR="009C6431" w:rsidRPr="00796736" w:rsidRDefault="009C6431" w:rsidP="00A802A5">
      <w:pPr>
        <w:spacing w:line="360" w:lineRule="auto"/>
        <w:rPr>
          <w:rFonts w:ascii="Times New Roman" w:hAnsi="Times New Roman" w:cs="Times New Roman"/>
          <w:sz w:val="24"/>
          <w:szCs w:val="24"/>
        </w:rPr>
      </w:pPr>
    </w:p>
    <w:p w14:paraId="2C85F89B"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Da kommunikationen i relation til lovforslaget er rettet til og fra erhvervslivet, vil anvendelse af fritagelsesmulighederne være restriktiv. </w:t>
      </w:r>
    </w:p>
    <w:p w14:paraId="2A9F0D6E" w14:textId="77777777" w:rsidR="009C6431" w:rsidRPr="00796736" w:rsidRDefault="009C6431" w:rsidP="00A802A5">
      <w:pPr>
        <w:spacing w:line="360" w:lineRule="auto"/>
        <w:rPr>
          <w:rFonts w:ascii="Times New Roman" w:hAnsi="Times New Roman" w:cs="Times New Roman"/>
          <w:sz w:val="24"/>
          <w:szCs w:val="24"/>
        </w:rPr>
      </w:pPr>
    </w:p>
    <w:p w14:paraId="32D2F480"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Som udgangspunkt gælder, at det forhold, at en virksomhed eller en person oplever, at den pågældendes computer ikke fungerer, at den pågældende har mistet koden til sin digitale signatur eller oplever lignende hindringer, som det er op til den pågældende at overvinde, ikke kan føre til fritagelse fra pligten til digital kommunikation. I så fald må den pågældende anvende en computer på et folkebibliotek eller anmode en rådgiver om at varetage kommunikationen på den pågældendes vegne.</w:t>
      </w:r>
    </w:p>
    <w:p w14:paraId="61FAAD89" w14:textId="77777777" w:rsidR="009C6431" w:rsidRPr="00796736" w:rsidRDefault="009C6431" w:rsidP="00A802A5">
      <w:pPr>
        <w:spacing w:line="360" w:lineRule="auto"/>
        <w:rPr>
          <w:rFonts w:ascii="Times New Roman" w:hAnsi="Times New Roman" w:cs="Times New Roman"/>
          <w:sz w:val="24"/>
          <w:szCs w:val="24"/>
        </w:rPr>
      </w:pPr>
    </w:p>
    <w:p w14:paraId="68E05535" w14:textId="77777777"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Der er tale om fravigelse af kravet i situationer, hvor det er påkrævet, at myndigheder reagerer hurtigt med henblik på at varetage særlige samfundsmæssige hensyn. Det kan for eksempel være, at der er behov for, at der reageres hurtigt i krisesituationer, hvor en finansiel virksomhed er i akutte vanskeligheder. Det kan ligeledes være tilfældet, hvor der er lovgivningsmæssige tidsfrister, der har store samfundsmæssige konsekvenser, hvis de overskrides som følge af, at det er umuligt for myndigheden at kommunikere digitalt. </w:t>
      </w:r>
    </w:p>
    <w:p w14:paraId="0131B670" w14:textId="77777777" w:rsidR="009C6431" w:rsidRPr="00796736" w:rsidRDefault="009C6431" w:rsidP="00A802A5">
      <w:pPr>
        <w:spacing w:line="360" w:lineRule="auto"/>
        <w:rPr>
          <w:rFonts w:ascii="Times New Roman" w:hAnsi="Times New Roman" w:cs="Times New Roman"/>
          <w:sz w:val="24"/>
          <w:szCs w:val="24"/>
        </w:rPr>
      </w:pPr>
    </w:p>
    <w:p w14:paraId="6B30948B" w14:textId="2B6318C1" w:rsidR="009C6431" w:rsidRPr="00796736" w:rsidRDefault="009C643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det foreslåede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kan der i bekendtgørelsen specificeres krav om anvendelse af bestemte </w:t>
      </w:r>
      <w:r w:rsidR="005D6D6F" w:rsidRPr="00796736">
        <w:rPr>
          <w:rFonts w:ascii="Times New Roman" w:hAnsi="Times New Roman" w:cs="Times New Roman"/>
          <w:sz w:val="24"/>
          <w:szCs w:val="24"/>
        </w:rPr>
        <w:t>IT</w:t>
      </w:r>
      <w:r w:rsidRPr="00796736">
        <w:rPr>
          <w:rFonts w:ascii="Times New Roman" w:hAnsi="Times New Roman" w:cs="Times New Roman"/>
          <w:sz w:val="24"/>
          <w:szCs w:val="24"/>
        </w:rPr>
        <w:t>-systemer, digitale formater og digital signatur eller lignende.</w:t>
      </w:r>
    </w:p>
    <w:p w14:paraId="02107E19" w14:textId="77777777" w:rsidR="00A06D45" w:rsidRPr="00796736" w:rsidRDefault="00A06D45" w:rsidP="00A802A5">
      <w:pPr>
        <w:spacing w:line="360" w:lineRule="auto"/>
        <w:rPr>
          <w:rFonts w:ascii="Times New Roman" w:hAnsi="Times New Roman" w:cs="Times New Roman"/>
          <w:sz w:val="24"/>
          <w:szCs w:val="24"/>
        </w:rPr>
      </w:pPr>
    </w:p>
    <w:p w14:paraId="4DC23137" w14:textId="7C1DC2F8" w:rsidR="00A06D45" w:rsidRPr="00796736" w:rsidRDefault="00A06D45" w:rsidP="00A802A5">
      <w:pPr>
        <w:pStyle w:val="Undertitel"/>
      </w:pPr>
      <w:bookmarkStart w:id="2225" w:name="_Toc232109443"/>
      <w:bookmarkStart w:id="2226" w:name="_Toc244879423"/>
      <w:bookmarkStart w:id="2227" w:name="_Toc244880948"/>
      <w:r w:rsidRPr="00796736">
        <w:t xml:space="preserve">Til </w:t>
      </w:r>
      <w:bookmarkEnd w:id="2225"/>
      <w:r w:rsidR="008D049E" w:rsidRPr="00796736">
        <w:fldChar w:fldCharType="begin"/>
      </w:r>
      <w:r w:rsidR="008D049E" w:rsidRPr="00796736">
        <w:instrText xml:space="preserve"> REF _Ref232609769 \r \h </w:instrText>
      </w:r>
      <w:r w:rsidR="00967618" w:rsidRPr="00796736">
        <w:instrText xml:space="preserve"> \* MERGEFORMAT </w:instrText>
      </w:r>
      <w:r w:rsidR="008D049E" w:rsidRPr="00796736">
        <w:fldChar w:fldCharType="separate"/>
      </w:r>
      <w:r w:rsidR="008F29E5">
        <w:t>§ 127</w:t>
      </w:r>
      <w:bookmarkEnd w:id="2226"/>
      <w:bookmarkEnd w:id="2227"/>
      <w:r w:rsidR="008D049E" w:rsidRPr="00796736">
        <w:fldChar w:fldCharType="end"/>
      </w:r>
    </w:p>
    <w:p w14:paraId="4D3EA21C"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Efter § 71 i hvidvaskloven anses en digital meddelelse for at være kommet frem, når den er tilgængelig for adressaten for meddelelsen.</w:t>
      </w:r>
    </w:p>
    <w:p w14:paraId="76DDD779" w14:textId="77777777" w:rsidR="007F3E85" w:rsidRPr="00796736" w:rsidRDefault="007F3E85" w:rsidP="00A802A5">
      <w:pPr>
        <w:spacing w:line="360" w:lineRule="auto"/>
        <w:rPr>
          <w:rFonts w:ascii="Times New Roman" w:hAnsi="Times New Roman" w:cs="Times New Roman"/>
          <w:sz w:val="24"/>
          <w:szCs w:val="24"/>
        </w:rPr>
      </w:pPr>
    </w:p>
    <w:p w14:paraId="37A02BDA"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 hvidvasklovens § 71 foreslås videreført.</w:t>
      </w:r>
    </w:p>
    <w:p w14:paraId="16BF1D72" w14:textId="77777777" w:rsidR="007F3E85" w:rsidRPr="00796736" w:rsidRDefault="007F3E85" w:rsidP="00A802A5">
      <w:pPr>
        <w:spacing w:line="360" w:lineRule="auto"/>
        <w:rPr>
          <w:rFonts w:ascii="Times New Roman" w:hAnsi="Times New Roman" w:cs="Times New Roman"/>
          <w:sz w:val="24"/>
          <w:szCs w:val="24"/>
        </w:rPr>
      </w:pPr>
    </w:p>
    <w:p w14:paraId="3CD94A53" w14:textId="175E725B"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009C6431" w:rsidRPr="00796736">
        <w:rPr>
          <w:rFonts w:ascii="Times New Roman" w:eastAsia="Calibri" w:hAnsi="Times New Roman" w:cs="Times New Roman"/>
          <w:i/>
          <w:iCs/>
          <w:sz w:val="24"/>
          <w:szCs w:val="24"/>
        </w:rPr>
        <w:fldChar w:fldCharType="begin"/>
      </w:r>
      <w:r w:rsidR="009C6431" w:rsidRPr="00796736">
        <w:rPr>
          <w:rFonts w:ascii="Times New Roman" w:eastAsia="Calibri" w:hAnsi="Times New Roman" w:cs="Times New Roman"/>
          <w:i/>
          <w:iCs/>
          <w:sz w:val="24"/>
          <w:szCs w:val="24"/>
        </w:rPr>
        <w:instrText xml:space="preserve"> REF _Ref232609769 \r \h  \* MERGEFORMAT </w:instrText>
      </w:r>
      <w:r w:rsidR="009C6431" w:rsidRPr="00796736">
        <w:rPr>
          <w:rFonts w:ascii="Times New Roman" w:eastAsia="Calibri" w:hAnsi="Times New Roman" w:cs="Times New Roman"/>
          <w:i/>
          <w:iCs/>
          <w:sz w:val="24"/>
          <w:szCs w:val="24"/>
        </w:rPr>
      </w:r>
      <w:r w:rsidR="009C6431"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127</w:t>
      </w:r>
      <w:r w:rsidR="009C6431" w:rsidRPr="00796736">
        <w:rPr>
          <w:rFonts w:ascii="Times New Roman" w:eastAsia="Calibri" w:hAnsi="Times New Roman" w:cs="Times New Roman"/>
          <w:i/>
          <w:iCs/>
          <w:sz w:val="24"/>
          <w:szCs w:val="24"/>
        </w:rPr>
        <w:fldChar w:fldCharType="end"/>
      </w:r>
      <w:r w:rsidRPr="00796736">
        <w:rPr>
          <w:rFonts w:ascii="Times New Roman" w:hAnsi="Times New Roman" w:cs="Times New Roman"/>
          <w:sz w:val="24"/>
          <w:szCs w:val="24"/>
        </w:rPr>
        <w:t>, at en digital meddelelse anses for at være kommet frem, når den er tilgængelig for adressaten for meddelelsen.</w:t>
      </w:r>
    </w:p>
    <w:p w14:paraId="7705168F" w14:textId="77777777" w:rsidR="007F3E85" w:rsidRPr="00796736" w:rsidRDefault="007F3E85" w:rsidP="00A802A5">
      <w:pPr>
        <w:spacing w:line="360" w:lineRule="auto"/>
        <w:rPr>
          <w:rFonts w:ascii="Times New Roman" w:hAnsi="Times New Roman" w:cs="Times New Roman"/>
          <w:sz w:val="24"/>
          <w:szCs w:val="24"/>
        </w:rPr>
      </w:pPr>
    </w:p>
    <w:p w14:paraId="193F65EF"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Udtrykket »en digital meddelelse« bruges om en hvilken som helst skriftlig kommunikation, som foretages digitalt, herunder også en afgørelse, som sendes via mail, via den offentlige digitale postløsning eller på anden digital måde.</w:t>
      </w:r>
    </w:p>
    <w:p w14:paraId="30365093" w14:textId="77777777" w:rsidR="007F3E85" w:rsidRPr="00796736" w:rsidRDefault="007F3E85" w:rsidP="00A802A5">
      <w:pPr>
        <w:spacing w:line="360" w:lineRule="auto"/>
        <w:rPr>
          <w:rFonts w:ascii="Times New Roman" w:hAnsi="Times New Roman" w:cs="Times New Roman"/>
          <w:sz w:val="24"/>
          <w:szCs w:val="24"/>
        </w:rPr>
      </w:pPr>
    </w:p>
    <w:p w14:paraId="2EBDED92"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digital meddelelse anses for at være kommet frem, når meddelelsen er tilgængelig digitalt for adressaten. Dette svarer til, at et papirbrev anses for at være kommet frem, når det pågældende brev er lagt i adressatens fysiske postkasse. Det er uden betydning, om eller hvornår adressaten gør sig bekendt med indholdet af meddelelsen.</w:t>
      </w:r>
    </w:p>
    <w:p w14:paraId="474FCF88" w14:textId="77777777" w:rsidR="007F3E85" w:rsidRPr="00796736" w:rsidRDefault="007F3E85" w:rsidP="00A802A5">
      <w:pPr>
        <w:spacing w:line="360" w:lineRule="auto"/>
        <w:rPr>
          <w:rFonts w:ascii="Times New Roman" w:hAnsi="Times New Roman" w:cs="Times New Roman"/>
          <w:sz w:val="24"/>
          <w:szCs w:val="24"/>
        </w:rPr>
      </w:pPr>
    </w:p>
    <w:p w14:paraId="5BD977E9"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meddelelse vil normalt blive anset for at være tilgængelig digitalt, selvom den pågældende ikke kan skaffe sig adgang til meddelelsen, hvis dette skyldes hindringer, som det er op til den pågældende at overvinde.</w:t>
      </w:r>
    </w:p>
    <w:p w14:paraId="40DA07E0" w14:textId="77777777" w:rsidR="007F3E85" w:rsidRPr="00796736" w:rsidRDefault="007F3E85" w:rsidP="00A802A5">
      <w:pPr>
        <w:spacing w:line="360" w:lineRule="auto"/>
        <w:rPr>
          <w:rFonts w:ascii="Times New Roman" w:hAnsi="Times New Roman" w:cs="Times New Roman"/>
          <w:sz w:val="24"/>
          <w:szCs w:val="24"/>
        </w:rPr>
      </w:pPr>
    </w:p>
    <w:p w14:paraId="076CFB3D"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Fremkomsttidspunktet er bl.a. afgørende for, hvornår forvaltningsakter, herunder afgørelser fra en myndighed, får de tilsigtede retsvirkninger. Det antages f.eks., at afgørelser i almindelighed skal meddeles til deres adressat for at få de tilsigtede retsvirkninger, og at meddelelse er sket, når afgørelsen er kommet frem til den, som afgørelsen retter sig til.</w:t>
      </w:r>
    </w:p>
    <w:p w14:paraId="7AEF04FC" w14:textId="77777777" w:rsidR="007F3E85" w:rsidRPr="00796736" w:rsidRDefault="007F3E85" w:rsidP="00A802A5">
      <w:pPr>
        <w:spacing w:line="360" w:lineRule="auto"/>
        <w:rPr>
          <w:rFonts w:ascii="Times New Roman" w:hAnsi="Times New Roman" w:cs="Times New Roman"/>
          <w:sz w:val="24"/>
          <w:szCs w:val="24"/>
        </w:rPr>
      </w:pPr>
    </w:p>
    <w:p w14:paraId="3E9F2FBB"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Fremkomsttidspunktet er normalt også afgørende for, om en indberetning eller lignende til en myndighed anses for rettidig. En meddelelse vil normalt anses for at være kommet frem til tilsynsmyndigheden på det tidspunkt, hvor meddelelsen er tilgængelig for tilsynsmyndigheden, det vil sige, når tilsynsmyndigheden kan behandle meddelelsen. Dette tidspunkt vil normalt blive registreret automatisk i en modtagelsesanordning eller et datasystem. En meddelelse, der først er tilgængelig efter kl. 24.00, anses normalt først for modtaget den dag, meddelelsen er tilgængelig.</w:t>
      </w:r>
    </w:p>
    <w:p w14:paraId="7BF70042" w14:textId="77777777" w:rsidR="007F3E85" w:rsidRPr="00796736" w:rsidRDefault="007F3E85" w:rsidP="00A802A5">
      <w:pPr>
        <w:spacing w:line="360" w:lineRule="auto"/>
        <w:rPr>
          <w:rFonts w:ascii="Times New Roman" w:hAnsi="Times New Roman" w:cs="Times New Roman"/>
          <w:sz w:val="24"/>
          <w:szCs w:val="24"/>
        </w:rPr>
      </w:pPr>
    </w:p>
    <w:p w14:paraId="4DD1D053" w14:textId="6BB50630"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Kan modtagelsestidspunktet for en digital meddelelse til en myndighed ikke fastlægges som følge af problemer med myndighedens </w:t>
      </w:r>
      <w:r w:rsidR="005D6D6F" w:rsidRPr="00796736">
        <w:rPr>
          <w:rFonts w:ascii="Times New Roman" w:hAnsi="Times New Roman" w:cs="Times New Roman"/>
          <w:sz w:val="24"/>
          <w:szCs w:val="24"/>
        </w:rPr>
        <w:t>IT</w:t>
      </w:r>
      <w:r w:rsidRPr="00796736">
        <w:rPr>
          <w:rFonts w:ascii="Times New Roman" w:hAnsi="Times New Roman" w:cs="Times New Roman"/>
          <w:sz w:val="24"/>
          <w:szCs w:val="24"/>
        </w:rPr>
        <w:t>-system eller andre lignende problemer (sammenbrud i den digitale signaturs infrastruktur, generelle strømafbrydelser, generelle problemer hos myndighedens internetudbyder o.l.), må meddelelsen anses for at være kommet frem på det tidspunkt, hvor meddelelsen blev afsendt, hvis der kan fremskaffes pålidelige oplysninger om afsendelsestidspunktet.</w:t>
      </w:r>
    </w:p>
    <w:p w14:paraId="0531CCCF" w14:textId="77777777" w:rsidR="007F3E85" w:rsidRPr="00796736" w:rsidRDefault="007F3E85" w:rsidP="00A802A5">
      <w:pPr>
        <w:spacing w:line="360" w:lineRule="auto"/>
        <w:rPr>
          <w:rFonts w:ascii="Times New Roman" w:hAnsi="Times New Roman" w:cs="Times New Roman"/>
          <w:sz w:val="24"/>
          <w:szCs w:val="24"/>
        </w:rPr>
      </w:pPr>
    </w:p>
    <w:p w14:paraId="628ACDB4"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Opstår problemerne tæt på fristen for indgivelse af meddelelsen, og kan problemerne føre til, at fristen med rimelighed ikke kan overholdes, anses meddelelsen for at være kommet frem inden for fristen, hvis den er tilgængelig for myndigheden inden for en rimelig tid efter, at forhindringen er ophørt. Det vil således ikke komme afsenderen til skade, at indberetningen m.v. modtages efter fristens udløb, hvis dette skyldes systemnedbrud hos myndigheden.</w:t>
      </w:r>
    </w:p>
    <w:p w14:paraId="02026E8D" w14:textId="77777777" w:rsidR="007F3E85" w:rsidRPr="00796736" w:rsidRDefault="007F3E85" w:rsidP="00A802A5">
      <w:pPr>
        <w:spacing w:line="360" w:lineRule="auto"/>
        <w:rPr>
          <w:rFonts w:ascii="Times New Roman" w:hAnsi="Times New Roman" w:cs="Times New Roman"/>
          <w:sz w:val="24"/>
          <w:szCs w:val="24"/>
        </w:rPr>
      </w:pPr>
    </w:p>
    <w:p w14:paraId="3257C9E0"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 meddelelse fra en myndighed vil normalt være tilgængelig for modtageren, når adressaten (borgeren eller virksomheden m.v.) vil kunne fremkalde meddelelsen på en almindeligt fungerende computer tilsluttet internettet med almindeligt tilgængelige programmer og dermed gøre sig bekendt med meddelelsens indhold. Det er i den forbindelse uden betydning, om adressaten for myndighedens meddelelse har bragt sig i stand til at tilgå meddelelsen, f.eks. hvis modtageren af en meddelelse, som myndigheden har sendt til den pågældende via den offentlige digitale postløsning, ikke har skaffet sig den fornødne offentlige digitale signatur til at modtage meddelelser i den offentlige digitale postløsning, eller at modtageren i sit elektroniske system har installeret anordninger (spamfiltre, firewalls m.v.), som afviser at modtage meddelelser.</w:t>
      </w:r>
    </w:p>
    <w:p w14:paraId="6CE8681F" w14:textId="77777777" w:rsidR="007F3E85" w:rsidRPr="00796736" w:rsidRDefault="007F3E85" w:rsidP="00A802A5">
      <w:pPr>
        <w:spacing w:line="360" w:lineRule="auto"/>
        <w:rPr>
          <w:rFonts w:ascii="Times New Roman" w:hAnsi="Times New Roman" w:cs="Times New Roman"/>
          <w:sz w:val="24"/>
          <w:szCs w:val="24"/>
        </w:rPr>
      </w:pPr>
    </w:p>
    <w:p w14:paraId="76D7D8CB" w14:textId="16D5628C"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er endvidere uden betydning, om adressaten oplever, at vedkommendes egen computer ikke fungerer, eller at vedkommende har mistet koden til sin digitale signatur eller oplever lignende hindringer, som det er op til adressaten at overvinde. En meddelelse vil blive anset for at være tilgængelig, selvom den pågældende ikke kan skaffe sig adgang til meddelelsen, hvis dette skyldes hindringer, som det er op til den pågældende at overvinde. Som eksempler herpå kan nævnes, at den pågældendes computer ikke fungerer, eller den pågældende har mistet koden til sin digitale signatur.</w:t>
      </w:r>
    </w:p>
    <w:p w14:paraId="607A3BF1" w14:textId="77777777" w:rsidR="000F6E2E" w:rsidRPr="00796736" w:rsidRDefault="000F6E2E" w:rsidP="00A802A5">
      <w:pPr>
        <w:spacing w:line="360" w:lineRule="auto"/>
        <w:rPr>
          <w:rFonts w:ascii="Times New Roman" w:hAnsi="Times New Roman" w:cs="Times New Roman"/>
          <w:sz w:val="24"/>
          <w:szCs w:val="24"/>
          <w:lang w:eastAsia="da-DK"/>
        </w:rPr>
      </w:pPr>
    </w:p>
    <w:p w14:paraId="19B29B74" w14:textId="022C06E1" w:rsidR="000F6E2E" w:rsidRPr="00796736" w:rsidRDefault="000F6E2E" w:rsidP="00A802A5">
      <w:pPr>
        <w:pStyle w:val="Undertitel"/>
      </w:pPr>
      <w:bookmarkStart w:id="2228" w:name="_Toc232109444"/>
      <w:bookmarkStart w:id="2229" w:name="_Toc244879424"/>
      <w:bookmarkStart w:id="2230" w:name="_Toc244880949"/>
      <w:r w:rsidRPr="00796736">
        <w:t xml:space="preserve">Til </w:t>
      </w:r>
      <w:bookmarkEnd w:id="2228"/>
      <w:r w:rsidR="008D049E" w:rsidRPr="00796736">
        <w:fldChar w:fldCharType="begin"/>
      </w:r>
      <w:r w:rsidR="008D049E" w:rsidRPr="00796736">
        <w:instrText xml:space="preserve"> REF _Ref232609793 \r \h </w:instrText>
      </w:r>
      <w:r w:rsidR="00967618" w:rsidRPr="00796736">
        <w:instrText xml:space="preserve"> \* MERGEFORMAT </w:instrText>
      </w:r>
      <w:r w:rsidR="008D049E" w:rsidRPr="00796736">
        <w:fldChar w:fldCharType="separate"/>
      </w:r>
      <w:r w:rsidR="008F29E5">
        <w:t>§ 128</w:t>
      </w:r>
      <w:bookmarkEnd w:id="2229"/>
      <w:bookmarkEnd w:id="2230"/>
      <w:r w:rsidR="008D049E" w:rsidRPr="00796736">
        <w:fldChar w:fldCharType="end"/>
      </w:r>
    </w:p>
    <w:p w14:paraId="35DEB9FD" w14:textId="77777777" w:rsidR="007F3E85" w:rsidRPr="00796736" w:rsidRDefault="007F3E85" w:rsidP="00A802A5">
      <w:pPr>
        <w:spacing w:after="200" w:line="360" w:lineRule="auto"/>
        <w:jc w:val="left"/>
        <w:rPr>
          <w:rFonts w:ascii="Times New Roman" w:hAnsi="Times New Roman" w:cs="Times New Roman"/>
          <w:sz w:val="24"/>
          <w:szCs w:val="24"/>
        </w:rPr>
      </w:pPr>
      <w:r w:rsidRPr="00796736">
        <w:rPr>
          <w:rFonts w:ascii="Times New Roman" w:hAnsi="Times New Roman" w:cs="Times New Roman"/>
          <w:sz w:val="24"/>
          <w:szCs w:val="24"/>
        </w:rPr>
        <w:t>§ 72 i hvidvaskloven fastsætter regler om opfyldelse af krav om underskrift af dokumenter udstedt af andre myndigheder.</w:t>
      </w:r>
    </w:p>
    <w:p w14:paraId="3C91E21F" w14:textId="0DBE8590" w:rsidR="007F3E85" w:rsidRPr="00796736" w:rsidRDefault="007F3E85" w:rsidP="00A802A5">
      <w:pPr>
        <w:spacing w:after="200" w:line="360" w:lineRule="auto"/>
        <w:jc w:val="left"/>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9C6431" w:rsidRPr="00796736">
        <w:rPr>
          <w:rFonts w:ascii="Times New Roman" w:eastAsia="Calibri" w:hAnsi="Times New Roman" w:cs="Times New Roman"/>
          <w:sz w:val="24"/>
          <w:szCs w:val="24"/>
        </w:rPr>
        <w:t xml:space="preserve"> </w:t>
      </w:r>
      <w:r w:rsidR="009C6431" w:rsidRPr="00796736">
        <w:rPr>
          <w:rFonts w:ascii="Times New Roman" w:eastAsia="Calibri" w:hAnsi="Times New Roman" w:cs="Times New Roman"/>
          <w:sz w:val="24"/>
          <w:szCs w:val="24"/>
        </w:rPr>
        <w:fldChar w:fldCharType="begin"/>
      </w:r>
      <w:r w:rsidR="009C6431" w:rsidRPr="00796736">
        <w:rPr>
          <w:rFonts w:ascii="Times New Roman" w:eastAsia="Calibri" w:hAnsi="Times New Roman" w:cs="Times New Roman"/>
          <w:sz w:val="24"/>
          <w:szCs w:val="24"/>
        </w:rPr>
        <w:instrText xml:space="preserve"> REF _Ref232609793 \r \h  \* MERGEFORMAT </w:instrText>
      </w:r>
      <w:r w:rsidR="009C6431" w:rsidRPr="00796736">
        <w:rPr>
          <w:rFonts w:ascii="Times New Roman" w:eastAsia="Calibri" w:hAnsi="Times New Roman" w:cs="Times New Roman"/>
          <w:sz w:val="24"/>
          <w:szCs w:val="24"/>
        </w:rPr>
      </w:r>
      <w:r w:rsidR="009C6431"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128</w:t>
      </w:r>
      <w:r w:rsidR="009C6431" w:rsidRPr="00796736">
        <w:rPr>
          <w:rFonts w:ascii="Times New Roman" w:eastAsia="Calibri" w:hAnsi="Times New Roman" w:cs="Times New Roman"/>
          <w:sz w:val="24"/>
          <w:szCs w:val="24"/>
        </w:rPr>
        <w:fldChar w:fldCharType="end"/>
      </w:r>
      <w:r w:rsidR="009C6431" w:rsidRPr="00796736">
        <w:rPr>
          <w:rFonts w:ascii="Times New Roman" w:eastAsia="Calibri" w:hAnsi="Times New Roman" w:cs="Times New Roman"/>
          <w:sz w:val="24"/>
          <w:szCs w:val="24"/>
        </w:rPr>
        <w:t xml:space="preserve"> </w:t>
      </w:r>
      <w:r w:rsidRPr="00796736">
        <w:rPr>
          <w:rFonts w:ascii="Times New Roman" w:hAnsi="Times New Roman" w:cs="Times New Roman"/>
          <w:sz w:val="24"/>
          <w:szCs w:val="24"/>
        </w:rPr>
        <w:t xml:space="preserve">viderefører § 72 i hvidvaskloven. </w:t>
      </w:r>
    </w:p>
    <w:p w14:paraId="3DE1EC37" w14:textId="3CE4788D" w:rsidR="009C6431"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w:t>
      </w:r>
      <w:r w:rsidR="009C6431" w:rsidRPr="00796736">
        <w:rPr>
          <w:rFonts w:ascii="Times New Roman" w:hAnsi="Times New Roman" w:cs="Times New Roman"/>
          <w:sz w:val="24"/>
          <w:szCs w:val="24"/>
        </w:rPr>
        <w:t>er de</w:t>
      </w:r>
      <w:r w:rsidR="005D6D6F" w:rsidRPr="00796736">
        <w:rPr>
          <w:rFonts w:ascii="Times New Roman" w:hAnsi="Times New Roman" w:cs="Times New Roman"/>
          <w:sz w:val="24"/>
          <w:szCs w:val="24"/>
        </w:rPr>
        <w:t>r</w:t>
      </w:r>
      <w:r w:rsidR="009C6431" w:rsidRPr="00796736">
        <w:rPr>
          <w:rFonts w:ascii="Times New Roman" w:hAnsi="Times New Roman" w:cs="Times New Roman"/>
          <w:sz w:val="24"/>
          <w:szCs w:val="24"/>
        </w:rPr>
        <w:t xml:space="preserve"> i hvidvaskforordningen, denne lov, eller de regler der er udstedt i medfør heraf, et krav om, at et dokument, som er udstedt af andre enden myndighed, jf. </w:t>
      </w:r>
      <w:r w:rsidR="009C6431" w:rsidRPr="00796736">
        <w:rPr>
          <w:rFonts w:ascii="Times New Roman" w:hAnsi="Times New Roman" w:cs="Times New Roman"/>
          <w:sz w:val="24"/>
          <w:szCs w:val="24"/>
        </w:rPr>
        <w:fldChar w:fldCharType="begin"/>
      </w:r>
      <w:r w:rsidR="009C6431" w:rsidRPr="00796736">
        <w:rPr>
          <w:rFonts w:ascii="Times New Roman" w:hAnsi="Times New Roman" w:cs="Times New Roman"/>
          <w:sz w:val="24"/>
          <w:szCs w:val="24"/>
        </w:rPr>
        <w:instrText xml:space="preserve"> REF _Ref232622220 \r \h  \* MERGEFORMAT </w:instrText>
      </w:r>
      <w:r w:rsidR="009C6431" w:rsidRPr="00796736">
        <w:rPr>
          <w:rFonts w:ascii="Times New Roman" w:hAnsi="Times New Roman" w:cs="Times New Roman"/>
          <w:sz w:val="24"/>
          <w:szCs w:val="24"/>
        </w:rPr>
      </w:r>
      <w:r w:rsidR="009C6431"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126</w:t>
      </w:r>
      <w:r w:rsidR="009C6431" w:rsidRPr="00796736">
        <w:rPr>
          <w:rFonts w:ascii="Times New Roman" w:hAnsi="Times New Roman" w:cs="Times New Roman"/>
          <w:sz w:val="24"/>
          <w:szCs w:val="24"/>
        </w:rPr>
        <w:fldChar w:fldCharType="end"/>
      </w:r>
      <w:r w:rsidR="009C6431" w:rsidRPr="00796736">
        <w:rPr>
          <w:rFonts w:ascii="Times New Roman" w:hAnsi="Times New Roman" w:cs="Times New Roman"/>
          <w:sz w:val="24"/>
          <w:szCs w:val="24"/>
        </w:rPr>
        <w:t>, stk. 1, skal være underskrevet, kan dette krav opfyldes ved anvendelse af en teknik, der sikrer entydig identifikation af den, som har udstedt dokumentet, jf. dog stk. 2. Sådanne dokumenter sidestilles med dokumenter med personlig underskrift.</w:t>
      </w:r>
    </w:p>
    <w:p w14:paraId="2A3CC700" w14:textId="77777777" w:rsidR="009C6431" w:rsidRPr="00796736" w:rsidRDefault="009C6431" w:rsidP="00A802A5">
      <w:pPr>
        <w:spacing w:line="360" w:lineRule="auto"/>
        <w:rPr>
          <w:rFonts w:ascii="Times New Roman" w:hAnsi="Times New Roman" w:cs="Times New Roman"/>
          <w:sz w:val="24"/>
          <w:szCs w:val="24"/>
        </w:rPr>
      </w:pPr>
    </w:p>
    <w:p w14:paraId="31967A1E" w14:textId="6BC51172"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vedrører dokumenter, som er omfattet </w:t>
      </w:r>
      <w:r w:rsidR="009C6431" w:rsidRPr="00796736">
        <w:rPr>
          <w:rFonts w:ascii="Times New Roman" w:hAnsi="Times New Roman" w:cs="Times New Roman"/>
          <w:sz w:val="24"/>
          <w:szCs w:val="24"/>
        </w:rPr>
        <w:t>af hvidvaskforordningen, denne lov, eller de regler der er udstedt i medfør heraf</w:t>
      </w:r>
      <w:r w:rsidRPr="00796736">
        <w:rPr>
          <w:rFonts w:ascii="Times New Roman" w:hAnsi="Times New Roman" w:cs="Times New Roman"/>
          <w:sz w:val="24"/>
          <w:szCs w:val="24"/>
        </w:rPr>
        <w:t xml:space="preserve">, og som er udstedt af andre end </w:t>
      </w:r>
      <w:r w:rsidR="009C6431" w:rsidRPr="00796736">
        <w:rPr>
          <w:rFonts w:ascii="Times New Roman" w:hAnsi="Times New Roman" w:cs="Times New Roman"/>
          <w:sz w:val="24"/>
          <w:szCs w:val="24"/>
        </w:rPr>
        <w:t xml:space="preserve">skatte- og vækstministeren, </w:t>
      </w:r>
      <w:r w:rsidRPr="00796736">
        <w:rPr>
          <w:rFonts w:ascii="Times New Roman" w:hAnsi="Times New Roman" w:cs="Times New Roman"/>
          <w:sz w:val="24"/>
          <w:szCs w:val="24"/>
        </w:rPr>
        <w:t>erhvervs</w:t>
      </w:r>
      <w:r w:rsidR="009C6431" w:rsidRPr="00796736">
        <w:rPr>
          <w:rFonts w:ascii="Times New Roman" w:hAnsi="Times New Roman" w:cs="Times New Roman"/>
          <w:sz w:val="24"/>
          <w:szCs w:val="24"/>
        </w:rPr>
        <w:t>- og konkurrencekraftsministeren</w:t>
      </w:r>
      <w:r w:rsidRPr="00796736">
        <w:rPr>
          <w:rFonts w:ascii="Times New Roman" w:hAnsi="Times New Roman" w:cs="Times New Roman"/>
          <w:sz w:val="24"/>
          <w:szCs w:val="24"/>
        </w:rPr>
        <w:t>, Finanstilsynet</w:t>
      </w:r>
      <w:r w:rsidR="009C6431" w:rsidRPr="00796736">
        <w:rPr>
          <w:rFonts w:ascii="Times New Roman" w:hAnsi="Times New Roman" w:cs="Times New Roman"/>
          <w:sz w:val="24"/>
          <w:szCs w:val="24"/>
        </w:rPr>
        <w:t>, Spillemyndigheden</w:t>
      </w:r>
      <w:r w:rsidRPr="00796736">
        <w:rPr>
          <w:rFonts w:ascii="Times New Roman" w:hAnsi="Times New Roman" w:cs="Times New Roman"/>
          <w:sz w:val="24"/>
          <w:szCs w:val="24"/>
        </w:rPr>
        <w:t xml:space="preserve"> eller Erhvervsstyrelsen, hvor</w:t>
      </w:r>
      <w:r w:rsidR="009C6431" w:rsidRPr="00796736">
        <w:rPr>
          <w:rFonts w:ascii="Times New Roman" w:hAnsi="Times New Roman" w:cs="Times New Roman"/>
          <w:sz w:val="24"/>
          <w:szCs w:val="24"/>
        </w:rPr>
        <w:t xml:space="preserve"> der er et krav om</w:t>
      </w:r>
      <w:r w:rsidRPr="00796736">
        <w:rPr>
          <w:rFonts w:ascii="Times New Roman" w:hAnsi="Times New Roman" w:cs="Times New Roman"/>
          <w:sz w:val="24"/>
          <w:szCs w:val="24"/>
        </w:rPr>
        <w:t>, at dokumentet er underskrevet</w:t>
      </w:r>
      <w:r w:rsidR="009C6431" w:rsidRPr="00796736">
        <w:rPr>
          <w:rFonts w:ascii="Times New Roman" w:hAnsi="Times New Roman" w:cs="Times New Roman"/>
          <w:sz w:val="24"/>
          <w:szCs w:val="24"/>
        </w:rPr>
        <w:t>, kan dette krav opfyldes ved anvendelse af en teknik, der sikrer entydig identifikation af den, som har udstedt dokumentet, jf. dog stk. 2. Sådanne dokumenter sidestilles med dokumenter med personlig underskrift.</w:t>
      </w:r>
      <w:r w:rsidRPr="00796736">
        <w:rPr>
          <w:rFonts w:ascii="Times New Roman" w:hAnsi="Times New Roman" w:cs="Times New Roman"/>
          <w:sz w:val="24"/>
          <w:szCs w:val="24"/>
        </w:rPr>
        <w:t xml:space="preserve"> Underskriftskravet kan fremgå udtrykkeligt eller forudsætningsvist af de pågældende regler. Der kan f.eks. være tale om dokumenter, som er udstedt af virksomheder omfattet af loven, f.eks. pengeinstitutter eller realkreditinstitutter. Der kan f.eks. også være tale om fysiske personer, som er tilknyttet virksomheden (typisk ledelsesrepræsentanter eller bestyrelsesmedlemmer). Der kan f.eks. være tale om, at ansøgninger eller underretninger efter loven sammen med eventuelle bilag indsendes til Finanstilsynet</w:t>
      </w:r>
      <w:r w:rsidR="009C6431" w:rsidRPr="00796736">
        <w:rPr>
          <w:rFonts w:ascii="Times New Roman" w:hAnsi="Times New Roman" w:cs="Times New Roman"/>
          <w:sz w:val="24"/>
          <w:szCs w:val="24"/>
        </w:rPr>
        <w:t>, Spillemyndigheden eller Erhvervsstyrelsen</w:t>
      </w:r>
      <w:r w:rsidRPr="00796736">
        <w:rPr>
          <w:rFonts w:ascii="Times New Roman" w:hAnsi="Times New Roman" w:cs="Times New Roman"/>
          <w:sz w:val="24"/>
          <w:szCs w:val="24"/>
        </w:rPr>
        <w:t xml:space="preserve"> som vedhæftede filer til en mail.</w:t>
      </w:r>
    </w:p>
    <w:p w14:paraId="74D79202" w14:textId="77777777" w:rsidR="007F3E85" w:rsidRPr="00796736" w:rsidRDefault="007F3E85" w:rsidP="00A802A5">
      <w:pPr>
        <w:spacing w:line="360" w:lineRule="auto"/>
        <w:rPr>
          <w:rFonts w:ascii="Times New Roman" w:hAnsi="Times New Roman" w:cs="Times New Roman"/>
          <w:sz w:val="24"/>
          <w:szCs w:val="24"/>
        </w:rPr>
      </w:pPr>
    </w:p>
    <w:p w14:paraId="0D095103" w14:textId="77777777"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For at der ikke skal kunne opstå tvivl om, at underskriftskravet kan opfyldes på anden måde end ved en personlig underskrift, foreslås det, at der indsættes en udtrykkelig bestemmelse i loven om, at underskriftskravet, som anført i stk. 1, kan opfyldes ved, at underskriveren anvender en teknik, der sikrer entydig identifikation af den pågældende, f.eks. digital signatur. Bestemmelsen dækker tillige dokumenter, som er udarbejdet af revisor, således at revisor eksempelvis kan underskrive dokumentet med digital signatur i stedet for med en fysisk underskrift.</w:t>
      </w:r>
    </w:p>
    <w:p w14:paraId="3975A45A" w14:textId="77777777" w:rsidR="007F3E85" w:rsidRPr="00796736" w:rsidRDefault="007F3E85" w:rsidP="00A802A5">
      <w:pPr>
        <w:spacing w:line="360" w:lineRule="auto"/>
        <w:rPr>
          <w:rFonts w:ascii="Times New Roman" w:hAnsi="Times New Roman" w:cs="Times New Roman"/>
          <w:sz w:val="24"/>
          <w:szCs w:val="24"/>
        </w:rPr>
      </w:pPr>
    </w:p>
    <w:p w14:paraId="2A23AE34" w14:textId="15A3D8BE" w:rsidR="007F3E85" w:rsidRPr="00796736" w:rsidRDefault="007F3E8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w:t>
      </w:r>
      <w:r w:rsidR="009C6431" w:rsidRPr="00796736">
        <w:rPr>
          <w:rFonts w:ascii="Times New Roman" w:hAnsi="Times New Roman" w:cs="Times New Roman"/>
          <w:sz w:val="24"/>
          <w:szCs w:val="24"/>
        </w:rPr>
        <w:t xml:space="preserve">skatte- og vækstministeren og erhvervs- og konkurrencekraftsministeren </w:t>
      </w:r>
      <w:r w:rsidRPr="00796736">
        <w:rPr>
          <w:rFonts w:ascii="Times New Roman" w:hAnsi="Times New Roman" w:cs="Times New Roman"/>
          <w:sz w:val="24"/>
          <w:szCs w:val="24"/>
        </w:rPr>
        <w:t>kan fastsætte nærmere regler om fravigelse af underskriftskrav. Det kan herunder bestemmes, at krav om personlig underskrift ikke kan fraviges for visse typer af dokumenter.</w:t>
      </w:r>
    </w:p>
    <w:p w14:paraId="740279AB" w14:textId="77777777" w:rsidR="000F6E2E" w:rsidRPr="00796736" w:rsidRDefault="000F6E2E" w:rsidP="00A802A5">
      <w:pPr>
        <w:spacing w:line="360" w:lineRule="auto"/>
        <w:rPr>
          <w:rFonts w:ascii="Times New Roman" w:hAnsi="Times New Roman" w:cs="Times New Roman"/>
          <w:sz w:val="24"/>
          <w:szCs w:val="24"/>
        </w:rPr>
      </w:pPr>
    </w:p>
    <w:p w14:paraId="1E028EBB" w14:textId="07588AD5" w:rsidR="000F6E2E" w:rsidRPr="00796736" w:rsidRDefault="000F6E2E" w:rsidP="00A802A5">
      <w:pPr>
        <w:pStyle w:val="Undertitel"/>
      </w:pPr>
      <w:bookmarkStart w:id="2231" w:name="_Toc232109445"/>
      <w:bookmarkStart w:id="2232" w:name="_Toc244879425"/>
      <w:bookmarkStart w:id="2233" w:name="_Toc244880950"/>
      <w:r w:rsidRPr="00796736">
        <w:t xml:space="preserve">Til </w:t>
      </w:r>
      <w:bookmarkEnd w:id="2231"/>
      <w:r w:rsidR="009C6431" w:rsidRPr="00796736">
        <w:fldChar w:fldCharType="begin"/>
      </w:r>
      <w:r w:rsidR="009C6431" w:rsidRPr="00796736">
        <w:instrText xml:space="preserve"> REF _Ref232620750 \r \h </w:instrText>
      </w:r>
      <w:r w:rsidR="00EA770E" w:rsidRPr="00796736">
        <w:instrText xml:space="preserve"> \* MERGEFORMAT </w:instrText>
      </w:r>
      <w:r w:rsidR="009C6431" w:rsidRPr="00796736">
        <w:fldChar w:fldCharType="separate"/>
      </w:r>
      <w:r w:rsidR="008F29E5">
        <w:t>§ 129</w:t>
      </w:r>
      <w:bookmarkEnd w:id="2232"/>
      <w:bookmarkEnd w:id="2233"/>
      <w:r w:rsidR="009C6431" w:rsidRPr="00796736">
        <w:fldChar w:fldCharType="end"/>
      </w:r>
    </w:p>
    <w:p w14:paraId="045FCBA7" w14:textId="448F5C8F" w:rsidR="00BF2CB4" w:rsidRPr="00796736" w:rsidRDefault="009C6431" w:rsidP="00A802A5">
      <w:pPr>
        <w:spacing w:after="240" w:line="360" w:lineRule="auto"/>
        <w:jc w:val="left"/>
        <w:rPr>
          <w:rFonts w:ascii="Times New Roman" w:hAnsi="Times New Roman" w:cs="Times New Roman"/>
          <w:iCs/>
          <w:sz w:val="24"/>
          <w:szCs w:val="24"/>
        </w:rPr>
      </w:pPr>
      <w:r w:rsidRPr="00796736">
        <w:rPr>
          <w:rFonts w:ascii="Times New Roman" w:hAnsi="Times New Roman" w:cs="Times New Roman"/>
          <w:iCs/>
          <w:sz w:val="24"/>
          <w:szCs w:val="24"/>
        </w:rPr>
        <w:t xml:space="preserve">§ 74 i hvidvaskloven indeholder en bemyndigelse for </w:t>
      </w:r>
      <w:r w:rsidR="00C1658C" w:rsidRPr="00796736">
        <w:rPr>
          <w:rFonts w:ascii="Times New Roman" w:hAnsi="Times New Roman" w:cs="Times New Roman"/>
          <w:iCs/>
          <w:sz w:val="24"/>
          <w:szCs w:val="24"/>
        </w:rPr>
        <w:t>e</w:t>
      </w:r>
      <w:r w:rsidRPr="00796736">
        <w:rPr>
          <w:rFonts w:ascii="Times New Roman" w:hAnsi="Times New Roman" w:cs="Times New Roman"/>
          <w:iCs/>
          <w:sz w:val="24"/>
          <w:szCs w:val="24"/>
        </w:rPr>
        <w:t>rhvervsministeren til at etablere et forum med deltagelse af tilsynsmyndigheder efter hvidvaskloven og hvidvasksekretariatet. Forummet skal koordinere myndigheders risikovurderinger og generelle foranstaltninger mod hvidvask af udbytte og finansiering af terrorisme. Erhvervsministeren kan beslutte at udvide kredsen med repræsentanter for andre myndigheder.</w:t>
      </w:r>
    </w:p>
    <w:p w14:paraId="6A146A4E" w14:textId="304939BC" w:rsidR="00BF2CB4" w:rsidRPr="00796736" w:rsidRDefault="00BF2CB4"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w:t>
      </w:r>
      <w:r w:rsidR="009C6431" w:rsidRPr="00796736">
        <w:rPr>
          <w:rFonts w:ascii="Times New Roman" w:eastAsia="Calibri" w:hAnsi="Times New Roman" w:cs="Times New Roman"/>
          <w:sz w:val="24"/>
          <w:szCs w:val="24"/>
        </w:rPr>
        <w:fldChar w:fldCharType="begin"/>
      </w:r>
      <w:r w:rsidR="009C6431" w:rsidRPr="00796736">
        <w:rPr>
          <w:rFonts w:ascii="Times New Roman" w:eastAsia="Calibri" w:hAnsi="Times New Roman" w:cs="Times New Roman"/>
          <w:sz w:val="24"/>
          <w:szCs w:val="24"/>
        </w:rPr>
        <w:instrText xml:space="preserve"> REF _Ref232620750 \r \h </w:instrText>
      </w:r>
      <w:r w:rsidR="00EA770E" w:rsidRPr="00796736">
        <w:rPr>
          <w:rFonts w:ascii="Times New Roman" w:eastAsia="Calibri" w:hAnsi="Times New Roman" w:cs="Times New Roman"/>
          <w:sz w:val="24"/>
          <w:szCs w:val="24"/>
        </w:rPr>
        <w:instrText xml:space="preserve"> \* MERGEFORMAT </w:instrText>
      </w:r>
      <w:r w:rsidR="009C6431" w:rsidRPr="00796736">
        <w:rPr>
          <w:rFonts w:ascii="Times New Roman" w:eastAsia="Calibri" w:hAnsi="Times New Roman" w:cs="Times New Roman"/>
          <w:sz w:val="24"/>
          <w:szCs w:val="24"/>
        </w:rPr>
      </w:r>
      <w:r w:rsidR="009C6431"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129</w:t>
      </w:r>
      <w:r w:rsidR="009C6431" w:rsidRPr="00796736">
        <w:rPr>
          <w:rFonts w:ascii="Times New Roman" w:eastAsia="Calibri" w:hAnsi="Times New Roman" w:cs="Times New Roman"/>
          <w:sz w:val="24"/>
          <w:szCs w:val="24"/>
        </w:rPr>
        <w:fldChar w:fldCharType="end"/>
      </w:r>
      <w:r w:rsidR="009C6431" w:rsidRPr="00796736">
        <w:rPr>
          <w:rFonts w:ascii="Times New Roman" w:eastAsia="Calibri" w:hAnsi="Times New Roman" w:cs="Times New Roman"/>
          <w:sz w:val="24"/>
          <w:szCs w:val="24"/>
        </w:rPr>
        <w:t xml:space="preserve"> </w:t>
      </w:r>
      <w:r w:rsidRPr="00796736">
        <w:rPr>
          <w:rFonts w:ascii="Times New Roman" w:eastAsia="Times New Roman" w:hAnsi="Times New Roman" w:cs="Times New Roman"/>
          <w:sz w:val="24"/>
          <w:szCs w:val="24"/>
        </w:rPr>
        <w:t xml:space="preserve">indeholder en bemyndigelse til, at </w:t>
      </w:r>
      <w:r w:rsidR="009C6431" w:rsidRPr="00796736">
        <w:rPr>
          <w:rFonts w:ascii="Times New Roman" w:eastAsia="Times New Roman" w:hAnsi="Times New Roman" w:cs="Times New Roman"/>
          <w:sz w:val="24"/>
          <w:szCs w:val="24"/>
        </w:rPr>
        <w:t>skatte- og vækstministeren</w:t>
      </w:r>
      <w:r w:rsidRPr="00796736">
        <w:rPr>
          <w:rFonts w:ascii="Times New Roman" w:eastAsia="Times New Roman" w:hAnsi="Times New Roman" w:cs="Times New Roman"/>
          <w:sz w:val="24"/>
          <w:szCs w:val="24"/>
        </w:rPr>
        <w:t xml:space="preserve"> etablerer et samarbejdsforum med deltagelse af tilsynsmyndigheder. Dette forum skal koordinere myndighedernes risikovurderinger og generelle foranstaltninger mod hvidvask af udbytte og finansiering af terrorisme. </w:t>
      </w:r>
      <w:r w:rsidR="009C6431" w:rsidRPr="00796736">
        <w:rPr>
          <w:rFonts w:ascii="Times New Roman" w:eastAsia="Times New Roman" w:hAnsi="Times New Roman" w:cs="Times New Roman"/>
          <w:sz w:val="24"/>
          <w:szCs w:val="24"/>
        </w:rPr>
        <w:t xml:space="preserve">Skatte- og vækstministeren </w:t>
      </w:r>
      <w:r w:rsidRPr="00796736">
        <w:rPr>
          <w:rFonts w:ascii="Times New Roman" w:eastAsia="Times New Roman" w:hAnsi="Times New Roman" w:cs="Times New Roman"/>
          <w:sz w:val="24"/>
          <w:szCs w:val="24"/>
        </w:rPr>
        <w:t xml:space="preserve">kan beslutte at udvide kredsen med repræsentanter for andre myndigheder. </w:t>
      </w:r>
    </w:p>
    <w:p w14:paraId="2C3F2BB9" w14:textId="77777777" w:rsidR="00BF2CB4" w:rsidRPr="00796736" w:rsidRDefault="00BF2CB4" w:rsidP="00A802A5">
      <w:pPr>
        <w:spacing w:line="360" w:lineRule="auto"/>
        <w:rPr>
          <w:rFonts w:ascii="Times New Roman" w:eastAsia="Times New Roman" w:hAnsi="Times New Roman" w:cs="Times New Roman"/>
          <w:sz w:val="24"/>
          <w:szCs w:val="24"/>
        </w:rPr>
      </w:pPr>
    </w:p>
    <w:p w14:paraId="0E7D1594" w14:textId="0D989499" w:rsidR="00BF2CB4" w:rsidRPr="00796736" w:rsidRDefault="00BF2CB4"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w:t>
      </w:r>
      <w:r w:rsidR="009C6431" w:rsidRPr="00796736">
        <w:rPr>
          <w:rFonts w:ascii="Times New Roman" w:eastAsia="Calibri" w:hAnsi="Times New Roman" w:cs="Times New Roman"/>
          <w:sz w:val="24"/>
          <w:szCs w:val="24"/>
        </w:rPr>
        <w:fldChar w:fldCharType="begin"/>
      </w:r>
      <w:r w:rsidR="009C6431" w:rsidRPr="00796736">
        <w:rPr>
          <w:rFonts w:ascii="Times New Roman" w:eastAsia="Calibri" w:hAnsi="Times New Roman" w:cs="Times New Roman"/>
          <w:sz w:val="24"/>
          <w:szCs w:val="24"/>
        </w:rPr>
        <w:instrText xml:space="preserve"> REF _Ref232620750 \r \h </w:instrText>
      </w:r>
      <w:r w:rsidR="00EA770E" w:rsidRPr="00796736">
        <w:rPr>
          <w:rFonts w:ascii="Times New Roman" w:eastAsia="Calibri" w:hAnsi="Times New Roman" w:cs="Times New Roman"/>
          <w:sz w:val="24"/>
          <w:szCs w:val="24"/>
        </w:rPr>
        <w:instrText xml:space="preserve"> \* MERGEFORMAT </w:instrText>
      </w:r>
      <w:r w:rsidR="009C6431" w:rsidRPr="00796736">
        <w:rPr>
          <w:rFonts w:ascii="Times New Roman" w:eastAsia="Calibri" w:hAnsi="Times New Roman" w:cs="Times New Roman"/>
          <w:sz w:val="24"/>
          <w:szCs w:val="24"/>
        </w:rPr>
      </w:r>
      <w:r w:rsidR="009C6431"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129</w:t>
      </w:r>
      <w:r w:rsidR="009C6431" w:rsidRPr="00796736">
        <w:rPr>
          <w:rFonts w:ascii="Times New Roman" w:eastAsia="Calibri" w:hAnsi="Times New Roman" w:cs="Times New Roman"/>
          <w:sz w:val="24"/>
          <w:szCs w:val="24"/>
        </w:rPr>
        <w:fldChar w:fldCharType="end"/>
      </w:r>
      <w:r w:rsidR="009C6431" w:rsidRPr="00796736">
        <w:rPr>
          <w:rFonts w:ascii="Times New Roman" w:eastAsia="Calibri" w:hAnsi="Times New Roman" w:cs="Times New Roman"/>
          <w:sz w:val="24"/>
          <w:szCs w:val="24"/>
        </w:rPr>
        <w:t xml:space="preserve"> </w:t>
      </w:r>
      <w:r w:rsidRPr="00796736">
        <w:rPr>
          <w:rFonts w:ascii="Times New Roman" w:eastAsia="Times New Roman" w:hAnsi="Times New Roman" w:cs="Times New Roman"/>
          <w:sz w:val="24"/>
          <w:szCs w:val="24"/>
        </w:rPr>
        <w:t>viderefører § 74 i hvidvaskloven.</w:t>
      </w:r>
    </w:p>
    <w:p w14:paraId="6FB1792C" w14:textId="77777777" w:rsidR="00BF2CB4" w:rsidRPr="00796736" w:rsidRDefault="00BF2CB4" w:rsidP="00A802A5">
      <w:pPr>
        <w:spacing w:line="360" w:lineRule="auto"/>
        <w:rPr>
          <w:rFonts w:ascii="Times New Roman" w:eastAsia="Times New Roman" w:hAnsi="Times New Roman" w:cs="Times New Roman"/>
          <w:sz w:val="24"/>
          <w:szCs w:val="24"/>
        </w:rPr>
      </w:pPr>
    </w:p>
    <w:p w14:paraId="068285D9" w14:textId="77777777" w:rsidR="00BF2CB4" w:rsidRPr="00796736" w:rsidRDefault="00BF2CB4"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Forslaget implementerer artikel 37, stk. 4, andet afsnit, i 6. hvidvaskdirektiv.</w:t>
      </w:r>
    </w:p>
    <w:p w14:paraId="585588DB" w14:textId="77777777" w:rsidR="00BF2CB4" w:rsidRPr="00796736" w:rsidRDefault="00BF2CB4" w:rsidP="00A802A5">
      <w:pPr>
        <w:spacing w:line="360" w:lineRule="auto"/>
        <w:rPr>
          <w:rFonts w:ascii="Times New Roman" w:eastAsia="Times New Roman" w:hAnsi="Times New Roman" w:cs="Times New Roman"/>
          <w:sz w:val="24"/>
          <w:szCs w:val="24"/>
        </w:rPr>
      </w:pPr>
    </w:p>
    <w:p w14:paraId="64702E25" w14:textId="3E7FCE27" w:rsidR="00BF2CB4" w:rsidRPr="00796736" w:rsidRDefault="00BF2CB4" w:rsidP="00A802A5">
      <w:pPr>
        <w:spacing w:line="360" w:lineRule="auto"/>
        <w:rPr>
          <w:rFonts w:ascii="Times New Roman" w:eastAsia="Times New Roman" w:hAnsi="Times New Roman" w:cs="Times New Roman"/>
          <w:color w:val="000000" w:themeColor="text1"/>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1, </w:t>
      </w:r>
      <w:r w:rsidRPr="00796736">
        <w:rPr>
          <w:rFonts w:ascii="Times New Roman" w:eastAsia="Times New Roman" w:hAnsi="Times New Roman" w:cs="Times New Roman"/>
          <w:sz w:val="24"/>
          <w:szCs w:val="24"/>
        </w:rPr>
        <w:t xml:space="preserve">at </w:t>
      </w:r>
      <w:r w:rsidR="009C6431" w:rsidRPr="00796736">
        <w:rPr>
          <w:rFonts w:ascii="Times New Roman" w:eastAsia="Times New Roman" w:hAnsi="Times New Roman" w:cs="Times New Roman"/>
          <w:sz w:val="24"/>
          <w:szCs w:val="24"/>
        </w:rPr>
        <w:t xml:space="preserve">skatte- og vækstministeren </w:t>
      </w:r>
      <w:r w:rsidRPr="00796736">
        <w:rPr>
          <w:rFonts w:ascii="Times New Roman" w:eastAsia="Times New Roman" w:hAnsi="Times New Roman" w:cs="Times New Roman"/>
          <w:sz w:val="24"/>
          <w:szCs w:val="24"/>
        </w:rPr>
        <w:t>etablerer et forum med deltagelse af tilsynsmyndigheder</w:t>
      </w:r>
      <w:r w:rsidR="00C1658C" w:rsidRPr="00796736">
        <w:rPr>
          <w:rFonts w:ascii="Times New Roman" w:eastAsia="Times New Roman" w:hAnsi="Times New Roman" w:cs="Times New Roman"/>
          <w:sz w:val="24"/>
          <w:szCs w:val="24"/>
        </w:rPr>
        <w:t>ne i henhold til denne lov og Hvidvasksekretariatet</w:t>
      </w:r>
      <w:r w:rsidRPr="00796736">
        <w:rPr>
          <w:rFonts w:ascii="Times New Roman" w:eastAsia="Times New Roman" w:hAnsi="Times New Roman" w:cs="Times New Roman"/>
          <w:sz w:val="24"/>
          <w:szCs w:val="24"/>
        </w:rPr>
        <w:t>. Dette forum skal koordinere myndighedernes risikovurderinger og generelle foranstaltninger mod hvidvask af udbytte og finansiering af terrorisme.</w:t>
      </w:r>
    </w:p>
    <w:p w14:paraId="3A0324FB" w14:textId="77777777" w:rsidR="00BF2CB4" w:rsidRPr="00796736" w:rsidRDefault="00BF2CB4" w:rsidP="00A802A5">
      <w:pPr>
        <w:spacing w:line="360" w:lineRule="auto"/>
        <w:rPr>
          <w:rFonts w:ascii="Times New Roman" w:eastAsia="Times New Roman" w:hAnsi="Times New Roman" w:cs="Times New Roman"/>
          <w:sz w:val="24"/>
          <w:szCs w:val="24"/>
        </w:rPr>
      </w:pPr>
    </w:p>
    <w:p w14:paraId="25AE85B4" w14:textId="77777777" w:rsidR="00BF2CB4" w:rsidRPr="00796736" w:rsidRDefault="00BF2CB4"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Forummets formål er at sikre samarbejdet mellem myndighederne på nationalt plan.</w:t>
      </w:r>
    </w:p>
    <w:p w14:paraId="334C2009" w14:textId="77777777" w:rsidR="00BF2CB4" w:rsidRPr="00796736" w:rsidRDefault="00BF2CB4" w:rsidP="00A802A5">
      <w:pPr>
        <w:spacing w:line="360" w:lineRule="auto"/>
        <w:rPr>
          <w:rFonts w:ascii="Times New Roman" w:eastAsia="Times New Roman" w:hAnsi="Times New Roman" w:cs="Times New Roman"/>
          <w:sz w:val="24"/>
          <w:szCs w:val="24"/>
        </w:rPr>
      </w:pPr>
    </w:p>
    <w:p w14:paraId="0A75C45A" w14:textId="77777777" w:rsidR="00BF2CB4" w:rsidRPr="00796736" w:rsidRDefault="00BF2CB4"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Med foranstaltninger menes en eller flere former for myndighedsudøvelse, herunder udarbejdelse og implementering af love og regler, udstedelse af vejledninger, tilsyns- og registreringsvirksomhed, internationalt arbejde, analyse m.v. </w:t>
      </w:r>
    </w:p>
    <w:p w14:paraId="62FA6452" w14:textId="77777777" w:rsidR="00BF2CB4" w:rsidRPr="00796736" w:rsidRDefault="00BF2CB4" w:rsidP="00A802A5">
      <w:pPr>
        <w:spacing w:line="360" w:lineRule="auto"/>
        <w:rPr>
          <w:rFonts w:ascii="Times New Roman" w:eastAsia="Times New Roman" w:hAnsi="Times New Roman" w:cs="Times New Roman"/>
          <w:sz w:val="24"/>
          <w:szCs w:val="24"/>
        </w:rPr>
      </w:pPr>
    </w:p>
    <w:p w14:paraId="3AE77D66" w14:textId="77777777" w:rsidR="00BF2CB4" w:rsidRPr="00796736" w:rsidRDefault="00BF2CB4"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Forummet skal bidrage til en national risikovurdering, der skal holdes løbende opdateret. Den nationale risikovurdering skal anvendes af virksomheder og personer omfattet af hvidvaskforordningen til den risikovurdering, disse skal foretage efter hvidvaskforordningens artikel 10. </w:t>
      </w:r>
    </w:p>
    <w:p w14:paraId="5DC28333" w14:textId="77777777" w:rsidR="00BF2CB4" w:rsidRPr="00796736" w:rsidRDefault="00BF2CB4" w:rsidP="00A802A5">
      <w:pPr>
        <w:spacing w:line="360" w:lineRule="auto"/>
        <w:rPr>
          <w:rFonts w:ascii="Times New Roman" w:eastAsia="Times New Roman" w:hAnsi="Times New Roman" w:cs="Times New Roman"/>
          <w:sz w:val="24"/>
          <w:szCs w:val="24"/>
        </w:rPr>
      </w:pPr>
    </w:p>
    <w:p w14:paraId="75CF795B" w14:textId="4E3F052F" w:rsidR="00BF2CB4" w:rsidRPr="00796736" w:rsidRDefault="00BF2CB4" w:rsidP="00A802A5">
      <w:pPr>
        <w:spacing w:after="240" w:line="360" w:lineRule="auto"/>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Formålet med forummet er derudover at varetage opgaver som koordinering og informationsudveksling med henblik på styrkelse af myndighedernes indsats og gennemførelse af nationale og internationale forpligtelser samt vurdering af effektiviteten af de foranstaltninger, som er iværksat.</w:t>
      </w:r>
      <w:r w:rsidR="00C1658C" w:rsidRPr="00796736">
        <w:rPr>
          <w:rFonts w:ascii="Times New Roman" w:eastAsia="Times New Roman" w:hAnsi="Times New Roman" w:cs="Times New Roman"/>
          <w:sz w:val="24"/>
          <w:szCs w:val="24"/>
        </w:rPr>
        <w:t xml:space="preserve"> Det følger af  </w:t>
      </w:r>
      <w:r w:rsidR="00C1658C" w:rsidRPr="00796736">
        <w:rPr>
          <w:rFonts w:ascii="Times New Roman" w:eastAsia="Times New Roman" w:hAnsi="Times New Roman" w:cs="Times New Roman"/>
          <w:sz w:val="24"/>
          <w:szCs w:val="24"/>
        </w:rPr>
        <w:fldChar w:fldCharType="begin"/>
      </w:r>
      <w:r w:rsidR="00C1658C" w:rsidRPr="00796736">
        <w:rPr>
          <w:rFonts w:ascii="Times New Roman" w:eastAsia="Times New Roman" w:hAnsi="Times New Roman" w:cs="Times New Roman"/>
          <w:sz w:val="24"/>
          <w:szCs w:val="24"/>
        </w:rPr>
        <w:instrText xml:space="preserve"> REF _Ref232597634 \r \h </w:instrText>
      </w:r>
      <w:r w:rsidR="00F375BF" w:rsidRPr="00796736">
        <w:rPr>
          <w:rFonts w:ascii="Times New Roman" w:eastAsia="Times New Roman" w:hAnsi="Times New Roman" w:cs="Times New Roman"/>
          <w:sz w:val="24"/>
          <w:szCs w:val="24"/>
        </w:rPr>
        <w:instrText xml:space="preserve"> \* MERGEFORMAT </w:instrText>
      </w:r>
      <w:r w:rsidR="00C1658C" w:rsidRPr="00796736">
        <w:rPr>
          <w:rFonts w:ascii="Times New Roman" w:eastAsia="Times New Roman" w:hAnsi="Times New Roman" w:cs="Times New Roman"/>
          <w:sz w:val="24"/>
          <w:szCs w:val="24"/>
        </w:rPr>
      </w:r>
      <w:r w:rsidR="00C1658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77</w:t>
      </w:r>
      <w:r w:rsidR="00C1658C" w:rsidRPr="00796736">
        <w:rPr>
          <w:rFonts w:ascii="Times New Roman" w:eastAsia="Times New Roman" w:hAnsi="Times New Roman" w:cs="Times New Roman"/>
          <w:sz w:val="24"/>
          <w:szCs w:val="24"/>
        </w:rPr>
        <w:fldChar w:fldCharType="end"/>
      </w:r>
      <w:r w:rsidR="00C1658C" w:rsidRPr="00796736">
        <w:rPr>
          <w:rFonts w:ascii="Times New Roman" w:eastAsia="Times New Roman" w:hAnsi="Times New Roman" w:cs="Times New Roman"/>
          <w:sz w:val="24"/>
          <w:szCs w:val="24"/>
        </w:rPr>
        <w:t xml:space="preserve">, nr. 2, at Finanstilsynet kan udveksle fortrolige oplysninger med medlemmerne af forummet. Det følger tillige af </w:t>
      </w:r>
      <w:r w:rsidR="00C1658C" w:rsidRPr="00796736">
        <w:rPr>
          <w:rFonts w:ascii="Times New Roman" w:hAnsi="Times New Roman" w:cs="Times New Roman"/>
          <w:iCs/>
          <w:sz w:val="24"/>
          <w:szCs w:val="24"/>
        </w:rPr>
        <w:fldChar w:fldCharType="begin"/>
      </w:r>
      <w:r w:rsidR="00C1658C" w:rsidRPr="00796736">
        <w:rPr>
          <w:rFonts w:ascii="Times New Roman" w:hAnsi="Times New Roman" w:cs="Times New Roman"/>
          <w:iCs/>
          <w:sz w:val="24"/>
          <w:szCs w:val="24"/>
        </w:rPr>
        <w:instrText xml:space="preserve"> REF _Ref239329161 \r \h </w:instrText>
      </w:r>
      <w:r w:rsidR="00F375BF" w:rsidRPr="00796736">
        <w:rPr>
          <w:rFonts w:ascii="Times New Roman" w:hAnsi="Times New Roman" w:cs="Times New Roman"/>
          <w:iCs/>
          <w:sz w:val="24"/>
          <w:szCs w:val="24"/>
        </w:rPr>
        <w:instrText xml:space="preserve"> \* MERGEFORMAT </w:instrText>
      </w:r>
      <w:r w:rsidR="00C1658C" w:rsidRPr="00796736">
        <w:rPr>
          <w:rFonts w:ascii="Times New Roman" w:hAnsi="Times New Roman" w:cs="Times New Roman"/>
          <w:iCs/>
          <w:sz w:val="24"/>
          <w:szCs w:val="24"/>
        </w:rPr>
      </w:r>
      <w:r w:rsidR="00C1658C"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C1658C" w:rsidRPr="00796736">
        <w:rPr>
          <w:rFonts w:ascii="Times New Roman" w:hAnsi="Times New Roman" w:cs="Times New Roman"/>
          <w:iCs/>
          <w:sz w:val="24"/>
          <w:szCs w:val="24"/>
        </w:rPr>
        <w:fldChar w:fldCharType="end"/>
      </w:r>
      <w:r w:rsidR="00C1658C" w:rsidRPr="00796736">
        <w:rPr>
          <w:rFonts w:ascii="Times New Roman" w:hAnsi="Times New Roman" w:cs="Times New Roman"/>
          <w:iCs/>
          <w:sz w:val="24"/>
          <w:szCs w:val="24"/>
        </w:rPr>
        <w:t>, stk. 3, nr. 2, at Erhvervsstyrelsen kan udveksle fortrolige oplysninger med medlemmerne af forummet.</w:t>
      </w:r>
      <w:r w:rsidR="00C1658C" w:rsidRPr="00796736">
        <w:rPr>
          <w:rFonts w:ascii="Times New Roman" w:eastAsia="Times New Roman" w:hAnsi="Times New Roman" w:cs="Times New Roman"/>
          <w:sz w:val="24"/>
          <w:szCs w:val="24"/>
        </w:rPr>
        <w:t xml:space="preserve"> I henhold til</w:t>
      </w:r>
      <w:r w:rsidRPr="00796736">
        <w:rPr>
          <w:rFonts w:ascii="Times New Roman" w:eastAsia="Times New Roman" w:hAnsi="Times New Roman" w:cs="Times New Roman"/>
          <w:sz w:val="24"/>
          <w:szCs w:val="24"/>
        </w:rPr>
        <w:t xml:space="preserve"> </w:t>
      </w:r>
      <w:r w:rsidR="00C1658C" w:rsidRPr="00796736">
        <w:rPr>
          <w:rFonts w:ascii="Times New Roman" w:eastAsia="Times New Roman" w:hAnsi="Times New Roman" w:cs="Times New Roman"/>
          <w:sz w:val="24"/>
          <w:szCs w:val="24"/>
        </w:rPr>
        <w:fldChar w:fldCharType="begin"/>
      </w:r>
      <w:r w:rsidR="00C1658C" w:rsidRPr="00796736">
        <w:rPr>
          <w:rFonts w:ascii="Times New Roman" w:eastAsia="Times New Roman" w:hAnsi="Times New Roman" w:cs="Times New Roman"/>
          <w:sz w:val="24"/>
          <w:szCs w:val="24"/>
        </w:rPr>
        <w:instrText xml:space="preserve"> REF _Ref232609613 \r \h </w:instrText>
      </w:r>
      <w:r w:rsidR="00F375BF" w:rsidRPr="00796736">
        <w:rPr>
          <w:rFonts w:ascii="Times New Roman" w:eastAsia="Times New Roman" w:hAnsi="Times New Roman" w:cs="Times New Roman"/>
          <w:sz w:val="24"/>
          <w:szCs w:val="24"/>
        </w:rPr>
        <w:instrText xml:space="preserve"> \* MERGEFORMAT </w:instrText>
      </w:r>
      <w:r w:rsidR="00C1658C" w:rsidRPr="00796736">
        <w:rPr>
          <w:rFonts w:ascii="Times New Roman" w:eastAsia="Times New Roman" w:hAnsi="Times New Roman" w:cs="Times New Roman"/>
          <w:sz w:val="24"/>
          <w:szCs w:val="24"/>
        </w:rPr>
      </w:r>
      <w:r w:rsidR="00C1658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124</w:t>
      </w:r>
      <w:r w:rsidR="00C1658C"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3, nr. 2, kan Spillemyndigheden udveksle fortrolige oplysninger med medlemmerne af forummet.</w:t>
      </w:r>
      <w:r w:rsidR="009C6431" w:rsidRPr="00796736">
        <w:rPr>
          <w:rFonts w:ascii="Times New Roman" w:hAnsi="Times New Roman" w:cs="Times New Roman"/>
          <w:iCs/>
          <w:sz w:val="24"/>
          <w:szCs w:val="24"/>
        </w:rPr>
        <w:t xml:space="preserve"> </w:t>
      </w:r>
    </w:p>
    <w:p w14:paraId="336F878E" w14:textId="6B246CDC" w:rsidR="00BF2CB4" w:rsidRPr="00796736" w:rsidRDefault="00BF2CB4"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Det foreslås i</w:t>
      </w:r>
      <w:r w:rsidRPr="00796736">
        <w:rPr>
          <w:rFonts w:ascii="Times New Roman" w:eastAsia="Times New Roman" w:hAnsi="Times New Roman" w:cs="Times New Roman"/>
          <w:i/>
          <w:iCs/>
          <w:color w:val="000000" w:themeColor="text1"/>
          <w:sz w:val="24"/>
          <w:szCs w:val="24"/>
        </w:rPr>
        <w:t xml:space="preserve"> stk. 2,</w:t>
      </w:r>
      <w:r w:rsidRPr="00796736">
        <w:rPr>
          <w:rFonts w:ascii="Times New Roman" w:eastAsia="Times New Roman" w:hAnsi="Times New Roman" w:cs="Times New Roman"/>
          <w:color w:val="000000" w:themeColor="text1"/>
          <w:sz w:val="24"/>
          <w:szCs w:val="24"/>
        </w:rPr>
        <w:t xml:space="preserve"> </w:t>
      </w:r>
      <w:r w:rsidRPr="00796736">
        <w:rPr>
          <w:rFonts w:ascii="Times New Roman" w:eastAsia="Times New Roman" w:hAnsi="Times New Roman" w:cs="Times New Roman"/>
          <w:sz w:val="24"/>
          <w:szCs w:val="24"/>
        </w:rPr>
        <w:t xml:space="preserve">at </w:t>
      </w:r>
      <w:r w:rsidR="009C6431" w:rsidRPr="00796736">
        <w:rPr>
          <w:rFonts w:ascii="Times New Roman" w:eastAsia="Times New Roman" w:hAnsi="Times New Roman" w:cs="Times New Roman"/>
          <w:sz w:val="24"/>
          <w:szCs w:val="24"/>
        </w:rPr>
        <w:t>skatte- og vækstministeren</w:t>
      </w:r>
      <w:r w:rsidR="009C6431" w:rsidRPr="00796736" w:rsidDel="009C6431">
        <w:rPr>
          <w:rFonts w:ascii="Times New Roman" w:eastAsia="Times New Roman" w:hAnsi="Times New Roman" w:cs="Times New Roman"/>
          <w:sz w:val="24"/>
          <w:szCs w:val="24"/>
        </w:rPr>
        <w:t xml:space="preserve"> </w:t>
      </w:r>
      <w:r w:rsidRPr="00796736">
        <w:rPr>
          <w:rFonts w:ascii="Times New Roman" w:eastAsia="Times New Roman" w:hAnsi="Times New Roman" w:cs="Times New Roman"/>
          <w:sz w:val="24"/>
          <w:szCs w:val="24"/>
        </w:rPr>
        <w:t>kan beslutte at udvide kredsen med repræsentanter for andre myndigheder.</w:t>
      </w:r>
    </w:p>
    <w:p w14:paraId="298372E3" w14:textId="77777777" w:rsidR="0026023A" w:rsidRPr="00796736" w:rsidRDefault="0026023A" w:rsidP="00A802A5">
      <w:pPr>
        <w:spacing w:line="360" w:lineRule="auto"/>
        <w:rPr>
          <w:rFonts w:ascii="Times New Roman" w:eastAsia="Times New Roman" w:hAnsi="Times New Roman" w:cs="Times New Roman"/>
          <w:color w:val="000000" w:themeColor="text1"/>
          <w:sz w:val="24"/>
          <w:szCs w:val="24"/>
        </w:rPr>
      </w:pPr>
    </w:p>
    <w:p w14:paraId="2E9DEBC5" w14:textId="1B4B3C05" w:rsidR="00B248A0" w:rsidRPr="00796736" w:rsidRDefault="00B248A0" w:rsidP="00A802A5">
      <w:pPr>
        <w:spacing w:after="240" w:line="360" w:lineRule="auto"/>
        <w:jc w:val="left"/>
        <w:rPr>
          <w:rFonts w:ascii="Times New Roman" w:hAnsi="Times New Roman" w:cs="Times New Roman"/>
          <w:iCs/>
          <w:sz w:val="24"/>
          <w:szCs w:val="24"/>
        </w:rPr>
      </w:pPr>
      <w:r w:rsidRPr="00796736">
        <w:rPr>
          <w:rFonts w:ascii="Times New Roman" w:hAnsi="Times New Roman" w:cs="Times New Roman"/>
          <w:iCs/>
          <w:sz w:val="24"/>
          <w:szCs w:val="24"/>
        </w:rPr>
        <w:t>Øvrige myndigheder, der kunne være deltagere, er f.eks. i relation til koordinering af arbejdet i forbindelse med finansielle sanktioner myndigheder som Udenrigsministeriet og Justitsministeriet. I forbindelse med samarbejdet om bekæmpelse af finansiering af terrorisme kunne Politiets Efterretningstjeneste</w:t>
      </w:r>
      <w:r w:rsidR="001D0EAC" w:rsidRPr="00796736">
        <w:rPr>
          <w:rFonts w:ascii="Times New Roman" w:hAnsi="Times New Roman" w:cs="Times New Roman"/>
          <w:iCs/>
          <w:sz w:val="24"/>
          <w:szCs w:val="24"/>
        </w:rPr>
        <w:t>, Rigspolitiet mv.</w:t>
      </w:r>
      <w:r w:rsidRPr="00796736">
        <w:rPr>
          <w:rFonts w:ascii="Times New Roman" w:hAnsi="Times New Roman" w:cs="Times New Roman"/>
          <w:iCs/>
          <w:sz w:val="24"/>
          <w:szCs w:val="24"/>
        </w:rPr>
        <w:t xml:space="preserve"> med fordel deltage i forummet, dog under hensyntagen til de specielle forhold, myndighedens deltagelse tilsiger. Derudover kunne Datatilsynet deltage med henblik på behandling af databeskyttelsesproblematikker. </w:t>
      </w:r>
    </w:p>
    <w:p w14:paraId="6EE27918" w14:textId="77777777" w:rsidR="00D30535" w:rsidRPr="00796736" w:rsidRDefault="00D30535" w:rsidP="00A802A5">
      <w:pPr>
        <w:spacing w:after="240" w:line="360" w:lineRule="auto"/>
        <w:jc w:val="left"/>
        <w:rPr>
          <w:rFonts w:ascii="Times New Roman" w:hAnsi="Times New Roman" w:cs="Times New Roman"/>
          <w:iCs/>
          <w:sz w:val="24"/>
          <w:szCs w:val="24"/>
        </w:rPr>
      </w:pPr>
    </w:p>
    <w:p w14:paraId="40BB8313" w14:textId="18678CEC" w:rsidR="00B652F5" w:rsidRPr="00796736" w:rsidRDefault="000F6E2E" w:rsidP="00A802A5">
      <w:pPr>
        <w:pStyle w:val="Undertitel"/>
        <w:rPr>
          <w:iCs/>
        </w:rPr>
      </w:pPr>
      <w:bookmarkStart w:id="2234" w:name="_Toc232109446"/>
      <w:bookmarkStart w:id="2235" w:name="_Toc244879426"/>
      <w:bookmarkStart w:id="2236" w:name="_Toc244880951"/>
      <w:r w:rsidRPr="00796736">
        <w:t xml:space="preserve">Til </w:t>
      </w:r>
      <w:bookmarkEnd w:id="2234"/>
      <w:r w:rsidR="009C6431" w:rsidRPr="00796736">
        <w:fldChar w:fldCharType="begin"/>
      </w:r>
      <w:r w:rsidR="009C6431" w:rsidRPr="00796736">
        <w:instrText xml:space="preserve"> REF _Ref232949113 \r \h </w:instrText>
      </w:r>
      <w:r w:rsidR="00EA770E" w:rsidRPr="00796736">
        <w:instrText xml:space="preserve"> \* MERGEFORMAT </w:instrText>
      </w:r>
      <w:r w:rsidR="009C6431" w:rsidRPr="00796736">
        <w:fldChar w:fldCharType="separate"/>
      </w:r>
      <w:r w:rsidR="008F29E5">
        <w:t>§ 130</w:t>
      </w:r>
      <w:bookmarkEnd w:id="2235"/>
      <w:bookmarkEnd w:id="2236"/>
      <w:r w:rsidR="009C6431" w:rsidRPr="00796736">
        <w:fldChar w:fldCharType="end"/>
      </w:r>
      <w:r w:rsidR="0026023A" w:rsidRPr="00796736">
        <w:t xml:space="preserve"> </w:t>
      </w:r>
    </w:p>
    <w:p w14:paraId="74A051C1" w14:textId="77777777" w:rsidR="00B652F5" w:rsidRPr="00796736" w:rsidRDefault="00B652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Efter § 75 i hvidvaskloven anses den virksomhed eller person, som en tilsynsmyndigheds afgørelse truffet i medfør af denne lov eller forskrifter fastsat i medfør af denne lov, Europa-Parlamentets og Rådets forordning 2015/847/EU om oplysninger, der skal medsendes ved pengeoverførsler, og forordninger indeholdende regler om finansielle sanktioner mod lande, personer, grupper, juridiske enheder eller organer retter sig mod som part.</w:t>
      </w:r>
    </w:p>
    <w:p w14:paraId="041E157B" w14:textId="3DC8AF36"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viderefører § 75 i hvidvaskloven, men ændrer partsbegrebet</w:t>
      </w:r>
      <w:r w:rsidR="0039542C" w:rsidRPr="00796736">
        <w:rPr>
          <w:rFonts w:ascii="Times New Roman" w:hAnsi="Times New Roman" w:cs="Times New Roman"/>
          <w:sz w:val="24"/>
          <w:szCs w:val="24"/>
        </w:rPr>
        <w:t xml:space="preserve"> </w:t>
      </w:r>
      <w:r w:rsidRPr="00796736">
        <w:rPr>
          <w:rFonts w:ascii="Times New Roman" w:hAnsi="Times New Roman" w:cs="Times New Roman"/>
          <w:sz w:val="24"/>
          <w:szCs w:val="24"/>
        </w:rPr>
        <w:t>med henblik på at tilpasse bestemmelsen til § 355 i lov om finansiel virksomhed.</w:t>
      </w:r>
    </w:p>
    <w:p w14:paraId="140F4EF3" w14:textId="77777777" w:rsidR="0026023A" w:rsidRPr="00796736" w:rsidRDefault="0026023A" w:rsidP="00A802A5">
      <w:pPr>
        <w:spacing w:line="360" w:lineRule="auto"/>
        <w:rPr>
          <w:rFonts w:ascii="Times New Roman" w:hAnsi="Times New Roman" w:cs="Times New Roman"/>
          <w:sz w:val="24"/>
          <w:szCs w:val="24"/>
        </w:rPr>
      </w:pPr>
    </w:p>
    <w:p w14:paraId="22FB8519" w14:textId="2E32BCDC"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_Ref232949113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130</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w:t>
      </w:r>
      <w:r w:rsidRPr="00796736">
        <w:rPr>
          <w:rFonts w:ascii="Times New Roman" w:hAnsi="Times New Roman" w:cs="Times New Roman"/>
          <w:sz w:val="24"/>
          <w:szCs w:val="24"/>
        </w:rPr>
        <w:t xml:space="preserve">fastsætter, hvem der kan anses som part over for Finanstilsynet i sager, hvor Finanstilsynet har truffet eller vil træffe afgørelse i medfør af loven, regler udstedt i medfør af loven eller de i bestemmelsen nævnte forordninger. Bestemmelsen afgrænser kredsen af virksomheder og personer, der tillægges partsstatus i forhold til Finanstilsynets afgørelser. </w:t>
      </w:r>
    </w:p>
    <w:p w14:paraId="48C6B797" w14:textId="77777777" w:rsidR="00F548D6" w:rsidRPr="00796736" w:rsidRDefault="00F548D6" w:rsidP="00A802A5">
      <w:pPr>
        <w:spacing w:line="360" w:lineRule="auto"/>
        <w:rPr>
          <w:rFonts w:ascii="Times New Roman" w:hAnsi="Times New Roman" w:cs="Times New Roman"/>
          <w:sz w:val="24"/>
          <w:szCs w:val="24"/>
        </w:rPr>
      </w:pPr>
    </w:p>
    <w:p w14:paraId="4F945D81" w14:textId="677D392A"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svarer til det partsbegreb, der anvendes i lovgivningen på det finansielle område, og indebærer en fravigelse af det almindelige forvaltningsretlige partsbegreb. Efter bestemmelsen er partsstatus som udgangspunkt knyttet til den virksomhed eller person, som Finanstilsynets afgørelse retter sig mod, eller som afgørelsen vil blive truffet over for. I de særlige tilfælde, der er opregnet i stk. 2 og 3, tillægges også andre end den virksomhed eller person, som afgørelsen umiddelbart retter sig mod, partsstatus i det omfang, sagen vedrører den pågældende.</w:t>
      </w:r>
    </w:p>
    <w:p w14:paraId="6E04B7DE" w14:textId="77777777" w:rsidR="0026023A" w:rsidRPr="00796736" w:rsidRDefault="0026023A" w:rsidP="00A802A5">
      <w:pPr>
        <w:spacing w:line="360" w:lineRule="auto"/>
        <w:rPr>
          <w:rFonts w:ascii="Times New Roman" w:hAnsi="Times New Roman" w:cs="Times New Roman"/>
          <w:sz w:val="24"/>
          <w:szCs w:val="24"/>
        </w:rPr>
      </w:pPr>
    </w:p>
    <w:p w14:paraId="6F1C6330" w14:textId="255D1E3A" w:rsidR="00B652F5" w:rsidRPr="00796736" w:rsidRDefault="00B652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w:t>
      </w:r>
      <w:r w:rsidR="00D32907" w:rsidRPr="00796736">
        <w:rPr>
          <w:rFonts w:ascii="Times New Roman" w:hAnsi="Times New Roman" w:cs="Times New Roman"/>
          <w:sz w:val="24"/>
          <w:szCs w:val="24"/>
        </w:rPr>
        <w:t xml:space="preserve">som part anses virksomheder eller personer omfattet af denne lov, som Finanstilsynet har truffet eller vil træffe afgørelse over for i medfør af denne lov eller forskrifter fastsat i medfør af denne lov, </w:t>
      </w:r>
      <w:r w:rsidR="00494921" w:rsidRPr="00796736">
        <w:rPr>
          <w:rFonts w:ascii="Times New Roman" w:hAnsi="Times New Roman" w:cs="Times New Roman"/>
          <w:sz w:val="24"/>
          <w:szCs w:val="24"/>
        </w:rPr>
        <w:t>hvidvaskforordningen</w:t>
      </w:r>
      <w:r w:rsidR="00D32907" w:rsidRPr="00796736">
        <w:rPr>
          <w:rFonts w:ascii="Times New Roman" w:hAnsi="Times New Roman" w:cs="Times New Roman"/>
          <w:sz w:val="24"/>
          <w:szCs w:val="24"/>
        </w:rPr>
        <w:t>, Europa-Parlamentets og Rådets forordning om oplysninger, der skal medsendes ved pengeoverførsler og ved overførsler af visse kryptoaktiver, og forordninger indeholdende regler om finansielle sanktioner mod lande, personer, grupper, juridiske enheder eller organer, jf. dog stk. 2.</w:t>
      </w:r>
    </w:p>
    <w:p w14:paraId="3225FF6F" w14:textId="42D96C73" w:rsidR="0026023A" w:rsidRPr="00796736" w:rsidRDefault="0026023A"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virksomheder og personer, som Finanstilsynet har truffet eller vil træffe afgørelse over for, anses som parter i forhold til Finanstilsynet. Det gælder, uanset om afgørelsen træffes i medfør af denne lov, regler udstedt i medfør af loven, de nævnte EU-forordninger eller regler udstedt i medfør heraf, jf. dog stk. 2.</w:t>
      </w:r>
      <w:r w:rsidR="00D32907" w:rsidRPr="00796736">
        <w:rPr>
          <w:rFonts w:ascii="Times New Roman" w:hAnsi="Times New Roman" w:cs="Times New Roman"/>
          <w:sz w:val="24"/>
          <w:szCs w:val="24"/>
        </w:rPr>
        <w:t xml:space="preserve"> </w:t>
      </w:r>
    </w:p>
    <w:p w14:paraId="21281BE9" w14:textId="77777777"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Partsstatus indebærer bl.a. adgang til efter forvaltningslovens regler at få fortrolige oplysninger i den del af en sag, som vedrører den pågældende, samt mulighed for at indbringe Finanstilsynets afgørelse herom for Erhvervsanke nævnet. Forvaltningslovens regler om partsbeføjelser finder dog kun anvendelse i sager, hvori der er eller vil blive truffet afgørelse af en forvaltningsmyndighed, jf. forvaltningslovens § 2, stk. 1.</w:t>
      </w:r>
    </w:p>
    <w:p w14:paraId="2F9712FB" w14:textId="77777777" w:rsidR="0026023A" w:rsidRPr="00796736" w:rsidRDefault="0026023A" w:rsidP="00A802A5">
      <w:pPr>
        <w:spacing w:line="360" w:lineRule="auto"/>
        <w:rPr>
          <w:rFonts w:ascii="Times New Roman" w:hAnsi="Times New Roman" w:cs="Times New Roman"/>
          <w:sz w:val="24"/>
          <w:szCs w:val="24"/>
        </w:rPr>
      </w:pPr>
    </w:p>
    <w:p w14:paraId="1AC37B36" w14:textId="3D9CA19F"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medfører</w:t>
      </w:r>
      <w:r w:rsidR="00753B1D" w:rsidRPr="00796736">
        <w:rPr>
          <w:rFonts w:ascii="Times New Roman" w:hAnsi="Times New Roman" w:cs="Times New Roman"/>
          <w:sz w:val="24"/>
          <w:szCs w:val="24"/>
        </w:rPr>
        <w:t xml:space="preserve"> eksempelvis</w:t>
      </w:r>
      <w:r w:rsidRPr="00796736">
        <w:rPr>
          <w:rFonts w:ascii="Times New Roman" w:hAnsi="Times New Roman" w:cs="Times New Roman"/>
          <w:sz w:val="24"/>
          <w:szCs w:val="24"/>
        </w:rPr>
        <w:t xml:space="preserve">, at kunder hos virksomheder, som Finanstilsynets afgørelse retter sig mod, ikke </w:t>
      </w:r>
      <w:r w:rsidR="00F548D6" w:rsidRPr="00796736">
        <w:rPr>
          <w:rFonts w:ascii="Times New Roman" w:hAnsi="Times New Roman" w:cs="Times New Roman"/>
          <w:sz w:val="24"/>
          <w:szCs w:val="24"/>
        </w:rPr>
        <w:t xml:space="preserve">er </w:t>
      </w:r>
      <w:r w:rsidRPr="00796736">
        <w:rPr>
          <w:rFonts w:ascii="Times New Roman" w:hAnsi="Times New Roman" w:cs="Times New Roman"/>
          <w:sz w:val="24"/>
          <w:szCs w:val="24"/>
        </w:rPr>
        <w:t>parter i forhold til Finanstilsynet. Dette gælder, uanset hvilken interesse de måtte have i en given sag.</w:t>
      </w:r>
    </w:p>
    <w:p w14:paraId="404B2472" w14:textId="77777777" w:rsidR="0026023A" w:rsidRPr="00796736" w:rsidRDefault="0026023A" w:rsidP="00A802A5">
      <w:pPr>
        <w:spacing w:line="360" w:lineRule="auto"/>
        <w:rPr>
          <w:rFonts w:ascii="Times New Roman" w:hAnsi="Times New Roman" w:cs="Times New Roman"/>
          <w:sz w:val="24"/>
          <w:szCs w:val="24"/>
        </w:rPr>
      </w:pPr>
    </w:p>
    <w:p w14:paraId="585A779E" w14:textId="77777777"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særlige partsbegreb er nødvendigt for at undgå en udhuling af Finanstilsynets tavshedspligt, da parters adgang til aktindsigt efter forvaltningsloven ikke tilsidesættes af tavshedspligtsreglerne. Det fremgår bl.a. af ombudsmandens praksis, at det almindelige forvaltningsretlige partsbegreb fortolkes bredt, jf. FOB 1987 64, hvor ombudsmanden til lagde indlånerforeningen i 6. Juli Banken partsstatus i for hold til tilsynets sag om anmeldelse af betalingsstandsning.</w:t>
      </w:r>
    </w:p>
    <w:p w14:paraId="7D7C9584" w14:textId="77777777" w:rsidR="0026023A" w:rsidRPr="00796736" w:rsidRDefault="0026023A" w:rsidP="00A802A5">
      <w:pPr>
        <w:spacing w:line="360" w:lineRule="auto"/>
        <w:rPr>
          <w:rFonts w:ascii="Times New Roman" w:hAnsi="Times New Roman" w:cs="Times New Roman"/>
          <w:sz w:val="24"/>
          <w:szCs w:val="24"/>
        </w:rPr>
      </w:pPr>
    </w:p>
    <w:p w14:paraId="5BBDD26E" w14:textId="49F0FD0A" w:rsidR="00F548D6"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fremgår af det foreslåede stk. 1, at det er den virksomhed, som Finanstilsynet har truffet eller vil træffe afgørelse over for, som er part i forhold til Finanstilsynet. Efter bestemmelsen er det således klart, at en virksomhed er part i forhold til Finanstilsynet i de sager, hvor Finanstilsynet har truffet en afgørelse over for virksomheden, eller hvor Finanstilsynet vil træffe en afgørelse over for virksomheden.</w:t>
      </w:r>
    </w:p>
    <w:p w14:paraId="2272A167" w14:textId="77777777" w:rsidR="0026023A" w:rsidRPr="00796736" w:rsidRDefault="0026023A" w:rsidP="00A802A5">
      <w:pPr>
        <w:spacing w:line="360" w:lineRule="auto"/>
        <w:rPr>
          <w:rFonts w:ascii="Times New Roman" w:hAnsi="Times New Roman" w:cs="Times New Roman"/>
          <w:sz w:val="24"/>
          <w:szCs w:val="24"/>
        </w:rPr>
      </w:pPr>
    </w:p>
    <w:p w14:paraId="2F160919" w14:textId="6F2258F8" w:rsidR="00B652F5" w:rsidRPr="00796736" w:rsidRDefault="00B652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At Finanstilsynet vil træffe en afgørelse over for virksomheden, skal forstås således, at der er tale om en sag, hvori der som led i et almindeligt sagsforløb vil blive truffet en afgørelse af Finanstilsynet. Der skal således være tale om en afgørelsessag.</w:t>
      </w:r>
    </w:p>
    <w:p w14:paraId="7B67C3D8" w14:textId="77777777" w:rsidR="00B652F5" w:rsidRPr="00796736" w:rsidRDefault="00B652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En afgørelsessag er eksempelvis en sag, hvor en virksomhed ansøger Finanstilsynet om tilladelse, registrering, godkendelse m.v., og hvor Finanstilsynet efter behandling af sagen træffer afgørelse om, hvorvidt en sådan ansøgning kan imødekommes. </w:t>
      </w:r>
    </w:p>
    <w:p w14:paraId="56D12569" w14:textId="77777777" w:rsidR="00B652F5" w:rsidRPr="00796736" w:rsidRDefault="00B652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ikke afgørende for opnåelse af partsstatus, om der faktisk træffes en afgørelse i den pågældende afgørelsessag. En virksomheds partstatus påvirkes således ikke af, om der af den ene eller anden grund alligevel ikke træffes afgørelse i sagen. </w:t>
      </w:r>
    </w:p>
    <w:p w14:paraId="3095155F" w14:textId="77777777" w:rsidR="00B652F5" w:rsidRPr="00796736" w:rsidRDefault="00B652F5"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Klager en forbruger over en virksomheds adfærd, vil forbrugeren ikke være part i sagen. Forbrugerne opnår derfor ikke forvaltningslovens partsrettigheder, men vil i stedet efter offentlighedslovens regler om aktindsigt kunne gøre sig bekendt med de oplysninger, der indgår i Finanstilsynets sag. </w:t>
      </w:r>
    </w:p>
    <w:p w14:paraId="5C03D54D" w14:textId="77777777"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Ordlyden af den foreslåede partsbestemmelse svarer på dette punkt til § 2 i forvaltningsloven og omfatter dermed sager, hvori der er eller vil blive truffet afgørelse.</w:t>
      </w:r>
    </w:p>
    <w:p w14:paraId="1FC36DD1" w14:textId="77777777" w:rsidR="0026023A" w:rsidRPr="00796736" w:rsidRDefault="0026023A" w:rsidP="00A802A5">
      <w:pPr>
        <w:spacing w:line="360" w:lineRule="auto"/>
        <w:rPr>
          <w:rFonts w:ascii="Times New Roman" w:hAnsi="Times New Roman" w:cs="Times New Roman"/>
          <w:sz w:val="24"/>
          <w:szCs w:val="24"/>
        </w:rPr>
      </w:pPr>
    </w:p>
    <w:p w14:paraId="1A1AD42D" w14:textId="5EDCF1CF" w:rsidR="0026023A" w:rsidRPr="00796736" w:rsidRDefault="0026023A"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I henhold til lovforslagets </w:t>
      </w:r>
      <w:r w:rsidR="0039542C" w:rsidRPr="00796736">
        <w:rPr>
          <w:rFonts w:ascii="Times New Roman" w:hAnsi="Times New Roman" w:cs="Times New Roman"/>
          <w:sz w:val="24"/>
          <w:szCs w:val="24"/>
        </w:rPr>
        <w:fldChar w:fldCharType="begin"/>
      </w:r>
      <w:r w:rsidR="0039542C" w:rsidRPr="00796736">
        <w:rPr>
          <w:rFonts w:ascii="Times New Roman" w:hAnsi="Times New Roman" w:cs="Times New Roman"/>
          <w:sz w:val="24"/>
          <w:szCs w:val="24"/>
        </w:rPr>
        <w:instrText xml:space="preserve"> REF _Ref232597035 \r \h </w:instrText>
      </w:r>
      <w:r w:rsidR="006A012C" w:rsidRPr="00796736">
        <w:rPr>
          <w:rFonts w:ascii="Times New Roman" w:hAnsi="Times New Roman" w:cs="Times New Roman"/>
          <w:sz w:val="24"/>
          <w:szCs w:val="24"/>
        </w:rPr>
        <w:instrText xml:space="preserve"> \* MERGEFORMAT </w:instrText>
      </w:r>
      <w:r w:rsidR="0039542C" w:rsidRPr="00796736">
        <w:rPr>
          <w:rFonts w:ascii="Times New Roman" w:hAnsi="Times New Roman" w:cs="Times New Roman"/>
          <w:sz w:val="24"/>
          <w:szCs w:val="24"/>
        </w:rPr>
      </w:r>
      <w:r w:rsidR="0039542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9542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påser </w:t>
      </w:r>
      <w:r w:rsidRPr="00796736">
        <w:rPr>
          <w:rFonts w:ascii="Times New Roman" w:hAnsi="Times New Roman" w:cs="Times New Roman"/>
          <w:sz w:val="24"/>
          <w:szCs w:val="24"/>
          <w:lang w:eastAsia="da-DK"/>
        </w:rPr>
        <w:t xml:space="preserve">Finanstilsynet, at virksomheder og personer som nævnt i § 1, stk. 2, samt § 2, nr. 1-19 og 32, litra a, og filialer, distributører og agenter her i landet af sådanne udenlandske virksomheder og personer overholder hvidvaskforordningen, denne lov og regler udstedt i medfør heraf. Efter </w:t>
      </w:r>
      <w:r w:rsidR="0039542C" w:rsidRPr="00796736">
        <w:rPr>
          <w:rFonts w:ascii="Times New Roman" w:hAnsi="Times New Roman" w:cs="Times New Roman"/>
          <w:sz w:val="24"/>
          <w:szCs w:val="24"/>
          <w:lang w:eastAsia="da-DK"/>
        </w:rPr>
        <w:t xml:space="preserve">lovforslagets </w:t>
      </w:r>
      <w:r w:rsidR="0039542C" w:rsidRPr="00796736">
        <w:rPr>
          <w:rFonts w:ascii="Times New Roman" w:hAnsi="Times New Roman" w:cs="Times New Roman"/>
          <w:sz w:val="24"/>
          <w:szCs w:val="24"/>
        </w:rPr>
        <w:fldChar w:fldCharType="begin"/>
      </w:r>
      <w:r w:rsidR="0039542C" w:rsidRPr="00796736">
        <w:rPr>
          <w:rFonts w:ascii="Times New Roman" w:hAnsi="Times New Roman" w:cs="Times New Roman"/>
          <w:sz w:val="24"/>
          <w:szCs w:val="24"/>
        </w:rPr>
        <w:instrText xml:space="preserve"> REF _Ref232597035 \r \h </w:instrText>
      </w:r>
      <w:r w:rsidR="006A012C" w:rsidRPr="00796736">
        <w:rPr>
          <w:rFonts w:ascii="Times New Roman" w:hAnsi="Times New Roman" w:cs="Times New Roman"/>
          <w:sz w:val="24"/>
          <w:szCs w:val="24"/>
        </w:rPr>
        <w:instrText xml:space="preserve"> \* MERGEFORMAT </w:instrText>
      </w:r>
      <w:r w:rsidR="0039542C" w:rsidRPr="00796736">
        <w:rPr>
          <w:rFonts w:ascii="Times New Roman" w:hAnsi="Times New Roman" w:cs="Times New Roman"/>
          <w:sz w:val="24"/>
          <w:szCs w:val="24"/>
        </w:rPr>
      </w:r>
      <w:r w:rsidR="0039542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9542C" w:rsidRPr="00796736">
        <w:rPr>
          <w:rFonts w:ascii="Times New Roman" w:hAnsi="Times New Roman" w:cs="Times New Roman"/>
          <w:sz w:val="24"/>
          <w:szCs w:val="24"/>
        </w:rPr>
        <w:fldChar w:fldCharType="end"/>
      </w:r>
      <w:r w:rsidR="0039542C" w:rsidRPr="00796736">
        <w:rPr>
          <w:rFonts w:ascii="Times New Roman" w:hAnsi="Times New Roman" w:cs="Times New Roman"/>
          <w:sz w:val="24"/>
          <w:szCs w:val="24"/>
        </w:rPr>
        <w:t>, stk.</w:t>
      </w:r>
      <w:r w:rsidR="0039542C" w:rsidRPr="00796736">
        <w:rPr>
          <w:rFonts w:ascii="Times New Roman" w:hAnsi="Times New Roman" w:cs="Times New Roman"/>
          <w:sz w:val="24"/>
          <w:szCs w:val="24"/>
          <w:lang w:eastAsia="da-DK"/>
        </w:rPr>
        <w:t xml:space="preserve"> </w:t>
      </w:r>
      <w:r w:rsidRPr="00796736">
        <w:rPr>
          <w:rFonts w:ascii="Times New Roman" w:hAnsi="Times New Roman" w:cs="Times New Roman"/>
          <w:sz w:val="24"/>
          <w:szCs w:val="24"/>
          <w:lang w:eastAsia="da-DK"/>
        </w:rPr>
        <w:t xml:space="preserve">stk. 2 i foreslåede bestemmelse påser </w:t>
      </w:r>
      <w:r w:rsidRPr="00796736">
        <w:rPr>
          <w:rFonts w:ascii="Times New Roman" w:eastAsia="Times New Roman" w:hAnsi="Times New Roman" w:cs="Times New Roman"/>
          <w:sz w:val="24"/>
          <w:szCs w:val="24"/>
          <w:lang w:eastAsia="da-DK"/>
        </w:rPr>
        <w:t>Finanstilsynet endvidere overholdelsen af pengeoverførselsforordningen samt love og forordninger indeholdende regler om finansielle sanktioner mod lande, personer, grupper, juridiske enheder eller organer.</w:t>
      </w:r>
    </w:p>
    <w:p w14:paraId="060A122D" w14:textId="77777777" w:rsidR="0026023A" w:rsidRPr="00796736" w:rsidRDefault="0026023A" w:rsidP="00A802A5">
      <w:pPr>
        <w:spacing w:line="360" w:lineRule="auto"/>
        <w:rPr>
          <w:rFonts w:ascii="Times New Roman" w:eastAsia="Times New Roman" w:hAnsi="Times New Roman" w:cs="Times New Roman"/>
          <w:sz w:val="24"/>
          <w:szCs w:val="24"/>
          <w:lang w:eastAsia="da-DK"/>
        </w:rPr>
      </w:pPr>
    </w:p>
    <w:p w14:paraId="124A76BA" w14:textId="2FF2EF54"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foreslåede </w:t>
      </w:r>
      <w:r w:rsidR="0039542C" w:rsidRPr="00796736">
        <w:rPr>
          <w:rFonts w:ascii="Times New Roman" w:hAnsi="Times New Roman" w:cs="Times New Roman"/>
          <w:sz w:val="24"/>
          <w:szCs w:val="24"/>
        </w:rPr>
        <w:fldChar w:fldCharType="begin"/>
      </w:r>
      <w:r w:rsidR="0039542C" w:rsidRPr="00796736">
        <w:rPr>
          <w:rFonts w:ascii="Times New Roman" w:hAnsi="Times New Roman" w:cs="Times New Roman"/>
          <w:sz w:val="24"/>
          <w:szCs w:val="24"/>
        </w:rPr>
        <w:instrText xml:space="preserve"> REF _Ref232597060 \r \h </w:instrText>
      </w:r>
      <w:r w:rsidR="006A012C" w:rsidRPr="00796736">
        <w:rPr>
          <w:rFonts w:ascii="Times New Roman" w:hAnsi="Times New Roman" w:cs="Times New Roman"/>
          <w:sz w:val="24"/>
          <w:szCs w:val="24"/>
        </w:rPr>
        <w:instrText xml:space="preserve"> \* MERGEFORMAT </w:instrText>
      </w:r>
      <w:r w:rsidR="0039542C" w:rsidRPr="00796736">
        <w:rPr>
          <w:rFonts w:ascii="Times New Roman" w:hAnsi="Times New Roman" w:cs="Times New Roman"/>
          <w:sz w:val="24"/>
          <w:szCs w:val="24"/>
        </w:rPr>
      </w:r>
      <w:r w:rsidR="0039542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55</w:t>
      </w:r>
      <w:r w:rsidR="0039542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påser Finanstilsynet, at virksomheder omfattet af § 1, stk. </w:t>
      </w:r>
      <w:r w:rsidR="00C14723" w:rsidRPr="00796736">
        <w:rPr>
          <w:rFonts w:ascii="Times New Roman" w:hAnsi="Times New Roman" w:cs="Times New Roman"/>
          <w:sz w:val="24"/>
          <w:szCs w:val="24"/>
        </w:rPr>
        <w:t>6</w:t>
      </w:r>
      <w:r w:rsidRPr="00796736">
        <w:rPr>
          <w:rFonts w:ascii="Times New Roman" w:hAnsi="Times New Roman" w:cs="Times New Roman"/>
          <w:sz w:val="24"/>
          <w:szCs w:val="24"/>
        </w:rPr>
        <w:t xml:space="preserve">, overholder forordninger indeholdende regler om finansielle sanktioner mod lande, personer, grupper, juridiske enheder eller organer med den kompetence, som Finanstilsynet er tillagt i medfør af </w:t>
      </w:r>
      <w:r w:rsidR="0039542C" w:rsidRPr="00796736">
        <w:rPr>
          <w:rFonts w:ascii="Times New Roman" w:hAnsi="Times New Roman" w:cs="Times New Roman"/>
          <w:sz w:val="24"/>
          <w:szCs w:val="24"/>
        </w:rPr>
        <w:fldChar w:fldCharType="begin"/>
      </w:r>
      <w:r w:rsidR="0039542C" w:rsidRPr="00796736">
        <w:rPr>
          <w:rFonts w:ascii="Times New Roman" w:hAnsi="Times New Roman" w:cs="Times New Roman"/>
          <w:sz w:val="24"/>
          <w:szCs w:val="24"/>
        </w:rPr>
        <w:instrText xml:space="preserve"> REF _Ref232597035 \r \h </w:instrText>
      </w:r>
      <w:r w:rsidR="006A012C" w:rsidRPr="00796736">
        <w:rPr>
          <w:rFonts w:ascii="Times New Roman" w:hAnsi="Times New Roman" w:cs="Times New Roman"/>
          <w:sz w:val="24"/>
          <w:szCs w:val="24"/>
        </w:rPr>
        <w:instrText xml:space="preserve"> \* MERGEFORMAT </w:instrText>
      </w:r>
      <w:r w:rsidR="0039542C" w:rsidRPr="00796736">
        <w:rPr>
          <w:rFonts w:ascii="Times New Roman" w:hAnsi="Times New Roman" w:cs="Times New Roman"/>
          <w:sz w:val="24"/>
          <w:szCs w:val="24"/>
        </w:rPr>
      </w:r>
      <w:r w:rsidR="0039542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54</w:t>
      </w:r>
      <w:r w:rsidR="0039542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2</w:t>
      </w:r>
      <w:r w:rsidR="00753B1D" w:rsidRPr="00796736">
        <w:rPr>
          <w:rFonts w:ascii="Times New Roman" w:hAnsi="Times New Roman" w:cs="Times New Roman"/>
          <w:sz w:val="24"/>
          <w:szCs w:val="24"/>
        </w:rPr>
        <w:t>,</w:t>
      </w:r>
      <w:r w:rsidRPr="00796736">
        <w:rPr>
          <w:rFonts w:ascii="Times New Roman" w:hAnsi="Times New Roman" w:cs="Times New Roman"/>
          <w:sz w:val="24"/>
          <w:szCs w:val="24"/>
        </w:rPr>
        <w:t xml:space="preserve"> samt</w:t>
      </w:r>
      <w:r w:rsidR="0039542C" w:rsidRPr="00796736">
        <w:rPr>
          <w:rFonts w:ascii="Times New Roman" w:hAnsi="Times New Roman" w:cs="Times New Roman"/>
          <w:sz w:val="24"/>
          <w:szCs w:val="24"/>
        </w:rPr>
        <w:t xml:space="preserve"> </w:t>
      </w:r>
      <w:r w:rsidR="0039542C" w:rsidRPr="00796736">
        <w:rPr>
          <w:rFonts w:ascii="Times New Roman" w:hAnsi="Times New Roman" w:cs="Times New Roman"/>
          <w:sz w:val="24"/>
          <w:szCs w:val="24"/>
        </w:rPr>
        <w:fldChar w:fldCharType="begin"/>
      </w:r>
      <w:r w:rsidR="0039542C" w:rsidRPr="00796736">
        <w:rPr>
          <w:rFonts w:ascii="Times New Roman" w:hAnsi="Times New Roman" w:cs="Times New Roman"/>
          <w:sz w:val="24"/>
          <w:szCs w:val="24"/>
        </w:rPr>
        <w:instrText xml:space="preserve"> REF _Ref232597084 \r \h </w:instrText>
      </w:r>
      <w:r w:rsidR="006A012C" w:rsidRPr="00796736">
        <w:rPr>
          <w:rFonts w:ascii="Times New Roman" w:hAnsi="Times New Roman" w:cs="Times New Roman"/>
          <w:sz w:val="24"/>
          <w:szCs w:val="24"/>
        </w:rPr>
        <w:instrText xml:space="preserve"> \* MERGEFORMAT </w:instrText>
      </w:r>
      <w:r w:rsidR="0039542C" w:rsidRPr="00796736">
        <w:rPr>
          <w:rFonts w:ascii="Times New Roman" w:hAnsi="Times New Roman" w:cs="Times New Roman"/>
          <w:sz w:val="24"/>
          <w:szCs w:val="24"/>
        </w:rPr>
      </w:r>
      <w:r w:rsidR="0039542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56</w:t>
      </w:r>
      <w:r w:rsidR="0039542C"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3C3A8E7F" w14:textId="77777777" w:rsidR="0026023A" w:rsidRPr="00796736" w:rsidRDefault="0026023A" w:rsidP="00A802A5">
      <w:pPr>
        <w:spacing w:line="360" w:lineRule="auto"/>
        <w:rPr>
          <w:rFonts w:ascii="Times New Roman" w:hAnsi="Times New Roman" w:cs="Times New Roman"/>
          <w:sz w:val="24"/>
          <w:szCs w:val="24"/>
        </w:rPr>
      </w:pPr>
    </w:p>
    <w:p w14:paraId="4DB96FC6" w14:textId="417C63BD"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Idet Finanstilsynet skal påse overholdelsen af disse regler, kan Finanstilsynet tilsvarende træffe afgørelse over for virksomheder og personer ved manglende efterlevelse af hvidvaskforordningen, denne lov, regler udstedt i medfør heraf, pengeoverførselsforordningen samt love og forordninger om finansielle sanktioner. Det foreslås derfor, at virksomheder og personer, som Finanstilsynet har truffet eller vil træffe afgørelse over for i medfør af disse regelsæt, anses som parter i forhold til Finanstilsynet, jf. dog stk. 2.</w:t>
      </w:r>
    </w:p>
    <w:p w14:paraId="539C8427" w14:textId="77777777" w:rsidR="0026023A" w:rsidRPr="00796736" w:rsidRDefault="0026023A" w:rsidP="00A802A5">
      <w:pPr>
        <w:spacing w:line="360" w:lineRule="auto"/>
        <w:rPr>
          <w:rFonts w:ascii="Times New Roman" w:hAnsi="Times New Roman" w:cs="Times New Roman"/>
          <w:sz w:val="24"/>
          <w:szCs w:val="24"/>
        </w:rPr>
      </w:pPr>
    </w:p>
    <w:p w14:paraId="499B0B0D" w14:textId="7AA35A20"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virksomheder og personer behandles ens i forhold til partsstatus, uanset om Finanstilsynets afgørelse træffes i medfør af hvidvaskloven, regler udstedt i medfør af loven, hvidvaskforordningen, pengeoverførselsforordningen eller regler om finansielle sanktioner.</w:t>
      </w:r>
    </w:p>
    <w:p w14:paraId="56E49C51" w14:textId="77777777" w:rsidR="0026023A" w:rsidRPr="00796736" w:rsidRDefault="0026023A" w:rsidP="00A802A5">
      <w:pPr>
        <w:spacing w:line="360" w:lineRule="auto"/>
        <w:rPr>
          <w:rFonts w:ascii="Times New Roman" w:hAnsi="Times New Roman" w:cs="Times New Roman"/>
          <w:sz w:val="24"/>
          <w:szCs w:val="24"/>
        </w:rPr>
      </w:pPr>
    </w:p>
    <w:p w14:paraId="5BA6FF4D" w14:textId="67CE5556"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w:t>
      </w:r>
      <w:r w:rsidRPr="00796736">
        <w:rPr>
          <w:rFonts w:ascii="Times New Roman" w:hAnsi="Times New Roman" w:cs="Times New Roman"/>
          <w:sz w:val="24"/>
          <w:szCs w:val="24"/>
        </w:rPr>
        <w:t xml:space="preserve">, at </w:t>
      </w:r>
      <w:r w:rsidR="00D32907" w:rsidRPr="00796736">
        <w:rPr>
          <w:rFonts w:ascii="Times New Roman" w:hAnsi="Times New Roman" w:cs="Times New Roman"/>
          <w:sz w:val="24"/>
          <w:szCs w:val="24"/>
        </w:rPr>
        <w:t>en anden end virksomheden i de nedennævnte tilfælde tillige anses som part i Finanstilsynets afgørelse, for så vidt angår den del af sagen, som vedrører den pågældende.</w:t>
      </w:r>
    </w:p>
    <w:p w14:paraId="470965D1" w14:textId="77777777" w:rsidR="0026023A" w:rsidRPr="00796736" w:rsidRDefault="0026023A" w:rsidP="00A802A5">
      <w:pPr>
        <w:spacing w:line="360" w:lineRule="auto"/>
        <w:rPr>
          <w:rFonts w:ascii="Times New Roman" w:hAnsi="Times New Roman" w:cs="Times New Roman"/>
          <w:sz w:val="24"/>
          <w:szCs w:val="24"/>
        </w:rPr>
      </w:pPr>
    </w:p>
    <w:p w14:paraId="309D0324" w14:textId="77777777"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stk. 2 opregner de konkrete tilfælde, hvor andre end de i stk. 1 nævnte virksomheder kan anses for part efter denne lov.</w:t>
      </w:r>
    </w:p>
    <w:p w14:paraId="121BBAB7" w14:textId="77777777" w:rsidR="0026023A" w:rsidRPr="00796736" w:rsidRDefault="0026023A" w:rsidP="00A802A5">
      <w:pPr>
        <w:spacing w:line="360" w:lineRule="auto"/>
        <w:rPr>
          <w:rFonts w:ascii="Times New Roman" w:hAnsi="Times New Roman" w:cs="Times New Roman"/>
          <w:sz w:val="24"/>
          <w:szCs w:val="24"/>
        </w:rPr>
      </w:pPr>
    </w:p>
    <w:p w14:paraId="128E5193" w14:textId="77777777"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Partsstatus efter stk. 2 er begrænset til den del af sagen, som vedrører den pågældende. Bestemmelsen indebærer således ikke, at den pågældende bliver part i hele sagen, men alene i den del, hvor Finanstilsynets afgørelse retter sig mod eller i øvrigt konkret vedrører den pågældende.</w:t>
      </w:r>
    </w:p>
    <w:p w14:paraId="68ADEC8A" w14:textId="77777777" w:rsidR="0026023A" w:rsidRPr="00796736" w:rsidRDefault="0026023A" w:rsidP="00A802A5">
      <w:pPr>
        <w:spacing w:line="360" w:lineRule="auto"/>
        <w:rPr>
          <w:rFonts w:ascii="Times New Roman" w:hAnsi="Times New Roman" w:cs="Times New Roman"/>
          <w:sz w:val="24"/>
          <w:szCs w:val="24"/>
        </w:rPr>
      </w:pPr>
    </w:p>
    <w:p w14:paraId="78DC318A" w14:textId="0945E176"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w:t>
      </w:r>
      <w:r w:rsidRPr="00796736">
        <w:rPr>
          <w:rFonts w:ascii="Times New Roman" w:hAnsi="Times New Roman" w:cs="Times New Roman"/>
          <w:sz w:val="24"/>
          <w:szCs w:val="24"/>
        </w:rPr>
        <w:t xml:space="preserve"> </w:t>
      </w:r>
      <w:r w:rsidRPr="00796736">
        <w:rPr>
          <w:rFonts w:ascii="Times New Roman" w:hAnsi="Times New Roman" w:cs="Times New Roman"/>
          <w:i/>
          <w:iCs/>
          <w:sz w:val="24"/>
          <w:szCs w:val="24"/>
        </w:rPr>
        <w:t>2, nr. 1</w:t>
      </w:r>
      <w:r w:rsidRPr="00796736">
        <w:rPr>
          <w:rFonts w:ascii="Times New Roman" w:hAnsi="Times New Roman" w:cs="Times New Roman"/>
          <w:sz w:val="24"/>
          <w:szCs w:val="24"/>
        </w:rPr>
        <w:t xml:space="preserve">, at en valutavekslingsvirksomhed som nævnt i § 2, nr. 11, anses som part, når virksomheden udøver virksomhed uden tilladelse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_Ref232596532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27AD62D8" w14:textId="77777777" w:rsidR="0026023A" w:rsidRPr="00796736" w:rsidRDefault="0026023A" w:rsidP="00A802A5">
      <w:pPr>
        <w:spacing w:line="360" w:lineRule="auto"/>
        <w:rPr>
          <w:rFonts w:ascii="Times New Roman" w:hAnsi="Times New Roman" w:cs="Times New Roman"/>
          <w:sz w:val="24"/>
          <w:szCs w:val="24"/>
        </w:rPr>
      </w:pPr>
    </w:p>
    <w:p w14:paraId="326583BA" w14:textId="77777777"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en valutavekslingsvirksomhed, der udøver virksomhed her i landet uden den fornødne tilladelse fra Finanstilsynet, anses som part i forhold til Finanstilsynets afgørelse, for så vidt angår den del af sagen, som vedrører virksomheden. Dette vil typisk være i en sag, hvor Finanstilsynet udsteder et påbud til en virksomhed uden tilladelse om at ophøre med at udøve virksomhed som valutavekslingsvirksomhed.</w:t>
      </w:r>
    </w:p>
    <w:p w14:paraId="3D9817D0" w14:textId="77777777" w:rsidR="0026023A" w:rsidRPr="00796736" w:rsidRDefault="0026023A" w:rsidP="00A802A5">
      <w:pPr>
        <w:spacing w:line="360" w:lineRule="auto"/>
        <w:rPr>
          <w:rFonts w:ascii="Times New Roman" w:hAnsi="Times New Roman" w:cs="Times New Roman"/>
          <w:sz w:val="24"/>
          <w:szCs w:val="24"/>
        </w:rPr>
      </w:pPr>
    </w:p>
    <w:p w14:paraId="413E0693" w14:textId="35DE0250" w:rsidR="0026023A" w:rsidRPr="00796736" w:rsidRDefault="0026023A"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fremgår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_Ref232596532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at valutavekslingsvirksomhed kun må udøves her i landet af virksomheder, der har tilladelse som valutavekslingsvirksomhed, eller af pengeinstitutter, Danmarks Nationalbank og offentlige myndigheder.</w:t>
      </w:r>
    </w:p>
    <w:p w14:paraId="4048145B" w14:textId="77777777" w:rsidR="0026023A" w:rsidRPr="00796736" w:rsidRDefault="0026023A" w:rsidP="00A802A5">
      <w:pPr>
        <w:spacing w:line="360" w:lineRule="auto"/>
        <w:rPr>
          <w:rFonts w:ascii="Times New Roman" w:hAnsi="Times New Roman" w:cs="Times New Roman"/>
          <w:sz w:val="24"/>
          <w:szCs w:val="24"/>
        </w:rPr>
      </w:pPr>
    </w:p>
    <w:p w14:paraId="38C63401" w14:textId="3F4908FF" w:rsidR="00C14723"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2, nr. </w:t>
      </w:r>
      <w:r w:rsidR="007E1C22" w:rsidRPr="00796736">
        <w:rPr>
          <w:rFonts w:ascii="Times New Roman" w:hAnsi="Times New Roman" w:cs="Times New Roman"/>
          <w:i/>
          <w:iCs/>
          <w:sz w:val="24"/>
          <w:szCs w:val="24"/>
        </w:rPr>
        <w:t>2</w:t>
      </w:r>
      <w:r w:rsidRPr="00796736">
        <w:rPr>
          <w:rFonts w:ascii="Times New Roman" w:hAnsi="Times New Roman" w:cs="Times New Roman"/>
          <w:sz w:val="24"/>
          <w:szCs w:val="24"/>
        </w:rPr>
        <w:t xml:space="preserve">, at </w:t>
      </w:r>
      <w:r w:rsidR="007E1C22" w:rsidRPr="00796736">
        <w:rPr>
          <w:rFonts w:ascii="Times New Roman" w:hAnsi="Times New Roman" w:cs="Times New Roman"/>
          <w:sz w:val="24"/>
          <w:szCs w:val="24"/>
        </w:rPr>
        <w:t xml:space="preserve">en </w:t>
      </w:r>
      <w:r w:rsidR="00D32907" w:rsidRPr="00796736">
        <w:rPr>
          <w:rFonts w:ascii="Times New Roman" w:hAnsi="Times New Roman" w:cs="Times New Roman"/>
          <w:sz w:val="24"/>
          <w:szCs w:val="24"/>
        </w:rPr>
        <w:t>fysisk eller juridisk person</w:t>
      </w:r>
      <w:r w:rsidR="007E1C22" w:rsidRPr="00796736">
        <w:rPr>
          <w:rFonts w:ascii="Times New Roman" w:hAnsi="Times New Roman" w:cs="Times New Roman"/>
          <w:sz w:val="24"/>
          <w:szCs w:val="24"/>
        </w:rPr>
        <w:t xml:space="preserve"> nævnt i § 2, nr. 8, der udøver de aktiviteter, som er nævnt i bilag 1, en crowdfundingformidler nævnt i § 2, nr. 14, eller et </w:t>
      </w:r>
      <w:r w:rsidR="0005232C" w:rsidRPr="00796736">
        <w:rPr>
          <w:rFonts w:ascii="Times New Roman" w:hAnsi="Times New Roman" w:cs="Times New Roman"/>
          <w:sz w:val="24"/>
          <w:szCs w:val="24"/>
        </w:rPr>
        <w:t>ikke</w:t>
      </w:r>
      <w:r w:rsidR="007E1C22" w:rsidRPr="00796736">
        <w:rPr>
          <w:rFonts w:ascii="Times New Roman" w:hAnsi="Times New Roman" w:cs="Times New Roman"/>
          <w:sz w:val="24"/>
          <w:szCs w:val="24"/>
        </w:rPr>
        <w:t xml:space="preserve">finansielt holdingselskab med blandet aktivitet nævnt i § 2, nr. </w:t>
      </w:r>
      <w:r w:rsidR="0005232C" w:rsidRPr="00796736">
        <w:rPr>
          <w:rFonts w:ascii="Times New Roman" w:hAnsi="Times New Roman" w:cs="Times New Roman"/>
          <w:sz w:val="24"/>
          <w:szCs w:val="24"/>
        </w:rPr>
        <w:t>32, litra a</w:t>
      </w:r>
      <w:r w:rsidR="007E1C22" w:rsidRPr="00796736">
        <w:rPr>
          <w:rFonts w:ascii="Times New Roman" w:hAnsi="Times New Roman" w:cs="Times New Roman"/>
          <w:sz w:val="24"/>
          <w:szCs w:val="24"/>
        </w:rPr>
        <w:t xml:space="preserve">, anses som part, når den pågældende udøver virksomhed uden registrering efter </w:t>
      </w:r>
      <w:r w:rsidR="007E1C22" w:rsidRPr="00796736">
        <w:rPr>
          <w:rFonts w:ascii="Times New Roman" w:hAnsi="Times New Roman" w:cs="Times New Roman"/>
          <w:sz w:val="24"/>
          <w:szCs w:val="24"/>
        </w:rPr>
        <w:fldChar w:fldCharType="begin"/>
      </w:r>
      <w:r w:rsidR="007E1C22" w:rsidRPr="00796736">
        <w:rPr>
          <w:rFonts w:ascii="Times New Roman" w:hAnsi="Times New Roman" w:cs="Times New Roman"/>
          <w:sz w:val="24"/>
          <w:szCs w:val="24"/>
        </w:rPr>
        <w:instrText xml:space="preserve"> REF _Ref232596860 \r \h </w:instrText>
      </w:r>
      <w:r w:rsidR="005D152A" w:rsidRPr="00796736">
        <w:rPr>
          <w:rFonts w:ascii="Times New Roman" w:hAnsi="Times New Roman" w:cs="Times New Roman"/>
          <w:sz w:val="24"/>
          <w:szCs w:val="24"/>
        </w:rPr>
        <w:instrText xml:space="preserve"> \* MERGEFORMAT </w:instrText>
      </w:r>
      <w:r w:rsidR="007E1C22" w:rsidRPr="00796736">
        <w:rPr>
          <w:rFonts w:ascii="Times New Roman" w:hAnsi="Times New Roman" w:cs="Times New Roman"/>
          <w:sz w:val="24"/>
          <w:szCs w:val="24"/>
        </w:rPr>
      </w:r>
      <w:r w:rsidR="007E1C22"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7E1C22" w:rsidRPr="00796736">
        <w:rPr>
          <w:rFonts w:ascii="Times New Roman" w:hAnsi="Times New Roman" w:cs="Times New Roman"/>
          <w:sz w:val="24"/>
          <w:szCs w:val="24"/>
        </w:rPr>
        <w:fldChar w:fldCharType="end"/>
      </w:r>
      <w:r w:rsidR="007E1C22" w:rsidRPr="00796736">
        <w:rPr>
          <w:rFonts w:ascii="Times New Roman" w:hAnsi="Times New Roman" w:cs="Times New Roman"/>
          <w:sz w:val="24"/>
          <w:szCs w:val="24"/>
        </w:rPr>
        <w:t xml:space="preserve">, stk. 1. </w:t>
      </w:r>
      <w:r w:rsidR="00D32907" w:rsidRPr="00796736">
        <w:rPr>
          <w:rFonts w:ascii="Times New Roman" w:hAnsi="Times New Roman" w:cs="Times New Roman"/>
          <w:sz w:val="24"/>
          <w:szCs w:val="24"/>
        </w:rPr>
        <w:t xml:space="preserve">Det foreslås endvidere, at et finansielt holdingselskab med blandet aktivitet nævnt i § 2, nr. </w:t>
      </w:r>
      <w:r w:rsidR="0005232C" w:rsidRPr="00796736">
        <w:rPr>
          <w:rFonts w:ascii="Times New Roman" w:hAnsi="Times New Roman" w:cs="Times New Roman"/>
          <w:sz w:val="24"/>
          <w:szCs w:val="24"/>
        </w:rPr>
        <w:t>19</w:t>
      </w:r>
      <w:r w:rsidR="00D32907" w:rsidRPr="00796736">
        <w:rPr>
          <w:rFonts w:ascii="Times New Roman" w:hAnsi="Times New Roman" w:cs="Times New Roman"/>
          <w:sz w:val="24"/>
          <w:szCs w:val="24"/>
        </w:rPr>
        <w:t>, anses som part, når dette udøver virksomhed uden registrering, jf</w:t>
      </w:r>
      <w:r w:rsidR="00BB3E0D" w:rsidRPr="00796736">
        <w:rPr>
          <w:rFonts w:ascii="Times New Roman" w:hAnsi="Times New Roman" w:cs="Times New Roman"/>
          <w:sz w:val="24"/>
          <w:szCs w:val="24"/>
        </w:rPr>
        <w:t>.</w:t>
      </w:r>
      <w:r w:rsidR="00D32907" w:rsidRPr="00796736">
        <w:rPr>
          <w:rFonts w:ascii="Times New Roman" w:hAnsi="Times New Roman" w:cs="Times New Roman"/>
          <w:sz w:val="24"/>
          <w:szCs w:val="24"/>
        </w:rPr>
        <w:t xml:space="preserve"> </w:t>
      </w:r>
      <w:r w:rsidR="00D32907" w:rsidRPr="00796736">
        <w:rPr>
          <w:rFonts w:ascii="Times New Roman" w:hAnsi="Times New Roman" w:cs="Times New Roman"/>
          <w:sz w:val="24"/>
          <w:szCs w:val="24"/>
        </w:rPr>
        <w:fldChar w:fldCharType="begin"/>
      </w:r>
      <w:r w:rsidR="00D32907" w:rsidRPr="00796736">
        <w:rPr>
          <w:rFonts w:ascii="Times New Roman" w:hAnsi="Times New Roman" w:cs="Times New Roman"/>
          <w:sz w:val="24"/>
          <w:szCs w:val="24"/>
        </w:rPr>
        <w:instrText xml:space="preserve"> REF _Ref232596860 \r \h  \* MERGEFORMAT </w:instrText>
      </w:r>
      <w:r w:rsidR="00D32907" w:rsidRPr="00796736">
        <w:rPr>
          <w:rFonts w:ascii="Times New Roman" w:hAnsi="Times New Roman" w:cs="Times New Roman"/>
          <w:sz w:val="24"/>
          <w:szCs w:val="24"/>
        </w:rPr>
      </w:r>
      <w:r w:rsidR="00D32907"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00D32907" w:rsidRPr="00796736">
        <w:rPr>
          <w:rFonts w:ascii="Times New Roman" w:hAnsi="Times New Roman" w:cs="Times New Roman"/>
          <w:sz w:val="24"/>
          <w:szCs w:val="24"/>
        </w:rPr>
        <w:fldChar w:fldCharType="end"/>
      </w:r>
      <w:r w:rsidR="00D32907" w:rsidRPr="00796736">
        <w:rPr>
          <w:rFonts w:ascii="Times New Roman" w:hAnsi="Times New Roman" w:cs="Times New Roman"/>
          <w:sz w:val="24"/>
          <w:szCs w:val="24"/>
        </w:rPr>
        <w:t>, stk. 2.</w:t>
      </w:r>
    </w:p>
    <w:p w14:paraId="1F6F564A" w14:textId="77777777" w:rsidR="007E1C22" w:rsidRPr="00796736" w:rsidRDefault="007E1C22" w:rsidP="00A802A5">
      <w:pPr>
        <w:spacing w:line="360" w:lineRule="auto"/>
        <w:rPr>
          <w:rFonts w:ascii="Times New Roman" w:hAnsi="Times New Roman" w:cs="Times New Roman"/>
          <w:sz w:val="24"/>
          <w:szCs w:val="24"/>
        </w:rPr>
      </w:pPr>
    </w:p>
    <w:p w14:paraId="2A04AAB8" w14:textId="02AC1BBF" w:rsidR="00C14723"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henhold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_Ref232596860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skal </w:t>
      </w:r>
      <w:r w:rsidR="00C14723" w:rsidRPr="00796736">
        <w:rPr>
          <w:rFonts w:ascii="Times New Roman" w:hAnsi="Times New Roman" w:cs="Times New Roman"/>
          <w:sz w:val="24"/>
          <w:szCs w:val="24"/>
        </w:rPr>
        <w:t>virksomheder og personer, der er omfattet af § 2, nr. 8, crowdfundingformidlere, jf. § 2, nr. 14, samt ikkefinansielle holdingselskaber med blandet aktivitet, jf. § 2, nr. 32, litra a, registreres hos Finanstilsynet, før de kan udøve aktiviteter, der er nævnt i bilag 1, udøve crowdfundingformidling eller drive virksomhed som ikkefinansielt holdingselskab med blandet aktivitet, når holdingselskabet har et datterselskab, der udøver virksomhed som crowdfundingtjenesteudbyder eller crowdfundingformidler som defineret i artikel 3, nr. 3, litra h, eller som kreditformidler, som defineret i artikel 3, nr. 3, litra k, i hvidvaskforordningen, og når holdingselskabet udøver virksomhed i Danmark.</w:t>
      </w:r>
    </w:p>
    <w:p w14:paraId="1C9BD23A" w14:textId="77777777" w:rsidR="00D32907" w:rsidRPr="00796736" w:rsidRDefault="00D32907" w:rsidP="00A802A5">
      <w:pPr>
        <w:spacing w:line="360" w:lineRule="auto"/>
        <w:rPr>
          <w:rFonts w:ascii="Times New Roman" w:hAnsi="Times New Roman" w:cs="Times New Roman"/>
          <w:sz w:val="24"/>
          <w:szCs w:val="24"/>
        </w:rPr>
      </w:pPr>
    </w:p>
    <w:p w14:paraId="4EDBAE9D" w14:textId="6909C16B" w:rsidR="00D32907" w:rsidRPr="00796736" w:rsidRDefault="00D3290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_Ref232596860 \r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2, at </w:t>
      </w:r>
      <w:r w:rsidR="00C14723" w:rsidRPr="00796736">
        <w:rPr>
          <w:rFonts w:ascii="Times New Roman" w:hAnsi="Times New Roman" w:cs="Times New Roman"/>
          <w:sz w:val="24"/>
          <w:szCs w:val="24"/>
        </w:rPr>
        <w:t>et finansielt holdingselskab med blandet aktivitet, jf. § 2, nr. 19, skal registreres hos Finanstilsynet, når holdingselskabet udøver virksomhed i Danmark.</w:t>
      </w:r>
    </w:p>
    <w:p w14:paraId="23E06EA3" w14:textId="77777777" w:rsidR="007E1C22" w:rsidRPr="00796736" w:rsidRDefault="007E1C22" w:rsidP="00A802A5">
      <w:pPr>
        <w:spacing w:line="360" w:lineRule="auto"/>
        <w:rPr>
          <w:rFonts w:ascii="Times New Roman" w:hAnsi="Times New Roman" w:cs="Times New Roman"/>
          <w:sz w:val="24"/>
          <w:szCs w:val="24"/>
        </w:rPr>
      </w:pPr>
    </w:p>
    <w:p w14:paraId="1DD37F70" w14:textId="77777777" w:rsidR="007E1C22"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foreslåede indebærer, at virksomheder og personer, der udøver registreringspligtige aktiviteter uden at have opnået den fornødne registrering, anses som part i forhold til Finanstilsynet, for så vidt angår den del af sagen, som vedrører den pågældende. </w:t>
      </w:r>
    </w:p>
    <w:p w14:paraId="25D9C0F9" w14:textId="77777777" w:rsidR="007E1C22" w:rsidRPr="00796736" w:rsidRDefault="007E1C22" w:rsidP="00A802A5">
      <w:pPr>
        <w:spacing w:line="360" w:lineRule="auto"/>
        <w:rPr>
          <w:rFonts w:ascii="Times New Roman" w:hAnsi="Times New Roman" w:cs="Times New Roman"/>
          <w:sz w:val="24"/>
          <w:szCs w:val="24"/>
        </w:rPr>
      </w:pPr>
    </w:p>
    <w:p w14:paraId="16F35283" w14:textId="4DD6577A" w:rsidR="007E1C22"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3</w:t>
      </w:r>
      <w:r w:rsidRPr="00796736">
        <w:rPr>
          <w:rFonts w:ascii="Times New Roman" w:hAnsi="Times New Roman" w:cs="Times New Roman"/>
          <w:sz w:val="24"/>
          <w:szCs w:val="24"/>
        </w:rPr>
        <w:t xml:space="preserve">, at en virksomhed, en person, den eller de ledelsesansvarlige eller den eller de personer i virksomheden, der </w:t>
      </w:r>
      <w:r w:rsidR="00D32907" w:rsidRPr="00796736">
        <w:rPr>
          <w:rFonts w:ascii="Times New Roman" w:hAnsi="Times New Roman" w:cs="Times New Roman"/>
          <w:sz w:val="24"/>
          <w:szCs w:val="24"/>
        </w:rPr>
        <w:t>erhverver eller besidder</w:t>
      </w:r>
      <w:r w:rsidRPr="00796736">
        <w:rPr>
          <w:rFonts w:ascii="Times New Roman" w:hAnsi="Times New Roman" w:cs="Times New Roman"/>
          <w:sz w:val="24"/>
          <w:szCs w:val="24"/>
        </w:rPr>
        <w:t xml:space="preserve"> kvalificerede andele</w:t>
      </w:r>
      <w:r w:rsidR="00465566" w:rsidRPr="00796736">
        <w:rPr>
          <w:rFonts w:ascii="Times New Roman" w:hAnsi="Times New Roman" w:cs="Times New Roman"/>
          <w:sz w:val="24"/>
          <w:szCs w:val="24"/>
        </w:rPr>
        <w:t>, eller den eller de reelle ejere</w:t>
      </w:r>
      <w:r w:rsidRPr="00796736">
        <w:rPr>
          <w:rFonts w:ascii="Times New Roman" w:hAnsi="Times New Roman" w:cs="Times New Roman"/>
          <w:sz w:val="24"/>
          <w:szCs w:val="24"/>
        </w:rPr>
        <w:t>, anses som part, når den pågældende omfattes af en afgørelse truffet af Finanstilsynet om personens egnethed eller hæderlighed i henhold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w:t>
      </w:r>
      <w:r w:rsidR="0039542C"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51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p>
    <w:p w14:paraId="0FFF0438" w14:textId="77777777" w:rsidR="007E1C22" w:rsidRPr="00796736" w:rsidRDefault="007E1C22" w:rsidP="00A802A5">
      <w:pPr>
        <w:spacing w:line="360" w:lineRule="auto"/>
        <w:rPr>
          <w:rFonts w:ascii="Times New Roman" w:hAnsi="Times New Roman" w:cs="Times New Roman"/>
          <w:sz w:val="24"/>
          <w:szCs w:val="24"/>
        </w:rPr>
      </w:pPr>
    </w:p>
    <w:p w14:paraId="0FB119D3" w14:textId="572D7400" w:rsidR="007E1C22"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den virksomhed eller person, som omfattes af en afgørelse truffet af Finanstilsynet om egnethed eller hæderlighed i henhold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51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anses som part, for så vidt angår denne afgørelse.</w:t>
      </w:r>
    </w:p>
    <w:p w14:paraId="02415650" w14:textId="77777777" w:rsidR="007E1C22" w:rsidRPr="00796736" w:rsidRDefault="007E1C22" w:rsidP="00A802A5">
      <w:pPr>
        <w:spacing w:line="360" w:lineRule="auto"/>
        <w:rPr>
          <w:rFonts w:ascii="Times New Roman" w:hAnsi="Times New Roman" w:cs="Times New Roman"/>
          <w:sz w:val="24"/>
          <w:szCs w:val="24"/>
        </w:rPr>
      </w:pPr>
    </w:p>
    <w:p w14:paraId="4B0835CF" w14:textId="6428755D" w:rsidR="007E1C22"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bestemmelsen tilsigtes eksempelvis, at en direktør eller et bestyrelsesmedlem, en ledelsesansvarlig eller en person, der </w:t>
      </w:r>
      <w:r w:rsidR="00FD4431" w:rsidRPr="00796736">
        <w:rPr>
          <w:rFonts w:ascii="Times New Roman" w:hAnsi="Times New Roman" w:cs="Times New Roman"/>
          <w:sz w:val="24"/>
          <w:szCs w:val="24"/>
        </w:rPr>
        <w:t xml:space="preserve">erhverver eller besidder </w:t>
      </w:r>
      <w:r w:rsidRPr="00796736">
        <w:rPr>
          <w:rFonts w:ascii="Times New Roman" w:hAnsi="Times New Roman" w:cs="Times New Roman"/>
          <w:sz w:val="24"/>
          <w:szCs w:val="24"/>
        </w:rPr>
        <w:t>kvalificerede andele</w:t>
      </w:r>
      <w:r w:rsidR="00465566" w:rsidRPr="00796736">
        <w:rPr>
          <w:rFonts w:ascii="Times New Roman" w:hAnsi="Times New Roman" w:cs="Times New Roman"/>
          <w:sz w:val="24"/>
          <w:szCs w:val="24"/>
        </w:rPr>
        <w:t xml:space="preserve"> eller en reel ejer</w:t>
      </w:r>
      <w:r w:rsidRPr="00796736">
        <w:rPr>
          <w:rFonts w:ascii="Times New Roman" w:hAnsi="Times New Roman" w:cs="Times New Roman"/>
          <w:sz w:val="24"/>
          <w:szCs w:val="24"/>
        </w:rPr>
        <w:t xml:space="preserve"> i virksomheden, anses som part, hvis Finanstilsynet vurderer, at den pågældende ikke opfylder kravene til egnethed eller hæderlighed. Dette kan eksempelvis være i forbindelse med en ansøgning om tilladelse eller registrering eller i forbindelse med en afgørelse om, at den pågældende skal afsættes eller fratræde sin funktion i henhold til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_Ref232596808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w:t>
      </w:r>
      <w:r w:rsidR="0039542C"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_Ref232596960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51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Den pågældende anses i sådanne tilfælde som part, for så vidt angår den del af afgørelsen, der vedrører vedkommende.</w:t>
      </w:r>
    </w:p>
    <w:p w14:paraId="4433A34D" w14:textId="77777777" w:rsidR="007E1C22" w:rsidRPr="00796736" w:rsidRDefault="007E1C22" w:rsidP="00A802A5">
      <w:pPr>
        <w:spacing w:line="360" w:lineRule="auto"/>
        <w:rPr>
          <w:rFonts w:ascii="Times New Roman" w:hAnsi="Times New Roman" w:cs="Times New Roman"/>
          <w:sz w:val="24"/>
          <w:szCs w:val="24"/>
        </w:rPr>
      </w:pPr>
    </w:p>
    <w:p w14:paraId="23DCC833" w14:textId="6DF06623" w:rsidR="007E1C22"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4</w:t>
      </w:r>
      <w:r w:rsidRPr="00796736">
        <w:rPr>
          <w:rFonts w:ascii="Times New Roman" w:hAnsi="Times New Roman" w:cs="Times New Roman"/>
          <w:sz w:val="24"/>
          <w:szCs w:val="24"/>
        </w:rPr>
        <w:t>, at et medlem af en virksomhed</w:t>
      </w:r>
      <w:r w:rsidR="006A19E0" w:rsidRPr="00796736">
        <w:rPr>
          <w:rFonts w:ascii="Times New Roman" w:hAnsi="Times New Roman" w:cs="Times New Roman"/>
          <w:sz w:val="24"/>
          <w:szCs w:val="24"/>
        </w:rPr>
        <w:t xml:space="preserve">s </w:t>
      </w:r>
      <w:r w:rsidR="006A19E0" w:rsidRPr="00796736">
        <w:rPr>
          <w:rFonts w:ascii="Times New Roman" w:eastAsia="Times New Roman" w:hAnsi="Times New Roman" w:cs="Times New Roman"/>
          <w:sz w:val="24"/>
          <w:szCs w:val="24"/>
          <w:lang w:eastAsia="da-DK"/>
        </w:rPr>
        <w:t>øverste ledelse, herunder</w:t>
      </w:r>
      <w:r w:rsidRPr="00796736">
        <w:rPr>
          <w:rFonts w:ascii="Times New Roman" w:hAnsi="Times New Roman" w:cs="Times New Roman"/>
          <w:sz w:val="24"/>
          <w:szCs w:val="24"/>
        </w:rPr>
        <w:t xml:space="preserve"> bestyrelse eller direktion, den eller de ledelsesansvarlige eller den eller de personer i virksomheden, der </w:t>
      </w:r>
      <w:r w:rsidR="00D32907" w:rsidRPr="00796736">
        <w:rPr>
          <w:rFonts w:ascii="Times New Roman" w:hAnsi="Times New Roman" w:cs="Times New Roman"/>
          <w:sz w:val="24"/>
          <w:szCs w:val="24"/>
        </w:rPr>
        <w:t>erhverver eller besidder</w:t>
      </w:r>
      <w:r w:rsidRPr="00796736">
        <w:rPr>
          <w:rFonts w:ascii="Times New Roman" w:hAnsi="Times New Roman" w:cs="Times New Roman"/>
          <w:sz w:val="24"/>
          <w:szCs w:val="24"/>
        </w:rPr>
        <w:t xml:space="preserve"> kvalificerede andele</w:t>
      </w:r>
      <w:r w:rsidR="00465566" w:rsidRPr="00796736">
        <w:rPr>
          <w:rFonts w:ascii="Times New Roman" w:hAnsi="Times New Roman" w:cs="Times New Roman"/>
          <w:sz w:val="24"/>
          <w:szCs w:val="24"/>
        </w:rPr>
        <w:t>, eller den eller de reelle ejere</w:t>
      </w:r>
      <w:r w:rsidRPr="00796736">
        <w:rPr>
          <w:rFonts w:ascii="Times New Roman" w:hAnsi="Times New Roman" w:cs="Times New Roman"/>
          <w:sz w:val="24"/>
          <w:szCs w:val="24"/>
        </w:rPr>
        <w:t xml:space="preserve">, anses som part, når Finanstilsynet nægter en virksomhed tilladelse eller registrering eller inddrager disse, jf. </w:t>
      </w:r>
      <w:r w:rsidR="00D32907" w:rsidRPr="00796736">
        <w:rPr>
          <w:rFonts w:ascii="Times New Roman" w:eastAsia="Times New Roman" w:hAnsi="Times New Roman" w:cs="Times New Roman"/>
          <w:sz w:val="24"/>
          <w:szCs w:val="24"/>
          <w:lang w:eastAsia="da-DK"/>
        </w:rPr>
        <w:t xml:space="preserve">jf. </w:t>
      </w:r>
      <w:r w:rsidR="00D32907" w:rsidRPr="00796736">
        <w:rPr>
          <w:rFonts w:ascii="Times New Roman" w:eastAsia="Times New Roman" w:hAnsi="Times New Roman" w:cs="Times New Roman"/>
          <w:sz w:val="24"/>
          <w:szCs w:val="24"/>
          <w:lang w:eastAsia="da-DK"/>
        </w:rPr>
        <w:fldChar w:fldCharType="begin"/>
      </w:r>
      <w:r w:rsidR="00D32907" w:rsidRPr="00796736">
        <w:rPr>
          <w:rFonts w:ascii="Times New Roman" w:eastAsia="Times New Roman" w:hAnsi="Times New Roman" w:cs="Times New Roman"/>
          <w:sz w:val="24"/>
          <w:szCs w:val="24"/>
          <w:lang w:eastAsia="da-DK"/>
        </w:rPr>
        <w:instrText xml:space="preserve"> REF _Ref232596553 \r \h </w:instrText>
      </w:r>
      <w:r w:rsidR="006A012C" w:rsidRPr="00796736">
        <w:rPr>
          <w:rFonts w:ascii="Times New Roman" w:eastAsia="Times New Roman" w:hAnsi="Times New Roman" w:cs="Times New Roman"/>
          <w:sz w:val="24"/>
          <w:szCs w:val="24"/>
          <w:lang w:eastAsia="da-DK"/>
        </w:rPr>
        <w:instrText xml:space="preserve"> \* MERGEFORMAT </w:instrText>
      </w:r>
      <w:r w:rsidR="00D32907" w:rsidRPr="00796736">
        <w:rPr>
          <w:rFonts w:ascii="Times New Roman" w:eastAsia="Times New Roman" w:hAnsi="Times New Roman" w:cs="Times New Roman"/>
          <w:sz w:val="24"/>
          <w:szCs w:val="24"/>
          <w:lang w:eastAsia="da-DK"/>
        </w:rPr>
      </w:r>
      <w:r w:rsidR="00D3290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41</w:t>
      </w:r>
      <w:r w:rsidR="00D32907" w:rsidRPr="00796736">
        <w:rPr>
          <w:rFonts w:ascii="Times New Roman" w:eastAsia="Times New Roman" w:hAnsi="Times New Roman" w:cs="Times New Roman"/>
          <w:sz w:val="24"/>
          <w:szCs w:val="24"/>
          <w:lang w:eastAsia="da-DK"/>
        </w:rPr>
        <w:fldChar w:fldCharType="end"/>
      </w:r>
      <w:r w:rsidR="00D32907" w:rsidRPr="00796736">
        <w:rPr>
          <w:rFonts w:ascii="Times New Roman" w:eastAsia="Times New Roman" w:hAnsi="Times New Roman" w:cs="Times New Roman"/>
          <w:sz w:val="24"/>
          <w:szCs w:val="24"/>
          <w:lang w:eastAsia="da-DK"/>
        </w:rPr>
        <w:t xml:space="preserve">, nr. 1-5, </w:t>
      </w:r>
      <w:r w:rsidR="00D32907" w:rsidRPr="00796736">
        <w:rPr>
          <w:rFonts w:ascii="Times New Roman" w:eastAsia="Times New Roman" w:hAnsi="Times New Roman" w:cs="Times New Roman"/>
          <w:sz w:val="24"/>
          <w:szCs w:val="24"/>
          <w:lang w:eastAsia="da-DK"/>
        </w:rPr>
        <w:fldChar w:fldCharType="begin"/>
      </w:r>
      <w:r w:rsidR="00D32907" w:rsidRPr="00796736">
        <w:rPr>
          <w:rFonts w:ascii="Times New Roman" w:eastAsia="Times New Roman" w:hAnsi="Times New Roman" w:cs="Times New Roman"/>
          <w:sz w:val="24"/>
          <w:szCs w:val="24"/>
          <w:lang w:eastAsia="da-DK"/>
        </w:rPr>
        <w:instrText xml:space="preserve"> REF _Ref232596829 \r \h  \* MERGEFORMAT </w:instrText>
      </w:r>
      <w:r w:rsidR="00D32907" w:rsidRPr="00796736">
        <w:rPr>
          <w:rFonts w:ascii="Times New Roman" w:eastAsia="Times New Roman" w:hAnsi="Times New Roman" w:cs="Times New Roman"/>
          <w:sz w:val="24"/>
          <w:szCs w:val="24"/>
          <w:lang w:eastAsia="da-DK"/>
        </w:rPr>
      </w:r>
      <w:r w:rsidR="00D3290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46</w:t>
      </w:r>
      <w:r w:rsidR="00D32907" w:rsidRPr="00796736">
        <w:rPr>
          <w:rFonts w:ascii="Times New Roman" w:eastAsia="Times New Roman" w:hAnsi="Times New Roman" w:cs="Times New Roman"/>
          <w:sz w:val="24"/>
          <w:szCs w:val="24"/>
          <w:lang w:eastAsia="da-DK"/>
        </w:rPr>
        <w:fldChar w:fldCharType="end"/>
      </w:r>
      <w:r w:rsidR="00D32907" w:rsidRPr="00796736">
        <w:rPr>
          <w:rFonts w:ascii="Times New Roman" w:eastAsia="Times New Roman" w:hAnsi="Times New Roman" w:cs="Times New Roman"/>
          <w:sz w:val="24"/>
          <w:szCs w:val="24"/>
          <w:lang w:eastAsia="da-DK"/>
        </w:rPr>
        <w:t xml:space="preserve">, nr. 1-7, </w:t>
      </w:r>
      <w:r w:rsidR="00D32907" w:rsidRPr="00796736">
        <w:rPr>
          <w:rFonts w:ascii="Times New Roman" w:eastAsia="Times New Roman" w:hAnsi="Times New Roman" w:cs="Times New Roman"/>
          <w:sz w:val="24"/>
          <w:szCs w:val="24"/>
          <w:lang w:eastAsia="da-DK"/>
        </w:rPr>
        <w:fldChar w:fldCharType="begin"/>
      </w:r>
      <w:r w:rsidR="00D32907" w:rsidRPr="00796736">
        <w:rPr>
          <w:rFonts w:ascii="Times New Roman" w:eastAsia="Times New Roman" w:hAnsi="Times New Roman" w:cs="Times New Roman"/>
          <w:sz w:val="24"/>
          <w:szCs w:val="24"/>
          <w:lang w:eastAsia="da-DK"/>
        </w:rPr>
        <w:instrText xml:space="preserve"> REF _Ref232596888 \r \h </w:instrText>
      </w:r>
      <w:r w:rsidR="006A012C" w:rsidRPr="00796736">
        <w:rPr>
          <w:rFonts w:ascii="Times New Roman" w:eastAsia="Times New Roman" w:hAnsi="Times New Roman" w:cs="Times New Roman"/>
          <w:sz w:val="24"/>
          <w:szCs w:val="24"/>
          <w:lang w:eastAsia="da-DK"/>
        </w:rPr>
        <w:instrText xml:space="preserve"> \* MERGEFORMAT </w:instrText>
      </w:r>
      <w:r w:rsidR="00D32907" w:rsidRPr="00796736">
        <w:rPr>
          <w:rFonts w:ascii="Times New Roman" w:eastAsia="Times New Roman" w:hAnsi="Times New Roman" w:cs="Times New Roman"/>
          <w:sz w:val="24"/>
          <w:szCs w:val="24"/>
          <w:lang w:eastAsia="da-DK"/>
        </w:rPr>
      </w:r>
      <w:r w:rsidR="00D3290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48</w:t>
      </w:r>
      <w:r w:rsidR="00D32907" w:rsidRPr="00796736">
        <w:rPr>
          <w:rFonts w:ascii="Times New Roman" w:eastAsia="Times New Roman" w:hAnsi="Times New Roman" w:cs="Times New Roman"/>
          <w:sz w:val="24"/>
          <w:szCs w:val="24"/>
          <w:lang w:eastAsia="da-DK"/>
        </w:rPr>
        <w:fldChar w:fldCharType="end"/>
      </w:r>
      <w:r w:rsidR="00D32907" w:rsidRPr="00796736">
        <w:rPr>
          <w:rFonts w:ascii="Times New Roman" w:eastAsia="Times New Roman" w:hAnsi="Times New Roman" w:cs="Times New Roman"/>
          <w:sz w:val="24"/>
          <w:szCs w:val="24"/>
          <w:lang w:eastAsia="da-DK"/>
        </w:rPr>
        <w:t>, nr. 1-3</w:t>
      </w:r>
      <w:r w:rsidR="00B6143C" w:rsidRPr="00796736">
        <w:rPr>
          <w:rFonts w:ascii="Times New Roman" w:eastAsia="Times New Roman" w:hAnsi="Times New Roman" w:cs="Times New Roman"/>
          <w:sz w:val="24"/>
          <w:szCs w:val="24"/>
          <w:lang w:eastAsia="da-DK"/>
        </w:rPr>
        <w:t>,</w:t>
      </w:r>
      <w:r w:rsidR="00D32907" w:rsidRPr="00796736">
        <w:rPr>
          <w:rFonts w:ascii="Times New Roman" w:eastAsia="Times New Roman" w:hAnsi="Times New Roman" w:cs="Times New Roman"/>
          <w:sz w:val="24"/>
          <w:szCs w:val="24"/>
          <w:lang w:eastAsia="da-DK"/>
        </w:rPr>
        <w:t xml:space="preserve"> og </w:t>
      </w:r>
      <w:r w:rsidR="00D32907" w:rsidRPr="00796736">
        <w:rPr>
          <w:rFonts w:ascii="Times New Roman" w:eastAsia="Times New Roman" w:hAnsi="Times New Roman" w:cs="Times New Roman"/>
          <w:sz w:val="24"/>
          <w:szCs w:val="24"/>
          <w:lang w:eastAsia="da-DK"/>
        </w:rPr>
        <w:fldChar w:fldCharType="begin"/>
      </w:r>
      <w:r w:rsidR="00D32907" w:rsidRPr="00796736">
        <w:rPr>
          <w:rFonts w:ascii="Times New Roman" w:eastAsia="Times New Roman" w:hAnsi="Times New Roman" w:cs="Times New Roman"/>
          <w:sz w:val="24"/>
          <w:szCs w:val="24"/>
          <w:lang w:eastAsia="da-DK"/>
        </w:rPr>
        <w:instrText xml:space="preserve"> REF _Ref232596992 \r \h  \* MERGEFORMAT </w:instrText>
      </w:r>
      <w:r w:rsidR="00D32907" w:rsidRPr="00796736">
        <w:rPr>
          <w:rFonts w:ascii="Times New Roman" w:eastAsia="Times New Roman" w:hAnsi="Times New Roman" w:cs="Times New Roman"/>
          <w:sz w:val="24"/>
          <w:szCs w:val="24"/>
          <w:lang w:eastAsia="da-DK"/>
        </w:rPr>
      </w:r>
      <w:r w:rsidR="00D32907"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52</w:t>
      </w:r>
      <w:r w:rsidR="00D32907" w:rsidRPr="00796736">
        <w:rPr>
          <w:rFonts w:ascii="Times New Roman" w:eastAsia="Times New Roman" w:hAnsi="Times New Roman" w:cs="Times New Roman"/>
          <w:sz w:val="24"/>
          <w:szCs w:val="24"/>
          <w:lang w:eastAsia="da-DK"/>
        </w:rPr>
        <w:fldChar w:fldCharType="end"/>
      </w:r>
      <w:r w:rsidR="00D32907" w:rsidRPr="00796736">
        <w:rPr>
          <w:rFonts w:ascii="Times New Roman" w:eastAsia="Times New Roman" w:hAnsi="Times New Roman" w:cs="Times New Roman"/>
          <w:sz w:val="24"/>
          <w:szCs w:val="24"/>
          <w:lang w:eastAsia="da-DK"/>
        </w:rPr>
        <w:t>, nr. 1-7.</w:t>
      </w:r>
    </w:p>
    <w:p w14:paraId="7BB3B5D9" w14:textId="77777777" w:rsidR="007E1C22" w:rsidRPr="00796736" w:rsidRDefault="007E1C22" w:rsidP="00A802A5">
      <w:pPr>
        <w:spacing w:line="360" w:lineRule="auto"/>
        <w:rPr>
          <w:rFonts w:ascii="Times New Roman" w:hAnsi="Times New Roman" w:cs="Times New Roman"/>
          <w:sz w:val="24"/>
          <w:szCs w:val="24"/>
        </w:rPr>
      </w:pPr>
    </w:p>
    <w:p w14:paraId="67F90459" w14:textId="77777777" w:rsidR="007E1C22"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indebærer, at de nævnte personer anses som parter over for Finanstilsynet, i det omfang afgørelsen vedrører forhold hos den pågældende. Den pågældende anses således alene som part for så vidt angår den del af sagen, som vedrører vedkommende.</w:t>
      </w:r>
    </w:p>
    <w:p w14:paraId="6DB5EE22" w14:textId="77777777" w:rsidR="007E1C22" w:rsidRPr="00796736" w:rsidRDefault="007E1C22" w:rsidP="00A802A5">
      <w:pPr>
        <w:spacing w:line="360" w:lineRule="auto"/>
        <w:rPr>
          <w:rFonts w:ascii="Times New Roman" w:hAnsi="Times New Roman" w:cs="Times New Roman"/>
          <w:sz w:val="24"/>
          <w:szCs w:val="24"/>
        </w:rPr>
      </w:pPr>
    </w:p>
    <w:p w14:paraId="5B37DF40" w14:textId="6FEAFE8B" w:rsidR="007E1C22"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Dette vil eksempelvis være tilfældet, hvor Finanstilsynet giver en virksomhed afslag på tilladelse til at udøve valutavekslingsvirksomhed eller registrering til at udøve de aktiviteter, der er nævnt i bilag 1, fordi Finanstilsynet ikke kan godkende et medlem af virksomhedens bestyrelse eller direktion, en ledelsesansvarlig</w:t>
      </w:r>
      <w:r w:rsidR="00465566" w:rsidRPr="00796736">
        <w:rPr>
          <w:rFonts w:ascii="Times New Roman" w:hAnsi="Times New Roman" w:cs="Times New Roman"/>
          <w:sz w:val="24"/>
          <w:szCs w:val="24"/>
        </w:rPr>
        <w:t xml:space="preserve">, </w:t>
      </w:r>
      <w:r w:rsidRPr="00796736">
        <w:rPr>
          <w:rFonts w:ascii="Times New Roman" w:hAnsi="Times New Roman" w:cs="Times New Roman"/>
          <w:sz w:val="24"/>
          <w:szCs w:val="24"/>
        </w:rPr>
        <w:t>en ejer af kvalificerede andele</w:t>
      </w:r>
      <w:r w:rsidR="00465566" w:rsidRPr="00796736">
        <w:rPr>
          <w:rFonts w:ascii="Times New Roman" w:hAnsi="Times New Roman" w:cs="Times New Roman"/>
          <w:sz w:val="24"/>
          <w:szCs w:val="24"/>
        </w:rPr>
        <w:t xml:space="preserve"> eller en reel ejer</w:t>
      </w:r>
      <w:r w:rsidRPr="00796736">
        <w:rPr>
          <w:rFonts w:ascii="Times New Roman" w:hAnsi="Times New Roman" w:cs="Times New Roman"/>
          <w:sz w:val="24"/>
          <w:szCs w:val="24"/>
        </w:rPr>
        <w:t xml:space="preserve">. Hvis Finanstilsynet eksempelvis nægter en virksomhed tilladelse, fordi Finanstilsynet i henhold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_Ref232596553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41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nr. 2, ikke kan godkende et medlem af virksomhedens bestyrelse, vil bestyrelsesmedlemmet være part i den del af afgørelsen, der vedrører bestyrelsesmedlemmet.</w:t>
      </w:r>
    </w:p>
    <w:p w14:paraId="4454D22D" w14:textId="77777777" w:rsidR="00D32907" w:rsidRPr="00796736" w:rsidRDefault="00D32907" w:rsidP="00A802A5">
      <w:pPr>
        <w:spacing w:line="360" w:lineRule="auto"/>
        <w:rPr>
          <w:rFonts w:ascii="Times New Roman" w:hAnsi="Times New Roman" w:cs="Times New Roman"/>
          <w:sz w:val="24"/>
          <w:szCs w:val="24"/>
        </w:rPr>
      </w:pPr>
    </w:p>
    <w:p w14:paraId="39EBAB09" w14:textId="6502E4BE" w:rsidR="00D32907" w:rsidRPr="00796736" w:rsidRDefault="00D32907"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2, nr. 5</w:t>
      </w:r>
      <w:r w:rsidRPr="00796736">
        <w:rPr>
          <w:rFonts w:ascii="Times New Roman" w:hAnsi="Times New Roman" w:cs="Times New Roman"/>
          <w:sz w:val="24"/>
          <w:szCs w:val="24"/>
        </w:rPr>
        <w:t xml:space="preserve">, at en virksomhed eller person, som Finanstilsynet kræver oplysninger </w:t>
      </w:r>
      <w:r w:rsidR="00645D1A" w:rsidRPr="00796736">
        <w:rPr>
          <w:rFonts w:ascii="Times New Roman" w:hAnsi="Times New Roman" w:cs="Times New Roman"/>
          <w:sz w:val="24"/>
          <w:szCs w:val="24"/>
        </w:rPr>
        <w:t>af til afgørelse af</w:t>
      </w:r>
      <w:r w:rsidRPr="00796736">
        <w:rPr>
          <w:rFonts w:ascii="Times New Roman" w:hAnsi="Times New Roman" w:cs="Times New Roman"/>
          <w:sz w:val="24"/>
          <w:szCs w:val="24"/>
        </w:rPr>
        <w:t>, om denne er omfattet af bestemmelserne i denne lov, anses som part</w:t>
      </w:r>
      <w:r w:rsidRPr="00796736">
        <w:rPr>
          <w:rFonts w:ascii="Times New Roman" w:eastAsia="Times New Roman" w:hAnsi="Times New Roman" w:cs="Times New Roman"/>
          <w:sz w:val="24"/>
          <w:szCs w:val="24"/>
          <w:lang w:eastAsia="da-DK"/>
        </w:rPr>
        <w:t xml:space="preserve">, jf.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_Ref232597126 \r \h </w:instrText>
      </w:r>
      <w:r w:rsidR="006A012C"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59</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stk. 3. </w:t>
      </w:r>
    </w:p>
    <w:p w14:paraId="068D30A9" w14:textId="77777777" w:rsidR="00D32907" w:rsidRPr="00796736" w:rsidRDefault="00D32907" w:rsidP="00A802A5">
      <w:pPr>
        <w:spacing w:line="360" w:lineRule="auto"/>
        <w:rPr>
          <w:rFonts w:ascii="Times New Roman" w:hAnsi="Times New Roman" w:cs="Times New Roman"/>
          <w:sz w:val="24"/>
          <w:szCs w:val="24"/>
        </w:rPr>
      </w:pPr>
    </w:p>
    <w:p w14:paraId="6A315761" w14:textId="2DF4E469" w:rsidR="00D32907" w:rsidRPr="00796736" w:rsidRDefault="00D3290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henhold til lovforslagets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_Ref232597126 \r \h </w:instrText>
      </w:r>
      <w:r w:rsidR="006A012C"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59</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stk. 3, at Finanstilsynet kan kræve at få adgang til alle oplysninger, herunder regnskaber og regnskabsmateriale, udskrift af bøger, andre forretningspapirer og elektronisk lagrede data, som skønnes nødvendige for Finanstilsynets afgørelse af, om en person eller virksomhed er omfattet af bestemmelserne i denne lov.</w:t>
      </w:r>
    </w:p>
    <w:p w14:paraId="2B785FFE" w14:textId="77777777" w:rsidR="00D32907" w:rsidRPr="00796736" w:rsidRDefault="00D32907" w:rsidP="00A802A5">
      <w:pPr>
        <w:spacing w:line="360" w:lineRule="auto"/>
        <w:rPr>
          <w:rFonts w:ascii="Times New Roman" w:hAnsi="Times New Roman" w:cs="Times New Roman"/>
          <w:sz w:val="24"/>
          <w:szCs w:val="24"/>
        </w:rPr>
      </w:pPr>
    </w:p>
    <w:p w14:paraId="410D43E4" w14:textId="6F574BF2" w:rsidR="00D32907" w:rsidRPr="00796736" w:rsidRDefault="00D32907"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virksomheder og fysiske personer opnår partsstatus, når Finanstilsynet kræver oplysninger fra virksomheden eller den fysiske person, der ikke udøver tilsynsbelagt virksomhed med henblik på at vurdere, om en virksomhed udøver tilsynsbelagt </w:t>
      </w:r>
      <w:r w:rsidR="0075764F" w:rsidRPr="00796736">
        <w:rPr>
          <w:rFonts w:ascii="Times New Roman" w:hAnsi="Times New Roman" w:cs="Times New Roman"/>
          <w:sz w:val="24"/>
          <w:szCs w:val="24"/>
        </w:rPr>
        <w:t>virksomhed</w:t>
      </w:r>
      <w:r w:rsidRPr="00796736">
        <w:rPr>
          <w:rFonts w:ascii="Times New Roman" w:hAnsi="Times New Roman" w:cs="Times New Roman"/>
          <w:sz w:val="24"/>
          <w:szCs w:val="24"/>
        </w:rPr>
        <w:t xml:space="preserve"> og således burde have</w:t>
      </w:r>
      <w:r w:rsidR="00660865" w:rsidRPr="00796736">
        <w:rPr>
          <w:rFonts w:ascii="Times New Roman" w:hAnsi="Times New Roman" w:cs="Times New Roman"/>
          <w:sz w:val="24"/>
          <w:szCs w:val="24"/>
        </w:rPr>
        <w:t xml:space="preserve"> en</w:t>
      </w:r>
      <w:r w:rsidRPr="00796736">
        <w:rPr>
          <w:rFonts w:ascii="Times New Roman" w:hAnsi="Times New Roman" w:cs="Times New Roman"/>
          <w:sz w:val="24"/>
          <w:szCs w:val="24"/>
        </w:rPr>
        <w:t xml:space="preserve"> tilladelse</w:t>
      </w:r>
      <w:r w:rsidR="0075764F" w:rsidRPr="00796736">
        <w:rPr>
          <w:rFonts w:ascii="Times New Roman" w:hAnsi="Times New Roman" w:cs="Times New Roman"/>
          <w:sz w:val="24"/>
          <w:szCs w:val="24"/>
        </w:rPr>
        <w:t xml:space="preserve"> eller registrering</w:t>
      </w:r>
      <w:r w:rsidRPr="00796736">
        <w:rPr>
          <w:rFonts w:ascii="Times New Roman" w:hAnsi="Times New Roman" w:cs="Times New Roman"/>
          <w:sz w:val="24"/>
          <w:szCs w:val="24"/>
        </w:rPr>
        <w:t xml:space="preserve"> fra Finanstilsynet.</w:t>
      </w:r>
    </w:p>
    <w:p w14:paraId="7FCB3D09" w14:textId="77777777" w:rsidR="007E1C22" w:rsidRPr="00796736" w:rsidRDefault="007E1C22" w:rsidP="00A802A5">
      <w:pPr>
        <w:spacing w:line="360" w:lineRule="auto"/>
        <w:rPr>
          <w:rFonts w:ascii="Times New Roman" w:hAnsi="Times New Roman" w:cs="Times New Roman"/>
          <w:sz w:val="24"/>
          <w:szCs w:val="24"/>
        </w:rPr>
      </w:pPr>
    </w:p>
    <w:p w14:paraId="4953853A" w14:textId="3BA3E4BF" w:rsidR="007E1C22"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004B44" w:rsidRPr="00796736">
        <w:rPr>
          <w:rFonts w:ascii="Times New Roman" w:hAnsi="Times New Roman" w:cs="Times New Roman"/>
          <w:i/>
          <w:iCs/>
          <w:sz w:val="24"/>
          <w:szCs w:val="24"/>
        </w:rPr>
        <w:t>2, nr. 6</w:t>
      </w:r>
      <w:r w:rsidRPr="00796736">
        <w:rPr>
          <w:rFonts w:ascii="Times New Roman" w:hAnsi="Times New Roman" w:cs="Times New Roman"/>
          <w:sz w:val="24"/>
          <w:szCs w:val="24"/>
        </w:rPr>
        <w:t xml:space="preserve">, </w:t>
      </w:r>
      <w:r w:rsidR="00004B44" w:rsidRPr="00796736">
        <w:rPr>
          <w:rFonts w:ascii="Times New Roman" w:hAnsi="Times New Roman" w:cs="Times New Roman"/>
          <w:sz w:val="24"/>
          <w:szCs w:val="24"/>
        </w:rPr>
        <w:t>at virksomheden og det eller de medlemmer af virksomhedens øverste ledelse, herunder bestyrelsen eller direktionen, som afgørelsen vedrører, anses for parter i Finanstilsynets afgørelser efter</w:t>
      </w:r>
      <w:r w:rsidR="00004B44" w:rsidRPr="00796736">
        <w:rPr>
          <w:rFonts w:ascii="Times New Roman" w:hAnsi="Times New Roman" w:cs="Times New Roman"/>
          <w:b/>
          <w:bCs/>
          <w:sz w:val="24"/>
          <w:szCs w:val="24"/>
        </w:rPr>
        <w:t xml:space="preserve"> </w:t>
      </w:r>
      <w:r w:rsidRPr="00796736">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_Ref237008164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og</w:t>
      </w:r>
      <w:r w:rsidR="0039542C"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_Ref237350349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p>
    <w:p w14:paraId="0A42F7B1" w14:textId="77777777" w:rsidR="007E1C22" w:rsidRPr="00796736" w:rsidRDefault="007E1C22" w:rsidP="00A802A5">
      <w:pPr>
        <w:spacing w:line="360" w:lineRule="auto"/>
        <w:rPr>
          <w:rFonts w:ascii="Times New Roman" w:hAnsi="Times New Roman" w:cs="Times New Roman"/>
          <w:sz w:val="24"/>
          <w:szCs w:val="24"/>
        </w:rPr>
      </w:pPr>
    </w:p>
    <w:p w14:paraId="1A981CC6" w14:textId="25F15F92" w:rsidR="001C2B53" w:rsidRPr="00796736" w:rsidRDefault="007E1C22"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præciserer, at partsstatus i sådanne sager ikke alene tilkommer den person, som vurderingen direkte angår, men også den virksomhed, som den pågældende er eller skal være tilknyttet. </w:t>
      </w:r>
    </w:p>
    <w:p w14:paraId="1170F265" w14:textId="77777777" w:rsidR="001C2B53" w:rsidRPr="00796736" w:rsidRDefault="001C2B53" w:rsidP="00A802A5">
      <w:pPr>
        <w:spacing w:line="360" w:lineRule="auto"/>
        <w:rPr>
          <w:rFonts w:ascii="Times New Roman" w:hAnsi="Times New Roman" w:cs="Times New Roman"/>
          <w:sz w:val="24"/>
          <w:szCs w:val="24"/>
        </w:rPr>
      </w:pPr>
    </w:p>
    <w:p w14:paraId="12820914" w14:textId="5DD72750" w:rsidR="001C2B53" w:rsidRPr="00796736" w:rsidRDefault="001C2B5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henhold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_Ref237008164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kan Finanstilsynet i nærmere angivne tilfælde påbyde en virksomhed at afsætte en person fra den øverste ledelse eller påbyde et medlem af bestyrelsen at nedlægge sit hverv, hvis den pågældende ikke opfylder kravene til at bestride stillingen eller hvervet. Finanstilsynet kan endvidere i nærmere angivne tilfælde meddele midlertidige påbud om afsættelse eller om nedlæggelse af hverv, herunder hvor der er rejst tiltale mod den pågældende i en straffesag, eller hvor den pågældende ikke besidder den nødvendige viden og ekspertise til at bestride stillingen eller hvervet. </w:t>
      </w:r>
    </w:p>
    <w:p w14:paraId="0617EDE7" w14:textId="581137E1" w:rsidR="001C2B53" w:rsidRPr="00796736" w:rsidRDefault="001C2B5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henhold til lovforslagets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_Ref237350349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kan Finanstilsynet i nærmere angivne tilfælde </w:t>
      </w:r>
      <w:r w:rsidR="00465566" w:rsidRPr="00796736">
        <w:rPr>
          <w:rFonts w:ascii="Times New Roman" w:hAnsi="Times New Roman" w:cs="Times New Roman"/>
          <w:sz w:val="24"/>
          <w:szCs w:val="24"/>
        </w:rPr>
        <w:t>påbyde en fysisk person, der direkte eller indirekte ejer eller kontrollerer minimum 25 pct. af kapitalandelen, ejerandelen, stemmerettighederne eller andre ejerskabsbeføjelser i en virksomhed nævnt i  § 2, nr. 11, 14 og 19, samt 32, litra a, at ophøre med at udøve kontrol, herunder afhænde sine ejerandele helt eller delvist inden for en af Finanstilsynet fastsat frist, såfremt den pågældende ikke opfylder betingelserne i § 45, stk. 1, og § 51, stk. 1 og 3</w:t>
      </w:r>
      <w:r w:rsidRPr="00796736">
        <w:rPr>
          <w:rFonts w:ascii="Times New Roman" w:hAnsi="Times New Roman" w:cs="Times New Roman"/>
          <w:sz w:val="24"/>
          <w:szCs w:val="24"/>
        </w:rPr>
        <w:t>. Finanstilsynet kan endvidere ophæve stemmeretten for kapitalejere, der besidder en kvalificeret ejerandel, hvis kapitalejeren ikke opfylder de relevante krav. Finanstilsynet kan også påbyde virksomheden at følge bestemte retningslinjer.</w:t>
      </w:r>
    </w:p>
    <w:p w14:paraId="29DEB7B9" w14:textId="33CAA27A" w:rsidR="001C2B53" w:rsidRPr="00796736" w:rsidRDefault="001C2B53"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afgørelser om egnethed og hæderlighed forstås Finanstilsynets påbud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_Ref237008164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lovforslaget om afsættelse af en person fra den øverste ledelse eller et medlem af bestyrelsen eller om et bestyrelsesmedlems nedlæggelse af sit hverv som følge af, at den pågældende ikke længere opfylder kravene til egnethed og hæderlighed.</w:t>
      </w:r>
    </w:p>
    <w:p w14:paraId="5CF9387E" w14:textId="360D6379" w:rsidR="001C2B53" w:rsidRPr="00796736" w:rsidRDefault="001C2B5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bestemmelse er både virksomheden, som Finanstilsynet påbyder at afsætte en direktør, som følge af at direktøren ikke lever op til kravene til egnethed og hæderlighed, jf. </w:t>
      </w:r>
      <w:r w:rsidR="00C8563C" w:rsidRPr="00796736">
        <w:rPr>
          <w:rFonts w:ascii="Times New Roman" w:hAnsi="Times New Roman" w:cs="Times New Roman"/>
          <w:sz w:val="24"/>
          <w:szCs w:val="24"/>
        </w:rPr>
        <w:fldChar w:fldCharType="begin"/>
      </w:r>
      <w:r w:rsidR="00C8563C" w:rsidRPr="00796736">
        <w:rPr>
          <w:rFonts w:ascii="Times New Roman" w:hAnsi="Times New Roman" w:cs="Times New Roman"/>
          <w:sz w:val="24"/>
          <w:szCs w:val="24"/>
        </w:rPr>
        <w:instrText xml:space="preserve"> REF _Ref237008164 \r \h </w:instrText>
      </w:r>
      <w:r w:rsidR="005D152A" w:rsidRPr="00796736">
        <w:rPr>
          <w:rFonts w:ascii="Times New Roman" w:hAnsi="Times New Roman" w:cs="Times New Roman"/>
          <w:sz w:val="24"/>
          <w:szCs w:val="24"/>
        </w:rPr>
        <w:instrText xml:space="preserve"> \* MERGEFORMAT </w:instrText>
      </w:r>
      <w:r w:rsidR="00C8563C" w:rsidRPr="00796736">
        <w:rPr>
          <w:rFonts w:ascii="Times New Roman" w:hAnsi="Times New Roman" w:cs="Times New Roman"/>
          <w:sz w:val="24"/>
          <w:szCs w:val="24"/>
        </w:rPr>
      </w:r>
      <w:r w:rsidR="00C856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00C8563C"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1, og den pågældende direktør, som påbuddet vedrører, part i forhold til Finanstilsynets afgørelse. </w:t>
      </w:r>
    </w:p>
    <w:p w14:paraId="0AA37171" w14:textId="77777777" w:rsidR="001C2B53" w:rsidRPr="00796736" w:rsidRDefault="001C2B53" w:rsidP="00A802A5">
      <w:pPr>
        <w:spacing w:line="360" w:lineRule="auto"/>
        <w:rPr>
          <w:rFonts w:ascii="Times New Roman" w:hAnsi="Times New Roman" w:cs="Times New Roman"/>
          <w:sz w:val="24"/>
          <w:szCs w:val="24"/>
        </w:rPr>
      </w:pPr>
    </w:p>
    <w:p w14:paraId="52FDE15F" w14:textId="3CCCDEDA" w:rsidR="001C2B53" w:rsidRPr="00796736" w:rsidRDefault="001C2B53"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bestemmelse er både det medlem af bestyrelsen, som Finanstilsynet påbyder at nedlægge sit hverv, når der er rejst tiltale mod den pågældende i en straffesag, jf. </w:t>
      </w:r>
      <w:r w:rsidR="00C8563C" w:rsidRPr="00796736">
        <w:rPr>
          <w:rFonts w:ascii="Times New Roman" w:hAnsi="Times New Roman" w:cs="Times New Roman"/>
          <w:sz w:val="24"/>
          <w:szCs w:val="24"/>
        </w:rPr>
        <w:fldChar w:fldCharType="begin"/>
      </w:r>
      <w:r w:rsidR="00C8563C" w:rsidRPr="00796736">
        <w:rPr>
          <w:rFonts w:ascii="Times New Roman" w:hAnsi="Times New Roman" w:cs="Times New Roman"/>
          <w:sz w:val="24"/>
          <w:szCs w:val="24"/>
        </w:rPr>
        <w:instrText xml:space="preserve"> REF _Ref237008164 \r \h </w:instrText>
      </w:r>
      <w:r w:rsidR="005D152A" w:rsidRPr="00796736">
        <w:rPr>
          <w:rFonts w:ascii="Times New Roman" w:hAnsi="Times New Roman" w:cs="Times New Roman"/>
          <w:sz w:val="24"/>
          <w:szCs w:val="24"/>
        </w:rPr>
        <w:instrText xml:space="preserve"> \* MERGEFORMAT </w:instrText>
      </w:r>
      <w:r w:rsidR="00C8563C" w:rsidRPr="00796736">
        <w:rPr>
          <w:rFonts w:ascii="Times New Roman" w:hAnsi="Times New Roman" w:cs="Times New Roman"/>
          <w:sz w:val="24"/>
          <w:szCs w:val="24"/>
        </w:rPr>
      </w:r>
      <w:r w:rsidR="00C8563C"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00C8563C" w:rsidRPr="00796736">
        <w:rPr>
          <w:rFonts w:ascii="Times New Roman" w:hAnsi="Times New Roman" w:cs="Times New Roman"/>
          <w:sz w:val="24"/>
          <w:szCs w:val="24"/>
        </w:rPr>
        <w:fldChar w:fldCharType="end"/>
      </w:r>
      <w:r w:rsidR="00C8563C" w:rsidRPr="00796736">
        <w:rPr>
          <w:rFonts w:ascii="Times New Roman" w:hAnsi="Times New Roman" w:cs="Times New Roman"/>
          <w:sz w:val="24"/>
          <w:szCs w:val="24"/>
        </w:rPr>
        <w:t>, stk. 2</w:t>
      </w:r>
      <w:r w:rsidRPr="00796736">
        <w:rPr>
          <w:rFonts w:ascii="Times New Roman" w:hAnsi="Times New Roman" w:cs="Times New Roman"/>
          <w:sz w:val="24"/>
          <w:szCs w:val="24"/>
        </w:rPr>
        <w:t xml:space="preserve">, og den berørte virksomhed part i forhold til Finanstilsynets afgørelse. </w:t>
      </w:r>
    </w:p>
    <w:p w14:paraId="101F00BA" w14:textId="77777777" w:rsidR="00C8563C" w:rsidRPr="00796736" w:rsidRDefault="00C8563C" w:rsidP="00A802A5">
      <w:pPr>
        <w:spacing w:line="360" w:lineRule="auto"/>
        <w:rPr>
          <w:rFonts w:ascii="Times New Roman" w:hAnsi="Times New Roman" w:cs="Times New Roman"/>
          <w:sz w:val="24"/>
          <w:szCs w:val="24"/>
        </w:rPr>
      </w:pPr>
    </w:p>
    <w:p w14:paraId="0F951756" w14:textId="6B5B6EED" w:rsidR="00C8563C" w:rsidRPr="00796736" w:rsidRDefault="00C856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Med afgørelser om egnethed og hæderlighed forstås desuden Finanstilsynets afgørelser efter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_Ref237350349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i lovforslaget om </w:t>
      </w:r>
      <w:r w:rsidR="00465566" w:rsidRPr="00796736">
        <w:rPr>
          <w:rFonts w:ascii="Times New Roman" w:hAnsi="Times New Roman" w:cs="Times New Roman"/>
          <w:sz w:val="24"/>
          <w:szCs w:val="24"/>
        </w:rPr>
        <w:t>påbud til en fysisk person, der direkte eller indirekte ejer eller kontrollerer minimum 25 pct. af kapitalandelen, ejerandelen, stemmerettighederne eller andre ejerskabsbeføjelser i en virksomhed nævnt i  § 2, nr. 11, 14 og 19, samt 32, litra a, at ophøre med at udøve kontrol, herunder afhænde sine ejerandele helt eller delvist inden for en af Finanstilsynet fastsat frist, såfremt den pågældende ikke opfylder betingelserne i § 45, stk. 1, og § 51, stk. 1 og 3</w:t>
      </w:r>
      <w:r w:rsidR="00D0217C">
        <w:rPr>
          <w:rFonts w:ascii="Times New Roman" w:hAnsi="Times New Roman" w:cs="Times New Roman"/>
          <w:sz w:val="24"/>
          <w:szCs w:val="24"/>
        </w:rPr>
        <w:t xml:space="preserve">. </w:t>
      </w:r>
      <w:r w:rsidRPr="00796736">
        <w:rPr>
          <w:rFonts w:ascii="Times New Roman" w:hAnsi="Times New Roman" w:cs="Times New Roman"/>
          <w:sz w:val="24"/>
          <w:szCs w:val="24"/>
        </w:rPr>
        <w:t xml:space="preserve">Efter den foreslåede bestemmelse er </w:t>
      </w:r>
      <w:r w:rsidR="00465566" w:rsidRPr="00796736">
        <w:rPr>
          <w:rFonts w:ascii="Times New Roman" w:hAnsi="Times New Roman" w:cs="Times New Roman"/>
          <w:sz w:val="24"/>
          <w:szCs w:val="24"/>
        </w:rPr>
        <w:t xml:space="preserve">det </w:t>
      </w:r>
      <w:r w:rsidRPr="00796736">
        <w:rPr>
          <w:rFonts w:ascii="Times New Roman" w:hAnsi="Times New Roman" w:cs="Times New Roman"/>
          <w:sz w:val="24"/>
          <w:szCs w:val="24"/>
        </w:rPr>
        <w:t xml:space="preserve">den fysiske person, som Finanstilsynet påbyder at ophøre med at udøve kontrol, herunder ved helt eller delvist at afhænde sine ejerandele, jf.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_Ref237350349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og den berørte virksomhed part i forhold til Finanstilsynets afgørelse.</w:t>
      </w:r>
    </w:p>
    <w:p w14:paraId="44AC7AE7" w14:textId="3612A21C" w:rsidR="00C8563C" w:rsidRPr="00796736" w:rsidRDefault="00C8563C"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 xml:space="preserve">Efter den foreslåede bestemmelse er både den kapitalejer, hvis stemmeret Finanstilsynet ophæver, jf.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_Ref237350349 \r \h </w:instrText>
      </w:r>
      <w:r w:rsidR="005D152A"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2, og den berørte virksomhed part i forhold til Finanstilsynets afgørelse.</w:t>
      </w:r>
    </w:p>
    <w:p w14:paraId="74C21D0B" w14:textId="08877DB4" w:rsidR="00D30535" w:rsidRPr="00796736" w:rsidRDefault="00D30535" w:rsidP="00A802A5">
      <w:pPr>
        <w:spacing w:line="360" w:lineRule="auto"/>
        <w:rPr>
          <w:rFonts w:ascii="Times New Roman" w:hAnsi="Times New Roman" w:cs="Times New Roman"/>
          <w:i/>
          <w:iCs/>
          <w:sz w:val="24"/>
          <w:szCs w:val="24"/>
        </w:rPr>
      </w:pPr>
      <w:r w:rsidRPr="00796736">
        <w:rPr>
          <w:rFonts w:ascii="Times New Roman" w:eastAsia="Calibri" w:hAnsi="Times New Roman" w:cs="Times New Roman"/>
          <w:sz w:val="24"/>
          <w:szCs w:val="24"/>
        </w:rPr>
        <w:t xml:space="preserve">Der henvises i øvrigt til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_Ref238404982 \n \h </w:instrText>
      </w:r>
      <w:r w:rsidR="006A012C"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3.84</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i lovforslagets almindelige bemærkninger.</w:t>
      </w:r>
    </w:p>
    <w:p w14:paraId="0D43432B" w14:textId="77777777" w:rsidR="00D30535" w:rsidRPr="00796736" w:rsidRDefault="00D30535" w:rsidP="00A802A5">
      <w:pPr>
        <w:spacing w:after="240" w:line="360" w:lineRule="auto"/>
        <w:rPr>
          <w:rFonts w:ascii="Times New Roman" w:hAnsi="Times New Roman" w:cs="Times New Roman"/>
          <w:sz w:val="24"/>
          <w:szCs w:val="24"/>
        </w:rPr>
      </w:pPr>
    </w:p>
    <w:p w14:paraId="7820E52C" w14:textId="56CA0E57" w:rsidR="00A34D18" w:rsidRPr="00796736" w:rsidRDefault="00EF364A" w:rsidP="00A802A5">
      <w:pPr>
        <w:pStyle w:val="Undertitel"/>
      </w:pPr>
      <w:bookmarkStart w:id="2237" w:name="_Toc232109447"/>
      <w:bookmarkStart w:id="2238" w:name="_Toc244879427"/>
      <w:bookmarkStart w:id="2239" w:name="_Toc244880952"/>
      <w:r w:rsidRPr="00796736">
        <w:t xml:space="preserve">Til </w:t>
      </w:r>
      <w:r w:rsidR="008D049E" w:rsidRPr="00796736">
        <w:fldChar w:fldCharType="begin"/>
      </w:r>
      <w:r w:rsidR="008D049E" w:rsidRPr="00796736">
        <w:instrText xml:space="preserve"> REF _Ref232609879 \r \h </w:instrText>
      </w:r>
      <w:r w:rsidR="00967618" w:rsidRPr="00796736">
        <w:instrText xml:space="preserve"> \* MERGEFORMAT </w:instrText>
      </w:r>
      <w:r w:rsidR="008D049E" w:rsidRPr="00796736">
        <w:fldChar w:fldCharType="separate"/>
      </w:r>
      <w:r w:rsidR="008F29E5">
        <w:t>§ 131</w:t>
      </w:r>
      <w:bookmarkEnd w:id="2238"/>
      <w:bookmarkEnd w:id="2239"/>
      <w:r w:rsidR="008D049E" w:rsidRPr="00796736">
        <w:fldChar w:fldCharType="end"/>
      </w:r>
      <w:r w:rsidR="008D049E" w:rsidRPr="00796736">
        <w:t xml:space="preserve"> </w:t>
      </w:r>
      <w:bookmarkEnd w:id="2237"/>
    </w:p>
    <w:p w14:paraId="515A9502" w14:textId="61CA4F31" w:rsidR="00980C7C" w:rsidRPr="00796736" w:rsidRDefault="00980C7C"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Efter hvidvasklovens § 75 anses som part</w:t>
      </w:r>
      <w:r w:rsidRPr="00796736">
        <w:rPr>
          <w:rFonts w:ascii="Times New Roman" w:hAnsi="Times New Roman" w:cs="Times New Roman"/>
          <w:sz w:val="24"/>
          <w:szCs w:val="24"/>
        </w:rPr>
        <w:t xml:space="preserve"> den virksomhed eller person, som en tilsynsmyndigheds afgørelse truffet i medfør af </w:t>
      </w:r>
      <w:r w:rsidRPr="00796736">
        <w:rPr>
          <w:rFonts w:ascii="Times New Roman" w:hAnsi="Times New Roman" w:cs="Times New Roman"/>
          <w:iCs/>
          <w:sz w:val="24"/>
          <w:szCs w:val="24"/>
        </w:rPr>
        <w:t xml:space="preserve">hvidvaskloven </w:t>
      </w:r>
      <w:r w:rsidRPr="00796736">
        <w:rPr>
          <w:rFonts w:ascii="Times New Roman" w:hAnsi="Times New Roman" w:cs="Times New Roman"/>
          <w:sz w:val="24"/>
          <w:szCs w:val="24"/>
        </w:rPr>
        <w:t xml:space="preserve">eller forskrifter fastsat i medfør af </w:t>
      </w:r>
      <w:r w:rsidRPr="00796736">
        <w:rPr>
          <w:rFonts w:ascii="Times New Roman" w:hAnsi="Times New Roman" w:cs="Times New Roman"/>
          <w:iCs/>
          <w:sz w:val="24"/>
          <w:szCs w:val="24"/>
        </w:rPr>
        <w:t xml:space="preserve">hvidvaskloven, Europa-Parlamentets og Rådets forordning om oplysninger, der skal medsendes ved pengeoverførsler og ved overførsler af visse kryptoaktiver, og forordninger indeholdende regler om finansielle sanktioner mod lande, personer, grupper, juridiske enheder eller organer retter sig mod. </w:t>
      </w:r>
    </w:p>
    <w:p w14:paraId="425B0E8E" w14:textId="7685A5BB" w:rsidR="00A34D18" w:rsidRPr="00796736" w:rsidRDefault="00FD42FF"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Det foreslås i </w:t>
      </w:r>
      <w:r w:rsidR="00A34D18" w:rsidRPr="00796736">
        <w:rPr>
          <w:rFonts w:ascii="Times New Roman" w:eastAsia="Calibri" w:hAnsi="Times New Roman" w:cs="Times New Roman"/>
          <w:i/>
          <w:iCs/>
          <w:sz w:val="24"/>
          <w:szCs w:val="24"/>
        </w:rPr>
        <w:fldChar w:fldCharType="begin"/>
      </w:r>
      <w:r w:rsidR="00A34D18" w:rsidRPr="00796736">
        <w:rPr>
          <w:rFonts w:ascii="Times New Roman" w:eastAsia="Calibri" w:hAnsi="Times New Roman" w:cs="Times New Roman"/>
          <w:i/>
          <w:iCs/>
          <w:sz w:val="24"/>
          <w:szCs w:val="24"/>
        </w:rPr>
        <w:instrText xml:space="preserve"> REF _Ref232609879 \r \h  \* MERGEFORMAT </w:instrText>
      </w:r>
      <w:r w:rsidR="00A34D18" w:rsidRPr="00796736">
        <w:rPr>
          <w:rFonts w:ascii="Times New Roman" w:eastAsia="Calibri" w:hAnsi="Times New Roman" w:cs="Times New Roman"/>
          <w:i/>
          <w:iCs/>
          <w:sz w:val="24"/>
          <w:szCs w:val="24"/>
        </w:rPr>
      </w:r>
      <w:r w:rsidR="00A34D18"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131</w:t>
      </w:r>
      <w:r w:rsidR="00A34D18" w:rsidRPr="00796736">
        <w:rPr>
          <w:rFonts w:ascii="Times New Roman" w:eastAsia="Calibri" w:hAnsi="Times New Roman" w:cs="Times New Roman"/>
          <w:i/>
          <w:iCs/>
          <w:sz w:val="24"/>
          <w:szCs w:val="24"/>
        </w:rPr>
        <w:fldChar w:fldCharType="end"/>
      </w:r>
      <w:r w:rsidRPr="00796736">
        <w:rPr>
          <w:rFonts w:ascii="Times New Roman" w:hAnsi="Times New Roman" w:cs="Times New Roman"/>
          <w:iCs/>
          <w:sz w:val="24"/>
          <w:szCs w:val="24"/>
        </w:rPr>
        <w:t xml:space="preserve">, </w:t>
      </w:r>
      <w:r w:rsidR="00980C7C" w:rsidRPr="00796736">
        <w:rPr>
          <w:rFonts w:ascii="Times New Roman" w:hAnsi="Times New Roman" w:cs="Times New Roman"/>
          <w:iCs/>
          <w:sz w:val="24"/>
          <w:szCs w:val="24"/>
        </w:rPr>
        <w:t>at som part anses den virksomhed eller person, som Erhvervsstyrelsens og Spillemyndighedens afgørelse retter sig mod. Dette omfatter afgørelser truffet i medfør af hvidvaskforordningen, denne lov eller regler udstedt i medfør af denne lov og forordninger indeholdende regler om finansielle sanktioner mod lande, personer, grupper, juridiske enheder eller organer.</w:t>
      </w:r>
    </w:p>
    <w:p w14:paraId="104F4A01" w14:textId="30F373E8" w:rsidR="00980C7C" w:rsidRPr="00796736" w:rsidRDefault="00980C7C"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Den foreslåede bestemmelse indeholder en definition af, hvem der er part i en sag efter loven. Bestemmelsen viderefører hvidvasklovens § 75 med den ændring, at afgørelser truffet i medfør af hvidvaskforordningen omfattes af bestemmelsen.</w:t>
      </w:r>
    </w:p>
    <w:p w14:paraId="3A4A2D16" w14:textId="160DD27D" w:rsidR="00A34D18" w:rsidRPr="00796736" w:rsidRDefault="00A34D18"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Bestemmelsen fastslår, hvem der er part i forhold til Erhvervsstyrelsens og Spillemyndighedens afgørelser og indeholder således en </w:t>
      </w:r>
      <w:r w:rsidR="00980C7C" w:rsidRPr="00796736">
        <w:rPr>
          <w:rFonts w:ascii="Times New Roman" w:hAnsi="Times New Roman" w:cs="Times New Roman"/>
          <w:iCs/>
          <w:sz w:val="24"/>
          <w:szCs w:val="24"/>
        </w:rPr>
        <w:t>fravigelse</w:t>
      </w:r>
      <w:r w:rsidRPr="00796736">
        <w:rPr>
          <w:rFonts w:ascii="Times New Roman" w:hAnsi="Times New Roman" w:cs="Times New Roman"/>
          <w:iCs/>
          <w:sz w:val="24"/>
          <w:szCs w:val="24"/>
        </w:rPr>
        <w:t xml:space="preserve"> fra det almindelige forvaltningsretlige partsbegreb. Det særlige partsbegreb er nødvendigt for at undgå en udhuling af tilsynsmyndighedernes tavshedspligt, da parters adgang til aktindsigt efter forvaltningsloven ikke tilsidesættes af tavshedspligtsreglerne. </w:t>
      </w:r>
    </w:p>
    <w:p w14:paraId="4AB0741E" w14:textId="77777777" w:rsidR="00A34D18" w:rsidRPr="00796736" w:rsidRDefault="00A34D18"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Som part anses den virksomhed eller person, som tilsynsmyndighedens afgørelse retter sig mod. </w:t>
      </w:r>
    </w:p>
    <w:p w14:paraId="6E63758B" w14:textId="77777777" w:rsidR="00A34D18" w:rsidRPr="00796736" w:rsidRDefault="00A34D18" w:rsidP="00A802A5">
      <w:pPr>
        <w:spacing w:line="360" w:lineRule="auto"/>
        <w:rPr>
          <w:rFonts w:ascii="Times New Roman" w:hAnsi="Times New Roman" w:cs="Times New Roman"/>
          <w:iCs/>
          <w:sz w:val="24"/>
          <w:szCs w:val="24"/>
        </w:rPr>
      </w:pPr>
    </w:p>
    <w:p w14:paraId="0EAC3FDF" w14:textId="61BCEC91" w:rsidR="00065BBB" w:rsidRPr="00796736" w:rsidRDefault="00065BBB" w:rsidP="00A802A5">
      <w:pPr>
        <w:spacing w:line="360" w:lineRule="auto"/>
        <w:rPr>
          <w:rFonts w:ascii="Times New Roman" w:hAnsi="Times New Roman" w:cs="Times New Roman"/>
          <w:iCs/>
          <w:sz w:val="24"/>
          <w:szCs w:val="24"/>
        </w:rPr>
      </w:pPr>
      <w:r w:rsidRPr="00796736">
        <w:rPr>
          <w:rFonts w:ascii="Times New Roman" w:hAnsi="Times New Roman" w:cs="Times New Roman"/>
          <w:iCs/>
          <w:sz w:val="24"/>
          <w:szCs w:val="24"/>
        </w:rPr>
        <w:t>Som part i forhold til Erhvervsstyrelsens afgørel</w:t>
      </w:r>
      <w:r w:rsidRPr="00796736">
        <w:rPr>
          <w:rFonts w:ascii="Times New Roman" w:hAnsi="Times New Roman" w:cs="Times New Roman"/>
          <w:sz w:val="24"/>
          <w:szCs w:val="24"/>
        </w:rPr>
        <w:t>s</w:t>
      </w:r>
      <w:r w:rsidRPr="00796736">
        <w:rPr>
          <w:rFonts w:ascii="Times New Roman" w:hAnsi="Times New Roman" w:cs="Times New Roman"/>
          <w:iCs/>
          <w:sz w:val="24"/>
          <w:szCs w:val="24"/>
        </w:rPr>
        <w:t xml:space="preserve">er anses dermed alene </w:t>
      </w:r>
      <w:r w:rsidRPr="00796736">
        <w:rPr>
          <w:rFonts w:ascii="Times New Roman" w:eastAsia="Times New Roman" w:hAnsi="Times New Roman" w:cs="Times New Roman"/>
          <w:sz w:val="24"/>
          <w:szCs w:val="24"/>
          <w:lang w:eastAsia="da-DK"/>
        </w:rPr>
        <w:t xml:space="preserve">de i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_Ref236730892 \r \h </w:instrText>
      </w:r>
      <w:r w:rsidR="001A2696"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79</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omfattede</w:t>
      </w:r>
      <w:r w:rsidRPr="00796736">
        <w:rPr>
          <w:rFonts w:ascii="Times New Roman" w:hAnsi="Times New Roman" w:cs="Times New Roman"/>
          <w:iCs/>
          <w:sz w:val="24"/>
          <w:szCs w:val="24"/>
        </w:rPr>
        <w:t xml:space="preserve"> virksomheder og personer.</w:t>
      </w:r>
    </w:p>
    <w:p w14:paraId="5CA450EA" w14:textId="77777777" w:rsidR="00A34D18" w:rsidRPr="00796736" w:rsidRDefault="00A34D18" w:rsidP="00A802A5">
      <w:pPr>
        <w:spacing w:line="360" w:lineRule="auto"/>
        <w:rPr>
          <w:rFonts w:ascii="Times New Roman" w:eastAsia="Times New Roman" w:hAnsi="Times New Roman" w:cs="Times New Roman"/>
          <w:sz w:val="24"/>
          <w:szCs w:val="24"/>
          <w:lang w:eastAsia="da-DK"/>
        </w:rPr>
      </w:pPr>
    </w:p>
    <w:p w14:paraId="26C0FFA5" w14:textId="6813ABA6" w:rsidR="00A34D18" w:rsidRPr="00796736" w:rsidRDefault="00A34D18" w:rsidP="00A802A5">
      <w:pPr>
        <w:spacing w:line="360" w:lineRule="auto"/>
        <w:rPr>
          <w:rFonts w:ascii="Times New Roman" w:eastAsia="Calibri" w:hAnsi="Times New Roman" w:cs="Times New Roman"/>
          <w:iCs/>
          <w:sz w:val="24"/>
          <w:szCs w:val="24"/>
        </w:rPr>
      </w:pPr>
      <w:r w:rsidRPr="00796736">
        <w:rPr>
          <w:rFonts w:ascii="Times New Roman" w:eastAsia="Times New Roman" w:hAnsi="Times New Roman" w:cs="Times New Roman"/>
          <w:sz w:val="24"/>
          <w:szCs w:val="24"/>
          <w:lang w:eastAsia="da-DK"/>
        </w:rPr>
        <w:t>Som part i forhold til Spillemyndighedens afgørelser anses de</w:t>
      </w:r>
      <w:r w:rsidRPr="00796736">
        <w:rPr>
          <w:rFonts w:ascii="Times New Roman" w:eastAsia="Calibri" w:hAnsi="Times New Roman" w:cs="Times New Roman"/>
          <w:iCs/>
          <w:sz w:val="24"/>
          <w:szCs w:val="24"/>
        </w:rPr>
        <w:t xml:space="preserve"> i </w:t>
      </w:r>
      <w:r w:rsidR="001D0EAC" w:rsidRPr="00796736">
        <w:rPr>
          <w:rFonts w:ascii="Times New Roman" w:eastAsia="Calibri" w:hAnsi="Times New Roman" w:cs="Times New Roman"/>
          <w:iCs/>
          <w:sz w:val="24"/>
          <w:szCs w:val="24"/>
        </w:rPr>
        <w:fldChar w:fldCharType="begin"/>
      </w:r>
      <w:r w:rsidR="001D0EAC" w:rsidRPr="00796736">
        <w:rPr>
          <w:rFonts w:ascii="Times New Roman" w:eastAsia="Calibri" w:hAnsi="Times New Roman" w:cs="Times New Roman"/>
          <w:iCs/>
          <w:sz w:val="24"/>
          <w:szCs w:val="24"/>
        </w:rPr>
        <w:instrText xml:space="preserve"> REF _Ref239189479 \r \h </w:instrText>
      </w:r>
      <w:r w:rsidR="00F375BF" w:rsidRPr="00796736">
        <w:rPr>
          <w:rFonts w:ascii="Times New Roman" w:eastAsia="Calibri" w:hAnsi="Times New Roman" w:cs="Times New Roman"/>
          <w:iCs/>
          <w:sz w:val="24"/>
          <w:szCs w:val="24"/>
        </w:rPr>
        <w:instrText xml:space="preserve"> \* MERGEFORMAT </w:instrText>
      </w:r>
      <w:r w:rsidR="001D0EAC" w:rsidRPr="00796736">
        <w:rPr>
          <w:rFonts w:ascii="Times New Roman" w:eastAsia="Calibri" w:hAnsi="Times New Roman" w:cs="Times New Roman"/>
          <w:iCs/>
          <w:sz w:val="24"/>
          <w:szCs w:val="24"/>
        </w:rPr>
      </w:r>
      <w:r w:rsidR="001D0EAC"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112</w:t>
      </w:r>
      <w:r w:rsidR="001D0EAC" w:rsidRPr="00796736">
        <w:rPr>
          <w:rFonts w:ascii="Times New Roman" w:eastAsia="Calibri" w:hAnsi="Times New Roman" w:cs="Times New Roman"/>
          <w:iCs/>
          <w:sz w:val="24"/>
          <w:szCs w:val="24"/>
        </w:rPr>
        <w:fldChar w:fldCharType="end"/>
      </w:r>
      <w:r w:rsidR="001D0EAC" w:rsidRPr="00796736">
        <w:rPr>
          <w:rFonts w:ascii="Times New Roman" w:eastAsia="Calibri" w:hAnsi="Times New Roman" w:cs="Times New Roman"/>
          <w:iCs/>
          <w:sz w:val="24"/>
          <w:szCs w:val="24"/>
        </w:rPr>
        <w:t>, stk. 1, omfattede</w:t>
      </w:r>
      <w:r w:rsidRPr="00796736">
        <w:rPr>
          <w:rFonts w:ascii="Times New Roman" w:eastAsia="Calibri" w:hAnsi="Times New Roman" w:cs="Times New Roman"/>
          <w:iCs/>
          <w:sz w:val="24"/>
          <w:szCs w:val="24"/>
        </w:rPr>
        <w:t xml:space="preserve"> virksomheder og personer.</w:t>
      </w:r>
    </w:p>
    <w:p w14:paraId="551C203A" w14:textId="77777777" w:rsidR="00A34D18" w:rsidRPr="00796736" w:rsidRDefault="00A34D18" w:rsidP="00A802A5">
      <w:pPr>
        <w:spacing w:line="360" w:lineRule="auto"/>
        <w:rPr>
          <w:rFonts w:ascii="Times New Roman" w:eastAsia="Times New Roman" w:hAnsi="Times New Roman" w:cs="Times New Roman"/>
          <w:sz w:val="24"/>
          <w:szCs w:val="24"/>
          <w:lang w:eastAsia="da-DK"/>
        </w:rPr>
      </w:pPr>
    </w:p>
    <w:p w14:paraId="6643CE8E" w14:textId="0306C01F" w:rsidR="001D0EAC" w:rsidRPr="00796736" w:rsidRDefault="001D0EAC" w:rsidP="00A802A5">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lang w:eastAsia="da-DK"/>
        </w:rPr>
        <w:t xml:space="preserve">Som part anses også en virksomheds reelle ejere og øverste ledelse, hvis Erhvervsstyrelsen eller Spillemyndigheden i henhold til denne lov træffer afgørelse over for disse personer. Dette kan f.eks. være tilfældet ved påbud til en reel ejer om at afhænde sine ejerandele i en forpligtet enhed eller en afgørelse til et medlem af den øverste ledelse i en forpligtet enhed om at udtræde af den øverste ledelse.   </w:t>
      </w:r>
    </w:p>
    <w:p w14:paraId="1BDAB6D1" w14:textId="77777777" w:rsidR="00A34D18" w:rsidRPr="00796736" w:rsidRDefault="00A34D18" w:rsidP="00A802A5">
      <w:pPr>
        <w:spacing w:line="360" w:lineRule="auto"/>
        <w:rPr>
          <w:rFonts w:ascii="Times New Roman" w:eastAsia="Times New Roman" w:hAnsi="Times New Roman" w:cs="Times New Roman"/>
          <w:sz w:val="24"/>
          <w:szCs w:val="24"/>
          <w:lang w:eastAsia="da-DK"/>
        </w:rPr>
      </w:pPr>
    </w:p>
    <w:p w14:paraId="28A108E7" w14:textId="78009AF6" w:rsidR="0080150B" w:rsidRPr="00796736" w:rsidRDefault="00A34D18" w:rsidP="00A802A5">
      <w:pPr>
        <w:spacing w:after="240" w:line="360" w:lineRule="auto"/>
        <w:rPr>
          <w:rFonts w:ascii="Times New Roman" w:hAnsi="Times New Roman" w:cs="Times New Roman"/>
          <w:iCs/>
          <w:sz w:val="24"/>
          <w:szCs w:val="24"/>
        </w:rPr>
      </w:pPr>
      <w:r w:rsidRPr="00796736">
        <w:rPr>
          <w:rFonts w:ascii="Times New Roman" w:hAnsi="Times New Roman" w:cs="Times New Roman"/>
          <w:iCs/>
          <w:sz w:val="24"/>
          <w:szCs w:val="24"/>
        </w:rPr>
        <w:t xml:space="preserve">Hvis en kunde klager over en virksomheds adfærd, vil kunden ikke være part i sagen. Forbrugerne opnår derfor ikke forvaltningslovens partsrettigheder, men vil i stedet efter offentlighedslovens regler om aktindsigt kunne gøre sig bekendt med de oplysninger, der indgår i tilsynsmyndighedens sag. Adgangen til aktindsigt efter offentlighedsloven begrænses af de særlige bestemmelser i </w:t>
      </w:r>
      <w:r w:rsidR="001D0EAC" w:rsidRPr="00796736">
        <w:rPr>
          <w:rFonts w:ascii="Times New Roman" w:hAnsi="Times New Roman" w:cs="Times New Roman"/>
          <w:iCs/>
          <w:sz w:val="24"/>
          <w:szCs w:val="24"/>
        </w:rPr>
        <w:fldChar w:fldCharType="begin"/>
      </w:r>
      <w:r w:rsidR="001D0EAC" w:rsidRPr="00796736">
        <w:rPr>
          <w:rFonts w:ascii="Times New Roman" w:hAnsi="Times New Roman" w:cs="Times New Roman"/>
          <w:iCs/>
          <w:sz w:val="24"/>
          <w:szCs w:val="24"/>
        </w:rPr>
        <w:instrText xml:space="preserve"> REF _Ref239329161 \r \h </w:instrText>
      </w:r>
      <w:r w:rsidR="00F375BF" w:rsidRPr="00796736">
        <w:rPr>
          <w:rFonts w:ascii="Times New Roman" w:hAnsi="Times New Roman" w:cs="Times New Roman"/>
          <w:iCs/>
          <w:sz w:val="24"/>
          <w:szCs w:val="24"/>
        </w:rPr>
        <w:instrText xml:space="preserve"> \* MERGEFORMAT </w:instrText>
      </w:r>
      <w:r w:rsidR="001D0EAC" w:rsidRPr="00796736">
        <w:rPr>
          <w:rFonts w:ascii="Times New Roman" w:hAnsi="Times New Roman" w:cs="Times New Roman"/>
          <w:iCs/>
          <w:sz w:val="24"/>
          <w:szCs w:val="24"/>
        </w:rPr>
      </w:r>
      <w:r w:rsidR="001D0EAC" w:rsidRPr="00796736">
        <w:rPr>
          <w:rFonts w:ascii="Times New Roman" w:hAnsi="Times New Roman" w:cs="Times New Roman"/>
          <w:iCs/>
          <w:sz w:val="24"/>
          <w:szCs w:val="24"/>
        </w:rPr>
        <w:fldChar w:fldCharType="separate"/>
      </w:r>
      <w:r w:rsidR="008F29E5">
        <w:rPr>
          <w:rFonts w:ascii="Times New Roman" w:hAnsi="Times New Roman" w:cs="Times New Roman"/>
          <w:iCs/>
          <w:sz w:val="24"/>
          <w:szCs w:val="24"/>
        </w:rPr>
        <w:t>§ 95</w:t>
      </w:r>
      <w:r w:rsidR="001D0EAC" w:rsidRPr="00796736">
        <w:rPr>
          <w:rFonts w:ascii="Times New Roman" w:hAnsi="Times New Roman" w:cs="Times New Roman"/>
          <w:iCs/>
          <w:sz w:val="24"/>
          <w:szCs w:val="24"/>
        </w:rPr>
        <w:fldChar w:fldCharType="end"/>
      </w:r>
      <w:r w:rsidR="001D0EAC" w:rsidRPr="00796736">
        <w:rPr>
          <w:rFonts w:ascii="Times New Roman" w:hAnsi="Times New Roman" w:cs="Times New Roman"/>
          <w:iCs/>
          <w:sz w:val="24"/>
          <w:szCs w:val="24"/>
        </w:rPr>
        <w:t xml:space="preserve"> og </w:t>
      </w:r>
      <w:r w:rsidR="001D0EAC" w:rsidRPr="00796736">
        <w:rPr>
          <w:rFonts w:ascii="Times New Roman" w:eastAsia="Times New Roman" w:hAnsi="Times New Roman" w:cs="Times New Roman"/>
          <w:sz w:val="24"/>
          <w:szCs w:val="24"/>
        </w:rPr>
        <w:fldChar w:fldCharType="begin"/>
      </w:r>
      <w:r w:rsidR="001D0EAC" w:rsidRPr="00796736">
        <w:rPr>
          <w:rFonts w:ascii="Times New Roman" w:eastAsia="Times New Roman" w:hAnsi="Times New Roman" w:cs="Times New Roman"/>
          <w:sz w:val="24"/>
          <w:szCs w:val="24"/>
        </w:rPr>
        <w:instrText xml:space="preserve"> REF _Ref232609613 \r \h </w:instrText>
      </w:r>
      <w:r w:rsidR="00F375BF" w:rsidRPr="00796736">
        <w:rPr>
          <w:rFonts w:ascii="Times New Roman" w:eastAsia="Times New Roman" w:hAnsi="Times New Roman" w:cs="Times New Roman"/>
          <w:sz w:val="24"/>
          <w:szCs w:val="24"/>
        </w:rPr>
        <w:instrText xml:space="preserve"> \* MERGEFORMAT </w:instrText>
      </w:r>
      <w:r w:rsidR="001D0EAC" w:rsidRPr="00796736">
        <w:rPr>
          <w:rFonts w:ascii="Times New Roman" w:eastAsia="Times New Roman" w:hAnsi="Times New Roman" w:cs="Times New Roman"/>
          <w:sz w:val="24"/>
          <w:szCs w:val="24"/>
        </w:rPr>
      </w:r>
      <w:r w:rsidR="001D0EAC"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124</w:t>
      </w:r>
      <w:r w:rsidR="001D0EAC" w:rsidRPr="00796736">
        <w:rPr>
          <w:rFonts w:ascii="Times New Roman" w:eastAsia="Times New Roman" w:hAnsi="Times New Roman" w:cs="Times New Roman"/>
          <w:sz w:val="24"/>
          <w:szCs w:val="24"/>
        </w:rPr>
        <w:fldChar w:fldCharType="end"/>
      </w:r>
      <w:r w:rsidR="001D0EAC" w:rsidRPr="00796736">
        <w:rPr>
          <w:rFonts w:ascii="Times New Roman" w:hAnsi="Times New Roman" w:cs="Times New Roman"/>
          <w:iCs/>
          <w:sz w:val="24"/>
          <w:szCs w:val="24"/>
        </w:rPr>
        <w:t xml:space="preserve"> </w:t>
      </w:r>
      <w:r w:rsidRPr="00796736">
        <w:rPr>
          <w:rFonts w:ascii="Times New Roman" w:hAnsi="Times New Roman" w:cs="Times New Roman"/>
          <w:iCs/>
          <w:sz w:val="24"/>
          <w:szCs w:val="24"/>
        </w:rPr>
        <w:t>om Erhvervsstyrelsens og Spillemyndighedens tavshedspligt.</w:t>
      </w:r>
    </w:p>
    <w:p w14:paraId="6E03AA7C" w14:textId="77777777" w:rsidR="00EF364A" w:rsidRPr="00796736" w:rsidRDefault="00EF364A" w:rsidP="00A802A5">
      <w:pPr>
        <w:spacing w:after="240" w:line="360" w:lineRule="auto"/>
        <w:rPr>
          <w:rFonts w:ascii="Times New Roman" w:hAnsi="Times New Roman" w:cs="Times New Roman"/>
          <w:sz w:val="24"/>
          <w:szCs w:val="24"/>
        </w:rPr>
      </w:pPr>
    </w:p>
    <w:p w14:paraId="70F12217" w14:textId="721C5283" w:rsidR="00B652F5" w:rsidRPr="00796736" w:rsidRDefault="00B652F5" w:rsidP="00A802A5">
      <w:pPr>
        <w:spacing w:after="240" w:line="360" w:lineRule="auto"/>
        <w:ind w:firstLine="238"/>
        <w:jc w:val="center"/>
        <w:outlineLvl w:val="1"/>
        <w:rPr>
          <w:rFonts w:ascii="Times New Roman" w:hAnsi="Times New Roman" w:cs="Times New Roman"/>
          <w:i/>
          <w:sz w:val="24"/>
          <w:szCs w:val="24"/>
        </w:rPr>
      </w:pPr>
      <w:bookmarkStart w:id="2240" w:name="_Toc232109448"/>
      <w:bookmarkStart w:id="2241" w:name="_Toc244879428"/>
      <w:bookmarkStart w:id="2242" w:name="_Toc244880953"/>
      <w:r w:rsidRPr="00796736">
        <w:rPr>
          <w:rFonts w:ascii="Times New Roman" w:hAnsi="Times New Roman" w:cs="Times New Roman"/>
          <w:i/>
          <w:sz w:val="24"/>
          <w:szCs w:val="24"/>
        </w:rPr>
        <w:t xml:space="preserve">Til </w:t>
      </w:r>
      <w:bookmarkEnd w:id="2240"/>
      <w:r w:rsidR="00065BBB" w:rsidRPr="00796736">
        <w:rPr>
          <w:rFonts w:ascii="Times New Roman" w:hAnsi="Times New Roman" w:cs="Times New Roman"/>
          <w:i/>
          <w:sz w:val="24"/>
          <w:szCs w:val="24"/>
        </w:rPr>
        <w:fldChar w:fldCharType="begin"/>
      </w:r>
      <w:r w:rsidR="00065BBB" w:rsidRPr="00796736">
        <w:rPr>
          <w:rFonts w:ascii="Times New Roman" w:hAnsi="Times New Roman" w:cs="Times New Roman"/>
          <w:i/>
          <w:sz w:val="24"/>
          <w:szCs w:val="24"/>
        </w:rPr>
        <w:instrText xml:space="preserve"> REF _Ref241677414 \r \h </w:instrText>
      </w:r>
      <w:r w:rsidR="001A2696" w:rsidRPr="00796736">
        <w:rPr>
          <w:rFonts w:ascii="Times New Roman" w:hAnsi="Times New Roman" w:cs="Times New Roman"/>
          <w:i/>
          <w:sz w:val="24"/>
          <w:szCs w:val="24"/>
        </w:rPr>
        <w:instrText xml:space="preserve"> \* MERGEFORMAT </w:instrText>
      </w:r>
      <w:r w:rsidR="00065BBB" w:rsidRPr="00796736">
        <w:rPr>
          <w:rFonts w:ascii="Times New Roman" w:hAnsi="Times New Roman" w:cs="Times New Roman"/>
          <w:i/>
          <w:sz w:val="24"/>
          <w:szCs w:val="24"/>
        </w:rPr>
      </w:r>
      <w:r w:rsidR="00065BBB" w:rsidRPr="00796736">
        <w:rPr>
          <w:rFonts w:ascii="Times New Roman" w:hAnsi="Times New Roman" w:cs="Times New Roman"/>
          <w:i/>
          <w:sz w:val="24"/>
          <w:szCs w:val="24"/>
        </w:rPr>
        <w:fldChar w:fldCharType="separate"/>
      </w:r>
      <w:r w:rsidR="008F29E5">
        <w:rPr>
          <w:rFonts w:ascii="Times New Roman" w:hAnsi="Times New Roman" w:cs="Times New Roman"/>
          <w:i/>
          <w:sz w:val="24"/>
          <w:szCs w:val="24"/>
        </w:rPr>
        <w:t>§ 132</w:t>
      </w:r>
      <w:bookmarkEnd w:id="2241"/>
      <w:bookmarkEnd w:id="2242"/>
      <w:r w:rsidR="00065BBB" w:rsidRPr="00796736">
        <w:rPr>
          <w:rFonts w:ascii="Times New Roman" w:hAnsi="Times New Roman" w:cs="Times New Roman"/>
          <w:i/>
          <w:sz w:val="24"/>
          <w:szCs w:val="24"/>
        </w:rPr>
        <w:fldChar w:fldCharType="end"/>
      </w:r>
    </w:p>
    <w:p w14:paraId="6DB5B913" w14:textId="77777777"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 76 i den gældende hvidvasklov indeholder en bestemmelse om, at afgørelser afsagt af Finanstilsynet og Erhvervsstyrelsen kan indbringes for Erhvervsankenævnet. </w:t>
      </w:r>
    </w:p>
    <w:p w14:paraId="6F89FD51" w14:textId="77777777" w:rsidR="00B652F5" w:rsidRPr="00796736" w:rsidRDefault="00B652F5" w:rsidP="00A802A5">
      <w:pPr>
        <w:spacing w:line="360" w:lineRule="auto"/>
        <w:rPr>
          <w:rFonts w:ascii="Times New Roman" w:hAnsi="Times New Roman" w:cs="Times New Roman"/>
          <w:sz w:val="24"/>
          <w:szCs w:val="24"/>
        </w:rPr>
      </w:pPr>
    </w:p>
    <w:p w14:paraId="1BC81087" w14:textId="7A875586"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w:t>
      </w:r>
      <w:r w:rsidR="00065BBB" w:rsidRPr="00796736">
        <w:rPr>
          <w:rFonts w:ascii="Times New Roman" w:hAnsi="Times New Roman" w:cs="Times New Roman"/>
          <w:iCs/>
          <w:sz w:val="24"/>
          <w:szCs w:val="24"/>
        </w:rPr>
        <w:fldChar w:fldCharType="begin"/>
      </w:r>
      <w:r w:rsidR="00065BBB" w:rsidRPr="00796736">
        <w:rPr>
          <w:rFonts w:ascii="Times New Roman" w:hAnsi="Times New Roman" w:cs="Times New Roman"/>
          <w:sz w:val="24"/>
          <w:szCs w:val="24"/>
        </w:rPr>
        <w:instrText xml:space="preserve"> REF _Ref241677414 \r \h </w:instrText>
      </w:r>
      <w:r w:rsidR="001A2696" w:rsidRPr="00796736">
        <w:rPr>
          <w:rFonts w:ascii="Times New Roman" w:hAnsi="Times New Roman" w:cs="Times New Roman"/>
          <w:iCs/>
          <w:sz w:val="24"/>
          <w:szCs w:val="24"/>
        </w:rPr>
        <w:instrText xml:space="preserve"> \* MERGEFORMAT </w:instrText>
      </w:r>
      <w:r w:rsidR="00065BBB" w:rsidRPr="00796736">
        <w:rPr>
          <w:rFonts w:ascii="Times New Roman" w:hAnsi="Times New Roman" w:cs="Times New Roman"/>
          <w:iCs/>
          <w:sz w:val="24"/>
          <w:szCs w:val="24"/>
        </w:rPr>
      </w:r>
      <w:r w:rsidR="00065BBB" w:rsidRPr="00796736">
        <w:rPr>
          <w:rFonts w:ascii="Times New Roman" w:hAnsi="Times New Roman" w:cs="Times New Roman"/>
          <w:iCs/>
          <w:sz w:val="24"/>
          <w:szCs w:val="24"/>
        </w:rPr>
        <w:fldChar w:fldCharType="separate"/>
      </w:r>
      <w:r w:rsidR="008F29E5">
        <w:rPr>
          <w:rFonts w:ascii="Times New Roman" w:hAnsi="Times New Roman" w:cs="Times New Roman"/>
          <w:sz w:val="24"/>
          <w:szCs w:val="24"/>
        </w:rPr>
        <w:t>§ 132</w:t>
      </w:r>
      <w:r w:rsidR="00065BBB" w:rsidRPr="00796736">
        <w:rPr>
          <w:rFonts w:ascii="Times New Roman" w:hAnsi="Times New Roman" w:cs="Times New Roman"/>
          <w:iCs/>
          <w:sz w:val="24"/>
          <w:szCs w:val="24"/>
        </w:rPr>
        <w:fldChar w:fldCharType="end"/>
      </w:r>
      <w:r w:rsidR="00A34D18" w:rsidRPr="00796736">
        <w:rPr>
          <w:rFonts w:ascii="Times New Roman" w:hAnsi="Times New Roman" w:cs="Times New Roman"/>
          <w:i/>
          <w:sz w:val="24"/>
          <w:szCs w:val="24"/>
        </w:rPr>
        <w:t xml:space="preserve"> </w:t>
      </w:r>
      <w:r w:rsidRPr="00796736">
        <w:rPr>
          <w:rFonts w:ascii="Times New Roman" w:hAnsi="Times New Roman" w:cs="Times New Roman"/>
          <w:sz w:val="24"/>
          <w:szCs w:val="24"/>
        </w:rPr>
        <w:t xml:space="preserve">viderefører den gældende § 76 i hvidvaskloven. Der er ikke tilsigtet materielle ændringer med det foreslåede foruden tilføjelsen af afgørelser i truffet efter Europa-Parlamentets og Rådets forordning (EU) nr. 2024/1624 af 31. maj 2024 </w:t>
      </w:r>
      <w:r w:rsidRPr="00796736">
        <w:rPr>
          <w:rFonts w:ascii="Times New Roman" w:eastAsia="Times New Roman" w:hAnsi="Times New Roman" w:cs="Times New Roman"/>
          <w:sz w:val="24"/>
          <w:szCs w:val="24"/>
          <w:lang w:eastAsia="da-DK"/>
        </w:rPr>
        <w:t xml:space="preserve">om forbyggende foranstaltninger mod anvendelse af det finansielle system til hvidvask af penge eller finansiering af terrorisme </w:t>
      </w:r>
      <w:r w:rsidRPr="00796736">
        <w:rPr>
          <w:rFonts w:ascii="Times New Roman" w:hAnsi="Times New Roman" w:cs="Times New Roman"/>
          <w:sz w:val="24"/>
          <w:szCs w:val="24"/>
        </w:rPr>
        <w:t>og regler udstedt i medfør heraf.</w:t>
      </w:r>
      <w:r w:rsidR="00065BBB" w:rsidRPr="00796736">
        <w:rPr>
          <w:rFonts w:ascii="Times New Roman" w:hAnsi="Times New Roman" w:cs="Times New Roman"/>
          <w:sz w:val="24"/>
          <w:szCs w:val="24"/>
        </w:rPr>
        <w:t xml:space="preserve"> Bestemmelsen udvides med et nyt stykke, der afspejler, at afgørelser om anvendelsen af visse af de i lovforslaget indeholdte nye beføjelser for Erhvervsstyrelsen ikke kan indbringes til anden administrativ myndighed, idet afgørelser om tvangsopløsning og sletning fra Det Centrale Virksomhedsregister i stedet kan indbringes for domstolene.</w:t>
      </w:r>
    </w:p>
    <w:p w14:paraId="652EC782" w14:textId="77777777" w:rsidR="00B652F5" w:rsidRPr="00796736" w:rsidRDefault="00B652F5" w:rsidP="00A802A5">
      <w:pPr>
        <w:spacing w:line="360" w:lineRule="auto"/>
        <w:rPr>
          <w:rFonts w:ascii="Times New Roman" w:hAnsi="Times New Roman" w:cs="Times New Roman"/>
          <w:sz w:val="24"/>
          <w:szCs w:val="24"/>
        </w:rPr>
      </w:pPr>
    </w:p>
    <w:p w14:paraId="2D028EEA" w14:textId="68A94B5C"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_Ref241677414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132</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stk. 1,</w:t>
      </w:r>
      <w:r w:rsidRPr="00796736">
        <w:rPr>
          <w:rFonts w:ascii="Times New Roman" w:hAnsi="Times New Roman" w:cs="Times New Roman"/>
          <w:sz w:val="24"/>
          <w:szCs w:val="24"/>
        </w:rPr>
        <w:t xml:space="preserve"> at afgørelser truffet af Finanstilsynet eller Erhvervsstyrelsen kan indbringes for Erhvervsankenævnet, jf. dog stk. 2, senest fire uger efter, at afgørelsen er meddelt den pågældende i henhold til retsakterne, der er oplistet i nr. 1-4, af den, som afgørelsen retter sig mod.</w:t>
      </w:r>
    </w:p>
    <w:p w14:paraId="396CF72E" w14:textId="77777777" w:rsidR="00B652F5" w:rsidRPr="00796736" w:rsidRDefault="00B652F5" w:rsidP="00A802A5">
      <w:pPr>
        <w:spacing w:line="360" w:lineRule="auto"/>
        <w:rPr>
          <w:rFonts w:ascii="Times New Roman" w:hAnsi="Times New Roman" w:cs="Times New Roman"/>
          <w:sz w:val="24"/>
          <w:szCs w:val="24"/>
        </w:rPr>
      </w:pPr>
    </w:p>
    <w:p w14:paraId="24537488" w14:textId="40D1252C"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1</w:t>
      </w:r>
      <w:r w:rsidRPr="00796736">
        <w:rPr>
          <w:rFonts w:ascii="Times New Roman" w:hAnsi="Times New Roman" w:cs="Times New Roman"/>
          <w:sz w:val="24"/>
          <w:szCs w:val="24"/>
        </w:rPr>
        <w:t xml:space="preserve">, at afgørelser truffet af Finanstilsynet eller Erhvervsstyrelsen kan indbringes for Erhvervsankenævnet af den, som afgørelsen retter sig </w:t>
      </w:r>
      <w:r w:rsidR="00065BBB" w:rsidRPr="00796736">
        <w:rPr>
          <w:rFonts w:ascii="Times New Roman" w:hAnsi="Times New Roman" w:cs="Times New Roman"/>
          <w:sz w:val="24"/>
          <w:szCs w:val="24"/>
        </w:rPr>
        <w:t>mod</w:t>
      </w:r>
      <w:r w:rsidRPr="00796736">
        <w:rPr>
          <w:rFonts w:ascii="Times New Roman" w:hAnsi="Times New Roman" w:cs="Times New Roman"/>
          <w:sz w:val="24"/>
          <w:szCs w:val="24"/>
        </w:rPr>
        <w:t>, senest fire uger efter, at afgørelsen er meddelt den pågældende i henhold til denne lov og regler udstedt i medfør heraf.</w:t>
      </w:r>
    </w:p>
    <w:p w14:paraId="30AA5090" w14:textId="77777777" w:rsidR="00B652F5" w:rsidRPr="00796736" w:rsidRDefault="00B652F5" w:rsidP="00A802A5">
      <w:pPr>
        <w:spacing w:line="360" w:lineRule="auto"/>
        <w:rPr>
          <w:rFonts w:ascii="Times New Roman" w:hAnsi="Times New Roman" w:cs="Times New Roman"/>
          <w:sz w:val="24"/>
          <w:szCs w:val="24"/>
        </w:rPr>
      </w:pPr>
    </w:p>
    <w:p w14:paraId="10E15EE9" w14:textId="77777777"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at en adressat til en afgørelse, der er truffet i medfør af denne lov og regler udstedt i medfør heraf, kan påklage og indbringe denne for Erhvervsankenævnet.</w:t>
      </w:r>
    </w:p>
    <w:p w14:paraId="3102C5C5" w14:textId="77777777" w:rsidR="00B652F5" w:rsidRPr="00796736" w:rsidRDefault="00B652F5" w:rsidP="00A802A5">
      <w:pPr>
        <w:spacing w:line="360" w:lineRule="auto"/>
        <w:rPr>
          <w:rFonts w:ascii="Times New Roman" w:hAnsi="Times New Roman" w:cs="Times New Roman"/>
          <w:sz w:val="24"/>
          <w:szCs w:val="24"/>
        </w:rPr>
      </w:pPr>
    </w:p>
    <w:p w14:paraId="5269E816" w14:textId="0AF0F45B"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2,</w:t>
      </w:r>
      <w:r w:rsidRPr="00796736">
        <w:rPr>
          <w:rFonts w:ascii="Times New Roman" w:hAnsi="Times New Roman" w:cs="Times New Roman"/>
          <w:sz w:val="24"/>
          <w:szCs w:val="24"/>
        </w:rPr>
        <w:t xml:space="preserve"> at afgørelser truffet af Finanstilsynet eller Erhvervsstyrelsen kan indbringes for Erhvervsankenævnet af den, som afgørelsen retter sig </w:t>
      </w:r>
      <w:r w:rsidR="00065BBB" w:rsidRPr="00796736">
        <w:rPr>
          <w:rFonts w:ascii="Times New Roman" w:hAnsi="Times New Roman" w:cs="Times New Roman"/>
          <w:sz w:val="24"/>
          <w:szCs w:val="24"/>
        </w:rPr>
        <w:t>mod</w:t>
      </w:r>
      <w:r w:rsidRPr="00796736">
        <w:rPr>
          <w:rFonts w:ascii="Times New Roman" w:hAnsi="Times New Roman" w:cs="Times New Roman"/>
          <w:sz w:val="24"/>
          <w:szCs w:val="24"/>
        </w:rPr>
        <w:t xml:space="preserve">, senest fire uger efter, at afgørelsen er meddelt den pågældende i henhold til Europa-Parlamentets og Rådets forordning (EU) nr. 2024/1624 af 31. maj 2024 </w:t>
      </w:r>
      <w:r w:rsidRPr="00796736">
        <w:rPr>
          <w:rFonts w:ascii="Times New Roman" w:eastAsia="Times New Roman" w:hAnsi="Times New Roman" w:cs="Times New Roman"/>
          <w:sz w:val="24"/>
          <w:szCs w:val="24"/>
          <w:lang w:eastAsia="da-DK"/>
        </w:rPr>
        <w:t xml:space="preserve">om forbyggende foranstaltninger mod anvendelse af det finansielle system til hvidvask af penge eller finansiering af terrorisme </w:t>
      </w:r>
      <w:r w:rsidRPr="00796736">
        <w:rPr>
          <w:rFonts w:ascii="Times New Roman" w:hAnsi="Times New Roman" w:cs="Times New Roman"/>
          <w:sz w:val="24"/>
          <w:szCs w:val="24"/>
        </w:rPr>
        <w:t>og regler udstedt i medfør heraf.</w:t>
      </w:r>
    </w:p>
    <w:p w14:paraId="43F985CF" w14:textId="77777777" w:rsidR="00B652F5" w:rsidRPr="00796736" w:rsidRDefault="00B652F5" w:rsidP="00A802A5">
      <w:pPr>
        <w:spacing w:line="360" w:lineRule="auto"/>
        <w:rPr>
          <w:rFonts w:ascii="Times New Roman" w:hAnsi="Times New Roman" w:cs="Times New Roman"/>
          <w:sz w:val="24"/>
          <w:szCs w:val="24"/>
        </w:rPr>
      </w:pPr>
    </w:p>
    <w:p w14:paraId="568F2CAA" w14:textId="77777777"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en adressat til en afgørelse, der er truffet i medfør af Europa-Parlamentets og Rådets forordning (EU) nr. 2024/1624 af 31. maj 2024 </w:t>
      </w:r>
      <w:r w:rsidRPr="00796736">
        <w:rPr>
          <w:rFonts w:ascii="Times New Roman" w:eastAsia="Times New Roman" w:hAnsi="Times New Roman" w:cs="Times New Roman"/>
          <w:sz w:val="24"/>
          <w:szCs w:val="24"/>
          <w:lang w:eastAsia="da-DK"/>
        </w:rPr>
        <w:t xml:space="preserve">om forbyggende foranstaltninger mod anvendelse af det finansielle system til hvidvask af penge eller finansiering af terrorisme </w:t>
      </w:r>
      <w:r w:rsidRPr="00796736">
        <w:rPr>
          <w:rFonts w:ascii="Times New Roman" w:hAnsi="Times New Roman" w:cs="Times New Roman"/>
          <w:sz w:val="24"/>
          <w:szCs w:val="24"/>
        </w:rPr>
        <w:t xml:space="preserve">og regler udstedt i medfør heraf, kan påklage og indbringe denne for Erhvervsankenævnet. </w:t>
      </w:r>
    </w:p>
    <w:p w14:paraId="4DB16720" w14:textId="77777777" w:rsidR="00B652F5" w:rsidRPr="00796736" w:rsidRDefault="00B652F5" w:rsidP="00A802A5">
      <w:pPr>
        <w:spacing w:line="360" w:lineRule="auto"/>
        <w:rPr>
          <w:rFonts w:ascii="Times New Roman" w:hAnsi="Times New Roman" w:cs="Times New Roman"/>
          <w:sz w:val="24"/>
          <w:szCs w:val="24"/>
        </w:rPr>
      </w:pPr>
    </w:p>
    <w:p w14:paraId="29CE09A6" w14:textId="58DAFE48"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3</w:t>
      </w:r>
      <w:r w:rsidRPr="00796736">
        <w:rPr>
          <w:rFonts w:ascii="Times New Roman" w:hAnsi="Times New Roman" w:cs="Times New Roman"/>
          <w:sz w:val="24"/>
          <w:szCs w:val="24"/>
        </w:rPr>
        <w:t xml:space="preserve">, at afgørelser truffet af Finanstilsynet kan indbringes for Erhvervsankenævnet af den, som afgørelsen retter sig til, senest fire uger efter, at afgørelsen er meddelt den pågældende i henhold til forordninger udstedt i medfør af </w:t>
      </w:r>
      <w:r w:rsidRPr="00796736">
        <w:rPr>
          <w:rFonts w:ascii="Times New Roman" w:eastAsia="Times New Roman" w:hAnsi="Times New Roman" w:cs="Times New Roman"/>
          <w:sz w:val="24"/>
          <w:szCs w:val="24"/>
          <w:lang w:eastAsia="da-DK"/>
        </w:rPr>
        <w:t>Europa-Parlamentets og Rådets forordning (EU) nr. 2023/1113 af 31. maj 2023 om oplysninger, der skal medsendes ved pengeoverførsler og ved overførsler af visse kryptoaktiver</w:t>
      </w:r>
      <w:r w:rsidRPr="00796736">
        <w:rPr>
          <w:rFonts w:ascii="Times New Roman" w:hAnsi="Times New Roman" w:cs="Times New Roman"/>
          <w:sz w:val="24"/>
          <w:szCs w:val="24"/>
        </w:rPr>
        <w:t>.</w:t>
      </w:r>
    </w:p>
    <w:p w14:paraId="6054E2AB" w14:textId="77777777" w:rsidR="00B652F5" w:rsidRPr="00796736" w:rsidRDefault="00B652F5" w:rsidP="00A802A5">
      <w:pPr>
        <w:spacing w:line="360" w:lineRule="auto"/>
        <w:rPr>
          <w:rFonts w:ascii="Times New Roman" w:hAnsi="Times New Roman" w:cs="Times New Roman"/>
          <w:sz w:val="24"/>
          <w:szCs w:val="24"/>
        </w:rPr>
      </w:pPr>
    </w:p>
    <w:p w14:paraId="3388B142" w14:textId="77777777"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indebærer, at en adressat til en afgørelse, der er truffet i medfør af forordning (EU) </w:t>
      </w:r>
      <w:r w:rsidRPr="00796736">
        <w:rPr>
          <w:rFonts w:ascii="Times New Roman" w:eastAsia="Times New Roman" w:hAnsi="Times New Roman" w:cs="Times New Roman"/>
          <w:sz w:val="24"/>
          <w:szCs w:val="24"/>
          <w:lang w:eastAsia="da-DK"/>
        </w:rPr>
        <w:t>nr. 2023/1113 af 31. maj 2023 om oplysninger, der skal medsendes ved pengeoverførsler og ved overførsler af visse kryptoaktiver</w:t>
      </w:r>
      <w:r w:rsidRPr="00796736" w:rsidDel="004554DE">
        <w:rPr>
          <w:rFonts w:ascii="Times New Roman" w:hAnsi="Times New Roman" w:cs="Times New Roman"/>
          <w:sz w:val="24"/>
          <w:szCs w:val="24"/>
        </w:rPr>
        <w:t xml:space="preserve"> </w:t>
      </w:r>
      <w:r w:rsidRPr="00796736">
        <w:rPr>
          <w:rFonts w:ascii="Times New Roman" w:hAnsi="Times New Roman" w:cs="Times New Roman"/>
          <w:sz w:val="24"/>
          <w:szCs w:val="24"/>
        </w:rPr>
        <w:t>kan påklage og indbringe denne for Erhvervsankenævnet.</w:t>
      </w:r>
    </w:p>
    <w:p w14:paraId="1E05037A" w14:textId="77777777" w:rsidR="00B652F5" w:rsidRPr="00796736" w:rsidRDefault="00B652F5" w:rsidP="00A802A5">
      <w:pPr>
        <w:spacing w:line="360" w:lineRule="auto"/>
        <w:rPr>
          <w:rFonts w:ascii="Times New Roman" w:hAnsi="Times New Roman" w:cs="Times New Roman"/>
          <w:sz w:val="24"/>
          <w:szCs w:val="24"/>
        </w:rPr>
      </w:pPr>
    </w:p>
    <w:p w14:paraId="41631246" w14:textId="23FF5759" w:rsidR="00B652F5" w:rsidRPr="00796736" w:rsidRDefault="00B652F5"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 nr. 4</w:t>
      </w:r>
      <w:r w:rsidRPr="00796736">
        <w:rPr>
          <w:rFonts w:ascii="Times New Roman" w:hAnsi="Times New Roman" w:cs="Times New Roman"/>
          <w:sz w:val="24"/>
          <w:szCs w:val="24"/>
        </w:rPr>
        <w:t xml:space="preserve">, at afgørelser truffet af Finanstilsynet eller Erhvervsstyrelsen kan indbringes for Erhvervsankenævnet af den, som afgørelsen retter sig </w:t>
      </w:r>
      <w:r w:rsidR="00065BBB" w:rsidRPr="00796736">
        <w:rPr>
          <w:rFonts w:ascii="Times New Roman" w:hAnsi="Times New Roman" w:cs="Times New Roman"/>
          <w:sz w:val="24"/>
          <w:szCs w:val="24"/>
        </w:rPr>
        <w:t>mod</w:t>
      </w:r>
      <w:r w:rsidRPr="00796736">
        <w:rPr>
          <w:rFonts w:ascii="Times New Roman" w:hAnsi="Times New Roman" w:cs="Times New Roman"/>
          <w:sz w:val="24"/>
          <w:szCs w:val="24"/>
        </w:rPr>
        <w:t xml:space="preserve">, senest fire uger efter, at afgørelsen er meddelt den pågældende i henhold til Europa-Parlamentets og Rådets forordninger (EU) </w:t>
      </w:r>
      <w:r w:rsidRPr="00796736">
        <w:rPr>
          <w:rFonts w:ascii="Times New Roman" w:eastAsia="Times New Roman" w:hAnsi="Times New Roman" w:cs="Times New Roman"/>
          <w:sz w:val="24"/>
          <w:szCs w:val="24"/>
          <w:lang w:eastAsia="da-DK"/>
        </w:rPr>
        <w:t>indeholdende regler om finansielle sanktioner mod lande, personer, grupper, juridiske enheder eller organer</w:t>
      </w:r>
      <w:r w:rsidRPr="00796736">
        <w:rPr>
          <w:rFonts w:ascii="Times New Roman" w:hAnsi="Times New Roman" w:cs="Times New Roman"/>
          <w:sz w:val="24"/>
          <w:szCs w:val="24"/>
        </w:rPr>
        <w:t xml:space="preserve"> og regler udstedt i medfør heraf.</w:t>
      </w:r>
    </w:p>
    <w:p w14:paraId="10C0CEB1" w14:textId="77777777" w:rsidR="00B652F5" w:rsidRPr="00796736" w:rsidRDefault="00B652F5" w:rsidP="00A802A5">
      <w:pPr>
        <w:spacing w:line="360" w:lineRule="auto"/>
        <w:rPr>
          <w:rFonts w:ascii="Times New Roman" w:hAnsi="Times New Roman" w:cs="Times New Roman"/>
          <w:sz w:val="24"/>
          <w:szCs w:val="24"/>
        </w:rPr>
      </w:pPr>
    </w:p>
    <w:p w14:paraId="4FC605CF" w14:textId="77777777" w:rsidR="00B652F5" w:rsidRPr="00796736" w:rsidRDefault="00B652F5" w:rsidP="00A802A5">
      <w:pPr>
        <w:spacing w:line="360" w:lineRule="auto"/>
        <w:rPr>
          <w:rFonts w:ascii="Times New Roman" w:eastAsia="Times New Roman" w:hAnsi="Times New Roman" w:cs="Times New Roman"/>
          <w:sz w:val="24"/>
          <w:szCs w:val="24"/>
          <w:lang w:eastAsia="da-DK"/>
        </w:rPr>
      </w:pPr>
      <w:r w:rsidRPr="00796736">
        <w:rPr>
          <w:rFonts w:ascii="Times New Roman" w:hAnsi="Times New Roman" w:cs="Times New Roman"/>
          <w:sz w:val="24"/>
          <w:szCs w:val="24"/>
        </w:rPr>
        <w:t xml:space="preserve">Den foreslåede bestemmelse indebærer, at en adressat til en afgørelse, der er truffet i medfør af Europa-Parlamentets og Rådets </w:t>
      </w:r>
      <w:r w:rsidRPr="00796736">
        <w:rPr>
          <w:rFonts w:ascii="Times New Roman" w:eastAsia="Times New Roman" w:hAnsi="Times New Roman" w:cs="Times New Roman"/>
          <w:sz w:val="24"/>
          <w:szCs w:val="24"/>
          <w:lang w:eastAsia="da-DK"/>
        </w:rPr>
        <w:t>forordninger (EU) indeholdende regler om finansielle sanktioner mod lande, personer, grupper, juridiske enheder eller organer</w:t>
      </w:r>
      <w:r w:rsidRPr="00796736">
        <w:rPr>
          <w:rFonts w:ascii="Times New Roman" w:hAnsi="Times New Roman" w:cs="Times New Roman"/>
          <w:sz w:val="24"/>
          <w:szCs w:val="24"/>
        </w:rPr>
        <w:t>, kan påklage og indbringe denne for Erhvervsankenævnet.</w:t>
      </w:r>
    </w:p>
    <w:p w14:paraId="7AD9C829" w14:textId="77777777" w:rsidR="00B652F5" w:rsidRPr="00796736" w:rsidRDefault="00B652F5" w:rsidP="00A802A5">
      <w:pPr>
        <w:spacing w:line="360" w:lineRule="auto"/>
        <w:rPr>
          <w:rFonts w:ascii="Times New Roman" w:hAnsi="Times New Roman" w:cs="Times New Roman"/>
          <w:sz w:val="24"/>
          <w:szCs w:val="24"/>
        </w:rPr>
      </w:pPr>
    </w:p>
    <w:p w14:paraId="0FE0D7AA" w14:textId="77777777" w:rsidR="00B652F5"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omfatter kun afgørelser, som er truffet af Finanstilsynet eller Erhvervsstyrelsen i henhold til loven eller regler udstedt i medfør af loven. Herudover er Erhvervsankenævnet endvidere klageinstans for aktindsigtsspørgsmål. Erhvervsankenævnets afgørelser kan indbringes for domstolene. </w:t>
      </w:r>
    </w:p>
    <w:p w14:paraId="3FBE5785" w14:textId="77777777" w:rsidR="00B652F5" w:rsidRPr="00796736" w:rsidRDefault="00B652F5" w:rsidP="00A802A5">
      <w:pPr>
        <w:spacing w:line="360" w:lineRule="auto"/>
        <w:rPr>
          <w:rFonts w:ascii="Times New Roman" w:hAnsi="Times New Roman" w:cs="Times New Roman"/>
          <w:sz w:val="24"/>
          <w:szCs w:val="24"/>
        </w:rPr>
      </w:pPr>
    </w:p>
    <w:p w14:paraId="22391412" w14:textId="3E78D72C" w:rsidR="00491E7E" w:rsidRPr="00796736" w:rsidRDefault="00B652F5"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Forbrugere har ikke mulighed for at klage over en afgørelse truffet af Finanstilsynet, da en afgørelse efter denne lov ikke kan rette sig mod en forbruger. </w:t>
      </w:r>
    </w:p>
    <w:p w14:paraId="48BC2E8C" w14:textId="77777777" w:rsidR="00065BBB" w:rsidRPr="00796736" w:rsidRDefault="00065BBB" w:rsidP="00A802A5">
      <w:pPr>
        <w:spacing w:line="360" w:lineRule="auto"/>
        <w:rPr>
          <w:rFonts w:ascii="Times New Roman" w:hAnsi="Times New Roman" w:cs="Times New Roman"/>
          <w:sz w:val="24"/>
          <w:szCs w:val="24"/>
        </w:rPr>
      </w:pPr>
    </w:p>
    <w:p w14:paraId="7A62BFD0" w14:textId="0A76E585"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2, </w:t>
      </w:r>
      <w:r w:rsidRPr="00796736">
        <w:rPr>
          <w:rFonts w:ascii="Times New Roman" w:hAnsi="Times New Roman" w:cs="Times New Roman"/>
          <w:sz w:val="24"/>
          <w:szCs w:val="24"/>
        </w:rPr>
        <w:t xml:space="preserve">at Erhvervsstyrelsens afgørelser truffet efter </w:t>
      </w:r>
      <w:r w:rsidRPr="00796736">
        <w:rPr>
          <w:rFonts w:ascii="Times New Roman" w:hAnsi="Times New Roman" w:cs="Times New Roman"/>
          <w:iCs/>
          <w:sz w:val="24"/>
          <w:szCs w:val="24"/>
        </w:rPr>
        <w:fldChar w:fldCharType="begin"/>
      </w:r>
      <w:r w:rsidRPr="00796736">
        <w:rPr>
          <w:rFonts w:ascii="Times New Roman" w:hAnsi="Times New Roman" w:cs="Times New Roman"/>
          <w:sz w:val="24"/>
          <w:szCs w:val="24"/>
        </w:rPr>
        <w:instrText xml:space="preserve"> REF _Ref239774326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sz w:val="24"/>
          <w:szCs w:val="24"/>
        </w:rPr>
        <w:t>§ 94</w:t>
      </w:r>
      <w:r w:rsidRPr="00796736">
        <w:rPr>
          <w:rFonts w:ascii="Times New Roman" w:hAnsi="Times New Roman" w:cs="Times New Roman"/>
          <w:iCs/>
          <w:sz w:val="24"/>
          <w:szCs w:val="24"/>
        </w:rPr>
        <w:fldChar w:fldCharType="end"/>
      </w:r>
      <w:r w:rsidRPr="00796736">
        <w:rPr>
          <w:rFonts w:ascii="Times New Roman" w:hAnsi="Times New Roman" w:cs="Times New Roman"/>
          <w:sz w:val="24"/>
          <w:szCs w:val="24"/>
        </w:rPr>
        <w:t xml:space="preserve"> ikke kan indbringes for anden administrativ myndighed. </w:t>
      </w:r>
    </w:p>
    <w:p w14:paraId="39657F1B" w14:textId="77777777" w:rsidR="00065BBB" w:rsidRPr="00796736" w:rsidRDefault="00065BBB" w:rsidP="00A802A5">
      <w:pPr>
        <w:spacing w:line="360" w:lineRule="auto"/>
        <w:rPr>
          <w:rFonts w:ascii="Times New Roman" w:hAnsi="Times New Roman" w:cs="Times New Roman"/>
          <w:sz w:val="24"/>
          <w:szCs w:val="24"/>
        </w:rPr>
      </w:pPr>
    </w:p>
    <w:p w14:paraId="537D7ED5" w14:textId="58B7B811"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følger af lovforslagets  </w:t>
      </w:r>
      <w:r w:rsidRPr="00796736">
        <w:rPr>
          <w:rFonts w:ascii="Times New Roman" w:hAnsi="Times New Roman" w:cs="Times New Roman"/>
          <w:iCs/>
          <w:sz w:val="24"/>
          <w:szCs w:val="24"/>
        </w:rPr>
        <w:fldChar w:fldCharType="begin"/>
      </w:r>
      <w:r w:rsidRPr="00796736">
        <w:rPr>
          <w:rFonts w:ascii="Times New Roman" w:hAnsi="Times New Roman" w:cs="Times New Roman"/>
          <w:sz w:val="24"/>
          <w:szCs w:val="24"/>
        </w:rPr>
        <w:instrText xml:space="preserve"> REF _Ref239774326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sz w:val="24"/>
          <w:szCs w:val="24"/>
        </w:rPr>
        <w:t>§ 94</w:t>
      </w:r>
      <w:r w:rsidRPr="00796736">
        <w:rPr>
          <w:rFonts w:ascii="Times New Roman" w:hAnsi="Times New Roman" w:cs="Times New Roman"/>
          <w:iCs/>
          <w:sz w:val="24"/>
          <w:szCs w:val="24"/>
        </w:rPr>
        <w:fldChar w:fldCharType="end"/>
      </w:r>
      <w:r w:rsidRPr="00796736">
        <w:rPr>
          <w:rFonts w:ascii="Times New Roman" w:hAnsi="Times New Roman" w:cs="Times New Roman"/>
          <w:sz w:val="24"/>
          <w:szCs w:val="24"/>
        </w:rPr>
        <w:t xml:space="preserve">, at Erhvervsstyrelsen kan træffe afgørelse om at oversende virksomheden til tvangsopløsning, slette en filial af en udenlandsk virksomhed fra styrelsens it-system eller slette et interessentskab eller et kommanditselskab i styrelsens register, hvis den pågældende virksomhed eller filial ikke efterkommer et påbud meddelt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rPr>
        <w:instrText xml:space="preserve"> REF _Ref233056803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rPr>
        <w:t>§ 93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4, om at indføre de nødvendige foranstaltninger for at afskære en reel ejer, der er dømt for hvidvask og terrorfinansiering mv. fra at udøve kontrol med virksomheden, og den relevante dømte reelle ejer ikke har efterkommet et påbud meddelt efter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_Ref232608920 \r \h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90</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1, om at ophøre med at udøve kontrol i den pågældende virksomhed.</w:t>
      </w:r>
    </w:p>
    <w:p w14:paraId="10778501" w14:textId="77777777" w:rsidR="00065BBB" w:rsidRPr="00796736" w:rsidRDefault="00065BBB" w:rsidP="00A802A5">
      <w:pPr>
        <w:spacing w:line="360" w:lineRule="auto"/>
        <w:rPr>
          <w:rFonts w:ascii="Times New Roman" w:hAnsi="Times New Roman" w:cs="Times New Roman"/>
          <w:sz w:val="24"/>
          <w:szCs w:val="24"/>
        </w:rPr>
      </w:pPr>
    </w:p>
    <w:p w14:paraId="54361FC0" w14:textId="43942E03"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vil medføre, at Erhvervsstyrelsens afgørelse om at oversende en virksomhed til tvangsopløsning i medfør af  </w:t>
      </w:r>
      <w:r w:rsidRPr="00796736">
        <w:rPr>
          <w:rFonts w:ascii="Times New Roman" w:hAnsi="Times New Roman" w:cs="Times New Roman"/>
          <w:iCs/>
          <w:sz w:val="24"/>
          <w:szCs w:val="24"/>
        </w:rPr>
        <w:fldChar w:fldCharType="begin"/>
      </w:r>
      <w:r w:rsidRPr="00796736">
        <w:rPr>
          <w:rFonts w:ascii="Times New Roman" w:hAnsi="Times New Roman" w:cs="Times New Roman"/>
          <w:sz w:val="24"/>
          <w:szCs w:val="24"/>
        </w:rPr>
        <w:instrText xml:space="preserve"> REF _Ref239774326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sz w:val="24"/>
          <w:szCs w:val="24"/>
        </w:rPr>
        <w:t>§ 94</w:t>
      </w:r>
      <w:r w:rsidRPr="00796736">
        <w:rPr>
          <w:rFonts w:ascii="Times New Roman" w:hAnsi="Times New Roman" w:cs="Times New Roman"/>
          <w:iCs/>
          <w:sz w:val="24"/>
          <w:szCs w:val="24"/>
        </w:rPr>
        <w:fldChar w:fldCharType="end"/>
      </w:r>
      <w:r w:rsidRPr="00796736">
        <w:rPr>
          <w:rFonts w:ascii="Times New Roman" w:hAnsi="Times New Roman" w:cs="Times New Roman"/>
          <w:sz w:val="24"/>
          <w:szCs w:val="24"/>
        </w:rPr>
        <w:t xml:space="preserve">, stk. 1, eller om sletning i medfør af  </w:t>
      </w:r>
      <w:r w:rsidRPr="00796736">
        <w:rPr>
          <w:rFonts w:ascii="Times New Roman" w:hAnsi="Times New Roman" w:cs="Times New Roman"/>
          <w:iCs/>
          <w:sz w:val="24"/>
          <w:szCs w:val="24"/>
        </w:rPr>
        <w:fldChar w:fldCharType="begin"/>
      </w:r>
      <w:r w:rsidRPr="00796736">
        <w:rPr>
          <w:rFonts w:ascii="Times New Roman" w:hAnsi="Times New Roman" w:cs="Times New Roman"/>
          <w:sz w:val="24"/>
          <w:szCs w:val="24"/>
        </w:rPr>
        <w:instrText xml:space="preserve"> REF _Ref239774326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sz w:val="24"/>
          <w:szCs w:val="24"/>
        </w:rPr>
        <w:t>§ 94</w:t>
      </w:r>
      <w:r w:rsidRPr="00796736">
        <w:rPr>
          <w:rFonts w:ascii="Times New Roman" w:hAnsi="Times New Roman" w:cs="Times New Roman"/>
          <w:iCs/>
          <w:sz w:val="24"/>
          <w:szCs w:val="24"/>
        </w:rPr>
        <w:fldChar w:fldCharType="end"/>
      </w:r>
      <w:r w:rsidRPr="00796736">
        <w:rPr>
          <w:rFonts w:ascii="Times New Roman" w:hAnsi="Times New Roman" w:cs="Times New Roman"/>
          <w:sz w:val="24"/>
          <w:szCs w:val="24"/>
        </w:rPr>
        <w:t xml:space="preserve">, stk. 2, ikke vil kunne påklages til anden administrativ myndighed. </w:t>
      </w:r>
    </w:p>
    <w:p w14:paraId="3B6CDEEB" w14:textId="77777777" w:rsidR="00065BBB" w:rsidRPr="00796736" w:rsidRDefault="00065BBB" w:rsidP="00A802A5">
      <w:pPr>
        <w:spacing w:line="360" w:lineRule="auto"/>
        <w:rPr>
          <w:rFonts w:ascii="Times New Roman" w:hAnsi="Times New Roman" w:cs="Times New Roman"/>
          <w:sz w:val="24"/>
          <w:szCs w:val="24"/>
        </w:rPr>
      </w:pPr>
    </w:p>
    <w:p w14:paraId="5AB0B2DD" w14:textId="2CF1F4C9"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Afgørelsen om oversendelse til tvangsopløsning eller sletning efter  </w:t>
      </w:r>
      <w:r w:rsidRPr="00796736">
        <w:rPr>
          <w:rFonts w:ascii="Times New Roman" w:hAnsi="Times New Roman" w:cs="Times New Roman"/>
          <w:iCs/>
          <w:sz w:val="24"/>
          <w:szCs w:val="24"/>
        </w:rPr>
        <w:fldChar w:fldCharType="begin"/>
      </w:r>
      <w:r w:rsidRPr="00796736">
        <w:rPr>
          <w:rFonts w:ascii="Times New Roman" w:hAnsi="Times New Roman" w:cs="Times New Roman"/>
          <w:sz w:val="24"/>
          <w:szCs w:val="24"/>
        </w:rPr>
        <w:instrText xml:space="preserve"> REF _Ref239774326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sz w:val="24"/>
          <w:szCs w:val="24"/>
        </w:rPr>
        <w:t>§ 94</w:t>
      </w:r>
      <w:r w:rsidRPr="00796736">
        <w:rPr>
          <w:rFonts w:ascii="Times New Roman" w:hAnsi="Times New Roman" w:cs="Times New Roman"/>
          <w:iCs/>
          <w:sz w:val="24"/>
          <w:szCs w:val="24"/>
        </w:rPr>
        <w:fldChar w:fldCharType="end"/>
      </w:r>
      <w:r w:rsidRPr="00796736">
        <w:rPr>
          <w:rFonts w:ascii="Times New Roman" w:hAnsi="Times New Roman" w:cs="Times New Roman"/>
          <w:sz w:val="24"/>
          <w:szCs w:val="24"/>
        </w:rPr>
        <w:t>, stk. 1 og 2, kan indbringes for domstolene.</w:t>
      </w:r>
    </w:p>
    <w:p w14:paraId="47CAABCA" w14:textId="77777777" w:rsidR="00065BBB" w:rsidRPr="00796736" w:rsidRDefault="00065BBB" w:rsidP="00A802A5">
      <w:pPr>
        <w:spacing w:line="360" w:lineRule="auto"/>
        <w:rPr>
          <w:rFonts w:ascii="Times New Roman" w:hAnsi="Times New Roman" w:cs="Times New Roman"/>
          <w:sz w:val="24"/>
          <w:szCs w:val="24"/>
        </w:rPr>
      </w:pPr>
    </w:p>
    <w:p w14:paraId="452D469D" w14:textId="77777777"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Dette er i overensstemmelse med øvrige gældende bestemmelser om klageadgang ved tvangsopløsning og sletning i blandt andet årsregnskabsloven, bogføringsloven, selskabsloven, erhvervsvirksomhedsloven og erhvervsfondsloven.</w:t>
      </w:r>
    </w:p>
    <w:p w14:paraId="74FAD3E4" w14:textId="77777777" w:rsidR="00065BBB" w:rsidRPr="00796736" w:rsidRDefault="00065BBB" w:rsidP="00A802A5">
      <w:pPr>
        <w:spacing w:line="360" w:lineRule="auto"/>
        <w:rPr>
          <w:rFonts w:ascii="Times New Roman" w:hAnsi="Times New Roman" w:cs="Times New Roman"/>
          <w:sz w:val="24"/>
          <w:szCs w:val="24"/>
        </w:rPr>
      </w:pPr>
    </w:p>
    <w:p w14:paraId="559FD062" w14:textId="4E88FA31"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er afgørelsen om tvangsopløsning eller sletning efter den foreslåede  </w:t>
      </w:r>
      <w:r w:rsidRPr="00796736">
        <w:rPr>
          <w:rFonts w:ascii="Times New Roman" w:hAnsi="Times New Roman" w:cs="Times New Roman"/>
          <w:iCs/>
          <w:sz w:val="24"/>
          <w:szCs w:val="24"/>
        </w:rPr>
        <w:fldChar w:fldCharType="begin"/>
      </w:r>
      <w:r w:rsidRPr="00796736">
        <w:rPr>
          <w:rFonts w:ascii="Times New Roman" w:hAnsi="Times New Roman" w:cs="Times New Roman"/>
          <w:sz w:val="24"/>
          <w:szCs w:val="24"/>
        </w:rPr>
        <w:instrText xml:space="preserve"> REF _Ref239774326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sz w:val="24"/>
          <w:szCs w:val="24"/>
        </w:rPr>
        <w:t>§ 94</w:t>
      </w:r>
      <w:r w:rsidRPr="00796736">
        <w:rPr>
          <w:rFonts w:ascii="Times New Roman" w:hAnsi="Times New Roman" w:cs="Times New Roman"/>
          <w:iCs/>
          <w:sz w:val="24"/>
          <w:szCs w:val="24"/>
        </w:rPr>
        <w:fldChar w:fldCharType="end"/>
      </w:r>
      <w:r w:rsidRPr="00796736">
        <w:rPr>
          <w:rFonts w:ascii="Times New Roman" w:hAnsi="Times New Roman" w:cs="Times New Roman"/>
          <w:sz w:val="24"/>
          <w:szCs w:val="24"/>
        </w:rPr>
        <w:t xml:space="preserve">, som ikke kan påklages til anden administrativ myndighed. Den underliggende materielle afgørelse, som har igangsat processen om tvangsopløsning eller foranlediget sletningen, kan derimod påklages. </w:t>
      </w:r>
    </w:p>
    <w:p w14:paraId="6F0A117F" w14:textId="77777777" w:rsidR="00065BBB" w:rsidRPr="00796736" w:rsidRDefault="00065BBB" w:rsidP="00A802A5">
      <w:pPr>
        <w:spacing w:line="360" w:lineRule="auto"/>
        <w:rPr>
          <w:rFonts w:ascii="Times New Roman" w:hAnsi="Times New Roman" w:cs="Times New Roman"/>
          <w:sz w:val="24"/>
          <w:szCs w:val="24"/>
        </w:rPr>
      </w:pPr>
    </w:p>
    <w:p w14:paraId="5715CCE8" w14:textId="431B8284" w:rsidR="00065BBB" w:rsidRPr="00796736" w:rsidRDefault="00065BBB"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forhold, at en afgørelse om tvangsopløsning eller ikke kan indbringes for anden administrativ myndighed, afskærer dog ikke adgangen for at få afprøvet retmæssigheden af en afgørelse efter den foreslåede  </w:t>
      </w:r>
      <w:r w:rsidRPr="00796736">
        <w:rPr>
          <w:rFonts w:ascii="Times New Roman" w:hAnsi="Times New Roman" w:cs="Times New Roman"/>
          <w:iCs/>
          <w:sz w:val="24"/>
          <w:szCs w:val="24"/>
        </w:rPr>
        <w:fldChar w:fldCharType="begin"/>
      </w:r>
      <w:r w:rsidRPr="00796736">
        <w:rPr>
          <w:rFonts w:ascii="Times New Roman" w:hAnsi="Times New Roman" w:cs="Times New Roman"/>
          <w:sz w:val="24"/>
          <w:szCs w:val="24"/>
        </w:rPr>
        <w:instrText xml:space="preserve"> REF _Ref239774326 \r \h </w:instrText>
      </w:r>
      <w:r w:rsidR="001A2696" w:rsidRPr="00796736">
        <w:rPr>
          <w:rFonts w:ascii="Times New Roman" w:hAnsi="Times New Roman" w:cs="Times New Roman"/>
          <w:iCs/>
          <w:sz w:val="24"/>
          <w:szCs w:val="24"/>
        </w:rPr>
        <w:instrText xml:space="preserve"> \* MERGEFORMAT </w:instrText>
      </w:r>
      <w:r w:rsidRPr="00796736">
        <w:rPr>
          <w:rFonts w:ascii="Times New Roman" w:hAnsi="Times New Roman" w:cs="Times New Roman"/>
          <w:iCs/>
          <w:sz w:val="24"/>
          <w:szCs w:val="24"/>
        </w:rPr>
      </w:r>
      <w:r w:rsidRPr="00796736">
        <w:rPr>
          <w:rFonts w:ascii="Times New Roman" w:hAnsi="Times New Roman" w:cs="Times New Roman"/>
          <w:iCs/>
          <w:sz w:val="24"/>
          <w:szCs w:val="24"/>
        </w:rPr>
        <w:fldChar w:fldCharType="separate"/>
      </w:r>
      <w:r w:rsidR="008F29E5">
        <w:rPr>
          <w:rFonts w:ascii="Times New Roman" w:hAnsi="Times New Roman" w:cs="Times New Roman"/>
          <w:sz w:val="24"/>
          <w:szCs w:val="24"/>
        </w:rPr>
        <w:t>§ 94</w:t>
      </w:r>
      <w:r w:rsidRPr="00796736">
        <w:rPr>
          <w:rFonts w:ascii="Times New Roman" w:hAnsi="Times New Roman" w:cs="Times New Roman"/>
          <w:iCs/>
          <w:sz w:val="24"/>
          <w:szCs w:val="24"/>
        </w:rPr>
        <w:fldChar w:fldCharType="end"/>
      </w:r>
      <w:r w:rsidRPr="00796736">
        <w:rPr>
          <w:rFonts w:ascii="Times New Roman" w:hAnsi="Times New Roman" w:cs="Times New Roman"/>
          <w:sz w:val="24"/>
          <w:szCs w:val="24"/>
        </w:rPr>
        <w:t xml:space="preserve"> ved domstolene. </w:t>
      </w:r>
    </w:p>
    <w:p w14:paraId="2982E7F1" w14:textId="77777777" w:rsidR="00491E7E" w:rsidRPr="00796736" w:rsidRDefault="00491E7E" w:rsidP="00A802A5">
      <w:pPr>
        <w:spacing w:line="360" w:lineRule="auto"/>
        <w:rPr>
          <w:rFonts w:ascii="Times New Roman" w:hAnsi="Times New Roman" w:cs="Times New Roman"/>
          <w:sz w:val="24"/>
          <w:szCs w:val="24"/>
        </w:rPr>
      </w:pPr>
    </w:p>
    <w:p w14:paraId="0266E445" w14:textId="4945A606" w:rsidR="000F6E2E" w:rsidRPr="00796736" w:rsidRDefault="000F6E2E" w:rsidP="00A802A5">
      <w:pPr>
        <w:pStyle w:val="Undertitel"/>
      </w:pPr>
      <w:bookmarkStart w:id="2243" w:name="_Toc232109449"/>
      <w:bookmarkStart w:id="2244" w:name="_Toc244879429"/>
      <w:bookmarkStart w:id="2245" w:name="_Toc244880954"/>
      <w:r w:rsidRPr="00796736">
        <w:t xml:space="preserve">Til </w:t>
      </w:r>
      <w:r w:rsidR="008D049E" w:rsidRPr="00796736">
        <w:fldChar w:fldCharType="begin"/>
      </w:r>
      <w:r w:rsidR="008D049E" w:rsidRPr="00796736">
        <w:instrText xml:space="preserve"> REF _Ref232609949 \r \h </w:instrText>
      </w:r>
      <w:r w:rsidR="00967618" w:rsidRPr="00796736">
        <w:instrText xml:space="preserve"> \* MERGEFORMAT </w:instrText>
      </w:r>
      <w:r w:rsidR="008D049E" w:rsidRPr="00796736">
        <w:fldChar w:fldCharType="separate"/>
      </w:r>
      <w:r w:rsidR="008F29E5">
        <w:t>§ 133</w:t>
      </w:r>
      <w:bookmarkEnd w:id="2244"/>
      <w:bookmarkEnd w:id="2245"/>
      <w:r w:rsidR="008D049E" w:rsidRPr="00796736">
        <w:fldChar w:fldCharType="end"/>
      </w:r>
      <w:r w:rsidR="007C469B" w:rsidRPr="00796736">
        <w:t xml:space="preserve"> </w:t>
      </w:r>
      <w:bookmarkEnd w:id="2243"/>
    </w:p>
    <w:p w14:paraId="7E43C988" w14:textId="1666989A" w:rsidR="00A34D18"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Hvidvasklovens </w:t>
      </w:r>
      <w:r w:rsidR="00A34D18" w:rsidRPr="00796736">
        <w:rPr>
          <w:rFonts w:ascii="Times New Roman" w:eastAsia="Times New Roman" w:hAnsi="Times New Roman" w:cs="Times New Roman"/>
          <w:sz w:val="24"/>
          <w:szCs w:val="24"/>
        </w:rPr>
        <w:t xml:space="preserve">§ 77 indeholder en bestemmelse om, at afgørelser truffet af Spillemyndigheden indbringes for Landsskatteretten. </w:t>
      </w:r>
    </w:p>
    <w:p w14:paraId="062D5D69" w14:textId="77777777" w:rsidR="00A34D18" w:rsidRPr="00796736" w:rsidRDefault="00A34D18" w:rsidP="00A802A5">
      <w:pPr>
        <w:spacing w:line="360" w:lineRule="auto"/>
        <w:rPr>
          <w:rFonts w:ascii="Times New Roman" w:eastAsia="Times New Roman" w:hAnsi="Times New Roman" w:cs="Times New Roman"/>
          <w:sz w:val="24"/>
          <w:szCs w:val="24"/>
        </w:rPr>
      </w:pPr>
    </w:p>
    <w:p w14:paraId="7F9A5DDF" w14:textId="7B94287B" w:rsidR="00980C7C" w:rsidRPr="00796736" w:rsidRDefault="007C469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 xml:space="preserve">Det foreslås i </w:t>
      </w:r>
      <w:r w:rsidR="009C6431" w:rsidRPr="00796736">
        <w:rPr>
          <w:rFonts w:ascii="Times New Roman" w:eastAsia="Calibri" w:hAnsi="Times New Roman" w:cs="Times New Roman"/>
          <w:i/>
          <w:iCs/>
          <w:sz w:val="24"/>
          <w:szCs w:val="24"/>
        </w:rPr>
        <w:fldChar w:fldCharType="begin"/>
      </w:r>
      <w:r w:rsidR="009C6431" w:rsidRPr="00796736">
        <w:rPr>
          <w:rFonts w:ascii="Times New Roman" w:eastAsia="Calibri" w:hAnsi="Times New Roman" w:cs="Times New Roman"/>
          <w:i/>
          <w:iCs/>
          <w:sz w:val="24"/>
          <w:szCs w:val="24"/>
        </w:rPr>
        <w:instrText xml:space="preserve"> REF _Ref232609949 \r \h  \* MERGEFORMAT </w:instrText>
      </w:r>
      <w:r w:rsidR="009C6431" w:rsidRPr="00796736">
        <w:rPr>
          <w:rFonts w:ascii="Times New Roman" w:eastAsia="Calibri" w:hAnsi="Times New Roman" w:cs="Times New Roman"/>
          <w:i/>
          <w:iCs/>
          <w:sz w:val="24"/>
          <w:szCs w:val="24"/>
        </w:rPr>
      </w:r>
      <w:r w:rsidR="009C6431"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133</w:t>
      </w:r>
      <w:r w:rsidR="009C6431" w:rsidRPr="00796736">
        <w:rPr>
          <w:rFonts w:ascii="Times New Roman" w:eastAsia="Calibri" w:hAnsi="Times New Roman" w:cs="Times New Roman"/>
          <w:i/>
          <w:iCs/>
          <w:sz w:val="24"/>
          <w:szCs w:val="24"/>
        </w:rPr>
        <w:fldChar w:fldCharType="end"/>
      </w:r>
      <w:r w:rsidR="00A34D18" w:rsidRPr="00796736">
        <w:rPr>
          <w:rFonts w:ascii="Times New Roman" w:eastAsia="Calibri" w:hAnsi="Times New Roman" w:cs="Times New Roman"/>
          <w:i/>
          <w:iCs/>
          <w:sz w:val="24"/>
          <w:szCs w:val="24"/>
        </w:rPr>
        <w:t>,</w:t>
      </w:r>
      <w:r w:rsidR="00980C7C" w:rsidRPr="00796736">
        <w:rPr>
          <w:rFonts w:ascii="Times New Roman" w:eastAsia="Calibri" w:hAnsi="Times New Roman" w:cs="Times New Roman"/>
          <w:i/>
          <w:iCs/>
          <w:sz w:val="24"/>
          <w:szCs w:val="24"/>
        </w:rPr>
        <w:t xml:space="preserve"> </w:t>
      </w:r>
      <w:r w:rsidR="00980C7C" w:rsidRPr="00796736">
        <w:rPr>
          <w:rFonts w:ascii="Times New Roman" w:eastAsia="Times New Roman" w:hAnsi="Times New Roman" w:cs="Times New Roman"/>
          <w:sz w:val="24"/>
          <w:szCs w:val="24"/>
        </w:rPr>
        <w:t xml:space="preserve">at afgørelser truffet af Spillemyndigheden kan, af den som afgørelsen retter sig mod, indbringes for Landsskatteretten efter kapitel 10 i lov om spil. Kapitel 11 i lov om spil finder tilsvarende anvendelse. Der kan klages over afgørelser truffet af Spillemyndigheden i henhold til følgende: </w:t>
      </w:r>
    </w:p>
    <w:p w14:paraId="60102B5F" w14:textId="77777777" w:rsidR="00980C7C" w:rsidRPr="00796736" w:rsidRDefault="00980C7C">
      <w:pPr>
        <w:pStyle w:val="Listeafsnit"/>
        <w:numPr>
          <w:ilvl w:val="0"/>
          <w:numId w:val="50"/>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Denne lov og regler udstedt i medfør heraf.</w:t>
      </w:r>
    </w:p>
    <w:p w14:paraId="675CC2FC" w14:textId="77777777" w:rsidR="00980C7C" w:rsidRPr="00796736" w:rsidRDefault="00980C7C">
      <w:pPr>
        <w:pStyle w:val="Listeafsnit"/>
        <w:numPr>
          <w:ilvl w:val="0"/>
          <w:numId w:val="50"/>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Europa-Parlamentets og Rådets forordning om forebyggende foranstaltninger mod anvendelse af det finansielle system til hvidvask af penge eller finansiering af terrorisme.</w:t>
      </w:r>
    </w:p>
    <w:p w14:paraId="6E92FE89" w14:textId="60367618" w:rsidR="007C469B" w:rsidRPr="00796736" w:rsidRDefault="00980C7C">
      <w:pPr>
        <w:pStyle w:val="Listeafsnit"/>
        <w:numPr>
          <w:ilvl w:val="0"/>
          <w:numId w:val="50"/>
        </w:num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Forordninger indeholdelse regler om finansielle sanktioner mod lande, personer, grupper, juridiske enheder eller organer.</w:t>
      </w:r>
    </w:p>
    <w:p w14:paraId="5B61EA10" w14:textId="77777777" w:rsidR="00A34D18" w:rsidRPr="00796736" w:rsidRDefault="00A34D18" w:rsidP="00A802A5">
      <w:pPr>
        <w:spacing w:line="360" w:lineRule="auto"/>
        <w:rPr>
          <w:rFonts w:ascii="Times New Roman" w:eastAsia="Times New Roman" w:hAnsi="Times New Roman" w:cs="Times New Roman"/>
          <w:sz w:val="24"/>
          <w:szCs w:val="24"/>
        </w:rPr>
      </w:pPr>
    </w:p>
    <w:p w14:paraId="50ED8A24" w14:textId="2A03BD3C" w:rsidR="00A34D18" w:rsidRPr="00796736" w:rsidRDefault="00A34D1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Bestemmelsen omfatter således kun afgørelser, som er truffet af Spillemyndigheden i henhold til de oplistede retsakter og regler udsted</w:t>
      </w:r>
      <w:r w:rsidR="001D0EAC" w:rsidRPr="00796736">
        <w:rPr>
          <w:rFonts w:ascii="Times New Roman" w:eastAsia="Times New Roman" w:hAnsi="Times New Roman" w:cs="Times New Roman"/>
          <w:sz w:val="24"/>
          <w:szCs w:val="24"/>
        </w:rPr>
        <w:t>t</w:t>
      </w:r>
      <w:r w:rsidRPr="00796736">
        <w:rPr>
          <w:rFonts w:ascii="Times New Roman" w:eastAsia="Times New Roman" w:hAnsi="Times New Roman" w:cs="Times New Roman"/>
          <w:sz w:val="24"/>
          <w:szCs w:val="24"/>
        </w:rPr>
        <w:t xml:space="preserve"> i medfør heraf. </w:t>
      </w:r>
    </w:p>
    <w:p w14:paraId="188DBB8E" w14:textId="77777777" w:rsidR="007C469B" w:rsidRPr="00796736" w:rsidRDefault="007C469B" w:rsidP="00A802A5">
      <w:pPr>
        <w:spacing w:line="360" w:lineRule="auto"/>
        <w:rPr>
          <w:rFonts w:ascii="Times New Roman" w:eastAsia="Times New Roman" w:hAnsi="Times New Roman" w:cs="Times New Roman"/>
          <w:sz w:val="24"/>
          <w:szCs w:val="24"/>
        </w:rPr>
      </w:pPr>
    </w:p>
    <w:p w14:paraId="4A1018B5" w14:textId="77777777" w:rsidR="00A34D18" w:rsidRPr="00796736" w:rsidRDefault="00A34D1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Landsskatteretten behandler i forvejen klager over afgørelser truffet af Spillemyndigheden i forhold til spillelovgivningen, hvorfor det foreslås, at Landsskatteretten tillige skal behandle klager over afgørelser truffet af Spillemyndigheden i relation til hvidvasklovgivningen. En afgørelse i en sag kan indeholde elementer om overtrædelser af både spillelovgivningen og hvidvasklovgivningen eller vedrøre en tilbagekaldelse af en tilladelse til udbud af spil efter spillelovgivningen på baggrund af overtrædelse af hvidvaskreglerne, hvorfor det vil være mest hensigtsmæssigt, hvis samme myndighed behandler klagesagen.</w:t>
      </w:r>
    </w:p>
    <w:p w14:paraId="6690A142" w14:textId="77777777" w:rsidR="00A34D18" w:rsidRPr="00796736" w:rsidRDefault="00A34D18" w:rsidP="00A802A5">
      <w:pPr>
        <w:spacing w:line="360" w:lineRule="auto"/>
        <w:rPr>
          <w:rFonts w:ascii="Times New Roman" w:eastAsia="Times New Roman" w:hAnsi="Times New Roman" w:cs="Times New Roman"/>
          <w:sz w:val="24"/>
          <w:szCs w:val="24"/>
        </w:rPr>
      </w:pPr>
    </w:p>
    <w:p w14:paraId="34F1CFA0" w14:textId="1E1FEFF1"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Spillemyndigheden </w:t>
      </w:r>
      <w:r w:rsidR="00980C7C" w:rsidRPr="00796736">
        <w:rPr>
          <w:rFonts w:ascii="Times New Roman" w:eastAsia="Times New Roman" w:hAnsi="Times New Roman" w:cs="Times New Roman"/>
          <w:sz w:val="24"/>
          <w:szCs w:val="24"/>
        </w:rPr>
        <w:t>vil</w:t>
      </w:r>
      <w:r w:rsidRPr="00796736">
        <w:rPr>
          <w:rFonts w:ascii="Times New Roman" w:eastAsia="Times New Roman" w:hAnsi="Times New Roman" w:cs="Times New Roman"/>
          <w:sz w:val="24"/>
          <w:szCs w:val="24"/>
        </w:rPr>
        <w:t xml:space="preserve"> som noget nyt også</w:t>
      </w:r>
      <w:r w:rsidR="00980C7C" w:rsidRPr="00796736">
        <w:rPr>
          <w:rFonts w:ascii="Times New Roman" w:eastAsia="Times New Roman" w:hAnsi="Times New Roman" w:cs="Times New Roman"/>
          <w:sz w:val="24"/>
          <w:szCs w:val="24"/>
        </w:rPr>
        <w:t xml:space="preserve"> kunne</w:t>
      </w:r>
      <w:r w:rsidRPr="00796736">
        <w:rPr>
          <w:rFonts w:ascii="Times New Roman" w:eastAsia="Times New Roman" w:hAnsi="Times New Roman" w:cs="Times New Roman"/>
          <w:sz w:val="24"/>
          <w:szCs w:val="24"/>
        </w:rPr>
        <w:t xml:space="preserve"> træffe afgørelse i relation til ikkefinansielle holdingselskaber med blandet aktivitet, hvor mindst ét datterselskab er en udbyder af spil, som har tilladelse til at udbyde spil i Danmark. Sådanne afgørelser skal også indbringes for Landsskatteretten, således at alle afgørelser truffet af Spillemyndigheden i forhold til hvidvasklovgivningen behandles af samme klageinstans. </w:t>
      </w:r>
    </w:p>
    <w:p w14:paraId="40FF090E" w14:textId="77777777" w:rsidR="00A34D18" w:rsidRPr="00796736" w:rsidRDefault="00A34D18" w:rsidP="00A802A5">
      <w:pPr>
        <w:spacing w:line="360" w:lineRule="auto"/>
        <w:rPr>
          <w:rFonts w:ascii="Times New Roman" w:eastAsia="Times New Roman" w:hAnsi="Times New Roman" w:cs="Times New Roman"/>
          <w:sz w:val="24"/>
          <w:szCs w:val="24"/>
        </w:rPr>
      </w:pPr>
    </w:p>
    <w:p w14:paraId="130B275E" w14:textId="5E6E9777" w:rsidR="00A34D18" w:rsidRPr="00796736" w:rsidRDefault="00A34D18"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følger af § 50 i lov om spil, at kompetencen til at afgøre klager over afgørelser truffet af Spillemyndigheden er hos Landsskatteretten, medmindre andet følger af regler udstedt i medfør af </w:t>
      </w:r>
      <w:hyperlink r:id="rId30" w:history="1">
        <w:r w:rsidRPr="00796736">
          <w:rPr>
            <w:rFonts w:ascii="Times New Roman" w:eastAsia="Times New Roman" w:hAnsi="Times New Roman" w:cs="Times New Roman"/>
            <w:sz w:val="24"/>
            <w:szCs w:val="24"/>
          </w:rPr>
          <w:t>skatteforvaltningslovens § 35 b, stk. 3</w:t>
        </w:r>
      </w:hyperlink>
      <w:r w:rsidRPr="00796736">
        <w:rPr>
          <w:rFonts w:ascii="Times New Roman" w:eastAsia="Times New Roman" w:hAnsi="Times New Roman" w:cs="Times New Roman"/>
          <w:sz w:val="24"/>
          <w:szCs w:val="24"/>
        </w:rPr>
        <w:t xml:space="preserve">. </w:t>
      </w:r>
    </w:p>
    <w:p w14:paraId="035A74EC" w14:textId="77777777" w:rsidR="007C469B" w:rsidRPr="00796736" w:rsidRDefault="007C469B" w:rsidP="00A802A5">
      <w:pPr>
        <w:spacing w:line="360" w:lineRule="auto"/>
        <w:rPr>
          <w:rFonts w:ascii="Times New Roman" w:eastAsia="Times New Roman" w:hAnsi="Times New Roman" w:cs="Times New Roman"/>
          <w:sz w:val="24"/>
          <w:szCs w:val="24"/>
        </w:rPr>
      </w:pPr>
    </w:p>
    <w:p w14:paraId="40443C7A" w14:textId="7AD71429" w:rsidR="007C469B" w:rsidRPr="00796736" w:rsidRDefault="007C469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Efter </w:t>
      </w:r>
      <w:hyperlink r:id="rId31" w:history="1">
        <w:r w:rsidRPr="00796736">
          <w:rPr>
            <w:rFonts w:ascii="Times New Roman" w:eastAsia="Times New Roman" w:hAnsi="Times New Roman" w:cs="Times New Roman"/>
            <w:sz w:val="24"/>
            <w:szCs w:val="24"/>
          </w:rPr>
          <w:t>skatteforvaltningslovens § 35 b, stk. 3</w:t>
        </w:r>
      </w:hyperlink>
      <w:r w:rsidRPr="00796736">
        <w:rPr>
          <w:rFonts w:ascii="Times New Roman" w:eastAsia="Times New Roman" w:hAnsi="Times New Roman" w:cs="Times New Roman"/>
          <w:sz w:val="24"/>
          <w:szCs w:val="24"/>
        </w:rPr>
        <w:t>, kan der fastsættes regler om, at sager afgøres af skatteankeforvaltningen i stedet for af Landsskatteretten. Klager over Spillemyndighedens afgørelser kan dermed afgøres af Landsskatteretten eller af skatteankeforvaltningen.</w:t>
      </w:r>
    </w:p>
    <w:p w14:paraId="14D0FDBF" w14:textId="77777777" w:rsidR="007C469B" w:rsidRPr="00796736" w:rsidRDefault="007C469B" w:rsidP="00A802A5">
      <w:pPr>
        <w:spacing w:line="360" w:lineRule="auto"/>
        <w:rPr>
          <w:rFonts w:ascii="Times New Roman" w:eastAsia="Times New Roman" w:hAnsi="Times New Roman" w:cs="Times New Roman"/>
          <w:sz w:val="24"/>
          <w:szCs w:val="24"/>
        </w:rPr>
      </w:pPr>
    </w:p>
    <w:p w14:paraId="30A351AB" w14:textId="77777777" w:rsidR="007C469B" w:rsidRPr="00796736" w:rsidRDefault="007C469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Kapitel 10 i lov om spil indeholder i §§ 51-54 en række regler om, hvorvidt en klage til Landsskatteretten eller skatteankeforvaltningen har opsættende virkning eller ej. I alle tilfælde bestemmes det samtidig, at Landsskatteretten - eller skatteankeforvaltningen, hvor kompetencen til at træffe afgørelse i sagen ligger hos denne - kan træffe afgørelse om, at klager, som efter lovens udgangspunkt har opsættende virkning, ikke skal have opsættende virkning, eller at klager, som efter lovens udgangspunkt ikke har opsættende virkning, skal have opsættende virkning.</w:t>
      </w:r>
    </w:p>
    <w:p w14:paraId="0480D954" w14:textId="77777777" w:rsidR="007C469B" w:rsidRPr="00796736" w:rsidRDefault="007C469B" w:rsidP="00A802A5">
      <w:pPr>
        <w:spacing w:line="360" w:lineRule="auto"/>
        <w:rPr>
          <w:rFonts w:ascii="Times New Roman" w:eastAsia="Times New Roman" w:hAnsi="Times New Roman" w:cs="Times New Roman"/>
          <w:sz w:val="24"/>
          <w:szCs w:val="24"/>
        </w:rPr>
      </w:pPr>
    </w:p>
    <w:p w14:paraId="5E1E1493" w14:textId="6DCA3C6B" w:rsidR="007C469B" w:rsidRPr="00796736" w:rsidRDefault="007C469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I forhold til fristen for indbringelse af klagen følger det af </w:t>
      </w:r>
      <w:hyperlink r:id="rId32" w:history="1">
        <w:r w:rsidRPr="00796736">
          <w:rPr>
            <w:rFonts w:ascii="Times New Roman" w:eastAsia="Times New Roman" w:hAnsi="Times New Roman" w:cs="Times New Roman"/>
            <w:sz w:val="24"/>
            <w:szCs w:val="24"/>
          </w:rPr>
          <w:t>skatteforvaltningsloven</w:t>
        </w:r>
      </w:hyperlink>
      <w:r w:rsidRPr="00796736">
        <w:rPr>
          <w:rFonts w:ascii="Times New Roman" w:hAnsi="Times New Roman" w:cs="Times New Roman"/>
          <w:sz w:val="24"/>
          <w:szCs w:val="24"/>
        </w:rPr>
        <w:t>s § 35 a, stk. 3</w:t>
      </w:r>
      <w:r w:rsidRPr="00796736">
        <w:rPr>
          <w:rFonts w:ascii="Times New Roman" w:eastAsia="Times New Roman" w:hAnsi="Times New Roman" w:cs="Times New Roman"/>
          <w:sz w:val="24"/>
          <w:szCs w:val="24"/>
        </w:rPr>
        <w:t xml:space="preserve">, at klagen skal være modtaget i skatteankeforvaltningen senest 3 måneder efter modtagelsen af den afgørelse, der klages over. </w:t>
      </w:r>
    </w:p>
    <w:p w14:paraId="430839EC" w14:textId="77777777" w:rsidR="007C469B" w:rsidRPr="00796736" w:rsidRDefault="007C469B" w:rsidP="00A802A5">
      <w:pPr>
        <w:spacing w:line="360" w:lineRule="auto"/>
        <w:rPr>
          <w:rFonts w:ascii="Times New Roman" w:eastAsia="Times New Roman" w:hAnsi="Times New Roman" w:cs="Times New Roman"/>
          <w:sz w:val="24"/>
          <w:szCs w:val="24"/>
        </w:rPr>
      </w:pPr>
    </w:p>
    <w:p w14:paraId="2DA2E981" w14:textId="0AA5249D" w:rsidR="007C469B" w:rsidRPr="00796736" w:rsidRDefault="007C469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lægges til grund, at fristen for klager over Spillemyndighedens afgørelse i forhold til hvidvasklovgivningen følger de almindelige frister for klager over Spillemyndighedens afgørelser i henhold til spillelovgivningen, jf. </w:t>
      </w:r>
      <w:hyperlink r:id="rId33" w:history="1">
        <w:r w:rsidRPr="00796736">
          <w:rPr>
            <w:rFonts w:ascii="Times New Roman" w:eastAsia="Times New Roman" w:hAnsi="Times New Roman" w:cs="Times New Roman"/>
            <w:sz w:val="24"/>
            <w:szCs w:val="24"/>
          </w:rPr>
          <w:t>skatteforvaltningsloven</w:t>
        </w:r>
      </w:hyperlink>
      <w:r w:rsidRPr="00796736">
        <w:rPr>
          <w:rFonts w:ascii="Times New Roman" w:eastAsia="Times New Roman" w:hAnsi="Times New Roman" w:cs="Times New Roman"/>
          <w:sz w:val="24"/>
          <w:szCs w:val="24"/>
        </w:rPr>
        <w:t xml:space="preserve">. </w:t>
      </w:r>
    </w:p>
    <w:p w14:paraId="5DE4BA60" w14:textId="77777777" w:rsidR="007C469B" w:rsidRPr="00796736" w:rsidRDefault="007C469B" w:rsidP="00A802A5">
      <w:pPr>
        <w:spacing w:line="360" w:lineRule="auto"/>
        <w:rPr>
          <w:rFonts w:ascii="Times New Roman" w:eastAsia="Times New Roman" w:hAnsi="Times New Roman" w:cs="Times New Roman"/>
          <w:sz w:val="24"/>
          <w:szCs w:val="24"/>
        </w:rPr>
      </w:pPr>
    </w:p>
    <w:p w14:paraId="093A702B" w14:textId="1E7A0F58" w:rsidR="001648DA" w:rsidRPr="00796736" w:rsidRDefault="007C469B"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Kapitel 11 i lov om spil omhandler domstolsprøvelse af afgørelser truffet af Spillemyndigheden, skatteankeforvaltningen og Landsskatteretten. Idet kapitel 11 finder tilsvarende anvendelse i denne lov, svarer Spillemyndighedens afgørelser i forhold til hvidvasklovgivningen til domstolsprøvelsen af afgørelser efter spillelovgivningen, herunder f.eks., at indbringelsen skal ske senest 3 måneder efter, at afgørelsen er truffet.</w:t>
      </w:r>
    </w:p>
    <w:p w14:paraId="08CFB177" w14:textId="77777777" w:rsidR="002E60D5" w:rsidRPr="00796736" w:rsidRDefault="002E60D5" w:rsidP="00A802A5">
      <w:pPr>
        <w:spacing w:line="360" w:lineRule="auto"/>
        <w:rPr>
          <w:rFonts w:ascii="Times New Roman" w:hAnsi="Times New Roman" w:cs="Times New Roman"/>
          <w:sz w:val="24"/>
          <w:szCs w:val="24"/>
        </w:rPr>
      </w:pPr>
    </w:p>
    <w:p w14:paraId="78E9713A" w14:textId="6087171C" w:rsidR="002E60D5" w:rsidRPr="00796736" w:rsidRDefault="001648DA" w:rsidP="00A802A5">
      <w:pPr>
        <w:pStyle w:val="Undertitel"/>
      </w:pPr>
      <w:bookmarkStart w:id="2246" w:name="_Toc244879430"/>
      <w:bookmarkStart w:id="2247" w:name="_Toc244880955"/>
      <w:r w:rsidRPr="00796736">
        <w:t>Til</w:t>
      </w:r>
      <w:r w:rsidR="002E60D5" w:rsidRPr="00796736">
        <w:t xml:space="preserve"> </w:t>
      </w:r>
      <w:r w:rsidR="005B13A4" w:rsidRPr="00796736">
        <w:fldChar w:fldCharType="begin"/>
      </w:r>
      <w:r w:rsidR="005B13A4" w:rsidRPr="00796736">
        <w:instrText xml:space="preserve"> REF _Ref238145589 \r \h </w:instrText>
      </w:r>
      <w:r w:rsidR="005D152A" w:rsidRPr="00796736">
        <w:instrText xml:space="preserve"> \* MERGEFORMAT </w:instrText>
      </w:r>
      <w:r w:rsidR="005B13A4" w:rsidRPr="00796736">
        <w:fldChar w:fldCharType="separate"/>
      </w:r>
      <w:r w:rsidR="008F29E5">
        <w:t>§ 134</w:t>
      </w:r>
      <w:bookmarkEnd w:id="2246"/>
      <w:bookmarkEnd w:id="2247"/>
      <w:r w:rsidR="005B13A4" w:rsidRPr="00796736">
        <w:fldChar w:fldCharType="end"/>
      </w:r>
      <w:r w:rsidR="00262572" w:rsidRPr="00796736">
        <w:t xml:space="preserve">  </w:t>
      </w:r>
    </w:p>
    <w:p w14:paraId="1E5FC952" w14:textId="77777777" w:rsidR="00EF0501" w:rsidRPr="00796736" w:rsidRDefault="00EF0501" w:rsidP="00A802A5">
      <w:pPr>
        <w:suppressAutoHyphens/>
        <w:spacing w:line="360" w:lineRule="auto"/>
        <w:rPr>
          <w:rFonts w:ascii="Times New Roman" w:eastAsia="Calibri" w:hAnsi="Times New Roman" w:cs="Times New Roman"/>
          <w:sz w:val="24"/>
          <w:szCs w:val="24"/>
        </w:rPr>
      </w:pPr>
      <w:r w:rsidRPr="00796736">
        <w:rPr>
          <w:rFonts w:ascii="Times New Roman" w:eastAsia="Calibri" w:hAnsi="Times New Roman" w:cs="Times New Roman"/>
          <w:sz w:val="24"/>
          <w:szCs w:val="24"/>
        </w:rPr>
        <w:t>Hvidvaskloven indeholder ikke bestemmelser, der giver hjemmel til opkrævning eller inddrivelse af gebyrer.</w:t>
      </w:r>
    </w:p>
    <w:p w14:paraId="5096C85E" w14:textId="77777777" w:rsidR="00EF0501" w:rsidRPr="00796736" w:rsidRDefault="00EF0501" w:rsidP="00A802A5">
      <w:pPr>
        <w:suppressAutoHyphens/>
        <w:spacing w:line="360" w:lineRule="auto"/>
        <w:rPr>
          <w:rFonts w:ascii="Times New Roman" w:eastAsia="Calibri" w:hAnsi="Times New Roman" w:cs="Times New Roman"/>
          <w:sz w:val="24"/>
          <w:szCs w:val="24"/>
        </w:rPr>
      </w:pPr>
    </w:p>
    <w:p w14:paraId="5BBB1FA3" w14:textId="5C56F36C" w:rsidR="00EF0501" w:rsidRPr="00796736" w:rsidRDefault="00EF05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Artikel 77 i AMLA-forordningen fastsætter, at AMLA opkræver et årligt tilsynsgebyr fra udvalgte og ikkeudvalgte forpligtede enheder, som er omfattet af forordningen. Gebyrerne skal dække AMLAs udgifter til tilsynsopgaver og må ikke overstige de faktiske udgifter. Gebyrernes størrelse beregnes efter nærmere fastsatte ordninger og på det højeste konsolideringsniveau i Unionen i overensstemmelse med gældende regnskabsstandarder.</w:t>
      </w:r>
    </w:p>
    <w:p w14:paraId="2514EB42" w14:textId="77777777" w:rsidR="00EF0501" w:rsidRPr="00796736" w:rsidRDefault="00EF0501" w:rsidP="00A802A5">
      <w:pPr>
        <w:spacing w:line="360" w:lineRule="auto"/>
        <w:rPr>
          <w:rFonts w:ascii="Times New Roman" w:hAnsi="Times New Roman" w:cs="Times New Roman"/>
          <w:sz w:val="24"/>
          <w:szCs w:val="24"/>
        </w:rPr>
      </w:pPr>
    </w:p>
    <w:p w14:paraId="34B989AE" w14:textId="28187DAA" w:rsidR="00EF0501" w:rsidRPr="00796736" w:rsidRDefault="00EF05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Artikel 77, stk. 4, fastsætter, at beregningsgrundlaget for det årlige tilsynsgebyr skal være udgifterne vedrørende det direkte og indirekte tilsyn med de relevante enheder for det pågældende år. AMLA kan kræve forskudsbetaling baseret på et rimeligt skøn og skal kontakte det relevante finansielle tilsynsorgan, før den træffer afgørelse om gebyrernes endelige størrelse, for at sikre omkostningseffektivitet og rimelighed. AMLA skal desuden meddele de relevante enheder beregningsgrundlaget for gebyret.</w:t>
      </w:r>
    </w:p>
    <w:p w14:paraId="3FF11F19" w14:textId="77777777" w:rsidR="00EF0501" w:rsidRPr="00796736" w:rsidRDefault="00EF0501" w:rsidP="00A802A5">
      <w:pPr>
        <w:spacing w:line="360" w:lineRule="auto"/>
        <w:rPr>
          <w:rFonts w:ascii="Times New Roman" w:hAnsi="Times New Roman" w:cs="Times New Roman"/>
          <w:sz w:val="24"/>
          <w:szCs w:val="24"/>
        </w:rPr>
      </w:pPr>
    </w:p>
    <w:p w14:paraId="4CE3AD67" w14:textId="77777777" w:rsidR="00EF0501" w:rsidRPr="00796736" w:rsidRDefault="00EF05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Endvidere pålægger artikel 77, stk. 4, medlemsstaterne at sikre, at pligten til at betale gebyrerne kan håndhæves efter national ret, og at forfaldne gebyrer betales fuldt ud. Dette indebærer, at der skal være hjemmel til at inddrive gebyrer, der ikke betales rettidigt, og at der kan fastsættes regler om betalingsfrister, rykkerprocedurer, renter og eventuel tvangsinddrivelse.</w:t>
      </w:r>
    </w:p>
    <w:p w14:paraId="0ACBE24B" w14:textId="77777777" w:rsidR="00EF0501" w:rsidRPr="00796736" w:rsidRDefault="00EF0501" w:rsidP="00A802A5">
      <w:pPr>
        <w:spacing w:line="360" w:lineRule="auto"/>
        <w:rPr>
          <w:rFonts w:ascii="Times New Roman" w:hAnsi="Times New Roman" w:cs="Times New Roman"/>
          <w:sz w:val="24"/>
          <w:szCs w:val="24"/>
        </w:rPr>
      </w:pPr>
    </w:p>
    <w:p w14:paraId="55803669" w14:textId="29B9113E" w:rsidR="00EF0501" w:rsidRPr="00796736" w:rsidRDefault="00EF05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i/>
          <w:iCs/>
          <w:sz w:val="24"/>
          <w:szCs w:val="24"/>
        </w:rPr>
        <w:instrText xml:space="preserve"> REF _Ref238145589 \r \h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i/>
          <w:iCs/>
          <w:sz w:val="24"/>
          <w:szCs w:val="24"/>
        </w:rPr>
        <w:t>§ 134</w:t>
      </w:r>
      <w:r w:rsidRPr="00796736">
        <w:rPr>
          <w:rFonts w:ascii="Times New Roman" w:hAnsi="Times New Roman" w:cs="Times New Roman"/>
          <w:i/>
          <w:iCs/>
          <w:sz w:val="24"/>
          <w:szCs w:val="24"/>
        </w:rPr>
        <w:fldChar w:fldCharType="end"/>
      </w:r>
      <w:r w:rsidRPr="00796736">
        <w:rPr>
          <w:rFonts w:ascii="Times New Roman" w:hAnsi="Times New Roman" w:cs="Times New Roman"/>
          <w:sz w:val="24"/>
          <w:szCs w:val="24"/>
        </w:rPr>
        <w:t>, at gebyrer omfattet af artikel 77 i Europa-Parlamentets og Rådets forordning (EU) 2024/1620 kan inddrives efter reglerne i lov om inddrivelse af gæld til det offentlige.</w:t>
      </w:r>
    </w:p>
    <w:p w14:paraId="284F0CC6" w14:textId="77777777" w:rsidR="00EF0501" w:rsidRPr="00796736" w:rsidRDefault="00EF0501" w:rsidP="00A802A5">
      <w:pPr>
        <w:spacing w:line="360" w:lineRule="auto"/>
        <w:rPr>
          <w:rFonts w:ascii="Times New Roman" w:hAnsi="Times New Roman" w:cs="Times New Roman"/>
          <w:sz w:val="24"/>
          <w:szCs w:val="24"/>
        </w:rPr>
      </w:pPr>
    </w:p>
    <w:p w14:paraId="32B44CDC" w14:textId="62945A5F" w:rsidR="00EF0501" w:rsidRPr="00796736" w:rsidRDefault="00EF05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I dansk ret vil inddrivelse af forfaldne gebyrer ske efter reglerne i lov om inddrivelse af gæld til det offentlige, jf. lovbekendtgørelse nr. 1063 af 26. september 2024 med senere ændringer. Efter gældsinddrivelseslovens § 1 gælder loven for opkrævning og inddrivelse af fordringer, herunder gebyrer, der opkræves eller inddrives af det offentlige. </w:t>
      </w:r>
    </w:p>
    <w:p w14:paraId="54CF161A" w14:textId="77777777" w:rsidR="00EF0501" w:rsidRPr="00796736" w:rsidRDefault="00EF0501" w:rsidP="00A802A5">
      <w:pPr>
        <w:spacing w:line="360" w:lineRule="auto"/>
        <w:rPr>
          <w:rFonts w:ascii="Times New Roman" w:hAnsi="Times New Roman" w:cs="Times New Roman"/>
          <w:sz w:val="24"/>
          <w:szCs w:val="24"/>
        </w:rPr>
      </w:pPr>
    </w:p>
    <w:p w14:paraId="49F57148" w14:textId="745B56AD" w:rsidR="00EF0501" w:rsidRPr="00796736" w:rsidRDefault="00EF0194"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bestemmelse medfører, at </w:t>
      </w:r>
      <w:r w:rsidR="00EF0501" w:rsidRPr="00796736">
        <w:rPr>
          <w:rFonts w:ascii="Times New Roman" w:hAnsi="Times New Roman" w:cs="Times New Roman"/>
          <w:sz w:val="24"/>
          <w:szCs w:val="24"/>
        </w:rPr>
        <w:t>et gebyr fastsat i medfør af AMLA-forordningen</w:t>
      </w:r>
      <w:r w:rsidRPr="00796736">
        <w:rPr>
          <w:rFonts w:ascii="Times New Roman" w:hAnsi="Times New Roman" w:cs="Times New Roman"/>
          <w:sz w:val="24"/>
          <w:szCs w:val="24"/>
        </w:rPr>
        <w:t>s artikel 77</w:t>
      </w:r>
      <w:r w:rsidR="00886A0E">
        <w:rPr>
          <w:rFonts w:ascii="Times New Roman" w:hAnsi="Times New Roman" w:cs="Times New Roman"/>
          <w:sz w:val="24"/>
          <w:szCs w:val="24"/>
        </w:rPr>
        <w:t>,</w:t>
      </w:r>
      <w:r w:rsidRPr="00796736">
        <w:rPr>
          <w:rFonts w:ascii="Times New Roman" w:hAnsi="Times New Roman" w:cs="Times New Roman"/>
          <w:sz w:val="24"/>
          <w:szCs w:val="24"/>
        </w:rPr>
        <w:t xml:space="preserve"> som</w:t>
      </w:r>
      <w:r w:rsidR="00EF0501" w:rsidRPr="00796736">
        <w:rPr>
          <w:rFonts w:ascii="Times New Roman" w:hAnsi="Times New Roman" w:cs="Times New Roman"/>
          <w:sz w:val="24"/>
          <w:szCs w:val="24"/>
        </w:rPr>
        <w:t xml:space="preserve"> ikke betales rettidigt, kan overdrages til inddrivelse hos restanceinddrivelsesmyndigheden (Gældsstyrelsen) efter gældsinddrivelseslovens § 2. Inddrivelsen kan omfatte rykkerprocedurer, pålæg af renter, lønindeholdelse, udpantning og modregning i udbetalinger fra det offentlige, jf. blandt andet §§ 5, 10 og 11, i lov om inddrivelse af gæld til det offentlige. Gældsstyrelsen overtager kreditorbeføjelserne ved overdragelse, jf. § 3, og kan anvende de inddrivelsesmidler, der følger af loven.</w:t>
      </w:r>
    </w:p>
    <w:p w14:paraId="272ABF6A" w14:textId="77777777" w:rsidR="00EF0501" w:rsidRPr="00796736" w:rsidRDefault="00EF0501" w:rsidP="00A802A5">
      <w:pPr>
        <w:spacing w:line="360" w:lineRule="auto"/>
        <w:rPr>
          <w:rFonts w:ascii="Times New Roman" w:hAnsi="Times New Roman" w:cs="Times New Roman"/>
          <w:sz w:val="24"/>
          <w:szCs w:val="24"/>
        </w:rPr>
      </w:pPr>
    </w:p>
    <w:p w14:paraId="2BC3E5C3" w14:textId="588E1F19" w:rsidR="00EF0501" w:rsidRPr="00796736" w:rsidRDefault="000B7EE6"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indebærer, at der skabes den nødvendige nationale hjemmel til, at forfaldne gebyrer omfattet af artikel 77 i AMLA-forordningen kan inddrives efter de almindelige regler for inddrivelse af gæld til det offentlige. Der tilsigtes således ikke etableret national hjemmel for selve fordringerne, da AMLA-forordningen allerede udgør det nødvendige hjemmelsgrundlag.</w:t>
      </w:r>
    </w:p>
    <w:p w14:paraId="7E26888C" w14:textId="77777777" w:rsidR="000B7EE6" w:rsidRPr="00796736" w:rsidRDefault="000B7EE6" w:rsidP="00A802A5">
      <w:pPr>
        <w:spacing w:line="360" w:lineRule="auto"/>
        <w:rPr>
          <w:rFonts w:ascii="Times New Roman" w:hAnsi="Times New Roman" w:cs="Times New Roman"/>
          <w:sz w:val="24"/>
          <w:szCs w:val="24"/>
        </w:rPr>
      </w:pPr>
    </w:p>
    <w:p w14:paraId="6677B0C3" w14:textId="18C514D0" w:rsidR="008C2EA1" w:rsidRPr="00796736" w:rsidRDefault="00EF050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Med det foreslåede indføres der</w:t>
      </w:r>
      <w:r w:rsidR="00D47F98" w:rsidRPr="00796736">
        <w:rPr>
          <w:rFonts w:ascii="Times New Roman" w:hAnsi="Times New Roman" w:cs="Times New Roman"/>
          <w:sz w:val="24"/>
          <w:szCs w:val="24"/>
        </w:rPr>
        <w:t>for</w:t>
      </w:r>
      <w:r w:rsidRPr="00796736">
        <w:rPr>
          <w:rFonts w:ascii="Times New Roman" w:hAnsi="Times New Roman" w:cs="Times New Roman"/>
          <w:sz w:val="24"/>
          <w:szCs w:val="24"/>
        </w:rPr>
        <w:t xml:space="preserve"> ikke nye inddrivelsesbeføjelser. Det sikres alene, at eksisterende nationale regler om inddrivelse af offentlige krav, herunder gældsinddrivelsesloven, finder anvendelse på gebyrer, der opkræves i medfør af AMLA-forordningen.</w:t>
      </w:r>
    </w:p>
    <w:p w14:paraId="5FE03708" w14:textId="77777777" w:rsidR="008C2EA1" w:rsidRPr="00796736" w:rsidRDefault="008C2EA1" w:rsidP="00A802A5">
      <w:pPr>
        <w:spacing w:line="360" w:lineRule="auto"/>
        <w:rPr>
          <w:rFonts w:ascii="Times New Roman" w:hAnsi="Times New Roman" w:cs="Times New Roman"/>
          <w:sz w:val="24"/>
          <w:szCs w:val="24"/>
        </w:rPr>
      </w:pPr>
    </w:p>
    <w:p w14:paraId="5E0B180C" w14:textId="4C428683" w:rsidR="008C2EA1" w:rsidRPr="00796736" w:rsidRDefault="008C2EA1" w:rsidP="00A802A5">
      <w:pPr>
        <w:spacing w:line="360" w:lineRule="auto"/>
        <w:rPr>
          <w:rFonts w:ascii="Times New Roman" w:hAnsi="Times New Roman" w:cs="Times New Roman"/>
          <w:i/>
          <w:iCs/>
          <w:sz w:val="24"/>
          <w:szCs w:val="24"/>
        </w:rPr>
      </w:pPr>
      <w:r w:rsidRPr="00796736">
        <w:rPr>
          <w:rFonts w:ascii="Times New Roman" w:eastAsia="Calibri" w:hAnsi="Times New Roman" w:cs="Times New Roman"/>
          <w:sz w:val="24"/>
          <w:szCs w:val="24"/>
        </w:rPr>
        <w:t xml:space="preserve">Der henvises i øvrigt til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_Ref238406406 \n \h </w:instrText>
      </w:r>
      <w:r w:rsidR="006A012C"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3.87</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sz w:val="24"/>
          <w:szCs w:val="24"/>
        </w:rPr>
        <w:t xml:space="preserve"> i lovforslagets almindelige bemærkninger.</w:t>
      </w:r>
    </w:p>
    <w:p w14:paraId="2D12AF9E" w14:textId="77777777" w:rsidR="00EF0501" w:rsidRPr="00796736" w:rsidRDefault="00EF0501" w:rsidP="00A802A5">
      <w:pPr>
        <w:spacing w:line="360" w:lineRule="auto"/>
        <w:rPr>
          <w:rFonts w:ascii="Times New Roman" w:hAnsi="Times New Roman" w:cs="Times New Roman"/>
          <w:sz w:val="24"/>
          <w:szCs w:val="24"/>
        </w:rPr>
      </w:pPr>
    </w:p>
    <w:p w14:paraId="7D3A9023" w14:textId="3F2734B4" w:rsidR="00E90073" w:rsidRDefault="00E0341A" w:rsidP="00E90073">
      <w:pPr>
        <w:pStyle w:val="Undertitel"/>
      </w:pPr>
      <w:bookmarkStart w:id="2248" w:name="_Toc232109452"/>
      <w:bookmarkStart w:id="2249" w:name="_Toc244879431"/>
      <w:bookmarkStart w:id="2250" w:name="_Toc244880956"/>
      <w:r w:rsidRPr="001429E2">
        <w:t>Ti</w:t>
      </w:r>
      <w:bookmarkEnd w:id="2248"/>
      <w:r w:rsidR="00CD3E4C">
        <w:t xml:space="preserve">l </w:t>
      </w:r>
      <w:r w:rsidR="00CD3E4C">
        <w:fldChar w:fldCharType="begin"/>
      </w:r>
      <w:r w:rsidR="00CD3E4C">
        <w:instrText xml:space="preserve"> REF _Ref244804875 \r \h </w:instrText>
      </w:r>
      <w:r w:rsidR="00CD3E4C">
        <w:fldChar w:fldCharType="separate"/>
      </w:r>
      <w:r w:rsidR="008F29E5">
        <w:t>§ 135</w:t>
      </w:r>
      <w:bookmarkEnd w:id="2249"/>
      <w:bookmarkEnd w:id="2250"/>
      <w:r w:rsidR="00CD3E4C">
        <w:fldChar w:fldCharType="end"/>
      </w:r>
    </w:p>
    <w:p w14:paraId="30BD24F0"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Efter hvidvasklovens § 80, stk. 1, kan Finanstilsynet som tvangsmiddel pålægge en person, en virksomhed eller de for virksomheden ansvarlige personer daglige eller ugentlige bøder, når en virksomhed eller en person undlader at opfylde de pligter, som påhviler dem i medfør af § 49, stk. 1 og 5, eller efter regler udstedt i medfør af § 49, stk. 7. </w:t>
      </w:r>
    </w:p>
    <w:p w14:paraId="633EC5B4" w14:textId="77777777" w:rsidR="00FE25BF" w:rsidRPr="00B27F8F" w:rsidRDefault="00FE25BF" w:rsidP="00FE25BF">
      <w:pPr>
        <w:spacing w:line="360" w:lineRule="auto"/>
        <w:rPr>
          <w:rFonts w:ascii="Times New Roman" w:eastAsia="Calibri" w:hAnsi="Times New Roman" w:cs="Times New Roman"/>
          <w:sz w:val="24"/>
          <w:szCs w:val="24"/>
        </w:rPr>
      </w:pPr>
    </w:p>
    <w:p w14:paraId="7A338545"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Efter hvidvasklovens § 80, stk. 2, kan Finanstilsynet pålægge en valutavekslingsvirksomhed, der undlader at efterkomme et påbud, meddelt i medfør af § 51 a, stk. 1, eller § 51 c, stk. 1, 1. pkt., og stk. 2, 1. pkt., daglige eller ugentlige tvangsbøder.</w:t>
      </w:r>
    </w:p>
    <w:p w14:paraId="258CA413" w14:textId="77777777" w:rsidR="00FE25BF" w:rsidRPr="00B27F8F" w:rsidRDefault="00FE25BF" w:rsidP="00FE25BF">
      <w:pPr>
        <w:spacing w:line="360" w:lineRule="auto"/>
        <w:rPr>
          <w:rFonts w:ascii="Times New Roman" w:eastAsia="Calibri" w:hAnsi="Times New Roman" w:cs="Times New Roman"/>
          <w:sz w:val="24"/>
          <w:szCs w:val="24"/>
        </w:rPr>
      </w:pPr>
    </w:p>
    <w:p w14:paraId="1F7F380F"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Bestemmelsen implementerer artikel 57 i 6. hvidvaskdirektiv. Bestemmelsen indeholder desuden en videreførelse af hvidvasklovens § 80, stk. 1,2 og 6. </w:t>
      </w:r>
    </w:p>
    <w:p w14:paraId="6E96520A" w14:textId="77777777" w:rsidR="00FE25BF" w:rsidRPr="00B27F8F" w:rsidRDefault="00FE25BF" w:rsidP="00FE25BF">
      <w:pPr>
        <w:spacing w:line="360" w:lineRule="auto"/>
        <w:rPr>
          <w:rFonts w:ascii="Times New Roman" w:eastAsia="Calibri" w:hAnsi="Times New Roman" w:cs="Times New Roman"/>
          <w:sz w:val="24"/>
          <w:szCs w:val="24"/>
        </w:rPr>
      </w:pPr>
    </w:p>
    <w:p w14:paraId="17D64B7C" w14:textId="335BF781"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Den foreslåede</w:t>
      </w:r>
      <w:r w:rsidRPr="00B27F8F">
        <w:rPr>
          <w:rFonts w:ascii="Times New Roman" w:eastAsia="Calibri" w:hAnsi="Times New Roman" w:cs="Times New Roman"/>
          <w:i/>
          <w:iCs/>
          <w:sz w:val="24"/>
          <w:szCs w:val="24"/>
        </w:rPr>
        <w:t xml:space="preserve"> </w:t>
      </w:r>
      <w:r w:rsidR="000E0D4A">
        <w:rPr>
          <w:rFonts w:ascii="Times New Roman" w:eastAsia="Calibri" w:hAnsi="Times New Roman" w:cs="Times New Roman"/>
          <w:sz w:val="24"/>
          <w:szCs w:val="24"/>
        </w:rPr>
        <w:fldChar w:fldCharType="begin"/>
      </w:r>
      <w:r w:rsidR="000E0D4A">
        <w:rPr>
          <w:rFonts w:ascii="Times New Roman" w:eastAsia="Calibri" w:hAnsi="Times New Roman" w:cs="Times New Roman"/>
          <w:i/>
          <w:iCs/>
          <w:sz w:val="24"/>
          <w:szCs w:val="24"/>
        </w:rPr>
        <w:instrText xml:space="preserve"> REF _Ref244804875 \n \h </w:instrText>
      </w:r>
      <w:r w:rsidR="000E0D4A">
        <w:rPr>
          <w:rFonts w:ascii="Times New Roman" w:eastAsia="Calibri" w:hAnsi="Times New Roman" w:cs="Times New Roman"/>
          <w:sz w:val="24"/>
          <w:szCs w:val="24"/>
        </w:rPr>
      </w:r>
      <w:r w:rsidR="000E0D4A">
        <w:rPr>
          <w:rFonts w:ascii="Times New Roman" w:eastAsia="Calibri" w:hAnsi="Times New Roman" w:cs="Times New Roman"/>
          <w:sz w:val="24"/>
          <w:szCs w:val="24"/>
        </w:rPr>
        <w:fldChar w:fldCharType="separate"/>
      </w:r>
      <w:r w:rsidR="008F29E5">
        <w:rPr>
          <w:rFonts w:ascii="Times New Roman" w:eastAsia="Calibri" w:hAnsi="Times New Roman" w:cs="Times New Roman"/>
          <w:i/>
          <w:iCs/>
          <w:sz w:val="24"/>
          <w:szCs w:val="24"/>
        </w:rPr>
        <w:t>§ 135</w:t>
      </w:r>
      <w:r w:rsidR="000E0D4A">
        <w:rPr>
          <w:rFonts w:ascii="Times New Roman" w:eastAsia="Calibri" w:hAnsi="Times New Roman" w:cs="Times New Roman"/>
          <w:sz w:val="24"/>
          <w:szCs w:val="24"/>
        </w:rPr>
        <w:fldChar w:fldCharType="end"/>
      </w:r>
      <w:r w:rsidR="003A534C">
        <w:rPr>
          <w:rFonts w:ascii="Times New Roman" w:eastAsia="Calibri" w:hAnsi="Times New Roman" w:cs="Times New Roman"/>
          <w:sz w:val="24"/>
          <w:szCs w:val="24"/>
        </w:rPr>
        <w:t xml:space="preserve"> </w:t>
      </w:r>
      <w:r w:rsidRPr="00B27F8F">
        <w:rPr>
          <w:rFonts w:ascii="Times New Roman" w:eastAsia="Calibri" w:hAnsi="Times New Roman" w:cs="Times New Roman"/>
          <w:sz w:val="24"/>
          <w:szCs w:val="24"/>
        </w:rPr>
        <w:t>fastsætter betingelserne for Finanstilsynets udstedelse af tvangsbøder.</w:t>
      </w:r>
    </w:p>
    <w:p w14:paraId="131AA5A6" w14:textId="77777777" w:rsidR="00FE25BF" w:rsidRPr="00B27F8F" w:rsidRDefault="00FE25BF" w:rsidP="00FE25BF">
      <w:pPr>
        <w:spacing w:line="360" w:lineRule="auto"/>
        <w:rPr>
          <w:rFonts w:ascii="Times New Roman" w:eastAsia="Calibri" w:hAnsi="Times New Roman" w:cs="Times New Roman"/>
          <w:sz w:val="24"/>
          <w:szCs w:val="24"/>
        </w:rPr>
      </w:pPr>
    </w:p>
    <w:p w14:paraId="00517D5E" w14:textId="721EDA49"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Det foreslås i </w:t>
      </w:r>
      <w:r w:rsidRPr="00B27F8F">
        <w:rPr>
          <w:rFonts w:ascii="Times New Roman" w:eastAsia="Calibri" w:hAnsi="Times New Roman" w:cs="Times New Roman"/>
          <w:i/>
          <w:iCs/>
          <w:sz w:val="24"/>
          <w:szCs w:val="24"/>
        </w:rPr>
        <w:t>stk. 1</w:t>
      </w:r>
      <w:r w:rsidRPr="00B27F8F">
        <w:rPr>
          <w:rFonts w:ascii="Times New Roman" w:eastAsia="Calibri" w:hAnsi="Times New Roman" w:cs="Times New Roman"/>
          <w:sz w:val="24"/>
          <w:szCs w:val="24"/>
        </w:rPr>
        <w:t xml:space="preserve">, at Finanstilsynet som tvangsmiddel kan pålægge personer eller virksomheder, som nævnt i </w:t>
      </w:r>
      <w:r w:rsidR="003A534C">
        <w:rPr>
          <w:rFonts w:ascii="Times New Roman" w:eastAsia="Calibri" w:hAnsi="Times New Roman" w:cs="Times New Roman"/>
          <w:sz w:val="24"/>
          <w:szCs w:val="24"/>
        </w:rPr>
        <w:fldChar w:fldCharType="begin"/>
      </w:r>
      <w:r w:rsidR="003A534C">
        <w:rPr>
          <w:rFonts w:ascii="Times New Roman" w:eastAsia="Calibri" w:hAnsi="Times New Roman" w:cs="Times New Roman"/>
          <w:sz w:val="24"/>
          <w:szCs w:val="24"/>
        </w:rPr>
        <w:instrText xml:space="preserve"> REF _Ref232583170 \n \h </w:instrText>
      </w:r>
      <w:r w:rsidR="003A534C">
        <w:rPr>
          <w:rFonts w:ascii="Times New Roman" w:eastAsia="Calibri" w:hAnsi="Times New Roman" w:cs="Times New Roman"/>
          <w:sz w:val="24"/>
          <w:szCs w:val="24"/>
        </w:rPr>
      </w:r>
      <w:r w:rsidR="003A534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w:t>
      </w:r>
      <w:r w:rsidR="003A534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2, nr. 1-3, samt </w:t>
      </w:r>
      <w:r w:rsidR="003A534C">
        <w:rPr>
          <w:rFonts w:ascii="Times New Roman" w:eastAsia="Calibri" w:hAnsi="Times New Roman" w:cs="Times New Roman"/>
          <w:sz w:val="24"/>
          <w:szCs w:val="24"/>
        </w:rPr>
        <w:fldChar w:fldCharType="begin"/>
      </w:r>
      <w:r w:rsidR="003A534C">
        <w:rPr>
          <w:rFonts w:ascii="Times New Roman" w:eastAsia="Calibri" w:hAnsi="Times New Roman" w:cs="Times New Roman"/>
          <w:sz w:val="24"/>
          <w:szCs w:val="24"/>
        </w:rPr>
        <w:instrText xml:space="preserve"> REF _Ref232592818 \n \h </w:instrText>
      </w:r>
      <w:r w:rsidR="003A534C">
        <w:rPr>
          <w:rFonts w:ascii="Times New Roman" w:eastAsia="Calibri" w:hAnsi="Times New Roman" w:cs="Times New Roman"/>
          <w:sz w:val="24"/>
          <w:szCs w:val="24"/>
        </w:rPr>
      </w:r>
      <w:r w:rsidR="003A534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3A534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nr. 1-19 og 32, litra a, eller de for virksomheden ansvarlige personer, daglige eller ugentlige tvangsbøder, hvis de ikke i rette tid efterkommer de pligter, der følger af </w:t>
      </w:r>
      <w:r w:rsidR="003A534C">
        <w:rPr>
          <w:rFonts w:ascii="Times New Roman" w:eastAsia="Calibri" w:hAnsi="Times New Roman" w:cs="Times New Roman"/>
          <w:sz w:val="24"/>
          <w:szCs w:val="24"/>
        </w:rPr>
        <w:fldChar w:fldCharType="begin"/>
      </w:r>
      <w:r w:rsidR="003A534C">
        <w:rPr>
          <w:rFonts w:ascii="Times New Roman" w:eastAsia="Calibri" w:hAnsi="Times New Roman" w:cs="Times New Roman"/>
          <w:sz w:val="24"/>
          <w:szCs w:val="24"/>
        </w:rPr>
        <w:instrText xml:space="preserve"> REF _Ref232597109 \n \h </w:instrText>
      </w:r>
      <w:r w:rsidR="003A534C">
        <w:rPr>
          <w:rFonts w:ascii="Times New Roman" w:eastAsia="Calibri" w:hAnsi="Times New Roman" w:cs="Times New Roman"/>
          <w:sz w:val="24"/>
          <w:szCs w:val="24"/>
        </w:rPr>
      </w:r>
      <w:r w:rsidR="003A534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57</w:t>
      </w:r>
      <w:r w:rsidR="003A534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og </w:t>
      </w:r>
      <w:r w:rsidR="003A534C">
        <w:rPr>
          <w:rFonts w:ascii="Times New Roman" w:eastAsia="Calibri" w:hAnsi="Times New Roman" w:cs="Times New Roman"/>
          <w:sz w:val="24"/>
          <w:szCs w:val="24"/>
        </w:rPr>
        <w:fldChar w:fldCharType="begin"/>
      </w:r>
      <w:r w:rsidR="003A534C">
        <w:rPr>
          <w:rFonts w:ascii="Times New Roman" w:eastAsia="Calibri" w:hAnsi="Times New Roman" w:cs="Times New Roman"/>
          <w:sz w:val="24"/>
          <w:szCs w:val="24"/>
        </w:rPr>
        <w:instrText xml:space="preserve"> REF _Ref232597126 \n \h </w:instrText>
      </w:r>
      <w:r w:rsidR="003A534C">
        <w:rPr>
          <w:rFonts w:ascii="Times New Roman" w:eastAsia="Calibri" w:hAnsi="Times New Roman" w:cs="Times New Roman"/>
          <w:sz w:val="24"/>
          <w:szCs w:val="24"/>
        </w:rPr>
      </w:r>
      <w:r w:rsidR="003A534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59</w:t>
      </w:r>
      <w:r w:rsidR="003A534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3, eller efter regler udstedt i medfør af </w:t>
      </w:r>
      <w:r w:rsidR="003A534C">
        <w:rPr>
          <w:rFonts w:ascii="Times New Roman" w:eastAsia="Calibri" w:hAnsi="Times New Roman" w:cs="Times New Roman"/>
          <w:sz w:val="24"/>
          <w:szCs w:val="24"/>
        </w:rPr>
        <w:fldChar w:fldCharType="begin"/>
      </w:r>
      <w:r w:rsidR="003A534C">
        <w:rPr>
          <w:rFonts w:ascii="Times New Roman" w:eastAsia="Calibri" w:hAnsi="Times New Roman" w:cs="Times New Roman"/>
          <w:sz w:val="24"/>
          <w:szCs w:val="24"/>
        </w:rPr>
        <w:instrText xml:space="preserve"> REF _Ref244803987 \n \h </w:instrText>
      </w:r>
      <w:r w:rsidR="003A534C">
        <w:rPr>
          <w:rFonts w:ascii="Times New Roman" w:eastAsia="Calibri" w:hAnsi="Times New Roman" w:cs="Times New Roman"/>
          <w:sz w:val="24"/>
          <w:szCs w:val="24"/>
        </w:rPr>
      </w:r>
      <w:r w:rsidR="003A534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58</w:t>
      </w:r>
      <w:r w:rsidR="003A534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w:t>
      </w:r>
    </w:p>
    <w:p w14:paraId="51432B21" w14:textId="77777777" w:rsidR="00FE25BF" w:rsidRPr="00B27F8F" w:rsidRDefault="00FE25BF" w:rsidP="00FE25BF">
      <w:pPr>
        <w:spacing w:line="360" w:lineRule="auto"/>
        <w:rPr>
          <w:rFonts w:ascii="Times New Roman" w:eastAsia="Calibri" w:hAnsi="Times New Roman" w:cs="Times New Roman"/>
          <w:sz w:val="24"/>
          <w:szCs w:val="24"/>
        </w:rPr>
      </w:pPr>
    </w:p>
    <w:p w14:paraId="18DA82BC" w14:textId="08E75F8D" w:rsidR="00FE25BF" w:rsidRPr="00B27F8F" w:rsidRDefault="00FE25BF" w:rsidP="00FE25BF">
      <w:pPr>
        <w:spacing w:after="240"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Den foreslåede bestemmelse medfører, at Finanstilsynet kan pålægge de omfattede personer og virksomheder tvangsbøder, når disse ikke efterkommer de pligter, der følger af </w:t>
      </w:r>
      <w:r w:rsidR="003A534C">
        <w:rPr>
          <w:rFonts w:ascii="Times New Roman" w:eastAsia="Calibri" w:hAnsi="Times New Roman" w:cs="Times New Roman"/>
          <w:sz w:val="24"/>
          <w:szCs w:val="24"/>
        </w:rPr>
        <w:fldChar w:fldCharType="begin"/>
      </w:r>
      <w:r w:rsidR="003A534C">
        <w:rPr>
          <w:rFonts w:ascii="Times New Roman" w:eastAsia="Calibri" w:hAnsi="Times New Roman" w:cs="Times New Roman"/>
          <w:sz w:val="24"/>
          <w:szCs w:val="24"/>
        </w:rPr>
        <w:instrText xml:space="preserve"> REF _Ref232597109 \n \h </w:instrText>
      </w:r>
      <w:r w:rsidR="003A534C">
        <w:rPr>
          <w:rFonts w:ascii="Times New Roman" w:eastAsia="Calibri" w:hAnsi="Times New Roman" w:cs="Times New Roman"/>
          <w:sz w:val="24"/>
          <w:szCs w:val="24"/>
        </w:rPr>
      </w:r>
      <w:r w:rsidR="003A534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57</w:t>
      </w:r>
      <w:r w:rsidR="003A534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og </w:t>
      </w:r>
      <w:r w:rsidR="003A534C">
        <w:rPr>
          <w:rFonts w:ascii="Times New Roman" w:eastAsia="Calibri" w:hAnsi="Times New Roman" w:cs="Times New Roman"/>
          <w:sz w:val="24"/>
          <w:szCs w:val="24"/>
        </w:rPr>
        <w:fldChar w:fldCharType="begin"/>
      </w:r>
      <w:r w:rsidR="003A534C">
        <w:rPr>
          <w:rFonts w:ascii="Times New Roman" w:eastAsia="Calibri" w:hAnsi="Times New Roman" w:cs="Times New Roman"/>
          <w:sz w:val="24"/>
          <w:szCs w:val="24"/>
        </w:rPr>
        <w:instrText xml:space="preserve"> REF _Ref232597126 \n \h </w:instrText>
      </w:r>
      <w:r w:rsidR="003A534C">
        <w:rPr>
          <w:rFonts w:ascii="Times New Roman" w:eastAsia="Calibri" w:hAnsi="Times New Roman" w:cs="Times New Roman"/>
          <w:sz w:val="24"/>
          <w:szCs w:val="24"/>
        </w:rPr>
      </w:r>
      <w:r w:rsidR="003A534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59</w:t>
      </w:r>
      <w:r w:rsidR="003A534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3, samt efterlever reglerne, der er udstedt i medfør af </w:t>
      </w:r>
      <w:r w:rsidR="003A534C">
        <w:rPr>
          <w:rFonts w:ascii="Times New Roman" w:eastAsia="Calibri" w:hAnsi="Times New Roman" w:cs="Times New Roman"/>
          <w:sz w:val="24"/>
          <w:szCs w:val="24"/>
        </w:rPr>
        <w:fldChar w:fldCharType="begin"/>
      </w:r>
      <w:r w:rsidR="003A534C">
        <w:rPr>
          <w:rFonts w:ascii="Times New Roman" w:eastAsia="Calibri" w:hAnsi="Times New Roman" w:cs="Times New Roman"/>
          <w:sz w:val="24"/>
          <w:szCs w:val="24"/>
        </w:rPr>
        <w:instrText xml:space="preserve"> REF _Ref244803987 \n \h </w:instrText>
      </w:r>
      <w:r w:rsidR="003A534C">
        <w:rPr>
          <w:rFonts w:ascii="Times New Roman" w:eastAsia="Calibri" w:hAnsi="Times New Roman" w:cs="Times New Roman"/>
          <w:sz w:val="24"/>
          <w:szCs w:val="24"/>
        </w:rPr>
      </w:r>
      <w:r w:rsidR="003A534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58</w:t>
      </w:r>
      <w:r w:rsidR="003A534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Efter disse bestemmelser skal de omhandlede virksomheder og personer indlevere de oplysninger, der er nødvendige for Finanstilsynets virksomhed, da udlevering af oplysninger er en væsentlig forudsætning for Finanstilsynets tilsyn med de omfattede personer og virksomheder. En persons eller virksomheds undladelse af at fremsende oplysninger til Finanstilsynet kan medføre, at overtrædelser ikke opdages, eller at skadelige virkninger i det finansielle system får lov til at virke i længere tid. </w:t>
      </w:r>
    </w:p>
    <w:p w14:paraId="11D61DD2" w14:textId="77777777" w:rsidR="00FE25BF" w:rsidRPr="00B27F8F" w:rsidRDefault="00FE25BF" w:rsidP="00FE25BF">
      <w:pPr>
        <w:spacing w:after="240"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Tvangsbøder vil blive pålagt den, der har en handlepligt i loven. Medlemmer af en virksomheds ledelse kan derfor ikke pålægges tvangsbøder i de tilfælde, hvor det er virksomheden, der har en pligt til at opfylde et påbud eller afgive oplysninger.</w:t>
      </w:r>
    </w:p>
    <w:p w14:paraId="5E42CB9E" w14:textId="77777777" w:rsidR="00FE25BF" w:rsidRPr="00B27F8F" w:rsidRDefault="00FE25BF" w:rsidP="00FE25BF">
      <w:pPr>
        <w:spacing w:after="240"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Det foreslåede viderefører hvidvasklovens § 80, stk. 1. </w:t>
      </w:r>
    </w:p>
    <w:p w14:paraId="438A4D6E" w14:textId="475B2B7B"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Det foreslås i </w:t>
      </w:r>
      <w:r w:rsidRPr="00B27F8F">
        <w:rPr>
          <w:rFonts w:ascii="Times New Roman" w:eastAsia="Calibri" w:hAnsi="Times New Roman" w:cs="Times New Roman"/>
          <w:i/>
          <w:iCs/>
          <w:sz w:val="24"/>
          <w:szCs w:val="24"/>
        </w:rPr>
        <w:t>stk. 2</w:t>
      </w:r>
      <w:r w:rsidRPr="00B27F8F">
        <w:rPr>
          <w:rFonts w:ascii="Times New Roman" w:eastAsia="Calibri" w:hAnsi="Times New Roman" w:cs="Times New Roman"/>
          <w:sz w:val="24"/>
          <w:szCs w:val="24"/>
        </w:rPr>
        <w:t xml:space="preserve">, at Finanstilsynet som tvangsmiddel kan pålægge personer eller virksomheder, som nævnt i </w:t>
      </w:r>
      <w:r w:rsidR="00B711FB">
        <w:rPr>
          <w:rFonts w:ascii="Times New Roman" w:eastAsia="Calibri" w:hAnsi="Times New Roman" w:cs="Times New Roman"/>
          <w:sz w:val="24"/>
          <w:szCs w:val="24"/>
        </w:rPr>
        <w:fldChar w:fldCharType="begin"/>
      </w:r>
      <w:r w:rsidR="00B711FB">
        <w:rPr>
          <w:rFonts w:ascii="Times New Roman" w:eastAsia="Calibri" w:hAnsi="Times New Roman" w:cs="Times New Roman"/>
          <w:sz w:val="24"/>
          <w:szCs w:val="24"/>
        </w:rPr>
        <w:instrText xml:space="preserve"> REF _Ref232592818 \n \h </w:instrText>
      </w:r>
      <w:r w:rsidR="00B711FB">
        <w:rPr>
          <w:rFonts w:ascii="Times New Roman" w:eastAsia="Calibri" w:hAnsi="Times New Roman" w:cs="Times New Roman"/>
          <w:sz w:val="24"/>
          <w:szCs w:val="24"/>
        </w:rPr>
      </w:r>
      <w:r w:rsidR="00B711FB">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B711FB">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nr. 1-10, 12, 13 og 15-18, daglige eller ugentlige tvangsbøder, hvis de ikke i rette tid efterkommer et påbud meddelt i medfør af </w:t>
      </w:r>
      <w:r w:rsidR="00B711FB">
        <w:rPr>
          <w:rFonts w:ascii="Times New Roman" w:eastAsia="Calibri" w:hAnsi="Times New Roman" w:cs="Times New Roman"/>
          <w:sz w:val="24"/>
          <w:szCs w:val="24"/>
        </w:rPr>
        <w:fldChar w:fldCharType="begin"/>
      </w:r>
      <w:r w:rsidR="00B711FB">
        <w:rPr>
          <w:rFonts w:ascii="Times New Roman" w:eastAsia="Calibri" w:hAnsi="Times New Roman" w:cs="Times New Roman"/>
          <w:sz w:val="24"/>
          <w:szCs w:val="24"/>
        </w:rPr>
        <w:instrText xml:space="preserve"> REF _Ref239151441 \n \h </w:instrText>
      </w:r>
      <w:r w:rsidR="00B711FB">
        <w:rPr>
          <w:rFonts w:ascii="Times New Roman" w:eastAsia="Calibri" w:hAnsi="Times New Roman" w:cs="Times New Roman"/>
          <w:sz w:val="24"/>
          <w:szCs w:val="24"/>
        </w:rPr>
      </w:r>
      <w:r w:rsidR="00B711FB">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63</w:t>
      </w:r>
      <w:r w:rsidR="00B711FB">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w:t>
      </w:r>
      <w:r w:rsidR="00B711FB">
        <w:rPr>
          <w:rFonts w:ascii="Times New Roman" w:eastAsia="Calibri" w:hAnsi="Times New Roman" w:cs="Times New Roman"/>
          <w:sz w:val="24"/>
          <w:szCs w:val="24"/>
        </w:rPr>
        <w:fldChar w:fldCharType="begin"/>
      </w:r>
      <w:r w:rsidR="00B711FB">
        <w:rPr>
          <w:rFonts w:ascii="Times New Roman" w:eastAsia="Calibri" w:hAnsi="Times New Roman" w:cs="Times New Roman"/>
          <w:sz w:val="24"/>
          <w:szCs w:val="24"/>
        </w:rPr>
        <w:instrText xml:space="preserve"> REF _Ref243936799 \n \h </w:instrText>
      </w:r>
      <w:r w:rsidR="00B711FB">
        <w:rPr>
          <w:rFonts w:ascii="Times New Roman" w:eastAsia="Calibri" w:hAnsi="Times New Roman" w:cs="Times New Roman"/>
          <w:sz w:val="24"/>
          <w:szCs w:val="24"/>
        </w:rPr>
      </w:r>
      <w:r w:rsidR="00B711FB">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B711FB">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eller </w:t>
      </w:r>
      <w:r w:rsidR="00B711FB">
        <w:rPr>
          <w:rFonts w:ascii="Times New Roman" w:eastAsia="Calibri" w:hAnsi="Times New Roman" w:cs="Times New Roman"/>
          <w:sz w:val="24"/>
          <w:szCs w:val="24"/>
        </w:rPr>
        <w:fldChar w:fldCharType="begin"/>
      </w:r>
      <w:r w:rsidR="00B711FB">
        <w:rPr>
          <w:rFonts w:ascii="Times New Roman" w:eastAsia="Calibri" w:hAnsi="Times New Roman" w:cs="Times New Roman"/>
          <w:sz w:val="24"/>
          <w:szCs w:val="24"/>
        </w:rPr>
        <w:instrText xml:space="preserve"> REF _Ref237008164 \n \h </w:instrText>
      </w:r>
      <w:r w:rsidR="00B711FB">
        <w:rPr>
          <w:rFonts w:ascii="Times New Roman" w:eastAsia="Calibri" w:hAnsi="Times New Roman" w:cs="Times New Roman"/>
          <w:sz w:val="24"/>
          <w:szCs w:val="24"/>
        </w:rPr>
      </w:r>
      <w:r w:rsidR="00B711FB">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B711FB">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stk. 4.</w:t>
      </w:r>
    </w:p>
    <w:p w14:paraId="2BC9576B" w14:textId="77777777" w:rsidR="00FE25BF" w:rsidRPr="00B27F8F" w:rsidRDefault="00FE25BF" w:rsidP="00FE25BF">
      <w:pPr>
        <w:spacing w:line="360" w:lineRule="auto"/>
        <w:rPr>
          <w:rFonts w:ascii="Times New Roman" w:eastAsia="Calibri" w:hAnsi="Times New Roman" w:cs="Times New Roman"/>
          <w:sz w:val="24"/>
          <w:szCs w:val="24"/>
        </w:rPr>
      </w:pPr>
    </w:p>
    <w:p w14:paraId="662B7145" w14:textId="77777777" w:rsidR="00FE25BF" w:rsidRPr="00B27F8F" w:rsidRDefault="00FE25BF" w:rsidP="00FE25BF">
      <w:pPr>
        <w:spacing w:line="360" w:lineRule="auto"/>
        <w:rPr>
          <w:rFonts w:ascii="Times New Roman" w:hAnsi="Times New Roman" w:cs="Times New Roman"/>
          <w:sz w:val="24"/>
          <w:szCs w:val="24"/>
        </w:rPr>
      </w:pPr>
      <w:r w:rsidRPr="00B27F8F">
        <w:rPr>
          <w:rFonts w:ascii="Times New Roman" w:eastAsia="Calibri" w:hAnsi="Times New Roman" w:cs="Times New Roman"/>
          <w:sz w:val="24"/>
          <w:szCs w:val="24"/>
        </w:rPr>
        <w:t xml:space="preserve">Det foreslåede indebærer, at en person eller virksomhed, der ikke efterkommer et påbud om at foretage de nødvendige foranstaltninger, påbud om </w:t>
      </w:r>
      <w:r w:rsidRPr="00B27F8F">
        <w:rPr>
          <w:rFonts w:ascii="Times New Roman" w:hAnsi="Times New Roman" w:cs="Times New Roman"/>
          <w:sz w:val="24"/>
          <w:szCs w:val="24"/>
        </w:rPr>
        <w:t>midlertidigt ikke at må udøve en af Finanstilsynets nærmere afgrænset forretningsaktivitet,</w:t>
      </w:r>
      <w:r w:rsidRPr="00B27F8F">
        <w:rPr>
          <w:rFonts w:ascii="Times New Roman" w:eastAsia="Calibri" w:hAnsi="Times New Roman" w:cs="Times New Roman"/>
          <w:sz w:val="24"/>
          <w:szCs w:val="24"/>
        </w:rPr>
        <w:t xml:space="preserve"> påbud om </w:t>
      </w:r>
      <w:r w:rsidRPr="00B27F8F">
        <w:rPr>
          <w:rFonts w:ascii="Times New Roman" w:hAnsi="Times New Roman" w:cs="Times New Roman"/>
          <w:sz w:val="24"/>
          <w:szCs w:val="24"/>
        </w:rPr>
        <w:t>midlertidigt ikke at må gennemføre en af Finanstilsynets nærmere afgrænset type af transaktioner,</w:t>
      </w:r>
      <w:r w:rsidRPr="00B27F8F">
        <w:rPr>
          <w:rFonts w:ascii="Times New Roman" w:eastAsia="Calibri" w:hAnsi="Times New Roman" w:cs="Times New Roman"/>
          <w:sz w:val="24"/>
          <w:szCs w:val="24"/>
        </w:rPr>
        <w:t xml:space="preserve"> påbud om </w:t>
      </w:r>
      <w:r w:rsidRPr="00B27F8F">
        <w:rPr>
          <w:rFonts w:ascii="Times New Roman" w:hAnsi="Times New Roman" w:cs="Times New Roman"/>
          <w:sz w:val="24"/>
          <w:szCs w:val="24"/>
        </w:rPr>
        <w:t>midlertidigt ikke at må deltage i netværk af institutter, som nærmere afgrænses af Finanstilsynet eller påbud om at skulle afhænde aktiviteter, kan pålægges daglige eller ugentlige tvangsbøder.</w:t>
      </w:r>
      <w:r w:rsidRPr="00B27F8F">
        <w:rPr>
          <w:rFonts w:ascii="Times New Roman" w:hAnsi="Times New Roman" w:cs="Times New Roman"/>
          <w:color w:val="212529"/>
          <w:sz w:val="24"/>
          <w:szCs w:val="24"/>
          <w:shd w:val="clear" w:color="auto" w:fill="F9F9FB"/>
        </w:rPr>
        <w:t xml:space="preserve"> </w:t>
      </w:r>
      <w:r w:rsidRPr="00B27F8F">
        <w:rPr>
          <w:rFonts w:ascii="Times New Roman" w:hAnsi="Times New Roman" w:cs="Times New Roman"/>
          <w:sz w:val="24"/>
          <w:szCs w:val="24"/>
        </w:rPr>
        <w:t>For nærmere om påbud efter § 63 og 64 henvises til bemærkningerne herom.</w:t>
      </w:r>
    </w:p>
    <w:p w14:paraId="2BA55642" w14:textId="77777777" w:rsidR="00FE25BF" w:rsidRPr="00B27F8F" w:rsidRDefault="00FE25BF" w:rsidP="00FE25BF">
      <w:pPr>
        <w:spacing w:line="360" w:lineRule="auto"/>
        <w:rPr>
          <w:rFonts w:ascii="Times New Roman" w:hAnsi="Times New Roman" w:cs="Times New Roman"/>
          <w:sz w:val="24"/>
          <w:szCs w:val="24"/>
        </w:rPr>
      </w:pPr>
    </w:p>
    <w:p w14:paraId="00EAF4ED" w14:textId="01E9CF3B" w:rsidR="00FE25BF" w:rsidRPr="00B27F8F" w:rsidRDefault="00FE25BF" w:rsidP="00FE25BF">
      <w:pPr>
        <w:spacing w:line="360" w:lineRule="auto"/>
        <w:rPr>
          <w:rFonts w:ascii="Times New Roman" w:hAnsi="Times New Roman" w:cs="Times New Roman"/>
          <w:sz w:val="24"/>
          <w:szCs w:val="24"/>
        </w:rPr>
      </w:pPr>
      <w:r w:rsidRPr="00B27F8F">
        <w:rPr>
          <w:rFonts w:ascii="Times New Roman" w:hAnsi="Times New Roman" w:cs="Times New Roman"/>
          <w:sz w:val="24"/>
          <w:szCs w:val="24"/>
        </w:rPr>
        <w:t xml:space="preserve">Det foreslåede indebærer desuden, at </w:t>
      </w:r>
      <w:r w:rsidRPr="00B27F8F">
        <w:rPr>
          <w:rFonts w:ascii="Times New Roman" w:eastAsia="Calibri" w:hAnsi="Times New Roman" w:cs="Times New Roman"/>
          <w:sz w:val="24"/>
          <w:szCs w:val="24"/>
        </w:rPr>
        <w:t>en person eller virksomhed, der ikke efterkommer et påbud om</w:t>
      </w:r>
      <w:r w:rsidRPr="00B27F8F">
        <w:rPr>
          <w:rFonts w:ascii="Times New Roman" w:hAnsi="Times New Roman" w:cs="Times New Roman"/>
          <w:sz w:val="24"/>
          <w:szCs w:val="24"/>
        </w:rPr>
        <w:t xml:space="preserve"> </w:t>
      </w:r>
      <w:r w:rsidRPr="00B27F8F">
        <w:rPr>
          <w:rFonts w:ascii="Times New Roman" w:eastAsia="Calibri" w:hAnsi="Times New Roman" w:cs="Times New Roman"/>
          <w:iCs/>
          <w:sz w:val="24"/>
          <w:szCs w:val="24"/>
        </w:rPr>
        <w:t xml:space="preserve">at afsætte den person, der er udpeget i henhold til artikel 11, stk. 2, i Europa-Parlamentets og Rådets forordning (EU) 2024/1624, hvis personen efter artikel 11, stk. 2, ikke kan bestride stillingen, kan pålægges daglige eller ugentlige tvangsbøder. </w:t>
      </w:r>
      <w:r w:rsidRPr="00B27F8F">
        <w:rPr>
          <w:rFonts w:ascii="Times New Roman" w:hAnsi="Times New Roman" w:cs="Times New Roman"/>
          <w:sz w:val="24"/>
          <w:szCs w:val="24"/>
        </w:rPr>
        <w:t xml:space="preserve">For nærmere om påbud efter </w:t>
      </w:r>
      <w:r w:rsidR="00B711FB">
        <w:rPr>
          <w:rFonts w:ascii="Times New Roman" w:hAnsi="Times New Roman" w:cs="Times New Roman"/>
          <w:sz w:val="24"/>
          <w:szCs w:val="24"/>
        </w:rPr>
        <w:fldChar w:fldCharType="begin"/>
      </w:r>
      <w:r w:rsidR="00B711FB">
        <w:rPr>
          <w:rFonts w:ascii="Times New Roman" w:hAnsi="Times New Roman" w:cs="Times New Roman"/>
          <w:sz w:val="24"/>
          <w:szCs w:val="24"/>
        </w:rPr>
        <w:instrText xml:space="preserve"> REF _Ref237008164 \n \h </w:instrText>
      </w:r>
      <w:r w:rsidR="00B711FB">
        <w:rPr>
          <w:rFonts w:ascii="Times New Roman" w:hAnsi="Times New Roman" w:cs="Times New Roman"/>
          <w:sz w:val="24"/>
          <w:szCs w:val="24"/>
        </w:rPr>
      </w:r>
      <w:r w:rsidR="00B711FB">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00B711FB">
        <w:rPr>
          <w:rFonts w:ascii="Times New Roman" w:hAnsi="Times New Roman" w:cs="Times New Roman"/>
          <w:sz w:val="24"/>
          <w:szCs w:val="24"/>
        </w:rPr>
        <w:fldChar w:fldCharType="end"/>
      </w:r>
      <w:r w:rsidR="00B711FB">
        <w:rPr>
          <w:rFonts w:ascii="Times New Roman" w:hAnsi="Times New Roman" w:cs="Times New Roman"/>
          <w:sz w:val="24"/>
          <w:szCs w:val="24"/>
        </w:rPr>
        <w:t xml:space="preserve"> </w:t>
      </w:r>
      <w:r w:rsidRPr="00B27F8F">
        <w:rPr>
          <w:rFonts w:ascii="Times New Roman" w:hAnsi="Times New Roman" w:cs="Times New Roman"/>
          <w:sz w:val="24"/>
          <w:szCs w:val="24"/>
        </w:rPr>
        <w:t>henvises til bemærkningerne herom.</w:t>
      </w:r>
    </w:p>
    <w:p w14:paraId="50C2DE7F" w14:textId="77777777" w:rsidR="00FE25BF" w:rsidRPr="00B27F8F" w:rsidRDefault="00FE25BF" w:rsidP="00FE25BF">
      <w:pPr>
        <w:spacing w:line="360" w:lineRule="auto"/>
        <w:rPr>
          <w:rFonts w:ascii="Times New Roman" w:eastAsia="Calibri" w:hAnsi="Times New Roman" w:cs="Times New Roman"/>
          <w:sz w:val="24"/>
          <w:szCs w:val="24"/>
        </w:rPr>
      </w:pPr>
    </w:p>
    <w:p w14:paraId="5EDE8308" w14:textId="32C31262"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Det foreslås i </w:t>
      </w:r>
      <w:r w:rsidRPr="00B27F8F">
        <w:rPr>
          <w:rFonts w:ascii="Times New Roman" w:eastAsia="Calibri" w:hAnsi="Times New Roman" w:cs="Times New Roman"/>
          <w:i/>
          <w:iCs/>
          <w:sz w:val="24"/>
          <w:szCs w:val="24"/>
        </w:rPr>
        <w:t>stk. 3</w:t>
      </w:r>
      <w:r w:rsidRPr="00B27F8F">
        <w:rPr>
          <w:rFonts w:ascii="Times New Roman" w:eastAsia="Calibri" w:hAnsi="Times New Roman" w:cs="Times New Roman"/>
          <w:sz w:val="24"/>
          <w:szCs w:val="24"/>
        </w:rPr>
        <w:t>, at</w:t>
      </w:r>
      <w:r w:rsidRPr="00B27F8F">
        <w:rPr>
          <w:rFonts w:ascii="Times New Roman" w:eastAsia="Calibri" w:hAnsi="Times New Roman" w:cs="Times New Roman"/>
          <w:i/>
          <w:iCs/>
          <w:sz w:val="24"/>
          <w:szCs w:val="24"/>
        </w:rPr>
        <w:t xml:space="preserve"> </w:t>
      </w:r>
      <w:r w:rsidRPr="00B27F8F">
        <w:rPr>
          <w:rFonts w:ascii="Times New Roman" w:eastAsia="Calibri" w:hAnsi="Times New Roman" w:cs="Times New Roman"/>
          <w:bCs/>
          <w:sz w:val="24"/>
          <w:szCs w:val="24"/>
        </w:rPr>
        <w:t>Finanstilsynet som tvangsmiddel kan pålægge personer eller virksomheder, som nævnt i</w:t>
      </w:r>
      <w:r w:rsidRPr="00B27F8F">
        <w:rPr>
          <w:rFonts w:ascii="Times New Roman" w:eastAsia="Calibri" w:hAnsi="Times New Roman" w:cs="Times New Roman"/>
          <w:sz w:val="24"/>
          <w:szCs w:val="24"/>
        </w:rPr>
        <w:t xml:space="preserve"> </w:t>
      </w:r>
      <w:r w:rsidR="00B711FB">
        <w:rPr>
          <w:rFonts w:ascii="Times New Roman" w:eastAsia="Calibri" w:hAnsi="Times New Roman" w:cs="Times New Roman"/>
          <w:sz w:val="24"/>
          <w:szCs w:val="24"/>
        </w:rPr>
        <w:fldChar w:fldCharType="begin"/>
      </w:r>
      <w:r w:rsidR="00B711FB">
        <w:rPr>
          <w:rFonts w:ascii="Times New Roman" w:eastAsia="Calibri" w:hAnsi="Times New Roman" w:cs="Times New Roman"/>
          <w:sz w:val="24"/>
          <w:szCs w:val="24"/>
        </w:rPr>
        <w:instrText xml:space="preserve"> REF _Ref232583170 \n \h </w:instrText>
      </w:r>
      <w:r w:rsidR="00B711FB">
        <w:rPr>
          <w:rFonts w:ascii="Times New Roman" w:eastAsia="Calibri" w:hAnsi="Times New Roman" w:cs="Times New Roman"/>
          <w:sz w:val="24"/>
          <w:szCs w:val="24"/>
        </w:rPr>
      </w:r>
      <w:r w:rsidR="00B711FB">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w:t>
      </w:r>
      <w:r w:rsidR="00B711FB">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2, nr. 1-3, </w:t>
      </w:r>
      <w:r w:rsidRPr="00B27F8F">
        <w:rPr>
          <w:rFonts w:ascii="Times New Roman" w:eastAsia="Calibri" w:hAnsi="Times New Roman" w:cs="Times New Roman"/>
          <w:bCs/>
          <w:sz w:val="24"/>
          <w:szCs w:val="24"/>
        </w:rPr>
        <w:t xml:space="preserve">daglige eller ugentlige tvangsbøder, hvis de ikke i rette tid efterkommer et påbud meddelt i medfør af </w:t>
      </w:r>
      <w:r w:rsidRPr="00B27F8F">
        <w:rPr>
          <w:rFonts w:ascii="Times New Roman" w:eastAsia="Calibri" w:hAnsi="Times New Roman" w:cs="Times New Roman"/>
          <w:sz w:val="24"/>
          <w:szCs w:val="24"/>
        </w:rPr>
        <w:t xml:space="preserve">§ 63, stk. 1, </w:t>
      </w:r>
      <w:r w:rsidRPr="00B27F8F">
        <w:rPr>
          <w:rFonts w:ascii="Times New Roman" w:eastAsia="Calibri" w:hAnsi="Times New Roman" w:cs="Times New Roman"/>
          <w:bCs/>
          <w:sz w:val="24"/>
          <w:szCs w:val="24"/>
        </w:rPr>
        <w:t xml:space="preserve">eller § </w:t>
      </w:r>
      <w:r w:rsidRPr="00B27F8F">
        <w:rPr>
          <w:rFonts w:ascii="Times New Roman" w:eastAsia="Calibri" w:hAnsi="Times New Roman" w:cs="Times New Roman"/>
          <w:sz w:val="24"/>
          <w:szCs w:val="24"/>
        </w:rPr>
        <w:t xml:space="preserve">64, stk.1. </w:t>
      </w:r>
    </w:p>
    <w:p w14:paraId="1955A77F" w14:textId="77777777" w:rsidR="00FE25BF" w:rsidRPr="00B27F8F" w:rsidRDefault="00FE25BF" w:rsidP="00FE25BF">
      <w:pPr>
        <w:spacing w:line="360" w:lineRule="auto"/>
        <w:rPr>
          <w:rFonts w:ascii="Times New Roman" w:eastAsia="Calibri" w:hAnsi="Times New Roman" w:cs="Times New Roman"/>
          <w:sz w:val="24"/>
          <w:szCs w:val="24"/>
        </w:rPr>
      </w:pPr>
    </w:p>
    <w:p w14:paraId="06076199" w14:textId="6FBE90A3"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Det foreslåede medfører, at de </w:t>
      </w:r>
      <w:r w:rsidRPr="00B27F8F">
        <w:rPr>
          <w:rFonts w:ascii="Times New Roman" w:eastAsia="Calibri" w:hAnsi="Times New Roman" w:cs="Times New Roman"/>
          <w:bCs/>
          <w:sz w:val="24"/>
          <w:szCs w:val="24"/>
        </w:rPr>
        <w:t>personer eller virksomheder, som nævnt i</w:t>
      </w:r>
      <w:r w:rsidRPr="00B27F8F">
        <w:rPr>
          <w:rFonts w:ascii="Times New Roman" w:eastAsia="Calibri" w:hAnsi="Times New Roman" w:cs="Times New Roman"/>
          <w:sz w:val="24"/>
          <w:szCs w:val="24"/>
        </w:rPr>
        <w:t xml:space="preserve"> </w:t>
      </w:r>
      <w:r w:rsidR="00B711FB">
        <w:rPr>
          <w:rFonts w:ascii="Times New Roman" w:eastAsia="Calibri" w:hAnsi="Times New Roman" w:cs="Times New Roman"/>
          <w:sz w:val="24"/>
          <w:szCs w:val="24"/>
        </w:rPr>
        <w:fldChar w:fldCharType="begin"/>
      </w:r>
      <w:r w:rsidR="00B711FB">
        <w:rPr>
          <w:rFonts w:ascii="Times New Roman" w:eastAsia="Calibri" w:hAnsi="Times New Roman" w:cs="Times New Roman"/>
          <w:sz w:val="24"/>
          <w:szCs w:val="24"/>
        </w:rPr>
        <w:instrText xml:space="preserve"> REF _Ref232583170 \n \h </w:instrText>
      </w:r>
      <w:r w:rsidR="00B711FB">
        <w:rPr>
          <w:rFonts w:ascii="Times New Roman" w:eastAsia="Calibri" w:hAnsi="Times New Roman" w:cs="Times New Roman"/>
          <w:sz w:val="24"/>
          <w:szCs w:val="24"/>
        </w:rPr>
      </w:r>
      <w:r w:rsidR="00B711FB">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w:t>
      </w:r>
      <w:r w:rsidR="00B711FB">
        <w:rPr>
          <w:rFonts w:ascii="Times New Roman" w:eastAsia="Calibri" w:hAnsi="Times New Roman" w:cs="Times New Roman"/>
          <w:sz w:val="24"/>
          <w:szCs w:val="24"/>
        </w:rPr>
        <w:fldChar w:fldCharType="end"/>
      </w:r>
      <w:r w:rsidR="00B711FB">
        <w:rPr>
          <w:rFonts w:ascii="Times New Roman" w:eastAsia="Calibri" w:hAnsi="Times New Roman" w:cs="Times New Roman"/>
          <w:sz w:val="24"/>
          <w:szCs w:val="24"/>
        </w:rPr>
        <w:t xml:space="preserve">, </w:t>
      </w:r>
      <w:r w:rsidRPr="00B27F8F">
        <w:rPr>
          <w:rFonts w:ascii="Times New Roman" w:eastAsia="Calibri" w:hAnsi="Times New Roman" w:cs="Times New Roman"/>
          <w:sz w:val="24"/>
          <w:szCs w:val="24"/>
        </w:rPr>
        <w:t>stk. 2, nr. 1-3, kan pålægges daglige eller ugentlige tvangsbøder, når disse ikke efterkommer et</w:t>
      </w:r>
      <w:r w:rsidRPr="00B27F8F">
        <w:rPr>
          <w:rFonts w:ascii="Times New Roman" w:hAnsi="Times New Roman" w:cs="Times New Roman"/>
          <w:sz w:val="24"/>
          <w:szCs w:val="24"/>
        </w:rPr>
        <w:t xml:space="preserve"> </w:t>
      </w:r>
      <w:r w:rsidRPr="00B27F8F">
        <w:rPr>
          <w:rFonts w:ascii="Times New Roman" w:eastAsia="Calibri" w:hAnsi="Times New Roman" w:cs="Times New Roman"/>
          <w:sz w:val="24"/>
          <w:szCs w:val="24"/>
        </w:rPr>
        <w:t xml:space="preserve">påbud meddelt i medfør af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_Ref239151441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63</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og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_Ref243936799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Det foreslåede indebærer det samme som anført under stk. 2, for så vidt angår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_Ref239151441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63</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og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_Ref243936799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stk. 1.</w:t>
      </w:r>
    </w:p>
    <w:p w14:paraId="6437CF5F" w14:textId="77777777" w:rsidR="00FE25BF" w:rsidRPr="00B27F8F" w:rsidRDefault="00FE25BF" w:rsidP="00FE25BF">
      <w:pPr>
        <w:spacing w:line="360" w:lineRule="auto"/>
        <w:rPr>
          <w:rFonts w:ascii="Times New Roman" w:eastAsia="Calibri" w:hAnsi="Times New Roman" w:cs="Times New Roman"/>
          <w:sz w:val="24"/>
          <w:szCs w:val="24"/>
        </w:rPr>
      </w:pPr>
    </w:p>
    <w:p w14:paraId="4C1B5078" w14:textId="0DE9EAA6"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bCs/>
          <w:sz w:val="24"/>
          <w:szCs w:val="24"/>
        </w:rPr>
        <w:t xml:space="preserve">Det foreslås i </w:t>
      </w:r>
      <w:r w:rsidRPr="00B27F8F">
        <w:rPr>
          <w:rFonts w:ascii="Times New Roman" w:eastAsia="Calibri" w:hAnsi="Times New Roman" w:cs="Times New Roman"/>
          <w:bCs/>
          <w:i/>
          <w:iCs/>
          <w:sz w:val="24"/>
          <w:szCs w:val="24"/>
        </w:rPr>
        <w:t>stk. 4</w:t>
      </w:r>
      <w:r w:rsidRPr="00B27F8F">
        <w:rPr>
          <w:rFonts w:ascii="Times New Roman" w:eastAsia="Calibri" w:hAnsi="Times New Roman" w:cs="Times New Roman"/>
          <w:bCs/>
          <w:sz w:val="24"/>
          <w:szCs w:val="24"/>
        </w:rPr>
        <w:t>, at</w:t>
      </w:r>
      <w:r w:rsidRPr="00B27F8F">
        <w:rPr>
          <w:rFonts w:ascii="Times New Roman" w:eastAsia="Calibri" w:hAnsi="Times New Roman" w:cs="Times New Roman"/>
          <w:bCs/>
          <w:i/>
          <w:iCs/>
          <w:sz w:val="24"/>
          <w:szCs w:val="24"/>
        </w:rPr>
        <w:t xml:space="preserve"> </w:t>
      </w:r>
      <w:r w:rsidRPr="00B27F8F">
        <w:rPr>
          <w:rFonts w:ascii="Times New Roman" w:eastAsia="Calibri" w:hAnsi="Times New Roman" w:cs="Times New Roman"/>
          <w:bCs/>
          <w:sz w:val="24"/>
          <w:szCs w:val="24"/>
        </w:rPr>
        <w:t>Finanstilsynet som tvangsmiddel kan pålægge personer eller virksomheder, som nævnt i</w:t>
      </w:r>
      <w:r w:rsidRPr="00B27F8F">
        <w:rPr>
          <w:rFonts w:ascii="Times New Roman" w:eastAsia="Calibri" w:hAnsi="Times New Roman" w:cs="Times New Roman"/>
          <w:sz w:val="24"/>
          <w:szCs w:val="24"/>
        </w:rPr>
        <w:t xml:space="preserve">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_Ref232592818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nr. 11, 14 og 19, </w:t>
      </w:r>
      <w:r w:rsidRPr="00B27F8F">
        <w:rPr>
          <w:rFonts w:ascii="Times New Roman" w:eastAsia="Calibri" w:hAnsi="Times New Roman" w:cs="Times New Roman"/>
          <w:bCs/>
          <w:sz w:val="24"/>
          <w:szCs w:val="24"/>
        </w:rPr>
        <w:t xml:space="preserve">daglige eller ugentlige tvangsbøder, hvis de ikke i rette tid efterkommer et påbud meddelt i medfør af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bCs/>
          <w:sz w:val="24"/>
          <w:szCs w:val="24"/>
        </w:rPr>
        <w:instrText xml:space="preserve"> REF _Ref239151441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bCs/>
          <w:sz w:val="24"/>
          <w:szCs w:val="24"/>
        </w:rPr>
        <w:t>§ 63</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_Ref243936799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_Ref237008164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1. pkt.,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_Ref237008164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4, eller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_Ref239151453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66</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stk. 2, 2. pkt.</w:t>
      </w:r>
      <w:r w:rsidRPr="00B27F8F">
        <w:rPr>
          <w:rFonts w:ascii="Times New Roman" w:eastAsia="Calibri" w:hAnsi="Times New Roman" w:cs="Times New Roman"/>
          <w:bCs/>
          <w:sz w:val="24"/>
          <w:szCs w:val="24"/>
        </w:rPr>
        <w:t xml:space="preserve"> Finanstilsynet kan endvidere som tvangsmiddel pålægge personer eller virksomheder, som nævnt i</w:t>
      </w:r>
      <w:r w:rsidRPr="00B27F8F">
        <w:rPr>
          <w:rFonts w:ascii="Times New Roman" w:eastAsia="Calibri" w:hAnsi="Times New Roman" w:cs="Times New Roman"/>
          <w:sz w:val="24"/>
          <w:szCs w:val="24"/>
        </w:rPr>
        <w:t xml:space="preserve">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_Ref232592818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nr. 11 og 19</w:t>
      </w:r>
      <w:r w:rsidRPr="00B27F8F">
        <w:rPr>
          <w:rFonts w:ascii="Times New Roman" w:hAnsi="Times New Roman" w:cs="Times New Roman"/>
          <w:sz w:val="24"/>
          <w:szCs w:val="24"/>
        </w:rPr>
        <w:t xml:space="preserve">, </w:t>
      </w:r>
      <w:r w:rsidRPr="00B27F8F">
        <w:rPr>
          <w:rFonts w:ascii="Times New Roman" w:eastAsia="Calibri" w:hAnsi="Times New Roman" w:cs="Times New Roman"/>
          <w:sz w:val="24"/>
          <w:szCs w:val="24"/>
        </w:rPr>
        <w:t xml:space="preserve">daglige eller ugentlige tvangsbøder, hvis de ikke i rette tid efterkommer et påbud meddelt i medfør af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_Ref237008164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stk. 2, 1. pkt., eller stk. 3, 1. pkt.</w:t>
      </w:r>
    </w:p>
    <w:p w14:paraId="4EEAE715" w14:textId="77777777" w:rsidR="00FE25BF" w:rsidRPr="00B27F8F" w:rsidRDefault="00FE25BF" w:rsidP="00FE25BF">
      <w:pPr>
        <w:spacing w:line="360" w:lineRule="auto"/>
        <w:rPr>
          <w:rFonts w:ascii="Times New Roman" w:eastAsia="Calibri" w:hAnsi="Times New Roman" w:cs="Times New Roman"/>
          <w:sz w:val="24"/>
          <w:szCs w:val="24"/>
        </w:rPr>
      </w:pPr>
    </w:p>
    <w:p w14:paraId="24AFE227" w14:textId="006A3261"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Det foreslåede medfører, en valutavekslingsvirksomhed, en crowdfundigformidler eller et finansielt holdingselskab med blandet aktivitet, kan pålægges daglige eller ugentlige tvangsbøder, når disse ikke efterkommer et</w:t>
      </w:r>
      <w:r w:rsidRPr="00B27F8F">
        <w:rPr>
          <w:rFonts w:ascii="Times New Roman" w:hAnsi="Times New Roman" w:cs="Times New Roman"/>
          <w:sz w:val="24"/>
          <w:szCs w:val="24"/>
        </w:rPr>
        <w:t xml:space="preserve"> </w:t>
      </w:r>
      <w:r w:rsidRPr="00B27F8F">
        <w:rPr>
          <w:rFonts w:ascii="Times New Roman" w:eastAsia="Calibri" w:hAnsi="Times New Roman" w:cs="Times New Roman"/>
          <w:sz w:val="24"/>
          <w:szCs w:val="24"/>
        </w:rPr>
        <w:t xml:space="preserve">påbud meddelt i medfør af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_Ref239151441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63</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_Ref243936799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eller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_Ref237008164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4. Det foreslåede indebærer det samme som anført under stk. 2, for så vidt angår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_Ref239151441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63</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_Ref243936799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eller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_Ref237008164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stk. 4.</w:t>
      </w:r>
    </w:p>
    <w:p w14:paraId="0A83BDA0" w14:textId="77777777" w:rsidR="00FE25BF" w:rsidRPr="00B27F8F" w:rsidRDefault="00FE25BF" w:rsidP="00FE25BF">
      <w:pPr>
        <w:spacing w:line="360" w:lineRule="auto"/>
        <w:rPr>
          <w:rFonts w:ascii="Times New Roman" w:eastAsia="Calibri" w:hAnsi="Times New Roman" w:cs="Times New Roman"/>
          <w:sz w:val="24"/>
          <w:szCs w:val="24"/>
        </w:rPr>
      </w:pPr>
    </w:p>
    <w:p w14:paraId="7B0E533A" w14:textId="160E441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Det foreslåede indebærer, en valutavekslingsvirksomhed eller et finansielt holdingselskab med blandet aktivitet, der ikke efterkommer påbud om at afsætte en person fra den øverste ledelse, hvis denne ikke lever op kravene til egnethed og hæderlighed, kan pålægges daglige eller ugentlige tvangsbøder. Tillige indebærer det foreslåede, at en crowdfundingformidler, der ikke efterkommer påbud om at afsætte en person fra den øverste ledelse, hvis denne ikke lever op kravene til hæderlighed, kan pålægges daglige eller ugentlige tvangsbøder. Et påbud om at afsætte en person fra den øverste ledelse gives efter lovforslagets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_Ref237008164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A35F52">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stk. 1, 1. pkt.,</w:t>
      </w:r>
      <w:r w:rsidRPr="00B27F8F">
        <w:rPr>
          <w:rFonts w:ascii="Times New Roman" w:hAnsi="Times New Roman" w:cs="Times New Roman"/>
          <w:sz w:val="24"/>
          <w:szCs w:val="24"/>
        </w:rPr>
        <w:t xml:space="preserve"> </w:t>
      </w:r>
      <w:r w:rsidRPr="00B27F8F">
        <w:rPr>
          <w:rFonts w:ascii="Times New Roman" w:eastAsia="Calibri" w:hAnsi="Times New Roman" w:cs="Times New Roman"/>
          <w:sz w:val="24"/>
          <w:szCs w:val="24"/>
        </w:rPr>
        <w:t xml:space="preserve">for nærmere om </w:t>
      </w:r>
      <w:r w:rsidR="00A35F52">
        <w:rPr>
          <w:rFonts w:ascii="Times New Roman" w:eastAsia="Calibri" w:hAnsi="Times New Roman" w:cs="Times New Roman"/>
          <w:sz w:val="24"/>
          <w:szCs w:val="24"/>
        </w:rPr>
        <w:fldChar w:fldCharType="begin"/>
      </w:r>
      <w:r w:rsidR="00A35F52">
        <w:rPr>
          <w:rFonts w:ascii="Times New Roman" w:eastAsia="Calibri" w:hAnsi="Times New Roman" w:cs="Times New Roman"/>
          <w:sz w:val="24"/>
          <w:szCs w:val="24"/>
        </w:rPr>
        <w:instrText xml:space="preserve"> REF _Ref237008164 \n \h </w:instrText>
      </w:r>
      <w:r w:rsidR="00A35F52">
        <w:rPr>
          <w:rFonts w:ascii="Times New Roman" w:eastAsia="Calibri" w:hAnsi="Times New Roman" w:cs="Times New Roman"/>
          <w:sz w:val="24"/>
          <w:szCs w:val="24"/>
        </w:rPr>
      </w:r>
      <w:r w:rsidR="00A35F52">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A35F52">
        <w:rPr>
          <w:rFonts w:ascii="Times New Roman" w:eastAsia="Calibri" w:hAnsi="Times New Roman" w:cs="Times New Roman"/>
          <w:sz w:val="24"/>
          <w:szCs w:val="24"/>
        </w:rPr>
        <w:fldChar w:fldCharType="end"/>
      </w:r>
      <w:r w:rsidR="00A35F52">
        <w:rPr>
          <w:rFonts w:ascii="Times New Roman" w:eastAsia="Calibri" w:hAnsi="Times New Roman" w:cs="Times New Roman"/>
          <w:sz w:val="24"/>
          <w:szCs w:val="24"/>
        </w:rPr>
        <w:t xml:space="preserve"> </w:t>
      </w:r>
      <w:r w:rsidRPr="00B27F8F">
        <w:rPr>
          <w:rFonts w:ascii="Times New Roman" w:eastAsia="Calibri" w:hAnsi="Times New Roman" w:cs="Times New Roman"/>
          <w:sz w:val="24"/>
          <w:szCs w:val="24"/>
        </w:rPr>
        <w:t>henvises til bemærkningerne herom.</w:t>
      </w:r>
    </w:p>
    <w:p w14:paraId="6F9BC96F" w14:textId="77777777" w:rsidR="00FE25BF" w:rsidRPr="00B27F8F" w:rsidRDefault="00FE25BF" w:rsidP="00FE25BF">
      <w:pPr>
        <w:spacing w:line="360" w:lineRule="auto"/>
        <w:rPr>
          <w:rFonts w:ascii="Times New Roman" w:eastAsia="Calibri" w:hAnsi="Times New Roman" w:cs="Times New Roman"/>
          <w:sz w:val="24"/>
          <w:szCs w:val="24"/>
        </w:rPr>
      </w:pPr>
    </w:p>
    <w:p w14:paraId="468BA0C8" w14:textId="101D2F62"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Dertil indebærer det foreslåede, at de omfattede virksomheder kan pålægges daglige eller ugentlige tvangsbøder, når disse ikke efterkommer et påbud om at følge bestemte retningslinjer efter </w:t>
      </w:r>
      <w:r w:rsidR="008453B3">
        <w:rPr>
          <w:rFonts w:ascii="Times New Roman" w:eastAsia="Calibri" w:hAnsi="Times New Roman" w:cs="Times New Roman"/>
          <w:sz w:val="24"/>
          <w:szCs w:val="24"/>
        </w:rPr>
        <w:fldChar w:fldCharType="begin"/>
      </w:r>
      <w:r w:rsidR="008453B3">
        <w:rPr>
          <w:rFonts w:ascii="Times New Roman" w:eastAsia="Calibri" w:hAnsi="Times New Roman" w:cs="Times New Roman"/>
          <w:sz w:val="24"/>
          <w:szCs w:val="24"/>
        </w:rPr>
        <w:instrText xml:space="preserve"> REF _Ref239151453 \n \h </w:instrText>
      </w:r>
      <w:r w:rsidR="008453B3">
        <w:rPr>
          <w:rFonts w:ascii="Times New Roman" w:eastAsia="Calibri" w:hAnsi="Times New Roman" w:cs="Times New Roman"/>
          <w:sz w:val="24"/>
          <w:szCs w:val="24"/>
        </w:rPr>
      </w:r>
      <w:r w:rsidR="008453B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66</w:t>
      </w:r>
      <w:r w:rsidR="008453B3">
        <w:rPr>
          <w:rFonts w:ascii="Times New Roman" w:eastAsia="Calibri" w:hAnsi="Times New Roman" w:cs="Times New Roman"/>
          <w:sz w:val="24"/>
          <w:szCs w:val="24"/>
        </w:rPr>
        <w:fldChar w:fldCharType="end"/>
      </w:r>
      <w:r w:rsidR="008453B3">
        <w:rPr>
          <w:rFonts w:ascii="Times New Roman" w:eastAsia="Calibri" w:hAnsi="Times New Roman" w:cs="Times New Roman"/>
          <w:sz w:val="24"/>
          <w:szCs w:val="24"/>
        </w:rPr>
        <w:t xml:space="preserve">, </w:t>
      </w:r>
      <w:r w:rsidRPr="00B27F8F">
        <w:rPr>
          <w:rFonts w:ascii="Times New Roman" w:eastAsia="Calibri" w:hAnsi="Times New Roman" w:cs="Times New Roman"/>
          <w:sz w:val="24"/>
          <w:szCs w:val="24"/>
        </w:rPr>
        <w:t xml:space="preserve">stk. 2, 2. pkt. For nærmere om </w:t>
      </w:r>
      <w:r w:rsidR="008453B3">
        <w:rPr>
          <w:rFonts w:ascii="Times New Roman" w:eastAsia="Calibri" w:hAnsi="Times New Roman" w:cs="Times New Roman"/>
          <w:sz w:val="24"/>
          <w:szCs w:val="24"/>
        </w:rPr>
        <w:fldChar w:fldCharType="begin"/>
      </w:r>
      <w:r w:rsidR="008453B3">
        <w:rPr>
          <w:rFonts w:ascii="Times New Roman" w:eastAsia="Calibri" w:hAnsi="Times New Roman" w:cs="Times New Roman"/>
          <w:sz w:val="24"/>
          <w:szCs w:val="24"/>
        </w:rPr>
        <w:instrText xml:space="preserve"> REF _Ref239151453 \n \h </w:instrText>
      </w:r>
      <w:r w:rsidR="008453B3">
        <w:rPr>
          <w:rFonts w:ascii="Times New Roman" w:eastAsia="Calibri" w:hAnsi="Times New Roman" w:cs="Times New Roman"/>
          <w:sz w:val="24"/>
          <w:szCs w:val="24"/>
        </w:rPr>
      </w:r>
      <w:r w:rsidR="008453B3">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66</w:t>
      </w:r>
      <w:r w:rsidR="008453B3">
        <w:rPr>
          <w:rFonts w:ascii="Times New Roman" w:eastAsia="Calibri" w:hAnsi="Times New Roman" w:cs="Times New Roman"/>
          <w:sz w:val="24"/>
          <w:szCs w:val="24"/>
        </w:rPr>
        <w:fldChar w:fldCharType="end"/>
      </w:r>
      <w:r w:rsidR="008453B3">
        <w:rPr>
          <w:rFonts w:ascii="Times New Roman" w:eastAsia="Calibri" w:hAnsi="Times New Roman" w:cs="Times New Roman"/>
          <w:sz w:val="24"/>
          <w:szCs w:val="24"/>
        </w:rPr>
        <w:t xml:space="preserve"> </w:t>
      </w:r>
      <w:r w:rsidRPr="00B27F8F">
        <w:rPr>
          <w:rFonts w:ascii="Times New Roman" w:eastAsia="Calibri" w:hAnsi="Times New Roman" w:cs="Times New Roman"/>
          <w:sz w:val="24"/>
          <w:szCs w:val="24"/>
        </w:rPr>
        <w:t>henvises til bemærkningerne herom.</w:t>
      </w:r>
    </w:p>
    <w:p w14:paraId="75A4036D" w14:textId="77777777" w:rsidR="00FE25BF" w:rsidRPr="00B27F8F" w:rsidRDefault="00FE25BF" w:rsidP="00FE25BF">
      <w:pPr>
        <w:spacing w:line="360" w:lineRule="auto"/>
        <w:rPr>
          <w:rFonts w:ascii="Times New Roman" w:eastAsia="Calibri" w:hAnsi="Times New Roman" w:cs="Times New Roman"/>
          <w:sz w:val="24"/>
          <w:szCs w:val="24"/>
        </w:rPr>
      </w:pPr>
    </w:p>
    <w:p w14:paraId="30246695" w14:textId="060E386F"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Det foreslåede indebærer desuden, at Finanstilsynet kan pålægge en valutavekslingsvirksomhed eller et finansielt holdingselskab med blandet aktivitet, daglige eller ugentlige tvangsbøder, når disse ikke efterkommer et påbud om</w:t>
      </w:r>
      <w:r w:rsidRPr="00B27F8F">
        <w:rPr>
          <w:rFonts w:ascii="Times New Roman" w:eastAsia="Calibri" w:hAnsi="Times New Roman" w:cs="Times New Roman"/>
          <w:iCs/>
          <w:sz w:val="24"/>
          <w:szCs w:val="24"/>
        </w:rPr>
        <w:t xml:space="preserve"> midlertidigt at afsætte en person fra den øverste ledelse, når der er rejst tiltale mod den pågældende i en straffesag om overtrædelse af straffeloven, den finansielle lovgivning eller anden relevant lovgivning, indtil straffesagen er afgjort, hvis domfældelse vil indebære, at personen fra den øverste ledelse, herunder direktør eller medlem af bestyrelsen, ikke opfylder kravene i </w:t>
      </w:r>
      <w:r w:rsidR="008453B3">
        <w:rPr>
          <w:rFonts w:ascii="Times New Roman" w:hAnsi="Times New Roman" w:cs="Times New Roman"/>
          <w:iCs/>
          <w:sz w:val="24"/>
          <w:szCs w:val="24"/>
        </w:rPr>
        <w:fldChar w:fldCharType="begin"/>
      </w:r>
      <w:r w:rsidR="008453B3">
        <w:rPr>
          <w:rFonts w:ascii="Times New Roman" w:eastAsia="Calibri" w:hAnsi="Times New Roman" w:cs="Times New Roman"/>
          <w:iCs/>
          <w:sz w:val="24"/>
          <w:szCs w:val="24"/>
        </w:rPr>
        <w:instrText xml:space="preserve"> REF _Ref232596808 \n \h </w:instrText>
      </w:r>
      <w:r w:rsidR="008453B3">
        <w:rPr>
          <w:rFonts w:ascii="Times New Roman" w:hAnsi="Times New Roman" w:cs="Times New Roman"/>
          <w:iCs/>
          <w:sz w:val="24"/>
          <w:szCs w:val="24"/>
        </w:rPr>
      </w:r>
      <w:r w:rsidR="008453B3">
        <w:rPr>
          <w:rFonts w:ascii="Times New Roman" w:hAnsi="Times New Roman" w:cs="Times New Roman"/>
          <w:iCs/>
          <w:sz w:val="24"/>
          <w:szCs w:val="24"/>
        </w:rPr>
        <w:fldChar w:fldCharType="separate"/>
      </w:r>
      <w:r w:rsidR="008F29E5">
        <w:rPr>
          <w:rFonts w:ascii="Times New Roman" w:eastAsia="Calibri" w:hAnsi="Times New Roman" w:cs="Times New Roman"/>
          <w:iCs/>
          <w:sz w:val="24"/>
          <w:szCs w:val="24"/>
        </w:rPr>
        <w:t>§ 45</w:t>
      </w:r>
      <w:r w:rsidR="008453B3">
        <w:rPr>
          <w:rFonts w:ascii="Times New Roman" w:hAnsi="Times New Roman" w:cs="Times New Roman"/>
          <w:iCs/>
          <w:sz w:val="24"/>
          <w:szCs w:val="24"/>
        </w:rPr>
        <w:fldChar w:fldCharType="end"/>
      </w:r>
      <w:r w:rsidRPr="00B27F8F">
        <w:rPr>
          <w:rFonts w:ascii="Times New Roman" w:hAnsi="Times New Roman" w:cs="Times New Roman"/>
          <w:iCs/>
          <w:sz w:val="24"/>
          <w:szCs w:val="24"/>
        </w:rPr>
        <w:t>,</w:t>
      </w:r>
      <w:r w:rsidRPr="00B27F8F">
        <w:rPr>
          <w:rFonts w:ascii="Times New Roman" w:eastAsia="Calibri" w:hAnsi="Times New Roman" w:cs="Times New Roman"/>
          <w:iCs/>
          <w:sz w:val="24"/>
          <w:szCs w:val="24"/>
        </w:rPr>
        <w:t xml:space="preserve"> stk. 1, nr. 3, samt </w:t>
      </w:r>
      <w:r w:rsidR="008453B3">
        <w:rPr>
          <w:rFonts w:ascii="Times New Roman" w:hAnsi="Times New Roman" w:cs="Times New Roman"/>
          <w:iCs/>
          <w:sz w:val="24"/>
          <w:szCs w:val="24"/>
        </w:rPr>
        <w:fldChar w:fldCharType="begin"/>
      </w:r>
      <w:r w:rsidR="008453B3">
        <w:rPr>
          <w:rFonts w:ascii="Times New Roman" w:eastAsia="Calibri" w:hAnsi="Times New Roman" w:cs="Times New Roman"/>
          <w:iCs/>
          <w:sz w:val="24"/>
          <w:szCs w:val="24"/>
        </w:rPr>
        <w:instrText xml:space="preserve"> REF _Ref243927795 \n \h </w:instrText>
      </w:r>
      <w:r w:rsidR="008453B3">
        <w:rPr>
          <w:rFonts w:ascii="Times New Roman" w:hAnsi="Times New Roman" w:cs="Times New Roman"/>
          <w:iCs/>
          <w:sz w:val="24"/>
          <w:szCs w:val="24"/>
        </w:rPr>
      </w:r>
      <w:r w:rsidR="008453B3">
        <w:rPr>
          <w:rFonts w:ascii="Times New Roman" w:hAnsi="Times New Roman" w:cs="Times New Roman"/>
          <w:iCs/>
          <w:sz w:val="24"/>
          <w:szCs w:val="24"/>
        </w:rPr>
        <w:fldChar w:fldCharType="separate"/>
      </w:r>
      <w:r w:rsidR="008F29E5">
        <w:rPr>
          <w:rFonts w:ascii="Times New Roman" w:eastAsia="Calibri" w:hAnsi="Times New Roman" w:cs="Times New Roman"/>
          <w:iCs/>
          <w:sz w:val="24"/>
          <w:szCs w:val="24"/>
        </w:rPr>
        <w:t>§ 51</w:t>
      </w:r>
      <w:r w:rsidR="008453B3">
        <w:rPr>
          <w:rFonts w:ascii="Times New Roman" w:hAnsi="Times New Roman" w:cs="Times New Roman"/>
          <w:iCs/>
          <w:sz w:val="24"/>
          <w:szCs w:val="24"/>
        </w:rPr>
        <w:fldChar w:fldCharType="end"/>
      </w:r>
      <w:r w:rsidRPr="00B27F8F">
        <w:rPr>
          <w:rFonts w:ascii="Times New Roman" w:eastAsia="Calibri" w:hAnsi="Times New Roman" w:cs="Times New Roman"/>
          <w:iCs/>
          <w:sz w:val="24"/>
          <w:szCs w:val="24"/>
        </w:rPr>
        <w:t xml:space="preserve">, stk. 1 og stk. 3, nr. 2. Det foreslåede indebærer tilsvarende det samme, når en valutavekslingsvirksomhed eller et finansielt holdingselskab med blandet aktivitet, ikke efterkommer et påbud om midlertidigt at afsætte en person fra den øverste ledelse, hvis vedkommende ikke besidder den viden og ekspertise, der er nødvendig for at bestride stillingen. </w:t>
      </w:r>
      <w:r w:rsidRPr="00B27F8F">
        <w:rPr>
          <w:rFonts w:ascii="Times New Roman" w:eastAsia="Calibri" w:hAnsi="Times New Roman" w:cs="Times New Roman"/>
          <w:sz w:val="24"/>
          <w:szCs w:val="24"/>
        </w:rPr>
        <w:t xml:space="preserve">Et påbud om midlertidigt at afsætte en person fra den øverste ledelse gives efter lovforslagets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_Ref237008164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2, 1. pkt., eller stk. 3, 1. pkt., for nærmere om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_Ref237008164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19112C">
        <w:rPr>
          <w:rFonts w:ascii="Times New Roman" w:eastAsia="Calibri" w:hAnsi="Times New Roman" w:cs="Times New Roman"/>
          <w:sz w:val="24"/>
          <w:szCs w:val="24"/>
        </w:rPr>
        <w:fldChar w:fldCharType="end"/>
      </w:r>
      <w:r w:rsidR="0019112C">
        <w:rPr>
          <w:rFonts w:ascii="Times New Roman" w:eastAsia="Calibri" w:hAnsi="Times New Roman" w:cs="Times New Roman"/>
          <w:sz w:val="24"/>
          <w:szCs w:val="24"/>
        </w:rPr>
        <w:t xml:space="preserve"> </w:t>
      </w:r>
      <w:r w:rsidRPr="00B27F8F">
        <w:rPr>
          <w:rFonts w:ascii="Times New Roman" w:eastAsia="Calibri" w:hAnsi="Times New Roman" w:cs="Times New Roman"/>
          <w:sz w:val="24"/>
          <w:szCs w:val="24"/>
        </w:rPr>
        <w:t>henvises til bemærkningerne herom.</w:t>
      </w:r>
    </w:p>
    <w:p w14:paraId="7F8030E0" w14:textId="77777777" w:rsidR="00FE25BF" w:rsidRPr="00B27F8F" w:rsidRDefault="00FE25BF" w:rsidP="00FE25BF">
      <w:pPr>
        <w:spacing w:line="360" w:lineRule="auto"/>
        <w:rPr>
          <w:rFonts w:ascii="Times New Roman" w:eastAsia="Calibri" w:hAnsi="Times New Roman" w:cs="Times New Roman"/>
          <w:sz w:val="24"/>
          <w:szCs w:val="24"/>
        </w:rPr>
      </w:pPr>
    </w:p>
    <w:p w14:paraId="73DFFDE7" w14:textId="510197C4"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bCs/>
          <w:sz w:val="24"/>
          <w:szCs w:val="24"/>
        </w:rPr>
        <w:t xml:space="preserve">Det foreslås i </w:t>
      </w:r>
      <w:r w:rsidRPr="00B27F8F">
        <w:rPr>
          <w:rFonts w:ascii="Times New Roman" w:eastAsia="Calibri" w:hAnsi="Times New Roman" w:cs="Times New Roman"/>
          <w:bCs/>
          <w:i/>
          <w:iCs/>
          <w:sz w:val="24"/>
          <w:szCs w:val="24"/>
        </w:rPr>
        <w:t xml:space="preserve">stk. 5, </w:t>
      </w:r>
      <w:r w:rsidRPr="00B27F8F">
        <w:rPr>
          <w:rFonts w:ascii="Times New Roman" w:eastAsia="Calibri" w:hAnsi="Times New Roman" w:cs="Times New Roman"/>
          <w:bCs/>
          <w:sz w:val="24"/>
          <w:szCs w:val="24"/>
        </w:rPr>
        <w:t>at</w:t>
      </w:r>
      <w:r w:rsidRPr="00B27F8F">
        <w:rPr>
          <w:rFonts w:ascii="Times New Roman" w:eastAsia="Calibri" w:hAnsi="Times New Roman" w:cs="Times New Roman"/>
          <w:bCs/>
          <w:i/>
          <w:iCs/>
          <w:sz w:val="24"/>
          <w:szCs w:val="24"/>
        </w:rPr>
        <w:t xml:space="preserve"> </w:t>
      </w:r>
      <w:r w:rsidRPr="00B27F8F">
        <w:rPr>
          <w:rFonts w:ascii="Times New Roman" w:eastAsia="Calibri" w:hAnsi="Times New Roman" w:cs="Times New Roman"/>
          <w:bCs/>
          <w:sz w:val="24"/>
          <w:szCs w:val="24"/>
        </w:rPr>
        <w:t>Finanstilsynet som tvangsmiddel kan pålægge personer eller virksomheder, som nævnt i</w:t>
      </w:r>
      <w:r w:rsidRPr="00B27F8F">
        <w:rPr>
          <w:rFonts w:ascii="Times New Roman" w:eastAsia="Calibri" w:hAnsi="Times New Roman" w:cs="Times New Roman"/>
          <w:sz w:val="24"/>
          <w:szCs w:val="24"/>
        </w:rPr>
        <w:t xml:space="preserve">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_Ref232592818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19112C">
        <w:rPr>
          <w:rFonts w:ascii="Times New Roman" w:eastAsia="Calibri" w:hAnsi="Times New Roman" w:cs="Times New Roman"/>
          <w:sz w:val="24"/>
          <w:szCs w:val="24"/>
        </w:rPr>
        <w:fldChar w:fldCharType="end"/>
      </w:r>
      <w:r w:rsidR="0019112C">
        <w:rPr>
          <w:rFonts w:ascii="Times New Roman" w:eastAsia="Calibri" w:hAnsi="Times New Roman" w:cs="Times New Roman"/>
          <w:sz w:val="24"/>
          <w:szCs w:val="24"/>
        </w:rPr>
        <w:t xml:space="preserve">, </w:t>
      </w:r>
      <w:r w:rsidRPr="00B27F8F">
        <w:rPr>
          <w:rFonts w:ascii="Times New Roman" w:eastAsia="Calibri" w:hAnsi="Times New Roman" w:cs="Times New Roman"/>
          <w:sz w:val="24"/>
          <w:szCs w:val="24"/>
        </w:rPr>
        <w:t xml:space="preserve">nr. 32, litra a, </w:t>
      </w:r>
      <w:r w:rsidRPr="00B27F8F">
        <w:rPr>
          <w:rFonts w:ascii="Times New Roman" w:eastAsia="Calibri" w:hAnsi="Times New Roman" w:cs="Times New Roman"/>
          <w:bCs/>
          <w:sz w:val="24"/>
          <w:szCs w:val="24"/>
        </w:rPr>
        <w:t xml:space="preserve">daglige eller ugentlige tvangsbøder, hvis de ikke i rette tid efterkommer et påbud meddelt i medfør af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bCs/>
          <w:sz w:val="24"/>
          <w:szCs w:val="24"/>
        </w:rPr>
        <w:instrText xml:space="preserve"> REF _Ref239151441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bCs/>
          <w:sz w:val="24"/>
          <w:szCs w:val="24"/>
        </w:rPr>
        <w:t>§ 63</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_Ref243936799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eller 2,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_Ref237008164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stk. 1, 1. pkt., eller stk. 4.</w:t>
      </w:r>
    </w:p>
    <w:p w14:paraId="731C82EC" w14:textId="77777777" w:rsidR="00FE25BF" w:rsidRPr="00B27F8F" w:rsidRDefault="00FE25BF" w:rsidP="00FE25BF">
      <w:pPr>
        <w:spacing w:line="360" w:lineRule="auto"/>
        <w:rPr>
          <w:rFonts w:ascii="Times New Roman" w:eastAsia="Calibri" w:hAnsi="Times New Roman" w:cs="Times New Roman"/>
          <w:sz w:val="24"/>
          <w:szCs w:val="24"/>
        </w:rPr>
      </w:pPr>
    </w:p>
    <w:p w14:paraId="27D78941" w14:textId="5396FE86"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Det foreslåede medfører, at et ikkefinansielt holdingselskab med blandet aktivitet, når selskabet har et datterselskab, der udøver virksomhed som crowdfundingtjenesteudbyder eller crowdfunding formidler, kan pålægges daglige eller ugentlige tvangsbøder, når selskabet ikke efterkommer et</w:t>
      </w:r>
      <w:r w:rsidRPr="00B27F8F">
        <w:rPr>
          <w:rFonts w:ascii="Times New Roman" w:hAnsi="Times New Roman" w:cs="Times New Roman"/>
          <w:sz w:val="24"/>
          <w:szCs w:val="24"/>
        </w:rPr>
        <w:t xml:space="preserve"> </w:t>
      </w:r>
      <w:r w:rsidRPr="00B27F8F">
        <w:rPr>
          <w:rFonts w:ascii="Times New Roman" w:eastAsia="Calibri" w:hAnsi="Times New Roman" w:cs="Times New Roman"/>
          <w:sz w:val="24"/>
          <w:szCs w:val="24"/>
        </w:rPr>
        <w:t xml:space="preserve">påbud meddelt i medfør af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_Ref239151441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63</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_Ref243936799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eller 2,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_Ref237008164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1. pkt., eller stk. 4. For pålæggelse af tvangsbøder, når et påbud ikke efterkommes efter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_Ref239151441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63</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_Ref243936799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64</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eller 2,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_Ref237008164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1. pkt., gælder samme som anført under stk. 2 og stk. 4. </w:t>
      </w:r>
    </w:p>
    <w:p w14:paraId="12B93D49" w14:textId="77777777" w:rsidR="00FE25BF" w:rsidRPr="00B27F8F" w:rsidRDefault="00FE25BF" w:rsidP="00FE25BF">
      <w:pPr>
        <w:spacing w:line="360" w:lineRule="auto"/>
        <w:rPr>
          <w:rFonts w:ascii="Times New Roman" w:eastAsia="Calibri" w:hAnsi="Times New Roman" w:cs="Times New Roman"/>
          <w:bCs/>
          <w:i/>
          <w:iCs/>
          <w:sz w:val="24"/>
          <w:szCs w:val="24"/>
        </w:rPr>
      </w:pPr>
    </w:p>
    <w:p w14:paraId="6770D59C" w14:textId="367AC1ED"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bCs/>
          <w:sz w:val="24"/>
          <w:szCs w:val="24"/>
        </w:rPr>
        <w:t xml:space="preserve">Det foreslås i </w:t>
      </w:r>
      <w:r w:rsidRPr="00B27F8F">
        <w:rPr>
          <w:rFonts w:ascii="Times New Roman" w:eastAsia="Calibri" w:hAnsi="Times New Roman" w:cs="Times New Roman"/>
          <w:bCs/>
          <w:i/>
          <w:iCs/>
          <w:sz w:val="24"/>
          <w:szCs w:val="24"/>
        </w:rPr>
        <w:t>stk. 6</w:t>
      </w:r>
      <w:r w:rsidRPr="00B27F8F">
        <w:rPr>
          <w:rFonts w:ascii="Times New Roman" w:eastAsia="Calibri" w:hAnsi="Times New Roman" w:cs="Times New Roman"/>
          <w:bCs/>
          <w:sz w:val="24"/>
          <w:szCs w:val="24"/>
        </w:rPr>
        <w:t>, at</w:t>
      </w:r>
      <w:r w:rsidRPr="00B27F8F">
        <w:rPr>
          <w:rFonts w:ascii="Times New Roman" w:eastAsia="Calibri" w:hAnsi="Times New Roman" w:cs="Times New Roman"/>
          <w:bCs/>
          <w:i/>
          <w:iCs/>
          <w:sz w:val="24"/>
          <w:szCs w:val="24"/>
        </w:rPr>
        <w:t xml:space="preserve"> </w:t>
      </w:r>
      <w:r w:rsidRPr="00B27F8F">
        <w:rPr>
          <w:rFonts w:ascii="Times New Roman" w:eastAsia="Calibri" w:hAnsi="Times New Roman" w:cs="Times New Roman"/>
          <w:bCs/>
          <w:sz w:val="24"/>
          <w:szCs w:val="24"/>
        </w:rPr>
        <w:t xml:space="preserve">Finanstilsynet som tvangsmiddel kan pålægge fysiske personer, daglige eller ugentlige tvangsbøder, hvis de ikke i rette tid efterkommer et påbud meddelt i medfør af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bCs/>
          <w:sz w:val="24"/>
          <w:szCs w:val="24"/>
        </w:rPr>
        <w:instrText xml:space="preserve"> REF _Ref237008164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bCs/>
          <w:sz w:val="24"/>
          <w:szCs w:val="24"/>
        </w:rPr>
        <w:t>§ 65</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2. pkt., stk. 2, 2. pkt., stk. 3, 2. pkt., eller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_Ref239151453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66</w:t>
      </w:r>
      <w:r w:rsidR="0019112C">
        <w:rPr>
          <w:rFonts w:ascii="Times New Roman" w:eastAsia="Calibri" w:hAnsi="Times New Roman" w:cs="Times New Roman"/>
          <w:sz w:val="24"/>
          <w:szCs w:val="24"/>
        </w:rPr>
        <w:fldChar w:fldCharType="end"/>
      </w:r>
      <w:r w:rsidR="0019112C">
        <w:rPr>
          <w:rFonts w:ascii="Times New Roman" w:eastAsia="Calibri" w:hAnsi="Times New Roman" w:cs="Times New Roman"/>
          <w:sz w:val="24"/>
          <w:szCs w:val="24"/>
        </w:rPr>
        <w:t xml:space="preserve">, </w:t>
      </w:r>
      <w:r w:rsidRPr="00B27F8F">
        <w:rPr>
          <w:rFonts w:ascii="Times New Roman" w:eastAsia="Calibri" w:hAnsi="Times New Roman" w:cs="Times New Roman"/>
          <w:sz w:val="24"/>
          <w:szCs w:val="24"/>
        </w:rPr>
        <w:t>stk. 1.</w:t>
      </w:r>
    </w:p>
    <w:p w14:paraId="6EBFB56F" w14:textId="77777777" w:rsidR="00FE25BF" w:rsidRPr="00B27F8F" w:rsidRDefault="00FE25BF" w:rsidP="00FE25BF">
      <w:pPr>
        <w:spacing w:line="360" w:lineRule="auto"/>
        <w:rPr>
          <w:rFonts w:ascii="Times New Roman" w:eastAsia="Calibri" w:hAnsi="Times New Roman" w:cs="Times New Roman"/>
          <w:sz w:val="24"/>
          <w:szCs w:val="24"/>
        </w:rPr>
      </w:pPr>
    </w:p>
    <w:p w14:paraId="4BA05584" w14:textId="2B069596"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Det foreslåede indebærer, at et medlem af bestyrelsen i virksomheder omfattet af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_Ref232592818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2</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nr. 11, 14, 19 og 32, litra a, der ikke efterkommer et påbud om at nedlægge sit hverv efter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_Ref237008164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1, 2. pkt., kan pålægges daglige eller ugentlige tvangsbøder. Det foreslåede indebærer desuden, at et medlem af bestyrelsen i en valutavekslingsvirksomhed eller et finansielt holdingselskab med blandet aktivitet, der ikke efterkommer et påbud om midlertidigt at nedlægge sit hverv efter </w:t>
      </w:r>
      <w:r w:rsidR="0019112C">
        <w:rPr>
          <w:rFonts w:ascii="Times New Roman" w:eastAsia="Calibri" w:hAnsi="Times New Roman" w:cs="Times New Roman"/>
          <w:sz w:val="24"/>
          <w:szCs w:val="24"/>
        </w:rPr>
        <w:fldChar w:fldCharType="begin"/>
      </w:r>
      <w:r w:rsidR="0019112C">
        <w:rPr>
          <w:rFonts w:ascii="Times New Roman" w:eastAsia="Calibri" w:hAnsi="Times New Roman" w:cs="Times New Roman"/>
          <w:sz w:val="24"/>
          <w:szCs w:val="24"/>
        </w:rPr>
        <w:instrText xml:space="preserve"> REF _Ref237008164 \n \h </w:instrText>
      </w:r>
      <w:r w:rsidR="0019112C">
        <w:rPr>
          <w:rFonts w:ascii="Times New Roman" w:eastAsia="Calibri" w:hAnsi="Times New Roman" w:cs="Times New Roman"/>
          <w:sz w:val="24"/>
          <w:szCs w:val="24"/>
        </w:rPr>
      </w:r>
      <w:r w:rsidR="0019112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65</w:t>
      </w:r>
      <w:r w:rsidR="0019112C">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stk. 2, 2. pkt., stk. 3, 2. pkt., kan pålægges daglige eller ugentlige tvangsbøder. </w:t>
      </w:r>
      <w:r w:rsidRPr="00B27F8F">
        <w:rPr>
          <w:rFonts w:ascii="Times New Roman" w:hAnsi="Times New Roman" w:cs="Times New Roman"/>
          <w:sz w:val="24"/>
          <w:szCs w:val="24"/>
        </w:rPr>
        <w:t xml:space="preserve">For nærmere om påbud efter </w:t>
      </w:r>
      <w:r w:rsidR="0019112C">
        <w:rPr>
          <w:rFonts w:ascii="Times New Roman" w:hAnsi="Times New Roman" w:cs="Times New Roman"/>
          <w:sz w:val="24"/>
          <w:szCs w:val="24"/>
        </w:rPr>
        <w:fldChar w:fldCharType="begin"/>
      </w:r>
      <w:r w:rsidR="0019112C">
        <w:rPr>
          <w:rFonts w:ascii="Times New Roman" w:hAnsi="Times New Roman" w:cs="Times New Roman"/>
          <w:sz w:val="24"/>
          <w:szCs w:val="24"/>
        </w:rPr>
        <w:instrText xml:space="preserve"> REF _Ref237008164 \n \h </w:instrText>
      </w:r>
      <w:r w:rsidR="0019112C">
        <w:rPr>
          <w:rFonts w:ascii="Times New Roman" w:hAnsi="Times New Roman" w:cs="Times New Roman"/>
          <w:sz w:val="24"/>
          <w:szCs w:val="24"/>
        </w:rPr>
      </w:r>
      <w:r w:rsidR="0019112C">
        <w:rPr>
          <w:rFonts w:ascii="Times New Roman" w:hAnsi="Times New Roman" w:cs="Times New Roman"/>
          <w:sz w:val="24"/>
          <w:szCs w:val="24"/>
        </w:rPr>
        <w:fldChar w:fldCharType="separate"/>
      </w:r>
      <w:r w:rsidR="008F29E5">
        <w:rPr>
          <w:rFonts w:ascii="Times New Roman" w:hAnsi="Times New Roman" w:cs="Times New Roman"/>
          <w:sz w:val="24"/>
          <w:szCs w:val="24"/>
        </w:rPr>
        <w:t>§ 65</w:t>
      </w:r>
      <w:r w:rsidR="0019112C">
        <w:rPr>
          <w:rFonts w:ascii="Times New Roman" w:hAnsi="Times New Roman" w:cs="Times New Roman"/>
          <w:sz w:val="24"/>
          <w:szCs w:val="24"/>
        </w:rPr>
        <w:fldChar w:fldCharType="end"/>
      </w:r>
      <w:r w:rsidR="0019112C">
        <w:rPr>
          <w:rFonts w:ascii="Times New Roman" w:hAnsi="Times New Roman" w:cs="Times New Roman"/>
          <w:sz w:val="24"/>
          <w:szCs w:val="24"/>
        </w:rPr>
        <w:t xml:space="preserve"> </w:t>
      </w:r>
      <w:r w:rsidRPr="00B27F8F">
        <w:rPr>
          <w:rFonts w:ascii="Times New Roman" w:hAnsi="Times New Roman" w:cs="Times New Roman"/>
          <w:sz w:val="24"/>
          <w:szCs w:val="24"/>
        </w:rPr>
        <w:t>henvises til bemærkningerne herom.</w:t>
      </w:r>
    </w:p>
    <w:p w14:paraId="60FD7BE6" w14:textId="77777777" w:rsidR="00FE25BF" w:rsidRPr="00B27F8F" w:rsidRDefault="00FE25BF" w:rsidP="00FE25BF">
      <w:pPr>
        <w:spacing w:line="360" w:lineRule="auto"/>
        <w:rPr>
          <w:rFonts w:ascii="Times New Roman" w:eastAsia="Calibri" w:hAnsi="Times New Roman" w:cs="Times New Roman"/>
          <w:sz w:val="24"/>
          <w:szCs w:val="24"/>
        </w:rPr>
      </w:pPr>
    </w:p>
    <w:p w14:paraId="77870350" w14:textId="0796792B" w:rsidR="00FE25BF" w:rsidRPr="00B27F8F" w:rsidRDefault="00FE25BF" w:rsidP="00FE25BF">
      <w:pPr>
        <w:spacing w:after="240"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Det foreslåede indebærer endvidere, at en fysisk person, der ikke efterkommer et påbud om</w:t>
      </w:r>
      <w:r w:rsidRPr="00B27F8F">
        <w:rPr>
          <w:rFonts w:ascii="Times New Roman" w:hAnsi="Times New Roman" w:cs="Times New Roman"/>
          <w:sz w:val="24"/>
          <w:szCs w:val="24"/>
        </w:rPr>
        <w:t xml:space="preserve">, at ophøre med at udøve kontrol, herunder afhænde sine ejerandele helt eller delvist inden for en af Finanstilsynet fastsat frist, såfremt den pågældende ikke opfylder betingelserne i </w:t>
      </w:r>
      <w:r w:rsidR="0019112C">
        <w:rPr>
          <w:rFonts w:ascii="Times New Roman" w:hAnsi="Times New Roman" w:cs="Times New Roman"/>
          <w:sz w:val="24"/>
          <w:szCs w:val="24"/>
        </w:rPr>
        <w:fldChar w:fldCharType="begin"/>
      </w:r>
      <w:r w:rsidR="0019112C">
        <w:rPr>
          <w:rFonts w:ascii="Times New Roman" w:hAnsi="Times New Roman" w:cs="Times New Roman"/>
          <w:sz w:val="24"/>
          <w:szCs w:val="24"/>
        </w:rPr>
        <w:instrText xml:space="preserve"> REF _Ref232596808 \n \h </w:instrText>
      </w:r>
      <w:r w:rsidR="0019112C">
        <w:rPr>
          <w:rFonts w:ascii="Times New Roman" w:hAnsi="Times New Roman" w:cs="Times New Roman"/>
          <w:sz w:val="24"/>
          <w:szCs w:val="24"/>
        </w:rPr>
      </w:r>
      <w:r w:rsidR="0019112C">
        <w:rPr>
          <w:rFonts w:ascii="Times New Roman" w:hAnsi="Times New Roman" w:cs="Times New Roman"/>
          <w:sz w:val="24"/>
          <w:szCs w:val="24"/>
        </w:rPr>
        <w:fldChar w:fldCharType="separate"/>
      </w:r>
      <w:r w:rsidR="008F29E5">
        <w:rPr>
          <w:rFonts w:ascii="Times New Roman" w:hAnsi="Times New Roman" w:cs="Times New Roman"/>
          <w:sz w:val="24"/>
          <w:szCs w:val="24"/>
        </w:rPr>
        <w:t>§ 45</w:t>
      </w:r>
      <w:r w:rsidR="0019112C">
        <w:rPr>
          <w:rFonts w:ascii="Times New Roman" w:hAnsi="Times New Roman" w:cs="Times New Roman"/>
          <w:sz w:val="24"/>
          <w:szCs w:val="24"/>
        </w:rPr>
        <w:fldChar w:fldCharType="end"/>
      </w:r>
      <w:r w:rsidRPr="00B27F8F">
        <w:rPr>
          <w:rFonts w:ascii="Times New Roman" w:hAnsi="Times New Roman" w:cs="Times New Roman"/>
          <w:sz w:val="24"/>
          <w:szCs w:val="24"/>
        </w:rPr>
        <w:t xml:space="preserve">, stk. 1, og </w:t>
      </w:r>
      <w:r w:rsidR="0019112C">
        <w:rPr>
          <w:rFonts w:ascii="Times New Roman" w:hAnsi="Times New Roman" w:cs="Times New Roman"/>
          <w:sz w:val="24"/>
          <w:szCs w:val="24"/>
        </w:rPr>
        <w:fldChar w:fldCharType="begin"/>
      </w:r>
      <w:r w:rsidR="0019112C">
        <w:rPr>
          <w:rFonts w:ascii="Times New Roman" w:hAnsi="Times New Roman" w:cs="Times New Roman"/>
          <w:sz w:val="24"/>
          <w:szCs w:val="24"/>
        </w:rPr>
        <w:instrText xml:space="preserve"> REF _Ref243927795 \n \h </w:instrText>
      </w:r>
      <w:r w:rsidR="0019112C">
        <w:rPr>
          <w:rFonts w:ascii="Times New Roman" w:hAnsi="Times New Roman" w:cs="Times New Roman"/>
          <w:sz w:val="24"/>
          <w:szCs w:val="24"/>
        </w:rPr>
      </w:r>
      <w:r w:rsidR="0019112C">
        <w:rPr>
          <w:rFonts w:ascii="Times New Roman" w:hAnsi="Times New Roman" w:cs="Times New Roman"/>
          <w:sz w:val="24"/>
          <w:szCs w:val="24"/>
        </w:rPr>
        <w:fldChar w:fldCharType="separate"/>
      </w:r>
      <w:r w:rsidR="008F29E5">
        <w:rPr>
          <w:rFonts w:ascii="Times New Roman" w:hAnsi="Times New Roman" w:cs="Times New Roman"/>
          <w:sz w:val="24"/>
          <w:szCs w:val="24"/>
        </w:rPr>
        <w:t>§ 51</w:t>
      </w:r>
      <w:r w:rsidR="0019112C">
        <w:rPr>
          <w:rFonts w:ascii="Times New Roman" w:hAnsi="Times New Roman" w:cs="Times New Roman"/>
          <w:sz w:val="24"/>
          <w:szCs w:val="24"/>
        </w:rPr>
        <w:fldChar w:fldCharType="end"/>
      </w:r>
      <w:r w:rsidRPr="00B27F8F">
        <w:rPr>
          <w:rFonts w:ascii="Times New Roman" w:hAnsi="Times New Roman" w:cs="Times New Roman"/>
          <w:sz w:val="24"/>
          <w:szCs w:val="24"/>
        </w:rPr>
        <w:t xml:space="preserve">, stk. 1 og 3, kan pålægges daglige eller ugentlige tvangsbøder. Et påbud om at ophøre med at udøve kontrol gives efter lovforslagets </w:t>
      </w:r>
      <w:r w:rsidR="0019112C">
        <w:rPr>
          <w:rFonts w:ascii="Times New Roman" w:hAnsi="Times New Roman" w:cs="Times New Roman"/>
          <w:sz w:val="24"/>
          <w:szCs w:val="24"/>
        </w:rPr>
        <w:fldChar w:fldCharType="begin"/>
      </w:r>
      <w:r w:rsidR="0019112C">
        <w:rPr>
          <w:rFonts w:ascii="Times New Roman" w:hAnsi="Times New Roman" w:cs="Times New Roman"/>
          <w:sz w:val="24"/>
          <w:szCs w:val="24"/>
        </w:rPr>
        <w:instrText xml:space="preserve"> REF _Ref239151453 \n \h </w:instrText>
      </w:r>
      <w:r w:rsidR="0019112C">
        <w:rPr>
          <w:rFonts w:ascii="Times New Roman" w:hAnsi="Times New Roman" w:cs="Times New Roman"/>
          <w:sz w:val="24"/>
          <w:szCs w:val="24"/>
        </w:rPr>
      </w:r>
      <w:r w:rsidR="0019112C">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0019112C">
        <w:rPr>
          <w:rFonts w:ascii="Times New Roman" w:hAnsi="Times New Roman" w:cs="Times New Roman"/>
          <w:sz w:val="24"/>
          <w:szCs w:val="24"/>
        </w:rPr>
        <w:fldChar w:fldCharType="end"/>
      </w:r>
      <w:r w:rsidRPr="00B27F8F">
        <w:rPr>
          <w:rFonts w:ascii="Times New Roman" w:hAnsi="Times New Roman" w:cs="Times New Roman"/>
          <w:sz w:val="24"/>
          <w:szCs w:val="24"/>
        </w:rPr>
        <w:t xml:space="preserve">, stk. 1, for nærmere om </w:t>
      </w:r>
      <w:r w:rsidR="0019112C">
        <w:rPr>
          <w:rFonts w:ascii="Times New Roman" w:hAnsi="Times New Roman" w:cs="Times New Roman"/>
          <w:sz w:val="24"/>
          <w:szCs w:val="24"/>
        </w:rPr>
        <w:fldChar w:fldCharType="begin"/>
      </w:r>
      <w:r w:rsidR="0019112C">
        <w:rPr>
          <w:rFonts w:ascii="Times New Roman" w:hAnsi="Times New Roman" w:cs="Times New Roman"/>
          <w:sz w:val="24"/>
          <w:szCs w:val="24"/>
        </w:rPr>
        <w:instrText xml:space="preserve"> REF _Ref239151453 \n \h </w:instrText>
      </w:r>
      <w:r w:rsidR="0019112C">
        <w:rPr>
          <w:rFonts w:ascii="Times New Roman" w:hAnsi="Times New Roman" w:cs="Times New Roman"/>
          <w:sz w:val="24"/>
          <w:szCs w:val="24"/>
        </w:rPr>
      </w:r>
      <w:r w:rsidR="0019112C">
        <w:rPr>
          <w:rFonts w:ascii="Times New Roman" w:hAnsi="Times New Roman" w:cs="Times New Roman"/>
          <w:sz w:val="24"/>
          <w:szCs w:val="24"/>
        </w:rPr>
        <w:fldChar w:fldCharType="separate"/>
      </w:r>
      <w:r w:rsidR="008F29E5">
        <w:rPr>
          <w:rFonts w:ascii="Times New Roman" w:hAnsi="Times New Roman" w:cs="Times New Roman"/>
          <w:sz w:val="24"/>
          <w:szCs w:val="24"/>
        </w:rPr>
        <w:t>§ 66</w:t>
      </w:r>
      <w:r w:rsidR="0019112C">
        <w:rPr>
          <w:rFonts w:ascii="Times New Roman" w:hAnsi="Times New Roman" w:cs="Times New Roman"/>
          <w:sz w:val="24"/>
          <w:szCs w:val="24"/>
        </w:rPr>
        <w:fldChar w:fldCharType="end"/>
      </w:r>
      <w:r w:rsidR="0019112C">
        <w:rPr>
          <w:rFonts w:ascii="Times New Roman" w:hAnsi="Times New Roman" w:cs="Times New Roman"/>
          <w:sz w:val="24"/>
          <w:szCs w:val="24"/>
        </w:rPr>
        <w:t xml:space="preserve"> </w:t>
      </w:r>
      <w:r w:rsidRPr="00B27F8F">
        <w:rPr>
          <w:rFonts w:ascii="Times New Roman" w:hAnsi="Times New Roman" w:cs="Times New Roman"/>
          <w:sz w:val="24"/>
          <w:szCs w:val="24"/>
        </w:rPr>
        <w:t>henvises til bemærkningerne herom.</w:t>
      </w:r>
    </w:p>
    <w:p w14:paraId="11970F53" w14:textId="77777777" w:rsidR="00FE25BF" w:rsidRPr="00B27F8F" w:rsidRDefault="00FE25BF" w:rsidP="00FE25BF">
      <w:pPr>
        <w:spacing w:line="360" w:lineRule="auto"/>
        <w:rPr>
          <w:rFonts w:ascii="Times New Roman" w:eastAsia="Calibri" w:hAnsi="Times New Roman" w:cs="Times New Roman"/>
          <w:bCs/>
          <w:sz w:val="24"/>
          <w:szCs w:val="24"/>
        </w:rPr>
      </w:pPr>
      <w:r w:rsidRPr="00B27F8F">
        <w:rPr>
          <w:rFonts w:ascii="Times New Roman" w:eastAsia="Calibri" w:hAnsi="Times New Roman" w:cs="Times New Roman"/>
          <w:sz w:val="24"/>
          <w:szCs w:val="24"/>
        </w:rPr>
        <w:t xml:space="preserve">Det foreslås i </w:t>
      </w:r>
      <w:r w:rsidRPr="00B27F8F">
        <w:rPr>
          <w:rFonts w:ascii="Times New Roman" w:eastAsia="Calibri" w:hAnsi="Times New Roman" w:cs="Times New Roman"/>
          <w:bCs/>
          <w:i/>
          <w:iCs/>
          <w:sz w:val="24"/>
          <w:szCs w:val="24"/>
        </w:rPr>
        <w:t xml:space="preserve">stk. 7, </w:t>
      </w:r>
      <w:r w:rsidRPr="00B27F8F">
        <w:rPr>
          <w:rFonts w:ascii="Times New Roman" w:eastAsia="Calibri" w:hAnsi="Times New Roman" w:cs="Times New Roman"/>
          <w:bCs/>
          <w:sz w:val="24"/>
          <w:szCs w:val="24"/>
        </w:rPr>
        <w:t xml:space="preserve">at daglige tvangsbøder for virksomheder ikke må overstige 3 pct. af virksomhedens gennemsnitlige daglige omsætning i det foregående regnskabsår, eller for personer 2 pct. af personens gennemsnitlige daglige indtægt i det foregående kalenderår. </w:t>
      </w:r>
    </w:p>
    <w:p w14:paraId="6B338EFC" w14:textId="77777777" w:rsidR="00FE25BF" w:rsidRPr="00B27F8F" w:rsidRDefault="00FE25BF" w:rsidP="00FE25BF">
      <w:pPr>
        <w:spacing w:line="360" w:lineRule="auto"/>
        <w:rPr>
          <w:rFonts w:ascii="Times New Roman" w:eastAsia="Calibri" w:hAnsi="Times New Roman" w:cs="Times New Roman"/>
          <w:bCs/>
          <w:sz w:val="24"/>
          <w:szCs w:val="24"/>
        </w:rPr>
      </w:pPr>
    </w:p>
    <w:p w14:paraId="34013D5A" w14:textId="77777777" w:rsidR="00FE25BF" w:rsidRPr="00B27F8F" w:rsidRDefault="00FE25BF" w:rsidP="00FE25BF">
      <w:pPr>
        <w:spacing w:line="360" w:lineRule="auto"/>
        <w:rPr>
          <w:rFonts w:ascii="Times New Roman" w:eastAsia="Calibri" w:hAnsi="Times New Roman" w:cs="Times New Roman"/>
          <w:bCs/>
          <w:sz w:val="24"/>
          <w:szCs w:val="24"/>
        </w:rPr>
      </w:pPr>
      <w:r w:rsidRPr="00B27F8F">
        <w:rPr>
          <w:rFonts w:ascii="Times New Roman" w:eastAsia="Calibri" w:hAnsi="Times New Roman" w:cs="Times New Roman"/>
          <w:bCs/>
          <w:sz w:val="24"/>
          <w:szCs w:val="24"/>
        </w:rPr>
        <w:t>Det følger af præambelbetragtning nr. 106 i 6. hvidvaskdirektiv, at v</w:t>
      </w:r>
      <w:r w:rsidRPr="00B27F8F">
        <w:rPr>
          <w:rFonts w:ascii="Times New Roman" w:eastAsia="Calibri" w:hAnsi="Times New Roman" w:cs="Times New Roman"/>
          <w:sz w:val="24"/>
          <w:szCs w:val="24"/>
        </w:rPr>
        <w:t xml:space="preserve">ed beregning af tvangsbødernes størrelse bør tilsynsorganerne tage hensyn til personen eller virksomhedens samlede omsætning og typen og grovheden af den overtrædelse eller svaghed, som påbuddet er rettet mod, </w:t>
      </w:r>
      <w:r w:rsidRPr="00B27F8F">
        <w:rPr>
          <w:rFonts w:ascii="Times New Roman" w:eastAsia="Calibri" w:hAnsi="Times New Roman" w:cs="Times New Roman"/>
          <w:bCs/>
          <w:sz w:val="24"/>
          <w:szCs w:val="24"/>
        </w:rPr>
        <w:t xml:space="preserve">for at sikre dens effektivitet og proportionalitet. </w:t>
      </w:r>
    </w:p>
    <w:p w14:paraId="2E9B7D70" w14:textId="77777777" w:rsidR="00FE25BF" w:rsidRPr="00B27F8F" w:rsidRDefault="00FE25BF" w:rsidP="00FE25BF">
      <w:pPr>
        <w:spacing w:line="360" w:lineRule="auto"/>
        <w:rPr>
          <w:rFonts w:ascii="Times New Roman" w:eastAsia="Calibri" w:hAnsi="Times New Roman" w:cs="Times New Roman"/>
          <w:sz w:val="24"/>
          <w:szCs w:val="24"/>
        </w:rPr>
      </w:pPr>
    </w:p>
    <w:p w14:paraId="1E280011" w14:textId="77777777" w:rsidR="00FE25BF" w:rsidRPr="00B27F8F" w:rsidRDefault="00FE25BF" w:rsidP="00FE25BF">
      <w:pPr>
        <w:spacing w:line="360" w:lineRule="auto"/>
        <w:rPr>
          <w:rFonts w:ascii="Times New Roman" w:eastAsia="Calibri" w:hAnsi="Times New Roman" w:cs="Times New Roman"/>
          <w:bCs/>
          <w:sz w:val="24"/>
          <w:szCs w:val="24"/>
        </w:rPr>
      </w:pPr>
      <w:r w:rsidRPr="00B27F8F">
        <w:rPr>
          <w:rFonts w:ascii="Times New Roman" w:eastAsia="Calibri" w:hAnsi="Times New Roman" w:cs="Times New Roman"/>
          <w:bCs/>
          <w:sz w:val="24"/>
          <w:szCs w:val="24"/>
        </w:rPr>
        <w:t xml:space="preserve">Det foreslås i </w:t>
      </w:r>
      <w:r w:rsidRPr="00B27F8F">
        <w:rPr>
          <w:rFonts w:ascii="Times New Roman" w:eastAsia="Calibri" w:hAnsi="Times New Roman" w:cs="Times New Roman"/>
          <w:bCs/>
          <w:i/>
          <w:iCs/>
          <w:sz w:val="24"/>
          <w:szCs w:val="24"/>
        </w:rPr>
        <w:t>stk. 8.</w:t>
      </w:r>
      <w:r w:rsidRPr="00B27F8F">
        <w:rPr>
          <w:rFonts w:ascii="Times New Roman" w:eastAsia="Calibri" w:hAnsi="Times New Roman" w:cs="Times New Roman"/>
          <w:bCs/>
          <w:sz w:val="24"/>
          <w:szCs w:val="24"/>
        </w:rPr>
        <w:t>, at de i stk. 1-6</w:t>
      </w:r>
      <w:r w:rsidRPr="00B27F8F">
        <w:rPr>
          <w:rFonts w:ascii="Times New Roman" w:eastAsia="Calibri" w:hAnsi="Times New Roman" w:cs="Times New Roman"/>
          <w:bCs/>
          <w:i/>
          <w:iCs/>
          <w:sz w:val="24"/>
          <w:szCs w:val="24"/>
        </w:rPr>
        <w:t xml:space="preserve"> </w:t>
      </w:r>
      <w:r w:rsidRPr="00B27F8F">
        <w:rPr>
          <w:rFonts w:ascii="Times New Roman" w:eastAsia="Calibri" w:hAnsi="Times New Roman" w:cs="Times New Roman"/>
          <w:bCs/>
          <w:sz w:val="24"/>
          <w:szCs w:val="24"/>
        </w:rPr>
        <w:t>nævnte daglige eller ugentlige tvangsbøder kun må pålægges i en periode på højst 6 måneder efter meddelelse af Finanstilsynets afgørelse om daglige eller ugentlige tvangsbøder, dog kan Finanstilsynet pålægge daglige eller ugentlige tvangsbøder i en yderligere periode på højst 6 måneder, hvis personen eller virksomheden ved udløbet af de første 6 måneder endnu ikke har efterkommet påbuddet.</w:t>
      </w:r>
    </w:p>
    <w:p w14:paraId="7F973F80"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br/>
        <w:t>Af hensyn til formålet med tvangsbøder, om at presse en forpligtet enhed til at overholde en administrativ foranstaltning, bør disse være tidsbegrænsede og finde anvendelse i højst seks måneder, dog med mulighed for at forlænge med yderligere seks måneder. Finanstilsynet kan som alternativ til forlængelsen af tvangsbødeperioden overveje iværksættelse af andre reaktionsmuligheder.</w:t>
      </w:r>
    </w:p>
    <w:p w14:paraId="686BFB99" w14:textId="77777777" w:rsidR="00FE25BF" w:rsidRPr="00B27F8F" w:rsidRDefault="00FE25BF" w:rsidP="00FE25BF">
      <w:pPr>
        <w:spacing w:line="360" w:lineRule="auto"/>
        <w:rPr>
          <w:rFonts w:ascii="Times New Roman" w:eastAsia="Calibri" w:hAnsi="Times New Roman" w:cs="Times New Roman"/>
          <w:sz w:val="24"/>
          <w:szCs w:val="24"/>
        </w:rPr>
      </w:pPr>
    </w:p>
    <w:p w14:paraId="119FFE37" w14:textId="77777777" w:rsidR="00FE25BF" w:rsidRPr="00B27F8F" w:rsidRDefault="00FE25BF" w:rsidP="00FE25BF">
      <w:pPr>
        <w:spacing w:after="240" w:line="360" w:lineRule="auto"/>
        <w:rPr>
          <w:rFonts w:ascii="Times New Roman" w:eastAsia="Calibri" w:hAnsi="Times New Roman" w:cs="Times New Roman"/>
          <w:bCs/>
          <w:sz w:val="24"/>
          <w:szCs w:val="24"/>
        </w:rPr>
      </w:pPr>
      <w:r w:rsidRPr="00B27F8F">
        <w:rPr>
          <w:rFonts w:ascii="Times New Roman" w:eastAsia="Times New Roman" w:hAnsi="Times New Roman" w:cs="Times New Roman"/>
          <w:sz w:val="24"/>
          <w:szCs w:val="24"/>
        </w:rPr>
        <w:t>Pålægges tvangsbøden på et senere tidspunkt, kan tvangsbøden pålægges med tilbagevirkende kraft regnet fra udløbet af fristen for efterlevelse af påbuddet.</w:t>
      </w:r>
    </w:p>
    <w:p w14:paraId="41E85175"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Det foreslås i </w:t>
      </w:r>
      <w:r w:rsidRPr="00B27F8F">
        <w:rPr>
          <w:rFonts w:ascii="Times New Roman" w:eastAsia="Calibri" w:hAnsi="Times New Roman" w:cs="Times New Roman"/>
          <w:i/>
          <w:iCs/>
          <w:sz w:val="24"/>
          <w:szCs w:val="24"/>
        </w:rPr>
        <w:t>stk. 9</w:t>
      </w:r>
      <w:r w:rsidRPr="00B27F8F">
        <w:rPr>
          <w:rFonts w:ascii="Times New Roman" w:eastAsia="Calibri" w:hAnsi="Times New Roman" w:cs="Times New Roman"/>
          <w:sz w:val="24"/>
          <w:szCs w:val="24"/>
        </w:rPr>
        <w:t>, at Finanstilsynet ved vurderingen af, hvilket beløb der skal lægges til grund for beregningen af tvangsbøden skal tage hensyn til de faktorer, der er fastsat i regler udstedt i medfør af artikel 49 i AMLA-forordningen, jf. hvidvaskdirektivets artikel 53, stk. 10.</w:t>
      </w:r>
    </w:p>
    <w:p w14:paraId="0889C84E" w14:textId="77777777" w:rsidR="00FE25BF" w:rsidRPr="00B27F8F" w:rsidRDefault="00FE25BF" w:rsidP="00FE25BF">
      <w:pPr>
        <w:spacing w:line="360" w:lineRule="auto"/>
        <w:rPr>
          <w:rFonts w:ascii="Times New Roman" w:eastAsia="Calibri" w:hAnsi="Times New Roman" w:cs="Times New Roman"/>
          <w:sz w:val="24"/>
          <w:szCs w:val="24"/>
        </w:rPr>
      </w:pPr>
    </w:p>
    <w:p w14:paraId="67084614" w14:textId="77777777" w:rsidR="005B6A02" w:rsidRPr="00614C25" w:rsidRDefault="005B6A02" w:rsidP="005B6A02">
      <w:pPr>
        <w:spacing w:line="360" w:lineRule="auto"/>
        <w:rPr>
          <w:rFonts w:ascii="Times New Roman" w:hAnsi="Times New Roman" w:cs="Times New Roman"/>
          <w:sz w:val="24"/>
          <w:szCs w:val="24"/>
        </w:rPr>
      </w:pPr>
      <w:r w:rsidRPr="00614C25">
        <w:rPr>
          <w:rFonts w:ascii="Times New Roman" w:hAnsi="Times New Roman" w:cs="Times New Roman"/>
          <w:sz w:val="24"/>
          <w:szCs w:val="24"/>
        </w:rPr>
        <w:t>Af artikel 53, stk. 10, fremgår det, at AMLA senest den 10. juli 2026 udarbejder et udkast til reguleringsmæssige tekniske standarder og forelægger dem for Kommissionen med henblik på vedtagelse.</w:t>
      </w:r>
    </w:p>
    <w:p w14:paraId="43756394" w14:textId="77777777" w:rsidR="005B6A02" w:rsidRPr="00614C25" w:rsidRDefault="005B6A02" w:rsidP="005B6A02">
      <w:pPr>
        <w:spacing w:line="360" w:lineRule="auto"/>
        <w:rPr>
          <w:rFonts w:ascii="Times New Roman" w:hAnsi="Times New Roman" w:cs="Times New Roman"/>
          <w:sz w:val="24"/>
          <w:szCs w:val="24"/>
        </w:rPr>
      </w:pPr>
      <w:r w:rsidRPr="00614C25">
        <w:rPr>
          <w:rFonts w:ascii="Times New Roman" w:hAnsi="Times New Roman" w:cs="Times New Roman"/>
          <w:sz w:val="24"/>
          <w:szCs w:val="24"/>
        </w:rPr>
        <w:t> </w:t>
      </w:r>
    </w:p>
    <w:p w14:paraId="0979F757" w14:textId="77777777" w:rsidR="005B6A02" w:rsidRPr="00614C25" w:rsidRDefault="005B6A02" w:rsidP="005B6A02">
      <w:pPr>
        <w:spacing w:line="360" w:lineRule="auto"/>
        <w:rPr>
          <w:rFonts w:ascii="Times New Roman" w:hAnsi="Times New Roman" w:cs="Times New Roman"/>
          <w:sz w:val="24"/>
          <w:szCs w:val="24"/>
        </w:rPr>
      </w:pPr>
      <w:r w:rsidRPr="00614C25">
        <w:rPr>
          <w:rFonts w:ascii="Times New Roman" w:hAnsi="Times New Roman" w:cs="Times New Roman"/>
          <w:sz w:val="24"/>
          <w:szCs w:val="24"/>
        </w:rPr>
        <w:t>Den 25. august offentliggjorde AMLA det endelige udkast til reguleringsmæssig tekniske standard om bødesanktioner, administrative foranstaltninger og tvangsbøder i henhold til artikel 53, stk. 10.  Den reguleringsmæssig tekniske standard afventer endelig udstedelse af Kommissionen. </w:t>
      </w:r>
    </w:p>
    <w:p w14:paraId="34E96F3F" w14:textId="77777777" w:rsidR="00FE25BF" w:rsidRPr="00B27F8F" w:rsidRDefault="00FE25BF" w:rsidP="00FE25BF">
      <w:pPr>
        <w:spacing w:line="360" w:lineRule="auto"/>
        <w:rPr>
          <w:rFonts w:ascii="Times New Roman" w:eastAsia="Calibri" w:hAnsi="Times New Roman" w:cs="Times New Roman"/>
          <w:iCs/>
          <w:sz w:val="24"/>
          <w:szCs w:val="24"/>
          <w:highlight w:val="yellow"/>
        </w:rPr>
      </w:pPr>
    </w:p>
    <w:p w14:paraId="7A5D9541" w14:textId="77777777" w:rsidR="00FE25BF" w:rsidRPr="00B27F8F" w:rsidRDefault="00FE25BF" w:rsidP="00FE25BF">
      <w:pPr>
        <w:spacing w:line="360" w:lineRule="auto"/>
        <w:rPr>
          <w:rFonts w:ascii="Times New Roman" w:eastAsia="Calibri" w:hAnsi="Times New Roman" w:cs="Times New Roman"/>
          <w:iCs/>
          <w:sz w:val="24"/>
          <w:szCs w:val="24"/>
        </w:rPr>
      </w:pPr>
      <w:r w:rsidRPr="00B27F8F">
        <w:rPr>
          <w:rFonts w:ascii="Times New Roman" w:eastAsia="Calibri" w:hAnsi="Times New Roman" w:cs="Times New Roman"/>
          <w:iCs/>
          <w:sz w:val="24"/>
          <w:szCs w:val="24"/>
        </w:rPr>
        <w:t>Det følger af artikel 8, stk. 3, at når tilsynsmyndigheden beslutter det beløb, der vil blive anvendt til beregning af det endelige akkumulerede beløb for tvangsbøden, skal den tage alle følgende faktorer i betragtning:</w:t>
      </w:r>
    </w:p>
    <w:p w14:paraId="7333E8DA" w14:textId="77777777" w:rsidR="00FE25BF" w:rsidRPr="00B27F8F" w:rsidRDefault="00FE25BF">
      <w:pPr>
        <w:pStyle w:val="Listeafsnit"/>
        <w:numPr>
          <w:ilvl w:val="0"/>
          <w:numId w:val="115"/>
        </w:numPr>
        <w:spacing w:line="360" w:lineRule="auto"/>
        <w:rPr>
          <w:rFonts w:ascii="Times New Roman" w:eastAsia="Calibri" w:hAnsi="Times New Roman" w:cs="Times New Roman"/>
          <w:iCs/>
          <w:sz w:val="24"/>
          <w:szCs w:val="24"/>
        </w:rPr>
      </w:pPr>
      <w:r w:rsidRPr="00B27F8F">
        <w:rPr>
          <w:rFonts w:ascii="Times New Roman" w:eastAsia="Calibri" w:hAnsi="Times New Roman" w:cs="Times New Roman"/>
          <w:iCs/>
          <w:sz w:val="24"/>
          <w:szCs w:val="24"/>
        </w:rPr>
        <w:t>typen og formålet med den relevante administrative foranstaltning, der ikke er overholdt;</w:t>
      </w:r>
    </w:p>
    <w:p w14:paraId="2978F858" w14:textId="77777777" w:rsidR="00FE25BF" w:rsidRPr="00B27F8F" w:rsidRDefault="00FE25BF">
      <w:pPr>
        <w:pStyle w:val="Listeafsnit"/>
        <w:numPr>
          <w:ilvl w:val="0"/>
          <w:numId w:val="115"/>
        </w:numPr>
        <w:spacing w:line="360" w:lineRule="auto"/>
        <w:rPr>
          <w:rFonts w:ascii="Times New Roman" w:eastAsia="Calibri" w:hAnsi="Times New Roman" w:cs="Times New Roman"/>
          <w:iCs/>
          <w:sz w:val="24"/>
          <w:szCs w:val="24"/>
        </w:rPr>
      </w:pPr>
      <w:r w:rsidRPr="00B27F8F">
        <w:rPr>
          <w:rFonts w:ascii="Times New Roman" w:eastAsia="Calibri" w:hAnsi="Times New Roman" w:cs="Times New Roman"/>
          <w:iCs/>
          <w:sz w:val="24"/>
          <w:szCs w:val="24"/>
        </w:rPr>
        <w:t>årsagerne til manglende overholdelse af den relevante administrative foranstaltning;</w:t>
      </w:r>
    </w:p>
    <w:p w14:paraId="20DC1945" w14:textId="77777777" w:rsidR="00FE25BF" w:rsidRPr="00B27F8F" w:rsidRDefault="00FE25BF">
      <w:pPr>
        <w:pStyle w:val="Listeafsnit"/>
        <w:numPr>
          <w:ilvl w:val="0"/>
          <w:numId w:val="115"/>
        </w:numPr>
        <w:spacing w:line="360" w:lineRule="auto"/>
        <w:rPr>
          <w:rFonts w:ascii="Times New Roman" w:eastAsia="Calibri" w:hAnsi="Times New Roman" w:cs="Times New Roman"/>
          <w:iCs/>
          <w:sz w:val="24"/>
          <w:szCs w:val="24"/>
        </w:rPr>
      </w:pPr>
      <w:r w:rsidRPr="00B27F8F">
        <w:rPr>
          <w:rFonts w:ascii="Times New Roman" w:eastAsia="Calibri" w:hAnsi="Times New Roman" w:cs="Times New Roman"/>
          <w:iCs/>
          <w:sz w:val="24"/>
          <w:szCs w:val="24"/>
        </w:rPr>
        <w:t>tab for tredjepart forårsaget af manglende overholdelse af den relevante administrative foranstaltning, forudsat at de blev fastslået, da den relevante administrative foranstaltning blev pålagt;</w:t>
      </w:r>
    </w:p>
    <w:p w14:paraId="36C2229D" w14:textId="77777777" w:rsidR="00FE25BF" w:rsidRPr="00B27F8F" w:rsidRDefault="00FE25BF">
      <w:pPr>
        <w:pStyle w:val="Listeafsnit"/>
        <w:numPr>
          <w:ilvl w:val="0"/>
          <w:numId w:val="115"/>
        </w:numPr>
        <w:spacing w:line="360" w:lineRule="auto"/>
        <w:rPr>
          <w:rFonts w:ascii="Times New Roman" w:eastAsia="Calibri" w:hAnsi="Times New Roman" w:cs="Times New Roman"/>
          <w:iCs/>
          <w:sz w:val="24"/>
          <w:szCs w:val="24"/>
        </w:rPr>
      </w:pPr>
      <w:r w:rsidRPr="00B27F8F">
        <w:rPr>
          <w:rFonts w:ascii="Times New Roman" w:eastAsia="Calibri" w:hAnsi="Times New Roman" w:cs="Times New Roman"/>
          <w:iCs/>
          <w:sz w:val="24"/>
          <w:szCs w:val="24"/>
        </w:rPr>
        <w:t>fordel opnået ved manglende overholdelse af den relevante administrative foranstaltning, forudsat at de blev fastslået, da den relevante administrative foranstaltning blev pålagt;</w:t>
      </w:r>
    </w:p>
    <w:p w14:paraId="50B6C3DD" w14:textId="77777777" w:rsidR="00FE25BF" w:rsidRPr="00B27F8F" w:rsidRDefault="00FE25BF">
      <w:pPr>
        <w:pStyle w:val="Listeafsnit"/>
        <w:numPr>
          <w:ilvl w:val="0"/>
          <w:numId w:val="115"/>
        </w:numPr>
        <w:spacing w:line="360" w:lineRule="auto"/>
        <w:rPr>
          <w:rFonts w:ascii="Times New Roman" w:eastAsia="Calibri" w:hAnsi="Times New Roman" w:cs="Times New Roman"/>
          <w:iCs/>
          <w:sz w:val="24"/>
          <w:szCs w:val="24"/>
        </w:rPr>
      </w:pPr>
      <w:r w:rsidRPr="00B27F8F">
        <w:rPr>
          <w:rFonts w:ascii="Times New Roman" w:eastAsia="Calibri" w:hAnsi="Times New Roman" w:cs="Times New Roman"/>
          <w:iCs/>
          <w:sz w:val="24"/>
          <w:szCs w:val="24"/>
        </w:rPr>
        <w:t>den økonomiske styrke hos den berørte fysiske eller juridiske person, forudsat at dette blev fastslået, da den relevante administrative foranstaltning blev pålagt.</w:t>
      </w:r>
    </w:p>
    <w:p w14:paraId="0E84E588" w14:textId="77777777" w:rsidR="00FE25BF" w:rsidRPr="00B27F8F" w:rsidRDefault="00FE25BF" w:rsidP="00FE25BF">
      <w:pPr>
        <w:pStyle w:val="Listeafsnit"/>
        <w:spacing w:line="360" w:lineRule="auto"/>
        <w:rPr>
          <w:rFonts w:ascii="Times New Roman" w:eastAsia="Calibri" w:hAnsi="Times New Roman" w:cs="Times New Roman"/>
          <w:iCs/>
          <w:sz w:val="24"/>
          <w:szCs w:val="24"/>
        </w:rPr>
      </w:pPr>
    </w:p>
    <w:p w14:paraId="1B6649A2" w14:textId="77777777" w:rsidR="00FE25BF" w:rsidRPr="00B27F8F" w:rsidRDefault="00FE25BF" w:rsidP="00FE25BF">
      <w:pPr>
        <w:spacing w:line="360" w:lineRule="auto"/>
        <w:rPr>
          <w:rFonts w:ascii="Times New Roman" w:eastAsia="Calibri" w:hAnsi="Times New Roman" w:cs="Times New Roman"/>
          <w:iCs/>
          <w:sz w:val="24"/>
          <w:szCs w:val="24"/>
        </w:rPr>
      </w:pPr>
      <w:r w:rsidRPr="00B27F8F">
        <w:rPr>
          <w:rFonts w:ascii="Times New Roman" w:eastAsia="Calibri" w:hAnsi="Times New Roman" w:cs="Times New Roman"/>
          <w:iCs/>
          <w:sz w:val="24"/>
          <w:szCs w:val="24"/>
        </w:rPr>
        <w:t>Den foreslåede bestemmelse vil indebære, at Finanstilsynet skal inddrage ovenstående faktorer, der fastsætter indikatorer til klassificering af niveauet af overtrædelsernes grovhed, når der pålægges tvangsbøder i henhold til denne bestemmelse</w:t>
      </w:r>
    </w:p>
    <w:p w14:paraId="3E237A4F" w14:textId="77777777" w:rsidR="00FE25BF" w:rsidRPr="00B27F8F" w:rsidRDefault="00FE25BF" w:rsidP="00FE25BF">
      <w:pPr>
        <w:spacing w:line="360" w:lineRule="auto"/>
        <w:rPr>
          <w:rFonts w:ascii="Times New Roman" w:eastAsia="Calibri" w:hAnsi="Times New Roman" w:cs="Times New Roman"/>
          <w:sz w:val="24"/>
          <w:szCs w:val="24"/>
        </w:rPr>
      </w:pPr>
    </w:p>
    <w:p w14:paraId="7217F3D9" w14:textId="19879613"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For nærmere om de reguleringsmæssige tekniske standarder, udstedt i henhold til det 6. hvidvaskdirektivs artikel 53, stk. 10, henvises til punkt </w:t>
      </w:r>
      <w:r w:rsidR="0046126E">
        <w:rPr>
          <w:rFonts w:ascii="Times New Roman" w:eastAsia="Calibri" w:hAnsi="Times New Roman" w:cs="Times New Roman"/>
          <w:sz w:val="24"/>
          <w:szCs w:val="24"/>
        </w:rPr>
        <w:fldChar w:fldCharType="begin"/>
      </w:r>
      <w:r w:rsidR="0046126E">
        <w:rPr>
          <w:rFonts w:ascii="Times New Roman" w:eastAsia="Calibri" w:hAnsi="Times New Roman" w:cs="Times New Roman"/>
          <w:sz w:val="24"/>
          <w:szCs w:val="24"/>
        </w:rPr>
        <w:instrText xml:space="preserve"> REF _Ref244805644 \n \h </w:instrText>
      </w:r>
      <w:r w:rsidR="0046126E">
        <w:rPr>
          <w:rFonts w:ascii="Times New Roman" w:eastAsia="Calibri" w:hAnsi="Times New Roman" w:cs="Times New Roman"/>
          <w:sz w:val="24"/>
          <w:szCs w:val="24"/>
        </w:rPr>
      </w:r>
      <w:r w:rsidR="0046126E">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3.88</w:t>
      </w:r>
      <w:r w:rsidR="0046126E">
        <w:rPr>
          <w:rFonts w:ascii="Times New Roman" w:eastAsia="Calibri" w:hAnsi="Times New Roman" w:cs="Times New Roman"/>
          <w:sz w:val="24"/>
          <w:szCs w:val="24"/>
        </w:rPr>
        <w:fldChar w:fldCharType="end"/>
      </w:r>
      <w:r w:rsidRPr="00B27F8F">
        <w:rPr>
          <w:rFonts w:ascii="Times New Roman" w:eastAsia="Calibri" w:hAnsi="Times New Roman" w:cs="Times New Roman"/>
          <w:sz w:val="24"/>
          <w:szCs w:val="24"/>
        </w:rPr>
        <w:t xml:space="preserve">. </w:t>
      </w:r>
    </w:p>
    <w:p w14:paraId="1BF2D328" w14:textId="77777777" w:rsidR="00FE25BF" w:rsidRPr="00B27F8F" w:rsidRDefault="00FE25BF" w:rsidP="00FE25BF">
      <w:pPr>
        <w:spacing w:line="360" w:lineRule="auto"/>
        <w:rPr>
          <w:rFonts w:ascii="Times New Roman" w:eastAsia="Calibri" w:hAnsi="Times New Roman" w:cs="Times New Roman"/>
          <w:sz w:val="24"/>
          <w:szCs w:val="24"/>
        </w:rPr>
      </w:pPr>
    </w:p>
    <w:p w14:paraId="4D9B5ACE"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Ønsker Finanstilsynet at pålægge de omfattede personer og virksomheder, en daglig eller ugentlig tvangsbøde, skal Finanstilsynet ved udformning af et påbud formulere dette, så grundlaget for tvangsbøden bygger på forhold, der kan føre til en objektiv konstatering af, om en virksomhed eller person har efterkommet påbuddet. Derudover skal der i afgørelsen om at pålægge en tvangsbøde angives en klar frist for opfyldelse af påbuddet.  </w:t>
      </w:r>
    </w:p>
    <w:p w14:paraId="5BF7704B" w14:textId="77777777" w:rsidR="00FE25BF" w:rsidRPr="00B27F8F" w:rsidRDefault="00FE25BF" w:rsidP="00FE25BF">
      <w:pPr>
        <w:spacing w:line="360" w:lineRule="auto"/>
        <w:rPr>
          <w:rFonts w:ascii="Times New Roman" w:eastAsia="Calibri" w:hAnsi="Times New Roman" w:cs="Times New Roman"/>
          <w:sz w:val="24"/>
          <w:szCs w:val="24"/>
        </w:rPr>
      </w:pPr>
    </w:p>
    <w:p w14:paraId="3E9BD6D2" w14:textId="77777777" w:rsidR="00FE25BF" w:rsidRPr="00B27F8F" w:rsidRDefault="00FE25BF" w:rsidP="00FE25BF">
      <w:pPr>
        <w:spacing w:after="240" w:line="360" w:lineRule="auto"/>
        <w:rPr>
          <w:rFonts w:ascii="Times New Roman" w:eastAsia="Calibri" w:hAnsi="Times New Roman" w:cs="Times New Roman"/>
          <w:sz w:val="24"/>
          <w:szCs w:val="24"/>
        </w:rPr>
      </w:pPr>
      <w:r w:rsidRPr="00B27F8F">
        <w:rPr>
          <w:rFonts w:ascii="Times New Roman" w:hAnsi="Times New Roman" w:cs="Times New Roman"/>
          <w:sz w:val="24"/>
          <w:szCs w:val="24"/>
          <w:lang w:eastAsia="da-DK"/>
        </w:rPr>
        <w:t>Bestemmelsen vil indebære, at der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7B8D0D81" w14:textId="77777777" w:rsidR="00FE25BF" w:rsidRPr="00B27F8F" w:rsidRDefault="00FE25BF" w:rsidP="00FE25BF">
      <w:pPr>
        <w:spacing w:after="240" w:line="360" w:lineRule="auto"/>
        <w:rPr>
          <w:rFonts w:ascii="Times New Roman" w:eastAsia="Calibri" w:hAnsi="Times New Roman" w:cs="Times New Roman"/>
          <w:bCs/>
          <w:sz w:val="24"/>
          <w:szCs w:val="24"/>
        </w:rPr>
      </w:pPr>
      <w:r w:rsidRPr="00B27F8F">
        <w:rPr>
          <w:rFonts w:ascii="Times New Roman" w:eastAsia="Calibri" w:hAnsi="Times New Roman" w:cs="Times New Roman"/>
          <w:bCs/>
          <w:sz w:val="24"/>
          <w:szCs w:val="24"/>
        </w:rPr>
        <w:t>Finanstilsynet kan efter udløbet af fristen følge op og vurdere, om virksomheden eller personen har efterkommet påbuddet. Finanstilsynet tidligst kan pålægge personer og virksomheder daglige eller ugentlige tvangsbøder efter udløbet af den fastsatte frist for efterlevelse af det pågældende påbud</w:t>
      </w:r>
    </w:p>
    <w:p w14:paraId="6D4BF82F"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Finanstilsynet kan ikke pålægge tvangsbøder, hvis denne har en konkret mistanke om, at en person eller en virksomhed har begået en lovovertrædelse, jf. § 10 i lov om retssikkerhed ved forvaltningens anvendelse af tvangsindgreb og oplysningspligter, jf. lovbekendtgørelse nr. 1121 af 12. november 2019. Tvangsbøder kan dog anvendes, hvis det kan udelukkes, at de oplysninger, som søges tilvejebragt, kan have betydning for bedømmelsen af den formodede lovovertrædelse. Der henvises til lov om retssikkerhed ved forvaltningens anvendelse af tvangsindgreb og oplysningspligter for fortolkningen af denne bestemmelse.</w:t>
      </w:r>
    </w:p>
    <w:p w14:paraId="167D19B0" w14:textId="77777777" w:rsidR="00FE25BF" w:rsidRPr="00B27F8F" w:rsidRDefault="00FE25BF" w:rsidP="00FE25BF">
      <w:pPr>
        <w:spacing w:line="360" w:lineRule="auto"/>
        <w:rPr>
          <w:rFonts w:ascii="Times New Roman" w:eastAsia="Calibri" w:hAnsi="Times New Roman" w:cs="Times New Roman"/>
          <w:sz w:val="24"/>
          <w:szCs w:val="24"/>
        </w:rPr>
      </w:pPr>
    </w:p>
    <w:p w14:paraId="584F3D18"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Tvangsbøder er et forvaltningsretligt tvangsmiddel og ikke nogen strafferetlig sanktion. Det gælder derfor, at påløbne, men endnu ikke inddrevne bøder, bortfalder ved forholdets lovliggørelse, jf. Justitsministeriets vejledning nr. 11255 af 18. juni 1996 om benådning, udsættelse, eftergivelse og henstand m.v. Den del af bøden, som ikke bliver betalt eller indkommer ved inddrivelse gennem udpantning, kan kræves afsonet efter reglerne om straf af fængsel, jf. § 17 i lov om ikrafttræden af borgerlig straffelov m.m.</w:t>
      </w:r>
    </w:p>
    <w:p w14:paraId="72E7987C" w14:textId="77777777" w:rsidR="00FE25BF" w:rsidRPr="00B27F8F" w:rsidRDefault="00FE25BF" w:rsidP="00FE25BF">
      <w:pPr>
        <w:spacing w:line="360" w:lineRule="auto"/>
        <w:rPr>
          <w:rFonts w:ascii="Times New Roman" w:eastAsia="Calibri" w:hAnsi="Times New Roman" w:cs="Times New Roman"/>
          <w:sz w:val="24"/>
          <w:szCs w:val="24"/>
        </w:rPr>
      </w:pPr>
    </w:p>
    <w:p w14:paraId="39D1B3ED"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Det er politiet, der træffer afgørelse om, at forvandlingsstraf skal træde i stedet for tvangsbøder, jf. § 13 i bekendtgørelse nr. 1250 af 29. november 2019 om opkrævning af visse bøder, offerbidrag, konfiskationsbeløb, sagsomkostninger m.v. samt afgørelse om udståelse af forvandlingsstraf for bøde (bødebekendtgørelsen).</w:t>
      </w:r>
    </w:p>
    <w:p w14:paraId="3CF04DB6" w14:textId="77777777" w:rsidR="00FE25BF" w:rsidRPr="00B27F8F" w:rsidRDefault="00FE25BF" w:rsidP="00FE25BF">
      <w:pPr>
        <w:spacing w:line="360" w:lineRule="auto"/>
        <w:rPr>
          <w:rFonts w:ascii="Times New Roman" w:eastAsia="Calibri" w:hAnsi="Times New Roman" w:cs="Times New Roman"/>
          <w:sz w:val="24"/>
          <w:szCs w:val="24"/>
        </w:rPr>
      </w:pPr>
    </w:p>
    <w:p w14:paraId="69E204F3"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Hvis tvangsbøder ikke straks betales eller inddrives, skal Finanstilsynet oversende sagen til politiet med henblik på afgørelse af, hvorvidt den pågældende skal udstå forvandlingsstraf for tvangsbøderne, jf. § 40 i bekendtgørelse nr. 188 af 9. marts 2020 om inddrivelse af gæld til det offentlige.</w:t>
      </w:r>
    </w:p>
    <w:p w14:paraId="1EE4C335" w14:textId="77777777" w:rsidR="00FE25BF" w:rsidRPr="00B27F8F" w:rsidRDefault="00FE25BF" w:rsidP="00FE25BF">
      <w:pPr>
        <w:spacing w:line="360" w:lineRule="auto"/>
        <w:rPr>
          <w:rFonts w:ascii="Times New Roman" w:eastAsia="Calibri" w:hAnsi="Times New Roman" w:cs="Times New Roman"/>
          <w:sz w:val="24"/>
          <w:szCs w:val="24"/>
        </w:rPr>
      </w:pPr>
    </w:p>
    <w:p w14:paraId="4921956E"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De særlige regler på området er begrundet med tvangsbøders særlige formål, som er at gennemtvinge opfyldelsen af en lovbestemt forpligtigelse.</w:t>
      </w:r>
    </w:p>
    <w:p w14:paraId="286E7A40" w14:textId="77777777" w:rsidR="00FE25BF" w:rsidRPr="00B27F8F" w:rsidRDefault="00FE25BF" w:rsidP="00FE25BF">
      <w:pPr>
        <w:spacing w:line="360" w:lineRule="auto"/>
        <w:rPr>
          <w:rFonts w:ascii="Times New Roman" w:eastAsia="Calibri" w:hAnsi="Times New Roman" w:cs="Times New Roman"/>
          <w:sz w:val="24"/>
          <w:szCs w:val="24"/>
        </w:rPr>
      </w:pPr>
    </w:p>
    <w:p w14:paraId="3154A232"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Politiets afgørelse om, at skyldneren skal udstå forvandlingsstraf for tvangsbøderne, forudsætter derfor også, at det ved politiets behandling af sagen kan lægges til grund, at handlepligten aktuelt ikke er opfyldt. Politiets behandling af sagen sker typisk på grundlag af oplysninger fra fordringshaver. Efter omstændighederne kan politiet eventuelt bistå med undersøgelsen heraf.</w:t>
      </w:r>
      <w:r w:rsidRPr="00B27F8F">
        <w:rPr>
          <w:rFonts w:ascii="Times New Roman" w:eastAsia="Calibri" w:hAnsi="Times New Roman" w:cs="Times New Roman"/>
          <w:sz w:val="24"/>
          <w:szCs w:val="24"/>
        </w:rPr>
        <w:br/>
      </w:r>
    </w:p>
    <w:p w14:paraId="16DF33CE" w14:textId="77777777" w:rsidR="00FE25BF" w:rsidRPr="00B27F8F" w:rsidRDefault="00FE25BF" w:rsidP="00FE25BF">
      <w:pPr>
        <w:spacing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Hvis Finanstilsynet, efter at sagen er oversendt til politiet, modtager oplysning om, at forpligtelsen er opfyldt, skal myndigheden hurtigst muligt orientere politiet herom.</w:t>
      </w:r>
    </w:p>
    <w:p w14:paraId="0BD31EEF" w14:textId="77777777" w:rsidR="00FE25BF" w:rsidRPr="00B27F8F" w:rsidRDefault="00FE25BF" w:rsidP="00FE25BF">
      <w:pPr>
        <w:spacing w:line="360" w:lineRule="auto"/>
        <w:rPr>
          <w:rFonts w:ascii="Times New Roman" w:eastAsia="Calibri" w:hAnsi="Times New Roman" w:cs="Times New Roman"/>
          <w:sz w:val="24"/>
          <w:szCs w:val="24"/>
        </w:rPr>
      </w:pPr>
    </w:p>
    <w:p w14:paraId="3D567A09" w14:textId="5D4FFE86" w:rsidR="00FE25BF" w:rsidRPr="00B27F8F" w:rsidRDefault="00FE25BF" w:rsidP="00FE25BF">
      <w:pPr>
        <w:spacing w:line="360" w:lineRule="auto"/>
        <w:rPr>
          <w:rFonts w:ascii="Times New Roman" w:eastAsia="Calibri" w:hAnsi="Times New Roman" w:cs="Times New Roman"/>
          <w:bCs/>
          <w:sz w:val="24"/>
          <w:szCs w:val="24"/>
        </w:rPr>
      </w:pPr>
      <w:r w:rsidRPr="00B27F8F">
        <w:rPr>
          <w:rFonts w:ascii="Times New Roman" w:eastAsia="Calibri" w:hAnsi="Times New Roman" w:cs="Times New Roman"/>
          <w:sz w:val="24"/>
          <w:szCs w:val="24"/>
        </w:rPr>
        <w:t xml:space="preserve">Det foreslås i </w:t>
      </w:r>
      <w:r w:rsidRPr="00B27F8F">
        <w:rPr>
          <w:rFonts w:ascii="Times New Roman" w:eastAsia="Calibri" w:hAnsi="Times New Roman" w:cs="Times New Roman"/>
          <w:i/>
          <w:iCs/>
          <w:sz w:val="24"/>
          <w:szCs w:val="24"/>
        </w:rPr>
        <w:t>stk. 10</w:t>
      </w:r>
      <w:r w:rsidRPr="00B27F8F">
        <w:rPr>
          <w:rFonts w:ascii="Times New Roman" w:eastAsia="Calibri" w:hAnsi="Times New Roman" w:cs="Times New Roman"/>
          <w:sz w:val="24"/>
          <w:szCs w:val="24"/>
        </w:rPr>
        <w:t>, at</w:t>
      </w:r>
      <w:r w:rsidRPr="00B27F8F">
        <w:rPr>
          <w:rFonts w:ascii="Times New Roman" w:eastAsia="Calibri" w:hAnsi="Times New Roman" w:cs="Times New Roman"/>
          <w:bCs/>
          <w:sz w:val="24"/>
          <w:szCs w:val="24"/>
        </w:rPr>
        <w:t xml:space="preserve"> der i forbindelse med skatte- og vækstministerens udstedelse af regler efter </w:t>
      </w:r>
      <w:r w:rsidR="0046126E">
        <w:rPr>
          <w:rFonts w:ascii="Times New Roman" w:eastAsia="Calibri" w:hAnsi="Times New Roman" w:cs="Times New Roman"/>
          <w:bCs/>
          <w:sz w:val="24"/>
          <w:szCs w:val="24"/>
        </w:rPr>
        <w:fldChar w:fldCharType="begin"/>
      </w:r>
      <w:r w:rsidR="0046126E">
        <w:rPr>
          <w:rFonts w:ascii="Times New Roman" w:eastAsia="Calibri" w:hAnsi="Times New Roman" w:cs="Times New Roman"/>
          <w:bCs/>
          <w:sz w:val="24"/>
          <w:szCs w:val="24"/>
        </w:rPr>
        <w:instrText xml:space="preserve"> REF _Ref232595479 \r \h </w:instrText>
      </w:r>
      <w:r w:rsidR="0046126E">
        <w:rPr>
          <w:rFonts w:ascii="Times New Roman" w:eastAsia="Calibri" w:hAnsi="Times New Roman" w:cs="Times New Roman"/>
          <w:bCs/>
          <w:sz w:val="24"/>
          <w:szCs w:val="24"/>
        </w:rPr>
      </w:r>
      <w:r w:rsidR="0046126E">
        <w:rPr>
          <w:rFonts w:ascii="Times New Roman" w:eastAsia="Calibri" w:hAnsi="Times New Roman" w:cs="Times New Roman"/>
          <w:bCs/>
          <w:sz w:val="24"/>
          <w:szCs w:val="24"/>
        </w:rPr>
        <w:fldChar w:fldCharType="separate"/>
      </w:r>
      <w:r w:rsidR="008F29E5">
        <w:rPr>
          <w:rFonts w:ascii="Times New Roman" w:eastAsia="Calibri" w:hAnsi="Times New Roman" w:cs="Times New Roman"/>
          <w:bCs/>
          <w:sz w:val="24"/>
          <w:szCs w:val="24"/>
        </w:rPr>
        <w:t>§ 8</w:t>
      </w:r>
      <w:r w:rsidR="0046126E">
        <w:rPr>
          <w:rFonts w:ascii="Times New Roman" w:eastAsia="Calibri" w:hAnsi="Times New Roman" w:cs="Times New Roman"/>
          <w:bCs/>
          <w:sz w:val="24"/>
          <w:szCs w:val="24"/>
        </w:rPr>
        <w:fldChar w:fldCharType="end"/>
      </w:r>
      <w:r w:rsidRPr="00B27F8F">
        <w:rPr>
          <w:rFonts w:ascii="Times New Roman" w:eastAsia="Calibri" w:hAnsi="Times New Roman" w:cs="Times New Roman"/>
          <w:bCs/>
          <w:sz w:val="24"/>
          <w:szCs w:val="24"/>
        </w:rPr>
        <w:t xml:space="preserve">, stk. 3, om den i </w:t>
      </w:r>
      <w:r w:rsidR="0046126E">
        <w:rPr>
          <w:rFonts w:ascii="Times New Roman" w:eastAsia="Calibri" w:hAnsi="Times New Roman" w:cs="Times New Roman"/>
          <w:bCs/>
          <w:sz w:val="24"/>
          <w:szCs w:val="24"/>
        </w:rPr>
        <w:fldChar w:fldCharType="begin"/>
      </w:r>
      <w:r w:rsidR="0046126E">
        <w:rPr>
          <w:rFonts w:ascii="Times New Roman" w:eastAsia="Calibri" w:hAnsi="Times New Roman" w:cs="Times New Roman"/>
          <w:bCs/>
          <w:sz w:val="24"/>
          <w:szCs w:val="24"/>
        </w:rPr>
        <w:instrText xml:space="preserve"> REF _Ref232595479 \r \h </w:instrText>
      </w:r>
      <w:r w:rsidR="0046126E">
        <w:rPr>
          <w:rFonts w:ascii="Times New Roman" w:eastAsia="Calibri" w:hAnsi="Times New Roman" w:cs="Times New Roman"/>
          <w:bCs/>
          <w:sz w:val="24"/>
          <w:szCs w:val="24"/>
        </w:rPr>
      </w:r>
      <w:r w:rsidR="0046126E">
        <w:rPr>
          <w:rFonts w:ascii="Times New Roman" w:eastAsia="Calibri" w:hAnsi="Times New Roman" w:cs="Times New Roman"/>
          <w:bCs/>
          <w:sz w:val="24"/>
          <w:szCs w:val="24"/>
        </w:rPr>
        <w:fldChar w:fldCharType="separate"/>
      </w:r>
      <w:r w:rsidR="008F29E5">
        <w:rPr>
          <w:rFonts w:ascii="Times New Roman" w:eastAsia="Calibri" w:hAnsi="Times New Roman" w:cs="Times New Roman"/>
          <w:bCs/>
          <w:sz w:val="24"/>
          <w:szCs w:val="24"/>
        </w:rPr>
        <w:t>§ 8</w:t>
      </w:r>
      <w:r w:rsidR="0046126E">
        <w:rPr>
          <w:rFonts w:ascii="Times New Roman" w:eastAsia="Calibri" w:hAnsi="Times New Roman" w:cs="Times New Roman"/>
          <w:bCs/>
          <w:sz w:val="24"/>
          <w:szCs w:val="24"/>
        </w:rPr>
        <w:fldChar w:fldCharType="end"/>
      </w:r>
      <w:r w:rsidRPr="00B27F8F">
        <w:rPr>
          <w:rFonts w:ascii="Times New Roman" w:eastAsia="Calibri" w:hAnsi="Times New Roman" w:cs="Times New Roman"/>
          <w:bCs/>
          <w:sz w:val="24"/>
          <w:szCs w:val="24"/>
        </w:rPr>
        <w:t>, stk. 1, omhandlede liste, kan fastsættes bestemmelser om, at skatte- og vækstministeren som tvangsmiddel kan pålægge juridiske personer, organisationer m.v. daglige eller ugentlige bøder, hvis de undlader at opfylde de pligter om indberetning, som påhviler dem.</w:t>
      </w:r>
    </w:p>
    <w:p w14:paraId="3994827D" w14:textId="77777777" w:rsidR="00FE25BF" w:rsidRPr="00B27F8F" w:rsidRDefault="00FE25BF" w:rsidP="00FE25BF">
      <w:pPr>
        <w:spacing w:line="360" w:lineRule="auto"/>
        <w:rPr>
          <w:rFonts w:ascii="Times New Roman" w:eastAsia="Calibri" w:hAnsi="Times New Roman" w:cs="Times New Roman"/>
          <w:bCs/>
          <w:sz w:val="24"/>
          <w:szCs w:val="24"/>
        </w:rPr>
      </w:pPr>
    </w:p>
    <w:p w14:paraId="115EB960" w14:textId="77777777" w:rsidR="00FE25BF" w:rsidRPr="00B27F8F" w:rsidRDefault="00FE25BF" w:rsidP="00FE25BF">
      <w:pPr>
        <w:spacing w:after="240"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Det foreslåede viderefører hvidvasklovens § 80, stk. 6.</w:t>
      </w:r>
    </w:p>
    <w:p w14:paraId="79FA41AF" w14:textId="318B3847" w:rsidR="00FE25BF" w:rsidRPr="00B27F8F" w:rsidRDefault="00FE25BF" w:rsidP="00FE25BF">
      <w:pPr>
        <w:spacing w:after="240" w:line="360" w:lineRule="auto"/>
        <w:rPr>
          <w:rFonts w:ascii="Times New Roman" w:eastAsia="Calibri" w:hAnsi="Times New Roman" w:cs="Times New Roman"/>
          <w:sz w:val="24"/>
          <w:szCs w:val="24"/>
        </w:rPr>
      </w:pPr>
      <w:r w:rsidRPr="00B27F8F">
        <w:rPr>
          <w:rFonts w:ascii="Times New Roman" w:eastAsia="Calibri" w:hAnsi="Times New Roman" w:cs="Times New Roman"/>
          <w:sz w:val="24"/>
          <w:szCs w:val="24"/>
        </w:rPr>
        <w:t xml:space="preserve">Bemyndigelsen har ikke tidligere været udnyttet, men indebærer, at skatte- og vækstministeren som tvangsmiddel kan pålægge juridiske personer, organisationer m.v. daglige eller ugentlige bøder, hvis de undlader at opfylde de pligter om indberetning ikke indberetter til PEP-listen, som påhviler dem i medfør af den foreslåede </w:t>
      </w:r>
      <w:r w:rsidR="0046126E">
        <w:rPr>
          <w:rFonts w:ascii="Times New Roman" w:eastAsia="Calibri" w:hAnsi="Times New Roman" w:cs="Times New Roman"/>
          <w:bCs/>
          <w:sz w:val="24"/>
          <w:szCs w:val="24"/>
        </w:rPr>
        <w:fldChar w:fldCharType="begin"/>
      </w:r>
      <w:r w:rsidR="0046126E">
        <w:rPr>
          <w:rFonts w:ascii="Times New Roman" w:eastAsia="Calibri" w:hAnsi="Times New Roman" w:cs="Times New Roman"/>
          <w:bCs/>
          <w:sz w:val="24"/>
          <w:szCs w:val="24"/>
        </w:rPr>
        <w:instrText xml:space="preserve"> REF _Ref232595479 \r \h </w:instrText>
      </w:r>
      <w:r w:rsidR="0046126E">
        <w:rPr>
          <w:rFonts w:ascii="Times New Roman" w:eastAsia="Calibri" w:hAnsi="Times New Roman" w:cs="Times New Roman"/>
          <w:bCs/>
          <w:sz w:val="24"/>
          <w:szCs w:val="24"/>
        </w:rPr>
      </w:r>
      <w:r w:rsidR="0046126E">
        <w:rPr>
          <w:rFonts w:ascii="Times New Roman" w:eastAsia="Calibri" w:hAnsi="Times New Roman" w:cs="Times New Roman"/>
          <w:bCs/>
          <w:sz w:val="24"/>
          <w:szCs w:val="24"/>
        </w:rPr>
        <w:fldChar w:fldCharType="separate"/>
      </w:r>
      <w:r w:rsidR="008F29E5">
        <w:rPr>
          <w:rFonts w:ascii="Times New Roman" w:eastAsia="Calibri" w:hAnsi="Times New Roman" w:cs="Times New Roman"/>
          <w:bCs/>
          <w:sz w:val="24"/>
          <w:szCs w:val="24"/>
        </w:rPr>
        <w:t>§ 8</w:t>
      </w:r>
      <w:r w:rsidR="0046126E">
        <w:rPr>
          <w:rFonts w:ascii="Times New Roman" w:eastAsia="Calibri" w:hAnsi="Times New Roman" w:cs="Times New Roman"/>
          <w:bCs/>
          <w:sz w:val="24"/>
          <w:szCs w:val="24"/>
        </w:rPr>
        <w:fldChar w:fldCharType="end"/>
      </w:r>
      <w:r w:rsidRPr="00B27F8F">
        <w:rPr>
          <w:rFonts w:ascii="Times New Roman" w:eastAsia="Calibri" w:hAnsi="Times New Roman" w:cs="Times New Roman"/>
          <w:sz w:val="24"/>
          <w:szCs w:val="24"/>
        </w:rPr>
        <w:t>, stk. 1 og 3.</w:t>
      </w:r>
    </w:p>
    <w:p w14:paraId="5A2DADC6" w14:textId="77777777" w:rsidR="00E0341A" w:rsidRPr="00796736" w:rsidRDefault="00E0341A" w:rsidP="00A802A5">
      <w:pPr>
        <w:spacing w:line="360" w:lineRule="auto"/>
        <w:rPr>
          <w:rFonts w:ascii="Times New Roman" w:hAnsi="Times New Roman" w:cs="Times New Roman"/>
          <w:sz w:val="24"/>
          <w:szCs w:val="24"/>
          <w:lang w:eastAsia="da-DK"/>
        </w:rPr>
      </w:pPr>
    </w:p>
    <w:p w14:paraId="2570685D" w14:textId="640B0EBB" w:rsidR="00E0341A" w:rsidRPr="00796736" w:rsidRDefault="00E0341A" w:rsidP="00A802A5">
      <w:pPr>
        <w:pStyle w:val="Undertitel"/>
      </w:pPr>
      <w:bookmarkStart w:id="2251" w:name="_Toc232109453"/>
      <w:bookmarkStart w:id="2252" w:name="_Toc244879432"/>
      <w:bookmarkStart w:id="2253" w:name="_Toc244880957"/>
      <w:r w:rsidRPr="00796736">
        <w:t xml:space="preserve">Til </w:t>
      </w:r>
      <w:r w:rsidRPr="00796736">
        <w:fldChar w:fldCharType="begin"/>
      </w:r>
      <w:r w:rsidRPr="00796736">
        <w:instrText xml:space="preserve"> REF _Ref232610061 \r \h  \* MERGEFORMAT </w:instrText>
      </w:r>
      <w:r w:rsidRPr="00796736">
        <w:fldChar w:fldCharType="separate"/>
      </w:r>
      <w:r w:rsidR="008F29E5">
        <w:t>§ 136</w:t>
      </w:r>
      <w:bookmarkEnd w:id="2252"/>
      <w:bookmarkEnd w:id="2253"/>
      <w:r w:rsidRPr="00796736">
        <w:fldChar w:fldCharType="end"/>
      </w:r>
      <w:r w:rsidRPr="00796736">
        <w:t xml:space="preserve"> </w:t>
      </w:r>
      <w:bookmarkEnd w:id="2251"/>
    </w:p>
    <w:p w14:paraId="454F5ADC" w14:textId="2F293C82" w:rsidR="00065BBB" w:rsidRPr="00796736" w:rsidRDefault="00065BBB" w:rsidP="00A802A5">
      <w:pPr>
        <w:spacing w:after="240" w:line="360" w:lineRule="auto"/>
        <w:jc w:val="left"/>
        <w:rPr>
          <w:rFonts w:ascii="Times New Roman" w:hAnsi="Times New Roman" w:cs="Times New Roman"/>
          <w:sz w:val="24"/>
          <w:szCs w:val="24"/>
        </w:rPr>
      </w:pPr>
      <w:r w:rsidRPr="00796736">
        <w:rPr>
          <w:rFonts w:ascii="Times New Roman" w:hAnsi="Times New Roman" w:cs="Times New Roman"/>
          <w:sz w:val="24"/>
          <w:szCs w:val="24"/>
        </w:rPr>
        <w:t>I § 80, stk. 3 i den gældende hvidvasklov fremgår det, at Erhvervsstyrelsen som tvangsmiddel kan pålægge en person, virksomhed eller de for virksomheden ansvarlige personer daglige eller ugentlige tvangsbøder, hvis de undlader at meddele Erhvervsstyrelsen oplysninger efter § 58, stk. 7.</w:t>
      </w:r>
    </w:p>
    <w:p w14:paraId="204CFA87" w14:textId="1ACDF527" w:rsidR="003D2A25" w:rsidRDefault="003D2A25" w:rsidP="00A802A5">
      <w:pPr>
        <w:spacing w:after="240" w:line="360" w:lineRule="auto"/>
        <w:jc w:val="left"/>
        <w:rPr>
          <w:rFonts w:ascii="Times New Roman" w:hAnsi="Times New Roman" w:cs="Times New Roman"/>
          <w:sz w:val="24"/>
          <w:szCs w:val="24"/>
        </w:rPr>
      </w:pPr>
      <w:r>
        <w:rPr>
          <w:rFonts w:ascii="Times New Roman" w:hAnsi="Times New Roman" w:cs="Times New Roman"/>
          <w:sz w:val="24"/>
          <w:szCs w:val="24"/>
        </w:rPr>
        <w:t xml:space="preserve">Af </w:t>
      </w:r>
      <w:r w:rsidR="00065BBB" w:rsidRPr="00796736">
        <w:rPr>
          <w:rFonts w:ascii="Times New Roman" w:hAnsi="Times New Roman" w:cs="Times New Roman"/>
          <w:sz w:val="24"/>
          <w:szCs w:val="24"/>
        </w:rPr>
        <w:t xml:space="preserve">§ 58, stk. 7 i den gældende hvidvasklov fremgår det, at virksomheder og personer, et medlem af en virksomheds øverste eller daglige ledelse samt en reel ejer af en virksomhed skal meddele Erhvervsstyrelsen oplysninger om efterfølgende ændringer af forhold, hvorpå de har opnået en registrering som udbyder tjenesteydelser til virksomheder hos Erhvervsstyrelsen. Den foreslåede </w:t>
      </w:r>
      <w:r w:rsidR="00065BBB" w:rsidRPr="00796736">
        <w:rPr>
          <w:rFonts w:ascii="Times New Roman" w:eastAsia="Calibri" w:hAnsi="Times New Roman" w:cs="Times New Roman"/>
          <w:sz w:val="24"/>
          <w:szCs w:val="24"/>
        </w:rPr>
        <w:fldChar w:fldCharType="begin"/>
      </w:r>
      <w:r w:rsidR="00065BBB" w:rsidRPr="00796736">
        <w:rPr>
          <w:rFonts w:ascii="Times New Roman" w:eastAsia="Calibri" w:hAnsi="Times New Roman" w:cs="Times New Roman"/>
          <w:sz w:val="24"/>
          <w:szCs w:val="24"/>
        </w:rPr>
        <w:instrText xml:space="preserve"> REF _Ref232610061 \r \h  \* MERGEFORMAT </w:instrText>
      </w:r>
      <w:r w:rsidR="00065BBB" w:rsidRPr="00796736">
        <w:rPr>
          <w:rFonts w:ascii="Times New Roman" w:eastAsia="Calibri" w:hAnsi="Times New Roman" w:cs="Times New Roman"/>
          <w:sz w:val="24"/>
          <w:szCs w:val="24"/>
        </w:rPr>
      </w:r>
      <w:r w:rsidR="00065BBB"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136</w:t>
      </w:r>
      <w:r w:rsidR="00065BBB" w:rsidRPr="00796736">
        <w:rPr>
          <w:rFonts w:ascii="Times New Roman" w:eastAsia="Calibri" w:hAnsi="Times New Roman" w:cs="Times New Roman"/>
          <w:sz w:val="24"/>
          <w:szCs w:val="24"/>
        </w:rPr>
        <w:fldChar w:fldCharType="end"/>
      </w:r>
      <w:r w:rsidR="00065BBB" w:rsidRPr="00796736">
        <w:rPr>
          <w:rFonts w:ascii="Times New Roman" w:eastAsia="Calibri" w:hAnsi="Times New Roman" w:cs="Times New Roman"/>
          <w:sz w:val="24"/>
          <w:szCs w:val="24"/>
        </w:rPr>
        <w:t xml:space="preserve"> </w:t>
      </w:r>
      <w:r w:rsidR="00065BBB" w:rsidRPr="00796736">
        <w:rPr>
          <w:rFonts w:ascii="Times New Roman" w:hAnsi="Times New Roman" w:cs="Times New Roman"/>
          <w:sz w:val="24"/>
          <w:szCs w:val="24"/>
        </w:rPr>
        <w:t>omhandler Erhvervsstyrelsens adgang til at pålægge en virksomhed eller person, underlagt styrelsens tilsyn, tvangsbøder for manglende efterkommelse af et af Erhvervsstyrelsen afgivet påbud i medfør af den foreslåede §</w:t>
      </w:r>
      <w:r w:rsidR="00065BBB" w:rsidRPr="00796736">
        <w:rPr>
          <w:rFonts w:ascii="Times New Roman" w:hAnsi="Times New Roman" w:cs="Times New Roman"/>
          <w:sz w:val="24"/>
          <w:szCs w:val="24"/>
        </w:rPr>
        <w:fldChar w:fldCharType="begin"/>
      </w:r>
      <w:r w:rsidR="00065BBB" w:rsidRPr="00796736">
        <w:rPr>
          <w:rFonts w:ascii="Times New Roman" w:hAnsi="Times New Roman" w:cs="Times New Roman"/>
          <w:sz w:val="24"/>
          <w:szCs w:val="24"/>
        </w:rPr>
        <w:instrText xml:space="preserve"> REF _Ref232597715 \r \h </w:instrText>
      </w:r>
      <w:r w:rsidR="001A2696" w:rsidRPr="00796736">
        <w:rPr>
          <w:rFonts w:ascii="Times New Roman" w:hAnsi="Times New Roman" w:cs="Times New Roman"/>
          <w:sz w:val="24"/>
          <w:szCs w:val="24"/>
        </w:rPr>
        <w:instrText xml:space="preserve"> \* MERGEFORMAT </w:instrText>
      </w:r>
      <w:r w:rsidR="00065BBB" w:rsidRPr="00796736">
        <w:rPr>
          <w:rFonts w:ascii="Times New Roman" w:hAnsi="Times New Roman" w:cs="Times New Roman"/>
          <w:sz w:val="24"/>
          <w:szCs w:val="24"/>
        </w:rPr>
      </w:r>
      <w:r w:rsidR="00065BB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87</w:t>
      </w:r>
      <w:r w:rsidR="00065BBB" w:rsidRPr="00796736">
        <w:rPr>
          <w:rFonts w:ascii="Times New Roman" w:hAnsi="Times New Roman" w:cs="Times New Roman"/>
          <w:sz w:val="24"/>
          <w:szCs w:val="24"/>
        </w:rPr>
        <w:fldChar w:fldCharType="end"/>
      </w:r>
      <w:r w:rsidR="00065BBB" w:rsidRPr="00796736">
        <w:rPr>
          <w:rFonts w:ascii="Times New Roman" w:hAnsi="Times New Roman" w:cs="Times New Roman"/>
          <w:sz w:val="24"/>
          <w:szCs w:val="24"/>
        </w:rPr>
        <w:t xml:space="preserve"> – </w:t>
      </w:r>
      <w:r w:rsidR="00065BBB" w:rsidRPr="00796736">
        <w:rPr>
          <w:rFonts w:ascii="Times New Roman" w:hAnsi="Times New Roman" w:cs="Times New Roman"/>
          <w:sz w:val="24"/>
          <w:szCs w:val="24"/>
        </w:rPr>
        <w:fldChar w:fldCharType="begin"/>
      </w:r>
      <w:r w:rsidR="00065BBB" w:rsidRPr="00796736">
        <w:rPr>
          <w:rFonts w:ascii="Times New Roman" w:hAnsi="Times New Roman" w:cs="Times New Roman"/>
          <w:sz w:val="24"/>
          <w:szCs w:val="24"/>
        </w:rPr>
        <w:instrText xml:space="preserve"> REF _Ref232608896 \r \h </w:instrText>
      </w:r>
      <w:r w:rsidR="001A2696" w:rsidRPr="00796736">
        <w:rPr>
          <w:rFonts w:ascii="Times New Roman" w:hAnsi="Times New Roman" w:cs="Times New Roman"/>
          <w:sz w:val="24"/>
          <w:szCs w:val="24"/>
        </w:rPr>
        <w:instrText xml:space="preserve"> \* MERGEFORMAT </w:instrText>
      </w:r>
      <w:r w:rsidR="00065BBB" w:rsidRPr="00796736">
        <w:rPr>
          <w:rFonts w:ascii="Times New Roman" w:hAnsi="Times New Roman" w:cs="Times New Roman"/>
          <w:sz w:val="24"/>
          <w:szCs w:val="24"/>
        </w:rPr>
      </w:r>
      <w:r w:rsidR="00065BB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89</w:t>
      </w:r>
      <w:r w:rsidR="00065BBB" w:rsidRPr="00796736">
        <w:rPr>
          <w:rFonts w:ascii="Times New Roman" w:hAnsi="Times New Roman" w:cs="Times New Roman"/>
          <w:sz w:val="24"/>
          <w:szCs w:val="24"/>
        </w:rPr>
        <w:fldChar w:fldCharType="end"/>
      </w:r>
      <w:r w:rsidR="00065BBB" w:rsidRPr="00796736">
        <w:rPr>
          <w:rFonts w:ascii="Times New Roman" w:hAnsi="Times New Roman" w:cs="Times New Roman"/>
          <w:sz w:val="24"/>
          <w:szCs w:val="24"/>
        </w:rPr>
        <w:t xml:space="preserve">, </w:t>
      </w:r>
      <w:r w:rsidR="00065BBB" w:rsidRPr="00796736">
        <w:rPr>
          <w:rFonts w:ascii="Times New Roman" w:hAnsi="Times New Roman" w:cs="Times New Roman"/>
          <w:sz w:val="24"/>
          <w:szCs w:val="24"/>
        </w:rPr>
        <w:fldChar w:fldCharType="begin"/>
      </w:r>
      <w:r w:rsidR="00065BBB" w:rsidRPr="00796736">
        <w:rPr>
          <w:rFonts w:ascii="Times New Roman" w:hAnsi="Times New Roman" w:cs="Times New Roman"/>
          <w:sz w:val="24"/>
          <w:szCs w:val="24"/>
        </w:rPr>
        <w:instrText xml:space="preserve"> REF _Ref232608940 \r \h </w:instrText>
      </w:r>
      <w:r w:rsidR="001A2696" w:rsidRPr="00796736">
        <w:rPr>
          <w:rFonts w:ascii="Times New Roman" w:hAnsi="Times New Roman" w:cs="Times New Roman"/>
          <w:sz w:val="24"/>
          <w:szCs w:val="24"/>
        </w:rPr>
        <w:instrText xml:space="preserve"> \* MERGEFORMAT </w:instrText>
      </w:r>
      <w:r w:rsidR="00065BBB" w:rsidRPr="00796736">
        <w:rPr>
          <w:rFonts w:ascii="Times New Roman" w:hAnsi="Times New Roman" w:cs="Times New Roman"/>
          <w:sz w:val="24"/>
          <w:szCs w:val="24"/>
        </w:rPr>
      </w:r>
      <w:r w:rsidR="00065BB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91</w:t>
      </w:r>
      <w:r w:rsidR="00065BBB" w:rsidRPr="00796736">
        <w:rPr>
          <w:rFonts w:ascii="Times New Roman" w:hAnsi="Times New Roman" w:cs="Times New Roman"/>
          <w:sz w:val="24"/>
          <w:szCs w:val="24"/>
        </w:rPr>
        <w:fldChar w:fldCharType="end"/>
      </w:r>
      <w:r w:rsidR="00065BBB" w:rsidRPr="00796736">
        <w:rPr>
          <w:rFonts w:ascii="Times New Roman" w:hAnsi="Times New Roman" w:cs="Times New Roman"/>
          <w:sz w:val="24"/>
          <w:szCs w:val="24"/>
        </w:rPr>
        <w:t xml:space="preserve">, stk. 4 og </w:t>
      </w:r>
      <w:r w:rsidR="00065BBB" w:rsidRPr="00796736">
        <w:rPr>
          <w:rFonts w:ascii="Times New Roman" w:hAnsi="Times New Roman" w:cs="Times New Roman"/>
          <w:sz w:val="24"/>
          <w:szCs w:val="24"/>
        </w:rPr>
        <w:fldChar w:fldCharType="begin"/>
      </w:r>
      <w:r w:rsidR="00065BBB" w:rsidRPr="00796736">
        <w:rPr>
          <w:rFonts w:ascii="Times New Roman" w:hAnsi="Times New Roman" w:cs="Times New Roman"/>
          <w:sz w:val="24"/>
          <w:szCs w:val="24"/>
        </w:rPr>
        <w:instrText xml:space="preserve"> REF _Ref233056803 \r \h </w:instrText>
      </w:r>
      <w:r w:rsidR="001A2696" w:rsidRPr="00796736">
        <w:rPr>
          <w:rFonts w:ascii="Times New Roman" w:hAnsi="Times New Roman" w:cs="Times New Roman"/>
          <w:sz w:val="24"/>
          <w:szCs w:val="24"/>
        </w:rPr>
        <w:instrText xml:space="preserve"> \* MERGEFORMAT </w:instrText>
      </w:r>
      <w:r w:rsidR="00065BBB" w:rsidRPr="00796736">
        <w:rPr>
          <w:rFonts w:ascii="Times New Roman" w:hAnsi="Times New Roman" w:cs="Times New Roman"/>
          <w:sz w:val="24"/>
          <w:szCs w:val="24"/>
        </w:rPr>
      </w:r>
      <w:r w:rsidR="00065BBB"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93</w:t>
      </w:r>
      <w:r w:rsidR="00065BBB" w:rsidRPr="00796736">
        <w:rPr>
          <w:rFonts w:ascii="Times New Roman" w:hAnsi="Times New Roman" w:cs="Times New Roman"/>
          <w:sz w:val="24"/>
          <w:szCs w:val="24"/>
        </w:rPr>
        <w:fldChar w:fldCharType="end"/>
      </w:r>
      <w:r w:rsidR="00065BBB" w:rsidRPr="00796736">
        <w:rPr>
          <w:rFonts w:ascii="Times New Roman" w:hAnsi="Times New Roman" w:cs="Times New Roman"/>
          <w:sz w:val="24"/>
          <w:szCs w:val="24"/>
        </w:rPr>
        <w:t xml:space="preserve">.  </w:t>
      </w:r>
    </w:p>
    <w:p w14:paraId="70328EE3" w14:textId="562338F5" w:rsidR="00065BBB" w:rsidRPr="003D2A25" w:rsidRDefault="00065BBB" w:rsidP="00A802A5">
      <w:pPr>
        <w:spacing w:after="240" w:line="360" w:lineRule="auto"/>
        <w:jc w:val="left"/>
        <w:rPr>
          <w:rFonts w:ascii="Times New Roman" w:hAnsi="Times New Roman" w:cs="Times New Roman"/>
          <w:sz w:val="24"/>
          <w:szCs w:val="24"/>
        </w:rPr>
      </w:pPr>
      <w:r w:rsidRPr="00796736">
        <w:rPr>
          <w:rFonts w:ascii="Times New Roman" w:eastAsia="Calibri" w:hAnsi="Times New Roman" w:cs="Times New Roman"/>
          <w:iCs/>
          <w:sz w:val="24"/>
          <w:szCs w:val="24"/>
        </w:rPr>
        <w:t xml:space="preserve">Bestemmelsen implementerer artikel 37, stk. 6, litra b, artikel 53, stk. 1, 2 og 6, og artikel 57. </w:t>
      </w:r>
    </w:p>
    <w:p w14:paraId="5EA0883C" w14:textId="70327387" w:rsidR="00065BBB" w:rsidRPr="00796736" w:rsidRDefault="00065BBB" w:rsidP="00A802A5">
      <w:pPr>
        <w:spacing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1</w:t>
      </w:r>
      <w:r w:rsidRPr="00796736">
        <w:rPr>
          <w:rFonts w:ascii="Times New Roman" w:eastAsia="Calibri" w:hAnsi="Times New Roman" w:cs="Times New Roman"/>
          <w:iCs/>
          <w:sz w:val="24"/>
          <w:szCs w:val="24"/>
        </w:rPr>
        <w:t xml:space="preserve">, at undlader en virksomhed eller en person, som er </w:t>
      </w:r>
      <w:r w:rsidRPr="00796736">
        <w:rPr>
          <w:rFonts w:ascii="Times New Roman" w:eastAsia="Calibri" w:hAnsi="Times New Roman" w:cs="Times New Roman"/>
          <w:sz w:val="24"/>
          <w:szCs w:val="24"/>
        </w:rPr>
        <w:t xml:space="preserve">omfattet af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_Ref236730892 \r \h </w:instrText>
      </w:r>
      <w:r w:rsidR="001A2696" w:rsidRPr="00796736">
        <w:rPr>
          <w:rFonts w:ascii="Times New Roman" w:eastAsia="Calibri" w:hAnsi="Times New Roman" w:cs="Times New Roman"/>
          <w:sz w:val="24"/>
          <w:szCs w:val="24"/>
        </w:rPr>
        <w:instrText xml:space="preserve">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79</w:t>
      </w:r>
      <w:r w:rsidRPr="00796736">
        <w:rPr>
          <w:rFonts w:ascii="Times New Roman" w:eastAsia="Calibri" w:hAnsi="Times New Roman" w:cs="Times New Roman"/>
          <w:sz w:val="24"/>
          <w:szCs w:val="24"/>
        </w:rPr>
        <w:fldChar w:fldCharType="end"/>
      </w:r>
      <w:r w:rsidRPr="00796736">
        <w:rPr>
          <w:rFonts w:ascii="Times New Roman" w:eastAsia="Times New Roman" w:hAnsi="Times New Roman" w:cs="Times New Roman"/>
          <w:sz w:val="24"/>
          <w:szCs w:val="24"/>
          <w:lang w:eastAsia="da-DK"/>
        </w:rPr>
        <w:t xml:space="preserve">, at efterkomme et påbud meddelt i medfør af </w:t>
      </w:r>
      <w:r w:rsidRPr="00796736">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_Ref232597715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87</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_Ref232608896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89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_Ref232608940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4 og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_Ref233056803 \r \h </w:instrText>
      </w:r>
      <w:r w:rsidR="001A2696"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93</w:t>
      </w:r>
      <w:r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kan Erhvervsstyrelsen som tvangsmiddel pålægge personen, virksomheden eller de for virksomheden ansvarlige personer daglige eller ugentlige bøder.</w:t>
      </w:r>
    </w:p>
    <w:p w14:paraId="4F9743AE" w14:textId="77777777" w:rsidR="00065BBB" w:rsidRPr="00796736" w:rsidRDefault="00065BBB" w:rsidP="00A802A5">
      <w:pPr>
        <w:spacing w:line="360" w:lineRule="auto"/>
        <w:rPr>
          <w:rFonts w:ascii="Times New Roman" w:eastAsia="Times New Roman" w:hAnsi="Times New Roman" w:cs="Times New Roman"/>
          <w:sz w:val="24"/>
          <w:szCs w:val="24"/>
          <w:lang w:eastAsia="da-DK"/>
        </w:rPr>
      </w:pPr>
    </w:p>
    <w:p w14:paraId="790C5AE6"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fremgår af præambelbetragtning nr. 106 i 6. hvidvaskdirektiv, at forpligtede enheders rettidige overholdelse af administrative foranstaltninger, der finder anvendelse på dem, er afgørende for at sikre et tilstrækkeligt og konsekvent beskyttelsesniveau mod hvidvask af penge, de underliggende lovovertrædelser og finansiering af terrorisme i hele det indre marked. Hvis forpligtede enheder ikke overholder de administrative foranstaltninger inden for den fastsatte frist, skal tilsynsorganerne kunne lægge øget pres på den forpligtede enhed for straks at genoprette overholdelsen.</w:t>
      </w:r>
    </w:p>
    <w:p w14:paraId="6A0830F3"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følger yderligere af præambelbetragtning nr. 106 i 6. hvidvaskdirektiv, at ved beregning af tvangsbødernes størrelse bør tilsynsorganerne tage hensyn til den forpligtede enheds samlede omsætning og typen og grovheden af den overtrædelse eller svaghed, som tilsynsforanstaltningen er rettet mod, for at sikre dens effektivitet og proportionalitet.</w:t>
      </w:r>
    </w:p>
    <w:p w14:paraId="574ABCCF"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medfører, at Erhvervsstyrelsen, ved konstatering af, at en person eller virksomhed ikke har efterkommet et afgivet påbud inden for den af Erhvervsstyrelsen fastsatte frist, får mulighed for at gennemtvinge efterkommelse af påbuddet ved at lægge et øget pres på vedkommende med henblik på at genoprette overholdelsen af lovgivningen. </w:t>
      </w:r>
    </w:p>
    <w:p w14:paraId="693A2591"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Tvangsbøder udstedt af Erhvervsstyrelsen skal være effektive og proportionale. Tvangsbøderne pålægges som udgangspunkt indtil den pågældende person eller virksomhed efterkommer påbuddet, jf. dog stk. 4, hvorefter tvangsbøderne højst kan pålægges i en periode på seks måneder med mulighed for forlængelse til op til maksimalt en samlet periode på 12 måneder.</w:t>
      </w:r>
    </w:p>
    <w:p w14:paraId="76C019BE"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Tvangsbøden vil blive pålagt den, der har en handlepligt i loven. Medlemmer af en virksomheds ledelse kan derfor ikke pålægges tvangsbøder i de tilfælde, hvor det er virksomheden, der har en pligt til at handle. </w:t>
      </w:r>
    </w:p>
    <w:p w14:paraId="42A887B5"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Ved fastsættelsen af tvangsbødens størrelse vil der skulle tages hensyn til virksomhedens og personens økonomiske formåen, så de daglige tvangsbøder vil være effektive og proportionale, men bødestørrelsen beror i øvrigt på et konkret skøn. </w:t>
      </w:r>
    </w:p>
    <w:p w14:paraId="566B03FE"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Daglige tvangsbøder gives for hver kalenderdag, det vil sige syv dage om ugen og uafhængigt af virksomhedens åbningstider, aktivitet mv.</w:t>
      </w:r>
    </w:p>
    <w:p w14:paraId="62850DEC"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Tvangsbøder udstedt til juridiske personer må ikke overstige 3 pct. af den juridiske persons gennemsnitlige daglige omsætning i det foregående regnskabsår.</w:t>
      </w:r>
    </w:p>
    <w:p w14:paraId="25741118"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Tvangsbøder udstedt til fysiske personer må ikke overstige 2 pct. af den fysiske persons gennemsnitlige daglige indtægt i det foregående kalenderår. </w:t>
      </w:r>
    </w:p>
    <w:p w14:paraId="70C090F2" w14:textId="1D267F65" w:rsidR="00065BBB" w:rsidRPr="00796736" w:rsidRDefault="00065BBB" w:rsidP="00A802A5">
      <w:pPr>
        <w:spacing w:after="240" w:line="360" w:lineRule="auto"/>
        <w:rPr>
          <w:rFonts w:ascii="Times New Roman" w:hAnsi="Times New Roman" w:cs="Times New Roman"/>
          <w:sz w:val="24"/>
          <w:szCs w:val="24"/>
        </w:rPr>
      </w:pPr>
      <w:r w:rsidRPr="00796736">
        <w:rPr>
          <w:rFonts w:ascii="Times New Roman" w:hAnsi="Times New Roman" w:cs="Times New Roman"/>
          <w:sz w:val="24"/>
          <w:szCs w:val="24"/>
        </w:rPr>
        <w:t>Erhvervsstyrelsen kan ved en persons eller virksomheds manglende efterkommelse af et påbud om udlevering af de for tilsynet påkrævede oplysninger tvangsmiddel pålægge virksomheden eller personen daglige eller ugentlige tvangsbøder i overensstemmelse med denne bestemmelse. Det bemærkes dog, at der ikke kan pålægges tvangsbøder om udlevering af oplysninger, hvis Erhvervsstyrelsen har en konkret mistanke om, at en enkeltperson eller en juridisk person har begået en lovovertrædelse, jf. § 10 i lov om retssikkerhed ved forvaltningens anvendelse af tvangsindgreb og oplysningspligter (retssikkerhedsloven). Tvangsbøder kan dog anvendes, hvis det kan udelukkes, at de oplysninger, som søges tilvejebragt, kan have betydning for bedømmelsen af den formodede lovovertrædelse. Der henvises til retssikkerhedsloven for fortolkningen af denne bestemmelse.</w:t>
      </w:r>
    </w:p>
    <w:p w14:paraId="26857BD7"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Betales en tvangsbøde ikke, kan der fastsættes en forvandlingsstraf, uanset at tvangsbøden er pålagt ved en administrativ afgørelse, jf. § 17 i lovbekendtgørelse nr. 608 af 6. september 1986 om ikrafttræden af borgerlig straffelov m.m. Det er politiet, der træffer afgørelse om, at forvandlingsstraf skal træde i stedet for tvangsbøder, jf. § 13 i bekendtgørelse nr. 275 af 12. februar 2026 om opkrævning af visse bøder, offerbidrag, konfiskationsbeløb, sagsomkostninger m.v. samt afgørelse om udståelse af forvandlingsstraf for bøde (bødebekendtgørelsen).</w:t>
      </w:r>
    </w:p>
    <w:p w14:paraId="69ECBE8B"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Hvis tvangsbøder ikke straks betales eller inddrives, skal tilsynsmyndigheden oversende sagen til politiet med henblik på afgørelse af, hvorvidt den pågældende skal udstå forvandlingsstraf for tvangsbøderne, jf. § 40 i bekendtgørelse nr. 1110 af 25. oktober 2024 om inddrivelse af gæld til det offentlige.</w:t>
      </w:r>
    </w:p>
    <w:p w14:paraId="3A56D9BA"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 særlige regler på området er begrundet med tvangsbøders særlige formål, som er at gennemtvinge opfyldelsen af en lovbestemt forpligtigelse.</w:t>
      </w:r>
    </w:p>
    <w:p w14:paraId="30EB7862"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Politiets afgørelse om, at skyldneren skal udstå forvandlingsstraf for tvangsbøderne, forudsætter derfor også, at det ved politiets behandling af sagen kan lægges til grund, at handlepligten aktuelt ikke er opfyldt. Politiets behandling af sagen sker typisk på grundlag af oplysninger fra fordringshaver. Efter omstændighederne kan politiet eventuelt bistå med undersøgelsen heraf.</w:t>
      </w:r>
    </w:p>
    <w:p w14:paraId="547609D6"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Hvis tilsynsmyndigheden, efter at sagen er oversendt til politiet, modtager oplysning om, at forpligtelsen er opfyldt, skal myndigheden hurtigst muligt orientere politiet herom.</w:t>
      </w:r>
    </w:p>
    <w:p w14:paraId="4F644676"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Erhvervsstyrelsen skal inddrage de reguleringsmæssige tekniske standarder, der fastsætter en metode til pålæggelse af tvangsbøder i henhold til 6. hvidvaskdirektivs artikel 57, som Kommissionen udsteder i medfør af AMLA-forordningens artikel 49, jf. hvidvaskdirektivets artikel 53, stk. 10.</w:t>
      </w:r>
    </w:p>
    <w:p w14:paraId="54EFF009"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2</w:t>
      </w:r>
      <w:r w:rsidRPr="00796736">
        <w:rPr>
          <w:rFonts w:ascii="Times New Roman" w:eastAsia="Calibri" w:hAnsi="Times New Roman" w:cs="Times New Roman"/>
          <w:iCs/>
          <w:sz w:val="24"/>
          <w:szCs w:val="24"/>
        </w:rPr>
        <w:t>, at tvangsbøder tidligst kan pålægges efter udløbet af den af Erhvervsstyrelsen fastsatte frist for efterkommelse af det pågældende påbud.</w:t>
      </w:r>
    </w:p>
    <w:p w14:paraId="13D87AF0"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følger blandt andet af præambelbetragtning nr. 106 i 6. hvidvaskdirektiv, at med henblik herpå bør det være muligt for tilsynsorganerne at pålægge tvangsbøder fra den frist, der er fastsat for at genoprette overholdelsen af den administrative foranstaltning, herunder med tilbagevirkende kraft, når afgørelsen om at pålægge tvangsbøden træffes på et senere tidspunkt.</w:t>
      </w:r>
    </w:p>
    <w:p w14:paraId="72F111B7" w14:textId="77777777" w:rsidR="00065BBB" w:rsidRPr="00796736" w:rsidRDefault="00065BBB" w:rsidP="00A802A5">
      <w:pPr>
        <w:spacing w:line="360" w:lineRule="auto"/>
        <w:rPr>
          <w:rFonts w:ascii="Times New Roman" w:eastAsia="Calibri" w:hAnsi="Times New Roman" w:cs="Times New Roman"/>
          <w:sz w:val="24"/>
          <w:szCs w:val="24"/>
        </w:rPr>
      </w:pPr>
      <w:r w:rsidRPr="00796736">
        <w:rPr>
          <w:rFonts w:ascii="Times New Roman" w:eastAsia="Times New Roman" w:hAnsi="Times New Roman" w:cs="Times New Roman"/>
          <w:sz w:val="24"/>
          <w:szCs w:val="24"/>
        </w:rPr>
        <w:t>Erhvervsstyrelsen kan pålægge en tvangsbøde fra den dato, hvor fristen for efterlevelse af påbuddet er overskredet, og indtil påbuddet efterleves, jf. dog stk. 4. Hvis tvangsbøden pålægges på et senere tidspunkt, kan tvangsbøden pålægges med tilbagevirkende kraft regnet fra udløbet af fristen for efterkommelse af påbuddet.</w:t>
      </w:r>
    </w:p>
    <w:p w14:paraId="25419317" w14:textId="77777777" w:rsidR="00065BBB" w:rsidRPr="00796736" w:rsidRDefault="00065BBB" w:rsidP="00A802A5">
      <w:pPr>
        <w:spacing w:line="360" w:lineRule="auto"/>
        <w:rPr>
          <w:rFonts w:ascii="Times New Roman" w:eastAsia="Times New Roman" w:hAnsi="Times New Roman" w:cs="Times New Roman"/>
          <w:sz w:val="24"/>
          <w:szCs w:val="24"/>
        </w:rPr>
      </w:pPr>
    </w:p>
    <w:p w14:paraId="5FB4ABB3"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3</w:t>
      </w:r>
      <w:r w:rsidRPr="00796736">
        <w:rPr>
          <w:rFonts w:ascii="Times New Roman" w:eastAsia="Calibri" w:hAnsi="Times New Roman" w:cs="Times New Roman"/>
          <w:iCs/>
          <w:sz w:val="24"/>
          <w:szCs w:val="24"/>
        </w:rPr>
        <w:t>, at tvangsbøder kan pålægges, indtil virksomheden eller personen efterkommer påbuddet, jf. dog stk. 4.</w:t>
      </w:r>
    </w:p>
    <w:p w14:paraId="312BE3C5"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medføre, at der kan pålægges tvangsbøder indtil virksomheden eller personen efterkommer påbuddet, dog kun i perioden fastsat i stk. 4.  En person eller en virksomhed der efterkommer et påbud, vil ikke fortsat kunne blive mødt med tvangsbøder, da der herefter ikke vil være behov for anvendelse af et sådant tvangsmiddel.  </w:t>
      </w:r>
    </w:p>
    <w:p w14:paraId="7BCDCC10"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4</w:t>
      </w:r>
      <w:r w:rsidRPr="00796736">
        <w:rPr>
          <w:rFonts w:ascii="Times New Roman" w:eastAsia="Calibri" w:hAnsi="Times New Roman" w:cs="Times New Roman"/>
          <w:iCs/>
          <w:sz w:val="24"/>
          <w:szCs w:val="24"/>
        </w:rPr>
        <w:t>, at tvangsbøder kun må pålægges i en periode på højst 6 måneder efter meddelelse af Erhvervsstyrelsens afgørelse om pålæggelse af tvangsbøden. Dog kan Erhvervsstyrelsen pålægge tvangsbøder i en yderligere periode på 6 måneder, hvis virksomheden eller personen ved udløbet af de første 6 måneder endnu ikke har efterkommet reaktionen.</w:t>
      </w:r>
    </w:p>
    <w:p w14:paraId="211A774D"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følger af præambelbetragtning nr. 106 i 6. hvidvaskdirektiv, at målet med tvangsbøder om at presse en forpligtet enhed til at overholde en administrativ foranstaltning bør disse være tidsbegrænsede og finde anvendelse i højst seks måneder. Det bør være muligt for tilsynsorganerne at forlænge pålæggelsen af tvangsbøder med yderligere maksimalt seks måneder, men der bør overvejes alternative foranstaltninger til at afhjælpe en længerevarende situation med manglende overholdelse i overensstemmelse med den brede vifte af administrative foranstaltninger, som tilsynsorganerne kan anvende.</w:t>
      </w:r>
    </w:p>
    <w:p w14:paraId="0F5F979F"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Bestemmelsen medfører, at tvangsbøderne som udgangspunkt pålægges indtil den pågældende person eller virksomhed efterkommer påbuddet. Tvangsbøderne kan som udgangspunkt højst pålægges i en periode på seks måneder. Erhvervsstyrelsen kan efter udløbet af den første periode på seks måneder forlænge perioden for pålæggelsen af tvangsbøderne med op til yderligere seks måneder, såfremt Erhvervsstyrelsen konstaterer, at virksomheden eller personen fortsat ikke har efterkommet det pågældende påbud. Den samlede maksimale periode for pålæggelse af tvangsbøder udgør dermed 12 måneder regnet fra fristen for efterkommelsen af påbuddet.</w:t>
      </w:r>
    </w:p>
    <w:p w14:paraId="61486FA6" w14:textId="77777777" w:rsidR="00065BBB" w:rsidRPr="00796736" w:rsidRDefault="00065BBB"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Erhvervsstyrelsen kan som alternativ til forlængelsen af tvangsbødeperioden overveje iværksættelse af andre reaktionsmuligheder.</w:t>
      </w:r>
    </w:p>
    <w:p w14:paraId="185E06F4" w14:textId="77777777" w:rsidR="00E0341A" w:rsidRPr="00796736" w:rsidRDefault="00E0341A" w:rsidP="00A802A5">
      <w:pPr>
        <w:spacing w:line="360" w:lineRule="auto"/>
        <w:rPr>
          <w:rFonts w:ascii="Times New Roman" w:hAnsi="Times New Roman" w:cs="Times New Roman"/>
          <w:sz w:val="24"/>
          <w:szCs w:val="24"/>
          <w:lang w:eastAsia="da-DK"/>
        </w:rPr>
      </w:pPr>
    </w:p>
    <w:p w14:paraId="6A3D7C74" w14:textId="50160E50" w:rsidR="00E0341A" w:rsidRPr="00796736" w:rsidRDefault="00E0341A" w:rsidP="00A802A5">
      <w:pPr>
        <w:pStyle w:val="Undertitel"/>
      </w:pPr>
      <w:bookmarkStart w:id="2254" w:name="_Toc232109454"/>
      <w:bookmarkStart w:id="2255" w:name="_Toc244879433"/>
      <w:bookmarkStart w:id="2256" w:name="_Toc244880958"/>
      <w:r w:rsidRPr="00796736">
        <w:t xml:space="preserve">Til </w:t>
      </w:r>
      <w:r w:rsidRPr="00796736">
        <w:fldChar w:fldCharType="begin"/>
      </w:r>
      <w:r w:rsidRPr="00796736">
        <w:instrText xml:space="preserve"> REF _Ref232610091 \r \h  \* MERGEFORMAT </w:instrText>
      </w:r>
      <w:r w:rsidRPr="00796736">
        <w:fldChar w:fldCharType="separate"/>
      </w:r>
      <w:r w:rsidR="008F29E5">
        <w:t>§ 137</w:t>
      </w:r>
      <w:bookmarkEnd w:id="2255"/>
      <w:bookmarkEnd w:id="2256"/>
      <w:r w:rsidRPr="00796736">
        <w:fldChar w:fldCharType="end"/>
      </w:r>
      <w:r w:rsidRPr="00796736">
        <w:t xml:space="preserve"> </w:t>
      </w:r>
      <w:bookmarkEnd w:id="2254"/>
    </w:p>
    <w:p w14:paraId="04112043" w14:textId="77777777" w:rsidR="00980C7C" w:rsidRPr="00796736" w:rsidRDefault="00980C7C" w:rsidP="00A802A5">
      <w:pPr>
        <w:spacing w:after="240" w:line="360" w:lineRule="auto"/>
        <w:jc w:val="left"/>
        <w:rPr>
          <w:rFonts w:ascii="Times New Roman" w:hAnsi="Times New Roman" w:cs="Times New Roman"/>
          <w:sz w:val="24"/>
          <w:szCs w:val="24"/>
        </w:rPr>
      </w:pPr>
      <w:r w:rsidRPr="00796736">
        <w:rPr>
          <w:rFonts w:ascii="Times New Roman" w:hAnsi="Times New Roman" w:cs="Times New Roman"/>
          <w:sz w:val="24"/>
          <w:szCs w:val="24"/>
        </w:rPr>
        <w:t>Det fremgår af hvidvasklovens § 80, stk. 4, at undlader en virksomhed eller en person at opfylde de pligter, som efter loven påhviler dem i medfør af hvidvasklovens § 65, stk. 2, kan Spillemyndigheden som tvangsmiddel pålægge personen, virksomheden eller de for virksomheden ansvarlige personer daglige eller ugentlige bøder.</w:t>
      </w:r>
    </w:p>
    <w:p w14:paraId="200F6EAD" w14:textId="77777777" w:rsidR="00980C7C" w:rsidRPr="00796736" w:rsidRDefault="00980C7C" w:rsidP="00A802A5">
      <w:pPr>
        <w:spacing w:after="240" w:line="360" w:lineRule="auto"/>
        <w:jc w:val="left"/>
        <w:rPr>
          <w:rFonts w:ascii="Times New Roman" w:hAnsi="Times New Roman" w:cs="Times New Roman"/>
          <w:sz w:val="24"/>
          <w:szCs w:val="24"/>
        </w:rPr>
      </w:pPr>
      <w:r w:rsidRPr="00796736">
        <w:rPr>
          <w:rFonts w:ascii="Times New Roman" w:hAnsi="Times New Roman" w:cs="Times New Roman"/>
          <w:sz w:val="24"/>
          <w:szCs w:val="24"/>
        </w:rPr>
        <w:t>Efter hvidvasklovens § 65, stk. 2, skal udbydere af spil give Spillemyndigheden de oplysninger, der er nødvendige for myndighedens virksomhed.</w:t>
      </w:r>
    </w:p>
    <w:p w14:paraId="0B15AF81" w14:textId="5C68E45A"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fldChar w:fldCharType="begin"/>
      </w:r>
      <w:r w:rsidRPr="00796736">
        <w:rPr>
          <w:rFonts w:ascii="Times New Roman" w:hAnsi="Times New Roman" w:cs="Times New Roman"/>
          <w:sz w:val="24"/>
          <w:szCs w:val="24"/>
        </w:rPr>
        <w:instrText xml:space="preserve"> REF _Ref236647753 \r \h </w:instrText>
      </w:r>
      <w:r w:rsidR="007F4BB9" w:rsidRPr="00796736">
        <w:rPr>
          <w:rFonts w:ascii="Times New Roman" w:hAnsi="Times New Roman" w:cs="Times New Roman"/>
          <w:i/>
          <w:iCs/>
          <w:sz w:val="24"/>
          <w:szCs w:val="24"/>
        </w:rPr>
        <w:instrText xml:space="preserve"> \* MERGEFORMAT </w:instrText>
      </w:r>
      <w:r w:rsidRPr="00796736">
        <w:rPr>
          <w:rFonts w:ascii="Times New Roman" w:hAnsi="Times New Roman" w:cs="Times New Roman"/>
          <w:i/>
          <w:iCs/>
          <w:sz w:val="24"/>
          <w:szCs w:val="24"/>
        </w:rPr>
      </w:r>
      <w:r w:rsidRPr="00796736">
        <w:rPr>
          <w:rFonts w:ascii="Times New Roman" w:hAnsi="Times New Roman" w:cs="Times New Roman"/>
          <w:i/>
          <w:iCs/>
          <w:sz w:val="24"/>
          <w:szCs w:val="24"/>
        </w:rPr>
        <w:fldChar w:fldCharType="separate"/>
      </w:r>
      <w:r w:rsidR="008F29E5">
        <w:rPr>
          <w:rFonts w:ascii="Times New Roman" w:hAnsi="Times New Roman" w:cs="Times New Roman"/>
          <w:sz w:val="24"/>
          <w:szCs w:val="24"/>
        </w:rPr>
        <w:t>§ 137</w:t>
      </w:r>
      <w:r w:rsidRPr="00796736">
        <w:rPr>
          <w:rFonts w:ascii="Times New Roman" w:hAnsi="Times New Roman" w:cs="Times New Roman"/>
          <w:i/>
          <w:iCs/>
          <w:sz w:val="24"/>
          <w:szCs w:val="24"/>
        </w:rPr>
        <w:fldChar w:fldCharType="end"/>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 xml:space="preserve">at fastsætte regler om, at Spillemyndigheden vil kunne pålægge tvangsbøder til en virksomhed eller person omfattet af det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_Ref239189479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1, når den pågældende undlader at efterkomme et påbud i medfør af de foreslåede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_Ref236643746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_Ref232609511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119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_Ref232609546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w:t>
      </w:r>
      <w:r w:rsidR="00FE413F">
        <w:rPr>
          <w:rFonts w:ascii="Times New Roman" w:hAnsi="Times New Roman" w:cs="Times New Roman"/>
          <w:sz w:val="24"/>
          <w:szCs w:val="24"/>
        </w:rPr>
        <w:t xml:space="preserve"> </w:t>
      </w:r>
      <w:r w:rsidR="008F29E5">
        <w:rPr>
          <w:rFonts w:ascii="Times New Roman" w:hAnsi="Times New Roman" w:cs="Times New Roman"/>
          <w:sz w:val="24"/>
          <w:szCs w:val="24"/>
        </w:rPr>
        <w:t>120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stk. 5, </w:t>
      </w:r>
      <w:r w:rsidR="00FE413F">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_Ref241439504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121</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eller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_Ref239324511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122</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eastAsia="Times New Roman" w:hAnsi="Times New Roman" w:cs="Times New Roman"/>
          <w:sz w:val="24"/>
          <w:szCs w:val="24"/>
        </w:rPr>
        <w:t>Formålet med bestemmelsen er at sikre, at Spillemyndigheden vil have mulighed for at anvende tvangsbøder til at tvinge virksomheder og personer til at efterleve et påbud. Dette er nødvendigt for at sikre et tilstrækkeligt og konsekvent beskyttelsesniveau mod hvidvask af penge, de underliggende lovovertrædelser og finansiering af terrorisme i hele det indre marked.</w:t>
      </w:r>
    </w:p>
    <w:p w14:paraId="59FA945F" w14:textId="77777777" w:rsidR="00980C7C" w:rsidRPr="00796736" w:rsidRDefault="00980C7C" w:rsidP="00A802A5">
      <w:pPr>
        <w:spacing w:line="360" w:lineRule="auto"/>
        <w:rPr>
          <w:rFonts w:ascii="Times New Roman" w:eastAsia="Times New Roman" w:hAnsi="Times New Roman" w:cs="Times New Roman"/>
          <w:sz w:val="24"/>
          <w:szCs w:val="24"/>
        </w:rPr>
      </w:pPr>
    </w:p>
    <w:p w14:paraId="7D1AD64D" w14:textId="2B1EE5A9"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Tvangsbøder som tvangsmiddel kan anvendes til hurtigt og effektivt at gennemtvinge virksomhedens eller personens overholdelse af forpligtelser pålagt dem i medfør af hvidvaskreguleringen. Som alternativ til at forlænge en tvangsbødeperiode, kan Spillemyndigheden overveje at gøre brug af andre administrative foranstaltninger, hvis Spillemyndigheden vurderer, at afhjælpning af den manglende overholdelse kan opnås på anden vis</w:t>
      </w:r>
      <w:r w:rsidR="00EA5BF5" w:rsidRPr="00796736">
        <w:rPr>
          <w:rFonts w:ascii="Times New Roman" w:eastAsia="Times New Roman" w:hAnsi="Times New Roman" w:cs="Times New Roman"/>
          <w:sz w:val="24"/>
          <w:szCs w:val="24"/>
        </w:rPr>
        <w:t>.</w:t>
      </w:r>
    </w:p>
    <w:p w14:paraId="252655CD" w14:textId="77777777" w:rsidR="00EA5BF5" w:rsidRPr="00796736" w:rsidRDefault="00EA5BF5" w:rsidP="00A802A5">
      <w:pPr>
        <w:spacing w:line="360" w:lineRule="auto"/>
        <w:rPr>
          <w:rFonts w:ascii="Times New Roman" w:hAnsi="Times New Roman" w:cs="Times New Roman"/>
          <w:sz w:val="24"/>
          <w:szCs w:val="24"/>
        </w:rPr>
      </w:pPr>
    </w:p>
    <w:p w14:paraId="099C475B" w14:textId="7777777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Bestemmelsen implementerer artikel 37, stk. 6, litra b, artikel 53, stk. 1, 2 og 6, og artikel 57. </w:t>
      </w:r>
    </w:p>
    <w:p w14:paraId="4B6A1971" w14:textId="7777777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fremgår af præambelbetragtning nr. 106 i 6. hvidvaskdirektiv, at forpligtede enheders rettidige overholdelse af administrative foranstaltninger, der finder anvendelse på dem, er afgørende for at sikre et tilstrækkeligt og konsekvent beskyttelsesniveau mod hvidvask af penge, de underliggende lovovertrædelser og finansiering af terrorisme i hele det indre marked. Hvis forpligtede enheder ikke overholder de administrative foranstaltninger inden for den fastsatte frist, skal tilsynsorganerne kunne lægge øget pres på den forpligtede enhed for straks at genoprette overholdelsen.</w:t>
      </w:r>
    </w:p>
    <w:p w14:paraId="405EE469" w14:textId="7777777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Det følger yderligere af præambelbetragtning nr. 106 i 6. hvidvaskdirektiv, at ved beregning af tvangsbødernes størrelse bør tilsynsorganerne tage hensyn til den forpligtede enheds samlede omsætning og typen og grovheden af den overtrædelse eller svaghed, som tilsynsforanstaltningen er rettet mod, for at sikre dens effektivitet og proportionalitet.</w:t>
      </w:r>
    </w:p>
    <w:p w14:paraId="136D5A40" w14:textId="51F52F65" w:rsidR="00980C7C" w:rsidRPr="00796736" w:rsidRDefault="00980C7C" w:rsidP="00A802A5">
      <w:pPr>
        <w:spacing w:line="360" w:lineRule="auto"/>
        <w:rPr>
          <w:rFonts w:ascii="Times New Roman" w:eastAsia="Times New Roman" w:hAnsi="Times New Roman" w:cs="Times New Roman"/>
          <w:sz w:val="24"/>
          <w:szCs w:val="24"/>
          <w:lang w:eastAsia="da-DK"/>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sz w:val="24"/>
          <w:szCs w:val="24"/>
        </w:rPr>
        <w:t>stk. 1</w:t>
      </w:r>
      <w:r w:rsidRPr="00796736">
        <w:rPr>
          <w:rFonts w:ascii="Times New Roman" w:eastAsia="Calibri" w:hAnsi="Times New Roman" w:cs="Times New Roman"/>
          <w:iCs/>
          <w:sz w:val="24"/>
          <w:szCs w:val="24"/>
        </w:rPr>
        <w:t xml:space="preserve">, at undlader en virksomhed eller en person som er omfattet af </w:t>
      </w:r>
      <w:r w:rsidRPr="00796736">
        <w:rPr>
          <w:rFonts w:ascii="Times New Roman" w:eastAsia="Calibri" w:hAnsi="Times New Roman" w:cs="Times New Roman"/>
          <w:iCs/>
          <w:sz w:val="24"/>
          <w:szCs w:val="24"/>
        </w:rPr>
        <w:fldChar w:fldCharType="begin"/>
      </w:r>
      <w:r w:rsidRPr="00796736">
        <w:rPr>
          <w:rFonts w:ascii="Times New Roman" w:eastAsia="Calibri" w:hAnsi="Times New Roman" w:cs="Times New Roman"/>
          <w:iCs/>
          <w:sz w:val="24"/>
          <w:szCs w:val="24"/>
        </w:rPr>
        <w:instrText xml:space="preserve"> REF _Ref239189479 \r \h </w:instrText>
      </w:r>
      <w:r w:rsidR="007F4BB9" w:rsidRPr="00796736">
        <w:rPr>
          <w:rFonts w:ascii="Times New Roman" w:eastAsia="Calibri" w:hAnsi="Times New Roman" w:cs="Times New Roman"/>
          <w:iCs/>
          <w:sz w:val="24"/>
          <w:szCs w:val="24"/>
        </w:rPr>
        <w:instrText xml:space="preserve"> \* MERGEFORMAT </w:instrText>
      </w:r>
      <w:r w:rsidRPr="00796736">
        <w:rPr>
          <w:rFonts w:ascii="Times New Roman" w:eastAsia="Calibri" w:hAnsi="Times New Roman" w:cs="Times New Roman"/>
          <w:iCs/>
          <w:sz w:val="24"/>
          <w:szCs w:val="24"/>
        </w:rPr>
      </w:r>
      <w:r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112</w:t>
      </w:r>
      <w:r w:rsidRPr="00796736">
        <w:rPr>
          <w:rFonts w:ascii="Times New Roman" w:eastAsia="Calibri" w:hAnsi="Times New Roman" w:cs="Times New Roman"/>
          <w:iCs/>
          <w:sz w:val="24"/>
          <w:szCs w:val="24"/>
        </w:rPr>
        <w:fldChar w:fldCharType="end"/>
      </w:r>
      <w:r w:rsidRPr="00796736">
        <w:rPr>
          <w:rFonts w:ascii="Times New Roman" w:eastAsia="Calibri" w:hAnsi="Times New Roman" w:cs="Times New Roman"/>
          <w:iCs/>
          <w:sz w:val="24"/>
          <w:szCs w:val="24"/>
        </w:rPr>
        <w:t>, stk. 1</w:t>
      </w:r>
      <w:r w:rsidRPr="00796736">
        <w:rPr>
          <w:rFonts w:ascii="Times New Roman" w:eastAsia="Times New Roman" w:hAnsi="Times New Roman" w:cs="Times New Roman"/>
          <w:sz w:val="24"/>
          <w:szCs w:val="24"/>
          <w:lang w:eastAsia="da-DK"/>
        </w:rPr>
        <w:t xml:space="preserve">, at efterkomme et påbud, som er givet  i medfør af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_Ref236643746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118</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_Ref232609511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119</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_Ref232609546 \r \h </w:instrText>
      </w:r>
      <w:r w:rsidR="007F4BB9" w:rsidRPr="00796736">
        <w:rPr>
          <w:rFonts w:ascii="Times New Roman" w:hAnsi="Times New Roman" w:cs="Times New Roman"/>
          <w:sz w:val="24"/>
          <w:szCs w:val="24"/>
        </w:rPr>
        <w:instrText xml:space="preserve">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120</w:t>
      </w:r>
      <w:r w:rsidRPr="00796736">
        <w:rPr>
          <w:rFonts w:ascii="Times New Roman" w:hAnsi="Times New Roman" w:cs="Times New Roman"/>
          <w:sz w:val="24"/>
          <w:szCs w:val="24"/>
        </w:rPr>
        <w:fldChar w:fldCharType="end"/>
      </w:r>
      <w:r w:rsidRPr="00796736">
        <w:rPr>
          <w:rFonts w:ascii="Times New Roman" w:hAnsi="Times New Roman" w:cs="Times New Roman"/>
          <w:sz w:val="24"/>
          <w:szCs w:val="24"/>
        </w:rPr>
        <w:t>, stk. 5,</w:t>
      </w:r>
      <w:r w:rsidR="00EA5BF5" w:rsidRPr="00796736">
        <w:rPr>
          <w:rFonts w:ascii="Times New Roman" w:hAnsi="Times New Roman" w:cs="Times New Roman"/>
          <w:sz w:val="24"/>
          <w:szCs w:val="24"/>
        </w:rPr>
        <w:t xml:space="preserve"> </w:t>
      </w:r>
      <w:r w:rsidRPr="00796736">
        <w:rPr>
          <w:rFonts w:ascii="Times New Roman" w:hAnsi="Times New Roman" w:cs="Times New Roman"/>
          <w:sz w:val="24"/>
          <w:szCs w:val="24"/>
        </w:rPr>
        <w:fldChar w:fldCharType="begin"/>
      </w:r>
      <w:r w:rsidRPr="00796736">
        <w:rPr>
          <w:rFonts w:ascii="Times New Roman" w:hAnsi="Times New Roman" w:cs="Times New Roman"/>
          <w:sz w:val="24"/>
          <w:szCs w:val="24"/>
        </w:rPr>
        <w:instrText xml:space="preserve"> REF _Ref236145057 \n \h  \* MERGEFORMAT </w:instrText>
      </w:r>
      <w:r w:rsidRPr="00796736">
        <w:rPr>
          <w:rFonts w:ascii="Times New Roman" w:hAnsi="Times New Roman" w:cs="Times New Roman"/>
          <w:sz w:val="24"/>
          <w:szCs w:val="24"/>
        </w:rPr>
      </w:r>
      <w:r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121</w:t>
      </w:r>
      <w:r w:rsidRPr="00796736">
        <w:rPr>
          <w:rFonts w:ascii="Times New Roman" w:hAnsi="Times New Roman" w:cs="Times New Roman"/>
          <w:sz w:val="24"/>
          <w:szCs w:val="24"/>
        </w:rPr>
        <w:fldChar w:fldCharType="end"/>
      </w:r>
      <w:r w:rsidRPr="00796736">
        <w:rPr>
          <w:rFonts w:ascii="Times New Roman" w:eastAsia="Times New Roman" w:hAnsi="Times New Roman" w:cs="Times New Roman"/>
          <w:sz w:val="24"/>
          <w:szCs w:val="24"/>
          <w:lang w:eastAsia="da-DK"/>
        </w:rPr>
        <w:t xml:space="preserve">, eller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_Ref239324511 \r \h </w:instrText>
      </w:r>
      <w:r w:rsidR="007F4BB9"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122</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kan Spillemyndigheden som tvangsmiddel pålægge personen, virksomheden eller de for virksomheden ansvarlige personer daglige eller ugentlige bøder.</w:t>
      </w:r>
    </w:p>
    <w:p w14:paraId="652C1560" w14:textId="77777777" w:rsidR="00980C7C" w:rsidRPr="00796736" w:rsidRDefault="00980C7C" w:rsidP="00A802A5">
      <w:pPr>
        <w:spacing w:line="360" w:lineRule="auto"/>
        <w:rPr>
          <w:rFonts w:ascii="Times New Roman" w:eastAsia="Times New Roman" w:hAnsi="Times New Roman" w:cs="Times New Roman"/>
          <w:sz w:val="24"/>
          <w:szCs w:val="24"/>
          <w:lang w:eastAsia="da-DK"/>
        </w:rPr>
      </w:pPr>
    </w:p>
    <w:p w14:paraId="673CF2B1" w14:textId="302FF08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vil medføre, at Spillemyndigheden, ved konstatering af at en virksomhed eller person ikke har efterkommet et påbud inden for den fastsatte frist, vil få mulighed for at fremme efterkommelse af påbuddet ved at lægge et øget pres på modtageren af påbuddet med henblik på overholdelse af lovgivningen. </w:t>
      </w:r>
    </w:p>
    <w:p w14:paraId="283762F1" w14:textId="4C27B939"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Tvangsbøder udstedt af Spillemyndigheden vil skulle være effektive og proportionale. Det betyder bl.a., at tvangsbøder ikke må stå i misforhold til undladelsen, det vil sige efterkommelse af et påbud. Tvangsbøderne vil som udgangspunkt skulle pålægges indtil den pågældende virksomhed eller person efterkommer påbuddet, jf. dog det foreslåede stk. 4, hvorefter tvangsbøderne højst vil kunne pålægges i en periode på 6 måneder med mulighed for forlængelse til op til maksimalt en samlet periode på 12 måneder.</w:t>
      </w:r>
    </w:p>
    <w:p w14:paraId="483C59A6" w14:textId="77777777" w:rsidR="00EA5BF5" w:rsidRPr="00796736" w:rsidRDefault="00EA5BF5"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Tvangsbøden vil blive pålagt den, der har en påbudt handlepligt efter de foreslåede påbudsbestemmelser nævnt i stk. 1. Medlemmer af en virksomheds ledelse kan derfor ikke pålægges tvangsbøder i de tilfælde, hvor det er virksomheden, der har en pligt til at handle. </w:t>
      </w:r>
    </w:p>
    <w:p w14:paraId="54E140F3" w14:textId="7777777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Ved fastsættelsen af tvangsbødens størrelse vil der skulle tages hensyn til virksomhedens og personens økonomiske formåen, så de daglige tvangsbøder vil være effektive og proportionale, men bødestørrelsen beror i øvrigt på et konkret skøn. </w:t>
      </w:r>
    </w:p>
    <w:p w14:paraId="6085816B" w14:textId="77777777" w:rsidR="00980C7C" w:rsidRPr="00796736" w:rsidDel="00340D5D"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Daglige tvangsbøder gives for hver kalenderdag, det vil sige syv dage om ugen og uafhængigt af virksomhedens åbningstider, aktivitet mv.</w:t>
      </w:r>
    </w:p>
    <w:p w14:paraId="7CC2C939" w14:textId="7777777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Tvangsbøder udstedt til juridiske personer vil ikke kunne overstige 3 pct. af den juridiske persons gennemsnitlige daglige omsætning i det foregående regnskabsår.</w:t>
      </w:r>
    </w:p>
    <w:p w14:paraId="57AE8A5D" w14:textId="7777777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Tvangsbøder udstedt til fysiske personer vil ikke kunne overstige 2 pct. af den fysiske persons gennemsnitlige daglige indtægt i det foregående kalenderår. </w:t>
      </w:r>
    </w:p>
    <w:p w14:paraId="5DFEF8F6" w14:textId="7777777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Times New Roman" w:hAnsi="Times New Roman" w:cs="Times New Roman"/>
          <w:iCs/>
          <w:sz w:val="24"/>
          <w:szCs w:val="24"/>
          <w:lang w:eastAsia="da-DK"/>
        </w:rPr>
        <w:t>Formålet med tvangsbøder er lovliggørelse og ikke straf, og eventuelle ubetalte tvangsbøder vil således bortfalde, hvis den som er omfattet af påbuddet, gennemfører den påbudte handling.</w:t>
      </w:r>
    </w:p>
    <w:p w14:paraId="64374326" w14:textId="77777777" w:rsidR="007B7BA4" w:rsidRPr="00D500FD" w:rsidRDefault="007B7BA4" w:rsidP="00A802A5">
      <w:pPr>
        <w:spacing w:after="240" w:line="360" w:lineRule="auto"/>
        <w:rPr>
          <w:rFonts w:ascii="Times New Roman" w:hAnsi="Times New Roman" w:cs="Times New Roman"/>
          <w:sz w:val="24"/>
          <w:szCs w:val="24"/>
        </w:rPr>
      </w:pPr>
      <w:r w:rsidRPr="00D500FD">
        <w:rPr>
          <w:rFonts w:ascii="Times New Roman" w:hAnsi="Times New Roman" w:cs="Times New Roman"/>
          <w:sz w:val="24"/>
          <w:szCs w:val="24"/>
        </w:rPr>
        <w:t>Der vil ikke kunne pålægges tvangsbøder</w:t>
      </w:r>
      <w:r>
        <w:rPr>
          <w:rFonts w:ascii="Times New Roman" w:hAnsi="Times New Roman" w:cs="Times New Roman"/>
          <w:sz w:val="24"/>
          <w:szCs w:val="24"/>
        </w:rPr>
        <w:t xml:space="preserve"> for manglende efterkommelse af et påbud</w:t>
      </w:r>
      <w:r w:rsidRPr="00D500FD">
        <w:rPr>
          <w:rFonts w:ascii="Times New Roman" w:hAnsi="Times New Roman" w:cs="Times New Roman"/>
          <w:sz w:val="24"/>
          <w:szCs w:val="24"/>
        </w:rPr>
        <w:t xml:space="preserve"> om udlevering af oplysninger, hvis Spillemyndigheden har en konkret mistanke om, at en enkeltperson eller en juridisk person har begået en lovovertrædelse, </w:t>
      </w:r>
      <w:r>
        <w:rPr>
          <w:rFonts w:ascii="Times New Roman" w:hAnsi="Times New Roman" w:cs="Times New Roman"/>
          <w:sz w:val="24"/>
          <w:szCs w:val="24"/>
        </w:rPr>
        <w:t xml:space="preserve">der kan medføre straf, </w:t>
      </w:r>
      <w:r w:rsidRPr="00D500FD">
        <w:rPr>
          <w:rFonts w:ascii="Times New Roman" w:hAnsi="Times New Roman" w:cs="Times New Roman"/>
          <w:sz w:val="24"/>
          <w:szCs w:val="24"/>
        </w:rPr>
        <w:t xml:space="preserve">jf. § 10 i lov om retssikkerhed ved forvaltningens anvendelse af tvangsindgreb og oplysningspligter (retssikkerhedsloven). Tvangsbøder vil dog kunne anvendes, hvis det kan udelukkes, at de oplysninger, som søges tilvejebragt, kan have betydning for bedømmelsen af den formodede lovovertrædelse.  </w:t>
      </w:r>
    </w:p>
    <w:p w14:paraId="3717E9C3" w14:textId="77777777" w:rsidR="007B7BA4" w:rsidRPr="00D500FD" w:rsidRDefault="007B7BA4" w:rsidP="00A802A5">
      <w:pPr>
        <w:spacing w:after="240" w:line="360" w:lineRule="auto"/>
        <w:rPr>
          <w:rFonts w:ascii="Times New Roman" w:hAnsi="Times New Roman" w:cs="Times New Roman"/>
          <w:sz w:val="24"/>
          <w:szCs w:val="24"/>
        </w:rPr>
      </w:pPr>
      <w:r>
        <w:rPr>
          <w:rFonts w:ascii="Times New Roman" w:hAnsi="Times New Roman" w:cs="Times New Roman"/>
          <w:sz w:val="24"/>
          <w:szCs w:val="24"/>
        </w:rPr>
        <w:t>O</w:t>
      </w:r>
      <w:r w:rsidRPr="005F08DA">
        <w:rPr>
          <w:rFonts w:ascii="Times New Roman" w:hAnsi="Times New Roman" w:cs="Times New Roman"/>
          <w:sz w:val="24"/>
          <w:szCs w:val="24"/>
        </w:rPr>
        <w:t>plysningspligten</w:t>
      </w:r>
      <w:r>
        <w:rPr>
          <w:rFonts w:ascii="Times New Roman" w:hAnsi="Times New Roman" w:cs="Times New Roman"/>
          <w:sz w:val="24"/>
          <w:szCs w:val="24"/>
        </w:rPr>
        <w:t xml:space="preserve"> vil således</w:t>
      </w:r>
      <w:r w:rsidRPr="005F08DA">
        <w:rPr>
          <w:rFonts w:ascii="Times New Roman" w:hAnsi="Times New Roman" w:cs="Times New Roman"/>
          <w:sz w:val="24"/>
          <w:szCs w:val="24"/>
        </w:rPr>
        <w:t xml:space="preserve"> ikke finde anvendelse over for en enkeltperson eller juridisk person, hvis der er konkret mistanke om, at den pågældende har begået en lovovertrædelse, der kan medføre straf, medmindre det kan udelukkes, at oplysningerne kan have betydning for bedømmelsen af den formodede lovovertrædelse, jf. § 10 i retssikkerhedsloven. [Myndigheden] vil i sådanne tilfælde skulle vejlede den mistænkte om, at vedkommende ikke har pligt til at meddele oplysninger, som kan have betydning for bedømmelsen af den formodede lovovertrædelse. Se nærmere herom i de almindelige bemærkninger pkt. 4.3.</w:t>
      </w:r>
    </w:p>
    <w:p w14:paraId="70464E09" w14:textId="77777777" w:rsidR="00980C7C" w:rsidRPr="00796736" w:rsidRDefault="00980C7C" w:rsidP="00A802A5">
      <w:pPr>
        <w:spacing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indebære, at Spillemyndigheden skal inddrage de reguleringsmæssige tekniske standarder, der fastsætter en metode til pålæggelse af tvangsbøder i henhold til 6. hvidvaskdirektivs artikel 57, som Kommissionen udsteder i medfør af AMLA-forordningens artikel 49, jf. hvidvaskdirektivets artikel 53, stk. 10.</w:t>
      </w:r>
    </w:p>
    <w:p w14:paraId="542C99D1" w14:textId="77777777" w:rsidR="00980C7C" w:rsidRPr="00796736" w:rsidRDefault="00980C7C" w:rsidP="00A802A5">
      <w:pPr>
        <w:spacing w:line="360" w:lineRule="auto"/>
        <w:rPr>
          <w:rFonts w:ascii="Times New Roman" w:eastAsia="Calibri" w:hAnsi="Times New Roman" w:cs="Times New Roman"/>
          <w:iCs/>
          <w:sz w:val="24"/>
          <w:szCs w:val="24"/>
        </w:rPr>
      </w:pPr>
    </w:p>
    <w:p w14:paraId="4E15CC27"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color w:val="000000" w:themeColor="text1"/>
          <w:sz w:val="24"/>
          <w:szCs w:val="24"/>
        </w:rPr>
        <w:t xml:space="preserve">Det foreslås i </w:t>
      </w:r>
      <w:r w:rsidRPr="00796736">
        <w:rPr>
          <w:rFonts w:ascii="Times New Roman" w:eastAsia="Times New Roman" w:hAnsi="Times New Roman" w:cs="Times New Roman"/>
          <w:i/>
          <w:color w:val="000000" w:themeColor="text1"/>
          <w:sz w:val="24"/>
          <w:szCs w:val="24"/>
        </w:rPr>
        <w:t>stk. 2</w:t>
      </w:r>
      <w:r w:rsidRPr="00796736">
        <w:rPr>
          <w:rFonts w:ascii="Times New Roman" w:eastAsia="Times New Roman" w:hAnsi="Times New Roman" w:cs="Times New Roman"/>
          <w:color w:val="000000" w:themeColor="text1"/>
          <w:sz w:val="24"/>
          <w:szCs w:val="24"/>
        </w:rPr>
        <w:t xml:space="preserve">, at </w:t>
      </w:r>
      <w:r w:rsidRPr="00796736">
        <w:rPr>
          <w:rFonts w:ascii="Times New Roman" w:eastAsia="Times New Roman" w:hAnsi="Times New Roman" w:cs="Times New Roman"/>
          <w:sz w:val="24"/>
          <w:szCs w:val="24"/>
        </w:rPr>
        <w:t>tvangsbøder tidligst</w:t>
      </w:r>
      <w:r w:rsidRPr="00796736">
        <w:rPr>
          <w:rFonts w:ascii="Times New Roman" w:eastAsia="Calibri" w:hAnsi="Times New Roman" w:cs="Times New Roman"/>
          <w:iCs/>
          <w:sz w:val="24"/>
          <w:szCs w:val="24"/>
        </w:rPr>
        <w:t xml:space="preserve"> kan pålægges efter udløbet af den af Spillemyndigheden fastsatte frist for efterkommelse af det pågældende påbud.</w:t>
      </w:r>
    </w:p>
    <w:p w14:paraId="3545DD38" w14:textId="77777777" w:rsidR="00980C7C" w:rsidRPr="00796736" w:rsidRDefault="00980C7C" w:rsidP="00A802A5">
      <w:pPr>
        <w:spacing w:line="360" w:lineRule="auto"/>
        <w:rPr>
          <w:rFonts w:ascii="Times New Roman" w:eastAsia="Times New Roman" w:hAnsi="Times New Roman" w:cs="Times New Roman"/>
          <w:sz w:val="24"/>
          <w:szCs w:val="24"/>
        </w:rPr>
      </w:pPr>
    </w:p>
    <w:p w14:paraId="54447A25"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Calibri" w:hAnsi="Times New Roman" w:cs="Times New Roman"/>
          <w:iCs/>
          <w:sz w:val="24"/>
          <w:szCs w:val="24"/>
        </w:rPr>
        <w:t>Det følger blandt andet af præambelbetragtning nr. 106 i 6. hvidvaskdirektiv, at med henblik herpå bør det være muligt for tilsynsorganerne at pålægge tvangsbøder fra den frist, der er fastsat for at genoprette overholdelsen af den administrative foranstaltning, herunder med tilbagevirkende kraft, når afgørelsen om at pålægge tvangsbøden træffes på et senere tidspunkt.</w:t>
      </w:r>
    </w:p>
    <w:p w14:paraId="620EBE3F" w14:textId="77777777" w:rsidR="00980C7C" w:rsidRPr="00796736" w:rsidRDefault="00980C7C" w:rsidP="00A802A5">
      <w:pPr>
        <w:spacing w:line="360" w:lineRule="auto"/>
        <w:rPr>
          <w:rFonts w:ascii="Times New Roman" w:eastAsia="Times New Roman" w:hAnsi="Times New Roman" w:cs="Times New Roman"/>
          <w:sz w:val="24"/>
          <w:szCs w:val="24"/>
        </w:rPr>
      </w:pPr>
    </w:p>
    <w:p w14:paraId="6AA56ACC"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En tvangsbøde vil tidligst kunne pålægges fra den dato, hvor fristen for efterlevelse af påbuddet er overskredet, og indtil påbuddet efterleves, jf. dog det foreslåede stk. 4. Hvis tvangsbøden pålægges på et senere tidspunkt end fristen for opfyldelse af påbuddet, vil tvangsbøden kunne gives med tilbagevirkende kraft regnet fra udløbet af fristen for efterkommelse af påbuddet.</w:t>
      </w:r>
    </w:p>
    <w:p w14:paraId="66FF143C" w14:textId="77777777" w:rsidR="00980C7C" w:rsidRPr="00796736" w:rsidRDefault="00980C7C" w:rsidP="00A802A5">
      <w:pPr>
        <w:spacing w:line="360" w:lineRule="auto"/>
        <w:rPr>
          <w:rFonts w:ascii="Times New Roman" w:eastAsia="Times New Roman" w:hAnsi="Times New Roman" w:cs="Times New Roman"/>
          <w:color w:val="000000" w:themeColor="text1"/>
          <w:sz w:val="24"/>
          <w:szCs w:val="24"/>
        </w:rPr>
      </w:pPr>
    </w:p>
    <w:p w14:paraId="62B832DD"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stk. 3</w:t>
      </w:r>
      <w:r w:rsidRPr="00796736">
        <w:rPr>
          <w:rFonts w:ascii="Times New Roman" w:eastAsia="Times New Roman" w:hAnsi="Times New Roman" w:cs="Times New Roman"/>
          <w:sz w:val="24"/>
          <w:szCs w:val="24"/>
        </w:rPr>
        <w:t xml:space="preserve">, at tvangsbøder vil kunne pålægges, indtil virksomheden eller personen efterkommer påbuddet, jf. dog det foreslåede stk. 4. </w:t>
      </w:r>
    </w:p>
    <w:p w14:paraId="4F8425CC" w14:textId="77777777" w:rsidR="00980C7C" w:rsidRPr="00796736" w:rsidRDefault="00980C7C" w:rsidP="00A802A5">
      <w:pPr>
        <w:spacing w:line="360" w:lineRule="auto"/>
        <w:rPr>
          <w:rFonts w:ascii="Times New Roman" w:eastAsia="Times New Roman" w:hAnsi="Times New Roman" w:cs="Times New Roman"/>
          <w:sz w:val="24"/>
          <w:szCs w:val="24"/>
        </w:rPr>
      </w:pPr>
    </w:p>
    <w:p w14:paraId="1BAAD0F6"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bestemmelse vil medføre at der vil kunne pålægges tvangsbøder, indtil virksomheden eller personen efterkommer påbuddet, dog kun i perioden fastsat i det foreslåede stk. 4. En virksomhed eller person, der efterkommer et påbud, vil ikke fortsat kunne blive mødt med tvangsbøder, da der herefter ikke vil være behov for anvendelse af et sådant tvangsmiddel.  </w:t>
      </w:r>
    </w:p>
    <w:p w14:paraId="031F3CA5" w14:textId="77777777" w:rsidR="00980C7C" w:rsidRPr="00796736" w:rsidRDefault="00980C7C" w:rsidP="00A802A5">
      <w:pPr>
        <w:spacing w:line="360" w:lineRule="auto"/>
        <w:rPr>
          <w:rFonts w:ascii="Times New Roman" w:eastAsia="Times New Roman" w:hAnsi="Times New Roman" w:cs="Times New Roman"/>
          <w:sz w:val="24"/>
          <w:szCs w:val="24"/>
        </w:rPr>
      </w:pPr>
    </w:p>
    <w:p w14:paraId="60664029" w14:textId="1ED09E54"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sz w:val="24"/>
          <w:szCs w:val="24"/>
        </w:rPr>
        <w:t xml:space="preserve">stk. 4, </w:t>
      </w:r>
      <w:r w:rsidRPr="00796736">
        <w:rPr>
          <w:rFonts w:ascii="Times New Roman" w:eastAsia="Times New Roman" w:hAnsi="Times New Roman" w:cs="Times New Roman"/>
          <w:iCs/>
          <w:sz w:val="24"/>
          <w:szCs w:val="24"/>
        </w:rPr>
        <w:t xml:space="preserve">at </w:t>
      </w:r>
      <w:r w:rsidRPr="00796736">
        <w:rPr>
          <w:rFonts w:ascii="Times New Roman" w:eastAsia="Times New Roman" w:hAnsi="Times New Roman" w:cs="Times New Roman"/>
          <w:sz w:val="24"/>
          <w:szCs w:val="24"/>
        </w:rPr>
        <w:t>tvangsbøder kun må pålægges i en periode på højst 6 måneder efter meddelelse af Spillemyndighedens afgørelse om pålæggelse af tvangsbøden, dog kan Spillemyndigheden pålægge tvangsbøder i en yderligere periode på 6 måneder, hvis virksomheden eller personen ved udløbet af de første 6 måneder endnu ikke har efterkommet påbuddet.</w:t>
      </w:r>
    </w:p>
    <w:p w14:paraId="4DB843E8" w14:textId="77777777" w:rsidR="00980C7C" w:rsidRPr="00796736" w:rsidRDefault="00980C7C" w:rsidP="00A802A5">
      <w:pPr>
        <w:spacing w:line="360" w:lineRule="auto"/>
        <w:rPr>
          <w:rFonts w:ascii="Times New Roman" w:eastAsia="Times New Roman" w:hAnsi="Times New Roman" w:cs="Times New Roman"/>
          <w:sz w:val="24"/>
          <w:szCs w:val="24"/>
        </w:rPr>
      </w:pPr>
    </w:p>
    <w:p w14:paraId="3111F20D" w14:textId="77777777" w:rsidR="00980C7C" w:rsidRPr="00796736" w:rsidRDefault="00980C7C" w:rsidP="00A802A5">
      <w:pPr>
        <w:spacing w:after="240" w:line="360" w:lineRule="auto"/>
        <w:rPr>
          <w:rFonts w:ascii="Times New Roman" w:eastAsia="Calibri" w:hAnsi="Times New Roman" w:cs="Times New Roman"/>
          <w:iCs/>
          <w:sz w:val="24"/>
          <w:szCs w:val="24"/>
        </w:rPr>
      </w:pPr>
      <w:r w:rsidRPr="00796736">
        <w:rPr>
          <w:rFonts w:ascii="Times New Roman" w:eastAsia="Times New Roman" w:hAnsi="Times New Roman" w:cs="Times New Roman"/>
          <w:sz w:val="24"/>
          <w:szCs w:val="24"/>
        </w:rPr>
        <w:t xml:space="preserve">Det følger af præambelbetragtning nr. 106, i 6. hvidvaskdirektiv, at i betragtning af målet med tvangsbøder om at presse en forpligtet enhed til at overholde en administrativ foranstaltning bør disse være tidsbegrænsede og finde anvendelse i højst 6 måneder. </w:t>
      </w:r>
      <w:r w:rsidRPr="00796736">
        <w:rPr>
          <w:rFonts w:ascii="Times New Roman" w:eastAsia="Calibri" w:hAnsi="Times New Roman" w:cs="Times New Roman"/>
          <w:iCs/>
          <w:sz w:val="24"/>
          <w:szCs w:val="24"/>
        </w:rPr>
        <w:t>Det fremgår endvidere, at det bør være muligt for tilsynsorganerne at forlænge pålæggelsen af tvangsbøder med yderligere maksimalt seks måneder, men at der bør overvejes alternative foranstaltninger til at afhjælpe en længerevarende situation med manglende overholdelse i overensstemmelse med den brede vifte af administrative foranstaltninger, som tilsynsorganerne kan anvende.</w:t>
      </w:r>
    </w:p>
    <w:p w14:paraId="187F9D3D" w14:textId="77777777" w:rsidR="00980C7C" w:rsidRPr="00796736" w:rsidRDefault="00980C7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Bestemmelsen vil medføre, at tvangsbøder som udgangspunkt højest kan pålægges i en periode på 6 måneder, men at der samtidig gives en mulighed for, at Spillemyndigheden kan forlænge perioden med yderligere maksimalt 6 måneder, hvis virksomheden eller personen ved udløbet af de første 6 måneder endnu ikke har efterkommet påbuddet.</w:t>
      </w:r>
    </w:p>
    <w:p w14:paraId="1EA8853C" w14:textId="77777777" w:rsidR="00A34D18" w:rsidRPr="00796736" w:rsidRDefault="00A34D18" w:rsidP="00A802A5">
      <w:pPr>
        <w:spacing w:line="360" w:lineRule="auto"/>
        <w:rPr>
          <w:rFonts w:ascii="Times New Roman" w:eastAsia="Times New Roman" w:hAnsi="Times New Roman" w:cs="Times New Roman"/>
          <w:sz w:val="24"/>
          <w:szCs w:val="24"/>
        </w:rPr>
      </w:pPr>
    </w:p>
    <w:p w14:paraId="59E80BC6" w14:textId="094D6D11" w:rsidR="00306122" w:rsidRPr="00796736" w:rsidRDefault="00306122" w:rsidP="00A802A5">
      <w:pPr>
        <w:pStyle w:val="Undertitel"/>
      </w:pPr>
      <w:bookmarkStart w:id="2257" w:name="_Toc244879434"/>
      <w:bookmarkStart w:id="2258" w:name="_Toc244880959"/>
      <w:r w:rsidRPr="00796736">
        <w:t xml:space="preserve">Til </w:t>
      </w:r>
      <w:r w:rsidRPr="00796736">
        <w:fldChar w:fldCharType="begin"/>
      </w:r>
      <w:r w:rsidRPr="00796736">
        <w:instrText xml:space="preserve"> REF _Ref239757742 \r \h </w:instrText>
      </w:r>
      <w:r w:rsidR="00AB17CC" w:rsidRPr="00796736">
        <w:instrText xml:space="preserve"> \* MERGEFORMAT </w:instrText>
      </w:r>
      <w:r w:rsidRPr="00796736">
        <w:fldChar w:fldCharType="separate"/>
      </w:r>
      <w:r w:rsidR="008F29E5">
        <w:t>§ 138</w:t>
      </w:r>
      <w:bookmarkEnd w:id="2257"/>
      <w:bookmarkEnd w:id="2258"/>
      <w:r w:rsidRPr="00796736">
        <w:fldChar w:fldCharType="end"/>
      </w:r>
      <w:r w:rsidRPr="00796736">
        <w:t xml:space="preserve"> </w:t>
      </w:r>
    </w:p>
    <w:p w14:paraId="64975894" w14:textId="067E334C" w:rsidR="00306122" w:rsidRPr="00796736" w:rsidRDefault="00306122"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Reglerne om Advokatnævnets reaktionsmuligheder i disciplinærsager findes i retsplejelovens kapitel 15 b, herunder retsplejelovens § 147 c, stk. 2, 1. pkt., om Advokatnævnets mulighed for at pålægge advokater tvangsbøder med henblik på vedkommendes efterlevelse af forpligtelser efter retsplejeloven og regler udstedt i medfør heraf. </w:t>
      </w:r>
    </w:p>
    <w:p w14:paraId="0DFD9212" w14:textId="58CEE597" w:rsidR="00306122" w:rsidRPr="00796736" w:rsidRDefault="00306122"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065B7">
        <w:rPr>
          <w:rFonts w:ascii="Times New Roman" w:eastAsia="Calibri" w:hAnsi="Times New Roman" w:cs="Times New Roman"/>
          <w:i/>
          <w:sz w:val="24"/>
          <w:szCs w:val="24"/>
        </w:rPr>
        <w:fldChar w:fldCharType="begin"/>
      </w:r>
      <w:r w:rsidRPr="007065B7">
        <w:rPr>
          <w:rFonts w:ascii="Times New Roman" w:eastAsia="Calibri" w:hAnsi="Times New Roman" w:cs="Times New Roman"/>
          <w:i/>
          <w:sz w:val="24"/>
          <w:szCs w:val="24"/>
        </w:rPr>
        <w:instrText xml:space="preserve"> REF _Ref239757742 \r \h </w:instrText>
      </w:r>
      <w:r w:rsidR="00AB17CC" w:rsidRPr="007065B7">
        <w:rPr>
          <w:rFonts w:ascii="Times New Roman" w:eastAsia="Calibri" w:hAnsi="Times New Roman" w:cs="Times New Roman"/>
          <w:i/>
          <w:sz w:val="24"/>
          <w:szCs w:val="24"/>
        </w:rPr>
        <w:instrText xml:space="preserve"> \* MERGEFORMAT </w:instrText>
      </w:r>
      <w:r w:rsidRPr="007065B7">
        <w:rPr>
          <w:rFonts w:ascii="Times New Roman" w:eastAsia="Calibri" w:hAnsi="Times New Roman" w:cs="Times New Roman"/>
          <w:i/>
          <w:sz w:val="24"/>
          <w:szCs w:val="24"/>
        </w:rPr>
      </w:r>
      <w:r w:rsidRPr="007065B7">
        <w:rPr>
          <w:rFonts w:ascii="Times New Roman" w:eastAsia="Calibri" w:hAnsi="Times New Roman" w:cs="Times New Roman"/>
          <w:i/>
          <w:sz w:val="24"/>
          <w:szCs w:val="24"/>
        </w:rPr>
        <w:fldChar w:fldCharType="separate"/>
      </w:r>
      <w:r w:rsidR="008F29E5">
        <w:rPr>
          <w:rFonts w:ascii="Times New Roman" w:eastAsia="Calibri" w:hAnsi="Times New Roman" w:cs="Times New Roman"/>
          <w:i/>
          <w:sz w:val="24"/>
          <w:szCs w:val="24"/>
        </w:rPr>
        <w:t>§ 138</w:t>
      </w:r>
      <w:r w:rsidRPr="007065B7">
        <w:rPr>
          <w:rFonts w:ascii="Times New Roman" w:eastAsia="Calibri" w:hAnsi="Times New Roman" w:cs="Times New Roman"/>
          <w:i/>
          <w:sz w:val="24"/>
          <w:szCs w:val="24"/>
        </w:rPr>
        <w:fldChar w:fldCharType="end"/>
      </w:r>
      <w:r w:rsidRPr="007065B7">
        <w:rPr>
          <w:rFonts w:ascii="Times New Roman" w:eastAsia="Calibri" w:hAnsi="Times New Roman" w:cs="Times New Roman"/>
          <w:i/>
          <w:sz w:val="24"/>
          <w:szCs w:val="24"/>
        </w:rPr>
        <w:t>, 1. og 2. pkt.,</w:t>
      </w:r>
      <w:r w:rsidRPr="00796736">
        <w:rPr>
          <w:rFonts w:ascii="Times New Roman" w:eastAsia="Calibri" w:hAnsi="Times New Roman" w:cs="Times New Roman"/>
          <w:iCs/>
          <w:sz w:val="24"/>
          <w:szCs w:val="24"/>
        </w:rPr>
        <w:t xml:space="preserve"> </w:t>
      </w:r>
      <w:r w:rsidR="00832E26" w:rsidRPr="00796736">
        <w:rPr>
          <w:rFonts w:ascii="Times New Roman" w:eastAsia="Calibri" w:hAnsi="Times New Roman" w:cs="Times New Roman"/>
          <w:iCs/>
          <w:sz w:val="24"/>
          <w:szCs w:val="24"/>
        </w:rPr>
        <w:t xml:space="preserve">at ved en advokats manglende efterlevelse af afgørelser efter </w:t>
      </w:r>
      <w:r w:rsidR="00832E26">
        <w:rPr>
          <w:rFonts w:ascii="Times New Roman" w:eastAsia="Calibri" w:hAnsi="Times New Roman" w:cs="Times New Roman"/>
          <w:iCs/>
          <w:sz w:val="24"/>
          <w:szCs w:val="24"/>
        </w:rPr>
        <w:fldChar w:fldCharType="begin"/>
      </w:r>
      <w:r w:rsidR="00832E26">
        <w:rPr>
          <w:rFonts w:ascii="Times New Roman" w:eastAsia="Calibri" w:hAnsi="Times New Roman" w:cs="Times New Roman"/>
          <w:iCs/>
          <w:sz w:val="24"/>
          <w:szCs w:val="24"/>
        </w:rPr>
        <w:instrText xml:space="preserve"> REF _Ref244787564 \n \h </w:instrText>
      </w:r>
      <w:r w:rsidR="00832E26">
        <w:rPr>
          <w:rFonts w:ascii="Times New Roman" w:eastAsia="Calibri" w:hAnsi="Times New Roman" w:cs="Times New Roman"/>
          <w:iCs/>
          <w:sz w:val="24"/>
          <w:szCs w:val="24"/>
        </w:rPr>
      </w:r>
      <w:r w:rsidR="00832E2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102</w:t>
      </w:r>
      <w:r w:rsidR="00832E26">
        <w:rPr>
          <w:rFonts w:ascii="Times New Roman" w:eastAsia="Calibri" w:hAnsi="Times New Roman" w:cs="Times New Roman"/>
          <w:iCs/>
          <w:sz w:val="24"/>
          <w:szCs w:val="24"/>
        </w:rPr>
        <w:fldChar w:fldCharType="end"/>
      </w:r>
      <w:r w:rsidR="00832E26" w:rsidRPr="00796736">
        <w:rPr>
          <w:rFonts w:ascii="Times New Roman" w:eastAsia="Calibri" w:hAnsi="Times New Roman" w:cs="Times New Roman"/>
          <w:iCs/>
          <w:sz w:val="24"/>
          <w:szCs w:val="24"/>
        </w:rPr>
        <w:t xml:space="preserve">, </w:t>
      </w:r>
      <w:r w:rsidR="00832E26">
        <w:rPr>
          <w:rFonts w:ascii="Times New Roman" w:eastAsia="Calibri" w:hAnsi="Times New Roman" w:cs="Times New Roman"/>
          <w:iCs/>
          <w:sz w:val="24"/>
          <w:szCs w:val="24"/>
        </w:rPr>
        <w:fldChar w:fldCharType="begin"/>
      </w:r>
      <w:r w:rsidR="00832E26">
        <w:rPr>
          <w:rFonts w:ascii="Times New Roman" w:eastAsia="Calibri" w:hAnsi="Times New Roman" w:cs="Times New Roman"/>
          <w:iCs/>
          <w:sz w:val="24"/>
          <w:szCs w:val="24"/>
        </w:rPr>
        <w:instrText xml:space="preserve"> REF _Ref244787574 \n \h </w:instrText>
      </w:r>
      <w:r w:rsidR="00832E26">
        <w:rPr>
          <w:rFonts w:ascii="Times New Roman" w:eastAsia="Calibri" w:hAnsi="Times New Roman" w:cs="Times New Roman"/>
          <w:iCs/>
          <w:sz w:val="24"/>
          <w:szCs w:val="24"/>
        </w:rPr>
      </w:r>
      <w:r w:rsidR="00832E2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103</w:t>
      </w:r>
      <w:r w:rsidR="00832E26">
        <w:rPr>
          <w:rFonts w:ascii="Times New Roman" w:eastAsia="Calibri" w:hAnsi="Times New Roman" w:cs="Times New Roman"/>
          <w:iCs/>
          <w:sz w:val="24"/>
          <w:szCs w:val="24"/>
        </w:rPr>
        <w:fldChar w:fldCharType="end"/>
      </w:r>
      <w:r w:rsidR="00832E26" w:rsidRPr="00796736">
        <w:rPr>
          <w:rFonts w:ascii="Times New Roman" w:eastAsia="Calibri" w:hAnsi="Times New Roman" w:cs="Times New Roman"/>
          <w:iCs/>
          <w:sz w:val="24"/>
          <w:szCs w:val="24"/>
        </w:rPr>
        <w:t xml:space="preserve"> eller </w:t>
      </w:r>
      <w:r w:rsidR="00832E26">
        <w:rPr>
          <w:rFonts w:ascii="Times New Roman" w:eastAsia="Calibri" w:hAnsi="Times New Roman" w:cs="Times New Roman"/>
          <w:iCs/>
          <w:sz w:val="24"/>
          <w:szCs w:val="24"/>
        </w:rPr>
        <w:fldChar w:fldCharType="begin"/>
      </w:r>
      <w:r w:rsidR="00832E26">
        <w:rPr>
          <w:rFonts w:ascii="Times New Roman" w:eastAsia="Calibri" w:hAnsi="Times New Roman" w:cs="Times New Roman"/>
          <w:iCs/>
          <w:sz w:val="24"/>
          <w:szCs w:val="24"/>
        </w:rPr>
        <w:instrText xml:space="preserve"> REF _Ref236998239 \n \h </w:instrText>
      </w:r>
      <w:r w:rsidR="00832E26">
        <w:rPr>
          <w:rFonts w:ascii="Times New Roman" w:eastAsia="Calibri" w:hAnsi="Times New Roman" w:cs="Times New Roman"/>
          <w:iCs/>
          <w:sz w:val="24"/>
          <w:szCs w:val="24"/>
        </w:rPr>
      </w:r>
      <w:r w:rsidR="00832E2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105</w:t>
      </w:r>
      <w:r w:rsidR="00832E26">
        <w:rPr>
          <w:rFonts w:ascii="Times New Roman" w:eastAsia="Calibri" w:hAnsi="Times New Roman" w:cs="Times New Roman"/>
          <w:iCs/>
          <w:sz w:val="24"/>
          <w:szCs w:val="24"/>
        </w:rPr>
        <w:fldChar w:fldCharType="end"/>
      </w:r>
      <w:r w:rsidR="00832E26" w:rsidRPr="00796736">
        <w:rPr>
          <w:rFonts w:ascii="Times New Roman" w:eastAsia="Calibri" w:hAnsi="Times New Roman" w:cs="Times New Roman"/>
          <w:iCs/>
          <w:sz w:val="24"/>
          <w:szCs w:val="24"/>
        </w:rPr>
        <w:t>, stk. 1, kan Advokat</w:t>
      </w:r>
      <w:r w:rsidR="00832E26">
        <w:rPr>
          <w:rFonts w:ascii="Times New Roman" w:eastAsia="Calibri" w:hAnsi="Times New Roman" w:cs="Times New Roman"/>
          <w:iCs/>
          <w:sz w:val="24"/>
          <w:szCs w:val="24"/>
        </w:rPr>
        <w:t>nævnet efter indstilling fra Advokatrådet</w:t>
      </w:r>
      <w:r w:rsidR="00832E26" w:rsidRPr="00796736">
        <w:rPr>
          <w:rFonts w:ascii="Times New Roman" w:eastAsia="Calibri" w:hAnsi="Times New Roman" w:cs="Times New Roman"/>
          <w:iCs/>
          <w:sz w:val="24"/>
          <w:szCs w:val="24"/>
        </w:rPr>
        <w:t xml:space="preserve"> pålægge daglige tvangsbøder. Tvangsbøder iværksat over for juridiske og fysiske personer må ikke overstige henholdsvis 3 og 2 pct. af deres gennemsnitlige daglige omsætning eller indkomst i det foregående regnskabsår eller kalenderår.</w:t>
      </w:r>
    </w:p>
    <w:p w14:paraId="59ECE121" w14:textId="026ABCB6" w:rsidR="00306122" w:rsidRPr="00796736" w:rsidRDefault="00394C42" w:rsidP="00A802A5">
      <w:pPr>
        <w:spacing w:after="240" w:line="360" w:lineRule="auto"/>
        <w:rPr>
          <w:rFonts w:ascii="Times New Roman" w:eastAsia="Calibri" w:hAnsi="Times New Roman" w:cs="Times New Roman"/>
          <w:iCs/>
          <w:sz w:val="24"/>
          <w:szCs w:val="24"/>
        </w:rPr>
      </w:pPr>
      <w:r w:rsidRPr="00D253F0">
        <w:rPr>
          <w:rFonts w:ascii="Times New Roman" w:eastAsia="Calibri" w:hAnsi="Times New Roman" w:cs="Times New Roman"/>
          <w:iCs/>
          <w:sz w:val="24"/>
          <w:szCs w:val="24"/>
        </w:rPr>
        <w:t xml:space="preserve">Den foreslåede bestemmelse vil indebære, at hvis advokater ikke </w:t>
      </w:r>
      <w:r>
        <w:rPr>
          <w:rFonts w:ascii="Times New Roman" w:eastAsia="Calibri" w:hAnsi="Times New Roman" w:cs="Times New Roman"/>
          <w:iCs/>
          <w:sz w:val="24"/>
          <w:szCs w:val="24"/>
        </w:rPr>
        <w:t>efterkommer</w:t>
      </w:r>
      <w:r w:rsidRPr="00D253F0">
        <w:rPr>
          <w:rFonts w:ascii="Times New Roman" w:eastAsia="Calibri" w:hAnsi="Times New Roman" w:cs="Times New Roman"/>
          <w:iCs/>
          <w:sz w:val="24"/>
          <w:szCs w:val="24"/>
        </w:rPr>
        <w:t xml:space="preserve"> en afgørelse om administrative foranstaltninger inden for den fastsatte frist, vil </w:t>
      </w:r>
      <w:r>
        <w:rPr>
          <w:rFonts w:ascii="Times New Roman" w:eastAsia="Calibri" w:hAnsi="Times New Roman" w:cs="Times New Roman"/>
          <w:iCs/>
          <w:sz w:val="24"/>
          <w:szCs w:val="24"/>
        </w:rPr>
        <w:t xml:space="preserve">Advokatnævnet efter indstilling fra </w:t>
      </w:r>
      <w:r w:rsidRPr="00D253F0">
        <w:rPr>
          <w:rFonts w:ascii="Times New Roman" w:eastAsia="Calibri" w:hAnsi="Times New Roman" w:cs="Times New Roman"/>
          <w:iCs/>
          <w:sz w:val="24"/>
          <w:szCs w:val="24"/>
        </w:rPr>
        <w:t xml:space="preserve">Advokatrådet kunne pålægge tvangsbøder. </w:t>
      </w:r>
      <w:r w:rsidR="00306122" w:rsidRPr="00796736">
        <w:rPr>
          <w:rFonts w:ascii="Times New Roman" w:eastAsia="Calibri" w:hAnsi="Times New Roman" w:cs="Times New Roman"/>
          <w:iCs/>
          <w:sz w:val="24"/>
          <w:szCs w:val="24"/>
        </w:rPr>
        <w:t>Det vil være et krav, at der er tale om den manglende efterlevelse af et påbud efter</w:t>
      </w:r>
      <w:r w:rsidR="00832E26">
        <w:rPr>
          <w:rFonts w:ascii="Times New Roman" w:eastAsia="Calibri" w:hAnsi="Times New Roman" w:cs="Times New Roman"/>
          <w:iCs/>
          <w:sz w:val="24"/>
          <w:szCs w:val="24"/>
        </w:rPr>
        <w:t xml:space="preserve"> </w:t>
      </w:r>
      <w:r w:rsidR="00832E26">
        <w:rPr>
          <w:rFonts w:ascii="Times New Roman" w:eastAsia="Calibri" w:hAnsi="Times New Roman" w:cs="Times New Roman"/>
          <w:iCs/>
          <w:sz w:val="24"/>
          <w:szCs w:val="24"/>
        </w:rPr>
        <w:fldChar w:fldCharType="begin"/>
      </w:r>
      <w:r w:rsidR="00832E26">
        <w:rPr>
          <w:rFonts w:ascii="Times New Roman" w:eastAsia="Calibri" w:hAnsi="Times New Roman" w:cs="Times New Roman"/>
          <w:iCs/>
          <w:sz w:val="24"/>
          <w:szCs w:val="24"/>
        </w:rPr>
        <w:instrText xml:space="preserve"> REF _Ref244787564 \n \h </w:instrText>
      </w:r>
      <w:r w:rsidR="00832E26">
        <w:rPr>
          <w:rFonts w:ascii="Times New Roman" w:eastAsia="Calibri" w:hAnsi="Times New Roman" w:cs="Times New Roman"/>
          <w:iCs/>
          <w:sz w:val="24"/>
          <w:szCs w:val="24"/>
        </w:rPr>
      </w:r>
      <w:r w:rsidR="00832E2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102</w:t>
      </w:r>
      <w:r w:rsidR="00832E26">
        <w:rPr>
          <w:rFonts w:ascii="Times New Roman" w:eastAsia="Calibri" w:hAnsi="Times New Roman" w:cs="Times New Roman"/>
          <w:iCs/>
          <w:sz w:val="24"/>
          <w:szCs w:val="24"/>
        </w:rPr>
        <w:fldChar w:fldCharType="end"/>
      </w:r>
      <w:r w:rsidR="00306122" w:rsidRPr="00796736">
        <w:rPr>
          <w:rFonts w:ascii="Times New Roman" w:eastAsia="Calibri" w:hAnsi="Times New Roman" w:cs="Times New Roman"/>
          <w:iCs/>
          <w:sz w:val="24"/>
          <w:szCs w:val="24"/>
        </w:rPr>
        <w:t xml:space="preserve">, </w:t>
      </w:r>
      <w:r w:rsidR="00832E26">
        <w:rPr>
          <w:rFonts w:ascii="Times New Roman" w:eastAsia="Calibri" w:hAnsi="Times New Roman" w:cs="Times New Roman"/>
          <w:iCs/>
          <w:sz w:val="24"/>
          <w:szCs w:val="24"/>
        </w:rPr>
        <w:fldChar w:fldCharType="begin"/>
      </w:r>
      <w:r w:rsidR="00832E26">
        <w:rPr>
          <w:rFonts w:ascii="Times New Roman" w:eastAsia="Calibri" w:hAnsi="Times New Roman" w:cs="Times New Roman"/>
          <w:iCs/>
          <w:sz w:val="24"/>
          <w:szCs w:val="24"/>
        </w:rPr>
        <w:instrText xml:space="preserve"> REF _Ref244787574 \n \h </w:instrText>
      </w:r>
      <w:r w:rsidR="00832E26">
        <w:rPr>
          <w:rFonts w:ascii="Times New Roman" w:eastAsia="Calibri" w:hAnsi="Times New Roman" w:cs="Times New Roman"/>
          <w:iCs/>
          <w:sz w:val="24"/>
          <w:szCs w:val="24"/>
        </w:rPr>
      </w:r>
      <w:r w:rsidR="00832E2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103</w:t>
      </w:r>
      <w:r w:rsidR="00832E26">
        <w:rPr>
          <w:rFonts w:ascii="Times New Roman" w:eastAsia="Calibri" w:hAnsi="Times New Roman" w:cs="Times New Roman"/>
          <w:iCs/>
          <w:sz w:val="24"/>
          <w:szCs w:val="24"/>
        </w:rPr>
        <w:fldChar w:fldCharType="end"/>
      </w:r>
      <w:r w:rsidR="00832E26">
        <w:rPr>
          <w:rFonts w:ascii="Times New Roman" w:eastAsia="Calibri" w:hAnsi="Times New Roman" w:cs="Times New Roman"/>
          <w:iCs/>
          <w:sz w:val="24"/>
          <w:szCs w:val="24"/>
        </w:rPr>
        <w:t xml:space="preserve"> </w:t>
      </w:r>
      <w:r w:rsidR="00306122" w:rsidRPr="00796736">
        <w:rPr>
          <w:rFonts w:ascii="Times New Roman" w:eastAsia="Calibri" w:hAnsi="Times New Roman" w:cs="Times New Roman"/>
          <w:iCs/>
          <w:sz w:val="24"/>
          <w:szCs w:val="24"/>
        </w:rPr>
        <w:t xml:space="preserve">eller </w:t>
      </w:r>
      <w:r w:rsidR="00306122" w:rsidRPr="00796736">
        <w:rPr>
          <w:rFonts w:ascii="Times New Roman" w:eastAsia="Calibri" w:hAnsi="Times New Roman" w:cs="Times New Roman"/>
          <w:iCs/>
          <w:sz w:val="24"/>
          <w:szCs w:val="24"/>
        </w:rPr>
        <w:fldChar w:fldCharType="begin"/>
      </w:r>
      <w:r w:rsidR="00306122" w:rsidRPr="00796736">
        <w:rPr>
          <w:rFonts w:ascii="Times New Roman" w:eastAsia="Calibri" w:hAnsi="Times New Roman" w:cs="Times New Roman"/>
          <w:iCs/>
          <w:sz w:val="24"/>
          <w:szCs w:val="24"/>
        </w:rPr>
        <w:instrText xml:space="preserve"> REF _Ref236998239 \r \h </w:instrText>
      </w:r>
      <w:r w:rsidR="00AB17CC" w:rsidRPr="00796736">
        <w:rPr>
          <w:rFonts w:ascii="Times New Roman" w:eastAsia="Calibri" w:hAnsi="Times New Roman" w:cs="Times New Roman"/>
          <w:iCs/>
          <w:sz w:val="24"/>
          <w:szCs w:val="24"/>
        </w:rPr>
        <w:instrText xml:space="preserve"> \* MERGEFORMAT </w:instrText>
      </w:r>
      <w:r w:rsidR="00306122" w:rsidRPr="00796736">
        <w:rPr>
          <w:rFonts w:ascii="Times New Roman" w:eastAsia="Calibri" w:hAnsi="Times New Roman" w:cs="Times New Roman"/>
          <w:iCs/>
          <w:sz w:val="24"/>
          <w:szCs w:val="24"/>
        </w:rPr>
      </w:r>
      <w:r w:rsidR="00306122" w:rsidRPr="00796736">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105</w:t>
      </w:r>
      <w:r w:rsidR="00306122" w:rsidRPr="00796736">
        <w:rPr>
          <w:rFonts w:ascii="Times New Roman" w:eastAsia="Calibri" w:hAnsi="Times New Roman" w:cs="Times New Roman"/>
          <w:iCs/>
          <w:sz w:val="24"/>
          <w:szCs w:val="24"/>
        </w:rPr>
        <w:fldChar w:fldCharType="end"/>
      </w:r>
      <w:r w:rsidR="00306122" w:rsidRPr="00796736">
        <w:rPr>
          <w:rFonts w:ascii="Times New Roman" w:eastAsia="Calibri" w:hAnsi="Times New Roman" w:cs="Times New Roman"/>
          <w:iCs/>
          <w:sz w:val="24"/>
          <w:szCs w:val="24"/>
        </w:rPr>
        <w:t>, stk. 1. Det bemærkes, at den forslåede bestemmelse alene omfatter afgørelser, hvilket indebærer, at den ikke vil kunne anvendes for den manglende efterlevelse af henstillinger efter</w:t>
      </w:r>
      <w:r w:rsidR="00C85228">
        <w:rPr>
          <w:rFonts w:ascii="Times New Roman" w:eastAsia="Calibri" w:hAnsi="Times New Roman" w:cs="Times New Roman"/>
          <w:iCs/>
          <w:sz w:val="24"/>
          <w:szCs w:val="24"/>
        </w:rPr>
        <w:t xml:space="preserve"> </w:t>
      </w:r>
      <w:r w:rsidR="00C85228">
        <w:rPr>
          <w:rFonts w:ascii="Times New Roman" w:eastAsia="Calibri" w:hAnsi="Times New Roman" w:cs="Times New Roman"/>
          <w:iCs/>
          <w:sz w:val="24"/>
          <w:szCs w:val="24"/>
        </w:rPr>
        <w:fldChar w:fldCharType="begin"/>
      </w:r>
      <w:r w:rsidR="00C85228">
        <w:rPr>
          <w:rFonts w:ascii="Times New Roman" w:eastAsia="Calibri" w:hAnsi="Times New Roman" w:cs="Times New Roman"/>
          <w:iCs/>
          <w:sz w:val="24"/>
          <w:szCs w:val="24"/>
        </w:rPr>
        <w:instrText xml:space="preserve"> REF _Ref244787564 \n \h </w:instrText>
      </w:r>
      <w:r w:rsidR="00C85228">
        <w:rPr>
          <w:rFonts w:ascii="Times New Roman" w:eastAsia="Calibri" w:hAnsi="Times New Roman" w:cs="Times New Roman"/>
          <w:iCs/>
          <w:sz w:val="24"/>
          <w:szCs w:val="24"/>
        </w:rPr>
      </w:r>
      <w:r w:rsidR="00C85228">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102</w:t>
      </w:r>
      <w:r w:rsidR="00C85228">
        <w:rPr>
          <w:rFonts w:ascii="Times New Roman" w:eastAsia="Calibri" w:hAnsi="Times New Roman" w:cs="Times New Roman"/>
          <w:iCs/>
          <w:sz w:val="24"/>
          <w:szCs w:val="24"/>
        </w:rPr>
        <w:fldChar w:fldCharType="end"/>
      </w:r>
      <w:r w:rsidR="00306122" w:rsidRPr="00796736">
        <w:rPr>
          <w:rFonts w:ascii="Times New Roman" w:eastAsia="Calibri" w:hAnsi="Times New Roman" w:cs="Times New Roman"/>
          <w:iCs/>
          <w:sz w:val="24"/>
          <w:szCs w:val="24"/>
        </w:rPr>
        <w:t xml:space="preserve">, stk. 1, 1. pkt.  </w:t>
      </w:r>
    </w:p>
    <w:p w14:paraId="7326846E" w14:textId="5D2D55EB" w:rsidR="00306122" w:rsidRPr="00796736" w:rsidRDefault="00306122"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En tvangsbøde er et særligt håndhævelsesmiddel, hvis formål det er at gennemtvinge en handlepligt. Dette indebærer, at selvom den påbudte handlepligt efterfølgende efterkommes, udelukker det ikke, at der kan pålægges en strafferetlig sanktion efter reglerne i lovforslagets </w:t>
      </w:r>
      <w:r w:rsidR="00C85228">
        <w:rPr>
          <w:rFonts w:ascii="Times New Roman" w:eastAsia="Calibri" w:hAnsi="Times New Roman" w:cs="Times New Roman"/>
          <w:iCs/>
          <w:sz w:val="24"/>
          <w:szCs w:val="24"/>
        </w:rPr>
        <w:fldChar w:fldCharType="begin"/>
      </w:r>
      <w:r w:rsidR="00C85228">
        <w:rPr>
          <w:rFonts w:ascii="Times New Roman" w:eastAsia="Calibri" w:hAnsi="Times New Roman" w:cs="Times New Roman"/>
          <w:iCs/>
          <w:sz w:val="24"/>
          <w:szCs w:val="24"/>
        </w:rPr>
        <w:instrText xml:space="preserve"> REF _Ref242963797 \n \h </w:instrText>
      </w:r>
      <w:r w:rsidR="00C85228">
        <w:rPr>
          <w:rFonts w:ascii="Times New Roman" w:eastAsia="Calibri" w:hAnsi="Times New Roman" w:cs="Times New Roman"/>
          <w:iCs/>
          <w:sz w:val="24"/>
          <w:szCs w:val="24"/>
        </w:rPr>
      </w:r>
      <w:r w:rsidR="00C85228">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139</w:t>
      </w:r>
      <w:r w:rsidR="00C85228">
        <w:rPr>
          <w:rFonts w:ascii="Times New Roman" w:eastAsia="Calibri" w:hAnsi="Times New Roman" w:cs="Times New Roman"/>
          <w:iCs/>
          <w:sz w:val="24"/>
          <w:szCs w:val="24"/>
        </w:rPr>
        <w:fldChar w:fldCharType="end"/>
      </w:r>
      <w:r w:rsidR="00C85228">
        <w:rPr>
          <w:rFonts w:ascii="Times New Roman" w:eastAsia="Calibri" w:hAnsi="Times New Roman" w:cs="Times New Roman"/>
          <w:iCs/>
          <w:sz w:val="24"/>
          <w:szCs w:val="24"/>
        </w:rPr>
        <w:t>.</w:t>
      </w:r>
    </w:p>
    <w:p w14:paraId="749598C1" w14:textId="2CBCAD03" w:rsidR="00394C42" w:rsidRPr="00D253F0" w:rsidRDefault="00394C42" w:rsidP="00A802A5">
      <w:pPr>
        <w:spacing w:after="240" w:line="360" w:lineRule="auto"/>
        <w:rPr>
          <w:rFonts w:ascii="Times New Roman" w:eastAsia="Calibri" w:hAnsi="Times New Roman" w:cs="Times New Roman"/>
          <w:iCs/>
          <w:sz w:val="24"/>
          <w:szCs w:val="24"/>
        </w:rPr>
      </w:pPr>
      <w:r w:rsidRPr="00D253F0">
        <w:rPr>
          <w:rFonts w:ascii="Times New Roman" w:eastAsia="Calibri" w:hAnsi="Times New Roman" w:cs="Times New Roman"/>
          <w:iCs/>
          <w:sz w:val="24"/>
          <w:szCs w:val="24"/>
        </w:rPr>
        <w:t xml:space="preserve">Tvangsbøderne vil skulle fastsættes </w:t>
      </w:r>
      <w:r>
        <w:rPr>
          <w:rFonts w:ascii="Times New Roman" w:eastAsia="Calibri" w:hAnsi="Times New Roman" w:cs="Times New Roman"/>
          <w:iCs/>
          <w:sz w:val="24"/>
          <w:szCs w:val="24"/>
        </w:rPr>
        <w:t xml:space="preserve">i overensstemmelse med regler udstedt i medfør af AMLA-forordningens artikel 49, jf. hvidvaskdirektivets artikel 53, stk. 10, jf. den foreslåede </w:t>
      </w:r>
      <w:r>
        <w:rPr>
          <w:rFonts w:ascii="Times New Roman" w:eastAsia="Calibri" w:hAnsi="Times New Roman" w:cs="Times New Roman"/>
          <w:iCs/>
          <w:sz w:val="24"/>
          <w:szCs w:val="24"/>
        </w:rPr>
        <w:fldChar w:fldCharType="begin"/>
      </w:r>
      <w:r>
        <w:rPr>
          <w:rFonts w:ascii="Times New Roman" w:eastAsia="Calibri" w:hAnsi="Times New Roman" w:cs="Times New Roman"/>
          <w:iCs/>
          <w:sz w:val="24"/>
          <w:szCs w:val="24"/>
        </w:rPr>
        <w:instrText xml:space="preserve"> REF _Ref242893180 \r \h </w:instrText>
      </w:r>
      <w:r w:rsidR="00CB248D">
        <w:rPr>
          <w:rFonts w:ascii="Times New Roman" w:eastAsia="Calibri" w:hAnsi="Times New Roman" w:cs="Times New Roman"/>
          <w:iCs/>
          <w:sz w:val="24"/>
          <w:szCs w:val="24"/>
        </w:rPr>
        <w:instrText xml:space="preserve"> \* MERGEFORMAT </w:instrText>
      </w:r>
      <w:r>
        <w:rPr>
          <w:rFonts w:ascii="Times New Roman" w:eastAsia="Calibri" w:hAnsi="Times New Roman" w:cs="Times New Roman"/>
          <w:iCs/>
          <w:sz w:val="24"/>
          <w:szCs w:val="24"/>
        </w:rPr>
      </w:r>
      <w:r>
        <w:rPr>
          <w:rFonts w:ascii="Times New Roman" w:eastAsia="Calibri" w:hAnsi="Times New Roman" w:cs="Times New Roman"/>
          <w:iCs/>
          <w:sz w:val="24"/>
          <w:szCs w:val="24"/>
        </w:rPr>
        <w:fldChar w:fldCharType="separate"/>
      </w:r>
      <w:r w:rsidR="008F29E5">
        <w:rPr>
          <w:rFonts w:ascii="Times New Roman" w:eastAsia="Calibri" w:hAnsi="Times New Roman" w:cs="Times New Roman"/>
          <w:iCs/>
          <w:sz w:val="24"/>
          <w:szCs w:val="24"/>
        </w:rPr>
        <w:t>§ 101</w:t>
      </w:r>
      <w:r>
        <w:rPr>
          <w:rFonts w:ascii="Times New Roman" w:eastAsia="Calibri" w:hAnsi="Times New Roman" w:cs="Times New Roman"/>
          <w:iCs/>
          <w:sz w:val="24"/>
          <w:szCs w:val="24"/>
        </w:rPr>
        <w:fldChar w:fldCharType="end"/>
      </w:r>
      <w:r>
        <w:rPr>
          <w:rFonts w:ascii="Times New Roman" w:eastAsia="Calibri" w:hAnsi="Times New Roman" w:cs="Times New Roman"/>
          <w:iCs/>
          <w:sz w:val="24"/>
          <w:szCs w:val="24"/>
        </w:rPr>
        <w:t>, stk. 2, 2. og 3. pkt</w:t>
      </w:r>
      <w:r w:rsidRPr="00D253F0">
        <w:rPr>
          <w:rFonts w:ascii="Times New Roman" w:eastAsia="Calibri" w:hAnsi="Times New Roman" w:cs="Times New Roman"/>
          <w:iCs/>
          <w:sz w:val="24"/>
          <w:szCs w:val="24"/>
        </w:rPr>
        <w:t xml:space="preserve">.  </w:t>
      </w:r>
    </w:p>
    <w:p w14:paraId="4DCC7834" w14:textId="77777777" w:rsidR="00394C42" w:rsidRDefault="00306122"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Ligesom efter retsplejelovens § 147 c, stk. 2, vil de daglige tvangsbøder kunne pålægges fra tidspunktet for udløbet af den frist som er pålagt i det pågældende påbud, herunder med tilbagevirkende kraft, når afgørelsen om at pålægge tvangsbøderne træffes på et senere tidspunkt. </w:t>
      </w:r>
    </w:p>
    <w:p w14:paraId="4281F7B1" w14:textId="607779C9" w:rsidR="00394C42" w:rsidRPr="00D253F0" w:rsidRDefault="00394C42" w:rsidP="00A802A5">
      <w:pPr>
        <w:spacing w:after="240" w:line="36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Uden for sådanne tilfælde forudsættes det, at p</w:t>
      </w:r>
      <w:r w:rsidRPr="00D253F0">
        <w:rPr>
          <w:rFonts w:ascii="Times New Roman" w:eastAsia="Calibri" w:hAnsi="Times New Roman" w:cs="Times New Roman"/>
          <w:iCs/>
          <w:sz w:val="24"/>
          <w:szCs w:val="24"/>
        </w:rPr>
        <w:t xml:space="preserve">ålæg af </w:t>
      </w:r>
      <w:r>
        <w:rPr>
          <w:rFonts w:ascii="Times New Roman" w:eastAsia="Calibri" w:hAnsi="Times New Roman" w:cs="Times New Roman"/>
          <w:iCs/>
          <w:sz w:val="24"/>
          <w:szCs w:val="24"/>
        </w:rPr>
        <w:t xml:space="preserve">der i </w:t>
      </w:r>
      <w:r w:rsidRPr="00D253F0">
        <w:rPr>
          <w:rFonts w:ascii="Times New Roman" w:eastAsia="Calibri" w:hAnsi="Times New Roman" w:cs="Times New Roman"/>
          <w:iCs/>
          <w:sz w:val="24"/>
          <w:szCs w:val="24"/>
        </w:rPr>
        <w:t xml:space="preserve">afgørelsen forinden er sket underretning af den handlepligtige om, at bøden </w:t>
      </w:r>
      <w:r>
        <w:rPr>
          <w:rFonts w:ascii="Times New Roman" w:eastAsia="Calibri" w:hAnsi="Times New Roman" w:cs="Times New Roman"/>
          <w:iCs/>
          <w:sz w:val="24"/>
          <w:szCs w:val="24"/>
        </w:rPr>
        <w:t>kan</w:t>
      </w:r>
      <w:r w:rsidRPr="00D253F0">
        <w:rPr>
          <w:rFonts w:ascii="Times New Roman" w:eastAsia="Calibri" w:hAnsi="Times New Roman" w:cs="Times New Roman"/>
          <w:iCs/>
          <w:sz w:val="24"/>
          <w:szCs w:val="24"/>
        </w:rPr>
        <w:t xml:space="preserve"> blive pålagt fra den anførte dato. Varslingen vil skulle indeholde oplysninger om de forhold, der kan udløse tvangsbøden</w:t>
      </w:r>
      <w:r>
        <w:rPr>
          <w:rFonts w:ascii="Times New Roman" w:eastAsia="Calibri" w:hAnsi="Times New Roman" w:cs="Times New Roman"/>
          <w:iCs/>
          <w:sz w:val="24"/>
          <w:szCs w:val="24"/>
        </w:rPr>
        <w:t xml:space="preserve"> og</w:t>
      </w:r>
      <w:r w:rsidRPr="00D253F0">
        <w:rPr>
          <w:rFonts w:ascii="Times New Roman" w:eastAsia="Calibri" w:hAnsi="Times New Roman" w:cs="Times New Roman"/>
          <w:iCs/>
          <w:sz w:val="24"/>
          <w:szCs w:val="24"/>
        </w:rPr>
        <w:t xml:space="preserve"> oplysninger om tvangsbødens størrelse</w:t>
      </w:r>
      <w:r>
        <w:rPr>
          <w:rFonts w:ascii="Times New Roman" w:eastAsia="Calibri" w:hAnsi="Times New Roman" w:cs="Times New Roman"/>
          <w:iCs/>
          <w:sz w:val="24"/>
          <w:szCs w:val="24"/>
        </w:rPr>
        <w:t xml:space="preserve">. </w:t>
      </w:r>
    </w:p>
    <w:p w14:paraId="0170AD82" w14:textId="447790AE" w:rsidR="00394C42" w:rsidRPr="00D253F0" w:rsidRDefault="0054563B" w:rsidP="00A802A5">
      <w:pPr>
        <w:spacing w:after="240" w:line="36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Tvangsbøderne</w:t>
      </w:r>
      <w:r w:rsidRPr="00D253F0">
        <w:rPr>
          <w:rFonts w:ascii="Times New Roman" w:eastAsia="Calibri" w:hAnsi="Times New Roman" w:cs="Times New Roman"/>
          <w:iCs/>
          <w:sz w:val="24"/>
          <w:szCs w:val="24"/>
        </w:rPr>
        <w:t xml:space="preserve"> skal være effektive, og det almindelige proportionalitetsprincip bl.a. medfører, at tvangsbøderne skal stå i rimeligt forhold til overtrædelserne.</w:t>
      </w:r>
      <w:r>
        <w:rPr>
          <w:rFonts w:ascii="Times New Roman" w:eastAsia="Calibri" w:hAnsi="Times New Roman" w:cs="Times New Roman"/>
          <w:iCs/>
          <w:sz w:val="24"/>
          <w:szCs w:val="24"/>
        </w:rPr>
        <w:t xml:space="preserve"> </w:t>
      </w:r>
      <w:r w:rsidR="009251BC" w:rsidRPr="009251BC">
        <w:rPr>
          <w:rFonts w:ascii="Times New Roman" w:eastAsia="Calibri" w:hAnsi="Times New Roman" w:cs="Times New Roman"/>
          <w:iCs/>
          <w:sz w:val="24"/>
          <w:szCs w:val="24"/>
        </w:rPr>
        <w:t>Ved fastsættelse af tvangsbødernes størrelse skal der tages hensyn til reguleringsmæssig tekniske standard om bødesanktioner, administrative foranstaltninger og tvangsbøder i henhold til</w:t>
      </w:r>
      <w:r w:rsidR="00931227">
        <w:rPr>
          <w:rFonts w:ascii="Times New Roman" w:eastAsia="Calibri" w:hAnsi="Times New Roman" w:cs="Times New Roman"/>
          <w:iCs/>
          <w:sz w:val="24"/>
          <w:szCs w:val="24"/>
        </w:rPr>
        <w:t xml:space="preserve"> hvidvaskdirektivets</w:t>
      </w:r>
      <w:r w:rsidR="009251BC" w:rsidRPr="009251BC">
        <w:rPr>
          <w:rFonts w:ascii="Times New Roman" w:eastAsia="Calibri" w:hAnsi="Times New Roman" w:cs="Times New Roman"/>
          <w:iCs/>
          <w:sz w:val="24"/>
          <w:szCs w:val="24"/>
        </w:rPr>
        <w:t xml:space="preserve"> artikel 53, stk. 10.</w:t>
      </w:r>
      <w:r w:rsidRPr="00D253F0">
        <w:rPr>
          <w:rFonts w:ascii="Times New Roman" w:eastAsia="Calibri" w:hAnsi="Times New Roman" w:cs="Times New Roman"/>
          <w:iCs/>
          <w:sz w:val="24"/>
          <w:szCs w:val="24"/>
        </w:rPr>
        <w:t xml:space="preserve"> </w:t>
      </w:r>
      <w:r w:rsidR="00394C42" w:rsidRPr="00D253F0">
        <w:rPr>
          <w:rFonts w:ascii="Times New Roman" w:eastAsia="Calibri" w:hAnsi="Times New Roman" w:cs="Times New Roman"/>
          <w:iCs/>
          <w:sz w:val="24"/>
          <w:szCs w:val="24"/>
        </w:rPr>
        <w:t xml:space="preserve">Tvangsbødernes størrelse må ikke stå i misforhold til undladelsen, ligesom der ved fastsættelsen af tvangsbøden skal tages hensyn til den handlepligtiges økonomiske formåen, således at pressionen har effekt, men størrelsen vil i øvrigt bero på et konkret skøn. </w:t>
      </w:r>
      <w:r w:rsidR="00394C42">
        <w:rPr>
          <w:rFonts w:ascii="Times New Roman" w:eastAsia="Calibri" w:hAnsi="Times New Roman" w:cs="Times New Roman"/>
          <w:iCs/>
          <w:sz w:val="24"/>
          <w:szCs w:val="24"/>
        </w:rPr>
        <w:t>E</w:t>
      </w:r>
      <w:r w:rsidR="00394C42" w:rsidRPr="00D253F0">
        <w:rPr>
          <w:rFonts w:ascii="Times New Roman" w:eastAsia="Calibri" w:hAnsi="Times New Roman" w:cs="Times New Roman"/>
          <w:iCs/>
          <w:sz w:val="24"/>
          <w:szCs w:val="24"/>
        </w:rPr>
        <w:t xml:space="preserve">fter det foreslåede </w:t>
      </w:r>
      <w:r w:rsidR="00394C42">
        <w:rPr>
          <w:rFonts w:ascii="Times New Roman" w:eastAsia="Calibri" w:hAnsi="Times New Roman" w:cs="Times New Roman"/>
          <w:iCs/>
          <w:sz w:val="24"/>
          <w:szCs w:val="24"/>
        </w:rPr>
        <w:t xml:space="preserve">vil tvangsbøderne </w:t>
      </w:r>
      <w:r w:rsidR="00394C42" w:rsidRPr="00D253F0">
        <w:rPr>
          <w:rFonts w:ascii="Times New Roman" w:eastAsia="Calibri" w:hAnsi="Times New Roman" w:cs="Times New Roman"/>
          <w:iCs/>
          <w:sz w:val="24"/>
          <w:szCs w:val="24"/>
        </w:rPr>
        <w:t xml:space="preserve">for juridiske personers vedkommende ikke overstige 3 pct. af deres gennemsnitlige daglige omsætning i det foregående regnskabsår. For fysiske personer </w:t>
      </w:r>
      <w:r w:rsidR="00394C42">
        <w:rPr>
          <w:rFonts w:ascii="Times New Roman" w:eastAsia="Calibri" w:hAnsi="Times New Roman" w:cs="Times New Roman"/>
          <w:iCs/>
          <w:sz w:val="24"/>
          <w:szCs w:val="24"/>
        </w:rPr>
        <w:t>må</w:t>
      </w:r>
      <w:r w:rsidR="00394C42" w:rsidRPr="00D253F0">
        <w:rPr>
          <w:rFonts w:ascii="Times New Roman" w:eastAsia="Calibri" w:hAnsi="Times New Roman" w:cs="Times New Roman"/>
          <w:iCs/>
          <w:sz w:val="24"/>
          <w:szCs w:val="24"/>
        </w:rPr>
        <w:t xml:space="preserve"> tvangsbøderne ikke overstige 2 pct. af deres gennemsnitlige daglige indtægt i det foregående kalenderår. </w:t>
      </w:r>
      <w:r w:rsidR="00441765">
        <w:rPr>
          <w:rFonts w:ascii="Times New Roman" w:eastAsia="Calibri" w:hAnsi="Times New Roman" w:cs="Times New Roman"/>
          <w:iCs/>
          <w:sz w:val="24"/>
          <w:szCs w:val="24"/>
        </w:rPr>
        <w:t>Med juridiske personer sigtes til advokatselskaber og fællesskaber af advokater omfattet af den foreslåede lov som forpligtede enheder. Med fysiske personer sigtes til advokater som forpligtede enkeltpersoner.</w:t>
      </w:r>
    </w:p>
    <w:p w14:paraId="24EEA421" w14:textId="77777777" w:rsidR="00306122" w:rsidRPr="00796736" w:rsidRDefault="00306122"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Formålet med tvangsbøder er lovliggørelse og ikke straf, og eventuelle ubetalte tvangsbøder vil således bortfalde, hvis den som er omfattet af påbuddet, gennemfører den påbudte handling.</w:t>
      </w:r>
    </w:p>
    <w:p w14:paraId="1B8CE940" w14:textId="1EE9D20C" w:rsidR="00306122" w:rsidRPr="00796736" w:rsidRDefault="00306122"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Endelig foreslås det i 3. pkt., at tvangsbøderne kun må pålægges i en periode på højst 6 måneder, som kan forlænges i højst 6 yderligere måneder, hvis advokaten endnu ikke har efterkommet den administrative foranstaltning.  </w:t>
      </w:r>
    </w:p>
    <w:p w14:paraId="4546BD51" w14:textId="71BDF195" w:rsidR="00306122" w:rsidRPr="00796736" w:rsidRDefault="00306122" w:rsidP="00A802A5">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Den foreslåede bestemmelse vil udgøre en tidsbegrænsning af, hvor længe der vil kunne pålægges tvangsbøder, som ikke følger af gældende ret.</w:t>
      </w:r>
    </w:p>
    <w:p w14:paraId="6A353FA9" w14:textId="77777777" w:rsidR="00D24526" w:rsidRPr="00796736" w:rsidRDefault="00D24526" w:rsidP="00D24526">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Efter det foreslåede vil en afgørelse om at pålægge tvangsbøder være tidsbegrænset og finde anvendelse i højst seks måneder. Det vil efter det foreslåede være muligt at forlænge pålæggelsen af tvangsbøder med yderligere maksimalt seks måneder, men det vil i sådanne tilfælde skulle overvejes, om der i stedet kan pålægges alternative foranstaltninger til at afhjælpe en længerevarende situation med manglende overholdelse i overensstemmelse med den brede vifte af administrative foranstaltninger, som Advokatrådet </w:t>
      </w:r>
      <w:r>
        <w:rPr>
          <w:rFonts w:ascii="Times New Roman" w:eastAsia="Calibri" w:hAnsi="Times New Roman" w:cs="Times New Roman"/>
          <w:iCs/>
          <w:sz w:val="24"/>
          <w:szCs w:val="24"/>
        </w:rPr>
        <w:t xml:space="preserve">og Advokatnævnet efter de foreslåede regler vil kunne </w:t>
      </w:r>
      <w:r w:rsidRPr="00796736">
        <w:rPr>
          <w:rFonts w:ascii="Times New Roman" w:eastAsia="Calibri" w:hAnsi="Times New Roman" w:cs="Times New Roman"/>
          <w:iCs/>
          <w:sz w:val="24"/>
          <w:szCs w:val="24"/>
        </w:rPr>
        <w:t>anvende.</w:t>
      </w:r>
    </w:p>
    <w:p w14:paraId="60504B4B" w14:textId="77777777" w:rsidR="008E476F" w:rsidRPr="00796736" w:rsidRDefault="008E476F" w:rsidP="008E476F">
      <w:pPr>
        <w:spacing w:after="24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bestemmelse gennemfører hvidvaskdirektivets artikel 57 for så vidt angår </w:t>
      </w:r>
      <w:r>
        <w:rPr>
          <w:rFonts w:ascii="Times New Roman" w:eastAsia="Calibri" w:hAnsi="Times New Roman" w:cs="Times New Roman"/>
          <w:iCs/>
          <w:sz w:val="24"/>
          <w:szCs w:val="24"/>
        </w:rPr>
        <w:t>muligheden for at iværksætte tvangsbøder overfor advokater</w:t>
      </w:r>
      <w:r w:rsidRPr="00796736">
        <w:rPr>
          <w:rFonts w:ascii="Times New Roman" w:eastAsia="Calibri" w:hAnsi="Times New Roman" w:cs="Times New Roman"/>
          <w:iCs/>
          <w:sz w:val="24"/>
          <w:szCs w:val="24"/>
        </w:rPr>
        <w:t>.</w:t>
      </w:r>
    </w:p>
    <w:p w14:paraId="39CE24A1" w14:textId="77777777" w:rsidR="00E0341A" w:rsidRPr="00796736" w:rsidRDefault="00E0341A" w:rsidP="00A802A5">
      <w:pPr>
        <w:spacing w:line="360" w:lineRule="auto"/>
        <w:rPr>
          <w:rFonts w:ascii="Times New Roman" w:hAnsi="Times New Roman" w:cs="Times New Roman"/>
          <w:sz w:val="24"/>
          <w:szCs w:val="24"/>
        </w:rPr>
      </w:pPr>
    </w:p>
    <w:p w14:paraId="301DE5F7" w14:textId="6283E2AC" w:rsidR="005A370E" w:rsidRPr="00796736" w:rsidRDefault="00E20D5E" w:rsidP="00A802A5">
      <w:pPr>
        <w:pStyle w:val="Undertitel"/>
      </w:pPr>
      <w:bookmarkStart w:id="2259" w:name="_Toc232109450"/>
      <w:bookmarkStart w:id="2260" w:name="_Toc244879435"/>
      <w:bookmarkStart w:id="2261" w:name="_Toc244880960"/>
      <w:r w:rsidRPr="00796736">
        <w:t xml:space="preserve">Til </w:t>
      </w:r>
      <w:bookmarkEnd w:id="2259"/>
      <w:r w:rsidR="00C67B35" w:rsidRPr="00796736">
        <w:fldChar w:fldCharType="begin"/>
      </w:r>
      <w:r w:rsidR="00C67B35" w:rsidRPr="00796736">
        <w:instrText xml:space="preserve"> REF _Ref242963797 \r \h </w:instrText>
      </w:r>
      <w:r w:rsidR="009C50B4" w:rsidRPr="00796736">
        <w:instrText xml:space="preserve"> \* MERGEFORMAT </w:instrText>
      </w:r>
      <w:r w:rsidR="00C67B35" w:rsidRPr="00796736">
        <w:fldChar w:fldCharType="separate"/>
      </w:r>
      <w:r w:rsidR="008F29E5">
        <w:t>§ 139</w:t>
      </w:r>
      <w:bookmarkEnd w:id="2260"/>
      <w:bookmarkEnd w:id="2261"/>
      <w:r w:rsidR="00C67B35" w:rsidRPr="00796736">
        <w:fldChar w:fldCharType="end"/>
      </w:r>
    </w:p>
    <w:p w14:paraId="0FF1FD5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følger af hvidvasklovens § 78, stk. 1, at overtrædelse af § 55, stk. 4, 1.-4. pkt., og stk. 5, 3.-7. pkt., straffes med bøde. Forsætlig eller grov uagtsom overtrædelse af §§ 5 og 5 a, § 6, stk. 1, 2. pkt., § 6 a, § 7, stk. 1 og 2, § 8, stk. 1-4 og 6, §§ 9 og 10, § 11, stk. 1 og 2 og stk. 3, 1., 3. og 4. pkt., § 12, § 14, stk. 1, stk. 2, 2. pkt., stk. 3, stk. 4, 2. pkt., og stk. 5, §§ 15 og 16, § 17, stk. 1-4, §§ 18-20, § 21, stk. 1, 2. pkt., § 22, stk. 2 og 3, § 24, stk. 1, 2. pkt., stk. 2 og 3, § 25, stk. 1-3, § 26, stk. 1 og 3, stk. 4, 1. pkt., og stk. 6, 1. pkt., § 29, stk. 4 og 6, §§ 30 og 31, § 31 b, stk. 1, § 32, § 35, stk. 1, §35 a, stk. 1, § 36, stk. 1 og 2, § 36 a, § 38, stk. 1, §§ 40, 43 og 44, § 45, stk. 5, § 48, stk. 1, § 49, stk. 1 og 2, § 57, stk. 2, § 58, stk. 1, § 59, stk. 1, og § 65, stk. 2, og artikel 4-8, 10-12, 14-17, 19-21 og 26 i Europa-Parlamentets og Rådets forordning om oplysninger, der skal medsendes ved pengeoverførsler og ved overførsler af visse kryptoaktiver, samt artikel 6, stk. 1, i Rådets forordning 2001/1338/EF af 28. juni 2001 om fastlæggelse af de foranstaltninger, der er nødvendige for at beskytte euroen mod falskmøntneri, som ændret ved forordning 2009/44/EF, jf. Rådets forordning 2001/1339/EF af 28. juni 2001 om udvidelse af virkningerne af forordning 2001/1338/EF om fastlæggelse af de foranstaltninger, der er nødvendige for at beskytte euroen mod falskmøntneri, til også at omfatte de medlemsstater, der ikke har indført euroen som fælles valuta, straffes med bøde, medmindre højere straf er forskyldt efter straffelovens regler.</w:t>
      </w:r>
    </w:p>
    <w:p w14:paraId="5191AE94" w14:textId="77777777" w:rsidR="00694EB0" w:rsidRPr="00882828" w:rsidRDefault="00694EB0" w:rsidP="00694EB0">
      <w:pPr>
        <w:spacing w:line="360" w:lineRule="auto"/>
        <w:rPr>
          <w:rFonts w:ascii="Times New Roman" w:hAnsi="Times New Roman" w:cs="Times New Roman"/>
          <w:sz w:val="24"/>
          <w:szCs w:val="24"/>
        </w:rPr>
      </w:pPr>
    </w:p>
    <w:p w14:paraId="5CE33CC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fremgår af stk. 2, at ved særligt grove eller omfattende forsætlige overtrædelser af § 5, § 9, stk. 2, § 10, § 11, stk. 1 og 2 og stk. 3, 1., 3. og 4. pkt., § 12, § 14, stk. 1, stk. 2, 2. pkt., og stk. 3 og 5, § 17, stk. 1-4, §§ 18-20, § 21, stk. 1, 2. pkt., § 25, stk. 1, § 26, stk. 1 og 3, stk. 4, 1. pkt., og stk. 6, 1. pkt., §§ 30, 31 og 40 og § 49, stk. 2, og artikel 4-8, 10-12, 14-17, 19-21 og 26 i Europa-Parlamentets og Rådets forordning om oplysninger, der skal medsendes ved pengeoverførsler og ved overførsler af visse kryptoaktiver, kan straffen stige til fængsel indtil 2 år, medmindre højere straf er forskyldt efter straffelovens § 290 b, stk. 2.</w:t>
      </w:r>
    </w:p>
    <w:p w14:paraId="149F9668" w14:textId="77777777" w:rsidR="00694EB0" w:rsidRPr="00882828" w:rsidRDefault="00694EB0" w:rsidP="00694EB0">
      <w:pPr>
        <w:spacing w:line="360" w:lineRule="auto"/>
        <w:rPr>
          <w:rFonts w:ascii="Times New Roman" w:hAnsi="Times New Roman" w:cs="Times New Roman"/>
          <w:sz w:val="24"/>
          <w:szCs w:val="24"/>
        </w:rPr>
      </w:pPr>
    </w:p>
    <w:p w14:paraId="4959CDC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3, fremgår det, at ved udmåling af bøder efter stk. 1 skal der lægges vægt på gerningspersonens økonomiske forhold. For overtrædelser begået af virksomheder lægges vægt på virksomhedens nettoomsætning på gerningstidspunktet.</w:t>
      </w:r>
    </w:p>
    <w:p w14:paraId="15381566" w14:textId="77777777" w:rsidR="00694EB0" w:rsidRPr="00882828" w:rsidRDefault="00694EB0" w:rsidP="00694EB0">
      <w:pPr>
        <w:spacing w:line="360" w:lineRule="auto"/>
        <w:rPr>
          <w:rFonts w:ascii="Times New Roman" w:hAnsi="Times New Roman" w:cs="Times New Roman"/>
          <w:sz w:val="24"/>
          <w:szCs w:val="24"/>
        </w:rPr>
      </w:pPr>
    </w:p>
    <w:p w14:paraId="2399B62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4, fremgår, at der kan pålægges selskaber m.v. (juridiske personer) strafansvar efter reglerne i straffelovens kapitel 5.</w:t>
      </w:r>
    </w:p>
    <w:p w14:paraId="5AEEF187" w14:textId="77777777" w:rsidR="00694EB0" w:rsidRPr="00882828" w:rsidRDefault="00694EB0" w:rsidP="00694EB0">
      <w:pPr>
        <w:spacing w:line="360" w:lineRule="auto"/>
        <w:rPr>
          <w:rFonts w:ascii="Times New Roman" w:hAnsi="Times New Roman" w:cs="Times New Roman"/>
          <w:sz w:val="24"/>
          <w:szCs w:val="24"/>
        </w:rPr>
      </w:pPr>
    </w:p>
    <w:p w14:paraId="1BB4BAB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fremgår af stk. 5, at forældelsesfristen for overtrædelse af lovens bestemmelser eller regler udstedt i medfør af loven er 5 år. Forældelsesfristen er dog 10 år ved overtrædelse af lovens §§ 6 og 6 a, § 7, stk. 1 og 2, § 10, § 11, stk. 1 og 2 og stk. 3, 1., 3. og 4. pkt., § 12, § 14, stk. 1, stk. 2, 2. pkt., stk. 3, stk. 4, 2. pkt., og stk. 5, § 15, § 17, stk. 1-4, § 18, stk. 1-6, §§ 19 og 20, § 22, stk. 2 og 3, § 24, stk. 1, 2. pkt., og stk. 2 og 3, § 25, stk. 1 og 2, § 26, stk. 1 og 3, stk. 4, 1. pkt., og stk. 6, 1. pkt., §§ 30, 31 og 31 b, § 32, 1. pkt., §§ 36 a og 43 og § 49, stk. 1 og 2.</w:t>
      </w:r>
    </w:p>
    <w:p w14:paraId="7F6AA1F7" w14:textId="77777777" w:rsidR="00694EB0" w:rsidRPr="00882828" w:rsidRDefault="00694EB0" w:rsidP="00694EB0">
      <w:pPr>
        <w:spacing w:line="360" w:lineRule="auto"/>
        <w:rPr>
          <w:rFonts w:ascii="Times New Roman" w:hAnsi="Times New Roman" w:cs="Times New Roman"/>
          <w:sz w:val="24"/>
          <w:szCs w:val="24"/>
        </w:rPr>
      </w:pPr>
    </w:p>
    <w:p w14:paraId="38D46B2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Endelig fremgår det af stk. 6, at i regler udstedt i medfør af loven kan der fastsættes straf i form af bøde for overtrædelse af regler udstedt i medfør af loven.</w:t>
      </w:r>
    </w:p>
    <w:p w14:paraId="481EA821" w14:textId="77777777" w:rsidR="00694EB0" w:rsidRPr="00882828" w:rsidRDefault="00694EB0" w:rsidP="00694EB0">
      <w:pPr>
        <w:spacing w:line="360" w:lineRule="auto"/>
        <w:rPr>
          <w:rFonts w:ascii="Times New Roman" w:hAnsi="Times New Roman" w:cs="Times New Roman"/>
          <w:sz w:val="24"/>
          <w:szCs w:val="24"/>
        </w:rPr>
      </w:pPr>
    </w:p>
    <w:p w14:paraId="5B24DD58"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Hvidvasklovens § 78 fastsætter, hvilke overtrædelser af hvidvaskloven og forordninger, der kan straffes. Bestemmelsen fastsætter endvidere strafansvar for juridiske personer samt forældelsesfristen for overtrædelse af lovens bestemmelser og regler udstedt i medfør heraf. </w:t>
      </w:r>
    </w:p>
    <w:p w14:paraId="304C4D44" w14:textId="77777777" w:rsidR="00694EB0" w:rsidRPr="00882828" w:rsidRDefault="00694EB0" w:rsidP="00694EB0">
      <w:pPr>
        <w:spacing w:line="360" w:lineRule="auto"/>
        <w:rPr>
          <w:rFonts w:ascii="Times New Roman" w:hAnsi="Times New Roman" w:cs="Times New Roman"/>
          <w:sz w:val="24"/>
          <w:szCs w:val="24"/>
        </w:rPr>
      </w:pPr>
    </w:p>
    <w:p w14:paraId="7A3CEA7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foreslås at indsætte en ny strafbestemmelse i </w:t>
      </w:r>
      <w:r w:rsidRPr="00882828">
        <w:rPr>
          <w:rFonts w:ascii="Times New Roman" w:hAnsi="Times New Roman" w:cs="Times New Roman"/>
          <w:i/>
          <w:iCs/>
          <w:sz w:val="24"/>
          <w:szCs w:val="24"/>
        </w:rPr>
        <w:t>§ 140, stk. 1,</w:t>
      </w:r>
      <w:r w:rsidRPr="00882828">
        <w:rPr>
          <w:rFonts w:ascii="Times New Roman" w:hAnsi="Times New Roman" w:cs="Times New Roman"/>
          <w:sz w:val="24"/>
          <w:szCs w:val="24"/>
        </w:rPr>
        <w:t xml:space="preserve"> hvorefter den</w:t>
      </w:r>
      <w:r w:rsidRPr="00882828">
        <w:rPr>
          <w:rFonts w:ascii="Times New Roman" w:eastAsia="Times New Roman" w:hAnsi="Times New Roman" w:cs="Times New Roman"/>
          <w:sz w:val="24"/>
          <w:szCs w:val="24"/>
          <w:lang w:eastAsia="da-DK"/>
        </w:rPr>
        <w:t>, der uden at forholdet er omfattet af stk. 4, begår alvorlige, gentagne eller systematiske overtrædelser af følgende bestemmelser straffes med bøde, medmindre højere straf er forskyldt efter anden lovgivning, jf. dog stk. 8.</w:t>
      </w:r>
    </w:p>
    <w:p w14:paraId="0DFAC87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68EA62B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Den foreslåede § 140 fastsætter, hvilke overtrædelser af hvidvaskforordningen og denne lov, der kan straffes. Bestemmelsen omfatter bl.a. overtrædelser af hvidvaskforordningens regler om interne politikker, procedurer og kontroller, kundekendskabsprocedurer, indberetningsforpligtelser og opbevaring af fortegnelser. Den foreslåede § 140 fastsætter endvidere strafansvar for overtrædelse af påbud, mulighed for fængselsstraf ved særligt grove eller omfattende forsætlige overtrædelser samt strafansvar for juridiske personer.</w:t>
      </w:r>
    </w:p>
    <w:p w14:paraId="02D9D14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93DB57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 xml:space="preserve">Tilregnelseskravet i den foreslåede bestemmelse vil i overensstemmelse med udgangspunktet for særlovgivning, men modsat den nugældende hvidvasklov, som udgangspunkt være simpel uagtsomhed, idet det dog bemærkes, at overtrædelserne omfattet af den foreslåede bestemmelse skal være af en vis grovhed, dvs. have en alvorlig, gentagen eller systematisk karakter. Dette vil efter dansk ret ikke i almindelighed være et krav for, at en handling eller undladelse er at tilregne gerningspersonen som simpelt uagtsom. For vurderingen af, om dette er tilfældet, henvises til den foreslåede stk. 6 og bemærkningerne dertil.  </w:t>
      </w:r>
    </w:p>
    <w:p w14:paraId="4F67133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059CB8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Den foreslåede bestemmelse viderefører i vidt omfang hvidvasklovens §§ 78 og 79, men med ændringer som følge af, at strafbestemmelsen tilpasses hvidvaskforordningen og de relevante artikler heri.</w:t>
      </w:r>
    </w:p>
    <w:p w14:paraId="4FE1AEA4" w14:textId="77777777" w:rsidR="00694EB0" w:rsidRPr="00882828" w:rsidRDefault="00694EB0" w:rsidP="00694EB0">
      <w:pPr>
        <w:spacing w:line="360" w:lineRule="auto"/>
        <w:rPr>
          <w:rFonts w:ascii="Times New Roman" w:hAnsi="Times New Roman" w:cs="Times New Roman"/>
          <w:sz w:val="24"/>
          <w:szCs w:val="24"/>
        </w:rPr>
      </w:pPr>
    </w:p>
    <w:p w14:paraId="1FF5B70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 xml:space="preserve">nr. 1, </w:t>
      </w:r>
      <w:r w:rsidRPr="00882828">
        <w:rPr>
          <w:rFonts w:ascii="Times New Roman" w:hAnsi="Times New Roman" w:cs="Times New Roman"/>
          <w:sz w:val="24"/>
          <w:szCs w:val="24"/>
        </w:rPr>
        <w:t>at overtrædelser af</w:t>
      </w:r>
      <w:r w:rsidRPr="00882828">
        <w:rPr>
          <w:rFonts w:ascii="Times New Roman" w:eastAsia="Times New Roman" w:hAnsi="Times New Roman" w:cs="Times New Roman"/>
          <w:sz w:val="24"/>
          <w:szCs w:val="24"/>
          <w:lang w:eastAsia="da-DK"/>
        </w:rPr>
        <w:t xml:space="preserve"> hvidvaskforordningens bestemmelser om interne politikker, procedurer og kontroller i artikel 9, stk. 1-3, artikel 10, stk. 1 og 2, artikel 11, stk. 1, 1.-3. pkt., stk. 2, 1., 2., 5. og 6. pkt., stk. 3-6, og stk. 7, 1. og 3. pkt., artikel 12, artikel 13, stk. 1-3, artikel 14, stk. 2, artikel 15, artikel 16, stk. 1-3, artikel 17, stk. 1 og 2, artikel 18, stk. 1, 2. pkt., stk. 2, 3. pkt., stk. 3-6, og stk. 7, 2. pkt., omfattes af strafbestemmelsen. </w:t>
      </w:r>
    </w:p>
    <w:p w14:paraId="307C2FA9"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73D3A3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Nedenfor angives en række eksempler på overtrædelser af de bestemmelser, der foreslås omfattet af stk. 1. Eksemplerne er ikke udtømmende men vedrører overtrædelser, som beror på konstaterbare kriterier, hvorefter disse vil kunne straffes med bøde, medmindre højere straf er forskyldt efter anden lovgivning.</w:t>
      </w:r>
    </w:p>
    <w:p w14:paraId="72F019D0"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01B30B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9, stk. 1-3, i hvidvaskforordningen fastslår, at forpligtede enheder skal have interne politikker, procedurer og kontroller, der sikrer overholdelse af hvidvaskforordningen, forordning (EU) 2023/1113 og eventuelle administrative retsakter udstedt af et tilsynsorgan. Politikkerne, procedurerne og kontrollerne skal navnlig sikre, at de risici for hvidvask og finansiering af terrorisme, som er identificeret på EU-plan, nationalt plan og i den forpligtede enhed, effektivt afbødes og styres. De skal endvidere, ud over forpligtelsen til at anvende målrettede finansielle sanktioner, afbøde og styre risici for manglende gennemførelse og omgåelse af sådanne sanktioner.</w:t>
      </w:r>
    </w:p>
    <w:p w14:paraId="2E294CA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16D760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De interne politikker, procedurer og kontroller skal stå i rimeligt forhold til virksomhedens art, herunder dens risici og kompleksitet, samt den forpligtede enheds størrelse. De skal omfatte alle aktiviteter, der er omfattet af hvidvaskforordningen. Politikkerne og procedurerne skal bl.a. omfatte virksomhedens risikovurdering, ramme for risikostyring, kundekendskabsprocedurer, indberetning af mistænkelige transaktioner, outsourcing, opbevaring af oplysninger, behandling af personoplysninger, overvågning af overholdelse, afhjælpning af mangler, kontrol af relevante personers omdømme, intern formidling samt uddannelse af ansatte og, hvor relevant, agenter og distributører. De forpligtede enheder skal desuden have interne kontroller og en uafhængig revisionsfunktion, der tester de interne politikker, procedurer og kontroller. Hvis der ikke findes en uafhængig revisionsfunktion, kan testen udføres af en ekstern ekspert. De interne politikker, procedurer og kontroller skal foreligge skriftligt. Interne politikker skal godkendes af ledelsesorganet i dets ledelsesfunktion, mens interne procedurer og kontroller som minimum skal godkendes på den complianceansvarliges niveau. De forpligtede enheder skal løbende ajourføre de interne politikker, procedurer og kontroller og skærpe dem, hvis der identificeres svagheder.</w:t>
      </w:r>
    </w:p>
    <w:p w14:paraId="5F560C50"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323392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 xml:space="preserve">Ansvarssubjektet for overtrædelse af artikel 9, stk. 1-3, er virksomheder og personer, der er omfattet af hvidvaskforordningen. Den strafbare handling kan bestå i, at en virksomhed undlader at udarbejde, ajourføre eller implementere interne politikker, procedurer og kontroller, der skal sikre overholdelse af hvidvaskforordningen, forordning (EU) 2023/1113 og eventuelle administrative retsakter udstedt af en tilsynsmyndighed. Det kan også udgøre en overtrædelse, hvis politikkerne, procedurerne og kontrollerne ikke er tilpasset virksomhedens art, risici, kompleksitet og størrelse, ikke omfatter alle relevante aktiviteter, eller hvis de ikke er godkendt på det krævede niveau. Endvidere kan en overtrædelse foreligge, hvis virksomheden ikke har etableret interne kontroller og en uafhængig revisionsfunktion eller tilsvarende ekstern test. </w:t>
      </w:r>
    </w:p>
    <w:p w14:paraId="79533A5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8F1306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10, stk. 1 og 2, i hvidvaskforordningen fastslår, at forpligtede enheder skal træffe egnede foranstaltninger, som står i rimeligt forhold til virksomhedens art, herunder dens risici og kompleksitet, samt dens størrelse, med henblik på at identificere og vurdere de risici for hvidvask og finansiering af terrorisme, som virksomheden er eksponeret for. De forpligtede enheder skal endvidere identificere og vurdere risici for manglende gennemførelse og omgåelse af målrettede finansielle sanktioner.</w:t>
      </w:r>
    </w:p>
    <w:p w14:paraId="27DA1338"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420093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Ved risikovurderingen skal de forpligtede enheder som minimum tage hensyn til de risikovariabler og risikofaktorer, der fremgår af hvidvaskforordningens bilag, resultaterne af risikovurderingen på EU-plan, nationale risikovurderinger og eventuelle relevante sektorspecifikke risikovurderinger. Der skal desuden tages hensyn til relevante oplysninger fra internationale standardsættere, Kommissionen, AMLA, kompetente myndigheder samt oplysninger om virksomhedens kundegrundlag.</w:t>
      </w:r>
    </w:p>
    <w:p w14:paraId="0C0F1DF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AFE28A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10, stk. 1, fastslår endvidere, at forpligtede enheder, før de lancerer nye produkter, tjenesteydelser eller forretningsprocedurer, herunder nye leveringskanaler og nye eller teknologier under udvikling, skal identificere og vurdere de risici for hvidvask og finansiering af terrorisme, der er forbundet hermed. Det samme gælder, før en eksisterende tjenesteydelse eller et eksisterende produkt udbydes til et nyt kundesegment eller i et nyt geografisk område. De forpligtede enheder skal i den forbindelse træffe passende foranstaltninger til at styre og afbøde de identificerede risici.</w:t>
      </w:r>
    </w:p>
    <w:p w14:paraId="4369B1C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8D5305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Efter artikel 10, stk. 2, skal risikovurderingen på virksomhedsplan dokumenteres, ajourføres og regelmæssigt revideres. Dette gælder navnlig, hvis en intern eller ekstern hændelse i betydelig grad påvirker de risici for hvidvask og finansiering af terrorisme, som er forbundet med den forpligtede enheds aktiviteter, produkter, transaktioner, leveringskanaler, kunder eller geografiske aktivitetsområder. Risikovurderingen skal efter anmodning stilles til rådighed for tilsynsorganer. Risikovurderingen skal udarbejdes af compliancemedarbejderen og godkendes af ledelsesorganet i dets ledelsesfunktion. Hvis der findes et ledelsesorgan i tilsynsfunktion, skal risikovurderingen meddeles dette organ.</w:t>
      </w:r>
    </w:p>
    <w:p w14:paraId="35ABB99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17FCB798"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Ansvarssubjektet for overtrædelse af artikel 10, stk. 1 og 2, er virksomheder og personer, der er omfattet af hvidvaskforordningen. Den strafbare handling kan bestå i, at virksomhed undlader at identificere eller vurdere de risici for hvidvask og finansiering af terrorisme, som virksomheden er eksponeret for, eller risici for manglende gennemførelse og omgåelse af målrettede finansielle sanktioner. </w:t>
      </w:r>
    </w:p>
    <w:p w14:paraId="551C09D9"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FB2BC8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kan også udgøre en overtrædelse, hvis risikovurderingen ikke tager hensyn til relevante risikovariabler, risikofaktorer, EU-risikovurderinger, nationale risikovurderinger, oplysninger fra kompetente myndigheder eller oplysninger, der stammer fra kundekendskabet. Endvidere kan en overtrædelse foreligge, hvis virksomheden undlader at foretage en risikovurdering før lancering af nye produkter, tjenesteydelser, forretningsprocedurer, leveringskanaler eller teknologier, eller før eksisterende produkter eller tjenesteydelser udbydes til nye kundesegmenter eller geografiske områder. </w:t>
      </w:r>
    </w:p>
    <w:p w14:paraId="76F82438"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8925E9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1, i hvidvaskforordningen fastslår, at forpligtede enheder skal udpege ét medlem af ledelsesorganet i dets ledelsesfunktion som ansvarlig for at sikre overensstemmelse med hvidvaskforordningen, forordning (EU) 2023/1113 og eventuelle administrative retsakter udstedt af et tilsynsorgan. Denne person betegnes som den complianceansvarlige. Den complianceansvarlige skal sikre, at den forpligtede enheds interne politikker, procedurer og kontroller er i overensstemmelse med den forpligtede enheds risikoeksponering, og at de gennemføres. Den complianceansvarlige skal desuden sikre, at der afsættes tilstrækkelige menneskelige og materielle ressourcer til dette formål, og har ansvaret for at indhente oplysninger om betydelige eller væsentlige svagheder i de interne politikker, procedurer og kontroller.</w:t>
      </w:r>
    </w:p>
    <w:p w14:paraId="1244D15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520507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11, stk. 1, er virksomheder og personer, der er omfattet af hvidvaskforordningen. Den strafbare handling kan bestå i, at virksomheden undlader at udpege ét medlem af ledelsesorganet i dets ledelsesfunktion som complianceansvarlig. Det kan også udgøre en overtrædelse, hvis den complianceansvarlige ikke sikrer, at de interne politikker, procedurer og kontroller er i overensstemmelse med virksomhedens risikoeksponering, eller at de ikke gennemføres. Endvidere kan en overtrædelse foreligge, hvis den complianceansvarlige ikke sikrer, at der afsættes tilstrækkelige menneskelige og materielle ressourcer, eller ikke indhenter oplysninger om betydelige eller væsentlige svagheder i de interne politikker, procedurer og kontroller.</w:t>
      </w:r>
    </w:p>
    <w:p w14:paraId="73BCFA1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3D2479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2, 1. og 2. pkt., i hvidvaskforordningen fastslår, at forpligtede enheder skal have en compliancemedarbejder, der udnævnes af ledelsesorganet i dets ledelsesfunktion. Compliancemedarbejderen skal indtage en tilstrækkelig høj hierarkisk position og have ansvaret for politikker, procedurer og kontroller i den daglige drift af den forpligtede enheds krav til bekæmpelse af hvidvask og finansiering af terrorisme, herunder i forbindelse med gennemførelsen af målrettede finansielle sanktioner. Compliancemedarbejderen skal desuden være kontaktpunkt for de kompetente myndigheder og have ansvar for at indberette mistænkelige transaktioner til FIU’en (Hvidvasksekretariatet i Danmark).</w:t>
      </w:r>
    </w:p>
    <w:p w14:paraId="2511A84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1726525"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11, stk. 2, 1. og 2. pkt., er virksomheder og personer, der er omfattet af hvidvaskforordningen. Den strafbare handling kan bestå i, at virksomheden ikke har en compliancemedarbejder, der er udnævnt af ledelsesorganet i dets ledelsesfunktion. Det kan også være en overtrædelse, hvis compliancemedarbejderen ikke indtager en tilstrækkelig høj hierarkisk position, ikke har ansvar for politikker, procedurer og kontroller i den daglige drift, ikke fungerer som kontaktpunkt for de kompetente myndigheder eller ikke har ansvar for at indberette mistænkelige transaktioner til Hvidvasksekretariatet.</w:t>
      </w:r>
    </w:p>
    <w:p w14:paraId="0C9F07B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BF8F2E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2, 5. og 6. pkt., i hvidvaskforordningen fastslår, at compliancemedarbejderen kun kan afsættes efter forudgående meddelelse til ledelsesorganet i dets ledelsesfunktion. Den forpligtede enhed skal underrette tilsynsorganet om afsættelsen af compliancemedarbejderen og angive, om beslutningen vedrører udførelsen af de opgaver, som er tildelt efter hvidvaskforordningen.</w:t>
      </w:r>
    </w:p>
    <w:p w14:paraId="288BF49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1C3423A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11, stk. 2, 5. og 6. pkt., er virksomheder og personer, der er omfattet af hvidvaskforordningen. Den strafbare handling kan bestå i, at compliancemedarbejderen afsættes uden forudgående meddelelse. Det kan også udgøre en overtrædelse, hvis virksomheden undlader at underrette tilsynsmyndigheden om afsættelsen.</w:t>
      </w:r>
    </w:p>
    <w:p w14:paraId="174941E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071C1C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3, i hvidvaskforordningen fastslår, at forpligtede enheder skal udstyre compliancefunktionerne med tilstrækkelige ressourcer, herunder personale og teknologi, i forhold til den forpligtede enheds størrelse, art og risici, så compliancefunktionerne effektivt kan varetage deres opgaver. De forpligtede enheder skal desuden sikre, at de personer, der har ansvaret for compliancefunktionerne, har beføjelser til at foreslå nødvendige foranstaltninger, der skal sikre, at den forpligtede enheds interne politikker, procedurer og kontroller er virkningsfulde.</w:t>
      </w:r>
    </w:p>
    <w:p w14:paraId="57251750"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4FC2E4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11, stk. 3, er virksomheder og personer, der er omfattet af hvidvaskforordningen. Den strafbare handling kan bestå i, at virksomheden ikke udstyrer compliancefunktionerne med tilstrækkelige ressourcer, herunder personale og teknologi, i forhold til virksomhedens størrelse, art og risici. Det kan også udgøre en overtrædelse, hvis de personer, der har ansvaret for compliancefunktionerne, ikke har beføjelser til at foreslå nødvendige foranstaltninger til at sikre, at de interne politikker, procedurer og kontroller er effektive.</w:t>
      </w:r>
    </w:p>
    <w:p w14:paraId="198942C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1D46B7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4, i hvidvaskforordningen fastslår, at forpligtede enheder skal træffe foranstaltninger til at sikre, at compliancemedarbejderen beskyttes mod repressalier, forskelsbehandling og anden uretfærdig behandling. De forpligtede enheder skal desuden sikre, at compliancemedarbejderens beslutninger ikke undergraves eller påvirkes uretmæssigt af den forpligtede enheds kommercielle interesser.</w:t>
      </w:r>
    </w:p>
    <w:p w14:paraId="0D2CA36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4849B9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11, stk. 4, er virksomheder og personer, der er omfattet af hvidvaskforordningen. Den strafbare handling kan bestå i, at virksomheden ikke træffer foranstaltninger til at beskytte compliancemedarbejderen mod repressalier, forskelsbehandling eller anden uretfærdig behandling. Det kan også være en overtrædelse, hvis compliancemedarbejderens beslutninger undergraves eller påvirkes uretmæssigt af virksomhedens kommercielle interesser.</w:t>
      </w:r>
    </w:p>
    <w:p w14:paraId="6E514059"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E1E906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5, i hvidvaskforordningen fastslår, at forpligtede enheder skal sikre, at compliancemedarbejderen og den person, der har ansvaret for revisionsfunktionen, uafhængigt kan rapportere direkte til ledelsesorganet i dets ledelsesfunktion og, hvis et sådant organ findes, til ledelsesorganet i dets tilsynsfunktion. De skal kunne udtrykke betænkeligheder og advare ledelsesorganet, hvis en specifik risikoudvikling påvirker eller kan påvirke den forpligtede enhed. De forpligtede enheder skal desuden sikre, at de personer, der direkte eller indirekte deltager i gennemførelsen af hvidvaskforordningen, forordning (EU) 2023/1113 og eventuelle administrative retsakter udstedt af et tilsynsorgan, har adgang til alle oplysninger og data, der er nødvendige for at varetage deres opgaver.</w:t>
      </w:r>
    </w:p>
    <w:p w14:paraId="3596221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5BA7D84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11, stk. 5, er virksomheder og personer, der er omfattet af hvidvaskforordningen. Den strafbare handling kan bestå i, at virksomheden ikke sikrer, at compliancemedarbejderen eller den ansvarlige for revisionsfunktionen uafhængigt kan rapportere direkte til ledelsesorganet. Endvidere kan en overtrædelse foreligge, hvis relevante personer ikke har adgang til de oplysninger og data, der er nødvendige for at varetage deres opgaver.</w:t>
      </w:r>
    </w:p>
    <w:p w14:paraId="5120ED8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745A77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6, i hvidvaskforordningen fastslår, at den complianceansvarlige regelmæssigt skal aflægge rapport til ledelsesorganet om gennemførelsen af den forpligtede enheds interne politikker, procedurer og kontroller. Den complianceansvarlige skal navnlig én gang om året eller, hvor det er relevant, hyppigere forelægge en rapport for ledelsesorganet om gennemførelsen af de interne politikker, procedurer og kontroller. Rapporten skal være udarbejdet af compliancemedarbejderen. Den complianceansvarlige skal desuden holde ledelsesorganet orienteret om resultatet af eventuelle gennemgange og tage de nødvendige tiltag til rettidigt at afhjælpe konstaterede mangler.</w:t>
      </w:r>
    </w:p>
    <w:p w14:paraId="463756E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540CC1F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11, stk. 6, er virksomheder og personer, der er omfattet af hvidvaskforordningen. Den strafbare handling kan bestå i, at den complianceansvarlige ikke rapporterer til ledelsesorganet om gennemførelsen af de interne politikker, procedurer og kontroller. Endvidere kan en overtrædelse foreligge, hvis ledelsesorganet ikke holdes orienteret om resultatet af gennemgange, eller hvis den complianceansvarlige ikke tager nødvendige tiltag til rettidigt at udbedre konstaterede mangler.</w:t>
      </w:r>
    </w:p>
    <w:p w14:paraId="087909F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68083F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7, 1. pkt., i hvidvaskforordningen fastslår, at den complianceansvarliges funktioner og compliancemedarbejderens funktioner kan varetages af den samme fysiske person, hvis den forpligtede enheds virksomheds art, herunder dens risici og kompleksitet, og dens størrelse berettiger det.</w:t>
      </w:r>
    </w:p>
    <w:p w14:paraId="2B53E49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C75355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For så vidt angår artikel 11, stk. 7, 1. pkt., er ansvarssubjektet virksomheden, der er omfattet af hvidvaskforordningen. Bestemmelsen giver virksomheden adgang til at lade den samme fysiske person varetage både den complianceansvarliges funktioner og compliancemedarbejderens funktioner, men kun hvis enhedens virksomheds art, herunder dens risici og kompleksitet, samt dens størrelse berettiger det. Den strafbare handling kan navnlig bestå i, at virksomheden lader den samme fysiske person varetage begge funktioner, selv om virksomhedens art, risici, kompleksitet eller størrelse ikke berettiger det. En overtrædelse vil endvidere kunne foreligge, hvis sammenlægningen medfører, at kravene i artikel 11, herunder kravene til uafhængighed, ressourcer, rapportering, adgang til oplysninger og effektiv varetagelse af complianceopgaverne, ikke overholdes.</w:t>
      </w:r>
    </w:p>
    <w:p w14:paraId="478D400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10DEF19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11, stk. 7, 3. pkt., i hvidvaskforordningen fastslår, at hvis den forpligtede enhed er en fysisk person eller en juridisk person, hvis aktiviteter udføres udelukkende af én fysisk person, skal denne person have ansvar for at varetage de opgaver, der er fastsat i artikel 11.</w:t>
      </w:r>
    </w:p>
    <w:p w14:paraId="53E6F08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5DA6D14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For så vidt angår artikel 11, stk. 7, 3. pkt., er ansvarssubjektet virksomheden, der er omfattet af hvidvaskforordningen. Hvis virksomheden er en fysisk person, vil ansvarssubjektet således være den fysiske person i sin egenskab af virksomheden. Hvis virksomheden er en juridisk person, hvis aktiviteter udføres udelukkende af én fysisk person, vil ansvarssubjektet være den juridiske person. Den strafbare handling vil bestå i, at virksomheden ikke sikrer, at den pågældende fysiske person har ansvaret for at varetage de opgaver, der er fastsat i artikel 11. En overtrædelse vil derfor navnlig være relevant, hvis enheden er omfattet af artikel 11, stk. 7, 3. pkt., men ansvaret for complianceopgaverne ikke er placeret hos den fysiske person, der driver eller udfører enhedens aktiviteter, eller hvis opgaverne ikke varetages i overensstemmelse med kravene i artikel 11.</w:t>
      </w:r>
    </w:p>
    <w:p w14:paraId="63B8316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C4CA36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12 i hvidvaskforordningen fastlægger, at forpligtede enheder skal træffe foranstaltninger til at sikre, at deres ansatte eller personer i sammenlignelige stillinger, hvis funktion kræver det, herunder agenter og distributører, har kendskab til de krav, der følger af hvidvaskforordningen, forordning (EU) 2023/1113 og eventuelle administrative retsakter udstedt af et tilsynsorgan. De pågældende skal endvidere have kendskab til den forpligtede enheds risikovurdering på virksomhedsplan samt de interne politikker, procedurer og kontroller, som den forpligtede enhed har indført, herunder vedrørende behandling af personoplysninger.</w:t>
      </w:r>
    </w:p>
    <w:p w14:paraId="13264000"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D720AB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Artikel 12 fastslår desuden, at foranstaltningerne skal indebære, at de relevante ansatte eller personer i sammenlignelige stillinger, herunder agenter og distributører, deltager i specifikke uddannelsesprogrammer. </w:t>
      </w:r>
    </w:p>
    <w:p w14:paraId="5B1178E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85803C5"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12 er virksomheder og personer, der er omfattet af hvidvaskforordningen. Den strafbare handling kan bestå i, at virksomheden undlader at træffe foranstaltninger til at sikre, at relevante ansatte eller personer i sammenlignelige stillinger, herunder agenter og distributører, har kendskab til de relevante krav, risikovurderingen på virksomhedsplan og de interne politikker, procedurer og kontroller. Det kan også udgøre en overtrædelse, hvis virksomheden undlader at sikre, at de pågældende deltager i specifikke uddannelsesprogrammer.</w:t>
      </w:r>
    </w:p>
    <w:p w14:paraId="73956BD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656F7B0"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13, stk. 1, i hvidvaskforordningen fastslår, at alle ansatte eller personer i sammenlignelige stillinger, herunder agenter og distributører, der direkte medvirker til, at den forpligtede enhed overholder hvidvaskforordningen, forordning (EU) 2023/1113 og eventuelle administrative retsakter udstedt af et tilsynsorgan, skal gennemgå en vurdering. Vurderingen skal svare til de risici, der er forbundet med de opgaver, der varetages, og indholdet af vurderingen skal være godkendt af compliancemedarbejderen. Vurderingen skal omfatte de pågældendes individuelle færdigheder, viden og ekspertise til at varetage deres funktioner effektivt samt deres gode omdømme, ærlighed og integritet. Vurderingen skal foretages, inden den pågældende påbegynder aktiviteterne, og gentages regelmæssigt. Intensiteten af de efterfølgende vurderinger skal fastsættes på grundlag af de opgaver, der varetages, og de risici, der er forbundet med funktionen.</w:t>
      </w:r>
    </w:p>
    <w:p w14:paraId="1168FA0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34C7EE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13, stk. 1, er virksomheder og personer, der er omfattet af hvidvaskforordningen. Den strafbare handling kan bestå i, at virksomheden undlader at vurdere relevante ansatte eller personer i sammenlignelige stillinger, herunder agenter og distributører, der har en rolle i virksomhedens overholdelse af reglerne. Det kan også udgøre en overtrædelse, hvis vurderingen ikke omfatter de pågældendes færdigheder, viden, ekspertise, omdømme, ærlighed og integritet, hvis vurderingens indhold ikke er godkendt af compliancemedarbejderen, h</w:t>
      </w:r>
      <w:r w:rsidRPr="00882828">
        <w:rPr>
          <w:rFonts w:ascii="Times New Roman" w:hAnsi="Times New Roman" w:cs="Times New Roman"/>
          <w:sz w:val="24"/>
          <w:szCs w:val="24"/>
          <w:shd w:val="clear" w:color="auto" w:fill="FFFFFF"/>
        </w:rPr>
        <w:t xml:space="preserve"> </w:t>
      </w:r>
      <w:r w:rsidRPr="00882828">
        <w:rPr>
          <w:rFonts w:ascii="Times New Roman" w:eastAsia="Times New Roman" w:hAnsi="Times New Roman" w:cs="Times New Roman"/>
          <w:sz w:val="24"/>
          <w:szCs w:val="24"/>
          <w:lang w:eastAsia="da-DK"/>
        </w:rPr>
        <w:t>vis vurderingen ikke foretages, før aktiviteterne påbegyndes, eller hvis vurderingen ikke gentages i overensstemmelse med kravene og på et risikobaseret grundlag</w:t>
      </w:r>
    </w:p>
    <w:p w14:paraId="28AD9C78"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75869A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13, stk. 2, i hvidvaskforordningen fastslår, at ansatte eller personer i sammenlignelige stillinger, herunder agenter og distributører, som har fået overdraget opgaver i forbindelse med den forpligtede enheds overholdelse af hvidvaskforordningen, forordning (EU) 2023/1113 og eventuelle administrative retsakter udstedt af et tilsynsorgan, skal underrette compliancemedarbejderen om eventuelle tætte private forbindelser eller forretningsforbindelser, som er etableret med den forpligtede enheds kunder eller potentielle kunder. De pågældende skal desuden forhindres i at påtage sig opgaver i forbindelse med den forpligtede enheds regelefterlevelse i relation til disse kunder.</w:t>
      </w:r>
    </w:p>
    <w:p w14:paraId="05DB3100"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4F378F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13, stk. 2, er virksomheder og personer, der er omfattet af hvidvaskforordningen. Den strafbare handling kan bestå i, at virksomheden undlader at sikre, at relevante ansatte eller personer i sammenlignelige stillinger underretter compliancemedarbejderen om tætte private forbindelser eller forretningsforbindelser med kunder eller potentielle kunder. Det kan også udgøre en overtrædelse, hvis virksomheden ikke forhindrer de pågældende i at påtage sig complianceopgaver i relation til sådanne kunder.</w:t>
      </w:r>
    </w:p>
    <w:p w14:paraId="4B7526E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68632198"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13, stk. 3, i hvidvaskforordningen fastslår, at forpligtede enheder skal have indført procedurer til forebyggelse og håndtering af interessekonflikter, som kan påvirke udførelsen af opgaver i forbindelse med den forpligtede enheds overholdelse af hvidvaskforordningen, forordning (EU) 2023/1113 og eventuelle administrative retsakter udstedt af et tilsynsorgan.</w:t>
      </w:r>
    </w:p>
    <w:p w14:paraId="3E0CB9B5"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93D276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13, stk. 3, er virksomheder og personer, der er omfattet af hvidvaskforordningen. Den strafbare handling kan bestå i, at virksomheden ikke har indført procedurer til forebyggelse og håndtering af interessekonflikter, eller hvis procedurerne ikke er egnede til at håndtere interessekonflikter, der kan påvirke udførelsen af opgaver i forbindelse med virksomhedens overholdelse af hvidvaskreglerne.</w:t>
      </w:r>
    </w:p>
    <w:p w14:paraId="0A1D5B4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344A4B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14, stk. 2, i hvidvaskforordningen fastslår, at forpligtede enheder skal etablere interne indberetningskanaler, som opfylder kravene i direktiv (EU) 2019/1937 om beskyttelse af personer, der indberetter overtrædelser af EU-retten, jf. dog artikel 14, stk. 3.</w:t>
      </w:r>
    </w:p>
    <w:p w14:paraId="1B6FD11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BB5BD5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14, stk. 2, er virksomheder og personer, der er omfattet af hvidvaskforordningen, medmindre undtagelsen i artikel 14, stk. 3, finder anvendelse. Den strafbare handling kan bestå i, at virksomheden undlader at etablere interne indberetningskanaler, eller at de etablerede indberetningskanaler ikke opfylder kravene i direktiv (EU) 2019/1937.</w:t>
      </w:r>
    </w:p>
    <w:p w14:paraId="762EA0B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5D8064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15 fastslår, at hvis en fysisk person, der er omfattet af hvidvaskforordningens artikel 3, nr. 3, udøver sin erhvervsmæssige virksomhed som ansat hos en juridisk person, gælder kravene i hvidvaskforordningen for den juridiske person i stedet for den fysiske person.</w:t>
      </w:r>
    </w:p>
    <w:p w14:paraId="7B750F5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54DA055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15 er den juridiske person, som den fysiske person udøver sin erhvervsmæssige virksomhed som ansat hos. Den strafbare handling kan bestå i, at den juridiske person undlader at overholde de krav i hvidvaskforordningen, som ellers ville have påhvilet den fysiske person, hvis denne havde udøvet virksomheden selvstændigt.</w:t>
      </w:r>
    </w:p>
    <w:p w14:paraId="4B0CF11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A89E88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16, stk. 1, i hvidvaskforordningen fastslår, at et moderselskab skal sikre, at kravene vedrørende interne procedurer, risikovurdering og personale i hvidvaskforordningens kapitel II, afdeling 1, gælder i alle koncernens filialer og datterselskaber i medlemsstaterne og, for koncerner med hovedsæde i Unionen, i tredjelande. Moderselskabet skal i den forbindelse foretage en risikovurdering på koncernplan under hensyntagen til de risikovurderinger på virksomhedsplan, som koncernens filialer og datterselskaber foretager. Moderselskabet skal desuden udarbejde og indføre politikker, procedurer og kontroller på koncernplan, herunder om databeskyttelse og udveksling af oplysninger internt i koncernen med henblik på bekæmpelse af hvidvask og finansiering af terrorisme. Forpligtede enheder i koncernen skal gennemføre disse politikker, procedurer og kontroller under hensyntagen til deres særlige kendetegn og de risici, som de er eksponeret for.</w:t>
      </w:r>
    </w:p>
    <w:p w14:paraId="27AB6A5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61ACAB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16, stk. 1, er moderselskabet og, for så vidt angår gennemførelsen af koncernens politikker, procedurer og kontroller, virksomhederne i koncernen. Den strafbare handling kan bestå i, at moderselskabet undlader at sikre, at kravene om interne procedurer, risikovurdering og personale gælder i koncernens filialer og datterselskaber. Det kan også udgøre en overtrædelse, hvis moderselskabet ikke foretager en risikovurdering på koncernplan, ikke udarbejder eller indfører politikker, procedurer og kontroller på koncernplan. Endvidere kan en overtrædelse foreligge, hvis virksomhederne i koncernen ikke gennemfører politikkerne, procedurerne og kontrollerne på koncernplan under hensyntagen til deres særlige kendetegn og risici.</w:t>
      </w:r>
    </w:p>
    <w:p w14:paraId="7CDFC32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F4E353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16, stk. 2, i hvidvaskforordningen fastslår, at der skal oprettes compliancefunktioner på koncernplan. Funktionerne skal omfatte en complianceansvarlig på koncernplan og, hvis de aktiviteter, der udføres på koncernplan, berettiger det, en compliancemedarbejder. Afgørelsen om compliancefunktionernes størrelse skal dokumenteres. Den complianceansvarlige på koncernplan skal regelmæssigt rapportere til moderselskabets ledelsesorgan i dets ledelsesfunktion om gennemførelsen af politikker, procedurer og kontroller på koncernplan. Den complianceansvarlige skal som minimum én gang om året forelægge en rapport om gennemførelsen af de interne politikker, procedurer og kontroller og tage de nødvendige tiltag til rettidigt at udbedre konstaterede mangler.</w:t>
      </w:r>
    </w:p>
    <w:p w14:paraId="665D340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0A3078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16, stk. 2, er moderselskabet. Den strafbare handling kan bestå i, at moderselskabet undlader at oprette compliancefunktioner på koncernplan, herunder en complianceansvarlig på koncernplan. Det kan også være en overtrædelse, hvis der ikke udnævnes en compliancemedarbejder, selv om aktiviteterne på koncernplan berettiger det, eller hvis afgørelsen om compliancefunktionernes størrelse ikke dokumenteres. Endvidere kan en overtrædelse foreligge, hvis den complianceansvarlige ikke rapporterer til moderselskabets ledelsesorgan, ikke mindst én gang årligt forelægger den krævede rapport, eller ikke tager nødvendige tiltag til rettidigt at udbedre konstaterede mangler.</w:t>
      </w:r>
    </w:p>
    <w:p w14:paraId="29659FD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AB1B8F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16, stk. 3, i hvidvaskforordningen fastslår, at politikker, procedurer og kontroller om deling af oplysninger på koncernplan skal kræve, at forpligtede enheder i koncernen udveksler oplysninger, når delingen er relevant for kundekendskabsprocedurer og risikostyring i forbindelse med hvidvask og finansiering af terrorisme. Oplysningsdelingen skal navnlig omfatte oplysninger om kundens identitet og kendetegn, reelle ejere, den person, på hvis vegne kunden handler, forretningsforbindelsens og lejlighedsvise transaktioners art og formål samt mistanker, ledsaget af de underliggende analyser, som er indberettet til FIU’en, medmindre FIU’en anviser andet. Politikkerne, procedurerne og kontrollerne må ikke forhindre enheder i koncernen, som ikke er forpligtede enheder, i at dele relevante oplysninger med forpligtede enheder i samme koncern. Moderselskaber skal desuden indføre garantier for fortrolighed, databeskyttelse og anvendelse af de udvekslede oplysninger.</w:t>
      </w:r>
    </w:p>
    <w:p w14:paraId="4F12E9D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3A11FA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16, stk. 3, er moderselskabet og virksomhederne i koncernen. Den strafbare handling kan bestå i, at der på koncernplan ikke er fastsat politikker, procedurer og kontroller, som sikrer relevant udveksling af oplysninger mellem virksomhederne i koncernen. Det kan også udgøre en overtrædelse, hvis oplysninger, der skal deles med henblik på kundekendskabsprocedurer og risikostyring, ikke udveksles, eller hvis politikker, procedurer og kontroller hindrer relevante oplysninger i at blive delt med virksomheder i samme koncern. Endvidere kan en overtrædelse foreligge, hvis moderselskabet ikke har indført tilstrækkelige garantier for fortrolighed, databeskyttelse og anvendelse af de udvekslede oplysninger.</w:t>
      </w:r>
    </w:p>
    <w:p w14:paraId="774898B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716B9A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17, stk. 1, i hvidvaskforordningen fastslår, at når en forpligtet enheds filialer eller datterselskaber er beliggende i tredjelande, hvor minimumskravene til bekæmpelse af hvidvask og finansiering af terrorisme er mindre strenge end kravene i hvidvaskforordningen, skal moderselskabet sikre, at disse filialer eller datterselskaber overholder kravene i hvidvaskforordningen, herunder kravene vedrørende databeskyttelse eller tilsvarende krav.</w:t>
      </w:r>
    </w:p>
    <w:p w14:paraId="7DDC551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8B93A0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17, stk. 1, er moderselskabet. Den strafbare handling kan bestå i, at moderselskabet undlader at sikre, at filialer eller datterselskaber i tredjelande, hvor kravene til bekæmpelse af hvidvask og finansiering af terrorisme er mindre strenge, overholder kravene i hvidvaskforordningen eller tilsvarende krav.</w:t>
      </w:r>
    </w:p>
    <w:p w14:paraId="44F332D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0F36E2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17, stk. 2, i hvidvaskforordningen fastslår, at hvis et tredjelands ret ikke gør det muligt at overholde hvidvaskforordningen, skal moderselskabet træffe yderligere foranstaltninger for at sikre, at filialer og datterselskaber i det pågældende tredjeland effektivt håndterer risikoen for hvidvask eller finansiering af terrorisme. Moderselskabet skal orientere tilsynsorganerne i sit hjemland om disse yderligere foranstaltninger.</w:t>
      </w:r>
    </w:p>
    <w:p w14:paraId="55D69408"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3F9CF0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17, stk. 2, er moderselskabet. Den strafbare handling kan bestå i, at moderselskabet undlader at træffe yderligere foranstaltninger, når tredjelandets ret ikke gør det muligt at overholde hvidvaskforordningen. Det kan også udgøre en overtrædelse, hvis moderselskabet ikke orienterer tilsynsmyndighederne i hjemlandet om de yderligere foranstaltninger.</w:t>
      </w:r>
    </w:p>
    <w:p w14:paraId="4187E409"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1543F25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18, stk. 1, 2. pkt., i hvidvaskforordningen fastslår, at den forpligtede enhed skal underrette tilsynsorganet om outsourcing, inden tjenesteudbyderen påbegynder udførelsen af de outsourcede opgaver.</w:t>
      </w:r>
    </w:p>
    <w:p w14:paraId="6AB552A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9313A25"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18, stk. 1, 2. pkt., er virksomheden eller personen, der er omfattet af hvidvaskforordningen. Den strafbare handling kan bestå i, at virksomheden undlader at underrette tilsynsmyndigheden om outsourcing, inden tjenesteudbyderen påbegynder udførelsen af de outsourcede opgaver.</w:t>
      </w:r>
    </w:p>
    <w:p w14:paraId="009076F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1315758"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18, stk. 2, 3. pkt., i hvidvaskforordningen fastslår, at den forpligtede enhed for hver outsourcet opgave skal kunne godtgøre over for tilsynsorganet, at den forstår rationalet bag de aktiviteter, der udføres af tjenesteudbyderen, og den tilgang, der følges ved gennemførelsen heraf. Den forpligtede enhed skal desuden kunne godtgøre, at aktiviteterne afbøder de specifikke risici, som den forpligtede enhed er eksponeret for.</w:t>
      </w:r>
    </w:p>
    <w:p w14:paraId="1CF0B4D9"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59569AA8"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18, stk. 2, 3. pkt., er virksomheden eller personen, der er omfattet af hvidvaskforordningen. Den strafbare handling kan bestå i, at virksomheden ikke kan godtgøre over for tilsynsmyndigheden, at den forstår rationalet bag de outsourcede aktiviteter og den tilgang, som tjenesteudbyderen anvender. Det kan også udgøre en overtrædelse, hvis virksomheden ikke kan godtgøre, at de outsourcede aktiviteter afbøder de specifikke risici, som virksomheden er eksponeret for.</w:t>
      </w:r>
    </w:p>
    <w:p w14:paraId="6A78173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1C1F804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Artikel 18, stk. 3, i hvidvaskforordningen fastslår, at outsourcede opgaver ikke må varetages på en måde, der i væsentlig grad forringer kvaliteten af den forpligtede enheds politikker og procedurer for overholdelse af hvidvaskforordningen og forordning (EU) 2023/1113 eller de kontroller, der er indført for at teste disse politikker og procedurer. </w:t>
      </w:r>
    </w:p>
    <w:p w14:paraId="7F8A1CA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07B321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Bestemmelsen fastslår endvidere, at visse opgaver under ingen omstændigheder må outsources. Det gælder bl.a. forslag til og godkendelse af risikovurderingen på virksomhedsplan, godkendelse af interne politikker, procedurer og kontroller, beslutning om kundens risikoprofil, beslutning om etablering af forretningsforbindelser eller gennemførelse af lejlighedsvise transaktioner, indberetning af mistænkelige aktiviteter til FIU’en, medmindre den særlige koncernundtagelse finder anvendelse, samt godkendelse af kriterier til opdagelse af mistænkelige eller usædvanlige transaktioner og aktiviteter.</w:t>
      </w:r>
    </w:p>
    <w:p w14:paraId="413CEE4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598DD88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18, stk. 3, er virksomheden eller personen, der er omfattet af hvidvaskforordningen. Den strafbare handling kan bestå i, at outsourcing sker på en måde, der forringer kvaliteten af virksomhedens politikker, procedurer eller kontroller. Det kan også udgøre en overtrædelse, hvis virksomheden outsourcer opgaver, som efter bestemmelsen ikke må outsources.</w:t>
      </w:r>
    </w:p>
    <w:p w14:paraId="31B7CE5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373B4A5"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18, stk. 4, i hvidvaskforordningen fastslår, at den forpligtede enhed, før den outsourcer en opgave, skal sikre sig, at tjenesteudbyderen er tilstrækkeligt kvalificeret til at udføre opgaven. Den forpligtede enhed skal desuden sikre, at tjenesteudbyderen og eventuelle videreoutsourcingtjenesteudbydere anvender de politikker og procedurer, som den forpligtede enhed har vedtaget. Betingelserne for varetagelsen af opgaverne skal fastsættes i en skriftlig aftale, og den forpligtede enhed skal foretage regelmæssige kontroller af, at tjenesteudbyderen faktisk gennemfører politikkerne og procedurerne.</w:t>
      </w:r>
    </w:p>
    <w:p w14:paraId="38E6245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00DD88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18, stk. 4, er virksomheden eller personen, der er omfattet af hvidvaskforordningen. Den strafbare handling kan bestå i, at virksomheden outsourcer en opgave uden at sikre sig, at tjenesteudbyderen er tilstrækkeligt kvalificeret. Det kan også udgøre en overtrædelse, hvis tjenesteudbyderen eller en videreoutsourcingtjenesteudbyder ikke anvender virksomhedens politikker og procedurer eller hvis der ikke foreligger en skriftlig aftale.</w:t>
      </w:r>
    </w:p>
    <w:p w14:paraId="5E389D9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D028F1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18, stk. 5, i hvidvaskforordningen fastslår, at forpligtede enheder skal sikre, at outsourcing ikke foretages på en måde, der i væsentlig grad forringer tilsynsmyndighedernes mulighed for at overvåge og spore den forpligtede enheds overholdelse af hvidvaskforordningen og forordning (EU) 2023/1113.</w:t>
      </w:r>
    </w:p>
    <w:p w14:paraId="263801AE"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4DA53D0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18, stk. 5, er virksomheden eller personen, der er omfattet af hvidvaskforordningen. Den strafbare handling kan bestå i, at outsourcing tilrettelægges eller gennemføres på en måde, der væsentligt forringer tilsynsmyndighedernes mulighed for at føre tilsyn med og kontrollere virksomhedens overholdelse af reglerne.</w:t>
      </w:r>
    </w:p>
    <w:p w14:paraId="57227CE5"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611E511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18, stk. 6, i hvidvaskforordningen fastslår, at forpligtede enheder som udgangspunkt ikke må outsource opgaver efter hvidvaskforordningen til tjenesteudbydere, som har bopæl eller er etableret i tredjelande, der er identificeret efter hvidvaskforordningens kapitel III, afdeling 2. Outsourcing til sådanne tjenesteudbydere kan kun ske, hvis den forpligtede enhed udelukkende outsourcer til en tjenesteudbyder i samme koncern, hvis koncernen anvender politikker og procedurer for bekæmpelse af hvidvask og finansiering af terrorisme, kundekendskabsprocedurer og regler om opbevaring af fortegnelser, som er i fuld overensstemmelse med hvidvaskforordningen eller tilsvarende regler i tredjelande, og hvis hjemlandets tilsynsmyndighed fører tilsyn med den faktiske gennemførelse af kravene på koncernplan.</w:t>
      </w:r>
    </w:p>
    <w:p w14:paraId="631A529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3DE9C1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18, stk. 6, er virksomheden eller personen, der er omfattet af hvidvaskforordningen. Den strafbare handling kan bestå i, at virksomheden outsourcer opgaver til en tjenesteudbyder med bopæl eller etablering i et relevant identificeret tredjeland, uden at betingelserne i bestemmelsen er opfyldt.</w:t>
      </w:r>
    </w:p>
    <w:p w14:paraId="0E17955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9C838A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Artikel 18, stk. 7, 2. pkt., i hvidvaskforordningen fastslår, at et institut for kollektiv investering i de tilfælde, der er omfattet af artikel 18, stk. 7, 1. pkt., først må outsource de nævnte opgaver, efter at instituttet har underrettet tilsynsorganet om, at det har til hensigt at outsource opgaven, og tilsynsorganet har godkendt outsourcingen. Ved godkendelsen skal tilsynsorganet tage hensyn til tjenesteudbyderens ressourcer, erfaring og viden om forebyggelse af hvidvask og finansiering af terrorisme samt tjenesteudbyderens kendskab til den type aktiviteter eller transaktioner, som instituttet udfører.</w:t>
      </w:r>
    </w:p>
    <w:p w14:paraId="5131BAD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7BDA1DC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Et institut for kollektiv investering er nærmere defineret i hvidvaskforordningens artikel 2, nr. 6, litra e.</w:t>
      </w:r>
    </w:p>
    <w:p w14:paraId="79B53A4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88A821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Ansvarssubjektet for overtrædelse af artikel 18, stk. 7, 2. pkt., er instituttet for kollektiv investering. Den strafbare handling kan bestå i, at virksomheden outsourcer de nævnte opgaver uden forudgående underretning til Finanstilsynet eller uden Finanstilsynets godkendelse.</w:t>
      </w:r>
    </w:p>
    <w:p w14:paraId="34ADE91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ED4532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nr. 2,</w:t>
      </w:r>
      <w:r w:rsidRPr="00882828">
        <w:rPr>
          <w:rFonts w:ascii="Times New Roman" w:eastAsia="Times New Roman" w:hAnsi="Times New Roman" w:cs="Times New Roman"/>
          <w:sz w:val="24"/>
          <w:szCs w:val="24"/>
          <w:lang w:eastAsia="da-DK"/>
        </w:rPr>
        <w:t xml:space="preserve"> at overtrædelser af hvidvaskforordningens bestemmelser om kundekendskabsprocedurer i artikel 19, stk. 1-3, stk. 4, 1. pkt., og stk. 5, artikel 20, stk. 1, 2 og 4, artikel 21, stk. 1, 1. og 4. pkt., og stk. 3, 1. og 2. pkt., artikel 22, stk. 1-7, artikel 23, stk. 1, 1. og 3. pkt., stk. 2, 2. pkt., og stk. 4, artikel 24, stk. 1, 1. og 2. pkt., og stk. 3, artikel 25, artikel 26, stk. 1-3, og stk. 4, 1. og 2. pkt., artikel 27, stk. 1 og 2, artikel 29, stk. 4, artikel 33, stk. 1, 2. og 3. pkt., og stk. 2-5, artikel 34, stk. 1-4, og stk. 5, 1. pkt., artikel 36, artikel 37, stk. 1 og 2, artikel 39, stk. 1 og 2, artikel 38, stk. 1 og 7, artikel 39, artikel 40, stk. 1, artikel 41, artikel 42, stk. 1, artikel 44, artikel 45, stk. 1-3, artikel 47, artikel 48, stk. 1, 2 og 4, og artikel 49, stk. 1-4, omfattes af strafbestemmelsen.</w:t>
      </w:r>
    </w:p>
    <w:p w14:paraId="0285D3D0" w14:textId="77777777" w:rsidR="00694EB0" w:rsidRPr="00882828" w:rsidRDefault="00694EB0" w:rsidP="00694EB0">
      <w:pPr>
        <w:spacing w:line="360" w:lineRule="auto"/>
        <w:rPr>
          <w:rFonts w:ascii="Times New Roman" w:hAnsi="Times New Roman" w:cs="Times New Roman"/>
          <w:sz w:val="24"/>
          <w:szCs w:val="24"/>
        </w:rPr>
      </w:pPr>
    </w:p>
    <w:p w14:paraId="631B763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19, stk. 1-3, stk. 4, 1. pkt., og stk. 5, i hvidvaskforordningen fastslår, i hvilke tilfælde forpligtede enheder skal anvende kundekendskabsprocedurer. </w:t>
      </w:r>
    </w:p>
    <w:p w14:paraId="2F937A99"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19, stk. 1, skal forpligtede enheder anvende kundekendskabsprocedurer, når de etablerer en forretningsforbindelse, når de gennemfører en lejlighedsvis transaktion til en værdi af mindst 10.000 euro eller et tilsvarende beløb i national valuta, uanset om transaktionen gennemføres på én gang eller som indbyrdes forbundne transaktioner, når de deltager i oprettelsen af en juridisk enhed eller et juridisk arrangement eller i de nærmere angivne tilfælde i overførslen af ejerskabet af en juridisk enhed, uanset transaktionens værdi. Kundekendskabsprocedurer skal endvidere anvendes ved mistanke om hvidvask eller finansiering af terrorisme, uanset eventuelle afvigelser, undtagelser eller tærskler, ved tvivl om, hvorvidt tidligere indhentede oplysninger om kundens identitet er korrekte eller fyldestgørende, og ved tvivl om, hvorvidt den person, den forpligtede enhed interagerer med, er kunden eller en person, der er bemyndiget til at handle på kundens vegne.</w:t>
      </w:r>
    </w:p>
    <w:p w14:paraId="47D2FCCC"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19, stk. 2, fastslår, at kreditinstitutter og finansieringsinstitutter, med undtagelse af udbydere af kryptoaktivtjenester, skal anvende kundekendskabsprocedurer, når de indleder eller gennemfører en lejlighedsvis transaktion, som udgør en pengeoverførsel som defineret i forordning (EU) 2023/1113, og som beløber sig til mindst 1.000 euro eller et tilsvarende beløb i national valuta, uanset om transaktionen gennemføres på én gang eller som indbyrdes forbundne transaktioner.</w:t>
      </w:r>
    </w:p>
    <w:p w14:paraId="0439075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19, stk. 3, fastslår, at udbydere af kryptoaktivtjenester skal anvende kundekendskabsprocedurer, når de gennemfører en lejlighedsvis transaktion til en værdi af mindst 1.000 euro eller et tilsvarende beløb i national valuta. Bestemmelsen fastslår endvidere, at udbydere af kryptoaktivtjenester som minimum skal anvende de kundekendskabsprocedurer, der er omhandlet i artikel 20, stk. 1, litra a, når de gennemfører en lejlighedsvis transaktion, hvor værdien er under 1.000 euro eller et tilsvarende beløb i national valuta.</w:t>
      </w:r>
    </w:p>
    <w:p w14:paraId="1ADA3C7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19, stk. 4, 1. pkt., fastslår, at forpligtede enheder som minimum skal anvende de kundekendskabsprocedurer, der er omhandlet i artikel 20, stk. 1, litra a, når de gennemfører en lejlighedsvis transaktion i kontanter, der beløber sig til mindst 3.000 euro eller et tilsvarende beløb i national valuta, uanset om transaktionen gennemføres på én gang eller som indbyrdes forbundne transaktioner.</w:t>
      </w:r>
    </w:p>
    <w:p w14:paraId="414D6D4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19, stk. 5, fastslår, at udbydere af spiltjenester skal anvende kundekendskabsprocedurer i forbindelse med indkassering af gevinster, pengeindsatser eller begge dele, når de gennemfører transaktioner på mindst 2.000 euro eller et tilsvarende beløb i national valuta, uanset om transaktionen gennemføres på én gang eller som indbyrdes forbundne transaktioner.</w:t>
      </w:r>
    </w:p>
    <w:p w14:paraId="526524E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19, stk. 1-3, stk. 4, 1. pkt., og stk. 5, er virksomheder og personer, der er omfattet af hvidvaskforordningen. Den strafbare handling kan bestå i, at virksomheden eller personen undlader at anvende kundekendskabsprocedurer i de tilfælde, hvor dette kræves efter bestemmelsen. Det kan eksempelvis være ved etablering af en forretningsforbindelse, ved gennemførelse af omfattede lejlighedsvise transaktioner, ved mistanke om hvidvask eller finansiering af terrorisme, ved tvivl om tidligere indhentede identitetsoplysninger eller ved tvivl om, hvorvidt den person, virksomheden eller personen interagerer med, er kunden eller en person, der er bemyndiget til at handle på kundens vegne. For de omfattede virksomhedstyper kan overtrædelsen endvidere bestå i, at kundekendskabsprocedurer ikke anvendes ved de særlige tærskler og situationer, der følger af artikel 19, stk. 2, 3, stk. 4, 1. pkt., og stk. 5.</w:t>
      </w:r>
    </w:p>
    <w:p w14:paraId="0D45F7BB"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20, stk. 1, 2 og 4, i hvidvaskforordningen fastslår, hvilke kundekendskabsprocedurer forpligtede enheder skal anvende. </w:t>
      </w:r>
    </w:p>
    <w:p w14:paraId="503D88C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20, stk. 1, skal forpligtede enheder identificere kunden og kontrollere kundens identitet, identificere reelle ejere og gennemføre rimelige foranstaltninger til at kontrollere deres identitet, vurdere og eventuelt indhente oplysninger om og forstå forretningsforbindelsens eller den lejlighedsvise transaktions formål og tilsigtede beskaffenhed, kontrollere, hvorvidt kunden eller de reelle ejere er omfattet af målrettede finansielle sanktioner, og i relevante tilfælde kontrollere, om fysiske eller juridiske personer omfattet af målrettede finansielle sanktioner kontrollerer eller har en nærmere angivet ejerandel eller majoritetsinteresse i en juridisk enhed.</w:t>
      </w:r>
    </w:p>
    <w:p w14:paraId="63B58EA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Bestemmelsen fastslår endvidere, at forpligtede enheder skal vurdere og, i det omfang det er relevant, indhente oplysninger om arten af kundernes forretning, herunder kundens erhvervsaktivitet eller erhverv, foretage vedvarende overvågning af forretningsforbindelsen, konstatere, om kunden, kundens reelle ejer eller relevante andre personer er politisk eksponerede personer, familiemedlemmer eller nære samarbejdspartnere, identificere og kontrollere identiteten af fysiske personer, som en transaktion eller aktivitet gennemføres på vegne af eller til fordel for, og kontrollere, at enhver person, der foregiver at handle på kundens vegne, er bemyndiget hertil, samt identificere og kontrollere den pågældendes identitet.</w:t>
      </w:r>
    </w:p>
    <w:p w14:paraId="472DFA9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20, stk. 2, skal forpligtede enheder bestemme omfanget af de nævnte kundekendskabsforanstaltninger på grundlag af en individuel analyse af risiciene for hvidvask og finansiering af terrorisme. Ved vurderingen skal der tages hensyn til kundens og forretningsforbindelsens eller den lejlighedsvise transaktions specifikke karakteristika, den forpligtede enheds risikovurdering på virksomhedsplan samt relevante risikovariabler og risikofaktorer. Hvis der identificeres en forøget risiko for hvidvask eller finansiering af terrorisme, skal den forpligtede enhed anvende skærpede kundekendskabsprocedurer. Hvis der identificeres en lavere risiko, kan den forpligtede enhed anvende lempede kundekendskabsprocedurer.</w:t>
      </w:r>
    </w:p>
    <w:p w14:paraId="49F2C0CE"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20, stk. 4, skal forpligtede enheder til enhver tid kunne godtgøre over for deres tilsynsorganer, at de foranstaltninger, der er truffet, er hensigtsmæssige i betragtning af de risici for hvidvask og finansiering af terrorisme, der er konstateret.</w:t>
      </w:r>
    </w:p>
    <w:p w14:paraId="00DB6BCB"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20, stk. 1, 2 og 4, er virksomheder og personer, der er omfattet af hvidvaskforordningen. Den strafbare handling kan bestå i, at virksomheden eller personen undlader at anvende de krævede kundekendskabsforanstaltninger efter artikel 20, stk. 1. Det kan også udgøre en overtrædelse, hvis virksomheden eller personen ikke fastlægger omfanget af foranstaltningerne på grundlag af en individuel risikovurdering, undlader at anvende skærpede kundekendskabsprocedurer ved forøget risiko eller ikke kan godtgøre over for tilsynsmyndigheden, at de trufne foranstaltninger er hensigtsmæssige i forhold til de konstaterede risici.</w:t>
      </w:r>
    </w:p>
    <w:p w14:paraId="7CC2ECC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21, stk. 1, 1. og 4. pkt., i hvidvaskforordningen fastslår, at hvis en forpligtet enhed ikke er i stand til at overholde kravet om at anvende kundekendskabsprocedurer efter artikel 20, stk. 1, skal den undlade at gennemføre en transaktion eller etablere en forretningsforbindelse, bringe forretningsforbindelsen til ophør og overveje at indberette en mistænkelig transaktion til FIU’en i relation til kunden efter artikel 69. For livsforsikringskontrakter skal forpligtede enheder, hvor det er nødvendigt som en alternativ foranstaltning til at bringe forretningsforbindelsen til ophør, afholde sig fra at gennemføre transaktioner for kunden, herunder udbetalinger til begunstigede, indtil kundekendskabsprocedurerne efter artikel 20, stk. 1, er anvendt.</w:t>
      </w:r>
    </w:p>
    <w:p w14:paraId="5D01E08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21, stk. 3, 1. og 2. pkt., fastslår, at forpligtede enheder skal føre fortegnelser over de tiltag, de har taget for at opfylde kravet om at anvende kundekendskabsprocedurer, herunder fortegnelser over de beslutninger, de har truffet, og den relevante dokumentation og begrundelser herfor. Dokumenter, data eller oplysninger, som den forpligtede enhed opbevarer, skal ajourføres ved hver gennemgang af kundekendskabet efter artikel 26.</w:t>
      </w:r>
    </w:p>
    <w:p w14:paraId="2C0EE7B8"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21, stk. 1, 1. og 4. pkt., og stk. 3, 1. og 2. pkt., er virksomheder og personer, der er omfattet af hvidvaskforordningen. Den strafbare handling kan bestå i, at virksomheden gennemfører en transaktion, etablerer en forretningsforbindelse eller opretholder en forretningsforbindelse, selv om virksomheden ikke er i stand til at gennemføre de krævede kundekendskabsprocedurer. Den strafbare handling kan endvidere bestå i, at virksomheden ikke fører de krævede fortegnelser over tiltag, beslutninger, dokumentation og begrundelser eller ikke ajourfører dokumenter, data eller oplysninger ved hver gennemgang af kundekendskabet.</w:t>
      </w:r>
    </w:p>
    <w:p w14:paraId="52DC476C"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22, stk. 1-7, i hvidvaskforordningen fastslår kravene til identifikation og kontrol af identiteten af kunder, reelle ejere og andre relevante personer. </w:t>
      </w:r>
    </w:p>
    <w:p w14:paraId="67ACE24F"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Efter artikel 22, stk. 1, skal forpligtede enheder indhente nærmere angivne oplysninger for at identificere kunden, enhver person, der foregiver at handle på kundens vegne, og de fysiske personer, på hvis vegne eller til hvis fordel en transaktion eller aktivitet gennemføres. </w:t>
      </w:r>
    </w:p>
    <w:p w14:paraId="6E72D60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Bestemmelsen fastsætter, hvilke oplysninger der mindst skal indhentes om fysiske personer, juridiske enheder, trustforvaltere eller personer i tilsvarende stillinger i lignende juridiske arrangementer samt andre organisationer med rets- og handleevne efter national ret.</w:t>
      </w:r>
    </w:p>
    <w:p w14:paraId="4688AE0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22, stk. 2, fastslår, at forpligtede enheder med henblik på at identificere den reelle ejer af en juridisk enhed eller et juridisk arrangement skal indhente de oplysninger, der er omhandlet i artikel 62, stk. 1, andet afsnit, litra a. Hvis ingen fysisk person kan identificeres som reel ejer, eller hvis der er tvivl om, hvorvidt de identificerede personer er de reelle ejere, skal den forpligtede enhed registrere, at ingen reel ejer blev identificeret, identificere de fysiske personer, der varetager stillingerne som øverste ledere i den juridiske enhed, og kontrollere deres identitet. </w:t>
      </w:r>
    </w:p>
    <w:p w14:paraId="0488BE9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Bestemmelsen fastsætter endvidere krav om registrering af de skridt, der er taget for at fastslå identiteten af de reelle ejere og de øverste ledere, hvor identitetskontrollen kan give et tip til kunden om, at den forpligtede enhed er i tvivl om det reelle ejerskab. Forpligtede enheder skal føre fortegnelser over de tiltag, som de har taget, samt over de vanskeligheder, som de stødte på under identifikationsprocessen.</w:t>
      </w:r>
    </w:p>
    <w:p w14:paraId="0D03CF3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22, stk. 3, fastslår særlige krav til kreditinstitutter og finansieringsinstitutter om indhentelse af oplysninger til identifikation og kontrol af identiteten af fysiske eller juridiske personer, der anvender et virtuelt IBAN, samt krav til det institut, der forvalter den bankkonto eller betalingskonto, hvortil et virtuelt IBAN udstedt af et andet institut omdirigerer betalinger.</w:t>
      </w:r>
    </w:p>
    <w:p w14:paraId="663050B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22, stk. 4 og 5, fastslår krav til indhentelse af oplysninger om begunstigede i forbindelse med truster eller lignende juridiske enheder eller arrangementer og i tilfælde af diskretionære truster. </w:t>
      </w:r>
    </w:p>
    <w:p w14:paraId="66951BA6"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22, stk. 6 og 7, fastslår, hvordan forpligtede enheder skal indhente oplysninger, dokumenter og data med henblik på kontrol af identiteten af kunden, personer, der foregiver at handle på kundens vegne, reelle ejere og, hvor det er relevant, personer, på hvis vegne eller til hvis fordel en transaktion eller aktivitet gennemføres.</w:t>
      </w:r>
    </w:p>
    <w:p w14:paraId="01529EB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22, stk. 1-7, er virksomheder og personer, der er omfattet af hvidvaskforordningen. Den strafbare handling kan bestå i, at virksomheden undlader at indhente de krævede oplysninger til identifikation af kunden, personer, der handler på kundens vegne, reelle ejere eller andre relevante personer. Det kan også udgøre en overtrædelse, hvis virksomheden undlader at kontrollere identiteten på den måde, der kræves efter bestemmelsen, undlader at indhente eller registrere de krævede oplysninger om reelle ejere eller øverste ledere, ikke opfylder kravene vedrørende virtuelle IBAN, eller ikke fører de krævede fortegnelser i forbindelse med identifikationsprocessen.</w:t>
      </w:r>
    </w:p>
    <w:p w14:paraId="599FFCD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23, stk. 1, 1. og 3. pkt., i hvidvaskforordningen fastslår, at kontrol af identiteten af kunden, den reelle ejer og personer omfattet af artikel 20, stk. 1, litra h og i, skal foretages før etableringen af en forretningsforbindelse eller gennemførelsen af en lejlighedsvis transaktion. For ejendomsmæglere foretages kontrollen efter, at et tilbud er acceptere</w:t>
      </w:r>
      <w:r w:rsidRPr="00882828" w:rsidDel="00E46FDF">
        <w:rPr>
          <w:rFonts w:ascii="Times New Roman" w:hAnsi="Times New Roman" w:cs="Times New Roman"/>
          <w:sz w:val="24"/>
          <w:szCs w:val="24"/>
        </w:rPr>
        <w:t xml:space="preserve"> </w:t>
      </w:r>
      <w:r w:rsidRPr="00882828">
        <w:rPr>
          <w:rFonts w:ascii="Times New Roman" w:hAnsi="Times New Roman" w:cs="Times New Roman"/>
          <w:sz w:val="24"/>
          <w:szCs w:val="24"/>
        </w:rPr>
        <w:t>af sælger eller udlejer, og under alle omstændigheder inden midler eller formuegoder overføres.</w:t>
      </w:r>
    </w:p>
    <w:p w14:paraId="69B4AC6F" w14:textId="77777777" w:rsidR="00694EB0" w:rsidRPr="00882828" w:rsidRDefault="00694EB0" w:rsidP="00694EB0">
      <w:pPr>
        <w:spacing w:line="360" w:lineRule="auto"/>
        <w:rPr>
          <w:rFonts w:ascii="Times New Roman" w:hAnsi="Times New Roman" w:cs="Times New Roman"/>
          <w:sz w:val="24"/>
          <w:szCs w:val="24"/>
        </w:rPr>
      </w:pPr>
    </w:p>
    <w:p w14:paraId="5348172F"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23, stk. 2, 2. pkt., fastslår, at hvis kontrollen af kundens og den reelle ejers identitet foretages under etableringen af en forretningsforbindelse, skal de pågældende procedurer afsluttes hurtigst muligt efter den første kontakt.</w:t>
      </w:r>
    </w:p>
    <w:p w14:paraId="0FAE3F64"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23, stk. 4, fastslår, at forpligtede enheder, når de etablerer en ny forretningsforbindelse med en juridisk enhed, en trustforvalter af en viljesbestemt trust eller en person, der varetager en tilsvarende stilling i et lignende juridisk arrangement, skal indhente gyldig dokumentation for registreringen eller et nyligt udstedt uddrag af oplysningerne i registret, der bekræfter gyldigheden af registreringen.</w:t>
      </w:r>
    </w:p>
    <w:p w14:paraId="2AC2A69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23, stk. 1, 1. og 3. pkt., stk. 2, 2. pkt., og stk. 4, er virksomheder og personer, der er omfattet af hvidvaskforordningen. Den strafbare handling kan bestå i, at virksomheden undlader at kontrollere identiteten af kunden, den reelle ejer eller andre relevante personer på det krævede tidspunkt. For ejendomsmæglere kan overtrædelsen bestå i, at kontrollen ikke foretages efter, at et tilbud er accepteret af sælger eller udlejer, og under alle omstændigheder inden midler eller formuegoder overføres. I de tilfælde, hvor kontrollen af kundens og den reelle ejers identitet foretages under etableringen af en forretningsforbindelse, kan overtrædelsen endvidere bestå i, at kontrolprocedurerne ikke afsluttes hurtigst muligt efter den første kontakt, jf. artikel 23, stk. 2, 2. pkt.</w:t>
      </w:r>
    </w:p>
    <w:p w14:paraId="087D985F" w14:textId="77777777" w:rsidR="00694EB0" w:rsidRPr="00882828" w:rsidRDefault="00694EB0" w:rsidP="00694EB0">
      <w:pPr>
        <w:spacing w:line="360" w:lineRule="auto"/>
        <w:rPr>
          <w:rFonts w:ascii="Times New Roman" w:hAnsi="Times New Roman" w:cs="Times New Roman"/>
          <w:sz w:val="24"/>
          <w:szCs w:val="24"/>
        </w:rPr>
      </w:pPr>
    </w:p>
    <w:p w14:paraId="554B19C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24, stk. 1, 1. og 2. pkt., i hvidvaskforordningen fastslår, at forpligtede enheder skal indberette eventuelle uoverensstemmelser mellem oplysningerne i de centrale registre og de oplysninger, som de indhenter efter artikel 20, stk. 1, litra b, og artikel 22, stk. 7, til de centrale registre. Uoverensstemmelserne skal indberettes uden unødigt ophold og under alle omstændigheder inden for 14 kalenderdage efter deres opdagelse. Indberetningen skal ledsages af de oplysninger, som den forpligtede enhed har indhentet, med angivelse af uoverensstemmelsen, hvem den forpligtede enhed anser for at være de reelle ejere og, hvor det er relevant, nominee-ejere og nominee-ledelsesmedlemmer, og hvorfor.</w:t>
      </w:r>
    </w:p>
    <w:p w14:paraId="3D27BF28"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24, stk. 3, fastslår, at hvis en kunde ikke har givet de korrekte oplysninger inden for de frister, der er omhandlet i artikel 24, stk. 2, 2. afsnit, skal den forpligtede enhed indberette afvigelsen til det centrale register i overensstemmelse med artikel 24, stk. 1, 2. pkt.</w:t>
      </w:r>
    </w:p>
    <w:p w14:paraId="38DD244B"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24, stk. 1, 1. og 2. pkt., og stk. 3, er virksomheder og personer, der er omfattet af hvidvaskforordningen. Den strafbare handling kan bestå i, at virksomheden undlader at indberette en uoverensstemmelse til det centrale register, ikke indberetter uoverensstemmelsen rettidigt eller ikke ledsager indberetningen med de krævede oplysninger. Overtrædelse kan endvidere foreligge, hvis virksomheden undlader at indberette afvigelsen til det centrale register, når kunden ikke har givet de korrekte oplysninger inden for den fastsatte frist.</w:t>
      </w:r>
    </w:p>
    <w:p w14:paraId="16C6250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25, i hvidvaskforordningen fastslår, at en forpligtet enhed, inden den etablerer en forretningsforbindelse eller gennemfører en lejlighedsvis transaktion, skal sikre sig, at den forstår forretningsforbindelsens eller den lejlighedsvise transaktions formål og tilsigtede beskaffenhed. Med henblik herpå skal den forpligtede enhed om nødvendigt indhente oplysninger om formålet og den økonomiske baggrund for den lejlighedsvise transaktion eller forretningsforbindelsen, det anslåede beløb for de påtænkte aktiviteter, midlernes oprindelse, midlernes bestemmelsessted og kundens erhvervsaktivitet eller erhverv.</w:t>
      </w:r>
    </w:p>
    <w:p w14:paraId="4A86E724"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25,  er virksomheder og personer, der er omfattet af hvidvaskforordningen. Den strafbare handling kan bestå i, at virksomheden etablerer en forretningsforbindelse eller gennemfører en lejlighedsvis transaktion uden at sikre sig en forståelse af formålet og den tilsigtede beskaffenhed, eller uden om nødvendigt at indhente de oplysninger, der kræves efter bestemmelsen.</w:t>
      </w:r>
    </w:p>
    <w:p w14:paraId="345E1E0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26, stk. 1-3, og stk. 4, 1. og 2. pkt., i hvidvaskforordningen fastslår, at forpligtede enheder skal foretage løbende overvågning af forretningsforbindelsen, herunder af transaktioner, der gennemføres af kunden under forretningsforbindelsens varighed. Overvågningen skal sikre, at transaktionerne stemmer overens med den forpligtede enheds kendskab til kunden, kundens erhvervsaktiviteter og risikoprofil, herunder om nødvendigt oplysninger om midlernes oprindelse og bestemmelsessted, og skal gøre det muligt at opdage transaktioner, som skal undergives en mere grundig analyse efter artikel 69, stk. 2.</w:t>
      </w:r>
    </w:p>
    <w:p w14:paraId="19B1E29C"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26, stk. 1, fastslår endvidere, at hvis forretningsforbindelser omfatter mere end ét produkt eller én tjenesteydelse, skal forpligtede enheder sikre, at kundekendskabsprocedurerne omfatter alle disse produkter og tjenesteydelser. Hvis forpligtede enheder, der tilhører en koncern, har forretningsforbindelser med kunder, der også er kunder i andre enheder i den pågældende koncern, skal de tage hensyn til oplysninger om disse andre forretningsforbindelser med henblik på at overvåge forretningsforbindelsen med deres kunder.</w:t>
      </w:r>
    </w:p>
    <w:p w14:paraId="584F30C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26, stk. 2, fastslår, at forpligtede enheder i forbindelse med den løbende overvågning skal sikre, at relevante dokumenter, data og oplysninger om kunden ajourføres. Perioden mellem ajourføringer afhænger af den risiko, der følger af forretningsforbindelsen, og må ikke overstige ét år for kunder med højere risiko og fem år for alle andre kunder.</w:t>
      </w:r>
    </w:p>
    <w:p w14:paraId="710ED4F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26, stk. 3, fastslår, at forpligtede enheder ud over kravene i stk. 2 skal gennemgå og, hvor det er relevant, ajourføre kundeoplysningerne, når der sker en ændring i kundens relevante omstændigheder, når den forpligtede enhed har en retlig forpligtelse til at kontakte kunden med henblik på at gennemgå relevante oplysninger om de reelle ejere eller til at overholde direktiv 2011/16/EU, eller når den forpligtede enhed får kendskab til en relevant faktor vedrørende kunden.</w:t>
      </w:r>
    </w:p>
    <w:p w14:paraId="610C50E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26, stk. 4, 1. og 2. pkt., skal forpligtede enheder ud over den løbende overvågning regelmæssigt kontrollere, om betingelserne i artikel 20, stk. 1, litra d, er opfyldt. For kreditinstitutter og finansieringsinstitutter skal denne kontrol også foretages ved enhver ny udpegelse i forbindelse med målrettede finansielle sanktioner.</w:t>
      </w:r>
    </w:p>
    <w:p w14:paraId="3087C97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26, stk. 1-3, og stk. 4, 1. og 2. pkt., er virksomheder og personer, der er omfattet af hvidvaskforordningen. Den strafbare handling kan bestå i, at virksomheden undlader at foretage løbende overvågning af forretningsforbindelsen eller transaktioner, ikke sikrer, at kundekendskabsprocedurerne omfatter alle relevante produkter og tjenesteydelser, ikke inddrager relevante oplysninger om andre forretningsforbindelser i koncernen, ikke sikrer ajourføring af relevante dokumenter, data eller oplysninger, ikke gennemgår og ajourfører kundeoplysninger i de krævede tilfælde eller ikke foretager den krævede kontrol i forhold til målrettede finansielle sanktioner.</w:t>
      </w:r>
    </w:p>
    <w:p w14:paraId="6447B7A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27, stk. 1, i hvidvaskforordningen fastslår, at forpligtede enheder skal føre fortegnelser over visse forhold vedrørende kunder, der er omfattet af FN’s finansielle sanktioner, eller som kontrolleres af fysiske eller juridiske personer eller enheder, der er omfattet af FN’s finansielle sanktioner, eller hvori sådanne personer eller enheder har mere end 50 pct. af ejendomsretten eller har en majoritetsinteresse, enten individuelt eller kollektivt. Fortegnelserne skal omfatte de midler eller andre aktiver, som den forpligtede enhed forvalter for kunden på tidspunktet for offentliggørelsen af FN’s finansielle sanktioner, de transaktioner, som kunden har forsøgt at gennemføre, og de transaktioner, der er gennemført for kunden.</w:t>
      </w:r>
    </w:p>
    <w:p w14:paraId="2E5CBBE9"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27, stk. 2, fastslår, at bestemmelsen skal anvendes mellem tidspunktet for offentliggørelsen af FN’s finansielle sanktioner og tidspunktet for anvendelsen af de relevante målrettede finansielle sanktioner i Unionen.</w:t>
      </w:r>
    </w:p>
    <w:p w14:paraId="36A1AF5D"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27, stk. 1 og 2, er virksomheder og personer, der er omfattet af hvidvaskforordningen. Den strafbare handling kan bestå i, at virksomheden undlader at føre de krævede fortegnelser over midler, aktiver, forsøgte transaktioner eller gennemførte transaktioner i den periode, hvor bestemmelsen finder anvendelse.</w:t>
      </w:r>
    </w:p>
    <w:p w14:paraId="73D154D4"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29, stk. 4, i hvidvaskforordningen fastslår, at hvis et tredjeland identificeres som et højrisikotredjeland efter artikel 29, stk. 2, skal forpligtede enheder anvende de kundekendskabsprocedurer, der er omhandlet i artikel 34, stk. 4, for så vidt angår forretningsforbindelser eller lejlighedsvise transaktioner, som involverer fysiske eller juridiske personer fra det pågældende tredjeland.</w:t>
      </w:r>
    </w:p>
    <w:p w14:paraId="40B0453F"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29, stk. 4, er virksomheder og personer, der er omfattet af hvidvaskforordningen. Den strafbare handling kan bestå i, at virksomheden undlader at anvende de krævede kundekendskabsprocedurer efter artikel 34, stk. 4, ved forretningsforbindelser eller lejlighedsvise transaktioner, der involverer fysiske eller juridiske personer fra et højrisikotredjeland.</w:t>
      </w:r>
    </w:p>
    <w:p w14:paraId="455D620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33, stk. 1, 2. og 3. pkt., og stk. 2-5, i hvidvaskforordningen fastslår kravene til anvendelse af lempede kundekendskabsprocedurer. </w:t>
      </w:r>
    </w:p>
    <w:p w14:paraId="2A86356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Efter artikel 33, stk. 1, 2. pkt., skal de lempede foranstaltninger stå i rimeligt forhold til virksomhedens formål og art og til de specifikke identificerede elementer, som udgør en meget lav risiko. </w:t>
      </w:r>
    </w:p>
    <w:p w14:paraId="79BAA2B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33, stk. 1, 3. pkt., skal forpligtede enheder dog foretage tilstrækkelig overvågning af transaktionerne og forretningsforbindelserne til at kunne opdage usædvanlige eller mistænkelige transaktioner.</w:t>
      </w:r>
    </w:p>
    <w:p w14:paraId="0801A74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33, stk. 2, fastslår, at forpligtede enheder skal sikre, at de interne procedurer, der er indført efter artikel 9, indeholder de specifikke foranstaltninger vedrørende lempet identifikation, som skal træffes i forhold til de forskellige typer af kunder, som udgør en lavere risiko. Forpligtede enheder skal desuden dokumentere beslutninger om at tage hensyn til yderligere faktorer, som udgør en lavere risiko.</w:t>
      </w:r>
    </w:p>
    <w:p w14:paraId="427AB28C"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33, stk. 3, fastslår, at forpligtede enheder med henblik på anvendelse af lempede kundekendskabsprocedurer efter artikel 33, stk. 1, litra a, skal vedtage risikostyringsprocedurer med hensyn til de vilkår, på hvilke de kan udbyde tjenesteydelser eller gennemføre transaktioner for en kunde, inden kontrollen finder sted.</w:t>
      </w:r>
    </w:p>
    <w:p w14:paraId="78206C56"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33, stk. 4, fastslår, at forpligtede enheder regelmæssigt skal kontrollere, at vilkårene for anvendelse af lempede kundekendskabsprocedurer fortsat gør sig gældende. Hyppigheden af kontrollerne skal stå i forhold til virksomhedens art og omfang og de risici, som den specifikke forretningsforbindelse udgør.</w:t>
      </w:r>
    </w:p>
    <w:p w14:paraId="0EE92A6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33, stk. 5, fastslår, at forpligtede enheder skal undlade at anvende lempede kundekendskabsprocedurer, hvis de nærer tvivl om rigtigheden af de oplysninger, som kunden eller den reelle ejer forelagde på identifikationstidspunktet, eller opdager uoverensstemmelser med hensyn til disse oplysninger, hvis de faktorer, som indikerede en lavere risiko, ikke længere er til stede, hvis overvågningen af kundens transaktioner og de oplysninger, der er indhentet som led i forretningsforbindelsen, udelukker en situation med lavere risiko, hvis der er mistanke om hvidvask eller finansiering af terrorisme, eller hvis der er mistanke om, at kunden eller den person, der handler på kundens vegne, forsøger at omgå eller unddrage sig målrettede finansielle sanktioner.</w:t>
      </w:r>
    </w:p>
    <w:p w14:paraId="220BD748"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33, stk. 1, 2. og 3. pkt., og stk. 2-5, er virksomheder og personer, der er omfattet af hvidvaskforordningen. Den strafbare handling kan bestå i, at virksomheden anvender lempede kundekendskabsprocedurer, uden at foranstaltningerne står i rimeligt forhold til virksomhedens formål og art og de specifikke identificerede elementer, som udgør en meget lav risiko, eller uden at foretage tilstrækkelig overvågning til at kunne opdage usædvanlige eller mistænkelige transaktioner. Overtrædelse kan også bestå i, at virksomheden ikke har fastsat de krævede interne procedurer, ikke dokumenterer beslutninger om lavere risiko, ikke vedtager risikostyringsprocedurer ved udsat kontrol, ikke regelmæssigt kontrollerer, om vilkårene for lempede kundekendskabsprocedurer fortsat er opfyldt, eller anvender lempede kundekendskabsprocedurer i situationer, hvor dette efter artikel 33, stk. 5, ikke er tilladt.</w:t>
      </w:r>
    </w:p>
    <w:p w14:paraId="3B4EAB4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34, stk. 1-4, og stk. 5, 1. pkt., i hvidvaskforordningen fastslår, hvornår forpligtede enheder skal anvende skærpede kundekendskabsprocedurer. </w:t>
      </w:r>
    </w:p>
    <w:p w14:paraId="540E105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34, stk. 1, skal forpligtede enheder i de situationer, der er omhandlet i artikel 29, 30, 31 og 36-46, samt i andre situationer med højere risiko, som den forpligtede enhed har identificeret efter artikel 20, stk. 2, 2. afsnit, anvende skærpede kundekendskabsprocedurer for på passende vis at styre og afbøde sådanne risici.</w:t>
      </w:r>
    </w:p>
    <w:p w14:paraId="3A94FCD8"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34, stk. 2, fastslår, at forpligtede enheder skal undersøge oprindelsen af og bestemmelsesstedet for midler, der indgår i alle transaktioner, og formålet med alle transaktioner, som er komplekse, usædvanligt store, gennemføres efter et usædvanligt mønster eller ikke har noget åbenbart økonomisk eller lovligt formål.</w:t>
      </w:r>
    </w:p>
    <w:p w14:paraId="00B4C94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34, stk. 3, fastslår, at forpligtede enheder, når de vurderer risici for hvidvask og finansiering af terrorisme, som hidrører fra en forretningsforbindelse eller lejlighedsvis transaktion, som minimum skal tage hensyn til de faktorer, der udgør en potentiel højere risiko, jf. bilag III, retningslinjer vedtaget af AMLA efter artikel 32, samt eventuelle andre indikatorer for højere risiko, herunder underretninger udstedt af FIU’en og resultater af risikovurderingen på virksomhedsplan efter artikel 10.</w:t>
      </w:r>
    </w:p>
    <w:p w14:paraId="329993D6"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34, stk. 4, fastslår, at forpligtede enheder i tilfælde med højere risiko skal anvende skærpede kundekendskabsprocedurer, som står i rimeligt forhold til de identificerede højere risici. Sådanne procedurer kan bl.a. omfatte indhentning af yderligere oplysninger om kunden og de reelle ejere, forretningsforbindelsens tilsigtede beskaffenhed, midlernes oprindelse og oprindelsen af kundens og den reelle ejers formue, oplysninger om begrundelsen for transaktionerne og deres overensstemmelse med forretningsforbindelsen, godkendelse fra den øverste ledelse, skærpet overvågning af forretningsforbindelsen og krav om, at den første betaling foretages via en konto i kundens navn i et kreditinstitut, der er omfattet af tilstrækkelige kundekendskabskrav.</w:t>
      </w:r>
    </w:p>
    <w:p w14:paraId="48C94EB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34, stk. 5, 1. pkt., fastslår, at kreditinstitutter, finansieringsinstitutter og udbydere af tjenester til truster eller virksomheder skal anvende særlige skærpede kundekendskabsprocedurer, hvis en forretningsforbindelse, der er identificeret som havende en højere risiko, omfatter håndtering af aktiver med en værdi på mindst 5.000.000 euro eller et tilsvarende beløb gennem skræddersyede tjenesteydelser for en kunde, der har samlede aktiver med en værdi på mindst 50.000.000 euro eller et tilsvarende beløb. De skærpede procedurer omfatter specifikke procedurer, herunder procedurer til afbødning af risici i forbindelse med skræddersyede tjenester og produkter, indhentning af yderligere oplysninger om kundens midlers oprindelse samt forebyggelse og håndtering af interessekonflikter mellem kunden og den øverste ledelse eller ansatte i den forpligtede enhed, der udfører opgaver i forbindelse med regelefterlevelsen i forhold til kunden.</w:t>
      </w:r>
    </w:p>
    <w:p w14:paraId="6DDC8206"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Ansvarssubjektet for overtrædelse af artikel 34, stk. 1-4, og stk. 5, 1. pkt., er virksomheder og personer, der er omfattet af hvidvaskforordningen. Den strafbare handling kan bestå i, at virksomheden undlader at anvende skærpede kundekendskabsprocedurer i tilfælde, hvor der foreligger en højere risiko. Det kan også udgøre en overtrædelse, hvis virksomheden undlader at undersøge oprindelsen af og bestemmelsesstedet for midler eller formålet med transaktioner, der er komplekse, usædvanligt store, gennemføres efter et usædvanligt mønster eller ikke har noget åbenbart økonomisk eller lovligt formål. Endvidere kan en overtrædelse foreligge, hvis virksomheden eller personen ikke inddrager relevante højrisikofaktorer og indikatorer i risikovurderingen, eller hvis de skærpede kundekendskabsprocedurer ikke står i rimeligt forhold til de identificerede højere risici. </w:t>
      </w:r>
    </w:p>
    <w:p w14:paraId="3F751EA9"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36 i hvidvaskforordningen fastslår, at kreditinstitutter og finansieringsinstitutter ved etablering af grænseoverskridende korrespondentforbindelser, herunder forbindelser etableret med henblik på værdipapirtransaktioner eller overførsler af midler, som involverer gennemførelse af betalinger med et respondentinstitut fra et tredjeland, skal anvende særlige skærpede kundekendskabsprocedurer ud over kundekendskabsprocedurerne efter artikel 20.</w:t>
      </w:r>
    </w:p>
    <w:p w14:paraId="0B26044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Bestemmelsen fastslår, at kreditinstitutter og finansieringsinstitutter skal indhente tilstrækkelige oplysninger om respondentinstituttet til fuldt ud at forstå dets virksomhed og på grundlag af offentligt tilgængelige oplysninger bedømme instituttets omdømme og kvaliteten af tilsynet. De skal desuden vurdere respondentinstituttets kontrol af bekæmpelse af hvidvask og finansiering af terrorisme, indhente den øverste ledelses godkendelse inden etablering af nye grænseoverskridende korrespondentforbindelser og dokumentere de enkelte institutters respektive ansvarsområder.</w:t>
      </w:r>
    </w:p>
    <w:p w14:paraId="4C7DD05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Bestemmelsen fastslår endvidere, at kreditinstitutter og finansieringsinstitutter i forbindelse med gennemstrømningskonti skal sikre sig, at respondentinstituttet har kontrolleret identiteten på de kunder, der har direkte adgang til korrespondentinstituttets konti, og løbende har gennemført kundekendskabsprocedurer vedrørende disse kunder, samt at respondentinstituttet efter anmodning kan forelægge korrespondentinstituttet relevante kundekendskabsoplysninger. Hvis kreditinstitutter og finansieringsinstitutter beslutter at bringe grænseoverskridende korrespondentforbindelser til ophør af årsager, der har tilknytning til politikker om bekæmpelse af hvidvask og finansiering af terrorisme, skal beslutningen dokumenteres.</w:t>
      </w:r>
    </w:p>
    <w:p w14:paraId="11AE38DB"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36 er kreditinstitutter og finansieringsinstitutter. Den strafbare handling kan bestå i, at kreditinstituttet eller finansieringsinstituttet etablerer en grænseoverskridende korrespondentforbindelse med et respondentinstitut fra et tredjeland uden at gennemføre de krævede skærpede kundekendskabsprocedurer. Det kan også udgøre en overtrædelse, hvis instituttet ikke indhenter tilstrækkelige oplysninger om respondentinstituttet, ikke vurderer respondentinstituttets kontroller mod hvidvask og finansiering af terrorisme, ikke indhenter den øverste ledelses godkendelse, ikke dokumenterer de respektive ansvarsområder, ikke sikrer de krævede forhold ved gennemstrømningskonti eller ikke dokumenterer en beslutning om at bringe en korrespondentforbindelse til ophør af årsager, der har tilknytning til bekæmpelse af hvidvask og finansiering af terrorisme.</w:t>
      </w:r>
    </w:p>
    <w:p w14:paraId="63C7D338"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37, stk. 1 og 2, i hvidvaskforordningen fastslår særlige skærpede kundekendskabsprocedurer for udbydere af kryptoaktivtjenester ved grænseoverskridende korrespondentforbindelser, der involverer udførelse af kryptoaktivtjenester med en respondentenhed, der ikke er etableret i Unionen, og som leverer lignende tjenester, herunder overførsler af kryptoaktiver.</w:t>
      </w:r>
    </w:p>
    <w:p w14:paraId="03FEE4E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37, stk. 1, skal udbydere af kryptoaktivtjenester, ud over kundekendskabsprocedurerne efter artikel 20, bl.a. fastslå, om respondentenheden er godkendt eller registreret, indhente tilstrækkelige oplysninger om respondentenheden til fuldt ud at forstå dens virksomhed og bedømme dens omdømme og kvaliteten af tilsynet, vurdere respondentenhedens kontroller for bekæmpelse af hvidvask og finansiering af terrorisme, indhente den øverste ledelses godkendelse inden etablering af den nye korrespondentforbindelse og dokumentere de respektive ansvarsområder.</w:t>
      </w:r>
    </w:p>
    <w:p w14:paraId="649F8E4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Bestemmelsen fastslår endvidere, at udbydere af kryptoaktivtjenester i forbindelse med gennemstrømningskryptoaktivkonti skal sikre sig, at respondentenheden har kontrolleret identiteten af og løbende har gennemført kundekendskabsprocedurer vedrørende de kunder, der har direkte adgang til respondentenhedens konti, samt at respondentenheden kan forelægge relevante kundekendskabsoplysninger efter anmodning. Hvis udbydere af kryptoaktivtjenester beslutter at afslutte korrespondentforbindelser af årsager, der har tilknytning til politikker om bekæmpelse af hvidvask og finansiering af terrorisme, skal beslutningen dokumenteres. Udbydere af kryptoaktivtjenester skal desuden regelmæssigt ajourføre kundekendskabsoplysningerne for korrespondentforbindelsen, eller når der opstår nye risici i forbindelse med respondentenheden.</w:t>
      </w:r>
    </w:p>
    <w:p w14:paraId="58218A36"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37, stk. 2, skal udbydere af kryptoaktivtjenester tage hensyn til de oplysninger, der er indhentet efter stk. 1, for på et risikofølsomt grundlag at fastlægge de egnede foranstaltninger, der skal træffes for at afbøde de risici, som knytter sig til respondentenheden.</w:t>
      </w:r>
    </w:p>
    <w:p w14:paraId="19C02CB6"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37, stk. 1 og 2, er udbydere af kryptoaktivtjenester. Den strafbare handling kan bestå i, at udbyderen af kryptoaktivtjenester etablerer en grænseoverskridende korrespondentforbindelse med en respondentenhed uden at gennemføre de krævede skærpede kundekendskabsprocedurer. Det kan også udgøre en overtrædelse, hvis udbyderen ikke fastslår, om respondentenheden er godkendt eller registreret, ikke indhenter tilstrækkelige oplysninger om respondentenheden, ikke vurderer respondentenhedens kontroller, ikke indhenter den øverste ledelses godkendelse, ikke dokumenterer parternes respektive ansvarsområder, ikke sikrer de krævede forhold ved gennemstrømningskryptoaktivkonti, ikke dokumenterer beslutninger om ophør af korrespondentforbindelser, ikke ajourfører kundekendskabsoplysningerne eller ikke fastlægger egnede risikobegrænsende foranstaltninger på grundlag af de indhentede oplysninger.</w:t>
      </w:r>
    </w:p>
    <w:p w14:paraId="7C7FF597"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38, stk. 1 og 7, i hvidvaskforordningen fastslår særlige krav til kreditinstitutter og finansieringsinstitutter i forbindelse med tredjelandsrespondentinstitutter, som de har en korrespondentforbindelse med efter artikel 36 eller 37, og over for hvilke AMLA har udstedt en henstilling. </w:t>
      </w:r>
    </w:p>
    <w:p w14:paraId="53FD99E4"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38, stk. 1, skal kreditinstitutter og finansieringsinstitutter anvende de foranstaltninger, der er omhandlet i artikel 38, stk. 6, i forhold til sådanne tredjelandsrespondentinstitutter.</w:t>
      </w:r>
    </w:p>
    <w:p w14:paraId="4305995E"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De foranstaltninger, som artikel 38, stk. 1, henviser til, indebærer bl.a., at kreditinstitutter og finansieringsinstitutter skal afholde sig fra at indgå nye forretningsforbindelser med det pågældende tredjelandsrespondentinstitut, medmindre de på grundlag af de relevante oplysninger vurderer, at de afbødende foranstaltninger, der anvendes på forretningsforbindelsen, og de foranstaltninger, der er indført i tredjelandsrespondentinstituttet, i tilstrækkelig grad kan afbøde de risici for hvidvask og finansiering af terrorisme, der er forbundet med forretningsforbindelsen. For igangværende forretningsforbindelser skal institutterne gennemgå og ajourføre oplysningerne om respondentinstituttet og bringe forretningsforbindelsen til ophør, medmindre de vurderer, at risiciene kan afbødes tilstrækkeligt. Institutterne skal desuden underrette respondentinstituttet om de konklusioner, de har draget vedrørende de risici, som korrespondentforbindelsen udgør, og om de foranstaltninger, der er truffet.</w:t>
      </w:r>
    </w:p>
    <w:p w14:paraId="48D9874F"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38, stk. 7, skal kreditinstitutter og finansieringsinstitutter dokumentere enhver beslutning, der træffes efter artikel 38.</w:t>
      </w:r>
    </w:p>
    <w:p w14:paraId="5C28CB9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38, stk. 1 og 7, er kreditinstitutter og finansieringsinstitutter. Den strafbare handling kan bestå i, at kreditinstituttet eller finansieringsinstituttet undlader at anvende de foranstaltninger, som følger af artikel 38, stk. 1, over for et tredjelandsrespondentinstitut, som er omfattet af en henstilling fra AMLA. Det kan også udgøre en overtrædelse, hvis instituttet indgår eller opretholder en forretningsforbindelse uden at have vurderet, om risiciene kan håndteres tilstrækkeligt, undlader at gennemgå og ajourføre oplysninger om respondentinstituttet, undlader at underrette respondentinstituttet om sine konklusioner og trufne foranstaltninger eller undlader at dokumentere beslutninger, der træffes efter artikel 38.</w:t>
      </w:r>
    </w:p>
    <w:p w14:paraId="2416932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39, stk. 1, i hvidvaskforordningen fastslår, at kreditinstitutter og finansieringsinstitutter ikke må indgå eller opretholde en korrespondentforbindelse med et tomt institut. Kreditinstitutter og finansieringsinstitutter skal desuden træffe passende foranstaltninger til at sikre, at de ikke indgår eller opretholder korrespondentforbindelser med et kreditinstitut eller finansieringsinstitut, som er kendt for at tillade, at dets konti anvendes af tomme institutter.</w:t>
      </w:r>
    </w:p>
    <w:p w14:paraId="111732D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39, stk. 2, fastslår, at udbydere af kryptoaktivtjenester skal sikre, at deres konti ikke anvendes af tomme institutter til at udbyde kryptoaktivtjenester. Med henblik herpå skal udbydere af kryptoaktivtjenester have indført interne politikker, procedurer og kontroller til at opdage ethvert forsøg på at anvende deres konti til at udbyde uregulerede kryptoaktivtjenester.</w:t>
      </w:r>
    </w:p>
    <w:p w14:paraId="4205C0B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39, stk. 1 og 2, er kreditinstitutter, finansieringsinstitutter og udbydere af kryptoaktivtjenester. Den strafbare handling kan bestå i, at et kreditinstitut eller finansieringsinstitut indgår eller opretholder en korrespondentforbindelse med et tomt institut. Det kan også udgøre en overtrædelse, hvis instituttet ikke træffer passende foranstaltninger til at sikre, at det ikke indgår eller opretholder korrespondentforbindelser med et kreditinstitut eller finansieringsinstitut, som er kendt for at tillade, at dets konti anvendes af tomme institutter. For udbydere af kryptoaktivtjenester kan overtrædelsen bestå i, at udbyderen ikke sikrer, at dens konti ikke anvendes af tomme institutter til at udbyde kryptoaktivtjenester, eller ikke har indført de krævede interne politikker, procedurer og kontroller til at opdage sådanne forsøg.</w:t>
      </w:r>
    </w:p>
    <w:p w14:paraId="71BDF95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40, stk. 1, i hvidvaskforordningen fastslår krav til udbydere af kryptoaktivtjenesters håndtering af risici ved overførsler af kryptoaktiver, der er rettet mod eller stammer fra en selvhostet adresse. Efter bestemmelsen skal udbydere af kryptoaktivtjenester identificere og vurdere risikoen for hvidvask og finansiering af terrorisme i forbindelse med sådanne overførsler og indføre interne politikker, procedurer og kontroller med henblik herpå. Udbydere af kryptoaktivtjenester skal desuden træffe afbødende foranstaltninger, der står i rimeligt forhold til de identificerede risici. Disse foranstaltninger skal omfatte en eller flere af de foranstaltninger, der er nævnt i bestemmelsen, herunder risikobaserede foranstaltninger til identifikation og kontrol af ordregiveren eller ordremodtageren, krav om yderligere oplysninger om kryptoaktivernes oprindelse og bestemmelsessted, øget løbende overvågning af transaktioner med en selvhostet adresse eller andre foranstaltninger til at afbøde og styre relevante risici.</w:t>
      </w:r>
    </w:p>
    <w:p w14:paraId="2012D9BE"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40, stk. 1, er udbydere af kryptoaktivtjenester. Den strafbare handling kan bestå i, at udbyderen af kryptoaktivtjenester undlader at identificere eller vurdere risikoen for hvidvask og finansiering af terrorisme i forbindelse med overførsler af kryptoaktiver, der er rettet mod eller stammer fra en selvhostet adresse. Det kan også udgøre en overtrædelse, hvis udbyderen ikke indfører interne politikker, procedurer og kontroller, eller hvis udbyderen ikke træffer afbødende foranstaltninger, der står i rimeligt forhold til de identificerede risici.</w:t>
      </w:r>
    </w:p>
    <w:p w14:paraId="0E3819C8"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41 i hvidvaskforordningen fastslår, at forpligtede enheder, ud over kundekendskabsprocedurerne efter artikel 20, som minimum skal anvende skærpede kundekendskabsprocedurer efter artikel 34, stk. 4, litra a, c, e og f, over for kunder, der er tredjelandsstatsborgere, og som er i gang med at ansøge om opholdsret i en medlemsstat til gengæld for en form for investering. Det omfatter bl.a. overførsler, køb eller leje af ejendom, investering i statsobligationer, investering i virksomheder, donationer eller tilførsel af en aktivitet, der bidrager til almenvellet, og bidrag til statsbudgettet.</w:t>
      </w:r>
    </w:p>
    <w:p w14:paraId="1941B346"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41 er virksomheder og personer, der er omfattet af hvidvaskforordningen. Den strafbare handling kan bestå i, at virksomheden undlader at anvende de krævede skærpede kundekendskabsprocedurer over for en kunde, der er tredjelandsstatsborger og ansøger om opholdsret i en medlemsstat til gengæld for investering eller anden form for økonomisk bidrag omfattet af bestemmelsen.</w:t>
      </w:r>
    </w:p>
    <w:p w14:paraId="08873EF4"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42, stk. 1, i hvidvaskforordningen fastslår, at forpligtede enheder, ud over kundekendskabsprocedurerne efter artikel 20, skal træffe særlige foranstaltninger i forbindelse med lejlighedsvise transaktioner eller forretningsforbindelser med politisk eksponerede personer. De forpligtede enheder skal indhente den øverste ledelses godkendelse til udførelse af lejlighedsvise transaktioner eller til etablering eller fortsættelse af forretningsforbindelser med politisk eksponerede personer, træffe passende foranstaltninger til at fastslå oprindelsen af den formue og de midler, der er omfattet af forretningsforbindelserne eller transaktionerne, og gennemføre skærpet løbende overvågning af sådanne forretningsforbindelser.</w:t>
      </w:r>
    </w:p>
    <w:p w14:paraId="4786C4CC"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42, stk. 1, er virksomheder og personer, der er omfattet af hvidvaskforordningen. Den strafbare handling kan bestå i, at virksomheden undlader at indhente den øverste ledelses godkendelse ved lejlighedsvise transaktioner eller etablering eller fortsættelse af forretningsforbindelser med politisk eksponerede personer. Det kan også udgøre en overtrædelse, hvis virksomheden eller personen ikke træffer passende foranstaltninger til at fastslå oprindelsen af den formue og de midler, der er omfattet af forretningsforbindelsen eller transaktionen, eller ikke gennemfører skærpet løbende overvågning af forretningsforbindelsen.</w:t>
      </w:r>
    </w:p>
    <w:p w14:paraId="18389BC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44 i hvidvaskforordningen fastslår, at forpligtede enheder skal træffe rimelige foranstaltninger til at afgøre, om de begunstigede i en livsforsikringspolice eller en anden investeringsrelateret forsikringspolice eller, hvis det er relevant, den begunstigedes reelle ejer er politisk eksponerede personer. Disse foranstaltninger skal træffes senest på det tidspunkt, hvor udbetalingen finder sted, eller ved hel eller delvis overdragelse af policen.</w:t>
      </w:r>
    </w:p>
    <w:p w14:paraId="4EBC063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Hvis der er identificeret højere risici, skal den forpligtede enhed ud over de almindelige kundekendskabsprocedurer efter artikel 20 underrette den øverste ledelse, inden forsikringssummen udbetales, og foretage en nærmere undersøgelse af hele forretningsforbindelsen med forsikringstageren.</w:t>
      </w:r>
    </w:p>
    <w:p w14:paraId="1E465FCB"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44 er virksomheder, som udbyder livsforsikring eller anden investeringsrelateret forsikring. Den strafbare handling kan bestå i, at virksomheden undlader at træffe rimelige foranstaltninger til at afgøre, om en begunstiget eller den begunstigedes reelle ejer er en politisk eksponeret person. Det kan også udgøre en overtrædelse, hvis virksomheden ikke træffer disse foranstaltninger senest på tidspunktet for udbetaling eller ved hel eller delvis overdragelse af policen. Endvidere kan en overtrædelse foreligge, hvis virksomheden ved identificerede højere risici undlader at underrette den øverste ledelse inden udbetaling eller undlader at foretage en nærmere undersøgelse af hele forretningsforbindelsen med forsikringstageren.</w:t>
      </w:r>
    </w:p>
    <w:p w14:paraId="0CD5A7FF"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45, stk. 1, i hvidvaskforordningen fastslår, at når en politisk eksponeret person ophører med at varetage et højerestående offentligt hverv for Unionen, en medlemsstat, et tredjeland eller en international organisation, skal forpligtede enheder tage hensyn til den risiko, som personen fortsat udgør som følge af sit tidligere hverv, ved deres vurdering af risici for hvidvask af penge og finansiering af terrorisme efter artikel 20.</w:t>
      </w:r>
    </w:p>
    <w:p w14:paraId="7B9A8C6B"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45, stk. 2, fastslår, at forpligtede enheder skal anvende én eller flere af de foranstaltninger, der er omhandlet i artikel 34, stk. 4, for at afbøde de risici, som hidrører fra den tidligere politisk eksponerede person. Foranstaltningerne skal anvendes, indtil de i artikel 45, stk. 1, nævnte risici ikke længere består, dog under alle omstændigheder i mindst 12 måneder efter det tidspunkt, hvor personen ophørte med at varetage det højerestående offentlige hverv.</w:t>
      </w:r>
    </w:p>
    <w:p w14:paraId="7309DA3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45, stk. 3, fastslår, at forpligtelsen i artikel 45, stk. 2, finder tilsvarende anvendelse, når en forpligtet enhed udfører lejlighedsvise transaktioner eller indgår en forretningsforbindelse med en person, som tidligere har varetaget et højerestående offentligt hverv for Unionen, en medlemsstat, et tredjeland eller en international organisation.</w:t>
      </w:r>
    </w:p>
    <w:p w14:paraId="5C050E7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45, stk. 1-3, er virksomheder og personer, der er omfattet af hvidvaskforordningen. Den strafbare handling kan bestå i, at virksomheden undlader at tage hensyn til den fortsatte risiko, som en tidligere politisk eksponeret person udgør som følge af sit tidligere hverv, ved vurderingen af risici for hvidvask af penge og finansiering af terrorisme efter artikel 20, jf. artikel 45, stk. 1. Den strafbare handling kan endvidere bestå i, at virksomheden undlader at anvende én eller flere af de risikobegrænsende foranstaltninger, der er omhandlet i artikel 34, stk. 4, indtil risikoen ikke længere består, eller hvis foranstaltningerne ophører, før der er gået mindst 12 måneder efter, at personen ophørte med at varetage det højerestående offentlige hverv, jf. artikel 45, stk. 2. Endelig kan den strafbare handling bestå i, at virksomheden ved lejlighedsvise transaktioner eller ved etablering af en forretningsforbindelse med en tidligere politisk eksponeret person undlader at anvende de foranstaltninger, som følger af artikel 45, stk. 2, jf. artikel 45, stk. 3.</w:t>
      </w:r>
    </w:p>
    <w:p w14:paraId="49093576"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47 i hvidvaskforordningen fastslår særlige kundekendskabskrav for livsforsikringsvirksomhed og anden investeringsrelateret forsikringsvirksomhed. Ud over de kundekendskabsprocedurer, der kræves for kunden og den reelle ejer, skal forpligtede enheder anvende kundekendskabsprocedurer i forhold til begunstigede i livsforsikringspolicer og andre investeringsrelaterede forsikringspolicer, så snart de begunstigede er identificeret eller udpeget.</w:t>
      </w:r>
    </w:p>
    <w:p w14:paraId="0154D33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For begunstigede, der er identificeret som bestemte personer eller juridiske arrangementer, skal den forpligtede enhed registrere personens navn eller arrangementets betegnelse. For begunstigede, der er udpeget ved hjælp af karakteristika, gruppe eller andre midler, skal den forpligtede enhed indhente tilstrækkelige oplysninger om de begunstigede til, at det er muligt at bestemme den begunstigedes identitet på det tidspunkt, hvor udbetalingen finder sted.</w:t>
      </w:r>
    </w:p>
    <w:p w14:paraId="2E38060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47 fastslår endvidere, at de begunstigedes identitet og i givet fald deres reelle ejeres identitet skal kontrolleres på det tidspunkt, hvor udbetalingen finder sted. Ved hel eller delvis overdragelse af livsforsikringer eller andre investeringsrelaterede forsikringer til tredjemand skal forpligtede enheder, som er bekendt med overdragelsen, identificere den reelle ejer på tidspunktet for overdragelsen til den fysiske eller juridiske person eller det juridiske arrangement, der modtager værdien af den overdragede police til egen fordel.</w:t>
      </w:r>
    </w:p>
    <w:p w14:paraId="364B151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47 er virksomheder, som udbyder livsforsikring eller anden investeringsrelateret forsikring. Den strafbare handling kan bestå i, at virksomheden undlader at anvende kundekendskabsprocedurer i forhold til begunstigede i livsforsikringspolicer eller andre investeringsrelaterede forsikringspolicer. Det kan også udgøre en overtrædelse, hvis virksomheden ikke registrerer navn eller betegnelse for bestemte begunstigede, ikke indhenter tilstrækkelige oplysninger om begunstigede udpeget ved karakteristika, gruppe eller andre midler, ikke kontrollerer den begunstigedes eller dennes reelle ejers identitet på udbetalingstidspunktet eller ikke identificerer den reelle ejer ved hel eller delvis overdragelse af policen.</w:t>
      </w:r>
    </w:p>
    <w:p w14:paraId="7975696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48, stk. 1, 2 og 4, i hvidvaskforordningen fastslår betingelserne for, at forpligtede enheder kan forlade sig på andre forpligtede enheder med henblik på at opfylde kundekendskabskravene i artikel 20, stk. 1, litra a, b og c.</w:t>
      </w:r>
    </w:p>
    <w:p w14:paraId="2858E284"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48, stk. 1, kan en forpligtet enhed kun forlade sig på en anden forpligtet enhed, hvis den anden forpligtede enhed anvender kundekendskabskrav og krav om at føre fortegnelser, som er fastsat i hvidvaskforordningen eller tilsvarende krav, hvis den anden forpligtede enhed er beliggende eller etableret i et tredjeland, og hvis der føres tilsyn med den anden forpligtede enheds overholdelse af kravene til bekæmpelse af hvidvask og finansiering af terrorisme på en måde, der er i overensstemmelse med kapitel IV i direktiv (EU) 2024/1640. Det endelige ansvar for opfyldelsen af kundekendskabskravene forbliver hos den forpligtede enhed, der forlader sig på en anden forpligtet enhed.</w:t>
      </w:r>
    </w:p>
    <w:p w14:paraId="74F6BCFD"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48, stk. 2, skal forpligtede enheder, når de beslutter at forlade sig på andre forpligtede enheder, som er beliggende i tredjelande, tage hensyn til de geografiske risikofaktorer, der er anført i bilag II og III, og eventuelle relevante oplysninger eller vejledning fra Kommissionen, AMLA eller andre kompetente myndigheder.</w:t>
      </w:r>
    </w:p>
    <w:p w14:paraId="38BD2A59"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48, stk. 4, må forpligtede enheder ikke forlade sig på forpligtede enheder, der er etableret i tredjelande, som er identificeret efter hvidvaskforordningens kapitel III, afdeling 2. Forpligtede enheder, som er etableret i Unionen, og hvis filialer og datterselskaber er etableret i sådanne tredjelande, kan dog forlade sig på disse filialer og datterselskaber, hvis betingelserne i artikel 48, stk. 3, er opfyldt.</w:t>
      </w:r>
    </w:p>
    <w:p w14:paraId="4C0E7CA9"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48, stk. 1, 2 og 4, er virksomheder og personer, der er omfattet af hvidvaskforordningen. Den strafbare handling kan bestå i, at virksomheden forlader sig på en virksomhed, uden at betingelserne i artikel 48, stk. 1, er opfyldt. Det kan også udgøre en overtrædelse, hvis virksomheden undlader at tage hensyn til relevante geografiske risikofaktorer eller oplysninger og vejledning ved brug af en virksomhed i et tredjeland. Endvidere kan en overtrædelse foreligge, hvis virksomheden forlader sig på en virksomhed etableret i et identificeret tredjeland, uden at betingelserne for undtagelsen i artikel 48, stk. 4, er opfyldt.</w:t>
      </w:r>
    </w:p>
    <w:p w14:paraId="62D1418C"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49 i hvidvaskforordningen fastslår proceduren for at forlade sig på en anden forpligtet enhed. </w:t>
      </w:r>
    </w:p>
    <w:p w14:paraId="10CC961E"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49, stk. 1, skal forpligtede enheder fra den forpligtede enhed, som de forlader sig på, indhente alle nødvendige oplysninger vedrørende de kundekendskabsprocedurer, der er fastsat i artikel 20, stk. 1, litra a, b og c, eller den virksomhed, der inddrages.</w:t>
      </w:r>
    </w:p>
    <w:p w14:paraId="13A7B2D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49, stk. 2, skal forpligtede enheder, som forlader sig på andre forpligtede enheder, træffe alle nødvendige foranstaltninger til at sikre, at den forpligtede enhed, som de forlader sig på, efter anmodning forelægger kopier af de oplysninger, der er indhentet for at identificere kunden, dokumentation eller pålidelige kilder til de oplysninger, der blev anvendt til at kontrollere kundens identitet og i givet fald kundens reelle ejere eller personer, på hvis vegne kunden handler, samt oplysninger om forretningsforbindelsens formål og tilsigtede beskaffenhed.</w:t>
      </w:r>
    </w:p>
    <w:p w14:paraId="23850048"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49, stk. 3, fastslår, at den forpligtede enhed, som en anden forlader sig på, straks og under alle omstændigheder inden for fem arbejdsdage skal forelægge de oplysninger, der er omhandlet i stk. 1 og 2.</w:t>
      </w:r>
    </w:p>
    <w:p w14:paraId="40688EA4"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49, stk. 4, fastslår, at betingelserne for fremsendelse af de oplysninger og dokumenter, der er omhandlet i stk. 1 og 2, skal præciseres i en skriftlig aftale mellem de forpligtede enheder.</w:t>
      </w:r>
    </w:p>
    <w:p w14:paraId="0635042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Ansvarssubjektet for overtrædelse af artikel 49, stk. 1-4, er virksomheder og personer, der er omfattet af hvidvaskforordningen. Den strafbare handling kan bestå i, at virksomheden forlader sig på en anden virksomhed uden at indhente alle nødvendige oplysninger om de relevante kundekendskabsprocedurer. Det kan også udgøre en overtrædelse, hvis virksomheden ikke træffer de nødvendige foranstaltninger til at sikre, at den anden virksomhed efter anmodning kan forelægge de krævede oplysninger og dokumenter. </w:t>
      </w:r>
    </w:p>
    <w:p w14:paraId="3AEDB040" w14:textId="77777777" w:rsidR="00694EB0" w:rsidRPr="00882828" w:rsidRDefault="00694EB0" w:rsidP="00694EB0">
      <w:pPr>
        <w:spacing w:line="360" w:lineRule="auto"/>
        <w:rPr>
          <w:rFonts w:ascii="Times New Roman" w:hAnsi="Times New Roman" w:cs="Times New Roman"/>
          <w:sz w:val="24"/>
          <w:szCs w:val="24"/>
        </w:rPr>
      </w:pPr>
    </w:p>
    <w:p w14:paraId="4B8F5DC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nr. 3,</w:t>
      </w:r>
      <w:r w:rsidRPr="00882828">
        <w:rPr>
          <w:rFonts w:ascii="Times New Roman" w:hAnsi="Times New Roman" w:cs="Times New Roman"/>
          <w:sz w:val="24"/>
          <w:szCs w:val="24"/>
        </w:rPr>
        <w:t xml:space="preserve"> at overtrædelser af </w:t>
      </w:r>
      <w:r w:rsidRPr="00882828">
        <w:rPr>
          <w:rFonts w:ascii="Times New Roman" w:eastAsia="Times New Roman" w:hAnsi="Times New Roman" w:cs="Times New Roman"/>
          <w:sz w:val="24"/>
          <w:szCs w:val="24"/>
          <w:lang w:eastAsia="da-DK"/>
        </w:rPr>
        <w:t xml:space="preserve">hvidvaskforordningens bestemmelser om indberetningsforpligtelser i artikel 69, stk. 1, 1.-3. pkt., stk. 2, 6 og 7, stk. 8, 2.-4. pkt., og stk. 9, artikel 70, stk. 1, 2. pkt., artikel 71, stk. 1 og 2, artikel 73, stk. 1, jf. 2, og artikel 74, stk. 1-3, omfattes af strafbestemmelsen. </w:t>
      </w:r>
    </w:p>
    <w:p w14:paraId="560E06B7" w14:textId="77777777" w:rsidR="00694EB0" w:rsidRPr="00882828" w:rsidRDefault="00694EB0" w:rsidP="00694EB0">
      <w:pPr>
        <w:spacing w:line="360" w:lineRule="auto"/>
        <w:rPr>
          <w:rFonts w:ascii="Times New Roman" w:hAnsi="Times New Roman" w:cs="Times New Roman"/>
          <w:sz w:val="24"/>
          <w:szCs w:val="24"/>
        </w:rPr>
      </w:pPr>
    </w:p>
    <w:p w14:paraId="73248FBE"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69, stk. 1, i hvidvaskforordningen fastslår, at forpligtede enheder og, hvor det er relevant, deres direktører og ansatte skal samarbejde fuldt ud med FIU’en. Det indebærer, at de omgående og på eget initiativ skal foretage indberetning til FIU’en, når den forpligtede enhed får kendskab til, har mistanke om eller har rimelig grund til mistanke om, at midler eller aktiviteter, uanset beløbets størrelse, er udbytte fra kriminelle handlinger eller er forbundet med finansiering af terrorisme. Det indebærer endvidere, at den forpligtede enhed skal imødekomme FIU’ens anmodninger om yderligere oplysninger i sådanne tilfælde og efter anmodning give FIU’en alle nødvendige oplysninger, herunder oplysninger om transaktionsfortegnelser, inden for de fastsatte frister.</w:t>
      </w:r>
    </w:p>
    <w:p w14:paraId="5CAB502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69, stk. 1, fastslår desuden, at alle mistænkelige transaktioner, herunder forsøg på transaktioner og mistanke som følge af manglende evne til at gennemføre kundekendskabsprocedurer, skal indberettes. Forpligtede enheder skal som udgangspunkt besvare anmodninger om oplysninger fra FIU’en inden for fem arbejdsdage. I berettigede og hastende tilfælde kan FIU’en forkorte denne frist, herunder til mindre end 24 timer.</w:t>
      </w:r>
    </w:p>
    <w:p w14:paraId="332DCF3E"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69, stk. 1, 1.-3. pkt., er virksomheder og personer, der er omfattet af hvidvaskforordningen, og, hvor det er relevant, deres direktører og ansatte. Den strafbare handling kan bestå i, at virksomheden undlader at foretage underretning til Hvidvasksekretariatet på eget initiativ, når virksomheden eller personen får kendskab til, har mistanke om eller har rimelig grund til mistanke om, at midler eller aktiviteter, uanset beløbets størrelse, er udbytte fra kriminelle handlinger eller er forbundet med finansiering af terrorisme. Overtrædelsen kan også bestå i, at virksomheden undlader at imødekomme Hvidvasksekretariatets anmodninger om yderligere oplysninger eller ikke giver nødvendige oplysninger, herunder oplysninger om transaktionsfortegnelser, inden for fem arbejdsdage eller inden for en kortere frist fastsat af Hvidvasksekretariatet i berettigede og hastende tilfælde.</w:t>
      </w:r>
    </w:p>
    <w:p w14:paraId="7F743B69"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69, stk. 2, i hvidvaskforordningen fastslår, at forpligtede enheder med henblik på indberetningspligten efter artikel 69, stk. 1, skal vurdere transaktioner eller aktiviteter, der gennemføres af deres kunder, på grundlag af og i forhold til relevante kendsgerninger og oplysninger, som de har kendskab til eller er i besiddelse af. Hvor det er nødvendigt, skal den forpligtede enhed prioritere vurderingen under hensyntagen til transaktionens eller aktivitetens hastende karakter og de risici, der påvirker den medlemsstat, hvor den forpligtede enhed er etableret.</w:t>
      </w:r>
    </w:p>
    <w:p w14:paraId="29182CB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69, stk. 2, fastslår desuden, at en mistanke efter artikel 69, stk. 1, litra a, skal baseres på kundernes og deres modparters karakteristika, transaktionens eller aktivitetens omfang, art, metoder eller mønstre, forbindelsen mellem flere transaktioner eller aktiviteter, midlernes oprindelse, bestemmelsessted eller anvendelse eller andre forhold, som den forpligtede enhed har kendskab til. Dette omfatter også sammenhængen mellem transaktionen eller aktiviteten og de oplysninger, der er indhentet som led i kundekendskabsprocedurerne, herunder kundens risikoprofil.</w:t>
      </w:r>
    </w:p>
    <w:p w14:paraId="1F7784C1"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69, stk. 2, er virksomheder og personer, der er omfattet af hvidvaskforordningen. Den strafbare handling kan bestå i, at virksomheden undlader at foretage en tilstrækkelig vurdering af kunders transaktioner eller aktiviteter på grundlag af relevante oplysninger, som virksomheden har kendskab til eller er i besiddelse af. Overtrædelsen kan også bestå i, at virksomheden undlader at prioritere vurderingen af transaktioner eller aktiviteter, der på grund af deres hastende karakter eller risikoprofil kræver en prioriteret behandling.</w:t>
      </w:r>
    </w:p>
    <w:p w14:paraId="472C9CA8"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69, stk. 6, i hvidvaskforordningen fastslår, at den compliancemedarbejder, der er udpeget efter hvidvaskforordningens artikel 11, stk. 2, skal fremsende de oplysninger, der er omfattet af artikel 69, stk. 1, til FIU’en i den medlemsstat, hvor den forpligtede enhed er etableret.</w:t>
      </w:r>
    </w:p>
    <w:p w14:paraId="1582A9E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69, stk. 6, er den compliancemedarbejder, der er udpeget efter hvidvaskforordningens artikel 11, stk. 2, og efter omstændighederne virksomheden, der skal sikre, at underretningsfunktionen er tilrettelagt på en måde, som gør det muligt at opfylde bestemmelsen. Den strafbare handling kan bestå i, at compliancemedarbejderen undlader at fremsende de oplysninger og underretninger, der er omfattet af artikel 69, stk. 1, til FIU’en i den medlemsstat, hvor virksomheden er etableret.</w:t>
      </w:r>
    </w:p>
    <w:p w14:paraId="50BBF634"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69, stk. 7, i hvidvaskforordningen fastslår, at den forpligtede enhed skal sikre, at compliancemedarbejderen samt ansatte, agenter og distributører, der er involveret i udførelsen af opgaver i forbindelse med underretninger til FIU’en, er beskyttet mod repressalier, forskelsbehandling eller anden urimelig behandling som følge af udførelsen af disse opgaver.</w:t>
      </w:r>
    </w:p>
    <w:p w14:paraId="55E0FE1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69, stk. 7, er virksomheder og personer, der er omfattet af hvidvaskforordningen. Den strafbare handling kan bestå i, at virksomheden undlader at sikre, at compliancemedarbejderen samt relevante ansatte, agenter og distributører er beskyttet mod repressalier, forskelsbehandling eller anden urimelig behandling som følge af deres opgaver i forbindelse med underretninger til Hvidvasksekretariatet.</w:t>
      </w:r>
    </w:p>
    <w:p w14:paraId="338059A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69, stk. 8, 2.-4., i hvidvaskforordningen fastslår, at en indberetning, der indgives til FIU’en som følge af aktiviteter i et partnerskab til udveksling af oplysninger, mindst skal indeholde navn og kontaktoplysninger på alle de forpligtede enheder, der har deltaget i de aktiviteter, som ligger til grund for indberetningen. Hvis de forpligtede enheder er etableret i flere medlemsstater, skal oplysningerne indberettes til hver relevant FIU. De forpligtede enheder skal i den forbindelse sikre, at indberetningen indgives af en forpligtet enhed i den medlemsstat, hvor FIU’en er beliggende.</w:t>
      </w:r>
    </w:p>
    <w:p w14:paraId="5DFB1B7A"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69, stk. 8, 2.-4. pkt., er virksomheder og personer, der er omfattet af hvidvaskforordningen, og som deltager i et partnerskab til udveksling af oplysninger. Den strafbare handling kan bestå i, at virksomheden undlader at sikre, at en underretning, der udspringer af aktiviteter i et sådant partnerskab, indeholder navn og kontaktoplysninger på alle virksomheder, der har deltaget i de aktiviteter, som ligger til grund for underretningen. Overtrædelsen kan også bestå i, at oplysningerne ikke underrettes til hver relevant FIU, hvis virksomhederne er etableret i flere medlemsstater.</w:t>
      </w:r>
    </w:p>
    <w:p w14:paraId="0559F4AF"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69, stk. 9, i hvidvaskforordningen fastslår, at de forpligtede enheder, der er omfattet af artikel 69, stk. 8, skal opbevare en kopi af eventuelle indberetninger, der er indgivet efter artikel 69, stk. 8, i overensstemmelse med hvidvaskforordningens artikel 77.</w:t>
      </w:r>
    </w:p>
    <w:p w14:paraId="670C9D7C"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69, stk. 9, er virksomheder og personer, der er omfattet af artikel 69, stk. 8. Den strafbare handling kan bestå i, at virksomheden undlader at opbevare en kopi af en underretning, der er indgivet efter artikel 69, stk. 8, i overensstemmelse med kravene i hvidvaskforordningens artikel 77, som vedrører kravene til opbevaring af fortegnelser.</w:t>
      </w:r>
    </w:p>
    <w:p w14:paraId="6A029BED"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70, stk. 1, 2. pkt., i hvidvaskforordningen fastslår, at et selvregulerende organ, som er udpeget af en medlemsstat til at modtage oplysninger omfattet af artikel 69, stk. 1, fra forpligtede enheder omfattet af artikel 3, nr. 3, litra a og b, skal fremsende oplysningerne til FIU’en med det samme og ufiltreret.</w:t>
      </w:r>
    </w:p>
    <w:p w14:paraId="0124B2EF"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70, stk. 1, 2. pkt., er det udpegede selvregulerende organ. Den strafbare handling kan bestå i, at det udpegede selvregulerende organ undlader straks og ufiltreret at videresende modtagne oplysninger omfattet af artikel 69, stk. 1, til Hvidvasksekretariatet. Det kan også udgøre en overtrædelse, hvis det selvregulerende organ forsinker videresendelsen eller foretager en filtrering, sortering eller materiel vurdering af oplysningerne, inden de videresendes til Hvidvasksekretariatet.</w:t>
      </w:r>
    </w:p>
    <w:p w14:paraId="77F13A8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71, stk. 1 og 2, i hvidvaskforordningen fastslår, at forpligtede enheder skal undlade at gennemføre transaktioner, som de ved eller mistænker for at have tilknytning til udbytte fra kriminelle handlinger eller til finansiering af terrorisme, indtil de har truffet de nødvendige foranstaltninger efter artikel 69, stk. 1, første afsnit, litra a, og efterkommet eventuelle yderligere specifikke instrukser fra FIU’en eller en anden kompetent myndighed. Den forpligtede enhed kan dog gennemføre transaktionen efter at have vurderet risiciene ved at gå videre med transaktionen, hvis den ikke har modtaget instrukser om det modsatte fra FIU’en senest tre arbejdsdage efter indgivelsen af indberetningen.</w:t>
      </w:r>
    </w:p>
    <w:p w14:paraId="7C5E9C90"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71, stk. 2, fastslår endvidere, at hvis det ikke er muligt for den forpligtede enhed at undlade at gennemføre en transaktion som omhandlet i stk. 1, eller hvis det er sandsynligt, at undladelse ville være til hinder for bestræbelser på retsforfølgning af de personer, der drager fordel af en mistænkelig transaktion, skal den forpligtede enhed underrette FIU’en umiddelbart efter at have gennemført transaktionen.</w:t>
      </w:r>
    </w:p>
    <w:p w14:paraId="54A9381F"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Ansvarssubjektet for overtrædelse af artikel 71, stk. 1 og 2, er virksomheder og personer, der er omfattet af hvidvaskforordningen. Den strafbare handling kan bestå i, at virksomheden gennemfører en transaktion, som vedkommende ved eller mistænker for at have tilknytning til udbytte fra kriminelle handlinger eller finansiering af terrorisme, uden først at have truffet de nødvendige foranstaltninger efter artikel 69, stk. 1, første afsnit, litra a, og uden at have efterkommet eventuelle specifikke instrukser fra Hvidvasksekretariatet. </w:t>
      </w:r>
    </w:p>
    <w:p w14:paraId="7ADAE82E"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Det kan også udgøre en overtrædelse, hvis virksomheden gennemfører transaktionen uden at have vurderet risiciene ved at gå videre med transaktionen, eller hvis transaktionen gennemføres, før fristen på tre arbejdsdage er udløbet, uden at betingelserne herfor er opfyldt. Overtrædelse kan endvidere foreligge, hvis virksomheden undlader at underrette Hvidvasksekretariatet umiddelbart efter gennemførelsen af en transaktion, når det ikke har været muligt at undlade at gennemføre transaktionen, eller hvis undladelse af at gennemføre transaktionen sandsynligvis ville være til hinder for bestræbelser på retsforfølgning af de personer, der drager fordel af transaktionen.</w:t>
      </w:r>
    </w:p>
    <w:p w14:paraId="3B0A34A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73, stk. 1, i hvidvaskforordningen fastslår, at forpligtede enheder samt deres direktører, ansatte eller personer i tilsvarende stillinger, herunder agenter og distributører, ikke må oplyse den pågældende kunde eller andre tredjemænd om, at transaktioner eller aktiviteter er ved at blive eller er blevet vurderet efter artikel 69, at der fremsendes, vil blive fremsendt eller er blevet fremsendt oplysninger efter artikel 69 eller 70, eller at der er blevet eller eventuelt vil blive iværksat en analyse vedrørende hvidvask eller finansiering af terrorisme. </w:t>
      </w:r>
    </w:p>
    <w:p w14:paraId="1191F183"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Forbuddet finder dog ikke anvendelse på videregivelse af oplysninger til kompetente myndigheder og selvregulerende organer, når disse udfører tilsynsfunktioner, eller på videregivelse af oplysninger med henblik på efterforskning af og retsforfølgning for hvidvask, finansiering af terrorisme og andre kriminelle handlinger, jf. artikel 73, stk. 2.</w:t>
      </w:r>
    </w:p>
    <w:p w14:paraId="26EAED15"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Ansvarssubjektet for overtrædelse af artikel 73, stk. 1, er virksomheder og personer, der er omfattet af hvidvaskforordningen, samt deres direktører, ansatte og personer i tilsvarende stillinger, herunder agenter og distributører. Den strafbare handling kan bestå i, at virksomheden eller en person omfattet af bestemmelsen oplyser kunden eller en tredjemand om, at en transaktion eller aktivitet er under vurdering eller er blevet vurderet efter artikel 69. </w:t>
      </w:r>
    </w:p>
    <w:p w14:paraId="1D9604D7"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kan også udgøre en overtrædelse, hvis kunden eller en tredjemand oplyses om, at der er, vil blive eller er blevet fremsendt oplysninger til Hvidvasksekretariatet efter artikel 69 eller 70. Endvidere kan en overtrædelse foreligge, hvis kunden eller tredjemand oplyses om, at der er iværksat eller eventuelt vil blive iværksat en analyse vedrørende hvidvask eller finansiering af terrorisme. </w:t>
      </w:r>
    </w:p>
    <w:p w14:paraId="1F446727"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Videregivelse af oplysninger i de tilfælde, der er omfattet af artikel 73, stk. 2, vil ikke udgøre en overtrædelse af forbuddet i artikel 73, stk. 1.</w:t>
      </w:r>
    </w:p>
    <w:p w14:paraId="1E35FBBE"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74, stk. 1, i hvidvaskforordningen fastslår, at personer, som handler med varer af høj værdi, skal indberette alle transaktioner, der involverer salg af visse varer af høj værdi, til FIU’en, når disse varer erhverves til ikkekommercielle formål. Indberetningspligten omfatter salg af motorkøretøjer til en pris på mindst 250.000 euro eller et tilsvarende beløb i national valuta, vandfartøjer til en pris på mindst 7.500.000 euro eller et tilsvarende beløb i national valuta og luftfartøjer til en pris på mindst 7.500.000 euro eller et tilsvarende beløb i national valuta.</w:t>
      </w:r>
    </w:p>
    <w:p w14:paraId="180760D2"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Artikel 74, stk. 2, fastslår endvidere, at kreditinstitutter og finansieringsinstitutter, der leverer tjenesteydelser i forbindelse med køb af eller overførsel af ejendomsretten til de nævnte varer, også skal indberette alle transaktioner, som de udfører for deres kunder i forbindelse med disse varer, til FIU’en.</w:t>
      </w:r>
    </w:p>
    <w:p w14:paraId="6E1A25FD" w14:textId="77777777" w:rsidR="00694EB0" w:rsidRPr="00882828" w:rsidRDefault="00694EB0" w:rsidP="00694EB0">
      <w:pPr>
        <w:spacing w:after="200" w:line="360" w:lineRule="auto"/>
        <w:rPr>
          <w:rFonts w:ascii="Times New Roman" w:hAnsi="Times New Roman" w:cs="Times New Roman"/>
          <w:sz w:val="24"/>
          <w:szCs w:val="24"/>
        </w:rPr>
      </w:pPr>
      <w:r w:rsidRPr="00882828">
        <w:rPr>
          <w:rFonts w:ascii="Times New Roman" w:hAnsi="Times New Roman" w:cs="Times New Roman"/>
          <w:sz w:val="24"/>
          <w:szCs w:val="24"/>
        </w:rPr>
        <w:t>Efter artikel 74, stk. 3, skal indberetninger efter artikel 74, stk. 1 og 2, foretages inden for de frister, der er fastsat af FIU’en.</w:t>
      </w:r>
    </w:p>
    <w:p w14:paraId="7C30429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74, stk. 1-3, er virksomheder og personer, som handler med varer af høj værdi, og kreditinstitutter og finansieringsinstitutter, der leverer tjenesteydelser i forbindelse med køb af eller overførsel af ejendomsretten til de varer, der er omfattet af artikel 74, stk. 1. Den strafbare handling kan bestå i, at en virksomhed eller person, som handler med varer af høj værdi, undlader at underrette en transaktion til Hvidvasksekretariatet, når transaktionen vedrører salg af et motorkøretøj, vandfartøj eller luftfartøj over de fastsatte tærskelværdier, og varen erhverves til ikkekommercielle formål. Den strafbare handling kan også bestå i, at et kreditinstitut eller finansieringsinstitut undlader at underrette en transaktion, som virksomheden udfører for en kunde i forbindelse med køb af eller overførsel af ejendomsretten til sådanne varer. Endvidere kan en overtrædelse foreligge, hvis underretningen ikke foretages inden for de frister, der er fastsat af Hvidvasksekretariatet.</w:t>
      </w:r>
    </w:p>
    <w:p w14:paraId="6278437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AC23D79"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nr. 4,</w:t>
      </w:r>
      <w:r w:rsidRPr="00882828">
        <w:rPr>
          <w:rFonts w:ascii="Times New Roman" w:eastAsia="Times New Roman" w:hAnsi="Times New Roman" w:cs="Times New Roman"/>
          <w:sz w:val="24"/>
          <w:szCs w:val="24"/>
          <w:lang w:eastAsia="da-DK"/>
        </w:rPr>
        <w:t xml:space="preserve"> at overtrædelser af hvidvaskforordningens artikel 77 om opbevaring af fortegnelser, artikel 79, stk. 1-3, om anonyme konti, ihændehaveraktier og tegningsoptioner til ihændehaveraktier og artikel 80, stk. 1, om tærskler for store kontantbetalinger til gengæld for varer eller tjenesteydelser omfattes af strafbestemmelsen.</w:t>
      </w:r>
    </w:p>
    <w:p w14:paraId="48BD18B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196AAC9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77, stk. 1, i hvidvaskforordningen fastslår, at forpligtede enheder skal opbevare en række dokumenter og oplysninger. Det omfatter en kopi af de dokumenter og oplysninger, der er indhentet ved gennemførelsen af kundekendskabsprocedurer efter hvidvaskforordningens kapitel III, herunder oplysninger, der er indhentet gennem elektroniske identifikationsmidler. Det omfatter endvidere en fortegnelse over de vurderinger, der er foretaget efter artikel 69, stk. 2, herunder de oplysninger og forhold, der er taget i betragtning, og resultaterne af sådanne vurderinger, uanset om vurderingerne medfører, at der foretages indberetning om mistænkelige transaktioner til FIU’en. Den forpligtede enhed skal desuden opbevare en kopi af eventuelle indberetninger om mistænkelige transaktioner.</w:t>
      </w:r>
    </w:p>
    <w:p w14:paraId="2C6C74A7" w14:textId="77777777" w:rsidR="00694EB0" w:rsidRPr="00882828" w:rsidRDefault="00694EB0" w:rsidP="00694EB0">
      <w:pPr>
        <w:spacing w:line="360" w:lineRule="auto"/>
        <w:rPr>
          <w:rFonts w:ascii="Times New Roman" w:hAnsi="Times New Roman" w:cs="Times New Roman"/>
          <w:sz w:val="24"/>
          <w:szCs w:val="24"/>
        </w:rPr>
      </w:pPr>
    </w:p>
    <w:p w14:paraId="57C3E2F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77, stk. 1, fastslår desuden, at forpligtede enheder skal opbevare dokumentation for og fortegnelser over transaktioner, der består af originaldokumenter eller kopier med tilsvarende beviskraft efter national ret, og som er nødvendige for at identificere transaktioner. Hvis den forpligtede enhed deltager i partnerskaber med henblik på udveksling af oplysninger efter hvidvaskforordningens kapitel VI, skal den forpligtede enhed endvidere opbevare kopier af de dokumenter og oplysninger, der er indhentet inden for rammerne af disse partnerskaber, og fortegnelser over alle tilfælde af udveksling af oplysninger. Den forpligtede enhed skal sikre, at dokumenter, oplysninger og fortegnelser, der opbevares efter artikel 77, ikke redigeres.</w:t>
      </w:r>
    </w:p>
    <w:p w14:paraId="10E5FAD7" w14:textId="77777777" w:rsidR="00694EB0" w:rsidRPr="00882828" w:rsidRDefault="00694EB0" w:rsidP="00694EB0">
      <w:pPr>
        <w:spacing w:line="360" w:lineRule="auto"/>
        <w:rPr>
          <w:rFonts w:ascii="Times New Roman" w:hAnsi="Times New Roman" w:cs="Times New Roman"/>
          <w:sz w:val="24"/>
          <w:szCs w:val="24"/>
        </w:rPr>
      </w:pPr>
    </w:p>
    <w:p w14:paraId="61D4C1E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77, stk. 2, fastslår, at forpligtede enheder kan beslutte at erstatte opbevaring af kopier af oplysninger med opbevaring af henvisninger til sådanne oplysninger. Dette forudsætter, at karakteren af og metoden til opbevaring af oplysningerne sikrer, at den forpligtede enhed omgående kan forelægge oplysningerne for kompetente myndigheder, og at oplysningerne ikke kan modificeres eller ændres. Forpligtede enheder, der gør brug af denne mulighed, skal i deres interne procedurer efter artikel 9 fastsætte de kategorier af oplysninger, hvor der opbevares en henvisning i stedet for en kopi eller original, samt procedurerne for udtrækning af oplysningerne, så de kan forelægges kompetente myndigheder efter anmodning.</w:t>
      </w:r>
    </w:p>
    <w:p w14:paraId="3A20874D" w14:textId="77777777" w:rsidR="00694EB0" w:rsidRPr="00882828" w:rsidRDefault="00694EB0" w:rsidP="00694EB0">
      <w:pPr>
        <w:spacing w:line="360" w:lineRule="auto"/>
        <w:rPr>
          <w:rFonts w:ascii="Times New Roman" w:hAnsi="Times New Roman" w:cs="Times New Roman"/>
          <w:sz w:val="24"/>
          <w:szCs w:val="24"/>
        </w:rPr>
      </w:pPr>
    </w:p>
    <w:p w14:paraId="0CF3658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77, stk. 3, fastslår, at de oplysninger, der er omfattet af artikel 77, stk. 1 og 2, skal opbevares i en periode på fem år regnet fra datoen for forretningsforbindelsens ophør, datoen for gennemførelsen af den lejlighedsvise transaktion eller datoen for afslag på at indgå en forretningsforbindelse eller gennemføre en lejlighedsvis transaktion. Uden at det berører opbevaringsperioder for oplysninger, der er indhentet med henblik på andre EU-retsakter eller national ret, der er i overensstemmelse med databeskyttelsesforordningen, skal den forpligtede enhed slette personoplysninger ved udløbet af denne periode på fem år. Kompetente myndigheder kan i det enkelte tilfælde kræve yderligere opbevaring, hvis dette er nødvendigt for at forebygge, opdage, efterforske eller retsforfølge hvidvask eller finansiering af terrorisme. Den yderligere opbevaring må ikke overstige en periode på fem år.</w:t>
      </w:r>
    </w:p>
    <w:p w14:paraId="708A8345" w14:textId="77777777" w:rsidR="00694EB0" w:rsidRPr="00882828" w:rsidRDefault="00694EB0" w:rsidP="00694EB0">
      <w:pPr>
        <w:spacing w:line="360" w:lineRule="auto"/>
        <w:rPr>
          <w:rFonts w:ascii="Times New Roman" w:hAnsi="Times New Roman" w:cs="Times New Roman"/>
          <w:sz w:val="24"/>
          <w:szCs w:val="24"/>
        </w:rPr>
      </w:pPr>
    </w:p>
    <w:p w14:paraId="0CDAD3B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77, stk. 4, fastslår, at hvis der i en medlemsstat den 10. juli 2027 verserer retssager med henblik på forebyggelse, opdagelse, efterforskning eller retsforfølgning af formodet hvidvask eller finansiering af terrorisme, og en forpligtet enhed besidder oplysninger eller dokumenter vedrørende disse verserende procedurer, kan den forpligtede enhed opbevare de pågældende oplysninger eller dokumenter i fem år fra den 10. juli 2027. Bestemmelsen giver endvidere medlemsstaterne mulighed for at tillade eller kræve yderligere opbevaring i en periode på yderligere fem år, hvis dette er nødvendigt og forholdsmæssigt med henblik på forebyggelse, opdagelse, efterforskning eller retsforfølgning af formodet hvidvask eller finansiering af terrorisme.</w:t>
      </w:r>
    </w:p>
    <w:p w14:paraId="41FA0C98" w14:textId="77777777" w:rsidR="00694EB0" w:rsidRPr="00882828" w:rsidRDefault="00694EB0" w:rsidP="00694EB0">
      <w:pPr>
        <w:spacing w:line="360" w:lineRule="auto"/>
        <w:rPr>
          <w:rFonts w:ascii="Times New Roman" w:hAnsi="Times New Roman" w:cs="Times New Roman"/>
          <w:sz w:val="24"/>
          <w:szCs w:val="24"/>
        </w:rPr>
      </w:pPr>
    </w:p>
    <w:p w14:paraId="30C204A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Ansvarssubjektet for overtrædelse af artikel 77 er virksomheder og personer, der er omfattet af hvidvaskforordningen. Den strafbare handling kan bestå i, at virksomheden undlader at opbevare de dokumenter, oplysninger og fortegnelser, der er omfattet af artikel 77, stk. 1, herunder dokumenter og oplysninger indhentet ved kundekendskabsprocedurer, fortegnelser over vurderinger efter artikel 69, stk. 2, kopier af underretninger om mistænkelige transaktioner, dokumentation for og fortegnelser over transaktioner samt dokumenter og oplysninger indhentet i forbindelse med partnerskaber til udveksling af oplysninger. </w:t>
      </w:r>
    </w:p>
    <w:p w14:paraId="1E384D10" w14:textId="77777777" w:rsidR="00694EB0" w:rsidRPr="00882828" w:rsidRDefault="00694EB0" w:rsidP="00694EB0">
      <w:pPr>
        <w:spacing w:line="360" w:lineRule="auto"/>
        <w:rPr>
          <w:rFonts w:ascii="Times New Roman" w:hAnsi="Times New Roman" w:cs="Times New Roman"/>
          <w:sz w:val="24"/>
          <w:szCs w:val="24"/>
        </w:rPr>
      </w:pPr>
    </w:p>
    <w:p w14:paraId="70F1179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 kan også foreligge, hvis virksomheden ikke opbevarer oplysningerne i den krævede femårige periode, eller hvis personoplysninger ikke slettes ved udløbet af opbevaringsperioden. Endvidere kan en overtrædelse foreligge, hvis virksomheden undlader at efterkomme et krav fra en kompetent myndighed om yderligere opbevaring efter artikel 77, stk. 3.</w:t>
      </w:r>
    </w:p>
    <w:p w14:paraId="6C23895F" w14:textId="77777777" w:rsidR="00694EB0" w:rsidRPr="00882828" w:rsidRDefault="00694EB0" w:rsidP="00694EB0">
      <w:pPr>
        <w:spacing w:line="360" w:lineRule="auto"/>
        <w:rPr>
          <w:rFonts w:ascii="Times New Roman" w:hAnsi="Times New Roman" w:cs="Times New Roman"/>
          <w:sz w:val="24"/>
          <w:szCs w:val="24"/>
        </w:rPr>
      </w:pPr>
    </w:p>
    <w:p w14:paraId="2A59E94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79, stk. 1, i hvidvaskforordningen fastslår, at kreditinstitutter, finansieringsinstitutter og udbydere af kryptoaktivtjenester ikke må have anonyme bank- og betalingskonti, anonyme bankbøger, anonyme deponeringsbokse eller anonyme kryptoaktivkonti samt konti, som på anden vis gør det muligt at anonymisere kundekontohaveren eller anonymisere eller øge tilsløringen af transaktioner, herunder gennem anonymiseringsfremmende mønter.</w:t>
      </w:r>
    </w:p>
    <w:p w14:paraId="56578563" w14:textId="77777777" w:rsidR="00694EB0" w:rsidRPr="00882828" w:rsidRDefault="00694EB0" w:rsidP="00694EB0">
      <w:pPr>
        <w:spacing w:line="360" w:lineRule="auto"/>
        <w:rPr>
          <w:rFonts w:ascii="Times New Roman" w:hAnsi="Times New Roman" w:cs="Times New Roman"/>
          <w:sz w:val="24"/>
          <w:szCs w:val="24"/>
        </w:rPr>
      </w:pPr>
    </w:p>
    <w:p w14:paraId="76A5081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er kreditinstitutter, finansieringsinstitutter og udbydere af kryptoaktivtjenester. Overtrædelsen kan bestå i, at et kreditinstitut, finansieringsinstitut eller en udbyder af kryptoaktivtjenester har anonyme bank- eller betalingskonti, anonyme bankbøger, anonyme deponeringsbokse, anonyme kryptoaktivkonti eller andre konti, der gør det muligt at anonymisere kundekontohaveren eller anonymisere eller øge tilsløringen af transaktioner. Overtrædelsen kan desuden bestå i, at ejere af eller begunstigede i forbindelse med eksisterende anonyme bank- eller betalingskonti, anonyme bankbøger, anonyme deponeringsbokse eller kryptoaktivkonti ikke omfattes af kundekendskabsprocedurer, inden disse konti, bankbøger eller deponeringsbokse anvendes.</w:t>
      </w:r>
    </w:p>
    <w:p w14:paraId="343383F7" w14:textId="77777777" w:rsidR="00694EB0" w:rsidRPr="00882828" w:rsidRDefault="00694EB0" w:rsidP="00694EB0">
      <w:pPr>
        <w:tabs>
          <w:tab w:val="left" w:pos="4883"/>
        </w:tabs>
        <w:spacing w:line="360" w:lineRule="auto"/>
        <w:rPr>
          <w:rFonts w:ascii="Times New Roman" w:hAnsi="Times New Roman" w:cs="Times New Roman"/>
          <w:sz w:val="24"/>
          <w:szCs w:val="24"/>
        </w:rPr>
      </w:pPr>
    </w:p>
    <w:p w14:paraId="375A641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79, stk. 2, i hvidvaskforordningen fastslår, at kreditinstitutter og finansieringsinstitutter, der handler som indløsere som omhandlet i artikel 2, nr. 1), i forordning (EU) 2015/751, ikke må acceptere betalinger, der foretages med anonyme forudbetalte kort, som er udstedt i tredjelande, medmindre andet er fastsat i reguleringsmæssige tekniske standarder vedtaget af Kommissionen i overensstemmelse med hvidvaskforordningens artikel 28 på grundlag af en dokumenteret lav risiko.</w:t>
      </w:r>
    </w:p>
    <w:p w14:paraId="21BE732A" w14:textId="77777777" w:rsidR="00694EB0" w:rsidRPr="00882828" w:rsidRDefault="00694EB0" w:rsidP="00694EB0">
      <w:pPr>
        <w:spacing w:line="360" w:lineRule="auto"/>
        <w:rPr>
          <w:rFonts w:ascii="Times New Roman" w:hAnsi="Times New Roman" w:cs="Times New Roman"/>
          <w:sz w:val="24"/>
          <w:szCs w:val="24"/>
        </w:rPr>
      </w:pPr>
    </w:p>
    <w:p w14:paraId="2254DD9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er kreditinstitutter og finansieringsinstitutter, der handler som indløsere. Overtrædelsen kan bestå i, at et kreditinstitut eller finansieringsinstitut, der handler som indløser, accepterer betalinger foretaget med anonyme forudbetalte kort, som er udstedt i tredjelande, uden at dette er tilladt efter de reguleringsmæssige tekniske standarder.</w:t>
      </w:r>
    </w:p>
    <w:p w14:paraId="2CC4A5D8" w14:textId="77777777" w:rsidR="00694EB0" w:rsidRPr="00882828" w:rsidRDefault="00694EB0" w:rsidP="00694EB0">
      <w:pPr>
        <w:spacing w:line="360" w:lineRule="auto"/>
        <w:rPr>
          <w:rFonts w:ascii="Times New Roman" w:hAnsi="Times New Roman" w:cs="Times New Roman"/>
          <w:sz w:val="24"/>
          <w:szCs w:val="24"/>
        </w:rPr>
      </w:pPr>
    </w:p>
    <w:p w14:paraId="0F1B22B8"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79, stk. 3, i hvidvaskforordningen fastslår, at selskaber ikke må udstede ihændehaveraktier, og at de senest den 10. juli 2029 skal konvertere alle eksisterende ihændehaveraktier til aktier noteret på navn, immobilisere dem som omhandlet i artikel 2, stk. 1, nr. 3), i forordning (EU) nr. 909/2014 eller deponere dem i et finansieringsinstitut. </w:t>
      </w:r>
    </w:p>
    <w:p w14:paraId="1F0F98C1" w14:textId="77777777" w:rsidR="00694EB0" w:rsidRPr="00882828" w:rsidRDefault="00694EB0" w:rsidP="00694EB0">
      <w:pPr>
        <w:spacing w:line="360" w:lineRule="auto"/>
        <w:rPr>
          <w:rFonts w:ascii="Times New Roman" w:hAnsi="Times New Roman" w:cs="Times New Roman"/>
          <w:sz w:val="24"/>
          <w:szCs w:val="24"/>
        </w:rPr>
      </w:pPr>
    </w:p>
    <w:p w14:paraId="3463E88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Bestemmelsen fastsætter dog en undtagelse for selskaber med værdipapirer, der er noteret på et reguleret marked, eller hvis aktier er udstedt som værdipapirer, der opbevares af en mellemmand, enten ved immobilisering eller ved direkte udstedelse i dematerialiseret form. </w:t>
      </w:r>
    </w:p>
    <w:p w14:paraId="77DC304C" w14:textId="77777777" w:rsidR="00694EB0" w:rsidRPr="00882828" w:rsidRDefault="00694EB0" w:rsidP="00694EB0">
      <w:pPr>
        <w:spacing w:line="360" w:lineRule="auto"/>
        <w:rPr>
          <w:rFonts w:ascii="Times New Roman" w:hAnsi="Times New Roman" w:cs="Times New Roman"/>
          <w:sz w:val="24"/>
          <w:szCs w:val="24"/>
        </w:rPr>
      </w:pPr>
    </w:p>
    <w:p w14:paraId="5535C8B9"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Bestemmelsen foreskriver endvidere, at eksisterende ihændehaveraktier, der ikke er konverteret, immobiliseret eller deponeret senest den 10. juli 2029, automatisk får suspenderet de tilknyttede stemmerettigheder og udbytterettigheder indtil konvertering, immobilisering eller deponering, og at sådanne aktier annulleres, hvis dette ikke er sket senest den 10. juli 2030. Endelig foreskriver bestemmelsen, at selskaber ikke må udstede tegningsoptioner til ihændehaveraktier, som ikke opbevares af en mellemmand.</w:t>
      </w:r>
    </w:p>
    <w:p w14:paraId="0B623774" w14:textId="77777777" w:rsidR="00694EB0" w:rsidRPr="00882828" w:rsidRDefault="00694EB0" w:rsidP="00694EB0">
      <w:pPr>
        <w:spacing w:line="360" w:lineRule="auto"/>
        <w:rPr>
          <w:rFonts w:ascii="Times New Roman" w:hAnsi="Times New Roman" w:cs="Times New Roman"/>
          <w:sz w:val="24"/>
          <w:szCs w:val="24"/>
        </w:rPr>
      </w:pPr>
    </w:p>
    <w:p w14:paraId="51F6133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er selskaber. Overtrædelsen kan bestå i, at et selskab udsteder ihændehaveraktier i strid med forbuddet, undlader senest den 10. juli 2029 at konvertere, immobilisere eller deponere eksisterende ihændehaveraktier, eller udsteder tegningsoptioner til ihændehaveraktier, som ikke opbevares af en mellemmand. Overtrædelsen kan endvidere bestå i, at selskabet ikke suspenderer stemmerettigheder og udbytterettigheder for eksisterende ihændehaveraktier, der ikke rettidigt er konverteret, immobiliseret eller deponeret, eller ikke annullerer sådanne aktier senest den 10. juli 2030.</w:t>
      </w:r>
    </w:p>
    <w:p w14:paraId="684CEA8B" w14:textId="77777777" w:rsidR="00694EB0" w:rsidRPr="00882828" w:rsidRDefault="00694EB0" w:rsidP="00694EB0">
      <w:pPr>
        <w:spacing w:line="360" w:lineRule="auto"/>
        <w:rPr>
          <w:rFonts w:ascii="Times New Roman" w:hAnsi="Times New Roman" w:cs="Times New Roman"/>
          <w:sz w:val="24"/>
          <w:szCs w:val="24"/>
        </w:rPr>
      </w:pPr>
    </w:p>
    <w:p w14:paraId="69CEB919"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nr. 5,</w:t>
      </w:r>
      <w:r w:rsidRPr="00882828">
        <w:rPr>
          <w:rFonts w:ascii="Times New Roman" w:eastAsia="Times New Roman" w:hAnsi="Times New Roman" w:cs="Times New Roman"/>
          <w:sz w:val="24"/>
          <w:szCs w:val="24"/>
          <w:lang w:eastAsia="da-DK"/>
        </w:rPr>
        <w:t xml:space="preserve"> at overtrædelser af § 3, stk. 2, §§ 4, 5, 35, 43, 44, § 45, stk. 6, § 47, stk. 1 og 2, §§ 49 og 50, § 51, stk. 1-5, § 57, stk. 1 og 2, § 81, stk. 1, § 82, stk. 1, § 83, stk. 1, § 85, stk. 1-3, og § 91, stk. 3, i denne lov omfattes af strafbestemmelsen.</w:t>
      </w:r>
    </w:p>
    <w:p w14:paraId="3A9FF5C9" w14:textId="77777777" w:rsidR="00694EB0" w:rsidRPr="00882828" w:rsidRDefault="00694EB0" w:rsidP="00694EB0">
      <w:pPr>
        <w:spacing w:line="360" w:lineRule="auto"/>
        <w:rPr>
          <w:rFonts w:ascii="Times New Roman" w:hAnsi="Times New Roman" w:cs="Times New Roman"/>
          <w:sz w:val="24"/>
          <w:szCs w:val="24"/>
        </w:rPr>
      </w:pPr>
    </w:p>
    <w:p w14:paraId="25A4E39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For beskrivelse af ansvarssubjekter og den strafbare handling vedrørende de strafbelagte bestemmelser i foreslåede nr. 5 henvises til bemærkningerne til de strafbelagte bestemmelser. </w:t>
      </w:r>
    </w:p>
    <w:p w14:paraId="41BC8501" w14:textId="77777777" w:rsidR="00694EB0" w:rsidRPr="00882828" w:rsidRDefault="00694EB0" w:rsidP="00694EB0">
      <w:pPr>
        <w:spacing w:line="360" w:lineRule="auto"/>
        <w:rPr>
          <w:rFonts w:ascii="Times New Roman" w:hAnsi="Times New Roman" w:cs="Times New Roman"/>
          <w:sz w:val="24"/>
          <w:szCs w:val="24"/>
        </w:rPr>
      </w:pPr>
    </w:p>
    <w:p w14:paraId="78474D1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Bestemmelsen vil udgøre et alternativ til blandt andet straffelovens §§ 290 a og 290 b og til bestemmelsen om finansiering af terrorisme i § 114 b i straffeloven.</w:t>
      </w:r>
    </w:p>
    <w:p w14:paraId="6264F0AC" w14:textId="77777777" w:rsidR="00694EB0" w:rsidRPr="00882828" w:rsidRDefault="00694EB0" w:rsidP="00694EB0">
      <w:pPr>
        <w:spacing w:line="360" w:lineRule="auto"/>
        <w:rPr>
          <w:rFonts w:ascii="Times New Roman" w:hAnsi="Times New Roman" w:cs="Times New Roman"/>
          <w:sz w:val="24"/>
          <w:szCs w:val="24"/>
        </w:rPr>
      </w:pPr>
    </w:p>
    <w:p w14:paraId="5571F2C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nr. 6,</w:t>
      </w:r>
      <w:r w:rsidRPr="00882828">
        <w:rPr>
          <w:rFonts w:ascii="Times New Roman" w:eastAsia="Times New Roman" w:hAnsi="Times New Roman" w:cs="Times New Roman"/>
          <w:sz w:val="24"/>
          <w:szCs w:val="24"/>
          <w:lang w:eastAsia="da-DK"/>
        </w:rPr>
        <w:t xml:space="preserve"> at overtrædelser af artikel 4-8, 10-12, 14-16-17, 19-21 og 26 i Europa-Parlamentets og Rådets forordning om oplysninger, der skal medsendes ved pengeoverførsler og ved overførsler af visse kryptoaktiver omfattes af strafbestemmelsen.</w:t>
      </w:r>
    </w:p>
    <w:p w14:paraId="0F7C1656" w14:textId="77777777" w:rsidR="00694EB0" w:rsidRPr="00882828" w:rsidRDefault="00694EB0" w:rsidP="00694EB0">
      <w:pPr>
        <w:spacing w:line="360" w:lineRule="auto"/>
        <w:rPr>
          <w:rFonts w:ascii="Times New Roman" w:hAnsi="Times New Roman" w:cs="Times New Roman"/>
          <w:sz w:val="24"/>
          <w:szCs w:val="24"/>
        </w:rPr>
      </w:pPr>
    </w:p>
    <w:p w14:paraId="2671AAC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henhold til artikel 4, stk. 1, skal betalerens betalingstjenesteudbyder sikre, at pengeoverførslen ledsages af betalerens navn, betalerens betalingskontonummer og betalerens adresse, herunder landets navn. Alternativt skal pengeoverførslen ledsages af betalerens officielle personlige dokumentnummer, kunde-id-nummer eller fødselsdato og -sted. Derudover skal betalerens aktuelle LEI eller, hvis en sådan ikke findes, enhver tilgængelig tilsvarende officiel identifikator medsendes, forudsat at det nødvendige felt findes i det relevante betalingsmeddelelsesformat, og at betaleren har oplyst identifikatoren til sin betalingstjenesteudbyder.</w:t>
      </w:r>
    </w:p>
    <w:p w14:paraId="71B0427E" w14:textId="77777777" w:rsidR="00694EB0" w:rsidRPr="00882828" w:rsidRDefault="00694EB0" w:rsidP="00694EB0">
      <w:pPr>
        <w:spacing w:line="360" w:lineRule="auto"/>
        <w:rPr>
          <w:rFonts w:ascii="Times New Roman" w:hAnsi="Times New Roman" w:cs="Times New Roman"/>
          <w:sz w:val="24"/>
          <w:szCs w:val="24"/>
        </w:rPr>
      </w:pPr>
    </w:p>
    <w:p w14:paraId="11F3C53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bemærkes dog, at artikel 6, stk. 1, fastslår, at ved batchfiloverførsler fra en enkelt betaler, hvor betalingsmodtagernes betalingstjenesteudbydere er etableret uden for Unionen, finder artikel 4, stk. 1, ikke anvendelse på de enkelte overførsler, der er samlet heri, såfremt batchfilen indeholder de oplysninger, der er omhandlet i artikel 4, stk. 1, 2 og 3, oplysningerne er blevet kontrolleret i overensstemmelse med artikel 4, stk. 4, og 5, og de enkelte overførsler indeholder betalers betalingskontonummer eller, hvis artikel 4, stk. 3, finder anvendelse, den entydige transaktionsidentifikator. </w:t>
      </w:r>
    </w:p>
    <w:p w14:paraId="4FE0FEE2" w14:textId="77777777" w:rsidR="00694EB0" w:rsidRPr="00882828" w:rsidRDefault="00694EB0" w:rsidP="00694EB0">
      <w:pPr>
        <w:spacing w:line="360" w:lineRule="auto"/>
        <w:rPr>
          <w:rFonts w:ascii="Times New Roman" w:hAnsi="Times New Roman" w:cs="Times New Roman"/>
          <w:sz w:val="24"/>
          <w:szCs w:val="24"/>
        </w:rPr>
      </w:pPr>
    </w:p>
    <w:p w14:paraId="059EF74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 stk. 1, er betalers betalingstjenesteudbyder, og den strafbetingede handling opstår, såfremt oplysningerne om betaleren ikke sikres medsendt. Det foreslås, at overtrædelse af artikel 4, stk. 1, i pengeoverførselsforordningen som udgangspunkt bør medføre bødestraf, men ved gentagne overtrædelser, eller forsætlig overtrædelse, vil der være mulighed for fængselsstraf indtil 2 år.</w:t>
      </w:r>
    </w:p>
    <w:p w14:paraId="3E8103BC" w14:textId="77777777" w:rsidR="00694EB0" w:rsidRPr="00882828" w:rsidRDefault="00694EB0" w:rsidP="00694EB0">
      <w:pPr>
        <w:spacing w:line="360" w:lineRule="auto"/>
        <w:rPr>
          <w:rFonts w:ascii="Times New Roman" w:hAnsi="Times New Roman" w:cs="Times New Roman"/>
          <w:sz w:val="24"/>
          <w:szCs w:val="24"/>
        </w:rPr>
      </w:pPr>
    </w:p>
    <w:p w14:paraId="76790BD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4, stk. 2, fastslår, at betalers betalingstjenesteudbyder sikrer, at der ved pengeoverførslen medsendes oplysninger om betalingsmodtageren navn, betalingskontonummer samt betalerens aktuelle LEI eller i mangel heraf, enhver tilgængelig tilsvarende officiel identifikator med forbehold af, at det nødvendige felt i det relevante betalingsmeddelelsesformat findes, og at betaleren har oplyst den til sin betalings tjenesteudbyder.</w:t>
      </w:r>
    </w:p>
    <w:p w14:paraId="1CC79743" w14:textId="77777777" w:rsidR="00694EB0" w:rsidRPr="00882828" w:rsidRDefault="00694EB0" w:rsidP="00694EB0">
      <w:pPr>
        <w:spacing w:line="360" w:lineRule="auto"/>
        <w:rPr>
          <w:rFonts w:ascii="Times New Roman" w:hAnsi="Times New Roman" w:cs="Times New Roman"/>
          <w:sz w:val="24"/>
          <w:szCs w:val="24"/>
        </w:rPr>
      </w:pPr>
    </w:p>
    <w:p w14:paraId="3002B7B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 stk. 2, er betalers betalingstjenesteudbyder, og den strafbetingede handling opstår, såfremt oplysningerne om betaleren ikke sikres medsendt. Det foreslås, at overtrædelse af artikel 4, stk. 2, i pengeoverførselsforordningen som udgangspunkt bør medføre bødestraf, men ved gentagne overtrædelser, eller forsætlig overtrædelse, vil der være mulighed for fængselsstraf indtil 2 år.</w:t>
      </w:r>
    </w:p>
    <w:p w14:paraId="734DA650" w14:textId="77777777" w:rsidR="00694EB0" w:rsidRPr="00882828" w:rsidRDefault="00694EB0" w:rsidP="00694EB0">
      <w:pPr>
        <w:spacing w:line="360" w:lineRule="auto"/>
        <w:rPr>
          <w:rFonts w:ascii="Times New Roman" w:hAnsi="Times New Roman" w:cs="Times New Roman"/>
          <w:sz w:val="24"/>
          <w:szCs w:val="24"/>
        </w:rPr>
      </w:pPr>
    </w:p>
    <w:p w14:paraId="04F240E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4, stk. 3, fastsætter, at betalerens betalingstjenesteudbyder skal sørge for, at overførsler, der ikke er foretaget til eller fra en betalingskonto, ledsages af en entydig transaktionsidentifikator i stedet for betalingskontonummeret. </w:t>
      </w:r>
    </w:p>
    <w:p w14:paraId="5CB1934C" w14:textId="77777777" w:rsidR="00694EB0" w:rsidRPr="00882828" w:rsidRDefault="00694EB0" w:rsidP="00694EB0">
      <w:pPr>
        <w:spacing w:line="360" w:lineRule="auto"/>
        <w:rPr>
          <w:rFonts w:ascii="Times New Roman" w:hAnsi="Times New Roman" w:cs="Times New Roman"/>
          <w:sz w:val="24"/>
          <w:szCs w:val="24"/>
        </w:rPr>
      </w:pPr>
    </w:p>
    <w:p w14:paraId="236CA43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Ved entydig transaktionsidentifikator menes en kombination af bogstaver, tal eller symboler, fastlagt af betalingstjenesteudbyderen i overensstemmelse med protokollerne for de betalings- og afviklingssystemer eller meddelelsessystemer, der anvendes til at foretage pengeoverførslen, eller fastlagt af en udbyder af kryptoaktivtjenester, der gør det muligt at spore transaktionen tilbage til betaleren og betalingsmodtageren eller at spore overførslen af kryptoaktiver tilbage til ordregiveren og ordremodtageren, jf. artikel 3, nr. 12, i forordningen. </w:t>
      </w:r>
    </w:p>
    <w:p w14:paraId="19E501D7" w14:textId="77777777" w:rsidR="00694EB0" w:rsidRPr="00882828" w:rsidRDefault="00694EB0" w:rsidP="00694EB0">
      <w:pPr>
        <w:spacing w:line="360" w:lineRule="auto"/>
        <w:rPr>
          <w:rFonts w:ascii="Times New Roman" w:hAnsi="Times New Roman" w:cs="Times New Roman"/>
          <w:sz w:val="24"/>
          <w:szCs w:val="24"/>
        </w:rPr>
      </w:pPr>
    </w:p>
    <w:p w14:paraId="0184548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 stk. 3, er betalingstjenesteudbyderen, og den strafbetingede handling er, at betalingstjenesteudbyderen ikke sørger for at overførslen ledsages af en entydig transaktionsidentifikator. Det foreslås, at overtrædelse af artikel 4, stk. 3, i pengeoverførselsforordningen som udgangspunkt bør medføre bødestraf, men ved gentagne overtrædelser, eller forsætlig overtrædelse, vil der være mulighed for fængselsstraf indtil 2 år.</w:t>
      </w:r>
    </w:p>
    <w:p w14:paraId="4CAA593D" w14:textId="77777777" w:rsidR="00694EB0" w:rsidRPr="00882828" w:rsidRDefault="00694EB0" w:rsidP="00694EB0">
      <w:pPr>
        <w:spacing w:line="360" w:lineRule="auto"/>
        <w:rPr>
          <w:rFonts w:ascii="Times New Roman" w:hAnsi="Times New Roman" w:cs="Times New Roman"/>
          <w:sz w:val="24"/>
          <w:szCs w:val="24"/>
        </w:rPr>
      </w:pPr>
    </w:p>
    <w:p w14:paraId="3E2E4F7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Betalers betalingstjenesteudbyder skal, før pengene overføres, kontrollere, at de i artikel 4, stk. 1, og i givet fald stk. 3, omhandlede oplysninger er korrekte på grundlag af dokumenter, data eller oplysninger fra en pålidelig og uafhængig kilde i henhold til artikel 4, stk. 4. </w:t>
      </w:r>
    </w:p>
    <w:p w14:paraId="11ABEA38" w14:textId="77777777" w:rsidR="00694EB0" w:rsidRPr="00882828" w:rsidRDefault="00694EB0" w:rsidP="00694EB0">
      <w:pPr>
        <w:spacing w:line="360" w:lineRule="auto"/>
        <w:rPr>
          <w:rFonts w:ascii="Times New Roman" w:hAnsi="Times New Roman" w:cs="Times New Roman"/>
          <w:sz w:val="24"/>
          <w:szCs w:val="24"/>
        </w:rPr>
      </w:pPr>
    </w:p>
    <w:p w14:paraId="0B45133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 stk. 4, er betalers betalingstjenesteudbyder, og den strafbetingede handling er, at betalingstjenesteudbyder ikke har kontrolleret om de med sendte oplysninger er korrekte på baggrund af en pålidelig og uafhængig kilde. Det foreslås, at overtrædelse af artikel 4, stk. 4, i pengeoverførselsforordningen som udgangspunkt bør medføre bødestraf, men ved gentagne overtrædelser, eller forsætlig overtrædelse, vil der være mulighed for fængselsstraf indtil 2 år.</w:t>
      </w:r>
    </w:p>
    <w:p w14:paraId="73FF6A57" w14:textId="77777777" w:rsidR="00694EB0" w:rsidRPr="00882828" w:rsidRDefault="00694EB0" w:rsidP="00694EB0">
      <w:pPr>
        <w:spacing w:line="360" w:lineRule="auto"/>
        <w:rPr>
          <w:rFonts w:ascii="Times New Roman" w:hAnsi="Times New Roman" w:cs="Times New Roman"/>
          <w:sz w:val="24"/>
          <w:szCs w:val="24"/>
        </w:rPr>
      </w:pPr>
    </w:p>
    <w:p w14:paraId="289F766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4, stk. 5, fastslår, at den kontrol, der er omhandlet i artikel 4, stk. 4, anses for at have fundet sted, hvis betalerens identitet er blevet kontrolleret i overensstemmelse med artikel 13 i direktiv (EU) 2015/849, og de oplysninger, der er indhentet ved kontrollen, er blevet opbevaret i overensstemmelse med artikel 40 i samme direktiv. Det samme gælder, hvis artikel 14, stk. 5, i direktiv (EU) 2015/849 finder anvendelse på betaleren.</w:t>
      </w:r>
    </w:p>
    <w:p w14:paraId="088D3AF0" w14:textId="77777777" w:rsidR="00694EB0" w:rsidRPr="00882828" w:rsidRDefault="00694EB0" w:rsidP="00694EB0">
      <w:pPr>
        <w:spacing w:line="360" w:lineRule="auto"/>
        <w:rPr>
          <w:rFonts w:ascii="Times New Roman" w:hAnsi="Times New Roman" w:cs="Times New Roman"/>
          <w:sz w:val="24"/>
          <w:szCs w:val="24"/>
        </w:rPr>
      </w:pPr>
    </w:p>
    <w:p w14:paraId="2D1AB88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 stk. 5, er betalers betalingstjenesteudbyder, og den strafbetingede handling er manglende kontrol. Det foreslås, at overtrædelse af artikel 4, stk. 5, i pengeoverførselsforordningen som udgangspunkt bør medføre bødestraf, men ved gentagne overtrædelser, eller forsætlig overtrædelse, vil der være mulighed for fængselsstraf indtil 2 år.</w:t>
      </w:r>
    </w:p>
    <w:p w14:paraId="75267E8A" w14:textId="77777777" w:rsidR="00694EB0" w:rsidRPr="00882828" w:rsidRDefault="00694EB0" w:rsidP="00694EB0">
      <w:pPr>
        <w:spacing w:line="360" w:lineRule="auto"/>
        <w:rPr>
          <w:rFonts w:ascii="Times New Roman" w:hAnsi="Times New Roman" w:cs="Times New Roman"/>
          <w:sz w:val="24"/>
          <w:szCs w:val="24"/>
        </w:rPr>
      </w:pPr>
    </w:p>
    <w:p w14:paraId="60D1705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I henhold til artikel 4, stk. 6, må betalerens betalingstjenesteudbyder ikke gennemføre en pengeoverførsel, før betalingstjenesteudbyderen har sikret sig, at det vil være i fuld overensstemmelse med denne artikel, jf. dog undtagelserne i artikel 5 og 6. </w:t>
      </w:r>
    </w:p>
    <w:p w14:paraId="5DD07FEB" w14:textId="77777777" w:rsidR="00694EB0" w:rsidRPr="00882828" w:rsidRDefault="00694EB0" w:rsidP="00694EB0">
      <w:pPr>
        <w:spacing w:line="360" w:lineRule="auto"/>
        <w:rPr>
          <w:rFonts w:ascii="Times New Roman" w:hAnsi="Times New Roman" w:cs="Times New Roman"/>
          <w:sz w:val="24"/>
          <w:szCs w:val="24"/>
        </w:rPr>
      </w:pPr>
    </w:p>
    <w:p w14:paraId="22C835F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4, stk. 6, er betalers betalingstjenesteudbyder, og den strafbetingede handling sker ved gennemførelse af en pengeoverførsel, før betalingstjenesteudbyderen har sikret sig fuld overensstemmelse med artikel 4, jf. dog undtagelserne i artikel 5 og 6. Det foreslås, at overtrædelse af artikel 4, stk. 6, i pengeoverførselsforordningen som udgangspunkt bør medføre bødestraf, men ved gentagne overtrædelser, eller forsætlig overtrædelse, vil der være mulighed for fængselsstraf indtil 2 år.</w:t>
      </w:r>
    </w:p>
    <w:p w14:paraId="75C9EA50" w14:textId="77777777" w:rsidR="00694EB0" w:rsidRPr="00882828" w:rsidRDefault="00694EB0" w:rsidP="00694EB0">
      <w:pPr>
        <w:spacing w:line="360" w:lineRule="auto"/>
        <w:rPr>
          <w:rFonts w:ascii="Times New Roman" w:hAnsi="Times New Roman" w:cs="Times New Roman"/>
          <w:sz w:val="24"/>
          <w:szCs w:val="24"/>
        </w:rPr>
      </w:pPr>
    </w:p>
    <w:p w14:paraId="5E2EECC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5, stk. 1, fastslår, at hvis alle betalingstjenesteudbydere, der er involveret i betalingskæden, er etableret i Unionen, ledsages pengeoverførslen uanset artikel 4, stk. 1 og 2, mindst af både betalerens og betalingsmodtagerens betalingskontonummer eller, hvis artikel 4, stk. 3, finder anvendelse, den entydige transaktionsidentifikator, uden at dette berører oplysningskravene i henhold til forordning (EU) nr. 260/2012, hvor det er relevant.</w:t>
      </w:r>
    </w:p>
    <w:p w14:paraId="493DA551" w14:textId="77777777" w:rsidR="00694EB0" w:rsidRPr="00882828" w:rsidRDefault="00694EB0" w:rsidP="00694EB0">
      <w:pPr>
        <w:spacing w:line="360" w:lineRule="auto"/>
        <w:rPr>
          <w:rFonts w:ascii="Times New Roman" w:hAnsi="Times New Roman" w:cs="Times New Roman"/>
          <w:sz w:val="24"/>
          <w:szCs w:val="24"/>
        </w:rPr>
      </w:pPr>
    </w:p>
    <w:p w14:paraId="5CFC0245"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5, stk. 1, er alle betalingstjenesteudbydere, der er involveret i betalingskæden, og den strafbetingede handling sker, når en pengeoverførsel ikke ledsages af mindst betalerens og betalingsmodtagerens kontonummer eller, hvis artikel 4, stk. 3 finder anvendelse, den entydige transaktionsidentifikator. Det foreslås, at overtrædelse af artikel 5, stk. 1, i pengeoverførselsforordningen som udgangspunkt bør medføre bødestraf, men ved gentagne overtrædelser, eller forsætlig overtrædelse, vil der være mulighed for fængselsstraf indtil 2 år.</w:t>
      </w:r>
    </w:p>
    <w:p w14:paraId="4AEFF5D8" w14:textId="77777777" w:rsidR="00694EB0" w:rsidRPr="00882828" w:rsidRDefault="00694EB0" w:rsidP="00694EB0">
      <w:pPr>
        <w:spacing w:line="360" w:lineRule="auto"/>
        <w:rPr>
          <w:rFonts w:ascii="Times New Roman" w:hAnsi="Times New Roman" w:cs="Times New Roman"/>
          <w:sz w:val="24"/>
          <w:szCs w:val="24"/>
        </w:rPr>
      </w:pPr>
    </w:p>
    <w:p w14:paraId="72B7451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5, stk. 2, fastslår, at uanset stk. 1, stiller betalerens betalingstjenesteudbyder inden tre arbejdsdage efter modtagelsen af en anmodning om oplysninger fra betalingsmodtagerens betalingstjenesteudbyder eller fra mellembetalingsformidleren, ved pengeoverførsler på over 1.000 EUR, uanset om de gennemføres som en enkeltstående overførsel eller som flere overførsler, der synes at hænge sammen, oplysningerne om betaleren eller betalingsmodtageren til rådighed i overensstemmelse med artikel 4. Ved pengeoverførsler på ikke over 1.000 EUR, som ikke synes at hænge sammen med andre pengeoverførsler, der tilsammen med den pågældende overførsel overstiger 1.000 EUR, skal mindst betalerens navn, betalingsmodtagerens navn og betalerens og betalingsmodtagerens betalingskontonummer oplyses eller, hvis artikel 4, stk. 3, finder anvendelse, den entydige transaktionsidentifikator. </w:t>
      </w:r>
    </w:p>
    <w:p w14:paraId="7BE1A910" w14:textId="77777777" w:rsidR="00694EB0" w:rsidRPr="00882828" w:rsidRDefault="00694EB0" w:rsidP="00694EB0">
      <w:pPr>
        <w:spacing w:line="360" w:lineRule="auto"/>
        <w:rPr>
          <w:rFonts w:ascii="Times New Roman" w:hAnsi="Times New Roman" w:cs="Times New Roman"/>
          <w:sz w:val="24"/>
          <w:szCs w:val="24"/>
        </w:rPr>
      </w:pPr>
    </w:p>
    <w:p w14:paraId="1B1FCFD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5, stk. 2, er betalers betalingstjenesteudbyder, og den strafbetingede handling er, at betalingstjenesteudbyder ikke har stillet oplysninger til rådighed inden for tre arbejdsdage. Det foreslås, at overtrædelse af artikel 5, stk. 2, i pengeoverførselsforordningen som udgangspunkt bør medføre bødestraf, men ved gentagne overtrædelser, eller forsætlig overtrædelse, vil der være mulighed for fængselsstraf indtil 2 år.</w:t>
      </w:r>
    </w:p>
    <w:p w14:paraId="2E7421ED" w14:textId="77777777" w:rsidR="00694EB0" w:rsidRPr="00882828" w:rsidRDefault="00694EB0" w:rsidP="00694EB0">
      <w:pPr>
        <w:spacing w:line="360" w:lineRule="auto"/>
        <w:rPr>
          <w:rFonts w:ascii="Times New Roman" w:hAnsi="Times New Roman" w:cs="Times New Roman"/>
          <w:sz w:val="24"/>
          <w:szCs w:val="24"/>
        </w:rPr>
      </w:pPr>
    </w:p>
    <w:p w14:paraId="38463FE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5, stk. 3, omhandler, at ved de i stk. 2, litra b, om handlede pengeoverførsler er betalerens betalingstjenesteudbyder uanset artikel 4, stk. 4, ikke forpligtet til at kontrollere oplysningerne om betaleren, medmindre betalerens betalingstjenesteudbyder har modtaget de midler, der skal overføres, i kontanter eller i anonyme elektroniske penge, eller har en rimelig begrundet mistanke om hvidvask af penge eller finansiering af terrorisme. </w:t>
      </w:r>
    </w:p>
    <w:p w14:paraId="7A0DC98B" w14:textId="77777777" w:rsidR="00694EB0" w:rsidRPr="00882828" w:rsidRDefault="00694EB0" w:rsidP="00694EB0">
      <w:pPr>
        <w:spacing w:line="360" w:lineRule="auto"/>
        <w:rPr>
          <w:rFonts w:ascii="Times New Roman" w:hAnsi="Times New Roman" w:cs="Times New Roman"/>
          <w:sz w:val="24"/>
          <w:szCs w:val="24"/>
        </w:rPr>
      </w:pPr>
    </w:p>
    <w:p w14:paraId="7DF9D0C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5, stk. 3, er betalers betalingstjenesteudbyder, og den strafbetingede handling er manglende kontrol af oplysninger om betaleren. Det foreslås, at overtrædelse af artikel 5, stk. 3, i pengeoverførselsforordningen som udgangspunkt bør medføre bødestraf, men ved gentagne overtrædelser, eller forsætlig overtrædelse, vil der være mulighed for fængselsstraf indtil 2 år.</w:t>
      </w:r>
    </w:p>
    <w:p w14:paraId="73CB6916" w14:textId="77777777" w:rsidR="00694EB0" w:rsidRPr="00882828" w:rsidRDefault="00694EB0" w:rsidP="00694EB0">
      <w:pPr>
        <w:spacing w:line="360" w:lineRule="auto"/>
        <w:rPr>
          <w:rFonts w:ascii="Times New Roman" w:hAnsi="Times New Roman" w:cs="Times New Roman"/>
          <w:sz w:val="24"/>
          <w:szCs w:val="24"/>
        </w:rPr>
      </w:pPr>
    </w:p>
    <w:p w14:paraId="5D8B688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6, stk. 1, fastslår, at ved batchfiloverførsler fra en enkelt betaler, hvor betalingsmodtagernes betalingstjenesteudbyder er etableret uden for Unionen, finder artikel 4, stk. 1, ikke anvendelse på de enkelte overførsler, der er samlet heri, såfremt batchfilen indeholder de oplysninger, der er omhandlet i artikel 4, stk. 1, 2 og 3, oplysningerne er blevet kontrolleret i overensstemmelse med artikel 4, stk. 4, og 5, og de enkelte overførsler indeholder betalers betalingskontonummer eller, hvis artikel 4, stk. 3, finder anvendelse, den entydige transaktionsidentifikator. </w:t>
      </w:r>
    </w:p>
    <w:p w14:paraId="4834EBEA" w14:textId="77777777" w:rsidR="00694EB0" w:rsidRPr="00882828" w:rsidRDefault="00694EB0" w:rsidP="00694EB0">
      <w:pPr>
        <w:spacing w:line="360" w:lineRule="auto"/>
        <w:rPr>
          <w:rFonts w:ascii="Times New Roman" w:hAnsi="Times New Roman" w:cs="Times New Roman"/>
          <w:sz w:val="24"/>
          <w:szCs w:val="24"/>
        </w:rPr>
      </w:pPr>
    </w:p>
    <w:p w14:paraId="314B3BB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 stk. 1, er betaleren, og den strafbetingede handling er manglende overholdelse af de nævnte krav. Det foreslås, at overtrædelse af artikel 6, stk. 1, i pengeoverførselsforordningen som udgangspunkt bør medføre bødestraf, men ved gentagne overtrædelser, eller forsætlig overtrædelse, vil der være mulighed for fængselsstraf indtil 2 år.</w:t>
      </w:r>
    </w:p>
    <w:p w14:paraId="2E3D93F3" w14:textId="77777777" w:rsidR="00694EB0" w:rsidRPr="00882828" w:rsidRDefault="00694EB0" w:rsidP="00694EB0">
      <w:pPr>
        <w:spacing w:line="360" w:lineRule="auto"/>
        <w:rPr>
          <w:rFonts w:ascii="Times New Roman" w:hAnsi="Times New Roman" w:cs="Times New Roman"/>
          <w:sz w:val="24"/>
          <w:szCs w:val="24"/>
        </w:rPr>
      </w:pPr>
    </w:p>
    <w:p w14:paraId="0B618FE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6, stk. 2, fastslår, at hvis betalingsmodtagerens betalingstjenesteudbyder er etableret uden for Unionen, skal der ved pengeoverførsler på ikke over 1.000 EUR, som ikke synes at hænge sammen med andre pengeoverførsler, der tilsammen med den pågældende overførsel overstiger 1.000 EUR, uanset artikel 4, stk. 1, og hvor det er relevant, uden at dette berører de oplysninger, der kræves i overensstemmelse med forordning (EU) nr. 260/2012, mindst medsendes oplysninger om betalerens og betalingsmodtagerens navn og betalerens og betalingsmodtagerens betalingskontonummer eller, hvis artikel 4, stk. 3, finder anvendelse, den entydige transaktionsidentifikator. Betalerens betalingstjenesteudbyder er uanset artikel 4, stk. 4, ikke forpligtet til at kontrollere de i dette stykke omhandlede op lysninger om betaleren, medmindre betalerens betalingstjenesteudbyder har modtaget de midler, der skal overføres, i kontanter eller i anonyme elektroniske penge, eller har en rimelig begrundet mistanke om hvidvask af penge eller finansiering af terrorisme. </w:t>
      </w:r>
    </w:p>
    <w:p w14:paraId="38DAFE84" w14:textId="77777777" w:rsidR="00694EB0" w:rsidRPr="00882828" w:rsidRDefault="00694EB0" w:rsidP="00694EB0">
      <w:pPr>
        <w:spacing w:line="360" w:lineRule="auto"/>
        <w:rPr>
          <w:rFonts w:ascii="Times New Roman" w:hAnsi="Times New Roman" w:cs="Times New Roman"/>
          <w:sz w:val="24"/>
          <w:szCs w:val="24"/>
        </w:rPr>
      </w:pPr>
    </w:p>
    <w:p w14:paraId="4462E71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 stk. 2, er betalerens betalingstjenesteudbyder, og den strafbetingede handling er, at de medsendte oplysninger er mangelfulde, samt manglende kontrol. Det foreslås, at overtrædelse af artikel 6, stk. 2, i pengeoverførselsforordningen som udgangspunkt bør medføre bødestraf, men ved gentagne overtrædelser, eller forsætlig overtrædelse, vil der være mulighed for fængselsstraf indtil 2 år.</w:t>
      </w:r>
    </w:p>
    <w:p w14:paraId="21494996" w14:textId="77777777" w:rsidR="00694EB0" w:rsidRPr="00882828" w:rsidRDefault="00694EB0" w:rsidP="00694EB0">
      <w:pPr>
        <w:spacing w:line="360" w:lineRule="auto"/>
        <w:rPr>
          <w:rFonts w:ascii="Times New Roman" w:hAnsi="Times New Roman" w:cs="Times New Roman"/>
          <w:sz w:val="24"/>
          <w:szCs w:val="24"/>
        </w:rPr>
      </w:pPr>
    </w:p>
    <w:p w14:paraId="1398B13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I henhold til artikel 7, stk. 1, skal betalingsmodtagerens betalingstjenesteudbyder indføre effektive procedurer til at konstatere, om felterne vedrørende oplysninger om betaler og betalingsmodtager i det meddelelses- eller betalings- og afviklingssystem, der anvendes til pengeoverførslen, er udfyldt med tegn eller input i overensstemmelse med det pågældende systems konventioner. </w:t>
      </w:r>
    </w:p>
    <w:p w14:paraId="63D488BD" w14:textId="77777777" w:rsidR="00694EB0" w:rsidRPr="00882828" w:rsidRDefault="00694EB0" w:rsidP="00694EB0">
      <w:pPr>
        <w:spacing w:line="360" w:lineRule="auto"/>
        <w:rPr>
          <w:rFonts w:ascii="Times New Roman" w:hAnsi="Times New Roman" w:cs="Times New Roman"/>
          <w:sz w:val="24"/>
          <w:szCs w:val="24"/>
        </w:rPr>
      </w:pPr>
    </w:p>
    <w:p w14:paraId="6B8EA61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7, stk. 1, er betalingsmodtagerens betalingstjenesteudbyder, og den strafbetingede handling sker ved manglende indførelse af effektive procedurer. Det foreslås, at overtrædelse af artikel 7, stk. 1, i pengeoverførselsforordningen som udgangspunkt bør medføre bødestraf, men ved gentagne overtrædelser, eller forsætlig overtrædelse, vil der være mulighed for fængselsstraf indtil 2 år.</w:t>
      </w:r>
    </w:p>
    <w:p w14:paraId="5A8745C7" w14:textId="77777777" w:rsidR="00694EB0" w:rsidRPr="00882828" w:rsidRDefault="00694EB0" w:rsidP="00694EB0">
      <w:pPr>
        <w:spacing w:line="360" w:lineRule="auto"/>
        <w:rPr>
          <w:rFonts w:ascii="Times New Roman" w:hAnsi="Times New Roman" w:cs="Times New Roman"/>
          <w:sz w:val="24"/>
          <w:szCs w:val="24"/>
        </w:rPr>
      </w:pPr>
    </w:p>
    <w:p w14:paraId="128CD9C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 stk. 2, fastslår, at betalingsmodtagerens betalingstjenesteudbyder skal indføre effektive procedurer, herunder, hvor det er relevant, overvågning under eller efter overførslerne, med henblik på at konstatere, om der mangler oplysninger om betaleren eller betalingsmodtageren. Ved pengeoverførsler, hvor betalerens betalingstjenesteudbyder er etableret inden for Unionen, skal procedurerne kunne konstatere, om de oplysninger, der er omhandlet i artikel 5, mangler. Ved pengeoverførsler, hvor betalerens betalingstjenesteudbyder er etableret uden for Unionen, skal procedurerne kunne konstatere, om de oplysninger, der er omhandlet i artikel 4, stk. 1, litra a), b) og c), og artikel 4, stk. 2, litra a) og b), mangler. Det samme gælder ved batchfiloverførsler, hvor betalerens betalingstjenesteudbyder er etableret uden for Unionen, for så vidt angår de nævnte oplysninger vedrørende batchfiloverførslen.</w:t>
      </w:r>
    </w:p>
    <w:p w14:paraId="408AA19F" w14:textId="77777777" w:rsidR="00694EB0" w:rsidRPr="00882828" w:rsidRDefault="00694EB0" w:rsidP="00694EB0">
      <w:pPr>
        <w:spacing w:line="360" w:lineRule="auto"/>
        <w:rPr>
          <w:rFonts w:ascii="Times New Roman" w:hAnsi="Times New Roman" w:cs="Times New Roman"/>
          <w:sz w:val="24"/>
          <w:szCs w:val="24"/>
        </w:rPr>
      </w:pPr>
    </w:p>
    <w:p w14:paraId="216728C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7, stk. 2, er betalingsmodtagerens betalingstjenesteudbyder, og den strafbetingede handling sker ved manglende indførelse af effektive procedurer, herunder overvågning. Det foreslås, at overtrædelse af artikel 7, stk. 2, i pengeoverførselsforordningen som udgangspunkt bør medføre bødestraf, men ved gentagne overtrædelser, eller forsætlig overtrædelse, vil der være mulighed for fængselsstraf indtil 2 år.</w:t>
      </w:r>
    </w:p>
    <w:p w14:paraId="0D952AB9" w14:textId="77777777" w:rsidR="00694EB0" w:rsidRPr="00882828" w:rsidRDefault="00694EB0" w:rsidP="00694EB0">
      <w:pPr>
        <w:spacing w:line="360" w:lineRule="auto"/>
        <w:rPr>
          <w:rFonts w:ascii="Times New Roman" w:hAnsi="Times New Roman" w:cs="Times New Roman"/>
          <w:sz w:val="24"/>
          <w:szCs w:val="24"/>
        </w:rPr>
      </w:pPr>
    </w:p>
    <w:p w14:paraId="2E94C46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 stk. 3, fastslår at, ved pengeoverførsler på over 1.000 EUR, uanset om de gennemføres som en enkeltstående overførsel eller som flere overførsler, der synes at hænge sammen, kontrollerer betalingsmodtagerens betalingstjenesteudbyder, inden betalingsmodtagerens betalingskonto krediteres, eller midlerne stilles til rådighed for betalingsmodtageren, at de i denne artikels stk. 2 omhandlede oplysninger om betalingsmodtageren er korrekte, på grundlag af dokumenter, data eller oplysninger fra en pålidelig og uafhængig kilde, uden at det berører kravene fastsat i artikel 83 og 84 i direktiv (EU) 2015/2366.</w:t>
      </w:r>
    </w:p>
    <w:p w14:paraId="1C3FDBBE" w14:textId="77777777" w:rsidR="00694EB0" w:rsidRPr="00882828" w:rsidRDefault="00694EB0" w:rsidP="00694EB0">
      <w:pPr>
        <w:spacing w:line="360" w:lineRule="auto"/>
        <w:rPr>
          <w:rFonts w:ascii="Times New Roman" w:hAnsi="Times New Roman" w:cs="Times New Roman"/>
          <w:sz w:val="24"/>
          <w:szCs w:val="24"/>
        </w:rPr>
      </w:pPr>
    </w:p>
    <w:p w14:paraId="58DDDB9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7, stk. 3, er betalingsmodtagerens betalingstjenesteudbyder, og den strafbetingede handling sker ved manglende kontrol af oplysninger efter artikel 7, stk. 2. Det foreslås, at overtrædelse af artikel 7, stk. 3, i pengeoverførselsforordningen som udgangspunkt bør medføre bødestraf, men ved gentagne overtrædelser, eller forsætlig overtrædelse, vil der være mulighed for fængselsstraf indtil 2 år.</w:t>
      </w:r>
    </w:p>
    <w:p w14:paraId="523D37D2" w14:textId="77777777" w:rsidR="00694EB0" w:rsidRPr="00882828" w:rsidRDefault="00694EB0" w:rsidP="00694EB0">
      <w:pPr>
        <w:spacing w:line="360" w:lineRule="auto"/>
        <w:rPr>
          <w:rFonts w:ascii="Times New Roman" w:hAnsi="Times New Roman" w:cs="Times New Roman"/>
          <w:sz w:val="24"/>
          <w:szCs w:val="24"/>
        </w:rPr>
      </w:pPr>
    </w:p>
    <w:p w14:paraId="11934D95"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7, stk. 4, fastslår, at der ved pengeoverførsler på ikke over 1.000 EUR, som ikke synes at hænge sammen med andre pengeoverførsler, der tilsammen med den pågældende overførsel overstiger 1.000 EUR, er betalingsmodtagerens betalingstjenesteudbyder ikke forpligtet til at kontrollere, at oplysningerne om betalingsmodtageren er korrekte, medmindre betalingsmodtagerens betalingstjenesteudbyder udbetaler midlerne i kontanter eller i anonyme elektroniske penge, eller har en rimelig begrundet mistanke om hvidvask af penge eller finansiering af terrorisme. </w:t>
      </w:r>
    </w:p>
    <w:p w14:paraId="5B13FBE2" w14:textId="77777777" w:rsidR="00694EB0" w:rsidRPr="00882828" w:rsidRDefault="00694EB0" w:rsidP="00694EB0">
      <w:pPr>
        <w:spacing w:line="360" w:lineRule="auto"/>
        <w:rPr>
          <w:rFonts w:ascii="Times New Roman" w:hAnsi="Times New Roman" w:cs="Times New Roman"/>
          <w:sz w:val="24"/>
          <w:szCs w:val="24"/>
        </w:rPr>
      </w:pPr>
    </w:p>
    <w:p w14:paraId="28B2F42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7, stk. 4, er betalingsmodtagerens betalingstjenesteudbyder, og den strafbetingede handling opstår ved manglende kontrol af oplysninger om betalingsmodtageren, hvis midlerne udbetales i kontanter eller der haves en rimeligt begrundet mistanke om hvidvask af penge eller finansiering af terrorisme. Det foreslås, at overtrædelse af artikel 7, stk. 4, i pengeoverførselsforordningen som udgangspunkt bør medføre bødestraf, men ved gentagne overtrædelser, eller forsætlig overtrædelse, vil der være mulighed for fængselsstraf indtil 2 år.</w:t>
      </w:r>
    </w:p>
    <w:p w14:paraId="744C6675" w14:textId="77777777" w:rsidR="00694EB0" w:rsidRPr="00882828" w:rsidRDefault="00694EB0" w:rsidP="00694EB0">
      <w:pPr>
        <w:spacing w:line="360" w:lineRule="auto"/>
        <w:rPr>
          <w:rFonts w:ascii="Times New Roman" w:hAnsi="Times New Roman" w:cs="Times New Roman"/>
          <w:sz w:val="24"/>
          <w:szCs w:val="24"/>
        </w:rPr>
      </w:pPr>
    </w:p>
    <w:p w14:paraId="320399D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7, stk. 5, fastslår, at den kontrol, der er omhandlet i artikel 7, stk. 3 og 4, anses for at have fundet sted, hvis betalingsmodtagerens identitet er blevet kontrolleret i overensstemmelse med artikel 13 i direktiv (EU) 2015/849, og de oplysninger, der er indhentet ved denne kontrol, er blevet opbevaret i overensstemmelse med artikel 40 i samme direktiv, samt hvis artikel 14, stk. 5, i direktiv (EU) 2015/849 finder anvendelse på betalingsmodtageren.</w:t>
      </w:r>
    </w:p>
    <w:p w14:paraId="4F322A12" w14:textId="77777777" w:rsidR="00694EB0" w:rsidRPr="00882828" w:rsidRDefault="00694EB0" w:rsidP="00694EB0">
      <w:pPr>
        <w:spacing w:line="360" w:lineRule="auto"/>
        <w:rPr>
          <w:rFonts w:ascii="Times New Roman" w:hAnsi="Times New Roman" w:cs="Times New Roman"/>
          <w:sz w:val="24"/>
          <w:szCs w:val="24"/>
        </w:rPr>
      </w:pPr>
    </w:p>
    <w:p w14:paraId="5284C14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efter artikel 7, stk. 5, jf. artikel 7, stk. 3 og 4, er betalingsmodtagerens betalingstjenesteudbyder. Den strafbare handling vil bestå i, at betalingstjenesteudbyderen undlader at foretage den kontrol af betalingsmodtagerens identitet, der følger af artikel 7, stk. 3 eller 4, medmindre kontrollen efter artikel 7, stk. 5, anses for allerede at have fundet sted. Dette vil være tilfældet, hvis betalingsmodtagerens identitet er blevet kontrolleret i overensstemmelse med artikel 13 i direktiv (EU) 2015/849, og de indhentede oplysninger er opbevaret i overensstemmelse med direktivets artikel 40, eller hvis artikel 14, stk. 5, i direktiv (EU) 2015/849 finder anvendelse på betalingsmodtageren. Det foreslås, at overtrædelse af artikel 7, stk. 5, i pengeoverførselsforordningen som udgangspunkt bør medføre bødestraf, men ved gentagne overtrædelser, eller forsætlig overtrædelse, vil der være mulighed for fængselsstraf indtil 2 år.</w:t>
      </w:r>
    </w:p>
    <w:p w14:paraId="49F7278B" w14:textId="77777777" w:rsidR="00694EB0" w:rsidRPr="00882828" w:rsidRDefault="00694EB0" w:rsidP="00694EB0">
      <w:pPr>
        <w:spacing w:line="360" w:lineRule="auto"/>
        <w:rPr>
          <w:rFonts w:ascii="Times New Roman" w:hAnsi="Times New Roman" w:cs="Times New Roman"/>
          <w:sz w:val="24"/>
          <w:szCs w:val="24"/>
        </w:rPr>
      </w:pPr>
    </w:p>
    <w:p w14:paraId="29B4D12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henhold til artikel 8, stk. 1, fastsætter, at betalingsmodtagerens betalingstjenesteudbyder skal fastsætte og indføre effektive risikobaserede procedurer med henblik på at konstatere, om en pengeoverførsel, der mangler de krævede fuldstændige oplysninger om betaler og betalingsmodtager, skal gennemføres, afvises eller suspenderes, og med henblik på at træffe hensigtsmæssige opfølgningsforanstaltninger.</w:t>
      </w:r>
    </w:p>
    <w:p w14:paraId="18C93803" w14:textId="77777777" w:rsidR="00694EB0" w:rsidRPr="00882828" w:rsidRDefault="00694EB0" w:rsidP="00694EB0">
      <w:pPr>
        <w:spacing w:line="360" w:lineRule="auto"/>
        <w:rPr>
          <w:rFonts w:ascii="Times New Roman" w:hAnsi="Times New Roman" w:cs="Times New Roman"/>
          <w:sz w:val="24"/>
          <w:szCs w:val="24"/>
        </w:rPr>
      </w:pPr>
    </w:p>
    <w:p w14:paraId="7A76995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8, stk. 1, fastsætter endvidere, at hvis betalingsmodtagerens betalingstjenesteudbyder ved modtagelsen af en pengeoverførsel får kendskab til, at de krævede oplysninger om betaler eller betalingsmodtager mangler, er ufuldstændige eller ikke er udfyldt med tegn eller input, der er tilladt i overensstemmelse med det pågældende meddelelses- eller betalings- og afviklingssystems konventioner, skal betalingsmodtagerens betalingstjenesteudbyder på et risikobaseret grundlag enten afvise overførslen eller anmode om de krævede oplysninger om betaleren og betalingsmodtageren før eller efter, at betalingsmodtagerens betalingskonto krediteres, eller midlerne stilles til rådighed for betalingsmodtageren. </w:t>
      </w:r>
    </w:p>
    <w:p w14:paraId="32E4842E" w14:textId="77777777" w:rsidR="00694EB0" w:rsidRPr="00882828" w:rsidRDefault="00694EB0" w:rsidP="00694EB0">
      <w:pPr>
        <w:spacing w:line="360" w:lineRule="auto"/>
        <w:rPr>
          <w:rFonts w:ascii="Times New Roman" w:hAnsi="Times New Roman" w:cs="Times New Roman"/>
          <w:sz w:val="24"/>
          <w:szCs w:val="24"/>
        </w:rPr>
      </w:pPr>
    </w:p>
    <w:p w14:paraId="03AFA4C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efter artikel 8, stk. 1, er betalingsmodtagerens betalingstjenesteudbyder. Bestemmelsen pålægger for det første betalingsmodtagerens betalingstjenesteudbyder at fastsætte og indføre effektive risikobaserede procedurer, herunder procedurer baseret på det risikobaserede grundlag som omhandlet i artikel 13 i direktiv (EU) 2015/849, til at konstatere, om en pengeoverførsel, som mangler de krævede fuldstændige oplysninger om betaler og betalingsmodtager, skal gennemføres, afvises eller suspenderes, og til at træffe hensigtsmæssige opfølgningsforanstaltninger. Den strafbare handling vil i den forbindelse bestå i, at betalingsmodtagerens betalingstjenesteudbyder undlader at fastsætte og indføre sådanne effektive risikobaserede procedurer.</w:t>
      </w:r>
    </w:p>
    <w:p w14:paraId="0450B4B2" w14:textId="77777777" w:rsidR="00694EB0" w:rsidRPr="00882828" w:rsidRDefault="00694EB0" w:rsidP="00694EB0">
      <w:pPr>
        <w:spacing w:line="360" w:lineRule="auto"/>
        <w:rPr>
          <w:rFonts w:ascii="Times New Roman" w:hAnsi="Times New Roman" w:cs="Times New Roman"/>
          <w:sz w:val="24"/>
          <w:szCs w:val="24"/>
        </w:rPr>
      </w:pPr>
    </w:p>
    <w:p w14:paraId="2730BAB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Bestemmelsen pålægger for det andet betalingsmodtagerens betalingstjenesteudbyder, hvis denne ved modtagelsen af en pengeoverførsel får kendskab til, at de i artikel 4, stk. 1, litra a-c, artikel 4, stk. 2, litra a og b, artikel 5, stk. 1, eller artikel 6 omhandlede oplysninger om betaler eller betalingsmodtager mangler, er ufuldstændige eller ikke er udfyldt med tegn eller input, der er tilladt i overensstemmelse med det pågældende meddelelses- eller betalings- og afviklingssystems konventioner, som omhandlet i artikel 7, stk. 1, på et risikobaseret grundlag enten at afvise overførslen eller anmode om de krævede oplysninger om betaleren og betalingsmodtageren før eller efter, at betalingsmodtagerens betalingskonto krediteres, eller midlerne stilles til rådighed for betalingsmodtageren. Den strafbare handling vil i den forbindelse bestå i, at betalingsmodtagerens betalingstjenesteudbyder undlader på et risikobaseret grundlag enten at afvise overførslen eller anmode om de krævede oplysninger om betaleren og betalingsmodtageren. Det foreslås, at overtrædelse af artikel 8, stk. 1, i pengeoverførselsforordningen som udgangspunkt bør medføre bødestraf, men ved gentagne overtrædelser, eller forsætlig overtrædelse, vil der være mulighed for fængselsstraf indtil 2 år.</w:t>
      </w:r>
    </w:p>
    <w:p w14:paraId="13773B0C" w14:textId="77777777" w:rsidR="00694EB0" w:rsidRPr="00882828" w:rsidRDefault="00694EB0" w:rsidP="00694EB0">
      <w:pPr>
        <w:spacing w:line="360" w:lineRule="auto"/>
        <w:rPr>
          <w:rFonts w:ascii="Times New Roman" w:hAnsi="Times New Roman" w:cs="Times New Roman"/>
          <w:sz w:val="24"/>
          <w:szCs w:val="24"/>
        </w:rPr>
      </w:pPr>
    </w:p>
    <w:p w14:paraId="602102E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8, stk. 2, fastsætter, at hvis en betalingstjenesteudbyder gentagne gange undlader at levere nogle af de krævede oplysninger om betaleren eller betalingsmodtageren, skal betalingsmodtagerens betalingstjenesteudbyder træffe nærmere angivne foranstaltninger. Foranstaltningerne kan i første omgang omfatte udsendelse af advarsler og fastsættelse af frister, inden der skrides til afvisning, begrænsning eller afbrydelse, hvis de krævede oplysninger fortsat ikke leveres. Betalingsmodtagerens betalingstjenesteudbyder kan også direkte afvise enhver fremtidig pengeoverførsel fra den pågældende betalingstjenesteudbyder eller begrænse eller afbryde sine forretningsforbindelser med denne.</w:t>
      </w:r>
    </w:p>
    <w:p w14:paraId="6D79B6C1" w14:textId="77777777" w:rsidR="00694EB0" w:rsidRPr="00882828" w:rsidRDefault="00694EB0" w:rsidP="00694EB0">
      <w:pPr>
        <w:spacing w:line="360" w:lineRule="auto"/>
        <w:rPr>
          <w:rFonts w:ascii="Times New Roman" w:hAnsi="Times New Roman" w:cs="Times New Roman"/>
          <w:sz w:val="24"/>
          <w:szCs w:val="24"/>
        </w:rPr>
      </w:pPr>
    </w:p>
    <w:p w14:paraId="7164EB98"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8, stk. 2, fastsætter endvidere, at betalingsmodtagerens betalingstjenesteudbyder skal indberette undladelsen og de trufne foranstaltninger til den kompetente myndighed, der har ansvar for at føre tilsyn med, at bestemmelserne om forebyggelse af hvidvask af penge og bekæmpelse af finansiering af terrorisme overholdes.</w:t>
      </w:r>
    </w:p>
    <w:p w14:paraId="47AF0C32" w14:textId="77777777" w:rsidR="00694EB0" w:rsidRPr="00882828" w:rsidRDefault="00694EB0" w:rsidP="00694EB0">
      <w:pPr>
        <w:spacing w:line="360" w:lineRule="auto"/>
        <w:rPr>
          <w:rFonts w:ascii="Times New Roman" w:hAnsi="Times New Roman" w:cs="Times New Roman"/>
          <w:sz w:val="24"/>
          <w:szCs w:val="24"/>
        </w:rPr>
      </w:pPr>
    </w:p>
    <w:p w14:paraId="2173BC3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8, stk. 2, er betalingsmodtagerens betalingstjenesteudbyder og den strafbare handling vil bestå i, at betalingsmodtagerens betalingstjenesteudbyder undlader at træffe de foranstaltninger, der følger af artikel 8, stk. 2, i tilfælde hvor en betalingstjenesteudbyder gentagne gange undlader at levere nogle af de krævede oplysninger om betaleren eller betalingsmodtageren. Den strafbare handling vil endvidere kunne bestå i, at betalingsmodtagerens betalingstjenesteudbyder undlader at indberette undladelsen og de trufne foranstaltninger til den kompetente myndighed. Det foreslås, at overtrædelse af artikel 8, stk. 2, i pengeoverførselsforordningen som udgangspunkt bør medføre bødestraf, men ved gentagne overtrædelser, eller forsætlig overtrædelse, vil der være mulighed for fængselsstraf indtil 2 år.</w:t>
      </w:r>
    </w:p>
    <w:p w14:paraId="70098DCF" w14:textId="77777777" w:rsidR="00694EB0" w:rsidRPr="00882828" w:rsidRDefault="00694EB0" w:rsidP="00694EB0">
      <w:pPr>
        <w:spacing w:line="360" w:lineRule="auto"/>
        <w:rPr>
          <w:rFonts w:ascii="Times New Roman" w:hAnsi="Times New Roman" w:cs="Times New Roman"/>
          <w:sz w:val="24"/>
          <w:szCs w:val="24"/>
        </w:rPr>
      </w:pPr>
    </w:p>
    <w:p w14:paraId="39921EA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I henhold til artikel 10 sikrer mellembetalingsformidlere, at samtlige modtagne oplysninger om betaleren og betalingsmodtageren, der medsendes ved en pengeoverførsel, opbevares sammen med denne overførsel. </w:t>
      </w:r>
    </w:p>
    <w:p w14:paraId="35ADFE00" w14:textId="77777777" w:rsidR="00694EB0" w:rsidRPr="00882828" w:rsidRDefault="00694EB0" w:rsidP="00694EB0">
      <w:pPr>
        <w:spacing w:line="360" w:lineRule="auto"/>
        <w:rPr>
          <w:rFonts w:ascii="Times New Roman" w:hAnsi="Times New Roman" w:cs="Times New Roman"/>
          <w:sz w:val="24"/>
          <w:szCs w:val="24"/>
        </w:rPr>
      </w:pPr>
    </w:p>
    <w:p w14:paraId="6EF614F9"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10, er mellem betalingsformidleren, og den strafbetingede handling er manglende sikring af, at de medsendte oplysninger opbevares med pengeoverførslen. Det foreslås, at overtrædelse af artikel 10 i pengeoverførselsforordningen som udgangspunkt bør medføre bødestraf, men ved gentagne overtrædelser, eller forsætlig overtrædelse, vil der være mulighed for fængselsstraf indtil 2 år.</w:t>
      </w:r>
    </w:p>
    <w:p w14:paraId="718F7F87" w14:textId="77777777" w:rsidR="00694EB0" w:rsidRPr="00882828" w:rsidRDefault="00694EB0" w:rsidP="00694EB0">
      <w:pPr>
        <w:spacing w:line="360" w:lineRule="auto"/>
        <w:rPr>
          <w:rFonts w:ascii="Times New Roman" w:hAnsi="Times New Roman" w:cs="Times New Roman"/>
          <w:sz w:val="24"/>
          <w:szCs w:val="24"/>
        </w:rPr>
      </w:pPr>
    </w:p>
    <w:p w14:paraId="291C4D9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I henhold til artikel 11, stk. 1, indfører mellembetalingsformidleren effektive procedurer til at konstatere, om felterne vedrører oplysninger om betaler og betalingsmodtager i det meddelelses- eller betalings- og afviklingssystem, der an vendes til pengeoverførsel, er udfyldt med tegn ellers input i overensstemmelse med det pågældende systems konventioner. </w:t>
      </w:r>
    </w:p>
    <w:p w14:paraId="3DDA4558" w14:textId="77777777" w:rsidR="00694EB0" w:rsidRPr="00882828" w:rsidRDefault="00694EB0" w:rsidP="00694EB0">
      <w:pPr>
        <w:spacing w:line="360" w:lineRule="auto"/>
        <w:rPr>
          <w:rFonts w:ascii="Times New Roman" w:hAnsi="Times New Roman" w:cs="Times New Roman"/>
          <w:sz w:val="24"/>
          <w:szCs w:val="24"/>
        </w:rPr>
      </w:pPr>
    </w:p>
    <w:p w14:paraId="79A31B7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11, stk. 1, er mellembetalingsformidleren, og den strafbetingede handling er manglende indførelse af effektive procedurer. Det foreslås, at overtrædelse af artikel 11, stk. 1, i pengeoverførselsforordningen som udgangspunkt bør medføre bødestraf, men ved gentagne overtrædelser, eller forsætlig overtrædelse, vil der være mulighed for fængselsstraf indtil 2 år.</w:t>
      </w:r>
    </w:p>
    <w:p w14:paraId="016227B6" w14:textId="77777777" w:rsidR="00694EB0" w:rsidRPr="00882828" w:rsidRDefault="00694EB0" w:rsidP="00694EB0">
      <w:pPr>
        <w:spacing w:line="360" w:lineRule="auto"/>
        <w:rPr>
          <w:rFonts w:ascii="Times New Roman" w:hAnsi="Times New Roman" w:cs="Times New Roman"/>
          <w:sz w:val="24"/>
          <w:szCs w:val="24"/>
        </w:rPr>
      </w:pPr>
    </w:p>
    <w:p w14:paraId="2D9A257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11, stk. 2, fastslår, at mellembetalingsformidleren skal indføre effektive procedurer, herunder hvor det er relevant overvågning efter eller under overførslerne, til at konstatere, hvorvidt oplysninger om betaler eller betalingsmodtager mangler. Det gælder ved pengeoverførsler, hvor betalers og betalingsmodtagers betalingstjenesteudbyder er etableret inden for Unionen, de oplysninger, der er omhandlet i artikel 5, ved pengeoverførsler, hvor betalers eller betalingsmodtagers betalingstjenesteudbyder er etableret uden for Unionen, de oplysninger, der er omhandlet i artikel 4, stk. 1, litra a-c, og artikel 4, stk. 2, litra a og b, og ved batchfiloverførsler, hvor betalers eller betalingsmodtagers betalingstjenesteudbyder er etableret uden for Unionen, de oplysninger, der er omhandlet i artikel 4, stk. 1, litra a-c, og artikel 4, stk. 2, litra a og b, vedrørende denne batchfiloverførse</w:t>
      </w:r>
    </w:p>
    <w:p w14:paraId="0D9D2B58" w14:textId="77777777" w:rsidR="00694EB0" w:rsidRPr="00882828" w:rsidRDefault="00694EB0" w:rsidP="00694EB0">
      <w:pPr>
        <w:spacing w:line="360" w:lineRule="auto"/>
        <w:rPr>
          <w:rFonts w:ascii="Times New Roman" w:hAnsi="Times New Roman" w:cs="Times New Roman"/>
          <w:sz w:val="24"/>
          <w:szCs w:val="24"/>
        </w:rPr>
      </w:pPr>
    </w:p>
    <w:p w14:paraId="61948268"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11, stk. 2, er mellembetalingsformidleren, og den strafbetingede handling er manglende indførelse af effektive procedurer samt manglende overvågning. Det foreslås, at overtrædelse af artikel 11, stk. 2, i pengeoverførselsforordningen som udgangspunkt bør medføre bødestraf, men ved gentagne overtrædelser, eller forsætlig overtrædelse, vil der være mulighed for fængselsstraf indtil 2 år.</w:t>
      </w:r>
    </w:p>
    <w:p w14:paraId="195BB127" w14:textId="77777777" w:rsidR="00694EB0" w:rsidRPr="00882828" w:rsidRDefault="00694EB0" w:rsidP="00694EB0">
      <w:pPr>
        <w:spacing w:line="360" w:lineRule="auto"/>
        <w:rPr>
          <w:rFonts w:ascii="Times New Roman" w:hAnsi="Times New Roman" w:cs="Times New Roman"/>
          <w:sz w:val="24"/>
          <w:szCs w:val="24"/>
        </w:rPr>
      </w:pPr>
    </w:p>
    <w:p w14:paraId="6DA7ED65"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12, stk. 1, fastslår, at mellembetalingsformidleren skal fastsætte og etablere effektive risikobaserede procedurer til at fastslå, om en pengeoverførsel, hvor de krævede oplysninger om betaler og betalingsmodtager mangler, skal gennemføres, afvises eller suspenderes, og til at træffe hensigtsmæssige opfølgningsforanstaltninger.</w:t>
      </w:r>
    </w:p>
    <w:p w14:paraId="5E4B3FCA" w14:textId="77777777" w:rsidR="00694EB0" w:rsidRPr="00882828" w:rsidRDefault="00694EB0" w:rsidP="00694EB0">
      <w:pPr>
        <w:spacing w:line="360" w:lineRule="auto"/>
        <w:rPr>
          <w:rFonts w:ascii="Times New Roman" w:hAnsi="Times New Roman" w:cs="Times New Roman"/>
          <w:sz w:val="24"/>
          <w:szCs w:val="24"/>
        </w:rPr>
      </w:pPr>
    </w:p>
    <w:p w14:paraId="07DB0B38"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12, stk. 1, fastslår endvidere, at hvis mellembetalingsformidleren ved modtagelsen af en pengeoverførsel får kendskab til, at de i artikel 4, stk. 1, litra a-c, artikel 4, stk. 2, litra a og b, artikel 5, stk. 1, eller artikel 6 omhandlede oplysninger mangler eller ikke er udfyldt med tegn eller input i overensstemmelse med det pågældende meddelelses- eller betalings- og afviklingssystems konventioner, som omhandlet i artikel 7, stk. 1, skal mellembetalingsformidleren på et risikobaseret grundlag enten afvise overførslen eller anmode om de krævede oplysninger om betaleren og betalingsmodtageren før eller efter pengeoverførslen.</w:t>
      </w:r>
    </w:p>
    <w:p w14:paraId="794A06DB" w14:textId="77777777" w:rsidR="00694EB0" w:rsidRPr="00882828" w:rsidRDefault="00694EB0" w:rsidP="00694EB0">
      <w:pPr>
        <w:spacing w:line="360" w:lineRule="auto"/>
        <w:rPr>
          <w:rFonts w:ascii="Times New Roman" w:hAnsi="Times New Roman" w:cs="Times New Roman"/>
          <w:sz w:val="24"/>
          <w:szCs w:val="24"/>
        </w:rPr>
      </w:pPr>
    </w:p>
    <w:p w14:paraId="27F6038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12, stk. 1, er mellembetalingsformidleren, og den strafbetingede handling er manglende fastsættelse og indføring af effektive risikobaserede procedurer, samt undladelse af at afvise en pengeoverførsel med mangelfulde oplysninger. Det foreslås, at overtrædelse af artikel 12, stk. 1, i pengeoverførselsforordningen som udgangspunkt bør medføre bødestraf, men ved gentagne overtrædelser, eller forsætlig overtrædelse, vil der være mulighed for fængselsstraf indtil 2 år.</w:t>
      </w:r>
    </w:p>
    <w:p w14:paraId="23F1671F" w14:textId="77777777" w:rsidR="00694EB0" w:rsidRPr="00882828" w:rsidRDefault="00694EB0" w:rsidP="00694EB0">
      <w:pPr>
        <w:spacing w:line="360" w:lineRule="auto"/>
        <w:rPr>
          <w:rFonts w:ascii="Times New Roman" w:hAnsi="Times New Roman" w:cs="Times New Roman"/>
          <w:sz w:val="24"/>
          <w:szCs w:val="24"/>
        </w:rPr>
      </w:pPr>
    </w:p>
    <w:p w14:paraId="7F0DE26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12, stk. 2, fastslår, at hvis en betalingstjenesteudbyder gentagne gange undlader at levere de krævede oplysninger om betaleren eller betalingsmodtageren, skal mellembetalingsformidleren træffe nærmere angivne foranstaltninger. Foranstaltningerne kan i første omgang omfatte udsendelse af advarsler og fastsættelse af frister, inden der skrides til afvisning, begrænsning eller afbrydelse, hvis de krævede oplysninger fortsat ikke leveres. Mellembetalingsformidleren kan også direkte afvise enhver fremtidig pengeoverførsel fra den pågældende betalingstjenesteudbyder eller begrænse eller afbryde sine forretningsforbindelser med denne.</w:t>
      </w:r>
    </w:p>
    <w:p w14:paraId="52B2A670" w14:textId="77777777" w:rsidR="00694EB0" w:rsidRPr="00882828" w:rsidRDefault="00694EB0" w:rsidP="00694EB0">
      <w:pPr>
        <w:spacing w:line="360" w:lineRule="auto"/>
        <w:rPr>
          <w:rFonts w:ascii="Times New Roman" w:hAnsi="Times New Roman" w:cs="Times New Roman"/>
          <w:sz w:val="24"/>
          <w:szCs w:val="24"/>
        </w:rPr>
      </w:pPr>
    </w:p>
    <w:p w14:paraId="2AA7F2A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12, stk. 2, fastslår endvidere, at mellembetalingsformidleren skal indberette undladelsen og de trufne foranstaltninger til den kompetente myndighed, der har ansvar for at føre tilsyn med, at bestemmelserne om forebyggelse af hvidvask af penge og bekæmpelse af finansiering af terrorisme overholdes.</w:t>
      </w:r>
    </w:p>
    <w:p w14:paraId="0813B919" w14:textId="77777777" w:rsidR="00694EB0" w:rsidRPr="00882828" w:rsidRDefault="00694EB0" w:rsidP="00694EB0">
      <w:pPr>
        <w:spacing w:line="360" w:lineRule="auto"/>
        <w:rPr>
          <w:rFonts w:ascii="Times New Roman" w:hAnsi="Times New Roman" w:cs="Times New Roman"/>
          <w:sz w:val="24"/>
          <w:szCs w:val="24"/>
        </w:rPr>
      </w:pPr>
    </w:p>
    <w:p w14:paraId="77B0A6C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efter artikel 12, stk. 2, er mellembetalingsformidleren. Den strafbare handling vil bestå i, at mellembetalingsformidleren undlader at træffe de foranstaltninger, der følger af artikel 12, stk. 2, i tilfælde hvor en betalingstjenesteudbyder gentagne gange undlader at levere de krævede oplysninger om betaleren eller betalingsmodtageren. Den strafbare handling vil endvidere kunne bestå i, at mellembetalingsformidleren undlader at indberette undladelsen og de trufne foranstaltninger til den kompetente myndighed. Det foreslås, at overtrædelse af artikel 12, stk. 2, i pengeoverførselsforordningen som udgangspunkt bør medføre bødestraf, men ved gentagne overtrædelser, eller forsætlig overtrædelse, vil der være mulighed for fængselsstraf indtil 2 år.</w:t>
      </w:r>
    </w:p>
    <w:p w14:paraId="4EFC2BEA" w14:textId="77777777" w:rsidR="00694EB0" w:rsidRPr="00882828" w:rsidRDefault="00694EB0" w:rsidP="00694EB0">
      <w:pPr>
        <w:spacing w:line="360" w:lineRule="auto"/>
        <w:rPr>
          <w:rFonts w:ascii="Times New Roman" w:hAnsi="Times New Roman" w:cs="Times New Roman"/>
          <w:sz w:val="24"/>
          <w:szCs w:val="24"/>
        </w:rPr>
      </w:pPr>
    </w:p>
    <w:p w14:paraId="3B2D8C3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14, stk. 1, fastslår, at ordregiverens udbyder af kryptoaktivtjenester skal sikre, at der ved overførsler af kryptoaktiver medsendes ordregiverens navn, ordregiverens distributed ledger-adresse, ordregiverens kryptoaktivkontonummer, ordregiverens adresse, herunder landets navn, officielle personlige dokumentnummer og kunde-ID-nummer eller alternativt ordregiverens fødselsdato og -sted, og ordregiverens aktuelle LEI.</w:t>
      </w:r>
    </w:p>
    <w:p w14:paraId="5D6A175D" w14:textId="77777777" w:rsidR="00694EB0" w:rsidRPr="00882828" w:rsidRDefault="00694EB0" w:rsidP="00694EB0">
      <w:pPr>
        <w:spacing w:line="360" w:lineRule="auto"/>
        <w:rPr>
          <w:rFonts w:ascii="Times New Roman" w:hAnsi="Times New Roman" w:cs="Times New Roman"/>
          <w:sz w:val="24"/>
          <w:szCs w:val="24"/>
        </w:rPr>
      </w:pPr>
    </w:p>
    <w:p w14:paraId="4A0F39C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bemærkes dog, at artikel 15 fastslår, at ved batchfiloverførsler fra en enkelt ordregiver finder artikel 14, stk. 1, ikke anvendelse på de enkelte overførsler, der er samlet heri, såfremt batchfilen indeholder de oplysninger, der er omhandlet i artikel 14, stk. 1, 2 og 3, oplysningerne er blevet kontrolleret i overensstemmelse med artikel 14, stk. 6 og 7, og de enkelte overførsler indeholder ordregivers distributed ledger-adresse, hvis artikel 14, stk. 2, litra b, finder anvendelse, ordregivers kryptoaktivkontonummer, hvis artikel 14, stk. 2, litra c, finder anvendelse, eller den entydige transaktionsidentifikator, hvis artikel 14, stk. 3, finder anvendelse.</w:t>
      </w:r>
    </w:p>
    <w:p w14:paraId="45277B54" w14:textId="77777777" w:rsidR="00694EB0" w:rsidRPr="00882828" w:rsidRDefault="00694EB0" w:rsidP="00694EB0">
      <w:pPr>
        <w:spacing w:line="360" w:lineRule="auto"/>
        <w:rPr>
          <w:rFonts w:ascii="Times New Roman" w:hAnsi="Times New Roman" w:cs="Times New Roman"/>
          <w:sz w:val="24"/>
          <w:szCs w:val="24"/>
        </w:rPr>
      </w:pPr>
    </w:p>
    <w:p w14:paraId="16B313A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14, stk. 1, er ordregiverens udbyder af kryptoaktivtjenester, og den strafbetingede handling opstår, såfremt oplysningerne om ordregiveren ikke sikres medsendt. Det foreslås, at overtrædelse af artikel 14, stk. 1, i pengeoverførselsforordningen som udgangspunkt bør medføre bødestraf, men ved gentagne overtrædelser, eller forsætlig overtrædelse, vil der være mulighed for fængselsstraf indtil 2 år.</w:t>
      </w:r>
    </w:p>
    <w:p w14:paraId="6F064BE7" w14:textId="77777777" w:rsidR="00694EB0" w:rsidRPr="00882828" w:rsidRDefault="00694EB0" w:rsidP="00694EB0">
      <w:pPr>
        <w:spacing w:line="360" w:lineRule="auto"/>
        <w:rPr>
          <w:rFonts w:ascii="Times New Roman" w:hAnsi="Times New Roman" w:cs="Times New Roman"/>
          <w:sz w:val="24"/>
          <w:szCs w:val="24"/>
        </w:rPr>
      </w:pPr>
    </w:p>
    <w:p w14:paraId="5F9AD36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14, stk. 2, fastslår, at ordregiverens udbyder af kryptoaktivtjenester skal sikre, at der ved overførsel af kryptoaktiver medsendes oplysninger om ordremodtagerens navn, ordremodtagerens distributed ledger-adresse, ordremodtagerens kryptoaktivkontonummer og ordremodtagers aktuelle LEI.</w:t>
      </w:r>
    </w:p>
    <w:p w14:paraId="51AC10D2" w14:textId="77777777" w:rsidR="00694EB0" w:rsidRPr="00882828" w:rsidRDefault="00694EB0" w:rsidP="00694EB0">
      <w:pPr>
        <w:spacing w:line="360" w:lineRule="auto"/>
        <w:rPr>
          <w:rFonts w:ascii="Times New Roman" w:hAnsi="Times New Roman" w:cs="Times New Roman"/>
          <w:sz w:val="24"/>
          <w:szCs w:val="24"/>
        </w:rPr>
      </w:pPr>
    </w:p>
    <w:p w14:paraId="510E274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14, stk. 2, er ordregiverens udbyder af kryptoaktivtjenester, og den strafbetingede handling opstår, såfremt oplysningerne om ordremodtageren ikke sikres medsendt. Det foreslås, at overtrædelse af artikel 14, stk. 2, i pengeoverførselsforordningen som udgangspunkt bør medføre bødestraf, men ved gentagne overtrædelser, eller forsætlig overtrædelse, vil der være mulighed for fængselsstraf indtil 2 år.</w:t>
      </w:r>
    </w:p>
    <w:p w14:paraId="270674BD" w14:textId="77777777" w:rsidR="00694EB0" w:rsidRPr="00882828" w:rsidRDefault="00694EB0" w:rsidP="00694EB0">
      <w:pPr>
        <w:spacing w:line="360" w:lineRule="auto"/>
        <w:rPr>
          <w:rFonts w:ascii="Times New Roman" w:hAnsi="Times New Roman" w:cs="Times New Roman"/>
          <w:sz w:val="24"/>
          <w:szCs w:val="24"/>
        </w:rPr>
      </w:pPr>
    </w:p>
    <w:p w14:paraId="3DB9403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14, stk. 3, fastsætter, at ordregiverens udbyder af kryptoaktivtjenester sørger for, at overførsler af kryptoaktiver, som ikke registreres på et netværk, der anvender DLT eller lignende teknologi, og som ikke er foretaget til eller fra en kryptoaktivkonto, medsendes en entydig transaktionsidentifikator.</w:t>
      </w:r>
    </w:p>
    <w:p w14:paraId="06E24C3D" w14:textId="77777777" w:rsidR="00694EB0" w:rsidRPr="00882828" w:rsidRDefault="00694EB0" w:rsidP="00694EB0">
      <w:pPr>
        <w:spacing w:line="360" w:lineRule="auto"/>
        <w:rPr>
          <w:rFonts w:ascii="Times New Roman" w:hAnsi="Times New Roman" w:cs="Times New Roman"/>
          <w:sz w:val="24"/>
          <w:szCs w:val="24"/>
        </w:rPr>
      </w:pPr>
    </w:p>
    <w:p w14:paraId="32937F1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Ved entydig transaktionsidentifikator menes en kombination af bogstaver, tal eller symboler, fastlagt af betalingstjenesteudbyderen i overensstemmelse med protokollerne for de betalings- og afviklingssystemer eller meddelelsessystemer, der er fastlagt af en udbyder af kryptoaktivtjenester, der gør det muligt at spore overførslen af kryptoaktiver tilbage til ordregiveren og ordremodtageren.</w:t>
      </w:r>
    </w:p>
    <w:p w14:paraId="5F7FD219" w14:textId="77777777" w:rsidR="00694EB0" w:rsidRPr="00882828" w:rsidRDefault="00694EB0" w:rsidP="00694EB0">
      <w:pPr>
        <w:spacing w:line="360" w:lineRule="auto"/>
        <w:rPr>
          <w:rFonts w:ascii="Times New Roman" w:hAnsi="Times New Roman" w:cs="Times New Roman"/>
          <w:sz w:val="24"/>
          <w:szCs w:val="24"/>
        </w:rPr>
      </w:pPr>
    </w:p>
    <w:p w14:paraId="45ABF82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14, stk. 3, er ordregiverens udbyder af kryptoaktivtjenester, og den strafbetingede handling er, at ordregiverens udbyder af kryptoaktivtjenester ikke sørger for at overførslen ledsages af en entydig transaktionsidentifikator. Det foreslås, at overtrædelse af artikel 14, stk. 3, i pengeoverførselsforordningen som udgangspunkt bør medføre bødestraf, men ved gentagne overtrædelser, eller forsætlig overtrædelse, vil der kunne straffes med fængsel indtil 2 år.</w:t>
      </w:r>
    </w:p>
    <w:p w14:paraId="715AC4CE" w14:textId="77777777" w:rsidR="00694EB0" w:rsidRPr="00882828" w:rsidRDefault="00694EB0" w:rsidP="00694EB0">
      <w:pPr>
        <w:spacing w:line="360" w:lineRule="auto"/>
        <w:rPr>
          <w:rFonts w:ascii="Times New Roman" w:hAnsi="Times New Roman" w:cs="Times New Roman"/>
          <w:sz w:val="24"/>
          <w:szCs w:val="24"/>
        </w:rPr>
      </w:pPr>
    </w:p>
    <w:p w14:paraId="423D033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14, stk. 4, fastslår, at ordregiverens udbyder af kryptoaktivtjenester skal fremsende de i stk. 1 og 2 omhandlede oplysninger forud for, eller samtidigt eller parallelt med overførslen af kryptoaktiver og i overensstemmelse med </w:t>
      </w:r>
      <w:hyperlink r:id="rId34" w:history="1">
        <w:r w:rsidRPr="00882828">
          <w:rPr>
            <w:rStyle w:val="Hyperlink"/>
            <w:rFonts w:ascii="Times New Roman" w:hAnsi="Times New Roman" w:cs="Times New Roman"/>
            <w:color w:val="auto"/>
            <w:sz w:val="24"/>
            <w:szCs w:val="24"/>
            <w:u w:val="none"/>
          </w:rPr>
          <w:t>databeskyttelsesforordningen</w:t>
        </w:r>
      </w:hyperlink>
      <w:r w:rsidRPr="00882828">
        <w:rPr>
          <w:rFonts w:ascii="Times New Roman" w:hAnsi="Times New Roman" w:cs="Times New Roman"/>
          <w:sz w:val="24"/>
          <w:szCs w:val="24"/>
        </w:rPr>
        <w:t>.</w:t>
      </w:r>
    </w:p>
    <w:p w14:paraId="39B1B398" w14:textId="77777777" w:rsidR="00694EB0" w:rsidRPr="00882828" w:rsidRDefault="00694EB0" w:rsidP="00694EB0">
      <w:pPr>
        <w:spacing w:line="360" w:lineRule="auto"/>
        <w:rPr>
          <w:rFonts w:ascii="Times New Roman" w:hAnsi="Times New Roman" w:cs="Times New Roman"/>
          <w:sz w:val="24"/>
          <w:szCs w:val="24"/>
        </w:rPr>
      </w:pPr>
    </w:p>
    <w:p w14:paraId="71439AC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14, stk. 4, er ordregiveren udbyder af kryptoaktivtjenester, og den strafbetingede handling er ikke at fremsende de i stk. 1 og 2, omhandlede oplysninger forud for, eller samtidigt eller parallelt med overførslen af kryptoaktiver. Det foreslås, at overtrædelse af artikel 14, stk. 4, i pengeoverførselsforordningen som udgangspunkt bør medføre bødestraf, men ved gentagne overtrædelser, eller forsætlig overtrædelse, vil der kunne straffes med fængsel indtil 2 år.</w:t>
      </w:r>
    </w:p>
    <w:p w14:paraId="49965003" w14:textId="77777777" w:rsidR="00694EB0" w:rsidRPr="00882828" w:rsidRDefault="00694EB0" w:rsidP="00694EB0">
      <w:pPr>
        <w:spacing w:line="360" w:lineRule="auto"/>
        <w:rPr>
          <w:rFonts w:ascii="Times New Roman" w:hAnsi="Times New Roman" w:cs="Times New Roman"/>
          <w:sz w:val="24"/>
          <w:szCs w:val="24"/>
        </w:rPr>
      </w:pPr>
    </w:p>
    <w:p w14:paraId="26885D15"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14, stk. 5, fastslår, at ordregiverens udbyder af kryptoaktivtjenester skal indhente og opbevare de i stk. 1 og 2 omhandlede oplysninger og sikre, at overførslen af kryptoaktiver kan identificeres individuelt. Endvidere skal ordregiverens udbyder af kryptoaktivtjenester i tilfælde af en overførsel af et beløb, der overstiger 1000 EUR eller et tilsvarende beløb i danske kroner, til en selvhostet adresse, træffe passende foranstaltninger til at vurdere, om denne adresse ejes eller kontrolleres af ordregiveren.</w:t>
      </w:r>
    </w:p>
    <w:p w14:paraId="5867A7DF" w14:textId="77777777" w:rsidR="00694EB0" w:rsidRPr="00882828" w:rsidRDefault="00694EB0" w:rsidP="00694EB0">
      <w:pPr>
        <w:spacing w:line="360" w:lineRule="auto"/>
        <w:rPr>
          <w:rFonts w:ascii="Times New Roman" w:hAnsi="Times New Roman" w:cs="Times New Roman"/>
          <w:sz w:val="24"/>
          <w:szCs w:val="24"/>
        </w:rPr>
      </w:pPr>
    </w:p>
    <w:p w14:paraId="1BA00D8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14, stk. 5, er ordregiveren udbyder af kryptoaktivtjenester, og den strafbetingede handling er ikke at indhente og opbevare de i stk. 1 og 2, omhandlede oplysninger og sikrer, at overførslen af kryptoaktiver kan identificeres individuelt. Det foreslås, at overtrædelse af artikel 14, stk. 5, i pengeoverførselsforordningen som udgangspunkt bør medføre bødestraf, men ved gentagne overtrædelser, eller forsætlig overtrædelse, vil der kunne straffes med fængsel indtil 2 år.</w:t>
      </w:r>
    </w:p>
    <w:p w14:paraId="66339CA7" w14:textId="77777777" w:rsidR="00694EB0" w:rsidRPr="00882828" w:rsidRDefault="00694EB0" w:rsidP="00694EB0">
      <w:pPr>
        <w:spacing w:line="360" w:lineRule="auto"/>
        <w:rPr>
          <w:rFonts w:ascii="Times New Roman" w:hAnsi="Times New Roman" w:cs="Times New Roman"/>
          <w:sz w:val="24"/>
          <w:szCs w:val="24"/>
        </w:rPr>
      </w:pPr>
    </w:p>
    <w:p w14:paraId="650D9DB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14, stk. 6, fastslår, at før kryptoaktiverne overføres, kontrollerer ordregiverens udbyder af kryptoaktivtjenester på grundlag af dokumenter, data eller oplysninger fra en pålidelig og uafhængig kilde, at de i artikel 14, stk. 1, omhandlede oplysninger er korrekte.</w:t>
      </w:r>
    </w:p>
    <w:p w14:paraId="56694B27" w14:textId="77777777" w:rsidR="00694EB0" w:rsidRPr="00882828" w:rsidRDefault="00694EB0" w:rsidP="00694EB0">
      <w:pPr>
        <w:spacing w:line="360" w:lineRule="auto"/>
        <w:rPr>
          <w:rFonts w:ascii="Times New Roman" w:hAnsi="Times New Roman" w:cs="Times New Roman"/>
          <w:sz w:val="24"/>
          <w:szCs w:val="24"/>
        </w:rPr>
      </w:pPr>
    </w:p>
    <w:p w14:paraId="2074FBC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14, stk. 6, er ordregiverens udbyder af kryptoaktivtjenester, og den strafbetingede handling er, at ordregiverens udbyder af kryptoaktivtjenester ikke har kontrolleret om de medsendte oplysninger er korrekte på baggrund af en pålidelig og uafhængig kilde. Det foreslås, at overtrædelse af artikel 14, stk. 6, i pengeoverførselsforordningen som udgangspunkt bør medføre bødestraf, men ved gentagne overtrædelser, eller forsætlig overtrædelse, vil der kunne straffes med fængsel indtil 2 år.</w:t>
      </w:r>
    </w:p>
    <w:p w14:paraId="42EC98C7" w14:textId="77777777" w:rsidR="00694EB0" w:rsidRPr="00882828" w:rsidRDefault="00694EB0" w:rsidP="00694EB0">
      <w:pPr>
        <w:spacing w:line="360" w:lineRule="auto"/>
        <w:rPr>
          <w:rFonts w:ascii="Times New Roman" w:hAnsi="Times New Roman" w:cs="Times New Roman"/>
          <w:sz w:val="24"/>
          <w:szCs w:val="24"/>
        </w:rPr>
      </w:pPr>
    </w:p>
    <w:p w14:paraId="09ADD1B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14, stk. 7, fastsætter, at den kontrol af ordregiverens identitet, der er omhandlet i artikel 14, stk. 6, anses for at have fundet sted, hvis ordregiverens identitet allerede er blevet kontrolleret efter artikel 13 i direktiv (EU) 2015/849, og oplysningerne fra kontrollen er opbevaret efter direktivets artikel 40, eller hvis artikel 14, stk. 5, i direktiv (EU) 2015/849 finder anvendelse på ordregiveren.</w:t>
      </w:r>
    </w:p>
    <w:p w14:paraId="6C529DD6" w14:textId="77777777" w:rsidR="00694EB0" w:rsidRPr="00882828" w:rsidRDefault="00694EB0" w:rsidP="00694EB0">
      <w:pPr>
        <w:spacing w:line="360" w:lineRule="auto"/>
        <w:rPr>
          <w:rFonts w:ascii="Times New Roman" w:hAnsi="Times New Roman" w:cs="Times New Roman"/>
          <w:sz w:val="24"/>
          <w:szCs w:val="24"/>
        </w:rPr>
      </w:pPr>
    </w:p>
    <w:p w14:paraId="387E0478"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14, stk. 7, er ordregiverens udbyder af kryptoaktivtjenester, og den strafbetingede handling er manglende kontrol. Det foreslås, at overtrædelse af artikel 14, stk. 7, i pengeoverførselsforordningen som udgangspunkt bør medføre bødestraf, men ved gentagne overtrædelser, eller forsætlig overtrædelse, vil der kunne straffes med fængsel indtil 2 år.</w:t>
      </w:r>
    </w:p>
    <w:p w14:paraId="557E2E75" w14:textId="77777777" w:rsidR="00694EB0" w:rsidRPr="00882828" w:rsidRDefault="00694EB0" w:rsidP="00694EB0">
      <w:pPr>
        <w:spacing w:line="360" w:lineRule="auto"/>
        <w:rPr>
          <w:rFonts w:ascii="Times New Roman" w:hAnsi="Times New Roman" w:cs="Times New Roman"/>
          <w:sz w:val="24"/>
          <w:szCs w:val="24"/>
        </w:rPr>
      </w:pPr>
    </w:p>
    <w:p w14:paraId="64C9278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14, stk. 8, fastslår, at ordregiverens udbyder af kryptoaktivtjenester ikke må tillade foranledning eller gennemførelse af en overførsel af kryptoaktiver, før denne har sikret sig, at den er i fuld overensstemmelse med nærværende artikel.</w:t>
      </w:r>
    </w:p>
    <w:p w14:paraId="13FF3F64" w14:textId="77777777" w:rsidR="00694EB0" w:rsidRPr="00882828" w:rsidRDefault="00694EB0" w:rsidP="00694EB0">
      <w:pPr>
        <w:spacing w:line="360" w:lineRule="auto"/>
        <w:rPr>
          <w:rFonts w:ascii="Times New Roman" w:hAnsi="Times New Roman" w:cs="Times New Roman"/>
          <w:sz w:val="24"/>
          <w:szCs w:val="24"/>
        </w:rPr>
      </w:pPr>
    </w:p>
    <w:p w14:paraId="422F99C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14, stk. 8, er ordregiverens udbyder af kryptoaktivtjenester, og den strafbetingede handling sker ved gennemførelse af en overførsel af kryptoaktiv, før udbyderen af kryptoaktivtjenester har sikret sig fuld overensstemmelse med artikel 14. Det foreslås, at overtrædelse af artikel 14, stk. 8, i pengeoverførselsforordningen som udgangspunkt bør medføre bødestraf, men ved gentagne overtrædelser, eller forsætlig overtrædelse, vil der kunne straffes med fængsel indtil 2 år.</w:t>
      </w:r>
    </w:p>
    <w:p w14:paraId="372B0E7B" w14:textId="77777777" w:rsidR="00694EB0" w:rsidRPr="00882828" w:rsidRDefault="00694EB0" w:rsidP="00694EB0">
      <w:pPr>
        <w:spacing w:line="360" w:lineRule="auto"/>
        <w:rPr>
          <w:rFonts w:ascii="Times New Roman" w:hAnsi="Times New Roman" w:cs="Times New Roman"/>
          <w:sz w:val="24"/>
          <w:szCs w:val="24"/>
        </w:rPr>
      </w:pPr>
    </w:p>
    <w:p w14:paraId="09D75E7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16, stk. 1, fastslår, at ordremodtagerens udbyder af kryptoaktivtjenester skal indføre effektive procedurer, herunder hvor det er relevant overvågning efter eller under overførslerne, til at konstatere, om de i artikel 14, stk. 1 og 2, omhandlede oplysninger om ordregiveren og ordremodtageren indgår i eller følger efter overførslen eller batchfiloverførslen.</w:t>
      </w:r>
    </w:p>
    <w:p w14:paraId="264F2C7C" w14:textId="77777777" w:rsidR="00694EB0" w:rsidRPr="00882828" w:rsidRDefault="00694EB0" w:rsidP="00694EB0">
      <w:pPr>
        <w:spacing w:line="360" w:lineRule="auto"/>
        <w:rPr>
          <w:rFonts w:ascii="Times New Roman" w:hAnsi="Times New Roman" w:cs="Times New Roman"/>
          <w:sz w:val="24"/>
          <w:szCs w:val="24"/>
        </w:rPr>
      </w:pPr>
    </w:p>
    <w:p w14:paraId="466A483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16, stk. 1, er ordremodtagerens udbyder af kryptoaktivtjenester, og den strafbetingede handling sker ved manglende indførelse af effektive procedurer. Det foreslås, at overtrædelse af artikel 16, stk. 1, i pengeoverførselsforordningen som udgangspunkt bør medføre bødestraf, men ved gentagne overtrædelser, eller forsætlig overtrædelse, vil der kunne straffes med fængsel indtil 2 år.</w:t>
      </w:r>
    </w:p>
    <w:p w14:paraId="76607403" w14:textId="77777777" w:rsidR="00694EB0" w:rsidRPr="00882828" w:rsidRDefault="00694EB0" w:rsidP="00694EB0">
      <w:pPr>
        <w:spacing w:line="360" w:lineRule="auto"/>
        <w:rPr>
          <w:rFonts w:ascii="Times New Roman" w:hAnsi="Times New Roman" w:cs="Times New Roman"/>
          <w:sz w:val="24"/>
          <w:szCs w:val="24"/>
        </w:rPr>
      </w:pPr>
    </w:p>
    <w:p w14:paraId="6D4F8CB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16, stk. 2, fastlås, at ordremodtagerens udbyder af kryptoaktivtjenester skal indhente og opbevare de i artikel 14, stk. 1 og 2, omhandlede oplysninger og sikre, at overførslen af kryptoaktiver kan identificeres individuelt. Endvidere skal ordremodtagerens udbyder af kryptoaktivtjenester i tilfælde af en overførsel af et beløb, der overstiger 1.000 EUR eller det tilsvarende beløb i danske kroner, fra en selvhostet adresse, træffe passende foranstaltninger til at vurdere, om denne adresse ejes eller kontrolleres af ordremodtageren.</w:t>
      </w:r>
    </w:p>
    <w:p w14:paraId="1FD69C4E" w14:textId="77777777" w:rsidR="00694EB0" w:rsidRPr="00882828" w:rsidRDefault="00694EB0" w:rsidP="00694EB0">
      <w:pPr>
        <w:spacing w:line="360" w:lineRule="auto"/>
        <w:rPr>
          <w:rFonts w:ascii="Times New Roman" w:hAnsi="Times New Roman" w:cs="Times New Roman"/>
          <w:sz w:val="24"/>
          <w:szCs w:val="24"/>
        </w:rPr>
      </w:pPr>
    </w:p>
    <w:p w14:paraId="073722F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16, stk. 2, er ordremodtagerens udbyder af kryptoaktivtjenester, og den strafbetingede handling sker ved ikke at indhente og opbevare de i artikel 14, stk. 1 og 2, omhandlede oplysninger og sikre, at overførslen af kryptoaktiver kan identificeres individuelt. Det foreslås, at overtrædelse af artikel 16, stk. 2, i pengeoverførselsforordningen som udgangspunkt bør medføre bødestraf, men ved gentagne overtrædelser, eller forsætlig overtrædelse, vil der kunne straffes med fængsel indtil 2 år.</w:t>
      </w:r>
    </w:p>
    <w:p w14:paraId="69464F20" w14:textId="77777777" w:rsidR="00694EB0" w:rsidRPr="00882828" w:rsidRDefault="00694EB0" w:rsidP="00694EB0">
      <w:pPr>
        <w:spacing w:line="360" w:lineRule="auto"/>
        <w:rPr>
          <w:rFonts w:ascii="Times New Roman" w:hAnsi="Times New Roman" w:cs="Times New Roman"/>
          <w:sz w:val="24"/>
          <w:szCs w:val="24"/>
        </w:rPr>
      </w:pPr>
    </w:p>
    <w:p w14:paraId="49566B3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16, stk. 3, fastslår, at kryptoaktiverne ikke må stilles til rådighed for ordremodtageren, før ordremodtagerens udbyder af kryptoaktivtjenester, på grundlag af dokumenter, data eller oplysninger fra en pålidelig og uafhængig kilde, har kontrolleret, at de i artikel 14, stk. 2, omhandlede oplysninger om ordremodtageren er korrekte.</w:t>
      </w:r>
    </w:p>
    <w:p w14:paraId="135B3E93" w14:textId="77777777" w:rsidR="00694EB0" w:rsidRPr="00882828" w:rsidRDefault="00694EB0" w:rsidP="00694EB0">
      <w:pPr>
        <w:spacing w:line="360" w:lineRule="auto"/>
        <w:rPr>
          <w:rFonts w:ascii="Times New Roman" w:hAnsi="Times New Roman" w:cs="Times New Roman"/>
          <w:sz w:val="24"/>
          <w:szCs w:val="24"/>
        </w:rPr>
      </w:pPr>
    </w:p>
    <w:p w14:paraId="2E7C45F9"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16, stk. 3, er ordremodtagerens udbyder af kryptoaktivtjenester, og den strafbetingede handling er, at ordremodtagerens udbyder af kryptoaktivtjenester ikke har kontrolleret om de medsendte oplysninger er korrekte på baggrund af en pålidelig og uafhængig kilde. Det foreslås, at overtrædelse af artikel 16, stk. 3, i pengeoverførselsforordningen som udgangspunkt bør medføre bødestraf, men ved gentagne overtrædelser, eller forsætlig overtrædelse, vil der kunne straffes med fængsel indtil 2 år.</w:t>
      </w:r>
    </w:p>
    <w:p w14:paraId="7095409D" w14:textId="77777777" w:rsidR="00694EB0" w:rsidRPr="00882828" w:rsidRDefault="00694EB0" w:rsidP="00694EB0">
      <w:pPr>
        <w:spacing w:line="360" w:lineRule="auto"/>
        <w:rPr>
          <w:rFonts w:ascii="Times New Roman" w:hAnsi="Times New Roman" w:cs="Times New Roman"/>
          <w:sz w:val="24"/>
          <w:szCs w:val="24"/>
        </w:rPr>
      </w:pPr>
    </w:p>
    <w:p w14:paraId="28DCBB1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16, stk. 4, fastsætter, at den kontrol af ordremodtagerens identitet, der er omhandlet i artikel 16, stk. 2 og 3, anses for at have fundet sted, hvis ordremodtagerens identitet allerede er blevet kontrolleret i overensstemmelse med artikel 13 i direktiv (EU) 2015/849, og oplysningerne fra denne kontrol er opbevaret i overensstemmelse med direktivets artikel 40, eller hvis artikel 14, stk. 5, i direktiv (EU) 2015/849 finder anvendelse på modtageren.</w:t>
      </w:r>
    </w:p>
    <w:p w14:paraId="370295DC" w14:textId="77777777" w:rsidR="00694EB0" w:rsidRPr="00882828" w:rsidRDefault="00694EB0" w:rsidP="00694EB0">
      <w:pPr>
        <w:spacing w:line="360" w:lineRule="auto"/>
        <w:rPr>
          <w:rFonts w:ascii="Times New Roman" w:hAnsi="Times New Roman" w:cs="Times New Roman"/>
          <w:sz w:val="24"/>
          <w:szCs w:val="24"/>
        </w:rPr>
      </w:pPr>
    </w:p>
    <w:p w14:paraId="793BE259"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16, stk. 4, er ordremodtagerens udbyder af kryptoaktivtjenester, og den strafbetingede handling er manglende kontrol. Det foreslås, at overtrædelse af artikel 16, stk. 4, i pengeoverførselsforordningen som udgangspunkt bør medføre bødestraf, men ved gentagne overtrædelser, eller forsætlig overtrædelse, vil der kunne straffes med fængsel indtil 2 år.</w:t>
      </w:r>
    </w:p>
    <w:p w14:paraId="096770D6" w14:textId="77777777" w:rsidR="00694EB0" w:rsidRPr="00882828" w:rsidRDefault="00694EB0" w:rsidP="00694EB0">
      <w:pPr>
        <w:spacing w:line="360" w:lineRule="auto"/>
        <w:rPr>
          <w:rFonts w:ascii="Times New Roman" w:hAnsi="Times New Roman" w:cs="Times New Roman"/>
          <w:sz w:val="24"/>
          <w:szCs w:val="24"/>
        </w:rPr>
      </w:pPr>
    </w:p>
    <w:p w14:paraId="606088F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17, stk. 1, fastslår, at ordremodtagerens udbyder af kryptoaktivtjenester skal indføre effektive risikobaserede procedurer til at konstatere, hvorvidt en overførsel af kryptoaktiver, som mangler de krævede fuldstændige oplysninger om ordregiveren og ordremodtageren, skal gennemføres, afvises, sendes tilbage eller suspenderes, og til at træffe hensigtsmæssige opfølgningsforanstaltninger.</w:t>
      </w:r>
    </w:p>
    <w:p w14:paraId="727494DF" w14:textId="77777777" w:rsidR="00694EB0" w:rsidRPr="00882828" w:rsidRDefault="00694EB0" w:rsidP="00694EB0">
      <w:pPr>
        <w:spacing w:line="360" w:lineRule="auto"/>
        <w:rPr>
          <w:rFonts w:ascii="Times New Roman" w:hAnsi="Times New Roman" w:cs="Times New Roman"/>
          <w:sz w:val="24"/>
          <w:szCs w:val="24"/>
        </w:rPr>
      </w:pPr>
    </w:p>
    <w:p w14:paraId="7D8020F9"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17, stk. 1, er ordremodtagerens udbyder af kryptoaktivtjenester, og den strafbetingede handling er manglende procedurer. Det foreslås, at overtrædelse af artikel 17, stk. 1, i pengeoverførselsforordningen som udgangspunkt bør medføre bødestraf, men ved gentagne overtrædelser, eller forsætlig overtrædelse, vil der kunne straffes med fængsel indtil 2 år.</w:t>
      </w:r>
    </w:p>
    <w:p w14:paraId="377DFB4D" w14:textId="77777777" w:rsidR="00694EB0" w:rsidRPr="00882828" w:rsidRDefault="00694EB0" w:rsidP="00694EB0">
      <w:pPr>
        <w:spacing w:line="360" w:lineRule="auto"/>
        <w:rPr>
          <w:rFonts w:ascii="Times New Roman" w:hAnsi="Times New Roman" w:cs="Times New Roman"/>
          <w:sz w:val="24"/>
          <w:szCs w:val="24"/>
        </w:rPr>
      </w:pPr>
    </w:p>
    <w:p w14:paraId="771E82C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17, stk. 2, fastslår, at hvis en udbyder af kryptoaktivtjenester gentagne gange undlader at forelægge de påkrævede oplysninger om ordregiveren eller ordremodtageren, skal ordremodtagerens udbyder af kryptoaktivtjenester træffe passende foranstaltninger som udsendelse af advarsler eller fastsætte frister, inden der skrides til afvisning, begrænsning eller afbrydelse eller direkte afvise enhver fremtidig overførsel af kryptoaktiver til eller fra denne udbyder af kryptoaktivtjenester eller begrænse eller afbryde forretningsforbindelsen med denne udbyder af kryptoaktivtjenester.</w:t>
      </w:r>
    </w:p>
    <w:p w14:paraId="688BE2E8" w14:textId="77777777" w:rsidR="00694EB0" w:rsidRPr="00882828" w:rsidRDefault="00694EB0" w:rsidP="00694EB0">
      <w:pPr>
        <w:spacing w:line="360" w:lineRule="auto"/>
        <w:rPr>
          <w:rFonts w:ascii="Times New Roman" w:hAnsi="Times New Roman" w:cs="Times New Roman"/>
          <w:sz w:val="24"/>
          <w:szCs w:val="24"/>
        </w:rPr>
      </w:pPr>
    </w:p>
    <w:p w14:paraId="598CDD95"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Ordremodtagerens udbyder af kryptoaktivtjenester skal indberette denne undladelse og de trufne foranstaltninger til den myndighed, der har ansvar for at føre tilsyn med, at betalingstjenesteudbyder overholder bestemmelserne om forebyggelse af hvidvask af penge og bekæmpelse af finansiering af terrorisme.</w:t>
      </w:r>
    </w:p>
    <w:p w14:paraId="0C1D8E46" w14:textId="77777777" w:rsidR="00694EB0" w:rsidRPr="00882828" w:rsidRDefault="00694EB0" w:rsidP="00694EB0">
      <w:pPr>
        <w:spacing w:line="360" w:lineRule="auto"/>
        <w:rPr>
          <w:rFonts w:ascii="Times New Roman" w:hAnsi="Times New Roman" w:cs="Times New Roman"/>
          <w:sz w:val="24"/>
          <w:szCs w:val="24"/>
        </w:rPr>
      </w:pPr>
    </w:p>
    <w:p w14:paraId="64E7D18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17, stk. 2, er ordremodtagerens udbyder af kryptoaktivtjenester, og den strafbetingede handling er manglende foranstaltninger og derefter afvisning af fremtidige overførsel af kryptoaktiver samt undladelse af at indberette de trufne foranstaltninger. Det foreslås, at overtrædelse af artikel 17, stk. 1, i pengeoverførselsforordningen som udgangspunkt bør medføre bødestraf, men ved gentagne overtrædelser, eller forsætlig overtrædelse, vil der kunne straffes med fængsel indtil 2 år.</w:t>
      </w:r>
    </w:p>
    <w:p w14:paraId="2C5EB197" w14:textId="77777777" w:rsidR="00694EB0" w:rsidRPr="00882828" w:rsidRDefault="00694EB0" w:rsidP="00694EB0">
      <w:pPr>
        <w:spacing w:line="360" w:lineRule="auto"/>
        <w:rPr>
          <w:rFonts w:ascii="Times New Roman" w:hAnsi="Times New Roman" w:cs="Times New Roman"/>
          <w:sz w:val="24"/>
          <w:szCs w:val="24"/>
        </w:rPr>
      </w:pPr>
    </w:p>
    <w:p w14:paraId="47CFBD8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19 fastslår, at mellemudbydere af kryptoaktivtjenester skal sikre, at samtlige modtagne oplysninger om ordregiveren og ordremodtageren, der medsendes ved en overførsel af kryptoaktiver, overføres sammen med overførslen, og at registreringer af sådanne oplysninger opbevares og på anmodning stilles til rådighed for de kompetente myndigheder.</w:t>
      </w:r>
    </w:p>
    <w:p w14:paraId="07A5DAEE" w14:textId="77777777" w:rsidR="00694EB0" w:rsidRPr="00882828" w:rsidRDefault="00694EB0" w:rsidP="00694EB0">
      <w:pPr>
        <w:spacing w:line="360" w:lineRule="auto"/>
        <w:rPr>
          <w:rFonts w:ascii="Times New Roman" w:hAnsi="Times New Roman" w:cs="Times New Roman"/>
          <w:sz w:val="24"/>
          <w:szCs w:val="24"/>
        </w:rPr>
      </w:pPr>
    </w:p>
    <w:p w14:paraId="00CC808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19 er en mellemudbyder af kryptoaktivtjenester, og den strafbetingede handling er at sikre, at samtlige modtagne oplysninger om ordregiveren og ordremodtageren, der medsendes ved en overførsel af kryptoaktiver, overføres sammen med overførslen, og at registreringer af sådanne oplysninger opbevares og på anmodning stilles til rådighed for de kompetente myndigheder. Det foreslås, at overtrædelse af artikel 19 i pengeoverførselsforordningen som udgangspunkt bør medføre bødestraf, men ved gentagne overtrædelser, eller forsætlig overtrædelse, vil der kunne straffes med fængsel indtil 2 år.</w:t>
      </w:r>
    </w:p>
    <w:p w14:paraId="406A9680" w14:textId="77777777" w:rsidR="00694EB0" w:rsidRPr="00882828" w:rsidRDefault="00694EB0" w:rsidP="00694EB0">
      <w:pPr>
        <w:spacing w:line="360" w:lineRule="auto"/>
        <w:rPr>
          <w:rFonts w:ascii="Times New Roman" w:hAnsi="Times New Roman" w:cs="Times New Roman"/>
          <w:sz w:val="24"/>
          <w:szCs w:val="24"/>
        </w:rPr>
      </w:pPr>
    </w:p>
    <w:p w14:paraId="541C8AD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henhold til artikel 20 skal mellemudbyderen af kryptoaktivtjenester indføre effektive procedurer, herunder hvor det er relevant overvågning efter eller under overførslerne, for at konstatere, om de oplysninger om ordregiver eller ordremodtager, der er omhandlet i artikel 14, stk. 1, litra a-c, og artikel 14, stk. 2, litra a-c, er blevet fremsendt forud for eller samtidigt eller parallelt med overførslen eller batchfiloverførslen af kryptoaktiver, herunder hvis overførslen foretages til eller fra en selvhostet adresse.</w:t>
      </w:r>
    </w:p>
    <w:p w14:paraId="66070CFB" w14:textId="77777777" w:rsidR="00694EB0" w:rsidRPr="00882828" w:rsidRDefault="00694EB0" w:rsidP="00694EB0">
      <w:pPr>
        <w:spacing w:line="360" w:lineRule="auto"/>
        <w:rPr>
          <w:rFonts w:ascii="Times New Roman" w:hAnsi="Times New Roman" w:cs="Times New Roman"/>
          <w:sz w:val="24"/>
          <w:szCs w:val="24"/>
        </w:rPr>
      </w:pPr>
    </w:p>
    <w:p w14:paraId="3789DFD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20 er en mellemudbyder af kryptoaktivtjenester, og den strafbetingede handling er manglende effektive procedurer, herunder hvor det er relevant overvågning efter eller under overførslerne, for at konstatere, om de oplysninger om ordregiver eller ordremodtager, der er omhandlet i artikel 14, stk. 1, litra a-c, og artikel 14, stk. 2, litra a-c, er blevet fremsendt forud for eller samtidigt eller parallelt med overførslen eller batchfiloverførslen af kryptoaktiver, herunder hvis overførslen foretages til eller fra en selvhostet adresse. Det foreslås, at overtrædelse af artikel 20 i pengeoverførselsforordningen som udgangspunkt bør medføre bødestraf, men ved gentagne overtrædelser, eller forsætlig overtrædelse, vil der kunne straffes med fængsel indtil 2 år.</w:t>
      </w:r>
    </w:p>
    <w:p w14:paraId="3F5CE8BD" w14:textId="77777777" w:rsidR="00694EB0" w:rsidRPr="00882828" w:rsidRDefault="00694EB0" w:rsidP="00694EB0">
      <w:pPr>
        <w:spacing w:line="360" w:lineRule="auto"/>
        <w:rPr>
          <w:rFonts w:ascii="Times New Roman" w:hAnsi="Times New Roman" w:cs="Times New Roman"/>
          <w:sz w:val="24"/>
          <w:szCs w:val="24"/>
        </w:rPr>
      </w:pPr>
    </w:p>
    <w:p w14:paraId="6A5965E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21, stk. 1, fastslår, at mellemudbyderen af kryptoaktivtjenester skal etablere effektive risikobaserede procedurer til at fastslå, hvorvidt en overførsel af kryptoaktiver, hvor de krævede oplysninger om ordregiveren og ordremodtageren mangler, skal gennemføres, afvises, sendes tilbage eller suspenderes, og til at træffe hensigtsmæssige opfølgningsforanstaltninger.</w:t>
      </w:r>
    </w:p>
    <w:p w14:paraId="02A69D65" w14:textId="77777777" w:rsidR="00694EB0" w:rsidRPr="00882828" w:rsidRDefault="00694EB0" w:rsidP="00694EB0">
      <w:pPr>
        <w:spacing w:line="360" w:lineRule="auto"/>
        <w:rPr>
          <w:rFonts w:ascii="Times New Roman" w:hAnsi="Times New Roman" w:cs="Times New Roman"/>
          <w:sz w:val="24"/>
          <w:szCs w:val="24"/>
        </w:rPr>
      </w:pPr>
    </w:p>
    <w:p w14:paraId="4CF0DCB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21, stk. 1, er en mellemudbyder af kryptoaktivtjenester, og den strafbetingede handling består i ikke at have etableret de pågældende procedurer. Det foreslås, at overtrædelse af artikel 21, stk. 1, i pengeoverførselsforordningen som udgangspunkt bør medføre bødestraf, men ved gentagne overtrædelser, eller forsætlig overtrædelse, vil der kunne straffes med fængsel indtil 2 år.</w:t>
      </w:r>
    </w:p>
    <w:p w14:paraId="4F4F6A90" w14:textId="77777777" w:rsidR="00694EB0" w:rsidRPr="00882828" w:rsidRDefault="00694EB0" w:rsidP="00694EB0">
      <w:pPr>
        <w:spacing w:line="360" w:lineRule="auto"/>
        <w:rPr>
          <w:rFonts w:ascii="Times New Roman" w:hAnsi="Times New Roman" w:cs="Times New Roman"/>
          <w:sz w:val="24"/>
          <w:szCs w:val="24"/>
        </w:rPr>
      </w:pPr>
    </w:p>
    <w:p w14:paraId="34B7F53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21, stk. 2, fastslår, at hvis en udbyder af kryptoaktivtjenester gentagne gange undlader at forelægge de påkrævede oplysninger om ordregiveren eller ordremodtageren, skal mellemudbyderen af kryptoaktivtjenester, træffe passende foranstaltninger, som udsendelse af advarsler eller fastsætte frister inden der skrides til afvisning, begrænsning eller afbrydelse, eller direkte afvise enhver fremtidig overførsel af kryptoaktiver til eller fra eller begrænse eller afbryde forretningsforbindelsen med denne udbyder af kryptoaktivtjenester.</w:t>
      </w:r>
    </w:p>
    <w:p w14:paraId="1048510D" w14:textId="77777777" w:rsidR="00694EB0" w:rsidRPr="00882828" w:rsidRDefault="00694EB0" w:rsidP="00694EB0">
      <w:pPr>
        <w:spacing w:line="360" w:lineRule="auto"/>
        <w:rPr>
          <w:rFonts w:ascii="Times New Roman" w:hAnsi="Times New Roman" w:cs="Times New Roman"/>
          <w:sz w:val="24"/>
          <w:szCs w:val="24"/>
        </w:rPr>
      </w:pPr>
    </w:p>
    <w:p w14:paraId="415A070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Mellemudbyderen af kryptoaktivtjenester skal indberette denne undladelse og de trufne foranstaltninger til den myndighed, der har ansvar for at føre tilsyn med, at betalingstjenesteudbyder overholder bestemmelserne om forebyggelse af hvidvask af penge og bekæmpelse af finansiering af terrorisme.</w:t>
      </w:r>
    </w:p>
    <w:p w14:paraId="35CDB227" w14:textId="77777777" w:rsidR="00694EB0" w:rsidRPr="00882828" w:rsidRDefault="00694EB0" w:rsidP="00694EB0">
      <w:pPr>
        <w:spacing w:line="360" w:lineRule="auto"/>
        <w:rPr>
          <w:rFonts w:ascii="Times New Roman" w:hAnsi="Times New Roman" w:cs="Times New Roman"/>
          <w:sz w:val="24"/>
          <w:szCs w:val="24"/>
        </w:rPr>
      </w:pPr>
    </w:p>
    <w:p w14:paraId="2F3844A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21, stk. 2, er mellemudbyderen af kryptoaktivtjenester, og den strafbetingede handling består i, at mellemudbyderen af kryptoaktivtjenester har undladt at træffe passende foranstaltninger overfor en udbyder af kryptoaktivtjenester eller at afvise fremtidige overførsel af kryptoaktiver fra udbyderen af kryptoaktivtjenester. Den strafbare handling kan også bestå i at undlade at indberette de trufne foranstaltninger til rette myndighed. Det foreslås, at overtrædelse af artikel 21, stk. 1, i pengeoverførselsforordningen som udgangspunkt bør medføre bødestraf, men ved gentagne overtrædelser, eller forsætlig overtrædelse, vil der kunne straffes med fængsel indtil 2 år.</w:t>
      </w:r>
    </w:p>
    <w:p w14:paraId="1CADB2C0" w14:textId="77777777" w:rsidR="00694EB0" w:rsidRPr="00882828" w:rsidRDefault="00694EB0" w:rsidP="00694EB0">
      <w:pPr>
        <w:spacing w:line="360" w:lineRule="auto"/>
        <w:rPr>
          <w:rFonts w:ascii="Times New Roman" w:hAnsi="Times New Roman" w:cs="Times New Roman"/>
          <w:i/>
          <w:iCs/>
          <w:sz w:val="24"/>
          <w:szCs w:val="24"/>
        </w:rPr>
      </w:pPr>
    </w:p>
    <w:p w14:paraId="4EAF368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henhold til artikel 26, stk. 1, må oplysninger om betaleren og betalingsmodtageren eller om ordregiveren og ordremodtageren ikke opbevares længere end strengt nødvendigt. Betalerens og betalingsmodtagerens betalingstjenesteudbyder opbevarer registreringer af de i artikel 4-7 omhandlede oplysninger og ordregiverens og ordremodtagerens udbyder af kryptoaktivtjenester opbevarer de i artikel 14-16 omhandlede oplysninger i en periode på fem år.</w:t>
      </w:r>
    </w:p>
    <w:p w14:paraId="32CCD861" w14:textId="77777777" w:rsidR="00694EB0" w:rsidRPr="00882828" w:rsidRDefault="00694EB0" w:rsidP="00694EB0">
      <w:pPr>
        <w:spacing w:line="360" w:lineRule="auto"/>
        <w:rPr>
          <w:rFonts w:ascii="Times New Roman" w:hAnsi="Times New Roman" w:cs="Times New Roman"/>
          <w:sz w:val="24"/>
          <w:szCs w:val="24"/>
        </w:rPr>
      </w:pPr>
    </w:p>
    <w:p w14:paraId="7795BF3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Ansvarssubjektet for overtrædelse af artikel 26, stk. 1, er betalerens og betalingsmodtagerens betalingstjenesteudbyder og ordregiveren og ordremodtagerens udbyder af kryptoaktivtjenester, og den strafbare handling er manglende opbevaring af oplysningerne. Det foreslås, at overtrædelse af artikel 26, stk. 1, i pengeoverførselsforordningen som udgangspunkt bør medføre bødestraf, men ved gentagne overtrædelser eller forsætlig overtrædelse, vil der kunne straffes med fængsel indtil 2 år. </w:t>
      </w:r>
    </w:p>
    <w:p w14:paraId="46D5100C" w14:textId="77777777" w:rsidR="00694EB0" w:rsidRPr="00882828" w:rsidRDefault="00694EB0" w:rsidP="00694EB0">
      <w:pPr>
        <w:spacing w:line="360" w:lineRule="auto"/>
        <w:rPr>
          <w:rFonts w:ascii="Times New Roman" w:hAnsi="Times New Roman" w:cs="Times New Roman"/>
          <w:sz w:val="24"/>
          <w:szCs w:val="24"/>
        </w:rPr>
      </w:pPr>
    </w:p>
    <w:p w14:paraId="76D5746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Artikel 26, stk. 2, fastslår, at efter udløbet af den i stk. 1 omhandlede opbevaringsperiode sikrer betalingstjenesteudbyderne og udbyderne af kryptoaktivtjenester, at personoplysningerne slettes, medmindre andet er fastsat i national ret, der er bestemmende for, under hvilke omstændigheder betalingstjenesteudbyderne og udbyderne af kryptoaktivtjenester kan eller skal opbevare oplysningerne i længere tid.</w:t>
      </w:r>
    </w:p>
    <w:p w14:paraId="75DF574D" w14:textId="77777777" w:rsidR="00694EB0" w:rsidRPr="00882828" w:rsidRDefault="00694EB0" w:rsidP="00694EB0">
      <w:pPr>
        <w:spacing w:line="360" w:lineRule="auto"/>
        <w:rPr>
          <w:rFonts w:ascii="Times New Roman" w:hAnsi="Times New Roman" w:cs="Times New Roman"/>
          <w:sz w:val="24"/>
          <w:szCs w:val="24"/>
        </w:rPr>
      </w:pPr>
    </w:p>
    <w:p w14:paraId="142514B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26, stk. 2, er betalingstjenesteudbyderne og udbyderne af kryptoaktivtjenester, og den strafbare handling sker, såfremt personoplysningerne ikke sikres slettet. Det foreslås, at overtrædelse af artikel 26, stk. 2, i pengeoverførselsforordningen som udgangspunkt bør medføre bødestraf, men ved gentagne overtrædelser eller forsætlig overtrædelse, vil der kunne straffes med fængsel indtil 2 år.</w:t>
      </w:r>
    </w:p>
    <w:p w14:paraId="6D979D8B" w14:textId="77777777" w:rsidR="00694EB0" w:rsidRPr="00882828" w:rsidRDefault="00694EB0" w:rsidP="00694EB0">
      <w:pPr>
        <w:spacing w:line="360" w:lineRule="auto"/>
        <w:rPr>
          <w:rFonts w:ascii="Times New Roman" w:hAnsi="Times New Roman" w:cs="Times New Roman"/>
          <w:sz w:val="24"/>
          <w:szCs w:val="24"/>
        </w:rPr>
      </w:pPr>
    </w:p>
    <w:p w14:paraId="6C83D62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nr. 7,</w:t>
      </w:r>
      <w:r w:rsidRPr="00882828">
        <w:rPr>
          <w:rFonts w:ascii="Times New Roman" w:eastAsia="Times New Roman" w:hAnsi="Times New Roman" w:cs="Times New Roman"/>
          <w:sz w:val="24"/>
          <w:szCs w:val="24"/>
          <w:lang w:eastAsia="da-DK"/>
        </w:rPr>
        <w:t xml:space="preserve"> at overtrædelser af </w:t>
      </w:r>
      <w:r w:rsidRPr="00882828">
        <w:rPr>
          <w:rFonts w:ascii="Times New Roman" w:hAnsi="Times New Roman" w:cs="Times New Roman"/>
          <w:sz w:val="24"/>
          <w:szCs w:val="24"/>
        </w:rPr>
        <w:t xml:space="preserve">artikel 6, stk. 1, i Rådets forordning 2001/1338/EF af 28. juni 2001 om fastlæggelse af de foranstaltninger, </w:t>
      </w:r>
      <w:r w:rsidRPr="00882828">
        <w:rPr>
          <w:rFonts w:ascii="Times New Roman" w:eastAsia="Times New Roman" w:hAnsi="Times New Roman" w:cs="Times New Roman"/>
          <w:sz w:val="24"/>
          <w:szCs w:val="24"/>
          <w:lang w:eastAsia="da-DK"/>
        </w:rPr>
        <w:t>der er nødvendige for at beskytte euroen mod falskmøntneri, som ændret ved forordning 2009/44/EF, jf. Rådets forordning 2001/1339/EF af 28. juni 2001 om udvidelse af virkningerne af forordning 2001/1338/EF om fastlæggelse af de foranstaltninger, der er nødvendige for at beskytte euroen mod falskmøntneri, til også at omfatte de medlemsstater, der ikke har indført euroen som fælles valuta.</w:t>
      </w:r>
    </w:p>
    <w:p w14:paraId="18BA9AEA" w14:textId="77777777" w:rsidR="00694EB0" w:rsidRPr="00882828" w:rsidRDefault="00694EB0" w:rsidP="00694EB0">
      <w:pPr>
        <w:spacing w:line="360" w:lineRule="auto"/>
        <w:rPr>
          <w:rFonts w:ascii="Times New Roman" w:hAnsi="Times New Roman" w:cs="Times New Roman"/>
          <w:sz w:val="24"/>
          <w:szCs w:val="24"/>
        </w:rPr>
      </w:pPr>
    </w:p>
    <w:p w14:paraId="49D5BE4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Artikel 6, stk. 1, fastslår, at kreditinstitutter og andre udbydere af betalingstjenester for så vidt angår deres betalingsaktivitet samt alle andre økonomiske aktører, der deltager i håndtering og udlevering af pengesedler og mønter til offentligheden, herunder institutter, hvis aktivitet består i veksling af pengesedler og mønter i forskellig valuta, som f.eks. vekselkontorer, pengetransportvirksomheder samt andre økonomiske aktører såsom handlende og kasinoer, der accessorisk håndterer og leverer pengesedler til offentligheden via bankernes pengeautomater (kontantautomater), inden for rammerne af disse accessoriske aktiviteter, har pligt til at sikre, at eurosedler og euromønter, som de har modtaget, og som de har til hensigt at bringe i omløb igen, kontrolleres med henblik på ægthed, og til at påse, at falske sedler og mønter afsløres. </w:t>
      </w:r>
    </w:p>
    <w:p w14:paraId="27F17745" w14:textId="77777777" w:rsidR="00694EB0" w:rsidRPr="00882828" w:rsidRDefault="00694EB0" w:rsidP="00694EB0">
      <w:pPr>
        <w:spacing w:line="360" w:lineRule="auto"/>
        <w:rPr>
          <w:rFonts w:ascii="Times New Roman" w:hAnsi="Times New Roman" w:cs="Times New Roman"/>
          <w:sz w:val="24"/>
          <w:szCs w:val="24"/>
        </w:rPr>
      </w:pPr>
    </w:p>
    <w:p w14:paraId="757964D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Ansvarssubjektet for overtrædelse af artikel 6, stk. 1, er kreditinstitutter og andre udbydere af betalingstjenester for så vidt angår deres betalingsaktivitet samt alle andre økonomiske aktører, der deltager i håndtering og udlevering af pengesedler og mønter til offentligheden. Den strafbare handling sker ved, at modtagne eurosedler og euromønter, som det er hensigten at bringe i omløb, ikke kontrolleres med henblik på ægthed eller påses for at afsløre falske sedler og mønter.</w:t>
      </w:r>
    </w:p>
    <w:p w14:paraId="4D1F411C" w14:textId="77777777" w:rsidR="00694EB0" w:rsidRPr="00882828" w:rsidRDefault="00694EB0" w:rsidP="00694EB0">
      <w:pPr>
        <w:spacing w:line="360" w:lineRule="auto"/>
        <w:rPr>
          <w:rFonts w:ascii="Times New Roman" w:hAnsi="Times New Roman" w:cs="Times New Roman"/>
          <w:sz w:val="24"/>
          <w:szCs w:val="24"/>
        </w:rPr>
      </w:pPr>
    </w:p>
    <w:p w14:paraId="4311AC4F" w14:textId="77777777" w:rsidR="00694EB0" w:rsidRPr="00882828" w:rsidRDefault="00694EB0" w:rsidP="00694EB0">
      <w:pPr>
        <w:spacing w:line="360" w:lineRule="auto"/>
        <w:rPr>
          <w:rFonts w:ascii="Times New Roman" w:hAnsi="Times New Roman" w:cs="Times New Roman"/>
          <w:sz w:val="24"/>
          <w:szCs w:val="24"/>
          <w:shd w:val="clear" w:color="auto" w:fill="F9F9FB"/>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 xml:space="preserve">stk. 2, </w:t>
      </w:r>
      <w:r w:rsidRPr="00882828">
        <w:rPr>
          <w:rFonts w:ascii="Times New Roman" w:hAnsi="Times New Roman" w:cs="Times New Roman"/>
          <w:sz w:val="24"/>
          <w:szCs w:val="24"/>
        </w:rPr>
        <w:t>at o</w:t>
      </w:r>
      <w:r w:rsidRPr="00882828">
        <w:rPr>
          <w:rFonts w:ascii="Times New Roman" w:eastAsia="Times New Roman" w:hAnsi="Times New Roman" w:cs="Times New Roman"/>
          <w:sz w:val="24"/>
          <w:szCs w:val="24"/>
          <w:lang w:eastAsia="da-DK"/>
        </w:rPr>
        <w:t>vertrædelse af § 75, stk. 1, 1. pkt., stk. 2-5 og stk. 6, 1. pkt., i denne lov straffes med bøde.</w:t>
      </w:r>
      <w:r w:rsidRPr="00882828">
        <w:rPr>
          <w:rFonts w:ascii="Times New Roman" w:hAnsi="Times New Roman" w:cs="Times New Roman"/>
          <w:sz w:val="24"/>
          <w:szCs w:val="24"/>
          <w:shd w:val="clear" w:color="auto" w:fill="F9F9FB"/>
        </w:rPr>
        <w:t xml:space="preserve"> </w:t>
      </w:r>
    </w:p>
    <w:p w14:paraId="180C2413" w14:textId="77777777" w:rsidR="00694EB0" w:rsidRPr="00882828" w:rsidRDefault="00694EB0" w:rsidP="00694EB0">
      <w:pPr>
        <w:spacing w:line="360" w:lineRule="auto"/>
        <w:rPr>
          <w:rFonts w:ascii="Times New Roman" w:hAnsi="Times New Roman" w:cs="Times New Roman"/>
          <w:sz w:val="24"/>
          <w:szCs w:val="24"/>
          <w:shd w:val="clear" w:color="auto" w:fill="F9F9FB"/>
        </w:rPr>
      </w:pPr>
    </w:p>
    <w:p w14:paraId="24D0AA6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Simple uagtsomme overtrædelser af denne bestemmelse kan derfor straffes jf. § 19 i straffeloven.</w:t>
      </w:r>
    </w:p>
    <w:p w14:paraId="7426A99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A44836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For beskrivelse af ansvarssubjekter og den strafbare handling henvises der til bemærkningerne til lovforslagets § </w:t>
      </w:r>
      <w:r w:rsidRPr="00882828">
        <w:rPr>
          <w:rFonts w:ascii="Times New Roman" w:eastAsia="Times New Roman" w:hAnsi="Times New Roman" w:cs="Times New Roman"/>
          <w:sz w:val="24"/>
          <w:szCs w:val="24"/>
          <w:lang w:eastAsia="da-DK"/>
        </w:rPr>
        <w:t xml:space="preserve">75. </w:t>
      </w:r>
    </w:p>
    <w:p w14:paraId="017120BF" w14:textId="77777777" w:rsidR="00694EB0" w:rsidRPr="00882828" w:rsidRDefault="00694EB0" w:rsidP="00694EB0">
      <w:pPr>
        <w:spacing w:line="360" w:lineRule="auto"/>
        <w:rPr>
          <w:rFonts w:ascii="Times New Roman" w:hAnsi="Times New Roman" w:cs="Times New Roman"/>
          <w:sz w:val="24"/>
          <w:szCs w:val="24"/>
        </w:rPr>
      </w:pPr>
    </w:p>
    <w:p w14:paraId="6C01E03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 xml:space="preserve">stk. 3, </w:t>
      </w:r>
      <w:r w:rsidRPr="00882828">
        <w:rPr>
          <w:rFonts w:ascii="Times New Roman" w:hAnsi="Times New Roman" w:cs="Times New Roman"/>
          <w:sz w:val="24"/>
          <w:szCs w:val="24"/>
        </w:rPr>
        <w:t xml:space="preserve">at </w:t>
      </w:r>
      <w:r w:rsidRPr="00882828">
        <w:rPr>
          <w:rFonts w:ascii="Times New Roman" w:eastAsia="Times New Roman" w:hAnsi="Times New Roman" w:cs="Times New Roman"/>
          <w:sz w:val="24"/>
          <w:szCs w:val="24"/>
          <w:lang w:eastAsia="da-DK"/>
        </w:rPr>
        <w:t>med bøde straffes en virksomhed eller person, der ikke efterkommer et påbud, som er givet i medfør af §§ 62-67, §§ 86-91 samt § 93, §§ 102-104, § 105, stk. 1 og §§ 118-123.</w:t>
      </w:r>
    </w:p>
    <w:p w14:paraId="1F031A2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550F723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Den foreslåede bestemmelse vil indebære, at der i tilfælde af overtrædelse af påbud meddelt efter §§ 62-67, §§ 86-91 samt § 93, §§ 102-104, § 105, stk. 1 og §§ 118-123 vil kunne straffes med bøde. </w:t>
      </w:r>
    </w:p>
    <w:p w14:paraId="4C9E2B6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br/>
        <w:t xml:space="preserve">Det foreslås i </w:t>
      </w:r>
      <w:r w:rsidRPr="00882828">
        <w:rPr>
          <w:rFonts w:ascii="Times New Roman" w:eastAsia="Times New Roman" w:hAnsi="Times New Roman" w:cs="Times New Roman"/>
          <w:i/>
          <w:iCs/>
          <w:sz w:val="24"/>
          <w:szCs w:val="24"/>
          <w:lang w:eastAsia="da-DK"/>
        </w:rPr>
        <w:t>stk. 4,</w:t>
      </w:r>
      <w:r w:rsidRPr="00882828">
        <w:rPr>
          <w:rFonts w:ascii="Times New Roman" w:eastAsia="Times New Roman" w:hAnsi="Times New Roman" w:cs="Times New Roman"/>
          <w:sz w:val="24"/>
          <w:szCs w:val="24"/>
          <w:lang w:eastAsia="da-DK"/>
        </w:rPr>
        <w:t xml:space="preserve"> at </w:t>
      </w:r>
      <w:r w:rsidRPr="00882828">
        <w:rPr>
          <w:rFonts w:ascii="Times New Roman" w:hAnsi="Times New Roman" w:cs="Times New Roman"/>
          <w:sz w:val="24"/>
          <w:szCs w:val="24"/>
          <w:lang w:eastAsia="da-DK"/>
        </w:rPr>
        <w:t>ved særligt grove eller omfattende forsætlige overtrædelser af artikel 16, stk. 1, artikel 17, stk. 1 og 2, artikel 19, stk. 1-3, stk. 4, 1. pkt., og stk. 5, artikel 20, stk. 1, 2 og 4, artikel 21, stk. 1-3, artikel 22, stk. 1-7, artikel 23, stk. 1, 1. og 3. pkt., stk. 2, 2. pkt., og stk. 4, artikel 25, stk. 1, artikel 26, stk. 1-3, og stk. 4, 1. og 2. pkt., artikel 29, stk. 4, artikel 33, stk. 1, 2. og 3. pkt., og stk. 2-5, artikel 34, stk. 1-4, artikel 36, artikel 37, stk. 1 og 2, artikel 39, stk. 1 og 2, artikel 42, stk. 1, artikel 44, artikel 45, stk. 1- 3, artikel 47, artikel 69, stk. 1, 1.-3. pkt., og stk. 2, artikel 71, stk. 1 og 2, artikel 77 i hvidvaskforordningen, § 3, stk. 2, § 40 og § 57, stk. 2, i denne lov, og artikel 4-8, 10-12, 14-17, 19-21 og 26 i Europa-Parlamentets og Rådets forordning om oplysninger, der skal medsendes ved pengeoverførsler og ved overførsler af visse kryptoaktiver, kan straffen stige til fængsel indtil 2 år, medmindre højere straf er forskyldt efter straffelovens regler.</w:t>
      </w:r>
    </w:p>
    <w:p w14:paraId="6AF3224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C779355"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Den foreslåede bestemmelse indebærer, at straffen vil kunne stige til fængsel indtil 2 år for særligt grove eller omfattende forsætlige overtrædelser af nogle af reglerne opregnet i stk. 1. Det er på samme måde som ved overtrædelse af stk. 1 en forudsætning for anvendelsen af bestemmelsen, at der ikke for den pågældende lovovertrædelse gælder en hårdere straf efter anden lovgivning.</w:t>
      </w:r>
    </w:p>
    <w:p w14:paraId="625BCF8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 </w:t>
      </w:r>
    </w:p>
    <w:p w14:paraId="77369D2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Ved ”særligt grove eller omfattende forsætlige” menes for det første, at der skal være tale om særligt grove, dvs. alvorlige, gentagne eller systematiske eller på anden vis omfattende overtrædelser af de regler, som er opregnet. Vurderingen af, om dette er tilfældet, foretages efter den foreslåede stk. 6, hvortil der henvises. For det andet vil tilregnelseskravet efter den foreslåede bestemmelse være forsæt. </w:t>
      </w:r>
    </w:p>
    <w:p w14:paraId="0538CDB3" w14:textId="77777777" w:rsidR="00694EB0" w:rsidRPr="00882828" w:rsidRDefault="00694EB0" w:rsidP="00694EB0">
      <w:pPr>
        <w:spacing w:line="360" w:lineRule="auto"/>
        <w:rPr>
          <w:rFonts w:ascii="Times New Roman" w:hAnsi="Times New Roman" w:cs="Times New Roman"/>
          <w:sz w:val="24"/>
          <w:szCs w:val="24"/>
        </w:rPr>
      </w:pPr>
    </w:p>
    <w:p w14:paraId="6F37F35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Anvendelsen af fængselsstraf vil herefter især være relevant – men ikke begrænset til – tilfælde af særligt grove eller omfattende forsætlige overtrædelser af forordningens krav om interne politikker, procedurer og kontroller, kundekendskabsprocedurer, underretningspligt, og opbevaring af fortegnelser, f.eks. hvor der konkret ikke kan dømmes for hvidvask eller terrorfinansiering samt medvirken hertil, men hvor forordningens bestemmelser mere systematisk ikke er overholdt, eller f.eks. hvor der ikke er gennemført kundekendskabsprocedurer, som er et grundlæggende krav for opfyldelse af forordningens øvrige pligter, eller hvor oplysninger om kunder eller transaktioner ikke er opbevaret, hvilket er en forsætning for, at hvidvask og terrorfinansiering kan efterforskes og der har været tale om en forsætlig tilsidesættelse af de pågældende regler. </w:t>
      </w:r>
    </w:p>
    <w:p w14:paraId="50801E7C" w14:textId="77777777" w:rsidR="00694EB0" w:rsidRPr="00882828" w:rsidRDefault="00694EB0" w:rsidP="00694EB0">
      <w:pPr>
        <w:spacing w:line="360" w:lineRule="auto"/>
        <w:rPr>
          <w:rFonts w:ascii="Times New Roman" w:hAnsi="Times New Roman" w:cs="Times New Roman"/>
          <w:sz w:val="24"/>
          <w:szCs w:val="24"/>
        </w:rPr>
      </w:pPr>
    </w:p>
    <w:p w14:paraId="5E1E63D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hAnsi="Times New Roman" w:cs="Times New Roman"/>
          <w:sz w:val="24"/>
          <w:szCs w:val="24"/>
        </w:rPr>
        <w:t>Endvidere vil bestemmelsen efter omstændighederne kunne være anvendelig, hvis der ved beløbsmæssigt særligt store transaktioner ikke er krævet og/eller opbevaret identitets- og kontroloplysninger. Tilstedeværelsen af store transaktioner i en konkret sag kan dog ikke i sig selv være afgørende for, at forholdet omfattes. Vurderingen må bero på en samlet konkret vurdering, hvor transaktionens størrelse kan indgå som ét blandt flere relevante momenter. For beskrivelse af ansvarssubjekter og den strafbare handling vedrørende de strafbelagte bestemmelser i stk. 1 henvises der, for så vidt angår hvidvaskforordningens bestemmelser, til bemærkningerne under stk. 1.</w:t>
      </w:r>
    </w:p>
    <w:p w14:paraId="4EEA4045"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BB0843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er en forudsætning for anvendelsen af bestemmelsen, at den pågældende ikke kan straffes med højere straf for handlingen eller undladelsen efter § 290 b. stk. 2, i straffeloven. </w:t>
      </w:r>
    </w:p>
    <w:p w14:paraId="0DCDE497" w14:textId="77777777" w:rsidR="00694EB0" w:rsidRPr="00882828" w:rsidRDefault="00694EB0" w:rsidP="00694EB0">
      <w:pPr>
        <w:spacing w:line="360" w:lineRule="auto"/>
        <w:rPr>
          <w:rFonts w:ascii="Times New Roman" w:hAnsi="Times New Roman" w:cs="Times New Roman"/>
          <w:sz w:val="24"/>
          <w:szCs w:val="24"/>
        </w:rPr>
      </w:pPr>
    </w:p>
    <w:p w14:paraId="2EC732D3"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stk. 5,</w:t>
      </w:r>
      <w:r w:rsidRPr="00882828">
        <w:rPr>
          <w:rFonts w:ascii="Times New Roman" w:eastAsia="Times New Roman" w:hAnsi="Times New Roman" w:cs="Times New Roman"/>
          <w:sz w:val="24"/>
          <w:szCs w:val="24"/>
          <w:lang w:eastAsia="da-DK"/>
        </w:rPr>
        <w:t xml:space="preserve"> at overtrædelse af bestemmelserne nævnt i stk. 1 straffes med bøde, uanset at overtrædelsen ikke er af alvorlig, gentagen eller systematisk karakter, medmindre højere straf er forskyldt efter anden lovgivning.</w:t>
      </w:r>
    </w:p>
    <w:p w14:paraId="2AF58472"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7E6E14F"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Den foreslåede bestemmelse indebærer, at også overtrædelser, der ikke er af alvorlig, gentagen eller systematisk karakter vil kunne straffes med bøder. </w:t>
      </w:r>
    </w:p>
    <w:p w14:paraId="5F5E49A5"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F3C36C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 xml:space="preserve">Den foreslåede bestemmelse har karakter af en opsamlingsbestemmelse, som vil omfatte de tilfælde af overtrædelser af de i stk. 1 nævnte bestemmelser, som ikke kan karakteriseres som alvorlige, gentagne eller systematiske, hvilket i praksis vil sige overtrædelser, som klassificeres som kategori 1 eller 2, jf. nærmere herom den foreslåede bestemmelse i stk. 6 og bemærkningerne dertil. Bestemmelsen forventes at få et snævert anvendelsesområde, idet overtrædelser, der ikke kan betegnes som alvorlige, gentagne eller systematiske i almindelighed efter proportionalitetsprincippet vil skulle imødegås med, at de forskellige tilsynsorganer iværksætter administrative foranstaltninger. Det vil være op til de enkelte tilsynsorganer at vurdere, om en overtrædelse, der ikke umiddelbart opfylder betingelserne for politianmeldelse, efter en konkret vurdering alligevel bør give anledning til straf efter den foreslåede bestemmelse ved at anmelde sagen til politiet eller for Finanstilsynets vedkommende at udstede et administrativt bødeforelæg. </w:t>
      </w:r>
    </w:p>
    <w:p w14:paraId="040D4E9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D8D1E2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stk. 6,</w:t>
      </w:r>
      <w:r w:rsidRPr="00882828">
        <w:rPr>
          <w:rFonts w:ascii="Times New Roman" w:hAnsi="Times New Roman" w:cs="Times New Roman"/>
          <w:sz w:val="24"/>
          <w:szCs w:val="24"/>
        </w:rPr>
        <w:t xml:space="preserve"> at </w:t>
      </w:r>
      <w:r w:rsidRPr="00882828">
        <w:rPr>
          <w:rFonts w:ascii="Times New Roman" w:eastAsia="Times New Roman" w:hAnsi="Times New Roman" w:cs="Times New Roman"/>
          <w:sz w:val="24"/>
          <w:szCs w:val="24"/>
          <w:lang w:eastAsia="da-DK"/>
        </w:rPr>
        <w:t>ved vurderingen af overtrædelsens grovhed skal der navnlig tages hensyn til de kriterier og indikatorer til klassificering af niveauet for overtrædelsen, som er fastsat i regler udstedt i medfør af AMLA-forordningens artikel 49, jf. hvidvaskdirektivets artikel 53, stk. 10.</w:t>
      </w:r>
    </w:p>
    <w:p w14:paraId="79CB489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06AD8595"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 xml:space="preserve">Den foreslåede bestemmelse indebærer, at ved vurderingen af overtrædelsens grovhed navnlig vil skulle lægges vægt på kriterierne i den reguleringsmæssige tekniske standard. Med ”grovhed” menes den samlede vurdering af, om overtrædelsen kan betragtes som alvorlig, gentagen eller systematisk. </w:t>
      </w:r>
    </w:p>
    <w:p w14:paraId="49EA50D0"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D2B116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 xml:space="preserve">Efter artikel 1 skal der således navnlig lægges vægt på følgende indikatorer ved fastsættelsen af overtrædelsens grovhed: </w:t>
      </w:r>
      <w:r w:rsidRPr="00882828">
        <w:rPr>
          <w:rFonts w:ascii="Times New Roman" w:eastAsia="Times New Roman" w:hAnsi="Times New Roman" w:cs="Times New Roman"/>
          <w:sz w:val="24"/>
          <w:szCs w:val="24"/>
          <w:lang w:eastAsia="da-DK"/>
        </w:rPr>
        <w:br/>
      </w:r>
      <w:r w:rsidRPr="00882828">
        <w:rPr>
          <w:rFonts w:ascii="Times New Roman" w:eastAsia="Times New Roman" w:hAnsi="Times New Roman" w:cs="Times New Roman"/>
          <w:sz w:val="24"/>
          <w:szCs w:val="24"/>
          <w:lang w:eastAsia="da-DK"/>
        </w:rPr>
        <w:br/>
      </w:r>
      <w:r w:rsidRPr="00882828">
        <w:rPr>
          <w:rFonts w:ascii="Times New Roman" w:hAnsi="Times New Roman" w:cs="Times New Roman"/>
          <w:sz w:val="24"/>
          <w:szCs w:val="24"/>
        </w:rPr>
        <w:t>a) Overtrædelsens varighed.</w:t>
      </w:r>
    </w:p>
    <w:p w14:paraId="384888F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b) Om overtrædelsen er gentaget.</w:t>
      </w:r>
    </w:p>
    <w:p w14:paraId="51BA798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c) Adfærden hos den fysiske eller juridiske person, der begik, tillod eller ikke forhindrede overtrædelsen.</w:t>
      </w:r>
    </w:p>
    <w:p w14:paraId="79D583D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 Overtrædelsens indvirkning på den forpligtede enhed ved vurdering af:</w:t>
      </w:r>
    </w:p>
    <w:p w14:paraId="0F30A23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om overtrædelsen vedrører den forpligtede enhed, og om den har indvirkning på koncernniveau eller grænseoverskridende indvirkning.</w:t>
      </w:r>
    </w:p>
    <w:p w14:paraId="57CC8F78"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ii. i hvilket omfang produkter og tjenesteydelser er berørt af overtrædelsen.</w:t>
      </w:r>
    </w:p>
    <w:p w14:paraId="5DA8C6D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iii. det omtrentlige antal kunder, der er berørt af overtrædelsen.</w:t>
      </w:r>
    </w:p>
    <w:p w14:paraId="2EE1BEB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iv. i hvilket omfang effektiviteten af AML/CFT-systemer, kontroller og politikker er berørt af overtrædelsen.</w:t>
      </w:r>
    </w:p>
    <w:p w14:paraId="255E2F5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e) Overtrædelsens indvirkning på den forpligtede enheds – eller den koncern, som den tilhører – eksponering for risici for hvidvask af penge og finansiering af terrorisme.</w:t>
      </w:r>
    </w:p>
    <w:p w14:paraId="294A498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f) Overtrædelsens karakter ved vurdering af, om overtrædelsen vedrører den forpligtede enheds interne politikker, procedurer og kontroller, kundekendskabsprocedurer, indberetningsforpligtelser eller opbevaring af registreringer.</w:t>
      </w:r>
    </w:p>
    <w:p w14:paraId="21F2EF9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g) Om overtrædelsen kunne have lettet eller på anden måde ført til kriminelle aktiviteter som defineret i artikel 2, stk. 1, nr. 3, i hvidvaskforordningen.</w:t>
      </w:r>
    </w:p>
    <w:p w14:paraId="7FDD8AB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h) Om der foreligger en strukturel svigt i den forpligtede enhed med hensyn til AML/CFT-systemer, kontroller eller politikker, eller en væsentlig manglende etablering af tilstrækkelige AML/CFT-systemer, kontroller eller politikker hos enheden.</w:t>
      </w:r>
    </w:p>
    <w:p w14:paraId="712007D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Overtrædelsens faktiske eller potentielle indvirkning på den forpligtede enheds eller den koncern, som den forpligtede enhed er en del af, finansielle levedygtighed.</w:t>
      </w:r>
    </w:p>
    <w:p w14:paraId="74D9B02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j) Overtrædelsens faktiske eller potentielle indvirkning på:</w:t>
      </w:r>
    </w:p>
    <w:p w14:paraId="5E46A08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integriteten, gennemsigtigheden og sikkerheden i en medlemsstats eller Unionens finansielle system som helhed eller på den finansielle stabilitet i en medlemsstat eller Unionen som helhed.</w:t>
      </w:r>
    </w:p>
    <w:p w14:paraId="568A34D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ii. det indre markeds ordnede funktion, herunder det finansielle marked.</w:t>
      </w:r>
    </w:p>
    <w:p w14:paraId="0F19DA0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k) Overtrædelsens systematiske karakter</w:t>
      </w:r>
    </w:p>
    <w:p w14:paraId="6DCCE6D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l) Enhver anden indikator, som tilsynsmyndighederne har identificeret.</w:t>
      </w:r>
    </w:p>
    <w:p w14:paraId="68C008A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A193DB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følger af præambel 2, 2. pkt., at tilsynsmyndighederne ved klassificeringen bør anvende deres tilsynsmæssige skøn til at analysere, om og i hvilket omfang disse indikatorer og kriterier er opfyldt. Endvidere følger det af præambel 3, 1. pkt., at listen over kriterier og indikatorer ikke er udtømmende. </w:t>
      </w:r>
    </w:p>
    <w:p w14:paraId="2560AAA2" w14:textId="77777777" w:rsidR="00694EB0" w:rsidRPr="00882828" w:rsidRDefault="00694EB0" w:rsidP="00694EB0">
      <w:pPr>
        <w:spacing w:line="360" w:lineRule="auto"/>
        <w:rPr>
          <w:rFonts w:ascii="Times New Roman" w:hAnsi="Times New Roman" w:cs="Times New Roman"/>
          <w:sz w:val="24"/>
          <w:szCs w:val="24"/>
        </w:rPr>
      </w:pPr>
    </w:p>
    <w:p w14:paraId="087EE1F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På baggrund af de ovenstående indikatorer skal overtrædelsens grovhed klassificeres efter en af fire kategorier beskrevet i artikel 2, stk. 4-7. </w:t>
      </w:r>
    </w:p>
    <w:p w14:paraId="06AEB345" w14:textId="77777777" w:rsidR="00694EB0" w:rsidRPr="00882828" w:rsidRDefault="00694EB0" w:rsidP="00694EB0">
      <w:pPr>
        <w:spacing w:line="360" w:lineRule="auto"/>
        <w:rPr>
          <w:rFonts w:ascii="Times New Roman" w:hAnsi="Times New Roman" w:cs="Times New Roman"/>
          <w:sz w:val="24"/>
          <w:szCs w:val="24"/>
        </w:rPr>
      </w:pPr>
    </w:p>
    <w:p w14:paraId="772013F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Overtrædelsen skal klassificeres som en kategori 1, hvis der ikke er nogen direkte indvirkning, eller hvis indvirkningen på virksomheden eller personen, som er omfattet af hvidvaskforordningen, er mindre, når der sker vurdering af indikatorerne i artikel 1, litra d og e, og samtidig, at overtrædelsen har varet i en kort periode, jf. litra a, og er ikke begået gentagne gange, jf. litra b. </w:t>
      </w:r>
    </w:p>
    <w:p w14:paraId="24A9CF08" w14:textId="77777777" w:rsidR="00694EB0" w:rsidRPr="00882828" w:rsidRDefault="00694EB0" w:rsidP="00694EB0">
      <w:pPr>
        <w:spacing w:line="360" w:lineRule="auto"/>
        <w:rPr>
          <w:rFonts w:ascii="Times New Roman" w:hAnsi="Times New Roman" w:cs="Times New Roman"/>
          <w:sz w:val="24"/>
          <w:szCs w:val="24"/>
        </w:rPr>
      </w:pPr>
    </w:p>
    <w:p w14:paraId="21782EA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En overtrædelse må ikke klassificere som kategori 1, hvis indikatorerne i artikel 1, litra g-k, er opfyldt.</w:t>
      </w:r>
    </w:p>
    <w:p w14:paraId="1AA2F18C" w14:textId="77777777" w:rsidR="00694EB0" w:rsidRPr="00882828" w:rsidRDefault="00694EB0" w:rsidP="00694EB0">
      <w:pPr>
        <w:spacing w:line="360" w:lineRule="auto"/>
        <w:rPr>
          <w:rFonts w:ascii="Times New Roman" w:hAnsi="Times New Roman" w:cs="Times New Roman"/>
          <w:sz w:val="24"/>
          <w:szCs w:val="24"/>
        </w:rPr>
      </w:pPr>
    </w:p>
    <w:p w14:paraId="78194DC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 skal klassificeres som kategori 2, hvis indvirkningen af indikatorerne i artikel 1, litra d eller e, er moderat, og ingen af indikatorerne i artikel 1, litra g-k, er opfyldt.</w:t>
      </w:r>
    </w:p>
    <w:p w14:paraId="7DC94419" w14:textId="77777777" w:rsidR="00694EB0" w:rsidRPr="00882828" w:rsidRDefault="00694EB0" w:rsidP="00694EB0">
      <w:pPr>
        <w:spacing w:line="360" w:lineRule="auto"/>
        <w:rPr>
          <w:rFonts w:ascii="Times New Roman" w:hAnsi="Times New Roman" w:cs="Times New Roman"/>
          <w:sz w:val="24"/>
          <w:szCs w:val="24"/>
        </w:rPr>
      </w:pPr>
    </w:p>
    <w:p w14:paraId="2D46628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 skal klassificeres som mindst kategori 3, hvis en af indikatorerne i artikel 1, litra b eller k, er opfyldt, eller at indvirkningen for indikatorerne i artikel 1, litra d eller e, er betydelig, og samtidig, at</w:t>
      </w:r>
      <w:r w:rsidRPr="00882828">
        <w:rPr>
          <w:rFonts w:ascii="Times New Roman" w:hAnsi="Times New Roman" w:cs="Times New Roman"/>
          <w:sz w:val="24"/>
          <w:szCs w:val="24"/>
          <w:shd w:val="clear" w:color="auto" w:fill="FFFFFF"/>
        </w:rPr>
        <w:t xml:space="preserve"> </w:t>
      </w:r>
      <w:r w:rsidRPr="00882828">
        <w:rPr>
          <w:rFonts w:ascii="Times New Roman" w:hAnsi="Times New Roman" w:cs="Times New Roman"/>
          <w:sz w:val="24"/>
          <w:szCs w:val="24"/>
        </w:rPr>
        <w:t>overtrædelsen har varet ved over en betydelig periode, jf. litra a.</w:t>
      </w:r>
    </w:p>
    <w:p w14:paraId="003DA63D" w14:textId="77777777" w:rsidR="00694EB0" w:rsidRPr="00882828" w:rsidRDefault="00694EB0" w:rsidP="00694EB0">
      <w:pPr>
        <w:spacing w:line="360" w:lineRule="auto"/>
        <w:rPr>
          <w:rFonts w:ascii="Times New Roman" w:hAnsi="Times New Roman" w:cs="Times New Roman"/>
          <w:sz w:val="24"/>
          <w:szCs w:val="24"/>
        </w:rPr>
      </w:pPr>
    </w:p>
    <w:p w14:paraId="581F2E8D"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Overtrædelsen skal klassificeres som kategori 4, hvis indvirkningen af indikatorerne i artikel 1, litra d eller e, er meget betydelig, eller indikatoren i artikel 1, litra h, er opfyldt, eller at overtrædelsen har lettet eller på anden måde ført til betydelige kriminelle aktiviteter som defineret i artikel 2, stk. 1, nr. 3), i forordning (EU) 2024/1624, jf. litra g, eller at indikatorerne i artikel 1, litra i eller j, har en betydelig indvirkning.</w:t>
      </w:r>
    </w:p>
    <w:p w14:paraId="3F49C080" w14:textId="77777777" w:rsidR="00694EB0" w:rsidRPr="00882828" w:rsidRDefault="00694EB0" w:rsidP="00694EB0">
      <w:pPr>
        <w:spacing w:line="360" w:lineRule="auto"/>
        <w:rPr>
          <w:rFonts w:ascii="Times New Roman" w:hAnsi="Times New Roman" w:cs="Times New Roman"/>
          <w:sz w:val="24"/>
          <w:szCs w:val="24"/>
        </w:rPr>
      </w:pPr>
    </w:p>
    <w:p w14:paraId="0B6AB83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Endvidere følger det af artikel 2, stk. 8, at overtrædelser, der ikke ville blive klassificeret som kategori 3 eller kategori 4, hvis de blev vurderet isoleret, kan udgøre en overtrædelse af kategori 3 eller 4, når de vurderes samlet.</w:t>
      </w:r>
    </w:p>
    <w:p w14:paraId="182A7F16" w14:textId="77777777" w:rsidR="00694EB0" w:rsidRPr="00882828" w:rsidRDefault="00694EB0" w:rsidP="00694EB0">
      <w:pPr>
        <w:spacing w:line="360" w:lineRule="auto"/>
        <w:rPr>
          <w:rFonts w:ascii="Times New Roman" w:hAnsi="Times New Roman" w:cs="Times New Roman"/>
          <w:sz w:val="24"/>
          <w:szCs w:val="24"/>
        </w:rPr>
      </w:pPr>
    </w:p>
    <w:p w14:paraId="315A25B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følger desuden af artikel 2, stk. 3, at der kan klassificere i henhold til de fire kategorier for andre overtrædelser end dem, der er beskrevet i stk. 4-7. Dette skal ses i sammenhæng med, at ikke alle indikatorer i alle tilfælde skal vurderes. Det vil bero på en skønsmæssig vurdering, og at indikatorerne skal inddrages og vægtes, hvor de findes relevant. Det vil imidlertid være et krav, at baggrunden for inddragelsen og vægtningen af en indikator til brug for klassificeringen kan begrundes. </w:t>
      </w:r>
    </w:p>
    <w:p w14:paraId="6A64C1B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667FE64"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Foruden kriterierne i den reguleringsmæssige tekniske standard som gennemgået ovenfor vil der, ligesom i dag, skulle lægges vægt på de almindelige regler i straffelovens kapitel 10, herunder §§ 80-82, ved vurderingen af overtrædelsens grovhed. Det indebærer, at </w:t>
      </w:r>
      <w:r w:rsidRPr="00882828">
        <w:rPr>
          <w:rFonts w:ascii="Times New Roman" w:hAnsi="Times New Roman" w:cs="Times New Roman"/>
          <w:sz w:val="24"/>
          <w:szCs w:val="24"/>
        </w:rPr>
        <w:t>der både lægges vægt på karakteren af den bestemmelse, der overtrædes, og de konkrete omstændigheder vedrørende overtrædelsen, som taler i formildende eller skærpende retning, herunder overtrædelsens varighed eller hyppighed. Der vil i den forbindelse bl.a. kunne lægges vægt på, om der ved overtrædelsen er tilsigtet eller opnået en gevinst eller en besparelse ved ikke at overholde reglerne.</w:t>
      </w:r>
    </w:p>
    <w:p w14:paraId="4E9720A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16CCE789"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Den gældende § 78, stk. 3, i hvidvaskloven fastlægger, at der ved udmåling af bøder efter § 78, stk. 1, skal lægges vægt på gerningspersonens økonomiske forhold. For overtrædelser begået af virksomheder lægges vægt på virksomhedens nettoomsætning på gerningstidspunktet.</w:t>
      </w:r>
    </w:p>
    <w:p w14:paraId="4DDB3B13" w14:textId="77777777" w:rsidR="00694EB0" w:rsidRPr="00882828" w:rsidRDefault="00694EB0" w:rsidP="00694EB0">
      <w:pPr>
        <w:spacing w:line="360" w:lineRule="auto"/>
        <w:rPr>
          <w:rFonts w:ascii="Times New Roman" w:hAnsi="Times New Roman" w:cs="Times New Roman"/>
          <w:sz w:val="24"/>
          <w:szCs w:val="24"/>
        </w:rPr>
      </w:pPr>
    </w:p>
    <w:p w14:paraId="6E762C9A"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forarbejderne til § 78, stk. 3, fremhæves fire kategorier af udmålingsprincipper, som alt efter typen af overtrædelse finder anvendelse for bødefastsættelsen.</w:t>
      </w:r>
    </w:p>
    <w:p w14:paraId="469A14F1" w14:textId="77777777" w:rsidR="00694EB0" w:rsidRPr="00882828" w:rsidRDefault="00694EB0" w:rsidP="00694EB0">
      <w:pPr>
        <w:spacing w:line="360" w:lineRule="auto"/>
        <w:rPr>
          <w:rFonts w:ascii="Times New Roman" w:hAnsi="Times New Roman" w:cs="Times New Roman"/>
          <w:sz w:val="24"/>
          <w:szCs w:val="24"/>
        </w:rPr>
      </w:pPr>
    </w:p>
    <w:p w14:paraId="20224B4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Der er tale om </w:t>
      </w:r>
    </w:p>
    <w:p w14:paraId="5EAEA195" w14:textId="77777777" w:rsidR="00694EB0" w:rsidRPr="00882828" w:rsidRDefault="00694EB0" w:rsidP="00694EB0">
      <w:pPr>
        <w:spacing w:line="360" w:lineRule="auto"/>
        <w:rPr>
          <w:rFonts w:ascii="Times New Roman" w:hAnsi="Times New Roman" w:cs="Times New Roman"/>
          <w:sz w:val="24"/>
          <w:szCs w:val="24"/>
        </w:rPr>
      </w:pPr>
    </w:p>
    <w:p w14:paraId="6C79B335" w14:textId="77777777" w:rsidR="00694EB0" w:rsidRPr="00882828" w:rsidRDefault="00694EB0">
      <w:pPr>
        <w:pStyle w:val="Listeafsnit"/>
        <w:numPr>
          <w:ilvl w:val="0"/>
          <w:numId w:val="57"/>
        </w:numPr>
        <w:spacing w:line="360" w:lineRule="auto"/>
        <w:rPr>
          <w:rFonts w:ascii="Times New Roman" w:hAnsi="Times New Roman" w:cs="Times New Roman"/>
          <w:sz w:val="24"/>
          <w:szCs w:val="24"/>
        </w:rPr>
      </w:pPr>
      <w:r w:rsidRPr="00882828">
        <w:rPr>
          <w:rFonts w:ascii="Times New Roman" w:hAnsi="Times New Roman" w:cs="Times New Roman"/>
          <w:sz w:val="24"/>
          <w:szCs w:val="24"/>
        </w:rPr>
        <w:t>transaktionsprincippet, hvorefter overtrædelser som kan henføres til konkrete transaktioner, tager udgangspunkt i 25 pct. af transaktionsbeløbet,</w:t>
      </w:r>
    </w:p>
    <w:p w14:paraId="13DCEF8B" w14:textId="77777777" w:rsidR="00694EB0" w:rsidRPr="00882828" w:rsidRDefault="00694EB0">
      <w:pPr>
        <w:pStyle w:val="Listeafsnit"/>
        <w:numPr>
          <w:ilvl w:val="0"/>
          <w:numId w:val="57"/>
        </w:numPr>
        <w:spacing w:line="360" w:lineRule="auto"/>
        <w:rPr>
          <w:rFonts w:ascii="Times New Roman" w:hAnsi="Times New Roman" w:cs="Times New Roman"/>
          <w:sz w:val="24"/>
          <w:szCs w:val="24"/>
        </w:rPr>
      </w:pPr>
      <w:r w:rsidRPr="00882828">
        <w:rPr>
          <w:rFonts w:ascii="Times New Roman" w:hAnsi="Times New Roman" w:cs="Times New Roman"/>
          <w:sz w:val="24"/>
          <w:szCs w:val="24"/>
        </w:rPr>
        <w:t>besparelsesprincippet, hvorved overtrædelser af systemisk karakter, som indebærer, at virksomheden har haft en besparelse, herunder ikke afholdte konkrete udgifter, fastsættes bøden efter retspraksis i udgangspunktet til det dobbelte af virksomhedens besparelse,</w:t>
      </w:r>
    </w:p>
    <w:p w14:paraId="1DDE6191" w14:textId="77777777" w:rsidR="00694EB0" w:rsidRPr="00882828" w:rsidRDefault="00694EB0">
      <w:pPr>
        <w:pStyle w:val="Listeafsnit"/>
        <w:numPr>
          <w:ilvl w:val="0"/>
          <w:numId w:val="57"/>
        </w:num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overtrædelser vedrørende manglende politikker, procedurer mv., hvorved bøden fastsættes som en grundbøde på 50.000 kr. med et stigende procenttillæg efter virksomhedernes omsætning, og </w:t>
      </w:r>
    </w:p>
    <w:p w14:paraId="7751C8BF" w14:textId="77777777" w:rsidR="00694EB0" w:rsidRPr="00882828" w:rsidRDefault="00694EB0">
      <w:pPr>
        <w:pStyle w:val="Listeafsnit"/>
        <w:numPr>
          <w:ilvl w:val="0"/>
          <w:numId w:val="57"/>
        </w:numPr>
        <w:spacing w:line="360" w:lineRule="auto"/>
        <w:rPr>
          <w:rFonts w:ascii="Times New Roman" w:hAnsi="Times New Roman" w:cs="Times New Roman"/>
          <w:sz w:val="24"/>
          <w:szCs w:val="24"/>
        </w:rPr>
      </w:pPr>
      <w:r w:rsidRPr="00882828">
        <w:rPr>
          <w:rFonts w:ascii="Times New Roman" w:hAnsi="Times New Roman" w:cs="Times New Roman"/>
          <w:sz w:val="24"/>
          <w:szCs w:val="24"/>
        </w:rPr>
        <w:t>bøder til direktører eller overordnede ansatte, hvorefter der i retspraksis er eksempler på, at bøden til fysiske personer med tilknytning til virksomheden som udgangspunkt er udmålt til et beløb svarende til 10 pct. af bøden til virksomheden.</w:t>
      </w:r>
    </w:p>
    <w:p w14:paraId="178F35C2" w14:textId="77777777" w:rsidR="00694EB0" w:rsidRPr="00882828" w:rsidRDefault="00694EB0" w:rsidP="00694EB0">
      <w:pPr>
        <w:spacing w:line="360" w:lineRule="auto"/>
        <w:ind w:left="360"/>
        <w:rPr>
          <w:rFonts w:ascii="Times New Roman" w:hAnsi="Times New Roman" w:cs="Times New Roman"/>
          <w:sz w:val="24"/>
          <w:szCs w:val="24"/>
        </w:rPr>
      </w:pPr>
    </w:p>
    <w:p w14:paraId="6C0E1C6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Der henvises i øvrigt til afsnit 3.92.1 i de almindelige bemærkninger til lovforslaget om bødeudmåling efter gældende ret. </w:t>
      </w:r>
    </w:p>
    <w:p w14:paraId="7463AB53" w14:textId="77777777" w:rsidR="00694EB0" w:rsidRPr="00882828" w:rsidRDefault="00694EB0" w:rsidP="00694EB0">
      <w:pPr>
        <w:spacing w:line="360" w:lineRule="auto"/>
        <w:rPr>
          <w:rFonts w:ascii="Times New Roman" w:hAnsi="Times New Roman" w:cs="Times New Roman"/>
          <w:sz w:val="24"/>
          <w:szCs w:val="24"/>
        </w:rPr>
      </w:pPr>
    </w:p>
    <w:p w14:paraId="2EB0732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Den foreslåede bestemmelse udgør en delvis videreførelse af de principper for bødefastsættelsen, som gælder i dag efter den nugældende hvidvasklovs § 78, stk. 3, idet der dog er tilføjet yderligere momenter som bør vurderes ved udmåling. Der er ikke tilsigtet andre materielle ændringer med den foreslåede bestemmelse. </w:t>
      </w:r>
    </w:p>
    <w:p w14:paraId="423F986F" w14:textId="77777777" w:rsidR="00694EB0" w:rsidRPr="00882828" w:rsidRDefault="00694EB0" w:rsidP="00694EB0">
      <w:pPr>
        <w:spacing w:line="360" w:lineRule="auto"/>
        <w:rPr>
          <w:rFonts w:ascii="Times New Roman" w:hAnsi="Times New Roman" w:cs="Times New Roman"/>
          <w:sz w:val="24"/>
          <w:szCs w:val="24"/>
        </w:rPr>
      </w:pPr>
    </w:p>
    <w:p w14:paraId="1CC7A34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stk. 7</w:t>
      </w:r>
      <w:r w:rsidRPr="00882828">
        <w:rPr>
          <w:rFonts w:ascii="Times New Roman" w:hAnsi="Times New Roman" w:cs="Times New Roman"/>
          <w:sz w:val="24"/>
          <w:szCs w:val="24"/>
        </w:rPr>
        <w:t>, at ved udmålingen af bøder efter stk. 1-5 skal der navnlig lægges vægt på, overtrædelsens grovhed, jf. stk. 6, grundbeløb for bøder i forhold til omsætning, opdelt efter type overtrædelse og kategori af forpligtet enhed fastsat i medfør af hvidvaskdirektivets artikel 53, stk. 11, og gerningspersonens økonomiske forhold, herunder den ved overtrædelsen opnåede fordel og for virksomheder, dennes nettoomsætning på gerningstidspunktet.</w:t>
      </w:r>
    </w:p>
    <w:p w14:paraId="31D0BE07" w14:textId="77777777" w:rsidR="00694EB0" w:rsidRPr="00882828" w:rsidRDefault="00694EB0" w:rsidP="00694EB0">
      <w:pPr>
        <w:spacing w:line="360" w:lineRule="auto"/>
        <w:rPr>
          <w:rFonts w:ascii="Times New Roman" w:hAnsi="Times New Roman" w:cs="Times New Roman"/>
          <w:sz w:val="24"/>
          <w:szCs w:val="24"/>
        </w:rPr>
      </w:pPr>
    </w:p>
    <w:p w14:paraId="3016F27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Den foreslåede bestemmelse indebærer, ligesom i dag, at udmålingen af bøder vil skulle ske efter en trinmæssig proces. De nedenfor beskrevne beregningsprincipper og vurderingen af grovheden efter det foreslåede stk. 6 vil skulle anvendes indledningsvis for at fastsætte et udgangspunkt for bødens størrelse. Dette beregnede udgangspunkt vil herefter skulle undergives en vurdering på grundlag af de almindelige strafferetlige principper, herunder straffelovens § 51 og de almindelige regler for straffens fastsættelse i straffelovens kapitel 10. </w:t>
      </w:r>
    </w:p>
    <w:p w14:paraId="7B6012CB" w14:textId="77777777" w:rsidR="00694EB0" w:rsidRPr="00882828" w:rsidRDefault="00694EB0" w:rsidP="00694EB0">
      <w:pPr>
        <w:spacing w:line="360" w:lineRule="auto"/>
        <w:rPr>
          <w:rFonts w:ascii="Times New Roman" w:hAnsi="Times New Roman" w:cs="Times New Roman"/>
          <w:sz w:val="24"/>
          <w:szCs w:val="24"/>
        </w:rPr>
      </w:pPr>
    </w:p>
    <w:p w14:paraId="2FBE00F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relation til bøder til direktører eller overordnede ansatte bemærkes det, at sådanne fysiske personer med tilknytning til virksomheden som udgangspunkt vil udmåles til et beløb svarende til 10 pct. af bøden til virksomheden. Det forudsættes, at der – ligesom i dag – i almindelighed kun vil blive udmålt sådanne bøder i sager, hvor overtrædelsen kan tilregnes den pågældende som groft uagtsom eller forsætlig, jf. principperne i Rigsadvokatmeddelelsen, afsnittet: Strafansvar for juridiske personer.</w:t>
      </w:r>
    </w:p>
    <w:p w14:paraId="2737CA17" w14:textId="77777777" w:rsidR="00694EB0" w:rsidRPr="00882828" w:rsidRDefault="00694EB0" w:rsidP="00694EB0">
      <w:pPr>
        <w:spacing w:line="360" w:lineRule="auto"/>
        <w:rPr>
          <w:rFonts w:ascii="Times New Roman" w:hAnsi="Times New Roman" w:cs="Times New Roman"/>
          <w:sz w:val="24"/>
          <w:szCs w:val="24"/>
        </w:rPr>
      </w:pPr>
    </w:p>
    <w:p w14:paraId="22509D5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Den foreslåede bestemmelse indebærer, at der, ligesom i dag, vil skulle lægges vægt på gerningspersonens eller virksomhedens økonomiske forhold, når bødens størrelse skal fastlægges, så bødens størrelse i de tilfælde, hvor der er opnået en økonomisk fordel ved overtrædelserne, kommer til at afspejle den finansielle styrke hos den, der har begået overtrædelsen.</w:t>
      </w:r>
    </w:p>
    <w:p w14:paraId="09B0C2F0" w14:textId="77777777" w:rsidR="00694EB0" w:rsidRPr="00882828" w:rsidRDefault="00694EB0" w:rsidP="00694EB0">
      <w:pPr>
        <w:spacing w:line="360" w:lineRule="auto"/>
        <w:rPr>
          <w:rFonts w:ascii="Times New Roman" w:hAnsi="Times New Roman" w:cs="Times New Roman"/>
          <w:sz w:val="24"/>
          <w:szCs w:val="24"/>
        </w:rPr>
      </w:pPr>
    </w:p>
    <w:p w14:paraId="5D332ABB"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bemærkes, at hvis udmålingen af bøden beregnes med udgangspunkt i henholdsvis transaktionsprincippet eller besparelsesprincippet, skal bøden som udgangspunkt fastsættes efter det udmålingsprincip som giver et højere bødeniveau. Det vil i praksis betyde, at hvis det i en konkret sag er muligt at beregne en bøde efter flere udmålingsprincipper, fastsættes bøden efter det beregningsprincip, der medfører den højeste bøde, jf. nærmere herom straks nedenfor.</w:t>
      </w:r>
    </w:p>
    <w:p w14:paraId="0EFB34F5" w14:textId="77777777" w:rsidR="00694EB0" w:rsidRPr="00882828" w:rsidRDefault="00694EB0" w:rsidP="00694EB0">
      <w:pPr>
        <w:spacing w:line="360" w:lineRule="auto"/>
        <w:rPr>
          <w:rFonts w:ascii="Times New Roman" w:hAnsi="Times New Roman" w:cs="Times New Roman"/>
          <w:sz w:val="24"/>
          <w:szCs w:val="24"/>
        </w:rPr>
      </w:pPr>
    </w:p>
    <w:p w14:paraId="562B597E"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Den foreslåede bestemmelse indebærer som tidligere nævnt ligeledes, at der, ligesom tilfældet er i dag, vil skulle tages hensyn til, hvilken type af overtrædelse, der er tale om, og hvorvidt den pågældende virksomhed ved den pågældende lovovertrædelse har opnået en økonomisk fordel. </w:t>
      </w:r>
    </w:p>
    <w:p w14:paraId="58152358" w14:textId="77777777" w:rsidR="00694EB0" w:rsidRPr="00882828" w:rsidRDefault="00694EB0" w:rsidP="00694EB0">
      <w:pPr>
        <w:spacing w:line="360" w:lineRule="auto"/>
        <w:rPr>
          <w:rFonts w:ascii="Times New Roman" w:hAnsi="Times New Roman" w:cs="Times New Roman"/>
          <w:sz w:val="24"/>
          <w:szCs w:val="24"/>
        </w:rPr>
      </w:pPr>
    </w:p>
    <w:p w14:paraId="3DF9C86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Dette indebærer for det første, at ved lovovertrædelser, som kan henføres til konkrete transaktioner, f.eks. manglende gennemførelse af kundekendskabsprocedurer, vil bødeberegningen fortsat tage udgangspunkt i 25 pct. af transaktionsbeløbet (transaktionsprincippet), men således at en konkret vurdering af sagens samlede omstændigheder i enkelte sager fortsat vil kunne begrunde en fravigelse af dette udgangspunkt.</w:t>
      </w:r>
    </w:p>
    <w:p w14:paraId="3288E9CF" w14:textId="77777777" w:rsidR="00694EB0" w:rsidRPr="00882828" w:rsidRDefault="00694EB0" w:rsidP="00694EB0">
      <w:pPr>
        <w:spacing w:line="360" w:lineRule="auto"/>
        <w:rPr>
          <w:rFonts w:ascii="Times New Roman" w:hAnsi="Times New Roman" w:cs="Times New Roman"/>
          <w:sz w:val="24"/>
          <w:szCs w:val="24"/>
        </w:rPr>
      </w:pPr>
    </w:p>
    <w:p w14:paraId="497E895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Dette indebærer for det andet, at ved lovovertrædelser, som er af systemisk karakter, og som indebærer, at virksomheden har haft en besparelse, herunder ikke afholdte konkrete udgifter, som udgangspunkt vil skulle fastsættes efter besparelsesprincippet.</w:t>
      </w:r>
    </w:p>
    <w:p w14:paraId="16685C20" w14:textId="77777777" w:rsidR="00694EB0" w:rsidRPr="00882828" w:rsidRDefault="00694EB0" w:rsidP="00694EB0">
      <w:pPr>
        <w:spacing w:line="360" w:lineRule="auto"/>
        <w:rPr>
          <w:rFonts w:ascii="Times New Roman" w:hAnsi="Times New Roman" w:cs="Times New Roman"/>
          <w:sz w:val="24"/>
          <w:szCs w:val="24"/>
        </w:rPr>
      </w:pPr>
    </w:p>
    <w:p w14:paraId="3CA2F8F7"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bemærkes, at en eventuel senere dom for konfiskation af det ved lovovertrædelsen opnåede udbytte vil være uden betydning for udmålingen af bøden efter det foreslåede princip.</w:t>
      </w:r>
    </w:p>
    <w:p w14:paraId="5335DE31" w14:textId="77777777" w:rsidR="00694EB0" w:rsidRPr="00882828" w:rsidRDefault="00694EB0" w:rsidP="00694EB0">
      <w:pPr>
        <w:spacing w:line="360" w:lineRule="auto"/>
        <w:rPr>
          <w:rFonts w:ascii="Times New Roman" w:hAnsi="Times New Roman" w:cs="Times New Roman"/>
          <w:sz w:val="24"/>
          <w:szCs w:val="24"/>
        </w:rPr>
      </w:pPr>
    </w:p>
    <w:p w14:paraId="5499DC0F"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bør i den forbindelse tilstræbes, at der i vurderingen af størrelsen af den endelige bøde også indgår en vurdering af den pågældende virksomheds betalingsevne. </w:t>
      </w:r>
    </w:p>
    <w:p w14:paraId="2D9C189F" w14:textId="77777777" w:rsidR="00694EB0" w:rsidRPr="00882828" w:rsidRDefault="00694EB0" w:rsidP="00694EB0">
      <w:pPr>
        <w:spacing w:line="360" w:lineRule="auto"/>
        <w:rPr>
          <w:rFonts w:ascii="Times New Roman" w:hAnsi="Times New Roman" w:cs="Times New Roman"/>
          <w:sz w:val="24"/>
          <w:szCs w:val="24"/>
        </w:rPr>
      </w:pPr>
    </w:p>
    <w:p w14:paraId="5869583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For virksomheder, som er underlagt soliditetskrav, vil blive foretaget en beregning af virksomhedens soliditet for at vurdere, om virksomhedens overlevelse trues. Det forudsættes i den forbindelse, at denne soliditetsvurdering foretages på baggrund af en erklæring fra virksomhedens revisor og efter inddragelse af den relevante tilsynsmyndighed. </w:t>
      </w:r>
    </w:p>
    <w:p w14:paraId="5C690DC4" w14:textId="77777777" w:rsidR="00694EB0" w:rsidRPr="00882828" w:rsidRDefault="00694EB0" w:rsidP="00694EB0">
      <w:pPr>
        <w:spacing w:line="360" w:lineRule="auto"/>
        <w:rPr>
          <w:rFonts w:ascii="Times New Roman" w:hAnsi="Times New Roman" w:cs="Times New Roman"/>
          <w:sz w:val="24"/>
          <w:szCs w:val="24"/>
        </w:rPr>
      </w:pPr>
    </w:p>
    <w:p w14:paraId="4541FA5C"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For virksomheder, der ikke er underlagt soliditetskrav, bør vurderingen af betalingsevnen foretages på baggrund af virksomhedens økonomiske forhold, herunder regnskabsoplysninger, likviditet og øvrige relevante oplysninger om virksomhedens mulighed for at betale bøden. </w:t>
      </w:r>
    </w:p>
    <w:p w14:paraId="0F2E7351" w14:textId="77777777" w:rsidR="00694EB0" w:rsidRPr="00882828" w:rsidRDefault="00694EB0" w:rsidP="00694EB0">
      <w:pPr>
        <w:spacing w:line="360" w:lineRule="auto"/>
        <w:rPr>
          <w:rFonts w:ascii="Times New Roman" w:hAnsi="Times New Roman" w:cs="Times New Roman"/>
          <w:sz w:val="24"/>
          <w:szCs w:val="24"/>
        </w:rPr>
      </w:pPr>
    </w:p>
    <w:p w14:paraId="040AA061"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bør dog ikke tilstræbes at nedsætte bøden under henvisning til virksomhedens betalingsevne, hvis overtrædelserne er af en sådan karakter, at de må anses for at have udgjort en central del af den pågældende virksomheds aktiviteter. Dette kan eksempelvis være tilfældet, hvor virksomhedens forretningsmodel i betydelig omgang har været baseret på de aktiviteter, som overtrædelsen vedrører. </w:t>
      </w:r>
    </w:p>
    <w:p w14:paraId="26B75453" w14:textId="77777777" w:rsidR="00694EB0" w:rsidRPr="00882828" w:rsidRDefault="00694EB0" w:rsidP="00694EB0">
      <w:pPr>
        <w:spacing w:line="360" w:lineRule="auto"/>
        <w:rPr>
          <w:rFonts w:ascii="Times New Roman" w:hAnsi="Times New Roman" w:cs="Times New Roman"/>
          <w:sz w:val="24"/>
          <w:szCs w:val="24"/>
        </w:rPr>
      </w:pPr>
    </w:p>
    <w:p w14:paraId="622AB8A3"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Der kan eksempelvis være tale om en ”central del af virksomhedens aktiviteter”, hvis virksomheden både udøver aktiviteter, der ikke er omfattet af hvidvaskreguleringen, og aktiviteter, der er omfattet heraf, f.eks. valutaveksling for kunder, hvor pengenes oprindelse fremstår tvivlsom. I den forbindelse vil det være afgørende, hvilket omfang den aktivitet, hvorved overtrædelsen begås, udgør af virksomhedens samlede aktiviteter.</w:t>
      </w:r>
    </w:p>
    <w:p w14:paraId="1BFA1FCE" w14:textId="77777777" w:rsidR="00694EB0" w:rsidRPr="00882828" w:rsidRDefault="00694EB0" w:rsidP="00694EB0">
      <w:pPr>
        <w:spacing w:line="360" w:lineRule="auto"/>
        <w:rPr>
          <w:rFonts w:ascii="Times New Roman" w:hAnsi="Times New Roman" w:cs="Times New Roman"/>
          <w:sz w:val="24"/>
          <w:szCs w:val="24"/>
        </w:rPr>
      </w:pPr>
    </w:p>
    <w:p w14:paraId="65A2EC7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Hvis bevisførelsen viser, at eksempelvis 50-75 pct. af virksomhedens samlede aktivitet vedrører veksling af penge for kunder, hvor virksomheden ikke har indhentet og opbevaret kundekendskabsmateriale eller foretaget underretninger, vil denne aktivitet som udgangspunkt skulle anses for at udgøre en central del af virksomhedens aktiviteter. I en sådan situation vil der ikke være en særlig beskyttelsesinteresse knyttet til virksomhedens fortsatte drift. Ved vurderingen af aktivitetens omfang bør der lægges vægt på både størrelsen af de enkelte transaktioner såvel som antallet heraf.</w:t>
      </w:r>
    </w:p>
    <w:p w14:paraId="365667C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I det modsatte tilfælde, hvor aktiviteten, hvorved der begås en overtrædelse, alene udgør en mindre del af den samlede aktivitet, vil der være en særlig beskyttelsesinteresse i forhold til virksomhedens fortsatte drift.</w:t>
      </w:r>
    </w:p>
    <w:p w14:paraId="2BD7E8E7" w14:textId="77777777" w:rsidR="00694EB0" w:rsidRPr="00882828" w:rsidRDefault="00694EB0" w:rsidP="00694EB0">
      <w:pPr>
        <w:spacing w:line="360" w:lineRule="auto"/>
        <w:rPr>
          <w:rFonts w:ascii="Times New Roman" w:hAnsi="Times New Roman" w:cs="Times New Roman"/>
          <w:sz w:val="24"/>
          <w:szCs w:val="24"/>
        </w:rPr>
      </w:pPr>
    </w:p>
    <w:p w14:paraId="150EB4D2" w14:textId="213F2F82"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afgørende er således ikke i sig selv, hvilke aktiviteter virksomheden udøver, men hvilket omfang det berørte forretningsområde udgør af virksomhedens samlede aktivitet.</w:t>
      </w:r>
    </w:p>
    <w:p w14:paraId="08A6CCDD" w14:textId="73CC3304" w:rsidR="00694EB0" w:rsidRPr="00882828" w:rsidRDefault="00694EB0" w:rsidP="00694EB0">
      <w:pPr>
        <w:spacing w:line="360" w:lineRule="auto"/>
        <w:rPr>
          <w:rFonts w:ascii="Times New Roman" w:hAnsi="Times New Roman" w:cs="Times New Roman"/>
          <w:sz w:val="24"/>
          <w:szCs w:val="24"/>
        </w:rPr>
      </w:pPr>
    </w:p>
    <w:p w14:paraId="020DF615"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bemærkes i forhold til det ovenstående eksempel, at i det omfang der på grund af pengenes oprindelse konkret er grundlag for at straffe for hvidvask efter straffelovens § 290 a eller medvirken hertil, vil der som udgangspunkt skulle rejses tiltale efter straffeloven, eventuelt i kombination med tiltale for overtrædelse af hvidvaskloven. </w:t>
      </w:r>
    </w:p>
    <w:p w14:paraId="6CA63527" w14:textId="77777777" w:rsidR="00694EB0" w:rsidRPr="00882828" w:rsidRDefault="00694EB0" w:rsidP="00694EB0">
      <w:pPr>
        <w:spacing w:line="360" w:lineRule="auto"/>
        <w:rPr>
          <w:rFonts w:ascii="Times New Roman" w:hAnsi="Times New Roman" w:cs="Times New Roman"/>
          <w:sz w:val="24"/>
          <w:szCs w:val="24"/>
        </w:rPr>
      </w:pPr>
    </w:p>
    <w:p w14:paraId="3F521BD8"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Tilsvarende gør sig gældende, såfremt det i forbindelse med bevisførelsen kan konstateres, at virksomhedens regnskaber over indtjening ikke er retvisende, f.eks. at der i forbindelse med pengeomveksling er opkrævet vekselgebyrer, der ikke figurerer i virksomhedens regnskaber, eller hvis fortjenesten for gennemførelse af transaktionerne er meget stor. Heller ikke i disse tilfælde vurderes der at være en særlig beskyttelsesinteresse i forhold til virksomhedens fortsatte drift. </w:t>
      </w:r>
    </w:p>
    <w:p w14:paraId="4C0315FE" w14:textId="77777777" w:rsidR="00694EB0" w:rsidRPr="00882828" w:rsidRDefault="00694EB0" w:rsidP="00694EB0">
      <w:pPr>
        <w:spacing w:line="360" w:lineRule="auto"/>
        <w:rPr>
          <w:rFonts w:ascii="Times New Roman" w:hAnsi="Times New Roman" w:cs="Times New Roman"/>
          <w:sz w:val="24"/>
          <w:szCs w:val="24"/>
        </w:rPr>
      </w:pPr>
    </w:p>
    <w:p w14:paraId="2D6F9A06"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bemærkes, at der også i andre tilfælde end for virksomheder, som er underlagt soliditetskrav, vil skulle tages hensyn til den pågældende virksomheds evne til at betale bøden overfor overtrædelsens grovhed. Dette gælder særligt i de tilfælde, hvor bødebeløbet reelt vil indebære, at den pågældende virksomhed må ophøre. Det svarer til straffelovens § 51, stk. 3.</w:t>
      </w:r>
    </w:p>
    <w:p w14:paraId="2D74AF79" w14:textId="77777777" w:rsidR="00694EB0" w:rsidRPr="00882828" w:rsidRDefault="00694EB0" w:rsidP="00694EB0">
      <w:pPr>
        <w:spacing w:line="360" w:lineRule="auto"/>
        <w:rPr>
          <w:rFonts w:ascii="Times New Roman" w:hAnsi="Times New Roman" w:cs="Times New Roman"/>
          <w:sz w:val="24"/>
          <w:szCs w:val="24"/>
        </w:rPr>
      </w:pPr>
    </w:p>
    <w:p w14:paraId="707C7FE2"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foreslåede medfører således, at der ved udmåling af bøder skal foretages trinmæssige skridt før den endelige bøde kan fastsættes.</w:t>
      </w:r>
    </w:p>
    <w:p w14:paraId="7342F384" w14:textId="77777777" w:rsidR="00694EB0" w:rsidRPr="00882828" w:rsidRDefault="00694EB0" w:rsidP="00694EB0">
      <w:pPr>
        <w:spacing w:line="360" w:lineRule="auto"/>
        <w:rPr>
          <w:rFonts w:ascii="Times New Roman" w:hAnsi="Times New Roman" w:cs="Times New Roman"/>
          <w:sz w:val="24"/>
          <w:szCs w:val="24"/>
        </w:rPr>
      </w:pPr>
    </w:p>
    <w:p w14:paraId="6A84F6E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For det førte skal der ske en klassificering af overtrædelsen ved anvendelse af det foreslåede skema i medfør af det foreslåede stk. 6. </w:t>
      </w:r>
    </w:p>
    <w:p w14:paraId="09FFED2F" w14:textId="77777777" w:rsidR="00694EB0" w:rsidRPr="00882828" w:rsidRDefault="00694EB0" w:rsidP="00694EB0">
      <w:pPr>
        <w:spacing w:line="360" w:lineRule="auto"/>
        <w:rPr>
          <w:rFonts w:ascii="Times New Roman" w:hAnsi="Times New Roman" w:cs="Times New Roman"/>
          <w:sz w:val="24"/>
          <w:szCs w:val="24"/>
        </w:rPr>
      </w:pPr>
    </w:p>
    <w:p w14:paraId="3A3AD694"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Herefter skal der ske en vurdering af, om ét eller flere af de beskrevne beregningsprincipper finder anvendelse. Hvis det er tilfældet, at ét eller flere beregningsprincipper finder anvendelse for den konkrete overtrædelse, skal der ske beregning på baggrund af princippet. </w:t>
      </w:r>
    </w:p>
    <w:p w14:paraId="7E46AF92" w14:textId="77777777" w:rsidR="00694EB0" w:rsidRPr="00882828" w:rsidRDefault="00694EB0" w:rsidP="00694EB0">
      <w:pPr>
        <w:spacing w:line="360" w:lineRule="auto"/>
        <w:rPr>
          <w:rFonts w:ascii="Times New Roman" w:hAnsi="Times New Roman" w:cs="Times New Roman"/>
          <w:sz w:val="24"/>
          <w:szCs w:val="24"/>
        </w:rPr>
      </w:pPr>
    </w:p>
    <w:p w14:paraId="78CA8300" w14:textId="77777777" w:rsidR="00694EB0" w:rsidRPr="00882828" w:rsidRDefault="00694EB0" w:rsidP="00694EB0">
      <w:pPr>
        <w:spacing w:line="360" w:lineRule="auto"/>
        <w:rPr>
          <w:rFonts w:ascii="Times New Roman" w:hAnsi="Times New Roman" w:cs="Times New Roman"/>
          <w:sz w:val="24"/>
          <w:szCs w:val="24"/>
        </w:rPr>
      </w:pPr>
      <w:r w:rsidRPr="00882828">
        <w:rPr>
          <w:rFonts w:ascii="Times New Roman" w:hAnsi="Times New Roman" w:cs="Times New Roman"/>
          <w:sz w:val="24"/>
          <w:szCs w:val="24"/>
        </w:rPr>
        <w:t>Bødestraffen vil fortsat bero på domstolenes konkrete vurdering i det enkelte tilfælde af sagens omstændigheder, og det angivne bødeniveau vil således kunne fraviges i både op- og nedadgående retning, hvis der i den konkrete sag foreligger skærpende eller formildende omstændigheder, jf. herved de almindelige regler om straffens fastsættelse i straffelovens kapitel 10.</w:t>
      </w:r>
    </w:p>
    <w:p w14:paraId="0C1086B9" w14:textId="77777777" w:rsidR="00694EB0" w:rsidRPr="00882828" w:rsidRDefault="00694EB0" w:rsidP="00694EB0">
      <w:pPr>
        <w:spacing w:line="360" w:lineRule="auto"/>
        <w:rPr>
          <w:rFonts w:ascii="Times New Roman" w:hAnsi="Times New Roman" w:cs="Times New Roman"/>
          <w:sz w:val="24"/>
          <w:szCs w:val="24"/>
        </w:rPr>
      </w:pPr>
    </w:p>
    <w:p w14:paraId="710D1416"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 xml:space="preserve">stk. 8, </w:t>
      </w:r>
      <w:r w:rsidRPr="00882828">
        <w:rPr>
          <w:rFonts w:ascii="Times New Roman" w:hAnsi="Times New Roman" w:cs="Times New Roman"/>
          <w:sz w:val="24"/>
          <w:szCs w:val="24"/>
        </w:rPr>
        <w:t xml:space="preserve">at der </w:t>
      </w:r>
      <w:r w:rsidRPr="00882828">
        <w:rPr>
          <w:rFonts w:ascii="Times New Roman" w:eastAsia="Times New Roman" w:hAnsi="Times New Roman" w:cs="Times New Roman"/>
          <w:sz w:val="24"/>
          <w:szCs w:val="24"/>
          <w:lang w:eastAsia="da-DK"/>
        </w:rPr>
        <w:t>kan pålægges selskaber m.v. (juridiske personer) strafansvar efter reglerne i straffelovens kapitel 5.</w:t>
      </w:r>
    </w:p>
    <w:p w14:paraId="1DC888A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312E4D0D"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fremgår af § 27, stk. 1, 1. pkt., i straffeloven, at strafansvar for en juridisk person forudsætter, at der inden for dens virksomhed er begået en overtrædelse, der kan tilregnes en eller flere til den juridiske person knyttede personer eller den juridiske person som sådan. </w:t>
      </w:r>
    </w:p>
    <w:p w14:paraId="584EA6EA"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5C664BE1"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I de tilfælde, hvor de strafbelagte bestemmelser omhandler pligter eller forbud for virksomheden, er de mulige strafsubjekter virksomheden og/eller en eller flere personer med til knytning til virksomheden, hvilket oftest er medlemmer af ledelsen. </w:t>
      </w:r>
    </w:p>
    <w:p w14:paraId="5B79CDA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6AD3747B"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Udgangspunktet er, at der rejses tiltale mod virksomheden (dvs. den juridiske person) for overtrædelsen, men dette kan kombineres med tiltale mod en eller flere fysiske personer med tilknytning til virksomheden, hvis en el ler flere af disse personer har medvirket forsætligt eller groft uagtsomt til overtrædelsen, og overtrædelsen ikke er af underordnet karakter. Der skal som udgangspunkt ikke rejses tiltale mod underordnede ansatte.</w:t>
      </w:r>
    </w:p>
    <w:p w14:paraId="4D287357"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p>
    <w:p w14:paraId="23DDB6BC" w14:textId="77777777" w:rsidR="00694EB0" w:rsidRPr="00882828" w:rsidRDefault="00694EB0" w:rsidP="00694EB0">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Det forudsættes, at tilsynsmyndighederne i forbindelse med en politianmeldelse til NSK angiver myndighedens vurdering af den pågældende overtrædelse, herunder overtrædelsens grovhed, jf. det foreslåede stk. 6, og hvor det er muligt en eventuel indstilling til et relevant bødeniveau, som ved overtrædelser af en vis beskaffenhed vil kunne svare til sanktionsniveauet for tilsvarende overtrædelser efter gældende ret. Sådanne indstillinger vil i almindelighed skulle indgå i politiets, anklagemyndighedens og rettens vurdering af sanktionsspørgsmålet.</w:t>
      </w:r>
    </w:p>
    <w:p w14:paraId="4E1CF634" w14:textId="77777777" w:rsidR="00AA7E42" w:rsidRPr="00796736" w:rsidRDefault="00AA7E42" w:rsidP="00A802A5">
      <w:pPr>
        <w:spacing w:line="360" w:lineRule="auto"/>
        <w:rPr>
          <w:rFonts w:ascii="Times New Roman" w:hAnsi="Times New Roman" w:cs="Times New Roman"/>
          <w:sz w:val="24"/>
          <w:szCs w:val="24"/>
          <w:lang w:eastAsia="da-DK"/>
        </w:rPr>
      </w:pPr>
    </w:p>
    <w:p w14:paraId="29132F74" w14:textId="4DB877AB" w:rsidR="00AA7E42" w:rsidRPr="00796736" w:rsidRDefault="000F6E2E" w:rsidP="00A802A5">
      <w:pPr>
        <w:pStyle w:val="Undertitel"/>
      </w:pPr>
      <w:bookmarkStart w:id="2262" w:name="_Toc232109451"/>
      <w:bookmarkStart w:id="2263" w:name="_Toc244879436"/>
      <w:bookmarkStart w:id="2264" w:name="_Toc244880961"/>
      <w:r w:rsidRPr="00796736">
        <w:t xml:space="preserve">Til </w:t>
      </w:r>
      <w:bookmarkEnd w:id="2262"/>
      <w:r w:rsidR="005A265F">
        <w:fldChar w:fldCharType="begin"/>
      </w:r>
      <w:r w:rsidR="005A265F">
        <w:instrText xml:space="preserve"> REF _Ref244689890 \r \h </w:instrText>
      </w:r>
      <w:r w:rsidR="005A265F">
        <w:fldChar w:fldCharType="separate"/>
      </w:r>
      <w:r w:rsidR="008F29E5">
        <w:t>§ 140</w:t>
      </w:r>
      <w:bookmarkEnd w:id="2263"/>
      <w:bookmarkEnd w:id="2264"/>
      <w:r w:rsidR="005A265F">
        <w:fldChar w:fldCharType="end"/>
      </w:r>
    </w:p>
    <w:p w14:paraId="68910085"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følger af § 78 a, at skønnes en overtrædelse af § 7, stk. 1 eller 2, § 8, stk. 1-4 eller 6, § 9, stk. 1 eller 2, § 10, § 11, stk. 1 eller 2, eller stk. 3, 1., 3. eller 4. pkt., § 12, § 14, stk. 1, stk. 2, 2. pkt., stk. 3, stk. 4, 2. pkt., eller stk. 5, § 15, § 17, stk. 1 eller 2, § 18, stk. 1-6, § 19, § 20, § 22, stk. 2 eller 3, § 24, stk. 1, 2. pkt., stk. 2 eller 3, § 25, stk. 1 eller 2, § 26, stk. 1 eller 3, eller stk. 4, 1. pkt., og stk. 6, 1. pkt., §§ 30, 31, 40 eller 43 eller § 48, stk. 1 og 2, ikke at ville medføre højere straf end bøde, kan Finanstilsynet i et bødeforelæg tilkendegive, at sagen kan afgøres uden retssag, hvis den fysiske eller juridiske person, der har begået overtrædelsen, erklærer sig skyldig i overtrædelsen og erklærer sig rede til inden en nærmere angiven frist at betale en bøde som angivet i bødeforelægget, jf. dog stk. 2. </w:t>
      </w:r>
    </w:p>
    <w:p w14:paraId="1DCDD8F1" w14:textId="77777777" w:rsidR="00C43F96" w:rsidRPr="00882828" w:rsidRDefault="00C43F96" w:rsidP="00C43F96">
      <w:pPr>
        <w:spacing w:line="360" w:lineRule="auto"/>
        <w:rPr>
          <w:rFonts w:ascii="Times New Roman" w:hAnsi="Times New Roman" w:cs="Times New Roman"/>
          <w:sz w:val="24"/>
          <w:szCs w:val="24"/>
        </w:rPr>
      </w:pPr>
    </w:p>
    <w:p w14:paraId="7D085B3B"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Det følger endvidere af stk. 2, at Finanstilsynet forud for udstedelsen af et administrativt bødeforelæg skal indhente samtykke fra National Enhed for Særlig Kriminalitet, hvis Finanstilsynet vurderer, at en overtrædelse giver anledning til en vis skønsmæssig vurdering, eller at udgangspunktet for bødeniveauet skal fraviges.</w:t>
      </w:r>
    </w:p>
    <w:p w14:paraId="44A0E3CA" w14:textId="77777777" w:rsidR="00C43F96" w:rsidRPr="00882828" w:rsidRDefault="00C43F96" w:rsidP="00C43F96">
      <w:pPr>
        <w:spacing w:line="360" w:lineRule="auto"/>
        <w:rPr>
          <w:rFonts w:ascii="Times New Roman" w:hAnsi="Times New Roman" w:cs="Times New Roman"/>
          <w:sz w:val="24"/>
          <w:szCs w:val="24"/>
        </w:rPr>
      </w:pPr>
    </w:p>
    <w:p w14:paraId="6B4F91E0"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Af stk. 3 følger, at retsplejelovens regler om krav til indholdet af et anklageskrift og om, at en sigtet ikke er forpligtet til at udtale sig, finder tilsvarende anvendelse på bødeforelæg efter stk. 1. Endeligt følger det af stk. 4, at vedtages et bødeforelæg, bortfalder videre forfølgning, samt at vedtagelsen har samme virkning som en dom.</w:t>
      </w:r>
    </w:p>
    <w:p w14:paraId="669C21E1" w14:textId="77777777" w:rsidR="00C43F96" w:rsidRPr="00882828" w:rsidRDefault="00C43F96" w:rsidP="00C43F96">
      <w:pPr>
        <w:spacing w:line="360" w:lineRule="auto"/>
        <w:rPr>
          <w:rFonts w:ascii="Times New Roman" w:hAnsi="Times New Roman" w:cs="Times New Roman"/>
          <w:sz w:val="24"/>
          <w:szCs w:val="24"/>
        </w:rPr>
      </w:pPr>
    </w:p>
    <w:p w14:paraId="0ECC96F9"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Den foreslåede § 140 viderefører den gældende § 78 a i hvidvaskloven redaktionelle ændringer og præciseringer. Den foreslåede bestemmelse medfører ikke materielle ændringer.</w:t>
      </w:r>
    </w:p>
    <w:p w14:paraId="59C886F4" w14:textId="77777777" w:rsidR="00C43F96" w:rsidRPr="00882828" w:rsidRDefault="00C43F96" w:rsidP="00C43F96">
      <w:pPr>
        <w:spacing w:line="360" w:lineRule="auto"/>
        <w:rPr>
          <w:rFonts w:ascii="Times New Roman" w:hAnsi="Times New Roman" w:cs="Times New Roman"/>
          <w:sz w:val="24"/>
          <w:szCs w:val="24"/>
        </w:rPr>
      </w:pPr>
    </w:p>
    <w:p w14:paraId="7CEE16D4"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 xml:space="preserve">§ 140, stk. 1, </w:t>
      </w:r>
      <w:r w:rsidRPr="00882828">
        <w:rPr>
          <w:rFonts w:ascii="Times New Roman" w:hAnsi="Times New Roman" w:cs="Times New Roman"/>
          <w:sz w:val="24"/>
          <w:szCs w:val="24"/>
        </w:rPr>
        <w:t xml:space="preserve">at skønnes en overtrædelse af artikel 9, stk. 1-3, artikel 10, stk. 1 og 2, artikel 11, stk. 1, 1.-3. pkt., stk. 2, 1., 2., 5. og 6. pkt., stk. 3, 5 og 6, artikel 12, artikel 13, stk. 1-3, artikel 16, stk. 1-3, artikel 17, stk. 1 og 2, artikel 18, stk. 1, 2. pkt., stk. 2, 3. pkt., og stk. 3-6, artikel 19, stk. 1-3, stk. 4, 1. pkt., og stk. 5, artikel 20, stk. 1, 2 og 4, artikel 21, stk. 1, 1. og 4. pkt., og stk. 3, 1. og 2. pkt., artikel 22, stk. 1-7, artikel 23, stk. 1, 1. og 3. pkt., stk. 2, 2. pkt., og stk. 4, artikel 25, stk. 1, artikel 26, stk. 1-3, og stk. 4, 1. og 2. pkt., artikel 29, stk. 4, artikel 34, stk. 1-4, artikel 36, artikel 37, stk. 1 og 2, artikel 39, stk. 1 og 2, artikel 42, stk. 1, artikel 44, artikel 45, stk. 1-3, artikel 47, artikel 48, stk. 1, og 2 og 4, artikel 49, stk. 1-4, artikel 69, stk. 1, 1.-3. pkt., stk. 2 og 6, artikel 71, stk. 1 og 2, og artikel 77 </w:t>
      </w:r>
      <w:r w:rsidRPr="00882828">
        <w:rPr>
          <w:rFonts w:ascii="Times New Roman" w:eastAsia="Times New Roman" w:hAnsi="Times New Roman" w:cs="Times New Roman"/>
          <w:sz w:val="24"/>
          <w:szCs w:val="24"/>
          <w:lang w:eastAsia="da-DK"/>
        </w:rPr>
        <w:t>i hvidvaskforordningen, og §§ 40, 43, § 47, stk. 1 og 2, og § 51, stk. 1-5, i denne lov</w:t>
      </w:r>
      <w:r w:rsidRPr="00882828">
        <w:rPr>
          <w:rFonts w:ascii="Times New Roman" w:hAnsi="Times New Roman" w:cs="Times New Roman"/>
          <w:sz w:val="24"/>
          <w:szCs w:val="24"/>
        </w:rPr>
        <w:t>, ikke at ville medføre højere straf end bøde, kan Finanstilsynet i et bødeforelæg tilkendegive, at sagen kan afgøres uden retssag, hvis den fysiske eller juridiske person, der har begået overtrædelsen, erklærer sig skyldig i overtrædelsen og erklærer sig rede til inden en nærmere angiven frist at betale en bøde som angivet i bødeforelægget, jf. dog stk. 2.</w:t>
      </w:r>
    </w:p>
    <w:p w14:paraId="54EEBB33"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p>
    <w:p w14:paraId="65907ADA"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Finanstilsynet vil med det foreslåede stk. 1 kunne udstede administrative bødeforelæg for overtrædelser af de deri nævnte artikler, f.eks. om udarbejdelse af en risikovurdering eller foretagelse af kundekendskabsprocedurer, og bestemmelser i denne lov.</w:t>
      </w:r>
    </w:p>
    <w:p w14:paraId="72C5E98A"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p>
    <w:p w14:paraId="2D9D4600"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Det er en forudsætning for Finanstilsynets adgang til at udstede et administrativt bødeforelæg efter den foreslåede bestemmelse, at tilståelsens rigtighed er bestyrket gennem oplysningerne i sagen og de i øvrigt foreliggende oplysninger, og at det derfor ikke vil være betænkeligt at afgøre sagen uden en egentlig straffesag. Dette svarer til principperne for tilståelsessager ved domstolene, jf. retsplejelovens § 831, stk. 1, nr. 1 og 3.</w:t>
      </w:r>
    </w:p>
    <w:p w14:paraId="05933303"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p>
    <w:p w14:paraId="7B18B8BA"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Det er endvidere en forudsætning for Finanstilsynets umiddelbare adgang til at udstede et administrativt bødeforelæg, at den pågældende overtrædelse er klar, selvom der måtte være tale om en overtrædelse af en mere skønspræget bestemmelse. Der henvises i øvrigt til bemærkningerne til den forslåede § 139 for en gennemgang af eksempler på sådanne klare overtrædelser af de i stk. 1 nævnte bestemmelser, som er omfattet af Finanstilsynets adgang til at udstede administrative bødeforelæg, og hvor principperne for bødefastsættelsen tillige er fastlagt.</w:t>
      </w:r>
    </w:p>
    <w:p w14:paraId="7E73B213"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p>
    <w:p w14:paraId="37838282"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Det bemærkes, at der med de anførte eksempler ikke er tale om en udtømmende angivelse af de overtrædelser, som omfattes af Finanstilsynets adgang til at udstede administrative bødeforelæg, idet det dog forudsættes, at yderligere overtrædelser af de bestemmelser, der er nævnt i det foreslåede stk. 1, kun vil være omfattet af Finanstilsynets umiddelbare adgang til at udstede administrative bødeforelæg, hvis de er tilsvarende klare, og principperne for bødefastsættelsen tilsvarende faste.</w:t>
      </w:r>
    </w:p>
    <w:p w14:paraId="4B327597"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p>
    <w:p w14:paraId="69D5FCD1"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Ved Finanstilsynets udmåling af administrative bødeforelæg finder det foreslåede i § 140, stk. 6 og 7, tillige anvendelse. </w:t>
      </w:r>
    </w:p>
    <w:p w14:paraId="5150CB65"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p>
    <w:p w14:paraId="2397C9FE"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I vurderingen af størrelsen af den endelige bøde indgår en vurdering af den pågældende virksomheds mulighed for at betale denne. I den sammenhæng må det forventes, at Finanstilsynet - for virksomheder, som er underlagt soliditetskrav - vil beregne virksomhedens soliditet for at vurdere, om virksomhedens overlevelse trues. Det forudsættes i den forbindelse, at denne soliditetsvurdering foretages på baggrund af virksomhedens seneste halv- eller helårsrapport og de oplysninger som virksomheden i øvrigt er forpligtet til at afgive til Finanstilsynet om dennes økonomiske situation. Dette bør dog ikke tilstræbes, hvis overtrædelserne er af en sådan karakter, at de må anses for at have udgjort en central del af den pågældende virksomheds aktiviteter.</w:t>
      </w:r>
    </w:p>
    <w:p w14:paraId="112CE91F" w14:textId="77777777" w:rsidR="00C43F96" w:rsidRPr="00882828" w:rsidRDefault="00C43F96" w:rsidP="00C43F96">
      <w:pPr>
        <w:spacing w:line="360" w:lineRule="auto"/>
        <w:rPr>
          <w:rFonts w:ascii="Times New Roman" w:hAnsi="Times New Roman" w:cs="Times New Roman"/>
          <w:sz w:val="24"/>
          <w:szCs w:val="24"/>
        </w:rPr>
      </w:pPr>
    </w:p>
    <w:p w14:paraId="02F8078F"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stk. 2,</w:t>
      </w:r>
      <w:r w:rsidRPr="00882828">
        <w:rPr>
          <w:rFonts w:ascii="Times New Roman" w:eastAsia="Times New Roman" w:hAnsi="Times New Roman" w:cs="Times New Roman"/>
          <w:sz w:val="24"/>
          <w:szCs w:val="24"/>
          <w:lang w:eastAsia="da-DK"/>
        </w:rPr>
        <w:t xml:space="preserve"> at Finanstilsynet forud for udstedelsen af et administrativt bødeforelæg skal indhente samtykke fra National Enhed for Særlig Kriminalitet, hvis Finanstilsynet vurderer, at en overtrædelse giver anledning til en vis skønsmæssig vurdering, eller at udgangspunktet for bødeniveauet skal fraviges.</w:t>
      </w:r>
    </w:p>
    <w:p w14:paraId="00469C65" w14:textId="77777777" w:rsidR="00C43F96" w:rsidRPr="00882828" w:rsidRDefault="00C43F96" w:rsidP="00C43F96">
      <w:pPr>
        <w:spacing w:line="360" w:lineRule="auto"/>
        <w:rPr>
          <w:rFonts w:ascii="Times New Roman" w:hAnsi="Times New Roman" w:cs="Times New Roman"/>
          <w:sz w:val="24"/>
          <w:szCs w:val="24"/>
        </w:rPr>
      </w:pPr>
    </w:p>
    <w:p w14:paraId="2FEA7EF3"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Det indebærer, at i tilfælde, hvor Finanstilsynet vurderer, at en overtrædelse ikke er klar, men giver anledning til en vis skønsmæssig vurdering, uden at den dog giver anledning til væsentlig bevismæssig tvivl, er det en betingelse for Finanstilsynets adgang til at udstede et administrativt bødeforelæg, at tilsynet indhenter et forudgående samtykke hertil fra </w:t>
      </w:r>
      <w:r w:rsidRPr="00882828">
        <w:rPr>
          <w:rFonts w:ascii="Times New Roman" w:eastAsia="Times New Roman" w:hAnsi="Times New Roman" w:cs="Times New Roman"/>
          <w:sz w:val="24"/>
          <w:szCs w:val="24"/>
          <w:lang w:eastAsia="da-DK"/>
        </w:rPr>
        <w:t>National Enhed for Særlig Kriminalitet</w:t>
      </w:r>
      <w:r w:rsidRPr="00882828">
        <w:rPr>
          <w:rFonts w:ascii="Times New Roman" w:hAnsi="Times New Roman" w:cs="Times New Roman"/>
          <w:sz w:val="24"/>
          <w:szCs w:val="24"/>
        </w:rPr>
        <w:t xml:space="preserve"> (NSK). Det forudsættes, at Finanstilsynet vil udvise en vis forsigtighed i denne vurdering og konsultere NSK i grænsetilfælde, forinden der udstedes et administrativt bødeforelæg.</w:t>
      </w:r>
    </w:p>
    <w:p w14:paraId="5214F9DA" w14:textId="77777777" w:rsidR="00C43F96" w:rsidRPr="00882828" w:rsidRDefault="00C43F96" w:rsidP="00C43F96">
      <w:pPr>
        <w:spacing w:line="360" w:lineRule="auto"/>
        <w:rPr>
          <w:rFonts w:ascii="Times New Roman" w:hAnsi="Times New Roman" w:cs="Times New Roman"/>
          <w:sz w:val="24"/>
          <w:szCs w:val="24"/>
        </w:rPr>
      </w:pPr>
    </w:p>
    <w:p w14:paraId="09C1F804"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Det indebærer endvidere, at Finanstilsynet også i sager, hvor Finanstilsynet vurderer, at der foreligger skærpende eller formildende omstændigheder, der kan begrunde en fravigelse af udgangspunktet for bødeniveauet som beskrevet i lovforslagets almindelige bemærkninger pkt. 3.92, skal indhente forudgående samtykke fra NSK.</w:t>
      </w:r>
    </w:p>
    <w:p w14:paraId="7154606E" w14:textId="77777777" w:rsidR="00C43F96" w:rsidRPr="00882828" w:rsidRDefault="00C43F96" w:rsidP="00C43F96">
      <w:pPr>
        <w:spacing w:line="360" w:lineRule="auto"/>
        <w:rPr>
          <w:rFonts w:ascii="Times New Roman" w:hAnsi="Times New Roman" w:cs="Times New Roman"/>
          <w:sz w:val="24"/>
          <w:szCs w:val="24"/>
        </w:rPr>
      </w:pPr>
    </w:p>
    <w:p w14:paraId="4D0457E4"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NSK forudsættes i sager omfattet af det foreslåede stk. 2 at påse følgende:</w:t>
      </w:r>
    </w:p>
    <w:p w14:paraId="3AACB074"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Om lovovertrædelsen er egnet til at blive afgjort med et administrativt bødeforelæg, herunder om kriterierne i den foreslåede § 140, stk. 1, er opfyldt.</w:t>
      </w:r>
    </w:p>
    <w:p w14:paraId="0DFA17D4"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Om indholdet af bødeforelægget opfylder kriterierne i den foreslåede § 140, stk. 2.</w:t>
      </w:r>
    </w:p>
    <w:p w14:paraId="4E70D0A5"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Om det er hensigtsmæssigt at afslutte sagen med et administrativt bødeforelæg, eller om dette vil have indflydelse på (andre) verserende straffesager mod de(n) sigtede.</w:t>
      </w:r>
    </w:p>
    <w:p w14:paraId="59011F5C"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 Om der er valgt det rette bødeberegningsprincip, herunder i de situationer, hvor det er muligt at vælge mellem flere forskellige bødeberegningsprincipper. </w:t>
      </w:r>
    </w:p>
    <w:p w14:paraId="1B1CE8F6"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Om der er valgt det rette bødeniveau, i situationer hvor der foreligger konkrete skærpende eller formildende omstændigheder.</w:t>
      </w:r>
    </w:p>
    <w:p w14:paraId="3F21E55B" w14:textId="77777777" w:rsidR="00C43F96" w:rsidRPr="00882828" w:rsidRDefault="00C43F96" w:rsidP="00C43F96">
      <w:pPr>
        <w:spacing w:line="360" w:lineRule="auto"/>
        <w:rPr>
          <w:rFonts w:ascii="Times New Roman" w:hAnsi="Times New Roman" w:cs="Times New Roman"/>
          <w:sz w:val="24"/>
          <w:szCs w:val="24"/>
        </w:rPr>
      </w:pPr>
    </w:p>
    <w:p w14:paraId="1268B28C"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Er en eller flere betingelser ikke opfyldt, og vurderer NSK således, at det vil være retssikkerhedsmæssigt betænkeligt, at Finanstilsynet udsteder et administrativt bødeforelæg, kan NSK nægte at give sit samtykke hertil. </w:t>
      </w:r>
    </w:p>
    <w:p w14:paraId="55965A35" w14:textId="77777777" w:rsidR="00C43F96" w:rsidRPr="00882828" w:rsidRDefault="00C43F96" w:rsidP="00C43F96">
      <w:pPr>
        <w:spacing w:line="360" w:lineRule="auto"/>
        <w:rPr>
          <w:rFonts w:ascii="Times New Roman" w:hAnsi="Times New Roman" w:cs="Times New Roman"/>
          <w:sz w:val="24"/>
          <w:szCs w:val="24"/>
        </w:rPr>
      </w:pPr>
    </w:p>
    <w:p w14:paraId="040F89AF"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NSK skal svare Finanstilsynet så hurtigt, som sagens karakter og omfang tilsiger det. Dette vil sædvanligvis være inden for 10 dage. Det forudsættes i den forbindelse, at Finanstilsynet i forbindelse med forelæggelse af sager for NSK i alle tilfælde udarbejder en indstilling om sagens afgørelse vedlagt en detaljeret sagsfremstilling med henvisning til relevante bevisligheder.</w:t>
      </w:r>
    </w:p>
    <w:p w14:paraId="6321BDA9" w14:textId="77777777" w:rsidR="00C43F96" w:rsidRPr="00882828" w:rsidRDefault="00C43F96" w:rsidP="00C43F96">
      <w:pPr>
        <w:spacing w:line="360" w:lineRule="auto"/>
        <w:rPr>
          <w:rFonts w:ascii="Times New Roman" w:hAnsi="Times New Roman" w:cs="Times New Roman"/>
          <w:sz w:val="24"/>
          <w:szCs w:val="24"/>
        </w:rPr>
      </w:pPr>
    </w:p>
    <w:p w14:paraId="2075FA5A"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I tilfælde hvor en overtrædelse ikke er klar, men hvor Finanstilsynet vurderer, at sagen giver anledning til væsentlig bevismæssig tvivl, skal sagen overgå fra tilsynet til politiet og anklagemyndigheden.</w:t>
      </w:r>
    </w:p>
    <w:p w14:paraId="69120F22" w14:textId="77777777" w:rsidR="00C43F96" w:rsidRPr="00882828" w:rsidRDefault="00C43F96" w:rsidP="00C43F96">
      <w:pPr>
        <w:spacing w:line="360" w:lineRule="auto"/>
        <w:rPr>
          <w:rFonts w:ascii="Times New Roman" w:hAnsi="Times New Roman" w:cs="Times New Roman"/>
          <w:sz w:val="24"/>
          <w:szCs w:val="24"/>
        </w:rPr>
      </w:pPr>
    </w:p>
    <w:p w14:paraId="74DB6D48"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I sager, hvor Finanstilsynet vurderer, at en fysisk eller juridisk person har handlet på en lovstridig måde, som kræver egentlig efterforskning og dermed yderligere bevisindsamling end de beviser, som Finanstilsynet har indhentet på det foretagne tilsyn, skal sagen ligeledes overgå til politiet og anklagemyndigheden til sædvanlig strafferetlig forfølgning.</w:t>
      </w:r>
    </w:p>
    <w:p w14:paraId="20FC4C82" w14:textId="77777777" w:rsidR="00C43F96" w:rsidRPr="00882828" w:rsidRDefault="00C43F96" w:rsidP="00C43F96">
      <w:pPr>
        <w:spacing w:line="360" w:lineRule="auto"/>
        <w:rPr>
          <w:rFonts w:ascii="Times New Roman" w:hAnsi="Times New Roman" w:cs="Times New Roman"/>
          <w:sz w:val="24"/>
          <w:szCs w:val="24"/>
        </w:rPr>
      </w:pPr>
    </w:p>
    <w:p w14:paraId="0A0FD9B1"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 xml:space="preserve">Tilsvarende gælder i sager, hvor der er tvivl om den konkrete bødefastsættelse. I tilfælde hvor det f.eks. ikke er muligt at foretage en bødeberegning efter det bødeberegningsprincip, der som udgangspunkt gælder for den overtrådte bestemmelse, skal sagen således overgå til politiet og anklagemyndigheden. </w:t>
      </w:r>
    </w:p>
    <w:p w14:paraId="1D1F1333" w14:textId="77777777" w:rsidR="00C43F96" w:rsidRPr="00882828" w:rsidRDefault="00C43F96" w:rsidP="00C43F96">
      <w:pPr>
        <w:spacing w:line="360" w:lineRule="auto"/>
        <w:rPr>
          <w:rFonts w:ascii="Times New Roman" w:hAnsi="Times New Roman" w:cs="Times New Roman"/>
          <w:sz w:val="24"/>
          <w:szCs w:val="24"/>
        </w:rPr>
      </w:pPr>
    </w:p>
    <w:p w14:paraId="4C305256"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I sager, hvor det vurderes, at der kan være grundlag for både at udstede en bøde til den juridiske person og at idømme fysiske personer fængselsstraf, skal hele sagen endvidere overgå til politiet og anklagemyndigheden med henblik på en samlet behandling. Det samme gælder i sager, hvor det vurderes, at der kan være sket andre strafbare overtrædelser af bestemmelser i hvidvaskloven, som ikke er omfattet af den foreslåede bestemmelse, og sager, hvor der som følge af sagens grovhed er grundlag for at antage, at der er sket en overtrædelse af straffeloven.</w:t>
      </w:r>
    </w:p>
    <w:p w14:paraId="74D379AB" w14:textId="77777777" w:rsidR="00C43F96" w:rsidRPr="00882828" w:rsidRDefault="00C43F96" w:rsidP="00C43F96">
      <w:pPr>
        <w:spacing w:line="360" w:lineRule="auto"/>
        <w:rPr>
          <w:rFonts w:ascii="Times New Roman" w:hAnsi="Times New Roman" w:cs="Times New Roman"/>
          <w:sz w:val="24"/>
          <w:szCs w:val="24"/>
        </w:rPr>
      </w:pPr>
    </w:p>
    <w:p w14:paraId="6FEF7973"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Det bemærkes, at Finanstilsynet i forbindelse med sagens oplysning løbende vil skulle vurdere, om sagen bør overgives til politiet eller anklagemyndigheden bl.a. med henblik på at undgå, at sikringen af beviser til brug for sagen eller andre sager vanskeliggøres. Det forudsættes, at Finanstilsynet har en løbende dialog med politiet herom.</w:t>
      </w:r>
    </w:p>
    <w:p w14:paraId="51131302" w14:textId="77777777" w:rsidR="00C43F96" w:rsidRPr="00882828" w:rsidRDefault="00C43F96" w:rsidP="00C43F96">
      <w:pPr>
        <w:spacing w:line="360" w:lineRule="auto"/>
        <w:rPr>
          <w:rFonts w:ascii="Times New Roman" w:hAnsi="Times New Roman" w:cs="Times New Roman"/>
          <w:sz w:val="24"/>
          <w:szCs w:val="24"/>
        </w:rPr>
      </w:pPr>
    </w:p>
    <w:p w14:paraId="63CD12A9"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Der er med den foreslåede bestemmelse ikke tilsigtet ændringer i politiets eller anklagemyndighedens kompetence til at rejse sigtelser eller tiltaler i sager om overtrædelse af hvidvaskloven. Politiet og anklagemyndigheden kan således fortsat i alle sager egenhændigt beslutte, at der indledes en straffesag. Det vil ligeledes fortsat være muligt for Finanstilsynet at foretage politianmeldelse af mulige overtrædelser af hvidvaskloven, hvis det ikke er muligt at udstede et administrativt bødeforelæg. Det forudsættes, at Finanstilsynet som det klare udgangspunkt vælger at udstede administrative bødeforelæg, hvis betingelserne herfor er opfyldt, i stedet for at foretage politianmeldelse til NSK.</w:t>
      </w:r>
    </w:p>
    <w:p w14:paraId="4D51BC8E" w14:textId="77777777" w:rsidR="00C43F96" w:rsidRPr="00882828" w:rsidRDefault="00C43F96" w:rsidP="00C43F96">
      <w:pPr>
        <w:spacing w:line="360" w:lineRule="auto"/>
        <w:rPr>
          <w:rFonts w:ascii="Times New Roman" w:hAnsi="Times New Roman" w:cs="Times New Roman"/>
          <w:sz w:val="24"/>
          <w:szCs w:val="24"/>
        </w:rPr>
      </w:pPr>
    </w:p>
    <w:p w14:paraId="53BB6149"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stk. 3,</w:t>
      </w:r>
      <w:r w:rsidRPr="00882828">
        <w:rPr>
          <w:rFonts w:ascii="Times New Roman" w:eastAsia="Times New Roman" w:hAnsi="Times New Roman" w:cs="Times New Roman"/>
          <w:sz w:val="24"/>
          <w:szCs w:val="24"/>
          <w:lang w:eastAsia="da-DK"/>
        </w:rPr>
        <w:t xml:space="preserve"> at retsplejelovens regler om krav til indholdet af et anklageskrift og om, at en sigtet ikke er forpligtet til at udtale sig, finder tilsvarende anvendelse på bødeforelæg efter stk. 1.</w:t>
      </w:r>
    </w:p>
    <w:p w14:paraId="56901538"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p>
    <w:p w14:paraId="708AEE2A"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Det indebærer, at reglerne i retsplejelovens § 834, stk. 1, nr. 2 og 3, og stk. 2, om krav til indholdet af et anklageskrift, finder tilsvarende anvendelse på tilkendegivelser efter det foreslåede stk. 1.</w:t>
      </w:r>
    </w:p>
    <w:p w14:paraId="1CDFC5E2" w14:textId="77777777" w:rsidR="00C43F96" w:rsidRPr="00882828" w:rsidRDefault="00C43F96" w:rsidP="00C43F96">
      <w:pPr>
        <w:spacing w:line="360" w:lineRule="auto"/>
        <w:rPr>
          <w:rFonts w:ascii="Times New Roman" w:hAnsi="Times New Roman" w:cs="Times New Roman"/>
          <w:sz w:val="24"/>
          <w:szCs w:val="24"/>
        </w:rPr>
      </w:pPr>
    </w:p>
    <w:p w14:paraId="4FB7360F"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Et administrativt bødeforelæg udstedt af Finanstilsynet vil således skulle opfylde retsplejelovens krav til et anklageskrift. Det indebærer, at et administrativt bødeforelæg vil skulle indeholde oplysninger om vedkommendes navn, adresse og person- eller CVR-nummer, det forhold, der udstedes bødeforelæg for, den regel, der vurderes at være overtrådt, forbrydelsens kendetegn, som de fremgår af reglen, straffehjemlen, og en kort beskrivelse af et forhold, der udstedes et administrativt bødeforelæg for mv.</w:t>
      </w:r>
    </w:p>
    <w:p w14:paraId="42A1B7D0" w14:textId="77777777" w:rsidR="00C43F96" w:rsidRPr="00882828" w:rsidRDefault="00C43F96" w:rsidP="00C43F96">
      <w:pPr>
        <w:spacing w:line="360" w:lineRule="auto"/>
        <w:rPr>
          <w:rFonts w:ascii="Times New Roman" w:hAnsi="Times New Roman" w:cs="Times New Roman"/>
          <w:sz w:val="24"/>
          <w:szCs w:val="24"/>
        </w:rPr>
      </w:pPr>
    </w:p>
    <w:p w14:paraId="511582A6" w14:textId="77777777" w:rsidR="00C43F96" w:rsidRPr="00882828" w:rsidRDefault="00C43F96" w:rsidP="00C43F96">
      <w:pPr>
        <w:spacing w:line="360" w:lineRule="auto"/>
        <w:rPr>
          <w:rFonts w:ascii="Times New Roman" w:hAnsi="Times New Roman" w:cs="Times New Roman"/>
          <w:sz w:val="24"/>
          <w:szCs w:val="24"/>
        </w:rPr>
      </w:pPr>
      <w:r w:rsidRPr="00882828">
        <w:rPr>
          <w:rFonts w:ascii="Times New Roman" w:hAnsi="Times New Roman" w:cs="Times New Roman"/>
          <w:sz w:val="24"/>
          <w:szCs w:val="24"/>
        </w:rPr>
        <w:t>Endvidere indebærer det foreslåede, at det skal fremgå af det administrative bødeforelæg, at den virksomhed eller person, bødeforelægget udstedes over for, ikke har pligt til at udtale sig om sagen, jf. jf. retsplejelovens § 752, stk. 1, 1. pkt., og selvinkrimineringsforbuddet i § 10, stk. 1, i lov om retssikkerhed ved forvaltningens anvendelse af tvangsindgreb og oplysningspligter.</w:t>
      </w:r>
    </w:p>
    <w:p w14:paraId="4141FD36" w14:textId="77777777" w:rsidR="00C43F96" w:rsidRPr="00882828" w:rsidRDefault="00C43F96" w:rsidP="00C43F96">
      <w:pPr>
        <w:spacing w:line="360" w:lineRule="auto"/>
        <w:rPr>
          <w:rFonts w:ascii="Times New Roman" w:hAnsi="Times New Roman" w:cs="Times New Roman"/>
          <w:sz w:val="24"/>
          <w:szCs w:val="24"/>
        </w:rPr>
      </w:pPr>
    </w:p>
    <w:p w14:paraId="1B9BD178" w14:textId="77777777" w:rsidR="00C43F96" w:rsidRPr="00882828" w:rsidRDefault="00C43F96" w:rsidP="00C43F9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foreslås i </w:t>
      </w:r>
      <w:r w:rsidRPr="00882828">
        <w:rPr>
          <w:rFonts w:ascii="Times New Roman" w:eastAsia="Times New Roman" w:hAnsi="Times New Roman" w:cs="Times New Roman"/>
          <w:i/>
          <w:iCs/>
          <w:sz w:val="24"/>
          <w:szCs w:val="24"/>
          <w:lang w:eastAsia="da-DK"/>
        </w:rPr>
        <w:t>stk. 4,</w:t>
      </w:r>
      <w:r w:rsidRPr="00882828">
        <w:rPr>
          <w:rFonts w:ascii="Times New Roman" w:eastAsia="Times New Roman" w:hAnsi="Times New Roman" w:cs="Times New Roman"/>
          <w:sz w:val="24"/>
          <w:szCs w:val="24"/>
          <w:lang w:eastAsia="da-DK"/>
        </w:rPr>
        <w:t xml:space="preserve"> at vedtages et bødeforelæg, bortfalder videre forfølgning. Det foreslås endvidere, at vedtagelsen har samme virkning som en dom.</w:t>
      </w:r>
    </w:p>
    <w:p w14:paraId="3E1BD9B9" w14:textId="77777777" w:rsidR="000F6E2E" w:rsidRPr="00796736" w:rsidRDefault="000F6E2E" w:rsidP="005A265F">
      <w:pPr>
        <w:spacing w:line="360" w:lineRule="auto"/>
        <w:rPr>
          <w:rFonts w:ascii="Times New Roman" w:hAnsi="Times New Roman" w:cs="Times New Roman"/>
          <w:sz w:val="24"/>
          <w:szCs w:val="24"/>
          <w:lang w:eastAsia="da-DK"/>
        </w:rPr>
      </w:pPr>
    </w:p>
    <w:p w14:paraId="27D13A3F" w14:textId="1295BC7E" w:rsidR="0003627C" w:rsidRPr="00796736" w:rsidRDefault="0003627C" w:rsidP="005A265F">
      <w:pPr>
        <w:pStyle w:val="Undertitel"/>
      </w:pPr>
      <w:bookmarkStart w:id="2265" w:name="_Toc244879437"/>
      <w:bookmarkStart w:id="2266" w:name="_Toc244880962"/>
      <w:r w:rsidRPr="00796736">
        <w:t xml:space="preserve">Til </w:t>
      </w:r>
      <w:r w:rsidR="002F2C94" w:rsidRPr="00796736">
        <w:fldChar w:fldCharType="begin"/>
      </w:r>
      <w:r w:rsidR="002F2C94" w:rsidRPr="00796736">
        <w:instrText xml:space="preserve"> REF _Ref242964851 \r \h </w:instrText>
      </w:r>
      <w:r w:rsidR="009C50B4" w:rsidRPr="00796736">
        <w:instrText xml:space="preserve"> \* MERGEFORMAT </w:instrText>
      </w:r>
      <w:r w:rsidR="002F2C94" w:rsidRPr="00796736">
        <w:fldChar w:fldCharType="separate"/>
      </w:r>
      <w:r w:rsidR="008F29E5">
        <w:t>§ 141</w:t>
      </w:r>
      <w:bookmarkEnd w:id="2265"/>
      <w:bookmarkEnd w:id="2266"/>
      <w:r w:rsidR="002F2C94" w:rsidRPr="00796736">
        <w:fldChar w:fldCharType="end"/>
      </w:r>
    </w:p>
    <w:p w14:paraId="36916A5B" w14:textId="77777777" w:rsidR="00D00806" w:rsidRPr="00882828" w:rsidRDefault="00D00806" w:rsidP="00D00806">
      <w:pPr>
        <w:spacing w:line="360" w:lineRule="auto"/>
        <w:rPr>
          <w:rFonts w:ascii="Times New Roman" w:hAnsi="Times New Roman" w:cs="Times New Roman"/>
          <w:sz w:val="24"/>
          <w:szCs w:val="24"/>
        </w:rPr>
      </w:pPr>
      <w:r w:rsidRPr="00882828">
        <w:rPr>
          <w:rFonts w:ascii="Times New Roman" w:hAnsi="Times New Roman" w:cs="Times New Roman"/>
          <w:sz w:val="24"/>
          <w:szCs w:val="24"/>
        </w:rPr>
        <w:t>Efter hvidvasklovens § 78, stk. 5, er forældelsesfristen for or overtrædelse af lovens bestemmelser eller regler udstedt i medfør af loven er 5 år.  Forældelsesfristen er dog 10 år ved overtrædelse af lovens §§ 6 og 6 a, § 7, stk. 1 og 2, § 10, § 11, stk. 1 og 2 og stk. 3, 1., 3. og 4. pkt., § 12, § 14, stk. 1, stk. 2, 2. pkt., stk. 3, stk. 4, 2. pkt., og stk. 5, § 15, § 17, stk. 1-4, § 18, stk. 1-6, §§ 19 og 20, § 22, stk. 2 og 3, § 24, stk. 1, 2. pkt., og stk. 2 og 3, § 25, stk. 1 og 2, § 26, stk. 1 og 3, stk. 4, 1. pkt., og stk. 6, 1. pkt., §§ 30, 31 og 31 b, § 32, 1. pkt., §§ 36 a og 43 og § 49, stk. 1 og 2.</w:t>
      </w:r>
    </w:p>
    <w:p w14:paraId="03AA0712" w14:textId="77777777" w:rsidR="00D00806" w:rsidRPr="00882828" w:rsidRDefault="00D00806" w:rsidP="00D00806">
      <w:pPr>
        <w:spacing w:line="360" w:lineRule="auto"/>
        <w:rPr>
          <w:rFonts w:ascii="Times New Roman" w:hAnsi="Times New Roman" w:cs="Times New Roman"/>
          <w:sz w:val="24"/>
          <w:szCs w:val="24"/>
        </w:rPr>
      </w:pPr>
    </w:p>
    <w:p w14:paraId="2CDDE122"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r w:rsidRPr="00882828">
        <w:rPr>
          <w:rFonts w:ascii="Times New Roman" w:hAnsi="Times New Roman" w:cs="Times New Roman"/>
          <w:sz w:val="24"/>
          <w:szCs w:val="24"/>
        </w:rPr>
        <w:t xml:space="preserve">Det foreslås i </w:t>
      </w:r>
      <w:r w:rsidRPr="00882828">
        <w:rPr>
          <w:rFonts w:ascii="Times New Roman" w:hAnsi="Times New Roman" w:cs="Times New Roman"/>
          <w:i/>
          <w:iCs/>
          <w:sz w:val="24"/>
          <w:szCs w:val="24"/>
        </w:rPr>
        <w:t xml:space="preserve">§ 141, </w:t>
      </w:r>
      <w:r w:rsidRPr="00882828">
        <w:rPr>
          <w:rFonts w:ascii="Times New Roman" w:hAnsi="Times New Roman" w:cs="Times New Roman"/>
          <w:sz w:val="24"/>
          <w:szCs w:val="24"/>
        </w:rPr>
        <w:t xml:space="preserve">at </w:t>
      </w:r>
      <w:r w:rsidRPr="00882828">
        <w:rPr>
          <w:rFonts w:ascii="Times New Roman" w:eastAsia="Times New Roman" w:hAnsi="Times New Roman" w:cs="Times New Roman"/>
          <w:sz w:val="24"/>
          <w:szCs w:val="24"/>
          <w:lang w:eastAsia="da-DK"/>
        </w:rPr>
        <w:t xml:space="preserve">forældelsesfristen for overtrædelse af bestemmelser i hvidvaskforordningen, denne lov eller regler udstedt i medfør af denne lov er 5 år. Forældelsesfristen er dog 10 år ved overtrædelse af </w:t>
      </w:r>
      <w:r w:rsidRPr="00882828">
        <w:rPr>
          <w:rFonts w:ascii="Times New Roman" w:hAnsi="Times New Roman" w:cs="Times New Roman"/>
          <w:sz w:val="24"/>
          <w:szCs w:val="24"/>
        </w:rPr>
        <w:t xml:space="preserve">artikel 10, stk. 1 og 2, artikel 11, stk. 1 og 2, artikel 16, stk. 1-3, artikel 17, stk. 1 og 2, artikel 18, stk. 1, 2. pkt., stk. 2, 3. pkt., og stk. 3-6, artikel 19, stk. 1-3, stk. 4, 1. pkt., og stk. 5, artikel 20, stk. 1, 2 og 4, artikel 21, stk. 1, 1. og 4. pkt., og stk. 3, 1. og 2. pkt., artikel 22, stk. 1-7, artikel 23, stk. 1, 1. og 3. pkt., stk. 2, 2. pkt., og stk. 4, artikel 25, artikel 26, stk. 1-3, og stk. 4, 1. og 2. pkt., artikel 29, stk. 4, artikel 34, stk. 1-4, artikel 36, artikel 37, stk. 1 og 2, artikel 39, stk. 1 og 2, artikel 42, stk. 1, artikel 44, </w:t>
      </w:r>
      <w:r w:rsidRPr="00882828">
        <w:rPr>
          <w:rFonts w:ascii="Times New Roman" w:eastAsia="Times New Roman" w:hAnsi="Times New Roman" w:cs="Times New Roman"/>
          <w:sz w:val="24"/>
          <w:szCs w:val="24"/>
          <w:lang w:eastAsia="da-DK"/>
        </w:rPr>
        <w:t xml:space="preserve">artikel 45, stk. 1- 3, </w:t>
      </w:r>
      <w:r w:rsidRPr="00882828">
        <w:rPr>
          <w:rFonts w:ascii="Times New Roman" w:hAnsi="Times New Roman" w:cs="Times New Roman"/>
          <w:sz w:val="24"/>
          <w:szCs w:val="24"/>
        </w:rPr>
        <w:t>artikel 47, artikel 48, stk. 1, 2 og 4, artikel 49, stk. 14, artikel 69, stk. 1, 1.-3. pkt., stk. 2 og 6, artikel 71, stk. 1 og 2, og artikel 77 </w:t>
      </w:r>
      <w:r w:rsidRPr="00882828">
        <w:rPr>
          <w:rFonts w:ascii="Times New Roman" w:eastAsia="Times New Roman" w:hAnsi="Times New Roman" w:cs="Times New Roman"/>
          <w:sz w:val="24"/>
          <w:szCs w:val="24"/>
          <w:lang w:eastAsia="da-DK"/>
        </w:rPr>
        <w:t>i hvidvaskforordningen og §§ 4, 5, 35 samt § 57, stk. 1 og 2, i denne lov.</w:t>
      </w:r>
    </w:p>
    <w:p w14:paraId="5712938A"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p>
    <w:p w14:paraId="7EB30C31"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Den foreslåede bestemmelse vil indebære en fravigelse af den almindelige forældelsesfrist på 2 år, jf. straffelovens § 93, stk. 1, nr. 1. </w:t>
      </w:r>
    </w:p>
    <w:p w14:paraId="35E7A5B1"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p>
    <w:p w14:paraId="12CC54BD"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 xml:space="preserve">Det foreslåede 1. pkt. vil indebære, at forældelsesfristen for strafansvar for de nævnte overtrædelser af hvidvaskforordningen og den foreslåede lov er 5 år. Det foreslåede 2. pkt. vil indebære, at forældelsesfristen for strafansvar for de nævnte overtrædelser er 10 år. </w:t>
      </w:r>
    </w:p>
    <w:p w14:paraId="43DB9D8B"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p>
    <w:p w14:paraId="5B37B0E4"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Hvidvaskforordningen viderefører i vidt omfang de forpligtelser, der følger af den gældende hvidvaskregulering, herunder regler, som gennemfører 4. hvidvaskdirektiv. Forordningen indeholder dog også nye forpligtelser og mere detaljerede eller udvidede krav for virksomheder og personer omfattet af hvidvaskreguleringen. Ved fastsættelsen af forældelsesfristen er der lagt vægt på, om de pågældende bestemmelser viderefører forpligtelser, som efter gældende ret er omfattet af en 10-årig forældelsesfrist, eller om der er tale om nye eller udvidede krav, der knytter sig til sådanne forpligtelser. De bestemmelser i hvidvaskforordningen, der indebærer en udvidelse eller et nyt krav i forhold til den regulering, der fulgte af 4. hvidvaskdirektiv, er derfor medtaget i det foreslåede 2. pkt., i det omfang de knytter sig til bestemmelser, der allerede efter gældende ret er omfattet af en 10-årig forældelsesfrist.</w:t>
      </w:r>
    </w:p>
    <w:p w14:paraId="0289FB0A"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p>
    <w:p w14:paraId="02706ACE" w14:textId="7CCB606D" w:rsidR="00D00806" w:rsidRPr="00882828" w:rsidRDefault="00D00806" w:rsidP="00D00806">
      <w:pPr>
        <w:spacing w:line="360" w:lineRule="auto"/>
        <w:rPr>
          <w:rFonts w:ascii="Times New Roman" w:eastAsia="Times New Roman" w:hAnsi="Times New Roman" w:cs="Times New Roman"/>
          <w:sz w:val="24"/>
          <w:szCs w:val="24"/>
          <w:lang w:eastAsia="da-DK"/>
        </w:rPr>
      </w:pPr>
      <w:r w:rsidRPr="00882828">
        <w:rPr>
          <w:rFonts w:ascii="Times New Roman" w:eastAsia="Times New Roman" w:hAnsi="Times New Roman" w:cs="Times New Roman"/>
          <w:sz w:val="24"/>
          <w:szCs w:val="24"/>
          <w:lang w:eastAsia="da-DK"/>
        </w:rPr>
        <w:t>Fristerne vil skulle beregnes efter straffelovens almindelige principper for forældelsesfrister. Der henvises i øvrigt til pkt. 3.</w:t>
      </w:r>
      <w:r w:rsidR="00827136">
        <w:rPr>
          <w:rFonts w:ascii="Times New Roman" w:eastAsia="Times New Roman" w:hAnsi="Times New Roman" w:cs="Times New Roman"/>
          <w:sz w:val="24"/>
          <w:szCs w:val="24"/>
          <w:lang w:eastAsia="da-DK"/>
        </w:rPr>
        <w:t>92</w:t>
      </w:r>
      <w:r w:rsidRPr="00882828">
        <w:rPr>
          <w:rFonts w:ascii="Times New Roman" w:eastAsia="Times New Roman" w:hAnsi="Times New Roman" w:cs="Times New Roman"/>
          <w:sz w:val="24"/>
          <w:szCs w:val="24"/>
          <w:lang w:eastAsia="da-DK"/>
        </w:rPr>
        <w:t xml:space="preserve">.2 i lovforslagets almindelige bemærkninger. </w:t>
      </w:r>
    </w:p>
    <w:p w14:paraId="2DBE0ED8" w14:textId="77777777" w:rsidR="00D00806" w:rsidRPr="00882828" w:rsidRDefault="00D00806" w:rsidP="00D00806">
      <w:pPr>
        <w:spacing w:line="360" w:lineRule="auto"/>
        <w:rPr>
          <w:rFonts w:ascii="Times New Roman" w:eastAsia="Times New Roman" w:hAnsi="Times New Roman" w:cs="Times New Roman"/>
          <w:sz w:val="24"/>
          <w:szCs w:val="24"/>
          <w:lang w:eastAsia="da-DK"/>
        </w:rPr>
      </w:pPr>
    </w:p>
    <w:p w14:paraId="6F4C532C" w14:textId="77777777" w:rsidR="00D00806" w:rsidRPr="00882828" w:rsidRDefault="00D00806" w:rsidP="00D00806">
      <w:pPr>
        <w:spacing w:line="360" w:lineRule="auto"/>
        <w:rPr>
          <w:rFonts w:ascii="Times New Roman" w:hAnsi="Times New Roman" w:cs="Times New Roman"/>
          <w:sz w:val="24"/>
          <w:szCs w:val="24"/>
        </w:rPr>
      </w:pPr>
    </w:p>
    <w:p w14:paraId="407237CE" w14:textId="77777777" w:rsidR="001D0EAC" w:rsidRPr="00796736" w:rsidRDefault="001D0EAC" w:rsidP="00303E15">
      <w:pPr>
        <w:spacing w:line="360" w:lineRule="auto"/>
        <w:rPr>
          <w:rFonts w:ascii="Times New Roman" w:hAnsi="Times New Roman" w:cs="Times New Roman"/>
          <w:sz w:val="24"/>
          <w:szCs w:val="24"/>
          <w:lang w:eastAsia="da-DK"/>
        </w:rPr>
      </w:pPr>
    </w:p>
    <w:p w14:paraId="248D25F6" w14:textId="13108338" w:rsidR="009628D3" w:rsidRPr="00796736" w:rsidRDefault="009628D3" w:rsidP="005A265F">
      <w:pPr>
        <w:pStyle w:val="Undertitel"/>
      </w:pPr>
      <w:bookmarkStart w:id="2267" w:name="_Toc244879438"/>
      <w:bookmarkStart w:id="2268" w:name="_Toc244880963"/>
      <w:r w:rsidRPr="00796736">
        <w:t xml:space="preserve">Til </w:t>
      </w:r>
      <w:r w:rsidR="001D0EAC" w:rsidRPr="00796736">
        <w:fldChar w:fldCharType="begin"/>
      </w:r>
      <w:r w:rsidR="001D0EAC" w:rsidRPr="00796736">
        <w:instrText xml:space="preserve"> REF _Ref239330523 \r \h </w:instrText>
      </w:r>
      <w:r w:rsidR="00F375BF" w:rsidRPr="00796736">
        <w:instrText xml:space="preserve"> \* MERGEFORMAT </w:instrText>
      </w:r>
      <w:r w:rsidR="001D0EAC" w:rsidRPr="00796736">
        <w:fldChar w:fldCharType="separate"/>
      </w:r>
      <w:r w:rsidR="008F29E5">
        <w:t>§ 142</w:t>
      </w:r>
      <w:bookmarkEnd w:id="2267"/>
      <w:bookmarkEnd w:id="2268"/>
      <w:r w:rsidR="001D0EAC" w:rsidRPr="00796736">
        <w:fldChar w:fldCharType="end"/>
      </w:r>
    </w:p>
    <w:p w14:paraId="7E18C367" w14:textId="7B65E382" w:rsidR="009628D3" w:rsidRPr="00796736" w:rsidRDefault="009628D3" w:rsidP="005A265F">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Den foreslåede § </w:t>
      </w:r>
      <w:r w:rsidR="001D0EAC" w:rsidRPr="00796736">
        <w:rPr>
          <w:rFonts w:ascii="Times New Roman" w:eastAsia="Calibri" w:hAnsi="Times New Roman" w:cs="Times New Roman"/>
          <w:sz w:val="24"/>
          <w:szCs w:val="24"/>
        </w:rPr>
        <w:fldChar w:fldCharType="begin"/>
      </w:r>
      <w:r w:rsidR="001D0EAC" w:rsidRPr="00796736">
        <w:rPr>
          <w:rFonts w:ascii="Times New Roman" w:eastAsia="Calibri" w:hAnsi="Times New Roman" w:cs="Times New Roman"/>
          <w:sz w:val="24"/>
          <w:szCs w:val="24"/>
        </w:rPr>
        <w:instrText xml:space="preserve"> REF _Ref239330523 \r \h </w:instrText>
      </w:r>
      <w:r w:rsidR="00F375BF" w:rsidRPr="00796736">
        <w:rPr>
          <w:rFonts w:ascii="Times New Roman" w:eastAsia="Calibri" w:hAnsi="Times New Roman" w:cs="Times New Roman"/>
          <w:sz w:val="24"/>
          <w:szCs w:val="24"/>
        </w:rPr>
        <w:instrText xml:space="preserve"> \* MERGEFORMAT </w:instrText>
      </w:r>
      <w:r w:rsidR="001D0EAC" w:rsidRPr="00796736">
        <w:rPr>
          <w:rFonts w:ascii="Times New Roman" w:eastAsia="Calibri" w:hAnsi="Times New Roman" w:cs="Times New Roman"/>
          <w:sz w:val="24"/>
          <w:szCs w:val="24"/>
        </w:rPr>
      </w:r>
      <w:r w:rsidR="001D0EAC"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142</w:t>
      </w:r>
      <w:r w:rsidR="001D0EAC" w:rsidRPr="00796736">
        <w:rPr>
          <w:rFonts w:ascii="Times New Roman" w:eastAsia="Calibri" w:hAnsi="Times New Roman" w:cs="Times New Roman"/>
          <w:sz w:val="24"/>
          <w:szCs w:val="24"/>
        </w:rPr>
        <w:fldChar w:fldCharType="end"/>
      </w:r>
      <w:r w:rsidRPr="00796736">
        <w:rPr>
          <w:rFonts w:ascii="Times New Roman" w:hAnsi="Times New Roman" w:cs="Times New Roman"/>
          <w:sz w:val="24"/>
          <w:szCs w:val="24"/>
        </w:rPr>
        <w:t xml:space="preserve"> indeholder regler om lovens ikrafttræden.</w:t>
      </w:r>
    </w:p>
    <w:p w14:paraId="52C5B58C" w14:textId="77777777" w:rsidR="00EF602D" w:rsidRDefault="009628D3" w:rsidP="00EF602D">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stk. 1</w:t>
      </w:r>
      <w:r w:rsidRPr="00796736">
        <w:rPr>
          <w:rFonts w:ascii="Times New Roman" w:hAnsi="Times New Roman" w:cs="Times New Roman"/>
          <w:sz w:val="24"/>
          <w:szCs w:val="24"/>
        </w:rPr>
        <w:t xml:space="preserve">, at loven træder i kraft den 10. juli 2027. </w:t>
      </w:r>
    </w:p>
    <w:p w14:paraId="7D054CFC" w14:textId="621ECDB0" w:rsidR="00EF602D" w:rsidRDefault="00EF602D" w:rsidP="00EF602D">
      <w:pPr>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Den foreslåede bestemmelse vil indebære, at loven træder i kraft den 10. juli 2027, som også er datoen for hvidvaskforordningens ikrafttræden. </w:t>
      </w:r>
    </w:p>
    <w:p w14:paraId="4D39EBAE" w14:textId="476CD801" w:rsidR="00EF602D" w:rsidRPr="00796736" w:rsidRDefault="00EF602D" w:rsidP="005A265F">
      <w:pPr>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Det bemærkes i relation til den foreslåede straffebestemmelse, at der fremover også vil kunne straffes for overtrædelser af hvidvaskreguleringen, som kan tilregnes gerningspersonen som simpel uagtsom. For de overtrædelser, som har karakter af tilstandsdelikter og som ikke er begået ved grov uagtsomhed eller forsæt, vil denne udvidelse af det strafbare gerningsområde sammenholdt med straffelovens § 3 indebære, at der ikke vil kunne straffes herfor for så vidt angår den del af forholdet, som ligger før lovens ikrafttræden, </w:t>
      </w:r>
    </w:p>
    <w:p w14:paraId="771D66F6" w14:textId="647C7748" w:rsidR="00B14783" w:rsidRDefault="00762427" w:rsidP="005A265F">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B14783">
        <w:rPr>
          <w:rFonts w:ascii="Times New Roman" w:hAnsi="Times New Roman" w:cs="Times New Roman"/>
          <w:i/>
          <w:iCs/>
          <w:sz w:val="24"/>
          <w:szCs w:val="24"/>
        </w:rPr>
        <w:t>stk. 2</w:t>
      </w:r>
      <w:r w:rsidR="00B14783">
        <w:rPr>
          <w:rFonts w:ascii="Times New Roman" w:hAnsi="Times New Roman" w:cs="Times New Roman"/>
          <w:sz w:val="24"/>
          <w:szCs w:val="24"/>
        </w:rPr>
        <w:t>, at</w:t>
      </w:r>
      <w:r w:rsidRPr="00B14783">
        <w:rPr>
          <w:rFonts w:ascii="Times New Roman" w:hAnsi="Times New Roman" w:cs="Times New Roman"/>
          <w:sz w:val="24"/>
          <w:szCs w:val="24"/>
        </w:rPr>
        <w:t xml:space="preserve"> </w:t>
      </w:r>
      <w:r w:rsidR="00B14783">
        <w:rPr>
          <w:rFonts w:ascii="Times New Roman" w:hAnsi="Times New Roman" w:cs="Times New Roman"/>
          <w:sz w:val="24"/>
          <w:szCs w:val="24"/>
        </w:rPr>
        <w:t>r</w:t>
      </w:r>
      <w:r w:rsidR="00B14783" w:rsidRPr="00B14783">
        <w:rPr>
          <w:rFonts w:ascii="Times New Roman" w:hAnsi="Times New Roman" w:cs="Times New Roman"/>
          <w:sz w:val="24"/>
          <w:szCs w:val="24"/>
        </w:rPr>
        <w:t>egler udstedt i medfør af § 1, stk. 7, § 18, stk. 9, § 21, stk. 2, § 30 a, § 31 a, stk. 2, § 31 b, stk. 3, § 49, stk. 7, § 52 og § 53 i LBK nr. 433 af 17. april 2026 om forebyggende foranstaltninger mod hvidvask og finansiering af terrorisme forbliver i kraft, indtil de ophæves eller afløses af regler udstedt i medfør af § 1, stk. 7, § 7, § 8, stk. 3, § 11, § 32, stk. 2, § 53, § 58 og § 68, i denne lov.</w:t>
      </w:r>
      <w:r w:rsidR="00B14783">
        <w:rPr>
          <w:rFonts w:ascii="Times New Roman" w:hAnsi="Times New Roman" w:cs="Times New Roman"/>
          <w:sz w:val="24"/>
          <w:szCs w:val="24"/>
        </w:rPr>
        <w:t xml:space="preserve"> Dette medfører, at bekendtgørelser udstedt i medfør af den gældende hvidvasklov forbliver i kraft, indtil de ophæves eller udstedes på ny i medfør af reglerne i denne lov. </w:t>
      </w:r>
    </w:p>
    <w:p w14:paraId="7395295C" w14:textId="605B9272" w:rsidR="009628D3" w:rsidRPr="00796736" w:rsidRDefault="009628D3" w:rsidP="005A265F">
      <w:pPr>
        <w:spacing w:after="160"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 xml:space="preserve">stk. </w:t>
      </w:r>
      <w:r w:rsidR="00762427">
        <w:rPr>
          <w:rFonts w:ascii="Times New Roman" w:hAnsi="Times New Roman" w:cs="Times New Roman"/>
          <w:i/>
          <w:iCs/>
          <w:sz w:val="24"/>
          <w:szCs w:val="24"/>
        </w:rPr>
        <w:t>3</w:t>
      </w:r>
      <w:r w:rsidRPr="00796736">
        <w:rPr>
          <w:rFonts w:ascii="Times New Roman" w:hAnsi="Times New Roman" w:cs="Times New Roman"/>
          <w:sz w:val="24"/>
          <w:szCs w:val="24"/>
        </w:rPr>
        <w:t xml:space="preserve">, at ophæve </w:t>
      </w:r>
      <w:r w:rsidRPr="00796736">
        <w:rPr>
          <w:rFonts w:ascii="Times New Roman" w:eastAsia="Times New Roman" w:hAnsi="Times New Roman" w:cs="Times New Roman"/>
          <w:sz w:val="24"/>
          <w:szCs w:val="24"/>
        </w:rPr>
        <w:t xml:space="preserve">Lov om forebyggende foranstaltninger mod hvidvask og finansiering af terrorisme (hvidvaskloven), jf. lovbekendtgørelse nr. 807 af 21. juni 2024 med senere ændringer. </w:t>
      </w:r>
    </w:p>
    <w:p w14:paraId="3C609A18" w14:textId="3D136221" w:rsidR="009628D3" w:rsidRPr="00796736" w:rsidRDefault="009628D3" w:rsidP="005A265F">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 xml:space="preserve">Stk. </w:t>
      </w:r>
      <w:r w:rsidR="00762427">
        <w:rPr>
          <w:rFonts w:ascii="Times New Roman" w:eastAsia="Times New Roman" w:hAnsi="Times New Roman" w:cs="Times New Roman"/>
          <w:i/>
          <w:iCs/>
          <w:sz w:val="24"/>
          <w:szCs w:val="24"/>
        </w:rPr>
        <w:t>4</w:t>
      </w:r>
      <w:r w:rsidRPr="00796736">
        <w:rPr>
          <w:rFonts w:ascii="Times New Roman" w:eastAsia="Times New Roman" w:hAnsi="Times New Roman" w:cs="Times New Roman"/>
          <w:sz w:val="24"/>
          <w:szCs w:val="24"/>
        </w:rPr>
        <w:t>, at</w:t>
      </w:r>
      <w:r w:rsidRPr="00796736">
        <w:rPr>
          <w:rFonts w:ascii="Times New Roman" w:eastAsia="Times New Roman" w:hAnsi="Times New Roman" w:cs="Times New Roman"/>
          <w:i/>
          <w:iCs/>
          <w:sz w:val="24"/>
          <w:szCs w:val="24"/>
        </w:rPr>
        <w:t xml:space="preserve"> </w:t>
      </w:r>
      <w:r w:rsidRPr="00796736">
        <w:rPr>
          <w:rFonts w:ascii="Times New Roman" w:eastAsia="Times New Roman" w:hAnsi="Times New Roman" w:cs="Times New Roman"/>
          <w:sz w:val="24"/>
          <w:szCs w:val="24"/>
        </w:rPr>
        <w:t xml:space="preserve">Erhvervs- og konkurrencekraftsministeren fastsætter tidspunktet for ikrafttrædelse af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_Ref236728924 \r \h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82</w:t>
      </w:r>
      <w:r w:rsidRPr="00796736">
        <w:rPr>
          <w:rFonts w:ascii="Times New Roman" w:eastAsia="Times New Roman" w:hAnsi="Times New Roman" w:cs="Times New Roman"/>
          <w:sz w:val="24"/>
          <w:szCs w:val="24"/>
        </w:rPr>
        <w:fldChar w:fldCharType="end"/>
      </w:r>
      <w:r w:rsidR="003D2A25">
        <w:rPr>
          <w:rFonts w:ascii="Times New Roman" w:eastAsia="Times New Roman" w:hAnsi="Times New Roman" w:cs="Times New Roman"/>
          <w:color w:val="FF0000"/>
          <w:sz w:val="24"/>
          <w:szCs w:val="24"/>
        </w:rPr>
        <w:t xml:space="preserve">. </w:t>
      </w:r>
    </w:p>
    <w:p w14:paraId="03B8877B" w14:textId="77777777" w:rsidR="00EF75A5" w:rsidRPr="00796736" w:rsidRDefault="00EF75A5" w:rsidP="005A265F">
      <w:pPr>
        <w:spacing w:line="360" w:lineRule="auto"/>
        <w:rPr>
          <w:rFonts w:ascii="Times New Roman" w:eastAsia="Times New Roman" w:hAnsi="Times New Roman" w:cs="Times New Roman"/>
          <w:sz w:val="24"/>
          <w:szCs w:val="24"/>
        </w:rPr>
      </w:pPr>
    </w:p>
    <w:p w14:paraId="59322717" w14:textId="72EA8F21" w:rsidR="00EF75A5" w:rsidRPr="00796736" w:rsidRDefault="00EF75A5" w:rsidP="005A265F">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 xml:space="preserve">stk. </w:t>
      </w:r>
      <w:r w:rsidR="00762427">
        <w:rPr>
          <w:rFonts w:ascii="Times New Roman" w:eastAsia="Times New Roman" w:hAnsi="Times New Roman" w:cs="Times New Roman"/>
          <w:i/>
          <w:iCs/>
          <w:sz w:val="24"/>
          <w:szCs w:val="24"/>
        </w:rPr>
        <w:t>5</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at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_Ref232595404 \r \h </w:instrText>
      </w:r>
      <w:r w:rsidR="00AB17CC"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5</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stk. 2, 1. pkt., også finder anvendelse på politiets, anklagemyndighedens og told- og skatteforvaltningens myndighedsudøvelse inden den 10. juli 2027.</w:t>
      </w:r>
    </w:p>
    <w:p w14:paraId="74127A0A" w14:textId="77777777" w:rsidR="00EF75A5" w:rsidRPr="00796736" w:rsidRDefault="00EF75A5" w:rsidP="005A265F">
      <w:pPr>
        <w:spacing w:line="360" w:lineRule="auto"/>
        <w:rPr>
          <w:rFonts w:ascii="Times New Roman" w:eastAsia="Times New Roman" w:hAnsi="Times New Roman" w:cs="Times New Roman"/>
          <w:sz w:val="24"/>
          <w:szCs w:val="24"/>
        </w:rPr>
      </w:pPr>
    </w:p>
    <w:p w14:paraId="59E07C57" w14:textId="6DFB9E1F" w:rsidR="00EF75A5" w:rsidRPr="00796736" w:rsidRDefault="00EF75A5" w:rsidP="005A265F">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Virkningsbestemmelsen i stk. </w:t>
      </w:r>
      <w:r w:rsidR="00762427">
        <w:rPr>
          <w:rFonts w:ascii="Times New Roman" w:eastAsia="Times New Roman" w:hAnsi="Times New Roman" w:cs="Times New Roman"/>
          <w:sz w:val="24"/>
          <w:szCs w:val="24"/>
        </w:rPr>
        <w:t>5</w:t>
      </w:r>
      <w:r w:rsidRPr="00796736">
        <w:rPr>
          <w:rFonts w:ascii="Times New Roman" w:eastAsia="Times New Roman" w:hAnsi="Times New Roman" w:cs="Times New Roman"/>
          <w:sz w:val="24"/>
          <w:szCs w:val="24"/>
        </w:rPr>
        <w:t xml:space="preserve"> indebærer, at de nævnte myndigheder lovligt er kommet i besiddelse af de 500-eurosedler, som myndighederne ved ikrafttrædelsen den 10. juli 2027 er i besiddelse af.</w:t>
      </w:r>
    </w:p>
    <w:p w14:paraId="7FD3246A" w14:textId="77777777" w:rsidR="002F2C94" w:rsidRPr="00796736" w:rsidRDefault="002F2C94" w:rsidP="005A265F">
      <w:pPr>
        <w:spacing w:line="360" w:lineRule="auto"/>
        <w:rPr>
          <w:rFonts w:ascii="Times New Roman" w:eastAsia="Times New Roman" w:hAnsi="Times New Roman" w:cs="Times New Roman"/>
          <w:sz w:val="24"/>
          <w:szCs w:val="24"/>
        </w:rPr>
      </w:pPr>
    </w:p>
    <w:p w14:paraId="2EAB8C38" w14:textId="3B4C33CE" w:rsidR="002F2C94" w:rsidRPr="00796736" w:rsidRDefault="002F2C94" w:rsidP="005A265F">
      <w:pPr>
        <w:spacing w:line="360" w:lineRule="auto"/>
        <w:rPr>
          <w:rFonts w:ascii="Times New Roman" w:eastAsia="Times New Roman" w:hAnsi="Times New Roman" w:cs="Times New Roman"/>
          <w:sz w:val="24"/>
          <w:szCs w:val="24"/>
          <w:lang w:eastAsia="da-DK"/>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 xml:space="preserve">stk. </w:t>
      </w:r>
      <w:r w:rsidR="00762427">
        <w:rPr>
          <w:rFonts w:ascii="Times New Roman" w:eastAsia="Times New Roman" w:hAnsi="Times New Roman" w:cs="Times New Roman"/>
          <w:i/>
          <w:iCs/>
          <w:sz w:val="24"/>
          <w:szCs w:val="24"/>
        </w:rPr>
        <w:t>6</w:t>
      </w:r>
      <w:r w:rsidRPr="00796736">
        <w:rPr>
          <w:rFonts w:ascii="Times New Roman" w:eastAsia="Times New Roman" w:hAnsi="Times New Roman" w:cs="Times New Roman"/>
          <w:i/>
          <w:iCs/>
          <w:sz w:val="24"/>
          <w:szCs w:val="24"/>
        </w:rPr>
        <w:t>,</w:t>
      </w:r>
      <w:r w:rsidRPr="00796736">
        <w:rPr>
          <w:rFonts w:ascii="Times New Roman" w:eastAsia="Times New Roman" w:hAnsi="Times New Roman" w:cs="Times New Roman"/>
          <w:sz w:val="24"/>
          <w:szCs w:val="24"/>
        </w:rPr>
        <w:t xml:space="preserve"> at</w:t>
      </w:r>
      <w:r w:rsidR="00796736">
        <w:rPr>
          <w:rFonts w:ascii="Times New Roman" w:eastAsia="Times New Roman" w:hAnsi="Times New Roman" w:cs="Times New Roman"/>
          <w:sz w:val="24"/>
          <w:szCs w:val="24"/>
        </w:rPr>
        <w:t xml:space="preserve"> s</w:t>
      </w:r>
      <w:r w:rsidRPr="00796736">
        <w:rPr>
          <w:rFonts w:ascii="Times New Roman" w:eastAsia="Times New Roman" w:hAnsi="Times New Roman" w:cs="Times New Roman"/>
          <w:sz w:val="24"/>
          <w:szCs w:val="24"/>
          <w:lang w:eastAsia="da-DK"/>
        </w:rPr>
        <w:t xml:space="preserve">katte- og </w:t>
      </w:r>
      <w:r w:rsidR="00796736">
        <w:rPr>
          <w:rFonts w:ascii="Times New Roman" w:eastAsia="Times New Roman" w:hAnsi="Times New Roman" w:cs="Times New Roman"/>
          <w:sz w:val="24"/>
          <w:szCs w:val="24"/>
          <w:lang w:eastAsia="da-DK"/>
        </w:rPr>
        <w:t>v</w:t>
      </w:r>
      <w:r w:rsidRPr="00796736">
        <w:rPr>
          <w:rFonts w:ascii="Times New Roman" w:eastAsia="Times New Roman" w:hAnsi="Times New Roman" w:cs="Times New Roman"/>
          <w:sz w:val="24"/>
          <w:szCs w:val="24"/>
          <w:lang w:eastAsia="da-DK"/>
        </w:rPr>
        <w:t>ækstministeren fastsætter tidspunktet for ikrafttrædelse af §</w:t>
      </w:r>
      <w:r w:rsidRPr="00796736">
        <w:rPr>
          <w:rFonts w:ascii="Times New Roman" w:eastAsia="Times New Roman" w:hAnsi="Times New Roman" w:cs="Times New Roman"/>
          <w:sz w:val="24"/>
          <w:szCs w:val="24"/>
          <w:lang w:eastAsia="da-DK"/>
        </w:rPr>
        <w:fldChar w:fldCharType="begin"/>
      </w:r>
      <w:r w:rsidRPr="00796736">
        <w:rPr>
          <w:rFonts w:ascii="Times New Roman" w:eastAsia="Times New Roman" w:hAnsi="Times New Roman" w:cs="Times New Roman"/>
          <w:sz w:val="24"/>
          <w:szCs w:val="24"/>
          <w:lang w:eastAsia="da-DK"/>
        </w:rPr>
        <w:instrText xml:space="preserve"> REF _Ref242963797 \r \h </w:instrText>
      </w:r>
      <w:r w:rsidR="009C50B4"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139</w:t>
      </w:r>
      <w:r w:rsidRPr="00796736">
        <w:rPr>
          <w:rFonts w:ascii="Times New Roman" w:eastAsia="Times New Roman" w:hAnsi="Times New Roman" w:cs="Times New Roman"/>
          <w:sz w:val="24"/>
          <w:szCs w:val="24"/>
          <w:lang w:eastAsia="da-DK"/>
        </w:rPr>
        <w:fldChar w:fldCharType="end"/>
      </w:r>
      <w:r w:rsidR="00796736">
        <w:rPr>
          <w:rFonts w:ascii="Times New Roman" w:eastAsia="Times New Roman" w:hAnsi="Times New Roman" w:cs="Times New Roman"/>
          <w:sz w:val="24"/>
          <w:szCs w:val="24"/>
          <w:lang w:eastAsia="da-DK"/>
        </w:rPr>
        <w:t>-</w:t>
      </w:r>
      <w:r w:rsidR="00796736">
        <w:rPr>
          <w:rFonts w:ascii="Times New Roman" w:eastAsia="Times New Roman" w:hAnsi="Times New Roman" w:cs="Times New Roman"/>
          <w:sz w:val="24"/>
          <w:szCs w:val="24"/>
          <w:lang w:eastAsia="da-DK"/>
        </w:rPr>
        <w:fldChar w:fldCharType="begin"/>
      </w:r>
      <w:r w:rsidR="00796736">
        <w:rPr>
          <w:rFonts w:ascii="Times New Roman" w:eastAsia="Times New Roman" w:hAnsi="Times New Roman" w:cs="Times New Roman"/>
          <w:sz w:val="24"/>
          <w:szCs w:val="24"/>
          <w:lang w:eastAsia="da-DK"/>
        </w:rPr>
        <w:instrText xml:space="preserve"> REF _Ref242964851 \n \h </w:instrText>
      </w:r>
      <w:r w:rsidR="00CB248D">
        <w:rPr>
          <w:rFonts w:ascii="Times New Roman" w:eastAsia="Times New Roman" w:hAnsi="Times New Roman" w:cs="Times New Roman"/>
          <w:sz w:val="24"/>
          <w:szCs w:val="24"/>
          <w:lang w:eastAsia="da-DK"/>
        </w:rPr>
        <w:instrText xml:space="preserve"> \* MERGEFORMAT </w:instrText>
      </w:r>
      <w:r w:rsidR="00796736">
        <w:rPr>
          <w:rFonts w:ascii="Times New Roman" w:eastAsia="Times New Roman" w:hAnsi="Times New Roman" w:cs="Times New Roman"/>
          <w:sz w:val="24"/>
          <w:szCs w:val="24"/>
          <w:lang w:eastAsia="da-DK"/>
        </w:rPr>
      </w:r>
      <w:r w:rsidR="00796736">
        <w:rPr>
          <w:rFonts w:ascii="Times New Roman" w:eastAsia="Times New Roman" w:hAnsi="Times New Roman" w:cs="Times New Roman"/>
          <w:sz w:val="24"/>
          <w:szCs w:val="24"/>
          <w:lang w:eastAsia="da-DK"/>
        </w:rPr>
        <w:fldChar w:fldCharType="separate"/>
      </w:r>
      <w:r w:rsidR="008F29E5">
        <w:rPr>
          <w:rFonts w:ascii="Times New Roman" w:eastAsia="Times New Roman" w:hAnsi="Times New Roman" w:cs="Times New Roman"/>
          <w:sz w:val="24"/>
          <w:szCs w:val="24"/>
          <w:lang w:eastAsia="da-DK"/>
        </w:rPr>
        <w:t>§ 141</w:t>
      </w:r>
      <w:r w:rsidR="00796736">
        <w:rPr>
          <w:rFonts w:ascii="Times New Roman" w:eastAsia="Times New Roman" w:hAnsi="Times New Roman" w:cs="Times New Roman"/>
          <w:sz w:val="24"/>
          <w:szCs w:val="24"/>
          <w:lang w:eastAsia="da-DK"/>
        </w:rPr>
        <w:fldChar w:fldCharType="end"/>
      </w:r>
      <w:r w:rsid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lang w:eastAsia="da-DK"/>
        </w:rPr>
        <w:t xml:space="preserve"> </w:t>
      </w:r>
    </w:p>
    <w:p w14:paraId="38699AF8" w14:textId="77777777" w:rsidR="009628D3" w:rsidRPr="00796736" w:rsidRDefault="009628D3" w:rsidP="005A265F">
      <w:pPr>
        <w:spacing w:after="160" w:line="360" w:lineRule="auto"/>
        <w:rPr>
          <w:rFonts w:ascii="Times New Roman" w:hAnsi="Times New Roman" w:cs="Times New Roman"/>
          <w:sz w:val="24"/>
          <w:szCs w:val="24"/>
        </w:rPr>
      </w:pPr>
    </w:p>
    <w:p w14:paraId="1DA08C35" w14:textId="567FEE40" w:rsidR="0062693A" w:rsidRPr="00796736" w:rsidRDefault="001B50EE" w:rsidP="005A265F">
      <w:pPr>
        <w:pStyle w:val="Undertitel"/>
      </w:pPr>
      <w:bookmarkStart w:id="2269" w:name="_Toc244879439"/>
      <w:bookmarkStart w:id="2270" w:name="_Toc244880964"/>
      <w:r w:rsidRPr="00796736">
        <w:t>Til</w:t>
      </w:r>
      <w:r w:rsidR="00257C4E">
        <w:t xml:space="preserve"> </w:t>
      </w:r>
      <w:r w:rsidR="00257C4E">
        <w:fldChar w:fldCharType="begin"/>
      </w:r>
      <w:r w:rsidR="00257C4E">
        <w:instrText xml:space="preserve"> REF _Ref244867061 \r \h </w:instrText>
      </w:r>
      <w:r w:rsidR="00257C4E">
        <w:fldChar w:fldCharType="separate"/>
      </w:r>
      <w:r w:rsidR="008F29E5">
        <w:t>§ 143</w:t>
      </w:r>
      <w:bookmarkEnd w:id="2269"/>
      <w:bookmarkEnd w:id="2270"/>
      <w:r w:rsidR="00257C4E">
        <w:fldChar w:fldCharType="end"/>
      </w:r>
    </w:p>
    <w:p w14:paraId="7DA74F4F" w14:textId="77777777" w:rsidR="002D4E46" w:rsidRPr="003D5D3B" w:rsidRDefault="002D4E46" w:rsidP="002D4E46">
      <w:pPr>
        <w:spacing w:line="360" w:lineRule="auto"/>
        <w:rPr>
          <w:rFonts w:ascii="Times New Roman" w:hAnsi="Times New Roman" w:cs="Times New Roman"/>
          <w:i/>
          <w:iCs/>
          <w:sz w:val="24"/>
          <w:szCs w:val="24"/>
        </w:rPr>
      </w:pPr>
      <w:r w:rsidRPr="003D5D3B">
        <w:rPr>
          <w:rFonts w:ascii="Times New Roman" w:hAnsi="Times New Roman" w:cs="Times New Roman"/>
          <w:i/>
          <w:iCs/>
          <w:sz w:val="24"/>
          <w:szCs w:val="24"/>
        </w:rPr>
        <w:t>Til nr. 1 (1. pkt. til fodnote i lov om finansiel virksomhed)</w:t>
      </w:r>
    </w:p>
    <w:p w14:paraId="169A8A6E"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hvilke EU-retsakter loven helt eller delvist gennemfører.</w:t>
      </w:r>
    </w:p>
    <w:p w14:paraId="41BD53D6"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loven bl.a. indeholder bestemmelser, der gennemfører dele af Europa-Parlamentets og Rådets direktiv 2015/849/EU af 20. maj 2015 (4. hvidvaskdirektiv).</w:t>
      </w:r>
    </w:p>
    <w:p w14:paraId="17460339"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i fodnoten til lovens titel at lade henvisningen til dele af Europa-Parlamentets og Rådets direktiv 2015/849/EU udgå og at indsætte en henvisning til dele af Europa-Parlamentets og Rådets direktiv (EU) 2024/1640 af 31. maj 2024 om de mekanismer, som medlemsstaterne skal indføre for at forebygge anvendelse af det finansielle system til hvidvask af penge eller finansiering af terrorisme (6. hvidvaskdirektiv).</w:t>
      </w:r>
    </w:p>
    <w:p w14:paraId="73F66A4F" w14:textId="77777777" w:rsidR="002D4E46"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ophævelsen af Europa-Parlamentets og Rådets direktiv 2015/849/EU. Forslaget indebærer, at fodnoten til lovens titel opdateres, så den afspejler den fremtidige EU-retlige regulering på hvidvaskområdet.</w:t>
      </w:r>
    </w:p>
    <w:p w14:paraId="7E9B2268" w14:textId="77777777" w:rsidR="002D4E46" w:rsidRPr="003D5D3B" w:rsidRDefault="002D4E46" w:rsidP="002D4E46">
      <w:pPr>
        <w:spacing w:line="360" w:lineRule="auto"/>
        <w:rPr>
          <w:rFonts w:ascii="Times New Roman" w:hAnsi="Times New Roman" w:cs="Times New Roman"/>
          <w:sz w:val="24"/>
          <w:szCs w:val="24"/>
        </w:rPr>
      </w:pPr>
    </w:p>
    <w:p w14:paraId="4F595947" w14:textId="77777777" w:rsidR="002D4E46" w:rsidRPr="003D5D3B" w:rsidRDefault="002D4E46" w:rsidP="002D4E46">
      <w:pPr>
        <w:spacing w:line="360" w:lineRule="auto"/>
        <w:rPr>
          <w:rFonts w:ascii="Times New Roman" w:hAnsi="Times New Roman" w:cs="Times New Roman"/>
          <w:i/>
          <w:iCs/>
          <w:sz w:val="24"/>
          <w:szCs w:val="24"/>
        </w:rPr>
      </w:pPr>
      <w:r w:rsidRPr="003D5D3B">
        <w:rPr>
          <w:rFonts w:ascii="Times New Roman" w:hAnsi="Times New Roman" w:cs="Times New Roman"/>
          <w:i/>
          <w:iCs/>
          <w:sz w:val="24"/>
          <w:szCs w:val="24"/>
        </w:rPr>
        <w:t>Til nr. 2 (2. pkt. til fodnote i lov om finansiel virksomhed)</w:t>
      </w:r>
    </w:p>
    <w:p w14:paraId="31C2C6F2"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bl.a., hvilke EU-forordninger der er medtaget bestemmelser fra i loven.</w:t>
      </w:r>
    </w:p>
    <w:p w14:paraId="1856F6B3"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der i loven bl.a. er medtaget bestemmelser fra Europa-Parlamentets og Rådets forordning (EU) 2023/1114 af 31. maj 2023 om markeder for kryptoaktiver.</w:t>
      </w:r>
    </w:p>
    <w:p w14:paraId="5B430120"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xml:space="preserve"> i fodnoten til lovens titel at indsætte en henvisning til Europa-Parlamentets og Rådets forordning (EU) 2024/1624 af 31. maj 2024 om forebyggende foranstaltninger mod anvendelse af det finansielle system til hvidvask af penge eller finansiering af terrorisme.</w:t>
      </w:r>
    </w:p>
    <w:p w14:paraId="348F0922" w14:textId="77777777" w:rsidR="002D4E46"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ikrafttrædelsen af Europa-Parlamentets og Rådets forordning (EU) 2024/1624, der finder anvendelse fra den 10. juli 2027. Forslaget indebærer, at fodnoten til lovens titel opdateres med en henvisning til forordningen.</w:t>
      </w:r>
    </w:p>
    <w:p w14:paraId="50A0A7A2" w14:textId="77777777" w:rsidR="002D4E46" w:rsidRPr="003D5D3B" w:rsidRDefault="002D4E46" w:rsidP="002D4E46">
      <w:pPr>
        <w:spacing w:line="360" w:lineRule="auto"/>
        <w:rPr>
          <w:rFonts w:ascii="Times New Roman" w:hAnsi="Times New Roman" w:cs="Times New Roman"/>
          <w:sz w:val="24"/>
          <w:szCs w:val="24"/>
        </w:rPr>
      </w:pPr>
    </w:p>
    <w:p w14:paraId="6E5E3564" w14:textId="77777777" w:rsidR="002D4E46" w:rsidRPr="003D5D3B" w:rsidRDefault="002D4E46" w:rsidP="002D4E46">
      <w:pPr>
        <w:spacing w:line="360" w:lineRule="auto"/>
        <w:rPr>
          <w:rFonts w:ascii="Times New Roman" w:hAnsi="Times New Roman" w:cs="Times New Roman"/>
          <w:i/>
          <w:iCs/>
          <w:sz w:val="24"/>
          <w:szCs w:val="24"/>
        </w:rPr>
      </w:pPr>
      <w:r w:rsidRPr="003D5D3B">
        <w:rPr>
          <w:rFonts w:ascii="Times New Roman" w:hAnsi="Times New Roman" w:cs="Times New Roman"/>
          <w:i/>
          <w:iCs/>
          <w:sz w:val="24"/>
          <w:szCs w:val="24"/>
        </w:rPr>
        <w:t>Til nr. 3 (§ 61 a, stk. 1, nr. 5, i lov om finansiel virksomhed)</w:t>
      </w:r>
    </w:p>
    <w:p w14:paraId="2F332794"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 61 a i lov om finansiel virksomhed regulerer de kriterier, som Finanstilsynet skal lægge vægt på ved vurderingen af en ansøgning om erhvervelse eller forøgelse af en kvalificeret andel i en finansiel virksomhed eller finansiel holdingvirksomhed.</w:t>
      </w:r>
    </w:p>
    <w:p w14:paraId="5882221F"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61 a, stk. 1, nr. 5, skal Finanstilsynet ved vurderingen bl.a. lægge vægt på, om der i forbindelse med den påtænkte erhvervelse er begrundet mistanke om, at hvidvaskning af penge eller finansiering af terrorisme vil ske.</w:t>
      </w:r>
    </w:p>
    <w:p w14:paraId="1363D26F"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61 a, stk. 1, nr. 5</w:t>
      </w:r>
      <w:r w:rsidRPr="003D5D3B">
        <w:rPr>
          <w:rFonts w:ascii="Times New Roman" w:hAnsi="Times New Roman" w:cs="Times New Roman"/>
          <w:sz w:val="24"/>
          <w:szCs w:val="24"/>
        </w:rPr>
        <w:t>, at ændre henvisningen til §§ 3 og 4 i lov om forebyggende foranstaltninger mod hvidvask og finansiering af terrorisme til artikel 2, nr. 1 og 2, i Europa-Parlamentets og Rådets forordning (EU) 2024/1624 af 31. maj 2024 om forebyggende foranstaltninger mod anvendelse af det finansielle system til hvidvask af penge eller finansiering af terrorisme.</w:t>
      </w:r>
    </w:p>
    <w:p w14:paraId="778CB7A0" w14:textId="77777777" w:rsidR="002D4E46"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 Forslaget indebærer, at henvisningen til definitionerne af hvidvask og finansiering af terrorisme tilpasses den fremtidige EU-retlige regulering på hvidvaskområdet.</w:t>
      </w:r>
    </w:p>
    <w:p w14:paraId="7FC90FC8" w14:textId="77777777" w:rsidR="002D4E46" w:rsidRPr="003D5D3B" w:rsidRDefault="002D4E46" w:rsidP="002D4E46">
      <w:pPr>
        <w:spacing w:line="360" w:lineRule="auto"/>
        <w:rPr>
          <w:rFonts w:ascii="Times New Roman" w:hAnsi="Times New Roman" w:cs="Times New Roman"/>
          <w:sz w:val="24"/>
          <w:szCs w:val="24"/>
        </w:rPr>
      </w:pPr>
    </w:p>
    <w:p w14:paraId="6C6D6404" w14:textId="77777777" w:rsidR="002D4E46" w:rsidRPr="003D5D3B" w:rsidRDefault="002D4E46" w:rsidP="002D4E46">
      <w:pPr>
        <w:spacing w:line="360" w:lineRule="auto"/>
        <w:rPr>
          <w:rFonts w:ascii="Times New Roman" w:hAnsi="Times New Roman" w:cs="Times New Roman"/>
          <w:i/>
          <w:iCs/>
          <w:sz w:val="24"/>
          <w:szCs w:val="24"/>
        </w:rPr>
      </w:pPr>
      <w:r w:rsidRPr="003D5D3B">
        <w:rPr>
          <w:rFonts w:ascii="Times New Roman" w:hAnsi="Times New Roman" w:cs="Times New Roman"/>
          <w:i/>
          <w:iCs/>
          <w:sz w:val="24"/>
          <w:szCs w:val="24"/>
        </w:rPr>
        <w:t>Til nr. 4 (§ 64 c, stk. 2, nr. 5, i lov om finansiel virksomhed)</w:t>
      </w:r>
    </w:p>
    <w:p w14:paraId="3BA2E710"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 64 c i lov om finansiel virksomhed regulerer pengeinstitutters og realkreditinstitutters pligt til som led i virksomhedsstyringen at identificere instituttets nøglepersoner.</w:t>
      </w:r>
    </w:p>
    <w:p w14:paraId="73872328"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64 c, stk. 2, nr. 5, anses den ansvarlige for hvidvaskforebyggelse som en nøgleperson.</w:t>
      </w:r>
    </w:p>
    <w:p w14:paraId="225CA746"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64 c, stk. 2, nr. 5</w:t>
      </w:r>
      <w:r w:rsidRPr="003D5D3B">
        <w:rPr>
          <w:rFonts w:ascii="Times New Roman" w:hAnsi="Times New Roman" w:cs="Times New Roman"/>
          <w:sz w:val="24"/>
          <w:szCs w:val="24"/>
        </w:rPr>
        <w:t>, at ændre henvisningen til hvidvasklovens § 7, stk. 2, til artikel 11, stk. 2, i Europa-Parlamentets og Rådets forordning (EU) 2024/1624 af 31. maj 2024 om forebyggende foranstaltninger mod anvendelse af det finansielle system til hvidvask af penge eller finansiering af terrorisme.</w:t>
      </w:r>
    </w:p>
    <w:p w14:paraId="5789F814" w14:textId="77777777" w:rsidR="002D4E46"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2F4DBE6A" w14:textId="77777777" w:rsidR="002D4E46" w:rsidRPr="003D5D3B" w:rsidRDefault="002D4E46" w:rsidP="002D4E46">
      <w:pPr>
        <w:spacing w:line="360" w:lineRule="auto"/>
        <w:rPr>
          <w:rFonts w:ascii="Times New Roman" w:hAnsi="Times New Roman" w:cs="Times New Roman"/>
          <w:sz w:val="24"/>
          <w:szCs w:val="24"/>
        </w:rPr>
      </w:pPr>
    </w:p>
    <w:p w14:paraId="62FEF453" w14:textId="77777777" w:rsidR="002D4E46" w:rsidRPr="003D5D3B" w:rsidRDefault="002D4E46" w:rsidP="002D4E46">
      <w:pPr>
        <w:spacing w:line="360" w:lineRule="auto"/>
        <w:rPr>
          <w:rFonts w:ascii="Times New Roman" w:hAnsi="Times New Roman" w:cs="Times New Roman"/>
          <w:i/>
          <w:iCs/>
          <w:sz w:val="24"/>
          <w:szCs w:val="24"/>
        </w:rPr>
      </w:pPr>
      <w:r w:rsidRPr="003D5D3B">
        <w:rPr>
          <w:rFonts w:ascii="Times New Roman" w:hAnsi="Times New Roman" w:cs="Times New Roman"/>
          <w:i/>
          <w:iCs/>
          <w:sz w:val="24"/>
          <w:szCs w:val="24"/>
        </w:rPr>
        <w:t>Til nr. 5 (§ 224, stk. 1, nr. 1, i lov om finansiel virksomhed)</w:t>
      </w:r>
    </w:p>
    <w:p w14:paraId="69F004EB"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 224 i lov om finansiel virksomhed regulerer Finanstilsynets adgang til at inddrage tilladelsen til at drive virksomhed som pengeinstitut, realkreditinstitut og investeringsforvaltningsselskab.</w:t>
      </w:r>
    </w:p>
    <w:p w14:paraId="37F9935F"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224, stk. 1, nr. 1, kan Finanstilsynet inddrage tilladelsen, hvis den finansielle virksomhed gør sig skyldig i grove eller gentagne overtrædelser af de regler, der er nævnt i bestemmelsen.</w:t>
      </w:r>
    </w:p>
    <w:p w14:paraId="7C9781D8"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224, stk. 1, nr. 1</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5B5D2F9B" w14:textId="77777777" w:rsidR="002D4E46" w:rsidRPr="003D5D3B" w:rsidRDefault="002D4E46" w:rsidP="002D4E46">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 Forslaget indebærer, at Finanstilsynets adgang til at inddrage en tilladelse ved grove eller gentagne overtrædelser tilpasses den fremtidige EU-retlige regulering på hvidvaskområdet.</w:t>
      </w:r>
    </w:p>
    <w:p w14:paraId="1E960E17" w14:textId="77777777" w:rsidR="002D4E46" w:rsidRDefault="002D4E46" w:rsidP="00E603E1">
      <w:pPr>
        <w:spacing w:line="360" w:lineRule="auto"/>
        <w:rPr>
          <w:rFonts w:ascii="Times New Roman" w:hAnsi="Times New Roman" w:cs="Times New Roman"/>
          <w:i/>
          <w:iCs/>
          <w:sz w:val="24"/>
          <w:szCs w:val="24"/>
        </w:rPr>
      </w:pPr>
    </w:p>
    <w:p w14:paraId="0430C0FE" w14:textId="5C3CABC2" w:rsidR="00E603E1" w:rsidRPr="003A2FA9" w:rsidRDefault="00E603E1" w:rsidP="00E603E1">
      <w:pPr>
        <w:spacing w:line="360" w:lineRule="auto"/>
        <w:rPr>
          <w:rFonts w:ascii="Times New Roman" w:hAnsi="Times New Roman" w:cs="Times New Roman"/>
          <w:i/>
          <w:iCs/>
          <w:sz w:val="24"/>
          <w:szCs w:val="24"/>
        </w:rPr>
      </w:pPr>
      <w:r w:rsidRPr="003A2FA9">
        <w:rPr>
          <w:rFonts w:ascii="Times New Roman" w:hAnsi="Times New Roman" w:cs="Times New Roman"/>
          <w:i/>
          <w:iCs/>
          <w:sz w:val="24"/>
          <w:szCs w:val="24"/>
        </w:rPr>
        <w:t xml:space="preserve">Til nr. </w:t>
      </w:r>
      <w:r w:rsidR="00175C65">
        <w:rPr>
          <w:rFonts w:ascii="Times New Roman" w:hAnsi="Times New Roman" w:cs="Times New Roman"/>
          <w:i/>
          <w:iCs/>
          <w:sz w:val="24"/>
          <w:szCs w:val="24"/>
        </w:rPr>
        <w:t>6</w:t>
      </w:r>
      <w:r w:rsidRPr="003A2FA9">
        <w:rPr>
          <w:rFonts w:ascii="Times New Roman" w:hAnsi="Times New Roman" w:cs="Times New Roman"/>
          <w:i/>
          <w:iCs/>
          <w:sz w:val="24"/>
          <w:szCs w:val="24"/>
        </w:rPr>
        <w:t xml:space="preserve"> (§ 343 c, stk. 2, i lov om finansiel virksomhed)</w:t>
      </w:r>
    </w:p>
    <w:p w14:paraId="5D6871C4" w14:textId="77777777" w:rsidR="00E603E1" w:rsidRPr="00521368" w:rsidRDefault="00E603E1" w:rsidP="00E603E1">
      <w:pPr>
        <w:spacing w:line="360" w:lineRule="auto"/>
        <w:rPr>
          <w:rFonts w:ascii="Times New Roman" w:hAnsi="Times New Roman" w:cs="Times New Roman"/>
          <w:sz w:val="24"/>
          <w:szCs w:val="24"/>
        </w:rPr>
      </w:pPr>
      <w:r w:rsidRPr="00521368">
        <w:rPr>
          <w:rFonts w:ascii="Times New Roman" w:hAnsi="Times New Roman" w:cs="Times New Roman"/>
          <w:sz w:val="24"/>
          <w:szCs w:val="24"/>
        </w:rPr>
        <w:t>Der gælder i dag ikke en pligt for crowdfundingtjenesteudbydere til at indsende en årlig erklæring til Finanstilsynet om, at virksomhedens ledelse og reelle ejere opfylder krav til hæderlighed.</w:t>
      </w:r>
    </w:p>
    <w:p w14:paraId="0AE14D77" w14:textId="77777777" w:rsidR="00E603E1" w:rsidRPr="00521368" w:rsidRDefault="00E603E1" w:rsidP="00E603E1">
      <w:pPr>
        <w:spacing w:line="360" w:lineRule="auto"/>
        <w:rPr>
          <w:rFonts w:ascii="Times New Roman" w:hAnsi="Times New Roman" w:cs="Times New Roman"/>
          <w:sz w:val="24"/>
          <w:szCs w:val="24"/>
        </w:rPr>
      </w:pPr>
    </w:p>
    <w:p w14:paraId="006578DE" w14:textId="77777777" w:rsidR="00E603E1" w:rsidRPr="00521368" w:rsidRDefault="00E603E1" w:rsidP="00E603E1">
      <w:pPr>
        <w:spacing w:line="360" w:lineRule="auto"/>
        <w:rPr>
          <w:rFonts w:ascii="Times New Roman" w:eastAsia="Calibri" w:hAnsi="Times New Roman" w:cs="Times New Roman"/>
          <w:iCs/>
          <w:sz w:val="24"/>
          <w:szCs w:val="24"/>
        </w:rPr>
      </w:pPr>
      <w:r w:rsidRPr="00521368">
        <w:rPr>
          <w:rFonts w:ascii="Times New Roman" w:hAnsi="Times New Roman" w:cs="Times New Roman"/>
          <w:sz w:val="24"/>
          <w:szCs w:val="24"/>
        </w:rPr>
        <w:t xml:space="preserve">Det foreslås i </w:t>
      </w:r>
      <w:r w:rsidRPr="00521368">
        <w:rPr>
          <w:rFonts w:ascii="Times New Roman" w:hAnsi="Times New Roman" w:cs="Times New Roman"/>
          <w:i/>
          <w:iCs/>
          <w:sz w:val="24"/>
          <w:szCs w:val="24"/>
        </w:rPr>
        <w:t xml:space="preserve">§ 343 c, stk. 2, 1. pkt., </w:t>
      </w:r>
      <w:r w:rsidRPr="00521368">
        <w:rPr>
          <w:rFonts w:ascii="Times New Roman" w:hAnsi="Times New Roman" w:cs="Times New Roman"/>
          <w:sz w:val="24"/>
          <w:szCs w:val="24"/>
        </w:rPr>
        <w:t xml:space="preserve">at der indføres en årlig pligt for crowdfundingtjenesteudbydere til senest den 1. april hvert år til Finanstilsynet at indsende en </w:t>
      </w:r>
      <w:r w:rsidRPr="00521368">
        <w:rPr>
          <w:rFonts w:ascii="Times New Roman" w:eastAsia="Calibri" w:hAnsi="Times New Roman" w:cs="Times New Roman"/>
          <w:iCs/>
          <w:sz w:val="24"/>
          <w:szCs w:val="24"/>
        </w:rPr>
        <w:t xml:space="preserve">oversigt over virksomhedens ledelse </w:t>
      </w:r>
      <w:r w:rsidRPr="00521368">
        <w:rPr>
          <w:rFonts w:ascii="Times New Roman" w:eastAsia="Calibri" w:hAnsi="Times New Roman" w:cs="Times New Roman"/>
          <w:sz w:val="24"/>
          <w:szCs w:val="24"/>
        </w:rPr>
        <w:t>og personer, der er identificeret som en nøgleperson i medfør af § 64 c, idet vedkommende er en medarbejder eller ansat med tilstrækkeligt kendskab til virksomhedens risikoeksponering for hvidvask af penge og finansiering af terrorisme og med tilstrækkelig anciennitet til at træffe beslutninger med indvirkning på dets risikoeksponering, samt</w:t>
      </w:r>
      <w:r w:rsidRPr="00521368">
        <w:rPr>
          <w:rFonts w:ascii="Times New Roman" w:eastAsia="Calibri" w:hAnsi="Times New Roman" w:cs="Times New Roman"/>
          <w:iCs/>
          <w:sz w:val="24"/>
          <w:szCs w:val="24"/>
        </w:rPr>
        <w:t xml:space="preserve"> reelle ejere. Det foreslås i </w:t>
      </w:r>
      <w:r w:rsidRPr="00521368">
        <w:rPr>
          <w:rFonts w:ascii="Times New Roman" w:eastAsia="Calibri" w:hAnsi="Times New Roman" w:cs="Times New Roman"/>
          <w:i/>
          <w:sz w:val="24"/>
          <w:szCs w:val="24"/>
        </w:rPr>
        <w:t>stk. 2, 2. pkt.,</w:t>
      </w:r>
      <w:r w:rsidRPr="00521368">
        <w:rPr>
          <w:rFonts w:ascii="Times New Roman" w:eastAsia="Calibri" w:hAnsi="Times New Roman" w:cs="Times New Roman"/>
          <w:iCs/>
          <w:sz w:val="24"/>
          <w:szCs w:val="24"/>
        </w:rPr>
        <w:t xml:space="preserve"> at crowdfundingtjenesteudbyderen tillige skal indsende en erklæring om, at den i 1. pkt. nævnte personkreds ikke er pålagt strafansvar for overtrædelse af straffeloven, den finansielle lovgivning eller anden relevant lovgivning, og at de reelle ejere ikke er pålagt strafansvar for overtrædelse af straffeloven, den finansielle lovgivning eller anden relevant lovgivning. Det foreslås i </w:t>
      </w:r>
      <w:r w:rsidRPr="00521368">
        <w:rPr>
          <w:rFonts w:ascii="Times New Roman" w:eastAsia="Calibri" w:hAnsi="Times New Roman" w:cs="Times New Roman"/>
          <w:i/>
          <w:sz w:val="24"/>
          <w:szCs w:val="24"/>
        </w:rPr>
        <w:t>stk. 2, 3. pkt.,</w:t>
      </w:r>
      <w:r w:rsidRPr="00521368">
        <w:rPr>
          <w:rFonts w:ascii="Times New Roman" w:eastAsia="Calibri" w:hAnsi="Times New Roman" w:cs="Times New Roman"/>
          <w:iCs/>
          <w:sz w:val="24"/>
          <w:szCs w:val="24"/>
        </w:rPr>
        <w:t xml:space="preserve"> at erklæringen skal være underskrevet af virksomhedens bestyrelse og direktion. Efter </w:t>
      </w:r>
      <w:r w:rsidRPr="00521368">
        <w:rPr>
          <w:rFonts w:ascii="Times New Roman" w:eastAsia="Calibri" w:hAnsi="Times New Roman" w:cs="Times New Roman"/>
          <w:i/>
          <w:sz w:val="24"/>
          <w:szCs w:val="24"/>
        </w:rPr>
        <w:t>stk. 2, 4. pkt.,</w:t>
      </w:r>
      <w:r w:rsidRPr="00521368">
        <w:rPr>
          <w:rFonts w:ascii="Times New Roman" w:eastAsia="Calibri" w:hAnsi="Times New Roman" w:cs="Times New Roman"/>
          <w:iCs/>
          <w:sz w:val="24"/>
          <w:szCs w:val="24"/>
        </w:rPr>
        <w:t xml:space="preserve"> skal erklæringen underskrives af den eller de ledelsesansvarlige for virksomheden, hvis virksomheden drives som juridisk person uden bestyrelse og direktion.</w:t>
      </w:r>
    </w:p>
    <w:p w14:paraId="4FDA9DB0" w14:textId="77777777" w:rsidR="00E603E1" w:rsidRPr="00521368" w:rsidRDefault="00E603E1" w:rsidP="00E603E1">
      <w:pPr>
        <w:spacing w:line="360" w:lineRule="auto"/>
        <w:rPr>
          <w:rFonts w:ascii="Times New Roman" w:hAnsi="Times New Roman" w:cs="Times New Roman"/>
          <w:sz w:val="24"/>
          <w:szCs w:val="24"/>
        </w:rPr>
      </w:pPr>
    </w:p>
    <w:p w14:paraId="10E035E5" w14:textId="77777777" w:rsidR="00E603E1" w:rsidRPr="00521368" w:rsidRDefault="00E603E1" w:rsidP="00E603E1">
      <w:pPr>
        <w:spacing w:line="360" w:lineRule="auto"/>
        <w:rPr>
          <w:rFonts w:ascii="Times New Roman" w:hAnsi="Times New Roman" w:cs="Times New Roman"/>
          <w:sz w:val="24"/>
          <w:szCs w:val="24"/>
        </w:rPr>
      </w:pPr>
      <w:r w:rsidRPr="00521368">
        <w:rPr>
          <w:rFonts w:ascii="Times New Roman" w:hAnsi="Times New Roman" w:cs="Times New Roman"/>
          <w:sz w:val="24"/>
          <w:szCs w:val="24"/>
        </w:rPr>
        <w:t xml:space="preserve">Den foreslåede bestemmelse er ny. Bestemmelsen </w:t>
      </w:r>
      <w:r w:rsidRPr="00521368">
        <w:rPr>
          <w:rFonts w:ascii="Times New Roman" w:eastAsia="Calibri" w:hAnsi="Times New Roman" w:cs="Times New Roman"/>
          <w:sz w:val="24"/>
          <w:szCs w:val="24"/>
        </w:rPr>
        <w:t xml:space="preserve">implementerer </w:t>
      </w:r>
      <w:r w:rsidRPr="00521368">
        <w:rPr>
          <w:rFonts w:ascii="Times New Roman" w:hAnsi="Times New Roman" w:cs="Times New Roman"/>
          <w:sz w:val="24"/>
          <w:szCs w:val="24"/>
        </w:rPr>
        <w:t xml:space="preserve">artikel 6, stk. 3, i </w:t>
      </w:r>
      <w:r w:rsidRPr="00521368">
        <w:rPr>
          <w:rFonts w:ascii="Times New Roman" w:eastAsia="Calibri" w:hAnsi="Times New Roman" w:cs="Times New Roman"/>
          <w:iCs/>
          <w:sz w:val="24"/>
          <w:szCs w:val="24"/>
        </w:rPr>
        <w:t>Europa-Parlamentets og Rådets direktiv (EU) 2024/1620</w:t>
      </w:r>
      <w:r w:rsidRPr="00521368">
        <w:rPr>
          <w:rFonts w:ascii="Times New Roman" w:hAnsi="Times New Roman" w:cs="Times New Roman"/>
          <w:sz w:val="24"/>
          <w:szCs w:val="24"/>
        </w:rPr>
        <w:t>.</w:t>
      </w:r>
    </w:p>
    <w:p w14:paraId="04804299" w14:textId="77777777" w:rsidR="00E603E1" w:rsidRPr="00521368" w:rsidRDefault="00E603E1" w:rsidP="00E603E1">
      <w:pPr>
        <w:spacing w:line="360" w:lineRule="auto"/>
        <w:rPr>
          <w:rFonts w:ascii="Times New Roman" w:hAnsi="Times New Roman" w:cs="Times New Roman"/>
          <w:sz w:val="24"/>
          <w:szCs w:val="24"/>
        </w:rPr>
      </w:pPr>
    </w:p>
    <w:p w14:paraId="4787A818" w14:textId="77777777" w:rsidR="00E603E1" w:rsidRPr="00521368" w:rsidRDefault="00E603E1" w:rsidP="00E603E1">
      <w:pPr>
        <w:spacing w:line="360" w:lineRule="auto"/>
        <w:rPr>
          <w:rFonts w:ascii="Times New Roman" w:hAnsi="Times New Roman" w:cs="Times New Roman"/>
          <w:sz w:val="24"/>
          <w:szCs w:val="24"/>
        </w:rPr>
      </w:pPr>
      <w:r w:rsidRPr="00521368">
        <w:rPr>
          <w:rFonts w:ascii="Times New Roman" w:hAnsi="Times New Roman" w:cs="Times New Roman"/>
          <w:sz w:val="24"/>
          <w:szCs w:val="24"/>
        </w:rPr>
        <w:t>Den foreslåede bestemmelse indebærer, at erklæringen skal være underskrevet af virksomhedens bestyrelse og direktion, hvilket understreger ledelsens ansvar for, at virksomhedens ledelse opfylder det relevante krav, dog skal erklæringen underskrives af de ledelsesansvarlige, hvis virksomheden, drives som juridisk person uden bestyrelse og direktion. Dette sikrer, at der altid er en ansvarlig person, der bekræfter virksomhedens oplysninger.</w:t>
      </w:r>
    </w:p>
    <w:p w14:paraId="3A48899E" w14:textId="77777777" w:rsidR="00E603E1" w:rsidRPr="00521368" w:rsidRDefault="00E603E1" w:rsidP="00E603E1">
      <w:pPr>
        <w:spacing w:line="360" w:lineRule="auto"/>
        <w:rPr>
          <w:rFonts w:ascii="Times New Roman" w:hAnsi="Times New Roman" w:cs="Times New Roman"/>
          <w:sz w:val="24"/>
          <w:szCs w:val="24"/>
        </w:rPr>
      </w:pPr>
    </w:p>
    <w:p w14:paraId="0BD457A1" w14:textId="77777777" w:rsidR="00E603E1" w:rsidRPr="00521368" w:rsidRDefault="00E603E1" w:rsidP="00E603E1">
      <w:pPr>
        <w:spacing w:line="360" w:lineRule="auto"/>
        <w:rPr>
          <w:rFonts w:ascii="Times New Roman" w:hAnsi="Times New Roman" w:cs="Times New Roman"/>
          <w:sz w:val="24"/>
          <w:szCs w:val="24"/>
        </w:rPr>
      </w:pPr>
      <w:r w:rsidRPr="00521368">
        <w:rPr>
          <w:rFonts w:ascii="Times New Roman" w:hAnsi="Times New Roman" w:cs="Times New Roman"/>
          <w:sz w:val="24"/>
          <w:szCs w:val="24"/>
        </w:rPr>
        <w:t>Formålet med bestemmelsen er at sikre, at Finanstilsynet løbende har opdateret information om virksomhedens ledelse og ejerskab, og at virksomheden til stadighed lever op til de krav, der er fastsat for ledelsens hæderlighed. Den årlige indsendelse af erklæringen og oversigten understøtter Finanstilsynets mulighed for at føre effektivt tilsyn med virksomhederne.</w:t>
      </w:r>
    </w:p>
    <w:p w14:paraId="6C327E2C" w14:textId="77777777" w:rsidR="00E603E1" w:rsidRPr="00521368" w:rsidRDefault="00E603E1" w:rsidP="00E603E1">
      <w:pPr>
        <w:spacing w:line="360" w:lineRule="auto"/>
        <w:rPr>
          <w:rFonts w:ascii="Times New Roman" w:hAnsi="Times New Roman" w:cs="Times New Roman"/>
          <w:sz w:val="24"/>
          <w:szCs w:val="24"/>
        </w:rPr>
      </w:pPr>
    </w:p>
    <w:p w14:paraId="681F5126" w14:textId="77777777" w:rsidR="00E603E1" w:rsidRPr="00521368" w:rsidRDefault="00E603E1" w:rsidP="00E603E1">
      <w:pPr>
        <w:spacing w:line="360" w:lineRule="auto"/>
        <w:rPr>
          <w:rFonts w:ascii="Times New Roman" w:hAnsi="Times New Roman" w:cs="Times New Roman"/>
          <w:sz w:val="24"/>
          <w:szCs w:val="24"/>
        </w:rPr>
      </w:pPr>
      <w:r w:rsidRPr="00521368">
        <w:rPr>
          <w:rFonts w:ascii="Times New Roman" w:hAnsi="Times New Roman" w:cs="Times New Roman"/>
          <w:sz w:val="24"/>
          <w:szCs w:val="24"/>
        </w:rPr>
        <w:t>Overtrædelse af bestemmelsen foreslås strafbelagt. I henhold til lovforslagets § 145, nr. 3, kan virksomheder, der undlader senest den 1. april hvert år at indsende erklæringen straffes med bøde. Den strafbare handling består i at undlade at indsende den årlige erklæring og oversigt til Finanstilsynet. Ansvarssubjektet for overtrædelse af bestemmelsen er virksomheden, og der skal således rejses tiltale mod den juridiske person for overtrædelsen.</w:t>
      </w:r>
    </w:p>
    <w:p w14:paraId="1478FFB1" w14:textId="77777777" w:rsidR="00E603E1" w:rsidRPr="00521368" w:rsidRDefault="00E603E1" w:rsidP="00E603E1">
      <w:pPr>
        <w:spacing w:line="360" w:lineRule="auto"/>
        <w:rPr>
          <w:rFonts w:ascii="Times New Roman" w:eastAsia="Calibri" w:hAnsi="Times New Roman" w:cs="Times New Roman"/>
          <w:sz w:val="24"/>
          <w:szCs w:val="24"/>
        </w:rPr>
      </w:pPr>
    </w:p>
    <w:p w14:paraId="00F5D776" w14:textId="360E3010"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Der henvises i øvrigt til pkt. </w:t>
      </w:r>
      <w:r w:rsidRPr="00521368">
        <w:rPr>
          <w:rFonts w:ascii="Times New Roman" w:eastAsia="Calibri" w:hAnsi="Times New Roman" w:cs="Times New Roman"/>
          <w:sz w:val="24"/>
          <w:szCs w:val="24"/>
        </w:rPr>
        <w:fldChar w:fldCharType="begin"/>
      </w:r>
      <w:r w:rsidRPr="00521368">
        <w:rPr>
          <w:rFonts w:ascii="Times New Roman" w:eastAsia="Calibri" w:hAnsi="Times New Roman" w:cs="Times New Roman"/>
          <w:sz w:val="24"/>
          <w:szCs w:val="24"/>
        </w:rPr>
        <w:instrText xml:space="preserve"> REF _Ref232951231 \n \h  \* MERGEFORMAT </w:instrText>
      </w:r>
      <w:r w:rsidRPr="00521368">
        <w:rPr>
          <w:rFonts w:ascii="Times New Roman" w:eastAsia="Calibri" w:hAnsi="Times New Roman" w:cs="Times New Roman"/>
          <w:sz w:val="24"/>
          <w:szCs w:val="24"/>
        </w:rPr>
      </w:r>
      <w:r w:rsidRPr="00521368">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3.57</w:t>
      </w:r>
      <w:r w:rsidRPr="00521368">
        <w:rPr>
          <w:rFonts w:ascii="Times New Roman" w:eastAsia="Calibri" w:hAnsi="Times New Roman" w:cs="Times New Roman"/>
          <w:sz w:val="24"/>
          <w:szCs w:val="24"/>
        </w:rPr>
        <w:fldChar w:fldCharType="end"/>
      </w:r>
      <w:r w:rsidRPr="00521368">
        <w:rPr>
          <w:rFonts w:ascii="Times New Roman" w:eastAsia="Calibri" w:hAnsi="Times New Roman" w:cs="Times New Roman"/>
          <w:sz w:val="24"/>
          <w:szCs w:val="24"/>
        </w:rPr>
        <w:t>. i lovforslagets almindelige bemærkninger.</w:t>
      </w:r>
    </w:p>
    <w:p w14:paraId="72577925" w14:textId="77777777" w:rsidR="00E603E1" w:rsidRPr="00521368" w:rsidRDefault="00E603E1" w:rsidP="00E603E1">
      <w:pPr>
        <w:spacing w:line="360" w:lineRule="auto"/>
        <w:rPr>
          <w:rFonts w:ascii="Times New Roman" w:eastAsia="Calibri" w:hAnsi="Times New Roman" w:cs="Times New Roman"/>
          <w:sz w:val="24"/>
          <w:szCs w:val="24"/>
        </w:rPr>
      </w:pPr>
    </w:p>
    <w:p w14:paraId="20CF71E3" w14:textId="608C545C" w:rsidR="00E603E1" w:rsidRPr="00521368" w:rsidRDefault="00E603E1" w:rsidP="00E603E1">
      <w:pPr>
        <w:spacing w:line="360" w:lineRule="auto"/>
        <w:rPr>
          <w:rFonts w:ascii="Times New Roman" w:eastAsia="Calibri" w:hAnsi="Times New Roman" w:cs="Times New Roman"/>
          <w:i/>
          <w:iCs/>
          <w:sz w:val="24"/>
          <w:szCs w:val="24"/>
        </w:rPr>
      </w:pPr>
      <w:r w:rsidRPr="00521368">
        <w:rPr>
          <w:rFonts w:ascii="Times New Roman" w:eastAsia="Calibri" w:hAnsi="Times New Roman" w:cs="Times New Roman"/>
          <w:i/>
          <w:iCs/>
          <w:sz w:val="24"/>
          <w:szCs w:val="24"/>
        </w:rPr>
        <w:t xml:space="preserve">Til nr. </w:t>
      </w:r>
      <w:r w:rsidR="00175C65">
        <w:rPr>
          <w:rFonts w:ascii="Times New Roman" w:eastAsia="Calibri" w:hAnsi="Times New Roman" w:cs="Times New Roman"/>
          <w:i/>
          <w:iCs/>
          <w:sz w:val="24"/>
          <w:szCs w:val="24"/>
        </w:rPr>
        <w:t>7</w:t>
      </w:r>
      <w:r w:rsidRPr="00521368">
        <w:rPr>
          <w:rFonts w:ascii="Times New Roman" w:eastAsia="Calibri" w:hAnsi="Times New Roman" w:cs="Times New Roman"/>
          <w:i/>
          <w:iCs/>
          <w:sz w:val="24"/>
          <w:szCs w:val="24"/>
        </w:rPr>
        <w:t xml:space="preserve"> (§ 343 g i lov om finansiel virksomhed)</w:t>
      </w:r>
    </w:p>
    <w:p w14:paraId="5150D0A1"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Crowdfundingtjenesteudbydere er reguleret i Europa-Parlamentets og Rådets forordning (EU) 2020/1503 af 7. oktober 2020 om europæiske crowdfundingtjenesteudbydere for erhvervslivet og om ændring af forordning (EU) 2017/1129 og direktiv (EU) 2019/1937.</w:t>
      </w:r>
    </w:p>
    <w:p w14:paraId="24608F0D" w14:textId="77777777" w:rsidR="00E603E1" w:rsidRPr="00521368" w:rsidRDefault="00E603E1" w:rsidP="00E603E1">
      <w:pPr>
        <w:spacing w:line="360" w:lineRule="auto"/>
        <w:rPr>
          <w:rFonts w:ascii="Times New Roman" w:eastAsia="Calibri" w:hAnsi="Times New Roman" w:cs="Times New Roman"/>
          <w:sz w:val="24"/>
          <w:szCs w:val="24"/>
        </w:rPr>
      </w:pPr>
    </w:p>
    <w:p w14:paraId="275CA20B"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Efter forordningens artikel 12, stk. 3, litra a, skal crowdfundingtjenesteudbyderen i forbindelse med ansøgningen dokumentere, at de fysiske personer, som er ansvarlige for ledelsen af den potentielle crowdfundingtjenesteudbyder,  ikke er opført i noget strafferegister for overtrædelser af nationale regler inden for handelslovgivning, insolvenslovgivning, lovgivning om finansielle tjenesteydelser, lovgivning om bekæmpelse af hvidvask af penge, lovgivning om svig eller forpligtelser vedrørende erhvervsansvar for alle fysiske personer, som er involveret i den potentielle crowdfundingtjenesteudbyders ledelse, og for kapitalejere, der besidder 20 pct. eller mere af aktiekapitalen eller stemmerettighederne.  </w:t>
      </w:r>
    </w:p>
    <w:p w14:paraId="27C13BF1" w14:textId="77777777" w:rsidR="00E603E1" w:rsidRPr="00521368" w:rsidRDefault="00E603E1" w:rsidP="00E603E1">
      <w:pPr>
        <w:spacing w:line="360" w:lineRule="auto"/>
        <w:rPr>
          <w:rFonts w:ascii="Times New Roman" w:eastAsia="Calibri" w:hAnsi="Times New Roman" w:cs="Times New Roman"/>
          <w:sz w:val="24"/>
          <w:szCs w:val="24"/>
        </w:rPr>
      </w:pPr>
    </w:p>
    <w:p w14:paraId="3B254C0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Det fremgår endvidere af forordningens artikel 15, stk. 1, at crowdfundingtjenesteudbydere udbyder deres tjenester under tilsyn af de kompetente myndigheder, der har meddelt tilladelse. Efter artikel 15, stk. 3, skal crowdfundingtjenesteudbydere uden unødig forsinkelse underrette den relevante kompetente myndighed om alle væsentlige ændringer i betingelserne for tilladelse og forelægger på anmodning de oplysninger, der er nødvendige for at vurdere deres overholdelse af denne forordning.</w:t>
      </w:r>
    </w:p>
    <w:p w14:paraId="20E20986" w14:textId="77777777" w:rsidR="00E603E1" w:rsidRPr="00521368" w:rsidRDefault="00E603E1" w:rsidP="00E603E1">
      <w:pPr>
        <w:spacing w:line="360" w:lineRule="auto"/>
        <w:rPr>
          <w:rFonts w:ascii="Times New Roman" w:eastAsia="Calibri" w:hAnsi="Times New Roman" w:cs="Times New Roman"/>
          <w:sz w:val="24"/>
          <w:szCs w:val="24"/>
        </w:rPr>
      </w:pPr>
    </w:p>
    <w:p w14:paraId="1A942BE1"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Herudover fremgår det af forordningens artikel 17, stk. 1, at de kompetente myndigheder, der har meddelt tilladelse, har beføjelse til at inddrage tilladelsen i en række situationer, herunder bl.a. hvis crowdfundingtjenesteudbyderen har opnået sin tilladelse på uretmæssig vis, herunder ved falske erklæringer i sin ansøgning om tilladelse, hvis crowdfundingtjenesteudbyderen ikke længere opfylder de betingelser, hvorpå tilladelsen blev meddelt, eller hvis crowdfundingtjenesteudbyderen har begået alvorlige overtrædelser af forordning. De kompetente myndigheder, der har meddelt tilladelse, har ligeledes beføjelse til at inddrage tilladelsen, hvis crowdfundingtjenesteudbyderen også er betalingstjenesteudbyder i overensstemmelse med direktiv (EU) 2015/2366, og vedkommende selv eller dennes ledere, ansatte eller tredjeparter, der handler på vedkommendes vegne, har overtrådt national ret til gennemførelse af direktiv (EU) 2015/849 med hensyn til hvidvask af penge eller finansiering af terrorisme eller hvis crowdfundingtjenesteudbyderen eller en tredjepart, der handler på crowdfundingtjenesteudbyderens vegne, har mistet sin tilladelse til at udbyde betalingstjenester i overensstemmelse med direktiv (EU) 2015/2366 eller yde investeringsservice i henhold til direktiv 2014/65/EU, og nævnte crowdfundingtjenesteudbyder eller tredjepart ikke har afhjulpet situationen inden for 40 kalenderdage. </w:t>
      </w:r>
    </w:p>
    <w:p w14:paraId="4164142E" w14:textId="77777777" w:rsidR="00E603E1" w:rsidRPr="00521368" w:rsidRDefault="00E603E1" w:rsidP="00E603E1">
      <w:pPr>
        <w:spacing w:line="360" w:lineRule="auto"/>
        <w:rPr>
          <w:rFonts w:ascii="Times New Roman" w:eastAsia="Calibri" w:hAnsi="Times New Roman" w:cs="Times New Roman"/>
          <w:sz w:val="24"/>
          <w:szCs w:val="24"/>
        </w:rPr>
      </w:pPr>
    </w:p>
    <w:p w14:paraId="3767007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Efter forordningens artikel 39, stk. 2, litra b, skal medlemsstaterne sikre, at tilsynsmyndigheden har beføjelser til som minimum at pålægge en fysisk eller juridisk person at bringe den adfærd, der udgør en overtrædelse af forordningen, til ophør og at afholde sig fra at gentage en sådan adfærd. Tilsynsmyndigheden skal endvidere kunne nedlægge forbud mod, at noget medlem af ledelsesorgan i den juridiske person, der er ansvarlig for overtrædelsen, eller enhver anden fysisk person, der er gjort ansvarlig for overtrædelsen, udøver ledelsesfunktioner hos crowdfundingtjenesteudbydere. </w:t>
      </w:r>
    </w:p>
    <w:p w14:paraId="05893085" w14:textId="77777777" w:rsidR="00E603E1" w:rsidRPr="00521368" w:rsidRDefault="00E603E1" w:rsidP="00E603E1">
      <w:pPr>
        <w:spacing w:line="360" w:lineRule="auto"/>
        <w:rPr>
          <w:rFonts w:ascii="Times New Roman" w:eastAsia="Calibri" w:hAnsi="Times New Roman" w:cs="Times New Roman"/>
          <w:sz w:val="24"/>
          <w:szCs w:val="24"/>
        </w:rPr>
      </w:pPr>
    </w:p>
    <w:p w14:paraId="7B1711A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følger endelig af § 62, stk. 1, i lov om finansiel virksomhed, at Finanstilsynet kan ophæve stemmeretten knyttet til kapitalandele eller påbyde virksomheden at følge bestemte retningslinjer, hvis kapitalejere, der besidder kvalificerede andele som omhandlet i § 61, stk. 1, i en finansiel virksomhed, herunder en crowdfundingudbyder eller en finansiel holdingvirksomhed, ikke opfylder kravene i § 61 a, stk. 1. </w:t>
      </w:r>
    </w:p>
    <w:p w14:paraId="3F0CAAAD" w14:textId="77777777" w:rsidR="00E603E1" w:rsidRPr="00521368" w:rsidRDefault="00E603E1" w:rsidP="00E603E1">
      <w:pPr>
        <w:spacing w:line="360" w:lineRule="auto"/>
        <w:rPr>
          <w:rFonts w:ascii="Times New Roman" w:eastAsia="Calibri" w:hAnsi="Times New Roman" w:cs="Times New Roman"/>
          <w:sz w:val="24"/>
          <w:szCs w:val="24"/>
        </w:rPr>
      </w:pPr>
    </w:p>
    <w:p w14:paraId="63FC907A"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følger af § 343 a, stk. 1, i lov om finansiel virksomhed, at juridiske personer, der udbyder crowdfundingtjenester, skal have tilladelse af Finanstilsynet som crowdfundingtjenesteudbyder, jf. artikel 12, stk. 1, i Europa-Parlamentets og Rådets forordning 2020/1503/EU af 7. oktober 2020 om europæiske crowdfundingtjenesteudbydere for erhvervslivet. En crowdfundingtjenesteudbyder er i lovens § 343 a, stk. 2, defineret som en juridisk person, der udbyder crowdfundingtjenester. Crowdfundingtjenesteudbydere betragtes således i lovens forstand som en finansiel virksomhed. </w:t>
      </w:r>
    </w:p>
    <w:p w14:paraId="6B3F8C28" w14:textId="77777777" w:rsidR="00E603E1" w:rsidRPr="00521368" w:rsidRDefault="00E603E1" w:rsidP="00E603E1">
      <w:pPr>
        <w:spacing w:line="360" w:lineRule="auto"/>
        <w:rPr>
          <w:rFonts w:ascii="Times New Roman" w:eastAsia="Calibri" w:hAnsi="Times New Roman" w:cs="Times New Roman"/>
          <w:sz w:val="24"/>
          <w:szCs w:val="24"/>
        </w:rPr>
      </w:pPr>
    </w:p>
    <w:p w14:paraId="7FF0D3B0"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Det følger desuden af lovens § § 343 b, at Finanstilsynet kan inddrage en tilladelse til at drive virksomhed som crowdfundingtjenesteudbyder efter artikel 17 i forordning 2020/1503/EU.</w:t>
      </w:r>
    </w:p>
    <w:p w14:paraId="54F5FC33" w14:textId="77777777" w:rsidR="00E603E1" w:rsidRPr="00521368" w:rsidRDefault="00E603E1" w:rsidP="00E603E1">
      <w:pPr>
        <w:spacing w:line="360" w:lineRule="auto"/>
        <w:rPr>
          <w:rFonts w:ascii="Times New Roman" w:eastAsia="Calibri" w:hAnsi="Times New Roman" w:cs="Times New Roman"/>
          <w:sz w:val="24"/>
          <w:szCs w:val="24"/>
        </w:rPr>
      </w:pPr>
    </w:p>
    <w:p w14:paraId="7BD914B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Herudover fremgår det af lovens § 343 d, at Finanstilsynet påser crowdfundingtjenesteudbyderes overholdelse af 2020/1503/EU. Det er i den forbindelse fastsat i § 343 f, at lovens kapitel 21 og regler udstedt i medfør heraf med de fornødne tilpasninger finder tilsvarende anvendelse i tilsynet med crowdfundingtjenesteudbydere.</w:t>
      </w:r>
    </w:p>
    <w:p w14:paraId="51FC37F9" w14:textId="77777777" w:rsidR="00E603E1" w:rsidRPr="00521368" w:rsidRDefault="00E603E1" w:rsidP="00E603E1">
      <w:pPr>
        <w:spacing w:line="360" w:lineRule="auto"/>
        <w:rPr>
          <w:rFonts w:ascii="Times New Roman" w:eastAsia="Calibri" w:hAnsi="Times New Roman" w:cs="Times New Roman"/>
          <w:sz w:val="24"/>
          <w:szCs w:val="24"/>
        </w:rPr>
      </w:pPr>
    </w:p>
    <w:p w14:paraId="53FC2B97"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Det følger af lovens § 351, stk. 1, at Finanstilsynet kan påbyde en finansiel virksomhed, herunder en crowdfundingtjenesteudbyder, jf. § 343 d, at afsætte en direktør, hvis direktøren efter § 64, stk. 1, eller § 64 a, ikke kan bestride stillingen. Finanstilsynet kan efter § 351, stk. 2, under samme betingelser påbyde et bestyrelsesmedlem at nedlægge sit hverv. Finanstilsynet fastsætter i begge tilfælde en frist for efterlevelse af påbuddet.</w:t>
      </w:r>
    </w:p>
    <w:p w14:paraId="0C211B6C" w14:textId="77777777" w:rsidR="00E603E1" w:rsidRPr="00521368" w:rsidRDefault="00E603E1" w:rsidP="00E603E1">
      <w:pPr>
        <w:spacing w:line="360" w:lineRule="auto"/>
        <w:rPr>
          <w:rFonts w:ascii="Times New Roman" w:eastAsia="Calibri" w:hAnsi="Times New Roman" w:cs="Times New Roman"/>
          <w:sz w:val="24"/>
          <w:szCs w:val="24"/>
        </w:rPr>
      </w:pPr>
    </w:p>
    <w:p w14:paraId="6D25B05C"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Efter § 351, stk. 5, i lov om finansiel virksomhed kan Finanstilsynet endvidere påbyde en finansiel virksomhed, herunder en crowdfundingtjenesteudbyder, jf. § 343 a, at afsætte en direktør eller en ansat i et gruppe 1- eller 2-pengeinstitut eller et realkreditinstitut, der er nøgleperson i medfør af § 64 c, stk. 1 og 8, jf. stk. 1, eller i medfør af § 64 d, stk. 1, når der er rejst tiltale mod den pågældende i en straffesag om overtrædelse af straffeloven, den finansielle lovgivning eller anden relevant lovgivning, indtil straffesagen er afgjort, hvis domfældelse vil indebære, at direktøren ikke opfylder kravene i § 64, stk. 1, nr. 3, eller at nøglepersonen i et pengeinstitut, i et realkreditinstitut, i et systemisk vigtigt finansielt institut (SIFI) eller i et globalt systemisk vigtigt finansielt institut (G-SIFI) ikke opfylder kravene i § 64, stk. 1, nr. 3, jf. § 64 c, stk. 4. Finanstilsynet fastsætter en frist for efterlevelse af påbuddet. Finanstilsynet kan under samme betingelser som i 1. pkt. påbyde et medlem af bestyrelsen i en finansiel virksomhed at nedlægge sit hverv. Finanstilsynet fastsætter en frist for efterlevelse af påbuddet.</w:t>
      </w:r>
    </w:p>
    <w:p w14:paraId="59EBA71E" w14:textId="77777777" w:rsidR="00E603E1" w:rsidRPr="00521368" w:rsidRDefault="00E603E1" w:rsidP="00E603E1">
      <w:pPr>
        <w:spacing w:line="360" w:lineRule="auto"/>
        <w:rPr>
          <w:rFonts w:ascii="Times New Roman" w:eastAsia="Calibri" w:hAnsi="Times New Roman" w:cs="Times New Roman"/>
          <w:sz w:val="24"/>
          <w:szCs w:val="24"/>
        </w:rPr>
      </w:pPr>
    </w:p>
    <w:p w14:paraId="407700BE" w14:textId="6CBD356D"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følger af </w:t>
      </w:r>
      <w:r w:rsidRPr="00521368">
        <w:rPr>
          <w:rFonts w:ascii="Times New Roman" w:eastAsia="Calibri" w:hAnsi="Times New Roman" w:cs="Times New Roman"/>
          <w:sz w:val="24"/>
          <w:szCs w:val="24"/>
        </w:rPr>
        <w:fldChar w:fldCharType="begin"/>
      </w:r>
      <w:r w:rsidRPr="00521368">
        <w:rPr>
          <w:rFonts w:ascii="Times New Roman" w:eastAsia="Calibri" w:hAnsi="Times New Roman" w:cs="Times New Roman"/>
          <w:sz w:val="24"/>
          <w:szCs w:val="24"/>
        </w:rPr>
        <w:instrText xml:space="preserve"> REF _Ref232949113 \r \h  \* MERGEFORMAT </w:instrText>
      </w:r>
      <w:r w:rsidRPr="00521368">
        <w:rPr>
          <w:rFonts w:ascii="Times New Roman" w:eastAsia="Calibri" w:hAnsi="Times New Roman" w:cs="Times New Roman"/>
          <w:sz w:val="24"/>
          <w:szCs w:val="24"/>
        </w:rPr>
      </w:r>
      <w:r w:rsidRPr="00521368">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130</w:t>
      </w:r>
      <w:r w:rsidRPr="00521368">
        <w:rPr>
          <w:rFonts w:ascii="Times New Roman" w:eastAsia="Calibri" w:hAnsi="Times New Roman" w:cs="Times New Roman"/>
          <w:sz w:val="24"/>
          <w:szCs w:val="24"/>
        </w:rPr>
        <w:fldChar w:fldCharType="end"/>
      </w:r>
      <w:r w:rsidRPr="00521368">
        <w:rPr>
          <w:rFonts w:ascii="Times New Roman" w:eastAsia="Calibri" w:hAnsi="Times New Roman" w:cs="Times New Roman"/>
          <w:sz w:val="24"/>
          <w:szCs w:val="24"/>
        </w:rPr>
        <w:t xml:space="preserve"> i lov om finansiel virksomhed, at både den berørte virksomhed og den fysiske eller juridiske person, som Finanstilsynets afgørelse efter loven vedrører, anses som parter i forhold til afgørelsen. Det gælder bl.a. ved afgørelser om påbud om ophør af kontrol, herunder afhændelse af ejerandele, og ved afgørelser om ophævelse af stemmeret.</w:t>
      </w:r>
    </w:p>
    <w:p w14:paraId="30644082" w14:textId="77777777" w:rsidR="00E603E1" w:rsidRPr="00521368" w:rsidRDefault="00E603E1" w:rsidP="00E603E1">
      <w:pPr>
        <w:spacing w:line="360" w:lineRule="auto"/>
        <w:rPr>
          <w:rFonts w:ascii="Times New Roman" w:eastAsia="Calibri" w:hAnsi="Times New Roman" w:cs="Times New Roman"/>
          <w:sz w:val="24"/>
          <w:szCs w:val="24"/>
        </w:rPr>
      </w:pPr>
    </w:p>
    <w:p w14:paraId="110B79A5"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Lov om finansiel virksomhed indeholder i dag ikke en mulighed for Finanstilsynet til at påbyde en fysisk person, der direkte eller indirekte ejer eller kontrollerer minimum 25 pct. af kapitalandelen, ejerandelen, stemmerettighederne eller andre ejerskabsbeføjelser i en crowdfundingtjenesteudbyder, at afhænde sine ejerandele eller ophøre med at udøve kontrol inden for en af Finanstilsynet fastsat frist, såfremt den pågældende er pålagt strafansvar for overtrædelse af straffeloven, den finansielle lovgivning eller anden relevant lovgivning. </w:t>
      </w:r>
    </w:p>
    <w:p w14:paraId="00466E2F" w14:textId="77777777" w:rsidR="00E603E1" w:rsidRPr="00521368" w:rsidRDefault="00E603E1" w:rsidP="00E603E1">
      <w:pPr>
        <w:spacing w:line="360" w:lineRule="auto"/>
        <w:rPr>
          <w:rFonts w:ascii="Times New Roman" w:eastAsia="Calibri" w:hAnsi="Times New Roman" w:cs="Times New Roman"/>
          <w:sz w:val="24"/>
          <w:szCs w:val="24"/>
        </w:rPr>
      </w:pPr>
    </w:p>
    <w:p w14:paraId="28FDC03E"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foreslås, at der indsættes en § 343 g, der fastlægger rammerne for, at Finanstilsynet kan gribe ind over for reelle ejere, der udøver væsentlig indflydelse eller kontrol over en kreditformidler, såfremt den pågældende er pålagt strafansvar for overtrædelse af straffeloven, den finansielle lovgivning eller anden relevant lovgivning. </w:t>
      </w:r>
    </w:p>
    <w:p w14:paraId="29C4C2B9" w14:textId="77777777" w:rsidR="00E603E1" w:rsidRPr="00521368" w:rsidRDefault="00E603E1" w:rsidP="00E603E1">
      <w:pPr>
        <w:spacing w:line="360" w:lineRule="auto"/>
        <w:rPr>
          <w:rFonts w:ascii="Times New Roman" w:eastAsia="Calibri" w:hAnsi="Times New Roman" w:cs="Times New Roman"/>
          <w:sz w:val="24"/>
          <w:szCs w:val="24"/>
        </w:rPr>
      </w:pPr>
    </w:p>
    <w:p w14:paraId="7C6EFDE8"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Bestemmelsen er ny og implementerer artikel 6, stk. 5, samt artikel 56, stk. 2, litra g, og stk. 4, i 6. hvidvaskdirektiv. </w:t>
      </w:r>
    </w:p>
    <w:p w14:paraId="490FB128"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foreslås i </w:t>
      </w:r>
      <w:r w:rsidRPr="00521368">
        <w:rPr>
          <w:rFonts w:ascii="Times New Roman" w:eastAsia="Calibri" w:hAnsi="Times New Roman" w:cs="Times New Roman"/>
          <w:i/>
          <w:iCs/>
          <w:sz w:val="24"/>
          <w:szCs w:val="24"/>
        </w:rPr>
        <w:t>stk. 1</w:t>
      </w:r>
      <w:r w:rsidRPr="00521368">
        <w:rPr>
          <w:rFonts w:ascii="Times New Roman" w:eastAsia="Calibri" w:hAnsi="Times New Roman" w:cs="Times New Roman"/>
          <w:sz w:val="24"/>
          <w:szCs w:val="24"/>
        </w:rPr>
        <w:t>, at Finanstilsynet kan påbyde en fysisk person, der direkte eller indirekte ejer eller kontrollerer minimum 25 pct. af kapitalandelen, ejerandelen, stemmerettighederne eller andre ejerskabsbeføjelser i en crowdfundingtjenesteudbyder, at ophøre med at udøve kontrol, herunder afhænde sine ejerandele helt eller delvist inden for en af Finanstilsynet fastsat frist, såfremt den pågældende er pålagt strafansvar for overtrædelse af straffeloven, den finansielle lovgivning eller anden relevant lovgivning.</w:t>
      </w:r>
    </w:p>
    <w:p w14:paraId="7A0C1961" w14:textId="77777777" w:rsidR="00E603E1" w:rsidRPr="00521368" w:rsidRDefault="00E603E1" w:rsidP="00E603E1">
      <w:pPr>
        <w:spacing w:line="360" w:lineRule="auto"/>
        <w:rPr>
          <w:rFonts w:ascii="Times New Roman" w:eastAsia="Calibri" w:hAnsi="Times New Roman" w:cs="Times New Roman"/>
          <w:sz w:val="24"/>
          <w:szCs w:val="24"/>
        </w:rPr>
      </w:pPr>
    </w:p>
    <w:p w14:paraId="3D3693E0"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Den foreslåede bestemmelse understøtter Finanstilsynets mulighed for at gribe ind over for ejere eller kontrollerende personer, der ikke længere anses for hæderlige til at udøve væsentlig indflydelse på en crowdfundingtjenesteudbyder.</w:t>
      </w:r>
    </w:p>
    <w:p w14:paraId="71D3D91B" w14:textId="77777777" w:rsidR="00E603E1" w:rsidRPr="00521368" w:rsidRDefault="00E603E1" w:rsidP="00E603E1">
      <w:pPr>
        <w:spacing w:line="360" w:lineRule="auto"/>
        <w:rPr>
          <w:rFonts w:ascii="Times New Roman" w:eastAsia="Calibri" w:hAnsi="Times New Roman" w:cs="Times New Roman"/>
          <w:sz w:val="24"/>
          <w:szCs w:val="24"/>
        </w:rPr>
      </w:pPr>
    </w:p>
    <w:p w14:paraId="673CCDC1"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Bestemmelsen vil omfatte reelle ejere, det vil sige fysiske personer, der direkte eller indirekte ejer eller kontrollerer minimum 25 pct. af kapitalandelen, ejerandelen, stemmerettighederne eller andre ejerskabsbeføjelser af en crowdfundingtjenesteudbyder, jf. definitionen her af i artikel 2, stk. 1, nr. 28, i forordning (EU) 2024/1624. </w:t>
      </w:r>
    </w:p>
    <w:p w14:paraId="22AE4327" w14:textId="77777777" w:rsidR="00E603E1" w:rsidRPr="00521368" w:rsidRDefault="00E603E1" w:rsidP="00E603E1">
      <w:pPr>
        <w:spacing w:line="360" w:lineRule="auto"/>
        <w:rPr>
          <w:rFonts w:ascii="Times New Roman" w:eastAsia="Calibri" w:hAnsi="Times New Roman" w:cs="Times New Roman"/>
          <w:sz w:val="24"/>
          <w:szCs w:val="24"/>
        </w:rPr>
      </w:pPr>
    </w:p>
    <w:p w14:paraId="1252E113"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Bestemmelsen har således et snævrere anvendelsesområde end hæderlighedskravet i artikel 12, stk. 2, litra a, i Europa-Parlamentets og Rådets forordning (EU) 2020/1503, hvorefter potentielle crowdfundingtjenesteudbydere skal dokumentere, at kapitalejere, der besidder 20 % eller mere af aktiekapitalen eller stemmerettighederne  ikke er opført i noget strafferegister for overtrædelser af nationale regler inden for handelslovgivning, insolvenslovgivning, lovgivning om finansielle tjenesteydelser, lovgivning om bekæmpelse af hvidvask af penge, lovgivning om svig eller forpligtelser vedrørende erhvervsansvar. </w:t>
      </w:r>
    </w:p>
    <w:p w14:paraId="10914855" w14:textId="77777777" w:rsidR="00E603E1" w:rsidRPr="00521368" w:rsidRDefault="00E603E1" w:rsidP="00E603E1">
      <w:pPr>
        <w:spacing w:line="360" w:lineRule="auto"/>
        <w:rPr>
          <w:rFonts w:ascii="Times New Roman" w:eastAsia="Calibri" w:hAnsi="Times New Roman" w:cs="Times New Roman"/>
          <w:sz w:val="24"/>
          <w:szCs w:val="24"/>
        </w:rPr>
      </w:pPr>
    </w:p>
    <w:p w14:paraId="3090A1B9"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Ved at ophøre med at udøve kontrol forstås, at den pågældende fysiske eller juridiske person ikke længere direkte eller indirekte har mulighed for at udøve bestemmende indflydelse over virksomheden. Med det foreslåede krav om ophør af kontrol, skal personen nedbringer sin ejerandel eller sine stemmerettigheder til under en nærmere angivet grænse, hvis det er nødvendigt for at sikre, at virksomheden ikke kontrolleres af personer, der er pålagt strafansvar for overtrædelse af straffeloven, den finansielle lovgivning eller anden relevant lovgivning.</w:t>
      </w:r>
    </w:p>
    <w:p w14:paraId="3798FC91" w14:textId="77777777" w:rsidR="00E603E1" w:rsidRPr="00521368" w:rsidRDefault="00E603E1" w:rsidP="00E603E1">
      <w:pPr>
        <w:spacing w:line="360" w:lineRule="auto"/>
        <w:rPr>
          <w:rFonts w:ascii="Times New Roman" w:eastAsia="Calibri" w:hAnsi="Times New Roman" w:cs="Times New Roman"/>
          <w:sz w:val="24"/>
          <w:szCs w:val="24"/>
        </w:rPr>
      </w:pPr>
    </w:p>
    <w:p w14:paraId="031E0FA9"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Et påbud om at ophøre med at udøve kontrol indebærer således, at den pågældende skal nedbringe sin direkte eller indirekte ejerandel til et niveau, hvor ejerandelen ikke længere giver mulighed for at udøve bestemmende indflydelse over virksomheden. Finanstilsynet vil i den forbindelse ikke alene kunne lægge vægt på den formelle ejerandel, men også på den faktiske indflydelse, som ejeren direkte eller indirekte kan udøve over virksomheden. Vurderingen kan blandt andet omfatte tilfælde, hvor en person eller juridisk enhed gennem direkte eller indirekte ejerskab, stemmerettigheder, aftaler, vedtægtsbestemmelser, koncernforhold eller andre former for indflydelse har mulighed for at påvirke virksomhedens ledelse, drift eller væsentlige beslutninger.</w:t>
      </w:r>
    </w:p>
    <w:p w14:paraId="334B76B9" w14:textId="77777777" w:rsidR="00E603E1" w:rsidRPr="00521368" w:rsidRDefault="00E603E1" w:rsidP="00E603E1">
      <w:pPr>
        <w:spacing w:line="360" w:lineRule="auto"/>
        <w:rPr>
          <w:rFonts w:ascii="Times New Roman" w:eastAsia="Calibri" w:hAnsi="Times New Roman" w:cs="Times New Roman"/>
          <w:sz w:val="24"/>
          <w:szCs w:val="24"/>
        </w:rPr>
      </w:pPr>
    </w:p>
    <w:p w14:paraId="7116771D"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Hvis personens ejerskab beror på en selskabsretlig holdingstruktur med flere selskaber eller lignende, er det ikke et krav, at nedbringelsen af ejerskabet sker i det selskab, som direkte ejer crowdfundingtjenesteudbyderen. Det afgørende er, at personens samlede direkte eller indirekte ejerskab eller øvrige kontrolmulighed bringes ned til et niveau, hvor personen ikke længere kan udøve bestemmende indflydelse over virksomheden.</w:t>
      </w:r>
    </w:p>
    <w:p w14:paraId="05E49790" w14:textId="77777777" w:rsidR="00E603E1" w:rsidRPr="00521368" w:rsidRDefault="00E603E1" w:rsidP="00E603E1">
      <w:pPr>
        <w:spacing w:line="360" w:lineRule="auto"/>
        <w:rPr>
          <w:rFonts w:ascii="Times New Roman" w:eastAsia="Calibri" w:hAnsi="Times New Roman" w:cs="Times New Roman"/>
          <w:sz w:val="24"/>
          <w:szCs w:val="24"/>
        </w:rPr>
      </w:pPr>
    </w:p>
    <w:p w14:paraId="2D9724E3"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Et påbud om at ophøre med at udøve kontrol kan eksempelvis indebære, at en person, der ejer 25 pct. af en crowdfundingtjenesteudbyder, skal nedbringe sin ejerandel til 15 pct., hvis dette er nødvendigt for, at personen ikke længere har reelt ejerskab over crowdfundingtjenesteudbyderen og derigennem udøve betydelig eller bestemmende indflydelse over virksomheden. Det afgørende vil dog altid være, om den pågældende efter nedbringelsen fortsat har mulighed for at udøve kontrol, herunder gennem stemmerettigheder, aftaler, koncernforhold eller andre arrangementer.</w:t>
      </w:r>
    </w:p>
    <w:p w14:paraId="1A6EED70" w14:textId="77777777" w:rsidR="00E603E1" w:rsidRPr="00521368" w:rsidRDefault="00E603E1" w:rsidP="00E603E1">
      <w:pPr>
        <w:spacing w:line="360" w:lineRule="auto"/>
        <w:rPr>
          <w:rFonts w:ascii="Times New Roman" w:eastAsia="Calibri" w:hAnsi="Times New Roman" w:cs="Times New Roman"/>
          <w:sz w:val="24"/>
          <w:szCs w:val="24"/>
        </w:rPr>
      </w:pPr>
    </w:p>
    <w:p w14:paraId="2C97946A"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Ved at afhænde ejerandele forstås, at den pågældende person skal overdrage, sælge eller på anden måde afgive ejerskabet til sine ejerandele, således at personen ikke længere opfylder kriterierne for at have indflydelse over virksomheden i form af ejerskab eller kontrol. Afhændelsen skal ske på en måde, der reelt og varigt bringer ejerskabet eller kontrollen til ophør, og således at den pågældende ikke længere har bestemmende indflydelse, direkte eller indirekte, over virksomheden. Det kan eksempelvis ske ved salg af aktier eller anparter, overdragelse af ejerandele til tredjemand, eller ved at indgå aftaler, der bringer stemmeret eller kontrol til ophør. Det er afgørende, at afhændelsen er reel og ikke blot formel, og at den pågældende ikke bevarer nogen form for bestemmende indflydelse over virksomheden.</w:t>
      </w:r>
    </w:p>
    <w:p w14:paraId="4E257F39" w14:textId="77777777" w:rsidR="00E603E1" w:rsidRPr="00521368" w:rsidRDefault="00E603E1" w:rsidP="00E603E1">
      <w:pPr>
        <w:spacing w:line="360" w:lineRule="auto"/>
        <w:rPr>
          <w:rFonts w:ascii="Times New Roman" w:eastAsia="Calibri" w:hAnsi="Times New Roman" w:cs="Times New Roman"/>
          <w:sz w:val="24"/>
          <w:szCs w:val="24"/>
        </w:rPr>
      </w:pPr>
    </w:p>
    <w:p w14:paraId="0F8E89F2"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Bestemmelsen omfatter også personer, der udøver kontrol på anden vis, eksempelvis gennem aftaler, stemmeaftaler eller andre arrangementer, der reelt giver kontrol over virksomheden, uanset om dette sker via ejerandele eller ej.</w:t>
      </w:r>
    </w:p>
    <w:p w14:paraId="6A4ED364" w14:textId="77777777" w:rsidR="00E603E1" w:rsidRPr="00521368" w:rsidRDefault="00E603E1" w:rsidP="00E603E1">
      <w:pPr>
        <w:spacing w:line="360" w:lineRule="auto"/>
        <w:rPr>
          <w:rFonts w:ascii="Times New Roman" w:eastAsia="Calibri" w:hAnsi="Times New Roman" w:cs="Times New Roman"/>
          <w:b/>
          <w:bCs/>
          <w:sz w:val="24"/>
          <w:szCs w:val="24"/>
        </w:rPr>
      </w:pPr>
    </w:p>
    <w:p w14:paraId="6D10924B"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Finanstilsynet kan udstede påbud om, at den pågældende person skal afhænde sine ejerandele eller ophøre med at udøve kontrol inden for en frist fastsat af Finanstilsynet. Påbuddet meddeles, såfremt personen er pålagt strafansvar for overtrædelse af straffeloven, den finansielle lovgivning eller anden relevant lovgivning.</w:t>
      </w:r>
    </w:p>
    <w:p w14:paraId="2FC947D3" w14:textId="77777777" w:rsidR="00E603E1" w:rsidRPr="00521368" w:rsidRDefault="00E603E1" w:rsidP="00E603E1">
      <w:pPr>
        <w:spacing w:line="360" w:lineRule="auto"/>
        <w:rPr>
          <w:rFonts w:ascii="Times New Roman" w:eastAsia="Calibri" w:hAnsi="Times New Roman" w:cs="Times New Roman"/>
          <w:sz w:val="24"/>
          <w:szCs w:val="24"/>
        </w:rPr>
      </w:pPr>
    </w:p>
    <w:p w14:paraId="57D537CD"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Ved vurderingen af, om der skal meddeles påbud om afhændelse af ejerandele eller ophør af kontrol, herunder ved nedbringelse af ejerandele eller stemmerettigheder, skal Finanstilsynet foretage en konkret og individuel vurdering af de faktiske forhold i den enkelte sag. Der skal lægges vægt på proportionalitet og rimelighed, således at indgrebet ikke går videre end nødvendigt for at opfylde formålet med bestemmelsen.</w:t>
      </w:r>
    </w:p>
    <w:p w14:paraId="29CA9E9F" w14:textId="77777777" w:rsidR="00E603E1" w:rsidRPr="00521368" w:rsidRDefault="00E603E1" w:rsidP="00E603E1">
      <w:pPr>
        <w:spacing w:line="360" w:lineRule="auto"/>
        <w:rPr>
          <w:rFonts w:ascii="Times New Roman" w:eastAsia="Calibri" w:hAnsi="Times New Roman" w:cs="Times New Roman"/>
          <w:sz w:val="24"/>
          <w:szCs w:val="24"/>
        </w:rPr>
      </w:pPr>
    </w:p>
    <w:p w14:paraId="5D3409DC"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Der kan blandt andet lægges vægt på omfanget af den pågældende persons ejerandel og faktiske indflydelse på virksomheden, karakteren og alvoren af de forhold, der begrunder, at kravene til hæderlighed ikke er opfyldt, muligheden for at opnå det ønskede resultat ved mindre indgribende foranstaltninger, konsekvenserne for virksomheden, øvrige ejere og eventuelle tredjemænd, om der er tale om enkeltstående eller gentagne forhold, samt om virksomheden og den pågældende ejer har udvist samarbejdsvilje og forsøgt at rette op på forholdene.</w:t>
      </w:r>
    </w:p>
    <w:p w14:paraId="306B1D6E" w14:textId="77777777" w:rsidR="00E603E1" w:rsidRPr="00521368" w:rsidRDefault="00E603E1" w:rsidP="00E603E1">
      <w:pPr>
        <w:spacing w:line="360" w:lineRule="auto"/>
        <w:rPr>
          <w:rFonts w:ascii="Times New Roman" w:eastAsia="Calibri" w:hAnsi="Times New Roman" w:cs="Times New Roman"/>
          <w:sz w:val="24"/>
          <w:szCs w:val="24"/>
        </w:rPr>
      </w:pPr>
    </w:p>
    <w:p w14:paraId="1854DD01"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Påbuddet skal være begrundet og indeholde en nærmere angivelse af, hvad der kræves for, at den pågældende ikke længere anses for at udøve kontrol. Hvis påbuddet indebærer, at ejerandelen skal nedbringes, skal påbuddet angive, til hvilken grænse ejerandelen skal nedbringes. Ejerandelen vil som udgangspunkt skulle bringes ned under grænsen for reelt ejerskab, dvs. 25 pct. medmindre en lavere grænse efter en konkret vurdering er nødvendig for at sikre, at den pågældende ikke fortsat har mulighed for at udøve direkte eller indirekte bestemmende indflydelse over virksomheden.</w:t>
      </w:r>
    </w:p>
    <w:p w14:paraId="0AAF3340" w14:textId="77777777" w:rsidR="00E603E1" w:rsidRPr="00521368" w:rsidRDefault="00E603E1" w:rsidP="00E603E1">
      <w:pPr>
        <w:spacing w:line="360" w:lineRule="auto"/>
        <w:rPr>
          <w:rFonts w:ascii="Times New Roman" w:eastAsia="Calibri" w:hAnsi="Times New Roman" w:cs="Times New Roman"/>
          <w:sz w:val="24"/>
          <w:szCs w:val="24"/>
        </w:rPr>
      </w:pPr>
    </w:p>
    <w:p w14:paraId="7E4DE77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Fristen for at efterkomme påbuddet skal fastsættes under hensyntagen til de konkrete omstændigheder i den enkelte sag. Fristen skal være passende og proportional, men samtidig sikre, at den pågældende ejer ikke i længere tid end nødvendigt bevarer en indflydelse på virksomheden, som vurderes uforenelig med kravene til kontrol, egnethed og hæderlighed.</w:t>
      </w:r>
    </w:p>
    <w:p w14:paraId="0DB538BE" w14:textId="77777777" w:rsidR="00E603E1" w:rsidRPr="00521368" w:rsidRDefault="00E603E1" w:rsidP="00E603E1">
      <w:pPr>
        <w:spacing w:line="360" w:lineRule="auto"/>
        <w:rPr>
          <w:rFonts w:ascii="Times New Roman" w:eastAsia="Calibri" w:hAnsi="Times New Roman" w:cs="Times New Roman"/>
          <w:sz w:val="24"/>
          <w:szCs w:val="24"/>
        </w:rPr>
      </w:pPr>
    </w:p>
    <w:p w14:paraId="7C4E7E3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Ved fastsættelsen af fristen kan Finanstilsynet blandt andet lægge vægt på ejerandelens størrelse, virksomhedens forhold, ejer- og koncernstruktur, markedssituationen og de praktiske muligheder for at gennemføre afhændelsen eller på anden måde bringe kontrollen til ophør.</w:t>
      </w:r>
    </w:p>
    <w:p w14:paraId="6A4C7F08" w14:textId="77777777" w:rsidR="00E603E1" w:rsidRPr="00521368" w:rsidRDefault="00E603E1" w:rsidP="00E603E1">
      <w:pPr>
        <w:spacing w:line="360" w:lineRule="auto"/>
        <w:rPr>
          <w:rFonts w:ascii="Times New Roman" w:eastAsia="Calibri" w:hAnsi="Times New Roman" w:cs="Times New Roman"/>
          <w:sz w:val="24"/>
          <w:szCs w:val="24"/>
        </w:rPr>
      </w:pPr>
    </w:p>
    <w:p w14:paraId="13B256B6"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Hvis påbuddet ikke efterleves, kan Finanstilsynet efterfølgende gøre brug af yderligere sanktionsmuligheder, herunder inddragelse af virksomhedens tilladelse. </w:t>
      </w:r>
    </w:p>
    <w:p w14:paraId="3BB540CF" w14:textId="77777777" w:rsidR="00E603E1" w:rsidRPr="00521368" w:rsidRDefault="00E603E1" w:rsidP="00E603E1">
      <w:pPr>
        <w:spacing w:line="360" w:lineRule="auto"/>
        <w:rPr>
          <w:rFonts w:ascii="Times New Roman" w:eastAsia="Calibri" w:hAnsi="Times New Roman" w:cs="Times New Roman"/>
          <w:sz w:val="24"/>
          <w:szCs w:val="24"/>
        </w:rPr>
      </w:pPr>
    </w:p>
    <w:p w14:paraId="338423FC"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Finanstilsynet er ikke forpligtet til at inddrage tilladelsen eller registreringen. Inden Finanstilsynet træffer beslutning om inddragelse af registreringen, vil tilsynet vurdere, om mindre indgribende sanktionsmuligheder kan anvendes, og der vil blive foretaget en konkret vurdering af proportionalitet og rimelighed i forhold til virksomhedens forhold. Det kan eksempelvis være daglige eller ugentlige bøder eller andre administrative foranstaltninger. Inddragelse af tilladelse eller registrering vil således kun blive anvendt, hvis det vurderes nødvendigt og proportionalt i forhold til overtrædelsens karakter og omfang.</w:t>
      </w:r>
    </w:p>
    <w:p w14:paraId="6F654BC4" w14:textId="77777777" w:rsidR="00E603E1" w:rsidRPr="00521368" w:rsidRDefault="00E603E1" w:rsidP="00E603E1">
      <w:pPr>
        <w:spacing w:line="360" w:lineRule="auto"/>
        <w:rPr>
          <w:rFonts w:ascii="Times New Roman" w:eastAsia="Calibri" w:hAnsi="Times New Roman" w:cs="Times New Roman"/>
          <w:sz w:val="24"/>
          <w:szCs w:val="24"/>
        </w:rPr>
      </w:pPr>
    </w:p>
    <w:p w14:paraId="1C189A83"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I Finanstilsynets vurdering af, om tilladelsen eller registreringen bør inddrages, indgår blandt andet antallet af ejere i virksomheden. Hvis virksomheden har flere ejere, vil Finanstilsynet inddrage, om det alene er én ejer, der ikke har efterkommet et påbud om af kontrol. I sådanne tilfælde vil det kunne tale imod at inddrage tilladelsen eller registreringen afhændelse af ejerandele eller ophør, da konsekvenserne for de øvrige ejere og virksomhedens fortsatte drift skal indgå i vurderingen.</w:t>
      </w:r>
    </w:p>
    <w:p w14:paraId="76EC5440" w14:textId="77777777" w:rsidR="00E603E1" w:rsidRPr="00521368" w:rsidRDefault="00E603E1" w:rsidP="00E603E1">
      <w:pPr>
        <w:spacing w:line="360" w:lineRule="auto"/>
        <w:rPr>
          <w:rFonts w:ascii="Times New Roman" w:eastAsia="Calibri" w:hAnsi="Times New Roman" w:cs="Times New Roman"/>
          <w:sz w:val="24"/>
          <w:szCs w:val="24"/>
        </w:rPr>
      </w:pPr>
    </w:p>
    <w:p w14:paraId="63691216"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Finanstilsynet vil vurdere, om der er tale om en enkeltstående eller gentagen undladelse af at efterkomme påbuddet, og om overtrædelsen har haft eller kan have væsentlige negative konsekvenser for virksomhedens drift, kunder eller det finansielle marked. Hvis virksomheden har udvist samarbejdsvilje og forsøgt at rette op på forholdene, vil dette indgå positivt i vurderingen. Omvendt vil manglende samarbejde eller forsøg på at omgå reglerne tale for en skærpet reaktion.</w:t>
      </w:r>
    </w:p>
    <w:p w14:paraId="50E7B321" w14:textId="77777777" w:rsidR="00E603E1" w:rsidRPr="00521368" w:rsidRDefault="00E603E1" w:rsidP="00E603E1">
      <w:pPr>
        <w:spacing w:line="360" w:lineRule="auto"/>
        <w:rPr>
          <w:rFonts w:ascii="Times New Roman" w:eastAsia="Calibri" w:hAnsi="Times New Roman" w:cs="Times New Roman"/>
          <w:sz w:val="24"/>
          <w:szCs w:val="24"/>
        </w:rPr>
      </w:pPr>
    </w:p>
    <w:p w14:paraId="63CFCA5C"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Den foreslåede bestemmelse sikrer, at Finanstilsynet har de fornødne beføjelser til at håndhæve påbud efter bestemmelsen, og at manglende efterlevelse kan få konsekvenser for virksomhedens mulighed til at udøve virksomhed omfattet af Finanstilsynets tilsyn. </w:t>
      </w:r>
    </w:p>
    <w:p w14:paraId="35930F4D" w14:textId="77777777" w:rsidR="00E603E1" w:rsidRPr="00521368" w:rsidRDefault="00E603E1" w:rsidP="00E603E1">
      <w:pPr>
        <w:spacing w:line="360" w:lineRule="auto"/>
        <w:rPr>
          <w:rFonts w:ascii="Times New Roman" w:eastAsia="Calibri" w:hAnsi="Times New Roman" w:cs="Times New Roman"/>
          <w:sz w:val="24"/>
          <w:szCs w:val="24"/>
        </w:rPr>
      </w:pPr>
    </w:p>
    <w:p w14:paraId="65BEDBAE"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foreslås i </w:t>
      </w:r>
      <w:r w:rsidRPr="00521368">
        <w:rPr>
          <w:rFonts w:ascii="Times New Roman" w:eastAsia="Calibri" w:hAnsi="Times New Roman" w:cs="Times New Roman"/>
          <w:i/>
          <w:iCs/>
          <w:sz w:val="24"/>
          <w:szCs w:val="24"/>
        </w:rPr>
        <w:t>stk. 2,</w:t>
      </w:r>
      <w:r w:rsidRPr="00521368">
        <w:rPr>
          <w:rFonts w:ascii="Times New Roman" w:eastAsia="Calibri" w:hAnsi="Times New Roman" w:cs="Times New Roman"/>
          <w:sz w:val="24"/>
          <w:szCs w:val="24"/>
        </w:rPr>
        <w:t xml:space="preserve"> at Finanstilsynet kan ophæve stemmeretten for en fysisk person, der direkte eller indirekte ejer eller kontrollerer minimum 25 pct. af kapitalandelen i en crowdfundingtjenesteudbyder, hvis kapitalejeren er pålagt strafansvar for overtrædelse af straffeloven, den finansielle lovgivning eller anden relevant lovgivning. Finanstilsynet kan også påbyde virksomheden at følge bestemte retningslinjer. </w:t>
      </w:r>
    </w:p>
    <w:p w14:paraId="65FE92D3" w14:textId="77777777" w:rsidR="00E603E1" w:rsidRPr="00521368" w:rsidRDefault="00E603E1" w:rsidP="00E603E1">
      <w:pPr>
        <w:spacing w:line="360" w:lineRule="auto"/>
        <w:rPr>
          <w:rFonts w:ascii="Times New Roman" w:eastAsia="Calibri" w:hAnsi="Times New Roman" w:cs="Times New Roman"/>
          <w:sz w:val="24"/>
          <w:szCs w:val="24"/>
        </w:rPr>
      </w:pPr>
    </w:p>
    <w:p w14:paraId="7253A91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Bestemmelsen svarer til § 62, stk. 1, i lov om finansiel virksomhed, dog således at den alene vil omfatte reelt ejerskab, jf. artikel 2, stk. 1, nr. 28, i forordning (EU) 2024/1624, det vil sige fysiske personer, der som udgangspunkt ejer eller kontrollerer mere end 25 pct. af kapitalen eller stemmerettighederne i en virksomhed. § 62, stk. 1, omfatter fysiske eller juridiske personer, der direkte eller indirekte besidder en kvalificeret ejerandel, jf. lov om finansiel virksomhed § 5, stk. 3, det vil sige mindst 10 pct. af kapitalen eller stemmerettighederne eller en andel, som giver mulighed for at udøve en betydelig indflydelse på ledelsen af en finansiel virksomhed. </w:t>
      </w:r>
    </w:p>
    <w:p w14:paraId="0E8A4AD9" w14:textId="77777777" w:rsidR="00E603E1" w:rsidRPr="00521368" w:rsidRDefault="00E603E1" w:rsidP="00E603E1">
      <w:pPr>
        <w:spacing w:line="360" w:lineRule="auto"/>
        <w:rPr>
          <w:rFonts w:ascii="Times New Roman" w:eastAsia="Calibri" w:hAnsi="Times New Roman" w:cs="Times New Roman"/>
          <w:sz w:val="24"/>
          <w:szCs w:val="24"/>
        </w:rPr>
      </w:pPr>
    </w:p>
    <w:p w14:paraId="6A660D91"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Med bestemmelsen får Finanstilsynet mulighed for at ophæve stemmeretten for de pågældende kapitalandele og påbyde afhændelse, hvis ejeren ikke længere opfylder kravene til at være reel ejer. Ophævelse af stemmeret indebærer, at de pågældende kapitalandele ikke kan udøve stemmeret på generalforsamlingen og ikke indgår i opgørelsen af den stemmeberettigede kapital.</w:t>
      </w:r>
    </w:p>
    <w:p w14:paraId="6823705B" w14:textId="77777777" w:rsidR="00E603E1" w:rsidRPr="00521368" w:rsidRDefault="00E603E1" w:rsidP="00E603E1">
      <w:pPr>
        <w:spacing w:line="360" w:lineRule="auto"/>
        <w:rPr>
          <w:rFonts w:ascii="Times New Roman" w:eastAsia="Calibri" w:hAnsi="Times New Roman" w:cs="Times New Roman"/>
          <w:sz w:val="24"/>
          <w:szCs w:val="24"/>
        </w:rPr>
      </w:pPr>
    </w:p>
    <w:p w14:paraId="329A367D"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Et påbud om bestemte retningslinjer tilsigter at etablere en forsigtig og sund udvikling. Ved forsvarlig og fornuftig forvaltning forstås forvaltning på det økonomiske område. Hvis den pågældende ejer eksempelvis i forbindelse med ejerskab eller deltagelse i ledelsen af andre virksomheder har vist sig uegnet til at drive virksomhed på en økonomisk forsvarlig måde, kan stemmeretten ophæves, f.eks. hvis den pågældende er dømt for økonomisk kriminalitet. </w:t>
      </w:r>
    </w:p>
    <w:p w14:paraId="612934AC" w14:textId="77777777" w:rsidR="00E603E1" w:rsidRPr="00521368" w:rsidRDefault="00E603E1" w:rsidP="00E603E1">
      <w:pPr>
        <w:spacing w:line="360" w:lineRule="auto"/>
        <w:rPr>
          <w:rFonts w:ascii="Times New Roman" w:eastAsia="Calibri" w:hAnsi="Times New Roman" w:cs="Times New Roman"/>
          <w:sz w:val="24"/>
          <w:szCs w:val="24"/>
        </w:rPr>
      </w:pPr>
    </w:p>
    <w:p w14:paraId="04D68D78"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Det vil bero på en konkret vurdering, om bestemmelsen skal anvendes. Det er næppe udelukket at bringe bestemmelsen i anvendelse, hvis kapitalejere i et enkelt meget væsentligt anliggende modvirker en forsvarlig drift af virksomheden. Det kan for eksempel være, hvis en ejer blokerer en fusion, der kan sikre, at virksomheden kan føres videre på et forsvarligt grundlag, eller blokerer for nødvendige vedtægtsændringer, der er en forudsætning for en nødvendig kapitalforhøjelse således, at virksomheden kan fortsætte sin drift.</w:t>
      </w:r>
    </w:p>
    <w:p w14:paraId="35FDE60C" w14:textId="77777777" w:rsidR="00E603E1" w:rsidRPr="00521368" w:rsidRDefault="00E603E1" w:rsidP="00E603E1">
      <w:pPr>
        <w:spacing w:line="360" w:lineRule="auto"/>
        <w:rPr>
          <w:rFonts w:ascii="Times New Roman" w:eastAsia="Calibri" w:hAnsi="Times New Roman" w:cs="Times New Roman"/>
          <w:sz w:val="24"/>
          <w:szCs w:val="24"/>
        </w:rPr>
      </w:pPr>
    </w:p>
    <w:p w14:paraId="686F2FB3"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Bestemmelsen vil medføre, at ejere, der ikke længere opfylder kravene til at være reel ejer, ikke kan udøve indflydelse på virksomhedens ledelse eller drift, og at virksomheden kan føres videre på et forsvarligt grundlag. Det vil bero på en konkret vurdering, om og hvornår bestemmelsen skal bringes i anvendelse.</w:t>
      </w:r>
    </w:p>
    <w:p w14:paraId="0C85E1F6" w14:textId="77777777" w:rsidR="00E603E1" w:rsidRPr="00521368" w:rsidRDefault="00E603E1" w:rsidP="00E603E1">
      <w:pPr>
        <w:spacing w:line="360" w:lineRule="auto"/>
        <w:rPr>
          <w:rFonts w:ascii="Times New Roman" w:eastAsia="Calibri" w:hAnsi="Times New Roman" w:cs="Times New Roman"/>
          <w:sz w:val="24"/>
          <w:szCs w:val="24"/>
        </w:rPr>
      </w:pPr>
    </w:p>
    <w:p w14:paraId="073A5E7B"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foreslås i </w:t>
      </w:r>
      <w:r w:rsidRPr="00521368">
        <w:rPr>
          <w:rFonts w:ascii="Times New Roman" w:eastAsia="Calibri" w:hAnsi="Times New Roman" w:cs="Times New Roman"/>
          <w:i/>
          <w:iCs/>
          <w:sz w:val="24"/>
          <w:szCs w:val="24"/>
        </w:rPr>
        <w:t>stk. 3</w:t>
      </w:r>
      <w:r w:rsidRPr="00521368">
        <w:rPr>
          <w:rFonts w:ascii="Times New Roman" w:eastAsia="Calibri" w:hAnsi="Times New Roman" w:cs="Times New Roman"/>
          <w:sz w:val="24"/>
          <w:szCs w:val="24"/>
        </w:rPr>
        <w:t xml:space="preserve">, at hvis Finanstilsynet har ophævet stemmeretten i medfør af stk. 2, kan kapitalandelen ikke indgå i opgørelsen af den på en generalforsamling repræsenterede stemmeberettigede kapital. </w:t>
      </w:r>
    </w:p>
    <w:p w14:paraId="65474C6E" w14:textId="77777777" w:rsidR="00E603E1" w:rsidRPr="00521368" w:rsidRDefault="00E603E1" w:rsidP="00E603E1">
      <w:pPr>
        <w:spacing w:line="360" w:lineRule="auto"/>
        <w:rPr>
          <w:rFonts w:ascii="Times New Roman" w:eastAsia="Calibri" w:hAnsi="Times New Roman" w:cs="Times New Roman"/>
          <w:sz w:val="24"/>
          <w:szCs w:val="24"/>
        </w:rPr>
      </w:pPr>
    </w:p>
    <w:p w14:paraId="7B4BF731"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Bestemmelsen svarer til lovens § 62, stk. 5, dog således at den alene vil omfatte reelt ejerskab, jf. artikel 2, stk. 1, nr. 28, i forordning (EU) 2024/1624, det vil sige fysiske personer, der som udgangspunkt ejer eller kontrollerer mere end 25 pct. af kapitalen eller stemmerettighederne i en virksomhed. § 62, stk. 1, omfatter fysiske eller juridiske personer, der direkte eller indirekte besidder en kvalificeret ejerandel, jf. lov om finansiel virksomhed § 5, stk. 3, det vil sige mindst 10 pct. af kapitalen eller stemmerettighederne eller en andel, som giver mulighed for at udøve en betydelig indflydelse på ledelsen af en finansiel virksomhed. </w:t>
      </w:r>
    </w:p>
    <w:p w14:paraId="2C570DD6" w14:textId="77777777" w:rsidR="00E603E1" w:rsidRPr="00521368" w:rsidRDefault="00E603E1" w:rsidP="00E603E1">
      <w:pPr>
        <w:spacing w:line="360" w:lineRule="auto"/>
        <w:rPr>
          <w:rFonts w:ascii="Times New Roman" w:eastAsia="Calibri" w:hAnsi="Times New Roman" w:cs="Times New Roman"/>
          <w:sz w:val="24"/>
          <w:szCs w:val="24"/>
        </w:rPr>
      </w:pPr>
    </w:p>
    <w:p w14:paraId="22BA881C"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At kapitalen ikke kan indgå i opgørelsen betyder, at de pågældende kapitalandele ikke kan udøve stemmeret på generalforsamlingen, og at de ikke medregnes ved opgørelsen af, hvor stor en del af selskabskapitalen, der er repræsenteret på generalforsamlingen. </w:t>
      </w:r>
    </w:p>
    <w:p w14:paraId="69046AF1" w14:textId="77777777" w:rsidR="00E603E1" w:rsidRPr="00521368" w:rsidRDefault="00E603E1" w:rsidP="00E603E1">
      <w:pPr>
        <w:spacing w:line="360" w:lineRule="auto"/>
        <w:rPr>
          <w:rFonts w:ascii="Times New Roman" w:eastAsia="Calibri" w:hAnsi="Times New Roman" w:cs="Times New Roman"/>
          <w:sz w:val="24"/>
          <w:szCs w:val="24"/>
        </w:rPr>
      </w:pPr>
    </w:p>
    <w:p w14:paraId="69879868"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foreslåede indebærer, at der kan træffes beslutninger i selskabet, uanset at Finanstilsynet har ophævet stemmeretten på en betydelig del af selskabskapitalen. Hvis det f.eks. fremgår af vedtægterne, at der kræves et kvalificeret flertal, vil kapitalandele uden stemmeret i realiteten blokerer for beslutninger. Har de ikke stemmeret, men skulle de stadigt tælles med, ville de i praksis stemme mod alle forslag. </w:t>
      </w:r>
    </w:p>
    <w:p w14:paraId="11EECD76" w14:textId="77777777" w:rsidR="00E603E1" w:rsidRPr="00521368" w:rsidRDefault="00E603E1" w:rsidP="00E603E1">
      <w:pPr>
        <w:spacing w:line="360" w:lineRule="auto"/>
        <w:rPr>
          <w:rFonts w:ascii="Times New Roman" w:eastAsia="Calibri" w:hAnsi="Times New Roman" w:cs="Times New Roman"/>
          <w:sz w:val="24"/>
          <w:szCs w:val="24"/>
        </w:rPr>
      </w:pPr>
    </w:p>
    <w:p w14:paraId="114CEF21"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Andre rettigheder, der tilkommer en kapitalejer, f.eks. ind løsningsret og retten til udbyttebetaling, bortfalder ikke ved Finanstilsynets ophævelse af stemmerettighederne. </w:t>
      </w:r>
    </w:p>
    <w:p w14:paraId="4F7E6E7F" w14:textId="77777777" w:rsidR="00E603E1" w:rsidRPr="00521368" w:rsidRDefault="00E603E1" w:rsidP="00E603E1">
      <w:pPr>
        <w:spacing w:line="360" w:lineRule="auto"/>
        <w:rPr>
          <w:rFonts w:ascii="Times New Roman" w:eastAsia="Calibri" w:hAnsi="Times New Roman" w:cs="Times New Roman"/>
          <w:sz w:val="24"/>
          <w:szCs w:val="24"/>
        </w:rPr>
      </w:pPr>
    </w:p>
    <w:p w14:paraId="4061F01A"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foreslås i </w:t>
      </w:r>
      <w:r w:rsidRPr="00521368">
        <w:rPr>
          <w:rFonts w:ascii="Times New Roman" w:eastAsia="Calibri" w:hAnsi="Times New Roman" w:cs="Times New Roman"/>
          <w:i/>
          <w:iCs/>
          <w:sz w:val="24"/>
          <w:szCs w:val="24"/>
        </w:rPr>
        <w:t>stk. 4</w:t>
      </w:r>
      <w:r w:rsidRPr="00521368">
        <w:rPr>
          <w:rFonts w:ascii="Times New Roman" w:eastAsia="Calibri" w:hAnsi="Times New Roman" w:cs="Times New Roman"/>
          <w:sz w:val="24"/>
          <w:szCs w:val="24"/>
        </w:rPr>
        <w:t xml:space="preserve">, at varigheden af et påbud meddelt efter stk. 1, skal fremgå af påbuddet. </w:t>
      </w:r>
    </w:p>
    <w:p w14:paraId="0844F9DA" w14:textId="77777777" w:rsidR="00E603E1" w:rsidRPr="00521368" w:rsidRDefault="00E603E1" w:rsidP="00E603E1">
      <w:pPr>
        <w:spacing w:line="360" w:lineRule="auto"/>
        <w:rPr>
          <w:rFonts w:ascii="Times New Roman" w:eastAsia="Calibri" w:hAnsi="Times New Roman" w:cs="Times New Roman"/>
          <w:sz w:val="24"/>
          <w:szCs w:val="24"/>
        </w:rPr>
      </w:pPr>
    </w:p>
    <w:p w14:paraId="5931E2F5"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Angivelsen af afgørelsens varighed medfører, at Finanstilsynet som udgangspunkt ikke efter udløbet af den angivne periode vil inddrage de forhold, der lå til grund for afgørelsen, hvis den pågældende person på ny ansøger om en hæderlighedsvurdering. Det betyder, at de forhold, der førte til vurderingen af, at personen ikke opfyldte hæderlighedskravet, som udgangspunkt ikke længere tillægges vægt ved en ny vurdering. Det ændrer ikke på, at den pågældende, efter udløbet af varigheden, skal ansøge Finanstilsynet om en ny hæderlighedsvurdering, hvis vedkommende ønsker at tiltræde et hverv som bestyrelsesmedlem, direktør eller nøgleperson. I denne nye vurdering vil de tidligere forhold, der førte til den negative afgørelse, ikke indgå, medmindre særlige omstændigheder gør sig gældende.</w:t>
      </w:r>
    </w:p>
    <w:p w14:paraId="69DCA4C6" w14:textId="77777777" w:rsidR="00E603E1" w:rsidRPr="00521368" w:rsidRDefault="00E603E1" w:rsidP="00E603E1">
      <w:pPr>
        <w:spacing w:line="360" w:lineRule="auto"/>
        <w:rPr>
          <w:rFonts w:ascii="Times New Roman" w:eastAsia="Calibri" w:hAnsi="Times New Roman" w:cs="Times New Roman"/>
          <w:b/>
          <w:bCs/>
          <w:sz w:val="24"/>
          <w:szCs w:val="24"/>
        </w:rPr>
      </w:pPr>
    </w:p>
    <w:p w14:paraId="50AA1C9E"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Varigheden af påbud og afgørelser fastsættes på baggrund af en konkret vurdering, hvor Finanstilsynet blandt andet lægger vægt på alvoren af overtrædelsen, den tid der er gået siden overtrædelsen, personens adfærd siden overtrædelsen, og om der er tale om gentagelsestilfælde. Gentagelsestilfælde vil være skærpende for fastsættelsen af varigheden. Varigheden kan som udgangspunkt fastsættes fra et år til fem år, men kan i særligt alvorlige sager fastsættes til indtil videre. En varighed på fem år vil typisk blive anvendt, medmindre forholdene taler for en kortere eller længere periode.</w:t>
      </w:r>
    </w:p>
    <w:p w14:paraId="2918A753" w14:textId="77777777" w:rsidR="00E603E1" w:rsidRPr="00521368" w:rsidRDefault="00E603E1" w:rsidP="00E603E1">
      <w:pPr>
        <w:spacing w:line="360" w:lineRule="auto"/>
        <w:rPr>
          <w:rFonts w:ascii="Times New Roman" w:eastAsia="Calibri" w:hAnsi="Times New Roman" w:cs="Times New Roman"/>
          <w:sz w:val="24"/>
          <w:szCs w:val="24"/>
        </w:rPr>
      </w:pPr>
    </w:p>
    <w:p w14:paraId="31D7F165"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Et formål med at fastsætte varigheden er at øge transparensen og retssikkerheden for de personer, som afgørelsen vedrører. Der vil være forskel på varigheden af afgørelser meddelt på baggrund af mindre alvorlige forhold og grovere forhold. Ved fastsættelsen af varigheden vil Finanstilsynet foretage en samlet vurdering af grovheden af de passerede forhold, om der er tale om gentagelsestilfælde, hvor lang tid forholdene har stået på, og hvor lang tid der er gået, siden forholdene er ophørt. Kumulative effekter af flere mindre overtrædelser kan være skærpende, ligesom særligt grove overtrædelser kan medføre, at varigheden fastsættes til indtil videre. En sådan varighed vil dog kun anvendes i særligt alvorlige sager, f.eks. ved grov økonomisk kriminalitet, betydelige tillidsbrud eller gentagelsestilfælde.</w:t>
      </w:r>
    </w:p>
    <w:p w14:paraId="44548C27" w14:textId="77777777" w:rsidR="00E603E1" w:rsidRPr="00521368" w:rsidRDefault="00E603E1" w:rsidP="00E603E1">
      <w:pPr>
        <w:spacing w:line="360" w:lineRule="auto"/>
        <w:rPr>
          <w:rFonts w:ascii="Times New Roman" w:eastAsia="Calibri" w:hAnsi="Times New Roman" w:cs="Times New Roman"/>
          <w:sz w:val="24"/>
          <w:szCs w:val="24"/>
        </w:rPr>
      </w:pPr>
    </w:p>
    <w:p w14:paraId="7A91938C"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Som udgangspunkt vil Finanstilsynet ikke inddrage forhold i en vurdering af en persons hæderlighed, der er mere end 10 år gamle. Finanstilsynet vil dog kunne inddrage forhold, der ligger længere tilbage i tid, hvis forholdene er særligt alvorlige, eller hvis disse er en del af et sammenhængende sagsforløb, hvor dele er mindre end 10 år gamle, eller hvor der er tale om gentagelsestilfælde. Alvorlige forhold kan f.eks. være svindel, grov tilsidesættelse af god skik, forsæt lig tilsidesættelse af hvidvasklovens krav eller egentlig medvirken til økonomisk kriminalitet. Det vil omvendt også betyde, at der skal være særlige forhold, der gør sig gælden de, hvis Finanstilsynet skal kigge mere end 10 år tilbage ved vurderingen af en persons adfærd. Ud over hensynet til omfanget, karakteren og grovheden af de forhold, der begrunder afgørelsen, vil Finanstilsynet også lægge vægt på, hvorvidt der er grund til at antage, at den pågældende fortsat ikke vil kunne varetage hvervet eller stillingen på forsvarlig måde. Det beror på en vurdering af de konkrete forhold, her under om forholdet er så kritisabelt, at en længere varighed er påkrævet, eller hvor varigheden i særligt alvorlige sager bør være indtil videre.</w:t>
      </w:r>
    </w:p>
    <w:p w14:paraId="3DD66AD4" w14:textId="77777777" w:rsidR="00E603E1" w:rsidRPr="00521368" w:rsidRDefault="00E603E1" w:rsidP="00E603E1">
      <w:pPr>
        <w:spacing w:line="360" w:lineRule="auto"/>
        <w:rPr>
          <w:rFonts w:ascii="Times New Roman" w:eastAsia="Calibri" w:hAnsi="Times New Roman" w:cs="Times New Roman"/>
          <w:sz w:val="24"/>
          <w:szCs w:val="24"/>
        </w:rPr>
      </w:pPr>
    </w:p>
    <w:p w14:paraId="65CD225A"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Begyndelsestidspunktet for varigheden vil som udgangspunkt være datoen for Finanstilsynets afgørelse. Varigheden af afgørelser og påbud vil bl.a. afhænge af grovheden af de passerede forhold, om der er tale om gentagelsestilfælde, hvor lang en periode forholdene har stået eller stod på, og hvor lang tid der er gået siden de pågældende forhold er ophørt. </w:t>
      </w:r>
    </w:p>
    <w:p w14:paraId="09ABC0A6" w14:textId="77777777" w:rsidR="00E603E1" w:rsidRPr="00521368" w:rsidRDefault="00E603E1" w:rsidP="00E603E1">
      <w:pPr>
        <w:spacing w:line="360" w:lineRule="auto"/>
        <w:rPr>
          <w:rFonts w:ascii="Times New Roman" w:eastAsia="Calibri" w:hAnsi="Times New Roman" w:cs="Times New Roman"/>
          <w:sz w:val="24"/>
          <w:szCs w:val="24"/>
        </w:rPr>
      </w:pPr>
    </w:p>
    <w:p w14:paraId="1D0A4DA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Retningsgivende for fastsættelsen af en varighed på fem år vil således være, at der ikke er forhold, der taler for en kortere varighed, eller hvor karakteren og omfanget af forholdene tilsiger, at en længere varighed er påkrævet. </w:t>
      </w:r>
    </w:p>
    <w:p w14:paraId="2F513BEF" w14:textId="77777777" w:rsidR="00E603E1" w:rsidRPr="00521368" w:rsidRDefault="00E603E1" w:rsidP="00E603E1">
      <w:pPr>
        <w:spacing w:line="360" w:lineRule="auto"/>
        <w:rPr>
          <w:rFonts w:ascii="Times New Roman" w:eastAsia="Calibri" w:hAnsi="Times New Roman" w:cs="Times New Roman"/>
          <w:sz w:val="24"/>
          <w:szCs w:val="24"/>
        </w:rPr>
      </w:pPr>
    </w:p>
    <w:p w14:paraId="5A7511DF"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Udover en konkret vurdering af grovheden af forholdene, vil Finanstilsynet også kunne inddrage kumulative effekter af flere overtrædelser, gentagelsestilfælde og den eventuelle skadevirkning af forholdet. Hvis det pågældende forhold er egnet til i betydeligt omfang at svække den samlede sektors omdømme og derved tilliden til sektoren, bør det skærpe varigheden. Herudover har tidsaspektet også betydning for fastsættelsen af varigheden, hvor forhold, der ligger tilbage i tid, efter en konkret vurdering kan føre til en lempelse af varigheden.</w:t>
      </w:r>
    </w:p>
    <w:p w14:paraId="583B6DE1" w14:textId="77777777" w:rsidR="00E603E1" w:rsidRPr="00521368" w:rsidRDefault="00E603E1" w:rsidP="00E603E1">
      <w:pPr>
        <w:spacing w:line="360" w:lineRule="auto"/>
        <w:rPr>
          <w:rFonts w:ascii="Times New Roman" w:eastAsia="Calibri" w:hAnsi="Times New Roman" w:cs="Times New Roman"/>
          <w:sz w:val="24"/>
          <w:szCs w:val="24"/>
        </w:rPr>
      </w:pPr>
    </w:p>
    <w:p w14:paraId="7AF330B8"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Retningsgivende for afgørelser med en varighed, der sættes til mindre end fem år, vil være, at der kan være tale om en situation, hvor Finanstilsynet efter en samlet vurdering vurderer, at personen ikke er hæderlig, men hvor det samlede sagsforløb afdækker en række formildende omstændigheder om den pågældende eller hændelsesforløbet. Det vil imidlertid også kunne være tilfældet, hvor forholdet har en sådan beskaffenhed, at varigheden eksempelvis isoleret set vil kunne fastsættes til fem år, men hvor forholdet ligger en årrække tilbage. I sådanne tilfælde vil tidsaspektet, personens adfærd siden det pågældende forhold, og fraværet af gentagelsesvirkning kunne føre til en lempelse af varigheden.</w:t>
      </w:r>
    </w:p>
    <w:p w14:paraId="5EA0F6D5" w14:textId="77777777" w:rsidR="00E603E1" w:rsidRPr="00521368" w:rsidRDefault="00E603E1" w:rsidP="00E603E1">
      <w:pPr>
        <w:spacing w:line="360" w:lineRule="auto"/>
        <w:rPr>
          <w:rFonts w:ascii="Times New Roman" w:eastAsia="Calibri" w:hAnsi="Times New Roman" w:cs="Times New Roman"/>
          <w:sz w:val="24"/>
          <w:szCs w:val="24"/>
        </w:rPr>
      </w:pPr>
    </w:p>
    <w:p w14:paraId="602A2A1C"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Retningsgivende for fastsættelsen af varigheden til at være indtil videre er, at der skal være tale om grove forhold eller alvor lige gentagelsestilfælde, der som udgangspunkt ikke ligger mere end 10 år tilbage i tiden. Det vil således alene være i særligt alvorlige sager, at Finanstilsynet vil fastsætte varigheden til at være indtil videre. Der kan eksempelvis være tale om særdeles grove forhold med overtrædelse af straffelovens berigelsesforbrydelser, forsætlig tilsidesættelse af hvidvasklovens krav eller egentlig medvirken til økonomisk kriminalitet. Generelt kan det siges, at det eller de udviste forhold skal have en sådan alvorlig karakter, at det må anses for åbenbart, at hverken Finanstilsynet eller samfundet kan have tillid til, at den pågældende indenfor en overskuelig fremtid vil kunne varetage hvervet som bestyrelsesmedlem eller stillingen som direktør eller nøgleperson i en finansiel virksomhed på en forsvarlig måde.</w:t>
      </w:r>
    </w:p>
    <w:p w14:paraId="4C9E611E" w14:textId="77777777" w:rsidR="00E603E1" w:rsidRPr="00521368" w:rsidRDefault="00E603E1" w:rsidP="00E603E1">
      <w:pPr>
        <w:spacing w:line="360" w:lineRule="auto"/>
        <w:rPr>
          <w:rFonts w:ascii="Times New Roman" w:eastAsia="Calibri" w:hAnsi="Times New Roman" w:cs="Times New Roman"/>
          <w:sz w:val="24"/>
          <w:szCs w:val="24"/>
        </w:rPr>
      </w:pPr>
    </w:p>
    <w:p w14:paraId="730099C8"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Det foreslås i stk. 5, at påbud meddelt efter stk. 1 kan kræves indbragt for domstolene af både virksomheden og den person, som påbuddet retter sig mod. Anmodning om domstolsprøvelse skal indgives til Finanstilsynet senest 4 uger efter, at påbuddet er meddelt. Anmodningen har ikke opsættende virkning for påbuddet, men retten kan ved kendelse bestemme, at afgørelsen skal have opsættende virkning. Finanstilsynet skal indbringe sagen for domstolene inden 4 uger efter modtagelse af anmodningen, og sagen anlægges efter reglerne i den borgerlige retspleje.</w:t>
      </w:r>
    </w:p>
    <w:p w14:paraId="79187E58" w14:textId="77777777" w:rsidR="00E603E1" w:rsidRPr="00521368" w:rsidRDefault="00E603E1" w:rsidP="00E603E1">
      <w:pPr>
        <w:spacing w:line="360" w:lineRule="auto"/>
        <w:rPr>
          <w:rFonts w:ascii="Times New Roman" w:eastAsia="Calibri" w:hAnsi="Times New Roman" w:cs="Times New Roman"/>
          <w:sz w:val="24"/>
          <w:szCs w:val="24"/>
        </w:rPr>
      </w:pPr>
    </w:p>
    <w:p w14:paraId="3BB3FD5D"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Af retssikkerhedsmæssige hensyn er det væsentligt, at både virksomheden og den person, som påbuddet vedrører, har mulighed for at få prøvet Finanstilsynets afgørelse ved domstolene. Dette gælder uanset, om påbuddet retter sig mod afhændelse af ejerandele, ophævelse af stemmeret eller udtræden af selskabet. Det er Finanstilsynet, der har ansvaret for at indbringe sagen for domstolene, og dette skal ske inden for en frist på 4 uger efter, at anmodningen er modtaget. Der stilles ikke formkrav til anmodningen, hvilket sikrer en enkel og tilgængelig adgang til domstolsprøvelse.</w:t>
      </w:r>
    </w:p>
    <w:p w14:paraId="030BBB52" w14:textId="77777777" w:rsidR="00E603E1" w:rsidRPr="00521368" w:rsidRDefault="00E603E1" w:rsidP="00E603E1">
      <w:pPr>
        <w:spacing w:line="360" w:lineRule="auto"/>
        <w:rPr>
          <w:rFonts w:ascii="Times New Roman" w:eastAsia="Calibri" w:hAnsi="Times New Roman" w:cs="Times New Roman"/>
          <w:sz w:val="24"/>
          <w:szCs w:val="24"/>
        </w:rPr>
      </w:pPr>
    </w:p>
    <w:p w14:paraId="741DE6CB"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Som udgangspunkt tillægges en anmodning om domstolsprøvelse ikke opsættende virkning, da dette vil kunne hindre en løbende og effektiv håndhævelse af kravene om hæderlighed for reelle ejere. Retten har dog mulighed for, hvis det vurderes relevant at bestemme, at den pågældende kan opretholde sit hverv eller forblive i sin stilling, mens sagen verserer. Dette sikrer en balance mellem hensynet til effektivt tilsyn og den enkeltes retssikkerhed.</w:t>
      </w:r>
    </w:p>
    <w:p w14:paraId="3A2BE7D2" w14:textId="77777777" w:rsidR="00E603E1" w:rsidRPr="00521368" w:rsidRDefault="00E603E1" w:rsidP="00E603E1">
      <w:pPr>
        <w:spacing w:line="360" w:lineRule="auto"/>
        <w:rPr>
          <w:rFonts w:ascii="Times New Roman" w:eastAsia="Calibri" w:hAnsi="Times New Roman" w:cs="Times New Roman"/>
          <w:sz w:val="24"/>
          <w:szCs w:val="24"/>
        </w:rPr>
      </w:pPr>
    </w:p>
    <w:p w14:paraId="41692740"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Det foreslås i </w:t>
      </w:r>
      <w:r w:rsidRPr="00521368">
        <w:rPr>
          <w:rFonts w:ascii="Times New Roman" w:eastAsia="Calibri" w:hAnsi="Times New Roman" w:cs="Times New Roman"/>
          <w:i/>
          <w:iCs/>
          <w:sz w:val="24"/>
          <w:szCs w:val="24"/>
        </w:rPr>
        <w:t>stk. 6</w:t>
      </w:r>
      <w:r w:rsidRPr="00521368">
        <w:rPr>
          <w:rFonts w:ascii="Times New Roman" w:eastAsia="Calibri" w:hAnsi="Times New Roman" w:cs="Times New Roman"/>
          <w:sz w:val="24"/>
          <w:szCs w:val="24"/>
        </w:rPr>
        <w:t>,</w:t>
      </w:r>
      <w:r w:rsidRPr="00521368">
        <w:rPr>
          <w:rFonts w:ascii="Times New Roman" w:hAnsi="Times New Roman" w:cs="Times New Roman"/>
          <w:color w:val="09090B"/>
          <w:sz w:val="24"/>
          <w:szCs w:val="24"/>
          <w:lang w:eastAsia="da-DK"/>
        </w:rPr>
        <w:t xml:space="preserve"> a</w:t>
      </w:r>
      <w:r w:rsidRPr="00521368">
        <w:rPr>
          <w:rFonts w:ascii="Times New Roman" w:eastAsia="Calibri" w:hAnsi="Times New Roman" w:cs="Times New Roman"/>
          <w:sz w:val="24"/>
          <w:szCs w:val="24"/>
        </w:rPr>
        <w:t>t Finanstilsynet af egen drift eller efter ansøgning kan tilbagekalde et påbud meddelt efter stk. 1.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7A13926C" w14:textId="77777777" w:rsidR="00E603E1" w:rsidRPr="00521368" w:rsidRDefault="00E603E1" w:rsidP="00E603E1">
      <w:pPr>
        <w:spacing w:line="360" w:lineRule="auto"/>
        <w:rPr>
          <w:rFonts w:ascii="Times New Roman" w:eastAsia="Calibri" w:hAnsi="Times New Roman" w:cs="Times New Roman"/>
          <w:sz w:val="24"/>
          <w:szCs w:val="24"/>
        </w:rPr>
      </w:pPr>
    </w:p>
    <w:p w14:paraId="5BE520B5"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Bestemmelsen sikrer, at Finanstilsynet til enhver tid kan tilbagekalde et påbud, hvis forholdene ændrer sig, eller hvis der foreligger nye oplysninger, der taler for, at påbuddet ikke længere bør opretholdes. En person, der har modtaget et påbud, kan således ansøge Finanstilsynet om at få påbuddet tilbagekaldt. Hvis Finanstilsynet afslår ansøgningen, kan ansøgeren forlange, at afslaget indbringes for domstolene. Dette skal ske ved, at ansøgeren indgiver anmodning til Finanstilsynet inden 4 uger efter, at afslaget er meddelt.</w:t>
      </w:r>
    </w:p>
    <w:p w14:paraId="0024BA1E" w14:textId="77777777" w:rsidR="00E603E1" w:rsidRPr="00521368" w:rsidRDefault="00E603E1" w:rsidP="00E603E1">
      <w:pPr>
        <w:spacing w:line="360" w:lineRule="auto"/>
        <w:rPr>
          <w:rFonts w:ascii="Times New Roman" w:eastAsia="Calibri" w:hAnsi="Times New Roman" w:cs="Times New Roman"/>
          <w:sz w:val="24"/>
          <w:szCs w:val="24"/>
        </w:rPr>
      </w:pPr>
    </w:p>
    <w:p w14:paraId="1C04B5C4"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Det er dog en betingelse for at kunne kræve domstolsprøvelse af et afslag på tilbagekaldelse, at påbuddet ikke er tidsbegrænset, og at der er forløbet mindst 5 år fra datoen for udstedelsen af påbuddet, eller mindst 2 år efter at Finanstilsynets afslag på tilbagekaldelse er stadfæstet ved dom. Disse begrænsninger er indsat for at undgå gentagne og hyppige prøvelser af samme sag, hvilket kan belaste både tilsynet og domstolene unødigt. Begrænsningerne har kun betydning for muligheden for at kræve sagen indbragt for domstolene af Finanstilsynet. En person, som har modtaget et afslag på sin ansøgning, vil til enhver tid have mulighed for selv at anlægge sag ved domstolene.</w:t>
      </w:r>
    </w:p>
    <w:p w14:paraId="7BBDE1C3" w14:textId="77777777" w:rsidR="00E603E1" w:rsidRPr="00521368" w:rsidRDefault="00E603E1" w:rsidP="00E603E1">
      <w:pPr>
        <w:spacing w:line="360" w:lineRule="auto"/>
        <w:rPr>
          <w:rFonts w:ascii="Times New Roman" w:eastAsia="Calibri" w:hAnsi="Times New Roman" w:cs="Times New Roman"/>
          <w:sz w:val="24"/>
          <w:szCs w:val="24"/>
        </w:rPr>
      </w:pPr>
    </w:p>
    <w:p w14:paraId="3E8B01F5" w14:textId="77777777"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Bestemmelsen sikrer således, at der er adgang til domstolsprøvelse af både påbud og afslag på tilbagekaldelse, men at der samtidig er en vis afkølingsperiode, så der ikke sker gentagne prøvelser af samme sag inden for kort tid. Dette bidrager til at balancere hensynet til retssikkerhed og forvaltningens effektivitet.</w:t>
      </w:r>
    </w:p>
    <w:p w14:paraId="75D6E141" w14:textId="77777777" w:rsidR="00E603E1" w:rsidRPr="00521368" w:rsidRDefault="00E603E1" w:rsidP="00E603E1">
      <w:pPr>
        <w:spacing w:line="360" w:lineRule="auto"/>
        <w:rPr>
          <w:rFonts w:ascii="Times New Roman" w:eastAsia="Calibri" w:hAnsi="Times New Roman" w:cs="Times New Roman"/>
          <w:i/>
          <w:iCs/>
          <w:sz w:val="24"/>
          <w:szCs w:val="24"/>
        </w:rPr>
      </w:pPr>
    </w:p>
    <w:p w14:paraId="4F8C5EDE" w14:textId="677DB21E" w:rsidR="00E603E1" w:rsidRPr="00521368" w:rsidRDefault="00E603E1" w:rsidP="00E603E1">
      <w:pPr>
        <w:spacing w:line="360" w:lineRule="auto"/>
        <w:rPr>
          <w:rFonts w:ascii="Times New Roman" w:eastAsia="Calibri" w:hAnsi="Times New Roman" w:cs="Times New Roman"/>
          <w:sz w:val="24"/>
          <w:szCs w:val="24"/>
        </w:rPr>
      </w:pPr>
      <w:r w:rsidRPr="00521368">
        <w:rPr>
          <w:rFonts w:ascii="Times New Roman" w:eastAsia="Calibri" w:hAnsi="Times New Roman" w:cs="Times New Roman"/>
          <w:sz w:val="24"/>
          <w:szCs w:val="24"/>
        </w:rPr>
        <w:t xml:space="preserve">Der henvises i øvrigt til pkt. </w:t>
      </w:r>
      <w:r w:rsidR="00332D6C">
        <w:rPr>
          <w:rFonts w:ascii="Times New Roman" w:eastAsia="Calibri" w:hAnsi="Times New Roman" w:cs="Times New Roman"/>
          <w:sz w:val="24"/>
          <w:szCs w:val="24"/>
        </w:rPr>
        <w:fldChar w:fldCharType="begin"/>
      </w:r>
      <w:r w:rsidR="00332D6C">
        <w:rPr>
          <w:rFonts w:ascii="Times New Roman" w:eastAsia="Calibri" w:hAnsi="Times New Roman" w:cs="Times New Roman"/>
          <w:sz w:val="24"/>
          <w:szCs w:val="24"/>
        </w:rPr>
        <w:instrText xml:space="preserve"> REF _Ref244808948 \n \h </w:instrText>
      </w:r>
      <w:r w:rsidR="00332D6C">
        <w:rPr>
          <w:rFonts w:ascii="Times New Roman" w:eastAsia="Calibri" w:hAnsi="Times New Roman" w:cs="Times New Roman"/>
          <w:sz w:val="24"/>
          <w:szCs w:val="24"/>
        </w:rPr>
      </w:r>
      <w:r w:rsidR="00332D6C">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3.57</w:t>
      </w:r>
      <w:r w:rsidR="00332D6C">
        <w:rPr>
          <w:rFonts w:ascii="Times New Roman" w:eastAsia="Calibri" w:hAnsi="Times New Roman" w:cs="Times New Roman"/>
          <w:sz w:val="24"/>
          <w:szCs w:val="24"/>
        </w:rPr>
        <w:fldChar w:fldCharType="end"/>
      </w:r>
      <w:r w:rsidR="00332D6C">
        <w:rPr>
          <w:rFonts w:ascii="Times New Roman" w:eastAsia="Calibri" w:hAnsi="Times New Roman" w:cs="Times New Roman"/>
          <w:sz w:val="24"/>
          <w:szCs w:val="24"/>
        </w:rPr>
        <w:t xml:space="preserve"> </w:t>
      </w:r>
      <w:r w:rsidRPr="00521368">
        <w:rPr>
          <w:rFonts w:ascii="Times New Roman" w:eastAsia="Calibri" w:hAnsi="Times New Roman" w:cs="Times New Roman"/>
          <w:sz w:val="24"/>
          <w:szCs w:val="24"/>
        </w:rPr>
        <w:t>i lovforslagets almindelige bemærkninger.</w:t>
      </w:r>
    </w:p>
    <w:p w14:paraId="5DA779C3" w14:textId="77777777" w:rsidR="00B3743D" w:rsidRPr="00796736" w:rsidRDefault="00B3743D" w:rsidP="00A802A5">
      <w:pPr>
        <w:spacing w:line="360" w:lineRule="auto"/>
        <w:rPr>
          <w:rFonts w:ascii="Times New Roman" w:eastAsia="Calibri" w:hAnsi="Times New Roman" w:cs="Times New Roman"/>
          <w:sz w:val="24"/>
          <w:szCs w:val="24"/>
        </w:rPr>
      </w:pPr>
    </w:p>
    <w:p w14:paraId="300A808D" w14:textId="2E35F658" w:rsidR="00B3743D" w:rsidRPr="00796736" w:rsidRDefault="00B3743D" w:rsidP="00A802A5">
      <w:pPr>
        <w:spacing w:line="360" w:lineRule="auto"/>
        <w:rPr>
          <w:rFonts w:ascii="Times New Roman" w:eastAsia="Calibri" w:hAnsi="Times New Roman" w:cs="Times New Roman"/>
          <w:i/>
          <w:iCs/>
          <w:sz w:val="24"/>
          <w:szCs w:val="24"/>
        </w:rPr>
      </w:pPr>
      <w:r w:rsidRPr="00796736">
        <w:rPr>
          <w:rFonts w:ascii="Times New Roman" w:eastAsia="Calibri" w:hAnsi="Times New Roman" w:cs="Times New Roman"/>
          <w:i/>
          <w:iCs/>
          <w:sz w:val="24"/>
          <w:szCs w:val="24"/>
        </w:rPr>
        <w:t xml:space="preserve">Til nr. </w:t>
      </w:r>
      <w:r w:rsidR="00175C65">
        <w:rPr>
          <w:rFonts w:ascii="Times New Roman" w:eastAsia="Calibri" w:hAnsi="Times New Roman" w:cs="Times New Roman"/>
          <w:i/>
          <w:iCs/>
          <w:sz w:val="24"/>
          <w:szCs w:val="24"/>
        </w:rPr>
        <w:t>8</w:t>
      </w:r>
      <w:r w:rsidR="00E64260">
        <w:rPr>
          <w:rFonts w:ascii="Times New Roman" w:eastAsia="Calibri" w:hAnsi="Times New Roman" w:cs="Times New Roman"/>
          <w:i/>
          <w:iCs/>
          <w:sz w:val="24"/>
          <w:szCs w:val="24"/>
        </w:rPr>
        <w:t xml:space="preserve"> (§ 361, stk. 6, i lov om finansiel virksomhed)</w:t>
      </w:r>
    </w:p>
    <w:p w14:paraId="4E5DA3DB" w14:textId="53FEB13D" w:rsidR="00B3743D" w:rsidRPr="00796736" w:rsidRDefault="00B374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w:t>
      </w:r>
      <w:r w:rsidR="00761FC2">
        <w:rPr>
          <w:rFonts w:ascii="Times New Roman" w:hAnsi="Times New Roman" w:cs="Times New Roman"/>
          <w:sz w:val="24"/>
          <w:szCs w:val="24"/>
        </w:rPr>
        <w:t>fremgår af</w:t>
      </w:r>
      <w:r w:rsidRPr="00796736">
        <w:rPr>
          <w:rFonts w:ascii="Times New Roman" w:hAnsi="Times New Roman" w:cs="Times New Roman"/>
          <w:sz w:val="24"/>
          <w:szCs w:val="24"/>
        </w:rPr>
        <w:t xml:space="preserve"> § 361, stk. 6, i lov om finansiel virksomhed</w:t>
      </w:r>
      <w:r w:rsidR="00761FC2">
        <w:rPr>
          <w:rFonts w:ascii="Times New Roman" w:hAnsi="Times New Roman" w:cs="Times New Roman"/>
          <w:sz w:val="24"/>
          <w:szCs w:val="24"/>
        </w:rPr>
        <w:t xml:space="preserve">, at </w:t>
      </w:r>
      <w:r w:rsidRPr="00796736">
        <w:rPr>
          <w:rFonts w:ascii="Times New Roman" w:hAnsi="Times New Roman" w:cs="Times New Roman"/>
          <w:sz w:val="24"/>
          <w:szCs w:val="24"/>
        </w:rPr>
        <w:t xml:space="preserve">fysiske og juridiske personer omfattet af hvidvaskloven, der skal betale </w:t>
      </w:r>
      <w:r w:rsidR="00761FC2">
        <w:rPr>
          <w:rFonts w:ascii="Times New Roman" w:hAnsi="Times New Roman" w:cs="Times New Roman"/>
          <w:sz w:val="24"/>
          <w:szCs w:val="24"/>
        </w:rPr>
        <w:t xml:space="preserve">et </w:t>
      </w:r>
      <w:r w:rsidR="00761FC2" w:rsidRPr="00761FC2">
        <w:rPr>
          <w:rFonts w:ascii="Times New Roman" w:hAnsi="Times New Roman" w:cs="Times New Roman"/>
          <w:sz w:val="24"/>
          <w:szCs w:val="24"/>
        </w:rPr>
        <w:t>årligt grundbeløb</w:t>
      </w:r>
      <w:r w:rsidRPr="00796736">
        <w:rPr>
          <w:rFonts w:ascii="Times New Roman" w:hAnsi="Times New Roman" w:cs="Times New Roman"/>
          <w:sz w:val="24"/>
          <w:szCs w:val="24"/>
        </w:rPr>
        <w:t xml:space="preserve"> til Finanstilsynet. Det følger af § 361, stk. 6, nr. 1, at virksomheder og personer omfattet af § 1, stk. 1, nr. 8, i hvidvaskloven betaler et årligt grundbeløb på 4.400 kr.</w:t>
      </w:r>
      <w:r w:rsidR="00761FC2">
        <w:rPr>
          <w:rFonts w:ascii="Times New Roman" w:hAnsi="Times New Roman" w:cs="Times New Roman"/>
          <w:sz w:val="24"/>
          <w:szCs w:val="24"/>
        </w:rPr>
        <w:t xml:space="preserve"> Det følger af § 361, stk. 6, nr. 1, at v</w:t>
      </w:r>
      <w:r w:rsidR="00761FC2" w:rsidRPr="00761FC2">
        <w:rPr>
          <w:rFonts w:ascii="Times New Roman" w:hAnsi="Times New Roman" w:cs="Times New Roman"/>
          <w:sz w:val="24"/>
          <w:szCs w:val="24"/>
        </w:rPr>
        <w:t>alutavekslingsvirksomheder betaler 28.100 kr.</w:t>
      </w:r>
    </w:p>
    <w:p w14:paraId="7963F0A1" w14:textId="77777777" w:rsidR="00B3743D" w:rsidRPr="00796736" w:rsidRDefault="00B3743D" w:rsidP="00A802A5">
      <w:pPr>
        <w:spacing w:line="360" w:lineRule="auto"/>
        <w:rPr>
          <w:rFonts w:ascii="Times New Roman" w:hAnsi="Times New Roman" w:cs="Times New Roman"/>
          <w:sz w:val="24"/>
          <w:szCs w:val="24"/>
        </w:rPr>
      </w:pPr>
    </w:p>
    <w:p w14:paraId="0A135C29" w14:textId="77777777" w:rsidR="00B3743D" w:rsidRPr="00796736" w:rsidRDefault="00B374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af § 361, stk. 13, i lov om finansiel virksomhed, at grundbeløb er angivet i 2016-niveau og reguleres årligt svarende til udviklingen i Finanstilsynets bevilling på finansloven.</w:t>
      </w:r>
    </w:p>
    <w:p w14:paraId="23C33430" w14:textId="77777777" w:rsidR="00B3743D" w:rsidRDefault="00B3743D" w:rsidP="00A802A5">
      <w:pPr>
        <w:spacing w:line="360" w:lineRule="auto"/>
        <w:rPr>
          <w:rFonts w:ascii="Times New Roman" w:hAnsi="Times New Roman" w:cs="Times New Roman"/>
          <w:sz w:val="24"/>
          <w:szCs w:val="24"/>
        </w:rPr>
      </w:pPr>
    </w:p>
    <w:p w14:paraId="40D14BC2" w14:textId="5B3EDC20" w:rsidR="00761FC2" w:rsidRDefault="00761FC2" w:rsidP="00A802A5">
      <w:pPr>
        <w:spacing w:line="360" w:lineRule="auto"/>
        <w:rPr>
          <w:rFonts w:ascii="Times New Roman" w:hAnsi="Times New Roman" w:cs="Times New Roman"/>
          <w:sz w:val="24"/>
          <w:szCs w:val="24"/>
        </w:rPr>
      </w:pPr>
      <w:r w:rsidRPr="00761FC2">
        <w:rPr>
          <w:rFonts w:ascii="Times New Roman" w:hAnsi="Times New Roman" w:cs="Times New Roman"/>
          <w:sz w:val="24"/>
          <w:szCs w:val="24"/>
        </w:rPr>
        <w:t>Det foreslås, at </w:t>
      </w:r>
      <w:r w:rsidR="00C9730C" w:rsidRPr="00761FC2">
        <w:rPr>
          <w:rFonts w:ascii="Times New Roman" w:hAnsi="Times New Roman" w:cs="Times New Roman"/>
          <w:sz w:val="24"/>
          <w:szCs w:val="24"/>
        </w:rPr>
        <w:t>nyaffatte</w:t>
      </w:r>
      <w:r w:rsidR="00C9730C">
        <w:rPr>
          <w:rFonts w:ascii="Times New Roman" w:hAnsi="Times New Roman" w:cs="Times New Roman"/>
          <w:sz w:val="24"/>
          <w:szCs w:val="24"/>
        </w:rPr>
        <w:t xml:space="preserve"> </w:t>
      </w:r>
      <w:r w:rsidRPr="00761FC2">
        <w:rPr>
          <w:rFonts w:ascii="Times New Roman" w:hAnsi="Times New Roman" w:cs="Times New Roman"/>
          <w:i/>
          <w:iCs/>
          <w:sz w:val="24"/>
          <w:szCs w:val="24"/>
        </w:rPr>
        <w:t xml:space="preserve">§ 361, stk. </w:t>
      </w:r>
      <w:r>
        <w:rPr>
          <w:rFonts w:ascii="Times New Roman" w:hAnsi="Times New Roman" w:cs="Times New Roman"/>
          <w:i/>
          <w:iCs/>
          <w:sz w:val="24"/>
          <w:szCs w:val="24"/>
        </w:rPr>
        <w:t>6</w:t>
      </w:r>
      <w:r w:rsidRPr="00761FC2">
        <w:rPr>
          <w:rFonts w:ascii="Times New Roman" w:hAnsi="Times New Roman" w:cs="Times New Roman"/>
          <w:i/>
          <w:iCs/>
          <w:sz w:val="24"/>
          <w:szCs w:val="24"/>
        </w:rPr>
        <w:t>,</w:t>
      </w:r>
      <w:r w:rsidR="00C9730C">
        <w:rPr>
          <w:rFonts w:ascii="Times New Roman" w:hAnsi="Times New Roman" w:cs="Times New Roman"/>
          <w:sz w:val="24"/>
          <w:szCs w:val="24"/>
        </w:rPr>
        <w:t xml:space="preserve"> således, at der henvises korrekt til hvidvaskloven. </w:t>
      </w:r>
    </w:p>
    <w:p w14:paraId="7CDF1FA0" w14:textId="77777777" w:rsidR="00761FC2" w:rsidRPr="00796736" w:rsidRDefault="00761FC2" w:rsidP="00A802A5">
      <w:pPr>
        <w:spacing w:line="360" w:lineRule="auto"/>
        <w:rPr>
          <w:rFonts w:ascii="Times New Roman" w:hAnsi="Times New Roman" w:cs="Times New Roman"/>
          <w:sz w:val="24"/>
          <w:szCs w:val="24"/>
        </w:rPr>
      </w:pPr>
    </w:p>
    <w:p w14:paraId="29612438" w14:textId="3584712A" w:rsidR="00E64260" w:rsidRDefault="00B3743D" w:rsidP="00A802A5">
      <w:pPr>
        <w:spacing w:line="360" w:lineRule="auto"/>
        <w:jc w:val="left"/>
        <w:rPr>
          <w:rFonts w:ascii="Times New Roman" w:hAnsi="Times New Roman" w:cs="Times New Roman"/>
          <w:sz w:val="24"/>
          <w:szCs w:val="24"/>
        </w:rPr>
      </w:pPr>
      <w:r w:rsidRPr="00796736">
        <w:rPr>
          <w:rFonts w:ascii="Times New Roman" w:hAnsi="Times New Roman" w:cs="Times New Roman"/>
          <w:sz w:val="24"/>
          <w:szCs w:val="24"/>
        </w:rPr>
        <w:t>Det foreslås</w:t>
      </w:r>
      <w:r w:rsidR="00C9730C">
        <w:rPr>
          <w:rFonts w:ascii="Times New Roman" w:hAnsi="Times New Roman" w:cs="Times New Roman"/>
          <w:sz w:val="24"/>
          <w:szCs w:val="24"/>
        </w:rPr>
        <w:t xml:space="preserve"> i </w:t>
      </w:r>
      <w:r w:rsidR="00C9730C" w:rsidRPr="00C9730C">
        <w:rPr>
          <w:rFonts w:ascii="Times New Roman" w:hAnsi="Times New Roman" w:cs="Times New Roman"/>
          <w:i/>
          <w:iCs/>
          <w:sz w:val="24"/>
          <w:szCs w:val="24"/>
        </w:rPr>
        <w:t>nr. 1</w:t>
      </w:r>
      <w:r w:rsidR="00C9730C">
        <w:rPr>
          <w:rFonts w:ascii="Times New Roman" w:hAnsi="Times New Roman" w:cs="Times New Roman"/>
          <w:sz w:val="24"/>
          <w:szCs w:val="24"/>
        </w:rPr>
        <w:t>, at v</w:t>
      </w:r>
      <w:r w:rsidR="00E64260" w:rsidRPr="00E64260">
        <w:rPr>
          <w:rFonts w:ascii="Times New Roman" w:hAnsi="Times New Roman" w:cs="Times New Roman"/>
          <w:sz w:val="24"/>
          <w:szCs w:val="24"/>
        </w:rPr>
        <w:t>irksomheder og personer nævnt i § 2, stk. 1, nr. 8, 13, 18 og 19, jf. § 1, i hvidvaskloven, betaler 4.400 kr.</w:t>
      </w:r>
    </w:p>
    <w:p w14:paraId="608E618D" w14:textId="77777777" w:rsidR="00C9730C" w:rsidRPr="00E64260" w:rsidRDefault="00C9730C" w:rsidP="00A802A5">
      <w:pPr>
        <w:spacing w:line="360" w:lineRule="auto"/>
        <w:jc w:val="left"/>
        <w:rPr>
          <w:rFonts w:ascii="Times New Roman" w:hAnsi="Times New Roman" w:cs="Times New Roman"/>
          <w:sz w:val="24"/>
          <w:szCs w:val="24"/>
        </w:rPr>
      </w:pPr>
    </w:p>
    <w:p w14:paraId="66170614" w14:textId="7FF43DDA" w:rsidR="00B3743D" w:rsidRDefault="00C9730C"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w:t>
      </w:r>
      <w:r>
        <w:rPr>
          <w:rFonts w:ascii="Times New Roman" w:hAnsi="Times New Roman" w:cs="Times New Roman"/>
          <w:sz w:val="24"/>
          <w:szCs w:val="24"/>
        </w:rPr>
        <w:t xml:space="preserve"> i </w:t>
      </w:r>
      <w:r w:rsidRPr="00C9730C">
        <w:rPr>
          <w:rFonts w:ascii="Times New Roman" w:hAnsi="Times New Roman" w:cs="Times New Roman"/>
          <w:i/>
          <w:iCs/>
          <w:sz w:val="24"/>
          <w:szCs w:val="24"/>
        </w:rPr>
        <w:t xml:space="preserve">nr. </w:t>
      </w:r>
      <w:r>
        <w:rPr>
          <w:rFonts w:ascii="Times New Roman" w:hAnsi="Times New Roman" w:cs="Times New Roman"/>
          <w:i/>
          <w:iCs/>
          <w:sz w:val="24"/>
          <w:szCs w:val="24"/>
        </w:rPr>
        <w:t xml:space="preserve">2, at </w:t>
      </w:r>
      <w:r>
        <w:rPr>
          <w:rFonts w:ascii="Times New Roman" w:hAnsi="Times New Roman" w:cs="Times New Roman"/>
          <w:sz w:val="24"/>
          <w:szCs w:val="24"/>
        </w:rPr>
        <w:t>v</w:t>
      </w:r>
      <w:r w:rsidR="00E64260" w:rsidRPr="00E64260">
        <w:rPr>
          <w:rFonts w:ascii="Times New Roman" w:hAnsi="Times New Roman" w:cs="Times New Roman"/>
          <w:sz w:val="24"/>
          <w:szCs w:val="24"/>
        </w:rPr>
        <w:t>alutavekslingsvirksomheder, jf. § 2, stk. 1, nr. 11, jf. § 1, i hvidvaskloven, betaler 28.100 kr.</w:t>
      </w:r>
    </w:p>
    <w:p w14:paraId="0E468EC5" w14:textId="77777777" w:rsidR="00D93731" w:rsidRPr="00796736" w:rsidRDefault="00D93731" w:rsidP="00A802A5">
      <w:pPr>
        <w:spacing w:line="360" w:lineRule="auto"/>
        <w:rPr>
          <w:rFonts w:ascii="Times New Roman" w:hAnsi="Times New Roman" w:cs="Times New Roman"/>
          <w:sz w:val="24"/>
          <w:szCs w:val="24"/>
        </w:rPr>
      </w:pPr>
    </w:p>
    <w:p w14:paraId="1C511DA9" w14:textId="785E79AA" w:rsidR="00B3743D" w:rsidRPr="00796736" w:rsidRDefault="00B3743D"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Lovforslaget skal ses i sammenhæng med lovforslagets § </w:t>
      </w:r>
      <w:r w:rsidR="00E64260">
        <w:rPr>
          <w:rFonts w:ascii="Times New Roman" w:hAnsi="Times New Roman" w:cs="Times New Roman"/>
          <w:sz w:val="24"/>
          <w:szCs w:val="24"/>
        </w:rPr>
        <w:t>2</w:t>
      </w:r>
      <w:r w:rsidRPr="00796736">
        <w:rPr>
          <w:rFonts w:ascii="Times New Roman" w:hAnsi="Times New Roman" w:cs="Times New Roman"/>
          <w:sz w:val="24"/>
          <w:szCs w:val="24"/>
        </w:rPr>
        <w:t xml:space="preserve">, der indeholder en gengivelse af </w:t>
      </w:r>
      <w:r w:rsidR="00E64260">
        <w:rPr>
          <w:rFonts w:ascii="Times New Roman" w:hAnsi="Times New Roman" w:cs="Times New Roman"/>
          <w:sz w:val="24"/>
          <w:szCs w:val="24"/>
        </w:rPr>
        <w:t>virksomheder og personer omfattet af</w:t>
      </w:r>
      <w:r w:rsidRPr="00796736">
        <w:rPr>
          <w:rFonts w:ascii="Times New Roman" w:hAnsi="Times New Roman" w:cs="Times New Roman"/>
          <w:sz w:val="24"/>
          <w:szCs w:val="24"/>
        </w:rPr>
        <w:t xml:space="preserve"> artikel 3 i </w:t>
      </w:r>
      <w:r w:rsidR="00E64260">
        <w:rPr>
          <w:rFonts w:ascii="Times New Roman" w:hAnsi="Times New Roman" w:cs="Times New Roman"/>
          <w:sz w:val="24"/>
          <w:szCs w:val="24"/>
        </w:rPr>
        <w:t>hvidvaskforordningen</w:t>
      </w:r>
      <w:r w:rsidRPr="00796736">
        <w:rPr>
          <w:rFonts w:ascii="Times New Roman" w:hAnsi="Times New Roman" w:cs="Times New Roman"/>
          <w:sz w:val="24"/>
          <w:szCs w:val="24"/>
        </w:rPr>
        <w:t xml:space="preserve">. </w:t>
      </w:r>
    </w:p>
    <w:p w14:paraId="314AC450" w14:textId="77777777" w:rsidR="00B3743D" w:rsidRPr="00E64260" w:rsidRDefault="00B3743D" w:rsidP="00A802A5">
      <w:pPr>
        <w:spacing w:line="360" w:lineRule="auto"/>
        <w:rPr>
          <w:rFonts w:ascii="Times New Roman" w:hAnsi="Times New Roman" w:cs="Times New Roman"/>
          <w:sz w:val="24"/>
          <w:szCs w:val="24"/>
        </w:rPr>
      </w:pPr>
    </w:p>
    <w:p w14:paraId="0B4AC63E" w14:textId="6D68E8F8" w:rsidR="00E64260" w:rsidRPr="00E64260" w:rsidRDefault="00E64260" w:rsidP="00A802A5">
      <w:pPr>
        <w:spacing w:line="360" w:lineRule="auto"/>
        <w:rPr>
          <w:rFonts w:ascii="Times New Roman" w:hAnsi="Times New Roman" w:cs="Times New Roman"/>
          <w:sz w:val="24"/>
          <w:szCs w:val="24"/>
        </w:rPr>
      </w:pPr>
      <w:r w:rsidRPr="00E64260">
        <w:rPr>
          <w:rFonts w:ascii="Times New Roman" w:hAnsi="Times New Roman" w:cs="Times New Roman"/>
          <w:sz w:val="24"/>
          <w:szCs w:val="24"/>
        </w:rPr>
        <w:t xml:space="preserve">Forslaget vil medføre, at, at virksomheder og personer, der erhvervsmæssigt udøver aktiviteterne i bilag 1 til hvidvaskloven, fortsat betale en fast årlig afgift. Herudover medfører bestemmelsen, at crowdfundingformidlere, finansielle holdingselskaber med blandet aktivitet og ikkefinansielle holdingselskaber med blandet aktivitet, når selskabet har et datterselskab, der udøver virksomhed som crowdfundingtjenesteudbyder, crowdfundingformidler eller som kreditformidler, skal betale en fast årlig afgift til afholdelse af udgifter forbundet med Finanstilsynets tilsynet. Det årlige grundbeløb angivet i 2016-niveau vil udgøre 4.400 kr. </w:t>
      </w:r>
    </w:p>
    <w:p w14:paraId="0F94C02C" w14:textId="77777777" w:rsidR="00FA6C24" w:rsidRPr="00796736" w:rsidRDefault="00FA6C24" w:rsidP="00A802A5">
      <w:pPr>
        <w:spacing w:line="360" w:lineRule="auto"/>
        <w:rPr>
          <w:rFonts w:ascii="Times New Roman" w:eastAsia="Calibri" w:hAnsi="Times New Roman" w:cs="Times New Roman"/>
          <w:sz w:val="24"/>
          <w:szCs w:val="24"/>
        </w:rPr>
      </w:pPr>
    </w:p>
    <w:p w14:paraId="2BE02016" w14:textId="772D41D0" w:rsidR="007A0D22" w:rsidRPr="00E6196C" w:rsidRDefault="007A0D22" w:rsidP="007A0D22">
      <w:pPr>
        <w:spacing w:line="360" w:lineRule="auto"/>
        <w:rPr>
          <w:rFonts w:ascii="Times New Roman" w:eastAsia="Calibri" w:hAnsi="Times New Roman" w:cs="Times New Roman"/>
          <w:i/>
          <w:iCs/>
          <w:sz w:val="24"/>
          <w:szCs w:val="24"/>
        </w:rPr>
      </w:pPr>
      <w:r w:rsidRPr="00E6196C">
        <w:rPr>
          <w:rFonts w:ascii="Times New Roman" w:eastAsia="Calibri" w:hAnsi="Times New Roman" w:cs="Times New Roman"/>
          <w:i/>
          <w:iCs/>
          <w:sz w:val="24"/>
          <w:szCs w:val="24"/>
        </w:rPr>
        <w:t>Til nr.</w:t>
      </w:r>
      <w:r>
        <w:rPr>
          <w:rFonts w:ascii="Times New Roman" w:eastAsia="Calibri" w:hAnsi="Times New Roman" w:cs="Times New Roman"/>
          <w:i/>
          <w:iCs/>
          <w:sz w:val="24"/>
          <w:szCs w:val="24"/>
        </w:rPr>
        <w:t xml:space="preserve"> </w:t>
      </w:r>
      <w:r w:rsidR="00175C65">
        <w:rPr>
          <w:rFonts w:ascii="Times New Roman" w:eastAsia="Calibri" w:hAnsi="Times New Roman" w:cs="Times New Roman"/>
          <w:i/>
          <w:iCs/>
          <w:sz w:val="24"/>
          <w:szCs w:val="24"/>
        </w:rPr>
        <w:t>9</w:t>
      </w:r>
      <w:r w:rsidRPr="00E6196C">
        <w:rPr>
          <w:rFonts w:ascii="Times New Roman" w:eastAsia="Calibri" w:hAnsi="Times New Roman" w:cs="Times New Roman"/>
          <w:i/>
          <w:iCs/>
          <w:sz w:val="24"/>
          <w:szCs w:val="24"/>
        </w:rPr>
        <w:t xml:space="preserve"> (§ 373, stk. 2, i lov om finansiel virksomhed)</w:t>
      </w:r>
    </w:p>
    <w:p w14:paraId="503BC010" w14:textId="77777777" w:rsidR="007A0D22" w:rsidRPr="00521368" w:rsidRDefault="007A0D22" w:rsidP="007A0D22">
      <w:pPr>
        <w:spacing w:line="360" w:lineRule="auto"/>
        <w:rPr>
          <w:rFonts w:ascii="Times New Roman" w:hAnsi="Times New Roman" w:cs="Times New Roman"/>
          <w:sz w:val="24"/>
          <w:szCs w:val="24"/>
        </w:rPr>
      </w:pPr>
      <w:r w:rsidRPr="00521368">
        <w:rPr>
          <w:rFonts w:ascii="Times New Roman" w:hAnsi="Times New Roman" w:cs="Times New Roman"/>
          <w:sz w:val="24"/>
          <w:szCs w:val="24"/>
        </w:rPr>
        <w:t>Der gælder i dag ikke en pligt for crowdfundingtjenesteudbydere til at indsende årlige erklæringer til Finanstilsynet.</w:t>
      </w:r>
    </w:p>
    <w:p w14:paraId="1F43F803" w14:textId="77777777" w:rsidR="007A0D22" w:rsidRPr="00521368" w:rsidRDefault="007A0D22" w:rsidP="007A0D22">
      <w:pPr>
        <w:spacing w:line="360" w:lineRule="auto"/>
        <w:rPr>
          <w:rFonts w:ascii="Times New Roman" w:hAnsi="Times New Roman" w:cs="Times New Roman"/>
          <w:sz w:val="24"/>
          <w:szCs w:val="24"/>
        </w:rPr>
      </w:pPr>
    </w:p>
    <w:p w14:paraId="0D8E4889" w14:textId="77777777" w:rsidR="007A0D22" w:rsidRPr="00521368" w:rsidRDefault="007A0D22" w:rsidP="007A0D22">
      <w:pPr>
        <w:spacing w:line="360" w:lineRule="auto"/>
        <w:rPr>
          <w:rFonts w:ascii="Times New Roman" w:hAnsi="Times New Roman" w:cs="Times New Roman"/>
          <w:sz w:val="24"/>
          <w:szCs w:val="24"/>
        </w:rPr>
      </w:pPr>
      <w:r w:rsidRPr="00521368">
        <w:rPr>
          <w:rFonts w:ascii="Times New Roman" w:hAnsi="Times New Roman" w:cs="Times New Roman"/>
          <w:sz w:val="24"/>
          <w:szCs w:val="24"/>
        </w:rPr>
        <w:t>Det foreslås i § 343 c, stk. 2,</w:t>
      </w:r>
      <w:r w:rsidRPr="00521368">
        <w:rPr>
          <w:rFonts w:ascii="Times New Roman" w:hAnsi="Times New Roman" w:cs="Times New Roman"/>
          <w:i/>
          <w:iCs/>
          <w:sz w:val="24"/>
          <w:szCs w:val="24"/>
        </w:rPr>
        <w:t xml:space="preserve"> </w:t>
      </w:r>
      <w:r w:rsidRPr="00521368">
        <w:rPr>
          <w:rFonts w:ascii="Times New Roman" w:hAnsi="Times New Roman" w:cs="Times New Roman"/>
          <w:sz w:val="24"/>
          <w:szCs w:val="24"/>
        </w:rPr>
        <w:t xml:space="preserve">at der indføres en årlig pligt for crowdfundingtjemnesteudbydere til at indsende en erklæring til Finanstilsynet om fortsat opfyldelse af registreringsbetingelserne samt en oversigt over ledelse og reelle ejere. Overtrædelse af bestemmelsen foreslås strafbelagt. </w:t>
      </w:r>
    </w:p>
    <w:p w14:paraId="26816126" w14:textId="77777777" w:rsidR="007A0D22" w:rsidRPr="00521368" w:rsidRDefault="007A0D22" w:rsidP="007A0D22">
      <w:pPr>
        <w:spacing w:line="360" w:lineRule="auto"/>
        <w:rPr>
          <w:rFonts w:ascii="Times New Roman" w:hAnsi="Times New Roman" w:cs="Times New Roman"/>
          <w:sz w:val="24"/>
          <w:szCs w:val="24"/>
        </w:rPr>
      </w:pPr>
      <w:r w:rsidRPr="00521368">
        <w:rPr>
          <w:rFonts w:ascii="Times New Roman" w:hAnsi="Times New Roman" w:cs="Times New Roman"/>
          <w:sz w:val="24"/>
          <w:szCs w:val="24"/>
        </w:rPr>
        <w:t>Den gældende § 373, stk. 1 og stk. 2, 1. pkt., i lov om finansiel virksomhed fastsætter, hvilke overtrædelser af lov om finansiel virksomhed og bestemmelser i EU-retsakter, der kan straffes med bøde eller fængsel.</w:t>
      </w:r>
    </w:p>
    <w:p w14:paraId="4C78BD2E" w14:textId="77777777" w:rsidR="007A0D22" w:rsidRPr="00521368" w:rsidRDefault="007A0D22" w:rsidP="007A0D22">
      <w:pPr>
        <w:spacing w:line="360" w:lineRule="auto"/>
        <w:rPr>
          <w:rFonts w:ascii="Times New Roman" w:hAnsi="Times New Roman" w:cs="Times New Roman"/>
          <w:sz w:val="24"/>
          <w:szCs w:val="24"/>
        </w:rPr>
      </w:pPr>
    </w:p>
    <w:p w14:paraId="4EFE6766" w14:textId="77777777" w:rsidR="007A0D22" w:rsidRPr="00521368" w:rsidRDefault="007A0D22" w:rsidP="007A0D22">
      <w:pPr>
        <w:spacing w:line="360" w:lineRule="auto"/>
        <w:rPr>
          <w:rFonts w:ascii="Times New Roman" w:eastAsia="Calibri" w:hAnsi="Times New Roman" w:cs="Times New Roman"/>
          <w:iCs/>
          <w:sz w:val="24"/>
          <w:szCs w:val="24"/>
        </w:rPr>
      </w:pPr>
      <w:r w:rsidRPr="00521368">
        <w:rPr>
          <w:rFonts w:ascii="Times New Roman" w:hAnsi="Times New Roman" w:cs="Times New Roman"/>
          <w:sz w:val="24"/>
          <w:szCs w:val="24"/>
          <w:lang w:eastAsia="da-DK"/>
        </w:rPr>
        <w:t xml:space="preserve">Det foreslås, at der i </w:t>
      </w:r>
      <w:r w:rsidRPr="00521368">
        <w:rPr>
          <w:rFonts w:ascii="Times New Roman" w:hAnsi="Times New Roman" w:cs="Times New Roman"/>
          <w:i/>
          <w:iCs/>
          <w:sz w:val="24"/>
          <w:szCs w:val="24"/>
          <w:lang w:eastAsia="da-DK"/>
        </w:rPr>
        <w:t>§ 373, stk. 2</w:t>
      </w:r>
      <w:r w:rsidRPr="00521368">
        <w:rPr>
          <w:rFonts w:ascii="Times New Roman" w:hAnsi="Times New Roman" w:cs="Times New Roman"/>
          <w:sz w:val="24"/>
          <w:szCs w:val="24"/>
          <w:lang w:eastAsia="da-DK"/>
        </w:rPr>
        <w:t xml:space="preserve">, </w:t>
      </w:r>
      <w:r w:rsidRPr="00521368">
        <w:rPr>
          <w:rFonts w:ascii="Times New Roman" w:hAnsi="Times New Roman" w:cs="Times New Roman"/>
          <w:i/>
          <w:iCs/>
          <w:sz w:val="24"/>
          <w:szCs w:val="24"/>
          <w:lang w:eastAsia="da-DK"/>
        </w:rPr>
        <w:t>1. pkt.,</w:t>
      </w:r>
      <w:r w:rsidRPr="00521368">
        <w:rPr>
          <w:rFonts w:ascii="Times New Roman" w:hAnsi="Times New Roman" w:cs="Times New Roman"/>
          <w:sz w:val="24"/>
          <w:szCs w:val="24"/>
          <w:lang w:eastAsia="da-DK"/>
        </w:rPr>
        <w:t xml:space="preserve"> efter </w:t>
      </w:r>
      <w:r w:rsidRPr="00521368">
        <w:rPr>
          <w:rFonts w:ascii="Times New Roman" w:eastAsia="Calibri" w:hAnsi="Times New Roman" w:cs="Times New Roman"/>
          <w:iCs/>
          <w:sz w:val="24"/>
          <w:szCs w:val="24"/>
        </w:rPr>
        <w:t>»§ 336 a, stk. 3, 5 og 6,« indsættes »§ 343 c, stk. 2,«.</w:t>
      </w:r>
    </w:p>
    <w:p w14:paraId="10D19E28" w14:textId="77777777" w:rsidR="007A0D22" w:rsidRPr="00521368" w:rsidRDefault="007A0D22" w:rsidP="007A0D22">
      <w:pPr>
        <w:spacing w:line="360" w:lineRule="auto"/>
        <w:rPr>
          <w:rFonts w:ascii="Times New Roman" w:eastAsia="Calibri" w:hAnsi="Times New Roman" w:cs="Times New Roman"/>
          <w:iCs/>
          <w:sz w:val="24"/>
          <w:szCs w:val="24"/>
        </w:rPr>
      </w:pPr>
    </w:p>
    <w:p w14:paraId="54AD1FCC" w14:textId="77777777" w:rsidR="007A0D22" w:rsidRPr="00521368" w:rsidRDefault="007A0D22" w:rsidP="007A0D22">
      <w:pPr>
        <w:spacing w:line="360" w:lineRule="auto"/>
        <w:rPr>
          <w:rFonts w:ascii="Times New Roman" w:eastAsia="Calibri" w:hAnsi="Times New Roman" w:cs="Times New Roman"/>
          <w:iCs/>
          <w:sz w:val="24"/>
          <w:szCs w:val="24"/>
        </w:rPr>
      </w:pPr>
      <w:r w:rsidRPr="00521368">
        <w:rPr>
          <w:rFonts w:ascii="Times New Roman" w:eastAsia="Calibri" w:hAnsi="Times New Roman" w:cs="Times New Roman"/>
          <w:iCs/>
          <w:sz w:val="24"/>
          <w:szCs w:val="24"/>
        </w:rPr>
        <w:t>Den foreslåede bestemmelse indebærer, at overtrædelse af det foreslåede § 343, stk. 2, kan straffes med bøde.</w:t>
      </w:r>
    </w:p>
    <w:p w14:paraId="10A9C8F4" w14:textId="77777777" w:rsidR="007A0D22" w:rsidRPr="00521368" w:rsidRDefault="007A0D22" w:rsidP="007A0D22">
      <w:pPr>
        <w:spacing w:line="360" w:lineRule="auto"/>
        <w:rPr>
          <w:rFonts w:ascii="Times New Roman" w:eastAsia="Calibri" w:hAnsi="Times New Roman" w:cs="Times New Roman"/>
          <w:iCs/>
          <w:sz w:val="24"/>
          <w:szCs w:val="24"/>
        </w:rPr>
      </w:pPr>
    </w:p>
    <w:p w14:paraId="5C8EE512" w14:textId="77777777" w:rsidR="007A0D22" w:rsidRPr="00521368" w:rsidRDefault="007A0D22" w:rsidP="007A0D22">
      <w:pPr>
        <w:spacing w:line="360" w:lineRule="auto"/>
        <w:rPr>
          <w:rFonts w:ascii="Times New Roman" w:eastAsia="Calibri" w:hAnsi="Times New Roman" w:cs="Times New Roman"/>
          <w:iCs/>
          <w:sz w:val="24"/>
          <w:szCs w:val="24"/>
        </w:rPr>
      </w:pPr>
      <w:r w:rsidRPr="00521368">
        <w:rPr>
          <w:rFonts w:ascii="Times New Roman" w:eastAsia="Calibri" w:hAnsi="Times New Roman" w:cs="Times New Roman"/>
          <w:iCs/>
          <w:sz w:val="24"/>
          <w:szCs w:val="24"/>
        </w:rPr>
        <w:t>Bødeniveauet tiltænkes fastsat i overensstemmelse med § 373, stk. 12, i lov om finansiel virksomhed. Det fremgår heraf, at der ved udmåling af bøder lægges vægt på overtrædelsens grovhed og gerningsmandens økonomiske forhold. For overtrædelser begået af juridiske personer lægges ved vurderingen af gerningsmandens økonomiske forhold vægt på virksomhedens nettoårsomsætning på gerningstidspunktet. Det er afgørende, at der ved strafudmålingen lægges vægt på de nævnte faktorer, så bøder vil have en pønal og præventiv effekt på alle aktører på markedet, og således at det finansielle incitament til at overtræde bestemmelserne reduceres. Vurderingen af overtrædelsens grovhed bør foregå uafhængig af gerningsmandens økonomiske forhold.</w:t>
      </w:r>
    </w:p>
    <w:p w14:paraId="70F6D8B9" w14:textId="77777777" w:rsidR="007A0D22" w:rsidRPr="00521368" w:rsidRDefault="007A0D22" w:rsidP="007A0D22">
      <w:pPr>
        <w:spacing w:line="360" w:lineRule="auto"/>
        <w:rPr>
          <w:rFonts w:ascii="Times New Roman" w:eastAsia="Calibri" w:hAnsi="Times New Roman" w:cs="Times New Roman"/>
          <w:iCs/>
          <w:sz w:val="24"/>
          <w:szCs w:val="24"/>
        </w:rPr>
      </w:pPr>
    </w:p>
    <w:p w14:paraId="48E534B5" w14:textId="77777777" w:rsidR="007A0D22" w:rsidRPr="00521368" w:rsidRDefault="007A0D22" w:rsidP="007A0D22">
      <w:pPr>
        <w:spacing w:line="360" w:lineRule="auto"/>
        <w:rPr>
          <w:rFonts w:ascii="Times New Roman" w:eastAsia="Calibri" w:hAnsi="Times New Roman" w:cs="Times New Roman"/>
          <w:iCs/>
          <w:sz w:val="24"/>
          <w:szCs w:val="24"/>
        </w:rPr>
      </w:pPr>
      <w:r w:rsidRPr="00521368">
        <w:rPr>
          <w:rFonts w:ascii="Times New Roman" w:eastAsia="Calibri" w:hAnsi="Times New Roman" w:cs="Times New Roman"/>
          <w:iCs/>
          <w:sz w:val="24"/>
          <w:szCs w:val="24"/>
        </w:rPr>
        <w:t>Fastsættelsen af bødestraffen vil dog fortsat bero på domstolenes konkrete vurdering i det enkelte tilfælde af samtlige omstændigheder i sagen. Bødeniveauet vil derfor tage hensyn til hvorvidt der i den konkrete sag foreligger skærpende eller formildende omstændigheder, jf. herved de almindelige regler om straffens fastsættelse i straffelovens kapitel 10.</w:t>
      </w:r>
    </w:p>
    <w:p w14:paraId="14E3575E" w14:textId="77777777" w:rsidR="00FA6C24" w:rsidRDefault="00FA6C24" w:rsidP="00A802A5">
      <w:pPr>
        <w:spacing w:line="360" w:lineRule="auto"/>
        <w:rPr>
          <w:rFonts w:ascii="Times New Roman" w:hAnsi="Times New Roman" w:cs="Times New Roman"/>
          <w:sz w:val="24"/>
          <w:szCs w:val="24"/>
        </w:rPr>
      </w:pPr>
    </w:p>
    <w:p w14:paraId="3B5545B9" w14:textId="77777777" w:rsidR="009030B4" w:rsidRDefault="009030B4" w:rsidP="00A802A5">
      <w:pPr>
        <w:spacing w:line="360" w:lineRule="auto"/>
        <w:rPr>
          <w:rFonts w:ascii="Times New Roman" w:hAnsi="Times New Roman" w:cs="Times New Roman"/>
          <w:sz w:val="24"/>
          <w:szCs w:val="24"/>
        </w:rPr>
      </w:pPr>
    </w:p>
    <w:p w14:paraId="63F3833E" w14:textId="2C59E99E" w:rsidR="009030B4" w:rsidRDefault="009030B4" w:rsidP="009030B4">
      <w:pPr>
        <w:pStyle w:val="Undertitel"/>
      </w:pPr>
      <w:bookmarkStart w:id="2271" w:name="_Toc244879440"/>
      <w:bookmarkStart w:id="2272" w:name="_Toc244880965"/>
      <w:r w:rsidRPr="00796736">
        <w:t>Til</w:t>
      </w:r>
      <w:r>
        <w:t xml:space="preserve"> </w:t>
      </w:r>
      <w:r>
        <w:fldChar w:fldCharType="begin"/>
      </w:r>
      <w:r>
        <w:instrText xml:space="preserve"> REF _Ref244871056 \r \h </w:instrText>
      </w:r>
      <w:r>
        <w:fldChar w:fldCharType="separate"/>
      </w:r>
      <w:r>
        <w:t>§ 144</w:t>
      </w:r>
      <w:bookmarkEnd w:id="2271"/>
      <w:bookmarkEnd w:id="2272"/>
      <w:r>
        <w:fldChar w:fldCharType="end"/>
      </w:r>
    </w:p>
    <w:p w14:paraId="10B3F455" w14:textId="77777777" w:rsidR="00A55CC9" w:rsidRPr="00A55CC9" w:rsidRDefault="00A55CC9" w:rsidP="00A55CC9">
      <w:pPr>
        <w:spacing w:line="360" w:lineRule="auto"/>
        <w:rPr>
          <w:rFonts w:ascii="Times New Roman" w:hAnsi="Times New Roman" w:cs="Times New Roman"/>
          <w:i/>
          <w:iCs/>
          <w:sz w:val="24"/>
          <w:szCs w:val="24"/>
        </w:rPr>
      </w:pPr>
      <w:r w:rsidRPr="00A55CC9">
        <w:rPr>
          <w:rFonts w:ascii="Times New Roman" w:hAnsi="Times New Roman" w:cs="Times New Roman"/>
          <w:i/>
          <w:iCs/>
          <w:sz w:val="24"/>
          <w:szCs w:val="24"/>
        </w:rPr>
        <w:t>Til nr. 1 (§ 51, stk. 1, nr. 5, i lov om kapitalmarkeder)</w:t>
      </w:r>
    </w:p>
    <w:p w14:paraId="62B10E95" w14:textId="77777777" w:rsidR="00A55CC9" w:rsidRDefault="00A55CC9" w:rsidP="00A55CC9">
      <w:pPr>
        <w:spacing w:line="360" w:lineRule="auto"/>
        <w:rPr>
          <w:rFonts w:ascii="Times New Roman" w:hAnsi="Times New Roman" w:cs="Times New Roman"/>
          <w:sz w:val="24"/>
          <w:szCs w:val="24"/>
        </w:rPr>
      </w:pPr>
      <w:r w:rsidRPr="003D5D3B">
        <w:rPr>
          <w:rFonts w:ascii="Times New Roman" w:hAnsi="Times New Roman" w:cs="Times New Roman"/>
          <w:sz w:val="24"/>
          <w:szCs w:val="24"/>
        </w:rPr>
        <w:t>§ 51 i lov om kapitalmarkeder regulerer krav om forudgående godkendelse fra Finanstilsynet ved erhvervelse eller forøgelse af en kvalificeret andel i en operatør af en multilateral handelsfacilitet (MHF) eller en organiseret handelsfacilitet (OHF).</w:t>
      </w:r>
    </w:p>
    <w:p w14:paraId="67FE46AC" w14:textId="77777777" w:rsidR="001F33A9" w:rsidRPr="003D5D3B" w:rsidRDefault="001F33A9" w:rsidP="00A55CC9">
      <w:pPr>
        <w:spacing w:line="360" w:lineRule="auto"/>
        <w:rPr>
          <w:rFonts w:ascii="Times New Roman" w:hAnsi="Times New Roman" w:cs="Times New Roman"/>
          <w:sz w:val="24"/>
          <w:szCs w:val="24"/>
        </w:rPr>
      </w:pPr>
    </w:p>
    <w:p w14:paraId="3D8962B0" w14:textId="77777777" w:rsidR="00A55CC9" w:rsidRDefault="00A55CC9" w:rsidP="00A55CC9">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51, stk. 2, nr. 5, skal Finanstilsynet ved vurderingen af en ansøgning om godkendelse bl.a. lægge vægt på, om der er rimelig grund til at formode, at der i forbindelse med den påtænkte erhvervelse er sket hvidvaskning af penge eller finansiering af terrorisme, om der er sket forsøg herpå, eller om den påtænkte erhvervelse vil kunne øge risikoen herfor.</w:t>
      </w:r>
    </w:p>
    <w:p w14:paraId="539AF99E" w14:textId="77777777" w:rsidR="001F33A9" w:rsidRPr="003D5D3B" w:rsidRDefault="001F33A9" w:rsidP="00A55CC9">
      <w:pPr>
        <w:spacing w:line="360" w:lineRule="auto"/>
        <w:rPr>
          <w:rFonts w:ascii="Times New Roman" w:hAnsi="Times New Roman" w:cs="Times New Roman"/>
          <w:sz w:val="24"/>
          <w:szCs w:val="24"/>
        </w:rPr>
      </w:pPr>
    </w:p>
    <w:p w14:paraId="5A9BDDBE" w14:textId="77777777" w:rsidR="00A55CC9" w:rsidRDefault="00A55CC9" w:rsidP="00A55CC9">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51, stk. 2, nr. 5</w:t>
      </w:r>
      <w:r w:rsidRPr="003D5D3B">
        <w:rPr>
          <w:rFonts w:ascii="Times New Roman" w:hAnsi="Times New Roman" w:cs="Times New Roman"/>
          <w:sz w:val="24"/>
          <w:szCs w:val="24"/>
        </w:rPr>
        <w:t>, at ændre henvisningen til §§ 3 og 4 i lov om forebyggende foranstaltninger mod hvidvask af udbytte og finansiering af terrorisme til en henvisning til artikel 2, nr. 1 og 2, i Europa-Parlamentets og Rådets forordning (EU) 2024/1624 af 31. maj 2024 om forebyggende foranstaltninger mod anvendelse af det finansielle system til hvidvask af penge eller finansiering af terrorisme.</w:t>
      </w:r>
    </w:p>
    <w:p w14:paraId="3ABC0CC1" w14:textId="77777777" w:rsidR="001F33A9" w:rsidRPr="003D5D3B" w:rsidRDefault="001F33A9" w:rsidP="00A55CC9">
      <w:pPr>
        <w:spacing w:line="360" w:lineRule="auto"/>
        <w:rPr>
          <w:rFonts w:ascii="Times New Roman" w:hAnsi="Times New Roman" w:cs="Times New Roman"/>
          <w:sz w:val="24"/>
          <w:szCs w:val="24"/>
        </w:rPr>
      </w:pPr>
    </w:p>
    <w:p w14:paraId="289699C4" w14:textId="77777777" w:rsidR="00A55CC9" w:rsidRPr="003D5D3B" w:rsidRDefault="00A55CC9" w:rsidP="00A55CC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 Forslaget indebærer, at henvisningen til definitionerne af hvidvask og finansiering af terrorisme tilpasses den fremtidige EU-retlige regulering på hvidvaskområdet.</w:t>
      </w:r>
    </w:p>
    <w:p w14:paraId="0EE56081" w14:textId="77777777" w:rsidR="00A55CC9" w:rsidRPr="00A55CC9" w:rsidRDefault="00A55CC9" w:rsidP="00A55CC9">
      <w:pPr>
        <w:rPr>
          <w:lang w:eastAsia="da-DK"/>
        </w:rPr>
      </w:pPr>
    </w:p>
    <w:p w14:paraId="1E89D4FD" w14:textId="69BDA2F9" w:rsidR="009030B4" w:rsidRDefault="009030B4" w:rsidP="009030B4">
      <w:pPr>
        <w:pStyle w:val="Undertitel"/>
      </w:pPr>
      <w:bookmarkStart w:id="2273" w:name="_Toc244879441"/>
      <w:bookmarkStart w:id="2274" w:name="_Toc244880966"/>
      <w:r w:rsidRPr="00796736">
        <w:t>Til</w:t>
      </w:r>
      <w:r>
        <w:t xml:space="preserve"> </w:t>
      </w:r>
      <w:r>
        <w:fldChar w:fldCharType="begin"/>
      </w:r>
      <w:r>
        <w:instrText xml:space="preserve"> REF _Ref244871072 \r \h </w:instrText>
      </w:r>
      <w:r>
        <w:fldChar w:fldCharType="separate"/>
      </w:r>
      <w:r>
        <w:t>§ 145</w:t>
      </w:r>
      <w:bookmarkEnd w:id="2273"/>
      <w:bookmarkEnd w:id="2274"/>
      <w:r>
        <w:fldChar w:fldCharType="end"/>
      </w:r>
    </w:p>
    <w:p w14:paraId="1020C1B7" w14:textId="725B6ABF" w:rsidR="001F33A9" w:rsidRPr="001F33A9" w:rsidRDefault="001F33A9" w:rsidP="001F33A9">
      <w:pPr>
        <w:spacing w:line="360" w:lineRule="auto"/>
        <w:rPr>
          <w:rFonts w:ascii="Times New Roman" w:hAnsi="Times New Roman" w:cs="Times New Roman"/>
          <w:i/>
          <w:iCs/>
          <w:sz w:val="24"/>
          <w:szCs w:val="24"/>
        </w:rPr>
      </w:pPr>
      <w:r w:rsidRPr="001F33A9">
        <w:rPr>
          <w:rFonts w:ascii="Times New Roman" w:hAnsi="Times New Roman" w:cs="Times New Roman"/>
          <w:i/>
          <w:iCs/>
          <w:sz w:val="24"/>
          <w:szCs w:val="24"/>
        </w:rPr>
        <w:t>Til nr. 1 (1. pkt. til fodnote i lov om fondsmæglerselskaber og investeringsservice og -aktiviteter)</w:t>
      </w:r>
    </w:p>
    <w:p w14:paraId="5C4EAC79"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hvilke EU-retsakter loven helt eller delvist gennemfører.</w:t>
      </w:r>
    </w:p>
    <w:p w14:paraId="0112EFFE" w14:textId="77777777" w:rsidR="001F33A9" w:rsidRPr="003D5D3B" w:rsidRDefault="001F33A9" w:rsidP="001F33A9">
      <w:pPr>
        <w:spacing w:line="360" w:lineRule="auto"/>
        <w:rPr>
          <w:rFonts w:ascii="Times New Roman" w:hAnsi="Times New Roman" w:cs="Times New Roman"/>
          <w:sz w:val="24"/>
          <w:szCs w:val="24"/>
        </w:rPr>
      </w:pPr>
    </w:p>
    <w:p w14:paraId="513B8548" w14:textId="77777777" w:rsidR="001F33A9" w:rsidRPr="003D5D3B"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loven bl.a. indeholder bestemmelser, der gennemfører dele af Europa-Parlamentets og Rådets direktiv 2015/849/EU af 20. maj 2015 (4. hvidvaskdirektiv).</w:t>
      </w:r>
    </w:p>
    <w:p w14:paraId="73750780"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i fodnoten til lovens titel at lade henvisningen til dele af Europa-Parlamentets og Rådets direktiv 2015/849/EU udgå og at indsætte en henvisning til dele af Europa-Parlamentets og Rådets direktiv (EU) 2024/1640 af 31. maj 2024 om de mekanismer, som medlemsstaterne skal indføre for at forebygge anvendelse af det finansielle system til hvidvask af penge eller finansiering af terrorisme (6. hvidvaskdirektiv).</w:t>
      </w:r>
    </w:p>
    <w:p w14:paraId="289538A8" w14:textId="77777777" w:rsidR="001F33A9" w:rsidRPr="003D5D3B" w:rsidRDefault="001F33A9" w:rsidP="001F33A9">
      <w:pPr>
        <w:spacing w:line="360" w:lineRule="auto"/>
        <w:rPr>
          <w:rFonts w:ascii="Times New Roman" w:hAnsi="Times New Roman" w:cs="Times New Roman"/>
          <w:sz w:val="24"/>
          <w:szCs w:val="24"/>
        </w:rPr>
      </w:pPr>
    </w:p>
    <w:p w14:paraId="6BADAC5D"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ophævelsen af Europa-Parlamentets og Rådets direktiv 2015/849/EU. Forslaget indebærer, at fodnoten til lovens titel opdateres, så den afspejler den fremtidige EU-retlige regulering på hvidvaskområdet.</w:t>
      </w:r>
    </w:p>
    <w:p w14:paraId="6C3B247E" w14:textId="77777777" w:rsidR="001F33A9" w:rsidRPr="003D5D3B" w:rsidRDefault="001F33A9" w:rsidP="001F33A9">
      <w:pPr>
        <w:spacing w:line="360" w:lineRule="auto"/>
        <w:rPr>
          <w:rFonts w:ascii="Times New Roman" w:hAnsi="Times New Roman" w:cs="Times New Roman"/>
          <w:sz w:val="24"/>
          <w:szCs w:val="24"/>
        </w:rPr>
      </w:pPr>
    </w:p>
    <w:p w14:paraId="00BA5729" w14:textId="77777777" w:rsidR="001F33A9" w:rsidRPr="001F33A9" w:rsidRDefault="001F33A9" w:rsidP="001F33A9">
      <w:pPr>
        <w:spacing w:line="360" w:lineRule="auto"/>
        <w:rPr>
          <w:rFonts w:ascii="Times New Roman" w:hAnsi="Times New Roman" w:cs="Times New Roman"/>
          <w:i/>
          <w:iCs/>
          <w:sz w:val="24"/>
          <w:szCs w:val="24"/>
        </w:rPr>
      </w:pPr>
      <w:r w:rsidRPr="001F33A9">
        <w:rPr>
          <w:rFonts w:ascii="Times New Roman" w:hAnsi="Times New Roman" w:cs="Times New Roman"/>
          <w:i/>
          <w:iCs/>
          <w:sz w:val="24"/>
          <w:szCs w:val="24"/>
        </w:rPr>
        <w:t>Til nr. 2 (2. pkt. til fodnote i lov om fondsmæglerselskaber og investeringsservice og -aktiviteter)</w:t>
      </w:r>
    </w:p>
    <w:p w14:paraId="07AE7E9D"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bl.a., hvilke EU-forordninger der er medtaget bestemmelser fra i loven.</w:t>
      </w:r>
    </w:p>
    <w:p w14:paraId="2E44EB31" w14:textId="77777777" w:rsidR="001F33A9" w:rsidRPr="003D5D3B" w:rsidRDefault="001F33A9" w:rsidP="001F33A9">
      <w:pPr>
        <w:spacing w:line="360" w:lineRule="auto"/>
        <w:rPr>
          <w:rFonts w:ascii="Times New Roman" w:hAnsi="Times New Roman" w:cs="Times New Roman"/>
          <w:sz w:val="24"/>
          <w:szCs w:val="24"/>
        </w:rPr>
      </w:pPr>
    </w:p>
    <w:p w14:paraId="4C3C01C9"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der i loven bl.a. er medtaget bestemmelser fra Europa-Parlamentets og Rådets forordning 600/2014/EU af 15. maj 2014 (MiFIR).</w:t>
      </w:r>
    </w:p>
    <w:p w14:paraId="7BEF4EA7" w14:textId="77777777" w:rsidR="001F33A9" w:rsidRPr="003D5D3B" w:rsidRDefault="001F33A9" w:rsidP="001F33A9">
      <w:pPr>
        <w:spacing w:line="360" w:lineRule="auto"/>
        <w:rPr>
          <w:rFonts w:ascii="Times New Roman" w:hAnsi="Times New Roman" w:cs="Times New Roman"/>
          <w:sz w:val="24"/>
          <w:szCs w:val="24"/>
        </w:rPr>
      </w:pPr>
    </w:p>
    <w:p w14:paraId="351D5C91"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xml:space="preserve"> i fodnoten til lovens titel at indsætte en henvisning til Europa-Parlamentets og Rådets forordning (EU) 2024/1624 af 31. maj 2024 om forebyggende foranstaltninger mod anvendelse af det finansielle system til hvidvask af penge eller finansiering af terrorisme.</w:t>
      </w:r>
    </w:p>
    <w:p w14:paraId="478B2925" w14:textId="77777777" w:rsidR="001F33A9" w:rsidRPr="003D5D3B" w:rsidRDefault="001F33A9" w:rsidP="001F33A9">
      <w:pPr>
        <w:spacing w:line="360" w:lineRule="auto"/>
        <w:rPr>
          <w:rFonts w:ascii="Times New Roman" w:hAnsi="Times New Roman" w:cs="Times New Roman"/>
          <w:sz w:val="24"/>
          <w:szCs w:val="24"/>
        </w:rPr>
      </w:pPr>
    </w:p>
    <w:p w14:paraId="4274EF0F"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ikrafttrædelsen af Europa-Parlamentets og Rådets forordning (EU) 2024/1624, der finder anvendelse fra den 10. juli 2027. Forslaget indebærer, at fodnoten til lovens titel opdateres med en henvisning til forordningen.</w:t>
      </w:r>
    </w:p>
    <w:p w14:paraId="2C04A110" w14:textId="77777777" w:rsidR="001F33A9" w:rsidRPr="003D5D3B" w:rsidRDefault="001F33A9" w:rsidP="001F33A9">
      <w:pPr>
        <w:spacing w:line="360" w:lineRule="auto"/>
        <w:rPr>
          <w:rFonts w:ascii="Times New Roman" w:hAnsi="Times New Roman" w:cs="Times New Roman"/>
          <w:sz w:val="24"/>
          <w:szCs w:val="24"/>
        </w:rPr>
      </w:pPr>
    </w:p>
    <w:p w14:paraId="1B03D7C3" w14:textId="77777777" w:rsidR="001F33A9" w:rsidRPr="001F33A9" w:rsidRDefault="001F33A9" w:rsidP="001F33A9">
      <w:pPr>
        <w:spacing w:line="360" w:lineRule="auto"/>
        <w:rPr>
          <w:rFonts w:ascii="Times New Roman" w:hAnsi="Times New Roman" w:cs="Times New Roman"/>
          <w:i/>
          <w:iCs/>
          <w:sz w:val="24"/>
          <w:szCs w:val="24"/>
        </w:rPr>
      </w:pPr>
      <w:r w:rsidRPr="001F33A9">
        <w:rPr>
          <w:rFonts w:ascii="Times New Roman" w:hAnsi="Times New Roman" w:cs="Times New Roman"/>
          <w:i/>
          <w:iCs/>
          <w:sz w:val="24"/>
          <w:szCs w:val="24"/>
        </w:rPr>
        <w:t>Til nr. 3 (§ 60, stk. 1, nr. 5, i lov om fondsmæglerselskaber og investeringsservice og -aktiviteter)</w:t>
      </w:r>
    </w:p>
    <w:p w14:paraId="7D7907FD"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 60 i lov om fondsmæglerselskaber og investeringsservice og -aktiviteter regulerer de kriterier, som Finanstilsynet skal lægge vægt på ved vurderingen af en ansøgning om erhvervelse eller forøgelse af en kvalificeret andel i et fondsmæglerselskab eller en fondsmæglerholdingvirksomhed.</w:t>
      </w:r>
    </w:p>
    <w:p w14:paraId="4AA919F0" w14:textId="77777777" w:rsidR="001F33A9" w:rsidRPr="003D5D3B" w:rsidRDefault="001F33A9" w:rsidP="001F33A9">
      <w:pPr>
        <w:spacing w:line="360" w:lineRule="auto"/>
        <w:rPr>
          <w:rFonts w:ascii="Times New Roman" w:hAnsi="Times New Roman" w:cs="Times New Roman"/>
          <w:sz w:val="24"/>
          <w:szCs w:val="24"/>
        </w:rPr>
      </w:pPr>
    </w:p>
    <w:p w14:paraId="27345EEF"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60, stk. 1, nr. 5, skal Finanstilsynet ved vurderingen bl.a. lægge vægt på, om der i forbindelse med den påtænkte erhvervelse er grund til at formode, at der vil ske hvidvask af penge eller finansiering af terrorisme.</w:t>
      </w:r>
    </w:p>
    <w:p w14:paraId="579F1100" w14:textId="77777777" w:rsidR="001F33A9" w:rsidRPr="003D5D3B" w:rsidRDefault="001F33A9" w:rsidP="001F33A9">
      <w:pPr>
        <w:spacing w:line="360" w:lineRule="auto"/>
        <w:rPr>
          <w:rFonts w:ascii="Times New Roman" w:hAnsi="Times New Roman" w:cs="Times New Roman"/>
          <w:sz w:val="24"/>
          <w:szCs w:val="24"/>
        </w:rPr>
      </w:pPr>
    </w:p>
    <w:p w14:paraId="1F2AD191"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60, stk. 1, nr. 5</w:t>
      </w:r>
      <w:r w:rsidRPr="003D5D3B">
        <w:rPr>
          <w:rFonts w:ascii="Times New Roman" w:hAnsi="Times New Roman" w:cs="Times New Roman"/>
          <w:sz w:val="24"/>
          <w:szCs w:val="24"/>
        </w:rPr>
        <w:t>, at ændre henvisningen til §§ 3 og 4 i hvidvaskloven til artikel 2, nr. 1 og 2, i Europa-Parlamentets og Rådets forordning (EU) 2024/1624 af 31. maj 2024 om forebyggende foranstaltninger mod anvendelse af det finansielle system til hvidvask af penge eller finansiering af terrorisme.</w:t>
      </w:r>
    </w:p>
    <w:p w14:paraId="41489A3C" w14:textId="77777777" w:rsidR="001F33A9" w:rsidRPr="003D5D3B" w:rsidRDefault="001F33A9" w:rsidP="001F33A9">
      <w:pPr>
        <w:spacing w:line="360" w:lineRule="auto"/>
        <w:rPr>
          <w:rFonts w:ascii="Times New Roman" w:hAnsi="Times New Roman" w:cs="Times New Roman"/>
          <w:sz w:val="24"/>
          <w:szCs w:val="24"/>
        </w:rPr>
      </w:pPr>
    </w:p>
    <w:p w14:paraId="48B659E1"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 Forslaget indebærer, at henvisningen til definitionerne af hvidvask og finansiering af terrorisme tilpasses den fremtidige EU-retlige regulering på hvidvaskområdet.</w:t>
      </w:r>
    </w:p>
    <w:p w14:paraId="71DC61F2" w14:textId="77777777" w:rsidR="001F33A9" w:rsidRPr="003D5D3B" w:rsidRDefault="001F33A9" w:rsidP="001F33A9">
      <w:pPr>
        <w:spacing w:line="360" w:lineRule="auto"/>
        <w:rPr>
          <w:rFonts w:ascii="Times New Roman" w:hAnsi="Times New Roman" w:cs="Times New Roman"/>
          <w:sz w:val="24"/>
          <w:szCs w:val="24"/>
        </w:rPr>
      </w:pPr>
    </w:p>
    <w:p w14:paraId="16A2DB0B" w14:textId="77777777" w:rsidR="001F33A9" w:rsidRPr="001F33A9" w:rsidRDefault="001F33A9" w:rsidP="001F33A9">
      <w:pPr>
        <w:spacing w:line="360" w:lineRule="auto"/>
        <w:rPr>
          <w:rFonts w:ascii="Times New Roman" w:hAnsi="Times New Roman" w:cs="Times New Roman"/>
          <w:i/>
          <w:iCs/>
          <w:sz w:val="24"/>
          <w:szCs w:val="24"/>
        </w:rPr>
      </w:pPr>
      <w:r w:rsidRPr="001F33A9">
        <w:rPr>
          <w:rFonts w:ascii="Times New Roman" w:hAnsi="Times New Roman" w:cs="Times New Roman"/>
          <w:i/>
          <w:iCs/>
          <w:sz w:val="24"/>
          <w:szCs w:val="24"/>
        </w:rPr>
        <w:t>Til nr. 4 (§ 164, stk. 1, nr. 1, litra e, i lov om fondsmæglerselskaber og investeringsservice og -aktiviteter)</w:t>
      </w:r>
    </w:p>
    <w:p w14:paraId="00B9E15C"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 164 i lov om fondsmæglerselskaber og investeringsservice og -aktiviteter regulerer Finanstilsynets adgang til at inddrage et fondsmæglerselskabs tilladelse som fondsmæglerselskab.</w:t>
      </w:r>
    </w:p>
    <w:p w14:paraId="411F36D3" w14:textId="77777777" w:rsidR="001F33A9" w:rsidRPr="003D5D3B" w:rsidRDefault="001F33A9" w:rsidP="001F33A9">
      <w:pPr>
        <w:spacing w:line="360" w:lineRule="auto"/>
        <w:rPr>
          <w:rFonts w:ascii="Times New Roman" w:hAnsi="Times New Roman" w:cs="Times New Roman"/>
          <w:sz w:val="24"/>
          <w:szCs w:val="24"/>
        </w:rPr>
      </w:pPr>
    </w:p>
    <w:p w14:paraId="760727E9"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164, stk. 1, nr. 1, kan Finanstilsynet inddrage et fondsmæglerselskabs tilladelse, hvis fondsmæglerselskabet gør sig skyldig i grove eller gentagne overtrædelser af de regler, der er nævnt i bestemmelsen.</w:t>
      </w:r>
    </w:p>
    <w:p w14:paraId="0BEF4082" w14:textId="77777777" w:rsidR="001F33A9" w:rsidRPr="003D5D3B" w:rsidRDefault="001F33A9" w:rsidP="001F33A9">
      <w:pPr>
        <w:spacing w:line="360" w:lineRule="auto"/>
        <w:rPr>
          <w:rFonts w:ascii="Times New Roman" w:hAnsi="Times New Roman" w:cs="Times New Roman"/>
          <w:sz w:val="24"/>
          <w:szCs w:val="24"/>
        </w:rPr>
      </w:pPr>
    </w:p>
    <w:p w14:paraId="0B931D45" w14:textId="77777777" w:rsidR="001F33A9"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164, stk. 1, nr. 1, litra e</w:t>
      </w:r>
      <w:r w:rsidRPr="003D5D3B">
        <w:rPr>
          <w:rFonts w:ascii="Times New Roman" w:hAnsi="Times New Roman" w:cs="Times New Roman"/>
          <w:sz w:val="24"/>
          <w:szCs w:val="24"/>
        </w:rPr>
        <w:t>, at bestemmelsen affattes således, at den omfatter grove eller gentagne overtrædelser af Europa-Parlamentets og Rådets forordning (EU) 2024/1624 af 31. maj 2024 om forebyggende foranstaltninger mod anvendelse af det finansielle system til hvidvask af penge eller finansiering af terrorisme, Europa-Parlamentets og Rådets direktiv (EU) 2024/1640 af 31. maj 2024 om de mekanismer, som medlemsstaterne skal indføre for at forebygge anvendelse af det finansielle system til hvidvask af penge eller finansiering af terrorisme, eller regler udstedt i medfør heraf.</w:t>
      </w:r>
    </w:p>
    <w:p w14:paraId="7D4A269F" w14:textId="77777777" w:rsidR="001F33A9" w:rsidRPr="003D5D3B" w:rsidRDefault="001F33A9" w:rsidP="001F33A9">
      <w:pPr>
        <w:spacing w:line="360" w:lineRule="auto"/>
        <w:rPr>
          <w:rFonts w:ascii="Times New Roman" w:hAnsi="Times New Roman" w:cs="Times New Roman"/>
          <w:sz w:val="24"/>
          <w:szCs w:val="24"/>
        </w:rPr>
      </w:pPr>
    </w:p>
    <w:p w14:paraId="25D6963E" w14:textId="77777777" w:rsidR="001F33A9" w:rsidRPr="003D5D3B" w:rsidRDefault="001F33A9" w:rsidP="001F33A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 Forslaget indebærer, at Finanstilsynets adgang til at inddrage et fondsmæglerselskabs tilladelse ved grove eller gentagne overtrædelser tilpasses den fremtidige EU-retlige regulering på hvidvaskområdet.</w:t>
      </w:r>
    </w:p>
    <w:p w14:paraId="38FFA22D" w14:textId="77777777" w:rsidR="00A55CC9" w:rsidRPr="00A55CC9" w:rsidRDefault="00A55CC9" w:rsidP="00A55CC9">
      <w:pPr>
        <w:rPr>
          <w:lang w:eastAsia="da-DK"/>
        </w:rPr>
      </w:pPr>
    </w:p>
    <w:p w14:paraId="178C4E9F" w14:textId="57B1B3BD" w:rsidR="009030B4" w:rsidRDefault="009030B4" w:rsidP="009030B4">
      <w:pPr>
        <w:pStyle w:val="Undertitel"/>
      </w:pPr>
      <w:bookmarkStart w:id="2275" w:name="_Toc244879442"/>
      <w:bookmarkStart w:id="2276" w:name="_Toc244880967"/>
      <w:r w:rsidRPr="00796736">
        <w:t>Til</w:t>
      </w:r>
      <w:r>
        <w:t xml:space="preserve"> </w:t>
      </w:r>
      <w:r>
        <w:fldChar w:fldCharType="begin"/>
      </w:r>
      <w:r>
        <w:instrText xml:space="preserve"> REF _Ref244871179 \r \h </w:instrText>
      </w:r>
      <w:r>
        <w:fldChar w:fldCharType="separate"/>
      </w:r>
      <w:r>
        <w:t>§ 146</w:t>
      </w:r>
      <w:bookmarkEnd w:id="2275"/>
      <w:bookmarkEnd w:id="2276"/>
      <w:r>
        <w:fldChar w:fldCharType="end"/>
      </w:r>
    </w:p>
    <w:p w14:paraId="48A32F41"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 (§ 10, stk. 1, nr. 4, i lov om betalinger)</w:t>
      </w:r>
    </w:p>
    <w:p w14:paraId="37589E2A"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10 i lov om betalinger regulerer betingelserne for, at Finanstilsynet kan give tilladelse som e-pengeinstitut eller betalingsinstitut.</w:t>
      </w:r>
    </w:p>
    <w:p w14:paraId="5DB88B05"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10, stk. 1, nr. 4, er det bl.a. en betingelse for tilladelse, at medlemmerne af virksomhedens bestyrelse og direktion, den ansvarlige for hvidvaskforebyggelse og medlemmer af den faktiske ledelse, der er ansvarlige for compliance eller hvidvaskforebyggelse, opfylder kravene til egnethed og hæderlighed.</w:t>
      </w:r>
    </w:p>
    <w:p w14:paraId="44872E71" w14:textId="77777777" w:rsidR="00B54AC2" w:rsidRPr="003D5D3B" w:rsidRDefault="00B54AC2" w:rsidP="00B54AC2">
      <w:pPr>
        <w:spacing w:line="360" w:lineRule="auto"/>
        <w:rPr>
          <w:rFonts w:ascii="Times New Roman" w:hAnsi="Times New Roman" w:cs="Times New Roman"/>
          <w:sz w:val="24"/>
          <w:szCs w:val="24"/>
        </w:rPr>
      </w:pPr>
    </w:p>
    <w:p w14:paraId="0BBA2FE3"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10, stk. 1, nr. 4</w:t>
      </w:r>
      <w:r w:rsidRPr="003D5D3B">
        <w:rPr>
          <w:rFonts w:ascii="Times New Roman" w:hAnsi="Times New Roman" w:cs="Times New Roman"/>
          <w:sz w:val="24"/>
          <w:szCs w:val="24"/>
        </w:rPr>
        <w:t>, at ændre henvisningen til hvidvasklovens § 7, stk. 2, til artikel 11, stk. 2, i Europa-Parlamentets og Rådets forordning (EU) 2024/1624 af 31. maj 2024 om forebyggende foranstaltninger mod anvendelse af det finansielle system til hvidvask af penge eller finansiering af terrorisme.</w:t>
      </w:r>
    </w:p>
    <w:p w14:paraId="4C3D1459" w14:textId="77777777" w:rsidR="00B54AC2" w:rsidRPr="003D5D3B" w:rsidRDefault="00B54AC2" w:rsidP="00B54AC2">
      <w:pPr>
        <w:spacing w:line="360" w:lineRule="auto"/>
        <w:rPr>
          <w:rFonts w:ascii="Times New Roman" w:hAnsi="Times New Roman" w:cs="Times New Roman"/>
          <w:sz w:val="24"/>
          <w:szCs w:val="24"/>
        </w:rPr>
      </w:pPr>
    </w:p>
    <w:p w14:paraId="00CBCE9E"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355B9A13" w14:textId="77777777" w:rsidR="00B54AC2" w:rsidRPr="00B54AC2" w:rsidRDefault="00B54AC2" w:rsidP="00B54AC2">
      <w:pPr>
        <w:spacing w:line="360" w:lineRule="auto"/>
        <w:rPr>
          <w:rFonts w:ascii="Times New Roman" w:hAnsi="Times New Roman" w:cs="Times New Roman"/>
          <w:i/>
          <w:iCs/>
          <w:sz w:val="24"/>
          <w:szCs w:val="24"/>
        </w:rPr>
      </w:pPr>
    </w:p>
    <w:p w14:paraId="25C22AE3"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2 (§ 10, stk. 1, nr. 8, i lov om betalinger)</w:t>
      </w:r>
    </w:p>
    <w:p w14:paraId="24F415BE"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10, stk. 1, nr. 8, er det en betingelse for tilladelse som e-pengeinstitut eller betalingsinstitut, at virksomheden har tilstrækkelige procedurer, der sikrer, at den kan leve op til sine forpligtelser i henhold til hvidvaskloven.</w:t>
      </w:r>
    </w:p>
    <w:p w14:paraId="42F2DFBF"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10, stk. 1, nr. 8</w:t>
      </w:r>
      <w:r w:rsidRPr="003D5D3B">
        <w:rPr>
          <w:rFonts w:ascii="Times New Roman" w:hAnsi="Times New Roman" w:cs="Times New Roman"/>
          <w:sz w:val="24"/>
          <w:szCs w:val="24"/>
        </w:rPr>
        <w:t>, at ændre henvisningen til hvidvaskloven til Europa-Parlamentets og Rådets forordning (EU) 2024/1624 af 31. maj 2024 om forebyggende foranstaltninger mod anvendelse af det finansielle system til hvidvask af penge eller finansiering af terrorisme.</w:t>
      </w:r>
    </w:p>
    <w:p w14:paraId="2BE1CCFF" w14:textId="77777777" w:rsidR="00B54AC2" w:rsidRPr="003D5D3B" w:rsidRDefault="00B54AC2" w:rsidP="00B54AC2">
      <w:pPr>
        <w:spacing w:line="360" w:lineRule="auto"/>
        <w:rPr>
          <w:rFonts w:ascii="Times New Roman" w:hAnsi="Times New Roman" w:cs="Times New Roman"/>
          <w:sz w:val="24"/>
          <w:szCs w:val="24"/>
        </w:rPr>
      </w:pPr>
    </w:p>
    <w:p w14:paraId="7A7E69AE"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69C0BAB8" w14:textId="77777777" w:rsidR="00B54AC2" w:rsidRPr="003D5D3B" w:rsidRDefault="00B54AC2" w:rsidP="00B54AC2">
      <w:pPr>
        <w:spacing w:line="360" w:lineRule="auto"/>
        <w:rPr>
          <w:rFonts w:ascii="Times New Roman" w:hAnsi="Times New Roman" w:cs="Times New Roman"/>
          <w:sz w:val="24"/>
          <w:szCs w:val="24"/>
        </w:rPr>
      </w:pPr>
    </w:p>
    <w:p w14:paraId="5EA91EB6"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3 (§ 11, stk. 1, nr. 8, i lov om betalinger)</w:t>
      </w:r>
    </w:p>
    <w:p w14:paraId="190C188B"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11 i lov om betalinger regulerer, hvilke oplysninger en ansøgning om tilladelse som e-pengeinstitut eller betalingsinstitut skal indeholde.</w:t>
      </w:r>
    </w:p>
    <w:p w14:paraId="22028086" w14:textId="77777777" w:rsidR="00B54AC2" w:rsidRPr="003D5D3B" w:rsidRDefault="00B54AC2" w:rsidP="00B54AC2">
      <w:pPr>
        <w:spacing w:line="360" w:lineRule="auto"/>
        <w:rPr>
          <w:rFonts w:ascii="Times New Roman" w:hAnsi="Times New Roman" w:cs="Times New Roman"/>
          <w:sz w:val="24"/>
          <w:szCs w:val="24"/>
        </w:rPr>
      </w:pPr>
    </w:p>
    <w:p w14:paraId="0016399B"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11, stk. 1, nr. 8, skal ansøgningen bl.a. indeholde oplysninger til brug for vurderingen af, om medlemmer af bestyrelsen og direktionen, den ansvarlige for hvidvaskforebyggelse og medlemmer af den faktiske ledelse, der er ansvarlige for compliance eller hvidvaskforebyggelse, opfylder kravene om egnethed og hæderlighed.</w:t>
      </w:r>
    </w:p>
    <w:p w14:paraId="135C7066" w14:textId="77777777" w:rsidR="00B54AC2" w:rsidRPr="003D5D3B" w:rsidRDefault="00B54AC2" w:rsidP="00B54AC2">
      <w:pPr>
        <w:spacing w:line="360" w:lineRule="auto"/>
        <w:rPr>
          <w:rFonts w:ascii="Times New Roman" w:hAnsi="Times New Roman" w:cs="Times New Roman"/>
          <w:sz w:val="24"/>
          <w:szCs w:val="24"/>
        </w:rPr>
      </w:pPr>
    </w:p>
    <w:p w14:paraId="6FACB01E"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11, stk. 1, nr. 8</w:t>
      </w:r>
      <w:r w:rsidRPr="003D5D3B">
        <w:rPr>
          <w:rFonts w:ascii="Times New Roman" w:hAnsi="Times New Roman" w:cs="Times New Roman"/>
          <w:sz w:val="24"/>
          <w:szCs w:val="24"/>
        </w:rPr>
        <w:t>, at ændre henvisningen til hvidvasklovens § 7, stk. 2, til artikel 11, stk. 2, i Europa-Parlamentets og Rådets forordning (EU) 2024/1624 af 31. maj 2024 om forebyggende foranstaltninger mod anvendelse af det finansielle system til hvidvask af penge eller finansiering af terrorisme.</w:t>
      </w:r>
    </w:p>
    <w:p w14:paraId="4EED73AC"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61F3A340" w14:textId="77777777" w:rsidR="00B54AC2" w:rsidRPr="003D5D3B" w:rsidRDefault="00B54AC2" w:rsidP="00B54AC2">
      <w:pPr>
        <w:spacing w:line="360" w:lineRule="auto"/>
        <w:rPr>
          <w:rFonts w:ascii="Times New Roman" w:hAnsi="Times New Roman" w:cs="Times New Roman"/>
          <w:sz w:val="24"/>
          <w:szCs w:val="24"/>
        </w:rPr>
      </w:pPr>
    </w:p>
    <w:p w14:paraId="067B7005"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4 (§ 11, stk. 1, nr. 13, i lov om betalinger)</w:t>
      </w:r>
    </w:p>
    <w:p w14:paraId="48851DD2"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11, stk. 1, nr. 13, skal en ansøgning om tilladelse bl.a. indeholde oplysninger om de interne kontrolforanstaltninger, som virksomheden har indført for at opfylde forpligtelserne i henhold til hvidvaskloven og Europa-Parlamentets og Rådets forordning nr. 2015/847/EU af 25. maj 2015 om oplysninger, der skal medsendes ved pengeoverførsler.</w:t>
      </w:r>
    </w:p>
    <w:p w14:paraId="2EFDA53B" w14:textId="77777777" w:rsidR="00B54AC2" w:rsidRPr="003D5D3B" w:rsidRDefault="00B54AC2" w:rsidP="00B54AC2">
      <w:pPr>
        <w:spacing w:line="360" w:lineRule="auto"/>
        <w:rPr>
          <w:rFonts w:ascii="Times New Roman" w:hAnsi="Times New Roman" w:cs="Times New Roman"/>
          <w:sz w:val="24"/>
          <w:szCs w:val="24"/>
        </w:rPr>
      </w:pPr>
    </w:p>
    <w:p w14:paraId="35D5EF5C"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11, stk. 1, nr. 13</w:t>
      </w:r>
      <w:r w:rsidRPr="003D5D3B">
        <w:rPr>
          <w:rFonts w:ascii="Times New Roman" w:hAnsi="Times New Roman" w:cs="Times New Roman"/>
          <w:sz w:val="24"/>
          <w:szCs w:val="24"/>
        </w:rPr>
        <w:t>, at ændre henvisningen til hvidvaskloven til Europa-Parlamentets og Rådets forordning (EU) 2024/1624 af 31. maj 2024 om forebyggende foranstaltninger mod anvendelse af det finansielle system til hvidvask af penge eller finansiering af terrorisme.</w:t>
      </w:r>
    </w:p>
    <w:p w14:paraId="6BD778E0" w14:textId="77777777" w:rsidR="00B54AC2" w:rsidRPr="003D5D3B" w:rsidRDefault="00B54AC2" w:rsidP="00B54AC2">
      <w:pPr>
        <w:spacing w:line="360" w:lineRule="auto"/>
        <w:rPr>
          <w:rFonts w:ascii="Times New Roman" w:hAnsi="Times New Roman" w:cs="Times New Roman"/>
          <w:sz w:val="24"/>
          <w:szCs w:val="24"/>
        </w:rPr>
      </w:pPr>
    </w:p>
    <w:p w14:paraId="6B4C6FBD"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2CE2DE4E" w14:textId="77777777" w:rsidR="00B54AC2" w:rsidRPr="003D5D3B" w:rsidRDefault="00B54AC2" w:rsidP="00B54AC2">
      <w:pPr>
        <w:spacing w:line="360" w:lineRule="auto"/>
        <w:rPr>
          <w:rFonts w:ascii="Times New Roman" w:hAnsi="Times New Roman" w:cs="Times New Roman"/>
          <w:sz w:val="24"/>
          <w:szCs w:val="24"/>
        </w:rPr>
      </w:pPr>
    </w:p>
    <w:p w14:paraId="6E67A543"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5 (§ 23, stk. 1, nr. 5, i lov om betalinger)</w:t>
      </w:r>
    </w:p>
    <w:p w14:paraId="193BE212"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23 i lov om betalinger regulerer de kriterier, som Finanstilsynet skal lægge vægt på ved vurderingen af en ansøgning om erhvervelse eller forøgelse af en kvalificeret andel i et e-pengeinstitut eller betalingsinstitut.</w:t>
      </w:r>
    </w:p>
    <w:p w14:paraId="75941F1C" w14:textId="77777777" w:rsidR="00B54AC2" w:rsidRPr="003D5D3B" w:rsidRDefault="00B54AC2" w:rsidP="00B54AC2">
      <w:pPr>
        <w:spacing w:line="360" w:lineRule="auto"/>
        <w:rPr>
          <w:rFonts w:ascii="Times New Roman" w:hAnsi="Times New Roman" w:cs="Times New Roman"/>
          <w:sz w:val="24"/>
          <w:szCs w:val="24"/>
        </w:rPr>
      </w:pPr>
    </w:p>
    <w:p w14:paraId="295C8137"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23, stk. 1, nr. 5, skal Finanstilsynet ved vurderingen bl.a. lægge vægt på, om der i forbindelse med den påtænkte erhvervelse er grund til at formode, at hvidvask af penge eller finansiering af terrorisme vil ske.</w:t>
      </w:r>
    </w:p>
    <w:p w14:paraId="4C5185E6" w14:textId="77777777" w:rsidR="00B54AC2" w:rsidRPr="003D5D3B" w:rsidRDefault="00B54AC2" w:rsidP="00B54AC2">
      <w:pPr>
        <w:spacing w:line="360" w:lineRule="auto"/>
        <w:rPr>
          <w:rFonts w:ascii="Times New Roman" w:hAnsi="Times New Roman" w:cs="Times New Roman"/>
          <w:sz w:val="24"/>
          <w:szCs w:val="24"/>
        </w:rPr>
      </w:pPr>
    </w:p>
    <w:p w14:paraId="5CD5E90E"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23, stk. 1, nr. 5</w:t>
      </w:r>
      <w:r w:rsidRPr="003D5D3B">
        <w:rPr>
          <w:rFonts w:ascii="Times New Roman" w:hAnsi="Times New Roman" w:cs="Times New Roman"/>
          <w:sz w:val="24"/>
          <w:szCs w:val="24"/>
        </w:rPr>
        <w:t>, at ændre henvisningen til §§ 3 og 4 i hvidvaskloven til artikel 2, nr. 1 og 2, i Europa-Parlamentets og Rådets forordning (EU) 2024/1624 af 31. maj 2024 om forebyggende foranstaltninger mod anvendelse af det finansielle system til hvidvask af penge eller finansiering af terrorisme.</w:t>
      </w:r>
    </w:p>
    <w:p w14:paraId="57766F02" w14:textId="77777777" w:rsidR="00B54AC2" w:rsidRPr="003D5D3B" w:rsidRDefault="00B54AC2" w:rsidP="00B54AC2">
      <w:pPr>
        <w:spacing w:line="360" w:lineRule="auto"/>
        <w:rPr>
          <w:rFonts w:ascii="Times New Roman" w:hAnsi="Times New Roman" w:cs="Times New Roman"/>
          <w:sz w:val="24"/>
          <w:szCs w:val="24"/>
        </w:rPr>
      </w:pPr>
    </w:p>
    <w:p w14:paraId="155AA245"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 Forslaget indebærer, at henvisningen til definitionerne af hvidvask og finansiering af terrorisme tilpasses den fremtidige EU-retlige regulering på hvidvaskområdet.</w:t>
      </w:r>
    </w:p>
    <w:p w14:paraId="52859E6E" w14:textId="77777777" w:rsidR="00B54AC2" w:rsidRPr="003D5D3B" w:rsidRDefault="00B54AC2" w:rsidP="00B54AC2">
      <w:pPr>
        <w:spacing w:line="360" w:lineRule="auto"/>
        <w:rPr>
          <w:rFonts w:ascii="Times New Roman" w:hAnsi="Times New Roman" w:cs="Times New Roman"/>
          <w:sz w:val="24"/>
          <w:szCs w:val="24"/>
        </w:rPr>
      </w:pPr>
    </w:p>
    <w:p w14:paraId="510FDEEC"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6 Til nr. 5 (§ 30, stk. 6, i lov om betalinger)</w:t>
      </w:r>
    </w:p>
    <w:p w14:paraId="68E7E3DD"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30 i lov om betalinger regulerer kravene til egnethed og hæderlighed for medlemmer af bestyrelsen og direktionen i et e-pengeinstitut eller betalingsinstitut.</w:t>
      </w:r>
    </w:p>
    <w:p w14:paraId="21E97A2E" w14:textId="77777777" w:rsidR="00B54AC2" w:rsidRPr="003D5D3B" w:rsidRDefault="00B54AC2" w:rsidP="00B54AC2">
      <w:pPr>
        <w:spacing w:line="360" w:lineRule="auto"/>
        <w:rPr>
          <w:rFonts w:ascii="Times New Roman" w:hAnsi="Times New Roman" w:cs="Times New Roman"/>
          <w:sz w:val="24"/>
          <w:szCs w:val="24"/>
        </w:rPr>
      </w:pPr>
    </w:p>
    <w:p w14:paraId="231D9737"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30, stk. 6, finder kravene til egnethed og hæderlighed tilsvarende anvendelse for den ansvarlige for hvidvaskforebyggelse og medlemmer af den faktiske ledelse, der er ansvarlige for compliance eller hvidvaskforebyggelse.</w:t>
      </w:r>
    </w:p>
    <w:p w14:paraId="640A4CB9" w14:textId="77777777" w:rsidR="00B54AC2" w:rsidRPr="003D5D3B" w:rsidRDefault="00B54AC2" w:rsidP="00B54AC2">
      <w:pPr>
        <w:spacing w:line="360" w:lineRule="auto"/>
        <w:rPr>
          <w:rFonts w:ascii="Times New Roman" w:hAnsi="Times New Roman" w:cs="Times New Roman"/>
          <w:sz w:val="24"/>
          <w:szCs w:val="24"/>
        </w:rPr>
      </w:pPr>
    </w:p>
    <w:p w14:paraId="413ECB1C"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30, stk. 6</w:t>
      </w:r>
      <w:r w:rsidRPr="003D5D3B">
        <w:rPr>
          <w:rFonts w:ascii="Times New Roman" w:hAnsi="Times New Roman" w:cs="Times New Roman"/>
          <w:sz w:val="24"/>
          <w:szCs w:val="24"/>
        </w:rPr>
        <w:t>, at ændre henvisningen til hvidvasklovens § 7, stk. 2, til artikel 11, stk. 2, i Europa-Parlamentets og Rådets forordning (EU) 2024/1624 af 31. maj 2024 om forebyggende foranstaltninger mod anvendelse af det finansielle system til hvidvask af penge eller finansiering af terrorisme.</w:t>
      </w:r>
    </w:p>
    <w:p w14:paraId="59AFE6F1" w14:textId="77777777" w:rsidR="00B54AC2" w:rsidRPr="003D5D3B" w:rsidRDefault="00B54AC2" w:rsidP="00B54AC2">
      <w:pPr>
        <w:spacing w:line="360" w:lineRule="auto"/>
        <w:rPr>
          <w:rFonts w:ascii="Times New Roman" w:hAnsi="Times New Roman" w:cs="Times New Roman"/>
          <w:sz w:val="24"/>
          <w:szCs w:val="24"/>
        </w:rPr>
      </w:pPr>
    </w:p>
    <w:p w14:paraId="2102B881"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25F9F6A7" w14:textId="77777777" w:rsidR="00B54AC2" w:rsidRPr="003D5D3B" w:rsidRDefault="00B54AC2" w:rsidP="00B54AC2">
      <w:pPr>
        <w:spacing w:line="360" w:lineRule="auto"/>
        <w:rPr>
          <w:rFonts w:ascii="Times New Roman" w:hAnsi="Times New Roman" w:cs="Times New Roman"/>
          <w:sz w:val="24"/>
          <w:szCs w:val="24"/>
        </w:rPr>
      </w:pPr>
    </w:p>
    <w:p w14:paraId="006D03B6"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7 (§ 30, stk. 7, i lov om betalinger)</w:t>
      </w:r>
    </w:p>
    <w:p w14:paraId="7133FE3C"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30, stk. 7, kan erhvervsministeren fastsætte regler om kompetence- og erfaringskrav for den ansvarlige for hvidvaskforebyggelse og medlemmer af den faktiske ledelse, der er ansvarlige for compliance eller hvidvaskforebyggelse, i e-pengeinstitutter og betalingsinstitutter.</w:t>
      </w:r>
    </w:p>
    <w:p w14:paraId="79FAB5D0" w14:textId="77777777" w:rsidR="00B54AC2" w:rsidRPr="003D5D3B" w:rsidRDefault="00B54AC2" w:rsidP="00B54AC2">
      <w:pPr>
        <w:spacing w:line="360" w:lineRule="auto"/>
        <w:rPr>
          <w:rFonts w:ascii="Times New Roman" w:hAnsi="Times New Roman" w:cs="Times New Roman"/>
          <w:sz w:val="24"/>
          <w:szCs w:val="24"/>
        </w:rPr>
      </w:pPr>
    </w:p>
    <w:p w14:paraId="72AD2893"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30, stk. 7</w:t>
      </w:r>
      <w:r w:rsidRPr="003D5D3B">
        <w:rPr>
          <w:rFonts w:ascii="Times New Roman" w:hAnsi="Times New Roman" w:cs="Times New Roman"/>
          <w:sz w:val="24"/>
          <w:szCs w:val="24"/>
        </w:rPr>
        <w:t>, at ændre henvisningen til hvidvasklovens § 7, stk. 2, til artikel 11, stk. 2, i Europa-Parlamentets og Rådets forordning (EU) 2024/1624 af 31. maj 2024 om forebyggende foranstaltninger mod anvendelse af det finansielle system til hvidvask af penge eller finansiering af terrorisme.</w:t>
      </w:r>
    </w:p>
    <w:p w14:paraId="71057901" w14:textId="77777777" w:rsidR="00B54AC2" w:rsidRPr="003D5D3B" w:rsidRDefault="00B54AC2" w:rsidP="00B54AC2">
      <w:pPr>
        <w:spacing w:line="360" w:lineRule="auto"/>
        <w:rPr>
          <w:rFonts w:ascii="Times New Roman" w:hAnsi="Times New Roman" w:cs="Times New Roman"/>
          <w:sz w:val="24"/>
          <w:szCs w:val="24"/>
        </w:rPr>
      </w:pPr>
    </w:p>
    <w:p w14:paraId="77FA809E"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6EB8D7AB" w14:textId="77777777" w:rsidR="00B54AC2" w:rsidRPr="003D5D3B" w:rsidRDefault="00B54AC2" w:rsidP="00B54AC2">
      <w:pPr>
        <w:spacing w:line="360" w:lineRule="auto"/>
        <w:rPr>
          <w:rFonts w:ascii="Times New Roman" w:hAnsi="Times New Roman" w:cs="Times New Roman"/>
          <w:sz w:val="24"/>
          <w:szCs w:val="24"/>
        </w:rPr>
      </w:pPr>
    </w:p>
    <w:p w14:paraId="602518EB"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8 (§ 36, stk. 2, nr. 4, i lov om betalinger)</w:t>
      </w:r>
    </w:p>
    <w:p w14:paraId="0A39E264"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36 i lov om betalinger regulerer betalingsinstitutters anvendelse af agenter.</w:t>
      </w:r>
    </w:p>
    <w:p w14:paraId="69AEC2D5"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36, stk. 2, nr. 4, skal en meddelelse til Finanstilsynet om anvendelse af en agent bl.a. indeholde en beskrivelse af, hvordan agenten vil opfylde forpligtelserne i henhold til hvidvaskloven.</w:t>
      </w:r>
    </w:p>
    <w:p w14:paraId="7FF450F8" w14:textId="77777777" w:rsidR="00B54AC2" w:rsidRPr="003D5D3B" w:rsidRDefault="00B54AC2" w:rsidP="00B54AC2">
      <w:pPr>
        <w:spacing w:line="360" w:lineRule="auto"/>
        <w:rPr>
          <w:rFonts w:ascii="Times New Roman" w:hAnsi="Times New Roman" w:cs="Times New Roman"/>
          <w:sz w:val="24"/>
          <w:szCs w:val="24"/>
        </w:rPr>
      </w:pPr>
    </w:p>
    <w:p w14:paraId="70756188"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36, stk. 2, nr. 4</w:t>
      </w:r>
      <w:r w:rsidRPr="003D5D3B">
        <w:rPr>
          <w:rFonts w:ascii="Times New Roman" w:hAnsi="Times New Roman" w:cs="Times New Roman"/>
          <w:sz w:val="24"/>
          <w:szCs w:val="24"/>
        </w:rPr>
        <w:t>, at ændre henvisningen til hvidvaskloven til Europa-Parlamentets og Rådets forordning (EU) 2024/1624 af 31. maj 2024 om forebyggende foranstaltninger mod anvendelse af det finansielle system til hvidvask af penge eller finansiering af terrorisme.</w:t>
      </w:r>
    </w:p>
    <w:p w14:paraId="735973F9" w14:textId="77777777" w:rsidR="00B54AC2" w:rsidRPr="003D5D3B" w:rsidRDefault="00B54AC2" w:rsidP="00B54AC2">
      <w:pPr>
        <w:spacing w:line="360" w:lineRule="auto"/>
        <w:rPr>
          <w:rFonts w:ascii="Times New Roman" w:hAnsi="Times New Roman" w:cs="Times New Roman"/>
          <w:sz w:val="24"/>
          <w:szCs w:val="24"/>
        </w:rPr>
      </w:pPr>
    </w:p>
    <w:p w14:paraId="622B9DC8"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5B1F2F59" w14:textId="77777777" w:rsidR="00B54AC2" w:rsidRPr="003D5D3B" w:rsidRDefault="00B54AC2" w:rsidP="00B54AC2">
      <w:pPr>
        <w:spacing w:line="360" w:lineRule="auto"/>
        <w:rPr>
          <w:rFonts w:ascii="Times New Roman" w:hAnsi="Times New Roman" w:cs="Times New Roman"/>
          <w:sz w:val="24"/>
          <w:szCs w:val="24"/>
        </w:rPr>
      </w:pPr>
    </w:p>
    <w:p w14:paraId="3E50F9C4"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9 (§ 46, stk. 2, i lov om betalinger)</w:t>
      </w:r>
    </w:p>
    <w:p w14:paraId="438AB490"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46 i lov om betalinger regulerer udenlandske betalingsinstitutters adgang til at udbyde betalingstjenester her i landet, når instituttet er meddelt tilladelse i et andet EU- eller EØS-land.</w:t>
      </w:r>
    </w:p>
    <w:p w14:paraId="3B3DC26B"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46, stk. 2, skal Finanstilsynet meddele hjemlandets tilsynsmyndighed, hvis Finanstilsynet har rimelig grund til at formode, at oprettelsen af en filial eller agent her i landet vil øge risikoen for overtrædelse af hvidvaskloven eller regler udstedt i medfør heraf.</w:t>
      </w:r>
    </w:p>
    <w:p w14:paraId="786FE5F5" w14:textId="77777777" w:rsidR="00B54AC2" w:rsidRPr="003D5D3B" w:rsidRDefault="00B54AC2" w:rsidP="00B54AC2">
      <w:pPr>
        <w:spacing w:line="360" w:lineRule="auto"/>
        <w:rPr>
          <w:rFonts w:ascii="Times New Roman" w:hAnsi="Times New Roman" w:cs="Times New Roman"/>
          <w:sz w:val="24"/>
          <w:szCs w:val="24"/>
        </w:rPr>
      </w:pPr>
    </w:p>
    <w:p w14:paraId="4B584EFF"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46, stk. 2</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15DB7B75"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60BC1325" w14:textId="77777777" w:rsidR="00B54AC2" w:rsidRPr="00B54AC2" w:rsidRDefault="00B54AC2" w:rsidP="00B54AC2">
      <w:pPr>
        <w:spacing w:line="360" w:lineRule="auto"/>
        <w:rPr>
          <w:rFonts w:ascii="Times New Roman" w:hAnsi="Times New Roman" w:cs="Times New Roman"/>
          <w:i/>
          <w:iCs/>
          <w:sz w:val="24"/>
          <w:szCs w:val="24"/>
        </w:rPr>
      </w:pPr>
    </w:p>
    <w:p w14:paraId="201C03C8"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10 (§ 46, stk. 3, i lov om betalinger)</w:t>
      </w:r>
    </w:p>
    <w:p w14:paraId="6DC9E60C"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46, stk. 3, kan Finanstilsynet indbringe sagen for Den Europæiske Banktilsynsmyndighed, hvis hjemlandets tilsynsmyndighed registrerer agenten eller filialen, til trods for at Finanstilsynet har rimelig grund til at formode, at oprettelsen af en filial eller agent her i landet vil øge risikoen for overtrædelse af hvidvaskloven eller regler udstedt i medfør heraf.</w:t>
      </w:r>
    </w:p>
    <w:p w14:paraId="28C09D73" w14:textId="77777777" w:rsidR="00B54AC2" w:rsidRPr="003D5D3B" w:rsidRDefault="00B54AC2" w:rsidP="00B54AC2">
      <w:pPr>
        <w:spacing w:line="360" w:lineRule="auto"/>
        <w:rPr>
          <w:rFonts w:ascii="Times New Roman" w:hAnsi="Times New Roman" w:cs="Times New Roman"/>
          <w:sz w:val="24"/>
          <w:szCs w:val="24"/>
        </w:rPr>
      </w:pPr>
    </w:p>
    <w:p w14:paraId="758B44C1"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46, stk. 3</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7AD99D9D"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3D01E25F" w14:textId="77777777" w:rsidR="00B54AC2" w:rsidRPr="003D5D3B" w:rsidRDefault="00B54AC2" w:rsidP="00B54AC2">
      <w:pPr>
        <w:spacing w:line="360" w:lineRule="auto"/>
        <w:rPr>
          <w:rFonts w:ascii="Times New Roman" w:hAnsi="Times New Roman" w:cs="Times New Roman"/>
          <w:sz w:val="24"/>
          <w:szCs w:val="24"/>
        </w:rPr>
      </w:pPr>
    </w:p>
    <w:p w14:paraId="098099D5"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11 (§ 47, stk. 3, i lov om betalinger)</w:t>
      </w:r>
    </w:p>
    <w:p w14:paraId="259A355B"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47 i lov om betalinger regulerer udenlandske e-pengeinstitutters adgang til at udstede elektroniske penge her i landet, når instituttet er meddelt tilladelse i et andet EU- eller EØS-land.</w:t>
      </w:r>
    </w:p>
    <w:p w14:paraId="27FDA7A5"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47, stk. 3, skal Finanstilsynet meddele hjemlandets tilsynsmyndighed, hvis Finanstilsynet har rimelig grund til at formode, at oprettelsen af en filial eller en fysisk eller juridisk person, der distribuerer og indløser elektroniske penge på e-pengeinstituttets vegne, her i landet vil øge risikoen for overtrædelse af hvidvaskloven eller regler udstedt i medfør heraf.</w:t>
      </w:r>
    </w:p>
    <w:p w14:paraId="60FFD2F6" w14:textId="77777777" w:rsidR="00B54AC2" w:rsidRPr="003D5D3B" w:rsidRDefault="00B54AC2" w:rsidP="00B54AC2">
      <w:pPr>
        <w:spacing w:line="360" w:lineRule="auto"/>
        <w:rPr>
          <w:rFonts w:ascii="Times New Roman" w:hAnsi="Times New Roman" w:cs="Times New Roman"/>
          <w:sz w:val="24"/>
          <w:szCs w:val="24"/>
        </w:rPr>
      </w:pPr>
    </w:p>
    <w:p w14:paraId="491538A3"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47, stk. 3</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4E2A9AEF"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1250DEA3" w14:textId="77777777" w:rsidR="00B54AC2" w:rsidRPr="003D5D3B" w:rsidRDefault="00B54AC2" w:rsidP="00B54AC2">
      <w:pPr>
        <w:spacing w:line="360" w:lineRule="auto"/>
        <w:rPr>
          <w:rFonts w:ascii="Times New Roman" w:hAnsi="Times New Roman" w:cs="Times New Roman"/>
          <w:sz w:val="24"/>
          <w:szCs w:val="24"/>
        </w:rPr>
      </w:pPr>
    </w:p>
    <w:p w14:paraId="538694DF"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12 (§ 47, stk. 4, i lov om betalinger)</w:t>
      </w:r>
    </w:p>
    <w:p w14:paraId="6D0A04E1"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47, stk. 4, kan Finanstilsynet indbringe sagen for Den Europæiske Banktilsynsmyndighed, hvis hjemlandets tilsynsmyndighed registrerer agenten eller den fysiske eller juridiske person, til trods for at Finanstilsynet har rimelig grund til at formode, at oprettelsen her i landet vil øge risikoen for overtrædelse af hvidvaskloven eller regler udstedt i medfør heraf.</w:t>
      </w:r>
    </w:p>
    <w:p w14:paraId="3149CBAA" w14:textId="77777777" w:rsidR="00B54AC2" w:rsidRPr="003D5D3B" w:rsidRDefault="00B54AC2" w:rsidP="00B54AC2">
      <w:pPr>
        <w:spacing w:line="360" w:lineRule="auto"/>
        <w:rPr>
          <w:rFonts w:ascii="Times New Roman" w:hAnsi="Times New Roman" w:cs="Times New Roman"/>
          <w:sz w:val="24"/>
          <w:szCs w:val="24"/>
        </w:rPr>
      </w:pPr>
    </w:p>
    <w:p w14:paraId="346A0BB9"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47, stk. 4</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635085E8"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498D9C23" w14:textId="77777777" w:rsidR="00B54AC2" w:rsidRPr="003D5D3B" w:rsidRDefault="00B54AC2" w:rsidP="00B54AC2">
      <w:pPr>
        <w:spacing w:line="360" w:lineRule="auto"/>
        <w:rPr>
          <w:rFonts w:ascii="Times New Roman" w:hAnsi="Times New Roman" w:cs="Times New Roman"/>
          <w:sz w:val="24"/>
          <w:szCs w:val="24"/>
        </w:rPr>
      </w:pPr>
    </w:p>
    <w:p w14:paraId="232DFCFC"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13 (§ 81, stk. 1, i lov om betalinger)</w:t>
      </w:r>
    </w:p>
    <w:p w14:paraId="364F1202"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81 i lov om betalinger regulerer betalingsmodtageres pligt til at modtage betaling med kontanter, hvis betalingsmodtageren modtager betalingsinstrumenter omfattet af loven.</w:t>
      </w:r>
    </w:p>
    <w:p w14:paraId="1272B4FD"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81, stk. 1, er en betalingsmodtager forpligtet til at modtage betaling med kontanter i tidsrummet fra kl. 06.00 til kl. 22.00, hvis denne modtager betalingsinstrumenter omfattet af loven, jf. dog § 5 i hvidvaskloven og stk. 2-7.</w:t>
      </w:r>
    </w:p>
    <w:p w14:paraId="4EBD62FC" w14:textId="77777777" w:rsidR="00B54AC2" w:rsidRPr="003D5D3B" w:rsidRDefault="00B54AC2" w:rsidP="00B54AC2">
      <w:pPr>
        <w:spacing w:line="360" w:lineRule="auto"/>
        <w:rPr>
          <w:rFonts w:ascii="Times New Roman" w:hAnsi="Times New Roman" w:cs="Times New Roman"/>
          <w:sz w:val="24"/>
          <w:szCs w:val="24"/>
        </w:rPr>
      </w:pPr>
    </w:p>
    <w:p w14:paraId="559614B7"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81, stk. 1</w:t>
      </w:r>
      <w:r w:rsidRPr="003D5D3B">
        <w:rPr>
          <w:rFonts w:ascii="Times New Roman" w:hAnsi="Times New Roman" w:cs="Times New Roman"/>
          <w:sz w:val="24"/>
          <w:szCs w:val="24"/>
        </w:rPr>
        <w:t>, at ændre henvisningen til § 5 i hvidvaskloven til § 3, stk. 2, i hvidvaskloven.</w:t>
      </w:r>
    </w:p>
    <w:p w14:paraId="420C604F" w14:textId="77777777" w:rsidR="00B54AC2" w:rsidRPr="003D5D3B" w:rsidRDefault="00B54AC2" w:rsidP="00B54AC2">
      <w:pPr>
        <w:spacing w:line="360" w:lineRule="auto"/>
        <w:rPr>
          <w:rFonts w:ascii="Times New Roman" w:hAnsi="Times New Roman" w:cs="Times New Roman"/>
          <w:sz w:val="24"/>
          <w:szCs w:val="24"/>
        </w:rPr>
      </w:pPr>
    </w:p>
    <w:p w14:paraId="79A5A344"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de ændringer af hvidvaskloven, der foretages som led i gennemførelsen af 6. hvidvaskdirektiv og ikrafttrædelsen af Europa-Parlamentets og Rådets forordning (EU) 2024/1624, der finder anvendelse fra den 10. juli 2027.</w:t>
      </w:r>
    </w:p>
    <w:p w14:paraId="3C214C2F" w14:textId="77777777" w:rsidR="00B54AC2" w:rsidRPr="003D5D3B" w:rsidRDefault="00B54AC2" w:rsidP="00B54AC2">
      <w:pPr>
        <w:spacing w:line="360" w:lineRule="auto"/>
        <w:rPr>
          <w:rFonts w:ascii="Times New Roman" w:hAnsi="Times New Roman" w:cs="Times New Roman"/>
          <w:sz w:val="24"/>
          <w:szCs w:val="24"/>
        </w:rPr>
      </w:pPr>
    </w:p>
    <w:p w14:paraId="62757265"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14 (§ 90, stk. 2, i lov om betalinger)</w:t>
      </w:r>
    </w:p>
    <w:p w14:paraId="4EB26EEC"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90 i lov om betalinger regulerer den kontoførende udbyders adgang til at nægte en udbyder af betalingsinitieringstjenester eller kontooplysningstjenester adgang til en betalingskonto.</w:t>
      </w:r>
    </w:p>
    <w:p w14:paraId="646B63B6" w14:textId="77777777" w:rsidR="00B54AC2" w:rsidRPr="003D5D3B" w:rsidRDefault="00B54AC2" w:rsidP="00B54AC2">
      <w:pPr>
        <w:spacing w:line="360" w:lineRule="auto"/>
        <w:rPr>
          <w:rFonts w:ascii="Times New Roman" w:hAnsi="Times New Roman" w:cs="Times New Roman"/>
          <w:sz w:val="24"/>
          <w:szCs w:val="24"/>
        </w:rPr>
      </w:pPr>
    </w:p>
    <w:p w14:paraId="2E563298"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90, stk. 2, skal den kontoførende udbyder give brugeren en begrundelse, hvis en udbyder af betalingsinitieringstjenester eller kontooplysningstjenester nægtes adgang til betalingskontoen. Begrundelsen skal dog undlades af objektivt begrundede sikkerhedshensyn, eller hvis det er hensigtsmæssigt for at sikre fortrolighed om underretning i henhold til hvidvaskloven.</w:t>
      </w:r>
    </w:p>
    <w:p w14:paraId="6FA60E8C" w14:textId="77777777" w:rsidR="00B54AC2" w:rsidRPr="003D5D3B" w:rsidRDefault="00B54AC2" w:rsidP="00B54AC2">
      <w:pPr>
        <w:spacing w:line="360" w:lineRule="auto"/>
        <w:rPr>
          <w:rFonts w:ascii="Times New Roman" w:hAnsi="Times New Roman" w:cs="Times New Roman"/>
          <w:sz w:val="24"/>
          <w:szCs w:val="24"/>
        </w:rPr>
      </w:pPr>
    </w:p>
    <w:p w14:paraId="3BDFC969"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90, stk. 2</w:t>
      </w:r>
      <w:r w:rsidRPr="003D5D3B">
        <w:rPr>
          <w:rFonts w:ascii="Times New Roman" w:hAnsi="Times New Roman" w:cs="Times New Roman"/>
          <w:sz w:val="24"/>
          <w:szCs w:val="24"/>
        </w:rPr>
        <w:t>, at ændre henvisningen til hvidvaskloven til Europa-Parlamentets og Rådets forordning (EU) 2024/1624 af 31. maj 2024 om forebyggende foranstaltninger mod anvendelse af det finansielle system til hvidvask af penge eller finansiering af terrorisme.</w:t>
      </w:r>
    </w:p>
    <w:p w14:paraId="31BD0E76" w14:textId="77777777" w:rsidR="00B54AC2" w:rsidRPr="003D5D3B" w:rsidRDefault="00B54AC2" w:rsidP="00B54AC2">
      <w:pPr>
        <w:spacing w:line="360" w:lineRule="auto"/>
        <w:rPr>
          <w:rFonts w:ascii="Times New Roman" w:hAnsi="Times New Roman" w:cs="Times New Roman"/>
          <w:sz w:val="24"/>
          <w:szCs w:val="24"/>
        </w:rPr>
      </w:pPr>
    </w:p>
    <w:p w14:paraId="133E92F8"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100FF91C" w14:textId="77777777" w:rsidR="00B54AC2" w:rsidRPr="003D5D3B" w:rsidRDefault="00B54AC2" w:rsidP="00B54AC2">
      <w:pPr>
        <w:spacing w:line="360" w:lineRule="auto"/>
        <w:rPr>
          <w:rFonts w:ascii="Times New Roman" w:hAnsi="Times New Roman" w:cs="Times New Roman"/>
          <w:sz w:val="24"/>
          <w:szCs w:val="24"/>
        </w:rPr>
      </w:pPr>
    </w:p>
    <w:p w14:paraId="6298F50E"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15 (§ 134, stk. 3, i lov om betalinger)</w:t>
      </w:r>
    </w:p>
    <w:p w14:paraId="20FE066F"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134 i lov om betalinger regulerer Finanstilsynets adgang til at meddele påbud om afsættelse af ledelsesmedlemmer m.v. i e-pengeinstitutter og betalingsinstitutter.</w:t>
      </w:r>
    </w:p>
    <w:p w14:paraId="22DCAA80" w14:textId="77777777" w:rsidR="00B54AC2" w:rsidRPr="003D5D3B" w:rsidRDefault="00B54AC2" w:rsidP="00B54AC2">
      <w:pPr>
        <w:spacing w:line="360" w:lineRule="auto"/>
        <w:rPr>
          <w:rFonts w:ascii="Times New Roman" w:hAnsi="Times New Roman" w:cs="Times New Roman"/>
          <w:sz w:val="24"/>
          <w:szCs w:val="24"/>
        </w:rPr>
      </w:pPr>
    </w:p>
    <w:p w14:paraId="4C499CD3"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134, stk. 3, kan Finanstilsynet påbyde et e-pengeinstitut eller betalingsinstitut at afsætte den ansvarlige for hvidvaskforebyggelse og et medlem af den faktiske ledelse, der er ansvarlig for compliance eller hvidvaskforebyggelse, hvis vedkommende ikke kan varetage stillingen.</w:t>
      </w:r>
    </w:p>
    <w:p w14:paraId="3F1235F3"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134, stk. 3</w:t>
      </w:r>
      <w:r w:rsidRPr="003D5D3B">
        <w:rPr>
          <w:rFonts w:ascii="Times New Roman" w:hAnsi="Times New Roman" w:cs="Times New Roman"/>
          <w:sz w:val="24"/>
          <w:szCs w:val="24"/>
        </w:rPr>
        <w:t>, at ændre henvisningen til hvidvasklovens § 7, stk. 2, til artikel 11, stk. 2, i Europa-Parlamentets og Rådets forordning (EU) 2024/1624 af 31. maj 2024 om forebyggende foranstaltninger mod anvendelse af det finansielle system til hvidvask af penge eller finansiering af terrorisme.</w:t>
      </w:r>
    </w:p>
    <w:p w14:paraId="54B068C9" w14:textId="77777777" w:rsidR="00B54AC2" w:rsidRPr="003D5D3B" w:rsidRDefault="00B54AC2" w:rsidP="00B54AC2">
      <w:pPr>
        <w:spacing w:line="360" w:lineRule="auto"/>
        <w:rPr>
          <w:rFonts w:ascii="Times New Roman" w:hAnsi="Times New Roman" w:cs="Times New Roman"/>
          <w:sz w:val="24"/>
          <w:szCs w:val="24"/>
        </w:rPr>
      </w:pPr>
    </w:p>
    <w:p w14:paraId="38AC8950"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310B4541" w14:textId="77777777" w:rsidR="00B54AC2" w:rsidRPr="003D5D3B" w:rsidRDefault="00B54AC2" w:rsidP="00B54AC2">
      <w:pPr>
        <w:spacing w:line="360" w:lineRule="auto"/>
        <w:rPr>
          <w:rFonts w:ascii="Times New Roman" w:hAnsi="Times New Roman" w:cs="Times New Roman"/>
          <w:sz w:val="24"/>
          <w:szCs w:val="24"/>
        </w:rPr>
      </w:pPr>
    </w:p>
    <w:p w14:paraId="4E1C9A54"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16 (§ 134, stk. 4, i lov om betalinger)</w:t>
      </w:r>
    </w:p>
    <w:p w14:paraId="3A59614E"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134, stk. 4, kan Finanstilsynet påbyde et e-pengeinstitut eller betalingsinstitut at afsætte bl.a. den ansvarlige for hvidvaskforebyggelse, når der er rejst tiltale mod vedkommende i en straffesag, og en domfældelse vil indebære, at vedkommende ikke opfylder kravene til egnethed og hæderlighed.</w:t>
      </w:r>
    </w:p>
    <w:p w14:paraId="1A64E8E1" w14:textId="77777777" w:rsidR="00B54AC2" w:rsidRPr="003D5D3B" w:rsidRDefault="00B54AC2" w:rsidP="00B54AC2">
      <w:pPr>
        <w:spacing w:line="360" w:lineRule="auto"/>
        <w:rPr>
          <w:rFonts w:ascii="Times New Roman" w:hAnsi="Times New Roman" w:cs="Times New Roman"/>
          <w:sz w:val="24"/>
          <w:szCs w:val="24"/>
        </w:rPr>
      </w:pPr>
    </w:p>
    <w:p w14:paraId="11F6D08B"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134, stk. 4</w:t>
      </w:r>
      <w:r w:rsidRPr="003D5D3B">
        <w:rPr>
          <w:rFonts w:ascii="Times New Roman" w:hAnsi="Times New Roman" w:cs="Times New Roman"/>
          <w:sz w:val="24"/>
          <w:szCs w:val="24"/>
        </w:rPr>
        <w:t>, at ændre henvisningen til hvidvasklovens § 7, stk. 2, til artikel 11, stk. 2, i Europa-Parlamentets og Rådets forordning (EU) 2024/1624 af 31. maj 2024 om forebyggende foranstaltninger mod anvendelse af det finansielle system til hvidvask af penge eller finansiering af terrorisme.</w:t>
      </w:r>
    </w:p>
    <w:p w14:paraId="44AB2ADB"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2E678163" w14:textId="77777777" w:rsidR="00B54AC2" w:rsidRPr="003D5D3B" w:rsidRDefault="00B54AC2" w:rsidP="00B54AC2">
      <w:pPr>
        <w:spacing w:line="360" w:lineRule="auto"/>
        <w:rPr>
          <w:rFonts w:ascii="Times New Roman" w:hAnsi="Times New Roman" w:cs="Times New Roman"/>
          <w:sz w:val="24"/>
          <w:szCs w:val="24"/>
        </w:rPr>
      </w:pPr>
    </w:p>
    <w:p w14:paraId="7597DC89"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17 (§ 134, stk. 9, i lov om betalinger)</w:t>
      </w:r>
    </w:p>
    <w:p w14:paraId="5DF470D3"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134, stk. 9, kan Finanstilsynet inddrage et e-pengeinstituts eller betalingsinstituts tilladelse, hvis virksomheden ikke inden for den fastsatte frist har afsat bl.a. den ansvarlige for hvidvaskforebyggelse eller et medlem af den faktiske ledelse, der er ansvarlig for compliance eller hvidvaskforebyggelse.</w:t>
      </w:r>
    </w:p>
    <w:p w14:paraId="2828B2D9" w14:textId="77777777" w:rsidR="00B54AC2" w:rsidRPr="003D5D3B" w:rsidRDefault="00B54AC2" w:rsidP="00B54AC2">
      <w:pPr>
        <w:spacing w:line="360" w:lineRule="auto"/>
        <w:rPr>
          <w:rFonts w:ascii="Times New Roman" w:hAnsi="Times New Roman" w:cs="Times New Roman"/>
          <w:sz w:val="24"/>
          <w:szCs w:val="24"/>
        </w:rPr>
      </w:pPr>
    </w:p>
    <w:p w14:paraId="05992EA4"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134, stk. 9</w:t>
      </w:r>
      <w:r w:rsidRPr="003D5D3B">
        <w:rPr>
          <w:rFonts w:ascii="Times New Roman" w:hAnsi="Times New Roman" w:cs="Times New Roman"/>
          <w:sz w:val="24"/>
          <w:szCs w:val="24"/>
        </w:rPr>
        <w:t>, at ændre henvisningen til hvidvasklovens § 7, stk. 2, til artikel 11, stk. 2, i Europa-Parlamentets og Rådets forordning (EU) 2024/1624 af 31. maj 2024 om forebyggende foranstaltninger mod anvendelse af det finansielle system til hvidvask af penge eller finansiering af terrorisme.</w:t>
      </w:r>
    </w:p>
    <w:p w14:paraId="13A691B1" w14:textId="77777777" w:rsidR="00B54AC2" w:rsidRPr="003D5D3B" w:rsidRDefault="00B54AC2" w:rsidP="00B54AC2">
      <w:pPr>
        <w:spacing w:line="360" w:lineRule="auto"/>
        <w:rPr>
          <w:rFonts w:ascii="Times New Roman" w:hAnsi="Times New Roman" w:cs="Times New Roman"/>
          <w:sz w:val="24"/>
          <w:szCs w:val="24"/>
        </w:rPr>
      </w:pPr>
    </w:p>
    <w:p w14:paraId="609EF0D7"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6175C94C" w14:textId="77777777" w:rsidR="00B54AC2" w:rsidRPr="003D5D3B" w:rsidRDefault="00B54AC2" w:rsidP="00B54AC2">
      <w:pPr>
        <w:spacing w:line="360" w:lineRule="auto"/>
        <w:rPr>
          <w:rFonts w:ascii="Times New Roman" w:hAnsi="Times New Roman" w:cs="Times New Roman"/>
          <w:sz w:val="24"/>
          <w:szCs w:val="24"/>
        </w:rPr>
      </w:pPr>
    </w:p>
    <w:p w14:paraId="4C8A48D6" w14:textId="77777777" w:rsidR="00B54AC2" w:rsidRPr="00B54AC2" w:rsidRDefault="00B54AC2" w:rsidP="00B54AC2">
      <w:pPr>
        <w:spacing w:line="360" w:lineRule="auto"/>
        <w:rPr>
          <w:rFonts w:ascii="Times New Roman" w:hAnsi="Times New Roman" w:cs="Times New Roman"/>
          <w:i/>
          <w:iCs/>
          <w:sz w:val="24"/>
          <w:szCs w:val="24"/>
        </w:rPr>
      </w:pPr>
      <w:r w:rsidRPr="00B54AC2">
        <w:rPr>
          <w:rFonts w:ascii="Times New Roman" w:hAnsi="Times New Roman" w:cs="Times New Roman"/>
          <w:i/>
          <w:iCs/>
          <w:sz w:val="24"/>
          <w:szCs w:val="24"/>
        </w:rPr>
        <w:t>Til nr. 18 (§ 135, stk. 1, nr. 7, i lov om betalinger)</w:t>
      </w:r>
    </w:p>
    <w:p w14:paraId="701926AF"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135 i lov om betalinger regulerer Finanstilsynets adgang til at inddrage en virksomheds tilladelse som e-pengeinstitut, betalingsinstitut eller udbyder af kontooplysningstjenester eller en begrænset tilladelse til udstedelse af elektroniske penge eller udbud af betalingstjenester.</w:t>
      </w:r>
    </w:p>
    <w:p w14:paraId="026912F2" w14:textId="77777777" w:rsidR="00B54AC2" w:rsidRPr="003D5D3B" w:rsidRDefault="00B54AC2" w:rsidP="00B54AC2">
      <w:pPr>
        <w:spacing w:line="360" w:lineRule="auto"/>
        <w:rPr>
          <w:rFonts w:ascii="Times New Roman" w:hAnsi="Times New Roman" w:cs="Times New Roman"/>
          <w:sz w:val="24"/>
          <w:szCs w:val="24"/>
        </w:rPr>
      </w:pPr>
    </w:p>
    <w:p w14:paraId="0FEE0BD3"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135, stk. 1, nr. 7, kan Finanstilsynet inddrage en virksomheds tilladelse, hvis virksomheden gør sig skyldig i grove eller gentagne overtrædelser af hvidvaskloven eller Europa-Parlamentets og Rådets forordning (EU) 2023/1114 af 31. maj 2023 om markeder for kryptoaktiver.</w:t>
      </w:r>
    </w:p>
    <w:p w14:paraId="2780922C" w14:textId="77777777" w:rsidR="00B54AC2" w:rsidRPr="003D5D3B" w:rsidRDefault="00B54AC2" w:rsidP="00B54AC2">
      <w:pPr>
        <w:spacing w:line="360" w:lineRule="auto"/>
        <w:rPr>
          <w:rFonts w:ascii="Times New Roman" w:hAnsi="Times New Roman" w:cs="Times New Roman"/>
          <w:sz w:val="24"/>
          <w:szCs w:val="24"/>
        </w:rPr>
      </w:pPr>
    </w:p>
    <w:p w14:paraId="3A48680F" w14:textId="77777777" w:rsidR="00B54AC2"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135, stk. 1, nr. 7</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318881C8" w14:textId="77777777" w:rsidR="00B54AC2" w:rsidRPr="003D5D3B" w:rsidRDefault="00B54AC2" w:rsidP="00B54AC2">
      <w:pPr>
        <w:spacing w:line="360" w:lineRule="auto"/>
        <w:rPr>
          <w:rFonts w:ascii="Times New Roman" w:hAnsi="Times New Roman" w:cs="Times New Roman"/>
          <w:sz w:val="24"/>
          <w:szCs w:val="24"/>
        </w:rPr>
      </w:pPr>
    </w:p>
    <w:p w14:paraId="06CCC917" w14:textId="77777777" w:rsidR="00B54AC2" w:rsidRPr="003D5D3B" w:rsidRDefault="00B54AC2" w:rsidP="00B54AC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28F53E8F" w14:textId="77777777" w:rsidR="009030B4" w:rsidRPr="009030B4" w:rsidRDefault="009030B4" w:rsidP="009030B4">
      <w:pPr>
        <w:rPr>
          <w:lang w:eastAsia="da-DK"/>
        </w:rPr>
      </w:pPr>
    </w:p>
    <w:p w14:paraId="7CB0DA3D" w14:textId="31406508" w:rsidR="009030B4" w:rsidRDefault="009030B4" w:rsidP="009030B4">
      <w:pPr>
        <w:pStyle w:val="Undertitel"/>
      </w:pPr>
      <w:bookmarkStart w:id="2277" w:name="_Toc244879443"/>
      <w:bookmarkStart w:id="2278" w:name="_Toc244880968"/>
      <w:r w:rsidRPr="00796736">
        <w:t>Til</w:t>
      </w:r>
      <w:r>
        <w:t xml:space="preserve"> </w:t>
      </w:r>
      <w:r>
        <w:fldChar w:fldCharType="begin"/>
      </w:r>
      <w:r>
        <w:instrText xml:space="preserve"> REF _Ref244871122 \r \h </w:instrText>
      </w:r>
      <w:r>
        <w:fldChar w:fldCharType="separate"/>
      </w:r>
      <w:r>
        <w:t>§ 147</w:t>
      </w:r>
      <w:bookmarkEnd w:id="2277"/>
      <w:bookmarkEnd w:id="2278"/>
      <w:r>
        <w:fldChar w:fldCharType="end"/>
      </w:r>
    </w:p>
    <w:p w14:paraId="7BCF3573" w14:textId="77777777" w:rsidR="003E7BE9" w:rsidRPr="003E7BE9" w:rsidRDefault="003E7BE9" w:rsidP="003E7BE9">
      <w:pPr>
        <w:spacing w:line="360" w:lineRule="auto"/>
        <w:rPr>
          <w:rFonts w:ascii="Times New Roman" w:hAnsi="Times New Roman" w:cs="Times New Roman"/>
          <w:i/>
          <w:iCs/>
          <w:sz w:val="24"/>
          <w:szCs w:val="24"/>
        </w:rPr>
      </w:pPr>
      <w:r w:rsidRPr="003E7BE9">
        <w:rPr>
          <w:rFonts w:ascii="Times New Roman" w:hAnsi="Times New Roman" w:cs="Times New Roman"/>
          <w:i/>
          <w:iCs/>
          <w:sz w:val="24"/>
          <w:szCs w:val="24"/>
        </w:rPr>
        <w:t>Til nr. 1 (1. pkt. til fodnoten i lov om investeringsforeninger m.v.)</w:t>
      </w:r>
    </w:p>
    <w:p w14:paraId="57428213" w14:textId="77777777" w:rsidR="003E7BE9"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hvilke EU-retsakter loven helt eller delvist gennemfører.</w:t>
      </w:r>
    </w:p>
    <w:p w14:paraId="2E46A233" w14:textId="77777777" w:rsidR="003E7BE9" w:rsidRPr="003D5D3B" w:rsidRDefault="003E7BE9" w:rsidP="003E7BE9">
      <w:pPr>
        <w:spacing w:line="360" w:lineRule="auto"/>
        <w:rPr>
          <w:rFonts w:ascii="Times New Roman" w:hAnsi="Times New Roman" w:cs="Times New Roman"/>
          <w:sz w:val="24"/>
          <w:szCs w:val="24"/>
        </w:rPr>
      </w:pPr>
    </w:p>
    <w:p w14:paraId="2D84F223" w14:textId="77777777" w:rsidR="003E7BE9"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loven bl.a. indeholder bestemmelser, der gennemfører dele af Europa-Parlamentets og Rådets direktiv 2015/849/EU af 20. maj 2015 om forebyggende foranstaltninger mod anvendelse af det finansielle system til hvidvask af penge eller finansiering af terrorisme m.v. (4. hvidvaskdirektiv).</w:t>
      </w:r>
    </w:p>
    <w:p w14:paraId="51C0A8D1" w14:textId="77777777" w:rsidR="003E7BE9" w:rsidRPr="003D5D3B" w:rsidRDefault="003E7BE9" w:rsidP="003E7BE9">
      <w:pPr>
        <w:spacing w:line="360" w:lineRule="auto"/>
        <w:rPr>
          <w:rFonts w:ascii="Times New Roman" w:hAnsi="Times New Roman" w:cs="Times New Roman"/>
          <w:sz w:val="24"/>
          <w:szCs w:val="24"/>
        </w:rPr>
      </w:pPr>
    </w:p>
    <w:p w14:paraId="6049FD62" w14:textId="77777777" w:rsidR="003E7BE9" w:rsidRPr="003D5D3B"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i fodnoten til lovens titel at lade henvisningen til dele af Europa-Parlamentets og Rådets direktiv 2015/849/EU udgå og at indsætte en henvisning til dele af Europa-Parlamentets og Rådets direktiv (EU) 2024/1640 af 31. maj 2024 om de mekanismer, som medlemsstaterne skal indføre for at forebygge anvendelse af det finansielle system til hvidvask af penge eller finansiering af terrorisme (6. hvidvaskdirektiv).</w:t>
      </w:r>
    </w:p>
    <w:p w14:paraId="118A7C2F" w14:textId="77777777" w:rsidR="003E7BE9"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ophævelsen af Europa-Parlamentets og Rådets direktiv 2015/849/EU. Forslaget indebærer, at fodnoten til lovens titel opdateres, så den afspejler den fremtidige EU-retlige regulering på hvidvaskområdet.</w:t>
      </w:r>
    </w:p>
    <w:p w14:paraId="4D201529" w14:textId="77777777" w:rsidR="003E7BE9" w:rsidRPr="003D5D3B" w:rsidRDefault="003E7BE9" w:rsidP="003E7BE9">
      <w:pPr>
        <w:spacing w:line="360" w:lineRule="auto"/>
        <w:rPr>
          <w:rFonts w:ascii="Times New Roman" w:hAnsi="Times New Roman" w:cs="Times New Roman"/>
          <w:sz w:val="24"/>
          <w:szCs w:val="24"/>
        </w:rPr>
      </w:pPr>
    </w:p>
    <w:p w14:paraId="08CAD9EA" w14:textId="77777777" w:rsidR="003E7BE9" w:rsidRPr="003E7BE9" w:rsidRDefault="003E7BE9" w:rsidP="003E7BE9">
      <w:pPr>
        <w:spacing w:line="360" w:lineRule="auto"/>
        <w:rPr>
          <w:rFonts w:ascii="Times New Roman" w:hAnsi="Times New Roman" w:cs="Times New Roman"/>
          <w:i/>
          <w:iCs/>
          <w:sz w:val="24"/>
          <w:szCs w:val="24"/>
        </w:rPr>
      </w:pPr>
      <w:r w:rsidRPr="003E7BE9">
        <w:rPr>
          <w:rFonts w:ascii="Times New Roman" w:hAnsi="Times New Roman" w:cs="Times New Roman"/>
          <w:i/>
          <w:iCs/>
          <w:sz w:val="24"/>
          <w:szCs w:val="24"/>
        </w:rPr>
        <w:t>Til nr. 2 (2. pkt. til fodnoten i lov om investeringsforeninger m.v.)</w:t>
      </w:r>
    </w:p>
    <w:p w14:paraId="69169A61" w14:textId="77777777" w:rsidR="003E7BE9"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bl.a., hvilke EU-forordninger der er medtaget bestemmelser fra i loven.</w:t>
      </w:r>
    </w:p>
    <w:p w14:paraId="29EAF2B0" w14:textId="77777777" w:rsidR="003E7BE9" w:rsidRPr="003D5D3B" w:rsidRDefault="003E7BE9" w:rsidP="003E7BE9">
      <w:pPr>
        <w:spacing w:line="360" w:lineRule="auto"/>
        <w:rPr>
          <w:rFonts w:ascii="Times New Roman" w:hAnsi="Times New Roman" w:cs="Times New Roman"/>
          <w:sz w:val="24"/>
          <w:szCs w:val="24"/>
        </w:rPr>
      </w:pPr>
    </w:p>
    <w:p w14:paraId="232D7A2B" w14:textId="77777777" w:rsidR="003E7BE9"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der i loven bl.a. er medtaget bestemmelser fra Europa-Parlamentets og Rådets forordning (EU) 2023/2869 af 13. december 2023 om ændring af visse forordninger for så vidt angår oprettelse af det fælles europæiske adgangspunkt og dets funktionsmåde.</w:t>
      </w:r>
    </w:p>
    <w:p w14:paraId="35504E7E" w14:textId="77777777" w:rsidR="003E7BE9" w:rsidRPr="003D5D3B" w:rsidRDefault="003E7BE9" w:rsidP="003E7BE9">
      <w:pPr>
        <w:spacing w:line="360" w:lineRule="auto"/>
        <w:rPr>
          <w:rFonts w:ascii="Times New Roman" w:hAnsi="Times New Roman" w:cs="Times New Roman"/>
          <w:sz w:val="24"/>
          <w:szCs w:val="24"/>
        </w:rPr>
      </w:pPr>
    </w:p>
    <w:p w14:paraId="22B491EC" w14:textId="77777777" w:rsidR="003E7BE9"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i fodnoten til lovens titel at indsætte en henvisning til Europa-Parlamentets og Rådets forordning (EU) 2024/1624 af 31. maj 2024 om forebyggende foranstaltninger mod anvendelse af det finansielle system til hvidvask af penge eller finansiering af terrorisme.</w:t>
      </w:r>
    </w:p>
    <w:p w14:paraId="044417E0" w14:textId="77777777" w:rsidR="003E7BE9" w:rsidRPr="003D5D3B" w:rsidRDefault="003E7BE9" w:rsidP="003E7BE9">
      <w:pPr>
        <w:spacing w:line="360" w:lineRule="auto"/>
        <w:rPr>
          <w:rFonts w:ascii="Times New Roman" w:hAnsi="Times New Roman" w:cs="Times New Roman"/>
          <w:sz w:val="24"/>
          <w:szCs w:val="24"/>
        </w:rPr>
      </w:pPr>
    </w:p>
    <w:p w14:paraId="044EDD76" w14:textId="77777777" w:rsidR="003E7BE9"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ikrafttrædelsen af Europa-Parlamentets og Rådets forordning (EU) 2024/1624, der finder anvendelse fra den 10. juli 2027. Forslaget indebærer, at fodnoten til lovens titel opdateres med en henvisning til forordningen.</w:t>
      </w:r>
    </w:p>
    <w:p w14:paraId="1D9CC15D" w14:textId="77777777" w:rsidR="003E7BE9" w:rsidRPr="003D5D3B" w:rsidRDefault="003E7BE9" w:rsidP="003E7BE9">
      <w:pPr>
        <w:spacing w:line="360" w:lineRule="auto"/>
        <w:rPr>
          <w:rFonts w:ascii="Times New Roman" w:hAnsi="Times New Roman" w:cs="Times New Roman"/>
          <w:sz w:val="24"/>
          <w:szCs w:val="24"/>
        </w:rPr>
      </w:pPr>
    </w:p>
    <w:p w14:paraId="6092995C" w14:textId="77777777" w:rsidR="003E7BE9" w:rsidRPr="003E7BE9" w:rsidRDefault="003E7BE9" w:rsidP="003E7BE9">
      <w:pPr>
        <w:spacing w:line="360" w:lineRule="auto"/>
        <w:rPr>
          <w:rFonts w:ascii="Times New Roman" w:hAnsi="Times New Roman" w:cs="Times New Roman"/>
          <w:i/>
          <w:iCs/>
          <w:sz w:val="24"/>
          <w:szCs w:val="24"/>
        </w:rPr>
      </w:pPr>
      <w:r w:rsidRPr="003E7BE9">
        <w:rPr>
          <w:rFonts w:ascii="Times New Roman" w:hAnsi="Times New Roman" w:cs="Times New Roman"/>
          <w:i/>
          <w:iCs/>
          <w:sz w:val="24"/>
          <w:szCs w:val="24"/>
        </w:rPr>
        <w:t>Til nr. 3 (§ 110, stk. 1, nr. 6, i lov om investeringsforeninger m.v.)</w:t>
      </w:r>
    </w:p>
    <w:p w14:paraId="73123FAD" w14:textId="77777777" w:rsidR="003E7BE9" w:rsidRPr="003D5D3B"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 110 i lov om investeringsforeninger m.v. regulerer Finanstilsynets adgang til at inddrage eller suspendere en dansk UCITS’ eller afdelings tilladelse.</w:t>
      </w:r>
    </w:p>
    <w:p w14:paraId="1E21C736" w14:textId="77777777" w:rsidR="003E7BE9" w:rsidRPr="003D5D3B"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110, stk. 1, nr. 6, kan Finanstilsynet inddrage eller suspendere en dansk UCITS’ eller afdelings tilladelse, hvis den danske UCITS eller afdeling gør sig skyldig i grove eller gentagne overtrædelser af hvidvaskloven.</w:t>
      </w:r>
    </w:p>
    <w:p w14:paraId="10E423BC" w14:textId="77777777" w:rsidR="003E7BE9"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110, stk. 1, nr. 6</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662F8657" w14:textId="77777777" w:rsidR="003E7BE9" w:rsidRPr="003D5D3B" w:rsidRDefault="003E7BE9" w:rsidP="003E7BE9">
      <w:pPr>
        <w:spacing w:line="360" w:lineRule="auto"/>
        <w:rPr>
          <w:rFonts w:ascii="Times New Roman" w:hAnsi="Times New Roman" w:cs="Times New Roman"/>
          <w:sz w:val="24"/>
          <w:szCs w:val="24"/>
        </w:rPr>
      </w:pPr>
    </w:p>
    <w:p w14:paraId="1B3B90DB" w14:textId="77777777" w:rsidR="003E7BE9" w:rsidRPr="003D5D3B" w:rsidRDefault="003E7BE9" w:rsidP="003E7BE9">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4BDCC2B3" w14:textId="77777777" w:rsidR="009030B4" w:rsidRPr="009030B4" w:rsidRDefault="009030B4" w:rsidP="009030B4">
      <w:pPr>
        <w:rPr>
          <w:lang w:eastAsia="da-DK"/>
        </w:rPr>
      </w:pPr>
    </w:p>
    <w:p w14:paraId="3CFADB42" w14:textId="77777777" w:rsidR="009030B4" w:rsidRPr="009030B4" w:rsidRDefault="009030B4" w:rsidP="009030B4">
      <w:pPr>
        <w:rPr>
          <w:lang w:eastAsia="da-DK"/>
        </w:rPr>
      </w:pPr>
    </w:p>
    <w:p w14:paraId="27B14402" w14:textId="1409F2A2" w:rsidR="009030B4" w:rsidRDefault="009030B4" w:rsidP="009030B4">
      <w:pPr>
        <w:pStyle w:val="Undertitel"/>
      </w:pPr>
      <w:bookmarkStart w:id="2279" w:name="_Toc244879444"/>
      <w:bookmarkStart w:id="2280" w:name="_Toc244880969"/>
      <w:r w:rsidRPr="00796736">
        <w:t>Til</w:t>
      </w:r>
      <w:r>
        <w:t xml:space="preserve"> </w:t>
      </w:r>
      <w:r>
        <w:fldChar w:fldCharType="begin"/>
      </w:r>
      <w:r>
        <w:instrText xml:space="preserve"> REF _Ref244871129 \r \h </w:instrText>
      </w:r>
      <w:r>
        <w:fldChar w:fldCharType="separate"/>
      </w:r>
      <w:r>
        <w:t>§ 148</w:t>
      </w:r>
      <w:bookmarkEnd w:id="2279"/>
      <w:bookmarkEnd w:id="2280"/>
      <w:r>
        <w:fldChar w:fldCharType="end"/>
      </w:r>
      <w:r>
        <w:t xml:space="preserve"> </w:t>
      </w:r>
    </w:p>
    <w:p w14:paraId="53B141A0" w14:textId="77777777" w:rsidR="00B83EFE" w:rsidRPr="003D5D3B" w:rsidRDefault="00B83EFE" w:rsidP="00B83EFE">
      <w:pPr>
        <w:spacing w:line="360" w:lineRule="auto"/>
        <w:rPr>
          <w:rFonts w:ascii="Times New Roman" w:hAnsi="Times New Roman" w:cs="Times New Roman"/>
          <w:i/>
          <w:iCs/>
          <w:sz w:val="24"/>
          <w:szCs w:val="24"/>
        </w:rPr>
      </w:pPr>
      <w:r w:rsidRPr="003D5D3B">
        <w:rPr>
          <w:rFonts w:ascii="Times New Roman" w:hAnsi="Times New Roman" w:cs="Times New Roman"/>
          <w:sz w:val="24"/>
          <w:szCs w:val="24"/>
        </w:rPr>
        <w:t xml:space="preserve">Til nr. 1 </w:t>
      </w:r>
      <w:r w:rsidRPr="003D5D3B">
        <w:rPr>
          <w:rFonts w:ascii="Times New Roman" w:hAnsi="Times New Roman" w:cs="Times New Roman"/>
          <w:i/>
          <w:iCs/>
          <w:sz w:val="24"/>
          <w:szCs w:val="24"/>
        </w:rPr>
        <w:t>(1. pkt. til fodnoten i lov om forvaltere af alternative investeringsfonde m.v.)</w:t>
      </w:r>
    </w:p>
    <w:p w14:paraId="522F7D1A"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hvilke EU-retsakter loven helt eller delvist gennemfører.</w:t>
      </w:r>
    </w:p>
    <w:p w14:paraId="7BAC618C" w14:textId="77777777" w:rsidR="00B83EFE" w:rsidRPr="003D5D3B" w:rsidRDefault="00B83EFE" w:rsidP="00B83EFE">
      <w:pPr>
        <w:spacing w:line="360" w:lineRule="auto"/>
        <w:rPr>
          <w:rFonts w:ascii="Times New Roman" w:hAnsi="Times New Roman" w:cs="Times New Roman"/>
          <w:sz w:val="24"/>
          <w:szCs w:val="24"/>
        </w:rPr>
      </w:pPr>
    </w:p>
    <w:p w14:paraId="02DF3075"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loven bl.a. indeholder bestemmelser, der gennemfører dele af Europa-Parlamentets og Rådets direktiv 2015/849/EU af 20. maj 2015 om forebyggende foranstaltninger mod anvendelse af det finansielle system til hvidvask af penge eller finansiering af terrorisme m.v. (4. hvidvaskdirektiv).</w:t>
      </w:r>
    </w:p>
    <w:p w14:paraId="3FBB22D5" w14:textId="77777777" w:rsidR="00B83EFE" w:rsidRPr="003D5D3B" w:rsidRDefault="00B83EFE" w:rsidP="00B83EFE">
      <w:pPr>
        <w:spacing w:line="360" w:lineRule="auto"/>
        <w:rPr>
          <w:rFonts w:ascii="Times New Roman" w:hAnsi="Times New Roman" w:cs="Times New Roman"/>
          <w:sz w:val="24"/>
          <w:szCs w:val="24"/>
        </w:rPr>
      </w:pPr>
    </w:p>
    <w:p w14:paraId="47529C18"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xml:space="preserve">1. pkt. </w:t>
      </w:r>
      <w:r w:rsidRPr="003D5D3B">
        <w:rPr>
          <w:rFonts w:ascii="Times New Roman" w:hAnsi="Times New Roman" w:cs="Times New Roman"/>
          <w:sz w:val="24"/>
          <w:szCs w:val="24"/>
        </w:rPr>
        <w:t>i fodnoten til lovens titel at lade henvisningen til dele af Europa-Parlamentets og Rådets direktiv 2015/849/EU udgå og at indsætte en henvisning til dele af Europa-Parlamentets og Rådets direktiv (EU) 2024/1640 af 31. maj 2024 om de mekanismer, som medlemsstaterne skal indføre for at forebygge anvendelse af det finansielle system til hvidvask af penge eller finansiering af terrorisme (6. hvidvaskdirektiv).</w:t>
      </w:r>
    </w:p>
    <w:p w14:paraId="2DFDABC5" w14:textId="77777777" w:rsidR="00B83EFE" w:rsidRPr="003D5D3B" w:rsidRDefault="00B83EFE" w:rsidP="00B83EFE">
      <w:pPr>
        <w:spacing w:line="360" w:lineRule="auto"/>
        <w:rPr>
          <w:rFonts w:ascii="Times New Roman" w:hAnsi="Times New Roman" w:cs="Times New Roman"/>
          <w:sz w:val="24"/>
          <w:szCs w:val="24"/>
        </w:rPr>
      </w:pPr>
    </w:p>
    <w:p w14:paraId="473B2946"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ophævelsen af Europa-Parlamentets og Rådets direktiv 2015/849/EU. Forslaget indebærer, at fodnoten til lovens titel opdateres, så den afspejler den fremtidige EU-retlige regulering på hvidvaskområdet.</w:t>
      </w:r>
    </w:p>
    <w:p w14:paraId="39842A4B" w14:textId="77777777" w:rsidR="00B83EFE" w:rsidRPr="003D5D3B" w:rsidRDefault="00B83EFE" w:rsidP="00B83EFE">
      <w:pPr>
        <w:spacing w:line="360" w:lineRule="auto"/>
        <w:rPr>
          <w:rFonts w:ascii="Times New Roman" w:hAnsi="Times New Roman" w:cs="Times New Roman"/>
          <w:sz w:val="24"/>
          <w:szCs w:val="24"/>
        </w:rPr>
      </w:pPr>
    </w:p>
    <w:p w14:paraId="43AB4A21"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2 (2. pkt. til fodnoten i lov om forvaltere af alternative investeringsfonde m.v.)</w:t>
      </w:r>
    </w:p>
    <w:p w14:paraId="1D47BCD1"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bl.a., hvilke EU-forordninger der er medtaget bestemmelser fra i loven.</w:t>
      </w:r>
    </w:p>
    <w:p w14:paraId="17B0F64A" w14:textId="77777777" w:rsidR="00B83EFE" w:rsidRPr="003D5D3B" w:rsidRDefault="00B83EFE" w:rsidP="00B83EFE">
      <w:pPr>
        <w:spacing w:line="360" w:lineRule="auto"/>
        <w:rPr>
          <w:rFonts w:ascii="Times New Roman" w:hAnsi="Times New Roman" w:cs="Times New Roman"/>
          <w:sz w:val="24"/>
          <w:szCs w:val="24"/>
        </w:rPr>
      </w:pPr>
    </w:p>
    <w:p w14:paraId="642355D2"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der i loven bl.a. er medtaget bestemmelser fra Europa-Parlamentets og Rådets forordning 2017/2402/EU af 12. december 2017 om en generel ramme for securitisering og om oprettelse af en specifik ramme for simpel, transparent og standardiseret securitisering m.v.</w:t>
      </w:r>
    </w:p>
    <w:p w14:paraId="4444635A" w14:textId="77777777" w:rsidR="00B83EFE" w:rsidRPr="003D5D3B" w:rsidRDefault="00B83EFE" w:rsidP="00B83EFE">
      <w:pPr>
        <w:spacing w:line="360" w:lineRule="auto"/>
        <w:rPr>
          <w:rFonts w:ascii="Times New Roman" w:hAnsi="Times New Roman" w:cs="Times New Roman"/>
          <w:sz w:val="24"/>
          <w:szCs w:val="24"/>
        </w:rPr>
      </w:pPr>
    </w:p>
    <w:p w14:paraId="3AA04676"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i fodnoten til lovens titel at indsætte en henvisning til Europa-Parlamentets og Rådets forordning (EU) 2024/1624 af 31. maj 2024 om forebyggende foranstaltninger mod anvendelse af det finansielle system til hvidvask af penge eller finansiering af terrorisme.</w:t>
      </w:r>
    </w:p>
    <w:p w14:paraId="516A44FE" w14:textId="77777777" w:rsidR="00B83EFE" w:rsidRPr="003D5D3B" w:rsidRDefault="00B83EFE" w:rsidP="00B83EFE">
      <w:pPr>
        <w:spacing w:line="360" w:lineRule="auto"/>
        <w:rPr>
          <w:rFonts w:ascii="Times New Roman" w:hAnsi="Times New Roman" w:cs="Times New Roman"/>
          <w:sz w:val="24"/>
          <w:szCs w:val="24"/>
        </w:rPr>
      </w:pPr>
    </w:p>
    <w:p w14:paraId="31BBE94C"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ikrafttrædelsen af Europa-Parlamentets og Rådets forordning (EU) 2024/1624, der finder anvendelse fra den 10. juli 2027. Forslaget indebærer, at fodnoten til lovens titel opdateres med en henvisning til forordningen.</w:t>
      </w:r>
    </w:p>
    <w:p w14:paraId="26E15C5E" w14:textId="77777777" w:rsidR="00B83EFE" w:rsidRPr="003D5D3B" w:rsidRDefault="00B83EFE" w:rsidP="00B83EFE">
      <w:pPr>
        <w:spacing w:line="360" w:lineRule="auto"/>
        <w:rPr>
          <w:rFonts w:ascii="Times New Roman" w:hAnsi="Times New Roman" w:cs="Times New Roman"/>
          <w:sz w:val="24"/>
          <w:szCs w:val="24"/>
        </w:rPr>
      </w:pPr>
    </w:p>
    <w:p w14:paraId="10F1C694"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3 (§ 17, stk. 1, nr. 8, i lov om forvaltere af alternative investeringsfonde m.v.)</w:t>
      </w:r>
    </w:p>
    <w:p w14:paraId="265BD78F"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17 i lov om forvaltere af alternative investeringsfonde m.v. regulerer Finanstilsynets inddragelse af en forvalter af alternative investeringsfondes tilladelser.</w:t>
      </w:r>
    </w:p>
    <w:p w14:paraId="7A11871A" w14:textId="77777777" w:rsidR="00B83EFE" w:rsidRPr="003D5D3B" w:rsidRDefault="00B83EFE" w:rsidP="00B83EFE">
      <w:pPr>
        <w:spacing w:line="360" w:lineRule="auto"/>
        <w:rPr>
          <w:rFonts w:ascii="Times New Roman" w:hAnsi="Times New Roman" w:cs="Times New Roman"/>
          <w:sz w:val="24"/>
          <w:szCs w:val="24"/>
        </w:rPr>
      </w:pPr>
    </w:p>
    <w:p w14:paraId="2C6960D7"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17, stk. 1, nr. 8, inddrager Finanstilsynet en forvalters tilladelse, hvis forvalteren ikke overholder hvidvaskloven.</w:t>
      </w:r>
    </w:p>
    <w:p w14:paraId="753610B8" w14:textId="77777777" w:rsidR="00B83EFE" w:rsidRPr="003D5D3B" w:rsidRDefault="00B83EFE" w:rsidP="00B83EFE">
      <w:pPr>
        <w:spacing w:line="360" w:lineRule="auto"/>
        <w:rPr>
          <w:rFonts w:ascii="Times New Roman" w:hAnsi="Times New Roman" w:cs="Times New Roman"/>
          <w:sz w:val="24"/>
          <w:szCs w:val="24"/>
        </w:rPr>
      </w:pPr>
    </w:p>
    <w:p w14:paraId="61B4F46A"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17, stk. 1, nr. 8</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5E9603E7" w14:textId="77777777" w:rsidR="00B83EFE" w:rsidRPr="003D5D3B" w:rsidRDefault="00B83EFE" w:rsidP="00B83EFE">
      <w:pPr>
        <w:spacing w:line="360" w:lineRule="auto"/>
        <w:rPr>
          <w:rFonts w:ascii="Times New Roman" w:hAnsi="Times New Roman" w:cs="Times New Roman"/>
          <w:sz w:val="24"/>
          <w:szCs w:val="24"/>
        </w:rPr>
      </w:pPr>
    </w:p>
    <w:p w14:paraId="76117E51"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4A088384" w14:textId="77777777" w:rsidR="00B83EFE" w:rsidRPr="003D5D3B" w:rsidRDefault="00B83EFE" w:rsidP="00B83EFE">
      <w:pPr>
        <w:spacing w:line="360" w:lineRule="auto"/>
        <w:rPr>
          <w:rFonts w:ascii="Times New Roman" w:hAnsi="Times New Roman" w:cs="Times New Roman"/>
          <w:sz w:val="24"/>
          <w:szCs w:val="24"/>
        </w:rPr>
      </w:pPr>
    </w:p>
    <w:p w14:paraId="1827D447"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4 (§ 49, stk. 1, nr. 4, i lov om forvaltere af alternative investeringsfonde m.v.)</w:t>
      </w:r>
    </w:p>
    <w:p w14:paraId="4B075C2B" w14:textId="77777777" w:rsidR="00B83EFE" w:rsidRPr="003D5D3B"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49 i lov om forvaltere af alternative investeringsfonde m.v. regulerer betingelserne for udpegelse af en depositar, der er etableret i et tredjeland.</w:t>
      </w:r>
    </w:p>
    <w:p w14:paraId="7467B62F"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49, stk. 1, nr. 4, er det en betingelse, at det tredjeland, hvor depositaren er etableret, ikke er identificeret som et højrisikotredjeland i henhold til artikel 9, stk. 2, i Europa-Parlamentets og Rådets direktiv om forebyggende foranstaltninger mod anvendelse af det finansielle system til hvidvask af penge eller finansiering af terrorisme.</w:t>
      </w:r>
    </w:p>
    <w:p w14:paraId="756868DF" w14:textId="77777777" w:rsidR="00B83EFE" w:rsidRPr="003D5D3B" w:rsidRDefault="00B83EFE" w:rsidP="00B83EFE">
      <w:pPr>
        <w:spacing w:line="360" w:lineRule="auto"/>
        <w:rPr>
          <w:rFonts w:ascii="Times New Roman" w:hAnsi="Times New Roman" w:cs="Times New Roman"/>
          <w:sz w:val="24"/>
          <w:szCs w:val="24"/>
        </w:rPr>
      </w:pPr>
    </w:p>
    <w:p w14:paraId="49C51DBD"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49, stk. 1, nr. 4</w:t>
      </w:r>
      <w:r w:rsidRPr="003D5D3B">
        <w:rPr>
          <w:rFonts w:ascii="Times New Roman" w:hAnsi="Times New Roman" w:cs="Times New Roman"/>
          <w:sz w:val="24"/>
          <w:szCs w:val="24"/>
        </w:rPr>
        <w:t>, at ændre henvisningen til artikel 9, stk. 2, i Europa-Parlamentets og Rådets direktiv om forebyggende foranstaltninger mod anvendelse af det finansielle system til hvidvask af penge eller finansiering af terrorisme til artikel 29, stk. 1 og 2, i Europa-Parlamentets og Rådets forordning (EU) 2024/1624 af 31. maj 2024 om forebyggende foranstaltninger mod anvendelse af det finansielle system til hvidvask af penge eller finansiering af terrorisme.</w:t>
      </w:r>
    </w:p>
    <w:p w14:paraId="381A5362" w14:textId="77777777" w:rsidR="00B83EFE" w:rsidRPr="003D5D3B" w:rsidRDefault="00B83EFE" w:rsidP="00B83EFE">
      <w:pPr>
        <w:spacing w:line="360" w:lineRule="auto"/>
        <w:rPr>
          <w:rFonts w:ascii="Times New Roman" w:hAnsi="Times New Roman" w:cs="Times New Roman"/>
          <w:sz w:val="24"/>
          <w:szCs w:val="24"/>
        </w:rPr>
      </w:pPr>
    </w:p>
    <w:p w14:paraId="2A12AE75"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73EDCAA4" w14:textId="77777777" w:rsidR="00B83EFE" w:rsidRPr="003D5D3B" w:rsidRDefault="00B83EFE" w:rsidP="00B83EFE">
      <w:pPr>
        <w:spacing w:line="360" w:lineRule="auto"/>
        <w:rPr>
          <w:rFonts w:ascii="Times New Roman" w:hAnsi="Times New Roman" w:cs="Times New Roman"/>
          <w:sz w:val="24"/>
          <w:szCs w:val="24"/>
        </w:rPr>
      </w:pPr>
    </w:p>
    <w:p w14:paraId="29BB8D55"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5 (§ 49, stk. 2, i lov om forvaltere af alternative investeringsfonde m.v.)</w:t>
      </w:r>
    </w:p>
    <w:p w14:paraId="1B29ACA7"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49, stk. 2, skal der udpeges en ny depositar inden for en passende periode, hvis et tredjeland, hvor en forvalter med tilladelse efter stk. 1 er etableret, identificeres som et højrisikotredjeland.</w:t>
      </w:r>
    </w:p>
    <w:p w14:paraId="551FAF56" w14:textId="77777777" w:rsidR="00B83EFE" w:rsidRPr="003D5D3B" w:rsidRDefault="00B83EFE" w:rsidP="00B83EFE">
      <w:pPr>
        <w:spacing w:line="360" w:lineRule="auto"/>
        <w:rPr>
          <w:rFonts w:ascii="Times New Roman" w:hAnsi="Times New Roman" w:cs="Times New Roman"/>
          <w:sz w:val="24"/>
          <w:szCs w:val="24"/>
        </w:rPr>
      </w:pPr>
    </w:p>
    <w:p w14:paraId="28D1540B"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49, stk. 2</w:t>
      </w:r>
      <w:r w:rsidRPr="003D5D3B">
        <w:rPr>
          <w:rFonts w:ascii="Times New Roman" w:hAnsi="Times New Roman" w:cs="Times New Roman"/>
          <w:sz w:val="24"/>
          <w:szCs w:val="24"/>
        </w:rPr>
        <w:t>, at ændre henvisningen til artikel 9, stk. 2, i Europa-Parlamentets og Rådets direktiv om forebyggende foranstaltninger mod anvendelse af det finansielle system til hvidvask af penge eller finansiering af terrorisme til artikel 29, stk. 1 og 2, i Europa-Parlamentets og Rådets forordning (EU) 2024/1624 af 31. maj 2024 om forebyggende foranstaltninger mod anvendelse af det finansielle system til hvidvask af penge eller finansiering af terrorisme.</w:t>
      </w:r>
    </w:p>
    <w:p w14:paraId="125F9239" w14:textId="77777777" w:rsidR="00B83EFE" w:rsidRPr="003D5D3B" w:rsidRDefault="00B83EFE" w:rsidP="00B83EFE">
      <w:pPr>
        <w:spacing w:line="360" w:lineRule="auto"/>
        <w:rPr>
          <w:rFonts w:ascii="Times New Roman" w:hAnsi="Times New Roman" w:cs="Times New Roman"/>
          <w:sz w:val="24"/>
          <w:szCs w:val="24"/>
        </w:rPr>
      </w:pPr>
    </w:p>
    <w:p w14:paraId="0191E784"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05934511" w14:textId="77777777" w:rsidR="00B83EFE" w:rsidRPr="003D5D3B" w:rsidRDefault="00B83EFE" w:rsidP="00B83EFE">
      <w:pPr>
        <w:spacing w:line="360" w:lineRule="auto"/>
        <w:rPr>
          <w:rFonts w:ascii="Times New Roman" w:hAnsi="Times New Roman" w:cs="Times New Roman"/>
          <w:sz w:val="24"/>
          <w:szCs w:val="24"/>
        </w:rPr>
      </w:pPr>
    </w:p>
    <w:p w14:paraId="556B6B4C"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6 (§ 109, stk. 1, nr. 4, i lov om forvaltere af alternative investeringsfonde m.v.)</w:t>
      </w:r>
    </w:p>
    <w:p w14:paraId="1500333B"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109 i lov om forvaltere af alternative investeringsfonde m.v. regulerer markedsføring uden markedsføringspas i Danmark af alternative investeringsfonde fra et tredjeland m.v.</w:t>
      </w:r>
    </w:p>
    <w:p w14:paraId="46B8FE11" w14:textId="77777777" w:rsidR="00B83EFE" w:rsidRPr="003D5D3B" w:rsidRDefault="00B83EFE" w:rsidP="00B83EFE">
      <w:pPr>
        <w:spacing w:line="360" w:lineRule="auto"/>
        <w:rPr>
          <w:rFonts w:ascii="Times New Roman" w:hAnsi="Times New Roman" w:cs="Times New Roman"/>
          <w:sz w:val="24"/>
          <w:szCs w:val="24"/>
        </w:rPr>
      </w:pPr>
    </w:p>
    <w:p w14:paraId="43BA1D99"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109, stk. 1, nr. 4, er det en betingelse for tilladelse til markedsføring, at det tredjeland, hvor den alternative investeringsfond er etableret, ikke er identificeret som et højrisikotredjeland i henhold til artikel 9, stk. 2, i Europa-Parlamentets og Rådets direktiv om forebyggende foranstaltninger mod anvendelse af det finansielle system til hvidvask af penge eller finansiering af terrorisme.</w:t>
      </w:r>
    </w:p>
    <w:p w14:paraId="55C8648A" w14:textId="77777777" w:rsidR="00B83EFE" w:rsidRPr="003D5D3B" w:rsidRDefault="00B83EFE" w:rsidP="00B83EFE">
      <w:pPr>
        <w:spacing w:line="360" w:lineRule="auto"/>
        <w:rPr>
          <w:rFonts w:ascii="Times New Roman" w:hAnsi="Times New Roman" w:cs="Times New Roman"/>
          <w:sz w:val="24"/>
          <w:szCs w:val="24"/>
        </w:rPr>
      </w:pPr>
    </w:p>
    <w:p w14:paraId="560E5524"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109, stk. 1, nr. 4</w:t>
      </w:r>
      <w:r w:rsidRPr="003D5D3B">
        <w:rPr>
          <w:rFonts w:ascii="Times New Roman" w:hAnsi="Times New Roman" w:cs="Times New Roman"/>
          <w:sz w:val="24"/>
          <w:szCs w:val="24"/>
        </w:rPr>
        <w:t>, at ændre henvisningen til artikel 9, stk. 2, i Europa-Parlamentets og Rådets direktiv om forebyggende foranstaltninger mod anvendelse af det finansielle system til hvidvask af penge eller finansiering af terrorisme til artikel 29, stk. 1 og 2, i Europa-Parlamentets og Rådets forordning (EU) 2024/1624 af 31. maj 2024 om forebyggende foranstaltninger mod anvendelse af det finansielle system til hvidvask af penge eller finansiering af terrorisme.</w:t>
      </w:r>
    </w:p>
    <w:p w14:paraId="57A8FBBC" w14:textId="77777777" w:rsidR="00B83EFE" w:rsidRPr="003D5D3B" w:rsidRDefault="00B83EFE" w:rsidP="00B83EFE">
      <w:pPr>
        <w:spacing w:line="360" w:lineRule="auto"/>
        <w:rPr>
          <w:rFonts w:ascii="Times New Roman" w:hAnsi="Times New Roman" w:cs="Times New Roman"/>
          <w:sz w:val="24"/>
          <w:szCs w:val="24"/>
        </w:rPr>
      </w:pPr>
    </w:p>
    <w:p w14:paraId="7EE528C1"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68AE5ED6" w14:textId="77777777" w:rsidR="00B83EFE" w:rsidRPr="003D5D3B" w:rsidRDefault="00B83EFE" w:rsidP="00B83EFE">
      <w:pPr>
        <w:spacing w:line="360" w:lineRule="auto"/>
        <w:rPr>
          <w:rFonts w:ascii="Times New Roman" w:hAnsi="Times New Roman" w:cs="Times New Roman"/>
          <w:sz w:val="24"/>
          <w:szCs w:val="24"/>
        </w:rPr>
      </w:pPr>
    </w:p>
    <w:p w14:paraId="38597CC9"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7 (§ 130, stk. 4, i lov om forvaltere af alternative investeringsfonde m.v.)</w:t>
      </w:r>
    </w:p>
    <w:p w14:paraId="5C14EA7B"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130 i lov om forvaltere af alternative investeringsfonde m.v. regulerer forvaltere fra tredjelande, der markedsfører alternative investeringsfonde i Danmark uden markedsføringspas.</w:t>
      </w:r>
    </w:p>
    <w:p w14:paraId="34900832" w14:textId="77777777" w:rsidR="00B83EFE" w:rsidRPr="003D5D3B" w:rsidRDefault="00B83EFE" w:rsidP="00B83EFE">
      <w:pPr>
        <w:spacing w:line="360" w:lineRule="auto"/>
        <w:rPr>
          <w:rFonts w:ascii="Times New Roman" w:hAnsi="Times New Roman" w:cs="Times New Roman"/>
          <w:sz w:val="24"/>
          <w:szCs w:val="24"/>
        </w:rPr>
      </w:pPr>
    </w:p>
    <w:p w14:paraId="29746B1E"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130, stk. 4, er det en betingelse, at det tredjeland, hvor enten forvalteren eller den alternative investeringsfond er etableret, ikke er identificeret som et højrisikotredjeland i henhold til artikel 9, stk. 2, i Europa-Parlamentets og Rådets direktiv om forebyggende foranstaltninger mod anvendelse af det finansielle system til hvidvask af penge eller finansiering af terrorisme.</w:t>
      </w:r>
    </w:p>
    <w:p w14:paraId="0A87AC24" w14:textId="77777777" w:rsidR="00B83EFE" w:rsidRPr="003D5D3B" w:rsidRDefault="00B83EFE" w:rsidP="00B83EFE">
      <w:pPr>
        <w:spacing w:line="360" w:lineRule="auto"/>
        <w:rPr>
          <w:rFonts w:ascii="Times New Roman" w:hAnsi="Times New Roman" w:cs="Times New Roman"/>
          <w:sz w:val="24"/>
          <w:szCs w:val="24"/>
        </w:rPr>
      </w:pPr>
    </w:p>
    <w:p w14:paraId="723E3018"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130, stk. 4</w:t>
      </w:r>
      <w:r w:rsidRPr="003D5D3B">
        <w:rPr>
          <w:rFonts w:ascii="Times New Roman" w:hAnsi="Times New Roman" w:cs="Times New Roman"/>
          <w:sz w:val="24"/>
          <w:szCs w:val="24"/>
        </w:rPr>
        <w:t>, at ændre henvisningen til artikel 9, stk. 2, i Europa-Parlamentets og Rådets direktiv om forebyggende foranstaltninger mod anvendelse af det finansielle system til hvidvask af penge eller finansiering af terrorisme til artikel 29, stk. 1 og 2, i Europa-Parlamentets og Rådets forordning (EU) 2024/1624 af 31. maj 2024 om forebyggende foranstaltninger mod anvendelse af det finansielle system til hvidvask af penge eller finansiering af terrorisme.</w:t>
      </w:r>
    </w:p>
    <w:p w14:paraId="63621646" w14:textId="77777777" w:rsidR="00B83EFE" w:rsidRPr="003D5D3B" w:rsidRDefault="00B83EFE" w:rsidP="00B83EFE">
      <w:pPr>
        <w:spacing w:line="360" w:lineRule="auto"/>
        <w:rPr>
          <w:rFonts w:ascii="Times New Roman" w:hAnsi="Times New Roman" w:cs="Times New Roman"/>
          <w:sz w:val="24"/>
          <w:szCs w:val="24"/>
        </w:rPr>
      </w:pPr>
    </w:p>
    <w:p w14:paraId="56C7EC86"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46D0FD53" w14:textId="77777777" w:rsidR="00B83EFE" w:rsidRPr="003D5D3B" w:rsidRDefault="00B83EFE" w:rsidP="00B83EFE">
      <w:pPr>
        <w:spacing w:line="360" w:lineRule="auto"/>
        <w:rPr>
          <w:rFonts w:ascii="Times New Roman" w:hAnsi="Times New Roman" w:cs="Times New Roman"/>
          <w:sz w:val="24"/>
          <w:szCs w:val="24"/>
        </w:rPr>
      </w:pPr>
    </w:p>
    <w:p w14:paraId="4EC9A86C"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8 (§ 180, stk. 1, nr. 9, i lov om forvaltere af alternative investeringsfonde m.v.)</w:t>
      </w:r>
    </w:p>
    <w:p w14:paraId="294F059C"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180 i lov om forvaltere af alternative investeringsfonde m.v. regulerer Finanstilsynets adgang til at indbringe sager for Den Europæiske Værdipapir- og Markedstilsynsmyndighed.</w:t>
      </w:r>
    </w:p>
    <w:p w14:paraId="5A3AE169" w14:textId="77777777" w:rsidR="00B83EFE" w:rsidRPr="003D5D3B" w:rsidRDefault="00B83EFE" w:rsidP="00B83EFE">
      <w:pPr>
        <w:spacing w:line="360" w:lineRule="auto"/>
        <w:rPr>
          <w:rFonts w:ascii="Times New Roman" w:hAnsi="Times New Roman" w:cs="Times New Roman"/>
          <w:sz w:val="24"/>
          <w:szCs w:val="24"/>
        </w:rPr>
      </w:pPr>
    </w:p>
    <w:p w14:paraId="57970B5C"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180, stk. 1, nr. 9, kan Finanstilsynet indbringe en sag, hvis Finanstilsynet er uenig i en anden kompetent myndigheds vurdering af, om de tredjelande, hvori en alternativ investeringsfond er etableret, ikke er identificeret som højrisikotredjelande.</w:t>
      </w:r>
    </w:p>
    <w:p w14:paraId="66C1A8E6" w14:textId="77777777" w:rsidR="00B83EFE" w:rsidRPr="003D5D3B" w:rsidRDefault="00B83EFE" w:rsidP="00B83EFE">
      <w:pPr>
        <w:spacing w:line="360" w:lineRule="auto"/>
        <w:rPr>
          <w:rFonts w:ascii="Times New Roman" w:hAnsi="Times New Roman" w:cs="Times New Roman"/>
          <w:sz w:val="24"/>
          <w:szCs w:val="24"/>
        </w:rPr>
      </w:pPr>
    </w:p>
    <w:p w14:paraId="589BB285"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180, stk. 1, nr. 9</w:t>
      </w:r>
      <w:r w:rsidRPr="003D5D3B">
        <w:rPr>
          <w:rFonts w:ascii="Times New Roman" w:hAnsi="Times New Roman" w:cs="Times New Roman"/>
          <w:sz w:val="24"/>
          <w:szCs w:val="24"/>
        </w:rPr>
        <w:t>, at ændre henvisningen til artikel 9, stk. 2, i Europa-Parlamentets og Rådets direktiv om forebyggende foranstaltninger mod anvendelse af det finansielle system til hvidvask af penge eller finansiering af terrorisme til artikel 29, stk. 1 og 2, i Europa-Parlamentets og Rådets forordning (EU) 2024/1624 af 31. maj 2024 om forebyggende foranstaltninger mod anvendelse af det finansielle system til hvidvask af penge eller finansiering af terrorisme.</w:t>
      </w:r>
    </w:p>
    <w:p w14:paraId="05694FB0" w14:textId="77777777" w:rsidR="00B83EFE" w:rsidRPr="003D5D3B" w:rsidRDefault="00B83EFE" w:rsidP="00B83EFE">
      <w:pPr>
        <w:spacing w:line="360" w:lineRule="auto"/>
        <w:rPr>
          <w:rFonts w:ascii="Times New Roman" w:hAnsi="Times New Roman" w:cs="Times New Roman"/>
          <w:sz w:val="24"/>
          <w:szCs w:val="24"/>
        </w:rPr>
      </w:pPr>
    </w:p>
    <w:p w14:paraId="681C79F2"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35959D02" w14:textId="77777777" w:rsidR="00B83EFE" w:rsidRPr="00B83EFE" w:rsidRDefault="00B83EFE" w:rsidP="00B83EFE">
      <w:pPr>
        <w:spacing w:line="360" w:lineRule="auto"/>
        <w:rPr>
          <w:rFonts w:ascii="Times New Roman" w:hAnsi="Times New Roman" w:cs="Times New Roman"/>
          <w:i/>
          <w:iCs/>
          <w:sz w:val="24"/>
          <w:szCs w:val="24"/>
        </w:rPr>
      </w:pPr>
    </w:p>
    <w:p w14:paraId="277F2CC1"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9 (§ 180, stk. 1, nr. 10, i lov om forvaltere af alternative investeringsfonde m.v.)</w:t>
      </w:r>
    </w:p>
    <w:p w14:paraId="54E4BAE8"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180, stk. 1, nr. 10, kan Finanstilsynet indbringe en sag, hvis Finanstilsynet er uenig i en anden kompetent myndigheds vurdering af, om det tredjeland, hvori en forvalter har registreret hjemsted, ikke er identificeret som et højrisikotredjeland.</w:t>
      </w:r>
    </w:p>
    <w:p w14:paraId="0B2873C9" w14:textId="77777777" w:rsidR="00B83EFE" w:rsidRPr="003D5D3B" w:rsidRDefault="00B83EFE" w:rsidP="00B83EFE">
      <w:pPr>
        <w:spacing w:line="360" w:lineRule="auto"/>
        <w:rPr>
          <w:rFonts w:ascii="Times New Roman" w:hAnsi="Times New Roman" w:cs="Times New Roman"/>
          <w:sz w:val="24"/>
          <w:szCs w:val="24"/>
        </w:rPr>
      </w:pPr>
    </w:p>
    <w:p w14:paraId="65E34B78"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180, stk. 1, nr. 10</w:t>
      </w:r>
      <w:r w:rsidRPr="003D5D3B">
        <w:rPr>
          <w:rFonts w:ascii="Times New Roman" w:hAnsi="Times New Roman" w:cs="Times New Roman"/>
          <w:sz w:val="24"/>
          <w:szCs w:val="24"/>
        </w:rPr>
        <w:t>, at ændre henvisningen til artikel 9, stk. 2, i Europa-Parlamentets og Rådets direktiv om forebyggende foranstaltninger mod anvendelse af det finansielle system til hvidvask af penge eller finansiering af terrorisme til artikel 29, stk. 1 og 2, i Europa-Parlamentets og Rådets forordning (EU) 2024/1624 af 31. maj 2024 om forebyggende foranstaltninger mod anvendelse af det finansielle system til hvidvask af penge eller finansiering af terrorisme.</w:t>
      </w:r>
    </w:p>
    <w:p w14:paraId="4149F165" w14:textId="77777777" w:rsidR="00B83EFE" w:rsidRPr="003D5D3B" w:rsidRDefault="00B83EFE" w:rsidP="00B83EFE">
      <w:pPr>
        <w:spacing w:line="360" w:lineRule="auto"/>
        <w:rPr>
          <w:rFonts w:ascii="Times New Roman" w:hAnsi="Times New Roman" w:cs="Times New Roman"/>
          <w:sz w:val="24"/>
          <w:szCs w:val="24"/>
        </w:rPr>
      </w:pPr>
    </w:p>
    <w:p w14:paraId="5BD317BA"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45782F06" w14:textId="77777777" w:rsidR="00B83EFE" w:rsidRPr="003D5D3B" w:rsidRDefault="00B83EFE" w:rsidP="00B83EFE">
      <w:pPr>
        <w:spacing w:line="360" w:lineRule="auto"/>
        <w:rPr>
          <w:rFonts w:ascii="Times New Roman" w:hAnsi="Times New Roman" w:cs="Times New Roman"/>
          <w:sz w:val="24"/>
          <w:szCs w:val="24"/>
        </w:rPr>
      </w:pPr>
    </w:p>
    <w:p w14:paraId="4C42324E"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10 (§ 180, stk. 2, nr. 9, i lov om forvaltere af alternative investeringsfonde m.v.)</w:t>
      </w:r>
    </w:p>
    <w:p w14:paraId="2290BE38"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180, stk. 2, nr. 9, kan en kompetent myndighed fra et andet EU- eller EØS-land indbringe en sag for Den Europæiske Værdipapir- og Markedstilsynsmyndighed, hvis myndigheden er uenig i Finanstilsynets vurdering af, om de tredjelande, hvori en alternativ investeringsfond er etableret, ikke er identificeret som højrisikotredjelande.</w:t>
      </w:r>
    </w:p>
    <w:p w14:paraId="534E1973" w14:textId="77777777" w:rsidR="00B83EFE" w:rsidRPr="003D5D3B" w:rsidRDefault="00B83EFE" w:rsidP="00B83EFE">
      <w:pPr>
        <w:spacing w:line="360" w:lineRule="auto"/>
        <w:rPr>
          <w:rFonts w:ascii="Times New Roman" w:hAnsi="Times New Roman" w:cs="Times New Roman"/>
          <w:sz w:val="24"/>
          <w:szCs w:val="24"/>
        </w:rPr>
      </w:pPr>
    </w:p>
    <w:p w14:paraId="25DE22B1"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180, stk. 2, nr. 9</w:t>
      </w:r>
      <w:r w:rsidRPr="003D5D3B">
        <w:rPr>
          <w:rFonts w:ascii="Times New Roman" w:hAnsi="Times New Roman" w:cs="Times New Roman"/>
          <w:sz w:val="24"/>
          <w:szCs w:val="24"/>
        </w:rPr>
        <w:t>, at ændre henvisningen til artikel 9, stk. 2, i Europa-Parlamentets og Rådets direktiv om forebyggende foranstaltninger mod anvendelse af det finansielle system til hvidvask af penge eller finansiering af terrorisme til artikel 29, stk. 1 og 2, i Europa-Parlamentets og Rådets forordning (EU) 2024/1624 af 31. maj 2024 om forebyggende foranstaltninger mod anvendelse af det finansielle system til hvidvask af penge eller finansiering af terrorisme.</w:t>
      </w:r>
    </w:p>
    <w:p w14:paraId="2527735D" w14:textId="77777777" w:rsidR="00B83EFE" w:rsidRPr="003D5D3B" w:rsidRDefault="00B83EFE" w:rsidP="00B83EFE">
      <w:pPr>
        <w:spacing w:line="360" w:lineRule="auto"/>
        <w:rPr>
          <w:rFonts w:ascii="Times New Roman" w:hAnsi="Times New Roman" w:cs="Times New Roman"/>
          <w:sz w:val="24"/>
          <w:szCs w:val="24"/>
        </w:rPr>
      </w:pPr>
    </w:p>
    <w:p w14:paraId="55E5AA8E"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044BB62F" w14:textId="77777777" w:rsidR="00B83EFE" w:rsidRPr="00B83EFE" w:rsidRDefault="00B83EFE" w:rsidP="00B83EFE">
      <w:pPr>
        <w:spacing w:line="360" w:lineRule="auto"/>
        <w:rPr>
          <w:rFonts w:ascii="Times New Roman" w:hAnsi="Times New Roman" w:cs="Times New Roman"/>
          <w:i/>
          <w:iCs/>
          <w:sz w:val="24"/>
          <w:szCs w:val="24"/>
        </w:rPr>
      </w:pPr>
    </w:p>
    <w:p w14:paraId="66CCE3A6" w14:textId="77777777" w:rsidR="00B83EFE" w:rsidRPr="00B83EFE" w:rsidRDefault="00B83EFE" w:rsidP="00B83EFE">
      <w:pPr>
        <w:spacing w:line="360" w:lineRule="auto"/>
        <w:rPr>
          <w:rFonts w:ascii="Times New Roman" w:hAnsi="Times New Roman" w:cs="Times New Roman"/>
          <w:i/>
          <w:iCs/>
          <w:sz w:val="24"/>
          <w:szCs w:val="24"/>
        </w:rPr>
      </w:pPr>
      <w:r w:rsidRPr="00B83EFE">
        <w:rPr>
          <w:rFonts w:ascii="Times New Roman" w:hAnsi="Times New Roman" w:cs="Times New Roman"/>
          <w:i/>
          <w:iCs/>
          <w:sz w:val="24"/>
          <w:szCs w:val="24"/>
        </w:rPr>
        <w:t>Til nr. 11 (§ 180, stk. 2, nr. 10, i lov om forvaltere af alternative investeringsfonde m.v.)</w:t>
      </w:r>
    </w:p>
    <w:p w14:paraId="5D463DE1"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180, stk. 2, nr. 10, kan en kompetent myndighed fra et andet EU- eller EØS-land indbringe en sag for Den Europæiske Værdipapir- og Markedstilsynsmyndighed, hvis myndigheden er uenig i Finanstilsynets vurdering af, om det tredjeland, hvori en forvalter har registreret hjemsted, ikke er identificeret som et højrisikotredjeland.</w:t>
      </w:r>
    </w:p>
    <w:p w14:paraId="6DC7E51A" w14:textId="77777777" w:rsidR="00B83EFE" w:rsidRPr="003D5D3B" w:rsidRDefault="00B83EFE" w:rsidP="00B83EFE">
      <w:pPr>
        <w:spacing w:line="360" w:lineRule="auto"/>
        <w:rPr>
          <w:rFonts w:ascii="Times New Roman" w:hAnsi="Times New Roman" w:cs="Times New Roman"/>
          <w:sz w:val="24"/>
          <w:szCs w:val="24"/>
        </w:rPr>
      </w:pPr>
    </w:p>
    <w:p w14:paraId="6AC0D420" w14:textId="77777777" w:rsidR="00B83EFE"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180, stk. 2, nr. 10</w:t>
      </w:r>
      <w:r w:rsidRPr="003D5D3B">
        <w:rPr>
          <w:rFonts w:ascii="Times New Roman" w:hAnsi="Times New Roman" w:cs="Times New Roman"/>
          <w:sz w:val="24"/>
          <w:szCs w:val="24"/>
        </w:rPr>
        <w:t>, at ændre henvisningen til artikel 9, stk. 2, i Europa-Parlamentets og Rådets direktiv om forebyggende foranstaltninger mod anvendelse af det finansielle system til hvidvask af penge eller finansiering af terrorisme til artikel 29, stk. 1 og 2, i Europa-Parlamentets og Rådets forordning (EU) 2024/1624 af 31. maj 2024 om forebyggende foranstaltninger mod anvendelse af det finansielle system til hvidvask af penge eller finansiering af terrorisme.</w:t>
      </w:r>
    </w:p>
    <w:p w14:paraId="0E5FA8B3" w14:textId="77777777" w:rsidR="00B83EFE" w:rsidRPr="003D5D3B" w:rsidRDefault="00B83EFE" w:rsidP="00B83EFE">
      <w:pPr>
        <w:spacing w:line="360" w:lineRule="auto"/>
        <w:rPr>
          <w:rFonts w:ascii="Times New Roman" w:hAnsi="Times New Roman" w:cs="Times New Roman"/>
          <w:sz w:val="24"/>
          <w:szCs w:val="24"/>
        </w:rPr>
      </w:pPr>
    </w:p>
    <w:p w14:paraId="0296C557" w14:textId="77777777" w:rsidR="00B83EFE" w:rsidRPr="003D5D3B" w:rsidRDefault="00B83EFE" w:rsidP="00B83EFE">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3042C7D3" w14:textId="77777777" w:rsidR="009030B4" w:rsidRPr="009030B4" w:rsidRDefault="009030B4" w:rsidP="009030B4">
      <w:pPr>
        <w:rPr>
          <w:lang w:eastAsia="da-DK"/>
        </w:rPr>
      </w:pPr>
    </w:p>
    <w:p w14:paraId="568ABF4A" w14:textId="1867A1CF" w:rsidR="009030B4" w:rsidRDefault="009030B4" w:rsidP="009030B4">
      <w:pPr>
        <w:pStyle w:val="Undertitel"/>
      </w:pPr>
      <w:bookmarkStart w:id="2281" w:name="_Toc244879445"/>
      <w:bookmarkStart w:id="2282" w:name="_Toc244880970"/>
      <w:r w:rsidRPr="00796736">
        <w:t>Til</w:t>
      </w:r>
      <w:r>
        <w:t xml:space="preserve"> </w:t>
      </w:r>
      <w:r>
        <w:fldChar w:fldCharType="begin"/>
      </w:r>
      <w:r>
        <w:instrText xml:space="preserve"> REF _Ref244871141 \r \h </w:instrText>
      </w:r>
      <w:r>
        <w:fldChar w:fldCharType="separate"/>
      </w:r>
      <w:r>
        <w:t>§ 149</w:t>
      </w:r>
      <w:bookmarkEnd w:id="2281"/>
      <w:bookmarkEnd w:id="2282"/>
      <w:r>
        <w:fldChar w:fldCharType="end"/>
      </w:r>
      <w:r>
        <w:t xml:space="preserve"> </w:t>
      </w:r>
    </w:p>
    <w:p w14:paraId="434E8060" w14:textId="77777777" w:rsidR="00390552" w:rsidRPr="00390552" w:rsidRDefault="00390552" w:rsidP="00390552">
      <w:pPr>
        <w:spacing w:line="360" w:lineRule="auto"/>
        <w:rPr>
          <w:rFonts w:ascii="Times New Roman" w:hAnsi="Times New Roman" w:cs="Times New Roman"/>
          <w:i/>
          <w:iCs/>
          <w:sz w:val="24"/>
          <w:szCs w:val="24"/>
        </w:rPr>
      </w:pPr>
      <w:r w:rsidRPr="00390552">
        <w:rPr>
          <w:rFonts w:ascii="Times New Roman" w:hAnsi="Times New Roman" w:cs="Times New Roman"/>
          <w:i/>
          <w:iCs/>
          <w:sz w:val="24"/>
          <w:szCs w:val="24"/>
        </w:rPr>
        <w:t>Til nr. 1 (1. pkt. til fodnoten i lov om forsikringsvirksomhed i tværgående pensionskasser, livsforsikringsselskaber og skadeforsikringsselskaber m.v.)</w:t>
      </w:r>
    </w:p>
    <w:p w14:paraId="359FBDD7"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hvilke EU-retsakter loven helt eller delvist gennemfører.</w:t>
      </w:r>
    </w:p>
    <w:p w14:paraId="6BBE636B" w14:textId="77777777" w:rsidR="00390552" w:rsidRPr="003D5D3B" w:rsidRDefault="00390552" w:rsidP="00390552">
      <w:pPr>
        <w:spacing w:line="360" w:lineRule="auto"/>
        <w:rPr>
          <w:rFonts w:ascii="Times New Roman" w:hAnsi="Times New Roman" w:cs="Times New Roman"/>
          <w:sz w:val="24"/>
          <w:szCs w:val="24"/>
        </w:rPr>
      </w:pPr>
    </w:p>
    <w:p w14:paraId="4C42A836"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fremgår af fodnoten, at loven bl.a. indeholder bestemmelser, der gennemfører dele af Europa-Parlamentets og Rådets direktiv 2015/849/EU af 20. maj 2015 om forebyggende foranstaltninger mod anvendelse af det finansielle system til hvidvask af penge eller finansiering af terrorisme.</w:t>
      </w:r>
    </w:p>
    <w:p w14:paraId="45D5A97C" w14:textId="77777777" w:rsidR="00390552" w:rsidRPr="003D5D3B" w:rsidRDefault="00390552" w:rsidP="00390552">
      <w:pPr>
        <w:spacing w:line="360" w:lineRule="auto"/>
        <w:rPr>
          <w:rFonts w:ascii="Times New Roman" w:hAnsi="Times New Roman" w:cs="Times New Roman"/>
          <w:sz w:val="24"/>
          <w:szCs w:val="24"/>
        </w:rPr>
      </w:pPr>
    </w:p>
    <w:p w14:paraId="343C07EB"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1. pkt.</w:t>
      </w:r>
      <w:r w:rsidRPr="003D5D3B">
        <w:rPr>
          <w:rFonts w:ascii="Times New Roman" w:hAnsi="Times New Roman" w:cs="Times New Roman"/>
          <w:sz w:val="24"/>
          <w:szCs w:val="24"/>
        </w:rPr>
        <w:t xml:space="preserve"> i fodnoten til lovens titel at lade henvisningen til dele af Europa-Parlamentets og Rådets direktiv 2015/849/EU udgå og at indsætte en henvisning til dele af Europa-Parlamentets og Rådets direktiv (EU) 2024/1640 af 31. maj 2024 om de mekanismer, som medlemsstaterne skal indføre for at forebygge anvendelse af det finansielle system til hvidvask af penge eller finansiering af terrorisme (6. hvidvaskdirektiv).</w:t>
      </w:r>
    </w:p>
    <w:p w14:paraId="47834A83" w14:textId="77777777" w:rsidR="00390552" w:rsidRPr="003D5D3B" w:rsidRDefault="00390552" w:rsidP="00390552">
      <w:pPr>
        <w:spacing w:line="360" w:lineRule="auto"/>
        <w:rPr>
          <w:rFonts w:ascii="Times New Roman" w:hAnsi="Times New Roman" w:cs="Times New Roman"/>
          <w:sz w:val="24"/>
          <w:szCs w:val="24"/>
        </w:rPr>
      </w:pPr>
    </w:p>
    <w:p w14:paraId="7E089636"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ophævelsen af Europa-Parlamentets og Rådets direktiv 2015/849/EU. Forslaget indebærer, at fodnoten til lovens titel opdateres, så den afspejler den fremtidige EU-retlige regulering på hvidvaskområdet.</w:t>
      </w:r>
    </w:p>
    <w:p w14:paraId="13D18064" w14:textId="77777777" w:rsidR="00390552" w:rsidRPr="003D5D3B" w:rsidRDefault="00390552" w:rsidP="00390552">
      <w:pPr>
        <w:spacing w:line="360" w:lineRule="auto"/>
        <w:rPr>
          <w:rFonts w:ascii="Times New Roman" w:hAnsi="Times New Roman" w:cs="Times New Roman"/>
          <w:sz w:val="24"/>
          <w:szCs w:val="24"/>
        </w:rPr>
      </w:pPr>
    </w:p>
    <w:p w14:paraId="2A779FA3" w14:textId="77777777" w:rsidR="00390552" w:rsidRPr="00390552" w:rsidRDefault="00390552" w:rsidP="00390552">
      <w:pPr>
        <w:spacing w:line="360" w:lineRule="auto"/>
        <w:rPr>
          <w:rFonts w:ascii="Times New Roman" w:hAnsi="Times New Roman" w:cs="Times New Roman"/>
          <w:i/>
          <w:iCs/>
          <w:sz w:val="24"/>
          <w:szCs w:val="24"/>
        </w:rPr>
      </w:pPr>
      <w:r w:rsidRPr="00390552">
        <w:rPr>
          <w:rFonts w:ascii="Times New Roman" w:hAnsi="Times New Roman" w:cs="Times New Roman"/>
          <w:i/>
          <w:iCs/>
          <w:sz w:val="24"/>
          <w:szCs w:val="24"/>
        </w:rPr>
        <w:t>Til nr. 2 (2. pkt. til fodnoten i lov om forsikringsvirksomhed i tværgående pensionskasser, livsforsikringsselskaber og skadeforsikringsselskaber m.v.)</w:t>
      </w:r>
    </w:p>
    <w:p w14:paraId="4A33FA2B"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Fodnoten til lovens titel angiver bl.a., hvilke EU-retsakter der er medtaget bestemmelser fra i loven.</w:t>
      </w:r>
    </w:p>
    <w:p w14:paraId="4E22E1A0" w14:textId="77777777" w:rsidR="00390552" w:rsidRPr="003D5D3B" w:rsidRDefault="00390552" w:rsidP="00390552">
      <w:pPr>
        <w:spacing w:line="360" w:lineRule="auto"/>
        <w:rPr>
          <w:rFonts w:ascii="Times New Roman" w:hAnsi="Times New Roman" w:cs="Times New Roman"/>
          <w:sz w:val="24"/>
          <w:szCs w:val="24"/>
        </w:rPr>
      </w:pPr>
    </w:p>
    <w:p w14:paraId="4711282D"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fodnoten til lovens titel at indsætte et </w:t>
      </w:r>
      <w:r w:rsidRPr="003D5D3B">
        <w:rPr>
          <w:rFonts w:ascii="Times New Roman" w:hAnsi="Times New Roman" w:cs="Times New Roman"/>
          <w:i/>
          <w:iCs/>
          <w:sz w:val="24"/>
          <w:szCs w:val="24"/>
        </w:rPr>
        <w:t>2. pkt</w:t>
      </w:r>
      <w:r w:rsidRPr="003D5D3B">
        <w:rPr>
          <w:rFonts w:ascii="Times New Roman" w:hAnsi="Times New Roman" w:cs="Times New Roman"/>
          <w:sz w:val="24"/>
          <w:szCs w:val="24"/>
        </w:rPr>
        <w:t>., hvorefter det fremgår, at der i loven er medtaget visse bestemmelser fra Europa-Parlamentets og Rådets forordning (EU) 2024/1624 af 31. maj 2024 om forebyggende foranstaltninger mod anvendelse af det finansielle system til hvidvask af penge eller finansiering af terrorisme.</w:t>
      </w:r>
    </w:p>
    <w:p w14:paraId="667E2FBF" w14:textId="77777777" w:rsidR="00390552" w:rsidRPr="003D5D3B" w:rsidRDefault="00390552" w:rsidP="00390552">
      <w:pPr>
        <w:spacing w:line="360" w:lineRule="auto"/>
        <w:rPr>
          <w:rFonts w:ascii="Times New Roman" w:hAnsi="Times New Roman" w:cs="Times New Roman"/>
          <w:sz w:val="24"/>
          <w:szCs w:val="24"/>
        </w:rPr>
      </w:pPr>
    </w:p>
    <w:p w14:paraId="783F170B"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ikrafttrædelsen af Europa-Parlamentets og Rådets forordning (EU) 2024/1624, der finder anvendelse fra den 10. juli 2027. Forslaget indebærer, at fodnoten til lovens titel opdateres med en henvisning til forordningen.</w:t>
      </w:r>
    </w:p>
    <w:p w14:paraId="573AF834" w14:textId="77777777" w:rsidR="00390552" w:rsidRPr="003D5D3B" w:rsidRDefault="00390552" w:rsidP="00390552">
      <w:pPr>
        <w:spacing w:line="360" w:lineRule="auto"/>
        <w:rPr>
          <w:rFonts w:ascii="Times New Roman" w:hAnsi="Times New Roman" w:cs="Times New Roman"/>
          <w:sz w:val="24"/>
          <w:szCs w:val="24"/>
        </w:rPr>
      </w:pPr>
    </w:p>
    <w:p w14:paraId="2763F2E4" w14:textId="77777777" w:rsidR="00390552" w:rsidRPr="00390552" w:rsidRDefault="00390552" w:rsidP="00390552">
      <w:pPr>
        <w:spacing w:line="360" w:lineRule="auto"/>
        <w:rPr>
          <w:rFonts w:ascii="Times New Roman" w:hAnsi="Times New Roman" w:cs="Times New Roman"/>
          <w:i/>
          <w:iCs/>
          <w:sz w:val="24"/>
          <w:szCs w:val="24"/>
        </w:rPr>
      </w:pPr>
      <w:r w:rsidRPr="00390552">
        <w:rPr>
          <w:rFonts w:ascii="Times New Roman" w:hAnsi="Times New Roman" w:cs="Times New Roman"/>
          <w:i/>
          <w:iCs/>
          <w:sz w:val="24"/>
          <w:szCs w:val="24"/>
        </w:rPr>
        <w:t>Til nr. 3 (§ 90, stk. 1, nr. 5, i lov om forsikringsvirksomhed i tværgående pensionskasser, livsforsikringsselskaber og skadeforsikringsselskaber m.v.)</w:t>
      </w:r>
    </w:p>
    <w:p w14:paraId="4069CBE7"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 90 i lov om forsikringsvirksomhed i tværgående pensionskasser, livsforsikringsselskaber og skadeforsikringsselskaber m.v. regulerer de kriterier, som Finanstilsynet skal lægge vægt på ved vurderingen af en ansøgning om erhvervelse eller forøgelse af en kvalificeret andel i et forsikringsselskab eller en forsikringsholdingvirksomhed.</w:t>
      </w:r>
    </w:p>
    <w:p w14:paraId="1042A529" w14:textId="77777777" w:rsidR="00390552" w:rsidRPr="003D5D3B" w:rsidRDefault="00390552" w:rsidP="00390552">
      <w:pPr>
        <w:spacing w:line="360" w:lineRule="auto"/>
        <w:rPr>
          <w:rFonts w:ascii="Times New Roman" w:hAnsi="Times New Roman" w:cs="Times New Roman"/>
          <w:sz w:val="24"/>
          <w:szCs w:val="24"/>
        </w:rPr>
      </w:pPr>
    </w:p>
    <w:p w14:paraId="35C023CD"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90, stk. 1, nr. 5, skal Finanstilsynet ved vurderingen bl.a. lægge vægt på, om der i forbindelse med den påtænkte erhvervelse er grund til at formode, at hvidvask af penge eller finansiering af terrorisme vil ske.</w:t>
      </w:r>
    </w:p>
    <w:p w14:paraId="51C040D2" w14:textId="77777777" w:rsidR="00390552" w:rsidRPr="003D5D3B" w:rsidRDefault="00390552" w:rsidP="00390552">
      <w:pPr>
        <w:spacing w:line="360" w:lineRule="auto"/>
        <w:rPr>
          <w:rFonts w:ascii="Times New Roman" w:hAnsi="Times New Roman" w:cs="Times New Roman"/>
          <w:sz w:val="24"/>
          <w:szCs w:val="24"/>
        </w:rPr>
      </w:pPr>
    </w:p>
    <w:p w14:paraId="272A42DF"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90, stk. 1, nr. 5</w:t>
      </w:r>
      <w:r w:rsidRPr="003D5D3B">
        <w:rPr>
          <w:rFonts w:ascii="Times New Roman" w:hAnsi="Times New Roman" w:cs="Times New Roman"/>
          <w:sz w:val="24"/>
          <w:szCs w:val="24"/>
        </w:rPr>
        <w:t>, at ændre henvisningen til §§ 3 og 4 i hvidvaskloven til artikel 2, nr. 1 og 2, i Europa-Parlamentets og Rådets forordning (EU) 2024/1624 af 31. maj 2024 om forebyggende foranstaltninger mod anvendelse af det finansielle system til hvidvask af penge eller finansiering af terrorisme.</w:t>
      </w:r>
    </w:p>
    <w:p w14:paraId="6C02DF3F" w14:textId="77777777" w:rsidR="00390552" w:rsidRPr="003D5D3B" w:rsidRDefault="00390552" w:rsidP="00390552">
      <w:pPr>
        <w:spacing w:line="360" w:lineRule="auto"/>
        <w:rPr>
          <w:rFonts w:ascii="Times New Roman" w:hAnsi="Times New Roman" w:cs="Times New Roman"/>
          <w:sz w:val="24"/>
          <w:szCs w:val="24"/>
        </w:rPr>
      </w:pPr>
    </w:p>
    <w:p w14:paraId="1B541EDC"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 Forslaget indebærer, at henvisningen til definitionerne af hvidvask og finansiering af terrorisme tilpasses den fremtidige EU-retlige regulering på hvidvaskområdet.</w:t>
      </w:r>
    </w:p>
    <w:p w14:paraId="129142BF" w14:textId="77777777" w:rsidR="00390552" w:rsidRPr="003D5D3B" w:rsidRDefault="00390552" w:rsidP="00390552">
      <w:pPr>
        <w:spacing w:line="360" w:lineRule="auto"/>
        <w:rPr>
          <w:rFonts w:ascii="Times New Roman" w:hAnsi="Times New Roman" w:cs="Times New Roman"/>
          <w:sz w:val="24"/>
          <w:szCs w:val="24"/>
        </w:rPr>
      </w:pPr>
    </w:p>
    <w:p w14:paraId="05309A18" w14:textId="77777777" w:rsidR="00390552" w:rsidRPr="00390552" w:rsidRDefault="00390552" w:rsidP="00390552">
      <w:pPr>
        <w:spacing w:line="360" w:lineRule="auto"/>
        <w:rPr>
          <w:rFonts w:ascii="Times New Roman" w:hAnsi="Times New Roman" w:cs="Times New Roman"/>
          <w:i/>
          <w:iCs/>
          <w:sz w:val="24"/>
          <w:szCs w:val="24"/>
        </w:rPr>
      </w:pPr>
      <w:r w:rsidRPr="00390552">
        <w:rPr>
          <w:rFonts w:ascii="Times New Roman" w:hAnsi="Times New Roman" w:cs="Times New Roman"/>
          <w:i/>
          <w:iCs/>
          <w:sz w:val="24"/>
          <w:szCs w:val="24"/>
        </w:rPr>
        <w:t>Til nr. 4 (§ 199, stk. 1, nr. 1, litra d, i lov om forsikringsvirksomhed i tværgående pensionskasser, livsforsikringsselskaber og skadeforsikringsselskaber m.v.)</w:t>
      </w:r>
    </w:p>
    <w:p w14:paraId="349438BA"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 199 i lov om forsikringsvirksomhed i tværgående pensionskasser, livsforsikringsselskaber og skadeforsikringsselskaber m.v. regulerer Finanstilsynets adgang til helt eller delvis at inddrage tilladelsen til at drive virksomhed som forsikringsselskab.</w:t>
      </w:r>
    </w:p>
    <w:p w14:paraId="2CDB582C" w14:textId="77777777" w:rsidR="00390552" w:rsidRPr="003D5D3B" w:rsidRDefault="00390552" w:rsidP="00390552">
      <w:pPr>
        <w:spacing w:line="360" w:lineRule="auto"/>
        <w:rPr>
          <w:rFonts w:ascii="Times New Roman" w:hAnsi="Times New Roman" w:cs="Times New Roman"/>
          <w:sz w:val="24"/>
          <w:szCs w:val="24"/>
        </w:rPr>
      </w:pPr>
    </w:p>
    <w:p w14:paraId="3550FF47"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199, stk. 1, nr. 1, kan Finanstilsynet bl.a. inddrage tilladelsen, hvis forsikringsselskabet gør sig skyldig i grove eller gentagne overtrædelser af de regler, der er nævnt i bestemmelsen.</w:t>
      </w:r>
    </w:p>
    <w:p w14:paraId="21A052F1" w14:textId="77777777" w:rsidR="00390552" w:rsidRPr="003D5D3B" w:rsidRDefault="00390552" w:rsidP="00390552">
      <w:pPr>
        <w:spacing w:line="360" w:lineRule="auto"/>
        <w:rPr>
          <w:rFonts w:ascii="Times New Roman" w:hAnsi="Times New Roman" w:cs="Times New Roman"/>
          <w:sz w:val="24"/>
          <w:szCs w:val="24"/>
        </w:rPr>
      </w:pPr>
    </w:p>
    <w:p w14:paraId="7F5E1A1C" w14:textId="77777777" w:rsidR="00390552"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199, stk. 1, nr. 1, litra d</w:t>
      </w:r>
      <w:r w:rsidRPr="003D5D3B">
        <w:rPr>
          <w:rFonts w:ascii="Times New Roman" w:hAnsi="Times New Roman" w:cs="Times New Roman"/>
          <w:sz w:val="24"/>
          <w:szCs w:val="24"/>
        </w:rPr>
        <w:t>, at bestemmelsen affattes således, at den omfatter grove eller gentagne overtrædelser af Europa-Parlamentets og Rådets forordning (EU) 2024/1624 af 31. maj 2024 om forebyggende foranstaltninger mod anvendelse af det finansielle system til hvidvask af penge eller finansiering af terrorisme, Europa-Parlamentets og Rådets direktiv (EU) 2024/1640 af 31. maj 2024 om de mekanismer, som medlemsstaterne skal indføre for at forebygge anvendelse af det finansielle system til hvidvask af penge eller finansiering af terrorisme, eller regler udstedt i medfør heraf.</w:t>
      </w:r>
    </w:p>
    <w:p w14:paraId="2F9E4629" w14:textId="77777777" w:rsidR="00390552" w:rsidRPr="003D5D3B" w:rsidRDefault="00390552" w:rsidP="00390552">
      <w:pPr>
        <w:spacing w:line="360" w:lineRule="auto"/>
        <w:rPr>
          <w:rFonts w:ascii="Times New Roman" w:hAnsi="Times New Roman" w:cs="Times New Roman"/>
          <w:sz w:val="24"/>
          <w:szCs w:val="24"/>
        </w:rPr>
      </w:pPr>
    </w:p>
    <w:p w14:paraId="581CA3C6" w14:textId="77777777" w:rsidR="00390552" w:rsidRPr="003D5D3B" w:rsidRDefault="00390552" w:rsidP="00390552">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 Forslaget indebærer, at Finanstilsynets adgang til at inddrage en tilladelse ved grove eller gentagne overtrædelser tilpasses den fremtidige EU-retlige regulering på hvidvaskområdet.</w:t>
      </w:r>
    </w:p>
    <w:p w14:paraId="1FD8B167" w14:textId="77777777" w:rsidR="009030B4" w:rsidRPr="009030B4" w:rsidRDefault="009030B4" w:rsidP="009030B4">
      <w:pPr>
        <w:rPr>
          <w:lang w:eastAsia="da-DK"/>
        </w:rPr>
      </w:pPr>
    </w:p>
    <w:p w14:paraId="23D96D6D" w14:textId="7A69A6C5" w:rsidR="009030B4" w:rsidRDefault="009030B4" w:rsidP="009030B4">
      <w:pPr>
        <w:pStyle w:val="Undertitel"/>
      </w:pPr>
      <w:bookmarkStart w:id="2283" w:name="_Toc244879446"/>
      <w:bookmarkStart w:id="2284" w:name="_Toc244880971"/>
      <w:r w:rsidRPr="00796736">
        <w:t>Til</w:t>
      </w:r>
      <w:r>
        <w:t xml:space="preserve"> </w:t>
      </w:r>
      <w:r>
        <w:fldChar w:fldCharType="begin"/>
      </w:r>
      <w:r>
        <w:instrText xml:space="preserve"> REF _Ref244871154 \r \h </w:instrText>
      </w:r>
      <w:r>
        <w:fldChar w:fldCharType="separate"/>
      </w:r>
      <w:r>
        <w:t>§ 150</w:t>
      </w:r>
      <w:bookmarkEnd w:id="2283"/>
      <w:bookmarkEnd w:id="2284"/>
      <w:r>
        <w:fldChar w:fldCharType="end"/>
      </w:r>
    </w:p>
    <w:p w14:paraId="3DC4B2BD" w14:textId="77777777" w:rsidR="005B47AF" w:rsidRPr="005B47AF" w:rsidRDefault="005B47AF" w:rsidP="005B47AF">
      <w:pPr>
        <w:spacing w:line="360" w:lineRule="auto"/>
        <w:rPr>
          <w:rFonts w:ascii="Times New Roman" w:hAnsi="Times New Roman" w:cs="Times New Roman"/>
          <w:i/>
          <w:iCs/>
          <w:sz w:val="24"/>
          <w:szCs w:val="24"/>
        </w:rPr>
      </w:pPr>
      <w:r w:rsidRPr="005B47AF">
        <w:rPr>
          <w:rFonts w:ascii="Times New Roman" w:hAnsi="Times New Roman" w:cs="Times New Roman"/>
          <w:i/>
          <w:iCs/>
          <w:sz w:val="24"/>
          <w:szCs w:val="24"/>
        </w:rPr>
        <w:t>Til nr. 1 (§ 29, stk. 1, nr. 9, i lov om forsikringsformidling)</w:t>
      </w:r>
    </w:p>
    <w:p w14:paraId="3E09C0C5" w14:textId="77777777" w:rsidR="005B47AF" w:rsidRPr="003D5D3B" w:rsidRDefault="005B47AF" w:rsidP="005B47AF">
      <w:pPr>
        <w:spacing w:line="360" w:lineRule="auto"/>
        <w:rPr>
          <w:rFonts w:ascii="Times New Roman" w:hAnsi="Times New Roman" w:cs="Times New Roman"/>
          <w:sz w:val="24"/>
          <w:szCs w:val="24"/>
        </w:rPr>
      </w:pPr>
      <w:r w:rsidRPr="003D5D3B">
        <w:rPr>
          <w:rFonts w:ascii="Times New Roman" w:hAnsi="Times New Roman" w:cs="Times New Roman"/>
          <w:sz w:val="24"/>
          <w:szCs w:val="24"/>
        </w:rPr>
        <w:t>§ 29 i lov om forsikringsformidling regulerer Finanstilsynets adgang til at inddrage en forsikringsformidlers og en genforsikringsformidlers tilladelse.</w:t>
      </w:r>
    </w:p>
    <w:p w14:paraId="173523AE" w14:textId="77777777" w:rsidR="005B47AF" w:rsidRDefault="005B47AF" w:rsidP="005B47AF">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29, stk. 1, nr. 9, kan Finanstilsynet inddrage en forsikringsformidlers eller genforsikringsformidlers tilladelse, hvis virksomheden gør sig skyldig i grove eller gentagne overtrædelser af hvidvaskloven.</w:t>
      </w:r>
    </w:p>
    <w:p w14:paraId="0A275D12" w14:textId="77777777" w:rsidR="005B47AF" w:rsidRPr="003D5D3B" w:rsidRDefault="005B47AF" w:rsidP="005B47AF">
      <w:pPr>
        <w:spacing w:line="360" w:lineRule="auto"/>
        <w:rPr>
          <w:rFonts w:ascii="Times New Roman" w:hAnsi="Times New Roman" w:cs="Times New Roman"/>
          <w:sz w:val="24"/>
          <w:szCs w:val="24"/>
        </w:rPr>
      </w:pPr>
    </w:p>
    <w:p w14:paraId="6CA68314" w14:textId="77777777" w:rsidR="005B47AF" w:rsidRDefault="005B47AF" w:rsidP="005B47AF">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29, stk. 1, nr. 9</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2520D534" w14:textId="77777777" w:rsidR="005B47AF" w:rsidRPr="003D5D3B" w:rsidRDefault="005B47AF" w:rsidP="005B47AF">
      <w:pPr>
        <w:spacing w:line="360" w:lineRule="auto"/>
        <w:rPr>
          <w:rFonts w:ascii="Times New Roman" w:hAnsi="Times New Roman" w:cs="Times New Roman"/>
          <w:sz w:val="24"/>
          <w:szCs w:val="24"/>
        </w:rPr>
      </w:pPr>
    </w:p>
    <w:p w14:paraId="4AFF914C" w14:textId="77777777" w:rsidR="005B47AF" w:rsidRPr="003D5D3B" w:rsidRDefault="005B47AF" w:rsidP="005B47AF">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5BF42A58" w14:textId="77777777" w:rsidR="009030B4" w:rsidRPr="009030B4" w:rsidRDefault="009030B4" w:rsidP="009030B4">
      <w:pPr>
        <w:rPr>
          <w:lang w:eastAsia="da-DK"/>
        </w:rPr>
      </w:pPr>
    </w:p>
    <w:p w14:paraId="6747A585" w14:textId="42003A9B" w:rsidR="009030B4" w:rsidRPr="00796736" w:rsidRDefault="009030B4" w:rsidP="009030B4">
      <w:pPr>
        <w:pStyle w:val="Undertitel"/>
      </w:pPr>
      <w:bookmarkStart w:id="2285" w:name="_Toc244879447"/>
      <w:bookmarkStart w:id="2286" w:name="_Toc244880972"/>
      <w:r w:rsidRPr="00796736">
        <w:t>Til</w:t>
      </w:r>
      <w:r>
        <w:t xml:space="preserve"> </w:t>
      </w:r>
      <w:r>
        <w:fldChar w:fldCharType="begin"/>
      </w:r>
      <w:r>
        <w:instrText xml:space="preserve"> REF _Ref244871162 \r \h </w:instrText>
      </w:r>
      <w:r>
        <w:fldChar w:fldCharType="separate"/>
      </w:r>
      <w:r>
        <w:t>§ 151</w:t>
      </w:r>
      <w:bookmarkEnd w:id="2285"/>
      <w:bookmarkEnd w:id="2286"/>
      <w:r>
        <w:fldChar w:fldCharType="end"/>
      </w:r>
    </w:p>
    <w:p w14:paraId="5420424F" w14:textId="77777777" w:rsidR="00B31F60" w:rsidRPr="00B31F60" w:rsidRDefault="00B31F60" w:rsidP="00B31F60">
      <w:pPr>
        <w:spacing w:line="360" w:lineRule="auto"/>
        <w:rPr>
          <w:rFonts w:ascii="Times New Roman" w:hAnsi="Times New Roman" w:cs="Times New Roman"/>
          <w:i/>
          <w:iCs/>
          <w:sz w:val="24"/>
          <w:szCs w:val="24"/>
        </w:rPr>
      </w:pPr>
      <w:r w:rsidRPr="00B31F60">
        <w:rPr>
          <w:rFonts w:ascii="Times New Roman" w:hAnsi="Times New Roman" w:cs="Times New Roman"/>
          <w:i/>
          <w:iCs/>
          <w:sz w:val="24"/>
          <w:szCs w:val="24"/>
        </w:rPr>
        <w:t>Til nr. 1 (§ 11, stk. 1, i lov om betalingskonti og basale erhvervskonti)</w:t>
      </w:r>
    </w:p>
    <w:p w14:paraId="749CC61C"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11 i lov om betalingskonti regulerer pengeinstitutters pligt til at tilbyde forbrugere en basal betalingskonto.</w:t>
      </w:r>
    </w:p>
    <w:p w14:paraId="04663922" w14:textId="77777777" w:rsidR="00B31F60" w:rsidRPr="003D5D3B" w:rsidRDefault="00B31F60" w:rsidP="00B31F60">
      <w:pPr>
        <w:spacing w:line="360" w:lineRule="auto"/>
        <w:rPr>
          <w:rFonts w:ascii="Times New Roman" w:hAnsi="Times New Roman" w:cs="Times New Roman"/>
          <w:sz w:val="24"/>
          <w:szCs w:val="24"/>
        </w:rPr>
      </w:pPr>
    </w:p>
    <w:p w14:paraId="3D691237"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11, stk. 1, skal pengeinstitutter tilbyde en forbruger en basal betalingskonto i danske kroner, medmindre åbning af en sådan konto vil føre til en overtrædelse af lov om forebyggende foranstaltninger mod hvidvask af udbytte og finansiering af terrorisme.</w:t>
      </w:r>
    </w:p>
    <w:p w14:paraId="08621396" w14:textId="77777777" w:rsidR="00B31F60" w:rsidRPr="003D5D3B" w:rsidRDefault="00B31F60" w:rsidP="00B31F60">
      <w:pPr>
        <w:spacing w:line="360" w:lineRule="auto"/>
        <w:rPr>
          <w:rFonts w:ascii="Times New Roman" w:hAnsi="Times New Roman" w:cs="Times New Roman"/>
          <w:sz w:val="24"/>
          <w:szCs w:val="24"/>
        </w:rPr>
      </w:pPr>
    </w:p>
    <w:p w14:paraId="02EC8D25"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11, stk. 1</w:t>
      </w:r>
      <w:r w:rsidRPr="003D5D3B">
        <w:rPr>
          <w:rFonts w:ascii="Times New Roman" w:hAnsi="Times New Roman" w:cs="Times New Roman"/>
          <w:sz w:val="24"/>
          <w:szCs w:val="24"/>
        </w:rPr>
        <w:t>, at ændre henvisningen til lov om forebyggende foranstaltninger mod hvidvask af udbytte og finansiering af terrorisme til Europa-Parlamentets og Rådets forordning (EU) 2024/1624 af 31. maj 2024 om forebyggende foranstaltninger mod anvendelse af det finansielle system til hvidvask af penge eller finansiering af terrorisme.</w:t>
      </w:r>
    </w:p>
    <w:p w14:paraId="5C0AE49B" w14:textId="77777777" w:rsidR="00B31F60" w:rsidRPr="003D5D3B" w:rsidRDefault="00B31F60" w:rsidP="00B31F60">
      <w:pPr>
        <w:spacing w:line="360" w:lineRule="auto"/>
        <w:rPr>
          <w:rFonts w:ascii="Times New Roman" w:hAnsi="Times New Roman" w:cs="Times New Roman"/>
          <w:sz w:val="24"/>
          <w:szCs w:val="24"/>
        </w:rPr>
      </w:pPr>
    </w:p>
    <w:p w14:paraId="47EF6AA8"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3F7F2F06" w14:textId="77777777" w:rsidR="00B31F60" w:rsidRPr="003D5D3B" w:rsidRDefault="00B31F60" w:rsidP="00B31F60">
      <w:pPr>
        <w:spacing w:line="360" w:lineRule="auto"/>
        <w:rPr>
          <w:rFonts w:ascii="Times New Roman" w:hAnsi="Times New Roman" w:cs="Times New Roman"/>
          <w:sz w:val="24"/>
          <w:szCs w:val="24"/>
        </w:rPr>
      </w:pPr>
    </w:p>
    <w:p w14:paraId="46DB7AF0" w14:textId="77777777" w:rsidR="00B31F60" w:rsidRPr="00B31F60" w:rsidRDefault="00B31F60" w:rsidP="00B31F60">
      <w:pPr>
        <w:spacing w:line="360" w:lineRule="auto"/>
        <w:rPr>
          <w:rFonts w:ascii="Times New Roman" w:hAnsi="Times New Roman" w:cs="Times New Roman"/>
          <w:i/>
          <w:iCs/>
          <w:sz w:val="24"/>
          <w:szCs w:val="24"/>
        </w:rPr>
      </w:pPr>
      <w:r w:rsidRPr="00B31F60">
        <w:rPr>
          <w:rFonts w:ascii="Times New Roman" w:hAnsi="Times New Roman" w:cs="Times New Roman"/>
          <w:i/>
          <w:iCs/>
          <w:sz w:val="24"/>
          <w:szCs w:val="24"/>
        </w:rPr>
        <w:t>Til nr. 2 (§ 11, stk. 4, i lov om betalingskonti og basale erhvervskonti)</w:t>
      </w:r>
    </w:p>
    <w:p w14:paraId="6D0813BD"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11, stk. 4, skal et pengeinstitut hurtigst muligt og senest 10 arbejdsdage efter modtagelsen af en fuldstændig ansøgning om en basal betalingskonto åbne en sådan konto eller give afslag herpå. Pengeinstituttet skal vederlagsfrit give forbrugeren en begrundelse for et afslag. Begrundelsen kan dog bl.a. udelades, hvis det er hensigtsmæssigt for at sikre fortrolighed om underretninger i henhold til lov om forebyggende foranstaltninger mod hvidvask af udbytte og finansiering af terrorisme.</w:t>
      </w:r>
    </w:p>
    <w:p w14:paraId="4D2660F3" w14:textId="77777777" w:rsidR="00B31F60" w:rsidRPr="003D5D3B" w:rsidRDefault="00B31F60" w:rsidP="00B31F60">
      <w:pPr>
        <w:spacing w:line="360" w:lineRule="auto"/>
        <w:rPr>
          <w:rFonts w:ascii="Times New Roman" w:hAnsi="Times New Roman" w:cs="Times New Roman"/>
          <w:sz w:val="24"/>
          <w:szCs w:val="24"/>
        </w:rPr>
      </w:pPr>
    </w:p>
    <w:p w14:paraId="69EA2F98"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11, stk. 4</w:t>
      </w:r>
      <w:r w:rsidRPr="003D5D3B">
        <w:rPr>
          <w:rFonts w:ascii="Times New Roman" w:hAnsi="Times New Roman" w:cs="Times New Roman"/>
          <w:sz w:val="24"/>
          <w:szCs w:val="24"/>
        </w:rPr>
        <w:t>, at ændre henvisningen til lov om forebyggende foranstaltninger mod hvidvask af udbytte og finansiering af terrorisme til Europa-Parlamentets og Rådets forordning (EU) 2024/1624 af 31. maj 2024 om forebyggende foranstaltninger mod anvendelse af det finansielle system til hvidvask af penge eller finansiering af terrorisme.</w:t>
      </w:r>
    </w:p>
    <w:p w14:paraId="5694479A" w14:textId="77777777" w:rsidR="00B31F60" w:rsidRPr="003D5D3B" w:rsidRDefault="00B31F60" w:rsidP="00B31F60">
      <w:pPr>
        <w:spacing w:line="360" w:lineRule="auto"/>
        <w:rPr>
          <w:rFonts w:ascii="Times New Roman" w:hAnsi="Times New Roman" w:cs="Times New Roman"/>
          <w:sz w:val="24"/>
          <w:szCs w:val="24"/>
        </w:rPr>
      </w:pPr>
    </w:p>
    <w:p w14:paraId="5830D6D3"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37CF8D9B" w14:textId="77777777" w:rsidR="00B31F60" w:rsidRPr="003D5D3B" w:rsidRDefault="00B31F60" w:rsidP="00B31F60">
      <w:pPr>
        <w:spacing w:line="360" w:lineRule="auto"/>
        <w:rPr>
          <w:rFonts w:ascii="Times New Roman" w:hAnsi="Times New Roman" w:cs="Times New Roman"/>
          <w:sz w:val="24"/>
          <w:szCs w:val="24"/>
        </w:rPr>
      </w:pPr>
    </w:p>
    <w:p w14:paraId="64AE391D" w14:textId="77777777" w:rsidR="00B31F60" w:rsidRPr="00B31F60" w:rsidRDefault="00B31F60" w:rsidP="00B31F60">
      <w:pPr>
        <w:spacing w:line="360" w:lineRule="auto"/>
        <w:rPr>
          <w:rFonts w:ascii="Times New Roman" w:hAnsi="Times New Roman" w:cs="Times New Roman"/>
          <w:i/>
          <w:iCs/>
          <w:sz w:val="24"/>
          <w:szCs w:val="24"/>
        </w:rPr>
      </w:pPr>
      <w:r w:rsidRPr="00B31F60">
        <w:rPr>
          <w:rFonts w:ascii="Times New Roman" w:hAnsi="Times New Roman" w:cs="Times New Roman"/>
          <w:i/>
          <w:iCs/>
          <w:sz w:val="24"/>
          <w:szCs w:val="24"/>
        </w:rPr>
        <w:t>Til nr. 3 (§ 13, stk. 2, i lov om betalingskonti og basale erhvervskonti)</w:t>
      </w:r>
    </w:p>
    <w:p w14:paraId="0AD1ECEC"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13 i lov om betalingskonti regulerer bl.a. pengeinstitutters opsigelse af rammeaftaler om basale betalingskonti.</w:t>
      </w:r>
    </w:p>
    <w:p w14:paraId="129BF7D3" w14:textId="77777777" w:rsidR="00B31F60" w:rsidRPr="003D5D3B" w:rsidRDefault="00B31F60" w:rsidP="00B31F60">
      <w:pPr>
        <w:spacing w:line="360" w:lineRule="auto"/>
        <w:rPr>
          <w:rFonts w:ascii="Times New Roman" w:hAnsi="Times New Roman" w:cs="Times New Roman"/>
          <w:sz w:val="24"/>
          <w:szCs w:val="24"/>
        </w:rPr>
      </w:pPr>
    </w:p>
    <w:p w14:paraId="327AD5FA"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 stk. 2, skal et pengeinstitut, der opsiger en rammeaftale, vederlagsfrit meddele forbrugeren begrundelsen for opsigelsen. Begrundelsen kan dog bl.a. udelades, hvis det er hensigtsmæssigt for at sikre fortrolighed om underretninger i henhold til lov om forebyggende foranstaltninger mod hvidvask af udbytte og finansiering af terrorisme.</w:t>
      </w:r>
    </w:p>
    <w:p w14:paraId="19D9B4A5" w14:textId="77777777" w:rsidR="00B31F60" w:rsidRPr="003D5D3B" w:rsidRDefault="00B31F60" w:rsidP="00B31F60">
      <w:pPr>
        <w:spacing w:line="360" w:lineRule="auto"/>
        <w:rPr>
          <w:rFonts w:ascii="Times New Roman" w:hAnsi="Times New Roman" w:cs="Times New Roman"/>
          <w:sz w:val="24"/>
          <w:szCs w:val="24"/>
        </w:rPr>
      </w:pPr>
    </w:p>
    <w:p w14:paraId="2D6FB329"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 stk. 2</w:t>
      </w:r>
      <w:r w:rsidRPr="003D5D3B">
        <w:rPr>
          <w:rFonts w:ascii="Times New Roman" w:hAnsi="Times New Roman" w:cs="Times New Roman"/>
          <w:sz w:val="24"/>
          <w:szCs w:val="24"/>
        </w:rPr>
        <w:t>, at ændre henvisningen til lov om forebyggende foranstaltninger mod hvidvask af udbytte og finansiering af terrorisme til Europa-Parlamentets og Rådets forordning (EU) 2024/1624 af 31. maj 2024 om forebyggende foranstaltninger mod anvendelse af det finansielle system til hvidvask af penge eller finansiering af terrorisme.</w:t>
      </w:r>
    </w:p>
    <w:p w14:paraId="5998B1D1" w14:textId="77777777" w:rsidR="00B31F60" w:rsidRPr="003D5D3B" w:rsidRDefault="00B31F60" w:rsidP="00B31F60">
      <w:pPr>
        <w:spacing w:line="360" w:lineRule="auto"/>
        <w:rPr>
          <w:rFonts w:ascii="Times New Roman" w:hAnsi="Times New Roman" w:cs="Times New Roman"/>
          <w:sz w:val="24"/>
          <w:szCs w:val="24"/>
        </w:rPr>
      </w:pPr>
    </w:p>
    <w:p w14:paraId="3138EF7B"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2AD18CC2" w14:textId="77777777" w:rsidR="00B31F60" w:rsidRPr="003D5D3B" w:rsidRDefault="00B31F60" w:rsidP="00B31F60">
      <w:pPr>
        <w:spacing w:line="360" w:lineRule="auto"/>
        <w:rPr>
          <w:rFonts w:ascii="Times New Roman" w:hAnsi="Times New Roman" w:cs="Times New Roman"/>
          <w:sz w:val="24"/>
          <w:szCs w:val="24"/>
        </w:rPr>
      </w:pPr>
    </w:p>
    <w:p w14:paraId="70481560" w14:textId="77777777" w:rsidR="00B31F60" w:rsidRPr="00B31F60" w:rsidRDefault="00B31F60" w:rsidP="00B31F60">
      <w:pPr>
        <w:spacing w:line="360" w:lineRule="auto"/>
        <w:rPr>
          <w:rFonts w:ascii="Times New Roman" w:hAnsi="Times New Roman" w:cs="Times New Roman"/>
          <w:i/>
          <w:iCs/>
          <w:sz w:val="24"/>
          <w:szCs w:val="24"/>
        </w:rPr>
      </w:pPr>
      <w:r w:rsidRPr="00B31F60">
        <w:rPr>
          <w:rFonts w:ascii="Times New Roman" w:hAnsi="Times New Roman" w:cs="Times New Roman"/>
          <w:i/>
          <w:iCs/>
          <w:sz w:val="24"/>
          <w:szCs w:val="24"/>
        </w:rPr>
        <w:t>Til nr. 4 (§ 13 c, stk. 3, nr. 1, i lov om betalingskonti og basale erhvervskonti)</w:t>
      </w:r>
    </w:p>
    <w:p w14:paraId="1868FFF6"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13 c i lov om betalingskonti regulerer institutters adgang til at afslå at åbne en basal erhvervskonto til en erhvervsdrivende eller en forening.</w:t>
      </w:r>
    </w:p>
    <w:p w14:paraId="74B55158" w14:textId="77777777" w:rsidR="00B31F60" w:rsidRPr="003D5D3B" w:rsidRDefault="00B31F60" w:rsidP="00B31F60">
      <w:pPr>
        <w:spacing w:line="360" w:lineRule="auto"/>
        <w:rPr>
          <w:rFonts w:ascii="Times New Roman" w:hAnsi="Times New Roman" w:cs="Times New Roman"/>
          <w:sz w:val="24"/>
          <w:szCs w:val="24"/>
        </w:rPr>
      </w:pPr>
    </w:p>
    <w:p w14:paraId="0F302C0E"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 c, stk. 3, nr. 1, kan et institut afslå at åbne en basal erhvervskonto, når den erhvervsdrivende eller foreningen ikke leverer de oplysninger, som instituttet stiller krav om for at gennemføre kundekendskabsproceduren efter kapitel 3 i hvidvaskloven.</w:t>
      </w:r>
    </w:p>
    <w:p w14:paraId="4159DB57" w14:textId="77777777" w:rsidR="00B31F60" w:rsidRPr="003D5D3B" w:rsidRDefault="00B31F60" w:rsidP="00B31F60">
      <w:pPr>
        <w:spacing w:line="360" w:lineRule="auto"/>
        <w:rPr>
          <w:rFonts w:ascii="Times New Roman" w:hAnsi="Times New Roman" w:cs="Times New Roman"/>
          <w:sz w:val="24"/>
          <w:szCs w:val="24"/>
        </w:rPr>
      </w:pPr>
    </w:p>
    <w:p w14:paraId="4616C497"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 c, stk. 3, nr. 1</w:t>
      </w:r>
      <w:r w:rsidRPr="003D5D3B">
        <w:rPr>
          <w:rFonts w:ascii="Times New Roman" w:hAnsi="Times New Roman" w:cs="Times New Roman"/>
          <w:sz w:val="24"/>
          <w:szCs w:val="24"/>
        </w:rPr>
        <w:t>, at ændre henvisningen til kapitel 3 i hvidvaskloven til kapitel III i Europa-Parlamentets og Rådets forordning (EU) 2024/1624 af 31. maj 2024 om forebyggende foranstaltninger mod anvendelse af det finansielle system til hvidvask af penge eller finansiering af terrorisme.</w:t>
      </w:r>
    </w:p>
    <w:p w14:paraId="55E3978D" w14:textId="77777777" w:rsidR="00B31F60" w:rsidRPr="003D5D3B" w:rsidRDefault="00B31F60" w:rsidP="00B31F60">
      <w:pPr>
        <w:spacing w:line="360" w:lineRule="auto"/>
        <w:rPr>
          <w:rFonts w:ascii="Times New Roman" w:hAnsi="Times New Roman" w:cs="Times New Roman"/>
          <w:sz w:val="24"/>
          <w:szCs w:val="24"/>
        </w:rPr>
      </w:pPr>
    </w:p>
    <w:p w14:paraId="7280B4D6" w14:textId="77777777" w:rsidR="00B31F60" w:rsidRPr="003D5D3B"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4EA669BB" w14:textId="77777777" w:rsidR="00B31F60" w:rsidRPr="003D5D3B"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Til nr. 5 </w:t>
      </w:r>
      <w:r w:rsidRPr="003D5D3B">
        <w:rPr>
          <w:rFonts w:ascii="Times New Roman" w:hAnsi="Times New Roman" w:cs="Times New Roman"/>
          <w:i/>
          <w:iCs/>
          <w:sz w:val="24"/>
          <w:szCs w:val="24"/>
        </w:rPr>
        <w:t>(§ 13 c, stk. 3, nr. 2, i lov om betalingskonti og basale erhvervskonti)</w:t>
      </w:r>
    </w:p>
    <w:p w14:paraId="61330BAA"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 c, stk. 3, nr. 2, kan et institut afslå at åbne en basal erhvervskonto, når instituttet i øvrigt har viden om, mistanke om eller rimelig grund til at formode, at den erhvervsdrivende eller ejere heraf, foreningen eller personer, der optræder på den erhvervsdrivendes eller foreningens vegne, har udført eller vil udføre transaktioner eller aktiviteter, som har medført eller vil medføre underretningspligt efter § 26, stk. 1, i hvidvaskloven.</w:t>
      </w:r>
    </w:p>
    <w:p w14:paraId="22E6DDB1" w14:textId="77777777" w:rsidR="00B31F60" w:rsidRPr="003D5D3B" w:rsidRDefault="00B31F60" w:rsidP="00B31F60">
      <w:pPr>
        <w:spacing w:line="360" w:lineRule="auto"/>
        <w:rPr>
          <w:rFonts w:ascii="Times New Roman" w:hAnsi="Times New Roman" w:cs="Times New Roman"/>
          <w:sz w:val="24"/>
          <w:szCs w:val="24"/>
        </w:rPr>
      </w:pPr>
    </w:p>
    <w:p w14:paraId="7E5365B3"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 c, stk. 3, nr. 2</w:t>
      </w:r>
      <w:r w:rsidRPr="003D5D3B">
        <w:rPr>
          <w:rFonts w:ascii="Times New Roman" w:hAnsi="Times New Roman" w:cs="Times New Roman"/>
          <w:sz w:val="24"/>
          <w:szCs w:val="24"/>
        </w:rPr>
        <w:t>, at ændre henvisningen til § 26, stk. 1, i hvidvaskloven til artikel 69 i Europa-Parlamentets og Rådets forordning (EU) 2024/1624 af 31. maj 2024 om forebyggende foranstaltninger mod anvendelse af det finansielle system til hvidvask af penge eller finansiering af terrorisme.</w:t>
      </w:r>
    </w:p>
    <w:p w14:paraId="07948F3A" w14:textId="77777777" w:rsidR="00B31F60" w:rsidRPr="003D5D3B" w:rsidRDefault="00B31F60" w:rsidP="00B31F60">
      <w:pPr>
        <w:spacing w:line="360" w:lineRule="auto"/>
        <w:rPr>
          <w:rFonts w:ascii="Times New Roman" w:hAnsi="Times New Roman" w:cs="Times New Roman"/>
          <w:sz w:val="24"/>
          <w:szCs w:val="24"/>
        </w:rPr>
      </w:pPr>
    </w:p>
    <w:p w14:paraId="60718846"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6F7AF89A" w14:textId="77777777" w:rsidR="00B31F60" w:rsidRPr="003D5D3B" w:rsidRDefault="00B31F60" w:rsidP="00B31F60">
      <w:pPr>
        <w:spacing w:line="360" w:lineRule="auto"/>
        <w:rPr>
          <w:rFonts w:ascii="Times New Roman" w:hAnsi="Times New Roman" w:cs="Times New Roman"/>
          <w:sz w:val="24"/>
          <w:szCs w:val="24"/>
        </w:rPr>
      </w:pPr>
    </w:p>
    <w:p w14:paraId="7E85D631" w14:textId="77777777" w:rsidR="00B31F60" w:rsidRPr="00B31F60" w:rsidRDefault="00B31F60" w:rsidP="00B31F60">
      <w:pPr>
        <w:spacing w:line="360" w:lineRule="auto"/>
        <w:rPr>
          <w:rFonts w:ascii="Times New Roman" w:hAnsi="Times New Roman" w:cs="Times New Roman"/>
          <w:i/>
          <w:iCs/>
          <w:sz w:val="24"/>
          <w:szCs w:val="24"/>
        </w:rPr>
      </w:pPr>
      <w:r w:rsidRPr="00B31F60">
        <w:rPr>
          <w:rFonts w:ascii="Times New Roman" w:hAnsi="Times New Roman" w:cs="Times New Roman"/>
          <w:i/>
          <w:iCs/>
          <w:sz w:val="24"/>
          <w:szCs w:val="24"/>
        </w:rPr>
        <w:t>Til nr. 6 (§ 13 c, stk. 7, i lov om betalingskonti og basale erhvervskonti)</w:t>
      </w:r>
    </w:p>
    <w:p w14:paraId="6F772429"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 c, stk. 6, skal et institut vederlagsfrit give den erhvervsdrivende eller foreningen en begrundelse for et afslag på en ansøgning om en basal erhvervskonto. Efter § 13 c, stk. 7, kan begrundelsen dog bl.a. udelades, hvis det er nødvendigt for at sikre fortrolighed om underretninger i henhold til hvidvaskloven.</w:t>
      </w:r>
    </w:p>
    <w:p w14:paraId="2601F6A5" w14:textId="77777777" w:rsidR="00B31F60" w:rsidRPr="003D5D3B" w:rsidRDefault="00B31F60" w:rsidP="00B31F60">
      <w:pPr>
        <w:spacing w:line="360" w:lineRule="auto"/>
        <w:rPr>
          <w:rFonts w:ascii="Times New Roman" w:hAnsi="Times New Roman" w:cs="Times New Roman"/>
          <w:sz w:val="24"/>
          <w:szCs w:val="24"/>
        </w:rPr>
      </w:pPr>
    </w:p>
    <w:p w14:paraId="48B33D98" w14:textId="77777777" w:rsidR="00B31F60" w:rsidRPr="003D5D3B"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 c, stk. 7</w:t>
      </w:r>
      <w:r w:rsidRPr="003D5D3B">
        <w:rPr>
          <w:rFonts w:ascii="Times New Roman" w:hAnsi="Times New Roman" w:cs="Times New Roman"/>
          <w:sz w:val="24"/>
          <w:szCs w:val="24"/>
        </w:rPr>
        <w:t>, at ændre henvisningen til hvidvaskloven til Europa-Parlamentets og Rådets forordning (EU) 2024/1624 af 31. maj 2024 om forebyggende foranstaltninger mod anvendelse af det finansielle system til hvidvask af penge eller finansiering af terrorisme.</w:t>
      </w:r>
    </w:p>
    <w:p w14:paraId="1F4EBE12"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5F66BBDA" w14:textId="77777777" w:rsidR="00B31F60" w:rsidRPr="003D5D3B" w:rsidRDefault="00B31F60" w:rsidP="00B31F60">
      <w:pPr>
        <w:spacing w:line="360" w:lineRule="auto"/>
        <w:rPr>
          <w:rFonts w:ascii="Times New Roman" w:hAnsi="Times New Roman" w:cs="Times New Roman"/>
          <w:sz w:val="24"/>
          <w:szCs w:val="24"/>
        </w:rPr>
      </w:pPr>
    </w:p>
    <w:p w14:paraId="2ADE87D1" w14:textId="77777777" w:rsidR="00B31F60" w:rsidRPr="00B31F60" w:rsidRDefault="00B31F60" w:rsidP="00B31F60">
      <w:pPr>
        <w:spacing w:line="360" w:lineRule="auto"/>
        <w:rPr>
          <w:rFonts w:ascii="Times New Roman" w:hAnsi="Times New Roman" w:cs="Times New Roman"/>
          <w:i/>
          <w:iCs/>
          <w:sz w:val="24"/>
          <w:szCs w:val="24"/>
        </w:rPr>
      </w:pPr>
      <w:r w:rsidRPr="00B31F60">
        <w:rPr>
          <w:rFonts w:ascii="Times New Roman" w:hAnsi="Times New Roman" w:cs="Times New Roman"/>
          <w:i/>
          <w:iCs/>
          <w:sz w:val="24"/>
          <w:szCs w:val="24"/>
        </w:rPr>
        <w:t>Til nr. 7 (§ 13 e, stk. 1, nr. 9, i lov om betalingskonti og basale erhvervskonti)</w:t>
      </w:r>
    </w:p>
    <w:p w14:paraId="360D1725"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13 e i lov om betalingskonti regulerer institutters adgang til at opsige en rammeaftale med en erhvervsdrivende eller en forening, der giver adgang til en basal erhvervskonto.</w:t>
      </w:r>
    </w:p>
    <w:p w14:paraId="055A3D6A" w14:textId="77777777" w:rsidR="00B31F60" w:rsidRPr="003D5D3B" w:rsidRDefault="00B31F60" w:rsidP="00B31F60">
      <w:pPr>
        <w:spacing w:line="360" w:lineRule="auto"/>
        <w:rPr>
          <w:rFonts w:ascii="Times New Roman" w:hAnsi="Times New Roman" w:cs="Times New Roman"/>
          <w:sz w:val="24"/>
          <w:szCs w:val="24"/>
        </w:rPr>
      </w:pPr>
    </w:p>
    <w:p w14:paraId="2F3DC574"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 e, stk. 1, nr. 9, kan et institut opsige en rammeaftale, hvis instituttet har underrettet Hvidvasksekretariatet om transaktioner eller aktiviteter, der involverer den erhvervsdrivende eller ejere heraf, foreningen eller personer, der optræder på den erhvervsdrivendes eller foreningens vegne, efter § 26, stk. 1, i hvidvaskloven.</w:t>
      </w:r>
    </w:p>
    <w:p w14:paraId="07B29C6F" w14:textId="77777777" w:rsidR="00B31F60" w:rsidRPr="003D5D3B" w:rsidRDefault="00B31F60" w:rsidP="00B31F60">
      <w:pPr>
        <w:spacing w:line="360" w:lineRule="auto"/>
        <w:rPr>
          <w:rFonts w:ascii="Times New Roman" w:hAnsi="Times New Roman" w:cs="Times New Roman"/>
          <w:sz w:val="24"/>
          <w:szCs w:val="24"/>
        </w:rPr>
      </w:pPr>
    </w:p>
    <w:p w14:paraId="6FCCB2E7"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 e, stk. 1, nr. 9</w:t>
      </w:r>
      <w:r w:rsidRPr="003D5D3B">
        <w:rPr>
          <w:rFonts w:ascii="Times New Roman" w:hAnsi="Times New Roman" w:cs="Times New Roman"/>
          <w:sz w:val="24"/>
          <w:szCs w:val="24"/>
        </w:rPr>
        <w:t>, at ændre henvisningen til § 26, stk. 1, i hvidvaskloven til artikel 69 i Europa-Parlamentets og Rådets forordning (EU) 2024/1624 af 31. maj 2024 om forebyggende foranstaltninger mod anvendelse af det finansielle system til hvidvask af penge eller finansiering af terrorisme.</w:t>
      </w:r>
    </w:p>
    <w:p w14:paraId="1AF3F17E" w14:textId="77777777" w:rsidR="00B31F60" w:rsidRPr="003D5D3B" w:rsidRDefault="00B31F60" w:rsidP="00B31F60">
      <w:pPr>
        <w:spacing w:line="360" w:lineRule="auto"/>
        <w:rPr>
          <w:rFonts w:ascii="Times New Roman" w:hAnsi="Times New Roman" w:cs="Times New Roman"/>
          <w:sz w:val="24"/>
          <w:szCs w:val="24"/>
        </w:rPr>
      </w:pPr>
    </w:p>
    <w:p w14:paraId="1AF837DD"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3A7B5C62" w14:textId="77777777" w:rsidR="00B31F60" w:rsidRPr="00B31F60" w:rsidRDefault="00B31F60" w:rsidP="00B31F60">
      <w:pPr>
        <w:spacing w:line="360" w:lineRule="auto"/>
        <w:rPr>
          <w:rFonts w:ascii="Times New Roman" w:hAnsi="Times New Roman" w:cs="Times New Roman"/>
          <w:i/>
          <w:iCs/>
          <w:sz w:val="24"/>
          <w:szCs w:val="24"/>
        </w:rPr>
      </w:pPr>
    </w:p>
    <w:p w14:paraId="3F83DB26" w14:textId="77777777" w:rsidR="00B31F60" w:rsidRPr="00B31F60" w:rsidRDefault="00B31F60" w:rsidP="00B31F60">
      <w:pPr>
        <w:spacing w:line="360" w:lineRule="auto"/>
        <w:rPr>
          <w:rFonts w:ascii="Times New Roman" w:hAnsi="Times New Roman" w:cs="Times New Roman"/>
          <w:i/>
          <w:iCs/>
          <w:sz w:val="24"/>
          <w:szCs w:val="24"/>
        </w:rPr>
      </w:pPr>
      <w:r w:rsidRPr="00B31F60">
        <w:rPr>
          <w:rFonts w:ascii="Times New Roman" w:hAnsi="Times New Roman" w:cs="Times New Roman"/>
          <w:i/>
          <w:iCs/>
          <w:sz w:val="24"/>
          <w:szCs w:val="24"/>
        </w:rPr>
        <w:t>Til nr. 8 (§ 13 e, stk. 1, nr. 11, i lov om betalingskonti og basale erhvervskonti)</w:t>
      </w:r>
    </w:p>
    <w:p w14:paraId="407B0DAE"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 e, stk. 1, nr. 11, kan et institut opsige en rammeaftale med en erhvervsdrivende eller en forening, der giver adgang til en basal erhvervskonto, hvis instituttet har pligt til at afbryde eller afvikle forretningsforbindelsen efter § 14, stk. 5, 1. pkt., eller § 15 i hvidvaskloven.</w:t>
      </w:r>
    </w:p>
    <w:p w14:paraId="2C194347" w14:textId="77777777" w:rsidR="00B31F60" w:rsidRPr="003D5D3B" w:rsidRDefault="00B31F60" w:rsidP="00B31F60">
      <w:pPr>
        <w:spacing w:line="360" w:lineRule="auto"/>
        <w:rPr>
          <w:rFonts w:ascii="Times New Roman" w:hAnsi="Times New Roman" w:cs="Times New Roman"/>
          <w:sz w:val="24"/>
          <w:szCs w:val="24"/>
        </w:rPr>
      </w:pPr>
    </w:p>
    <w:p w14:paraId="4BC8B3FC" w14:textId="77777777" w:rsidR="00B31F60" w:rsidRPr="003D5D3B"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 e, stk. 1, nr. 11</w:t>
      </w:r>
      <w:r w:rsidRPr="003D5D3B">
        <w:rPr>
          <w:rFonts w:ascii="Times New Roman" w:hAnsi="Times New Roman" w:cs="Times New Roman"/>
          <w:sz w:val="24"/>
          <w:szCs w:val="24"/>
        </w:rPr>
        <w:t>, at ændre henvisningen til § 14, stk. 5, 1. pkt., eller § 15 i hvidvaskloven til artikel 21, stk. 1, i Europa-Parlamentets og Rådets forordning (EU) 2024/1624 af 31. maj 2024 om forebyggende foranstaltninger mod anvendelse af det finansielle system til hvidvask af penge eller finansiering af terrorisme.</w:t>
      </w:r>
    </w:p>
    <w:p w14:paraId="6DADBA56"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2E608C60" w14:textId="77777777" w:rsidR="00B31F60" w:rsidRPr="003D5D3B" w:rsidRDefault="00B31F60" w:rsidP="00B31F60">
      <w:pPr>
        <w:spacing w:line="360" w:lineRule="auto"/>
        <w:rPr>
          <w:rFonts w:ascii="Times New Roman" w:hAnsi="Times New Roman" w:cs="Times New Roman"/>
          <w:sz w:val="24"/>
          <w:szCs w:val="24"/>
        </w:rPr>
      </w:pPr>
    </w:p>
    <w:p w14:paraId="3CD275BF" w14:textId="77777777" w:rsidR="00B31F60" w:rsidRPr="00B31F60" w:rsidRDefault="00B31F60" w:rsidP="00B31F60">
      <w:pPr>
        <w:spacing w:line="360" w:lineRule="auto"/>
        <w:rPr>
          <w:rFonts w:ascii="Times New Roman" w:hAnsi="Times New Roman" w:cs="Times New Roman"/>
          <w:i/>
          <w:iCs/>
          <w:sz w:val="24"/>
          <w:szCs w:val="24"/>
        </w:rPr>
      </w:pPr>
      <w:r w:rsidRPr="00B31F60">
        <w:rPr>
          <w:rFonts w:ascii="Times New Roman" w:hAnsi="Times New Roman" w:cs="Times New Roman"/>
          <w:i/>
          <w:iCs/>
          <w:sz w:val="24"/>
          <w:szCs w:val="24"/>
        </w:rPr>
        <w:t>Til nr. 9 (§ 13 e, stk. 4, i lov om betalingskonti og basale erhvervskonti)</w:t>
      </w:r>
    </w:p>
    <w:p w14:paraId="70FBE7A4" w14:textId="77777777" w:rsid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13 e, stk. 2, skal et institut, der opsiger en rammeaftale om en basal erhvervskonto, vederlagsfrit meddele den erhvervsdrivende eller foreningen begrundelsen for opsigelsen. Efter § 13 e, stk. 4, kan begrundelsen dog bl.a. udelades, hvis det er nødvendigt for at sikre fortrolighed om underretninger i henhold til hvidvaskloven.</w:t>
      </w:r>
    </w:p>
    <w:p w14:paraId="229807BE" w14:textId="77777777" w:rsidR="00B31F60" w:rsidRPr="003D5D3B" w:rsidRDefault="00B31F60" w:rsidP="00B31F60">
      <w:pPr>
        <w:spacing w:line="360" w:lineRule="auto"/>
        <w:rPr>
          <w:rFonts w:ascii="Times New Roman" w:hAnsi="Times New Roman" w:cs="Times New Roman"/>
          <w:sz w:val="24"/>
          <w:szCs w:val="24"/>
        </w:rPr>
      </w:pPr>
    </w:p>
    <w:p w14:paraId="0AF274D2" w14:textId="77777777" w:rsidR="00B31F60" w:rsidRPr="003D5D3B"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13 e, stk. 4</w:t>
      </w:r>
      <w:r w:rsidRPr="003D5D3B">
        <w:rPr>
          <w:rFonts w:ascii="Times New Roman" w:hAnsi="Times New Roman" w:cs="Times New Roman"/>
          <w:sz w:val="24"/>
          <w:szCs w:val="24"/>
        </w:rPr>
        <w:t>, at ændre henvisningen til hvidvaskloven til Europa-Parlamentets og Rådets forordning (EU) 2024/1624 af 31. maj 2024 om forebyggende foranstaltninger mod anvendelse af det finansielle system til hvidvask af penge eller finansiering af terrorisme.</w:t>
      </w:r>
    </w:p>
    <w:p w14:paraId="42A5BEA0" w14:textId="07FD0D1D" w:rsidR="009030B4" w:rsidRPr="00B31F60" w:rsidRDefault="00B31F60" w:rsidP="00B31F60">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0CF9BDD0" w14:textId="77777777" w:rsidR="009030B4" w:rsidRPr="00796736" w:rsidRDefault="009030B4" w:rsidP="00A802A5">
      <w:pPr>
        <w:spacing w:line="360" w:lineRule="auto"/>
        <w:rPr>
          <w:rFonts w:ascii="Times New Roman" w:hAnsi="Times New Roman" w:cs="Times New Roman"/>
          <w:sz w:val="24"/>
          <w:szCs w:val="24"/>
        </w:rPr>
      </w:pPr>
    </w:p>
    <w:p w14:paraId="11DAD30B" w14:textId="77777777" w:rsidR="00686975" w:rsidRPr="00796736" w:rsidRDefault="00686975" w:rsidP="00A802A5">
      <w:pPr>
        <w:spacing w:line="360" w:lineRule="auto"/>
        <w:rPr>
          <w:rFonts w:ascii="Times New Roman" w:hAnsi="Times New Roman" w:cs="Times New Roman"/>
          <w:sz w:val="24"/>
          <w:szCs w:val="24"/>
        </w:rPr>
      </w:pPr>
    </w:p>
    <w:p w14:paraId="67274403" w14:textId="653B3DCC" w:rsidR="00686975" w:rsidRPr="00796736" w:rsidRDefault="00686975" w:rsidP="00A802A5">
      <w:pPr>
        <w:pStyle w:val="Undertitel"/>
      </w:pPr>
      <w:r w:rsidRPr="00796736">
        <w:tab/>
      </w:r>
      <w:bookmarkStart w:id="2287" w:name="_Toc244879448"/>
      <w:bookmarkStart w:id="2288" w:name="_Toc244880973"/>
      <w:r w:rsidRPr="00796736">
        <w:t>Ti</w:t>
      </w:r>
      <w:r w:rsidR="00257C4E">
        <w:t xml:space="preserve">l </w:t>
      </w:r>
      <w:r w:rsidR="00257C4E">
        <w:fldChar w:fldCharType="begin"/>
      </w:r>
      <w:r w:rsidR="00257C4E">
        <w:instrText xml:space="preserve"> REF _Ref244867083 \r \h </w:instrText>
      </w:r>
      <w:r w:rsidR="00257C4E">
        <w:fldChar w:fldCharType="separate"/>
      </w:r>
      <w:r w:rsidR="008F29E5">
        <w:t>§ 152</w:t>
      </w:r>
      <w:bookmarkEnd w:id="2287"/>
      <w:bookmarkEnd w:id="2288"/>
      <w:r w:rsidR="00257C4E">
        <w:fldChar w:fldCharType="end"/>
      </w:r>
    </w:p>
    <w:p w14:paraId="0F796831"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1 (Fodnoten til lov om forbrugslånsvirksomheder og registrering af kreditformidlere)</w:t>
      </w:r>
    </w:p>
    <w:p w14:paraId="3F9EE02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Lov om forbrugslånsvirksomheder og registrering af kreditformidlere har i dag ikke en fodnote om implementering af et EU-direktiv på hvidvaskområdet.</w:t>
      </w:r>
    </w:p>
    <w:p w14:paraId="4D0A8638" w14:textId="77777777" w:rsidR="00B969C9" w:rsidRPr="008D5552" w:rsidRDefault="00B969C9" w:rsidP="00B969C9">
      <w:pPr>
        <w:spacing w:line="360" w:lineRule="auto"/>
        <w:rPr>
          <w:rFonts w:ascii="Times New Roman" w:hAnsi="Times New Roman" w:cs="Times New Roman"/>
          <w:sz w:val="24"/>
          <w:szCs w:val="24"/>
        </w:rPr>
      </w:pPr>
    </w:p>
    <w:p w14:paraId="27CBFFD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at fodnoten til lovens titel ændres således, at det fremgår, at loven indeholder bestemmelser, der gennemfører dele af </w:t>
      </w:r>
      <w:r w:rsidRPr="008D5552">
        <w:rPr>
          <w:rFonts w:ascii="Times New Roman" w:eastAsia="Times New Roman" w:hAnsi="Times New Roman" w:cs="Times New Roman"/>
          <w:sz w:val="24"/>
          <w:szCs w:val="24"/>
          <w:lang w:eastAsia="da-DK"/>
        </w:rPr>
        <w:t>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r w:rsidRPr="008D5552">
        <w:rPr>
          <w:rFonts w:ascii="Times New Roman" w:hAnsi="Times New Roman" w:cs="Times New Roman"/>
          <w:sz w:val="24"/>
          <w:szCs w:val="24"/>
        </w:rPr>
        <w:t>.</w:t>
      </w:r>
    </w:p>
    <w:p w14:paraId="5821B6DD" w14:textId="77777777" w:rsidR="00B969C9" w:rsidRPr="008D5552" w:rsidRDefault="00B969C9" w:rsidP="00B969C9">
      <w:pPr>
        <w:spacing w:line="360" w:lineRule="auto"/>
        <w:rPr>
          <w:rFonts w:ascii="Times New Roman" w:hAnsi="Times New Roman" w:cs="Times New Roman"/>
          <w:sz w:val="24"/>
          <w:szCs w:val="24"/>
        </w:rPr>
      </w:pPr>
    </w:p>
    <w:p w14:paraId="2071102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ændring vil medføre, at det vil fremgå af fodnoten til lovens titel, at loven indeholder bestemmelser, der gennemfører 6. hvidvaskdirektiv, herunder bl.a. registrerings- hæderlighedskrav for kreditformidlere og kreditformidleres øverste ledelse, når kreditformidleren er omfattet af artikel 3, stk. 3, litra k, i Europa-Parlamentets og Rådets forordning (EU) 2024/1624 af 31. maj 2024 om forebyggende foranstaltninger mod anvendelse af det finansielle system til hvidvask af penge eller finansiering af terrorisme.</w:t>
      </w:r>
    </w:p>
    <w:p w14:paraId="2C84A5A5" w14:textId="77777777" w:rsidR="00B969C9" w:rsidRPr="008D5552" w:rsidRDefault="00B969C9" w:rsidP="00B969C9">
      <w:pPr>
        <w:spacing w:line="360" w:lineRule="auto"/>
        <w:rPr>
          <w:rFonts w:ascii="Times New Roman" w:hAnsi="Times New Roman" w:cs="Times New Roman"/>
          <w:sz w:val="24"/>
          <w:szCs w:val="24"/>
        </w:rPr>
      </w:pPr>
    </w:p>
    <w:p w14:paraId="77D374B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Med den foreslåede bestemmelse gennemføres 6. hvidvaskdirektivs artikel 78, stk. 1, 3. afsnit, hvorefter de nationale love og bestemmelser, der gennemfører 6. hvidvaskdirektiv, ved vedtagelse eller offentliggørelse skal indeholde en henvisning til direktivet.</w:t>
      </w:r>
    </w:p>
    <w:p w14:paraId="06329A02" w14:textId="77777777" w:rsidR="00B969C9" w:rsidRPr="008D5552" w:rsidRDefault="00B969C9" w:rsidP="00B969C9">
      <w:pPr>
        <w:spacing w:line="360" w:lineRule="auto"/>
        <w:rPr>
          <w:rFonts w:ascii="Times New Roman" w:hAnsi="Times New Roman" w:cs="Times New Roman"/>
          <w:sz w:val="24"/>
          <w:szCs w:val="24"/>
        </w:rPr>
      </w:pPr>
    </w:p>
    <w:p w14:paraId="5E4AF14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i/>
          <w:sz w:val="24"/>
          <w:szCs w:val="24"/>
        </w:rPr>
        <w:t>Til nr. 2 (§ 2, nr. 3, i lov om forbrugslånsvirksomheder og registrering af kreditformidlere)</w:t>
      </w:r>
    </w:p>
    <w:p w14:paraId="7C18081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eastAsia="Times New Roman" w:hAnsi="Times New Roman" w:cs="Times New Roman"/>
          <w:sz w:val="24"/>
          <w:szCs w:val="24"/>
          <w:lang w:eastAsia="da-DK"/>
        </w:rPr>
        <w:t xml:space="preserve">Kreditformidlere er defineret i § 2, nr. 2, i </w:t>
      </w:r>
      <w:r w:rsidRPr="008D5552">
        <w:rPr>
          <w:rFonts w:ascii="Times New Roman" w:hAnsi="Times New Roman" w:cs="Times New Roman"/>
          <w:sz w:val="24"/>
          <w:szCs w:val="24"/>
        </w:rPr>
        <w:t>lov om forbrugslånsvirksomheder og registrering af kreditformidlere. Det fremgår heraf, at der ved en kreditformidler forstås en fysisk eller juridisk person, der ikke optræder som forbrugslånsvirksomhed eller notar og ikke enten direkte eller indirekte blot præsenterer en forbruger for en forbrugslånsvirksomhed, og som mod et vederlag, der kan antage form af penge eller en anden aftalt form for finansiel modydelse, som led i den pågældende persons udøvelse af erhvervsmæssig virksomhed</w:t>
      </w:r>
    </w:p>
    <w:p w14:paraId="40FC250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a) præsenterer forbrugere for eller tilbyder dem kreditaftaler,</w:t>
      </w:r>
    </w:p>
    <w:p w14:paraId="2424D44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 bistår forbrugere ved at udføre andet forberedende arbejde eller anden administration forud for aftaleindgåelse med henblik på kreditaftaler end som omhandlet i litra a eller</w:t>
      </w:r>
    </w:p>
    <w:p w14:paraId="33EFBE9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c) indgår kreditaftaler med forbrugere på forbrugslånsvirksomheders vegne.</w:t>
      </w:r>
    </w:p>
    <w:p w14:paraId="0F6FA629"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49463DA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eastAsia="Times New Roman" w:hAnsi="Times New Roman" w:cs="Times New Roman"/>
          <w:sz w:val="24"/>
          <w:szCs w:val="24"/>
          <w:lang w:eastAsia="da-DK"/>
        </w:rPr>
        <w:t>L</w:t>
      </w:r>
      <w:r w:rsidRPr="008D5552">
        <w:rPr>
          <w:rFonts w:ascii="Times New Roman" w:hAnsi="Times New Roman" w:cs="Times New Roman"/>
          <w:sz w:val="24"/>
          <w:szCs w:val="24"/>
        </w:rPr>
        <w:t>ov om forbrugslånsvirksomheder og registrering af kreditformidlere</w:t>
      </w:r>
      <w:r w:rsidRPr="008D5552">
        <w:rPr>
          <w:rFonts w:ascii="Times New Roman" w:eastAsia="Times New Roman" w:hAnsi="Times New Roman" w:cs="Times New Roman"/>
          <w:sz w:val="24"/>
          <w:szCs w:val="24"/>
          <w:lang w:eastAsia="da-DK"/>
        </w:rPr>
        <w:t xml:space="preserve"> indeholder i dag ikke en definition på en kreditformidler omfattet af </w:t>
      </w:r>
      <w:r w:rsidRPr="008D5552">
        <w:rPr>
          <w:rFonts w:ascii="Times New Roman" w:hAnsi="Times New Roman" w:cs="Times New Roman"/>
          <w:sz w:val="24"/>
          <w:szCs w:val="24"/>
        </w:rPr>
        <w:t>artikel 3, stk. 3, litra k, i forordning (EU) 2024/1624.</w:t>
      </w:r>
    </w:p>
    <w:p w14:paraId="26B8D3F7"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1BA8747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eastAsia="Times New Roman" w:hAnsi="Times New Roman" w:cs="Times New Roman"/>
          <w:sz w:val="24"/>
          <w:szCs w:val="24"/>
          <w:lang w:eastAsia="da-DK"/>
        </w:rPr>
        <w:t>Det foreslås i </w:t>
      </w:r>
      <w:r w:rsidRPr="008D5552">
        <w:rPr>
          <w:rFonts w:ascii="Times New Roman" w:eastAsia="Times New Roman" w:hAnsi="Times New Roman" w:cs="Times New Roman"/>
          <w:i/>
          <w:sz w:val="24"/>
          <w:szCs w:val="24"/>
          <w:lang w:eastAsia="da-DK"/>
        </w:rPr>
        <w:t>§ 2, nr. 3,</w:t>
      </w:r>
      <w:r w:rsidRPr="008D5552">
        <w:rPr>
          <w:rFonts w:ascii="Times New Roman" w:eastAsia="Times New Roman" w:hAnsi="Times New Roman" w:cs="Times New Roman"/>
          <w:sz w:val="24"/>
          <w:szCs w:val="24"/>
          <w:lang w:eastAsia="da-DK"/>
        </w:rPr>
        <w:t xml:space="preserve"> at en kreditformidler </w:t>
      </w:r>
      <w:r w:rsidRPr="008D5552">
        <w:rPr>
          <w:rFonts w:ascii="Times New Roman" w:hAnsi="Times New Roman" w:cs="Times New Roman"/>
          <w:sz w:val="24"/>
          <w:szCs w:val="24"/>
        </w:rPr>
        <w:t>omfattet af forordning (EU) 2024/1624</w:t>
      </w:r>
      <w:r w:rsidRPr="008D5552">
        <w:rPr>
          <w:rFonts w:ascii="Times New Roman" w:eastAsia="Times New Roman" w:hAnsi="Times New Roman" w:cs="Times New Roman"/>
          <w:sz w:val="24"/>
          <w:szCs w:val="24"/>
          <w:lang w:eastAsia="da-DK"/>
        </w:rPr>
        <w:t xml:space="preserve"> defineres som en </w:t>
      </w:r>
      <w:r w:rsidRPr="008D5552">
        <w:rPr>
          <w:rFonts w:ascii="Times New Roman" w:hAnsi="Times New Roman" w:cs="Times New Roman"/>
          <w:sz w:val="24"/>
          <w:szCs w:val="24"/>
        </w:rPr>
        <w:t>virksomhed omfattet af artikel 3, stk. 3, litra k og artikel 2, nr. 6, litra h, i forordning (EU) 2024/1624.</w:t>
      </w:r>
    </w:p>
    <w:p w14:paraId="2888A285" w14:textId="77777777" w:rsidR="00B969C9" w:rsidRPr="008D5552" w:rsidRDefault="00B969C9" w:rsidP="00B969C9">
      <w:pPr>
        <w:spacing w:line="360" w:lineRule="auto"/>
        <w:rPr>
          <w:rFonts w:ascii="Times New Roman" w:hAnsi="Times New Roman" w:cs="Times New Roman"/>
          <w:sz w:val="24"/>
          <w:szCs w:val="24"/>
        </w:rPr>
      </w:pPr>
    </w:p>
    <w:p w14:paraId="1CCF7F0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er ny og skal ses i lyset af de foreslåede bestemmelser i lovforslagets § 147, der implementerer artikel 4, stk. 3, samt artikel 6, stk. 2-5, 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p>
    <w:p w14:paraId="5F4886DB" w14:textId="77777777" w:rsidR="00B969C9" w:rsidRPr="008D5552" w:rsidRDefault="00B969C9" w:rsidP="00B969C9">
      <w:pPr>
        <w:spacing w:line="360" w:lineRule="auto"/>
        <w:rPr>
          <w:rFonts w:ascii="Times New Roman" w:hAnsi="Times New Roman" w:cs="Times New Roman"/>
          <w:sz w:val="24"/>
          <w:szCs w:val="24"/>
        </w:rPr>
      </w:pPr>
    </w:p>
    <w:p w14:paraId="7C6A678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Europa-Parlamentets og Rådets forordning (EU) 2024/1624 artikel 3 opregner de enheder, der anses for forpligtede med henblik på forordningens krav om forebyggelse af hvidvask og finansiering af terrorisme. Bestemmelsen udvider kredsen af forpligtede enheder i forhold til tidligere EU-regulering, herunder bl.a. til visse kreditformidlere. Det er således fastsat i forordningens artikel 3, stk. 3, litra k, at de forpligtede enheder omfatter kreditformidlere af realkreditlån og forbrugerkreditter, undtagen kreditinstitutter og finansieringsinstitutter, der udøver aktiviteter på en eller flere kreditgiveres eller kreditformidleres ansvar.</w:t>
      </w:r>
    </w:p>
    <w:p w14:paraId="1913B749" w14:textId="77777777" w:rsidR="00B969C9" w:rsidRPr="008D5552" w:rsidRDefault="00B969C9" w:rsidP="00B969C9">
      <w:pPr>
        <w:spacing w:line="360" w:lineRule="auto"/>
        <w:rPr>
          <w:rFonts w:ascii="Times New Roman" w:hAnsi="Times New Roman" w:cs="Times New Roman"/>
          <w:sz w:val="24"/>
          <w:szCs w:val="24"/>
        </w:rPr>
      </w:pPr>
    </w:p>
    <w:p w14:paraId="246B395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kreditformidler er i forordningens artikel 2, nr. 6, litra h, defineret som en kreditformidler som defineret i artikel 4, nr. 5, i direktiv 2014/17/EU, når denne besidder midler som defineret i artikel 4, nr. 25, i direktiv (EU) 2015/2366 i forbindelse med kreditaftalen, med undtagelse af en kreditformidler, der udfører aktiviteter på en eller flere kreditgiveres eller kreditformidleres ansvar.</w:t>
      </w:r>
    </w:p>
    <w:p w14:paraId="4084C0C9" w14:textId="77777777" w:rsidR="00B969C9" w:rsidRPr="008D5552" w:rsidRDefault="00B969C9" w:rsidP="00B969C9">
      <w:pPr>
        <w:spacing w:line="360" w:lineRule="auto"/>
        <w:rPr>
          <w:rFonts w:ascii="Times New Roman" w:hAnsi="Times New Roman" w:cs="Times New Roman"/>
          <w:sz w:val="24"/>
          <w:szCs w:val="24"/>
        </w:rPr>
      </w:pPr>
    </w:p>
    <w:p w14:paraId="3FE4BF9A"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3 (§ 3 a, stk. 1 i lov om forbrugslånsvirksomheder og registrering af kreditformidlere)</w:t>
      </w:r>
    </w:p>
    <w:p w14:paraId="459755F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følger af § 3 a i lov om forbrugslånsvirksomheder og registrering af kreditformidlere, at en kreditformidler, jf. lovens § 2, nr. 2, skal registreres hos Finanstilsynet, før den må udøve virksomhed.</w:t>
      </w:r>
    </w:p>
    <w:p w14:paraId="59C957C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 </w:t>
      </w:r>
    </w:p>
    <w:p w14:paraId="1C38EA2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Med det foreslåede præciseres det, at registreringspligten for kreditudbydere i § 3 a, stk. 1, også omfatter kreditudbydere som nævnt i § 2, stk. 2, som er omfattet af forordning (EU) 2024/1624, </w:t>
      </w:r>
    </w:p>
    <w:p w14:paraId="4E7B7584" w14:textId="77777777" w:rsidR="00B969C9" w:rsidRPr="008D5552" w:rsidRDefault="00B969C9" w:rsidP="00B969C9">
      <w:pPr>
        <w:spacing w:line="360" w:lineRule="auto"/>
        <w:rPr>
          <w:rFonts w:ascii="Times New Roman" w:hAnsi="Times New Roman" w:cs="Times New Roman"/>
          <w:sz w:val="24"/>
          <w:szCs w:val="24"/>
        </w:rPr>
      </w:pPr>
    </w:p>
    <w:p w14:paraId="71582E41"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4 (§ 3 a, stk. 3, i lov om forbrugslånsvirksomheder og registrering af kreditformidlere)</w:t>
      </w:r>
    </w:p>
    <w:p w14:paraId="5EF363A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af § 3 a, stk. 1, i lov om forbrugslånsvirksomheder og registrering af kreditformidlere, at en kreditformidler, jf. § 2, nr. 2, skal registreres hos Finanstilsynet, før den må udøve virksomhed.</w:t>
      </w:r>
    </w:p>
    <w:p w14:paraId="3A42069C" w14:textId="77777777" w:rsidR="00B969C9" w:rsidRPr="008D5552" w:rsidRDefault="00B969C9" w:rsidP="00B969C9">
      <w:pPr>
        <w:spacing w:line="360" w:lineRule="auto"/>
        <w:rPr>
          <w:rFonts w:ascii="Times New Roman" w:hAnsi="Times New Roman" w:cs="Times New Roman"/>
          <w:sz w:val="24"/>
          <w:szCs w:val="24"/>
        </w:rPr>
      </w:pPr>
    </w:p>
    <w:p w14:paraId="1204507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af § 3 a, stk. 2, nr. 2, i lov om forbrugslånsvirksomheder og registrering af kreditformidlere, at Finanstilsynet skal undlade at foretage registrering, hvis det det medlem af virksomhedens øverste eller daglige ledelse, der er ansvarlig for virksomhedens aktivitet som kreditformidler, eller indehaveren af en kreditformidler, der er en enkeltmandsvirksomhed, er pålagt strafansvar for overtrædelse af straffeloven, den finansielle lovgivning eller anden relevant lovgivning hvis overtrædelsen indebærer risiko for, at vedkommende ikke kan varetage sit hverv eller sin stilling på betryggende måde.</w:t>
      </w:r>
    </w:p>
    <w:p w14:paraId="4A8F84C6" w14:textId="77777777" w:rsidR="00B969C9" w:rsidRPr="008D5552" w:rsidRDefault="00B969C9" w:rsidP="00B969C9">
      <w:pPr>
        <w:spacing w:line="360" w:lineRule="auto"/>
        <w:rPr>
          <w:rFonts w:ascii="Times New Roman" w:hAnsi="Times New Roman" w:cs="Times New Roman"/>
          <w:sz w:val="24"/>
          <w:szCs w:val="24"/>
        </w:rPr>
      </w:pPr>
    </w:p>
    <w:p w14:paraId="7EE58BD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desuden af lovens § 3 a, stk. 2, nr. 3, at Finanstilsynet skal undlade at foretage registrering, hvis det medlem af virksomhedens øverste eller daglige ledelse, der er ansvarlig for virksomhedens aktivitet som kreditformidler, eller indehaveren af en kreditformidler, der er en enkeltmandsvirksomhed, har udvist en sådan adfærd, at der er grund til at antage, at denne ikke vil varetage hvervet eller stillingen på forsvarlig måde.</w:t>
      </w:r>
    </w:p>
    <w:p w14:paraId="47320D12" w14:textId="77777777" w:rsidR="00B969C9" w:rsidRPr="008D5552" w:rsidRDefault="00B969C9" w:rsidP="00B969C9">
      <w:pPr>
        <w:spacing w:line="360" w:lineRule="auto"/>
        <w:rPr>
          <w:rFonts w:ascii="Times New Roman" w:hAnsi="Times New Roman" w:cs="Times New Roman"/>
          <w:sz w:val="24"/>
          <w:szCs w:val="24"/>
        </w:rPr>
      </w:pPr>
    </w:p>
    <w:p w14:paraId="662C494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foreslås i</w:t>
      </w:r>
      <w:r w:rsidRPr="008D5552">
        <w:rPr>
          <w:rFonts w:ascii="Times New Roman" w:hAnsi="Times New Roman" w:cs="Times New Roman"/>
          <w:i/>
          <w:sz w:val="24"/>
          <w:szCs w:val="24"/>
        </w:rPr>
        <w:t> stk. 2</w:t>
      </w:r>
      <w:r w:rsidRPr="008D5552">
        <w:rPr>
          <w:rFonts w:ascii="Times New Roman" w:hAnsi="Times New Roman" w:cs="Times New Roman"/>
          <w:sz w:val="24"/>
          <w:szCs w:val="24"/>
        </w:rPr>
        <w:t xml:space="preserve"> at fastlægge, hvornår Finanstilsynet skal undlade at foretage registrering af en virksomhed som nævnt i det foreslåede § 2, nr. 3. </w:t>
      </w:r>
    </w:p>
    <w:p w14:paraId="4C03E52F" w14:textId="77777777" w:rsidR="00B969C9" w:rsidRPr="008D5552" w:rsidRDefault="00B969C9" w:rsidP="00B969C9">
      <w:pPr>
        <w:spacing w:line="360" w:lineRule="auto"/>
        <w:rPr>
          <w:rFonts w:ascii="Times New Roman" w:hAnsi="Times New Roman" w:cs="Times New Roman"/>
          <w:sz w:val="24"/>
          <w:szCs w:val="24"/>
        </w:rPr>
      </w:pPr>
    </w:p>
    <w:p w14:paraId="4C7C255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foreslåede bestemmelse er ny og tilsigter i forhold til den gældende stk. 2, at indføre yderligere betingelser for, hvornår en kreditformidler som nævnt i det foreslåede § 2, nr. 3, kan opnå registrering som kreditformidler.  </w:t>
      </w:r>
    </w:p>
    <w:p w14:paraId="51B1A90A" w14:textId="77777777" w:rsidR="00B969C9" w:rsidRPr="008D5552" w:rsidRDefault="00B969C9" w:rsidP="00B969C9">
      <w:pPr>
        <w:spacing w:line="360" w:lineRule="auto"/>
        <w:rPr>
          <w:rFonts w:ascii="Times New Roman" w:hAnsi="Times New Roman" w:cs="Times New Roman"/>
          <w:sz w:val="24"/>
          <w:szCs w:val="24"/>
        </w:rPr>
      </w:pPr>
    </w:p>
    <w:p w14:paraId="27AEB91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implementerer § 4, stk. 3, 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p>
    <w:p w14:paraId="74FF02F0" w14:textId="77777777" w:rsidR="00B969C9" w:rsidRPr="008D5552" w:rsidRDefault="00B969C9" w:rsidP="00B969C9">
      <w:pPr>
        <w:spacing w:line="360" w:lineRule="auto"/>
        <w:rPr>
          <w:rFonts w:ascii="Times New Roman" w:hAnsi="Times New Roman" w:cs="Times New Roman"/>
          <w:sz w:val="24"/>
          <w:szCs w:val="24"/>
        </w:rPr>
      </w:pPr>
    </w:p>
    <w:p w14:paraId="7620A6B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Artikel 3 i Europa-Parlamentets og Rådets forordning (EU) 2024/1624 opregner de enheder, der anses for forpligtede med henblik på forordningens krav om forebyggelse af hvidvask og finansiering af terrorisme. Bestemmelsen udvider kredsen af forpligtede enheder i forhold til tidligere EU-regulering, herunder bl.a. til visse kreditformidlere. Det er således fastsat i forordningens artikel 3, stk. 3, litra k, at de forpligtede enheder omfatter kreditformidlere af realkreditlån og forbrugerkreditter, undtagen kreditinstitutter og finansieringsinstitutter med undtagelse af kreditformidlere, der udøver aktiviteter på en eller flere kreditgiveres eller kreditformidleres ansvar.</w:t>
      </w:r>
    </w:p>
    <w:p w14:paraId="5DA9ED70" w14:textId="77777777" w:rsidR="00B969C9" w:rsidRPr="008D5552" w:rsidRDefault="00B969C9" w:rsidP="00B969C9">
      <w:pPr>
        <w:spacing w:line="360" w:lineRule="auto"/>
        <w:rPr>
          <w:rFonts w:ascii="Times New Roman" w:hAnsi="Times New Roman" w:cs="Times New Roman"/>
          <w:sz w:val="24"/>
          <w:szCs w:val="24"/>
        </w:rPr>
      </w:pPr>
    </w:p>
    <w:p w14:paraId="5B06CBD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kreditformidler er i forordningens artikel 2, nr. 6, litra h, defineret som en kreditformidler som defineret i artikel 4, nr. 5, i direktiv 2014/17/EU og i artikel 3, litra f, i direktiv 2008/48/EF, når denne besidder midler som defineret i artikel 4, nr. 25, i direktiv (EU) 2015/2366 i forbindelse med kreditaftalen, med undtagelse af en kreditformidler, der udfører aktiviteter på en eller flere kreditgiveres eller kreditformidleres ansvar.</w:t>
      </w:r>
    </w:p>
    <w:p w14:paraId="2EC79F86" w14:textId="77777777" w:rsidR="00B969C9" w:rsidRPr="008D5552" w:rsidRDefault="00B969C9" w:rsidP="00B969C9">
      <w:pPr>
        <w:spacing w:line="360" w:lineRule="auto"/>
        <w:rPr>
          <w:rFonts w:ascii="Times New Roman" w:hAnsi="Times New Roman" w:cs="Times New Roman"/>
          <w:sz w:val="24"/>
          <w:szCs w:val="24"/>
        </w:rPr>
      </w:pPr>
    </w:p>
    <w:p w14:paraId="3B3FA10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foreslåedes bestemmelse vil medføre, at hvis blot én af betingelserne er opfyldt, kan virksomheden, der vil udøve aktivitet som kreditformidler, ikke lovligt udøve denne aktivitet. Betingelserne i den foreslåede stk. 2 skal sikre, at der kan føres et effektivt tilsyn med virksomhederne, der udøver aktivitet som kreditformidler. Betingelserne skal ligeledes sikre, at der er tillid til og ordentlighed i den finansielle sektor.</w:t>
      </w:r>
    </w:p>
    <w:p w14:paraId="1311A971" w14:textId="77777777" w:rsidR="00B969C9" w:rsidRPr="008D5552" w:rsidRDefault="00B969C9" w:rsidP="00B969C9">
      <w:pPr>
        <w:spacing w:line="360" w:lineRule="auto"/>
        <w:rPr>
          <w:rFonts w:ascii="Times New Roman" w:hAnsi="Times New Roman" w:cs="Times New Roman"/>
          <w:sz w:val="24"/>
          <w:szCs w:val="24"/>
        </w:rPr>
      </w:pPr>
    </w:p>
    <w:p w14:paraId="279E1F5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nr. 1</w:t>
      </w:r>
      <w:r w:rsidRPr="008D5552">
        <w:rPr>
          <w:rFonts w:ascii="Times New Roman" w:hAnsi="Times New Roman" w:cs="Times New Roman"/>
          <w:sz w:val="24"/>
          <w:szCs w:val="24"/>
        </w:rPr>
        <w:t xml:space="preserve">, at medlemmerne af kreditformidlerens øverste ledelse, herunder bestyrelse og direktion eller, hvor virksomheden drives som enkeltmandsvirksomhed, indehaveren, eller hvor virksomheden drives som juridisk person uden bestyrelse og direktion, den eller de for virksomheden ledelsesansvarlige skal opfylde kravene i det foreslåede § 4 a. </w:t>
      </w:r>
    </w:p>
    <w:p w14:paraId="7825AE96" w14:textId="77777777" w:rsidR="00B969C9" w:rsidRPr="008D5552" w:rsidRDefault="00B969C9" w:rsidP="00B969C9">
      <w:pPr>
        <w:spacing w:line="360" w:lineRule="auto"/>
        <w:rPr>
          <w:rFonts w:ascii="Times New Roman" w:hAnsi="Times New Roman" w:cs="Times New Roman"/>
          <w:sz w:val="24"/>
          <w:szCs w:val="24"/>
        </w:rPr>
      </w:pPr>
    </w:p>
    <w:p w14:paraId="58A7AA1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Begrebet øverste ledelse skal forstås i overensstemmelse med definitionen i artikel 2, stk. 1, nr. 40, i Europa-Parlamentets og Rådets forordning (EU) 2024/1624. Ifølge denne definition omfatter øverste ledelse både medlemmerne af ledelsesorganet i dets ledelsesfunktion, herunder bl.a. medlemmer af bestyrelse og direktion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333579CB" w14:textId="77777777" w:rsidR="00B969C9" w:rsidRPr="008D5552" w:rsidRDefault="00B969C9" w:rsidP="00B969C9">
      <w:pPr>
        <w:spacing w:line="360" w:lineRule="auto"/>
        <w:rPr>
          <w:rFonts w:ascii="Times New Roman" w:hAnsi="Times New Roman" w:cs="Times New Roman"/>
          <w:sz w:val="24"/>
          <w:szCs w:val="24"/>
        </w:rPr>
      </w:pPr>
    </w:p>
    <w:p w14:paraId="258E2C20"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 xml:space="preserve">Kravene i forslagets </w:t>
      </w:r>
      <w:r w:rsidRPr="008D5552">
        <w:rPr>
          <w:rFonts w:ascii="Times New Roman" w:hAnsi="Times New Roman" w:cs="Times New Roman"/>
          <w:sz w:val="24"/>
          <w:szCs w:val="24"/>
        </w:rPr>
        <w:t xml:space="preserve">§ 4 a </w:t>
      </w:r>
      <w:r w:rsidRPr="008D5552">
        <w:rPr>
          <w:rFonts w:ascii="Times New Roman" w:eastAsia="Times New Roman" w:hAnsi="Times New Roman" w:cs="Times New Roman"/>
          <w:sz w:val="24"/>
          <w:szCs w:val="24"/>
          <w:lang w:eastAsia="da-DK"/>
        </w:rPr>
        <w:t xml:space="preserve">er udformet for at understøtte en forsvarlig og betryggende ledelse af de registreringspligtige virksomheder. Den foreslåede bestemmelse fastslår bl.a., at de relevante personer ikke må være pålagt strafansvar for overtrædelse af straffeloven, den finansielle lovgivning eller anden relevant lovgivning, hvis overtrædelsen indebærer risiko for, at vedkommende ikke kan varetage sit hverv eller sin stilling på betryggende måde. </w:t>
      </w:r>
    </w:p>
    <w:p w14:paraId="5A3F971F"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549575C0"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 xml:space="preserve">Det foreslås i </w:t>
      </w:r>
      <w:r w:rsidRPr="008D5552">
        <w:rPr>
          <w:rFonts w:ascii="Times New Roman" w:eastAsia="Times New Roman" w:hAnsi="Times New Roman" w:cs="Times New Roman"/>
          <w:i/>
          <w:sz w:val="24"/>
          <w:szCs w:val="24"/>
          <w:lang w:eastAsia="da-DK"/>
        </w:rPr>
        <w:t xml:space="preserve">nr. 2, </w:t>
      </w:r>
      <w:r w:rsidRPr="008D5552">
        <w:rPr>
          <w:rFonts w:ascii="Times New Roman" w:eastAsia="Times New Roman" w:hAnsi="Times New Roman" w:cs="Times New Roman"/>
          <w:sz w:val="24"/>
          <w:szCs w:val="24"/>
          <w:lang w:eastAsia="da-DK"/>
        </w:rPr>
        <w:t xml:space="preserve">at en kreditformidler ikke kan registreres hos Finanstilsynet, hvis </w:t>
      </w:r>
      <w:r w:rsidRPr="008D5552">
        <w:rPr>
          <w:rFonts w:ascii="Times New Roman" w:hAnsi="Times New Roman" w:cs="Times New Roman"/>
          <w:sz w:val="24"/>
          <w:szCs w:val="24"/>
        </w:rPr>
        <w:t>virksomheden tidligere har været pålagt strafansvar for overtrædelse af straffeloven, den finansielle lovgivning eller anden relevant lovgivning, hvor overtrædelsen indebærer risiko for, at virksomheden misbruger registreringen.</w:t>
      </w:r>
    </w:p>
    <w:p w14:paraId="04D31966"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31821EF2"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Den foreslåede bestemmelse indebærer, at Finanstilsynet i vurderingen af om en strafbar overtrædelse skal føre til, at Finanstilsynet nægter registrering, vil skulle vurdere, om det udviste forhold begrunder en risiko for kreditformidlerens efterfølgende misbrug af registreringen.</w:t>
      </w:r>
    </w:p>
    <w:p w14:paraId="67E9E8ED"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1399C316"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 xml:space="preserve">Det vil således være afgørende for Finanstilsynets vurdering af hæderligheden, at der er sket en overtrædelse af den relevante lovgivning. Et vedtaget bødeforelæg har samme retsvirkning som en endelig dom, ligesom vedtagelsen har samme gentagelsesvirkning som en dom, jf. retsplejeloven § 832, stk. 4. </w:t>
      </w:r>
    </w:p>
    <w:p w14:paraId="0CDDE78E"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3808EDC8"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Herudover vil hensynet til at opretholde tilliden til den finansielle sektor indgå i vurderingen. Hvis en strafbar overtrædelse vurderes at kunne skade tilliden til sektoren, vil dette tale for, at virksomheden ikke bør registreres. Det er således ikke alene risikoen for konkret misbrug, men også hensynet til sektorens omdømme og integritet, der indgår i vurderingen.</w:t>
      </w:r>
    </w:p>
    <w:p w14:paraId="4996D82A"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3AEF9A2D"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Det foreslåede vil medføre, at kreditudbyderen ikke kan registreres hos Finanstilsynet, hvis virksomheden er pålagt strafansvar for overtrædelse af straffeloven, den finansielle lovgivning eller anden relevant lovgivning, hvis overtrædelsen indebærer risiko for, at virksomheden misbruger registreringen.</w:t>
      </w:r>
    </w:p>
    <w:p w14:paraId="14FA7ECD"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68DF38C4"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 xml:space="preserve">Formålet med bestemmelsen er at sikre, at kun virksomheder, der udviser den fornødne hæderlighed og integritet, kan opnå registrering og dermed adgang til at udøve de relevante aktiviteter under Finanstilsynets tilsyn. </w:t>
      </w:r>
    </w:p>
    <w:p w14:paraId="56919D2E"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2B47CFB8"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Den foreslåede bestemmelse giver dermed Finanstilsynet mulighed for at nægte registrering på baggrund af oplysninger om sager, der er afsluttet med bødeforelæg eller indenretlige bøder. Herved sikres det, at også administrative afgørelser kan indgå i vurderingen af, om virksomheden opfylder kravene til hæderlighed og dermed kan opnå registrering.</w:t>
      </w:r>
    </w:p>
    <w:p w14:paraId="7CF88FCB"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66B169A9"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eastAsia="Times New Roman" w:hAnsi="Times New Roman" w:cs="Times New Roman"/>
          <w:sz w:val="24"/>
          <w:szCs w:val="24"/>
          <w:lang w:eastAsia="da-DK"/>
        </w:rPr>
        <w:t xml:space="preserve">Den foreslåedes bestemmelse vil desuden medføre, at en virksomhed, der vil udøve aktivitet som kreditformidler, og derfor anmoder Finanstilsynet om at blive registreret, vil være forpligtet til at indsende dokumentation, der godtgør, at virksomheden opfylder betingelserne for registrering, jf. det foreslåede stk. 4. Virksomheden vil ligeledes være forpligtet til at oplyse Finanstilsynet, hvis forholdene, der har dannet grundlag for registreringen, ændrer sig, jf. lovens § 16, stk. 1. </w:t>
      </w:r>
    </w:p>
    <w:p w14:paraId="3F2F6F9B"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19D966C7"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5 (§ 3 a, stk. 6-7 i lov om forbrugslånsvirksomheder og registrering af kreditformidlere)</w:t>
      </w:r>
    </w:p>
    <w:p w14:paraId="44488F2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af § 3 a i lov om forbrugslånsvirksomheder og registrering af kreditformidlere, at en kreditformidler, jf. definitionen i lovens § 2, nr. 2, skal registreres hos Finanstilsynet, før den må udøve virksomhed.</w:t>
      </w:r>
    </w:p>
    <w:p w14:paraId="2EA78642" w14:textId="77777777" w:rsidR="00B969C9" w:rsidRPr="008D5552" w:rsidRDefault="00B969C9" w:rsidP="00B969C9">
      <w:pPr>
        <w:spacing w:line="360" w:lineRule="auto"/>
        <w:rPr>
          <w:rFonts w:ascii="Times New Roman" w:hAnsi="Times New Roman" w:cs="Times New Roman"/>
          <w:sz w:val="24"/>
          <w:szCs w:val="24"/>
        </w:rPr>
      </w:pPr>
    </w:p>
    <w:p w14:paraId="6BD65E5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eastAsia="Times New Roman" w:hAnsi="Times New Roman" w:cs="Times New Roman"/>
          <w:sz w:val="24"/>
          <w:szCs w:val="24"/>
          <w:lang w:eastAsia="da-DK"/>
        </w:rPr>
        <w:t xml:space="preserve">Det foreslås i </w:t>
      </w:r>
      <w:r w:rsidRPr="008D5552">
        <w:rPr>
          <w:rFonts w:ascii="Times New Roman" w:eastAsia="Times New Roman" w:hAnsi="Times New Roman" w:cs="Times New Roman"/>
          <w:i/>
          <w:sz w:val="24"/>
          <w:szCs w:val="24"/>
          <w:lang w:eastAsia="da-DK"/>
        </w:rPr>
        <w:t>stk. 6</w:t>
      </w:r>
      <w:r w:rsidRPr="008D5552">
        <w:rPr>
          <w:rFonts w:ascii="Times New Roman" w:eastAsia="Times New Roman" w:hAnsi="Times New Roman" w:cs="Times New Roman"/>
          <w:sz w:val="24"/>
          <w:szCs w:val="24"/>
          <w:lang w:eastAsia="da-DK"/>
        </w:rPr>
        <w:t xml:space="preserve">, at </w:t>
      </w:r>
      <w:r w:rsidRPr="008D5552">
        <w:rPr>
          <w:rFonts w:ascii="Times New Roman" w:hAnsi="Times New Roman" w:cs="Times New Roman"/>
          <w:sz w:val="24"/>
          <w:szCs w:val="24"/>
        </w:rPr>
        <w:t>virksomheder som nævnt i § 2, nr. 3, der registreres i henhold til § 3 a, stk. 1, skal underrette Finanstilsynet, hvis der indtræder ændringer i forhold til de oplysninger, som Finanstilsynet har modtaget og lagt til grund ved registreringen. Underretningen skal foretages senest 2 uger efter ændringen.</w:t>
      </w:r>
    </w:p>
    <w:p w14:paraId="19ED99E1"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4B350CC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er ny og indfører regler om underretningspligt for kreditformidlere, som nævnt i den foreslåede § 2, nr. 3, der er registreret hos Finanstilsynet.</w:t>
      </w:r>
    </w:p>
    <w:p w14:paraId="4D38F9ED" w14:textId="77777777" w:rsidR="00B969C9" w:rsidRPr="008D5552" w:rsidRDefault="00B969C9" w:rsidP="00B969C9">
      <w:pPr>
        <w:spacing w:line="360" w:lineRule="auto"/>
        <w:rPr>
          <w:rFonts w:ascii="Times New Roman" w:hAnsi="Times New Roman" w:cs="Times New Roman"/>
          <w:sz w:val="24"/>
          <w:szCs w:val="24"/>
        </w:rPr>
      </w:pPr>
    </w:p>
    <w:p w14:paraId="1DD8D0B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indebærer, at der fastlægges en underretningspligt for registrerede virksomheder, så Finanstilsynet til enhver tid har opdaterede oplysninger om forhold, der har været afgørende for registreringen. Underretningspligten omfatter kun ændringer i de oplysninger, som Finanstilsynet har lagt til grund ved registreringen. Det betyder, at ikke alle ændringer i virksomhedens forhold skal meddeles til Finanstilsynet, men alene ændringer, der har betydning for registreringen.</w:t>
      </w:r>
    </w:p>
    <w:p w14:paraId="21CAD6BE" w14:textId="77777777" w:rsidR="00B969C9" w:rsidRPr="008D5552" w:rsidRDefault="00B969C9" w:rsidP="00B969C9">
      <w:pPr>
        <w:spacing w:line="360" w:lineRule="auto"/>
        <w:rPr>
          <w:rFonts w:ascii="Times New Roman" w:hAnsi="Times New Roman" w:cs="Times New Roman"/>
          <w:sz w:val="24"/>
          <w:szCs w:val="24"/>
        </w:rPr>
      </w:pPr>
    </w:p>
    <w:p w14:paraId="7D9CF29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Eksempler på ændringer, der skal meddeles Finanstilsynet, kan være ændringer i virksomhedens ledelse eller ejerskab. Derimod vil ændringer af mindre betydning, såsom ændring af telefonnummer eller e-mailadresse, som ikke har betydning for opfyldelsen af lovgivningens krav, ikke være omfattet af underretningspligten.</w:t>
      </w:r>
    </w:p>
    <w:p w14:paraId="09137435" w14:textId="77777777" w:rsidR="00B969C9" w:rsidRPr="008D5552" w:rsidRDefault="00B969C9" w:rsidP="00B969C9">
      <w:pPr>
        <w:spacing w:line="360" w:lineRule="auto"/>
        <w:rPr>
          <w:rFonts w:ascii="Times New Roman" w:hAnsi="Times New Roman" w:cs="Times New Roman"/>
          <w:sz w:val="24"/>
          <w:szCs w:val="24"/>
        </w:rPr>
      </w:pPr>
    </w:p>
    <w:p w14:paraId="4A5DD7B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Bestemmelsen implementerer artikel 6, stk. 3, i 6. hvidvaskdirektiv. Efter denne bestemmelse skal tilsynsmyndighederne på et risikobaseret grundlag kontrollere, om kravene til ledelse og organisation fortsat er opfyldt. </w:t>
      </w:r>
    </w:p>
    <w:p w14:paraId="0D2965BE" w14:textId="77777777" w:rsidR="00B969C9" w:rsidRPr="008D5552" w:rsidRDefault="00B969C9" w:rsidP="00B969C9">
      <w:pPr>
        <w:spacing w:line="360" w:lineRule="auto"/>
        <w:rPr>
          <w:rFonts w:ascii="Times New Roman" w:hAnsi="Times New Roman" w:cs="Times New Roman"/>
          <w:sz w:val="24"/>
          <w:szCs w:val="24"/>
        </w:rPr>
      </w:pPr>
    </w:p>
    <w:p w14:paraId="0830F0D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Overtrædelse af bestemmelsen foreslås strafbelagt. Den strafbare handling består i at undlade at underrette Finanstilsynet senest 2 uger efter, at der er indtruffet ændringer i de oplysninger, som Finanstilsynet har modtaget og lagt til grund ved registreringen. Eksempler på overtrædelse kan være, hvis virksomheden undlader rettidigt at underrette Finanstilsynet om, at virksomheden ikke længere har hovedkontor og hjemsted i Danmark, eller hvis der sker ændringer i ledelsen, som har betydning for opfyldelsen af registreringsbetingelserne. Ansvarssubjektet for overtrædelse af bestemmelsen er virksomheden, og der kan således rejses tiltale mod den juridiske person.</w:t>
      </w:r>
    </w:p>
    <w:p w14:paraId="5893E7CE" w14:textId="77777777" w:rsidR="00B969C9" w:rsidRPr="008D5552" w:rsidRDefault="00B969C9" w:rsidP="00B969C9">
      <w:pPr>
        <w:spacing w:line="360" w:lineRule="auto"/>
        <w:rPr>
          <w:rFonts w:ascii="Times New Roman" w:hAnsi="Times New Roman" w:cs="Times New Roman"/>
          <w:sz w:val="24"/>
          <w:szCs w:val="24"/>
        </w:rPr>
      </w:pPr>
    </w:p>
    <w:p w14:paraId="3D30AE2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7,</w:t>
      </w:r>
      <w:r w:rsidRPr="008D5552">
        <w:rPr>
          <w:rFonts w:ascii="Times New Roman" w:hAnsi="Times New Roman" w:cs="Times New Roman"/>
          <w:sz w:val="24"/>
          <w:szCs w:val="24"/>
        </w:rPr>
        <w:t xml:space="preserve"> at der indføres en årlig pligt for kreditformidlere som nævnt i § 2, nr. 3, til at indsende en oversigt og en erklæring til Finanstilsynet. </w:t>
      </w:r>
    </w:p>
    <w:p w14:paraId="0F96636B" w14:textId="77777777" w:rsidR="00B969C9" w:rsidRPr="008D5552" w:rsidRDefault="00B969C9" w:rsidP="00B969C9">
      <w:pPr>
        <w:spacing w:line="360" w:lineRule="auto"/>
        <w:rPr>
          <w:rFonts w:ascii="Times New Roman" w:hAnsi="Times New Roman" w:cs="Times New Roman"/>
          <w:sz w:val="24"/>
          <w:szCs w:val="24"/>
        </w:rPr>
      </w:pPr>
    </w:p>
    <w:p w14:paraId="1770B16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er ny. Bestemmelsen implementerer artikel 6, stk. 3, i Europa-Parlamentets og Rådets direktiv (EU) 2024/1620.</w:t>
      </w:r>
    </w:p>
    <w:p w14:paraId="5952725D" w14:textId="77777777" w:rsidR="00B969C9" w:rsidRPr="008D5552" w:rsidRDefault="00B969C9" w:rsidP="00B969C9">
      <w:pPr>
        <w:spacing w:line="360" w:lineRule="auto"/>
        <w:rPr>
          <w:rFonts w:ascii="Times New Roman" w:hAnsi="Times New Roman" w:cs="Times New Roman"/>
          <w:sz w:val="24"/>
          <w:szCs w:val="24"/>
        </w:rPr>
      </w:pPr>
    </w:p>
    <w:p w14:paraId="4AFA519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1. pkt.,</w:t>
      </w:r>
      <w:r w:rsidRPr="008D5552">
        <w:rPr>
          <w:rFonts w:ascii="Times New Roman" w:hAnsi="Times New Roman" w:cs="Times New Roman"/>
          <w:sz w:val="24"/>
          <w:szCs w:val="24"/>
        </w:rPr>
        <w:t xml:space="preserve"> at kreditformidlere som nævnt i § 2, nr. 3, der er registreret hos Finanstilsynet i henhold til § 3 a</w:t>
      </w:r>
      <w:r w:rsidRPr="008D5552">
        <w:rPr>
          <w:rFonts w:ascii="Times New Roman" w:eastAsia="Times New Roman" w:hAnsi="Times New Roman" w:cs="Times New Roman"/>
          <w:sz w:val="24"/>
          <w:szCs w:val="24"/>
          <w:lang w:eastAsia="da-DK"/>
        </w:rPr>
        <w:t>, stk. 1</w:t>
      </w:r>
      <w:r w:rsidRPr="008D5552">
        <w:rPr>
          <w:rFonts w:ascii="Times New Roman" w:hAnsi="Times New Roman" w:cs="Times New Roman"/>
          <w:sz w:val="24"/>
          <w:szCs w:val="24"/>
        </w:rPr>
        <w:t xml:space="preserve">, senest den 1. april hvert år skal indsende en oversigt over virksomhedens øverste eller daglige ledelse og reelle ejere. erklæring om, at virksomheden opfylder betingelserne for at være registreret efter denne bestemmelse, samt en oversigt over virksomhedens reelle ejere. </w:t>
      </w:r>
    </w:p>
    <w:p w14:paraId="00191F12" w14:textId="77777777" w:rsidR="00B969C9" w:rsidRPr="008D5552" w:rsidRDefault="00B969C9" w:rsidP="00B969C9">
      <w:pPr>
        <w:spacing w:line="360" w:lineRule="auto"/>
        <w:rPr>
          <w:rFonts w:ascii="Times New Roman" w:hAnsi="Times New Roman" w:cs="Times New Roman"/>
          <w:sz w:val="24"/>
          <w:szCs w:val="24"/>
        </w:rPr>
      </w:pPr>
    </w:p>
    <w:p w14:paraId="5EC9A9C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2. pkt.,</w:t>
      </w:r>
      <w:r w:rsidRPr="008D5552">
        <w:rPr>
          <w:rFonts w:ascii="Times New Roman" w:hAnsi="Times New Roman" w:cs="Times New Roman"/>
          <w:sz w:val="24"/>
          <w:szCs w:val="24"/>
        </w:rPr>
        <w:t xml:space="preserve"> at kreditformidlere som nævnt i § 2, nr. 3, der er registreret hos Finanstilsynet i henhold til § 3 a, stk. 1, tillige skal indsende en erklæring om, at den i 1. pkt. nævnte personkreds ikke er pålagt strafansvar for overtrædelse af straffeloven, den finansielle lovgivning eller anden relevant lovgivning. </w:t>
      </w:r>
    </w:p>
    <w:p w14:paraId="79828ED4" w14:textId="77777777" w:rsidR="00B969C9" w:rsidRPr="008D5552" w:rsidRDefault="00B969C9" w:rsidP="00B969C9">
      <w:pPr>
        <w:spacing w:line="360" w:lineRule="auto"/>
        <w:rPr>
          <w:rFonts w:ascii="Times New Roman" w:hAnsi="Times New Roman" w:cs="Times New Roman"/>
          <w:sz w:val="24"/>
          <w:szCs w:val="24"/>
        </w:rPr>
      </w:pPr>
    </w:p>
    <w:p w14:paraId="20AE658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Efter det foreslåede </w:t>
      </w:r>
      <w:r w:rsidRPr="008D5552">
        <w:rPr>
          <w:rFonts w:ascii="Times New Roman" w:hAnsi="Times New Roman" w:cs="Times New Roman"/>
          <w:i/>
          <w:sz w:val="24"/>
          <w:szCs w:val="24"/>
        </w:rPr>
        <w:t>3. pkt.</w:t>
      </w:r>
      <w:r w:rsidRPr="008D5552">
        <w:rPr>
          <w:rFonts w:ascii="Times New Roman" w:hAnsi="Times New Roman" w:cs="Times New Roman"/>
          <w:sz w:val="24"/>
          <w:szCs w:val="24"/>
        </w:rPr>
        <w:t xml:space="preserve"> skal erklæringen være underskrevet af virksomhedens bestyrelse og direktion. </w:t>
      </w:r>
    </w:p>
    <w:p w14:paraId="5D7AF33E" w14:textId="77777777" w:rsidR="00B969C9" w:rsidRPr="008D5552" w:rsidRDefault="00B969C9" w:rsidP="00B969C9">
      <w:pPr>
        <w:spacing w:line="360" w:lineRule="auto"/>
        <w:rPr>
          <w:rFonts w:ascii="Times New Roman" w:hAnsi="Times New Roman" w:cs="Times New Roman"/>
          <w:sz w:val="24"/>
          <w:szCs w:val="24"/>
        </w:rPr>
      </w:pPr>
    </w:p>
    <w:p w14:paraId="50D278A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endeligt i </w:t>
      </w:r>
      <w:r w:rsidRPr="008D5552">
        <w:rPr>
          <w:rFonts w:ascii="Times New Roman" w:hAnsi="Times New Roman" w:cs="Times New Roman"/>
          <w:i/>
          <w:sz w:val="24"/>
          <w:szCs w:val="24"/>
        </w:rPr>
        <w:t>4. pkt</w:t>
      </w:r>
      <w:r w:rsidRPr="008D5552">
        <w:rPr>
          <w:rFonts w:ascii="Times New Roman" w:hAnsi="Times New Roman" w:cs="Times New Roman"/>
          <w:sz w:val="24"/>
          <w:szCs w:val="24"/>
        </w:rPr>
        <w:t>. at drives virksomheden som juridisk person uden bestyrelse og direktion, skal erklæringen underskrives af den eller de ledelsesansvarlige for virksomheden eller af indehaveren, hvis virksomheden drives som enkeltmandsvirksomhed.</w:t>
      </w:r>
    </w:p>
    <w:p w14:paraId="356A6991" w14:textId="77777777" w:rsidR="00B969C9" w:rsidRPr="008D5552" w:rsidRDefault="00B969C9" w:rsidP="00B969C9">
      <w:pPr>
        <w:spacing w:line="360" w:lineRule="auto"/>
        <w:rPr>
          <w:rFonts w:ascii="Times New Roman" w:hAnsi="Times New Roman" w:cs="Times New Roman"/>
          <w:sz w:val="24"/>
          <w:szCs w:val="24"/>
        </w:rPr>
      </w:pPr>
    </w:p>
    <w:p w14:paraId="4E60B88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Begrebet øverste ledelse skal forstås i overensstemmelse med definitionen forordningens artikel 2, stk. 1, nr. 40. Ifølge denne definition omfatter øverste ledelse både medlemmerne af ledelsesorganet i dets ledelsesfunktion, herunder bl.a. medlemmer af bestyrelse og direktion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6F94704E" w14:textId="77777777" w:rsidR="00B969C9" w:rsidRPr="008D5552" w:rsidRDefault="00B969C9" w:rsidP="00B969C9">
      <w:pPr>
        <w:spacing w:line="360" w:lineRule="auto"/>
        <w:rPr>
          <w:rFonts w:ascii="Times New Roman" w:hAnsi="Times New Roman" w:cs="Times New Roman"/>
          <w:sz w:val="24"/>
          <w:szCs w:val="24"/>
        </w:rPr>
      </w:pPr>
    </w:p>
    <w:p w14:paraId="2CA548F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indebærer, at erklæringen skal være underskrevet af virksomhedens bestyrelse og direktion, dog skal erklæringen underskrives af de ledelsesansvarlige, hvis virksomheden, drives som juridisk person uden bestyrelse og direktion, eller af indehaveren, hvis virksomheden drives som enkeltmandsvirksomhed. Dette sikrer, at der altid er en ansvarlig person, der bekræfter virksomhedens oplysninger.</w:t>
      </w:r>
    </w:p>
    <w:p w14:paraId="5BEBE88A" w14:textId="77777777" w:rsidR="00B969C9" w:rsidRPr="008D5552" w:rsidRDefault="00B969C9" w:rsidP="00B969C9">
      <w:pPr>
        <w:spacing w:line="360" w:lineRule="auto"/>
        <w:rPr>
          <w:rFonts w:ascii="Times New Roman" w:hAnsi="Times New Roman" w:cs="Times New Roman"/>
          <w:sz w:val="24"/>
          <w:szCs w:val="24"/>
        </w:rPr>
      </w:pPr>
    </w:p>
    <w:p w14:paraId="0444EFA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Formålet med bestemmelsen er at sikre, at Finanstilsynet løbende har opdateret information om virksomhedens ledelse og ejerskab, og at virksomheden til stadighed lever op til de krav, der er fastsat for hæderlighed. Den årlige indsendelse af erklæringen og oversigten understøtter Finanstilsynets mulighed for at føre effektivt tilsyn med virksomhederne.</w:t>
      </w:r>
    </w:p>
    <w:p w14:paraId="63AB3E6C" w14:textId="77777777" w:rsidR="00B969C9" w:rsidRPr="008D5552" w:rsidRDefault="00B969C9" w:rsidP="00B969C9">
      <w:pPr>
        <w:spacing w:line="360" w:lineRule="auto"/>
        <w:rPr>
          <w:rFonts w:ascii="Times New Roman" w:hAnsi="Times New Roman" w:cs="Times New Roman"/>
          <w:sz w:val="24"/>
          <w:szCs w:val="24"/>
        </w:rPr>
      </w:pPr>
    </w:p>
    <w:p w14:paraId="3B86A421"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r w:rsidRPr="008D5552">
        <w:rPr>
          <w:rFonts w:ascii="Times New Roman" w:hAnsi="Times New Roman" w:cs="Times New Roman"/>
          <w:sz w:val="24"/>
          <w:szCs w:val="24"/>
        </w:rPr>
        <w:t>Overtrædelse af bestemmelsen foreslås strafbelagt. I henhold til lovforslagets § 146, nr. 12, kan virksomheder, der undlader senest den 1. april hvert år at indsende en oversigt og en erklæring straffes med bøde. Den strafbare handling består i at undlade at indsende den årlige erklæring og oversigt til Finanstilsynet. Ansvarssubjektet for overtrædelse af bestemmelsen er virksomheden, og der skal således rejses tiltale mod den juridiske person for overtrædelsen.</w:t>
      </w:r>
    </w:p>
    <w:p w14:paraId="3753593C" w14:textId="77777777" w:rsidR="00B969C9" w:rsidRPr="008D5552" w:rsidRDefault="00B969C9" w:rsidP="00B969C9">
      <w:pPr>
        <w:spacing w:line="360" w:lineRule="auto"/>
        <w:rPr>
          <w:rFonts w:ascii="Times New Roman" w:hAnsi="Times New Roman" w:cs="Times New Roman"/>
          <w:sz w:val="24"/>
          <w:szCs w:val="24"/>
        </w:rPr>
      </w:pPr>
    </w:p>
    <w:p w14:paraId="13932512"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6 (§ 4 a i lov om forbrugslånsvirksomheder og registrering af kreditformidlere)</w:t>
      </w:r>
    </w:p>
    <w:p w14:paraId="0F01E7F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af § 3 a, stk. 2, nr. 2, i lov om forbrugslånsvirksomheder og registrering af kreditformidlere, at Finanstilsynet skal undlade at foretage registrering, hvis det det medlem af virksomhedens øverste eller daglige ledelse, der er ansvarlig for virksomhedens aktivitet som kreditformidler, eller indehaveren af en kreditformidler, der er en enkeltmandsvirksomhed, er pålagt strafansvar for overtrædelse af straffeloven, den finansielle lovgivning eller anden relevant lovgivning hvis overtrædelsen indebærer risiko for, at vedkommende ikke kan varetage sit hverv eller sin stilling på betryggende måde.</w:t>
      </w:r>
    </w:p>
    <w:p w14:paraId="572C28E5" w14:textId="77777777" w:rsidR="00B969C9" w:rsidRPr="008D5552" w:rsidRDefault="00B969C9" w:rsidP="00B969C9">
      <w:pPr>
        <w:spacing w:line="360" w:lineRule="auto"/>
        <w:rPr>
          <w:rFonts w:ascii="Times New Roman" w:hAnsi="Times New Roman" w:cs="Times New Roman"/>
          <w:sz w:val="24"/>
          <w:szCs w:val="24"/>
        </w:rPr>
      </w:pPr>
    </w:p>
    <w:p w14:paraId="5429CE4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desuden af lovens § 3 a, stk. 2, nr. 3, at Finanstilsynet skal undlade at foretage registrering, hvis det medlem af virksomhedens øverste eller daglige ledelse, der er ansvarlig for virksomhedens aktivitet som kreditformidler, eller indehaveren af en kreditformidler, der er en enkeltmandsvirksomhed, har udvist en sådan adfærd, at der er grund til at antage, at denne ikke vil varetage hvervet eller stillingen på forsvarlig måde.</w:t>
      </w:r>
    </w:p>
    <w:p w14:paraId="62DC5C80" w14:textId="77777777" w:rsidR="00B969C9" w:rsidRPr="008D5552" w:rsidRDefault="00B969C9" w:rsidP="00B969C9">
      <w:pPr>
        <w:spacing w:line="360" w:lineRule="auto"/>
        <w:rPr>
          <w:rFonts w:ascii="Times New Roman" w:hAnsi="Times New Roman" w:cs="Times New Roman"/>
          <w:sz w:val="24"/>
          <w:szCs w:val="24"/>
        </w:rPr>
      </w:pPr>
    </w:p>
    <w:p w14:paraId="3AD5965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fremgår af § 4, stk. 1, i lov om forbrugslånsvirksomheder og registrering af kreditformidlere, at medlemmer bestyrelsen eller direktionen i en forbrugslånsvirksomhed eller indehaveren af en forbrugslånsvirksomhed, der er en enkeltmandsvirksomhed skal opfylde en række egnetheds- og hæderlighedskrav. </w:t>
      </w:r>
    </w:p>
    <w:p w14:paraId="2EF60491" w14:textId="77777777" w:rsidR="00B969C9" w:rsidRPr="008D5552" w:rsidRDefault="00B969C9" w:rsidP="00B969C9">
      <w:pPr>
        <w:spacing w:line="360" w:lineRule="auto"/>
        <w:rPr>
          <w:rFonts w:ascii="Times New Roman" w:hAnsi="Times New Roman" w:cs="Times New Roman"/>
          <w:sz w:val="24"/>
          <w:szCs w:val="24"/>
        </w:rPr>
      </w:pPr>
    </w:p>
    <w:p w14:paraId="2F19EA8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 bestemmelsen skal de pågældende personer have tilstrækkelig viden, faglig kompetence og erfaring til at kunne varetage hvervet eller stillingen, jf. nr. 1, have et tilstrækkeligt godt omdømme og kunne udvise hæderlighed, integritet og tilstrækkelig uafhængighed ved varetagelsen af hvervet eller stillingen, jf. nr. 2. De må desuden ikke være pålagt strafansvar for overtrædelse af straffeloven, den finansielle lovgivning eller anden relevant lovgivning, hvis overtrædelsen indebærer risiko for, at vedkommende ikke kan varetage sit hverv eller sin stilling på betryggende måde, jf. nr. 3. Endvidere må de ikke have indgivet begæring om eller være under rekonstruktionsbehandling, konkurs eller gældssanering, jf. nr. 4, ligesom de ikke må have udvist en sådan adfærd, at der er grund til at antage, at de ikke vil varetage hvervet eller stillingen på forsvarlig måde, jf. nr. 5.</w:t>
      </w:r>
    </w:p>
    <w:p w14:paraId="1047B55C" w14:textId="77777777" w:rsidR="00B969C9" w:rsidRPr="008D5552" w:rsidRDefault="00B969C9" w:rsidP="00B969C9">
      <w:pPr>
        <w:spacing w:line="360" w:lineRule="auto"/>
        <w:rPr>
          <w:rFonts w:ascii="Times New Roman" w:hAnsi="Times New Roman" w:cs="Times New Roman"/>
          <w:sz w:val="24"/>
          <w:szCs w:val="24"/>
        </w:rPr>
      </w:pPr>
    </w:p>
    <w:p w14:paraId="2A053C4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endvidere af lovens § 4, stk. 2, at Finanstilsynet ved en persons tiltræden som bestyrelsesmedlem eller direktør i en forbrugslånsvirksomhed eller indehaveren af en forbrugslånsvirksomhed, der er en enkeltmandsvirksomhed skal påse, om personen opfylder egnetheds- og hæderlighedskravene i § 4, stk. 1. Finanstilsynet træffer afgørelse om, hvorvidt personen kan bestride hvervet eller stillingen i den pågældende virksomhed. Det samme gælder for indehaveren af en forbrugslånsvirksomhed, der drives som enkeltmandsvirksomhed.</w:t>
      </w:r>
    </w:p>
    <w:p w14:paraId="25E53513" w14:textId="77777777" w:rsidR="00B969C9" w:rsidRPr="008D5552" w:rsidRDefault="00B969C9" w:rsidP="00B969C9">
      <w:pPr>
        <w:spacing w:line="360" w:lineRule="auto"/>
        <w:rPr>
          <w:rFonts w:ascii="Times New Roman" w:hAnsi="Times New Roman" w:cs="Times New Roman"/>
          <w:sz w:val="24"/>
          <w:szCs w:val="24"/>
        </w:rPr>
      </w:pPr>
    </w:p>
    <w:p w14:paraId="6531DAD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desuden af lovens § 15, stk. 3, at Finanstilsynet kan påbyde fysiske og juridiske personer, som er omfattet af loven at foretage de nødvendige foranstaltninger inden for en af Finanstilsynet fastsat frist, hvis der sker overtrædelse af bestemmelser i loven eller regler udstedt i medfør heraf.</w:t>
      </w:r>
    </w:p>
    <w:p w14:paraId="44A63CA2" w14:textId="77777777" w:rsidR="00B969C9" w:rsidRPr="008D5552" w:rsidRDefault="00B969C9" w:rsidP="00B969C9">
      <w:pPr>
        <w:spacing w:line="360" w:lineRule="auto"/>
        <w:rPr>
          <w:rFonts w:ascii="Times New Roman" w:hAnsi="Times New Roman" w:cs="Times New Roman"/>
          <w:sz w:val="24"/>
          <w:szCs w:val="24"/>
        </w:rPr>
      </w:pPr>
    </w:p>
    <w:p w14:paraId="3870DF5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herudover af lovens § 17, stk. 1, at Finanstilsynet kan påbyde et medlem af bestyrelsen i en forbrugslånsvirksomhed at nedlægge sit hverv inden for en frist fastsat af Finanstilsynet, hvis bestyrelsesmedlemmet efter § 4, stk. 1, nr. 2-5, ikke kan varetage hvervet. Varigheden af påbuddet skal efter § 17, stk. 2, fremgå af påbuddet.</w:t>
      </w:r>
    </w:p>
    <w:p w14:paraId="5D356AFE" w14:textId="77777777" w:rsidR="00B969C9" w:rsidRPr="008D5552" w:rsidRDefault="00B969C9" w:rsidP="00B969C9">
      <w:pPr>
        <w:spacing w:line="360" w:lineRule="auto"/>
        <w:rPr>
          <w:rFonts w:ascii="Times New Roman" w:hAnsi="Times New Roman" w:cs="Times New Roman"/>
          <w:sz w:val="24"/>
          <w:szCs w:val="24"/>
        </w:rPr>
      </w:pPr>
    </w:p>
    <w:p w14:paraId="6556704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 § 17, stk. 3, Finanstilsynet kan desuden af påbyde et medlem af bestyrelsen i en forbrugslånsvirksomhed at nedlægge sit hverv, når der er rejst tiltale mod bestyrelsesmedlemmet i en straffesag om overtrædelse af straffeloven, den finansielle lovgivning eller anden relevant lovgivning, indtil straffesagen er afgjort, hvis domfældelse vil indebære, at bestyrelsesmedlemmet ikke opfylder kravene i § 4, stk. 1, nr. 3. Finanstilsynet fastsætter en frist for efterlevelse af påbuddet.</w:t>
      </w:r>
    </w:p>
    <w:p w14:paraId="401F5EF7" w14:textId="77777777" w:rsidR="00B969C9" w:rsidRPr="008D5552" w:rsidRDefault="00B969C9" w:rsidP="00B969C9">
      <w:pPr>
        <w:spacing w:line="360" w:lineRule="auto"/>
        <w:rPr>
          <w:rFonts w:ascii="Times New Roman" w:hAnsi="Times New Roman" w:cs="Times New Roman"/>
          <w:sz w:val="24"/>
          <w:szCs w:val="24"/>
        </w:rPr>
      </w:pPr>
    </w:p>
    <w:p w14:paraId="0E8B028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at indføre en ny </w:t>
      </w:r>
      <w:r w:rsidRPr="008D5552">
        <w:rPr>
          <w:rFonts w:ascii="Times New Roman" w:hAnsi="Times New Roman" w:cs="Times New Roman"/>
          <w:i/>
          <w:sz w:val="24"/>
          <w:szCs w:val="24"/>
        </w:rPr>
        <w:t>§ 4 a</w:t>
      </w:r>
      <w:r w:rsidRPr="008D5552">
        <w:rPr>
          <w:rFonts w:ascii="Times New Roman" w:hAnsi="Times New Roman" w:cs="Times New Roman"/>
          <w:sz w:val="24"/>
          <w:szCs w:val="24"/>
        </w:rPr>
        <w:t xml:space="preserve">, hvorefter der gælder et hæderlighedskrav for kreditformidlere som nævnt i § 2, nr. 3, samt disses reelle ejere og medlemmer af den øverste eller daglige ledelse, herunder bestyrelsen eller direktionen. Den foreslåede bestemmelse vil dog ikke finde anvendelse for virksomheder nævnt i lovens § 1, stk. 5, nr. 2, </w:t>
      </w:r>
    </w:p>
    <w:p w14:paraId="05EC8B86" w14:textId="77777777" w:rsidR="00B969C9" w:rsidRPr="008D5552" w:rsidRDefault="00B969C9" w:rsidP="00B969C9">
      <w:pPr>
        <w:spacing w:line="360" w:lineRule="auto"/>
        <w:rPr>
          <w:rFonts w:ascii="Times New Roman" w:hAnsi="Times New Roman" w:cs="Times New Roman"/>
          <w:sz w:val="24"/>
          <w:szCs w:val="24"/>
        </w:rPr>
      </w:pPr>
    </w:p>
    <w:p w14:paraId="5EB15A0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Bestemmelsen implementerer § 6, stk. 2, 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w:t>
      </w:r>
    </w:p>
    <w:p w14:paraId="54D7FA9D" w14:textId="77777777" w:rsidR="00B969C9" w:rsidRPr="008D5552" w:rsidRDefault="00B969C9" w:rsidP="00B969C9">
      <w:pPr>
        <w:spacing w:line="360" w:lineRule="auto"/>
        <w:rPr>
          <w:rFonts w:ascii="Times New Roman" w:hAnsi="Times New Roman" w:cs="Times New Roman"/>
          <w:sz w:val="24"/>
          <w:szCs w:val="24"/>
        </w:rPr>
      </w:pPr>
    </w:p>
    <w:p w14:paraId="7CB62FB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foreslås i</w:t>
      </w:r>
      <w:r w:rsidRPr="008D5552">
        <w:rPr>
          <w:rFonts w:ascii="Times New Roman" w:hAnsi="Times New Roman" w:cs="Times New Roman"/>
          <w:i/>
          <w:sz w:val="24"/>
          <w:szCs w:val="24"/>
        </w:rPr>
        <w:t xml:space="preserve"> §</w:t>
      </w:r>
      <w:r w:rsidRPr="008D5552">
        <w:rPr>
          <w:rFonts w:ascii="Times New Roman" w:hAnsi="Times New Roman" w:cs="Times New Roman"/>
          <w:sz w:val="24"/>
          <w:szCs w:val="24"/>
        </w:rPr>
        <w:t xml:space="preserve"> </w:t>
      </w:r>
      <w:r w:rsidRPr="008D5552">
        <w:rPr>
          <w:rFonts w:ascii="Times New Roman" w:hAnsi="Times New Roman" w:cs="Times New Roman"/>
          <w:i/>
          <w:sz w:val="24"/>
          <w:szCs w:val="24"/>
        </w:rPr>
        <w:t>4 a, stk. 1</w:t>
      </w:r>
      <w:r w:rsidRPr="008D5552">
        <w:rPr>
          <w:rFonts w:ascii="Times New Roman" w:hAnsi="Times New Roman" w:cs="Times New Roman"/>
          <w:sz w:val="24"/>
          <w:szCs w:val="24"/>
        </w:rPr>
        <w:t>, at et medlem af øverste eller daglige ledelse, herunder bestyrelsen eller direktionen, i en kreditformidler som nævnt i § 2, nr. 3, eller, hvor virksomheden udøves af en enkeltmandsvirksomhed, indehaveren eller, hvor virksomheden drives som juridisk person uden øverste eller daglige ledelse, den eller de ledelsesansvarlige, ikke må være pålagt strafansvar for overtrædelse af straffeloven, den finansielle lovgivning eller anden relevant lovgivning, hvis overtrædelsen indebærer en risiko for, at vedkommende ikke kan varetage sit hverv eller sin stilling på en betryggende måde.</w:t>
      </w:r>
    </w:p>
    <w:p w14:paraId="7451D27A" w14:textId="77777777" w:rsidR="00B969C9" w:rsidRPr="008D5552" w:rsidRDefault="00B969C9" w:rsidP="00B969C9">
      <w:pPr>
        <w:spacing w:line="360" w:lineRule="auto"/>
        <w:rPr>
          <w:rFonts w:ascii="Times New Roman" w:hAnsi="Times New Roman" w:cs="Times New Roman"/>
          <w:sz w:val="24"/>
          <w:szCs w:val="24"/>
        </w:rPr>
      </w:pPr>
    </w:p>
    <w:p w14:paraId="02047F5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Begrebet øverste ledelse skal forstås i overensstemmelse med definitionen forordningens artikel 2, stk. 1, nr. 40. Ifølge denne definition omfatter øverste ledelse både medlemmerne af ledelsesorganet i dets ledelsesfunktion, herunder bl.a. medlemmer af bestyrelse og direktion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0196118A" w14:textId="77777777" w:rsidR="00B969C9" w:rsidRPr="008D5552" w:rsidRDefault="00B969C9" w:rsidP="00B969C9">
      <w:pPr>
        <w:spacing w:line="360" w:lineRule="auto"/>
        <w:rPr>
          <w:rFonts w:ascii="Times New Roman" w:hAnsi="Times New Roman" w:cs="Times New Roman"/>
          <w:sz w:val="24"/>
          <w:szCs w:val="24"/>
        </w:rPr>
      </w:pPr>
    </w:p>
    <w:p w14:paraId="752B81F2" w14:textId="2FFFC9AA"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vil være afgørende for Finanstilsynets vurdering af det pågældende ledelsesmedlems m.fl. hæderlighed, at der er sket en overtrædelse af den relevante lovgivning. Et vedtaget bødeforelæg har samme retsvirkning som en endelig dom, ligesom vedtagelsen har samme gentagelsesvirkning som en dom, jf. </w:t>
      </w:r>
      <w:hyperlink r:id="rId35" w:history="1">
        <w:r w:rsidRPr="008D5552">
          <w:rPr>
            <w:rFonts w:ascii="Times New Roman" w:hAnsi="Times New Roman" w:cs="Times New Roman"/>
            <w:sz w:val="24"/>
            <w:szCs w:val="24"/>
          </w:rPr>
          <w:t>retsplejeloven § 832</w:t>
        </w:r>
      </w:hyperlink>
      <w:r w:rsidRPr="008D5552">
        <w:rPr>
          <w:rFonts w:ascii="Times New Roman" w:hAnsi="Times New Roman" w:cs="Times New Roman"/>
          <w:sz w:val="24"/>
          <w:szCs w:val="24"/>
        </w:rPr>
        <w:t>, stk. 4. </w:t>
      </w:r>
    </w:p>
    <w:p w14:paraId="21251533" w14:textId="77777777" w:rsidR="00B969C9" w:rsidRPr="008D5552" w:rsidRDefault="00B969C9" w:rsidP="00B969C9">
      <w:pPr>
        <w:spacing w:line="360" w:lineRule="auto"/>
        <w:rPr>
          <w:rFonts w:ascii="Times New Roman" w:hAnsi="Times New Roman" w:cs="Times New Roman"/>
          <w:sz w:val="24"/>
          <w:szCs w:val="24"/>
        </w:rPr>
      </w:pPr>
    </w:p>
    <w:p w14:paraId="26AB08B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strafbare lovovertrædelse, der henvises til i det foreslåede, skal indebære en risiko for, at vedkommende ikke kan varetage sit hverv eller sin stilling på betryggende måde, førend registrering vil skulle undlades. Hvis en person eller virksomhed har vedtaget et bødeforelæg, vil Finanstilsynet derfor skulle vurdere, om overtrædelsen indebærer risiko for, at vedkommende ikke kan varetage sit hverv eller sin stilling på betryggende måde. Finanstilsynets vurdering vil blive foretaget efter de samme principper, som domstolene anvender i forbindelse med en rettighedsfrakendelsessag, og Finanstilsynet vil i vurderingen inddrage relevant retspraksis.</w:t>
      </w:r>
    </w:p>
    <w:p w14:paraId="0A7B11E1" w14:textId="77777777" w:rsidR="00B969C9" w:rsidRPr="008D5552" w:rsidRDefault="00B969C9" w:rsidP="00B969C9">
      <w:pPr>
        <w:spacing w:line="360" w:lineRule="auto"/>
        <w:rPr>
          <w:rFonts w:ascii="Times New Roman" w:hAnsi="Times New Roman" w:cs="Times New Roman"/>
          <w:sz w:val="24"/>
          <w:szCs w:val="24"/>
        </w:rPr>
      </w:pPr>
    </w:p>
    <w:p w14:paraId="2E69A8B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Dette indebærer, at Finanstilsynet i vurderingen af om en strafbar overtrædelse skal føre til, at Finanstilsynet nægter registrering, vil skulle vurdere, om det udviste forhold begrunder en risiko for efterfølgende misbrug af hvervet eller stillingen, eller om den pågældende har handlet på en så retsstridig og uetisk måde, at der er grundlag for at antage, at den pågældende ikke vil varetage hvervet eller stillingen som henholdsvis bestyrelsesmedlem eller direktør på betryggende vis.</w:t>
      </w:r>
    </w:p>
    <w:p w14:paraId="2679AB34" w14:textId="77777777" w:rsidR="00B969C9" w:rsidRPr="008D5552" w:rsidRDefault="00B969C9" w:rsidP="00B969C9">
      <w:pPr>
        <w:spacing w:line="360" w:lineRule="auto"/>
        <w:rPr>
          <w:rFonts w:ascii="Times New Roman" w:hAnsi="Times New Roman" w:cs="Times New Roman"/>
          <w:sz w:val="24"/>
          <w:szCs w:val="24"/>
        </w:rPr>
      </w:pPr>
    </w:p>
    <w:p w14:paraId="24A9AB0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Herudover vil hensynet til at opretholde tilliden til den finansielle sektor indgå i vurderingen af, om en strafbar overtrædelse skal medføre, at det pågældende ledelsesmedlem ikke kan varetage hvervet eller stillingen. Særligt ledelsesmedlemmets forståelse for den finansielle sektors særlige samfundsmæssige ansvar i relation til forebyggelse af hvidvask og terrorfinansiering, vil også indgå i vurderingen.</w:t>
      </w:r>
    </w:p>
    <w:p w14:paraId="1C121949" w14:textId="77777777" w:rsidR="00B969C9" w:rsidRPr="008D5552" w:rsidRDefault="00B969C9" w:rsidP="00B969C9">
      <w:pPr>
        <w:spacing w:line="360" w:lineRule="auto"/>
        <w:rPr>
          <w:rFonts w:ascii="Times New Roman" w:hAnsi="Times New Roman" w:cs="Times New Roman"/>
          <w:sz w:val="24"/>
          <w:szCs w:val="24"/>
        </w:rPr>
      </w:pPr>
    </w:p>
    <w:p w14:paraId="7D60C9C7" w14:textId="3C091214"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2</w:t>
      </w:r>
      <w:r w:rsidRPr="008D5552">
        <w:rPr>
          <w:rFonts w:ascii="Times New Roman" w:hAnsi="Times New Roman" w:cs="Times New Roman"/>
          <w:sz w:val="24"/>
          <w:szCs w:val="24"/>
        </w:rPr>
        <w:t>, at kreditformidlere, som nævnt i § 2, nr. 3, eller virksomhedens reelle ejere ikke må være pålagt strafansvar for overtrædelse af straffeloven, den finansielle lovgivning eller anden relevant lovgivning, hvis overtrædelsen indebærer risiko for, at virksomheden misbruger registreringen, eller at den reelle ejer misbruger sin kontrollerende indflydelse.</w:t>
      </w:r>
    </w:p>
    <w:p w14:paraId="0529C358" w14:textId="77777777" w:rsidR="00B969C9" w:rsidRPr="008D5552" w:rsidRDefault="00B969C9" w:rsidP="00B969C9">
      <w:pPr>
        <w:spacing w:line="360" w:lineRule="auto"/>
        <w:rPr>
          <w:rFonts w:ascii="Times New Roman" w:hAnsi="Times New Roman" w:cs="Times New Roman"/>
          <w:sz w:val="24"/>
          <w:szCs w:val="24"/>
        </w:rPr>
      </w:pPr>
    </w:p>
    <w:p w14:paraId="2E37B7C0" w14:textId="26A736BD"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foreslåede vil medføre, at Finanstilsynet skal undlade at registrere en kreditformidler, hvis virksomheden er pålagt strafansvar for overtrædelse af </w:t>
      </w:r>
      <w:hyperlink r:id="rId36" w:history="1">
        <w:r w:rsidRPr="008D5552">
          <w:rPr>
            <w:rFonts w:ascii="Times New Roman" w:hAnsi="Times New Roman" w:cs="Times New Roman"/>
            <w:sz w:val="24"/>
            <w:szCs w:val="24"/>
          </w:rPr>
          <w:t>straffeloven</w:t>
        </w:r>
      </w:hyperlink>
      <w:r w:rsidRPr="008D5552">
        <w:rPr>
          <w:rFonts w:ascii="Times New Roman" w:hAnsi="Times New Roman" w:cs="Times New Roman"/>
          <w:sz w:val="24"/>
          <w:szCs w:val="24"/>
        </w:rPr>
        <w:t>, den finansielle lovgivning eller anden relevant lovgivning, hvis overtrædelsen indebærer risiko for, at virksomheden misbruger registreringen, eller en reel ejer er dømt for et strafbart forhold, der begrunder en risiko for misbrug af den pågældendes kontrollerende indflydelse.</w:t>
      </w:r>
    </w:p>
    <w:p w14:paraId="2A90FDBE" w14:textId="77777777" w:rsidR="00B969C9" w:rsidRPr="008D5552" w:rsidRDefault="00B969C9" w:rsidP="00B969C9">
      <w:pPr>
        <w:spacing w:line="360" w:lineRule="auto"/>
        <w:rPr>
          <w:rFonts w:ascii="Times New Roman" w:hAnsi="Times New Roman" w:cs="Times New Roman"/>
          <w:sz w:val="24"/>
          <w:szCs w:val="24"/>
        </w:rPr>
      </w:pPr>
    </w:p>
    <w:p w14:paraId="1763365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reel ejer skal forstås i overensstemmelse med definitionen i artikel 2, stk. 1, nr. 28, i Europa-Parlamentets og Rådets forordning (EU) 2024/1624, hvorefter en reel ejer skal forstås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kapitel 4.</w:t>
      </w:r>
    </w:p>
    <w:p w14:paraId="5427A887" w14:textId="77777777" w:rsidR="00B969C9" w:rsidRPr="008D5552" w:rsidRDefault="00B969C9" w:rsidP="00B969C9">
      <w:pPr>
        <w:spacing w:line="360" w:lineRule="auto"/>
        <w:rPr>
          <w:rFonts w:ascii="Times New Roman" w:hAnsi="Times New Roman" w:cs="Times New Roman"/>
          <w:sz w:val="24"/>
          <w:szCs w:val="24"/>
        </w:rPr>
      </w:pPr>
    </w:p>
    <w:p w14:paraId="10791A7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vil være afgørende for Finanstilsynets vurdering af hæderligheden, at der er sket en overtrædelse af den relevante lovgivning. Et vedtaget bødeforelæg har samme retsvirkning som en endelig dom, ligesom vedtagelsen har samme gentagelsesvirkning som en dom, jf. retsplejelovens § 832, stk. 4. </w:t>
      </w:r>
    </w:p>
    <w:p w14:paraId="10F9DFEA" w14:textId="77777777" w:rsidR="00B969C9" w:rsidRPr="008D5552" w:rsidRDefault="00B969C9" w:rsidP="00B969C9">
      <w:pPr>
        <w:spacing w:line="360" w:lineRule="auto"/>
        <w:rPr>
          <w:rFonts w:ascii="Times New Roman" w:hAnsi="Times New Roman" w:cs="Times New Roman"/>
          <w:sz w:val="24"/>
          <w:szCs w:val="24"/>
        </w:rPr>
      </w:pPr>
    </w:p>
    <w:p w14:paraId="5D0FD7D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strafbare lovovertrædelse, der henvises til i det foreslåede, skal indebære en risiko for, at virksomheden misbruger registreringen, eller at en reel ejer misbruger den pågældendes kontrollerende indflydelse.</w:t>
      </w:r>
    </w:p>
    <w:p w14:paraId="43D75587" w14:textId="77777777" w:rsidR="00B969C9" w:rsidRPr="008D5552" w:rsidRDefault="00B969C9" w:rsidP="00B969C9">
      <w:pPr>
        <w:spacing w:line="360" w:lineRule="auto"/>
        <w:rPr>
          <w:rFonts w:ascii="Times New Roman" w:hAnsi="Times New Roman" w:cs="Times New Roman"/>
          <w:sz w:val="24"/>
          <w:szCs w:val="24"/>
        </w:rPr>
      </w:pPr>
    </w:p>
    <w:p w14:paraId="36F8E56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Hvis en virksomhed har vedtaget et bødeforelæg, vil Finanstilsynet skulle vurdere, om overtrædelsen indebærer risiko for, at registreringen misbruges, og ved reelle ejere vil det skulle vurderes, om der er risiko for misbrug af vedkommendes kontrollerende indflydelse. Finanstilsynets vurdering foretages efter samme principper, som domstolene anvender i forbindelse med en rettighedsfrakendelsessag, og Finanstilsynet vil i vurderingen inddrage relevant retspraksis.</w:t>
      </w:r>
    </w:p>
    <w:p w14:paraId="05854D3B" w14:textId="77777777" w:rsidR="00B969C9" w:rsidRPr="008D5552" w:rsidRDefault="00B969C9" w:rsidP="00B969C9">
      <w:pPr>
        <w:spacing w:line="360" w:lineRule="auto"/>
        <w:rPr>
          <w:rFonts w:ascii="Times New Roman" w:hAnsi="Times New Roman" w:cs="Times New Roman"/>
          <w:sz w:val="24"/>
          <w:szCs w:val="24"/>
        </w:rPr>
      </w:pPr>
    </w:p>
    <w:p w14:paraId="65F0755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Dette indebærer, at Finanstilsynet i vurderingen af om en strafbar overtrædelse skal føre til, at Finanstilsynet nægter registrering, vil skulle vurdere, om det udviste forhold begrunder en risiko for virksomhedens efterfølgende misbrug af registreringen, eller om den pågældende reelle ejer har handlet på en så retsstridig og uetisk måde, at der er må antages at være risiko for, at den pågældende vil bruge sin kontrollerende indflydelse på en ikke betryggende vis.</w:t>
      </w:r>
    </w:p>
    <w:p w14:paraId="54D3AC68" w14:textId="77777777" w:rsidR="00B969C9" w:rsidRPr="008D5552" w:rsidRDefault="00B969C9" w:rsidP="00B969C9">
      <w:pPr>
        <w:spacing w:line="360" w:lineRule="auto"/>
        <w:rPr>
          <w:rFonts w:ascii="Times New Roman" w:hAnsi="Times New Roman" w:cs="Times New Roman"/>
          <w:sz w:val="24"/>
          <w:szCs w:val="24"/>
        </w:rPr>
      </w:pPr>
    </w:p>
    <w:p w14:paraId="5789E50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Herudover vil hensynet til at opretholde tilliden til den finansielle sektor skulle indgå i vurderingen af, om en strafbar overtrædelse medfører en risiko for, at virksomheden misbruger registreringen eller den reelle ejer misbruger den pågældendes kontrollerende indflydelse.</w:t>
      </w:r>
    </w:p>
    <w:p w14:paraId="60240FD0" w14:textId="77777777" w:rsidR="00B969C9" w:rsidRPr="008D5552" w:rsidRDefault="00B969C9" w:rsidP="00B969C9">
      <w:pPr>
        <w:spacing w:line="360" w:lineRule="auto"/>
        <w:rPr>
          <w:rFonts w:ascii="Times New Roman" w:hAnsi="Times New Roman" w:cs="Times New Roman"/>
          <w:sz w:val="24"/>
          <w:szCs w:val="24"/>
        </w:rPr>
      </w:pPr>
    </w:p>
    <w:p w14:paraId="627F895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3</w:t>
      </w:r>
      <w:r w:rsidRPr="008D5552">
        <w:rPr>
          <w:rFonts w:ascii="Times New Roman" w:hAnsi="Times New Roman" w:cs="Times New Roman"/>
          <w:sz w:val="24"/>
          <w:szCs w:val="24"/>
        </w:rPr>
        <w:t>, at personer, der har handlet i fællesskab med en person, der er pålagt strafansvar for overtrædelse af straffeloven, den finansielle lovgivning eller anden relevant lovgivning, om de pågældende lovovertrædelser, ikke kan registreres til at udøve et erhverv eller varetage en funktion i den øverste ledelse i kreditformidlere som nævnt i § 2, nr. 3, der er registreringspligtig efter 3 a, stk. 1.</w:t>
      </w:r>
    </w:p>
    <w:p w14:paraId="51C47BDD" w14:textId="77777777" w:rsidR="00B969C9" w:rsidRPr="008D5552" w:rsidRDefault="00B969C9" w:rsidP="00B969C9">
      <w:pPr>
        <w:spacing w:line="360" w:lineRule="auto"/>
        <w:rPr>
          <w:rFonts w:ascii="Times New Roman" w:hAnsi="Times New Roman" w:cs="Times New Roman"/>
          <w:sz w:val="24"/>
          <w:szCs w:val="24"/>
        </w:rPr>
      </w:pPr>
    </w:p>
    <w:p w14:paraId="79D09C0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implementerer artikel 6, stk. 2, i 6. hvidvaskdirektiv.</w:t>
      </w:r>
    </w:p>
    <w:p w14:paraId="52FEDB70" w14:textId="77777777" w:rsidR="00B969C9" w:rsidRPr="008D5552" w:rsidRDefault="00B969C9" w:rsidP="00B969C9">
      <w:pPr>
        <w:spacing w:line="360" w:lineRule="auto"/>
        <w:rPr>
          <w:rFonts w:ascii="Times New Roman" w:hAnsi="Times New Roman" w:cs="Times New Roman"/>
          <w:sz w:val="24"/>
          <w:szCs w:val="24"/>
        </w:rPr>
      </w:pPr>
    </w:p>
    <w:p w14:paraId="16352D5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 artikel 6, stk. 2, i 6. hvidvaskdirektiv anvendes begrebet samarbejdspartnere om de personer, der sammen med en dømt person skal udelukkes fra at kunne godkendes til at udøve erhverv i forpligtede enheder. I den foreslåede bestemmelse er begrebet i stedet udtrykt som personer, der har handlet i fællesskab med en person, der er pålagt strafansvar. Denne formulering er valgt for at skabe en tydelig og præcis afgrænsning, da den understøtter en konkret vurdering af, om der har været et reelt samarbejde eller medvirken til den pågældende lovovertrædelse. Formuleringen er således i overensstemmelse med direktivets krav, men tilpasset dansk retlig terminologi og praksis, hvor der fokuseres på den enkelte persons rolle og involvering i lovovertrædelsen.</w:t>
      </w:r>
    </w:p>
    <w:p w14:paraId="1118E0F6" w14:textId="77777777" w:rsidR="00B969C9" w:rsidRPr="008D5552" w:rsidRDefault="00B969C9" w:rsidP="00B969C9">
      <w:pPr>
        <w:spacing w:line="360" w:lineRule="auto"/>
        <w:rPr>
          <w:rFonts w:ascii="Times New Roman" w:eastAsia="Times New Roman" w:hAnsi="Times New Roman" w:cs="Times New Roman"/>
          <w:sz w:val="24"/>
          <w:szCs w:val="24"/>
          <w:lang w:eastAsia="da-DK"/>
        </w:rPr>
      </w:pPr>
    </w:p>
    <w:p w14:paraId="027AF0F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Ved udtrykket personer, der har handlet i fællesskab forstås personer, der i forbindelse med den pågældende lovovertrædelse har udvist en sådan grad af samarbejde eller medvirken, at de efter en konkret vurdering må anses for at have haft en væsentlig rolle i overtrædelsen. Dette kan eksempelvis omfatte medvirkende eller personer, der har ydet væsentlig bistand til den strafbare handling eller hvor en person ikke har deltaget i eller handlet i fællesskab om overtrædelsen, men alligevel har opnået vinding ved overtrædelsen. </w:t>
      </w:r>
    </w:p>
    <w:p w14:paraId="417C1FE2" w14:textId="77777777" w:rsidR="00B969C9" w:rsidRPr="008D5552" w:rsidRDefault="00B969C9" w:rsidP="00B969C9">
      <w:pPr>
        <w:spacing w:line="360" w:lineRule="auto"/>
        <w:rPr>
          <w:rFonts w:ascii="Times New Roman" w:hAnsi="Times New Roman" w:cs="Times New Roman"/>
          <w:sz w:val="24"/>
          <w:szCs w:val="24"/>
        </w:rPr>
      </w:pPr>
    </w:p>
    <w:p w14:paraId="51DFF24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Med udtrykket overtrædelse af straffeloven, den finansielle lovgivning eller anden relevant lovgivning sigtes der til alvorlige lovovertrædelser, der har betydning for vurderingen af personens hæderlighed til at varetage centrale funktioner i virksomheder som nævnt i § 2, nr. 3, der er registreringspligtige efter e § 3 a, stk. 1. Dette omfatter navnlig overtrædelser, der relaterer sig til økonomisk kriminalitet, hvidvask, terrorfinansiering, skatteunddragelse og lignende.</w:t>
      </w:r>
    </w:p>
    <w:p w14:paraId="175D673B" w14:textId="77777777" w:rsidR="00B969C9" w:rsidRPr="008D5552" w:rsidRDefault="00B969C9" w:rsidP="00B969C9">
      <w:pPr>
        <w:spacing w:line="360" w:lineRule="auto"/>
        <w:rPr>
          <w:rFonts w:ascii="Times New Roman" w:hAnsi="Times New Roman" w:cs="Times New Roman"/>
          <w:sz w:val="24"/>
          <w:szCs w:val="24"/>
        </w:rPr>
      </w:pPr>
    </w:p>
    <w:p w14:paraId="754DFE1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omfatter kreditformidlere som nævnt i § 2, nr. 3, der er registreringspligtige efter § 3 a, stk. 1, hvilket omfatter kreditformidlere som nævnt i det foreslåede § 2, nr. 3, og som er underlagt tilsyn eller registrering hos Finanstilsynet.</w:t>
      </w:r>
    </w:p>
    <w:p w14:paraId="4C190F38" w14:textId="77777777" w:rsidR="00B969C9" w:rsidRPr="008D5552" w:rsidRDefault="00B969C9" w:rsidP="00B969C9">
      <w:pPr>
        <w:spacing w:line="360" w:lineRule="auto"/>
        <w:rPr>
          <w:rFonts w:ascii="Times New Roman" w:hAnsi="Times New Roman" w:cs="Times New Roman"/>
          <w:sz w:val="24"/>
          <w:szCs w:val="24"/>
        </w:rPr>
      </w:pPr>
    </w:p>
    <w:p w14:paraId="7869BBF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har til formål at styrke integriteten og troværdigheden i den finansielle sektor ved at forhindre, at personer, der har handlet i fællesskab med andre om alvorlige lovovertrædelser, får adgang til centrale funktioner i registreringspligtige virksomheder.</w:t>
      </w:r>
    </w:p>
    <w:p w14:paraId="0B5D1720" w14:textId="77777777" w:rsidR="00B969C9" w:rsidRPr="008D5552" w:rsidRDefault="00B969C9" w:rsidP="00B969C9">
      <w:pPr>
        <w:spacing w:line="360" w:lineRule="auto"/>
        <w:rPr>
          <w:rFonts w:ascii="Times New Roman" w:hAnsi="Times New Roman" w:cs="Times New Roman"/>
          <w:sz w:val="24"/>
          <w:szCs w:val="24"/>
        </w:rPr>
      </w:pPr>
    </w:p>
    <w:p w14:paraId="0D4CEE2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Afgørelser af om, hvorvidt en person er omfattet af bestemmelsen, skal træffes på baggrund af en konkret og individuel vurdering, hvor der tages hensyn til sagens omstændigheder, herunder karakteren og grovheden af den pågældende lovovertrædelse og personens rolle. </w:t>
      </w:r>
    </w:p>
    <w:p w14:paraId="5B5A4675" w14:textId="77777777" w:rsidR="00B969C9" w:rsidRPr="008D5552" w:rsidRDefault="00B969C9" w:rsidP="00B969C9">
      <w:pPr>
        <w:spacing w:line="360" w:lineRule="auto"/>
        <w:rPr>
          <w:rFonts w:ascii="Times New Roman" w:hAnsi="Times New Roman" w:cs="Times New Roman"/>
          <w:sz w:val="24"/>
          <w:szCs w:val="24"/>
        </w:rPr>
      </w:pPr>
    </w:p>
    <w:p w14:paraId="314DD7F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4,</w:t>
      </w:r>
      <w:r w:rsidRPr="008D5552">
        <w:rPr>
          <w:rFonts w:ascii="Times New Roman" w:hAnsi="Times New Roman" w:cs="Times New Roman"/>
          <w:sz w:val="24"/>
          <w:szCs w:val="24"/>
        </w:rPr>
        <w:t xml:space="preserve"> at fastsætte regler for, at Finanstilsynet skal vurdere hæderlighed for personer, der tiltræder ledende poster eller opnår væsentlig indflydelse i virksomheder som nævnt i § 2, nr. 3, der er registreret efter 3 a, stk. 1. Formålet med bestemmelsen er at sikre, at kun personer, der opfylder de relevante krav hæderlighed, kan indtræde i centrale funktioner i de omfattede virksomheder. </w:t>
      </w:r>
    </w:p>
    <w:p w14:paraId="1263C474" w14:textId="77777777" w:rsidR="00B969C9" w:rsidRPr="008D5552" w:rsidRDefault="00B969C9" w:rsidP="00B969C9">
      <w:pPr>
        <w:spacing w:line="360" w:lineRule="auto"/>
        <w:rPr>
          <w:rFonts w:ascii="Times New Roman" w:hAnsi="Times New Roman" w:cs="Times New Roman"/>
          <w:sz w:val="24"/>
          <w:szCs w:val="24"/>
        </w:rPr>
      </w:pPr>
    </w:p>
    <w:p w14:paraId="18744AD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foreslås i</w:t>
      </w:r>
      <w:r w:rsidRPr="008D5552">
        <w:rPr>
          <w:rFonts w:ascii="Times New Roman" w:hAnsi="Times New Roman" w:cs="Times New Roman"/>
          <w:i/>
          <w:sz w:val="24"/>
          <w:szCs w:val="24"/>
        </w:rPr>
        <w:t xml:space="preserve"> 1. pkt.</w:t>
      </w:r>
      <w:r w:rsidRPr="008D5552">
        <w:rPr>
          <w:rFonts w:ascii="Times New Roman" w:hAnsi="Times New Roman" w:cs="Times New Roman"/>
          <w:sz w:val="24"/>
          <w:szCs w:val="24"/>
        </w:rPr>
        <w:t xml:space="preserve">, at når en person tiltræder et hverv som bestyrelsesmedlem eller en stilling som direktør i en virksomhed som nævnt i § 2, nr. 3, der er registreret efter § 3 a, stk. 1, skal Finanstilsynet påse, at personen opfylder hæderlighedskravet i stk. 1. </w:t>
      </w:r>
    </w:p>
    <w:p w14:paraId="40670200" w14:textId="77777777" w:rsidR="00B969C9" w:rsidRPr="008D5552" w:rsidRDefault="00B969C9" w:rsidP="00B969C9">
      <w:pPr>
        <w:spacing w:line="360" w:lineRule="auto"/>
        <w:rPr>
          <w:rFonts w:ascii="Times New Roman" w:hAnsi="Times New Roman" w:cs="Times New Roman"/>
          <w:sz w:val="24"/>
          <w:szCs w:val="24"/>
        </w:rPr>
      </w:pPr>
    </w:p>
    <w:p w14:paraId="4AC49E2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indebærer, at Finanstilsynet foretager en konkret vurdering af, om den pågældende person besidder nødvendige hæderlighed til at bestride hvervet eller stillingen i virksomheden.</w:t>
      </w:r>
    </w:p>
    <w:p w14:paraId="73F51EED" w14:textId="77777777" w:rsidR="00B969C9" w:rsidRPr="008D5552" w:rsidRDefault="00B969C9" w:rsidP="00B969C9">
      <w:pPr>
        <w:spacing w:line="360" w:lineRule="auto"/>
        <w:rPr>
          <w:rFonts w:ascii="Times New Roman" w:hAnsi="Times New Roman" w:cs="Times New Roman"/>
          <w:sz w:val="24"/>
          <w:szCs w:val="24"/>
        </w:rPr>
      </w:pPr>
    </w:p>
    <w:p w14:paraId="1DB0709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lovfæster Finanstilsynets praksis, hvorefter tilsynet fører kontrol med, at ledelsesmedlemmer og andre nøglepersoner i registreringspligtige virksomheder opfylder kravene til egnethed og hæderlighed, når de tiltræder deres funktion. Vurderingen foretages på baggrund af de oplysninger, som virksomheden og den pågældende person indsender til Finanstilsynet. Finanstilsynet træffer herefter afgørelse om, hvorvidt personen kan godkendes til at bestride hvervet eller stillingen.</w:t>
      </w:r>
    </w:p>
    <w:p w14:paraId="14DC52DC" w14:textId="77777777" w:rsidR="00B969C9" w:rsidRPr="008D5552" w:rsidRDefault="00B969C9" w:rsidP="00B969C9">
      <w:pPr>
        <w:spacing w:line="360" w:lineRule="auto"/>
        <w:rPr>
          <w:rFonts w:ascii="Times New Roman" w:hAnsi="Times New Roman" w:cs="Times New Roman"/>
          <w:sz w:val="24"/>
          <w:szCs w:val="24"/>
        </w:rPr>
      </w:pPr>
    </w:p>
    <w:p w14:paraId="63637B0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2. pkt</w:t>
      </w:r>
      <w:r w:rsidRPr="008D5552">
        <w:rPr>
          <w:rFonts w:ascii="Times New Roman" w:hAnsi="Times New Roman" w:cs="Times New Roman"/>
          <w:sz w:val="24"/>
          <w:szCs w:val="24"/>
        </w:rPr>
        <w:t>., at Finanstilsynet træffer afgørelse om, hvorvidt personen kan bestride hvervet eller stillingen i den pågældende virksomhed.</w:t>
      </w:r>
    </w:p>
    <w:p w14:paraId="7A733206" w14:textId="77777777" w:rsidR="00B969C9" w:rsidRPr="008D5552" w:rsidRDefault="00B969C9" w:rsidP="00B969C9">
      <w:pPr>
        <w:spacing w:line="360" w:lineRule="auto"/>
        <w:rPr>
          <w:rFonts w:ascii="Times New Roman" w:hAnsi="Times New Roman" w:cs="Times New Roman"/>
          <w:sz w:val="24"/>
          <w:szCs w:val="24"/>
        </w:rPr>
      </w:pPr>
    </w:p>
    <w:p w14:paraId="30530DC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er en betingelse for, at et ledelsesmedlemmer og eller øvrige personer omfattet af bestemmelsen kan indtræde i virksomheden, at Finanstilsynet kan hæderlighedsgodkende vedkommende.</w:t>
      </w:r>
    </w:p>
    <w:p w14:paraId="7D43B5CC" w14:textId="77777777" w:rsidR="00B969C9" w:rsidRPr="008D5552" w:rsidRDefault="00B969C9" w:rsidP="00B969C9">
      <w:pPr>
        <w:spacing w:line="360" w:lineRule="auto"/>
        <w:rPr>
          <w:rFonts w:ascii="Times New Roman" w:hAnsi="Times New Roman" w:cs="Times New Roman"/>
          <w:sz w:val="24"/>
          <w:szCs w:val="24"/>
        </w:rPr>
      </w:pPr>
    </w:p>
    <w:p w14:paraId="29A249A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Hvis Finanstilsynet vurderer, at personen ikke opfylder kravene til hæderlighed, træffer Finanstilsynet afgørelse om, at den pågældende ikke kan bestride hvervet eller stillingen i den pågældende virksomhed. Inden Finanstilsynet afslår en ansøgning om hæderlighedsgodkendelse, skal der i henhold til reglerne i forvaltningsloven foretages en partshøring af virksomheden og af den, som afgørelsen retter sig mod.</w:t>
      </w:r>
    </w:p>
    <w:p w14:paraId="51F02691" w14:textId="77777777" w:rsidR="00B969C9" w:rsidRPr="008D5552" w:rsidRDefault="00B969C9" w:rsidP="00B969C9">
      <w:pPr>
        <w:spacing w:line="360" w:lineRule="auto"/>
        <w:rPr>
          <w:rFonts w:ascii="Times New Roman" w:hAnsi="Times New Roman" w:cs="Times New Roman"/>
          <w:sz w:val="24"/>
          <w:szCs w:val="24"/>
        </w:rPr>
      </w:pPr>
    </w:p>
    <w:p w14:paraId="05046A8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Sagen forelægges efter følgende for Finanstilsynets bestyrelse til endelig afgørelse i medfør af lovens § 15, stk. 2, jf. § 345, stk. 12, nr. 4, i lov om finansiel virksomhed. Som part i Finanstilsynets afgørelser om egnethed og hæderlighed anses både den berørte virksomhed og den person som afgørelsen vedrører, jf. lovforslagets § 146, nr. 11. </w:t>
      </w:r>
    </w:p>
    <w:p w14:paraId="1577C5CA" w14:textId="77777777" w:rsidR="00B969C9" w:rsidRPr="008D5552" w:rsidRDefault="00B969C9" w:rsidP="00B969C9">
      <w:pPr>
        <w:spacing w:line="360" w:lineRule="auto"/>
        <w:rPr>
          <w:rFonts w:ascii="Times New Roman" w:hAnsi="Times New Roman" w:cs="Times New Roman"/>
          <w:sz w:val="24"/>
          <w:szCs w:val="24"/>
        </w:rPr>
      </w:pPr>
    </w:p>
    <w:p w14:paraId="2EEB9CD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Finanstilsynets afgørelser om egnethed og hæderlighed kan påklages til Erhvervsankenævnet af sagens parter. </w:t>
      </w:r>
    </w:p>
    <w:p w14:paraId="1FEBCDE0" w14:textId="77777777" w:rsidR="00B969C9" w:rsidRPr="008D5552" w:rsidRDefault="00B969C9" w:rsidP="00B969C9">
      <w:pPr>
        <w:spacing w:line="360" w:lineRule="auto"/>
        <w:rPr>
          <w:rFonts w:ascii="Times New Roman" w:hAnsi="Times New Roman" w:cs="Times New Roman"/>
          <w:sz w:val="24"/>
          <w:szCs w:val="24"/>
        </w:rPr>
      </w:pPr>
    </w:p>
    <w:p w14:paraId="3445DCF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3. pkt.</w:t>
      </w:r>
      <w:r w:rsidRPr="008D5552">
        <w:rPr>
          <w:rFonts w:ascii="Times New Roman" w:hAnsi="Times New Roman" w:cs="Times New Roman"/>
          <w:sz w:val="24"/>
          <w:szCs w:val="24"/>
        </w:rPr>
        <w:t xml:space="preserve">, at 1. og 2. pkt. finder tilsvarende anvendelse for indehaveren af en kreditformidler som nævnt i § 2, nr. 3 der er registreret efter § 3 a, stk. 1, hvis der er tale om en enkeltmandsvirksomhed, for ledelsesansvarlige i kreditformidlere, der drives uden direktion og bestyrelse, samt for virksomhedens reelle ejere. </w:t>
      </w:r>
    </w:p>
    <w:p w14:paraId="773A1032" w14:textId="77777777" w:rsidR="00B969C9" w:rsidRPr="008D5552" w:rsidRDefault="00B969C9" w:rsidP="00B969C9">
      <w:pPr>
        <w:spacing w:line="360" w:lineRule="auto"/>
        <w:rPr>
          <w:rFonts w:ascii="Times New Roman" w:hAnsi="Times New Roman" w:cs="Times New Roman"/>
          <w:sz w:val="24"/>
          <w:szCs w:val="24"/>
        </w:rPr>
      </w:pPr>
    </w:p>
    <w:p w14:paraId="098C37A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omfatter ikke alene bestyrelsesmedlemmer og direktører, men finder tilsvarende anvendelse for indehaveren af en kreditformidler som nævnt i § 2, nr. 3, der er registreret efter § 3 a, stk. 1, hvis der er tale om en enkeltmandsvirksomhed, for ledelsesansvarlige i virksomheder, der drives uden direktion og bestyrelse, samt for virksomhedens reelle ejere.</w:t>
      </w:r>
    </w:p>
    <w:p w14:paraId="63404501" w14:textId="77777777" w:rsidR="00B969C9" w:rsidRPr="008D5552" w:rsidRDefault="00B969C9" w:rsidP="00B969C9">
      <w:pPr>
        <w:spacing w:line="360" w:lineRule="auto"/>
        <w:rPr>
          <w:rFonts w:ascii="Times New Roman" w:hAnsi="Times New Roman" w:cs="Times New Roman"/>
          <w:sz w:val="24"/>
          <w:szCs w:val="24"/>
        </w:rPr>
      </w:pPr>
    </w:p>
    <w:p w14:paraId="33A425C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er en forudsætning for, at en person kan tiltræde en ledende stilling eller opnå væsentlig indflydelse i virksomheden, at Finanstilsynet har godkendt vedkommende på baggrund af en vurdering af egnethed og hæderlighed. Hvis Finanstilsynet vurderer, at personen ikke opfylder kravene, træffes der afgørelse om, at vedkommende ikke kan bestride hvervet eller stillingen. Inden der træffes afgørelse om afslag, skal der foretages partshøring af både virksomheden og den pågældende person i overensstemmelse med forvaltningslovens regler.</w:t>
      </w:r>
    </w:p>
    <w:p w14:paraId="3B4B4600" w14:textId="77777777" w:rsidR="00B969C9" w:rsidRPr="008D5552" w:rsidRDefault="00B969C9" w:rsidP="00B969C9">
      <w:pPr>
        <w:spacing w:line="360" w:lineRule="auto"/>
        <w:rPr>
          <w:rFonts w:ascii="Times New Roman" w:hAnsi="Times New Roman" w:cs="Times New Roman"/>
          <w:sz w:val="24"/>
          <w:szCs w:val="24"/>
        </w:rPr>
      </w:pPr>
    </w:p>
    <w:p w14:paraId="51C932A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sikrer en entydig hjemmel for Finanstilsynets kontrol og afgørelseskompetence i forbindelse med vurderingen af egnethed og hæderlighed for ledelsesmedlemmer og andre centrale personer i registreringspligtige kreditformidlere.</w:t>
      </w:r>
    </w:p>
    <w:p w14:paraId="2EA85961" w14:textId="77777777" w:rsidR="00B969C9" w:rsidRPr="008D5552" w:rsidRDefault="00B969C9" w:rsidP="00B969C9">
      <w:pPr>
        <w:spacing w:line="360" w:lineRule="auto"/>
        <w:rPr>
          <w:rFonts w:ascii="Times New Roman" w:hAnsi="Times New Roman" w:cs="Times New Roman"/>
          <w:sz w:val="24"/>
          <w:szCs w:val="24"/>
        </w:rPr>
      </w:pPr>
    </w:p>
    <w:p w14:paraId="0B79A0A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5</w:t>
      </w:r>
      <w:r w:rsidRPr="008D5552">
        <w:rPr>
          <w:rFonts w:ascii="Times New Roman" w:hAnsi="Times New Roman" w:cs="Times New Roman"/>
          <w:sz w:val="24"/>
          <w:szCs w:val="24"/>
        </w:rPr>
        <w:t>, at hvis Finanstilsynet vurderer, at en person ikke opfylder kravene i stk. 1 og 2, skal varigheden af afgørelsen fremgå af afgørelsen.</w:t>
      </w:r>
    </w:p>
    <w:p w14:paraId="5413F16A" w14:textId="77777777" w:rsidR="00B969C9" w:rsidRPr="008D5552" w:rsidRDefault="00B969C9" w:rsidP="00B969C9">
      <w:pPr>
        <w:spacing w:line="360" w:lineRule="auto"/>
        <w:rPr>
          <w:rFonts w:ascii="Times New Roman" w:hAnsi="Times New Roman" w:cs="Times New Roman"/>
          <w:sz w:val="24"/>
          <w:szCs w:val="24"/>
        </w:rPr>
      </w:pPr>
    </w:p>
    <w:p w14:paraId="1C2160C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indebærer, at en afgørelse om, at en person ikke opfylder kravene til hæderlighed i stk. 1 og 2, skal indeholde en angivelse af, hvor længe afgørelsen har virkning. Efter udløbet af den fastsatte varighed kan Finanstilsynet ikke inddrage de forhold, der lå til grund for afslaget, i en ny vurdering. Det betyder, at de forhold, der var afgørende for, at personen ikke opfyldte kravene, som udgangspunkt ikke længere forventes at have betydning for en ny vurdering. Det ændrer dog ikke på, at den pågældende efter udløbet af afgørelsens varighed på ny skal ansøge Finanstilsynet om godkendelse til en stilling, et hverv eller ejerskab omfattet af reglerne.</w:t>
      </w:r>
    </w:p>
    <w:p w14:paraId="478B6486" w14:textId="77777777" w:rsidR="00B969C9" w:rsidRPr="008D5552" w:rsidRDefault="00B969C9" w:rsidP="00B969C9">
      <w:pPr>
        <w:spacing w:line="360" w:lineRule="auto"/>
        <w:rPr>
          <w:rFonts w:ascii="Times New Roman" w:hAnsi="Times New Roman" w:cs="Times New Roman"/>
          <w:sz w:val="24"/>
          <w:szCs w:val="24"/>
        </w:rPr>
      </w:pPr>
    </w:p>
    <w:p w14:paraId="499C508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Varigheden af afgørelsen beror på en konkret vurdering. Varigheden kan som udgangspunkt fastsættes fra et år til fem år, men kan i særligt alvorlige sager fastsættes til indtil videre. Det er ikke enhver tvivl om en persons omdømme eller adfærd, der kan føre til, at personen vurderes som ikke-hæderlig. Forhold, der fører til et afslag, har altid en væsentlig tyngde. Baggrunden for reglen er hensynet til tilliden til den finansielle sektor. Hvis et ledelsesmedlem, der vurderes ikke-hæderlig, kort efter afgørelsen herom kan indtræde som ledelsesmedlem i en anden finansiel virksomhed, svækkes tilliden til sektoren.</w:t>
      </w:r>
    </w:p>
    <w:p w14:paraId="0CCA41CF" w14:textId="77777777" w:rsidR="00B969C9" w:rsidRPr="008D5552" w:rsidRDefault="00B969C9" w:rsidP="00B969C9">
      <w:pPr>
        <w:spacing w:line="360" w:lineRule="auto"/>
        <w:rPr>
          <w:rFonts w:ascii="Times New Roman" w:hAnsi="Times New Roman" w:cs="Times New Roman"/>
          <w:sz w:val="24"/>
          <w:szCs w:val="24"/>
        </w:rPr>
      </w:pPr>
    </w:p>
    <w:p w14:paraId="464B51D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Retningsgivende for fastsættelsen af en varighed på fem år er, at der ikke er forhold, der taler for en kortere varighed, eller hvor karakteren og omfanget af forholdene tilsiger, at en længere varighed er påkrævet. Finanstilsynet skal i vurderingen lægge vægt på alle relevante forhold, herunder strafbare og administrative overtrædelser, tidligere inddragelse af tilladelser eller licenser, tidligere afskedigelser og baggrunden herfor. Der lægges vægt på alvoren af overtrædelsen, den tid der er gået siden overtrædelsen, personens adfærd siden en eventuel strafbar overtrædelse, og om der er tale om gentagelsestilfælde.</w:t>
      </w:r>
    </w:p>
    <w:p w14:paraId="5290061D" w14:textId="77777777" w:rsidR="00B969C9" w:rsidRPr="008D5552" w:rsidRDefault="00B969C9" w:rsidP="00B969C9">
      <w:pPr>
        <w:spacing w:line="360" w:lineRule="auto"/>
        <w:rPr>
          <w:rFonts w:ascii="Times New Roman" w:hAnsi="Times New Roman" w:cs="Times New Roman"/>
          <w:sz w:val="24"/>
          <w:szCs w:val="24"/>
        </w:rPr>
      </w:pPr>
    </w:p>
    <w:p w14:paraId="7A47724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Når Finanstilsynet vurderer, om en person ikke har en tilstrækkelig hæderlighed, skal Finanstilsynet eksplicit forholde sig til tidsaspektet og personens ageren siden en eventuel kritisabel adfærd. I vurderingen af fastsættelsen af varigheden vil Finanstilsynet foretage en samlet vurdering, der bl.a. tager hensyn til, hvor lang tid der er gået siden det pågældende forhold, personens adfærd siden forholdet, og om der er tale om gentagelsestilfælde. Gentagelsestilfælde vil være skærpende for fastsættelsen af afgørelsens varighed.</w:t>
      </w:r>
    </w:p>
    <w:p w14:paraId="21F815A4" w14:textId="77777777" w:rsidR="00B969C9" w:rsidRPr="008D5552" w:rsidRDefault="00B969C9" w:rsidP="00B969C9">
      <w:pPr>
        <w:spacing w:line="360" w:lineRule="auto"/>
        <w:rPr>
          <w:rFonts w:ascii="Times New Roman" w:hAnsi="Times New Roman" w:cs="Times New Roman"/>
          <w:sz w:val="24"/>
          <w:szCs w:val="24"/>
        </w:rPr>
      </w:pPr>
    </w:p>
    <w:p w14:paraId="4562F43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Hvis et forhold er begået forud for en tidligere afgørelse om manglende opfyldelse af kravene, vil der som udgangspunkt skulle udmåles en samlet varighed svarende til, hvad der ville være blevet resultatet ved en samlet vurdering. Formålet med at fastsætte varigheden er at øge transparensen og retssikkerheden for de personer, som afgørelsen vedrører. Der vil være forskel på varigheden af afgørelser meddelt på baggrund af mindre alvorlige forhold og grovere forhold. Finanstilsynet vil derfor tage hensyn til karakteren af forholdet og om der er tale om gentagelsestilfælde. De kumulative effekter af flere mindre overtrædelser i samme sag kan være skærpende for fastsættelsen af varigheden. Ligesom en tilstrækkelig grov overtrædelse i særlig alvorlige sager kan bevirke, at varigheden fastsættes til at være indtil videre. En varighed, der fastsættes til indtil videre, vil derfor kun anvendes ved særligt alvorlige forhold og i sjældne tilfælde.</w:t>
      </w:r>
    </w:p>
    <w:p w14:paraId="003EDDD0" w14:textId="77777777" w:rsidR="00B969C9" w:rsidRPr="008D5552" w:rsidRDefault="00B969C9" w:rsidP="00B969C9">
      <w:pPr>
        <w:spacing w:line="360" w:lineRule="auto"/>
        <w:rPr>
          <w:rFonts w:ascii="Times New Roman" w:hAnsi="Times New Roman" w:cs="Times New Roman"/>
          <w:sz w:val="24"/>
          <w:szCs w:val="24"/>
        </w:rPr>
      </w:pPr>
    </w:p>
    <w:p w14:paraId="06D0182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Som udgangspunkt vil Finanstilsynet ikke inddrage forhold i en vurdering af en persons hæderlighed, der er mere end 10 år gamle. Finanstilsynet vil dog kunne inddrage forhold, der ligger længere tilbage i tid, hvis forholdene er særligt alvorlige, eller hvis disse er en del af et sammenhængende sagsforløb, hvor dele er mindre end 10 år gamle, eller hvor der er tale om gentagelsestilfælde. Alvorlige forhold kan f.eks. være svindel, grov tilsidesættelse af god skik, forsætlig tilsidesættelse af hvidvasklovens krav eller egentlig medvirken til økonomisk kriminalitet.</w:t>
      </w:r>
    </w:p>
    <w:p w14:paraId="783B74B8" w14:textId="77777777" w:rsidR="00B969C9" w:rsidRPr="008D5552" w:rsidRDefault="00B969C9" w:rsidP="00B969C9">
      <w:pPr>
        <w:spacing w:line="360" w:lineRule="auto"/>
        <w:rPr>
          <w:rFonts w:ascii="Times New Roman" w:hAnsi="Times New Roman" w:cs="Times New Roman"/>
          <w:sz w:val="24"/>
          <w:szCs w:val="24"/>
        </w:rPr>
      </w:pPr>
    </w:p>
    <w:p w14:paraId="1BF9BC4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tidligere afgørelse om manglende opfyldelse af kravet har således gentagelsesvirkning for varigheden, uanset om det aktuelle forhold er af samme art eller ej. Det vil omvendt også betyde, at der skal være særlige forhold, der gør sig gældende, hvis Finanstilsynet skal kigge mere end 10 år tilbage ved vurderingen af en persons adfærd.</w:t>
      </w:r>
    </w:p>
    <w:p w14:paraId="56B8F40A" w14:textId="77777777" w:rsidR="00B969C9" w:rsidRPr="008D5552" w:rsidRDefault="00B969C9" w:rsidP="00B969C9">
      <w:pPr>
        <w:spacing w:line="360" w:lineRule="auto"/>
        <w:rPr>
          <w:rFonts w:ascii="Times New Roman" w:hAnsi="Times New Roman" w:cs="Times New Roman"/>
          <w:sz w:val="24"/>
          <w:szCs w:val="24"/>
        </w:rPr>
      </w:pPr>
    </w:p>
    <w:p w14:paraId="1077145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Ud over hensynet til omfanget, karakteren og grovheden af de forhold, der begrunder afgørelsen, vil Finanstilsynet også lægge vægt på, hvorvidt der er grund til at antage, at den pågældende fortsat ikke vil kunne varetage hvervet eller stillingen på forsvarlig måde. Det beror på en vurdering af de konkrete forhold, herunder om forholdet er så kritisabelt, at en længere varighed er påkrævet, eller hvor varigheden i særligt alvorlige sager bør være indtil videre. Begyndelsestidspunktet for varigheden af afgørelsen vil som udgangspunkt være datoen for Finanstilsynets afgørelse.</w:t>
      </w:r>
    </w:p>
    <w:p w14:paraId="4353952F" w14:textId="77777777" w:rsidR="00B969C9" w:rsidRPr="008D5552" w:rsidRDefault="00B969C9" w:rsidP="00B969C9">
      <w:pPr>
        <w:spacing w:line="360" w:lineRule="auto"/>
        <w:rPr>
          <w:rFonts w:ascii="Times New Roman" w:hAnsi="Times New Roman" w:cs="Times New Roman"/>
          <w:sz w:val="24"/>
          <w:szCs w:val="24"/>
        </w:rPr>
      </w:pPr>
    </w:p>
    <w:p w14:paraId="788F0E8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Varigheden af afgørelser og påbud vil bl.a. afhænge af grovheden af de passerede forhold, om der er tale om gentagelsestilfælde, hvor lang en periode forholdene har stået på, og hvor lang tid der er gået siden de pågældende forhold er ophørt. I vurderingen af fastsættelsen af varigheden vil Finanstilsynet skulle foretage en samlet vurdering.</w:t>
      </w:r>
    </w:p>
    <w:p w14:paraId="232D44CF" w14:textId="77777777" w:rsidR="00B969C9" w:rsidRPr="008D5552" w:rsidRDefault="00B969C9" w:rsidP="00B969C9">
      <w:pPr>
        <w:spacing w:line="360" w:lineRule="auto"/>
        <w:rPr>
          <w:rFonts w:ascii="Times New Roman" w:hAnsi="Times New Roman" w:cs="Times New Roman"/>
          <w:sz w:val="24"/>
          <w:szCs w:val="24"/>
        </w:rPr>
      </w:pPr>
    </w:p>
    <w:p w14:paraId="1AB5851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Udgangspunktet for en negativ vurdering af hæderlighed vil være, at et afslag har en varighed på fem år, medmindre særlige forhold taler for en kortere eller længere varighed. Når en person har modtaget et afslag på ansøgning om godkendelse på grund af manglende hæderlighed, er der tale om en adfærd, der medfører, at personens omdømme ikke anses for at være tilstrækkeligt betryggende til, at personen kan varetage den pågældende stilling. Det vil derfor være naturligt, at der er en periode umiddelbart efter, hvor personens omdømme ikke kan bedømmes anderledes.</w:t>
      </w:r>
    </w:p>
    <w:p w14:paraId="40C0105C" w14:textId="77777777" w:rsidR="00B969C9" w:rsidRPr="008D5552" w:rsidRDefault="00B969C9" w:rsidP="00B969C9">
      <w:pPr>
        <w:spacing w:line="360" w:lineRule="auto"/>
        <w:rPr>
          <w:rFonts w:ascii="Times New Roman" w:hAnsi="Times New Roman" w:cs="Times New Roman"/>
          <w:sz w:val="24"/>
          <w:szCs w:val="24"/>
        </w:rPr>
      </w:pPr>
    </w:p>
    <w:p w14:paraId="2340721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Udover en konkret vurdering af grovheden af forholdene, vil Finanstilsynet også kunne inddrage kumulative effekter af flere overtrædelser, gentagelsestilfælde og den eventuelle skadevirkning af forholdet. Hvis det pågældende forhold er egnet til i betydeligt omfang at svække den samlede sektors omdømme og derved tilliden til sektoren, bør det skærpe varigheden. Tidsaspektet har også betydning for fastsættelsen af varigheden, hvor forhold, der ligger tilbage i tid, efter en konkret vurdering kan føre til en lempelse af varigheden. Det vil imidlertid omvendt kunne være en skærpende omstændighed, hvis personen eller virksomheden har misligholdt sin forpligtelse til at meddele Finanstilsynet oplysninger om forhold nævnt i lovforslagets § 4 a, stk. 2, i forbindelse med dennes indtræden.</w:t>
      </w:r>
    </w:p>
    <w:p w14:paraId="7A64A514" w14:textId="77777777" w:rsidR="00B969C9" w:rsidRPr="008D5552" w:rsidRDefault="00B969C9" w:rsidP="00B969C9">
      <w:pPr>
        <w:spacing w:line="360" w:lineRule="auto"/>
        <w:rPr>
          <w:rFonts w:ascii="Times New Roman" w:hAnsi="Times New Roman" w:cs="Times New Roman"/>
          <w:sz w:val="24"/>
          <w:szCs w:val="24"/>
        </w:rPr>
      </w:pPr>
    </w:p>
    <w:p w14:paraId="021DE53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Retningsgivende for afgørelser med en varighed, der sættes til mindre end fem år, vil være, at der kan være tale om en situation, hvor Finanstilsynet efter en samlet vurdering vurderer, at personen ikke er hæderlig, men hvor det samlede sagsforløb afdækker en række formildende omstændigheder om den pågældende eller hændelsesforløbet. Det kan også være tilfældet, hvor forholdet har en sådan beskaffenhed, at varigheden eksempelvis isoleret set vil kunne fastsættes til fem år, men hvor forholdet ligger en årrække tilbage. I sådanne tilfælde vil tidsaspektet, personens adfærd siden det pågældende forhold og fraværet af gentagelsesvirkning kunne føre til en lempelse af varigheden.</w:t>
      </w:r>
    </w:p>
    <w:p w14:paraId="4FEFD0BD" w14:textId="77777777" w:rsidR="00B969C9" w:rsidRPr="008D5552" w:rsidRDefault="00B969C9" w:rsidP="00B969C9">
      <w:pPr>
        <w:spacing w:line="360" w:lineRule="auto"/>
        <w:rPr>
          <w:rFonts w:ascii="Times New Roman" w:hAnsi="Times New Roman" w:cs="Times New Roman"/>
          <w:sz w:val="24"/>
          <w:szCs w:val="24"/>
        </w:rPr>
      </w:pPr>
    </w:p>
    <w:p w14:paraId="3E27C75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Endelig kan der være tilfælde, hvor Finanstilsynet kunne have truffet afgørelsen på et tidligere tidspunkt, men hvor den pågældende f.eks. fratrådte tidligere, men nu igen vil være omfattet af reglerne. I nogle tilfælde kan Finanstilsynet vurdere, at denne periode uden for sektoren kan betyde, at varigheden skal være mindre end fem år. Derudover kan der være tilfælde, hvor forholdet ligger så langt tilbage i tiden, at det ikke vil have indflydelse på vurderingen af vedkommendes hæderlighed.</w:t>
      </w:r>
    </w:p>
    <w:p w14:paraId="1718306D" w14:textId="77777777" w:rsidR="00B969C9" w:rsidRPr="008D5552" w:rsidRDefault="00B969C9" w:rsidP="00B969C9">
      <w:pPr>
        <w:spacing w:line="360" w:lineRule="auto"/>
        <w:rPr>
          <w:rFonts w:ascii="Times New Roman" w:hAnsi="Times New Roman" w:cs="Times New Roman"/>
          <w:sz w:val="24"/>
          <w:szCs w:val="24"/>
        </w:rPr>
      </w:pPr>
    </w:p>
    <w:p w14:paraId="16067FD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Retningsgivende for fastsættelsen af varigheden til indtil videre er, at der skal være tale om grove forhold eller alvorlige gentagelsestilfælde, der som udgangspunkt ikke ligger mere end 10 år tilbage i tiden. Det vil således alene være i særligt alvorlige sager, at Finanstilsynet vil fastsætte varigheden til at være indtil videre. Der kan eksempelvis være tale om særdeles grove forhold med overtrædelse af straffelovens berigelsesforbrydelser, åbenbare ledelsesmæssige svigt, der har medført betydelige økonomiske tab eller skadevirkning, grove misbrugssituationer, svigagtighed, grov tilsidesættelse af god skik, forsætlig tilsidesættelse af hvidvasklovens krav eller egentlig medvirken til økonomisk kriminalitet eller andre alvorlige tillidsbrud. Generelt kan det siges, at det eller de udviste forhold skal have en sådan alvorlig karakter, at det må anses for åbenbart, at hverken Finanstilsynet eller samfundet kan have tillid til, at den pågældende inden for en overskuelig fremtid vil kunne varetage hvervet som bestyrelsesmedlem, direktør eller nøgleperson på en forsvarlig måde.</w:t>
      </w:r>
    </w:p>
    <w:p w14:paraId="126253F0" w14:textId="77777777" w:rsidR="00B969C9" w:rsidRPr="008D5552" w:rsidRDefault="00B969C9" w:rsidP="00B969C9">
      <w:pPr>
        <w:spacing w:line="360" w:lineRule="auto"/>
        <w:rPr>
          <w:rFonts w:ascii="Times New Roman" w:hAnsi="Times New Roman" w:cs="Times New Roman"/>
          <w:sz w:val="24"/>
          <w:szCs w:val="24"/>
        </w:rPr>
      </w:pPr>
    </w:p>
    <w:p w14:paraId="613ADDF3" w14:textId="77777777" w:rsidR="00B969C9" w:rsidRPr="008D5552" w:rsidRDefault="00B969C9" w:rsidP="00B969C9">
      <w:pPr>
        <w:spacing w:line="360" w:lineRule="auto"/>
        <w:rPr>
          <w:rFonts w:ascii="Times New Roman" w:hAnsi="Times New Roman" w:cs="Times New Roman"/>
          <w:sz w:val="24"/>
          <w:szCs w:val="24"/>
        </w:rPr>
      </w:pPr>
    </w:p>
    <w:p w14:paraId="2A61A339"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7 (§ 5, stk. 3, i lov om forbrugslånsvirksomheder og registrering af kreditformidlere)</w:t>
      </w:r>
    </w:p>
    <w:p w14:paraId="7EBF836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følger af § 5, stk. 1, i lov om forbrugslånsvirksomheder og registrering af kreditformidlere, at Finanstilsynet opretter og fører et offentligt register over virksomheder, der har tilladelse som forbrugslånsvirksomhed efter lovens § 3 eller som opfylder betingelserne for registrering til at udøve aktivitet som kreditformidler efter lovens § 3 a. </w:t>
      </w:r>
    </w:p>
    <w:p w14:paraId="1421852D" w14:textId="77777777" w:rsidR="00B969C9" w:rsidRPr="008D5552" w:rsidRDefault="00B969C9" w:rsidP="00B969C9">
      <w:pPr>
        <w:spacing w:line="360" w:lineRule="auto"/>
        <w:rPr>
          <w:rFonts w:ascii="Times New Roman" w:hAnsi="Times New Roman" w:cs="Times New Roman"/>
          <w:sz w:val="24"/>
          <w:szCs w:val="24"/>
        </w:rPr>
      </w:pPr>
    </w:p>
    <w:p w14:paraId="64FED90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følger af lovens § 5, stk. 3, at registeret for kreditformidlere skal indeholde følgende oplysninger:</w:t>
      </w:r>
    </w:p>
    <w:p w14:paraId="1FD7C40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1) Navn, adresse og cvr-nummer på virksomheden.</w:t>
      </w:r>
    </w:p>
    <w:p w14:paraId="3388BB2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2) Navn på den person i ledelsen for virksomheden, der er ansvarlig for virksomhedens aktivitet som kreditformidler.«</w:t>
      </w:r>
    </w:p>
    <w:p w14:paraId="1F819DBE" w14:textId="77777777" w:rsidR="00B969C9" w:rsidRPr="008D5552" w:rsidRDefault="00B969C9" w:rsidP="00B969C9">
      <w:pPr>
        <w:spacing w:line="360" w:lineRule="auto"/>
        <w:rPr>
          <w:rFonts w:ascii="Times New Roman" w:hAnsi="Times New Roman" w:cs="Times New Roman"/>
          <w:sz w:val="24"/>
          <w:szCs w:val="24"/>
        </w:rPr>
      </w:pPr>
    </w:p>
    <w:p w14:paraId="4A8D472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foreslås, at der i </w:t>
      </w:r>
      <w:r w:rsidRPr="008D5552">
        <w:rPr>
          <w:rFonts w:ascii="Times New Roman" w:hAnsi="Times New Roman" w:cs="Times New Roman"/>
          <w:i/>
          <w:sz w:val="24"/>
          <w:szCs w:val="24"/>
        </w:rPr>
        <w:t>§ 5, stk. 3,</w:t>
      </w:r>
      <w:r w:rsidRPr="008D5552">
        <w:rPr>
          <w:rFonts w:ascii="Times New Roman" w:hAnsi="Times New Roman" w:cs="Times New Roman"/>
          <w:sz w:val="24"/>
          <w:szCs w:val="24"/>
        </w:rPr>
        <w:t xml:space="preserve"> efter »for kreditformidlere«: indsættes », som nævnt i § 2, nr. 2«.</w:t>
      </w:r>
    </w:p>
    <w:p w14:paraId="28F0A2A7" w14:textId="77777777" w:rsidR="00B969C9" w:rsidRPr="008D5552" w:rsidRDefault="00B969C9" w:rsidP="00B969C9">
      <w:pPr>
        <w:spacing w:line="360" w:lineRule="auto"/>
        <w:rPr>
          <w:rFonts w:ascii="Times New Roman" w:hAnsi="Times New Roman" w:cs="Times New Roman"/>
          <w:sz w:val="24"/>
          <w:szCs w:val="24"/>
        </w:rPr>
      </w:pPr>
    </w:p>
    <w:p w14:paraId="329CAC9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foreslåedes ændring vil medføre, at det præciseres, at stk. 3 vedrører indholdet i registeret for kreditformidlere som nævnt i § 2, nr. 2, således at der ikke opstår tvivl i forhold til, at der foreslås en ny bestemmelse om registeret for kreditformidlere som nævnt i det foreslåede § 2, nr. 3, jf. lovforslagets § 146, nr. 2. </w:t>
      </w:r>
    </w:p>
    <w:p w14:paraId="3F9536F4" w14:textId="77777777" w:rsidR="00B969C9" w:rsidRPr="008D5552" w:rsidRDefault="00B969C9" w:rsidP="00B969C9">
      <w:pPr>
        <w:spacing w:line="360" w:lineRule="auto"/>
        <w:rPr>
          <w:rFonts w:ascii="Times New Roman" w:hAnsi="Times New Roman" w:cs="Times New Roman"/>
          <w:sz w:val="24"/>
          <w:szCs w:val="24"/>
        </w:rPr>
      </w:pPr>
    </w:p>
    <w:p w14:paraId="5A6A0748"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8 (§ 5, stk. 4, i lov om forbrugslånsvirksomheder og registrering af kreditformidlere)</w:t>
      </w:r>
    </w:p>
    <w:p w14:paraId="30A62A6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følger af § 5, stk. 1, i lov om forbrugslånsvirksomheder og registrering af kreditformidlere, at Finanstilsynet opretter og fører et offentligt register over virksomheder, der har tilladelse som forbrugslånsvirksomhed efter lovens § 3 eller som opfylder betingelserne for registrering til at udøve aktivitet som kreditformidler efter lovens § 3 a. </w:t>
      </w:r>
    </w:p>
    <w:p w14:paraId="71B66632" w14:textId="77777777" w:rsidR="00B969C9" w:rsidRPr="008D5552" w:rsidRDefault="00B969C9" w:rsidP="00B969C9">
      <w:pPr>
        <w:spacing w:line="360" w:lineRule="auto"/>
        <w:rPr>
          <w:rFonts w:ascii="Times New Roman" w:hAnsi="Times New Roman" w:cs="Times New Roman"/>
          <w:sz w:val="24"/>
          <w:szCs w:val="24"/>
        </w:rPr>
      </w:pPr>
    </w:p>
    <w:p w14:paraId="7D7B7AC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 lovens § 5, stk. 3, skal registret for kreditformidlere indeholde oplysninger om navn, adresse og cvr-nummer på virksomheden og navn på den person i ledelsen for virksomheden, der er ansvarlig for virksomhedens aktivitet som kreditformidler.</w:t>
      </w:r>
    </w:p>
    <w:p w14:paraId="05214237" w14:textId="77777777" w:rsidR="00B969C9" w:rsidRPr="008D5552" w:rsidRDefault="00B969C9" w:rsidP="00B969C9">
      <w:pPr>
        <w:spacing w:line="360" w:lineRule="auto"/>
        <w:rPr>
          <w:rFonts w:ascii="Times New Roman" w:hAnsi="Times New Roman" w:cs="Times New Roman"/>
          <w:sz w:val="24"/>
          <w:szCs w:val="24"/>
        </w:rPr>
      </w:pPr>
    </w:p>
    <w:p w14:paraId="67F5F47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 5</w:t>
      </w:r>
      <w:r w:rsidRPr="008D5552">
        <w:rPr>
          <w:rFonts w:ascii="Times New Roman" w:hAnsi="Times New Roman" w:cs="Times New Roman"/>
          <w:sz w:val="24"/>
          <w:szCs w:val="24"/>
        </w:rPr>
        <w:t xml:space="preserve"> at indsætte et nyt </w:t>
      </w:r>
      <w:r w:rsidRPr="008D5552">
        <w:rPr>
          <w:rFonts w:ascii="Times New Roman" w:hAnsi="Times New Roman" w:cs="Times New Roman"/>
          <w:i/>
          <w:sz w:val="24"/>
          <w:szCs w:val="24"/>
        </w:rPr>
        <w:t>stk. 4</w:t>
      </w:r>
      <w:r w:rsidRPr="008D5552">
        <w:rPr>
          <w:rFonts w:ascii="Times New Roman" w:hAnsi="Times New Roman" w:cs="Times New Roman"/>
          <w:sz w:val="24"/>
          <w:szCs w:val="24"/>
        </w:rPr>
        <w:t>, hvorefter registeret for kreditformidlere som nævnt i § 2, nr. 3, skal indeholde oplysninger om navn, adresse og cvr-nummer på kreditformidleren, og navne på medlemmerne af kreditformidlerens øverste og daglige ledelse, herunder medlemmer af bestyrelse og direktion, indehaveren, hvor virksomheden drives som enkeltmandsvirksomhed, eller den eller de for virksomheden ledelsesansvarlige, hvor virksomheden drives som juridisk person uden bestyrelse og direktion samt navne på kreditudbyderens reelle ejere.</w:t>
      </w:r>
    </w:p>
    <w:p w14:paraId="61AFA9A8" w14:textId="77777777" w:rsidR="00B969C9" w:rsidRPr="008D5552" w:rsidRDefault="00B969C9" w:rsidP="00B969C9">
      <w:pPr>
        <w:spacing w:line="360" w:lineRule="auto"/>
        <w:rPr>
          <w:rFonts w:ascii="Times New Roman" w:hAnsi="Times New Roman" w:cs="Times New Roman"/>
          <w:sz w:val="24"/>
          <w:szCs w:val="24"/>
        </w:rPr>
      </w:pPr>
    </w:p>
    <w:p w14:paraId="2B0C6F9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foreslåede bestemmelse skal ses i lyset af de i lovforslaget foreslåede bestemmelser, der dels udvider lovens anvendelsesområde med hensyn til en række bestemmelser for kreditformidlere omfattet af artikel 3, stk. 3, litra k, i Europa-Parlamentets og Rådets forordning (EU) 2024/1624 af 31. maj 2024 om forebyggende foranstaltninger mod anvendelse af det finansielle system til hvidvask af penge eller finansiering af terrorisme og dels etablerer en ny registreringsordning for sådanne virksomheder. </w:t>
      </w:r>
    </w:p>
    <w:p w14:paraId="1722D538" w14:textId="77777777" w:rsidR="00B969C9" w:rsidRPr="008D5552" w:rsidRDefault="00B969C9" w:rsidP="00B969C9">
      <w:pPr>
        <w:spacing w:line="360" w:lineRule="auto"/>
        <w:rPr>
          <w:rFonts w:ascii="Times New Roman" w:hAnsi="Times New Roman" w:cs="Times New Roman"/>
          <w:sz w:val="24"/>
          <w:szCs w:val="24"/>
        </w:rPr>
      </w:pPr>
    </w:p>
    <w:p w14:paraId="2E5A908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kreditformidler er i forordningens artikel 2, nr. 6, litra h, defineret som en kreditformidler som defineret i artikel 4, nr. 5, i direktiv 2014/17/EU og i artikel 3, litra f), i direktiv 2008/48/EF, når denne besidder midler som defineret i artikel 4, nr. 25), i direktiv (EU) 2015/2366 i forbindelse med kreditaftalen, med undtagelse af en kreditformidler, der udfører aktiviteter på en eller flere kreditgiveres eller kreditformidleres ansvar.</w:t>
      </w:r>
    </w:p>
    <w:p w14:paraId="63663918" w14:textId="77777777" w:rsidR="00B969C9" w:rsidRPr="008D5552" w:rsidRDefault="00B969C9" w:rsidP="00B969C9">
      <w:pPr>
        <w:spacing w:line="360" w:lineRule="auto"/>
        <w:rPr>
          <w:rFonts w:ascii="Times New Roman" w:hAnsi="Times New Roman" w:cs="Times New Roman"/>
          <w:sz w:val="24"/>
          <w:szCs w:val="24"/>
        </w:rPr>
      </w:pPr>
    </w:p>
    <w:p w14:paraId="63A9293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Begrebet øverste ledelse skal forstås i overensstemmelse med definitionen forordningens artikel 2, stk. 1, nr. 40. Ifølge denne definition omfatter øverste ledelse både medlemmerne af ledelsesorganet i dets ledelsesfunktion, herunder bl.a. medlemmer af bestyrelse og direktion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6B9EA7C6" w14:textId="77777777" w:rsidR="00B969C9" w:rsidRPr="008D5552" w:rsidRDefault="00B969C9" w:rsidP="00B969C9">
      <w:pPr>
        <w:spacing w:line="360" w:lineRule="auto"/>
        <w:rPr>
          <w:rFonts w:ascii="Times New Roman" w:hAnsi="Times New Roman" w:cs="Times New Roman"/>
          <w:sz w:val="24"/>
          <w:szCs w:val="24"/>
        </w:rPr>
      </w:pPr>
    </w:p>
    <w:p w14:paraId="409748B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reel ejer skal forstås i overensstemmelse med definitionen i artikel 2, stk. 1, nr. 28, i Europa-Parlamentets og Rådets forordning (EU) 2024/1624, hvorefter en reel ejer skal forstås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kapitel 4.</w:t>
      </w:r>
    </w:p>
    <w:p w14:paraId="06CE9DEF" w14:textId="77777777" w:rsidR="00B969C9" w:rsidRPr="008D5552" w:rsidRDefault="00B969C9" w:rsidP="00B969C9">
      <w:pPr>
        <w:spacing w:line="360" w:lineRule="auto"/>
        <w:rPr>
          <w:rFonts w:ascii="Times New Roman" w:hAnsi="Times New Roman" w:cs="Times New Roman"/>
          <w:sz w:val="24"/>
          <w:szCs w:val="24"/>
        </w:rPr>
      </w:pPr>
    </w:p>
    <w:p w14:paraId="3F8D856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Omfattet af den foreslåede bestemmelser vil være kreditformidlere som nævnt i § 2, nr. 3. Dog vil den foreslåede bestemmelse ikke anvendelse i forhold til kreditformidlere omfattet af lovens § 1, stk. 5, nr. 2, idet disse er undtaget registreringspligt, jf. § 1, stk. 5, nr. 2. </w:t>
      </w:r>
    </w:p>
    <w:p w14:paraId="3344C23A" w14:textId="77777777" w:rsidR="00B969C9" w:rsidRPr="008D5552" w:rsidRDefault="00B969C9" w:rsidP="00B969C9">
      <w:pPr>
        <w:spacing w:line="360" w:lineRule="auto"/>
        <w:rPr>
          <w:rFonts w:ascii="Times New Roman" w:hAnsi="Times New Roman" w:cs="Times New Roman"/>
          <w:sz w:val="24"/>
          <w:szCs w:val="24"/>
        </w:rPr>
      </w:pPr>
    </w:p>
    <w:p w14:paraId="6FDBE8C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 oplysninger, som vil skulle fremgå af registret, er navn, adresse og cvr-nummer på kreditformidleren samt navne på medlemmerne af kreditformidlerens øverste og daglige ledelse, herunder medlemmer af bestyrelse og direktion, indehaveren, hvor virksomheden drives som enkeltmandsvirksomhed, eller den eller de for virksomheden ledelsesansvarlige, hvor virksomheden drives som juridisk person uden bestyrelse og direktion samt navne på kreditudbyderens reelle ejere.</w:t>
      </w:r>
    </w:p>
    <w:p w14:paraId="627F40D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 </w:t>
      </w:r>
    </w:p>
    <w:p w14:paraId="46E64FE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Der vil ske behandling af personoplysninger i forbindelse med en efterfølgende registrering i Finanstilsynets register. En ansøgning om registrering som kreditformidler vil indeholde personoplysninger på et ledelsesmedlem eller indehaveren af en kreditformidler, der er en enkeltmandsvirksomhed. Disse oplysninger er nødvendige for at kunne føre et register over kreditformidlerne. Personoplysninger vurderes at være nødvendige for at sikre den samfundsmæssige interesse i en ordentlig finansiel sektor. Denne behandling sker med hjemmel i lovforslaget og er nødvendig for at opretholde en retlig forpligtelse. Behandlingen er derfor i overensstemmelse med databeskyttelsesforordningens artikel 6.</w:t>
      </w:r>
    </w:p>
    <w:p w14:paraId="0C93BFF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 </w:t>
      </w:r>
    </w:p>
    <w:p w14:paraId="1B38FE71"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9 (§§ 17 a og 17 b i lov om forbrugslånsvirksomheder og registrering af kreditformidlere)</w:t>
      </w:r>
    </w:p>
    <w:p w14:paraId="7485EAFF"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 17 a i lov om forbrugslånsvirksomheder og registrering af kreditformidlere)</w:t>
      </w:r>
    </w:p>
    <w:p w14:paraId="5095307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fremgår af § 4, stk. 1, i lov om forbrugslånsvirksomheder og registrering af kreditformidlere, at medlemmer bestyrelsen eller direktionen i en forbrugslånsvirksomhed eller indehaveren af en forbrugslånsvirksomhed, der er en enkeltmandsvirksomhed skal opfylde en række egnetheds- og hæderlighedskrav. </w:t>
      </w:r>
    </w:p>
    <w:p w14:paraId="06707057" w14:textId="77777777" w:rsidR="00B969C9" w:rsidRPr="008D5552" w:rsidRDefault="00B969C9" w:rsidP="00B969C9">
      <w:pPr>
        <w:spacing w:line="360" w:lineRule="auto"/>
        <w:rPr>
          <w:rFonts w:ascii="Times New Roman" w:hAnsi="Times New Roman" w:cs="Times New Roman"/>
          <w:sz w:val="24"/>
          <w:szCs w:val="24"/>
        </w:rPr>
      </w:pPr>
    </w:p>
    <w:p w14:paraId="229274C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 bestemmelsen, skal de pågældende personer have tilstrækkelig viden, faglig kompetence og erfaring til at kunne varetage hvervet eller stillingen, jf. nr. 1, have et tilstrækkeligt godt omdømme og kunne udvise hæderlighed, integritet og tilstrækkelig uafhængighed ved varetagelsen af hvervet eller stillingen, jf. nr. 2. De må desuden ikke være pålagt strafansvar for overtrædelse af straffeloven, den finansielle lovgivning eller anden relevant lovgivning, hvis overtrædelsen indebærer risiko for, at vedkommende ikke kan varetage sit hverv eller sin stilling på betryggende måde, jf. nr. 3. Endvidere må de ikke have indgivet begæring om eller være under rekonstruktionsbehandling, konkurs eller gældssanering, jf. nr. 4, ligesom de ikke må have udvist en sådan adfærd, at der er grund til at antage, at de ikke vil varetage hvervet eller stillingen på forsvarlig måde, jf. nr. 5.</w:t>
      </w:r>
    </w:p>
    <w:p w14:paraId="6797A2FA" w14:textId="77777777" w:rsidR="00B969C9" w:rsidRPr="008D5552" w:rsidRDefault="00B969C9" w:rsidP="00B969C9">
      <w:pPr>
        <w:spacing w:line="360" w:lineRule="auto"/>
        <w:rPr>
          <w:rFonts w:ascii="Times New Roman" w:hAnsi="Times New Roman" w:cs="Times New Roman"/>
          <w:sz w:val="24"/>
          <w:szCs w:val="24"/>
        </w:rPr>
      </w:pPr>
    </w:p>
    <w:p w14:paraId="3F544E1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endvidere af lovens § 4, stk. 2, at Finanstilsynet ved en persons tiltræden som bestyrelsesmedlem eller direktør i en forbrugslånsvirksomhed eller indehaveren af en forbrugslånsvirksomhed, der er en enkeltmandsvirksomhed skal påse, om personen opfylder egnetheds- og hæderlighedskravene i § 4, stk. 1. Finanstilsynet træffer afgørelse om, hvorvidt personen kan bestride hvervet eller stillingen i den pågældende virksomhed. Det samme gælder for indehaveren af en forbrugslånsvirksomhed, der drives som enkeltmandsvirksomhed.</w:t>
      </w:r>
    </w:p>
    <w:p w14:paraId="204509E6" w14:textId="77777777" w:rsidR="00B969C9" w:rsidRPr="008D5552" w:rsidRDefault="00B969C9" w:rsidP="00B969C9">
      <w:pPr>
        <w:spacing w:line="360" w:lineRule="auto"/>
        <w:rPr>
          <w:rFonts w:ascii="Times New Roman" w:hAnsi="Times New Roman" w:cs="Times New Roman"/>
          <w:sz w:val="24"/>
          <w:szCs w:val="24"/>
        </w:rPr>
      </w:pPr>
    </w:p>
    <w:p w14:paraId="139976D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desuden af lovens § 15, stk. 3, at Finanstilsynet kan påbyde fysiske og juridiske personer, som er omfattet af loven at foretage de nødvendige foranstaltninger inden for en af Finanstilsynet fastsat frist, hvis der sker overtrædelse af bestemmelser i loven eller regler udstedt i medfør heraf.</w:t>
      </w:r>
    </w:p>
    <w:p w14:paraId="017148D0" w14:textId="77777777" w:rsidR="00B969C9" w:rsidRPr="008D5552" w:rsidRDefault="00B969C9" w:rsidP="00B969C9">
      <w:pPr>
        <w:spacing w:line="360" w:lineRule="auto"/>
        <w:rPr>
          <w:rFonts w:ascii="Times New Roman" w:hAnsi="Times New Roman" w:cs="Times New Roman"/>
          <w:sz w:val="24"/>
          <w:szCs w:val="24"/>
        </w:rPr>
      </w:pPr>
    </w:p>
    <w:p w14:paraId="72030F3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herudover af lovens § 17, stk. 1, at Finanstilsynet kan påbyde et medlem af bestyrelsen i en forbrugslånsvirksomhed at nedlægge sit hverv inden for en frist fastsat af Finanstilsynet, hvis bestyrelsesmedlemmet efter § 4, stk. 1, nr. 2-5, ikke kan varetage hvervet. Varigheden af påbuddet skal efter § 17, stk. 2, fremgå af påbuddet.</w:t>
      </w:r>
    </w:p>
    <w:p w14:paraId="7A6B2E35" w14:textId="77777777" w:rsidR="00B969C9" w:rsidRPr="008D5552" w:rsidRDefault="00B969C9" w:rsidP="00B969C9">
      <w:pPr>
        <w:spacing w:line="360" w:lineRule="auto"/>
        <w:rPr>
          <w:rFonts w:ascii="Times New Roman" w:hAnsi="Times New Roman" w:cs="Times New Roman"/>
          <w:sz w:val="24"/>
          <w:szCs w:val="24"/>
        </w:rPr>
      </w:pPr>
    </w:p>
    <w:p w14:paraId="7CD8976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 § 17, stk. 3, Finanstilsynet kan desuden af påbyde et medlem af bestyrelsen i en forbrugslånsvirksomhed at nedlægge sit hverv, når der er rejst tiltale mod bestyrelsesmedlemmet i en straffesag om overtrædelse af straffeloven, den finansielle lovgivning eller anden relevant lovgivning, indtil straffesagen er afgjort, hvis domfældelse vil indebære, at bestyrelsesmedlemmet ikke opfylder kravene i § 4, stk. 1, nr. 3. Finanstilsynet fastsætter en frist for efterlevelse af påbuddet.</w:t>
      </w:r>
    </w:p>
    <w:p w14:paraId="1C35E0EE" w14:textId="77777777" w:rsidR="00B969C9" w:rsidRPr="008D5552" w:rsidRDefault="00B969C9" w:rsidP="00B969C9">
      <w:pPr>
        <w:spacing w:line="360" w:lineRule="auto"/>
        <w:rPr>
          <w:rFonts w:ascii="Times New Roman" w:hAnsi="Times New Roman" w:cs="Times New Roman"/>
          <w:i/>
          <w:sz w:val="24"/>
          <w:szCs w:val="24"/>
        </w:rPr>
      </w:pPr>
    </w:p>
    <w:p w14:paraId="5A02C41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Lov om forbrugslånsvirksomheder og registrering af kreditformidlere omfatter i dag ikke en mulighed for at Finanstilsynet kan påbyde en kreditformidler afsætte en person fra den øverste ledelse eller bestyrelsen såfremt ikke kan bestride sit hverv eller stillingen i henhold til lovens § 3 a, stk. 2. </w:t>
      </w:r>
    </w:p>
    <w:p w14:paraId="3729274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 </w:t>
      </w:r>
    </w:p>
    <w:p w14:paraId="40D3C95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at indsættes et nyt </w:t>
      </w:r>
      <w:r w:rsidRPr="008D5552">
        <w:rPr>
          <w:rFonts w:ascii="Times New Roman" w:hAnsi="Times New Roman" w:cs="Times New Roman"/>
          <w:i/>
          <w:sz w:val="24"/>
          <w:szCs w:val="24"/>
        </w:rPr>
        <w:t>§ 17 a</w:t>
      </w:r>
      <w:r w:rsidRPr="008D5552">
        <w:rPr>
          <w:rFonts w:ascii="Times New Roman" w:hAnsi="Times New Roman" w:cs="Times New Roman"/>
          <w:sz w:val="24"/>
          <w:szCs w:val="24"/>
        </w:rPr>
        <w:t>, hvorefter Finanstilsynet får mulighed for at påbyde en kreditformidler, som nævnt i § 2, nr. 3, at afsætte en person fra den øverste ledelse inden for en af Finanstilsynet fastsat frist, hvis denne efter § 3 a, stk. 3, nr. 2, og § 4 a, stk. 1, ikke kan bestride sit hverv eller stillingen. Finanstilsynet kan under samme betingelser som i 1. pkt. påbyde et medlem af bestyrelsen i en sådan virksomhed at nedlægge sit hverv inden for en af Finanstilsynet fastsat frist.</w:t>
      </w:r>
    </w:p>
    <w:p w14:paraId="17E021EB" w14:textId="77777777" w:rsidR="00B969C9" w:rsidRPr="008D5552" w:rsidRDefault="00B969C9" w:rsidP="00B969C9">
      <w:pPr>
        <w:spacing w:line="360" w:lineRule="auto"/>
        <w:rPr>
          <w:rFonts w:ascii="Times New Roman" w:hAnsi="Times New Roman" w:cs="Times New Roman"/>
          <w:sz w:val="24"/>
          <w:szCs w:val="24"/>
        </w:rPr>
      </w:pPr>
    </w:p>
    <w:p w14:paraId="0C81EBE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implementerer artikel 6, stk. 4, artikel 37, stk. 6, litra b, artikel 53, stk. 2 og 6, og artikel 56, stk. 4, i 6. hvidvaskdirektiv.</w:t>
      </w:r>
    </w:p>
    <w:p w14:paraId="6F437A85" w14:textId="77777777" w:rsidR="00B969C9" w:rsidRPr="008D5552" w:rsidRDefault="00B969C9" w:rsidP="00B969C9">
      <w:pPr>
        <w:spacing w:line="360" w:lineRule="auto"/>
        <w:rPr>
          <w:rFonts w:ascii="Times New Roman" w:hAnsi="Times New Roman" w:cs="Times New Roman"/>
          <w:sz w:val="24"/>
          <w:szCs w:val="24"/>
        </w:rPr>
      </w:pPr>
    </w:p>
    <w:p w14:paraId="0AC0215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 hvidvaskforordningen defineres øverste ledelse i artikel 2, stk. 1, nr. 40. Ifølge denne definition omfatter øverste ledelse både medlemmerne af ledelsesorganet i dets ledelsesfunktion samt medarbejdere og ansatte, der har tilstrækkeligt kendskab til den forpligtede enheds risikoeksponering for hvidvask af penge og finansiering af terrorisme, og som har tilstrækkelig anciennitet til at træffe beslutninger, der kan påvirke enhedens risikoeksponering. Dette indebærer, at begrebet ikke kun dækker de formelle ledelsesmedlemmer, men også andre nøglepersoner med væsentlig indflydelse på virksomhedens risikostyring.</w:t>
      </w:r>
    </w:p>
    <w:p w14:paraId="07CC35DE" w14:textId="77777777" w:rsidR="00B969C9" w:rsidRPr="008D5552" w:rsidRDefault="00B969C9" w:rsidP="00B969C9">
      <w:pPr>
        <w:spacing w:line="360" w:lineRule="auto"/>
        <w:rPr>
          <w:rFonts w:ascii="Times New Roman" w:hAnsi="Times New Roman" w:cs="Times New Roman"/>
          <w:sz w:val="24"/>
          <w:szCs w:val="24"/>
        </w:rPr>
      </w:pPr>
    </w:p>
    <w:p w14:paraId="403B33A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1, 1. pkt.,</w:t>
      </w:r>
      <w:r w:rsidRPr="008D5552">
        <w:rPr>
          <w:rFonts w:ascii="Times New Roman" w:hAnsi="Times New Roman" w:cs="Times New Roman"/>
          <w:sz w:val="24"/>
          <w:szCs w:val="24"/>
        </w:rPr>
        <w:t xml:space="preserve"> at Finanstilsynet kan påbyde en kreditformidler, der er omfattet af § 1, som nævnt i § 2, nr. 3, at afsætte en person fra den øverste ledelse inden for en af Finanstilsynet fastsat frist, hvis denne efter § 3 a, stk. 3, nr. 1, og § 4 a, stk. 1, ikke kan bestride sit hverv eller stillingen.</w:t>
      </w:r>
    </w:p>
    <w:p w14:paraId="3A397BBD" w14:textId="77777777" w:rsidR="00B969C9" w:rsidRPr="008D5552" w:rsidRDefault="00B969C9" w:rsidP="00B969C9">
      <w:pPr>
        <w:spacing w:line="360" w:lineRule="auto"/>
        <w:rPr>
          <w:rFonts w:ascii="Times New Roman" w:hAnsi="Times New Roman" w:cs="Times New Roman"/>
          <w:sz w:val="24"/>
          <w:szCs w:val="24"/>
        </w:rPr>
      </w:pPr>
    </w:p>
    <w:p w14:paraId="4A4CD4F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forudsættes for anvendelsen af bestemmelsen, at den pågældende person fra den øverste ledelse, herunder en direktør ikke kan bestride stillingen som følge af, at vedkommende ikke kan efterleve de foreslåede hæderlighedskrav efter den foreslåede 4 a, stk. 1, hvorefter vedkommende ikke må være pålagt strafansvar for overtrædelse af straffeloven, den finansielle lovgivning eller anden relevant lovgivning, hvis overtrædelsen indebærer risiko for, at vedkommende ikke kan varetage sit hverv eller sin stilling på betryggende måde. Tilsvarende foreslås det, at bestemmelsen kan finde anvendelse, hvis den pågældende person har udvist en sådan adfærd, at der er begrundet mistanke for misbrug af hvervet eller stillingen.</w:t>
      </w:r>
    </w:p>
    <w:p w14:paraId="00937A6D" w14:textId="77777777" w:rsidR="00B969C9" w:rsidRPr="008D5552" w:rsidRDefault="00B969C9" w:rsidP="00B969C9">
      <w:pPr>
        <w:spacing w:line="360" w:lineRule="auto"/>
        <w:rPr>
          <w:rFonts w:ascii="Times New Roman" w:hAnsi="Times New Roman" w:cs="Times New Roman"/>
          <w:sz w:val="24"/>
          <w:szCs w:val="24"/>
        </w:rPr>
      </w:pPr>
    </w:p>
    <w:p w14:paraId="34CC67E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Dette kan eksempelvis være fordi vedkommende er blevet pålagt strafansvar for overtrædelse af straffeloven, den finansielle lovgivning, eller anden relevant lovgivning, og der som følge heraf er risiko for, at vedkommende ikke længere kan varetage sit hverv eller sin stilling på forsvarlig vis. Overtrædelse af anden relevant lovgivning kan eksempelvis være overtrædelser af strafbelagte bestemmelser i hvidvask-, skatte- og selskabslovgivningen. Finanstilsynet foretager en konkret vurdering af, om overtrædelsen skal føre til, at personen ikke anses for at leve op til hæderlighedskravet. </w:t>
      </w:r>
    </w:p>
    <w:p w14:paraId="20BA4376" w14:textId="77777777" w:rsidR="00B969C9" w:rsidRPr="008D5552" w:rsidRDefault="00B969C9" w:rsidP="00B969C9">
      <w:pPr>
        <w:spacing w:line="360" w:lineRule="auto"/>
        <w:rPr>
          <w:rFonts w:ascii="Times New Roman" w:hAnsi="Times New Roman" w:cs="Times New Roman"/>
          <w:sz w:val="24"/>
          <w:szCs w:val="24"/>
        </w:rPr>
      </w:pPr>
    </w:p>
    <w:p w14:paraId="24BADC9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Foranstaltningen udmøntes i praksis ved udstedelsen af et påbud, hvorefter kreditformidleren inden for en af Finanstilsynet angivet frist skal have foretaget den midlertidige afsættelse af personen fra den øverste ledelse.</w:t>
      </w:r>
    </w:p>
    <w:p w14:paraId="2FADA9CB" w14:textId="77777777" w:rsidR="00B969C9" w:rsidRPr="008D5552" w:rsidRDefault="00B969C9" w:rsidP="00B969C9">
      <w:pPr>
        <w:spacing w:line="360" w:lineRule="auto"/>
        <w:rPr>
          <w:rFonts w:ascii="Times New Roman" w:hAnsi="Times New Roman" w:cs="Times New Roman"/>
          <w:sz w:val="24"/>
          <w:szCs w:val="24"/>
        </w:rPr>
      </w:pPr>
    </w:p>
    <w:p w14:paraId="3457A88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skal i forbindelse med fastsættelsen af påbud, tage højde for alle relevante omstændigheder, herunder de faktorer, der er oplistet i artikel 53, stk. 6, i 6. hvidvaskdirektiv. Dette indebærer blandt andet, at Finanstilsynet, hvor det er relevant, skal tage højde for overtrædelsens grovhed og varighed samt antallet af gentagelser, ligesom der også vil skulle tages højde for graden af samarbejde med Finanstilsynet. Finanstilsynets reaktioner skal være effektive, stå i rimeligt forhold til overtrædelsen og have afskrækkende virkning.</w:t>
      </w:r>
    </w:p>
    <w:p w14:paraId="21E901B9" w14:textId="77777777" w:rsidR="00B969C9" w:rsidRPr="008D5552" w:rsidRDefault="00B969C9" w:rsidP="00B969C9">
      <w:pPr>
        <w:spacing w:line="360" w:lineRule="auto"/>
        <w:rPr>
          <w:rFonts w:ascii="Times New Roman" w:hAnsi="Times New Roman" w:cs="Times New Roman"/>
          <w:sz w:val="24"/>
          <w:szCs w:val="24"/>
        </w:rPr>
      </w:pPr>
    </w:p>
    <w:p w14:paraId="02F3DAA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Inden Finanstilsynet påbyder virksomheden at afsætte en person fra øverste ledelse at nedlægge sit hverv, skal der i henhold til reglerne i forvaltningsloven foretages en partshøring af virksomheden og af den, som påbuddet retter sig mod. I denne fase vil bestyrelsen have mulighed for af egen drift at afsætte en direktør. Forinden Finanstilsynet træffer afgørelse i sagen om påbuddet, forelægges spørgsmålet for Finanstilsynets bestyrelse, som i medfør af § 15, stk. 2, jf. § 345, stk. 12, nr. 4, i lov om finansiel virksomhed, træffer beslutning om reaktioner i sager af principiel karakter og i sager, der har videregående betydelige følger.</w:t>
      </w:r>
    </w:p>
    <w:p w14:paraId="601822F4" w14:textId="77777777" w:rsidR="00B969C9" w:rsidRPr="008D5552" w:rsidRDefault="00B969C9" w:rsidP="00B969C9">
      <w:pPr>
        <w:spacing w:line="360" w:lineRule="auto"/>
        <w:rPr>
          <w:rFonts w:ascii="Times New Roman" w:hAnsi="Times New Roman" w:cs="Times New Roman"/>
          <w:sz w:val="24"/>
          <w:szCs w:val="24"/>
        </w:rPr>
      </w:pPr>
    </w:p>
    <w:p w14:paraId="1901CA8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vil indebære, at 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74C2F0E8" w14:textId="77777777" w:rsidR="00B969C9" w:rsidRPr="008D5552" w:rsidRDefault="00B969C9" w:rsidP="00B969C9">
      <w:pPr>
        <w:spacing w:line="360" w:lineRule="auto"/>
        <w:rPr>
          <w:rFonts w:ascii="Times New Roman" w:hAnsi="Times New Roman" w:cs="Times New Roman"/>
          <w:sz w:val="24"/>
          <w:szCs w:val="24"/>
        </w:rPr>
      </w:pPr>
    </w:p>
    <w:p w14:paraId="75A0F50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Efterlever virksomheden ikke et påbud udstedt af Finanstilsynet, kan vedkommende straffes med bøde, jf. lovforslagets § 146, nr. 13.</w:t>
      </w:r>
    </w:p>
    <w:p w14:paraId="3AE429F7" w14:textId="77777777" w:rsidR="00B969C9" w:rsidRPr="008D5552" w:rsidRDefault="00B969C9" w:rsidP="00B969C9">
      <w:pPr>
        <w:spacing w:line="360" w:lineRule="auto"/>
        <w:rPr>
          <w:rFonts w:ascii="Times New Roman" w:hAnsi="Times New Roman" w:cs="Times New Roman"/>
          <w:sz w:val="24"/>
          <w:szCs w:val="24"/>
        </w:rPr>
      </w:pPr>
    </w:p>
    <w:p w14:paraId="5E2AB34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1, 2. pkt.</w:t>
      </w:r>
      <w:r w:rsidRPr="008D5552">
        <w:rPr>
          <w:rFonts w:ascii="Times New Roman" w:hAnsi="Times New Roman" w:cs="Times New Roman"/>
          <w:sz w:val="24"/>
          <w:szCs w:val="24"/>
        </w:rPr>
        <w:t>, at Finanstilsynet under samme betingelser som i 1. pkt. kan påbyde et medlem af bestyrelsen i en sådan virksomhed at nedlægge sit hverv inden for en af Finanstilsynet fastsat frist.</w:t>
      </w:r>
    </w:p>
    <w:p w14:paraId="272CC718" w14:textId="77777777" w:rsidR="00B969C9" w:rsidRPr="008D5552" w:rsidRDefault="00B969C9" w:rsidP="00B969C9">
      <w:pPr>
        <w:spacing w:line="360" w:lineRule="auto"/>
        <w:rPr>
          <w:rFonts w:ascii="Times New Roman" w:hAnsi="Times New Roman" w:cs="Times New Roman"/>
          <w:sz w:val="24"/>
          <w:szCs w:val="24"/>
        </w:rPr>
      </w:pPr>
    </w:p>
    <w:p w14:paraId="7BDEB9CF" w14:textId="43076FFE"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Finanstilsynet kan således pålægge et medlem af bestyrelsen i en kreditformidler, som nævnt i § 2, nr. 3, at fratræde sit hverv, hvis Finanstilsynet vurderer, at vedkommende ikke kan varetage sit hverv som følge af manglende efterlevelse af kravene om hæderlighed i lovforslagets § 4 a, stk. stk. 1. Dette indebærer blandt andet, at vedkommende ikke må være pålagt strafansvar for overtrædelse af straffeloven, den finansielle lovgivning eller anden relevant lovgivning, hvis overtrædelsen indebærer risiko for, at vedkommende ikke kan varetage sit hverv eller sin stilling på betryggende måde. </w:t>
      </w:r>
    </w:p>
    <w:p w14:paraId="2A8B2F17" w14:textId="77777777" w:rsidR="00B969C9" w:rsidRPr="008D5552" w:rsidRDefault="00B969C9" w:rsidP="00B969C9">
      <w:pPr>
        <w:spacing w:line="360" w:lineRule="auto"/>
        <w:rPr>
          <w:rFonts w:ascii="Times New Roman" w:hAnsi="Times New Roman" w:cs="Times New Roman"/>
          <w:sz w:val="24"/>
          <w:szCs w:val="24"/>
        </w:rPr>
      </w:pPr>
    </w:p>
    <w:p w14:paraId="389A469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Foranstaltningen gennemføres i praksis ved, at Finanstilsynet udsteder et påbud, hvorefter den pågældende inden for en af Finanstilsynet fastsat frist skal have nedlagt sit hverv midlertidigt.</w:t>
      </w:r>
    </w:p>
    <w:p w14:paraId="1193FD42" w14:textId="77777777" w:rsidR="00B969C9" w:rsidRPr="008D5552" w:rsidRDefault="00B969C9" w:rsidP="00B969C9">
      <w:pPr>
        <w:spacing w:line="360" w:lineRule="auto"/>
        <w:rPr>
          <w:rFonts w:ascii="Times New Roman" w:hAnsi="Times New Roman" w:cs="Times New Roman"/>
          <w:sz w:val="24"/>
          <w:szCs w:val="24"/>
        </w:rPr>
      </w:pPr>
    </w:p>
    <w:p w14:paraId="756788F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er forventningen, at virksomheden selv træffer foranstaltninger over det bestyrelsesmedlem, der ikke længere viser sig at være egnet og hæderlig til at bestride stillingen eller hvervet. Finanstilsynets indgrebsmuligheder skal derfor alene anvendes i de tilfælde, hvor virksomheden ikke selv har afsat det pågældende bestyrelsesmedlem.</w:t>
      </w:r>
    </w:p>
    <w:p w14:paraId="1FFF6512" w14:textId="77777777" w:rsidR="00B969C9" w:rsidRPr="008D5552" w:rsidRDefault="00B969C9" w:rsidP="00B969C9">
      <w:pPr>
        <w:spacing w:line="360" w:lineRule="auto"/>
        <w:rPr>
          <w:rFonts w:ascii="Times New Roman" w:hAnsi="Times New Roman" w:cs="Times New Roman"/>
          <w:sz w:val="24"/>
          <w:szCs w:val="24"/>
        </w:rPr>
      </w:pPr>
    </w:p>
    <w:p w14:paraId="23D5337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Inden Finanstilsynet påbyder et bestyrelsesmedlem at nedlægge sit hverv midlertidigt, skal der i henhold til reglerne i forvaltningsloven foretages en partshøring af virksomheden og af den, som påbuddet retter sig mod. I denne fase vil virksomheden have mulighed for at træffe de nødvendige foranstaltninger i anledning af Finanstilsynets vurdering. Forinden Finanstilsynet træffer afgørelse i sagen om påbuddet, forelægges spørgsmålet for Finanstilsynets bestyrelse, som i medfør af § 15, stk. 2, jf. § 345, stk. 12, nr. 4, i lov om finansiel virksomhed, træffer beslutning om reaktioner i sager af principiel karakter og i sager, der har videregående betydelige følger.</w:t>
      </w:r>
    </w:p>
    <w:p w14:paraId="452514FB" w14:textId="77777777" w:rsidR="00B969C9" w:rsidRPr="008D5552" w:rsidRDefault="00B969C9" w:rsidP="00B969C9">
      <w:pPr>
        <w:spacing w:line="360" w:lineRule="auto"/>
        <w:rPr>
          <w:rFonts w:ascii="Times New Roman" w:hAnsi="Times New Roman" w:cs="Times New Roman"/>
          <w:sz w:val="24"/>
          <w:szCs w:val="24"/>
        </w:rPr>
      </w:pPr>
    </w:p>
    <w:p w14:paraId="3AA2C17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Efterlever bestyrelsesmedlemmet ikke et påbud udstedt af Finanstilsynet, kan vedkommende straffes med bøde, jf. § 146, nr. 13, som foreslås med dette lovforslag.</w:t>
      </w:r>
    </w:p>
    <w:p w14:paraId="10E4DBBC" w14:textId="77777777" w:rsidR="00B969C9" w:rsidRPr="008D5552" w:rsidRDefault="00B969C9" w:rsidP="00B969C9">
      <w:pPr>
        <w:spacing w:line="360" w:lineRule="auto"/>
        <w:rPr>
          <w:rFonts w:ascii="Times New Roman" w:hAnsi="Times New Roman" w:cs="Times New Roman"/>
          <w:sz w:val="24"/>
          <w:szCs w:val="24"/>
        </w:rPr>
      </w:pPr>
    </w:p>
    <w:p w14:paraId="36CE652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skal ved fastsættelse af reaktioner efter denne lov, herunder ved anvendelse af påbud, tage hensyn til alle relevante omstændigheder, herunder de faktorer, der er nævnt i artikel 53, stk. 6, i 6. hvidvaskdirektiv. Dette omfatter blandt andet, at Finanstilsynet, hvor det er relevant, skal tage hensyn til overtrædelsens grovhed og varighed, antallet af gentagelser samt graden af samarbejde med Finanstilsynet.</w:t>
      </w:r>
    </w:p>
    <w:p w14:paraId="270C8428" w14:textId="77777777" w:rsidR="00B969C9" w:rsidRPr="008D5552" w:rsidRDefault="00B969C9" w:rsidP="00B969C9">
      <w:pPr>
        <w:spacing w:line="360" w:lineRule="auto"/>
        <w:rPr>
          <w:rFonts w:ascii="Times New Roman" w:hAnsi="Times New Roman" w:cs="Times New Roman"/>
          <w:sz w:val="24"/>
          <w:szCs w:val="24"/>
        </w:rPr>
      </w:pPr>
    </w:p>
    <w:p w14:paraId="2636C25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Finanstilsynets reaktioner skal være effektive, stå i rimeligt forhold til overtrædelsen og have en afskrækkende virkning.</w:t>
      </w:r>
    </w:p>
    <w:p w14:paraId="1DC9FB84" w14:textId="77777777" w:rsidR="00B969C9" w:rsidRPr="008D5552" w:rsidRDefault="00B969C9" w:rsidP="00B969C9">
      <w:pPr>
        <w:spacing w:line="360" w:lineRule="auto"/>
        <w:rPr>
          <w:rFonts w:ascii="Times New Roman" w:hAnsi="Times New Roman" w:cs="Times New Roman"/>
          <w:sz w:val="24"/>
          <w:szCs w:val="24"/>
        </w:rPr>
      </w:pPr>
    </w:p>
    <w:p w14:paraId="68C2B91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vil indebære, at 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1144764A" w14:textId="77777777" w:rsidR="00B969C9" w:rsidRPr="008D5552" w:rsidRDefault="00B969C9" w:rsidP="00B969C9">
      <w:pPr>
        <w:spacing w:line="360" w:lineRule="auto"/>
        <w:rPr>
          <w:rFonts w:ascii="Times New Roman" w:hAnsi="Times New Roman" w:cs="Times New Roman"/>
          <w:sz w:val="24"/>
          <w:szCs w:val="24"/>
        </w:rPr>
      </w:pPr>
    </w:p>
    <w:p w14:paraId="0A7AA5D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1, 3. pkt.,</w:t>
      </w:r>
      <w:r w:rsidRPr="008D5552">
        <w:rPr>
          <w:rFonts w:ascii="Times New Roman" w:hAnsi="Times New Roman" w:cs="Times New Roman"/>
          <w:sz w:val="24"/>
          <w:szCs w:val="24"/>
        </w:rPr>
        <w:t xml:space="preserve"> at Finanstilsynet endvidere kan</w:t>
      </w:r>
      <w:r w:rsidRPr="008D5552">
        <w:rPr>
          <w:rFonts w:ascii="Times New Roman" w:hAnsi="Times New Roman" w:cs="Times New Roman"/>
          <w:sz w:val="24"/>
          <w:szCs w:val="24"/>
          <w:lang w:eastAsia="da-DK"/>
        </w:rPr>
        <w:t xml:space="preserve"> </w:t>
      </w:r>
      <w:r w:rsidRPr="008D5552">
        <w:rPr>
          <w:rFonts w:ascii="Times New Roman" w:hAnsi="Times New Roman" w:cs="Times New Roman"/>
          <w:sz w:val="24"/>
          <w:szCs w:val="24"/>
        </w:rPr>
        <w:t>påbyde en kreditformidler, der er omfattet af § 1, stk. 5, nr. 2, eller, hvor virksomheden udøves af en enkeltmandsvirksomhed, indehaveren eller, hvor kreditformidleren drives som juridisk person uden øverste eller daglige ledelse, den eller de ledelsesansvarlige, at afsætte en person fra den øverste ledelse inden for en af Finanstilsynet fastsat frist, hvis Finanstilsynet konstaterer, at denne er pålagt strafansvar for overtrædelse af straffeloven, den finansielle lovgivning eller anden relevant lovgivning, og overtrædelsen indebærer en risiko for, at vedkommende ikke kan varetage sit hverv eller sin stilling på en betryggende måde.</w:t>
      </w:r>
    </w:p>
    <w:p w14:paraId="1E37E77E" w14:textId="77777777" w:rsidR="00B969C9" w:rsidRPr="008D5552" w:rsidRDefault="00B969C9" w:rsidP="00B969C9">
      <w:pPr>
        <w:spacing w:line="360" w:lineRule="auto"/>
        <w:rPr>
          <w:rFonts w:ascii="Times New Roman" w:hAnsi="Times New Roman" w:cs="Times New Roman"/>
          <w:sz w:val="24"/>
          <w:szCs w:val="24"/>
        </w:rPr>
      </w:pPr>
    </w:p>
    <w:p w14:paraId="61B898D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forudsættes for anvendelsen af bestemmelsen, at der er tale om en leverandør af varer eller en udbyder af tjenesteydelser, som beskæftiger under 250 personer og har en årlig omsætning på ikke over 50 mio. euro eller en årlig samlet balance på ikke over 43 mio. euro, og som accessorisk optræder som kreditformidlere, jf. lovens §1, stk. 5, nr. 2.</w:t>
      </w:r>
    </w:p>
    <w:p w14:paraId="01CBBE82" w14:textId="77777777" w:rsidR="00B969C9" w:rsidRPr="008D5552" w:rsidRDefault="00B969C9" w:rsidP="00B969C9">
      <w:pPr>
        <w:spacing w:line="360" w:lineRule="auto"/>
        <w:rPr>
          <w:rFonts w:ascii="Times New Roman" w:hAnsi="Times New Roman" w:cs="Times New Roman"/>
          <w:sz w:val="24"/>
          <w:szCs w:val="24"/>
        </w:rPr>
      </w:pPr>
    </w:p>
    <w:p w14:paraId="00582B4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forudsættes endvidere for anvendelsen af bestemmelsen, at den pågældende person fra den øverste ledelse, ikke kan bestride stillingen som følge af, at vedkommende er pålagt strafansvar for overtrædelse af straffeloven, den finansielle lovgivning eller anden relevant lovgivning, hvis overtrædelsen indebærer risiko for, at vedkommende ikke kan varetage sit hverv eller sin stilling på betryggende måde. Tilsvarende foreslås det, at bestemmelsen kan finde anvendelse, hvis den pågældende person har udvist en sådan adfærd, at der er begrundet mistanke for misbrug af hvervet eller stillingen.</w:t>
      </w:r>
    </w:p>
    <w:p w14:paraId="51807F5C" w14:textId="77777777" w:rsidR="00B969C9" w:rsidRPr="008D5552" w:rsidRDefault="00B969C9" w:rsidP="00B969C9">
      <w:pPr>
        <w:spacing w:line="360" w:lineRule="auto"/>
        <w:rPr>
          <w:rFonts w:ascii="Times New Roman" w:hAnsi="Times New Roman" w:cs="Times New Roman"/>
          <w:sz w:val="24"/>
          <w:szCs w:val="24"/>
        </w:rPr>
      </w:pPr>
    </w:p>
    <w:p w14:paraId="49A2CAF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Dette kan eksempelvis være fordi vedkommende er blevet pålagt strafansvar for overtrædelse af straffeloven, den finansielle lovgivning, eller anden relevant lovgivning, og der som følge heraf er risiko for, at vedkommende ikke længere kan varetage sit hverv eller sin stilling på forsvarlig vis. Overtrædelse af anden relevant lovgivning kan eksempelvis være overtrædelser af strafbelagte bestemmelser i hvidvask-, skatte- og selskabslovgivningen. Finanstilsynet foretager en konkret vurdering af, om overtrædelsen skal føre til, at personen ikke anses for at leve op til hæderlighedskravet. </w:t>
      </w:r>
    </w:p>
    <w:p w14:paraId="0551AB3F" w14:textId="77777777" w:rsidR="00B969C9" w:rsidRPr="008D5552" w:rsidRDefault="00B969C9" w:rsidP="00B969C9">
      <w:pPr>
        <w:spacing w:line="360" w:lineRule="auto"/>
        <w:rPr>
          <w:rFonts w:ascii="Times New Roman" w:hAnsi="Times New Roman" w:cs="Times New Roman"/>
          <w:sz w:val="24"/>
          <w:szCs w:val="24"/>
        </w:rPr>
      </w:pPr>
    </w:p>
    <w:p w14:paraId="29233BD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Foranstaltningen udmøntes i praksis ved udstedelsen af et påbud, hvorefter kreditformidleren inden for en af Finanstilsynet angivet frist skal have foretaget den midlertidige afsættelse af personen fra den øverste ledelse.</w:t>
      </w:r>
    </w:p>
    <w:p w14:paraId="47BCA564" w14:textId="77777777" w:rsidR="00B969C9" w:rsidRPr="008D5552" w:rsidRDefault="00B969C9" w:rsidP="00B969C9">
      <w:pPr>
        <w:spacing w:line="360" w:lineRule="auto"/>
        <w:rPr>
          <w:rFonts w:ascii="Times New Roman" w:hAnsi="Times New Roman" w:cs="Times New Roman"/>
          <w:sz w:val="24"/>
          <w:szCs w:val="24"/>
        </w:rPr>
      </w:pPr>
    </w:p>
    <w:p w14:paraId="2B21BCD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skal i forbindelse med fastsættelsen af påbud, tage højde for alle relevante omstændigheder, herunder de faktorer, der er oplistet i artikel 53, stk. 6, i 6. hvidvaskdirektiv. Dette indebærer blandt andet, at Finanstilsynet, hvor det er relevant, skal tage højde for overtrædelsens grovhed og varighed samt antallet af gentagelser, ligesom der også vil skulle tages højde for graden af samarbejde med Finanstilsynet. Finanstilsynets reaktioner skal være effektive, stå i rimeligt forhold til overtrædelsen og have afskrækkende virkning.</w:t>
      </w:r>
    </w:p>
    <w:p w14:paraId="4855E024" w14:textId="77777777" w:rsidR="00B969C9" w:rsidRPr="008D5552" w:rsidRDefault="00B969C9" w:rsidP="00B969C9">
      <w:pPr>
        <w:spacing w:line="360" w:lineRule="auto"/>
        <w:rPr>
          <w:rFonts w:ascii="Times New Roman" w:hAnsi="Times New Roman" w:cs="Times New Roman"/>
          <w:sz w:val="24"/>
          <w:szCs w:val="24"/>
        </w:rPr>
      </w:pPr>
    </w:p>
    <w:p w14:paraId="218497B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Inden Finanstilsynet påbyder virksomheden at afsætte en person fra øverste ledelse at nedlægge sit hverv, skal der i henhold til reglerne i forvaltningsloven foretages en partshøring af virksomheden og af den, som påbuddet retter sig mod. I denne fase vil bestyrelsen have mulighed for af egen drift at afsætte en direktør. Forinden Finanstilsynet træffer afgørelse i sagen om påbuddet, forelægges spørgsmålet for Finanstilsynets bestyrelse, som i medfør af § 15, stk. 2, jf. § 345, stk. 12, nr. 4, i lov om finansiel virksomhed, træffer beslutning om reaktioner i sager af principiel karakter og i sager, der har videregående betydelige følger.</w:t>
      </w:r>
    </w:p>
    <w:p w14:paraId="76BD7B75" w14:textId="77777777" w:rsidR="00B969C9" w:rsidRPr="008D5552" w:rsidRDefault="00B969C9" w:rsidP="00B969C9">
      <w:pPr>
        <w:spacing w:line="360" w:lineRule="auto"/>
        <w:rPr>
          <w:rFonts w:ascii="Times New Roman" w:hAnsi="Times New Roman" w:cs="Times New Roman"/>
          <w:sz w:val="24"/>
          <w:szCs w:val="24"/>
        </w:rPr>
      </w:pPr>
    </w:p>
    <w:p w14:paraId="5E361CE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vil indebære, at 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5CFEDACC" w14:textId="77777777" w:rsidR="00B969C9" w:rsidRPr="008D5552" w:rsidRDefault="00B969C9" w:rsidP="00B969C9">
      <w:pPr>
        <w:spacing w:line="360" w:lineRule="auto"/>
        <w:rPr>
          <w:rFonts w:ascii="Times New Roman" w:hAnsi="Times New Roman" w:cs="Times New Roman"/>
          <w:sz w:val="24"/>
          <w:szCs w:val="24"/>
        </w:rPr>
      </w:pPr>
    </w:p>
    <w:p w14:paraId="381CB60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Efterlever virksomheden ikke et påbud udstedt af Finanstilsynet, kan vedkommende straffes med bøde, jf. lovforslagets § 146, nr. 13.</w:t>
      </w:r>
    </w:p>
    <w:p w14:paraId="407EFB70" w14:textId="77777777" w:rsidR="00B969C9" w:rsidRPr="008D5552" w:rsidRDefault="00B969C9" w:rsidP="00B969C9">
      <w:pPr>
        <w:spacing w:line="360" w:lineRule="auto"/>
        <w:rPr>
          <w:rFonts w:ascii="Times New Roman" w:hAnsi="Times New Roman" w:cs="Times New Roman"/>
          <w:sz w:val="24"/>
          <w:szCs w:val="24"/>
        </w:rPr>
      </w:pPr>
    </w:p>
    <w:p w14:paraId="6280BE9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1, 3. pkt.</w:t>
      </w:r>
      <w:r w:rsidRPr="008D5552">
        <w:rPr>
          <w:rFonts w:ascii="Times New Roman" w:hAnsi="Times New Roman" w:cs="Times New Roman"/>
          <w:sz w:val="24"/>
          <w:szCs w:val="24"/>
        </w:rPr>
        <w:t>, at Finanstilsynet under samme betingelser som i 1. pkt. kan påbyde et medlem af bestyrelsen i en sådan virksomhed at nedlægge sit hverv inden for en af Finanstilsynet fastsat frist.</w:t>
      </w:r>
    </w:p>
    <w:p w14:paraId="001BBA70" w14:textId="77777777" w:rsidR="00B969C9" w:rsidRPr="008D5552" w:rsidRDefault="00B969C9" w:rsidP="00B969C9">
      <w:pPr>
        <w:spacing w:line="360" w:lineRule="auto"/>
        <w:rPr>
          <w:rFonts w:ascii="Times New Roman" w:hAnsi="Times New Roman" w:cs="Times New Roman"/>
          <w:sz w:val="24"/>
          <w:szCs w:val="24"/>
        </w:rPr>
      </w:pPr>
    </w:p>
    <w:p w14:paraId="42CC148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kan således pålægge et medlem af bestyrelsen i en kreditformidler, der er omfattet at af § 1, stk. 5, nr. 2, eller, hvor virksomheden udøves af en enkeltmandsvirksomhed, indehaveren eller, hvor kreditformidleren drives som juridisk person uden øverste eller daglige ledelse, den eller de ledelsesansvarlige, at afsætte en person fra den øverste ledelse inden for en af Finanstilsynet fastsat frist, hvis Finanstilsynet konstaterer, at denne er pålagt strafansvar for overtrædelse af straffeloven, den finansielle lovgivning eller anden relevant lovgivning, og overtrædelsen indebærer en risiko for, at vedkommende ikke kan varetage sit hverv eller sin stilling på en betryggende måde.</w:t>
      </w:r>
    </w:p>
    <w:p w14:paraId="2A3C87F1" w14:textId="77777777" w:rsidR="00B969C9" w:rsidRPr="008D5552" w:rsidRDefault="00B969C9" w:rsidP="00B969C9">
      <w:pPr>
        <w:spacing w:line="360" w:lineRule="auto"/>
        <w:rPr>
          <w:rFonts w:ascii="Times New Roman" w:hAnsi="Times New Roman" w:cs="Times New Roman"/>
          <w:sz w:val="24"/>
          <w:szCs w:val="24"/>
        </w:rPr>
      </w:pPr>
    </w:p>
    <w:p w14:paraId="6F37E4F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Dette indebærer blandt andet, at vedkommende ikke må være pålagt strafansvar for overtrædelse af straffeloven, den finansielle lovgivning eller anden relevant lovgivning, hvis overtrædelsen indebærer risiko for, at vedkommende ikke kan varetage sit hverv eller sin stilling på betryggende måde. </w:t>
      </w:r>
    </w:p>
    <w:p w14:paraId="4E56DAD3" w14:textId="77777777" w:rsidR="00B969C9" w:rsidRPr="008D5552" w:rsidRDefault="00B969C9" w:rsidP="00B969C9">
      <w:pPr>
        <w:spacing w:line="360" w:lineRule="auto"/>
        <w:rPr>
          <w:rFonts w:ascii="Times New Roman" w:hAnsi="Times New Roman" w:cs="Times New Roman"/>
          <w:sz w:val="24"/>
          <w:szCs w:val="24"/>
        </w:rPr>
      </w:pPr>
    </w:p>
    <w:p w14:paraId="7515B26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Foranstaltningen gennemføres i praksis ved, at Finanstilsynet udsteder et påbud, hvorefter den pågældende inden for en af Finanstilsynet fastsat frist skal have nedlagt sit hverv midlertidigt.</w:t>
      </w:r>
    </w:p>
    <w:p w14:paraId="5C6B27BC" w14:textId="77777777" w:rsidR="00B969C9" w:rsidRPr="008D5552" w:rsidRDefault="00B969C9" w:rsidP="00B969C9">
      <w:pPr>
        <w:spacing w:line="360" w:lineRule="auto"/>
        <w:rPr>
          <w:rFonts w:ascii="Times New Roman" w:hAnsi="Times New Roman" w:cs="Times New Roman"/>
          <w:sz w:val="24"/>
          <w:szCs w:val="24"/>
        </w:rPr>
      </w:pPr>
    </w:p>
    <w:p w14:paraId="15E0483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er forventningen, at virksomheden selv træffer foranstaltninger over det bestyrelsesmedlem, der ikke længere viser sig at være egnet og hæderlig til at bestride stillingen eller hvervet. Finanstilsynets indgrebsmuligheder skal derfor alene anvendes i de tilfælde, hvor virksomheden ikke selv har afsat det pågældende bestyrelsesmedlem.</w:t>
      </w:r>
    </w:p>
    <w:p w14:paraId="583F358E" w14:textId="77777777" w:rsidR="00B969C9" w:rsidRPr="008D5552" w:rsidRDefault="00B969C9" w:rsidP="00B969C9">
      <w:pPr>
        <w:spacing w:line="360" w:lineRule="auto"/>
        <w:rPr>
          <w:rFonts w:ascii="Times New Roman" w:hAnsi="Times New Roman" w:cs="Times New Roman"/>
          <w:sz w:val="24"/>
          <w:szCs w:val="24"/>
        </w:rPr>
      </w:pPr>
    </w:p>
    <w:p w14:paraId="0BF65EA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Inden Finanstilsynet påbyder et bestyrelsesmedlem at nedlægge sit hverv midlertidigt, skal der i henhold til reglerne i forvaltningsloven foretages en partshøring af virksomheden og af den, som påbuddet retter sig mod. I denne fase vil virksomheden have mulighed for at træffe de nødvendige foranstaltninger i anledning af Finanstilsynets vurdering. Forinden Finanstilsynet træffer afgørelse i sagen om påbuddet, forelægges spørgsmålet for Finanstilsynets bestyrelse, som i medfør af § 15, stk. 2, jf. § 345, stk. 12, nr. 4, i lov om finansiel virksomhed, træffer beslutning om reaktioner i sager af principiel karakter og i sager, der har videregående betydelige følger.</w:t>
      </w:r>
    </w:p>
    <w:p w14:paraId="059B07BD" w14:textId="77777777" w:rsidR="00B969C9" w:rsidRPr="008D5552" w:rsidRDefault="00B969C9" w:rsidP="00B969C9">
      <w:pPr>
        <w:spacing w:line="360" w:lineRule="auto"/>
        <w:rPr>
          <w:rFonts w:ascii="Times New Roman" w:hAnsi="Times New Roman" w:cs="Times New Roman"/>
          <w:sz w:val="24"/>
          <w:szCs w:val="24"/>
        </w:rPr>
      </w:pPr>
    </w:p>
    <w:p w14:paraId="27849EE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Efterlever bestyrelsesmedlemmet ikke et påbud udstedt af Finanstilsynet, kan vedkommende straffes med bøde, jf. § 146, nr. 13, som foreslås med dette lovforslag.</w:t>
      </w:r>
    </w:p>
    <w:p w14:paraId="25D1A598" w14:textId="77777777" w:rsidR="00B969C9" w:rsidRPr="008D5552" w:rsidRDefault="00B969C9" w:rsidP="00B969C9">
      <w:pPr>
        <w:spacing w:line="360" w:lineRule="auto"/>
        <w:rPr>
          <w:rFonts w:ascii="Times New Roman" w:hAnsi="Times New Roman" w:cs="Times New Roman"/>
          <w:sz w:val="24"/>
          <w:szCs w:val="24"/>
        </w:rPr>
      </w:pPr>
    </w:p>
    <w:p w14:paraId="76CA743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skal ved fastsættelse af reaktioner efter denne lov, herunder ved anvendelse af påbud, tage hensyn til alle relevante omstændigheder, herunder de faktorer, der er nævnt i artikel 53, stk. 6, i 6. hvidvaskdirektiv. Dette omfatter blandt andet, at Finanstilsynet, hvor det er relevant, skal tage hensyn til overtrædelsens grovhed og varighed, antallet af gentagelser samt graden af samarbejde med Finanstilsynet.</w:t>
      </w:r>
    </w:p>
    <w:p w14:paraId="4FDA0E98" w14:textId="77777777" w:rsidR="00B969C9" w:rsidRPr="008D5552" w:rsidRDefault="00B969C9" w:rsidP="00B969C9">
      <w:pPr>
        <w:spacing w:line="360" w:lineRule="auto"/>
        <w:rPr>
          <w:rFonts w:ascii="Times New Roman" w:hAnsi="Times New Roman" w:cs="Times New Roman"/>
          <w:sz w:val="24"/>
          <w:szCs w:val="24"/>
        </w:rPr>
      </w:pPr>
    </w:p>
    <w:p w14:paraId="7B6EAD2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Finanstilsynets reaktioner skal være effektive, stå i rimeligt forhold til overtrædelsen og have en afskrækkende virkning.</w:t>
      </w:r>
    </w:p>
    <w:p w14:paraId="5FF61D31" w14:textId="77777777" w:rsidR="00B969C9" w:rsidRPr="008D5552" w:rsidRDefault="00B969C9" w:rsidP="00B969C9">
      <w:pPr>
        <w:spacing w:line="360" w:lineRule="auto"/>
        <w:rPr>
          <w:rFonts w:ascii="Times New Roman" w:hAnsi="Times New Roman" w:cs="Times New Roman"/>
          <w:sz w:val="24"/>
          <w:szCs w:val="24"/>
        </w:rPr>
      </w:pPr>
    </w:p>
    <w:p w14:paraId="7FCAC13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vil indebære, at 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AMLA-forordningens artikel 49, jf. hvidvaskdirektivets artikel 53, stk. 10.</w:t>
      </w:r>
    </w:p>
    <w:p w14:paraId="2063EBDF" w14:textId="77777777" w:rsidR="00B969C9" w:rsidRPr="008D5552" w:rsidRDefault="00B969C9" w:rsidP="00B969C9">
      <w:pPr>
        <w:spacing w:line="360" w:lineRule="auto"/>
        <w:rPr>
          <w:rFonts w:ascii="Times New Roman" w:hAnsi="Times New Roman" w:cs="Times New Roman"/>
          <w:sz w:val="24"/>
          <w:szCs w:val="24"/>
        </w:rPr>
      </w:pPr>
    </w:p>
    <w:p w14:paraId="345C922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2</w:t>
      </w:r>
      <w:r w:rsidRPr="008D5552">
        <w:rPr>
          <w:rFonts w:ascii="Times New Roman" w:hAnsi="Times New Roman" w:cs="Times New Roman"/>
          <w:sz w:val="24"/>
          <w:szCs w:val="24"/>
        </w:rPr>
        <w:t>, at varigheden af påbud meddelt efter stk. 1 skal fremgå af påbuddet.</w:t>
      </w:r>
    </w:p>
    <w:p w14:paraId="5E605263" w14:textId="77777777" w:rsidR="00B969C9" w:rsidRPr="008D5552" w:rsidRDefault="00B969C9" w:rsidP="00B969C9">
      <w:pPr>
        <w:spacing w:line="360" w:lineRule="auto"/>
        <w:rPr>
          <w:rFonts w:ascii="Times New Roman" w:hAnsi="Times New Roman" w:cs="Times New Roman"/>
          <w:sz w:val="24"/>
          <w:szCs w:val="24"/>
        </w:rPr>
      </w:pPr>
    </w:p>
    <w:p w14:paraId="304586D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foreslåede bestemmelse vil indebære, at Finanstilsynet som udgangspunkt ikke kan inddrage de forhold, der oprindeligt førte til påbuddet, i en ny vurdering, når varigheden udløber. Det betyder, at de forhold, der var afgørende for, at personen ikke opfyldte kravene til ledelse, som udgangspunkt ikke længere vil indgå i en eventuel ny vurdering efter udløbet af påbuddet. </w:t>
      </w:r>
    </w:p>
    <w:p w14:paraId="7652CF01" w14:textId="77777777" w:rsidR="00B969C9" w:rsidRPr="008D5552" w:rsidRDefault="00B969C9" w:rsidP="00B969C9">
      <w:pPr>
        <w:spacing w:line="360" w:lineRule="auto"/>
        <w:rPr>
          <w:rFonts w:ascii="Times New Roman" w:hAnsi="Times New Roman" w:cs="Times New Roman"/>
          <w:sz w:val="24"/>
          <w:szCs w:val="24"/>
        </w:rPr>
      </w:pPr>
    </w:p>
    <w:p w14:paraId="61DC3E9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ændrer ikke ved, at personen efter udløbet af påbuddet på ny skal ansøge Finanstilsynet om godkendelse til en stilling eller et hverv omfattet af reglerne, hvis vedkommende ønsker at indtræde i ledelsen af en virksomhed omfattet af loven.</w:t>
      </w:r>
    </w:p>
    <w:p w14:paraId="595A0FFB" w14:textId="77777777" w:rsidR="00B969C9" w:rsidRPr="008D5552" w:rsidRDefault="00B969C9" w:rsidP="00B969C9">
      <w:pPr>
        <w:spacing w:line="360" w:lineRule="auto"/>
        <w:rPr>
          <w:rFonts w:ascii="Times New Roman" w:hAnsi="Times New Roman" w:cs="Times New Roman"/>
          <w:sz w:val="24"/>
          <w:szCs w:val="24"/>
        </w:rPr>
      </w:pPr>
    </w:p>
    <w:p w14:paraId="6F23E3F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Varigheden af påbuddet fastsættes på baggrund af en konkret vurdering af de forhold, der ligger til grund for afgørelsen. Som udgangspunkt kan varigheden fastsættes til mellem et og fem år, men i særligt alvorlige tilfælde kan varigheden fastsættes til indtil videre. Ved vurderingen af varighedens længde lægger Finanstilsynet blandt andet vægt på forholdets karakter og grovhed, om der er tale om gentagelsestilfælde, hvor lang tid der er gået siden forholdet, og personens adfærd siden. Gentagelsestilfælde vil have en skærpende betydning for varighedens længde, uanset om de kritisable forhold er af forskellig karakter.</w:t>
      </w:r>
    </w:p>
    <w:p w14:paraId="4EECE454" w14:textId="77777777" w:rsidR="00B969C9" w:rsidRPr="008D5552" w:rsidRDefault="00B969C9" w:rsidP="00B969C9">
      <w:pPr>
        <w:spacing w:line="360" w:lineRule="auto"/>
        <w:rPr>
          <w:rFonts w:ascii="Times New Roman" w:hAnsi="Times New Roman" w:cs="Times New Roman"/>
          <w:sz w:val="24"/>
          <w:szCs w:val="24"/>
        </w:rPr>
      </w:pPr>
    </w:p>
    <w:p w14:paraId="7100388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Formålet med at fastsætte varigheden af påbuddet er at sikre gennemsigtighed og retssikkerhed for de personer, som påbuddet vedrører, samt at beskytte tilliden til den finansielle sektor. Hvis eksempelvis et ledelsesmedlem, der vurderes uegnet, umiddelbart efter påbuddets udløb kan indtræde i ledelsen af en anden finansiel virksomhed, kan det svække tilliden til sektoren. </w:t>
      </w:r>
    </w:p>
    <w:p w14:paraId="3084FD2A" w14:textId="77777777" w:rsidR="00B969C9" w:rsidRPr="008D5552" w:rsidRDefault="00B969C9" w:rsidP="00B969C9">
      <w:pPr>
        <w:spacing w:line="360" w:lineRule="auto"/>
        <w:rPr>
          <w:rFonts w:ascii="Times New Roman" w:hAnsi="Times New Roman" w:cs="Times New Roman"/>
          <w:sz w:val="24"/>
          <w:szCs w:val="24"/>
        </w:rPr>
      </w:pPr>
    </w:p>
    <w:p w14:paraId="78F10C9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Ved fastsættelsen af varigheden foretager Finanstilsynet en samlet vurdering, hvor der blandt andet tages hensyn til, om der er tale om strafbare eller administrative forhold, tillidsbrud eller gentagelsestilfælde. Flere mindre alvorlige overtrædelser i samme sag kan samlet set føre til en skærpelse af varigheden, ligesom særligt grove overtrædelser kan medføre, at varigheden fastsættes til indtil videre. En sådan varighed vil dog kun blive anvendt i særligt alvorlige og sjældne tilfælde.</w:t>
      </w:r>
    </w:p>
    <w:p w14:paraId="527D2957" w14:textId="77777777" w:rsidR="00B969C9" w:rsidRPr="008D5552" w:rsidRDefault="00B969C9" w:rsidP="00B969C9">
      <w:pPr>
        <w:spacing w:line="360" w:lineRule="auto"/>
        <w:rPr>
          <w:rFonts w:ascii="Times New Roman" w:hAnsi="Times New Roman" w:cs="Times New Roman"/>
          <w:sz w:val="24"/>
          <w:szCs w:val="24"/>
        </w:rPr>
      </w:pPr>
    </w:p>
    <w:p w14:paraId="26A7CDD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Som udgangspunkt vil forhold, der ligger mere end ti år tilbage, ikke indgå i vurderingen, medmindre der er tale om særligt alvorlige forhold, gentagelser eller et samlet sagsforløb, hvor ældre forhold indgår sammen med nyere. Eksempler på alvorlige forhold kan være svindel, grov tilsidesættelse af god skik, forsætlig overtrædelse af hvidvasklovens regler eller medvirken til økonomisk kriminalitet.</w:t>
      </w:r>
    </w:p>
    <w:p w14:paraId="0E9085C7" w14:textId="77777777" w:rsidR="00B969C9" w:rsidRPr="008D5552" w:rsidRDefault="00B969C9" w:rsidP="00B969C9">
      <w:pPr>
        <w:spacing w:line="360" w:lineRule="auto"/>
        <w:rPr>
          <w:rFonts w:ascii="Times New Roman" w:hAnsi="Times New Roman" w:cs="Times New Roman"/>
          <w:sz w:val="24"/>
          <w:szCs w:val="24"/>
        </w:rPr>
      </w:pPr>
    </w:p>
    <w:p w14:paraId="5968E08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Begyndelsestidspunktet for varigheden regnes som udgangspunkt fra datoen for Finanstilsynets påbud. Hvis påbuddet er begrundet i konkurs, rekonstruktion eller gældssanering, regnes begyndelsestidspunktet fra afslutningen af disse forhold.</w:t>
      </w:r>
    </w:p>
    <w:p w14:paraId="2779C46D" w14:textId="77777777" w:rsidR="00B969C9" w:rsidRPr="008D5552" w:rsidRDefault="00B969C9" w:rsidP="00B969C9">
      <w:pPr>
        <w:spacing w:line="360" w:lineRule="auto"/>
        <w:rPr>
          <w:rFonts w:ascii="Times New Roman" w:hAnsi="Times New Roman" w:cs="Times New Roman"/>
          <w:sz w:val="24"/>
          <w:szCs w:val="24"/>
        </w:rPr>
      </w:pPr>
    </w:p>
    <w:p w14:paraId="0571645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varighed på fem år vil som udgangspunkt blive fastsat, hvis der ikke er forhold, der taler for en kortere periode, eller hvis forholdenes karakter og omfang tilsiger, at en længere periode er nødvendig. En kortere varighed kan fastsættes, hvis der foreligger formildende omstændigheder, eller hvis forholdet ligger langt tilbage i tid og der ikke er tale om gentagelser.</w:t>
      </w:r>
    </w:p>
    <w:p w14:paraId="6A230FCE" w14:textId="77777777" w:rsidR="00B969C9" w:rsidRPr="008D5552" w:rsidRDefault="00B969C9" w:rsidP="00B969C9">
      <w:pPr>
        <w:spacing w:line="360" w:lineRule="auto"/>
        <w:rPr>
          <w:rFonts w:ascii="Times New Roman" w:hAnsi="Times New Roman" w:cs="Times New Roman"/>
          <w:sz w:val="24"/>
          <w:szCs w:val="24"/>
        </w:rPr>
      </w:pPr>
    </w:p>
    <w:p w14:paraId="5E22467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Varigheden kan fastsættes til indtil videre, hvis der er tale om grove forhold eller alvorlige gentagelsestilfælde, der som udgangspunkt ikke ligger mere end ti år tilbage. Dette vil dog kun ske i særligt alvorlige tilfælde, eksempelvis ved grove overtrædelser af straffelovens berigelsesforbrydelser, betydelige ledelsesmæssige svigt, grov tilsidesættelse af god skik, forsætlig overtrædelse af hvidvasklovens krav eller medvirken til økonomisk kriminalitet.</w:t>
      </w:r>
    </w:p>
    <w:p w14:paraId="63F76F38" w14:textId="77777777" w:rsidR="00B969C9" w:rsidRPr="008D5552" w:rsidRDefault="00B969C9" w:rsidP="00B969C9">
      <w:pPr>
        <w:spacing w:line="360" w:lineRule="auto"/>
        <w:rPr>
          <w:rFonts w:ascii="Times New Roman" w:hAnsi="Times New Roman" w:cs="Times New Roman"/>
          <w:sz w:val="24"/>
          <w:szCs w:val="24"/>
        </w:rPr>
      </w:pPr>
    </w:p>
    <w:p w14:paraId="2672A59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Overordnet gælder, at de forhold, der begrunder påbuddet, skal have en sådan alvorlig karakter, at det må anses for åbenbart, at hverken Finanstilsynet eller samfundet kan have tillid til, at den pågældende inden for en overskuelig fremtid vil kunne varetage hvervet som medlem af en kreditformidlers øverste ledelse eller et bestyrelsesmedlem i en finansiel virksomhed.</w:t>
      </w:r>
    </w:p>
    <w:p w14:paraId="17466692" w14:textId="77777777" w:rsidR="00B969C9" w:rsidRPr="008D5552" w:rsidRDefault="00B969C9" w:rsidP="00B969C9">
      <w:pPr>
        <w:spacing w:line="360" w:lineRule="auto"/>
        <w:rPr>
          <w:rFonts w:ascii="Times New Roman" w:hAnsi="Times New Roman" w:cs="Times New Roman"/>
          <w:sz w:val="24"/>
          <w:szCs w:val="24"/>
        </w:rPr>
      </w:pPr>
    </w:p>
    <w:p w14:paraId="02D9C00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3</w:t>
      </w:r>
      <w:r w:rsidRPr="008D5552">
        <w:rPr>
          <w:rFonts w:ascii="Times New Roman" w:hAnsi="Times New Roman" w:cs="Times New Roman"/>
          <w:sz w:val="24"/>
          <w:szCs w:val="24"/>
        </w:rPr>
        <w:t xml:space="preserve">, at påbud meddelt efter stk. 1, kan forlanges indbragt for domstolene af virksomheden og den person, som påbuddet vedrører. Anmodning herom skal indgives til Finanstilsynet, inden fire uger efter at påbuddet er meddelt den pågældende. Anmodningen har ikke opsættende virkning for påbuddet, men retten kan ved kendelse bestemme, at den pågældende direktør eller det pågældende bestyrelsesmedlem under sagens behandling kan opretholde sit hverv eller sin stilling. Finanstilsynet indbringer sagen for domstolene inden fire uger efter modtagelse af anmodning herom. Sagen anlægges i den borgerlige retsplejes former. </w:t>
      </w:r>
    </w:p>
    <w:p w14:paraId="76A900AB" w14:textId="77777777" w:rsidR="00B969C9" w:rsidRPr="008D5552" w:rsidRDefault="00B969C9" w:rsidP="00B969C9">
      <w:pPr>
        <w:spacing w:line="360" w:lineRule="auto"/>
        <w:rPr>
          <w:rFonts w:ascii="Times New Roman" w:hAnsi="Times New Roman" w:cs="Times New Roman"/>
          <w:sz w:val="24"/>
          <w:szCs w:val="24"/>
        </w:rPr>
      </w:pPr>
    </w:p>
    <w:p w14:paraId="4C8B937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Af retssikkerhedsmæssige hensyn skal det være muligt at få prøvet et påbud om afsættelse af et medlem af den øverste ledelse eller et bestyrelsesmedlem ved domstolene. Det foreslås, at Finanstilsynet har ansvaret for at indbringe sagen for domstolene, og at dette skal ske inden for en frist på fire uger. Det foreslås derfor i bestemmelsen, at virksomheden og den person, som afgørelsen vedrører, kan forlange, at Finanstilsynet indbringer sagen for domstolene. Anmodning om dette skal indgives til Finanstilsynet senest fire uger efter udstedelsen af påbuddet, og sagen skal herefter anlægges inden fire uger. Der stilles ikke formkrav til anmodningen.</w:t>
      </w:r>
    </w:p>
    <w:p w14:paraId="21A40F13" w14:textId="77777777" w:rsidR="00B969C9" w:rsidRPr="008D5552" w:rsidRDefault="00B969C9" w:rsidP="00B969C9">
      <w:pPr>
        <w:spacing w:line="360" w:lineRule="auto"/>
        <w:rPr>
          <w:rFonts w:ascii="Times New Roman" w:hAnsi="Times New Roman" w:cs="Times New Roman"/>
          <w:sz w:val="24"/>
          <w:szCs w:val="24"/>
        </w:rPr>
      </w:pPr>
    </w:p>
    <w:p w14:paraId="2DE3082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Som udgangspunkt tillægges en anmodning om domstolsprøvelse ikke opsættende virkning, da dette vil kunne hindre en løbende og effektiv håndhævelse af kravene om egnethed og hæderlighed. Retten har dog mulighed for, hvis det vurderes relevant at bestemme, at den pågældende kan opretholde sit hverv eller forblive i sin stilling, mens sagen verserer.</w:t>
      </w:r>
    </w:p>
    <w:p w14:paraId="79BC4EC7" w14:textId="77777777" w:rsidR="00B969C9" w:rsidRPr="008D5552" w:rsidRDefault="00B969C9" w:rsidP="00B969C9">
      <w:pPr>
        <w:spacing w:line="360" w:lineRule="auto"/>
        <w:rPr>
          <w:rFonts w:ascii="Times New Roman" w:hAnsi="Times New Roman" w:cs="Times New Roman"/>
          <w:sz w:val="24"/>
          <w:szCs w:val="24"/>
        </w:rPr>
      </w:pPr>
    </w:p>
    <w:p w14:paraId="4827123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4</w:t>
      </w:r>
      <w:r w:rsidRPr="008D5552">
        <w:rPr>
          <w:rFonts w:ascii="Times New Roman" w:hAnsi="Times New Roman" w:cs="Times New Roman"/>
          <w:sz w:val="24"/>
          <w:szCs w:val="24"/>
        </w:rPr>
        <w:t>, at afgørelser i sager efter stk. 1 af kreditformidleren og af den person, som afgørelsen vedrører, kan forlanges indbragt for domstolene. Anmodning herom skal indgives til Finanstilsynet, inden 4 uger efter at afgørelsen er meddelt den pågældende. Anmodningen har ikke opsættende virkning for afgørelsen, men retten kan ved kendelse bestemme, at personen under sagens behandling kan indtræde i det hverv eller den stilling, som personen har søgt om godkendelse til. Finanstilsynet indbringer sagen for domstolene inden 4 uger efter modtagelse af anmodning herom. Sagen anlægges i den borgerlige retsplejes former.</w:t>
      </w:r>
    </w:p>
    <w:p w14:paraId="1DF3A85F" w14:textId="77777777" w:rsidR="00B969C9" w:rsidRPr="008D5552" w:rsidRDefault="00B969C9" w:rsidP="00B969C9">
      <w:pPr>
        <w:spacing w:line="360" w:lineRule="auto"/>
        <w:rPr>
          <w:rFonts w:ascii="Times New Roman" w:hAnsi="Times New Roman" w:cs="Times New Roman"/>
          <w:sz w:val="24"/>
          <w:szCs w:val="24"/>
        </w:rPr>
      </w:pPr>
    </w:p>
    <w:p w14:paraId="278F01C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foreslåede indebærer en ret for sagens parter til at anmodede Finanstilsynet om at indbringe et afslag på en egnetheds- og hæderlighedsgodkendelse for domstolene. Det foreslåede om, at anmodning ikke har opsættende virkning, skal sikre en løbende og effektiv håndhævelse af kravene om egnethed og hæderlighed.</w:t>
      </w:r>
    </w:p>
    <w:p w14:paraId="344505A4" w14:textId="77777777" w:rsidR="00B969C9" w:rsidRPr="008D5552" w:rsidRDefault="00B969C9" w:rsidP="00B969C9">
      <w:pPr>
        <w:spacing w:line="360" w:lineRule="auto"/>
        <w:rPr>
          <w:rFonts w:ascii="Times New Roman" w:hAnsi="Times New Roman" w:cs="Times New Roman"/>
          <w:sz w:val="24"/>
          <w:szCs w:val="24"/>
        </w:rPr>
      </w:pPr>
    </w:p>
    <w:p w14:paraId="56F63B3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5</w:t>
      </w:r>
      <w:r w:rsidRPr="008D5552">
        <w:rPr>
          <w:rFonts w:ascii="Times New Roman" w:hAnsi="Times New Roman" w:cs="Times New Roman"/>
          <w:sz w:val="24"/>
          <w:szCs w:val="24"/>
        </w:rPr>
        <w:t>, at Finanstilsynet af egen drift eller efter ansøgning kan tilbagekalde påbud meddelt efter stk. 1. Afslår Finanstilsynet en ansøgning om tilbagekaldelse, kan ansøgeren forlange afslaget indbragt for domstolene. Anmodning herom skal indgives til Finanstilsynet, inden fire uger efter at afslaget er meddelt den pågældende. Anmodning om domstolsprøvelse kan dog kun fremsættes, hvis der er forløbet mindst fem år fra datoen for udstedelsen af påbuddet eller mindst to år, efter at Finanstilsynet afslag på tilbagekaldelse er stadfæstet ved dom.</w:t>
      </w:r>
    </w:p>
    <w:p w14:paraId="3F49C61B" w14:textId="77777777" w:rsidR="00B969C9" w:rsidRPr="008D5552" w:rsidRDefault="00B969C9" w:rsidP="00B969C9">
      <w:pPr>
        <w:spacing w:line="360" w:lineRule="auto"/>
        <w:rPr>
          <w:rFonts w:ascii="Times New Roman" w:hAnsi="Times New Roman" w:cs="Times New Roman"/>
          <w:sz w:val="24"/>
          <w:szCs w:val="24"/>
        </w:rPr>
      </w:pPr>
    </w:p>
    <w:p w14:paraId="0C41C49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foreslåede bestemmelses indebærer, at en ansøger kan forlange et afslag fra Finanstilsynet på en ansøgning om tilbagekaldelse af et påbud meddelt efter stk. 1, indbragt for domstolene. I tilfælde hvor en person, som er blevet påbudt at nedlægge sin stilling eller hverv, ansøger om at få påbuddet tilbagekaldt, men hvor Finanstilsynet afslår denne ansøgning, indføres der som udgangspunkt samme mulighed for domstolsprøvelse som efter stk. 3. </w:t>
      </w:r>
    </w:p>
    <w:p w14:paraId="521F92F8" w14:textId="77777777" w:rsidR="00B969C9" w:rsidRPr="008D5552" w:rsidRDefault="00B969C9" w:rsidP="00B969C9">
      <w:pPr>
        <w:spacing w:line="360" w:lineRule="auto"/>
        <w:rPr>
          <w:rFonts w:ascii="Times New Roman" w:hAnsi="Times New Roman" w:cs="Times New Roman"/>
          <w:sz w:val="24"/>
          <w:szCs w:val="24"/>
        </w:rPr>
      </w:pPr>
    </w:p>
    <w:p w14:paraId="2056243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6, 1. pkt.,</w:t>
      </w:r>
      <w:r w:rsidRPr="008D5552">
        <w:rPr>
          <w:rFonts w:ascii="Times New Roman" w:hAnsi="Times New Roman" w:cs="Times New Roman"/>
          <w:sz w:val="24"/>
          <w:szCs w:val="24"/>
        </w:rPr>
        <w:t xml:space="preserve"> at hvis kreditformidleren, som påbuddet vedrører, ikke har afsat den pågældende person fra den øverste ledelse inden for den fastsatte frist, kan Finanstilsynet inddrage virksomhedens registrering efter § 18 a.</w:t>
      </w:r>
    </w:p>
    <w:p w14:paraId="23B71517" w14:textId="77777777" w:rsidR="00B969C9" w:rsidRPr="008D5552" w:rsidRDefault="00B969C9" w:rsidP="00B969C9">
      <w:pPr>
        <w:spacing w:line="360" w:lineRule="auto"/>
        <w:rPr>
          <w:rFonts w:ascii="Times New Roman" w:hAnsi="Times New Roman" w:cs="Times New Roman"/>
          <w:sz w:val="24"/>
          <w:szCs w:val="24"/>
        </w:rPr>
      </w:pPr>
    </w:p>
    <w:p w14:paraId="41B0CA0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Bestemmelsen har til formål at sikre, at Finanstilsynet har effektive sanktionsmuligheder, hvis en virksomhed eller de relevante personer ikke efterkommer et påbud om at afsætte en direktør eller et bestyrelsesmedlem inden for den fastsatte frist. </w:t>
      </w:r>
    </w:p>
    <w:p w14:paraId="3644457E" w14:textId="77777777" w:rsidR="00B969C9" w:rsidRPr="008D5552" w:rsidRDefault="00B969C9" w:rsidP="00B969C9">
      <w:pPr>
        <w:spacing w:line="360" w:lineRule="auto"/>
        <w:rPr>
          <w:rFonts w:ascii="Times New Roman" w:hAnsi="Times New Roman" w:cs="Times New Roman"/>
          <w:sz w:val="24"/>
          <w:szCs w:val="24"/>
        </w:rPr>
      </w:pPr>
    </w:p>
    <w:p w14:paraId="742AB46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skal understøtte, at påbud om afsættelse af ledelsesmedlemmer bliver fulgt, og at virksomhederne ikke kan undlade at efterkomme påbud uden konsekvenser. Inddragelse af registreringen er en væsentlig sanktion, der kan medføre, at virksomheden ikke længere kan udøve den pågældende aktivitet.</w:t>
      </w:r>
    </w:p>
    <w:p w14:paraId="2557FE7B" w14:textId="77777777" w:rsidR="00B969C9" w:rsidRPr="008D5552" w:rsidRDefault="00B969C9" w:rsidP="00B969C9">
      <w:pPr>
        <w:spacing w:line="360" w:lineRule="auto"/>
        <w:rPr>
          <w:rFonts w:ascii="Times New Roman" w:hAnsi="Times New Roman" w:cs="Times New Roman"/>
          <w:sz w:val="24"/>
          <w:szCs w:val="24"/>
        </w:rPr>
      </w:pPr>
    </w:p>
    <w:p w14:paraId="3BCA828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6, 2. pkt</w:t>
      </w:r>
      <w:r w:rsidRPr="008D5552">
        <w:rPr>
          <w:rFonts w:ascii="Times New Roman" w:hAnsi="Times New Roman" w:cs="Times New Roman"/>
          <w:sz w:val="24"/>
          <w:szCs w:val="24"/>
        </w:rPr>
        <w:t xml:space="preserve">., at Finanstilsynet endvidere kan inddrage virksomhedens registrering, jf. § 18 a, stk. 1, nr. 5, hvis et bestyrelsesmedlem ikke efterkommer et påbud meddelt i medfør af stk. 1. </w:t>
      </w:r>
    </w:p>
    <w:p w14:paraId="62FE910B" w14:textId="77777777" w:rsidR="00B969C9" w:rsidRPr="008D5552" w:rsidRDefault="00B969C9" w:rsidP="00B969C9">
      <w:pPr>
        <w:spacing w:line="360" w:lineRule="auto"/>
        <w:rPr>
          <w:rFonts w:ascii="Times New Roman" w:hAnsi="Times New Roman" w:cs="Times New Roman"/>
          <w:sz w:val="24"/>
          <w:szCs w:val="24"/>
        </w:rPr>
      </w:pPr>
    </w:p>
    <w:p w14:paraId="5B0F339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sikrer, at Finanstilsynet også har mulighed for at gribe ind over for manglende efterlevelse af påbud rettet mod bestyrelsesmedlemmer, og at virksomheden kan miste sin tilladelse eller registrering til at udøve registreringspåkrævede aktiviteter, hvis ledelsen ikke opfylder de lovbestemte krav.</w:t>
      </w:r>
    </w:p>
    <w:p w14:paraId="713A93C6" w14:textId="77777777" w:rsidR="00B969C9" w:rsidRPr="008D5552" w:rsidRDefault="00B969C9" w:rsidP="00B969C9">
      <w:pPr>
        <w:spacing w:line="360" w:lineRule="auto"/>
        <w:rPr>
          <w:rFonts w:ascii="Times New Roman" w:hAnsi="Times New Roman" w:cs="Times New Roman"/>
          <w:sz w:val="24"/>
          <w:szCs w:val="24"/>
        </w:rPr>
      </w:pPr>
    </w:p>
    <w:p w14:paraId="6F43F90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skal ses som en konsekvensregel, der understøtter de øvrige bestemmelser om egnethed og hæderlighed i ledelsen, og som sikrer, at Finanstilsynet kan håndhæve reglerne effektivt. Inddragelse af registrering vil ske efter en konkret vurdering og i overensstemmelse med gældende forvaltningsretlige principper.</w:t>
      </w:r>
    </w:p>
    <w:p w14:paraId="1DB67E1B" w14:textId="77777777" w:rsidR="00B969C9" w:rsidRPr="008D5552" w:rsidRDefault="00B969C9" w:rsidP="00B969C9">
      <w:pPr>
        <w:spacing w:line="360" w:lineRule="auto"/>
        <w:rPr>
          <w:rFonts w:ascii="Times New Roman" w:hAnsi="Times New Roman" w:cs="Times New Roman"/>
          <w:sz w:val="24"/>
          <w:szCs w:val="24"/>
        </w:rPr>
      </w:pPr>
    </w:p>
    <w:p w14:paraId="7D109A9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7</w:t>
      </w:r>
      <w:r w:rsidRPr="008D5552">
        <w:rPr>
          <w:rFonts w:ascii="Times New Roman" w:hAnsi="Times New Roman" w:cs="Times New Roman"/>
          <w:sz w:val="24"/>
          <w:szCs w:val="24"/>
        </w:rPr>
        <w:t>, at stk. 1-6 finder tilsvarende anvendelse på den eller de for virksomheden ledelsesansvarlige, når en kreditformidler drives som en juridisk person uden bestyrelse eller direktion.</w:t>
      </w:r>
    </w:p>
    <w:p w14:paraId="01066E78" w14:textId="77777777" w:rsidR="00B969C9" w:rsidRPr="008D5552" w:rsidRDefault="00B969C9" w:rsidP="00B969C9">
      <w:pPr>
        <w:spacing w:line="360" w:lineRule="auto"/>
        <w:rPr>
          <w:rFonts w:ascii="Times New Roman" w:hAnsi="Times New Roman" w:cs="Times New Roman"/>
          <w:sz w:val="24"/>
          <w:szCs w:val="24"/>
        </w:rPr>
      </w:pPr>
    </w:p>
    <w:p w14:paraId="6EC8914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foreslåede bestemmelse indebærer, at der for anvendelsen af stk. 1-6 ikke stilles krav om en specifik selskabsform. I de tilfælde hvor en virksomhed drives som en juridisk person uden en bestyrelse eller en direktion, får Finanstilsynet således samme muligheder for at kunne gribe ind over de ledelsesansvarlige i virksomheden. </w:t>
      </w:r>
    </w:p>
    <w:p w14:paraId="1F7A975B" w14:textId="77777777" w:rsidR="00B969C9" w:rsidRPr="008D5552" w:rsidRDefault="00B969C9" w:rsidP="00B969C9">
      <w:pPr>
        <w:spacing w:line="360" w:lineRule="auto"/>
        <w:rPr>
          <w:rFonts w:ascii="Times New Roman" w:hAnsi="Times New Roman" w:cs="Times New Roman"/>
          <w:sz w:val="24"/>
          <w:szCs w:val="24"/>
        </w:rPr>
      </w:pPr>
    </w:p>
    <w:p w14:paraId="3D0D4A6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følger af lovforslagets nr. 146, nr. 5, hvori det foreslås at indsætte § 4 a i lov om forbrugslånsvirksomheder og registrering af kreditformidlere, at kravene om egnethed og hæderlighed skal være opfyldt af medlemmer af ledelsen, indehaveren af en kreditformidler, der er en enkeltmandsvirksomhed, eller af den eller de ledelsesansvarlige, når kreditformidleren drives som en juridisk person uden en bestyrelse eller direktion.</w:t>
      </w:r>
    </w:p>
    <w:p w14:paraId="41EC7B81" w14:textId="77777777" w:rsidR="00B969C9" w:rsidRPr="008D5552" w:rsidRDefault="00B969C9" w:rsidP="00B969C9">
      <w:pPr>
        <w:spacing w:line="360" w:lineRule="auto"/>
        <w:rPr>
          <w:rFonts w:ascii="Times New Roman" w:hAnsi="Times New Roman" w:cs="Times New Roman"/>
          <w:sz w:val="24"/>
          <w:szCs w:val="24"/>
        </w:rPr>
      </w:pPr>
    </w:p>
    <w:p w14:paraId="284AEA2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Hvor den ledelsesansvarlige i en kreditformidler, der drives som en juridisk person uden bestyrelse og direktion, ikke længere opfylder kravene til egnethed og hæderlighed, kan Finanstilsynet påbyde virksomheden at afsætte den ledelsesansvarlige.</w:t>
      </w:r>
    </w:p>
    <w:p w14:paraId="5D053E98" w14:textId="77777777" w:rsidR="00B969C9" w:rsidRPr="008D5552" w:rsidRDefault="00B969C9" w:rsidP="00B969C9">
      <w:pPr>
        <w:spacing w:line="360" w:lineRule="auto"/>
        <w:rPr>
          <w:rFonts w:ascii="Times New Roman" w:hAnsi="Times New Roman" w:cs="Times New Roman"/>
          <w:sz w:val="24"/>
          <w:szCs w:val="24"/>
        </w:rPr>
      </w:pPr>
    </w:p>
    <w:p w14:paraId="2D3F2D0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er indehaveren af kreditformidleren, som skal opfylde kravene om egnethed og hæderlighed. Da der er sammenfald imellem identiteten af virksomheden, der er en enkeltmandsvirksomhed, og dennes indehaver, kan indehaveren ikke afsættes eller pålægges at nedlægge sit hverv, når vedkommende ikke opfylder kravene i § 4 a. </w:t>
      </w:r>
    </w:p>
    <w:p w14:paraId="6BB031C6" w14:textId="77777777" w:rsidR="00B969C9" w:rsidRPr="008D5552" w:rsidRDefault="00B969C9" w:rsidP="00B969C9">
      <w:pPr>
        <w:spacing w:line="360" w:lineRule="auto"/>
        <w:rPr>
          <w:rFonts w:ascii="Times New Roman" w:hAnsi="Times New Roman" w:cs="Times New Roman"/>
          <w:sz w:val="24"/>
          <w:szCs w:val="24"/>
        </w:rPr>
      </w:pPr>
    </w:p>
    <w:p w14:paraId="617261E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Opfylder indehaveren af en virksomhed, der er en enkeltmandsvirksomhed, ikke længere kravene til egnethed og hæderlighed i § 4 a, kan Finanstilsynet inddrage virksomhedens registrering efter 18 a, stk. 1, nr. 5, jf. lovforslagets 146, nr. 14.</w:t>
      </w:r>
    </w:p>
    <w:p w14:paraId="7C22C730" w14:textId="77777777" w:rsidR="00B969C9" w:rsidRPr="008D5552" w:rsidRDefault="00B969C9" w:rsidP="00B969C9">
      <w:pPr>
        <w:spacing w:line="360" w:lineRule="auto"/>
        <w:rPr>
          <w:rFonts w:ascii="Times New Roman" w:hAnsi="Times New Roman" w:cs="Times New Roman"/>
          <w:sz w:val="24"/>
          <w:szCs w:val="24"/>
        </w:rPr>
      </w:pPr>
    </w:p>
    <w:p w14:paraId="5D40685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Der henvises i øvrigt til pkt. 3.57 i lovforslagets almindelige bemærkninger.</w:t>
      </w:r>
    </w:p>
    <w:p w14:paraId="0AEF744D" w14:textId="77777777" w:rsidR="00B969C9" w:rsidRPr="008D5552" w:rsidRDefault="00B969C9" w:rsidP="00B969C9">
      <w:pPr>
        <w:spacing w:line="360" w:lineRule="auto"/>
        <w:rPr>
          <w:rFonts w:ascii="Times New Roman" w:hAnsi="Times New Roman" w:cs="Times New Roman"/>
          <w:sz w:val="24"/>
          <w:szCs w:val="24"/>
        </w:rPr>
      </w:pPr>
    </w:p>
    <w:p w14:paraId="1F4D6546" w14:textId="77777777"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 17 b i lov om forbrugslånsvirksomheder og registrering af kreditformidlere)</w:t>
      </w:r>
    </w:p>
    <w:p w14:paraId="7732E3D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fremgår af § 4, stk. 1, i lov om forbrugslånsvirksomheder og registrering af kreditformidlere, at medlemmer bestyrelsen eller direktionen i en forbrugslånsvirksomhed eller indehaveren af en forbrugslånsvirksomhed, der er en enkeltmandsvirksomhed skal opfylde en række egnetheds- og hæderlighedskrav. </w:t>
      </w:r>
    </w:p>
    <w:p w14:paraId="765C0F96" w14:textId="77777777" w:rsidR="00B969C9" w:rsidRPr="008D5552" w:rsidRDefault="00B969C9" w:rsidP="00B969C9">
      <w:pPr>
        <w:spacing w:line="360" w:lineRule="auto"/>
        <w:rPr>
          <w:rFonts w:ascii="Times New Roman" w:hAnsi="Times New Roman" w:cs="Times New Roman"/>
          <w:sz w:val="24"/>
          <w:szCs w:val="24"/>
        </w:rPr>
      </w:pPr>
    </w:p>
    <w:p w14:paraId="44CEF53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 bestemmelsen skal de pågældende personer have tilstrækkelig viden, faglig kompetence og erfaring til at kunne varetage hvervet eller stillingen, jf. nr. 1, have et tilstrækkeligt godt omdømme og kunne udvise hæderlighed, integritet og tilstrækkelig uafhængighed ved varetagelsen af hvervet eller stillingen, jf. nr. 2. De må desuden ikke være pålagt strafansvar for overtrædelse af straffeloven, den finansielle lovgivning eller anden relevant lovgivning, hvis overtrædelsen indebærer risiko for, at vedkommende ikke kan varetage sit hverv eller sin stilling på betryggende måde, jf. nr. 3. Endvidere må de ikke have indgivet begæring om eller være under rekonstruktionsbehandling, konkurs eller gældssanering, jf. nr. 4, ligesom de ikke må have udvist en sådan adfærd, at der er grund til at antage, at de ikke vil varetage hvervet eller stillingen på forsvarlig måde, jf. nr. 5.</w:t>
      </w:r>
    </w:p>
    <w:p w14:paraId="52A10A7A" w14:textId="77777777" w:rsidR="00B969C9" w:rsidRPr="008D5552" w:rsidRDefault="00B969C9" w:rsidP="00B969C9">
      <w:pPr>
        <w:spacing w:line="360" w:lineRule="auto"/>
        <w:rPr>
          <w:rFonts w:ascii="Times New Roman" w:hAnsi="Times New Roman" w:cs="Times New Roman"/>
          <w:sz w:val="24"/>
          <w:szCs w:val="24"/>
        </w:rPr>
      </w:pPr>
    </w:p>
    <w:p w14:paraId="071BD49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endvidere af lovens § 4, stk. 2, at Finanstilsynet ved en persons tiltræden som bestyrelsesmedlem eller direktør i en forbrugslånsvirksomhed eller indehaveren af en forbrugslånsvirksomhed, der er en enkeltmandsvirksomhed skal påse, om personen opfylder egnetheds- og hæderlighedskravene i § 4, stk. 1. Finanstilsynet træffer afgørelse om, hvorvidt personen kan bestride hvervet eller stillingen i den pågældende virksomhed. Det samme gælder for indehaveren af en forbrugslånsvirksomhed, der drives som enkeltmandsvirksomhed.</w:t>
      </w:r>
    </w:p>
    <w:p w14:paraId="51B6AE3E" w14:textId="77777777" w:rsidR="00B969C9" w:rsidRPr="008D5552" w:rsidRDefault="00B969C9" w:rsidP="00B969C9">
      <w:pPr>
        <w:spacing w:line="360" w:lineRule="auto"/>
        <w:rPr>
          <w:rFonts w:ascii="Times New Roman" w:hAnsi="Times New Roman" w:cs="Times New Roman"/>
          <w:sz w:val="24"/>
          <w:szCs w:val="24"/>
        </w:rPr>
      </w:pPr>
    </w:p>
    <w:p w14:paraId="68476C1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desuden af lovens § 15, stk. 3, at Finanstilsynet kan påbyde fysiske og juridiske personer, som er omfattet af loven at foretage de nødvendige foranstaltninger inden for en af Finanstilsynet fastsat frist, hvis der sker overtrædelse af bestemmelser i loven eller regler udstedt i medfør heraf.</w:t>
      </w:r>
    </w:p>
    <w:p w14:paraId="170BB4CF" w14:textId="77777777" w:rsidR="00B969C9" w:rsidRPr="008D5552" w:rsidRDefault="00B969C9" w:rsidP="00B969C9">
      <w:pPr>
        <w:spacing w:line="360" w:lineRule="auto"/>
        <w:rPr>
          <w:rFonts w:ascii="Times New Roman" w:hAnsi="Times New Roman" w:cs="Times New Roman"/>
          <w:sz w:val="24"/>
          <w:szCs w:val="24"/>
        </w:rPr>
      </w:pPr>
    </w:p>
    <w:p w14:paraId="372430F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fremgår herudover af lovens § 17, stk. 1, at Finanstilsynet kan påbyde et medlem af bestyrelsen i en forbrugslånsvirksomhed at nedlægge sit hverv inden for en frist fastsat af Finanstilsynet, hvis bestyrelsesmedlemmet efter § 4, stk. 1, nr. 2-5, ikke kan varetage hvervet. Varigheden af påbuddet skal efter § 17, stk. 2, fremgå af påbuddet.</w:t>
      </w:r>
    </w:p>
    <w:p w14:paraId="0277E77A" w14:textId="77777777" w:rsidR="00B969C9" w:rsidRPr="008D5552" w:rsidRDefault="00B969C9" w:rsidP="00B969C9">
      <w:pPr>
        <w:spacing w:line="360" w:lineRule="auto"/>
        <w:rPr>
          <w:rFonts w:ascii="Times New Roman" w:hAnsi="Times New Roman" w:cs="Times New Roman"/>
          <w:sz w:val="24"/>
          <w:szCs w:val="24"/>
        </w:rPr>
      </w:pPr>
    </w:p>
    <w:p w14:paraId="4CF7E21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Efter § 17, stk. 3, Finanstilsynet kan desuden af påbyde et medlem af bestyrelsen i en forbrugslånsvirksomhed at nedlægge sit hverv, når der er rejst tiltale mod bestyrelsesmedlemmet i en straffesag om overtrædelse af straffeloven, den finansielle lovgivning eller anden relevant lovgivning, indtil straffesagen er afgjort, hvis domfældelse vil indebære, at bestyrelsesmedlemmet ikke opfylder kravene i § 4, stk. 1, nr. 3. Finanstilsynet fastsætter en frist for efterlevelse af påbuddet.</w:t>
      </w:r>
    </w:p>
    <w:p w14:paraId="5CA8D9EE" w14:textId="77777777" w:rsidR="00B969C9" w:rsidRPr="008D5552" w:rsidRDefault="00B969C9" w:rsidP="00B969C9">
      <w:pPr>
        <w:spacing w:line="360" w:lineRule="auto"/>
        <w:rPr>
          <w:rFonts w:ascii="Times New Roman" w:hAnsi="Times New Roman" w:cs="Times New Roman"/>
          <w:sz w:val="24"/>
          <w:szCs w:val="24"/>
        </w:rPr>
      </w:pPr>
    </w:p>
    <w:p w14:paraId="54BD66F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Lov om i lov om forbrugslånsvirksomheder og registrering af kreditformidlere indeholder i dag ikke en mulighed for Finanstilsynet til at påbyde fysiske personer, der direkte eller indirekte ejer eller kontrollerer minimum 25 pct. af kapitalandelen, ejerandelen, stemmerettighederne eller andre ejerskabsbeføjelser af en kreditformidler at ophøre med at udøve kontrol, herunder afhænde sine ejerandele helt eller delvist. </w:t>
      </w:r>
    </w:p>
    <w:p w14:paraId="0122D91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at indsættes et nyt </w:t>
      </w:r>
      <w:r w:rsidRPr="008D5552">
        <w:rPr>
          <w:rFonts w:ascii="Times New Roman" w:hAnsi="Times New Roman" w:cs="Times New Roman"/>
          <w:i/>
          <w:sz w:val="24"/>
          <w:szCs w:val="24"/>
        </w:rPr>
        <w:t>§ 17 b</w:t>
      </w:r>
      <w:r w:rsidRPr="008D5552">
        <w:rPr>
          <w:rFonts w:ascii="Times New Roman" w:hAnsi="Times New Roman" w:cs="Times New Roman"/>
          <w:sz w:val="24"/>
          <w:szCs w:val="24"/>
        </w:rPr>
        <w:t>, hvorefter Finanstilsynet kan gribe ind over for fysiske personer, der udøver væsentlig indflydelse eller kontrol over en kreditformidler, såfremt den pågældende ikke opfylder hæderlighedskravet, jf. det foreslåede § 4 a, stk. 1.</w:t>
      </w:r>
    </w:p>
    <w:p w14:paraId="30EFCB6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 </w:t>
      </w:r>
    </w:p>
    <w:p w14:paraId="7A5C270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Bestemmelsen er ny og implementerer artikel 6, stk. 5, samt artikel 56, stk. 2, litra g, og stk. 4, i 6. hvidvaskdirektiv. </w:t>
      </w:r>
    </w:p>
    <w:p w14:paraId="3C515A38" w14:textId="77777777" w:rsidR="00B969C9" w:rsidRPr="008D5552" w:rsidRDefault="00B969C9" w:rsidP="00B969C9">
      <w:pPr>
        <w:spacing w:line="360" w:lineRule="auto"/>
        <w:rPr>
          <w:rFonts w:ascii="Times New Roman" w:hAnsi="Times New Roman" w:cs="Times New Roman"/>
          <w:sz w:val="24"/>
          <w:szCs w:val="24"/>
        </w:rPr>
      </w:pPr>
    </w:p>
    <w:p w14:paraId="17FEFA8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1</w:t>
      </w:r>
      <w:r w:rsidRPr="008D5552">
        <w:rPr>
          <w:rFonts w:ascii="Times New Roman" w:hAnsi="Times New Roman" w:cs="Times New Roman"/>
          <w:sz w:val="24"/>
          <w:szCs w:val="24"/>
        </w:rPr>
        <w:t xml:space="preserve">, </w:t>
      </w:r>
      <w:r w:rsidRPr="008D5552">
        <w:rPr>
          <w:rFonts w:ascii="Times New Roman" w:hAnsi="Times New Roman" w:cs="Times New Roman"/>
          <w:i/>
          <w:sz w:val="24"/>
          <w:szCs w:val="24"/>
        </w:rPr>
        <w:t xml:space="preserve">1. pkt. at </w:t>
      </w:r>
      <w:r w:rsidRPr="008D5552">
        <w:rPr>
          <w:rFonts w:ascii="Times New Roman" w:hAnsi="Times New Roman" w:cs="Times New Roman"/>
          <w:sz w:val="24"/>
          <w:szCs w:val="24"/>
        </w:rPr>
        <w:t>Finanstilsynet kan påbyde en fysisk person, der direkte eller indirekte ejer eller kontrollerer minimum 25 pct. af kapitalandelen, ejerandelen, stemmerettighederne eller andre ejerskabsbeføjelser af en kreditformidler som nævnt i § 2, nr. 3, at ophøre med at udøve kontrol, herunder afhænde sine ejerandele helt eller delvist inden for en af Finanstilsynet fastsat frist, såfremt den pågældende ikke opfylder betingelserne i § 4 a, stk. 1.</w:t>
      </w:r>
    </w:p>
    <w:p w14:paraId="2BDDBAE7" w14:textId="77777777" w:rsidR="00B969C9" w:rsidRPr="008D5552" w:rsidRDefault="00B969C9" w:rsidP="00B969C9">
      <w:pPr>
        <w:spacing w:line="360" w:lineRule="auto"/>
        <w:rPr>
          <w:rFonts w:ascii="Times New Roman" w:hAnsi="Times New Roman" w:cs="Times New Roman"/>
          <w:sz w:val="24"/>
          <w:szCs w:val="24"/>
        </w:rPr>
      </w:pPr>
    </w:p>
    <w:p w14:paraId="7457E9A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vil sikre, at fysiske personer, der udøver væsentlig indflydelse eller kontrol over en kreditformidler, opfylder kravene til hæderlighed i det foreslåede § 4 a, stk. 1. Bestemmelse vil således understøtte Finanstilsynets mulighed for at gribe ind over for ejere eller kontrollerende personer, der ikke længere anses for hæderlige til at udøve væsentlig indflydelse på en kreditformidler.</w:t>
      </w:r>
    </w:p>
    <w:p w14:paraId="6BACE07F" w14:textId="77777777" w:rsidR="00B969C9" w:rsidRPr="008D5552" w:rsidRDefault="00B969C9" w:rsidP="00B969C9">
      <w:pPr>
        <w:spacing w:line="360" w:lineRule="auto"/>
        <w:rPr>
          <w:rFonts w:ascii="Times New Roman" w:hAnsi="Times New Roman" w:cs="Times New Roman"/>
          <w:sz w:val="24"/>
          <w:szCs w:val="24"/>
        </w:rPr>
      </w:pPr>
    </w:p>
    <w:p w14:paraId="622D672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foreslåede bestemmelse vil omfatte omfatter fysiske personer, der direkte eller indirekte ejer eller kontrollerer minimum 25 pct. af kapitalandelen, ejerandelen, stemmerettighederne eller andre ejerskabsbeføjelser i en kreditformidler som nævnt i § 2, nr. 3. </w:t>
      </w:r>
    </w:p>
    <w:p w14:paraId="02DAA56D" w14:textId="77777777" w:rsidR="00B969C9" w:rsidRPr="008D5552" w:rsidRDefault="00B969C9" w:rsidP="00B969C9">
      <w:pPr>
        <w:spacing w:line="360" w:lineRule="auto"/>
        <w:rPr>
          <w:rFonts w:ascii="Times New Roman" w:hAnsi="Times New Roman" w:cs="Times New Roman"/>
          <w:sz w:val="24"/>
          <w:szCs w:val="24"/>
        </w:rPr>
      </w:pPr>
    </w:p>
    <w:p w14:paraId="1908F5C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reel ejer skal forstås i overensstemmelse med definitionen i hvidvaskforordningen artikel 2, stk. 1, nr. 28, hvorefter en reel ejer er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hvidvaskforordningens kapitel 4.</w:t>
      </w:r>
    </w:p>
    <w:p w14:paraId="07CAA3F4" w14:textId="77777777" w:rsidR="00B969C9" w:rsidRPr="008D5552" w:rsidRDefault="00B969C9" w:rsidP="00B969C9">
      <w:pPr>
        <w:spacing w:line="360" w:lineRule="auto"/>
        <w:rPr>
          <w:rFonts w:ascii="Times New Roman" w:hAnsi="Times New Roman" w:cs="Times New Roman"/>
          <w:b/>
          <w:bCs/>
          <w:sz w:val="24"/>
          <w:szCs w:val="24"/>
        </w:rPr>
      </w:pPr>
    </w:p>
    <w:p w14:paraId="0400700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Ved at ophøre med at udøve kontrol forstås, at den pågældende fysiske eller juridiske person ikke længere direkte eller indirekte har mulighed for at udøve bestemmende indflydelse over virksomheden. Med det foreslåede krav om ophør af kontrol, skal personen nedbringe sin ejerandel eller sine stemmerettigheder til under en nærmere angivet grænse, hvis det er nødvendigt for at sikre, at virksomheden ikke kontrolleres af personer, der ikke opfylder kravene til hæderlighed efter det foreslåede § 4 a, stk. 1. </w:t>
      </w:r>
    </w:p>
    <w:p w14:paraId="1FD692B6" w14:textId="77777777" w:rsidR="00B969C9" w:rsidRPr="008D5552" w:rsidRDefault="00B969C9" w:rsidP="00B969C9">
      <w:pPr>
        <w:spacing w:line="360" w:lineRule="auto"/>
        <w:rPr>
          <w:rFonts w:ascii="Times New Roman" w:hAnsi="Times New Roman" w:cs="Times New Roman"/>
          <w:sz w:val="24"/>
          <w:szCs w:val="24"/>
        </w:rPr>
      </w:pPr>
    </w:p>
    <w:p w14:paraId="05C7259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Et påbud om at ophøre med at udøve kontrol indebærer således, at den pågældende skal nedbringe sin direkte eller indirekte ejerandel til et niveau, hvor ejerandelen ikke længere giver mulighed for at udøve bestemmende indflydelse over virksomheden. Finanstilsynet vil i den forbindelse ikke alene kunne lægge vægt på den formelle ejerandel, men også på den faktiske indflydelse, som ejeren direkte eller indirekte kan udøve over virksomheden. Vurderingen kan blandt andet omfatte tilfælde, hvor en person eller juridisk enhed gennem direkte eller indirekte ejerskab, stemmerettigheder, aftaler, vedtægtsbestemmelser, koncernforhold eller andre former for indflydelse har mulighed for at påvirke virksomhedens ledelse, drift eller væsentlige beslutninger.</w:t>
      </w:r>
    </w:p>
    <w:p w14:paraId="43FAB52D" w14:textId="77777777" w:rsidR="00B969C9" w:rsidRPr="008D5552" w:rsidRDefault="00B969C9" w:rsidP="00B969C9">
      <w:pPr>
        <w:spacing w:line="360" w:lineRule="auto"/>
        <w:rPr>
          <w:rFonts w:ascii="Times New Roman" w:hAnsi="Times New Roman" w:cs="Times New Roman"/>
          <w:sz w:val="24"/>
          <w:szCs w:val="24"/>
        </w:rPr>
      </w:pPr>
    </w:p>
    <w:p w14:paraId="0405619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Hvis personens ejerskab beror på en selskabsretlig holdingstruktur med flere selskaber eller lignende, er det ikke et krav, at nedbringelsen af ejerskabet sker i det selskab, som direkte ejer kreditformidleren. Det afgørende er, at personens samlede direkte eller indirekte ejerskab eller øvrige kontrolmulighed bringes ned til et niveau, hvor personen ikke længere kan udøve bestemmende indflydelse over virksomheden.</w:t>
      </w:r>
    </w:p>
    <w:p w14:paraId="5D7D49A0" w14:textId="77777777" w:rsidR="00B969C9" w:rsidRPr="008D5552" w:rsidRDefault="00B969C9" w:rsidP="00B969C9">
      <w:pPr>
        <w:spacing w:line="360" w:lineRule="auto"/>
        <w:rPr>
          <w:rFonts w:ascii="Times New Roman" w:hAnsi="Times New Roman" w:cs="Times New Roman"/>
          <w:sz w:val="24"/>
          <w:szCs w:val="24"/>
        </w:rPr>
      </w:pPr>
    </w:p>
    <w:p w14:paraId="2A7E575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Et påbud om at ophøre med at udøve kontrol kan eksempelvis indebære, at en person, der ejer 25 pct. af en kreditformidler, skal nedbringe sin ejerandel til 15 pct., hvis dette er nødvendigt for, at personen ikke længere har reelt ejerskab over kreditformidleren og derigennem udøve betydelig eller bestemmende indflydelse over virksomheden. Det afgørende vil dog altid være, om den pågældende efter nedbringelsen fortsat har mulighed for at udøve kontrol, herunder gennem stemmerettigheder, aftaler, koncernforhold eller andre arrangementer.</w:t>
      </w:r>
    </w:p>
    <w:p w14:paraId="4BE8903F" w14:textId="77777777" w:rsidR="00B969C9" w:rsidRPr="008D5552" w:rsidRDefault="00B969C9" w:rsidP="00B969C9">
      <w:pPr>
        <w:spacing w:line="360" w:lineRule="auto"/>
        <w:rPr>
          <w:rFonts w:ascii="Times New Roman" w:hAnsi="Times New Roman" w:cs="Times New Roman"/>
          <w:sz w:val="24"/>
          <w:szCs w:val="24"/>
        </w:rPr>
      </w:pPr>
    </w:p>
    <w:p w14:paraId="33F2A83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Ved at afhænde ejerandele forstås, at den pågældende person skal overdrage, sælge eller på anden måde afgive ejerskabet til sine ejerandele, så personen ikke længere opfylder kriterierne for at have indflydelse over virksomheden i form af ejerskab eller kontrol. Afhændelsen skal ske på en måde, der reelt og varigt bringer ejerskabet eller kontrollen til ophør, og således at den pågældende ikke længere har bestemmende indflydelse, direkte eller indirekte, over virksomheden. Det kan eksempelvis ske ved salg af aktier eller anparter, overdragelse af ejerandele til tredjemand, eller ved at indgå aftaler, der bringer stemmeret eller kontrol til ophør. Det er afgørende, at afhændelsen er reel og ikke blot formel, og at den pågældende ikke bevarer nogen form for bestemmende indflydelse over virksomheden.</w:t>
      </w:r>
    </w:p>
    <w:p w14:paraId="7F2C0BF6" w14:textId="77777777" w:rsidR="00B969C9" w:rsidRPr="008D5552" w:rsidRDefault="00B969C9" w:rsidP="00B969C9">
      <w:pPr>
        <w:spacing w:line="360" w:lineRule="auto"/>
        <w:rPr>
          <w:rFonts w:ascii="Times New Roman" w:hAnsi="Times New Roman" w:cs="Times New Roman"/>
          <w:sz w:val="24"/>
          <w:szCs w:val="24"/>
        </w:rPr>
      </w:pPr>
    </w:p>
    <w:p w14:paraId="57D3CF3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omfatter også personer, der udøver kontrol på anden vis, eksempelvis gennem aftaler, stemmeaftaler eller andre arrangementer, der reelt giver kontrol over virksomheden, uanset om dette sker via ejerandele eller ej.</w:t>
      </w:r>
    </w:p>
    <w:p w14:paraId="73C1F5CE" w14:textId="77777777" w:rsidR="00B969C9" w:rsidRPr="008D5552" w:rsidRDefault="00B969C9" w:rsidP="00B969C9">
      <w:pPr>
        <w:spacing w:line="360" w:lineRule="auto"/>
        <w:rPr>
          <w:rFonts w:ascii="Times New Roman" w:hAnsi="Times New Roman" w:cs="Times New Roman"/>
          <w:b/>
          <w:bCs/>
          <w:sz w:val="24"/>
          <w:szCs w:val="24"/>
        </w:rPr>
      </w:pPr>
    </w:p>
    <w:p w14:paraId="72FFC4D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kan udstede påbud om, at den pågældende person skal afhænde sine ejerandele eller ophøre med at udøve kontrol inden for en frist fastsat af Finanstilsynet. Påbuddet meddeles, såfremt den pågældende ikke opfylder betingelserne § 4 a, stk. 1.</w:t>
      </w:r>
    </w:p>
    <w:p w14:paraId="592F4040" w14:textId="77777777" w:rsidR="00B969C9" w:rsidRPr="008D5552" w:rsidRDefault="00B969C9" w:rsidP="00B969C9">
      <w:pPr>
        <w:spacing w:line="360" w:lineRule="auto"/>
        <w:rPr>
          <w:rFonts w:ascii="Times New Roman" w:hAnsi="Times New Roman" w:cs="Times New Roman"/>
          <w:sz w:val="24"/>
          <w:szCs w:val="24"/>
        </w:rPr>
      </w:pPr>
    </w:p>
    <w:p w14:paraId="04C0B07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Ved vurderingen af, om der skal meddeles påbud om afhændelse af ejerandele eller ophør af kontrol, herunder ved nedbringelse af ejerandele eller stemmerettigheder, skal Finanstilsynet foretage en konkret og individuel vurdering af de faktiske forhold i den enkelte sag. Der skal lægges vægt på proportionalitet og rimelighed, så indgrebet ikke går videre end nødvendigt for at opfylde formålet med bestemmelsen.</w:t>
      </w:r>
    </w:p>
    <w:p w14:paraId="6F3F920F" w14:textId="77777777" w:rsidR="00B969C9" w:rsidRPr="008D5552" w:rsidRDefault="00B969C9" w:rsidP="00B969C9">
      <w:pPr>
        <w:spacing w:line="360" w:lineRule="auto"/>
        <w:rPr>
          <w:rFonts w:ascii="Times New Roman" w:hAnsi="Times New Roman" w:cs="Times New Roman"/>
          <w:sz w:val="24"/>
          <w:szCs w:val="24"/>
        </w:rPr>
      </w:pPr>
    </w:p>
    <w:p w14:paraId="74D343C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Der kan blandt andet lægges vægt på omfanget af den pågældende persons ejerandel og faktiske indflydelse på virksomheden, karakteren og alvoren af de forhold, der begrunder, at kravene til hæderlighed ikke er opfyldt, muligheden for at opnå det ønskede resultat ved mindre indgribende foranstaltninger, konsekvenserne for virksomheden, øvrige ejere og eventuelle tredjemænd, om der er tale om enkeltstående eller gentagne forhold, samt om virksomheden og den pågældende ejer har udvist samarbejdsvilje og forsøgt at rette op på forholdene.</w:t>
      </w:r>
    </w:p>
    <w:p w14:paraId="67DD2780" w14:textId="77777777" w:rsidR="00B969C9" w:rsidRPr="008D5552" w:rsidRDefault="00B969C9" w:rsidP="00B969C9">
      <w:pPr>
        <w:spacing w:line="360" w:lineRule="auto"/>
        <w:rPr>
          <w:rFonts w:ascii="Times New Roman" w:hAnsi="Times New Roman" w:cs="Times New Roman"/>
          <w:sz w:val="24"/>
          <w:szCs w:val="24"/>
        </w:rPr>
      </w:pPr>
    </w:p>
    <w:p w14:paraId="2A41487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Påbuddet skal være begrundet og indeholde en nærmere angivelse af, hvad der kræves for, at den pågældende ikke længere anses for at udøve kontrol. Hvis påbuddet indebærer, at ejerandelen skal nedbringes, skal påbuddet angive, til hvilken grænse ejerandelen skal nedbringes. Ejerandelen vil som udgangspunkt skulle bringes ned under grænsen for reelt ejerskab, som udgør minimum 25 pct. af kapitalandelen, medmindre en lavere grænse efter en konkret vurdering er nødvendig for at sikre, at den pågældende ikke fortsat har mulighed for at udøve direkte eller indirekte bestemmende indflydelse over virksomheden.</w:t>
      </w:r>
    </w:p>
    <w:p w14:paraId="2585FDCF" w14:textId="77777777" w:rsidR="00B969C9" w:rsidRPr="008D5552" w:rsidRDefault="00B969C9" w:rsidP="00B969C9">
      <w:pPr>
        <w:spacing w:line="360" w:lineRule="auto"/>
        <w:rPr>
          <w:rFonts w:ascii="Times New Roman" w:hAnsi="Times New Roman" w:cs="Times New Roman"/>
          <w:sz w:val="24"/>
          <w:szCs w:val="24"/>
        </w:rPr>
      </w:pPr>
    </w:p>
    <w:p w14:paraId="2066BC5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Fristen for at efterkomme påbuddet skal fastsættes under hensyntagen til de konkrete omstændigheder i den enkelte sag. Fristen skal være passende og proportional, men samtidig sikre, at den pågældende ejer ikke i længere tid end nødvendigt bevarer en indflydelse på virksomheden, som vurderes uforenelig med kravene til kontrol, egnethed og hæderlighed.</w:t>
      </w:r>
    </w:p>
    <w:p w14:paraId="20548D7B" w14:textId="77777777" w:rsidR="00B969C9" w:rsidRPr="008D5552" w:rsidRDefault="00B969C9" w:rsidP="00B969C9">
      <w:pPr>
        <w:spacing w:line="360" w:lineRule="auto"/>
        <w:rPr>
          <w:rFonts w:ascii="Times New Roman" w:hAnsi="Times New Roman" w:cs="Times New Roman"/>
          <w:sz w:val="24"/>
          <w:szCs w:val="24"/>
        </w:rPr>
      </w:pPr>
    </w:p>
    <w:p w14:paraId="66C477C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Ved fastsættelsen af fristen kan Finanstilsynet blandt andet lægge vægt på ejerandelens størrelse, virksomhedens forhold, ejer- og koncernstruktur, markedssituationen og de praktiske muligheder for at gennemføre afhændelsen eller på anden måde bringe kontrollen til ophør.</w:t>
      </w:r>
    </w:p>
    <w:p w14:paraId="1A34142B" w14:textId="77777777" w:rsidR="00B969C9" w:rsidRPr="008D5552" w:rsidRDefault="00B969C9" w:rsidP="00B969C9">
      <w:pPr>
        <w:spacing w:line="360" w:lineRule="auto"/>
        <w:rPr>
          <w:rFonts w:ascii="Times New Roman" w:hAnsi="Times New Roman" w:cs="Times New Roman"/>
          <w:sz w:val="24"/>
          <w:szCs w:val="24"/>
        </w:rPr>
      </w:pPr>
    </w:p>
    <w:p w14:paraId="5AF6674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foreslåede § 4 a, indebærer, at medlemmer af den øverste eller daglige ledelse, herunder bestyrelsen eller direktionen, i en kreditformidler som nævnt i § 2, nr. 3, skal opfylde krav om hæderlighed i relation til strafbare forhold. Bestemmelsen omfatter tillige indehaveren, hvis virksomheden drives som enkeltmandsvirksomhed, samt den eller de ledelsesansvarlige, hvis virksomheden drives som juridisk person uden øverste eller daglige ledelse. De pågældende personer må ikke være pålagt strafansvar for overtrædelse af straffeloven, den finansielle lovgivning eller anden relevant lovgivning, hvis overtrædelsen indebærer en risiko for, at vedkommende ikke kan varetage sit hverv eller sin stilling på betryggende måde.</w:t>
      </w:r>
    </w:p>
    <w:p w14:paraId="39E5B8DC" w14:textId="77777777" w:rsidR="00B969C9" w:rsidRPr="008D5552" w:rsidRDefault="00B969C9" w:rsidP="00B969C9">
      <w:pPr>
        <w:spacing w:line="360" w:lineRule="auto"/>
        <w:rPr>
          <w:rFonts w:ascii="Times New Roman" w:hAnsi="Times New Roman" w:cs="Times New Roman"/>
          <w:sz w:val="24"/>
          <w:szCs w:val="24"/>
        </w:rPr>
      </w:pPr>
    </w:p>
    <w:p w14:paraId="3CF1992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foreslåede § 4 a, stk. 2, indebærer desuden, at en kreditformidler som nævnt i § 2, nr. 3, eller kreditformidlerens reelle ejere må ikke være pålagt strafansvar for overtrædelse af straffeloven, den finansielle lovgivning eller anden relevant lovgivning, hvis overtrædelsen indebærer risiko for, at virksomheden misbruger registreringen, eller at den reelle ejer misbruger sin kontrollerende indflydelse. </w:t>
      </w:r>
    </w:p>
    <w:p w14:paraId="1B8C4C39" w14:textId="77777777" w:rsidR="00B969C9" w:rsidRPr="008D5552" w:rsidRDefault="00B969C9" w:rsidP="00B969C9">
      <w:pPr>
        <w:spacing w:line="360" w:lineRule="auto"/>
        <w:rPr>
          <w:rFonts w:ascii="Times New Roman" w:hAnsi="Times New Roman" w:cs="Times New Roman"/>
          <w:sz w:val="24"/>
          <w:szCs w:val="24"/>
        </w:rPr>
      </w:pPr>
    </w:p>
    <w:p w14:paraId="7054FA4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Med pålagt strafansvar forstås, at der foreligger en endelig dom eller vedtagelse af bøde for en overtrædelse, der er af en sådan karakter, at det vurderes at have betydning for personens hæderlighed som ejer eller kontrollerende person. </w:t>
      </w:r>
    </w:p>
    <w:p w14:paraId="07115766" w14:textId="77777777" w:rsidR="00B969C9" w:rsidRPr="008D5552" w:rsidRDefault="00B969C9" w:rsidP="00B969C9">
      <w:pPr>
        <w:spacing w:line="360" w:lineRule="auto"/>
        <w:rPr>
          <w:rFonts w:ascii="Times New Roman" w:hAnsi="Times New Roman" w:cs="Times New Roman"/>
          <w:sz w:val="24"/>
          <w:szCs w:val="24"/>
        </w:rPr>
      </w:pPr>
    </w:p>
    <w:p w14:paraId="3F52982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Anden relevant lovgivning omfatter eksempelvis lovgivning om hvidvask, skatteunddragelse, konkurs, selskabsret eller anden lovgivning, hvor overtrædelsen kan have betydning for vurderingen af personens hæderlighed.</w:t>
      </w:r>
    </w:p>
    <w:p w14:paraId="5EA30D0B" w14:textId="77777777" w:rsidR="00B969C9" w:rsidRPr="008D5552" w:rsidRDefault="00B969C9" w:rsidP="00B969C9">
      <w:pPr>
        <w:spacing w:line="360" w:lineRule="auto"/>
        <w:rPr>
          <w:rFonts w:ascii="Times New Roman" w:hAnsi="Times New Roman" w:cs="Times New Roman"/>
          <w:sz w:val="24"/>
          <w:szCs w:val="24"/>
        </w:rPr>
      </w:pPr>
    </w:p>
    <w:p w14:paraId="30383DC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giver Finanstilsynet mulighed for at påbyde, at en person, der ikke længere opfylder kravene til hæderlighed, ikke kan udøve væsentlig indflydelse på en finansiel virksomhed. Påbuddet kan omfatte både direkte og indirekte ejerskab eller kontrol og skal sikre, at finansielle virksomheder ikke drives under indflydelse af personer, der ikke opfylder kravene.</w:t>
      </w:r>
    </w:p>
    <w:p w14:paraId="78A6F2E0" w14:textId="77777777" w:rsidR="00B969C9" w:rsidRPr="008D5552" w:rsidRDefault="00B969C9" w:rsidP="00B969C9">
      <w:pPr>
        <w:spacing w:line="360" w:lineRule="auto"/>
        <w:rPr>
          <w:rFonts w:ascii="Times New Roman" w:hAnsi="Times New Roman" w:cs="Times New Roman"/>
          <w:sz w:val="24"/>
          <w:szCs w:val="24"/>
        </w:rPr>
      </w:pPr>
    </w:p>
    <w:p w14:paraId="37C077A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Hvis påbuddet ikke efterleves, kan Finanstilsynet efterfølgende gøre brug af yderligere sanktionsmuligheder, herunder inddragelse af virksomhedens tilladelse. Det fremgår således af det foreslåede § 18 a, stk. 1, at Finanstilsynet kan slette registreringen af en kreditformidler, der er registeret i Finanstilsynets register, når kreditformidleren ikke længere opfylder betingelserne for registrering efter § 3 a, stk. 3, nr. 2.</w:t>
      </w:r>
    </w:p>
    <w:p w14:paraId="6DBC353C" w14:textId="77777777" w:rsidR="00B969C9" w:rsidRPr="008D5552" w:rsidRDefault="00B969C9" w:rsidP="00B969C9">
      <w:pPr>
        <w:spacing w:line="360" w:lineRule="auto"/>
        <w:rPr>
          <w:rFonts w:ascii="Times New Roman" w:hAnsi="Times New Roman" w:cs="Times New Roman"/>
          <w:sz w:val="24"/>
          <w:szCs w:val="24"/>
        </w:rPr>
      </w:pPr>
    </w:p>
    <w:p w14:paraId="685335A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er ikke forpligtet til at inddrage tilladelsen eller registreringen. Inden Finanstilsynet træffer beslutning om inddragelse af registreringen, vil tilsynet vurdere, om mindre indgribende sanktionsmuligheder kan anvendes, og der vil blive foretaget en konkret vurdering af proportionalitet og rimelighed i forhold til virksomhedens forhold. Det kan eksempelvis være daglige eller ugentlige bøder eller andre administrative foranstaltninger. Inddragelse af tilladelse eller registrering vil således kun blive anvendt, hvis det vurderes nødvendigt og proportionalt i forhold til overtrædelsens karakter og omfang.</w:t>
      </w:r>
    </w:p>
    <w:p w14:paraId="5B3D64FC" w14:textId="77777777" w:rsidR="00B969C9" w:rsidRPr="008D5552" w:rsidRDefault="00B969C9" w:rsidP="00B969C9">
      <w:pPr>
        <w:spacing w:line="360" w:lineRule="auto"/>
        <w:rPr>
          <w:rFonts w:ascii="Times New Roman" w:hAnsi="Times New Roman" w:cs="Times New Roman"/>
          <w:sz w:val="24"/>
          <w:szCs w:val="24"/>
        </w:rPr>
      </w:pPr>
    </w:p>
    <w:p w14:paraId="5D580F4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 Finanstilsynets vurdering af, om tilladelsen eller registreringen bør inddrages, indgår blandt andet antallet af ejere i virksomheden. Hvis virksomheden har flere ejere, vil Finanstilsynet inddrage, om det alene er én ejer, der ikke har efterkommet et påbud om af kontrol. I sådanne tilfælde vil det kunne tale imod at inddrage tilladelsen eller registreringen afhændelse af ejerandele eller ophør, da konsekvenserne for de øvrige ejere og virksomhedens fortsatte drift skal indgå i vurderingen.</w:t>
      </w:r>
    </w:p>
    <w:p w14:paraId="164F210A" w14:textId="77777777" w:rsidR="00B969C9" w:rsidRPr="008D5552" w:rsidRDefault="00B969C9" w:rsidP="00B969C9">
      <w:pPr>
        <w:spacing w:line="360" w:lineRule="auto"/>
        <w:rPr>
          <w:rFonts w:ascii="Times New Roman" w:hAnsi="Times New Roman" w:cs="Times New Roman"/>
          <w:sz w:val="24"/>
          <w:szCs w:val="24"/>
        </w:rPr>
      </w:pPr>
    </w:p>
    <w:p w14:paraId="74B334F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vil vurdere, om der er tale om en enkeltstående eller gentagen undladelse af at efterkomme påbuddet, og om overtrædelsen har haft eller kan have væsentlige negative konsekvenser for virksomhedens drift, kunder eller det finansielle marked. Hvis virksomheden har udvist samarbejdsvilje og forsøgt at rette op på forholdene, vil dette indgå positivt i vurderingen. Omvendt vil manglende samarbejde eller forsøg på at omgå reglerne tale for en skærpet reaktion.</w:t>
      </w:r>
    </w:p>
    <w:p w14:paraId="1A044B71" w14:textId="77777777" w:rsidR="00B969C9" w:rsidRPr="008D5552" w:rsidRDefault="00B969C9" w:rsidP="00B969C9">
      <w:pPr>
        <w:spacing w:line="360" w:lineRule="auto"/>
        <w:rPr>
          <w:rFonts w:ascii="Times New Roman" w:hAnsi="Times New Roman" w:cs="Times New Roman"/>
          <w:sz w:val="24"/>
          <w:szCs w:val="24"/>
        </w:rPr>
      </w:pPr>
    </w:p>
    <w:p w14:paraId="31CEE1D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foreslåede bestemmelse sikrer, at Finanstilsynet har de fornødne beføjelser til at håndhæve påbud efter bestemmelsen, og at manglende efterlevelse kan få konsekvenser for virksomhedens mulighed til at udøve virksomhed omfattet af Finanstilsynets tilsyn. </w:t>
      </w:r>
    </w:p>
    <w:p w14:paraId="68BA4932" w14:textId="77777777" w:rsidR="00B969C9" w:rsidRPr="008D5552" w:rsidRDefault="00B969C9" w:rsidP="00B969C9">
      <w:pPr>
        <w:spacing w:line="360" w:lineRule="auto"/>
        <w:rPr>
          <w:rFonts w:ascii="Times New Roman" w:hAnsi="Times New Roman" w:cs="Times New Roman"/>
          <w:sz w:val="24"/>
          <w:szCs w:val="24"/>
        </w:rPr>
      </w:pPr>
    </w:p>
    <w:p w14:paraId="4D96F26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Lovforslagets § 146, nr. 11, indebærer, at den fysiske person, som Finanstilsynets afgørelse efter det foreslåede § 17 b vedrører, anses som part i forhold til afgørelsen. Det gælder bl.a. ved afgørelser om påbud om ophør af kontrol, herunder afhændelse af ejerandele, og ved afgørelser om ophævelse af stemmeret.</w:t>
      </w:r>
    </w:p>
    <w:p w14:paraId="32DF5C0D" w14:textId="77777777" w:rsidR="00B969C9" w:rsidRPr="008D5552" w:rsidRDefault="00B969C9" w:rsidP="00B969C9">
      <w:pPr>
        <w:spacing w:line="360" w:lineRule="auto"/>
        <w:rPr>
          <w:rFonts w:ascii="Times New Roman" w:hAnsi="Times New Roman" w:cs="Times New Roman"/>
          <w:sz w:val="24"/>
          <w:szCs w:val="24"/>
        </w:rPr>
      </w:pPr>
    </w:p>
    <w:p w14:paraId="3DDB1C6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1, 2. pkt.</w:t>
      </w:r>
      <w:r w:rsidRPr="008D5552">
        <w:rPr>
          <w:rFonts w:ascii="Times New Roman" w:hAnsi="Times New Roman" w:cs="Times New Roman"/>
          <w:sz w:val="24"/>
          <w:szCs w:val="24"/>
        </w:rPr>
        <w:t xml:space="preserve"> Finanstilsynet </w:t>
      </w:r>
      <w:r w:rsidRPr="008D5552">
        <w:rPr>
          <w:rFonts w:ascii="Times New Roman" w:hAnsi="Times New Roman" w:cs="Times New Roman"/>
          <w:sz w:val="24"/>
          <w:szCs w:val="24"/>
          <w:lang w:eastAsia="da-DK"/>
        </w:rPr>
        <w:t xml:space="preserve">endvidere kan </w:t>
      </w:r>
      <w:r w:rsidRPr="008D5552">
        <w:rPr>
          <w:rFonts w:ascii="Times New Roman" w:hAnsi="Times New Roman" w:cs="Times New Roman"/>
          <w:sz w:val="24"/>
          <w:szCs w:val="24"/>
        </w:rPr>
        <w:t>påbyde en fysisk person, der direkte eller indirekte ejer eller kontrollerer minimum 25 pct. af kapitalandelen, ejerandelen, stemmerettighederne eller andre ejerskabsbeføjelser af en kreditformidler, der er omfattet af § 1, stk. 5, nr. 2, eller, hvor virksomheden udøves af en enkeltmandsvirksomhed, indehaveren eller, hvor kreditformidleren drives som juridisk person uden øverste eller daglige ledelse, den eller de ledelsesansvarlige, at ophøre med at udøve kontrol, herunder afhænde sine ejerandele helt eller delvist inden for en af Finanstilsynet fastsat frist, såfremt den pågældende er pålagt strafansvar for overtrædelse af straffeloven, den finansielle lovgivning eller anden relevant lovgivning, og overtrædelsen indebærer en risiko for, at den reelle ejer misbruger sin kontrollerende indflydelse.</w:t>
      </w:r>
    </w:p>
    <w:p w14:paraId="19DCEE9D" w14:textId="77777777" w:rsidR="00B969C9" w:rsidRPr="008D5552" w:rsidRDefault="00B969C9" w:rsidP="00B969C9">
      <w:pPr>
        <w:spacing w:line="360" w:lineRule="auto"/>
        <w:rPr>
          <w:rFonts w:ascii="Times New Roman" w:hAnsi="Times New Roman" w:cs="Times New Roman"/>
          <w:sz w:val="24"/>
          <w:szCs w:val="24"/>
        </w:rPr>
      </w:pPr>
    </w:p>
    <w:p w14:paraId="4BBABF0C"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vil understøtte Finanstilsynets mulighed for at gribe ind over for ejere eller kontrollerende personer, der ikke længere anses for hæderlige til at udøve væsentlig indflydelse på en kreditformidler.</w:t>
      </w:r>
    </w:p>
    <w:p w14:paraId="56400A2C" w14:textId="77777777" w:rsidR="00B969C9" w:rsidRPr="008D5552" w:rsidRDefault="00B969C9" w:rsidP="00B969C9">
      <w:pPr>
        <w:spacing w:line="360" w:lineRule="auto"/>
        <w:rPr>
          <w:rFonts w:ascii="Times New Roman" w:hAnsi="Times New Roman" w:cs="Times New Roman"/>
          <w:sz w:val="24"/>
          <w:szCs w:val="24"/>
        </w:rPr>
      </w:pPr>
    </w:p>
    <w:p w14:paraId="71D3198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vil omfatte fysiske personer, der direkte eller indirekte ejer eller kontrollerer minimum 25 pct. af kapitalandelen, ejerandelen, stemmerettighederne eller andre ejerskabsbeføjelser i en kreditformidler omfattet af § § 1, stk. 5, nr. 2.</w:t>
      </w:r>
    </w:p>
    <w:p w14:paraId="4A86CD7F" w14:textId="77777777" w:rsidR="00B969C9" w:rsidRPr="008D5552" w:rsidRDefault="00B969C9" w:rsidP="00B969C9">
      <w:pPr>
        <w:spacing w:line="360" w:lineRule="auto"/>
        <w:rPr>
          <w:rFonts w:ascii="Times New Roman" w:hAnsi="Times New Roman" w:cs="Times New Roman"/>
          <w:sz w:val="24"/>
          <w:szCs w:val="24"/>
        </w:rPr>
      </w:pPr>
    </w:p>
    <w:p w14:paraId="3086546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forudsættes således for anvendelsen af bestemmelsen, at der er tale om en leverandør af varer eller en udbyder af tjenesteydelser, som beskæftiger under 250 personer og har en årlig omsætning på ikke over 50 mio. euro eller en årlig samlet balance på ikke over 43 mio. euro, og som accessorisk optræder som kreditformidlere, jf. lovens § 1, stk. 5, nr. 2.</w:t>
      </w:r>
    </w:p>
    <w:p w14:paraId="2C6005E0" w14:textId="77777777" w:rsidR="00B969C9" w:rsidRPr="008D5552" w:rsidRDefault="00B969C9" w:rsidP="00B969C9">
      <w:pPr>
        <w:spacing w:line="360" w:lineRule="auto"/>
        <w:rPr>
          <w:rFonts w:ascii="Times New Roman" w:hAnsi="Times New Roman" w:cs="Times New Roman"/>
          <w:sz w:val="24"/>
          <w:szCs w:val="24"/>
        </w:rPr>
      </w:pPr>
    </w:p>
    <w:p w14:paraId="7ACE26C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En reel ejer skal forstås i overensstemmelse med definitionen i hvidvaskforordningen artikel 2, stk. 1, nr. 28, hvorefter en reel ejer er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hvidvaskforordningens kapitel 4.</w:t>
      </w:r>
    </w:p>
    <w:p w14:paraId="51B2C0A4" w14:textId="77777777" w:rsidR="00B969C9" w:rsidRPr="008D5552" w:rsidRDefault="00B969C9" w:rsidP="00B969C9">
      <w:pPr>
        <w:spacing w:line="360" w:lineRule="auto"/>
        <w:rPr>
          <w:rFonts w:ascii="Times New Roman" w:hAnsi="Times New Roman" w:cs="Times New Roman"/>
          <w:b/>
          <w:bCs/>
          <w:sz w:val="24"/>
          <w:szCs w:val="24"/>
        </w:rPr>
      </w:pPr>
    </w:p>
    <w:p w14:paraId="5195225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Ved at ophøre med at udøve kontrol forstås, at den pågældende fysiske eller juridiske person ikke længere direkte eller indirekte har mulighed for at udøve bestemmende indflydelse over virksomheden. Med det foreslåede krav om ophør af kontrol, skal personen nedbringe sin ejerandel eller sine stemmerettigheder til under en nærmere angivet grænse, hvis det er nødvendigt for at sikre, at virksomheden ikke kontrolleres af personer, der pålagt strafansvar for overtrædelse af straffeloven, den finansielle lovgivning eller anden relevant lovgivning, og hvor overtrædelsen indebærer en risiko for, at den reelle ejer misbruger sin kontrollerende indflydelse.</w:t>
      </w:r>
    </w:p>
    <w:p w14:paraId="6152C6AE" w14:textId="77777777" w:rsidR="00B969C9" w:rsidRPr="008D5552" w:rsidRDefault="00B969C9" w:rsidP="00B969C9">
      <w:pPr>
        <w:spacing w:line="360" w:lineRule="auto"/>
        <w:rPr>
          <w:rFonts w:ascii="Times New Roman" w:hAnsi="Times New Roman" w:cs="Times New Roman"/>
          <w:sz w:val="24"/>
          <w:szCs w:val="24"/>
        </w:rPr>
      </w:pPr>
    </w:p>
    <w:p w14:paraId="3F9CFD1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Et påbud om at ophøre med at udøve kontrol indebærer således, at den pågældende skal nedbringe sin direkte eller indirekte ejerandel til et niveau, hvor ejerandelen ikke længere giver mulighed for at udøve bestemmende indflydelse over virksomheden. Finanstilsynet vil i den forbindelse ikke alene kunne lægge vægt på den formelle ejerandel, men også på den faktiske indflydelse, som ejeren direkte eller indirekte kan udøve over virksomheden. Vurderingen kan blandt andet omfatte tilfælde, hvor en person eller juridisk enhed gennem direkte eller indirekte ejerskab, stemmerettigheder, aftaler, vedtægtsbestemmelser, koncernforhold eller andre former for indflydelse har mulighed for at påvirke virksomhedens ledelse, drift eller væsentlige beslutninger.</w:t>
      </w:r>
    </w:p>
    <w:p w14:paraId="04A558AF" w14:textId="77777777" w:rsidR="00B969C9" w:rsidRPr="008D5552" w:rsidRDefault="00B969C9" w:rsidP="00B969C9">
      <w:pPr>
        <w:spacing w:line="360" w:lineRule="auto"/>
        <w:rPr>
          <w:rFonts w:ascii="Times New Roman" w:hAnsi="Times New Roman" w:cs="Times New Roman"/>
          <w:sz w:val="24"/>
          <w:szCs w:val="24"/>
        </w:rPr>
      </w:pPr>
    </w:p>
    <w:p w14:paraId="5647ED7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Hvis personens ejerskab beror på en selskabsretlig holdingstruktur med flere selskaber eller lignende, er det ikke et krav, at nedbringelsen af ejerskabet sker i det selskab, som direkte ejer kreditformidleren. Det afgørende er, at personens samlede direkte eller indirekte ejerskab eller øvrige kontrolmulighed bringes ned til et niveau, hvor personen ikke længere kan udøve bestemmende indflydelse over virksomheden.</w:t>
      </w:r>
    </w:p>
    <w:p w14:paraId="206CE6EA" w14:textId="77777777" w:rsidR="00B969C9" w:rsidRPr="008D5552" w:rsidRDefault="00B969C9" w:rsidP="00B969C9">
      <w:pPr>
        <w:spacing w:line="360" w:lineRule="auto"/>
        <w:rPr>
          <w:rFonts w:ascii="Times New Roman" w:hAnsi="Times New Roman" w:cs="Times New Roman"/>
          <w:sz w:val="24"/>
          <w:szCs w:val="24"/>
        </w:rPr>
      </w:pPr>
    </w:p>
    <w:p w14:paraId="0CE350D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Et påbud om at ophøre med at udøve kontrol kan eksempelvis indebære, at en person, der ejer 25 pct. af en kreditformidler, skal nedbringe sin ejerandel til 15 pct., hvis dette er nødvendigt for, at personen ikke længere har reelt ejerskab over kreditformidleren og derigennem udøve betydelig eller bestemmende indflydelse over virksomheden. Det afgørende vil dog altid være, om den pågældende efter nedbringelsen fortsat har mulighed for at udøve kontrol, herunder gennem stemmerettigheder, aftaler, koncernforhold eller andre arrangementer.</w:t>
      </w:r>
    </w:p>
    <w:p w14:paraId="07A0F391" w14:textId="77777777" w:rsidR="00B969C9" w:rsidRPr="008D5552" w:rsidRDefault="00B969C9" w:rsidP="00B969C9">
      <w:pPr>
        <w:spacing w:line="360" w:lineRule="auto"/>
        <w:rPr>
          <w:rFonts w:ascii="Times New Roman" w:hAnsi="Times New Roman" w:cs="Times New Roman"/>
          <w:sz w:val="24"/>
          <w:szCs w:val="24"/>
        </w:rPr>
      </w:pPr>
    </w:p>
    <w:p w14:paraId="44ACC2A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Ved at afhænde ejerandele forstås, at den pågældende person skal overdrage, sælge eller på anden måde afgive ejerskabet til sine ejerandele, så personen ikke længere opfylder kriterierne for at have indflydelse over virksomheden i form af ejerskab eller kontrol. Afhændelsen skal ske på en måde, der reelt og varigt bringer ejerskabet eller kontrollen til ophør, og således at den pågældende ikke længere har bestemmende indflydelse, direkte eller indirekte, over virksomheden. Det kan eksempelvis ske ved salg af aktier eller anparter, overdragelse af ejerandele til tredjemand, eller ved at indgå aftaler, der bringer stemmeret eller kontrol til ophør. Det er afgørende, at afhændelsen er reel og ikke blot formel, og at den pågældende ikke bevarer nogen form for bestemmende indflydelse over virksomheden.</w:t>
      </w:r>
    </w:p>
    <w:p w14:paraId="32B3D390" w14:textId="77777777" w:rsidR="00B969C9" w:rsidRPr="008D5552" w:rsidRDefault="00B969C9" w:rsidP="00B969C9">
      <w:pPr>
        <w:spacing w:line="360" w:lineRule="auto"/>
        <w:rPr>
          <w:rFonts w:ascii="Times New Roman" w:hAnsi="Times New Roman" w:cs="Times New Roman"/>
          <w:sz w:val="24"/>
          <w:szCs w:val="24"/>
        </w:rPr>
      </w:pPr>
    </w:p>
    <w:p w14:paraId="37C807D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omfatter også personer, der udøver kontrol på anden vis, eksempelvis gennem aftaler, stemmeaftaler eller andre arrangementer, der reelt giver kontrol over virksomheden, uanset om dette sker via ejerandele eller ej.</w:t>
      </w:r>
    </w:p>
    <w:p w14:paraId="0FE0A1DD" w14:textId="77777777" w:rsidR="00B969C9" w:rsidRPr="008D5552" w:rsidRDefault="00B969C9" w:rsidP="00B969C9">
      <w:pPr>
        <w:spacing w:line="360" w:lineRule="auto"/>
        <w:rPr>
          <w:rFonts w:ascii="Times New Roman" w:hAnsi="Times New Roman" w:cs="Times New Roman"/>
          <w:b/>
          <w:bCs/>
          <w:sz w:val="24"/>
          <w:szCs w:val="24"/>
        </w:rPr>
      </w:pPr>
    </w:p>
    <w:p w14:paraId="37AE52F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Finanstilsynet kan udstede påbud om, at den pågældende person skal afhænde sine ejerandele eller ophøre med at udøve kontrol inden for en frist fastsat af Finanstilsynet. Påbuddet meddeles, såfremt det er nødvendigt for at sikre, at virksomheden ikke kontrolleres af personer, der pålagt strafansvar for overtrædelse af straffeloven, den finansielle lovgivning eller anden relevant lovgivning, og hvor overtrædelsen indebærer en risiko for, at den reelle ejer misbruger sin kontrollerende indflydelse.</w:t>
      </w:r>
    </w:p>
    <w:p w14:paraId="35B15945" w14:textId="77777777" w:rsidR="00B969C9" w:rsidRPr="008D5552" w:rsidRDefault="00B969C9" w:rsidP="00B969C9">
      <w:pPr>
        <w:spacing w:line="360" w:lineRule="auto"/>
        <w:rPr>
          <w:rFonts w:ascii="Times New Roman" w:hAnsi="Times New Roman" w:cs="Times New Roman"/>
          <w:sz w:val="24"/>
          <w:szCs w:val="24"/>
        </w:rPr>
      </w:pPr>
    </w:p>
    <w:p w14:paraId="6FBA84D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Ved vurderingen af, om der skal meddeles påbud om afhændelse af ejerandele eller ophør af kontrol, herunder ved nedbringelse af ejerandele eller stemmerettigheder, skal Finanstilsynet foretage en konkret og individuel vurdering af de faktiske forhold i den enkelte sag. Der skal lægges vægt på proportionalitet og rimelighed, så indgrebet ikke går videre end nødvendigt for at opfylde formålet med bestemmelsen.</w:t>
      </w:r>
    </w:p>
    <w:p w14:paraId="6187A8C3" w14:textId="77777777" w:rsidR="00B969C9" w:rsidRPr="008D5552" w:rsidRDefault="00B969C9" w:rsidP="00B969C9">
      <w:pPr>
        <w:spacing w:line="360" w:lineRule="auto"/>
        <w:rPr>
          <w:rFonts w:ascii="Times New Roman" w:hAnsi="Times New Roman" w:cs="Times New Roman"/>
          <w:sz w:val="24"/>
          <w:szCs w:val="24"/>
        </w:rPr>
      </w:pPr>
    </w:p>
    <w:p w14:paraId="2C622D9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Der kan blandt andet lægges vægt på omfanget af den pågældende persons ejerandel og faktiske indflydelse på virksomheden, karakteren og alvoren af de forhold, der begrunder, at kravene til hæderlighed ikke er opfyldt, muligheden for at opnå det ønskede resultat ved mindre indgribende foranstaltninger, konsekvenserne for virksomheden, øvrige ejere og eventuelle tredjemænd, om der er tale om enkeltstående eller gentagne forhold, samt om virksomheden og den pågældende ejer har udvist samarbejdsvilje og forsøgt at rette op på forholdene.</w:t>
      </w:r>
    </w:p>
    <w:p w14:paraId="4D7AB64B" w14:textId="77777777" w:rsidR="00B969C9" w:rsidRPr="008D5552" w:rsidRDefault="00B969C9" w:rsidP="00B969C9">
      <w:pPr>
        <w:spacing w:line="360" w:lineRule="auto"/>
        <w:rPr>
          <w:rFonts w:ascii="Times New Roman" w:hAnsi="Times New Roman" w:cs="Times New Roman"/>
          <w:sz w:val="24"/>
          <w:szCs w:val="24"/>
        </w:rPr>
      </w:pPr>
    </w:p>
    <w:p w14:paraId="77B031E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Påbuddet skal være begrundet og indeholde en nærmere angivelse af, hvad der kræves for, at den pågældende ikke længere anses for at udøve kontrol. Hvis påbuddet indebærer, at ejerandelen skal nedbringes, skal påbuddet angive, til hvilken grænse ejerandelen skal nedbringes. Ejerandelen vil som udgangspunkt skulle bringes ned under grænsen for reelt ejerskab, som udgør minimum 25 pct. af kapitalandelen, medmindre en lavere grænse efter en konkret vurdering er nødvendig for at sikre, at den pågældende ikke fortsat har mulighed for at udøve direkte eller indirekte bestemmende indflydelse over virksomheden.</w:t>
      </w:r>
    </w:p>
    <w:p w14:paraId="3D78A419" w14:textId="77777777" w:rsidR="00B969C9" w:rsidRPr="008D5552" w:rsidRDefault="00B969C9" w:rsidP="00B969C9">
      <w:pPr>
        <w:spacing w:line="360" w:lineRule="auto"/>
        <w:rPr>
          <w:rFonts w:ascii="Times New Roman" w:hAnsi="Times New Roman" w:cs="Times New Roman"/>
          <w:sz w:val="24"/>
          <w:szCs w:val="24"/>
        </w:rPr>
      </w:pPr>
    </w:p>
    <w:p w14:paraId="583C19B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Fristen for at efterkomme påbuddet skal fastsættes under hensyntagen til de konkrete omstændigheder i den enkelte sag. Fristen skal være passende og proportional, men samtidig sikre, at den pågældende ejer ikke i længere tid end nødvendigt bevarer en indflydelse på virksomheden, som vurderes uforenelig med kravene til kontrol, egnethed og hæderlighed.</w:t>
      </w:r>
    </w:p>
    <w:p w14:paraId="14B44C84" w14:textId="77777777" w:rsidR="00B969C9" w:rsidRPr="008D5552" w:rsidRDefault="00B969C9" w:rsidP="00B969C9">
      <w:pPr>
        <w:spacing w:line="360" w:lineRule="auto"/>
        <w:rPr>
          <w:rFonts w:ascii="Times New Roman" w:hAnsi="Times New Roman" w:cs="Times New Roman"/>
          <w:sz w:val="24"/>
          <w:szCs w:val="24"/>
        </w:rPr>
      </w:pPr>
    </w:p>
    <w:p w14:paraId="63E82A2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Ved fastsættelsen af fristen kan Finanstilsynet blandt andet lægge vægt på ejerandelens størrelse, virksomhedens forhold, ejer- og koncernstruktur, markedssituationen og de praktiske muligheder for at gennemføre afhændelsen eller på anden måde bringe kontrollen til ophør.</w:t>
      </w:r>
    </w:p>
    <w:p w14:paraId="5CA6484D" w14:textId="77777777" w:rsidR="00B969C9" w:rsidRPr="008D5552" w:rsidRDefault="00B969C9" w:rsidP="00B969C9">
      <w:pPr>
        <w:spacing w:line="360" w:lineRule="auto"/>
        <w:rPr>
          <w:rFonts w:ascii="Times New Roman" w:hAnsi="Times New Roman" w:cs="Times New Roman"/>
          <w:sz w:val="24"/>
          <w:szCs w:val="24"/>
        </w:rPr>
      </w:pPr>
    </w:p>
    <w:p w14:paraId="723090E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Med pålagt strafansvar forstås, at der foreligger en endelig dom eller vedtagelse af bøde for en overtrædelse, der er af en sådan karakter, at det vurderes at have betydning for personens hæderlighed som ejer eller kontrollerende person. </w:t>
      </w:r>
    </w:p>
    <w:p w14:paraId="4C33F371" w14:textId="77777777" w:rsidR="00B969C9" w:rsidRPr="008D5552" w:rsidRDefault="00B969C9" w:rsidP="00B969C9">
      <w:pPr>
        <w:spacing w:line="360" w:lineRule="auto"/>
        <w:rPr>
          <w:rFonts w:ascii="Times New Roman" w:hAnsi="Times New Roman" w:cs="Times New Roman"/>
          <w:sz w:val="24"/>
          <w:szCs w:val="24"/>
        </w:rPr>
      </w:pPr>
    </w:p>
    <w:p w14:paraId="000F03E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Anden relevant lovgivning omfatter eksempelvis lovgivning om hvidvask, skatteunddragelse, konkurs, selskabsret eller anden lovgivning, hvor overtrædelsen kan have betydning for vurderingen af personens hæderlighed.</w:t>
      </w:r>
    </w:p>
    <w:p w14:paraId="5B158431" w14:textId="77777777" w:rsidR="00B969C9" w:rsidRPr="008D5552" w:rsidRDefault="00B969C9" w:rsidP="00B969C9">
      <w:pPr>
        <w:spacing w:line="360" w:lineRule="auto"/>
        <w:rPr>
          <w:rFonts w:ascii="Times New Roman" w:hAnsi="Times New Roman" w:cs="Times New Roman"/>
          <w:sz w:val="24"/>
          <w:szCs w:val="24"/>
        </w:rPr>
      </w:pPr>
    </w:p>
    <w:p w14:paraId="637D2C6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ændring af lovens § 24, jf. lovforslagets § 146, nr. 11, indebærer, at den fysiske person, som Finanstilsynets afgørelse efter det foreslåede § 17 b vedrører, anses som part i forhold til afgørelsen. Det gælder bl.a. ved afgørelser om påbud om ophør af kontrol, herunder afhændelse af ejerandele, og ved afgørelser om ophævelse af stemmeret.</w:t>
      </w:r>
    </w:p>
    <w:p w14:paraId="541C983F" w14:textId="77777777" w:rsidR="00B969C9" w:rsidRPr="008D5552" w:rsidRDefault="00B969C9" w:rsidP="00B969C9">
      <w:pPr>
        <w:spacing w:line="360" w:lineRule="auto"/>
        <w:rPr>
          <w:rFonts w:ascii="Times New Roman" w:hAnsi="Times New Roman" w:cs="Times New Roman"/>
          <w:sz w:val="24"/>
          <w:szCs w:val="24"/>
        </w:rPr>
      </w:pPr>
    </w:p>
    <w:p w14:paraId="6809914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2,</w:t>
      </w:r>
      <w:r w:rsidRPr="008D5552">
        <w:rPr>
          <w:rFonts w:ascii="Times New Roman" w:hAnsi="Times New Roman" w:cs="Times New Roman"/>
          <w:sz w:val="24"/>
          <w:szCs w:val="24"/>
        </w:rPr>
        <w:t xml:space="preserve"> at Finanstilsynet kan ophæve stemmeretten for en fysisk person, der direkte eller indirekte ejer eller kontrollerer minimum 25 pct. af kapitalandelen, i en kreditformidler som nævnt i § 2, nr. 3, hvis kapitalejeren ikke opfylder kravene i § 4 a, stk. 1. Finanstilsynet kan også påbyde virksomheden at følge bestemte retningslinjer</w:t>
      </w:r>
    </w:p>
    <w:p w14:paraId="52169227" w14:textId="77777777" w:rsidR="00B969C9" w:rsidRPr="008D5552" w:rsidRDefault="00B969C9" w:rsidP="00B969C9">
      <w:pPr>
        <w:spacing w:line="360" w:lineRule="auto"/>
        <w:rPr>
          <w:rFonts w:ascii="Times New Roman" w:hAnsi="Times New Roman" w:cs="Times New Roman"/>
          <w:sz w:val="24"/>
          <w:szCs w:val="24"/>
        </w:rPr>
      </w:pPr>
    </w:p>
    <w:p w14:paraId="46F1C1B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Med bestemmelsen får Finanstilsynet mulighed for at ophæve stemmeretten for de pågældende kapitalandele og påbyde afhændelse, hvis ejeren ikke længere opfylder kravene til at være reel ejer. Ophævelse af stemmeret indebærer, at de pågældende kapitalandele ikke kan udøve stemmeret på generalforsamlingen og ikke indgår i opgørelsen af den stemmeberettigede kapital.</w:t>
      </w:r>
    </w:p>
    <w:p w14:paraId="43A0E092" w14:textId="77777777" w:rsidR="00B969C9" w:rsidRPr="008D5552" w:rsidRDefault="00B969C9" w:rsidP="00B969C9">
      <w:pPr>
        <w:spacing w:line="360" w:lineRule="auto"/>
        <w:rPr>
          <w:rFonts w:ascii="Times New Roman" w:hAnsi="Times New Roman" w:cs="Times New Roman"/>
          <w:sz w:val="24"/>
          <w:szCs w:val="24"/>
        </w:rPr>
      </w:pPr>
    </w:p>
    <w:p w14:paraId="0DD4142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Et påbud om bestemte retningslinjer tilsigter at etablere en forsigtig og sund udvikling. Ved forsvarlig og fornuftig forvaltning forstås forvaltning på det økonomiske område. Hvis den pågældende ejer eksempelvis i forbindelse med ejerskab eller deltagelse i ledelsen af andre virksomheder har vist sig uegnet til at drive virksomhed på en økonomisk forsvarlig måde, kan stemmeretten ophæves, f.eks. hvis den pågældende er dømt for økonomisk kriminalitet. </w:t>
      </w:r>
    </w:p>
    <w:p w14:paraId="1C15470D" w14:textId="77777777" w:rsidR="00B969C9" w:rsidRPr="008D5552" w:rsidRDefault="00B969C9" w:rsidP="00B969C9">
      <w:pPr>
        <w:spacing w:line="360" w:lineRule="auto"/>
        <w:rPr>
          <w:rFonts w:ascii="Times New Roman" w:hAnsi="Times New Roman" w:cs="Times New Roman"/>
          <w:sz w:val="24"/>
          <w:szCs w:val="24"/>
        </w:rPr>
      </w:pPr>
    </w:p>
    <w:p w14:paraId="77538A5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vil bero på en konkret vurdering, om bestemmelsen skal anvendes. Det er næppe udelukket at bringe bestemmelsen i anvendelse, hvis kapitalejere i et enkelt meget væsentligt anliggende modvirker en forsvarlig drift af virksomheden. Det kan for eksempel være, hvis en ejer blokerer en fusion, der kan sikre, at virksomheden kan føres videre på et forsvarligt grundlag, eller blokerer for nødvendige vedtægtsændringer, der er en forudsætning for en nødvendig kapitalforhøjelse således, at virksomheden kan fortsætte sin drift.</w:t>
      </w:r>
    </w:p>
    <w:p w14:paraId="5AF057BF" w14:textId="77777777" w:rsidR="00B969C9" w:rsidRPr="008D5552" w:rsidRDefault="00B969C9" w:rsidP="00B969C9">
      <w:pPr>
        <w:spacing w:line="360" w:lineRule="auto"/>
        <w:rPr>
          <w:rFonts w:ascii="Times New Roman" w:hAnsi="Times New Roman" w:cs="Times New Roman"/>
          <w:sz w:val="24"/>
          <w:szCs w:val="24"/>
        </w:rPr>
      </w:pPr>
    </w:p>
    <w:p w14:paraId="5163105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har til formål at sikre, at ejere, der ikke længere opfylder kravene til at være kvalificeret ejer, ikke kan udøve indflydelse på virksomhedens ledelse eller drift, og at virksomheden kan føres videre på et forsvarligt grundlag. Det vil bero på en konkret vurdering, om og hvornår bestemmelsen skal bringes i anvendelse.</w:t>
      </w:r>
    </w:p>
    <w:p w14:paraId="60764D77" w14:textId="77777777" w:rsidR="00B969C9" w:rsidRPr="008D5552" w:rsidRDefault="00B969C9" w:rsidP="00B969C9">
      <w:pPr>
        <w:spacing w:line="360" w:lineRule="auto"/>
        <w:rPr>
          <w:rFonts w:ascii="Times New Roman" w:hAnsi="Times New Roman" w:cs="Times New Roman"/>
          <w:sz w:val="24"/>
          <w:szCs w:val="24"/>
        </w:rPr>
      </w:pPr>
    </w:p>
    <w:p w14:paraId="3586BE1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3</w:t>
      </w:r>
      <w:r w:rsidRPr="008D5552">
        <w:rPr>
          <w:rFonts w:ascii="Times New Roman" w:hAnsi="Times New Roman" w:cs="Times New Roman"/>
          <w:sz w:val="24"/>
          <w:szCs w:val="24"/>
        </w:rPr>
        <w:t>, at kapitalandelen ikke kan indgå i opgørelsen af den på en generalforsamling, repræsenterede stemmeberettigede kapital, hvis Finanstilsynet har ophævet stemmeretten i medfør af stk. 2.</w:t>
      </w:r>
    </w:p>
    <w:p w14:paraId="0D37A631" w14:textId="77777777" w:rsidR="00B969C9" w:rsidRPr="008D5552" w:rsidRDefault="00B969C9" w:rsidP="00B969C9">
      <w:pPr>
        <w:spacing w:line="360" w:lineRule="auto"/>
        <w:rPr>
          <w:rFonts w:ascii="Times New Roman" w:hAnsi="Times New Roman" w:cs="Times New Roman"/>
          <w:sz w:val="24"/>
          <w:szCs w:val="24"/>
        </w:rPr>
      </w:pPr>
    </w:p>
    <w:p w14:paraId="2AEF68D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At kapitalen ikke kan indgå i opgørelsen betyder, at de pågældende kapitalandele ikke kan udøve stemmeret på generalforsamlingen, og at de ikke medregnes ved opgørelsen af, hvor stor en del af selskabskapitalen, der er repræsenteret på generalforsamlingen. </w:t>
      </w:r>
    </w:p>
    <w:p w14:paraId="3D96AF91" w14:textId="77777777" w:rsidR="00B969C9" w:rsidRPr="008D5552" w:rsidRDefault="00B969C9" w:rsidP="00B969C9">
      <w:pPr>
        <w:spacing w:line="360" w:lineRule="auto"/>
        <w:rPr>
          <w:rFonts w:ascii="Times New Roman" w:hAnsi="Times New Roman" w:cs="Times New Roman"/>
          <w:sz w:val="24"/>
          <w:szCs w:val="24"/>
        </w:rPr>
      </w:pPr>
    </w:p>
    <w:p w14:paraId="58DA19E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Formålet med bestemmelsen er at sikre, at der kan træffes beslutninger i selskabet, uanset at Finanstilsynet har ophævet stemmeretten på en betydelig del af selskabskapitalen. Hvis det f.eks. fremgår af vedtægterne, at der kræves et kvalificeret flertal, vil kapitalandele uden stemmeret i realiteten blokerer for beslutninger. Har de ikke stemmeret, men skulle de stadigt tælles med, ville de i praksis stemme mod alle forslag. </w:t>
      </w:r>
    </w:p>
    <w:p w14:paraId="421F9C2A" w14:textId="77777777" w:rsidR="00B969C9" w:rsidRPr="008D5552" w:rsidRDefault="00B969C9" w:rsidP="00B969C9">
      <w:pPr>
        <w:spacing w:line="360" w:lineRule="auto"/>
        <w:rPr>
          <w:rFonts w:ascii="Times New Roman" w:hAnsi="Times New Roman" w:cs="Times New Roman"/>
          <w:sz w:val="24"/>
          <w:szCs w:val="24"/>
        </w:rPr>
      </w:pPr>
    </w:p>
    <w:p w14:paraId="51B6BF6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Andre rettigheder, der tilkommer en kapitalejer, f.eks. ind løsningsret og retten til udbyttebetaling, bortfalder ikke ved Finanstilsynets ophævelse af stemmerettighederne. </w:t>
      </w:r>
    </w:p>
    <w:p w14:paraId="6ADA1C46" w14:textId="77777777" w:rsidR="00B969C9" w:rsidRPr="008D5552" w:rsidRDefault="00B969C9" w:rsidP="00B969C9">
      <w:pPr>
        <w:spacing w:line="360" w:lineRule="auto"/>
        <w:rPr>
          <w:rFonts w:ascii="Times New Roman" w:hAnsi="Times New Roman" w:cs="Times New Roman"/>
          <w:sz w:val="24"/>
          <w:szCs w:val="24"/>
        </w:rPr>
      </w:pPr>
    </w:p>
    <w:p w14:paraId="4C7B904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4</w:t>
      </w:r>
      <w:r w:rsidRPr="008D5552">
        <w:rPr>
          <w:rFonts w:ascii="Times New Roman" w:hAnsi="Times New Roman" w:cs="Times New Roman"/>
          <w:sz w:val="24"/>
          <w:szCs w:val="24"/>
        </w:rPr>
        <w:t xml:space="preserve">, at </w:t>
      </w:r>
      <w:r w:rsidRPr="008D5552">
        <w:rPr>
          <w:rFonts w:ascii="Times New Roman" w:eastAsia="Times New Roman" w:hAnsi="Times New Roman" w:cs="Times New Roman"/>
          <w:i/>
          <w:sz w:val="24"/>
          <w:szCs w:val="24"/>
          <w:lang w:eastAsia="da-DK"/>
        </w:rPr>
        <w:t>v</w:t>
      </w:r>
      <w:r w:rsidRPr="008D5552">
        <w:rPr>
          <w:rFonts w:ascii="Times New Roman" w:hAnsi="Times New Roman" w:cs="Times New Roman"/>
          <w:sz w:val="24"/>
          <w:szCs w:val="24"/>
        </w:rPr>
        <w:t>arigheden af påbud meddelt efter stk. 1 skal fremgå af påbuddet.</w:t>
      </w:r>
    </w:p>
    <w:p w14:paraId="3B5BE950" w14:textId="77777777" w:rsidR="00B969C9" w:rsidRPr="008D5552" w:rsidRDefault="00B969C9" w:rsidP="00B969C9">
      <w:pPr>
        <w:spacing w:line="360" w:lineRule="auto"/>
        <w:rPr>
          <w:rFonts w:ascii="Times New Roman" w:hAnsi="Times New Roman" w:cs="Times New Roman"/>
          <w:sz w:val="24"/>
          <w:szCs w:val="24"/>
        </w:rPr>
      </w:pPr>
    </w:p>
    <w:p w14:paraId="501267E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Angivelsen af afgørelsens varighed medfører, at Finanstilsynet som udgangspunkt ikke efter udløbet af den angivne periode vil inddrage de forhold, der lå til grund for afgørelsen, hvis den pågældende person på ny ansøger om en hæderlighedsvurdering. Det betyder, at de forhold, der førte til vurderingen af, at personen ikke opfyldte hæderlighedskravet, som udgangspunkt ikke længere tillægges vægt ved en ny vurdering. Det ændrer ikke på, at den pågældende, efter udløbet af varigheden, skal ansøge Finanstilsynet om en ny hæderlighedsvurdering, hvis vedkommende ønsker at tiltræde et hverv som bestyrelsesmedlem, direktør eller nøgleperson. I denne nye vurdering vil de tidligere forhold, der førte til den negative afgørelse, ikke indgå, medmindre særlige omstændigheder gør sig gældende.</w:t>
      </w:r>
    </w:p>
    <w:p w14:paraId="6D28A11E" w14:textId="77777777" w:rsidR="00B969C9" w:rsidRPr="008D5552" w:rsidRDefault="00B969C9" w:rsidP="00B969C9">
      <w:pPr>
        <w:spacing w:line="360" w:lineRule="auto"/>
        <w:rPr>
          <w:rFonts w:ascii="Times New Roman" w:hAnsi="Times New Roman" w:cs="Times New Roman"/>
          <w:b/>
          <w:bCs/>
          <w:sz w:val="24"/>
          <w:szCs w:val="24"/>
        </w:rPr>
      </w:pPr>
    </w:p>
    <w:p w14:paraId="4AB9EF7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Varigheden af påbud og afgørelser fastsættes på baggrund af en konkret vurdering, hvor Finanstilsynet blandt andet lægger vægt på alvoren af overtrædelsen, den tid der er gået siden overtrædelsen, personens adfærd siden overtrædelsen, og om der er tale om gentagelsestilfælde. Gentagelsestilfælde vil være skærpende for fastsættelsen af varigheden. Varigheden kan som udgangspunkt fastsættes fra et år til fem år, men kan i særligt alvorlige sager fastsættes til indtil videre. En varighed på fem år vil typisk blive anvendt, medmindre forholdene taler for en kortere eller længere periode.</w:t>
      </w:r>
    </w:p>
    <w:p w14:paraId="5A23791F" w14:textId="77777777" w:rsidR="00B969C9" w:rsidRPr="008D5552" w:rsidRDefault="00B969C9" w:rsidP="00B969C9">
      <w:pPr>
        <w:spacing w:line="360" w:lineRule="auto"/>
        <w:rPr>
          <w:rFonts w:ascii="Times New Roman" w:hAnsi="Times New Roman" w:cs="Times New Roman"/>
          <w:sz w:val="24"/>
          <w:szCs w:val="24"/>
        </w:rPr>
      </w:pPr>
    </w:p>
    <w:p w14:paraId="1DEA878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Et formål med at fastsætte varigheden er at øge transparensen og retssikkerheden for de personer, som afgørelsen vedrører. Der vil være forskel på varigheden af afgørelser meddelt på baggrund af mindre alvorlige forhold og grovere forhold. Ved fastsættelsen af varigheden vil Finanstilsynet foretage en samlet vurdering af grovheden af de passerede forhold, om der er tale om gentagelsestilfælde, hvor lang tid forholdene har stået på, og hvor lang tid der er gået siden forholdene er ophørt. Kumulative effekter af flere mindre overtrædelser kan være skærpende, ligesom særligt grove overtrædelser kan medføre, at varigheden fastsættes til indtil videre. En sådan varighed vil dog kun anvendes i særligt alvorlige sager, f.eks. ved grov økonomisk kriminalitet, betydelige tillidsbrud eller gentagelsestilfælde.</w:t>
      </w:r>
    </w:p>
    <w:p w14:paraId="495D599F" w14:textId="77777777" w:rsidR="00B969C9" w:rsidRPr="008D5552" w:rsidRDefault="00B969C9" w:rsidP="00B969C9">
      <w:pPr>
        <w:spacing w:line="360" w:lineRule="auto"/>
        <w:rPr>
          <w:rFonts w:ascii="Times New Roman" w:hAnsi="Times New Roman" w:cs="Times New Roman"/>
          <w:sz w:val="24"/>
          <w:szCs w:val="24"/>
        </w:rPr>
      </w:pPr>
    </w:p>
    <w:p w14:paraId="1D4408F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Som udgangspunkt vil Finanstilsynet ikke inddrage forhold i en vurdering af en persons hæderlighed, der er mere end 10 år gamle. Finanstilsynet vil dog kunne inddrage forhold, der ligger længere tilbage i tid, hvis forholdene er særligt alvorlige, eller hvis disse er en del af et sammenhængende sagsforløb, hvor dele er mindre end 10 år gamle, eller hvor der er tale om gentagelsestilfælde. Alvorlige forhold kan f.eks. være svindel, grov tilsidesættelse af god skik, forsæt lig tilsidesættelse af hvidvasklovens krav eller egentlig medvirken til økonomisk kriminalitet. Det vil omvendt også betyde, at der skal være særlige forhold, der gør sig gælden de, hvis Finanstilsynet skal kigge mere end 10 år tilbage ved vurderingen af en persons adfærd. Ud over hensynet til omfanget, karakteren og grovheden af de forhold, der begrunder afgørelsen, vil Finanstilsynet også lægge vægt på, hvorvidt der er grund til at antage, at den pågældende fortsat ikke vil kunne varetage hvervet eller stillingen på forsvarlig måde. Det beror på en vurdering af de konkrete forhold, her under om forholdet er så kritisabelt, at en længere varighed er påkrævet, eller hvor varigheden i særligt alvorlige sager bør være indtil videre.</w:t>
      </w:r>
    </w:p>
    <w:p w14:paraId="5618F4A0" w14:textId="77777777" w:rsidR="00B969C9" w:rsidRPr="008D5552" w:rsidRDefault="00B969C9" w:rsidP="00B969C9">
      <w:pPr>
        <w:spacing w:line="360" w:lineRule="auto"/>
        <w:rPr>
          <w:rFonts w:ascii="Times New Roman" w:hAnsi="Times New Roman" w:cs="Times New Roman"/>
          <w:sz w:val="24"/>
          <w:szCs w:val="24"/>
        </w:rPr>
      </w:pPr>
    </w:p>
    <w:p w14:paraId="166D727F"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Begyndelsestidspunktet for varigheden vil som udgangspunkt være datoen for Finanstilsynets afgørelse. Varigheden af afgørelser og påbud vil bl.a. afhænge af grovheden af de passerede forhold, om der er tale om gentagelsestilfælde, hvor lang en periode forholdene har stået eller stod på, og hvor lang tid der er gået siden de pågældende forhold er ophørt. I vurdering af fastsættelsen af varigheden vil Finanstilsynet skulle foretage en samlet vurdering. I tilfælde, hvor afgørelsen vedrører konkurs, rekonstruktion eller gældssanering, regnes begyndelsestidspunktet fra datoen for afslutningen af disse forhold.</w:t>
      </w:r>
    </w:p>
    <w:p w14:paraId="7FCE39D7" w14:textId="77777777" w:rsidR="00B969C9" w:rsidRPr="008D5552" w:rsidRDefault="00B969C9" w:rsidP="00B969C9">
      <w:pPr>
        <w:spacing w:line="360" w:lineRule="auto"/>
        <w:rPr>
          <w:rFonts w:ascii="Times New Roman" w:hAnsi="Times New Roman" w:cs="Times New Roman"/>
          <w:sz w:val="24"/>
          <w:szCs w:val="24"/>
        </w:rPr>
      </w:pPr>
    </w:p>
    <w:p w14:paraId="258DE6C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Retningsgivende for fastsættelsen af en varighed på fem år vil således være, at der ikke er forhold, der taler for en kortere varighed, eller hvor karakteren og omfanget af forholdene tilsiger, at en længere varighed er påkrævet. </w:t>
      </w:r>
    </w:p>
    <w:p w14:paraId="4FDBAC9F" w14:textId="77777777" w:rsidR="00B969C9" w:rsidRPr="008D5552" w:rsidRDefault="00B969C9" w:rsidP="00B969C9">
      <w:pPr>
        <w:spacing w:line="360" w:lineRule="auto"/>
        <w:rPr>
          <w:rFonts w:ascii="Times New Roman" w:hAnsi="Times New Roman" w:cs="Times New Roman"/>
          <w:sz w:val="24"/>
          <w:szCs w:val="24"/>
        </w:rPr>
      </w:pPr>
    </w:p>
    <w:p w14:paraId="397A366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Udover en konkret vurdering af grovheden af forholdene, vil Finanstilsynet også kunne inddrage kumulative effekter af flere overtrædelser, gentagelsestilfælde og den eventuelle skadevirkning af forholdet. Hvis det pågældende forhold er egnet til i betydeligt omfang at svække den samlede sektors omdømme og derved tilliden til sektoren, bør det skærpe varigheden. Herudover har tidsaspektet også betydning for fastsættelsen af varigheden, hvor forhold, der ligger tilbage i tid, efter en konkret vurdering kan føre til en lempelse af varigheden.</w:t>
      </w:r>
    </w:p>
    <w:p w14:paraId="20865481" w14:textId="77777777" w:rsidR="00B969C9" w:rsidRPr="008D5552" w:rsidRDefault="00B969C9" w:rsidP="00B969C9">
      <w:pPr>
        <w:spacing w:line="360" w:lineRule="auto"/>
        <w:rPr>
          <w:rFonts w:ascii="Times New Roman" w:hAnsi="Times New Roman" w:cs="Times New Roman"/>
          <w:sz w:val="24"/>
          <w:szCs w:val="24"/>
        </w:rPr>
      </w:pPr>
    </w:p>
    <w:p w14:paraId="5C64A41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Retningsgivende for afgørelser med en varighed, der sættes til mindre end fem år, vil være, at der kan være tale om en situation, hvor Finanstilsynet efter en samlet vurdering vurderer, at personen ikke er hæderlig, men hvor det samlede sagsforløb afdækker en række formildende omstændigheder om den pågældende eller hændelsesforløbet. Det vil imidlertid også kunne være tilfældet, hvor forholdet har en sådan beskaffenhed, at varigheden eksempelvis isoleret set vil kunne fastsættes til fem år, men hvor forholdet ligger en årrække tilbage. I sådanne tilfælde vil tidsaspektet, personens adfærd siden det pågældende forhold, og fraværet af gentagelsesvirkning kunne føre til en lempelse af varigheden.</w:t>
      </w:r>
    </w:p>
    <w:p w14:paraId="1BF7EE49" w14:textId="77777777" w:rsidR="00B969C9" w:rsidRPr="008D5552" w:rsidRDefault="00B969C9" w:rsidP="00B969C9">
      <w:pPr>
        <w:spacing w:line="360" w:lineRule="auto"/>
        <w:rPr>
          <w:rFonts w:ascii="Times New Roman" w:hAnsi="Times New Roman" w:cs="Times New Roman"/>
          <w:sz w:val="24"/>
          <w:szCs w:val="24"/>
        </w:rPr>
      </w:pPr>
    </w:p>
    <w:p w14:paraId="117D178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Retningsgivende for fastsættelsen af varigheden til at være indtil videre er, at der skal være tale om grove forhold eller alvor lige gentagelsestilfælde, der som udgangspunkt ikke ligger mere end 10 år tilbage i tiden. Det vil således alene være i særligt alvorlige sager, at Finanstilsynet vil fastsætte varigheden til at være indtil videre. Der kan eksempelvis være tale om særdeles grove forhold med overtrædelse af straffelovens berigelsesforbrydelser, forsætlig tilsidesættelse af hvidvasklovens krav eller egentlig medvirken til økonomisk kriminalitet. Generelt kan det siges, at det eller de udviste forhold skal have en sådan alvorlig karakter, at det må anses for åbenbart, at hverken Finanstilsynet eller samfundet kan have tillid til, at den pågældende indenfor en overskuelig fremtid vil kunne varetage hvervet som bestyrelsesmedlem eller stillingen som direktør eller nøgleperson i en finansiel virksomhed på en forsvarlig måde.</w:t>
      </w:r>
    </w:p>
    <w:p w14:paraId="06FC4195" w14:textId="77777777" w:rsidR="00B969C9" w:rsidRPr="008D5552" w:rsidRDefault="00B969C9" w:rsidP="00B969C9">
      <w:pPr>
        <w:spacing w:line="360" w:lineRule="auto"/>
        <w:rPr>
          <w:rFonts w:ascii="Times New Roman" w:hAnsi="Times New Roman" w:cs="Times New Roman"/>
          <w:sz w:val="24"/>
          <w:szCs w:val="24"/>
        </w:rPr>
      </w:pPr>
    </w:p>
    <w:p w14:paraId="166C92B3" w14:textId="77777777" w:rsidR="00B969C9" w:rsidRPr="008D5552" w:rsidRDefault="00B969C9" w:rsidP="00B969C9">
      <w:pPr>
        <w:spacing w:line="360" w:lineRule="auto"/>
        <w:rPr>
          <w:rFonts w:ascii="Times New Roman" w:hAnsi="Times New Roman" w:cs="Times New Roman"/>
          <w:i/>
          <w:sz w:val="24"/>
          <w:szCs w:val="24"/>
          <w:lang w:eastAsia="da-DK"/>
        </w:rPr>
      </w:pPr>
      <w:r w:rsidRPr="008D5552">
        <w:rPr>
          <w:rFonts w:ascii="Times New Roman" w:hAnsi="Times New Roman" w:cs="Times New Roman"/>
          <w:sz w:val="24"/>
          <w:szCs w:val="24"/>
        </w:rPr>
        <w:t>Det foreslås i</w:t>
      </w:r>
      <w:r w:rsidRPr="008D5552">
        <w:rPr>
          <w:rFonts w:ascii="Times New Roman" w:hAnsi="Times New Roman" w:cs="Times New Roman"/>
          <w:i/>
          <w:sz w:val="24"/>
          <w:szCs w:val="24"/>
        </w:rPr>
        <w:t xml:space="preserve"> stk. 5</w:t>
      </w:r>
      <w:r w:rsidRPr="008D5552">
        <w:rPr>
          <w:rFonts w:ascii="Times New Roman" w:hAnsi="Times New Roman" w:cs="Times New Roman"/>
          <w:sz w:val="24"/>
          <w:szCs w:val="24"/>
        </w:rPr>
        <w:t>, at påbud meddelt efter stk. 1, kan forlanges indbragt for domstolene af virksomheden og den person, som påbuddet vedrører. Anmodning herom skal indgives til Finanstilsynet, inden 4 uger efter at påbuddet er meddelt den pågældende. Anmodningen har ikke opsættende virkning for påbuddet, men retten kan ved kendelse bestemme, at den pågældende under sagens behandling kan opretholde sit hverv eller sin stilling. Finanstilsynet indbringer sagen for domstolene inden 4 uger efter modtagelse af anmodning herom. Sagen anlægges i den borgerlige retsplejes former.</w:t>
      </w:r>
    </w:p>
    <w:p w14:paraId="5E449EE3" w14:textId="77777777" w:rsidR="00B969C9" w:rsidRPr="008D5552" w:rsidRDefault="00B969C9" w:rsidP="00B969C9">
      <w:pPr>
        <w:spacing w:line="360" w:lineRule="auto"/>
        <w:rPr>
          <w:rFonts w:ascii="Times New Roman" w:hAnsi="Times New Roman" w:cs="Times New Roman"/>
          <w:sz w:val="24"/>
          <w:szCs w:val="24"/>
        </w:rPr>
      </w:pPr>
    </w:p>
    <w:p w14:paraId="09905DB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Af retssikkerhedsmæssige hensyn er det væsentligt, at både virksomheden og den person, som påbuddet vedrører, har mulighed for at få prøvet Finanstilsynets afgørelse ved domstolene. Dette gælder uanset, om påbuddet retter sig mod afhændelse af ejerandele, ophævelse af stemmeret eller udtræden af selskabet. Det er Finanstilsynet, der har ansvaret for at indbringe sagen for domstolene, og dette skal ske inden for en frist på 4 uger efter, at anmodningen er modtaget. Der stilles ikke formkrav til anmodningen, hvilket sikrer en enkel og tilgængelig adgang til domstolsprøvelse.</w:t>
      </w:r>
    </w:p>
    <w:p w14:paraId="0267AA2C" w14:textId="77777777" w:rsidR="00B969C9" w:rsidRPr="008D5552" w:rsidRDefault="00B969C9" w:rsidP="00B969C9">
      <w:pPr>
        <w:spacing w:line="360" w:lineRule="auto"/>
        <w:rPr>
          <w:rFonts w:ascii="Times New Roman" w:hAnsi="Times New Roman" w:cs="Times New Roman"/>
          <w:sz w:val="24"/>
          <w:szCs w:val="24"/>
        </w:rPr>
      </w:pPr>
    </w:p>
    <w:p w14:paraId="5DF7FD0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Som udgangspunkt tillægges en anmodning om domstolsprøvelse ikke opsættende virkning, da dette vil kunne hindre en løbende og effektiv håndhævelse af kravene til reelle ejeres hæderlighed. Retten har dog mulighed for, hvis det vurderes relevant at bestemme, at den pågældende kan opretholde sit reelle ejerskab, mens sagen verserer. Dette sikrer en balance mellem hensynet til effektivt tilsyn og den enkeltes retssikkerhed.</w:t>
      </w:r>
    </w:p>
    <w:p w14:paraId="0DB3B5DE" w14:textId="77777777" w:rsidR="00B969C9" w:rsidRPr="008D5552" w:rsidRDefault="00B969C9" w:rsidP="00B969C9">
      <w:pPr>
        <w:spacing w:line="360" w:lineRule="auto"/>
        <w:rPr>
          <w:rFonts w:ascii="Times New Roman" w:hAnsi="Times New Roman" w:cs="Times New Roman"/>
          <w:sz w:val="24"/>
          <w:szCs w:val="24"/>
        </w:rPr>
      </w:pPr>
    </w:p>
    <w:p w14:paraId="4254BD7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stk. 6</w:t>
      </w:r>
      <w:r w:rsidRPr="008D5552">
        <w:rPr>
          <w:rFonts w:ascii="Times New Roman" w:hAnsi="Times New Roman" w:cs="Times New Roman"/>
          <w:sz w:val="24"/>
          <w:szCs w:val="24"/>
        </w:rPr>
        <w:t>,</w:t>
      </w:r>
      <w:r w:rsidRPr="008D5552">
        <w:rPr>
          <w:rFonts w:ascii="Times New Roman" w:eastAsia="Times New Roman" w:hAnsi="Times New Roman" w:cs="Times New Roman"/>
          <w:color w:val="09090B"/>
          <w:sz w:val="24"/>
          <w:szCs w:val="24"/>
          <w:lang w:eastAsia="da-DK"/>
        </w:rPr>
        <w:t xml:space="preserve"> a</w:t>
      </w:r>
      <w:r w:rsidRPr="008D5552">
        <w:rPr>
          <w:rFonts w:ascii="Times New Roman" w:hAnsi="Times New Roman" w:cs="Times New Roman"/>
          <w:sz w:val="24"/>
          <w:szCs w:val="24"/>
        </w:rPr>
        <w:t>t Finanstilsynet kan af egen drift eller efter ansøgning tilbagekalde et påbud meddelt efter stk. 1. Afslår Finanstilsynet en ansøgning om tilbagekaldelse, kan ansøgeren forlange afslaget indbragt for domstolene. Anmodning herom skal indgives til Finanstilsynet inden fire uger efter, at afslaget er meddelt den pågældende. Anmodning om domstolsprøvelse kan dog kun fremsættes, hvis påbuddet ikke er tidsbegrænset, og der er forløbet mindst 5 år fra datoen for udstedelsen af påbuddet, eller mindst to år efter at Finanstilsynets afslag på tilbagekaldelse er stadfæstet ved dom.</w:t>
      </w:r>
    </w:p>
    <w:p w14:paraId="47F58ACC" w14:textId="77777777" w:rsidR="00B969C9" w:rsidRPr="008D5552" w:rsidRDefault="00B969C9" w:rsidP="00B969C9">
      <w:pPr>
        <w:spacing w:line="360" w:lineRule="auto"/>
        <w:rPr>
          <w:rFonts w:ascii="Times New Roman" w:hAnsi="Times New Roman" w:cs="Times New Roman"/>
          <w:sz w:val="24"/>
          <w:szCs w:val="24"/>
        </w:rPr>
      </w:pPr>
    </w:p>
    <w:p w14:paraId="31DA84A9"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sikrer, at Finanstilsynet til enhver tid kan tilbagekalde et påbud, hvis forholdene ændrer sig, eller hvis der foreligger nye oplysninger, der taler for, at påbuddet ikke længere bør opretholdes. En person, der har modtaget et påbud, kan således ansøge Finanstilsynet om at få påbuddet tilbagekaldt. Hvis Finanstilsynet afslår ansøgningen, kan ansøgeren forlange, at afslaget indbringes for domstolene. Dette skal ske ved, at ansøgeren indgiver anmodning til Finanstilsynet inden 4 uger efter, at afslaget er meddelt.</w:t>
      </w:r>
    </w:p>
    <w:p w14:paraId="272004FD" w14:textId="77777777" w:rsidR="00B969C9" w:rsidRPr="008D5552" w:rsidRDefault="00B969C9" w:rsidP="00B969C9">
      <w:pPr>
        <w:spacing w:line="360" w:lineRule="auto"/>
        <w:rPr>
          <w:rFonts w:ascii="Times New Roman" w:hAnsi="Times New Roman" w:cs="Times New Roman"/>
          <w:sz w:val="24"/>
          <w:szCs w:val="24"/>
        </w:rPr>
      </w:pPr>
    </w:p>
    <w:p w14:paraId="126C1D3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Det er dog en betingelse for at kunne kræve domstolsprøvelse af et afslag på tilbagekaldelse, at påbuddet ikke er tidsbegrænset, og at der er forløbet mindst fem år fra datoen for udstedelsen af påbuddet, eller mindst 2 år efter at Finanstilsynets afslag på tilbagekaldelse er stadfæstet ved dom. Disse begrænsninger er indsat for at undgå gentagne og hyppige prøvelser af samme sag, hvilket kan belaste både tilsynet og domstolene unødigt. Begrænsningerne har kun betydning for muligheden for at kræve sagen indbragt for domstolene af Finanstilsynet. En person, som har modtaget et afslag på sin ansøgning, vil til enhver tid have mulighed for selv at anlægge sag ved domstolene.</w:t>
      </w:r>
    </w:p>
    <w:p w14:paraId="58AA0034" w14:textId="77777777" w:rsidR="00B969C9" w:rsidRPr="008D5552" w:rsidRDefault="00B969C9" w:rsidP="00B969C9">
      <w:pPr>
        <w:spacing w:line="360" w:lineRule="auto"/>
        <w:rPr>
          <w:rFonts w:ascii="Times New Roman" w:hAnsi="Times New Roman" w:cs="Times New Roman"/>
          <w:sz w:val="24"/>
          <w:szCs w:val="24"/>
        </w:rPr>
      </w:pPr>
    </w:p>
    <w:p w14:paraId="0CD6A555"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Bestemmelsen sikrer således, at der er adgang til domstolsprøvelse af både påbud og afslag på tilbagekaldelse, men at der samtidig er en vis afkølingsperiode, så der ikke sker gentagne prøvelser af samme sag inden for kort tid. Dette bidrager til at balancere hensynet til retssikkerhed og forvaltningens effektivitet.</w:t>
      </w:r>
    </w:p>
    <w:p w14:paraId="21916A93" w14:textId="77777777" w:rsidR="00B969C9" w:rsidRPr="008D5552" w:rsidRDefault="00B969C9" w:rsidP="00B969C9">
      <w:pPr>
        <w:spacing w:line="360" w:lineRule="auto"/>
        <w:rPr>
          <w:rFonts w:ascii="Times New Roman" w:hAnsi="Times New Roman" w:cs="Times New Roman"/>
          <w:i/>
          <w:sz w:val="24"/>
          <w:szCs w:val="24"/>
        </w:rPr>
      </w:pPr>
    </w:p>
    <w:p w14:paraId="62B241D2" w14:textId="2025FCDF"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Der henvises i øvrigt til pkt. </w:t>
      </w:r>
      <w:r w:rsidR="004B43D0">
        <w:rPr>
          <w:rFonts w:ascii="Times New Roman" w:hAnsi="Times New Roman" w:cs="Times New Roman"/>
          <w:sz w:val="24"/>
          <w:szCs w:val="24"/>
        </w:rPr>
        <w:fldChar w:fldCharType="begin"/>
      </w:r>
      <w:r w:rsidR="004B43D0">
        <w:rPr>
          <w:rFonts w:ascii="Times New Roman" w:hAnsi="Times New Roman" w:cs="Times New Roman"/>
          <w:sz w:val="24"/>
          <w:szCs w:val="24"/>
        </w:rPr>
        <w:instrText xml:space="preserve"> REF _Ref240034365 \n \h </w:instrText>
      </w:r>
      <w:r w:rsidR="004B43D0">
        <w:rPr>
          <w:rFonts w:ascii="Times New Roman" w:hAnsi="Times New Roman" w:cs="Times New Roman"/>
          <w:sz w:val="24"/>
          <w:szCs w:val="24"/>
        </w:rPr>
      </w:r>
      <w:r w:rsidR="004B43D0">
        <w:rPr>
          <w:rFonts w:ascii="Times New Roman" w:hAnsi="Times New Roman" w:cs="Times New Roman"/>
          <w:sz w:val="24"/>
          <w:szCs w:val="24"/>
        </w:rPr>
        <w:fldChar w:fldCharType="separate"/>
      </w:r>
      <w:r w:rsidR="004B43D0">
        <w:rPr>
          <w:rFonts w:ascii="Times New Roman" w:hAnsi="Times New Roman" w:cs="Times New Roman"/>
          <w:sz w:val="24"/>
          <w:szCs w:val="24"/>
        </w:rPr>
        <w:t>3.58</w:t>
      </w:r>
      <w:r w:rsidR="004B43D0">
        <w:rPr>
          <w:rFonts w:ascii="Times New Roman" w:hAnsi="Times New Roman" w:cs="Times New Roman"/>
          <w:sz w:val="24"/>
          <w:szCs w:val="24"/>
        </w:rPr>
        <w:fldChar w:fldCharType="end"/>
      </w:r>
      <w:r w:rsidR="004B43D0">
        <w:rPr>
          <w:rFonts w:ascii="Times New Roman" w:hAnsi="Times New Roman" w:cs="Times New Roman"/>
          <w:sz w:val="24"/>
          <w:szCs w:val="24"/>
        </w:rPr>
        <w:t xml:space="preserve"> </w:t>
      </w:r>
      <w:r w:rsidRPr="008D5552">
        <w:rPr>
          <w:rFonts w:ascii="Times New Roman" w:hAnsi="Times New Roman" w:cs="Times New Roman"/>
          <w:sz w:val="24"/>
          <w:szCs w:val="24"/>
        </w:rPr>
        <w:t>i lovforslagets almindelige bemærkninger.</w:t>
      </w:r>
    </w:p>
    <w:p w14:paraId="6B940CDF" w14:textId="77777777" w:rsidR="00B969C9" w:rsidRDefault="00B969C9" w:rsidP="00B969C9">
      <w:pPr>
        <w:spacing w:line="360" w:lineRule="auto"/>
        <w:rPr>
          <w:rFonts w:ascii="Times New Roman" w:hAnsi="Times New Roman" w:cs="Times New Roman"/>
          <w:sz w:val="24"/>
          <w:szCs w:val="24"/>
        </w:rPr>
      </w:pPr>
    </w:p>
    <w:p w14:paraId="7AB4C282" w14:textId="77777777" w:rsidR="003F1976" w:rsidRPr="00746E74" w:rsidRDefault="003F1976" w:rsidP="003F1976">
      <w:pPr>
        <w:spacing w:line="360" w:lineRule="auto"/>
        <w:rPr>
          <w:rFonts w:ascii="Times New Roman" w:hAnsi="Times New Roman" w:cs="Times New Roman"/>
          <w:i/>
          <w:iCs/>
          <w:sz w:val="24"/>
          <w:szCs w:val="24"/>
        </w:rPr>
      </w:pPr>
      <w:r w:rsidRPr="00746E74">
        <w:rPr>
          <w:rFonts w:ascii="Times New Roman" w:hAnsi="Times New Roman" w:cs="Times New Roman"/>
          <w:i/>
          <w:iCs/>
          <w:sz w:val="24"/>
          <w:szCs w:val="24"/>
        </w:rPr>
        <w:t>Til nr. 1 (§ 18, stk. 1, nr. 6, i lov om forbrugslånsvirksomheder)</w:t>
      </w:r>
    </w:p>
    <w:p w14:paraId="0397017F" w14:textId="77777777" w:rsidR="003F1976" w:rsidRPr="003D5D3B" w:rsidRDefault="003F1976" w:rsidP="003F1976">
      <w:pPr>
        <w:spacing w:line="360" w:lineRule="auto"/>
        <w:rPr>
          <w:rFonts w:ascii="Times New Roman" w:hAnsi="Times New Roman" w:cs="Times New Roman"/>
          <w:sz w:val="24"/>
          <w:szCs w:val="24"/>
        </w:rPr>
      </w:pPr>
      <w:r w:rsidRPr="003D5D3B">
        <w:rPr>
          <w:rFonts w:ascii="Times New Roman" w:hAnsi="Times New Roman" w:cs="Times New Roman"/>
          <w:sz w:val="24"/>
          <w:szCs w:val="24"/>
        </w:rPr>
        <w:t>§ 18 i lov om forbrugslånsvirksomheder regulerer Finanstilsynets adgang til at inddrage en forbrugslånsvirksomheds tilladelse.</w:t>
      </w:r>
    </w:p>
    <w:p w14:paraId="532119CF" w14:textId="77777777" w:rsidR="003F1976" w:rsidRPr="003D5D3B" w:rsidRDefault="003F1976" w:rsidP="003F1976">
      <w:pPr>
        <w:spacing w:line="360" w:lineRule="auto"/>
        <w:rPr>
          <w:rFonts w:ascii="Times New Roman" w:hAnsi="Times New Roman" w:cs="Times New Roman"/>
          <w:sz w:val="24"/>
          <w:szCs w:val="24"/>
        </w:rPr>
      </w:pPr>
      <w:r w:rsidRPr="003D5D3B">
        <w:rPr>
          <w:rFonts w:ascii="Times New Roman" w:hAnsi="Times New Roman" w:cs="Times New Roman"/>
          <w:sz w:val="24"/>
          <w:szCs w:val="24"/>
        </w:rPr>
        <w:t>Efter § 18, stk. 1, nr. 6, kan Finanstilsynet inddrage en forbrugslånsvirksomheds tilladelse, hvis virksomheden groft eller gentagne gange tilsidesætter sine pligter efter lov om forbrugslånsvirksomheder, hvidvaskloven eller regler udstedt i medfør af disse love, herunder forpligtelsen til at identificere målgrupper og forpligtelsen til at gennemføre en kreditværdighedsvurdering.</w:t>
      </w:r>
    </w:p>
    <w:p w14:paraId="37E80EA3" w14:textId="77777777" w:rsidR="003F1976" w:rsidRPr="003D5D3B" w:rsidRDefault="003F1976" w:rsidP="003F1976">
      <w:pPr>
        <w:spacing w:line="360" w:lineRule="auto"/>
        <w:rPr>
          <w:rFonts w:ascii="Times New Roman" w:hAnsi="Times New Roman" w:cs="Times New Roman"/>
          <w:sz w:val="24"/>
          <w:szCs w:val="24"/>
        </w:rPr>
      </w:pPr>
      <w:r w:rsidRPr="003D5D3B">
        <w:rPr>
          <w:rFonts w:ascii="Times New Roman" w:hAnsi="Times New Roman" w:cs="Times New Roman"/>
          <w:sz w:val="24"/>
          <w:szCs w:val="24"/>
        </w:rPr>
        <w:t xml:space="preserve">Det foreslås i </w:t>
      </w:r>
      <w:r w:rsidRPr="003D5D3B">
        <w:rPr>
          <w:rFonts w:ascii="Times New Roman" w:hAnsi="Times New Roman" w:cs="Times New Roman"/>
          <w:i/>
          <w:iCs/>
          <w:sz w:val="24"/>
          <w:szCs w:val="24"/>
        </w:rPr>
        <w:t>§ 18, stk. 1, nr. 6</w:t>
      </w:r>
      <w:r w:rsidRPr="003D5D3B">
        <w:rPr>
          <w:rFonts w:ascii="Times New Roman" w:hAnsi="Times New Roman" w:cs="Times New Roman"/>
          <w:sz w:val="24"/>
          <w:szCs w:val="24"/>
        </w:rPr>
        <w:t>, at indsætte en henvisning til Europa-Parlamentets og Rådets forordning (EU) 2024/1624 af 31. maj 2024 om forebyggende foranstaltninger mod anvendelse af det finansielle system til hvidvask af penge eller finansiering af terrorisme efter henvisningen til hvidvaskloven.</w:t>
      </w:r>
    </w:p>
    <w:p w14:paraId="5C866764" w14:textId="77777777" w:rsidR="003F1976" w:rsidRPr="003D5D3B" w:rsidRDefault="003F1976" w:rsidP="003F1976">
      <w:pPr>
        <w:spacing w:line="360" w:lineRule="auto"/>
        <w:rPr>
          <w:rFonts w:ascii="Times New Roman" w:hAnsi="Times New Roman" w:cs="Times New Roman"/>
          <w:sz w:val="24"/>
          <w:szCs w:val="24"/>
        </w:rPr>
      </w:pPr>
      <w:r w:rsidRPr="003D5D3B">
        <w:rPr>
          <w:rFonts w:ascii="Times New Roman" w:hAnsi="Times New Roman" w:cs="Times New Roman"/>
          <w:sz w:val="24"/>
          <w:szCs w:val="24"/>
        </w:rPr>
        <w:t>Det foreslåede er en konsekvens af gennemførelsen af 6. hvidvaskdirektiv og ikrafttrædelsen af Europa-Parlamentets og Rådets forordning (EU) 2024/1624, der finder anvendelse fra den 10. juli 2027.</w:t>
      </w:r>
    </w:p>
    <w:p w14:paraId="2235D7EF" w14:textId="77777777" w:rsidR="004B43D0" w:rsidRPr="008D5552" w:rsidRDefault="004B43D0" w:rsidP="00B969C9">
      <w:pPr>
        <w:spacing w:line="360" w:lineRule="auto"/>
        <w:rPr>
          <w:rFonts w:ascii="Times New Roman" w:hAnsi="Times New Roman" w:cs="Times New Roman"/>
          <w:sz w:val="24"/>
          <w:szCs w:val="24"/>
        </w:rPr>
      </w:pPr>
    </w:p>
    <w:p w14:paraId="29BEC352" w14:textId="7A583BDE"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1</w:t>
      </w:r>
      <w:r w:rsidR="00746E74">
        <w:rPr>
          <w:rFonts w:ascii="Times New Roman" w:hAnsi="Times New Roman" w:cs="Times New Roman"/>
          <w:i/>
          <w:sz w:val="24"/>
          <w:szCs w:val="24"/>
        </w:rPr>
        <w:t>1</w:t>
      </w:r>
      <w:r w:rsidRPr="008D5552">
        <w:rPr>
          <w:rFonts w:ascii="Times New Roman" w:hAnsi="Times New Roman" w:cs="Times New Roman"/>
          <w:i/>
          <w:sz w:val="24"/>
          <w:szCs w:val="24"/>
        </w:rPr>
        <w:t xml:space="preserve"> (§ 18 a, stk. 1, nr. 5, i lov om forbrugslånsvirksomheder og registrering af kreditformidlere)</w:t>
      </w:r>
    </w:p>
    <w:p w14:paraId="1657E17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Den gældende </w:t>
      </w:r>
      <w:r w:rsidRPr="008D5552">
        <w:rPr>
          <w:rFonts w:ascii="Times New Roman" w:hAnsi="Times New Roman" w:cs="Times New Roman"/>
          <w:i/>
          <w:sz w:val="24"/>
          <w:szCs w:val="24"/>
        </w:rPr>
        <w:t>§ 18 a, stk. 1, nr. 1-7</w:t>
      </w:r>
      <w:r w:rsidRPr="008D5552">
        <w:rPr>
          <w:rFonts w:ascii="Times New Roman" w:hAnsi="Times New Roman" w:cs="Times New Roman"/>
          <w:sz w:val="24"/>
          <w:szCs w:val="24"/>
        </w:rPr>
        <w:t>, i lov om forbrugslånsvirksomheder og registrering af kreditformidlere nr. 1-7, oplister de situationer, hvor Finanstilsynet kan slette registreringen af en kreditformidler.</w:t>
      </w:r>
    </w:p>
    <w:p w14:paraId="4470EF9D" w14:textId="77777777" w:rsidR="00B969C9" w:rsidRPr="008D5552" w:rsidRDefault="00B969C9" w:rsidP="00B969C9">
      <w:pPr>
        <w:spacing w:line="360" w:lineRule="auto"/>
        <w:rPr>
          <w:rFonts w:ascii="Times New Roman" w:hAnsi="Times New Roman" w:cs="Times New Roman"/>
          <w:sz w:val="24"/>
          <w:szCs w:val="24"/>
        </w:rPr>
      </w:pPr>
    </w:p>
    <w:p w14:paraId="3BA5370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 De oplistede situationer er begrundet i hensynet til, at Finanstilsynets register kan ajourføres, så registeret afspejler de virksomheder, der aktivt er kreditformidlere. Desuden varetager grundene hensynet til at sikre en ordentlig finansiel sektor og sikre tilsynsmyndighederne mulighed for retshåndhævelse.</w:t>
      </w:r>
    </w:p>
    <w:p w14:paraId="4C3CA49D"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 18 a, stk. 1, nr. 5,</w:t>
      </w:r>
      <w:r w:rsidRPr="008D5552">
        <w:rPr>
          <w:rFonts w:ascii="Times New Roman" w:hAnsi="Times New Roman" w:cs="Times New Roman"/>
          <w:sz w:val="24"/>
          <w:szCs w:val="24"/>
        </w:rPr>
        <w:t xml:space="preserve"> at »§ 3 a, stk. 2,« ændres til: »§ 3 a stk. 2-3.</w:t>
      </w:r>
    </w:p>
    <w:p w14:paraId="4D84072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bestemmelse gennemfører, sammen med de foreslåede, 17 a og 17 b, kravene i artikel 4, stk. 3, og artikel 6, stk. 4-6, 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p>
    <w:p w14:paraId="5D13677D" w14:textId="77777777" w:rsidR="00B969C9" w:rsidRPr="008D5552" w:rsidRDefault="00B969C9" w:rsidP="00B969C9">
      <w:pPr>
        <w:spacing w:line="360" w:lineRule="auto"/>
        <w:rPr>
          <w:rFonts w:ascii="Times New Roman" w:hAnsi="Times New Roman" w:cs="Times New Roman"/>
          <w:sz w:val="24"/>
          <w:szCs w:val="24"/>
        </w:rPr>
      </w:pPr>
    </w:p>
    <w:p w14:paraId="4C761E12"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Ændringen foreslås som konsekvens af, at det i lovforslaget foreslås at fastsætte supplerende betingelser for, at en kreditudbyder, som nævnt i den foreslåede § 2, nr. 3, kan registreres i henhold til lovens § 3 a, stk. 1.</w:t>
      </w:r>
    </w:p>
    <w:p w14:paraId="6A6C7573" w14:textId="77777777" w:rsidR="00B969C9" w:rsidRPr="008D5552" w:rsidRDefault="00B969C9" w:rsidP="00B969C9">
      <w:pPr>
        <w:spacing w:line="360" w:lineRule="auto"/>
        <w:rPr>
          <w:rFonts w:ascii="Times New Roman" w:hAnsi="Times New Roman" w:cs="Times New Roman"/>
          <w:sz w:val="24"/>
          <w:szCs w:val="24"/>
        </w:rPr>
      </w:pPr>
    </w:p>
    <w:p w14:paraId="5DE29F9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Ændringen indebærer, at § 18 a, stk. 1, nr. 5, hvorefter Finanstilsynet kan slette registreringen af en kreditformidler, der ikke længere opfylder betingelserne for registrering, finder tilsvarende anvendelse for registrering efter det foreslåede § 3 a, stk. 3.</w:t>
      </w:r>
    </w:p>
    <w:p w14:paraId="5A11ED8D" w14:textId="77777777" w:rsidR="00B969C9" w:rsidRPr="008D5552" w:rsidRDefault="00B969C9" w:rsidP="00B969C9">
      <w:pPr>
        <w:spacing w:line="360" w:lineRule="auto"/>
        <w:rPr>
          <w:rFonts w:ascii="Times New Roman" w:hAnsi="Times New Roman" w:cs="Times New Roman"/>
          <w:sz w:val="24"/>
          <w:szCs w:val="24"/>
        </w:rPr>
      </w:pPr>
    </w:p>
    <w:p w14:paraId="7CD317C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Der henvises i øvrigt til bemærkningerne til § 18 a, stk. 1, nr. 5, i Folketingstidende 2025-26, tillæg A, L 151 som fremsat, side 214.</w:t>
      </w:r>
    </w:p>
    <w:p w14:paraId="49453505" w14:textId="77777777" w:rsidR="00B969C9" w:rsidRPr="008D5552" w:rsidRDefault="00B969C9" w:rsidP="00B969C9">
      <w:pPr>
        <w:spacing w:line="360" w:lineRule="auto"/>
        <w:rPr>
          <w:rFonts w:ascii="Times New Roman" w:hAnsi="Times New Roman" w:cs="Times New Roman"/>
          <w:sz w:val="24"/>
          <w:szCs w:val="24"/>
        </w:rPr>
      </w:pPr>
    </w:p>
    <w:p w14:paraId="7F0FCBF7" w14:textId="1000AE7F"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1</w:t>
      </w:r>
      <w:r w:rsidR="00746E74">
        <w:rPr>
          <w:rFonts w:ascii="Times New Roman" w:hAnsi="Times New Roman" w:cs="Times New Roman"/>
          <w:i/>
          <w:sz w:val="24"/>
          <w:szCs w:val="24"/>
        </w:rPr>
        <w:t>2</w:t>
      </w:r>
      <w:r w:rsidRPr="008D5552">
        <w:rPr>
          <w:rFonts w:ascii="Times New Roman" w:hAnsi="Times New Roman" w:cs="Times New Roman"/>
          <w:i/>
          <w:sz w:val="24"/>
          <w:szCs w:val="24"/>
        </w:rPr>
        <w:t xml:space="preserve"> (§ 24, stk. 2, nr. 5, i lov om forbrugslånsvirksomheder og registrering af kreditformidlere)</w:t>
      </w:r>
    </w:p>
    <w:p w14:paraId="1C10CA0E"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gældende § 24, stk. 2, nr. 5, i lov om forbrugslånsvirksomheder og registrering af kreditformidlere, giver forvaltningsretlig partsstatus til en virksomhed eller person, som omfattes af en afgørelse truffet af Finanstilsynet om personens egnethed eller hæderlighed i henhold til § 4.</w:t>
      </w:r>
    </w:p>
    <w:p w14:paraId="4B24305C" w14:textId="77777777" w:rsidR="00B969C9" w:rsidRPr="008D5552" w:rsidRDefault="00B969C9" w:rsidP="00B969C9">
      <w:pPr>
        <w:spacing w:line="360" w:lineRule="auto"/>
        <w:rPr>
          <w:rFonts w:ascii="Times New Roman" w:hAnsi="Times New Roman" w:cs="Times New Roman"/>
          <w:sz w:val="24"/>
          <w:szCs w:val="24"/>
        </w:rPr>
      </w:pPr>
    </w:p>
    <w:p w14:paraId="466018E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 24, stk. 2, nr. 5, </w:t>
      </w:r>
      <w:r w:rsidRPr="008D5552">
        <w:rPr>
          <w:rFonts w:ascii="Times New Roman" w:hAnsi="Times New Roman" w:cs="Times New Roman"/>
          <w:sz w:val="24"/>
          <w:szCs w:val="24"/>
        </w:rPr>
        <w:t>at der efter »jf. § 4 «indsættes» og § 4 a«.</w:t>
      </w:r>
    </w:p>
    <w:p w14:paraId="6FA7594F" w14:textId="77777777" w:rsidR="00B969C9" w:rsidRPr="008D5552" w:rsidRDefault="00B969C9" w:rsidP="00B969C9">
      <w:pPr>
        <w:spacing w:line="360" w:lineRule="auto"/>
        <w:rPr>
          <w:rFonts w:ascii="Times New Roman" w:hAnsi="Times New Roman" w:cs="Times New Roman"/>
          <w:sz w:val="24"/>
          <w:szCs w:val="24"/>
        </w:rPr>
      </w:pPr>
    </w:p>
    <w:p w14:paraId="021A2948"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foreslåedes ændring vil medføre, at en virksomhed eller person, som omfattes af en afgørelse truffet af Finanstilsynet om personens egnethed eller hæderlighed i henhold til § 4 a, også bliver part i forhold til Finanstilsynet, for så vidt angår den del af sagen, som vedrører den pågældende.</w:t>
      </w:r>
    </w:p>
    <w:p w14:paraId="40AE731E" w14:textId="77777777" w:rsidR="00B969C9" w:rsidRPr="008D5552" w:rsidRDefault="00B969C9" w:rsidP="00B969C9">
      <w:pPr>
        <w:spacing w:line="360" w:lineRule="auto"/>
        <w:rPr>
          <w:rFonts w:ascii="Times New Roman" w:hAnsi="Times New Roman" w:cs="Times New Roman"/>
          <w:sz w:val="24"/>
          <w:szCs w:val="24"/>
        </w:rPr>
      </w:pPr>
    </w:p>
    <w:p w14:paraId="7F831612" w14:textId="0EB98238"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1</w:t>
      </w:r>
      <w:r w:rsidR="00746E74">
        <w:rPr>
          <w:rFonts w:ascii="Times New Roman" w:hAnsi="Times New Roman" w:cs="Times New Roman"/>
          <w:i/>
          <w:sz w:val="24"/>
          <w:szCs w:val="24"/>
        </w:rPr>
        <w:t>3</w:t>
      </w:r>
      <w:r w:rsidRPr="008D5552">
        <w:rPr>
          <w:rFonts w:ascii="Times New Roman" w:hAnsi="Times New Roman" w:cs="Times New Roman"/>
          <w:i/>
          <w:sz w:val="24"/>
          <w:szCs w:val="24"/>
        </w:rPr>
        <w:t xml:space="preserve"> (§ 30, stk. 1, i lov om forbrugslånsvirksomheder og registrering af kreditformidlere)</w:t>
      </w:r>
    </w:p>
    <w:p w14:paraId="62F2AF0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30 i lov om forbrugslånsvirksomheder og registrering af kreditformidlere fastsætter, hvilke overtrædelser af loven der kan straffes. Bestemmelsen fastsætter endvidere strafansvar for juridiske personer samt forældelsesfristen for overtrædelse af lovens bestemmelser og regler udstedt i medfør heraf.</w:t>
      </w:r>
    </w:p>
    <w:p w14:paraId="13311DAC" w14:textId="77777777" w:rsidR="00B969C9" w:rsidRPr="008D5552" w:rsidRDefault="00B969C9" w:rsidP="00B969C9">
      <w:pPr>
        <w:spacing w:line="360" w:lineRule="auto"/>
        <w:rPr>
          <w:rFonts w:ascii="Times New Roman" w:hAnsi="Times New Roman" w:cs="Times New Roman"/>
          <w:sz w:val="24"/>
          <w:szCs w:val="24"/>
        </w:rPr>
      </w:pPr>
    </w:p>
    <w:p w14:paraId="5E4C149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gældende § 30, stk. 1, fastslår, at overtrædelse af § 3, stk. 1, § 3 a, stk. 1, § 4, stk. 2, jf. stk. 1, nr. 3 og 4, § 4, stk. 3, jf. stk. 2, jf. stk. 1, nr. 3 og 4, og § 12, stk. 1, straffes med bøde eller fængsel indtil 4 måneder, medmindre højere straf er forskyldt efter den øvrige lovgivning.</w:t>
      </w:r>
    </w:p>
    <w:p w14:paraId="27BDEAA6" w14:textId="77777777" w:rsidR="00B969C9" w:rsidRPr="008D5552" w:rsidRDefault="00B969C9" w:rsidP="00B969C9">
      <w:pPr>
        <w:spacing w:line="360" w:lineRule="auto"/>
        <w:rPr>
          <w:rFonts w:ascii="Times New Roman" w:hAnsi="Times New Roman" w:cs="Times New Roman"/>
          <w:sz w:val="24"/>
          <w:szCs w:val="24"/>
        </w:rPr>
      </w:pPr>
    </w:p>
    <w:p w14:paraId="3BDFB254"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 30, stk. 1,</w:t>
      </w:r>
      <w:r w:rsidRPr="008D5552">
        <w:rPr>
          <w:rFonts w:ascii="Times New Roman" w:hAnsi="Times New Roman" w:cs="Times New Roman"/>
          <w:sz w:val="24"/>
          <w:szCs w:val="24"/>
        </w:rPr>
        <w:t xml:space="preserve"> at der efter »§ 3 a, stk. 1« indsættes »og 6-7«, og at »og at der efter § 12, stk. 1,« indsættes:», § 12, stk. 1 og § 17, a, stk. 1 og § 18 a, stk. 1«.</w:t>
      </w:r>
    </w:p>
    <w:p w14:paraId="0FC91A0F" w14:textId="77777777" w:rsidR="00B969C9" w:rsidRPr="008D5552" w:rsidRDefault="00B969C9" w:rsidP="00B969C9">
      <w:pPr>
        <w:spacing w:line="360" w:lineRule="auto"/>
        <w:rPr>
          <w:rFonts w:ascii="Times New Roman" w:hAnsi="Times New Roman" w:cs="Times New Roman"/>
          <w:sz w:val="24"/>
          <w:szCs w:val="24"/>
        </w:rPr>
      </w:pPr>
    </w:p>
    <w:p w14:paraId="30F9674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Ændringen vil medføre, at § 3 a, stk. 1, og 6-7, samt § 17, a, stk. 1, og § 17 b, stk. 1, vil blive strafbelagt på samme måde, som de øvrige bestemmelser, der er oplistet i § 30, stk. 1.</w:t>
      </w:r>
    </w:p>
    <w:p w14:paraId="6AFAC5C2" w14:textId="77777777" w:rsidR="00B969C9" w:rsidRPr="008D5552" w:rsidRDefault="00B969C9" w:rsidP="00B969C9">
      <w:pPr>
        <w:spacing w:line="360" w:lineRule="auto"/>
        <w:rPr>
          <w:rFonts w:ascii="Times New Roman" w:hAnsi="Times New Roman" w:cs="Times New Roman"/>
          <w:sz w:val="24"/>
          <w:szCs w:val="24"/>
        </w:rPr>
      </w:pPr>
    </w:p>
    <w:p w14:paraId="3181969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For en beskrivelse af ansvarssubjekter og den strafbare handling vedrørende den strafbelagte bestemmelse, henvises der til bemærkningerne til den foreslåede § 3 a, stk. 3, nr. 1-2, jf. lovforslagets § 146, nr. 4.</w:t>
      </w:r>
    </w:p>
    <w:p w14:paraId="537A1284" w14:textId="77777777" w:rsidR="00B969C9" w:rsidRPr="008D5552" w:rsidRDefault="00B969C9" w:rsidP="00B969C9">
      <w:pPr>
        <w:spacing w:line="360" w:lineRule="auto"/>
        <w:rPr>
          <w:rFonts w:ascii="Times New Roman" w:hAnsi="Times New Roman" w:cs="Times New Roman"/>
          <w:sz w:val="24"/>
          <w:szCs w:val="24"/>
        </w:rPr>
      </w:pPr>
    </w:p>
    <w:p w14:paraId="0D2523A1"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 øvrigt henvises til bemærkningerne til § 31, stk. 1, jf. Folketingstidende 2018-19, tillæg C, L 158 som fremsat, side 72, der i dag er § 30, stk. 1, i lov om forbrugslånsvirksomheder og registrering af kreditformidlere samt bemærkningerne til § 30, stk. 1, i Folketingstidende 2025-26, tillæg A, L 19 som fremsat, side 218ff.</w:t>
      </w:r>
    </w:p>
    <w:p w14:paraId="64D48A83" w14:textId="77777777" w:rsidR="00B969C9" w:rsidRPr="008D5552" w:rsidRDefault="00B969C9" w:rsidP="00B969C9">
      <w:pPr>
        <w:spacing w:line="360" w:lineRule="auto"/>
        <w:rPr>
          <w:rFonts w:ascii="Times New Roman" w:hAnsi="Times New Roman" w:cs="Times New Roman"/>
          <w:sz w:val="24"/>
          <w:szCs w:val="24"/>
        </w:rPr>
      </w:pPr>
    </w:p>
    <w:p w14:paraId="48D2B82E" w14:textId="16621125" w:rsidR="00B969C9" w:rsidRPr="008D5552" w:rsidRDefault="00B969C9" w:rsidP="00B969C9">
      <w:pPr>
        <w:spacing w:line="360" w:lineRule="auto"/>
        <w:rPr>
          <w:rFonts w:ascii="Times New Roman" w:hAnsi="Times New Roman" w:cs="Times New Roman"/>
          <w:i/>
          <w:sz w:val="24"/>
          <w:szCs w:val="24"/>
        </w:rPr>
      </w:pPr>
      <w:r w:rsidRPr="008D5552">
        <w:rPr>
          <w:rFonts w:ascii="Times New Roman" w:hAnsi="Times New Roman" w:cs="Times New Roman"/>
          <w:i/>
          <w:sz w:val="24"/>
          <w:szCs w:val="24"/>
        </w:rPr>
        <w:t>Til nr. 1</w:t>
      </w:r>
      <w:r w:rsidR="00746E74">
        <w:rPr>
          <w:rFonts w:ascii="Times New Roman" w:hAnsi="Times New Roman" w:cs="Times New Roman"/>
          <w:i/>
          <w:sz w:val="24"/>
          <w:szCs w:val="24"/>
        </w:rPr>
        <w:t>4</w:t>
      </w:r>
      <w:r w:rsidRPr="008D5552">
        <w:rPr>
          <w:rFonts w:ascii="Times New Roman" w:hAnsi="Times New Roman" w:cs="Times New Roman"/>
          <w:i/>
          <w:sz w:val="24"/>
          <w:szCs w:val="24"/>
        </w:rPr>
        <w:t xml:space="preserve"> (§ 30, stk. 4, i lov om forbrugslånsvirksomheder og registrering af kreditformidlere)</w:t>
      </w:r>
    </w:p>
    <w:p w14:paraId="56F08876"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30 i lov om forbrugslånsvirksomheder og registrering af kreditformidlere fastsætter, hvilke overtrædelser af loven der kan straffes. Bestemmelsen fastsætter endvidere strafansvar for juridiske personer samt forældelsesfristen for overtrædelse af lovens bestemmelser og regler udstedt i medfør heraf.</w:t>
      </w:r>
    </w:p>
    <w:p w14:paraId="64B00935" w14:textId="77777777" w:rsidR="00B969C9" w:rsidRPr="008D5552" w:rsidRDefault="00B969C9" w:rsidP="00B969C9">
      <w:pPr>
        <w:spacing w:line="360" w:lineRule="auto"/>
        <w:rPr>
          <w:rFonts w:ascii="Times New Roman" w:hAnsi="Times New Roman" w:cs="Times New Roman"/>
          <w:sz w:val="24"/>
          <w:szCs w:val="24"/>
        </w:rPr>
      </w:pPr>
    </w:p>
    <w:p w14:paraId="505E1723"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Ifølge den gældende § 30, stk. 4, straffes den, der ikke efterkommer et påbud eller forbud, som er givet i medfør af § 15 og 15 a, stk. 1 og § 17, stk. 6 og 7, eller en virksomhed, der undlader at meddele eller berigtige oplysninger efter § 16, stk. 1, 2 og 5, med bøde.</w:t>
      </w:r>
    </w:p>
    <w:p w14:paraId="44AA6E3C" w14:textId="77777777" w:rsidR="00B969C9" w:rsidRPr="008D5552" w:rsidRDefault="00B969C9" w:rsidP="00B969C9">
      <w:pPr>
        <w:spacing w:line="360" w:lineRule="auto"/>
        <w:rPr>
          <w:rFonts w:ascii="Times New Roman" w:hAnsi="Times New Roman" w:cs="Times New Roman"/>
          <w:sz w:val="24"/>
          <w:szCs w:val="24"/>
        </w:rPr>
      </w:pPr>
    </w:p>
    <w:p w14:paraId="5953C970"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 xml:space="preserve">Det foreslås i </w:t>
      </w:r>
      <w:r w:rsidRPr="008D5552">
        <w:rPr>
          <w:rFonts w:ascii="Times New Roman" w:hAnsi="Times New Roman" w:cs="Times New Roman"/>
          <w:i/>
          <w:sz w:val="24"/>
          <w:szCs w:val="24"/>
        </w:rPr>
        <w:t>§ 30, stk. 4,</w:t>
      </w:r>
      <w:r w:rsidRPr="008D5552">
        <w:rPr>
          <w:rFonts w:ascii="Times New Roman" w:hAnsi="Times New Roman" w:cs="Times New Roman"/>
          <w:sz w:val="24"/>
          <w:szCs w:val="24"/>
        </w:rPr>
        <w:t xml:space="preserve"> at der efter » og § 17, stk. 6 og 7« indsættes », § 17 a, stk. 1, og § 17 b, stk. 1«.</w:t>
      </w:r>
    </w:p>
    <w:p w14:paraId="7E63BF20" w14:textId="77777777" w:rsidR="00B969C9" w:rsidRPr="008D5552" w:rsidRDefault="00B969C9" w:rsidP="00B969C9">
      <w:pPr>
        <w:spacing w:line="360" w:lineRule="auto"/>
        <w:rPr>
          <w:rFonts w:ascii="Times New Roman" w:hAnsi="Times New Roman" w:cs="Times New Roman"/>
          <w:sz w:val="24"/>
          <w:szCs w:val="24"/>
        </w:rPr>
      </w:pPr>
    </w:p>
    <w:p w14:paraId="53A82EFA"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Den foreslåede ændring vil medføre, at et påbud givet efter de foreslåede § 17 a, stk. 1 og § 17 b, stk. 1, bliver strafbelagt på samme måde som et påbud givet i medfør af §§ 15 og 15 a, stk. 1 og § 17, stk. 6 og 7. Manglende efterlevelse af Finanstilsynets påbud om afsættelse af medlemmer af en kreditformidlers øverste ledelse eller Finanstilsynets påbud om at en reel ejer skal afhænde ejerandele, bliver derved strafbelagt med bøde.</w:t>
      </w:r>
    </w:p>
    <w:p w14:paraId="761F0C80" w14:textId="77777777" w:rsidR="00B969C9" w:rsidRPr="008D5552" w:rsidRDefault="00B969C9" w:rsidP="00B969C9">
      <w:pPr>
        <w:spacing w:line="360" w:lineRule="auto"/>
        <w:rPr>
          <w:rFonts w:ascii="Times New Roman" w:hAnsi="Times New Roman" w:cs="Times New Roman"/>
          <w:sz w:val="24"/>
          <w:szCs w:val="24"/>
        </w:rPr>
      </w:pPr>
    </w:p>
    <w:p w14:paraId="202F88FB"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For en beskrivelse af ansvarssubjekter og den strafbare handling vedrørende den strafbelagte bestemmelse, henvises der til bemærkningerne til de foreslåede §§ 17 a og b, jf. lovforslagets § 146, nr. 9.</w:t>
      </w:r>
    </w:p>
    <w:p w14:paraId="5AA6D009" w14:textId="77777777" w:rsidR="00B969C9" w:rsidRPr="008D5552" w:rsidRDefault="00B969C9" w:rsidP="00B969C9">
      <w:pPr>
        <w:spacing w:line="360" w:lineRule="auto"/>
        <w:rPr>
          <w:rFonts w:ascii="Times New Roman" w:hAnsi="Times New Roman" w:cs="Times New Roman"/>
          <w:sz w:val="24"/>
          <w:szCs w:val="24"/>
        </w:rPr>
      </w:pPr>
    </w:p>
    <w:p w14:paraId="4C87D4B7" w14:textId="77777777" w:rsidR="00B969C9" w:rsidRPr="008D5552" w:rsidRDefault="00B969C9" w:rsidP="00B969C9">
      <w:pPr>
        <w:spacing w:line="360" w:lineRule="auto"/>
        <w:rPr>
          <w:rFonts w:ascii="Times New Roman" w:hAnsi="Times New Roman" w:cs="Times New Roman"/>
          <w:sz w:val="24"/>
          <w:szCs w:val="24"/>
        </w:rPr>
      </w:pPr>
      <w:r w:rsidRPr="008D5552">
        <w:rPr>
          <w:rFonts w:ascii="Times New Roman" w:hAnsi="Times New Roman" w:cs="Times New Roman"/>
          <w:sz w:val="24"/>
          <w:szCs w:val="24"/>
        </w:rPr>
        <w:t>I øvrigt henvises til bemærkningerne til § 31, stk. 1, jf. Folketingstidende 2018-19, tillæg C, L 158 som fremsat, side 72-73, der i dag er § 30, stk. 1, i lov om forbrugslånsvirksomheder og registrering af kreditformidlere samt bemærkningerne til § 30, stk. 4, i Folketingstidende 2025-26, tillæg A, L 19 som fremsat, side 219-220.</w:t>
      </w:r>
    </w:p>
    <w:p w14:paraId="3ADB4B55" w14:textId="77777777" w:rsidR="00B3743D" w:rsidRDefault="00B3743D" w:rsidP="00A802A5">
      <w:pPr>
        <w:spacing w:line="360" w:lineRule="auto"/>
        <w:rPr>
          <w:rFonts w:ascii="Times New Roman" w:hAnsi="Times New Roman" w:cs="Times New Roman"/>
        </w:rPr>
      </w:pPr>
    </w:p>
    <w:p w14:paraId="37E744BD" w14:textId="77777777" w:rsidR="00B969C9" w:rsidRPr="00796736" w:rsidRDefault="00B969C9" w:rsidP="00A802A5">
      <w:pPr>
        <w:spacing w:line="360" w:lineRule="auto"/>
        <w:rPr>
          <w:rFonts w:ascii="Times New Roman" w:hAnsi="Times New Roman" w:cs="Times New Roman"/>
        </w:rPr>
      </w:pPr>
    </w:p>
    <w:p w14:paraId="75F7E2EB" w14:textId="289B4679" w:rsidR="00686975" w:rsidRPr="00796736" w:rsidRDefault="00686975" w:rsidP="00A802A5">
      <w:pPr>
        <w:pStyle w:val="Undertitel"/>
      </w:pPr>
      <w:bookmarkStart w:id="2289" w:name="_Toc244879449"/>
      <w:bookmarkStart w:id="2290" w:name="_Toc244880974"/>
      <w:r w:rsidRPr="00796736">
        <w:t>Til</w:t>
      </w:r>
      <w:r w:rsidR="002F7F9C">
        <w:t xml:space="preserve"> </w:t>
      </w:r>
      <w:r w:rsidR="007B7BA4">
        <w:fldChar w:fldCharType="begin"/>
      </w:r>
      <w:r w:rsidR="007B7BA4">
        <w:instrText xml:space="preserve"> REF _Ref243053571 \r \h </w:instrText>
      </w:r>
      <w:r w:rsidR="00CB248D">
        <w:instrText xml:space="preserve"> \* MERGEFORMAT </w:instrText>
      </w:r>
      <w:r w:rsidR="007B7BA4">
        <w:fldChar w:fldCharType="separate"/>
      </w:r>
      <w:r w:rsidR="008F29E5">
        <w:t>§ 153</w:t>
      </w:r>
      <w:bookmarkEnd w:id="2289"/>
      <w:bookmarkEnd w:id="2290"/>
      <w:r w:rsidR="007B7BA4">
        <w:fldChar w:fldCharType="end"/>
      </w:r>
      <w:r w:rsidR="004C3D1F" w:rsidRPr="00796736">
        <w:t xml:space="preserve"> </w:t>
      </w:r>
    </w:p>
    <w:p w14:paraId="517E7228"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i/>
          <w:iCs/>
          <w:sz w:val="24"/>
          <w:szCs w:val="24"/>
        </w:rPr>
        <w:t>Til nr. 1 (Fodnoten til lov om investeringsrådgivere og boligkreditformidlere)</w:t>
      </w:r>
    </w:p>
    <w:p w14:paraId="7AEE394D"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Lov om investeringsrådgivere og boligkreditformidlere har i dag ikke en fodnote om implementering af et EU-direktiv på hvidvaskområdet.</w:t>
      </w:r>
    </w:p>
    <w:p w14:paraId="201937D6" w14:textId="77777777" w:rsidR="00533D3E" w:rsidRPr="009E1059" w:rsidRDefault="00533D3E" w:rsidP="00533D3E">
      <w:pPr>
        <w:spacing w:line="360" w:lineRule="auto"/>
        <w:rPr>
          <w:rFonts w:ascii="Times New Roman" w:eastAsia="Calibri" w:hAnsi="Times New Roman" w:cs="Times New Roman"/>
          <w:sz w:val="24"/>
          <w:szCs w:val="24"/>
        </w:rPr>
      </w:pPr>
    </w:p>
    <w:p w14:paraId="027FBFC6"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Det foreslås, at fodnoten til lovens titel ændres således, at det fremgår, at loven indeholder bestemmelser, der gennemfører dele af </w:t>
      </w:r>
      <w:r w:rsidRPr="009E1059">
        <w:rPr>
          <w:rFonts w:ascii="Times New Roman" w:eastAsia="Times New Roman" w:hAnsi="Times New Roman" w:cs="Times New Roman"/>
          <w:sz w:val="24"/>
          <w:szCs w:val="24"/>
          <w:lang w:eastAsia="da-DK"/>
        </w:rPr>
        <w:t>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r w:rsidRPr="009E1059">
        <w:rPr>
          <w:rFonts w:ascii="Times New Roman" w:eastAsia="Calibri" w:hAnsi="Times New Roman" w:cs="Times New Roman"/>
          <w:sz w:val="24"/>
          <w:szCs w:val="24"/>
        </w:rPr>
        <w:t>.</w:t>
      </w:r>
    </w:p>
    <w:p w14:paraId="79ECB6CA" w14:textId="77777777" w:rsidR="00533D3E" w:rsidRPr="009E1059" w:rsidRDefault="00533D3E" w:rsidP="00533D3E">
      <w:pPr>
        <w:spacing w:line="360" w:lineRule="auto"/>
        <w:rPr>
          <w:rFonts w:ascii="Times New Roman" w:eastAsia="Calibri" w:hAnsi="Times New Roman" w:cs="Times New Roman"/>
          <w:sz w:val="24"/>
          <w:szCs w:val="24"/>
        </w:rPr>
      </w:pPr>
    </w:p>
    <w:p w14:paraId="092D5581"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Den foreslåede ændring vil medføre, at det vil fremgå af fodnoten til lovens titel, at loven indeholder bestemmelser, der gennemfører 6. hvidvaskdirektiv, herunder bl.a. registrerings- hæderlighedskrav for kreditformidlere og kreditformidleres øverste ledelse,  når kreditformidleren er omfattet af </w:t>
      </w:r>
      <w:r w:rsidRPr="009E1059">
        <w:rPr>
          <w:rFonts w:ascii="Times New Roman" w:eastAsia="Calibri" w:hAnsi="Times New Roman" w:cs="Times New Roman"/>
          <w:iCs/>
          <w:sz w:val="24"/>
          <w:szCs w:val="24"/>
        </w:rPr>
        <w:t>artikel 3, stk. 3, litra k, i Europa-Parlamentets og Rådets forordning (EU) 2024/1624 af 31. maj 2024 om forebyggende foranstaltninger mod anvendelse af det finansielle system til hvidvask af penge eller finansiering af terrorisme.</w:t>
      </w:r>
    </w:p>
    <w:p w14:paraId="2B35F27B" w14:textId="77777777" w:rsidR="00533D3E" w:rsidRPr="009E1059" w:rsidRDefault="00533D3E" w:rsidP="00533D3E">
      <w:pPr>
        <w:spacing w:line="360" w:lineRule="auto"/>
        <w:rPr>
          <w:rFonts w:ascii="Times New Roman" w:eastAsia="Calibri" w:hAnsi="Times New Roman" w:cs="Times New Roman"/>
          <w:sz w:val="24"/>
          <w:szCs w:val="24"/>
        </w:rPr>
      </w:pPr>
    </w:p>
    <w:p w14:paraId="4FA43080"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Med den foreslåede bestemmelse gennemføres 6. hvidvaskdirektivs artikel 78, stk. 1, 3. afsnit, hvorefter de nationale love og bestemmelser, der gennemfører 6. hvidvaskdirektiv, ved vedtagelse eller offentliggørelse skal indeholde en henvisning til direktivet.</w:t>
      </w:r>
    </w:p>
    <w:p w14:paraId="68E573D7" w14:textId="77777777" w:rsidR="00533D3E" w:rsidRPr="009E1059" w:rsidRDefault="00533D3E" w:rsidP="00533D3E">
      <w:pPr>
        <w:spacing w:line="360" w:lineRule="auto"/>
        <w:rPr>
          <w:rFonts w:ascii="Times New Roman" w:eastAsia="Calibri" w:hAnsi="Times New Roman" w:cs="Times New Roman"/>
          <w:sz w:val="24"/>
          <w:szCs w:val="24"/>
        </w:rPr>
      </w:pPr>
    </w:p>
    <w:p w14:paraId="4599FB09"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i/>
          <w:iCs/>
          <w:sz w:val="24"/>
          <w:szCs w:val="24"/>
        </w:rPr>
        <w:t>Til nr. 2 (§ 2, stk. 2 i lov om investeringsrådgivere og boligkreditformidlere)</w:t>
      </w:r>
    </w:p>
    <w:p w14:paraId="3F4072BE" w14:textId="77777777" w:rsidR="00533D3E" w:rsidRPr="009E1059" w:rsidRDefault="00533D3E" w:rsidP="00533D3E">
      <w:pPr>
        <w:spacing w:line="360" w:lineRule="auto"/>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 xml:space="preserve">Boligkreditformidlere er defineret i § 2, nr. 1, i </w:t>
      </w:r>
      <w:r w:rsidRPr="009E1059">
        <w:rPr>
          <w:rFonts w:ascii="Times New Roman" w:eastAsia="Calibri" w:hAnsi="Times New Roman" w:cs="Times New Roman"/>
          <w:sz w:val="24"/>
          <w:szCs w:val="24"/>
        </w:rPr>
        <w:t xml:space="preserve">lov om investeringsrådgivere og boligkreditformidlere. Det fremgår heraf, at der ved en boligkreditformidler forstås en virksomhed, der som led i sin erhvervsmæssige hoved- eller bibeskæftigelse præsenterer eller tilbyder boligkreditaftaler til forbrugere, indgår sådanne aftaler med en forbruger på vegne af en kreditgiver eller bistår en forbruger med rådgivning, administration eller andet forberedende arbejde forud for indgåelsen af en boligkreditaftale. </w:t>
      </w:r>
    </w:p>
    <w:p w14:paraId="267EC123" w14:textId="77777777" w:rsidR="00533D3E" w:rsidRPr="009E1059" w:rsidRDefault="00533D3E" w:rsidP="00533D3E">
      <w:pPr>
        <w:spacing w:line="360" w:lineRule="auto"/>
        <w:rPr>
          <w:rFonts w:ascii="Times New Roman" w:eastAsia="Times New Roman" w:hAnsi="Times New Roman" w:cs="Times New Roman"/>
          <w:sz w:val="24"/>
          <w:szCs w:val="24"/>
          <w:lang w:eastAsia="da-DK"/>
        </w:rPr>
      </w:pPr>
    </w:p>
    <w:p w14:paraId="67C41495"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eastAsia="Times New Roman" w:hAnsi="Times New Roman" w:cs="Times New Roman"/>
          <w:sz w:val="24"/>
          <w:szCs w:val="24"/>
          <w:lang w:eastAsia="da-DK"/>
        </w:rPr>
        <w:t>L</w:t>
      </w:r>
      <w:r w:rsidRPr="009E1059">
        <w:rPr>
          <w:rFonts w:ascii="Times New Roman" w:eastAsia="Calibri" w:hAnsi="Times New Roman" w:cs="Times New Roman"/>
          <w:sz w:val="24"/>
          <w:szCs w:val="24"/>
        </w:rPr>
        <w:t>ov om investeringsrådgivere og boligkreditformidlere</w:t>
      </w:r>
      <w:r w:rsidRPr="009E1059">
        <w:rPr>
          <w:rFonts w:ascii="Times New Roman" w:eastAsia="Times New Roman" w:hAnsi="Times New Roman" w:cs="Times New Roman"/>
          <w:sz w:val="24"/>
          <w:szCs w:val="24"/>
          <w:lang w:eastAsia="da-DK"/>
        </w:rPr>
        <w:t xml:space="preserve"> indeholder i dag ikke en definition på en kreditformidler omfattet af </w:t>
      </w:r>
      <w:r w:rsidRPr="009E1059">
        <w:rPr>
          <w:rFonts w:ascii="Times New Roman" w:hAnsi="Times New Roman" w:cs="Times New Roman"/>
          <w:sz w:val="24"/>
          <w:szCs w:val="24"/>
        </w:rPr>
        <w:t>artikel 3, stk. 3, litra k, i forordning (EU) 2024/1624.</w:t>
      </w:r>
    </w:p>
    <w:p w14:paraId="68569329" w14:textId="77777777" w:rsidR="00533D3E" w:rsidRPr="009E1059" w:rsidRDefault="00533D3E" w:rsidP="00533D3E">
      <w:pPr>
        <w:spacing w:line="360" w:lineRule="auto"/>
        <w:rPr>
          <w:rFonts w:ascii="Times New Roman" w:eastAsia="Times New Roman" w:hAnsi="Times New Roman" w:cs="Times New Roman"/>
          <w:sz w:val="24"/>
          <w:szCs w:val="24"/>
          <w:lang w:eastAsia="da-DK"/>
        </w:rPr>
      </w:pPr>
    </w:p>
    <w:p w14:paraId="5C586F79"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eastAsia="Times New Roman" w:hAnsi="Times New Roman" w:cs="Times New Roman"/>
          <w:sz w:val="24"/>
          <w:szCs w:val="24"/>
          <w:lang w:eastAsia="da-DK"/>
        </w:rPr>
        <w:t>Det foreslås i </w:t>
      </w:r>
      <w:r w:rsidRPr="009E1059">
        <w:rPr>
          <w:rFonts w:ascii="Times New Roman" w:eastAsia="Times New Roman" w:hAnsi="Times New Roman" w:cs="Times New Roman"/>
          <w:i/>
          <w:iCs/>
          <w:sz w:val="24"/>
          <w:szCs w:val="24"/>
          <w:lang w:eastAsia="da-DK"/>
        </w:rPr>
        <w:t>§ 2, nr. 2,</w:t>
      </w:r>
      <w:r w:rsidRPr="009E1059">
        <w:rPr>
          <w:rFonts w:ascii="Times New Roman" w:eastAsia="Times New Roman" w:hAnsi="Times New Roman" w:cs="Times New Roman"/>
          <w:sz w:val="24"/>
          <w:szCs w:val="24"/>
          <w:lang w:eastAsia="da-DK"/>
        </w:rPr>
        <w:t xml:space="preserve"> at boligkreditformidlere </w:t>
      </w:r>
      <w:r w:rsidRPr="009E1059">
        <w:rPr>
          <w:rFonts w:ascii="Times New Roman" w:hAnsi="Times New Roman" w:cs="Times New Roman"/>
          <w:sz w:val="24"/>
          <w:szCs w:val="24"/>
        </w:rPr>
        <w:t>omfattet af forordning (EU) 2024/1624</w:t>
      </w:r>
      <w:r w:rsidRPr="009E1059">
        <w:rPr>
          <w:rFonts w:ascii="Times New Roman" w:eastAsia="Times New Roman" w:hAnsi="Times New Roman" w:cs="Times New Roman"/>
          <w:sz w:val="24"/>
          <w:szCs w:val="24"/>
          <w:lang w:eastAsia="da-DK"/>
        </w:rPr>
        <w:t xml:space="preserve"> defineres som en </w:t>
      </w:r>
      <w:r w:rsidRPr="009E1059">
        <w:rPr>
          <w:rFonts w:ascii="Times New Roman" w:hAnsi="Times New Roman" w:cs="Times New Roman"/>
          <w:sz w:val="24"/>
          <w:szCs w:val="24"/>
        </w:rPr>
        <w:t>virksomhed omfattet af artikel 3, stk. 3, litra k og artikel 2, nr. 6, litra h, i forordning (EU) 2024/1624.</w:t>
      </w:r>
    </w:p>
    <w:p w14:paraId="47B95E28" w14:textId="77777777" w:rsidR="00533D3E" w:rsidRPr="009E1059" w:rsidRDefault="00533D3E" w:rsidP="00533D3E">
      <w:pPr>
        <w:spacing w:line="360" w:lineRule="auto"/>
        <w:rPr>
          <w:rFonts w:ascii="Times New Roman" w:hAnsi="Times New Roman" w:cs="Times New Roman"/>
          <w:sz w:val="24"/>
          <w:szCs w:val="24"/>
        </w:rPr>
      </w:pPr>
    </w:p>
    <w:p w14:paraId="2D5DFF45" w14:textId="77777777" w:rsidR="00533D3E" w:rsidRPr="009E1059" w:rsidRDefault="00533D3E" w:rsidP="00533D3E">
      <w:pPr>
        <w:spacing w:line="360" w:lineRule="auto"/>
        <w:rPr>
          <w:rFonts w:ascii="Times New Roman" w:eastAsia="Calibri" w:hAnsi="Times New Roman" w:cs="Times New Roman"/>
          <w:iCs/>
          <w:sz w:val="24"/>
          <w:szCs w:val="24"/>
        </w:rPr>
      </w:pPr>
      <w:r w:rsidRPr="009E1059">
        <w:rPr>
          <w:rFonts w:ascii="Times New Roman" w:eastAsia="Calibri" w:hAnsi="Times New Roman" w:cs="Times New Roman"/>
          <w:iCs/>
          <w:sz w:val="24"/>
          <w:szCs w:val="24"/>
        </w:rPr>
        <w:t>Bestemmelsen er ny og skal ses i lyset af de foreslåede bestemmelser i lovforslagets § 147, nr. 3-7, der implementerer artikel 4, stk. 3, samt artikel 6, stk. 2-5, 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p>
    <w:p w14:paraId="0A16D2A3" w14:textId="77777777" w:rsidR="00533D3E" w:rsidRPr="009E1059" w:rsidRDefault="00533D3E" w:rsidP="00533D3E">
      <w:pPr>
        <w:spacing w:line="360" w:lineRule="auto"/>
        <w:rPr>
          <w:rFonts w:ascii="Times New Roman" w:eastAsia="Calibri" w:hAnsi="Times New Roman" w:cs="Times New Roman"/>
          <w:iCs/>
          <w:sz w:val="24"/>
          <w:szCs w:val="24"/>
        </w:rPr>
      </w:pPr>
    </w:p>
    <w:p w14:paraId="289B5F27" w14:textId="77777777" w:rsidR="00533D3E" w:rsidRPr="009E1059" w:rsidRDefault="00533D3E" w:rsidP="00533D3E">
      <w:pPr>
        <w:spacing w:line="360" w:lineRule="auto"/>
        <w:rPr>
          <w:rFonts w:ascii="Times New Roman" w:eastAsia="Calibri" w:hAnsi="Times New Roman" w:cs="Times New Roman"/>
          <w:iCs/>
          <w:sz w:val="24"/>
          <w:szCs w:val="24"/>
        </w:rPr>
      </w:pPr>
      <w:r w:rsidRPr="009E1059">
        <w:rPr>
          <w:rFonts w:ascii="Times New Roman" w:eastAsia="Calibri" w:hAnsi="Times New Roman" w:cs="Times New Roman"/>
          <w:iCs/>
          <w:sz w:val="24"/>
          <w:szCs w:val="24"/>
        </w:rPr>
        <w:t>Europa-Parlamentets og Rådets forordning (EU) 2024/1624 artikel 3 opregner de enheder, der anses for forpligtede med henblik på forordningens krav om forebyggelse af hvidvask og finansiering af terrorisme. Bestemmelsen udvider kredsen af forpligtede enheder i forhold til tidligere EU-regulering, herunder bl.a. til visse kreditformidlere. Det er således fastsat i forordningens artikel 3, stk. 3, litra k, at de forpligtede enheder omfatter kreditformidlere af realkreditlån og forbrugerkreditter, undtagen kreditinstitutter og finansieringsinstitutter, der udøver aktiviteter på en eller flere kreditgiveres eller kreditformidleres ansvar.</w:t>
      </w:r>
    </w:p>
    <w:p w14:paraId="6B9E2DE3" w14:textId="77777777" w:rsidR="00533D3E" w:rsidRPr="009E1059" w:rsidRDefault="00533D3E" w:rsidP="00533D3E">
      <w:pPr>
        <w:spacing w:line="360" w:lineRule="auto"/>
        <w:rPr>
          <w:rFonts w:ascii="Times New Roman" w:eastAsia="Calibri" w:hAnsi="Times New Roman" w:cs="Times New Roman"/>
          <w:iCs/>
          <w:sz w:val="24"/>
          <w:szCs w:val="24"/>
        </w:rPr>
      </w:pPr>
    </w:p>
    <w:p w14:paraId="2E534BB0" w14:textId="77777777" w:rsidR="00533D3E" w:rsidRPr="009E1059" w:rsidRDefault="00533D3E" w:rsidP="00533D3E">
      <w:pPr>
        <w:spacing w:line="360" w:lineRule="auto"/>
        <w:rPr>
          <w:rFonts w:ascii="Times New Roman" w:eastAsia="Calibri" w:hAnsi="Times New Roman" w:cs="Times New Roman"/>
          <w:iCs/>
          <w:sz w:val="24"/>
          <w:szCs w:val="24"/>
        </w:rPr>
      </w:pPr>
      <w:r w:rsidRPr="009E1059">
        <w:rPr>
          <w:rFonts w:ascii="Times New Roman" w:eastAsia="Calibri" w:hAnsi="Times New Roman" w:cs="Times New Roman"/>
          <w:iCs/>
          <w:sz w:val="24"/>
          <w:szCs w:val="24"/>
        </w:rPr>
        <w:t>En kreditformidler er i forordningens artikel 2, nr. 6, litra h, defineret som en kreditformidler som defineret i artikel 4, nr. 5, i direktiv 2014/17/EU, når denne besidder midler som defineret i artikel 4, nr. 25, i direktiv (EU) 2015/2366 i forbindelse med kreditaftalen, med undtagelse af en kreditformidler, der udfører aktiviteter på en eller flere kreditgiveres eller kreditformidleres ansvar.</w:t>
      </w:r>
    </w:p>
    <w:p w14:paraId="4C8B59E8" w14:textId="77777777" w:rsidR="00533D3E" w:rsidRPr="009E1059" w:rsidRDefault="00533D3E" w:rsidP="00533D3E">
      <w:pPr>
        <w:spacing w:line="360" w:lineRule="auto"/>
        <w:rPr>
          <w:rFonts w:ascii="Times New Roman" w:hAnsi="Times New Roman" w:cs="Times New Roman"/>
          <w:sz w:val="24"/>
          <w:szCs w:val="24"/>
        </w:rPr>
      </w:pPr>
    </w:p>
    <w:p w14:paraId="1904F140"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i/>
          <w:iCs/>
          <w:sz w:val="24"/>
          <w:szCs w:val="24"/>
        </w:rPr>
        <w:t>Til nr. 3 (</w:t>
      </w:r>
      <w:r w:rsidRPr="009E1059">
        <w:rPr>
          <w:rFonts w:ascii="Times New Roman" w:hAnsi="Times New Roman" w:cs="Times New Roman"/>
          <w:i/>
          <w:iCs/>
          <w:sz w:val="24"/>
          <w:szCs w:val="24"/>
        </w:rPr>
        <w:t>§ 3, stk. 3, nr. 6,</w:t>
      </w:r>
      <w:r w:rsidRPr="009E1059">
        <w:rPr>
          <w:rFonts w:ascii="Times New Roman" w:eastAsia="Calibri" w:hAnsi="Times New Roman" w:cs="Times New Roman"/>
          <w:i/>
          <w:iCs/>
          <w:sz w:val="24"/>
          <w:szCs w:val="24"/>
        </w:rPr>
        <w:t xml:space="preserve"> i lov om investeringsrådgivere og boligkreditformidlere)</w:t>
      </w:r>
    </w:p>
    <w:p w14:paraId="6DA7E12A"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fremgår af § 3, stk. 1, i </w:t>
      </w:r>
      <w:r w:rsidRPr="009E1059">
        <w:rPr>
          <w:rFonts w:ascii="Times New Roman" w:eastAsia="Calibri" w:hAnsi="Times New Roman" w:cs="Times New Roman"/>
          <w:sz w:val="24"/>
          <w:szCs w:val="24"/>
        </w:rPr>
        <w:t>lov om investeringsrådgivere og boligkreditformidlere</w:t>
      </w:r>
      <w:r w:rsidRPr="009E1059">
        <w:rPr>
          <w:rFonts w:ascii="Times New Roman" w:hAnsi="Times New Roman" w:cs="Times New Roman"/>
          <w:sz w:val="24"/>
          <w:szCs w:val="24"/>
        </w:rPr>
        <w:t>, at en virksomhed, der yder rådgivning om eller formidling af boligkreditaftaler, eller en virksomhed, der udøver investeringsrådgivning, skal have Finanstilsynets tilladelse som boligkreditformidler.</w:t>
      </w:r>
    </w:p>
    <w:p w14:paraId="5C75FBF2" w14:textId="77777777" w:rsidR="00533D3E" w:rsidRPr="009E1059" w:rsidRDefault="00533D3E" w:rsidP="00533D3E">
      <w:pPr>
        <w:suppressAutoHyphens/>
        <w:spacing w:line="360" w:lineRule="auto"/>
        <w:rPr>
          <w:rFonts w:ascii="Times New Roman" w:hAnsi="Times New Roman" w:cs="Times New Roman"/>
          <w:sz w:val="24"/>
          <w:szCs w:val="24"/>
        </w:rPr>
      </w:pPr>
    </w:p>
    <w:p w14:paraId="354F5E23"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følger af § 3, stk. 3, at Finanstilsynet giver en tilladelse, når nærmere fastsatte betingelser er opfyldt, jf. § 3, stk. 3, nr. 1-5. Dette indebærer, at virksomheder, der yder rådgivning om eller formidling af boligkreditaftaler, eller som udøver investeringsrådgivning, skal opfylde krav vedrørende blandt andet hovedkontor og hjemsted, ledelse og ejere, forvaltning, samt hæderlighed, før der kan meddeles tilladelse. </w:t>
      </w:r>
    </w:p>
    <w:p w14:paraId="40DB3BC8" w14:textId="77777777" w:rsidR="00533D3E" w:rsidRPr="009E1059" w:rsidRDefault="00533D3E" w:rsidP="00533D3E">
      <w:pPr>
        <w:suppressAutoHyphens/>
        <w:spacing w:line="360" w:lineRule="auto"/>
        <w:rPr>
          <w:rFonts w:ascii="Times New Roman" w:hAnsi="Times New Roman" w:cs="Times New Roman"/>
          <w:sz w:val="24"/>
          <w:szCs w:val="24"/>
        </w:rPr>
      </w:pPr>
    </w:p>
    <w:p w14:paraId="3591440B"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Det er i § 3, stk. 3, nr. 3, fastsat, at det er en betingelse for, at Finanstilsynet kan give tilladelse, at en boligkreditformidlers bestyrelse og direktion, indehaveren, hvis virksomheden drives som en enkeltmandsvirksomhed, eller den eller de ledelsesansvarlige for virksomheden, såfremt virksomheden drives som en juridisk person uden bestyrelse eller direktion, opfylder egnet- og hæderlighedskravene i § 4.</w:t>
      </w:r>
    </w:p>
    <w:p w14:paraId="20EC326A" w14:textId="77777777" w:rsidR="00533D3E" w:rsidRPr="009E1059" w:rsidRDefault="00533D3E" w:rsidP="00533D3E">
      <w:pPr>
        <w:suppressAutoHyphens/>
        <w:spacing w:line="360" w:lineRule="auto"/>
        <w:rPr>
          <w:rFonts w:ascii="Times New Roman" w:hAnsi="Times New Roman" w:cs="Times New Roman"/>
          <w:sz w:val="24"/>
          <w:szCs w:val="24"/>
        </w:rPr>
      </w:pPr>
    </w:p>
    <w:p w14:paraId="2056CCE0"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Efter lovens § 4, stk. 1, skal de pågældende personer have tilstrækkelig viden, faglig kompetence og erfaring til at kunne varetage hvervet eller stillingen, jf. nr. 1, have et tilstrækkeligt godt omdømme og kunne udvise hæderlighed, integritet og tilstrækkelig uafhængighed ved varetagelsen af hvervet eller stillingen, jf. nr. 2. De må desuden ikke være pålagt strafansvar for overtrædelse af straffeloven, den finansielle lovgivning eller anden relevant lovgivning, hvis overtrædelsen indebærer risiko for, at vedkommende ikke kan varetage sit hverv eller sin stilling på betryggende måde, jf. nr. 3. Endvidere må de ikke have indgivet begæring om eller være under rekonstruktionsbehandling, konkurs eller gældssanering, jf. nr. 4, ligesom de ikke må have udvist en sådan adfærd, at der er grund til at antage, at de ikke vil varetage hvervet eller stillingen på forsvarlig måde, jf. nr. 5.</w:t>
      </w:r>
    </w:p>
    <w:p w14:paraId="3CFE61FA" w14:textId="77777777" w:rsidR="00533D3E" w:rsidRPr="009E1059" w:rsidRDefault="00533D3E" w:rsidP="00533D3E">
      <w:pPr>
        <w:suppressAutoHyphens/>
        <w:spacing w:line="360" w:lineRule="auto"/>
        <w:rPr>
          <w:rFonts w:ascii="Times New Roman" w:hAnsi="Times New Roman" w:cs="Times New Roman"/>
          <w:sz w:val="24"/>
          <w:szCs w:val="24"/>
        </w:rPr>
      </w:pPr>
    </w:p>
    <w:p w14:paraId="06017AEE"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Lov om investeringsrådgivere og boligkreditformidlere indeholder i dag ikke krav om at andre personer end de i § 3, stk. 3, nr. 3, nævnte personer, herunder medlemmer af en investeringsrådgivers eller kreditformidlers bestyrelse og direktion, skal overholde hæderlighedskravene i lovens § 4, stk. 1, nr. 3. </w:t>
      </w:r>
    </w:p>
    <w:p w14:paraId="01D5BE67" w14:textId="77777777" w:rsidR="00533D3E" w:rsidRPr="009E1059" w:rsidRDefault="00533D3E" w:rsidP="00533D3E">
      <w:pPr>
        <w:suppressAutoHyphens/>
        <w:spacing w:line="360" w:lineRule="auto"/>
        <w:rPr>
          <w:rFonts w:ascii="Times New Roman" w:hAnsi="Times New Roman" w:cs="Times New Roman"/>
          <w:sz w:val="24"/>
          <w:szCs w:val="24"/>
        </w:rPr>
      </w:pPr>
    </w:p>
    <w:p w14:paraId="7FF622E5" w14:textId="77777777" w:rsidR="00533D3E" w:rsidRPr="009E1059" w:rsidRDefault="00533D3E" w:rsidP="00533D3E">
      <w:pPr>
        <w:suppressAutoHyphens/>
        <w:spacing w:line="360" w:lineRule="auto"/>
        <w:rPr>
          <w:rFonts w:ascii="Times New Roman" w:eastAsia="Calibri" w:hAnsi="Times New Roman" w:cs="Times New Roman"/>
          <w:sz w:val="24"/>
          <w:szCs w:val="24"/>
        </w:rPr>
      </w:pPr>
      <w:r w:rsidRPr="009E1059">
        <w:rPr>
          <w:rFonts w:ascii="Times New Roman" w:hAnsi="Times New Roman" w:cs="Times New Roman"/>
          <w:sz w:val="24"/>
          <w:szCs w:val="24"/>
        </w:rPr>
        <w:t>Den foreslåede bestemmelse fastlægger rammerne for, at Finanstilsynet kan gribe ind over for reelle ejere, der udøver væsentlig indflydelse eller kontrol over en kreditformidler samt</w:t>
      </w:r>
      <w:r w:rsidRPr="009E1059">
        <w:rPr>
          <w:rFonts w:ascii="Times New Roman" w:eastAsia="Calibri" w:hAnsi="Times New Roman" w:cs="Times New Roman"/>
          <w:sz w:val="24"/>
          <w:szCs w:val="24"/>
        </w:rPr>
        <w:t xml:space="preserve"> </w:t>
      </w:r>
      <w:r w:rsidRPr="009E1059">
        <w:rPr>
          <w:rFonts w:ascii="Times New Roman" w:hAnsi="Times New Roman" w:cs="Times New Roman"/>
          <w:sz w:val="24"/>
          <w:szCs w:val="24"/>
        </w:rPr>
        <w:t>medarbejdere og ansatte i en boligkreditformidler med tilstrækkeligt kendskab til den forpligtede enheds risikoeksponering for hvidvask af penge og finansiering af terrorisme og med tilstrækkelig anciennitet til at træffe beslutninger med indvirkning på dets risikoeksponering</w:t>
      </w:r>
      <w:r w:rsidRPr="009E1059">
        <w:rPr>
          <w:rFonts w:ascii="Times New Roman" w:eastAsia="Calibri" w:hAnsi="Times New Roman" w:cs="Times New Roman"/>
          <w:sz w:val="24"/>
          <w:szCs w:val="24"/>
        </w:rPr>
        <w:t xml:space="preserve">, såfremt </w:t>
      </w:r>
      <w:r w:rsidRPr="009E1059">
        <w:rPr>
          <w:rFonts w:ascii="Times New Roman" w:hAnsi="Times New Roman" w:cs="Times New Roman"/>
          <w:sz w:val="24"/>
          <w:szCs w:val="24"/>
        </w:rPr>
        <w:t xml:space="preserve">de pågældende personer ikke opfylder hæderlighedskravet i lovens § 4. </w:t>
      </w:r>
    </w:p>
    <w:p w14:paraId="20A5B537" w14:textId="77777777" w:rsidR="00533D3E" w:rsidRPr="009E1059" w:rsidRDefault="00533D3E" w:rsidP="00533D3E">
      <w:pPr>
        <w:suppressAutoHyphens/>
        <w:spacing w:line="360" w:lineRule="auto"/>
        <w:rPr>
          <w:rFonts w:ascii="Times New Roman" w:eastAsia="Calibri" w:hAnsi="Times New Roman" w:cs="Times New Roman"/>
          <w:sz w:val="24"/>
          <w:szCs w:val="24"/>
        </w:rPr>
      </w:pPr>
    </w:p>
    <w:p w14:paraId="1025B981"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eastAsia="Calibri" w:hAnsi="Times New Roman" w:cs="Times New Roman"/>
          <w:sz w:val="24"/>
          <w:szCs w:val="24"/>
        </w:rPr>
        <w:t xml:space="preserve">Den foreslåede bestemmelse vil implementere artikel 4, stk. 2, i </w:t>
      </w:r>
      <w:r w:rsidRPr="009E1059">
        <w:rPr>
          <w:rFonts w:ascii="Times New Roman" w:hAnsi="Times New Roman" w:cs="Times New Roman"/>
          <w:sz w:val="24"/>
          <w:szCs w:val="24"/>
        </w:rPr>
        <w:t xml:space="preserve">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w:t>
      </w:r>
    </w:p>
    <w:p w14:paraId="124A3806" w14:textId="77777777" w:rsidR="00533D3E" w:rsidRPr="009E1059" w:rsidRDefault="00533D3E" w:rsidP="00533D3E">
      <w:pPr>
        <w:suppressAutoHyphens/>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 </w:t>
      </w:r>
    </w:p>
    <w:p w14:paraId="4453ED76"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foreslås i </w:t>
      </w:r>
      <w:r w:rsidRPr="009E1059">
        <w:rPr>
          <w:rFonts w:ascii="Times New Roman" w:hAnsi="Times New Roman" w:cs="Times New Roman"/>
          <w:i/>
          <w:iCs/>
          <w:sz w:val="24"/>
          <w:szCs w:val="24"/>
        </w:rPr>
        <w:t xml:space="preserve">§ 3 stk. 3, </w:t>
      </w:r>
      <w:r w:rsidRPr="009E1059">
        <w:rPr>
          <w:rFonts w:ascii="Times New Roman" w:hAnsi="Times New Roman" w:cs="Times New Roman"/>
          <w:sz w:val="24"/>
          <w:szCs w:val="24"/>
        </w:rPr>
        <w:t>at indsætte et nyt nr. 6, hvorefter, at en reel ejer eller en medarbejder eller ansat i en boligkreditformidler, som nævnt i den foreslåede § 2, nr. 2 med tilstrækkeligt kendskab til den forpligtede enheds risikoeksponering for hvidvask af penge og finansiering af terrorisme og med tilstrækkelig anciennitet til at træffe beslutninger med indvirkning på dets risikoeksponering, opfylder kravene i § 4, stk. 1, nr. 3</w:t>
      </w:r>
    </w:p>
    <w:p w14:paraId="62C992F2" w14:textId="77777777" w:rsidR="00533D3E" w:rsidRPr="009E1059" w:rsidRDefault="00533D3E" w:rsidP="00533D3E">
      <w:pPr>
        <w:suppressAutoHyphens/>
        <w:spacing w:line="360" w:lineRule="auto"/>
        <w:rPr>
          <w:rFonts w:ascii="Times New Roman" w:hAnsi="Times New Roman" w:cs="Times New Roman"/>
          <w:sz w:val="24"/>
          <w:szCs w:val="24"/>
        </w:rPr>
      </w:pPr>
    </w:p>
    <w:p w14:paraId="6A1727E7"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skal ses i sammenhæng med de foreslåede bestemmelser i lovforslagets § 147, nr. 2 og 3, hvorefter, at § 4, stk. 1, nr. 3, og stk. 2-5, i </w:t>
      </w:r>
      <w:r w:rsidRPr="009E1059">
        <w:rPr>
          <w:rFonts w:ascii="Times New Roman" w:eastAsia="Calibri" w:hAnsi="Times New Roman" w:cs="Times New Roman"/>
          <w:sz w:val="24"/>
          <w:szCs w:val="24"/>
        </w:rPr>
        <w:t>lov om investeringsrådgivere og boligkreditformidlere</w:t>
      </w:r>
      <w:r w:rsidRPr="009E1059">
        <w:rPr>
          <w:rFonts w:ascii="Times New Roman" w:hAnsi="Times New Roman" w:cs="Times New Roman"/>
          <w:sz w:val="24"/>
          <w:szCs w:val="24"/>
        </w:rPr>
        <w:t xml:space="preserve"> finder tilsvarende anvendelse i relation til en reel ejer af en boligkreditformidler, som nævnt i den foreslåede § 2, nr. 2, eller en ansat eller en medarbejder med tilstrækkeligt kendskab til virksomhedens risikoeksponering for hvidvask af penge og finansiering af terrorisme og med tilstrækkelig anciennitet til at træffe beslutninger med indvirkning på dets risikoeksponering. </w:t>
      </w:r>
    </w:p>
    <w:p w14:paraId="1562A888"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Den foreslåede bestemmelse skal desuden i ses i sammenhæng med bestemmelsen i lovforslagets § 147, pkt. 4, hvorefter et medlem af bestyrelsen eller direktionen, indehaveren af en boligkreditformidler, der er en enkeltmandsvirksomhed, en reel ejer eller en medarbejder eller ansat i en boligkreditformidler med tilstrækkeligt kendskab til virksomhedens risikoeksponering for hvidvask af penge og finansiering af terrorisme og med tilstrækkelig anciennitet til at træffe beslutninger med indvirkning på dets risikoeksponeringen, der har handlet i fællesskab med en person, der er pålagt strafansvar for overtrædelse af straffeloven, den finansielle lovgivning eller anden relevant lovgivning, om de pågældende lovovertrædelser, ikke kan bestride en stilling eller hverv, varetage en funktion i den øverste eller daglige ledelse eller være reel ejer i boligkreditformidler, som nævnt i det forslåede § 2, nr. 2, der er tilladelsespligtig efter § 3, stk. 1.</w:t>
      </w:r>
    </w:p>
    <w:p w14:paraId="04E81432"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Den foreslåede bestemmelse vil medføre, Finanstilsynet ikke kan meddele en virksomhed, som nævnt det foreslåede § 2, nr. 2, tilladelse til at udøve virksomhed som boligkreditformidler, hvis en reel ejer af virksomheden eller en ansat eller en medarbejder med tilstrækkeligt kendskab til virksomhedens risikoeksponering for hvidvask af penge og finansiering af terrorisme og med tilstrækkelig anciennitet til at træffe beslutninger med indvirkning på dets risikoeksponering, er pålagt strafansvar for en overtrædelse af straffeloven, den finansielle lovgivning eller anden relevant lovgivning, hvis overtrædelsen indebærer risiko for, at vedkommende ikke kan varetage sit sin stilling eller kontrollerende indflydelse på en betryggende måde. Personen må ligeledes som udgangspunkt forlade sin stilling eller afhænde sine ejerandele, hvis personen efter at kreditformidleren er blevet registreret hos Finanstilsynet, bliver pålagt strafansvar for sådanne overtrædelser. Sker det ikke, kan Finanstilsynet påbyde kreditformidleren at afsætte den ansatte eller medarbejderen i medfør af det foreslåede § 14, stk. 10, jf. § 14, stk. 3, påbyde den reelle ejer at ophøre med at udøve kontrol, herunder afhænde sine ejerandele helt eller delvist i medfør af § 14 b, stk. 1, eller inddrage tilladelsen i medfør af den foreslåede § 15, stk. 1, nr. 5.</w:t>
      </w:r>
    </w:p>
    <w:p w14:paraId="565B6AC6"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Bestemmelsen vil omvendt ikke finde anvendelse, såfremt en boligkreditformidler, ikke falder ind under anvendelsesområdet i artikel 3, stk. 3, litra k og definitionen i artikel 2, nr. 6, litra h, i forordning (EU) 2024/1624.En reel ejer skal forstås i overensstemmelse med definitionen i artikel 2, stk. 1, nr. 28, i Europa-Parlamentets og Rådets forordning (EU) 2024/1624 af 31. maj 2024 om forebyggende foranstaltninger mod anvendelse af det finansielle system til hvidvask af penge eller finansiering af terrorisme, hvorefter en reel ejer defineres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forordningens kapitel 4.</w:t>
      </w:r>
    </w:p>
    <w:p w14:paraId="0C1C1901"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En medarbejder eller ansat i en boligkreditformidler med tilstrækkeligt kendskab til den forpligtede enheds risikoeksponering for hvidvask af penge og finansiering af terrorisme og med tilstrækkelig anciennitet til at træffe beslutninger med indvirkning på dets risikoeksponering, skal forstås i overensstemmelse med definitionen af øverste ledelse i artikel 2, stk. 1, nr. 40, i Europa-Parlamentets og Rådets forordning (EU) 2024/1624 af 31. maj 2024 om forebyggende foranstaltninger mod anvendelse af det finansielle system til hvidvask af penge eller finansiering af terrorisme.</w:t>
      </w:r>
    </w:p>
    <w:p w14:paraId="2CF8047F"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i/>
          <w:iCs/>
          <w:sz w:val="24"/>
          <w:szCs w:val="24"/>
        </w:rPr>
        <w:t>Til nr. 4 (</w:t>
      </w:r>
      <w:r w:rsidRPr="009E1059">
        <w:rPr>
          <w:rFonts w:ascii="Times New Roman" w:hAnsi="Times New Roman" w:cs="Times New Roman"/>
          <w:i/>
          <w:iCs/>
          <w:sz w:val="24"/>
          <w:szCs w:val="24"/>
        </w:rPr>
        <w:t>§</w:t>
      </w:r>
      <w:r w:rsidRPr="009E1059">
        <w:rPr>
          <w:rFonts w:ascii="Times New Roman" w:eastAsia="Calibri" w:hAnsi="Times New Roman" w:cs="Times New Roman"/>
          <w:i/>
          <w:iCs/>
          <w:sz w:val="24"/>
          <w:szCs w:val="24"/>
        </w:rPr>
        <w:t xml:space="preserve"> 4, stk. 7-9, i lov om investeringsrådgivere og boligkreditformidlere)</w:t>
      </w:r>
    </w:p>
    <w:p w14:paraId="41D13A67"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eastAsia="Calibri" w:hAnsi="Times New Roman" w:cs="Times New Roman"/>
          <w:sz w:val="24"/>
          <w:szCs w:val="24"/>
        </w:rPr>
        <w:t>Lov om investeringsrådgivere og boligkreditformidlere</w:t>
      </w:r>
      <w:r w:rsidRPr="009E1059">
        <w:rPr>
          <w:rFonts w:ascii="Times New Roman" w:hAnsi="Times New Roman" w:cs="Times New Roman"/>
          <w:sz w:val="24"/>
          <w:szCs w:val="24"/>
        </w:rPr>
        <w:t xml:space="preserve"> § 4 fastsætter krav om egnethed og hæderlighed for medlemmer af bestyrelsen eller direktionen hos en investeringsrådgiver eller en boligkreditformidler eller en indehaver af en investeringsrådgiver eller boligkreditformidler, der er en enkeltmandsvirksomhed. Kravene til ledelsesmedlemmernes egnethed og hæderlighed skal være opfyldt for, at Finanstilsynet kan meddele tilladelse til at drive virksomhed. Egnetheds- og hæderlighedskravene skal til enhver tid være opfyldt.</w:t>
      </w:r>
    </w:p>
    <w:p w14:paraId="12BA5916" w14:textId="77777777" w:rsidR="00533D3E" w:rsidRPr="009E1059" w:rsidRDefault="00533D3E" w:rsidP="00533D3E">
      <w:pPr>
        <w:spacing w:line="360" w:lineRule="auto"/>
        <w:rPr>
          <w:rFonts w:ascii="Times New Roman" w:hAnsi="Times New Roman" w:cs="Times New Roman"/>
          <w:sz w:val="24"/>
          <w:szCs w:val="24"/>
        </w:rPr>
      </w:pPr>
    </w:p>
    <w:p w14:paraId="11F86867"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Efter bestemmelsens stk. 1 skal de pågældende personer have tilstrækkelig viden, faglig kompetence og erfaring til at kunne varetage hvervet eller stillingen, jf. nr. 1, have et tilstrækkeligt godt omdømme og kunne udvise hæderlighed, integritet og tilstrækkelig uafhængighed ved varetagelsen af hvervet eller stillingen, jf. nr. 2. De må desuden ikke være pålagt strafansvar for overtrædelse af straffeloven, den finansielle lovgivning eller anden relevant lovgivning, hvis overtrædelsen indebærer risiko for, at vedkommende ikke kan varetage sit hverv eller sin stilling på betryggende måde, jf. nr. 3. Endvidere må de ikke have indgivet begæring om eller være under rekonstruktionsbehandling, konkurs eller gældssanering, jf. nr. 4, ligesom de ikke må have udvist en sådan adfærd, at der er grund til at antage, at de ikke vil varetage hvervet eller stillingen på forsvarlig måde, jf. nr. 5.</w:t>
      </w:r>
    </w:p>
    <w:p w14:paraId="01C9EEDE" w14:textId="77777777" w:rsidR="00533D3E" w:rsidRPr="009E1059" w:rsidRDefault="00533D3E" w:rsidP="00533D3E">
      <w:pPr>
        <w:suppressAutoHyphens/>
        <w:spacing w:line="360" w:lineRule="auto"/>
        <w:rPr>
          <w:rFonts w:ascii="Times New Roman" w:hAnsi="Times New Roman" w:cs="Times New Roman"/>
          <w:sz w:val="24"/>
          <w:szCs w:val="24"/>
        </w:rPr>
      </w:pPr>
    </w:p>
    <w:p w14:paraId="3ADD7E02"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Det følger endvidere af bestemmelsens stk. 2, at når en person tiltræder et hverv som bestyrelsesmedlem eller en stilling som direktør i en finansiel rådgiver, en investeringsrådgiver eller en boligkreditformidler, påser Finanstilsynet, at personen opfylder egnetheds- og hæderlighedskravene i stk. 1. Finanstilsynet træffer afgørelse om, hvorvidt personen kan bestride hvervet eller stillingen i den pågældende virksomhed. 1. og 2. pkt. finder tilsvarende anvendelse for indehaveren af en finansiel rådgiver, en investeringsrådgiver eller en boligkreditformidler, der er en enkeltmandsvirksomhed.</w:t>
      </w:r>
    </w:p>
    <w:p w14:paraId="5E37F7E1" w14:textId="77777777" w:rsidR="00533D3E" w:rsidRPr="009E1059" w:rsidRDefault="00533D3E" w:rsidP="00533D3E">
      <w:pPr>
        <w:spacing w:line="360" w:lineRule="auto"/>
        <w:rPr>
          <w:rFonts w:ascii="Times New Roman" w:hAnsi="Times New Roman" w:cs="Times New Roman"/>
          <w:sz w:val="24"/>
          <w:szCs w:val="24"/>
        </w:rPr>
      </w:pPr>
    </w:p>
    <w:p w14:paraId="242D6BD3"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Det følger desuden af bestemmelsens stk. 3, at såfremt Finanstilsynet vurderer, at personen ikke opfylder kravene i § 4, stk. 1, nr. 2-5, skal afgørelsens varighed fremgå af afgørelsen.</w:t>
      </w:r>
    </w:p>
    <w:p w14:paraId="7D8E4581" w14:textId="77777777" w:rsidR="00533D3E" w:rsidRPr="009E1059" w:rsidRDefault="00533D3E" w:rsidP="00533D3E">
      <w:pPr>
        <w:spacing w:line="360" w:lineRule="auto"/>
        <w:rPr>
          <w:rFonts w:ascii="Times New Roman" w:hAnsi="Times New Roman" w:cs="Times New Roman"/>
          <w:sz w:val="24"/>
          <w:szCs w:val="24"/>
        </w:rPr>
      </w:pPr>
    </w:p>
    <w:p w14:paraId="560D6D7C"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Det følger herudover af bestemmelsens stk. 5,</w:t>
      </w:r>
      <w:r w:rsidRPr="009E1059">
        <w:rPr>
          <w:rFonts w:ascii="Times New Roman" w:hAnsi="Times New Roman" w:cs="Times New Roman"/>
          <w:i/>
          <w:iCs/>
          <w:sz w:val="24"/>
          <w:szCs w:val="24"/>
        </w:rPr>
        <w:t xml:space="preserve"> </w:t>
      </w:r>
      <w:r w:rsidRPr="009E1059">
        <w:rPr>
          <w:rFonts w:ascii="Times New Roman" w:hAnsi="Times New Roman" w:cs="Times New Roman"/>
          <w:sz w:val="24"/>
          <w:szCs w:val="24"/>
        </w:rPr>
        <w:t>at medlemmerne af bestyrelsen eller direktionen hos en investeringsrådgiver eller en boligkreditformidler eller indehaveren af en investeringsrådgiver eller en boligkreditformidler, der er en enkeltmandsvirksomhed, skal informere Finanstilsynet om forhold vedrørende personens egnethed og hæderlighed i forbindelse med sin indtræden i virksomhedens ledelse eller for en investeringsrådgiver eller en boligkreditformidler, der er en enkeltmandsvirksomhed, i forbindelse med ansøgning om tilladelse, jf. § 3, stk. 1. Der skal endvidere gives meddelelse til Finanstilsynet, hvis der efterfølgende sker ændringer i de forhold, som er nævnt i § 3, stk. stk. 1, nr. 2-5.</w:t>
      </w:r>
    </w:p>
    <w:p w14:paraId="5C2DFF31" w14:textId="77777777" w:rsidR="00533D3E" w:rsidRPr="009E1059" w:rsidRDefault="00533D3E" w:rsidP="00533D3E">
      <w:pPr>
        <w:spacing w:line="360" w:lineRule="auto"/>
        <w:rPr>
          <w:rFonts w:ascii="Times New Roman" w:hAnsi="Times New Roman" w:cs="Times New Roman"/>
          <w:sz w:val="24"/>
          <w:szCs w:val="24"/>
        </w:rPr>
      </w:pPr>
    </w:p>
    <w:p w14:paraId="6BA3F023"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Endelig følger det bestemmelsens stk. 6, at § 4, stk. 1-5, finder tilsvarende anvendelse på den eller de ledelsesansvarlige for investeringsrådgiveren eller boligkreditformidleren, hvis investeringsrådgiveren eller boligkreditformidleren drives som en juridisk person uden en bestyrelse eller direktion.</w:t>
      </w:r>
    </w:p>
    <w:p w14:paraId="0B4059CA" w14:textId="77777777" w:rsidR="00533D3E" w:rsidRPr="009E1059" w:rsidRDefault="00533D3E" w:rsidP="00533D3E">
      <w:pPr>
        <w:spacing w:line="360" w:lineRule="auto"/>
        <w:rPr>
          <w:rFonts w:ascii="Times New Roman" w:hAnsi="Times New Roman" w:cs="Times New Roman"/>
          <w:sz w:val="24"/>
          <w:szCs w:val="24"/>
        </w:rPr>
      </w:pPr>
    </w:p>
    <w:p w14:paraId="3EC16397"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Lov om investeringsrådgivere og boligkreditformidlere indeholder i dag ikke krav om, at andre personer end de i § 4, stk. 1 og 6, nævnte personer, herunder medlemmer af en investeringsrådgivers eller boligkreditformidlers bestyrelse eller direktion, skal overholde hæderlighedskravene i lovens § 4, stk. 1, nr. 3.</w:t>
      </w:r>
    </w:p>
    <w:p w14:paraId="1C165D17" w14:textId="77777777" w:rsidR="00533D3E" w:rsidRPr="009E1059" w:rsidRDefault="00533D3E" w:rsidP="00533D3E">
      <w:pPr>
        <w:suppressAutoHyphens/>
        <w:spacing w:line="360" w:lineRule="auto"/>
        <w:rPr>
          <w:rFonts w:ascii="Times New Roman" w:hAnsi="Times New Roman" w:cs="Times New Roman"/>
          <w:sz w:val="24"/>
          <w:szCs w:val="24"/>
        </w:rPr>
      </w:pPr>
    </w:p>
    <w:p w14:paraId="20FE0EE7"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fastlægger rammerne for, at Finanstilsynet kan gribe ind over for medarbejdere og ansatte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w:t>
      </w:r>
      <w:r w:rsidRPr="009E1059">
        <w:rPr>
          <w:rFonts w:ascii="Times New Roman" w:eastAsia="Calibri" w:hAnsi="Times New Roman" w:cs="Times New Roman"/>
          <w:sz w:val="24"/>
          <w:szCs w:val="24"/>
        </w:rPr>
        <w:t xml:space="preserve">, såfremt </w:t>
      </w:r>
      <w:r w:rsidRPr="009E1059">
        <w:rPr>
          <w:rFonts w:ascii="Times New Roman" w:hAnsi="Times New Roman" w:cs="Times New Roman"/>
          <w:sz w:val="24"/>
          <w:szCs w:val="24"/>
        </w:rPr>
        <w:t xml:space="preserve">de pågældende personer ikke opfylder hæderlighedskravet i lovens § 4, stk. 1, nr. 3. </w:t>
      </w:r>
    </w:p>
    <w:p w14:paraId="4D8E7BB3" w14:textId="77777777" w:rsidR="00533D3E" w:rsidRPr="009E1059" w:rsidRDefault="00533D3E" w:rsidP="00533D3E">
      <w:pPr>
        <w:suppressAutoHyphens/>
        <w:spacing w:line="360" w:lineRule="auto"/>
        <w:rPr>
          <w:rFonts w:ascii="Times New Roman" w:eastAsia="Calibri" w:hAnsi="Times New Roman" w:cs="Times New Roman"/>
          <w:sz w:val="24"/>
          <w:szCs w:val="24"/>
        </w:rPr>
      </w:pPr>
    </w:p>
    <w:p w14:paraId="6E2C5C50"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eastAsia="Calibri" w:hAnsi="Times New Roman" w:cs="Times New Roman"/>
          <w:sz w:val="24"/>
          <w:szCs w:val="24"/>
        </w:rPr>
        <w:t xml:space="preserve">Den foreslåede bestemmelse vil implementere artikel 6, stk. 2, i </w:t>
      </w:r>
      <w:r w:rsidRPr="009E1059">
        <w:rPr>
          <w:rFonts w:ascii="Times New Roman" w:hAnsi="Times New Roman" w:cs="Times New Roman"/>
          <w:sz w:val="24"/>
          <w:szCs w:val="24"/>
        </w:rPr>
        <w:t xml:space="preserve">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w:t>
      </w:r>
    </w:p>
    <w:p w14:paraId="36DE648C" w14:textId="77777777" w:rsidR="00533D3E" w:rsidRPr="009E1059" w:rsidRDefault="00533D3E" w:rsidP="00533D3E">
      <w:pPr>
        <w:suppressAutoHyphens/>
        <w:spacing w:line="360" w:lineRule="auto"/>
        <w:rPr>
          <w:rFonts w:ascii="Times New Roman" w:hAnsi="Times New Roman" w:cs="Times New Roman"/>
          <w:sz w:val="24"/>
          <w:szCs w:val="24"/>
        </w:rPr>
      </w:pPr>
    </w:p>
    <w:p w14:paraId="0CC40F87"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 xml:space="preserve">Det foreslås i </w:t>
      </w:r>
      <w:r w:rsidRPr="009E1059">
        <w:rPr>
          <w:rFonts w:ascii="Times New Roman" w:hAnsi="Times New Roman" w:cs="Times New Roman"/>
          <w:i/>
          <w:iCs/>
          <w:sz w:val="24"/>
          <w:szCs w:val="24"/>
        </w:rPr>
        <w:t>§ 4, stk. 7</w:t>
      </w:r>
      <w:r w:rsidRPr="009E1059">
        <w:rPr>
          <w:rFonts w:ascii="Times New Roman" w:hAnsi="Times New Roman" w:cs="Times New Roman"/>
          <w:sz w:val="24"/>
          <w:szCs w:val="24"/>
        </w:rPr>
        <w:t>, at § 4, stk. 1, nr. 3, stk. 2-3 og 5, finder tilsvarende anvendelse på medarbejdere og ansatte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w:t>
      </w:r>
    </w:p>
    <w:p w14:paraId="58945827"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skal ses i sammenhæng med den foreslåede bestemmelse i lovforslagets § 147, nr. 1, hvorefter en medarbejder eller ansat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risikoeksponeringen, skal leve op til kravene i lovens § 4, stk. 1, nr. 3, for, at Finanstilsynet kan meddele en virksomhed tilladelse til at udøve virksomhed som en boligkreditformidler. </w:t>
      </w:r>
    </w:p>
    <w:p w14:paraId="4E06AD27"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skal desuden ses i sammenhæng med, den foreslåede bestemmelse i lovforslagets § 147, nr. 9, hvorefter Finanstilsynet kan påbyde en boligkreditformidler, som nævnt i det foreslåede § 2, nr. 2, at afsætte den ansatte eller medarbejderen i medfør af det foreslåede § 14, stk. 10, jf. § 14, stk. 3. </w:t>
      </w:r>
    </w:p>
    <w:p w14:paraId="712D9AF7"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 xml:space="preserve">Det foreslåede medfører, at en medarbejder og ansat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 skal leve op til kravene om hæderlighed i lovens § 4, stk. 1, nr. 3. </w:t>
      </w:r>
    </w:p>
    <w:p w14:paraId="7D9EE1D9"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Finanstilsynet vil således ikke  meddele en virksomhed tilladelse til at udøve virksomhed som boligkreditformidler, hvis en ansat eller en medarbejder med tilstrækkeligt kendskab til virksomhedens risikoeksponering for hvidvask af penge og finansiering af terrorisme og med tilstrækkelig anciennitet til at træffe beslutninger med indvirkning på dets risikoeksponering, er pålagt strafansvar for en overtrædelse af straffeloven, den finansielle lovgivning eller anden relevant lovgivning, hvis overtrædelsen indebærer risiko for, at vedkommende ikke kan varetage sit sin stilling. Personen må ligeledes som udgangspunkt forlade sin stilling, hvis personen efter, at boligkreditformidleren har fået tilladelse til at udøve virksomhed hos Finanstilsynet, bliver pålagt strafansvar for sådanne overtrædelser. Sker det ikke, kan Finanstilsynet påbyde boligkreditformidleren at afsætte den ansatte eller medarbejderen i medfør af det foreslåede § 14, stk. 10, jf. § 14, stk. 3, eller inddrage boligkreditformidlerens tilladelse i medfør af § 15, stk. 1, nr. 5.</w:t>
      </w:r>
    </w:p>
    <w:p w14:paraId="534B463B"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En medarbejder eller ansat i en boligkreditformidler med tilstrækkeligt kendskab til den forpligtede enheds risikoeksponering for hvidvask af penge og finansiering af terrorisme og med tilstrækkelig anciennitet til at træffe beslutninger med indvirkning på dets risikoeksponering, skal forstås i overensstemmelse med definitionen af øverste ledelse i artikel 2, stk. 1, nr. 40, i Europa-Parlamentets og Rådets forordning (EU) 2024/1624 af 31. maj 2024 om forebyggende foranstaltninger mod anvendelse af det finansielle system til hvidvask af penge eller finansiering af terrorisme.</w:t>
      </w:r>
    </w:p>
    <w:p w14:paraId="09D21DC7" w14:textId="77777777" w:rsidR="00533D3E" w:rsidRPr="009E1059" w:rsidRDefault="00533D3E" w:rsidP="00533D3E">
      <w:pPr>
        <w:suppressAutoHyphens/>
        <w:spacing w:line="360" w:lineRule="auto"/>
        <w:rPr>
          <w:rFonts w:ascii="Times New Roman" w:hAnsi="Times New Roman" w:cs="Times New Roman"/>
          <w:sz w:val="24"/>
          <w:szCs w:val="24"/>
        </w:rPr>
      </w:pPr>
    </w:p>
    <w:p w14:paraId="5CCD14B0"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Der henvises i øvrigt til bemærkningerne til bestemmelsens § 4, stk. 1, nr. 3, stk. 2, 3 og 5, i Folketingstidende 2018-19, tillæg A, L 47 som fremsat, side 82 ff. og Folketingstidende 2024-25, tillæg A, L 193 som fremsat, side 502 ff.</w:t>
      </w:r>
    </w:p>
    <w:p w14:paraId="429F8306" w14:textId="77777777" w:rsidR="00533D3E" w:rsidRPr="009E1059" w:rsidRDefault="00533D3E" w:rsidP="00533D3E">
      <w:pPr>
        <w:spacing w:line="360" w:lineRule="auto"/>
        <w:rPr>
          <w:rFonts w:ascii="Times New Roman" w:hAnsi="Times New Roman" w:cs="Times New Roman"/>
          <w:sz w:val="24"/>
          <w:szCs w:val="24"/>
        </w:rPr>
      </w:pPr>
    </w:p>
    <w:p w14:paraId="7C7243E9"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fastlægger rammerne for, at Finanstilsynet kan gribe ind over for en reel ejer af en boligkreditformidler, såfremt den pågældende person ikke opfylder hæderlighedskravet i lovens § 4, stk. 1, nr. 3. </w:t>
      </w:r>
    </w:p>
    <w:p w14:paraId="46A42D77" w14:textId="77777777" w:rsidR="00533D3E" w:rsidRPr="009E1059" w:rsidRDefault="00533D3E" w:rsidP="00533D3E">
      <w:pPr>
        <w:spacing w:line="360" w:lineRule="auto"/>
        <w:rPr>
          <w:rFonts w:ascii="Times New Roman" w:hAnsi="Times New Roman" w:cs="Times New Roman"/>
          <w:sz w:val="24"/>
          <w:szCs w:val="24"/>
        </w:rPr>
      </w:pPr>
    </w:p>
    <w:p w14:paraId="237116C2"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vil implementere artikel 6, stk. 2, 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w:t>
      </w:r>
    </w:p>
    <w:p w14:paraId="4482D2DD" w14:textId="77777777" w:rsidR="00533D3E" w:rsidRPr="009E1059" w:rsidRDefault="00533D3E" w:rsidP="00533D3E">
      <w:pPr>
        <w:spacing w:line="360" w:lineRule="auto"/>
        <w:rPr>
          <w:rFonts w:ascii="Times New Roman" w:hAnsi="Times New Roman" w:cs="Times New Roman"/>
          <w:sz w:val="24"/>
          <w:szCs w:val="24"/>
        </w:rPr>
      </w:pPr>
    </w:p>
    <w:p w14:paraId="69E03F93"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foreslås i </w:t>
      </w:r>
      <w:r w:rsidRPr="009E1059">
        <w:rPr>
          <w:rFonts w:ascii="Times New Roman" w:hAnsi="Times New Roman" w:cs="Times New Roman"/>
          <w:i/>
          <w:iCs/>
          <w:sz w:val="24"/>
          <w:szCs w:val="24"/>
        </w:rPr>
        <w:t>§ 4, stk. 8</w:t>
      </w:r>
      <w:r w:rsidRPr="009E1059">
        <w:rPr>
          <w:rFonts w:ascii="Times New Roman" w:hAnsi="Times New Roman" w:cs="Times New Roman"/>
          <w:sz w:val="24"/>
          <w:szCs w:val="24"/>
        </w:rPr>
        <w:t xml:space="preserve">, at en reel ejer, af en boligkreditformidler, som nævnt i det foreslåede § 2, nr. 2, ikke må være pålagt strafansvar for overtrædelse af straffeloven, den finansielle lovgivning eller anden relevant lovgivning, hvis overtrædelsen begrunder en risiko for, at den reelle ejer misbruger sin kontrollerende indflydelse. Når en person indtræder som reel ejer af en boligkreditformidler, påser Finanstilsynet, at personen opfylder hæderlighedskravene i 1. pkt. og træffer afgørelse herom. Vurderer Finanstilsynet, at personen ikke opfylder hæderlighedskravet, skal afgørelsens varighed fremgå af afgørelsen. Personen skal i forbindelse med sin indtræden som reel ejer i en boligkreditformidler informere Finanstilsynet om forhold som nævnt i 1 pkt. samt, hvis disse forhold efterfølgende ændrer sig. </w:t>
      </w:r>
    </w:p>
    <w:p w14:paraId="5AF3DBB1" w14:textId="77777777" w:rsidR="00533D3E" w:rsidRPr="009E1059" w:rsidRDefault="00533D3E" w:rsidP="00533D3E">
      <w:pPr>
        <w:spacing w:line="360" w:lineRule="auto"/>
        <w:rPr>
          <w:rFonts w:ascii="Times New Roman" w:hAnsi="Times New Roman" w:cs="Times New Roman"/>
          <w:sz w:val="24"/>
          <w:szCs w:val="24"/>
        </w:rPr>
      </w:pPr>
    </w:p>
    <w:p w14:paraId="584007B7"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skal ses i sammenhæng med den foreslåede bestemmelse i lovforslagets § 147, nr. 1, hvorefter en medarbejder eller ansat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risikoeksponeringen, skal leve op til kravene i lovens § 4, stk. 1, nr. 3, for, at Finanstilsynet kan meddele en virksomhed tilladelse til at udøve virksomhed som en boligkreditformidler. </w:t>
      </w:r>
    </w:p>
    <w:p w14:paraId="2B74DF55" w14:textId="77777777" w:rsidR="00533D3E" w:rsidRPr="009E1059" w:rsidRDefault="00533D3E" w:rsidP="00533D3E">
      <w:pPr>
        <w:spacing w:line="360" w:lineRule="auto"/>
        <w:rPr>
          <w:rFonts w:ascii="Times New Roman" w:hAnsi="Times New Roman" w:cs="Times New Roman"/>
          <w:sz w:val="24"/>
          <w:szCs w:val="24"/>
        </w:rPr>
      </w:pPr>
    </w:p>
    <w:p w14:paraId="3DA89047"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skal desuden ses i sammenhæng med, den foreslåede bestemmelse i lovforslagets § 147, nr. 10, hvorefter Finanstilsynet kan påbyde en reel ejer at afhænde sine ejerandele i medfør af det foreslåede § 14, stk. 10. </w:t>
      </w:r>
    </w:p>
    <w:p w14:paraId="06B3C9D1" w14:textId="77777777" w:rsidR="00533D3E" w:rsidRPr="009E1059" w:rsidRDefault="00533D3E" w:rsidP="00533D3E">
      <w:pPr>
        <w:spacing w:line="360" w:lineRule="auto"/>
        <w:rPr>
          <w:rFonts w:ascii="Times New Roman" w:hAnsi="Times New Roman" w:cs="Times New Roman"/>
          <w:sz w:val="24"/>
          <w:szCs w:val="24"/>
        </w:rPr>
      </w:pPr>
    </w:p>
    <w:p w14:paraId="3A51F81F"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En reel ejer skal forstås i overensstemmelse med definitionen i artikel 2, stk. 1, nr. 28, i Europa-Parlamentets og Rådets forordning (EU) 2024/1624 af 31. maj 2024 om forebyggende foranstaltninger mod anvendelse af det finansielle system til hvidvask af penge eller finansiering af terrorisme, hvorefter en reel ejer defineres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forordningens kapitel 4.</w:t>
      </w:r>
    </w:p>
    <w:p w14:paraId="75A882A4" w14:textId="77777777" w:rsidR="00533D3E" w:rsidRPr="009E1059" w:rsidRDefault="00533D3E" w:rsidP="00533D3E">
      <w:pPr>
        <w:spacing w:line="360" w:lineRule="auto"/>
        <w:rPr>
          <w:rFonts w:ascii="Times New Roman" w:hAnsi="Times New Roman" w:cs="Times New Roman"/>
          <w:sz w:val="24"/>
          <w:szCs w:val="24"/>
        </w:rPr>
      </w:pPr>
    </w:p>
    <w:p w14:paraId="5CA8D56C"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bestemmelses 1. pkt. indebærer, at en reel ejer af en boligkreditformidler, som nævnt i det foreslåede § 2, nr. 2, skal leve op til kravene om hæderlighed i lovens § 4, stk. 1, nr. 3. Det betyder, at Finanstilsynet som udgangspunkt ikke kan meddele en virksomhed tilladelse til at udøve virksomhed som boligkreditformidler, hvis en reel ejer af virksomheden er pålagt strafansvar for en overtrædelse af straffeloven, den finansielle lovgivning eller anden relevant lovgivning, hvis overtrædelsen begrunder en risiko for, at vedkommende vil misbruge sin kontrollerende indflydelse. Personen må ligeledes som udgangspunkt afhænde sine ejerandele, hvis personen efter, at boligkreditformidleren har fået tilladelse til at udøve virksomhed hos Finanstilsynet, bliver pålagt strafansvar for sådanne overtrædelser. Sker det ikke, kan Finanstilsynet påbyde den reelle ejer af afhænde sine ejerandele i medfør af det foreslåede § 14, stk. 10, jf. § 14, stk. 3, eller inddrage boligkreditformidlerens tilladelse i medfør af lovens § 15, stk. 1, nr. 5.</w:t>
      </w:r>
    </w:p>
    <w:p w14:paraId="54107636" w14:textId="77777777" w:rsidR="00533D3E" w:rsidRPr="009E1059" w:rsidRDefault="00533D3E" w:rsidP="00533D3E">
      <w:pPr>
        <w:spacing w:line="360" w:lineRule="auto"/>
        <w:rPr>
          <w:rFonts w:ascii="Times New Roman" w:hAnsi="Times New Roman" w:cs="Times New Roman"/>
          <w:sz w:val="24"/>
          <w:szCs w:val="24"/>
        </w:rPr>
      </w:pPr>
    </w:p>
    <w:p w14:paraId="1693D7A0"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I vurderingen af en strafbar overtrædelse, vil indgå om det udviste forhold begrunder en nærliggende fare for efterfølgende misbrug af sin kontrollerende indflydelse, eller om den pågældende har handlet på en så retsstridig og uetisk måde, at der er grundlag for at antage, at den pågældende ikke vil varetage sin kontrollerende indflydelse på betryggende vis. Herudover vil hensynet til at opretholde tilliden til den finansielle sektor indgå i vurderingen af en strafbar overtrædelse.</w:t>
      </w:r>
    </w:p>
    <w:p w14:paraId="40C3DF14" w14:textId="77777777" w:rsidR="00533D3E" w:rsidRPr="009E1059" w:rsidRDefault="00533D3E" w:rsidP="00533D3E">
      <w:pPr>
        <w:spacing w:line="360" w:lineRule="auto"/>
        <w:rPr>
          <w:rFonts w:ascii="Times New Roman" w:hAnsi="Times New Roman" w:cs="Times New Roman"/>
          <w:sz w:val="24"/>
          <w:szCs w:val="24"/>
        </w:rPr>
      </w:pPr>
    </w:p>
    <w:p w14:paraId="3551E6D2"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svarer til § 4, stk. 1, nr. 3, til i lov om investeringsrådgivere og boligkreditformidlere og skal forstås i overensstemmelse hermed. Der i den forbindelse til bemærkningerne til bestemmelsens § 4, stk. 1, nr. 3, i Folketingstidende 2018-19, tillæg A, L 47 som fremsat, side 82 ff. og Folketingstidende 2024-25, tillæg A, L 193 som fremsat, side 502 ff.</w:t>
      </w:r>
    </w:p>
    <w:p w14:paraId="2210D6FD" w14:textId="77777777" w:rsidR="00533D3E" w:rsidRPr="009E1059" w:rsidRDefault="00533D3E" w:rsidP="00533D3E">
      <w:pPr>
        <w:spacing w:line="360" w:lineRule="auto"/>
        <w:rPr>
          <w:rFonts w:ascii="Times New Roman" w:hAnsi="Times New Roman" w:cs="Times New Roman"/>
          <w:sz w:val="24"/>
          <w:szCs w:val="24"/>
        </w:rPr>
      </w:pPr>
    </w:p>
    <w:p w14:paraId="7B14736F"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bestemmelses 2. pkt. indebærer, at når en person indtræder som reel ejer af en boligkreditformidler, som nævnt i det foreslåede § 2, nr. 2, påser Finanstilsynet, at personen opfylder hæderlighedskravene i 1. pkt. og træffer afgørelse herom.</w:t>
      </w:r>
    </w:p>
    <w:p w14:paraId="5A9D6D1F" w14:textId="77777777" w:rsidR="00533D3E" w:rsidRPr="009E1059" w:rsidRDefault="00533D3E" w:rsidP="00533D3E">
      <w:pPr>
        <w:spacing w:line="360" w:lineRule="auto"/>
        <w:rPr>
          <w:rFonts w:ascii="Times New Roman" w:hAnsi="Times New Roman" w:cs="Times New Roman"/>
          <w:sz w:val="24"/>
          <w:szCs w:val="24"/>
        </w:rPr>
      </w:pPr>
    </w:p>
    <w:p w14:paraId="64702B95"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svarer til § 4, stk. 2, til i lov om investeringsrådgivere og boligkreditformidlere og skal forstås i overensstemmelse hermed. Der henvises i den forbindelse til bemærkningerne til bestemmelsens § 4, stk. 2, i Folketingstidende 2024-25, tillæg A, L 193 som fremsat, side 502 f.</w:t>
      </w:r>
    </w:p>
    <w:p w14:paraId="3E44CD7E" w14:textId="77777777" w:rsidR="00533D3E" w:rsidRPr="009E1059" w:rsidRDefault="00533D3E" w:rsidP="00533D3E">
      <w:pPr>
        <w:spacing w:line="360" w:lineRule="auto"/>
        <w:rPr>
          <w:rFonts w:ascii="Times New Roman" w:hAnsi="Times New Roman" w:cs="Times New Roman"/>
          <w:sz w:val="24"/>
          <w:szCs w:val="24"/>
        </w:rPr>
      </w:pPr>
    </w:p>
    <w:p w14:paraId="708C36DC"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bestemmelses 3. pkt. indebærer, at vurderer Finanstilsynet, at en reel ejer ikke opfylder hæderlighedskravet i 1. pkt., skal afgørelsens varighed fremgå af afgørelsen.</w:t>
      </w:r>
    </w:p>
    <w:p w14:paraId="4E2178D4" w14:textId="77777777" w:rsidR="00533D3E" w:rsidRPr="009E1059" w:rsidRDefault="00533D3E" w:rsidP="00533D3E">
      <w:pPr>
        <w:spacing w:line="360" w:lineRule="auto"/>
        <w:rPr>
          <w:rFonts w:ascii="Times New Roman" w:hAnsi="Times New Roman" w:cs="Times New Roman"/>
          <w:sz w:val="24"/>
          <w:szCs w:val="24"/>
        </w:rPr>
      </w:pPr>
    </w:p>
    <w:p w14:paraId="75252DDC"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foreslåede vil medføre, at Finanstilsynet ikke efter udløbet af varigheden kan inddrage de forhold, der lå til grund for afslaget. Det betyder, at de forhold, der var afgørende for en vurdering af, at personen ikke opfyldte hæderlighedskravet, som udgangspunkt ikke længere forventes at have betydning for en ny vurdering. Det foreslåede vil ikke ændre på, at den pågældende, efter udløbet af afgørelsens varighed, på ny vil skulle ansøge Finanstilsynet om godkendelse som reel ejer. </w:t>
      </w:r>
    </w:p>
    <w:p w14:paraId="2E5D50C0" w14:textId="77777777" w:rsidR="00533D3E" w:rsidRPr="009E1059" w:rsidRDefault="00533D3E" w:rsidP="00533D3E">
      <w:pPr>
        <w:spacing w:line="360" w:lineRule="auto"/>
        <w:rPr>
          <w:rFonts w:ascii="Times New Roman" w:hAnsi="Times New Roman" w:cs="Times New Roman"/>
          <w:sz w:val="24"/>
          <w:szCs w:val="24"/>
        </w:rPr>
      </w:pPr>
    </w:p>
    <w:p w14:paraId="4CEFAB18"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svarer til § 4, stk. 3, i lov om investeringsrådgivere og boligkreditformidlere og skal forstås i overensstemmelse hermed. Der henvises i den forbindelse til bemærkningerne til bestemmelsens § 4, stk. 2, i Folketingstidende 2024-25, tillæg A, L 193 som fremsat, side 502 ff.</w:t>
      </w:r>
    </w:p>
    <w:p w14:paraId="21838D4A" w14:textId="77777777" w:rsidR="00533D3E" w:rsidRPr="009E1059" w:rsidRDefault="00533D3E" w:rsidP="00533D3E">
      <w:pPr>
        <w:spacing w:line="360" w:lineRule="auto"/>
        <w:rPr>
          <w:rFonts w:ascii="Times New Roman" w:hAnsi="Times New Roman" w:cs="Times New Roman"/>
          <w:sz w:val="24"/>
          <w:szCs w:val="24"/>
        </w:rPr>
      </w:pPr>
    </w:p>
    <w:p w14:paraId="4ED013FE"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bestemmelses 4. pkt. indebærer, at en person i forbindelse med sin indtræden som reel ejer i en boligkreditformidler skal informere Finanstilsynet om forhold som nævnt i 1 pkt. samt, hvis disse forhold efterfølgende ændrer sig. </w:t>
      </w:r>
    </w:p>
    <w:p w14:paraId="1F9BD563" w14:textId="77777777" w:rsidR="00533D3E" w:rsidRPr="009E1059" w:rsidRDefault="00533D3E" w:rsidP="00533D3E">
      <w:pPr>
        <w:spacing w:line="360" w:lineRule="auto"/>
        <w:rPr>
          <w:rFonts w:ascii="Times New Roman" w:hAnsi="Times New Roman" w:cs="Times New Roman"/>
          <w:sz w:val="24"/>
          <w:szCs w:val="24"/>
        </w:rPr>
      </w:pPr>
    </w:p>
    <w:p w14:paraId="3855EFD6"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 oplysninger, som Finanstilsynet modtager, indgår herefter i bedømmelsen af, om vedkommende opfylder kravene til hæderlig. Den reelle ejer er tillige forpligtet til af egen drift at informere Finanstilsynet herom. Det vil herefter være op til Finanstilsynet at tage stilling til, om vedkommende fortsat kan anses for at opfylde betingelserne i 1 pkt. </w:t>
      </w:r>
    </w:p>
    <w:p w14:paraId="53DEB969" w14:textId="77777777" w:rsidR="00533D3E" w:rsidRPr="009E1059" w:rsidRDefault="00533D3E" w:rsidP="00533D3E">
      <w:pPr>
        <w:spacing w:line="360" w:lineRule="auto"/>
        <w:rPr>
          <w:rFonts w:ascii="Times New Roman" w:hAnsi="Times New Roman" w:cs="Times New Roman"/>
          <w:sz w:val="24"/>
          <w:szCs w:val="24"/>
        </w:rPr>
      </w:pPr>
    </w:p>
    <w:p w14:paraId="227BD4BA"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svarer til § 4, stk. 5, i lov om investeringsrådgivere og boligkreditformidlere og skal forstås i overensstemmelse hermed. Der henvises i den forbindelse til bemærkningerne til bestemmelsens § 4, stk. 2, i Folketingstidende 2018-19, tillæg A, L 47 som fremsat, side 86.</w:t>
      </w:r>
    </w:p>
    <w:p w14:paraId="039CA669" w14:textId="77777777" w:rsidR="00533D3E" w:rsidRPr="009E1059" w:rsidRDefault="00533D3E" w:rsidP="00533D3E">
      <w:pPr>
        <w:spacing w:line="360" w:lineRule="auto"/>
        <w:rPr>
          <w:rFonts w:ascii="Times New Roman" w:hAnsi="Times New Roman" w:cs="Times New Roman"/>
          <w:sz w:val="24"/>
          <w:szCs w:val="24"/>
        </w:rPr>
      </w:pPr>
    </w:p>
    <w:p w14:paraId="2BA8BE85" w14:textId="77777777" w:rsidR="00533D3E" w:rsidRPr="009E1059" w:rsidRDefault="00533D3E" w:rsidP="00533D3E">
      <w:pPr>
        <w:spacing w:line="360" w:lineRule="auto"/>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 xml:space="preserve">Den foreslåede bestemmelse har til formål at styrke integriteten og troværdigheden i den finansielle sektor ved at forhindre, at personer, der har handlet i fællesskab med andre om alvorlige lovovertrædelser, får adgang til centrale funktioner i </w:t>
      </w:r>
      <w:r w:rsidRPr="009E1059">
        <w:rPr>
          <w:rFonts w:ascii="Times New Roman" w:hAnsi="Times New Roman" w:cs="Times New Roman"/>
          <w:sz w:val="24"/>
          <w:szCs w:val="24"/>
        </w:rPr>
        <w:t>tilladelsespligtig</w:t>
      </w:r>
      <w:r w:rsidRPr="009E1059">
        <w:rPr>
          <w:rFonts w:ascii="Times New Roman" w:eastAsia="Times New Roman" w:hAnsi="Times New Roman" w:cs="Times New Roman"/>
          <w:sz w:val="24"/>
          <w:szCs w:val="24"/>
          <w:lang w:eastAsia="da-DK"/>
        </w:rPr>
        <w:t>e virksomheder.</w:t>
      </w:r>
    </w:p>
    <w:p w14:paraId="03A1CCE3" w14:textId="77777777" w:rsidR="00533D3E" w:rsidRPr="009E1059" w:rsidRDefault="00533D3E" w:rsidP="00533D3E">
      <w:pPr>
        <w:spacing w:line="360" w:lineRule="auto"/>
        <w:rPr>
          <w:rFonts w:ascii="Times New Roman" w:eastAsia="Times New Roman" w:hAnsi="Times New Roman" w:cs="Times New Roman"/>
          <w:sz w:val="24"/>
          <w:szCs w:val="24"/>
          <w:lang w:eastAsia="da-DK"/>
        </w:rPr>
      </w:pPr>
    </w:p>
    <w:p w14:paraId="713DC866"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vil implementere artikel 6, stk. 2, 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p>
    <w:p w14:paraId="6A3DEA23" w14:textId="77777777" w:rsidR="00533D3E" w:rsidRPr="009E1059" w:rsidRDefault="00533D3E" w:rsidP="00533D3E">
      <w:pPr>
        <w:spacing w:line="360" w:lineRule="auto"/>
        <w:rPr>
          <w:rFonts w:ascii="Times New Roman" w:hAnsi="Times New Roman" w:cs="Times New Roman"/>
          <w:sz w:val="24"/>
          <w:szCs w:val="24"/>
        </w:rPr>
      </w:pPr>
    </w:p>
    <w:p w14:paraId="644C2EEF" w14:textId="77777777" w:rsidR="00533D3E" w:rsidRPr="009E1059" w:rsidRDefault="00533D3E" w:rsidP="00533D3E">
      <w:pPr>
        <w:spacing w:line="360" w:lineRule="auto"/>
        <w:jc w:val="left"/>
        <w:rPr>
          <w:rFonts w:ascii="Times New Roman" w:hAnsi="Times New Roman" w:cs="Times New Roman"/>
          <w:sz w:val="24"/>
          <w:szCs w:val="24"/>
        </w:rPr>
      </w:pPr>
      <w:r w:rsidRPr="009E1059">
        <w:rPr>
          <w:rFonts w:ascii="Times New Roman" w:hAnsi="Times New Roman" w:cs="Times New Roman"/>
          <w:sz w:val="24"/>
          <w:szCs w:val="24"/>
        </w:rPr>
        <w:t xml:space="preserve">Det foreslås i </w:t>
      </w:r>
      <w:r w:rsidRPr="009E1059">
        <w:rPr>
          <w:rFonts w:ascii="Times New Roman" w:hAnsi="Times New Roman" w:cs="Times New Roman"/>
          <w:i/>
          <w:iCs/>
          <w:sz w:val="24"/>
          <w:szCs w:val="24"/>
        </w:rPr>
        <w:t>§ 4, stk. 9</w:t>
      </w:r>
      <w:r w:rsidRPr="009E1059">
        <w:rPr>
          <w:rFonts w:ascii="Times New Roman" w:hAnsi="Times New Roman" w:cs="Times New Roman"/>
          <w:sz w:val="24"/>
          <w:szCs w:val="24"/>
        </w:rPr>
        <w:t>, at</w:t>
      </w:r>
      <w:r w:rsidRPr="009E1059">
        <w:rPr>
          <w:rFonts w:ascii="Times New Roman" w:eastAsia="Times New Roman" w:hAnsi="Times New Roman" w:cs="Times New Roman"/>
          <w:sz w:val="24"/>
          <w:szCs w:val="24"/>
          <w:lang w:eastAsia="da-DK"/>
        </w:rPr>
        <w:t xml:space="preserve"> </w:t>
      </w:r>
      <w:r w:rsidRPr="009E1059">
        <w:rPr>
          <w:rFonts w:ascii="Times New Roman" w:hAnsi="Times New Roman" w:cs="Times New Roman"/>
          <w:sz w:val="24"/>
          <w:szCs w:val="24"/>
        </w:rPr>
        <w:t>den i stk. 1, 7 og 8, nævnte personkreds, der har handlet i fællesskab med en person, der er pålagt strafansvar for overtrædelse af straffeloven, den finansielle lovgivning eller anden relevant lovgivning, om de pågældende lovovertrædelser, ikke kan gives tilladelse til at udøve erhverv, varetage en funktion i ledelsen eller være reel ejer i boligkreditformidler, som nævnt i det foreslåede § 2, nr. 2, der skal have tilladelse efter § 3, stk. 1.</w:t>
      </w:r>
    </w:p>
    <w:p w14:paraId="59B16814"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05F2BEA1"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vil finde anvendelse på medlemmer af bestyrelsen eller direktionen hos en boligkreditformidler, som nævnt i det foreslåede § 2, nr. 2, eller en indehaver af en sådan virksomhed, der er en enkeltmandsvirksomhed, jf. § 4, stk. 1, i lov om investeringsrådgivere og boligkreditformidlere. Bestemmelsen vil desuden finde anvendelse for reelle ejere, der udøver væsentlig indflydelse eller kontrol over en kreditformidler, som nævnt i det foreslåede § 2, nr. 2, samt medarbejdere og ansatte i en boligkreditformidler med tilstrækkeligt kendskab til den forpligtede enheds risikoeksponering for hvidvask af penge og finansiering af terrorisme og med tilstrækkelig anciennitet til at træffe beslutninger med indvirkning på dets risikoeksponering, såfremt de pågældende personer ikke opfylder hæderlighedskravet i lovens § 4, jf. de foreslåede § 4, stk. 7 og 8, i lovforslagets § 147, nr. 2 og 3.</w:t>
      </w:r>
    </w:p>
    <w:p w14:paraId="4C87E787" w14:textId="77777777" w:rsidR="00533D3E" w:rsidRPr="009E1059" w:rsidRDefault="00533D3E" w:rsidP="00533D3E">
      <w:pPr>
        <w:spacing w:line="360" w:lineRule="auto"/>
        <w:rPr>
          <w:rFonts w:ascii="Times New Roman" w:hAnsi="Times New Roman" w:cs="Times New Roman"/>
          <w:sz w:val="24"/>
          <w:szCs w:val="24"/>
        </w:rPr>
      </w:pPr>
    </w:p>
    <w:p w14:paraId="14C9F2FF"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En reel ejer skal forstås i overensstemmelse med definitionen i artikel 2, stk. 1, nr. 28, i Europa-Parlamentets og Rådets forordning (EU) 2024/1624 af 31. maj 2024 om forebyggende foranstaltninger mod anvendelse af det finansielle system til hvidvask af penge eller finansiering af terrorisme, hvorefter en reel ejer defineres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forordningens kapitel 4.</w:t>
      </w:r>
    </w:p>
    <w:p w14:paraId="227BE905" w14:textId="77777777" w:rsidR="00533D3E" w:rsidRPr="009E1059" w:rsidRDefault="00533D3E" w:rsidP="00533D3E">
      <w:pPr>
        <w:spacing w:line="360" w:lineRule="auto"/>
        <w:rPr>
          <w:rFonts w:ascii="Times New Roman" w:hAnsi="Times New Roman" w:cs="Times New Roman"/>
          <w:sz w:val="24"/>
          <w:szCs w:val="24"/>
        </w:rPr>
      </w:pPr>
    </w:p>
    <w:p w14:paraId="06A72A21"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En medarbejder eller ansat i en boligkreditformidler med tilstrækkeligt kendskab til den forpligtede enheds risikoeksponering for hvidvask af penge og finansiering af terrorisme og med tilstrækkelig anciennitet til at træffe beslutninger med indvirkning på dets risikoeksponering, skal forstås i overensstemmelse med definitionen af øverste ledelse i artikel 2, stk. 1, nr. 40, i Europa-Parlamentets og Rådets forordning (EU) 2024/1624 af 31. maj 2024 om forebyggende foranstaltninger mod anvendelse af det finansielle system til hvidvask af penge eller finansiering af terrorisme.</w:t>
      </w:r>
    </w:p>
    <w:p w14:paraId="5607E823"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 </w:t>
      </w:r>
    </w:p>
    <w:p w14:paraId="086170BE"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I artikel 6, stk. 2, i 6. hvidvaskdirektiv anvendes begrebet samarbejdspartnere om de personer, der sammen med en dømt person skal udelukkes fra at kunne godkendes til at udøve erhverv i forpligtede enheder. I den foreslåede bestemmelse er begrebet i stedet udtrykt som personer, der har handlet i fællesskab med en person, der er pålagt strafansvar. Denne formulering er valgt for at skabe en tydelig og præcis afgrænsning, da den understøtter en konkret vurdering af, om der har været et reelt samarbejde eller medvirken til den pågældende lovovertrædelse. Formuleringen er således i overensstemmelse med direktivets krav, men tilpasset dansk retlig terminologi og praksis, hvor der fokuseres på den enkelte persons rolle og involvering i lovovertrædelsen.</w:t>
      </w:r>
    </w:p>
    <w:p w14:paraId="1D2EDD53" w14:textId="77777777" w:rsidR="00533D3E" w:rsidRPr="009E1059" w:rsidRDefault="00533D3E" w:rsidP="00533D3E">
      <w:pPr>
        <w:spacing w:line="360" w:lineRule="auto"/>
        <w:rPr>
          <w:rFonts w:ascii="Times New Roman" w:hAnsi="Times New Roman" w:cs="Times New Roman"/>
          <w:sz w:val="24"/>
          <w:szCs w:val="24"/>
        </w:rPr>
      </w:pPr>
    </w:p>
    <w:p w14:paraId="29ED8AC0"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Ved udtrykket personer, der har handlet i fællesskab, forstås personer, der i forbindelse med den pågældende lovovertrædelse har udvist en sådan grad af samarbejde eller medvirken, at de efter en konkret vurdering må anses for at have haft en væsentlig rolle i overtrædelsen. Dette kan eksempelvis omfatte medvirkende eller personer, der har ydet væsentlig bistand til den strafbare handling. </w:t>
      </w:r>
    </w:p>
    <w:p w14:paraId="18F0BA2D" w14:textId="77777777" w:rsidR="00533D3E" w:rsidRPr="009E1059" w:rsidRDefault="00533D3E" w:rsidP="00533D3E">
      <w:pPr>
        <w:spacing w:line="360" w:lineRule="auto"/>
        <w:rPr>
          <w:rFonts w:ascii="Times New Roman" w:hAnsi="Times New Roman" w:cs="Times New Roman"/>
          <w:sz w:val="24"/>
          <w:szCs w:val="24"/>
        </w:rPr>
      </w:pPr>
    </w:p>
    <w:p w14:paraId="6622FC54" w14:textId="77777777" w:rsidR="00533D3E" w:rsidRPr="009E1059" w:rsidRDefault="00533D3E" w:rsidP="00533D3E">
      <w:pPr>
        <w:spacing w:line="360" w:lineRule="auto"/>
        <w:rPr>
          <w:rFonts w:ascii="Times New Roman" w:eastAsia="Times New Roman" w:hAnsi="Times New Roman" w:cs="Times New Roman"/>
          <w:sz w:val="24"/>
          <w:szCs w:val="24"/>
          <w:lang w:eastAsia="da-DK"/>
        </w:rPr>
      </w:pPr>
      <w:r w:rsidRPr="009E1059">
        <w:rPr>
          <w:rFonts w:ascii="Times New Roman" w:hAnsi="Times New Roman" w:cs="Times New Roman"/>
          <w:sz w:val="24"/>
          <w:szCs w:val="24"/>
        </w:rPr>
        <w:t>Som eksempel kan desuden også være situationer, hvor en person ikke har deltaget i eller handlet i fællesskab om overtrædelsen, men alligevel har opnået vinding ved overtrædelsen. Det kan for eksempel være tilfældet, hvor en ægtefælle begår hvidvask, og den anden ægtefælle – uden at have medvirket til handlingen – opnår økonomisk fordel, fordi midler fra den kriminelle handling tilfalder fælles økonomi eller anvendes til fælles formål. Et andet eksempel er, hvor en revisor har fået frataget sin</w:t>
      </w:r>
      <w:r w:rsidRPr="009E1059">
        <w:rPr>
          <w:rFonts w:ascii="Times New Roman" w:eastAsia="Times New Roman" w:hAnsi="Times New Roman" w:cs="Times New Roman"/>
          <w:sz w:val="24"/>
          <w:szCs w:val="24"/>
          <w:lang w:eastAsia="da-DK"/>
        </w:rPr>
        <w:t xml:space="preserve"> autorisation for at have godkendt åbenlyst ukorrekte regnskaber for virksomheder, der er dømt for hvidvask. I sådanne tilfælde vil revisoren, selv uden at være dømt, ikke kunne indtage ledelsesposter i finansielle virksomheder.</w:t>
      </w:r>
    </w:p>
    <w:p w14:paraId="67371441"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4710F77A" w14:textId="4C46B44A"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 xml:space="preserve">Med udtrykket overtrædelse af straffeloven, den finansielle lovgivning eller anden relevant lovgivning sigtes der til alvorlige lovovertrædelser, der har betydning for vurderingen af personens hæderlighed til at varetage centrale funktioner i virksomheder, der er </w:t>
      </w:r>
      <w:r w:rsidRPr="009E1059">
        <w:rPr>
          <w:rFonts w:ascii="Times New Roman" w:hAnsi="Times New Roman" w:cs="Times New Roman"/>
          <w:sz w:val="24"/>
          <w:szCs w:val="24"/>
        </w:rPr>
        <w:t>tilladelsespligtig</w:t>
      </w:r>
      <w:r w:rsidRPr="009E1059">
        <w:rPr>
          <w:rFonts w:ascii="Times New Roman" w:eastAsia="Times New Roman" w:hAnsi="Times New Roman" w:cs="Times New Roman"/>
          <w:sz w:val="24"/>
          <w:szCs w:val="24"/>
          <w:lang w:eastAsia="da-DK"/>
        </w:rPr>
        <w:t xml:space="preserve">e efter </w:t>
      </w:r>
      <w:r w:rsidRPr="009E1059">
        <w:rPr>
          <w:rFonts w:ascii="Times New Roman" w:hAnsi="Times New Roman" w:cs="Times New Roman"/>
          <w:sz w:val="24"/>
          <w:szCs w:val="24"/>
        </w:rPr>
        <w:fldChar w:fldCharType="begin"/>
      </w:r>
      <w:r w:rsidRPr="009E1059">
        <w:rPr>
          <w:rFonts w:ascii="Times New Roman" w:hAnsi="Times New Roman" w:cs="Times New Roman"/>
          <w:sz w:val="24"/>
          <w:szCs w:val="24"/>
        </w:rPr>
        <w:instrText xml:space="preserve"> REF _Ref232596860 \r \h  \* MERGEFORMAT </w:instrText>
      </w:r>
      <w:r w:rsidRPr="009E1059">
        <w:rPr>
          <w:rFonts w:ascii="Times New Roman" w:hAnsi="Times New Roman" w:cs="Times New Roman"/>
          <w:sz w:val="24"/>
          <w:szCs w:val="24"/>
        </w:rPr>
      </w:r>
      <w:r w:rsidRPr="009E1059">
        <w:rPr>
          <w:rFonts w:ascii="Times New Roman" w:hAnsi="Times New Roman" w:cs="Times New Roman"/>
          <w:sz w:val="24"/>
          <w:szCs w:val="24"/>
        </w:rPr>
        <w:fldChar w:fldCharType="separate"/>
      </w:r>
      <w:r w:rsidR="008F29E5">
        <w:rPr>
          <w:rFonts w:ascii="Times New Roman" w:hAnsi="Times New Roman" w:cs="Times New Roman"/>
          <w:sz w:val="24"/>
          <w:szCs w:val="24"/>
        </w:rPr>
        <w:t>§ 47</w:t>
      </w:r>
      <w:r w:rsidRPr="009E1059">
        <w:rPr>
          <w:rFonts w:ascii="Times New Roman" w:hAnsi="Times New Roman" w:cs="Times New Roman"/>
          <w:sz w:val="24"/>
          <w:szCs w:val="24"/>
        </w:rPr>
        <w:fldChar w:fldCharType="end"/>
      </w:r>
      <w:r w:rsidRPr="009E1059">
        <w:rPr>
          <w:rFonts w:ascii="Times New Roman" w:eastAsia="Times New Roman" w:hAnsi="Times New Roman" w:cs="Times New Roman"/>
          <w:sz w:val="24"/>
          <w:szCs w:val="24"/>
          <w:lang w:eastAsia="da-DK"/>
        </w:rPr>
        <w:t xml:space="preserve">, stk. 1 i </w:t>
      </w:r>
      <w:r w:rsidRPr="009E1059">
        <w:rPr>
          <w:rFonts w:ascii="Times New Roman" w:eastAsia="Calibri" w:hAnsi="Times New Roman" w:cs="Times New Roman"/>
          <w:sz w:val="24"/>
          <w:szCs w:val="24"/>
        </w:rPr>
        <w:t>lov om investeringsrådgivere og boligkreditformidlere</w:t>
      </w:r>
      <w:r w:rsidRPr="009E1059">
        <w:rPr>
          <w:rFonts w:ascii="Times New Roman" w:eastAsia="Times New Roman" w:hAnsi="Times New Roman" w:cs="Times New Roman"/>
          <w:sz w:val="24"/>
          <w:szCs w:val="24"/>
          <w:lang w:eastAsia="da-DK"/>
        </w:rPr>
        <w:t>. Dette omfatter navnlig overtrædelser, der relaterer sig til økonomisk kriminalitet, hvidvask, terrorfinansiering, skatteunddragelse og lignende.</w:t>
      </w:r>
    </w:p>
    <w:p w14:paraId="70F2D271"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2E803210"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Afgørelser af om, hvorvidt en person er omfattet af bestemmelsen, vil skulle træffes på baggrund af en konkret og individuel vurdering, hvor der tages hensyn til sagens omstændigheder, herunder karakteren og grovheden af den pågældende lovovertrædelse og personens rolle.</w:t>
      </w:r>
    </w:p>
    <w:p w14:paraId="070D50C7" w14:textId="77777777" w:rsidR="00533D3E" w:rsidRPr="009E1059" w:rsidRDefault="00533D3E" w:rsidP="00533D3E">
      <w:pPr>
        <w:spacing w:line="360" w:lineRule="auto"/>
        <w:rPr>
          <w:rFonts w:ascii="Times New Roman" w:eastAsia="Calibri" w:hAnsi="Times New Roman" w:cs="Times New Roman"/>
          <w:i/>
          <w:iCs/>
          <w:sz w:val="24"/>
          <w:szCs w:val="24"/>
        </w:rPr>
      </w:pPr>
    </w:p>
    <w:p w14:paraId="24E0A847"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i/>
          <w:iCs/>
          <w:sz w:val="24"/>
          <w:szCs w:val="24"/>
        </w:rPr>
        <w:t>Til nr. 5 (</w:t>
      </w:r>
      <w:r w:rsidRPr="009E1059">
        <w:rPr>
          <w:rFonts w:ascii="Times New Roman" w:hAnsi="Times New Roman" w:cs="Times New Roman"/>
          <w:i/>
          <w:iCs/>
          <w:sz w:val="24"/>
          <w:szCs w:val="24"/>
        </w:rPr>
        <w:t>§</w:t>
      </w:r>
      <w:r w:rsidRPr="009E1059">
        <w:rPr>
          <w:rFonts w:ascii="Times New Roman" w:eastAsia="Calibri" w:hAnsi="Times New Roman" w:cs="Times New Roman"/>
          <w:i/>
          <w:iCs/>
          <w:sz w:val="24"/>
          <w:szCs w:val="24"/>
        </w:rPr>
        <w:t xml:space="preserve"> 5, stk. 2, i lov om investeringsrådgivere og boligkreditformidlere)</w:t>
      </w:r>
    </w:p>
    <w:p w14:paraId="59A4784B" w14:textId="77777777" w:rsidR="00533D3E" w:rsidRPr="009E1059" w:rsidRDefault="00533D3E" w:rsidP="00533D3E">
      <w:pPr>
        <w:spacing w:line="360" w:lineRule="auto"/>
        <w:rPr>
          <w:rFonts w:ascii="Times New Roman" w:eastAsia="Calibri" w:hAnsi="Times New Roman" w:cs="Times New Roman"/>
          <w:i/>
          <w:iCs/>
          <w:sz w:val="24"/>
          <w:szCs w:val="24"/>
        </w:rPr>
      </w:pPr>
    </w:p>
    <w:p w14:paraId="15A7C08C" w14:textId="77777777" w:rsidR="00533D3E" w:rsidRPr="0007131C" w:rsidRDefault="00533D3E" w:rsidP="0007131C">
      <w:pPr>
        <w:spacing w:line="360" w:lineRule="auto"/>
        <w:rPr>
          <w:rFonts w:ascii="Times New Roman" w:hAnsi="Times New Roman" w:cs="Times New Roman"/>
          <w:sz w:val="24"/>
          <w:szCs w:val="24"/>
        </w:rPr>
      </w:pPr>
      <w:r w:rsidRPr="0007131C">
        <w:rPr>
          <w:rFonts w:ascii="Times New Roman" w:hAnsi="Times New Roman" w:cs="Times New Roman"/>
          <w:sz w:val="24"/>
          <w:szCs w:val="24"/>
        </w:rPr>
        <w:t>Efter § 4, stk. 1, i lov om investeringsrådgivere og boligkreditformidlere skal et medlem af bestyrelsen eller direktionen hos en boligkreditformidler eller en boligkreditformidler der er en enkeltmandsvirksomhed opfylde en række krav til hæderlighed. Efter § 4, stk. 5, skal et medlem af bestyrelsen eller direktionen hos en boligkreditformidler eller indehaveren af en boligkreditformidler, der er en enkeltmandsvirksomhed, informere Finanstilsynet om forhold som nævnt i stk. 1 i forbindelse med sin indtræden i virksomhedens ledelse eller en boligkreditformidler, der er en enkeltmandsvirksomhed, i forbindelse med ansøgning om tilladelse.  Der skal endvidere gives meddelelse til Finanstilsynet, hvis der efterfølgende sker ændringer i forholdene.</w:t>
      </w:r>
    </w:p>
    <w:p w14:paraId="5F927288" w14:textId="77777777" w:rsidR="00533D3E" w:rsidRPr="009E1059" w:rsidRDefault="00533D3E" w:rsidP="0007131C">
      <w:r w:rsidRPr="009E1059">
        <w:t xml:space="preserve"> </w:t>
      </w:r>
    </w:p>
    <w:p w14:paraId="1040A3AD" w14:textId="77777777" w:rsidR="00533D3E" w:rsidRPr="0007131C" w:rsidRDefault="00533D3E" w:rsidP="0007131C">
      <w:pPr>
        <w:spacing w:line="360" w:lineRule="auto"/>
        <w:rPr>
          <w:rFonts w:ascii="Times New Roman" w:hAnsi="Times New Roman" w:cs="Times New Roman"/>
          <w:sz w:val="24"/>
          <w:szCs w:val="24"/>
        </w:rPr>
      </w:pPr>
      <w:r w:rsidRPr="0007131C">
        <w:rPr>
          <w:rFonts w:ascii="Times New Roman" w:hAnsi="Times New Roman" w:cs="Times New Roman"/>
          <w:sz w:val="24"/>
          <w:szCs w:val="24"/>
        </w:rPr>
        <w:t xml:space="preserve">Efter § 5, stk. 1, i lov om investeringsrådgivere og boligkreditformidlere skal en boligkreditformidler ud over de tilfælde, der er omfattet af § 4, stk. 5, forpligtet til snarest muligt at underrette Finanstilsynet, hvis der indtræder ændringer i forhold til de oplysninger, som Finanstilsynet har modtaget og lagt til grund ved meddelelse af tilladelse om boligkreditformidler. </w:t>
      </w:r>
    </w:p>
    <w:p w14:paraId="1AD3D647" w14:textId="77777777" w:rsidR="00533D3E" w:rsidRPr="009E1059" w:rsidRDefault="00533D3E" w:rsidP="0007131C"/>
    <w:p w14:paraId="4BD01EA2" w14:textId="77777777" w:rsidR="00533D3E" w:rsidRPr="00782758" w:rsidRDefault="00533D3E" w:rsidP="00782758">
      <w:pPr>
        <w:spacing w:line="360" w:lineRule="auto"/>
        <w:rPr>
          <w:rFonts w:ascii="Times New Roman" w:hAnsi="Times New Roman" w:cs="Times New Roman"/>
          <w:sz w:val="24"/>
          <w:szCs w:val="24"/>
        </w:rPr>
      </w:pPr>
      <w:r w:rsidRPr="00782758">
        <w:rPr>
          <w:rFonts w:ascii="Times New Roman" w:hAnsi="Times New Roman" w:cs="Times New Roman"/>
          <w:sz w:val="24"/>
          <w:szCs w:val="24"/>
        </w:rPr>
        <w:t>Det fremgår af § 5, stk. 2, i lov om investeringsrådgivere og boligkreditformidlere, at virksomheder omfattet af loven en gang om året skal indberette virksomhedens omsætning, antal kunder, antal ansatte med kundekontakt og antal indgående kundeaftaler til Finanstilsynet.</w:t>
      </w:r>
    </w:p>
    <w:p w14:paraId="0A341993" w14:textId="77777777" w:rsidR="00533D3E" w:rsidRPr="009E1059" w:rsidRDefault="00533D3E" w:rsidP="00533D3E">
      <w:pPr>
        <w:spacing w:line="360" w:lineRule="auto"/>
        <w:rPr>
          <w:rFonts w:ascii="Times New Roman" w:hAnsi="Times New Roman" w:cs="Times New Roman"/>
          <w:sz w:val="24"/>
          <w:szCs w:val="24"/>
        </w:rPr>
      </w:pPr>
    </w:p>
    <w:p w14:paraId="0BC5E563"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foreslås i </w:t>
      </w:r>
      <w:r w:rsidRPr="009E1059">
        <w:rPr>
          <w:rFonts w:ascii="Times New Roman" w:hAnsi="Times New Roman" w:cs="Times New Roman"/>
          <w:i/>
          <w:iCs/>
          <w:sz w:val="24"/>
          <w:szCs w:val="24"/>
        </w:rPr>
        <w:t>§ 5</w:t>
      </w:r>
      <w:r w:rsidRPr="009E1059">
        <w:rPr>
          <w:rFonts w:ascii="Times New Roman" w:hAnsi="Times New Roman" w:cs="Times New Roman"/>
          <w:sz w:val="24"/>
          <w:szCs w:val="24"/>
        </w:rPr>
        <w:t xml:space="preserve"> at indsætte et nyt </w:t>
      </w:r>
      <w:r w:rsidRPr="009E1059">
        <w:rPr>
          <w:rFonts w:ascii="Times New Roman" w:hAnsi="Times New Roman" w:cs="Times New Roman"/>
          <w:i/>
          <w:iCs/>
          <w:sz w:val="24"/>
          <w:szCs w:val="24"/>
        </w:rPr>
        <w:t>stk. 2</w:t>
      </w:r>
      <w:r w:rsidRPr="009E1059">
        <w:rPr>
          <w:rFonts w:ascii="Times New Roman" w:hAnsi="Times New Roman" w:cs="Times New Roman"/>
          <w:sz w:val="24"/>
          <w:szCs w:val="24"/>
        </w:rPr>
        <w:t>. Bestemmelsen er ny</w:t>
      </w:r>
      <w:r w:rsidRPr="009E1059">
        <w:rPr>
          <w:rFonts w:ascii="Times New Roman" w:eastAsia="Calibri" w:hAnsi="Times New Roman" w:cs="Times New Roman"/>
          <w:sz w:val="24"/>
          <w:szCs w:val="24"/>
        </w:rPr>
        <w:t xml:space="preserve"> og implementerer </w:t>
      </w:r>
      <w:r w:rsidRPr="009E1059">
        <w:rPr>
          <w:rFonts w:ascii="Times New Roman" w:hAnsi="Times New Roman" w:cs="Times New Roman"/>
          <w:sz w:val="24"/>
          <w:szCs w:val="24"/>
        </w:rPr>
        <w:t xml:space="preserve">artikel 6, stk. 3, i </w:t>
      </w:r>
      <w:r w:rsidRPr="009E1059">
        <w:rPr>
          <w:rFonts w:ascii="Times New Roman" w:eastAsia="Calibri" w:hAnsi="Times New Roman" w:cs="Times New Roman"/>
          <w:iCs/>
          <w:sz w:val="24"/>
          <w:szCs w:val="24"/>
        </w:rPr>
        <w:t>Europa-Parlamentets og Rådets direktiv (EU) 2024/1620</w:t>
      </w:r>
      <w:r w:rsidRPr="009E1059">
        <w:rPr>
          <w:rFonts w:ascii="Times New Roman" w:hAnsi="Times New Roman" w:cs="Times New Roman"/>
          <w:sz w:val="24"/>
          <w:szCs w:val="24"/>
        </w:rPr>
        <w:t>.</w:t>
      </w:r>
    </w:p>
    <w:p w14:paraId="41FDB74B" w14:textId="77777777" w:rsidR="00533D3E" w:rsidRPr="009E1059" w:rsidRDefault="00533D3E" w:rsidP="00533D3E">
      <w:pPr>
        <w:spacing w:line="360" w:lineRule="auto"/>
        <w:rPr>
          <w:rFonts w:ascii="Times New Roman" w:hAnsi="Times New Roman" w:cs="Times New Roman"/>
          <w:sz w:val="24"/>
          <w:szCs w:val="24"/>
        </w:rPr>
      </w:pPr>
    </w:p>
    <w:p w14:paraId="3D6D9828" w14:textId="77777777" w:rsidR="00533D3E" w:rsidRPr="009E1059" w:rsidRDefault="00533D3E" w:rsidP="00533D3E">
      <w:pPr>
        <w:spacing w:line="360" w:lineRule="auto"/>
        <w:rPr>
          <w:rFonts w:ascii="Times New Roman" w:eastAsia="Calibri" w:hAnsi="Times New Roman" w:cs="Times New Roman"/>
          <w:iCs/>
          <w:sz w:val="24"/>
          <w:szCs w:val="24"/>
        </w:rPr>
      </w:pPr>
      <w:r w:rsidRPr="009E1059">
        <w:rPr>
          <w:rFonts w:ascii="Times New Roman" w:hAnsi="Times New Roman" w:cs="Times New Roman"/>
          <w:sz w:val="24"/>
          <w:szCs w:val="24"/>
        </w:rPr>
        <w:t xml:space="preserve">Det foreslås i </w:t>
      </w:r>
      <w:r w:rsidRPr="009E1059">
        <w:rPr>
          <w:rFonts w:ascii="Times New Roman" w:hAnsi="Times New Roman" w:cs="Times New Roman"/>
          <w:i/>
          <w:iCs/>
          <w:sz w:val="24"/>
          <w:szCs w:val="24"/>
        </w:rPr>
        <w:t>1. pkt.,</w:t>
      </w:r>
      <w:r w:rsidRPr="009E1059">
        <w:rPr>
          <w:rFonts w:ascii="Times New Roman" w:hAnsi="Times New Roman" w:cs="Times New Roman"/>
          <w:sz w:val="24"/>
          <w:szCs w:val="24"/>
        </w:rPr>
        <w:t xml:space="preserve"> at boligkreditformidlere, som nævnt i det foreslåede § 2, nr. 2, </w:t>
      </w:r>
      <w:r w:rsidRPr="009E1059">
        <w:rPr>
          <w:rFonts w:ascii="Times New Roman" w:eastAsia="Calibri" w:hAnsi="Times New Roman" w:cs="Times New Roman"/>
          <w:iCs/>
          <w:sz w:val="24"/>
          <w:szCs w:val="24"/>
        </w:rPr>
        <w:t xml:space="preserve">senest den 1. april hvert år skal indsende en oversigt over virksomhedens ledelse og </w:t>
      </w:r>
      <w:r w:rsidRPr="009E1059">
        <w:rPr>
          <w:rFonts w:ascii="Times New Roman" w:hAnsi="Times New Roman" w:cs="Times New Roman"/>
          <w:sz w:val="24"/>
          <w:szCs w:val="24"/>
        </w:rPr>
        <w:t>medarbejdere eller ansatte i en boligkreditformidler med tilstrækkeligt kendskab til den forpligtede enheds risikoeksponering for hvidvask af penge og finansiering af terrorisme og med tilstrækkelig anciennitet til at træffe beslutninger med indvirkning på dets risikoeksponering, samt</w:t>
      </w:r>
      <w:r w:rsidRPr="009E1059">
        <w:rPr>
          <w:rFonts w:ascii="Times New Roman" w:eastAsia="Calibri" w:hAnsi="Times New Roman" w:cs="Times New Roman"/>
          <w:iCs/>
          <w:sz w:val="24"/>
          <w:szCs w:val="24"/>
        </w:rPr>
        <w:t xml:space="preserve"> reelle ejere.</w:t>
      </w:r>
    </w:p>
    <w:p w14:paraId="3072FD31" w14:textId="77777777" w:rsidR="00533D3E" w:rsidRPr="009E1059" w:rsidRDefault="00533D3E" w:rsidP="00533D3E">
      <w:pPr>
        <w:spacing w:line="360" w:lineRule="auto"/>
        <w:rPr>
          <w:rFonts w:ascii="Times New Roman" w:eastAsia="Calibri" w:hAnsi="Times New Roman" w:cs="Times New Roman"/>
          <w:iCs/>
          <w:sz w:val="24"/>
          <w:szCs w:val="24"/>
        </w:rPr>
      </w:pPr>
    </w:p>
    <w:p w14:paraId="4667FF4A" w14:textId="77777777" w:rsidR="00533D3E" w:rsidRPr="009E1059" w:rsidRDefault="00533D3E" w:rsidP="00533D3E">
      <w:pPr>
        <w:spacing w:line="360" w:lineRule="auto"/>
        <w:rPr>
          <w:rFonts w:ascii="Times New Roman" w:eastAsia="Calibri" w:hAnsi="Times New Roman" w:cs="Times New Roman"/>
          <w:iCs/>
          <w:sz w:val="24"/>
          <w:szCs w:val="24"/>
        </w:rPr>
      </w:pPr>
      <w:r w:rsidRPr="009E1059">
        <w:rPr>
          <w:rFonts w:ascii="Times New Roman" w:hAnsi="Times New Roman" w:cs="Times New Roman"/>
          <w:sz w:val="24"/>
          <w:szCs w:val="24"/>
        </w:rPr>
        <w:t xml:space="preserve">Det foreslås i </w:t>
      </w:r>
      <w:r w:rsidRPr="009E1059">
        <w:rPr>
          <w:rFonts w:ascii="Times New Roman" w:hAnsi="Times New Roman" w:cs="Times New Roman"/>
          <w:i/>
          <w:iCs/>
          <w:sz w:val="24"/>
          <w:szCs w:val="24"/>
        </w:rPr>
        <w:t>2. pkt.,</w:t>
      </w:r>
      <w:r w:rsidRPr="009E1059">
        <w:rPr>
          <w:rFonts w:ascii="Times New Roman" w:hAnsi="Times New Roman" w:cs="Times New Roman"/>
          <w:sz w:val="24"/>
          <w:szCs w:val="24"/>
        </w:rPr>
        <w:t xml:space="preserve"> at b</w:t>
      </w:r>
      <w:r w:rsidRPr="009E1059">
        <w:rPr>
          <w:rFonts w:ascii="Times New Roman" w:eastAsia="Calibri" w:hAnsi="Times New Roman" w:cs="Times New Roman"/>
          <w:iCs/>
          <w:sz w:val="24"/>
          <w:szCs w:val="24"/>
        </w:rPr>
        <w:t>oligkreditformidlere</w:t>
      </w:r>
      <w:r w:rsidRPr="009E1059">
        <w:rPr>
          <w:rFonts w:ascii="Times New Roman" w:hAnsi="Times New Roman" w:cs="Times New Roman"/>
          <w:sz w:val="24"/>
          <w:szCs w:val="24"/>
        </w:rPr>
        <w:t>, som nævnt i det foreslåede § 2, nr. 2,</w:t>
      </w:r>
      <w:r w:rsidRPr="009E1059">
        <w:rPr>
          <w:rFonts w:ascii="Times New Roman" w:eastAsia="Calibri" w:hAnsi="Times New Roman" w:cs="Times New Roman"/>
          <w:iCs/>
          <w:sz w:val="24"/>
          <w:szCs w:val="24"/>
        </w:rPr>
        <w:t xml:space="preserve"> tillige skal indsende en erklæring om, at den i 1. pkt. nævnte personkreds ikke er pålagt strafansvar for overtrædelse af straffeloven, den finansielle lovgivning eller anden relevant lovgivning.</w:t>
      </w:r>
    </w:p>
    <w:p w14:paraId="1EB9A675" w14:textId="77777777" w:rsidR="00533D3E" w:rsidRPr="009E1059" w:rsidRDefault="00533D3E" w:rsidP="00533D3E">
      <w:pPr>
        <w:spacing w:line="360" w:lineRule="auto"/>
        <w:rPr>
          <w:rFonts w:ascii="Times New Roman" w:eastAsia="Calibri" w:hAnsi="Times New Roman" w:cs="Times New Roman"/>
          <w:iCs/>
          <w:sz w:val="24"/>
          <w:szCs w:val="24"/>
        </w:rPr>
      </w:pPr>
    </w:p>
    <w:p w14:paraId="5333918C"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eastAsia="Calibri" w:hAnsi="Times New Roman" w:cs="Times New Roman"/>
          <w:iCs/>
          <w:sz w:val="24"/>
          <w:szCs w:val="24"/>
        </w:rPr>
        <w:t xml:space="preserve">Det foreslås i </w:t>
      </w:r>
      <w:r w:rsidRPr="009E1059">
        <w:rPr>
          <w:rFonts w:ascii="Times New Roman" w:eastAsia="Calibri" w:hAnsi="Times New Roman" w:cs="Times New Roman"/>
          <w:i/>
          <w:sz w:val="24"/>
          <w:szCs w:val="24"/>
        </w:rPr>
        <w:t>3. pkt.</w:t>
      </w:r>
      <w:r w:rsidRPr="009E1059">
        <w:rPr>
          <w:rFonts w:ascii="Times New Roman" w:eastAsia="Calibri" w:hAnsi="Times New Roman" w:cs="Times New Roman"/>
          <w:iCs/>
          <w:sz w:val="24"/>
          <w:szCs w:val="24"/>
        </w:rPr>
        <w:t xml:space="preserve">, at </w:t>
      </w:r>
      <w:r w:rsidRPr="009E1059">
        <w:rPr>
          <w:rFonts w:ascii="Times New Roman" w:hAnsi="Times New Roman" w:cs="Times New Roman"/>
          <w:sz w:val="24"/>
          <w:szCs w:val="24"/>
        </w:rPr>
        <w:t xml:space="preserve">erklæringen skal være underskrevet af virksomhedens bestyrelse og direktion. </w:t>
      </w:r>
    </w:p>
    <w:p w14:paraId="7C6386CA" w14:textId="77777777" w:rsidR="00533D3E" w:rsidRPr="009E1059" w:rsidRDefault="00533D3E" w:rsidP="00533D3E">
      <w:pPr>
        <w:spacing w:line="360" w:lineRule="auto"/>
        <w:rPr>
          <w:rFonts w:ascii="Times New Roman" w:hAnsi="Times New Roman" w:cs="Times New Roman"/>
          <w:sz w:val="24"/>
          <w:szCs w:val="24"/>
        </w:rPr>
      </w:pPr>
    </w:p>
    <w:p w14:paraId="1136F8E9"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foreslås endeligt i </w:t>
      </w:r>
      <w:r w:rsidRPr="009E1059">
        <w:rPr>
          <w:rFonts w:ascii="Times New Roman" w:hAnsi="Times New Roman" w:cs="Times New Roman"/>
          <w:i/>
          <w:iCs/>
          <w:sz w:val="24"/>
          <w:szCs w:val="24"/>
        </w:rPr>
        <w:t>4. pkt</w:t>
      </w:r>
      <w:r w:rsidRPr="009E1059">
        <w:rPr>
          <w:rFonts w:ascii="Times New Roman" w:hAnsi="Times New Roman" w:cs="Times New Roman"/>
          <w:sz w:val="24"/>
          <w:szCs w:val="24"/>
        </w:rPr>
        <w:t>., at drives virksomheden som juridisk person uden bestyrelse og direktion, skal erklæringen underskrives af den eller de ledelsesansvarlige for virksomheden eller af indehaveren, hvis virksomheden drives som enkeltmandsvirksomhed.</w:t>
      </w:r>
    </w:p>
    <w:p w14:paraId="04F7AA23" w14:textId="77777777" w:rsidR="00533D3E" w:rsidRPr="009E1059" w:rsidRDefault="00533D3E" w:rsidP="00533D3E">
      <w:pPr>
        <w:spacing w:line="360" w:lineRule="auto"/>
        <w:rPr>
          <w:rFonts w:ascii="Times New Roman" w:hAnsi="Times New Roman" w:cs="Times New Roman"/>
          <w:sz w:val="24"/>
          <w:szCs w:val="24"/>
        </w:rPr>
      </w:pPr>
    </w:p>
    <w:p w14:paraId="2C46A9A1"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indebærer, at erklæringen skal være underskrevet af virksomhedens bestyrelse og direktion, dog skal erklæringen underskrives af de ledelsesansvarlige, hvis virksomheden, drives som juridisk person uden bestyrelse og direktion, eller af indehaveren, hvis virksomheden drives som enkeltmandsvirksomhed. Dette sikrer, at der altid er en ansvarlig person, der bekræfter virksomhedens oplysninger.</w:t>
      </w:r>
    </w:p>
    <w:p w14:paraId="2DE63FB6" w14:textId="77777777" w:rsidR="00533D3E" w:rsidRPr="009E1059" w:rsidRDefault="00533D3E" w:rsidP="00533D3E">
      <w:pPr>
        <w:spacing w:line="360" w:lineRule="auto"/>
        <w:rPr>
          <w:rFonts w:ascii="Times New Roman" w:hAnsi="Times New Roman" w:cs="Times New Roman"/>
          <w:sz w:val="24"/>
          <w:szCs w:val="24"/>
        </w:rPr>
      </w:pPr>
    </w:p>
    <w:p w14:paraId="7526E1C3"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Formålet med bestemmelsen er at sikre, at Finanstilsynet løbende har opdateret information om virksomhedens ledelse og ejerskab, og at virksomheden til stadighed lever op til de krav, der er fastsat for hæderlighed. Den årlige indsendelse af erklæringen og oversigten understøtter Finanstilsynets mulighed for at føre effektivt tilsyn med virksomhederne.</w:t>
      </w:r>
    </w:p>
    <w:p w14:paraId="6FAFDBF7" w14:textId="77777777" w:rsidR="00533D3E" w:rsidRPr="009E1059" w:rsidRDefault="00533D3E" w:rsidP="00533D3E">
      <w:pPr>
        <w:spacing w:line="360" w:lineRule="auto"/>
        <w:rPr>
          <w:rFonts w:ascii="Times New Roman" w:hAnsi="Times New Roman" w:cs="Times New Roman"/>
          <w:sz w:val="24"/>
          <w:szCs w:val="24"/>
        </w:rPr>
      </w:pPr>
    </w:p>
    <w:p w14:paraId="489682C0"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Overtrædelse af bestemmelsen foreslås strafbelagt, jf. lovforslagets § 147, nr. 7. Virksomheder, der undlader senest den 1. april hvert år at indsende oversigten og erklæringen straffes med bøde. Den strafbare handling består i at undlade at indsende den årlige erklæring og oversigt til Finanstilsynet. Ansvarssubjektet for overtrædelse af bestemmelsen er virksomheden, og der skal således rejses tiltale mod den juridiske person for overtrædelsen.</w:t>
      </w:r>
    </w:p>
    <w:p w14:paraId="5122C881" w14:textId="77777777" w:rsidR="00533D3E" w:rsidRPr="009E1059" w:rsidRDefault="00533D3E" w:rsidP="00533D3E">
      <w:pPr>
        <w:spacing w:line="360" w:lineRule="auto"/>
        <w:rPr>
          <w:rFonts w:ascii="Times New Roman" w:hAnsi="Times New Roman" w:cs="Times New Roman"/>
          <w:sz w:val="24"/>
          <w:szCs w:val="24"/>
        </w:rPr>
      </w:pPr>
    </w:p>
    <w:p w14:paraId="3E72E504"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i/>
          <w:iCs/>
          <w:sz w:val="24"/>
          <w:szCs w:val="24"/>
        </w:rPr>
        <w:t>Til nr. 6 (</w:t>
      </w:r>
      <w:r w:rsidRPr="009E1059">
        <w:rPr>
          <w:rFonts w:ascii="Times New Roman" w:hAnsi="Times New Roman" w:cs="Times New Roman"/>
          <w:i/>
          <w:iCs/>
          <w:sz w:val="24"/>
          <w:szCs w:val="24"/>
        </w:rPr>
        <w:t>§</w:t>
      </w:r>
      <w:r w:rsidRPr="009E1059">
        <w:rPr>
          <w:rFonts w:ascii="Times New Roman" w:eastAsia="Calibri" w:hAnsi="Times New Roman" w:cs="Times New Roman"/>
          <w:i/>
          <w:iCs/>
          <w:sz w:val="24"/>
          <w:szCs w:val="24"/>
        </w:rPr>
        <w:t xml:space="preserve"> 14, stk. 10, i lov om investeringsrådgivere og boligkreditformidlere)</w:t>
      </w:r>
    </w:p>
    <w:p w14:paraId="58C8905C"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Det fremgår af § 14, stk. 1, i lov om investeringsrådgivere og boligkreditformidlere, at Finanstilsynet kan påbyde en virksomhed omfattet af loven at afsætte en direktør inden for en af Finanstilsynet fastsat frist, hvis denne efter § 4, stk. 1, nr. 2-5, eller § 5 c, stk. 1, ikke kan bestride stillingen.</w:t>
      </w:r>
    </w:p>
    <w:p w14:paraId="21570552"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2273E3D9"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Det fremgår endvidere af lovens § 14, stk. 2, at Finanstilsynet kan påbyde et medlem af bestyrelsen hos en virksomhed omfattet af loven at nedlægge sit hverv inden for en frist fastsat af Finanstilsynet, hvis vedkommende efter § 4, stk. 1, nr. 2-5, eller § 5 c, stk. 1, ikke kan bestride hvervet.</w:t>
      </w:r>
    </w:p>
    <w:p w14:paraId="52F8B321"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29FCD4C7"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Desuden fremgår det af lovens § 14, stk. 3, at Finanstilsynet kan påbyde en virksomhed at afsætte en direktør, når der er rejst tiltale mod direktøren i en straffesag om overtrædelse af straffeloven, den finansielle lovgivning eller anden relevant lovgivning, indtil straffesagen er afgjort, hvis domfældelse vil indebære, at vedkommende ikke opfylder kravene i § 4, stk. 1, nr. 3. Finanstilsynet fastsætter en frist for efterlevelse af påbuddet. Finanstilsynet kan under samme betingelser som i 1. pkt. påbyde et medlem af bestyrelsen i en virksomhed at nedlægge sit hverv. Finanstilsynet fastsætter en frist for efterlevelse af påbuddet.</w:t>
      </w:r>
    </w:p>
    <w:p w14:paraId="637B9D53"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184F5A7D"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Efter lovens § 14, stk. 4, skal varigheden af påbud meddelt efter stk. 1 og 2 på baggrund af § 4, stk. 1, nr. 2-5, fremgå af påbuddet.</w:t>
      </w:r>
    </w:p>
    <w:p w14:paraId="374F1F03"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7165995E"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Det fremgår herudover af lovens § 14, stk. 5, at påbud meddelt i henhold til stk. 1-3 kan forlanges indbragt for domstolene af</w:t>
      </w:r>
      <w:r w:rsidRPr="009E1059">
        <w:rPr>
          <w:rFonts w:ascii="Times New Roman" w:hAnsi="Times New Roman" w:cs="Times New Roman"/>
          <w:sz w:val="24"/>
          <w:szCs w:val="24"/>
        </w:rPr>
        <w:t xml:space="preserve"> virksomheden og af den person, som påbuddet vedrører. Anmodning herom skal indgives til Finanstilsynet, inden 4 uger efter at påbuddet er meddelt den pågældende. Anmodningen har ikke opsættende virkning for påbuddet, men retten kan ved kendelse bestemme, at den pågældende direktør eller det pågældende bestyrelsesmedlem under sagens behandling kan opretholde sit hverv eller sin stilling. Finanstilsynet indbringer sagen for domstolene inden 4 uger efter modtagelse af anmodning </w:t>
      </w:r>
      <w:r w:rsidRPr="009E1059">
        <w:rPr>
          <w:rFonts w:ascii="Times New Roman" w:eastAsia="Times New Roman" w:hAnsi="Times New Roman" w:cs="Times New Roman"/>
          <w:sz w:val="24"/>
          <w:szCs w:val="24"/>
          <w:lang w:eastAsia="da-DK"/>
        </w:rPr>
        <w:t>herom. Sagen anlægges i den borgerlige retsplejes former.</w:t>
      </w:r>
    </w:p>
    <w:p w14:paraId="61B99ED6"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290F62F7"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Det fremgår endvidere af lovens § 14, stk. 6, at Finanstilsynet af egen drift eller efter ansøgning kan tilbagekalde et påbud meddelt efter stk. 2 og stk. 3, 3. pkt.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4E5474CC"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19119280"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Det fremgår desuden af lovens § 14, stk. 7, at Finanstilsynet kan inddrage virksomhedens tilladelse, jf. § 15, stk. 1, nr. 5, hvis virksomheden ikke afsat direktøren inden for den i påbuddet fastsatte frist. Finanstilsynet kan endvidere inddrage virksomhedens tilladelse, jf. § 15, stk. 1, nr. 5, hvis et bestyrelsesmedlem ikke efterkommer et påbud meddelt i medfør af stk. 2 og 3.</w:t>
      </w:r>
    </w:p>
    <w:p w14:paraId="522DEA8D"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468C09F3"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 xml:space="preserve">Det fremgår herudover af lovens § 14, stk. 8, at lovens stk. 1-5 finder tilsvarende anvendelse på den eller de ledelsesansvarlige for investeringsrådgiveren eller boligkreditformidleren, hvis investeringsrådgiveren eller boligkreditformidleren drives som en juridisk person uden en bestyrelse eller direktion. </w:t>
      </w:r>
    </w:p>
    <w:p w14:paraId="05668A3F"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49D233A1"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r w:rsidRPr="009E1059">
        <w:rPr>
          <w:rFonts w:ascii="Times New Roman" w:eastAsia="Times New Roman" w:hAnsi="Times New Roman" w:cs="Times New Roman"/>
          <w:sz w:val="24"/>
          <w:szCs w:val="24"/>
          <w:lang w:eastAsia="da-DK"/>
        </w:rPr>
        <w:t>Endelig fremgår det af lovens § 14, stk. 9, at stk. 1-8 finder tilsvarende anvendelse på den eller de for virksomheden ledelsesansvarlige, når en virksomhed drives som en juridisk person uden en bestyrelse eller direktion.</w:t>
      </w:r>
    </w:p>
    <w:p w14:paraId="20138FCA" w14:textId="77777777" w:rsidR="00533D3E" w:rsidRPr="009E1059" w:rsidRDefault="00533D3E" w:rsidP="00533D3E">
      <w:pPr>
        <w:spacing w:line="360" w:lineRule="auto"/>
        <w:jc w:val="left"/>
        <w:rPr>
          <w:rFonts w:ascii="Times New Roman" w:eastAsia="Times New Roman" w:hAnsi="Times New Roman" w:cs="Times New Roman"/>
          <w:sz w:val="24"/>
          <w:szCs w:val="24"/>
          <w:lang w:eastAsia="da-DK"/>
        </w:rPr>
      </w:pPr>
    </w:p>
    <w:p w14:paraId="29800C3B"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Lov om investeringsrådgivere og boligkreditformidlere indeholder i dag ikke mulighed for at Finanstilsynet kan påbyde andre personer end de i § 14, stk. 1-2 og 9, nævnte personer, herunder medlemmer af en boligkreditformidlers bestyrelse eller direktion, som ikke overholder hæderlighedskravene i lovens § 4, stk. 1, nr. 3, at nedlægge sin stilling eller hverv.</w:t>
      </w:r>
    </w:p>
    <w:p w14:paraId="3061F0BA" w14:textId="77777777" w:rsidR="00533D3E" w:rsidRPr="009E1059" w:rsidRDefault="00533D3E" w:rsidP="00533D3E">
      <w:pPr>
        <w:spacing w:line="360" w:lineRule="auto"/>
        <w:rPr>
          <w:rFonts w:ascii="Times New Roman" w:hAnsi="Times New Roman" w:cs="Times New Roman"/>
          <w:sz w:val="24"/>
          <w:szCs w:val="24"/>
        </w:rPr>
      </w:pPr>
    </w:p>
    <w:p w14:paraId="385CD960"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fastlægger rammerne for, at Finanstilsynet kan gribe ind over for medarbejdere og ansatte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 såfremt den pågældende person ikke opfylder hæderlighedskravet i lovens § 4, stk. 1, nr. 3. </w:t>
      </w:r>
    </w:p>
    <w:p w14:paraId="5D0C0E7E" w14:textId="77777777" w:rsidR="00533D3E" w:rsidRPr="009E1059" w:rsidRDefault="00533D3E" w:rsidP="00533D3E">
      <w:pPr>
        <w:spacing w:line="360" w:lineRule="auto"/>
        <w:rPr>
          <w:rFonts w:ascii="Times New Roman" w:hAnsi="Times New Roman" w:cs="Times New Roman"/>
          <w:sz w:val="24"/>
          <w:szCs w:val="24"/>
        </w:rPr>
      </w:pPr>
    </w:p>
    <w:p w14:paraId="3294D0B7"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implementerer artikel 6, stk. 4</w:t>
      </w:r>
      <w:r w:rsidRPr="009E1059">
        <w:rPr>
          <w:rFonts w:ascii="Times New Roman" w:eastAsia="Calibri" w:hAnsi="Times New Roman" w:cs="Times New Roman"/>
          <w:sz w:val="24"/>
          <w:szCs w:val="24"/>
        </w:rPr>
        <w:t xml:space="preserve">, </w:t>
      </w:r>
      <w:r w:rsidRPr="009E1059">
        <w:rPr>
          <w:rFonts w:ascii="Times New Roman" w:eastAsia="Calibri" w:hAnsi="Times New Roman" w:cs="Times New Roman"/>
          <w:iCs/>
          <w:sz w:val="24"/>
          <w:szCs w:val="24"/>
        </w:rPr>
        <w:t xml:space="preserve">artikel 37, stk. 6, litra b, </w:t>
      </w:r>
      <w:r w:rsidRPr="009E1059">
        <w:rPr>
          <w:rFonts w:ascii="Times New Roman" w:eastAsia="Calibri" w:hAnsi="Times New Roman" w:cs="Times New Roman"/>
          <w:sz w:val="24"/>
          <w:szCs w:val="24"/>
        </w:rPr>
        <w:t>artikel</w:t>
      </w:r>
      <w:r w:rsidRPr="009E1059">
        <w:rPr>
          <w:rFonts w:ascii="Times New Roman" w:eastAsia="Calibri" w:hAnsi="Times New Roman" w:cs="Times New Roman"/>
          <w:iCs/>
          <w:sz w:val="24"/>
          <w:szCs w:val="24"/>
        </w:rPr>
        <w:t xml:space="preserve"> 53, stk. 2 og 6, og </w:t>
      </w:r>
      <w:r w:rsidRPr="009E1059">
        <w:rPr>
          <w:rFonts w:ascii="Times New Roman" w:eastAsia="Calibri" w:hAnsi="Times New Roman" w:cs="Times New Roman"/>
          <w:sz w:val="24"/>
          <w:szCs w:val="24"/>
        </w:rPr>
        <w:t xml:space="preserve">artikel 56, stk. 4, </w:t>
      </w:r>
      <w:r w:rsidRPr="009E1059">
        <w:rPr>
          <w:rFonts w:ascii="Times New Roman" w:hAnsi="Times New Roman" w:cs="Times New Roman"/>
          <w:sz w:val="24"/>
          <w:szCs w:val="24"/>
        </w:rPr>
        <w:t xml:space="preserve">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w:t>
      </w:r>
    </w:p>
    <w:p w14:paraId="1217C743" w14:textId="77777777" w:rsidR="00533D3E" w:rsidRPr="009E1059" w:rsidRDefault="00533D3E" w:rsidP="00533D3E">
      <w:pPr>
        <w:spacing w:line="360" w:lineRule="auto"/>
        <w:rPr>
          <w:rFonts w:ascii="Times New Roman" w:hAnsi="Times New Roman" w:cs="Times New Roman"/>
          <w:sz w:val="24"/>
          <w:szCs w:val="24"/>
        </w:rPr>
      </w:pPr>
    </w:p>
    <w:p w14:paraId="35441375"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foreslås i </w:t>
      </w:r>
      <w:r w:rsidRPr="009E1059">
        <w:rPr>
          <w:rFonts w:ascii="Times New Roman" w:hAnsi="Times New Roman" w:cs="Times New Roman"/>
          <w:i/>
          <w:iCs/>
          <w:sz w:val="24"/>
          <w:szCs w:val="24"/>
        </w:rPr>
        <w:t>§ 14, stk. 10</w:t>
      </w:r>
      <w:r w:rsidRPr="009E1059">
        <w:rPr>
          <w:rFonts w:ascii="Times New Roman" w:hAnsi="Times New Roman" w:cs="Times New Roman"/>
          <w:sz w:val="24"/>
          <w:szCs w:val="24"/>
        </w:rPr>
        <w:t xml:space="preserve">,  at </w:t>
      </w:r>
      <w:r w:rsidRPr="009E1059">
        <w:rPr>
          <w:rFonts w:ascii="Times New Roman" w:hAnsi="Times New Roman" w:cs="Times New Roman"/>
          <w:i/>
          <w:iCs/>
          <w:sz w:val="24"/>
          <w:szCs w:val="24"/>
        </w:rPr>
        <w:t>s</w:t>
      </w:r>
      <w:r w:rsidRPr="009E1059">
        <w:rPr>
          <w:rFonts w:ascii="Times New Roman" w:hAnsi="Times New Roman" w:cs="Times New Roman"/>
          <w:sz w:val="24"/>
          <w:szCs w:val="24"/>
        </w:rPr>
        <w:t>tk. 1-8, finder tilsvarende anvendelse for en medarbejder og ansat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 hvis den pågældende efter § 4, stk. 7, jf. § 4, stk. 1, nr. 3, ikke kan bestride stillingen eller når der er rejst tiltale mod den pågældende i en straffesag om overtrædelse af straffeloven, den finansielle lovgivning eller anden relevant lovgivning, indtil straffesagen er afgjort, hvis domfældelse vil indebære, at vedkommende ikke opfylder kravene i § 4, stk. 7, jf. § 4, stk. 1, nr. 3.</w:t>
      </w:r>
    </w:p>
    <w:p w14:paraId="0FAB393D" w14:textId="77777777" w:rsidR="00533D3E" w:rsidRPr="009E1059" w:rsidRDefault="00533D3E" w:rsidP="00533D3E">
      <w:pPr>
        <w:spacing w:line="360" w:lineRule="auto"/>
        <w:rPr>
          <w:rFonts w:ascii="Times New Roman" w:hAnsi="Times New Roman" w:cs="Times New Roman"/>
          <w:sz w:val="24"/>
          <w:szCs w:val="24"/>
        </w:rPr>
      </w:pPr>
    </w:p>
    <w:p w14:paraId="36BF8272"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En medarbejder eller ansat i en boligkreditformidler med tilstrækkeligt kendskab til den forpligtede enheds risikoeksponering for hvidvask af penge og finansiering af terrorisme og med tilstrækkelig anciennitet til at træffe beslutninger med indvirkning på dets risikoeksponering, skal forstås i overensstemmelse med definitionen af øverste ledelse i artikel 2, stk. 1, nr. 40, i Europa-Parlamentets og Rådets forordning (EU) 2024/1624 af 31. maj 2024 om forebyggende foranstaltninger mod anvendelse af det finansielle system til hvidvask af penge eller finansiering af terrorisme. </w:t>
      </w:r>
    </w:p>
    <w:p w14:paraId="6BFC2C79" w14:textId="77777777" w:rsidR="00533D3E" w:rsidRPr="009E1059" w:rsidRDefault="00533D3E" w:rsidP="00533D3E">
      <w:pPr>
        <w:spacing w:line="360" w:lineRule="auto"/>
        <w:rPr>
          <w:rFonts w:ascii="Times New Roman" w:hAnsi="Times New Roman" w:cs="Times New Roman"/>
          <w:sz w:val="24"/>
          <w:szCs w:val="24"/>
        </w:rPr>
      </w:pPr>
    </w:p>
    <w:p w14:paraId="44430EB9"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vil medføre, at Finanstilsynet får mulighed for at påbyde en boligkreditformidler, som nævnt i det foreslåede § 2, nr. 2, at afsætte</w:t>
      </w:r>
      <w:r w:rsidRPr="009E1059">
        <w:rPr>
          <w:rFonts w:ascii="Times New Roman" w:eastAsia="Calibri" w:hAnsi="Times New Roman" w:cs="Times New Roman"/>
          <w:iCs/>
          <w:sz w:val="24"/>
          <w:szCs w:val="24"/>
        </w:rPr>
        <w:t xml:space="preserve"> en </w:t>
      </w:r>
      <w:r w:rsidRPr="009E1059">
        <w:rPr>
          <w:rFonts w:ascii="Times New Roman" w:hAnsi="Times New Roman" w:cs="Times New Roman"/>
          <w:sz w:val="24"/>
          <w:szCs w:val="24"/>
        </w:rPr>
        <w:t xml:space="preserve">medarbejder eller ansat i en boligkreditformidler med tilstrækkeligt kendskab til den forpligtede enheds risikoeksponering for hvidvask af penge og finansiering af terrorisme og med tilstrækkelig anciennitet til at træffe beslutninger med indvirkning på dets risikoeksponering, hvis denne efter det foreslåede § 4, stk. 6, jf. § 4, stk. 1, nr. 3, ikke kan bestride stillingen. </w:t>
      </w:r>
    </w:p>
    <w:p w14:paraId="5B98B748" w14:textId="77777777" w:rsidR="00533D3E" w:rsidRPr="009E1059" w:rsidRDefault="00533D3E" w:rsidP="00533D3E">
      <w:pPr>
        <w:spacing w:line="360" w:lineRule="auto"/>
        <w:rPr>
          <w:rFonts w:ascii="Times New Roman" w:hAnsi="Times New Roman" w:cs="Times New Roman"/>
          <w:sz w:val="24"/>
          <w:szCs w:val="24"/>
        </w:rPr>
      </w:pPr>
    </w:p>
    <w:p w14:paraId="0CBC2A76"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Finanstilsynet skal inddrage de reguleringsmæssige tekniske standarder, der fastsætter indikatorer til klassificering af niveauet af overtrædelsernes grovhed og kriterier, der skal tages i betragtning, når der anvendes reaktioner i henhold til denne bestemmelse i medfør af 6. hvidvaskdirektivs afdeling 4. De reguleringsmæssige tekniske standarder udstedes af Kommissionen i medfør af artikel 49 i Europa-Parlamentets og Rådets forordning (EU) 2024/1624 af 31. maj 2024 om oprettelse af Myndigheden for Bekæmpelse af Hvidvask af Penge og Finansiering af Terrorisme og om ændring af forordning (EU) nr. 1093/2010, (EU) nr. 1094/2010 og (EU) nr. 1095/2010, jf. artikel 53, stk. 10, i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w:t>
      </w:r>
    </w:p>
    <w:p w14:paraId="29B5BA86" w14:textId="77777777" w:rsidR="00533D3E" w:rsidRPr="009E1059" w:rsidRDefault="00533D3E" w:rsidP="00533D3E">
      <w:pPr>
        <w:spacing w:line="360" w:lineRule="auto"/>
        <w:rPr>
          <w:rFonts w:ascii="Times New Roman" w:hAnsi="Times New Roman" w:cs="Times New Roman"/>
          <w:sz w:val="24"/>
          <w:szCs w:val="24"/>
        </w:rPr>
      </w:pPr>
    </w:p>
    <w:p w14:paraId="3BC16F5C"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vil endvidere medføre, at Finanstilsynet får mulighed for at påbyde en boligkreditformidler, som nævnt i det foreslåede § 2, nr. 2, midlertidigt at afsætte en medarbejder eller ansat i en boligkreditformidler med tilstrækkeligt kendskab til den forpligtede enheds risikoeksponering for hvidvask af penge og finansiering af terrorisme og med tilstrækkelig anciennitet til at træffe beslutninger med indvirkning på dets risikoeksponering, når der er rejst tiltale mod personen i en straffesag om overtrædelse af straffeloven, den finansielle lovgivning eller anden relevant lovgivning, indtil straffesagen er afgjort, hvis domfældelse vil indebære, at vedkommende ikke opfylder hæderlighedskravet i § 4, stk. 6, jf. § 4, stk. 1, nr. 3. Finanstilsynet fastsætter en frist for efterlevelse af påbuddet, således at virksomheden får mulighed for at iværksætte de nødvendige tiltag inden for en rimelig tidsramme. Det er hensigten, at fristen fastsættes under hensyntagen til virksomhedens forhold og den konkrete situation. </w:t>
      </w:r>
    </w:p>
    <w:p w14:paraId="06D9FD9C" w14:textId="77777777" w:rsidR="00533D3E" w:rsidRPr="009E1059" w:rsidRDefault="00533D3E" w:rsidP="00533D3E">
      <w:pPr>
        <w:spacing w:line="360" w:lineRule="auto"/>
        <w:rPr>
          <w:rFonts w:ascii="Times New Roman" w:hAnsi="Times New Roman" w:cs="Times New Roman"/>
          <w:sz w:val="24"/>
          <w:szCs w:val="24"/>
        </w:rPr>
      </w:pPr>
    </w:p>
    <w:p w14:paraId="73E2ED56"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Den foreslåede bestemmelse vil desuden indebære, at et påbud i medfør af det foreslåede § 14, stk. 10, jf. § 14, stk. 1, om at afsætte en medarbejder eller ansat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 vil skulle indeholde varigheden af påbuddet, jf. § 4, stk. 1, nr. 3. </w:t>
      </w:r>
    </w:p>
    <w:p w14:paraId="63B7E7C3" w14:textId="77777777" w:rsidR="00533D3E" w:rsidRPr="009E1059" w:rsidRDefault="00533D3E" w:rsidP="00533D3E">
      <w:pPr>
        <w:spacing w:line="360" w:lineRule="auto"/>
        <w:rPr>
          <w:rFonts w:ascii="Times New Roman" w:hAnsi="Times New Roman" w:cs="Times New Roman"/>
          <w:sz w:val="24"/>
          <w:szCs w:val="24"/>
        </w:rPr>
      </w:pPr>
    </w:p>
    <w:p w14:paraId="214316DB"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Finanstilsynet vil herefter som udgangspunkt ikke kunne inddrage de forhold, der oprindeligt førte til påbuddet, i en ny vurdering, når varigheden udløber. Varigheden af påbuddet fastsættes på baggrund af en konkret vurdering af de forhold, der ligger til grund for afgørelsen. Formålet med at fastsætte varigheden af påbuddet er at sikre gennemsigtighed og retssikkerhed for de personer, som påbuddet vedrører, samt at beskytte tilliden til den finansielle sektor. Hvis en person, der vurderes uegnet, umiddelbart efter påbuddets udløb kan indtræde i ledelsen af en anden finansiel virksomhed, med et tilsvarende ansvar kan det svække tilliden til sektoren. </w:t>
      </w:r>
    </w:p>
    <w:p w14:paraId="25D0A26E" w14:textId="77777777" w:rsidR="00533D3E" w:rsidRPr="009E1059" w:rsidRDefault="00533D3E" w:rsidP="00533D3E">
      <w:pPr>
        <w:spacing w:line="360" w:lineRule="auto"/>
        <w:rPr>
          <w:rFonts w:ascii="Times New Roman" w:hAnsi="Times New Roman" w:cs="Times New Roman"/>
          <w:sz w:val="24"/>
          <w:szCs w:val="24"/>
        </w:rPr>
      </w:pPr>
    </w:p>
    <w:p w14:paraId="4FF42BC1"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vil herudover indebære påbud vedrørende afsættelse af en medarbejder eller ansat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 i henhold til bestemmelsens stk. 1 eller 3, kan forlanges indbragt for domstolene af virksomheden og af den person, som påbuddet vedrører. Anmodning herom skal indgives til Finanstilsynet, inden 4 uger efter at påbuddet er meddelt den pågældende. Anmodningen har ikke opsættende virkning for påbuddet, men retten kan ved kendelse bestemme, at den pågældende direktør eller det pågældende bestyrelsesmedlem under sagens behandling kan opretholde sit hverv eller sin stilling. Finanstilsynet indbringer sagen for domstolene inden 4 uger efter modtagelse af anmodning herom. Sagen anlægges i den borgerlige retsplejes former.</w:t>
      </w:r>
    </w:p>
    <w:p w14:paraId="653F6420" w14:textId="77777777" w:rsidR="00533D3E" w:rsidRPr="009E1059" w:rsidRDefault="00533D3E" w:rsidP="00533D3E">
      <w:pPr>
        <w:spacing w:line="360" w:lineRule="auto"/>
        <w:rPr>
          <w:rFonts w:ascii="Times New Roman" w:hAnsi="Times New Roman" w:cs="Times New Roman"/>
          <w:sz w:val="24"/>
          <w:szCs w:val="24"/>
        </w:rPr>
      </w:pPr>
    </w:p>
    <w:p w14:paraId="4BF117BC"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Derudover vil den foreslåede bestemmelse indebære, at Finanstilsynet af egen drift eller efter ansøgning tilbagekalde et påbud meddelt efter bestemmelsens stk. 3, 3. pkt.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7B2867A7" w14:textId="77777777" w:rsidR="00533D3E" w:rsidRPr="009E1059" w:rsidRDefault="00533D3E" w:rsidP="00533D3E">
      <w:pPr>
        <w:spacing w:line="360" w:lineRule="auto"/>
        <w:rPr>
          <w:rFonts w:ascii="Times New Roman" w:hAnsi="Times New Roman" w:cs="Times New Roman"/>
          <w:sz w:val="24"/>
          <w:szCs w:val="24"/>
        </w:rPr>
      </w:pPr>
    </w:p>
    <w:p w14:paraId="581D6222"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Den foreslåede bestemmelse vil desuden indebære, at har virksomheden ikke afsat den ansatte eller medarbejderen inden for den i påbuddet fastsatte frist, kan Finanstilsynet inddrage virksomhedens tilladelse, jf. § 15, stk. 1, nr. 5.</w:t>
      </w:r>
    </w:p>
    <w:p w14:paraId="7A4AA4EA" w14:textId="77777777" w:rsidR="00533D3E" w:rsidRPr="009E1059" w:rsidRDefault="00533D3E" w:rsidP="00533D3E">
      <w:pPr>
        <w:spacing w:line="360" w:lineRule="auto"/>
        <w:rPr>
          <w:rFonts w:ascii="Times New Roman" w:hAnsi="Times New Roman" w:cs="Times New Roman"/>
          <w:sz w:val="24"/>
          <w:szCs w:val="24"/>
        </w:rPr>
      </w:pPr>
    </w:p>
    <w:p w14:paraId="1CA59ACC"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Endeligt vil den foreslåede bestemmelse indebære, at Finanstilsynets afgørelser i sager efter § 4, stk. 1, som træffes efter § 4, stk. 2, kan forlanges indbragt for domstolene af boligkreditformidleren og af den medarbejder eller ansatte, som afgørelsen vedrører. Anmodning herom skal indgives til Finanstilsynet, inden 4 uger efter at afgørelsen er meddelt den pågældende. Anmodningen har ikke opsættende virkning for afgørelsen, men retten kan ved kendelse bestemme, at personen under sagens behandling kan indtræde i det hverv eller den stilling, som personen har søgt om godkendelse til. Finanstilsynet indbringer sagen for domstolene inden 4 uger efter modtagelse af anmodning herom. Sagen anlægges i den borgerlige retsplejes former.</w:t>
      </w:r>
    </w:p>
    <w:p w14:paraId="18304C45" w14:textId="77777777" w:rsidR="00533D3E" w:rsidRPr="009E1059" w:rsidRDefault="00533D3E" w:rsidP="00533D3E">
      <w:pPr>
        <w:suppressAutoHyphens/>
        <w:spacing w:line="360" w:lineRule="auto"/>
        <w:rPr>
          <w:rFonts w:ascii="Times New Roman" w:hAnsi="Times New Roman" w:cs="Times New Roman"/>
          <w:sz w:val="24"/>
          <w:szCs w:val="24"/>
        </w:rPr>
      </w:pPr>
    </w:p>
    <w:p w14:paraId="0FEAA379" w14:textId="77777777" w:rsidR="00533D3E" w:rsidRPr="009E1059" w:rsidRDefault="00533D3E" w:rsidP="00533D3E">
      <w:pPr>
        <w:suppressAutoHyphens/>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Der henvises i øvrigt til lovbemærkningerne til bestemmelsens § 14, stk. 1, i Folketingstidende 2012-13, tillæg A, L 151 som fremsat, side 20f, Folketingstidende 13-14, tillæg A, L 119 som fremsat, side 88. og Folketingstidende 2024-25, tillæg A, L 193 som fremsat, side 507f. </w:t>
      </w:r>
    </w:p>
    <w:p w14:paraId="378E1979" w14:textId="77777777" w:rsidR="00533D3E" w:rsidRPr="009E1059" w:rsidRDefault="00533D3E" w:rsidP="00533D3E">
      <w:pPr>
        <w:suppressAutoHyphens/>
        <w:spacing w:line="360" w:lineRule="auto"/>
        <w:rPr>
          <w:rFonts w:ascii="Times New Roman" w:hAnsi="Times New Roman" w:cs="Times New Roman"/>
          <w:sz w:val="24"/>
          <w:szCs w:val="24"/>
        </w:rPr>
      </w:pPr>
    </w:p>
    <w:p w14:paraId="6173F97E"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i/>
          <w:iCs/>
          <w:sz w:val="24"/>
          <w:szCs w:val="24"/>
        </w:rPr>
        <w:t>Til nr. 7 (§ 14 b i lov om investeringsrådgivere og boligkreditformidlere)</w:t>
      </w:r>
    </w:p>
    <w:p w14:paraId="39373C01" w14:textId="77777777" w:rsidR="00533D3E" w:rsidRPr="009E1059" w:rsidRDefault="00533D3E" w:rsidP="00533D3E">
      <w:pPr>
        <w:tabs>
          <w:tab w:val="num" w:pos="720"/>
        </w:tabs>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fremgår af § 4, stk. 1, i lov </w:t>
      </w:r>
      <w:r w:rsidRPr="009E1059">
        <w:rPr>
          <w:rFonts w:ascii="Times New Roman" w:eastAsia="Calibri" w:hAnsi="Times New Roman" w:cs="Times New Roman"/>
          <w:sz w:val="24"/>
          <w:szCs w:val="24"/>
        </w:rPr>
        <w:t>om investeringsrådgivere og boligkreditformidlere</w:t>
      </w:r>
      <w:r w:rsidRPr="009E1059">
        <w:rPr>
          <w:rFonts w:ascii="Times New Roman" w:hAnsi="Times New Roman" w:cs="Times New Roman"/>
          <w:sz w:val="24"/>
          <w:szCs w:val="24"/>
        </w:rPr>
        <w:t xml:space="preserve">, at medlemmer af bestyrelsen eller direktionen hos en investeringsrådgiver eller en boligkreditformidler eller en indehaver af en investeringsrådgiver eller boligkreditformidler, der er en enkeltmandsvirksomhed skal opfylde en række egnetheds- og hæderlighedskrav. </w:t>
      </w:r>
    </w:p>
    <w:p w14:paraId="1705B50D" w14:textId="77777777" w:rsidR="00533D3E" w:rsidRPr="009E1059" w:rsidRDefault="00533D3E" w:rsidP="00533D3E">
      <w:pPr>
        <w:spacing w:line="360" w:lineRule="auto"/>
        <w:rPr>
          <w:rFonts w:ascii="Times New Roman" w:eastAsia="Calibri" w:hAnsi="Times New Roman" w:cs="Times New Roman"/>
          <w:sz w:val="24"/>
          <w:szCs w:val="24"/>
        </w:rPr>
      </w:pPr>
    </w:p>
    <w:p w14:paraId="50FF8086" w14:textId="77777777" w:rsidR="00533D3E" w:rsidRPr="009E1059" w:rsidRDefault="00533D3E" w:rsidP="00533D3E">
      <w:pPr>
        <w:tabs>
          <w:tab w:val="num" w:pos="720"/>
        </w:tabs>
        <w:spacing w:line="360" w:lineRule="auto"/>
        <w:rPr>
          <w:rFonts w:ascii="Times New Roman" w:hAnsi="Times New Roman" w:cs="Times New Roman"/>
          <w:sz w:val="24"/>
          <w:szCs w:val="24"/>
        </w:rPr>
      </w:pPr>
      <w:r w:rsidRPr="009E1059">
        <w:rPr>
          <w:rFonts w:ascii="Times New Roman" w:hAnsi="Times New Roman" w:cs="Times New Roman"/>
          <w:sz w:val="24"/>
          <w:szCs w:val="24"/>
        </w:rPr>
        <w:t>Efter bestemmelsen skal de pågældende personer have tilstrækkelig viden, faglig kompetence og erfaring til at kunne varetage hvervet eller stillingen, jf. nr. 1, have et tilstrækkeligt godt omdømme og kunne udvise hæderlighed, integritet og tilstrækkelig uafhængighed ved varetagelsen af hvervet eller stillingen, jf. nr. 2. De må desuden ikke være pålagt strafansvar for overtrædelse af straffeloven, den finansielle lovgivning eller anden relevant lovgivning, hvis overtrædelsen indebærer risiko for, at vedkommende ikke kan varetage sit hverv eller sin stilling på betryggende måde, jf. nr. 3. Endvidere må de ikke have indgivet begæring om eller være under rekonstruktionsbehandling, konkurs eller gældssanering, jf. nr. 4, ligesom de ikke må have udvist en sådan adfærd, at der er grund til at antage, at de ikke vil varetage hvervet eller stillingen på forsvarlig måde, jf. nr. 5.</w:t>
      </w:r>
    </w:p>
    <w:p w14:paraId="74F2757C" w14:textId="77777777" w:rsidR="00533D3E" w:rsidRPr="009E1059" w:rsidRDefault="00533D3E" w:rsidP="00533D3E">
      <w:pPr>
        <w:spacing w:line="360" w:lineRule="auto"/>
        <w:rPr>
          <w:rFonts w:ascii="Times New Roman" w:eastAsia="Calibri" w:hAnsi="Times New Roman" w:cs="Times New Roman"/>
          <w:sz w:val="24"/>
          <w:szCs w:val="24"/>
        </w:rPr>
      </w:pPr>
    </w:p>
    <w:p w14:paraId="149209F7"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Det fremgår endvidere af lovens § 4, stk. 2, at Finanstilsynet ved en persons tiltræden som bestyrelsesmedlem eller direktør i en i en investeringsrådgiver eller en boligkreditformidler skal påse, om personen opfylder egnetheds- og hæderlighedskravene i § 4, stk. 1. Finanstilsynet træffer afgørelse om, hvorvidt personen kan bestride hvervet eller stillingen i den pågældende virksomhed. Det samme gælder for indehaveren af en investeringsrådgiver eller en boligkreditformidler, der drives som enkeltmandsvirksomhed.</w:t>
      </w:r>
    </w:p>
    <w:p w14:paraId="4194FC35" w14:textId="77777777" w:rsidR="00533D3E" w:rsidRPr="009E1059" w:rsidRDefault="00533D3E" w:rsidP="00533D3E">
      <w:pPr>
        <w:spacing w:line="360" w:lineRule="auto"/>
        <w:rPr>
          <w:rFonts w:ascii="Times New Roman" w:hAnsi="Times New Roman" w:cs="Times New Roman"/>
          <w:sz w:val="24"/>
          <w:szCs w:val="24"/>
        </w:rPr>
      </w:pPr>
    </w:p>
    <w:p w14:paraId="0B9C4EEE"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fremgår herudover af § 14, stk. 1, i lov </w:t>
      </w:r>
      <w:r w:rsidRPr="009E1059">
        <w:rPr>
          <w:rFonts w:ascii="Times New Roman" w:eastAsia="Calibri" w:hAnsi="Times New Roman" w:cs="Times New Roman"/>
          <w:sz w:val="24"/>
          <w:szCs w:val="24"/>
        </w:rPr>
        <w:t>om investeringsrådgivere og boligkreditformidlere</w:t>
      </w:r>
      <w:r w:rsidRPr="009E1059">
        <w:rPr>
          <w:rFonts w:ascii="Times New Roman" w:hAnsi="Times New Roman" w:cs="Times New Roman"/>
          <w:sz w:val="24"/>
          <w:szCs w:val="24"/>
        </w:rPr>
        <w:t>, at Finanstilsynet kan påbyde en virksomhed omfattet af loven at afsætte en direktør inden for en af Finanstilsynet fastsat frist, hvis direktøren efter § 4, stk. 1, nr. 2-5, eller § 5 c, stk. 1, ikke kan bestride stillingen. Efter lovens § 14, stk. 2, kan Finanstilsynet kan under samme betingelser påbyde et bestyrelsesmedlem at nedlægge sit hverv.</w:t>
      </w:r>
    </w:p>
    <w:p w14:paraId="068CB37E" w14:textId="77777777" w:rsidR="00533D3E" w:rsidRPr="009E1059" w:rsidRDefault="00533D3E" w:rsidP="00533D3E">
      <w:pPr>
        <w:spacing w:line="360" w:lineRule="auto"/>
        <w:rPr>
          <w:rFonts w:ascii="Times New Roman" w:eastAsia="Calibri" w:hAnsi="Times New Roman" w:cs="Times New Roman"/>
          <w:sz w:val="24"/>
          <w:szCs w:val="24"/>
        </w:rPr>
      </w:pPr>
    </w:p>
    <w:p w14:paraId="5ECE90A2"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Efter § lovens 14, stk. 3, kan Finanstilsynet desuden påbyde en virksomhed omfattet af loven at afsætte en direktør, hvis der er rejst tiltale mod den pågældende i en straffesag om overtrædelse af straffeloven, den finansielle lovgivning eller anden relevant lovgivning, og en domfældelse vil indebære, at direktøren ikke opfylder kravene i § 4, stk. 1, nr. 3. Finanstilsynet kan under samme betingelser påbyde et bestyrelsesmedlem at nedlægge sit hverv. Finanstilsynet fastsætter i begge tilfælde en frist for efterlevelse af påbuddet.</w:t>
      </w:r>
    </w:p>
    <w:p w14:paraId="358F88F8" w14:textId="77777777" w:rsidR="00533D3E" w:rsidRPr="009E1059" w:rsidRDefault="00533D3E" w:rsidP="00533D3E">
      <w:pPr>
        <w:spacing w:line="360" w:lineRule="auto"/>
        <w:rPr>
          <w:rFonts w:ascii="Times New Roman" w:hAnsi="Times New Roman" w:cs="Times New Roman"/>
          <w:sz w:val="24"/>
          <w:szCs w:val="24"/>
        </w:rPr>
      </w:pPr>
    </w:p>
    <w:p w14:paraId="5E865E12" w14:textId="77777777" w:rsidR="00533D3E" w:rsidRPr="009E1059" w:rsidRDefault="00533D3E" w:rsidP="00533D3E">
      <w:pPr>
        <w:spacing w:line="360" w:lineRule="auto"/>
        <w:rPr>
          <w:rFonts w:ascii="Times New Roman" w:hAnsi="Times New Roman" w:cs="Times New Roman"/>
          <w:sz w:val="24"/>
          <w:szCs w:val="24"/>
        </w:rPr>
      </w:pPr>
      <w:r w:rsidRPr="009E1059">
        <w:rPr>
          <w:rFonts w:ascii="Times New Roman" w:hAnsi="Times New Roman" w:cs="Times New Roman"/>
          <w:sz w:val="24"/>
          <w:szCs w:val="24"/>
        </w:rPr>
        <w:t xml:space="preserve">Det følger herudover af § 15, stk. 1, i lov </w:t>
      </w:r>
      <w:r w:rsidRPr="009E1059">
        <w:rPr>
          <w:rFonts w:ascii="Times New Roman" w:eastAsia="Calibri" w:hAnsi="Times New Roman" w:cs="Times New Roman"/>
          <w:sz w:val="24"/>
          <w:szCs w:val="24"/>
        </w:rPr>
        <w:t>om investeringsrådgivere og boligkreditformidlere, at</w:t>
      </w:r>
      <w:r w:rsidRPr="009E1059">
        <w:rPr>
          <w:rFonts w:ascii="Times New Roman" w:hAnsi="Times New Roman" w:cs="Times New Roman"/>
          <w:sz w:val="24"/>
          <w:szCs w:val="24"/>
        </w:rPr>
        <w:t xml:space="preserve"> Finanstilsynet kan inddrage en investeringsrådgivers eller boligkreditformidlers tilladelse, hvis virksomheden: ikke gør brug af tilladelsen inden for en frist på 12 måneder, jf. nr. 1, udtrykkeligt anmoder herom, jf. nr. 2, ikke har udøvet virksomhed i en periode på over 6 måneder, jf. nr. 3, har opnået tilladelsen på baggrund af urigtige oplysninger eller på anden uredelig vis, jf. nr. 4, ikke længere opfylder betingelserne for tilladelse efter lovens kapitel 2, jf. nr. 5, eller alvorligt og systematisk har overtrådt bestemmelserne i loven eller bestemmelser udstedt i medfør heraf.</w:t>
      </w:r>
    </w:p>
    <w:p w14:paraId="63D3B96B" w14:textId="77777777" w:rsidR="00533D3E" w:rsidRPr="009E1059" w:rsidRDefault="00533D3E" w:rsidP="00533D3E">
      <w:pPr>
        <w:spacing w:line="360" w:lineRule="auto"/>
        <w:rPr>
          <w:rFonts w:ascii="Times New Roman" w:eastAsia="Calibri" w:hAnsi="Times New Roman" w:cs="Times New Roman"/>
          <w:sz w:val="24"/>
          <w:szCs w:val="24"/>
        </w:rPr>
      </w:pPr>
    </w:p>
    <w:p w14:paraId="4C7D38C1" w14:textId="77777777" w:rsidR="00533D3E" w:rsidRPr="009E1059" w:rsidRDefault="00533D3E" w:rsidP="00533D3E">
      <w:pPr>
        <w:spacing w:after="240" w:line="360" w:lineRule="auto"/>
        <w:rPr>
          <w:rFonts w:ascii="Times New Roman" w:eastAsia="Calibri" w:hAnsi="Times New Roman" w:cs="Times New Roman"/>
          <w:sz w:val="24"/>
          <w:szCs w:val="24"/>
        </w:rPr>
      </w:pPr>
      <w:r w:rsidRPr="009E1059">
        <w:rPr>
          <w:rFonts w:ascii="Times New Roman" w:hAnsi="Times New Roman" w:cs="Times New Roman"/>
          <w:sz w:val="24"/>
          <w:szCs w:val="24"/>
        </w:rPr>
        <w:t xml:space="preserve">Lov </w:t>
      </w:r>
      <w:r w:rsidRPr="009E1059">
        <w:rPr>
          <w:rFonts w:ascii="Times New Roman" w:eastAsia="Calibri" w:hAnsi="Times New Roman" w:cs="Times New Roman"/>
          <w:sz w:val="24"/>
          <w:szCs w:val="24"/>
        </w:rPr>
        <w:t>om investeringsrådgivere og boligkreditformidlere indeholder i dag ikke en mulighed for Finanstilsynet til at påbyde en fysisk person, der direkte eller indirekte ejer eller kontrollerer minimum 25 pct. af kapitalandelen, ejerandelen, stemmerettighederne eller andre ejerskabsbeføjelser af en boligkreditformidler, at afhænde sine ejerandele eller ophøre med at udøve kontrol inden for en af Finanstilsynet fastsat frist, såfremt den pågældende ikke opfylder betingelserne i § 4, stk. 1, nr. 3.</w:t>
      </w:r>
    </w:p>
    <w:p w14:paraId="7AF719C1" w14:textId="77777777" w:rsidR="00533D3E" w:rsidRPr="009E1059" w:rsidRDefault="00533D3E" w:rsidP="00533D3E">
      <w:pPr>
        <w:spacing w:after="240"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Det foreslås at indsætte en ny </w:t>
      </w:r>
      <w:r w:rsidRPr="009E1059">
        <w:rPr>
          <w:rFonts w:ascii="Times New Roman" w:eastAsia="Calibri" w:hAnsi="Times New Roman" w:cs="Times New Roman"/>
          <w:i/>
          <w:iCs/>
          <w:sz w:val="24"/>
          <w:szCs w:val="24"/>
        </w:rPr>
        <w:t>§ 14 b</w:t>
      </w:r>
      <w:r w:rsidRPr="009E1059">
        <w:rPr>
          <w:rFonts w:ascii="Times New Roman" w:eastAsia="Calibri" w:hAnsi="Times New Roman" w:cs="Times New Roman"/>
          <w:sz w:val="24"/>
          <w:szCs w:val="24"/>
        </w:rPr>
        <w:t>, der fastlægger rammerne for, at Finanstilsynet kan gribe ind over for reelle ejere, der udøver væsentlig indflydelse eller kontrol over en kreditformidler</w:t>
      </w:r>
      <w:r w:rsidRPr="009E1059">
        <w:rPr>
          <w:rFonts w:ascii="Times New Roman" w:hAnsi="Times New Roman" w:cs="Times New Roman"/>
          <w:sz w:val="24"/>
          <w:szCs w:val="24"/>
        </w:rPr>
        <w:t>, som nævnt i det foreslåede § 2, nr. 2,</w:t>
      </w:r>
      <w:r w:rsidRPr="009E1059">
        <w:rPr>
          <w:rFonts w:ascii="Times New Roman" w:eastAsia="Calibri" w:hAnsi="Times New Roman" w:cs="Times New Roman"/>
          <w:sz w:val="24"/>
          <w:szCs w:val="24"/>
        </w:rPr>
        <w:t xml:space="preserve"> såfremt </w:t>
      </w:r>
      <w:r w:rsidRPr="009E1059">
        <w:rPr>
          <w:rFonts w:ascii="Times New Roman" w:hAnsi="Times New Roman" w:cs="Times New Roman"/>
          <w:sz w:val="24"/>
          <w:szCs w:val="24"/>
        </w:rPr>
        <w:t xml:space="preserve">den pågældende ikke opfylder betingelserne i § 4, stk. 8, jf. </w:t>
      </w:r>
      <w:r w:rsidRPr="009E1059">
        <w:rPr>
          <w:rFonts w:ascii="Times New Roman" w:eastAsia="Calibri" w:hAnsi="Times New Roman" w:cs="Times New Roman"/>
          <w:sz w:val="24"/>
          <w:szCs w:val="24"/>
        </w:rPr>
        <w:t>§ 4, stk. 1, nr. 3</w:t>
      </w:r>
      <w:r w:rsidRPr="009E1059">
        <w:rPr>
          <w:rFonts w:ascii="Times New Roman" w:hAnsi="Times New Roman" w:cs="Times New Roman"/>
          <w:sz w:val="24"/>
          <w:szCs w:val="24"/>
        </w:rPr>
        <w:t>.</w:t>
      </w:r>
      <w:r w:rsidRPr="009E1059">
        <w:rPr>
          <w:rFonts w:ascii="Times New Roman" w:eastAsia="Calibri" w:hAnsi="Times New Roman" w:cs="Times New Roman"/>
          <w:sz w:val="24"/>
          <w:szCs w:val="24"/>
        </w:rPr>
        <w:t xml:space="preserve"> </w:t>
      </w:r>
    </w:p>
    <w:p w14:paraId="74A3F28D" w14:textId="77777777" w:rsidR="00533D3E" w:rsidRPr="009E1059" w:rsidRDefault="00533D3E" w:rsidP="00533D3E">
      <w:pPr>
        <w:spacing w:after="240"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Bestemmelsen er ny og implementerer artikel 6, stk. 5, samt artikel 56, stk. 2, litra g, og stk. 4, i 6. hvidvaskdirektiv. </w:t>
      </w:r>
    </w:p>
    <w:p w14:paraId="509D0BB9" w14:textId="77777777" w:rsidR="00533D3E" w:rsidRPr="00654EB8" w:rsidRDefault="00533D3E" w:rsidP="00654EB8">
      <w:pPr>
        <w:spacing w:line="360" w:lineRule="auto"/>
        <w:rPr>
          <w:rFonts w:ascii="Times New Roman" w:hAnsi="Times New Roman" w:cs="Times New Roman"/>
          <w:sz w:val="24"/>
          <w:szCs w:val="24"/>
        </w:rPr>
      </w:pPr>
      <w:r w:rsidRPr="00654EB8">
        <w:rPr>
          <w:rFonts w:ascii="Times New Roman" w:hAnsi="Times New Roman" w:cs="Times New Roman"/>
          <w:sz w:val="24"/>
          <w:szCs w:val="24"/>
        </w:rPr>
        <w:t xml:space="preserve">Det foreslås i </w:t>
      </w:r>
      <w:r w:rsidRPr="00654EB8">
        <w:rPr>
          <w:rFonts w:ascii="Times New Roman" w:hAnsi="Times New Roman" w:cs="Times New Roman"/>
          <w:i/>
          <w:iCs/>
          <w:sz w:val="24"/>
          <w:szCs w:val="24"/>
        </w:rPr>
        <w:t>stk. 1</w:t>
      </w:r>
      <w:r w:rsidRPr="00654EB8">
        <w:rPr>
          <w:rFonts w:ascii="Times New Roman" w:hAnsi="Times New Roman" w:cs="Times New Roman"/>
          <w:sz w:val="24"/>
          <w:szCs w:val="24"/>
        </w:rPr>
        <w:t>, at Finanstilsynet kan påbyde en fysisk person, der direkte eller indirekte ejer eller kontrollerer minimum 25 pct. af kapitalandelen, ejerandelen, stemmerettighederne eller andre ejerskabsbeføjelser i en boligkreditformidler, som nævnt i det foreslåede § 2, nr. 2, at ophøre med at udøve kontrol, herunder afhænde sine ejerandele helt eller delvist inden for en af Finanstilsynet fastsat frist, såfremt den pågældende ikke opfylder betingelserne i § 4, stk. 8, jf. § 4, stk. 1, nr. 3.</w:t>
      </w:r>
    </w:p>
    <w:p w14:paraId="33D7A5D4" w14:textId="77777777" w:rsidR="00533D3E" w:rsidRPr="009E1059" w:rsidRDefault="00533D3E" w:rsidP="00533D3E">
      <w:pPr>
        <w:spacing w:line="360" w:lineRule="auto"/>
        <w:rPr>
          <w:rFonts w:ascii="Times New Roman" w:eastAsia="Calibri" w:hAnsi="Times New Roman" w:cs="Times New Roman"/>
          <w:sz w:val="24"/>
          <w:szCs w:val="24"/>
        </w:rPr>
      </w:pPr>
    </w:p>
    <w:p w14:paraId="730185E3"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Den foreslåede bestemmelse vil sikre, at personer, der udøver væsentlig indflydelse eller kontrol over en boligkreditformidler</w:t>
      </w:r>
      <w:r w:rsidRPr="009E1059">
        <w:rPr>
          <w:rFonts w:ascii="Times New Roman" w:hAnsi="Times New Roman" w:cs="Times New Roman"/>
          <w:sz w:val="24"/>
          <w:szCs w:val="24"/>
        </w:rPr>
        <w:t>, som nævnt i det foreslåede § 2, nr. 2</w:t>
      </w:r>
      <w:r w:rsidRPr="009E1059">
        <w:rPr>
          <w:rFonts w:ascii="Times New Roman" w:eastAsia="Calibri" w:hAnsi="Times New Roman" w:cs="Times New Roman"/>
          <w:sz w:val="24"/>
          <w:szCs w:val="24"/>
        </w:rPr>
        <w:t xml:space="preserve">, opfylder kravene til hæderlighed i </w:t>
      </w:r>
      <w:r w:rsidRPr="009E1059">
        <w:rPr>
          <w:rFonts w:ascii="Times New Roman" w:hAnsi="Times New Roman" w:cs="Times New Roman"/>
          <w:sz w:val="24"/>
          <w:szCs w:val="24"/>
        </w:rPr>
        <w:t xml:space="preserve">§ 4, stk. 8, jf. </w:t>
      </w:r>
      <w:r w:rsidRPr="009E1059">
        <w:rPr>
          <w:rFonts w:ascii="Times New Roman" w:eastAsia="Calibri" w:hAnsi="Times New Roman" w:cs="Times New Roman"/>
          <w:sz w:val="24"/>
          <w:szCs w:val="24"/>
        </w:rPr>
        <w:t>§ 4, stk. 1, nr. 3. Bestemmelse vil således understøtte Finanstilsynets mulighed for at gribe ind over for ejere eller kontrollerende personer, der ikke længere anses for hæderlige til at udøve væsentlig indflydelse på en boligkreditformidler.</w:t>
      </w:r>
    </w:p>
    <w:p w14:paraId="1C7A476F" w14:textId="77777777" w:rsidR="00533D3E" w:rsidRPr="009E1059" w:rsidRDefault="00533D3E" w:rsidP="00533D3E">
      <w:pPr>
        <w:spacing w:line="360" w:lineRule="auto"/>
        <w:rPr>
          <w:rFonts w:ascii="Times New Roman" w:eastAsia="Calibri" w:hAnsi="Times New Roman" w:cs="Times New Roman"/>
          <w:sz w:val="24"/>
          <w:szCs w:val="24"/>
        </w:rPr>
      </w:pPr>
    </w:p>
    <w:p w14:paraId="1A132B71"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Bestemmelsen vil omfatte fysiske personer, der direkte eller indirekte ejer eller kontrollerer minimum 25 pct. af kapitalandelen, ejerandelen, stemmerettighederne eller andre ejerskabsbeføjelser, det vil sige fysiske personer, der direkte eller indirekte ejer eller kontrollerer minimum 25 pct. af kapitalandelen, ejerandelen, stemmerettighederne eller andre ejerskabsbeføjelser af en boligkreditformidler</w:t>
      </w:r>
      <w:r w:rsidRPr="009E1059">
        <w:rPr>
          <w:rFonts w:ascii="Times New Roman" w:hAnsi="Times New Roman" w:cs="Times New Roman"/>
          <w:sz w:val="24"/>
          <w:szCs w:val="24"/>
        </w:rPr>
        <w:t>, som nævnt i det foreslåede § 2, nr. 2,</w:t>
      </w:r>
      <w:r w:rsidRPr="009E1059">
        <w:rPr>
          <w:rFonts w:ascii="Times New Roman" w:eastAsia="Calibri" w:hAnsi="Times New Roman" w:cs="Times New Roman"/>
          <w:sz w:val="24"/>
          <w:szCs w:val="24"/>
        </w:rPr>
        <w:t xml:space="preserve">, jf. definitionen her af i artikel 2, stk. 1, nr. 28, i forordning (EU) 2024/1624. </w:t>
      </w:r>
    </w:p>
    <w:p w14:paraId="6C7657C7" w14:textId="77777777" w:rsidR="00533D3E" w:rsidRPr="009E1059" w:rsidRDefault="00533D3E" w:rsidP="00533D3E">
      <w:pPr>
        <w:spacing w:line="360" w:lineRule="auto"/>
        <w:rPr>
          <w:rFonts w:ascii="Times New Roman" w:eastAsia="Calibri" w:hAnsi="Times New Roman" w:cs="Times New Roman"/>
          <w:sz w:val="24"/>
          <w:szCs w:val="24"/>
        </w:rPr>
      </w:pPr>
    </w:p>
    <w:p w14:paraId="1312634F"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En reel ejer skal forstås i overensstemmelse med definitionen i hvidvaskforordningen artikel 2, stk. 1, nr. 28, hvorefter en reel ejer skal forstås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hvidvaskforordningens kapitel 4.</w:t>
      </w:r>
    </w:p>
    <w:p w14:paraId="43788479" w14:textId="77777777" w:rsidR="00533D3E" w:rsidRPr="009E1059" w:rsidRDefault="00533D3E" w:rsidP="00533D3E">
      <w:pPr>
        <w:spacing w:line="360" w:lineRule="auto"/>
        <w:rPr>
          <w:rFonts w:ascii="Times New Roman" w:eastAsia="Calibri" w:hAnsi="Times New Roman" w:cs="Times New Roman"/>
          <w:sz w:val="24"/>
          <w:szCs w:val="24"/>
        </w:rPr>
      </w:pPr>
    </w:p>
    <w:p w14:paraId="017EE755"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Ved at ophøre med at udøve kontrol forstås, at den pågældende fysiske eller juridiske person ikke længere direkte eller indirekte har mulighed for at udøve bestemmende indflydelse over virksomheden. Med det foreslåede krav om ophør af kontrol, skal personen nedbringe sin ejerandel eller sine stemmerettigheder til under en nærmere angivet grænse, hvis det er nødvendigt for at sikre, at virksomheden ikke kontrolleres af personer, der ikke opfylder kravene til hæderlighed efter § 4, stk. 1, nr. 3, </w:t>
      </w:r>
      <w:r w:rsidRPr="009E1059">
        <w:rPr>
          <w:rFonts w:ascii="Times New Roman" w:hAnsi="Times New Roman" w:cs="Times New Roman"/>
          <w:sz w:val="24"/>
          <w:szCs w:val="24"/>
        </w:rPr>
        <w:t xml:space="preserve">lov </w:t>
      </w:r>
      <w:r w:rsidRPr="009E1059">
        <w:rPr>
          <w:rFonts w:ascii="Times New Roman" w:eastAsia="Calibri" w:hAnsi="Times New Roman" w:cs="Times New Roman"/>
          <w:sz w:val="24"/>
          <w:szCs w:val="24"/>
        </w:rPr>
        <w:t xml:space="preserve">om investeringsrådgivere og boligkreditformidlere. </w:t>
      </w:r>
    </w:p>
    <w:p w14:paraId="7C7D6564" w14:textId="77777777" w:rsidR="00533D3E" w:rsidRPr="009E1059" w:rsidRDefault="00533D3E" w:rsidP="00533D3E">
      <w:pPr>
        <w:spacing w:line="360" w:lineRule="auto"/>
        <w:rPr>
          <w:rFonts w:ascii="Times New Roman" w:eastAsia="Calibri" w:hAnsi="Times New Roman" w:cs="Times New Roman"/>
          <w:sz w:val="24"/>
          <w:szCs w:val="24"/>
        </w:rPr>
      </w:pPr>
    </w:p>
    <w:p w14:paraId="71A7B266"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Et påbud om at ophøre med at udøve kontrol indebærer således, at den pågældende skal nedbringe sin direkte eller indirekte ejerandel til et niveau, hvor ejerandelen ikke længere giver mulighed for at udøve bestemmende indflydelse over virksomheden. Finanstilsynet vil i den forbindelse ikke alene kunne lægge vægt på den formelle ejerandel, men også på den faktiske indflydelse, som ejeren direkte eller indirekte kan udøve over virksomheden. Vurderingen kan blandt andet omfatte tilfælde, hvor en person eller juridisk enhed gennem direkte eller indirekte ejerskab, stemmerettigheder, aftaler, vedtægtsbestemmelser, koncernforhold eller andre former for indflydelse har mulighed for at påvirke virksomhedens ledelse, drift eller væsentlige beslutninger.</w:t>
      </w:r>
    </w:p>
    <w:p w14:paraId="4973EF36" w14:textId="77777777" w:rsidR="00533D3E" w:rsidRPr="009E1059" w:rsidRDefault="00533D3E" w:rsidP="00533D3E">
      <w:pPr>
        <w:spacing w:line="360" w:lineRule="auto"/>
        <w:rPr>
          <w:rFonts w:ascii="Times New Roman" w:eastAsia="Calibri" w:hAnsi="Times New Roman" w:cs="Times New Roman"/>
          <w:sz w:val="24"/>
          <w:szCs w:val="24"/>
        </w:rPr>
      </w:pPr>
    </w:p>
    <w:p w14:paraId="7FACC3B4"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Hvis personens ejerskab beror på en selskabsretlig holdingstruktur med flere selskaber eller lignende, er det ikke et krav, at nedbringelsen af ejerskabet sker i det selskab, som direkte ejer boligkreditformidleren. Det afgørende er, at personens samlede direkte eller indirekte ejerskab eller øvrige kontrolmulighed bringes ned til et niveau, hvor personen ikke længere kan udøve bestemmende indflydelse over virksomheden.</w:t>
      </w:r>
    </w:p>
    <w:p w14:paraId="21DCCF79" w14:textId="77777777" w:rsidR="00533D3E" w:rsidRPr="009E1059" w:rsidRDefault="00533D3E" w:rsidP="00533D3E">
      <w:pPr>
        <w:spacing w:line="360" w:lineRule="auto"/>
        <w:rPr>
          <w:rFonts w:ascii="Times New Roman" w:eastAsia="Calibri" w:hAnsi="Times New Roman" w:cs="Times New Roman"/>
          <w:sz w:val="24"/>
          <w:szCs w:val="24"/>
        </w:rPr>
      </w:pPr>
    </w:p>
    <w:p w14:paraId="2F100AD5"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Et påbud om at ophøre med at udøve kontrol kan eksempelvis indebære, at en person, der ejer 25 pct. af en boligkreditformidler, skal nedbringe sin ejerandel til 15 pct., hvis dette er nødvendigt for, at personen ikke længere kan udøve betydelig eller bestemmende indflydelse over boligkreditformidleren. Det afgørende vil dog altid være, om den pågældende efter nedbringelsen fortsat har mulighed for at udøve kontrol, herunder gennem stemmerettigheder, aftaler, koncernforhold eller andre arrangementer.</w:t>
      </w:r>
    </w:p>
    <w:p w14:paraId="157C57DC" w14:textId="77777777" w:rsidR="00533D3E" w:rsidRPr="009E1059" w:rsidRDefault="00533D3E" w:rsidP="00533D3E">
      <w:pPr>
        <w:spacing w:line="360" w:lineRule="auto"/>
        <w:rPr>
          <w:rFonts w:ascii="Times New Roman" w:eastAsia="Calibri" w:hAnsi="Times New Roman" w:cs="Times New Roman"/>
          <w:sz w:val="24"/>
          <w:szCs w:val="24"/>
        </w:rPr>
      </w:pPr>
    </w:p>
    <w:p w14:paraId="5E435B87"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Ved at afhænde ejerandele forstås, at den pågældende person skal overdrage, sælge eller på anden måde afgive ejerskabet til sine ejerandele, således at personen ikke længere opfylder kriterierne for at have indflydelse over virksomheden i form af ejerskab eller kontrol. Afhændelsen skal ske på en måde, der reelt og varigt bringer ejerskabet eller kontrollen til ophør, og således at den pågældende ikke længere har bestemmende indflydelse, direkte eller indirekte, over virksomheden. Det kan eksempelvis ske ved salg af aktier eller anparter, overdragelse af ejerandele til tredjemand, eller ved at indgå aftaler, der bringer stemmeret eller kontrol til ophør. Det er afgørende, at afhændelsen er reel og ikke blot formel, og at den pågældende ikke bevarer nogen form for bestemmende indflydelse over virksomheden.</w:t>
      </w:r>
    </w:p>
    <w:p w14:paraId="591B2441" w14:textId="77777777" w:rsidR="00533D3E" w:rsidRPr="009E1059" w:rsidRDefault="00533D3E" w:rsidP="00533D3E">
      <w:pPr>
        <w:spacing w:line="360" w:lineRule="auto"/>
        <w:rPr>
          <w:rFonts w:ascii="Times New Roman" w:eastAsia="Calibri" w:hAnsi="Times New Roman" w:cs="Times New Roman"/>
          <w:sz w:val="24"/>
          <w:szCs w:val="24"/>
        </w:rPr>
      </w:pPr>
    </w:p>
    <w:p w14:paraId="014AC622"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Bestemmelsen omfatter også personer, der udøver kontrol på anden vis, eksempelvis gennem aftaler, stemmeaftaler eller andre arrangementer, der reelt giver kontrol over virksomheden, uanset om dette sker via ejerandele eller ej.</w:t>
      </w:r>
    </w:p>
    <w:p w14:paraId="2C9FA4C6" w14:textId="77777777" w:rsidR="00533D3E" w:rsidRPr="009E1059" w:rsidRDefault="00533D3E" w:rsidP="00533D3E">
      <w:pPr>
        <w:spacing w:line="360" w:lineRule="auto"/>
        <w:rPr>
          <w:rFonts w:ascii="Times New Roman" w:eastAsia="Calibri" w:hAnsi="Times New Roman" w:cs="Times New Roman"/>
          <w:b/>
          <w:bCs/>
          <w:sz w:val="24"/>
          <w:szCs w:val="24"/>
        </w:rPr>
      </w:pPr>
    </w:p>
    <w:p w14:paraId="03811009"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Finanstilsynet kan udstede påbud om, at den pågældende person skal afhænde sine ejerandele eller ophøre med at udøve kontrol inden for en frist fastsat af Finanstilsynet. Påbuddet meddeles, såfremt den pågældende ikke opfylder betingelserne i det foreslåede </w:t>
      </w:r>
      <w:r w:rsidRPr="009E1059">
        <w:rPr>
          <w:rFonts w:ascii="Times New Roman" w:hAnsi="Times New Roman" w:cs="Times New Roman"/>
          <w:sz w:val="24"/>
          <w:szCs w:val="24"/>
        </w:rPr>
        <w:t xml:space="preserve">§ 4, stk. 8, jf. </w:t>
      </w:r>
      <w:r w:rsidRPr="009E1059">
        <w:rPr>
          <w:rFonts w:ascii="Times New Roman" w:eastAsia="Calibri" w:hAnsi="Times New Roman" w:cs="Times New Roman"/>
          <w:sz w:val="24"/>
          <w:szCs w:val="24"/>
        </w:rPr>
        <w:t>§ 4, stk. 1, nr. 3.</w:t>
      </w:r>
    </w:p>
    <w:p w14:paraId="0950C88E" w14:textId="77777777" w:rsidR="00533D3E" w:rsidRPr="009E1059" w:rsidRDefault="00533D3E" w:rsidP="00533D3E">
      <w:pPr>
        <w:spacing w:line="360" w:lineRule="auto"/>
        <w:rPr>
          <w:rFonts w:ascii="Times New Roman" w:eastAsia="Calibri" w:hAnsi="Times New Roman" w:cs="Times New Roman"/>
          <w:sz w:val="24"/>
          <w:szCs w:val="24"/>
        </w:rPr>
      </w:pPr>
    </w:p>
    <w:p w14:paraId="7B2AAFE9"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Ved vurderingen af, om der skal meddeles påbud om afhændelse af ejerandele eller ophør af kontrol, herunder ved nedbringelse af ejerandele eller stemmerettigheder, skal Finanstilsynet foretage en konkret og individuel vurdering af de faktiske forhold i den enkelte sag. Der skal lægges vægt på proportionalitet og rimelighed, således at indgrebet ikke går videre end nødvendigt for at opfylde formålet med bestemmelsen.</w:t>
      </w:r>
    </w:p>
    <w:p w14:paraId="2FAB684E" w14:textId="77777777" w:rsidR="00533D3E" w:rsidRPr="009E1059" w:rsidRDefault="00533D3E" w:rsidP="00533D3E">
      <w:pPr>
        <w:spacing w:line="360" w:lineRule="auto"/>
        <w:rPr>
          <w:rFonts w:ascii="Times New Roman" w:eastAsia="Calibri" w:hAnsi="Times New Roman" w:cs="Times New Roman"/>
          <w:sz w:val="24"/>
          <w:szCs w:val="24"/>
        </w:rPr>
      </w:pPr>
    </w:p>
    <w:p w14:paraId="5DCD54B9"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Der kan blandt andet lægges vægt på omfanget af den pågældende persons ejerandel og faktiske indflydelse på virksomheden, karakteren og alvoren af de forhold, der begrunder, at kravene til hæderlighed ikke er opfyldt, muligheden for at opnå det ønskede resultat ved mindre indgribende foranstaltninger, konsekvenserne for virksomheden, øvrige ejere og eventuelle tredjemænd, om der er tale om enkeltstående eller gentagne forhold, samt om virksomheden og den pågældende ejer har udvist samarbejdsvilje og forsøgt at rette op på forholdene.</w:t>
      </w:r>
    </w:p>
    <w:p w14:paraId="293815A0" w14:textId="77777777" w:rsidR="00533D3E" w:rsidRPr="009E1059" w:rsidRDefault="00533D3E" w:rsidP="00533D3E">
      <w:pPr>
        <w:spacing w:line="360" w:lineRule="auto"/>
        <w:rPr>
          <w:rFonts w:ascii="Times New Roman" w:eastAsia="Calibri" w:hAnsi="Times New Roman" w:cs="Times New Roman"/>
          <w:sz w:val="24"/>
          <w:szCs w:val="24"/>
        </w:rPr>
      </w:pPr>
    </w:p>
    <w:p w14:paraId="67A25B7C"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Påbuddet skal være begrundet og indeholde en nærmere angivelse af, hvad der kræves for, at den pågældende ikke længere anses for at udøve kontrol. Hvis påbuddet indebærer, at ejerandelen skal nedbringes, skal påbuddet angive, til hvilken grænse ejerandelen skal nedbringes. Ejerandelen vil som udgangspunkt skulle bringes ned under grænsen for reelt ejerskab, som udgør minimum 25 pct. af kapitalandelen medmindre en lavere grænse efter en konkret vurdering er nødvendig for at sikre, at den pågældende ikke fortsat har mulighed for at udøve direkte eller indirekte bestemmende indflydelse over virksomheden.</w:t>
      </w:r>
    </w:p>
    <w:p w14:paraId="5A9CA55F" w14:textId="77777777" w:rsidR="00533D3E" w:rsidRPr="009E1059" w:rsidRDefault="00533D3E" w:rsidP="00533D3E">
      <w:pPr>
        <w:spacing w:line="360" w:lineRule="auto"/>
        <w:rPr>
          <w:rFonts w:ascii="Times New Roman" w:eastAsia="Calibri" w:hAnsi="Times New Roman" w:cs="Times New Roman"/>
          <w:sz w:val="24"/>
          <w:szCs w:val="24"/>
        </w:rPr>
      </w:pPr>
    </w:p>
    <w:p w14:paraId="46811AFB"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Fristen for at efterkomme påbuddet skal fastsættes under hensyntagen til de konkrete omstændigheder i den enkelte sag. Fristen skal være passende og proportional, men samtidig sikre, at den pågældende ejer ikke i længere tid end nødvendigt bevarer en indflydelse på virksomheden, som vurderes uforenelig med kravene til kontrol, egnethed og hæderlighed.</w:t>
      </w:r>
    </w:p>
    <w:p w14:paraId="61F4F77B" w14:textId="77777777" w:rsidR="00533D3E" w:rsidRPr="009E1059" w:rsidRDefault="00533D3E" w:rsidP="00533D3E">
      <w:pPr>
        <w:spacing w:line="360" w:lineRule="auto"/>
        <w:rPr>
          <w:rFonts w:ascii="Times New Roman" w:eastAsia="Calibri" w:hAnsi="Times New Roman" w:cs="Times New Roman"/>
          <w:sz w:val="24"/>
          <w:szCs w:val="24"/>
        </w:rPr>
      </w:pPr>
    </w:p>
    <w:p w14:paraId="0DC723E5"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Ved fastsættelsen af fristen kan Finanstilsynet blandt andet lægge vægt på ejerandelens størrelse, virksomhedens forhold, ejer- og koncernstruktur, markedssituationen og de praktiske muligheder for at gennemføre afhændelsen eller på anden måde bringe kontrollen til ophør.</w:t>
      </w:r>
    </w:p>
    <w:p w14:paraId="2BB8C57C" w14:textId="77777777" w:rsidR="00533D3E" w:rsidRPr="009E1059" w:rsidRDefault="00533D3E" w:rsidP="00533D3E">
      <w:pPr>
        <w:spacing w:line="360" w:lineRule="auto"/>
        <w:rPr>
          <w:rFonts w:ascii="Times New Roman" w:hAnsi="Times New Roman" w:cs="Times New Roman"/>
          <w:sz w:val="24"/>
          <w:szCs w:val="24"/>
        </w:rPr>
      </w:pPr>
    </w:p>
    <w:p w14:paraId="6A7CEFD9" w14:textId="77777777" w:rsidR="00533D3E" w:rsidRPr="009E1059" w:rsidRDefault="00533D3E" w:rsidP="00533D3E">
      <w:pPr>
        <w:spacing w:line="360" w:lineRule="auto"/>
        <w:jc w:val="left"/>
        <w:rPr>
          <w:rFonts w:ascii="Times New Roman" w:eastAsia="Calibri" w:hAnsi="Times New Roman" w:cs="Times New Roman"/>
          <w:sz w:val="24"/>
          <w:szCs w:val="24"/>
        </w:rPr>
      </w:pPr>
      <w:r w:rsidRPr="009E1059">
        <w:rPr>
          <w:rFonts w:ascii="Times New Roman" w:eastAsia="Calibri" w:hAnsi="Times New Roman" w:cs="Times New Roman"/>
          <w:sz w:val="24"/>
          <w:szCs w:val="24"/>
        </w:rPr>
        <w:t>Lovforslagets § 147, nr. 3, indebærer, at § 4, stk. 1, nr. 3, i lov om investeringsrådgivere og boligkreditformidlere, vil finde tilsvarende anvendelse for fysiske personer, der direkte eller indirekte ejer eller kontrollerer minimum 25 pct. af kapitalandelen, ejerandelen, stemmerettighederne eller andre ejerskabsbeføjelser i en boligkreditformidler</w:t>
      </w:r>
      <w:r w:rsidRPr="009E1059">
        <w:rPr>
          <w:rFonts w:ascii="Times New Roman" w:hAnsi="Times New Roman" w:cs="Times New Roman"/>
          <w:sz w:val="24"/>
          <w:szCs w:val="24"/>
        </w:rPr>
        <w:t>, som nævnt i det foreslåede § 2, nr. 2,</w:t>
      </w:r>
      <w:r w:rsidRPr="009E1059">
        <w:rPr>
          <w:rFonts w:ascii="Times New Roman" w:eastAsia="Calibri" w:hAnsi="Times New Roman" w:cs="Times New Roman"/>
          <w:sz w:val="24"/>
          <w:szCs w:val="24"/>
        </w:rPr>
        <w:t xml:space="preserve">. Lovforslaget indebærer, fysiske personer, der direkte eller indirekte ejer eller kontrollerer minimum 25 pct. af kapitalandelen, ejerandelen, stemmerettighederne eller andre ejerskabsbeføjelser i en boligkreditformidler ikke må ikke være pålagt strafansvar for overtrædelse af straffeloven, den finansielle lovgivning eller anden relevant lovgivning, hvis overtrædelsen indebærer risiko for, at vedkommende ikke kan varetage sit hverv eller sin stilling på betryggende måde. </w:t>
      </w:r>
    </w:p>
    <w:p w14:paraId="560A54D0" w14:textId="77777777" w:rsidR="00533D3E" w:rsidRPr="009E1059" w:rsidRDefault="00533D3E" w:rsidP="00533D3E">
      <w:pPr>
        <w:spacing w:line="360" w:lineRule="auto"/>
        <w:rPr>
          <w:rFonts w:ascii="Times New Roman" w:eastAsia="Calibri" w:hAnsi="Times New Roman" w:cs="Times New Roman"/>
          <w:sz w:val="24"/>
          <w:szCs w:val="24"/>
        </w:rPr>
      </w:pPr>
    </w:p>
    <w:p w14:paraId="65648880"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Med pålagt strafansvar forstås, at der foreligger en endelig dom eller vedtagelse af bøde for en overtrædelse, der er af en sådan karakter, at det vurderes at have betydning for personens hæderlighed som ejer eller kontrollerende person. </w:t>
      </w:r>
    </w:p>
    <w:p w14:paraId="5CD587A4" w14:textId="77777777" w:rsidR="00533D3E" w:rsidRPr="009E1059" w:rsidRDefault="00533D3E" w:rsidP="00533D3E">
      <w:pPr>
        <w:spacing w:line="360" w:lineRule="auto"/>
        <w:rPr>
          <w:rFonts w:ascii="Times New Roman" w:eastAsia="Calibri" w:hAnsi="Times New Roman" w:cs="Times New Roman"/>
          <w:sz w:val="24"/>
          <w:szCs w:val="24"/>
        </w:rPr>
      </w:pPr>
    </w:p>
    <w:p w14:paraId="06C18310"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Anden relevant lovgivning omfatter eksempelvis lovgivning om hvidvask, skatteunddragelse, konkurs, selskabsret eller anden lovgivning, hvor overtrædelsen kan have betydning for vurderingen af personens hæderlighed.</w:t>
      </w:r>
    </w:p>
    <w:p w14:paraId="48CDA02E" w14:textId="77777777" w:rsidR="00533D3E" w:rsidRPr="009E1059" w:rsidRDefault="00533D3E" w:rsidP="00533D3E">
      <w:pPr>
        <w:spacing w:line="360" w:lineRule="auto"/>
        <w:rPr>
          <w:rFonts w:ascii="Times New Roman" w:eastAsia="Calibri" w:hAnsi="Times New Roman" w:cs="Times New Roman"/>
          <w:sz w:val="24"/>
          <w:szCs w:val="24"/>
        </w:rPr>
      </w:pPr>
    </w:p>
    <w:p w14:paraId="1386D45D"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Bestemmelsen giver Finanstilsynet mulighed for at påbyde, at en person, der ikke længere opfylder kravene til hæderlighed, ikke kan udøve væsentlig indflydelse på en finansiel virksomhed. Påbuddet kan omfatte både direkte og indirekte ejerskab eller kontrol og skal sikre, at en boligkreditformidler ikke drives under indflydelse af personer, der ikke opfylder kravene.</w:t>
      </w:r>
    </w:p>
    <w:p w14:paraId="368DAA7C" w14:textId="77777777" w:rsidR="00533D3E" w:rsidRPr="009E1059" w:rsidRDefault="00533D3E" w:rsidP="00533D3E">
      <w:pPr>
        <w:spacing w:line="360" w:lineRule="auto"/>
        <w:rPr>
          <w:rFonts w:ascii="Times New Roman" w:hAnsi="Times New Roman" w:cs="Times New Roman"/>
          <w:sz w:val="24"/>
          <w:szCs w:val="24"/>
        </w:rPr>
      </w:pPr>
    </w:p>
    <w:p w14:paraId="73D22173"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Hvis påbuddet ikke efterleves, kan Finanstilsynet efterfølgende gøre brug af yderligere sanktionsmuligheder, herunder inddragelse af virksomhedens tilladelse, jf. lovens § 15, stk. 1, nr. 5, hvorefter Finanstilsynet kan inddrage en boligkreditformidleres tilladelse, hvis virksomheden ikke længere opfylder betingelserne i lovens kapitel 2.   </w:t>
      </w:r>
    </w:p>
    <w:p w14:paraId="5F5A20C7" w14:textId="77777777" w:rsidR="00533D3E" w:rsidRPr="009E1059" w:rsidRDefault="00533D3E" w:rsidP="00533D3E">
      <w:pPr>
        <w:spacing w:line="360" w:lineRule="auto"/>
        <w:rPr>
          <w:rFonts w:ascii="Times New Roman" w:eastAsia="Calibri" w:hAnsi="Times New Roman" w:cs="Times New Roman"/>
          <w:sz w:val="24"/>
          <w:szCs w:val="24"/>
        </w:rPr>
      </w:pPr>
    </w:p>
    <w:p w14:paraId="1FA850A1"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Finanstilsynet er ikke forpligtet til at inddrage tilladelsen. Inden Finanstilsynet træffer beslutning om inddragelse af tilladelsen, vil tilsynet vurdere, om mindre indgribende sanktionsmuligheder kan anvendes, og der vil blive foretaget en konkret vurdering af proportionalitet og rimelighed i forhold til virksomhedens forhold. Det kan eksempelvis være daglige eller ugentlige bøder eller andre administrative foranstaltninger. Inddragelse af tilladelse vil således kun blive anvendt, hvis det vurderes nødvendigt og proportionalt i forhold til overtrædelsens karakter og omfang.</w:t>
      </w:r>
    </w:p>
    <w:p w14:paraId="1729FE44" w14:textId="77777777" w:rsidR="00533D3E" w:rsidRPr="009E1059" w:rsidRDefault="00533D3E" w:rsidP="00533D3E">
      <w:pPr>
        <w:spacing w:line="360" w:lineRule="auto"/>
        <w:rPr>
          <w:rFonts w:ascii="Times New Roman" w:eastAsia="Calibri" w:hAnsi="Times New Roman" w:cs="Times New Roman"/>
          <w:sz w:val="24"/>
          <w:szCs w:val="24"/>
        </w:rPr>
      </w:pPr>
    </w:p>
    <w:p w14:paraId="410C3F02"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I Finanstilsynets vurdering af, om tilladelsen bør inddrages, indgår blandt andet antallet af ejere i virksomheden. Hvis virksomheden har flere ejere, vil Finanstilsynet inddrage, om det alene er én ejer, der ikke har efterkommet et påbud om af kontrol. I sådanne tilfælde vil det kunne tale imod at inddrage tilladelsen afhændelse af ejerandele eller ophør, da konsekvenserne for de øvrige ejere og virksomhedens fortsatte drift skal indgå i vurderingen.</w:t>
      </w:r>
    </w:p>
    <w:p w14:paraId="0DDA146F" w14:textId="77777777" w:rsidR="00533D3E" w:rsidRPr="009E1059" w:rsidRDefault="00533D3E" w:rsidP="00533D3E">
      <w:pPr>
        <w:spacing w:line="360" w:lineRule="auto"/>
        <w:rPr>
          <w:rFonts w:ascii="Times New Roman" w:eastAsia="Calibri" w:hAnsi="Times New Roman" w:cs="Times New Roman"/>
          <w:sz w:val="24"/>
          <w:szCs w:val="24"/>
        </w:rPr>
      </w:pPr>
    </w:p>
    <w:p w14:paraId="024E9E99"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Finanstilsynet vil vurdere, om der er tale om en enkeltstående eller gentagen undladelse af at efterkomme påbuddet, og om overtrædelsen har haft eller kan have væsentlige negative konsekvenser for virksomhedens drift, kunder eller det finansielle marked. Hvis virksomheden har udvist samarbejdsvilje og forsøgt at rette op på forholdene, vil dette indgå positivt i vurderingen. Omvendt vil manglende samarbejde eller forsøg på at omgå reglerne tale for en skærpet reaktion.</w:t>
      </w:r>
    </w:p>
    <w:p w14:paraId="1D2716DF" w14:textId="77777777" w:rsidR="00533D3E" w:rsidRPr="009E1059" w:rsidRDefault="00533D3E" w:rsidP="00533D3E">
      <w:pPr>
        <w:spacing w:line="360" w:lineRule="auto"/>
        <w:rPr>
          <w:rFonts w:ascii="Times New Roman" w:eastAsia="Calibri" w:hAnsi="Times New Roman" w:cs="Times New Roman"/>
          <w:sz w:val="24"/>
          <w:szCs w:val="24"/>
        </w:rPr>
      </w:pPr>
    </w:p>
    <w:p w14:paraId="7FA520D5"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Den foreslåede bestemmelse sikrer, at Finanstilsynet har de fornødne beføjelser til at håndhæve påbud efter bestemmelsen, og at manglende efterlevelse kan få konsekvenser for virksomhedens mulighed til at udøve virksomhed omfattet af Finanstilsynets tilsyn. </w:t>
      </w:r>
    </w:p>
    <w:p w14:paraId="7CE98895" w14:textId="77777777" w:rsidR="00533D3E" w:rsidRPr="009E1059" w:rsidRDefault="00533D3E" w:rsidP="00533D3E">
      <w:pPr>
        <w:spacing w:line="360" w:lineRule="auto"/>
        <w:rPr>
          <w:rFonts w:ascii="Times New Roman" w:eastAsia="Calibri" w:hAnsi="Times New Roman" w:cs="Times New Roman"/>
          <w:sz w:val="24"/>
          <w:szCs w:val="24"/>
        </w:rPr>
      </w:pPr>
    </w:p>
    <w:p w14:paraId="2629AA0D"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Lovforslagets § 147, nr. 6, indebærer, at den fysiske person, som Finanstilsynets afgørelse efter det foreslåede § 14 b vedrører, anses som part i forhold til afgørelsen. Det gælder bl.a. ved afgørelser om påbud om ophør af kontrol, herunder afhændelse af ejerandele, og ved afgørelser om ophævelse af stemmeret.</w:t>
      </w:r>
    </w:p>
    <w:p w14:paraId="276D7A2F" w14:textId="77777777" w:rsidR="00533D3E" w:rsidRPr="009E1059" w:rsidRDefault="00533D3E" w:rsidP="00533D3E">
      <w:pPr>
        <w:spacing w:line="360" w:lineRule="auto"/>
        <w:rPr>
          <w:rFonts w:ascii="Times New Roman" w:eastAsia="Calibri" w:hAnsi="Times New Roman" w:cs="Times New Roman"/>
          <w:sz w:val="24"/>
          <w:szCs w:val="24"/>
        </w:rPr>
      </w:pPr>
    </w:p>
    <w:p w14:paraId="2DF51F2A"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Det foreslås i </w:t>
      </w:r>
      <w:r w:rsidRPr="009E1059">
        <w:rPr>
          <w:rFonts w:ascii="Times New Roman" w:eastAsia="Calibri" w:hAnsi="Times New Roman" w:cs="Times New Roman"/>
          <w:i/>
          <w:iCs/>
          <w:sz w:val="24"/>
          <w:szCs w:val="24"/>
        </w:rPr>
        <w:t>stk. 2,</w:t>
      </w:r>
      <w:r w:rsidRPr="009E1059">
        <w:rPr>
          <w:rFonts w:ascii="Times New Roman" w:eastAsia="Calibri" w:hAnsi="Times New Roman" w:cs="Times New Roman"/>
          <w:sz w:val="24"/>
          <w:szCs w:val="24"/>
        </w:rPr>
        <w:t xml:space="preserve"> at Finanstilsynet kan ophæve stemmeretten for en fysisk person, der direkte eller indirekte ejer eller kontrollerer minimum 25 pct. af kapitalandelen i en boligkreditformidler</w:t>
      </w:r>
      <w:r w:rsidRPr="009E1059">
        <w:rPr>
          <w:rFonts w:ascii="Times New Roman" w:hAnsi="Times New Roman" w:cs="Times New Roman"/>
          <w:sz w:val="24"/>
          <w:szCs w:val="24"/>
        </w:rPr>
        <w:t>, som nævnt i det foreslåede § 2, nr. 2</w:t>
      </w:r>
      <w:r w:rsidRPr="009E1059">
        <w:rPr>
          <w:rFonts w:ascii="Times New Roman" w:eastAsia="Calibri" w:hAnsi="Times New Roman" w:cs="Times New Roman"/>
          <w:sz w:val="24"/>
          <w:szCs w:val="24"/>
        </w:rPr>
        <w:t xml:space="preserve">, hvis kapitalejeren ikke opfylder kravene i § </w:t>
      </w:r>
      <w:r w:rsidRPr="009E1059">
        <w:rPr>
          <w:rFonts w:ascii="Times New Roman" w:hAnsi="Times New Roman" w:cs="Times New Roman"/>
          <w:sz w:val="24"/>
          <w:szCs w:val="24"/>
        </w:rPr>
        <w:t>4, stk. 8, jf. § 4, stk. 1, nr. 3.</w:t>
      </w:r>
      <w:r w:rsidRPr="009E1059">
        <w:rPr>
          <w:rFonts w:ascii="Times New Roman" w:eastAsia="Calibri" w:hAnsi="Times New Roman" w:cs="Times New Roman"/>
          <w:sz w:val="24"/>
          <w:szCs w:val="24"/>
        </w:rPr>
        <w:t xml:space="preserve"> Finanstilsynet kan også påbyde virksomheden at følge bestemte retningslinjer.</w:t>
      </w:r>
    </w:p>
    <w:p w14:paraId="2FB949AD" w14:textId="77777777" w:rsidR="00533D3E" w:rsidRPr="009E1059" w:rsidRDefault="00533D3E" w:rsidP="00533D3E">
      <w:pPr>
        <w:spacing w:line="360" w:lineRule="auto"/>
        <w:rPr>
          <w:rFonts w:ascii="Times New Roman" w:eastAsia="Calibri" w:hAnsi="Times New Roman" w:cs="Times New Roman"/>
          <w:sz w:val="24"/>
          <w:szCs w:val="24"/>
        </w:rPr>
      </w:pPr>
    </w:p>
    <w:p w14:paraId="724C4D42"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Den foreslåede bestemmelse tilsigter at sikre, at Finanstilsynet har de nødvendige beføjelser til at gribe ind over for ejere, der ikke længere opfylder betingelserne for at være reel ejer.</w:t>
      </w:r>
    </w:p>
    <w:p w14:paraId="743CCDE4" w14:textId="77777777" w:rsidR="00533D3E" w:rsidRPr="009E1059" w:rsidRDefault="00533D3E" w:rsidP="00533D3E">
      <w:pPr>
        <w:spacing w:line="360" w:lineRule="auto"/>
        <w:rPr>
          <w:rFonts w:ascii="Times New Roman" w:eastAsia="Calibri" w:hAnsi="Times New Roman" w:cs="Times New Roman"/>
          <w:sz w:val="24"/>
          <w:szCs w:val="24"/>
        </w:rPr>
      </w:pPr>
    </w:p>
    <w:p w14:paraId="5BB399D7"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Bestemmelsen svarer til § 62, stk. 1, i lov om finansiel virksomhed, der fastlægger reglerne for Finanstilsynets sanktionsmuligheder i tilfælde af, at en ejer af en kvalificeret andel i en finansiel virksomhed ikke opfylder kriterierne for at kunne godkendes som ejer af en kvalificeret andel, samt Finanstilsynets mulighed for at ophæve den stemmeret, der er tilknyttet kapitalandelen, eller påbyde kapitalejeren at følge bestemte retningslinjer, dog således at den foreslåede bestemmelse vil omfatte direkte eller indirekte ejerskab eller kontrol over 25 pct. af kapitalandelen, ejerandelen, stemmerettighederne eller andre ejerskabsbeføjelser. </w:t>
      </w:r>
    </w:p>
    <w:p w14:paraId="1421AA3F" w14:textId="77777777" w:rsidR="00533D3E" w:rsidRPr="009E1059" w:rsidRDefault="00533D3E" w:rsidP="00533D3E">
      <w:pPr>
        <w:spacing w:line="360" w:lineRule="auto"/>
        <w:rPr>
          <w:rFonts w:ascii="Times New Roman" w:eastAsia="Calibri" w:hAnsi="Times New Roman" w:cs="Times New Roman"/>
          <w:sz w:val="24"/>
          <w:szCs w:val="24"/>
        </w:rPr>
      </w:pPr>
    </w:p>
    <w:p w14:paraId="6A8CDDE5"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Den foreslåede bestemmelses stk. 2 indfører en tilsvarende sanktionsadgang for Finanstilsynet i forhold til virksomheder</w:t>
      </w:r>
      <w:r w:rsidRPr="009E1059">
        <w:rPr>
          <w:rFonts w:ascii="Times New Roman" w:hAnsi="Times New Roman" w:cs="Times New Roman"/>
          <w:sz w:val="24"/>
          <w:szCs w:val="24"/>
        </w:rPr>
        <w:t xml:space="preserve">, som nævnt i det foreslåede § 2, nr. 2, </w:t>
      </w:r>
      <w:r w:rsidRPr="009E1059">
        <w:rPr>
          <w:rFonts w:ascii="Times New Roman" w:eastAsia="Calibri" w:hAnsi="Times New Roman" w:cs="Times New Roman"/>
          <w:sz w:val="24"/>
          <w:szCs w:val="24"/>
        </w:rPr>
        <w:t>og tilsigter at sikre, at tilsynet har de nødvendige beføjelser til at gribe ind over for ejere, der ikke længere opfylder betingelserne for at være reel ejer.</w:t>
      </w:r>
    </w:p>
    <w:p w14:paraId="39297E12" w14:textId="77777777" w:rsidR="00533D3E" w:rsidRPr="009E1059" w:rsidRDefault="00533D3E" w:rsidP="00533D3E">
      <w:pPr>
        <w:spacing w:line="360" w:lineRule="auto"/>
        <w:rPr>
          <w:rFonts w:ascii="Times New Roman" w:eastAsia="Calibri" w:hAnsi="Times New Roman" w:cs="Times New Roman"/>
          <w:sz w:val="24"/>
          <w:szCs w:val="24"/>
        </w:rPr>
      </w:pPr>
    </w:p>
    <w:p w14:paraId="07D65741"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Med bestemmelsen får Finanstilsynet mulighed for at ophæve stemmeretten for de pågældende kapitalandele og påbyde afhændelse, hvis ejeren ikke længere opfylder kravene til at være reel ejer. Ophævelse af stemmeret indebærer, at de pågældende kapitalandele ikke kan udøve stemmeret på generalforsamlingen og ikke indgår i opgørelsen af den stemmeberettigede kapital.</w:t>
      </w:r>
    </w:p>
    <w:p w14:paraId="44DDFC81" w14:textId="77777777" w:rsidR="00533D3E" w:rsidRPr="009E1059" w:rsidRDefault="00533D3E" w:rsidP="00533D3E">
      <w:pPr>
        <w:spacing w:line="360" w:lineRule="auto"/>
        <w:rPr>
          <w:rFonts w:ascii="Times New Roman" w:eastAsia="Calibri" w:hAnsi="Times New Roman" w:cs="Times New Roman"/>
          <w:sz w:val="24"/>
          <w:szCs w:val="24"/>
        </w:rPr>
      </w:pPr>
    </w:p>
    <w:p w14:paraId="132CBAEE"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Et påbud om bestemte retningslinjer tilsigter at etablere en forsigtig og sund udvikling. Ved forsvarlig og fornuftig forvaltning forstås forvaltning på det økonomiske område. Hvis den pågældende ejer eksempelvis i forbindelse med ejerskab eller deltagelse i ledelsen af andre virksomheder har vist sig uegnet til at drive virksomhed på en økonomisk forsvarlig måde, kan stemmeretten ophæves, f.eks. hvis den pågældende er dømt for økonomisk kriminalitet. </w:t>
      </w:r>
    </w:p>
    <w:p w14:paraId="360BFCAD" w14:textId="77777777" w:rsidR="00533D3E" w:rsidRPr="009E1059" w:rsidRDefault="00533D3E" w:rsidP="00533D3E">
      <w:pPr>
        <w:spacing w:line="360" w:lineRule="auto"/>
        <w:rPr>
          <w:rFonts w:ascii="Times New Roman" w:eastAsia="Calibri" w:hAnsi="Times New Roman" w:cs="Times New Roman"/>
          <w:sz w:val="24"/>
          <w:szCs w:val="24"/>
        </w:rPr>
      </w:pPr>
    </w:p>
    <w:p w14:paraId="04E945E1"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Det vil bero på en konkret vurdering, om bestemmelsen skal anvendes. Det er næppe udelukket at bringe bestemmelsen i anvendelse, hvis kapitalejere i et enkelt meget væsentligt anliggende modvirker en forsvarlig drift af virksomheden. Det kan for eksempel være, hvis en ejer blokerer en fusion, der kan sikre, at virksomheden kan føres videre på et forsvarligt grundlag, eller blokerer for nødvendige vedtægtsændringer, der er en forudsætning for en nødvendig kapitalforhøjelse således, at virksomheden kan fortsætte sin drift.</w:t>
      </w:r>
    </w:p>
    <w:p w14:paraId="042A71BA" w14:textId="77777777" w:rsidR="00533D3E" w:rsidRPr="009E1059" w:rsidRDefault="00533D3E" w:rsidP="00533D3E">
      <w:pPr>
        <w:spacing w:line="360" w:lineRule="auto"/>
        <w:rPr>
          <w:rFonts w:ascii="Times New Roman" w:eastAsia="Calibri" w:hAnsi="Times New Roman" w:cs="Times New Roman"/>
          <w:sz w:val="24"/>
          <w:szCs w:val="24"/>
        </w:rPr>
      </w:pPr>
    </w:p>
    <w:p w14:paraId="6B59ADC1"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Bestemmelsen har til formål at sikre, at ejere, der ikke længere opfylder kravene til at være reel ejer, ikke kan udøve indflydelse på virksomhedens ledelse eller drift, og at virksomheden kan føres videre på et forsvarligt grundlag. Det vil bero på en konkret vurdering, om og hvornår bestemmelsen skal bringes i anvendelse.</w:t>
      </w:r>
    </w:p>
    <w:p w14:paraId="6A6BC65D" w14:textId="77777777" w:rsidR="00533D3E" w:rsidRPr="009E1059" w:rsidRDefault="00533D3E" w:rsidP="00533D3E">
      <w:pPr>
        <w:spacing w:line="360" w:lineRule="auto"/>
        <w:rPr>
          <w:rFonts w:ascii="Times New Roman" w:eastAsia="Calibri" w:hAnsi="Times New Roman" w:cs="Times New Roman"/>
          <w:sz w:val="24"/>
          <w:szCs w:val="24"/>
        </w:rPr>
      </w:pPr>
    </w:p>
    <w:p w14:paraId="43A5C45D"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Det foreslås i </w:t>
      </w:r>
      <w:r w:rsidRPr="009E1059">
        <w:rPr>
          <w:rFonts w:ascii="Times New Roman" w:eastAsia="Calibri" w:hAnsi="Times New Roman" w:cs="Times New Roman"/>
          <w:i/>
          <w:iCs/>
          <w:sz w:val="24"/>
          <w:szCs w:val="24"/>
        </w:rPr>
        <w:t>stk. 3</w:t>
      </w:r>
      <w:r w:rsidRPr="009E1059">
        <w:rPr>
          <w:rFonts w:ascii="Times New Roman" w:eastAsia="Calibri" w:hAnsi="Times New Roman" w:cs="Times New Roman"/>
          <w:sz w:val="24"/>
          <w:szCs w:val="24"/>
        </w:rPr>
        <w:t xml:space="preserve">, at hvis Finanstilsynet har ophævet stemmeretten i medfør af stk. 2, kan kapitalandelen ikke indgå i opgørelsen af den på en generalforsamling repræsenterede stemmeberettigede kapital. </w:t>
      </w:r>
    </w:p>
    <w:p w14:paraId="496AF0D0" w14:textId="77777777" w:rsidR="00533D3E" w:rsidRPr="009E1059" w:rsidRDefault="00533D3E" w:rsidP="00533D3E">
      <w:pPr>
        <w:spacing w:line="360" w:lineRule="auto"/>
        <w:rPr>
          <w:rFonts w:ascii="Times New Roman" w:eastAsia="Calibri" w:hAnsi="Times New Roman" w:cs="Times New Roman"/>
          <w:sz w:val="24"/>
          <w:szCs w:val="24"/>
        </w:rPr>
      </w:pPr>
    </w:p>
    <w:p w14:paraId="26A52AEA"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Bestemmelsen svarer til § 62, stk. 5, i lov om finansiel virksomhed, dog således at den foreslåede bestemmelse vil omfatte direkte eller indirekte ejerskab eller kontrol over 25 pct. af kapitalandelen, ejerandelen, stemmerettighederne eller andre ejerskabsbeføjelser, og har til formål at sikre ensartethed på tværs af den finansielle lovgivning.</w:t>
      </w:r>
    </w:p>
    <w:p w14:paraId="296C1432" w14:textId="77777777" w:rsidR="00533D3E" w:rsidRPr="009E1059" w:rsidRDefault="00533D3E" w:rsidP="00533D3E">
      <w:pPr>
        <w:spacing w:line="360" w:lineRule="auto"/>
        <w:rPr>
          <w:rFonts w:ascii="Times New Roman" w:eastAsia="Calibri" w:hAnsi="Times New Roman" w:cs="Times New Roman"/>
          <w:sz w:val="24"/>
          <w:szCs w:val="24"/>
        </w:rPr>
      </w:pPr>
    </w:p>
    <w:p w14:paraId="324F9D0E"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Bestemmelsen svarer til § 62, stk. 5, i lov om finansiel virksomhed, dog således at den alene vil omfatte reelt ejerskab, jf. artikel 2, stk. 1, nr. 28, i forordning (EU) 2024/1624, det vil sige fysiske personer, der som udgangspunkt ejer eller kontrollerer mere end 25 % af kapitalen eller stemmerettighederne i en virksomhed. § 62, stk. 1, omfatter fysiske eller juridiske personer, der direkte eller indirekte besidder en kvalificeret ejerandel, jf. lov om finansiel virksomhed § 5, stk. 3, det vil sige mindst 10 pct. af kapitalen eller stemmerettighederne eller en andel, som giver mulighed for at udøve en betydelig indflydelse på ledelsen af en finansiel virksomhed. </w:t>
      </w:r>
    </w:p>
    <w:p w14:paraId="3348E23A" w14:textId="77777777" w:rsidR="00533D3E" w:rsidRPr="009E1059" w:rsidRDefault="00533D3E" w:rsidP="00533D3E">
      <w:pPr>
        <w:spacing w:line="360" w:lineRule="auto"/>
        <w:rPr>
          <w:rFonts w:ascii="Times New Roman" w:eastAsia="Calibri" w:hAnsi="Times New Roman" w:cs="Times New Roman"/>
          <w:sz w:val="24"/>
          <w:szCs w:val="24"/>
        </w:rPr>
      </w:pPr>
    </w:p>
    <w:p w14:paraId="0E1B9122"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At kapitalen ikke kan indgå i opgørelsen betyder, at de pågældende kapitalandele ikke kan udøve stemmeret på generalforsamlingen, og at de ikke medregnes ved opgørelsen af, hvor stor en del af selskabskapitalen, der er repræsenteret på generalforsamlingen. </w:t>
      </w:r>
    </w:p>
    <w:p w14:paraId="529B7275" w14:textId="77777777" w:rsidR="00533D3E" w:rsidRPr="009E1059" w:rsidRDefault="00533D3E" w:rsidP="00533D3E">
      <w:pPr>
        <w:spacing w:line="360" w:lineRule="auto"/>
        <w:rPr>
          <w:rFonts w:ascii="Times New Roman" w:eastAsia="Calibri" w:hAnsi="Times New Roman" w:cs="Times New Roman"/>
          <w:sz w:val="24"/>
          <w:szCs w:val="24"/>
        </w:rPr>
      </w:pPr>
    </w:p>
    <w:p w14:paraId="3082D9AE"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Formålet med bestemmelsen er at sikre, at der kan træffes beslutninger i selskabet, uanset at Finanstilsynet har ophævet stemmeretten på en betydelig del af selskabskapitalen. Hvis det f.eks. fremgår af vedtægterne, at der kræves et kvalificeret flertal, vil kapitalandele uden stemmeret i realiteten kunne blokere for beslutninger. Har de ikke stemmeret, men skulle de stadigt tælles med, ville de i praksis stemme mod alle forslag. </w:t>
      </w:r>
    </w:p>
    <w:p w14:paraId="26E5C69F" w14:textId="77777777" w:rsidR="00533D3E" w:rsidRPr="009E1059" w:rsidRDefault="00533D3E" w:rsidP="00533D3E">
      <w:pPr>
        <w:spacing w:line="360" w:lineRule="auto"/>
        <w:rPr>
          <w:rFonts w:ascii="Times New Roman" w:eastAsia="Calibri" w:hAnsi="Times New Roman" w:cs="Times New Roman"/>
          <w:sz w:val="24"/>
          <w:szCs w:val="24"/>
        </w:rPr>
      </w:pPr>
    </w:p>
    <w:p w14:paraId="58019681"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Andre rettigheder, der tilkommer en kapitalejer, f.eks. ind løsningsret og retten til udbyttebetaling, bortfalder ikke ved Finanstilsynets ophævelse af stemmerettighederne. </w:t>
      </w:r>
    </w:p>
    <w:p w14:paraId="4FF7BD69" w14:textId="77777777" w:rsidR="00533D3E" w:rsidRPr="009E1059" w:rsidRDefault="00533D3E" w:rsidP="00533D3E">
      <w:pPr>
        <w:spacing w:line="360" w:lineRule="auto"/>
        <w:rPr>
          <w:rFonts w:ascii="Times New Roman" w:eastAsia="Calibri" w:hAnsi="Times New Roman" w:cs="Times New Roman"/>
          <w:sz w:val="24"/>
          <w:szCs w:val="24"/>
        </w:rPr>
      </w:pPr>
    </w:p>
    <w:p w14:paraId="6E2A4A38"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Det foreslås i </w:t>
      </w:r>
      <w:r w:rsidRPr="009E1059">
        <w:rPr>
          <w:rFonts w:ascii="Times New Roman" w:eastAsia="Calibri" w:hAnsi="Times New Roman" w:cs="Times New Roman"/>
          <w:i/>
          <w:iCs/>
          <w:sz w:val="24"/>
          <w:szCs w:val="24"/>
        </w:rPr>
        <w:t>stk. 4</w:t>
      </w:r>
      <w:r w:rsidRPr="009E1059">
        <w:rPr>
          <w:rFonts w:ascii="Times New Roman" w:eastAsia="Calibri" w:hAnsi="Times New Roman" w:cs="Times New Roman"/>
          <w:sz w:val="24"/>
          <w:szCs w:val="24"/>
        </w:rPr>
        <w:t xml:space="preserve">, at varigheden af et påbud meddelt efter stk. 1 skal fremgå af påbuddet. </w:t>
      </w:r>
    </w:p>
    <w:p w14:paraId="676E47D1" w14:textId="77777777" w:rsidR="00533D3E" w:rsidRPr="009E1059" w:rsidRDefault="00533D3E" w:rsidP="00533D3E">
      <w:pPr>
        <w:spacing w:line="360" w:lineRule="auto"/>
        <w:rPr>
          <w:rFonts w:ascii="Times New Roman" w:eastAsia="Calibri" w:hAnsi="Times New Roman" w:cs="Times New Roman"/>
          <w:sz w:val="24"/>
          <w:szCs w:val="24"/>
        </w:rPr>
      </w:pPr>
    </w:p>
    <w:p w14:paraId="0CC61856"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Angivelsen af afgørelsens varighed medfører, at Finanstilsynet som udgangspunkt ikke efter udløbet af den angivne periode vil inddrage de forhold, der lå til grund for afgørelsen, hvis den pågældende person på ny ansøger om en hæderlighedsvurdering. Det betyder, at de forhold, der førte til vurderingen af, at personen ikke opfyldte hæderlighedskravet, som udgangspunkt ikke længere tillægges vægt ved en ny vurdering. Det ændrer ikke på, at den pågældende, efter udløbet af varigheden, skal ansøge Finanstilsynet om en ny hæderlighedsvurdering, hvis vedkommende ønsker at tiltræde et hverv som bestyrelsesmedlem, direktør eller nøgleperson. I denne nye vurdering vil de tidligere forhold, der førte til den negative afgørelse, ikke indgå, medmindre særlige omstændigheder gør sig gældende.</w:t>
      </w:r>
    </w:p>
    <w:p w14:paraId="26A054F0" w14:textId="77777777" w:rsidR="00533D3E" w:rsidRPr="009E1059" w:rsidRDefault="00533D3E" w:rsidP="00533D3E">
      <w:pPr>
        <w:spacing w:line="360" w:lineRule="auto"/>
        <w:rPr>
          <w:rFonts w:ascii="Times New Roman" w:eastAsia="Calibri" w:hAnsi="Times New Roman" w:cs="Times New Roman"/>
          <w:b/>
          <w:bCs/>
          <w:sz w:val="24"/>
          <w:szCs w:val="24"/>
        </w:rPr>
      </w:pPr>
    </w:p>
    <w:p w14:paraId="6FE74FC7"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Varigheden af påbud og afgørelser fastsættes på baggrund af en konkret vurdering, hvor Finanstilsynet blandt andet lægger vægt på alvoren af overtrædelsen, den tid der er gået siden overtrædelsen, personens adfærd siden overtrædelsen, og om der er tale om gentagelsestilfælde. Gentagelsestilfælde vil være skærpende for fastsættelsen af varigheden. Varigheden kan som udgangspunkt fastsættes fra et år til fem år, men kan i særligt alvorlige sager fastsættes til indtil videre. En varighed på fem år vil typisk blive anvendt, medmindre forholdene taler for en kortere eller længere periode.</w:t>
      </w:r>
    </w:p>
    <w:p w14:paraId="17EC8845" w14:textId="77777777" w:rsidR="00533D3E" w:rsidRPr="009E1059" w:rsidRDefault="00533D3E" w:rsidP="00533D3E">
      <w:pPr>
        <w:spacing w:line="360" w:lineRule="auto"/>
        <w:rPr>
          <w:rFonts w:ascii="Times New Roman" w:eastAsia="Calibri" w:hAnsi="Times New Roman" w:cs="Times New Roman"/>
          <w:sz w:val="24"/>
          <w:szCs w:val="24"/>
        </w:rPr>
      </w:pPr>
    </w:p>
    <w:p w14:paraId="68348605"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Et formål med at fastsætte varigheden er at øge transparensen og retssikkerheden for de personer, som afgørelsen vedrører. Der vil være forskel på varigheden af afgørelser meddelt på baggrund af mindre alvorlige forhold og grovere forhold. Ved fastsættelsen af varigheden vil Finanstilsynet foretage en samlet vurdering af grovheden af de passerede forhold, om der er tale om gentagelsestilfælde, hvor lang tid forholdene har stået på, og hvor lang tid der er gået siden forholdene er ophørt. Kumulative effekter af flere mindre overtrædelser kan være skærpende, ligesom særligt grove overtrædelser kan medføre, at varigheden fastsættes til indtil videre. En sådan varighed vil dog kun anvendes i særligt alvorlige sager, f.eks. ved grov økonomisk kriminalitet, betydelige tillidsbrud eller gentagelsestilfælde.</w:t>
      </w:r>
    </w:p>
    <w:p w14:paraId="42066E8B" w14:textId="77777777" w:rsidR="00533D3E" w:rsidRPr="009E1059" w:rsidRDefault="00533D3E" w:rsidP="00533D3E">
      <w:pPr>
        <w:spacing w:line="360" w:lineRule="auto"/>
        <w:rPr>
          <w:rFonts w:ascii="Times New Roman" w:eastAsia="Calibri" w:hAnsi="Times New Roman" w:cs="Times New Roman"/>
          <w:sz w:val="24"/>
          <w:szCs w:val="24"/>
        </w:rPr>
      </w:pPr>
    </w:p>
    <w:p w14:paraId="0BCBA696"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Som udgangspunkt vil Finanstilsynet ikke inddrage forhold i en vurdering af en persons hæderlighed, der er mere end 10 år gamle. Finanstilsynet vil dog kunne inddrage forhold, der ligger længere tilbage i tid, hvis forholdene er særligt alvorlige, eller hvis disse er en del af et sammenhængende sagsforløb, hvor dele er mindre end 10 år gamle, eller hvor der er tale om gentagelsestilfælde. Alvorlige forhold kan f.eks. være svindel, grov tilsidesættelse af god skik, forsæt lig tilsidesættelse af hvidvasklovens krav eller egentlig medvirken til økonomisk kriminalitet. Det vil omvendt også betyde, at der skal være særlige forhold, der gør sig gælden de, hvis Finanstilsynet skal kigge mere end 10 år tilbage ved vurderingen af en persons adfærd. Ud over hensynet til omfanget, karakteren og grovheden af de forhold, der begrunder afgørelsen, vil Finanstilsynet også lægge vægt på, hvorvidt der er grund til at antage, at den pågældende fortsat ikke vil kunne varetage hvervet eller stillingen på forsvarlig måde. Det beror på en vurdering af de konkrete forhold, her under om forholdet er så kritisabelt, at en længere varighed er påkrævet, eller hvor varigheden i særligt alvorlige sager bør være indtil videre.</w:t>
      </w:r>
    </w:p>
    <w:p w14:paraId="1EC28509" w14:textId="77777777" w:rsidR="00533D3E" w:rsidRPr="009E1059" w:rsidRDefault="00533D3E" w:rsidP="00533D3E">
      <w:pPr>
        <w:spacing w:line="360" w:lineRule="auto"/>
        <w:rPr>
          <w:rFonts w:ascii="Times New Roman" w:eastAsia="Calibri" w:hAnsi="Times New Roman" w:cs="Times New Roman"/>
          <w:sz w:val="24"/>
          <w:szCs w:val="24"/>
        </w:rPr>
      </w:pPr>
    </w:p>
    <w:p w14:paraId="27767B1E"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Begyndelsestidspunktet for varigheden vil som udgangspunkt være datoen for Finanstilsynets afgørelse. Varigheden af afgørelser og påbud vil bl.a. afhænge af grovheden af de passerede forhold, om der er tale om gentagelsestilfælde, hvor lang en periode forholdene har stået eller stod på, og hvor lang tid der er gået siden de pågældende forhold er ophørt. I vurdering af fastsættelsen af varigheden vil Finanstilsynet skulle foretage en samlet vurdering. I tilfælde, hvor afgørelsen vedrører konkurs, rekonstruktion eller gældssanering, regnes begyndelsestidspunktet fra datoen for afslutningen af disse forhold.</w:t>
      </w:r>
    </w:p>
    <w:p w14:paraId="075E075E" w14:textId="77777777" w:rsidR="00533D3E" w:rsidRPr="009E1059" w:rsidRDefault="00533D3E" w:rsidP="00533D3E">
      <w:pPr>
        <w:spacing w:line="360" w:lineRule="auto"/>
        <w:rPr>
          <w:rFonts w:ascii="Times New Roman" w:eastAsia="Calibri" w:hAnsi="Times New Roman" w:cs="Times New Roman"/>
          <w:sz w:val="24"/>
          <w:szCs w:val="24"/>
        </w:rPr>
      </w:pPr>
    </w:p>
    <w:p w14:paraId="3D4D4FFB"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Retningsgivende for fastsættelsen af en varighed på fem år vil således være, at der ikke er forhold, der taler for en kortere varighed, eller hvor karakteren og omfanget af forholdene tilsiger, at en længere varighed er påkrævet. </w:t>
      </w:r>
    </w:p>
    <w:p w14:paraId="5A0217D0" w14:textId="77777777" w:rsidR="00533D3E" w:rsidRPr="009E1059" w:rsidRDefault="00533D3E" w:rsidP="00533D3E">
      <w:pPr>
        <w:spacing w:line="360" w:lineRule="auto"/>
        <w:rPr>
          <w:rFonts w:ascii="Times New Roman" w:eastAsia="Calibri" w:hAnsi="Times New Roman" w:cs="Times New Roman"/>
          <w:sz w:val="24"/>
          <w:szCs w:val="24"/>
        </w:rPr>
      </w:pPr>
    </w:p>
    <w:p w14:paraId="1D587948"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Udover en konkret vurdering af grovheden af forholdene, vil Finanstilsynet også kunne inddrage kumulative effekter af flere overtrædelser, gentagelsestilfælde og den eventuelle skadevirkning af forholdet. Hvis det pågældende forhold er egnet til i betydeligt omfang at svække den samlede sektors omdømme og derved tilliden til sektoren, bør det skærpe varigheden. Herudover har tidsaspektet også betydning for fastsættelsen af varigheden, hvor forhold, der ligger tilbage i tid, efter en konkret vurdering kan føre til en lempelse af varigheden.</w:t>
      </w:r>
    </w:p>
    <w:p w14:paraId="66317627" w14:textId="77777777" w:rsidR="00533D3E" w:rsidRPr="009E1059" w:rsidRDefault="00533D3E" w:rsidP="00533D3E">
      <w:pPr>
        <w:spacing w:line="360" w:lineRule="auto"/>
        <w:rPr>
          <w:rFonts w:ascii="Times New Roman" w:eastAsia="Calibri" w:hAnsi="Times New Roman" w:cs="Times New Roman"/>
          <w:sz w:val="24"/>
          <w:szCs w:val="24"/>
        </w:rPr>
      </w:pPr>
    </w:p>
    <w:p w14:paraId="128E9C73"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Retningsgivende for afgørelser med en varighed, der sættes til mindre end fem år, vil være, at der kan være tale om en situation, hvor Finanstilsynet efter en samlet vurdering vurderer, at personen ikke er hæderlig, men hvor det samlede sagsforløb afdækker en række formildende omstændigheder om den pågældende eller hændelsesforløbet. Det vil imidlertid også kunne være tilfældet, hvor forholdet har en sådan beskaffenhed, at varigheden eksempelvis isoleret set vil kunne fastsættes til fem år, men hvor forholdet ligger en årrække tilbage. I sådanne tilfælde vil tidsaspektet, personens adfærd siden det pågældende forhold, og fraværet af gentagelsesvirkning kunne føre til en lempelse af varigheden.</w:t>
      </w:r>
    </w:p>
    <w:p w14:paraId="041498EF" w14:textId="77777777" w:rsidR="00533D3E" w:rsidRPr="009E1059" w:rsidRDefault="00533D3E" w:rsidP="00533D3E">
      <w:pPr>
        <w:spacing w:line="360" w:lineRule="auto"/>
        <w:rPr>
          <w:rFonts w:ascii="Times New Roman" w:eastAsia="Calibri" w:hAnsi="Times New Roman" w:cs="Times New Roman"/>
          <w:sz w:val="24"/>
          <w:szCs w:val="24"/>
        </w:rPr>
      </w:pPr>
    </w:p>
    <w:p w14:paraId="253BC24C"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Retningsgivende for fastsættelsen af varigheden til at være indtil videre er, at der skal være tale om grove forhold eller alvor lige gentagelsestilfælde, der som udgangspunkt ikke ligger mere end 10 år tilbage i tiden. Det vil således alene være i særligt alvorlige sager, at Finanstilsynet vil fastsætte varigheden til at være indtil videre. Der kan eksempelvis være tale om særdeles grove forhold med overtrædelse af straffelovens berigelsesforbrydelser, forsætlig tilsidesættelse af hvidvasklovens krav eller egentlig medvirken til økonomisk kriminalitet. Generelt kan det siges, at det eller de udviste forhold skal have en sådan alvorlig karakter, at det må anses for åbenbart, at hverken Finanstilsynet eller samfundet kan have tillid til, at den pågældende indenfor en overskuelig fremtid vil kunne varetage hvervet som bestyrelsesmedlem eller stillingen som direktør eller nøgleperson i en finansiel virksomhed på en forsvarlig måde.</w:t>
      </w:r>
    </w:p>
    <w:p w14:paraId="00999D4D" w14:textId="77777777" w:rsidR="00533D3E" w:rsidRPr="009E1059" w:rsidRDefault="00533D3E" w:rsidP="00533D3E">
      <w:pPr>
        <w:spacing w:line="360" w:lineRule="auto"/>
        <w:rPr>
          <w:rFonts w:ascii="Times New Roman" w:eastAsia="Calibri" w:hAnsi="Times New Roman" w:cs="Times New Roman"/>
          <w:sz w:val="24"/>
          <w:szCs w:val="24"/>
        </w:rPr>
      </w:pPr>
    </w:p>
    <w:p w14:paraId="20345596"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sz w:val="24"/>
          <w:szCs w:val="24"/>
        </w:rPr>
        <w:t>Det foreslås i</w:t>
      </w:r>
      <w:r w:rsidRPr="009E1059">
        <w:rPr>
          <w:rFonts w:ascii="Times New Roman" w:eastAsia="Calibri" w:hAnsi="Times New Roman" w:cs="Times New Roman"/>
          <w:i/>
          <w:iCs/>
          <w:sz w:val="24"/>
          <w:szCs w:val="24"/>
        </w:rPr>
        <w:t xml:space="preserve"> stk. 5</w:t>
      </w:r>
      <w:r w:rsidRPr="009E1059">
        <w:rPr>
          <w:rFonts w:ascii="Times New Roman" w:eastAsia="Calibri" w:hAnsi="Times New Roman" w:cs="Times New Roman"/>
          <w:sz w:val="24"/>
          <w:szCs w:val="24"/>
        </w:rPr>
        <w:t xml:space="preserve">, at påbud meddelt efter stk. 1 kan kræves indbragt for domstolene af både virksomheden og den person, som påbuddet retter sig mod. Anmodning om domstolsprøvelse skal indgives til Finanstilsynet senest 4 uger efter, at påbuddet er meddelt </w:t>
      </w:r>
      <w:r w:rsidRPr="009E1059">
        <w:rPr>
          <w:rFonts w:ascii="Times New Roman" w:eastAsia="Times New Roman" w:hAnsi="Times New Roman" w:cs="Times New Roman"/>
          <w:iCs/>
          <w:sz w:val="24"/>
          <w:szCs w:val="24"/>
          <w:lang w:eastAsia="da-DK"/>
        </w:rPr>
        <w:t>den pågældende</w:t>
      </w:r>
      <w:r w:rsidRPr="009E1059">
        <w:rPr>
          <w:rFonts w:ascii="Times New Roman" w:eastAsia="Calibri" w:hAnsi="Times New Roman" w:cs="Times New Roman"/>
          <w:sz w:val="24"/>
          <w:szCs w:val="24"/>
        </w:rPr>
        <w:t xml:space="preserve">. </w:t>
      </w:r>
      <w:r w:rsidRPr="009E1059">
        <w:rPr>
          <w:rFonts w:ascii="Times New Roman" w:eastAsia="Times New Roman" w:hAnsi="Times New Roman" w:cs="Times New Roman"/>
          <w:iCs/>
          <w:sz w:val="24"/>
          <w:szCs w:val="24"/>
          <w:lang w:eastAsia="da-DK"/>
        </w:rPr>
        <w:t>Anmodningen har ikke opsættende virkning for påbuddet, men retten kan ved kendelse bestemme, at afgørelsen skal have opsættende virkning. Finanstilsynet indbringer sagen for domstolene inden 4 uger efter modtagelse af anmodning herom. Sagen anlægges i den borgerlige retsplejes former. </w:t>
      </w:r>
    </w:p>
    <w:p w14:paraId="12C42154" w14:textId="77777777" w:rsidR="00533D3E" w:rsidRPr="009E1059" w:rsidRDefault="00533D3E" w:rsidP="00533D3E">
      <w:pPr>
        <w:spacing w:line="360" w:lineRule="auto"/>
        <w:rPr>
          <w:rFonts w:ascii="Times New Roman" w:eastAsia="Calibri" w:hAnsi="Times New Roman" w:cs="Times New Roman"/>
          <w:sz w:val="24"/>
          <w:szCs w:val="24"/>
        </w:rPr>
      </w:pPr>
    </w:p>
    <w:p w14:paraId="093F5D96" w14:textId="77777777" w:rsidR="00533D3E" w:rsidRPr="009E1059" w:rsidRDefault="00533D3E" w:rsidP="00533D3E">
      <w:pPr>
        <w:spacing w:line="360" w:lineRule="auto"/>
        <w:rPr>
          <w:rFonts w:ascii="Times New Roman" w:eastAsia="Calibri" w:hAnsi="Times New Roman" w:cs="Times New Roman"/>
          <w:i/>
          <w:iCs/>
          <w:sz w:val="24"/>
          <w:szCs w:val="24"/>
        </w:rPr>
      </w:pPr>
      <w:r w:rsidRPr="009E1059">
        <w:rPr>
          <w:rFonts w:ascii="Times New Roman" w:eastAsia="Times New Roman" w:hAnsi="Times New Roman" w:cs="Times New Roman"/>
          <w:iCs/>
          <w:sz w:val="24"/>
          <w:szCs w:val="24"/>
          <w:lang w:eastAsia="da-DK"/>
        </w:rPr>
        <w:t>Påbud meddelt efter stk. 1 kan af virksomheden og den person, som påbuddet vedrører, forlanges indbragt for domstolene. Anmodning herom skal indgives til Finanstilsynet, inden 4 uger efter at påbuddet er meddelt den pågældende. Anmodningen har ikke opsættende virkning for påbuddet, men retten kan ved kendelse bestemme, at afgørelsen skal have opsættende virkning. Finanstilsynet indbringer sagen for domstolene inden 4 uger efter modtagelse af anmodning herom. Sagen anlægges i den borgerlige retsplejes former. </w:t>
      </w:r>
    </w:p>
    <w:p w14:paraId="5EF5F8F4" w14:textId="77777777" w:rsidR="00533D3E" w:rsidRPr="009E1059" w:rsidRDefault="00533D3E" w:rsidP="00533D3E">
      <w:pPr>
        <w:spacing w:line="360" w:lineRule="auto"/>
        <w:rPr>
          <w:rFonts w:ascii="Times New Roman" w:eastAsia="Calibri" w:hAnsi="Times New Roman" w:cs="Times New Roman"/>
          <w:sz w:val="24"/>
          <w:szCs w:val="24"/>
        </w:rPr>
      </w:pPr>
    </w:p>
    <w:p w14:paraId="1D5C8657"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Af retssikkerhedsmæssige hensyn er det væsentligt, at både virksomheden og den person, som påbuddet vedrører, har mulighed for at få prøvet Finanstilsynets afgørelse ved domstolene. Dette gælder uanset, om påbuddet retter sig mod afhændelse af ejerandele, ophævelse af stemmeret eller udtræden af selskabet. Det er Finanstilsynet, der har ansvaret for at indbringe sagen for domstolene, og dette skal ske inden for en frist på 4 uger efter, at anmodningen er modtaget. Der stilles ikke formkrav til anmodningen, hvilket sikrer en enkel og tilgængelig adgang til domstolsprøvelse.</w:t>
      </w:r>
    </w:p>
    <w:p w14:paraId="019A83BD" w14:textId="77777777" w:rsidR="00533D3E" w:rsidRPr="009E1059" w:rsidRDefault="00533D3E" w:rsidP="00533D3E">
      <w:pPr>
        <w:spacing w:line="360" w:lineRule="auto"/>
        <w:rPr>
          <w:rFonts w:ascii="Times New Roman" w:eastAsia="Calibri" w:hAnsi="Times New Roman" w:cs="Times New Roman"/>
          <w:sz w:val="24"/>
          <w:szCs w:val="24"/>
        </w:rPr>
      </w:pPr>
    </w:p>
    <w:p w14:paraId="1FBC8BC1"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Som udgangspunkt tillægges en anmodning om domstolsprøvelse ikke opsættende virkning, da dette vil kunne hindre en løbende og effektiv håndhævelse af kravene om hæderlighed for reelle ejere. Retten har dog mulighed for, hvis det vurderes relevant at bestemme, at den pågældende kan opretholde sit hverv eller forblive i sin stilling, mens sagen verserer. Dette sikrer en balance mellem hensynet til effektivt tilsyn og den enkeltes retssikkerhed.</w:t>
      </w:r>
    </w:p>
    <w:p w14:paraId="1F4A3765" w14:textId="77777777" w:rsidR="00533D3E" w:rsidRPr="009E1059" w:rsidRDefault="00533D3E" w:rsidP="00533D3E">
      <w:pPr>
        <w:spacing w:line="360" w:lineRule="auto"/>
        <w:rPr>
          <w:rFonts w:ascii="Times New Roman" w:eastAsia="Calibri" w:hAnsi="Times New Roman" w:cs="Times New Roman"/>
          <w:sz w:val="24"/>
          <w:szCs w:val="24"/>
        </w:rPr>
      </w:pPr>
    </w:p>
    <w:p w14:paraId="7D3BD938"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Det foreslås i </w:t>
      </w:r>
      <w:r w:rsidRPr="009E1059">
        <w:rPr>
          <w:rFonts w:ascii="Times New Roman" w:eastAsia="Calibri" w:hAnsi="Times New Roman" w:cs="Times New Roman"/>
          <w:i/>
          <w:iCs/>
          <w:sz w:val="24"/>
          <w:szCs w:val="24"/>
        </w:rPr>
        <w:t>stk. 6</w:t>
      </w:r>
      <w:r w:rsidRPr="009E1059">
        <w:rPr>
          <w:rFonts w:ascii="Times New Roman" w:eastAsia="Calibri" w:hAnsi="Times New Roman" w:cs="Times New Roman"/>
          <w:sz w:val="24"/>
          <w:szCs w:val="24"/>
        </w:rPr>
        <w:t>,</w:t>
      </w:r>
      <w:r w:rsidRPr="009E1059">
        <w:rPr>
          <w:rFonts w:ascii="Times New Roman" w:eastAsia="Times New Roman" w:hAnsi="Times New Roman" w:cs="Times New Roman"/>
          <w:color w:val="09090B"/>
          <w:sz w:val="24"/>
          <w:szCs w:val="24"/>
          <w:lang w:eastAsia="da-DK"/>
        </w:rPr>
        <w:t xml:space="preserve"> a</w:t>
      </w:r>
      <w:r w:rsidRPr="009E1059">
        <w:rPr>
          <w:rFonts w:ascii="Times New Roman" w:eastAsia="Calibri" w:hAnsi="Times New Roman" w:cs="Times New Roman"/>
          <w:sz w:val="24"/>
          <w:szCs w:val="24"/>
        </w:rPr>
        <w:t>t Finanstilsynet kan af egen drift eller efter ansøgning tilbagekalde et påbud meddelt efter stk. 1. Afslår Finanstilsynet en ansøgning om tilbagekaldelse, kan ansøgeren forlange afslaget indbragt for domstolene. Anmodning herom skal indgives til Finanstilsynet inden 4 uger efter, at afslaget er meddelt den pågældende. Anmodning om domstolsprøvelse kan dog kun fremsættes, hvis påbuddet ikke er tidsbegrænset, og der er forløbet mindst 5 år fra datoen for udstedelsen af påbuddet, eller mindst 2 år efter at Finanstilsynets afslag på tilbagekaldelse er stadfæstet ved dom.</w:t>
      </w:r>
    </w:p>
    <w:p w14:paraId="7C093263" w14:textId="77777777" w:rsidR="00533D3E" w:rsidRPr="009E1059" w:rsidRDefault="00533D3E" w:rsidP="00533D3E">
      <w:pPr>
        <w:spacing w:line="360" w:lineRule="auto"/>
        <w:rPr>
          <w:rFonts w:ascii="Times New Roman" w:eastAsia="Calibri" w:hAnsi="Times New Roman" w:cs="Times New Roman"/>
          <w:sz w:val="24"/>
          <w:szCs w:val="24"/>
        </w:rPr>
      </w:pPr>
    </w:p>
    <w:p w14:paraId="07DEFDEC"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Bestemmelsen sikrer, at Finanstilsynet til enhver tid kan tilbagekalde et påbud, hvis forholdene ændrer sig, eller hvis der foreligger nye oplysninger, der taler for, at påbuddet ikke længere bør opretholdes. En person, der har modtaget et påbud, kan således ansøge Finanstilsynet om at få påbuddet tilbagekaldt. Hvis Finanstilsynet afslår ansøgningen, kan ansøgeren forlange, at afslaget indbringes for domstolene. Dette skal ske ved, at ansøgeren indgiver anmodning til Finanstilsynet inden 4 uger efter, at afslaget er meddelt.</w:t>
      </w:r>
    </w:p>
    <w:p w14:paraId="10C00740" w14:textId="77777777" w:rsidR="00533D3E" w:rsidRPr="009E1059" w:rsidRDefault="00533D3E" w:rsidP="00533D3E">
      <w:pPr>
        <w:spacing w:line="360" w:lineRule="auto"/>
        <w:rPr>
          <w:rFonts w:ascii="Times New Roman" w:eastAsia="Calibri" w:hAnsi="Times New Roman" w:cs="Times New Roman"/>
          <w:sz w:val="24"/>
          <w:szCs w:val="24"/>
        </w:rPr>
      </w:pPr>
    </w:p>
    <w:p w14:paraId="31E2E4CA"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Det er dog en betingelse for at kunne kræve domstolsprøvelse af et afslag på tilbagekaldelse, at påbuddet ikke er tidsbegrænset, og at der er forløbet mindst 5 år fra datoen for udstedelsen af påbuddet, eller mindst 2 år efter at Finanstilsynets afslag på tilbagekaldelse er stadfæstet ved dom. Disse begrænsninger er indsat for at undgå gentagne og hyppige prøvelser af samme sag, hvilket kan belaste både tilsynet og domstolene unødigt. Begrænsningerne har kun betydning for muligheden for at kræve sagen indbragt for domstolene af Finanstilsynet. En person, som har modtaget et afslag på sin ansøgning, vil til enhver tid have mulighed for selv at anlægge sag ved domstolene.</w:t>
      </w:r>
    </w:p>
    <w:p w14:paraId="686FD83F" w14:textId="77777777" w:rsidR="00533D3E" w:rsidRPr="009E1059" w:rsidRDefault="00533D3E" w:rsidP="00533D3E">
      <w:pPr>
        <w:spacing w:line="360" w:lineRule="auto"/>
        <w:rPr>
          <w:rFonts w:ascii="Times New Roman" w:eastAsia="Calibri" w:hAnsi="Times New Roman" w:cs="Times New Roman"/>
          <w:sz w:val="24"/>
          <w:szCs w:val="24"/>
        </w:rPr>
      </w:pPr>
    </w:p>
    <w:p w14:paraId="25C7D1F0" w14:textId="77777777"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Bestemmelsen sikrer således, at der er adgang til domstolsprøvelse af både påbud og afslag på tilbagekaldelse, men at der samtidig er en vis afkølingsperiode, så der ikke sker gentagne prøvelser af samme sag inden for kort tid. Dette bidrager til at balancere hensynet til retssikkerhed og forvaltningens effektivitet.</w:t>
      </w:r>
    </w:p>
    <w:p w14:paraId="7DCDB0FC" w14:textId="77777777" w:rsidR="00533D3E" w:rsidRPr="009E1059" w:rsidRDefault="00533D3E" w:rsidP="00533D3E">
      <w:pPr>
        <w:spacing w:line="360" w:lineRule="auto"/>
        <w:rPr>
          <w:rFonts w:ascii="Times New Roman" w:eastAsia="Calibri" w:hAnsi="Times New Roman" w:cs="Times New Roman"/>
          <w:i/>
          <w:iCs/>
          <w:sz w:val="24"/>
          <w:szCs w:val="24"/>
        </w:rPr>
      </w:pPr>
    </w:p>
    <w:p w14:paraId="570BBAB7" w14:textId="6609CA89" w:rsidR="00533D3E" w:rsidRPr="009E1059" w:rsidRDefault="00533D3E" w:rsidP="00533D3E">
      <w:pPr>
        <w:spacing w:line="360" w:lineRule="auto"/>
        <w:rPr>
          <w:rFonts w:ascii="Times New Roman" w:eastAsia="Calibri" w:hAnsi="Times New Roman" w:cs="Times New Roman"/>
          <w:sz w:val="24"/>
          <w:szCs w:val="24"/>
        </w:rPr>
      </w:pPr>
      <w:r w:rsidRPr="009E1059">
        <w:rPr>
          <w:rFonts w:ascii="Times New Roman" w:eastAsia="Calibri" w:hAnsi="Times New Roman" w:cs="Times New Roman"/>
          <w:sz w:val="24"/>
          <w:szCs w:val="24"/>
        </w:rPr>
        <w:t xml:space="preserve">Der henvises i øvrigt til pkt. </w:t>
      </w:r>
      <w:r w:rsidRPr="009E1059">
        <w:rPr>
          <w:rFonts w:ascii="Times New Roman" w:eastAsia="Calibri" w:hAnsi="Times New Roman" w:cs="Times New Roman"/>
          <w:sz w:val="24"/>
          <w:szCs w:val="24"/>
        </w:rPr>
        <w:fldChar w:fldCharType="begin"/>
      </w:r>
      <w:r w:rsidRPr="009E1059">
        <w:rPr>
          <w:rFonts w:ascii="Times New Roman" w:eastAsia="Calibri" w:hAnsi="Times New Roman" w:cs="Times New Roman"/>
          <w:sz w:val="24"/>
          <w:szCs w:val="24"/>
        </w:rPr>
        <w:instrText xml:space="preserve"> REF _Ref232951231 \n \h  \* MERGEFORMAT </w:instrText>
      </w:r>
      <w:r w:rsidRPr="009E1059">
        <w:rPr>
          <w:rFonts w:ascii="Times New Roman" w:eastAsia="Calibri" w:hAnsi="Times New Roman" w:cs="Times New Roman"/>
          <w:sz w:val="24"/>
          <w:szCs w:val="24"/>
        </w:rPr>
      </w:r>
      <w:r w:rsidRPr="009E1059">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3.57</w:t>
      </w:r>
      <w:r w:rsidRPr="009E1059">
        <w:rPr>
          <w:rFonts w:ascii="Times New Roman" w:eastAsia="Calibri" w:hAnsi="Times New Roman" w:cs="Times New Roman"/>
          <w:sz w:val="24"/>
          <w:szCs w:val="24"/>
        </w:rPr>
        <w:fldChar w:fldCharType="end"/>
      </w:r>
      <w:r w:rsidRPr="009E1059">
        <w:rPr>
          <w:rFonts w:ascii="Times New Roman" w:eastAsia="Calibri" w:hAnsi="Times New Roman" w:cs="Times New Roman"/>
          <w:sz w:val="24"/>
          <w:szCs w:val="24"/>
        </w:rPr>
        <w:t>. i lovforslagets almindelige bemærkninger.</w:t>
      </w:r>
    </w:p>
    <w:p w14:paraId="7806F264" w14:textId="77777777" w:rsidR="00533D3E" w:rsidRPr="009E1059" w:rsidRDefault="00533D3E" w:rsidP="00533D3E">
      <w:pPr>
        <w:spacing w:line="360" w:lineRule="auto"/>
        <w:rPr>
          <w:rFonts w:ascii="Times New Roman" w:eastAsia="Calibri" w:hAnsi="Times New Roman" w:cs="Times New Roman"/>
          <w:sz w:val="24"/>
          <w:szCs w:val="24"/>
        </w:rPr>
      </w:pPr>
    </w:p>
    <w:p w14:paraId="3D8DE675" w14:textId="77777777" w:rsidR="00533D3E" w:rsidRDefault="00533D3E" w:rsidP="00533D3E">
      <w:pPr>
        <w:spacing w:line="360" w:lineRule="auto"/>
        <w:rPr>
          <w:rFonts w:ascii="Times New Roman" w:eastAsia="Calibri" w:hAnsi="Times New Roman" w:cs="Times New Roman"/>
          <w:i/>
          <w:iCs/>
          <w:sz w:val="24"/>
          <w:szCs w:val="24"/>
        </w:rPr>
      </w:pPr>
      <w:r w:rsidRPr="009E1059">
        <w:rPr>
          <w:rFonts w:ascii="Times New Roman" w:eastAsia="Calibri" w:hAnsi="Times New Roman" w:cs="Times New Roman"/>
          <w:i/>
          <w:iCs/>
          <w:sz w:val="24"/>
          <w:szCs w:val="24"/>
        </w:rPr>
        <w:t>Til nr. 8 (§ 21, stk. 3, 3. og 4. pkt., i lov om investeringsrådgivere og boligkreditformidlere)</w:t>
      </w:r>
    </w:p>
    <w:p w14:paraId="56669AFD" w14:textId="77777777" w:rsidR="0008437D" w:rsidRPr="009E1059" w:rsidRDefault="0008437D" w:rsidP="00533D3E">
      <w:pPr>
        <w:spacing w:line="360" w:lineRule="auto"/>
        <w:rPr>
          <w:rFonts w:ascii="Times New Roman" w:eastAsia="Calibri" w:hAnsi="Times New Roman" w:cs="Times New Roman"/>
          <w:i/>
          <w:iCs/>
          <w:sz w:val="24"/>
          <w:szCs w:val="24"/>
        </w:rPr>
      </w:pPr>
    </w:p>
    <w:p w14:paraId="07CEE15C" w14:textId="77777777" w:rsidR="00533D3E" w:rsidRPr="0008437D" w:rsidRDefault="00533D3E" w:rsidP="0008437D">
      <w:pPr>
        <w:spacing w:line="360" w:lineRule="auto"/>
        <w:rPr>
          <w:rFonts w:ascii="Times New Roman" w:hAnsi="Times New Roman" w:cs="Times New Roman"/>
          <w:sz w:val="24"/>
          <w:szCs w:val="24"/>
        </w:rPr>
      </w:pPr>
      <w:r w:rsidRPr="0008437D">
        <w:rPr>
          <w:rFonts w:ascii="Times New Roman" w:eastAsia="Calibri" w:hAnsi="Times New Roman" w:cs="Times New Roman"/>
          <w:sz w:val="24"/>
          <w:szCs w:val="24"/>
        </w:rPr>
        <w:t>Lov om investeringsrådgivere og boligkreditformidlere</w:t>
      </w:r>
      <w:r w:rsidRPr="0008437D">
        <w:rPr>
          <w:rFonts w:ascii="Times New Roman" w:hAnsi="Times New Roman" w:cs="Times New Roman"/>
          <w:sz w:val="24"/>
          <w:szCs w:val="24"/>
        </w:rPr>
        <w:t xml:space="preserve"> § 21 angiver, hvem der er part i forhold til afgørelser truffet af Finanstilsynet. Tildelingen af partsstatus indebærer bl.a. mulighed for at få adgang til sagens dokumenter efter forvaltningsloven samt mulighed for at indbringe Finanstilsynets afgørelse for Erhvervsankenævnet.</w:t>
      </w:r>
    </w:p>
    <w:p w14:paraId="26A84B82" w14:textId="77777777" w:rsidR="00533D3E" w:rsidRPr="009E1059" w:rsidRDefault="00533D3E" w:rsidP="0008437D"/>
    <w:p w14:paraId="21657FD6" w14:textId="77777777" w:rsidR="00533D3E" w:rsidRPr="0008437D" w:rsidRDefault="00533D3E" w:rsidP="0008437D">
      <w:pPr>
        <w:spacing w:line="360" w:lineRule="auto"/>
        <w:rPr>
          <w:rFonts w:ascii="Times New Roman" w:hAnsi="Times New Roman" w:cs="Times New Roman"/>
          <w:sz w:val="24"/>
          <w:szCs w:val="24"/>
        </w:rPr>
      </w:pPr>
      <w:r w:rsidRPr="0008437D">
        <w:rPr>
          <w:rFonts w:ascii="Times New Roman" w:eastAsia="Calibri" w:hAnsi="Times New Roman" w:cs="Times New Roman"/>
          <w:sz w:val="24"/>
          <w:szCs w:val="24"/>
        </w:rPr>
        <w:t>Lov om investeringsrådgivere og boligkreditformidlere</w:t>
      </w:r>
      <w:r w:rsidRPr="0008437D">
        <w:rPr>
          <w:rFonts w:ascii="Times New Roman" w:hAnsi="Times New Roman" w:cs="Times New Roman"/>
          <w:sz w:val="24"/>
          <w:szCs w:val="24"/>
        </w:rPr>
        <w:t xml:space="preserve"> § 21, stk. 3, angiver, hvem der er part i sager om egnethed og hæderlighed, jf. § 4, vedrørende medlemmer af bestyrelsen og direktionen i investeringsrådgivere og boligkreditformidlere og Finanstilsynets afgørelser efter § 14. </w:t>
      </w:r>
    </w:p>
    <w:p w14:paraId="4DE604C4" w14:textId="77777777" w:rsidR="00533D3E" w:rsidRPr="009E1059" w:rsidRDefault="00533D3E" w:rsidP="00666C22"/>
    <w:p w14:paraId="0C51ACBF" w14:textId="77777777" w:rsidR="00533D3E" w:rsidRPr="004B659F" w:rsidRDefault="00533D3E" w:rsidP="004B659F">
      <w:pPr>
        <w:spacing w:line="360" w:lineRule="auto"/>
        <w:rPr>
          <w:rFonts w:ascii="Times New Roman" w:hAnsi="Times New Roman" w:cs="Times New Roman"/>
          <w:sz w:val="24"/>
          <w:szCs w:val="24"/>
        </w:rPr>
      </w:pPr>
      <w:r w:rsidRPr="004B659F">
        <w:rPr>
          <w:rFonts w:ascii="Times New Roman" w:hAnsi="Times New Roman" w:cs="Times New Roman"/>
          <w:sz w:val="24"/>
          <w:szCs w:val="24"/>
        </w:rPr>
        <w:t>Det foreslås i </w:t>
      </w:r>
      <w:r w:rsidRPr="004B659F">
        <w:rPr>
          <w:rFonts w:ascii="Times New Roman" w:hAnsi="Times New Roman" w:cs="Times New Roman"/>
          <w:i/>
          <w:iCs/>
          <w:sz w:val="24"/>
          <w:szCs w:val="24"/>
        </w:rPr>
        <w:t>§ 21, stk. 3,</w:t>
      </w:r>
      <w:r w:rsidRPr="004B659F">
        <w:rPr>
          <w:rFonts w:ascii="Times New Roman" w:hAnsi="Times New Roman" w:cs="Times New Roman"/>
          <w:sz w:val="24"/>
          <w:szCs w:val="24"/>
        </w:rPr>
        <w:t> at indsætte et </w:t>
      </w:r>
      <w:r w:rsidRPr="004B659F">
        <w:rPr>
          <w:rFonts w:ascii="Times New Roman" w:hAnsi="Times New Roman" w:cs="Times New Roman"/>
          <w:i/>
          <w:iCs/>
          <w:sz w:val="24"/>
          <w:szCs w:val="24"/>
        </w:rPr>
        <w:t>3. og 4. pkt.</w:t>
      </w:r>
      <w:r w:rsidRPr="004B659F">
        <w:rPr>
          <w:rFonts w:ascii="Times New Roman" w:hAnsi="Times New Roman" w:cs="Times New Roman"/>
          <w:sz w:val="24"/>
          <w:szCs w:val="24"/>
        </w:rPr>
        <w:t>, hvorefter medarbejdere og ansatte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 anses</w:t>
      </w:r>
      <w:r w:rsidRPr="004B659F" w:rsidDel="005D1996">
        <w:rPr>
          <w:rFonts w:ascii="Times New Roman" w:hAnsi="Times New Roman" w:cs="Times New Roman"/>
          <w:sz w:val="24"/>
          <w:szCs w:val="24"/>
        </w:rPr>
        <w:t xml:space="preserve"> </w:t>
      </w:r>
      <w:r w:rsidRPr="004B659F">
        <w:rPr>
          <w:rFonts w:ascii="Times New Roman" w:hAnsi="Times New Roman" w:cs="Times New Roman"/>
          <w:sz w:val="24"/>
          <w:szCs w:val="24"/>
        </w:rPr>
        <w:t>som part i Finanstilsynets afgørelser om hæderlighed i henhold § 4, stk. 7, jf. § 4, stk. 1, nr. 3, og i henhold til § 14. Som part i Finanstilsynets afgørelser om hæderlighed i henhold § 4, stk. 8, jf. § 4, stk. 1, nr. 3, og afhændelse af ejerandele i § 14 b, anses en reel ejer af en boligkreditformidler.</w:t>
      </w:r>
    </w:p>
    <w:p w14:paraId="345CD130" w14:textId="77777777" w:rsidR="00533D3E" w:rsidRPr="009E1059" w:rsidRDefault="00533D3E" w:rsidP="00666C22"/>
    <w:p w14:paraId="67D1E1F2" w14:textId="77777777" w:rsidR="00533D3E" w:rsidRPr="00F61C97" w:rsidRDefault="00533D3E" w:rsidP="00F61C97">
      <w:pPr>
        <w:spacing w:line="360" w:lineRule="auto"/>
        <w:rPr>
          <w:rFonts w:ascii="Times New Roman" w:hAnsi="Times New Roman" w:cs="Times New Roman"/>
          <w:sz w:val="24"/>
          <w:szCs w:val="24"/>
        </w:rPr>
      </w:pPr>
      <w:r w:rsidRPr="00F61C97">
        <w:rPr>
          <w:rFonts w:ascii="Times New Roman" w:hAnsi="Times New Roman" w:cs="Times New Roman"/>
          <w:sz w:val="24"/>
          <w:szCs w:val="24"/>
        </w:rPr>
        <w:t>Forslaget indebærer, at en part i Finanstilsynets afgørelser efter loven er den medarbejder eller ansat med tilstrækkeligt kendskab til den forpligtede enheds risikoeksponering for hvidvask af penge og finansiering af terrorisme og med tilstrækkelig anciennitet til at træffe beslutninger med indvirkning på dets risikoeksponering og en reel ejer af en boligkreditformidler, som afgørelsen omhandler. Som part i Finanstilsynets afgørelser efter loven er desuden den fysiske person, der direkte eller indirekte ejer eller kontrollerer minimum 25 pct. af kapitalandelen, ejerandelen, stemmerettighederne eller andre ejerskabsbeføjelser i en boligkreditformidler, som afgørelsen omhandler.</w:t>
      </w:r>
    </w:p>
    <w:p w14:paraId="79D5F400" w14:textId="77777777" w:rsidR="00533D3E" w:rsidRPr="009E1059" w:rsidRDefault="00533D3E" w:rsidP="00666C22"/>
    <w:p w14:paraId="1FFEA434" w14:textId="77777777" w:rsidR="00533D3E" w:rsidRPr="00555A0C" w:rsidRDefault="00533D3E" w:rsidP="00555A0C">
      <w:pPr>
        <w:spacing w:line="360" w:lineRule="auto"/>
        <w:rPr>
          <w:rFonts w:ascii="Times New Roman" w:hAnsi="Times New Roman" w:cs="Times New Roman"/>
          <w:sz w:val="24"/>
          <w:szCs w:val="24"/>
        </w:rPr>
      </w:pPr>
      <w:r w:rsidRPr="00555A0C">
        <w:rPr>
          <w:rFonts w:ascii="Times New Roman" w:hAnsi="Times New Roman" w:cs="Times New Roman"/>
          <w:sz w:val="24"/>
          <w:szCs w:val="24"/>
        </w:rPr>
        <w:t xml:space="preserve">Med afgørelser om egnethed og hæderlighed forstås Finanstilsynets afgørelse om, medarbejdere og ansatte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 jf. lovforslagets § 147, nr. 2, og reelle ejere, jf. lovforslagets § 147, nr. 3. </w:t>
      </w:r>
    </w:p>
    <w:p w14:paraId="06EE30A4" w14:textId="77777777" w:rsidR="00533D3E" w:rsidRPr="009E1059" w:rsidRDefault="00533D3E" w:rsidP="00666C22"/>
    <w:p w14:paraId="7ACCBD92" w14:textId="77777777" w:rsidR="00533D3E" w:rsidRPr="00555A0C" w:rsidRDefault="00533D3E" w:rsidP="00555A0C">
      <w:pPr>
        <w:spacing w:line="360" w:lineRule="auto"/>
        <w:rPr>
          <w:rFonts w:ascii="Times New Roman" w:hAnsi="Times New Roman" w:cs="Times New Roman"/>
          <w:sz w:val="24"/>
          <w:szCs w:val="24"/>
        </w:rPr>
      </w:pPr>
      <w:r w:rsidRPr="00555A0C">
        <w:rPr>
          <w:rFonts w:ascii="Times New Roman" w:hAnsi="Times New Roman" w:cs="Times New Roman"/>
          <w:sz w:val="24"/>
          <w:szCs w:val="24"/>
        </w:rPr>
        <w:t xml:space="preserve">Med afgørelser om egnethed og hæderlighed forstås endvidere Finanstilsynets påbud efter § 14, jf. forslaget til § 147, nr. 4, i </w:t>
      </w:r>
      <w:r w:rsidRPr="00555A0C">
        <w:rPr>
          <w:rFonts w:ascii="Times New Roman" w:eastAsia="Calibri" w:hAnsi="Times New Roman" w:cs="Times New Roman"/>
          <w:sz w:val="24"/>
          <w:szCs w:val="24"/>
        </w:rPr>
        <w:t>lov om investeringsrådgivere og boligkreditformidlere,</w:t>
      </w:r>
      <w:r w:rsidRPr="00555A0C">
        <w:rPr>
          <w:rFonts w:ascii="Times New Roman" w:hAnsi="Times New Roman" w:cs="Times New Roman"/>
          <w:sz w:val="24"/>
          <w:szCs w:val="24"/>
        </w:rPr>
        <w:t xml:space="preserve"> om afsættelse af en medarbejder eller ansat i en boligkreditformidler, som nævnt i det foreslåede § 2, nr. 2, med tilstrækkeligt kendskab til den forpligtede enheds risikoeksponering for hvidvask af penge og finansiering af terrorisme og med tilstrækkelig anciennitet til at træffe beslutninger med indvirkning på dets risikoeksponering, som følge af, at den pågældende ikke længere opfylder kravene til egnethed og hæderlighed.</w:t>
      </w:r>
    </w:p>
    <w:p w14:paraId="1B917A82" w14:textId="77777777" w:rsidR="00533D3E" w:rsidRPr="009E1059" w:rsidRDefault="00533D3E" w:rsidP="00666C22"/>
    <w:p w14:paraId="3715996E" w14:textId="77777777" w:rsidR="00533D3E" w:rsidRPr="00555A0C" w:rsidRDefault="00533D3E" w:rsidP="00555A0C">
      <w:pPr>
        <w:spacing w:line="360" w:lineRule="auto"/>
        <w:rPr>
          <w:rFonts w:ascii="Times New Roman" w:hAnsi="Times New Roman" w:cs="Times New Roman"/>
          <w:sz w:val="24"/>
          <w:szCs w:val="24"/>
        </w:rPr>
      </w:pPr>
      <w:r w:rsidRPr="00555A0C">
        <w:rPr>
          <w:rFonts w:ascii="Times New Roman" w:hAnsi="Times New Roman" w:cs="Times New Roman"/>
          <w:sz w:val="24"/>
          <w:szCs w:val="24"/>
        </w:rPr>
        <w:t xml:space="preserve">Med afgørelser om egnethed og hæderlighed forstås herudover Finanstilsynets påbud efter § 14 b, jf. forslaget til forslaget til § 147, nr. 5, om en reel ejers afhændelse af ejerandele. </w:t>
      </w:r>
    </w:p>
    <w:p w14:paraId="52ABE062" w14:textId="77777777" w:rsidR="00533D3E" w:rsidRPr="009E1059" w:rsidRDefault="00533D3E" w:rsidP="00666C22"/>
    <w:p w14:paraId="26CBFE1F" w14:textId="77777777" w:rsidR="00533D3E" w:rsidRPr="00AE7E12" w:rsidRDefault="00533D3E" w:rsidP="00AE7E12">
      <w:pPr>
        <w:spacing w:line="360" w:lineRule="auto"/>
        <w:rPr>
          <w:rFonts w:ascii="Times New Roman" w:hAnsi="Times New Roman" w:cs="Times New Roman"/>
          <w:sz w:val="24"/>
          <w:szCs w:val="24"/>
        </w:rPr>
      </w:pPr>
      <w:r w:rsidRPr="00AE7E12">
        <w:rPr>
          <w:rFonts w:ascii="Times New Roman" w:hAnsi="Times New Roman" w:cs="Times New Roman"/>
          <w:sz w:val="24"/>
          <w:szCs w:val="24"/>
        </w:rPr>
        <w:t>Med den berørte boligkreditformidler forstås den virksomhed, hvori den medarbejder eller ansatte, som afgørelsen omhandler, er ansat, og den virksomhed, som den reelle ejer i sidste ende ejer eller kontrollerer. Afgørelsen omhandler hæderlighed i forhold til stillingen i eller den kontrollerende indflydelse på den berørte boligkreditformidler. Med den person, som afgørelsen omhandler, forstås den person, hvis egnethed og hæderlighed er genstand for vurdering.</w:t>
      </w:r>
    </w:p>
    <w:p w14:paraId="7AE0C207" w14:textId="77777777" w:rsidR="00533D3E" w:rsidRPr="009E1059" w:rsidRDefault="00533D3E" w:rsidP="00666C22"/>
    <w:p w14:paraId="1B806D6C"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En reel ejer skal forstås i overensstemmelse med definitionen i artikel 2, stk. 1, nr. 28, i Europa-Parlamentets og Rådets forordning (EU) 2024/1624 af 31. maj 2024 om forebyggende foranstaltninger mod anvendelse af det finansielle system til hvidvask af penge eller finansiering af terrorisme, hvorefter en reel ejer defineres som en fysisk person, der i sidste ende ejer eller kontrollerer en juridisk enhed eller en viljebestemt trust eller et lignende juridisk arrangement. Dette betyder, at der skal være tale om en fysisk person, der direkte eller indirekte ejer eller kontrollerer mindst 25 pct. af kapitalandelen, ejerandelen, stemmerettighederne eller andre selskabsbeføjelser af en virksomhed eller som på anden måde direkte eller indirekte kontrollerer virksomheden. Identifikation af reelle ejere er derudover nærmere reguleret i forordningens kapitel 4.</w:t>
      </w:r>
    </w:p>
    <w:p w14:paraId="28F28AD9"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En medarbejder eller ansat i en boligkreditformidler med tilstrækkeligt kendskab til den forpligtede enheds risikoeksponering for hvidvask af penge og finansiering af terrorisme og med tilstrækkelig anciennitet til at træffe beslutninger med indvirkning på dets risikoeksponering, skal forstås i overensstemmelse med definitionen af øverste ledelse i artikel 2, stk. 1, nr. 40, i Europa-Parlamentets og Rådets forordning (EU) 2024/1624 af 31. maj 2024 om forebyggende foranstaltninger mod anvendelse af det finansielle system til hvidvask af penge eller finansiering af terrorisme.</w:t>
      </w:r>
    </w:p>
    <w:p w14:paraId="7BC56CA9" w14:textId="77777777" w:rsidR="00533D3E" w:rsidRPr="009E1059" w:rsidRDefault="00533D3E" w:rsidP="00533D3E">
      <w:pPr>
        <w:spacing w:after="240" w:line="360" w:lineRule="auto"/>
        <w:jc w:val="left"/>
        <w:rPr>
          <w:rFonts w:ascii="Times New Roman" w:hAnsi="Times New Roman" w:cs="Times New Roman"/>
          <w:sz w:val="24"/>
          <w:szCs w:val="24"/>
        </w:rPr>
      </w:pPr>
      <w:r w:rsidRPr="009E1059">
        <w:rPr>
          <w:rFonts w:ascii="Times New Roman" w:hAnsi="Times New Roman" w:cs="Times New Roman"/>
          <w:sz w:val="24"/>
          <w:szCs w:val="24"/>
        </w:rPr>
        <w:t>Med forslaget lægges der op til, at det vil være den medarbejder eller ansat i en boligkreditformidler med, som nævnt i det foreslåede § 2, nr. 2, tilstrækkeligt kendskab til den forpligtede enheds risikoeksponering for hvidvask af penge og finansiering af terrorisme og med tilstrækkelig anciennitet til at træffe beslutninger med indvirkning på dets risikoeksponering samt en boligkreditformidlers reelle ejer, som Finanstilsynets afgørelse om egnethed og hæderlighed omhandler, som vil være part i forhold til Finanstilsynets afgørelse.</w:t>
      </w:r>
    </w:p>
    <w:p w14:paraId="5FE69AAF" w14:textId="77777777" w:rsidR="00533D3E" w:rsidRPr="00AE7E12" w:rsidRDefault="00533D3E" w:rsidP="00AE7E12">
      <w:pPr>
        <w:rPr>
          <w:rFonts w:ascii="Times New Roman" w:hAnsi="Times New Roman" w:cs="Times New Roman"/>
          <w:i/>
          <w:iCs/>
          <w:sz w:val="24"/>
          <w:szCs w:val="24"/>
        </w:rPr>
      </w:pPr>
      <w:r w:rsidRPr="00AE7E12">
        <w:rPr>
          <w:rFonts w:ascii="Times New Roman" w:hAnsi="Times New Roman" w:cs="Times New Roman"/>
          <w:i/>
          <w:iCs/>
          <w:sz w:val="24"/>
          <w:szCs w:val="24"/>
        </w:rPr>
        <w:t>Til nr. 9 (§ 26, stk. 2, i lov om investeringsrådgivere og boligkreditformidlere)</w:t>
      </w:r>
    </w:p>
    <w:p w14:paraId="2CC91F31" w14:textId="77777777" w:rsidR="00533D3E" w:rsidRPr="009E1059" w:rsidRDefault="00533D3E" w:rsidP="00533D3E">
      <w:pPr>
        <w:spacing w:line="360" w:lineRule="auto"/>
        <w:rPr>
          <w:rFonts w:ascii="Times New Roman" w:hAnsi="Times New Roman" w:cs="Times New Roman"/>
          <w:sz w:val="24"/>
          <w:szCs w:val="24"/>
        </w:rPr>
      </w:pPr>
    </w:p>
    <w:p w14:paraId="335D597D" w14:textId="5445483A" w:rsidR="00533D3E" w:rsidRDefault="00533D3E" w:rsidP="00AE7E12">
      <w:pPr>
        <w:spacing w:line="360" w:lineRule="auto"/>
        <w:rPr>
          <w:rFonts w:ascii="Times New Roman" w:hAnsi="Times New Roman" w:cs="Times New Roman"/>
          <w:sz w:val="24"/>
          <w:szCs w:val="24"/>
        </w:rPr>
      </w:pPr>
      <w:r w:rsidRPr="00AE7E12">
        <w:rPr>
          <w:rFonts w:ascii="Times New Roman" w:hAnsi="Times New Roman" w:cs="Times New Roman"/>
          <w:sz w:val="24"/>
          <w:szCs w:val="24"/>
        </w:rPr>
        <w:t>Den gældende § 26, stk. 2, i lov om investeringsrådgivere og boligkreditformidlere fastsætter, hvilke overtrædelser af loven og bestemmelser i EU-retsakter, der kan straffes med bøde.</w:t>
      </w:r>
    </w:p>
    <w:p w14:paraId="39077659" w14:textId="77777777" w:rsidR="00E5000D" w:rsidRPr="00AE7E12" w:rsidRDefault="00E5000D" w:rsidP="00AE7E12">
      <w:pPr>
        <w:spacing w:line="360" w:lineRule="auto"/>
        <w:rPr>
          <w:rFonts w:ascii="Times New Roman" w:hAnsi="Times New Roman" w:cs="Times New Roman"/>
          <w:sz w:val="24"/>
          <w:szCs w:val="24"/>
        </w:rPr>
      </w:pPr>
    </w:p>
    <w:p w14:paraId="1F3EEC6D" w14:textId="77777777" w:rsidR="00533D3E" w:rsidRPr="00AE7E12" w:rsidRDefault="00533D3E" w:rsidP="00AE7E12">
      <w:pPr>
        <w:spacing w:line="360" w:lineRule="auto"/>
        <w:rPr>
          <w:rFonts w:ascii="Times New Roman" w:hAnsi="Times New Roman" w:cs="Times New Roman"/>
          <w:sz w:val="24"/>
          <w:szCs w:val="24"/>
        </w:rPr>
      </w:pPr>
      <w:r w:rsidRPr="00AE7E12">
        <w:rPr>
          <w:rFonts w:ascii="Times New Roman" w:hAnsi="Times New Roman" w:cs="Times New Roman"/>
          <w:sz w:val="24"/>
          <w:szCs w:val="24"/>
        </w:rPr>
        <w:t xml:space="preserve">Det foreslås i lovforslagets § 147, nr. 3, som indsætter et nyt § 5, stk. 2, at der indføres en årlig pligt for boligkreditformidlere, som nævnt i det foreslåede § 2, nr. 2, til at indsende en erklæring til Finanstilsynet om fortsat opfyldelse af tilladelsesbetingelserne samt en oversigt over ledelse og reelle ejere. Overtrædelse af bestemmelsen foreslås strafbelagt. </w:t>
      </w:r>
    </w:p>
    <w:p w14:paraId="4C00C72C" w14:textId="77777777" w:rsidR="00533D3E" w:rsidRPr="00AE7E12" w:rsidRDefault="00533D3E" w:rsidP="00AE7E12">
      <w:pPr>
        <w:spacing w:line="360" w:lineRule="auto"/>
        <w:rPr>
          <w:rFonts w:ascii="Times New Roman" w:hAnsi="Times New Roman" w:cs="Times New Roman"/>
          <w:sz w:val="24"/>
          <w:szCs w:val="24"/>
        </w:rPr>
      </w:pPr>
    </w:p>
    <w:p w14:paraId="54E5B7F4" w14:textId="77777777" w:rsidR="00533D3E" w:rsidRPr="00AE7E12" w:rsidRDefault="00533D3E" w:rsidP="00AE7E12">
      <w:pPr>
        <w:spacing w:line="360" w:lineRule="auto"/>
        <w:rPr>
          <w:rFonts w:ascii="Times New Roman" w:hAnsi="Times New Roman" w:cs="Times New Roman"/>
          <w:sz w:val="24"/>
          <w:szCs w:val="24"/>
        </w:rPr>
      </w:pPr>
      <w:r w:rsidRPr="00AE7E12">
        <w:rPr>
          <w:rFonts w:ascii="Times New Roman" w:hAnsi="Times New Roman" w:cs="Times New Roman"/>
          <w:sz w:val="24"/>
          <w:szCs w:val="24"/>
        </w:rPr>
        <w:t xml:space="preserve">Det foreslås derfor i </w:t>
      </w:r>
      <w:r w:rsidRPr="00AE7E12">
        <w:rPr>
          <w:rFonts w:ascii="Times New Roman" w:hAnsi="Times New Roman" w:cs="Times New Roman"/>
          <w:i/>
          <w:iCs/>
          <w:sz w:val="24"/>
          <w:szCs w:val="24"/>
        </w:rPr>
        <w:t>§ 26, stk. 2,</w:t>
      </w:r>
      <w:r w:rsidRPr="00AE7E12">
        <w:rPr>
          <w:rFonts w:ascii="Times New Roman" w:hAnsi="Times New Roman" w:cs="Times New Roman"/>
          <w:sz w:val="24"/>
          <w:szCs w:val="24"/>
        </w:rPr>
        <w:t xml:space="preserve"> </w:t>
      </w:r>
      <w:r w:rsidRPr="00AE7E12">
        <w:rPr>
          <w:rFonts w:ascii="Times New Roman" w:eastAsia="Times New Roman" w:hAnsi="Times New Roman" w:cs="Times New Roman"/>
          <w:sz w:val="24"/>
          <w:szCs w:val="24"/>
          <w:lang w:eastAsia="da-DK"/>
        </w:rPr>
        <w:t>efter »Overtrædelse af« at indsætte »§ 5, stk.  2,«.</w:t>
      </w:r>
    </w:p>
    <w:p w14:paraId="0BCEE4BC" w14:textId="77777777" w:rsidR="00533D3E" w:rsidRPr="00AE7E12" w:rsidRDefault="00533D3E" w:rsidP="00AE7E12">
      <w:pPr>
        <w:spacing w:line="360" w:lineRule="auto"/>
        <w:rPr>
          <w:rFonts w:ascii="Times New Roman" w:hAnsi="Times New Roman" w:cs="Times New Roman"/>
          <w:sz w:val="24"/>
          <w:szCs w:val="24"/>
        </w:rPr>
      </w:pPr>
    </w:p>
    <w:p w14:paraId="1B29B2A7" w14:textId="77777777" w:rsidR="00533D3E" w:rsidRPr="00AE7E12" w:rsidRDefault="00533D3E" w:rsidP="00AE7E12">
      <w:pPr>
        <w:spacing w:line="360" w:lineRule="auto"/>
        <w:rPr>
          <w:rFonts w:ascii="Times New Roman" w:hAnsi="Times New Roman" w:cs="Times New Roman"/>
          <w:sz w:val="24"/>
          <w:szCs w:val="24"/>
        </w:rPr>
      </w:pPr>
      <w:r w:rsidRPr="00AE7E12">
        <w:rPr>
          <w:rFonts w:ascii="Times New Roman" w:hAnsi="Times New Roman" w:cs="Times New Roman"/>
          <w:sz w:val="24"/>
          <w:szCs w:val="24"/>
        </w:rPr>
        <w:t xml:space="preserve">Den foreslåede bestemmelse er ny. </w:t>
      </w:r>
    </w:p>
    <w:p w14:paraId="29B7668B" w14:textId="77777777" w:rsidR="00533D3E" w:rsidRPr="00AE7E12" w:rsidRDefault="00533D3E" w:rsidP="00AE7E12">
      <w:pPr>
        <w:spacing w:line="360" w:lineRule="auto"/>
        <w:rPr>
          <w:rFonts w:ascii="Times New Roman" w:hAnsi="Times New Roman" w:cs="Times New Roman"/>
          <w:sz w:val="24"/>
          <w:szCs w:val="24"/>
        </w:rPr>
      </w:pPr>
    </w:p>
    <w:p w14:paraId="7BE5ACF9" w14:textId="77777777" w:rsidR="00533D3E" w:rsidRPr="00AE7E12" w:rsidRDefault="00533D3E" w:rsidP="00AE7E12">
      <w:pPr>
        <w:spacing w:line="360" w:lineRule="auto"/>
        <w:rPr>
          <w:rFonts w:ascii="Times New Roman" w:hAnsi="Times New Roman" w:cs="Times New Roman"/>
          <w:sz w:val="24"/>
          <w:szCs w:val="24"/>
        </w:rPr>
      </w:pPr>
      <w:r w:rsidRPr="00AE7E12">
        <w:rPr>
          <w:rFonts w:ascii="Times New Roman" w:hAnsi="Times New Roman" w:cs="Times New Roman"/>
          <w:sz w:val="24"/>
          <w:szCs w:val="24"/>
        </w:rPr>
        <w:t>Fastsættelsen af bødestraffen vil dog fortsat bero på domstolenes konkrete vurdering i det enkelte tilfælde af samtlige omstændigheder i sagen. Bødeniveauet vil derfor tage hensyn til, hvorvidt der i den konkrete sag foreligger skærpende eller formildende omstændigheder, jf. herved de almindelige regler om straffens fastsættelse i straffelovens kapitel 10.</w:t>
      </w:r>
    </w:p>
    <w:p w14:paraId="52C90350" w14:textId="77777777" w:rsidR="00A6033F" w:rsidRPr="00796736" w:rsidRDefault="00A6033F" w:rsidP="00A802A5">
      <w:pPr>
        <w:spacing w:line="360" w:lineRule="auto"/>
        <w:rPr>
          <w:rFonts w:ascii="Times New Roman" w:hAnsi="Times New Roman" w:cs="Times New Roman"/>
          <w:lang w:eastAsia="da-DK"/>
        </w:rPr>
      </w:pPr>
    </w:p>
    <w:p w14:paraId="06994127" w14:textId="41C94E47" w:rsidR="001B50EE" w:rsidRPr="00796736" w:rsidRDefault="001B50EE" w:rsidP="00A802A5">
      <w:pPr>
        <w:tabs>
          <w:tab w:val="left" w:pos="2290"/>
        </w:tabs>
        <w:spacing w:after="160" w:line="360" w:lineRule="auto"/>
        <w:rPr>
          <w:rFonts w:ascii="Times New Roman" w:hAnsi="Times New Roman" w:cs="Times New Roman"/>
          <w:sz w:val="24"/>
          <w:szCs w:val="24"/>
        </w:rPr>
      </w:pPr>
    </w:p>
    <w:p w14:paraId="130A82CB" w14:textId="7D197430" w:rsidR="000A62E9" w:rsidRPr="00796736" w:rsidRDefault="000A62E9" w:rsidP="00A802A5">
      <w:pPr>
        <w:pStyle w:val="Undertitel"/>
      </w:pPr>
      <w:bookmarkStart w:id="2291" w:name="_Toc232109456"/>
      <w:bookmarkStart w:id="2292" w:name="_Toc244879450"/>
      <w:bookmarkStart w:id="2293" w:name="_Toc244880975"/>
      <w:r w:rsidRPr="00796736">
        <w:t xml:space="preserve">Til </w:t>
      </w:r>
      <w:r w:rsidR="00E0341A" w:rsidRPr="00796736">
        <w:fldChar w:fldCharType="begin"/>
      </w:r>
      <w:r w:rsidR="00E0341A" w:rsidRPr="00796736">
        <w:instrText xml:space="preserve"> REF _Ref233637850 \r \h </w:instrText>
      </w:r>
      <w:r w:rsidR="00EA770E" w:rsidRPr="00796736">
        <w:instrText xml:space="preserve"> \* MERGEFORMAT </w:instrText>
      </w:r>
      <w:r w:rsidR="00E0341A" w:rsidRPr="00796736">
        <w:fldChar w:fldCharType="separate"/>
      </w:r>
      <w:r w:rsidR="008F29E5">
        <w:t>§ 154</w:t>
      </w:r>
      <w:bookmarkEnd w:id="2292"/>
      <w:bookmarkEnd w:id="2293"/>
      <w:r w:rsidR="00E0341A" w:rsidRPr="00796736">
        <w:fldChar w:fldCharType="end"/>
      </w:r>
      <w:r w:rsidR="00E0341A" w:rsidRPr="00796736">
        <w:t xml:space="preserve"> </w:t>
      </w:r>
      <w:bookmarkEnd w:id="2291"/>
    </w:p>
    <w:p w14:paraId="68CF3EEA" w14:textId="77777777" w:rsidR="001D0EAC" w:rsidRPr="00796736" w:rsidRDefault="001D0EAC" w:rsidP="00A802A5">
      <w:pPr>
        <w:spacing w:line="360" w:lineRule="auto"/>
        <w:jc w:val="left"/>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Til nr. 1</w:t>
      </w:r>
    </w:p>
    <w:p w14:paraId="71AD9269"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 29, stk. 1, i lov om spil, at tilladelse til udbud og arrangering af spil kun kan gives til ansøgere, der må antages at kunne udøve virksomhed med spil på økonomisk og faglig forsvarlig vis.</w:t>
      </w:r>
    </w:p>
    <w:p w14:paraId="2AD6CC91" w14:textId="77777777" w:rsidR="001D0EAC" w:rsidRPr="00796736" w:rsidRDefault="001D0EAC" w:rsidP="00A802A5">
      <w:pPr>
        <w:spacing w:line="360" w:lineRule="auto"/>
        <w:rPr>
          <w:rFonts w:ascii="Times New Roman" w:eastAsia="Times New Roman" w:hAnsi="Times New Roman" w:cs="Times New Roman"/>
          <w:sz w:val="24"/>
          <w:szCs w:val="24"/>
        </w:rPr>
      </w:pPr>
    </w:p>
    <w:p w14:paraId="39DDB140" w14:textId="77777777"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 29, stk. 1,</w:t>
      </w:r>
      <w:r w:rsidRPr="00796736">
        <w:rPr>
          <w:rFonts w:ascii="Times New Roman" w:eastAsia="Times New Roman" w:hAnsi="Times New Roman" w:cs="Times New Roman"/>
          <w:sz w:val="24"/>
          <w:szCs w:val="24"/>
        </w:rPr>
        <w:t xml:space="preserve"> i lov om spil at ændre </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rPr>
        <w:t>der</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rPr>
        <w:t xml:space="preserve"> til </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rPr>
        <w:t>som</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rPr>
        <w:t>.</w:t>
      </w:r>
    </w:p>
    <w:p w14:paraId="0327126C" w14:textId="77777777" w:rsidR="001D0EAC" w:rsidRPr="00796736" w:rsidRDefault="001D0EAC" w:rsidP="00A802A5">
      <w:pPr>
        <w:spacing w:line="360" w:lineRule="auto"/>
        <w:rPr>
          <w:rFonts w:ascii="Times New Roman" w:eastAsia="Times New Roman" w:hAnsi="Times New Roman" w:cs="Times New Roman"/>
          <w:sz w:val="24"/>
          <w:szCs w:val="24"/>
        </w:rPr>
      </w:pPr>
    </w:p>
    <w:p w14:paraId="0CFA77F4" w14:textId="575AAC86"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er tale om en sproglig ændring af § 29, stk. 1, i lov om spil, som alene har </w:t>
      </w:r>
      <w:r w:rsidR="00BA6BA9" w:rsidRPr="00796736">
        <w:rPr>
          <w:rFonts w:ascii="Times New Roman" w:eastAsia="Times New Roman" w:hAnsi="Times New Roman" w:cs="Times New Roman"/>
          <w:sz w:val="24"/>
          <w:szCs w:val="24"/>
        </w:rPr>
        <w:t>til formål at give mulighed for i bemærkningerne at angive, at ansøgere, som er forpligtede enheder og dermed omfattet af reglerne i hvidvaskforordningen, den foreslåede lov og øvrig relevant underliggende lovgivning udover at opfylde kravene i lov om spil, også er underlagt krav i hvidvasklovgivningen, som vil skulle opfyldes, førend der kan udstedes en tilladelse. I vurderingen af, om ansøgere, der er forpligtede enheder, kan udøve virksomhed med spil på faglig forsvarlig vis, vil således også indgå en vurdering af ansøgerens evne til at bekæmpe og forebygge hvidvask og terrorfinansiering, selv om kravene hertil er hjemlet i hvidvasklovgivningen. Det vil være en forudsætning for at opretholde en tilladelse, at kravene opretholdes i hele tilladelsesperioden.</w:t>
      </w:r>
    </w:p>
    <w:p w14:paraId="7FD88064" w14:textId="77777777" w:rsidR="001D0EAC" w:rsidRPr="00796736" w:rsidRDefault="001D0EAC" w:rsidP="00A802A5">
      <w:pPr>
        <w:spacing w:line="360" w:lineRule="auto"/>
        <w:rPr>
          <w:rFonts w:ascii="Times New Roman" w:eastAsia="Times New Roman" w:hAnsi="Times New Roman" w:cs="Times New Roman"/>
          <w:sz w:val="24"/>
          <w:szCs w:val="24"/>
        </w:rPr>
      </w:pPr>
    </w:p>
    <w:p w14:paraId="349D906B" w14:textId="06A71998"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er ikke tilsigtet ændringer i formålet med eller forståelsen af bestemmelsen i øvrigt, og der henvises således til bemærkningerne til § 29 i forslag til lov om spil, jf. Folketingstidende 2009-10, tillæg A, L 202 som fremsat, side 54 og 55. </w:t>
      </w:r>
    </w:p>
    <w:p w14:paraId="502AA601" w14:textId="77777777" w:rsidR="001D0EAC" w:rsidRPr="00796736" w:rsidRDefault="001D0EAC" w:rsidP="00A802A5">
      <w:pPr>
        <w:spacing w:line="360" w:lineRule="auto"/>
        <w:jc w:val="left"/>
        <w:rPr>
          <w:rFonts w:ascii="Times New Roman" w:eastAsia="Times New Roman" w:hAnsi="Times New Roman" w:cs="Times New Roman"/>
          <w:sz w:val="24"/>
          <w:szCs w:val="24"/>
        </w:rPr>
      </w:pPr>
    </w:p>
    <w:p w14:paraId="0F2F55A0" w14:textId="77777777" w:rsidR="001D0EAC" w:rsidRPr="00796736" w:rsidRDefault="001D0EAC" w:rsidP="00A802A5">
      <w:pPr>
        <w:spacing w:line="360" w:lineRule="auto"/>
        <w:jc w:val="left"/>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Til nr. 2</w:t>
      </w:r>
    </w:p>
    <w:p w14:paraId="25F485C3"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 29, stk. 2, i lov om spil, at tilladelse ikke kan gives, hvis ansøgeren, reelle ejere, medlemmer af direktion eller bestyrelse eller andre, der kan øve en bestemmende indflydelse på virksomhedens drift, har udvist en sådan adfærd, at der er grund til at antage, at virksomheden ikke vil blive drevet på forsvarlig måde.</w:t>
      </w:r>
    </w:p>
    <w:p w14:paraId="30BC4AE1" w14:textId="77777777" w:rsidR="001D0EAC" w:rsidRPr="00796736" w:rsidRDefault="001D0EAC" w:rsidP="00A802A5">
      <w:pPr>
        <w:spacing w:line="360" w:lineRule="auto"/>
        <w:rPr>
          <w:rFonts w:ascii="Times New Roman" w:eastAsia="Times New Roman" w:hAnsi="Times New Roman" w:cs="Times New Roman"/>
          <w:sz w:val="24"/>
          <w:szCs w:val="24"/>
        </w:rPr>
      </w:pPr>
    </w:p>
    <w:p w14:paraId="76AE40B3" w14:textId="77777777"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 29, stk. 2,</w:t>
      </w:r>
      <w:r w:rsidRPr="00796736">
        <w:rPr>
          <w:rFonts w:ascii="Times New Roman" w:eastAsia="Times New Roman" w:hAnsi="Times New Roman" w:cs="Times New Roman"/>
          <w:sz w:val="24"/>
          <w:szCs w:val="24"/>
        </w:rPr>
        <w:t xml:space="preserve"> i lov om spil at ændre </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rPr>
        <w:t>der kan</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rPr>
        <w:t xml:space="preserve"> til </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rPr>
        <w:t>som kan</w:t>
      </w:r>
      <w:r w:rsidRPr="00796736">
        <w:rPr>
          <w:rFonts w:ascii="Times New Roman" w:eastAsia="Times New Roman" w:hAnsi="Times New Roman" w:cs="Times New Roman"/>
          <w:sz w:val="24"/>
          <w:szCs w:val="24"/>
          <w:lang w:eastAsia="da-DK"/>
        </w:rPr>
        <w:t>«</w:t>
      </w:r>
      <w:r w:rsidRPr="00796736">
        <w:rPr>
          <w:rFonts w:ascii="Times New Roman" w:eastAsia="Times New Roman" w:hAnsi="Times New Roman" w:cs="Times New Roman"/>
          <w:sz w:val="24"/>
          <w:szCs w:val="24"/>
        </w:rPr>
        <w:t>.</w:t>
      </w:r>
    </w:p>
    <w:p w14:paraId="5F1D5CAE" w14:textId="77777777" w:rsidR="001D0EAC" w:rsidRPr="00796736" w:rsidRDefault="001D0EAC" w:rsidP="00A802A5">
      <w:pPr>
        <w:spacing w:line="360" w:lineRule="auto"/>
        <w:rPr>
          <w:rFonts w:ascii="Times New Roman" w:eastAsia="Times New Roman" w:hAnsi="Times New Roman" w:cs="Times New Roman"/>
          <w:sz w:val="24"/>
          <w:szCs w:val="24"/>
        </w:rPr>
      </w:pPr>
    </w:p>
    <w:p w14:paraId="1D4CA245" w14:textId="77777777"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er tale om en sproglig ændring af § 29, stk. 2, i lov om spil, som alene har til formål at give mulighed for i bemærkningerne at præcisere, hvad bestemmelsen vedrører, herunder at en hæderligheds- og egnethedsvurdering i forhold til forebyggelse og bekæmpelse af hvidvask og terrorfinansiering vil blive foretaget særskilt med hjemmel i den foreslåede lov, men at der vil være et vist overlap til den hæderligheds- og egnethedsvurdering, der foretages i medfør af § 29, stk. 2, i lov om spil. </w:t>
      </w:r>
    </w:p>
    <w:p w14:paraId="41063A9D" w14:textId="77777777" w:rsidR="001D0EAC" w:rsidRPr="00796736" w:rsidRDefault="001D0EAC" w:rsidP="00A802A5">
      <w:pPr>
        <w:spacing w:line="360" w:lineRule="auto"/>
        <w:rPr>
          <w:rFonts w:ascii="Times New Roman" w:eastAsia="Times New Roman" w:hAnsi="Times New Roman" w:cs="Times New Roman"/>
          <w:sz w:val="24"/>
          <w:szCs w:val="24"/>
        </w:rPr>
      </w:pPr>
    </w:p>
    <w:p w14:paraId="0708BEF5" w14:textId="77777777" w:rsidR="00BA6BA9"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I de almindelige bemærkninger pkt. 2.5.2 i forslag til lov om ændring af lov om spil, jf. Folketingstidende 2023-2024, tillæg A, L 100 som fremsat, side 15, er det tilkendegivet, at lovforslaget implementerer Financial Action Task Force’s (FATF) tekniske anbefaling nr. 28.1.b. om reelle ejere. </w:t>
      </w:r>
    </w:p>
    <w:p w14:paraId="40EDEA3D" w14:textId="77777777" w:rsidR="00BA6BA9" w:rsidRPr="00796736" w:rsidRDefault="00BA6BA9" w:rsidP="00A802A5">
      <w:pPr>
        <w:spacing w:line="360" w:lineRule="auto"/>
        <w:rPr>
          <w:rFonts w:ascii="Times New Roman" w:eastAsia="Times New Roman" w:hAnsi="Times New Roman" w:cs="Times New Roman"/>
          <w:sz w:val="24"/>
          <w:szCs w:val="24"/>
        </w:rPr>
      </w:pPr>
    </w:p>
    <w:p w14:paraId="2703830F" w14:textId="2730FD0D"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Denne implementering ses fortsat at være væsentlig for lov om spil, da FATF foretager en holistisk gennemgang af Kongeriget Danmarks værn mod hvidvask af penge og terrorfinansiering. Det anses for at være nødvendigt, at implementeringen både har sit afsæt i lov om spil og i hvidvaskloven, og derfor findes det således også fortsat relevant, at reelle ejere er særskilt nævnt som personer, der er genstand for en vurdering efter lov om spil og kravene til ansøgere, lige så vel som reelle ejere er genstand for en vurdering efter de</w:t>
      </w:r>
      <w:r w:rsidR="00BA6BA9" w:rsidRPr="00796736">
        <w:rPr>
          <w:rFonts w:ascii="Times New Roman" w:eastAsia="Times New Roman" w:hAnsi="Times New Roman" w:cs="Times New Roman"/>
          <w:sz w:val="24"/>
          <w:szCs w:val="24"/>
        </w:rPr>
        <w:t>t</w:t>
      </w:r>
      <w:r w:rsidRPr="00796736">
        <w:rPr>
          <w:rFonts w:ascii="Times New Roman" w:eastAsia="Times New Roman" w:hAnsi="Times New Roman" w:cs="Times New Roman"/>
          <w:sz w:val="24"/>
          <w:szCs w:val="24"/>
        </w:rPr>
        <w:t xml:space="preserve"> foreslåede 109, stk. 2, i relation til forebyggelse og bekæmpelse af hvidvask og terrorfinansiering.</w:t>
      </w:r>
    </w:p>
    <w:p w14:paraId="4CC7B11D" w14:textId="77777777" w:rsidR="001D0EAC" w:rsidRPr="00796736" w:rsidRDefault="001D0EAC" w:rsidP="00A802A5">
      <w:pPr>
        <w:spacing w:line="360" w:lineRule="auto"/>
        <w:rPr>
          <w:rFonts w:ascii="Times New Roman" w:eastAsia="Times New Roman" w:hAnsi="Times New Roman" w:cs="Times New Roman"/>
          <w:sz w:val="24"/>
          <w:szCs w:val="24"/>
        </w:rPr>
      </w:pPr>
    </w:p>
    <w:p w14:paraId="23E27722"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Artikel 2, stk. 1, nr. 28, i Europa-Parlamentets og Rådets forordning (EU) 2024/1624 (hvidvaskforordningen) indeholder en definition af, hvad der forstås ved en reel ejer. Forordningens definition erstatter således den definition af reelle ejere, der er nævnt i bemærkningerne til § 1, nr. 14, i forslag til lov om ændring af lov om spil, jf. Folketingstidende 2023-2024, tillæg A, L 100 som fremsat, side 37 og 38.</w:t>
      </w:r>
    </w:p>
    <w:p w14:paraId="420125C6" w14:textId="77777777" w:rsidR="001D0EAC" w:rsidRPr="00796736" w:rsidRDefault="001D0EAC" w:rsidP="00A802A5">
      <w:pPr>
        <w:spacing w:line="360" w:lineRule="auto"/>
        <w:rPr>
          <w:rFonts w:ascii="Times New Roman" w:eastAsia="Times New Roman" w:hAnsi="Times New Roman" w:cs="Times New Roman"/>
          <w:sz w:val="24"/>
          <w:szCs w:val="24"/>
        </w:rPr>
      </w:pPr>
    </w:p>
    <w:p w14:paraId="11F494D0" w14:textId="6904A4D8"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er ikke tilsigtet ændringer i formålet med eller forståelsen af bestemmelsen i øvrigt, og der henvises således til bemærkningerne til § 29 i forslag til lov om spil, jf. Folketingstidende 2009-10, tillæg A, L 202 som fremsat, side 54 og 55 og bemærkningerne til § 1, nr. 14, i forslag til lov om ændring af lov om spil, jf. Folketingstidende 2023-2024, tillæg A, L 100 som fremsat, side 37 og 38.</w:t>
      </w:r>
    </w:p>
    <w:p w14:paraId="4994DD84" w14:textId="77777777" w:rsidR="00FF60F5" w:rsidRPr="00796736" w:rsidRDefault="00FF60F5" w:rsidP="00A802A5">
      <w:pPr>
        <w:spacing w:line="360" w:lineRule="auto"/>
        <w:jc w:val="left"/>
        <w:rPr>
          <w:rFonts w:ascii="Times New Roman" w:eastAsia="Times New Roman" w:hAnsi="Times New Roman" w:cs="Times New Roman"/>
          <w:sz w:val="24"/>
          <w:szCs w:val="24"/>
        </w:rPr>
      </w:pPr>
    </w:p>
    <w:p w14:paraId="26FAEE37" w14:textId="77777777" w:rsidR="001D0EAC" w:rsidRPr="00796736" w:rsidRDefault="001D0EAC" w:rsidP="00A802A5">
      <w:pPr>
        <w:spacing w:line="360" w:lineRule="auto"/>
        <w:jc w:val="left"/>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Til nr. 3</w:t>
      </w:r>
    </w:p>
    <w:p w14:paraId="7040D640" w14:textId="77777777" w:rsidR="00BA6BA9" w:rsidRPr="00796736" w:rsidRDefault="00BA6BA9" w:rsidP="00A802A5">
      <w:pPr>
        <w:spacing w:line="360" w:lineRule="auto"/>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 44, stk. 1, nr. 9, i lov om spil, at Spillemyndigheden kan tilbagekalde en tilladelse til udbud af spil, hvis tilladelsesindehaveren eller dennes repræsentant ikke har anmeldt virksomheden til registrering hos Skatteforvaltningen, senest 4 uger efter at tilladelse er givet, jf. lov om afgifter af spil. </w:t>
      </w:r>
    </w:p>
    <w:p w14:paraId="026851A3" w14:textId="77777777" w:rsidR="00BA6BA9" w:rsidRPr="00796736" w:rsidRDefault="00BA6BA9" w:rsidP="00A802A5">
      <w:pPr>
        <w:spacing w:line="360" w:lineRule="auto"/>
        <w:jc w:val="left"/>
        <w:rPr>
          <w:rFonts w:ascii="Times New Roman" w:eastAsia="Times New Roman" w:hAnsi="Times New Roman" w:cs="Times New Roman"/>
          <w:sz w:val="24"/>
          <w:szCs w:val="24"/>
        </w:rPr>
      </w:pPr>
    </w:p>
    <w:p w14:paraId="77107B68" w14:textId="77777777" w:rsidR="00BA6BA9" w:rsidRPr="00796736" w:rsidRDefault="00BA6BA9" w:rsidP="00A802A5">
      <w:pPr>
        <w:spacing w:line="360" w:lineRule="auto"/>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sz w:val="24"/>
          <w:szCs w:val="24"/>
        </w:rPr>
        <w:t>§ 44, stk. 1, nr. 9,</w:t>
      </w:r>
      <w:r w:rsidRPr="00796736">
        <w:rPr>
          <w:rFonts w:ascii="Times New Roman" w:eastAsia="Times New Roman" w:hAnsi="Times New Roman" w:cs="Times New Roman"/>
          <w:sz w:val="24"/>
          <w:szCs w:val="24"/>
        </w:rPr>
        <w:t xml:space="preserve"> i lov om spil, at »spil, eller« ændres til »spil,«. </w:t>
      </w:r>
    </w:p>
    <w:p w14:paraId="4E5B3088" w14:textId="77777777" w:rsidR="00BA6BA9" w:rsidRPr="00796736" w:rsidRDefault="00BA6BA9" w:rsidP="00A802A5">
      <w:pPr>
        <w:spacing w:line="360" w:lineRule="auto"/>
        <w:jc w:val="left"/>
        <w:rPr>
          <w:rFonts w:ascii="Times New Roman" w:eastAsia="Times New Roman" w:hAnsi="Times New Roman" w:cs="Times New Roman"/>
          <w:sz w:val="24"/>
          <w:szCs w:val="24"/>
        </w:rPr>
      </w:pPr>
    </w:p>
    <w:p w14:paraId="11BA2604" w14:textId="5D727372" w:rsidR="001D0EAC" w:rsidRPr="00796736" w:rsidRDefault="00BA6BA9" w:rsidP="00A802A5">
      <w:pPr>
        <w:spacing w:line="360" w:lineRule="auto"/>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ændring er en konsekvensændring som følge af, at det foreslås at indsætte et nr. 11 i § 44, stk. 1, jf. lovforslagets </w:t>
      </w:r>
      <w:r w:rsidR="001D0EAC" w:rsidRPr="00796736">
        <w:rPr>
          <w:rFonts w:ascii="Times New Roman" w:eastAsia="Calibri" w:hAnsi="Times New Roman" w:cs="Times New Roman"/>
          <w:sz w:val="24"/>
          <w:szCs w:val="24"/>
        </w:rPr>
        <w:fldChar w:fldCharType="begin"/>
      </w:r>
      <w:r w:rsidR="001D0EAC" w:rsidRPr="00796736">
        <w:rPr>
          <w:rFonts w:ascii="Times New Roman" w:eastAsia="Calibri" w:hAnsi="Times New Roman" w:cs="Times New Roman"/>
          <w:sz w:val="24"/>
          <w:szCs w:val="24"/>
        </w:rPr>
        <w:instrText xml:space="preserve"> REF _Ref233637850 \r \h  \* MERGEFORMAT </w:instrText>
      </w:r>
      <w:r w:rsidR="001D0EAC" w:rsidRPr="00796736">
        <w:rPr>
          <w:rFonts w:ascii="Times New Roman" w:eastAsia="Calibri" w:hAnsi="Times New Roman" w:cs="Times New Roman"/>
          <w:sz w:val="24"/>
          <w:szCs w:val="24"/>
        </w:rPr>
      </w:r>
      <w:r w:rsidR="001D0EAC"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154</w:t>
      </w:r>
      <w:r w:rsidR="001D0EAC" w:rsidRPr="00796736">
        <w:rPr>
          <w:rFonts w:ascii="Times New Roman" w:eastAsia="Calibri" w:hAnsi="Times New Roman" w:cs="Times New Roman"/>
          <w:sz w:val="24"/>
          <w:szCs w:val="24"/>
        </w:rPr>
        <w:fldChar w:fldCharType="end"/>
      </w:r>
      <w:r w:rsidR="001D0EAC" w:rsidRPr="00796736">
        <w:rPr>
          <w:rFonts w:ascii="Times New Roman" w:eastAsia="Times New Roman" w:hAnsi="Times New Roman" w:cs="Times New Roman"/>
          <w:sz w:val="24"/>
          <w:szCs w:val="24"/>
        </w:rPr>
        <w:t>, nr. 5.</w:t>
      </w:r>
    </w:p>
    <w:p w14:paraId="2D512F50" w14:textId="77777777" w:rsidR="001D0EAC" w:rsidRPr="00796736" w:rsidRDefault="001D0EAC" w:rsidP="00A802A5">
      <w:pPr>
        <w:spacing w:line="360" w:lineRule="auto"/>
        <w:jc w:val="left"/>
        <w:rPr>
          <w:rFonts w:ascii="Times New Roman" w:eastAsia="Times New Roman" w:hAnsi="Times New Roman" w:cs="Times New Roman"/>
          <w:sz w:val="24"/>
          <w:szCs w:val="24"/>
        </w:rPr>
      </w:pPr>
    </w:p>
    <w:p w14:paraId="1E90CAF5" w14:textId="77777777" w:rsidR="001D0EAC" w:rsidRPr="00796736" w:rsidRDefault="001D0EAC" w:rsidP="00A802A5">
      <w:pPr>
        <w:spacing w:line="360" w:lineRule="auto"/>
        <w:jc w:val="left"/>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Til nr. 4</w:t>
      </w:r>
    </w:p>
    <w:p w14:paraId="43303484" w14:textId="77777777" w:rsidR="00BA6BA9" w:rsidRPr="00796736" w:rsidRDefault="00BA6BA9" w:rsidP="00A802A5">
      <w:pPr>
        <w:spacing w:line="360" w:lineRule="auto"/>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følger af § 44, stk. 1, nr. 10, i lov om spil, at Spillemyndigheden kan tilbagekalde en tilladelse til udbud af spil, hvis tilladelsesindehaveren eller dennes repræsentant ikke efterkommer afgørelser efter § 49 a. </w:t>
      </w:r>
    </w:p>
    <w:p w14:paraId="2B5B8618" w14:textId="77777777" w:rsidR="00BA6BA9" w:rsidRPr="00796736" w:rsidRDefault="00BA6BA9" w:rsidP="00A802A5">
      <w:pPr>
        <w:spacing w:line="360" w:lineRule="auto"/>
        <w:jc w:val="left"/>
        <w:rPr>
          <w:rFonts w:ascii="Times New Roman" w:eastAsia="Times New Roman" w:hAnsi="Times New Roman" w:cs="Times New Roman"/>
          <w:sz w:val="24"/>
          <w:szCs w:val="24"/>
        </w:rPr>
      </w:pPr>
    </w:p>
    <w:p w14:paraId="09A3C1F9" w14:textId="74BFB800" w:rsidR="001D0EAC" w:rsidRPr="00796736" w:rsidRDefault="00BA6BA9" w:rsidP="00A802A5">
      <w:pPr>
        <w:spacing w:line="360" w:lineRule="auto"/>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sz w:val="24"/>
          <w:szCs w:val="24"/>
        </w:rPr>
        <w:t xml:space="preserve">§ 44, stk. 1, nr. </w:t>
      </w:r>
      <w:r w:rsidRPr="00796736">
        <w:rPr>
          <w:rFonts w:ascii="Times New Roman" w:eastAsia="Times New Roman" w:hAnsi="Times New Roman" w:cs="Times New Roman"/>
          <w:i/>
          <w:iCs/>
          <w:sz w:val="24"/>
          <w:szCs w:val="24"/>
        </w:rPr>
        <w:t>10,</w:t>
      </w:r>
      <w:r w:rsidRPr="00796736">
        <w:rPr>
          <w:rFonts w:ascii="Times New Roman" w:eastAsia="Times New Roman" w:hAnsi="Times New Roman" w:cs="Times New Roman"/>
          <w:sz w:val="24"/>
          <w:szCs w:val="24"/>
        </w:rPr>
        <w:t xml:space="preserve"> i lov om spil, at »§ 49 a.« ændres til »§ 49 a, eller«. </w:t>
      </w:r>
    </w:p>
    <w:p w14:paraId="49C1115D" w14:textId="77777777" w:rsidR="00BA6BA9" w:rsidRPr="00796736" w:rsidRDefault="00BA6BA9" w:rsidP="00A802A5">
      <w:pPr>
        <w:spacing w:line="360" w:lineRule="auto"/>
        <w:jc w:val="left"/>
        <w:rPr>
          <w:rFonts w:ascii="Times New Roman" w:eastAsia="Times New Roman" w:hAnsi="Times New Roman" w:cs="Times New Roman"/>
          <w:sz w:val="24"/>
          <w:szCs w:val="24"/>
        </w:rPr>
      </w:pPr>
    </w:p>
    <w:p w14:paraId="6A551372" w14:textId="13B79052" w:rsidR="001D0EAC" w:rsidRPr="00796736" w:rsidRDefault="001D0EAC" w:rsidP="00A802A5">
      <w:pPr>
        <w:spacing w:line="360" w:lineRule="auto"/>
        <w:jc w:val="left"/>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Den foreslåede ændring er en konsekvensændring som følge af, at det foreslås at indsætte et nr. 11 i § 44, stk. 1, jf. lovforslagets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_Ref233637850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154</w:t>
      </w:r>
      <w:r w:rsidRPr="00796736">
        <w:rPr>
          <w:rFonts w:ascii="Times New Roman" w:eastAsia="Calibri" w:hAnsi="Times New Roman" w:cs="Times New Roman"/>
          <w:sz w:val="24"/>
          <w:szCs w:val="24"/>
        </w:rPr>
        <w:fldChar w:fldCharType="end"/>
      </w:r>
      <w:r w:rsidRPr="00796736">
        <w:rPr>
          <w:rFonts w:ascii="Times New Roman" w:eastAsia="Times New Roman" w:hAnsi="Times New Roman" w:cs="Times New Roman"/>
          <w:sz w:val="24"/>
          <w:szCs w:val="24"/>
        </w:rPr>
        <w:t>, nr. 5.</w:t>
      </w:r>
    </w:p>
    <w:p w14:paraId="5CD7D9C6" w14:textId="77777777" w:rsidR="001D0EAC" w:rsidRPr="00796736" w:rsidRDefault="001D0EAC" w:rsidP="00A802A5">
      <w:pPr>
        <w:spacing w:line="360" w:lineRule="auto"/>
        <w:jc w:val="left"/>
        <w:rPr>
          <w:rFonts w:ascii="Times New Roman" w:eastAsia="Times New Roman" w:hAnsi="Times New Roman" w:cs="Times New Roman"/>
          <w:sz w:val="24"/>
          <w:szCs w:val="24"/>
        </w:rPr>
      </w:pPr>
    </w:p>
    <w:p w14:paraId="5FCA6735" w14:textId="77777777" w:rsidR="001D0EAC" w:rsidRPr="00796736" w:rsidRDefault="001D0EAC" w:rsidP="00A802A5">
      <w:pPr>
        <w:spacing w:line="360" w:lineRule="auto"/>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Til nr. 5</w:t>
      </w:r>
    </w:p>
    <w:p w14:paraId="72E633C4"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 44, stk. 1, i lov om spil, at Spillemyndigheden kan tilbagekalde en tilladelse til udbud af spil, hvis tilladelsesindehaveren eller dennes repræsentant</w:t>
      </w:r>
    </w:p>
    <w:p w14:paraId="045CEC67"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 groft eller gentagne gange har overtrådt denne lov, bestemmelser fastsat i henhold til denne lov eller vilkår for tilladelsen,</w:t>
      </w:r>
    </w:p>
    <w:p w14:paraId="7BE5EB2E"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2) er dømt for et strafbart forhold, der begrunder nærliggende fare for misbrug af adgangen til at arbejde med spil,</w:t>
      </w:r>
    </w:p>
    <w:p w14:paraId="3E7C33A7"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3) ikke længere opfylder betingelsen i § 29,</w:t>
      </w:r>
    </w:p>
    <w:p w14:paraId="3DD675E5"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4) groft eller gentagne gange ikke angiver afgifter efter lov om afgifter af spil, jf. §§ 21-25,</w:t>
      </w:r>
    </w:p>
    <w:p w14:paraId="67759F11"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5) ikke betaler forfaldne gebyrer efter § 42 g,</w:t>
      </w:r>
    </w:p>
    <w:p w14:paraId="266436F4"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6) groft eller gentagne gange ikke betaler forfaldne afgifter eller ikke stiller sikkerhed, jf. lov om afgifter af spil og lov om opkrævning af skatter og afgifter m.v.,</w:t>
      </w:r>
    </w:p>
    <w:p w14:paraId="6D9CF811"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7) ikke betaler forfaldne gebyrer efter regler fastsat i medfør af §§ 42-42 b og 42 d,</w:t>
      </w:r>
    </w:p>
    <w:p w14:paraId="39E5A4AE"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8) har forfalden gæld til det offentlige, der overstiger 100.000 kr.,</w:t>
      </w:r>
    </w:p>
    <w:p w14:paraId="39EB6E78" w14:textId="2FF7965A"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9) ikke har anmeldt virksomheden til registrering hos </w:t>
      </w:r>
      <w:r w:rsidR="00BA6BA9" w:rsidRPr="00796736">
        <w:rPr>
          <w:rFonts w:ascii="Times New Roman" w:eastAsia="Times New Roman" w:hAnsi="Times New Roman" w:cs="Times New Roman"/>
          <w:sz w:val="24"/>
          <w:szCs w:val="24"/>
        </w:rPr>
        <w:t>S</w:t>
      </w:r>
      <w:r w:rsidRPr="00796736">
        <w:rPr>
          <w:rFonts w:ascii="Times New Roman" w:eastAsia="Times New Roman" w:hAnsi="Times New Roman" w:cs="Times New Roman"/>
          <w:sz w:val="24"/>
          <w:szCs w:val="24"/>
        </w:rPr>
        <w:t>katteforvaltningen, senest 4 uger efter at tilladelse er givet, jf. lov om afgifter af spil, eller</w:t>
      </w:r>
    </w:p>
    <w:p w14:paraId="17F9C178"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10) ikke efterkommer afgørelser efter § 49 a.</w:t>
      </w:r>
    </w:p>
    <w:p w14:paraId="637FE432" w14:textId="77777777" w:rsidR="001D0EAC" w:rsidRPr="00796736" w:rsidRDefault="001D0EAC" w:rsidP="00A802A5">
      <w:pPr>
        <w:spacing w:line="360" w:lineRule="auto"/>
        <w:rPr>
          <w:rFonts w:ascii="Times New Roman" w:eastAsia="Times New Roman" w:hAnsi="Times New Roman" w:cs="Times New Roman"/>
          <w:sz w:val="24"/>
          <w:szCs w:val="24"/>
        </w:rPr>
      </w:pPr>
    </w:p>
    <w:p w14:paraId="4F9226E3" w14:textId="1A6C9FE4"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at der i § 44, stk. 1, i lov om spil indsættes som </w:t>
      </w:r>
      <w:r w:rsidRPr="00796736">
        <w:rPr>
          <w:rFonts w:ascii="Times New Roman" w:eastAsia="Times New Roman" w:hAnsi="Times New Roman" w:cs="Times New Roman"/>
          <w:i/>
          <w:iCs/>
          <w:sz w:val="24"/>
          <w:szCs w:val="24"/>
        </w:rPr>
        <w:t xml:space="preserve">nr. 11 </w:t>
      </w:r>
      <w:r w:rsidRPr="00796736">
        <w:rPr>
          <w:rFonts w:ascii="Times New Roman" w:eastAsia="Times New Roman" w:hAnsi="Times New Roman" w:cs="Times New Roman"/>
          <w:sz w:val="24"/>
          <w:szCs w:val="24"/>
        </w:rPr>
        <w:t>»11) alvorligt, systematisk eller gentagne gange</w:t>
      </w:r>
      <w:r w:rsidRPr="00796736">
        <w:rPr>
          <w:rFonts w:ascii="Times New Roman" w:eastAsia="Times New Roman" w:hAnsi="Times New Roman" w:cs="Times New Roman"/>
          <w:i/>
          <w:iCs/>
          <w:sz w:val="24"/>
          <w:szCs w:val="24"/>
        </w:rPr>
        <w:t xml:space="preserve"> </w:t>
      </w:r>
      <w:r w:rsidRPr="00796736">
        <w:rPr>
          <w:rFonts w:ascii="Times New Roman" w:eastAsia="Times New Roman" w:hAnsi="Times New Roman" w:cs="Times New Roman"/>
          <w:sz w:val="24"/>
          <w:szCs w:val="24"/>
        </w:rPr>
        <w:t>har overtrådt Europa-Parlamentets og Rådets forordning (EU) 2024/1624 (hvidvaskforordningen).«</w:t>
      </w:r>
    </w:p>
    <w:p w14:paraId="34EAAACE" w14:textId="77777777" w:rsidR="00BA6BA9" w:rsidRPr="00796736" w:rsidRDefault="00BA6BA9" w:rsidP="00A802A5">
      <w:pPr>
        <w:spacing w:line="360" w:lineRule="auto"/>
        <w:rPr>
          <w:rFonts w:ascii="Times New Roman" w:eastAsia="Times New Roman" w:hAnsi="Times New Roman" w:cs="Times New Roman"/>
          <w:sz w:val="24"/>
          <w:szCs w:val="24"/>
        </w:rPr>
      </w:pPr>
    </w:p>
    <w:p w14:paraId="29A78099" w14:textId="77777777"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vil medføre, at en tilladelse også kan tilbagekaldes, hvis tilladelsesindehaveren eller dennes repræsentant alvorligt, systematisk eller gentagne gange</w:t>
      </w:r>
      <w:r w:rsidRPr="00796736">
        <w:rPr>
          <w:rFonts w:ascii="Times New Roman" w:eastAsia="Times New Roman" w:hAnsi="Times New Roman" w:cs="Times New Roman"/>
          <w:i/>
          <w:iCs/>
          <w:sz w:val="24"/>
          <w:szCs w:val="24"/>
        </w:rPr>
        <w:t xml:space="preserve"> </w:t>
      </w:r>
      <w:r w:rsidRPr="00796736">
        <w:rPr>
          <w:rFonts w:ascii="Times New Roman" w:eastAsia="Times New Roman" w:hAnsi="Times New Roman" w:cs="Times New Roman"/>
          <w:sz w:val="24"/>
          <w:szCs w:val="24"/>
        </w:rPr>
        <w:t>har overtrådt Europa-Parlamentets og Rådets forordning (EU) 2024/1624 (hvidvaskforordningen).</w:t>
      </w:r>
    </w:p>
    <w:p w14:paraId="1ED441CD" w14:textId="19FD264E" w:rsidR="001D0EAC" w:rsidRPr="00796736" w:rsidRDefault="001D0EAC" w:rsidP="00A802A5">
      <w:pPr>
        <w:spacing w:line="360" w:lineRule="auto"/>
        <w:rPr>
          <w:rFonts w:ascii="Times New Roman" w:eastAsia="Times New Roman" w:hAnsi="Times New Roman" w:cs="Times New Roman"/>
          <w:sz w:val="24"/>
          <w:szCs w:val="24"/>
        </w:rPr>
      </w:pPr>
    </w:p>
    <w:p w14:paraId="4FED293E"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Forslaget er en følge af, at artikel 56, stk. 2, litra f, i 6. hvidvaskdirektiv implementeres i lov om spil.</w:t>
      </w:r>
    </w:p>
    <w:p w14:paraId="58540C35" w14:textId="77777777" w:rsidR="001D0EAC" w:rsidRPr="00796736" w:rsidRDefault="001D0EAC" w:rsidP="00A802A5">
      <w:pPr>
        <w:spacing w:line="360" w:lineRule="auto"/>
        <w:rPr>
          <w:rFonts w:ascii="Times New Roman" w:eastAsia="Times New Roman" w:hAnsi="Times New Roman" w:cs="Times New Roman"/>
          <w:sz w:val="24"/>
          <w:szCs w:val="24"/>
        </w:rPr>
      </w:pPr>
    </w:p>
    <w:p w14:paraId="1200F095" w14:textId="77777777"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foreslås således, at det særskilt skal fremgå af § 44, stk. 1, at der kan ske tilbagekaldelse af en tilladelse til udbud af spil, hvis tilladelsesindehaver eller dennes repræsentant alvorligt, systematisk eller gentagne gange</w:t>
      </w:r>
      <w:r w:rsidRPr="00796736">
        <w:rPr>
          <w:rFonts w:ascii="Times New Roman" w:eastAsia="Times New Roman" w:hAnsi="Times New Roman" w:cs="Times New Roman"/>
          <w:i/>
          <w:iCs/>
          <w:sz w:val="24"/>
          <w:szCs w:val="24"/>
        </w:rPr>
        <w:t xml:space="preserve"> </w:t>
      </w:r>
      <w:r w:rsidRPr="00796736">
        <w:rPr>
          <w:rFonts w:ascii="Times New Roman" w:eastAsia="Times New Roman" w:hAnsi="Times New Roman" w:cs="Times New Roman"/>
          <w:sz w:val="24"/>
          <w:szCs w:val="24"/>
        </w:rPr>
        <w:t>overtræder Europa-Parlamentets og Rådets forordning (EU) 2024/1624 (hvidvaskforordningen).</w:t>
      </w:r>
    </w:p>
    <w:p w14:paraId="669047BD" w14:textId="77777777" w:rsidR="001D0EAC" w:rsidRPr="00796736" w:rsidRDefault="001D0EAC" w:rsidP="00A802A5">
      <w:pPr>
        <w:spacing w:line="360" w:lineRule="auto"/>
        <w:rPr>
          <w:rFonts w:ascii="Times New Roman" w:eastAsia="Times New Roman" w:hAnsi="Times New Roman" w:cs="Times New Roman"/>
          <w:sz w:val="24"/>
          <w:szCs w:val="24"/>
        </w:rPr>
      </w:pPr>
    </w:p>
    <w:p w14:paraId="481CFA1F"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er ikke tilsigtet ændringer i formålet med eller forståelsen af bestemmelsen i øvrigt.</w:t>
      </w:r>
    </w:p>
    <w:p w14:paraId="1AB456A6" w14:textId="77777777" w:rsidR="001D0EAC" w:rsidRPr="00796736" w:rsidRDefault="001D0EAC" w:rsidP="00A802A5">
      <w:pPr>
        <w:spacing w:line="360" w:lineRule="auto"/>
        <w:jc w:val="left"/>
        <w:rPr>
          <w:rFonts w:ascii="Times New Roman" w:eastAsia="Times New Roman" w:hAnsi="Times New Roman" w:cs="Times New Roman"/>
          <w:sz w:val="24"/>
          <w:szCs w:val="24"/>
        </w:rPr>
      </w:pPr>
    </w:p>
    <w:p w14:paraId="136CDA8D" w14:textId="77777777" w:rsidR="001D0EAC" w:rsidRPr="00796736" w:rsidRDefault="001D0EAC" w:rsidP="00A802A5">
      <w:pPr>
        <w:spacing w:line="360" w:lineRule="auto"/>
        <w:jc w:val="left"/>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Til nr. 6</w:t>
      </w:r>
    </w:p>
    <w:p w14:paraId="52090832"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 44, stk. 1, i lov om spil, at Spillemyndigheden kan tilbagekalde en tilladelse til udbud af spil, hvis tilladelsesindehaveren eller dennes repræsentant</w:t>
      </w:r>
    </w:p>
    <w:p w14:paraId="3F8C501D"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 groft eller gentagne gange har overtrådt denne lov, bestemmelser fastsat i henhold til denne lov eller vilkår for tilladelsen,</w:t>
      </w:r>
    </w:p>
    <w:p w14:paraId="04EA3C3C"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2) er dømt for et strafbart forhold, der begrunder nærliggende fare for misbrug af adgangen til at arbejde med spil,</w:t>
      </w:r>
    </w:p>
    <w:p w14:paraId="29157927"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3) ikke længere opfylder betingelsen i § 29,</w:t>
      </w:r>
    </w:p>
    <w:p w14:paraId="37D59F37"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4) groft eller gentagne gange ikke angiver afgifter efter lov om afgifter af spil, jf. §§ 21-25,</w:t>
      </w:r>
    </w:p>
    <w:p w14:paraId="1949D6DA"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5) ikke betaler forfaldne gebyrer efter § 42 g,</w:t>
      </w:r>
    </w:p>
    <w:p w14:paraId="40C422D1"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6) groft eller gentagne gange ikke betaler forfaldne afgifter eller ikke stiller sikkerhed, jf. lov om afgifter af spil og lov om opkrævning af skatter og afgifter m.v.,</w:t>
      </w:r>
    </w:p>
    <w:p w14:paraId="3F78798D"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7) ikke betaler forfaldne gebyrer efter regler fastsat i medfør af §§ 42-42 b og 42 d,</w:t>
      </w:r>
    </w:p>
    <w:p w14:paraId="0BDBF6F5"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8) har forfalden gæld til det offentlige, der overstiger 100.000 kr.,</w:t>
      </w:r>
    </w:p>
    <w:p w14:paraId="109DDB97"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9) ikke har anmeldt virksomheden til registrering hos told- og skatteforvaltningen, senest 4 uger efter at tilladelse er givet, jf. lov om afgifter af spil, eller</w:t>
      </w:r>
    </w:p>
    <w:p w14:paraId="12FDE761"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10) ikke efterkommer afgørelser efter § 49 a.</w:t>
      </w:r>
    </w:p>
    <w:p w14:paraId="31A23E91" w14:textId="77777777" w:rsidR="001D0EAC" w:rsidRPr="00796736" w:rsidRDefault="001D0EAC" w:rsidP="00A802A5">
      <w:pPr>
        <w:spacing w:line="360" w:lineRule="auto"/>
        <w:rPr>
          <w:rFonts w:ascii="Times New Roman" w:eastAsia="Times New Roman" w:hAnsi="Times New Roman" w:cs="Times New Roman"/>
          <w:sz w:val="24"/>
          <w:szCs w:val="24"/>
        </w:rPr>
      </w:pPr>
    </w:p>
    <w:p w14:paraId="384721B5"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 44, stk. 2, i lov om spil, at en tilladelse til udbud af spil endvidere kan tilbagekaldes, hvis tilladelsesindehaverens udbud eller arrangering af spil udgør en væsentlig forstyrrelse af den offentlige orden.</w:t>
      </w:r>
    </w:p>
    <w:p w14:paraId="1BE4FF36" w14:textId="77777777" w:rsidR="001D0EAC" w:rsidRPr="00796736" w:rsidRDefault="001D0EAC" w:rsidP="00A802A5">
      <w:pPr>
        <w:spacing w:line="360" w:lineRule="auto"/>
        <w:rPr>
          <w:rFonts w:ascii="Times New Roman" w:eastAsia="Times New Roman" w:hAnsi="Times New Roman" w:cs="Times New Roman"/>
          <w:sz w:val="24"/>
          <w:szCs w:val="24"/>
        </w:rPr>
      </w:pPr>
    </w:p>
    <w:p w14:paraId="3B1F8805" w14:textId="21A9220E"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at der i </w:t>
      </w:r>
      <w:r w:rsidRPr="00796736">
        <w:rPr>
          <w:rFonts w:ascii="Times New Roman" w:eastAsia="Times New Roman" w:hAnsi="Times New Roman" w:cs="Times New Roman"/>
          <w:i/>
          <w:iCs/>
          <w:sz w:val="24"/>
          <w:szCs w:val="24"/>
        </w:rPr>
        <w:t>§ 44</w:t>
      </w:r>
      <w:r w:rsidRPr="00796736">
        <w:rPr>
          <w:rFonts w:ascii="Times New Roman" w:eastAsia="Times New Roman" w:hAnsi="Times New Roman" w:cs="Times New Roman"/>
          <w:sz w:val="24"/>
          <w:szCs w:val="24"/>
        </w:rPr>
        <w:t xml:space="preserve"> </w:t>
      </w:r>
      <w:r w:rsidR="00BA6BA9" w:rsidRPr="00796736">
        <w:rPr>
          <w:rFonts w:ascii="Times New Roman" w:eastAsia="Times New Roman" w:hAnsi="Times New Roman" w:cs="Times New Roman"/>
          <w:sz w:val="24"/>
          <w:szCs w:val="24"/>
        </w:rPr>
        <w:t xml:space="preserve">i lov om spil </w:t>
      </w:r>
      <w:r w:rsidRPr="00796736">
        <w:rPr>
          <w:rFonts w:ascii="Times New Roman" w:eastAsia="Times New Roman" w:hAnsi="Times New Roman" w:cs="Times New Roman"/>
          <w:sz w:val="24"/>
          <w:szCs w:val="24"/>
        </w:rPr>
        <w:t xml:space="preserve">indsættes som </w:t>
      </w:r>
      <w:r w:rsidRPr="00796736">
        <w:rPr>
          <w:rFonts w:ascii="Times New Roman" w:eastAsia="Times New Roman" w:hAnsi="Times New Roman" w:cs="Times New Roman"/>
          <w:i/>
          <w:iCs/>
          <w:sz w:val="24"/>
          <w:szCs w:val="24"/>
        </w:rPr>
        <w:t>stk. 3</w:t>
      </w:r>
      <w:r w:rsidRPr="00796736">
        <w:rPr>
          <w:rFonts w:ascii="Times New Roman" w:eastAsia="Times New Roman" w:hAnsi="Times New Roman" w:cs="Times New Roman"/>
          <w:sz w:val="24"/>
          <w:szCs w:val="24"/>
        </w:rPr>
        <w:t>:</w:t>
      </w:r>
    </w:p>
    <w:p w14:paraId="43B1F3A5"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w:t>
      </w:r>
      <w:r w:rsidRPr="00796736">
        <w:rPr>
          <w:rFonts w:ascii="Times New Roman" w:eastAsia="Times New Roman" w:hAnsi="Times New Roman" w:cs="Times New Roman"/>
          <w:i/>
          <w:iCs/>
          <w:sz w:val="24"/>
          <w:szCs w:val="24"/>
        </w:rPr>
        <w:t>Stk. 3.</w:t>
      </w:r>
      <w:r w:rsidRPr="00796736">
        <w:rPr>
          <w:rFonts w:ascii="Times New Roman" w:eastAsia="Times New Roman" w:hAnsi="Times New Roman" w:cs="Times New Roman"/>
          <w:sz w:val="24"/>
          <w:szCs w:val="24"/>
        </w:rPr>
        <w:t xml:space="preserve"> En tilladelse til udbud af spil kan også tilbagekaldes, hvis tilladelsesindehaverens reelle ejer bliver dømt for hvidvask af penge, de relevante underliggende lovovertrædelser eller finansiering af terrorisme.«</w:t>
      </w:r>
    </w:p>
    <w:p w14:paraId="1CDCD3E4" w14:textId="77777777" w:rsidR="001D0EAC" w:rsidRPr="00796736" w:rsidRDefault="001D0EAC" w:rsidP="00A802A5">
      <w:pPr>
        <w:spacing w:line="360" w:lineRule="auto"/>
        <w:rPr>
          <w:rFonts w:ascii="Times New Roman" w:eastAsia="Times New Roman" w:hAnsi="Times New Roman" w:cs="Times New Roman"/>
          <w:sz w:val="24"/>
          <w:szCs w:val="24"/>
        </w:rPr>
      </w:pPr>
    </w:p>
    <w:p w14:paraId="5EB98839" w14:textId="18BBC04B"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Forslaget er en følge af, at artikel 6, stk. 5, i 6. hvidvaskdirektiv implementeres i lov om spil. Artikel 6, stk. 5, i 6. hvidvaskdirektiv implementeres derudover i hvidvasklovens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_Ref232609546 \r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120</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w:t>
      </w:r>
    </w:p>
    <w:p w14:paraId="0EABEDF8" w14:textId="77777777" w:rsidR="001D0EAC" w:rsidRDefault="001D0EAC" w:rsidP="00A802A5">
      <w:pPr>
        <w:spacing w:line="360" w:lineRule="auto"/>
        <w:rPr>
          <w:rFonts w:ascii="Times New Roman" w:eastAsia="Times New Roman" w:hAnsi="Times New Roman" w:cs="Times New Roman"/>
          <w:sz w:val="24"/>
          <w:szCs w:val="24"/>
        </w:rPr>
      </w:pPr>
    </w:p>
    <w:p w14:paraId="1147BFBA" w14:textId="77777777" w:rsidR="007B7BA4" w:rsidRPr="00D500FD" w:rsidRDefault="007B7BA4" w:rsidP="00A802A5">
      <w:pPr>
        <w:spacing w:line="360" w:lineRule="auto"/>
        <w:rPr>
          <w:rFonts w:ascii="Times New Roman" w:eastAsia="Times New Roman" w:hAnsi="Times New Roman" w:cs="Times New Roman"/>
          <w:sz w:val="24"/>
          <w:szCs w:val="24"/>
        </w:rPr>
      </w:pPr>
      <w:r w:rsidRPr="00983C57">
        <w:rPr>
          <w:rFonts w:ascii="Times New Roman" w:eastAsia="Times New Roman" w:hAnsi="Times New Roman" w:cs="Times New Roman"/>
          <w:sz w:val="24"/>
          <w:szCs w:val="24"/>
        </w:rPr>
        <w:t xml:space="preserve">Bestemmelsen vil indebære, at der </w:t>
      </w:r>
      <w:r>
        <w:rPr>
          <w:rFonts w:ascii="Times New Roman" w:eastAsia="Times New Roman" w:hAnsi="Times New Roman" w:cs="Times New Roman"/>
          <w:sz w:val="24"/>
          <w:szCs w:val="24"/>
        </w:rPr>
        <w:t>vil skulle</w:t>
      </w:r>
      <w:r w:rsidRPr="00983C57">
        <w:rPr>
          <w:rFonts w:ascii="Times New Roman" w:eastAsia="Times New Roman" w:hAnsi="Times New Roman" w:cs="Times New Roman"/>
          <w:sz w:val="24"/>
          <w:szCs w:val="24"/>
        </w:rPr>
        <w:t xml:space="preserve"> træffes en afgørelse i forvaltningslovens forstand. Behandling af sådanne sager vil således skulle ske i overensstemmelse med reglerne i forvaltningsloven samt øvrige forvaltningsretlige regler og grundsætninger, der gælder for afgørelsesvirksomhed. Se nærmere herom i de almindelige bemærkninger pkt. 4.1.</w:t>
      </w:r>
    </w:p>
    <w:p w14:paraId="74D4EED9" w14:textId="77777777" w:rsidR="001D0EAC" w:rsidRPr="00796736" w:rsidRDefault="001D0EAC" w:rsidP="00A802A5">
      <w:pPr>
        <w:spacing w:line="360" w:lineRule="auto"/>
        <w:rPr>
          <w:rFonts w:ascii="Times New Roman" w:eastAsia="Times New Roman" w:hAnsi="Times New Roman" w:cs="Times New Roman"/>
          <w:sz w:val="24"/>
          <w:szCs w:val="24"/>
        </w:rPr>
      </w:pPr>
    </w:p>
    <w:p w14:paraId="27DBFE09" w14:textId="490BF639"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Der henvises i øvrigt til pkt. </w:t>
      </w:r>
      <w:r w:rsidRPr="00796736">
        <w:rPr>
          <w:rFonts w:ascii="Times New Roman" w:eastAsia="Times New Roman" w:hAnsi="Times New Roman" w:cs="Times New Roman"/>
          <w:sz w:val="24"/>
          <w:szCs w:val="24"/>
        </w:rPr>
        <w:fldChar w:fldCharType="begin"/>
      </w:r>
      <w:r w:rsidRPr="00796736">
        <w:rPr>
          <w:rFonts w:ascii="Times New Roman" w:eastAsia="Times New Roman" w:hAnsi="Times New Roman" w:cs="Times New Roman"/>
          <w:sz w:val="24"/>
          <w:szCs w:val="24"/>
        </w:rPr>
        <w:instrText xml:space="preserve"> REF _Ref239330877 \n \h </w:instrText>
      </w:r>
      <w:r w:rsidR="00F375BF" w:rsidRPr="00796736">
        <w:rPr>
          <w:rFonts w:ascii="Times New Roman" w:eastAsia="Times New Roman" w:hAnsi="Times New Roman" w:cs="Times New Roman"/>
          <w:sz w:val="24"/>
          <w:szCs w:val="24"/>
        </w:rPr>
        <w:instrText xml:space="preserve"> \* MERGEFORMAT </w:instrText>
      </w:r>
      <w:r w:rsidRPr="00796736">
        <w:rPr>
          <w:rFonts w:ascii="Times New Roman" w:eastAsia="Times New Roman" w:hAnsi="Times New Roman" w:cs="Times New Roman"/>
          <w:sz w:val="24"/>
          <w:szCs w:val="24"/>
        </w:rPr>
      </w:r>
      <w:r w:rsidRPr="00796736">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3.93</w:t>
      </w:r>
      <w:r w:rsidRPr="00796736">
        <w:rPr>
          <w:rFonts w:ascii="Times New Roman" w:eastAsia="Times New Roman" w:hAnsi="Times New Roman" w:cs="Times New Roman"/>
          <w:sz w:val="24"/>
          <w:szCs w:val="24"/>
        </w:rPr>
        <w:fldChar w:fldCharType="end"/>
      </w:r>
      <w:r w:rsidRPr="00796736">
        <w:rPr>
          <w:rFonts w:ascii="Times New Roman" w:eastAsia="Times New Roman" w:hAnsi="Times New Roman" w:cs="Times New Roman"/>
          <w:sz w:val="24"/>
          <w:szCs w:val="24"/>
        </w:rPr>
        <w:t xml:space="preserve"> i lovforslagets almindelige bemærkninger om ændringer i spillelovgivningen.</w:t>
      </w:r>
    </w:p>
    <w:p w14:paraId="3DAD54D8" w14:textId="77777777" w:rsidR="001D0EAC" w:rsidRPr="00796736" w:rsidRDefault="001D0EAC" w:rsidP="00A802A5">
      <w:pPr>
        <w:spacing w:line="360" w:lineRule="auto"/>
        <w:rPr>
          <w:rFonts w:ascii="Times New Roman" w:eastAsia="Times New Roman" w:hAnsi="Times New Roman" w:cs="Times New Roman"/>
          <w:sz w:val="24"/>
          <w:szCs w:val="24"/>
        </w:rPr>
      </w:pPr>
    </w:p>
    <w:p w14:paraId="3D9CB770" w14:textId="77777777" w:rsidR="001D0EAC" w:rsidRPr="00796736" w:rsidRDefault="001D0EAC" w:rsidP="00A802A5">
      <w:pPr>
        <w:spacing w:line="360" w:lineRule="auto"/>
        <w:jc w:val="left"/>
        <w:rPr>
          <w:rFonts w:ascii="Times New Roman" w:eastAsia="Times New Roman" w:hAnsi="Times New Roman" w:cs="Times New Roman"/>
          <w:i/>
          <w:iCs/>
          <w:sz w:val="24"/>
          <w:szCs w:val="24"/>
        </w:rPr>
      </w:pPr>
      <w:r w:rsidRPr="00796736">
        <w:rPr>
          <w:rFonts w:ascii="Times New Roman" w:eastAsia="Times New Roman" w:hAnsi="Times New Roman" w:cs="Times New Roman"/>
          <w:i/>
          <w:iCs/>
          <w:sz w:val="24"/>
          <w:szCs w:val="24"/>
        </w:rPr>
        <w:t>Til nr. 7</w:t>
      </w:r>
    </w:p>
    <w:p w14:paraId="40361CC7" w14:textId="77777777"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Det fremgår af § 51, stk. 1, i lov om spil, at klager over Spillemyndighedens afgørelser om tilbagekaldelse af tilladelser til udbud af spil, jf. § 44, stk. 1, nr. 1-3, og afgørelser om tilbagekaldelse af tilladelser til spilleverandører, jf. § 45 a, nr. 1-3, har opsættende virkning, medmindre Landsskatteretten eller skatteankeforvaltningen bestemmer andet.</w:t>
      </w:r>
    </w:p>
    <w:p w14:paraId="76FAD701" w14:textId="77777777" w:rsidR="001D0EAC" w:rsidRPr="00796736" w:rsidRDefault="001D0EAC" w:rsidP="00A802A5">
      <w:pPr>
        <w:spacing w:line="360" w:lineRule="auto"/>
        <w:rPr>
          <w:rFonts w:ascii="Times New Roman" w:eastAsia="Times New Roman" w:hAnsi="Times New Roman" w:cs="Times New Roman"/>
          <w:sz w:val="24"/>
          <w:szCs w:val="24"/>
        </w:rPr>
      </w:pPr>
    </w:p>
    <w:p w14:paraId="046FAC3C" w14:textId="77777777" w:rsidR="00BA6BA9" w:rsidRPr="00796736" w:rsidRDefault="00BA6BA9"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Det foreslås i </w:t>
      </w:r>
      <w:r w:rsidRPr="00796736">
        <w:rPr>
          <w:rFonts w:ascii="Times New Roman" w:eastAsia="Times New Roman" w:hAnsi="Times New Roman" w:cs="Times New Roman"/>
          <w:i/>
          <w:iCs/>
          <w:sz w:val="24"/>
          <w:szCs w:val="24"/>
        </w:rPr>
        <w:t>§ 51, stk. 1,</w:t>
      </w:r>
      <w:r w:rsidRPr="00796736">
        <w:rPr>
          <w:rFonts w:ascii="Times New Roman" w:eastAsia="Times New Roman" w:hAnsi="Times New Roman" w:cs="Times New Roman"/>
          <w:sz w:val="24"/>
          <w:szCs w:val="24"/>
        </w:rPr>
        <w:t xml:space="preserve"> i lov om spil at ændre »nr. 1-3,« til: »nr. 1-3 og 11, og stk. 3,«.</w:t>
      </w:r>
    </w:p>
    <w:p w14:paraId="67972548" w14:textId="77777777" w:rsidR="001D0EAC" w:rsidRPr="00796736" w:rsidRDefault="001D0EAC" w:rsidP="00A802A5">
      <w:pPr>
        <w:spacing w:line="360" w:lineRule="auto"/>
        <w:rPr>
          <w:rFonts w:ascii="Times New Roman" w:eastAsia="Times New Roman" w:hAnsi="Times New Roman" w:cs="Times New Roman"/>
          <w:sz w:val="24"/>
          <w:szCs w:val="24"/>
        </w:rPr>
      </w:pPr>
    </w:p>
    <w:p w14:paraId="2C7E3118" w14:textId="58793E41" w:rsidR="001D0EAC" w:rsidRPr="00796736"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 xml:space="preserve">Forslaget er en følge af, at der i lovforslagets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_Ref233637850 \r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154</w:t>
      </w:r>
      <w:r w:rsidRPr="00796736">
        <w:rPr>
          <w:rFonts w:ascii="Times New Roman" w:eastAsia="Calibri" w:hAnsi="Times New Roman" w:cs="Times New Roman"/>
          <w:sz w:val="24"/>
          <w:szCs w:val="24"/>
        </w:rPr>
        <w:fldChar w:fldCharType="end"/>
      </w:r>
      <w:r w:rsidRPr="00796736">
        <w:rPr>
          <w:rFonts w:ascii="Times New Roman" w:eastAsia="Times New Roman" w:hAnsi="Times New Roman" w:cs="Times New Roman"/>
          <w:sz w:val="24"/>
          <w:szCs w:val="24"/>
        </w:rPr>
        <w:t xml:space="preserve">, nr. 5 og 6, foreslås indsat nr. 11, i § 44, stk. 1, og et stk. 3 i § 44. </w:t>
      </w:r>
    </w:p>
    <w:p w14:paraId="002E3BD1" w14:textId="77777777" w:rsidR="001D0EAC" w:rsidRPr="00796736" w:rsidRDefault="001D0EAC" w:rsidP="00A802A5">
      <w:pPr>
        <w:spacing w:line="360" w:lineRule="auto"/>
        <w:rPr>
          <w:rFonts w:ascii="Times New Roman" w:eastAsia="Times New Roman" w:hAnsi="Times New Roman" w:cs="Times New Roman"/>
          <w:sz w:val="24"/>
          <w:szCs w:val="24"/>
        </w:rPr>
      </w:pPr>
    </w:p>
    <w:p w14:paraId="08B96917" w14:textId="17FF883A" w:rsidR="001D0EAC" w:rsidRDefault="001D0EAC" w:rsidP="00A802A5">
      <w:pPr>
        <w:spacing w:line="360" w:lineRule="auto"/>
        <w:rPr>
          <w:rFonts w:ascii="Times New Roman" w:eastAsia="Times New Roman" w:hAnsi="Times New Roman" w:cs="Times New Roman"/>
          <w:sz w:val="24"/>
          <w:szCs w:val="24"/>
        </w:rPr>
      </w:pPr>
      <w:r w:rsidRPr="00796736">
        <w:rPr>
          <w:rFonts w:ascii="Times New Roman" w:eastAsia="Times New Roman" w:hAnsi="Times New Roman" w:cs="Times New Roman"/>
          <w:sz w:val="24"/>
          <w:szCs w:val="24"/>
        </w:rPr>
        <w:t>Der tilsigtes ikke andre ændringer af bestemmelsen.</w:t>
      </w:r>
      <w:r w:rsidR="001B7690">
        <w:rPr>
          <w:rFonts w:ascii="Times New Roman" w:eastAsia="Times New Roman" w:hAnsi="Times New Roman" w:cs="Times New Roman"/>
          <w:sz w:val="24"/>
          <w:szCs w:val="24"/>
        </w:rPr>
        <w:t>2</w:t>
      </w:r>
    </w:p>
    <w:p w14:paraId="674E6614" w14:textId="77777777" w:rsidR="001B7690" w:rsidRDefault="001B7690" w:rsidP="00A802A5">
      <w:pPr>
        <w:spacing w:line="360" w:lineRule="auto"/>
        <w:rPr>
          <w:rFonts w:ascii="Times New Roman" w:eastAsia="Times New Roman" w:hAnsi="Times New Roman" w:cs="Times New Roman"/>
          <w:sz w:val="24"/>
          <w:szCs w:val="24"/>
        </w:rPr>
      </w:pPr>
    </w:p>
    <w:p w14:paraId="290D6DF2" w14:textId="77777777" w:rsidR="001B7690" w:rsidRDefault="001B7690" w:rsidP="00A802A5">
      <w:pPr>
        <w:spacing w:line="360" w:lineRule="auto"/>
        <w:rPr>
          <w:rFonts w:ascii="Times New Roman" w:eastAsia="Times New Roman" w:hAnsi="Times New Roman" w:cs="Times New Roman"/>
          <w:sz w:val="24"/>
          <w:szCs w:val="24"/>
        </w:rPr>
      </w:pPr>
    </w:p>
    <w:p w14:paraId="7BA16E3C" w14:textId="0961350E" w:rsidR="001B7690" w:rsidRPr="00796736" w:rsidRDefault="001B7690" w:rsidP="001B7690">
      <w:pPr>
        <w:pStyle w:val="Undertitel"/>
      </w:pPr>
      <w:bookmarkStart w:id="2294" w:name="_Toc244879451"/>
      <w:bookmarkStart w:id="2295" w:name="_Toc244880976"/>
      <w:r w:rsidRPr="00796736">
        <w:t xml:space="preserve">Til </w:t>
      </w:r>
      <w:r>
        <w:fldChar w:fldCharType="begin"/>
      </w:r>
      <w:r>
        <w:instrText xml:space="preserve"> REF _Ref239173704 \n \h </w:instrText>
      </w:r>
      <w:r>
        <w:fldChar w:fldCharType="separate"/>
      </w:r>
      <w:r w:rsidR="008F29E5">
        <w:t>§ 155</w:t>
      </w:r>
      <w:bookmarkEnd w:id="2294"/>
      <w:bookmarkEnd w:id="2295"/>
      <w:r>
        <w:fldChar w:fldCharType="end"/>
      </w:r>
    </w:p>
    <w:p w14:paraId="3BB6C57B" w14:textId="77777777" w:rsidR="002F3829" w:rsidRDefault="002F3829" w:rsidP="002F382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Efter PNR-lovens § 14 a kan PNR-oplysninger indsamlet i medfør af PNR-loven kun videregives efter reglerne heri. </w:t>
      </w:r>
    </w:p>
    <w:p w14:paraId="6DC2C97C" w14:textId="77777777" w:rsidR="002F3829" w:rsidRPr="00017988" w:rsidRDefault="002F3829" w:rsidP="002F3829">
      <w:pPr>
        <w:spacing w:line="360" w:lineRule="auto"/>
        <w:ind w:firstLine="340"/>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Det foreslås i </w:t>
      </w:r>
      <w:r>
        <w:rPr>
          <w:rFonts w:ascii="Times New Roman" w:eastAsia="Times New Roman" w:hAnsi="Times New Roman" w:cs="Times New Roman"/>
          <w:i/>
          <w:iCs/>
          <w:sz w:val="24"/>
          <w:szCs w:val="24"/>
        </w:rPr>
        <w:t>§ 14 a</w:t>
      </w:r>
      <w:r>
        <w:rPr>
          <w:rFonts w:ascii="Times New Roman" w:eastAsia="Times New Roman" w:hAnsi="Times New Roman" w:cs="Times New Roman"/>
          <w:sz w:val="24"/>
          <w:szCs w:val="24"/>
        </w:rPr>
        <w:t xml:space="preserve"> at indsætte </w:t>
      </w:r>
      <w:r w:rsidRPr="00D253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medmindre andet er fastsat ved lov</w:t>
      </w:r>
      <w:r w:rsidRPr="00D253F0">
        <w:rPr>
          <w:rFonts w:ascii="Times New Roman" w:eastAsia="Times New Roman" w:hAnsi="Times New Roman" w:cs="Times New Roman"/>
          <w:sz w:val="24"/>
          <w:szCs w:val="24"/>
        </w:rPr>
        <w:t>«.</w:t>
      </w:r>
    </w:p>
    <w:p w14:paraId="64B89706" w14:textId="77777777" w:rsidR="002F3829" w:rsidRDefault="002F3829" w:rsidP="002F3829">
      <w:pPr>
        <w:spacing w:line="360" w:lineRule="auto"/>
        <w:ind w:firstLine="340"/>
        <w:rPr>
          <w:rFonts w:ascii="Times New Roman" w:eastAsia="Times New Roman" w:hAnsi="Times New Roman" w:cs="Times New Roman"/>
          <w:sz w:val="24"/>
          <w:szCs w:val="24"/>
        </w:rPr>
      </w:pPr>
    </w:p>
    <w:p w14:paraId="1886C07C" w14:textId="515D3B08" w:rsidR="002F3829" w:rsidRDefault="002F3829" w:rsidP="002F382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Bestemmelsen vil indebære, at PNR-enheden har mulighed for at videregive PNR-oplysninger til brug for Hvidvasksekretariatets varetagelse af opgaver efter denne lov, såfremt Hvidvasksekretariatet i henhold til den foreslåede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REF _Ref244802049 \n \h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8F29E5">
        <w:rPr>
          <w:rFonts w:ascii="Times New Roman" w:eastAsia="Times New Roman" w:hAnsi="Times New Roman" w:cs="Times New Roman"/>
          <w:sz w:val="24"/>
          <w:szCs w:val="24"/>
        </w:rPr>
        <w:t>§ 16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konkret anmoder herom til brug for sin efterretningsvirksomhed.</w:t>
      </w:r>
    </w:p>
    <w:p w14:paraId="04931FD4" w14:textId="77777777" w:rsidR="002F3829" w:rsidRDefault="002F3829" w:rsidP="002F3829">
      <w:pPr>
        <w:spacing w:line="360" w:lineRule="auto"/>
        <w:ind w:firstLine="340"/>
        <w:rPr>
          <w:rFonts w:ascii="Times New Roman" w:eastAsia="Times New Roman" w:hAnsi="Times New Roman" w:cs="Times New Roman"/>
          <w:sz w:val="24"/>
          <w:szCs w:val="24"/>
        </w:rPr>
      </w:pPr>
    </w:p>
    <w:p w14:paraId="1B38C622" w14:textId="77777777" w:rsidR="002F3829" w:rsidRPr="00796736" w:rsidRDefault="002F3829" w:rsidP="002F382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materielle betingelser for videregivelse af PNR-oplysninger i PNR-loven vil fortsat skulle være opfyldt.   </w:t>
      </w:r>
    </w:p>
    <w:p w14:paraId="2606F56C" w14:textId="77777777" w:rsidR="001B7690" w:rsidRPr="00796736" w:rsidRDefault="001B7690" w:rsidP="00A802A5">
      <w:pPr>
        <w:spacing w:line="360" w:lineRule="auto"/>
        <w:rPr>
          <w:rFonts w:ascii="Times New Roman" w:eastAsia="Times New Roman" w:hAnsi="Times New Roman" w:cs="Times New Roman"/>
          <w:sz w:val="24"/>
          <w:szCs w:val="24"/>
        </w:rPr>
      </w:pPr>
    </w:p>
    <w:p w14:paraId="4C01589E" w14:textId="77777777" w:rsidR="001D0EAC" w:rsidRPr="00796736" w:rsidRDefault="001D0EAC" w:rsidP="00A802A5">
      <w:pPr>
        <w:spacing w:line="360" w:lineRule="auto"/>
        <w:jc w:val="left"/>
        <w:rPr>
          <w:rFonts w:ascii="Times New Roman" w:eastAsia="Times New Roman" w:hAnsi="Times New Roman" w:cs="Times New Roman"/>
          <w:sz w:val="24"/>
          <w:szCs w:val="24"/>
        </w:rPr>
      </w:pPr>
    </w:p>
    <w:p w14:paraId="32246CC9" w14:textId="418617C8" w:rsidR="002834E8" w:rsidRPr="00796736" w:rsidRDefault="002834E8" w:rsidP="002834E8">
      <w:pPr>
        <w:pStyle w:val="Undertitel"/>
      </w:pPr>
      <w:bookmarkStart w:id="2296" w:name="_Toc244879452"/>
      <w:bookmarkStart w:id="2297" w:name="_Toc244880977"/>
      <w:r w:rsidRPr="00796736">
        <w:t xml:space="preserve">Til </w:t>
      </w:r>
      <w:r>
        <w:fldChar w:fldCharType="begin"/>
      </w:r>
      <w:r>
        <w:instrText xml:space="preserve"> REF _Ref243939834 \r \h </w:instrText>
      </w:r>
      <w:r>
        <w:fldChar w:fldCharType="separate"/>
      </w:r>
      <w:r w:rsidR="008F29E5">
        <w:t>§ 156</w:t>
      </w:r>
      <w:bookmarkEnd w:id="2296"/>
      <w:bookmarkEnd w:id="2297"/>
      <w:r>
        <w:fldChar w:fldCharType="end"/>
      </w:r>
    </w:p>
    <w:p w14:paraId="0B362FAC" w14:textId="77777777" w:rsidR="002834E8" w:rsidRPr="002834E8" w:rsidRDefault="002834E8" w:rsidP="002834E8">
      <w:pPr>
        <w:spacing w:line="360" w:lineRule="auto"/>
        <w:rPr>
          <w:rFonts w:ascii="Times New Roman" w:eastAsia="Calibri" w:hAnsi="Times New Roman" w:cs="Times New Roman"/>
          <w:i/>
          <w:iCs/>
          <w:sz w:val="24"/>
          <w:szCs w:val="24"/>
        </w:rPr>
      </w:pPr>
      <w:r w:rsidRPr="002834E8">
        <w:rPr>
          <w:rFonts w:ascii="Times New Roman" w:eastAsia="Calibri" w:hAnsi="Times New Roman" w:cs="Times New Roman"/>
          <w:i/>
          <w:iCs/>
          <w:sz w:val="24"/>
          <w:szCs w:val="24"/>
        </w:rPr>
        <w:t>Til nr. 1 (</w:t>
      </w:r>
      <w:r w:rsidRPr="002834E8">
        <w:rPr>
          <w:rFonts w:ascii="Times New Roman" w:eastAsia="Times New Roman" w:hAnsi="Times New Roman" w:cs="Times New Roman"/>
          <w:i/>
          <w:iCs/>
          <w:sz w:val="24"/>
          <w:szCs w:val="24"/>
        </w:rPr>
        <w:t xml:space="preserve">§ 1, stk. 4, § 37, stk. 1, 3. pkt., </w:t>
      </w:r>
      <w:r w:rsidRPr="002834E8">
        <w:rPr>
          <w:rFonts w:ascii="Times New Roman" w:eastAsia="Times New Roman" w:hAnsi="Times New Roman" w:cs="Times New Roman"/>
          <w:sz w:val="24"/>
          <w:szCs w:val="24"/>
        </w:rPr>
        <w:t xml:space="preserve">og </w:t>
      </w:r>
      <w:r w:rsidRPr="002834E8">
        <w:rPr>
          <w:rFonts w:ascii="Times New Roman" w:eastAsia="Times New Roman" w:hAnsi="Times New Roman" w:cs="Times New Roman"/>
          <w:i/>
          <w:iCs/>
          <w:sz w:val="24"/>
          <w:szCs w:val="24"/>
        </w:rPr>
        <w:t xml:space="preserve">§ 43 a, stk. 1 og stk. 2, 1. pkt., </w:t>
      </w:r>
      <w:r w:rsidRPr="002834E8">
        <w:rPr>
          <w:rFonts w:ascii="Times New Roman" w:hAnsi="Times New Roman" w:cs="Times New Roman"/>
          <w:i/>
          <w:iCs/>
          <w:sz w:val="24"/>
          <w:szCs w:val="24"/>
        </w:rPr>
        <w:t>i revisorloven</w:t>
      </w:r>
      <w:r w:rsidRPr="002834E8">
        <w:rPr>
          <w:rFonts w:ascii="Times New Roman" w:eastAsia="Calibri" w:hAnsi="Times New Roman" w:cs="Times New Roman"/>
          <w:i/>
          <w:iCs/>
          <w:sz w:val="24"/>
          <w:szCs w:val="24"/>
        </w:rPr>
        <w:t>)</w:t>
      </w:r>
    </w:p>
    <w:p w14:paraId="38CF9940" w14:textId="77777777" w:rsid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Det fremgår af revisorlovens § 1, stk. 4, at lovens § 37, stk. 1, 3. pkt., og § 43 a finder anvendelse på en revisors eller en revisionsvirksomheds forpligtelser efter hvidvaskloven og en revisors eller en revisionsvirksomheds rådgivning af en kunde om dennes forpligtelser efter hvidvaskloven.</w:t>
      </w:r>
    </w:p>
    <w:p w14:paraId="763CDD5F" w14:textId="77777777" w:rsidR="002834E8" w:rsidRPr="002834E8" w:rsidRDefault="002834E8" w:rsidP="002834E8">
      <w:pPr>
        <w:spacing w:line="360" w:lineRule="auto"/>
        <w:rPr>
          <w:rFonts w:ascii="Times New Roman" w:eastAsia="Times New Roman" w:hAnsi="Times New Roman" w:cs="Times New Roman"/>
          <w:sz w:val="24"/>
          <w:szCs w:val="24"/>
        </w:rPr>
      </w:pPr>
    </w:p>
    <w:p w14:paraId="0F36F5D5" w14:textId="77777777" w:rsid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Det fremgår af revisorlovens § 37, stk. 1, 3. pkt., at bestemmelsen i 1. pkt. finder tilsvarende anvendelse, hvis styrelsen vurderer, at der er risiko for, at en revisor eller en revisionsvirksomhed har tilsidesat en forpligtelse efter hvidvaskloven eller rådgivet en kunde i strid med kundens forpligtelser efter hvidvaskloven.</w:t>
      </w:r>
    </w:p>
    <w:p w14:paraId="27210CA4" w14:textId="77777777" w:rsidR="002834E8" w:rsidRPr="002834E8" w:rsidRDefault="002834E8" w:rsidP="002834E8">
      <w:pPr>
        <w:spacing w:line="360" w:lineRule="auto"/>
        <w:rPr>
          <w:rFonts w:ascii="Times New Roman" w:eastAsia="Times New Roman" w:hAnsi="Times New Roman" w:cs="Times New Roman"/>
          <w:sz w:val="24"/>
          <w:szCs w:val="24"/>
        </w:rPr>
      </w:pPr>
    </w:p>
    <w:p w14:paraId="4A81AE17" w14:textId="77777777" w:rsid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Det fremgår af revisorlovens § 43 a, stk. 1, Erhvervsstyrelsen eller en anden offentlig myndighed kan indbringe en klage for Revisornævnet over en revisor, en revisionsvirksomhed eller en udenlandsk revisionsvirksomhed, der er omfattet af § 13 a, for tilsidesættelse af dennes forpligtelser efter hvidvaskloven eller for dennes rådgivning af en kunde i strid med kundens forpligtelser efter hvidvaskloven.</w:t>
      </w:r>
    </w:p>
    <w:p w14:paraId="18D17E20" w14:textId="77777777" w:rsidR="002834E8" w:rsidRPr="002834E8" w:rsidRDefault="002834E8" w:rsidP="002834E8">
      <w:pPr>
        <w:spacing w:line="360" w:lineRule="auto"/>
        <w:rPr>
          <w:rFonts w:ascii="Times New Roman" w:eastAsia="Times New Roman" w:hAnsi="Times New Roman" w:cs="Times New Roman"/>
          <w:i/>
          <w:iCs/>
          <w:sz w:val="24"/>
          <w:szCs w:val="24"/>
        </w:rPr>
      </w:pPr>
    </w:p>
    <w:p w14:paraId="6C008DA8" w14:textId="77777777" w:rsid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Det fremgår af revisorlovens § 43 a, stk. 2, at har en revisor eller en revisionsvirksomhed tilsidesat en forpligtelse efter hvidvaskloven eller rådgivet en kunde i strid med kundens forpligtelser efter hvidvaskloven, kan Revisornævnet fastsætte en sanktion for den pågældende. Bestemmelsen i § 44 finder tilsvarende anvendelse ved fastsættelsen af en sanktion.</w:t>
      </w:r>
    </w:p>
    <w:p w14:paraId="30AB34EC" w14:textId="77777777" w:rsidR="002834E8" w:rsidRPr="002834E8" w:rsidRDefault="002834E8" w:rsidP="002834E8">
      <w:pPr>
        <w:spacing w:line="360" w:lineRule="auto"/>
        <w:rPr>
          <w:rFonts w:ascii="Times New Roman" w:eastAsia="Times New Roman" w:hAnsi="Times New Roman" w:cs="Times New Roman"/>
          <w:sz w:val="24"/>
          <w:szCs w:val="24"/>
        </w:rPr>
      </w:pPr>
    </w:p>
    <w:p w14:paraId="6C47560C" w14:textId="77777777" w:rsid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 xml:space="preserve">Det foreslås, at to steder i revisorlovens </w:t>
      </w:r>
      <w:r w:rsidRPr="002834E8">
        <w:rPr>
          <w:rFonts w:ascii="Times New Roman" w:eastAsia="Times New Roman" w:hAnsi="Times New Roman" w:cs="Times New Roman"/>
          <w:i/>
          <w:iCs/>
          <w:sz w:val="24"/>
          <w:szCs w:val="24"/>
        </w:rPr>
        <w:t xml:space="preserve">§ 1, stk. 4, § 37, stk. 1, 3. pkt., </w:t>
      </w:r>
      <w:r w:rsidRPr="002834E8">
        <w:rPr>
          <w:rFonts w:ascii="Times New Roman" w:eastAsia="Times New Roman" w:hAnsi="Times New Roman" w:cs="Times New Roman"/>
          <w:sz w:val="24"/>
          <w:szCs w:val="24"/>
        </w:rPr>
        <w:t xml:space="preserve">og </w:t>
      </w:r>
      <w:r w:rsidRPr="002834E8">
        <w:rPr>
          <w:rFonts w:ascii="Times New Roman" w:eastAsia="Times New Roman" w:hAnsi="Times New Roman" w:cs="Times New Roman"/>
          <w:i/>
          <w:iCs/>
          <w:sz w:val="24"/>
          <w:szCs w:val="24"/>
        </w:rPr>
        <w:t xml:space="preserve">§ 43 a, stk. 1 og stk. 2, 1. pkt., </w:t>
      </w:r>
      <w:r w:rsidRPr="002834E8">
        <w:rPr>
          <w:rFonts w:ascii="Times New Roman" w:eastAsia="Times New Roman" w:hAnsi="Times New Roman" w:cs="Times New Roman"/>
          <w:sz w:val="24"/>
          <w:szCs w:val="24"/>
        </w:rPr>
        <w:t>indsættes efter »hvidvaskloven«: », Europa-Parlamentets og Rådets forordning (EU) 2024/1624 (hvidvaskforordningen) og retsakter udstedt i medfør heraf«.</w:t>
      </w:r>
    </w:p>
    <w:p w14:paraId="0975E10A" w14:textId="77777777" w:rsidR="002834E8" w:rsidRPr="002834E8" w:rsidRDefault="002834E8" w:rsidP="002834E8">
      <w:pPr>
        <w:spacing w:line="360" w:lineRule="auto"/>
        <w:rPr>
          <w:rFonts w:ascii="Times New Roman" w:eastAsia="Times New Roman" w:hAnsi="Times New Roman" w:cs="Times New Roman"/>
          <w:sz w:val="24"/>
          <w:szCs w:val="24"/>
        </w:rPr>
      </w:pPr>
    </w:p>
    <w:p w14:paraId="07BCF97B" w14:textId="77777777" w:rsid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 xml:space="preserve">Ændringerne vil medføre, at der i tillæg til den eksisterende henvisning til hvidvaskloven i de nævnte bestemmelser også vil ske henvisning til hvidvaskforordningen og retsakter udstedt i medfør heraf.   </w:t>
      </w:r>
    </w:p>
    <w:p w14:paraId="5CDB2656" w14:textId="77777777" w:rsidR="002834E8" w:rsidRPr="002834E8" w:rsidRDefault="002834E8" w:rsidP="002834E8">
      <w:pPr>
        <w:spacing w:line="360" w:lineRule="auto"/>
        <w:rPr>
          <w:rFonts w:ascii="Times New Roman" w:eastAsia="Times New Roman" w:hAnsi="Times New Roman" w:cs="Times New Roman"/>
          <w:sz w:val="24"/>
          <w:szCs w:val="24"/>
        </w:rPr>
      </w:pPr>
    </w:p>
    <w:p w14:paraId="77BBA58B" w14:textId="77777777" w:rsidR="002834E8" w:rsidRP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 xml:space="preserve">Der er tale om en konsekvensrettelse som følge af EU’s hvidvaskpakke fra 2024, herunder ikrafttrædelsen af hvidvaskforordningen. Ændringerne foreslås som følge af, at størstedelen af forpligtelserne efter hvidvaskloven fremover reguleres direkte af hvidvaskforordningen. Henvisningen til hvidvaskloven fastholdes, idet loven fortsat vil regulere blandt andet kontantforbudsgrænser.  </w:t>
      </w:r>
    </w:p>
    <w:p w14:paraId="74CAB8BC" w14:textId="77777777" w:rsidR="002834E8" w:rsidRPr="002834E8" w:rsidRDefault="002834E8" w:rsidP="002834E8">
      <w:pPr>
        <w:spacing w:line="360" w:lineRule="auto"/>
        <w:rPr>
          <w:rFonts w:ascii="Times New Roman" w:eastAsia="Times New Roman" w:hAnsi="Times New Roman" w:cs="Times New Roman"/>
          <w:sz w:val="24"/>
          <w:szCs w:val="24"/>
        </w:rPr>
      </w:pPr>
    </w:p>
    <w:p w14:paraId="201DEC3A" w14:textId="77777777" w:rsidR="002834E8" w:rsidRPr="002834E8" w:rsidRDefault="002834E8" w:rsidP="002834E8">
      <w:pPr>
        <w:spacing w:line="360" w:lineRule="auto"/>
        <w:rPr>
          <w:rFonts w:ascii="Times New Roman" w:eastAsia="Calibri" w:hAnsi="Times New Roman" w:cs="Times New Roman"/>
          <w:i/>
          <w:iCs/>
          <w:sz w:val="24"/>
          <w:szCs w:val="24"/>
        </w:rPr>
      </w:pPr>
      <w:r w:rsidRPr="002834E8">
        <w:rPr>
          <w:rFonts w:ascii="Times New Roman" w:eastAsia="Calibri" w:hAnsi="Times New Roman" w:cs="Times New Roman"/>
          <w:i/>
          <w:iCs/>
          <w:sz w:val="24"/>
          <w:szCs w:val="24"/>
        </w:rPr>
        <w:t>Til nr. 2 (</w:t>
      </w:r>
      <w:r w:rsidRPr="002834E8">
        <w:rPr>
          <w:rFonts w:ascii="Times New Roman" w:eastAsia="Times New Roman" w:hAnsi="Times New Roman" w:cs="Times New Roman"/>
          <w:i/>
          <w:iCs/>
          <w:sz w:val="24"/>
          <w:szCs w:val="24"/>
        </w:rPr>
        <w:t xml:space="preserve">§ 22, stk. 1, 4. pkt., </w:t>
      </w:r>
      <w:r w:rsidRPr="002834E8">
        <w:rPr>
          <w:rFonts w:ascii="Times New Roman" w:hAnsi="Times New Roman" w:cs="Times New Roman"/>
          <w:i/>
          <w:iCs/>
          <w:sz w:val="24"/>
          <w:szCs w:val="24"/>
        </w:rPr>
        <w:t>i revisorloven</w:t>
      </w:r>
      <w:r w:rsidRPr="002834E8">
        <w:rPr>
          <w:rFonts w:ascii="Times New Roman" w:eastAsia="Calibri" w:hAnsi="Times New Roman" w:cs="Times New Roman"/>
          <w:i/>
          <w:iCs/>
          <w:sz w:val="24"/>
          <w:szCs w:val="24"/>
        </w:rPr>
        <w:t>)</w:t>
      </w:r>
    </w:p>
    <w:p w14:paraId="36FC1E26" w14:textId="77777777" w:rsid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Det fremgår af revisorlovens § 22, stk. 1, 4. pkt., at bestemmelsens 1.-3. pkt. ikke finder anvendelse på forhold, der er omfattet af reglerne i lov om forebyggende foranstaltninger mod hvidvask og finansiering af terrorisme (hvidvaskloven).</w:t>
      </w:r>
    </w:p>
    <w:p w14:paraId="5498FF27" w14:textId="77777777" w:rsidR="002834E8" w:rsidRPr="002834E8" w:rsidRDefault="002834E8" w:rsidP="002834E8">
      <w:pPr>
        <w:spacing w:line="360" w:lineRule="auto"/>
        <w:rPr>
          <w:rFonts w:ascii="Times New Roman" w:eastAsia="Times New Roman" w:hAnsi="Times New Roman" w:cs="Times New Roman"/>
          <w:sz w:val="24"/>
          <w:szCs w:val="24"/>
        </w:rPr>
      </w:pPr>
    </w:p>
    <w:p w14:paraId="011D70AC" w14:textId="77777777" w:rsid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 xml:space="preserve">Det foreslås i revisorlovens </w:t>
      </w:r>
      <w:r w:rsidRPr="002834E8">
        <w:rPr>
          <w:rFonts w:ascii="Times New Roman" w:eastAsia="Times New Roman" w:hAnsi="Times New Roman" w:cs="Times New Roman"/>
          <w:i/>
          <w:iCs/>
          <w:sz w:val="24"/>
          <w:szCs w:val="24"/>
        </w:rPr>
        <w:t>§ 22, stk. 1, 4. pkt.</w:t>
      </w:r>
      <w:r w:rsidRPr="002834E8">
        <w:rPr>
          <w:rFonts w:ascii="Times New Roman" w:eastAsia="Times New Roman" w:hAnsi="Times New Roman" w:cs="Times New Roman"/>
          <w:sz w:val="24"/>
          <w:szCs w:val="24"/>
        </w:rPr>
        <w:t>, at »reglerne i lov om forebyggende foranstaltninger mod hvidvask og finansiering af terrorisme (hvidvaskloven)« ændres til: »hvidvaskloven, reglerne i Europa-Parlamentets og Rådets forordning (EU) 2024/1624 (hvidvaskforordningen) og retsakter udstedt i medfør heraf«.</w:t>
      </w:r>
    </w:p>
    <w:p w14:paraId="57456F4E" w14:textId="77777777" w:rsidR="002834E8" w:rsidRPr="002834E8" w:rsidRDefault="002834E8" w:rsidP="002834E8">
      <w:pPr>
        <w:spacing w:line="360" w:lineRule="auto"/>
        <w:rPr>
          <w:rFonts w:ascii="Times New Roman" w:eastAsia="Times New Roman" w:hAnsi="Times New Roman" w:cs="Times New Roman"/>
          <w:sz w:val="24"/>
          <w:szCs w:val="24"/>
        </w:rPr>
      </w:pPr>
    </w:p>
    <w:p w14:paraId="61783A4B" w14:textId="77777777" w:rsidR="002834E8" w:rsidRDefault="002834E8" w:rsidP="002834E8">
      <w:pPr>
        <w:spacing w:line="360" w:lineRule="auto"/>
        <w:rPr>
          <w:rFonts w:ascii="Times New Roman" w:eastAsia="Calibri" w:hAnsi="Times New Roman" w:cs="Times New Roman"/>
          <w:sz w:val="24"/>
          <w:szCs w:val="24"/>
        </w:rPr>
      </w:pPr>
      <w:r w:rsidRPr="002834E8">
        <w:rPr>
          <w:rFonts w:ascii="Times New Roman" w:eastAsia="Calibri" w:hAnsi="Times New Roman" w:cs="Times New Roman"/>
          <w:sz w:val="24"/>
          <w:szCs w:val="24"/>
        </w:rPr>
        <w:t>Ændringen vil medføre, at revisorlovens § 22, stk. 1, 1.-3. pkt. ikke finder anvendelse på forhold, der falder under hvidvaskloven, hvidvaskforordningen og retsakter udstedt i medfør heraf.</w:t>
      </w:r>
    </w:p>
    <w:p w14:paraId="3218EBB3" w14:textId="77777777" w:rsidR="002834E8" w:rsidRPr="002834E8" w:rsidRDefault="002834E8" w:rsidP="002834E8">
      <w:pPr>
        <w:spacing w:line="360" w:lineRule="auto"/>
        <w:rPr>
          <w:rFonts w:ascii="Times New Roman" w:eastAsia="Calibri" w:hAnsi="Times New Roman" w:cs="Times New Roman"/>
          <w:sz w:val="24"/>
          <w:szCs w:val="24"/>
        </w:rPr>
      </w:pPr>
    </w:p>
    <w:p w14:paraId="5C6137D9" w14:textId="77777777" w:rsidR="002834E8" w:rsidRPr="002834E8" w:rsidRDefault="002834E8" w:rsidP="002834E8">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Der er tale om en konsekvensrettelse som følge af EU’s hvidvaskpakke fra 2024, herunder ikrafttrædelsen af hvidvaskforordningen. Ændringerne foreslås som følge af, at størstedelen af forpligtelserne efter hvidvaskloven fremover reguleres direkte af hvidvaskforordningen, herunder undersøgelses- og underretningspligten. Henvisningen til hvidvaskloven fastholdes.</w:t>
      </w:r>
    </w:p>
    <w:p w14:paraId="332D1016" w14:textId="77777777" w:rsidR="00DA0A0B" w:rsidRDefault="00DA0A0B" w:rsidP="00A802A5">
      <w:pPr>
        <w:spacing w:line="360" w:lineRule="auto"/>
        <w:jc w:val="left"/>
        <w:rPr>
          <w:rFonts w:ascii="Times New Roman" w:eastAsia="Times New Roman" w:hAnsi="Times New Roman" w:cs="Times New Roman"/>
          <w:sz w:val="24"/>
          <w:szCs w:val="24"/>
        </w:rPr>
      </w:pPr>
    </w:p>
    <w:p w14:paraId="2D68F071" w14:textId="6FC3F6C5" w:rsidR="005A265F" w:rsidRDefault="005A265F" w:rsidP="005A265F">
      <w:pPr>
        <w:pStyle w:val="Undertitel"/>
      </w:pPr>
      <w:bookmarkStart w:id="2298" w:name="_Toc244879453"/>
      <w:bookmarkStart w:id="2299" w:name="_Toc244880978"/>
      <w:r w:rsidRPr="00796736">
        <w:t xml:space="preserve">Til </w:t>
      </w:r>
      <w:r>
        <w:fldChar w:fldCharType="begin"/>
      </w:r>
      <w:r>
        <w:instrText xml:space="preserve"> REF _Ref244698794 \r \h </w:instrText>
      </w:r>
      <w:r>
        <w:fldChar w:fldCharType="separate"/>
      </w:r>
      <w:r w:rsidR="008F29E5">
        <w:t>§ 157</w:t>
      </w:r>
      <w:bookmarkEnd w:id="2298"/>
      <w:bookmarkEnd w:id="2299"/>
      <w:r>
        <w:fldChar w:fldCharType="end"/>
      </w:r>
      <w:r w:rsidRPr="00796736">
        <w:t xml:space="preserve"> </w:t>
      </w:r>
    </w:p>
    <w:p w14:paraId="69CE1792" w14:textId="77777777" w:rsidR="005A265F" w:rsidRPr="00F571FD" w:rsidRDefault="005A265F" w:rsidP="005A265F">
      <w:pPr>
        <w:spacing w:line="360" w:lineRule="auto"/>
        <w:rPr>
          <w:rFonts w:ascii="Times New Roman" w:eastAsia="Times New Roman" w:hAnsi="Times New Roman" w:cs="Times New Roman"/>
          <w:i/>
          <w:iCs/>
          <w:sz w:val="24"/>
          <w:szCs w:val="24"/>
        </w:rPr>
      </w:pPr>
      <w:r w:rsidRPr="002834E8">
        <w:rPr>
          <w:rFonts w:ascii="Times New Roman" w:eastAsia="Calibri" w:hAnsi="Times New Roman" w:cs="Times New Roman"/>
          <w:i/>
          <w:iCs/>
          <w:sz w:val="24"/>
          <w:szCs w:val="24"/>
        </w:rPr>
        <w:t>Til nr. 1 (</w:t>
      </w:r>
      <w:r w:rsidRPr="002834E8">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159 b, stk. 1, nr. 4, i årsregnskabsloven)</w:t>
      </w:r>
    </w:p>
    <w:p w14:paraId="226B1B33" w14:textId="77777777" w:rsidR="005A265F" w:rsidRDefault="005A265F" w:rsidP="005A265F">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Det fremgår af årsregnskabslovens § 159 b, stk. 1, at Erhvervsstyrelsen gennemfører en kontrol af modtagne årsrapporter og andre dokumenter, som skal indsendes til styrelsen i henhold til årsregnskabsloven, med henblik på at kontrollere overholdelse af de i nr. 1-17 oplistede retsakter. Dette omfatter hvidvaskloven, jf. § 159 b, stk. 1, nr. 4, og regler udstedt i medfør heraf, jf. § 159 b, stk. 1, nr. 17. </w:t>
      </w:r>
    </w:p>
    <w:p w14:paraId="01FF413B" w14:textId="77777777" w:rsidR="005A265F" w:rsidRDefault="005A265F" w:rsidP="005A265F">
      <w:pPr>
        <w:spacing w:line="360" w:lineRule="auto"/>
        <w:rPr>
          <w:rFonts w:ascii="Times New Roman" w:eastAsia="Calibri" w:hAnsi="Times New Roman" w:cs="Times New Roman"/>
          <w:sz w:val="24"/>
          <w:szCs w:val="24"/>
        </w:rPr>
      </w:pPr>
    </w:p>
    <w:p w14:paraId="387635C6" w14:textId="77777777" w:rsidR="005A265F" w:rsidRDefault="005A265F" w:rsidP="005A265F">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Det foreslås i årsregnskabslovens </w:t>
      </w:r>
      <w:r w:rsidRPr="00675D14">
        <w:rPr>
          <w:rFonts w:ascii="Times New Roman" w:eastAsia="Calibri" w:hAnsi="Times New Roman" w:cs="Times New Roman"/>
          <w:i/>
          <w:iCs/>
          <w:sz w:val="24"/>
          <w:szCs w:val="24"/>
        </w:rPr>
        <w:t>§ 159 b,</w:t>
      </w:r>
      <w:r>
        <w:rPr>
          <w:rFonts w:ascii="Times New Roman" w:eastAsia="Calibri" w:hAnsi="Times New Roman" w:cs="Times New Roman"/>
          <w:i/>
          <w:iCs/>
          <w:sz w:val="24"/>
          <w:szCs w:val="24"/>
        </w:rPr>
        <w:t xml:space="preserve"> stk. 1, nr. 4,</w:t>
      </w:r>
      <w:r>
        <w:rPr>
          <w:rFonts w:ascii="Times New Roman" w:eastAsia="Calibri" w:hAnsi="Times New Roman" w:cs="Times New Roman"/>
          <w:sz w:val="24"/>
          <w:szCs w:val="24"/>
        </w:rPr>
        <w:t xml:space="preserve"> efter </w:t>
      </w:r>
      <w:r w:rsidRPr="002834E8">
        <w:rPr>
          <w:rFonts w:ascii="Times New Roman" w:eastAsia="Times New Roman" w:hAnsi="Times New Roman" w:cs="Times New Roman"/>
          <w:sz w:val="24"/>
          <w:szCs w:val="24"/>
        </w:rPr>
        <w:t>»hvidvaskloven«</w:t>
      </w:r>
      <w:r>
        <w:rPr>
          <w:rFonts w:ascii="Times New Roman" w:eastAsia="Times New Roman" w:hAnsi="Times New Roman" w:cs="Times New Roman"/>
          <w:sz w:val="24"/>
          <w:szCs w:val="24"/>
        </w:rPr>
        <w:t xml:space="preserve"> at indsætte </w:t>
      </w:r>
      <w:r w:rsidRPr="002834E8">
        <w:rPr>
          <w:rFonts w:ascii="Times New Roman" w:eastAsia="Times New Roman" w:hAnsi="Times New Roman" w:cs="Times New Roman"/>
          <w:sz w:val="24"/>
          <w:szCs w:val="24"/>
        </w:rPr>
        <w:t>», Europa-Parlamentets og Rådets forordning (EU) 2024/1624 (hvidvaskforordningen) og retsakter udstedt i medfør heraf«</w:t>
      </w:r>
      <w:r>
        <w:rPr>
          <w:rFonts w:ascii="Times New Roman" w:eastAsia="Calibri" w:hAnsi="Times New Roman" w:cs="Times New Roman"/>
          <w:sz w:val="24"/>
          <w:szCs w:val="24"/>
        </w:rPr>
        <w:t xml:space="preserve"> </w:t>
      </w:r>
    </w:p>
    <w:p w14:paraId="29F9AF65" w14:textId="77777777" w:rsidR="005A265F" w:rsidRPr="00567A0B" w:rsidRDefault="005A265F" w:rsidP="005A265F">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ACA8497" w14:textId="77777777" w:rsidR="005A265F" w:rsidRDefault="005A265F" w:rsidP="005A265F">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Ændringe</w:t>
      </w:r>
      <w:r>
        <w:rPr>
          <w:rFonts w:ascii="Times New Roman" w:eastAsia="Times New Roman" w:hAnsi="Times New Roman" w:cs="Times New Roman"/>
          <w:sz w:val="24"/>
          <w:szCs w:val="24"/>
        </w:rPr>
        <w:t>n</w:t>
      </w:r>
      <w:r w:rsidRPr="002834E8">
        <w:rPr>
          <w:rFonts w:ascii="Times New Roman" w:eastAsia="Times New Roman" w:hAnsi="Times New Roman" w:cs="Times New Roman"/>
          <w:sz w:val="24"/>
          <w:szCs w:val="24"/>
        </w:rPr>
        <w:t xml:space="preserve"> vil medføre, at der i tillæg til den eksisterende henvisning til hvidvaskloven også vil ske henvisning til hvidvaskforordningen og retsakter udstedt i medfør heraf</w:t>
      </w:r>
      <w:r>
        <w:rPr>
          <w:rFonts w:ascii="Times New Roman" w:eastAsia="Times New Roman" w:hAnsi="Times New Roman" w:cs="Times New Roman"/>
          <w:sz w:val="24"/>
          <w:szCs w:val="24"/>
        </w:rPr>
        <w:t>, hvormed Erhvervsstyrelsens efterfølgende kontrol af modtagne årsrapporter og andre dokumenter vil kunne gennemføres med henblik på at kontrollere overholdelse af den samlede hvidvaskregulering.</w:t>
      </w:r>
    </w:p>
    <w:p w14:paraId="764D78F5" w14:textId="77777777" w:rsidR="005A265F" w:rsidRDefault="005A265F" w:rsidP="005A265F">
      <w:pPr>
        <w:spacing w:line="360" w:lineRule="auto"/>
        <w:rPr>
          <w:rFonts w:ascii="Times New Roman" w:eastAsia="Calibri" w:hAnsi="Times New Roman" w:cs="Times New Roman"/>
          <w:sz w:val="24"/>
          <w:szCs w:val="24"/>
        </w:rPr>
      </w:pPr>
    </w:p>
    <w:p w14:paraId="1526429F" w14:textId="77777777" w:rsidR="005A265F" w:rsidRPr="009F3FB3" w:rsidRDefault="005A265F" w:rsidP="005A265F">
      <w:pPr>
        <w:spacing w:line="360" w:lineRule="auto"/>
        <w:rPr>
          <w:rFonts w:ascii="Times New Roman" w:eastAsia="Times New Roman" w:hAnsi="Times New Roman" w:cs="Times New Roman"/>
          <w:sz w:val="24"/>
          <w:szCs w:val="24"/>
        </w:rPr>
      </w:pPr>
      <w:r w:rsidRPr="002834E8">
        <w:rPr>
          <w:rFonts w:ascii="Times New Roman" w:eastAsia="Times New Roman" w:hAnsi="Times New Roman" w:cs="Times New Roman"/>
          <w:sz w:val="24"/>
          <w:szCs w:val="24"/>
        </w:rPr>
        <w:t xml:space="preserve">Der er tale om en konsekvensrettelse som følge af EU’s hvidvaskpakke fra 2024, herunder ikrafttrædelsen af hvidvaskforordningen. Ændringerne foreslås som følge af, at størstedelen af forpligtelserne efter hvidvaskloven fremover reguleres direkte af hvidvaskforordningen. Henvisningen til hvidvaskloven fastholdes, idet loven fortsat vil regulere blandt andet kontantforbudsgrænser. </w:t>
      </w:r>
    </w:p>
    <w:p w14:paraId="6F871CCE" w14:textId="77777777" w:rsidR="005A265F" w:rsidRPr="00796736" w:rsidRDefault="005A265F" w:rsidP="00A802A5">
      <w:pPr>
        <w:spacing w:line="360" w:lineRule="auto"/>
        <w:jc w:val="left"/>
        <w:rPr>
          <w:rFonts w:ascii="Times New Roman" w:eastAsia="Times New Roman" w:hAnsi="Times New Roman" w:cs="Times New Roman"/>
          <w:sz w:val="24"/>
          <w:szCs w:val="24"/>
        </w:rPr>
      </w:pPr>
    </w:p>
    <w:p w14:paraId="0E4538A5" w14:textId="77777777" w:rsidR="00AF285D" w:rsidRPr="00796736" w:rsidRDefault="00AF285D" w:rsidP="00A802A5">
      <w:pPr>
        <w:spacing w:line="360" w:lineRule="auto"/>
        <w:jc w:val="left"/>
        <w:rPr>
          <w:rFonts w:ascii="Times New Roman" w:eastAsia="Times New Roman" w:hAnsi="Times New Roman" w:cs="Times New Roman"/>
          <w:sz w:val="24"/>
          <w:szCs w:val="24"/>
        </w:rPr>
      </w:pPr>
    </w:p>
    <w:p w14:paraId="67513430" w14:textId="3E3CCC1D" w:rsidR="00AF285D" w:rsidRDefault="00AF285D" w:rsidP="00A802A5">
      <w:pPr>
        <w:pStyle w:val="Undertitel"/>
      </w:pPr>
      <w:bookmarkStart w:id="2300" w:name="_Toc244879454"/>
      <w:bookmarkStart w:id="2301" w:name="_Toc244880979"/>
      <w:r w:rsidRPr="00796736">
        <w:t xml:space="preserve">Til </w:t>
      </w:r>
      <w:r w:rsidRPr="00796736">
        <w:fldChar w:fldCharType="begin"/>
      </w:r>
      <w:r w:rsidRPr="00796736">
        <w:instrText xml:space="preserve"> REF _Ref237008665 \n \h  \* MERGEFORMAT </w:instrText>
      </w:r>
      <w:r w:rsidRPr="00796736">
        <w:fldChar w:fldCharType="separate"/>
      </w:r>
      <w:r w:rsidR="008F29E5">
        <w:t>§ 158</w:t>
      </w:r>
      <w:bookmarkEnd w:id="2300"/>
      <w:bookmarkEnd w:id="2301"/>
      <w:r w:rsidRPr="00796736">
        <w:fldChar w:fldCharType="end"/>
      </w:r>
      <w:r w:rsidRPr="00796736">
        <w:t xml:space="preserve"> </w:t>
      </w:r>
    </w:p>
    <w:p w14:paraId="3024BF15" w14:textId="77777777" w:rsidR="002834E8" w:rsidRPr="002834E8" w:rsidRDefault="002834E8" w:rsidP="002834E8">
      <w:pPr>
        <w:rPr>
          <w:lang w:eastAsia="da-DK"/>
        </w:rPr>
      </w:pPr>
    </w:p>
    <w:p w14:paraId="0EF9F942" w14:textId="77777777" w:rsidR="00AF285D" w:rsidRPr="00796736" w:rsidRDefault="00AF285D" w:rsidP="00A802A5">
      <w:pPr>
        <w:spacing w:after="20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Efter § 41 i hvidvaskloven kan Finanstilsynet meddele tilladelse til valutavekslingsvirksomhed, hvis virksomheden opfylder de betingelser, der følger af lovgivningen. </w:t>
      </w:r>
    </w:p>
    <w:p w14:paraId="26DC09FB" w14:textId="0FDD9E55" w:rsidR="00AF285D" w:rsidRPr="00796736" w:rsidRDefault="00AF285D" w:rsidP="00A802A5">
      <w:pPr>
        <w:spacing w:after="20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Det foreslås i </w:t>
      </w:r>
      <w:r w:rsidRPr="00796736">
        <w:rPr>
          <w:rFonts w:ascii="Times New Roman" w:eastAsia="Calibri" w:hAnsi="Times New Roman" w:cs="Times New Roman"/>
          <w:i/>
          <w:iCs/>
          <w:sz w:val="24"/>
          <w:szCs w:val="24"/>
        </w:rPr>
        <w:fldChar w:fldCharType="begin"/>
      </w:r>
      <w:r w:rsidRPr="00796736">
        <w:rPr>
          <w:rFonts w:ascii="Times New Roman" w:eastAsia="Calibri" w:hAnsi="Times New Roman" w:cs="Times New Roman"/>
          <w:i/>
          <w:iCs/>
          <w:sz w:val="24"/>
          <w:szCs w:val="24"/>
        </w:rPr>
        <w:instrText xml:space="preserve"> REF _Ref237008665 \n \h  \* MERGEFORMAT </w:instrText>
      </w:r>
      <w:r w:rsidRPr="00796736">
        <w:rPr>
          <w:rFonts w:ascii="Times New Roman" w:eastAsia="Calibri" w:hAnsi="Times New Roman" w:cs="Times New Roman"/>
          <w:i/>
          <w:iCs/>
          <w:sz w:val="24"/>
          <w:szCs w:val="24"/>
        </w:rPr>
      </w:r>
      <w:r w:rsidRPr="00796736">
        <w:rPr>
          <w:rFonts w:ascii="Times New Roman" w:eastAsia="Calibri" w:hAnsi="Times New Roman" w:cs="Times New Roman"/>
          <w:i/>
          <w:iCs/>
          <w:sz w:val="24"/>
          <w:szCs w:val="24"/>
        </w:rPr>
        <w:fldChar w:fldCharType="separate"/>
      </w:r>
      <w:r w:rsidR="008F29E5">
        <w:rPr>
          <w:rFonts w:ascii="Times New Roman" w:eastAsia="Calibri" w:hAnsi="Times New Roman" w:cs="Times New Roman"/>
          <w:i/>
          <w:iCs/>
          <w:sz w:val="24"/>
          <w:szCs w:val="24"/>
        </w:rPr>
        <w:t>§ 158</w:t>
      </w:r>
      <w:r w:rsidRPr="00796736">
        <w:rPr>
          <w:rFonts w:ascii="Times New Roman" w:eastAsia="Calibri" w:hAnsi="Times New Roman" w:cs="Times New Roman"/>
          <w:i/>
          <w:iCs/>
          <w:sz w:val="24"/>
          <w:szCs w:val="24"/>
        </w:rPr>
        <w:fldChar w:fldCharType="end"/>
      </w:r>
      <w:r w:rsidRPr="00796736">
        <w:rPr>
          <w:rFonts w:ascii="Times New Roman" w:eastAsia="Calibri" w:hAnsi="Times New Roman" w:cs="Times New Roman"/>
          <w:iCs/>
          <w:sz w:val="24"/>
          <w:szCs w:val="24"/>
        </w:rPr>
        <w:t xml:space="preserve">, at </w:t>
      </w:r>
      <w:r w:rsidRPr="00796736">
        <w:rPr>
          <w:rFonts w:ascii="Times New Roman" w:eastAsia="Times New Roman" w:hAnsi="Times New Roman" w:cs="Times New Roman"/>
          <w:sz w:val="24"/>
          <w:szCs w:val="24"/>
          <w:lang w:eastAsia="da-DK"/>
        </w:rPr>
        <w:fldChar w:fldCharType="begin"/>
      </w:r>
      <w:r w:rsidRPr="00796736">
        <w:rPr>
          <w:rFonts w:ascii="Times New Roman" w:eastAsia="Calibri" w:hAnsi="Times New Roman" w:cs="Times New Roman"/>
          <w:iCs/>
          <w:sz w:val="24"/>
          <w:szCs w:val="24"/>
        </w:rPr>
        <w:instrText xml:space="preserve"> REF _Ref232596553 \r \h </w:instrText>
      </w:r>
      <w:r w:rsidR="007B18B1"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Calibri" w:hAnsi="Times New Roman" w:cs="Times New Roman"/>
          <w:iCs/>
          <w:sz w:val="24"/>
          <w:szCs w:val="24"/>
        </w:rPr>
        <w:t>§ 41</w:t>
      </w:r>
      <w:r w:rsidRPr="00796736">
        <w:rPr>
          <w:rFonts w:ascii="Times New Roman" w:eastAsia="Times New Roman" w:hAnsi="Times New Roman" w:cs="Times New Roman"/>
          <w:sz w:val="24"/>
          <w:szCs w:val="24"/>
          <w:lang w:eastAsia="da-DK"/>
        </w:rPr>
        <w:fldChar w:fldCharType="end"/>
      </w:r>
      <w:r w:rsidRPr="00796736">
        <w:rPr>
          <w:rFonts w:ascii="Times New Roman" w:eastAsia="Times New Roman" w:hAnsi="Times New Roman" w:cs="Times New Roman"/>
          <w:sz w:val="24"/>
          <w:szCs w:val="24"/>
          <w:lang w:eastAsia="da-DK"/>
        </w:rPr>
        <w:t xml:space="preserve">, nr. 5, finder anvendelse for virksomheder, der ansøger om tilladelse til valutavekslingsvirksomhed efter den 10. juli 2027. Endvidere foreslås det, at </w:t>
      </w:r>
      <w:r w:rsidRPr="00796736">
        <w:rPr>
          <w:rFonts w:ascii="Times New Roman" w:eastAsia="Calibri" w:hAnsi="Times New Roman" w:cs="Times New Roman"/>
          <w:iCs/>
          <w:sz w:val="24"/>
          <w:szCs w:val="24"/>
        </w:rPr>
        <w:t xml:space="preserve">de hidtil gældende regler fortsat finder anvendelse for virksomheder, der har opnået tilladelse inden denne dato, medmindre der sker ændringer i de forhold, der er omfattet af </w:t>
      </w:r>
      <w:r w:rsidRPr="00796736">
        <w:rPr>
          <w:rFonts w:ascii="Times New Roman" w:eastAsia="Times New Roman" w:hAnsi="Times New Roman" w:cs="Times New Roman"/>
          <w:sz w:val="24"/>
          <w:szCs w:val="24"/>
          <w:lang w:eastAsia="da-DK"/>
        </w:rPr>
        <w:fldChar w:fldCharType="begin"/>
      </w:r>
      <w:r w:rsidRPr="00796736">
        <w:rPr>
          <w:rFonts w:ascii="Times New Roman" w:eastAsia="Calibri" w:hAnsi="Times New Roman" w:cs="Times New Roman"/>
          <w:iCs/>
          <w:sz w:val="24"/>
          <w:szCs w:val="24"/>
        </w:rPr>
        <w:instrText xml:space="preserve"> REF _Ref232596553 \r \h </w:instrText>
      </w:r>
      <w:r w:rsidR="007B18B1"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Calibri" w:hAnsi="Times New Roman" w:cs="Times New Roman"/>
          <w:iCs/>
          <w:sz w:val="24"/>
          <w:szCs w:val="24"/>
        </w:rPr>
        <w:t>§ 41</w:t>
      </w:r>
      <w:r w:rsidRPr="00796736">
        <w:rPr>
          <w:rFonts w:ascii="Times New Roman" w:eastAsia="Times New Roman" w:hAnsi="Times New Roman" w:cs="Times New Roman"/>
          <w:sz w:val="24"/>
          <w:szCs w:val="24"/>
          <w:lang w:eastAsia="da-DK"/>
        </w:rPr>
        <w:fldChar w:fldCharType="end"/>
      </w:r>
      <w:r w:rsidRPr="00796736">
        <w:rPr>
          <w:rFonts w:ascii="Times New Roman" w:eastAsia="Calibri" w:hAnsi="Times New Roman" w:cs="Times New Roman"/>
          <w:iCs/>
          <w:sz w:val="24"/>
          <w:szCs w:val="24"/>
        </w:rPr>
        <w:t>, nr. 5.</w:t>
      </w:r>
    </w:p>
    <w:p w14:paraId="6277B414" w14:textId="27B53DBD" w:rsidR="00AF285D" w:rsidRPr="00796736" w:rsidRDefault="00AF285D" w:rsidP="00A802A5">
      <w:pPr>
        <w:spacing w:after="20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foreslåede </w:t>
      </w:r>
      <w:r w:rsidRPr="00796736">
        <w:rPr>
          <w:rFonts w:ascii="Times New Roman" w:eastAsia="Calibri" w:hAnsi="Times New Roman" w:cs="Times New Roman"/>
          <w:sz w:val="24"/>
          <w:szCs w:val="24"/>
        </w:rPr>
        <w:fldChar w:fldCharType="begin"/>
      </w:r>
      <w:r w:rsidRPr="00796736">
        <w:rPr>
          <w:rFonts w:ascii="Times New Roman" w:eastAsia="Calibri" w:hAnsi="Times New Roman" w:cs="Times New Roman"/>
          <w:sz w:val="24"/>
          <w:szCs w:val="24"/>
        </w:rPr>
        <w:instrText xml:space="preserve"> REF _Ref237008665 \n \h  \* MERGEFORMAT </w:instrText>
      </w:r>
      <w:r w:rsidRPr="00796736">
        <w:rPr>
          <w:rFonts w:ascii="Times New Roman" w:eastAsia="Calibri" w:hAnsi="Times New Roman" w:cs="Times New Roman"/>
          <w:sz w:val="24"/>
          <w:szCs w:val="24"/>
        </w:rPr>
      </w:r>
      <w:r w:rsidRPr="00796736">
        <w:rPr>
          <w:rFonts w:ascii="Times New Roman" w:eastAsia="Calibri" w:hAnsi="Times New Roman" w:cs="Times New Roman"/>
          <w:sz w:val="24"/>
          <w:szCs w:val="24"/>
        </w:rPr>
        <w:fldChar w:fldCharType="separate"/>
      </w:r>
      <w:r w:rsidR="008F29E5">
        <w:rPr>
          <w:rFonts w:ascii="Times New Roman" w:eastAsia="Calibri" w:hAnsi="Times New Roman" w:cs="Times New Roman"/>
          <w:sz w:val="24"/>
          <w:szCs w:val="24"/>
        </w:rPr>
        <w:t>§ 158</w:t>
      </w:r>
      <w:r w:rsidRPr="00796736">
        <w:rPr>
          <w:rFonts w:ascii="Times New Roman" w:eastAsia="Calibri" w:hAnsi="Times New Roman" w:cs="Times New Roman"/>
          <w:sz w:val="24"/>
          <w:szCs w:val="24"/>
        </w:rPr>
        <w:fldChar w:fldCharType="end"/>
      </w:r>
      <w:r w:rsidRPr="00796736">
        <w:rPr>
          <w:rFonts w:ascii="Times New Roman" w:eastAsia="Calibri" w:hAnsi="Times New Roman" w:cs="Times New Roman"/>
          <w:i/>
          <w:iCs/>
          <w:sz w:val="24"/>
          <w:szCs w:val="24"/>
        </w:rPr>
        <w:t xml:space="preserve"> </w:t>
      </w:r>
      <w:r w:rsidRPr="00796736">
        <w:rPr>
          <w:rFonts w:ascii="Times New Roman" w:eastAsia="Calibri" w:hAnsi="Times New Roman" w:cs="Times New Roman"/>
          <w:iCs/>
          <w:sz w:val="24"/>
          <w:szCs w:val="24"/>
        </w:rPr>
        <w:t xml:space="preserve">fastsætter en overgangsordning for anvendelsen af </w:t>
      </w:r>
      <w:r w:rsidRPr="00796736">
        <w:rPr>
          <w:rFonts w:ascii="Times New Roman" w:eastAsia="Times New Roman" w:hAnsi="Times New Roman" w:cs="Times New Roman"/>
          <w:sz w:val="24"/>
          <w:szCs w:val="24"/>
          <w:lang w:eastAsia="da-DK"/>
        </w:rPr>
        <w:fldChar w:fldCharType="begin"/>
      </w:r>
      <w:r w:rsidRPr="00796736">
        <w:rPr>
          <w:rFonts w:ascii="Times New Roman" w:eastAsia="Calibri" w:hAnsi="Times New Roman" w:cs="Times New Roman"/>
          <w:iCs/>
          <w:sz w:val="24"/>
          <w:szCs w:val="24"/>
        </w:rPr>
        <w:instrText xml:space="preserve"> REF _Ref232596553 \r \h </w:instrText>
      </w:r>
      <w:r w:rsidR="007B18B1"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Calibri" w:hAnsi="Times New Roman" w:cs="Times New Roman"/>
          <w:iCs/>
          <w:sz w:val="24"/>
          <w:szCs w:val="24"/>
        </w:rPr>
        <w:t>§ 41</w:t>
      </w:r>
      <w:r w:rsidRPr="00796736">
        <w:rPr>
          <w:rFonts w:ascii="Times New Roman" w:eastAsia="Times New Roman" w:hAnsi="Times New Roman" w:cs="Times New Roman"/>
          <w:sz w:val="24"/>
          <w:szCs w:val="24"/>
          <w:lang w:eastAsia="da-DK"/>
        </w:rPr>
        <w:fldChar w:fldCharType="end"/>
      </w:r>
      <w:r w:rsidRPr="00796736">
        <w:rPr>
          <w:rFonts w:ascii="Times New Roman" w:eastAsia="Calibri" w:hAnsi="Times New Roman" w:cs="Times New Roman"/>
          <w:iCs/>
          <w:sz w:val="24"/>
          <w:szCs w:val="24"/>
        </w:rPr>
        <w:t>, nr. 5, der vedrører betingelsen om, at valutavekslingsvirksomheder ikke tidligere har været pålagt strafansvar for overtrædelse af straffeloven, den finansielle lovgivning eller anden relevant lovgivning, hvis overtrædelsen indebærer risiko for misbrug af registreringen.</w:t>
      </w:r>
    </w:p>
    <w:p w14:paraId="73DE08B0" w14:textId="4185CE3B" w:rsidR="00AF285D" w:rsidRPr="00796736" w:rsidRDefault="00AF285D" w:rsidP="00A802A5">
      <w:pPr>
        <w:spacing w:after="20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Overgangsbestemmelsen indebærer, at virksomheder, der allerede har opnået tilladelse til at udøve valutavekslingsvirksomhed inden ikrafttrædelsen af det nye krav, ikke skal vurderes på ny i forhold til, om virksomheden forud for tilladelsen har været pålagt strafansvar. Det nye krav finder alene anvendelse for virksomheder, der ansøger om tilladelse efter </w:t>
      </w:r>
      <w:r w:rsidRPr="00796736">
        <w:rPr>
          <w:rFonts w:ascii="Times New Roman" w:hAnsi="Times New Roman" w:cs="Times New Roman"/>
          <w:sz w:val="24"/>
          <w:szCs w:val="24"/>
        </w:rPr>
        <w:t xml:space="preserve">ikrafttrædelsesdatoen, eller hvis der efter denne dato sker væsentlige ændringer i de forhold, der er relevante for vurderingen. </w:t>
      </w:r>
    </w:p>
    <w:p w14:paraId="48F9C32D" w14:textId="30D8A7E0" w:rsidR="00AF285D" w:rsidRPr="00796736" w:rsidRDefault="00AF285D" w:rsidP="00A802A5">
      <w:pPr>
        <w:spacing w:after="20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 xml:space="preserve">Den nye betingelse i </w:t>
      </w:r>
      <w:r w:rsidRPr="00796736">
        <w:rPr>
          <w:rFonts w:ascii="Times New Roman" w:eastAsia="Times New Roman" w:hAnsi="Times New Roman" w:cs="Times New Roman"/>
          <w:sz w:val="24"/>
          <w:szCs w:val="24"/>
          <w:lang w:eastAsia="da-DK"/>
        </w:rPr>
        <w:fldChar w:fldCharType="begin"/>
      </w:r>
      <w:r w:rsidRPr="00796736">
        <w:rPr>
          <w:rFonts w:ascii="Times New Roman" w:eastAsia="Calibri" w:hAnsi="Times New Roman" w:cs="Times New Roman"/>
          <w:iCs/>
          <w:sz w:val="24"/>
          <w:szCs w:val="24"/>
        </w:rPr>
        <w:instrText xml:space="preserve"> REF _Ref232596553 \r \h </w:instrText>
      </w:r>
      <w:r w:rsidR="007B18B1"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Calibri" w:hAnsi="Times New Roman" w:cs="Times New Roman"/>
          <w:iCs/>
          <w:sz w:val="24"/>
          <w:szCs w:val="24"/>
        </w:rPr>
        <w:t>§ 41</w:t>
      </w:r>
      <w:r w:rsidRPr="00796736">
        <w:rPr>
          <w:rFonts w:ascii="Times New Roman" w:eastAsia="Times New Roman" w:hAnsi="Times New Roman" w:cs="Times New Roman"/>
          <w:sz w:val="24"/>
          <w:szCs w:val="24"/>
          <w:lang w:eastAsia="da-DK"/>
        </w:rPr>
        <w:fldChar w:fldCharType="end"/>
      </w:r>
      <w:r w:rsidRPr="00796736">
        <w:rPr>
          <w:rFonts w:ascii="Times New Roman" w:eastAsia="Calibri" w:hAnsi="Times New Roman" w:cs="Times New Roman"/>
          <w:iCs/>
          <w:sz w:val="24"/>
          <w:szCs w:val="24"/>
        </w:rPr>
        <w:t xml:space="preserve">, nr. 5, gælder således kun for valutavekslingsvirksomheder, der ansøger om tilladelse efter den 10. juli 2027. For virksomheder, der har opnået tilladelse inden denne dato, videreføres de hidtil gældende regler, medmindre der sker væsentlige ændringer i de forhold, der er omfattet af </w:t>
      </w:r>
      <w:r w:rsidRPr="00796736">
        <w:rPr>
          <w:rFonts w:ascii="Times New Roman" w:eastAsia="Times New Roman" w:hAnsi="Times New Roman" w:cs="Times New Roman"/>
          <w:sz w:val="24"/>
          <w:szCs w:val="24"/>
          <w:lang w:eastAsia="da-DK"/>
        </w:rPr>
        <w:fldChar w:fldCharType="begin"/>
      </w:r>
      <w:r w:rsidRPr="00796736">
        <w:rPr>
          <w:rFonts w:ascii="Times New Roman" w:eastAsia="Calibri" w:hAnsi="Times New Roman" w:cs="Times New Roman"/>
          <w:iCs/>
          <w:sz w:val="24"/>
          <w:szCs w:val="24"/>
        </w:rPr>
        <w:instrText xml:space="preserve"> REF _Ref232596553 \r \h </w:instrText>
      </w:r>
      <w:r w:rsidR="007B18B1" w:rsidRPr="00796736">
        <w:rPr>
          <w:rFonts w:ascii="Times New Roman" w:eastAsia="Times New Roman" w:hAnsi="Times New Roman" w:cs="Times New Roman"/>
          <w:sz w:val="24"/>
          <w:szCs w:val="24"/>
          <w:lang w:eastAsia="da-DK"/>
        </w:rPr>
        <w:instrText xml:space="preserve"> \* MERGEFORMAT </w:instrText>
      </w:r>
      <w:r w:rsidRPr="00796736">
        <w:rPr>
          <w:rFonts w:ascii="Times New Roman" w:eastAsia="Times New Roman" w:hAnsi="Times New Roman" w:cs="Times New Roman"/>
          <w:sz w:val="24"/>
          <w:szCs w:val="24"/>
          <w:lang w:eastAsia="da-DK"/>
        </w:rPr>
      </w:r>
      <w:r w:rsidRPr="00796736">
        <w:rPr>
          <w:rFonts w:ascii="Times New Roman" w:eastAsia="Times New Roman" w:hAnsi="Times New Roman" w:cs="Times New Roman"/>
          <w:sz w:val="24"/>
          <w:szCs w:val="24"/>
          <w:lang w:eastAsia="da-DK"/>
        </w:rPr>
        <w:fldChar w:fldCharType="separate"/>
      </w:r>
      <w:r w:rsidR="008F29E5">
        <w:rPr>
          <w:rFonts w:ascii="Times New Roman" w:eastAsia="Calibri" w:hAnsi="Times New Roman" w:cs="Times New Roman"/>
          <w:iCs/>
          <w:sz w:val="24"/>
          <w:szCs w:val="24"/>
        </w:rPr>
        <w:t>§ 41</w:t>
      </w:r>
      <w:r w:rsidRPr="00796736">
        <w:rPr>
          <w:rFonts w:ascii="Times New Roman" w:eastAsia="Times New Roman" w:hAnsi="Times New Roman" w:cs="Times New Roman"/>
          <w:sz w:val="24"/>
          <w:szCs w:val="24"/>
          <w:lang w:eastAsia="da-DK"/>
        </w:rPr>
        <w:fldChar w:fldCharType="end"/>
      </w:r>
      <w:r w:rsidRPr="00796736">
        <w:rPr>
          <w:rFonts w:ascii="Times New Roman" w:eastAsia="Calibri" w:hAnsi="Times New Roman" w:cs="Times New Roman"/>
          <w:iCs/>
          <w:sz w:val="24"/>
          <w:szCs w:val="24"/>
        </w:rPr>
        <w:t>, nr. 5. Eksisterende tilladelser berøres ikke af det nye krav, medmindre der opstår nye forhold, eksempelvis ved ændringer i ledelsen, ejerforhold eller strafansvar, som kræver en ny vurdering.</w:t>
      </w:r>
    </w:p>
    <w:p w14:paraId="30C1623A" w14:textId="77777777" w:rsidR="00AF285D" w:rsidRPr="00796736" w:rsidRDefault="00AF285D" w:rsidP="00A802A5">
      <w:pPr>
        <w:spacing w:after="20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Formålet med overgangsordningen er at sikre forudsigelighed og retssikkerhed for virksomheder, der allerede har opnået tilladelse, således at tilladelser ikke bliver genstand for en ny vurdering på baggrund af forhold, der lå forud for tilladelsen. Samtidig sikres det, at nye ansøgninger og væsentlige ændringer i eksisterende virksomheder underlægges de skærpede krav, hvilket understøtter tilliden til sektoren og forebygger misbrug.</w:t>
      </w:r>
    </w:p>
    <w:p w14:paraId="299D55F5" w14:textId="0FC0A125" w:rsidR="00AF285D" w:rsidRDefault="00AF285D" w:rsidP="00A802A5">
      <w:pPr>
        <w:spacing w:after="200" w:line="360" w:lineRule="auto"/>
        <w:rPr>
          <w:rFonts w:ascii="Times New Roman" w:eastAsia="Calibri" w:hAnsi="Times New Roman" w:cs="Times New Roman"/>
          <w:iCs/>
          <w:sz w:val="24"/>
          <w:szCs w:val="24"/>
        </w:rPr>
      </w:pPr>
      <w:r w:rsidRPr="00796736">
        <w:rPr>
          <w:rFonts w:ascii="Times New Roman" w:eastAsia="Calibri" w:hAnsi="Times New Roman" w:cs="Times New Roman"/>
          <w:iCs/>
          <w:sz w:val="24"/>
          <w:szCs w:val="24"/>
        </w:rPr>
        <w:t>Hvis der efter den 10. juli 2027 sker ændringer i de forhold, der er omfattet af 42, nr. 5, vil virksomheden skulle opfylde de nye krav i forbindelse med den ændrede situation. Herved sikres det, at væsentlige ændringer i virksomhedens forhold underlægges de samme krav som nye ansøgninger.</w:t>
      </w:r>
    </w:p>
    <w:p w14:paraId="1CA12ACB" w14:textId="77777777" w:rsidR="00E5608B" w:rsidRPr="00796736" w:rsidRDefault="00E5608B" w:rsidP="00A802A5">
      <w:pPr>
        <w:spacing w:after="200" w:line="360" w:lineRule="auto"/>
        <w:rPr>
          <w:rFonts w:ascii="Times New Roman" w:eastAsia="Calibri" w:hAnsi="Times New Roman" w:cs="Times New Roman"/>
          <w:iCs/>
          <w:sz w:val="24"/>
          <w:szCs w:val="24"/>
        </w:rPr>
      </w:pPr>
    </w:p>
    <w:p w14:paraId="3667C58F" w14:textId="1B948461" w:rsidR="002100A4" w:rsidRDefault="002100A4" w:rsidP="002100A4">
      <w:pPr>
        <w:pStyle w:val="Undertitel"/>
      </w:pPr>
      <w:bookmarkStart w:id="2302" w:name="_Toc244880980"/>
      <w:r w:rsidRPr="00796736">
        <w:t xml:space="preserve">Til </w:t>
      </w:r>
      <w:r w:rsidR="00867611">
        <w:fldChar w:fldCharType="begin"/>
      </w:r>
      <w:r w:rsidR="00867611">
        <w:instrText xml:space="preserve"> REF _Ref244880290 \r \h </w:instrText>
      </w:r>
      <w:r w:rsidR="00867611">
        <w:fldChar w:fldCharType="separate"/>
      </w:r>
      <w:r w:rsidR="00867611">
        <w:t>§ 159</w:t>
      </w:r>
      <w:bookmarkEnd w:id="2302"/>
      <w:r w:rsidR="00867611">
        <w:fldChar w:fldCharType="end"/>
      </w:r>
      <w:r w:rsidRPr="00796736">
        <w:t xml:space="preserve"> </w:t>
      </w:r>
    </w:p>
    <w:p w14:paraId="3BCBAAEB"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bookmarkStart w:id="2303" w:name="_Toc244880981"/>
      <w:r w:rsidRPr="00E04E8C">
        <w:rPr>
          <w:rFonts w:ascii="Times New Roman" w:hAnsi="Times New Roman" w:cs="Times New Roman"/>
          <w:sz w:val="24"/>
          <w:szCs w:val="24"/>
          <w:lang w:eastAsia="da-DK"/>
        </w:rPr>
        <w:t>Der er ikke i dag krav til reelle ejere</w:t>
      </w:r>
      <w:r>
        <w:rPr>
          <w:rFonts w:ascii="Times New Roman" w:hAnsi="Times New Roman" w:cs="Times New Roman"/>
          <w:sz w:val="24"/>
          <w:szCs w:val="24"/>
          <w:lang w:eastAsia="da-DK"/>
        </w:rPr>
        <w:t xml:space="preserve"> af boligkreditformidleres</w:t>
      </w:r>
      <w:r w:rsidRPr="00E04E8C">
        <w:rPr>
          <w:rFonts w:ascii="Times New Roman" w:hAnsi="Times New Roman" w:cs="Times New Roman"/>
          <w:sz w:val="24"/>
          <w:szCs w:val="24"/>
          <w:lang w:eastAsia="da-DK"/>
        </w:rPr>
        <w:t xml:space="preserve"> hæderlighed i lov om investeringsrådgivere og boligkreditformidlere. </w:t>
      </w:r>
      <w:r>
        <w:rPr>
          <w:rFonts w:ascii="Times New Roman" w:hAnsi="Times New Roman" w:cs="Times New Roman"/>
          <w:sz w:val="24"/>
          <w:szCs w:val="24"/>
          <w:lang w:eastAsia="da-DK"/>
        </w:rPr>
        <w:t>Tilsvarende er der ikke i dag krav til reelle ejere af kreditformidlere efter lov om forbrugslånsvirksomheder og registrering af kreditformidlere.</w:t>
      </w:r>
      <w:bookmarkEnd w:id="2303"/>
      <w:r>
        <w:rPr>
          <w:rFonts w:ascii="Times New Roman" w:hAnsi="Times New Roman" w:cs="Times New Roman"/>
          <w:sz w:val="24"/>
          <w:szCs w:val="24"/>
          <w:lang w:eastAsia="da-DK"/>
        </w:rPr>
        <w:t xml:space="preserve"> </w:t>
      </w:r>
    </w:p>
    <w:p w14:paraId="0F68CCEB"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p>
    <w:p w14:paraId="428A1B27"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bookmarkStart w:id="2304" w:name="_Toc244880982"/>
      <w:r w:rsidRPr="00E04E8C">
        <w:rPr>
          <w:rFonts w:ascii="Times New Roman" w:hAnsi="Times New Roman" w:cs="Times New Roman"/>
          <w:sz w:val="24"/>
          <w:szCs w:val="24"/>
          <w:lang w:eastAsia="da-DK"/>
        </w:rPr>
        <w:t xml:space="preserve">Det foreslås med lovforslagets </w:t>
      </w:r>
      <w:r>
        <w:rPr>
          <w:rFonts w:ascii="Times New Roman" w:hAnsi="Times New Roman" w:cs="Times New Roman"/>
          <w:sz w:val="24"/>
          <w:szCs w:val="24"/>
          <w:lang w:eastAsia="da-DK"/>
        </w:rPr>
        <w:t>4, stk. 8,</w:t>
      </w:r>
      <w:r w:rsidRPr="00266C9B">
        <w:rPr>
          <w:rFonts w:ascii="Times New Roman" w:hAnsi="Times New Roman" w:cs="Times New Roman"/>
          <w:sz w:val="24"/>
          <w:szCs w:val="24"/>
          <w:lang w:eastAsia="da-DK"/>
        </w:rPr>
        <w:t xml:space="preserve"> i lov om </w:t>
      </w:r>
      <w:r>
        <w:rPr>
          <w:rFonts w:ascii="Times New Roman" w:hAnsi="Times New Roman" w:cs="Times New Roman"/>
          <w:sz w:val="24"/>
          <w:szCs w:val="24"/>
          <w:lang w:eastAsia="da-DK"/>
        </w:rPr>
        <w:t>investeringsrådgivere og boligkreditformidlere og § 4 a, stk. 2, i lov om forbrugslånsvirksomheder og registrering af kreditformidlere, at e</w:t>
      </w:r>
      <w:r w:rsidRPr="001205EE">
        <w:rPr>
          <w:rFonts w:ascii="Times New Roman" w:hAnsi="Times New Roman" w:cs="Times New Roman"/>
          <w:sz w:val="24"/>
          <w:szCs w:val="24"/>
          <w:lang w:eastAsia="da-DK"/>
        </w:rPr>
        <w:t xml:space="preserve">n reel ejer af en boligkreditformidler </w:t>
      </w:r>
      <w:r>
        <w:rPr>
          <w:rFonts w:ascii="Times New Roman" w:hAnsi="Times New Roman" w:cs="Times New Roman"/>
          <w:sz w:val="24"/>
          <w:szCs w:val="24"/>
          <w:lang w:eastAsia="da-DK"/>
        </w:rPr>
        <w:t xml:space="preserve">og en kreditformidler </w:t>
      </w:r>
      <w:r w:rsidRPr="001205EE">
        <w:rPr>
          <w:rFonts w:ascii="Times New Roman" w:hAnsi="Times New Roman" w:cs="Times New Roman"/>
          <w:sz w:val="24"/>
          <w:szCs w:val="24"/>
          <w:lang w:eastAsia="da-DK"/>
        </w:rPr>
        <w:t>ikke</w:t>
      </w:r>
      <w:r>
        <w:rPr>
          <w:rFonts w:ascii="Times New Roman" w:hAnsi="Times New Roman" w:cs="Times New Roman"/>
          <w:sz w:val="24"/>
          <w:szCs w:val="24"/>
          <w:lang w:eastAsia="da-DK"/>
        </w:rPr>
        <w:t xml:space="preserve"> må</w:t>
      </w:r>
      <w:r w:rsidRPr="001205EE">
        <w:rPr>
          <w:rFonts w:ascii="Times New Roman" w:hAnsi="Times New Roman" w:cs="Times New Roman"/>
          <w:sz w:val="24"/>
          <w:szCs w:val="24"/>
          <w:lang w:eastAsia="da-DK"/>
        </w:rPr>
        <w:t xml:space="preserve"> være pålagt strafansvar for overtrædelse af straffeloven, den finansielle lovgivning eller anden relevant lovgivning, hvis overtrædelsen begrunder en risiko for, at den reelle ejer misbruger sin kontrollerende indflydelse.</w:t>
      </w:r>
      <w:bookmarkEnd w:id="2304"/>
      <w:r>
        <w:rPr>
          <w:rFonts w:ascii="Times New Roman" w:hAnsi="Times New Roman" w:cs="Times New Roman"/>
          <w:sz w:val="24"/>
          <w:szCs w:val="24"/>
          <w:lang w:eastAsia="da-DK"/>
        </w:rPr>
        <w:t xml:space="preserve"> </w:t>
      </w:r>
    </w:p>
    <w:p w14:paraId="47408175"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p>
    <w:p w14:paraId="10B33AA0"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bookmarkStart w:id="2305" w:name="_Toc244880983"/>
      <w:r>
        <w:rPr>
          <w:rFonts w:ascii="Times New Roman" w:hAnsi="Times New Roman" w:cs="Times New Roman"/>
          <w:sz w:val="24"/>
          <w:szCs w:val="24"/>
          <w:lang w:eastAsia="da-DK"/>
        </w:rPr>
        <w:t xml:space="preserve">Det foreslåede </w:t>
      </w:r>
      <w:r w:rsidRPr="003C2653">
        <w:rPr>
          <w:rFonts w:ascii="Times New Roman" w:hAnsi="Times New Roman" w:cs="Times New Roman"/>
          <w:i/>
          <w:iCs/>
          <w:sz w:val="24"/>
          <w:szCs w:val="24"/>
          <w:lang w:eastAsia="da-DK"/>
        </w:rPr>
        <w:t>stk. 1</w:t>
      </w:r>
      <w:r>
        <w:rPr>
          <w:rFonts w:ascii="Times New Roman" w:hAnsi="Times New Roman" w:cs="Times New Roman"/>
          <w:sz w:val="24"/>
          <w:szCs w:val="24"/>
          <w:lang w:eastAsia="da-DK"/>
        </w:rPr>
        <w:t xml:space="preserve"> medfører, at en reel ejer, som allerede på lovens ikrafttrædelsestidspunkt er reel ejer af en virksomhed med tilladelse eller registrering hos Finanstilsynet ikke skal ansøge om godkendelse hos Finanstilsynet for så vidt angår hæderlighedskravet. Det foreslås tillige i stk. 1, 2. pkt., at dette ikke gælder, hvis den reelle ejer</w:t>
      </w:r>
      <w:r w:rsidRPr="00345DDC">
        <w:rPr>
          <w:rFonts w:ascii="Times New Roman" w:hAnsi="Times New Roman" w:cs="Times New Roman"/>
          <w:sz w:val="24"/>
          <w:szCs w:val="24"/>
          <w:lang w:eastAsia="da-DK"/>
        </w:rPr>
        <w:t xml:space="preserve"> </w:t>
      </w:r>
      <w:r w:rsidRPr="00266C9B">
        <w:rPr>
          <w:rFonts w:ascii="Times New Roman" w:hAnsi="Times New Roman" w:cs="Times New Roman"/>
          <w:sz w:val="24"/>
          <w:szCs w:val="24"/>
          <w:lang w:eastAsia="da-DK"/>
        </w:rPr>
        <w:t xml:space="preserve">efter lovens ikrafttrædelse </w:t>
      </w:r>
      <w:r>
        <w:rPr>
          <w:rFonts w:ascii="Times New Roman" w:hAnsi="Times New Roman" w:cs="Times New Roman"/>
          <w:sz w:val="24"/>
          <w:szCs w:val="24"/>
          <w:lang w:eastAsia="da-DK"/>
        </w:rPr>
        <w:t>ønsker at øge sin ejerandel i den pågældende virksomhed eller ønsker at blive reel ejer af en anden virksomhed under Finanstilsynets tilsyn. En ansøgning herom vil skulle behandles efter reglerne som trådt i kraft.</w:t>
      </w:r>
      <w:bookmarkEnd w:id="2305"/>
    </w:p>
    <w:p w14:paraId="46DCCCCA"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p>
    <w:p w14:paraId="1FA931DC"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bookmarkStart w:id="2306" w:name="_Toc244880984"/>
      <w:r>
        <w:rPr>
          <w:rFonts w:ascii="Times New Roman" w:hAnsi="Times New Roman" w:cs="Times New Roman"/>
          <w:sz w:val="24"/>
          <w:szCs w:val="24"/>
          <w:lang w:eastAsia="da-DK"/>
        </w:rPr>
        <w:t xml:space="preserve">Der er ikke i dag krav om, at Finanstilsynet godkender en hvidvaskansvarlig i en virksomhed, som udøver aktiviteter som omhandlet i § 1, stk. 1, nr. 8, jf. bilag 1, i hvidvaskloven og er registreret i hvidvaskregisteret. Tilsvarende er der ikke i da </w:t>
      </w:r>
      <w:r w:rsidRPr="00E04E8C">
        <w:rPr>
          <w:rFonts w:ascii="Times New Roman" w:hAnsi="Times New Roman" w:cs="Times New Roman"/>
          <w:sz w:val="24"/>
          <w:szCs w:val="24"/>
          <w:lang w:eastAsia="da-DK"/>
        </w:rPr>
        <w:t xml:space="preserve">krav </w:t>
      </w:r>
      <w:r>
        <w:rPr>
          <w:rFonts w:ascii="Times New Roman" w:hAnsi="Times New Roman" w:cs="Times New Roman"/>
          <w:sz w:val="24"/>
          <w:szCs w:val="24"/>
          <w:lang w:eastAsia="da-DK"/>
        </w:rPr>
        <w:t>om, at Finanstilsynet godkender en hvidvaskansvarlig i en boligkreditformidler eller en kreditformidler.</w:t>
      </w:r>
      <w:bookmarkEnd w:id="2306"/>
      <w:r>
        <w:rPr>
          <w:rFonts w:ascii="Times New Roman" w:hAnsi="Times New Roman" w:cs="Times New Roman"/>
          <w:sz w:val="24"/>
          <w:szCs w:val="24"/>
          <w:lang w:eastAsia="da-DK"/>
        </w:rPr>
        <w:t xml:space="preserve"> </w:t>
      </w:r>
    </w:p>
    <w:p w14:paraId="38EA7B8C"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p>
    <w:p w14:paraId="16926D4C"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bookmarkStart w:id="2307" w:name="_Toc244880985"/>
      <w:r>
        <w:rPr>
          <w:rFonts w:ascii="Times New Roman" w:hAnsi="Times New Roman" w:cs="Times New Roman"/>
          <w:sz w:val="24"/>
          <w:szCs w:val="24"/>
          <w:lang w:eastAsia="da-DK"/>
        </w:rPr>
        <w:t xml:space="preserve">Det foreslås i § 48, at Finanstilsynet kan registrere virksomheder og personer, der er omfattet af § 47, stk. 1 og 2. Det er heri et krav, at et medlem af øverste eller daglige ledelse i en virksomhed omfattet af det foreslåede, ikke </w:t>
      </w:r>
      <w:r>
        <w:rPr>
          <w:rFonts w:ascii="Times New Roman" w:hAnsi="Times New Roman" w:cs="Times New Roman"/>
          <w:sz w:val="24"/>
          <w:szCs w:val="24"/>
        </w:rPr>
        <w:t xml:space="preserve">må </w:t>
      </w:r>
      <w:r w:rsidRPr="00796736">
        <w:rPr>
          <w:rFonts w:ascii="Times New Roman" w:hAnsi="Times New Roman" w:cs="Times New Roman"/>
          <w:sz w:val="24"/>
          <w:szCs w:val="24"/>
        </w:rPr>
        <w:t>være pålagt strafansvar for overtrædelse af straffeloven, den finansielle lovgivning eller anden relevant lovgivning, hvis overtrædelsen indebærer en risiko for, at vedkommende ikke kan varetage sit hverv eller sin stilling på en betryggende måde.</w:t>
      </w:r>
      <w:r>
        <w:rPr>
          <w:rFonts w:ascii="Times New Roman" w:hAnsi="Times New Roman" w:cs="Times New Roman"/>
          <w:sz w:val="24"/>
          <w:szCs w:val="24"/>
        </w:rPr>
        <w:t xml:space="preserve"> Tilsvarende foreslås det i </w:t>
      </w:r>
      <w:r w:rsidRPr="00266C9B">
        <w:rPr>
          <w:rFonts w:ascii="Times New Roman" w:hAnsi="Times New Roman" w:cs="Times New Roman"/>
          <w:sz w:val="24"/>
          <w:szCs w:val="24"/>
          <w:lang w:eastAsia="da-DK"/>
        </w:rPr>
        <w:t xml:space="preserve">§ </w:t>
      </w:r>
      <w:r>
        <w:rPr>
          <w:rFonts w:ascii="Times New Roman" w:hAnsi="Times New Roman" w:cs="Times New Roman"/>
          <w:sz w:val="24"/>
          <w:szCs w:val="24"/>
          <w:lang w:eastAsia="da-DK"/>
        </w:rPr>
        <w:t>4, stk. 7,</w:t>
      </w:r>
      <w:r w:rsidRPr="00266C9B">
        <w:rPr>
          <w:rFonts w:ascii="Times New Roman" w:hAnsi="Times New Roman" w:cs="Times New Roman"/>
          <w:sz w:val="24"/>
          <w:szCs w:val="24"/>
          <w:lang w:eastAsia="da-DK"/>
        </w:rPr>
        <w:t xml:space="preserve"> i lov om </w:t>
      </w:r>
      <w:r w:rsidRPr="00E04E8C">
        <w:rPr>
          <w:rFonts w:ascii="Times New Roman" w:hAnsi="Times New Roman" w:cs="Times New Roman"/>
          <w:sz w:val="24"/>
          <w:szCs w:val="24"/>
          <w:lang w:eastAsia="da-DK"/>
        </w:rPr>
        <w:t>investeringsrådgivere og boligkreditformidlere</w:t>
      </w:r>
      <w:r>
        <w:rPr>
          <w:rFonts w:ascii="Times New Roman" w:hAnsi="Times New Roman" w:cs="Times New Roman"/>
          <w:sz w:val="24"/>
          <w:szCs w:val="24"/>
          <w:lang w:eastAsia="da-DK"/>
        </w:rPr>
        <w:t xml:space="preserve">, at </w:t>
      </w:r>
      <w:r w:rsidRPr="00E22E44">
        <w:rPr>
          <w:rFonts w:ascii="Times New Roman" w:hAnsi="Times New Roman" w:cs="Times New Roman"/>
          <w:sz w:val="24"/>
          <w:szCs w:val="24"/>
          <w:lang w:eastAsia="da-DK"/>
        </w:rPr>
        <w:t>medarbejdere og ansatte i en boligkreditformidler med tilstrækkeligt kendskab til den forpligtede enheds risikoeksponering for hvidvask af penge og finansiering af terrorisme og med tilstrækkelig anciennitet til at træffe beslutninger med indvirkning på dets risikoeksponering</w:t>
      </w:r>
      <w:r>
        <w:rPr>
          <w:rFonts w:ascii="Times New Roman" w:hAnsi="Times New Roman" w:cs="Times New Roman"/>
          <w:sz w:val="24"/>
          <w:szCs w:val="24"/>
          <w:lang w:eastAsia="da-DK"/>
        </w:rPr>
        <w:t xml:space="preserve"> skal opfylde krav til hæderlighed.</w:t>
      </w:r>
      <w:r>
        <w:rPr>
          <w:rFonts w:ascii="Times New Roman" w:hAnsi="Times New Roman" w:cs="Times New Roman"/>
          <w:sz w:val="24"/>
          <w:szCs w:val="24"/>
        </w:rPr>
        <w:t xml:space="preserve"> Det foreslås endeligt i § 4 a, stk. 1, </w:t>
      </w:r>
      <w:r>
        <w:rPr>
          <w:rFonts w:ascii="Times New Roman" w:hAnsi="Times New Roman" w:cs="Times New Roman"/>
          <w:sz w:val="24"/>
          <w:szCs w:val="24"/>
          <w:lang w:eastAsia="da-DK"/>
        </w:rPr>
        <w:t>i lov om forbrugslånsvirksomheder og registrering af kreditformidlere,</w:t>
      </w:r>
      <w:r>
        <w:rPr>
          <w:rFonts w:ascii="Times New Roman" w:hAnsi="Times New Roman" w:cs="Times New Roman"/>
          <w:sz w:val="24"/>
          <w:szCs w:val="24"/>
        </w:rPr>
        <w:t xml:space="preserve"> at bl.a. e</w:t>
      </w:r>
      <w:r w:rsidRPr="00B64F60">
        <w:rPr>
          <w:rFonts w:ascii="Times New Roman" w:hAnsi="Times New Roman" w:cs="Times New Roman"/>
          <w:sz w:val="24"/>
          <w:szCs w:val="24"/>
        </w:rPr>
        <w:t xml:space="preserve">t medlem af øverste eller daglige ledelse ikke </w:t>
      </w:r>
      <w:r>
        <w:rPr>
          <w:rFonts w:ascii="Times New Roman" w:hAnsi="Times New Roman" w:cs="Times New Roman"/>
          <w:sz w:val="24"/>
          <w:szCs w:val="24"/>
        </w:rPr>
        <w:t xml:space="preserve">må </w:t>
      </w:r>
      <w:r w:rsidRPr="00B64F60">
        <w:rPr>
          <w:rFonts w:ascii="Times New Roman" w:hAnsi="Times New Roman" w:cs="Times New Roman"/>
          <w:sz w:val="24"/>
          <w:szCs w:val="24"/>
        </w:rPr>
        <w:t>være pålagt strafansvar for overtrædelse af straffeloven, den finansielle lovgivning eller anden relevant lovgivning, hvis overtrædelsen indebærer en risiko for, at vedkommende ikke kan varetage sit hverv eller sin stilling på en betryggende måde.</w:t>
      </w:r>
      <w:bookmarkEnd w:id="2307"/>
    </w:p>
    <w:p w14:paraId="0A77C25F"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p>
    <w:p w14:paraId="2F686E1C"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bookmarkStart w:id="2308" w:name="_Toc244880986"/>
      <w:r>
        <w:rPr>
          <w:rFonts w:ascii="Times New Roman" w:hAnsi="Times New Roman" w:cs="Times New Roman"/>
          <w:sz w:val="24"/>
          <w:szCs w:val="24"/>
          <w:lang w:eastAsia="da-DK"/>
        </w:rPr>
        <w:t xml:space="preserve">Det foreslåede </w:t>
      </w:r>
      <w:r w:rsidRPr="003C2653">
        <w:rPr>
          <w:rFonts w:ascii="Times New Roman" w:hAnsi="Times New Roman" w:cs="Times New Roman"/>
          <w:i/>
          <w:iCs/>
          <w:sz w:val="24"/>
          <w:szCs w:val="24"/>
          <w:lang w:eastAsia="da-DK"/>
        </w:rPr>
        <w:t>stk. 2</w:t>
      </w:r>
      <w:r>
        <w:rPr>
          <w:rFonts w:ascii="Times New Roman" w:hAnsi="Times New Roman" w:cs="Times New Roman"/>
          <w:sz w:val="24"/>
          <w:szCs w:val="24"/>
          <w:lang w:eastAsia="da-DK"/>
        </w:rPr>
        <w:t xml:space="preserve"> medfører, at en</w:t>
      </w:r>
      <w:r w:rsidRPr="00266C9B">
        <w:rPr>
          <w:rFonts w:ascii="Times New Roman" w:hAnsi="Times New Roman" w:cs="Times New Roman"/>
          <w:sz w:val="24"/>
          <w:szCs w:val="24"/>
          <w:lang w:eastAsia="da-DK"/>
        </w:rPr>
        <w:t xml:space="preserve"> person som omhandlet i artikel 11, stk. 2, i hvidvaskforordningen</w:t>
      </w:r>
      <w:r>
        <w:rPr>
          <w:rFonts w:ascii="Times New Roman" w:hAnsi="Times New Roman" w:cs="Times New Roman"/>
          <w:sz w:val="24"/>
          <w:szCs w:val="24"/>
          <w:lang w:eastAsia="da-DK"/>
        </w:rPr>
        <w:t xml:space="preserve">, som allerede på lovens ikrafttrædelsestidspunkt er ansat som i en </w:t>
      </w:r>
      <w:r w:rsidRPr="006B32FC">
        <w:rPr>
          <w:rFonts w:ascii="Times New Roman" w:hAnsi="Times New Roman" w:cs="Times New Roman"/>
          <w:sz w:val="24"/>
          <w:szCs w:val="24"/>
          <w:lang w:eastAsia="da-DK"/>
        </w:rPr>
        <w:t>virksomhed med tilladelse</w:t>
      </w:r>
      <w:r>
        <w:rPr>
          <w:rFonts w:ascii="Times New Roman" w:hAnsi="Times New Roman" w:cs="Times New Roman"/>
          <w:sz w:val="24"/>
          <w:szCs w:val="24"/>
          <w:lang w:eastAsia="da-DK"/>
        </w:rPr>
        <w:t xml:space="preserve"> eller registrering hos Finanstilsynet ikke skal ansøge om godkendelse hos Finanstilsynet for så vidt angår hæderlighedskravet.</w:t>
      </w:r>
      <w:bookmarkEnd w:id="2308"/>
      <w:r>
        <w:rPr>
          <w:rFonts w:ascii="Times New Roman" w:hAnsi="Times New Roman" w:cs="Times New Roman"/>
          <w:sz w:val="24"/>
          <w:szCs w:val="24"/>
          <w:lang w:eastAsia="da-DK"/>
        </w:rPr>
        <w:t xml:space="preserve"> </w:t>
      </w:r>
    </w:p>
    <w:p w14:paraId="5454F978"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p>
    <w:p w14:paraId="5AF34D81"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bookmarkStart w:id="2309" w:name="_Toc244880987"/>
      <w:r>
        <w:rPr>
          <w:rFonts w:ascii="Times New Roman" w:hAnsi="Times New Roman" w:cs="Times New Roman"/>
          <w:sz w:val="24"/>
          <w:szCs w:val="24"/>
          <w:lang w:eastAsia="da-DK"/>
        </w:rPr>
        <w:t xml:space="preserve">Det foreslås tillige i stk. 2, 2. pkt., at dette ikke gælder, hvis </w:t>
      </w:r>
      <w:r w:rsidRPr="00266C9B">
        <w:rPr>
          <w:rFonts w:ascii="Times New Roman" w:hAnsi="Times New Roman" w:cs="Times New Roman"/>
          <w:sz w:val="24"/>
          <w:szCs w:val="24"/>
          <w:lang w:eastAsia="da-DK"/>
        </w:rPr>
        <w:t xml:space="preserve">den </w:t>
      </w:r>
      <w:r>
        <w:rPr>
          <w:rFonts w:ascii="Times New Roman" w:hAnsi="Times New Roman" w:cs="Times New Roman"/>
          <w:sz w:val="24"/>
          <w:szCs w:val="24"/>
          <w:lang w:eastAsia="da-DK"/>
        </w:rPr>
        <w:t>pågældende</w:t>
      </w:r>
      <w:r w:rsidRPr="00266C9B">
        <w:rPr>
          <w:rFonts w:ascii="Times New Roman" w:hAnsi="Times New Roman" w:cs="Times New Roman"/>
          <w:sz w:val="24"/>
          <w:szCs w:val="24"/>
          <w:lang w:eastAsia="da-DK"/>
        </w:rPr>
        <w:t xml:space="preserve"> efter lovens ikrafttrædelse </w:t>
      </w:r>
      <w:r>
        <w:rPr>
          <w:rFonts w:ascii="Times New Roman" w:hAnsi="Times New Roman" w:cs="Times New Roman"/>
          <w:sz w:val="24"/>
          <w:szCs w:val="24"/>
          <w:lang w:eastAsia="da-DK"/>
        </w:rPr>
        <w:t xml:space="preserve">ønsker at blive udpeget </w:t>
      </w:r>
      <w:r w:rsidRPr="00266C9B">
        <w:rPr>
          <w:rFonts w:ascii="Times New Roman" w:hAnsi="Times New Roman" w:cs="Times New Roman"/>
          <w:sz w:val="24"/>
          <w:szCs w:val="24"/>
          <w:lang w:eastAsia="da-DK"/>
        </w:rPr>
        <w:t xml:space="preserve">som en person som omhandlet i artikel 11, stk. 2, i hvidvaskforordningen </w:t>
      </w:r>
      <w:r>
        <w:rPr>
          <w:rFonts w:ascii="Times New Roman" w:hAnsi="Times New Roman" w:cs="Times New Roman"/>
          <w:sz w:val="24"/>
          <w:szCs w:val="24"/>
          <w:lang w:eastAsia="da-DK"/>
        </w:rPr>
        <w:t xml:space="preserve">i </w:t>
      </w:r>
      <w:r w:rsidRPr="00266C9B">
        <w:rPr>
          <w:rFonts w:ascii="Times New Roman" w:hAnsi="Times New Roman" w:cs="Times New Roman"/>
          <w:sz w:val="24"/>
          <w:szCs w:val="24"/>
          <w:lang w:eastAsia="da-DK"/>
        </w:rPr>
        <w:t>en anden virksomhed under Finanstilsynets tilsyn.</w:t>
      </w:r>
      <w:r>
        <w:rPr>
          <w:rFonts w:ascii="Times New Roman" w:hAnsi="Times New Roman" w:cs="Times New Roman"/>
          <w:sz w:val="24"/>
          <w:szCs w:val="24"/>
          <w:lang w:eastAsia="da-DK"/>
        </w:rPr>
        <w:t xml:space="preserve"> En ansøgning herom vil skulle behandles efter reglerne som trådt i kraft.</w:t>
      </w:r>
      <w:bookmarkEnd w:id="2309"/>
    </w:p>
    <w:p w14:paraId="42F130B2" w14:textId="77777777" w:rsidR="00383EC8" w:rsidRDefault="00383EC8" w:rsidP="00383EC8">
      <w:pPr>
        <w:pStyle w:val="Typografi1"/>
        <w:numPr>
          <w:ilvl w:val="0"/>
          <w:numId w:val="0"/>
        </w:numPr>
        <w:contextualSpacing w:val="0"/>
        <w:rPr>
          <w:rFonts w:ascii="Times New Roman" w:hAnsi="Times New Roman" w:cs="Times New Roman"/>
          <w:sz w:val="24"/>
          <w:szCs w:val="24"/>
          <w:lang w:eastAsia="da-DK"/>
        </w:rPr>
      </w:pPr>
    </w:p>
    <w:p w14:paraId="49F0380A" w14:textId="0A62D164" w:rsidR="00867611" w:rsidRPr="00E5608B" w:rsidRDefault="00383EC8" w:rsidP="00E5608B">
      <w:pPr>
        <w:pStyle w:val="Typografi1"/>
        <w:numPr>
          <w:ilvl w:val="0"/>
          <w:numId w:val="0"/>
        </w:numPr>
        <w:contextualSpacing w:val="0"/>
        <w:rPr>
          <w:rFonts w:ascii="Times New Roman" w:hAnsi="Times New Roman" w:cs="Times New Roman"/>
          <w:sz w:val="24"/>
          <w:szCs w:val="24"/>
          <w:lang w:eastAsia="da-DK"/>
        </w:rPr>
      </w:pPr>
      <w:bookmarkStart w:id="2310" w:name="_Toc244880988"/>
      <w:r>
        <w:rPr>
          <w:rFonts w:ascii="Times New Roman" w:hAnsi="Times New Roman" w:cs="Times New Roman"/>
          <w:sz w:val="24"/>
          <w:szCs w:val="24"/>
          <w:lang w:eastAsia="da-DK"/>
        </w:rPr>
        <w:t>Det foreslåede medfører, at 1. pkt. ikke finder anvendelse for personer ansat i virksomheder omfattet af § 51, stk. 1 og 3, i denne lov, hvis personen er omfattet af en situation som omhandlet i den foreslåede § 65, stk. 4. Den foreslåede § 65, stk. 4, er en videreførelse af den gældende § 51 a, stk. 1. Efter § 51 a, stk. 1, kan F</w:t>
      </w:r>
      <w:r w:rsidRPr="00450BDC">
        <w:rPr>
          <w:rFonts w:ascii="Times New Roman" w:hAnsi="Times New Roman" w:cs="Times New Roman"/>
          <w:sz w:val="24"/>
          <w:szCs w:val="24"/>
          <w:lang w:eastAsia="da-DK"/>
        </w:rPr>
        <w:t xml:space="preserve">inanstilsynet påbyde en virksomhed omfattet af </w:t>
      </w:r>
      <w:r>
        <w:rPr>
          <w:rFonts w:ascii="Times New Roman" w:hAnsi="Times New Roman" w:cs="Times New Roman"/>
          <w:sz w:val="24"/>
          <w:szCs w:val="24"/>
          <w:lang w:eastAsia="da-DK"/>
        </w:rPr>
        <w:t xml:space="preserve">bl.a. </w:t>
      </w:r>
      <w:r w:rsidRPr="00450BDC">
        <w:rPr>
          <w:rFonts w:ascii="Times New Roman" w:hAnsi="Times New Roman" w:cs="Times New Roman"/>
          <w:sz w:val="24"/>
          <w:szCs w:val="24"/>
          <w:lang w:eastAsia="da-DK"/>
        </w:rPr>
        <w:t>§ 1, stk. 1, nr. 8</w:t>
      </w:r>
      <w:r>
        <w:rPr>
          <w:rFonts w:ascii="Times New Roman" w:hAnsi="Times New Roman" w:cs="Times New Roman"/>
          <w:sz w:val="24"/>
          <w:szCs w:val="24"/>
          <w:lang w:eastAsia="da-DK"/>
        </w:rPr>
        <w:t>, jf. bilag 1</w:t>
      </w:r>
      <w:r w:rsidRPr="00450BDC">
        <w:rPr>
          <w:rFonts w:ascii="Times New Roman" w:hAnsi="Times New Roman" w:cs="Times New Roman"/>
          <w:sz w:val="24"/>
          <w:szCs w:val="24"/>
          <w:lang w:eastAsia="da-DK"/>
        </w:rPr>
        <w:t>, dog ikke disses filialer, distributører og agenter her i landet, at afsætte den person, der er udpeget i henhold til § 7, stk. 2, inden for en frist fastsat af Finanstilsynet, hvis personen efter § 7, stk. 2, 3. og 4. pkt., ikke kan bestride stillingen.</w:t>
      </w:r>
      <w:r>
        <w:rPr>
          <w:rFonts w:ascii="Times New Roman" w:hAnsi="Times New Roman" w:cs="Times New Roman"/>
          <w:sz w:val="24"/>
          <w:szCs w:val="24"/>
          <w:lang w:eastAsia="da-DK"/>
        </w:rPr>
        <w:t xml:space="preserve"> Det medfører, at hvis der er tale om en situation, som omhandlet i § 65, stk. 4, er Finanstilsynet – ligesom i dag – ikke afskåret fra at inddrage straffedomme afsagt før lovens ikrafttræden.</w:t>
      </w:r>
      <w:bookmarkEnd w:id="2310"/>
    </w:p>
    <w:p w14:paraId="212A37C3" w14:textId="77777777" w:rsidR="00C1561B" w:rsidRPr="00796736" w:rsidRDefault="00C1561B" w:rsidP="00A802A5">
      <w:pPr>
        <w:spacing w:after="200" w:line="360" w:lineRule="auto"/>
        <w:rPr>
          <w:rFonts w:ascii="Times New Roman" w:eastAsia="Calibri" w:hAnsi="Times New Roman" w:cs="Times New Roman"/>
          <w:iCs/>
          <w:sz w:val="24"/>
          <w:szCs w:val="24"/>
        </w:rPr>
      </w:pPr>
    </w:p>
    <w:p w14:paraId="5E86FC81" w14:textId="43E6DCEA" w:rsidR="00C1561B" w:rsidRPr="00796736" w:rsidRDefault="00C1561B" w:rsidP="00A802A5">
      <w:pPr>
        <w:pStyle w:val="Undertitel"/>
      </w:pPr>
      <w:bookmarkStart w:id="2311" w:name="_Toc244879455"/>
      <w:bookmarkStart w:id="2312" w:name="_Toc244880989"/>
      <w:r w:rsidRPr="00796736">
        <w:t xml:space="preserve">Til </w:t>
      </w:r>
      <w:r w:rsidR="00065BBB" w:rsidRPr="00796736">
        <w:fldChar w:fldCharType="begin"/>
      </w:r>
      <w:r w:rsidR="00065BBB" w:rsidRPr="00796736">
        <w:instrText xml:space="preserve"> REF _Ref241685000 \r \h </w:instrText>
      </w:r>
      <w:r w:rsidR="001A2696" w:rsidRPr="00796736">
        <w:instrText xml:space="preserve"> \* MERGEFORMAT </w:instrText>
      </w:r>
      <w:r w:rsidR="00065BBB" w:rsidRPr="00796736">
        <w:fldChar w:fldCharType="separate"/>
      </w:r>
      <w:r w:rsidR="008F29E5">
        <w:t>§ 160</w:t>
      </w:r>
      <w:bookmarkEnd w:id="2311"/>
      <w:bookmarkEnd w:id="2312"/>
      <w:r w:rsidR="00065BBB" w:rsidRPr="00796736">
        <w:fldChar w:fldCharType="end"/>
      </w:r>
      <w:r w:rsidRPr="00796736">
        <w:t xml:space="preserve"> </w:t>
      </w:r>
    </w:p>
    <w:p w14:paraId="70064756" w14:textId="77777777" w:rsidR="00065BBB" w:rsidRPr="00796736" w:rsidRDefault="00065BBB"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Efter gældende hvidvasklov kan virksomheder og personer, der er omfattet af § 1, stk. 1, nr. 17 registreres hos Erhvervsstyrelsen, hvis de opfylder de lovbestemte betingelser, der følger af den gældende § 58.</w:t>
      </w:r>
    </w:p>
    <w:p w14:paraId="3BEBA5FA" w14:textId="77777777" w:rsidR="00065BBB" w:rsidRPr="00796736" w:rsidRDefault="00065BBB" w:rsidP="00A802A5">
      <w:pPr>
        <w:spacing w:line="360" w:lineRule="auto"/>
        <w:rPr>
          <w:rFonts w:ascii="Times New Roman" w:hAnsi="Times New Roman" w:cs="Times New Roman"/>
          <w:sz w:val="24"/>
          <w:szCs w:val="24"/>
          <w:lang w:eastAsia="da-DK"/>
        </w:rPr>
      </w:pPr>
    </w:p>
    <w:p w14:paraId="5A4B4BD9" w14:textId="639A0F65" w:rsidR="00065BBB" w:rsidRPr="00796736" w:rsidRDefault="00065BBB"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Den foreslåede bestemmelse udgør en overgangsbestemmelse, der fastlægger, hvornår de nye krav i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2, nr. 3 og 4, finder anvendelse for virksomheder og personer, der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1.</w:t>
      </w:r>
    </w:p>
    <w:p w14:paraId="15A9B07B" w14:textId="77777777" w:rsidR="00065BBB" w:rsidRPr="00796736" w:rsidRDefault="00065BBB" w:rsidP="00A802A5">
      <w:pPr>
        <w:spacing w:line="360" w:lineRule="auto"/>
        <w:rPr>
          <w:rFonts w:ascii="Times New Roman" w:hAnsi="Times New Roman" w:cs="Times New Roman"/>
          <w:sz w:val="24"/>
          <w:szCs w:val="24"/>
          <w:lang w:eastAsia="da-DK"/>
        </w:rPr>
      </w:pPr>
    </w:p>
    <w:p w14:paraId="29E420B2" w14:textId="77AC89B3" w:rsidR="00065BBB" w:rsidRPr="00796736" w:rsidRDefault="00065BBB"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Det foreslås i </w:t>
      </w:r>
      <w:r w:rsidRPr="00796736">
        <w:rPr>
          <w:rFonts w:ascii="Times New Roman" w:hAnsi="Times New Roman" w:cs="Times New Roman"/>
          <w:i/>
          <w:iCs/>
          <w:sz w:val="24"/>
          <w:szCs w:val="24"/>
          <w:lang w:eastAsia="da-DK"/>
        </w:rPr>
        <w:t>stk. 2,</w:t>
      </w:r>
      <w:r w:rsidRPr="00796736">
        <w:rPr>
          <w:rFonts w:ascii="Times New Roman" w:hAnsi="Times New Roman" w:cs="Times New Roman"/>
          <w:sz w:val="24"/>
          <w:szCs w:val="24"/>
          <w:lang w:eastAsia="da-DK"/>
        </w:rPr>
        <w:t xml:space="preserve"> at for virksomheder og personer, der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1, og registreres efter den 10. juli 2027, finder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2, nr. 3 og 4 anvendelse. For virksomheder og personer, der er registreret eller anmoder om registrering inden denne dato, finder de hidtil gældende reger anvendelse, indtil virksomheden eller personen foretager en ny registrering eller der sker ændringer af de forhold, der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2, nr. 3 og 4. </w:t>
      </w:r>
    </w:p>
    <w:p w14:paraId="2FC7277A" w14:textId="77777777" w:rsidR="00065BBB" w:rsidRPr="00796736" w:rsidRDefault="00065BBB" w:rsidP="00A802A5">
      <w:pPr>
        <w:spacing w:line="360" w:lineRule="auto"/>
        <w:rPr>
          <w:rFonts w:ascii="Times New Roman" w:hAnsi="Times New Roman" w:cs="Times New Roman"/>
          <w:sz w:val="24"/>
          <w:szCs w:val="24"/>
          <w:lang w:eastAsia="da-DK"/>
        </w:rPr>
      </w:pPr>
    </w:p>
    <w:p w14:paraId="064252DC" w14:textId="3EB97AA9" w:rsidR="00065BBB" w:rsidRPr="00796736" w:rsidRDefault="00065BBB"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Overgangsbestemmelsen indebærer, at virksomheder, der allerede har opnået registrering i Erhvervsstyrelsens register efter den gældende hvidvasklovs § 58 ikke skal vurderes på ny i forhold til, om personen, et medlem af virksomhedens øverste eller daglige ledelse eller en reel ejer ikke har et godt omdømme eller ikke anses for at handle med hæderlighed og integritet, efter den foreslåede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2, nr. 3, samt om personen eller et medlem af virksomheden øverste eller daglige ledelse ikke har den viden og ekspertise, der er nødvendig for at udføre opgaverne, efter den foreslåede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stk. 2, nr. 4.</w:t>
      </w:r>
    </w:p>
    <w:p w14:paraId="397165BD" w14:textId="77777777" w:rsidR="00065BBB" w:rsidRPr="00796736" w:rsidRDefault="00065BBB" w:rsidP="00A802A5">
      <w:pPr>
        <w:spacing w:line="360" w:lineRule="auto"/>
        <w:rPr>
          <w:rFonts w:ascii="Times New Roman" w:hAnsi="Times New Roman" w:cs="Times New Roman"/>
          <w:sz w:val="24"/>
          <w:szCs w:val="24"/>
          <w:lang w:eastAsia="da-DK"/>
        </w:rPr>
      </w:pPr>
    </w:p>
    <w:p w14:paraId="4E58D6C1" w14:textId="77777777" w:rsidR="00065BBB" w:rsidRPr="00796736" w:rsidRDefault="00065BBB"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 nye krav finder alene anvendelse for virksomheder, der anmoder om registrering efter ikrafttrædelsesdatoen, eller hvis der efter denne dato sker væsentlige ændringer i de forhold, der er relevante for vurderingen. </w:t>
      </w:r>
    </w:p>
    <w:p w14:paraId="413394D0" w14:textId="77777777" w:rsidR="00065BBB" w:rsidRPr="00796736" w:rsidRDefault="00065BBB" w:rsidP="00A802A5">
      <w:pPr>
        <w:spacing w:line="360" w:lineRule="auto"/>
        <w:rPr>
          <w:rFonts w:ascii="Times New Roman" w:hAnsi="Times New Roman" w:cs="Times New Roman"/>
          <w:sz w:val="24"/>
          <w:szCs w:val="24"/>
          <w:lang w:eastAsia="da-DK"/>
        </w:rPr>
      </w:pPr>
    </w:p>
    <w:p w14:paraId="72E0BC36" w14:textId="6BA247E1" w:rsidR="00065BBB" w:rsidRPr="00796736" w:rsidRDefault="00065BBB"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De ny betingelser i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2, nr. 3 og 4, gælder således kun for udbydere af tjenesteydelser til truster og virksomheder, der anmoder om registrering efter den 10. juli 2027. For virksomheder, der har opnået tilladelse inden denne dato, videreføres de hidtil gældende regler, medmindre der sker væsentlige ændringer i de forhold, der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2, nr. 3 og 4. Eksisterende registreringer berøres ikke af det nye krav, medmindre der opstår nye forhold, eksempelvis ved ændringer i ledelsen eller ejerforhold eller domsfældelser, som kræver en ny vurdering. </w:t>
      </w:r>
    </w:p>
    <w:p w14:paraId="32A15CDA" w14:textId="77777777" w:rsidR="00065BBB" w:rsidRPr="00796736" w:rsidRDefault="00065BBB" w:rsidP="00A802A5">
      <w:pPr>
        <w:spacing w:line="360" w:lineRule="auto"/>
        <w:rPr>
          <w:rFonts w:ascii="Times New Roman" w:hAnsi="Times New Roman" w:cs="Times New Roman"/>
          <w:sz w:val="24"/>
          <w:szCs w:val="24"/>
          <w:lang w:eastAsia="da-DK"/>
        </w:rPr>
      </w:pPr>
    </w:p>
    <w:p w14:paraId="7373ED23" w14:textId="77777777" w:rsidR="00065BBB" w:rsidRPr="00796736" w:rsidRDefault="00065BBB"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Formålet med overgangsordningen er at sikre forudsigelighed og retssikkerhed for virksomheder, der allerede har opnået registrering, således at registreringer ikke bliver genstand for en ny vurdering på baggrund af forhold, der lå forud for tilladelsen. Samtidig sikres det, at nye anmodninger og væsentlige ændringer i eksisterende virksomheder underlægges de skærpede krav, hvilket understøtter tilliden til branchen og forebygger misbrug. </w:t>
      </w:r>
    </w:p>
    <w:p w14:paraId="415D3EAB" w14:textId="77777777" w:rsidR="00065BBB" w:rsidRPr="00796736" w:rsidRDefault="00065BBB" w:rsidP="00A802A5">
      <w:pPr>
        <w:spacing w:line="360" w:lineRule="auto"/>
        <w:rPr>
          <w:rFonts w:ascii="Times New Roman" w:hAnsi="Times New Roman" w:cs="Times New Roman"/>
          <w:sz w:val="24"/>
          <w:szCs w:val="24"/>
          <w:lang w:eastAsia="da-DK"/>
        </w:rPr>
      </w:pPr>
    </w:p>
    <w:p w14:paraId="3139EFC7" w14:textId="33C0ADF4" w:rsidR="00065BBB" w:rsidRPr="00796736" w:rsidRDefault="00065BBB"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Hvis der efter den 10. juli sker ændringer i de forhold, der er omfattet af </w:t>
      </w:r>
      <w:r w:rsidRPr="00796736">
        <w:rPr>
          <w:rFonts w:ascii="Times New Roman" w:hAnsi="Times New Roman" w:cs="Times New Roman"/>
          <w:sz w:val="24"/>
          <w:szCs w:val="24"/>
          <w:lang w:eastAsia="da-DK"/>
        </w:rPr>
        <w:fldChar w:fldCharType="begin"/>
      </w:r>
      <w:r w:rsidRPr="00796736">
        <w:rPr>
          <w:rFonts w:ascii="Times New Roman" w:hAnsi="Times New Roman" w:cs="Times New Roman"/>
          <w:sz w:val="24"/>
          <w:szCs w:val="24"/>
          <w:lang w:eastAsia="da-DK"/>
        </w:rPr>
        <w:instrText xml:space="preserve"> REF _Ref233022553 \r \h </w:instrText>
      </w:r>
      <w:r w:rsidR="001A2696" w:rsidRPr="00796736">
        <w:rPr>
          <w:rFonts w:ascii="Times New Roman" w:hAnsi="Times New Roman" w:cs="Times New Roman"/>
          <w:sz w:val="24"/>
          <w:szCs w:val="24"/>
          <w:lang w:eastAsia="da-DK"/>
        </w:rPr>
        <w:instrText xml:space="preserve"> \* MERGEFORMAT </w:instrText>
      </w:r>
      <w:r w:rsidRPr="00796736">
        <w:rPr>
          <w:rFonts w:ascii="Times New Roman" w:hAnsi="Times New Roman" w:cs="Times New Roman"/>
          <w:sz w:val="24"/>
          <w:szCs w:val="24"/>
          <w:lang w:eastAsia="da-DK"/>
        </w:rPr>
      </w:r>
      <w:r w:rsidRPr="00796736">
        <w:rPr>
          <w:rFonts w:ascii="Times New Roman" w:hAnsi="Times New Roman" w:cs="Times New Roman"/>
          <w:sz w:val="24"/>
          <w:szCs w:val="24"/>
          <w:lang w:eastAsia="da-DK"/>
        </w:rPr>
        <w:fldChar w:fldCharType="separate"/>
      </w:r>
      <w:r w:rsidR="008F29E5">
        <w:rPr>
          <w:rFonts w:ascii="Times New Roman" w:hAnsi="Times New Roman" w:cs="Times New Roman"/>
          <w:sz w:val="24"/>
          <w:szCs w:val="24"/>
          <w:lang w:eastAsia="da-DK"/>
        </w:rPr>
        <w:t>§ 83</w:t>
      </w:r>
      <w:r w:rsidRPr="00796736">
        <w:rPr>
          <w:rFonts w:ascii="Times New Roman" w:hAnsi="Times New Roman" w:cs="Times New Roman"/>
          <w:sz w:val="24"/>
          <w:szCs w:val="24"/>
          <w:lang w:eastAsia="da-DK"/>
        </w:rPr>
        <w:fldChar w:fldCharType="end"/>
      </w:r>
      <w:r w:rsidRPr="00796736">
        <w:rPr>
          <w:rFonts w:ascii="Times New Roman" w:hAnsi="Times New Roman" w:cs="Times New Roman"/>
          <w:sz w:val="24"/>
          <w:szCs w:val="24"/>
          <w:lang w:eastAsia="da-DK"/>
        </w:rPr>
        <w:t xml:space="preserve">, stk. 2, nr. 3 og 4, vil virksomheden skulle opfylde de nye krav i forbindelse med den ændrede situation. Herved sikres det, at væsentlige ændringer i virksomhedens forhold underlægges de samme krav som ved nye anmodninger om registrering. </w:t>
      </w:r>
    </w:p>
    <w:p w14:paraId="14E77DDB" w14:textId="77777777" w:rsidR="00283EB1" w:rsidRPr="00796736" w:rsidRDefault="00283EB1" w:rsidP="00A802A5">
      <w:pPr>
        <w:spacing w:after="200" w:line="360" w:lineRule="auto"/>
        <w:rPr>
          <w:rFonts w:ascii="Times New Roman" w:eastAsia="Calibri" w:hAnsi="Times New Roman" w:cs="Times New Roman"/>
          <w:iCs/>
          <w:sz w:val="24"/>
          <w:szCs w:val="24"/>
        </w:rPr>
      </w:pPr>
    </w:p>
    <w:p w14:paraId="3060FC1D" w14:textId="470634E6" w:rsidR="00283EB1" w:rsidRPr="00796736" w:rsidRDefault="00283EB1" w:rsidP="00A802A5">
      <w:pPr>
        <w:pStyle w:val="Undertitel"/>
      </w:pPr>
      <w:bookmarkStart w:id="2313" w:name="_Toc244879456"/>
      <w:bookmarkStart w:id="2314" w:name="_Toc244880990"/>
      <w:r w:rsidRPr="00796736">
        <w:t xml:space="preserve">Til </w:t>
      </w:r>
      <w:r w:rsidR="0092113C" w:rsidRPr="00796736">
        <w:fldChar w:fldCharType="begin"/>
      </w:r>
      <w:r w:rsidR="0092113C" w:rsidRPr="00796736">
        <w:instrText xml:space="preserve"> REF _Ref242816170 \r \h </w:instrText>
      </w:r>
      <w:r w:rsidR="00AB17CC" w:rsidRPr="00796736">
        <w:instrText xml:space="preserve"> \* MERGEFORMAT </w:instrText>
      </w:r>
      <w:r w:rsidR="0092113C" w:rsidRPr="00796736">
        <w:fldChar w:fldCharType="separate"/>
      </w:r>
      <w:r w:rsidR="008F29E5">
        <w:t>§ 161</w:t>
      </w:r>
      <w:bookmarkEnd w:id="2313"/>
      <w:bookmarkEnd w:id="2314"/>
      <w:r w:rsidR="0092113C" w:rsidRPr="00796736">
        <w:fldChar w:fldCharType="end"/>
      </w:r>
      <w:r w:rsidR="00C76011" w:rsidRPr="00796736">
        <w:t xml:space="preserve"> </w:t>
      </w:r>
    </w:p>
    <w:p w14:paraId="672101AC" w14:textId="77777777" w:rsidR="00C76011" w:rsidRPr="00796736" w:rsidRDefault="00C76011"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 xml:space="preserve">Hvidvaskforordningens artikel 77 regulerer opbevaring af fortegnelser. Efter artikel 77, stk. 1, skal forpligtede enheder opbevare en række dokumenter og oplysninger. Efter stk. 2 kan forpligtede enheder, uanset stk. 1, beslutte at erstatte opbevaringen af kopier af oplysningerne med en opbevaring af henvisninger til sådanne oplysninger, forudsat at karakteren af og metoden til opbevaring af sådanne oplysninger sikrer, at de forpligtede enheder omgående kan forelægge oplysningerne for kompetente myndigheder, og at oplysningerne ikke kan modificeres eller ændres. </w:t>
      </w:r>
    </w:p>
    <w:p w14:paraId="784A1320" w14:textId="77777777" w:rsidR="00C76011" w:rsidRPr="00796736" w:rsidRDefault="00C76011" w:rsidP="00A802A5">
      <w:pPr>
        <w:spacing w:line="360" w:lineRule="auto"/>
        <w:rPr>
          <w:rFonts w:ascii="Times New Roman" w:hAnsi="Times New Roman" w:cs="Times New Roman"/>
          <w:sz w:val="24"/>
          <w:szCs w:val="24"/>
          <w:lang w:eastAsia="da-DK"/>
        </w:rPr>
      </w:pPr>
    </w:p>
    <w:p w14:paraId="4CCCA531" w14:textId="77777777" w:rsidR="00C76011" w:rsidRPr="00796736" w:rsidRDefault="00C76011"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lang w:eastAsia="da-DK"/>
        </w:rPr>
        <w:t>Det fremgår af stk. 4, at såfremt der i en medlemsstat den 10. juli 2027 verserer retssager med henblik på forebyggelse, opdagelse, efterforskning eller retsforfølgning af formodet hvidvask af penge eller finansiering af terrorisme, og en forpligtet enhed besidder oplysninger eller dokumenter vedrørende disse verserende procedurer, kan den forpligtede enhed opbevare de pågældende oplysninger eller dokumenter i fem år fra den 10. juli 2027.</w:t>
      </w:r>
    </w:p>
    <w:p w14:paraId="61EA184C" w14:textId="77777777" w:rsidR="00C76011" w:rsidRPr="00796736" w:rsidRDefault="00C76011" w:rsidP="00A802A5">
      <w:pPr>
        <w:spacing w:line="360" w:lineRule="auto"/>
        <w:rPr>
          <w:rFonts w:ascii="Times New Roman" w:hAnsi="Times New Roman" w:cs="Times New Roman"/>
          <w:sz w:val="24"/>
          <w:szCs w:val="24"/>
        </w:rPr>
      </w:pPr>
    </w:p>
    <w:p w14:paraId="6CB31118" w14:textId="77777777" w:rsidR="00C76011" w:rsidRPr="00796736" w:rsidRDefault="00C760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følger endvidere, at medlemsstaterne, uden at det berører nationale strafferetlige bevisregler, der gælder for verserende strafferetlige efterforskninger og retssager, kan tillade eller kræve, at de pågældende oplysninger eller dokumenter opbevares i en periode på yderligere fem år, såfremt det er blevet fastslået, at en sådan yderligere opbevaring er nødvendig og forholdsmæssig med henblik på forebyggelse, opdagelse, efterforskning eller retsforfølgning af formodet hvidvask af penge eller finansiering af terrorisme.</w:t>
      </w:r>
    </w:p>
    <w:p w14:paraId="2CA3BEBB" w14:textId="77777777" w:rsidR="00C76011" w:rsidRPr="00796736" w:rsidRDefault="00C76011" w:rsidP="00A802A5">
      <w:pPr>
        <w:spacing w:line="360" w:lineRule="auto"/>
        <w:rPr>
          <w:rFonts w:ascii="Times New Roman" w:hAnsi="Times New Roman" w:cs="Times New Roman"/>
          <w:sz w:val="24"/>
          <w:szCs w:val="24"/>
        </w:rPr>
      </w:pPr>
    </w:p>
    <w:p w14:paraId="20D8CCE6" w14:textId="2547AFDC" w:rsidR="00C76011" w:rsidRPr="00796736" w:rsidRDefault="00C760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foreslås i</w:t>
      </w:r>
      <w:r w:rsidRPr="00796736">
        <w:rPr>
          <w:rFonts w:ascii="Times New Roman" w:hAnsi="Times New Roman" w:cs="Times New Roman"/>
          <w:i/>
          <w:iCs/>
          <w:sz w:val="24"/>
          <w:szCs w:val="24"/>
        </w:rPr>
        <w:t xml:space="preserve"> </w:t>
      </w:r>
      <w:r w:rsidRPr="00796736">
        <w:rPr>
          <w:rFonts w:ascii="Times New Roman" w:eastAsia="Calibri" w:hAnsi="Times New Roman" w:cs="Times New Roman"/>
          <w:i/>
          <w:iCs/>
          <w:sz w:val="24"/>
          <w:szCs w:val="24"/>
        </w:rPr>
        <w:fldChar w:fldCharType="begin"/>
      </w:r>
      <w:r w:rsidRPr="00796736">
        <w:rPr>
          <w:rFonts w:ascii="Times New Roman" w:hAnsi="Times New Roman" w:cs="Times New Roman"/>
          <w:i/>
          <w:iCs/>
          <w:sz w:val="24"/>
          <w:szCs w:val="24"/>
        </w:rPr>
        <w:instrText xml:space="preserve"> REF _Ref242816170 \r \h </w:instrText>
      </w:r>
      <w:r w:rsidR="00AB17CC" w:rsidRPr="00796736">
        <w:rPr>
          <w:rFonts w:ascii="Times New Roman" w:eastAsia="Calibri" w:hAnsi="Times New Roman" w:cs="Times New Roman"/>
          <w:i/>
          <w:iCs/>
          <w:sz w:val="24"/>
          <w:szCs w:val="24"/>
        </w:rPr>
        <w:instrText xml:space="preserve"> \* MERGEFORMAT </w:instrText>
      </w:r>
      <w:r w:rsidRPr="00796736">
        <w:rPr>
          <w:rFonts w:ascii="Times New Roman" w:eastAsia="Calibri" w:hAnsi="Times New Roman" w:cs="Times New Roman"/>
          <w:i/>
          <w:iCs/>
          <w:sz w:val="24"/>
          <w:szCs w:val="24"/>
        </w:rPr>
      </w:r>
      <w:r w:rsidRPr="00796736">
        <w:rPr>
          <w:rFonts w:ascii="Times New Roman" w:eastAsia="Calibri" w:hAnsi="Times New Roman" w:cs="Times New Roman"/>
          <w:i/>
          <w:iCs/>
          <w:sz w:val="24"/>
          <w:szCs w:val="24"/>
        </w:rPr>
        <w:fldChar w:fldCharType="separate"/>
      </w:r>
      <w:r w:rsidR="008F29E5">
        <w:rPr>
          <w:rFonts w:ascii="Times New Roman" w:hAnsi="Times New Roman" w:cs="Times New Roman"/>
          <w:i/>
          <w:iCs/>
          <w:sz w:val="24"/>
          <w:szCs w:val="24"/>
        </w:rPr>
        <w:t>§ 161</w:t>
      </w:r>
      <w:r w:rsidRPr="00796736">
        <w:rPr>
          <w:rFonts w:ascii="Times New Roman" w:eastAsia="Calibri" w:hAnsi="Times New Roman" w:cs="Times New Roman"/>
          <w:i/>
          <w:iCs/>
          <w:sz w:val="24"/>
          <w:szCs w:val="24"/>
        </w:rPr>
        <w:fldChar w:fldCharType="end"/>
      </w:r>
      <w:r w:rsidRPr="00796736">
        <w:rPr>
          <w:rFonts w:ascii="Times New Roman" w:hAnsi="Times New Roman" w:cs="Times New Roman"/>
          <w:i/>
          <w:iCs/>
          <w:sz w:val="24"/>
          <w:szCs w:val="24"/>
        </w:rPr>
        <w:t xml:space="preserve">, </w:t>
      </w:r>
      <w:r w:rsidRPr="00796736">
        <w:rPr>
          <w:rFonts w:ascii="Times New Roman" w:hAnsi="Times New Roman" w:cs="Times New Roman"/>
          <w:sz w:val="24"/>
          <w:szCs w:val="24"/>
        </w:rPr>
        <w:t xml:space="preserve">at Finanstilsynet, Erhvervsstyrelsen, </w:t>
      </w:r>
      <w:r w:rsidRPr="00796736">
        <w:rPr>
          <w:rFonts w:ascii="Times New Roman" w:eastAsia="Times New Roman" w:hAnsi="Times New Roman" w:cs="Times New Roman"/>
          <w:sz w:val="24"/>
          <w:szCs w:val="24"/>
        </w:rPr>
        <w:t>Advokatrådet og Spillemyndigheden kan [efter indstilling fra anklagemyndigheden] påbyde virksomheder og personer at opbevare oplysninger eller dokumenter omfattet af hvidvaskforordningens artikel 77, stk. 1 og 2, i en periode på op til 10 år fra den 10. juli 2027, når oplysningerne vedrører en retssag om forebyggelse, opdagelse, efterforskning eller retsforfølgning af formodet hvidvask eller terrorfinansiering, hvori der ikke er afsagt dom inden den 10. juli 2027. Et påbud efter 1. pkt. kan kun meddeles, når en sådan yderligere opbevaring er nødvendig og forholdsmæssig med henblik på forebyggelse, opdagelse, efterforskning eller retsforfølgning af formodet hvidvask eller terrorfinansiering.</w:t>
      </w:r>
      <w:r w:rsidRPr="00796736">
        <w:rPr>
          <w:rFonts w:ascii="Times New Roman" w:hAnsi="Times New Roman" w:cs="Times New Roman"/>
          <w:sz w:val="24"/>
          <w:szCs w:val="24"/>
        </w:rPr>
        <w:t xml:space="preserve"> </w:t>
      </w:r>
    </w:p>
    <w:p w14:paraId="3839598A" w14:textId="77777777" w:rsidR="00C76011" w:rsidRPr="00796736" w:rsidRDefault="00C76011" w:rsidP="00A802A5">
      <w:pPr>
        <w:spacing w:line="360" w:lineRule="auto"/>
        <w:rPr>
          <w:rFonts w:ascii="Times New Roman" w:hAnsi="Times New Roman" w:cs="Times New Roman"/>
          <w:sz w:val="24"/>
          <w:szCs w:val="24"/>
        </w:rPr>
      </w:pPr>
    </w:p>
    <w:p w14:paraId="0B2CCFA3" w14:textId="77777777" w:rsidR="00C76011" w:rsidRPr="00796736" w:rsidRDefault="00C760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Bestemmelsen finder alene anvendelse i den særlige situation, hvor oplysningerne eller dokumenterne vedrører en retssag om formodet hvidvask eller finansiering af terrorisme, som ikke er afsluttet ved dom inden den 10. juli 2027. Den foreslåede bestemmelse sikrer, at oplysninger og dokumenter, der kan have betydning for forebyggelse, opdagelse, efterforskning eller retsforfølgning af sådanne forhold, ikke slettes, hvis de fortsat er nødvendige for myndighedernes eller domstolenes behandling af sagen. Det forudsættes, at de omfattede tilsynsorganer vil skulle meddele påbud efter indstilling fra anklagemyndigheden, der vil være nærmest til at foretage en vurdering af, om betingelserne i bestemmelsen er opfyldte og om tilsynsmyndighederne på denne baggrund vil skulle meddele et påbud. </w:t>
      </w:r>
    </w:p>
    <w:p w14:paraId="51266526" w14:textId="77777777" w:rsidR="00C76011" w:rsidRPr="00796736" w:rsidRDefault="00C76011" w:rsidP="00A802A5">
      <w:pPr>
        <w:spacing w:line="360" w:lineRule="auto"/>
        <w:rPr>
          <w:rFonts w:ascii="Times New Roman" w:hAnsi="Times New Roman" w:cs="Times New Roman"/>
          <w:sz w:val="24"/>
          <w:szCs w:val="24"/>
        </w:rPr>
      </w:pPr>
    </w:p>
    <w:p w14:paraId="490340D7" w14:textId="77777777" w:rsidR="00C76011" w:rsidRPr="00796736" w:rsidRDefault="00C760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Et påbud efter bestemmelsen kan kun meddeles, når den yderligere opbevaring er nødvendig og forholdsmæssig. Det indebærer, at den pågældende myndighed skal foretage en konkret vurdering af behovet for fortsat opbevaring. Ved vurderingen kan der bl.a. lægges vægt på oplysningernes eller dokumenternes karakter, deres betydning for den verserende retssag, sagens alvor og kompleksitet samt om formålet kan opnås på en mindre indgribende måde.</w:t>
      </w:r>
    </w:p>
    <w:p w14:paraId="1CDB5060" w14:textId="77777777" w:rsidR="00C76011" w:rsidRPr="00796736" w:rsidRDefault="00C76011" w:rsidP="00A802A5">
      <w:pPr>
        <w:spacing w:line="360" w:lineRule="auto"/>
        <w:rPr>
          <w:rFonts w:ascii="Times New Roman" w:hAnsi="Times New Roman" w:cs="Times New Roman"/>
          <w:sz w:val="24"/>
          <w:szCs w:val="24"/>
        </w:rPr>
      </w:pPr>
    </w:p>
    <w:p w14:paraId="24A7254E" w14:textId="77777777" w:rsidR="00C76011" w:rsidRPr="00796736" w:rsidRDefault="00C760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Den foreslåede bestemmelse indebærer ikke en pligt for virksomheder og personer til at indhente nye oplysninger eller dokumenter. Bestemmelsen giver alene de nævnte myndigheder mulighed for at påbyde fortsat opbevaring af oplysninger eller dokumenter, som allerede er omfattet af opbevaringsreglerne i hvidvaskforordningens artikel 77, stk. 1 og 2.</w:t>
      </w:r>
    </w:p>
    <w:p w14:paraId="3B4EDE2E" w14:textId="77777777" w:rsidR="00C76011" w:rsidRPr="00796736" w:rsidRDefault="00C76011" w:rsidP="00A802A5">
      <w:pPr>
        <w:spacing w:line="360" w:lineRule="auto"/>
        <w:rPr>
          <w:rFonts w:ascii="Times New Roman" w:hAnsi="Times New Roman" w:cs="Times New Roman"/>
          <w:sz w:val="24"/>
          <w:szCs w:val="24"/>
        </w:rPr>
      </w:pPr>
    </w:p>
    <w:p w14:paraId="5BAE5111" w14:textId="77777777" w:rsidR="00C76011" w:rsidRPr="00796736" w:rsidRDefault="00C760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Opbevaringsperioden kan efter bestemmelsen fastsættes til en periode på op til 10 år fra den 10. juli 2027. Perioden skal fastsættes konkret og må ikke være længere end nødvendigt og forholdsmæssigt i det enkelte tilfælde.</w:t>
      </w:r>
    </w:p>
    <w:p w14:paraId="4968E885" w14:textId="77777777" w:rsidR="00C76011" w:rsidRPr="00796736" w:rsidRDefault="00C76011" w:rsidP="00A802A5">
      <w:pPr>
        <w:spacing w:line="360" w:lineRule="auto"/>
        <w:rPr>
          <w:rFonts w:ascii="Times New Roman" w:hAnsi="Times New Roman" w:cs="Times New Roman"/>
          <w:sz w:val="24"/>
          <w:szCs w:val="24"/>
        </w:rPr>
      </w:pPr>
    </w:p>
    <w:p w14:paraId="58AD0D02" w14:textId="77777777" w:rsidR="00C76011" w:rsidRPr="00796736" w:rsidRDefault="00C760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berører ikke nationale strafferetlige bevisregler, herunder regler om sikring, opbevaring, fremlæggelse eller anvendelse af bevismateriale i forbindelse med verserende strafferetlige efterforskninger og retssager.</w:t>
      </w:r>
    </w:p>
    <w:p w14:paraId="01D8E5A4" w14:textId="77777777" w:rsidR="00C76011" w:rsidRPr="00796736" w:rsidRDefault="00C76011" w:rsidP="00A802A5">
      <w:pPr>
        <w:spacing w:line="360" w:lineRule="auto"/>
        <w:rPr>
          <w:rFonts w:ascii="Times New Roman" w:hAnsi="Times New Roman" w:cs="Times New Roman"/>
          <w:sz w:val="24"/>
          <w:szCs w:val="24"/>
        </w:rPr>
      </w:pPr>
    </w:p>
    <w:p w14:paraId="78EE64DE" w14:textId="77777777" w:rsidR="00C76011" w:rsidRPr="00796736" w:rsidRDefault="00C76011" w:rsidP="00A802A5">
      <w:pPr>
        <w:spacing w:after="240" w:line="360" w:lineRule="auto"/>
        <w:rPr>
          <w:rFonts w:ascii="Times New Roman" w:eastAsia="Calibri" w:hAnsi="Times New Roman" w:cs="Times New Roman"/>
          <w:sz w:val="24"/>
          <w:szCs w:val="24"/>
        </w:rPr>
      </w:pPr>
      <w:r w:rsidRPr="00796736">
        <w:rPr>
          <w:rFonts w:ascii="Times New Roman" w:hAnsi="Times New Roman" w:cs="Times New Roman"/>
          <w:sz w:val="24"/>
          <w:szCs w:val="24"/>
        </w:rPr>
        <w:t xml:space="preserve">Der vil ved påbud efter den foreslåede bestemmelse være tale om en afgørelse i forvaltningslovens forstand, hvilket </w:t>
      </w:r>
      <w:r w:rsidRPr="00796736">
        <w:rPr>
          <w:rFonts w:ascii="Times New Roman" w:eastAsia="Calibri" w:hAnsi="Times New Roman" w:cs="Times New Roman"/>
          <w:sz w:val="24"/>
          <w:szCs w:val="24"/>
        </w:rPr>
        <w:t>vil indebære, at Finanstilsynet, Erhvervsstyrelsen eller Spillemyndigheden vil skulle iagttage forvaltningslovens regler om partsrettigheder, herunder bl.a. vejledningspligt, partshøring, begrundelse og klagevejledning, og at der som udgangspunkt vil kunne anmodes om aktindsigt i afgørelserne efter forvaltningsloven.</w:t>
      </w:r>
    </w:p>
    <w:p w14:paraId="6CA0A3DD" w14:textId="77777777" w:rsidR="00C76011" w:rsidRPr="00796736" w:rsidRDefault="00C76011" w:rsidP="00A802A5">
      <w:pPr>
        <w:spacing w:line="360" w:lineRule="auto"/>
        <w:rPr>
          <w:rFonts w:ascii="Times New Roman" w:hAnsi="Times New Roman" w:cs="Times New Roman"/>
          <w:sz w:val="24"/>
          <w:szCs w:val="24"/>
        </w:rPr>
      </w:pPr>
    </w:p>
    <w:p w14:paraId="69BB58EF" w14:textId="77777777" w:rsidR="00C76011" w:rsidRPr="00796736" w:rsidRDefault="00C76011"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Bestemmelsen udmønter hvidvaskforordningens artikel 77, stk. 4, 1. og 2. afsnit.</w:t>
      </w:r>
    </w:p>
    <w:p w14:paraId="75E7B976" w14:textId="77777777" w:rsidR="00283EB1" w:rsidRPr="00796736" w:rsidRDefault="00283EB1" w:rsidP="00A802A5">
      <w:pPr>
        <w:spacing w:line="360" w:lineRule="auto"/>
        <w:rPr>
          <w:rFonts w:ascii="Times New Roman" w:hAnsi="Times New Roman" w:cs="Times New Roman"/>
          <w:sz w:val="24"/>
          <w:szCs w:val="24"/>
        </w:rPr>
      </w:pPr>
    </w:p>
    <w:p w14:paraId="4ACFD4C7" w14:textId="77777777" w:rsidR="00DA0A0B" w:rsidRPr="00796736" w:rsidRDefault="00DA0A0B" w:rsidP="00A802A5">
      <w:pPr>
        <w:spacing w:line="360" w:lineRule="auto"/>
        <w:jc w:val="left"/>
        <w:rPr>
          <w:rFonts w:ascii="Times New Roman" w:eastAsia="Times New Roman" w:hAnsi="Times New Roman" w:cs="Times New Roman"/>
          <w:sz w:val="24"/>
          <w:szCs w:val="24"/>
        </w:rPr>
      </w:pPr>
    </w:p>
    <w:p w14:paraId="3D6F0641" w14:textId="453BD285" w:rsidR="002337A1" w:rsidRPr="00796736" w:rsidRDefault="002337A1" w:rsidP="00A802A5">
      <w:pPr>
        <w:pStyle w:val="Undertitel"/>
      </w:pPr>
      <w:bookmarkStart w:id="2315" w:name="_Toc232109457"/>
      <w:bookmarkStart w:id="2316" w:name="_Toc244879457"/>
      <w:bookmarkStart w:id="2317" w:name="_Toc244880991"/>
      <w:r w:rsidRPr="00796736">
        <w:t>Til bilag 1</w:t>
      </w:r>
      <w:bookmarkEnd w:id="2315"/>
      <w:bookmarkEnd w:id="2316"/>
      <w:bookmarkEnd w:id="2317"/>
    </w:p>
    <w:p w14:paraId="211A5F28" w14:textId="0850B589"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gældende bilag 1 til hvidvaskloven oplister de aktiviteter, hvorefter en virksomhed eller person er omfattet af lovens anvendelsesområde, hvis virksomheden eller personen erhvervsmæssigt udøver en eller flere af de i bilag 1 nævnte aktiviteter, og denne ikke er omfattet af </w:t>
      </w:r>
      <w:r w:rsidR="005E7330" w:rsidRPr="00796736">
        <w:rPr>
          <w:rFonts w:ascii="Times New Roman" w:hAnsi="Times New Roman" w:cs="Times New Roman"/>
          <w:sz w:val="24"/>
          <w:szCs w:val="24"/>
        </w:rPr>
        <w:fldChar w:fldCharType="begin"/>
      </w:r>
      <w:r w:rsidR="005E7330" w:rsidRPr="00796736">
        <w:rPr>
          <w:rFonts w:ascii="Times New Roman" w:hAnsi="Times New Roman" w:cs="Times New Roman"/>
          <w:sz w:val="24"/>
          <w:szCs w:val="24"/>
        </w:rPr>
        <w:instrText xml:space="preserve"> REF _Ref232592818 \r \h </w:instrText>
      </w:r>
      <w:r w:rsidR="00967618" w:rsidRPr="00796736">
        <w:rPr>
          <w:rFonts w:ascii="Times New Roman" w:hAnsi="Times New Roman" w:cs="Times New Roman"/>
          <w:sz w:val="24"/>
          <w:szCs w:val="24"/>
        </w:rPr>
        <w:instrText xml:space="preserve"> \* MERGEFORMAT </w:instrText>
      </w:r>
      <w:r w:rsidR="005E7330" w:rsidRPr="00796736">
        <w:rPr>
          <w:rFonts w:ascii="Times New Roman" w:hAnsi="Times New Roman" w:cs="Times New Roman"/>
          <w:sz w:val="24"/>
          <w:szCs w:val="24"/>
        </w:rPr>
      </w:r>
      <w:r w:rsidR="005E7330" w:rsidRPr="00796736">
        <w:rPr>
          <w:rFonts w:ascii="Times New Roman" w:hAnsi="Times New Roman" w:cs="Times New Roman"/>
          <w:sz w:val="24"/>
          <w:szCs w:val="24"/>
        </w:rPr>
        <w:fldChar w:fldCharType="separate"/>
      </w:r>
      <w:r w:rsidR="008F29E5">
        <w:rPr>
          <w:rFonts w:ascii="Times New Roman" w:hAnsi="Times New Roman" w:cs="Times New Roman"/>
          <w:sz w:val="24"/>
          <w:szCs w:val="24"/>
        </w:rPr>
        <w:t>§ 2</w:t>
      </w:r>
      <w:r w:rsidR="005E7330" w:rsidRPr="00796736">
        <w:rPr>
          <w:rFonts w:ascii="Times New Roman" w:hAnsi="Times New Roman" w:cs="Times New Roman"/>
          <w:sz w:val="24"/>
          <w:szCs w:val="24"/>
        </w:rPr>
        <w:fldChar w:fldCharType="end"/>
      </w:r>
      <w:r w:rsidRPr="00796736">
        <w:rPr>
          <w:rFonts w:ascii="Times New Roman" w:hAnsi="Times New Roman" w:cs="Times New Roman"/>
          <w:sz w:val="24"/>
          <w:szCs w:val="24"/>
        </w:rPr>
        <w:t xml:space="preserve">, nr. 1-7. </w:t>
      </w:r>
    </w:p>
    <w:p w14:paraId="409F52F3" w14:textId="77777777" w:rsidR="0000230F" w:rsidRPr="00796736" w:rsidRDefault="0000230F" w:rsidP="00A802A5">
      <w:pPr>
        <w:spacing w:line="360" w:lineRule="auto"/>
        <w:rPr>
          <w:rFonts w:ascii="Times New Roman" w:hAnsi="Times New Roman" w:cs="Times New Roman"/>
          <w:sz w:val="24"/>
          <w:szCs w:val="24"/>
        </w:rPr>
      </w:pPr>
    </w:p>
    <w:p w14:paraId="0BC1389B"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Bilag 1 til den nugældende hvidvasklov er en sammenskrivning af bilag 1 og bilag 2 til lov om finansiel virksomhed, der oplister pengeinstitut- og kreditinstitutvirksomhed dog med undtagelse af kreditoplysningsvirksomheder. Bilaget skal således fortolkes i overensstemmelse med lov om finansiel virksomhed. </w:t>
      </w:r>
    </w:p>
    <w:p w14:paraId="7B9872EA" w14:textId="77777777" w:rsidR="0000230F" w:rsidRPr="00796736" w:rsidRDefault="0000230F" w:rsidP="00A802A5">
      <w:pPr>
        <w:spacing w:line="360" w:lineRule="auto"/>
        <w:rPr>
          <w:rFonts w:ascii="Times New Roman" w:hAnsi="Times New Roman" w:cs="Times New Roman"/>
          <w:sz w:val="24"/>
          <w:szCs w:val="24"/>
        </w:rPr>
      </w:pPr>
    </w:p>
    <w:p w14:paraId="0EA55932" w14:textId="606364E6"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Det foreslåede bilag 1 viderefører bilag 1 til hvidvasklov uden ændringer.</w:t>
      </w:r>
    </w:p>
    <w:p w14:paraId="752C4D2B" w14:textId="77777777" w:rsidR="0000230F" w:rsidRPr="00796736" w:rsidRDefault="0000230F" w:rsidP="00A802A5">
      <w:pPr>
        <w:spacing w:line="360" w:lineRule="auto"/>
        <w:rPr>
          <w:rFonts w:ascii="Times New Roman" w:hAnsi="Times New Roman" w:cs="Times New Roman"/>
          <w:sz w:val="24"/>
          <w:szCs w:val="24"/>
        </w:rPr>
      </w:pPr>
    </w:p>
    <w:p w14:paraId="785B8031"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1</w:t>
      </w:r>
      <w:r w:rsidRPr="00796736">
        <w:rPr>
          <w:rFonts w:ascii="Times New Roman" w:hAnsi="Times New Roman" w:cs="Times New Roman"/>
          <w:sz w:val="24"/>
          <w:szCs w:val="24"/>
        </w:rPr>
        <w:t xml:space="preserve">, at modtagelse af indlån og andre tilbagebetalingspligtige midler, er omfattet. Modtagelse af indlån og andre tilbagebetalingspligtige midler omfatter virksomheder, der erhvervsmæssigt udøver denne aktivitet uden at skulle have tilladelse som pengeinstitut eller som sparevirksomhed. Der er tale om virksomheder, der ikke henvender sig til offentligheden. Indlån og andre tilbagebetalingspligtige midler er indskud, hvor indskyderen har krav på et få sin fordring tilbagebetalt i sin helhed. </w:t>
      </w:r>
    </w:p>
    <w:p w14:paraId="036949BE" w14:textId="77777777" w:rsidR="0000230F" w:rsidRPr="00796736" w:rsidRDefault="0000230F" w:rsidP="00A802A5">
      <w:pPr>
        <w:spacing w:line="360" w:lineRule="auto"/>
        <w:rPr>
          <w:rFonts w:ascii="Times New Roman" w:hAnsi="Times New Roman" w:cs="Times New Roman"/>
          <w:sz w:val="24"/>
          <w:szCs w:val="24"/>
        </w:rPr>
      </w:pPr>
    </w:p>
    <w:p w14:paraId="6951DE5F"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2</w:t>
      </w:r>
      <w:r w:rsidRPr="00796736">
        <w:rPr>
          <w:rFonts w:ascii="Times New Roman" w:hAnsi="Times New Roman" w:cs="Times New Roman"/>
          <w:sz w:val="24"/>
          <w:szCs w:val="24"/>
        </w:rPr>
        <w:t xml:space="preserve">, at udlånsvirksomhed er omfattet. Udlånsvirksomhed omfatter blandt andet forbrugerkreditter, realkreditlån, factoring og diskontering samt handelskreditter (inkl. forfaitering). Alle former for udlånsvirksomhed er omfattet. De underpunkter, der nævnes, er alene eksempler, der ikke indebærer nogen begrænsninger i de låneformer, der er omfattet. Udlånsvirksomhed omfatter både udlån til erhverv og til private. Formidling af lån er ikke omfattet. </w:t>
      </w:r>
    </w:p>
    <w:p w14:paraId="4EBE1995" w14:textId="77777777" w:rsidR="0000230F" w:rsidRPr="00796736" w:rsidRDefault="0000230F" w:rsidP="00A802A5">
      <w:pPr>
        <w:spacing w:line="360" w:lineRule="auto"/>
        <w:rPr>
          <w:rFonts w:ascii="Times New Roman" w:hAnsi="Times New Roman" w:cs="Times New Roman"/>
          <w:sz w:val="24"/>
          <w:szCs w:val="24"/>
        </w:rPr>
      </w:pPr>
    </w:p>
    <w:p w14:paraId="04CCC50C"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Forbrugerkreditter, hvor der ydes kredit til forbrugere i form af faste eller variable lån eller anden tilsvarende form for finansiel ordning, er omfattet. Kreditter, der ydes til forbrugere i forbindelse med disses køb af varer og tjenesteydelser, f.eks. ved kontosalg, eller ved salg med ejendomsforbehold, er ligeledes omfattet. </w:t>
      </w:r>
    </w:p>
    <w:p w14:paraId="11ED6818" w14:textId="77777777" w:rsidR="0000230F" w:rsidRPr="00796736" w:rsidRDefault="0000230F" w:rsidP="00A802A5">
      <w:pPr>
        <w:spacing w:line="360" w:lineRule="auto"/>
        <w:rPr>
          <w:rFonts w:ascii="Times New Roman" w:hAnsi="Times New Roman" w:cs="Times New Roman"/>
          <w:sz w:val="24"/>
          <w:szCs w:val="24"/>
        </w:rPr>
      </w:pPr>
    </w:p>
    <w:p w14:paraId="3EB00B5E"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Almindelige varekreditter fra sælger til køber i forbindelse med handel med varer og tjenesteydelser mellem erhvervsdrivende er ikke omfattet. </w:t>
      </w:r>
    </w:p>
    <w:p w14:paraId="7189E52B" w14:textId="77777777" w:rsidR="005E7330" w:rsidRPr="00796736" w:rsidRDefault="005E7330" w:rsidP="00A802A5">
      <w:pPr>
        <w:spacing w:line="360" w:lineRule="auto"/>
        <w:rPr>
          <w:rFonts w:ascii="Times New Roman" w:hAnsi="Times New Roman" w:cs="Times New Roman"/>
          <w:sz w:val="24"/>
          <w:szCs w:val="24"/>
        </w:rPr>
      </w:pPr>
    </w:p>
    <w:p w14:paraId="02B0DCDC"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Factoring og diskontering er finansieringsformer, hvorved factorings- eller diskonteringsselskabet overtager kundens debitorfordringer til eje eller til sikkerhed til en nærmere aftalt kurs. Overtagelse aftales enten uden eller med regres til sælger i tilfælde af debitorernes manglende betalingsevne. Diskontering omfatter blandt andet såkaldt købekontraktsfinansiering, hvor udlånsselskabet overtager købekontrakten fra varesælger. </w:t>
      </w:r>
    </w:p>
    <w:p w14:paraId="71A42457" w14:textId="77777777" w:rsidR="0000230F" w:rsidRPr="00796736" w:rsidRDefault="0000230F" w:rsidP="00A802A5">
      <w:pPr>
        <w:spacing w:line="360" w:lineRule="auto"/>
        <w:rPr>
          <w:rFonts w:ascii="Times New Roman" w:hAnsi="Times New Roman" w:cs="Times New Roman"/>
          <w:sz w:val="24"/>
          <w:szCs w:val="24"/>
        </w:rPr>
      </w:pPr>
    </w:p>
    <w:p w14:paraId="561590E1"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Forfaitering er en finansieringsform, som anvendes til finansiering af eksportører i grænseoverskridende handler med varer og tjenesteydelser (trade finance). Forfaiteringselskabet overtager eksportørens tilgodehavender. Forfaitering adskiller sig fra factoring ved at være en transaktionsbaseret operation, hvor forfaiteringselskabet overtager eksportørens debitorfordringer enkeltvis, mens factoring er en kundebaseret operation, hvor factoringselskabet overtager hele eller en væsentlig del af kundens samlede debitorfordringer. </w:t>
      </w:r>
    </w:p>
    <w:p w14:paraId="524703AB" w14:textId="77777777" w:rsidR="0000230F" w:rsidRPr="00796736" w:rsidRDefault="0000230F" w:rsidP="00A802A5">
      <w:pPr>
        <w:spacing w:line="360" w:lineRule="auto"/>
        <w:rPr>
          <w:rFonts w:ascii="Times New Roman" w:hAnsi="Times New Roman" w:cs="Times New Roman"/>
          <w:sz w:val="24"/>
          <w:szCs w:val="24"/>
        </w:rPr>
      </w:pPr>
    </w:p>
    <w:p w14:paraId="1463E0FC"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3</w:t>
      </w:r>
      <w:r w:rsidRPr="00796736">
        <w:rPr>
          <w:rFonts w:ascii="Times New Roman" w:hAnsi="Times New Roman" w:cs="Times New Roman"/>
          <w:sz w:val="24"/>
          <w:szCs w:val="24"/>
        </w:rPr>
        <w:t xml:space="preserve">, at finansiel leasing er omfattet. Finansiel leasing defineres i bekendtgørelse nr. 658 af 23. maj 2025 om finansielle rapporter for kreditinstitutter og fondsmæglerselskaber m.fl., som en leasingaftale, der overfører alle væsentlige risici og fordele forbundet med ejendomsretten til et aktiv uden hensyn til, om ejendomsretten overdrages ved leasingperiodens slutning eller ej. </w:t>
      </w:r>
    </w:p>
    <w:p w14:paraId="6E6657AA" w14:textId="77777777" w:rsidR="0000230F" w:rsidRPr="00796736" w:rsidRDefault="0000230F" w:rsidP="00A802A5">
      <w:pPr>
        <w:spacing w:line="360" w:lineRule="auto"/>
        <w:rPr>
          <w:rFonts w:ascii="Times New Roman" w:hAnsi="Times New Roman" w:cs="Times New Roman"/>
          <w:sz w:val="24"/>
          <w:szCs w:val="24"/>
        </w:rPr>
      </w:pPr>
    </w:p>
    <w:p w14:paraId="56BAD479"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Der forstås derved de typer af leasingaftaler, hvor leasingtager bærer den finansielle risiko for leasingudstyrets kalkulerede restværdi ved leasingaftalens udløb. Leasingtager, forpligter sig til i leasingperioden at betale en leasingafgift, der indebærer, at leasingselskabets bagvedliggende lån afvikles inklusive selskabets marginal. Da udstyret typisk har en – om end begrænset – restværdi ved leasingaftalens udløb, indbygges det normalt i aftalen, at leasingtager på dette tidspunkt er forpligtet til på anfordring at anvise en køber af udstyret til den kalkulerede restværdi.</w:t>
      </w:r>
    </w:p>
    <w:p w14:paraId="08CE0AB1" w14:textId="77777777" w:rsidR="0000230F" w:rsidRPr="00796736" w:rsidRDefault="0000230F" w:rsidP="00A802A5">
      <w:pPr>
        <w:spacing w:line="360" w:lineRule="auto"/>
        <w:rPr>
          <w:rFonts w:ascii="Times New Roman" w:hAnsi="Times New Roman" w:cs="Times New Roman"/>
          <w:sz w:val="24"/>
          <w:szCs w:val="24"/>
        </w:rPr>
      </w:pPr>
    </w:p>
    <w:p w14:paraId="4566BE4D"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4,</w:t>
      </w:r>
      <w:r w:rsidRPr="00796736">
        <w:rPr>
          <w:rFonts w:ascii="Times New Roman" w:hAnsi="Times New Roman" w:cs="Times New Roman"/>
          <w:sz w:val="24"/>
          <w:szCs w:val="24"/>
        </w:rPr>
        <w:t xml:space="preserve"> at udstedelse og administration af andre betalingsmidler er omfattet i det omfang aktiviteten ikke er omfattet af lov om betalingstjenester og elektroniske penge. Dette betyder, at f.eks. udstedelse af rejsechecks og bankveksler er omfattet. Oplistningen er alene eksempler og er derfor ikke udtømmende. </w:t>
      </w:r>
    </w:p>
    <w:p w14:paraId="30F8B225" w14:textId="77777777" w:rsidR="0000230F" w:rsidRPr="00796736" w:rsidRDefault="0000230F" w:rsidP="00A802A5">
      <w:pPr>
        <w:spacing w:line="360" w:lineRule="auto"/>
        <w:rPr>
          <w:rFonts w:ascii="Times New Roman" w:hAnsi="Times New Roman" w:cs="Times New Roman"/>
          <w:sz w:val="24"/>
          <w:szCs w:val="24"/>
        </w:rPr>
      </w:pPr>
    </w:p>
    <w:p w14:paraId="119F77D4"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5</w:t>
      </w:r>
      <w:r w:rsidRPr="00796736">
        <w:rPr>
          <w:rFonts w:ascii="Times New Roman" w:hAnsi="Times New Roman" w:cs="Times New Roman"/>
          <w:sz w:val="24"/>
          <w:szCs w:val="24"/>
        </w:rPr>
        <w:t>, at sikkerhedsstillelse og garantier er omfattet. Sikkerhedsstillelse og garantier er omfattet, når virksomheden drives erhvervsmæssigt, som det eksempelvis er tilfældet for et kautionsforsikringsselskab. Lån mod sikkerhedsstillelse, herunder fakturabelåning eller lån med pant i fast ejendom, løsøre eller værdipapirer, er ligeledes omfattet. Udstedelse af garantier (kaution) af enhver art er omfattet, forudsat at virksomheden udøves erhvervsmæssigt, eksempelvis af et kautionsforsikringsselskab.</w:t>
      </w:r>
    </w:p>
    <w:p w14:paraId="7A14C8E9" w14:textId="77777777" w:rsidR="0000230F" w:rsidRPr="00796736" w:rsidRDefault="0000230F" w:rsidP="00A802A5">
      <w:pPr>
        <w:spacing w:line="360" w:lineRule="auto"/>
        <w:rPr>
          <w:rFonts w:ascii="Times New Roman" w:hAnsi="Times New Roman" w:cs="Times New Roman"/>
          <w:sz w:val="24"/>
          <w:szCs w:val="24"/>
        </w:rPr>
      </w:pPr>
    </w:p>
    <w:p w14:paraId="2DC4AA0D"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6</w:t>
      </w:r>
      <w:r w:rsidRPr="00796736">
        <w:rPr>
          <w:rFonts w:ascii="Times New Roman" w:hAnsi="Times New Roman" w:cs="Times New Roman"/>
          <w:sz w:val="24"/>
          <w:szCs w:val="24"/>
        </w:rPr>
        <w:t xml:space="preserve">, at transaktioner for egen eller kunders regning er omfattet i forbindelse med a) pengemarkedsinstrumenter, b) valutamarkedet, c) finansielle futures og optioner, d) valuta- og renteinstrumenter samt e) værdipapirer er omfattet. Ved pengemarkedsinstrumenter forstås de instrumenter, som normalt omsættes på pengemarkedet, f.eks. skatkammerbeviser, der er kortfristede gældsbreve udstedt af staten. </w:t>
      </w:r>
    </w:p>
    <w:p w14:paraId="232B8EFC" w14:textId="77777777" w:rsidR="0000230F" w:rsidRPr="00796736" w:rsidRDefault="0000230F" w:rsidP="00A802A5">
      <w:pPr>
        <w:spacing w:line="360" w:lineRule="auto"/>
        <w:rPr>
          <w:rFonts w:ascii="Times New Roman" w:hAnsi="Times New Roman" w:cs="Times New Roman"/>
          <w:sz w:val="24"/>
          <w:szCs w:val="24"/>
        </w:rPr>
      </w:pPr>
    </w:p>
    <w:p w14:paraId="6CBC8ABD"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7,</w:t>
      </w:r>
      <w:r w:rsidRPr="00796736">
        <w:rPr>
          <w:rFonts w:ascii="Times New Roman" w:hAnsi="Times New Roman" w:cs="Times New Roman"/>
          <w:sz w:val="24"/>
          <w:szCs w:val="24"/>
        </w:rPr>
        <w:t xml:space="preserve"> at medvirken ved emission af værdipapirer og tjenesteydelser i forbindelse hermed er omfattet. Omfattet er f.eks. medvirken til notering på et reguleret marked. </w:t>
      </w:r>
    </w:p>
    <w:p w14:paraId="483202BB" w14:textId="77777777" w:rsidR="0000230F" w:rsidRPr="00796736" w:rsidRDefault="0000230F" w:rsidP="00A802A5">
      <w:pPr>
        <w:spacing w:line="360" w:lineRule="auto"/>
        <w:rPr>
          <w:rFonts w:ascii="Times New Roman" w:hAnsi="Times New Roman" w:cs="Times New Roman"/>
          <w:sz w:val="24"/>
          <w:szCs w:val="24"/>
        </w:rPr>
      </w:pPr>
    </w:p>
    <w:p w14:paraId="18236295"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8</w:t>
      </w:r>
      <w:r w:rsidRPr="00796736">
        <w:rPr>
          <w:rFonts w:ascii="Times New Roman" w:hAnsi="Times New Roman" w:cs="Times New Roman"/>
          <w:sz w:val="24"/>
          <w:szCs w:val="24"/>
        </w:rPr>
        <w:t>, at rådgivning til virksomheder vedrørende kapitalstruktur, industristrategi og dermed beslægtede spørgsmål og rådgivning samt tjenesteydelser vedrørende sammenslutning og opkøb af virksomheder er omfattet. Dette omfatter blandt andet notering og placering af aktier og aktierelaterede værdipapirer via regulerede markedspladser, private placeringer af unoterede aktier, større sekundære aktieplaceringer via regulerede markedspladser, samt rådgivning i forbindelse med gennemførelse af fusioner og virksomhedsoverdragelse. Denne form for virksomhed betegnes også ”merchant banking”.</w:t>
      </w:r>
    </w:p>
    <w:p w14:paraId="5B3AB808" w14:textId="77777777" w:rsidR="0000230F" w:rsidRPr="00796736" w:rsidRDefault="0000230F" w:rsidP="00A802A5">
      <w:pPr>
        <w:spacing w:line="360" w:lineRule="auto"/>
        <w:rPr>
          <w:rFonts w:ascii="Times New Roman" w:hAnsi="Times New Roman" w:cs="Times New Roman"/>
          <w:sz w:val="24"/>
          <w:szCs w:val="24"/>
        </w:rPr>
      </w:pPr>
    </w:p>
    <w:p w14:paraId="2089B397"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9</w:t>
      </w:r>
      <w:r w:rsidRPr="00796736">
        <w:rPr>
          <w:rFonts w:ascii="Times New Roman" w:hAnsi="Times New Roman" w:cs="Times New Roman"/>
          <w:sz w:val="24"/>
          <w:szCs w:val="24"/>
        </w:rPr>
        <w:t xml:space="preserve">, at pengeformidlere (eller money brokers) er omfattet. Herved forstås virksomheder, der består i at formidle kontakt mellem virksomheder, der ønsker at låne penge, og virksomheder, der ønsker at udlåne penge. Pengemarkedet er en samlebetegnelse for de finansielle markeder for aktiver involveret i kortfristede lån/udlån med en løbetid på et år eller mindre. </w:t>
      </w:r>
    </w:p>
    <w:p w14:paraId="76DC6069" w14:textId="77777777" w:rsidR="0000230F" w:rsidRPr="00796736" w:rsidRDefault="0000230F" w:rsidP="00A802A5">
      <w:pPr>
        <w:spacing w:line="360" w:lineRule="auto"/>
        <w:rPr>
          <w:rFonts w:ascii="Times New Roman" w:hAnsi="Times New Roman" w:cs="Times New Roman"/>
          <w:sz w:val="24"/>
          <w:szCs w:val="24"/>
        </w:rPr>
      </w:pPr>
    </w:p>
    <w:p w14:paraId="5DBB69F1"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10,</w:t>
      </w:r>
      <w:r w:rsidRPr="00796736">
        <w:rPr>
          <w:rFonts w:ascii="Times New Roman" w:hAnsi="Times New Roman" w:cs="Times New Roman"/>
          <w:sz w:val="24"/>
          <w:szCs w:val="24"/>
        </w:rPr>
        <w:t xml:space="preserve"> at porteføljeadministration og -rådgivning om køb og salg af værdipapirer, som ikke kræver tilladelse som fondsmægler i henhold til lov om finansiel virksomhed er omfattet.</w:t>
      </w:r>
    </w:p>
    <w:p w14:paraId="5DE53C6A" w14:textId="77777777" w:rsidR="0000230F" w:rsidRPr="00796736" w:rsidRDefault="0000230F" w:rsidP="00A802A5">
      <w:pPr>
        <w:spacing w:line="360" w:lineRule="auto"/>
        <w:rPr>
          <w:rFonts w:ascii="Times New Roman" w:hAnsi="Times New Roman" w:cs="Times New Roman"/>
          <w:sz w:val="24"/>
          <w:szCs w:val="24"/>
        </w:rPr>
      </w:pPr>
    </w:p>
    <w:p w14:paraId="79DC2454"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11,</w:t>
      </w:r>
      <w:r w:rsidRPr="00796736">
        <w:rPr>
          <w:rFonts w:ascii="Times New Roman" w:hAnsi="Times New Roman" w:cs="Times New Roman"/>
          <w:sz w:val="24"/>
          <w:szCs w:val="24"/>
        </w:rPr>
        <w:t xml:space="preserve"> at opbevaring og forvaltning af værdipapirer er omfattet. Forvaltning adskiller sig i denne sammenhæng fra »porteføljeadministration og rådgivning« ved, at forvaltning forudsætter et diskretionært mandat til at købe og sælge værdipapirer fra kunden uden dennes samtykke til den konkrete disposition. </w:t>
      </w:r>
    </w:p>
    <w:p w14:paraId="58D56DDE" w14:textId="77777777" w:rsidR="0000230F" w:rsidRPr="00796736" w:rsidRDefault="0000230F" w:rsidP="00A802A5">
      <w:pPr>
        <w:spacing w:line="360" w:lineRule="auto"/>
        <w:rPr>
          <w:rFonts w:ascii="Times New Roman" w:hAnsi="Times New Roman" w:cs="Times New Roman"/>
          <w:sz w:val="24"/>
          <w:szCs w:val="24"/>
        </w:rPr>
      </w:pPr>
    </w:p>
    <w:p w14:paraId="0D6AAC4B" w14:textId="77777777" w:rsidR="0000230F" w:rsidRPr="00796736" w:rsidRDefault="0000230F" w:rsidP="00A802A5">
      <w:pPr>
        <w:spacing w:line="360" w:lineRule="auto"/>
        <w:rPr>
          <w:rFonts w:ascii="Times New Roman" w:hAnsi="Times New Roman" w:cs="Times New Roman"/>
          <w:sz w:val="24"/>
          <w:szCs w:val="24"/>
        </w:rPr>
      </w:pPr>
      <w:r w:rsidRPr="00796736">
        <w:rPr>
          <w:rFonts w:ascii="Times New Roman" w:hAnsi="Times New Roman" w:cs="Times New Roman"/>
          <w:sz w:val="24"/>
          <w:szCs w:val="24"/>
        </w:rPr>
        <w:t xml:space="preserve">Det foreslås i </w:t>
      </w:r>
      <w:r w:rsidRPr="00796736">
        <w:rPr>
          <w:rFonts w:ascii="Times New Roman" w:hAnsi="Times New Roman" w:cs="Times New Roman"/>
          <w:i/>
          <w:iCs/>
          <w:sz w:val="24"/>
          <w:szCs w:val="24"/>
        </w:rPr>
        <w:t>nr. 12,</w:t>
      </w:r>
      <w:r w:rsidRPr="00796736">
        <w:rPr>
          <w:rFonts w:ascii="Times New Roman" w:hAnsi="Times New Roman" w:cs="Times New Roman"/>
          <w:sz w:val="24"/>
          <w:szCs w:val="24"/>
        </w:rPr>
        <w:t xml:space="preserve"> at boksudlejning er omfattet, da bokse kan anvendes til opbevaring af kontante midler. </w:t>
      </w:r>
    </w:p>
    <w:p w14:paraId="1F1C30C8" w14:textId="77777777" w:rsidR="0000230F" w:rsidRPr="00796736" w:rsidRDefault="0000230F" w:rsidP="00A802A5">
      <w:pPr>
        <w:spacing w:line="360" w:lineRule="auto"/>
        <w:rPr>
          <w:rFonts w:ascii="Times New Roman" w:hAnsi="Times New Roman" w:cs="Times New Roman"/>
          <w:sz w:val="24"/>
          <w:szCs w:val="24"/>
        </w:rPr>
      </w:pPr>
    </w:p>
    <w:p w14:paraId="5F7756BA" w14:textId="568CD7B1" w:rsidR="00B1234A" w:rsidRPr="00796736" w:rsidRDefault="0000230F" w:rsidP="00A802A5">
      <w:pPr>
        <w:spacing w:line="360" w:lineRule="auto"/>
        <w:rPr>
          <w:rFonts w:ascii="Times New Roman" w:hAnsi="Times New Roman" w:cs="Times New Roman"/>
          <w:sz w:val="24"/>
          <w:szCs w:val="24"/>
          <w:lang w:eastAsia="da-DK"/>
        </w:rPr>
      </w:pPr>
      <w:r w:rsidRPr="00796736">
        <w:rPr>
          <w:rFonts w:ascii="Times New Roman" w:hAnsi="Times New Roman" w:cs="Times New Roman"/>
          <w:sz w:val="24"/>
          <w:szCs w:val="24"/>
        </w:rPr>
        <w:t xml:space="preserve">Aktiviteterne i det forslåede bilag 1 er en gengivelse af de aktiviteter, der fremgår af definitionen af finansieringsinstitut i artikel 2, </w:t>
      </w:r>
      <w:r w:rsidRPr="00796736">
        <w:rPr>
          <w:rFonts w:ascii="Times New Roman" w:eastAsia="Calibri" w:hAnsi="Times New Roman" w:cs="Times New Roman"/>
          <w:sz w:val="24"/>
          <w:szCs w:val="24"/>
        </w:rPr>
        <w:t xml:space="preserve">stk. 1, nr. 6, litra a, i </w:t>
      </w:r>
      <w:r w:rsidR="00796736">
        <w:rPr>
          <w:rFonts w:ascii="Times New Roman" w:eastAsia="Calibri" w:hAnsi="Times New Roman" w:cs="Times New Roman"/>
          <w:sz w:val="24"/>
          <w:szCs w:val="24"/>
        </w:rPr>
        <w:t>hvidvaskforordningen</w:t>
      </w:r>
      <w:r w:rsidRPr="00796736">
        <w:rPr>
          <w:rFonts w:ascii="Times New Roman" w:eastAsia="Calibri" w:hAnsi="Times New Roman" w:cs="Times New Roman"/>
          <w:sz w:val="24"/>
          <w:szCs w:val="24"/>
        </w:rPr>
        <w:t xml:space="preserve">. </w:t>
      </w:r>
      <w:r w:rsidRPr="00796736">
        <w:rPr>
          <w:rFonts w:ascii="Times New Roman" w:hAnsi="Times New Roman" w:cs="Times New Roman"/>
          <w:sz w:val="24"/>
          <w:szCs w:val="24"/>
        </w:rPr>
        <w:t>Gengivelsen af aktiviteterne i bilag 1 til loven er således udelukkende begrundet i praktiske hensyn og berører ikke forordningernes umiddelbare gyldighed i Danmark.</w:t>
      </w:r>
    </w:p>
    <w:p w14:paraId="3F25C50E" w14:textId="77777777" w:rsidR="007F0E5E" w:rsidRPr="00796736" w:rsidRDefault="007F0E5E" w:rsidP="00A802A5">
      <w:pPr>
        <w:spacing w:after="160" w:line="360" w:lineRule="auto"/>
        <w:rPr>
          <w:rFonts w:ascii="Times New Roman" w:hAnsi="Times New Roman" w:cs="Times New Roman"/>
          <w:sz w:val="24"/>
          <w:szCs w:val="24"/>
        </w:rPr>
      </w:pPr>
    </w:p>
    <w:p w14:paraId="13621078" w14:textId="77777777" w:rsidR="00B200BB" w:rsidRPr="00796736" w:rsidRDefault="00B200BB" w:rsidP="00A802A5">
      <w:pPr>
        <w:spacing w:line="360" w:lineRule="auto"/>
        <w:rPr>
          <w:rFonts w:ascii="Times New Roman" w:hAnsi="Times New Roman" w:cs="Times New Roman"/>
          <w:sz w:val="24"/>
          <w:szCs w:val="24"/>
          <w:lang w:eastAsia="da-DK"/>
        </w:rPr>
      </w:pPr>
    </w:p>
    <w:p w14:paraId="32A8B5EF" w14:textId="77777777" w:rsidR="00F21163" w:rsidRPr="00796736" w:rsidRDefault="00F21163" w:rsidP="00A802A5">
      <w:pPr>
        <w:spacing w:line="360" w:lineRule="auto"/>
        <w:rPr>
          <w:rFonts w:ascii="Times New Roman" w:hAnsi="Times New Roman" w:cs="Times New Roman"/>
          <w:sz w:val="24"/>
          <w:szCs w:val="24"/>
          <w:lang w:eastAsia="da-DK"/>
        </w:rPr>
      </w:pPr>
    </w:p>
    <w:p w14:paraId="54961D78" w14:textId="77777777" w:rsidR="000F6E2E" w:rsidRPr="00796736" w:rsidRDefault="000F6E2E" w:rsidP="00A802A5">
      <w:pPr>
        <w:spacing w:line="360" w:lineRule="auto"/>
        <w:rPr>
          <w:rFonts w:ascii="Times New Roman" w:hAnsi="Times New Roman" w:cs="Times New Roman"/>
          <w:sz w:val="24"/>
          <w:szCs w:val="24"/>
          <w:lang w:eastAsia="da-DK"/>
        </w:rPr>
      </w:pPr>
    </w:p>
    <w:p w14:paraId="377FB3BE" w14:textId="7F2F6E56" w:rsidR="000F6E2E" w:rsidRPr="00796736" w:rsidRDefault="000F6E2E" w:rsidP="00A802A5">
      <w:pPr>
        <w:spacing w:line="360" w:lineRule="auto"/>
        <w:rPr>
          <w:rFonts w:ascii="Times New Roman" w:hAnsi="Times New Roman" w:cs="Times New Roman"/>
          <w:sz w:val="24"/>
          <w:szCs w:val="24"/>
          <w:lang w:eastAsia="da-DK"/>
        </w:rPr>
      </w:pPr>
    </w:p>
    <w:p w14:paraId="1BE9A6CD" w14:textId="77777777" w:rsidR="000F6E2E" w:rsidRPr="00796736" w:rsidRDefault="000F6E2E" w:rsidP="00A802A5">
      <w:pPr>
        <w:spacing w:line="360" w:lineRule="auto"/>
        <w:rPr>
          <w:rFonts w:ascii="Times New Roman" w:hAnsi="Times New Roman" w:cs="Times New Roman"/>
          <w:sz w:val="24"/>
          <w:szCs w:val="24"/>
          <w:lang w:eastAsia="da-DK"/>
        </w:rPr>
      </w:pPr>
    </w:p>
    <w:sectPr w:rsidR="000F6E2E" w:rsidRPr="00796736" w:rsidSect="00E45B12">
      <w:headerReference w:type="even" r:id="rId37"/>
      <w:headerReference w:type="default" r:id="rId38"/>
      <w:footerReference w:type="default" r:id="rId39"/>
      <w:headerReference w:type="first" r:id="rId40"/>
      <w:footerReference w:type="first" r:id="rId41"/>
      <w:pgSz w:w="11906" w:h="16838" w:code="9"/>
      <w:pgMar w:top="1418" w:right="3260" w:bottom="1531" w:left="1418" w:header="0"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B4E0" w14:textId="77777777" w:rsidR="009B1CCB" w:rsidRDefault="009B1CCB" w:rsidP="00D712BA">
      <w:pPr>
        <w:spacing w:line="240" w:lineRule="auto"/>
      </w:pPr>
      <w:r>
        <w:separator/>
      </w:r>
    </w:p>
  </w:endnote>
  <w:endnote w:type="continuationSeparator" w:id="0">
    <w:p w14:paraId="5387C849" w14:textId="77777777" w:rsidR="009B1CCB" w:rsidRDefault="009B1CCB" w:rsidP="00D712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444" w:tblpY="15724"/>
      <w:tblOverlap w:val="never"/>
      <w:tblW w:w="1418" w:type="dxa"/>
      <w:tblCellMar>
        <w:left w:w="0" w:type="dxa"/>
        <w:right w:w="0" w:type="dxa"/>
      </w:tblCellMar>
      <w:tblLook w:val="04A0" w:firstRow="1" w:lastRow="0" w:firstColumn="1" w:lastColumn="0" w:noHBand="0" w:noVBand="1"/>
    </w:tblPr>
    <w:tblGrid>
      <w:gridCol w:w="1418"/>
    </w:tblGrid>
    <w:tr w:rsidR="001430EB" w14:paraId="08518499" w14:textId="77777777" w:rsidTr="007112C6">
      <w:trPr>
        <w:trHeight w:val="255"/>
      </w:trPr>
      <w:tc>
        <w:tcPr>
          <w:tcW w:w="1418" w:type="dxa"/>
          <w:hideMark/>
        </w:tcPr>
        <w:p w14:paraId="0AB2CC3A" w14:textId="77777777" w:rsidR="001430EB" w:rsidRPr="006A1B98" w:rsidRDefault="001430EB">
          <w:pPr>
            <w:pStyle w:val="Sidefod"/>
            <w:rPr>
              <w:sz w:val="16"/>
              <w:szCs w:val="16"/>
            </w:rPr>
          </w:pPr>
          <w:r w:rsidRPr="006A1B98">
            <w:rPr>
              <w:rStyle w:val="Sidetal"/>
              <w:sz w:val="16"/>
              <w:szCs w:val="16"/>
            </w:rPr>
            <w:fldChar w:fldCharType="begin"/>
          </w:r>
          <w:r w:rsidRPr="006A1B98">
            <w:rPr>
              <w:rStyle w:val="Sidetal"/>
              <w:sz w:val="16"/>
              <w:szCs w:val="16"/>
            </w:rPr>
            <w:instrText xml:space="preserve"> PAGE </w:instrText>
          </w:r>
          <w:r w:rsidRPr="006A1B98">
            <w:rPr>
              <w:rStyle w:val="Sidetal"/>
              <w:sz w:val="16"/>
              <w:szCs w:val="16"/>
            </w:rPr>
            <w:fldChar w:fldCharType="separate"/>
          </w:r>
          <w:r>
            <w:rPr>
              <w:rStyle w:val="Sidetal"/>
              <w:noProof/>
              <w:sz w:val="16"/>
              <w:szCs w:val="16"/>
            </w:rPr>
            <w:t>6</w:t>
          </w:r>
          <w:r w:rsidRPr="006A1B98">
            <w:rPr>
              <w:rStyle w:val="Sidetal"/>
              <w:sz w:val="16"/>
              <w:szCs w:val="16"/>
            </w:rPr>
            <w:fldChar w:fldCharType="end"/>
          </w:r>
        </w:p>
      </w:tc>
    </w:tr>
  </w:tbl>
  <w:p w14:paraId="3A58858C" w14:textId="77777777" w:rsidR="001430EB" w:rsidRDefault="001430EB">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vertAnchor="page" w:horzAnchor="page" w:tblpX="8903" w:tblpY="1593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detal"/>
      <w:tblDescription w:val="sidetal"/>
    </w:tblPr>
    <w:tblGrid>
      <w:gridCol w:w="1555"/>
    </w:tblGrid>
    <w:tr w:rsidR="001430EB" w14:paraId="45342EE6" w14:textId="77777777" w:rsidTr="000401A0">
      <w:tc>
        <w:tcPr>
          <w:tcW w:w="1555" w:type="dxa"/>
        </w:tcPr>
        <w:p w14:paraId="5E6AE085" w14:textId="77777777" w:rsidR="001430EB" w:rsidRPr="00BD7A47" w:rsidRDefault="001430EB" w:rsidP="005E03DB">
          <w:pPr>
            <w:pStyle w:val="Sidefod"/>
            <w:rPr>
              <w:sz w:val="16"/>
              <w:szCs w:val="16"/>
            </w:rPr>
          </w:pPr>
          <w:r w:rsidRPr="00BD7A47">
            <w:rPr>
              <w:sz w:val="16"/>
              <w:szCs w:val="16"/>
            </w:rPr>
            <w:t xml:space="preserve">Side </w:t>
          </w:r>
          <w:r w:rsidRPr="00BD7A47">
            <w:rPr>
              <w:sz w:val="16"/>
              <w:szCs w:val="16"/>
            </w:rPr>
            <w:fldChar w:fldCharType="begin"/>
          </w:r>
          <w:r w:rsidRPr="00BD7A47">
            <w:rPr>
              <w:sz w:val="16"/>
              <w:szCs w:val="16"/>
            </w:rPr>
            <w:instrText xml:space="preserve"> PAGE   \* MERGEFORMAT </w:instrText>
          </w:r>
          <w:r w:rsidRPr="00BD7A47">
            <w:rPr>
              <w:sz w:val="16"/>
              <w:szCs w:val="16"/>
            </w:rPr>
            <w:fldChar w:fldCharType="separate"/>
          </w:r>
          <w:r w:rsidRPr="00BD7A47">
            <w:rPr>
              <w:noProof/>
              <w:sz w:val="16"/>
              <w:szCs w:val="16"/>
            </w:rPr>
            <w:t>1</w:t>
          </w:r>
          <w:r w:rsidRPr="00BD7A47">
            <w:rPr>
              <w:sz w:val="16"/>
              <w:szCs w:val="16"/>
            </w:rPr>
            <w:fldChar w:fldCharType="end"/>
          </w:r>
          <w:r w:rsidRPr="00BD7A47">
            <w:rPr>
              <w:sz w:val="16"/>
              <w:szCs w:val="16"/>
            </w:rPr>
            <w:t>/</w:t>
          </w:r>
          <w:r w:rsidRPr="00BD7A47">
            <w:rPr>
              <w:sz w:val="16"/>
              <w:szCs w:val="16"/>
            </w:rPr>
            <w:fldChar w:fldCharType="begin"/>
          </w:r>
          <w:r w:rsidRPr="00BD7A47">
            <w:rPr>
              <w:sz w:val="16"/>
              <w:szCs w:val="16"/>
            </w:rPr>
            <w:instrText xml:space="preserve"> NUMPAGES   \* MERGEFORMAT </w:instrText>
          </w:r>
          <w:r w:rsidRPr="00BD7A47">
            <w:rPr>
              <w:sz w:val="16"/>
              <w:szCs w:val="16"/>
            </w:rPr>
            <w:fldChar w:fldCharType="separate"/>
          </w:r>
          <w:r w:rsidRPr="00BD7A47">
            <w:rPr>
              <w:noProof/>
              <w:sz w:val="16"/>
              <w:szCs w:val="16"/>
            </w:rPr>
            <w:t>1</w:t>
          </w:r>
          <w:r w:rsidRPr="00BD7A47">
            <w:rPr>
              <w:sz w:val="16"/>
              <w:szCs w:val="16"/>
            </w:rPr>
            <w:fldChar w:fldCharType="end"/>
          </w:r>
        </w:p>
      </w:tc>
    </w:tr>
  </w:tbl>
  <w:p w14:paraId="7DF80C8F" w14:textId="77777777" w:rsidR="001430EB" w:rsidRDefault="001430EB">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vertAnchor="page" w:horzAnchor="page" w:tblpX="8903" w:tblpY="1593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detal"/>
      <w:tblDescription w:val="sidetal"/>
    </w:tblPr>
    <w:tblGrid>
      <w:gridCol w:w="1555"/>
    </w:tblGrid>
    <w:tr w:rsidR="001430EB" w14:paraId="1ED207AE" w14:textId="77777777" w:rsidTr="00960D54">
      <w:tc>
        <w:tcPr>
          <w:tcW w:w="1555" w:type="dxa"/>
        </w:tcPr>
        <w:p w14:paraId="414212A4" w14:textId="77777777" w:rsidR="001430EB" w:rsidRPr="00BD7A47" w:rsidRDefault="001430EB" w:rsidP="00960D54">
          <w:pPr>
            <w:pStyle w:val="Sidefod"/>
            <w:rPr>
              <w:sz w:val="16"/>
              <w:szCs w:val="16"/>
            </w:rPr>
          </w:pPr>
          <w:r w:rsidRPr="00BD7A47">
            <w:rPr>
              <w:sz w:val="16"/>
              <w:szCs w:val="16"/>
            </w:rPr>
            <w:t xml:space="preserve">Side </w:t>
          </w:r>
          <w:r w:rsidRPr="00BD7A47">
            <w:rPr>
              <w:sz w:val="16"/>
              <w:szCs w:val="16"/>
            </w:rPr>
            <w:fldChar w:fldCharType="begin"/>
          </w:r>
          <w:r w:rsidRPr="00BD7A47">
            <w:rPr>
              <w:sz w:val="16"/>
              <w:szCs w:val="16"/>
            </w:rPr>
            <w:instrText xml:space="preserve"> PAGE   \* MERGEFORMAT </w:instrText>
          </w:r>
          <w:r w:rsidRPr="00BD7A47">
            <w:rPr>
              <w:sz w:val="16"/>
              <w:szCs w:val="16"/>
            </w:rPr>
            <w:fldChar w:fldCharType="separate"/>
          </w:r>
          <w:r>
            <w:rPr>
              <w:noProof/>
              <w:sz w:val="16"/>
              <w:szCs w:val="16"/>
            </w:rPr>
            <w:t>1</w:t>
          </w:r>
          <w:r w:rsidRPr="00BD7A47">
            <w:rPr>
              <w:sz w:val="16"/>
              <w:szCs w:val="16"/>
            </w:rPr>
            <w:fldChar w:fldCharType="end"/>
          </w:r>
          <w:r w:rsidRPr="00BD7A47">
            <w:rPr>
              <w:sz w:val="16"/>
              <w:szCs w:val="16"/>
            </w:rPr>
            <w:t>/</w:t>
          </w:r>
          <w:r w:rsidRPr="00BD7A47">
            <w:rPr>
              <w:sz w:val="16"/>
              <w:szCs w:val="16"/>
            </w:rPr>
            <w:fldChar w:fldCharType="begin"/>
          </w:r>
          <w:r w:rsidRPr="00BD7A47">
            <w:rPr>
              <w:sz w:val="16"/>
              <w:szCs w:val="16"/>
            </w:rPr>
            <w:instrText xml:space="preserve"> NUMPAGES   \* MERGEFORMAT </w:instrText>
          </w:r>
          <w:r w:rsidRPr="00BD7A47">
            <w:rPr>
              <w:sz w:val="16"/>
              <w:szCs w:val="16"/>
            </w:rPr>
            <w:fldChar w:fldCharType="separate"/>
          </w:r>
          <w:r>
            <w:rPr>
              <w:noProof/>
              <w:sz w:val="16"/>
              <w:szCs w:val="16"/>
            </w:rPr>
            <w:t>1</w:t>
          </w:r>
          <w:r w:rsidRPr="00BD7A47">
            <w:rPr>
              <w:sz w:val="16"/>
              <w:szCs w:val="16"/>
            </w:rPr>
            <w:fldChar w:fldCharType="end"/>
          </w:r>
        </w:p>
      </w:tc>
    </w:tr>
  </w:tbl>
  <w:p w14:paraId="7A7D597A" w14:textId="77777777" w:rsidR="001430EB" w:rsidRDefault="001430E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41BCE" w14:textId="77777777" w:rsidR="009B1CCB" w:rsidRDefault="009B1CCB" w:rsidP="00D712BA">
      <w:pPr>
        <w:spacing w:line="240" w:lineRule="auto"/>
      </w:pPr>
      <w:r>
        <w:separator/>
      </w:r>
    </w:p>
  </w:footnote>
  <w:footnote w:type="continuationSeparator" w:id="0">
    <w:p w14:paraId="55B2C12F" w14:textId="77777777" w:rsidR="009B1CCB" w:rsidRDefault="009B1CCB" w:rsidP="00D712BA">
      <w:pPr>
        <w:spacing w:line="240" w:lineRule="auto"/>
      </w:pPr>
      <w:r>
        <w:continuationSeparator/>
      </w:r>
    </w:p>
  </w:footnote>
  <w:footnote w:id="1">
    <w:p w14:paraId="19C31EC9" w14:textId="67649A60" w:rsidR="00490C23" w:rsidRPr="00E45B12" w:rsidRDefault="00490C23" w:rsidP="00490C23">
      <w:pPr>
        <w:pStyle w:val="Fodnotetekst"/>
        <w:rPr>
          <w:rFonts w:ascii="Times New Roman" w:hAnsi="Times New Roman" w:cs="Times New Roman"/>
        </w:rPr>
      </w:pPr>
      <w:r w:rsidRPr="00E45B12">
        <w:rPr>
          <w:rStyle w:val="Fodnotehenvisning"/>
          <w:rFonts w:ascii="Times New Roman" w:hAnsi="Times New Roman" w:cs="Times New Roman"/>
        </w:rPr>
        <w:footnoteRef/>
      </w:r>
      <w:r w:rsidRPr="00E45B12">
        <w:rPr>
          <w:rFonts w:ascii="Times New Roman" w:hAnsi="Times New Roman" w:cs="Times New Roman"/>
        </w:rPr>
        <w:t xml:space="preserve"> </w:t>
      </w:r>
      <w:r w:rsidR="00BB6D67" w:rsidRPr="00BB6D67">
        <w:rPr>
          <w:rFonts w:ascii="Times New Roman" w:hAnsi="Times New Roman" w:cs="Times New Roman"/>
        </w:rPr>
        <w:t>Loven indeholder bestemmelser, der gennemfører Europa-Parlamentets og Rådets direktiv (EU) 2024/1640 af 31. maj 2024 om de mekanismer, som medlemsstaterne skal indføre for at forebygge anvendelse af det finansielle system til hvidvask af penge eller finansiering af terrorisme, om ændring af direktiv (EU) 2019/1937 og om ændring og ophævelse af direktiv (EU) 2015/849, EU-Tidende, L 2024/1640 af 19. juni 2024. I loven er der medtaget visse bestemmelser fra Rådets forordning 2001/1338/EF af 28. juni 2001 om fastlæggelse af de foranstaltninger, der er nødvendige for at beskytte euroen mod falskmøntneri, EF-Tidende 2001, nr. L 181, side 6, Rådets forordning 2001/1339/EF af 28. juni 2001 om udvidelse af virkningerne af forordning 2001/1338/EF om fastlæggelse af de foranstaltninger, der er nødvendige for at beskytte euroen mod falskmøntneri, til også at omfatte de medlemsstater, der ikke har indført euroen som fælles valuta, EF-Tidende 2001, nr. L 181, side 11, Kommissionens delegerede forordning (EU) 2023/2830 af 17. oktober 2023 om det tidsmæssige og administrative forløb af auktioner over kvoter for drivhusgasemissioner og andre aspekter i forbindelse med sådanne auktioner i medfør af Europa-Parlamentets og Rådets direktiv 2003/87/EF om en ordning for handel med kvoter for drivhusgasemissioner i Fællesskabet, EU-Tidende L 2023/2830 af 17. oktober 2023, Europa-Parlamentets og Rådets forordning (EU) 2023/1113 af 31. maj 2023 om oplysninger, der skal medsendes ved pengeoverførsler og ved overførsler af visse kryptoaktiver og om ændring af direktiv (EU) 2015/849, EU-Tidende 2023, nr. L 150, side 1, og Europa-Parlamentets og Rådets forordning (EU) 2024/1624 af 31. maj 2024 om forebyggende foranstaltninger mod anvendelse af det finansielle system til hvidvask af penge eller finansiering af terrorisme, EU-Tidende, L 2024/1624 af 19. juni 2024. Ifølge artikel 288 i Traktaten om Den Europæiske Unions funktionsmåde gælder en forordning umiddelbart i hver medlemsstat. Gengivelsen af disse bestemmelser i loven er således udelukkende begrundet i praktiske hensyn og berører ikke forordningens umiddelbare gyldighed i Danmark.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0A2F" w14:textId="23D55AC7" w:rsidR="001430EB" w:rsidRDefault="00000000">
    <w:pPr>
      <w:pStyle w:val="Sidehoved"/>
    </w:pPr>
    <w:r>
      <w:rPr>
        <w:noProof/>
      </w:rPr>
      <w:pict w14:anchorId="1F3DE0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87501" o:spid="_x0000_s1027" type="#_x0000_t136" style="position:absolute;left:0;text-align:left;margin-left:0;margin-top:0;width:382.15pt;height:127.35pt;rotation:315;z-index:-251658239;mso-position-horizontal:center;mso-position-horizontal-relative:margin;mso-position-vertical:center;mso-position-vertical-relative:margin" o:allowincell="f" fillcolor="silver" stroked="f">
          <v:fill opacity=".5"/>
          <v:textpath style="font-family:&quot;Times New Roman&quot;;font-size:1pt" string="UDKA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F016" w14:textId="43069FAC" w:rsidR="001430EB" w:rsidRDefault="00000000">
    <w:pPr>
      <w:pStyle w:val="Sidehoved"/>
    </w:pPr>
    <w:r>
      <w:rPr>
        <w:noProof/>
      </w:rPr>
      <w:pict w14:anchorId="18E5CD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87502" o:spid="_x0000_s1028" type="#_x0000_t136" style="position:absolute;left:0;text-align:left;margin-left:0;margin-top:0;width:382.15pt;height:127.35pt;rotation:315;z-index:-251658238;mso-position-horizontal:center;mso-position-horizontal-relative:margin;mso-position-vertical:center;mso-position-vertical-relative:margin" o:allowincell="f" fillcolor="silver" stroked="f">
          <v:fill opacity=".5"/>
          <v:textpath style="font-family:&quot;Times New Roman&quot;;font-size:1pt" string="UDKAST"/>
          <w10:wrap anchorx="margin" anchory="margin"/>
        </v:shape>
      </w:pict>
    </w:r>
  </w:p>
  <w:p w14:paraId="0C58790D" w14:textId="77777777" w:rsidR="001430EB" w:rsidRPr="004A7268" w:rsidRDefault="001430EB" w:rsidP="000401A0">
    <w:pPr>
      <w:pStyle w:val="Sidehoved"/>
      <w:jc w:val="center"/>
      <w:rPr>
        <w:b/>
      </w:rPr>
    </w:pPr>
    <w:r w:rsidRPr="004A7268">
      <w:rPr>
        <w:b/>
      </w:rPr>
      <w:t>UDKAST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0948" w14:textId="303A139B" w:rsidR="001430EB" w:rsidRDefault="00000000">
    <w:pPr>
      <w:pStyle w:val="Sidehoved"/>
    </w:pPr>
    <w:r>
      <w:rPr>
        <w:noProof/>
      </w:rPr>
      <w:pict w14:anchorId="5E279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87500" o:spid="_x0000_s1026" type="#_x0000_t136" style="position:absolute;left:0;text-align:left;margin-left:0;margin-top:0;width:382.15pt;height:127.35pt;rotation:315;z-index:-251658240;mso-position-horizontal:center;mso-position-horizontal-relative:margin;mso-position-vertical:center;mso-position-vertical-relative:margin" o:allowincell="f" fillcolor="silver" stroked="f">
          <v:fill opacity=".5"/>
          <v:textpath style="font-family:&quot;Times New Roman&quot;;font-size:1pt" string="UDKAST"/>
          <w10:wrap anchorx="margin" anchory="margin"/>
        </v:shape>
      </w:pict>
    </w:r>
  </w:p>
  <w:p w14:paraId="13040313" w14:textId="77777777" w:rsidR="001430EB" w:rsidRPr="00181195" w:rsidRDefault="001430EB" w:rsidP="00181195">
    <w:pPr>
      <w:pStyle w:val="Sidehoved"/>
      <w:jc w:val="center"/>
      <w:rPr>
        <w:b/>
      </w:rPr>
    </w:pPr>
    <w:r w:rsidRPr="004A7268">
      <w:rPr>
        <w:b/>
      </w:rPr>
      <w:t>UDKAST</w:t>
    </w:r>
  </w:p>
  <w:p w14:paraId="1BF6A34E" w14:textId="77777777" w:rsidR="001430EB" w:rsidRDefault="001430EB" w:rsidP="00D712BA">
    <w:pPr>
      <w:pStyle w:val="Sidehoved"/>
      <w:spacing w:line="20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367B0" w14:textId="16638850" w:rsidR="00941F77" w:rsidRDefault="00000000">
    <w:pPr>
      <w:pStyle w:val="Sidehoved"/>
    </w:pPr>
    <w:r>
      <w:rPr>
        <w:noProof/>
      </w:rPr>
      <w:pict w14:anchorId="751735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87504" o:spid="_x0000_s1030" type="#_x0000_t136" style="position:absolute;left:0;text-align:left;margin-left:0;margin-top:0;width:382.15pt;height:127.35pt;rotation:315;z-index:-251658236;mso-position-horizontal:center;mso-position-horizontal-relative:margin;mso-position-vertical:center;mso-position-vertical-relative:margin" o:allowincell="f" fillcolor="silver" stroked="f">
          <v:fill opacity=".5"/>
          <v:textpath style="font-family:&quot;Times New Roman&quot;;font-size:1pt" string="UDKAS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CB115" w14:textId="4EAF6DC2" w:rsidR="00941F77" w:rsidRDefault="00000000">
    <w:pPr>
      <w:pStyle w:val="Sidehoved"/>
    </w:pPr>
    <w:r>
      <w:rPr>
        <w:noProof/>
      </w:rPr>
      <w:pict w14:anchorId="7AFCC8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87505" o:spid="_x0000_s1031" type="#_x0000_t136" style="position:absolute;left:0;text-align:left;margin-left:0;margin-top:0;width:382.15pt;height:127.35pt;rotation:315;z-index:-251658235;mso-position-horizontal:center;mso-position-horizontal-relative:margin;mso-position-vertical:center;mso-position-vertical-relative:margin" o:allowincell="f" fillcolor="silver" stroked="f">
          <v:fill opacity=".5"/>
          <v:textpath style="font-family:&quot;Times New Roman&quot;;font-size:1pt" string="UDKAS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76B5" w14:textId="06FE4E7B" w:rsidR="001430EB" w:rsidRDefault="00000000">
    <w:pPr>
      <w:pStyle w:val="Sidehoved"/>
    </w:pPr>
    <w:r>
      <w:rPr>
        <w:noProof/>
      </w:rPr>
      <w:pict w14:anchorId="366CCC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87503" o:spid="_x0000_s1029" type="#_x0000_t136" style="position:absolute;left:0;text-align:left;margin-left:0;margin-top:0;width:382.15pt;height:127.35pt;rotation:315;z-index:-251658237;mso-position-horizontal:center;mso-position-horizontal-relative:margin;mso-position-vertical:center;mso-position-vertical-relative:margin" o:allowincell="f" fillcolor="silver" stroked="f">
          <v:fill opacity=".5"/>
          <v:textpath style="font-family:&quot;Times New Roman&quot;;font-size:1pt" string="UDKAST"/>
          <w10:wrap anchorx="margin" anchory="margin"/>
        </v:shape>
      </w:pict>
    </w:r>
  </w:p>
  <w:p w14:paraId="499FC66F" w14:textId="77777777" w:rsidR="001430EB" w:rsidRDefault="001430EB">
    <w:pPr>
      <w:pStyle w:val="Sidehoved"/>
    </w:pPr>
  </w:p>
  <w:p w14:paraId="118C7182" w14:textId="77777777" w:rsidR="001430EB" w:rsidRDefault="001430EB">
    <w:pPr>
      <w:pStyle w:val="Sidehoved"/>
    </w:pPr>
  </w:p>
  <w:p w14:paraId="53EB5241" w14:textId="77777777" w:rsidR="001430EB" w:rsidRDefault="001430EB" w:rsidP="00B60A17">
    <w:pPr>
      <w:pStyle w:val="Sidehoved"/>
      <w:tabs>
        <w:tab w:val="clear" w:pos="4819"/>
        <w:tab w:val="clear" w:pos="9638"/>
        <w:tab w:val="left" w:pos="2070"/>
      </w:tabs>
    </w:pPr>
  </w:p>
  <w:p w14:paraId="05BF7324" w14:textId="77777777" w:rsidR="001430EB" w:rsidRDefault="001430EB">
    <w:pPr>
      <w:pStyle w:val="Sidehoved"/>
    </w:pPr>
  </w:p>
  <w:p w14:paraId="1CB0D24B" w14:textId="77777777" w:rsidR="001430EB" w:rsidRDefault="001430EB">
    <w:pPr>
      <w:pStyle w:val="Sidehoved"/>
    </w:pPr>
  </w:p>
  <w:p w14:paraId="46805326" w14:textId="77777777" w:rsidR="001430EB" w:rsidRDefault="001430EB">
    <w:pPr>
      <w:pStyle w:val="Sidehoved"/>
    </w:pPr>
  </w:p>
  <w:p w14:paraId="4402B2B8" w14:textId="77777777" w:rsidR="001430EB" w:rsidRDefault="001430EB">
    <w:pPr>
      <w:pStyle w:val="Sidehoved"/>
    </w:pPr>
  </w:p>
  <w:p w14:paraId="368F157C" w14:textId="77777777" w:rsidR="001430EB" w:rsidRDefault="001430EB">
    <w:pPr>
      <w:pStyle w:val="Sidehoved"/>
    </w:pPr>
  </w:p>
  <w:p w14:paraId="2A380B51" w14:textId="77777777" w:rsidR="001430EB" w:rsidRDefault="001430EB">
    <w:pPr>
      <w:pStyle w:val="Sidehoved"/>
    </w:pPr>
  </w:p>
  <w:p w14:paraId="4316F107" w14:textId="77777777" w:rsidR="001430EB" w:rsidRDefault="001430EB">
    <w:pPr>
      <w:pStyle w:val="Sidehoved"/>
    </w:pPr>
  </w:p>
  <w:p w14:paraId="622961C6" w14:textId="77777777" w:rsidR="001430EB" w:rsidRDefault="001430EB">
    <w:pPr>
      <w:pStyle w:val="Sidehoved"/>
    </w:pPr>
  </w:p>
  <w:p w14:paraId="6898C6AA" w14:textId="77777777" w:rsidR="001430EB" w:rsidRDefault="001430EB">
    <w:pPr>
      <w:pStyle w:val="Sidehoved"/>
    </w:pPr>
  </w:p>
  <w:p w14:paraId="480A4A83" w14:textId="77777777" w:rsidR="001430EB" w:rsidRDefault="001430EB">
    <w:pPr>
      <w:pStyle w:val="Sidehoved"/>
    </w:pPr>
  </w:p>
  <w:p w14:paraId="4DD96CDD" w14:textId="77777777" w:rsidR="001430EB" w:rsidRDefault="001430EB">
    <w:pPr>
      <w:pStyle w:val="Sidehoved"/>
    </w:pPr>
  </w:p>
  <w:p w14:paraId="29323BFE" w14:textId="77777777" w:rsidR="001430EB" w:rsidRDefault="001430EB">
    <w:pPr>
      <w:pStyle w:val="Sidehoved"/>
    </w:pPr>
  </w:p>
  <w:p w14:paraId="073453B9" w14:textId="77777777" w:rsidR="001430EB" w:rsidRDefault="001430EB">
    <w:pPr>
      <w:pStyle w:val="Sidehoved"/>
    </w:pPr>
  </w:p>
  <w:p w14:paraId="7D7C8884" w14:textId="77777777" w:rsidR="001430EB" w:rsidRDefault="001430EB" w:rsidP="00D712BA">
    <w:pPr>
      <w:pStyle w:val="Sidehoved"/>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0819D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1E44832"/>
    <w:multiLevelType w:val="hybridMultilevel"/>
    <w:tmpl w:val="EE908C3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2064282"/>
    <w:multiLevelType w:val="hybridMultilevel"/>
    <w:tmpl w:val="873697E8"/>
    <w:lvl w:ilvl="0" w:tplc="04060011">
      <w:start w:val="1"/>
      <w:numFmt w:val="decimal"/>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DC698D"/>
    <w:multiLevelType w:val="hybridMultilevel"/>
    <w:tmpl w:val="01CC5BC4"/>
    <w:lvl w:ilvl="0" w:tplc="09704A80">
      <w:start w:val="1"/>
      <w:numFmt w:val="decimal"/>
      <w:lvlText w:val="%1)"/>
      <w:lvlJc w:val="left"/>
      <w:pPr>
        <w:ind w:left="720" w:hanging="360"/>
      </w:pPr>
      <w:rPr>
        <w:rFonts w:ascii="Times New Roman" w:eastAsiaTheme="minorHAnsi" w:hAnsi="Times New Roman" w:cs="Times New Roman"/>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2E95B0C"/>
    <w:multiLevelType w:val="hybridMultilevel"/>
    <w:tmpl w:val="9B0CB582"/>
    <w:lvl w:ilvl="0" w:tplc="04060011">
      <w:start w:val="1"/>
      <w:numFmt w:val="decimal"/>
      <w:lvlText w:val="%1)"/>
      <w:lvlJc w:val="left"/>
      <w:pPr>
        <w:ind w:left="958" w:hanging="360"/>
      </w:p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5" w15:restartNumberingAfterBreak="0">
    <w:nsid w:val="04F316E5"/>
    <w:multiLevelType w:val="hybridMultilevel"/>
    <w:tmpl w:val="E31C33AE"/>
    <w:lvl w:ilvl="0" w:tplc="CF2C5BE0">
      <w:start w:val="1"/>
      <w:numFmt w:val="decimal"/>
      <w:lvlText w:val="%1)"/>
      <w:lvlJc w:val="left"/>
      <w:pPr>
        <w:ind w:left="234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05820467"/>
    <w:multiLevelType w:val="multilevel"/>
    <w:tmpl w:val="573ABC60"/>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086B24B2"/>
    <w:multiLevelType w:val="hybridMultilevel"/>
    <w:tmpl w:val="FD540272"/>
    <w:lvl w:ilvl="0" w:tplc="04060011">
      <w:start w:val="1"/>
      <w:numFmt w:val="decimal"/>
      <w:lvlText w:val="%1)"/>
      <w:lvlJc w:val="left"/>
      <w:pPr>
        <w:ind w:left="598"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8886A4A"/>
    <w:multiLevelType w:val="hybridMultilevel"/>
    <w:tmpl w:val="2EBC3F26"/>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318" w:hanging="360"/>
      </w:pPr>
    </w:lvl>
    <w:lvl w:ilvl="2" w:tplc="FFFFFFFF" w:tentative="1">
      <w:start w:val="1"/>
      <w:numFmt w:val="lowerRoman"/>
      <w:lvlText w:val="%3."/>
      <w:lvlJc w:val="right"/>
      <w:pPr>
        <w:ind w:left="2038" w:hanging="180"/>
      </w:pPr>
    </w:lvl>
    <w:lvl w:ilvl="3" w:tplc="FFFFFFFF" w:tentative="1">
      <w:start w:val="1"/>
      <w:numFmt w:val="decimal"/>
      <w:lvlText w:val="%4."/>
      <w:lvlJc w:val="left"/>
      <w:pPr>
        <w:ind w:left="2758" w:hanging="360"/>
      </w:pPr>
    </w:lvl>
    <w:lvl w:ilvl="4" w:tplc="FFFFFFFF" w:tentative="1">
      <w:start w:val="1"/>
      <w:numFmt w:val="lowerLetter"/>
      <w:lvlText w:val="%5."/>
      <w:lvlJc w:val="left"/>
      <w:pPr>
        <w:ind w:left="3478" w:hanging="360"/>
      </w:pPr>
    </w:lvl>
    <w:lvl w:ilvl="5" w:tplc="FFFFFFFF" w:tentative="1">
      <w:start w:val="1"/>
      <w:numFmt w:val="lowerRoman"/>
      <w:lvlText w:val="%6."/>
      <w:lvlJc w:val="right"/>
      <w:pPr>
        <w:ind w:left="4198" w:hanging="180"/>
      </w:pPr>
    </w:lvl>
    <w:lvl w:ilvl="6" w:tplc="FFFFFFFF" w:tentative="1">
      <w:start w:val="1"/>
      <w:numFmt w:val="decimal"/>
      <w:lvlText w:val="%7."/>
      <w:lvlJc w:val="left"/>
      <w:pPr>
        <w:ind w:left="4918" w:hanging="360"/>
      </w:pPr>
    </w:lvl>
    <w:lvl w:ilvl="7" w:tplc="FFFFFFFF" w:tentative="1">
      <w:start w:val="1"/>
      <w:numFmt w:val="lowerLetter"/>
      <w:lvlText w:val="%8."/>
      <w:lvlJc w:val="left"/>
      <w:pPr>
        <w:ind w:left="5638" w:hanging="360"/>
      </w:pPr>
    </w:lvl>
    <w:lvl w:ilvl="8" w:tplc="FFFFFFFF" w:tentative="1">
      <w:start w:val="1"/>
      <w:numFmt w:val="lowerRoman"/>
      <w:lvlText w:val="%9."/>
      <w:lvlJc w:val="right"/>
      <w:pPr>
        <w:ind w:left="6358" w:hanging="180"/>
      </w:pPr>
    </w:lvl>
  </w:abstractNum>
  <w:abstractNum w:abstractNumId="9" w15:restartNumberingAfterBreak="0">
    <w:nsid w:val="08BA7088"/>
    <w:multiLevelType w:val="hybridMultilevel"/>
    <w:tmpl w:val="A93008F8"/>
    <w:lvl w:ilvl="0" w:tplc="04060011">
      <w:start w:val="1"/>
      <w:numFmt w:val="decimal"/>
      <w:lvlText w:val="%1)"/>
      <w:lvlJc w:val="left"/>
      <w:pPr>
        <w:ind w:left="1380" w:hanging="360"/>
      </w:pPr>
    </w:lvl>
    <w:lvl w:ilvl="1" w:tplc="04060019" w:tentative="1">
      <w:start w:val="1"/>
      <w:numFmt w:val="lowerLetter"/>
      <w:lvlText w:val="%2."/>
      <w:lvlJc w:val="left"/>
      <w:pPr>
        <w:ind w:left="2100" w:hanging="360"/>
      </w:pPr>
    </w:lvl>
    <w:lvl w:ilvl="2" w:tplc="0406001B" w:tentative="1">
      <w:start w:val="1"/>
      <w:numFmt w:val="lowerRoman"/>
      <w:lvlText w:val="%3."/>
      <w:lvlJc w:val="right"/>
      <w:pPr>
        <w:ind w:left="2820" w:hanging="180"/>
      </w:pPr>
    </w:lvl>
    <w:lvl w:ilvl="3" w:tplc="0406000F" w:tentative="1">
      <w:start w:val="1"/>
      <w:numFmt w:val="decimal"/>
      <w:lvlText w:val="%4."/>
      <w:lvlJc w:val="left"/>
      <w:pPr>
        <w:ind w:left="3540" w:hanging="360"/>
      </w:pPr>
    </w:lvl>
    <w:lvl w:ilvl="4" w:tplc="04060019" w:tentative="1">
      <w:start w:val="1"/>
      <w:numFmt w:val="lowerLetter"/>
      <w:lvlText w:val="%5."/>
      <w:lvlJc w:val="left"/>
      <w:pPr>
        <w:ind w:left="4260" w:hanging="360"/>
      </w:pPr>
    </w:lvl>
    <w:lvl w:ilvl="5" w:tplc="0406001B" w:tentative="1">
      <w:start w:val="1"/>
      <w:numFmt w:val="lowerRoman"/>
      <w:lvlText w:val="%6."/>
      <w:lvlJc w:val="right"/>
      <w:pPr>
        <w:ind w:left="4980" w:hanging="180"/>
      </w:pPr>
    </w:lvl>
    <w:lvl w:ilvl="6" w:tplc="0406000F" w:tentative="1">
      <w:start w:val="1"/>
      <w:numFmt w:val="decimal"/>
      <w:lvlText w:val="%7."/>
      <w:lvlJc w:val="left"/>
      <w:pPr>
        <w:ind w:left="5700" w:hanging="360"/>
      </w:pPr>
    </w:lvl>
    <w:lvl w:ilvl="7" w:tplc="04060019" w:tentative="1">
      <w:start w:val="1"/>
      <w:numFmt w:val="lowerLetter"/>
      <w:lvlText w:val="%8."/>
      <w:lvlJc w:val="left"/>
      <w:pPr>
        <w:ind w:left="6420" w:hanging="360"/>
      </w:pPr>
    </w:lvl>
    <w:lvl w:ilvl="8" w:tplc="0406001B" w:tentative="1">
      <w:start w:val="1"/>
      <w:numFmt w:val="lowerRoman"/>
      <w:lvlText w:val="%9."/>
      <w:lvlJc w:val="right"/>
      <w:pPr>
        <w:ind w:left="7140" w:hanging="180"/>
      </w:pPr>
    </w:lvl>
  </w:abstractNum>
  <w:abstractNum w:abstractNumId="10" w15:restartNumberingAfterBreak="0">
    <w:nsid w:val="09D90861"/>
    <w:multiLevelType w:val="hybridMultilevel"/>
    <w:tmpl w:val="65503232"/>
    <w:lvl w:ilvl="0" w:tplc="0406001B">
      <w:start w:val="1"/>
      <w:numFmt w:val="lowerRoman"/>
      <w:lvlText w:val="%1."/>
      <w:lvlJc w:val="righ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D02346E"/>
    <w:multiLevelType w:val="hybridMultilevel"/>
    <w:tmpl w:val="876002DC"/>
    <w:lvl w:ilvl="0" w:tplc="D572F1C8">
      <w:start w:val="1"/>
      <w:numFmt w:val="decimal"/>
      <w:lvlText w:val="%1."/>
      <w:lvlJc w:val="left"/>
      <w:pPr>
        <w:ind w:left="720" w:hanging="360"/>
      </w:pPr>
      <w:rPr>
        <w:rFonts w:ascii="Times New Roman" w:eastAsia="Times New Roman" w:hAnsi="Times New Roman" w:cstheme="minorBidi" w:hint="default"/>
        <w:b/>
        <w:bCs/>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0E9E66C1"/>
    <w:multiLevelType w:val="hybridMultilevel"/>
    <w:tmpl w:val="0F545C52"/>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A8649A"/>
    <w:multiLevelType w:val="hybridMultilevel"/>
    <w:tmpl w:val="9524FFFC"/>
    <w:lvl w:ilvl="0" w:tplc="04060011">
      <w:start w:val="1"/>
      <w:numFmt w:val="decimal"/>
      <w:lvlText w:val="%1)"/>
      <w:lvlJc w:val="left"/>
      <w:pPr>
        <w:ind w:left="836" w:hanging="360"/>
      </w:pPr>
      <w:rPr>
        <w:rFonts w:hint="default"/>
      </w:r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14" w15:restartNumberingAfterBreak="0">
    <w:nsid w:val="0F927402"/>
    <w:multiLevelType w:val="hybridMultilevel"/>
    <w:tmpl w:val="01CC5BC4"/>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5F42AF"/>
    <w:multiLevelType w:val="hybridMultilevel"/>
    <w:tmpl w:val="FE86E782"/>
    <w:lvl w:ilvl="0" w:tplc="FEA0052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116A3A6B"/>
    <w:multiLevelType w:val="hybridMultilevel"/>
    <w:tmpl w:val="EF6A513A"/>
    <w:lvl w:ilvl="0" w:tplc="04060011">
      <w:start w:val="1"/>
      <w:numFmt w:val="decimal"/>
      <w:lvlText w:val="%1)"/>
      <w:lvlJc w:val="left"/>
      <w:pPr>
        <w:ind w:left="598"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1F52ABB"/>
    <w:multiLevelType w:val="hybridMultilevel"/>
    <w:tmpl w:val="E000EC84"/>
    <w:lvl w:ilvl="0" w:tplc="FFFFFFFF">
      <w:start w:val="1"/>
      <w:numFmt w:val="lowerLetter"/>
      <w:lvlText w:val="%1)"/>
      <w:lvlJc w:val="left"/>
      <w:pPr>
        <w:ind w:left="720" w:hanging="360"/>
      </w:pPr>
    </w:lvl>
    <w:lvl w:ilvl="1" w:tplc="0406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3206187"/>
    <w:multiLevelType w:val="hybridMultilevel"/>
    <w:tmpl w:val="FE4C686A"/>
    <w:lvl w:ilvl="0" w:tplc="04060017">
      <w:start w:val="1"/>
      <w:numFmt w:val="lowerLetter"/>
      <w:lvlText w:val="%1)"/>
      <w:lvlJc w:val="left"/>
      <w:pPr>
        <w:ind w:left="720" w:hanging="360"/>
      </w:pPr>
      <w:rPr>
        <w:rFonts w:hint="default"/>
      </w:rPr>
    </w:lvl>
    <w:lvl w:ilvl="1" w:tplc="1DD828A4">
      <w:start w:val="1"/>
      <w:numFmt w:val="decimal"/>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139B512B"/>
    <w:multiLevelType w:val="hybridMultilevel"/>
    <w:tmpl w:val="56A69ABA"/>
    <w:lvl w:ilvl="0" w:tplc="5CF6A9E4">
      <w:start w:val="1"/>
      <w:numFmt w:val="decimal"/>
      <w:pStyle w:val="Placeanddate"/>
      <w:lvlText w:val="%1."/>
      <w:lvlJc w:val="left"/>
      <w:pPr>
        <w:ind w:left="1080" w:hanging="360"/>
      </w:pPr>
      <w:rPr>
        <w:rFonts w:hint="default"/>
        <w:sz w:val="22"/>
        <w:szCs w:val="22"/>
      </w:rPr>
    </w:lvl>
    <w:lvl w:ilvl="1" w:tplc="18090013">
      <w:start w:val="1"/>
      <w:numFmt w:val="upperRoman"/>
      <w:lvlText w:val="%2."/>
      <w:lvlJc w:val="right"/>
      <w:pPr>
        <w:ind w:left="1800" w:hanging="360"/>
      </w:pPr>
    </w:lvl>
    <w:lvl w:ilvl="2" w:tplc="18090013">
      <w:start w:val="1"/>
      <w:numFmt w:val="upperRoman"/>
      <w:lvlText w:val="%3."/>
      <w:lvlJc w:val="right"/>
      <w:pPr>
        <w:ind w:left="2700" w:hanging="36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159942A0"/>
    <w:multiLevelType w:val="hybridMultilevel"/>
    <w:tmpl w:val="4418986A"/>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6492E02"/>
    <w:multiLevelType w:val="hybridMultilevel"/>
    <w:tmpl w:val="3596244A"/>
    <w:lvl w:ilvl="0" w:tplc="04060011">
      <w:start w:val="1"/>
      <w:numFmt w:val="decimal"/>
      <w:lvlText w:val="%1)"/>
      <w:lvlJc w:val="left"/>
      <w:pPr>
        <w:ind w:left="958" w:hanging="360"/>
      </w:p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22" w15:restartNumberingAfterBreak="0">
    <w:nsid w:val="170F4869"/>
    <w:multiLevelType w:val="hybridMultilevel"/>
    <w:tmpl w:val="BAB2BC1E"/>
    <w:lvl w:ilvl="0" w:tplc="FFFFFFFF">
      <w:start w:val="1"/>
      <w:numFmt w:val="decimal"/>
      <w:lvlText w:val="%1)"/>
      <w:lvlJc w:val="left"/>
      <w:pPr>
        <w:ind w:left="958" w:hanging="360"/>
      </w:pPr>
    </w:lvl>
    <w:lvl w:ilvl="1" w:tplc="FFFFFFFF" w:tentative="1">
      <w:start w:val="1"/>
      <w:numFmt w:val="lowerLetter"/>
      <w:lvlText w:val="%2."/>
      <w:lvlJc w:val="left"/>
      <w:pPr>
        <w:ind w:left="1678" w:hanging="360"/>
      </w:pPr>
    </w:lvl>
    <w:lvl w:ilvl="2" w:tplc="04060011">
      <w:start w:val="1"/>
      <w:numFmt w:val="decimal"/>
      <w:lvlText w:val="%3)"/>
      <w:lvlJc w:val="left"/>
      <w:pPr>
        <w:ind w:left="720" w:hanging="36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23" w15:restartNumberingAfterBreak="0">
    <w:nsid w:val="17BE0A85"/>
    <w:multiLevelType w:val="hybridMultilevel"/>
    <w:tmpl w:val="5A781AAA"/>
    <w:lvl w:ilvl="0" w:tplc="04060011">
      <w:start w:val="1"/>
      <w:numFmt w:val="decimal"/>
      <w:lvlText w:val="%1)"/>
      <w:lvlJc w:val="left"/>
      <w:pPr>
        <w:ind w:left="882" w:hanging="360"/>
      </w:pPr>
      <w:rPr>
        <w:rFonts w:hint="default"/>
      </w:rPr>
    </w:lvl>
    <w:lvl w:ilvl="1" w:tplc="FFFFFFFF" w:tentative="1">
      <w:start w:val="1"/>
      <w:numFmt w:val="lowerLetter"/>
      <w:lvlText w:val="%2."/>
      <w:lvlJc w:val="left"/>
      <w:pPr>
        <w:ind w:left="1602" w:hanging="360"/>
      </w:pPr>
    </w:lvl>
    <w:lvl w:ilvl="2" w:tplc="FFFFFFFF" w:tentative="1">
      <w:start w:val="1"/>
      <w:numFmt w:val="lowerRoman"/>
      <w:lvlText w:val="%3."/>
      <w:lvlJc w:val="right"/>
      <w:pPr>
        <w:ind w:left="2322" w:hanging="180"/>
      </w:pPr>
    </w:lvl>
    <w:lvl w:ilvl="3" w:tplc="FFFFFFFF" w:tentative="1">
      <w:start w:val="1"/>
      <w:numFmt w:val="decimal"/>
      <w:lvlText w:val="%4."/>
      <w:lvlJc w:val="left"/>
      <w:pPr>
        <w:ind w:left="3042" w:hanging="360"/>
      </w:pPr>
    </w:lvl>
    <w:lvl w:ilvl="4" w:tplc="FFFFFFFF" w:tentative="1">
      <w:start w:val="1"/>
      <w:numFmt w:val="lowerLetter"/>
      <w:lvlText w:val="%5."/>
      <w:lvlJc w:val="left"/>
      <w:pPr>
        <w:ind w:left="3762" w:hanging="360"/>
      </w:pPr>
    </w:lvl>
    <w:lvl w:ilvl="5" w:tplc="FFFFFFFF" w:tentative="1">
      <w:start w:val="1"/>
      <w:numFmt w:val="lowerRoman"/>
      <w:lvlText w:val="%6."/>
      <w:lvlJc w:val="right"/>
      <w:pPr>
        <w:ind w:left="4482" w:hanging="180"/>
      </w:pPr>
    </w:lvl>
    <w:lvl w:ilvl="6" w:tplc="FFFFFFFF" w:tentative="1">
      <w:start w:val="1"/>
      <w:numFmt w:val="decimal"/>
      <w:lvlText w:val="%7."/>
      <w:lvlJc w:val="left"/>
      <w:pPr>
        <w:ind w:left="5202" w:hanging="360"/>
      </w:pPr>
    </w:lvl>
    <w:lvl w:ilvl="7" w:tplc="FFFFFFFF" w:tentative="1">
      <w:start w:val="1"/>
      <w:numFmt w:val="lowerLetter"/>
      <w:lvlText w:val="%8."/>
      <w:lvlJc w:val="left"/>
      <w:pPr>
        <w:ind w:left="5922" w:hanging="360"/>
      </w:pPr>
    </w:lvl>
    <w:lvl w:ilvl="8" w:tplc="FFFFFFFF" w:tentative="1">
      <w:start w:val="1"/>
      <w:numFmt w:val="lowerRoman"/>
      <w:lvlText w:val="%9."/>
      <w:lvlJc w:val="right"/>
      <w:pPr>
        <w:ind w:left="6642" w:hanging="180"/>
      </w:pPr>
    </w:lvl>
  </w:abstractNum>
  <w:abstractNum w:abstractNumId="24" w15:restartNumberingAfterBreak="0">
    <w:nsid w:val="1823327C"/>
    <w:multiLevelType w:val="hybridMultilevel"/>
    <w:tmpl w:val="0E8EC68A"/>
    <w:lvl w:ilvl="0" w:tplc="7646C8A6">
      <w:start w:val="1"/>
      <w:numFmt w:val="decimal"/>
      <w:lvlText w:val="%1)"/>
      <w:lvlJc w:val="left"/>
      <w:pPr>
        <w:ind w:left="598" w:hanging="360"/>
      </w:pPr>
      <w:rPr>
        <w:rFonts w:hint="default"/>
      </w:rPr>
    </w:lvl>
    <w:lvl w:ilvl="1" w:tplc="04060019" w:tentative="1">
      <w:start w:val="1"/>
      <w:numFmt w:val="lowerLetter"/>
      <w:lvlText w:val="%2."/>
      <w:lvlJc w:val="left"/>
      <w:pPr>
        <w:ind w:left="1318" w:hanging="360"/>
      </w:pPr>
    </w:lvl>
    <w:lvl w:ilvl="2" w:tplc="0406001B" w:tentative="1">
      <w:start w:val="1"/>
      <w:numFmt w:val="lowerRoman"/>
      <w:lvlText w:val="%3."/>
      <w:lvlJc w:val="right"/>
      <w:pPr>
        <w:ind w:left="2038" w:hanging="180"/>
      </w:pPr>
    </w:lvl>
    <w:lvl w:ilvl="3" w:tplc="0406000F" w:tentative="1">
      <w:start w:val="1"/>
      <w:numFmt w:val="decimal"/>
      <w:lvlText w:val="%4."/>
      <w:lvlJc w:val="left"/>
      <w:pPr>
        <w:ind w:left="2758" w:hanging="360"/>
      </w:pPr>
    </w:lvl>
    <w:lvl w:ilvl="4" w:tplc="04060019" w:tentative="1">
      <w:start w:val="1"/>
      <w:numFmt w:val="lowerLetter"/>
      <w:lvlText w:val="%5."/>
      <w:lvlJc w:val="left"/>
      <w:pPr>
        <w:ind w:left="3478" w:hanging="360"/>
      </w:pPr>
    </w:lvl>
    <w:lvl w:ilvl="5" w:tplc="0406001B" w:tentative="1">
      <w:start w:val="1"/>
      <w:numFmt w:val="lowerRoman"/>
      <w:lvlText w:val="%6."/>
      <w:lvlJc w:val="right"/>
      <w:pPr>
        <w:ind w:left="4198" w:hanging="180"/>
      </w:pPr>
    </w:lvl>
    <w:lvl w:ilvl="6" w:tplc="0406000F" w:tentative="1">
      <w:start w:val="1"/>
      <w:numFmt w:val="decimal"/>
      <w:lvlText w:val="%7."/>
      <w:lvlJc w:val="left"/>
      <w:pPr>
        <w:ind w:left="4918" w:hanging="360"/>
      </w:pPr>
    </w:lvl>
    <w:lvl w:ilvl="7" w:tplc="04060019" w:tentative="1">
      <w:start w:val="1"/>
      <w:numFmt w:val="lowerLetter"/>
      <w:lvlText w:val="%8."/>
      <w:lvlJc w:val="left"/>
      <w:pPr>
        <w:ind w:left="5638" w:hanging="360"/>
      </w:pPr>
    </w:lvl>
    <w:lvl w:ilvl="8" w:tplc="0406001B" w:tentative="1">
      <w:start w:val="1"/>
      <w:numFmt w:val="lowerRoman"/>
      <w:lvlText w:val="%9."/>
      <w:lvlJc w:val="right"/>
      <w:pPr>
        <w:ind w:left="6358" w:hanging="180"/>
      </w:pPr>
    </w:lvl>
  </w:abstractNum>
  <w:abstractNum w:abstractNumId="25" w15:restartNumberingAfterBreak="0">
    <w:nsid w:val="18760F15"/>
    <w:multiLevelType w:val="hybridMultilevel"/>
    <w:tmpl w:val="3CB429C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8AB0642"/>
    <w:multiLevelType w:val="hybridMultilevel"/>
    <w:tmpl w:val="9D3A54F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19267411"/>
    <w:multiLevelType w:val="hybridMultilevel"/>
    <w:tmpl w:val="2890A7C8"/>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19A86879"/>
    <w:multiLevelType w:val="hybridMultilevel"/>
    <w:tmpl w:val="5CD0EA44"/>
    <w:lvl w:ilvl="0" w:tplc="04060017">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9" w15:restartNumberingAfterBreak="0">
    <w:nsid w:val="1A0577B4"/>
    <w:multiLevelType w:val="hybridMultilevel"/>
    <w:tmpl w:val="0EA87F90"/>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1DAE5773"/>
    <w:multiLevelType w:val="hybridMultilevel"/>
    <w:tmpl w:val="759447A0"/>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EC655F6"/>
    <w:multiLevelType w:val="hybridMultilevel"/>
    <w:tmpl w:val="78D64ACA"/>
    <w:lvl w:ilvl="0" w:tplc="04060011">
      <w:start w:val="1"/>
      <w:numFmt w:val="decimal"/>
      <w:lvlText w:val="%1)"/>
      <w:lvlJc w:val="left"/>
      <w:pPr>
        <w:ind w:left="1024" w:hanging="360"/>
      </w:pPr>
      <w:rPr>
        <w:rFonts w:hint="default"/>
      </w:rPr>
    </w:lvl>
    <w:lvl w:ilvl="1" w:tplc="FFFFFFFF" w:tentative="1">
      <w:start w:val="1"/>
      <w:numFmt w:val="lowerLetter"/>
      <w:lvlText w:val="%2."/>
      <w:lvlJc w:val="left"/>
      <w:pPr>
        <w:ind w:left="1744" w:hanging="360"/>
      </w:pPr>
    </w:lvl>
    <w:lvl w:ilvl="2" w:tplc="FFFFFFFF" w:tentative="1">
      <w:start w:val="1"/>
      <w:numFmt w:val="lowerRoman"/>
      <w:lvlText w:val="%3."/>
      <w:lvlJc w:val="right"/>
      <w:pPr>
        <w:ind w:left="2464" w:hanging="180"/>
      </w:pPr>
    </w:lvl>
    <w:lvl w:ilvl="3" w:tplc="FFFFFFFF" w:tentative="1">
      <w:start w:val="1"/>
      <w:numFmt w:val="decimal"/>
      <w:lvlText w:val="%4."/>
      <w:lvlJc w:val="left"/>
      <w:pPr>
        <w:ind w:left="3184" w:hanging="360"/>
      </w:pPr>
    </w:lvl>
    <w:lvl w:ilvl="4" w:tplc="FFFFFFFF" w:tentative="1">
      <w:start w:val="1"/>
      <w:numFmt w:val="lowerLetter"/>
      <w:lvlText w:val="%5."/>
      <w:lvlJc w:val="left"/>
      <w:pPr>
        <w:ind w:left="3904" w:hanging="360"/>
      </w:pPr>
    </w:lvl>
    <w:lvl w:ilvl="5" w:tplc="FFFFFFFF" w:tentative="1">
      <w:start w:val="1"/>
      <w:numFmt w:val="lowerRoman"/>
      <w:lvlText w:val="%6."/>
      <w:lvlJc w:val="right"/>
      <w:pPr>
        <w:ind w:left="4624" w:hanging="180"/>
      </w:pPr>
    </w:lvl>
    <w:lvl w:ilvl="6" w:tplc="FFFFFFFF" w:tentative="1">
      <w:start w:val="1"/>
      <w:numFmt w:val="decimal"/>
      <w:lvlText w:val="%7."/>
      <w:lvlJc w:val="left"/>
      <w:pPr>
        <w:ind w:left="5344" w:hanging="360"/>
      </w:pPr>
    </w:lvl>
    <w:lvl w:ilvl="7" w:tplc="FFFFFFFF" w:tentative="1">
      <w:start w:val="1"/>
      <w:numFmt w:val="lowerLetter"/>
      <w:lvlText w:val="%8."/>
      <w:lvlJc w:val="left"/>
      <w:pPr>
        <w:ind w:left="6064" w:hanging="360"/>
      </w:pPr>
    </w:lvl>
    <w:lvl w:ilvl="8" w:tplc="FFFFFFFF" w:tentative="1">
      <w:start w:val="1"/>
      <w:numFmt w:val="lowerRoman"/>
      <w:lvlText w:val="%9."/>
      <w:lvlJc w:val="right"/>
      <w:pPr>
        <w:ind w:left="6784" w:hanging="180"/>
      </w:pPr>
    </w:lvl>
  </w:abstractNum>
  <w:abstractNum w:abstractNumId="32" w15:restartNumberingAfterBreak="0">
    <w:nsid w:val="1FC50140"/>
    <w:multiLevelType w:val="hybridMultilevel"/>
    <w:tmpl w:val="400C96D4"/>
    <w:lvl w:ilvl="0" w:tplc="04060011">
      <w:start w:val="1"/>
      <w:numFmt w:val="decimal"/>
      <w:lvlText w:val="%1)"/>
      <w:lvlJc w:val="left"/>
      <w:pPr>
        <w:ind w:left="59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2EC6A4A"/>
    <w:multiLevelType w:val="hybridMultilevel"/>
    <w:tmpl w:val="EA00864E"/>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25195BC5"/>
    <w:multiLevelType w:val="hybridMultilevel"/>
    <w:tmpl w:val="6F881804"/>
    <w:lvl w:ilvl="0" w:tplc="D572F1C8">
      <w:start w:val="1"/>
      <w:numFmt w:val="decimal"/>
      <w:lvlText w:val="%1."/>
      <w:lvlJc w:val="left"/>
      <w:pPr>
        <w:ind w:left="700" w:hanging="360"/>
      </w:pPr>
      <w:rPr>
        <w:rFonts w:ascii="Times New Roman" w:eastAsia="Times New Roman" w:hAnsi="Times New Roman" w:cstheme="minorBidi" w:hint="default"/>
        <w:b/>
        <w:bCs/>
        <w:sz w:val="24"/>
      </w:rPr>
    </w:lvl>
    <w:lvl w:ilvl="1" w:tplc="04060019" w:tentative="1">
      <w:start w:val="1"/>
      <w:numFmt w:val="lowerLetter"/>
      <w:lvlText w:val="%2."/>
      <w:lvlJc w:val="left"/>
      <w:pPr>
        <w:ind w:left="1420" w:hanging="360"/>
      </w:pPr>
    </w:lvl>
    <w:lvl w:ilvl="2" w:tplc="0406001B" w:tentative="1">
      <w:start w:val="1"/>
      <w:numFmt w:val="lowerRoman"/>
      <w:lvlText w:val="%3."/>
      <w:lvlJc w:val="right"/>
      <w:pPr>
        <w:ind w:left="2140" w:hanging="180"/>
      </w:pPr>
    </w:lvl>
    <w:lvl w:ilvl="3" w:tplc="0406000F" w:tentative="1">
      <w:start w:val="1"/>
      <w:numFmt w:val="decimal"/>
      <w:lvlText w:val="%4."/>
      <w:lvlJc w:val="left"/>
      <w:pPr>
        <w:ind w:left="2860" w:hanging="360"/>
      </w:pPr>
    </w:lvl>
    <w:lvl w:ilvl="4" w:tplc="04060019" w:tentative="1">
      <w:start w:val="1"/>
      <w:numFmt w:val="lowerLetter"/>
      <w:lvlText w:val="%5."/>
      <w:lvlJc w:val="left"/>
      <w:pPr>
        <w:ind w:left="3580" w:hanging="360"/>
      </w:pPr>
    </w:lvl>
    <w:lvl w:ilvl="5" w:tplc="0406001B" w:tentative="1">
      <w:start w:val="1"/>
      <w:numFmt w:val="lowerRoman"/>
      <w:lvlText w:val="%6."/>
      <w:lvlJc w:val="right"/>
      <w:pPr>
        <w:ind w:left="4300" w:hanging="180"/>
      </w:pPr>
    </w:lvl>
    <w:lvl w:ilvl="6" w:tplc="0406000F" w:tentative="1">
      <w:start w:val="1"/>
      <w:numFmt w:val="decimal"/>
      <w:lvlText w:val="%7."/>
      <w:lvlJc w:val="left"/>
      <w:pPr>
        <w:ind w:left="5020" w:hanging="360"/>
      </w:pPr>
    </w:lvl>
    <w:lvl w:ilvl="7" w:tplc="04060019" w:tentative="1">
      <w:start w:val="1"/>
      <w:numFmt w:val="lowerLetter"/>
      <w:lvlText w:val="%8."/>
      <w:lvlJc w:val="left"/>
      <w:pPr>
        <w:ind w:left="5740" w:hanging="360"/>
      </w:pPr>
    </w:lvl>
    <w:lvl w:ilvl="8" w:tplc="0406001B" w:tentative="1">
      <w:start w:val="1"/>
      <w:numFmt w:val="lowerRoman"/>
      <w:lvlText w:val="%9."/>
      <w:lvlJc w:val="right"/>
      <w:pPr>
        <w:ind w:left="6460" w:hanging="180"/>
      </w:pPr>
    </w:lvl>
  </w:abstractNum>
  <w:abstractNum w:abstractNumId="35" w15:restartNumberingAfterBreak="0">
    <w:nsid w:val="259F74AF"/>
    <w:multiLevelType w:val="hybridMultilevel"/>
    <w:tmpl w:val="792AD4CC"/>
    <w:lvl w:ilvl="0" w:tplc="04060017">
      <w:start w:val="1"/>
      <w:numFmt w:val="lowerLetter"/>
      <w:lvlText w:val="%1)"/>
      <w:lvlJc w:val="left"/>
      <w:pPr>
        <w:ind w:left="720" w:hanging="360"/>
      </w:pPr>
    </w:lvl>
    <w:lvl w:ilvl="1" w:tplc="0406001B">
      <w:start w:val="1"/>
      <w:numFmt w:val="lowerRoman"/>
      <w:lvlText w:val="%2."/>
      <w:lvlJc w:val="righ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25E57159"/>
    <w:multiLevelType w:val="hybridMultilevel"/>
    <w:tmpl w:val="7078465A"/>
    <w:lvl w:ilvl="0" w:tplc="7646C8A6">
      <w:start w:val="1"/>
      <w:numFmt w:val="decimal"/>
      <w:lvlText w:val="%1)"/>
      <w:lvlJc w:val="left"/>
      <w:pPr>
        <w:ind w:left="644" w:hanging="360"/>
      </w:pPr>
      <w:rPr>
        <w:rFonts w:hint="default"/>
      </w:rPr>
    </w:lvl>
    <w:lvl w:ilvl="1" w:tplc="04060019" w:tentative="1">
      <w:start w:val="1"/>
      <w:numFmt w:val="lowerLetter"/>
      <w:lvlText w:val="%2."/>
      <w:lvlJc w:val="left"/>
      <w:pPr>
        <w:ind w:left="1486" w:hanging="360"/>
      </w:pPr>
    </w:lvl>
    <w:lvl w:ilvl="2" w:tplc="0406001B" w:tentative="1">
      <w:start w:val="1"/>
      <w:numFmt w:val="lowerRoman"/>
      <w:lvlText w:val="%3."/>
      <w:lvlJc w:val="right"/>
      <w:pPr>
        <w:ind w:left="2206" w:hanging="180"/>
      </w:pPr>
    </w:lvl>
    <w:lvl w:ilvl="3" w:tplc="0406000F" w:tentative="1">
      <w:start w:val="1"/>
      <w:numFmt w:val="decimal"/>
      <w:lvlText w:val="%4."/>
      <w:lvlJc w:val="left"/>
      <w:pPr>
        <w:ind w:left="2926" w:hanging="360"/>
      </w:pPr>
    </w:lvl>
    <w:lvl w:ilvl="4" w:tplc="04060019" w:tentative="1">
      <w:start w:val="1"/>
      <w:numFmt w:val="lowerLetter"/>
      <w:lvlText w:val="%5."/>
      <w:lvlJc w:val="left"/>
      <w:pPr>
        <w:ind w:left="3646" w:hanging="360"/>
      </w:pPr>
    </w:lvl>
    <w:lvl w:ilvl="5" w:tplc="0406001B" w:tentative="1">
      <w:start w:val="1"/>
      <w:numFmt w:val="lowerRoman"/>
      <w:lvlText w:val="%6."/>
      <w:lvlJc w:val="right"/>
      <w:pPr>
        <w:ind w:left="4366" w:hanging="180"/>
      </w:pPr>
    </w:lvl>
    <w:lvl w:ilvl="6" w:tplc="0406000F" w:tentative="1">
      <w:start w:val="1"/>
      <w:numFmt w:val="decimal"/>
      <w:lvlText w:val="%7."/>
      <w:lvlJc w:val="left"/>
      <w:pPr>
        <w:ind w:left="5086" w:hanging="360"/>
      </w:pPr>
    </w:lvl>
    <w:lvl w:ilvl="7" w:tplc="04060019" w:tentative="1">
      <w:start w:val="1"/>
      <w:numFmt w:val="lowerLetter"/>
      <w:lvlText w:val="%8."/>
      <w:lvlJc w:val="left"/>
      <w:pPr>
        <w:ind w:left="5806" w:hanging="360"/>
      </w:pPr>
    </w:lvl>
    <w:lvl w:ilvl="8" w:tplc="0406001B" w:tentative="1">
      <w:start w:val="1"/>
      <w:numFmt w:val="lowerRoman"/>
      <w:lvlText w:val="%9."/>
      <w:lvlJc w:val="right"/>
      <w:pPr>
        <w:ind w:left="6526" w:hanging="180"/>
      </w:pPr>
    </w:lvl>
  </w:abstractNum>
  <w:abstractNum w:abstractNumId="37" w15:restartNumberingAfterBreak="0">
    <w:nsid w:val="25F67D9D"/>
    <w:multiLevelType w:val="hybridMultilevel"/>
    <w:tmpl w:val="98242CCE"/>
    <w:lvl w:ilvl="0" w:tplc="D572F1C8">
      <w:start w:val="1"/>
      <w:numFmt w:val="decimal"/>
      <w:lvlText w:val="%1."/>
      <w:lvlJc w:val="left"/>
      <w:pPr>
        <w:ind w:left="774" w:hanging="360"/>
      </w:pPr>
      <w:rPr>
        <w:rFonts w:ascii="Times New Roman" w:eastAsia="Times New Roman" w:hAnsi="Times New Roman" w:cstheme="minorBidi" w:hint="default"/>
        <w:b/>
        <w:bCs/>
        <w:sz w:val="24"/>
      </w:rPr>
    </w:lvl>
    <w:lvl w:ilvl="1" w:tplc="04060019" w:tentative="1">
      <w:start w:val="1"/>
      <w:numFmt w:val="lowerLetter"/>
      <w:lvlText w:val="%2."/>
      <w:lvlJc w:val="left"/>
      <w:pPr>
        <w:ind w:left="1494" w:hanging="360"/>
      </w:pPr>
    </w:lvl>
    <w:lvl w:ilvl="2" w:tplc="0406001B" w:tentative="1">
      <w:start w:val="1"/>
      <w:numFmt w:val="lowerRoman"/>
      <w:lvlText w:val="%3."/>
      <w:lvlJc w:val="right"/>
      <w:pPr>
        <w:ind w:left="2214" w:hanging="180"/>
      </w:pPr>
    </w:lvl>
    <w:lvl w:ilvl="3" w:tplc="0406000F" w:tentative="1">
      <w:start w:val="1"/>
      <w:numFmt w:val="decimal"/>
      <w:lvlText w:val="%4."/>
      <w:lvlJc w:val="left"/>
      <w:pPr>
        <w:ind w:left="2934" w:hanging="360"/>
      </w:pPr>
    </w:lvl>
    <w:lvl w:ilvl="4" w:tplc="04060019" w:tentative="1">
      <w:start w:val="1"/>
      <w:numFmt w:val="lowerLetter"/>
      <w:lvlText w:val="%5."/>
      <w:lvlJc w:val="left"/>
      <w:pPr>
        <w:ind w:left="3654" w:hanging="360"/>
      </w:pPr>
    </w:lvl>
    <w:lvl w:ilvl="5" w:tplc="0406001B" w:tentative="1">
      <w:start w:val="1"/>
      <w:numFmt w:val="lowerRoman"/>
      <w:lvlText w:val="%6."/>
      <w:lvlJc w:val="right"/>
      <w:pPr>
        <w:ind w:left="4374" w:hanging="180"/>
      </w:pPr>
    </w:lvl>
    <w:lvl w:ilvl="6" w:tplc="0406000F" w:tentative="1">
      <w:start w:val="1"/>
      <w:numFmt w:val="decimal"/>
      <w:lvlText w:val="%7."/>
      <w:lvlJc w:val="left"/>
      <w:pPr>
        <w:ind w:left="5094" w:hanging="360"/>
      </w:pPr>
    </w:lvl>
    <w:lvl w:ilvl="7" w:tplc="04060019" w:tentative="1">
      <w:start w:val="1"/>
      <w:numFmt w:val="lowerLetter"/>
      <w:lvlText w:val="%8."/>
      <w:lvlJc w:val="left"/>
      <w:pPr>
        <w:ind w:left="5814" w:hanging="360"/>
      </w:pPr>
    </w:lvl>
    <w:lvl w:ilvl="8" w:tplc="0406001B" w:tentative="1">
      <w:start w:val="1"/>
      <w:numFmt w:val="lowerRoman"/>
      <w:lvlText w:val="%9."/>
      <w:lvlJc w:val="right"/>
      <w:pPr>
        <w:ind w:left="6534" w:hanging="180"/>
      </w:pPr>
    </w:lvl>
  </w:abstractNum>
  <w:abstractNum w:abstractNumId="38" w15:restartNumberingAfterBreak="0">
    <w:nsid w:val="267A51F4"/>
    <w:multiLevelType w:val="hybridMultilevel"/>
    <w:tmpl w:val="70B078CE"/>
    <w:lvl w:ilvl="0" w:tplc="04060017">
      <w:start w:val="1"/>
      <w:numFmt w:val="lowerLetter"/>
      <w:lvlText w:val="%1)"/>
      <w:lvlJc w:val="left"/>
      <w:pPr>
        <w:ind w:left="1720" w:hanging="360"/>
      </w:pPr>
    </w:lvl>
    <w:lvl w:ilvl="1" w:tplc="04060019" w:tentative="1">
      <w:start w:val="1"/>
      <w:numFmt w:val="lowerLetter"/>
      <w:lvlText w:val="%2."/>
      <w:lvlJc w:val="left"/>
      <w:pPr>
        <w:ind w:left="2440" w:hanging="360"/>
      </w:pPr>
    </w:lvl>
    <w:lvl w:ilvl="2" w:tplc="0406001B" w:tentative="1">
      <w:start w:val="1"/>
      <w:numFmt w:val="lowerRoman"/>
      <w:lvlText w:val="%3."/>
      <w:lvlJc w:val="right"/>
      <w:pPr>
        <w:ind w:left="3160" w:hanging="180"/>
      </w:pPr>
    </w:lvl>
    <w:lvl w:ilvl="3" w:tplc="0406000F" w:tentative="1">
      <w:start w:val="1"/>
      <w:numFmt w:val="decimal"/>
      <w:lvlText w:val="%4."/>
      <w:lvlJc w:val="left"/>
      <w:pPr>
        <w:ind w:left="3880" w:hanging="360"/>
      </w:pPr>
    </w:lvl>
    <w:lvl w:ilvl="4" w:tplc="04060019" w:tentative="1">
      <w:start w:val="1"/>
      <w:numFmt w:val="lowerLetter"/>
      <w:lvlText w:val="%5."/>
      <w:lvlJc w:val="left"/>
      <w:pPr>
        <w:ind w:left="4600" w:hanging="360"/>
      </w:pPr>
    </w:lvl>
    <w:lvl w:ilvl="5" w:tplc="0406001B" w:tentative="1">
      <w:start w:val="1"/>
      <w:numFmt w:val="lowerRoman"/>
      <w:lvlText w:val="%6."/>
      <w:lvlJc w:val="right"/>
      <w:pPr>
        <w:ind w:left="5320" w:hanging="180"/>
      </w:pPr>
    </w:lvl>
    <w:lvl w:ilvl="6" w:tplc="0406000F" w:tentative="1">
      <w:start w:val="1"/>
      <w:numFmt w:val="decimal"/>
      <w:lvlText w:val="%7."/>
      <w:lvlJc w:val="left"/>
      <w:pPr>
        <w:ind w:left="6040" w:hanging="360"/>
      </w:pPr>
    </w:lvl>
    <w:lvl w:ilvl="7" w:tplc="04060019" w:tentative="1">
      <w:start w:val="1"/>
      <w:numFmt w:val="lowerLetter"/>
      <w:lvlText w:val="%8."/>
      <w:lvlJc w:val="left"/>
      <w:pPr>
        <w:ind w:left="6760" w:hanging="360"/>
      </w:pPr>
    </w:lvl>
    <w:lvl w:ilvl="8" w:tplc="0406001B" w:tentative="1">
      <w:start w:val="1"/>
      <w:numFmt w:val="lowerRoman"/>
      <w:lvlText w:val="%9."/>
      <w:lvlJc w:val="right"/>
      <w:pPr>
        <w:ind w:left="7480" w:hanging="180"/>
      </w:pPr>
    </w:lvl>
  </w:abstractNum>
  <w:abstractNum w:abstractNumId="39" w15:restartNumberingAfterBreak="0">
    <w:nsid w:val="26BF3392"/>
    <w:multiLevelType w:val="hybridMultilevel"/>
    <w:tmpl w:val="4DAC0DB2"/>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0" w15:restartNumberingAfterBreak="0">
    <w:nsid w:val="29BE0F95"/>
    <w:multiLevelType w:val="hybridMultilevel"/>
    <w:tmpl w:val="1E364BE6"/>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318" w:hanging="360"/>
      </w:pPr>
    </w:lvl>
    <w:lvl w:ilvl="2" w:tplc="FFFFFFFF" w:tentative="1">
      <w:start w:val="1"/>
      <w:numFmt w:val="lowerRoman"/>
      <w:lvlText w:val="%3."/>
      <w:lvlJc w:val="right"/>
      <w:pPr>
        <w:ind w:left="2038" w:hanging="180"/>
      </w:pPr>
    </w:lvl>
    <w:lvl w:ilvl="3" w:tplc="FFFFFFFF" w:tentative="1">
      <w:start w:val="1"/>
      <w:numFmt w:val="decimal"/>
      <w:lvlText w:val="%4."/>
      <w:lvlJc w:val="left"/>
      <w:pPr>
        <w:ind w:left="2758" w:hanging="360"/>
      </w:pPr>
    </w:lvl>
    <w:lvl w:ilvl="4" w:tplc="FFFFFFFF" w:tentative="1">
      <w:start w:val="1"/>
      <w:numFmt w:val="lowerLetter"/>
      <w:lvlText w:val="%5."/>
      <w:lvlJc w:val="left"/>
      <w:pPr>
        <w:ind w:left="3478" w:hanging="360"/>
      </w:pPr>
    </w:lvl>
    <w:lvl w:ilvl="5" w:tplc="FFFFFFFF" w:tentative="1">
      <w:start w:val="1"/>
      <w:numFmt w:val="lowerRoman"/>
      <w:lvlText w:val="%6."/>
      <w:lvlJc w:val="right"/>
      <w:pPr>
        <w:ind w:left="4198" w:hanging="180"/>
      </w:pPr>
    </w:lvl>
    <w:lvl w:ilvl="6" w:tplc="FFFFFFFF" w:tentative="1">
      <w:start w:val="1"/>
      <w:numFmt w:val="decimal"/>
      <w:lvlText w:val="%7."/>
      <w:lvlJc w:val="left"/>
      <w:pPr>
        <w:ind w:left="4918" w:hanging="360"/>
      </w:pPr>
    </w:lvl>
    <w:lvl w:ilvl="7" w:tplc="FFFFFFFF" w:tentative="1">
      <w:start w:val="1"/>
      <w:numFmt w:val="lowerLetter"/>
      <w:lvlText w:val="%8."/>
      <w:lvlJc w:val="left"/>
      <w:pPr>
        <w:ind w:left="5638" w:hanging="360"/>
      </w:pPr>
    </w:lvl>
    <w:lvl w:ilvl="8" w:tplc="FFFFFFFF" w:tentative="1">
      <w:start w:val="1"/>
      <w:numFmt w:val="lowerRoman"/>
      <w:lvlText w:val="%9."/>
      <w:lvlJc w:val="right"/>
      <w:pPr>
        <w:ind w:left="6358" w:hanging="180"/>
      </w:pPr>
    </w:lvl>
  </w:abstractNum>
  <w:abstractNum w:abstractNumId="41" w15:restartNumberingAfterBreak="0">
    <w:nsid w:val="2AA230FC"/>
    <w:multiLevelType w:val="hybridMultilevel"/>
    <w:tmpl w:val="D4B480A6"/>
    <w:lvl w:ilvl="0" w:tplc="04060011">
      <w:start w:val="1"/>
      <w:numFmt w:val="decimal"/>
      <w:lvlText w:val="%1)"/>
      <w:lvlJc w:val="left"/>
      <w:pPr>
        <w:ind w:left="1556" w:hanging="360"/>
      </w:pPr>
    </w:lvl>
    <w:lvl w:ilvl="1" w:tplc="04060019" w:tentative="1">
      <w:start w:val="1"/>
      <w:numFmt w:val="lowerLetter"/>
      <w:lvlText w:val="%2."/>
      <w:lvlJc w:val="left"/>
      <w:pPr>
        <w:ind w:left="2276" w:hanging="360"/>
      </w:pPr>
    </w:lvl>
    <w:lvl w:ilvl="2" w:tplc="0406001B" w:tentative="1">
      <w:start w:val="1"/>
      <w:numFmt w:val="lowerRoman"/>
      <w:lvlText w:val="%3."/>
      <w:lvlJc w:val="right"/>
      <w:pPr>
        <w:ind w:left="2996" w:hanging="180"/>
      </w:pPr>
    </w:lvl>
    <w:lvl w:ilvl="3" w:tplc="0406000F" w:tentative="1">
      <w:start w:val="1"/>
      <w:numFmt w:val="decimal"/>
      <w:lvlText w:val="%4."/>
      <w:lvlJc w:val="left"/>
      <w:pPr>
        <w:ind w:left="3716" w:hanging="360"/>
      </w:pPr>
    </w:lvl>
    <w:lvl w:ilvl="4" w:tplc="04060019" w:tentative="1">
      <w:start w:val="1"/>
      <w:numFmt w:val="lowerLetter"/>
      <w:lvlText w:val="%5."/>
      <w:lvlJc w:val="left"/>
      <w:pPr>
        <w:ind w:left="4436" w:hanging="360"/>
      </w:pPr>
    </w:lvl>
    <w:lvl w:ilvl="5" w:tplc="0406001B" w:tentative="1">
      <w:start w:val="1"/>
      <w:numFmt w:val="lowerRoman"/>
      <w:lvlText w:val="%6."/>
      <w:lvlJc w:val="right"/>
      <w:pPr>
        <w:ind w:left="5156" w:hanging="180"/>
      </w:pPr>
    </w:lvl>
    <w:lvl w:ilvl="6" w:tplc="0406000F" w:tentative="1">
      <w:start w:val="1"/>
      <w:numFmt w:val="decimal"/>
      <w:lvlText w:val="%7."/>
      <w:lvlJc w:val="left"/>
      <w:pPr>
        <w:ind w:left="5876" w:hanging="360"/>
      </w:pPr>
    </w:lvl>
    <w:lvl w:ilvl="7" w:tplc="04060019" w:tentative="1">
      <w:start w:val="1"/>
      <w:numFmt w:val="lowerLetter"/>
      <w:lvlText w:val="%8."/>
      <w:lvlJc w:val="left"/>
      <w:pPr>
        <w:ind w:left="6596" w:hanging="360"/>
      </w:pPr>
    </w:lvl>
    <w:lvl w:ilvl="8" w:tplc="0406001B" w:tentative="1">
      <w:start w:val="1"/>
      <w:numFmt w:val="lowerRoman"/>
      <w:lvlText w:val="%9."/>
      <w:lvlJc w:val="right"/>
      <w:pPr>
        <w:ind w:left="7316" w:hanging="180"/>
      </w:pPr>
    </w:lvl>
  </w:abstractNum>
  <w:abstractNum w:abstractNumId="42" w15:restartNumberingAfterBreak="0">
    <w:nsid w:val="2AA545AF"/>
    <w:multiLevelType w:val="hybridMultilevel"/>
    <w:tmpl w:val="57FE1D66"/>
    <w:lvl w:ilvl="0" w:tplc="FFFFFFFF">
      <w:start w:val="1"/>
      <w:numFmt w:val="decimal"/>
      <w:lvlText w:val="%1."/>
      <w:lvlJc w:val="left"/>
      <w:pPr>
        <w:ind w:left="720" w:hanging="360"/>
      </w:pPr>
      <w:rPr>
        <w:rFonts w:ascii="Times New Roman" w:eastAsia="Times New Roman" w:hAnsi="Times New Roman" w:cstheme="minorBidi"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AAD6E25"/>
    <w:multiLevelType w:val="hybridMultilevel"/>
    <w:tmpl w:val="BD40B99E"/>
    <w:lvl w:ilvl="0" w:tplc="5766632E">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15:restartNumberingAfterBreak="0">
    <w:nsid w:val="2B675620"/>
    <w:multiLevelType w:val="hybridMultilevel"/>
    <w:tmpl w:val="0EA87F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CB436C0"/>
    <w:multiLevelType w:val="hybridMultilevel"/>
    <w:tmpl w:val="E4808EB6"/>
    <w:lvl w:ilvl="0" w:tplc="04060011">
      <w:start w:val="1"/>
      <w:numFmt w:val="decimal"/>
      <w:lvlText w:val="%1)"/>
      <w:lvlJc w:val="left"/>
      <w:pPr>
        <w:ind w:left="836" w:hanging="360"/>
      </w:pPr>
      <w:rPr>
        <w:rFonts w:hint="default"/>
      </w:r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46" w15:restartNumberingAfterBreak="0">
    <w:nsid w:val="2D53744D"/>
    <w:multiLevelType w:val="hybridMultilevel"/>
    <w:tmpl w:val="5F3025F2"/>
    <w:lvl w:ilvl="0" w:tplc="04060011">
      <w:start w:val="1"/>
      <w:numFmt w:val="decimal"/>
      <w:lvlText w:val="%1)"/>
      <w:lvlJc w:val="left"/>
      <w:pPr>
        <w:ind w:left="1040" w:hanging="360"/>
      </w:pPr>
      <w:rPr>
        <w:rFonts w:hint="default"/>
      </w:rPr>
    </w:lvl>
    <w:lvl w:ilvl="1" w:tplc="04060019" w:tentative="1">
      <w:start w:val="1"/>
      <w:numFmt w:val="lowerLetter"/>
      <w:lvlText w:val="%2."/>
      <w:lvlJc w:val="left"/>
      <w:pPr>
        <w:ind w:left="1760" w:hanging="360"/>
      </w:pPr>
    </w:lvl>
    <w:lvl w:ilvl="2" w:tplc="0406001B" w:tentative="1">
      <w:start w:val="1"/>
      <w:numFmt w:val="lowerRoman"/>
      <w:lvlText w:val="%3."/>
      <w:lvlJc w:val="right"/>
      <w:pPr>
        <w:ind w:left="2480" w:hanging="180"/>
      </w:pPr>
    </w:lvl>
    <w:lvl w:ilvl="3" w:tplc="0406000F" w:tentative="1">
      <w:start w:val="1"/>
      <w:numFmt w:val="decimal"/>
      <w:lvlText w:val="%4."/>
      <w:lvlJc w:val="left"/>
      <w:pPr>
        <w:ind w:left="3200" w:hanging="360"/>
      </w:pPr>
    </w:lvl>
    <w:lvl w:ilvl="4" w:tplc="04060019" w:tentative="1">
      <w:start w:val="1"/>
      <w:numFmt w:val="lowerLetter"/>
      <w:lvlText w:val="%5."/>
      <w:lvlJc w:val="left"/>
      <w:pPr>
        <w:ind w:left="3920" w:hanging="360"/>
      </w:pPr>
    </w:lvl>
    <w:lvl w:ilvl="5" w:tplc="0406001B" w:tentative="1">
      <w:start w:val="1"/>
      <w:numFmt w:val="lowerRoman"/>
      <w:lvlText w:val="%6."/>
      <w:lvlJc w:val="right"/>
      <w:pPr>
        <w:ind w:left="4640" w:hanging="180"/>
      </w:pPr>
    </w:lvl>
    <w:lvl w:ilvl="6" w:tplc="0406000F" w:tentative="1">
      <w:start w:val="1"/>
      <w:numFmt w:val="decimal"/>
      <w:lvlText w:val="%7."/>
      <w:lvlJc w:val="left"/>
      <w:pPr>
        <w:ind w:left="5360" w:hanging="360"/>
      </w:pPr>
    </w:lvl>
    <w:lvl w:ilvl="7" w:tplc="04060019" w:tentative="1">
      <w:start w:val="1"/>
      <w:numFmt w:val="lowerLetter"/>
      <w:lvlText w:val="%8."/>
      <w:lvlJc w:val="left"/>
      <w:pPr>
        <w:ind w:left="6080" w:hanging="360"/>
      </w:pPr>
    </w:lvl>
    <w:lvl w:ilvl="8" w:tplc="0406001B" w:tentative="1">
      <w:start w:val="1"/>
      <w:numFmt w:val="lowerRoman"/>
      <w:lvlText w:val="%9."/>
      <w:lvlJc w:val="right"/>
      <w:pPr>
        <w:ind w:left="6800" w:hanging="180"/>
      </w:pPr>
    </w:lvl>
  </w:abstractNum>
  <w:abstractNum w:abstractNumId="47" w15:restartNumberingAfterBreak="0">
    <w:nsid w:val="2DC80643"/>
    <w:multiLevelType w:val="hybridMultilevel"/>
    <w:tmpl w:val="4F8C39DA"/>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318" w:hanging="360"/>
      </w:pPr>
    </w:lvl>
    <w:lvl w:ilvl="2" w:tplc="FFFFFFFF" w:tentative="1">
      <w:start w:val="1"/>
      <w:numFmt w:val="lowerRoman"/>
      <w:lvlText w:val="%3."/>
      <w:lvlJc w:val="right"/>
      <w:pPr>
        <w:ind w:left="2038" w:hanging="180"/>
      </w:pPr>
    </w:lvl>
    <w:lvl w:ilvl="3" w:tplc="FFFFFFFF" w:tentative="1">
      <w:start w:val="1"/>
      <w:numFmt w:val="decimal"/>
      <w:lvlText w:val="%4."/>
      <w:lvlJc w:val="left"/>
      <w:pPr>
        <w:ind w:left="2758" w:hanging="360"/>
      </w:pPr>
    </w:lvl>
    <w:lvl w:ilvl="4" w:tplc="FFFFFFFF" w:tentative="1">
      <w:start w:val="1"/>
      <w:numFmt w:val="lowerLetter"/>
      <w:lvlText w:val="%5."/>
      <w:lvlJc w:val="left"/>
      <w:pPr>
        <w:ind w:left="3478" w:hanging="360"/>
      </w:pPr>
    </w:lvl>
    <w:lvl w:ilvl="5" w:tplc="FFFFFFFF" w:tentative="1">
      <w:start w:val="1"/>
      <w:numFmt w:val="lowerRoman"/>
      <w:lvlText w:val="%6."/>
      <w:lvlJc w:val="right"/>
      <w:pPr>
        <w:ind w:left="4198" w:hanging="180"/>
      </w:pPr>
    </w:lvl>
    <w:lvl w:ilvl="6" w:tplc="FFFFFFFF" w:tentative="1">
      <w:start w:val="1"/>
      <w:numFmt w:val="decimal"/>
      <w:lvlText w:val="%7."/>
      <w:lvlJc w:val="left"/>
      <w:pPr>
        <w:ind w:left="4918" w:hanging="360"/>
      </w:pPr>
    </w:lvl>
    <w:lvl w:ilvl="7" w:tplc="FFFFFFFF" w:tentative="1">
      <w:start w:val="1"/>
      <w:numFmt w:val="lowerLetter"/>
      <w:lvlText w:val="%8."/>
      <w:lvlJc w:val="left"/>
      <w:pPr>
        <w:ind w:left="5638" w:hanging="360"/>
      </w:pPr>
    </w:lvl>
    <w:lvl w:ilvl="8" w:tplc="FFFFFFFF" w:tentative="1">
      <w:start w:val="1"/>
      <w:numFmt w:val="lowerRoman"/>
      <w:lvlText w:val="%9."/>
      <w:lvlJc w:val="right"/>
      <w:pPr>
        <w:ind w:left="6358" w:hanging="180"/>
      </w:pPr>
    </w:lvl>
  </w:abstractNum>
  <w:abstractNum w:abstractNumId="48" w15:restartNumberingAfterBreak="0">
    <w:nsid w:val="2EFD660A"/>
    <w:multiLevelType w:val="hybridMultilevel"/>
    <w:tmpl w:val="99CE0688"/>
    <w:lvl w:ilvl="0" w:tplc="04060017">
      <w:start w:val="1"/>
      <w:numFmt w:val="lowerLetter"/>
      <w:lvlText w:val="%1)"/>
      <w:lvlJc w:val="left"/>
      <w:pPr>
        <w:ind w:left="958" w:hanging="360"/>
      </w:pPr>
    </w:lvl>
    <w:lvl w:ilvl="1" w:tplc="04060017">
      <w:start w:val="1"/>
      <w:numFmt w:val="lowerLetter"/>
      <w:lvlText w:val="%2)"/>
      <w:lvlJc w:val="left"/>
      <w:pPr>
        <w:ind w:left="1678" w:hanging="360"/>
      </w:pPr>
    </w:lvl>
    <w:lvl w:ilvl="2" w:tplc="0406001B" w:tentative="1">
      <w:start w:val="1"/>
      <w:numFmt w:val="lowerRoman"/>
      <w:lvlText w:val="%3."/>
      <w:lvlJc w:val="right"/>
      <w:pPr>
        <w:ind w:left="2398" w:hanging="180"/>
      </w:pPr>
    </w:lvl>
    <w:lvl w:ilvl="3" w:tplc="0406000F" w:tentative="1">
      <w:start w:val="1"/>
      <w:numFmt w:val="decimal"/>
      <w:lvlText w:val="%4."/>
      <w:lvlJc w:val="left"/>
      <w:pPr>
        <w:ind w:left="3118" w:hanging="360"/>
      </w:pPr>
    </w:lvl>
    <w:lvl w:ilvl="4" w:tplc="04060019" w:tentative="1">
      <w:start w:val="1"/>
      <w:numFmt w:val="lowerLetter"/>
      <w:lvlText w:val="%5."/>
      <w:lvlJc w:val="left"/>
      <w:pPr>
        <w:ind w:left="3838" w:hanging="360"/>
      </w:pPr>
    </w:lvl>
    <w:lvl w:ilvl="5" w:tplc="0406001B" w:tentative="1">
      <w:start w:val="1"/>
      <w:numFmt w:val="lowerRoman"/>
      <w:lvlText w:val="%6."/>
      <w:lvlJc w:val="right"/>
      <w:pPr>
        <w:ind w:left="4558" w:hanging="180"/>
      </w:pPr>
    </w:lvl>
    <w:lvl w:ilvl="6" w:tplc="0406000F" w:tentative="1">
      <w:start w:val="1"/>
      <w:numFmt w:val="decimal"/>
      <w:lvlText w:val="%7."/>
      <w:lvlJc w:val="left"/>
      <w:pPr>
        <w:ind w:left="5278" w:hanging="360"/>
      </w:pPr>
    </w:lvl>
    <w:lvl w:ilvl="7" w:tplc="04060019" w:tentative="1">
      <w:start w:val="1"/>
      <w:numFmt w:val="lowerLetter"/>
      <w:lvlText w:val="%8."/>
      <w:lvlJc w:val="left"/>
      <w:pPr>
        <w:ind w:left="5998" w:hanging="360"/>
      </w:pPr>
    </w:lvl>
    <w:lvl w:ilvl="8" w:tplc="0406001B" w:tentative="1">
      <w:start w:val="1"/>
      <w:numFmt w:val="lowerRoman"/>
      <w:lvlText w:val="%9."/>
      <w:lvlJc w:val="right"/>
      <w:pPr>
        <w:ind w:left="6718" w:hanging="180"/>
      </w:pPr>
    </w:lvl>
  </w:abstractNum>
  <w:abstractNum w:abstractNumId="49" w15:restartNumberingAfterBreak="0">
    <w:nsid w:val="2F6E58F5"/>
    <w:multiLevelType w:val="hybridMultilevel"/>
    <w:tmpl w:val="CFAC86C0"/>
    <w:lvl w:ilvl="0" w:tplc="04060017">
      <w:start w:val="1"/>
      <w:numFmt w:val="lowerLetter"/>
      <w:lvlText w:val="%1)"/>
      <w:lvlJc w:val="left"/>
      <w:pPr>
        <w:ind w:left="1040" w:hanging="360"/>
      </w:pPr>
    </w:lvl>
    <w:lvl w:ilvl="1" w:tplc="04060019" w:tentative="1">
      <w:start w:val="1"/>
      <w:numFmt w:val="lowerLetter"/>
      <w:lvlText w:val="%2."/>
      <w:lvlJc w:val="left"/>
      <w:pPr>
        <w:ind w:left="1760" w:hanging="360"/>
      </w:pPr>
    </w:lvl>
    <w:lvl w:ilvl="2" w:tplc="0406001B" w:tentative="1">
      <w:start w:val="1"/>
      <w:numFmt w:val="lowerRoman"/>
      <w:lvlText w:val="%3."/>
      <w:lvlJc w:val="right"/>
      <w:pPr>
        <w:ind w:left="2480" w:hanging="180"/>
      </w:pPr>
    </w:lvl>
    <w:lvl w:ilvl="3" w:tplc="0406000F" w:tentative="1">
      <w:start w:val="1"/>
      <w:numFmt w:val="decimal"/>
      <w:lvlText w:val="%4."/>
      <w:lvlJc w:val="left"/>
      <w:pPr>
        <w:ind w:left="3200" w:hanging="360"/>
      </w:pPr>
    </w:lvl>
    <w:lvl w:ilvl="4" w:tplc="04060019" w:tentative="1">
      <w:start w:val="1"/>
      <w:numFmt w:val="lowerLetter"/>
      <w:lvlText w:val="%5."/>
      <w:lvlJc w:val="left"/>
      <w:pPr>
        <w:ind w:left="3920" w:hanging="360"/>
      </w:pPr>
    </w:lvl>
    <w:lvl w:ilvl="5" w:tplc="0406001B" w:tentative="1">
      <w:start w:val="1"/>
      <w:numFmt w:val="lowerRoman"/>
      <w:lvlText w:val="%6."/>
      <w:lvlJc w:val="right"/>
      <w:pPr>
        <w:ind w:left="4640" w:hanging="180"/>
      </w:pPr>
    </w:lvl>
    <w:lvl w:ilvl="6" w:tplc="0406000F" w:tentative="1">
      <w:start w:val="1"/>
      <w:numFmt w:val="decimal"/>
      <w:lvlText w:val="%7."/>
      <w:lvlJc w:val="left"/>
      <w:pPr>
        <w:ind w:left="5360" w:hanging="360"/>
      </w:pPr>
    </w:lvl>
    <w:lvl w:ilvl="7" w:tplc="04060019" w:tentative="1">
      <w:start w:val="1"/>
      <w:numFmt w:val="lowerLetter"/>
      <w:lvlText w:val="%8."/>
      <w:lvlJc w:val="left"/>
      <w:pPr>
        <w:ind w:left="6080" w:hanging="360"/>
      </w:pPr>
    </w:lvl>
    <w:lvl w:ilvl="8" w:tplc="0406001B" w:tentative="1">
      <w:start w:val="1"/>
      <w:numFmt w:val="lowerRoman"/>
      <w:lvlText w:val="%9."/>
      <w:lvlJc w:val="right"/>
      <w:pPr>
        <w:ind w:left="6800" w:hanging="180"/>
      </w:pPr>
    </w:lvl>
  </w:abstractNum>
  <w:abstractNum w:abstractNumId="50" w15:restartNumberingAfterBreak="0">
    <w:nsid w:val="3030666F"/>
    <w:multiLevelType w:val="hybridMultilevel"/>
    <w:tmpl w:val="0E461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2330A73"/>
    <w:multiLevelType w:val="hybridMultilevel"/>
    <w:tmpl w:val="877AB7D6"/>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2" w15:restartNumberingAfterBreak="0">
    <w:nsid w:val="32812D8E"/>
    <w:multiLevelType w:val="hybridMultilevel"/>
    <w:tmpl w:val="D928681A"/>
    <w:lvl w:ilvl="0" w:tplc="04060017">
      <w:start w:val="1"/>
      <w:numFmt w:val="lowerLetter"/>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3" w15:restartNumberingAfterBreak="0">
    <w:nsid w:val="335C0E7B"/>
    <w:multiLevelType w:val="hybridMultilevel"/>
    <w:tmpl w:val="67DAACD4"/>
    <w:lvl w:ilvl="0" w:tplc="B7CECA32">
      <w:start w:val="1"/>
      <w:numFmt w:val="decimal"/>
      <w:lvlText w:val="%1."/>
      <w:lvlJc w:val="left"/>
      <w:pPr>
        <w:ind w:left="360" w:hanging="360"/>
      </w:pPr>
      <w:rPr>
        <w:rFonts w:eastAsia="Times New Roman" w:hint="default"/>
        <w:b/>
        <w:bCs/>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54" w15:restartNumberingAfterBreak="0">
    <w:nsid w:val="35C6351E"/>
    <w:multiLevelType w:val="hybridMultilevel"/>
    <w:tmpl w:val="598E1E3E"/>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66B69A1"/>
    <w:multiLevelType w:val="hybridMultilevel"/>
    <w:tmpl w:val="17E882AE"/>
    <w:lvl w:ilvl="0" w:tplc="04060011">
      <w:start w:val="1"/>
      <w:numFmt w:val="decimal"/>
      <w:lvlText w:val="%1)"/>
      <w:lvlJc w:val="left"/>
      <w:pPr>
        <w:ind w:left="958" w:hanging="360"/>
      </w:p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56" w15:restartNumberingAfterBreak="0">
    <w:nsid w:val="38321F17"/>
    <w:multiLevelType w:val="hybridMultilevel"/>
    <w:tmpl w:val="E1869340"/>
    <w:lvl w:ilvl="0" w:tplc="04060017">
      <w:start w:val="1"/>
      <w:numFmt w:val="lowerLetter"/>
      <w:lvlText w:val="%1)"/>
      <w:lvlJc w:val="left"/>
      <w:pPr>
        <w:ind w:left="720" w:hanging="360"/>
      </w:pPr>
    </w:lvl>
    <w:lvl w:ilvl="1" w:tplc="04060017">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7" w15:restartNumberingAfterBreak="0">
    <w:nsid w:val="386C43D8"/>
    <w:multiLevelType w:val="hybridMultilevel"/>
    <w:tmpl w:val="EE908C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8722745"/>
    <w:multiLevelType w:val="hybridMultilevel"/>
    <w:tmpl w:val="841000F2"/>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318" w:hanging="360"/>
      </w:pPr>
    </w:lvl>
    <w:lvl w:ilvl="2" w:tplc="FFFFFFFF" w:tentative="1">
      <w:start w:val="1"/>
      <w:numFmt w:val="lowerRoman"/>
      <w:lvlText w:val="%3."/>
      <w:lvlJc w:val="right"/>
      <w:pPr>
        <w:ind w:left="2038" w:hanging="180"/>
      </w:pPr>
    </w:lvl>
    <w:lvl w:ilvl="3" w:tplc="FFFFFFFF" w:tentative="1">
      <w:start w:val="1"/>
      <w:numFmt w:val="decimal"/>
      <w:lvlText w:val="%4."/>
      <w:lvlJc w:val="left"/>
      <w:pPr>
        <w:ind w:left="2758" w:hanging="360"/>
      </w:pPr>
    </w:lvl>
    <w:lvl w:ilvl="4" w:tplc="FFFFFFFF" w:tentative="1">
      <w:start w:val="1"/>
      <w:numFmt w:val="lowerLetter"/>
      <w:lvlText w:val="%5."/>
      <w:lvlJc w:val="left"/>
      <w:pPr>
        <w:ind w:left="3478" w:hanging="360"/>
      </w:pPr>
    </w:lvl>
    <w:lvl w:ilvl="5" w:tplc="FFFFFFFF" w:tentative="1">
      <w:start w:val="1"/>
      <w:numFmt w:val="lowerRoman"/>
      <w:lvlText w:val="%6."/>
      <w:lvlJc w:val="right"/>
      <w:pPr>
        <w:ind w:left="4198" w:hanging="180"/>
      </w:pPr>
    </w:lvl>
    <w:lvl w:ilvl="6" w:tplc="FFFFFFFF" w:tentative="1">
      <w:start w:val="1"/>
      <w:numFmt w:val="decimal"/>
      <w:lvlText w:val="%7."/>
      <w:lvlJc w:val="left"/>
      <w:pPr>
        <w:ind w:left="4918" w:hanging="360"/>
      </w:pPr>
    </w:lvl>
    <w:lvl w:ilvl="7" w:tplc="FFFFFFFF" w:tentative="1">
      <w:start w:val="1"/>
      <w:numFmt w:val="lowerLetter"/>
      <w:lvlText w:val="%8."/>
      <w:lvlJc w:val="left"/>
      <w:pPr>
        <w:ind w:left="5638" w:hanging="360"/>
      </w:pPr>
    </w:lvl>
    <w:lvl w:ilvl="8" w:tplc="FFFFFFFF" w:tentative="1">
      <w:start w:val="1"/>
      <w:numFmt w:val="lowerRoman"/>
      <w:lvlText w:val="%9."/>
      <w:lvlJc w:val="right"/>
      <w:pPr>
        <w:ind w:left="6358" w:hanging="180"/>
      </w:pPr>
    </w:lvl>
  </w:abstractNum>
  <w:abstractNum w:abstractNumId="59" w15:restartNumberingAfterBreak="0">
    <w:nsid w:val="39F820F9"/>
    <w:multiLevelType w:val="hybridMultilevel"/>
    <w:tmpl w:val="6C92C00E"/>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0" w15:restartNumberingAfterBreak="0">
    <w:nsid w:val="3A226ECC"/>
    <w:multiLevelType w:val="hybridMultilevel"/>
    <w:tmpl w:val="7A6AD82C"/>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AC5547E"/>
    <w:multiLevelType w:val="hybridMultilevel"/>
    <w:tmpl w:val="422A95F4"/>
    <w:lvl w:ilvl="0" w:tplc="0406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3B8C19CC"/>
    <w:multiLevelType w:val="hybridMultilevel"/>
    <w:tmpl w:val="D3286648"/>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CA7200A"/>
    <w:multiLevelType w:val="hybridMultilevel"/>
    <w:tmpl w:val="A142121E"/>
    <w:lvl w:ilvl="0" w:tplc="0406001B">
      <w:start w:val="1"/>
      <w:numFmt w:val="lowerRoman"/>
      <w:lvlText w:val="%1."/>
      <w:lvlJc w:val="righ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4" w15:restartNumberingAfterBreak="0">
    <w:nsid w:val="3D244466"/>
    <w:multiLevelType w:val="hybridMultilevel"/>
    <w:tmpl w:val="7B54B3B2"/>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D440763"/>
    <w:multiLevelType w:val="hybridMultilevel"/>
    <w:tmpl w:val="127C6048"/>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6" w15:restartNumberingAfterBreak="0">
    <w:nsid w:val="40AF36E8"/>
    <w:multiLevelType w:val="hybridMultilevel"/>
    <w:tmpl w:val="5FEA206E"/>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7" w15:restartNumberingAfterBreak="0">
    <w:nsid w:val="40C8781D"/>
    <w:multiLevelType w:val="hybridMultilevel"/>
    <w:tmpl w:val="1514EE5C"/>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0F52908"/>
    <w:multiLevelType w:val="hybridMultilevel"/>
    <w:tmpl w:val="88384D2A"/>
    <w:lvl w:ilvl="0" w:tplc="04060017">
      <w:start w:val="1"/>
      <w:numFmt w:val="lowerLetter"/>
      <w:lvlText w:val="%1)"/>
      <w:lvlJc w:val="left"/>
      <w:pPr>
        <w:ind w:left="720" w:hanging="360"/>
      </w:pPr>
    </w:lvl>
    <w:lvl w:ilvl="1" w:tplc="04060017">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9" w15:restartNumberingAfterBreak="0">
    <w:nsid w:val="41A62C72"/>
    <w:multiLevelType w:val="hybridMultilevel"/>
    <w:tmpl w:val="60503FE4"/>
    <w:lvl w:ilvl="0" w:tplc="FFFFFFFF">
      <w:start w:val="1"/>
      <w:numFmt w:val="decimal"/>
      <w:lvlText w:val="%1."/>
      <w:lvlJc w:val="left"/>
      <w:pPr>
        <w:ind w:left="720" w:hanging="360"/>
      </w:pPr>
      <w:rPr>
        <w:rFonts w:ascii="Times New Roman" w:eastAsia="Times New Roman" w:hAnsi="Times New Roman" w:cstheme="minorBidi"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430F4EAD"/>
    <w:multiLevelType w:val="hybridMultilevel"/>
    <w:tmpl w:val="C93EDF24"/>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32A51DF"/>
    <w:multiLevelType w:val="hybridMultilevel"/>
    <w:tmpl w:val="5A6AE608"/>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2" w15:restartNumberingAfterBreak="0">
    <w:nsid w:val="455933EB"/>
    <w:multiLevelType w:val="hybridMultilevel"/>
    <w:tmpl w:val="D572F4F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6F32617"/>
    <w:multiLevelType w:val="hybridMultilevel"/>
    <w:tmpl w:val="EF0AE202"/>
    <w:lvl w:ilvl="0" w:tplc="04060011">
      <w:start w:val="1"/>
      <w:numFmt w:val="decimal"/>
      <w:lvlText w:val="%1)"/>
      <w:lvlJc w:val="left"/>
      <w:pPr>
        <w:ind w:left="958" w:hanging="360"/>
      </w:pPr>
    </w:lvl>
    <w:lvl w:ilvl="1" w:tplc="04060019" w:tentative="1">
      <w:start w:val="1"/>
      <w:numFmt w:val="lowerLetter"/>
      <w:lvlText w:val="%2."/>
      <w:lvlJc w:val="left"/>
      <w:pPr>
        <w:ind w:left="1678" w:hanging="360"/>
      </w:pPr>
    </w:lvl>
    <w:lvl w:ilvl="2" w:tplc="0406001B" w:tentative="1">
      <w:start w:val="1"/>
      <w:numFmt w:val="lowerRoman"/>
      <w:lvlText w:val="%3."/>
      <w:lvlJc w:val="right"/>
      <w:pPr>
        <w:ind w:left="2398" w:hanging="180"/>
      </w:pPr>
    </w:lvl>
    <w:lvl w:ilvl="3" w:tplc="0406000F" w:tentative="1">
      <w:start w:val="1"/>
      <w:numFmt w:val="decimal"/>
      <w:lvlText w:val="%4."/>
      <w:lvlJc w:val="left"/>
      <w:pPr>
        <w:ind w:left="3118" w:hanging="360"/>
      </w:pPr>
    </w:lvl>
    <w:lvl w:ilvl="4" w:tplc="04060019" w:tentative="1">
      <w:start w:val="1"/>
      <w:numFmt w:val="lowerLetter"/>
      <w:lvlText w:val="%5."/>
      <w:lvlJc w:val="left"/>
      <w:pPr>
        <w:ind w:left="3838" w:hanging="360"/>
      </w:pPr>
    </w:lvl>
    <w:lvl w:ilvl="5" w:tplc="0406001B" w:tentative="1">
      <w:start w:val="1"/>
      <w:numFmt w:val="lowerRoman"/>
      <w:lvlText w:val="%6."/>
      <w:lvlJc w:val="right"/>
      <w:pPr>
        <w:ind w:left="4558" w:hanging="180"/>
      </w:pPr>
    </w:lvl>
    <w:lvl w:ilvl="6" w:tplc="0406000F" w:tentative="1">
      <w:start w:val="1"/>
      <w:numFmt w:val="decimal"/>
      <w:lvlText w:val="%7."/>
      <w:lvlJc w:val="left"/>
      <w:pPr>
        <w:ind w:left="5278" w:hanging="360"/>
      </w:pPr>
    </w:lvl>
    <w:lvl w:ilvl="7" w:tplc="04060019" w:tentative="1">
      <w:start w:val="1"/>
      <w:numFmt w:val="lowerLetter"/>
      <w:lvlText w:val="%8."/>
      <w:lvlJc w:val="left"/>
      <w:pPr>
        <w:ind w:left="5998" w:hanging="360"/>
      </w:pPr>
    </w:lvl>
    <w:lvl w:ilvl="8" w:tplc="0406001B" w:tentative="1">
      <w:start w:val="1"/>
      <w:numFmt w:val="lowerRoman"/>
      <w:lvlText w:val="%9."/>
      <w:lvlJc w:val="right"/>
      <w:pPr>
        <w:ind w:left="6718" w:hanging="180"/>
      </w:pPr>
    </w:lvl>
  </w:abstractNum>
  <w:abstractNum w:abstractNumId="74" w15:restartNumberingAfterBreak="0">
    <w:nsid w:val="49365F91"/>
    <w:multiLevelType w:val="hybridMultilevel"/>
    <w:tmpl w:val="D3D63E5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5" w15:restartNumberingAfterBreak="0">
    <w:nsid w:val="49D23C41"/>
    <w:multiLevelType w:val="hybridMultilevel"/>
    <w:tmpl w:val="27CE703A"/>
    <w:lvl w:ilvl="0" w:tplc="04060011">
      <w:start w:val="1"/>
      <w:numFmt w:val="decimal"/>
      <w:lvlText w:val="%1)"/>
      <w:lvlJc w:val="left"/>
      <w:pPr>
        <w:ind w:left="795" w:hanging="43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6" w15:restartNumberingAfterBreak="0">
    <w:nsid w:val="4B4F5FF3"/>
    <w:multiLevelType w:val="hybridMultilevel"/>
    <w:tmpl w:val="35B0FDCE"/>
    <w:lvl w:ilvl="0" w:tplc="04060011">
      <w:start w:val="1"/>
      <w:numFmt w:val="decimal"/>
      <w:lvlText w:val="%1)"/>
      <w:lvlJc w:val="left"/>
      <w:pPr>
        <w:ind w:left="958" w:hanging="360"/>
      </w:p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77" w15:restartNumberingAfterBreak="0">
    <w:nsid w:val="4D847889"/>
    <w:multiLevelType w:val="hybridMultilevel"/>
    <w:tmpl w:val="0A580F94"/>
    <w:lvl w:ilvl="0" w:tplc="E3D4F1BE">
      <w:start w:val="1"/>
      <w:numFmt w:val="bullet"/>
      <w:pStyle w:val="Punktopstilling-Tal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8" w15:restartNumberingAfterBreak="0">
    <w:nsid w:val="4E461A9C"/>
    <w:multiLevelType w:val="hybridMultilevel"/>
    <w:tmpl w:val="1AEAFB8A"/>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9" w15:restartNumberingAfterBreak="0">
    <w:nsid w:val="4E8D339B"/>
    <w:multiLevelType w:val="hybridMultilevel"/>
    <w:tmpl w:val="0ADAA990"/>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4E914729"/>
    <w:multiLevelType w:val="hybridMultilevel"/>
    <w:tmpl w:val="411E909E"/>
    <w:lvl w:ilvl="0" w:tplc="04060011">
      <w:start w:val="1"/>
      <w:numFmt w:val="decimal"/>
      <w:lvlText w:val="%1)"/>
      <w:lvlJc w:val="left"/>
      <w:pPr>
        <w:ind w:left="705" w:hanging="360"/>
      </w:pPr>
      <w:rPr>
        <w:rFonts w:hint="default"/>
      </w:r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81" w15:restartNumberingAfterBreak="0">
    <w:nsid w:val="4EF7174A"/>
    <w:multiLevelType w:val="hybridMultilevel"/>
    <w:tmpl w:val="13A05CA6"/>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F3C6BE6"/>
    <w:multiLevelType w:val="hybridMultilevel"/>
    <w:tmpl w:val="BA04D4AC"/>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05A538E"/>
    <w:multiLevelType w:val="hybridMultilevel"/>
    <w:tmpl w:val="4E9E5F02"/>
    <w:lvl w:ilvl="0" w:tplc="0406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506757A6"/>
    <w:multiLevelType w:val="hybridMultilevel"/>
    <w:tmpl w:val="3440C16C"/>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15624E7"/>
    <w:multiLevelType w:val="hybridMultilevel"/>
    <w:tmpl w:val="0BAE7CF0"/>
    <w:lvl w:ilvl="0" w:tplc="FFFFFFFF">
      <w:start w:val="1"/>
      <w:numFmt w:val="decimal"/>
      <w:lvlText w:val="%1."/>
      <w:lvlJc w:val="left"/>
      <w:pPr>
        <w:ind w:left="720" w:hanging="360"/>
      </w:pPr>
      <w:rPr>
        <w:rFonts w:ascii="Times New Roman" w:eastAsia="Times New Roman" w:hAnsi="Times New Roman" w:cstheme="minorBidi"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16F47C1"/>
    <w:multiLevelType w:val="hybridMultilevel"/>
    <w:tmpl w:val="FA5C280E"/>
    <w:lvl w:ilvl="0" w:tplc="04060017">
      <w:start w:val="1"/>
      <w:numFmt w:val="lowerLetter"/>
      <w:lvlText w:val="%1)"/>
      <w:lvlJc w:val="left"/>
      <w:pPr>
        <w:ind w:left="720" w:hanging="360"/>
      </w:pPr>
    </w:lvl>
    <w:lvl w:ilvl="1" w:tplc="04060017">
      <w:start w:val="1"/>
      <w:numFmt w:val="lowerLetter"/>
      <w:lvlText w:val="%2)"/>
      <w:lvlJc w:val="left"/>
      <w:pPr>
        <w:ind w:left="1440" w:hanging="360"/>
      </w:pPr>
      <w:rPr>
        <w:rFonts w:hint="default"/>
      </w:rPr>
    </w:lvl>
    <w:lvl w:ilvl="2" w:tplc="1B027EFC">
      <w:start w:val="1"/>
      <w:numFmt w:val="decimal"/>
      <w:lvlText w:val="%3)"/>
      <w:lvlJc w:val="left"/>
      <w:pPr>
        <w:ind w:left="2340" w:hanging="360"/>
      </w:pPr>
      <w:rPr>
        <w:rFonts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7" w15:restartNumberingAfterBreak="0">
    <w:nsid w:val="54E055C6"/>
    <w:multiLevelType w:val="hybridMultilevel"/>
    <w:tmpl w:val="98046A40"/>
    <w:lvl w:ilvl="0" w:tplc="04060017">
      <w:start w:val="1"/>
      <w:numFmt w:val="lowerLetter"/>
      <w:lvlText w:val="%1)"/>
      <w:lvlJc w:val="left"/>
      <w:pPr>
        <w:ind w:left="1040" w:hanging="360"/>
      </w:pPr>
    </w:lvl>
    <w:lvl w:ilvl="1" w:tplc="04060019" w:tentative="1">
      <w:start w:val="1"/>
      <w:numFmt w:val="lowerLetter"/>
      <w:lvlText w:val="%2."/>
      <w:lvlJc w:val="left"/>
      <w:pPr>
        <w:ind w:left="1760" w:hanging="360"/>
      </w:pPr>
    </w:lvl>
    <w:lvl w:ilvl="2" w:tplc="0406001B" w:tentative="1">
      <w:start w:val="1"/>
      <w:numFmt w:val="lowerRoman"/>
      <w:lvlText w:val="%3."/>
      <w:lvlJc w:val="right"/>
      <w:pPr>
        <w:ind w:left="2480" w:hanging="180"/>
      </w:pPr>
    </w:lvl>
    <w:lvl w:ilvl="3" w:tplc="0406000F" w:tentative="1">
      <w:start w:val="1"/>
      <w:numFmt w:val="decimal"/>
      <w:lvlText w:val="%4."/>
      <w:lvlJc w:val="left"/>
      <w:pPr>
        <w:ind w:left="3200" w:hanging="360"/>
      </w:pPr>
    </w:lvl>
    <w:lvl w:ilvl="4" w:tplc="04060019" w:tentative="1">
      <w:start w:val="1"/>
      <w:numFmt w:val="lowerLetter"/>
      <w:lvlText w:val="%5."/>
      <w:lvlJc w:val="left"/>
      <w:pPr>
        <w:ind w:left="3920" w:hanging="360"/>
      </w:pPr>
    </w:lvl>
    <w:lvl w:ilvl="5" w:tplc="0406001B" w:tentative="1">
      <w:start w:val="1"/>
      <w:numFmt w:val="lowerRoman"/>
      <w:lvlText w:val="%6."/>
      <w:lvlJc w:val="right"/>
      <w:pPr>
        <w:ind w:left="4640" w:hanging="180"/>
      </w:pPr>
    </w:lvl>
    <w:lvl w:ilvl="6" w:tplc="0406000F" w:tentative="1">
      <w:start w:val="1"/>
      <w:numFmt w:val="decimal"/>
      <w:lvlText w:val="%7."/>
      <w:lvlJc w:val="left"/>
      <w:pPr>
        <w:ind w:left="5360" w:hanging="360"/>
      </w:pPr>
    </w:lvl>
    <w:lvl w:ilvl="7" w:tplc="04060019" w:tentative="1">
      <w:start w:val="1"/>
      <w:numFmt w:val="lowerLetter"/>
      <w:lvlText w:val="%8."/>
      <w:lvlJc w:val="left"/>
      <w:pPr>
        <w:ind w:left="6080" w:hanging="360"/>
      </w:pPr>
    </w:lvl>
    <w:lvl w:ilvl="8" w:tplc="0406001B" w:tentative="1">
      <w:start w:val="1"/>
      <w:numFmt w:val="lowerRoman"/>
      <w:lvlText w:val="%9."/>
      <w:lvlJc w:val="right"/>
      <w:pPr>
        <w:ind w:left="6800" w:hanging="180"/>
      </w:pPr>
    </w:lvl>
  </w:abstractNum>
  <w:abstractNum w:abstractNumId="88" w15:restartNumberingAfterBreak="0">
    <w:nsid w:val="56001238"/>
    <w:multiLevelType w:val="hybridMultilevel"/>
    <w:tmpl w:val="3CB429C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65C535F"/>
    <w:multiLevelType w:val="hybridMultilevel"/>
    <w:tmpl w:val="B24EEBB2"/>
    <w:lvl w:ilvl="0" w:tplc="D572F1C8">
      <w:start w:val="1"/>
      <w:numFmt w:val="decimal"/>
      <w:lvlText w:val="%1."/>
      <w:lvlJc w:val="left"/>
      <w:pPr>
        <w:ind w:left="643" w:hanging="360"/>
      </w:pPr>
      <w:rPr>
        <w:rFonts w:ascii="Times New Roman" w:eastAsia="Times New Roman" w:hAnsi="Times New Roman" w:cstheme="minorBidi" w:hint="default"/>
        <w:b/>
        <w:bCs/>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0" w15:restartNumberingAfterBreak="0">
    <w:nsid w:val="572D2AFB"/>
    <w:multiLevelType w:val="hybridMultilevel"/>
    <w:tmpl w:val="0EF29498"/>
    <w:lvl w:ilvl="0" w:tplc="04060017">
      <w:start w:val="1"/>
      <w:numFmt w:val="lowerLetter"/>
      <w:lvlText w:val="%1)"/>
      <w:lvlJc w:val="left"/>
      <w:pPr>
        <w:ind w:left="1040" w:hanging="360"/>
      </w:pPr>
    </w:lvl>
    <w:lvl w:ilvl="1" w:tplc="04060019" w:tentative="1">
      <w:start w:val="1"/>
      <w:numFmt w:val="lowerLetter"/>
      <w:lvlText w:val="%2."/>
      <w:lvlJc w:val="left"/>
      <w:pPr>
        <w:ind w:left="1760" w:hanging="360"/>
      </w:pPr>
    </w:lvl>
    <w:lvl w:ilvl="2" w:tplc="0406001B" w:tentative="1">
      <w:start w:val="1"/>
      <w:numFmt w:val="lowerRoman"/>
      <w:lvlText w:val="%3."/>
      <w:lvlJc w:val="right"/>
      <w:pPr>
        <w:ind w:left="2480" w:hanging="180"/>
      </w:pPr>
    </w:lvl>
    <w:lvl w:ilvl="3" w:tplc="0406000F" w:tentative="1">
      <w:start w:val="1"/>
      <w:numFmt w:val="decimal"/>
      <w:lvlText w:val="%4."/>
      <w:lvlJc w:val="left"/>
      <w:pPr>
        <w:ind w:left="3200" w:hanging="360"/>
      </w:pPr>
    </w:lvl>
    <w:lvl w:ilvl="4" w:tplc="04060019" w:tentative="1">
      <w:start w:val="1"/>
      <w:numFmt w:val="lowerLetter"/>
      <w:lvlText w:val="%5."/>
      <w:lvlJc w:val="left"/>
      <w:pPr>
        <w:ind w:left="3920" w:hanging="360"/>
      </w:pPr>
    </w:lvl>
    <w:lvl w:ilvl="5" w:tplc="0406001B" w:tentative="1">
      <w:start w:val="1"/>
      <w:numFmt w:val="lowerRoman"/>
      <w:lvlText w:val="%6."/>
      <w:lvlJc w:val="right"/>
      <w:pPr>
        <w:ind w:left="4640" w:hanging="180"/>
      </w:pPr>
    </w:lvl>
    <w:lvl w:ilvl="6" w:tplc="0406000F" w:tentative="1">
      <w:start w:val="1"/>
      <w:numFmt w:val="decimal"/>
      <w:lvlText w:val="%7."/>
      <w:lvlJc w:val="left"/>
      <w:pPr>
        <w:ind w:left="5360" w:hanging="360"/>
      </w:pPr>
    </w:lvl>
    <w:lvl w:ilvl="7" w:tplc="04060019" w:tentative="1">
      <w:start w:val="1"/>
      <w:numFmt w:val="lowerLetter"/>
      <w:lvlText w:val="%8."/>
      <w:lvlJc w:val="left"/>
      <w:pPr>
        <w:ind w:left="6080" w:hanging="360"/>
      </w:pPr>
    </w:lvl>
    <w:lvl w:ilvl="8" w:tplc="0406001B" w:tentative="1">
      <w:start w:val="1"/>
      <w:numFmt w:val="lowerRoman"/>
      <w:lvlText w:val="%9."/>
      <w:lvlJc w:val="right"/>
      <w:pPr>
        <w:ind w:left="6800" w:hanging="180"/>
      </w:pPr>
    </w:lvl>
  </w:abstractNum>
  <w:abstractNum w:abstractNumId="91" w15:restartNumberingAfterBreak="0">
    <w:nsid w:val="58126F36"/>
    <w:multiLevelType w:val="hybridMultilevel"/>
    <w:tmpl w:val="DA2209A4"/>
    <w:lvl w:ilvl="0" w:tplc="040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9EC7FCE"/>
    <w:multiLevelType w:val="hybridMultilevel"/>
    <w:tmpl w:val="4BA68450"/>
    <w:lvl w:ilvl="0" w:tplc="04060011">
      <w:start w:val="1"/>
      <w:numFmt w:val="decimal"/>
      <w:lvlText w:val="%1)"/>
      <w:lvlJc w:val="left"/>
      <w:pPr>
        <w:ind w:left="836" w:hanging="360"/>
      </w:pPr>
      <w:rPr>
        <w:rFonts w:hint="default"/>
      </w:r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93" w15:restartNumberingAfterBreak="0">
    <w:nsid w:val="5ABA594E"/>
    <w:multiLevelType w:val="hybridMultilevel"/>
    <w:tmpl w:val="27B0F13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4" w15:restartNumberingAfterBreak="0">
    <w:nsid w:val="5ACD2AF4"/>
    <w:multiLevelType w:val="hybridMultilevel"/>
    <w:tmpl w:val="46165088"/>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B093E93"/>
    <w:multiLevelType w:val="hybridMultilevel"/>
    <w:tmpl w:val="49F8FF2A"/>
    <w:lvl w:ilvl="0" w:tplc="FFFFFFFF">
      <w:start w:val="1"/>
      <w:numFmt w:val="decimal"/>
      <w:lvlText w:val="%1."/>
      <w:lvlJc w:val="left"/>
      <w:pPr>
        <w:ind w:left="643" w:hanging="360"/>
      </w:pPr>
      <w:rPr>
        <w:rFonts w:ascii="Times New Roman" w:eastAsia="Times New Roman" w:hAnsi="Times New Roman" w:cstheme="minorBidi"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BD37812"/>
    <w:multiLevelType w:val="hybridMultilevel"/>
    <w:tmpl w:val="51C68BA2"/>
    <w:lvl w:ilvl="0" w:tplc="04060011">
      <w:start w:val="1"/>
      <w:numFmt w:val="decimal"/>
      <w:lvlText w:val="%1)"/>
      <w:lvlJc w:val="left"/>
      <w:pPr>
        <w:ind w:left="836" w:hanging="360"/>
      </w:pPr>
      <w:rPr>
        <w:rFonts w:hint="default"/>
      </w:r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97" w15:restartNumberingAfterBreak="0">
    <w:nsid w:val="5CDC3B2F"/>
    <w:multiLevelType w:val="hybridMultilevel"/>
    <w:tmpl w:val="A92EC26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8" w15:restartNumberingAfterBreak="0">
    <w:nsid w:val="5E720E35"/>
    <w:multiLevelType w:val="hybridMultilevel"/>
    <w:tmpl w:val="2144A0C0"/>
    <w:lvl w:ilvl="0" w:tplc="FFFFFFFF">
      <w:start w:val="1"/>
      <w:numFmt w:val="decimal"/>
      <w:lvlText w:val="%1."/>
      <w:lvlJc w:val="left"/>
      <w:pPr>
        <w:ind w:left="720" w:hanging="360"/>
      </w:pPr>
      <w:rPr>
        <w:rFonts w:ascii="Times New Roman" w:eastAsia="Times New Roman" w:hAnsi="Times New Roman" w:cstheme="minorBidi"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FBA35C6"/>
    <w:multiLevelType w:val="hybridMultilevel"/>
    <w:tmpl w:val="8CF8A7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FD122C1"/>
    <w:multiLevelType w:val="hybridMultilevel"/>
    <w:tmpl w:val="28BAD732"/>
    <w:lvl w:ilvl="0" w:tplc="25D60864">
      <w:start w:val="1"/>
      <w:numFmt w:val="decimal"/>
      <w:lvlText w:val="%1."/>
      <w:lvlJc w:val="left"/>
      <w:pPr>
        <w:ind w:left="720" w:hanging="360"/>
      </w:pPr>
      <w:rPr>
        <w:rFonts w:ascii="Times New Roman" w:eastAsia="Times New Roman" w:hAnsi="Times New Roman" w:cstheme="minorBidi" w:hint="default"/>
        <w:b/>
        <w:bCs/>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02C54F5"/>
    <w:multiLevelType w:val="hybridMultilevel"/>
    <w:tmpl w:val="2B48E0DA"/>
    <w:lvl w:ilvl="0" w:tplc="5766632E">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2" w15:restartNumberingAfterBreak="0">
    <w:nsid w:val="610C5F51"/>
    <w:multiLevelType w:val="hybridMultilevel"/>
    <w:tmpl w:val="3A1A8914"/>
    <w:lvl w:ilvl="0" w:tplc="04060011">
      <w:start w:val="1"/>
      <w:numFmt w:val="decimal"/>
      <w:lvlText w:val="%1)"/>
      <w:lvlJc w:val="left"/>
      <w:pPr>
        <w:ind w:left="958" w:hanging="360"/>
      </w:p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103" w15:restartNumberingAfterBreak="0">
    <w:nsid w:val="621E5C6F"/>
    <w:multiLevelType w:val="hybridMultilevel"/>
    <w:tmpl w:val="624207CE"/>
    <w:lvl w:ilvl="0" w:tplc="0406001B">
      <w:start w:val="1"/>
      <w:numFmt w:val="lowerRoman"/>
      <w:lvlText w:val="%1."/>
      <w:lvlJc w:val="right"/>
      <w:pPr>
        <w:ind w:left="720" w:hanging="360"/>
      </w:pPr>
    </w:lvl>
    <w:lvl w:ilvl="1" w:tplc="DFF8D306">
      <w:start w:val="1"/>
      <w:numFmt w:val="lowerLetter"/>
      <w:lvlText w:val="%2)"/>
      <w:lvlJc w:val="left"/>
      <w:pPr>
        <w:ind w:left="1440" w:hanging="360"/>
      </w:pPr>
      <w:rPr>
        <w:rFonts w:hint="default"/>
      </w:rPr>
    </w:lvl>
    <w:lvl w:ilvl="2" w:tplc="CF2C5BE0">
      <w:start w:val="1"/>
      <w:numFmt w:val="decimal"/>
      <w:lvlText w:val="%3)"/>
      <w:lvlJc w:val="left"/>
      <w:pPr>
        <w:ind w:left="2340" w:hanging="360"/>
      </w:pPr>
      <w:rPr>
        <w:rFonts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4" w15:restartNumberingAfterBreak="0">
    <w:nsid w:val="6262215C"/>
    <w:multiLevelType w:val="hybridMultilevel"/>
    <w:tmpl w:val="E3086FA0"/>
    <w:lvl w:ilvl="0" w:tplc="AED46D32">
      <w:start w:val="1"/>
      <w:numFmt w:val="decimal"/>
      <w:pStyle w:val="Typografi1"/>
      <w:lvlText w:val="§ %1."/>
      <w:lvlJc w:val="right"/>
      <w:pPr>
        <w:ind w:left="360" w:hanging="360"/>
      </w:pPr>
      <w:rPr>
        <w:rFonts w:ascii="Times New Roman" w:hAnsi="Times New Roman" w:cs="Times New Roman" w:hint="default"/>
        <w:b/>
        <w:bCs/>
        <w:i w:val="0"/>
        <w:iCs w:val="0"/>
        <w:sz w:val="24"/>
        <w:szCs w:val="24"/>
      </w:rPr>
    </w:lvl>
    <w:lvl w:ilvl="1" w:tplc="04060019">
      <w:start w:val="1"/>
      <w:numFmt w:val="lowerLetter"/>
      <w:lvlText w:val="%2."/>
      <w:lvlJc w:val="left"/>
      <w:pPr>
        <w:ind w:left="1582" w:hanging="360"/>
      </w:pPr>
    </w:lvl>
    <w:lvl w:ilvl="2" w:tplc="CE5ADC40">
      <w:start w:val="1"/>
      <w:numFmt w:val="decimal"/>
      <w:lvlText w:val="%3)"/>
      <w:lvlJc w:val="left"/>
      <w:pPr>
        <w:ind w:left="2482" w:hanging="360"/>
      </w:pPr>
      <w:rPr>
        <w:rFonts w:hint="default"/>
      </w:rPr>
    </w:lvl>
    <w:lvl w:ilvl="3" w:tplc="0406000F" w:tentative="1">
      <w:start w:val="1"/>
      <w:numFmt w:val="decimal"/>
      <w:lvlText w:val="%4."/>
      <w:lvlJc w:val="left"/>
      <w:pPr>
        <w:ind w:left="3022" w:hanging="360"/>
      </w:pPr>
    </w:lvl>
    <w:lvl w:ilvl="4" w:tplc="04060019" w:tentative="1">
      <w:start w:val="1"/>
      <w:numFmt w:val="lowerLetter"/>
      <w:lvlText w:val="%5."/>
      <w:lvlJc w:val="left"/>
      <w:pPr>
        <w:ind w:left="3742" w:hanging="360"/>
      </w:pPr>
    </w:lvl>
    <w:lvl w:ilvl="5" w:tplc="0406001B" w:tentative="1">
      <w:start w:val="1"/>
      <w:numFmt w:val="lowerRoman"/>
      <w:lvlText w:val="%6."/>
      <w:lvlJc w:val="right"/>
      <w:pPr>
        <w:ind w:left="4462" w:hanging="180"/>
      </w:pPr>
    </w:lvl>
    <w:lvl w:ilvl="6" w:tplc="0406000F" w:tentative="1">
      <w:start w:val="1"/>
      <w:numFmt w:val="decimal"/>
      <w:lvlText w:val="%7."/>
      <w:lvlJc w:val="left"/>
      <w:pPr>
        <w:ind w:left="5182" w:hanging="360"/>
      </w:pPr>
    </w:lvl>
    <w:lvl w:ilvl="7" w:tplc="04060019" w:tentative="1">
      <w:start w:val="1"/>
      <w:numFmt w:val="lowerLetter"/>
      <w:lvlText w:val="%8."/>
      <w:lvlJc w:val="left"/>
      <w:pPr>
        <w:ind w:left="5902" w:hanging="360"/>
      </w:pPr>
    </w:lvl>
    <w:lvl w:ilvl="8" w:tplc="0406001B" w:tentative="1">
      <w:start w:val="1"/>
      <w:numFmt w:val="lowerRoman"/>
      <w:lvlText w:val="%9."/>
      <w:lvlJc w:val="right"/>
      <w:pPr>
        <w:ind w:left="6622" w:hanging="180"/>
      </w:pPr>
    </w:lvl>
  </w:abstractNum>
  <w:abstractNum w:abstractNumId="105" w15:restartNumberingAfterBreak="0">
    <w:nsid w:val="63A927B5"/>
    <w:multiLevelType w:val="hybridMultilevel"/>
    <w:tmpl w:val="F5E86CC0"/>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6" w15:restartNumberingAfterBreak="0">
    <w:nsid w:val="63BE408E"/>
    <w:multiLevelType w:val="hybridMultilevel"/>
    <w:tmpl w:val="49F8FF2A"/>
    <w:lvl w:ilvl="0" w:tplc="FFFFFFFF">
      <w:start w:val="1"/>
      <w:numFmt w:val="decimal"/>
      <w:lvlText w:val="%1."/>
      <w:lvlJc w:val="left"/>
      <w:pPr>
        <w:ind w:left="643" w:hanging="360"/>
      </w:pPr>
      <w:rPr>
        <w:rFonts w:ascii="Times New Roman" w:eastAsia="Times New Roman" w:hAnsi="Times New Roman" w:cstheme="minorBidi" w:hint="default"/>
        <w:b/>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5C57A1F"/>
    <w:multiLevelType w:val="hybridMultilevel"/>
    <w:tmpl w:val="84C027DA"/>
    <w:lvl w:ilvl="0" w:tplc="7646C8A6">
      <w:start w:val="1"/>
      <w:numFmt w:val="decimal"/>
      <w:lvlText w:val="%1)"/>
      <w:lvlJc w:val="left"/>
      <w:pPr>
        <w:ind w:left="836" w:hanging="360"/>
      </w:pPr>
      <w:rPr>
        <w:rFonts w:hint="default"/>
      </w:rPr>
    </w:lvl>
    <w:lvl w:ilvl="1" w:tplc="04060019" w:tentative="1">
      <w:start w:val="1"/>
      <w:numFmt w:val="lowerLetter"/>
      <w:lvlText w:val="%2."/>
      <w:lvlJc w:val="left"/>
      <w:pPr>
        <w:ind w:left="1678" w:hanging="360"/>
      </w:pPr>
    </w:lvl>
    <w:lvl w:ilvl="2" w:tplc="0406001B" w:tentative="1">
      <w:start w:val="1"/>
      <w:numFmt w:val="lowerRoman"/>
      <w:lvlText w:val="%3."/>
      <w:lvlJc w:val="right"/>
      <w:pPr>
        <w:ind w:left="2398" w:hanging="180"/>
      </w:pPr>
    </w:lvl>
    <w:lvl w:ilvl="3" w:tplc="0406000F" w:tentative="1">
      <w:start w:val="1"/>
      <w:numFmt w:val="decimal"/>
      <w:lvlText w:val="%4."/>
      <w:lvlJc w:val="left"/>
      <w:pPr>
        <w:ind w:left="3118" w:hanging="360"/>
      </w:pPr>
    </w:lvl>
    <w:lvl w:ilvl="4" w:tplc="04060019" w:tentative="1">
      <w:start w:val="1"/>
      <w:numFmt w:val="lowerLetter"/>
      <w:lvlText w:val="%5."/>
      <w:lvlJc w:val="left"/>
      <w:pPr>
        <w:ind w:left="3838" w:hanging="360"/>
      </w:pPr>
    </w:lvl>
    <w:lvl w:ilvl="5" w:tplc="0406001B" w:tentative="1">
      <w:start w:val="1"/>
      <w:numFmt w:val="lowerRoman"/>
      <w:lvlText w:val="%6."/>
      <w:lvlJc w:val="right"/>
      <w:pPr>
        <w:ind w:left="4558" w:hanging="180"/>
      </w:pPr>
    </w:lvl>
    <w:lvl w:ilvl="6" w:tplc="0406000F" w:tentative="1">
      <w:start w:val="1"/>
      <w:numFmt w:val="decimal"/>
      <w:lvlText w:val="%7."/>
      <w:lvlJc w:val="left"/>
      <w:pPr>
        <w:ind w:left="5278" w:hanging="360"/>
      </w:pPr>
    </w:lvl>
    <w:lvl w:ilvl="7" w:tplc="04060019" w:tentative="1">
      <w:start w:val="1"/>
      <w:numFmt w:val="lowerLetter"/>
      <w:lvlText w:val="%8."/>
      <w:lvlJc w:val="left"/>
      <w:pPr>
        <w:ind w:left="5998" w:hanging="360"/>
      </w:pPr>
    </w:lvl>
    <w:lvl w:ilvl="8" w:tplc="0406001B" w:tentative="1">
      <w:start w:val="1"/>
      <w:numFmt w:val="lowerRoman"/>
      <w:lvlText w:val="%9."/>
      <w:lvlJc w:val="right"/>
      <w:pPr>
        <w:ind w:left="6718" w:hanging="180"/>
      </w:pPr>
    </w:lvl>
  </w:abstractNum>
  <w:abstractNum w:abstractNumId="108" w15:restartNumberingAfterBreak="0">
    <w:nsid w:val="67660FFF"/>
    <w:multiLevelType w:val="hybridMultilevel"/>
    <w:tmpl w:val="A888083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9" w15:restartNumberingAfterBreak="0">
    <w:nsid w:val="67BA29B5"/>
    <w:multiLevelType w:val="hybridMultilevel"/>
    <w:tmpl w:val="717E72EA"/>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0" w15:restartNumberingAfterBreak="0">
    <w:nsid w:val="6B2F3616"/>
    <w:multiLevelType w:val="hybridMultilevel"/>
    <w:tmpl w:val="63F29056"/>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1">
      <w:start w:val="1"/>
      <w:numFmt w:val="decimal"/>
      <w:lvlText w:val="%3)"/>
      <w:lvlJc w:val="left"/>
      <w:pPr>
        <w:ind w:left="720" w:hanging="36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1" w15:restartNumberingAfterBreak="0">
    <w:nsid w:val="6DBF0220"/>
    <w:multiLevelType w:val="hybridMultilevel"/>
    <w:tmpl w:val="E2D0C0F2"/>
    <w:lvl w:ilvl="0" w:tplc="328A5E18">
      <w:start w:val="1"/>
      <w:numFmt w:val="decimal"/>
      <w:lvlText w:val="%1)"/>
      <w:lvlJc w:val="left"/>
      <w:pPr>
        <w:ind w:left="958" w:hanging="360"/>
      </w:pPr>
    </w:lvl>
    <w:lvl w:ilvl="1" w:tplc="04060017">
      <w:start w:val="1"/>
      <w:numFmt w:val="lowerLetter"/>
      <w:lvlText w:val="%2)"/>
      <w:lvlJc w:val="left"/>
      <w:pPr>
        <w:ind w:left="1678" w:hanging="360"/>
      </w:pPr>
    </w:lvl>
    <w:lvl w:ilvl="2" w:tplc="BEE63024">
      <w:start w:val="1"/>
      <w:numFmt w:val="decimal"/>
      <w:lvlText w:val="%3."/>
      <w:lvlJc w:val="left"/>
      <w:pPr>
        <w:ind w:left="360" w:hanging="360"/>
      </w:pPr>
      <w:rPr>
        <w:rFonts w:hint="default"/>
      </w:rPr>
    </w:lvl>
    <w:lvl w:ilvl="3" w:tplc="0406000F">
      <w:start w:val="1"/>
      <w:numFmt w:val="decimal"/>
      <w:lvlText w:val="%4."/>
      <w:lvlJc w:val="left"/>
      <w:pPr>
        <w:ind w:left="3118" w:hanging="360"/>
      </w:pPr>
    </w:lvl>
    <w:lvl w:ilvl="4" w:tplc="04060019" w:tentative="1">
      <w:start w:val="1"/>
      <w:numFmt w:val="lowerLetter"/>
      <w:lvlText w:val="%5."/>
      <w:lvlJc w:val="left"/>
      <w:pPr>
        <w:ind w:left="3838" w:hanging="360"/>
      </w:pPr>
    </w:lvl>
    <w:lvl w:ilvl="5" w:tplc="0406001B" w:tentative="1">
      <w:start w:val="1"/>
      <w:numFmt w:val="lowerRoman"/>
      <w:lvlText w:val="%6."/>
      <w:lvlJc w:val="right"/>
      <w:pPr>
        <w:ind w:left="4558" w:hanging="180"/>
      </w:pPr>
    </w:lvl>
    <w:lvl w:ilvl="6" w:tplc="0406000F" w:tentative="1">
      <w:start w:val="1"/>
      <w:numFmt w:val="decimal"/>
      <w:lvlText w:val="%7."/>
      <w:lvlJc w:val="left"/>
      <w:pPr>
        <w:ind w:left="5278" w:hanging="360"/>
      </w:pPr>
    </w:lvl>
    <w:lvl w:ilvl="7" w:tplc="04060019" w:tentative="1">
      <w:start w:val="1"/>
      <w:numFmt w:val="lowerLetter"/>
      <w:lvlText w:val="%8."/>
      <w:lvlJc w:val="left"/>
      <w:pPr>
        <w:ind w:left="5998" w:hanging="360"/>
      </w:pPr>
    </w:lvl>
    <w:lvl w:ilvl="8" w:tplc="0406001B" w:tentative="1">
      <w:start w:val="1"/>
      <w:numFmt w:val="lowerRoman"/>
      <w:lvlText w:val="%9."/>
      <w:lvlJc w:val="right"/>
      <w:pPr>
        <w:ind w:left="6718" w:hanging="180"/>
      </w:pPr>
    </w:lvl>
  </w:abstractNum>
  <w:abstractNum w:abstractNumId="112" w15:restartNumberingAfterBreak="0">
    <w:nsid w:val="6F375D2D"/>
    <w:multiLevelType w:val="hybridMultilevel"/>
    <w:tmpl w:val="C3C6F7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F5E4475"/>
    <w:multiLevelType w:val="hybridMultilevel"/>
    <w:tmpl w:val="0E46144E"/>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4" w15:restartNumberingAfterBreak="0">
    <w:nsid w:val="721E4239"/>
    <w:multiLevelType w:val="hybridMultilevel"/>
    <w:tmpl w:val="8F6EFB3C"/>
    <w:lvl w:ilvl="0" w:tplc="04060017">
      <w:start w:val="1"/>
      <w:numFmt w:val="lowerLetter"/>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5" w15:restartNumberingAfterBreak="0">
    <w:nsid w:val="72684534"/>
    <w:multiLevelType w:val="hybridMultilevel"/>
    <w:tmpl w:val="E6B430EC"/>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318" w:hanging="360"/>
      </w:pPr>
    </w:lvl>
    <w:lvl w:ilvl="2" w:tplc="FFFFFFFF" w:tentative="1">
      <w:start w:val="1"/>
      <w:numFmt w:val="lowerRoman"/>
      <w:lvlText w:val="%3."/>
      <w:lvlJc w:val="right"/>
      <w:pPr>
        <w:ind w:left="2038" w:hanging="180"/>
      </w:pPr>
    </w:lvl>
    <w:lvl w:ilvl="3" w:tplc="FFFFFFFF" w:tentative="1">
      <w:start w:val="1"/>
      <w:numFmt w:val="decimal"/>
      <w:lvlText w:val="%4."/>
      <w:lvlJc w:val="left"/>
      <w:pPr>
        <w:ind w:left="2758" w:hanging="360"/>
      </w:pPr>
    </w:lvl>
    <w:lvl w:ilvl="4" w:tplc="FFFFFFFF" w:tentative="1">
      <w:start w:val="1"/>
      <w:numFmt w:val="lowerLetter"/>
      <w:lvlText w:val="%5."/>
      <w:lvlJc w:val="left"/>
      <w:pPr>
        <w:ind w:left="3478" w:hanging="360"/>
      </w:pPr>
    </w:lvl>
    <w:lvl w:ilvl="5" w:tplc="FFFFFFFF" w:tentative="1">
      <w:start w:val="1"/>
      <w:numFmt w:val="lowerRoman"/>
      <w:lvlText w:val="%6."/>
      <w:lvlJc w:val="right"/>
      <w:pPr>
        <w:ind w:left="4198" w:hanging="180"/>
      </w:pPr>
    </w:lvl>
    <w:lvl w:ilvl="6" w:tplc="FFFFFFFF" w:tentative="1">
      <w:start w:val="1"/>
      <w:numFmt w:val="decimal"/>
      <w:lvlText w:val="%7."/>
      <w:lvlJc w:val="left"/>
      <w:pPr>
        <w:ind w:left="4918" w:hanging="360"/>
      </w:pPr>
    </w:lvl>
    <w:lvl w:ilvl="7" w:tplc="FFFFFFFF" w:tentative="1">
      <w:start w:val="1"/>
      <w:numFmt w:val="lowerLetter"/>
      <w:lvlText w:val="%8."/>
      <w:lvlJc w:val="left"/>
      <w:pPr>
        <w:ind w:left="5638" w:hanging="360"/>
      </w:pPr>
    </w:lvl>
    <w:lvl w:ilvl="8" w:tplc="FFFFFFFF" w:tentative="1">
      <w:start w:val="1"/>
      <w:numFmt w:val="lowerRoman"/>
      <w:lvlText w:val="%9."/>
      <w:lvlJc w:val="right"/>
      <w:pPr>
        <w:ind w:left="6358" w:hanging="180"/>
      </w:pPr>
    </w:lvl>
  </w:abstractNum>
  <w:abstractNum w:abstractNumId="116" w15:restartNumberingAfterBreak="0">
    <w:nsid w:val="733A58B2"/>
    <w:multiLevelType w:val="hybridMultilevel"/>
    <w:tmpl w:val="E00CDE1A"/>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7" w15:restartNumberingAfterBreak="0">
    <w:nsid w:val="738A4337"/>
    <w:multiLevelType w:val="hybridMultilevel"/>
    <w:tmpl w:val="56043054"/>
    <w:lvl w:ilvl="0" w:tplc="04060011">
      <w:start w:val="1"/>
      <w:numFmt w:val="decimal"/>
      <w:lvlText w:val="%1)"/>
      <w:lvlJc w:val="left"/>
      <w:pPr>
        <w:ind w:left="598" w:hanging="360"/>
      </w:pPr>
      <w:rPr>
        <w:rFonts w:hint="default"/>
      </w:rPr>
    </w:lvl>
    <w:lvl w:ilvl="1" w:tplc="FFFFFFFF" w:tentative="1">
      <w:start w:val="1"/>
      <w:numFmt w:val="lowerLetter"/>
      <w:lvlText w:val="%2."/>
      <w:lvlJc w:val="left"/>
      <w:pPr>
        <w:ind w:left="1318" w:hanging="360"/>
      </w:pPr>
    </w:lvl>
    <w:lvl w:ilvl="2" w:tplc="FFFFFFFF" w:tentative="1">
      <w:start w:val="1"/>
      <w:numFmt w:val="lowerRoman"/>
      <w:lvlText w:val="%3."/>
      <w:lvlJc w:val="right"/>
      <w:pPr>
        <w:ind w:left="2038" w:hanging="180"/>
      </w:pPr>
    </w:lvl>
    <w:lvl w:ilvl="3" w:tplc="FFFFFFFF" w:tentative="1">
      <w:start w:val="1"/>
      <w:numFmt w:val="decimal"/>
      <w:lvlText w:val="%4."/>
      <w:lvlJc w:val="left"/>
      <w:pPr>
        <w:ind w:left="2758" w:hanging="360"/>
      </w:pPr>
    </w:lvl>
    <w:lvl w:ilvl="4" w:tplc="FFFFFFFF" w:tentative="1">
      <w:start w:val="1"/>
      <w:numFmt w:val="lowerLetter"/>
      <w:lvlText w:val="%5."/>
      <w:lvlJc w:val="left"/>
      <w:pPr>
        <w:ind w:left="3478" w:hanging="360"/>
      </w:pPr>
    </w:lvl>
    <w:lvl w:ilvl="5" w:tplc="FFFFFFFF" w:tentative="1">
      <w:start w:val="1"/>
      <w:numFmt w:val="lowerRoman"/>
      <w:lvlText w:val="%6."/>
      <w:lvlJc w:val="right"/>
      <w:pPr>
        <w:ind w:left="4198" w:hanging="180"/>
      </w:pPr>
    </w:lvl>
    <w:lvl w:ilvl="6" w:tplc="FFFFFFFF" w:tentative="1">
      <w:start w:val="1"/>
      <w:numFmt w:val="decimal"/>
      <w:lvlText w:val="%7."/>
      <w:lvlJc w:val="left"/>
      <w:pPr>
        <w:ind w:left="4918" w:hanging="360"/>
      </w:pPr>
    </w:lvl>
    <w:lvl w:ilvl="7" w:tplc="FFFFFFFF" w:tentative="1">
      <w:start w:val="1"/>
      <w:numFmt w:val="lowerLetter"/>
      <w:lvlText w:val="%8."/>
      <w:lvlJc w:val="left"/>
      <w:pPr>
        <w:ind w:left="5638" w:hanging="360"/>
      </w:pPr>
    </w:lvl>
    <w:lvl w:ilvl="8" w:tplc="FFFFFFFF" w:tentative="1">
      <w:start w:val="1"/>
      <w:numFmt w:val="lowerRoman"/>
      <w:lvlText w:val="%9."/>
      <w:lvlJc w:val="right"/>
      <w:pPr>
        <w:ind w:left="6358" w:hanging="180"/>
      </w:pPr>
    </w:lvl>
  </w:abstractNum>
  <w:abstractNum w:abstractNumId="118" w15:restartNumberingAfterBreak="0">
    <w:nsid w:val="771F2774"/>
    <w:multiLevelType w:val="hybridMultilevel"/>
    <w:tmpl w:val="E524115C"/>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76B09D7"/>
    <w:multiLevelType w:val="hybridMultilevel"/>
    <w:tmpl w:val="DE12D6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7C754F5"/>
    <w:multiLevelType w:val="hybridMultilevel"/>
    <w:tmpl w:val="0FCE8E4A"/>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C617722"/>
    <w:multiLevelType w:val="multilevel"/>
    <w:tmpl w:val="0E9CEE5A"/>
    <w:lvl w:ilvl="0">
      <w:start w:val="3"/>
      <w:numFmt w:val="decimal"/>
      <w:lvlText w:val="%1."/>
      <w:lvlJc w:val="left"/>
      <w:pPr>
        <w:ind w:left="450" w:hanging="450"/>
      </w:pPr>
      <w:rPr>
        <w:rFonts w:hint="default"/>
      </w:rPr>
    </w:lvl>
    <w:lvl w:ilvl="1">
      <w:start w:val="1"/>
      <w:numFmt w:val="decimal"/>
      <w:pStyle w:val="Overskrift2"/>
      <w:lvlText w:val="%1.%2."/>
      <w:lvlJc w:val="left"/>
      <w:pPr>
        <w:ind w:left="720" w:hanging="720"/>
      </w:pPr>
      <w:rPr>
        <w:rFonts w:hint="default"/>
      </w:rPr>
    </w:lvl>
    <w:lvl w:ilvl="2">
      <w:start w:val="1"/>
      <w:numFmt w:val="decimal"/>
      <w:pStyle w:val="Overskrift4"/>
      <w:lvlText w:val="%1.%2.%3."/>
      <w:lvlJc w:val="left"/>
      <w:pPr>
        <w:ind w:left="2988" w:hanging="720"/>
      </w:pPr>
      <w:rPr>
        <w:rFonts w:hint="default"/>
        <w:i w:val="0"/>
        <w:iCs w:val="0"/>
      </w:rPr>
    </w:lvl>
    <w:lvl w:ilvl="3">
      <w:start w:val="1"/>
      <w:numFmt w:val="decimal"/>
      <w:lvlText w:val="%1.%2.%3.%4."/>
      <w:lvlJc w:val="left"/>
      <w:pPr>
        <w:ind w:left="1080" w:hanging="1080"/>
      </w:pPr>
      <w:rPr>
        <w:rFonts w:hint="default"/>
      </w:rPr>
    </w:lvl>
    <w:lvl w:ilvl="4">
      <w:start w:val="1"/>
      <w:numFmt w:val="decimal"/>
      <w:pStyle w:val="Overskrift5"/>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7DAA3293"/>
    <w:multiLevelType w:val="hybridMultilevel"/>
    <w:tmpl w:val="DE12D694"/>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3" w15:restartNumberingAfterBreak="0">
    <w:nsid w:val="7E35012A"/>
    <w:multiLevelType w:val="hybridMultilevel"/>
    <w:tmpl w:val="C5386812"/>
    <w:lvl w:ilvl="0" w:tplc="1DD828A4">
      <w:start w:val="1"/>
      <w:numFmt w:val="decimal"/>
      <w:lvlText w:val="%1)"/>
      <w:lvlJc w:val="left"/>
      <w:pPr>
        <w:ind w:left="144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4" w15:restartNumberingAfterBreak="0">
    <w:nsid w:val="7F2F780E"/>
    <w:multiLevelType w:val="hybridMultilevel"/>
    <w:tmpl w:val="CFE4049C"/>
    <w:lvl w:ilvl="0" w:tplc="04060011">
      <w:start w:val="1"/>
      <w:numFmt w:val="decimal"/>
      <w:lvlText w:val="%1)"/>
      <w:lvlJc w:val="left"/>
      <w:pPr>
        <w:ind w:left="958" w:hanging="360"/>
      </w:pPr>
    </w:lvl>
    <w:lvl w:ilvl="1" w:tplc="FFFFFFFF" w:tentative="1">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num w:numId="1" w16cid:durableId="1352754634">
    <w:abstractNumId w:val="77"/>
  </w:num>
  <w:num w:numId="2" w16cid:durableId="565065653">
    <w:abstractNumId w:val="0"/>
  </w:num>
  <w:num w:numId="3" w16cid:durableId="58525230">
    <w:abstractNumId w:val="111"/>
  </w:num>
  <w:num w:numId="4" w16cid:durableId="42221160">
    <w:abstractNumId w:val="68"/>
  </w:num>
  <w:num w:numId="5" w16cid:durableId="1515723569">
    <w:abstractNumId w:val="52"/>
  </w:num>
  <w:num w:numId="6" w16cid:durableId="1134718521">
    <w:abstractNumId w:val="97"/>
  </w:num>
  <w:num w:numId="7" w16cid:durableId="1937253890">
    <w:abstractNumId w:val="63"/>
  </w:num>
  <w:num w:numId="8" w16cid:durableId="24717956">
    <w:abstractNumId w:val="103"/>
  </w:num>
  <w:num w:numId="9" w16cid:durableId="976498514">
    <w:abstractNumId w:val="10"/>
  </w:num>
  <w:num w:numId="10" w16cid:durableId="1222597227">
    <w:abstractNumId w:val="114"/>
  </w:num>
  <w:num w:numId="11" w16cid:durableId="1786122463">
    <w:abstractNumId w:val="74"/>
  </w:num>
  <w:num w:numId="12" w16cid:durableId="336731583">
    <w:abstractNumId w:val="109"/>
  </w:num>
  <w:num w:numId="13" w16cid:durableId="820316455">
    <w:abstractNumId w:val="105"/>
  </w:num>
  <w:num w:numId="14" w16cid:durableId="343358780">
    <w:abstractNumId w:val="59"/>
  </w:num>
  <w:num w:numId="15" w16cid:durableId="332342617">
    <w:abstractNumId w:val="66"/>
  </w:num>
  <w:num w:numId="16" w16cid:durableId="1691294801">
    <w:abstractNumId w:val="29"/>
  </w:num>
  <w:num w:numId="17" w16cid:durableId="137185490">
    <w:abstractNumId w:val="113"/>
  </w:num>
  <w:num w:numId="18" w16cid:durableId="87623365">
    <w:abstractNumId w:val="122"/>
  </w:num>
  <w:num w:numId="19" w16cid:durableId="1212114415">
    <w:abstractNumId w:val="6"/>
  </w:num>
  <w:num w:numId="20" w16cid:durableId="1508133130">
    <w:abstractNumId w:val="43"/>
  </w:num>
  <w:num w:numId="21" w16cid:durableId="139470241">
    <w:abstractNumId w:val="78"/>
  </w:num>
  <w:num w:numId="22" w16cid:durableId="1530289695">
    <w:abstractNumId w:val="101"/>
  </w:num>
  <w:num w:numId="23" w16cid:durableId="974069557">
    <w:abstractNumId w:val="86"/>
  </w:num>
  <w:num w:numId="24" w16cid:durableId="2038659756">
    <w:abstractNumId w:val="48"/>
  </w:num>
  <w:num w:numId="25" w16cid:durableId="1900509579">
    <w:abstractNumId w:val="28"/>
  </w:num>
  <w:num w:numId="26" w16cid:durableId="172301814">
    <w:abstractNumId w:val="71"/>
  </w:num>
  <w:num w:numId="27" w16cid:durableId="453333335">
    <w:abstractNumId w:val="75"/>
  </w:num>
  <w:num w:numId="28" w16cid:durableId="317419495">
    <w:abstractNumId w:val="56"/>
  </w:num>
  <w:num w:numId="29" w16cid:durableId="531503783">
    <w:abstractNumId w:val="15"/>
  </w:num>
  <w:num w:numId="30" w16cid:durableId="1507210857">
    <w:abstractNumId w:val="112"/>
  </w:num>
  <w:num w:numId="31" w16cid:durableId="376593227">
    <w:abstractNumId w:val="36"/>
  </w:num>
  <w:num w:numId="32" w16cid:durableId="31736007">
    <w:abstractNumId w:val="107"/>
  </w:num>
  <w:num w:numId="33" w16cid:durableId="206839008">
    <w:abstractNumId w:val="17"/>
  </w:num>
  <w:num w:numId="34" w16cid:durableId="640310640">
    <w:abstractNumId w:val="18"/>
  </w:num>
  <w:num w:numId="35" w16cid:durableId="1010524623">
    <w:abstractNumId w:val="3"/>
  </w:num>
  <w:num w:numId="36" w16cid:durableId="2121760057">
    <w:abstractNumId w:val="72"/>
  </w:num>
  <w:num w:numId="37" w16cid:durableId="1667974814">
    <w:abstractNumId w:val="93"/>
  </w:num>
  <w:num w:numId="38" w16cid:durableId="30305901">
    <w:abstractNumId w:val="54"/>
  </w:num>
  <w:num w:numId="39" w16cid:durableId="1868372178">
    <w:abstractNumId w:val="110"/>
  </w:num>
  <w:num w:numId="40" w16cid:durableId="2125465979">
    <w:abstractNumId w:val="104"/>
  </w:num>
  <w:num w:numId="41" w16cid:durableId="1210994896">
    <w:abstractNumId w:val="123"/>
  </w:num>
  <w:num w:numId="42" w16cid:durableId="1472208938">
    <w:abstractNumId w:val="27"/>
  </w:num>
  <w:num w:numId="43" w16cid:durableId="1947155477">
    <w:abstractNumId w:val="65"/>
  </w:num>
  <w:num w:numId="44" w16cid:durableId="1953589007">
    <w:abstractNumId w:val="5"/>
  </w:num>
  <w:num w:numId="45" w16cid:durableId="695274052">
    <w:abstractNumId w:val="1"/>
  </w:num>
  <w:num w:numId="46" w16cid:durableId="886064880">
    <w:abstractNumId w:val="14"/>
  </w:num>
  <w:num w:numId="47" w16cid:durableId="1868328722">
    <w:abstractNumId w:val="57"/>
  </w:num>
  <w:num w:numId="48" w16cid:durableId="1129857274">
    <w:abstractNumId w:val="33"/>
  </w:num>
  <w:num w:numId="49" w16cid:durableId="710689529">
    <w:abstractNumId w:val="121"/>
  </w:num>
  <w:num w:numId="50" w16cid:durableId="819149731">
    <w:abstractNumId w:val="99"/>
  </w:num>
  <w:num w:numId="51" w16cid:durableId="1784810166">
    <w:abstractNumId w:val="39"/>
  </w:num>
  <w:num w:numId="52" w16cid:durableId="973363178">
    <w:abstractNumId w:val="119"/>
  </w:num>
  <w:num w:numId="53" w16cid:durableId="1442148138">
    <w:abstractNumId w:val="44"/>
  </w:num>
  <w:num w:numId="54" w16cid:durableId="1980187197">
    <w:abstractNumId w:val="50"/>
  </w:num>
  <w:num w:numId="55" w16cid:durableId="1735425930">
    <w:abstractNumId w:val="35"/>
  </w:num>
  <w:num w:numId="56" w16cid:durableId="699087745">
    <w:abstractNumId w:val="19"/>
  </w:num>
  <w:num w:numId="57" w16cid:durableId="1774133054">
    <w:abstractNumId w:val="108"/>
  </w:num>
  <w:num w:numId="58" w16cid:durableId="114099759">
    <w:abstractNumId w:val="89"/>
  </w:num>
  <w:num w:numId="59" w16cid:durableId="596906536">
    <w:abstractNumId w:val="46"/>
  </w:num>
  <w:num w:numId="60" w16cid:durableId="316804770">
    <w:abstractNumId w:val="26"/>
  </w:num>
  <w:num w:numId="61" w16cid:durableId="1585141851">
    <w:abstractNumId w:val="95"/>
  </w:num>
  <w:num w:numId="62" w16cid:durableId="1365329739">
    <w:abstractNumId w:val="106"/>
  </w:num>
  <w:num w:numId="63" w16cid:durableId="783109458">
    <w:abstractNumId w:val="81"/>
  </w:num>
  <w:num w:numId="64" w16cid:durableId="765539466">
    <w:abstractNumId w:val="4"/>
  </w:num>
  <w:num w:numId="65" w16cid:durableId="558782950">
    <w:abstractNumId w:val="55"/>
  </w:num>
  <w:num w:numId="66" w16cid:durableId="2111048947">
    <w:abstractNumId w:val="124"/>
  </w:num>
  <w:num w:numId="67" w16cid:durableId="827290222">
    <w:abstractNumId w:val="2"/>
  </w:num>
  <w:num w:numId="68" w16cid:durableId="735011518">
    <w:abstractNumId w:val="87"/>
  </w:num>
  <w:num w:numId="69" w16cid:durableId="1459294309">
    <w:abstractNumId w:val="51"/>
  </w:num>
  <w:num w:numId="70" w16cid:durableId="563488697">
    <w:abstractNumId w:val="49"/>
  </w:num>
  <w:num w:numId="71" w16cid:durableId="1369136990">
    <w:abstractNumId w:val="90"/>
  </w:num>
  <w:num w:numId="72" w16cid:durableId="1265189388">
    <w:abstractNumId w:val="76"/>
  </w:num>
  <w:num w:numId="73" w16cid:durableId="1043944421">
    <w:abstractNumId w:val="23"/>
  </w:num>
  <w:num w:numId="74" w16cid:durableId="1956860294">
    <w:abstractNumId w:val="31"/>
  </w:num>
  <w:num w:numId="75" w16cid:durableId="1397389684">
    <w:abstractNumId w:val="38"/>
  </w:num>
  <w:num w:numId="76" w16cid:durableId="1555921645">
    <w:abstractNumId w:val="8"/>
  </w:num>
  <w:num w:numId="77" w16cid:durableId="952249760">
    <w:abstractNumId w:val="12"/>
  </w:num>
  <w:num w:numId="78" w16cid:durableId="1010911765">
    <w:abstractNumId w:val="13"/>
  </w:num>
  <w:num w:numId="79" w16cid:durableId="1586105715">
    <w:abstractNumId w:val="92"/>
  </w:num>
  <w:num w:numId="80" w16cid:durableId="773357022">
    <w:abstractNumId w:val="45"/>
  </w:num>
  <w:num w:numId="81" w16cid:durableId="1778452850">
    <w:abstractNumId w:val="40"/>
  </w:num>
  <w:num w:numId="82" w16cid:durableId="775907926">
    <w:abstractNumId w:val="83"/>
  </w:num>
  <w:num w:numId="83" w16cid:durableId="600526686">
    <w:abstractNumId w:val="61"/>
  </w:num>
  <w:num w:numId="84" w16cid:durableId="1760638555">
    <w:abstractNumId w:val="16"/>
  </w:num>
  <w:num w:numId="85" w16cid:durableId="1200557491">
    <w:abstractNumId w:val="58"/>
  </w:num>
  <w:num w:numId="86" w16cid:durableId="432437928">
    <w:abstractNumId w:val="70"/>
  </w:num>
  <w:num w:numId="87" w16cid:durableId="813765263">
    <w:abstractNumId w:val="20"/>
  </w:num>
  <w:num w:numId="88" w16cid:durableId="1618758348">
    <w:abstractNumId w:val="117"/>
  </w:num>
  <w:num w:numId="89" w16cid:durableId="1967271451">
    <w:abstractNumId w:val="7"/>
  </w:num>
  <w:num w:numId="90" w16cid:durableId="898635040">
    <w:abstractNumId w:val="21"/>
  </w:num>
  <w:num w:numId="91" w16cid:durableId="1470636200">
    <w:abstractNumId w:val="118"/>
  </w:num>
  <w:num w:numId="92" w16cid:durableId="721248755">
    <w:abstractNumId w:val="91"/>
  </w:num>
  <w:num w:numId="93" w16cid:durableId="1458913576">
    <w:abstractNumId w:val="62"/>
  </w:num>
  <w:num w:numId="94" w16cid:durableId="1639921294">
    <w:abstractNumId w:val="41"/>
  </w:num>
  <w:num w:numId="95" w16cid:durableId="1060832589">
    <w:abstractNumId w:val="9"/>
  </w:num>
  <w:num w:numId="96" w16cid:durableId="1964922069">
    <w:abstractNumId w:val="47"/>
  </w:num>
  <w:num w:numId="97" w16cid:durableId="247274094">
    <w:abstractNumId w:val="96"/>
  </w:num>
  <w:num w:numId="98" w16cid:durableId="200436058">
    <w:abstractNumId w:val="115"/>
  </w:num>
  <w:num w:numId="99" w16cid:durableId="804782834">
    <w:abstractNumId w:val="64"/>
  </w:num>
  <w:num w:numId="100" w16cid:durableId="846560695">
    <w:abstractNumId w:val="32"/>
  </w:num>
  <w:num w:numId="101" w16cid:durableId="2107655923">
    <w:abstractNumId w:val="102"/>
  </w:num>
  <w:num w:numId="102" w16cid:durableId="898512581">
    <w:abstractNumId w:val="22"/>
  </w:num>
  <w:num w:numId="103" w16cid:durableId="819462454">
    <w:abstractNumId w:val="80"/>
  </w:num>
  <w:num w:numId="104" w16cid:durableId="1432239269">
    <w:abstractNumId w:val="60"/>
  </w:num>
  <w:num w:numId="105" w16cid:durableId="534739100">
    <w:abstractNumId w:val="82"/>
  </w:num>
  <w:num w:numId="106" w16cid:durableId="302657950">
    <w:abstractNumId w:val="30"/>
  </w:num>
  <w:num w:numId="107" w16cid:durableId="2064598807">
    <w:abstractNumId w:val="120"/>
  </w:num>
  <w:num w:numId="108" w16cid:durableId="1409421126">
    <w:abstractNumId w:val="84"/>
  </w:num>
  <w:num w:numId="109" w16cid:durableId="1881743862">
    <w:abstractNumId w:val="79"/>
  </w:num>
  <w:num w:numId="110" w16cid:durableId="1438258480">
    <w:abstractNumId w:val="67"/>
  </w:num>
  <w:num w:numId="111" w16cid:durableId="1847331057">
    <w:abstractNumId w:val="73"/>
  </w:num>
  <w:num w:numId="112" w16cid:durableId="44181436">
    <w:abstractNumId w:val="94"/>
  </w:num>
  <w:num w:numId="113" w16cid:durableId="1650666162">
    <w:abstractNumId w:val="34"/>
  </w:num>
  <w:num w:numId="114" w16cid:durableId="942423524">
    <w:abstractNumId w:val="37"/>
  </w:num>
  <w:num w:numId="115" w16cid:durableId="1614634786">
    <w:abstractNumId w:val="116"/>
  </w:num>
  <w:num w:numId="116" w16cid:durableId="408119490">
    <w:abstractNumId w:val="53"/>
  </w:num>
  <w:num w:numId="117" w16cid:durableId="1389188152">
    <w:abstractNumId w:val="24"/>
  </w:num>
  <w:num w:numId="118" w16cid:durableId="1034618529">
    <w:abstractNumId w:val="11"/>
  </w:num>
  <w:num w:numId="119" w16cid:durableId="1839225561">
    <w:abstractNumId w:val="85"/>
  </w:num>
  <w:num w:numId="120" w16cid:durableId="2065792302">
    <w:abstractNumId w:val="42"/>
  </w:num>
  <w:num w:numId="121" w16cid:durableId="1032457327">
    <w:abstractNumId w:val="98"/>
  </w:num>
  <w:num w:numId="122" w16cid:durableId="1064108617">
    <w:abstractNumId w:val="69"/>
  </w:num>
  <w:num w:numId="123" w16cid:durableId="1807695069">
    <w:abstractNumId w:val="100"/>
  </w:num>
  <w:num w:numId="124" w16cid:durableId="1288313178">
    <w:abstractNumId w:val="25"/>
  </w:num>
  <w:num w:numId="125" w16cid:durableId="828519504">
    <w:abstractNumId w:val="88"/>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340"/>
  <w:autoHyphenation/>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56"/>
    <w:rsid w:val="00000995"/>
    <w:rsid w:val="00000E70"/>
    <w:rsid w:val="0000180D"/>
    <w:rsid w:val="00001AC7"/>
    <w:rsid w:val="00001BE7"/>
    <w:rsid w:val="00001E45"/>
    <w:rsid w:val="00001E4A"/>
    <w:rsid w:val="00002013"/>
    <w:rsid w:val="0000230F"/>
    <w:rsid w:val="000029DA"/>
    <w:rsid w:val="00003461"/>
    <w:rsid w:val="000035C0"/>
    <w:rsid w:val="00003998"/>
    <w:rsid w:val="00003A1B"/>
    <w:rsid w:val="00003A42"/>
    <w:rsid w:val="000044C4"/>
    <w:rsid w:val="00004A2C"/>
    <w:rsid w:val="00004B44"/>
    <w:rsid w:val="000060C3"/>
    <w:rsid w:val="00006A1E"/>
    <w:rsid w:val="00007032"/>
    <w:rsid w:val="000071E9"/>
    <w:rsid w:val="000078B1"/>
    <w:rsid w:val="00007FAC"/>
    <w:rsid w:val="00010400"/>
    <w:rsid w:val="00010A13"/>
    <w:rsid w:val="00010ED5"/>
    <w:rsid w:val="000111DB"/>
    <w:rsid w:val="00012C88"/>
    <w:rsid w:val="00013DE2"/>
    <w:rsid w:val="00013DEE"/>
    <w:rsid w:val="0001619E"/>
    <w:rsid w:val="000163D4"/>
    <w:rsid w:val="00016C01"/>
    <w:rsid w:val="00016D96"/>
    <w:rsid w:val="00017296"/>
    <w:rsid w:val="00017525"/>
    <w:rsid w:val="00017D45"/>
    <w:rsid w:val="00017DF3"/>
    <w:rsid w:val="00020848"/>
    <w:rsid w:val="000223DE"/>
    <w:rsid w:val="000228C9"/>
    <w:rsid w:val="00022ECE"/>
    <w:rsid w:val="00023130"/>
    <w:rsid w:val="000232B4"/>
    <w:rsid w:val="000236D4"/>
    <w:rsid w:val="00023D89"/>
    <w:rsid w:val="00024019"/>
    <w:rsid w:val="0002403E"/>
    <w:rsid w:val="000240E0"/>
    <w:rsid w:val="0002483C"/>
    <w:rsid w:val="00024D3E"/>
    <w:rsid w:val="00024E37"/>
    <w:rsid w:val="000253E5"/>
    <w:rsid w:val="00025514"/>
    <w:rsid w:val="00025E07"/>
    <w:rsid w:val="00026080"/>
    <w:rsid w:val="00026841"/>
    <w:rsid w:val="00026F02"/>
    <w:rsid w:val="000270B4"/>
    <w:rsid w:val="00027236"/>
    <w:rsid w:val="00027849"/>
    <w:rsid w:val="00027E6C"/>
    <w:rsid w:val="00030F6C"/>
    <w:rsid w:val="000311BC"/>
    <w:rsid w:val="000316F2"/>
    <w:rsid w:val="00031F13"/>
    <w:rsid w:val="00032C17"/>
    <w:rsid w:val="000331D0"/>
    <w:rsid w:val="00033703"/>
    <w:rsid w:val="00033788"/>
    <w:rsid w:val="000346AB"/>
    <w:rsid w:val="000348AD"/>
    <w:rsid w:val="0003570A"/>
    <w:rsid w:val="0003627C"/>
    <w:rsid w:val="00036C85"/>
    <w:rsid w:val="000379A5"/>
    <w:rsid w:val="000401A0"/>
    <w:rsid w:val="00040288"/>
    <w:rsid w:val="00040DD8"/>
    <w:rsid w:val="00041447"/>
    <w:rsid w:val="00041F94"/>
    <w:rsid w:val="000420AF"/>
    <w:rsid w:val="000425A9"/>
    <w:rsid w:val="00042A01"/>
    <w:rsid w:val="00042C24"/>
    <w:rsid w:val="00043525"/>
    <w:rsid w:val="000443ED"/>
    <w:rsid w:val="00044709"/>
    <w:rsid w:val="000448F9"/>
    <w:rsid w:val="00044BBF"/>
    <w:rsid w:val="000462B8"/>
    <w:rsid w:val="00047476"/>
    <w:rsid w:val="00050081"/>
    <w:rsid w:val="00050FA3"/>
    <w:rsid w:val="00051A2D"/>
    <w:rsid w:val="00051C99"/>
    <w:rsid w:val="00051F0B"/>
    <w:rsid w:val="000520D9"/>
    <w:rsid w:val="0005232C"/>
    <w:rsid w:val="00052852"/>
    <w:rsid w:val="000528E8"/>
    <w:rsid w:val="0005351B"/>
    <w:rsid w:val="000537C9"/>
    <w:rsid w:val="0005480A"/>
    <w:rsid w:val="00054F7B"/>
    <w:rsid w:val="00055950"/>
    <w:rsid w:val="00055B9A"/>
    <w:rsid w:val="00056CEB"/>
    <w:rsid w:val="00057215"/>
    <w:rsid w:val="00057456"/>
    <w:rsid w:val="00057C19"/>
    <w:rsid w:val="00060A28"/>
    <w:rsid w:val="00060ABB"/>
    <w:rsid w:val="00061A9E"/>
    <w:rsid w:val="00061FAD"/>
    <w:rsid w:val="000624EC"/>
    <w:rsid w:val="00062D01"/>
    <w:rsid w:val="000638CA"/>
    <w:rsid w:val="00063BCB"/>
    <w:rsid w:val="00063F13"/>
    <w:rsid w:val="00064150"/>
    <w:rsid w:val="00064755"/>
    <w:rsid w:val="00065146"/>
    <w:rsid w:val="0006517B"/>
    <w:rsid w:val="00065515"/>
    <w:rsid w:val="00065861"/>
    <w:rsid w:val="00065BBB"/>
    <w:rsid w:val="000661A1"/>
    <w:rsid w:val="0006670C"/>
    <w:rsid w:val="00066F16"/>
    <w:rsid w:val="00067011"/>
    <w:rsid w:val="0007042F"/>
    <w:rsid w:val="000705E7"/>
    <w:rsid w:val="00070BAF"/>
    <w:rsid w:val="00071187"/>
    <w:rsid w:val="0007131A"/>
    <w:rsid w:val="0007131C"/>
    <w:rsid w:val="0007290F"/>
    <w:rsid w:val="00072AFC"/>
    <w:rsid w:val="00073653"/>
    <w:rsid w:val="000745B2"/>
    <w:rsid w:val="00074750"/>
    <w:rsid w:val="00076A29"/>
    <w:rsid w:val="00076A2D"/>
    <w:rsid w:val="00077182"/>
    <w:rsid w:val="00077738"/>
    <w:rsid w:val="000779D6"/>
    <w:rsid w:val="00077CB1"/>
    <w:rsid w:val="00080681"/>
    <w:rsid w:val="000806D4"/>
    <w:rsid w:val="000808CE"/>
    <w:rsid w:val="000809B1"/>
    <w:rsid w:val="00081042"/>
    <w:rsid w:val="00081921"/>
    <w:rsid w:val="000819BD"/>
    <w:rsid w:val="00081D80"/>
    <w:rsid w:val="0008318E"/>
    <w:rsid w:val="0008437D"/>
    <w:rsid w:val="00084FC7"/>
    <w:rsid w:val="000858BB"/>
    <w:rsid w:val="00085DC3"/>
    <w:rsid w:val="0008671B"/>
    <w:rsid w:val="00087C10"/>
    <w:rsid w:val="000911ED"/>
    <w:rsid w:val="000914ED"/>
    <w:rsid w:val="00091A0E"/>
    <w:rsid w:val="00091B06"/>
    <w:rsid w:val="00092308"/>
    <w:rsid w:val="0009242E"/>
    <w:rsid w:val="00092460"/>
    <w:rsid w:val="00092C46"/>
    <w:rsid w:val="00093CD9"/>
    <w:rsid w:val="00094262"/>
    <w:rsid w:val="00094748"/>
    <w:rsid w:val="0009479C"/>
    <w:rsid w:val="00094905"/>
    <w:rsid w:val="00094A1C"/>
    <w:rsid w:val="00094DC6"/>
    <w:rsid w:val="00094FE6"/>
    <w:rsid w:val="00096BEA"/>
    <w:rsid w:val="000A0285"/>
    <w:rsid w:val="000A0420"/>
    <w:rsid w:val="000A05F5"/>
    <w:rsid w:val="000A0E40"/>
    <w:rsid w:val="000A0EBD"/>
    <w:rsid w:val="000A16E5"/>
    <w:rsid w:val="000A1DA6"/>
    <w:rsid w:val="000A2510"/>
    <w:rsid w:val="000A2763"/>
    <w:rsid w:val="000A36C6"/>
    <w:rsid w:val="000A3722"/>
    <w:rsid w:val="000A3FFE"/>
    <w:rsid w:val="000A417E"/>
    <w:rsid w:val="000A4AA4"/>
    <w:rsid w:val="000A4E9F"/>
    <w:rsid w:val="000A549D"/>
    <w:rsid w:val="000A62E9"/>
    <w:rsid w:val="000A6F8F"/>
    <w:rsid w:val="000A716C"/>
    <w:rsid w:val="000B120A"/>
    <w:rsid w:val="000B1570"/>
    <w:rsid w:val="000B1AC2"/>
    <w:rsid w:val="000B220B"/>
    <w:rsid w:val="000B2700"/>
    <w:rsid w:val="000B4907"/>
    <w:rsid w:val="000B4AD1"/>
    <w:rsid w:val="000B4C17"/>
    <w:rsid w:val="000B5607"/>
    <w:rsid w:val="000B60B4"/>
    <w:rsid w:val="000B633E"/>
    <w:rsid w:val="000B63CB"/>
    <w:rsid w:val="000B7531"/>
    <w:rsid w:val="000B7EE6"/>
    <w:rsid w:val="000C04BB"/>
    <w:rsid w:val="000C075E"/>
    <w:rsid w:val="000C09AD"/>
    <w:rsid w:val="000C0DC7"/>
    <w:rsid w:val="000C12C1"/>
    <w:rsid w:val="000C1389"/>
    <w:rsid w:val="000C1E20"/>
    <w:rsid w:val="000C1E7C"/>
    <w:rsid w:val="000C2245"/>
    <w:rsid w:val="000C231E"/>
    <w:rsid w:val="000C23F9"/>
    <w:rsid w:val="000C42C8"/>
    <w:rsid w:val="000C4311"/>
    <w:rsid w:val="000C52E2"/>
    <w:rsid w:val="000C590A"/>
    <w:rsid w:val="000C6A5A"/>
    <w:rsid w:val="000C7906"/>
    <w:rsid w:val="000D02CC"/>
    <w:rsid w:val="000D0D83"/>
    <w:rsid w:val="000D1228"/>
    <w:rsid w:val="000D164A"/>
    <w:rsid w:val="000D176B"/>
    <w:rsid w:val="000D1C3A"/>
    <w:rsid w:val="000D2DCB"/>
    <w:rsid w:val="000D41A6"/>
    <w:rsid w:val="000D4204"/>
    <w:rsid w:val="000D45A0"/>
    <w:rsid w:val="000D509E"/>
    <w:rsid w:val="000D6A6E"/>
    <w:rsid w:val="000D7016"/>
    <w:rsid w:val="000D70C3"/>
    <w:rsid w:val="000D70D8"/>
    <w:rsid w:val="000D74EF"/>
    <w:rsid w:val="000D7D12"/>
    <w:rsid w:val="000E0175"/>
    <w:rsid w:val="000E03BA"/>
    <w:rsid w:val="000E043A"/>
    <w:rsid w:val="000E0882"/>
    <w:rsid w:val="000E0D4A"/>
    <w:rsid w:val="000E0DF1"/>
    <w:rsid w:val="000E103C"/>
    <w:rsid w:val="000E12D2"/>
    <w:rsid w:val="000E15D3"/>
    <w:rsid w:val="000E16CB"/>
    <w:rsid w:val="000E1FCD"/>
    <w:rsid w:val="000E2634"/>
    <w:rsid w:val="000E391E"/>
    <w:rsid w:val="000E4FC7"/>
    <w:rsid w:val="000E5287"/>
    <w:rsid w:val="000E58BF"/>
    <w:rsid w:val="000E58F5"/>
    <w:rsid w:val="000E5A8D"/>
    <w:rsid w:val="000E645A"/>
    <w:rsid w:val="000E6557"/>
    <w:rsid w:val="000E6D80"/>
    <w:rsid w:val="000E7D9B"/>
    <w:rsid w:val="000E7F2C"/>
    <w:rsid w:val="000F02BA"/>
    <w:rsid w:val="000F07CD"/>
    <w:rsid w:val="000F0BE3"/>
    <w:rsid w:val="000F11E3"/>
    <w:rsid w:val="000F157C"/>
    <w:rsid w:val="000F1DE7"/>
    <w:rsid w:val="000F1E39"/>
    <w:rsid w:val="000F2090"/>
    <w:rsid w:val="000F2EBD"/>
    <w:rsid w:val="000F3059"/>
    <w:rsid w:val="000F30C5"/>
    <w:rsid w:val="000F33BD"/>
    <w:rsid w:val="000F33FB"/>
    <w:rsid w:val="000F3975"/>
    <w:rsid w:val="000F4524"/>
    <w:rsid w:val="000F4687"/>
    <w:rsid w:val="000F48CA"/>
    <w:rsid w:val="000F4CEC"/>
    <w:rsid w:val="000F53DB"/>
    <w:rsid w:val="000F5B70"/>
    <w:rsid w:val="000F5FD0"/>
    <w:rsid w:val="000F6468"/>
    <w:rsid w:val="000F6497"/>
    <w:rsid w:val="000F6C23"/>
    <w:rsid w:val="000F6E2E"/>
    <w:rsid w:val="000F7470"/>
    <w:rsid w:val="000F7549"/>
    <w:rsid w:val="000F7C95"/>
    <w:rsid w:val="00100301"/>
    <w:rsid w:val="0010099C"/>
    <w:rsid w:val="00100CC7"/>
    <w:rsid w:val="001012DF"/>
    <w:rsid w:val="00102255"/>
    <w:rsid w:val="001034E1"/>
    <w:rsid w:val="001037D5"/>
    <w:rsid w:val="001044D9"/>
    <w:rsid w:val="00105057"/>
    <w:rsid w:val="0010541F"/>
    <w:rsid w:val="001054D8"/>
    <w:rsid w:val="00105D16"/>
    <w:rsid w:val="001066B8"/>
    <w:rsid w:val="00106999"/>
    <w:rsid w:val="00110FEA"/>
    <w:rsid w:val="0011152E"/>
    <w:rsid w:val="00111B25"/>
    <w:rsid w:val="00111B84"/>
    <w:rsid w:val="00112E42"/>
    <w:rsid w:val="00113877"/>
    <w:rsid w:val="00113E46"/>
    <w:rsid w:val="0011416C"/>
    <w:rsid w:val="00114854"/>
    <w:rsid w:val="001148AB"/>
    <w:rsid w:val="00114942"/>
    <w:rsid w:val="00115EE5"/>
    <w:rsid w:val="00116034"/>
    <w:rsid w:val="00117619"/>
    <w:rsid w:val="00117BCC"/>
    <w:rsid w:val="00117D9B"/>
    <w:rsid w:val="00121083"/>
    <w:rsid w:val="0012116D"/>
    <w:rsid w:val="001217D4"/>
    <w:rsid w:val="0012225A"/>
    <w:rsid w:val="001222B8"/>
    <w:rsid w:val="00122D4E"/>
    <w:rsid w:val="00122E01"/>
    <w:rsid w:val="00123544"/>
    <w:rsid w:val="001235E4"/>
    <w:rsid w:val="00123700"/>
    <w:rsid w:val="0012396B"/>
    <w:rsid w:val="0012468E"/>
    <w:rsid w:val="00124F87"/>
    <w:rsid w:val="0012553B"/>
    <w:rsid w:val="001258FE"/>
    <w:rsid w:val="00130296"/>
    <w:rsid w:val="001303DD"/>
    <w:rsid w:val="001313C9"/>
    <w:rsid w:val="00132278"/>
    <w:rsid w:val="0013227A"/>
    <w:rsid w:val="0013238A"/>
    <w:rsid w:val="001326E6"/>
    <w:rsid w:val="00134172"/>
    <w:rsid w:val="00134213"/>
    <w:rsid w:val="001344E6"/>
    <w:rsid w:val="001355E4"/>
    <w:rsid w:val="00135C31"/>
    <w:rsid w:val="001362F6"/>
    <w:rsid w:val="0013679B"/>
    <w:rsid w:val="00136862"/>
    <w:rsid w:val="0013727D"/>
    <w:rsid w:val="00140616"/>
    <w:rsid w:val="00140774"/>
    <w:rsid w:val="00141B8D"/>
    <w:rsid w:val="001429E2"/>
    <w:rsid w:val="001429EE"/>
    <w:rsid w:val="00142D27"/>
    <w:rsid w:val="00142D3F"/>
    <w:rsid w:val="00142D42"/>
    <w:rsid w:val="001430EB"/>
    <w:rsid w:val="001449E9"/>
    <w:rsid w:val="00144BC1"/>
    <w:rsid w:val="00145083"/>
    <w:rsid w:val="00145282"/>
    <w:rsid w:val="00145BB7"/>
    <w:rsid w:val="00145DD9"/>
    <w:rsid w:val="00145F99"/>
    <w:rsid w:val="00146B65"/>
    <w:rsid w:val="00147F38"/>
    <w:rsid w:val="00150982"/>
    <w:rsid w:val="00150F22"/>
    <w:rsid w:val="00151013"/>
    <w:rsid w:val="00151347"/>
    <w:rsid w:val="00152093"/>
    <w:rsid w:val="001522B7"/>
    <w:rsid w:val="00152835"/>
    <w:rsid w:val="00152C90"/>
    <w:rsid w:val="00152F4A"/>
    <w:rsid w:val="0015305B"/>
    <w:rsid w:val="0015315D"/>
    <w:rsid w:val="00153537"/>
    <w:rsid w:val="0015379A"/>
    <w:rsid w:val="00153DD6"/>
    <w:rsid w:val="00154224"/>
    <w:rsid w:val="001543C5"/>
    <w:rsid w:val="001544D3"/>
    <w:rsid w:val="00155046"/>
    <w:rsid w:val="001562A0"/>
    <w:rsid w:val="00156548"/>
    <w:rsid w:val="00156D8D"/>
    <w:rsid w:val="00156E0A"/>
    <w:rsid w:val="001579AB"/>
    <w:rsid w:val="00157AB9"/>
    <w:rsid w:val="00157C65"/>
    <w:rsid w:val="001614FE"/>
    <w:rsid w:val="001616CF"/>
    <w:rsid w:val="00161898"/>
    <w:rsid w:val="00161EDA"/>
    <w:rsid w:val="0016298A"/>
    <w:rsid w:val="001630EB"/>
    <w:rsid w:val="00163610"/>
    <w:rsid w:val="00164050"/>
    <w:rsid w:val="00164604"/>
    <w:rsid w:val="00164650"/>
    <w:rsid w:val="001647CA"/>
    <w:rsid w:val="001648A8"/>
    <w:rsid w:val="001648DA"/>
    <w:rsid w:val="00164DCA"/>
    <w:rsid w:val="0016636C"/>
    <w:rsid w:val="00167851"/>
    <w:rsid w:val="00167E47"/>
    <w:rsid w:val="00170E30"/>
    <w:rsid w:val="001717E1"/>
    <w:rsid w:val="00171ACE"/>
    <w:rsid w:val="00171B8A"/>
    <w:rsid w:val="001722E3"/>
    <w:rsid w:val="001727F1"/>
    <w:rsid w:val="00172A5E"/>
    <w:rsid w:val="00172BA4"/>
    <w:rsid w:val="001731B3"/>
    <w:rsid w:val="0017332B"/>
    <w:rsid w:val="001738C6"/>
    <w:rsid w:val="00173AD4"/>
    <w:rsid w:val="00173C0B"/>
    <w:rsid w:val="001752A2"/>
    <w:rsid w:val="00175ABB"/>
    <w:rsid w:val="00175C65"/>
    <w:rsid w:val="00176156"/>
    <w:rsid w:val="00176210"/>
    <w:rsid w:val="0017649E"/>
    <w:rsid w:val="001809D7"/>
    <w:rsid w:val="00180BB8"/>
    <w:rsid w:val="00180FDF"/>
    <w:rsid w:val="00181195"/>
    <w:rsid w:val="001819DC"/>
    <w:rsid w:val="00181AE0"/>
    <w:rsid w:val="001825A4"/>
    <w:rsid w:val="0018266E"/>
    <w:rsid w:val="00182794"/>
    <w:rsid w:val="0018325B"/>
    <w:rsid w:val="00183468"/>
    <w:rsid w:val="0018349A"/>
    <w:rsid w:val="001837A6"/>
    <w:rsid w:val="00183A40"/>
    <w:rsid w:val="00183F18"/>
    <w:rsid w:val="00184387"/>
    <w:rsid w:val="00184411"/>
    <w:rsid w:val="00186348"/>
    <w:rsid w:val="0018635E"/>
    <w:rsid w:val="0018667D"/>
    <w:rsid w:val="00186D81"/>
    <w:rsid w:val="00187AF2"/>
    <w:rsid w:val="001905B7"/>
    <w:rsid w:val="00190A7A"/>
    <w:rsid w:val="00190B8C"/>
    <w:rsid w:val="0019112C"/>
    <w:rsid w:val="00191554"/>
    <w:rsid w:val="00191FF5"/>
    <w:rsid w:val="001926AB"/>
    <w:rsid w:val="00193A5F"/>
    <w:rsid w:val="001940F7"/>
    <w:rsid w:val="00194306"/>
    <w:rsid w:val="00194BD0"/>
    <w:rsid w:val="001952B2"/>
    <w:rsid w:val="001955B7"/>
    <w:rsid w:val="00195A34"/>
    <w:rsid w:val="001961AE"/>
    <w:rsid w:val="00197660"/>
    <w:rsid w:val="00197B9E"/>
    <w:rsid w:val="00197EC2"/>
    <w:rsid w:val="001A00DB"/>
    <w:rsid w:val="001A0753"/>
    <w:rsid w:val="001A2116"/>
    <w:rsid w:val="001A257A"/>
    <w:rsid w:val="001A2696"/>
    <w:rsid w:val="001A2E8A"/>
    <w:rsid w:val="001A2EF5"/>
    <w:rsid w:val="001A2F09"/>
    <w:rsid w:val="001A30CE"/>
    <w:rsid w:val="001A336C"/>
    <w:rsid w:val="001A3E92"/>
    <w:rsid w:val="001A4546"/>
    <w:rsid w:val="001A4F80"/>
    <w:rsid w:val="001A545D"/>
    <w:rsid w:val="001A5922"/>
    <w:rsid w:val="001A65EE"/>
    <w:rsid w:val="001A67B5"/>
    <w:rsid w:val="001A6B85"/>
    <w:rsid w:val="001A7862"/>
    <w:rsid w:val="001B1F99"/>
    <w:rsid w:val="001B2124"/>
    <w:rsid w:val="001B2B79"/>
    <w:rsid w:val="001B2F2B"/>
    <w:rsid w:val="001B35F7"/>
    <w:rsid w:val="001B3A31"/>
    <w:rsid w:val="001B405C"/>
    <w:rsid w:val="001B4780"/>
    <w:rsid w:val="001B494A"/>
    <w:rsid w:val="001B4EC5"/>
    <w:rsid w:val="001B50EE"/>
    <w:rsid w:val="001B5217"/>
    <w:rsid w:val="001B5CA1"/>
    <w:rsid w:val="001B6322"/>
    <w:rsid w:val="001B6866"/>
    <w:rsid w:val="001B6FDC"/>
    <w:rsid w:val="001B6FEA"/>
    <w:rsid w:val="001B7690"/>
    <w:rsid w:val="001B79DF"/>
    <w:rsid w:val="001C0050"/>
    <w:rsid w:val="001C07A5"/>
    <w:rsid w:val="001C07C8"/>
    <w:rsid w:val="001C1885"/>
    <w:rsid w:val="001C197D"/>
    <w:rsid w:val="001C1FBA"/>
    <w:rsid w:val="001C237C"/>
    <w:rsid w:val="001C2B53"/>
    <w:rsid w:val="001C2CEE"/>
    <w:rsid w:val="001C3519"/>
    <w:rsid w:val="001C3939"/>
    <w:rsid w:val="001C3B83"/>
    <w:rsid w:val="001C4E85"/>
    <w:rsid w:val="001C553F"/>
    <w:rsid w:val="001C56EE"/>
    <w:rsid w:val="001C58D1"/>
    <w:rsid w:val="001C6653"/>
    <w:rsid w:val="001C7736"/>
    <w:rsid w:val="001C7943"/>
    <w:rsid w:val="001D088C"/>
    <w:rsid w:val="001D0A32"/>
    <w:rsid w:val="001D0D01"/>
    <w:rsid w:val="001D0EAC"/>
    <w:rsid w:val="001D192F"/>
    <w:rsid w:val="001D1AF2"/>
    <w:rsid w:val="001D1F70"/>
    <w:rsid w:val="001D235E"/>
    <w:rsid w:val="001D2EFD"/>
    <w:rsid w:val="001D3629"/>
    <w:rsid w:val="001D3F21"/>
    <w:rsid w:val="001D44F0"/>
    <w:rsid w:val="001D4824"/>
    <w:rsid w:val="001D4F45"/>
    <w:rsid w:val="001D5982"/>
    <w:rsid w:val="001D6165"/>
    <w:rsid w:val="001D67DB"/>
    <w:rsid w:val="001D6EE1"/>
    <w:rsid w:val="001D6EF3"/>
    <w:rsid w:val="001D7672"/>
    <w:rsid w:val="001D76D5"/>
    <w:rsid w:val="001D788E"/>
    <w:rsid w:val="001D7F1D"/>
    <w:rsid w:val="001E05E6"/>
    <w:rsid w:val="001E0649"/>
    <w:rsid w:val="001E0812"/>
    <w:rsid w:val="001E0F09"/>
    <w:rsid w:val="001E1D33"/>
    <w:rsid w:val="001E24C7"/>
    <w:rsid w:val="001E2DC1"/>
    <w:rsid w:val="001E3060"/>
    <w:rsid w:val="001E3EE7"/>
    <w:rsid w:val="001E4E27"/>
    <w:rsid w:val="001E4EC3"/>
    <w:rsid w:val="001E4FE3"/>
    <w:rsid w:val="001E50BE"/>
    <w:rsid w:val="001E53A7"/>
    <w:rsid w:val="001E5489"/>
    <w:rsid w:val="001E56E9"/>
    <w:rsid w:val="001E67FC"/>
    <w:rsid w:val="001E734E"/>
    <w:rsid w:val="001E7692"/>
    <w:rsid w:val="001F04A8"/>
    <w:rsid w:val="001F0EFA"/>
    <w:rsid w:val="001F14FF"/>
    <w:rsid w:val="001F1D24"/>
    <w:rsid w:val="001F1EE3"/>
    <w:rsid w:val="001F2223"/>
    <w:rsid w:val="001F2D63"/>
    <w:rsid w:val="001F33A9"/>
    <w:rsid w:val="001F3A97"/>
    <w:rsid w:val="001F3B75"/>
    <w:rsid w:val="001F3BCD"/>
    <w:rsid w:val="001F3E38"/>
    <w:rsid w:val="001F4C73"/>
    <w:rsid w:val="001F5588"/>
    <w:rsid w:val="001F623D"/>
    <w:rsid w:val="001F6C03"/>
    <w:rsid w:val="001F6D11"/>
    <w:rsid w:val="001F71C5"/>
    <w:rsid w:val="001F7629"/>
    <w:rsid w:val="00200123"/>
    <w:rsid w:val="00200665"/>
    <w:rsid w:val="0020099F"/>
    <w:rsid w:val="002017A2"/>
    <w:rsid w:val="00201A17"/>
    <w:rsid w:val="00201E69"/>
    <w:rsid w:val="00202907"/>
    <w:rsid w:val="00202AAB"/>
    <w:rsid w:val="00202DB9"/>
    <w:rsid w:val="00203336"/>
    <w:rsid w:val="00203A07"/>
    <w:rsid w:val="00203D8F"/>
    <w:rsid w:val="0020403B"/>
    <w:rsid w:val="0020405A"/>
    <w:rsid w:val="002044F0"/>
    <w:rsid w:val="00204612"/>
    <w:rsid w:val="00204CF5"/>
    <w:rsid w:val="00205641"/>
    <w:rsid w:val="0020616A"/>
    <w:rsid w:val="002068B7"/>
    <w:rsid w:val="00207148"/>
    <w:rsid w:val="00207B9C"/>
    <w:rsid w:val="002100A4"/>
    <w:rsid w:val="0021053D"/>
    <w:rsid w:val="0021081C"/>
    <w:rsid w:val="00210FFA"/>
    <w:rsid w:val="0021212B"/>
    <w:rsid w:val="002128F7"/>
    <w:rsid w:val="002143D4"/>
    <w:rsid w:val="00214AD5"/>
    <w:rsid w:val="00214D5C"/>
    <w:rsid w:val="00215DF4"/>
    <w:rsid w:val="0021689A"/>
    <w:rsid w:val="00216E9D"/>
    <w:rsid w:val="002177B8"/>
    <w:rsid w:val="00217C1D"/>
    <w:rsid w:val="00217D4E"/>
    <w:rsid w:val="00220148"/>
    <w:rsid w:val="002202DA"/>
    <w:rsid w:val="0022066A"/>
    <w:rsid w:val="0022090B"/>
    <w:rsid w:val="00220DA3"/>
    <w:rsid w:val="00220F24"/>
    <w:rsid w:val="00221125"/>
    <w:rsid w:val="00221535"/>
    <w:rsid w:val="002215D9"/>
    <w:rsid w:val="0022195D"/>
    <w:rsid w:val="00221C25"/>
    <w:rsid w:val="00222625"/>
    <w:rsid w:val="002229F2"/>
    <w:rsid w:val="00223676"/>
    <w:rsid w:val="00223A93"/>
    <w:rsid w:val="00224535"/>
    <w:rsid w:val="00224689"/>
    <w:rsid w:val="0022484B"/>
    <w:rsid w:val="002251C9"/>
    <w:rsid w:val="00225571"/>
    <w:rsid w:val="00225617"/>
    <w:rsid w:val="002262D8"/>
    <w:rsid w:val="00231942"/>
    <w:rsid w:val="00231F70"/>
    <w:rsid w:val="00232DBA"/>
    <w:rsid w:val="00232F49"/>
    <w:rsid w:val="002337A1"/>
    <w:rsid w:val="002337F8"/>
    <w:rsid w:val="0023514F"/>
    <w:rsid w:val="00235BD0"/>
    <w:rsid w:val="00236022"/>
    <w:rsid w:val="002362F2"/>
    <w:rsid w:val="002366B0"/>
    <w:rsid w:val="00236910"/>
    <w:rsid w:val="00237F65"/>
    <w:rsid w:val="00240322"/>
    <w:rsid w:val="002408BB"/>
    <w:rsid w:val="00240DBE"/>
    <w:rsid w:val="0024108D"/>
    <w:rsid w:val="00241AE6"/>
    <w:rsid w:val="00241B40"/>
    <w:rsid w:val="002440F0"/>
    <w:rsid w:val="0024475F"/>
    <w:rsid w:val="00244CA6"/>
    <w:rsid w:val="00245E71"/>
    <w:rsid w:val="002461C0"/>
    <w:rsid w:val="0024639C"/>
    <w:rsid w:val="0024667C"/>
    <w:rsid w:val="00246E13"/>
    <w:rsid w:val="00247954"/>
    <w:rsid w:val="002500C9"/>
    <w:rsid w:val="0025181A"/>
    <w:rsid w:val="00251AF7"/>
    <w:rsid w:val="002520C9"/>
    <w:rsid w:val="002545BE"/>
    <w:rsid w:val="00255CD7"/>
    <w:rsid w:val="00255E35"/>
    <w:rsid w:val="002569C3"/>
    <w:rsid w:val="002573F1"/>
    <w:rsid w:val="00257777"/>
    <w:rsid w:val="00257C4E"/>
    <w:rsid w:val="00260008"/>
    <w:rsid w:val="0026023A"/>
    <w:rsid w:val="002604C1"/>
    <w:rsid w:val="002622F4"/>
    <w:rsid w:val="00262572"/>
    <w:rsid w:val="00262690"/>
    <w:rsid w:val="00262E95"/>
    <w:rsid w:val="00263954"/>
    <w:rsid w:val="00263B66"/>
    <w:rsid w:val="0026427E"/>
    <w:rsid w:val="002645AB"/>
    <w:rsid w:val="002649EE"/>
    <w:rsid w:val="00264C38"/>
    <w:rsid w:val="00265D47"/>
    <w:rsid w:val="00265FB1"/>
    <w:rsid w:val="00266249"/>
    <w:rsid w:val="00266D17"/>
    <w:rsid w:val="00267424"/>
    <w:rsid w:val="00267553"/>
    <w:rsid w:val="0026772C"/>
    <w:rsid w:val="00267A20"/>
    <w:rsid w:val="00270361"/>
    <w:rsid w:val="00270497"/>
    <w:rsid w:val="00270A34"/>
    <w:rsid w:val="00270CC6"/>
    <w:rsid w:val="00271A19"/>
    <w:rsid w:val="00271E16"/>
    <w:rsid w:val="00272601"/>
    <w:rsid w:val="002735BF"/>
    <w:rsid w:val="002739B1"/>
    <w:rsid w:val="00274599"/>
    <w:rsid w:val="00274A31"/>
    <w:rsid w:val="00274DEF"/>
    <w:rsid w:val="00275046"/>
    <w:rsid w:val="002750FF"/>
    <w:rsid w:val="00275AAE"/>
    <w:rsid w:val="00275C91"/>
    <w:rsid w:val="00275CD7"/>
    <w:rsid w:val="0027688F"/>
    <w:rsid w:val="0027693E"/>
    <w:rsid w:val="00276B3E"/>
    <w:rsid w:val="00276C80"/>
    <w:rsid w:val="00276D4C"/>
    <w:rsid w:val="00277422"/>
    <w:rsid w:val="00277AAC"/>
    <w:rsid w:val="0028002B"/>
    <w:rsid w:val="00280073"/>
    <w:rsid w:val="00280078"/>
    <w:rsid w:val="0028023B"/>
    <w:rsid w:val="00281811"/>
    <w:rsid w:val="00281913"/>
    <w:rsid w:val="002820C3"/>
    <w:rsid w:val="00282259"/>
    <w:rsid w:val="00282853"/>
    <w:rsid w:val="00282A85"/>
    <w:rsid w:val="00282D09"/>
    <w:rsid w:val="0028319D"/>
    <w:rsid w:val="002834E8"/>
    <w:rsid w:val="00283744"/>
    <w:rsid w:val="00283EB1"/>
    <w:rsid w:val="00284974"/>
    <w:rsid w:val="002849E0"/>
    <w:rsid w:val="00284DFB"/>
    <w:rsid w:val="0028529A"/>
    <w:rsid w:val="002852D2"/>
    <w:rsid w:val="002853BC"/>
    <w:rsid w:val="002857EB"/>
    <w:rsid w:val="00285A38"/>
    <w:rsid w:val="00285B49"/>
    <w:rsid w:val="00285CCB"/>
    <w:rsid w:val="0028680B"/>
    <w:rsid w:val="0028693C"/>
    <w:rsid w:val="002873E3"/>
    <w:rsid w:val="0029003E"/>
    <w:rsid w:val="0029011B"/>
    <w:rsid w:val="002917EE"/>
    <w:rsid w:val="00291BD0"/>
    <w:rsid w:val="00291C32"/>
    <w:rsid w:val="00291F2B"/>
    <w:rsid w:val="002924D7"/>
    <w:rsid w:val="002927FC"/>
    <w:rsid w:val="002932C3"/>
    <w:rsid w:val="00293576"/>
    <w:rsid w:val="00294F4F"/>
    <w:rsid w:val="002950D8"/>
    <w:rsid w:val="002951D6"/>
    <w:rsid w:val="00295C65"/>
    <w:rsid w:val="00295FEB"/>
    <w:rsid w:val="00296814"/>
    <w:rsid w:val="00296EC0"/>
    <w:rsid w:val="002971AF"/>
    <w:rsid w:val="00297261"/>
    <w:rsid w:val="00297E57"/>
    <w:rsid w:val="002A034F"/>
    <w:rsid w:val="002A079D"/>
    <w:rsid w:val="002A0AB4"/>
    <w:rsid w:val="002A0B0F"/>
    <w:rsid w:val="002A2410"/>
    <w:rsid w:val="002A2474"/>
    <w:rsid w:val="002A2586"/>
    <w:rsid w:val="002A2AC7"/>
    <w:rsid w:val="002A2E6C"/>
    <w:rsid w:val="002A2FB9"/>
    <w:rsid w:val="002A318E"/>
    <w:rsid w:val="002A3431"/>
    <w:rsid w:val="002A3EF3"/>
    <w:rsid w:val="002A44A4"/>
    <w:rsid w:val="002A45D9"/>
    <w:rsid w:val="002A4D61"/>
    <w:rsid w:val="002A4E01"/>
    <w:rsid w:val="002A59D7"/>
    <w:rsid w:val="002A6435"/>
    <w:rsid w:val="002A6A20"/>
    <w:rsid w:val="002A6B78"/>
    <w:rsid w:val="002A6B93"/>
    <w:rsid w:val="002B0E08"/>
    <w:rsid w:val="002B13B3"/>
    <w:rsid w:val="002B21BA"/>
    <w:rsid w:val="002B24E3"/>
    <w:rsid w:val="002B319F"/>
    <w:rsid w:val="002B4683"/>
    <w:rsid w:val="002B4A40"/>
    <w:rsid w:val="002B4BDE"/>
    <w:rsid w:val="002B5070"/>
    <w:rsid w:val="002B5B0C"/>
    <w:rsid w:val="002B6160"/>
    <w:rsid w:val="002B6672"/>
    <w:rsid w:val="002B7805"/>
    <w:rsid w:val="002C0712"/>
    <w:rsid w:val="002C0B58"/>
    <w:rsid w:val="002C0D7B"/>
    <w:rsid w:val="002C1881"/>
    <w:rsid w:val="002C194F"/>
    <w:rsid w:val="002C1A30"/>
    <w:rsid w:val="002C1AAC"/>
    <w:rsid w:val="002C1BD7"/>
    <w:rsid w:val="002C22D2"/>
    <w:rsid w:val="002C25ED"/>
    <w:rsid w:val="002C2EB0"/>
    <w:rsid w:val="002C4385"/>
    <w:rsid w:val="002C4EEE"/>
    <w:rsid w:val="002C52D3"/>
    <w:rsid w:val="002C5793"/>
    <w:rsid w:val="002C5834"/>
    <w:rsid w:val="002C5E76"/>
    <w:rsid w:val="002C6260"/>
    <w:rsid w:val="002C665D"/>
    <w:rsid w:val="002C67F8"/>
    <w:rsid w:val="002C72AD"/>
    <w:rsid w:val="002C77A2"/>
    <w:rsid w:val="002D0984"/>
    <w:rsid w:val="002D0A6D"/>
    <w:rsid w:val="002D0A78"/>
    <w:rsid w:val="002D0D0D"/>
    <w:rsid w:val="002D0D7F"/>
    <w:rsid w:val="002D219B"/>
    <w:rsid w:val="002D2218"/>
    <w:rsid w:val="002D270A"/>
    <w:rsid w:val="002D2FF2"/>
    <w:rsid w:val="002D367E"/>
    <w:rsid w:val="002D3720"/>
    <w:rsid w:val="002D3CDC"/>
    <w:rsid w:val="002D41B0"/>
    <w:rsid w:val="002D42D8"/>
    <w:rsid w:val="002D4368"/>
    <w:rsid w:val="002D4A76"/>
    <w:rsid w:val="002D4E46"/>
    <w:rsid w:val="002D52C2"/>
    <w:rsid w:val="002D573B"/>
    <w:rsid w:val="002D6576"/>
    <w:rsid w:val="002E15BE"/>
    <w:rsid w:val="002E1A34"/>
    <w:rsid w:val="002E28DB"/>
    <w:rsid w:val="002E3731"/>
    <w:rsid w:val="002E5C4E"/>
    <w:rsid w:val="002E6037"/>
    <w:rsid w:val="002E60D5"/>
    <w:rsid w:val="002E631B"/>
    <w:rsid w:val="002E6903"/>
    <w:rsid w:val="002E6906"/>
    <w:rsid w:val="002E7C46"/>
    <w:rsid w:val="002F0106"/>
    <w:rsid w:val="002F11D8"/>
    <w:rsid w:val="002F1373"/>
    <w:rsid w:val="002F172C"/>
    <w:rsid w:val="002F1A03"/>
    <w:rsid w:val="002F2255"/>
    <w:rsid w:val="002F2C94"/>
    <w:rsid w:val="002F3829"/>
    <w:rsid w:val="002F3831"/>
    <w:rsid w:val="002F3F34"/>
    <w:rsid w:val="002F41E0"/>
    <w:rsid w:val="002F45F1"/>
    <w:rsid w:val="002F4936"/>
    <w:rsid w:val="002F4DB2"/>
    <w:rsid w:val="002F72D8"/>
    <w:rsid w:val="002F74E7"/>
    <w:rsid w:val="002F7F9C"/>
    <w:rsid w:val="002F7FFC"/>
    <w:rsid w:val="00300348"/>
    <w:rsid w:val="003005BF"/>
    <w:rsid w:val="00300E0B"/>
    <w:rsid w:val="00300E89"/>
    <w:rsid w:val="00300E9B"/>
    <w:rsid w:val="003013DF"/>
    <w:rsid w:val="0030207D"/>
    <w:rsid w:val="00302A1B"/>
    <w:rsid w:val="00302DD7"/>
    <w:rsid w:val="0030356F"/>
    <w:rsid w:val="00303809"/>
    <w:rsid w:val="00303A6E"/>
    <w:rsid w:val="00303E15"/>
    <w:rsid w:val="00305351"/>
    <w:rsid w:val="00306122"/>
    <w:rsid w:val="003064CA"/>
    <w:rsid w:val="00307318"/>
    <w:rsid w:val="00310021"/>
    <w:rsid w:val="00310675"/>
    <w:rsid w:val="003106DA"/>
    <w:rsid w:val="003109AF"/>
    <w:rsid w:val="00310E79"/>
    <w:rsid w:val="00310EF9"/>
    <w:rsid w:val="00311678"/>
    <w:rsid w:val="00311FB4"/>
    <w:rsid w:val="00312A6C"/>
    <w:rsid w:val="003130AD"/>
    <w:rsid w:val="003134CC"/>
    <w:rsid w:val="003139C8"/>
    <w:rsid w:val="003140FA"/>
    <w:rsid w:val="00314DF5"/>
    <w:rsid w:val="00315144"/>
    <w:rsid w:val="00315D43"/>
    <w:rsid w:val="00315DBB"/>
    <w:rsid w:val="00316066"/>
    <w:rsid w:val="0031631E"/>
    <w:rsid w:val="0032131F"/>
    <w:rsid w:val="003216EB"/>
    <w:rsid w:val="003222D5"/>
    <w:rsid w:val="0032303D"/>
    <w:rsid w:val="003230E7"/>
    <w:rsid w:val="0032409A"/>
    <w:rsid w:val="003249E2"/>
    <w:rsid w:val="00324FC4"/>
    <w:rsid w:val="003252C2"/>
    <w:rsid w:val="0032545B"/>
    <w:rsid w:val="00326036"/>
    <w:rsid w:val="003261B2"/>
    <w:rsid w:val="003263C1"/>
    <w:rsid w:val="00326DE8"/>
    <w:rsid w:val="00327040"/>
    <w:rsid w:val="003270FC"/>
    <w:rsid w:val="003271FF"/>
    <w:rsid w:val="00327A5B"/>
    <w:rsid w:val="00327E25"/>
    <w:rsid w:val="00327FF0"/>
    <w:rsid w:val="003300EF"/>
    <w:rsid w:val="003311A4"/>
    <w:rsid w:val="0033125A"/>
    <w:rsid w:val="003312E9"/>
    <w:rsid w:val="003319FB"/>
    <w:rsid w:val="00331AA2"/>
    <w:rsid w:val="003322FA"/>
    <w:rsid w:val="0033296C"/>
    <w:rsid w:val="00332AA4"/>
    <w:rsid w:val="00332D6C"/>
    <w:rsid w:val="00334259"/>
    <w:rsid w:val="003346B6"/>
    <w:rsid w:val="00335B3E"/>
    <w:rsid w:val="00336085"/>
    <w:rsid w:val="00336D95"/>
    <w:rsid w:val="003376CB"/>
    <w:rsid w:val="00340630"/>
    <w:rsid w:val="00340AB5"/>
    <w:rsid w:val="00340F19"/>
    <w:rsid w:val="0034128E"/>
    <w:rsid w:val="003423B4"/>
    <w:rsid w:val="00343AB4"/>
    <w:rsid w:val="00343D66"/>
    <w:rsid w:val="00344547"/>
    <w:rsid w:val="003446B8"/>
    <w:rsid w:val="003446D5"/>
    <w:rsid w:val="003448D0"/>
    <w:rsid w:val="00345A22"/>
    <w:rsid w:val="00346D8A"/>
    <w:rsid w:val="0034721B"/>
    <w:rsid w:val="00350378"/>
    <w:rsid w:val="00350BDB"/>
    <w:rsid w:val="003514CD"/>
    <w:rsid w:val="003526CD"/>
    <w:rsid w:val="0035288C"/>
    <w:rsid w:val="00352B02"/>
    <w:rsid w:val="0035386A"/>
    <w:rsid w:val="00354936"/>
    <w:rsid w:val="00355446"/>
    <w:rsid w:val="00355F1D"/>
    <w:rsid w:val="003569C9"/>
    <w:rsid w:val="00356C29"/>
    <w:rsid w:val="00357453"/>
    <w:rsid w:val="00357E11"/>
    <w:rsid w:val="0036026F"/>
    <w:rsid w:val="00360325"/>
    <w:rsid w:val="00360793"/>
    <w:rsid w:val="00360D44"/>
    <w:rsid w:val="0036158C"/>
    <w:rsid w:val="0036193C"/>
    <w:rsid w:val="00361B87"/>
    <w:rsid w:val="00361C95"/>
    <w:rsid w:val="0036309E"/>
    <w:rsid w:val="00363294"/>
    <w:rsid w:val="00365C82"/>
    <w:rsid w:val="00365DE6"/>
    <w:rsid w:val="0036607F"/>
    <w:rsid w:val="0036648A"/>
    <w:rsid w:val="0036672D"/>
    <w:rsid w:val="00366798"/>
    <w:rsid w:val="003670CC"/>
    <w:rsid w:val="003679EA"/>
    <w:rsid w:val="00370497"/>
    <w:rsid w:val="003715A2"/>
    <w:rsid w:val="00371FAE"/>
    <w:rsid w:val="00372728"/>
    <w:rsid w:val="003730E4"/>
    <w:rsid w:val="00374886"/>
    <w:rsid w:val="00374D63"/>
    <w:rsid w:val="003763F4"/>
    <w:rsid w:val="00376606"/>
    <w:rsid w:val="003771E7"/>
    <w:rsid w:val="00377D64"/>
    <w:rsid w:val="0038048F"/>
    <w:rsid w:val="003812FF"/>
    <w:rsid w:val="003819E7"/>
    <w:rsid w:val="00381C08"/>
    <w:rsid w:val="00382A96"/>
    <w:rsid w:val="00382FCE"/>
    <w:rsid w:val="00383834"/>
    <w:rsid w:val="003839B2"/>
    <w:rsid w:val="00383EC8"/>
    <w:rsid w:val="00384121"/>
    <w:rsid w:val="00385368"/>
    <w:rsid w:val="00385CFF"/>
    <w:rsid w:val="00385E06"/>
    <w:rsid w:val="0038682B"/>
    <w:rsid w:val="00387596"/>
    <w:rsid w:val="00390552"/>
    <w:rsid w:val="003905D3"/>
    <w:rsid w:val="00390910"/>
    <w:rsid w:val="003910D6"/>
    <w:rsid w:val="003925C6"/>
    <w:rsid w:val="003928BD"/>
    <w:rsid w:val="00393A02"/>
    <w:rsid w:val="0039470B"/>
    <w:rsid w:val="0039492C"/>
    <w:rsid w:val="00394B45"/>
    <w:rsid w:val="00394C07"/>
    <w:rsid w:val="00394C42"/>
    <w:rsid w:val="0039542C"/>
    <w:rsid w:val="0039556D"/>
    <w:rsid w:val="00395980"/>
    <w:rsid w:val="00395A5C"/>
    <w:rsid w:val="003972C3"/>
    <w:rsid w:val="00397641"/>
    <w:rsid w:val="00397FDE"/>
    <w:rsid w:val="003A00F5"/>
    <w:rsid w:val="003A0F85"/>
    <w:rsid w:val="003A1024"/>
    <w:rsid w:val="003A14A8"/>
    <w:rsid w:val="003A1722"/>
    <w:rsid w:val="003A1929"/>
    <w:rsid w:val="003A1EBF"/>
    <w:rsid w:val="003A2CD8"/>
    <w:rsid w:val="003A2DCB"/>
    <w:rsid w:val="003A366F"/>
    <w:rsid w:val="003A3907"/>
    <w:rsid w:val="003A3E7E"/>
    <w:rsid w:val="003A46B6"/>
    <w:rsid w:val="003A4FE5"/>
    <w:rsid w:val="003A534C"/>
    <w:rsid w:val="003A5AB7"/>
    <w:rsid w:val="003A6666"/>
    <w:rsid w:val="003B0071"/>
    <w:rsid w:val="003B017A"/>
    <w:rsid w:val="003B04F6"/>
    <w:rsid w:val="003B075C"/>
    <w:rsid w:val="003B0F9D"/>
    <w:rsid w:val="003B1280"/>
    <w:rsid w:val="003B15D2"/>
    <w:rsid w:val="003B174B"/>
    <w:rsid w:val="003B185A"/>
    <w:rsid w:val="003B1AAA"/>
    <w:rsid w:val="003B2154"/>
    <w:rsid w:val="003B257C"/>
    <w:rsid w:val="003B27B5"/>
    <w:rsid w:val="003B2C20"/>
    <w:rsid w:val="003B2E59"/>
    <w:rsid w:val="003B36B9"/>
    <w:rsid w:val="003B3E51"/>
    <w:rsid w:val="003B4C44"/>
    <w:rsid w:val="003B4C97"/>
    <w:rsid w:val="003B4D26"/>
    <w:rsid w:val="003B4EED"/>
    <w:rsid w:val="003B50FB"/>
    <w:rsid w:val="003B5BF5"/>
    <w:rsid w:val="003B64CA"/>
    <w:rsid w:val="003B6C2E"/>
    <w:rsid w:val="003B7D6C"/>
    <w:rsid w:val="003C05E9"/>
    <w:rsid w:val="003C0D36"/>
    <w:rsid w:val="003C155D"/>
    <w:rsid w:val="003C1A7C"/>
    <w:rsid w:val="003C2796"/>
    <w:rsid w:val="003C3DD7"/>
    <w:rsid w:val="003C4D15"/>
    <w:rsid w:val="003C5499"/>
    <w:rsid w:val="003C55ED"/>
    <w:rsid w:val="003C6048"/>
    <w:rsid w:val="003C69A6"/>
    <w:rsid w:val="003C6D3A"/>
    <w:rsid w:val="003C70AB"/>
    <w:rsid w:val="003C7DA8"/>
    <w:rsid w:val="003D2894"/>
    <w:rsid w:val="003D2A25"/>
    <w:rsid w:val="003D3537"/>
    <w:rsid w:val="003D4CDB"/>
    <w:rsid w:val="003D4F0A"/>
    <w:rsid w:val="003D51C0"/>
    <w:rsid w:val="003D5646"/>
    <w:rsid w:val="003D59E3"/>
    <w:rsid w:val="003D6169"/>
    <w:rsid w:val="003D6745"/>
    <w:rsid w:val="003D76BF"/>
    <w:rsid w:val="003D7972"/>
    <w:rsid w:val="003E0343"/>
    <w:rsid w:val="003E06BE"/>
    <w:rsid w:val="003E0A1D"/>
    <w:rsid w:val="003E0CFD"/>
    <w:rsid w:val="003E0EF6"/>
    <w:rsid w:val="003E142E"/>
    <w:rsid w:val="003E1729"/>
    <w:rsid w:val="003E2220"/>
    <w:rsid w:val="003E2238"/>
    <w:rsid w:val="003E23A0"/>
    <w:rsid w:val="003E2553"/>
    <w:rsid w:val="003E422F"/>
    <w:rsid w:val="003E45BA"/>
    <w:rsid w:val="003E4683"/>
    <w:rsid w:val="003E4F37"/>
    <w:rsid w:val="003E55EA"/>
    <w:rsid w:val="003E57D5"/>
    <w:rsid w:val="003E5965"/>
    <w:rsid w:val="003E5AB6"/>
    <w:rsid w:val="003E6F1B"/>
    <w:rsid w:val="003E7020"/>
    <w:rsid w:val="003E757B"/>
    <w:rsid w:val="003E757F"/>
    <w:rsid w:val="003E7875"/>
    <w:rsid w:val="003E7BE9"/>
    <w:rsid w:val="003E7F4A"/>
    <w:rsid w:val="003F032B"/>
    <w:rsid w:val="003F06C7"/>
    <w:rsid w:val="003F0A08"/>
    <w:rsid w:val="003F0BB3"/>
    <w:rsid w:val="003F0E65"/>
    <w:rsid w:val="003F1976"/>
    <w:rsid w:val="003F2B24"/>
    <w:rsid w:val="003F2F18"/>
    <w:rsid w:val="003F2F53"/>
    <w:rsid w:val="003F3280"/>
    <w:rsid w:val="003F356C"/>
    <w:rsid w:val="003F3858"/>
    <w:rsid w:val="003F430D"/>
    <w:rsid w:val="003F4FA1"/>
    <w:rsid w:val="003F4FAC"/>
    <w:rsid w:val="003F50CE"/>
    <w:rsid w:val="003F527C"/>
    <w:rsid w:val="003F5727"/>
    <w:rsid w:val="003F667B"/>
    <w:rsid w:val="003F738E"/>
    <w:rsid w:val="003F7638"/>
    <w:rsid w:val="003F778A"/>
    <w:rsid w:val="003F779A"/>
    <w:rsid w:val="004002D5"/>
    <w:rsid w:val="004007D1"/>
    <w:rsid w:val="00401C29"/>
    <w:rsid w:val="00401DA6"/>
    <w:rsid w:val="00402C0C"/>
    <w:rsid w:val="00403394"/>
    <w:rsid w:val="0040346C"/>
    <w:rsid w:val="0040355B"/>
    <w:rsid w:val="0040385B"/>
    <w:rsid w:val="00403BA5"/>
    <w:rsid w:val="004042F7"/>
    <w:rsid w:val="00405BC4"/>
    <w:rsid w:val="00407910"/>
    <w:rsid w:val="00407B68"/>
    <w:rsid w:val="00407B86"/>
    <w:rsid w:val="00407C23"/>
    <w:rsid w:val="00407FDF"/>
    <w:rsid w:val="00410B2E"/>
    <w:rsid w:val="00410F38"/>
    <w:rsid w:val="00411FF4"/>
    <w:rsid w:val="00412935"/>
    <w:rsid w:val="00412944"/>
    <w:rsid w:val="00412B8F"/>
    <w:rsid w:val="00412ED1"/>
    <w:rsid w:val="0041353A"/>
    <w:rsid w:val="004136B9"/>
    <w:rsid w:val="004136BF"/>
    <w:rsid w:val="00414B8F"/>
    <w:rsid w:val="00415E55"/>
    <w:rsid w:val="00416699"/>
    <w:rsid w:val="00416D6F"/>
    <w:rsid w:val="00416EB0"/>
    <w:rsid w:val="0041724A"/>
    <w:rsid w:val="00417EF3"/>
    <w:rsid w:val="004206D5"/>
    <w:rsid w:val="004218B3"/>
    <w:rsid w:val="00421DA0"/>
    <w:rsid w:val="004220D0"/>
    <w:rsid w:val="0042290C"/>
    <w:rsid w:val="00422E6B"/>
    <w:rsid w:val="00423192"/>
    <w:rsid w:val="004232C0"/>
    <w:rsid w:val="004244BD"/>
    <w:rsid w:val="004252F3"/>
    <w:rsid w:val="0042556A"/>
    <w:rsid w:val="00425977"/>
    <w:rsid w:val="00426194"/>
    <w:rsid w:val="00426554"/>
    <w:rsid w:val="00426582"/>
    <w:rsid w:val="004267A3"/>
    <w:rsid w:val="00427992"/>
    <w:rsid w:val="00427BD0"/>
    <w:rsid w:val="00430164"/>
    <w:rsid w:val="00430184"/>
    <w:rsid w:val="0043029E"/>
    <w:rsid w:val="00430E17"/>
    <w:rsid w:val="00431851"/>
    <w:rsid w:val="00432015"/>
    <w:rsid w:val="0043227B"/>
    <w:rsid w:val="004332A0"/>
    <w:rsid w:val="00433AFF"/>
    <w:rsid w:val="00433B3D"/>
    <w:rsid w:val="00433F9D"/>
    <w:rsid w:val="0043469D"/>
    <w:rsid w:val="004350E2"/>
    <w:rsid w:val="00435151"/>
    <w:rsid w:val="004363DC"/>
    <w:rsid w:val="00437ED9"/>
    <w:rsid w:val="0044038A"/>
    <w:rsid w:val="00440921"/>
    <w:rsid w:val="00440A29"/>
    <w:rsid w:val="00440B0A"/>
    <w:rsid w:val="00440C5E"/>
    <w:rsid w:val="00440F86"/>
    <w:rsid w:val="00441765"/>
    <w:rsid w:val="00441A98"/>
    <w:rsid w:val="00441B12"/>
    <w:rsid w:val="00443DEA"/>
    <w:rsid w:val="00443EA9"/>
    <w:rsid w:val="00444495"/>
    <w:rsid w:val="00444D63"/>
    <w:rsid w:val="00446328"/>
    <w:rsid w:val="0044656A"/>
    <w:rsid w:val="00446638"/>
    <w:rsid w:val="004466F1"/>
    <w:rsid w:val="00446D54"/>
    <w:rsid w:val="00446E41"/>
    <w:rsid w:val="00447F73"/>
    <w:rsid w:val="00450BA6"/>
    <w:rsid w:val="004510BD"/>
    <w:rsid w:val="00451376"/>
    <w:rsid w:val="0045172F"/>
    <w:rsid w:val="00451DFB"/>
    <w:rsid w:val="00451F3E"/>
    <w:rsid w:val="004520E7"/>
    <w:rsid w:val="00453D55"/>
    <w:rsid w:val="004541E6"/>
    <w:rsid w:val="00454B6A"/>
    <w:rsid w:val="00454FDA"/>
    <w:rsid w:val="00455145"/>
    <w:rsid w:val="00455521"/>
    <w:rsid w:val="00456F4B"/>
    <w:rsid w:val="004573B9"/>
    <w:rsid w:val="00457845"/>
    <w:rsid w:val="0046031F"/>
    <w:rsid w:val="004605B1"/>
    <w:rsid w:val="004607D5"/>
    <w:rsid w:val="004607FD"/>
    <w:rsid w:val="00461003"/>
    <w:rsid w:val="00461017"/>
    <w:rsid w:val="0046126E"/>
    <w:rsid w:val="00462B6F"/>
    <w:rsid w:val="00463488"/>
    <w:rsid w:val="00463A1E"/>
    <w:rsid w:val="00464142"/>
    <w:rsid w:val="0046554C"/>
    <w:rsid w:val="00465566"/>
    <w:rsid w:val="00465705"/>
    <w:rsid w:val="00465C32"/>
    <w:rsid w:val="004663AF"/>
    <w:rsid w:val="004664F1"/>
    <w:rsid w:val="0046679A"/>
    <w:rsid w:val="00466884"/>
    <w:rsid w:val="004669BF"/>
    <w:rsid w:val="00466CFB"/>
    <w:rsid w:val="00467217"/>
    <w:rsid w:val="00467222"/>
    <w:rsid w:val="00467318"/>
    <w:rsid w:val="00467CE8"/>
    <w:rsid w:val="0047009C"/>
    <w:rsid w:val="004702A5"/>
    <w:rsid w:val="00470772"/>
    <w:rsid w:val="00473206"/>
    <w:rsid w:val="00473A31"/>
    <w:rsid w:val="00473E20"/>
    <w:rsid w:val="00474F5D"/>
    <w:rsid w:val="0047516F"/>
    <w:rsid w:val="00475427"/>
    <w:rsid w:val="00475B43"/>
    <w:rsid w:val="00476135"/>
    <w:rsid w:val="0047672F"/>
    <w:rsid w:val="0047681C"/>
    <w:rsid w:val="00476978"/>
    <w:rsid w:val="00476A11"/>
    <w:rsid w:val="004770E4"/>
    <w:rsid w:val="00477764"/>
    <w:rsid w:val="004777AA"/>
    <w:rsid w:val="00477897"/>
    <w:rsid w:val="00477FDB"/>
    <w:rsid w:val="004815A9"/>
    <w:rsid w:val="004823E4"/>
    <w:rsid w:val="004825E1"/>
    <w:rsid w:val="0048294F"/>
    <w:rsid w:val="004829CB"/>
    <w:rsid w:val="004839F3"/>
    <w:rsid w:val="00483A19"/>
    <w:rsid w:val="00483FBE"/>
    <w:rsid w:val="004848A5"/>
    <w:rsid w:val="004853DC"/>
    <w:rsid w:val="004857E0"/>
    <w:rsid w:val="00485920"/>
    <w:rsid w:val="00485E6E"/>
    <w:rsid w:val="0048678E"/>
    <w:rsid w:val="00486C80"/>
    <w:rsid w:val="004874A6"/>
    <w:rsid w:val="004877E0"/>
    <w:rsid w:val="00487F87"/>
    <w:rsid w:val="00490C23"/>
    <w:rsid w:val="00491587"/>
    <w:rsid w:val="00491C90"/>
    <w:rsid w:val="00491E7B"/>
    <w:rsid w:val="00491E7E"/>
    <w:rsid w:val="00492FC1"/>
    <w:rsid w:val="0049380D"/>
    <w:rsid w:val="00493E75"/>
    <w:rsid w:val="0049447C"/>
    <w:rsid w:val="004945EE"/>
    <w:rsid w:val="00494815"/>
    <w:rsid w:val="00494921"/>
    <w:rsid w:val="00494ADD"/>
    <w:rsid w:val="0049571A"/>
    <w:rsid w:val="00495BF0"/>
    <w:rsid w:val="00495D41"/>
    <w:rsid w:val="00495F5B"/>
    <w:rsid w:val="00496541"/>
    <w:rsid w:val="00496DAC"/>
    <w:rsid w:val="00497A0D"/>
    <w:rsid w:val="00497FB5"/>
    <w:rsid w:val="004A09BC"/>
    <w:rsid w:val="004A0EA3"/>
    <w:rsid w:val="004A11CE"/>
    <w:rsid w:val="004A2563"/>
    <w:rsid w:val="004A2A74"/>
    <w:rsid w:val="004A3029"/>
    <w:rsid w:val="004A33F3"/>
    <w:rsid w:val="004A35D7"/>
    <w:rsid w:val="004A40BD"/>
    <w:rsid w:val="004A432E"/>
    <w:rsid w:val="004A5CBE"/>
    <w:rsid w:val="004A63D2"/>
    <w:rsid w:val="004A72D6"/>
    <w:rsid w:val="004A7361"/>
    <w:rsid w:val="004A76D0"/>
    <w:rsid w:val="004B0984"/>
    <w:rsid w:val="004B1515"/>
    <w:rsid w:val="004B1886"/>
    <w:rsid w:val="004B1C01"/>
    <w:rsid w:val="004B1D31"/>
    <w:rsid w:val="004B264C"/>
    <w:rsid w:val="004B2B00"/>
    <w:rsid w:val="004B309A"/>
    <w:rsid w:val="004B396C"/>
    <w:rsid w:val="004B3D14"/>
    <w:rsid w:val="004B43D0"/>
    <w:rsid w:val="004B43E4"/>
    <w:rsid w:val="004B4571"/>
    <w:rsid w:val="004B4BF1"/>
    <w:rsid w:val="004B4C88"/>
    <w:rsid w:val="004B4F62"/>
    <w:rsid w:val="004B659F"/>
    <w:rsid w:val="004B6AE2"/>
    <w:rsid w:val="004B6FE7"/>
    <w:rsid w:val="004B7360"/>
    <w:rsid w:val="004B7465"/>
    <w:rsid w:val="004C0294"/>
    <w:rsid w:val="004C0E57"/>
    <w:rsid w:val="004C1D37"/>
    <w:rsid w:val="004C1E22"/>
    <w:rsid w:val="004C1ECA"/>
    <w:rsid w:val="004C2296"/>
    <w:rsid w:val="004C23A6"/>
    <w:rsid w:val="004C3419"/>
    <w:rsid w:val="004C3994"/>
    <w:rsid w:val="004C39E9"/>
    <w:rsid w:val="004C3D1F"/>
    <w:rsid w:val="004C4F0C"/>
    <w:rsid w:val="004C5000"/>
    <w:rsid w:val="004C6198"/>
    <w:rsid w:val="004C6712"/>
    <w:rsid w:val="004C6903"/>
    <w:rsid w:val="004C75FB"/>
    <w:rsid w:val="004D0132"/>
    <w:rsid w:val="004D0139"/>
    <w:rsid w:val="004D049E"/>
    <w:rsid w:val="004D0890"/>
    <w:rsid w:val="004D1EC2"/>
    <w:rsid w:val="004D20C6"/>
    <w:rsid w:val="004D22D4"/>
    <w:rsid w:val="004D39F5"/>
    <w:rsid w:val="004D4E90"/>
    <w:rsid w:val="004D4F14"/>
    <w:rsid w:val="004D5166"/>
    <w:rsid w:val="004D5B33"/>
    <w:rsid w:val="004D69AA"/>
    <w:rsid w:val="004D6EB0"/>
    <w:rsid w:val="004D6EC5"/>
    <w:rsid w:val="004D6F95"/>
    <w:rsid w:val="004D70DE"/>
    <w:rsid w:val="004D7E3E"/>
    <w:rsid w:val="004E05E5"/>
    <w:rsid w:val="004E0C20"/>
    <w:rsid w:val="004E1409"/>
    <w:rsid w:val="004E1494"/>
    <w:rsid w:val="004E155B"/>
    <w:rsid w:val="004E1F30"/>
    <w:rsid w:val="004E2379"/>
    <w:rsid w:val="004E25F5"/>
    <w:rsid w:val="004E3110"/>
    <w:rsid w:val="004E3D3D"/>
    <w:rsid w:val="004E68C1"/>
    <w:rsid w:val="004E6A29"/>
    <w:rsid w:val="004E6B25"/>
    <w:rsid w:val="004E7738"/>
    <w:rsid w:val="004E77C7"/>
    <w:rsid w:val="004F0B6F"/>
    <w:rsid w:val="004F0B91"/>
    <w:rsid w:val="004F1161"/>
    <w:rsid w:val="004F13DC"/>
    <w:rsid w:val="004F1B5E"/>
    <w:rsid w:val="004F2BEA"/>
    <w:rsid w:val="004F334B"/>
    <w:rsid w:val="004F342F"/>
    <w:rsid w:val="004F3C90"/>
    <w:rsid w:val="004F3DF9"/>
    <w:rsid w:val="004F4584"/>
    <w:rsid w:val="004F5A67"/>
    <w:rsid w:val="004F5D7B"/>
    <w:rsid w:val="004F6CA7"/>
    <w:rsid w:val="004F7882"/>
    <w:rsid w:val="004F7A90"/>
    <w:rsid w:val="005003AA"/>
    <w:rsid w:val="00500C95"/>
    <w:rsid w:val="00501E19"/>
    <w:rsid w:val="00502583"/>
    <w:rsid w:val="005033D4"/>
    <w:rsid w:val="0050344C"/>
    <w:rsid w:val="00503B3A"/>
    <w:rsid w:val="00503CE6"/>
    <w:rsid w:val="00503CF7"/>
    <w:rsid w:val="00503E6E"/>
    <w:rsid w:val="005040D6"/>
    <w:rsid w:val="0050440D"/>
    <w:rsid w:val="00504952"/>
    <w:rsid w:val="00504ECA"/>
    <w:rsid w:val="00504ED4"/>
    <w:rsid w:val="00505291"/>
    <w:rsid w:val="005056BD"/>
    <w:rsid w:val="005062D5"/>
    <w:rsid w:val="005063C7"/>
    <w:rsid w:val="005066AC"/>
    <w:rsid w:val="00506D8A"/>
    <w:rsid w:val="00507AE1"/>
    <w:rsid w:val="00507AF5"/>
    <w:rsid w:val="00510694"/>
    <w:rsid w:val="005108A4"/>
    <w:rsid w:val="00510A02"/>
    <w:rsid w:val="00510C80"/>
    <w:rsid w:val="00510C9F"/>
    <w:rsid w:val="00510EFB"/>
    <w:rsid w:val="00511129"/>
    <w:rsid w:val="00512965"/>
    <w:rsid w:val="00512BF3"/>
    <w:rsid w:val="00512CF2"/>
    <w:rsid w:val="005131DC"/>
    <w:rsid w:val="005135A0"/>
    <w:rsid w:val="00513FAC"/>
    <w:rsid w:val="00514091"/>
    <w:rsid w:val="005141B0"/>
    <w:rsid w:val="00514209"/>
    <w:rsid w:val="00514A6F"/>
    <w:rsid w:val="00514E8D"/>
    <w:rsid w:val="00514EAD"/>
    <w:rsid w:val="00515926"/>
    <w:rsid w:val="00515FB2"/>
    <w:rsid w:val="005164B6"/>
    <w:rsid w:val="00516D26"/>
    <w:rsid w:val="00516D55"/>
    <w:rsid w:val="00520205"/>
    <w:rsid w:val="0052187C"/>
    <w:rsid w:val="00521D51"/>
    <w:rsid w:val="005236D8"/>
    <w:rsid w:val="005238D2"/>
    <w:rsid w:val="00523EC4"/>
    <w:rsid w:val="005241F6"/>
    <w:rsid w:val="00524595"/>
    <w:rsid w:val="0052535A"/>
    <w:rsid w:val="005254A0"/>
    <w:rsid w:val="00525A3D"/>
    <w:rsid w:val="00525B56"/>
    <w:rsid w:val="00525DA3"/>
    <w:rsid w:val="00526120"/>
    <w:rsid w:val="0052774B"/>
    <w:rsid w:val="00527BDD"/>
    <w:rsid w:val="00527F58"/>
    <w:rsid w:val="00527F59"/>
    <w:rsid w:val="00530131"/>
    <w:rsid w:val="00530B68"/>
    <w:rsid w:val="00530CD4"/>
    <w:rsid w:val="00530E9F"/>
    <w:rsid w:val="0053113F"/>
    <w:rsid w:val="0053178C"/>
    <w:rsid w:val="00532A28"/>
    <w:rsid w:val="00532C13"/>
    <w:rsid w:val="0053350E"/>
    <w:rsid w:val="00533612"/>
    <w:rsid w:val="00533D3E"/>
    <w:rsid w:val="005349BD"/>
    <w:rsid w:val="00534C63"/>
    <w:rsid w:val="00534E2B"/>
    <w:rsid w:val="005350EE"/>
    <w:rsid w:val="00535366"/>
    <w:rsid w:val="00536D9A"/>
    <w:rsid w:val="005371F2"/>
    <w:rsid w:val="00537312"/>
    <w:rsid w:val="00537567"/>
    <w:rsid w:val="00540E85"/>
    <w:rsid w:val="00541A0B"/>
    <w:rsid w:val="005423EA"/>
    <w:rsid w:val="005424F4"/>
    <w:rsid w:val="00543BFF"/>
    <w:rsid w:val="005446AE"/>
    <w:rsid w:val="005449F7"/>
    <w:rsid w:val="0054563B"/>
    <w:rsid w:val="005459C7"/>
    <w:rsid w:val="005468E6"/>
    <w:rsid w:val="005469A4"/>
    <w:rsid w:val="00546F8A"/>
    <w:rsid w:val="0054749F"/>
    <w:rsid w:val="00547BA2"/>
    <w:rsid w:val="005501BB"/>
    <w:rsid w:val="00550E92"/>
    <w:rsid w:val="00551141"/>
    <w:rsid w:val="005512C2"/>
    <w:rsid w:val="0055217A"/>
    <w:rsid w:val="00552725"/>
    <w:rsid w:val="00552C31"/>
    <w:rsid w:val="00552C8F"/>
    <w:rsid w:val="00553D04"/>
    <w:rsid w:val="00553F0B"/>
    <w:rsid w:val="00554F4C"/>
    <w:rsid w:val="005553D0"/>
    <w:rsid w:val="005555F0"/>
    <w:rsid w:val="00555A0C"/>
    <w:rsid w:val="00555B28"/>
    <w:rsid w:val="00556301"/>
    <w:rsid w:val="00556A34"/>
    <w:rsid w:val="00560BFE"/>
    <w:rsid w:val="00560DBA"/>
    <w:rsid w:val="005615B3"/>
    <w:rsid w:val="00561B25"/>
    <w:rsid w:val="00561EAD"/>
    <w:rsid w:val="005624EA"/>
    <w:rsid w:val="00563041"/>
    <w:rsid w:val="0056307D"/>
    <w:rsid w:val="0056434B"/>
    <w:rsid w:val="00564E60"/>
    <w:rsid w:val="00564FB5"/>
    <w:rsid w:val="00565814"/>
    <w:rsid w:val="00565CDC"/>
    <w:rsid w:val="00565F21"/>
    <w:rsid w:val="005661AC"/>
    <w:rsid w:val="00566557"/>
    <w:rsid w:val="00566C01"/>
    <w:rsid w:val="005672FE"/>
    <w:rsid w:val="005703DC"/>
    <w:rsid w:val="0057047A"/>
    <w:rsid w:val="00571172"/>
    <w:rsid w:val="005712F1"/>
    <w:rsid w:val="00571D3D"/>
    <w:rsid w:val="00572A22"/>
    <w:rsid w:val="00572F01"/>
    <w:rsid w:val="0057334D"/>
    <w:rsid w:val="005741B1"/>
    <w:rsid w:val="005741C9"/>
    <w:rsid w:val="0057423A"/>
    <w:rsid w:val="00574539"/>
    <w:rsid w:val="00574E01"/>
    <w:rsid w:val="00574E92"/>
    <w:rsid w:val="00575686"/>
    <w:rsid w:val="0057677B"/>
    <w:rsid w:val="00576894"/>
    <w:rsid w:val="00577235"/>
    <w:rsid w:val="005804D5"/>
    <w:rsid w:val="0058057A"/>
    <w:rsid w:val="00580994"/>
    <w:rsid w:val="00580D1B"/>
    <w:rsid w:val="00580EAA"/>
    <w:rsid w:val="005816FE"/>
    <w:rsid w:val="0058182F"/>
    <w:rsid w:val="00581F64"/>
    <w:rsid w:val="0058302B"/>
    <w:rsid w:val="00583B2E"/>
    <w:rsid w:val="0058400D"/>
    <w:rsid w:val="00584168"/>
    <w:rsid w:val="005844DF"/>
    <w:rsid w:val="00584EE2"/>
    <w:rsid w:val="005857A0"/>
    <w:rsid w:val="00585C4A"/>
    <w:rsid w:val="0058659A"/>
    <w:rsid w:val="00586D2B"/>
    <w:rsid w:val="005875B1"/>
    <w:rsid w:val="00587E0E"/>
    <w:rsid w:val="005909A7"/>
    <w:rsid w:val="00590B92"/>
    <w:rsid w:val="00591738"/>
    <w:rsid w:val="00591AB4"/>
    <w:rsid w:val="005931A1"/>
    <w:rsid w:val="00593291"/>
    <w:rsid w:val="00593509"/>
    <w:rsid w:val="00594B77"/>
    <w:rsid w:val="00594C1C"/>
    <w:rsid w:val="0059564D"/>
    <w:rsid w:val="005965C0"/>
    <w:rsid w:val="0059682A"/>
    <w:rsid w:val="00596932"/>
    <w:rsid w:val="005969DE"/>
    <w:rsid w:val="00597756"/>
    <w:rsid w:val="005A0485"/>
    <w:rsid w:val="005A0EE6"/>
    <w:rsid w:val="005A103C"/>
    <w:rsid w:val="005A114A"/>
    <w:rsid w:val="005A12CB"/>
    <w:rsid w:val="005A140F"/>
    <w:rsid w:val="005A1E2F"/>
    <w:rsid w:val="005A1E6C"/>
    <w:rsid w:val="005A2055"/>
    <w:rsid w:val="005A265F"/>
    <w:rsid w:val="005A296B"/>
    <w:rsid w:val="005A2A9F"/>
    <w:rsid w:val="005A34EF"/>
    <w:rsid w:val="005A370E"/>
    <w:rsid w:val="005A39BB"/>
    <w:rsid w:val="005A4180"/>
    <w:rsid w:val="005A4AFF"/>
    <w:rsid w:val="005A5805"/>
    <w:rsid w:val="005A5865"/>
    <w:rsid w:val="005A693C"/>
    <w:rsid w:val="005A7320"/>
    <w:rsid w:val="005A75E5"/>
    <w:rsid w:val="005A795F"/>
    <w:rsid w:val="005A7A26"/>
    <w:rsid w:val="005B04D4"/>
    <w:rsid w:val="005B04D7"/>
    <w:rsid w:val="005B1053"/>
    <w:rsid w:val="005B1165"/>
    <w:rsid w:val="005B13A4"/>
    <w:rsid w:val="005B1AEB"/>
    <w:rsid w:val="005B245C"/>
    <w:rsid w:val="005B2BF2"/>
    <w:rsid w:val="005B4005"/>
    <w:rsid w:val="005B41FF"/>
    <w:rsid w:val="005B47AF"/>
    <w:rsid w:val="005B49C6"/>
    <w:rsid w:val="005B4EA8"/>
    <w:rsid w:val="005B561A"/>
    <w:rsid w:val="005B5824"/>
    <w:rsid w:val="005B6083"/>
    <w:rsid w:val="005B63D5"/>
    <w:rsid w:val="005B6A02"/>
    <w:rsid w:val="005B708D"/>
    <w:rsid w:val="005B722A"/>
    <w:rsid w:val="005B7670"/>
    <w:rsid w:val="005B7CA9"/>
    <w:rsid w:val="005C07B9"/>
    <w:rsid w:val="005C1601"/>
    <w:rsid w:val="005C174C"/>
    <w:rsid w:val="005C2FF7"/>
    <w:rsid w:val="005C355C"/>
    <w:rsid w:val="005C3A0B"/>
    <w:rsid w:val="005C41B2"/>
    <w:rsid w:val="005C44DF"/>
    <w:rsid w:val="005C46C7"/>
    <w:rsid w:val="005C4979"/>
    <w:rsid w:val="005C54F8"/>
    <w:rsid w:val="005C5B92"/>
    <w:rsid w:val="005C5D54"/>
    <w:rsid w:val="005C6D43"/>
    <w:rsid w:val="005C798A"/>
    <w:rsid w:val="005C7BBA"/>
    <w:rsid w:val="005C7EA2"/>
    <w:rsid w:val="005D004C"/>
    <w:rsid w:val="005D0322"/>
    <w:rsid w:val="005D0C91"/>
    <w:rsid w:val="005D0E8D"/>
    <w:rsid w:val="005D152A"/>
    <w:rsid w:val="005D15FC"/>
    <w:rsid w:val="005D1677"/>
    <w:rsid w:val="005D1AD9"/>
    <w:rsid w:val="005D2D78"/>
    <w:rsid w:val="005D332A"/>
    <w:rsid w:val="005D3448"/>
    <w:rsid w:val="005D3D67"/>
    <w:rsid w:val="005D3ECE"/>
    <w:rsid w:val="005D49CC"/>
    <w:rsid w:val="005D4D84"/>
    <w:rsid w:val="005D509B"/>
    <w:rsid w:val="005D6D6F"/>
    <w:rsid w:val="005D6DE4"/>
    <w:rsid w:val="005D7953"/>
    <w:rsid w:val="005E03DB"/>
    <w:rsid w:val="005E04AE"/>
    <w:rsid w:val="005E1815"/>
    <w:rsid w:val="005E231C"/>
    <w:rsid w:val="005E2AF3"/>
    <w:rsid w:val="005E2F47"/>
    <w:rsid w:val="005E33D2"/>
    <w:rsid w:val="005E34F1"/>
    <w:rsid w:val="005E40B6"/>
    <w:rsid w:val="005E413C"/>
    <w:rsid w:val="005E5A20"/>
    <w:rsid w:val="005E6C5E"/>
    <w:rsid w:val="005E7330"/>
    <w:rsid w:val="005E760D"/>
    <w:rsid w:val="005E7FC9"/>
    <w:rsid w:val="005F0675"/>
    <w:rsid w:val="005F0D29"/>
    <w:rsid w:val="005F0E05"/>
    <w:rsid w:val="005F127B"/>
    <w:rsid w:val="005F19F9"/>
    <w:rsid w:val="005F2AEC"/>
    <w:rsid w:val="005F2B80"/>
    <w:rsid w:val="005F316B"/>
    <w:rsid w:val="005F34C5"/>
    <w:rsid w:val="005F35D5"/>
    <w:rsid w:val="005F37DA"/>
    <w:rsid w:val="005F3D74"/>
    <w:rsid w:val="005F3EFB"/>
    <w:rsid w:val="005F40A6"/>
    <w:rsid w:val="005F48B0"/>
    <w:rsid w:val="005F49DC"/>
    <w:rsid w:val="005F4E0A"/>
    <w:rsid w:val="005F5E43"/>
    <w:rsid w:val="005F6017"/>
    <w:rsid w:val="005F62BC"/>
    <w:rsid w:val="005F6312"/>
    <w:rsid w:val="005F6B42"/>
    <w:rsid w:val="005F71DE"/>
    <w:rsid w:val="005F7E66"/>
    <w:rsid w:val="005F7ED2"/>
    <w:rsid w:val="0060042C"/>
    <w:rsid w:val="0060209A"/>
    <w:rsid w:val="006021A9"/>
    <w:rsid w:val="006025D0"/>
    <w:rsid w:val="00602851"/>
    <w:rsid w:val="00602DAC"/>
    <w:rsid w:val="00602E08"/>
    <w:rsid w:val="00602FDA"/>
    <w:rsid w:val="006039CB"/>
    <w:rsid w:val="0060415A"/>
    <w:rsid w:val="00604804"/>
    <w:rsid w:val="006051EA"/>
    <w:rsid w:val="00605AF9"/>
    <w:rsid w:val="0060613B"/>
    <w:rsid w:val="0060695D"/>
    <w:rsid w:val="00607044"/>
    <w:rsid w:val="006074CE"/>
    <w:rsid w:val="006079C9"/>
    <w:rsid w:val="00607F0F"/>
    <w:rsid w:val="006104DD"/>
    <w:rsid w:val="00610C3A"/>
    <w:rsid w:val="00611731"/>
    <w:rsid w:val="00612217"/>
    <w:rsid w:val="0061372A"/>
    <w:rsid w:val="00613DAF"/>
    <w:rsid w:val="006142D5"/>
    <w:rsid w:val="00614C25"/>
    <w:rsid w:val="00615294"/>
    <w:rsid w:val="006170D2"/>
    <w:rsid w:val="006176E3"/>
    <w:rsid w:val="00617BDA"/>
    <w:rsid w:val="00620539"/>
    <w:rsid w:val="0062071F"/>
    <w:rsid w:val="00620D65"/>
    <w:rsid w:val="00621160"/>
    <w:rsid w:val="006215C3"/>
    <w:rsid w:val="00621618"/>
    <w:rsid w:val="00621D02"/>
    <w:rsid w:val="00621E99"/>
    <w:rsid w:val="00622DC0"/>
    <w:rsid w:val="00624266"/>
    <w:rsid w:val="0062599E"/>
    <w:rsid w:val="006262B3"/>
    <w:rsid w:val="0062693A"/>
    <w:rsid w:val="006275AF"/>
    <w:rsid w:val="00627A02"/>
    <w:rsid w:val="00627D58"/>
    <w:rsid w:val="00630267"/>
    <w:rsid w:val="0063131F"/>
    <w:rsid w:val="00632280"/>
    <w:rsid w:val="00632551"/>
    <w:rsid w:val="00632F38"/>
    <w:rsid w:val="006337C1"/>
    <w:rsid w:val="006339A9"/>
    <w:rsid w:val="00634895"/>
    <w:rsid w:val="006348E3"/>
    <w:rsid w:val="00634D9E"/>
    <w:rsid w:val="00636104"/>
    <w:rsid w:val="006366FF"/>
    <w:rsid w:val="00641A81"/>
    <w:rsid w:val="00643299"/>
    <w:rsid w:val="00643496"/>
    <w:rsid w:val="00643789"/>
    <w:rsid w:val="00643A32"/>
    <w:rsid w:val="006444F0"/>
    <w:rsid w:val="00644A08"/>
    <w:rsid w:val="0064597A"/>
    <w:rsid w:val="00645D1A"/>
    <w:rsid w:val="006470D7"/>
    <w:rsid w:val="006509DB"/>
    <w:rsid w:val="00650A7F"/>
    <w:rsid w:val="00650D10"/>
    <w:rsid w:val="006519AD"/>
    <w:rsid w:val="006521E6"/>
    <w:rsid w:val="00652891"/>
    <w:rsid w:val="00652B2A"/>
    <w:rsid w:val="00653076"/>
    <w:rsid w:val="00653200"/>
    <w:rsid w:val="00654EB8"/>
    <w:rsid w:val="00655A74"/>
    <w:rsid w:val="00655D61"/>
    <w:rsid w:val="00655FE6"/>
    <w:rsid w:val="006560F3"/>
    <w:rsid w:val="00656928"/>
    <w:rsid w:val="00656A5A"/>
    <w:rsid w:val="00657F93"/>
    <w:rsid w:val="00660521"/>
    <w:rsid w:val="006605E4"/>
    <w:rsid w:val="00660865"/>
    <w:rsid w:val="0066175D"/>
    <w:rsid w:val="006618CA"/>
    <w:rsid w:val="006618D9"/>
    <w:rsid w:val="0066198A"/>
    <w:rsid w:val="0066276F"/>
    <w:rsid w:val="00662B0E"/>
    <w:rsid w:val="006630FA"/>
    <w:rsid w:val="006631F3"/>
    <w:rsid w:val="00663787"/>
    <w:rsid w:val="0066387E"/>
    <w:rsid w:val="006638F8"/>
    <w:rsid w:val="00663BFE"/>
    <w:rsid w:val="00663CC3"/>
    <w:rsid w:val="00663E95"/>
    <w:rsid w:val="006640E3"/>
    <w:rsid w:val="00664468"/>
    <w:rsid w:val="00664508"/>
    <w:rsid w:val="0066467D"/>
    <w:rsid w:val="00664A25"/>
    <w:rsid w:val="00666C22"/>
    <w:rsid w:val="0067070C"/>
    <w:rsid w:val="00670D6A"/>
    <w:rsid w:val="006712D1"/>
    <w:rsid w:val="006719DB"/>
    <w:rsid w:val="006723A1"/>
    <w:rsid w:val="006724B2"/>
    <w:rsid w:val="006727B9"/>
    <w:rsid w:val="00672AAF"/>
    <w:rsid w:val="00672D13"/>
    <w:rsid w:val="00675D77"/>
    <w:rsid w:val="006766DC"/>
    <w:rsid w:val="00676755"/>
    <w:rsid w:val="00676AEE"/>
    <w:rsid w:val="00677C4F"/>
    <w:rsid w:val="0068019E"/>
    <w:rsid w:val="00680657"/>
    <w:rsid w:val="006806C5"/>
    <w:rsid w:val="00680962"/>
    <w:rsid w:val="00680C46"/>
    <w:rsid w:val="006811CB"/>
    <w:rsid w:val="00682033"/>
    <w:rsid w:val="006828C4"/>
    <w:rsid w:val="006839C5"/>
    <w:rsid w:val="00684586"/>
    <w:rsid w:val="00684765"/>
    <w:rsid w:val="006849ED"/>
    <w:rsid w:val="00685183"/>
    <w:rsid w:val="006858F7"/>
    <w:rsid w:val="00685F8C"/>
    <w:rsid w:val="0068659A"/>
    <w:rsid w:val="00686975"/>
    <w:rsid w:val="00686AD4"/>
    <w:rsid w:val="0068711B"/>
    <w:rsid w:val="00687BA4"/>
    <w:rsid w:val="00690A2E"/>
    <w:rsid w:val="00690A53"/>
    <w:rsid w:val="00690DA2"/>
    <w:rsid w:val="0069105A"/>
    <w:rsid w:val="0069117C"/>
    <w:rsid w:val="00691303"/>
    <w:rsid w:val="00691639"/>
    <w:rsid w:val="006917BA"/>
    <w:rsid w:val="00691E09"/>
    <w:rsid w:val="00692085"/>
    <w:rsid w:val="006923A8"/>
    <w:rsid w:val="006935CA"/>
    <w:rsid w:val="00694157"/>
    <w:rsid w:val="0069478F"/>
    <w:rsid w:val="00694D98"/>
    <w:rsid w:val="00694EB0"/>
    <w:rsid w:val="0069567A"/>
    <w:rsid w:val="006957A7"/>
    <w:rsid w:val="00695E3D"/>
    <w:rsid w:val="00697D82"/>
    <w:rsid w:val="00697DFD"/>
    <w:rsid w:val="006A012C"/>
    <w:rsid w:val="006A019B"/>
    <w:rsid w:val="006A03DA"/>
    <w:rsid w:val="006A19A9"/>
    <w:rsid w:val="006A19BB"/>
    <w:rsid w:val="006A19E0"/>
    <w:rsid w:val="006A1B4A"/>
    <w:rsid w:val="006A1B98"/>
    <w:rsid w:val="006A2671"/>
    <w:rsid w:val="006A30D5"/>
    <w:rsid w:val="006A34AC"/>
    <w:rsid w:val="006A3B04"/>
    <w:rsid w:val="006A4301"/>
    <w:rsid w:val="006A43BB"/>
    <w:rsid w:val="006A4BF7"/>
    <w:rsid w:val="006A4FC6"/>
    <w:rsid w:val="006A5B73"/>
    <w:rsid w:val="006A5C06"/>
    <w:rsid w:val="006A5CFE"/>
    <w:rsid w:val="006A6101"/>
    <w:rsid w:val="006A6596"/>
    <w:rsid w:val="006A67B1"/>
    <w:rsid w:val="006A6DC2"/>
    <w:rsid w:val="006A6F47"/>
    <w:rsid w:val="006A74DC"/>
    <w:rsid w:val="006A756F"/>
    <w:rsid w:val="006A772A"/>
    <w:rsid w:val="006A7851"/>
    <w:rsid w:val="006A794F"/>
    <w:rsid w:val="006A7ADF"/>
    <w:rsid w:val="006B0095"/>
    <w:rsid w:val="006B0C24"/>
    <w:rsid w:val="006B150D"/>
    <w:rsid w:val="006B2276"/>
    <w:rsid w:val="006B22E8"/>
    <w:rsid w:val="006B3864"/>
    <w:rsid w:val="006B5078"/>
    <w:rsid w:val="006B5AE8"/>
    <w:rsid w:val="006B6177"/>
    <w:rsid w:val="006B7046"/>
    <w:rsid w:val="006B74B5"/>
    <w:rsid w:val="006B74C0"/>
    <w:rsid w:val="006B7E07"/>
    <w:rsid w:val="006B7F60"/>
    <w:rsid w:val="006C087A"/>
    <w:rsid w:val="006C08A7"/>
    <w:rsid w:val="006C1297"/>
    <w:rsid w:val="006C180E"/>
    <w:rsid w:val="006C2232"/>
    <w:rsid w:val="006C2A5C"/>
    <w:rsid w:val="006C2BEC"/>
    <w:rsid w:val="006C2D65"/>
    <w:rsid w:val="006C322B"/>
    <w:rsid w:val="006C34D0"/>
    <w:rsid w:val="006C4306"/>
    <w:rsid w:val="006C55C2"/>
    <w:rsid w:val="006C5AF7"/>
    <w:rsid w:val="006C6689"/>
    <w:rsid w:val="006C7D7E"/>
    <w:rsid w:val="006D066A"/>
    <w:rsid w:val="006D080A"/>
    <w:rsid w:val="006D0E39"/>
    <w:rsid w:val="006D1ED4"/>
    <w:rsid w:val="006D245B"/>
    <w:rsid w:val="006D26C3"/>
    <w:rsid w:val="006D28E6"/>
    <w:rsid w:val="006D2968"/>
    <w:rsid w:val="006D2D51"/>
    <w:rsid w:val="006D35BB"/>
    <w:rsid w:val="006D455B"/>
    <w:rsid w:val="006D5086"/>
    <w:rsid w:val="006D5729"/>
    <w:rsid w:val="006D5F64"/>
    <w:rsid w:val="006D6744"/>
    <w:rsid w:val="006D6B13"/>
    <w:rsid w:val="006D7501"/>
    <w:rsid w:val="006D778F"/>
    <w:rsid w:val="006D780F"/>
    <w:rsid w:val="006E00EC"/>
    <w:rsid w:val="006E03B5"/>
    <w:rsid w:val="006E14C1"/>
    <w:rsid w:val="006E1669"/>
    <w:rsid w:val="006E1ED6"/>
    <w:rsid w:val="006E255A"/>
    <w:rsid w:val="006E2649"/>
    <w:rsid w:val="006E2B08"/>
    <w:rsid w:val="006E2DEC"/>
    <w:rsid w:val="006E3320"/>
    <w:rsid w:val="006E3C36"/>
    <w:rsid w:val="006E42AB"/>
    <w:rsid w:val="006E44DF"/>
    <w:rsid w:val="006E50C3"/>
    <w:rsid w:val="006E551C"/>
    <w:rsid w:val="006E6648"/>
    <w:rsid w:val="006E6C8C"/>
    <w:rsid w:val="006E6EAE"/>
    <w:rsid w:val="006E765E"/>
    <w:rsid w:val="006E7DA7"/>
    <w:rsid w:val="006F01E9"/>
    <w:rsid w:val="006F0CCF"/>
    <w:rsid w:val="006F0FB2"/>
    <w:rsid w:val="006F10E4"/>
    <w:rsid w:val="006F1A19"/>
    <w:rsid w:val="006F2173"/>
    <w:rsid w:val="006F3383"/>
    <w:rsid w:val="006F33E4"/>
    <w:rsid w:val="006F38FE"/>
    <w:rsid w:val="006F3C54"/>
    <w:rsid w:val="006F4F24"/>
    <w:rsid w:val="006F55D1"/>
    <w:rsid w:val="006F5E2A"/>
    <w:rsid w:val="006F7353"/>
    <w:rsid w:val="006F7733"/>
    <w:rsid w:val="006F7D90"/>
    <w:rsid w:val="0070030E"/>
    <w:rsid w:val="007008C9"/>
    <w:rsid w:val="00700956"/>
    <w:rsid w:val="00700BC7"/>
    <w:rsid w:val="00700C7E"/>
    <w:rsid w:val="007022A7"/>
    <w:rsid w:val="0070274E"/>
    <w:rsid w:val="00702B24"/>
    <w:rsid w:val="00702B76"/>
    <w:rsid w:val="0070310F"/>
    <w:rsid w:val="00703700"/>
    <w:rsid w:val="00703C43"/>
    <w:rsid w:val="00704AC3"/>
    <w:rsid w:val="00704D03"/>
    <w:rsid w:val="00704ECC"/>
    <w:rsid w:val="00705040"/>
    <w:rsid w:val="0070544A"/>
    <w:rsid w:val="00705917"/>
    <w:rsid w:val="00705AE9"/>
    <w:rsid w:val="00705CB4"/>
    <w:rsid w:val="00705F5F"/>
    <w:rsid w:val="007065B7"/>
    <w:rsid w:val="00706AEF"/>
    <w:rsid w:val="00706B50"/>
    <w:rsid w:val="00706EC1"/>
    <w:rsid w:val="00707466"/>
    <w:rsid w:val="007105E4"/>
    <w:rsid w:val="00710F02"/>
    <w:rsid w:val="007112C6"/>
    <w:rsid w:val="00711787"/>
    <w:rsid w:val="00711FFD"/>
    <w:rsid w:val="0071278D"/>
    <w:rsid w:val="00712ED8"/>
    <w:rsid w:val="0071376D"/>
    <w:rsid w:val="00713B02"/>
    <w:rsid w:val="00714A27"/>
    <w:rsid w:val="00714BC3"/>
    <w:rsid w:val="00714E11"/>
    <w:rsid w:val="007157A9"/>
    <w:rsid w:val="007162AF"/>
    <w:rsid w:val="007165DA"/>
    <w:rsid w:val="007178C4"/>
    <w:rsid w:val="00717CA4"/>
    <w:rsid w:val="00720550"/>
    <w:rsid w:val="00720979"/>
    <w:rsid w:val="00720E3C"/>
    <w:rsid w:val="0072154A"/>
    <w:rsid w:val="00722A07"/>
    <w:rsid w:val="00722E27"/>
    <w:rsid w:val="00723B00"/>
    <w:rsid w:val="00724146"/>
    <w:rsid w:val="00724FB0"/>
    <w:rsid w:val="00725007"/>
    <w:rsid w:val="00725998"/>
    <w:rsid w:val="00726AD6"/>
    <w:rsid w:val="00727582"/>
    <w:rsid w:val="00727CBB"/>
    <w:rsid w:val="00730213"/>
    <w:rsid w:val="00731604"/>
    <w:rsid w:val="0073279D"/>
    <w:rsid w:val="0073359C"/>
    <w:rsid w:val="007346C6"/>
    <w:rsid w:val="00734727"/>
    <w:rsid w:val="007356E3"/>
    <w:rsid w:val="007359AC"/>
    <w:rsid w:val="007361C0"/>
    <w:rsid w:val="00736440"/>
    <w:rsid w:val="0073675F"/>
    <w:rsid w:val="0073676F"/>
    <w:rsid w:val="00737555"/>
    <w:rsid w:val="0074006A"/>
    <w:rsid w:val="00740B11"/>
    <w:rsid w:val="00741AEF"/>
    <w:rsid w:val="00742AAA"/>
    <w:rsid w:val="00742D1D"/>
    <w:rsid w:val="00742E06"/>
    <w:rsid w:val="0074387E"/>
    <w:rsid w:val="00744375"/>
    <w:rsid w:val="00745EC6"/>
    <w:rsid w:val="00745FEE"/>
    <w:rsid w:val="00746976"/>
    <w:rsid w:val="00746E4A"/>
    <w:rsid w:val="00746E74"/>
    <w:rsid w:val="00746EED"/>
    <w:rsid w:val="00747370"/>
    <w:rsid w:val="007475D6"/>
    <w:rsid w:val="0075019B"/>
    <w:rsid w:val="00751348"/>
    <w:rsid w:val="00751E94"/>
    <w:rsid w:val="00752259"/>
    <w:rsid w:val="00752406"/>
    <w:rsid w:val="00752E2F"/>
    <w:rsid w:val="0075395A"/>
    <w:rsid w:val="00753B1D"/>
    <w:rsid w:val="00753FCF"/>
    <w:rsid w:val="007548EF"/>
    <w:rsid w:val="00755061"/>
    <w:rsid w:val="00755120"/>
    <w:rsid w:val="0075537E"/>
    <w:rsid w:val="007555C8"/>
    <w:rsid w:val="00755D38"/>
    <w:rsid w:val="0075646B"/>
    <w:rsid w:val="0075764F"/>
    <w:rsid w:val="00757F0A"/>
    <w:rsid w:val="00760B78"/>
    <w:rsid w:val="00760D1B"/>
    <w:rsid w:val="007612C4"/>
    <w:rsid w:val="0076197A"/>
    <w:rsid w:val="00761A76"/>
    <w:rsid w:val="00761FC2"/>
    <w:rsid w:val="00762427"/>
    <w:rsid w:val="0076316D"/>
    <w:rsid w:val="00763B5C"/>
    <w:rsid w:val="0076442A"/>
    <w:rsid w:val="007645AE"/>
    <w:rsid w:val="00765C57"/>
    <w:rsid w:val="00765CF7"/>
    <w:rsid w:val="007668D8"/>
    <w:rsid w:val="00766D3A"/>
    <w:rsid w:val="00766F95"/>
    <w:rsid w:val="00767321"/>
    <w:rsid w:val="00767677"/>
    <w:rsid w:val="0076779E"/>
    <w:rsid w:val="0076786A"/>
    <w:rsid w:val="007678F7"/>
    <w:rsid w:val="0077044A"/>
    <w:rsid w:val="007710D1"/>
    <w:rsid w:val="0077145A"/>
    <w:rsid w:val="00771DFC"/>
    <w:rsid w:val="0077204A"/>
    <w:rsid w:val="0077264B"/>
    <w:rsid w:val="007728D6"/>
    <w:rsid w:val="00772BD2"/>
    <w:rsid w:val="0077300B"/>
    <w:rsid w:val="00773814"/>
    <w:rsid w:val="00773A1B"/>
    <w:rsid w:val="007746F0"/>
    <w:rsid w:val="00774ACF"/>
    <w:rsid w:val="007751BD"/>
    <w:rsid w:val="007752D3"/>
    <w:rsid w:val="00775DAA"/>
    <w:rsid w:val="00775F64"/>
    <w:rsid w:val="00776A12"/>
    <w:rsid w:val="00776A7A"/>
    <w:rsid w:val="00776E67"/>
    <w:rsid w:val="00776F2C"/>
    <w:rsid w:val="007772F3"/>
    <w:rsid w:val="00777DD1"/>
    <w:rsid w:val="007800A9"/>
    <w:rsid w:val="007803FE"/>
    <w:rsid w:val="00780759"/>
    <w:rsid w:val="00780E39"/>
    <w:rsid w:val="00781A8B"/>
    <w:rsid w:val="00782758"/>
    <w:rsid w:val="00782D1F"/>
    <w:rsid w:val="0078345E"/>
    <w:rsid w:val="007836CC"/>
    <w:rsid w:val="00783CCC"/>
    <w:rsid w:val="00784908"/>
    <w:rsid w:val="00784F00"/>
    <w:rsid w:val="007851E5"/>
    <w:rsid w:val="00785487"/>
    <w:rsid w:val="007858A6"/>
    <w:rsid w:val="00786BB8"/>
    <w:rsid w:val="00786F13"/>
    <w:rsid w:val="00787254"/>
    <w:rsid w:val="00787D82"/>
    <w:rsid w:val="00787EBE"/>
    <w:rsid w:val="00790BD1"/>
    <w:rsid w:val="007915D0"/>
    <w:rsid w:val="0079285D"/>
    <w:rsid w:val="00793249"/>
    <w:rsid w:val="00793464"/>
    <w:rsid w:val="00793B8C"/>
    <w:rsid w:val="00793D7F"/>
    <w:rsid w:val="007946DC"/>
    <w:rsid w:val="00794AA1"/>
    <w:rsid w:val="00795144"/>
    <w:rsid w:val="00795ADA"/>
    <w:rsid w:val="00795FD0"/>
    <w:rsid w:val="00796111"/>
    <w:rsid w:val="0079655E"/>
    <w:rsid w:val="00796736"/>
    <w:rsid w:val="00796F39"/>
    <w:rsid w:val="00797448"/>
    <w:rsid w:val="00797996"/>
    <w:rsid w:val="007A0053"/>
    <w:rsid w:val="007A02EB"/>
    <w:rsid w:val="007A052D"/>
    <w:rsid w:val="007A0D22"/>
    <w:rsid w:val="007A1C11"/>
    <w:rsid w:val="007A236C"/>
    <w:rsid w:val="007A2663"/>
    <w:rsid w:val="007A2970"/>
    <w:rsid w:val="007A2A45"/>
    <w:rsid w:val="007A3252"/>
    <w:rsid w:val="007A3B6A"/>
    <w:rsid w:val="007A47BF"/>
    <w:rsid w:val="007A48A9"/>
    <w:rsid w:val="007A4BBA"/>
    <w:rsid w:val="007A4F4F"/>
    <w:rsid w:val="007A586C"/>
    <w:rsid w:val="007A6122"/>
    <w:rsid w:val="007A680C"/>
    <w:rsid w:val="007A6E39"/>
    <w:rsid w:val="007A6F01"/>
    <w:rsid w:val="007A706E"/>
    <w:rsid w:val="007A7307"/>
    <w:rsid w:val="007A756C"/>
    <w:rsid w:val="007B03B8"/>
    <w:rsid w:val="007B04E3"/>
    <w:rsid w:val="007B07FF"/>
    <w:rsid w:val="007B13EB"/>
    <w:rsid w:val="007B18B1"/>
    <w:rsid w:val="007B1B35"/>
    <w:rsid w:val="007B2A70"/>
    <w:rsid w:val="007B2C9C"/>
    <w:rsid w:val="007B32A8"/>
    <w:rsid w:val="007B3BD0"/>
    <w:rsid w:val="007B3D0D"/>
    <w:rsid w:val="007B4096"/>
    <w:rsid w:val="007B4975"/>
    <w:rsid w:val="007B4C73"/>
    <w:rsid w:val="007B5183"/>
    <w:rsid w:val="007B5D58"/>
    <w:rsid w:val="007B6534"/>
    <w:rsid w:val="007B6F66"/>
    <w:rsid w:val="007B705A"/>
    <w:rsid w:val="007B7AF6"/>
    <w:rsid w:val="007B7BA4"/>
    <w:rsid w:val="007B7ED7"/>
    <w:rsid w:val="007C0057"/>
    <w:rsid w:val="007C03D7"/>
    <w:rsid w:val="007C0C7A"/>
    <w:rsid w:val="007C13E4"/>
    <w:rsid w:val="007C1691"/>
    <w:rsid w:val="007C27DC"/>
    <w:rsid w:val="007C3A7A"/>
    <w:rsid w:val="007C41FB"/>
    <w:rsid w:val="007C4493"/>
    <w:rsid w:val="007C4669"/>
    <w:rsid w:val="007C469B"/>
    <w:rsid w:val="007C46DA"/>
    <w:rsid w:val="007C59E6"/>
    <w:rsid w:val="007C5FF8"/>
    <w:rsid w:val="007C681D"/>
    <w:rsid w:val="007C6F2C"/>
    <w:rsid w:val="007C7E23"/>
    <w:rsid w:val="007C7FB7"/>
    <w:rsid w:val="007D070D"/>
    <w:rsid w:val="007D10EF"/>
    <w:rsid w:val="007D1CDF"/>
    <w:rsid w:val="007D2286"/>
    <w:rsid w:val="007D271A"/>
    <w:rsid w:val="007D2C66"/>
    <w:rsid w:val="007D303C"/>
    <w:rsid w:val="007D33E7"/>
    <w:rsid w:val="007D3FB6"/>
    <w:rsid w:val="007D4690"/>
    <w:rsid w:val="007D5593"/>
    <w:rsid w:val="007D5AFF"/>
    <w:rsid w:val="007D5CE9"/>
    <w:rsid w:val="007D6380"/>
    <w:rsid w:val="007D68E7"/>
    <w:rsid w:val="007D6A5A"/>
    <w:rsid w:val="007D6CF7"/>
    <w:rsid w:val="007D7300"/>
    <w:rsid w:val="007D743F"/>
    <w:rsid w:val="007D7B01"/>
    <w:rsid w:val="007D7D56"/>
    <w:rsid w:val="007D7FCD"/>
    <w:rsid w:val="007E0619"/>
    <w:rsid w:val="007E108A"/>
    <w:rsid w:val="007E1C22"/>
    <w:rsid w:val="007E1CCD"/>
    <w:rsid w:val="007E2204"/>
    <w:rsid w:val="007E26A4"/>
    <w:rsid w:val="007E278B"/>
    <w:rsid w:val="007E3951"/>
    <w:rsid w:val="007E3D76"/>
    <w:rsid w:val="007E4D77"/>
    <w:rsid w:val="007E4FC7"/>
    <w:rsid w:val="007E5B48"/>
    <w:rsid w:val="007E6510"/>
    <w:rsid w:val="007E6C0B"/>
    <w:rsid w:val="007E7026"/>
    <w:rsid w:val="007E73F9"/>
    <w:rsid w:val="007E7611"/>
    <w:rsid w:val="007E77FD"/>
    <w:rsid w:val="007E7957"/>
    <w:rsid w:val="007E7C1D"/>
    <w:rsid w:val="007F0107"/>
    <w:rsid w:val="007F0E5E"/>
    <w:rsid w:val="007F0E90"/>
    <w:rsid w:val="007F12D5"/>
    <w:rsid w:val="007F12ED"/>
    <w:rsid w:val="007F22CE"/>
    <w:rsid w:val="007F2750"/>
    <w:rsid w:val="007F2AF3"/>
    <w:rsid w:val="007F3E85"/>
    <w:rsid w:val="007F4BB9"/>
    <w:rsid w:val="007F4CDA"/>
    <w:rsid w:val="007F5063"/>
    <w:rsid w:val="007F560B"/>
    <w:rsid w:val="007F5936"/>
    <w:rsid w:val="007F65E5"/>
    <w:rsid w:val="007F6AA8"/>
    <w:rsid w:val="007F6C61"/>
    <w:rsid w:val="0080150B"/>
    <w:rsid w:val="0080196B"/>
    <w:rsid w:val="008026E2"/>
    <w:rsid w:val="00802A8C"/>
    <w:rsid w:val="00803155"/>
    <w:rsid w:val="00803302"/>
    <w:rsid w:val="00803D73"/>
    <w:rsid w:val="00805851"/>
    <w:rsid w:val="008070B6"/>
    <w:rsid w:val="008070FF"/>
    <w:rsid w:val="0080779F"/>
    <w:rsid w:val="00810633"/>
    <w:rsid w:val="00811D46"/>
    <w:rsid w:val="00812916"/>
    <w:rsid w:val="0081295B"/>
    <w:rsid w:val="00812D7C"/>
    <w:rsid w:val="008133B1"/>
    <w:rsid w:val="0081373F"/>
    <w:rsid w:val="00813C38"/>
    <w:rsid w:val="008142CD"/>
    <w:rsid w:val="0081452E"/>
    <w:rsid w:val="0081492A"/>
    <w:rsid w:val="00814ECF"/>
    <w:rsid w:val="00815525"/>
    <w:rsid w:val="00815E05"/>
    <w:rsid w:val="00816563"/>
    <w:rsid w:val="008165C2"/>
    <w:rsid w:val="008166BA"/>
    <w:rsid w:val="00816A89"/>
    <w:rsid w:val="00816AB3"/>
    <w:rsid w:val="00816B73"/>
    <w:rsid w:val="00816BDF"/>
    <w:rsid w:val="00817024"/>
    <w:rsid w:val="00817227"/>
    <w:rsid w:val="008173F1"/>
    <w:rsid w:val="00817544"/>
    <w:rsid w:val="00817A8C"/>
    <w:rsid w:val="008205E8"/>
    <w:rsid w:val="00821E88"/>
    <w:rsid w:val="00822DBA"/>
    <w:rsid w:val="008230E6"/>
    <w:rsid w:val="0082353B"/>
    <w:rsid w:val="00823721"/>
    <w:rsid w:val="00823868"/>
    <w:rsid w:val="00823EF7"/>
    <w:rsid w:val="0082489A"/>
    <w:rsid w:val="00825418"/>
    <w:rsid w:val="00825671"/>
    <w:rsid w:val="00825AEE"/>
    <w:rsid w:val="0082638F"/>
    <w:rsid w:val="00826999"/>
    <w:rsid w:val="00826E3B"/>
    <w:rsid w:val="00827136"/>
    <w:rsid w:val="00827B4F"/>
    <w:rsid w:val="00827B65"/>
    <w:rsid w:val="0083065E"/>
    <w:rsid w:val="00830E09"/>
    <w:rsid w:val="00831BB0"/>
    <w:rsid w:val="00831F45"/>
    <w:rsid w:val="008329A5"/>
    <w:rsid w:val="00832A24"/>
    <w:rsid w:val="00832E26"/>
    <w:rsid w:val="00832E57"/>
    <w:rsid w:val="00833268"/>
    <w:rsid w:val="00834485"/>
    <w:rsid w:val="00834887"/>
    <w:rsid w:val="00834970"/>
    <w:rsid w:val="00834BAA"/>
    <w:rsid w:val="008351E9"/>
    <w:rsid w:val="008354AA"/>
    <w:rsid w:val="00835696"/>
    <w:rsid w:val="00835795"/>
    <w:rsid w:val="00836639"/>
    <w:rsid w:val="0083674B"/>
    <w:rsid w:val="008368BA"/>
    <w:rsid w:val="00841548"/>
    <w:rsid w:val="008416CB"/>
    <w:rsid w:val="0084196A"/>
    <w:rsid w:val="00841DB1"/>
    <w:rsid w:val="008438E0"/>
    <w:rsid w:val="008442E5"/>
    <w:rsid w:val="00844B54"/>
    <w:rsid w:val="00845374"/>
    <w:rsid w:val="008453B3"/>
    <w:rsid w:val="0084550E"/>
    <w:rsid w:val="00845FDF"/>
    <w:rsid w:val="00846DB2"/>
    <w:rsid w:val="00847829"/>
    <w:rsid w:val="00847BEF"/>
    <w:rsid w:val="00847E96"/>
    <w:rsid w:val="00850098"/>
    <w:rsid w:val="008500C0"/>
    <w:rsid w:val="008502C8"/>
    <w:rsid w:val="00850433"/>
    <w:rsid w:val="00850A72"/>
    <w:rsid w:val="00850B44"/>
    <w:rsid w:val="00851131"/>
    <w:rsid w:val="0085179E"/>
    <w:rsid w:val="00851AB4"/>
    <w:rsid w:val="00851CD5"/>
    <w:rsid w:val="00851E5B"/>
    <w:rsid w:val="008524A5"/>
    <w:rsid w:val="00852E5D"/>
    <w:rsid w:val="0085536C"/>
    <w:rsid w:val="00856168"/>
    <w:rsid w:val="00856AC0"/>
    <w:rsid w:val="00857220"/>
    <w:rsid w:val="00857F76"/>
    <w:rsid w:val="008601F1"/>
    <w:rsid w:val="00860D70"/>
    <w:rsid w:val="00860F65"/>
    <w:rsid w:val="008623EB"/>
    <w:rsid w:val="00862CE5"/>
    <w:rsid w:val="00862FB0"/>
    <w:rsid w:val="008630E4"/>
    <w:rsid w:val="008634ED"/>
    <w:rsid w:val="00863F1A"/>
    <w:rsid w:val="0086467F"/>
    <w:rsid w:val="0086473B"/>
    <w:rsid w:val="00865239"/>
    <w:rsid w:val="008667DE"/>
    <w:rsid w:val="0086684C"/>
    <w:rsid w:val="008672A0"/>
    <w:rsid w:val="00867611"/>
    <w:rsid w:val="00867A3B"/>
    <w:rsid w:val="00867A85"/>
    <w:rsid w:val="00870763"/>
    <w:rsid w:val="00870EC8"/>
    <w:rsid w:val="008715D1"/>
    <w:rsid w:val="00872495"/>
    <w:rsid w:val="008739A7"/>
    <w:rsid w:val="00874B35"/>
    <w:rsid w:val="008751CB"/>
    <w:rsid w:val="00875674"/>
    <w:rsid w:val="00875BE0"/>
    <w:rsid w:val="00875E6A"/>
    <w:rsid w:val="00876196"/>
    <w:rsid w:val="008764BB"/>
    <w:rsid w:val="0087759C"/>
    <w:rsid w:val="008776BF"/>
    <w:rsid w:val="00877760"/>
    <w:rsid w:val="008801CA"/>
    <w:rsid w:val="008804CC"/>
    <w:rsid w:val="0088153C"/>
    <w:rsid w:val="008815CE"/>
    <w:rsid w:val="00881770"/>
    <w:rsid w:val="00881774"/>
    <w:rsid w:val="0088183A"/>
    <w:rsid w:val="00881C13"/>
    <w:rsid w:val="0088234D"/>
    <w:rsid w:val="0088276C"/>
    <w:rsid w:val="0088282A"/>
    <w:rsid w:val="008828D2"/>
    <w:rsid w:val="00882A82"/>
    <w:rsid w:val="00882E68"/>
    <w:rsid w:val="00883504"/>
    <w:rsid w:val="0088350B"/>
    <w:rsid w:val="00883DEF"/>
    <w:rsid w:val="0088403D"/>
    <w:rsid w:val="00884187"/>
    <w:rsid w:val="008841F0"/>
    <w:rsid w:val="0088455D"/>
    <w:rsid w:val="008853C4"/>
    <w:rsid w:val="0088604D"/>
    <w:rsid w:val="008863E0"/>
    <w:rsid w:val="008864B7"/>
    <w:rsid w:val="0088650C"/>
    <w:rsid w:val="008867A3"/>
    <w:rsid w:val="00886A0E"/>
    <w:rsid w:val="00886BB5"/>
    <w:rsid w:val="0089045B"/>
    <w:rsid w:val="00890B25"/>
    <w:rsid w:val="00891305"/>
    <w:rsid w:val="00892157"/>
    <w:rsid w:val="00892A99"/>
    <w:rsid w:val="00892E0F"/>
    <w:rsid w:val="00894663"/>
    <w:rsid w:val="00895050"/>
    <w:rsid w:val="008950C3"/>
    <w:rsid w:val="008954A7"/>
    <w:rsid w:val="0089599F"/>
    <w:rsid w:val="00895F7A"/>
    <w:rsid w:val="00896116"/>
    <w:rsid w:val="00896B2C"/>
    <w:rsid w:val="008975FA"/>
    <w:rsid w:val="00897E47"/>
    <w:rsid w:val="008A0242"/>
    <w:rsid w:val="008A0AAF"/>
    <w:rsid w:val="008A0C24"/>
    <w:rsid w:val="008A1247"/>
    <w:rsid w:val="008A1FDC"/>
    <w:rsid w:val="008A2D9E"/>
    <w:rsid w:val="008A3B23"/>
    <w:rsid w:val="008A3D2A"/>
    <w:rsid w:val="008A457C"/>
    <w:rsid w:val="008A48E7"/>
    <w:rsid w:val="008A507E"/>
    <w:rsid w:val="008A50A3"/>
    <w:rsid w:val="008A5C23"/>
    <w:rsid w:val="008A5D52"/>
    <w:rsid w:val="008A5E85"/>
    <w:rsid w:val="008A6739"/>
    <w:rsid w:val="008A6E21"/>
    <w:rsid w:val="008A7086"/>
    <w:rsid w:val="008A792B"/>
    <w:rsid w:val="008A7E44"/>
    <w:rsid w:val="008A7EEE"/>
    <w:rsid w:val="008B03D7"/>
    <w:rsid w:val="008B05BF"/>
    <w:rsid w:val="008B0822"/>
    <w:rsid w:val="008B0E0B"/>
    <w:rsid w:val="008B12FA"/>
    <w:rsid w:val="008B261C"/>
    <w:rsid w:val="008B276D"/>
    <w:rsid w:val="008B2E48"/>
    <w:rsid w:val="008B3446"/>
    <w:rsid w:val="008B34A0"/>
    <w:rsid w:val="008B5A0C"/>
    <w:rsid w:val="008B5A0E"/>
    <w:rsid w:val="008B60D8"/>
    <w:rsid w:val="008B61C7"/>
    <w:rsid w:val="008B62F8"/>
    <w:rsid w:val="008B6D1F"/>
    <w:rsid w:val="008B6E02"/>
    <w:rsid w:val="008B72AB"/>
    <w:rsid w:val="008B7816"/>
    <w:rsid w:val="008B7AD4"/>
    <w:rsid w:val="008B7F49"/>
    <w:rsid w:val="008C0272"/>
    <w:rsid w:val="008C0307"/>
    <w:rsid w:val="008C1DCA"/>
    <w:rsid w:val="008C25B9"/>
    <w:rsid w:val="008C26B8"/>
    <w:rsid w:val="008C2AE0"/>
    <w:rsid w:val="008C2B6A"/>
    <w:rsid w:val="008C2C3C"/>
    <w:rsid w:val="008C2E29"/>
    <w:rsid w:val="008C2EA1"/>
    <w:rsid w:val="008C3462"/>
    <w:rsid w:val="008C3613"/>
    <w:rsid w:val="008C37D2"/>
    <w:rsid w:val="008C4119"/>
    <w:rsid w:val="008C44D6"/>
    <w:rsid w:val="008C4B2D"/>
    <w:rsid w:val="008C53E6"/>
    <w:rsid w:val="008C5F41"/>
    <w:rsid w:val="008C621A"/>
    <w:rsid w:val="008C62C7"/>
    <w:rsid w:val="008C6B4E"/>
    <w:rsid w:val="008C6FFD"/>
    <w:rsid w:val="008C7B96"/>
    <w:rsid w:val="008D0440"/>
    <w:rsid w:val="008D049E"/>
    <w:rsid w:val="008D15C0"/>
    <w:rsid w:val="008D20D1"/>
    <w:rsid w:val="008D3904"/>
    <w:rsid w:val="008D3958"/>
    <w:rsid w:val="008D3F2F"/>
    <w:rsid w:val="008D49DB"/>
    <w:rsid w:val="008D4A8C"/>
    <w:rsid w:val="008D4D51"/>
    <w:rsid w:val="008D57A1"/>
    <w:rsid w:val="008D60CC"/>
    <w:rsid w:val="008D6271"/>
    <w:rsid w:val="008D6841"/>
    <w:rsid w:val="008D723F"/>
    <w:rsid w:val="008D7D75"/>
    <w:rsid w:val="008E134E"/>
    <w:rsid w:val="008E1905"/>
    <w:rsid w:val="008E1F1F"/>
    <w:rsid w:val="008E25BD"/>
    <w:rsid w:val="008E26DA"/>
    <w:rsid w:val="008E2C39"/>
    <w:rsid w:val="008E2EFB"/>
    <w:rsid w:val="008E3657"/>
    <w:rsid w:val="008E3AEB"/>
    <w:rsid w:val="008E3CA9"/>
    <w:rsid w:val="008E422C"/>
    <w:rsid w:val="008E476F"/>
    <w:rsid w:val="008E4E15"/>
    <w:rsid w:val="008E5AC2"/>
    <w:rsid w:val="008E64C0"/>
    <w:rsid w:val="008E6D69"/>
    <w:rsid w:val="008E6DDC"/>
    <w:rsid w:val="008E7C8E"/>
    <w:rsid w:val="008E7FE3"/>
    <w:rsid w:val="008E7FEC"/>
    <w:rsid w:val="008F03C5"/>
    <w:rsid w:val="008F0E05"/>
    <w:rsid w:val="008F0EF8"/>
    <w:rsid w:val="008F1199"/>
    <w:rsid w:val="008F1C70"/>
    <w:rsid w:val="008F1D09"/>
    <w:rsid w:val="008F1F8A"/>
    <w:rsid w:val="008F217E"/>
    <w:rsid w:val="008F2723"/>
    <w:rsid w:val="008F294C"/>
    <w:rsid w:val="008F29E5"/>
    <w:rsid w:val="008F309B"/>
    <w:rsid w:val="008F4C48"/>
    <w:rsid w:val="008F63CF"/>
    <w:rsid w:val="008F68DD"/>
    <w:rsid w:val="0090063C"/>
    <w:rsid w:val="0090081B"/>
    <w:rsid w:val="009011B6"/>
    <w:rsid w:val="009014C5"/>
    <w:rsid w:val="00901929"/>
    <w:rsid w:val="009028C0"/>
    <w:rsid w:val="00902A5F"/>
    <w:rsid w:val="00902D08"/>
    <w:rsid w:val="009030B4"/>
    <w:rsid w:val="00903D06"/>
    <w:rsid w:val="00904843"/>
    <w:rsid w:val="00904886"/>
    <w:rsid w:val="00904B36"/>
    <w:rsid w:val="0090613F"/>
    <w:rsid w:val="00906614"/>
    <w:rsid w:val="00907236"/>
    <w:rsid w:val="009073D4"/>
    <w:rsid w:val="0090775B"/>
    <w:rsid w:val="00907C4D"/>
    <w:rsid w:val="00910120"/>
    <w:rsid w:val="00911473"/>
    <w:rsid w:val="0091147A"/>
    <w:rsid w:val="00911CC8"/>
    <w:rsid w:val="00911D01"/>
    <w:rsid w:val="00913D44"/>
    <w:rsid w:val="00913EFA"/>
    <w:rsid w:val="00914B55"/>
    <w:rsid w:val="00915180"/>
    <w:rsid w:val="00915990"/>
    <w:rsid w:val="00915A6B"/>
    <w:rsid w:val="00916FAC"/>
    <w:rsid w:val="0091728B"/>
    <w:rsid w:val="00917729"/>
    <w:rsid w:val="00920B67"/>
    <w:rsid w:val="00920FAB"/>
    <w:rsid w:val="0092113C"/>
    <w:rsid w:val="00921BFE"/>
    <w:rsid w:val="00922AA1"/>
    <w:rsid w:val="00922B4E"/>
    <w:rsid w:val="0092395E"/>
    <w:rsid w:val="00923AAC"/>
    <w:rsid w:val="00923FE5"/>
    <w:rsid w:val="00924054"/>
    <w:rsid w:val="00924BEB"/>
    <w:rsid w:val="00924C71"/>
    <w:rsid w:val="009251BC"/>
    <w:rsid w:val="00925264"/>
    <w:rsid w:val="00925267"/>
    <w:rsid w:val="00925FB6"/>
    <w:rsid w:val="00926646"/>
    <w:rsid w:val="00926A93"/>
    <w:rsid w:val="00927CB2"/>
    <w:rsid w:val="00927D72"/>
    <w:rsid w:val="00930A88"/>
    <w:rsid w:val="00931227"/>
    <w:rsid w:val="00931DEF"/>
    <w:rsid w:val="00932B62"/>
    <w:rsid w:val="0093362B"/>
    <w:rsid w:val="009337EE"/>
    <w:rsid w:val="009339FC"/>
    <w:rsid w:val="00934411"/>
    <w:rsid w:val="00934642"/>
    <w:rsid w:val="00937C2C"/>
    <w:rsid w:val="00940121"/>
    <w:rsid w:val="0094089B"/>
    <w:rsid w:val="00940B1D"/>
    <w:rsid w:val="00940B6C"/>
    <w:rsid w:val="00941658"/>
    <w:rsid w:val="00941866"/>
    <w:rsid w:val="00941F03"/>
    <w:rsid w:val="00941F4B"/>
    <w:rsid w:val="00941F77"/>
    <w:rsid w:val="009427DF"/>
    <w:rsid w:val="00942996"/>
    <w:rsid w:val="00942B39"/>
    <w:rsid w:val="00943659"/>
    <w:rsid w:val="009439BC"/>
    <w:rsid w:val="00944176"/>
    <w:rsid w:val="0094640E"/>
    <w:rsid w:val="00946651"/>
    <w:rsid w:val="00946903"/>
    <w:rsid w:val="00946AE8"/>
    <w:rsid w:val="00946C69"/>
    <w:rsid w:val="00946F74"/>
    <w:rsid w:val="00946FB6"/>
    <w:rsid w:val="0094735F"/>
    <w:rsid w:val="009474D5"/>
    <w:rsid w:val="0095005F"/>
    <w:rsid w:val="009513F6"/>
    <w:rsid w:val="0095183D"/>
    <w:rsid w:val="00951CAD"/>
    <w:rsid w:val="00952124"/>
    <w:rsid w:val="00952199"/>
    <w:rsid w:val="009523E7"/>
    <w:rsid w:val="009524B9"/>
    <w:rsid w:val="0095255A"/>
    <w:rsid w:val="00952C2E"/>
    <w:rsid w:val="00952D88"/>
    <w:rsid w:val="009535CF"/>
    <w:rsid w:val="0095563A"/>
    <w:rsid w:val="0095582E"/>
    <w:rsid w:val="00955919"/>
    <w:rsid w:val="009559B6"/>
    <w:rsid w:val="0095625F"/>
    <w:rsid w:val="00956504"/>
    <w:rsid w:val="00957157"/>
    <w:rsid w:val="0095771F"/>
    <w:rsid w:val="00957CE4"/>
    <w:rsid w:val="00957E22"/>
    <w:rsid w:val="00960D54"/>
    <w:rsid w:val="00960DDB"/>
    <w:rsid w:val="009628D3"/>
    <w:rsid w:val="00962ACA"/>
    <w:rsid w:val="00963A32"/>
    <w:rsid w:val="009651CB"/>
    <w:rsid w:val="009659A5"/>
    <w:rsid w:val="00965A9A"/>
    <w:rsid w:val="00965F72"/>
    <w:rsid w:val="009662B9"/>
    <w:rsid w:val="00966C02"/>
    <w:rsid w:val="009672D7"/>
    <w:rsid w:val="009672E5"/>
    <w:rsid w:val="00967506"/>
    <w:rsid w:val="00967618"/>
    <w:rsid w:val="0096780C"/>
    <w:rsid w:val="00967A64"/>
    <w:rsid w:val="00970DB8"/>
    <w:rsid w:val="009716F3"/>
    <w:rsid w:val="00971903"/>
    <w:rsid w:val="0097215F"/>
    <w:rsid w:val="0097350F"/>
    <w:rsid w:val="00973597"/>
    <w:rsid w:val="009743EF"/>
    <w:rsid w:val="00974992"/>
    <w:rsid w:val="00974B70"/>
    <w:rsid w:val="00974CB5"/>
    <w:rsid w:val="00974CC2"/>
    <w:rsid w:val="00974D5D"/>
    <w:rsid w:val="00974F66"/>
    <w:rsid w:val="0097536E"/>
    <w:rsid w:val="00975385"/>
    <w:rsid w:val="00975E23"/>
    <w:rsid w:val="00976DBD"/>
    <w:rsid w:val="00976F92"/>
    <w:rsid w:val="00977063"/>
    <w:rsid w:val="009775C4"/>
    <w:rsid w:val="00977710"/>
    <w:rsid w:val="00977AD2"/>
    <w:rsid w:val="00980C7C"/>
    <w:rsid w:val="00981933"/>
    <w:rsid w:val="009825A2"/>
    <w:rsid w:val="009837D1"/>
    <w:rsid w:val="009839F1"/>
    <w:rsid w:val="0098433B"/>
    <w:rsid w:val="0098497C"/>
    <w:rsid w:val="00984BD7"/>
    <w:rsid w:val="009857BD"/>
    <w:rsid w:val="0098620D"/>
    <w:rsid w:val="00986983"/>
    <w:rsid w:val="00986998"/>
    <w:rsid w:val="00987053"/>
    <w:rsid w:val="009871BD"/>
    <w:rsid w:val="00987630"/>
    <w:rsid w:val="00987B1C"/>
    <w:rsid w:val="00987C39"/>
    <w:rsid w:val="00990DBE"/>
    <w:rsid w:val="00990F7C"/>
    <w:rsid w:val="00991885"/>
    <w:rsid w:val="00991D43"/>
    <w:rsid w:val="009922E3"/>
    <w:rsid w:val="009924EC"/>
    <w:rsid w:val="00992507"/>
    <w:rsid w:val="00992A8D"/>
    <w:rsid w:val="00993509"/>
    <w:rsid w:val="009938D3"/>
    <w:rsid w:val="00993974"/>
    <w:rsid w:val="00993BC3"/>
    <w:rsid w:val="00994781"/>
    <w:rsid w:val="009947E8"/>
    <w:rsid w:val="0099580E"/>
    <w:rsid w:val="0099667A"/>
    <w:rsid w:val="009967AB"/>
    <w:rsid w:val="009970AA"/>
    <w:rsid w:val="0099753D"/>
    <w:rsid w:val="009975AE"/>
    <w:rsid w:val="009A00A3"/>
    <w:rsid w:val="009A0431"/>
    <w:rsid w:val="009A0902"/>
    <w:rsid w:val="009A10E9"/>
    <w:rsid w:val="009A1A1B"/>
    <w:rsid w:val="009A1CA4"/>
    <w:rsid w:val="009A2288"/>
    <w:rsid w:val="009A2A58"/>
    <w:rsid w:val="009A3133"/>
    <w:rsid w:val="009A3150"/>
    <w:rsid w:val="009A3379"/>
    <w:rsid w:val="009A41AB"/>
    <w:rsid w:val="009A4215"/>
    <w:rsid w:val="009A46BD"/>
    <w:rsid w:val="009A4C6D"/>
    <w:rsid w:val="009A4FE9"/>
    <w:rsid w:val="009A5388"/>
    <w:rsid w:val="009A5AD7"/>
    <w:rsid w:val="009A6418"/>
    <w:rsid w:val="009A649A"/>
    <w:rsid w:val="009A65D0"/>
    <w:rsid w:val="009A6B9A"/>
    <w:rsid w:val="009A7105"/>
    <w:rsid w:val="009B0005"/>
    <w:rsid w:val="009B024A"/>
    <w:rsid w:val="009B0694"/>
    <w:rsid w:val="009B0F51"/>
    <w:rsid w:val="009B12CB"/>
    <w:rsid w:val="009B17F4"/>
    <w:rsid w:val="009B1CCB"/>
    <w:rsid w:val="009B26C5"/>
    <w:rsid w:val="009B2840"/>
    <w:rsid w:val="009B28F1"/>
    <w:rsid w:val="009B2B29"/>
    <w:rsid w:val="009B2DB3"/>
    <w:rsid w:val="009B2F95"/>
    <w:rsid w:val="009B2F99"/>
    <w:rsid w:val="009B3A9A"/>
    <w:rsid w:val="009B3CC5"/>
    <w:rsid w:val="009B3D1F"/>
    <w:rsid w:val="009B3F1A"/>
    <w:rsid w:val="009B6BEC"/>
    <w:rsid w:val="009B79DC"/>
    <w:rsid w:val="009B7DF4"/>
    <w:rsid w:val="009C0353"/>
    <w:rsid w:val="009C0425"/>
    <w:rsid w:val="009C0782"/>
    <w:rsid w:val="009C07FA"/>
    <w:rsid w:val="009C0843"/>
    <w:rsid w:val="009C0D2D"/>
    <w:rsid w:val="009C1600"/>
    <w:rsid w:val="009C1CD3"/>
    <w:rsid w:val="009C3460"/>
    <w:rsid w:val="009C3A94"/>
    <w:rsid w:val="009C423A"/>
    <w:rsid w:val="009C467E"/>
    <w:rsid w:val="009C50B4"/>
    <w:rsid w:val="009C605F"/>
    <w:rsid w:val="009C6431"/>
    <w:rsid w:val="009C6979"/>
    <w:rsid w:val="009D0055"/>
    <w:rsid w:val="009D0149"/>
    <w:rsid w:val="009D033D"/>
    <w:rsid w:val="009D065A"/>
    <w:rsid w:val="009D06C3"/>
    <w:rsid w:val="009D0701"/>
    <w:rsid w:val="009D0E1A"/>
    <w:rsid w:val="009D11EC"/>
    <w:rsid w:val="009D1638"/>
    <w:rsid w:val="009D1D55"/>
    <w:rsid w:val="009D331C"/>
    <w:rsid w:val="009D39C5"/>
    <w:rsid w:val="009D3B5A"/>
    <w:rsid w:val="009D41BB"/>
    <w:rsid w:val="009D4710"/>
    <w:rsid w:val="009D4DDF"/>
    <w:rsid w:val="009D4E62"/>
    <w:rsid w:val="009D4F0D"/>
    <w:rsid w:val="009D5461"/>
    <w:rsid w:val="009D5E3D"/>
    <w:rsid w:val="009D618F"/>
    <w:rsid w:val="009D76C8"/>
    <w:rsid w:val="009E05E4"/>
    <w:rsid w:val="009E0BE7"/>
    <w:rsid w:val="009E14D1"/>
    <w:rsid w:val="009E219A"/>
    <w:rsid w:val="009E281C"/>
    <w:rsid w:val="009E3487"/>
    <w:rsid w:val="009E38F7"/>
    <w:rsid w:val="009E46DC"/>
    <w:rsid w:val="009E49FE"/>
    <w:rsid w:val="009E4E63"/>
    <w:rsid w:val="009E4EC3"/>
    <w:rsid w:val="009E74F1"/>
    <w:rsid w:val="009F0597"/>
    <w:rsid w:val="009F0B66"/>
    <w:rsid w:val="009F18E1"/>
    <w:rsid w:val="009F210A"/>
    <w:rsid w:val="009F23CA"/>
    <w:rsid w:val="009F2BFC"/>
    <w:rsid w:val="009F2D60"/>
    <w:rsid w:val="009F2FFC"/>
    <w:rsid w:val="009F308E"/>
    <w:rsid w:val="009F3543"/>
    <w:rsid w:val="009F44A0"/>
    <w:rsid w:val="009F4CFB"/>
    <w:rsid w:val="009F4D53"/>
    <w:rsid w:val="009F5620"/>
    <w:rsid w:val="009F5BD7"/>
    <w:rsid w:val="009F6ECD"/>
    <w:rsid w:val="009F7349"/>
    <w:rsid w:val="009F7862"/>
    <w:rsid w:val="009F7D40"/>
    <w:rsid w:val="009F7E87"/>
    <w:rsid w:val="00A00144"/>
    <w:rsid w:val="00A00898"/>
    <w:rsid w:val="00A00995"/>
    <w:rsid w:val="00A00AFA"/>
    <w:rsid w:val="00A00C3E"/>
    <w:rsid w:val="00A02151"/>
    <w:rsid w:val="00A02C46"/>
    <w:rsid w:val="00A02EA0"/>
    <w:rsid w:val="00A03742"/>
    <w:rsid w:val="00A03ED1"/>
    <w:rsid w:val="00A0447D"/>
    <w:rsid w:val="00A04601"/>
    <w:rsid w:val="00A04DD5"/>
    <w:rsid w:val="00A05032"/>
    <w:rsid w:val="00A05A70"/>
    <w:rsid w:val="00A06563"/>
    <w:rsid w:val="00A06D45"/>
    <w:rsid w:val="00A073CD"/>
    <w:rsid w:val="00A07C7D"/>
    <w:rsid w:val="00A1056E"/>
    <w:rsid w:val="00A108F2"/>
    <w:rsid w:val="00A10FC4"/>
    <w:rsid w:val="00A1125B"/>
    <w:rsid w:val="00A11668"/>
    <w:rsid w:val="00A11A30"/>
    <w:rsid w:val="00A11FC4"/>
    <w:rsid w:val="00A1294F"/>
    <w:rsid w:val="00A12CA8"/>
    <w:rsid w:val="00A136D4"/>
    <w:rsid w:val="00A138D7"/>
    <w:rsid w:val="00A13EBD"/>
    <w:rsid w:val="00A1423D"/>
    <w:rsid w:val="00A14438"/>
    <w:rsid w:val="00A15B83"/>
    <w:rsid w:val="00A15CAD"/>
    <w:rsid w:val="00A1623D"/>
    <w:rsid w:val="00A16C19"/>
    <w:rsid w:val="00A174B9"/>
    <w:rsid w:val="00A1761A"/>
    <w:rsid w:val="00A17D31"/>
    <w:rsid w:val="00A2014A"/>
    <w:rsid w:val="00A20AD3"/>
    <w:rsid w:val="00A233FC"/>
    <w:rsid w:val="00A23467"/>
    <w:rsid w:val="00A23FCB"/>
    <w:rsid w:val="00A240FB"/>
    <w:rsid w:val="00A24C8A"/>
    <w:rsid w:val="00A24FD6"/>
    <w:rsid w:val="00A25227"/>
    <w:rsid w:val="00A26A5F"/>
    <w:rsid w:val="00A26CAE"/>
    <w:rsid w:val="00A27AED"/>
    <w:rsid w:val="00A3073A"/>
    <w:rsid w:val="00A30F9E"/>
    <w:rsid w:val="00A3163A"/>
    <w:rsid w:val="00A319EA"/>
    <w:rsid w:val="00A33270"/>
    <w:rsid w:val="00A3339E"/>
    <w:rsid w:val="00A34607"/>
    <w:rsid w:val="00A3480B"/>
    <w:rsid w:val="00A34ABA"/>
    <w:rsid w:val="00A34D18"/>
    <w:rsid w:val="00A352B4"/>
    <w:rsid w:val="00A35F52"/>
    <w:rsid w:val="00A36314"/>
    <w:rsid w:val="00A36839"/>
    <w:rsid w:val="00A37116"/>
    <w:rsid w:val="00A37183"/>
    <w:rsid w:val="00A40565"/>
    <w:rsid w:val="00A408E4"/>
    <w:rsid w:val="00A41317"/>
    <w:rsid w:val="00A41829"/>
    <w:rsid w:val="00A419CD"/>
    <w:rsid w:val="00A41F83"/>
    <w:rsid w:val="00A42823"/>
    <w:rsid w:val="00A4318F"/>
    <w:rsid w:val="00A43B0D"/>
    <w:rsid w:val="00A4469C"/>
    <w:rsid w:val="00A44BB5"/>
    <w:rsid w:val="00A4598A"/>
    <w:rsid w:val="00A45CA5"/>
    <w:rsid w:val="00A46269"/>
    <w:rsid w:val="00A46583"/>
    <w:rsid w:val="00A46CE6"/>
    <w:rsid w:val="00A47042"/>
    <w:rsid w:val="00A47678"/>
    <w:rsid w:val="00A47A6A"/>
    <w:rsid w:val="00A47D29"/>
    <w:rsid w:val="00A50770"/>
    <w:rsid w:val="00A50889"/>
    <w:rsid w:val="00A508A4"/>
    <w:rsid w:val="00A50BAC"/>
    <w:rsid w:val="00A51072"/>
    <w:rsid w:val="00A511C8"/>
    <w:rsid w:val="00A513FD"/>
    <w:rsid w:val="00A51B54"/>
    <w:rsid w:val="00A51FDA"/>
    <w:rsid w:val="00A52961"/>
    <w:rsid w:val="00A52A59"/>
    <w:rsid w:val="00A53E8B"/>
    <w:rsid w:val="00A53EB3"/>
    <w:rsid w:val="00A54866"/>
    <w:rsid w:val="00A54AC9"/>
    <w:rsid w:val="00A54D99"/>
    <w:rsid w:val="00A55427"/>
    <w:rsid w:val="00A55657"/>
    <w:rsid w:val="00A558DC"/>
    <w:rsid w:val="00A55CC9"/>
    <w:rsid w:val="00A55E79"/>
    <w:rsid w:val="00A56039"/>
    <w:rsid w:val="00A5628D"/>
    <w:rsid w:val="00A5666D"/>
    <w:rsid w:val="00A5689B"/>
    <w:rsid w:val="00A5774B"/>
    <w:rsid w:val="00A57A74"/>
    <w:rsid w:val="00A57ADB"/>
    <w:rsid w:val="00A6033F"/>
    <w:rsid w:val="00A60393"/>
    <w:rsid w:val="00A60F33"/>
    <w:rsid w:val="00A61CBD"/>
    <w:rsid w:val="00A629FF"/>
    <w:rsid w:val="00A63431"/>
    <w:rsid w:val="00A63B39"/>
    <w:rsid w:val="00A63EEE"/>
    <w:rsid w:val="00A64DBF"/>
    <w:rsid w:val="00A64F10"/>
    <w:rsid w:val="00A65504"/>
    <w:rsid w:val="00A655BE"/>
    <w:rsid w:val="00A65E1A"/>
    <w:rsid w:val="00A66FE2"/>
    <w:rsid w:val="00A67494"/>
    <w:rsid w:val="00A67B00"/>
    <w:rsid w:val="00A70677"/>
    <w:rsid w:val="00A70708"/>
    <w:rsid w:val="00A709F1"/>
    <w:rsid w:val="00A7126D"/>
    <w:rsid w:val="00A71336"/>
    <w:rsid w:val="00A714A0"/>
    <w:rsid w:val="00A714F0"/>
    <w:rsid w:val="00A7189E"/>
    <w:rsid w:val="00A71CD0"/>
    <w:rsid w:val="00A726D0"/>
    <w:rsid w:val="00A735FA"/>
    <w:rsid w:val="00A73A60"/>
    <w:rsid w:val="00A73C61"/>
    <w:rsid w:val="00A73DF5"/>
    <w:rsid w:val="00A73E9C"/>
    <w:rsid w:val="00A743E7"/>
    <w:rsid w:val="00A743EC"/>
    <w:rsid w:val="00A74517"/>
    <w:rsid w:val="00A74748"/>
    <w:rsid w:val="00A74B7C"/>
    <w:rsid w:val="00A74E7F"/>
    <w:rsid w:val="00A7511B"/>
    <w:rsid w:val="00A75ACD"/>
    <w:rsid w:val="00A76409"/>
    <w:rsid w:val="00A76A89"/>
    <w:rsid w:val="00A76DBC"/>
    <w:rsid w:val="00A779DC"/>
    <w:rsid w:val="00A800FC"/>
    <w:rsid w:val="00A802A5"/>
    <w:rsid w:val="00A80664"/>
    <w:rsid w:val="00A80CDB"/>
    <w:rsid w:val="00A81446"/>
    <w:rsid w:val="00A82116"/>
    <w:rsid w:val="00A8275F"/>
    <w:rsid w:val="00A82C2C"/>
    <w:rsid w:val="00A8434D"/>
    <w:rsid w:val="00A846E0"/>
    <w:rsid w:val="00A84BBC"/>
    <w:rsid w:val="00A86818"/>
    <w:rsid w:val="00A87184"/>
    <w:rsid w:val="00A8729B"/>
    <w:rsid w:val="00A874A8"/>
    <w:rsid w:val="00A9008A"/>
    <w:rsid w:val="00A91A86"/>
    <w:rsid w:val="00A92705"/>
    <w:rsid w:val="00A929EB"/>
    <w:rsid w:val="00A92E5D"/>
    <w:rsid w:val="00A93344"/>
    <w:rsid w:val="00A93631"/>
    <w:rsid w:val="00A94339"/>
    <w:rsid w:val="00A94889"/>
    <w:rsid w:val="00A948D2"/>
    <w:rsid w:val="00A950E2"/>
    <w:rsid w:val="00A95217"/>
    <w:rsid w:val="00A956D8"/>
    <w:rsid w:val="00A96CEC"/>
    <w:rsid w:val="00A96FD0"/>
    <w:rsid w:val="00A9768C"/>
    <w:rsid w:val="00A977B9"/>
    <w:rsid w:val="00A97B47"/>
    <w:rsid w:val="00A97E2C"/>
    <w:rsid w:val="00A97F23"/>
    <w:rsid w:val="00AA0212"/>
    <w:rsid w:val="00AA064F"/>
    <w:rsid w:val="00AA073E"/>
    <w:rsid w:val="00AA089D"/>
    <w:rsid w:val="00AA0B7E"/>
    <w:rsid w:val="00AA1FEE"/>
    <w:rsid w:val="00AA27A3"/>
    <w:rsid w:val="00AA2E4D"/>
    <w:rsid w:val="00AA368B"/>
    <w:rsid w:val="00AA412E"/>
    <w:rsid w:val="00AA44C4"/>
    <w:rsid w:val="00AA48CD"/>
    <w:rsid w:val="00AA5182"/>
    <w:rsid w:val="00AA7404"/>
    <w:rsid w:val="00AA7E42"/>
    <w:rsid w:val="00AB17CC"/>
    <w:rsid w:val="00AB22EE"/>
    <w:rsid w:val="00AB2370"/>
    <w:rsid w:val="00AB2903"/>
    <w:rsid w:val="00AB2BA6"/>
    <w:rsid w:val="00AB3A81"/>
    <w:rsid w:val="00AB41E6"/>
    <w:rsid w:val="00AB438A"/>
    <w:rsid w:val="00AB4D8C"/>
    <w:rsid w:val="00AB64A4"/>
    <w:rsid w:val="00AB6941"/>
    <w:rsid w:val="00AB6999"/>
    <w:rsid w:val="00AB6CC2"/>
    <w:rsid w:val="00AB7399"/>
    <w:rsid w:val="00AB7464"/>
    <w:rsid w:val="00AB79E7"/>
    <w:rsid w:val="00AB7B5A"/>
    <w:rsid w:val="00AB7C85"/>
    <w:rsid w:val="00AC00AB"/>
    <w:rsid w:val="00AC1A36"/>
    <w:rsid w:val="00AC2173"/>
    <w:rsid w:val="00AC2631"/>
    <w:rsid w:val="00AC3915"/>
    <w:rsid w:val="00AC3ED9"/>
    <w:rsid w:val="00AC47E1"/>
    <w:rsid w:val="00AC4F64"/>
    <w:rsid w:val="00AC535E"/>
    <w:rsid w:val="00AC5A55"/>
    <w:rsid w:val="00AC5E6D"/>
    <w:rsid w:val="00AC632C"/>
    <w:rsid w:val="00AC6AF0"/>
    <w:rsid w:val="00AC6B9D"/>
    <w:rsid w:val="00AC7E76"/>
    <w:rsid w:val="00AD142A"/>
    <w:rsid w:val="00AD1778"/>
    <w:rsid w:val="00AD2695"/>
    <w:rsid w:val="00AD2C0D"/>
    <w:rsid w:val="00AD30AB"/>
    <w:rsid w:val="00AD3196"/>
    <w:rsid w:val="00AD32CD"/>
    <w:rsid w:val="00AD3DD6"/>
    <w:rsid w:val="00AD43B7"/>
    <w:rsid w:val="00AD5652"/>
    <w:rsid w:val="00AD59FB"/>
    <w:rsid w:val="00AD5CAA"/>
    <w:rsid w:val="00AD6069"/>
    <w:rsid w:val="00AD6592"/>
    <w:rsid w:val="00AD68C6"/>
    <w:rsid w:val="00AD75C0"/>
    <w:rsid w:val="00AD7694"/>
    <w:rsid w:val="00AD7FCF"/>
    <w:rsid w:val="00AE0377"/>
    <w:rsid w:val="00AE1C09"/>
    <w:rsid w:val="00AE20F9"/>
    <w:rsid w:val="00AE23F5"/>
    <w:rsid w:val="00AE2F00"/>
    <w:rsid w:val="00AE48AE"/>
    <w:rsid w:val="00AE548E"/>
    <w:rsid w:val="00AE5654"/>
    <w:rsid w:val="00AE577A"/>
    <w:rsid w:val="00AE5D7B"/>
    <w:rsid w:val="00AE5FB7"/>
    <w:rsid w:val="00AE60C4"/>
    <w:rsid w:val="00AE6E03"/>
    <w:rsid w:val="00AE71F2"/>
    <w:rsid w:val="00AE79FC"/>
    <w:rsid w:val="00AE7E12"/>
    <w:rsid w:val="00AE7E71"/>
    <w:rsid w:val="00AF01FE"/>
    <w:rsid w:val="00AF0723"/>
    <w:rsid w:val="00AF0A1A"/>
    <w:rsid w:val="00AF19A0"/>
    <w:rsid w:val="00AF21D6"/>
    <w:rsid w:val="00AF25BD"/>
    <w:rsid w:val="00AF285D"/>
    <w:rsid w:val="00AF2AED"/>
    <w:rsid w:val="00AF3002"/>
    <w:rsid w:val="00AF3E03"/>
    <w:rsid w:val="00AF4272"/>
    <w:rsid w:val="00AF4A37"/>
    <w:rsid w:val="00AF4A5D"/>
    <w:rsid w:val="00AF4CBF"/>
    <w:rsid w:val="00AF5947"/>
    <w:rsid w:val="00AF5C6E"/>
    <w:rsid w:val="00AF61EF"/>
    <w:rsid w:val="00AF6916"/>
    <w:rsid w:val="00AF6CB9"/>
    <w:rsid w:val="00AF6DEF"/>
    <w:rsid w:val="00AF770E"/>
    <w:rsid w:val="00AF799A"/>
    <w:rsid w:val="00AF7A11"/>
    <w:rsid w:val="00B001D2"/>
    <w:rsid w:val="00B00231"/>
    <w:rsid w:val="00B0375C"/>
    <w:rsid w:val="00B03F60"/>
    <w:rsid w:val="00B042D0"/>
    <w:rsid w:val="00B04D39"/>
    <w:rsid w:val="00B04E42"/>
    <w:rsid w:val="00B05327"/>
    <w:rsid w:val="00B05581"/>
    <w:rsid w:val="00B05EFC"/>
    <w:rsid w:val="00B062C8"/>
    <w:rsid w:val="00B063EF"/>
    <w:rsid w:val="00B066BC"/>
    <w:rsid w:val="00B07A78"/>
    <w:rsid w:val="00B07E82"/>
    <w:rsid w:val="00B1057D"/>
    <w:rsid w:val="00B10B2C"/>
    <w:rsid w:val="00B110D2"/>
    <w:rsid w:val="00B11360"/>
    <w:rsid w:val="00B1195B"/>
    <w:rsid w:val="00B119B6"/>
    <w:rsid w:val="00B11A32"/>
    <w:rsid w:val="00B11BC3"/>
    <w:rsid w:val="00B1234A"/>
    <w:rsid w:val="00B12F91"/>
    <w:rsid w:val="00B1306F"/>
    <w:rsid w:val="00B133DA"/>
    <w:rsid w:val="00B137D9"/>
    <w:rsid w:val="00B137EA"/>
    <w:rsid w:val="00B13A47"/>
    <w:rsid w:val="00B13AA0"/>
    <w:rsid w:val="00B14134"/>
    <w:rsid w:val="00B14783"/>
    <w:rsid w:val="00B14EF9"/>
    <w:rsid w:val="00B14FAC"/>
    <w:rsid w:val="00B15A95"/>
    <w:rsid w:val="00B160F7"/>
    <w:rsid w:val="00B163BF"/>
    <w:rsid w:val="00B165FD"/>
    <w:rsid w:val="00B1686D"/>
    <w:rsid w:val="00B16D3D"/>
    <w:rsid w:val="00B17526"/>
    <w:rsid w:val="00B179D4"/>
    <w:rsid w:val="00B200BB"/>
    <w:rsid w:val="00B2026C"/>
    <w:rsid w:val="00B2060B"/>
    <w:rsid w:val="00B21746"/>
    <w:rsid w:val="00B21871"/>
    <w:rsid w:val="00B21B94"/>
    <w:rsid w:val="00B2244A"/>
    <w:rsid w:val="00B225EE"/>
    <w:rsid w:val="00B226B4"/>
    <w:rsid w:val="00B23324"/>
    <w:rsid w:val="00B23930"/>
    <w:rsid w:val="00B23B09"/>
    <w:rsid w:val="00B23D36"/>
    <w:rsid w:val="00B245AB"/>
    <w:rsid w:val="00B248A0"/>
    <w:rsid w:val="00B25399"/>
    <w:rsid w:val="00B2539C"/>
    <w:rsid w:val="00B25D98"/>
    <w:rsid w:val="00B25E99"/>
    <w:rsid w:val="00B26692"/>
    <w:rsid w:val="00B27CEA"/>
    <w:rsid w:val="00B27F8F"/>
    <w:rsid w:val="00B30442"/>
    <w:rsid w:val="00B31130"/>
    <w:rsid w:val="00B31203"/>
    <w:rsid w:val="00B31DC2"/>
    <w:rsid w:val="00B31F60"/>
    <w:rsid w:val="00B32C33"/>
    <w:rsid w:val="00B32D15"/>
    <w:rsid w:val="00B33E5C"/>
    <w:rsid w:val="00B33FB1"/>
    <w:rsid w:val="00B3435C"/>
    <w:rsid w:val="00B34648"/>
    <w:rsid w:val="00B347F8"/>
    <w:rsid w:val="00B34845"/>
    <w:rsid w:val="00B34C82"/>
    <w:rsid w:val="00B34EE9"/>
    <w:rsid w:val="00B34F0B"/>
    <w:rsid w:val="00B3600D"/>
    <w:rsid w:val="00B36100"/>
    <w:rsid w:val="00B36761"/>
    <w:rsid w:val="00B36A67"/>
    <w:rsid w:val="00B36BCA"/>
    <w:rsid w:val="00B373E4"/>
    <w:rsid w:val="00B3743D"/>
    <w:rsid w:val="00B37A45"/>
    <w:rsid w:val="00B37BBE"/>
    <w:rsid w:val="00B37C1D"/>
    <w:rsid w:val="00B37D52"/>
    <w:rsid w:val="00B37E36"/>
    <w:rsid w:val="00B4034D"/>
    <w:rsid w:val="00B403A6"/>
    <w:rsid w:val="00B40A2D"/>
    <w:rsid w:val="00B40C03"/>
    <w:rsid w:val="00B40FDC"/>
    <w:rsid w:val="00B41232"/>
    <w:rsid w:val="00B4195B"/>
    <w:rsid w:val="00B41DDE"/>
    <w:rsid w:val="00B41EF8"/>
    <w:rsid w:val="00B42158"/>
    <w:rsid w:val="00B421FD"/>
    <w:rsid w:val="00B4299E"/>
    <w:rsid w:val="00B42CB6"/>
    <w:rsid w:val="00B435FA"/>
    <w:rsid w:val="00B43842"/>
    <w:rsid w:val="00B45F27"/>
    <w:rsid w:val="00B45FCF"/>
    <w:rsid w:val="00B46B93"/>
    <w:rsid w:val="00B46F79"/>
    <w:rsid w:val="00B473BC"/>
    <w:rsid w:val="00B47E95"/>
    <w:rsid w:val="00B509C9"/>
    <w:rsid w:val="00B50E1B"/>
    <w:rsid w:val="00B50FD6"/>
    <w:rsid w:val="00B510F2"/>
    <w:rsid w:val="00B517C4"/>
    <w:rsid w:val="00B51821"/>
    <w:rsid w:val="00B51EAC"/>
    <w:rsid w:val="00B523DB"/>
    <w:rsid w:val="00B52927"/>
    <w:rsid w:val="00B533BB"/>
    <w:rsid w:val="00B53CEE"/>
    <w:rsid w:val="00B54AC2"/>
    <w:rsid w:val="00B5686B"/>
    <w:rsid w:val="00B56912"/>
    <w:rsid w:val="00B578A7"/>
    <w:rsid w:val="00B60A17"/>
    <w:rsid w:val="00B60C61"/>
    <w:rsid w:val="00B60E88"/>
    <w:rsid w:val="00B61212"/>
    <w:rsid w:val="00B6143C"/>
    <w:rsid w:val="00B61E4E"/>
    <w:rsid w:val="00B61F12"/>
    <w:rsid w:val="00B624D9"/>
    <w:rsid w:val="00B62594"/>
    <w:rsid w:val="00B63151"/>
    <w:rsid w:val="00B63237"/>
    <w:rsid w:val="00B6338B"/>
    <w:rsid w:val="00B63624"/>
    <w:rsid w:val="00B63956"/>
    <w:rsid w:val="00B63BC2"/>
    <w:rsid w:val="00B63BD6"/>
    <w:rsid w:val="00B64461"/>
    <w:rsid w:val="00B6470E"/>
    <w:rsid w:val="00B64A55"/>
    <w:rsid w:val="00B64DB7"/>
    <w:rsid w:val="00B64F9D"/>
    <w:rsid w:val="00B652F5"/>
    <w:rsid w:val="00B657CD"/>
    <w:rsid w:val="00B65CF7"/>
    <w:rsid w:val="00B667D8"/>
    <w:rsid w:val="00B672A8"/>
    <w:rsid w:val="00B67442"/>
    <w:rsid w:val="00B67516"/>
    <w:rsid w:val="00B67DE8"/>
    <w:rsid w:val="00B67E2F"/>
    <w:rsid w:val="00B70701"/>
    <w:rsid w:val="00B708B9"/>
    <w:rsid w:val="00B70971"/>
    <w:rsid w:val="00B70C98"/>
    <w:rsid w:val="00B70E0C"/>
    <w:rsid w:val="00B711FB"/>
    <w:rsid w:val="00B71431"/>
    <w:rsid w:val="00B718BF"/>
    <w:rsid w:val="00B71C89"/>
    <w:rsid w:val="00B71EC7"/>
    <w:rsid w:val="00B7400F"/>
    <w:rsid w:val="00B74844"/>
    <w:rsid w:val="00B748D8"/>
    <w:rsid w:val="00B74BD9"/>
    <w:rsid w:val="00B7511B"/>
    <w:rsid w:val="00B76051"/>
    <w:rsid w:val="00B7635A"/>
    <w:rsid w:val="00B768B7"/>
    <w:rsid w:val="00B7771B"/>
    <w:rsid w:val="00B77D40"/>
    <w:rsid w:val="00B8001E"/>
    <w:rsid w:val="00B800E5"/>
    <w:rsid w:val="00B80BF2"/>
    <w:rsid w:val="00B81846"/>
    <w:rsid w:val="00B83060"/>
    <w:rsid w:val="00B8390B"/>
    <w:rsid w:val="00B83EFE"/>
    <w:rsid w:val="00B84023"/>
    <w:rsid w:val="00B8418A"/>
    <w:rsid w:val="00B8476B"/>
    <w:rsid w:val="00B85182"/>
    <w:rsid w:val="00B8535B"/>
    <w:rsid w:val="00B85734"/>
    <w:rsid w:val="00B870E6"/>
    <w:rsid w:val="00B90103"/>
    <w:rsid w:val="00B90ACA"/>
    <w:rsid w:val="00B9227F"/>
    <w:rsid w:val="00B92672"/>
    <w:rsid w:val="00B936CB"/>
    <w:rsid w:val="00B93730"/>
    <w:rsid w:val="00B93B86"/>
    <w:rsid w:val="00B93BC6"/>
    <w:rsid w:val="00B95DFA"/>
    <w:rsid w:val="00B960F4"/>
    <w:rsid w:val="00B969C9"/>
    <w:rsid w:val="00B96B9B"/>
    <w:rsid w:val="00B97402"/>
    <w:rsid w:val="00B974AB"/>
    <w:rsid w:val="00B975A4"/>
    <w:rsid w:val="00BA076D"/>
    <w:rsid w:val="00BA0ADA"/>
    <w:rsid w:val="00BA0CF7"/>
    <w:rsid w:val="00BA0F73"/>
    <w:rsid w:val="00BA15C7"/>
    <w:rsid w:val="00BA17F1"/>
    <w:rsid w:val="00BA2036"/>
    <w:rsid w:val="00BA212A"/>
    <w:rsid w:val="00BA24BC"/>
    <w:rsid w:val="00BA37A1"/>
    <w:rsid w:val="00BA42D8"/>
    <w:rsid w:val="00BA55AA"/>
    <w:rsid w:val="00BA5A56"/>
    <w:rsid w:val="00BA6651"/>
    <w:rsid w:val="00BA6BA9"/>
    <w:rsid w:val="00BA6BEE"/>
    <w:rsid w:val="00BA7368"/>
    <w:rsid w:val="00BA739F"/>
    <w:rsid w:val="00BA7CA9"/>
    <w:rsid w:val="00BA7D44"/>
    <w:rsid w:val="00BA7ECD"/>
    <w:rsid w:val="00BA7F0A"/>
    <w:rsid w:val="00BA7FC4"/>
    <w:rsid w:val="00BB1774"/>
    <w:rsid w:val="00BB19A8"/>
    <w:rsid w:val="00BB2A78"/>
    <w:rsid w:val="00BB2B28"/>
    <w:rsid w:val="00BB3226"/>
    <w:rsid w:val="00BB3E0D"/>
    <w:rsid w:val="00BB3E10"/>
    <w:rsid w:val="00BB43B4"/>
    <w:rsid w:val="00BB4836"/>
    <w:rsid w:val="00BB4D75"/>
    <w:rsid w:val="00BB509B"/>
    <w:rsid w:val="00BB5DED"/>
    <w:rsid w:val="00BB61EE"/>
    <w:rsid w:val="00BB65B4"/>
    <w:rsid w:val="00BB6880"/>
    <w:rsid w:val="00BB6D67"/>
    <w:rsid w:val="00BB76E3"/>
    <w:rsid w:val="00BC04C7"/>
    <w:rsid w:val="00BC11F5"/>
    <w:rsid w:val="00BC1836"/>
    <w:rsid w:val="00BC1A95"/>
    <w:rsid w:val="00BC1CDF"/>
    <w:rsid w:val="00BC2002"/>
    <w:rsid w:val="00BC2114"/>
    <w:rsid w:val="00BC237F"/>
    <w:rsid w:val="00BC2490"/>
    <w:rsid w:val="00BC292B"/>
    <w:rsid w:val="00BC2982"/>
    <w:rsid w:val="00BC2BAE"/>
    <w:rsid w:val="00BC2DF6"/>
    <w:rsid w:val="00BC368F"/>
    <w:rsid w:val="00BC494C"/>
    <w:rsid w:val="00BC5870"/>
    <w:rsid w:val="00BC5EF9"/>
    <w:rsid w:val="00BC65DB"/>
    <w:rsid w:val="00BC685D"/>
    <w:rsid w:val="00BC7472"/>
    <w:rsid w:val="00BC7555"/>
    <w:rsid w:val="00BC7728"/>
    <w:rsid w:val="00BC7D38"/>
    <w:rsid w:val="00BD0DBB"/>
    <w:rsid w:val="00BD12DF"/>
    <w:rsid w:val="00BD249C"/>
    <w:rsid w:val="00BD265E"/>
    <w:rsid w:val="00BD35A9"/>
    <w:rsid w:val="00BD38B1"/>
    <w:rsid w:val="00BD4780"/>
    <w:rsid w:val="00BD50DD"/>
    <w:rsid w:val="00BD54E3"/>
    <w:rsid w:val="00BD65A7"/>
    <w:rsid w:val="00BD7A47"/>
    <w:rsid w:val="00BD7FA3"/>
    <w:rsid w:val="00BE048C"/>
    <w:rsid w:val="00BE08E3"/>
    <w:rsid w:val="00BE0E27"/>
    <w:rsid w:val="00BE136F"/>
    <w:rsid w:val="00BE1586"/>
    <w:rsid w:val="00BE38F8"/>
    <w:rsid w:val="00BE3A00"/>
    <w:rsid w:val="00BE3BFD"/>
    <w:rsid w:val="00BE3C62"/>
    <w:rsid w:val="00BE49A2"/>
    <w:rsid w:val="00BE5101"/>
    <w:rsid w:val="00BE524E"/>
    <w:rsid w:val="00BE52AC"/>
    <w:rsid w:val="00BE5C8E"/>
    <w:rsid w:val="00BE5D5E"/>
    <w:rsid w:val="00BE66BB"/>
    <w:rsid w:val="00BE684E"/>
    <w:rsid w:val="00BE72EF"/>
    <w:rsid w:val="00BE733F"/>
    <w:rsid w:val="00BE73E0"/>
    <w:rsid w:val="00BE74DD"/>
    <w:rsid w:val="00BE755F"/>
    <w:rsid w:val="00BE757A"/>
    <w:rsid w:val="00BE758E"/>
    <w:rsid w:val="00BE7C05"/>
    <w:rsid w:val="00BE7D77"/>
    <w:rsid w:val="00BF0065"/>
    <w:rsid w:val="00BF06B8"/>
    <w:rsid w:val="00BF1000"/>
    <w:rsid w:val="00BF1A76"/>
    <w:rsid w:val="00BF1E5F"/>
    <w:rsid w:val="00BF2169"/>
    <w:rsid w:val="00BF2497"/>
    <w:rsid w:val="00BF262D"/>
    <w:rsid w:val="00BF2A87"/>
    <w:rsid w:val="00BF2CB4"/>
    <w:rsid w:val="00BF2FB7"/>
    <w:rsid w:val="00BF348F"/>
    <w:rsid w:val="00BF3539"/>
    <w:rsid w:val="00BF3A23"/>
    <w:rsid w:val="00BF3BC5"/>
    <w:rsid w:val="00BF4151"/>
    <w:rsid w:val="00BF4F17"/>
    <w:rsid w:val="00BF4F40"/>
    <w:rsid w:val="00BF56A0"/>
    <w:rsid w:val="00BF6380"/>
    <w:rsid w:val="00BF6876"/>
    <w:rsid w:val="00BF6F69"/>
    <w:rsid w:val="00BF7BDD"/>
    <w:rsid w:val="00C0057E"/>
    <w:rsid w:val="00C00ABA"/>
    <w:rsid w:val="00C02E99"/>
    <w:rsid w:val="00C03670"/>
    <w:rsid w:val="00C03D16"/>
    <w:rsid w:val="00C04F53"/>
    <w:rsid w:val="00C0547B"/>
    <w:rsid w:val="00C05A2F"/>
    <w:rsid w:val="00C06085"/>
    <w:rsid w:val="00C06092"/>
    <w:rsid w:val="00C06317"/>
    <w:rsid w:val="00C06E76"/>
    <w:rsid w:val="00C105D1"/>
    <w:rsid w:val="00C115BA"/>
    <w:rsid w:val="00C11FB4"/>
    <w:rsid w:val="00C12541"/>
    <w:rsid w:val="00C13627"/>
    <w:rsid w:val="00C13910"/>
    <w:rsid w:val="00C1393C"/>
    <w:rsid w:val="00C14270"/>
    <w:rsid w:val="00C14399"/>
    <w:rsid w:val="00C1465D"/>
    <w:rsid w:val="00C14670"/>
    <w:rsid w:val="00C14723"/>
    <w:rsid w:val="00C15322"/>
    <w:rsid w:val="00C1561B"/>
    <w:rsid w:val="00C159A0"/>
    <w:rsid w:val="00C15C37"/>
    <w:rsid w:val="00C15EB7"/>
    <w:rsid w:val="00C164BE"/>
    <w:rsid w:val="00C1658C"/>
    <w:rsid w:val="00C16674"/>
    <w:rsid w:val="00C16A1F"/>
    <w:rsid w:val="00C17218"/>
    <w:rsid w:val="00C17609"/>
    <w:rsid w:val="00C1778B"/>
    <w:rsid w:val="00C17822"/>
    <w:rsid w:val="00C17945"/>
    <w:rsid w:val="00C17BE4"/>
    <w:rsid w:val="00C20066"/>
    <w:rsid w:val="00C209C6"/>
    <w:rsid w:val="00C20EEB"/>
    <w:rsid w:val="00C211E8"/>
    <w:rsid w:val="00C2174A"/>
    <w:rsid w:val="00C218BE"/>
    <w:rsid w:val="00C21ADD"/>
    <w:rsid w:val="00C2237F"/>
    <w:rsid w:val="00C225EC"/>
    <w:rsid w:val="00C22D42"/>
    <w:rsid w:val="00C23011"/>
    <w:rsid w:val="00C2373D"/>
    <w:rsid w:val="00C23E86"/>
    <w:rsid w:val="00C246C7"/>
    <w:rsid w:val="00C2489F"/>
    <w:rsid w:val="00C24D42"/>
    <w:rsid w:val="00C24E0C"/>
    <w:rsid w:val="00C259DC"/>
    <w:rsid w:val="00C25E17"/>
    <w:rsid w:val="00C26C33"/>
    <w:rsid w:val="00C2736B"/>
    <w:rsid w:val="00C27651"/>
    <w:rsid w:val="00C2769A"/>
    <w:rsid w:val="00C278E1"/>
    <w:rsid w:val="00C27F8B"/>
    <w:rsid w:val="00C300A3"/>
    <w:rsid w:val="00C300C7"/>
    <w:rsid w:val="00C3039F"/>
    <w:rsid w:val="00C3106B"/>
    <w:rsid w:val="00C33972"/>
    <w:rsid w:val="00C33F1E"/>
    <w:rsid w:val="00C34603"/>
    <w:rsid w:val="00C357AF"/>
    <w:rsid w:val="00C367C8"/>
    <w:rsid w:val="00C36946"/>
    <w:rsid w:val="00C40390"/>
    <w:rsid w:val="00C40496"/>
    <w:rsid w:val="00C40A92"/>
    <w:rsid w:val="00C40C3F"/>
    <w:rsid w:val="00C4127E"/>
    <w:rsid w:val="00C416C2"/>
    <w:rsid w:val="00C41AD3"/>
    <w:rsid w:val="00C41F60"/>
    <w:rsid w:val="00C4315E"/>
    <w:rsid w:val="00C435CD"/>
    <w:rsid w:val="00C43643"/>
    <w:rsid w:val="00C43F96"/>
    <w:rsid w:val="00C44454"/>
    <w:rsid w:val="00C445EE"/>
    <w:rsid w:val="00C44D36"/>
    <w:rsid w:val="00C44EF9"/>
    <w:rsid w:val="00C454BF"/>
    <w:rsid w:val="00C45E4B"/>
    <w:rsid w:val="00C46C93"/>
    <w:rsid w:val="00C474FB"/>
    <w:rsid w:val="00C478A1"/>
    <w:rsid w:val="00C47ABA"/>
    <w:rsid w:val="00C50819"/>
    <w:rsid w:val="00C50ED7"/>
    <w:rsid w:val="00C5191D"/>
    <w:rsid w:val="00C52F0D"/>
    <w:rsid w:val="00C52FEC"/>
    <w:rsid w:val="00C53769"/>
    <w:rsid w:val="00C54556"/>
    <w:rsid w:val="00C5499D"/>
    <w:rsid w:val="00C54B12"/>
    <w:rsid w:val="00C54BFC"/>
    <w:rsid w:val="00C55202"/>
    <w:rsid w:val="00C554D8"/>
    <w:rsid w:val="00C55DA0"/>
    <w:rsid w:val="00C56C5B"/>
    <w:rsid w:val="00C56C7C"/>
    <w:rsid w:val="00C57679"/>
    <w:rsid w:val="00C579C1"/>
    <w:rsid w:val="00C57E9C"/>
    <w:rsid w:val="00C602FC"/>
    <w:rsid w:val="00C6038E"/>
    <w:rsid w:val="00C60F91"/>
    <w:rsid w:val="00C6147D"/>
    <w:rsid w:val="00C61ECA"/>
    <w:rsid w:val="00C62376"/>
    <w:rsid w:val="00C6282F"/>
    <w:rsid w:val="00C62E19"/>
    <w:rsid w:val="00C63146"/>
    <w:rsid w:val="00C647B5"/>
    <w:rsid w:val="00C6486B"/>
    <w:rsid w:val="00C64943"/>
    <w:rsid w:val="00C64EA9"/>
    <w:rsid w:val="00C65644"/>
    <w:rsid w:val="00C65F2B"/>
    <w:rsid w:val="00C6658C"/>
    <w:rsid w:val="00C670F1"/>
    <w:rsid w:val="00C672F8"/>
    <w:rsid w:val="00C675A8"/>
    <w:rsid w:val="00C67B35"/>
    <w:rsid w:val="00C7022B"/>
    <w:rsid w:val="00C710F6"/>
    <w:rsid w:val="00C71202"/>
    <w:rsid w:val="00C712B3"/>
    <w:rsid w:val="00C71325"/>
    <w:rsid w:val="00C71A1F"/>
    <w:rsid w:val="00C72A0D"/>
    <w:rsid w:val="00C72A3E"/>
    <w:rsid w:val="00C73C3F"/>
    <w:rsid w:val="00C745EB"/>
    <w:rsid w:val="00C76011"/>
    <w:rsid w:val="00C76029"/>
    <w:rsid w:val="00C7721A"/>
    <w:rsid w:val="00C779DC"/>
    <w:rsid w:val="00C77E24"/>
    <w:rsid w:val="00C80157"/>
    <w:rsid w:val="00C805CF"/>
    <w:rsid w:val="00C80F28"/>
    <w:rsid w:val="00C8209A"/>
    <w:rsid w:val="00C82BB8"/>
    <w:rsid w:val="00C83E5A"/>
    <w:rsid w:val="00C84A3A"/>
    <w:rsid w:val="00C8501D"/>
    <w:rsid w:val="00C85228"/>
    <w:rsid w:val="00C852A4"/>
    <w:rsid w:val="00C85344"/>
    <w:rsid w:val="00C8563C"/>
    <w:rsid w:val="00C85E2A"/>
    <w:rsid w:val="00C8652D"/>
    <w:rsid w:val="00C86A84"/>
    <w:rsid w:val="00C86CFF"/>
    <w:rsid w:val="00C87103"/>
    <w:rsid w:val="00C8787B"/>
    <w:rsid w:val="00C909A5"/>
    <w:rsid w:val="00C90CBA"/>
    <w:rsid w:val="00C91471"/>
    <w:rsid w:val="00C92144"/>
    <w:rsid w:val="00C9351E"/>
    <w:rsid w:val="00C93AC3"/>
    <w:rsid w:val="00C93F61"/>
    <w:rsid w:val="00C94446"/>
    <w:rsid w:val="00C94449"/>
    <w:rsid w:val="00C94B63"/>
    <w:rsid w:val="00C94F3C"/>
    <w:rsid w:val="00C95839"/>
    <w:rsid w:val="00C958E4"/>
    <w:rsid w:val="00C962D4"/>
    <w:rsid w:val="00C96C71"/>
    <w:rsid w:val="00C97123"/>
    <w:rsid w:val="00C9730C"/>
    <w:rsid w:val="00C97359"/>
    <w:rsid w:val="00C975EE"/>
    <w:rsid w:val="00C977D6"/>
    <w:rsid w:val="00C97C59"/>
    <w:rsid w:val="00CA0540"/>
    <w:rsid w:val="00CA0B8F"/>
    <w:rsid w:val="00CA102B"/>
    <w:rsid w:val="00CA160D"/>
    <w:rsid w:val="00CA16DF"/>
    <w:rsid w:val="00CA1D4E"/>
    <w:rsid w:val="00CA23C2"/>
    <w:rsid w:val="00CA3B61"/>
    <w:rsid w:val="00CA4FFA"/>
    <w:rsid w:val="00CA570A"/>
    <w:rsid w:val="00CA5A3F"/>
    <w:rsid w:val="00CA5B63"/>
    <w:rsid w:val="00CA5F96"/>
    <w:rsid w:val="00CA6333"/>
    <w:rsid w:val="00CA645B"/>
    <w:rsid w:val="00CA6B89"/>
    <w:rsid w:val="00CA6D56"/>
    <w:rsid w:val="00CA7B02"/>
    <w:rsid w:val="00CB042B"/>
    <w:rsid w:val="00CB0BA1"/>
    <w:rsid w:val="00CB248D"/>
    <w:rsid w:val="00CB2DE8"/>
    <w:rsid w:val="00CB314E"/>
    <w:rsid w:val="00CB3599"/>
    <w:rsid w:val="00CB35D5"/>
    <w:rsid w:val="00CB389F"/>
    <w:rsid w:val="00CB4860"/>
    <w:rsid w:val="00CB4B2A"/>
    <w:rsid w:val="00CB4ECF"/>
    <w:rsid w:val="00CB596F"/>
    <w:rsid w:val="00CB5982"/>
    <w:rsid w:val="00CB62C4"/>
    <w:rsid w:val="00CB6EF0"/>
    <w:rsid w:val="00CB7343"/>
    <w:rsid w:val="00CB7ACC"/>
    <w:rsid w:val="00CC0080"/>
    <w:rsid w:val="00CC00EB"/>
    <w:rsid w:val="00CC07B2"/>
    <w:rsid w:val="00CC096F"/>
    <w:rsid w:val="00CC0A04"/>
    <w:rsid w:val="00CC144B"/>
    <w:rsid w:val="00CC1C47"/>
    <w:rsid w:val="00CC2600"/>
    <w:rsid w:val="00CC2702"/>
    <w:rsid w:val="00CC2CCE"/>
    <w:rsid w:val="00CC3D7A"/>
    <w:rsid w:val="00CC4542"/>
    <w:rsid w:val="00CC47BB"/>
    <w:rsid w:val="00CC4C70"/>
    <w:rsid w:val="00CC4EBE"/>
    <w:rsid w:val="00CC612B"/>
    <w:rsid w:val="00CC70BB"/>
    <w:rsid w:val="00CC728D"/>
    <w:rsid w:val="00CD041A"/>
    <w:rsid w:val="00CD05D8"/>
    <w:rsid w:val="00CD0721"/>
    <w:rsid w:val="00CD18DB"/>
    <w:rsid w:val="00CD23C3"/>
    <w:rsid w:val="00CD2C50"/>
    <w:rsid w:val="00CD308D"/>
    <w:rsid w:val="00CD3203"/>
    <w:rsid w:val="00CD3DE0"/>
    <w:rsid w:val="00CD3E4C"/>
    <w:rsid w:val="00CD4282"/>
    <w:rsid w:val="00CD4695"/>
    <w:rsid w:val="00CD47AE"/>
    <w:rsid w:val="00CD4F7B"/>
    <w:rsid w:val="00CD58BF"/>
    <w:rsid w:val="00CD5D93"/>
    <w:rsid w:val="00CD6B66"/>
    <w:rsid w:val="00CE0BE4"/>
    <w:rsid w:val="00CE0D14"/>
    <w:rsid w:val="00CE194A"/>
    <w:rsid w:val="00CE19D0"/>
    <w:rsid w:val="00CE1DD3"/>
    <w:rsid w:val="00CE33A2"/>
    <w:rsid w:val="00CE3797"/>
    <w:rsid w:val="00CE3EF7"/>
    <w:rsid w:val="00CE42F1"/>
    <w:rsid w:val="00CE43B9"/>
    <w:rsid w:val="00CE43F8"/>
    <w:rsid w:val="00CE5137"/>
    <w:rsid w:val="00CE528D"/>
    <w:rsid w:val="00CE6A06"/>
    <w:rsid w:val="00CE6C77"/>
    <w:rsid w:val="00CE7672"/>
    <w:rsid w:val="00CE7829"/>
    <w:rsid w:val="00CF0262"/>
    <w:rsid w:val="00CF02AE"/>
    <w:rsid w:val="00CF03A2"/>
    <w:rsid w:val="00CF1017"/>
    <w:rsid w:val="00CF1702"/>
    <w:rsid w:val="00CF218F"/>
    <w:rsid w:val="00CF25AF"/>
    <w:rsid w:val="00CF2992"/>
    <w:rsid w:val="00CF2C81"/>
    <w:rsid w:val="00CF39B5"/>
    <w:rsid w:val="00CF43DC"/>
    <w:rsid w:val="00CF4737"/>
    <w:rsid w:val="00CF4DC3"/>
    <w:rsid w:val="00CF5120"/>
    <w:rsid w:val="00CF636E"/>
    <w:rsid w:val="00CF6503"/>
    <w:rsid w:val="00CF6643"/>
    <w:rsid w:val="00CF6BD2"/>
    <w:rsid w:val="00CF75DC"/>
    <w:rsid w:val="00D00806"/>
    <w:rsid w:val="00D017EE"/>
    <w:rsid w:val="00D01D03"/>
    <w:rsid w:val="00D0217C"/>
    <w:rsid w:val="00D0275E"/>
    <w:rsid w:val="00D0329F"/>
    <w:rsid w:val="00D03575"/>
    <w:rsid w:val="00D03F3E"/>
    <w:rsid w:val="00D04771"/>
    <w:rsid w:val="00D04B2A"/>
    <w:rsid w:val="00D05AE8"/>
    <w:rsid w:val="00D05BF5"/>
    <w:rsid w:val="00D0640B"/>
    <w:rsid w:val="00D0688F"/>
    <w:rsid w:val="00D06958"/>
    <w:rsid w:val="00D06F9F"/>
    <w:rsid w:val="00D074BC"/>
    <w:rsid w:val="00D07598"/>
    <w:rsid w:val="00D07849"/>
    <w:rsid w:val="00D1030B"/>
    <w:rsid w:val="00D12578"/>
    <w:rsid w:val="00D1423D"/>
    <w:rsid w:val="00D143F7"/>
    <w:rsid w:val="00D14BCB"/>
    <w:rsid w:val="00D1513B"/>
    <w:rsid w:val="00D16086"/>
    <w:rsid w:val="00D160A4"/>
    <w:rsid w:val="00D160DC"/>
    <w:rsid w:val="00D16444"/>
    <w:rsid w:val="00D166BA"/>
    <w:rsid w:val="00D1677C"/>
    <w:rsid w:val="00D168C4"/>
    <w:rsid w:val="00D16A3A"/>
    <w:rsid w:val="00D16EBE"/>
    <w:rsid w:val="00D16F47"/>
    <w:rsid w:val="00D16FBC"/>
    <w:rsid w:val="00D17CA5"/>
    <w:rsid w:val="00D20005"/>
    <w:rsid w:val="00D20156"/>
    <w:rsid w:val="00D203CB"/>
    <w:rsid w:val="00D21CE2"/>
    <w:rsid w:val="00D227B5"/>
    <w:rsid w:val="00D227D1"/>
    <w:rsid w:val="00D22B21"/>
    <w:rsid w:val="00D234C9"/>
    <w:rsid w:val="00D23F1D"/>
    <w:rsid w:val="00D24526"/>
    <w:rsid w:val="00D24902"/>
    <w:rsid w:val="00D24DA6"/>
    <w:rsid w:val="00D253F0"/>
    <w:rsid w:val="00D25AE1"/>
    <w:rsid w:val="00D262B6"/>
    <w:rsid w:val="00D26BA8"/>
    <w:rsid w:val="00D27035"/>
    <w:rsid w:val="00D27178"/>
    <w:rsid w:val="00D27226"/>
    <w:rsid w:val="00D30535"/>
    <w:rsid w:val="00D30FBC"/>
    <w:rsid w:val="00D312F7"/>
    <w:rsid w:val="00D31F3A"/>
    <w:rsid w:val="00D322E9"/>
    <w:rsid w:val="00D32907"/>
    <w:rsid w:val="00D33293"/>
    <w:rsid w:val="00D338BF"/>
    <w:rsid w:val="00D33A4D"/>
    <w:rsid w:val="00D33B1E"/>
    <w:rsid w:val="00D33CAA"/>
    <w:rsid w:val="00D33F8F"/>
    <w:rsid w:val="00D33FA8"/>
    <w:rsid w:val="00D34555"/>
    <w:rsid w:val="00D34884"/>
    <w:rsid w:val="00D356F7"/>
    <w:rsid w:val="00D36063"/>
    <w:rsid w:val="00D36136"/>
    <w:rsid w:val="00D36CB6"/>
    <w:rsid w:val="00D36CD8"/>
    <w:rsid w:val="00D3775F"/>
    <w:rsid w:val="00D37B7D"/>
    <w:rsid w:val="00D413D6"/>
    <w:rsid w:val="00D4242A"/>
    <w:rsid w:val="00D42CEF"/>
    <w:rsid w:val="00D42F47"/>
    <w:rsid w:val="00D431AC"/>
    <w:rsid w:val="00D434D4"/>
    <w:rsid w:val="00D43A2D"/>
    <w:rsid w:val="00D43C17"/>
    <w:rsid w:val="00D4505D"/>
    <w:rsid w:val="00D45314"/>
    <w:rsid w:val="00D4563E"/>
    <w:rsid w:val="00D45F99"/>
    <w:rsid w:val="00D46473"/>
    <w:rsid w:val="00D46929"/>
    <w:rsid w:val="00D46E89"/>
    <w:rsid w:val="00D47F98"/>
    <w:rsid w:val="00D51107"/>
    <w:rsid w:val="00D5114C"/>
    <w:rsid w:val="00D51401"/>
    <w:rsid w:val="00D5194A"/>
    <w:rsid w:val="00D51AD7"/>
    <w:rsid w:val="00D521CF"/>
    <w:rsid w:val="00D52A02"/>
    <w:rsid w:val="00D52B98"/>
    <w:rsid w:val="00D52CE2"/>
    <w:rsid w:val="00D53276"/>
    <w:rsid w:val="00D5360D"/>
    <w:rsid w:val="00D53651"/>
    <w:rsid w:val="00D53AE9"/>
    <w:rsid w:val="00D55058"/>
    <w:rsid w:val="00D55072"/>
    <w:rsid w:val="00D55F23"/>
    <w:rsid w:val="00D569FF"/>
    <w:rsid w:val="00D5716D"/>
    <w:rsid w:val="00D5757D"/>
    <w:rsid w:val="00D57C9C"/>
    <w:rsid w:val="00D60526"/>
    <w:rsid w:val="00D6099D"/>
    <w:rsid w:val="00D60C50"/>
    <w:rsid w:val="00D6167E"/>
    <w:rsid w:val="00D61BCE"/>
    <w:rsid w:val="00D61FF1"/>
    <w:rsid w:val="00D61FF7"/>
    <w:rsid w:val="00D6339B"/>
    <w:rsid w:val="00D65356"/>
    <w:rsid w:val="00D657F5"/>
    <w:rsid w:val="00D65D4F"/>
    <w:rsid w:val="00D66196"/>
    <w:rsid w:val="00D66368"/>
    <w:rsid w:val="00D6650D"/>
    <w:rsid w:val="00D66B0A"/>
    <w:rsid w:val="00D66E41"/>
    <w:rsid w:val="00D679FB"/>
    <w:rsid w:val="00D67AFB"/>
    <w:rsid w:val="00D70928"/>
    <w:rsid w:val="00D70E9F"/>
    <w:rsid w:val="00D712BA"/>
    <w:rsid w:val="00D719C6"/>
    <w:rsid w:val="00D71F73"/>
    <w:rsid w:val="00D73436"/>
    <w:rsid w:val="00D747DC"/>
    <w:rsid w:val="00D754A7"/>
    <w:rsid w:val="00D75726"/>
    <w:rsid w:val="00D75C23"/>
    <w:rsid w:val="00D76003"/>
    <w:rsid w:val="00D76082"/>
    <w:rsid w:val="00D76378"/>
    <w:rsid w:val="00D76BBD"/>
    <w:rsid w:val="00D77A23"/>
    <w:rsid w:val="00D8007E"/>
    <w:rsid w:val="00D80E78"/>
    <w:rsid w:val="00D80F59"/>
    <w:rsid w:val="00D81D3C"/>
    <w:rsid w:val="00D81F01"/>
    <w:rsid w:val="00D82249"/>
    <w:rsid w:val="00D82876"/>
    <w:rsid w:val="00D82996"/>
    <w:rsid w:val="00D82F35"/>
    <w:rsid w:val="00D835AB"/>
    <w:rsid w:val="00D835F3"/>
    <w:rsid w:val="00D845D1"/>
    <w:rsid w:val="00D853B3"/>
    <w:rsid w:val="00D856BA"/>
    <w:rsid w:val="00D85865"/>
    <w:rsid w:val="00D85A10"/>
    <w:rsid w:val="00D8638C"/>
    <w:rsid w:val="00D86423"/>
    <w:rsid w:val="00D86596"/>
    <w:rsid w:val="00D8672B"/>
    <w:rsid w:val="00D86A24"/>
    <w:rsid w:val="00D87F96"/>
    <w:rsid w:val="00D907D4"/>
    <w:rsid w:val="00D90EAD"/>
    <w:rsid w:val="00D9109F"/>
    <w:rsid w:val="00D9143F"/>
    <w:rsid w:val="00D91487"/>
    <w:rsid w:val="00D918A2"/>
    <w:rsid w:val="00D9202D"/>
    <w:rsid w:val="00D9257D"/>
    <w:rsid w:val="00D925A0"/>
    <w:rsid w:val="00D92FAA"/>
    <w:rsid w:val="00D930B9"/>
    <w:rsid w:val="00D93731"/>
    <w:rsid w:val="00D937C3"/>
    <w:rsid w:val="00D93B3D"/>
    <w:rsid w:val="00D94398"/>
    <w:rsid w:val="00D9452F"/>
    <w:rsid w:val="00D94C7C"/>
    <w:rsid w:val="00D94DED"/>
    <w:rsid w:val="00D94F1A"/>
    <w:rsid w:val="00D95090"/>
    <w:rsid w:val="00D95732"/>
    <w:rsid w:val="00D95854"/>
    <w:rsid w:val="00D95B6C"/>
    <w:rsid w:val="00D95F8C"/>
    <w:rsid w:val="00D96474"/>
    <w:rsid w:val="00D97EFA"/>
    <w:rsid w:val="00DA02E7"/>
    <w:rsid w:val="00DA03E6"/>
    <w:rsid w:val="00DA08B0"/>
    <w:rsid w:val="00DA0A0B"/>
    <w:rsid w:val="00DA102A"/>
    <w:rsid w:val="00DA196D"/>
    <w:rsid w:val="00DA1CA7"/>
    <w:rsid w:val="00DA2837"/>
    <w:rsid w:val="00DA2B91"/>
    <w:rsid w:val="00DA2E5D"/>
    <w:rsid w:val="00DA309A"/>
    <w:rsid w:val="00DA33F7"/>
    <w:rsid w:val="00DA39D5"/>
    <w:rsid w:val="00DA3E18"/>
    <w:rsid w:val="00DA43B2"/>
    <w:rsid w:val="00DA4786"/>
    <w:rsid w:val="00DA6666"/>
    <w:rsid w:val="00DA6B96"/>
    <w:rsid w:val="00DA710C"/>
    <w:rsid w:val="00DA721D"/>
    <w:rsid w:val="00DA772E"/>
    <w:rsid w:val="00DA7C60"/>
    <w:rsid w:val="00DA7E9C"/>
    <w:rsid w:val="00DB05D8"/>
    <w:rsid w:val="00DB0A94"/>
    <w:rsid w:val="00DB0C65"/>
    <w:rsid w:val="00DB1BE0"/>
    <w:rsid w:val="00DB2203"/>
    <w:rsid w:val="00DB25BB"/>
    <w:rsid w:val="00DB27B8"/>
    <w:rsid w:val="00DB2E1A"/>
    <w:rsid w:val="00DB3A32"/>
    <w:rsid w:val="00DB4305"/>
    <w:rsid w:val="00DB43AF"/>
    <w:rsid w:val="00DB4794"/>
    <w:rsid w:val="00DB523E"/>
    <w:rsid w:val="00DB5739"/>
    <w:rsid w:val="00DB668D"/>
    <w:rsid w:val="00DB7BC1"/>
    <w:rsid w:val="00DB7C3C"/>
    <w:rsid w:val="00DC0E6F"/>
    <w:rsid w:val="00DC1372"/>
    <w:rsid w:val="00DC1FC5"/>
    <w:rsid w:val="00DC3642"/>
    <w:rsid w:val="00DC3B17"/>
    <w:rsid w:val="00DC4AB9"/>
    <w:rsid w:val="00DC5075"/>
    <w:rsid w:val="00DC5149"/>
    <w:rsid w:val="00DC51EA"/>
    <w:rsid w:val="00DC5F96"/>
    <w:rsid w:val="00DC63A6"/>
    <w:rsid w:val="00DC7BCE"/>
    <w:rsid w:val="00DC7E83"/>
    <w:rsid w:val="00DC7FC9"/>
    <w:rsid w:val="00DD012F"/>
    <w:rsid w:val="00DD0BF6"/>
    <w:rsid w:val="00DD0E12"/>
    <w:rsid w:val="00DD0F34"/>
    <w:rsid w:val="00DD1045"/>
    <w:rsid w:val="00DD13EB"/>
    <w:rsid w:val="00DD17CE"/>
    <w:rsid w:val="00DD2157"/>
    <w:rsid w:val="00DD2915"/>
    <w:rsid w:val="00DD2CC1"/>
    <w:rsid w:val="00DD31F2"/>
    <w:rsid w:val="00DD3897"/>
    <w:rsid w:val="00DD3945"/>
    <w:rsid w:val="00DD4A41"/>
    <w:rsid w:val="00DD4DF3"/>
    <w:rsid w:val="00DD54CF"/>
    <w:rsid w:val="00DD562C"/>
    <w:rsid w:val="00DD5BF4"/>
    <w:rsid w:val="00DD6B51"/>
    <w:rsid w:val="00DD7127"/>
    <w:rsid w:val="00DD77A6"/>
    <w:rsid w:val="00DD7E20"/>
    <w:rsid w:val="00DD7F0D"/>
    <w:rsid w:val="00DE0CD2"/>
    <w:rsid w:val="00DE1B5D"/>
    <w:rsid w:val="00DE25D3"/>
    <w:rsid w:val="00DE29FA"/>
    <w:rsid w:val="00DE36EB"/>
    <w:rsid w:val="00DE4495"/>
    <w:rsid w:val="00DE48B6"/>
    <w:rsid w:val="00DE4A3D"/>
    <w:rsid w:val="00DE518B"/>
    <w:rsid w:val="00DE5866"/>
    <w:rsid w:val="00DE7A87"/>
    <w:rsid w:val="00DE7CA8"/>
    <w:rsid w:val="00DE7DDA"/>
    <w:rsid w:val="00DF01CF"/>
    <w:rsid w:val="00DF04C9"/>
    <w:rsid w:val="00DF07C8"/>
    <w:rsid w:val="00DF0DCB"/>
    <w:rsid w:val="00DF17E5"/>
    <w:rsid w:val="00DF1D0A"/>
    <w:rsid w:val="00DF1E65"/>
    <w:rsid w:val="00DF2352"/>
    <w:rsid w:val="00DF2649"/>
    <w:rsid w:val="00DF2CB4"/>
    <w:rsid w:val="00DF3B9F"/>
    <w:rsid w:val="00DF4315"/>
    <w:rsid w:val="00DF435C"/>
    <w:rsid w:val="00DF5AB4"/>
    <w:rsid w:val="00DF5DE1"/>
    <w:rsid w:val="00DF5EFF"/>
    <w:rsid w:val="00DF677C"/>
    <w:rsid w:val="00DF7610"/>
    <w:rsid w:val="00DF78BB"/>
    <w:rsid w:val="00DF7FBF"/>
    <w:rsid w:val="00E0059F"/>
    <w:rsid w:val="00E0085C"/>
    <w:rsid w:val="00E00A3C"/>
    <w:rsid w:val="00E012F2"/>
    <w:rsid w:val="00E02B63"/>
    <w:rsid w:val="00E0341A"/>
    <w:rsid w:val="00E0368E"/>
    <w:rsid w:val="00E0396D"/>
    <w:rsid w:val="00E03A14"/>
    <w:rsid w:val="00E042C9"/>
    <w:rsid w:val="00E05306"/>
    <w:rsid w:val="00E05BEB"/>
    <w:rsid w:val="00E05C9F"/>
    <w:rsid w:val="00E06046"/>
    <w:rsid w:val="00E065E2"/>
    <w:rsid w:val="00E06A1B"/>
    <w:rsid w:val="00E06A9B"/>
    <w:rsid w:val="00E06DFC"/>
    <w:rsid w:val="00E10EC7"/>
    <w:rsid w:val="00E10EFF"/>
    <w:rsid w:val="00E110B0"/>
    <w:rsid w:val="00E126EB"/>
    <w:rsid w:val="00E132D6"/>
    <w:rsid w:val="00E13B1B"/>
    <w:rsid w:val="00E153BD"/>
    <w:rsid w:val="00E15952"/>
    <w:rsid w:val="00E178B6"/>
    <w:rsid w:val="00E200D8"/>
    <w:rsid w:val="00E20247"/>
    <w:rsid w:val="00E207EC"/>
    <w:rsid w:val="00E2094F"/>
    <w:rsid w:val="00E20D5E"/>
    <w:rsid w:val="00E20D83"/>
    <w:rsid w:val="00E23849"/>
    <w:rsid w:val="00E2457D"/>
    <w:rsid w:val="00E245F8"/>
    <w:rsid w:val="00E24969"/>
    <w:rsid w:val="00E24B20"/>
    <w:rsid w:val="00E24EBE"/>
    <w:rsid w:val="00E25C5F"/>
    <w:rsid w:val="00E264C5"/>
    <w:rsid w:val="00E2777E"/>
    <w:rsid w:val="00E303F8"/>
    <w:rsid w:val="00E30F11"/>
    <w:rsid w:val="00E31ACA"/>
    <w:rsid w:val="00E31B56"/>
    <w:rsid w:val="00E32DBA"/>
    <w:rsid w:val="00E32EDF"/>
    <w:rsid w:val="00E33A82"/>
    <w:rsid w:val="00E34CBA"/>
    <w:rsid w:val="00E34EDA"/>
    <w:rsid w:val="00E3504E"/>
    <w:rsid w:val="00E35AF6"/>
    <w:rsid w:val="00E36BA8"/>
    <w:rsid w:val="00E37818"/>
    <w:rsid w:val="00E37EA8"/>
    <w:rsid w:val="00E37EC8"/>
    <w:rsid w:val="00E40116"/>
    <w:rsid w:val="00E40528"/>
    <w:rsid w:val="00E40E4B"/>
    <w:rsid w:val="00E4168D"/>
    <w:rsid w:val="00E42134"/>
    <w:rsid w:val="00E4228F"/>
    <w:rsid w:val="00E4393A"/>
    <w:rsid w:val="00E440A8"/>
    <w:rsid w:val="00E4411E"/>
    <w:rsid w:val="00E448A9"/>
    <w:rsid w:val="00E449D3"/>
    <w:rsid w:val="00E45232"/>
    <w:rsid w:val="00E45AE0"/>
    <w:rsid w:val="00E45B12"/>
    <w:rsid w:val="00E45DDF"/>
    <w:rsid w:val="00E46034"/>
    <w:rsid w:val="00E46186"/>
    <w:rsid w:val="00E46C88"/>
    <w:rsid w:val="00E4707F"/>
    <w:rsid w:val="00E473F8"/>
    <w:rsid w:val="00E47C91"/>
    <w:rsid w:val="00E47F9D"/>
    <w:rsid w:val="00E5000D"/>
    <w:rsid w:val="00E50F8C"/>
    <w:rsid w:val="00E51403"/>
    <w:rsid w:val="00E51D97"/>
    <w:rsid w:val="00E52402"/>
    <w:rsid w:val="00E52E1E"/>
    <w:rsid w:val="00E5339D"/>
    <w:rsid w:val="00E53735"/>
    <w:rsid w:val="00E53ADC"/>
    <w:rsid w:val="00E53BD8"/>
    <w:rsid w:val="00E5527D"/>
    <w:rsid w:val="00E559E9"/>
    <w:rsid w:val="00E5608B"/>
    <w:rsid w:val="00E565EF"/>
    <w:rsid w:val="00E57762"/>
    <w:rsid w:val="00E603E1"/>
    <w:rsid w:val="00E60704"/>
    <w:rsid w:val="00E60C91"/>
    <w:rsid w:val="00E60ECF"/>
    <w:rsid w:val="00E60F2E"/>
    <w:rsid w:val="00E6153E"/>
    <w:rsid w:val="00E626E7"/>
    <w:rsid w:val="00E62CDE"/>
    <w:rsid w:val="00E633B4"/>
    <w:rsid w:val="00E637B5"/>
    <w:rsid w:val="00E64260"/>
    <w:rsid w:val="00E6518D"/>
    <w:rsid w:val="00E658F8"/>
    <w:rsid w:val="00E65BBD"/>
    <w:rsid w:val="00E6672D"/>
    <w:rsid w:val="00E67671"/>
    <w:rsid w:val="00E679EA"/>
    <w:rsid w:val="00E67BFA"/>
    <w:rsid w:val="00E7006D"/>
    <w:rsid w:val="00E707D7"/>
    <w:rsid w:val="00E70E4D"/>
    <w:rsid w:val="00E70E76"/>
    <w:rsid w:val="00E723EE"/>
    <w:rsid w:val="00E727AD"/>
    <w:rsid w:val="00E72BFF"/>
    <w:rsid w:val="00E72E7B"/>
    <w:rsid w:val="00E747CC"/>
    <w:rsid w:val="00E7503A"/>
    <w:rsid w:val="00E751C7"/>
    <w:rsid w:val="00E751D3"/>
    <w:rsid w:val="00E76AB4"/>
    <w:rsid w:val="00E81070"/>
    <w:rsid w:val="00E811A1"/>
    <w:rsid w:val="00E814C4"/>
    <w:rsid w:val="00E8264C"/>
    <w:rsid w:val="00E82EF7"/>
    <w:rsid w:val="00E83EB9"/>
    <w:rsid w:val="00E83EF9"/>
    <w:rsid w:val="00E842B1"/>
    <w:rsid w:val="00E84AA9"/>
    <w:rsid w:val="00E85609"/>
    <w:rsid w:val="00E858EC"/>
    <w:rsid w:val="00E85A03"/>
    <w:rsid w:val="00E862B2"/>
    <w:rsid w:val="00E86A02"/>
    <w:rsid w:val="00E86D71"/>
    <w:rsid w:val="00E8721A"/>
    <w:rsid w:val="00E879F9"/>
    <w:rsid w:val="00E87A41"/>
    <w:rsid w:val="00E87D13"/>
    <w:rsid w:val="00E90073"/>
    <w:rsid w:val="00E90324"/>
    <w:rsid w:val="00E90973"/>
    <w:rsid w:val="00E91B65"/>
    <w:rsid w:val="00E91F0A"/>
    <w:rsid w:val="00E92522"/>
    <w:rsid w:val="00E9257C"/>
    <w:rsid w:val="00E92982"/>
    <w:rsid w:val="00E92C1C"/>
    <w:rsid w:val="00E92E30"/>
    <w:rsid w:val="00E932A5"/>
    <w:rsid w:val="00E937B1"/>
    <w:rsid w:val="00E937BB"/>
    <w:rsid w:val="00E938EA"/>
    <w:rsid w:val="00E94F0E"/>
    <w:rsid w:val="00E95680"/>
    <w:rsid w:val="00E9592F"/>
    <w:rsid w:val="00E96B46"/>
    <w:rsid w:val="00E97029"/>
    <w:rsid w:val="00E9791D"/>
    <w:rsid w:val="00E97F5D"/>
    <w:rsid w:val="00EA0AC1"/>
    <w:rsid w:val="00EA0C65"/>
    <w:rsid w:val="00EA1243"/>
    <w:rsid w:val="00EA1B80"/>
    <w:rsid w:val="00EA2088"/>
    <w:rsid w:val="00EA2647"/>
    <w:rsid w:val="00EA264C"/>
    <w:rsid w:val="00EA283F"/>
    <w:rsid w:val="00EA38AC"/>
    <w:rsid w:val="00EA4280"/>
    <w:rsid w:val="00EA45FA"/>
    <w:rsid w:val="00EA4EC0"/>
    <w:rsid w:val="00EA56C3"/>
    <w:rsid w:val="00EA5BF5"/>
    <w:rsid w:val="00EA6373"/>
    <w:rsid w:val="00EA639F"/>
    <w:rsid w:val="00EA66C0"/>
    <w:rsid w:val="00EA684B"/>
    <w:rsid w:val="00EA7262"/>
    <w:rsid w:val="00EA74CC"/>
    <w:rsid w:val="00EA75B7"/>
    <w:rsid w:val="00EA7622"/>
    <w:rsid w:val="00EA770E"/>
    <w:rsid w:val="00EA7E9A"/>
    <w:rsid w:val="00EB044F"/>
    <w:rsid w:val="00EB0642"/>
    <w:rsid w:val="00EB1756"/>
    <w:rsid w:val="00EB1AD3"/>
    <w:rsid w:val="00EB1CD6"/>
    <w:rsid w:val="00EB1D33"/>
    <w:rsid w:val="00EB224C"/>
    <w:rsid w:val="00EB2F06"/>
    <w:rsid w:val="00EB31D7"/>
    <w:rsid w:val="00EB3524"/>
    <w:rsid w:val="00EB43A4"/>
    <w:rsid w:val="00EB4B8D"/>
    <w:rsid w:val="00EB4C42"/>
    <w:rsid w:val="00EB57D1"/>
    <w:rsid w:val="00EB5F0E"/>
    <w:rsid w:val="00EB6FE4"/>
    <w:rsid w:val="00EB739D"/>
    <w:rsid w:val="00EB7CFC"/>
    <w:rsid w:val="00EC03AE"/>
    <w:rsid w:val="00EC0E82"/>
    <w:rsid w:val="00EC115F"/>
    <w:rsid w:val="00EC1228"/>
    <w:rsid w:val="00EC16D7"/>
    <w:rsid w:val="00EC1F72"/>
    <w:rsid w:val="00EC201E"/>
    <w:rsid w:val="00EC20FD"/>
    <w:rsid w:val="00EC24B9"/>
    <w:rsid w:val="00EC32AD"/>
    <w:rsid w:val="00EC3553"/>
    <w:rsid w:val="00EC385E"/>
    <w:rsid w:val="00EC3952"/>
    <w:rsid w:val="00EC3AAE"/>
    <w:rsid w:val="00EC3D54"/>
    <w:rsid w:val="00EC3F46"/>
    <w:rsid w:val="00EC4025"/>
    <w:rsid w:val="00EC4271"/>
    <w:rsid w:val="00EC51D6"/>
    <w:rsid w:val="00EC52D1"/>
    <w:rsid w:val="00EC575E"/>
    <w:rsid w:val="00EC6178"/>
    <w:rsid w:val="00EC669B"/>
    <w:rsid w:val="00EC7E3F"/>
    <w:rsid w:val="00ED0C47"/>
    <w:rsid w:val="00ED225F"/>
    <w:rsid w:val="00ED26F1"/>
    <w:rsid w:val="00ED2FB2"/>
    <w:rsid w:val="00ED328B"/>
    <w:rsid w:val="00ED3463"/>
    <w:rsid w:val="00ED3B81"/>
    <w:rsid w:val="00ED5165"/>
    <w:rsid w:val="00ED5BA8"/>
    <w:rsid w:val="00ED5F49"/>
    <w:rsid w:val="00ED6198"/>
    <w:rsid w:val="00ED648F"/>
    <w:rsid w:val="00ED67DF"/>
    <w:rsid w:val="00ED7140"/>
    <w:rsid w:val="00EE0068"/>
    <w:rsid w:val="00EE04A0"/>
    <w:rsid w:val="00EE0A3E"/>
    <w:rsid w:val="00EE26CC"/>
    <w:rsid w:val="00EE2B5D"/>
    <w:rsid w:val="00EE2C3B"/>
    <w:rsid w:val="00EE2F35"/>
    <w:rsid w:val="00EE3015"/>
    <w:rsid w:val="00EE3C0B"/>
    <w:rsid w:val="00EE4163"/>
    <w:rsid w:val="00EE4248"/>
    <w:rsid w:val="00EE475B"/>
    <w:rsid w:val="00EE4B0F"/>
    <w:rsid w:val="00EE504A"/>
    <w:rsid w:val="00EE5244"/>
    <w:rsid w:val="00EE583B"/>
    <w:rsid w:val="00EE5EB4"/>
    <w:rsid w:val="00EE60AA"/>
    <w:rsid w:val="00EE6B84"/>
    <w:rsid w:val="00EE6D69"/>
    <w:rsid w:val="00EE70B3"/>
    <w:rsid w:val="00EE7155"/>
    <w:rsid w:val="00EF0194"/>
    <w:rsid w:val="00EF0469"/>
    <w:rsid w:val="00EF0501"/>
    <w:rsid w:val="00EF1656"/>
    <w:rsid w:val="00EF1BA8"/>
    <w:rsid w:val="00EF24B7"/>
    <w:rsid w:val="00EF28DE"/>
    <w:rsid w:val="00EF364A"/>
    <w:rsid w:val="00EF38C4"/>
    <w:rsid w:val="00EF3CB4"/>
    <w:rsid w:val="00EF42FC"/>
    <w:rsid w:val="00EF4510"/>
    <w:rsid w:val="00EF468F"/>
    <w:rsid w:val="00EF4C69"/>
    <w:rsid w:val="00EF53CB"/>
    <w:rsid w:val="00EF602D"/>
    <w:rsid w:val="00EF6B3F"/>
    <w:rsid w:val="00EF707C"/>
    <w:rsid w:val="00EF72B6"/>
    <w:rsid w:val="00EF75A5"/>
    <w:rsid w:val="00F005F1"/>
    <w:rsid w:val="00F01D08"/>
    <w:rsid w:val="00F01F74"/>
    <w:rsid w:val="00F0200C"/>
    <w:rsid w:val="00F0231C"/>
    <w:rsid w:val="00F031C4"/>
    <w:rsid w:val="00F0383A"/>
    <w:rsid w:val="00F057FD"/>
    <w:rsid w:val="00F05A7F"/>
    <w:rsid w:val="00F05FB7"/>
    <w:rsid w:val="00F06266"/>
    <w:rsid w:val="00F07904"/>
    <w:rsid w:val="00F07B36"/>
    <w:rsid w:val="00F07C81"/>
    <w:rsid w:val="00F07E34"/>
    <w:rsid w:val="00F105EC"/>
    <w:rsid w:val="00F1087C"/>
    <w:rsid w:val="00F1152A"/>
    <w:rsid w:val="00F120D9"/>
    <w:rsid w:val="00F12203"/>
    <w:rsid w:val="00F12E80"/>
    <w:rsid w:val="00F131B1"/>
    <w:rsid w:val="00F131D4"/>
    <w:rsid w:val="00F138D0"/>
    <w:rsid w:val="00F13C6F"/>
    <w:rsid w:val="00F14F86"/>
    <w:rsid w:val="00F15AF3"/>
    <w:rsid w:val="00F15CA0"/>
    <w:rsid w:val="00F15DDE"/>
    <w:rsid w:val="00F16161"/>
    <w:rsid w:val="00F16342"/>
    <w:rsid w:val="00F163A3"/>
    <w:rsid w:val="00F175A9"/>
    <w:rsid w:val="00F17AF0"/>
    <w:rsid w:val="00F17E1A"/>
    <w:rsid w:val="00F21157"/>
    <w:rsid w:val="00F21163"/>
    <w:rsid w:val="00F211F8"/>
    <w:rsid w:val="00F224F2"/>
    <w:rsid w:val="00F22A78"/>
    <w:rsid w:val="00F22AC6"/>
    <w:rsid w:val="00F2351C"/>
    <w:rsid w:val="00F239C6"/>
    <w:rsid w:val="00F24185"/>
    <w:rsid w:val="00F242C9"/>
    <w:rsid w:val="00F24ADB"/>
    <w:rsid w:val="00F25A1C"/>
    <w:rsid w:val="00F26215"/>
    <w:rsid w:val="00F26238"/>
    <w:rsid w:val="00F264FD"/>
    <w:rsid w:val="00F27992"/>
    <w:rsid w:val="00F300F3"/>
    <w:rsid w:val="00F30CB9"/>
    <w:rsid w:val="00F30DE8"/>
    <w:rsid w:val="00F30EC2"/>
    <w:rsid w:val="00F316B4"/>
    <w:rsid w:val="00F31D77"/>
    <w:rsid w:val="00F31F3B"/>
    <w:rsid w:val="00F326B3"/>
    <w:rsid w:val="00F32ECD"/>
    <w:rsid w:val="00F34820"/>
    <w:rsid w:val="00F34A55"/>
    <w:rsid w:val="00F3558E"/>
    <w:rsid w:val="00F35892"/>
    <w:rsid w:val="00F37460"/>
    <w:rsid w:val="00F375BF"/>
    <w:rsid w:val="00F3784D"/>
    <w:rsid w:val="00F37B4C"/>
    <w:rsid w:val="00F37C75"/>
    <w:rsid w:val="00F37EE9"/>
    <w:rsid w:val="00F37F20"/>
    <w:rsid w:val="00F40C54"/>
    <w:rsid w:val="00F40FE6"/>
    <w:rsid w:val="00F416CF"/>
    <w:rsid w:val="00F42440"/>
    <w:rsid w:val="00F43C1A"/>
    <w:rsid w:val="00F43ECD"/>
    <w:rsid w:val="00F444CE"/>
    <w:rsid w:val="00F46F83"/>
    <w:rsid w:val="00F47223"/>
    <w:rsid w:val="00F47489"/>
    <w:rsid w:val="00F476ED"/>
    <w:rsid w:val="00F47904"/>
    <w:rsid w:val="00F50E3C"/>
    <w:rsid w:val="00F5133D"/>
    <w:rsid w:val="00F5243C"/>
    <w:rsid w:val="00F526C5"/>
    <w:rsid w:val="00F53003"/>
    <w:rsid w:val="00F535A7"/>
    <w:rsid w:val="00F53667"/>
    <w:rsid w:val="00F5378C"/>
    <w:rsid w:val="00F53BB3"/>
    <w:rsid w:val="00F543C7"/>
    <w:rsid w:val="00F54476"/>
    <w:rsid w:val="00F548D6"/>
    <w:rsid w:val="00F54ABD"/>
    <w:rsid w:val="00F554FA"/>
    <w:rsid w:val="00F561B8"/>
    <w:rsid w:val="00F56821"/>
    <w:rsid w:val="00F57272"/>
    <w:rsid w:val="00F57310"/>
    <w:rsid w:val="00F57524"/>
    <w:rsid w:val="00F575E0"/>
    <w:rsid w:val="00F57FE3"/>
    <w:rsid w:val="00F6024D"/>
    <w:rsid w:val="00F60252"/>
    <w:rsid w:val="00F60576"/>
    <w:rsid w:val="00F60C68"/>
    <w:rsid w:val="00F60F19"/>
    <w:rsid w:val="00F61630"/>
    <w:rsid w:val="00F61826"/>
    <w:rsid w:val="00F619E3"/>
    <w:rsid w:val="00F61C97"/>
    <w:rsid w:val="00F62006"/>
    <w:rsid w:val="00F6281D"/>
    <w:rsid w:val="00F63212"/>
    <w:rsid w:val="00F633A0"/>
    <w:rsid w:val="00F63423"/>
    <w:rsid w:val="00F63926"/>
    <w:rsid w:val="00F63CED"/>
    <w:rsid w:val="00F63F18"/>
    <w:rsid w:val="00F6405B"/>
    <w:rsid w:val="00F65FD7"/>
    <w:rsid w:val="00F66172"/>
    <w:rsid w:val="00F6637D"/>
    <w:rsid w:val="00F66D46"/>
    <w:rsid w:val="00F67A32"/>
    <w:rsid w:val="00F67C7E"/>
    <w:rsid w:val="00F67ED2"/>
    <w:rsid w:val="00F700C4"/>
    <w:rsid w:val="00F70277"/>
    <w:rsid w:val="00F704AD"/>
    <w:rsid w:val="00F710F5"/>
    <w:rsid w:val="00F71105"/>
    <w:rsid w:val="00F7148F"/>
    <w:rsid w:val="00F719B2"/>
    <w:rsid w:val="00F71D57"/>
    <w:rsid w:val="00F71D6B"/>
    <w:rsid w:val="00F724B5"/>
    <w:rsid w:val="00F73009"/>
    <w:rsid w:val="00F74C84"/>
    <w:rsid w:val="00F75DBC"/>
    <w:rsid w:val="00F764CA"/>
    <w:rsid w:val="00F76D15"/>
    <w:rsid w:val="00F7751F"/>
    <w:rsid w:val="00F77D9A"/>
    <w:rsid w:val="00F77E47"/>
    <w:rsid w:val="00F802D2"/>
    <w:rsid w:val="00F80DD1"/>
    <w:rsid w:val="00F80EFA"/>
    <w:rsid w:val="00F812CB"/>
    <w:rsid w:val="00F815DC"/>
    <w:rsid w:val="00F816A8"/>
    <w:rsid w:val="00F819C0"/>
    <w:rsid w:val="00F81E3C"/>
    <w:rsid w:val="00F83081"/>
    <w:rsid w:val="00F8378A"/>
    <w:rsid w:val="00F85476"/>
    <w:rsid w:val="00F867D8"/>
    <w:rsid w:val="00F8784C"/>
    <w:rsid w:val="00F87E60"/>
    <w:rsid w:val="00F918EE"/>
    <w:rsid w:val="00F91B0E"/>
    <w:rsid w:val="00F92055"/>
    <w:rsid w:val="00F9206A"/>
    <w:rsid w:val="00F92414"/>
    <w:rsid w:val="00F92B47"/>
    <w:rsid w:val="00F92D55"/>
    <w:rsid w:val="00F92E61"/>
    <w:rsid w:val="00F932C0"/>
    <w:rsid w:val="00F93D5B"/>
    <w:rsid w:val="00F93E25"/>
    <w:rsid w:val="00F94A9D"/>
    <w:rsid w:val="00F95144"/>
    <w:rsid w:val="00F957B7"/>
    <w:rsid w:val="00F957C5"/>
    <w:rsid w:val="00F95E5A"/>
    <w:rsid w:val="00F9661A"/>
    <w:rsid w:val="00F9661F"/>
    <w:rsid w:val="00F97178"/>
    <w:rsid w:val="00F973F3"/>
    <w:rsid w:val="00FA038E"/>
    <w:rsid w:val="00FA052D"/>
    <w:rsid w:val="00FA079B"/>
    <w:rsid w:val="00FA25A9"/>
    <w:rsid w:val="00FA3904"/>
    <w:rsid w:val="00FA437F"/>
    <w:rsid w:val="00FA5AE8"/>
    <w:rsid w:val="00FA5DB9"/>
    <w:rsid w:val="00FA602A"/>
    <w:rsid w:val="00FA6135"/>
    <w:rsid w:val="00FA69C1"/>
    <w:rsid w:val="00FA6C24"/>
    <w:rsid w:val="00FA6D4A"/>
    <w:rsid w:val="00FA7688"/>
    <w:rsid w:val="00FA78F7"/>
    <w:rsid w:val="00FB05B3"/>
    <w:rsid w:val="00FB132B"/>
    <w:rsid w:val="00FB1859"/>
    <w:rsid w:val="00FB1882"/>
    <w:rsid w:val="00FB35F6"/>
    <w:rsid w:val="00FB361D"/>
    <w:rsid w:val="00FB3939"/>
    <w:rsid w:val="00FB43A7"/>
    <w:rsid w:val="00FB4831"/>
    <w:rsid w:val="00FB580E"/>
    <w:rsid w:val="00FC0784"/>
    <w:rsid w:val="00FC0AC6"/>
    <w:rsid w:val="00FC10C3"/>
    <w:rsid w:val="00FC165D"/>
    <w:rsid w:val="00FC16C4"/>
    <w:rsid w:val="00FC2A52"/>
    <w:rsid w:val="00FC3AEF"/>
    <w:rsid w:val="00FC3BB9"/>
    <w:rsid w:val="00FC432B"/>
    <w:rsid w:val="00FC4377"/>
    <w:rsid w:val="00FC4487"/>
    <w:rsid w:val="00FC471F"/>
    <w:rsid w:val="00FC53B7"/>
    <w:rsid w:val="00FC595B"/>
    <w:rsid w:val="00FC6A32"/>
    <w:rsid w:val="00FC7419"/>
    <w:rsid w:val="00FC751B"/>
    <w:rsid w:val="00FC7848"/>
    <w:rsid w:val="00FC7B3D"/>
    <w:rsid w:val="00FD13CC"/>
    <w:rsid w:val="00FD1C66"/>
    <w:rsid w:val="00FD1E2E"/>
    <w:rsid w:val="00FD216A"/>
    <w:rsid w:val="00FD2825"/>
    <w:rsid w:val="00FD3214"/>
    <w:rsid w:val="00FD32A5"/>
    <w:rsid w:val="00FD41A0"/>
    <w:rsid w:val="00FD42FF"/>
    <w:rsid w:val="00FD4431"/>
    <w:rsid w:val="00FD4EE3"/>
    <w:rsid w:val="00FD4F1E"/>
    <w:rsid w:val="00FD5F41"/>
    <w:rsid w:val="00FD5FA0"/>
    <w:rsid w:val="00FD70EA"/>
    <w:rsid w:val="00FD71C8"/>
    <w:rsid w:val="00FD7A88"/>
    <w:rsid w:val="00FE05A6"/>
    <w:rsid w:val="00FE183E"/>
    <w:rsid w:val="00FE1946"/>
    <w:rsid w:val="00FE25BF"/>
    <w:rsid w:val="00FE306E"/>
    <w:rsid w:val="00FE413F"/>
    <w:rsid w:val="00FE4BC9"/>
    <w:rsid w:val="00FE5243"/>
    <w:rsid w:val="00FE5937"/>
    <w:rsid w:val="00FE63AA"/>
    <w:rsid w:val="00FE6DFA"/>
    <w:rsid w:val="00FE7053"/>
    <w:rsid w:val="00FE71DD"/>
    <w:rsid w:val="00FE75E1"/>
    <w:rsid w:val="00FE7707"/>
    <w:rsid w:val="00FE7B3B"/>
    <w:rsid w:val="00FE7DAB"/>
    <w:rsid w:val="00FF0030"/>
    <w:rsid w:val="00FF014E"/>
    <w:rsid w:val="00FF0281"/>
    <w:rsid w:val="00FF0E05"/>
    <w:rsid w:val="00FF17EE"/>
    <w:rsid w:val="00FF1C7A"/>
    <w:rsid w:val="00FF1DA3"/>
    <w:rsid w:val="00FF249A"/>
    <w:rsid w:val="00FF26EF"/>
    <w:rsid w:val="00FF2E04"/>
    <w:rsid w:val="00FF442F"/>
    <w:rsid w:val="00FF4620"/>
    <w:rsid w:val="00FF51F9"/>
    <w:rsid w:val="00FF54A1"/>
    <w:rsid w:val="00FF5D1F"/>
    <w:rsid w:val="00FF5F52"/>
    <w:rsid w:val="00FF60F5"/>
    <w:rsid w:val="00FF675C"/>
    <w:rsid w:val="00FF67D5"/>
    <w:rsid w:val="00FF733E"/>
    <w:rsid w:val="00FF74A5"/>
    <w:rsid w:val="10F92E68"/>
    <w:rsid w:val="189EF005"/>
    <w:rsid w:val="1C459CA4"/>
    <w:rsid w:val="2E8C9678"/>
    <w:rsid w:val="42C1311A"/>
    <w:rsid w:val="4BFE96C9"/>
    <w:rsid w:val="4E5747F1"/>
    <w:rsid w:val="59C43EF9"/>
    <w:rsid w:val="5D762278"/>
    <w:rsid w:val="6EDDFFF1"/>
    <w:rsid w:val="6F4E2C3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EC13C"/>
  <w15:docId w15:val="{76F362DA-5296-4189-AA47-A930A8883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B9"/>
    <w:pPr>
      <w:spacing w:after="0" w:line="300" w:lineRule="auto"/>
      <w:jc w:val="both"/>
    </w:pPr>
    <w:rPr>
      <w:rFonts w:ascii="Open Sans" w:hAnsi="Open Sans"/>
      <w:sz w:val="20"/>
    </w:rPr>
  </w:style>
  <w:style w:type="paragraph" w:styleId="Overskrift1">
    <w:name w:val="heading 1"/>
    <w:basedOn w:val="Normal"/>
    <w:next w:val="Normal"/>
    <w:link w:val="Overskrift1Tegn"/>
    <w:uiPriority w:val="9"/>
    <w:qFormat/>
    <w:rsid w:val="007B03B8"/>
    <w:pPr>
      <w:keepNext/>
      <w:keepLines/>
      <w:outlineLvl w:val="0"/>
    </w:pPr>
    <w:rPr>
      <w:rFonts w:ascii="Franklin Gothic Book" w:eastAsiaTheme="majorEastAsia" w:hAnsi="Franklin Gothic Book" w:cstheme="majorBidi"/>
      <w:b/>
      <w:bCs/>
      <w:sz w:val="32"/>
      <w:szCs w:val="28"/>
    </w:rPr>
  </w:style>
  <w:style w:type="paragraph" w:styleId="Overskrift2">
    <w:name w:val="heading 2"/>
    <w:basedOn w:val="Normal"/>
    <w:next w:val="Normal"/>
    <w:link w:val="Overskrift2Tegn"/>
    <w:autoRedefine/>
    <w:uiPriority w:val="9"/>
    <w:unhideWhenUsed/>
    <w:qFormat/>
    <w:rsid w:val="00986998"/>
    <w:pPr>
      <w:keepNext/>
      <w:keepLines/>
      <w:numPr>
        <w:ilvl w:val="1"/>
        <w:numId w:val="49"/>
      </w:numPr>
      <w:spacing w:line="360" w:lineRule="auto"/>
      <w:jc w:val="left"/>
      <w:outlineLvl w:val="1"/>
    </w:pPr>
    <w:rPr>
      <w:rFonts w:eastAsia="Calibri" w:cs="Times New Roman"/>
      <w:bCs/>
      <w:szCs w:val="24"/>
    </w:rPr>
  </w:style>
  <w:style w:type="paragraph" w:styleId="Overskrift3">
    <w:name w:val="heading 3"/>
    <w:basedOn w:val="Normal"/>
    <w:next w:val="Normal"/>
    <w:link w:val="Overskrift3Tegn"/>
    <w:unhideWhenUsed/>
    <w:qFormat/>
    <w:rsid w:val="004702A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autoRedefine/>
    <w:uiPriority w:val="9"/>
    <w:unhideWhenUsed/>
    <w:qFormat/>
    <w:rsid w:val="00986998"/>
    <w:pPr>
      <w:keepNext/>
      <w:keepLines/>
      <w:numPr>
        <w:ilvl w:val="2"/>
        <w:numId w:val="49"/>
      </w:numPr>
      <w:spacing w:before="40" w:line="360" w:lineRule="auto"/>
      <w:ind w:left="720"/>
      <w:jc w:val="left"/>
      <w:outlineLvl w:val="3"/>
    </w:pPr>
    <w:rPr>
      <w:rFonts w:eastAsiaTheme="majorEastAsia" w:cs="Open Sans"/>
      <w:szCs w:val="20"/>
    </w:rPr>
  </w:style>
  <w:style w:type="paragraph" w:styleId="Overskrift5">
    <w:name w:val="heading 5"/>
    <w:basedOn w:val="Normal"/>
    <w:next w:val="Normal"/>
    <w:link w:val="Overskrift5Tegn"/>
    <w:autoRedefine/>
    <w:uiPriority w:val="9"/>
    <w:unhideWhenUsed/>
    <w:qFormat/>
    <w:rsid w:val="00267A20"/>
    <w:pPr>
      <w:keepNext/>
      <w:keepLines/>
      <w:numPr>
        <w:ilvl w:val="4"/>
        <w:numId w:val="49"/>
      </w:numPr>
      <w:spacing w:before="40" w:line="360" w:lineRule="auto"/>
      <w:outlineLvl w:val="4"/>
    </w:pPr>
    <w:rPr>
      <w:rFonts w:ascii="Times New Roman" w:eastAsiaTheme="majorEastAsia" w:hAnsi="Times New Roman" w:cs="Times New Roman"/>
      <w:i/>
      <w:iCs/>
      <w:sz w:val="24"/>
      <w:szCs w:val="24"/>
    </w:rPr>
  </w:style>
  <w:style w:type="paragraph" w:styleId="Overskrift6">
    <w:name w:val="heading 6"/>
    <w:basedOn w:val="Normal"/>
    <w:next w:val="Normal"/>
    <w:link w:val="Overskrift6Tegn"/>
    <w:uiPriority w:val="9"/>
    <w:unhideWhenUsed/>
    <w:qFormat/>
    <w:rsid w:val="006A19A9"/>
    <w:pPr>
      <w:keepNext/>
      <w:keepLines/>
      <w:spacing w:before="40"/>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uiPriority w:val="9"/>
    <w:semiHidden/>
    <w:qFormat/>
    <w:rsid w:val="00B3743D"/>
    <w:pPr>
      <w:keepNext/>
      <w:keepLines/>
      <w:spacing w:before="40"/>
      <w:outlineLvl w:val="6"/>
    </w:pPr>
    <w:rPr>
      <w:rFonts w:asciiTheme="minorHAnsi" w:eastAsiaTheme="majorEastAsia" w:hAnsiTheme="minorHAnsi" w:cstheme="majorBidi"/>
      <w:color w:val="595959" w:themeColor="text1" w:themeTint="A6"/>
      <w:sz w:val="26"/>
    </w:rPr>
  </w:style>
  <w:style w:type="paragraph" w:styleId="Overskrift8">
    <w:name w:val="heading 8"/>
    <w:basedOn w:val="Normal"/>
    <w:next w:val="Normal"/>
    <w:link w:val="Overskrift8Tegn"/>
    <w:uiPriority w:val="9"/>
    <w:semiHidden/>
    <w:qFormat/>
    <w:rsid w:val="00B3743D"/>
    <w:pPr>
      <w:keepNext/>
      <w:keepLines/>
      <w:outlineLvl w:val="7"/>
    </w:pPr>
    <w:rPr>
      <w:rFonts w:asciiTheme="minorHAnsi" w:eastAsiaTheme="majorEastAsia" w:hAnsiTheme="minorHAnsi" w:cstheme="majorBidi"/>
      <w:i/>
      <w:iCs/>
      <w:color w:val="272727" w:themeColor="text1" w:themeTint="D8"/>
      <w:sz w:val="26"/>
    </w:rPr>
  </w:style>
  <w:style w:type="paragraph" w:styleId="Overskrift9">
    <w:name w:val="heading 9"/>
    <w:basedOn w:val="Normal"/>
    <w:next w:val="Normal"/>
    <w:link w:val="Overskrift9Tegn"/>
    <w:uiPriority w:val="9"/>
    <w:semiHidden/>
    <w:qFormat/>
    <w:rsid w:val="00B3743D"/>
    <w:pPr>
      <w:keepNext/>
      <w:keepLines/>
      <w:outlineLvl w:val="8"/>
    </w:pPr>
    <w:rPr>
      <w:rFonts w:asciiTheme="minorHAnsi" w:eastAsiaTheme="majorEastAsia" w:hAnsiTheme="minorHAnsi" w:cstheme="majorBidi"/>
      <w:color w:val="272727" w:themeColor="text1" w:themeTint="D8"/>
      <w:sz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B03B8"/>
    <w:rPr>
      <w:rFonts w:ascii="Franklin Gothic Book" w:eastAsiaTheme="majorEastAsia" w:hAnsi="Franklin Gothic Book" w:cstheme="majorBidi"/>
      <w:b/>
      <w:bCs/>
      <w:sz w:val="32"/>
      <w:szCs w:val="28"/>
    </w:rPr>
  </w:style>
  <w:style w:type="character" w:customStyle="1" w:styleId="Overskrift2Tegn">
    <w:name w:val="Overskrift 2 Tegn"/>
    <w:basedOn w:val="Standardskrifttypeiafsnit"/>
    <w:link w:val="Overskrift2"/>
    <w:uiPriority w:val="9"/>
    <w:rsid w:val="00986998"/>
    <w:rPr>
      <w:rFonts w:ascii="Open Sans" w:eastAsia="Calibri" w:hAnsi="Open Sans" w:cs="Times New Roman"/>
      <w:bCs/>
      <w:sz w:val="20"/>
      <w:szCs w:val="24"/>
    </w:rPr>
  </w:style>
  <w:style w:type="paragraph" w:styleId="Titel">
    <w:name w:val="Title"/>
    <w:basedOn w:val="Normal"/>
    <w:next w:val="Normal"/>
    <w:link w:val="TitelTegn"/>
    <w:autoRedefine/>
    <w:uiPriority w:val="10"/>
    <w:qFormat/>
    <w:rsid w:val="00C71A1F"/>
    <w:pPr>
      <w:spacing w:before="240" w:after="60"/>
      <w:contextualSpacing/>
    </w:pPr>
    <w:rPr>
      <w:rFonts w:eastAsiaTheme="majorEastAsia" w:cstheme="majorBidi"/>
      <w:b/>
      <w:spacing w:val="5"/>
      <w:kern w:val="28"/>
      <w:sz w:val="22"/>
      <w:szCs w:val="52"/>
    </w:rPr>
  </w:style>
  <w:style w:type="character" w:customStyle="1" w:styleId="TitelTegn">
    <w:name w:val="Titel Tegn"/>
    <w:basedOn w:val="Standardskrifttypeiafsnit"/>
    <w:link w:val="Titel"/>
    <w:uiPriority w:val="10"/>
    <w:rsid w:val="00C71A1F"/>
    <w:rPr>
      <w:rFonts w:ascii="Open Sans" w:eastAsiaTheme="majorEastAsia" w:hAnsi="Open Sans" w:cstheme="majorBidi"/>
      <w:b/>
      <w:spacing w:val="5"/>
      <w:kern w:val="28"/>
      <w:szCs w:val="52"/>
    </w:rPr>
  </w:style>
  <w:style w:type="paragraph" w:styleId="Undertitel">
    <w:name w:val="Subtitle"/>
    <w:basedOn w:val="Normal"/>
    <w:next w:val="Normal"/>
    <w:link w:val="UndertitelTegn"/>
    <w:autoRedefine/>
    <w:uiPriority w:val="11"/>
    <w:qFormat/>
    <w:rsid w:val="001429E2"/>
    <w:pPr>
      <w:numPr>
        <w:ilvl w:val="1"/>
      </w:numPr>
      <w:spacing w:after="60" w:line="360" w:lineRule="auto"/>
      <w:jc w:val="center"/>
      <w:outlineLvl w:val="1"/>
    </w:pPr>
    <w:rPr>
      <w:rFonts w:ascii="Times New Roman" w:eastAsia="Calibri" w:hAnsi="Times New Roman" w:cs="Times New Roman"/>
      <w:i/>
      <w:spacing w:val="15"/>
      <w:sz w:val="24"/>
      <w:szCs w:val="24"/>
      <w:lang w:eastAsia="da-DK"/>
    </w:rPr>
  </w:style>
  <w:style w:type="character" w:customStyle="1" w:styleId="UndertitelTegn">
    <w:name w:val="Undertitel Tegn"/>
    <w:basedOn w:val="Standardskrifttypeiafsnit"/>
    <w:link w:val="Undertitel"/>
    <w:uiPriority w:val="11"/>
    <w:rsid w:val="001429E2"/>
    <w:rPr>
      <w:rFonts w:ascii="Times New Roman" w:eastAsia="Calibri" w:hAnsi="Times New Roman" w:cs="Times New Roman"/>
      <w:i/>
      <w:spacing w:val="15"/>
      <w:sz w:val="24"/>
      <w:szCs w:val="24"/>
      <w:lang w:eastAsia="da-DK"/>
    </w:rPr>
  </w:style>
  <w:style w:type="paragraph" w:styleId="Sidehoved">
    <w:name w:val="header"/>
    <w:basedOn w:val="Normal"/>
    <w:link w:val="SidehovedTegn"/>
    <w:uiPriority w:val="99"/>
    <w:unhideWhenUsed/>
    <w:rsid w:val="00D712BA"/>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D712BA"/>
    <w:rPr>
      <w:rFonts w:ascii="Times New Roman" w:hAnsi="Times New Roman"/>
      <w:sz w:val="24"/>
    </w:rPr>
  </w:style>
  <w:style w:type="paragraph" w:styleId="Sidefod">
    <w:name w:val="footer"/>
    <w:basedOn w:val="Normal"/>
    <w:link w:val="SidefodTegn"/>
    <w:unhideWhenUsed/>
    <w:rsid w:val="00D712BA"/>
    <w:pPr>
      <w:tabs>
        <w:tab w:val="center" w:pos="4819"/>
        <w:tab w:val="right" w:pos="9638"/>
      </w:tabs>
      <w:spacing w:line="240" w:lineRule="auto"/>
    </w:pPr>
  </w:style>
  <w:style w:type="character" w:customStyle="1" w:styleId="SidefodTegn">
    <w:name w:val="Sidefod Tegn"/>
    <w:basedOn w:val="Standardskrifttypeiafsnit"/>
    <w:link w:val="Sidefod"/>
    <w:rsid w:val="00D712BA"/>
    <w:rPr>
      <w:rFonts w:ascii="Times New Roman" w:hAnsi="Times New Roman"/>
      <w:sz w:val="24"/>
    </w:rPr>
  </w:style>
  <w:style w:type="paragraph" w:styleId="Markeringsbobletekst">
    <w:name w:val="Balloon Text"/>
    <w:basedOn w:val="Normal"/>
    <w:link w:val="MarkeringsbobletekstTegn"/>
    <w:uiPriority w:val="99"/>
    <w:semiHidden/>
    <w:unhideWhenUsed/>
    <w:rsid w:val="00D712BA"/>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712BA"/>
    <w:rPr>
      <w:rFonts w:ascii="Tahoma" w:hAnsi="Tahoma" w:cs="Tahoma"/>
      <w:sz w:val="16"/>
      <w:szCs w:val="16"/>
    </w:rPr>
  </w:style>
  <w:style w:type="character" w:styleId="Sidetal">
    <w:name w:val="page number"/>
    <w:basedOn w:val="Standardskrifttypeiafsnit"/>
    <w:semiHidden/>
    <w:unhideWhenUsed/>
    <w:rsid w:val="005931A1"/>
  </w:style>
  <w:style w:type="paragraph" w:styleId="Citat">
    <w:name w:val="Quote"/>
    <w:basedOn w:val="Normal"/>
    <w:next w:val="Normal"/>
    <w:link w:val="CitatTegn"/>
    <w:uiPriority w:val="29"/>
    <w:qFormat/>
    <w:rsid w:val="00450BA6"/>
    <w:pPr>
      <w:ind w:left="567" w:right="567"/>
    </w:pPr>
    <w:rPr>
      <w:i/>
      <w:iCs/>
      <w:color w:val="000000" w:themeColor="text1"/>
    </w:rPr>
  </w:style>
  <w:style w:type="character" w:customStyle="1" w:styleId="CitatTegn">
    <w:name w:val="Citat Tegn"/>
    <w:basedOn w:val="Standardskrifttypeiafsnit"/>
    <w:link w:val="Citat"/>
    <w:uiPriority w:val="29"/>
    <w:rsid w:val="00450BA6"/>
    <w:rPr>
      <w:rFonts w:ascii="Times New Roman" w:hAnsi="Times New Roman"/>
      <w:i/>
      <w:iCs/>
      <w:color w:val="000000" w:themeColor="text1"/>
      <w:sz w:val="24"/>
    </w:rPr>
  </w:style>
  <w:style w:type="character" w:styleId="Hyperlink">
    <w:name w:val="Hyperlink"/>
    <w:basedOn w:val="Standardskrifttypeiafsnit"/>
    <w:uiPriority w:val="99"/>
    <w:unhideWhenUsed/>
    <w:rsid w:val="00092308"/>
    <w:rPr>
      <w:color w:val="0000FF" w:themeColor="hyperlink"/>
      <w:u w:val="single"/>
    </w:rPr>
  </w:style>
  <w:style w:type="table" w:customStyle="1" w:styleId="IndreTabel">
    <w:name w:val="IndreTabel"/>
    <w:basedOn w:val="Tabel-Normal"/>
    <w:uiPriority w:val="99"/>
    <w:rsid w:val="003B174B"/>
    <w:pPr>
      <w:spacing w:after="0" w:line="240" w:lineRule="auto"/>
    </w:pPr>
    <w:tblPr>
      <w:tblBorders>
        <w:top w:val="single" w:sz="8" w:space="0" w:color="E4E2D9"/>
        <w:bottom w:val="single" w:sz="8" w:space="0" w:color="E4E2D9"/>
        <w:insideH w:val="single" w:sz="8" w:space="0" w:color="E4E2D9"/>
      </w:tblBorders>
      <w:tblCellMar>
        <w:left w:w="0" w:type="dxa"/>
        <w:right w:w="0" w:type="dxa"/>
      </w:tblCellMar>
    </w:tblPr>
    <w:tcPr>
      <w:shd w:val="clear" w:color="auto" w:fill="auto"/>
      <w:vAlign w:val="center"/>
    </w:tcPr>
  </w:style>
  <w:style w:type="paragraph" w:customStyle="1" w:styleId="IndreTabelTekstVenstre">
    <w:name w:val="IndreTabelTekstVenstre"/>
    <w:basedOn w:val="Normal"/>
    <w:rsid w:val="003B174B"/>
    <w:pPr>
      <w:spacing w:line="150" w:lineRule="atLeast"/>
      <w:jc w:val="left"/>
    </w:pPr>
    <w:rPr>
      <w:sz w:val="14"/>
    </w:rPr>
  </w:style>
  <w:style w:type="paragraph" w:customStyle="1" w:styleId="IndreTabelTekstHjre">
    <w:name w:val="IndreTabelTekstHøjre"/>
    <w:basedOn w:val="IndreTabelTekstVenstre"/>
    <w:rsid w:val="003B174B"/>
    <w:pPr>
      <w:jc w:val="right"/>
    </w:pPr>
  </w:style>
  <w:style w:type="paragraph" w:customStyle="1" w:styleId="IndreTabelOverskriftHjre">
    <w:name w:val="IndreTabelOverskriftHøjre"/>
    <w:basedOn w:val="IndreTabelTekstHjre"/>
    <w:rsid w:val="003B174B"/>
    <w:rPr>
      <w:b/>
    </w:rPr>
  </w:style>
  <w:style w:type="paragraph" w:customStyle="1" w:styleId="IndreTabelOverskriftVenstre">
    <w:name w:val="IndreTabelOverskriftVenstre"/>
    <w:basedOn w:val="IndreTabelTekstVenstre"/>
    <w:rsid w:val="003B174B"/>
    <w:rPr>
      <w:i/>
    </w:rPr>
  </w:style>
  <w:style w:type="paragraph" w:customStyle="1" w:styleId="IndreTabelUnderoverskriftHjre">
    <w:name w:val="IndreTabelUnderoverskriftHøjre"/>
    <w:basedOn w:val="IndreTabelTekstHjre"/>
    <w:rsid w:val="003B174B"/>
    <w:rPr>
      <w:b/>
    </w:rPr>
  </w:style>
  <w:style w:type="paragraph" w:customStyle="1" w:styleId="IndreTabelUnderoverskriftVenstre">
    <w:name w:val="IndreTabelUnderoverskriftVenstre"/>
    <w:basedOn w:val="IndreTabelTekstVenstre"/>
    <w:rsid w:val="003B174B"/>
    <w:rPr>
      <w:b/>
    </w:rPr>
  </w:style>
  <w:style w:type="paragraph" w:customStyle="1" w:styleId="TabelKilde">
    <w:name w:val="TabelKilde"/>
    <w:basedOn w:val="Normal"/>
    <w:rsid w:val="003B174B"/>
    <w:pPr>
      <w:ind w:left="227" w:right="227"/>
    </w:pPr>
    <w:rPr>
      <w:color w:val="000000"/>
      <w:sz w:val="14"/>
    </w:rPr>
  </w:style>
  <w:style w:type="paragraph" w:customStyle="1" w:styleId="TabelOverskrift">
    <w:name w:val="TabelOverskrift"/>
    <w:basedOn w:val="Normal"/>
    <w:rsid w:val="003B174B"/>
    <w:pPr>
      <w:spacing w:after="210" w:line="210" w:lineRule="atLeast"/>
      <w:ind w:left="227" w:right="227"/>
    </w:pPr>
    <w:rPr>
      <w:b/>
      <w:color w:val="000000"/>
      <w:sz w:val="14"/>
    </w:rPr>
  </w:style>
  <w:style w:type="paragraph" w:customStyle="1" w:styleId="TabelTitel">
    <w:name w:val="TabelTitel"/>
    <w:basedOn w:val="Normal"/>
    <w:rsid w:val="003B174B"/>
    <w:pPr>
      <w:spacing w:before="170" w:line="230" w:lineRule="atLeast"/>
      <w:ind w:left="227" w:right="227"/>
    </w:pPr>
    <w:rPr>
      <w:b/>
      <w:color w:val="031D5C"/>
      <w:sz w:val="15"/>
    </w:rPr>
  </w:style>
  <w:style w:type="table" w:customStyle="1" w:styleId="YdreTabel">
    <w:name w:val="YdreTabel"/>
    <w:basedOn w:val="Tabel-Normal"/>
    <w:uiPriority w:val="99"/>
    <w:rsid w:val="003B174B"/>
    <w:pPr>
      <w:spacing w:after="0" w:line="240" w:lineRule="auto"/>
    </w:pPr>
    <w:rPr>
      <w:rFonts w:ascii="Times New Roman" w:hAnsi="Times New Roman"/>
      <w:sz w:val="14"/>
    </w:rPr>
    <w:tblPr>
      <w:tblStyleRowBandSize w:val="1"/>
      <w:tblBorders>
        <w:top w:val="single" w:sz="4" w:space="0" w:color="auto"/>
      </w:tblBorders>
      <w:tblCellMar>
        <w:left w:w="0" w:type="dxa"/>
        <w:right w:w="0" w:type="dxa"/>
      </w:tblCellMar>
    </w:tblPr>
    <w:tcPr>
      <w:shd w:val="clear" w:color="auto" w:fill="F9F8E0"/>
    </w:tcPr>
    <w:tblStylePr w:type="firstRow">
      <w:tblPr/>
      <w:tcPr>
        <w:shd w:val="clear" w:color="auto" w:fill="F9F8E0"/>
      </w:tcPr>
    </w:tblStylePr>
    <w:tblStylePr w:type="lastRow">
      <w:tblPr/>
      <w:tcPr>
        <w:tcBorders>
          <w:top w:val="nil"/>
          <w:left w:val="nil"/>
          <w:bottom w:val="nil"/>
          <w:right w:val="nil"/>
          <w:insideH w:val="nil"/>
          <w:insideV w:val="nil"/>
          <w:tl2br w:val="nil"/>
          <w:tr2bl w:val="nil"/>
        </w:tcBorders>
        <w:shd w:val="clear" w:color="auto" w:fill="F9F8E0"/>
      </w:tcPr>
    </w:tblStylePr>
    <w:tblStylePr w:type="band1Horz">
      <w:tblPr/>
      <w:tcPr>
        <w:shd w:val="clear" w:color="auto" w:fill="F9F8E0"/>
      </w:tcPr>
    </w:tblStylePr>
    <w:tblStylePr w:type="band2Horz">
      <w:tblPr/>
      <w:tcPr>
        <w:shd w:val="clear" w:color="auto" w:fill="F9F8E0"/>
      </w:tcPr>
    </w:tblStylePr>
  </w:style>
  <w:style w:type="table" w:styleId="Tabel-Gitter">
    <w:name w:val="Table Grid"/>
    <w:basedOn w:val="Tabel-Normal"/>
    <w:uiPriority w:val="59"/>
    <w:rsid w:val="00BD7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ertedText">
    <w:name w:val="InsertedText"/>
    <w:basedOn w:val="Normal"/>
    <w:next w:val="Normal"/>
    <w:rsid w:val="005063C7"/>
    <w:pPr>
      <w:spacing w:line="240" w:lineRule="auto"/>
    </w:pPr>
    <w:rPr>
      <w:rFonts w:ascii="Franklin Gothic Book" w:hAnsi="Franklin Gothic Book" w:cs="Times New Roman"/>
      <w:b/>
      <w:sz w:val="32"/>
      <w:szCs w:val="32"/>
    </w:rPr>
  </w:style>
  <w:style w:type="paragraph" w:customStyle="1" w:styleId="Klassifikation">
    <w:name w:val="Klassifikation"/>
    <w:basedOn w:val="Normal"/>
    <w:rsid w:val="00952124"/>
  </w:style>
  <w:style w:type="character" w:styleId="Pladsholdertekst">
    <w:name w:val="Placeholder Text"/>
    <w:basedOn w:val="Standardskrifttypeiafsnit"/>
    <w:uiPriority w:val="99"/>
    <w:semiHidden/>
    <w:rsid w:val="00B00231"/>
    <w:rPr>
      <w:color w:val="808080"/>
    </w:rPr>
  </w:style>
  <w:style w:type="paragraph" w:customStyle="1" w:styleId="Punktopstilling">
    <w:name w:val="Punktopstilling"/>
    <w:basedOn w:val="Normal"/>
    <w:link w:val="PunktopstillingTegn"/>
    <w:qFormat/>
    <w:rsid w:val="00D16EBE"/>
    <w:pPr>
      <w:spacing w:before="120" w:after="120"/>
    </w:pPr>
  </w:style>
  <w:style w:type="character" w:customStyle="1" w:styleId="PunktopstillingTegn">
    <w:name w:val="Punktopstilling Tegn"/>
    <w:basedOn w:val="Standardskrifttypeiafsnit"/>
    <w:link w:val="Punktopstilling"/>
    <w:rsid w:val="00DA2E5D"/>
    <w:rPr>
      <w:rFonts w:ascii="Open Sans" w:hAnsi="Open Sans"/>
      <w:sz w:val="20"/>
    </w:rPr>
  </w:style>
  <w:style w:type="paragraph" w:customStyle="1" w:styleId="Normal-Tale">
    <w:name w:val="Normal - Tale"/>
    <w:basedOn w:val="Punktopstilling"/>
    <w:link w:val="Normal-TaleTegn"/>
    <w:qFormat/>
    <w:rsid w:val="00BE52AC"/>
    <w:pPr>
      <w:ind w:left="360" w:hanging="360"/>
    </w:pPr>
    <w:rPr>
      <w:sz w:val="32"/>
    </w:rPr>
  </w:style>
  <w:style w:type="paragraph" w:customStyle="1" w:styleId="Punktopstilling-Tale">
    <w:name w:val="Punktopstilling - Tale"/>
    <w:basedOn w:val="Punktopstilling"/>
    <w:link w:val="Punktopstilling-TaleTegn"/>
    <w:autoRedefine/>
    <w:qFormat/>
    <w:rsid w:val="00973597"/>
    <w:pPr>
      <w:numPr>
        <w:numId w:val="1"/>
      </w:numPr>
      <w:spacing w:before="240" w:after="240"/>
      <w:ind w:left="357" w:hanging="357"/>
    </w:pPr>
    <w:rPr>
      <w:sz w:val="32"/>
    </w:rPr>
  </w:style>
  <w:style w:type="character" w:customStyle="1" w:styleId="Normal-TaleTegn">
    <w:name w:val="Normal - Tale Tegn"/>
    <w:basedOn w:val="PunktopstillingTegn"/>
    <w:link w:val="Normal-Tale"/>
    <w:rsid w:val="00BE52AC"/>
    <w:rPr>
      <w:rFonts w:ascii="Times New Roman" w:hAnsi="Times New Roman"/>
      <w:sz w:val="32"/>
    </w:rPr>
  </w:style>
  <w:style w:type="paragraph" w:customStyle="1" w:styleId="Normal-Baggrund">
    <w:name w:val="Normal - Baggrund"/>
    <w:basedOn w:val="Normal"/>
    <w:link w:val="Normal-BaggrundTegn"/>
    <w:qFormat/>
    <w:rsid w:val="00BE52AC"/>
    <w:rPr>
      <w:sz w:val="24"/>
    </w:rPr>
  </w:style>
  <w:style w:type="character" w:customStyle="1" w:styleId="Punktopstilling-TaleTegn">
    <w:name w:val="Punktopstilling - Tale Tegn"/>
    <w:basedOn w:val="Normal-TaleTegn"/>
    <w:link w:val="Punktopstilling-Tale"/>
    <w:rsid w:val="00973597"/>
    <w:rPr>
      <w:rFonts w:ascii="Open Sans" w:hAnsi="Open Sans"/>
      <w:sz w:val="32"/>
    </w:rPr>
  </w:style>
  <w:style w:type="character" w:customStyle="1" w:styleId="Normal-BaggrundTegn">
    <w:name w:val="Normal - Baggrund Tegn"/>
    <w:basedOn w:val="Standardskrifttypeiafsnit"/>
    <w:link w:val="Normal-Baggrund"/>
    <w:rsid w:val="00BE52AC"/>
    <w:rPr>
      <w:rFonts w:ascii="Times New Roman" w:hAnsi="Times New Roman"/>
      <w:sz w:val="24"/>
    </w:rPr>
  </w:style>
  <w:style w:type="paragraph" w:customStyle="1" w:styleId="Tale-Overskrift">
    <w:name w:val="Tale - Overskrift"/>
    <w:basedOn w:val="Overskrift3"/>
    <w:link w:val="Tale-OverskriftTegn"/>
    <w:qFormat/>
    <w:rsid w:val="004702A5"/>
    <w:rPr>
      <w:rFonts w:ascii="Times New Roman" w:hAnsi="Times New Roman"/>
      <w:b/>
      <w:color w:val="000000" w:themeColor="text1"/>
      <w:sz w:val="32"/>
    </w:rPr>
  </w:style>
  <w:style w:type="character" w:customStyle="1" w:styleId="Tale-OverskriftTegn">
    <w:name w:val="Tale - Overskrift Tegn"/>
    <w:basedOn w:val="Normal-TaleTegn"/>
    <w:link w:val="Tale-Overskrift"/>
    <w:rsid w:val="004702A5"/>
    <w:rPr>
      <w:rFonts w:ascii="Times New Roman" w:eastAsiaTheme="majorEastAsia" w:hAnsi="Times New Roman" w:cstheme="majorBidi"/>
      <w:b/>
      <w:color w:val="000000" w:themeColor="text1"/>
      <w:sz w:val="32"/>
      <w:szCs w:val="24"/>
    </w:rPr>
  </w:style>
  <w:style w:type="character" w:customStyle="1" w:styleId="Overskrift3Tegn">
    <w:name w:val="Overskrift 3 Tegn"/>
    <w:basedOn w:val="Standardskrifttypeiafsnit"/>
    <w:link w:val="Overskrift3"/>
    <w:rsid w:val="004702A5"/>
    <w:rPr>
      <w:rFonts w:asciiTheme="majorHAnsi" w:eastAsiaTheme="majorEastAsia" w:hAnsiTheme="majorHAnsi" w:cstheme="majorBidi"/>
      <w:color w:val="243F60" w:themeColor="accent1" w:themeShade="7F"/>
      <w:sz w:val="24"/>
      <w:szCs w:val="24"/>
    </w:rPr>
  </w:style>
  <w:style w:type="paragraph" w:styleId="Opstilling-punkttegn">
    <w:name w:val="List Bullet"/>
    <w:basedOn w:val="Normal"/>
    <w:uiPriority w:val="99"/>
    <w:semiHidden/>
    <w:unhideWhenUsed/>
    <w:rsid w:val="00DA2E5D"/>
    <w:pPr>
      <w:numPr>
        <w:numId w:val="2"/>
      </w:numPr>
      <w:contextualSpacing/>
    </w:pPr>
  </w:style>
  <w:style w:type="character" w:customStyle="1" w:styleId="KommentartekstTegn">
    <w:name w:val="Kommentartekst Tegn"/>
    <w:basedOn w:val="Standardskrifttypeiafsnit"/>
    <w:link w:val="Kommentartekst"/>
    <w:uiPriority w:val="99"/>
    <w:rsid w:val="005F7E66"/>
    <w:rPr>
      <w:rFonts w:ascii="Times New Roman" w:hAnsi="Times New Roman"/>
      <w:sz w:val="20"/>
      <w:szCs w:val="20"/>
    </w:rPr>
  </w:style>
  <w:style w:type="paragraph" w:styleId="Kommentartekst">
    <w:name w:val="annotation text"/>
    <w:basedOn w:val="Normal"/>
    <w:link w:val="KommentartekstTegn"/>
    <w:uiPriority w:val="99"/>
    <w:unhideWhenUsed/>
    <w:rsid w:val="005F7E66"/>
    <w:pPr>
      <w:spacing w:line="240" w:lineRule="auto"/>
    </w:pPr>
    <w:rPr>
      <w:szCs w:val="20"/>
    </w:rPr>
  </w:style>
  <w:style w:type="character" w:customStyle="1" w:styleId="KommentartekstTegn1">
    <w:name w:val="Kommentartekst Tegn1"/>
    <w:basedOn w:val="Standardskrifttypeiafsnit"/>
    <w:uiPriority w:val="99"/>
    <w:semiHidden/>
    <w:rsid w:val="005F7E66"/>
    <w:rPr>
      <w:rFonts w:ascii="Times New Roman" w:hAnsi="Times New Roman"/>
      <w:sz w:val="20"/>
      <w:szCs w:val="20"/>
    </w:rPr>
  </w:style>
  <w:style w:type="character" w:styleId="Kommentarhenvisning">
    <w:name w:val="annotation reference"/>
    <w:basedOn w:val="Standardskrifttypeiafsnit"/>
    <w:uiPriority w:val="99"/>
    <w:semiHidden/>
    <w:unhideWhenUsed/>
    <w:rsid w:val="005F7E66"/>
    <w:rPr>
      <w:sz w:val="16"/>
      <w:szCs w:val="16"/>
    </w:rPr>
  </w:style>
  <w:style w:type="paragraph" w:styleId="Fodnotetekst">
    <w:name w:val="footnote text"/>
    <w:basedOn w:val="Normal"/>
    <w:link w:val="FodnotetekstTegn"/>
    <w:uiPriority w:val="99"/>
    <w:unhideWhenUsed/>
    <w:rsid w:val="005F7E66"/>
    <w:pPr>
      <w:spacing w:line="240" w:lineRule="auto"/>
    </w:pPr>
    <w:rPr>
      <w:szCs w:val="20"/>
    </w:rPr>
  </w:style>
  <w:style w:type="character" w:customStyle="1" w:styleId="FodnotetekstTegn">
    <w:name w:val="Fodnotetekst Tegn"/>
    <w:basedOn w:val="Standardskrifttypeiafsnit"/>
    <w:link w:val="Fodnotetekst"/>
    <w:uiPriority w:val="99"/>
    <w:rsid w:val="005F7E66"/>
    <w:rPr>
      <w:rFonts w:ascii="Times New Roman" w:hAnsi="Times New Roman"/>
      <w:sz w:val="20"/>
      <w:szCs w:val="20"/>
    </w:rPr>
  </w:style>
  <w:style w:type="character" w:styleId="Fodnotehenvisning">
    <w:name w:val="footnote reference"/>
    <w:basedOn w:val="Standardskrifttypeiafsnit"/>
    <w:uiPriority w:val="99"/>
    <w:semiHidden/>
    <w:unhideWhenUsed/>
    <w:rsid w:val="005F7E66"/>
    <w:rPr>
      <w:vertAlign w:val="superscript"/>
    </w:rPr>
  </w:style>
  <w:style w:type="paragraph" w:styleId="Kommentaremne">
    <w:name w:val="annotation subject"/>
    <w:basedOn w:val="Kommentartekst"/>
    <w:next w:val="Kommentartekst"/>
    <w:link w:val="KommentaremneTegn"/>
    <w:uiPriority w:val="99"/>
    <w:semiHidden/>
    <w:unhideWhenUsed/>
    <w:rsid w:val="00402C0C"/>
    <w:rPr>
      <w:b/>
      <w:bCs/>
    </w:rPr>
  </w:style>
  <w:style w:type="character" w:customStyle="1" w:styleId="KommentaremneTegn">
    <w:name w:val="Kommentaremne Tegn"/>
    <w:basedOn w:val="KommentartekstTegn"/>
    <w:link w:val="Kommentaremne"/>
    <w:uiPriority w:val="99"/>
    <w:semiHidden/>
    <w:rsid w:val="00402C0C"/>
    <w:rPr>
      <w:rFonts w:ascii="Times New Roman" w:hAnsi="Times New Roman"/>
      <w:b/>
      <w:bCs/>
      <w:sz w:val="20"/>
      <w:szCs w:val="20"/>
    </w:rPr>
  </w:style>
  <w:style w:type="paragraph" w:styleId="Korrektur">
    <w:name w:val="Revision"/>
    <w:hidden/>
    <w:uiPriority w:val="99"/>
    <w:semiHidden/>
    <w:rsid w:val="0075646B"/>
    <w:pPr>
      <w:spacing w:after="0" w:line="240" w:lineRule="auto"/>
    </w:pPr>
    <w:rPr>
      <w:rFonts w:ascii="Times New Roman" w:hAnsi="Times New Roman"/>
      <w:sz w:val="26"/>
    </w:rPr>
  </w:style>
  <w:style w:type="character" w:styleId="BesgtLink">
    <w:name w:val="FollowedHyperlink"/>
    <w:basedOn w:val="Standardskrifttypeiafsnit"/>
    <w:uiPriority w:val="99"/>
    <w:semiHidden/>
    <w:unhideWhenUsed/>
    <w:rsid w:val="000401A0"/>
    <w:rPr>
      <w:color w:val="800080" w:themeColor="followedHyperlink"/>
      <w:u w:val="single"/>
    </w:rPr>
  </w:style>
  <w:style w:type="character" w:styleId="Ulstomtale">
    <w:name w:val="Unresolved Mention"/>
    <w:basedOn w:val="Standardskrifttypeiafsnit"/>
    <w:uiPriority w:val="99"/>
    <w:semiHidden/>
    <w:unhideWhenUsed/>
    <w:rsid w:val="001E56E9"/>
    <w:rPr>
      <w:color w:val="605E5C"/>
      <w:shd w:val="clear" w:color="auto" w:fill="E1DFDD"/>
    </w:rPr>
  </w:style>
  <w:style w:type="paragraph" w:styleId="Listeafsnit">
    <w:name w:val="List Paragraph"/>
    <w:basedOn w:val="Normal"/>
    <w:uiPriority w:val="1"/>
    <w:qFormat/>
    <w:rsid w:val="00157AB9"/>
    <w:pPr>
      <w:ind w:left="720"/>
      <w:contextualSpacing/>
    </w:pPr>
  </w:style>
  <w:style w:type="table" w:styleId="Almindeligtabel4">
    <w:name w:val="Plain Table 4"/>
    <w:basedOn w:val="Tabel-Normal"/>
    <w:uiPriority w:val="44"/>
    <w:rsid w:val="00FF26EF"/>
    <w:pPr>
      <w:spacing w:after="0" w:line="240" w:lineRule="auto"/>
    </w:pPr>
    <w:rPr>
      <w:rFonts w:ascii="Arial" w:hAnsi="Arial"/>
      <w:kern w:val="2"/>
      <w:sz w:val="21"/>
      <w:szCs w:val="21"/>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941F77"/>
    <w:rPr>
      <w:rFonts w:cs="Times New Roman"/>
      <w:sz w:val="24"/>
      <w:szCs w:val="24"/>
    </w:rPr>
  </w:style>
  <w:style w:type="paragraph" w:customStyle="1" w:styleId="xmsonormal">
    <w:name w:val="x_msonormal"/>
    <w:basedOn w:val="Normal"/>
    <w:rsid w:val="004E155B"/>
    <w:pPr>
      <w:spacing w:line="240" w:lineRule="auto"/>
      <w:jc w:val="left"/>
    </w:pPr>
    <w:rPr>
      <w:rFonts w:ascii="Calibri" w:hAnsi="Calibri" w:cs="Calibri"/>
      <w:sz w:val="22"/>
      <w:lang w:eastAsia="da-DK"/>
    </w:rPr>
  </w:style>
  <w:style w:type="paragraph" w:styleId="Indholdsfortegnelse1">
    <w:name w:val="toc 1"/>
    <w:basedOn w:val="Normal"/>
    <w:next w:val="Normal"/>
    <w:autoRedefine/>
    <w:uiPriority w:val="39"/>
    <w:unhideWhenUsed/>
    <w:rsid w:val="00C852A4"/>
    <w:pPr>
      <w:spacing w:after="100"/>
    </w:pPr>
  </w:style>
  <w:style w:type="paragraph" w:styleId="Indholdsfortegnelse2">
    <w:name w:val="toc 2"/>
    <w:basedOn w:val="Normal"/>
    <w:next w:val="Normal"/>
    <w:autoRedefine/>
    <w:uiPriority w:val="39"/>
    <w:unhideWhenUsed/>
    <w:rsid w:val="00A950E2"/>
    <w:pPr>
      <w:spacing w:after="100"/>
      <w:ind w:left="200"/>
    </w:pPr>
  </w:style>
  <w:style w:type="paragraph" w:styleId="Indholdsfortegnelse3">
    <w:name w:val="toc 3"/>
    <w:basedOn w:val="Normal"/>
    <w:next w:val="Normal"/>
    <w:autoRedefine/>
    <w:uiPriority w:val="39"/>
    <w:unhideWhenUsed/>
    <w:rsid w:val="00A950E2"/>
    <w:pPr>
      <w:spacing w:after="100" w:line="278" w:lineRule="auto"/>
      <w:ind w:left="480"/>
      <w:jc w:val="left"/>
    </w:pPr>
    <w:rPr>
      <w:rFonts w:asciiTheme="minorHAnsi" w:eastAsiaTheme="minorEastAsia" w:hAnsiTheme="minorHAnsi"/>
      <w:kern w:val="2"/>
      <w:sz w:val="24"/>
      <w:szCs w:val="24"/>
      <w:lang w:eastAsia="da-DK"/>
      <w14:ligatures w14:val="standardContextual"/>
    </w:rPr>
  </w:style>
  <w:style w:type="paragraph" w:styleId="Indholdsfortegnelse4">
    <w:name w:val="toc 4"/>
    <w:basedOn w:val="Normal"/>
    <w:next w:val="Normal"/>
    <w:autoRedefine/>
    <w:uiPriority w:val="39"/>
    <w:unhideWhenUsed/>
    <w:rsid w:val="00A950E2"/>
    <w:pPr>
      <w:spacing w:after="100" w:line="278" w:lineRule="auto"/>
      <w:ind w:left="720"/>
      <w:jc w:val="left"/>
    </w:pPr>
    <w:rPr>
      <w:rFonts w:asciiTheme="minorHAnsi" w:eastAsiaTheme="minorEastAsia" w:hAnsiTheme="minorHAnsi"/>
      <w:kern w:val="2"/>
      <w:sz w:val="24"/>
      <w:szCs w:val="24"/>
      <w:lang w:eastAsia="da-DK"/>
      <w14:ligatures w14:val="standardContextual"/>
    </w:rPr>
  </w:style>
  <w:style w:type="paragraph" w:styleId="Indholdsfortegnelse5">
    <w:name w:val="toc 5"/>
    <w:basedOn w:val="Normal"/>
    <w:next w:val="Normal"/>
    <w:autoRedefine/>
    <w:uiPriority w:val="39"/>
    <w:unhideWhenUsed/>
    <w:rsid w:val="00A950E2"/>
    <w:pPr>
      <w:spacing w:after="100" w:line="278" w:lineRule="auto"/>
      <w:ind w:left="960"/>
      <w:jc w:val="left"/>
    </w:pPr>
    <w:rPr>
      <w:rFonts w:asciiTheme="minorHAnsi" w:eastAsiaTheme="minorEastAsia" w:hAnsiTheme="minorHAnsi"/>
      <w:kern w:val="2"/>
      <w:sz w:val="24"/>
      <w:szCs w:val="24"/>
      <w:lang w:eastAsia="da-DK"/>
      <w14:ligatures w14:val="standardContextual"/>
    </w:rPr>
  </w:style>
  <w:style w:type="paragraph" w:styleId="Indholdsfortegnelse6">
    <w:name w:val="toc 6"/>
    <w:basedOn w:val="Normal"/>
    <w:next w:val="Normal"/>
    <w:autoRedefine/>
    <w:uiPriority w:val="39"/>
    <w:unhideWhenUsed/>
    <w:rsid w:val="00A950E2"/>
    <w:pPr>
      <w:spacing w:after="100" w:line="278" w:lineRule="auto"/>
      <w:ind w:left="1200"/>
      <w:jc w:val="left"/>
    </w:pPr>
    <w:rPr>
      <w:rFonts w:asciiTheme="minorHAnsi" w:eastAsiaTheme="minorEastAsia" w:hAnsiTheme="minorHAnsi"/>
      <w:kern w:val="2"/>
      <w:sz w:val="24"/>
      <w:szCs w:val="24"/>
      <w:lang w:eastAsia="da-DK"/>
      <w14:ligatures w14:val="standardContextual"/>
    </w:rPr>
  </w:style>
  <w:style w:type="paragraph" w:styleId="Indholdsfortegnelse7">
    <w:name w:val="toc 7"/>
    <w:basedOn w:val="Normal"/>
    <w:next w:val="Normal"/>
    <w:autoRedefine/>
    <w:uiPriority w:val="39"/>
    <w:unhideWhenUsed/>
    <w:rsid w:val="00A950E2"/>
    <w:pPr>
      <w:spacing w:after="100" w:line="278" w:lineRule="auto"/>
      <w:ind w:left="1440"/>
      <w:jc w:val="left"/>
    </w:pPr>
    <w:rPr>
      <w:rFonts w:asciiTheme="minorHAnsi" w:eastAsiaTheme="minorEastAsia" w:hAnsiTheme="minorHAnsi"/>
      <w:kern w:val="2"/>
      <w:sz w:val="24"/>
      <w:szCs w:val="24"/>
      <w:lang w:eastAsia="da-DK"/>
      <w14:ligatures w14:val="standardContextual"/>
    </w:rPr>
  </w:style>
  <w:style w:type="paragraph" w:styleId="Indholdsfortegnelse8">
    <w:name w:val="toc 8"/>
    <w:basedOn w:val="Normal"/>
    <w:next w:val="Normal"/>
    <w:autoRedefine/>
    <w:uiPriority w:val="39"/>
    <w:unhideWhenUsed/>
    <w:rsid w:val="00A950E2"/>
    <w:pPr>
      <w:spacing w:after="100" w:line="278" w:lineRule="auto"/>
      <w:ind w:left="1680"/>
      <w:jc w:val="left"/>
    </w:pPr>
    <w:rPr>
      <w:rFonts w:asciiTheme="minorHAnsi" w:eastAsiaTheme="minorEastAsia" w:hAnsiTheme="minorHAnsi"/>
      <w:kern w:val="2"/>
      <w:sz w:val="24"/>
      <w:szCs w:val="24"/>
      <w:lang w:eastAsia="da-DK"/>
      <w14:ligatures w14:val="standardContextual"/>
    </w:rPr>
  </w:style>
  <w:style w:type="paragraph" w:styleId="Indholdsfortegnelse9">
    <w:name w:val="toc 9"/>
    <w:basedOn w:val="Normal"/>
    <w:next w:val="Normal"/>
    <w:autoRedefine/>
    <w:uiPriority w:val="39"/>
    <w:unhideWhenUsed/>
    <w:rsid w:val="00A950E2"/>
    <w:pPr>
      <w:spacing w:after="100" w:line="278" w:lineRule="auto"/>
      <w:ind w:left="1920"/>
      <w:jc w:val="left"/>
    </w:pPr>
    <w:rPr>
      <w:rFonts w:asciiTheme="minorHAnsi" w:eastAsiaTheme="minorEastAsia" w:hAnsiTheme="minorHAnsi"/>
      <w:kern w:val="2"/>
      <w:sz w:val="24"/>
      <w:szCs w:val="24"/>
      <w:lang w:eastAsia="da-DK"/>
      <w14:ligatures w14:val="standardContextual"/>
    </w:rPr>
  </w:style>
  <w:style w:type="paragraph" w:styleId="FormateretHTML">
    <w:name w:val="HTML Preformatted"/>
    <w:basedOn w:val="Normal"/>
    <w:link w:val="FormateretHTMLTegn"/>
    <w:uiPriority w:val="99"/>
    <w:semiHidden/>
    <w:unhideWhenUsed/>
    <w:rsid w:val="00A950E2"/>
    <w:pPr>
      <w:spacing w:line="240" w:lineRule="auto"/>
    </w:pPr>
    <w:rPr>
      <w:rFonts w:ascii="Consolas" w:hAnsi="Consolas"/>
      <w:szCs w:val="20"/>
    </w:rPr>
  </w:style>
  <w:style w:type="character" w:customStyle="1" w:styleId="FormateretHTMLTegn">
    <w:name w:val="Formateret HTML Tegn"/>
    <w:basedOn w:val="Standardskrifttypeiafsnit"/>
    <w:link w:val="FormateretHTML"/>
    <w:uiPriority w:val="99"/>
    <w:semiHidden/>
    <w:rsid w:val="00A950E2"/>
    <w:rPr>
      <w:rFonts w:ascii="Consolas" w:hAnsi="Consolas"/>
      <w:sz w:val="20"/>
      <w:szCs w:val="20"/>
    </w:rPr>
  </w:style>
  <w:style w:type="character" w:customStyle="1" w:styleId="Overskrift4Tegn">
    <w:name w:val="Overskrift 4 Tegn"/>
    <w:basedOn w:val="Standardskrifttypeiafsnit"/>
    <w:link w:val="Overskrift4"/>
    <w:uiPriority w:val="9"/>
    <w:rsid w:val="00986998"/>
    <w:rPr>
      <w:rFonts w:ascii="Open Sans" w:eastAsiaTheme="majorEastAsia" w:hAnsi="Open Sans" w:cs="Open Sans"/>
      <w:sz w:val="20"/>
      <w:szCs w:val="20"/>
    </w:rPr>
  </w:style>
  <w:style w:type="character" w:customStyle="1" w:styleId="Overskrift5Tegn">
    <w:name w:val="Overskrift 5 Tegn"/>
    <w:basedOn w:val="Standardskrifttypeiafsnit"/>
    <w:link w:val="Overskrift5"/>
    <w:uiPriority w:val="9"/>
    <w:rsid w:val="00267A20"/>
    <w:rPr>
      <w:rFonts w:ascii="Times New Roman" w:eastAsiaTheme="majorEastAsia" w:hAnsi="Times New Roman" w:cs="Times New Roman"/>
      <w:i/>
      <w:iCs/>
      <w:sz w:val="24"/>
      <w:szCs w:val="24"/>
    </w:rPr>
  </w:style>
  <w:style w:type="paragraph" w:styleId="Overskrift">
    <w:name w:val="TOC Heading"/>
    <w:basedOn w:val="Overskrift1"/>
    <w:next w:val="Normal"/>
    <w:uiPriority w:val="39"/>
    <w:unhideWhenUsed/>
    <w:qFormat/>
    <w:rsid w:val="00BF4F40"/>
    <w:pPr>
      <w:spacing w:before="240" w:line="259" w:lineRule="auto"/>
      <w:jc w:val="left"/>
      <w:outlineLvl w:val="9"/>
    </w:pPr>
    <w:rPr>
      <w:rFonts w:asciiTheme="majorHAnsi" w:hAnsiTheme="majorHAnsi"/>
      <w:b w:val="0"/>
      <w:bCs w:val="0"/>
      <w:color w:val="365F91" w:themeColor="accent1" w:themeShade="BF"/>
      <w:szCs w:val="32"/>
      <w:lang w:eastAsia="da-DK"/>
    </w:rPr>
  </w:style>
  <w:style w:type="character" w:customStyle="1" w:styleId="markedcontent">
    <w:name w:val="markedcontent"/>
    <w:basedOn w:val="Standardskrifttypeiafsnit"/>
    <w:rsid w:val="00BF3BC5"/>
  </w:style>
  <w:style w:type="character" w:customStyle="1" w:styleId="Overskrift6Tegn">
    <w:name w:val="Overskrift 6 Tegn"/>
    <w:basedOn w:val="Standardskrifttypeiafsnit"/>
    <w:link w:val="Overskrift6"/>
    <w:uiPriority w:val="9"/>
    <w:rsid w:val="006A19A9"/>
    <w:rPr>
      <w:rFonts w:asciiTheme="majorHAnsi" w:eastAsiaTheme="majorEastAsia" w:hAnsiTheme="majorHAnsi" w:cstheme="majorBidi"/>
      <w:color w:val="243F60" w:themeColor="accent1" w:themeShade="7F"/>
      <w:sz w:val="20"/>
    </w:rPr>
  </w:style>
  <w:style w:type="table" w:customStyle="1" w:styleId="TableNormal1">
    <w:name w:val="Table Normal1"/>
    <w:uiPriority w:val="59"/>
    <w:rsid w:val="00D4242A"/>
    <w:pPr>
      <w:autoSpaceDE w:val="0"/>
      <w:autoSpaceDN w:val="0"/>
      <w:adjustRightInd w:val="0"/>
      <w:spacing w:after="0"/>
    </w:pPr>
    <w:rPr>
      <w:rFonts w:ascii="Verdana" w:eastAsia="Times New Roman" w:hAnsi="Verdana" w:cs="Times New Roman"/>
      <w:color w:val="000000"/>
      <w:sz w:val="24"/>
      <w:szCs w:val="24"/>
      <w:u w:color="000000"/>
      <w:lang w:val="en-US"/>
    </w:rPr>
    <w:tblPr>
      <w:tblCellMar>
        <w:top w:w="0" w:type="dxa"/>
        <w:left w:w="0" w:type="dxa"/>
        <w:bottom w:w="0" w:type="dxa"/>
        <w:right w:w="0" w:type="dxa"/>
      </w:tblCellMar>
    </w:tblPr>
  </w:style>
  <w:style w:type="character" w:styleId="Omtal">
    <w:name w:val="Mention"/>
    <w:basedOn w:val="Standardskrifttypeiafsnit"/>
    <w:uiPriority w:val="99"/>
    <w:unhideWhenUsed/>
    <w:rsid w:val="00D4242A"/>
    <w:rPr>
      <w:color w:val="2B579A"/>
      <w:shd w:val="clear" w:color="auto" w:fill="E1DFDD"/>
    </w:rPr>
  </w:style>
  <w:style w:type="paragraph" w:customStyle="1" w:styleId="paragraf">
    <w:name w:val="paragraf"/>
    <w:basedOn w:val="Normal"/>
    <w:rsid w:val="00D4242A"/>
    <w:pPr>
      <w:spacing w:before="100" w:beforeAutospacing="1" w:after="100" w:afterAutospacing="1" w:line="240" w:lineRule="auto"/>
      <w:jc w:val="left"/>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D4242A"/>
  </w:style>
  <w:style w:type="paragraph" w:customStyle="1" w:styleId="stk2">
    <w:name w:val="stk2"/>
    <w:basedOn w:val="Normal"/>
    <w:rsid w:val="00D4242A"/>
    <w:pPr>
      <w:spacing w:before="100" w:beforeAutospacing="1" w:after="100" w:afterAutospacing="1" w:line="240" w:lineRule="auto"/>
      <w:jc w:val="left"/>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D4242A"/>
  </w:style>
  <w:style w:type="paragraph" w:customStyle="1" w:styleId="pf0">
    <w:name w:val="pf0"/>
    <w:basedOn w:val="Normal"/>
    <w:rsid w:val="00D4242A"/>
    <w:pPr>
      <w:spacing w:before="100" w:beforeAutospacing="1" w:after="100" w:afterAutospacing="1" w:line="240" w:lineRule="auto"/>
      <w:jc w:val="left"/>
    </w:pPr>
    <w:rPr>
      <w:rFonts w:ascii="Times New Roman" w:eastAsia="Times New Roman" w:hAnsi="Times New Roman" w:cs="Times New Roman"/>
      <w:sz w:val="24"/>
      <w:szCs w:val="24"/>
      <w:lang w:eastAsia="da-DK"/>
    </w:rPr>
  </w:style>
  <w:style w:type="character" w:customStyle="1" w:styleId="cf01">
    <w:name w:val="cf01"/>
    <w:basedOn w:val="Standardskrifttypeiafsnit"/>
    <w:rsid w:val="00D4242A"/>
    <w:rPr>
      <w:rFonts w:ascii="Segoe UI" w:hAnsi="Segoe UI" w:cs="Segoe UI" w:hint="default"/>
      <w:sz w:val="18"/>
      <w:szCs w:val="18"/>
      <w:shd w:val="clear" w:color="auto" w:fill="FF00FF"/>
    </w:rPr>
  </w:style>
  <w:style w:type="character" w:customStyle="1" w:styleId="cf11">
    <w:name w:val="cf11"/>
    <w:basedOn w:val="Standardskrifttypeiafsnit"/>
    <w:rsid w:val="00D4242A"/>
    <w:rPr>
      <w:rFonts w:ascii="Segoe UI" w:hAnsi="Segoe UI" w:cs="Segoe UI" w:hint="default"/>
      <w:sz w:val="18"/>
      <w:szCs w:val="18"/>
    </w:rPr>
  </w:style>
  <w:style w:type="character" w:customStyle="1" w:styleId="italic">
    <w:name w:val="italic"/>
    <w:basedOn w:val="Standardskrifttypeiafsnit"/>
    <w:rsid w:val="00D4242A"/>
  </w:style>
  <w:style w:type="character" w:styleId="Svagfremhvning">
    <w:name w:val="Subtle Emphasis"/>
    <w:basedOn w:val="Standardskrifttypeiafsnit"/>
    <w:uiPriority w:val="19"/>
    <w:qFormat/>
    <w:rsid w:val="00A16C19"/>
    <w:rPr>
      <w:i/>
      <w:iCs/>
      <w:color w:val="404040" w:themeColor="text1" w:themeTint="BF"/>
    </w:rPr>
  </w:style>
  <w:style w:type="table" w:customStyle="1" w:styleId="Tabel-Gitter3">
    <w:name w:val="Tabel - Gitter3"/>
    <w:basedOn w:val="Tabel-Normal"/>
    <w:next w:val="Tabel-Gitter"/>
    <w:uiPriority w:val="59"/>
    <w:rsid w:val="00A16C19"/>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ografi1">
    <w:name w:val="Typografi1"/>
    <w:basedOn w:val="Listeafsnit"/>
    <w:qFormat/>
    <w:rsid w:val="00690A2E"/>
    <w:pPr>
      <w:numPr>
        <w:numId w:val="40"/>
      </w:numPr>
      <w:spacing w:line="360" w:lineRule="auto"/>
      <w:outlineLvl w:val="0"/>
    </w:pPr>
    <w:rPr>
      <w:rFonts w:cs="Open Sans"/>
    </w:rPr>
  </w:style>
  <w:style w:type="paragraph" w:customStyle="1" w:styleId="xabc">
    <w:name w:val="§ x a b c"/>
    <w:basedOn w:val="Punktopstilling"/>
    <w:next w:val="Brdtekst"/>
    <w:qFormat/>
    <w:rsid w:val="00D16EBE"/>
    <w:rPr>
      <w:b/>
      <w:bCs/>
      <w:lang w:eastAsia="da-DK"/>
    </w:rPr>
  </w:style>
  <w:style w:type="paragraph" w:styleId="Brdtekst">
    <w:name w:val="Body Text"/>
    <w:basedOn w:val="Normal"/>
    <w:link w:val="BrdtekstTegn"/>
    <w:uiPriority w:val="99"/>
    <w:semiHidden/>
    <w:unhideWhenUsed/>
    <w:rsid w:val="00D16EBE"/>
    <w:pPr>
      <w:spacing w:after="120"/>
    </w:pPr>
  </w:style>
  <w:style w:type="character" w:customStyle="1" w:styleId="BrdtekstTegn">
    <w:name w:val="Brødtekst Tegn"/>
    <w:basedOn w:val="Standardskrifttypeiafsnit"/>
    <w:link w:val="Brdtekst"/>
    <w:uiPriority w:val="99"/>
    <w:semiHidden/>
    <w:rsid w:val="00D16EBE"/>
    <w:rPr>
      <w:rFonts w:ascii="Open Sans" w:hAnsi="Open Sans"/>
      <w:sz w:val="20"/>
    </w:rPr>
  </w:style>
  <w:style w:type="paragraph" w:customStyle="1" w:styleId="311overskrift">
    <w:name w:val="3.1.1 overskrift"/>
    <w:basedOn w:val="Normal"/>
    <w:next w:val="Normal"/>
    <w:link w:val="311overskriftTegn"/>
    <w:autoRedefine/>
    <w:rsid w:val="00943659"/>
  </w:style>
  <w:style w:type="character" w:customStyle="1" w:styleId="311overskriftTegn">
    <w:name w:val="3.1.1 overskrift Tegn"/>
    <w:basedOn w:val="Standardskrifttypeiafsnit"/>
    <w:link w:val="311overskrift"/>
    <w:rsid w:val="00943659"/>
    <w:rPr>
      <w:rFonts w:ascii="Open Sans" w:hAnsi="Open Sans"/>
      <w:sz w:val="20"/>
    </w:rPr>
  </w:style>
  <w:style w:type="table" w:customStyle="1" w:styleId="AMLA">
    <w:name w:val="AMLA"/>
    <w:basedOn w:val="Tabel-Normal"/>
    <w:uiPriority w:val="99"/>
    <w:rsid w:val="00AA7E42"/>
    <w:pPr>
      <w:spacing w:before="120" w:after="0" w:line="240" w:lineRule="auto"/>
    </w:pPr>
    <w:rPr>
      <w:rFonts w:eastAsia="Cambria" w:cs="Times New Roman"/>
      <w:color w:val="262626" w:themeColor="text1" w:themeTint="D9"/>
      <w:sz w:val="18"/>
      <w:szCs w:val="20"/>
      <w:lang w:val="en-GB" w:eastAsia="en-GB"/>
    </w:rPr>
    <w:tblPr>
      <w:tblStyleRowBandSize w:val="1"/>
      <w:tblBorders>
        <w:bottom w:val="single" w:sz="2" w:space="0" w:color="7F7F7F" w:themeColor="text1" w:themeTint="80"/>
        <w:insideH w:val="single" w:sz="4" w:space="0" w:color="7F7F7F" w:themeColor="text1" w:themeTint="80"/>
      </w:tblBorders>
      <w:tblCellMar>
        <w:top w:w="57" w:type="dxa"/>
        <w:left w:w="57" w:type="dxa"/>
        <w:bottom w:w="57" w:type="dxa"/>
        <w:right w:w="57" w:type="dxa"/>
      </w:tblCellMar>
    </w:tblPr>
    <w:tcPr>
      <w:shd w:val="clear" w:color="auto" w:fill="auto"/>
    </w:tcPr>
    <w:tblStylePr w:type="firstRow">
      <w:rPr>
        <w:rFonts w:asciiTheme="minorHAnsi" w:hAnsiTheme="minorHAnsi"/>
        <w:caps w:val="0"/>
        <w:smallCaps w:val="0"/>
        <w:color w:val="FFFFFF" w:themeColor="background1"/>
        <w:sz w:val="16"/>
      </w:rPr>
      <w:tblPr/>
      <w:tcPr>
        <w:tcBorders>
          <w:bottom w:val="single" w:sz="2" w:space="0" w:color="7F7F7F" w:themeColor="text1" w:themeTint="80"/>
        </w:tcBorders>
        <w:shd w:val="clear" w:color="auto" w:fill="B8D8D0"/>
      </w:tcPr>
    </w:tblStylePr>
    <w:tblStylePr w:type="lastRow">
      <w:tblPr/>
      <w:tcPr>
        <w:tcBorders>
          <w:bottom w:val="single" w:sz="4" w:space="0" w:color="C0504D" w:themeColor="accent2"/>
          <w:insideH w:val="nil"/>
        </w:tcBorders>
        <w:shd w:val="clear" w:color="auto" w:fill="F2F2F2" w:themeFill="background1" w:themeFillShade="F2"/>
      </w:tcPr>
    </w:tblStylePr>
    <w:tblStylePr w:type="band1Horz">
      <w:rPr>
        <w:rFonts w:asciiTheme="minorHAnsi" w:hAnsiTheme="minorHAnsi"/>
        <w:sz w:val="18"/>
      </w:rPr>
    </w:tblStylePr>
    <w:tblStylePr w:type="band2Horz">
      <w:rPr>
        <w:rFonts w:asciiTheme="minorHAnsi" w:hAnsiTheme="minorHAnsi"/>
        <w:sz w:val="18"/>
      </w:rPr>
    </w:tblStylePr>
  </w:style>
  <w:style w:type="paragraph" w:styleId="Brdtekst-frstelinjeindrykning1">
    <w:name w:val="Body Text First Indent"/>
    <w:basedOn w:val="Brdtekst"/>
    <w:link w:val="Brdtekst-frstelinjeindrykning1Tegn"/>
    <w:uiPriority w:val="99"/>
    <w:semiHidden/>
    <w:unhideWhenUsed/>
    <w:rsid w:val="00AA7E42"/>
    <w:pPr>
      <w:spacing w:after="0"/>
      <w:ind w:firstLine="360"/>
    </w:pPr>
    <w:rPr>
      <w:rFonts w:ascii="Times New Roman" w:hAnsi="Times New Roman"/>
      <w:sz w:val="24"/>
    </w:rPr>
  </w:style>
  <w:style w:type="character" w:customStyle="1" w:styleId="Brdtekst-frstelinjeindrykning1Tegn">
    <w:name w:val="Brødtekst - førstelinjeindrykning 1 Tegn"/>
    <w:basedOn w:val="BrdtekstTegn"/>
    <w:link w:val="Brdtekst-frstelinjeindrykning1"/>
    <w:uiPriority w:val="99"/>
    <w:semiHidden/>
    <w:rsid w:val="00AA7E42"/>
    <w:rPr>
      <w:rFonts w:ascii="Times New Roman" w:hAnsi="Times New Roman"/>
      <w:sz w:val="24"/>
    </w:rPr>
  </w:style>
  <w:style w:type="paragraph" w:customStyle="1" w:styleId="Placeanddate">
    <w:name w:val="Place and date"/>
    <w:basedOn w:val="Listeafsnit"/>
    <w:qFormat/>
    <w:rsid w:val="00AA7E42"/>
    <w:pPr>
      <w:numPr>
        <w:numId w:val="56"/>
      </w:numPr>
      <w:spacing w:before="80" w:after="160" w:line="288" w:lineRule="auto"/>
    </w:pPr>
    <w:rPr>
      <w:rFonts w:ascii="Aptos Light" w:eastAsia="Cambria" w:hAnsi="Aptos Light" w:cs="Times New Roman"/>
      <w:color w:val="262626" w:themeColor="text1" w:themeTint="D9"/>
      <w:kern w:val="20"/>
      <w:sz w:val="22"/>
      <w:szCs w:val="20"/>
      <w:lang w:val="en-IE" w:eastAsia="ja-JP"/>
    </w:rPr>
  </w:style>
  <w:style w:type="character" w:customStyle="1" w:styleId="Overskrift7Tegn">
    <w:name w:val="Overskrift 7 Tegn"/>
    <w:basedOn w:val="Standardskrifttypeiafsnit"/>
    <w:link w:val="Overskrift7"/>
    <w:uiPriority w:val="9"/>
    <w:semiHidden/>
    <w:rsid w:val="00B3743D"/>
    <w:rPr>
      <w:rFonts w:eastAsiaTheme="majorEastAsia" w:cstheme="majorBidi"/>
      <w:color w:val="595959" w:themeColor="text1" w:themeTint="A6"/>
      <w:sz w:val="26"/>
    </w:rPr>
  </w:style>
  <w:style w:type="character" w:customStyle="1" w:styleId="Overskrift8Tegn">
    <w:name w:val="Overskrift 8 Tegn"/>
    <w:basedOn w:val="Standardskrifttypeiafsnit"/>
    <w:link w:val="Overskrift8"/>
    <w:uiPriority w:val="9"/>
    <w:semiHidden/>
    <w:rsid w:val="00B3743D"/>
    <w:rPr>
      <w:rFonts w:eastAsiaTheme="majorEastAsia" w:cstheme="majorBidi"/>
      <w:i/>
      <w:iCs/>
      <w:color w:val="272727" w:themeColor="text1" w:themeTint="D8"/>
      <w:sz w:val="26"/>
    </w:rPr>
  </w:style>
  <w:style w:type="character" w:customStyle="1" w:styleId="Overskrift9Tegn">
    <w:name w:val="Overskrift 9 Tegn"/>
    <w:basedOn w:val="Standardskrifttypeiafsnit"/>
    <w:link w:val="Overskrift9"/>
    <w:uiPriority w:val="9"/>
    <w:semiHidden/>
    <w:rsid w:val="00B3743D"/>
    <w:rPr>
      <w:rFonts w:eastAsiaTheme="majorEastAsia" w:cstheme="majorBidi"/>
      <w:color w:val="272727" w:themeColor="text1" w:themeTint="D8"/>
      <w:sz w:val="26"/>
    </w:rPr>
  </w:style>
  <w:style w:type="character" w:styleId="Kraftigfremhvning">
    <w:name w:val="Intense Emphasis"/>
    <w:basedOn w:val="Standardskrifttypeiafsnit"/>
    <w:uiPriority w:val="21"/>
    <w:rsid w:val="00B3743D"/>
    <w:rPr>
      <w:i/>
      <w:iCs/>
      <w:color w:val="365F91" w:themeColor="accent1" w:themeShade="BF"/>
    </w:rPr>
  </w:style>
  <w:style w:type="paragraph" w:styleId="Strktcitat">
    <w:name w:val="Intense Quote"/>
    <w:basedOn w:val="Normal"/>
    <w:next w:val="Normal"/>
    <w:link w:val="StrktcitatTegn"/>
    <w:uiPriority w:val="30"/>
    <w:rsid w:val="00B3743D"/>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hAnsi="Times New Roman"/>
      <w:i/>
      <w:iCs/>
      <w:color w:val="365F91" w:themeColor="accent1" w:themeShade="BF"/>
      <w:sz w:val="26"/>
    </w:rPr>
  </w:style>
  <w:style w:type="character" w:customStyle="1" w:styleId="StrktcitatTegn">
    <w:name w:val="Stærkt citat Tegn"/>
    <w:basedOn w:val="Standardskrifttypeiafsnit"/>
    <w:link w:val="Strktcitat"/>
    <w:uiPriority w:val="30"/>
    <w:rsid w:val="00B3743D"/>
    <w:rPr>
      <w:rFonts w:ascii="Times New Roman" w:hAnsi="Times New Roman"/>
      <w:i/>
      <w:iCs/>
      <w:color w:val="365F91" w:themeColor="accent1" w:themeShade="BF"/>
      <w:sz w:val="26"/>
    </w:rPr>
  </w:style>
  <w:style w:type="character" w:styleId="Kraftighenvisning">
    <w:name w:val="Intense Reference"/>
    <w:basedOn w:val="Standardskrifttypeiafsnit"/>
    <w:uiPriority w:val="32"/>
    <w:rsid w:val="00B3743D"/>
    <w:rPr>
      <w:b/>
      <w:bCs/>
      <w:smallCaps/>
      <w:color w:val="365F91" w:themeColor="accent1" w:themeShade="BF"/>
      <w:spacing w:val="5"/>
    </w:rPr>
  </w:style>
  <w:style w:type="paragraph" w:customStyle="1" w:styleId="liste1">
    <w:name w:val="liste1"/>
    <w:basedOn w:val="Normal"/>
    <w:rsid w:val="00B3743D"/>
    <w:pPr>
      <w:spacing w:before="100" w:beforeAutospacing="1" w:after="100" w:afterAutospacing="1" w:line="240" w:lineRule="auto"/>
      <w:jc w:val="left"/>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B37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2114">
      <w:bodyDiv w:val="1"/>
      <w:marLeft w:val="0"/>
      <w:marRight w:val="0"/>
      <w:marTop w:val="0"/>
      <w:marBottom w:val="0"/>
      <w:divBdr>
        <w:top w:val="none" w:sz="0" w:space="0" w:color="auto"/>
        <w:left w:val="none" w:sz="0" w:space="0" w:color="auto"/>
        <w:bottom w:val="none" w:sz="0" w:space="0" w:color="auto"/>
        <w:right w:val="none" w:sz="0" w:space="0" w:color="auto"/>
      </w:divBdr>
    </w:div>
    <w:div w:id="156265503">
      <w:bodyDiv w:val="1"/>
      <w:marLeft w:val="0"/>
      <w:marRight w:val="0"/>
      <w:marTop w:val="0"/>
      <w:marBottom w:val="0"/>
      <w:divBdr>
        <w:top w:val="none" w:sz="0" w:space="0" w:color="auto"/>
        <w:left w:val="none" w:sz="0" w:space="0" w:color="auto"/>
        <w:bottom w:val="none" w:sz="0" w:space="0" w:color="auto"/>
        <w:right w:val="none" w:sz="0" w:space="0" w:color="auto"/>
      </w:divBdr>
    </w:div>
    <w:div w:id="179784167">
      <w:bodyDiv w:val="1"/>
      <w:marLeft w:val="0"/>
      <w:marRight w:val="0"/>
      <w:marTop w:val="0"/>
      <w:marBottom w:val="0"/>
      <w:divBdr>
        <w:top w:val="none" w:sz="0" w:space="0" w:color="auto"/>
        <w:left w:val="none" w:sz="0" w:space="0" w:color="auto"/>
        <w:bottom w:val="none" w:sz="0" w:space="0" w:color="auto"/>
        <w:right w:val="none" w:sz="0" w:space="0" w:color="auto"/>
      </w:divBdr>
    </w:div>
    <w:div w:id="200023935">
      <w:bodyDiv w:val="1"/>
      <w:marLeft w:val="0"/>
      <w:marRight w:val="0"/>
      <w:marTop w:val="0"/>
      <w:marBottom w:val="0"/>
      <w:divBdr>
        <w:top w:val="none" w:sz="0" w:space="0" w:color="auto"/>
        <w:left w:val="none" w:sz="0" w:space="0" w:color="auto"/>
        <w:bottom w:val="none" w:sz="0" w:space="0" w:color="auto"/>
        <w:right w:val="none" w:sz="0" w:space="0" w:color="auto"/>
      </w:divBdr>
    </w:div>
    <w:div w:id="203367177">
      <w:bodyDiv w:val="1"/>
      <w:marLeft w:val="0"/>
      <w:marRight w:val="0"/>
      <w:marTop w:val="0"/>
      <w:marBottom w:val="0"/>
      <w:divBdr>
        <w:top w:val="none" w:sz="0" w:space="0" w:color="auto"/>
        <w:left w:val="none" w:sz="0" w:space="0" w:color="auto"/>
        <w:bottom w:val="none" w:sz="0" w:space="0" w:color="auto"/>
        <w:right w:val="none" w:sz="0" w:space="0" w:color="auto"/>
      </w:divBdr>
    </w:div>
    <w:div w:id="365526215">
      <w:bodyDiv w:val="1"/>
      <w:marLeft w:val="0"/>
      <w:marRight w:val="0"/>
      <w:marTop w:val="0"/>
      <w:marBottom w:val="0"/>
      <w:divBdr>
        <w:top w:val="none" w:sz="0" w:space="0" w:color="auto"/>
        <w:left w:val="none" w:sz="0" w:space="0" w:color="auto"/>
        <w:bottom w:val="none" w:sz="0" w:space="0" w:color="auto"/>
        <w:right w:val="none" w:sz="0" w:space="0" w:color="auto"/>
      </w:divBdr>
    </w:div>
    <w:div w:id="475076242">
      <w:bodyDiv w:val="1"/>
      <w:marLeft w:val="0"/>
      <w:marRight w:val="0"/>
      <w:marTop w:val="0"/>
      <w:marBottom w:val="0"/>
      <w:divBdr>
        <w:top w:val="none" w:sz="0" w:space="0" w:color="auto"/>
        <w:left w:val="none" w:sz="0" w:space="0" w:color="auto"/>
        <w:bottom w:val="none" w:sz="0" w:space="0" w:color="auto"/>
        <w:right w:val="none" w:sz="0" w:space="0" w:color="auto"/>
      </w:divBdr>
    </w:div>
    <w:div w:id="493225049">
      <w:bodyDiv w:val="1"/>
      <w:marLeft w:val="0"/>
      <w:marRight w:val="0"/>
      <w:marTop w:val="0"/>
      <w:marBottom w:val="0"/>
      <w:divBdr>
        <w:top w:val="none" w:sz="0" w:space="0" w:color="auto"/>
        <w:left w:val="none" w:sz="0" w:space="0" w:color="auto"/>
        <w:bottom w:val="none" w:sz="0" w:space="0" w:color="auto"/>
        <w:right w:val="none" w:sz="0" w:space="0" w:color="auto"/>
      </w:divBdr>
    </w:div>
    <w:div w:id="497695589">
      <w:bodyDiv w:val="1"/>
      <w:marLeft w:val="0"/>
      <w:marRight w:val="0"/>
      <w:marTop w:val="0"/>
      <w:marBottom w:val="0"/>
      <w:divBdr>
        <w:top w:val="none" w:sz="0" w:space="0" w:color="auto"/>
        <w:left w:val="none" w:sz="0" w:space="0" w:color="auto"/>
        <w:bottom w:val="none" w:sz="0" w:space="0" w:color="auto"/>
        <w:right w:val="none" w:sz="0" w:space="0" w:color="auto"/>
      </w:divBdr>
    </w:div>
    <w:div w:id="529028952">
      <w:bodyDiv w:val="1"/>
      <w:marLeft w:val="0"/>
      <w:marRight w:val="0"/>
      <w:marTop w:val="0"/>
      <w:marBottom w:val="0"/>
      <w:divBdr>
        <w:top w:val="none" w:sz="0" w:space="0" w:color="auto"/>
        <w:left w:val="none" w:sz="0" w:space="0" w:color="auto"/>
        <w:bottom w:val="none" w:sz="0" w:space="0" w:color="auto"/>
        <w:right w:val="none" w:sz="0" w:space="0" w:color="auto"/>
      </w:divBdr>
    </w:div>
    <w:div w:id="544677392">
      <w:bodyDiv w:val="1"/>
      <w:marLeft w:val="0"/>
      <w:marRight w:val="0"/>
      <w:marTop w:val="0"/>
      <w:marBottom w:val="0"/>
      <w:divBdr>
        <w:top w:val="none" w:sz="0" w:space="0" w:color="auto"/>
        <w:left w:val="none" w:sz="0" w:space="0" w:color="auto"/>
        <w:bottom w:val="none" w:sz="0" w:space="0" w:color="auto"/>
        <w:right w:val="none" w:sz="0" w:space="0" w:color="auto"/>
      </w:divBdr>
    </w:div>
    <w:div w:id="556160332">
      <w:bodyDiv w:val="1"/>
      <w:marLeft w:val="0"/>
      <w:marRight w:val="0"/>
      <w:marTop w:val="0"/>
      <w:marBottom w:val="0"/>
      <w:divBdr>
        <w:top w:val="none" w:sz="0" w:space="0" w:color="auto"/>
        <w:left w:val="none" w:sz="0" w:space="0" w:color="auto"/>
        <w:bottom w:val="none" w:sz="0" w:space="0" w:color="auto"/>
        <w:right w:val="none" w:sz="0" w:space="0" w:color="auto"/>
      </w:divBdr>
    </w:div>
    <w:div w:id="580916546">
      <w:bodyDiv w:val="1"/>
      <w:marLeft w:val="0"/>
      <w:marRight w:val="0"/>
      <w:marTop w:val="0"/>
      <w:marBottom w:val="0"/>
      <w:divBdr>
        <w:top w:val="none" w:sz="0" w:space="0" w:color="auto"/>
        <w:left w:val="none" w:sz="0" w:space="0" w:color="auto"/>
        <w:bottom w:val="none" w:sz="0" w:space="0" w:color="auto"/>
        <w:right w:val="none" w:sz="0" w:space="0" w:color="auto"/>
      </w:divBdr>
    </w:div>
    <w:div w:id="587233562">
      <w:bodyDiv w:val="1"/>
      <w:marLeft w:val="0"/>
      <w:marRight w:val="0"/>
      <w:marTop w:val="0"/>
      <w:marBottom w:val="0"/>
      <w:divBdr>
        <w:top w:val="none" w:sz="0" w:space="0" w:color="auto"/>
        <w:left w:val="none" w:sz="0" w:space="0" w:color="auto"/>
        <w:bottom w:val="none" w:sz="0" w:space="0" w:color="auto"/>
        <w:right w:val="none" w:sz="0" w:space="0" w:color="auto"/>
      </w:divBdr>
    </w:div>
    <w:div w:id="606889625">
      <w:bodyDiv w:val="1"/>
      <w:marLeft w:val="0"/>
      <w:marRight w:val="0"/>
      <w:marTop w:val="0"/>
      <w:marBottom w:val="0"/>
      <w:divBdr>
        <w:top w:val="none" w:sz="0" w:space="0" w:color="auto"/>
        <w:left w:val="none" w:sz="0" w:space="0" w:color="auto"/>
        <w:bottom w:val="none" w:sz="0" w:space="0" w:color="auto"/>
        <w:right w:val="none" w:sz="0" w:space="0" w:color="auto"/>
      </w:divBdr>
    </w:div>
    <w:div w:id="608927053">
      <w:bodyDiv w:val="1"/>
      <w:marLeft w:val="0"/>
      <w:marRight w:val="0"/>
      <w:marTop w:val="0"/>
      <w:marBottom w:val="0"/>
      <w:divBdr>
        <w:top w:val="none" w:sz="0" w:space="0" w:color="auto"/>
        <w:left w:val="none" w:sz="0" w:space="0" w:color="auto"/>
        <w:bottom w:val="none" w:sz="0" w:space="0" w:color="auto"/>
        <w:right w:val="none" w:sz="0" w:space="0" w:color="auto"/>
      </w:divBdr>
    </w:div>
    <w:div w:id="609550412">
      <w:bodyDiv w:val="1"/>
      <w:marLeft w:val="0"/>
      <w:marRight w:val="0"/>
      <w:marTop w:val="0"/>
      <w:marBottom w:val="0"/>
      <w:divBdr>
        <w:top w:val="none" w:sz="0" w:space="0" w:color="auto"/>
        <w:left w:val="none" w:sz="0" w:space="0" w:color="auto"/>
        <w:bottom w:val="none" w:sz="0" w:space="0" w:color="auto"/>
        <w:right w:val="none" w:sz="0" w:space="0" w:color="auto"/>
      </w:divBdr>
    </w:div>
    <w:div w:id="642203208">
      <w:bodyDiv w:val="1"/>
      <w:marLeft w:val="0"/>
      <w:marRight w:val="0"/>
      <w:marTop w:val="0"/>
      <w:marBottom w:val="0"/>
      <w:divBdr>
        <w:top w:val="none" w:sz="0" w:space="0" w:color="auto"/>
        <w:left w:val="none" w:sz="0" w:space="0" w:color="auto"/>
        <w:bottom w:val="none" w:sz="0" w:space="0" w:color="auto"/>
        <w:right w:val="none" w:sz="0" w:space="0" w:color="auto"/>
      </w:divBdr>
    </w:div>
    <w:div w:id="689256669">
      <w:bodyDiv w:val="1"/>
      <w:marLeft w:val="0"/>
      <w:marRight w:val="0"/>
      <w:marTop w:val="0"/>
      <w:marBottom w:val="0"/>
      <w:divBdr>
        <w:top w:val="none" w:sz="0" w:space="0" w:color="auto"/>
        <w:left w:val="none" w:sz="0" w:space="0" w:color="auto"/>
        <w:bottom w:val="none" w:sz="0" w:space="0" w:color="auto"/>
        <w:right w:val="none" w:sz="0" w:space="0" w:color="auto"/>
      </w:divBdr>
    </w:div>
    <w:div w:id="738477692">
      <w:bodyDiv w:val="1"/>
      <w:marLeft w:val="0"/>
      <w:marRight w:val="0"/>
      <w:marTop w:val="0"/>
      <w:marBottom w:val="0"/>
      <w:divBdr>
        <w:top w:val="none" w:sz="0" w:space="0" w:color="auto"/>
        <w:left w:val="none" w:sz="0" w:space="0" w:color="auto"/>
        <w:bottom w:val="none" w:sz="0" w:space="0" w:color="auto"/>
        <w:right w:val="none" w:sz="0" w:space="0" w:color="auto"/>
      </w:divBdr>
    </w:div>
    <w:div w:id="772669792">
      <w:bodyDiv w:val="1"/>
      <w:marLeft w:val="0"/>
      <w:marRight w:val="0"/>
      <w:marTop w:val="0"/>
      <w:marBottom w:val="0"/>
      <w:divBdr>
        <w:top w:val="none" w:sz="0" w:space="0" w:color="auto"/>
        <w:left w:val="none" w:sz="0" w:space="0" w:color="auto"/>
        <w:bottom w:val="none" w:sz="0" w:space="0" w:color="auto"/>
        <w:right w:val="none" w:sz="0" w:space="0" w:color="auto"/>
      </w:divBdr>
    </w:div>
    <w:div w:id="794525015">
      <w:bodyDiv w:val="1"/>
      <w:marLeft w:val="0"/>
      <w:marRight w:val="0"/>
      <w:marTop w:val="0"/>
      <w:marBottom w:val="0"/>
      <w:divBdr>
        <w:top w:val="none" w:sz="0" w:space="0" w:color="auto"/>
        <w:left w:val="none" w:sz="0" w:space="0" w:color="auto"/>
        <w:bottom w:val="none" w:sz="0" w:space="0" w:color="auto"/>
        <w:right w:val="none" w:sz="0" w:space="0" w:color="auto"/>
      </w:divBdr>
    </w:div>
    <w:div w:id="815410726">
      <w:bodyDiv w:val="1"/>
      <w:marLeft w:val="0"/>
      <w:marRight w:val="0"/>
      <w:marTop w:val="0"/>
      <w:marBottom w:val="0"/>
      <w:divBdr>
        <w:top w:val="none" w:sz="0" w:space="0" w:color="auto"/>
        <w:left w:val="none" w:sz="0" w:space="0" w:color="auto"/>
        <w:bottom w:val="none" w:sz="0" w:space="0" w:color="auto"/>
        <w:right w:val="none" w:sz="0" w:space="0" w:color="auto"/>
      </w:divBdr>
    </w:div>
    <w:div w:id="833952995">
      <w:bodyDiv w:val="1"/>
      <w:marLeft w:val="0"/>
      <w:marRight w:val="0"/>
      <w:marTop w:val="0"/>
      <w:marBottom w:val="0"/>
      <w:divBdr>
        <w:top w:val="none" w:sz="0" w:space="0" w:color="auto"/>
        <w:left w:val="none" w:sz="0" w:space="0" w:color="auto"/>
        <w:bottom w:val="none" w:sz="0" w:space="0" w:color="auto"/>
        <w:right w:val="none" w:sz="0" w:space="0" w:color="auto"/>
      </w:divBdr>
    </w:div>
    <w:div w:id="878010160">
      <w:bodyDiv w:val="1"/>
      <w:marLeft w:val="0"/>
      <w:marRight w:val="0"/>
      <w:marTop w:val="0"/>
      <w:marBottom w:val="0"/>
      <w:divBdr>
        <w:top w:val="none" w:sz="0" w:space="0" w:color="auto"/>
        <w:left w:val="none" w:sz="0" w:space="0" w:color="auto"/>
        <w:bottom w:val="none" w:sz="0" w:space="0" w:color="auto"/>
        <w:right w:val="none" w:sz="0" w:space="0" w:color="auto"/>
      </w:divBdr>
    </w:div>
    <w:div w:id="897521287">
      <w:bodyDiv w:val="1"/>
      <w:marLeft w:val="0"/>
      <w:marRight w:val="0"/>
      <w:marTop w:val="0"/>
      <w:marBottom w:val="0"/>
      <w:divBdr>
        <w:top w:val="none" w:sz="0" w:space="0" w:color="auto"/>
        <w:left w:val="none" w:sz="0" w:space="0" w:color="auto"/>
        <w:bottom w:val="none" w:sz="0" w:space="0" w:color="auto"/>
        <w:right w:val="none" w:sz="0" w:space="0" w:color="auto"/>
      </w:divBdr>
    </w:div>
    <w:div w:id="975644779">
      <w:bodyDiv w:val="1"/>
      <w:marLeft w:val="0"/>
      <w:marRight w:val="0"/>
      <w:marTop w:val="0"/>
      <w:marBottom w:val="0"/>
      <w:divBdr>
        <w:top w:val="none" w:sz="0" w:space="0" w:color="auto"/>
        <w:left w:val="none" w:sz="0" w:space="0" w:color="auto"/>
        <w:bottom w:val="none" w:sz="0" w:space="0" w:color="auto"/>
        <w:right w:val="none" w:sz="0" w:space="0" w:color="auto"/>
      </w:divBdr>
    </w:div>
    <w:div w:id="1021736095">
      <w:bodyDiv w:val="1"/>
      <w:marLeft w:val="0"/>
      <w:marRight w:val="0"/>
      <w:marTop w:val="0"/>
      <w:marBottom w:val="0"/>
      <w:divBdr>
        <w:top w:val="none" w:sz="0" w:space="0" w:color="auto"/>
        <w:left w:val="none" w:sz="0" w:space="0" w:color="auto"/>
        <w:bottom w:val="none" w:sz="0" w:space="0" w:color="auto"/>
        <w:right w:val="none" w:sz="0" w:space="0" w:color="auto"/>
      </w:divBdr>
    </w:div>
    <w:div w:id="1051733304">
      <w:bodyDiv w:val="1"/>
      <w:marLeft w:val="0"/>
      <w:marRight w:val="0"/>
      <w:marTop w:val="0"/>
      <w:marBottom w:val="0"/>
      <w:divBdr>
        <w:top w:val="none" w:sz="0" w:space="0" w:color="auto"/>
        <w:left w:val="none" w:sz="0" w:space="0" w:color="auto"/>
        <w:bottom w:val="none" w:sz="0" w:space="0" w:color="auto"/>
        <w:right w:val="none" w:sz="0" w:space="0" w:color="auto"/>
      </w:divBdr>
    </w:div>
    <w:div w:id="1077435028">
      <w:bodyDiv w:val="1"/>
      <w:marLeft w:val="0"/>
      <w:marRight w:val="0"/>
      <w:marTop w:val="0"/>
      <w:marBottom w:val="0"/>
      <w:divBdr>
        <w:top w:val="none" w:sz="0" w:space="0" w:color="auto"/>
        <w:left w:val="none" w:sz="0" w:space="0" w:color="auto"/>
        <w:bottom w:val="none" w:sz="0" w:space="0" w:color="auto"/>
        <w:right w:val="none" w:sz="0" w:space="0" w:color="auto"/>
      </w:divBdr>
    </w:div>
    <w:div w:id="1113213522">
      <w:bodyDiv w:val="1"/>
      <w:marLeft w:val="0"/>
      <w:marRight w:val="0"/>
      <w:marTop w:val="0"/>
      <w:marBottom w:val="0"/>
      <w:divBdr>
        <w:top w:val="none" w:sz="0" w:space="0" w:color="auto"/>
        <w:left w:val="none" w:sz="0" w:space="0" w:color="auto"/>
        <w:bottom w:val="none" w:sz="0" w:space="0" w:color="auto"/>
        <w:right w:val="none" w:sz="0" w:space="0" w:color="auto"/>
      </w:divBdr>
    </w:div>
    <w:div w:id="1271400563">
      <w:bodyDiv w:val="1"/>
      <w:marLeft w:val="0"/>
      <w:marRight w:val="0"/>
      <w:marTop w:val="0"/>
      <w:marBottom w:val="0"/>
      <w:divBdr>
        <w:top w:val="none" w:sz="0" w:space="0" w:color="auto"/>
        <w:left w:val="none" w:sz="0" w:space="0" w:color="auto"/>
        <w:bottom w:val="none" w:sz="0" w:space="0" w:color="auto"/>
        <w:right w:val="none" w:sz="0" w:space="0" w:color="auto"/>
      </w:divBdr>
    </w:div>
    <w:div w:id="1301961048">
      <w:bodyDiv w:val="1"/>
      <w:marLeft w:val="0"/>
      <w:marRight w:val="0"/>
      <w:marTop w:val="0"/>
      <w:marBottom w:val="0"/>
      <w:divBdr>
        <w:top w:val="none" w:sz="0" w:space="0" w:color="auto"/>
        <w:left w:val="none" w:sz="0" w:space="0" w:color="auto"/>
        <w:bottom w:val="none" w:sz="0" w:space="0" w:color="auto"/>
        <w:right w:val="none" w:sz="0" w:space="0" w:color="auto"/>
      </w:divBdr>
    </w:div>
    <w:div w:id="1379087254">
      <w:bodyDiv w:val="1"/>
      <w:marLeft w:val="0"/>
      <w:marRight w:val="0"/>
      <w:marTop w:val="0"/>
      <w:marBottom w:val="0"/>
      <w:divBdr>
        <w:top w:val="none" w:sz="0" w:space="0" w:color="auto"/>
        <w:left w:val="none" w:sz="0" w:space="0" w:color="auto"/>
        <w:bottom w:val="none" w:sz="0" w:space="0" w:color="auto"/>
        <w:right w:val="none" w:sz="0" w:space="0" w:color="auto"/>
      </w:divBdr>
    </w:div>
    <w:div w:id="1426535584">
      <w:bodyDiv w:val="1"/>
      <w:marLeft w:val="0"/>
      <w:marRight w:val="0"/>
      <w:marTop w:val="0"/>
      <w:marBottom w:val="0"/>
      <w:divBdr>
        <w:top w:val="none" w:sz="0" w:space="0" w:color="auto"/>
        <w:left w:val="none" w:sz="0" w:space="0" w:color="auto"/>
        <w:bottom w:val="none" w:sz="0" w:space="0" w:color="auto"/>
        <w:right w:val="none" w:sz="0" w:space="0" w:color="auto"/>
      </w:divBdr>
    </w:div>
    <w:div w:id="1429232314">
      <w:bodyDiv w:val="1"/>
      <w:marLeft w:val="0"/>
      <w:marRight w:val="0"/>
      <w:marTop w:val="0"/>
      <w:marBottom w:val="0"/>
      <w:divBdr>
        <w:top w:val="none" w:sz="0" w:space="0" w:color="auto"/>
        <w:left w:val="none" w:sz="0" w:space="0" w:color="auto"/>
        <w:bottom w:val="none" w:sz="0" w:space="0" w:color="auto"/>
        <w:right w:val="none" w:sz="0" w:space="0" w:color="auto"/>
      </w:divBdr>
    </w:div>
    <w:div w:id="1432313347">
      <w:bodyDiv w:val="1"/>
      <w:marLeft w:val="0"/>
      <w:marRight w:val="0"/>
      <w:marTop w:val="0"/>
      <w:marBottom w:val="0"/>
      <w:divBdr>
        <w:top w:val="none" w:sz="0" w:space="0" w:color="auto"/>
        <w:left w:val="none" w:sz="0" w:space="0" w:color="auto"/>
        <w:bottom w:val="none" w:sz="0" w:space="0" w:color="auto"/>
        <w:right w:val="none" w:sz="0" w:space="0" w:color="auto"/>
      </w:divBdr>
    </w:div>
    <w:div w:id="1437867322">
      <w:bodyDiv w:val="1"/>
      <w:marLeft w:val="0"/>
      <w:marRight w:val="0"/>
      <w:marTop w:val="0"/>
      <w:marBottom w:val="0"/>
      <w:divBdr>
        <w:top w:val="none" w:sz="0" w:space="0" w:color="auto"/>
        <w:left w:val="none" w:sz="0" w:space="0" w:color="auto"/>
        <w:bottom w:val="none" w:sz="0" w:space="0" w:color="auto"/>
        <w:right w:val="none" w:sz="0" w:space="0" w:color="auto"/>
      </w:divBdr>
    </w:div>
    <w:div w:id="1512526856">
      <w:bodyDiv w:val="1"/>
      <w:marLeft w:val="0"/>
      <w:marRight w:val="0"/>
      <w:marTop w:val="0"/>
      <w:marBottom w:val="0"/>
      <w:divBdr>
        <w:top w:val="none" w:sz="0" w:space="0" w:color="auto"/>
        <w:left w:val="none" w:sz="0" w:space="0" w:color="auto"/>
        <w:bottom w:val="none" w:sz="0" w:space="0" w:color="auto"/>
        <w:right w:val="none" w:sz="0" w:space="0" w:color="auto"/>
      </w:divBdr>
    </w:div>
    <w:div w:id="1574776154">
      <w:bodyDiv w:val="1"/>
      <w:marLeft w:val="0"/>
      <w:marRight w:val="0"/>
      <w:marTop w:val="0"/>
      <w:marBottom w:val="0"/>
      <w:divBdr>
        <w:top w:val="none" w:sz="0" w:space="0" w:color="auto"/>
        <w:left w:val="none" w:sz="0" w:space="0" w:color="auto"/>
        <w:bottom w:val="none" w:sz="0" w:space="0" w:color="auto"/>
        <w:right w:val="none" w:sz="0" w:space="0" w:color="auto"/>
      </w:divBdr>
    </w:div>
    <w:div w:id="1590575034">
      <w:bodyDiv w:val="1"/>
      <w:marLeft w:val="0"/>
      <w:marRight w:val="0"/>
      <w:marTop w:val="0"/>
      <w:marBottom w:val="0"/>
      <w:divBdr>
        <w:top w:val="none" w:sz="0" w:space="0" w:color="auto"/>
        <w:left w:val="none" w:sz="0" w:space="0" w:color="auto"/>
        <w:bottom w:val="none" w:sz="0" w:space="0" w:color="auto"/>
        <w:right w:val="none" w:sz="0" w:space="0" w:color="auto"/>
      </w:divBdr>
    </w:div>
    <w:div w:id="1596480828">
      <w:bodyDiv w:val="1"/>
      <w:marLeft w:val="0"/>
      <w:marRight w:val="0"/>
      <w:marTop w:val="0"/>
      <w:marBottom w:val="0"/>
      <w:divBdr>
        <w:top w:val="none" w:sz="0" w:space="0" w:color="auto"/>
        <w:left w:val="none" w:sz="0" w:space="0" w:color="auto"/>
        <w:bottom w:val="none" w:sz="0" w:space="0" w:color="auto"/>
        <w:right w:val="none" w:sz="0" w:space="0" w:color="auto"/>
      </w:divBdr>
    </w:div>
    <w:div w:id="1633635106">
      <w:bodyDiv w:val="1"/>
      <w:marLeft w:val="0"/>
      <w:marRight w:val="0"/>
      <w:marTop w:val="0"/>
      <w:marBottom w:val="0"/>
      <w:divBdr>
        <w:top w:val="none" w:sz="0" w:space="0" w:color="auto"/>
        <w:left w:val="none" w:sz="0" w:space="0" w:color="auto"/>
        <w:bottom w:val="none" w:sz="0" w:space="0" w:color="auto"/>
        <w:right w:val="none" w:sz="0" w:space="0" w:color="auto"/>
      </w:divBdr>
    </w:div>
    <w:div w:id="1658411772">
      <w:bodyDiv w:val="1"/>
      <w:marLeft w:val="0"/>
      <w:marRight w:val="0"/>
      <w:marTop w:val="0"/>
      <w:marBottom w:val="0"/>
      <w:divBdr>
        <w:top w:val="none" w:sz="0" w:space="0" w:color="auto"/>
        <w:left w:val="none" w:sz="0" w:space="0" w:color="auto"/>
        <w:bottom w:val="none" w:sz="0" w:space="0" w:color="auto"/>
        <w:right w:val="none" w:sz="0" w:space="0" w:color="auto"/>
      </w:divBdr>
    </w:div>
    <w:div w:id="1669675312">
      <w:bodyDiv w:val="1"/>
      <w:marLeft w:val="0"/>
      <w:marRight w:val="0"/>
      <w:marTop w:val="0"/>
      <w:marBottom w:val="0"/>
      <w:divBdr>
        <w:top w:val="none" w:sz="0" w:space="0" w:color="auto"/>
        <w:left w:val="none" w:sz="0" w:space="0" w:color="auto"/>
        <w:bottom w:val="none" w:sz="0" w:space="0" w:color="auto"/>
        <w:right w:val="none" w:sz="0" w:space="0" w:color="auto"/>
      </w:divBdr>
    </w:div>
    <w:div w:id="1674066457">
      <w:bodyDiv w:val="1"/>
      <w:marLeft w:val="0"/>
      <w:marRight w:val="0"/>
      <w:marTop w:val="0"/>
      <w:marBottom w:val="0"/>
      <w:divBdr>
        <w:top w:val="none" w:sz="0" w:space="0" w:color="auto"/>
        <w:left w:val="none" w:sz="0" w:space="0" w:color="auto"/>
        <w:bottom w:val="none" w:sz="0" w:space="0" w:color="auto"/>
        <w:right w:val="none" w:sz="0" w:space="0" w:color="auto"/>
      </w:divBdr>
    </w:div>
    <w:div w:id="1681931258">
      <w:bodyDiv w:val="1"/>
      <w:marLeft w:val="0"/>
      <w:marRight w:val="0"/>
      <w:marTop w:val="0"/>
      <w:marBottom w:val="0"/>
      <w:divBdr>
        <w:top w:val="none" w:sz="0" w:space="0" w:color="auto"/>
        <w:left w:val="none" w:sz="0" w:space="0" w:color="auto"/>
        <w:bottom w:val="none" w:sz="0" w:space="0" w:color="auto"/>
        <w:right w:val="none" w:sz="0" w:space="0" w:color="auto"/>
      </w:divBdr>
    </w:div>
    <w:div w:id="1682048230">
      <w:bodyDiv w:val="1"/>
      <w:marLeft w:val="0"/>
      <w:marRight w:val="0"/>
      <w:marTop w:val="0"/>
      <w:marBottom w:val="0"/>
      <w:divBdr>
        <w:top w:val="none" w:sz="0" w:space="0" w:color="auto"/>
        <w:left w:val="none" w:sz="0" w:space="0" w:color="auto"/>
        <w:bottom w:val="none" w:sz="0" w:space="0" w:color="auto"/>
        <w:right w:val="none" w:sz="0" w:space="0" w:color="auto"/>
      </w:divBdr>
    </w:div>
    <w:div w:id="1689212375">
      <w:bodyDiv w:val="1"/>
      <w:marLeft w:val="0"/>
      <w:marRight w:val="0"/>
      <w:marTop w:val="0"/>
      <w:marBottom w:val="0"/>
      <w:divBdr>
        <w:top w:val="none" w:sz="0" w:space="0" w:color="auto"/>
        <w:left w:val="none" w:sz="0" w:space="0" w:color="auto"/>
        <w:bottom w:val="none" w:sz="0" w:space="0" w:color="auto"/>
        <w:right w:val="none" w:sz="0" w:space="0" w:color="auto"/>
      </w:divBdr>
    </w:div>
    <w:div w:id="1702393802">
      <w:bodyDiv w:val="1"/>
      <w:marLeft w:val="0"/>
      <w:marRight w:val="0"/>
      <w:marTop w:val="0"/>
      <w:marBottom w:val="0"/>
      <w:divBdr>
        <w:top w:val="none" w:sz="0" w:space="0" w:color="auto"/>
        <w:left w:val="none" w:sz="0" w:space="0" w:color="auto"/>
        <w:bottom w:val="none" w:sz="0" w:space="0" w:color="auto"/>
        <w:right w:val="none" w:sz="0" w:space="0" w:color="auto"/>
      </w:divBdr>
    </w:div>
    <w:div w:id="1770007624">
      <w:bodyDiv w:val="1"/>
      <w:marLeft w:val="0"/>
      <w:marRight w:val="0"/>
      <w:marTop w:val="0"/>
      <w:marBottom w:val="0"/>
      <w:divBdr>
        <w:top w:val="none" w:sz="0" w:space="0" w:color="auto"/>
        <w:left w:val="none" w:sz="0" w:space="0" w:color="auto"/>
        <w:bottom w:val="none" w:sz="0" w:space="0" w:color="auto"/>
        <w:right w:val="none" w:sz="0" w:space="0" w:color="auto"/>
      </w:divBdr>
    </w:div>
    <w:div w:id="1863396414">
      <w:bodyDiv w:val="1"/>
      <w:marLeft w:val="0"/>
      <w:marRight w:val="0"/>
      <w:marTop w:val="0"/>
      <w:marBottom w:val="0"/>
      <w:divBdr>
        <w:top w:val="none" w:sz="0" w:space="0" w:color="auto"/>
        <w:left w:val="none" w:sz="0" w:space="0" w:color="auto"/>
        <w:bottom w:val="none" w:sz="0" w:space="0" w:color="auto"/>
        <w:right w:val="none" w:sz="0" w:space="0" w:color="auto"/>
      </w:divBdr>
    </w:div>
    <w:div w:id="1933857972">
      <w:bodyDiv w:val="1"/>
      <w:marLeft w:val="0"/>
      <w:marRight w:val="0"/>
      <w:marTop w:val="0"/>
      <w:marBottom w:val="0"/>
      <w:divBdr>
        <w:top w:val="none" w:sz="0" w:space="0" w:color="auto"/>
        <w:left w:val="none" w:sz="0" w:space="0" w:color="auto"/>
        <w:bottom w:val="none" w:sz="0" w:space="0" w:color="auto"/>
        <w:right w:val="none" w:sz="0" w:space="0" w:color="auto"/>
      </w:divBdr>
    </w:div>
    <w:div w:id="1969776479">
      <w:bodyDiv w:val="1"/>
      <w:marLeft w:val="0"/>
      <w:marRight w:val="0"/>
      <w:marTop w:val="0"/>
      <w:marBottom w:val="0"/>
      <w:divBdr>
        <w:top w:val="none" w:sz="0" w:space="0" w:color="auto"/>
        <w:left w:val="none" w:sz="0" w:space="0" w:color="auto"/>
        <w:bottom w:val="none" w:sz="0" w:space="0" w:color="auto"/>
        <w:right w:val="none" w:sz="0" w:space="0" w:color="auto"/>
      </w:divBdr>
    </w:div>
    <w:div w:id="1975217047">
      <w:bodyDiv w:val="1"/>
      <w:marLeft w:val="0"/>
      <w:marRight w:val="0"/>
      <w:marTop w:val="0"/>
      <w:marBottom w:val="0"/>
      <w:divBdr>
        <w:top w:val="none" w:sz="0" w:space="0" w:color="auto"/>
        <w:left w:val="none" w:sz="0" w:space="0" w:color="auto"/>
        <w:bottom w:val="none" w:sz="0" w:space="0" w:color="auto"/>
        <w:right w:val="none" w:sz="0" w:space="0" w:color="auto"/>
      </w:divBdr>
    </w:div>
    <w:div w:id="2035155846">
      <w:bodyDiv w:val="1"/>
      <w:marLeft w:val="0"/>
      <w:marRight w:val="0"/>
      <w:marTop w:val="0"/>
      <w:marBottom w:val="0"/>
      <w:divBdr>
        <w:top w:val="none" w:sz="0" w:space="0" w:color="auto"/>
        <w:left w:val="none" w:sz="0" w:space="0" w:color="auto"/>
        <w:bottom w:val="none" w:sz="0" w:space="0" w:color="auto"/>
        <w:right w:val="none" w:sz="0" w:space="0" w:color="auto"/>
      </w:divBdr>
    </w:div>
    <w:div w:id="2057076064">
      <w:bodyDiv w:val="1"/>
      <w:marLeft w:val="0"/>
      <w:marRight w:val="0"/>
      <w:marTop w:val="0"/>
      <w:marBottom w:val="0"/>
      <w:divBdr>
        <w:top w:val="none" w:sz="0" w:space="0" w:color="auto"/>
        <w:left w:val="none" w:sz="0" w:space="0" w:color="auto"/>
        <w:bottom w:val="none" w:sz="0" w:space="0" w:color="auto"/>
        <w:right w:val="none" w:sz="0" w:space="0" w:color="auto"/>
      </w:divBdr>
    </w:div>
    <w:div w:id="207947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ro.karnovgroup.dk/b/documents/rel/LBKG20151267" TargetMode="External"/><Relationship Id="rId18" Type="http://schemas.openxmlformats.org/officeDocument/2006/relationships/header" Target="header3.xml"/><Relationship Id="rId26" Type="http://schemas.openxmlformats.org/officeDocument/2006/relationships/hyperlink" Target="https://pro.karnovgroup.dk/b/documents/rel/LBKG20241145" TargetMode="External"/><Relationship Id="rId39" Type="http://schemas.openxmlformats.org/officeDocument/2006/relationships/footer" Target="footer2.xml"/><Relationship Id="rId21" Type="http://schemas.openxmlformats.org/officeDocument/2006/relationships/hyperlink" Target="https://pro.karnovgroup.dk/b/documents/rel/LBKG20241145_P152" TargetMode="External"/><Relationship Id="rId34" Type="http://schemas.openxmlformats.org/officeDocument/2006/relationships/hyperlink" Target="https://pro.karnovgroup.dk/b/documents/abs/EUFOR2016679" TargetMode="External"/><Relationship Id="rId42"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pro.karnovgroup.dk/b/documents/rel/LBKG2024807" TargetMode="External"/><Relationship Id="rId29" Type="http://schemas.openxmlformats.org/officeDocument/2006/relationships/hyperlink" Target="https://pro.karnovgroup.dk/b/documents/rel/LBKG2014433"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pro.karnovgroup.dk/b/documents/rel/LBKG20151267" TargetMode="External"/><Relationship Id="rId32" Type="http://schemas.openxmlformats.org/officeDocument/2006/relationships/hyperlink" Target="https://pro.karnovgroup.dk/b/documents/rel/LBKG20241145_P152E" TargetMode="External"/><Relationship Id="rId37" Type="http://schemas.openxmlformats.org/officeDocument/2006/relationships/header" Target="header4.xml"/><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pro.karnovgroup.dk/b/documents/rel/LBKG20151267_P35B" TargetMode="External"/><Relationship Id="rId28" Type="http://schemas.openxmlformats.org/officeDocument/2006/relationships/hyperlink" Target="https://pro.karnovgroup.dk/b/documents/rel/LBKG20241145_P152" TargetMode="External"/><Relationship Id="rId36" Type="http://schemas.openxmlformats.org/officeDocument/2006/relationships/hyperlink" Target="https://pro.karnovgroup.dk/b/documents/rel/LBKG20241145" TargetMode="External"/><Relationship Id="rId10" Type="http://schemas.openxmlformats.org/officeDocument/2006/relationships/webSettings" Target="webSettings.xml"/><Relationship Id="rId19" Type="http://schemas.openxmlformats.org/officeDocument/2006/relationships/hyperlink" Target="https://pro.karnovgroup.dk/b/documents/rel/LBKG20241160_P832" TargetMode="External"/><Relationship Id="rId31" Type="http://schemas.openxmlformats.org/officeDocument/2006/relationships/hyperlink" Target="https://www.un.org/securitycouncil/sanctions/informa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pro.karnovgroup.dk/b/documents/abs/EUFOR2016679" TargetMode="External"/><Relationship Id="rId22" Type="http://schemas.openxmlformats.org/officeDocument/2006/relationships/hyperlink" Target="https://pro.karnovgroup.dk/b/documents/rel/LBKG20241145_P152E" TargetMode="External"/><Relationship Id="rId27" Type="http://schemas.openxmlformats.org/officeDocument/2006/relationships/hyperlink" Target="https://pro.karnovgroup.dk/b/documents/rel/LBKG20241160_P832" TargetMode="External"/><Relationship Id="rId30" Type="http://schemas.openxmlformats.org/officeDocument/2006/relationships/hyperlink" Target="https://www.un.org/securitycouncil/sanctions/information" TargetMode="External"/><Relationship Id="rId35" Type="http://schemas.openxmlformats.org/officeDocument/2006/relationships/hyperlink" Target="https://pro.karnovgroup.dk/b/documents/rel/LBKG20241160_P832" TargetMode="External"/><Relationship Id="rId43"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pro.karnovgroup.dk/b/documents/rel/LBKG20241160_P832" TargetMode="External"/><Relationship Id="rId33" Type="http://schemas.openxmlformats.org/officeDocument/2006/relationships/hyperlink" Target="https://pro.karnovgroup.dk/b/documents/rel/LBKG20151267_P35B" TargetMode="External"/><Relationship Id="rId38"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skabeloner\Lov%20og%20bekendtg&#248;relser\Skabelon%20for%20lovforslag%20-%20hovedlov%20(Version%207.%20februar%202024).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483576-8201-4f93-8e95-86db2c684f9c">
      <Terms xmlns="http://schemas.microsoft.com/office/infopath/2007/PartnerControls"/>
    </lcf76f155ced4ddcb4097134ff3c332f>
    <TaxCatchAll xmlns="4363feb4-1e05-4782-8ad8-292cf0988e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35A5D3A9246154FA688629623D84D8A" ma:contentTypeVersion="9" ma:contentTypeDescription="Opret et nyt dokument." ma:contentTypeScope="" ma:versionID="44144cf4cc9ddab562876f1081708274">
  <xsd:schema xmlns:xsd="http://www.w3.org/2001/XMLSchema" xmlns:xs="http://www.w3.org/2001/XMLSchema" xmlns:p="http://schemas.microsoft.com/office/2006/metadata/properties" xmlns:ns2="76483576-8201-4f93-8e95-86db2c684f9c" xmlns:ns3="4363feb4-1e05-4782-8ad8-292cf0988e1a" targetNamespace="http://schemas.microsoft.com/office/2006/metadata/properties" ma:root="true" ma:fieldsID="4153cea543aa8466456f1dbc6d779a94" ns2:_="" ns3:_="">
    <xsd:import namespace="76483576-8201-4f93-8e95-86db2c684f9c"/>
    <xsd:import namespace="4363feb4-1e05-4782-8ad8-292cf0988e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83576-8201-4f93-8e95-86db2c684f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da9269b0-d483-43c2-8cae-916f3ac025e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63feb4-1e05-4782-8ad8-292cf0988e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423366-07e2-48f2-8e7e-f1de04700c77}" ma:internalName="TaxCatchAll" ma:showField="CatchAllData" ma:web="4363feb4-1e05-4782-8ad8-292cf0988e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xmlns="Workzone">
  <data id="B9C8395A-22D1-4D7C-9486-93FBFBEAF2F3">
    <value>3104940</value>
  </data>
  <data id="447B1C19-BC31-48A7-856E-A9F697E5C8B1">
    <value>Lovkvalitet</value>
  </data>
  <data id="4A247CA3-F186-4472-80F1-88BC39AA9062">
    <value>2021-01146</value>
  </data>
  <data id="9733590E-B905-4B87-B8C7-4FE6DE8F80A3">
    <value>Ida Helene Bendtsen</value>
  </data>
  <data id="B480A2E6-4AA4-46BB-A3EB-50BB1BF32DCA">
    <value>Høiberg</value>
  </data>
</Root>
</file>

<file path=customXml/item5.xml><?xml version="1.0" encoding="utf-8"?>
<Root xmlns="Capti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62027B-0F75-44F2-A153-0E6B3DDFA3CB}">
  <ds:schemaRefs>
    <ds:schemaRef ds:uri="http://schemas.microsoft.com/office/2006/metadata/properties"/>
    <ds:schemaRef ds:uri="http://schemas.microsoft.com/office/infopath/2007/PartnerControls"/>
    <ds:schemaRef ds:uri="76483576-8201-4f93-8e95-86db2c684f9c"/>
    <ds:schemaRef ds:uri="4363feb4-1e05-4782-8ad8-292cf0988e1a"/>
  </ds:schemaRefs>
</ds:datastoreItem>
</file>

<file path=customXml/itemProps2.xml><?xml version="1.0" encoding="utf-8"?>
<ds:datastoreItem xmlns:ds="http://schemas.openxmlformats.org/officeDocument/2006/customXml" ds:itemID="{EE2C884C-C785-4DE3-BFDA-D94F868A2FA6}">
  <ds:schemaRefs>
    <ds:schemaRef ds:uri="http://schemas.microsoft.com/sharepoint/v3/contenttype/forms"/>
  </ds:schemaRefs>
</ds:datastoreItem>
</file>

<file path=customXml/itemProps3.xml><?xml version="1.0" encoding="utf-8"?>
<ds:datastoreItem xmlns:ds="http://schemas.openxmlformats.org/officeDocument/2006/customXml" ds:itemID="{BE17CF78-3F4D-4C3C-A15C-EAD2500D0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83576-8201-4f93-8e95-86db2c684f9c"/>
    <ds:schemaRef ds:uri="4363feb4-1e05-4782-8ad8-292cf0988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52D053-AE38-4438-B7B3-7311554E2F37}">
  <ds:schemaRefs>
    <ds:schemaRef ds:uri="Workzone"/>
  </ds:schemaRefs>
</ds:datastoreItem>
</file>

<file path=customXml/itemProps5.xml><?xml version="1.0" encoding="utf-8"?>
<ds:datastoreItem xmlns:ds="http://schemas.openxmlformats.org/officeDocument/2006/customXml" ds:itemID="{EE6AFBF3-455C-4F34-A6A7-0D026AF09268}">
  <ds:schemaRefs>
    <ds:schemaRef ds:uri="Captia"/>
  </ds:schemaRefs>
</ds:datastoreItem>
</file>

<file path=customXml/itemProps6.xml><?xml version="1.0" encoding="utf-8"?>
<ds:datastoreItem xmlns:ds="http://schemas.openxmlformats.org/officeDocument/2006/customXml" ds:itemID="{F53065C6-1F2F-4325-9BE1-0B5ADB931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Skabelon for lovforslag - hovedlov (Version 7. februar 2024).dotx</Template>
  <TotalTime>380</TotalTime>
  <Pages>1892</Pages>
  <Words>538411</Words>
  <Characters>3284308</Characters>
  <Application>Microsoft Office Word</Application>
  <DocSecurity>0</DocSecurity>
  <Lines>27369</Lines>
  <Paragraphs>7630</Paragraphs>
  <ScaleCrop>false</ScaleCrop>
  <Company/>
  <LinksUpToDate>false</LinksUpToDate>
  <CharactersWithSpaces>3815089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La Cour Lundblad (FT)</dc:creator>
  <cp:keywords/>
  <cp:lastModifiedBy>Amalie Ringholm Haure Lyhne (FT)</cp:lastModifiedBy>
  <cp:revision>951</cp:revision>
  <cp:lastPrinted>2026-11-06T17:09:00Z</cp:lastPrinted>
  <dcterms:created xsi:type="dcterms:W3CDTF">2026-10-02T08:21:00Z</dcterms:created>
  <dcterms:modified xsi:type="dcterms:W3CDTF">2026-11-06T17:18:00Z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0x010100D35A5D3A9246154FA688629623D84D8A</vt:lpwstr>
  </property>
  <property fmtid="{D5CDD505-2E9C-101B-9397-08002B2CF9AE}" pid="3" name="MediaServiceImageTags">
    <vt:lpwstr/>
  </property>
</Properties>
</file>